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3"/>
        <w:rPr>
          <w:rFonts w:ascii="Times New Roman"/>
          <w:sz w:val="15"/>
        </w:rPr>
      </w:pPr>
      <w:r>
        <w:rPr/>
        <mc:AlternateContent>
          <mc:Choice Requires="wps">
            <w:drawing>
              <wp:anchor distT="0" distB="0" distL="0" distR="0" allowOverlap="1" layoutInCell="1" locked="0" behindDoc="1" simplePos="0" relativeHeight="484714496">
                <wp:simplePos x="0" y="0"/>
                <wp:positionH relativeFrom="page">
                  <wp:posOffset>0</wp:posOffset>
                </wp:positionH>
                <wp:positionV relativeFrom="page">
                  <wp:posOffset>2055101</wp:posOffset>
                </wp:positionV>
                <wp:extent cx="7560309" cy="863727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8637270"/>
                          <a:chExt cx="7560309" cy="8637270"/>
                        </a:xfrm>
                      </wpg:grpSpPr>
                      <pic:pic>
                        <pic:nvPicPr>
                          <pic:cNvPr id="2" name="Image 2"/>
                          <pic:cNvPicPr/>
                        </pic:nvPicPr>
                        <pic:blipFill>
                          <a:blip r:embed="rId6" cstate="print"/>
                          <a:stretch>
                            <a:fillRect/>
                          </a:stretch>
                        </pic:blipFill>
                        <pic:spPr>
                          <a:xfrm>
                            <a:off x="0" y="0"/>
                            <a:ext cx="7559992" cy="5950178"/>
                          </a:xfrm>
                          <a:prstGeom prst="rect">
                            <a:avLst/>
                          </a:prstGeom>
                        </pic:spPr>
                      </pic:pic>
                      <pic:pic>
                        <pic:nvPicPr>
                          <pic:cNvPr id="3" name="Image 3"/>
                          <pic:cNvPicPr/>
                        </pic:nvPicPr>
                        <pic:blipFill>
                          <a:blip r:embed="rId7" cstate="print"/>
                          <a:stretch>
                            <a:fillRect/>
                          </a:stretch>
                        </pic:blipFill>
                        <pic:spPr>
                          <a:xfrm>
                            <a:off x="0" y="4440034"/>
                            <a:ext cx="7559992" cy="4196867"/>
                          </a:xfrm>
                          <a:prstGeom prst="rect">
                            <a:avLst/>
                          </a:prstGeom>
                        </pic:spPr>
                      </pic:pic>
                      <wps:wsp>
                        <wps:cNvPr id="4" name="Graphic 4"/>
                        <wps:cNvSpPr/>
                        <wps:spPr>
                          <a:xfrm>
                            <a:off x="0" y="3407904"/>
                            <a:ext cx="7560309" cy="5229225"/>
                          </a:xfrm>
                          <a:custGeom>
                            <a:avLst/>
                            <a:gdLst/>
                            <a:ahLst/>
                            <a:cxnLst/>
                            <a:rect l="l" t="t" r="r" b="b"/>
                            <a:pathLst>
                              <a:path w="7560309" h="5229225">
                                <a:moveTo>
                                  <a:pt x="1599554" y="0"/>
                                </a:moveTo>
                                <a:lnTo>
                                  <a:pt x="0" y="923504"/>
                                </a:lnTo>
                                <a:lnTo>
                                  <a:pt x="0" y="5228997"/>
                                </a:lnTo>
                                <a:lnTo>
                                  <a:pt x="7560005" y="5228997"/>
                                </a:lnTo>
                                <a:lnTo>
                                  <a:pt x="7560005" y="3441271"/>
                                </a:lnTo>
                                <a:lnTo>
                                  <a:pt x="1599554" y="0"/>
                                </a:lnTo>
                                <a:close/>
                              </a:path>
                            </a:pathLst>
                          </a:custGeom>
                          <a:solidFill>
                            <a:srgbClr val="393C80"/>
                          </a:solidFill>
                        </wps:spPr>
                        <wps:bodyPr wrap="square" lIns="0" tIns="0" rIns="0" bIns="0" rtlCol="0">
                          <a:prstTxWarp prst="textNoShape">
                            <a:avLst/>
                          </a:prstTxWarp>
                          <a:noAutofit/>
                        </wps:bodyPr>
                      </wps:wsp>
                      <wps:wsp>
                        <wps:cNvPr id="5" name="Graphic 5"/>
                        <wps:cNvSpPr/>
                        <wps:spPr>
                          <a:xfrm>
                            <a:off x="2172843" y="2484010"/>
                            <a:ext cx="5387340" cy="6153150"/>
                          </a:xfrm>
                          <a:custGeom>
                            <a:avLst/>
                            <a:gdLst/>
                            <a:ahLst/>
                            <a:cxnLst/>
                            <a:rect l="l" t="t" r="r" b="b"/>
                            <a:pathLst>
                              <a:path w="5387340" h="6153150">
                                <a:moveTo>
                                  <a:pt x="5387162" y="0"/>
                                </a:moveTo>
                                <a:lnTo>
                                  <a:pt x="0" y="3110281"/>
                                </a:lnTo>
                                <a:lnTo>
                                  <a:pt x="0" y="6152891"/>
                                </a:lnTo>
                                <a:lnTo>
                                  <a:pt x="5387162" y="6152891"/>
                                </a:lnTo>
                                <a:lnTo>
                                  <a:pt x="5387162" y="0"/>
                                </a:lnTo>
                                <a:close/>
                              </a:path>
                            </a:pathLst>
                          </a:custGeom>
                          <a:solidFill>
                            <a:srgbClr val="671C75"/>
                          </a:solidFill>
                        </wps:spPr>
                        <wps:bodyPr wrap="square" lIns="0" tIns="0" rIns="0" bIns="0" rtlCol="0">
                          <a:prstTxWarp prst="textNoShape">
                            <a:avLst/>
                          </a:prstTxWarp>
                          <a:noAutofit/>
                        </wps:bodyPr>
                      </wps:wsp>
                      <wps:wsp>
                        <wps:cNvPr id="6" name="Graphic 6"/>
                        <wps:cNvSpPr/>
                        <wps:spPr>
                          <a:xfrm>
                            <a:off x="0" y="4343527"/>
                            <a:ext cx="2172970" cy="4293870"/>
                          </a:xfrm>
                          <a:custGeom>
                            <a:avLst/>
                            <a:gdLst/>
                            <a:ahLst/>
                            <a:cxnLst/>
                            <a:rect l="l" t="t" r="r" b="b"/>
                            <a:pathLst>
                              <a:path w="2172970" h="4293870">
                                <a:moveTo>
                                  <a:pt x="0" y="0"/>
                                </a:moveTo>
                                <a:lnTo>
                                  <a:pt x="0" y="4293373"/>
                                </a:lnTo>
                                <a:lnTo>
                                  <a:pt x="2172843" y="4293373"/>
                                </a:lnTo>
                                <a:lnTo>
                                  <a:pt x="2172843" y="1254493"/>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02pt;margin-top:161.819016pt;width:595.3pt;height:680.1pt;mso-position-horizontal-relative:page;mso-position-vertical-relative:page;z-index:-18601984" id="docshapegroup1" coordorigin="0,3236" coordsize="11906,13602">
                <v:shape style="position:absolute;left:0;top:3236;width:11906;height:9371" type="#_x0000_t75" id="docshape2" stroked="false">
                  <v:imagedata r:id="rId6" o:title=""/>
                </v:shape>
                <v:shape style="position:absolute;left:0;top:10228;width:11906;height:6610" type="#_x0000_t75" id="docshape3" stroked="false">
                  <v:imagedata r:id="rId7" o:title=""/>
                </v:shape>
                <v:shape style="position:absolute;left:0;top:8603;width:11906;height:8235" id="docshape4" coordorigin="0,8603" coordsize="11906,8235" path="m2519,8603l0,10057,0,16838,11906,16838,11906,14022,2519,8603xe" filled="true" fillcolor="#393c80" stroked="false">
                  <v:path arrowok="t"/>
                  <v:fill type="solid"/>
                </v:shape>
                <v:shape style="position:absolute;left:3421;top:7148;width:8484;height:9690" id="docshape5" coordorigin="3422,7148" coordsize="8484,9690" path="m11906,7148l3422,12046,3422,16838,11906,16838,11906,7148xe" filled="true" fillcolor="#671c75" stroked="false">
                  <v:path arrowok="t"/>
                  <v:fill type="solid"/>
                </v:shape>
                <v:shape style="position:absolute;left:0;top:10076;width:3422;height:6762" id="docshape6" coordorigin="0,10077" coordsize="3422,6762" path="m0,10077l0,16838,3422,16838,3422,12052,0,1007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0176">
                <wp:simplePos x="0" y="0"/>
                <wp:positionH relativeFrom="page">
                  <wp:posOffset>4839665</wp:posOffset>
                </wp:positionH>
                <wp:positionV relativeFrom="page">
                  <wp:posOffset>636943</wp:posOffset>
                </wp:positionV>
                <wp:extent cx="1998980" cy="78486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1998980" cy="784860"/>
                          <a:chExt cx="1998980" cy="784860"/>
                        </a:xfrm>
                      </wpg:grpSpPr>
                      <wps:wsp>
                        <wps:cNvPr id="8" name="Graphic 8"/>
                        <wps:cNvSpPr/>
                        <wps:spPr>
                          <a:xfrm>
                            <a:off x="507" y="607974"/>
                            <a:ext cx="1998345" cy="177165"/>
                          </a:xfrm>
                          <a:custGeom>
                            <a:avLst/>
                            <a:gdLst/>
                            <a:ahLst/>
                            <a:cxnLst/>
                            <a:rect l="l" t="t" r="r" b="b"/>
                            <a:pathLst>
                              <a:path w="1998345" h="177165">
                                <a:moveTo>
                                  <a:pt x="1998179" y="0"/>
                                </a:moveTo>
                                <a:lnTo>
                                  <a:pt x="0" y="0"/>
                                </a:lnTo>
                                <a:lnTo>
                                  <a:pt x="0" y="176555"/>
                                </a:lnTo>
                                <a:lnTo>
                                  <a:pt x="1998179" y="176555"/>
                                </a:lnTo>
                                <a:lnTo>
                                  <a:pt x="1998179" y="0"/>
                                </a:lnTo>
                                <a:close/>
                              </a:path>
                            </a:pathLst>
                          </a:custGeom>
                          <a:solidFill>
                            <a:srgbClr val="4E9A55"/>
                          </a:solidFill>
                        </wps:spPr>
                        <wps:bodyPr wrap="square" lIns="0" tIns="0" rIns="0" bIns="0" rtlCol="0">
                          <a:prstTxWarp prst="textNoShape">
                            <a:avLst/>
                          </a:prstTxWarp>
                          <a:noAutofit/>
                        </wps:bodyPr>
                      </wps:wsp>
                      <wps:wsp>
                        <wps:cNvPr id="9" name="Graphic 9"/>
                        <wps:cNvSpPr/>
                        <wps:spPr>
                          <a:xfrm>
                            <a:off x="0" y="0"/>
                            <a:ext cx="1998980" cy="593090"/>
                          </a:xfrm>
                          <a:custGeom>
                            <a:avLst/>
                            <a:gdLst/>
                            <a:ahLst/>
                            <a:cxnLst/>
                            <a:rect l="l" t="t" r="r" b="b"/>
                            <a:pathLst>
                              <a:path w="1998980" h="593090">
                                <a:moveTo>
                                  <a:pt x="1998713" y="0"/>
                                </a:moveTo>
                                <a:lnTo>
                                  <a:pt x="0" y="0"/>
                                </a:lnTo>
                                <a:lnTo>
                                  <a:pt x="0" y="592810"/>
                                </a:lnTo>
                                <a:lnTo>
                                  <a:pt x="1998713" y="592810"/>
                                </a:lnTo>
                                <a:lnTo>
                                  <a:pt x="1998713" y="0"/>
                                </a:lnTo>
                                <a:close/>
                              </a:path>
                            </a:pathLst>
                          </a:custGeom>
                          <a:solidFill>
                            <a:srgbClr val="393C80"/>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802106" y="661466"/>
                            <a:ext cx="174538" cy="66713"/>
                          </a:xfrm>
                          <a:prstGeom prst="rect">
                            <a:avLst/>
                          </a:prstGeom>
                        </pic:spPr>
                      </pic:pic>
                      <pic:pic>
                        <pic:nvPicPr>
                          <pic:cNvPr id="11" name="Image 11"/>
                          <pic:cNvPicPr/>
                        </pic:nvPicPr>
                        <pic:blipFill>
                          <a:blip r:embed="rId9" cstate="print"/>
                          <a:stretch>
                            <a:fillRect/>
                          </a:stretch>
                        </pic:blipFill>
                        <pic:spPr>
                          <a:xfrm>
                            <a:off x="1009914" y="661466"/>
                            <a:ext cx="482201" cy="66713"/>
                          </a:xfrm>
                          <a:prstGeom prst="rect">
                            <a:avLst/>
                          </a:prstGeom>
                        </pic:spPr>
                      </pic:pic>
                      <pic:pic>
                        <pic:nvPicPr>
                          <pic:cNvPr id="12" name="Image 12"/>
                          <pic:cNvPicPr/>
                        </pic:nvPicPr>
                        <pic:blipFill>
                          <a:blip r:embed="rId10" cstate="print"/>
                          <a:stretch>
                            <a:fillRect/>
                          </a:stretch>
                        </pic:blipFill>
                        <pic:spPr>
                          <a:xfrm>
                            <a:off x="1530096" y="662978"/>
                            <a:ext cx="373321" cy="63681"/>
                          </a:xfrm>
                          <a:prstGeom prst="rect">
                            <a:avLst/>
                          </a:prstGeom>
                        </pic:spPr>
                      </pic:pic>
                      <pic:pic>
                        <pic:nvPicPr>
                          <pic:cNvPr id="13" name="Image 13"/>
                          <pic:cNvPicPr/>
                        </pic:nvPicPr>
                        <pic:blipFill>
                          <a:blip r:embed="rId11" cstate="print"/>
                          <a:stretch>
                            <a:fillRect/>
                          </a:stretch>
                        </pic:blipFill>
                        <pic:spPr>
                          <a:xfrm>
                            <a:off x="320696" y="373881"/>
                            <a:ext cx="1584049" cy="154388"/>
                          </a:xfrm>
                          <a:prstGeom prst="rect">
                            <a:avLst/>
                          </a:prstGeom>
                        </pic:spPr>
                      </pic:pic>
                    </wpg:wgp>
                  </a:graphicData>
                </a:graphic>
              </wp:anchor>
            </w:drawing>
          </mc:Choice>
          <mc:Fallback>
            <w:pict>
              <v:group style="position:absolute;margin-left:381.075989pt;margin-top:50.153015pt;width:157.4pt;height:61.8pt;mso-position-horizontal-relative:page;mso-position-vertical-relative:page;z-index:15730176" id="docshapegroup7" coordorigin="7622,1003" coordsize="3148,1236">
                <v:rect style="position:absolute;left:7622;top:1960;width:3147;height:279" id="docshape8" filled="true" fillcolor="#4e9a55" stroked="false">
                  <v:fill type="solid"/>
                </v:rect>
                <v:rect style="position:absolute;left:7621;top:1003;width:3148;height:934" id="docshape9" filled="true" fillcolor="#393c80" stroked="false">
                  <v:fill type="solid"/>
                </v:rect>
                <v:shape style="position:absolute;left:8884;top:2044;width:275;height:106" type="#_x0000_t75" id="docshape10" stroked="false">
                  <v:imagedata r:id="rId8" o:title=""/>
                </v:shape>
                <v:shape style="position:absolute;left:9211;top:2044;width:760;height:106" type="#_x0000_t75" id="docshape11" stroked="false">
                  <v:imagedata r:id="rId9" o:title=""/>
                </v:shape>
                <v:shape style="position:absolute;left:10031;top:2047;width:588;height:101" type="#_x0000_t75" id="docshape12" stroked="false">
                  <v:imagedata r:id="rId10" o:title=""/>
                </v:shape>
                <v:shape style="position:absolute;left:8126;top:1591;width:2495;height:244" type="#_x0000_t75" id="docshape13" stroked="false">
                  <v:imagedata r:id="rId11" o:title=""/>
                </v:shape>
                <w10:wrap type="none"/>
              </v:group>
            </w:pict>
          </mc:Fallback>
        </mc:AlternateContent>
      </w:r>
      <w:r>
        <w:rPr/>
        <w:drawing>
          <wp:anchor distT="0" distB="0" distL="0" distR="0" allowOverlap="1" layoutInCell="1" locked="0" behindDoc="1" simplePos="0" relativeHeight="484715520">
            <wp:simplePos x="0" y="0"/>
            <wp:positionH relativeFrom="page">
              <wp:posOffset>1422308</wp:posOffset>
            </wp:positionH>
            <wp:positionV relativeFrom="page">
              <wp:posOffset>745201</wp:posOffset>
            </wp:positionV>
            <wp:extent cx="905567" cy="93345"/>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2" cstate="print"/>
                    <a:stretch>
                      <a:fillRect/>
                    </a:stretch>
                  </pic:blipFill>
                  <pic:spPr>
                    <a:xfrm>
                      <a:off x="0" y="0"/>
                      <a:ext cx="905567" cy="93345"/>
                    </a:xfrm>
                    <a:prstGeom prst="rect">
                      <a:avLst/>
                    </a:prstGeom>
                  </pic:spPr>
                </pic:pic>
              </a:graphicData>
            </a:graphic>
          </wp:anchor>
        </w:drawing>
      </w:r>
      <w:r>
        <w:rPr/>
        <mc:AlternateContent>
          <mc:Choice Requires="wps">
            <w:drawing>
              <wp:anchor distT="0" distB="0" distL="0" distR="0" allowOverlap="1" layoutInCell="1" locked="0" behindDoc="0" simplePos="0" relativeHeight="15731200">
                <wp:simplePos x="0" y="0"/>
                <wp:positionH relativeFrom="page">
                  <wp:posOffset>2405449</wp:posOffset>
                </wp:positionH>
                <wp:positionV relativeFrom="page">
                  <wp:posOffset>747100</wp:posOffset>
                </wp:positionV>
                <wp:extent cx="36195" cy="89535"/>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36195" cy="89535"/>
                        </a:xfrm>
                        <a:custGeom>
                          <a:avLst/>
                          <a:gdLst/>
                          <a:ahLst/>
                          <a:cxnLst/>
                          <a:rect l="l" t="t" r="r" b="b"/>
                          <a:pathLst>
                            <a:path w="36195" h="89535">
                              <a:moveTo>
                                <a:pt x="34582" y="0"/>
                              </a:moveTo>
                              <a:lnTo>
                                <a:pt x="23317" y="393"/>
                              </a:lnTo>
                              <a:lnTo>
                                <a:pt x="12331" y="393"/>
                              </a:lnTo>
                              <a:lnTo>
                                <a:pt x="1066" y="0"/>
                              </a:lnTo>
                              <a:lnTo>
                                <a:pt x="266" y="393"/>
                              </a:lnTo>
                              <a:lnTo>
                                <a:pt x="0" y="2806"/>
                              </a:lnTo>
                              <a:lnTo>
                                <a:pt x="812" y="3340"/>
                              </a:lnTo>
                              <a:lnTo>
                                <a:pt x="12065" y="4279"/>
                              </a:lnTo>
                              <a:lnTo>
                                <a:pt x="12331" y="6565"/>
                              </a:lnTo>
                              <a:lnTo>
                                <a:pt x="12331" y="20777"/>
                              </a:lnTo>
                              <a:lnTo>
                                <a:pt x="12331" y="82702"/>
                              </a:lnTo>
                              <a:lnTo>
                                <a:pt x="12065" y="84581"/>
                              </a:lnTo>
                              <a:lnTo>
                                <a:pt x="812" y="85928"/>
                              </a:lnTo>
                              <a:lnTo>
                                <a:pt x="0" y="86728"/>
                              </a:lnTo>
                              <a:lnTo>
                                <a:pt x="266" y="88874"/>
                              </a:lnTo>
                              <a:lnTo>
                                <a:pt x="1066" y="89268"/>
                              </a:lnTo>
                              <a:lnTo>
                                <a:pt x="12331" y="88874"/>
                              </a:lnTo>
                              <a:lnTo>
                                <a:pt x="23317" y="88874"/>
                              </a:lnTo>
                              <a:lnTo>
                                <a:pt x="34582" y="89268"/>
                              </a:lnTo>
                              <a:lnTo>
                                <a:pt x="35394" y="88874"/>
                              </a:lnTo>
                              <a:lnTo>
                                <a:pt x="35661" y="86461"/>
                              </a:lnTo>
                              <a:lnTo>
                                <a:pt x="34848" y="85928"/>
                              </a:lnTo>
                              <a:lnTo>
                                <a:pt x="23596" y="84581"/>
                              </a:lnTo>
                              <a:lnTo>
                                <a:pt x="23317" y="82702"/>
                              </a:lnTo>
                              <a:lnTo>
                                <a:pt x="23317" y="6565"/>
                              </a:lnTo>
                              <a:lnTo>
                                <a:pt x="23596" y="4279"/>
                              </a:lnTo>
                              <a:lnTo>
                                <a:pt x="34848" y="3340"/>
                              </a:lnTo>
                              <a:lnTo>
                                <a:pt x="35661" y="2806"/>
                              </a:lnTo>
                              <a:lnTo>
                                <a:pt x="35394" y="393"/>
                              </a:lnTo>
                              <a:lnTo>
                                <a:pt x="34582" y="0"/>
                              </a:lnTo>
                              <a:close/>
                            </a:path>
                          </a:pathLst>
                        </a:custGeom>
                        <a:solidFill>
                          <a:srgbClr val="671C75"/>
                        </a:solidFill>
                      </wps:spPr>
                      <wps:bodyPr wrap="square" lIns="0" tIns="0" rIns="0" bIns="0" rtlCol="0">
                        <a:prstTxWarp prst="textNoShape">
                          <a:avLst/>
                        </a:prstTxWarp>
                        <a:noAutofit/>
                      </wps:bodyPr>
                    </wps:wsp>
                  </a:graphicData>
                </a:graphic>
              </wp:anchor>
            </w:drawing>
          </mc:Choice>
          <mc:Fallback>
            <w:pict>
              <v:shape style="position:absolute;margin-left:189.405502pt;margin-top:58.826813pt;width:2.85pt;height:7.05pt;mso-position-horizontal-relative:page;mso-position-vertical-relative:page;z-index:15731200" id="docshape14" coordorigin="3788,1177" coordsize="57,141" path="m3843,1177l3825,1177,3808,1177,3790,1177,3789,1177,3788,1181,3789,1182,3807,1183,3808,1187,3808,1209,3808,1307,3807,1310,3789,1312,3788,1313,3789,1316,3790,1317,3808,1316,3825,1316,3843,1317,3844,1316,3844,1313,3843,1312,3825,1310,3825,1307,3825,1187,3825,1183,3843,1182,3844,1181,3844,1177,3843,1177xe" filled="true" fillcolor="#671c75" stroked="false">
                <v:path arrowok="t"/>
                <v:fill type="solid"/>
                <w10:wrap type="none"/>
              </v:shape>
            </w:pict>
          </mc:Fallback>
        </mc:AlternateContent>
      </w:r>
      <w:r>
        <w:rPr/>
        <w:drawing>
          <wp:anchor distT="0" distB="0" distL="0" distR="0" allowOverlap="1" layoutInCell="1" locked="0" behindDoc="0" simplePos="0" relativeHeight="15731712">
            <wp:simplePos x="0" y="0"/>
            <wp:positionH relativeFrom="page">
              <wp:posOffset>2504727</wp:posOffset>
            </wp:positionH>
            <wp:positionV relativeFrom="page">
              <wp:posOffset>747162</wp:posOffset>
            </wp:positionV>
            <wp:extent cx="86449" cy="90487"/>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3" cstate="print"/>
                    <a:stretch>
                      <a:fillRect/>
                    </a:stretch>
                  </pic:blipFill>
                  <pic:spPr>
                    <a:xfrm>
                      <a:off x="0" y="0"/>
                      <a:ext cx="86449" cy="90487"/>
                    </a:xfrm>
                    <a:prstGeom prst="rect">
                      <a:avLst/>
                    </a:prstGeom>
                  </pic:spPr>
                </pic:pic>
              </a:graphicData>
            </a:graphic>
          </wp:anchor>
        </w:drawing>
      </w:r>
      <w:r>
        <w:rPr/>
        <w:drawing>
          <wp:anchor distT="0" distB="0" distL="0" distR="0" allowOverlap="1" layoutInCell="1" locked="0" behindDoc="0" simplePos="0" relativeHeight="15732224">
            <wp:simplePos x="0" y="0"/>
            <wp:positionH relativeFrom="page">
              <wp:posOffset>2643244</wp:posOffset>
            </wp:positionH>
            <wp:positionV relativeFrom="page">
              <wp:posOffset>747096</wp:posOffset>
            </wp:positionV>
            <wp:extent cx="72832" cy="88677"/>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4" cstate="print"/>
                    <a:stretch>
                      <a:fillRect/>
                    </a:stretch>
                  </pic:blipFill>
                  <pic:spPr>
                    <a:xfrm>
                      <a:off x="0" y="0"/>
                      <a:ext cx="72832" cy="88677"/>
                    </a:xfrm>
                    <a:prstGeom prst="rect">
                      <a:avLst/>
                    </a:prstGeom>
                  </pic:spPr>
                </pic:pic>
              </a:graphicData>
            </a:graphic>
          </wp:anchor>
        </w:drawing>
      </w:r>
      <w:r>
        <w:rPr/>
        <w:drawing>
          <wp:anchor distT="0" distB="0" distL="0" distR="0" allowOverlap="1" layoutInCell="1" locked="0" behindDoc="0" simplePos="0" relativeHeight="15732736">
            <wp:simplePos x="0" y="0"/>
            <wp:positionH relativeFrom="page">
              <wp:posOffset>2775833</wp:posOffset>
            </wp:positionH>
            <wp:positionV relativeFrom="page">
              <wp:posOffset>747096</wp:posOffset>
            </wp:positionV>
            <wp:extent cx="69387" cy="88677"/>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5" cstate="print"/>
                    <a:stretch>
                      <a:fillRect/>
                    </a:stretch>
                  </pic:blipFill>
                  <pic:spPr>
                    <a:xfrm>
                      <a:off x="0" y="0"/>
                      <a:ext cx="69387" cy="88677"/>
                    </a:xfrm>
                    <a:prstGeom prst="rect">
                      <a:avLst/>
                    </a:prstGeom>
                  </pic:spPr>
                </pic:pic>
              </a:graphicData>
            </a:graphic>
          </wp:anchor>
        </w:drawing>
      </w:r>
      <w:r>
        <w:rPr/>
        <w:drawing>
          <wp:anchor distT="0" distB="0" distL="0" distR="0" allowOverlap="1" layoutInCell="1" locked="0" behindDoc="0" simplePos="0" relativeHeight="15733248">
            <wp:simplePos x="0" y="0"/>
            <wp:positionH relativeFrom="page">
              <wp:posOffset>2897176</wp:posOffset>
            </wp:positionH>
            <wp:positionV relativeFrom="page">
              <wp:posOffset>745349</wp:posOffset>
            </wp:positionV>
            <wp:extent cx="90623" cy="91440"/>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6" cstate="print"/>
                    <a:stretch>
                      <a:fillRect/>
                    </a:stretch>
                  </pic:blipFill>
                  <pic:spPr>
                    <a:xfrm>
                      <a:off x="0" y="0"/>
                      <a:ext cx="90623" cy="91440"/>
                    </a:xfrm>
                    <a:prstGeom prst="rect">
                      <a:avLst/>
                    </a:prstGeom>
                  </pic:spPr>
                </pic:pic>
              </a:graphicData>
            </a:graphic>
          </wp:anchor>
        </w:drawing>
      </w:r>
      <w:r>
        <w:rPr/>
        <w:drawing>
          <wp:anchor distT="0" distB="0" distL="0" distR="0" allowOverlap="1" layoutInCell="1" locked="0" behindDoc="0" simplePos="0" relativeHeight="15733760">
            <wp:simplePos x="0" y="0"/>
            <wp:positionH relativeFrom="page">
              <wp:posOffset>3040593</wp:posOffset>
            </wp:positionH>
            <wp:positionV relativeFrom="page">
              <wp:posOffset>747094</wp:posOffset>
            </wp:positionV>
            <wp:extent cx="98339" cy="90487"/>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7" cstate="print"/>
                    <a:stretch>
                      <a:fillRect/>
                    </a:stretch>
                  </pic:blipFill>
                  <pic:spPr>
                    <a:xfrm>
                      <a:off x="0" y="0"/>
                      <a:ext cx="98339" cy="90487"/>
                    </a:xfrm>
                    <a:prstGeom prst="rect">
                      <a:avLst/>
                    </a:prstGeom>
                  </pic:spPr>
                </pic:pic>
              </a:graphicData>
            </a:graphic>
          </wp:anchor>
        </w:drawing>
      </w:r>
      <w:r>
        <w:rPr/>
        <w:drawing>
          <wp:anchor distT="0" distB="0" distL="0" distR="0" allowOverlap="1" layoutInCell="1" locked="0" behindDoc="0" simplePos="0" relativeHeight="15734272">
            <wp:simplePos x="0" y="0"/>
            <wp:positionH relativeFrom="page">
              <wp:posOffset>3201882</wp:posOffset>
            </wp:positionH>
            <wp:positionV relativeFrom="page">
              <wp:posOffset>747381</wp:posOffset>
            </wp:positionV>
            <wp:extent cx="94008" cy="90487"/>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8" cstate="print"/>
                    <a:stretch>
                      <a:fillRect/>
                    </a:stretch>
                  </pic:blipFill>
                  <pic:spPr>
                    <a:xfrm>
                      <a:off x="0" y="0"/>
                      <a:ext cx="94008" cy="90487"/>
                    </a:xfrm>
                    <a:prstGeom prst="rect">
                      <a:avLst/>
                    </a:prstGeom>
                  </pic:spPr>
                </pic:pic>
              </a:graphicData>
            </a:graphic>
          </wp:anchor>
        </w:drawing>
      </w:r>
      <w:r>
        <w:rPr/>
        <w:drawing>
          <wp:anchor distT="0" distB="0" distL="0" distR="0" allowOverlap="1" layoutInCell="1" locked="0" behindDoc="1" simplePos="0" relativeHeight="484719616">
            <wp:simplePos x="0" y="0"/>
            <wp:positionH relativeFrom="page">
              <wp:posOffset>1625625</wp:posOffset>
            </wp:positionH>
            <wp:positionV relativeFrom="page">
              <wp:posOffset>1156116</wp:posOffset>
            </wp:positionV>
            <wp:extent cx="162863" cy="160305"/>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19" cstate="print"/>
                    <a:stretch>
                      <a:fillRect/>
                    </a:stretch>
                  </pic:blipFill>
                  <pic:spPr>
                    <a:xfrm>
                      <a:off x="0" y="0"/>
                      <a:ext cx="162863" cy="160305"/>
                    </a:xfrm>
                    <a:prstGeom prst="rect">
                      <a:avLst/>
                    </a:prstGeom>
                  </pic:spPr>
                </pic:pic>
              </a:graphicData>
            </a:graphic>
          </wp:anchor>
        </w:drawing>
      </w:r>
      <w:r>
        <w:rPr/>
        <w:drawing>
          <wp:anchor distT="0" distB="0" distL="0" distR="0" allowOverlap="1" layoutInCell="1" locked="0" behindDoc="1" simplePos="0" relativeHeight="484720128">
            <wp:simplePos x="0" y="0"/>
            <wp:positionH relativeFrom="page">
              <wp:posOffset>1422534</wp:posOffset>
            </wp:positionH>
            <wp:positionV relativeFrom="page">
              <wp:posOffset>1156096</wp:posOffset>
            </wp:positionV>
            <wp:extent cx="146392" cy="160305"/>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20" cstate="print"/>
                    <a:stretch>
                      <a:fillRect/>
                    </a:stretch>
                  </pic:blipFill>
                  <pic:spPr>
                    <a:xfrm>
                      <a:off x="0" y="0"/>
                      <a:ext cx="146392" cy="160305"/>
                    </a:xfrm>
                    <a:prstGeom prst="rect">
                      <a:avLst/>
                    </a:prstGeom>
                  </pic:spPr>
                </pic:pic>
              </a:graphicData>
            </a:graphic>
          </wp:anchor>
        </w:drawing>
      </w:r>
      <w:r>
        <w:rPr/>
        <w:drawing>
          <wp:anchor distT="0" distB="0" distL="0" distR="0" allowOverlap="1" layoutInCell="1" locked="0" behindDoc="1" simplePos="0" relativeHeight="484720640">
            <wp:simplePos x="0" y="0"/>
            <wp:positionH relativeFrom="page">
              <wp:posOffset>1845558</wp:posOffset>
            </wp:positionH>
            <wp:positionV relativeFrom="page">
              <wp:posOffset>1159096</wp:posOffset>
            </wp:positionV>
            <wp:extent cx="196143" cy="154019"/>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21" cstate="print"/>
                    <a:stretch>
                      <a:fillRect/>
                    </a:stretch>
                  </pic:blipFill>
                  <pic:spPr>
                    <a:xfrm>
                      <a:off x="0" y="0"/>
                      <a:ext cx="196143" cy="154019"/>
                    </a:xfrm>
                    <a:prstGeom prst="rect">
                      <a:avLst/>
                    </a:prstGeom>
                  </pic:spPr>
                </pic:pic>
              </a:graphicData>
            </a:graphic>
          </wp:anchor>
        </w:drawing>
      </w:r>
      <w:r>
        <w:rPr/>
        <w:drawing>
          <wp:anchor distT="0" distB="0" distL="0" distR="0" allowOverlap="1" layoutInCell="1" locked="0" behindDoc="1" simplePos="0" relativeHeight="484721152">
            <wp:simplePos x="0" y="0"/>
            <wp:positionH relativeFrom="page">
              <wp:posOffset>2097911</wp:posOffset>
            </wp:positionH>
            <wp:positionV relativeFrom="page">
              <wp:posOffset>1159096</wp:posOffset>
            </wp:positionV>
            <wp:extent cx="196143" cy="154019"/>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22" cstate="print"/>
                    <a:stretch>
                      <a:fillRect/>
                    </a:stretch>
                  </pic:blipFill>
                  <pic:spPr>
                    <a:xfrm>
                      <a:off x="0" y="0"/>
                      <a:ext cx="196143" cy="154019"/>
                    </a:xfrm>
                    <a:prstGeom prst="rect">
                      <a:avLst/>
                    </a:prstGeom>
                  </pic:spPr>
                </pic:pic>
              </a:graphicData>
            </a:graphic>
          </wp:anchor>
        </w:drawing>
      </w:r>
      <w:r>
        <w:rPr/>
        <mc:AlternateContent>
          <mc:Choice Requires="wps">
            <w:drawing>
              <wp:anchor distT="0" distB="0" distL="0" distR="0" allowOverlap="1" layoutInCell="1" locked="0" behindDoc="0" simplePos="0" relativeHeight="15736832">
                <wp:simplePos x="0" y="0"/>
                <wp:positionH relativeFrom="page">
                  <wp:posOffset>2353481</wp:posOffset>
                </wp:positionH>
                <wp:positionV relativeFrom="page">
                  <wp:posOffset>1159094</wp:posOffset>
                </wp:positionV>
                <wp:extent cx="61594" cy="15367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61594" cy="153670"/>
                        </a:xfrm>
                        <a:custGeom>
                          <a:avLst/>
                          <a:gdLst/>
                          <a:ahLst/>
                          <a:cxnLst/>
                          <a:rect l="l" t="t" r="r" b="b"/>
                          <a:pathLst>
                            <a:path w="61594" h="153670">
                              <a:moveTo>
                                <a:pt x="59372" y="0"/>
                              </a:moveTo>
                              <a:lnTo>
                                <a:pt x="30848" y="685"/>
                              </a:lnTo>
                              <a:lnTo>
                                <a:pt x="1841" y="0"/>
                              </a:lnTo>
                              <a:lnTo>
                                <a:pt x="469" y="685"/>
                              </a:lnTo>
                              <a:lnTo>
                                <a:pt x="0" y="4838"/>
                              </a:lnTo>
                              <a:lnTo>
                                <a:pt x="1397" y="5753"/>
                              </a:lnTo>
                              <a:lnTo>
                                <a:pt x="7124" y="6222"/>
                              </a:lnTo>
                              <a:lnTo>
                                <a:pt x="15052" y="7874"/>
                              </a:lnTo>
                              <a:lnTo>
                                <a:pt x="19243" y="12222"/>
                              </a:lnTo>
                              <a:lnTo>
                                <a:pt x="20887" y="20930"/>
                              </a:lnTo>
                              <a:lnTo>
                                <a:pt x="21170" y="35661"/>
                              </a:lnTo>
                              <a:lnTo>
                                <a:pt x="21170" y="117551"/>
                              </a:lnTo>
                              <a:lnTo>
                                <a:pt x="1397" y="147472"/>
                              </a:lnTo>
                              <a:lnTo>
                                <a:pt x="0" y="148843"/>
                              </a:lnTo>
                              <a:lnTo>
                                <a:pt x="469" y="152526"/>
                              </a:lnTo>
                              <a:lnTo>
                                <a:pt x="1841" y="153225"/>
                              </a:lnTo>
                              <a:lnTo>
                                <a:pt x="30848" y="152526"/>
                              </a:lnTo>
                              <a:lnTo>
                                <a:pt x="59372" y="153225"/>
                              </a:lnTo>
                              <a:lnTo>
                                <a:pt x="60731" y="152526"/>
                              </a:lnTo>
                              <a:lnTo>
                                <a:pt x="61201" y="148386"/>
                              </a:lnTo>
                              <a:lnTo>
                                <a:pt x="59829" y="147472"/>
                              </a:lnTo>
                              <a:lnTo>
                                <a:pt x="54063" y="146786"/>
                              </a:lnTo>
                              <a:lnTo>
                                <a:pt x="46152" y="144961"/>
                              </a:lnTo>
                              <a:lnTo>
                                <a:pt x="41973" y="140703"/>
                              </a:lnTo>
                              <a:lnTo>
                                <a:pt x="40337" y="132177"/>
                              </a:lnTo>
                              <a:lnTo>
                                <a:pt x="40055" y="117551"/>
                              </a:lnTo>
                              <a:lnTo>
                                <a:pt x="40055" y="35661"/>
                              </a:lnTo>
                              <a:lnTo>
                                <a:pt x="59829" y="5753"/>
                              </a:lnTo>
                              <a:lnTo>
                                <a:pt x="61201" y="4838"/>
                              </a:lnTo>
                              <a:lnTo>
                                <a:pt x="60744" y="685"/>
                              </a:lnTo>
                              <a:lnTo>
                                <a:pt x="59372" y="0"/>
                              </a:lnTo>
                              <a:close/>
                            </a:path>
                          </a:pathLst>
                        </a:custGeom>
                        <a:solidFill>
                          <a:srgbClr val="671C75"/>
                        </a:solidFill>
                      </wps:spPr>
                      <wps:bodyPr wrap="square" lIns="0" tIns="0" rIns="0" bIns="0" rtlCol="0">
                        <a:prstTxWarp prst="textNoShape">
                          <a:avLst/>
                        </a:prstTxWarp>
                        <a:noAutofit/>
                      </wps:bodyPr>
                    </wps:wsp>
                  </a:graphicData>
                </a:graphic>
              </wp:anchor>
            </w:drawing>
          </mc:Choice>
          <mc:Fallback>
            <w:pict>
              <v:shape style="position:absolute;margin-left:185.313507pt;margin-top:91.267311pt;width:4.850pt;height:12.1pt;mso-position-horizontal-relative:page;mso-position-vertical-relative:page;z-index:15736832" id="docshape15" coordorigin="3706,1825" coordsize="97,242" path="m3800,1825l3755,1826,3709,1825,3707,1826,3706,1833,3708,1834,3717,1835,3730,1838,3737,1845,3739,1858,3740,1882,3740,2010,3708,2058,3706,2060,3707,2066,3709,2067,3755,2066,3800,2067,3802,2066,3803,2059,3800,2058,3791,2057,3779,2054,3772,2047,3770,2033,3769,2010,3769,1882,3800,1834,3803,1833,3802,1826,3800,1825xe" filled="true" fillcolor="#671c75" stroked="false">
                <v:path arrowok="t"/>
                <v:fill type="solid"/>
                <w10:wrap type="none"/>
              </v:shape>
            </w:pict>
          </mc:Fallback>
        </mc:AlternateContent>
      </w:r>
      <w:r>
        <w:rPr/>
        <w:drawing>
          <wp:anchor distT="0" distB="0" distL="0" distR="0" allowOverlap="1" layoutInCell="1" locked="0" behindDoc="0" simplePos="0" relativeHeight="15737344">
            <wp:simplePos x="0" y="0"/>
            <wp:positionH relativeFrom="page">
              <wp:posOffset>2474927</wp:posOffset>
            </wp:positionH>
            <wp:positionV relativeFrom="page">
              <wp:posOffset>1156101</wp:posOffset>
            </wp:positionV>
            <wp:extent cx="91751" cy="160305"/>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23" cstate="print"/>
                    <a:stretch>
                      <a:fillRect/>
                    </a:stretch>
                  </pic:blipFill>
                  <pic:spPr>
                    <a:xfrm>
                      <a:off x="0" y="0"/>
                      <a:ext cx="91751" cy="160305"/>
                    </a:xfrm>
                    <a:prstGeom prst="rect">
                      <a:avLst/>
                    </a:prstGeom>
                  </pic:spPr>
                </pic:pic>
              </a:graphicData>
            </a:graphic>
          </wp:anchor>
        </w:drawing>
      </w:r>
      <w:r>
        <w:rPr/>
        <w:drawing>
          <wp:anchor distT="0" distB="0" distL="0" distR="0" allowOverlap="1" layoutInCell="1" locked="0" behindDoc="0" simplePos="0" relativeHeight="15737856">
            <wp:simplePos x="0" y="0"/>
            <wp:positionH relativeFrom="page">
              <wp:posOffset>2629941</wp:posOffset>
            </wp:positionH>
            <wp:positionV relativeFrom="page">
              <wp:posOffset>1156101</wp:posOffset>
            </wp:positionV>
            <wp:extent cx="91725" cy="160305"/>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24" cstate="print"/>
                    <a:stretch>
                      <a:fillRect/>
                    </a:stretch>
                  </pic:blipFill>
                  <pic:spPr>
                    <a:xfrm>
                      <a:off x="0" y="0"/>
                      <a:ext cx="91725" cy="160305"/>
                    </a:xfrm>
                    <a:prstGeom prst="rect">
                      <a:avLst/>
                    </a:prstGeom>
                  </pic:spPr>
                </pic:pic>
              </a:graphicData>
            </a:graphic>
          </wp:anchor>
        </w:drawing>
      </w:r>
      <w:r>
        <w:rPr/>
        <mc:AlternateContent>
          <mc:Choice Requires="wps">
            <w:drawing>
              <wp:anchor distT="0" distB="0" distL="0" distR="0" allowOverlap="1" layoutInCell="1" locked="0" behindDoc="0" simplePos="0" relativeHeight="15738368">
                <wp:simplePos x="0" y="0"/>
                <wp:positionH relativeFrom="page">
                  <wp:posOffset>2783809</wp:posOffset>
                </wp:positionH>
                <wp:positionV relativeFrom="page">
                  <wp:posOffset>1159094</wp:posOffset>
                </wp:positionV>
                <wp:extent cx="61594" cy="15367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61594" cy="153670"/>
                        </a:xfrm>
                        <a:custGeom>
                          <a:avLst/>
                          <a:gdLst/>
                          <a:ahLst/>
                          <a:cxnLst/>
                          <a:rect l="l" t="t" r="r" b="b"/>
                          <a:pathLst>
                            <a:path w="61594" h="153670">
                              <a:moveTo>
                                <a:pt x="59372" y="0"/>
                              </a:moveTo>
                              <a:lnTo>
                                <a:pt x="30848" y="685"/>
                              </a:lnTo>
                              <a:lnTo>
                                <a:pt x="1841" y="0"/>
                              </a:lnTo>
                              <a:lnTo>
                                <a:pt x="469" y="685"/>
                              </a:lnTo>
                              <a:lnTo>
                                <a:pt x="0" y="4838"/>
                              </a:lnTo>
                              <a:lnTo>
                                <a:pt x="1397" y="5753"/>
                              </a:lnTo>
                              <a:lnTo>
                                <a:pt x="7124" y="6222"/>
                              </a:lnTo>
                              <a:lnTo>
                                <a:pt x="15052" y="7874"/>
                              </a:lnTo>
                              <a:lnTo>
                                <a:pt x="19243" y="12222"/>
                              </a:lnTo>
                              <a:lnTo>
                                <a:pt x="20887" y="20930"/>
                              </a:lnTo>
                              <a:lnTo>
                                <a:pt x="21170" y="35661"/>
                              </a:lnTo>
                              <a:lnTo>
                                <a:pt x="21170" y="117551"/>
                              </a:lnTo>
                              <a:lnTo>
                                <a:pt x="1397" y="147472"/>
                              </a:lnTo>
                              <a:lnTo>
                                <a:pt x="0" y="148843"/>
                              </a:lnTo>
                              <a:lnTo>
                                <a:pt x="469" y="152526"/>
                              </a:lnTo>
                              <a:lnTo>
                                <a:pt x="1841" y="153225"/>
                              </a:lnTo>
                              <a:lnTo>
                                <a:pt x="30848" y="152526"/>
                              </a:lnTo>
                              <a:lnTo>
                                <a:pt x="59372" y="153225"/>
                              </a:lnTo>
                              <a:lnTo>
                                <a:pt x="60744" y="152526"/>
                              </a:lnTo>
                              <a:lnTo>
                                <a:pt x="61201" y="148386"/>
                              </a:lnTo>
                              <a:lnTo>
                                <a:pt x="59829" y="147472"/>
                              </a:lnTo>
                              <a:lnTo>
                                <a:pt x="54063" y="146786"/>
                              </a:lnTo>
                              <a:lnTo>
                                <a:pt x="46152" y="144961"/>
                              </a:lnTo>
                              <a:lnTo>
                                <a:pt x="41973" y="140703"/>
                              </a:lnTo>
                              <a:lnTo>
                                <a:pt x="40337" y="132177"/>
                              </a:lnTo>
                              <a:lnTo>
                                <a:pt x="40055" y="117551"/>
                              </a:lnTo>
                              <a:lnTo>
                                <a:pt x="40055" y="35661"/>
                              </a:lnTo>
                              <a:lnTo>
                                <a:pt x="59829" y="5753"/>
                              </a:lnTo>
                              <a:lnTo>
                                <a:pt x="61201" y="4838"/>
                              </a:lnTo>
                              <a:lnTo>
                                <a:pt x="60744" y="685"/>
                              </a:lnTo>
                              <a:lnTo>
                                <a:pt x="59372" y="0"/>
                              </a:lnTo>
                              <a:close/>
                            </a:path>
                          </a:pathLst>
                        </a:custGeom>
                        <a:solidFill>
                          <a:srgbClr val="671C75"/>
                        </a:solidFill>
                      </wps:spPr>
                      <wps:bodyPr wrap="square" lIns="0" tIns="0" rIns="0" bIns="0" rtlCol="0">
                        <a:prstTxWarp prst="textNoShape">
                          <a:avLst/>
                        </a:prstTxWarp>
                        <a:noAutofit/>
                      </wps:bodyPr>
                    </wps:wsp>
                  </a:graphicData>
                </a:graphic>
              </wp:anchor>
            </w:drawing>
          </mc:Choice>
          <mc:Fallback>
            <w:pict>
              <v:shape style="position:absolute;margin-left:219.197601pt;margin-top:91.267311pt;width:4.850pt;height:12.1pt;mso-position-horizontal-relative:page;mso-position-vertical-relative:page;z-index:15738368" id="docshape16" coordorigin="4384,1825" coordsize="97,242" path="m4477,1825l4433,1826,4387,1825,4385,1826,4384,1833,4386,1834,4395,1835,4408,1838,4414,1845,4417,1858,4417,1882,4417,2010,4386,2058,4384,2060,4385,2066,4387,2067,4433,2066,4477,2067,4480,2066,4480,2059,4478,2058,4469,2057,4457,2054,4450,2047,4447,2033,4447,2010,4447,1882,4478,1834,4480,1833,4480,1826,4477,1825xe" filled="true" fillcolor="#671c75" stroked="false">
                <v:path arrowok="t"/>
                <v:fill type="solid"/>
                <w10:wrap type="none"/>
              </v:shape>
            </w:pict>
          </mc:Fallback>
        </mc:AlternateContent>
      </w:r>
      <w:r>
        <w:rPr/>
        <w:drawing>
          <wp:anchor distT="0" distB="0" distL="0" distR="0" allowOverlap="1" layoutInCell="1" locked="0" behindDoc="0" simplePos="0" relativeHeight="15738880">
            <wp:simplePos x="0" y="0"/>
            <wp:positionH relativeFrom="page">
              <wp:posOffset>2906422</wp:posOffset>
            </wp:positionH>
            <wp:positionV relativeFrom="page">
              <wp:posOffset>1156116</wp:posOffset>
            </wp:positionV>
            <wp:extent cx="162863" cy="160305"/>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25" cstate="print"/>
                    <a:stretch>
                      <a:fillRect/>
                    </a:stretch>
                  </pic:blipFill>
                  <pic:spPr>
                    <a:xfrm>
                      <a:off x="0" y="0"/>
                      <a:ext cx="162863" cy="160305"/>
                    </a:xfrm>
                    <a:prstGeom prst="rect">
                      <a:avLst/>
                    </a:prstGeom>
                  </pic:spPr>
                </pic:pic>
              </a:graphicData>
            </a:graphic>
          </wp:anchor>
        </w:drawing>
      </w:r>
      <w:r>
        <w:rPr/>
        <w:drawing>
          <wp:anchor distT="0" distB="0" distL="0" distR="0" allowOverlap="1" layoutInCell="1" locked="0" behindDoc="0" simplePos="0" relativeHeight="15739392">
            <wp:simplePos x="0" y="0"/>
            <wp:positionH relativeFrom="page">
              <wp:posOffset>3125660</wp:posOffset>
            </wp:positionH>
            <wp:positionV relativeFrom="page">
              <wp:posOffset>1159099</wp:posOffset>
            </wp:positionV>
            <wp:extent cx="170808" cy="157162"/>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26" cstate="print"/>
                    <a:stretch>
                      <a:fillRect/>
                    </a:stretch>
                  </pic:blipFill>
                  <pic:spPr>
                    <a:xfrm>
                      <a:off x="0" y="0"/>
                      <a:ext cx="170808" cy="157162"/>
                    </a:xfrm>
                    <a:prstGeom prst="rect">
                      <a:avLst/>
                    </a:prstGeom>
                  </pic:spPr>
                </pic:pic>
              </a:graphicData>
            </a:graphic>
          </wp:anchor>
        </w:drawing>
      </w:r>
      <w:r>
        <w:rPr/>
        <mc:AlternateContent>
          <mc:Choice Requires="wps">
            <w:drawing>
              <wp:anchor distT="0" distB="0" distL="0" distR="0" allowOverlap="1" layoutInCell="1" locked="0" behindDoc="0" simplePos="0" relativeHeight="15739904">
                <wp:simplePos x="0" y="0"/>
                <wp:positionH relativeFrom="page">
                  <wp:posOffset>2401919</wp:posOffset>
                </wp:positionH>
                <wp:positionV relativeFrom="page">
                  <wp:posOffset>926973</wp:posOffset>
                </wp:positionV>
                <wp:extent cx="218440" cy="138430"/>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218440" cy="138430"/>
                          <a:chExt cx="218440" cy="138430"/>
                        </a:xfrm>
                      </wpg:grpSpPr>
                      <pic:pic>
                        <pic:nvPicPr>
                          <pic:cNvPr id="33" name="Image 33"/>
                          <pic:cNvPicPr/>
                        </pic:nvPicPr>
                        <pic:blipFill>
                          <a:blip r:embed="rId27" cstate="print"/>
                          <a:stretch>
                            <a:fillRect/>
                          </a:stretch>
                        </pic:blipFill>
                        <pic:spPr>
                          <a:xfrm>
                            <a:off x="0" y="100"/>
                            <a:ext cx="132181" cy="138024"/>
                          </a:xfrm>
                          <a:prstGeom prst="rect">
                            <a:avLst/>
                          </a:prstGeom>
                        </pic:spPr>
                      </pic:pic>
                      <wps:wsp>
                        <wps:cNvPr id="34" name="Graphic 34"/>
                        <wps:cNvSpPr/>
                        <wps:spPr>
                          <a:xfrm>
                            <a:off x="163680" y="0"/>
                            <a:ext cx="54610" cy="136525"/>
                          </a:xfrm>
                          <a:custGeom>
                            <a:avLst/>
                            <a:gdLst/>
                            <a:ahLst/>
                            <a:cxnLst/>
                            <a:rect l="l" t="t" r="r" b="b"/>
                            <a:pathLst>
                              <a:path w="54610" h="136525">
                                <a:moveTo>
                                  <a:pt x="52870" y="0"/>
                                </a:moveTo>
                                <a:lnTo>
                                  <a:pt x="27470" y="609"/>
                                </a:lnTo>
                                <a:lnTo>
                                  <a:pt x="1651" y="0"/>
                                </a:lnTo>
                                <a:lnTo>
                                  <a:pt x="419" y="609"/>
                                </a:lnTo>
                                <a:lnTo>
                                  <a:pt x="0" y="4292"/>
                                </a:lnTo>
                                <a:lnTo>
                                  <a:pt x="1231" y="5130"/>
                                </a:lnTo>
                                <a:lnTo>
                                  <a:pt x="6362" y="5524"/>
                                </a:lnTo>
                                <a:lnTo>
                                  <a:pt x="13410" y="7004"/>
                                </a:lnTo>
                                <a:lnTo>
                                  <a:pt x="17140" y="10885"/>
                                </a:lnTo>
                                <a:lnTo>
                                  <a:pt x="18605" y="18645"/>
                                </a:lnTo>
                                <a:lnTo>
                                  <a:pt x="18859" y="31762"/>
                                </a:lnTo>
                                <a:lnTo>
                                  <a:pt x="18859" y="104711"/>
                                </a:lnTo>
                                <a:lnTo>
                                  <a:pt x="1231" y="131356"/>
                                </a:lnTo>
                                <a:lnTo>
                                  <a:pt x="0" y="132587"/>
                                </a:lnTo>
                                <a:lnTo>
                                  <a:pt x="419" y="135851"/>
                                </a:lnTo>
                                <a:lnTo>
                                  <a:pt x="1651" y="136461"/>
                                </a:lnTo>
                                <a:lnTo>
                                  <a:pt x="27470" y="135851"/>
                                </a:lnTo>
                                <a:lnTo>
                                  <a:pt x="52870" y="136461"/>
                                </a:lnTo>
                                <a:lnTo>
                                  <a:pt x="54102" y="135851"/>
                                </a:lnTo>
                                <a:lnTo>
                                  <a:pt x="54521" y="132168"/>
                                </a:lnTo>
                                <a:lnTo>
                                  <a:pt x="53289" y="131356"/>
                                </a:lnTo>
                                <a:lnTo>
                                  <a:pt x="48171" y="130746"/>
                                </a:lnTo>
                                <a:lnTo>
                                  <a:pt x="41110" y="129121"/>
                                </a:lnTo>
                                <a:lnTo>
                                  <a:pt x="37377" y="125329"/>
                                </a:lnTo>
                                <a:lnTo>
                                  <a:pt x="35914" y="117737"/>
                                </a:lnTo>
                                <a:lnTo>
                                  <a:pt x="35661" y="104711"/>
                                </a:lnTo>
                                <a:lnTo>
                                  <a:pt x="35661" y="31762"/>
                                </a:lnTo>
                                <a:lnTo>
                                  <a:pt x="53289" y="5130"/>
                                </a:lnTo>
                                <a:lnTo>
                                  <a:pt x="54521" y="4292"/>
                                </a:lnTo>
                                <a:lnTo>
                                  <a:pt x="54102" y="609"/>
                                </a:lnTo>
                                <a:lnTo>
                                  <a:pt x="52870" y="0"/>
                                </a:lnTo>
                                <a:close/>
                              </a:path>
                            </a:pathLst>
                          </a:custGeom>
                          <a:solidFill>
                            <a:srgbClr val="671C75"/>
                          </a:solidFill>
                        </wps:spPr>
                        <wps:bodyPr wrap="square" lIns="0" tIns="0" rIns="0" bIns="0" rtlCol="0">
                          <a:prstTxWarp prst="textNoShape">
                            <a:avLst/>
                          </a:prstTxWarp>
                          <a:noAutofit/>
                        </wps:bodyPr>
                      </wps:wsp>
                    </wpg:wgp>
                  </a:graphicData>
                </a:graphic>
              </wp:anchor>
            </w:drawing>
          </mc:Choice>
          <mc:Fallback>
            <w:pict>
              <v:group style="position:absolute;margin-left:189.127502pt;margin-top:72.990013pt;width:17.2pt;height:10.9pt;mso-position-horizontal-relative:page;mso-position-vertical-relative:page;z-index:15739904" id="docshapegroup17" coordorigin="3783,1460" coordsize="344,218">
                <v:shape style="position:absolute;left:3782;top:1459;width:209;height:218" type="#_x0000_t75" id="docshape18" stroked="false">
                  <v:imagedata r:id="rId27" o:title=""/>
                </v:shape>
                <v:shape style="position:absolute;left:4040;top:1459;width:86;height:215" id="docshape19" coordorigin="4040,1460" coordsize="86,215" path="m4124,1460l4084,1461,4043,1460,4041,1461,4040,1467,4042,1468,4050,1469,4061,1471,4067,1477,4070,1489,4070,1510,4070,1625,4042,1667,4040,1669,4041,1674,4043,1675,4084,1674,4124,1675,4126,1674,4126,1668,4124,1667,4116,1666,4105,1663,4099,1657,4097,1645,4096,1625,4096,1510,4124,1468,4126,1467,4126,1461,4124,1460xe" filled="true" fillcolor="#671c75" stroked="false">
                  <v:path arrowok="t"/>
                  <v:fill type="solid"/>
                </v:shape>
                <w10:wrap type="none"/>
              </v:group>
            </w:pict>
          </mc:Fallback>
        </mc:AlternateContent>
      </w:r>
      <w:r>
        <w:rPr/>
        <w:drawing>
          <wp:anchor distT="0" distB="0" distL="0" distR="0" allowOverlap="1" layoutInCell="1" locked="0" behindDoc="0" simplePos="0" relativeHeight="15740416">
            <wp:simplePos x="0" y="0"/>
            <wp:positionH relativeFrom="page">
              <wp:posOffset>2668656</wp:posOffset>
            </wp:positionH>
            <wp:positionV relativeFrom="page">
              <wp:posOffset>924302</wp:posOffset>
            </wp:positionV>
            <wp:extent cx="137923" cy="142875"/>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28" cstate="print"/>
                    <a:stretch>
                      <a:fillRect/>
                    </a:stretch>
                  </pic:blipFill>
                  <pic:spPr>
                    <a:xfrm>
                      <a:off x="0" y="0"/>
                      <a:ext cx="137923" cy="142875"/>
                    </a:xfrm>
                    <a:prstGeom prst="rect">
                      <a:avLst/>
                    </a:prstGeom>
                  </pic:spPr>
                </pic:pic>
              </a:graphicData>
            </a:graphic>
          </wp:anchor>
        </w:drawing>
      </w:r>
      <w:r>
        <w:rPr/>
        <mc:AlternateContent>
          <mc:Choice Requires="wps">
            <w:drawing>
              <wp:anchor distT="0" distB="0" distL="0" distR="0" allowOverlap="1" layoutInCell="1" locked="0" behindDoc="0" simplePos="0" relativeHeight="15740928">
                <wp:simplePos x="0" y="0"/>
                <wp:positionH relativeFrom="page">
                  <wp:posOffset>2851631</wp:posOffset>
                </wp:positionH>
                <wp:positionV relativeFrom="page">
                  <wp:posOffset>920614</wp:posOffset>
                </wp:positionV>
                <wp:extent cx="443865" cy="14605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443865" cy="146050"/>
                          <a:chExt cx="443865" cy="146050"/>
                        </a:xfrm>
                      </wpg:grpSpPr>
                      <pic:pic>
                        <pic:nvPicPr>
                          <pic:cNvPr id="37" name="Image 37"/>
                          <pic:cNvPicPr/>
                        </pic:nvPicPr>
                        <pic:blipFill>
                          <a:blip r:embed="rId29" cstate="print"/>
                          <a:stretch>
                            <a:fillRect/>
                          </a:stretch>
                        </pic:blipFill>
                        <pic:spPr>
                          <a:xfrm>
                            <a:off x="0" y="6343"/>
                            <a:ext cx="149771" cy="136499"/>
                          </a:xfrm>
                          <a:prstGeom prst="rect">
                            <a:avLst/>
                          </a:prstGeom>
                        </pic:spPr>
                      </pic:pic>
                      <pic:pic>
                        <pic:nvPicPr>
                          <pic:cNvPr id="38" name="Image 38"/>
                          <pic:cNvPicPr/>
                        </pic:nvPicPr>
                        <pic:blipFill>
                          <a:blip r:embed="rId30" cstate="print"/>
                          <a:stretch>
                            <a:fillRect/>
                          </a:stretch>
                        </pic:blipFill>
                        <pic:spPr>
                          <a:xfrm>
                            <a:off x="190751" y="0"/>
                            <a:ext cx="131762" cy="142824"/>
                          </a:xfrm>
                          <a:prstGeom prst="rect">
                            <a:avLst/>
                          </a:prstGeom>
                        </pic:spPr>
                      </pic:pic>
                      <pic:pic>
                        <pic:nvPicPr>
                          <pic:cNvPr id="39" name="Image 39"/>
                          <pic:cNvPicPr/>
                        </pic:nvPicPr>
                        <pic:blipFill>
                          <a:blip r:embed="rId31" cstate="print"/>
                          <a:stretch>
                            <a:fillRect/>
                          </a:stretch>
                        </pic:blipFill>
                        <pic:spPr>
                          <a:xfrm>
                            <a:off x="362259" y="3677"/>
                            <a:ext cx="81140" cy="141820"/>
                          </a:xfrm>
                          <a:prstGeom prst="rect">
                            <a:avLst/>
                          </a:prstGeom>
                        </pic:spPr>
                      </pic:pic>
                    </wpg:wgp>
                  </a:graphicData>
                </a:graphic>
              </wp:anchor>
            </w:drawing>
          </mc:Choice>
          <mc:Fallback>
            <w:pict>
              <v:group style="position:absolute;margin-left:224.537903pt;margin-top:72.489311pt;width:34.950pt;height:11.5pt;mso-position-horizontal-relative:page;mso-position-vertical-relative:page;z-index:15740928" id="docshapegroup20" coordorigin="4491,1450" coordsize="699,230">
                <v:shape style="position:absolute;left:4490;top:1459;width:236;height:215" type="#_x0000_t75" id="docshape21" stroked="false">
                  <v:imagedata r:id="rId29" o:title=""/>
                </v:shape>
                <v:shape style="position:absolute;left:4791;top:1449;width:208;height:225" type="#_x0000_t75" id="docshape22" stroked="false">
                  <v:imagedata r:id="rId30" o:title=""/>
                </v:shape>
                <v:shape style="position:absolute;left:5061;top:1455;width:128;height:224" type="#_x0000_t75" id="docshape23" stroked="false">
                  <v:imagedata r:id="rId31" o:title=""/>
                </v:shape>
                <w10:wrap type="none"/>
              </v:group>
            </w:pict>
          </mc:Fallback>
        </mc:AlternateContent>
      </w:r>
    </w:p>
    <w:p>
      <w:pPr>
        <w:spacing w:line="240" w:lineRule="auto"/>
        <w:ind w:left="1145" w:right="0" w:firstLine="0"/>
        <w:jc w:val="left"/>
        <w:rPr>
          <w:rFonts w:ascii="Times New Roman"/>
          <w:sz w:val="20"/>
        </w:rPr>
      </w:pPr>
      <w:r>
        <w:rPr>
          <w:rFonts w:ascii="Times New Roman"/>
          <w:sz w:val="20"/>
        </w:rPr>
        <mc:AlternateContent>
          <mc:Choice Requires="wps">
            <w:drawing>
              <wp:inline distT="0" distB="0" distL="0" distR="0">
                <wp:extent cx="570230" cy="570230"/>
                <wp:effectExtent l="0" t="0" r="0" b="0"/>
                <wp:docPr id="40" name="Group 40"/>
                <wp:cNvGraphicFramePr>
                  <a:graphicFrameLocks/>
                </wp:cNvGraphicFramePr>
                <a:graphic>
                  <a:graphicData uri="http://schemas.microsoft.com/office/word/2010/wordprocessingGroup">
                    <wpg:wgp>
                      <wpg:cNvPr id="40" name="Group 40"/>
                      <wpg:cNvGrpSpPr/>
                      <wpg:grpSpPr>
                        <a:xfrm>
                          <a:off x="0" y="0"/>
                          <a:ext cx="570230" cy="570230"/>
                          <a:chExt cx="570230" cy="570230"/>
                        </a:xfrm>
                      </wpg:grpSpPr>
                      <wps:wsp>
                        <wps:cNvPr id="41" name="Graphic 41"/>
                        <wps:cNvSpPr/>
                        <wps:spPr>
                          <a:xfrm>
                            <a:off x="0" y="0"/>
                            <a:ext cx="570230" cy="570230"/>
                          </a:xfrm>
                          <a:custGeom>
                            <a:avLst/>
                            <a:gdLst/>
                            <a:ahLst/>
                            <a:cxnLst/>
                            <a:rect l="l" t="t" r="r" b="b"/>
                            <a:pathLst>
                              <a:path w="570230" h="570230">
                                <a:moveTo>
                                  <a:pt x="569963" y="0"/>
                                </a:moveTo>
                                <a:lnTo>
                                  <a:pt x="0" y="0"/>
                                </a:lnTo>
                                <a:lnTo>
                                  <a:pt x="0" y="569963"/>
                                </a:lnTo>
                                <a:lnTo>
                                  <a:pt x="569963" y="569963"/>
                                </a:lnTo>
                                <a:lnTo>
                                  <a:pt x="569963" y="424052"/>
                                </a:lnTo>
                                <a:lnTo>
                                  <a:pt x="283298" y="424052"/>
                                </a:lnTo>
                                <a:lnTo>
                                  <a:pt x="281965" y="423049"/>
                                </a:lnTo>
                                <a:lnTo>
                                  <a:pt x="257648" y="406815"/>
                                </a:lnTo>
                                <a:lnTo>
                                  <a:pt x="231730" y="395049"/>
                                </a:lnTo>
                                <a:lnTo>
                                  <a:pt x="228431" y="394169"/>
                                </a:lnTo>
                                <a:lnTo>
                                  <a:pt x="128270" y="394169"/>
                                </a:lnTo>
                                <a:lnTo>
                                  <a:pt x="125107" y="391921"/>
                                </a:lnTo>
                                <a:lnTo>
                                  <a:pt x="125107" y="155879"/>
                                </a:lnTo>
                                <a:lnTo>
                                  <a:pt x="125374" y="155270"/>
                                </a:lnTo>
                                <a:lnTo>
                                  <a:pt x="164466" y="146477"/>
                                </a:lnTo>
                                <a:lnTo>
                                  <a:pt x="177215" y="145922"/>
                                </a:lnTo>
                                <a:lnTo>
                                  <a:pt x="569963" y="145922"/>
                                </a:lnTo>
                                <a:lnTo>
                                  <a:pt x="569963" y="0"/>
                                </a:lnTo>
                                <a:close/>
                              </a:path>
                              <a:path w="570230" h="570230">
                                <a:moveTo>
                                  <a:pt x="392214" y="385470"/>
                                </a:moveTo>
                                <a:lnTo>
                                  <a:pt x="338216" y="395049"/>
                                </a:lnTo>
                                <a:lnTo>
                                  <a:pt x="287972" y="423049"/>
                                </a:lnTo>
                                <a:lnTo>
                                  <a:pt x="286639" y="424052"/>
                                </a:lnTo>
                                <a:lnTo>
                                  <a:pt x="569963" y="424052"/>
                                </a:lnTo>
                                <a:lnTo>
                                  <a:pt x="569963" y="394169"/>
                                </a:lnTo>
                                <a:lnTo>
                                  <a:pt x="441667" y="394169"/>
                                </a:lnTo>
                                <a:lnTo>
                                  <a:pt x="437908" y="392836"/>
                                </a:lnTo>
                                <a:lnTo>
                                  <a:pt x="426916" y="389611"/>
                                </a:lnTo>
                                <a:lnTo>
                                  <a:pt x="415609" y="387310"/>
                                </a:lnTo>
                                <a:lnTo>
                                  <a:pt x="404027" y="385930"/>
                                </a:lnTo>
                                <a:lnTo>
                                  <a:pt x="392214" y="385470"/>
                                </a:lnTo>
                                <a:close/>
                              </a:path>
                              <a:path w="570230" h="570230">
                                <a:moveTo>
                                  <a:pt x="177723" y="385470"/>
                                </a:moveTo>
                                <a:lnTo>
                                  <a:pt x="132054" y="392836"/>
                                </a:lnTo>
                                <a:lnTo>
                                  <a:pt x="128270" y="394169"/>
                                </a:lnTo>
                                <a:lnTo>
                                  <a:pt x="228431" y="394169"/>
                                </a:lnTo>
                                <a:lnTo>
                                  <a:pt x="204870" y="387888"/>
                                </a:lnTo>
                                <a:lnTo>
                                  <a:pt x="177723" y="385470"/>
                                </a:lnTo>
                                <a:close/>
                              </a:path>
                              <a:path w="570230" h="570230">
                                <a:moveTo>
                                  <a:pt x="569963" y="145922"/>
                                </a:moveTo>
                                <a:lnTo>
                                  <a:pt x="392722" y="145922"/>
                                </a:lnTo>
                                <a:lnTo>
                                  <a:pt x="405473" y="146477"/>
                                </a:lnTo>
                                <a:lnTo>
                                  <a:pt x="418087" y="148112"/>
                                </a:lnTo>
                                <a:lnTo>
                                  <a:pt x="444830" y="155879"/>
                                </a:lnTo>
                                <a:lnTo>
                                  <a:pt x="444830" y="391921"/>
                                </a:lnTo>
                                <a:lnTo>
                                  <a:pt x="441667" y="394169"/>
                                </a:lnTo>
                                <a:lnTo>
                                  <a:pt x="569963" y="394169"/>
                                </a:lnTo>
                                <a:lnTo>
                                  <a:pt x="569963" y="145922"/>
                                </a:lnTo>
                                <a:close/>
                              </a:path>
                              <a:path w="570230" h="570230">
                                <a:moveTo>
                                  <a:pt x="392722" y="145922"/>
                                </a:moveTo>
                                <a:lnTo>
                                  <a:pt x="177215" y="145922"/>
                                </a:lnTo>
                                <a:lnTo>
                                  <a:pt x="205400" y="148747"/>
                                </a:lnTo>
                                <a:lnTo>
                                  <a:pt x="233160" y="156764"/>
                                </a:lnTo>
                                <a:lnTo>
                                  <a:pt x="259885" y="169288"/>
                                </a:lnTo>
                                <a:lnTo>
                                  <a:pt x="284962" y="185635"/>
                                </a:lnTo>
                                <a:lnTo>
                                  <a:pt x="310047" y="169288"/>
                                </a:lnTo>
                                <a:lnTo>
                                  <a:pt x="336775" y="156764"/>
                                </a:lnTo>
                                <a:lnTo>
                                  <a:pt x="364536" y="148747"/>
                                </a:lnTo>
                                <a:lnTo>
                                  <a:pt x="392722" y="145922"/>
                                </a:lnTo>
                                <a:close/>
                              </a:path>
                            </a:pathLst>
                          </a:custGeom>
                          <a:solidFill>
                            <a:srgbClr val="671C75"/>
                          </a:solidFill>
                        </wps:spPr>
                        <wps:bodyPr wrap="square" lIns="0" tIns="0" rIns="0" bIns="0" rtlCol="0">
                          <a:prstTxWarp prst="textNoShape">
                            <a:avLst/>
                          </a:prstTxWarp>
                          <a:noAutofit/>
                        </wps:bodyPr>
                      </wps:wsp>
                    </wpg:wgp>
                  </a:graphicData>
                </a:graphic>
              </wp:inline>
            </w:drawing>
          </mc:Choice>
          <mc:Fallback>
            <w:pict>
              <v:group style="width:44.9pt;height:44.9pt;mso-position-horizontal-relative:char;mso-position-vertical-relative:line" id="docshapegroup24" coordorigin="0,0" coordsize="898,898">
                <v:shape style="position:absolute;left:0;top:0;width:898;height:898" id="docshape25" coordorigin="0,0" coordsize="898,898" path="m898,0l0,0,0,898,898,898,898,668,446,668,444,666,406,641,365,622,360,621,202,621,197,617,197,245,197,245,201,243,220,237,239,233,259,231,279,230,898,230,898,0xm618,607l575,611,533,622,492,641,454,666,451,668,898,668,898,621,696,621,690,619,672,614,655,610,636,608,618,607xm280,607l261,608,243,610,225,614,208,619,202,621,360,621,323,611,280,607xm898,230l618,230,639,231,658,233,678,237,697,243,699,244,700,245,701,245,701,617,696,621,898,621,898,230xm618,230l279,230,323,234,367,247,409,267,449,292,488,267,530,247,574,234,618,230xe" filled="true" fillcolor="#671c75" stroked="false">
                  <v:path arrowok="t"/>
                  <v:fill type="solid"/>
                </v:shape>
              </v:group>
            </w:pict>
          </mc:Fallback>
        </mc:AlternateContent>
      </w:r>
      <w:r>
        <w:rPr>
          <w:rFonts w:ascii="Times New Roman"/>
          <w:sz w:val="20"/>
        </w:rPr>
      </w:r>
      <w:r>
        <w:rPr>
          <w:rFonts w:ascii="Times New Roman"/>
          <w:spacing w:val="134"/>
          <w:sz w:val="20"/>
        </w:rPr>
        <w:t> </w:t>
      </w:r>
      <w:r>
        <w:rPr>
          <w:rFonts w:ascii="Times New Roman"/>
          <w:spacing w:val="134"/>
          <w:position w:val="39"/>
          <w:sz w:val="20"/>
        </w:rPr>
        <mc:AlternateContent>
          <mc:Choice Requires="wps">
            <w:drawing>
              <wp:inline distT="0" distB="0" distL="0" distR="0">
                <wp:extent cx="895350" cy="142240"/>
                <wp:effectExtent l="0" t="0" r="0" b="635"/>
                <wp:docPr id="42" name="Group 42"/>
                <wp:cNvGraphicFramePr>
                  <a:graphicFrameLocks/>
                </wp:cNvGraphicFramePr>
                <a:graphic>
                  <a:graphicData uri="http://schemas.microsoft.com/office/word/2010/wordprocessingGroup">
                    <wpg:wgp>
                      <wpg:cNvPr id="42" name="Group 42"/>
                      <wpg:cNvGrpSpPr/>
                      <wpg:grpSpPr>
                        <a:xfrm>
                          <a:off x="0" y="0"/>
                          <a:ext cx="895350" cy="142240"/>
                          <a:chExt cx="895350" cy="142240"/>
                        </a:xfrm>
                      </wpg:grpSpPr>
                      <pic:pic>
                        <pic:nvPicPr>
                          <pic:cNvPr id="43" name="Image 43"/>
                          <pic:cNvPicPr/>
                        </pic:nvPicPr>
                        <pic:blipFill>
                          <a:blip r:embed="rId32" cstate="print"/>
                          <a:stretch>
                            <a:fillRect/>
                          </a:stretch>
                        </pic:blipFill>
                        <pic:spPr>
                          <a:xfrm>
                            <a:off x="0" y="2691"/>
                            <a:ext cx="150139" cy="136791"/>
                          </a:xfrm>
                          <a:prstGeom prst="rect">
                            <a:avLst/>
                          </a:prstGeom>
                        </pic:spPr>
                      </pic:pic>
                      <pic:pic>
                        <pic:nvPicPr>
                          <pic:cNvPr id="44" name="Image 44"/>
                          <pic:cNvPicPr/>
                        </pic:nvPicPr>
                        <pic:blipFill>
                          <a:blip r:embed="rId33" cstate="print"/>
                          <a:stretch>
                            <a:fillRect/>
                          </a:stretch>
                        </pic:blipFill>
                        <pic:spPr>
                          <a:xfrm>
                            <a:off x="192119" y="2682"/>
                            <a:ext cx="146050" cy="139471"/>
                          </a:xfrm>
                          <a:prstGeom prst="rect">
                            <a:avLst/>
                          </a:prstGeom>
                        </pic:spPr>
                      </pic:pic>
                      <pic:pic>
                        <pic:nvPicPr>
                          <pic:cNvPr id="45" name="Image 45"/>
                          <pic:cNvPicPr/>
                        </pic:nvPicPr>
                        <pic:blipFill>
                          <a:blip r:embed="rId34" cstate="print"/>
                          <a:stretch>
                            <a:fillRect/>
                          </a:stretch>
                        </pic:blipFill>
                        <pic:spPr>
                          <a:xfrm>
                            <a:off x="372129" y="2691"/>
                            <a:ext cx="176022" cy="138214"/>
                          </a:xfrm>
                          <a:prstGeom prst="rect">
                            <a:avLst/>
                          </a:prstGeom>
                        </pic:spPr>
                      </pic:pic>
                      <pic:pic>
                        <pic:nvPicPr>
                          <pic:cNvPr id="46" name="Image 46"/>
                          <pic:cNvPicPr/>
                        </pic:nvPicPr>
                        <pic:blipFill>
                          <a:blip r:embed="rId35" cstate="print"/>
                          <a:stretch>
                            <a:fillRect/>
                          </a:stretch>
                        </pic:blipFill>
                        <pic:spPr>
                          <a:xfrm>
                            <a:off x="577392" y="0"/>
                            <a:ext cx="138226" cy="139471"/>
                          </a:xfrm>
                          <a:prstGeom prst="rect">
                            <a:avLst/>
                          </a:prstGeom>
                        </pic:spPr>
                      </pic:pic>
                      <pic:pic>
                        <pic:nvPicPr>
                          <pic:cNvPr id="47" name="Image 47"/>
                          <pic:cNvPicPr/>
                        </pic:nvPicPr>
                        <pic:blipFill>
                          <a:blip r:embed="rId36" cstate="print"/>
                          <a:stretch>
                            <a:fillRect/>
                          </a:stretch>
                        </pic:blipFill>
                        <pic:spPr>
                          <a:xfrm>
                            <a:off x="743197" y="2673"/>
                            <a:ext cx="151587" cy="139484"/>
                          </a:xfrm>
                          <a:prstGeom prst="rect">
                            <a:avLst/>
                          </a:prstGeom>
                        </pic:spPr>
                      </pic:pic>
                    </wpg:wgp>
                  </a:graphicData>
                </a:graphic>
              </wp:inline>
            </w:drawing>
          </mc:Choice>
          <mc:Fallback>
            <w:pict>
              <v:group style="width:70.5pt;height:11.2pt;mso-position-horizontal-relative:char;mso-position-vertical-relative:line" id="docshapegroup26" coordorigin="0,0" coordsize="1410,224">
                <v:shape style="position:absolute;left:0;top:4;width:237;height:216" type="#_x0000_t75" id="docshape27" stroked="false">
                  <v:imagedata r:id="rId32" o:title=""/>
                </v:shape>
                <v:shape style="position:absolute;left:302;top:4;width:230;height:220" type="#_x0000_t75" id="docshape28" stroked="false">
                  <v:imagedata r:id="rId33" o:title=""/>
                </v:shape>
                <v:shape style="position:absolute;left:586;top:4;width:278;height:218" type="#_x0000_t75" id="docshape29" stroked="false">
                  <v:imagedata r:id="rId34" o:title=""/>
                </v:shape>
                <v:shape style="position:absolute;left:909;top:0;width:218;height:220" type="#_x0000_t75" id="docshape30" stroked="false">
                  <v:imagedata r:id="rId35" o:title=""/>
                </v:shape>
                <v:shape style="position:absolute;left:1170;top:4;width:239;height:220" type="#_x0000_t75" id="docshape31" stroked="false">
                  <v:imagedata r:id="rId36" o:title=""/>
                </v:shape>
              </v:group>
            </w:pict>
          </mc:Fallback>
        </mc:AlternateContent>
      </w:r>
      <w:r>
        <w:rPr>
          <w:rFonts w:ascii="Times New Roman"/>
          <w:spacing w:val="134"/>
          <w:position w:val="39"/>
          <w:sz w:val="20"/>
        </w:rPr>
      </w:r>
    </w:p>
    <w:p>
      <w:pPr>
        <w:pStyle w:val="BodyText"/>
        <w:rPr>
          <w:rFonts w:ascii="Times New Roman"/>
          <w:sz w:val="80"/>
        </w:rPr>
      </w:pPr>
    </w:p>
    <w:p>
      <w:pPr>
        <w:pStyle w:val="BodyText"/>
        <w:rPr>
          <w:rFonts w:ascii="Times New Roman"/>
          <w:sz w:val="80"/>
        </w:rPr>
      </w:pPr>
    </w:p>
    <w:p>
      <w:pPr>
        <w:pStyle w:val="BodyText"/>
        <w:rPr>
          <w:rFonts w:ascii="Times New Roman"/>
          <w:sz w:val="80"/>
        </w:rPr>
      </w:pPr>
    </w:p>
    <w:p>
      <w:pPr>
        <w:pStyle w:val="BodyText"/>
        <w:rPr>
          <w:rFonts w:ascii="Times New Roman"/>
          <w:sz w:val="80"/>
        </w:rPr>
      </w:pPr>
    </w:p>
    <w:p>
      <w:pPr>
        <w:pStyle w:val="BodyText"/>
        <w:rPr>
          <w:rFonts w:ascii="Times New Roman"/>
          <w:sz w:val="80"/>
        </w:rPr>
      </w:pPr>
    </w:p>
    <w:p>
      <w:pPr>
        <w:pStyle w:val="BodyText"/>
        <w:rPr>
          <w:rFonts w:ascii="Times New Roman"/>
          <w:sz w:val="80"/>
        </w:rPr>
      </w:pPr>
    </w:p>
    <w:p>
      <w:pPr>
        <w:pStyle w:val="BodyText"/>
        <w:rPr>
          <w:rFonts w:ascii="Times New Roman"/>
          <w:sz w:val="80"/>
        </w:rPr>
      </w:pPr>
    </w:p>
    <w:p>
      <w:pPr>
        <w:pStyle w:val="BodyText"/>
        <w:rPr>
          <w:rFonts w:ascii="Times New Roman"/>
          <w:sz w:val="80"/>
        </w:rPr>
      </w:pPr>
    </w:p>
    <w:p>
      <w:pPr>
        <w:pStyle w:val="BodyText"/>
        <w:rPr>
          <w:rFonts w:ascii="Times New Roman"/>
          <w:sz w:val="80"/>
        </w:rPr>
      </w:pPr>
    </w:p>
    <w:p>
      <w:pPr>
        <w:pStyle w:val="BodyText"/>
        <w:rPr>
          <w:rFonts w:ascii="Times New Roman"/>
          <w:sz w:val="80"/>
        </w:rPr>
      </w:pPr>
    </w:p>
    <w:p>
      <w:pPr>
        <w:pStyle w:val="BodyText"/>
        <w:spacing w:before="563"/>
        <w:rPr>
          <w:rFonts w:ascii="Times New Roman"/>
          <w:sz w:val="80"/>
        </w:rPr>
      </w:pPr>
    </w:p>
    <w:p>
      <w:pPr>
        <w:pStyle w:val="Title"/>
        <w:spacing w:line="163" w:lineRule="auto"/>
      </w:pPr>
      <w:r>
        <w:rPr>
          <w:color w:val="FFFFFF"/>
          <w:spacing w:val="-2"/>
          <w:w w:val="105"/>
        </w:rPr>
        <w:t>ANNUAL REPORT</w:t>
      </w:r>
    </w:p>
    <w:p>
      <w:pPr>
        <w:spacing w:line="295" w:lineRule="auto" w:before="197"/>
        <w:ind w:left="4443" w:right="2478" w:firstLine="0"/>
        <w:jc w:val="left"/>
        <w:rPr>
          <w:rFonts w:ascii="Trebuchet MS"/>
          <w:b/>
          <w:sz w:val="28"/>
        </w:rPr>
      </w:pPr>
      <w:r>
        <w:rPr>
          <w:rFonts w:ascii="Trebuchet MS"/>
          <w:b/>
          <w:color w:val="FFFFFF"/>
          <w:w w:val="110"/>
          <w:sz w:val="28"/>
        </w:rPr>
        <w:t>on</w:t>
      </w:r>
      <w:r>
        <w:rPr>
          <w:rFonts w:ascii="Trebuchet MS"/>
          <w:b/>
          <w:color w:val="FFFFFF"/>
          <w:spacing w:val="-24"/>
          <w:w w:val="110"/>
          <w:sz w:val="28"/>
        </w:rPr>
        <w:t> </w:t>
      </w:r>
      <w:r>
        <w:rPr>
          <w:rFonts w:ascii="Trebuchet MS"/>
          <w:b/>
          <w:color w:val="FFFFFF"/>
          <w:w w:val="110"/>
          <w:sz w:val="28"/>
        </w:rPr>
        <w:t>the</w:t>
      </w:r>
      <w:r>
        <w:rPr>
          <w:rFonts w:ascii="Trebuchet MS"/>
          <w:b/>
          <w:color w:val="FFFFFF"/>
          <w:spacing w:val="-23"/>
          <w:w w:val="110"/>
          <w:sz w:val="28"/>
        </w:rPr>
        <w:t> </w:t>
      </w:r>
      <w:r>
        <w:rPr>
          <w:rFonts w:ascii="Trebuchet MS"/>
          <w:b/>
          <w:color w:val="FFFFFF"/>
          <w:w w:val="110"/>
          <w:sz w:val="28"/>
        </w:rPr>
        <w:t>Implementation</w:t>
      </w:r>
      <w:r>
        <w:rPr>
          <w:rFonts w:ascii="Trebuchet MS"/>
          <w:b/>
          <w:color w:val="FFFFFF"/>
          <w:spacing w:val="-23"/>
          <w:w w:val="110"/>
          <w:sz w:val="28"/>
        </w:rPr>
        <w:t> </w:t>
      </w:r>
      <w:r>
        <w:rPr>
          <w:rFonts w:ascii="Trebuchet MS"/>
          <w:b/>
          <w:color w:val="FFFFFF"/>
          <w:w w:val="110"/>
          <w:sz w:val="28"/>
        </w:rPr>
        <w:t>of</w:t>
      </w:r>
      <w:r>
        <w:rPr>
          <w:rFonts w:ascii="Trebuchet MS"/>
          <w:b/>
          <w:color w:val="FFFFFF"/>
          <w:spacing w:val="-23"/>
          <w:w w:val="110"/>
          <w:sz w:val="28"/>
        </w:rPr>
        <w:t> </w:t>
      </w:r>
      <w:r>
        <w:rPr>
          <w:rFonts w:ascii="Trebuchet MS"/>
          <w:b/>
          <w:color w:val="FFFFFF"/>
          <w:w w:val="110"/>
          <w:sz w:val="28"/>
        </w:rPr>
        <w:t>Article</w:t>
      </w:r>
      <w:r>
        <w:rPr>
          <w:rFonts w:ascii="Trebuchet MS"/>
          <w:b/>
          <w:color w:val="FFFFFF"/>
          <w:spacing w:val="-23"/>
          <w:w w:val="110"/>
          <w:sz w:val="28"/>
        </w:rPr>
        <w:t> </w:t>
      </w:r>
      <w:r>
        <w:rPr>
          <w:rFonts w:ascii="Trebuchet MS"/>
          <w:b/>
          <w:color w:val="FFFFFF"/>
          <w:w w:val="110"/>
          <w:sz w:val="28"/>
        </w:rPr>
        <w:t>2 of the Windsor Framework</w:t>
      </w:r>
    </w:p>
    <w:p>
      <w:pPr>
        <w:spacing w:before="17"/>
        <w:ind w:left="4443" w:right="0" w:firstLine="0"/>
        <w:jc w:val="left"/>
        <w:rPr>
          <w:rFonts w:ascii="Tahoma" w:hAnsi="Tahoma"/>
          <w:b/>
          <w:sz w:val="59"/>
        </w:rPr>
      </w:pPr>
      <w:r>
        <w:rPr>
          <w:rFonts w:ascii="Tahoma" w:hAnsi="Tahoma"/>
          <w:b/>
          <w:color w:val="FFFFFF"/>
          <w:spacing w:val="-2"/>
          <w:sz w:val="59"/>
        </w:rPr>
        <w:t>2023–2024</w:t>
      </w:r>
    </w:p>
    <w:p>
      <w:pPr>
        <w:spacing w:after="0"/>
        <w:jc w:val="left"/>
        <w:rPr>
          <w:rFonts w:ascii="Tahoma" w:hAnsi="Tahoma"/>
          <w:sz w:val="59"/>
        </w:rPr>
        <w:sectPr>
          <w:footerReference w:type="even" r:id="rId5"/>
          <w:type w:val="continuous"/>
          <w:pgSz w:w="11910" w:h="16840"/>
          <w:pgMar w:header="0" w:footer="0" w:top="980" w:bottom="280" w:left="0" w:right="0"/>
          <w:pgNumType w:start="2"/>
        </w:sectPr>
      </w:pPr>
    </w:p>
    <w:p>
      <w:pPr>
        <w:pStyle w:val="BodyText"/>
        <w:spacing w:before="6"/>
        <w:rPr>
          <w:rFonts w:ascii="Tahoma"/>
          <w:b/>
          <w:sz w:val="16"/>
        </w:rPr>
      </w:pPr>
    </w:p>
    <w:p>
      <w:pPr>
        <w:spacing w:after="0"/>
        <w:rPr>
          <w:rFonts w:ascii="Tahoma"/>
          <w:sz w:val="16"/>
        </w:rPr>
        <w:sectPr>
          <w:pgSz w:w="11910" w:h="16840"/>
          <w:pgMar w:header="0" w:footer="0" w:top="1920" w:bottom="280" w:left="0" w:right="0"/>
        </w:sectPr>
      </w:pPr>
    </w:p>
    <w:p>
      <w:pPr>
        <w:pStyle w:val="BodyText"/>
        <w:rPr>
          <w:rFonts w:ascii="Tahoma"/>
          <w:b/>
          <w:sz w:val="20"/>
        </w:rPr>
      </w:pPr>
      <w:r>
        <w:rPr/>
        <mc:AlternateContent>
          <mc:Choice Requires="wps">
            <w:drawing>
              <wp:anchor distT="0" distB="0" distL="0" distR="0" allowOverlap="1" layoutInCell="1" locked="0" behindDoc="0" simplePos="0" relativeHeight="15742976">
                <wp:simplePos x="0" y="0"/>
                <wp:positionH relativeFrom="page">
                  <wp:posOffset>4839665</wp:posOffset>
                </wp:positionH>
                <wp:positionV relativeFrom="page">
                  <wp:posOffset>1711972</wp:posOffset>
                </wp:positionV>
                <wp:extent cx="1998980" cy="784860"/>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1998980" cy="784860"/>
                          <a:chExt cx="1998980" cy="784860"/>
                        </a:xfrm>
                      </wpg:grpSpPr>
                      <wps:wsp>
                        <wps:cNvPr id="49" name="Graphic 49"/>
                        <wps:cNvSpPr/>
                        <wps:spPr>
                          <a:xfrm>
                            <a:off x="507" y="607974"/>
                            <a:ext cx="1998345" cy="177165"/>
                          </a:xfrm>
                          <a:custGeom>
                            <a:avLst/>
                            <a:gdLst/>
                            <a:ahLst/>
                            <a:cxnLst/>
                            <a:rect l="l" t="t" r="r" b="b"/>
                            <a:pathLst>
                              <a:path w="1998345" h="177165">
                                <a:moveTo>
                                  <a:pt x="1998179" y="0"/>
                                </a:moveTo>
                                <a:lnTo>
                                  <a:pt x="0" y="0"/>
                                </a:lnTo>
                                <a:lnTo>
                                  <a:pt x="0" y="176555"/>
                                </a:lnTo>
                                <a:lnTo>
                                  <a:pt x="1998179" y="176555"/>
                                </a:lnTo>
                                <a:lnTo>
                                  <a:pt x="1998179" y="0"/>
                                </a:lnTo>
                                <a:close/>
                              </a:path>
                            </a:pathLst>
                          </a:custGeom>
                          <a:solidFill>
                            <a:srgbClr val="4E9A55"/>
                          </a:solidFill>
                        </wps:spPr>
                        <wps:bodyPr wrap="square" lIns="0" tIns="0" rIns="0" bIns="0" rtlCol="0">
                          <a:prstTxWarp prst="textNoShape">
                            <a:avLst/>
                          </a:prstTxWarp>
                          <a:noAutofit/>
                        </wps:bodyPr>
                      </wps:wsp>
                      <wps:wsp>
                        <wps:cNvPr id="50" name="Graphic 50"/>
                        <wps:cNvSpPr/>
                        <wps:spPr>
                          <a:xfrm>
                            <a:off x="0" y="0"/>
                            <a:ext cx="1998980" cy="593090"/>
                          </a:xfrm>
                          <a:custGeom>
                            <a:avLst/>
                            <a:gdLst/>
                            <a:ahLst/>
                            <a:cxnLst/>
                            <a:rect l="l" t="t" r="r" b="b"/>
                            <a:pathLst>
                              <a:path w="1998980" h="593090">
                                <a:moveTo>
                                  <a:pt x="1998713" y="0"/>
                                </a:moveTo>
                                <a:lnTo>
                                  <a:pt x="0" y="0"/>
                                </a:lnTo>
                                <a:lnTo>
                                  <a:pt x="0" y="592810"/>
                                </a:lnTo>
                                <a:lnTo>
                                  <a:pt x="1998713" y="592810"/>
                                </a:lnTo>
                                <a:lnTo>
                                  <a:pt x="1998713" y="0"/>
                                </a:lnTo>
                                <a:close/>
                              </a:path>
                            </a:pathLst>
                          </a:custGeom>
                          <a:solidFill>
                            <a:srgbClr val="393C80"/>
                          </a:solidFill>
                        </wps:spPr>
                        <wps:bodyPr wrap="square" lIns="0" tIns="0" rIns="0" bIns="0" rtlCol="0">
                          <a:prstTxWarp prst="textNoShape">
                            <a:avLst/>
                          </a:prstTxWarp>
                          <a:noAutofit/>
                        </wps:bodyPr>
                      </wps:wsp>
                      <pic:pic>
                        <pic:nvPicPr>
                          <pic:cNvPr id="51" name="Image 51"/>
                          <pic:cNvPicPr/>
                        </pic:nvPicPr>
                        <pic:blipFill>
                          <a:blip r:embed="rId8" cstate="print"/>
                          <a:stretch>
                            <a:fillRect/>
                          </a:stretch>
                        </pic:blipFill>
                        <pic:spPr>
                          <a:xfrm>
                            <a:off x="802106" y="661468"/>
                            <a:ext cx="174538" cy="66713"/>
                          </a:xfrm>
                          <a:prstGeom prst="rect">
                            <a:avLst/>
                          </a:prstGeom>
                        </pic:spPr>
                      </pic:pic>
                      <pic:pic>
                        <pic:nvPicPr>
                          <pic:cNvPr id="52" name="Image 52"/>
                          <pic:cNvPicPr/>
                        </pic:nvPicPr>
                        <pic:blipFill>
                          <a:blip r:embed="rId9" cstate="print"/>
                          <a:stretch>
                            <a:fillRect/>
                          </a:stretch>
                        </pic:blipFill>
                        <pic:spPr>
                          <a:xfrm>
                            <a:off x="1009914" y="661468"/>
                            <a:ext cx="482201" cy="66713"/>
                          </a:xfrm>
                          <a:prstGeom prst="rect">
                            <a:avLst/>
                          </a:prstGeom>
                        </pic:spPr>
                      </pic:pic>
                      <pic:pic>
                        <pic:nvPicPr>
                          <pic:cNvPr id="53" name="Image 53"/>
                          <pic:cNvPicPr/>
                        </pic:nvPicPr>
                        <pic:blipFill>
                          <a:blip r:embed="rId10" cstate="print"/>
                          <a:stretch>
                            <a:fillRect/>
                          </a:stretch>
                        </pic:blipFill>
                        <pic:spPr>
                          <a:xfrm>
                            <a:off x="1530096" y="662978"/>
                            <a:ext cx="373321" cy="63682"/>
                          </a:xfrm>
                          <a:prstGeom prst="rect">
                            <a:avLst/>
                          </a:prstGeom>
                        </pic:spPr>
                      </pic:pic>
                      <pic:pic>
                        <pic:nvPicPr>
                          <pic:cNvPr id="54" name="Image 54"/>
                          <pic:cNvPicPr/>
                        </pic:nvPicPr>
                        <pic:blipFill>
                          <a:blip r:embed="rId37" cstate="print"/>
                          <a:stretch>
                            <a:fillRect/>
                          </a:stretch>
                        </pic:blipFill>
                        <pic:spPr>
                          <a:xfrm>
                            <a:off x="320696" y="373882"/>
                            <a:ext cx="1584049" cy="154388"/>
                          </a:xfrm>
                          <a:prstGeom prst="rect">
                            <a:avLst/>
                          </a:prstGeom>
                        </pic:spPr>
                      </pic:pic>
                    </wpg:wgp>
                  </a:graphicData>
                </a:graphic>
              </wp:anchor>
            </w:drawing>
          </mc:Choice>
          <mc:Fallback>
            <w:pict>
              <v:group style="position:absolute;margin-left:381.075989pt;margin-top:134.80101pt;width:157.4pt;height:61.8pt;mso-position-horizontal-relative:page;mso-position-vertical-relative:page;z-index:15742976" id="docshapegroup32" coordorigin="7622,2696" coordsize="3148,1236">
                <v:rect style="position:absolute;left:7622;top:3653;width:3147;height:279" id="docshape33" filled="true" fillcolor="#4e9a55" stroked="false">
                  <v:fill type="solid"/>
                </v:rect>
                <v:rect style="position:absolute;left:7621;top:2696;width:3148;height:934" id="docshape34" filled="true" fillcolor="#393c80" stroked="false">
                  <v:fill type="solid"/>
                </v:rect>
                <v:shape style="position:absolute;left:8884;top:3737;width:275;height:106" type="#_x0000_t75" id="docshape35" stroked="false">
                  <v:imagedata r:id="rId8" o:title=""/>
                </v:shape>
                <v:shape style="position:absolute;left:9211;top:3737;width:760;height:106" type="#_x0000_t75" id="docshape36" stroked="false">
                  <v:imagedata r:id="rId9" o:title=""/>
                </v:shape>
                <v:shape style="position:absolute;left:10031;top:3740;width:588;height:101" type="#_x0000_t75" id="docshape37" stroked="false">
                  <v:imagedata r:id="rId10" o:title=""/>
                </v:shape>
                <v:shape style="position:absolute;left:8126;top:3284;width:2495;height:244" type="#_x0000_t75" id="docshape38" stroked="false">
                  <v:imagedata r:id="rId37" o:title=""/>
                </v:shape>
                <w10:wrap type="none"/>
              </v:group>
            </w:pict>
          </mc:Fallback>
        </mc:AlternateContent>
      </w:r>
      <w:r>
        <w:rPr/>
        <w:drawing>
          <wp:anchor distT="0" distB="0" distL="0" distR="0" allowOverlap="1" layoutInCell="1" locked="0" behindDoc="1" simplePos="0" relativeHeight="484728320">
            <wp:simplePos x="0" y="0"/>
            <wp:positionH relativeFrom="page">
              <wp:posOffset>1422308</wp:posOffset>
            </wp:positionH>
            <wp:positionV relativeFrom="page">
              <wp:posOffset>1820231</wp:posOffset>
            </wp:positionV>
            <wp:extent cx="905567" cy="93345"/>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38" cstate="print"/>
                    <a:stretch>
                      <a:fillRect/>
                    </a:stretch>
                  </pic:blipFill>
                  <pic:spPr>
                    <a:xfrm>
                      <a:off x="0" y="0"/>
                      <a:ext cx="905567" cy="93345"/>
                    </a:xfrm>
                    <a:prstGeom prst="rect">
                      <a:avLst/>
                    </a:prstGeom>
                  </pic:spPr>
                </pic:pic>
              </a:graphicData>
            </a:graphic>
          </wp:anchor>
        </w:drawing>
      </w:r>
      <w:r>
        <w:rPr/>
        <mc:AlternateContent>
          <mc:Choice Requires="wps">
            <w:drawing>
              <wp:anchor distT="0" distB="0" distL="0" distR="0" allowOverlap="1" layoutInCell="1" locked="0" behindDoc="0" simplePos="0" relativeHeight="15744000">
                <wp:simplePos x="0" y="0"/>
                <wp:positionH relativeFrom="page">
                  <wp:posOffset>2405449</wp:posOffset>
                </wp:positionH>
                <wp:positionV relativeFrom="page">
                  <wp:posOffset>1822131</wp:posOffset>
                </wp:positionV>
                <wp:extent cx="36195" cy="89535"/>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36195" cy="89535"/>
                        </a:xfrm>
                        <a:custGeom>
                          <a:avLst/>
                          <a:gdLst/>
                          <a:ahLst/>
                          <a:cxnLst/>
                          <a:rect l="l" t="t" r="r" b="b"/>
                          <a:pathLst>
                            <a:path w="36195" h="89535">
                              <a:moveTo>
                                <a:pt x="34582" y="0"/>
                              </a:moveTo>
                              <a:lnTo>
                                <a:pt x="23317" y="393"/>
                              </a:lnTo>
                              <a:lnTo>
                                <a:pt x="12331" y="393"/>
                              </a:lnTo>
                              <a:lnTo>
                                <a:pt x="1066" y="0"/>
                              </a:lnTo>
                              <a:lnTo>
                                <a:pt x="266" y="393"/>
                              </a:lnTo>
                              <a:lnTo>
                                <a:pt x="0" y="2806"/>
                              </a:lnTo>
                              <a:lnTo>
                                <a:pt x="812" y="3340"/>
                              </a:lnTo>
                              <a:lnTo>
                                <a:pt x="12065" y="4279"/>
                              </a:lnTo>
                              <a:lnTo>
                                <a:pt x="12331" y="6565"/>
                              </a:lnTo>
                              <a:lnTo>
                                <a:pt x="12331" y="20777"/>
                              </a:lnTo>
                              <a:lnTo>
                                <a:pt x="12331" y="82702"/>
                              </a:lnTo>
                              <a:lnTo>
                                <a:pt x="12065" y="84581"/>
                              </a:lnTo>
                              <a:lnTo>
                                <a:pt x="812" y="85928"/>
                              </a:lnTo>
                              <a:lnTo>
                                <a:pt x="0" y="86728"/>
                              </a:lnTo>
                              <a:lnTo>
                                <a:pt x="266" y="88874"/>
                              </a:lnTo>
                              <a:lnTo>
                                <a:pt x="1066" y="89268"/>
                              </a:lnTo>
                              <a:lnTo>
                                <a:pt x="12331" y="88874"/>
                              </a:lnTo>
                              <a:lnTo>
                                <a:pt x="23317" y="88874"/>
                              </a:lnTo>
                              <a:lnTo>
                                <a:pt x="34582" y="89268"/>
                              </a:lnTo>
                              <a:lnTo>
                                <a:pt x="35394" y="88874"/>
                              </a:lnTo>
                              <a:lnTo>
                                <a:pt x="35661" y="86461"/>
                              </a:lnTo>
                              <a:lnTo>
                                <a:pt x="34848" y="85928"/>
                              </a:lnTo>
                              <a:lnTo>
                                <a:pt x="23596" y="84581"/>
                              </a:lnTo>
                              <a:lnTo>
                                <a:pt x="23317" y="82702"/>
                              </a:lnTo>
                              <a:lnTo>
                                <a:pt x="23317" y="6565"/>
                              </a:lnTo>
                              <a:lnTo>
                                <a:pt x="23596" y="4279"/>
                              </a:lnTo>
                              <a:lnTo>
                                <a:pt x="34848" y="3340"/>
                              </a:lnTo>
                              <a:lnTo>
                                <a:pt x="35661" y="2806"/>
                              </a:lnTo>
                              <a:lnTo>
                                <a:pt x="35394" y="393"/>
                              </a:lnTo>
                              <a:lnTo>
                                <a:pt x="34582" y="0"/>
                              </a:lnTo>
                              <a:close/>
                            </a:path>
                          </a:pathLst>
                        </a:custGeom>
                        <a:solidFill>
                          <a:srgbClr val="671C75"/>
                        </a:solidFill>
                      </wps:spPr>
                      <wps:bodyPr wrap="square" lIns="0" tIns="0" rIns="0" bIns="0" rtlCol="0">
                        <a:prstTxWarp prst="textNoShape">
                          <a:avLst/>
                        </a:prstTxWarp>
                        <a:noAutofit/>
                      </wps:bodyPr>
                    </wps:wsp>
                  </a:graphicData>
                </a:graphic>
              </wp:anchor>
            </w:drawing>
          </mc:Choice>
          <mc:Fallback>
            <w:pict>
              <v:shape style="position:absolute;margin-left:189.405502pt;margin-top:143.474915pt;width:2.85pt;height:7.05pt;mso-position-horizontal-relative:page;mso-position-vertical-relative:page;z-index:15744000" id="docshape39" coordorigin="3788,2869" coordsize="57,141" path="m3843,2869l3825,2870,3808,2870,3790,2869,3789,2870,3788,2874,3789,2875,3807,2876,3808,2880,3808,2902,3808,3000,3807,3003,3789,3005,3788,3006,3789,3009,3790,3010,3808,3009,3825,3009,3843,3010,3844,3009,3844,3006,3843,3005,3825,3003,3825,3000,3825,2880,3825,2876,3843,2875,3844,2874,3844,2870,3843,2869xe" filled="true" fillcolor="#671c75" stroked="false">
                <v:path arrowok="t"/>
                <v:fill type="solid"/>
                <w10:wrap type="none"/>
              </v:shape>
            </w:pict>
          </mc:Fallback>
        </mc:AlternateContent>
      </w:r>
      <w:r>
        <w:rPr/>
        <w:drawing>
          <wp:anchor distT="0" distB="0" distL="0" distR="0" allowOverlap="1" layoutInCell="1" locked="0" behindDoc="0" simplePos="0" relativeHeight="15744512">
            <wp:simplePos x="0" y="0"/>
            <wp:positionH relativeFrom="page">
              <wp:posOffset>2504727</wp:posOffset>
            </wp:positionH>
            <wp:positionV relativeFrom="page">
              <wp:posOffset>1822193</wp:posOffset>
            </wp:positionV>
            <wp:extent cx="86449" cy="90487"/>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13" cstate="print"/>
                    <a:stretch>
                      <a:fillRect/>
                    </a:stretch>
                  </pic:blipFill>
                  <pic:spPr>
                    <a:xfrm>
                      <a:off x="0" y="0"/>
                      <a:ext cx="86449" cy="90487"/>
                    </a:xfrm>
                    <a:prstGeom prst="rect">
                      <a:avLst/>
                    </a:prstGeom>
                  </pic:spPr>
                </pic:pic>
              </a:graphicData>
            </a:graphic>
          </wp:anchor>
        </w:drawing>
      </w:r>
      <w:r>
        <w:rPr/>
        <w:drawing>
          <wp:anchor distT="0" distB="0" distL="0" distR="0" allowOverlap="1" layoutInCell="1" locked="0" behindDoc="0" simplePos="0" relativeHeight="15745024">
            <wp:simplePos x="0" y="0"/>
            <wp:positionH relativeFrom="page">
              <wp:posOffset>2643244</wp:posOffset>
            </wp:positionH>
            <wp:positionV relativeFrom="page">
              <wp:posOffset>1822127</wp:posOffset>
            </wp:positionV>
            <wp:extent cx="73223" cy="89153"/>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39" cstate="print"/>
                    <a:stretch>
                      <a:fillRect/>
                    </a:stretch>
                  </pic:blipFill>
                  <pic:spPr>
                    <a:xfrm>
                      <a:off x="0" y="0"/>
                      <a:ext cx="73223" cy="89153"/>
                    </a:xfrm>
                    <a:prstGeom prst="rect">
                      <a:avLst/>
                    </a:prstGeom>
                  </pic:spPr>
                </pic:pic>
              </a:graphicData>
            </a:graphic>
          </wp:anchor>
        </w:drawing>
      </w:r>
      <w:r>
        <w:rPr/>
        <w:drawing>
          <wp:anchor distT="0" distB="0" distL="0" distR="0" allowOverlap="1" layoutInCell="1" locked="0" behindDoc="0" simplePos="0" relativeHeight="15745536">
            <wp:simplePos x="0" y="0"/>
            <wp:positionH relativeFrom="page">
              <wp:posOffset>2775833</wp:posOffset>
            </wp:positionH>
            <wp:positionV relativeFrom="page">
              <wp:posOffset>1822127</wp:posOffset>
            </wp:positionV>
            <wp:extent cx="69760" cy="89153"/>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40" cstate="print"/>
                    <a:stretch>
                      <a:fillRect/>
                    </a:stretch>
                  </pic:blipFill>
                  <pic:spPr>
                    <a:xfrm>
                      <a:off x="0" y="0"/>
                      <a:ext cx="69760" cy="89153"/>
                    </a:xfrm>
                    <a:prstGeom prst="rect">
                      <a:avLst/>
                    </a:prstGeom>
                  </pic:spPr>
                </pic:pic>
              </a:graphicData>
            </a:graphic>
          </wp:anchor>
        </w:drawing>
      </w:r>
      <w:r>
        <w:rPr/>
        <w:drawing>
          <wp:anchor distT="0" distB="0" distL="0" distR="0" allowOverlap="1" layoutInCell="1" locked="0" behindDoc="0" simplePos="0" relativeHeight="15746048">
            <wp:simplePos x="0" y="0"/>
            <wp:positionH relativeFrom="page">
              <wp:posOffset>2897176</wp:posOffset>
            </wp:positionH>
            <wp:positionV relativeFrom="page">
              <wp:posOffset>1820380</wp:posOffset>
            </wp:positionV>
            <wp:extent cx="89679" cy="90487"/>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41" cstate="print"/>
                    <a:stretch>
                      <a:fillRect/>
                    </a:stretch>
                  </pic:blipFill>
                  <pic:spPr>
                    <a:xfrm>
                      <a:off x="0" y="0"/>
                      <a:ext cx="89679" cy="90487"/>
                    </a:xfrm>
                    <a:prstGeom prst="rect">
                      <a:avLst/>
                    </a:prstGeom>
                  </pic:spPr>
                </pic:pic>
              </a:graphicData>
            </a:graphic>
          </wp:anchor>
        </w:drawing>
      </w:r>
      <w:r>
        <w:rPr/>
        <w:drawing>
          <wp:anchor distT="0" distB="0" distL="0" distR="0" allowOverlap="1" layoutInCell="1" locked="0" behindDoc="0" simplePos="0" relativeHeight="15746560">
            <wp:simplePos x="0" y="0"/>
            <wp:positionH relativeFrom="page">
              <wp:posOffset>3201882</wp:posOffset>
            </wp:positionH>
            <wp:positionV relativeFrom="page">
              <wp:posOffset>1822412</wp:posOffset>
            </wp:positionV>
            <wp:extent cx="92623" cy="89153"/>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42" cstate="print"/>
                    <a:stretch>
                      <a:fillRect/>
                    </a:stretch>
                  </pic:blipFill>
                  <pic:spPr>
                    <a:xfrm>
                      <a:off x="0" y="0"/>
                      <a:ext cx="92623" cy="89153"/>
                    </a:xfrm>
                    <a:prstGeom prst="rect">
                      <a:avLst/>
                    </a:prstGeom>
                  </pic:spPr>
                </pic:pic>
              </a:graphicData>
            </a:graphic>
          </wp:anchor>
        </w:drawing>
      </w:r>
      <w:r>
        <w:rPr/>
        <w:drawing>
          <wp:anchor distT="0" distB="0" distL="0" distR="0" allowOverlap="1" layoutInCell="1" locked="0" behindDoc="0" simplePos="0" relativeHeight="15747072">
            <wp:simplePos x="0" y="0"/>
            <wp:positionH relativeFrom="page">
              <wp:posOffset>3040593</wp:posOffset>
            </wp:positionH>
            <wp:positionV relativeFrom="page">
              <wp:posOffset>1822125</wp:posOffset>
            </wp:positionV>
            <wp:extent cx="98339" cy="90487"/>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17" cstate="print"/>
                    <a:stretch>
                      <a:fillRect/>
                    </a:stretch>
                  </pic:blipFill>
                  <pic:spPr>
                    <a:xfrm>
                      <a:off x="0" y="0"/>
                      <a:ext cx="98339" cy="90487"/>
                    </a:xfrm>
                    <a:prstGeom prst="rect">
                      <a:avLst/>
                    </a:prstGeom>
                  </pic:spPr>
                </pic:pic>
              </a:graphicData>
            </a:graphic>
          </wp:anchor>
        </w:drawing>
      </w:r>
      <w:r>
        <w:rPr/>
        <w:drawing>
          <wp:anchor distT="0" distB="0" distL="0" distR="0" allowOverlap="1" layoutInCell="1" locked="0" behindDoc="1" simplePos="0" relativeHeight="484732416">
            <wp:simplePos x="0" y="0"/>
            <wp:positionH relativeFrom="page">
              <wp:posOffset>1422534</wp:posOffset>
            </wp:positionH>
            <wp:positionV relativeFrom="page">
              <wp:posOffset>2231127</wp:posOffset>
            </wp:positionV>
            <wp:extent cx="144914" cy="158686"/>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43" cstate="print"/>
                    <a:stretch>
                      <a:fillRect/>
                    </a:stretch>
                  </pic:blipFill>
                  <pic:spPr>
                    <a:xfrm>
                      <a:off x="0" y="0"/>
                      <a:ext cx="144914" cy="158686"/>
                    </a:xfrm>
                    <a:prstGeom prst="rect">
                      <a:avLst/>
                    </a:prstGeom>
                  </pic:spPr>
                </pic:pic>
              </a:graphicData>
            </a:graphic>
          </wp:anchor>
        </w:drawing>
      </w:r>
      <w:r>
        <w:rPr/>
        <w:drawing>
          <wp:anchor distT="0" distB="0" distL="0" distR="0" allowOverlap="1" layoutInCell="1" locked="0" behindDoc="1" simplePos="0" relativeHeight="484732928">
            <wp:simplePos x="0" y="0"/>
            <wp:positionH relativeFrom="page">
              <wp:posOffset>1625625</wp:posOffset>
            </wp:positionH>
            <wp:positionV relativeFrom="page">
              <wp:posOffset>2231146</wp:posOffset>
            </wp:positionV>
            <wp:extent cx="161218" cy="158686"/>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44" cstate="print"/>
                    <a:stretch>
                      <a:fillRect/>
                    </a:stretch>
                  </pic:blipFill>
                  <pic:spPr>
                    <a:xfrm>
                      <a:off x="0" y="0"/>
                      <a:ext cx="161218" cy="158686"/>
                    </a:xfrm>
                    <a:prstGeom prst="rect">
                      <a:avLst/>
                    </a:prstGeom>
                  </pic:spPr>
                </pic:pic>
              </a:graphicData>
            </a:graphic>
          </wp:anchor>
        </w:drawing>
      </w:r>
      <w:r>
        <w:rPr/>
        <w:drawing>
          <wp:anchor distT="0" distB="0" distL="0" distR="0" allowOverlap="1" layoutInCell="1" locked="0" behindDoc="1" simplePos="0" relativeHeight="484733440">
            <wp:simplePos x="0" y="0"/>
            <wp:positionH relativeFrom="page">
              <wp:posOffset>1845558</wp:posOffset>
            </wp:positionH>
            <wp:positionV relativeFrom="page">
              <wp:posOffset>2234127</wp:posOffset>
            </wp:positionV>
            <wp:extent cx="196143" cy="154019"/>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21" cstate="print"/>
                    <a:stretch>
                      <a:fillRect/>
                    </a:stretch>
                  </pic:blipFill>
                  <pic:spPr>
                    <a:xfrm>
                      <a:off x="0" y="0"/>
                      <a:ext cx="196143" cy="154019"/>
                    </a:xfrm>
                    <a:prstGeom prst="rect">
                      <a:avLst/>
                    </a:prstGeom>
                  </pic:spPr>
                </pic:pic>
              </a:graphicData>
            </a:graphic>
          </wp:anchor>
        </w:drawing>
      </w:r>
      <w:r>
        <w:rPr/>
        <w:drawing>
          <wp:anchor distT="0" distB="0" distL="0" distR="0" allowOverlap="1" layoutInCell="1" locked="0" behindDoc="1" simplePos="0" relativeHeight="484733952">
            <wp:simplePos x="0" y="0"/>
            <wp:positionH relativeFrom="page">
              <wp:posOffset>2097911</wp:posOffset>
            </wp:positionH>
            <wp:positionV relativeFrom="page">
              <wp:posOffset>2234127</wp:posOffset>
            </wp:positionV>
            <wp:extent cx="196143" cy="154019"/>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22" cstate="print"/>
                    <a:stretch>
                      <a:fillRect/>
                    </a:stretch>
                  </pic:blipFill>
                  <pic:spPr>
                    <a:xfrm>
                      <a:off x="0" y="0"/>
                      <a:ext cx="196143" cy="154019"/>
                    </a:xfrm>
                    <a:prstGeom prst="rect">
                      <a:avLst/>
                    </a:prstGeom>
                  </pic:spPr>
                </pic:pic>
              </a:graphicData>
            </a:graphic>
          </wp:anchor>
        </w:drawing>
      </w:r>
      <w:r>
        <w:rPr/>
        <mc:AlternateContent>
          <mc:Choice Requires="wps">
            <w:drawing>
              <wp:anchor distT="0" distB="0" distL="0" distR="0" allowOverlap="1" layoutInCell="1" locked="0" behindDoc="0" simplePos="0" relativeHeight="15749632">
                <wp:simplePos x="0" y="0"/>
                <wp:positionH relativeFrom="page">
                  <wp:posOffset>2353481</wp:posOffset>
                </wp:positionH>
                <wp:positionV relativeFrom="page">
                  <wp:posOffset>2234124</wp:posOffset>
                </wp:positionV>
                <wp:extent cx="61594" cy="15367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61594" cy="153670"/>
                        </a:xfrm>
                        <a:custGeom>
                          <a:avLst/>
                          <a:gdLst/>
                          <a:ahLst/>
                          <a:cxnLst/>
                          <a:rect l="l" t="t" r="r" b="b"/>
                          <a:pathLst>
                            <a:path w="61594" h="153670">
                              <a:moveTo>
                                <a:pt x="59372" y="0"/>
                              </a:moveTo>
                              <a:lnTo>
                                <a:pt x="30848" y="685"/>
                              </a:lnTo>
                              <a:lnTo>
                                <a:pt x="1841" y="0"/>
                              </a:lnTo>
                              <a:lnTo>
                                <a:pt x="469" y="685"/>
                              </a:lnTo>
                              <a:lnTo>
                                <a:pt x="0" y="4838"/>
                              </a:lnTo>
                              <a:lnTo>
                                <a:pt x="1397" y="5753"/>
                              </a:lnTo>
                              <a:lnTo>
                                <a:pt x="7124" y="6222"/>
                              </a:lnTo>
                              <a:lnTo>
                                <a:pt x="15052" y="7874"/>
                              </a:lnTo>
                              <a:lnTo>
                                <a:pt x="19243" y="12222"/>
                              </a:lnTo>
                              <a:lnTo>
                                <a:pt x="20887" y="20930"/>
                              </a:lnTo>
                              <a:lnTo>
                                <a:pt x="21170" y="35661"/>
                              </a:lnTo>
                              <a:lnTo>
                                <a:pt x="21170" y="117551"/>
                              </a:lnTo>
                              <a:lnTo>
                                <a:pt x="1397" y="147472"/>
                              </a:lnTo>
                              <a:lnTo>
                                <a:pt x="0" y="148843"/>
                              </a:lnTo>
                              <a:lnTo>
                                <a:pt x="469" y="152526"/>
                              </a:lnTo>
                              <a:lnTo>
                                <a:pt x="1841" y="153225"/>
                              </a:lnTo>
                              <a:lnTo>
                                <a:pt x="30848" y="152526"/>
                              </a:lnTo>
                              <a:lnTo>
                                <a:pt x="59372" y="153225"/>
                              </a:lnTo>
                              <a:lnTo>
                                <a:pt x="60731" y="152526"/>
                              </a:lnTo>
                              <a:lnTo>
                                <a:pt x="61201" y="148386"/>
                              </a:lnTo>
                              <a:lnTo>
                                <a:pt x="59829" y="147472"/>
                              </a:lnTo>
                              <a:lnTo>
                                <a:pt x="54063" y="146786"/>
                              </a:lnTo>
                              <a:lnTo>
                                <a:pt x="46152" y="144961"/>
                              </a:lnTo>
                              <a:lnTo>
                                <a:pt x="41973" y="140703"/>
                              </a:lnTo>
                              <a:lnTo>
                                <a:pt x="40337" y="132177"/>
                              </a:lnTo>
                              <a:lnTo>
                                <a:pt x="40055" y="117551"/>
                              </a:lnTo>
                              <a:lnTo>
                                <a:pt x="40055" y="35661"/>
                              </a:lnTo>
                              <a:lnTo>
                                <a:pt x="59829" y="5753"/>
                              </a:lnTo>
                              <a:lnTo>
                                <a:pt x="61201" y="4838"/>
                              </a:lnTo>
                              <a:lnTo>
                                <a:pt x="60744" y="685"/>
                              </a:lnTo>
                              <a:lnTo>
                                <a:pt x="59372" y="0"/>
                              </a:lnTo>
                              <a:close/>
                            </a:path>
                          </a:pathLst>
                        </a:custGeom>
                        <a:solidFill>
                          <a:srgbClr val="671C75"/>
                        </a:solidFill>
                      </wps:spPr>
                      <wps:bodyPr wrap="square" lIns="0" tIns="0" rIns="0" bIns="0" rtlCol="0">
                        <a:prstTxWarp prst="textNoShape">
                          <a:avLst/>
                        </a:prstTxWarp>
                        <a:noAutofit/>
                      </wps:bodyPr>
                    </wps:wsp>
                  </a:graphicData>
                </a:graphic>
              </wp:anchor>
            </w:drawing>
          </mc:Choice>
          <mc:Fallback>
            <w:pict>
              <v:shape style="position:absolute;margin-left:185.313507pt;margin-top:175.915314pt;width:4.850pt;height:12.1pt;mso-position-horizontal-relative:page;mso-position-vertical-relative:page;z-index:15749632" id="docshape40" coordorigin="3706,3518" coordsize="97,242" path="m3800,3518l3755,3519,3709,3518,3707,3519,3706,3526,3708,3527,3717,3528,3730,3531,3737,3538,3739,3551,3740,3574,3740,3703,3708,3751,3706,3753,3707,3759,3709,3760,3755,3759,3800,3760,3802,3759,3803,3752,3800,3751,3791,3749,3779,3747,3772,3740,3770,3726,3769,3703,3769,3574,3800,3527,3803,3526,3802,3519,3800,3518xe" filled="true" fillcolor="#671c75" stroked="false">
                <v:path arrowok="t"/>
                <v:fill type="solid"/>
                <w10:wrap type="none"/>
              </v:shape>
            </w:pict>
          </mc:Fallback>
        </mc:AlternateContent>
      </w:r>
      <w:r>
        <w:rPr/>
        <w:drawing>
          <wp:anchor distT="0" distB="0" distL="0" distR="0" allowOverlap="1" layoutInCell="1" locked="0" behindDoc="0" simplePos="0" relativeHeight="15750144">
            <wp:simplePos x="0" y="0"/>
            <wp:positionH relativeFrom="page">
              <wp:posOffset>2474927</wp:posOffset>
            </wp:positionH>
            <wp:positionV relativeFrom="page">
              <wp:posOffset>2231131</wp:posOffset>
            </wp:positionV>
            <wp:extent cx="90824" cy="158686"/>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45" cstate="print"/>
                    <a:stretch>
                      <a:fillRect/>
                    </a:stretch>
                  </pic:blipFill>
                  <pic:spPr>
                    <a:xfrm>
                      <a:off x="0" y="0"/>
                      <a:ext cx="90824" cy="158686"/>
                    </a:xfrm>
                    <a:prstGeom prst="rect">
                      <a:avLst/>
                    </a:prstGeom>
                  </pic:spPr>
                </pic:pic>
              </a:graphicData>
            </a:graphic>
          </wp:anchor>
        </w:drawing>
      </w:r>
      <w:r>
        <w:rPr/>
        <w:drawing>
          <wp:anchor distT="0" distB="0" distL="0" distR="0" allowOverlap="1" layoutInCell="1" locked="0" behindDoc="0" simplePos="0" relativeHeight="15750656">
            <wp:simplePos x="0" y="0"/>
            <wp:positionH relativeFrom="page">
              <wp:posOffset>2629941</wp:posOffset>
            </wp:positionH>
            <wp:positionV relativeFrom="page">
              <wp:posOffset>2231131</wp:posOffset>
            </wp:positionV>
            <wp:extent cx="90799" cy="158686"/>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46" cstate="print"/>
                    <a:stretch>
                      <a:fillRect/>
                    </a:stretch>
                  </pic:blipFill>
                  <pic:spPr>
                    <a:xfrm>
                      <a:off x="0" y="0"/>
                      <a:ext cx="90799" cy="158686"/>
                    </a:xfrm>
                    <a:prstGeom prst="rect">
                      <a:avLst/>
                    </a:prstGeom>
                  </pic:spPr>
                </pic:pic>
              </a:graphicData>
            </a:graphic>
          </wp:anchor>
        </w:drawing>
      </w:r>
      <w:r>
        <w:rPr/>
        <mc:AlternateContent>
          <mc:Choice Requires="wps">
            <w:drawing>
              <wp:anchor distT="0" distB="0" distL="0" distR="0" allowOverlap="1" layoutInCell="1" locked="0" behindDoc="0" simplePos="0" relativeHeight="15751168">
                <wp:simplePos x="0" y="0"/>
                <wp:positionH relativeFrom="page">
                  <wp:posOffset>2783809</wp:posOffset>
                </wp:positionH>
                <wp:positionV relativeFrom="page">
                  <wp:posOffset>2234124</wp:posOffset>
                </wp:positionV>
                <wp:extent cx="61594" cy="15367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61594" cy="153670"/>
                        </a:xfrm>
                        <a:custGeom>
                          <a:avLst/>
                          <a:gdLst/>
                          <a:ahLst/>
                          <a:cxnLst/>
                          <a:rect l="l" t="t" r="r" b="b"/>
                          <a:pathLst>
                            <a:path w="61594" h="153670">
                              <a:moveTo>
                                <a:pt x="59372" y="0"/>
                              </a:moveTo>
                              <a:lnTo>
                                <a:pt x="30848" y="685"/>
                              </a:lnTo>
                              <a:lnTo>
                                <a:pt x="1841" y="0"/>
                              </a:lnTo>
                              <a:lnTo>
                                <a:pt x="469" y="685"/>
                              </a:lnTo>
                              <a:lnTo>
                                <a:pt x="0" y="4838"/>
                              </a:lnTo>
                              <a:lnTo>
                                <a:pt x="1397" y="5753"/>
                              </a:lnTo>
                              <a:lnTo>
                                <a:pt x="7124" y="6222"/>
                              </a:lnTo>
                              <a:lnTo>
                                <a:pt x="15052" y="7874"/>
                              </a:lnTo>
                              <a:lnTo>
                                <a:pt x="19243" y="12222"/>
                              </a:lnTo>
                              <a:lnTo>
                                <a:pt x="20887" y="20930"/>
                              </a:lnTo>
                              <a:lnTo>
                                <a:pt x="21170" y="35661"/>
                              </a:lnTo>
                              <a:lnTo>
                                <a:pt x="21170" y="117551"/>
                              </a:lnTo>
                              <a:lnTo>
                                <a:pt x="1397" y="147472"/>
                              </a:lnTo>
                              <a:lnTo>
                                <a:pt x="0" y="148843"/>
                              </a:lnTo>
                              <a:lnTo>
                                <a:pt x="469" y="152526"/>
                              </a:lnTo>
                              <a:lnTo>
                                <a:pt x="1841" y="153225"/>
                              </a:lnTo>
                              <a:lnTo>
                                <a:pt x="30848" y="152526"/>
                              </a:lnTo>
                              <a:lnTo>
                                <a:pt x="59372" y="153225"/>
                              </a:lnTo>
                              <a:lnTo>
                                <a:pt x="60744" y="152526"/>
                              </a:lnTo>
                              <a:lnTo>
                                <a:pt x="61201" y="148386"/>
                              </a:lnTo>
                              <a:lnTo>
                                <a:pt x="59829" y="147472"/>
                              </a:lnTo>
                              <a:lnTo>
                                <a:pt x="54063" y="146786"/>
                              </a:lnTo>
                              <a:lnTo>
                                <a:pt x="46152" y="144961"/>
                              </a:lnTo>
                              <a:lnTo>
                                <a:pt x="41973" y="140703"/>
                              </a:lnTo>
                              <a:lnTo>
                                <a:pt x="40337" y="132177"/>
                              </a:lnTo>
                              <a:lnTo>
                                <a:pt x="40055" y="117551"/>
                              </a:lnTo>
                              <a:lnTo>
                                <a:pt x="40055" y="35661"/>
                              </a:lnTo>
                              <a:lnTo>
                                <a:pt x="59829" y="5753"/>
                              </a:lnTo>
                              <a:lnTo>
                                <a:pt x="61201" y="4838"/>
                              </a:lnTo>
                              <a:lnTo>
                                <a:pt x="60744" y="685"/>
                              </a:lnTo>
                              <a:lnTo>
                                <a:pt x="59372" y="0"/>
                              </a:lnTo>
                              <a:close/>
                            </a:path>
                          </a:pathLst>
                        </a:custGeom>
                        <a:solidFill>
                          <a:srgbClr val="671C75"/>
                        </a:solidFill>
                      </wps:spPr>
                      <wps:bodyPr wrap="square" lIns="0" tIns="0" rIns="0" bIns="0" rtlCol="0">
                        <a:prstTxWarp prst="textNoShape">
                          <a:avLst/>
                        </a:prstTxWarp>
                        <a:noAutofit/>
                      </wps:bodyPr>
                    </wps:wsp>
                  </a:graphicData>
                </a:graphic>
              </wp:anchor>
            </w:drawing>
          </mc:Choice>
          <mc:Fallback>
            <w:pict>
              <v:shape style="position:absolute;margin-left:219.197601pt;margin-top:175.915314pt;width:4.850pt;height:12.1pt;mso-position-horizontal-relative:page;mso-position-vertical-relative:page;z-index:15751168" id="docshape41" coordorigin="4384,3518" coordsize="97,242" path="m4477,3518l4433,3519,4387,3518,4385,3519,4384,3526,4386,3527,4395,3528,4408,3531,4414,3538,4417,3551,4417,3574,4417,3703,4386,3751,4384,3753,4385,3759,4387,3760,4433,3759,4477,3760,4480,3759,4480,3752,4478,3751,4469,3749,4457,3747,4450,3740,4447,3726,4447,3703,4447,3574,4478,3527,4480,3526,4480,3519,4477,3518xe" filled="true" fillcolor="#671c75" stroked="false">
                <v:path arrowok="t"/>
                <v:fill type="solid"/>
                <w10:wrap type="none"/>
              </v:shape>
            </w:pict>
          </mc:Fallback>
        </mc:AlternateContent>
      </w:r>
      <w:r>
        <w:rPr/>
        <w:drawing>
          <wp:anchor distT="0" distB="0" distL="0" distR="0" allowOverlap="1" layoutInCell="1" locked="0" behindDoc="0" simplePos="0" relativeHeight="15751680">
            <wp:simplePos x="0" y="0"/>
            <wp:positionH relativeFrom="page">
              <wp:posOffset>2906422</wp:posOffset>
            </wp:positionH>
            <wp:positionV relativeFrom="page">
              <wp:posOffset>2231146</wp:posOffset>
            </wp:positionV>
            <wp:extent cx="161218" cy="158686"/>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47" cstate="print"/>
                    <a:stretch>
                      <a:fillRect/>
                    </a:stretch>
                  </pic:blipFill>
                  <pic:spPr>
                    <a:xfrm>
                      <a:off x="0" y="0"/>
                      <a:ext cx="161218" cy="158686"/>
                    </a:xfrm>
                    <a:prstGeom prst="rect">
                      <a:avLst/>
                    </a:prstGeom>
                  </pic:spPr>
                </pic:pic>
              </a:graphicData>
            </a:graphic>
          </wp:anchor>
        </w:drawing>
      </w:r>
      <w:r>
        <w:rPr/>
        <w:drawing>
          <wp:anchor distT="0" distB="0" distL="0" distR="0" allowOverlap="1" layoutInCell="1" locked="0" behindDoc="0" simplePos="0" relativeHeight="15752192">
            <wp:simplePos x="0" y="0"/>
            <wp:positionH relativeFrom="page">
              <wp:posOffset>3125660</wp:posOffset>
            </wp:positionH>
            <wp:positionV relativeFrom="page">
              <wp:posOffset>2234130</wp:posOffset>
            </wp:positionV>
            <wp:extent cx="170808" cy="157162"/>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26" cstate="print"/>
                    <a:stretch>
                      <a:fillRect/>
                    </a:stretch>
                  </pic:blipFill>
                  <pic:spPr>
                    <a:xfrm>
                      <a:off x="0" y="0"/>
                      <a:ext cx="170808" cy="157162"/>
                    </a:xfrm>
                    <a:prstGeom prst="rect">
                      <a:avLst/>
                    </a:prstGeom>
                  </pic:spPr>
                </pic:pic>
              </a:graphicData>
            </a:graphic>
          </wp:anchor>
        </w:drawing>
      </w:r>
      <w:r>
        <w:rPr/>
        <mc:AlternateContent>
          <mc:Choice Requires="wps">
            <w:drawing>
              <wp:anchor distT="0" distB="0" distL="0" distR="0" allowOverlap="1" layoutInCell="1" locked="0" behindDoc="0" simplePos="0" relativeHeight="15752704">
                <wp:simplePos x="0" y="0"/>
                <wp:positionH relativeFrom="page">
                  <wp:posOffset>2401919</wp:posOffset>
                </wp:positionH>
                <wp:positionV relativeFrom="page">
                  <wp:posOffset>2002002</wp:posOffset>
                </wp:positionV>
                <wp:extent cx="218440" cy="138430"/>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218440" cy="138430"/>
                          <a:chExt cx="218440" cy="138430"/>
                        </a:xfrm>
                      </wpg:grpSpPr>
                      <pic:pic>
                        <pic:nvPicPr>
                          <pic:cNvPr id="74" name="Image 74"/>
                          <pic:cNvPicPr/>
                        </pic:nvPicPr>
                        <pic:blipFill>
                          <a:blip r:embed="rId48" cstate="print"/>
                          <a:stretch>
                            <a:fillRect/>
                          </a:stretch>
                        </pic:blipFill>
                        <pic:spPr>
                          <a:xfrm>
                            <a:off x="0" y="100"/>
                            <a:ext cx="132181" cy="138024"/>
                          </a:xfrm>
                          <a:prstGeom prst="rect">
                            <a:avLst/>
                          </a:prstGeom>
                        </pic:spPr>
                      </pic:pic>
                      <wps:wsp>
                        <wps:cNvPr id="75" name="Graphic 75"/>
                        <wps:cNvSpPr/>
                        <wps:spPr>
                          <a:xfrm>
                            <a:off x="163680" y="0"/>
                            <a:ext cx="54610" cy="136525"/>
                          </a:xfrm>
                          <a:custGeom>
                            <a:avLst/>
                            <a:gdLst/>
                            <a:ahLst/>
                            <a:cxnLst/>
                            <a:rect l="l" t="t" r="r" b="b"/>
                            <a:pathLst>
                              <a:path w="54610" h="136525">
                                <a:moveTo>
                                  <a:pt x="52870" y="0"/>
                                </a:moveTo>
                                <a:lnTo>
                                  <a:pt x="27470" y="609"/>
                                </a:lnTo>
                                <a:lnTo>
                                  <a:pt x="1651" y="0"/>
                                </a:lnTo>
                                <a:lnTo>
                                  <a:pt x="419" y="609"/>
                                </a:lnTo>
                                <a:lnTo>
                                  <a:pt x="0" y="4292"/>
                                </a:lnTo>
                                <a:lnTo>
                                  <a:pt x="1231" y="5130"/>
                                </a:lnTo>
                                <a:lnTo>
                                  <a:pt x="6362" y="5524"/>
                                </a:lnTo>
                                <a:lnTo>
                                  <a:pt x="13410" y="7004"/>
                                </a:lnTo>
                                <a:lnTo>
                                  <a:pt x="17140" y="10885"/>
                                </a:lnTo>
                                <a:lnTo>
                                  <a:pt x="18605" y="18645"/>
                                </a:lnTo>
                                <a:lnTo>
                                  <a:pt x="18859" y="31762"/>
                                </a:lnTo>
                                <a:lnTo>
                                  <a:pt x="18859" y="104711"/>
                                </a:lnTo>
                                <a:lnTo>
                                  <a:pt x="1231" y="131356"/>
                                </a:lnTo>
                                <a:lnTo>
                                  <a:pt x="0" y="132587"/>
                                </a:lnTo>
                                <a:lnTo>
                                  <a:pt x="419" y="135851"/>
                                </a:lnTo>
                                <a:lnTo>
                                  <a:pt x="1651" y="136461"/>
                                </a:lnTo>
                                <a:lnTo>
                                  <a:pt x="27470" y="135851"/>
                                </a:lnTo>
                                <a:lnTo>
                                  <a:pt x="52870" y="136461"/>
                                </a:lnTo>
                                <a:lnTo>
                                  <a:pt x="54102" y="135851"/>
                                </a:lnTo>
                                <a:lnTo>
                                  <a:pt x="54521" y="132168"/>
                                </a:lnTo>
                                <a:lnTo>
                                  <a:pt x="53289" y="131356"/>
                                </a:lnTo>
                                <a:lnTo>
                                  <a:pt x="48171" y="130746"/>
                                </a:lnTo>
                                <a:lnTo>
                                  <a:pt x="41110" y="129121"/>
                                </a:lnTo>
                                <a:lnTo>
                                  <a:pt x="37377" y="125329"/>
                                </a:lnTo>
                                <a:lnTo>
                                  <a:pt x="35914" y="117737"/>
                                </a:lnTo>
                                <a:lnTo>
                                  <a:pt x="35661" y="104711"/>
                                </a:lnTo>
                                <a:lnTo>
                                  <a:pt x="35661" y="31762"/>
                                </a:lnTo>
                                <a:lnTo>
                                  <a:pt x="53289" y="5130"/>
                                </a:lnTo>
                                <a:lnTo>
                                  <a:pt x="54521" y="4292"/>
                                </a:lnTo>
                                <a:lnTo>
                                  <a:pt x="54102" y="609"/>
                                </a:lnTo>
                                <a:lnTo>
                                  <a:pt x="52870" y="0"/>
                                </a:lnTo>
                                <a:close/>
                              </a:path>
                            </a:pathLst>
                          </a:custGeom>
                          <a:solidFill>
                            <a:srgbClr val="671C75"/>
                          </a:solidFill>
                        </wps:spPr>
                        <wps:bodyPr wrap="square" lIns="0" tIns="0" rIns="0" bIns="0" rtlCol="0">
                          <a:prstTxWarp prst="textNoShape">
                            <a:avLst/>
                          </a:prstTxWarp>
                          <a:noAutofit/>
                        </wps:bodyPr>
                      </wps:wsp>
                    </wpg:wgp>
                  </a:graphicData>
                </a:graphic>
              </wp:anchor>
            </w:drawing>
          </mc:Choice>
          <mc:Fallback>
            <w:pict>
              <v:group style="position:absolute;margin-left:189.127502pt;margin-top:157.638016pt;width:17.2pt;height:10.9pt;mso-position-horizontal-relative:page;mso-position-vertical-relative:page;z-index:15752704" id="docshapegroup42" coordorigin="3783,3153" coordsize="344,218">
                <v:shape style="position:absolute;left:3782;top:3152;width:209;height:218" type="#_x0000_t75" id="docshape43" stroked="false">
                  <v:imagedata r:id="rId48" o:title=""/>
                </v:shape>
                <v:shape style="position:absolute;left:4040;top:3152;width:86;height:215" id="docshape44" coordorigin="4040,3153" coordsize="86,215" path="m4124,3153l4084,3154,4043,3153,4041,3154,4040,3160,4042,3161,4050,3161,4061,3164,4067,3170,4070,3182,4070,3203,4070,3318,4042,3360,4040,3362,4041,3367,4043,3368,4084,3367,4124,3368,4126,3367,4126,3361,4124,3360,4116,3359,4105,3356,4099,3350,4097,3338,4096,3318,4096,3203,4124,3161,4126,3160,4126,3154,4124,3153xe" filled="true" fillcolor="#671c75" stroked="false">
                  <v:path arrowok="t"/>
                  <v:fill type="solid"/>
                </v:shape>
                <w10:wrap type="none"/>
              </v:group>
            </w:pict>
          </mc:Fallback>
        </mc:AlternateContent>
      </w:r>
      <w:r>
        <w:rPr/>
        <w:drawing>
          <wp:anchor distT="0" distB="0" distL="0" distR="0" allowOverlap="1" layoutInCell="1" locked="0" behindDoc="0" simplePos="0" relativeHeight="15753216">
            <wp:simplePos x="0" y="0"/>
            <wp:positionH relativeFrom="page">
              <wp:posOffset>2668656</wp:posOffset>
            </wp:positionH>
            <wp:positionV relativeFrom="page">
              <wp:posOffset>1999333</wp:posOffset>
            </wp:positionV>
            <wp:extent cx="137923" cy="142875"/>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49" cstate="print"/>
                    <a:stretch>
                      <a:fillRect/>
                    </a:stretch>
                  </pic:blipFill>
                  <pic:spPr>
                    <a:xfrm>
                      <a:off x="0" y="0"/>
                      <a:ext cx="137923" cy="142875"/>
                    </a:xfrm>
                    <a:prstGeom prst="rect">
                      <a:avLst/>
                    </a:prstGeom>
                  </pic:spPr>
                </pic:pic>
              </a:graphicData>
            </a:graphic>
          </wp:anchor>
        </w:drawing>
      </w:r>
      <w:r>
        <w:rPr/>
        <mc:AlternateContent>
          <mc:Choice Requires="wps">
            <w:drawing>
              <wp:anchor distT="0" distB="0" distL="0" distR="0" allowOverlap="1" layoutInCell="1" locked="0" behindDoc="0" simplePos="0" relativeHeight="15753728">
                <wp:simplePos x="0" y="0"/>
                <wp:positionH relativeFrom="page">
                  <wp:posOffset>2851631</wp:posOffset>
                </wp:positionH>
                <wp:positionV relativeFrom="page">
                  <wp:posOffset>1995645</wp:posOffset>
                </wp:positionV>
                <wp:extent cx="443865" cy="146050"/>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443865" cy="146050"/>
                          <a:chExt cx="443865" cy="146050"/>
                        </a:xfrm>
                      </wpg:grpSpPr>
                      <pic:pic>
                        <pic:nvPicPr>
                          <pic:cNvPr id="78" name="Image 78"/>
                          <pic:cNvPicPr/>
                        </pic:nvPicPr>
                        <pic:blipFill>
                          <a:blip r:embed="rId50" cstate="print"/>
                          <a:stretch>
                            <a:fillRect/>
                          </a:stretch>
                        </pic:blipFill>
                        <pic:spPr>
                          <a:xfrm>
                            <a:off x="0" y="6343"/>
                            <a:ext cx="149771" cy="136499"/>
                          </a:xfrm>
                          <a:prstGeom prst="rect">
                            <a:avLst/>
                          </a:prstGeom>
                        </pic:spPr>
                      </pic:pic>
                      <pic:pic>
                        <pic:nvPicPr>
                          <pic:cNvPr id="79" name="Image 79"/>
                          <pic:cNvPicPr/>
                        </pic:nvPicPr>
                        <pic:blipFill>
                          <a:blip r:embed="rId51" cstate="print"/>
                          <a:stretch>
                            <a:fillRect/>
                          </a:stretch>
                        </pic:blipFill>
                        <pic:spPr>
                          <a:xfrm>
                            <a:off x="190751" y="0"/>
                            <a:ext cx="131762" cy="142824"/>
                          </a:xfrm>
                          <a:prstGeom prst="rect">
                            <a:avLst/>
                          </a:prstGeom>
                        </pic:spPr>
                      </pic:pic>
                      <pic:pic>
                        <pic:nvPicPr>
                          <pic:cNvPr id="80" name="Image 80"/>
                          <pic:cNvPicPr/>
                        </pic:nvPicPr>
                        <pic:blipFill>
                          <a:blip r:embed="rId31" cstate="print"/>
                          <a:stretch>
                            <a:fillRect/>
                          </a:stretch>
                        </pic:blipFill>
                        <pic:spPr>
                          <a:xfrm>
                            <a:off x="362259" y="3676"/>
                            <a:ext cx="81140" cy="141820"/>
                          </a:xfrm>
                          <a:prstGeom prst="rect">
                            <a:avLst/>
                          </a:prstGeom>
                        </pic:spPr>
                      </pic:pic>
                    </wpg:wgp>
                  </a:graphicData>
                </a:graphic>
              </wp:anchor>
            </w:drawing>
          </mc:Choice>
          <mc:Fallback>
            <w:pict>
              <v:group style="position:absolute;margin-left:224.537903pt;margin-top:157.137421pt;width:34.950pt;height:11.5pt;mso-position-horizontal-relative:page;mso-position-vertical-relative:page;z-index:15753728" id="docshapegroup45" coordorigin="4491,3143" coordsize="699,230">
                <v:shape style="position:absolute;left:4490;top:3152;width:236;height:215" type="#_x0000_t75" id="docshape46" stroked="false">
                  <v:imagedata r:id="rId50" o:title=""/>
                </v:shape>
                <v:shape style="position:absolute;left:4791;top:3142;width:208;height:225" type="#_x0000_t75" id="docshape47" stroked="false">
                  <v:imagedata r:id="rId51" o:title=""/>
                </v:shape>
                <v:shape style="position:absolute;left:5061;top:3148;width:128;height:224" type="#_x0000_t75" id="docshape48" stroked="false">
                  <v:imagedata r:id="rId31" o:title=""/>
                </v:shape>
                <w10:wrap type="none"/>
              </v:group>
            </w:pict>
          </mc:Fallback>
        </mc:AlternateContent>
      </w:r>
    </w:p>
    <w:p>
      <w:pPr>
        <w:pStyle w:val="BodyText"/>
        <w:rPr>
          <w:rFonts w:ascii="Tahoma"/>
          <w:b/>
          <w:sz w:val="20"/>
        </w:rPr>
      </w:pPr>
    </w:p>
    <w:p>
      <w:pPr>
        <w:pStyle w:val="BodyText"/>
        <w:spacing w:before="204"/>
        <w:rPr>
          <w:rFonts w:ascii="Tahoma"/>
          <w:b/>
          <w:sz w:val="20"/>
        </w:rPr>
      </w:pPr>
    </w:p>
    <w:p>
      <w:pPr>
        <w:spacing w:line="240" w:lineRule="auto"/>
        <w:ind w:left="1145" w:right="0" w:firstLine="0"/>
        <w:jc w:val="left"/>
        <w:rPr>
          <w:rFonts w:ascii="Tahoma"/>
          <w:sz w:val="20"/>
        </w:rPr>
      </w:pPr>
      <w:r>
        <w:rPr>
          <w:rFonts w:ascii="Tahoma"/>
          <w:sz w:val="20"/>
        </w:rPr>
        <mc:AlternateContent>
          <mc:Choice Requires="wps">
            <w:drawing>
              <wp:inline distT="0" distB="0" distL="0" distR="0">
                <wp:extent cx="570230" cy="570230"/>
                <wp:effectExtent l="0" t="0" r="0" b="0"/>
                <wp:docPr id="81" name="Group 81"/>
                <wp:cNvGraphicFramePr>
                  <a:graphicFrameLocks/>
                </wp:cNvGraphicFramePr>
                <a:graphic>
                  <a:graphicData uri="http://schemas.microsoft.com/office/word/2010/wordprocessingGroup">
                    <wpg:wgp>
                      <wpg:cNvPr id="81" name="Group 81"/>
                      <wpg:cNvGrpSpPr/>
                      <wpg:grpSpPr>
                        <a:xfrm>
                          <a:off x="0" y="0"/>
                          <a:ext cx="570230" cy="570230"/>
                          <a:chExt cx="570230" cy="570230"/>
                        </a:xfrm>
                      </wpg:grpSpPr>
                      <wps:wsp>
                        <wps:cNvPr id="82" name="Graphic 82"/>
                        <wps:cNvSpPr/>
                        <wps:spPr>
                          <a:xfrm>
                            <a:off x="0" y="0"/>
                            <a:ext cx="570230" cy="570230"/>
                          </a:xfrm>
                          <a:custGeom>
                            <a:avLst/>
                            <a:gdLst/>
                            <a:ahLst/>
                            <a:cxnLst/>
                            <a:rect l="l" t="t" r="r" b="b"/>
                            <a:pathLst>
                              <a:path w="570230" h="570230">
                                <a:moveTo>
                                  <a:pt x="569963" y="0"/>
                                </a:moveTo>
                                <a:lnTo>
                                  <a:pt x="0" y="0"/>
                                </a:lnTo>
                                <a:lnTo>
                                  <a:pt x="0" y="569963"/>
                                </a:lnTo>
                                <a:lnTo>
                                  <a:pt x="569963" y="569963"/>
                                </a:lnTo>
                                <a:lnTo>
                                  <a:pt x="569963" y="424052"/>
                                </a:lnTo>
                                <a:lnTo>
                                  <a:pt x="283298" y="424052"/>
                                </a:lnTo>
                                <a:lnTo>
                                  <a:pt x="281965" y="423049"/>
                                </a:lnTo>
                                <a:lnTo>
                                  <a:pt x="257648" y="406815"/>
                                </a:lnTo>
                                <a:lnTo>
                                  <a:pt x="231730" y="395049"/>
                                </a:lnTo>
                                <a:lnTo>
                                  <a:pt x="228431" y="394169"/>
                                </a:lnTo>
                                <a:lnTo>
                                  <a:pt x="128270" y="394169"/>
                                </a:lnTo>
                                <a:lnTo>
                                  <a:pt x="125107" y="391921"/>
                                </a:lnTo>
                                <a:lnTo>
                                  <a:pt x="125107" y="155879"/>
                                </a:lnTo>
                                <a:lnTo>
                                  <a:pt x="125374" y="155270"/>
                                </a:lnTo>
                                <a:lnTo>
                                  <a:pt x="164466" y="146477"/>
                                </a:lnTo>
                                <a:lnTo>
                                  <a:pt x="177215" y="145922"/>
                                </a:lnTo>
                                <a:lnTo>
                                  <a:pt x="569963" y="145922"/>
                                </a:lnTo>
                                <a:lnTo>
                                  <a:pt x="569963" y="0"/>
                                </a:lnTo>
                                <a:close/>
                              </a:path>
                              <a:path w="570230" h="570230">
                                <a:moveTo>
                                  <a:pt x="392214" y="385470"/>
                                </a:moveTo>
                                <a:lnTo>
                                  <a:pt x="338216" y="395049"/>
                                </a:lnTo>
                                <a:lnTo>
                                  <a:pt x="287972" y="423049"/>
                                </a:lnTo>
                                <a:lnTo>
                                  <a:pt x="286639" y="424052"/>
                                </a:lnTo>
                                <a:lnTo>
                                  <a:pt x="569963" y="424052"/>
                                </a:lnTo>
                                <a:lnTo>
                                  <a:pt x="569963" y="394169"/>
                                </a:lnTo>
                                <a:lnTo>
                                  <a:pt x="441667" y="394169"/>
                                </a:lnTo>
                                <a:lnTo>
                                  <a:pt x="437908" y="392836"/>
                                </a:lnTo>
                                <a:lnTo>
                                  <a:pt x="426916" y="389611"/>
                                </a:lnTo>
                                <a:lnTo>
                                  <a:pt x="415609" y="387310"/>
                                </a:lnTo>
                                <a:lnTo>
                                  <a:pt x="404027" y="385930"/>
                                </a:lnTo>
                                <a:lnTo>
                                  <a:pt x="392214" y="385470"/>
                                </a:lnTo>
                                <a:close/>
                              </a:path>
                              <a:path w="570230" h="570230">
                                <a:moveTo>
                                  <a:pt x="177723" y="385470"/>
                                </a:moveTo>
                                <a:lnTo>
                                  <a:pt x="132054" y="392836"/>
                                </a:lnTo>
                                <a:lnTo>
                                  <a:pt x="128270" y="394169"/>
                                </a:lnTo>
                                <a:lnTo>
                                  <a:pt x="228431" y="394169"/>
                                </a:lnTo>
                                <a:lnTo>
                                  <a:pt x="204870" y="387888"/>
                                </a:lnTo>
                                <a:lnTo>
                                  <a:pt x="177723" y="385470"/>
                                </a:lnTo>
                                <a:close/>
                              </a:path>
                              <a:path w="570230" h="570230">
                                <a:moveTo>
                                  <a:pt x="569963" y="145922"/>
                                </a:moveTo>
                                <a:lnTo>
                                  <a:pt x="392722" y="145922"/>
                                </a:lnTo>
                                <a:lnTo>
                                  <a:pt x="405473" y="146477"/>
                                </a:lnTo>
                                <a:lnTo>
                                  <a:pt x="418087" y="148112"/>
                                </a:lnTo>
                                <a:lnTo>
                                  <a:pt x="444830" y="155879"/>
                                </a:lnTo>
                                <a:lnTo>
                                  <a:pt x="444830" y="391921"/>
                                </a:lnTo>
                                <a:lnTo>
                                  <a:pt x="441667" y="394169"/>
                                </a:lnTo>
                                <a:lnTo>
                                  <a:pt x="569963" y="394169"/>
                                </a:lnTo>
                                <a:lnTo>
                                  <a:pt x="569963" y="145922"/>
                                </a:lnTo>
                                <a:close/>
                              </a:path>
                              <a:path w="570230" h="570230">
                                <a:moveTo>
                                  <a:pt x="392722" y="145922"/>
                                </a:moveTo>
                                <a:lnTo>
                                  <a:pt x="177215" y="145922"/>
                                </a:lnTo>
                                <a:lnTo>
                                  <a:pt x="205400" y="148747"/>
                                </a:lnTo>
                                <a:lnTo>
                                  <a:pt x="233160" y="156764"/>
                                </a:lnTo>
                                <a:lnTo>
                                  <a:pt x="259885" y="169288"/>
                                </a:lnTo>
                                <a:lnTo>
                                  <a:pt x="284962" y="185635"/>
                                </a:lnTo>
                                <a:lnTo>
                                  <a:pt x="310047" y="169288"/>
                                </a:lnTo>
                                <a:lnTo>
                                  <a:pt x="336775" y="156764"/>
                                </a:lnTo>
                                <a:lnTo>
                                  <a:pt x="364536" y="148747"/>
                                </a:lnTo>
                                <a:lnTo>
                                  <a:pt x="392722" y="145922"/>
                                </a:lnTo>
                                <a:close/>
                              </a:path>
                            </a:pathLst>
                          </a:custGeom>
                          <a:solidFill>
                            <a:srgbClr val="671C75"/>
                          </a:solidFill>
                        </wps:spPr>
                        <wps:bodyPr wrap="square" lIns="0" tIns="0" rIns="0" bIns="0" rtlCol="0">
                          <a:prstTxWarp prst="textNoShape">
                            <a:avLst/>
                          </a:prstTxWarp>
                          <a:noAutofit/>
                        </wps:bodyPr>
                      </wps:wsp>
                    </wpg:wgp>
                  </a:graphicData>
                </a:graphic>
              </wp:inline>
            </w:drawing>
          </mc:Choice>
          <mc:Fallback>
            <w:pict>
              <v:group style="width:44.9pt;height:44.9pt;mso-position-horizontal-relative:char;mso-position-vertical-relative:line" id="docshapegroup49" coordorigin="0,0" coordsize="898,898">
                <v:shape style="position:absolute;left:0;top:0;width:898;height:898" id="docshape50" coordorigin="0,0" coordsize="898,898" path="m898,0l0,0,0,898,898,898,898,668,446,668,444,666,406,641,365,622,360,621,202,621,197,617,197,245,197,245,201,243,220,237,239,233,259,231,279,230,898,230,898,0xm618,607l575,611,533,622,492,641,454,666,451,668,898,668,898,621,696,621,690,619,672,614,655,610,636,608,618,607xm280,607l261,608,243,610,225,614,208,619,202,621,360,621,323,611,280,607xm898,230l618,230,639,231,658,233,678,237,697,243,699,244,700,245,701,245,701,617,696,621,898,621,898,230xm618,230l279,230,323,234,367,247,409,267,449,292,488,267,530,247,574,234,618,230xe" filled="true" fillcolor="#671c75" stroked="false">
                  <v:path arrowok="t"/>
                  <v:fill type="solid"/>
                </v:shape>
              </v:group>
            </w:pict>
          </mc:Fallback>
        </mc:AlternateContent>
      </w:r>
      <w:r>
        <w:rPr>
          <w:rFonts w:ascii="Tahoma"/>
          <w:sz w:val="20"/>
        </w:rPr>
      </w:r>
      <w:r>
        <w:rPr>
          <w:rFonts w:ascii="Times New Roman"/>
          <w:spacing w:val="134"/>
          <w:sz w:val="20"/>
        </w:rPr>
        <w:t> </w:t>
      </w:r>
      <w:r>
        <w:rPr>
          <w:rFonts w:ascii="Tahoma"/>
          <w:spacing w:val="134"/>
          <w:position w:val="39"/>
          <w:sz w:val="20"/>
        </w:rPr>
        <mc:AlternateContent>
          <mc:Choice Requires="wps">
            <w:drawing>
              <wp:inline distT="0" distB="0" distL="0" distR="0">
                <wp:extent cx="895350" cy="142240"/>
                <wp:effectExtent l="0" t="0" r="0" b="635"/>
                <wp:docPr id="83" name="Group 83"/>
                <wp:cNvGraphicFramePr>
                  <a:graphicFrameLocks/>
                </wp:cNvGraphicFramePr>
                <a:graphic>
                  <a:graphicData uri="http://schemas.microsoft.com/office/word/2010/wordprocessingGroup">
                    <wpg:wgp>
                      <wpg:cNvPr id="83" name="Group 83"/>
                      <wpg:cNvGrpSpPr/>
                      <wpg:grpSpPr>
                        <a:xfrm>
                          <a:off x="0" y="0"/>
                          <a:ext cx="895350" cy="142240"/>
                          <a:chExt cx="895350" cy="142240"/>
                        </a:xfrm>
                      </wpg:grpSpPr>
                      <pic:pic>
                        <pic:nvPicPr>
                          <pic:cNvPr id="84" name="Image 84"/>
                          <pic:cNvPicPr/>
                        </pic:nvPicPr>
                        <pic:blipFill>
                          <a:blip r:embed="rId52" cstate="print"/>
                          <a:stretch>
                            <a:fillRect/>
                          </a:stretch>
                        </pic:blipFill>
                        <pic:spPr>
                          <a:xfrm>
                            <a:off x="0" y="2691"/>
                            <a:ext cx="150139" cy="136791"/>
                          </a:xfrm>
                          <a:prstGeom prst="rect">
                            <a:avLst/>
                          </a:prstGeom>
                        </pic:spPr>
                      </pic:pic>
                      <pic:pic>
                        <pic:nvPicPr>
                          <pic:cNvPr id="85" name="Image 85"/>
                          <pic:cNvPicPr/>
                        </pic:nvPicPr>
                        <pic:blipFill>
                          <a:blip r:embed="rId53" cstate="print"/>
                          <a:stretch>
                            <a:fillRect/>
                          </a:stretch>
                        </pic:blipFill>
                        <pic:spPr>
                          <a:xfrm>
                            <a:off x="192119" y="2682"/>
                            <a:ext cx="146050" cy="139471"/>
                          </a:xfrm>
                          <a:prstGeom prst="rect">
                            <a:avLst/>
                          </a:prstGeom>
                        </pic:spPr>
                      </pic:pic>
                      <pic:pic>
                        <pic:nvPicPr>
                          <pic:cNvPr id="86" name="Image 86"/>
                          <pic:cNvPicPr/>
                        </pic:nvPicPr>
                        <pic:blipFill>
                          <a:blip r:embed="rId34" cstate="print"/>
                          <a:stretch>
                            <a:fillRect/>
                          </a:stretch>
                        </pic:blipFill>
                        <pic:spPr>
                          <a:xfrm>
                            <a:off x="372129" y="2689"/>
                            <a:ext cx="176022" cy="138214"/>
                          </a:xfrm>
                          <a:prstGeom prst="rect">
                            <a:avLst/>
                          </a:prstGeom>
                        </pic:spPr>
                      </pic:pic>
                      <pic:pic>
                        <pic:nvPicPr>
                          <pic:cNvPr id="87" name="Image 87"/>
                          <pic:cNvPicPr/>
                        </pic:nvPicPr>
                        <pic:blipFill>
                          <a:blip r:embed="rId54" cstate="print"/>
                          <a:stretch>
                            <a:fillRect/>
                          </a:stretch>
                        </pic:blipFill>
                        <pic:spPr>
                          <a:xfrm>
                            <a:off x="577392" y="0"/>
                            <a:ext cx="138226" cy="139471"/>
                          </a:xfrm>
                          <a:prstGeom prst="rect">
                            <a:avLst/>
                          </a:prstGeom>
                        </pic:spPr>
                      </pic:pic>
                      <pic:pic>
                        <pic:nvPicPr>
                          <pic:cNvPr id="88" name="Image 88"/>
                          <pic:cNvPicPr/>
                        </pic:nvPicPr>
                        <pic:blipFill>
                          <a:blip r:embed="rId55" cstate="print"/>
                          <a:stretch>
                            <a:fillRect/>
                          </a:stretch>
                        </pic:blipFill>
                        <pic:spPr>
                          <a:xfrm>
                            <a:off x="743197" y="2673"/>
                            <a:ext cx="151587" cy="139484"/>
                          </a:xfrm>
                          <a:prstGeom prst="rect">
                            <a:avLst/>
                          </a:prstGeom>
                        </pic:spPr>
                      </pic:pic>
                    </wpg:wgp>
                  </a:graphicData>
                </a:graphic>
              </wp:inline>
            </w:drawing>
          </mc:Choice>
          <mc:Fallback>
            <w:pict>
              <v:group style="width:70.5pt;height:11.2pt;mso-position-horizontal-relative:char;mso-position-vertical-relative:line" id="docshapegroup51" coordorigin="0,0" coordsize="1410,224">
                <v:shape style="position:absolute;left:0;top:4;width:237;height:216" type="#_x0000_t75" id="docshape52" stroked="false">
                  <v:imagedata r:id="rId52" o:title=""/>
                </v:shape>
                <v:shape style="position:absolute;left:302;top:4;width:230;height:220" type="#_x0000_t75" id="docshape53" stroked="false">
                  <v:imagedata r:id="rId53" o:title=""/>
                </v:shape>
                <v:shape style="position:absolute;left:586;top:4;width:278;height:218" type="#_x0000_t75" id="docshape54" stroked="false">
                  <v:imagedata r:id="rId34" o:title=""/>
                </v:shape>
                <v:shape style="position:absolute;left:909;top:0;width:218;height:220" type="#_x0000_t75" id="docshape55" stroked="false">
                  <v:imagedata r:id="rId54" o:title=""/>
                </v:shape>
                <v:shape style="position:absolute;left:1170;top:4;width:239;height:220" type="#_x0000_t75" id="docshape56" stroked="false">
                  <v:imagedata r:id="rId55" o:title=""/>
                </v:shape>
              </v:group>
            </w:pict>
          </mc:Fallback>
        </mc:AlternateContent>
      </w:r>
      <w:r>
        <w:rPr>
          <w:rFonts w:ascii="Tahoma"/>
          <w:spacing w:val="134"/>
          <w:position w:val="39"/>
          <w:sz w:val="20"/>
        </w:rPr>
      </w: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spacing w:before="5"/>
        <w:rPr>
          <w:rFonts w:ascii="Tahoma"/>
          <w:b/>
          <w:sz w:val="32"/>
        </w:rPr>
      </w:pPr>
    </w:p>
    <w:p>
      <w:pPr>
        <w:spacing w:before="0"/>
        <w:ind w:left="1133" w:right="0" w:firstLine="0"/>
        <w:jc w:val="left"/>
        <w:rPr>
          <w:rFonts w:ascii="Trebuchet MS"/>
          <w:b/>
          <w:sz w:val="32"/>
        </w:rPr>
      </w:pPr>
      <w:r>
        <w:rPr/>
        <mc:AlternateContent>
          <mc:Choice Requires="wps">
            <w:drawing>
              <wp:anchor distT="0" distB="0" distL="0" distR="0" allowOverlap="1" layoutInCell="1" locked="0" behindDoc="0" simplePos="0" relativeHeight="15742464">
                <wp:simplePos x="0" y="0"/>
                <wp:positionH relativeFrom="page">
                  <wp:posOffset>0</wp:posOffset>
                </wp:positionH>
                <wp:positionV relativeFrom="paragraph">
                  <wp:posOffset>-2590105</wp:posOffset>
                </wp:positionV>
                <wp:extent cx="7560309" cy="2221230"/>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7560309" cy="2221230"/>
                          <a:chExt cx="7560309" cy="2221230"/>
                        </a:xfrm>
                      </wpg:grpSpPr>
                      <wps:wsp>
                        <wps:cNvPr id="90" name="Graphic 90"/>
                        <wps:cNvSpPr/>
                        <wps:spPr>
                          <a:xfrm>
                            <a:off x="0" y="0"/>
                            <a:ext cx="7560309" cy="2221230"/>
                          </a:xfrm>
                          <a:custGeom>
                            <a:avLst/>
                            <a:gdLst/>
                            <a:ahLst/>
                            <a:cxnLst/>
                            <a:rect l="l" t="t" r="r" b="b"/>
                            <a:pathLst>
                              <a:path w="7560309" h="2221230">
                                <a:moveTo>
                                  <a:pt x="7559992" y="0"/>
                                </a:moveTo>
                                <a:lnTo>
                                  <a:pt x="0" y="0"/>
                                </a:lnTo>
                                <a:lnTo>
                                  <a:pt x="0" y="2220683"/>
                                </a:lnTo>
                                <a:lnTo>
                                  <a:pt x="7559992" y="2220683"/>
                                </a:lnTo>
                                <a:lnTo>
                                  <a:pt x="7559992" y="0"/>
                                </a:lnTo>
                                <a:close/>
                              </a:path>
                            </a:pathLst>
                          </a:custGeom>
                          <a:solidFill>
                            <a:srgbClr val="67287F"/>
                          </a:solidFill>
                        </wps:spPr>
                        <wps:bodyPr wrap="square" lIns="0" tIns="0" rIns="0" bIns="0" rtlCol="0">
                          <a:prstTxWarp prst="textNoShape">
                            <a:avLst/>
                          </a:prstTxWarp>
                          <a:noAutofit/>
                        </wps:bodyPr>
                      </wps:wsp>
                      <wps:wsp>
                        <wps:cNvPr id="91" name="Textbox 91"/>
                        <wps:cNvSpPr txBox="1"/>
                        <wps:spPr>
                          <a:xfrm>
                            <a:off x="0" y="0"/>
                            <a:ext cx="7560309" cy="2221230"/>
                          </a:xfrm>
                          <a:prstGeom prst="rect">
                            <a:avLst/>
                          </a:prstGeom>
                        </wps:spPr>
                        <wps:txbx>
                          <w:txbxContent>
                            <w:p>
                              <w:pPr>
                                <w:spacing w:line="237" w:lineRule="auto" w:before="532"/>
                                <w:ind w:left="1140" w:right="3736" w:firstLine="0"/>
                                <w:jc w:val="left"/>
                                <w:rPr>
                                  <w:rFonts w:ascii="Tahoma"/>
                                  <w:b/>
                                  <w:sz w:val="50"/>
                                </w:rPr>
                              </w:pPr>
                              <w:r>
                                <w:rPr>
                                  <w:rFonts w:ascii="Tahoma"/>
                                  <w:b/>
                                  <w:color w:val="FFFFFF"/>
                                  <w:sz w:val="50"/>
                                </w:rPr>
                                <w:t>Annual Report on the Implementation of Article </w:t>
                              </w:r>
                              <w:r>
                                <w:rPr>
                                  <w:rFonts w:ascii="Tahoma"/>
                                  <w:b/>
                                  <w:color w:val="FFFFFF"/>
                                  <w:sz w:val="50"/>
                                </w:rPr>
                                <w:t>2 of the Windsor Framework </w:t>
                              </w:r>
                              <w:r>
                                <w:rPr>
                                  <w:rFonts w:ascii="Tahoma"/>
                                  <w:b/>
                                  <w:color w:val="FFFFFF"/>
                                  <w:spacing w:val="-2"/>
                                  <w:sz w:val="50"/>
                                </w:rPr>
                                <w:t>2023-2024</w:t>
                              </w:r>
                            </w:p>
                          </w:txbxContent>
                        </wps:txbx>
                        <wps:bodyPr wrap="square" lIns="0" tIns="0" rIns="0" bIns="0" rtlCol="0">
                          <a:noAutofit/>
                        </wps:bodyPr>
                      </wps:wsp>
                    </wpg:wgp>
                  </a:graphicData>
                </a:graphic>
              </wp:anchor>
            </w:drawing>
          </mc:Choice>
          <mc:Fallback>
            <w:pict>
              <v:group style="position:absolute;margin-left:0pt;margin-top:-203.945297pt;width:595.3pt;height:174.9pt;mso-position-horizontal-relative:page;mso-position-vertical-relative:paragraph;z-index:15742464" id="docshapegroup57" coordorigin="0,-4079" coordsize="11906,3498">
                <v:rect style="position:absolute;left:0;top:-4079;width:11906;height:3498" id="docshape58" filled="true" fillcolor="#67287f" stroked="false">
                  <v:fill type="solid"/>
                </v:rect>
                <v:shapetype id="_x0000_t202" o:spt="202" coordsize="21600,21600" path="m,l,21600r21600,l21600,xe">
                  <v:stroke joinstyle="miter"/>
                  <v:path gradientshapeok="t" o:connecttype="rect"/>
                </v:shapetype>
                <v:shape style="position:absolute;left:0;top:-4079;width:11906;height:3498" type="#_x0000_t202" id="docshape59" filled="false" stroked="false">
                  <v:textbox inset="0,0,0,0">
                    <w:txbxContent>
                      <w:p>
                        <w:pPr>
                          <w:spacing w:line="237" w:lineRule="auto" w:before="532"/>
                          <w:ind w:left="1140" w:right="3736" w:firstLine="0"/>
                          <w:jc w:val="left"/>
                          <w:rPr>
                            <w:rFonts w:ascii="Tahoma"/>
                            <w:b/>
                            <w:sz w:val="50"/>
                          </w:rPr>
                        </w:pPr>
                        <w:r>
                          <w:rPr>
                            <w:rFonts w:ascii="Tahoma"/>
                            <w:b/>
                            <w:color w:val="FFFFFF"/>
                            <w:sz w:val="50"/>
                          </w:rPr>
                          <w:t>Annual Report on the Implementation of Article </w:t>
                        </w:r>
                        <w:r>
                          <w:rPr>
                            <w:rFonts w:ascii="Tahoma"/>
                            <w:b/>
                            <w:color w:val="FFFFFF"/>
                            <w:sz w:val="50"/>
                          </w:rPr>
                          <w:t>2 of the Windsor Framework </w:t>
                        </w:r>
                        <w:r>
                          <w:rPr>
                            <w:rFonts w:ascii="Tahoma"/>
                            <w:b/>
                            <w:color w:val="FFFFFF"/>
                            <w:spacing w:val="-2"/>
                            <w:sz w:val="50"/>
                          </w:rPr>
                          <w:t>2023-2024</w:t>
                        </w:r>
                      </w:p>
                    </w:txbxContent>
                  </v:textbox>
                  <w10:wrap type="none"/>
                </v:shape>
                <w10:wrap type="none"/>
              </v:group>
            </w:pict>
          </mc:Fallback>
        </mc:AlternateContent>
      </w:r>
      <w:r>
        <w:rPr>
          <w:rFonts w:ascii="Trebuchet MS"/>
          <w:b/>
          <w:color w:val="0F0F0F"/>
          <w:w w:val="105"/>
          <w:sz w:val="32"/>
        </w:rPr>
        <w:t>June</w:t>
      </w:r>
      <w:r>
        <w:rPr>
          <w:rFonts w:ascii="Trebuchet MS"/>
          <w:b/>
          <w:color w:val="0F0F0F"/>
          <w:spacing w:val="-6"/>
          <w:w w:val="105"/>
          <w:sz w:val="32"/>
        </w:rPr>
        <w:t> </w:t>
      </w:r>
      <w:r>
        <w:rPr>
          <w:rFonts w:ascii="Trebuchet MS"/>
          <w:b/>
          <w:color w:val="0F0F0F"/>
          <w:spacing w:val="-4"/>
          <w:w w:val="110"/>
          <w:sz w:val="32"/>
        </w:rPr>
        <w:t>2024</w:t>
      </w:r>
    </w:p>
    <w:p>
      <w:pPr>
        <w:spacing w:after="0"/>
        <w:jc w:val="left"/>
        <w:rPr>
          <w:rFonts w:ascii="Trebuchet MS"/>
          <w:sz w:val="32"/>
        </w:rPr>
        <w:sectPr>
          <w:pgSz w:w="11910" w:h="16840"/>
          <w:pgMar w:header="0" w:footer="0" w:top="1920" w:bottom="280" w:left="0" w:right="0"/>
        </w:sectPr>
      </w:pPr>
    </w:p>
    <w:p>
      <w:pPr>
        <w:spacing w:before="459"/>
        <w:ind w:left="1133" w:right="0" w:firstLine="0"/>
        <w:jc w:val="left"/>
        <w:rPr>
          <w:b/>
          <w:sz w:val="52"/>
        </w:rPr>
      </w:pPr>
      <w:r>
        <w:rPr/>
        <mc:AlternateContent>
          <mc:Choice Requires="wps">
            <w:drawing>
              <wp:anchor distT="0" distB="0" distL="0" distR="0" allowOverlap="1" layoutInCell="1" locked="0" behindDoc="0" simplePos="0" relativeHeight="15754240">
                <wp:simplePos x="0" y="0"/>
                <wp:positionH relativeFrom="page">
                  <wp:posOffset>719996</wp:posOffset>
                </wp:positionH>
                <wp:positionV relativeFrom="paragraph">
                  <wp:posOffset>724548</wp:posOffset>
                </wp:positionV>
                <wp:extent cx="6120130" cy="1270"/>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4240" from="538.5826pt,57.051102pt" to="56.6926pt,57.051102pt" stroked="true" strokeweight="1pt" strokecolor="#393b80">
                <v:stroke dashstyle="solid"/>
                <w10:wrap type="none"/>
              </v:line>
            </w:pict>
          </mc:Fallback>
        </mc:AlternateContent>
      </w:r>
      <w:r>
        <w:rPr>
          <w:b/>
          <w:color w:val="393B80"/>
          <w:spacing w:val="-2"/>
          <w:sz w:val="52"/>
        </w:rPr>
        <w:t>Contents</w:t>
      </w:r>
    </w:p>
    <w:p>
      <w:pPr>
        <w:spacing w:after="0"/>
        <w:jc w:val="left"/>
        <w:rPr>
          <w:sz w:val="52"/>
        </w:rPr>
        <w:sectPr>
          <w:headerReference w:type="default" r:id="rId56"/>
          <w:headerReference w:type="even" r:id="rId57"/>
          <w:footerReference w:type="default" r:id="rId58"/>
          <w:footerReference w:type="even" r:id="rId59"/>
          <w:pgSz w:w="11910" w:h="16840"/>
          <w:pgMar w:header="496" w:footer="367" w:top="1220" w:bottom="1295" w:left="0" w:right="0"/>
          <w:pgNumType w:start="1"/>
        </w:sectPr>
      </w:pPr>
    </w:p>
    <w:sdt>
      <w:sdtPr>
        <w:docPartObj>
          <w:docPartGallery w:val="Table of Contents"/>
          <w:docPartUnique/>
        </w:docPartObj>
      </w:sdtPr>
      <w:sdtEndPr/>
      <w:sdtContent>
        <w:p>
          <w:pPr>
            <w:pStyle w:val="TOC2"/>
            <w:tabs>
              <w:tab w:pos="10771" w:val="right" w:leader="none"/>
            </w:tabs>
            <w:spacing w:before="173"/>
          </w:pPr>
          <w:r>
            <w:rPr/>
            <mc:AlternateContent>
              <mc:Choice Requires="wps">
                <w:drawing>
                  <wp:anchor distT="0" distB="0" distL="0" distR="0" allowOverlap="1" layoutInCell="1" locked="0" behindDoc="0" simplePos="0" relativeHeight="15756288">
                    <wp:simplePos x="0" y="0"/>
                    <wp:positionH relativeFrom="page">
                      <wp:posOffset>719996</wp:posOffset>
                    </wp:positionH>
                    <wp:positionV relativeFrom="paragraph">
                      <wp:posOffset>393606</wp:posOffset>
                    </wp:positionV>
                    <wp:extent cx="6120130" cy="1270"/>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6288" from="538.5826pt,30.992619pt" to="56.6926pt,30.992619pt" stroked="true" strokeweight="1pt" strokecolor="#393b80">
                    <v:stroke dashstyle="solid"/>
                    <w10:wrap type="none"/>
                  </v:line>
                </w:pict>
              </mc:Fallback>
            </mc:AlternateContent>
          </w:r>
          <w:hyperlink w:history="true" w:anchor="_bookmark0">
            <w:r>
              <w:rPr>
                <w:color w:val="393B80"/>
                <w:spacing w:val="-2"/>
              </w:rPr>
              <w:t>Foreword</w:t>
            </w:r>
            <w:r>
              <w:rPr>
                <w:color w:val="393B80"/>
              </w:rPr>
              <w:tab/>
            </w:r>
            <w:r>
              <w:rPr>
                <w:color w:val="393B80"/>
                <w:spacing w:val="-10"/>
              </w:rPr>
              <w:t>4</w:t>
            </w:r>
          </w:hyperlink>
        </w:p>
        <w:p>
          <w:pPr>
            <w:pStyle w:val="TOC2"/>
            <w:tabs>
              <w:tab w:pos="10771" w:val="right" w:leader="none"/>
            </w:tabs>
          </w:pPr>
          <w:r>
            <w:rPr/>
            <mc:AlternateContent>
              <mc:Choice Requires="wps">
                <w:drawing>
                  <wp:anchor distT="0" distB="0" distL="0" distR="0" allowOverlap="1" layoutInCell="1" locked="0" behindDoc="0" simplePos="0" relativeHeight="15756800">
                    <wp:simplePos x="0" y="0"/>
                    <wp:positionH relativeFrom="page">
                      <wp:posOffset>719996</wp:posOffset>
                    </wp:positionH>
                    <wp:positionV relativeFrom="paragraph">
                      <wp:posOffset>475209</wp:posOffset>
                    </wp:positionV>
                    <wp:extent cx="6120130" cy="1270"/>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6800" from="538.5826pt,37.418076pt" to="56.6926pt,37.418076pt" stroked="true" strokeweight="1pt" strokecolor="#393b80">
                    <v:stroke dashstyle="solid"/>
                    <w10:wrap type="none"/>
                  </v:line>
                </w:pict>
              </mc:Fallback>
            </mc:AlternateContent>
          </w:r>
          <w:hyperlink w:history="true" w:anchor="_bookmark1">
            <w:r>
              <w:rPr>
                <w:color w:val="393B80"/>
                <w:spacing w:val="-2"/>
              </w:rPr>
              <w:t>Abbreviations</w:t>
            </w:r>
            <w:r>
              <w:rPr>
                <w:rFonts w:ascii="Times New Roman"/>
                <w:b w:val="0"/>
                <w:color w:val="393B80"/>
              </w:rPr>
              <w:tab/>
            </w:r>
            <w:r>
              <w:rPr>
                <w:color w:val="393B80"/>
                <w:spacing w:val="-10"/>
              </w:rPr>
              <w:t>6</w:t>
            </w:r>
          </w:hyperlink>
        </w:p>
        <w:p>
          <w:pPr>
            <w:pStyle w:val="TOC1"/>
            <w:numPr>
              <w:ilvl w:val="0"/>
              <w:numId w:val="1"/>
            </w:numPr>
            <w:tabs>
              <w:tab w:pos="1554" w:val="left" w:leader="none"/>
              <w:tab w:pos="10771" w:val="right" w:leader="none"/>
            </w:tabs>
            <w:spacing w:line="240" w:lineRule="auto" w:before="299" w:after="0"/>
            <w:ind w:left="1554" w:right="0" w:hanging="421"/>
            <w:jc w:val="left"/>
          </w:pPr>
          <w:r>
            <w:rPr/>
            <mc:AlternateContent>
              <mc:Choice Requires="wps">
                <w:drawing>
                  <wp:anchor distT="0" distB="0" distL="0" distR="0" allowOverlap="1" layoutInCell="1" locked="0" behindDoc="0" simplePos="0" relativeHeight="15754752">
                    <wp:simplePos x="0" y="0"/>
                    <wp:positionH relativeFrom="page">
                      <wp:posOffset>719996</wp:posOffset>
                    </wp:positionH>
                    <wp:positionV relativeFrom="paragraph">
                      <wp:posOffset>477639</wp:posOffset>
                    </wp:positionV>
                    <wp:extent cx="6120130" cy="1270"/>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4752" from="538.5826pt,37.609432pt" to="56.6926pt,37.609432pt" stroked="true" strokeweight="1pt" strokecolor="#393b80">
                    <v:stroke dashstyle="solid"/>
                    <w10:wrap type="none"/>
                  </v:line>
                </w:pict>
              </mc:Fallback>
            </mc:AlternateContent>
          </w:r>
          <w:hyperlink w:history="true" w:anchor="_bookmark2">
            <w:r>
              <w:rPr>
                <w:color w:val="67287F"/>
                <w:spacing w:val="-2"/>
              </w:rPr>
              <w:t>Introduction</w:t>
            </w:r>
            <w:r>
              <w:rPr>
                <w:rFonts w:ascii="Times New Roman"/>
                <w:b w:val="0"/>
                <w:color w:val="67287F"/>
              </w:rPr>
              <w:tab/>
            </w:r>
            <w:r>
              <w:rPr>
                <w:color w:val="67287F"/>
                <w:spacing w:val="-10"/>
              </w:rPr>
              <w:t>7</w:t>
            </w:r>
          </w:hyperlink>
        </w:p>
        <w:p>
          <w:pPr>
            <w:pStyle w:val="TOC5"/>
            <w:tabs>
              <w:tab w:pos="10771" w:val="right" w:leader="none"/>
            </w:tabs>
            <w:spacing w:line="240" w:lineRule="auto" w:before="298"/>
          </w:pPr>
          <w:hyperlink w:history="true" w:anchor="_bookmark3">
            <w:r>
              <w:rPr/>
              <w:t>Focus</w:t>
            </w:r>
            <w:r>
              <w:rPr>
                <w:spacing w:val="-4"/>
              </w:rPr>
              <w:t> </w:t>
            </w:r>
            <w:r>
              <w:rPr/>
              <w:t>of</w:t>
            </w:r>
            <w:r>
              <w:rPr>
                <w:spacing w:val="-4"/>
              </w:rPr>
              <w:t> </w:t>
            </w:r>
            <w:r>
              <w:rPr/>
              <w:t>the</w:t>
            </w:r>
            <w:r>
              <w:rPr>
                <w:spacing w:val="-2"/>
              </w:rPr>
              <w:t> Report</w:t>
            </w:r>
            <w:r>
              <w:rPr/>
              <w:tab/>
            </w:r>
            <w:r>
              <w:rPr>
                <w:spacing w:val="-10"/>
              </w:rPr>
              <w:t>8</w:t>
            </w:r>
          </w:hyperlink>
        </w:p>
        <w:p>
          <w:pPr>
            <w:pStyle w:val="TOC1"/>
            <w:numPr>
              <w:ilvl w:val="0"/>
              <w:numId w:val="1"/>
            </w:numPr>
            <w:tabs>
              <w:tab w:pos="1554" w:val="left" w:leader="none"/>
              <w:tab w:pos="10771" w:val="right" w:leader="none"/>
            </w:tabs>
            <w:spacing w:line="240" w:lineRule="auto" w:before="298" w:after="0"/>
            <w:ind w:left="1554" w:right="0" w:hanging="421"/>
            <w:jc w:val="left"/>
          </w:pPr>
          <w:r>
            <w:rPr/>
            <mc:AlternateContent>
              <mc:Choice Requires="wps">
                <w:drawing>
                  <wp:anchor distT="0" distB="0" distL="0" distR="0" allowOverlap="1" layoutInCell="1" locked="0" behindDoc="0" simplePos="0" relativeHeight="15755264">
                    <wp:simplePos x="0" y="0"/>
                    <wp:positionH relativeFrom="page">
                      <wp:posOffset>719996</wp:posOffset>
                    </wp:positionH>
                    <wp:positionV relativeFrom="paragraph">
                      <wp:posOffset>474462</wp:posOffset>
                    </wp:positionV>
                    <wp:extent cx="6120130" cy="1270"/>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5264" from="538.5826pt,37.359245pt" to="56.6926pt,37.359245pt" stroked="true" strokeweight="1pt" strokecolor="#393b80">
                    <v:stroke dashstyle="solid"/>
                    <w10:wrap type="none"/>
                  </v:line>
                </w:pict>
              </mc:Fallback>
            </mc:AlternateContent>
          </w:r>
          <w:hyperlink w:history="true" w:anchor="_bookmark4">
            <w:r>
              <w:rPr>
                <w:color w:val="67287F"/>
              </w:rPr>
              <w:t>Implementation</w:t>
            </w:r>
            <w:r>
              <w:rPr>
                <w:color w:val="67287F"/>
                <w:spacing w:val="-10"/>
              </w:rPr>
              <w:t> </w:t>
            </w:r>
            <w:r>
              <w:rPr>
                <w:color w:val="67287F"/>
              </w:rPr>
              <w:t>and</w:t>
            </w:r>
            <w:r>
              <w:rPr>
                <w:color w:val="67287F"/>
                <w:spacing w:val="-9"/>
              </w:rPr>
              <w:t> </w:t>
            </w:r>
            <w:r>
              <w:rPr>
                <w:color w:val="67287F"/>
              </w:rPr>
              <w:t>Scrutiny</w:t>
            </w:r>
            <w:r>
              <w:rPr>
                <w:color w:val="67287F"/>
                <w:spacing w:val="-9"/>
              </w:rPr>
              <w:t> </w:t>
            </w:r>
            <w:r>
              <w:rPr>
                <w:color w:val="67287F"/>
              </w:rPr>
              <w:t>of</w:t>
            </w:r>
            <w:r>
              <w:rPr>
                <w:color w:val="67287F"/>
                <w:spacing w:val="-10"/>
              </w:rPr>
              <w:t> </w:t>
            </w:r>
            <w:r>
              <w:rPr>
                <w:color w:val="67287F"/>
              </w:rPr>
              <w:t>Windsor</w:t>
            </w:r>
            <w:r>
              <w:rPr>
                <w:color w:val="67287F"/>
                <w:spacing w:val="-10"/>
              </w:rPr>
              <w:t> </w:t>
            </w:r>
            <w:r>
              <w:rPr>
                <w:color w:val="67287F"/>
              </w:rPr>
              <w:t>Framework</w:t>
            </w:r>
            <w:r>
              <w:rPr>
                <w:color w:val="67287F"/>
                <w:spacing w:val="-10"/>
              </w:rPr>
              <w:t> </w:t>
            </w:r>
            <w:r>
              <w:rPr>
                <w:color w:val="67287F"/>
              </w:rPr>
              <w:t>Article</w:t>
            </w:r>
            <w:r>
              <w:rPr>
                <w:color w:val="67287F"/>
                <w:spacing w:val="-10"/>
              </w:rPr>
              <w:t> 2</w:t>
            </w:r>
            <w:r>
              <w:rPr>
                <w:rFonts w:ascii="Times New Roman"/>
                <w:b w:val="0"/>
                <w:color w:val="67287F"/>
              </w:rPr>
              <w:tab/>
            </w:r>
            <w:r>
              <w:rPr>
                <w:color w:val="67287F"/>
                <w:spacing w:val="-5"/>
              </w:rPr>
              <w:t>11</w:t>
            </w:r>
          </w:hyperlink>
        </w:p>
        <w:p>
          <w:pPr>
            <w:pStyle w:val="TOC3"/>
            <w:tabs>
              <w:tab w:pos="10771" w:val="right" w:leader="none"/>
            </w:tabs>
            <w:spacing w:line="331" w:lineRule="exact"/>
          </w:pPr>
          <w:hyperlink w:history="true" w:anchor="_bookmark4">
            <w:r>
              <w:rPr/>
              <w:t>Legal</w:t>
            </w:r>
            <w:r>
              <w:rPr>
                <w:spacing w:val="-7"/>
              </w:rPr>
              <w:t> </w:t>
            </w:r>
            <w:r>
              <w:rPr>
                <w:spacing w:val="-2"/>
              </w:rPr>
              <w:t>Framework</w:t>
            </w:r>
            <w:r>
              <w:rPr>
                <w:rFonts w:ascii="Times New Roman"/>
                <w:b w:val="0"/>
              </w:rPr>
              <w:tab/>
            </w:r>
            <w:r>
              <w:rPr>
                <w:spacing w:val="-5"/>
              </w:rPr>
              <w:t>11</w:t>
            </w:r>
          </w:hyperlink>
        </w:p>
        <w:p>
          <w:pPr>
            <w:pStyle w:val="TOC5"/>
            <w:tabs>
              <w:tab w:pos="10771" w:val="right" w:leader="none"/>
            </w:tabs>
          </w:pPr>
          <w:hyperlink w:history="true" w:anchor="_bookmark5">
            <w:r>
              <w:rPr/>
              <w:t>Court</w:t>
            </w:r>
            <w:r>
              <w:rPr>
                <w:spacing w:val="-5"/>
              </w:rPr>
              <w:t> </w:t>
            </w:r>
            <w:r>
              <w:rPr/>
              <w:t>Judgments</w:t>
            </w:r>
            <w:r>
              <w:rPr>
                <w:spacing w:val="-6"/>
              </w:rPr>
              <w:t> </w:t>
            </w:r>
            <w:r>
              <w:rPr/>
              <w:t>on</w:t>
            </w:r>
            <w:r>
              <w:rPr>
                <w:spacing w:val="-6"/>
              </w:rPr>
              <w:t> </w:t>
            </w:r>
            <w:r>
              <w:rPr/>
              <w:t>Windsor</w:t>
            </w:r>
            <w:r>
              <w:rPr>
                <w:spacing w:val="-5"/>
              </w:rPr>
              <w:t> </w:t>
            </w:r>
            <w:r>
              <w:rPr/>
              <w:t>Framework</w:t>
            </w:r>
            <w:r>
              <w:rPr>
                <w:spacing w:val="-5"/>
              </w:rPr>
              <w:t> </w:t>
            </w:r>
            <w:r>
              <w:rPr/>
              <w:t>Article</w:t>
            </w:r>
            <w:r>
              <w:rPr>
                <w:spacing w:val="-5"/>
              </w:rPr>
              <w:t> </w:t>
            </w:r>
            <w:r>
              <w:rPr>
                <w:spacing w:val="-10"/>
              </w:rPr>
              <w:t>2</w:t>
            </w:r>
            <w:r>
              <w:rPr>
                <w:rFonts w:ascii="Times New Roman"/>
              </w:rPr>
              <w:tab/>
            </w:r>
            <w:r>
              <w:rPr>
                <w:spacing w:val="-5"/>
              </w:rPr>
              <w:t>12</w:t>
            </w:r>
          </w:hyperlink>
        </w:p>
        <w:p>
          <w:pPr>
            <w:pStyle w:val="TOC5"/>
            <w:tabs>
              <w:tab w:pos="10771" w:val="right" w:leader="none"/>
            </w:tabs>
            <w:spacing w:line="331" w:lineRule="exact"/>
          </w:pPr>
          <w:hyperlink w:history="true" w:anchor="_bookmark6">
            <w:r>
              <w:rPr/>
              <w:t>Amendments</w:t>
            </w:r>
            <w:r>
              <w:rPr>
                <w:spacing w:val="-5"/>
              </w:rPr>
              <w:t> </w:t>
            </w:r>
            <w:r>
              <w:rPr/>
              <w:t>to</w:t>
            </w:r>
            <w:r>
              <w:rPr>
                <w:spacing w:val="-4"/>
              </w:rPr>
              <w:t> </w:t>
            </w:r>
            <w:r>
              <w:rPr/>
              <w:t>the</w:t>
            </w:r>
            <w:r>
              <w:rPr>
                <w:spacing w:val="-4"/>
              </w:rPr>
              <w:t> </w:t>
            </w:r>
            <w:r>
              <w:rPr/>
              <w:t>Windsor</w:t>
            </w:r>
            <w:r>
              <w:rPr>
                <w:spacing w:val="-3"/>
              </w:rPr>
              <w:t> </w:t>
            </w:r>
            <w:r>
              <w:rPr>
                <w:spacing w:val="-2"/>
              </w:rPr>
              <w:t>Framework</w:t>
            </w:r>
            <w:r>
              <w:rPr>
                <w:rFonts w:ascii="Times New Roman"/>
              </w:rPr>
              <w:tab/>
            </w:r>
            <w:r>
              <w:rPr>
                <w:spacing w:val="-5"/>
              </w:rPr>
              <w:t>15</w:t>
            </w:r>
          </w:hyperlink>
        </w:p>
        <w:p>
          <w:pPr>
            <w:pStyle w:val="TOC3"/>
            <w:tabs>
              <w:tab w:pos="10771" w:val="right" w:leader="none"/>
            </w:tabs>
            <w:spacing w:line="331" w:lineRule="exact"/>
          </w:pPr>
          <w:hyperlink w:history="true" w:anchor="_bookmark7">
            <w:r>
              <w:rPr/>
              <w:t>Implementation</w:t>
            </w:r>
            <w:r>
              <w:rPr>
                <w:spacing w:val="-10"/>
              </w:rPr>
              <w:t> </w:t>
            </w:r>
            <w:r>
              <w:rPr/>
              <w:t>and</w:t>
            </w:r>
            <w:r>
              <w:rPr>
                <w:spacing w:val="-9"/>
              </w:rPr>
              <w:t> </w:t>
            </w:r>
            <w:r>
              <w:rPr/>
              <w:t>Parliamentary</w:t>
            </w:r>
            <w:r>
              <w:rPr>
                <w:spacing w:val="-10"/>
              </w:rPr>
              <w:t> </w:t>
            </w:r>
            <w:r>
              <w:rPr/>
              <w:t>Scrutiny</w:t>
            </w:r>
            <w:r>
              <w:rPr>
                <w:spacing w:val="-9"/>
              </w:rPr>
              <w:t> </w:t>
            </w:r>
            <w:r>
              <w:rPr/>
              <w:t>of</w:t>
            </w:r>
            <w:r>
              <w:rPr>
                <w:spacing w:val="-10"/>
              </w:rPr>
              <w:t> </w:t>
            </w:r>
            <w:r>
              <w:rPr/>
              <w:t>Windsor</w:t>
            </w:r>
            <w:r>
              <w:rPr>
                <w:spacing w:val="-10"/>
              </w:rPr>
              <w:t> </w:t>
            </w:r>
            <w:r>
              <w:rPr/>
              <w:t>Framework</w:t>
            </w:r>
            <w:r>
              <w:rPr>
                <w:spacing w:val="-11"/>
              </w:rPr>
              <w:t> </w:t>
            </w:r>
            <w:r>
              <w:rPr/>
              <w:t>Article</w:t>
            </w:r>
            <w:r>
              <w:rPr>
                <w:spacing w:val="-10"/>
              </w:rPr>
              <w:t> 2</w:t>
            </w:r>
            <w:r>
              <w:rPr>
                <w:rFonts w:ascii="Times New Roman"/>
                <w:b w:val="0"/>
              </w:rPr>
              <w:tab/>
            </w:r>
            <w:r>
              <w:rPr>
                <w:spacing w:val="-5"/>
              </w:rPr>
              <w:t>19</w:t>
            </w:r>
          </w:hyperlink>
        </w:p>
        <w:p>
          <w:pPr>
            <w:pStyle w:val="TOC5"/>
            <w:tabs>
              <w:tab w:pos="10771" w:val="right" w:leader="none"/>
            </w:tabs>
          </w:pPr>
          <w:hyperlink w:history="true" w:anchor="_bookmark8">
            <w:r>
              <w:rPr/>
              <w:t>UK</w:t>
            </w:r>
            <w:r>
              <w:rPr>
                <w:spacing w:val="-2"/>
              </w:rPr>
              <w:t> Government</w:t>
            </w:r>
            <w:r>
              <w:rPr>
                <w:rFonts w:ascii="Times New Roman"/>
              </w:rPr>
              <w:tab/>
            </w:r>
            <w:r>
              <w:rPr>
                <w:spacing w:val="-5"/>
              </w:rPr>
              <w:t>20</w:t>
            </w:r>
          </w:hyperlink>
        </w:p>
        <w:p>
          <w:pPr>
            <w:pStyle w:val="TOC5"/>
            <w:tabs>
              <w:tab w:pos="10771" w:val="right" w:leader="none"/>
            </w:tabs>
          </w:pPr>
          <w:hyperlink w:history="true" w:anchor="_bookmark9">
            <w:r>
              <w:rPr/>
              <w:t>NI </w:t>
            </w:r>
            <w:r>
              <w:rPr>
                <w:spacing w:val="-2"/>
              </w:rPr>
              <w:t>Executive</w:t>
            </w:r>
            <w:r>
              <w:rPr>
                <w:rFonts w:ascii="Times New Roman"/>
              </w:rPr>
              <w:tab/>
            </w:r>
            <w:r>
              <w:rPr>
                <w:spacing w:val="-5"/>
              </w:rPr>
              <w:t>21</w:t>
            </w:r>
          </w:hyperlink>
        </w:p>
        <w:p>
          <w:pPr>
            <w:pStyle w:val="TOC5"/>
            <w:tabs>
              <w:tab w:pos="10771" w:val="right" w:leader="none"/>
            </w:tabs>
            <w:spacing w:line="331" w:lineRule="exact"/>
          </w:pPr>
          <w:hyperlink w:history="true" w:anchor="_bookmark10">
            <w:r>
              <w:rPr/>
              <w:t>Additional</w:t>
            </w:r>
            <w:r>
              <w:rPr>
                <w:spacing w:val="-10"/>
              </w:rPr>
              <w:t> </w:t>
            </w:r>
            <w:r>
              <w:rPr/>
              <w:t>Mechanisms</w:t>
            </w:r>
            <w:r>
              <w:rPr>
                <w:spacing w:val="-9"/>
              </w:rPr>
              <w:t> </w:t>
            </w:r>
            <w:r>
              <w:rPr/>
              <w:t>for</w:t>
            </w:r>
            <w:r>
              <w:rPr>
                <w:spacing w:val="-8"/>
              </w:rPr>
              <w:t> </w:t>
            </w:r>
            <w:r>
              <w:rPr/>
              <w:t>Ensuring</w:t>
            </w:r>
            <w:r>
              <w:rPr>
                <w:spacing w:val="-8"/>
              </w:rPr>
              <w:t> </w:t>
            </w:r>
            <w:r>
              <w:rPr/>
              <w:t>Compliance</w:t>
            </w:r>
            <w:r>
              <w:rPr>
                <w:spacing w:val="-8"/>
              </w:rPr>
              <w:t> </w:t>
            </w:r>
            <w:r>
              <w:rPr/>
              <w:t>and</w:t>
            </w:r>
            <w:r>
              <w:rPr>
                <w:spacing w:val="-9"/>
              </w:rPr>
              <w:t> </w:t>
            </w:r>
            <w:r>
              <w:rPr/>
              <w:t>Voluntary</w:t>
            </w:r>
            <w:r>
              <w:rPr>
                <w:spacing w:val="-8"/>
              </w:rPr>
              <w:t> </w:t>
            </w:r>
            <w:r>
              <w:rPr>
                <w:spacing w:val="-2"/>
              </w:rPr>
              <w:t>Alignment</w:t>
            </w:r>
            <w:r>
              <w:rPr>
                <w:rFonts w:ascii="Times New Roman"/>
              </w:rPr>
              <w:tab/>
            </w:r>
            <w:r>
              <w:rPr>
                <w:spacing w:val="-5"/>
              </w:rPr>
              <w:t>22</w:t>
            </w:r>
          </w:hyperlink>
        </w:p>
        <w:p>
          <w:pPr>
            <w:pStyle w:val="TOC3"/>
            <w:tabs>
              <w:tab w:pos="10771" w:val="right" w:leader="none"/>
            </w:tabs>
            <w:spacing w:before="299"/>
          </w:pPr>
          <w:hyperlink w:history="true" w:anchor="_bookmark11">
            <w:r>
              <w:rPr/>
              <w:t>Retained</w:t>
            </w:r>
            <w:r>
              <w:rPr>
                <w:spacing w:val="-6"/>
              </w:rPr>
              <w:t> </w:t>
            </w:r>
            <w:r>
              <w:rPr/>
              <w:t>European</w:t>
            </w:r>
            <w:r>
              <w:rPr>
                <w:spacing w:val="-5"/>
              </w:rPr>
              <w:t> </w:t>
            </w:r>
            <w:r>
              <w:rPr/>
              <w:t>Union</w:t>
            </w:r>
            <w:r>
              <w:rPr>
                <w:spacing w:val="-5"/>
              </w:rPr>
              <w:t> Law</w:t>
            </w:r>
            <w:r>
              <w:rPr/>
              <w:tab/>
            </w:r>
            <w:r>
              <w:rPr>
                <w:spacing w:val="-5"/>
              </w:rPr>
              <w:t>25</w:t>
            </w:r>
          </w:hyperlink>
        </w:p>
        <w:p>
          <w:pPr>
            <w:pStyle w:val="TOC3"/>
            <w:tabs>
              <w:tab w:pos="10771" w:val="right" w:leader="none"/>
            </w:tabs>
          </w:pPr>
          <w:hyperlink w:history="true" w:anchor="_bookmark12">
            <w:r>
              <w:rPr/>
              <w:t>Resourcing</w:t>
            </w:r>
            <w:r>
              <w:rPr>
                <w:spacing w:val="-8"/>
              </w:rPr>
              <w:t> </w:t>
            </w:r>
            <w:r>
              <w:rPr/>
              <w:t>of</w:t>
            </w:r>
            <w:r>
              <w:rPr>
                <w:spacing w:val="-8"/>
              </w:rPr>
              <w:t> </w:t>
            </w:r>
            <w:r>
              <w:rPr/>
              <w:t>the</w:t>
            </w:r>
            <w:r>
              <w:rPr>
                <w:spacing w:val="-7"/>
              </w:rPr>
              <w:t> </w:t>
            </w:r>
            <w:r>
              <w:rPr>
                <w:spacing w:val="-2"/>
              </w:rPr>
              <w:t>Commissions</w:t>
            </w:r>
            <w:r>
              <w:rPr>
                <w:rFonts w:ascii="Times New Roman"/>
                <w:b w:val="0"/>
              </w:rPr>
              <w:tab/>
            </w:r>
            <w:r>
              <w:rPr>
                <w:spacing w:val="-5"/>
              </w:rPr>
              <w:t>29</w:t>
            </w:r>
          </w:hyperlink>
        </w:p>
        <w:p>
          <w:pPr>
            <w:pStyle w:val="TOC1"/>
            <w:numPr>
              <w:ilvl w:val="0"/>
              <w:numId w:val="1"/>
            </w:numPr>
            <w:tabs>
              <w:tab w:pos="1554" w:val="left" w:leader="none"/>
              <w:tab w:pos="10771" w:val="right" w:leader="none"/>
            </w:tabs>
            <w:spacing w:line="240" w:lineRule="auto" w:before="298" w:after="0"/>
            <w:ind w:left="1554" w:right="0" w:hanging="421"/>
            <w:jc w:val="left"/>
          </w:pPr>
          <w:r>
            <w:rPr/>
            <mc:AlternateContent>
              <mc:Choice Requires="wps">
                <w:drawing>
                  <wp:anchor distT="0" distB="0" distL="0" distR="0" allowOverlap="1" layoutInCell="1" locked="0" behindDoc="0" simplePos="0" relativeHeight="15755776">
                    <wp:simplePos x="0" y="0"/>
                    <wp:positionH relativeFrom="page">
                      <wp:posOffset>719996</wp:posOffset>
                    </wp:positionH>
                    <wp:positionV relativeFrom="paragraph">
                      <wp:posOffset>473771</wp:posOffset>
                    </wp:positionV>
                    <wp:extent cx="6120130" cy="1270"/>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5776" from="538.5826pt,37.304855pt" to="56.6926pt,37.304855pt" stroked="true" strokeweight="1pt" strokecolor="#393b80">
                    <v:stroke dashstyle="solid"/>
                    <w10:wrap type="none"/>
                  </v:line>
                </w:pict>
              </mc:Fallback>
            </mc:AlternateContent>
          </w:r>
          <w:hyperlink w:history="true" w:anchor="_bookmark13">
            <w:r>
              <w:rPr>
                <w:color w:val="67287F"/>
              </w:rPr>
              <w:t>Windsor</w:t>
            </w:r>
            <w:r>
              <w:rPr>
                <w:color w:val="67287F"/>
                <w:spacing w:val="-8"/>
              </w:rPr>
              <w:t> </w:t>
            </w:r>
            <w:r>
              <w:rPr>
                <w:color w:val="67287F"/>
              </w:rPr>
              <w:t>Framework</w:t>
            </w:r>
            <w:r>
              <w:rPr>
                <w:color w:val="67287F"/>
                <w:spacing w:val="-7"/>
              </w:rPr>
              <w:t> </w:t>
            </w:r>
            <w:r>
              <w:rPr>
                <w:color w:val="67287F"/>
              </w:rPr>
              <w:t>Article</w:t>
            </w:r>
            <w:r>
              <w:rPr>
                <w:color w:val="67287F"/>
                <w:spacing w:val="-7"/>
              </w:rPr>
              <w:t> </w:t>
            </w:r>
            <w:r>
              <w:rPr>
                <w:color w:val="67287F"/>
              </w:rPr>
              <w:t>2:</w:t>
            </w:r>
            <w:r>
              <w:rPr>
                <w:color w:val="67287F"/>
                <w:spacing w:val="-6"/>
              </w:rPr>
              <w:t> </w:t>
            </w:r>
            <w:r>
              <w:rPr>
                <w:color w:val="67287F"/>
              </w:rPr>
              <w:t>Rights</w:t>
            </w:r>
            <w:r>
              <w:rPr>
                <w:color w:val="67287F"/>
                <w:spacing w:val="-7"/>
              </w:rPr>
              <w:t> </w:t>
            </w:r>
            <w:r>
              <w:rPr>
                <w:color w:val="67287F"/>
              </w:rPr>
              <w:t>and</w:t>
            </w:r>
            <w:r>
              <w:rPr>
                <w:color w:val="67287F"/>
                <w:spacing w:val="-6"/>
              </w:rPr>
              <w:t> </w:t>
            </w:r>
            <w:r>
              <w:rPr>
                <w:color w:val="67287F"/>
                <w:spacing w:val="-2"/>
              </w:rPr>
              <w:t>Issues</w:t>
            </w:r>
            <w:r>
              <w:rPr>
                <w:rFonts w:ascii="Times New Roman"/>
                <w:b w:val="0"/>
                <w:color w:val="67287F"/>
              </w:rPr>
              <w:tab/>
            </w:r>
            <w:r>
              <w:rPr>
                <w:color w:val="67287F"/>
                <w:spacing w:val="-5"/>
              </w:rPr>
              <w:t>32</w:t>
            </w:r>
          </w:hyperlink>
        </w:p>
        <w:p>
          <w:pPr>
            <w:pStyle w:val="TOC3"/>
            <w:tabs>
              <w:tab w:pos="10771" w:val="right" w:leader="none"/>
            </w:tabs>
            <w:spacing w:line="331" w:lineRule="exact"/>
          </w:pPr>
          <w:hyperlink w:history="true" w:anchor="_bookmark13">
            <w:r>
              <w:rPr/>
              <w:t>Constitutional</w:t>
            </w:r>
            <w:r>
              <w:rPr>
                <w:spacing w:val="-15"/>
              </w:rPr>
              <w:t> </w:t>
            </w:r>
            <w:r>
              <w:rPr>
                <w:spacing w:val="-2"/>
              </w:rPr>
              <w:t>issues</w:t>
            </w:r>
            <w:r>
              <w:rPr>
                <w:rFonts w:ascii="Times New Roman"/>
                <w:b w:val="0"/>
              </w:rPr>
              <w:tab/>
            </w:r>
            <w:r>
              <w:rPr>
                <w:spacing w:val="-5"/>
              </w:rPr>
              <w:t>32</w:t>
            </w:r>
          </w:hyperlink>
        </w:p>
        <w:p>
          <w:pPr>
            <w:pStyle w:val="TOC5"/>
            <w:tabs>
              <w:tab w:pos="10771" w:val="right" w:leader="none"/>
            </w:tabs>
          </w:pPr>
          <w:hyperlink w:history="true" w:anchor="_bookmark13">
            <w:r>
              <w:rPr/>
              <w:t>A</w:t>
            </w:r>
            <w:r>
              <w:rPr>
                <w:spacing w:val="-4"/>
              </w:rPr>
              <w:t> </w:t>
            </w:r>
            <w:r>
              <w:rPr/>
              <w:t>Bill</w:t>
            </w:r>
            <w:r>
              <w:rPr>
                <w:spacing w:val="-4"/>
              </w:rPr>
              <w:t> </w:t>
            </w:r>
            <w:r>
              <w:rPr/>
              <w:t>of</w:t>
            </w:r>
            <w:r>
              <w:rPr>
                <w:spacing w:val="-5"/>
              </w:rPr>
              <w:t> </w:t>
            </w:r>
            <w:r>
              <w:rPr/>
              <w:t>Rights</w:t>
            </w:r>
            <w:r>
              <w:rPr>
                <w:spacing w:val="-4"/>
              </w:rPr>
              <w:t> </w:t>
            </w:r>
            <w:r>
              <w:rPr/>
              <w:t>for</w:t>
            </w:r>
            <w:r>
              <w:rPr>
                <w:spacing w:val="-3"/>
              </w:rPr>
              <w:t> </w:t>
            </w:r>
            <w:r>
              <w:rPr>
                <w:spacing w:val="-7"/>
              </w:rPr>
              <w:t>NI</w:t>
            </w:r>
            <w:r>
              <w:rPr>
                <w:rFonts w:ascii="Times New Roman"/>
              </w:rPr>
              <w:tab/>
            </w:r>
            <w:r>
              <w:rPr>
                <w:spacing w:val="-5"/>
              </w:rPr>
              <w:t>32</w:t>
            </w:r>
          </w:hyperlink>
        </w:p>
        <w:p>
          <w:pPr>
            <w:pStyle w:val="TOC5"/>
            <w:tabs>
              <w:tab w:pos="10771" w:val="right" w:leader="none"/>
            </w:tabs>
          </w:pPr>
          <w:hyperlink w:history="true" w:anchor="_bookmark14">
            <w:r>
              <w:rPr/>
              <w:t>Human</w:t>
            </w:r>
            <w:r>
              <w:rPr>
                <w:spacing w:val="-7"/>
              </w:rPr>
              <w:t> </w:t>
            </w:r>
            <w:r>
              <w:rPr/>
              <w:t>Rights</w:t>
            </w:r>
            <w:r>
              <w:rPr>
                <w:spacing w:val="-6"/>
              </w:rPr>
              <w:t> </w:t>
            </w:r>
            <w:r>
              <w:rPr>
                <w:spacing w:val="-5"/>
              </w:rPr>
              <w:t>Act</w:t>
            </w:r>
            <w:r>
              <w:rPr>
                <w:rFonts w:ascii="Times New Roman"/>
              </w:rPr>
              <w:tab/>
            </w:r>
            <w:r>
              <w:rPr>
                <w:spacing w:val="-5"/>
              </w:rPr>
              <w:t>33</w:t>
            </w:r>
          </w:hyperlink>
        </w:p>
        <w:p>
          <w:pPr>
            <w:pStyle w:val="TOC5"/>
            <w:tabs>
              <w:tab w:pos="10771" w:val="right" w:leader="none"/>
            </w:tabs>
            <w:spacing w:line="331" w:lineRule="exact"/>
          </w:pPr>
          <w:hyperlink w:history="true" w:anchor="_bookmark15">
            <w:r>
              <w:rPr/>
              <w:t>Divergence</w:t>
            </w:r>
            <w:r>
              <w:rPr>
                <w:spacing w:val="-6"/>
              </w:rPr>
              <w:t> </w:t>
            </w:r>
            <w:r>
              <w:rPr/>
              <w:t>of</w:t>
            </w:r>
            <w:r>
              <w:rPr>
                <w:spacing w:val="-5"/>
              </w:rPr>
              <w:t> </w:t>
            </w:r>
            <w:r>
              <w:rPr/>
              <w:t>Rights</w:t>
            </w:r>
            <w:r>
              <w:rPr>
                <w:spacing w:val="-4"/>
              </w:rPr>
              <w:t> </w:t>
            </w:r>
            <w:r>
              <w:rPr/>
              <w:t>on</w:t>
            </w:r>
            <w:r>
              <w:rPr>
                <w:spacing w:val="-5"/>
              </w:rPr>
              <w:t> </w:t>
            </w:r>
            <w:r>
              <w:rPr/>
              <w:t>the</w:t>
            </w:r>
            <w:r>
              <w:rPr>
                <w:spacing w:val="-3"/>
              </w:rPr>
              <w:t> </w:t>
            </w:r>
            <w:r>
              <w:rPr/>
              <w:t>Island</w:t>
            </w:r>
            <w:r>
              <w:rPr>
                <w:spacing w:val="-5"/>
              </w:rPr>
              <w:t> </w:t>
            </w:r>
            <w:r>
              <w:rPr/>
              <w:t>of</w:t>
            </w:r>
            <w:r>
              <w:rPr>
                <w:spacing w:val="-4"/>
              </w:rPr>
              <w:t> </w:t>
            </w:r>
            <w:r>
              <w:rPr>
                <w:spacing w:val="-2"/>
              </w:rPr>
              <w:t>Ireland</w:t>
            </w:r>
            <w:r>
              <w:rPr>
                <w:rFonts w:ascii="Times New Roman"/>
              </w:rPr>
              <w:tab/>
            </w:r>
            <w:r>
              <w:rPr>
                <w:spacing w:val="-5"/>
              </w:rPr>
              <w:t>35</w:t>
            </w:r>
          </w:hyperlink>
        </w:p>
        <w:p>
          <w:pPr>
            <w:pStyle w:val="TOC3"/>
            <w:tabs>
              <w:tab w:pos="10771" w:val="right" w:leader="none"/>
            </w:tabs>
            <w:spacing w:line="331" w:lineRule="exact"/>
          </w:pPr>
          <w:hyperlink w:history="true" w:anchor="_bookmark16">
            <w:r>
              <w:rPr/>
              <w:t>Equality</w:t>
            </w:r>
            <w:r>
              <w:rPr>
                <w:spacing w:val="-3"/>
              </w:rPr>
              <w:t> </w:t>
            </w:r>
            <w:r>
              <w:rPr/>
              <w:t>and</w:t>
            </w:r>
            <w:r>
              <w:rPr>
                <w:spacing w:val="-2"/>
              </w:rPr>
              <w:t> </w:t>
            </w:r>
            <w:r>
              <w:rPr/>
              <w:t>Non-</w:t>
            </w:r>
            <w:r>
              <w:rPr>
                <w:spacing w:val="-2"/>
              </w:rPr>
              <w:t>Discrimination</w:t>
            </w:r>
            <w:r>
              <w:rPr>
                <w:rFonts w:ascii="Times New Roman"/>
                <w:b w:val="0"/>
              </w:rPr>
              <w:tab/>
            </w:r>
            <w:r>
              <w:rPr>
                <w:spacing w:val="-5"/>
              </w:rPr>
              <w:t>41</w:t>
            </w:r>
          </w:hyperlink>
        </w:p>
        <w:p>
          <w:pPr>
            <w:pStyle w:val="TOC5"/>
            <w:tabs>
              <w:tab w:pos="10771" w:val="right" w:leader="none"/>
            </w:tabs>
          </w:pPr>
          <w:hyperlink w:history="true" w:anchor="_bookmark16">
            <w:r>
              <w:rPr/>
              <w:t>Single</w:t>
            </w:r>
            <w:r>
              <w:rPr>
                <w:spacing w:val="-4"/>
              </w:rPr>
              <w:t> </w:t>
            </w:r>
            <w:r>
              <w:rPr/>
              <w:t>Equality</w:t>
            </w:r>
            <w:r>
              <w:rPr>
                <w:spacing w:val="-2"/>
              </w:rPr>
              <w:t> Legislation</w:t>
            </w:r>
            <w:r>
              <w:rPr>
                <w:rFonts w:ascii="Times New Roman"/>
              </w:rPr>
              <w:tab/>
            </w:r>
            <w:r>
              <w:rPr>
                <w:spacing w:val="-5"/>
              </w:rPr>
              <w:t>41</w:t>
            </w:r>
          </w:hyperlink>
        </w:p>
        <w:p>
          <w:pPr>
            <w:pStyle w:val="TOC5"/>
            <w:tabs>
              <w:tab w:pos="10771" w:val="right" w:leader="none"/>
            </w:tabs>
          </w:pPr>
          <w:hyperlink w:history="true" w:anchor="_bookmark17">
            <w:r>
              <w:rPr/>
              <w:t>Binding</w:t>
            </w:r>
            <w:r>
              <w:rPr>
                <w:spacing w:val="-5"/>
              </w:rPr>
              <w:t> </w:t>
            </w:r>
            <w:r>
              <w:rPr/>
              <w:t>Standards</w:t>
            </w:r>
            <w:r>
              <w:rPr>
                <w:spacing w:val="-6"/>
              </w:rPr>
              <w:t> </w:t>
            </w:r>
            <w:r>
              <w:rPr/>
              <w:t>for</w:t>
            </w:r>
            <w:r>
              <w:rPr>
                <w:spacing w:val="-5"/>
              </w:rPr>
              <w:t> </w:t>
            </w:r>
            <w:r>
              <w:rPr/>
              <w:t>Equality</w:t>
            </w:r>
            <w:r>
              <w:rPr>
                <w:spacing w:val="-4"/>
              </w:rPr>
              <w:t> </w:t>
            </w:r>
            <w:r>
              <w:rPr>
                <w:spacing w:val="-2"/>
              </w:rPr>
              <w:t>Bodies</w:t>
            </w:r>
            <w:r>
              <w:rPr>
                <w:rFonts w:ascii="Times New Roman"/>
              </w:rPr>
              <w:tab/>
            </w:r>
            <w:r>
              <w:rPr>
                <w:spacing w:val="-5"/>
              </w:rPr>
              <w:t>45</w:t>
            </w:r>
          </w:hyperlink>
        </w:p>
        <w:p>
          <w:pPr>
            <w:pStyle w:val="TOC5"/>
            <w:tabs>
              <w:tab w:pos="10771" w:val="right" w:leader="none"/>
            </w:tabs>
          </w:pPr>
          <w:hyperlink w:history="true" w:anchor="_bookmark18">
            <w:r>
              <w:rPr/>
              <w:t>Age</w:t>
            </w:r>
            <w:r>
              <w:rPr>
                <w:spacing w:val="-3"/>
              </w:rPr>
              <w:t> </w:t>
            </w:r>
            <w:r>
              <w:rPr>
                <w:spacing w:val="-2"/>
              </w:rPr>
              <w:t>Discrimination</w:t>
            </w:r>
            <w:r>
              <w:rPr>
                <w:rFonts w:ascii="Times New Roman"/>
              </w:rPr>
              <w:tab/>
            </w:r>
            <w:r>
              <w:rPr>
                <w:spacing w:val="-5"/>
              </w:rPr>
              <w:t>47</w:t>
            </w:r>
          </w:hyperlink>
        </w:p>
        <w:p>
          <w:pPr>
            <w:pStyle w:val="TOC5"/>
            <w:tabs>
              <w:tab w:pos="10771" w:val="right" w:leader="none"/>
            </w:tabs>
          </w:pPr>
          <w:hyperlink w:history="true" w:anchor="_bookmark19">
            <w:r>
              <w:rPr/>
              <w:t>Disability </w:t>
            </w:r>
            <w:r>
              <w:rPr>
                <w:spacing w:val="-2"/>
              </w:rPr>
              <w:t>Equality</w:t>
            </w:r>
            <w:r>
              <w:rPr>
                <w:rFonts w:ascii="Times New Roman"/>
              </w:rPr>
              <w:tab/>
            </w:r>
            <w:r>
              <w:rPr>
                <w:spacing w:val="-5"/>
              </w:rPr>
              <w:t>49</w:t>
            </w:r>
          </w:hyperlink>
        </w:p>
        <w:p>
          <w:pPr>
            <w:pStyle w:val="TOC5"/>
            <w:tabs>
              <w:tab w:pos="10771" w:val="right" w:leader="none"/>
            </w:tabs>
          </w:pPr>
          <w:hyperlink w:history="true" w:anchor="_bookmark20">
            <w:r>
              <w:rPr/>
              <w:t>Discrimination</w:t>
            </w:r>
            <w:r>
              <w:rPr>
                <w:spacing w:val="-8"/>
              </w:rPr>
              <w:t> </w:t>
            </w:r>
            <w:r>
              <w:rPr/>
              <w:t>on</w:t>
            </w:r>
            <w:r>
              <w:rPr>
                <w:spacing w:val="-7"/>
              </w:rPr>
              <w:t> </w:t>
            </w:r>
            <w:r>
              <w:rPr/>
              <w:t>Grounds</w:t>
            </w:r>
            <w:r>
              <w:rPr>
                <w:spacing w:val="-7"/>
              </w:rPr>
              <w:t> </w:t>
            </w:r>
            <w:r>
              <w:rPr/>
              <w:t>of</w:t>
            </w:r>
            <w:r>
              <w:rPr>
                <w:spacing w:val="-7"/>
              </w:rPr>
              <w:t> </w:t>
            </w:r>
            <w:r>
              <w:rPr/>
              <w:t>Sexual</w:t>
            </w:r>
            <w:r>
              <w:rPr>
                <w:spacing w:val="-7"/>
              </w:rPr>
              <w:t> </w:t>
            </w:r>
            <w:r>
              <w:rPr>
                <w:spacing w:val="-2"/>
              </w:rPr>
              <w:t>Orientation</w:t>
            </w:r>
            <w:r>
              <w:rPr>
                <w:rFonts w:ascii="Times New Roman"/>
              </w:rPr>
              <w:tab/>
            </w:r>
            <w:r>
              <w:rPr>
                <w:spacing w:val="-5"/>
              </w:rPr>
              <w:t>56</w:t>
            </w:r>
          </w:hyperlink>
        </w:p>
        <w:p>
          <w:pPr>
            <w:pStyle w:val="TOC5"/>
            <w:tabs>
              <w:tab w:pos="10771" w:val="right" w:leader="none"/>
            </w:tabs>
          </w:pPr>
          <w:hyperlink w:history="true" w:anchor="_bookmark21">
            <w:r>
              <w:rPr/>
              <w:t>Gender </w:t>
            </w:r>
            <w:r>
              <w:rPr>
                <w:spacing w:val="-2"/>
              </w:rPr>
              <w:t>Equality</w:t>
            </w:r>
            <w:r>
              <w:rPr>
                <w:rFonts w:ascii="Times New Roman"/>
              </w:rPr>
              <w:tab/>
            </w:r>
            <w:r>
              <w:rPr>
                <w:spacing w:val="-5"/>
              </w:rPr>
              <w:t>58</w:t>
            </w:r>
          </w:hyperlink>
        </w:p>
        <w:p>
          <w:pPr>
            <w:pStyle w:val="TOC5"/>
            <w:tabs>
              <w:tab w:pos="10771" w:val="right" w:leader="none"/>
            </w:tabs>
          </w:pPr>
          <w:hyperlink w:history="true" w:anchor="_bookmark22">
            <w:r>
              <w:rPr/>
              <w:t>Racial</w:t>
            </w:r>
            <w:r>
              <w:rPr>
                <w:spacing w:val="-8"/>
              </w:rPr>
              <w:t> </w:t>
            </w:r>
            <w:r>
              <w:rPr>
                <w:spacing w:val="-2"/>
              </w:rPr>
              <w:t>Equality</w:t>
            </w:r>
            <w:r>
              <w:rPr>
                <w:rFonts w:ascii="Times New Roman"/>
              </w:rPr>
              <w:tab/>
            </w:r>
            <w:r>
              <w:rPr>
                <w:spacing w:val="-5"/>
              </w:rPr>
              <w:t>61</w:t>
            </w:r>
          </w:hyperlink>
        </w:p>
        <w:p>
          <w:pPr>
            <w:pStyle w:val="TOC5"/>
            <w:tabs>
              <w:tab w:pos="10771" w:val="right" w:leader="none"/>
            </w:tabs>
          </w:pPr>
          <w:hyperlink w:history="true" w:anchor="_bookmark23">
            <w:r>
              <w:rPr>
                <w:spacing w:val="-2"/>
              </w:rPr>
              <w:t>Sectarianism</w:t>
            </w:r>
            <w:r>
              <w:rPr>
                <w:rFonts w:ascii="Times New Roman"/>
              </w:rPr>
              <w:tab/>
            </w:r>
            <w:r>
              <w:rPr>
                <w:spacing w:val="-5"/>
              </w:rPr>
              <w:t>68</w:t>
            </w:r>
          </w:hyperlink>
        </w:p>
        <w:p>
          <w:pPr>
            <w:pStyle w:val="TOC5"/>
            <w:tabs>
              <w:tab w:pos="10771" w:val="right" w:leader="none"/>
            </w:tabs>
            <w:spacing w:line="331" w:lineRule="exact" w:after="220"/>
          </w:pPr>
          <w:hyperlink w:history="true" w:anchor="_bookmark24">
            <w:r>
              <w:rPr>
                <w:spacing w:val="-4"/>
              </w:rPr>
              <w:t>Trans</w:t>
            </w:r>
            <w:r>
              <w:rPr>
                <w:spacing w:val="-7"/>
              </w:rPr>
              <w:t> </w:t>
            </w:r>
            <w:r>
              <w:rPr>
                <w:spacing w:val="-2"/>
              </w:rPr>
              <w:t>Equality</w:t>
            </w:r>
            <w:r>
              <w:rPr>
                <w:rFonts w:ascii="Times New Roman"/>
              </w:rPr>
              <w:tab/>
            </w:r>
            <w:r>
              <w:rPr>
                <w:spacing w:val="-5"/>
              </w:rPr>
              <w:t>70</w:t>
            </w:r>
          </w:hyperlink>
        </w:p>
        <w:p>
          <w:pPr>
            <w:pStyle w:val="TOC3"/>
            <w:tabs>
              <w:tab w:pos="10771" w:val="right" w:leader="none"/>
            </w:tabs>
            <w:spacing w:line="331" w:lineRule="exact" w:before="507"/>
          </w:pPr>
          <w:hyperlink w:history="true" w:anchor="_bookmark25">
            <w:r>
              <w:rPr/>
              <w:t>Victims’</w:t>
            </w:r>
            <w:r>
              <w:rPr>
                <w:spacing w:val="-6"/>
              </w:rPr>
              <w:t> </w:t>
            </w:r>
            <w:r>
              <w:rPr/>
              <w:t>Rights</w:t>
            </w:r>
            <w:r>
              <w:rPr>
                <w:spacing w:val="-5"/>
              </w:rPr>
              <w:t> </w:t>
            </w:r>
            <w:r>
              <w:rPr/>
              <w:t>and</w:t>
            </w:r>
            <w:r>
              <w:rPr>
                <w:spacing w:val="-6"/>
              </w:rPr>
              <w:t> </w:t>
            </w:r>
            <w:r>
              <w:rPr/>
              <w:t>Freedom</w:t>
            </w:r>
            <w:r>
              <w:rPr>
                <w:spacing w:val="-6"/>
              </w:rPr>
              <w:t> </w:t>
            </w:r>
            <w:r>
              <w:rPr/>
              <w:t>from</w:t>
            </w:r>
            <w:r>
              <w:rPr>
                <w:spacing w:val="-7"/>
              </w:rPr>
              <w:t> </w:t>
            </w:r>
            <w:r>
              <w:rPr>
                <w:spacing w:val="-2"/>
              </w:rPr>
              <w:t>Slavery</w:t>
            </w:r>
            <w:r>
              <w:rPr>
                <w:rFonts w:ascii="Times New Roman" w:hAnsi="Times New Roman"/>
                <w:b w:val="0"/>
              </w:rPr>
              <w:tab/>
            </w:r>
            <w:r>
              <w:rPr>
                <w:spacing w:val="-5"/>
              </w:rPr>
              <w:t>72</w:t>
            </w:r>
          </w:hyperlink>
        </w:p>
        <w:p>
          <w:pPr>
            <w:pStyle w:val="TOC5"/>
            <w:tabs>
              <w:tab w:pos="10771" w:val="right" w:leader="none"/>
            </w:tabs>
          </w:pPr>
          <w:hyperlink w:history="true" w:anchor="_bookmark26">
            <w:r>
              <w:rPr/>
              <w:t>Child,</w:t>
            </w:r>
            <w:r>
              <w:rPr>
                <w:spacing w:val="-5"/>
              </w:rPr>
              <w:t> </w:t>
            </w:r>
            <w:r>
              <w:rPr/>
              <w:t>Early</w:t>
            </w:r>
            <w:r>
              <w:rPr>
                <w:spacing w:val="-4"/>
              </w:rPr>
              <w:t> </w:t>
            </w:r>
            <w:r>
              <w:rPr/>
              <w:t>and</w:t>
            </w:r>
            <w:r>
              <w:rPr>
                <w:spacing w:val="-5"/>
              </w:rPr>
              <w:t> </w:t>
            </w:r>
            <w:r>
              <w:rPr/>
              <w:t>Forced</w:t>
            </w:r>
            <w:r>
              <w:rPr>
                <w:spacing w:val="-5"/>
              </w:rPr>
              <w:t> </w:t>
            </w:r>
            <w:r>
              <w:rPr>
                <w:spacing w:val="-2"/>
              </w:rPr>
              <w:t>Marriage</w:t>
            </w:r>
            <w:r>
              <w:rPr>
                <w:rFonts w:ascii="Times New Roman"/>
              </w:rPr>
              <w:tab/>
            </w:r>
            <w:r>
              <w:rPr>
                <w:spacing w:val="-5"/>
              </w:rPr>
              <w:t>74</w:t>
            </w:r>
          </w:hyperlink>
        </w:p>
        <w:p>
          <w:pPr>
            <w:pStyle w:val="TOC5"/>
            <w:tabs>
              <w:tab w:pos="10771" w:val="right" w:leader="none"/>
            </w:tabs>
          </w:pPr>
          <w:hyperlink w:history="true" w:anchor="_bookmark27">
            <w:r>
              <w:rPr/>
              <w:t>Child</w:t>
            </w:r>
            <w:r>
              <w:rPr>
                <w:spacing w:val="-8"/>
              </w:rPr>
              <w:t> </w:t>
            </w:r>
            <w:r>
              <w:rPr/>
              <w:t>Sexual</w:t>
            </w:r>
            <w:r>
              <w:rPr>
                <w:spacing w:val="-7"/>
              </w:rPr>
              <w:t> </w:t>
            </w:r>
            <w:r>
              <w:rPr>
                <w:spacing w:val="-2"/>
              </w:rPr>
              <w:t>Exploitation</w:t>
            </w:r>
            <w:r>
              <w:rPr>
                <w:rFonts w:ascii="Times New Roman"/>
              </w:rPr>
              <w:tab/>
            </w:r>
            <w:r>
              <w:rPr>
                <w:spacing w:val="-5"/>
              </w:rPr>
              <w:t>75</w:t>
            </w:r>
          </w:hyperlink>
        </w:p>
        <w:p>
          <w:pPr>
            <w:pStyle w:val="TOC5"/>
            <w:tabs>
              <w:tab w:pos="10771" w:val="right" w:leader="none"/>
            </w:tabs>
          </w:pPr>
          <w:hyperlink w:history="true" w:anchor="_bookmark28">
            <w:r>
              <w:rPr/>
              <w:t>Domestic</w:t>
            </w:r>
            <w:r>
              <w:rPr>
                <w:spacing w:val="-5"/>
              </w:rPr>
              <w:t> </w:t>
            </w:r>
            <w:r>
              <w:rPr/>
              <w:t>and</w:t>
            </w:r>
            <w:r>
              <w:rPr>
                <w:spacing w:val="-6"/>
              </w:rPr>
              <w:t> </w:t>
            </w:r>
            <w:r>
              <w:rPr/>
              <w:t>Sexual</w:t>
            </w:r>
            <w:r>
              <w:rPr>
                <w:spacing w:val="-6"/>
              </w:rPr>
              <w:t> </w:t>
            </w:r>
            <w:r>
              <w:rPr/>
              <w:t>Violence</w:t>
            </w:r>
            <w:r>
              <w:rPr>
                <w:spacing w:val="-5"/>
              </w:rPr>
              <w:t> </w:t>
            </w:r>
            <w:r>
              <w:rPr/>
              <w:t>and</w:t>
            </w:r>
            <w:r>
              <w:rPr>
                <w:spacing w:val="-5"/>
              </w:rPr>
              <w:t> </w:t>
            </w:r>
            <w:r>
              <w:rPr>
                <w:spacing w:val="-2"/>
              </w:rPr>
              <w:t>Abuse</w:t>
            </w:r>
            <w:r>
              <w:rPr>
                <w:rFonts w:ascii="Times New Roman"/>
              </w:rPr>
              <w:tab/>
            </w:r>
            <w:r>
              <w:rPr>
                <w:spacing w:val="-5"/>
              </w:rPr>
              <w:t>79</w:t>
            </w:r>
          </w:hyperlink>
        </w:p>
        <w:p>
          <w:pPr>
            <w:pStyle w:val="TOC5"/>
            <w:tabs>
              <w:tab w:pos="10771" w:val="right" w:leader="none"/>
            </w:tabs>
          </w:pPr>
          <w:hyperlink w:history="true" w:anchor="_bookmark29">
            <w:r>
              <w:rPr/>
              <w:t>Female</w:t>
            </w:r>
            <w:r>
              <w:rPr>
                <w:spacing w:val="-6"/>
              </w:rPr>
              <w:t> </w:t>
            </w:r>
            <w:r>
              <w:rPr/>
              <w:t>Genital</w:t>
            </w:r>
            <w:r>
              <w:rPr>
                <w:spacing w:val="-5"/>
              </w:rPr>
              <w:t> </w:t>
            </w:r>
            <w:r>
              <w:rPr>
                <w:spacing w:val="-2"/>
              </w:rPr>
              <w:t>Mutilation</w:t>
            </w:r>
            <w:r>
              <w:rPr>
                <w:rFonts w:ascii="Times New Roman"/>
              </w:rPr>
              <w:tab/>
            </w:r>
            <w:r>
              <w:rPr>
                <w:spacing w:val="-5"/>
              </w:rPr>
              <w:t>85</w:t>
            </w:r>
          </w:hyperlink>
        </w:p>
        <w:p>
          <w:pPr>
            <w:pStyle w:val="TOC5"/>
            <w:tabs>
              <w:tab w:pos="10771" w:val="right" w:leader="none"/>
            </w:tabs>
          </w:pPr>
          <w:hyperlink w:history="true" w:anchor="_bookmark30">
            <w:r>
              <w:rPr/>
              <w:t>Hate</w:t>
            </w:r>
            <w:r>
              <w:rPr>
                <w:spacing w:val="-7"/>
              </w:rPr>
              <w:t> </w:t>
            </w:r>
            <w:r>
              <w:rPr>
                <w:spacing w:val="-2"/>
              </w:rPr>
              <w:t>Crime</w:t>
            </w:r>
            <w:r>
              <w:rPr>
                <w:rFonts w:ascii="Times New Roman"/>
              </w:rPr>
              <w:tab/>
            </w:r>
            <w:r>
              <w:rPr>
                <w:spacing w:val="-5"/>
              </w:rPr>
              <w:t>87</w:t>
            </w:r>
          </w:hyperlink>
        </w:p>
        <w:p>
          <w:pPr>
            <w:pStyle w:val="TOC5"/>
            <w:tabs>
              <w:tab w:pos="10771" w:val="right" w:leader="none"/>
            </w:tabs>
          </w:pPr>
          <w:hyperlink w:history="true" w:anchor="_bookmark31">
            <w:r>
              <w:rPr>
                <w:spacing w:val="-2"/>
              </w:rPr>
              <w:t>Legacy</w:t>
            </w:r>
            <w:r>
              <w:rPr>
                <w:rFonts w:ascii="Times New Roman"/>
              </w:rPr>
              <w:tab/>
            </w:r>
            <w:r>
              <w:rPr>
                <w:spacing w:val="-5"/>
              </w:rPr>
              <w:t>89</w:t>
            </w:r>
          </w:hyperlink>
        </w:p>
        <w:p>
          <w:pPr>
            <w:pStyle w:val="TOC5"/>
            <w:tabs>
              <w:tab w:pos="10771" w:val="right" w:leader="none"/>
            </w:tabs>
            <w:spacing w:line="331" w:lineRule="exact"/>
          </w:pPr>
          <w:hyperlink w:history="true" w:anchor="_bookmark32">
            <w:r>
              <w:rPr/>
              <w:t>Modern</w:t>
            </w:r>
            <w:r>
              <w:rPr>
                <w:spacing w:val="-6"/>
              </w:rPr>
              <w:t> </w:t>
            </w:r>
            <w:r>
              <w:rPr/>
              <w:t>Slavery</w:t>
            </w:r>
            <w:r>
              <w:rPr>
                <w:spacing w:val="-5"/>
              </w:rPr>
              <w:t> </w:t>
            </w:r>
            <w:r>
              <w:rPr/>
              <w:t>and</w:t>
            </w:r>
            <w:r>
              <w:rPr>
                <w:spacing w:val="-5"/>
              </w:rPr>
              <w:t> </w:t>
            </w:r>
            <w:r>
              <w:rPr/>
              <w:t>Human</w:t>
            </w:r>
            <w:r>
              <w:rPr>
                <w:spacing w:val="-5"/>
              </w:rPr>
              <w:t> </w:t>
            </w:r>
            <w:r>
              <w:rPr>
                <w:spacing w:val="-2"/>
              </w:rPr>
              <w:t>Trafficking</w:t>
            </w:r>
            <w:r>
              <w:rPr>
                <w:rFonts w:ascii="Times New Roman"/>
              </w:rPr>
              <w:tab/>
            </w:r>
            <w:r>
              <w:rPr>
                <w:spacing w:val="-5"/>
              </w:rPr>
              <w:t>94</w:t>
            </w:r>
          </w:hyperlink>
        </w:p>
        <w:p>
          <w:pPr>
            <w:pStyle w:val="TOC3"/>
            <w:tabs>
              <w:tab w:pos="10771" w:val="right" w:leader="none"/>
            </w:tabs>
            <w:spacing w:line="331" w:lineRule="exact"/>
          </w:pPr>
          <w:hyperlink w:history="true" w:anchor="_bookmark33">
            <w:r>
              <w:rPr/>
              <w:t>Migrants’</w:t>
            </w:r>
            <w:r>
              <w:rPr>
                <w:spacing w:val="-13"/>
              </w:rPr>
              <w:t> </w:t>
            </w:r>
            <w:r>
              <w:rPr>
                <w:spacing w:val="-2"/>
              </w:rPr>
              <w:t>Rights</w:t>
            </w:r>
            <w:r>
              <w:rPr>
                <w:rFonts w:ascii="Times New Roman" w:hAnsi="Times New Roman"/>
                <w:b w:val="0"/>
              </w:rPr>
              <w:tab/>
            </w:r>
            <w:r>
              <w:rPr>
                <w:spacing w:val="-5"/>
              </w:rPr>
              <w:t>98</w:t>
            </w:r>
          </w:hyperlink>
        </w:p>
        <w:p>
          <w:pPr>
            <w:pStyle w:val="TOC5"/>
            <w:tabs>
              <w:tab w:pos="10771" w:val="right" w:leader="none"/>
            </w:tabs>
          </w:pPr>
          <w:hyperlink w:history="true" w:anchor="_bookmark34">
            <w:r>
              <w:rPr/>
              <w:t>Refugees</w:t>
            </w:r>
            <w:r>
              <w:rPr>
                <w:spacing w:val="-9"/>
              </w:rPr>
              <w:t> </w:t>
            </w:r>
            <w:r>
              <w:rPr/>
              <w:t>and</w:t>
            </w:r>
            <w:r>
              <w:rPr>
                <w:spacing w:val="-8"/>
              </w:rPr>
              <w:t> </w:t>
            </w:r>
            <w:r>
              <w:rPr/>
              <w:t>Asylum</w:t>
            </w:r>
            <w:r>
              <w:rPr>
                <w:spacing w:val="-7"/>
              </w:rPr>
              <w:t> </w:t>
            </w:r>
            <w:r>
              <w:rPr>
                <w:spacing w:val="-2"/>
              </w:rPr>
              <w:t>Seekers</w:t>
            </w:r>
            <w:r>
              <w:rPr>
                <w:rFonts w:ascii="Times New Roman"/>
              </w:rPr>
              <w:tab/>
            </w:r>
            <w:r>
              <w:rPr>
                <w:spacing w:val="-5"/>
              </w:rPr>
              <w:t>99</w:t>
            </w:r>
          </w:hyperlink>
        </w:p>
        <w:p>
          <w:pPr>
            <w:pStyle w:val="TOC5"/>
            <w:tabs>
              <w:tab w:pos="10759" w:val="right" w:leader="none"/>
            </w:tabs>
            <w:spacing w:line="331" w:lineRule="exact"/>
          </w:pPr>
          <w:hyperlink w:history="true" w:anchor="_bookmark35">
            <w:r>
              <w:rPr/>
              <w:t>Migrants’</w:t>
            </w:r>
            <w:r>
              <w:rPr>
                <w:spacing w:val="-3"/>
              </w:rPr>
              <w:t> </w:t>
            </w:r>
            <w:r>
              <w:rPr/>
              <w:t>Rights</w:t>
            </w:r>
            <w:r>
              <w:rPr>
                <w:spacing w:val="-4"/>
              </w:rPr>
              <w:t> </w:t>
            </w:r>
            <w:r>
              <w:rPr/>
              <w:t>–</w:t>
            </w:r>
            <w:r>
              <w:rPr>
                <w:spacing w:val="-3"/>
              </w:rPr>
              <w:t> </w:t>
            </w:r>
            <w:r>
              <w:rPr/>
              <w:t>Case</w:t>
            </w:r>
            <w:r>
              <w:rPr>
                <w:spacing w:val="-3"/>
              </w:rPr>
              <w:t> </w:t>
            </w:r>
            <w:r>
              <w:rPr/>
              <w:t>Law</w:t>
            </w:r>
            <w:r>
              <w:rPr>
                <w:spacing w:val="-2"/>
              </w:rPr>
              <w:t> </w:t>
            </w:r>
            <w:r>
              <w:rPr/>
              <w:t>of</w:t>
            </w:r>
            <w:r>
              <w:rPr>
                <w:spacing w:val="-4"/>
              </w:rPr>
              <w:t> </w:t>
            </w:r>
            <w:r>
              <w:rPr/>
              <w:t>the</w:t>
            </w:r>
            <w:r>
              <w:rPr>
                <w:spacing w:val="-3"/>
              </w:rPr>
              <w:t> </w:t>
            </w:r>
            <w:r>
              <w:rPr/>
              <w:t>Court</w:t>
            </w:r>
            <w:r>
              <w:rPr>
                <w:spacing w:val="-2"/>
              </w:rPr>
              <w:t> </w:t>
            </w:r>
            <w:r>
              <w:rPr/>
              <w:t>of</w:t>
            </w:r>
            <w:r>
              <w:rPr>
                <w:spacing w:val="-4"/>
              </w:rPr>
              <w:t> </w:t>
            </w:r>
            <w:r>
              <w:rPr/>
              <w:t>Justice</w:t>
            </w:r>
            <w:r>
              <w:rPr>
                <w:spacing w:val="-2"/>
              </w:rPr>
              <w:t> </w:t>
            </w:r>
            <w:r>
              <w:rPr/>
              <w:t>of</w:t>
            </w:r>
            <w:r>
              <w:rPr>
                <w:spacing w:val="-4"/>
              </w:rPr>
              <w:t> </w:t>
            </w:r>
            <w:r>
              <w:rPr/>
              <w:t>the</w:t>
            </w:r>
            <w:r>
              <w:rPr>
                <w:spacing w:val="-3"/>
              </w:rPr>
              <w:t> </w:t>
            </w:r>
            <w:r>
              <w:rPr>
                <w:spacing w:val="-5"/>
              </w:rPr>
              <w:t>EU</w:t>
            </w:r>
            <w:r>
              <w:rPr>
                <w:rFonts w:ascii="Times New Roman" w:hAnsi="Times New Roman"/>
              </w:rPr>
              <w:tab/>
            </w:r>
            <w:r>
              <w:rPr>
                <w:spacing w:val="-5"/>
              </w:rPr>
              <w:t>107</w:t>
            </w:r>
          </w:hyperlink>
        </w:p>
        <w:p>
          <w:pPr>
            <w:pStyle w:val="TOC3"/>
            <w:tabs>
              <w:tab w:pos="10759" w:val="right" w:leader="none"/>
            </w:tabs>
            <w:spacing w:line="331" w:lineRule="exact" w:before="299"/>
          </w:pPr>
          <w:hyperlink w:history="true" w:anchor="_bookmark36">
            <w:r>
              <w:rPr/>
              <w:t>Employment</w:t>
            </w:r>
            <w:r>
              <w:rPr>
                <w:spacing w:val="-5"/>
              </w:rPr>
              <w:t> </w:t>
            </w:r>
            <w:r>
              <w:rPr>
                <w:spacing w:val="-2"/>
              </w:rPr>
              <w:t>Rights</w:t>
            </w:r>
            <w:r>
              <w:rPr>
                <w:rFonts w:ascii="Times New Roman"/>
                <w:b w:val="0"/>
              </w:rPr>
              <w:tab/>
            </w:r>
            <w:r>
              <w:rPr>
                <w:spacing w:val="-5"/>
              </w:rPr>
              <w:t>108</w:t>
            </w:r>
          </w:hyperlink>
        </w:p>
        <w:p>
          <w:pPr>
            <w:pStyle w:val="TOC5"/>
            <w:tabs>
              <w:tab w:pos="10759" w:val="right" w:leader="none"/>
            </w:tabs>
          </w:pPr>
          <w:hyperlink w:history="true" w:anchor="_bookmark36">
            <w:r>
              <w:rPr/>
              <w:t>Employment</w:t>
            </w:r>
            <w:r>
              <w:rPr>
                <w:spacing w:val="-12"/>
              </w:rPr>
              <w:t> </w:t>
            </w:r>
            <w:r>
              <w:rPr>
                <w:spacing w:val="-2"/>
              </w:rPr>
              <w:t>Equality</w:t>
            </w:r>
            <w:r>
              <w:rPr>
                <w:rFonts w:ascii="Times New Roman"/>
              </w:rPr>
              <w:tab/>
            </w:r>
            <w:r>
              <w:rPr>
                <w:spacing w:val="-5"/>
              </w:rPr>
              <w:t>108</w:t>
            </w:r>
          </w:hyperlink>
        </w:p>
        <w:p>
          <w:pPr>
            <w:pStyle w:val="TOC5"/>
            <w:tabs>
              <w:tab w:pos="10759" w:val="right" w:leader="none"/>
            </w:tabs>
          </w:pPr>
          <w:hyperlink w:history="true" w:anchor="_bookmark37">
            <w:r>
              <w:rPr/>
              <w:t>Gender</w:t>
            </w:r>
            <w:r>
              <w:rPr>
                <w:spacing w:val="-9"/>
              </w:rPr>
              <w:t> </w:t>
            </w:r>
            <w:r>
              <w:rPr/>
              <w:t>Pay</w:t>
            </w:r>
            <w:r>
              <w:rPr>
                <w:spacing w:val="-6"/>
              </w:rPr>
              <w:t> </w:t>
            </w:r>
            <w:r>
              <w:rPr>
                <w:spacing w:val="-5"/>
              </w:rPr>
              <w:t>Gap</w:t>
            </w:r>
            <w:r>
              <w:rPr>
                <w:rFonts w:ascii="Times New Roman"/>
              </w:rPr>
              <w:tab/>
            </w:r>
            <w:r>
              <w:rPr>
                <w:spacing w:val="-5"/>
              </w:rPr>
              <w:t>110</w:t>
            </w:r>
          </w:hyperlink>
        </w:p>
        <w:p>
          <w:pPr>
            <w:pStyle w:val="TOC5"/>
            <w:tabs>
              <w:tab w:pos="10759" w:val="right" w:leader="none"/>
            </w:tabs>
          </w:pPr>
          <w:hyperlink w:history="true" w:anchor="_bookmark38">
            <w:r>
              <w:rPr/>
              <w:t>Right</w:t>
            </w:r>
            <w:r>
              <w:rPr>
                <w:spacing w:val="-4"/>
              </w:rPr>
              <w:t> </w:t>
            </w:r>
            <w:r>
              <w:rPr/>
              <w:t>to</w:t>
            </w:r>
            <w:r>
              <w:rPr>
                <w:spacing w:val="-4"/>
              </w:rPr>
              <w:t> </w:t>
            </w:r>
            <w:r>
              <w:rPr/>
              <w:t>Privacy</w:t>
            </w:r>
            <w:r>
              <w:rPr>
                <w:spacing w:val="-3"/>
              </w:rPr>
              <w:t> </w:t>
            </w:r>
            <w:r>
              <w:rPr/>
              <w:t>and</w:t>
            </w:r>
            <w:r>
              <w:rPr>
                <w:spacing w:val="-5"/>
              </w:rPr>
              <w:t> </w:t>
            </w:r>
            <w:r>
              <w:rPr/>
              <w:t>Surveillance</w:t>
            </w:r>
            <w:r>
              <w:rPr>
                <w:spacing w:val="-3"/>
              </w:rPr>
              <w:t> </w:t>
            </w:r>
            <w:r>
              <w:rPr/>
              <w:t>at</w:t>
            </w:r>
            <w:r>
              <w:rPr>
                <w:spacing w:val="-3"/>
              </w:rPr>
              <w:t> </w:t>
            </w:r>
            <w:r>
              <w:rPr>
                <w:spacing w:val="-4"/>
              </w:rPr>
              <w:t>Work</w:t>
            </w:r>
            <w:r>
              <w:rPr>
                <w:rFonts w:ascii="Times New Roman"/>
              </w:rPr>
              <w:tab/>
            </w:r>
            <w:r>
              <w:rPr>
                <w:spacing w:val="-5"/>
              </w:rPr>
              <w:t>114</w:t>
            </w:r>
          </w:hyperlink>
        </w:p>
        <w:p>
          <w:pPr>
            <w:pStyle w:val="TOC5"/>
            <w:tabs>
              <w:tab w:pos="10759" w:val="right" w:leader="none"/>
            </w:tabs>
            <w:spacing w:line="331" w:lineRule="exact"/>
          </w:pPr>
          <w:hyperlink w:history="true" w:anchor="_bookmark38">
            <w:r>
              <w:rPr>
                <w:spacing w:val="-4"/>
              </w:rPr>
              <w:t>Work-Life</w:t>
            </w:r>
            <w:r>
              <w:rPr>
                <w:spacing w:val="3"/>
              </w:rPr>
              <w:t> </w:t>
            </w:r>
            <w:r>
              <w:rPr>
                <w:spacing w:val="-4"/>
              </w:rPr>
              <w:t>Balance</w:t>
            </w:r>
            <w:r>
              <w:rPr>
                <w:rFonts w:ascii="Times New Roman"/>
              </w:rPr>
              <w:tab/>
            </w:r>
            <w:r>
              <w:rPr>
                <w:spacing w:val="-5"/>
              </w:rPr>
              <w:t>114</w:t>
            </w:r>
          </w:hyperlink>
        </w:p>
        <w:p>
          <w:pPr>
            <w:pStyle w:val="TOC3"/>
            <w:tabs>
              <w:tab w:pos="10759" w:val="right" w:leader="none"/>
            </w:tabs>
            <w:spacing w:line="331" w:lineRule="exact"/>
          </w:pPr>
          <w:hyperlink w:history="true" w:anchor="_bookmark39">
            <w:r>
              <w:rPr>
                <w:spacing w:val="-2"/>
              </w:rPr>
              <w:t>Democratic</w:t>
            </w:r>
            <w:r>
              <w:rPr/>
              <w:t> </w:t>
            </w:r>
            <w:r>
              <w:rPr>
                <w:spacing w:val="-2"/>
              </w:rPr>
              <w:t>Rights</w:t>
            </w:r>
            <w:r>
              <w:rPr>
                <w:rFonts w:ascii="Times New Roman"/>
                <w:b w:val="0"/>
              </w:rPr>
              <w:tab/>
            </w:r>
            <w:r>
              <w:rPr>
                <w:spacing w:val="-5"/>
              </w:rPr>
              <w:t>116</w:t>
            </w:r>
          </w:hyperlink>
        </w:p>
        <w:p>
          <w:pPr>
            <w:pStyle w:val="TOC5"/>
            <w:tabs>
              <w:tab w:pos="10759" w:val="right" w:leader="none"/>
            </w:tabs>
            <w:spacing w:line="331" w:lineRule="exact"/>
          </w:pPr>
          <w:hyperlink w:history="true" w:anchor="_bookmark39">
            <w:r>
              <w:rPr/>
              <w:t>Elections</w:t>
            </w:r>
            <w:r>
              <w:rPr>
                <w:spacing w:val="-11"/>
              </w:rPr>
              <w:t> </w:t>
            </w:r>
            <w:r>
              <w:rPr/>
              <w:t>Act</w:t>
            </w:r>
            <w:r>
              <w:rPr>
                <w:spacing w:val="-9"/>
              </w:rPr>
              <w:t> </w:t>
            </w:r>
            <w:r>
              <w:rPr>
                <w:spacing w:val="-4"/>
              </w:rPr>
              <w:t>2022</w:t>
            </w:r>
            <w:r>
              <w:rPr>
                <w:rFonts w:ascii="Times New Roman"/>
              </w:rPr>
              <w:tab/>
            </w:r>
            <w:r>
              <w:rPr>
                <w:spacing w:val="-5"/>
              </w:rPr>
              <w:t>116</w:t>
            </w:r>
          </w:hyperlink>
        </w:p>
        <w:p>
          <w:pPr>
            <w:pStyle w:val="TOC3"/>
            <w:tabs>
              <w:tab w:pos="10759" w:val="right" w:leader="none"/>
            </w:tabs>
            <w:spacing w:line="331" w:lineRule="exact"/>
          </w:pPr>
          <w:hyperlink w:history="true" w:anchor="_bookmark40">
            <w:r>
              <w:rPr/>
              <w:t>Right</w:t>
            </w:r>
            <w:r>
              <w:rPr>
                <w:spacing w:val="-3"/>
              </w:rPr>
              <w:t> </w:t>
            </w:r>
            <w:r>
              <w:rPr/>
              <w:t>to</w:t>
            </w:r>
            <w:r>
              <w:rPr>
                <w:spacing w:val="-3"/>
              </w:rPr>
              <w:t> </w:t>
            </w:r>
            <w:r>
              <w:rPr>
                <w:spacing w:val="-2"/>
              </w:rPr>
              <w:t>Education</w:t>
            </w:r>
            <w:r>
              <w:rPr>
                <w:rFonts w:ascii="Times New Roman"/>
                <w:b w:val="0"/>
              </w:rPr>
              <w:tab/>
            </w:r>
            <w:r>
              <w:rPr>
                <w:spacing w:val="-5"/>
              </w:rPr>
              <w:t>117</w:t>
            </w:r>
          </w:hyperlink>
        </w:p>
        <w:p>
          <w:pPr>
            <w:pStyle w:val="TOC5"/>
            <w:tabs>
              <w:tab w:pos="10759" w:val="right" w:leader="none"/>
            </w:tabs>
            <w:spacing w:line="331" w:lineRule="exact"/>
          </w:pPr>
          <w:hyperlink w:history="true" w:anchor="_bookmark40">
            <w:r>
              <w:rPr/>
              <w:t>Migrant</w:t>
            </w:r>
            <w:r>
              <w:rPr>
                <w:spacing w:val="-4"/>
              </w:rPr>
              <w:t> </w:t>
            </w:r>
            <w:r>
              <w:rPr/>
              <w:t>and</w:t>
            </w:r>
            <w:r>
              <w:rPr>
                <w:spacing w:val="-5"/>
              </w:rPr>
              <w:t> </w:t>
            </w:r>
            <w:r>
              <w:rPr/>
              <w:t>Minority</w:t>
            </w:r>
            <w:r>
              <w:rPr>
                <w:spacing w:val="-4"/>
              </w:rPr>
              <w:t> </w:t>
            </w:r>
            <w:r>
              <w:rPr/>
              <w:t>Ethnic</w:t>
            </w:r>
            <w:r>
              <w:rPr>
                <w:spacing w:val="-3"/>
              </w:rPr>
              <w:t> </w:t>
            </w:r>
            <w:r>
              <w:rPr>
                <w:spacing w:val="-2"/>
              </w:rPr>
              <w:t>Children</w:t>
            </w:r>
            <w:r>
              <w:rPr>
                <w:rFonts w:ascii="Times New Roman"/>
              </w:rPr>
              <w:tab/>
            </w:r>
            <w:r>
              <w:rPr>
                <w:spacing w:val="-5"/>
              </w:rPr>
              <w:t>117</w:t>
            </w:r>
          </w:hyperlink>
        </w:p>
        <w:p>
          <w:pPr>
            <w:pStyle w:val="TOC3"/>
            <w:tabs>
              <w:tab w:pos="10759" w:val="right" w:leader="none"/>
            </w:tabs>
          </w:pPr>
          <w:hyperlink w:history="true" w:anchor="_bookmark41">
            <w:r>
              <w:rPr>
                <w:spacing w:val="-2"/>
              </w:rPr>
              <w:t>Environmental</w:t>
            </w:r>
            <w:r>
              <w:rPr>
                <w:spacing w:val="10"/>
              </w:rPr>
              <w:t> </w:t>
            </w:r>
            <w:r>
              <w:rPr>
                <w:spacing w:val="-2"/>
              </w:rPr>
              <w:t>Rights</w:t>
            </w:r>
            <w:r>
              <w:rPr>
                <w:rFonts w:ascii="Times New Roman"/>
                <w:b w:val="0"/>
              </w:rPr>
              <w:tab/>
            </w:r>
            <w:r>
              <w:rPr>
                <w:spacing w:val="-5"/>
              </w:rPr>
              <w:t>120</w:t>
            </w:r>
          </w:hyperlink>
        </w:p>
        <w:p>
          <w:pPr>
            <w:pStyle w:val="TOC3"/>
            <w:tabs>
              <w:tab w:pos="10759" w:val="right" w:leader="none"/>
            </w:tabs>
            <w:spacing w:line="331" w:lineRule="exact"/>
          </w:pPr>
          <w:hyperlink w:history="true" w:anchor="_bookmark42">
            <w:r>
              <w:rPr/>
              <w:t>Administration</w:t>
            </w:r>
            <w:r>
              <w:rPr>
                <w:spacing w:val="-11"/>
              </w:rPr>
              <w:t> </w:t>
            </w:r>
            <w:r>
              <w:rPr/>
              <w:t>of</w:t>
            </w:r>
            <w:r>
              <w:rPr>
                <w:spacing w:val="-11"/>
              </w:rPr>
              <w:t> </w:t>
            </w:r>
            <w:r>
              <w:rPr>
                <w:spacing w:val="-2"/>
              </w:rPr>
              <w:t>Justice</w:t>
            </w:r>
            <w:r>
              <w:rPr>
                <w:rFonts w:ascii="Times New Roman"/>
                <w:b w:val="0"/>
              </w:rPr>
              <w:tab/>
            </w:r>
            <w:r>
              <w:rPr>
                <w:spacing w:val="-5"/>
              </w:rPr>
              <w:t>122</w:t>
            </w:r>
          </w:hyperlink>
        </w:p>
        <w:p>
          <w:pPr>
            <w:pStyle w:val="TOC5"/>
            <w:tabs>
              <w:tab w:pos="10759" w:val="right" w:leader="none"/>
            </w:tabs>
            <w:spacing w:line="331" w:lineRule="exact"/>
          </w:pPr>
          <w:hyperlink w:history="true" w:anchor="_bookmark42">
            <w:r>
              <w:rPr/>
              <w:t>Access</w:t>
            </w:r>
            <w:r>
              <w:rPr>
                <w:spacing w:val="-5"/>
              </w:rPr>
              <w:t> </w:t>
            </w:r>
            <w:r>
              <w:rPr/>
              <w:t>to</w:t>
            </w:r>
            <w:r>
              <w:rPr>
                <w:spacing w:val="-5"/>
              </w:rPr>
              <w:t> </w:t>
            </w:r>
            <w:r>
              <w:rPr>
                <w:spacing w:val="-2"/>
              </w:rPr>
              <w:t>Justice</w:t>
            </w:r>
            <w:r>
              <w:rPr>
                <w:rFonts w:ascii="Times New Roman"/>
              </w:rPr>
              <w:tab/>
            </w:r>
            <w:r>
              <w:rPr>
                <w:spacing w:val="-5"/>
              </w:rPr>
              <w:t>122</w:t>
            </w:r>
          </w:hyperlink>
        </w:p>
        <w:p>
          <w:pPr>
            <w:pStyle w:val="TOC3"/>
            <w:tabs>
              <w:tab w:pos="10759" w:val="right" w:leader="none"/>
            </w:tabs>
            <w:spacing w:line="331" w:lineRule="exact" w:before="299"/>
          </w:pPr>
          <w:hyperlink w:history="true" w:anchor="_bookmark43">
            <w:r>
              <w:rPr/>
              <w:t>Freedom</w:t>
            </w:r>
            <w:r>
              <w:rPr>
                <w:spacing w:val="-6"/>
              </w:rPr>
              <w:t> </w:t>
            </w:r>
            <w:r>
              <w:rPr/>
              <w:t>of</w:t>
            </w:r>
            <w:r>
              <w:rPr>
                <w:spacing w:val="-6"/>
              </w:rPr>
              <w:t> </w:t>
            </w:r>
            <w:r>
              <w:rPr>
                <w:spacing w:val="-2"/>
              </w:rPr>
              <w:t>Expression</w:t>
            </w:r>
            <w:r>
              <w:rPr>
                <w:rFonts w:ascii="Times New Roman"/>
                <w:b w:val="0"/>
              </w:rPr>
              <w:tab/>
            </w:r>
            <w:r>
              <w:rPr>
                <w:spacing w:val="-5"/>
              </w:rPr>
              <w:t>124</w:t>
            </w:r>
          </w:hyperlink>
        </w:p>
        <w:p>
          <w:pPr>
            <w:pStyle w:val="TOC5"/>
            <w:tabs>
              <w:tab w:pos="10759" w:val="right" w:leader="none"/>
            </w:tabs>
            <w:spacing w:line="331" w:lineRule="exact"/>
          </w:pPr>
          <w:hyperlink w:history="true" w:anchor="_bookmark43">
            <w:r>
              <w:rPr/>
              <w:t>Defamation</w:t>
            </w:r>
            <w:r>
              <w:rPr>
                <w:spacing w:val="-9"/>
              </w:rPr>
              <w:t> </w:t>
            </w:r>
            <w:r>
              <w:rPr/>
              <w:t>(NI)</w:t>
            </w:r>
            <w:r>
              <w:rPr>
                <w:spacing w:val="-8"/>
              </w:rPr>
              <w:t> </w:t>
            </w:r>
            <w:r>
              <w:rPr/>
              <w:t>Act</w:t>
            </w:r>
            <w:r>
              <w:rPr>
                <w:spacing w:val="-8"/>
              </w:rPr>
              <w:t> </w:t>
            </w:r>
            <w:r>
              <w:rPr>
                <w:spacing w:val="-4"/>
              </w:rPr>
              <w:t>2022</w:t>
            </w:r>
            <w:r>
              <w:rPr>
                <w:rFonts w:ascii="Times New Roman"/>
              </w:rPr>
              <w:tab/>
            </w:r>
            <w:r>
              <w:rPr>
                <w:spacing w:val="-5"/>
              </w:rPr>
              <w:t>124</w:t>
            </w:r>
          </w:hyperlink>
        </w:p>
        <w:p>
          <w:pPr>
            <w:pStyle w:val="TOC3"/>
            <w:tabs>
              <w:tab w:pos="10759" w:val="right" w:leader="none"/>
            </w:tabs>
            <w:spacing w:line="331" w:lineRule="exact"/>
          </w:pPr>
          <w:hyperlink w:history="true" w:anchor="_bookmark44">
            <w:r>
              <w:rPr/>
              <w:t>Data</w:t>
            </w:r>
            <w:r>
              <w:rPr>
                <w:spacing w:val="-6"/>
              </w:rPr>
              <w:t> </w:t>
            </w:r>
            <w:r>
              <w:rPr>
                <w:spacing w:val="-2"/>
              </w:rPr>
              <w:t>Protection</w:t>
            </w:r>
            <w:r>
              <w:rPr>
                <w:rFonts w:ascii="Times New Roman"/>
                <w:b w:val="0"/>
              </w:rPr>
              <w:tab/>
            </w:r>
            <w:r>
              <w:rPr>
                <w:spacing w:val="-5"/>
              </w:rPr>
              <w:t>126</w:t>
            </w:r>
          </w:hyperlink>
        </w:p>
        <w:p>
          <w:pPr>
            <w:pStyle w:val="TOC5"/>
            <w:tabs>
              <w:tab w:pos="10759" w:val="right" w:leader="none"/>
            </w:tabs>
            <w:spacing w:line="331" w:lineRule="exact"/>
          </w:pPr>
          <w:hyperlink w:history="true" w:anchor="_bookmark45">
            <w:r>
              <w:rPr/>
              <w:t>Data</w:t>
            </w:r>
            <w:r>
              <w:rPr>
                <w:spacing w:val="-12"/>
              </w:rPr>
              <w:t> </w:t>
            </w:r>
            <w:r>
              <w:rPr/>
              <w:t>Protection</w:t>
            </w:r>
            <w:r>
              <w:rPr>
                <w:spacing w:val="-12"/>
              </w:rPr>
              <w:t> </w:t>
            </w:r>
            <w:r>
              <w:rPr/>
              <w:t>and</w:t>
            </w:r>
            <w:r>
              <w:rPr>
                <w:spacing w:val="-11"/>
              </w:rPr>
              <w:t> </w:t>
            </w:r>
            <w:r>
              <w:rPr/>
              <w:t>Digital</w:t>
            </w:r>
            <w:r>
              <w:rPr>
                <w:spacing w:val="-12"/>
              </w:rPr>
              <w:t> </w:t>
            </w:r>
            <w:r>
              <w:rPr/>
              <w:t>Information</w:t>
            </w:r>
            <w:r>
              <w:rPr>
                <w:spacing w:val="-11"/>
              </w:rPr>
              <w:t> </w:t>
            </w:r>
            <w:r>
              <w:rPr>
                <w:spacing w:val="-4"/>
              </w:rPr>
              <w:t>Bill</w:t>
            </w:r>
            <w:r>
              <w:rPr>
                <w:rFonts w:ascii="Times New Roman"/>
              </w:rPr>
              <w:tab/>
            </w:r>
            <w:r>
              <w:rPr>
                <w:spacing w:val="-5"/>
              </w:rPr>
              <w:t>127</w:t>
            </w:r>
          </w:hyperlink>
        </w:p>
        <w:p>
          <w:pPr>
            <w:pStyle w:val="TOC2"/>
            <w:numPr>
              <w:ilvl w:val="0"/>
              <w:numId w:val="1"/>
            </w:numPr>
            <w:tabs>
              <w:tab w:pos="1554" w:val="left" w:leader="none"/>
              <w:tab w:pos="10759" w:val="right" w:leader="none"/>
            </w:tabs>
            <w:spacing w:line="240" w:lineRule="auto" w:before="298" w:after="0"/>
            <w:ind w:left="1554" w:right="0" w:hanging="421"/>
            <w:jc w:val="left"/>
          </w:pPr>
          <w:r>
            <w:rPr/>
            <mc:AlternateContent>
              <mc:Choice Requires="wps">
                <w:drawing>
                  <wp:anchor distT="0" distB="0" distL="0" distR="0" allowOverlap="1" layoutInCell="1" locked="0" behindDoc="0" simplePos="0" relativeHeight="15757312">
                    <wp:simplePos x="0" y="0"/>
                    <wp:positionH relativeFrom="page">
                      <wp:posOffset>719996</wp:posOffset>
                    </wp:positionH>
                    <wp:positionV relativeFrom="paragraph">
                      <wp:posOffset>472922</wp:posOffset>
                    </wp:positionV>
                    <wp:extent cx="6120130" cy="1270"/>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7312" from="538.5826pt,37.238007pt" to="56.6926pt,37.238007pt" stroked="true" strokeweight="1pt" strokecolor="#393b80">
                    <v:stroke dashstyle="solid"/>
                    <w10:wrap type="none"/>
                  </v:line>
                </w:pict>
              </mc:Fallback>
            </mc:AlternateContent>
          </w:r>
          <w:hyperlink w:history="true" w:anchor="_bookmark46">
            <w:r>
              <w:rPr>
                <w:color w:val="67287F"/>
              </w:rPr>
              <w:t>Human</w:t>
            </w:r>
            <w:r>
              <w:rPr>
                <w:color w:val="67287F"/>
                <w:spacing w:val="-6"/>
              </w:rPr>
              <w:t> </w:t>
            </w:r>
            <w:r>
              <w:rPr>
                <w:color w:val="67287F"/>
              </w:rPr>
              <w:t>Rights</w:t>
            </w:r>
            <w:r>
              <w:rPr>
                <w:color w:val="67287F"/>
                <w:spacing w:val="-5"/>
              </w:rPr>
              <w:t> </w:t>
            </w:r>
            <w:r>
              <w:rPr>
                <w:color w:val="67287F"/>
              </w:rPr>
              <w:t>and</w:t>
            </w:r>
            <w:r>
              <w:rPr>
                <w:color w:val="67287F"/>
                <w:spacing w:val="-6"/>
              </w:rPr>
              <w:t> </w:t>
            </w:r>
            <w:r>
              <w:rPr>
                <w:color w:val="67287F"/>
              </w:rPr>
              <w:t>Equality</w:t>
            </w:r>
            <w:r>
              <w:rPr>
                <w:color w:val="67287F"/>
                <w:spacing w:val="-5"/>
              </w:rPr>
              <w:t> </w:t>
            </w:r>
            <w:r>
              <w:rPr>
                <w:color w:val="67287F"/>
              </w:rPr>
              <w:t>after</w:t>
            </w:r>
            <w:r>
              <w:rPr>
                <w:color w:val="67287F"/>
                <w:spacing w:val="-6"/>
              </w:rPr>
              <w:t> </w:t>
            </w:r>
            <w:r>
              <w:rPr>
                <w:color w:val="67287F"/>
              </w:rPr>
              <w:t>Brexit:</w:t>
            </w:r>
            <w:r>
              <w:rPr>
                <w:color w:val="67287F"/>
                <w:spacing w:val="-5"/>
              </w:rPr>
              <w:t> </w:t>
            </w:r>
            <w:r>
              <w:rPr>
                <w:color w:val="67287F"/>
              </w:rPr>
              <w:t>Article</w:t>
            </w:r>
            <w:r>
              <w:rPr>
                <w:color w:val="67287F"/>
                <w:spacing w:val="-7"/>
              </w:rPr>
              <w:t> </w:t>
            </w:r>
            <w:r>
              <w:rPr>
                <w:color w:val="67287F"/>
              </w:rPr>
              <w:t>2</w:t>
            </w:r>
            <w:r>
              <w:rPr>
                <w:color w:val="67287F"/>
                <w:spacing w:val="-5"/>
              </w:rPr>
              <w:t> </w:t>
            </w:r>
            <w:r>
              <w:rPr>
                <w:color w:val="67287F"/>
              </w:rPr>
              <w:t>and</w:t>
            </w:r>
            <w:r>
              <w:rPr>
                <w:color w:val="67287F"/>
                <w:spacing w:val="-5"/>
              </w:rPr>
              <w:t> </w:t>
            </w:r>
            <w:r>
              <w:rPr>
                <w:color w:val="67287F"/>
                <w:spacing w:val="-2"/>
              </w:rPr>
              <w:t>Beyond</w:t>
            </w:r>
            <w:r>
              <w:rPr>
                <w:rFonts w:ascii="Times New Roman"/>
                <w:b w:val="0"/>
                <w:color w:val="67287F"/>
              </w:rPr>
              <w:tab/>
            </w:r>
            <w:r>
              <w:rPr>
                <w:color w:val="67287F"/>
                <w:spacing w:val="-5"/>
              </w:rPr>
              <w:t>131</w:t>
            </w:r>
          </w:hyperlink>
        </w:p>
        <w:p>
          <w:pPr>
            <w:pStyle w:val="TOC4"/>
            <w:tabs>
              <w:tab w:pos="10759" w:val="right" w:leader="none"/>
            </w:tabs>
          </w:pPr>
          <w:hyperlink w:history="true" w:anchor="_bookmark46">
            <w:r>
              <w:rPr>
                <w:spacing w:val="-2"/>
              </w:rPr>
              <w:t>Birthright</w:t>
            </w:r>
            <w:r>
              <w:rPr>
                <w:rFonts w:ascii="Times New Roman"/>
                <w:b w:val="0"/>
              </w:rPr>
              <w:tab/>
            </w:r>
            <w:r>
              <w:rPr>
                <w:spacing w:val="-5"/>
              </w:rPr>
              <w:t>131</w:t>
            </w:r>
          </w:hyperlink>
        </w:p>
        <w:p>
          <w:pPr>
            <w:pStyle w:val="TOC3"/>
            <w:tabs>
              <w:tab w:pos="10759" w:val="right" w:leader="none"/>
            </w:tabs>
            <w:spacing w:line="331" w:lineRule="exact"/>
          </w:pPr>
          <w:hyperlink w:history="true" w:anchor="_bookmark47">
            <w:r>
              <w:rPr/>
              <w:t>Common</w:t>
            </w:r>
            <w:r>
              <w:rPr>
                <w:spacing w:val="-17"/>
              </w:rPr>
              <w:t> </w:t>
            </w:r>
            <w:r>
              <w:rPr/>
              <w:t>Travel</w:t>
            </w:r>
            <w:r>
              <w:rPr>
                <w:spacing w:val="-14"/>
              </w:rPr>
              <w:t> </w:t>
            </w:r>
            <w:r>
              <w:rPr>
                <w:spacing w:val="-4"/>
              </w:rPr>
              <w:t>Area</w:t>
            </w:r>
            <w:r>
              <w:rPr/>
              <w:tab/>
            </w:r>
            <w:r>
              <w:rPr>
                <w:spacing w:val="-5"/>
              </w:rPr>
              <w:t>132</w:t>
            </w:r>
          </w:hyperlink>
        </w:p>
        <w:p>
          <w:pPr>
            <w:pStyle w:val="TOC5"/>
            <w:tabs>
              <w:tab w:pos="10759" w:val="right" w:leader="none"/>
            </w:tabs>
          </w:pPr>
          <w:hyperlink w:history="true" w:anchor="_bookmark48">
            <w:r>
              <w:rPr>
                <w:spacing w:val="-2"/>
              </w:rPr>
              <w:t>Electronic</w:t>
            </w:r>
            <w:r>
              <w:rPr>
                <w:spacing w:val="-4"/>
              </w:rPr>
              <w:t> </w:t>
            </w:r>
            <w:r>
              <w:rPr>
                <w:spacing w:val="-2"/>
              </w:rPr>
              <w:t>Travel</w:t>
            </w:r>
            <w:r>
              <w:rPr>
                <w:spacing w:val="-3"/>
              </w:rPr>
              <w:t> </w:t>
            </w:r>
            <w:r>
              <w:rPr>
                <w:spacing w:val="-2"/>
              </w:rPr>
              <w:t>Authorisations</w:t>
            </w:r>
            <w:r>
              <w:rPr>
                <w:rFonts w:ascii="Times New Roman"/>
              </w:rPr>
              <w:tab/>
            </w:r>
            <w:r>
              <w:rPr>
                <w:spacing w:val="-5"/>
              </w:rPr>
              <w:t>133</w:t>
            </w:r>
          </w:hyperlink>
        </w:p>
        <w:p>
          <w:pPr>
            <w:pStyle w:val="TOC5"/>
            <w:tabs>
              <w:tab w:pos="10759" w:val="right" w:leader="none"/>
            </w:tabs>
            <w:spacing w:line="331" w:lineRule="exact" w:after="20"/>
          </w:pPr>
          <w:hyperlink w:history="true" w:anchor="_bookmark49">
            <w:r>
              <w:rPr/>
              <w:t>Racial</w:t>
            </w:r>
            <w:r>
              <w:rPr>
                <w:spacing w:val="-10"/>
              </w:rPr>
              <w:t> </w:t>
            </w:r>
            <w:r>
              <w:rPr/>
              <w:t>Profiling</w:t>
            </w:r>
            <w:r>
              <w:rPr>
                <w:spacing w:val="-9"/>
              </w:rPr>
              <w:t> </w:t>
            </w:r>
            <w:r>
              <w:rPr/>
              <w:t>and</w:t>
            </w:r>
            <w:r>
              <w:rPr>
                <w:spacing w:val="-10"/>
              </w:rPr>
              <w:t> </w:t>
            </w:r>
            <w:r>
              <w:rPr/>
              <w:t>Immigration</w:t>
            </w:r>
            <w:r>
              <w:rPr>
                <w:spacing w:val="-10"/>
              </w:rPr>
              <w:t> </w:t>
            </w:r>
            <w:r>
              <w:rPr>
                <w:spacing w:val="-2"/>
              </w:rPr>
              <w:t>Control</w:t>
            </w:r>
            <w:r>
              <w:rPr>
                <w:rFonts w:ascii="Times New Roman"/>
              </w:rPr>
              <w:tab/>
            </w:r>
            <w:r>
              <w:rPr>
                <w:spacing w:val="-5"/>
              </w:rPr>
              <w:t>134</w:t>
            </w:r>
          </w:hyperlink>
        </w:p>
        <w:p>
          <w:pPr>
            <w:pStyle w:val="TOC3"/>
            <w:tabs>
              <w:tab w:pos="10759" w:val="right" w:leader="none"/>
            </w:tabs>
            <w:spacing w:line="331" w:lineRule="exact" w:before="524"/>
          </w:pPr>
          <w:hyperlink w:history="true" w:anchor="_bookmark50">
            <w:r>
              <w:rPr/>
              <w:t>Cross-Border</w:t>
            </w:r>
            <w:r>
              <w:rPr>
                <w:spacing w:val="-16"/>
              </w:rPr>
              <w:t> </w:t>
            </w:r>
            <w:r>
              <w:rPr/>
              <w:t>Justice</w:t>
            </w:r>
            <w:r>
              <w:rPr>
                <w:spacing w:val="-15"/>
              </w:rPr>
              <w:t> </w:t>
            </w:r>
            <w:r>
              <w:rPr>
                <w:spacing w:val="-2"/>
              </w:rPr>
              <w:t>Arrangements</w:t>
            </w:r>
            <w:r>
              <w:rPr>
                <w:rFonts w:ascii="Times New Roman"/>
                <w:b w:val="0"/>
              </w:rPr>
              <w:tab/>
            </w:r>
            <w:r>
              <w:rPr>
                <w:spacing w:val="-5"/>
              </w:rPr>
              <w:t>137</w:t>
            </w:r>
          </w:hyperlink>
        </w:p>
        <w:p>
          <w:pPr>
            <w:pStyle w:val="TOC5"/>
            <w:tabs>
              <w:tab w:pos="10759" w:val="right" w:leader="none"/>
            </w:tabs>
            <w:spacing w:line="331" w:lineRule="exact"/>
          </w:pPr>
          <w:hyperlink w:history="true" w:anchor="_bookmark50">
            <w:r>
              <w:rPr/>
              <w:t>Policing,</w:t>
            </w:r>
            <w:r>
              <w:rPr>
                <w:spacing w:val="-4"/>
              </w:rPr>
              <w:t> </w:t>
            </w:r>
            <w:r>
              <w:rPr/>
              <w:t>Security</w:t>
            </w:r>
            <w:r>
              <w:rPr>
                <w:spacing w:val="-3"/>
              </w:rPr>
              <w:t> </w:t>
            </w:r>
            <w:r>
              <w:rPr/>
              <w:t>and</w:t>
            </w:r>
            <w:r>
              <w:rPr>
                <w:spacing w:val="-4"/>
              </w:rPr>
              <w:t> </w:t>
            </w:r>
            <w:r>
              <w:rPr/>
              <w:t>Criminal</w:t>
            </w:r>
            <w:r>
              <w:rPr>
                <w:spacing w:val="-3"/>
              </w:rPr>
              <w:t> </w:t>
            </w:r>
            <w:r>
              <w:rPr>
                <w:spacing w:val="-2"/>
              </w:rPr>
              <w:t>Justice</w:t>
            </w:r>
            <w:r>
              <w:rPr>
                <w:rFonts w:ascii="Times New Roman"/>
              </w:rPr>
              <w:tab/>
            </w:r>
            <w:r>
              <w:rPr>
                <w:spacing w:val="-5"/>
              </w:rPr>
              <w:t>137</w:t>
            </w:r>
          </w:hyperlink>
        </w:p>
        <w:p>
          <w:pPr>
            <w:pStyle w:val="TOC3"/>
            <w:tabs>
              <w:tab w:pos="10759" w:val="right" w:leader="none"/>
            </w:tabs>
          </w:pPr>
          <w:hyperlink w:history="true" w:anchor="_bookmark51">
            <w:r>
              <w:rPr/>
              <w:t>Racial</w:t>
            </w:r>
            <w:r>
              <w:rPr>
                <w:spacing w:val="-5"/>
              </w:rPr>
              <w:t> </w:t>
            </w:r>
            <w:r>
              <w:rPr/>
              <w:t>Profiling</w:t>
            </w:r>
            <w:r>
              <w:rPr>
                <w:spacing w:val="-6"/>
              </w:rPr>
              <w:t> </w:t>
            </w:r>
            <w:r>
              <w:rPr/>
              <w:t>and</w:t>
            </w:r>
            <w:r>
              <w:rPr>
                <w:spacing w:val="-5"/>
              </w:rPr>
              <w:t> </w:t>
            </w:r>
            <w:r>
              <w:rPr/>
              <w:t>Policing:</w:t>
            </w:r>
            <w:r>
              <w:rPr>
                <w:spacing w:val="-4"/>
              </w:rPr>
              <w:t> </w:t>
            </w:r>
            <w:r>
              <w:rPr/>
              <w:t>Stop</w:t>
            </w:r>
            <w:r>
              <w:rPr>
                <w:spacing w:val="-5"/>
              </w:rPr>
              <w:t> </w:t>
            </w:r>
            <w:r>
              <w:rPr/>
              <w:t>and</w:t>
            </w:r>
            <w:r>
              <w:rPr>
                <w:spacing w:val="-5"/>
              </w:rPr>
              <w:t> </w:t>
            </w:r>
            <w:r>
              <w:rPr>
                <w:spacing w:val="-2"/>
              </w:rPr>
              <w:t>Search</w:t>
            </w:r>
            <w:r>
              <w:rPr>
                <w:rFonts w:ascii="Times New Roman"/>
                <w:b w:val="0"/>
              </w:rPr>
              <w:tab/>
            </w:r>
            <w:r>
              <w:rPr>
                <w:spacing w:val="-5"/>
              </w:rPr>
              <w:t>139</w:t>
            </w:r>
          </w:hyperlink>
        </w:p>
        <w:p>
          <w:pPr>
            <w:pStyle w:val="TOC3"/>
            <w:tabs>
              <w:tab w:pos="10759" w:val="right" w:leader="none"/>
            </w:tabs>
            <w:spacing w:line="331" w:lineRule="exact" w:before="299"/>
          </w:pPr>
          <w:hyperlink w:history="true" w:anchor="_bookmark52">
            <w:r>
              <w:rPr/>
              <w:t>EU</w:t>
            </w:r>
            <w:r>
              <w:rPr>
                <w:spacing w:val="-13"/>
              </w:rPr>
              <w:t> </w:t>
            </w:r>
            <w:r>
              <w:rPr/>
              <w:t>Settlement</w:t>
            </w:r>
            <w:r>
              <w:rPr>
                <w:spacing w:val="-13"/>
              </w:rPr>
              <w:t> </w:t>
            </w:r>
            <w:r>
              <w:rPr>
                <w:spacing w:val="-2"/>
              </w:rPr>
              <w:t>Scheme</w:t>
            </w:r>
            <w:r>
              <w:rPr>
                <w:rFonts w:ascii="Times New Roman"/>
                <w:b w:val="0"/>
              </w:rPr>
              <w:tab/>
            </w:r>
            <w:r>
              <w:rPr>
                <w:spacing w:val="-5"/>
              </w:rPr>
              <w:t>141</w:t>
            </w:r>
          </w:hyperlink>
        </w:p>
        <w:p>
          <w:pPr>
            <w:pStyle w:val="TOC5"/>
            <w:tabs>
              <w:tab w:pos="10759" w:val="right" w:leader="none"/>
            </w:tabs>
          </w:pPr>
          <w:hyperlink w:history="true" w:anchor="_bookmark53">
            <w:r>
              <w:rPr>
                <w:spacing w:val="-2"/>
              </w:rPr>
              <w:t>Pre-Settled</w:t>
            </w:r>
            <w:r>
              <w:rPr/>
              <w:t> </w:t>
            </w:r>
            <w:r>
              <w:rPr>
                <w:spacing w:val="-2"/>
              </w:rPr>
              <w:t>Status</w:t>
            </w:r>
            <w:r>
              <w:rPr>
                <w:rFonts w:ascii="Times New Roman"/>
              </w:rPr>
              <w:tab/>
            </w:r>
            <w:r>
              <w:rPr>
                <w:spacing w:val="-5"/>
              </w:rPr>
              <w:t>143</w:t>
            </w:r>
          </w:hyperlink>
        </w:p>
        <w:p>
          <w:pPr>
            <w:pStyle w:val="TOC5"/>
            <w:tabs>
              <w:tab w:pos="10759" w:val="right" w:leader="none"/>
            </w:tabs>
            <w:spacing w:line="331" w:lineRule="exact"/>
          </w:pPr>
          <w:hyperlink w:history="true" w:anchor="_bookmark54">
            <w:r>
              <w:rPr/>
              <w:t>Late</w:t>
            </w:r>
            <w:r>
              <w:rPr>
                <w:spacing w:val="-6"/>
              </w:rPr>
              <w:t> </w:t>
            </w:r>
            <w:r>
              <w:rPr>
                <w:spacing w:val="-2"/>
              </w:rPr>
              <w:t>Applications</w:t>
            </w:r>
            <w:r>
              <w:rPr>
                <w:rFonts w:ascii="Times New Roman"/>
              </w:rPr>
              <w:tab/>
            </w:r>
            <w:r>
              <w:rPr>
                <w:spacing w:val="-5"/>
              </w:rPr>
              <w:t>144</w:t>
            </w:r>
          </w:hyperlink>
        </w:p>
        <w:p>
          <w:pPr>
            <w:pStyle w:val="TOC3"/>
            <w:tabs>
              <w:tab w:pos="10759" w:val="right" w:leader="none"/>
            </w:tabs>
          </w:pPr>
          <w:hyperlink w:history="true" w:anchor="_bookmark55">
            <w:r>
              <w:rPr/>
              <w:t>EU</w:t>
            </w:r>
            <w:r>
              <w:rPr>
                <w:spacing w:val="-10"/>
              </w:rPr>
              <w:t> </w:t>
            </w:r>
            <w:r>
              <w:rPr/>
              <w:t>Citizenship</w:t>
            </w:r>
            <w:r>
              <w:rPr>
                <w:spacing w:val="-10"/>
              </w:rPr>
              <w:t> </w:t>
            </w:r>
            <w:r>
              <w:rPr/>
              <w:t>and</w:t>
            </w:r>
            <w:r>
              <w:rPr>
                <w:spacing w:val="-10"/>
              </w:rPr>
              <w:t> </w:t>
            </w:r>
            <w:r>
              <w:rPr/>
              <w:t>Workers’</w:t>
            </w:r>
            <w:r>
              <w:rPr>
                <w:spacing w:val="-10"/>
              </w:rPr>
              <w:t> </w:t>
            </w:r>
            <w:r>
              <w:rPr>
                <w:spacing w:val="-2"/>
              </w:rPr>
              <w:t>Rights</w:t>
            </w:r>
            <w:r>
              <w:rPr>
                <w:rFonts w:ascii="Times New Roman" w:hAnsi="Times New Roman"/>
                <w:b w:val="0"/>
              </w:rPr>
              <w:tab/>
            </w:r>
            <w:r>
              <w:rPr>
                <w:spacing w:val="-5"/>
              </w:rPr>
              <w:t>146</w:t>
            </w:r>
          </w:hyperlink>
        </w:p>
        <w:p>
          <w:pPr>
            <w:pStyle w:val="TOC3"/>
            <w:tabs>
              <w:tab w:pos="10759" w:val="right" w:leader="none"/>
            </w:tabs>
            <w:spacing w:line="331" w:lineRule="exact"/>
          </w:pPr>
          <w:hyperlink w:history="true" w:anchor="_bookmark56">
            <w:r>
              <w:rPr/>
              <w:t>Migrant</w:t>
            </w:r>
            <w:r>
              <w:rPr>
                <w:spacing w:val="-13"/>
              </w:rPr>
              <w:t> </w:t>
            </w:r>
            <w:r>
              <w:rPr>
                <w:spacing w:val="-2"/>
              </w:rPr>
              <w:t>Workers</w:t>
            </w:r>
            <w:r>
              <w:rPr>
                <w:rFonts w:ascii="Times New Roman"/>
                <w:b w:val="0"/>
              </w:rPr>
              <w:tab/>
            </w:r>
            <w:r>
              <w:rPr>
                <w:spacing w:val="-5"/>
              </w:rPr>
              <w:t>148</w:t>
            </w:r>
          </w:hyperlink>
        </w:p>
        <w:p>
          <w:pPr>
            <w:pStyle w:val="TOC5"/>
            <w:tabs>
              <w:tab w:pos="10759" w:val="right" w:leader="none"/>
            </w:tabs>
          </w:pPr>
          <w:hyperlink w:history="true" w:anchor="_bookmark56">
            <w:r>
              <w:rPr/>
              <w:t>Recognition</w:t>
            </w:r>
            <w:r>
              <w:rPr>
                <w:spacing w:val="-14"/>
              </w:rPr>
              <w:t> </w:t>
            </w:r>
            <w:r>
              <w:rPr/>
              <w:t>of</w:t>
            </w:r>
            <w:r>
              <w:rPr>
                <w:spacing w:val="-14"/>
              </w:rPr>
              <w:t> </w:t>
            </w:r>
            <w:r>
              <w:rPr>
                <w:spacing w:val="-2"/>
              </w:rPr>
              <w:t>Qualifications</w:t>
            </w:r>
            <w:r>
              <w:rPr>
                <w:rFonts w:ascii="Times New Roman"/>
              </w:rPr>
              <w:tab/>
            </w:r>
            <w:r>
              <w:rPr>
                <w:spacing w:val="-5"/>
              </w:rPr>
              <w:t>148</w:t>
            </w:r>
          </w:hyperlink>
        </w:p>
        <w:p>
          <w:pPr>
            <w:pStyle w:val="TOC5"/>
            <w:tabs>
              <w:tab w:pos="10759" w:val="right" w:leader="none"/>
            </w:tabs>
          </w:pPr>
          <w:hyperlink w:history="true" w:anchor="_bookmark57">
            <w:r>
              <w:rPr/>
              <w:t>Hiring</w:t>
            </w:r>
            <w:r>
              <w:rPr>
                <w:spacing w:val="-4"/>
              </w:rPr>
              <w:t> </w:t>
            </w:r>
            <w:r>
              <w:rPr/>
              <w:t>of</w:t>
            </w:r>
            <w:r>
              <w:rPr>
                <w:spacing w:val="-5"/>
              </w:rPr>
              <w:t> </w:t>
            </w:r>
            <w:r>
              <w:rPr/>
              <w:t>Migrant</w:t>
            </w:r>
            <w:r>
              <w:rPr>
                <w:spacing w:val="-3"/>
              </w:rPr>
              <w:t> </w:t>
            </w:r>
            <w:r>
              <w:rPr>
                <w:spacing w:val="-2"/>
              </w:rPr>
              <w:t>Workers</w:t>
            </w:r>
            <w:r>
              <w:rPr>
                <w:rFonts w:ascii="Times New Roman"/>
              </w:rPr>
              <w:tab/>
            </w:r>
            <w:r>
              <w:rPr>
                <w:spacing w:val="-5"/>
              </w:rPr>
              <w:t>149</w:t>
            </w:r>
          </w:hyperlink>
        </w:p>
        <w:p>
          <w:pPr>
            <w:pStyle w:val="TOC5"/>
            <w:tabs>
              <w:tab w:pos="10759" w:val="right" w:leader="none"/>
            </w:tabs>
            <w:spacing w:line="331" w:lineRule="exact"/>
          </w:pPr>
          <w:hyperlink w:history="true" w:anchor="_bookmark57">
            <w:r>
              <w:rPr/>
              <w:t>Exploitation</w:t>
            </w:r>
            <w:r>
              <w:rPr>
                <w:spacing w:val="-10"/>
              </w:rPr>
              <w:t> </w:t>
            </w:r>
            <w:r>
              <w:rPr/>
              <w:t>of</w:t>
            </w:r>
            <w:r>
              <w:rPr>
                <w:spacing w:val="-9"/>
              </w:rPr>
              <w:t> </w:t>
            </w:r>
            <w:r>
              <w:rPr/>
              <w:t>Migrant</w:t>
            </w:r>
            <w:r>
              <w:rPr>
                <w:spacing w:val="-8"/>
              </w:rPr>
              <w:t> </w:t>
            </w:r>
            <w:r>
              <w:rPr>
                <w:spacing w:val="-2"/>
              </w:rPr>
              <w:t>Workers</w:t>
            </w:r>
            <w:r>
              <w:rPr>
                <w:rFonts w:ascii="Times New Roman"/>
              </w:rPr>
              <w:tab/>
            </w:r>
            <w:r>
              <w:rPr>
                <w:spacing w:val="-5"/>
              </w:rPr>
              <w:t>149</w:t>
            </w:r>
          </w:hyperlink>
        </w:p>
        <w:p>
          <w:pPr>
            <w:pStyle w:val="TOC3"/>
            <w:tabs>
              <w:tab w:pos="10759" w:val="right" w:leader="none"/>
            </w:tabs>
            <w:spacing w:line="331" w:lineRule="exact"/>
          </w:pPr>
          <w:hyperlink w:history="true" w:anchor="_bookmark58">
            <w:r>
              <w:rPr/>
              <w:t>Right</w:t>
            </w:r>
            <w:r>
              <w:rPr>
                <w:spacing w:val="-3"/>
              </w:rPr>
              <w:t> </w:t>
            </w:r>
            <w:r>
              <w:rPr/>
              <w:t>to</w:t>
            </w:r>
            <w:r>
              <w:rPr>
                <w:spacing w:val="-3"/>
              </w:rPr>
              <w:t> </w:t>
            </w:r>
            <w:r>
              <w:rPr>
                <w:spacing w:val="-2"/>
              </w:rPr>
              <w:t>Health</w:t>
            </w:r>
            <w:r>
              <w:rPr>
                <w:rFonts w:ascii="Times New Roman"/>
                <w:b w:val="0"/>
              </w:rPr>
              <w:tab/>
            </w:r>
            <w:r>
              <w:rPr>
                <w:spacing w:val="-5"/>
              </w:rPr>
              <w:t>152</w:t>
            </w:r>
          </w:hyperlink>
        </w:p>
        <w:p>
          <w:pPr>
            <w:pStyle w:val="TOC5"/>
            <w:tabs>
              <w:tab w:pos="10759" w:val="right" w:leader="none"/>
            </w:tabs>
            <w:spacing w:line="331" w:lineRule="exact"/>
          </w:pPr>
          <w:hyperlink w:history="true" w:anchor="_bookmark59">
            <w:r>
              <w:rPr/>
              <w:t>Access</w:t>
            </w:r>
            <w:r>
              <w:rPr>
                <w:spacing w:val="-7"/>
              </w:rPr>
              <w:t> </w:t>
            </w:r>
            <w:r>
              <w:rPr/>
              <w:t>to</w:t>
            </w:r>
            <w:r>
              <w:rPr>
                <w:spacing w:val="-6"/>
              </w:rPr>
              <w:t> </w:t>
            </w:r>
            <w:r>
              <w:rPr/>
              <w:t>Healthcare</w:t>
            </w:r>
            <w:r>
              <w:rPr>
                <w:spacing w:val="-5"/>
              </w:rPr>
              <w:t> </w:t>
            </w:r>
            <w:r>
              <w:rPr/>
              <w:t>for</w:t>
            </w:r>
            <w:r>
              <w:rPr>
                <w:spacing w:val="-5"/>
              </w:rPr>
              <w:t> </w:t>
            </w:r>
            <w:r>
              <w:rPr>
                <w:spacing w:val="-2"/>
              </w:rPr>
              <w:t>Migrants</w:t>
            </w:r>
            <w:r>
              <w:rPr>
                <w:rFonts w:ascii="Times New Roman"/>
              </w:rPr>
              <w:tab/>
            </w:r>
            <w:r>
              <w:rPr>
                <w:spacing w:val="-5"/>
              </w:rPr>
              <w:t>153</w:t>
            </w:r>
          </w:hyperlink>
        </w:p>
        <w:p>
          <w:pPr>
            <w:pStyle w:val="TOC3"/>
            <w:tabs>
              <w:tab w:pos="10759" w:val="right" w:leader="none"/>
            </w:tabs>
          </w:pPr>
          <w:hyperlink w:history="true" w:anchor="_bookmark60">
            <w:r>
              <w:rPr/>
              <w:t>EU</w:t>
            </w:r>
            <w:r>
              <w:rPr>
                <w:spacing w:val="-1"/>
              </w:rPr>
              <w:t> </w:t>
            </w:r>
            <w:r>
              <w:rPr/>
              <w:t>Loss of</w:t>
            </w:r>
            <w:r>
              <w:rPr>
                <w:spacing w:val="-1"/>
              </w:rPr>
              <w:t> </w:t>
            </w:r>
            <w:r>
              <w:rPr>
                <w:spacing w:val="-2"/>
              </w:rPr>
              <w:t>Funding</w:t>
            </w:r>
            <w:r>
              <w:rPr>
                <w:rFonts w:ascii="Times New Roman"/>
                <w:b w:val="0"/>
              </w:rPr>
              <w:tab/>
            </w:r>
            <w:r>
              <w:rPr>
                <w:spacing w:val="-5"/>
              </w:rPr>
              <w:t>156</w:t>
            </w:r>
          </w:hyperlink>
        </w:p>
        <w:p>
          <w:pPr>
            <w:pStyle w:val="TOC3"/>
            <w:tabs>
              <w:tab w:pos="10759" w:val="right" w:leader="none"/>
            </w:tabs>
            <w:spacing w:before="299"/>
          </w:pPr>
          <w:hyperlink w:history="true" w:anchor="_bookmark61">
            <w:r>
              <w:rPr/>
              <w:t>Tackling</w:t>
            </w:r>
            <w:r>
              <w:rPr>
                <w:spacing w:val="-11"/>
              </w:rPr>
              <w:t> </w:t>
            </w:r>
            <w:r>
              <w:rPr/>
              <w:t>Racism</w:t>
            </w:r>
            <w:r>
              <w:rPr>
                <w:spacing w:val="-10"/>
              </w:rPr>
              <w:t> </w:t>
            </w:r>
            <w:r>
              <w:rPr/>
              <w:t>and</w:t>
            </w:r>
            <w:r>
              <w:rPr>
                <w:spacing w:val="-10"/>
              </w:rPr>
              <w:t> </w:t>
            </w:r>
            <w:r>
              <w:rPr/>
              <w:t>Prejudicial</w:t>
            </w:r>
            <w:r>
              <w:rPr>
                <w:spacing w:val="-9"/>
              </w:rPr>
              <w:t> </w:t>
            </w:r>
            <w:r>
              <w:rPr>
                <w:spacing w:val="-2"/>
              </w:rPr>
              <w:t>Attitudes</w:t>
            </w:r>
            <w:r>
              <w:rPr>
                <w:rFonts w:ascii="Times New Roman"/>
                <w:b w:val="0"/>
              </w:rPr>
              <w:tab/>
            </w:r>
            <w:r>
              <w:rPr>
                <w:spacing w:val="-5"/>
              </w:rPr>
              <w:t>160</w:t>
            </w:r>
          </w:hyperlink>
        </w:p>
        <w:p>
          <w:pPr>
            <w:pStyle w:val="TOC3"/>
            <w:tabs>
              <w:tab w:pos="10759" w:val="right" w:leader="none"/>
            </w:tabs>
          </w:pPr>
          <w:hyperlink w:history="true" w:anchor="_bookmark62">
            <w:r>
              <w:rPr/>
              <w:t>Engagement</w:t>
            </w:r>
            <w:r>
              <w:rPr>
                <w:spacing w:val="-6"/>
              </w:rPr>
              <w:t> </w:t>
            </w:r>
            <w:r>
              <w:rPr/>
              <w:t>with</w:t>
            </w:r>
            <w:r>
              <w:rPr>
                <w:spacing w:val="-6"/>
              </w:rPr>
              <w:t> </w:t>
            </w:r>
            <w:r>
              <w:rPr/>
              <w:t>Equality/Human</w:t>
            </w:r>
            <w:r>
              <w:rPr>
                <w:spacing w:val="-6"/>
              </w:rPr>
              <w:t> </w:t>
            </w:r>
            <w:r>
              <w:rPr/>
              <w:t>Rights</w:t>
            </w:r>
            <w:r>
              <w:rPr>
                <w:spacing w:val="-6"/>
              </w:rPr>
              <w:t> </w:t>
            </w:r>
            <w:r>
              <w:rPr>
                <w:spacing w:val="-2"/>
              </w:rPr>
              <w:t>Groups</w:t>
            </w:r>
            <w:r>
              <w:rPr>
                <w:rFonts w:ascii="Times New Roman"/>
                <w:b w:val="0"/>
              </w:rPr>
              <w:tab/>
            </w:r>
            <w:r>
              <w:rPr>
                <w:spacing w:val="-5"/>
              </w:rPr>
              <w:t>161</w:t>
            </w:r>
          </w:hyperlink>
        </w:p>
        <w:p>
          <w:pPr>
            <w:pStyle w:val="TOC2"/>
            <w:tabs>
              <w:tab w:pos="10759" w:val="right" w:leader="none"/>
            </w:tabs>
          </w:pPr>
          <w:r>
            <w:rPr/>
            <mc:AlternateContent>
              <mc:Choice Requires="wps">
                <w:drawing>
                  <wp:anchor distT="0" distB="0" distL="0" distR="0" allowOverlap="1" layoutInCell="1" locked="0" behindDoc="0" simplePos="0" relativeHeight="15757824">
                    <wp:simplePos x="0" y="0"/>
                    <wp:positionH relativeFrom="page">
                      <wp:posOffset>719996</wp:posOffset>
                    </wp:positionH>
                    <wp:positionV relativeFrom="paragraph">
                      <wp:posOffset>472526</wp:posOffset>
                    </wp:positionV>
                    <wp:extent cx="6120130" cy="1270"/>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7824" from="538.5826pt,37.206806pt" to="56.6926pt,37.206806pt" stroked="true" strokeweight="1pt" strokecolor="#393b80">
                    <v:stroke dashstyle="solid"/>
                    <w10:wrap type="none"/>
                  </v:line>
                </w:pict>
              </mc:Fallback>
            </mc:AlternateContent>
          </w:r>
          <w:hyperlink w:history="true" w:anchor="_bookmark63">
            <w:r>
              <w:rPr>
                <w:color w:val="393B7F"/>
              </w:rPr>
              <w:t>Appendix</w:t>
            </w:r>
            <w:r>
              <w:rPr>
                <w:color w:val="393B7F"/>
                <w:spacing w:val="-4"/>
              </w:rPr>
              <w:t> </w:t>
            </w:r>
            <w:r>
              <w:rPr>
                <w:color w:val="393B7F"/>
              </w:rPr>
              <w:t>1:</w:t>
            </w:r>
            <w:r>
              <w:rPr>
                <w:color w:val="393B7F"/>
                <w:spacing w:val="-2"/>
              </w:rPr>
              <w:t> </w:t>
            </w:r>
            <w:r>
              <w:rPr>
                <w:color w:val="393B7F"/>
              </w:rPr>
              <w:t>About</w:t>
            </w:r>
            <w:r>
              <w:rPr>
                <w:color w:val="393B7F"/>
                <w:spacing w:val="-2"/>
              </w:rPr>
              <w:t> </w:t>
            </w:r>
            <w:r>
              <w:rPr>
                <w:color w:val="393B7F"/>
                <w:spacing w:val="-5"/>
              </w:rPr>
              <w:t>us</w:t>
            </w:r>
            <w:r>
              <w:rPr>
                <w:rFonts w:ascii="Times New Roman"/>
                <w:b w:val="0"/>
                <w:color w:val="393B7F"/>
              </w:rPr>
              <w:tab/>
            </w:r>
            <w:r>
              <w:rPr>
                <w:color w:val="393B7F"/>
                <w:spacing w:val="-5"/>
              </w:rPr>
              <w:t>163</w:t>
            </w:r>
          </w:hyperlink>
        </w:p>
        <w:p>
          <w:pPr>
            <w:pStyle w:val="TOC5"/>
            <w:tabs>
              <w:tab w:pos="10759" w:val="right" w:leader="none"/>
            </w:tabs>
            <w:spacing w:line="331" w:lineRule="exact" w:before="298"/>
          </w:pPr>
          <w:hyperlink w:history="true" w:anchor="_bookmark63">
            <w:r>
              <w:rPr>
                <w:spacing w:val="-2"/>
              </w:rPr>
              <w:t>NIHRC</w:t>
            </w:r>
            <w:r>
              <w:rPr>
                <w:rFonts w:ascii="Times New Roman"/>
              </w:rPr>
              <w:tab/>
            </w:r>
            <w:r>
              <w:rPr>
                <w:spacing w:val="-5"/>
              </w:rPr>
              <w:t>163</w:t>
            </w:r>
          </w:hyperlink>
        </w:p>
        <w:p>
          <w:pPr>
            <w:pStyle w:val="TOC5"/>
            <w:tabs>
              <w:tab w:pos="10759" w:val="right" w:leader="none"/>
            </w:tabs>
            <w:spacing w:line="331" w:lineRule="exact"/>
          </w:pPr>
          <w:hyperlink w:history="true" w:anchor="_bookmark64">
            <w:r>
              <w:rPr>
                <w:spacing w:val="-4"/>
              </w:rPr>
              <w:t>ECNI</w:t>
            </w:r>
            <w:r>
              <w:rPr>
                <w:rFonts w:ascii="Times New Roman"/>
              </w:rPr>
              <w:tab/>
            </w:r>
            <w:r>
              <w:rPr>
                <w:spacing w:val="-5"/>
              </w:rPr>
              <w:t>165</w:t>
            </w:r>
          </w:hyperlink>
        </w:p>
        <w:p>
          <w:pPr>
            <w:pStyle w:val="TOC2"/>
            <w:tabs>
              <w:tab w:pos="10759" w:val="right" w:leader="none"/>
            </w:tabs>
          </w:pPr>
          <w:r>
            <w:rPr/>
            <mc:AlternateContent>
              <mc:Choice Requires="wps">
                <w:drawing>
                  <wp:anchor distT="0" distB="0" distL="0" distR="0" allowOverlap="1" layoutInCell="1" locked="0" behindDoc="0" simplePos="0" relativeHeight="15758336">
                    <wp:simplePos x="0" y="0"/>
                    <wp:positionH relativeFrom="page">
                      <wp:posOffset>719996</wp:posOffset>
                    </wp:positionH>
                    <wp:positionV relativeFrom="paragraph">
                      <wp:posOffset>471984</wp:posOffset>
                    </wp:positionV>
                    <wp:extent cx="6120130" cy="127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8336" from="538.5826pt,37.164120pt" to="56.6926pt,37.164120pt" stroked="true" strokeweight="1pt" strokecolor="#393b80">
                    <v:stroke dashstyle="solid"/>
                    <w10:wrap type="none"/>
                  </v:line>
                </w:pict>
              </mc:Fallback>
            </mc:AlternateContent>
          </w:r>
          <w:hyperlink w:history="true" w:anchor="_bookmark65">
            <w:r>
              <w:rPr>
                <w:color w:val="393B7F"/>
              </w:rPr>
              <w:t>Appendix</w:t>
            </w:r>
            <w:r>
              <w:rPr>
                <w:color w:val="393B7F"/>
                <w:spacing w:val="-4"/>
              </w:rPr>
              <w:t> </w:t>
            </w:r>
            <w:r>
              <w:rPr>
                <w:color w:val="393B7F"/>
              </w:rPr>
              <w:t>2:</w:t>
            </w:r>
            <w:r>
              <w:rPr>
                <w:color w:val="393B7F"/>
                <w:spacing w:val="-3"/>
              </w:rPr>
              <w:t> </w:t>
            </w:r>
            <w:r>
              <w:rPr>
                <w:color w:val="393B7F"/>
              </w:rPr>
              <w:t>List</w:t>
            </w:r>
            <w:r>
              <w:rPr>
                <w:color w:val="393B7F"/>
                <w:spacing w:val="-4"/>
              </w:rPr>
              <w:t> </w:t>
            </w:r>
            <w:r>
              <w:rPr>
                <w:color w:val="393B7F"/>
              </w:rPr>
              <w:t>of</w:t>
            </w:r>
            <w:r>
              <w:rPr>
                <w:color w:val="393B7F"/>
                <w:spacing w:val="-3"/>
              </w:rPr>
              <w:t> </w:t>
            </w:r>
            <w:r>
              <w:rPr>
                <w:color w:val="393B7F"/>
                <w:spacing w:val="-2"/>
              </w:rPr>
              <w:t>Submissions</w:t>
            </w:r>
            <w:r>
              <w:rPr>
                <w:rFonts w:ascii="Times New Roman"/>
                <w:b w:val="0"/>
                <w:color w:val="393B7F"/>
              </w:rPr>
              <w:tab/>
            </w:r>
            <w:r>
              <w:rPr>
                <w:color w:val="393B7F"/>
                <w:spacing w:val="-5"/>
              </w:rPr>
              <w:t>166</w:t>
            </w:r>
          </w:hyperlink>
        </w:p>
        <w:p>
          <w:pPr>
            <w:pStyle w:val="TOC5"/>
            <w:tabs>
              <w:tab w:pos="10759" w:val="right" w:leader="none"/>
            </w:tabs>
            <w:spacing w:line="331" w:lineRule="exact" w:before="299"/>
          </w:pPr>
          <w:hyperlink w:history="true" w:anchor="_bookmark65">
            <w:r>
              <w:rPr/>
              <w:t>Joint</w:t>
            </w:r>
            <w:r>
              <w:rPr>
                <w:spacing w:val="-6"/>
              </w:rPr>
              <w:t> </w:t>
            </w:r>
            <w:r>
              <w:rPr>
                <w:spacing w:val="-2"/>
              </w:rPr>
              <w:t>Submissions</w:t>
            </w:r>
            <w:r>
              <w:rPr>
                <w:rFonts w:ascii="Times New Roman"/>
              </w:rPr>
              <w:tab/>
            </w:r>
            <w:r>
              <w:rPr>
                <w:spacing w:val="-5"/>
              </w:rPr>
              <w:t>166</w:t>
            </w:r>
          </w:hyperlink>
        </w:p>
        <w:p>
          <w:pPr>
            <w:pStyle w:val="TOC5"/>
            <w:tabs>
              <w:tab w:pos="10759" w:val="right" w:leader="none"/>
            </w:tabs>
          </w:pPr>
          <w:hyperlink w:history="true" w:anchor="_bookmark66">
            <w:r>
              <w:rPr/>
              <w:t>NIHRC</w:t>
            </w:r>
            <w:r>
              <w:rPr>
                <w:spacing w:val="-4"/>
              </w:rPr>
              <w:t> </w:t>
            </w:r>
            <w:r>
              <w:rPr>
                <w:spacing w:val="-2"/>
              </w:rPr>
              <w:t>Submissions</w:t>
            </w:r>
            <w:r>
              <w:rPr>
                <w:rFonts w:ascii="Times New Roman"/>
              </w:rPr>
              <w:tab/>
            </w:r>
            <w:r>
              <w:rPr>
                <w:spacing w:val="-5"/>
              </w:rPr>
              <w:t>167</w:t>
            </w:r>
          </w:hyperlink>
        </w:p>
        <w:p>
          <w:pPr>
            <w:pStyle w:val="TOC5"/>
            <w:tabs>
              <w:tab w:pos="10759" w:val="right" w:leader="none"/>
            </w:tabs>
            <w:spacing w:line="331" w:lineRule="exact"/>
          </w:pPr>
          <w:hyperlink w:history="true" w:anchor="_bookmark67">
            <w:r>
              <w:rPr/>
              <w:t>ECNI</w:t>
            </w:r>
            <w:r>
              <w:rPr>
                <w:spacing w:val="-4"/>
              </w:rPr>
              <w:t> </w:t>
            </w:r>
            <w:r>
              <w:rPr>
                <w:spacing w:val="-2"/>
              </w:rPr>
              <w:t>Submissions</w:t>
            </w:r>
            <w:r>
              <w:rPr>
                <w:rFonts w:ascii="Times New Roman"/>
              </w:rPr>
              <w:tab/>
            </w:r>
            <w:r>
              <w:rPr>
                <w:spacing w:val="-5"/>
              </w:rPr>
              <w:t>168</w:t>
            </w:r>
          </w:hyperlink>
        </w:p>
      </w:sdtContent>
    </w:sdt>
    <w:p>
      <w:pPr>
        <w:spacing w:after="0" w:line="331" w:lineRule="exact"/>
        <w:sectPr>
          <w:type w:val="continuous"/>
          <w:pgSz w:w="11910" w:h="16840"/>
          <w:pgMar w:header="496" w:footer="367" w:top="1235" w:bottom="1295" w:left="0" w:right="0"/>
        </w:sectPr>
      </w:pPr>
    </w:p>
    <w:p>
      <w:pPr>
        <w:pStyle w:val="Heading2"/>
      </w:pPr>
      <w:bookmarkStart w:name="_bookmark0" w:id="1"/>
      <w:bookmarkEnd w:id="1"/>
      <w:r>
        <w:rPr>
          <w:b w:val="0"/>
        </w:rPr>
      </w:r>
      <w:bookmarkStart w:name="Foreword" w:id="2"/>
      <w:bookmarkEnd w:id="2"/>
      <w:r>
        <w:rPr>
          <w:b w:val="0"/>
        </w:rPr>
      </w:r>
      <w:r>
        <w:rPr>
          <w:color w:val="393B80"/>
          <w:spacing w:val="-2"/>
        </w:rPr>
        <w:t>Foreword</w:t>
      </w:r>
    </w:p>
    <w:p>
      <w:pPr>
        <w:pStyle w:val="BodyText"/>
        <w:spacing w:before="4"/>
        <w:rPr>
          <w:b/>
          <w:sz w:val="17"/>
        </w:rPr>
      </w:pPr>
      <w:r>
        <w:rPr/>
        <mc:AlternateContent>
          <mc:Choice Requires="wps">
            <w:drawing>
              <wp:anchor distT="0" distB="0" distL="0" distR="0" allowOverlap="1" layoutInCell="1" locked="0" behindDoc="1" simplePos="0" relativeHeight="487618048">
                <wp:simplePos x="0" y="0"/>
                <wp:positionH relativeFrom="page">
                  <wp:posOffset>719996</wp:posOffset>
                </wp:positionH>
                <wp:positionV relativeFrom="paragraph">
                  <wp:posOffset>149655</wp:posOffset>
                </wp:positionV>
                <wp:extent cx="6120130" cy="1270"/>
                <wp:effectExtent l="0" t="0" r="0" b="0"/>
                <wp:wrapTopAndBottom/>
                <wp:docPr id="112" name="Graphic 112"/>
                <wp:cNvGraphicFramePr>
                  <a:graphicFrameLocks/>
                </wp:cNvGraphicFramePr>
                <a:graphic>
                  <a:graphicData uri="http://schemas.microsoft.com/office/word/2010/wordprocessingShape">
                    <wps:wsp>
                      <wps:cNvPr id="112" name="Graphic 112"/>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1.783918pt;width:481.9pt;height:.1pt;mso-position-horizontal-relative:page;mso-position-vertical-relative:paragraph;z-index:-15698432;mso-wrap-distance-left:0;mso-wrap-distance-right:0" id="docshape71" coordorigin="1134,236" coordsize="9638,0" path="m10772,236l1134,236e" filled="false" stroked="true" strokeweight="1pt" strokecolor="#393b80">
                <v:path arrowok="t"/>
                <v:stroke dashstyle="solid"/>
                <w10:wrap type="topAndBottom"/>
              </v:shape>
            </w:pict>
          </mc:Fallback>
        </mc:AlternateContent>
      </w:r>
    </w:p>
    <w:p>
      <w:pPr>
        <w:pStyle w:val="BodyText"/>
        <w:spacing w:before="4"/>
        <w:rPr>
          <w:b/>
        </w:rPr>
      </w:pPr>
    </w:p>
    <w:p>
      <w:pPr>
        <w:pStyle w:val="BodyText"/>
        <w:spacing w:line="225" w:lineRule="auto"/>
        <w:ind w:left="1133" w:right="1171"/>
      </w:pPr>
      <w:r>
        <w:rPr/>
        <w:t>In</w:t>
      </w:r>
      <w:r>
        <w:rPr>
          <w:spacing w:val="-6"/>
        </w:rPr>
        <w:t> </w:t>
      </w:r>
      <w:r>
        <w:rPr/>
        <w:t>this</w:t>
      </w:r>
      <w:r>
        <w:rPr>
          <w:spacing w:val="-6"/>
        </w:rPr>
        <w:t> </w:t>
      </w:r>
      <w:r>
        <w:rPr/>
        <w:t>report</w:t>
      </w:r>
      <w:r>
        <w:rPr>
          <w:spacing w:val="-5"/>
        </w:rPr>
        <w:t> </w:t>
      </w:r>
      <w:r>
        <w:rPr/>
        <w:t>the</w:t>
      </w:r>
      <w:r>
        <w:rPr>
          <w:spacing w:val="-5"/>
        </w:rPr>
        <w:t> </w:t>
      </w:r>
      <w:r>
        <w:rPr/>
        <w:t>Commissions</w:t>
      </w:r>
      <w:r>
        <w:rPr>
          <w:spacing w:val="-6"/>
        </w:rPr>
        <w:t> </w:t>
      </w:r>
      <w:r>
        <w:rPr/>
        <w:t>highlight</w:t>
      </w:r>
      <w:r>
        <w:rPr>
          <w:spacing w:val="-5"/>
        </w:rPr>
        <w:t> </w:t>
      </w:r>
      <w:r>
        <w:rPr/>
        <w:t>our</w:t>
      </w:r>
      <w:r>
        <w:rPr>
          <w:spacing w:val="-5"/>
        </w:rPr>
        <w:t> </w:t>
      </w:r>
      <w:r>
        <w:rPr/>
        <w:t>key</w:t>
      </w:r>
      <w:r>
        <w:rPr>
          <w:spacing w:val="-5"/>
        </w:rPr>
        <w:t> </w:t>
      </w:r>
      <w:r>
        <w:rPr/>
        <w:t>policy</w:t>
      </w:r>
      <w:r>
        <w:rPr>
          <w:spacing w:val="-5"/>
        </w:rPr>
        <w:t> </w:t>
      </w:r>
      <w:r>
        <w:rPr/>
        <w:t>recommendations</w:t>
      </w:r>
      <w:r>
        <w:rPr>
          <w:spacing w:val="-6"/>
        </w:rPr>
        <w:t> </w:t>
      </w:r>
      <w:r>
        <w:rPr/>
        <w:t>and</w:t>
      </w:r>
      <w:r>
        <w:rPr>
          <w:spacing w:val="-6"/>
        </w:rPr>
        <w:t> </w:t>
      </w:r>
      <w:r>
        <w:rPr/>
        <w:t>advice on the implementation of Windsor Framework Article 2 that we have provided to the UK Government and NI Executive over the last year.</w:t>
      </w:r>
    </w:p>
    <w:p>
      <w:pPr>
        <w:pStyle w:val="BodyText"/>
        <w:spacing w:line="225" w:lineRule="auto" w:before="316"/>
        <w:ind w:left="1133" w:right="1301"/>
      </w:pPr>
      <w:r>
        <w:rPr/>
        <w:t>We</w:t>
      </w:r>
      <w:r>
        <w:rPr>
          <w:spacing w:val="-5"/>
        </w:rPr>
        <w:t> </w:t>
      </w:r>
      <w:r>
        <w:rPr/>
        <w:t>continue</w:t>
      </w:r>
      <w:r>
        <w:rPr>
          <w:spacing w:val="-5"/>
        </w:rPr>
        <w:t> </w:t>
      </w:r>
      <w:r>
        <w:rPr/>
        <w:t>to</w:t>
      </w:r>
      <w:r>
        <w:rPr>
          <w:spacing w:val="-6"/>
        </w:rPr>
        <w:t> </w:t>
      </w:r>
      <w:r>
        <w:rPr/>
        <w:t>be</w:t>
      </w:r>
      <w:r>
        <w:rPr>
          <w:spacing w:val="-5"/>
        </w:rPr>
        <w:t> </w:t>
      </w:r>
      <w:r>
        <w:rPr/>
        <w:t>concerned</w:t>
      </w:r>
      <w:r>
        <w:rPr>
          <w:spacing w:val="-6"/>
        </w:rPr>
        <w:t> </w:t>
      </w:r>
      <w:r>
        <w:rPr/>
        <w:t>about</w:t>
      </w:r>
      <w:r>
        <w:rPr>
          <w:spacing w:val="-5"/>
        </w:rPr>
        <w:t> </w:t>
      </w:r>
      <w:r>
        <w:rPr/>
        <w:t>the</w:t>
      </w:r>
      <w:r>
        <w:rPr>
          <w:spacing w:val="-5"/>
        </w:rPr>
        <w:t> </w:t>
      </w:r>
      <w:r>
        <w:rPr/>
        <w:t>‘roll-back’</w:t>
      </w:r>
      <w:r>
        <w:rPr>
          <w:spacing w:val="-5"/>
        </w:rPr>
        <w:t> </w:t>
      </w:r>
      <w:r>
        <w:rPr/>
        <w:t>of</w:t>
      </w:r>
      <w:r>
        <w:rPr>
          <w:spacing w:val="-6"/>
        </w:rPr>
        <w:t> </w:t>
      </w:r>
      <w:r>
        <w:rPr/>
        <w:t>rights</w:t>
      </w:r>
      <w:r>
        <w:rPr>
          <w:spacing w:val="-6"/>
        </w:rPr>
        <w:t> </w:t>
      </w:r>
      <w:r>
        <w:rPr/>
        <w:t>across</w:t>
      </w:r>
      <w:r>
        <w:rPr>
          <w:spacing w:val="-6"/>
        </w:rPr>
        <w:t> </w:t>
      </w:r>
      <w:r>
        <w:rPr/>
        <w:t>a</w:t>
      </w:r>
      <w:r>
        <w:rPr>
          <w:spacing w:val="-6"/>
        </w:rPr>
        <w:t> </w:t>
      </w:r>
      <w:r>
        <w:rPr/>
        <w:t>range</w:t>
      </w:r>
      <w:r>
        <w:rPr>
          <w:spacing w:val="-5"/>
        </w:rPr>
        <w:t> </w:t>
      </w:r>
      <w:r>
        <w:rPr/>
        <w:t>of</w:t>
      </w:r>
      <w:r>
        <w:rPr>
          <w:spacing w:val="-6"/>
        </w:rPr>
        <w:t> </w:t>
      </w:r>
      <w:r>
        <w:rPr/>
        <w:t>areas, including</w:t>
      </w:r>
      <w:r>
        <w:rPr>
          <w:spacing w:val="-1"/>
        </w:rPr>
        <w:t> </w:t>
      </w:r>
      <w:r>
        <w:rPr/>
        <w:t>the</w:t>
      </w:r>
      <w:r>
        <w:rPr>
          <w:spacing w:val="-1"/>
        </w:rPr>
        <w:t> </w:t>
      </w:r>
      <w:r>
        <w:rPr/>
        <w:t>rights</w:t>
      </w:r>
      <w:r>
        <w:rPr>
          <w:spacing w:val="-2"/>
        </w:rPr>
        <w:t> </w:t>
      </w:r>
      <w:r>
        <w:rPr/>
        <w:t>of</w:t>
      </w:r>
      <w:r>
        <w:rPr>
          <w:spacing w:val="-2"/>
        </w:rPr>
        <w:t> </w:t>
      </w:r>
      <w:r>
        <w:rPr/>
        <w:t>victims</w:t>
      </w:r>
      <w:r>
        <w:rPr>
          <w:spacing w:val="-2"/>
        </w:rPr>
        <w:t> </w:t>
      </w:r>
      <w:r>
        <w:rPr/>
        <w:t>under</w:t>
      </w:r>
      <w:r>
        <w:rPr>
          <w:spacing w:val="-1"/>
        </w:rPr>
        <w:t> </w:t>
      </w:r>
      <w:r>
        <w:rPr/>
        <w:t>the</w:t>
      </w:r>
      <w:r>
        <w:rPr>
          <w:spacing w:val="-1"/>
        </w:rPr>
        <w:t> </w:t>
      </w:r>
      <w:r>
        <w:rPr/>
        <w:t>Legacy</w:t>
      </w:r>
      <w:r>
        <w:rPr>
          <w:spacing w:val="-1"/>
        </w:rPr>
        <w:t> </w:t>
      </w:r>
      <w:r>
        <w:rPr/>
        <w:t>Act;</w:t>
      </w:r>
      <w:r>
        <w:rPr>
          <w:spacing w:val="-1"/>
        </w:rPr>
        <w:t> </w:t>
      </w:r>
      <w:r>
        <w:rPr/>
        <w:t>data</w:t>
      </w:r>
      <w:r>
        <w:rPr>
          <w:spacing w:val="-2"/>
        </w:rPr>
        <w:t> </w:t>
      </w:r>
      <w:r>
        <w:rPr/>
        <w:t>protection;</w:t>
      </w:r>
      <w:r>
        <w:rPr>
          <w:spacing w:val="-1"/>
        </w:rPr>
        <w:t> </w:t>
      </w:r>
      <w:r>
        <w:rPr/>
        <w:t>and</w:t>
      </w:r>
      <w:r>
        <w:rPr>
          <w:spacing w:val="-2"/>
        </w:rPr>
        <w:t> </w:t>
      </w:r>
      <w:r>
        <w:rPr/>
        <w:t>the</w:t>
      </w:r>
      <w:r>
        <w:rPr>
          <w:spacing w:val="-1"/>
        </w:rPr>
        <w:t> </w:t>
      </w:r>
      <w:r>
        <w:rPr/>
        <w:t>rights of asylum seekers and refugees. While we recognise that since the restoration of the institutions in February 2024 there has been limited time for a response from the</w:t>
      </w:r>
      <w:r>
        <w:rPr>
          <w:spacing w:val="-5"/>
        </w:rPr>
        <w:t> </w:t>
      </w:r>
      <w:r>
        <w:rPr/>
        <w:t>Executive</w:t>
      </w:r>
      <w:r>
        <w:rPr>
          <w:spacing w:val="-5"/>
        </w:rPr>
        <w:t> </w:t>
      </w:r>
      <w:r>
        <w:rPr/>
        <w:t>Office</w:t>
      </w:r>
      <w:r>
        <w:rPr>
          <w:spacing w:val="-5"/>
        </w:rPr>
        <w:t> </w:t>
      </w:r>
      <w:r>
        <w:rPr/>
        <w:t>to</w:t>
      </w:r>
      <w:r>
        <w:rPr>
          <w:spacing w:val="-6"/>
        </w:rPr>
        <w:t> </w:t>
      </w:r>
      <w:r>
        <w:rPr/>
        <w:t>our</w:t>
      </w:r>
      <w:r>
        <w:rPr>
          <w:spacing w:val="-5"/>
        </w:rPr>
        <w:t> </w:t>
      </w:r>
      <w:r>
        <w:rPr/>
        <w:t>last</w:t>
      </w:r>
      <w:r>
        <w:rPr>
          <w:spacing w:val="-5"/>
        </w:rPr>
        <w:t> </w:t>
      </w:r>
      <w:r>
        <w:rPr/>
        <w:t>Annual</w:t>
      </w:r>
      <w:r>
        <w:rPr>
          <w:spacing w:val="-6"/>
        </w:rPr>
        <w:t> </w:t>
      </w:r>
      <w:r>
        <w:rPr/>
        <w:t>Report,</w:t>
      </w:r>
      <w:r>
        <w:rPr>
          <w:spacing w:val="-5"/>
        </w:rPr>
        <w:t> </w:t>
      </w:r>
      <w:r>
        <w:rPr/>
        <w:t>we</w:t>
      </w:r>
      <w:r>
        <w:rPr>
          <w:spacing w:val="-5"/>
        </w:rPr>
        <w:t> </w:t>
      </w:r>
      <w:r>
        <w:rPr/>
        <w:t>are</w:t>
      </w:r>
      <w:r>
        <w:rPr>
          <w:spacing w:val="-5"/>
        </w:rPr>
        <w:t> </w:t>
      </w:r>
      <w:r>
        <w:rPr/>
        <w:t>disappointed</w:t>
      </w:r>
      <w:r>
        <w:rPr>
          <w:spacing w:val="-6"/>
        </w:rPr>
        <w:t> </w:t>
      </w:r>
      <w:r>
        <w:rPr/>
        <w:t>that</w:t>
      </w:r>
      <w:r>
        <w:rPr>
          <w:spacing w:val="-5"/>
        </w:rPr>
        <w:t> </w:t>
      </w:r>
      <w:r>
        <w:rPr/>
        <w:t>we</w:t>
      </w:r>
      <w:r>
        <w:rPr>
          <w:spacing w:val="-5"/>
        </w:rPr>
        <w:t> </w:t>
      </w:r>
      <w:r>
        <w:rPr/>
        <w:t>did</w:t>
      </w:r>
      <w:r>
        <w:rPr>
          <w:spacing w:val="-6"/>
        </w:rPr>
        <w:t> </w:t>
      </w:r>
      <w:r>
        <w:rPr/>
        <w:t>not receive</w:t>
      </w:r>
      <w:r>
        <w:rPr>
          <w:spacing w:val="-3"/>
        </w:rPr>
        <w:t> </w:t>
      </w:r>
      <w:r>
        <w:rPr/>
        <w:t>a</w:t>
      </w:r>
      <w:r>
        <w:rPr>
          <w:spacing w:val="-4"/>
        </w:rPr>
        <w:t> </w:t>
      </w:r>
      <w:r>
        <w:rPr/>
        <w:t>formal</w:t>
      </w:r>
      <w:r>
        <w:rPr>
          <w:spacing w:val="-4"/>
        </w:rPr>
        <w:t> </w:t>
      </w:r>
      <w:r>
        <w:rPr/>
        <w:t>response</w:t>
      </w:r>
      <w:r>
        <w:rPr>
          <w:spacing w:val="-3"/>
        </w:rPr>
        <w:t> </w:t>
      </w:r>
      <w:r>
        <w:rPr/>
        <w:t>from</w:t>
      </w:r>
      <w:r>
        <w:rPr>
          <w:spacing w:val="-3"/>
        </w:rPr>
        <w:t> </w:t>
      </w:r>
      <w:r>
        <w:rPr/>
        <w:t>either</w:t>
      </w:r>
      <w:r>
        <w:rPr>
          <w:spacing w:val="-3"/>
        </w:rPr>
        <w:t> </w:t>
      </w:r>
      <w:r>
        <w:rPr/>
        <w:t>the</w:t>
      </w:r>
      <w:r>
        <w:rPr>
          <w:spacing w:val="-3"/>
        </w:rPr>
        <w:t> </w:t>
      </w:r>
      <w:r>
        <w:rPr/>
        <w:t>Secretary</w:t>
      </w:r>
      <w:r>
        <w:rPr>
          <w:spacing w:val="-3"/>
        </w:rPr>
        <w:t> </w:t>
      </w:r>
      <w:r>
        <w:rPr/>
        <w:t>of</w:t>
      </w:r>
      <w:r>
        <w:rPr>
          <w:spacing w:val="-4"/>
        </w:rPr>
        <w:t> </w:t>
      </w:r>
      <w:r>
        <w:rPr/>
        <w:t>State</w:t>
      </w:r>
      <w:r>
        <w:rPr>
          <w:spacing w:val="-3"/>
        </w:rPr>
        <w:t> </w:t>
      </w:r>
      <w:r>
        <w:rPr/>
        <w:t>for</w:t>
      </w:r>
      <w:r>
        <w:rPr>
          <w:spacing w:val="-3"/>
        </w:rPr>
        <w:t> </w:t>
      </w:r>
      <w:r>
        <w:rPr/>
        <w:t>NI</w:t>
      </w:r>
      <w:r>
        <w:rPr>
          <w:spacing w:val="-3"/>
        </w:rPr>
        <w:t> </w:t>
      </w:r>
      <w:r>
        <w:rPr/>
        <w:t>or</w:t>
      </w:r>
      <w:r>
        <w:rPr>
          <w:spacing w:val="-3"/>
        </w:rPr>
        <w:t> </w:t>
      </w:r>
      <w:r>
        <w:rPr/>
        <w:t>the</w:t>
      </w:r>
      <w:r>
        <w:rPr>
          <w:spacing w:val="-3"/>
        </w:rPr>
        <w:t> </w:t>
      </w:r>
      <w:r>
        <w:rPr/>
        <w:t>Executive Office within the reporting period for this year.</w:t>
      </w:r>
    </w:p>
    <w:p>
      <w:pPr>
        <w:pStyle w:val="BodyText"/>
        <w:spacing w:line="225" w:lineRule="auto" w:before="311"/>
        <w:ind w:left="1133" w:right="1171"/>
      </w:pPr>
      <w:r>
        <w:rPr/>
        <w:t>Over the last year, the distinctive place of Windsor Framework Article 2 in the framework</w:t>
      </w:r>
      <w:r>
        <w:rPr>
          <w:spacing w:val="-5"/>
        </w:rPr>
        <w:t> </w:t>
      </w:r>
      <w:r>
        <w:rPr/>
        <w:t>of</w:t>
      </w:r>
      <w:r>
        <w:rPr>
          <w:spacing w:val="-5"/>
        </w:rPr>
        <w:t> </w:t>
      </w:r>
      <w:r>
        <w:rPr/>
        <w:t>equality</w:t>
      </w:r>
      <w:r>
        <w:rPr>
          <w:spacing w:val="-5"/>
        </w:rPr>
        <w:t> </w:t>
      </w:r>
      <w:r>
        <w:rPr/>
        <w:t>and</w:t>
      </w:r>
      <w:r>
        <w:rPr>
          <w:spacing w:val="-5"/>
        </w:rPr>
        <w:t> </w:t>
      </w:r>
      <w:r>
        <w:rPr/>
        <w:t>human</w:t>
      </w:r>
      <w:r>
        <w:rPr>
          <w:spacing w:val="-5"/>
        </w:rPr>
        <w:t> </w:t>
      </w:r>
      <w:r>
        <w:rPr/>
        <w:t>rights</w:t>
      </w:r>
      <w:r>
        <w:rPr>
          <w:spacing w:val="-5"/>
        </w:rPr>
        <w:t> </w:t>
      </w:r>
      <w:r>
        <w:rPr/>
        <w:t>protections</w:t>
      </w:r>
      <w:r>
        <w:rPr>
          <w:spacing w:val="-5"/>
        </w:rPr>
        <w:t> </w:t>
      </w:r>
      <w:r>
        <w:rPr/>
        <w:t>in</w:t>
      </w:r>
      <w:r>
        <w:rPr>
          <w:spacing w:val="-5"/>
        </w:rPr>
        <w:t> </w:t>
      </w:r>
      <w:r>
        <w:rPr/>
        <w:t>NI</w:t>
      </w:r>
      <w:r>
        <w:rPr>
          <w:spacing w:val="-5"/>
        </w:rPr>
        <w:t> </w:t>
      </w:r>
      <w:r>
        <w:rPr/>
        <w:t>has</w:t>
      </w:r>
      <w:r>
        <w:rPr>
          <w:spacing w:val="-5"/>
        </w:rPr>
        <w:t> </w:t>
      </w:r>
      <w:r>
        <w:rPr/>
        <w:t>been</w:t>
      </w:r>
      <w:r>
        <w:rPr>
          <w:spacing w:val="-5"/>
        </w:rPr>
        <w:t> </w:t>
      </w:r>
      <w:r>
        <w:rPr/>
        <w:t>further</w:t>
      </w:r>
      <w:r>
        <w:rPr>
          <w:spacing w:val="-5"/>
        </w:rPr>
        <w:t> </w:t>
      </w:r>
      <w:r>
        <w:rPr/>
        <w:t>clarified. Three major court judgments have confirmed the scope and operation of the</w:t>
      </w:r>
    </w:p>
    <w:p>
      <w:pPr>
        <w:pStyle w:val="BodyText"/>
        <w:spacing w:line="225" w:lineRule="auto"/>
        <w:ind w:left="1133" w:right="1171"/>
      </w:pPr>
      <w:r>
        <w:rPr/>
        <w:t>UK</w:t>
      </w:r>
      <w:r>
        <w:rPr>
          <w:spacing w:val="-7"/>
        </w:rPr>
        <w:t> </w:t>
      </w:r>
      <w:r>
        <w:rPr/>
        <w:t>Government’s</w:t>
      </w:r>
      <w:r>
        <w:rPr>
          <w:spacing w:val="-8"/>
        </w:rPr>
        <w:t> </w:t>
      </w:r>
      <w:r>
        <w:rPr/>
        <w:t>commitment</w:t>
      </w:r>
      <w:r>
        <w:rPr>
          <w:spacing w:val="-7"/>
        </w:rPr>
        <w:t> </w:t>
      </w:r>
      <w:r>
        <w:rPr/>
        <w:t>to</w:t>
      </w:r>
      <w:r>
        <w:rPr>
          <w:spacing w:val="-8"/>
        </w:rPr>
        <w:t> </w:t>
      </w:r>
      <w:r>
        <w:rPr/>
        <w:t>non-diminution</w:t>
      </w:r>
      <w:r>
        <w:rPr>
          <w:spacing w:val="-8"/>
        </w:rPr>
        <w:t> </w:t>
      </w:r>
      <w:r>
        <w:rPr/>
        <w:t>of</w:t>
      </w:r>
      <w:r>
        <w:rPr>
          <w:spacing w:val="-8"/>
        </w:rPr>
        <w:t> </w:t>
      </w:r>
      <w:r>
        <w:rPr/>
        <w:t>certain</w:t>
      </w:r>
      <w:r>
        <w:rPr>
          <w:spacing w:val="-8"/>
        </w:rPr>
        <w:t> </w:t>
      </w:r>
      <w:r>
        <w:rPr/>
        <w:t>rights</w:t>
      </w:r>
      <w:r>
        <w:rPr>
          <w:spacing w:val="-8"/>
        </w:rPr>
        <w:t> </w:t>
      </w:r>
      <w:r>
        <w:rPr/>
        <w:t>in</w:t>
      </w:r>
      <w:r>
        <w:rPr>
          <w:spacing w:val="-8"/>
        </w:rPr>
        <w:t> </w:t>
      </w:r>
      <w:r>
        <w:rPr/>
        <w:t>Windsor Framework Article 2 and since March this year, a further judgment has been </w:t>
      </w:r>
      <w:r>
        <w:rPr>
          <w:spacing w:val="-2"/>
        </w:rPr>
        <w:t>delivered.</w:t>
      </w:r>
    </w:p>
    <w:p>
      <w:pPr>
        <w:pStyle w:val="BodyText"/>
        <w:spacing w:line="225" w:lineRule="auto" w:before="313"/>
        <w:ind w:left="1133" w:right="1171"/>
      </w:pPr>
      <w:r>
        <w:rPr/>
        <w:t>Importantly,</w:t>
      </w:r>
      <w:r>
        <w:rPr>
          <w:spacing w:val="-4"/>
        </w:rPr>
        <w:t> </w:t>
      </w:r>
      <w:r>
        <w:rPr/>
        <w:t>in</w:t>
      </w:r>
      <w:r>
        <w:rPr>
          <w:spacing w:val="-5"/>
        </w:rPr>
        <w:t> </w:t>
      </w:r>
      <w:r>
        <w:rPr/>
        <w:t>May</w:t>
      </w:r>
      <w:r>
        <w:rPr>
          <w:spacing w:val="-4"/>
        </w:rPr>
        <w:t> </w:t>
      </w:r>
      <w:r>
        <w:rPr/>
        <w:t>2023,</w:t>
      </w:r>
      <w:r>
        <w:rPr>
          <w:spacing w:val="-4"/>
        </w:rPr>
        <w:t> </w:t>
      </w:r>
      <w:r>
        <w:rPr/>
        <w:t>the</w:t>
      </w:r>
      <w:r>
        <w:rPr>
          <w:spacing w:val="-4"/>
        </w:rPr>
        <w:t> </w:t>
      </w:r>
      <w:r>
        <w:rPr/>
        <w:t>NI</w:t>
      </w:r>
      <w:r>
        <w:rPr>
          <w:spacing w:val="-4"/>
        </w:rPr>
        <w:t> </w:t>
      </w:r>
      <w:r>
        <w:rPr/>
        <w:t>Court</w:t>
      </w:r>
      <w:r>
        <w:rPr>
          <w:spacing w:val="-4"/>
        </w:rPr>
        <w:t> </w:t>
      </w:r>
      <w:r>
        <w:rPr/>
        <w:t>of</w:t>
      </w:r>
      <w:r>
        <w:rPr>
          <w:spacing w:val="-5"/>
        </w:rPr>
        <w:t> </w:t>
      </w:r>
      <w:r>
        <w:rPr/>
        <w:t>Appeal</w:t>
      </w:r>
      <w:r>
        <w:rPr>
          <w:spacing w:val="-5"/>
        </w:rPr>
        <w:t> </w:t>
      </w:r>
      <w:r>
        <w:rPr/>
        <w:t>set</w:t>
      </w:r>
      <w:r>
        <w:rPr>
          <w:spacing w:val="-4"/>
        </w:rPr>
        <w:t> </w:t>
      </w:r>
      <w:r>
        <w:rPr/>
        <w:t>out,</w:t>
      </w:r>
      <w:r>
        <w:rPr>
          <w:spacing w:val="-4"/>
        </w:rPr>
        <w:t> </w:t>
      </w:r>
      <w:r>
        <w:rPr/>
        <w:t>for</w:t>
      </w:r>
      <w:r>
        <w:rPr>
          <w:spacing w:val="-4"/>
        </w:rPr>
        <w:t> </w:t>
      </w:r>
      <w:r>
        <w:rPr/>
        <w:t>the</w:t>
      </w:r>
      <w:r>
        <w:rPr>
          <w:spacing w:val="-4"/>
        </w:rPr>
        <w:t> </w:t>
      </w:r>
      <w:r>
        <w:rPr/>
        <w:t>first</w:t>
      </w:r>
      <w:r>
        <w:rPr>
          <w:spacing w:val="-4"/>
        </w:rPr>
        <w:t> </w:t>
      </w:r>
      <w:r>
        <w:rPr/>
        <w:t>time,</w:t>
      </w:r>
      <w:r>
        <w:rPr>
          <w:spacing w:val="-4"/>
        </w:rPr>
        <w:t> </w:t>
      </w:r>
      <w:r>
        <w:rPr/>
        <w:t>a</w:t>
      </w:r>
      <w:r>
        <w:rPr>
          <w:spacing w:val="-5"/>
        </w:rPr>
        <w:t> </w:t>
      </w:r>
      <w:r>
        <w:rPr/>
        <w:t>test</w:t>
      </w:r>
      <w:r>
        <w:rPr>
          <w:spacing w:val="-4"/>
        </w:rPr>
        <w:t> </w:t>
      </w:r>
      <w:r>
        <w:rPr/>
        <w:t>for when Article 2 is engaged. Further, in a series of key judgments, the NI High Court found that fundamental rights are central to the Belfast (Good Friday) Agreement; that</w:t>
      </w:r>
      <w:r>
        <w:rPr>
          <w:spacing w:val="-5"/>
        </w:rPr>
        <w:t> </w:t>
      </w:r>
      <w:r>
        <w:rPr/>
        <w:t>the</w:t>
      </w:r>
      <w:r>
        <w:rPr>
          <w:spacing w:val="-5"/>
        </w:rPr>
        <w:t> </w:t>
      </w:r>
      <w:r>
        <w:rPr/>
        <w:t>rights</w:t>
      </w:r>
      <w:r>
        <w:rPr>
          <w:spacing w:val="-5"/>
        </w:rPr>
        <w:t> </w:t>
      </w:r>
      <w:r>
        <w:rPr/>
        <w:t>protected</w:t>
      </w:r>
      <w:r>
        <w:rPr>
          <w:spacing w:val="-5"/>
        </w:rPr>
        <w:t> </w:t>
      </w:r>
      <w:r>
        <w:rPr/>
        <w:t>under</w:t>
      </w:r>
      <w:r>
        <w:rPr>
          <w:spacing w:val="-5"/>
        </w:rPr>
        <w:t> </w:t>
      </w:r>
      <w:r>
        <w:rPr/>
        <w:t>Article</w:t>
      </w:r>
      <w:r>
        <w:rPr>
          <w:spacing w:val="-5"/>
        </w:rPr>
        <w:t> </w:t>
      </w:r>
      <w:r>
        <w:rPr/>
        <w:t>2</w:t>
      </w:r>
      <w:r>
        <w:rPr>
          <w:spacing w:val="-5"/>
        </w:rPr>
        <w:t> </w:t>
      </w:r>
      <w:r>
        <w:rPr/>
        <w:t>are</w:t>
      </w:r>
      <w:r>
        <w:rPr>
          <w:spacing w:val="-5"/>
        </w:rPr>
        <w:t> </w:t>
      </w:r>
      <w:r>
        <w:rPr/>
        <w:t>broad</w:t>
      </w:r>
      <w:r>
        <w:rPr>
          <w:spacing w:val="-5"/>
        </w:rPr>
        <w:t> </w:t>
      </w:r>
      <w:r>
        <w:rPr/>
        <w:t>in</w:t>
      </w:r>
      <w:r>
        <w:rPr>
          <w:spacing w:val="-5"/>
        </w:rPr>
        <w:t> </w:t>
      </w:r>
      <w:r>
        <w:rPr/>
        <w:t>scope</w:t>
      </w:r>
      <w:r>
        <w:rPr>
          <w:spacing w:val="-5"/>
        </w:rPr>
        <w:t> </w:t>
      </w:r>
      <w:r>
        <w:rPr/>
        <w:t>and</w:t>
      </w:r>
      <w:r>
        <w:rPr>
          <w:spacing w:val="-5"/>
        </w:rPr>
        <w:t> </w:t>
      </w:r>
      <w:r>
        <w:rPr/>
        <w:t>cannot</w:t>
      </w:r>
      <w:r>
        <w:rPr>
          <w:spacing w:val="-5"/>
        </w:rPr>
        <w:t> </w:t>
      </w:r>
      <w:r>
        <w:rPr/>
        <w:t>be</w:t>
      </w:r>
      <w:r>
        <w:rPr>
          <w:spacing w:val="-5"/>
        </w:rPr>
        <w:t> </w:t>
      </w:r>
      <w:r>
        <w:rPr/>
        <w:t>limited</w:t>
      </w:r>
      <w:r>
        <w:rPr>
          <w:spacing w:val="-5"/>
        </w:rPr>
        <w:t> </w:t>
      </w:r>
      <w:r>
        <w:rPr/>
        <w:t>to the political context of 1998; and that asylum seekers are part of the community in NI and have protections under Article 2. Crucially, in two cases the High Court also disapplied</w:t>
      </w:r>
      <w:r>
        <w:rPr>
          <w:spacing w:val="-3"/>
        </w:rPr>
        <w:t> </w:t>
      </w:r>
      <w:r>
        <w:rPr/>
        <w:t>provisions</w:t>
      </w:r>
      <w:r>
        <w:rPr>
          <w:spacing w:val="-3"/>
        </w:rPr>
        <w:t> </w:t>
      </w:r>
      <w:r>
        <w:rPr/>
        <w:t>of</w:t>
      </w:r>
      <w:r>
        <w:rPr>
          <w:spacing w:val="-3"/>
        </w:rPr>
        <w:t> </w:t>
      </w:r>
      <w:r>
        <w:rPr/>
        <w:t>Westminster</w:t>
      </w:r>
      <w:r>
        <w:rPr>
          <w:spacing w:val="-2"/>
        </w:rPr>
        <w:t> </w:t>
      </w:r>
      <w:r>
        <w:rPr/>
        <w:t>legislation</w:t>
      </w:r>
      <w:r>
        <w:rPr>
          <w:spacing w:val="-3"/>
        </w:rPr>
        <w:t> </w:t>
      </w:r>
      <w:r>
        <w:rPr/>
        <w:t>that</w:t>
      </w:r>
      <w:r>
        <w:rPr>
          <w:spacing w:val="-2"/>
        </w:rPr>
        <w:t> </w:t>
      </w:r>
      <w:r>
        <w:rPr/>
        <w:t>conflicted</w:t>
      </w:r>
      <w:r>
        <w:rPr>
          <w:spacing w:val="-3"/>
        </w:rPr>
        <w:t> </w:t>
      </w:r>
      <w:r>
        <w:rPr/>
        <w:t>with</w:t>
      </w:r>
      <w:r>
        <w:rPr>
          <w:spacing w:val="-3"/>
        </w:rPr>
        <w:t> </w:t>
      </w:r>
      <w:r>
        <w:rPr/>
        <w:t>Article</w:t>
      </w:r>
      <w:r>
        <w:rPr>
          <w:spacing w:val="-2"/>
        </w:rPr>
        <w:t> </w:t>
      </w:r>
      <w:r>
        <w:rPr/>
        <w:t>2.</w:t>
      </w:r>
      <w:r>
        <w:rPr>
          <w:spacing w:val="-3"/>
        </w:rPr>
        <w:t> </w:t>
      </w:r>
      <w:r>
        <w:rPr/>
        <w:t>These legal developments are subject to appeal.</w:t>
      </w:r>
    </w:p>
    <w:p>
      <w:pPr>
        <w:pStyle w:val="BodyText"/>
        <w:spacing w:line="225" w:lineRule="auto" w:before="309"/>
        <w:ind w:left="1133" w:right="1171"/>
      </w:pPr>
      <w:r>
        <w:rPr/>
        <w:t>We</w:t>
      </w:r>
      <w:r>
        <w:rPr>
          <w:spacing w:val="-5"/>
        </w:rPr>
        <w:t> </w:t>
      </w:r>
      <w:r>
        <w:rPr/>
        <w:t>are</w:t>
      </w:r>
      <w:r>
        <w:rPr>
          <w:spacing w:val="-5"/>
        </w:rPr>
        <w:t> </w:t>
      </w:r>
      <w:r>
        <w:rPr/>
        <w:t>pleased</w:t>
      </w:r>
      <w:r>
        <w:rPr>
          <w:spacing w:val="-6"/>
        </w:rPr>
        <w:t> </w:t>
      </w:r>
      <w:r>
        <w:rPr/>
        <w:t>that</w:t>
      </w:r>
      <w:r>
        <w:rPr>
          <w:spacing w:val="-5"/>
        </w:rPr>
        <w:t> </w:t>
      </w:r>
      <w:r>
        <w:rPr/>
        <w:t>the</w:t>
      </w:r>
      <w:r>
        <w:rPr>
          <w:spacing w:val="-5"/>
        </w:rPr>
        <w:t> </w:t>
      </w:r>
      <w:r>
        <w:rPr/>
        <w:t>judgments</w:t>
      </w:r>
      <w:r>
        <w:rPr>
          <w:spacing w:val="-6"/>
        </w:rPr>
        <w:t> </w:t>
      </w:r>
      <w:r>
        <w:rPr/>
        <w:t>so</w:t>
      </w:r>
      <w:r>
        <w:rPr>
          <w:spacing w:val="-6"/>
        </w:rPr>
        <w:t> </w:t>
      </w:r>
      <w:r>
        <w:rPr/>
        <w:t>far</w:t>
      </w:r>
      <w:r>
        <w:rPr>
          <w:spacing w:val="-5"/>
        </w:rPr>
        <w:t> </w:t>
      </w:r>
      <w:r>
        <w:rPr/>
        <w:t>have</w:t>
      </w:r>
      <w:r>
        <w:rPr>
          <w:spacing w:val="-5"/>
        </w:rPr>
        <w:t> </w:t>
      </w:r>
      <w:r>
        <w:rPr/>
        <w:t>confirmed</w:t>
      </w:r>
      <w:r>
        <w:rPr>
          <w:spacing w:val="-6"/>
        </w:rPr>
        <w:t> </w:t>
      </w:r>
      <w:r>
        <w:rPr/>
        <w:t>our</w:t>
      </w:r>
      <w:r>
        <w:rPr>
          <w:spacing w:val="-5"/>
        </w:rPr>
        <w:t> </w:t>
      </w:r>
      <w:r>
        <w:rPr/>
        <w:t>analysis</w:t>
      </w:r>
      <w:r>
        <w:rPr>
          <w:spacing w:val="-6"/>
        </w:rPr>
        <w:t> </w:t>
      </w:r>
      <w:r>
        <w:rPr/>
        <w:t>set</w:t>
      </w:r>
      <w:r>
        <w:rPr>
          <w:spacing w:val="-5"/>
        </w:rPr>
        <w:t> </w:t>
      </w:r>
      <w:r>
        <w:rPr/>
        <w:t>out</w:t>
      </w:r>
      <w:r>
        <w:rPr>
          <w:spacing w:val="-5"/>
        </w:rPr>
        <w:t> </w:t>
      </w:r>
      <w:r>
        <w:rPr/>
        <w:t>in</w:t>
      </w:r>
      <w:r>
        <w:rPr>
          <w:spacing w:val="-6"/>
        </w:rPr>
        <w:t> </w:t>
      </w:r>
      <w:r>
        <w:rPr/>
        <w:t>our working paper on the scope of Article 2 and vindicated our approach to strategic litigation. There is more to be determined by the courts. Our research programme and</w:t>
      </w:r>
      <w:r>
        <w:rPr>
          <w:spacing w:val="-6"/>
        </w:rPr>
        <w:t> </w:t>
      </w:r>
      <w:r>
        <w:rPr/>
        <w:t>policy</w:t>
      </w:r>
      <w:r>
        <w:rPr>
          <w:spacing w:val="-5"/>
        </w:rPr>
        <w:t> </w:t>
      </w:r>
      <w:r>
        <w:rPr/>
        <w:t>work</w:t>
      </w:r>
      <w:r>
        <w:rPr>
          <w:spacing w:val="-5"/>
        </w:rPr>
        <w:t> </w:t>
      </w:r>
      <w:r>
        <w:rPr/>
        <w:t>therefore</w:t>
      </w:r>
      <w:r>
        <w:rPr>
          <w:spacing w:val="-5"/>
        </w:rPr>
        <w:t> </w:t>
      </w:r>
      <w:r>
        <w:rPr/>
        <w:t>remain</w:t>
      </w:r>
      <w:r>
        <w:rPr>
          <w:spacing w:val="-6"/>
        </w:rPr>
        <w:t> </w:t>
      </w:r>
      <w:r>
        <w:rPr/>
        <w:t>essential</w:t>
      </w:r>
      <w:r>
        <w:rPr>
          <w:spacing w:val="-6"/>
        </w:rPr>
        <w:t> </w:t>
      </w:r>
      <w:r>
        <w:rPr/>
        <w:t>to</w:t>
      </w:r>
      <w:r>
        <w:rPr>
          <w:spacing w:val="-6"/>
        </w:rPr>
        <w:t> </w:t>
      </w:r>
      <w:r>
        <w:rPr/>
        <w:t>informing</w:t>
      </w:r>
      <w:r>
        <w:rPr>
          <w:spacing w:val="-5"/>
        </w:rPr>
        <w:t> </w:t>
      </w:r>
      <w:r>
        <w:rPr/>
        <w:t>consideration</w:t>
      </w:r>
      <w:r>
        <w:rPr>
          <w:spacing w:val="-6"/>
        </w:rPr>
        <w:t> </w:t>
      </w:r>
      <w:r>
        <w:rPr/>
        <w:t>of</w:t>
      </w:r>
      <w:r>
        <w:rPr>
          <w:spacing w:val="-6"/>
        </w:rPr>
        <w:t> </w:t>
      </w:r>
      <w:r>
        <w:rPr/>
        <w:t>those,</w:t>
      </w:r>
      <w:r>
        <w:rPr>
          <w:spacing w:val="-5"/>
        </w:rPr>
        <w:t> </w:t>
      </w:r>
      <w:r>
        <w:rPr/>
        <w:t>and other, issues.</w:t>
      </w:r>
    </w:p>
    <w:p>
      <w:pPr>
        <w:pStyle w:val="BodyText"/>
        <w:spacing w:line="225" w:lineRule="auto" w:before="314"/>
        <w:ind w:left="1133" w:right="1171"/>
      </w:pPr>
      <w:r>
        <w:rPr/>
        <w:t>There have also been important EU developments on pay transparency and standards for equality bodies which engage the ‘keeping pace’ obligation under Article 2. Our comprehensive analysis of the Pay Transparency Directive, which we carried</w:t>
      </w:r>
      <w:r>
        <w:rPr>
          <w:spacing w:val="-7"/>
        </w:rPr>
        <w:t> </w:t>
      </w:r>
      <w:r>
        <w:rPr/>
        <w:t>out</w:t>
      </w:r>
      <w:r>
        <w:rPr>
          <w:spacing w:val="-6"/>
        </w:rPr>
        <w:t> </w:t>
      </w:r>
      <w:r>
        <w:rPr/>
        <w:t>this</w:t>
      </w:r>
      <w:r>
        <w:rPr>
          <w:spacing w:val="-7"/>
        </w:rPr>
        <w:t> </w:t>
      </w:r>
      <w:r>
        <w:rPr/>
        <w:t>year,</w:t>
      </w:r>
      <w:r>
        <w:rPr>
          <w:spacing w:val="-6"/>
        </w:rPr>
        <w:t> </w:t>
      </w:r>
      <w:r>
        <w:rPr/>
        <w:t>has</w:t>
      </w:r>
      <w:r>
        <w:rPr>
          <w:spacing w:val="-7"/>
        </w:rPr>
        <w:t> </w:t>
      </w:r>
      <w:r>
        <w:rPr/>
        <w:t>concluded</w:t>
      </w:r>
      <w:r>
        <w:rPr>
          <w:spacing w:val="-7"/>
        </w:rPr>
        <w:t> </w:t>
      </w:r>
      <w:r>
        <w:rPr/>
        <w:t>that</w:t>
      </w:r>
      <w:r>
        <w:rPr>
          <w:spacing w:val="-6"/>
        </w:rPr>
        <w:t> </w:t>
      </w:r>
      <w:r>
        <w:rPr/>
        <w:t>the</w:t>
      </w:r>
      <w:r>
        <w:rPr>
          <w:spacing w:val="-6"/>
        </w:rPr>
        <w:t> </w:t>
      </w:r>
      <w:r>
        <w:rPr/>
        <w:t>majority</w:t>
      </w:r>
      <w:r>
        <w:rPr>
          <w:spacing w:val="-6"/>
        </w:rPr>
        <w:t> </w:t>
      </w:r>
      <w:r>
        <w:rPr/>
        <w:t>of</w:t>
      </w:r>
      <w:r>
        <w:rPr>
          <w:spacing w:val="-7"/>
        </w:rPr>
        <w:t> </w:t>
      </w:r>
      <w:r>
        <w:rPr/>
        <w:t>its</w:t>
      </w:r>
      <w:r>
        <w:rPr>
          <w:spacing w:val="-7"/>
        </w:rPr>
        <w:t> </w:t>
      </w:r>
      <w:r>
        <w:rPr/>
        <w:t>provisions</w:t>
      </w:r>
      <w:r>
        <w:rPr>
          <w:spacing w:val="-7"/>
        </w:rPr>
        <w:t> </w:t>
      </w:r>
      <w:r>
        <w:rPr/>
        <w:t>enhance</w:t>
      </w:r>
      <w:r>
        <w:rPr>
          <w:spacing w:val="-6"/>
        </w:rPr>
        <w:t> </w:t>
      </w:r>
      <w:r>
        <w:rPr/>
        <w:t>rights and safeguards and will amend or replace provisions of the directive on gender equality in employment in Annex 1 of the Windsor Framework. Similarly, new EU</w:t>
      </w:r>
    </w:p>
    <w:p>
      <w:pPr>
        <w:spacing w:after="0" w:line="225" w:lineRule="auto"/>
        <w:sectPr>
          <w:pgSz w:w="11910" w:h="16840"/>
          <w:pgMar w:header="496" w:footer="367" w:top="1220" w:bottom="560" w:left="0" w:right="0"/>
        </w:sectPr>
      </w:pPr>
    </w:p>
    <w:p>
      <w:pPr>
        <w:pStyle w:val="BodyText"/>
        <w:spacing w:before="181"/>
      </w:pPr>
    </w:p>
    <w:p>
      <w:pPr>
        <w:pStyle w:val="BodyText"/>
        <w:spacing w:line="225" w:lineRule="auto"/>
        <w:ind w:left="1133" w:right="1124"/>
      </w:pPr>
      <w:r>
        <w:rPr/>
        <w:t>measures designed to strengthen equality bodies will, in our view, also amend and/ or replace provisions of the Annex 1 Directives. Crucially, we consider that NI law must therefore be amended to reflect these EU developments. We are calling on relevant NI departments, and the UK Government, to take urgent action to bring forward</w:t>
      </w:r>
      <w:r>
        <w:rPr>
          <w:spacing w:val="-7"/>
        </w:rPr>
        <w:t> </w:t>
      </w:r>
      <w:r>
        <w:rPr/>
        <w:t>legislative</w:t>
      </w:r>
      <w:r>
        <w:rPr>
          <w:spacing w:val="-7"/>
        </w:rPr>
        <w:t> </w:t>
      </w:r>
      <w:r>
        <w:rPr/>
        <w:t>changes,</w:t>
      </w:r>
      <w:r>
        <w:rPr>
          <w:spacing w:val="-7"/>
        </w:rPr>
        <w:t> </w:t>
      </w:r>
      <w:r>
        <w:rPr/>
        <w:t>as</w:t>
      </w:r>
      <w:r>
        <w:rPr>
          <w:spacing w:val="-7"/>
        </w:rPr>
        <w:t> </w:t>
      </w:r>
      <w:r>
        <w:rPr/>
        <w:t>required,</w:t>
      </w:r>
      <w:r>
        <w:rPr>
          <w:spacing w:val="-7"/>
        </w:rPr>
        <w:t> </w:t>
      </w:r>
      <w:r>
        <w:rPr/>
        <w:t>to</w:t>
      </w:r>
      <w:r>
        <w:rPr>
          <w:spacing w:val="-7"/>
        </w:rPr>
        <w:t> </w:t>
      </w:r>
      <w:r>
        <w:rPr/>
        <w:t>ensure</w:t>
      </w:r>
      <w:r>
        <w:rPr>
          <w:spacing w:val="-7"/>
        </w:rPr>
        <w:t> </w:t>
      </w:r>
      <w:r>
        <w:rPr/>
        <w:t>NI</w:t>
      </w:r>
      <w:r>
        <w:rPr>
          <w:spacing w:val="-7"/>
        </w:rPr>
        <w:t> </w:t>
      </w:r>
      <w:r>
        <w:rPr/>
        <w:t>law</w:t>
      </w:r>
      <w:r>
        <w:rPr>
          <w:spacing w:val="-6"/>
        </w:rPr>
        <w:t> </w:t>
      </w:r>
      <w:r>
        <w:rPr/>
        <w:t>is</w:t>
      </w:r>
      <w:r>
        <w:rPr>
          <w:spacing w:val="-7"/>
        </w:rPr>
        <w:t> </w:t>
      </w:r>
      <w:r>
        <w:rPr/>
        <w:t>amended</w:t>
      </w:r>
      <w:r>
        <w:rPr>
          <w:spacing w:val="-7"/>
        </w:rPr>
        <w:t> </w:t>
      </w:r>
      <w:r>
        <w:rPr/>
        <w:t>to</w:t>
      </w:r>
      <w:r>
        <w:rPr>
          <w:spacing w:val="-7"/>
        </w:rPr>
        <w:t> </w:t>
      </w:r>
      <w:r>
        <w:rPr/>
        <w:t>reflect</w:t>
      </w:r>
      <w:r>
        <w:rPr>
          <w:spacing w:val="-6"/>
        </w:rPr>
        <w:t> </w:t>
      </w:r>
      <w:r>
        <w:rPr/>
        <w:t>these </w:t>
      </w:r>
      <w:r>
        <w:rPr>
          <w:spacing w:val="-2"/>
        </w:rPr>
        <w:t>developments.</w:t>
      </w:r>
    </w:p>
    <w:p>
      <w:pPr>
        <w:pStyle w:val="BodyText"/>
        <w:spacing w:line="225" w:lineRule="auto" w:before="313"/>
        <w:ind w:left="1133" w:right="1301"/>
      </w:pPr>
      <w:r>
        <w:rPr/>
        <w:t>Public support in NI for the Windsor Framework Article 2 commitment remains strong.</w:t>
      </w:r>
      <w:r>
        <w:rPr>
          <w:spacing w:val="-8"/>
        </w:rPr>
        <w:t> </w:t>
      </w:r>
      <w:r>
        <w:rPr/>
        <w:t>According</w:t>
      </w:r>
      <w:r>
        <w:rPr>
          <w:spacing w:val="-7"/>
        </w:rPr>
        <w:t> </w:t>
      </w:r>
      <w:r>
        <w:rPr/>
        <w:t>to</w:t>
      </w:r>
      <w:r>
        <w:rPr>
          <w:spacing w:val="-8"/>
        </w:rPr>
        <w:t> </w:t>
      </w:r>
      <w:r>
        <w:rPr/>
        <w:t>a</w:t>
      </w:r>
      <w:r>
        <w:rPr>
          <w:spacing w:val="-8"/>
        </w:rPr>
        <w:t> </w:t>
      </w:r>
      <w:r>
        <w:rPr/>
        <w:t>recent</w:t>
      </w:r>
      <w:r>
        <w:rPr>
          <w:spacing w:val="-7"/>
        </w:rPr>
        <w:t> </w:t>
      </w:r>
      <w:r>
        <w:rPr/>
        <w:t>survey</w:t>
      </w:r>
      <w:r>
        <w:rPr>
          <w:spacing w:val="-7"/>
        </w:rPr>
        <w:t> </w:t>
      </w:r>
      <w:r>
        <w:rPr/>
        <w:t>commissioned</w:t>
      </w:r>
      <w:r>
        <w:rPr>
          <w:spacing w:val="-8"/>
        </w:rPr>
        <w:t> </w:t>
      </w:r>
      <w:r>
        <w:rPr/>
        <w:t>by</w:t>
      </w:r>
      <w:r>
        <w:rPr>
          <w:spacing w:val="-7"/>
        </w:rPr>
        <w:t> </w:t>
      </w:r>
      <w:r>
        <w:rPr/>
        <w:t>us,</w:t>
      </w:r>
      <w:r>
        <w:rPr>
          <w:spacing w:val="-7"/>
        </w:rPr>
        <w:t> </w:t>
      </w:r>
      <w:r>
        <w:rPr/>
        <w:t>a</w:t>
      </w:r>
      <w:r>
        <w:rPr>
          <w:spacing w:val="-8"/>
        </w:rPr>
        <w:t> </w:t>
      </w:r>
      <w:r>
        <w:rPr/>
        <w:t>substantial</w:t>
      </w:r>
      <w:r>
        <w:rPr>
          <w:spacing w:val="-8"/>
        </w:rPr>
        <w:t> </w:t>
      </w:r>
      <w:r>
        <w:rPr/>
        <w:t>proportion of respondents (74%) once again indicated that the inclusion of the equality and human rights protections in the Windsor Framework was important to them.</w:t>
      </w:r>
    </w:p>
    <w:p>
      <w:pPr>
        <w:pStyle w:val="BodyText"/>
        <w:spacing w:line="225" w:lineRule="auto" w:before="314"/>
        <w:ind w:left="1133" w:right="1171"/>
      </w:pPr>
      <w:r>
        <w:rPr/>
        <w:t>Ensuring that Windsor Framework Article 2 is considered in a comprehensive and timely manner requires leadership at a senior level and sustained oversight. We welcome the initial steps being taken by the NI departments to start this process. However, at a UK level progress appears to be more limited. We urge the UK Government and NI Executive to prioritise cross-departmental work to develop and roll</w:t>
      </w:r>
      <w:r>
        <w:rPr>
          <w:spacing w:val="-10"/>
        </w:rPr>
        <w:t> </w:t>
      </w:r>
      <w:r>
        <w:rPr/>
        <w:t>out</w:t>
      </w:r>
      <w:r>
        <w:rPr>
          <w:spacing w:val="-9"/>
        </w:rPr>
        <w:t> </w:t>
      </w:r>
      <w:r>
        <w:rPr/>
        <w:t>comprehensive</w:t>
      </w:r>
      <w:r>
        <w:rPr>
          <w:spacing w:val="-9"/>
        </w:rPr>
        <w:t> </w:t>
      </w:r>
      <w:r>
        <w:rPr/>
        <w:t>guidance,</w:t>
      </w:r>
      <w:r>
        <w:rPr>
          <w:spacing w:val="-9"/>
        </w:rPr>
        <w:t> </w:t>
      </w:r>
      <w:r>
        <w:rPr/>
        <w:t>accompanied</w:t>
      </w:r>
      <w:r>
        <w:rPr>
          <w:spacing w:val="-10"/>
        </w:rPr>
        <w:t> </w:t>
      </w:r>
      <w:r>
        <w:rPr/>
        <w:t>by</w:t>
      </w:r>
      <w:r>
        <w:rPr>
          <w:spacing w:val="-9"/>
        </w:rPr>
        <w:t> </w:t>
      </w:r>
      <w:r>
        <w:rPr/>
        <w:t>a</w:t>
      </w:r>
      <w:r>
        <w:rPr>
          <w:spacing w:val="-10"/>
        </w:rPr>
        <w:t> </w:t>
      </w:r>
      <w:r>
        <w:rPr/>
        <w:t>systematic</w:t>
      </w:r>
      <w:r>
        <w:rPr>
          <w:spacing w:val="-9"/>
        </w:rPr>
        <w:t> </w:t>
      </w:r>
      <w:r>
        <w:rPr/>
        <w:t>training</w:t>
      </w:r>
      <w:r>
        <w:rPr>
          <w:spacing w:val="-9"/>
        </w:rPr>
        <w:t> </w:t>
      </w:r>
      <w:r>
        <w:rPr/>
        <w:t>programme, to build consideration of Article 2 into the development of policy and legislation from the outset and throughout.</w:t>
      </w:r>
    </w:p>
    <w:p>
      <w:pPr>
        <w:pStyle w:val="BodyText"/>
        <w:spacing w:line="225" w:lineRule="auto" w:before="310"/>
        <w:ind w:left="1133" w:right="1171"/>
      </w:pPr>
      <w:r>
        <w:rPr/>
        <w:t>We will continue to exercise our mandate constructively and to work in close partnership.</w:t>
      </w:r>
      <w:r>
        <w:rPr>
          <w:spacing w:val="-9"/>
        </w:rPr>
        <w:t> </w:t>
      </w:r>
      <w:r>
        <w:rPr/>
        <w:t>We</w:t>
      </w:r>
      <w:r>
        <w:rPr>
          <w:spacing w:val="-8"/>
        </w:rPr>
        <w:t> </w:t>
      </w:r>
      <w:r>
        <w:rPr/>
        <w:t>are</w:t>
      </w:r>
      <w:r>
        <w:rPr>
          <w:spacing w:val="-8"/>
        </w:rPr>
        <w:t> </w:t>
      </w:r>
      <w:r>
        <w:rPr/>
        <w:t>committed</w:t>
      </w:r>
      <w:r>
        <w:rPr>
          <w:spacing w:val="-9"/>
        </w:rPr>
        <w:t> </w:t>
      </w:r>
      <w:r>
        <w:rPr/>
        <w:t>to</w:t>
      </w:r>
      <w:r>
        <w:rPr>
          <w:spacing w:val="-9"/>
        </w:rPr>
        <w:t> </w:t>
      </w:r>
      <w:r>
        <w:rPr/>
        <w:t>protecting</w:t>
      </w:r>
      <w:r>
        <w:rPr>
          <w:spacing w:val="-8"/>
        </w:rPr>
        <w:t> </w:t>
      </w:r>
      <w:r>
        <w:rPr/>
        <w:t>the</w:t>
      </w:r>
      <w:r>
        <w:rPr>
          <w:spacing w:val="-8"/>
        </w:rPr>
        <w:t> </w:t>
      </w:r>
      <w:r>
        <w:rPr/>
        <w:t>rights</w:t>
      </w:r>
      <w:r>
        <w:rPr>
          <w:spacing w:val="-9"/>
        </w:rPr>
        <w:t> </w:t>
      </w:r>
      <w:r>
        <w:rPr/>
        <w:t>of</w:t>
      </w:r>
      <w:r>
        <w:rPr>
          <w:spacing w:val="-9"/>
        </w:rPr>
        <w:t> </w:t>
      </w:r>
      <w:r>
        <w:rPr/>
        <w:t>everyone</w:t>
      </w:r>
      <w:r>
        <w:rPr>
          <w:spacing w:val="-8"/>
        </w:rPr>
        <w:t> </w:t>
      </w:r>
      <w:r>
        <w:rPr/>
        <w:t>in</w:t>
      </w:r>
      <w:r>
        <w:rPr>
          <w:spacing w:val="-9"/>
        </w:rPr>
        <w:t> </w:t>
      </w:r>
      <w:r>
        <w:rPr/>
        <w:t>Northern Ireland and will exercise the full range of our powers to oversee the effective implementation of Windsor Framework Article 2.</w:t>
      </w:r>
    </w:p>
    <w:p>
      <w:pPr>
        <w:pStyle w:val="BodyText"/>
        <w:rPr>
          <w:sz w:val="20"/>
        </w:rPr>
      </w:pPr>
    </w:p>
    <w:p>
      <w:pPr>
        <w:pStyle w:val="BodyText"/>
        <w:spacing w:before="95"/>
        <w:rPr>
          <w:sz w:val="20"/>
        </w:rPr>
      </w:pPr>
      <w:r>
        <w:rPr/>
        <w:drawing>
          <wp:anchor distT="0" distB="0" distL="0" distR="0" allowOverlap="1" layoutInCell="1" locked="0" behindDoc="1" simplePos="0" relativeHeight="487618560">
            <wp:simplePos x="0" y="0"/>
            <wp:positionH relativeFrom="page">
              <wp:posOffset>721751</wp:posOffset>
            </wp:positionH>
            <wp:positionV relativeFrom="paragraph">
              <wp:posOffset>255158</wp:posOffset>
            </wp:positionV>
            <wp:extent cx="1480360" cy="446913"/>
            <wp:effectExtent l="0" t="0" r="0" b="0"/>
            <wp:wrapTopAndBottom/>
            <wp:docPr id="113" name="Image 113" descr="Alyson Kilpatrick Signature "/>
            <wp:cNvGraphicFramePr>
              <a:graphicFrameLocks/>
            </wp:cNvGraphicFramePr>
            <a:graphic>
              <a:graphicData uri="http://schemas.openxmlformats.org/drawingml/2006/picture">
                <pic:pic>
                  <pic:nvPicPr>
                    <pic:cNvPr id="113" name="Image 113" descr="Alyson Kilpatrick Signature "/>
                    <pic:cNvPicPr/>
                  </pic:nvPicPr>
                  <pic:blipFill>
                    <a:blip r:embed="rId60" cstate="print"/>
                    <a:stretch>
                      <a:fillRect/>
                    </a:stretch>
                  </pic:blipFill>
                  <pic:spPr>
                    <a:xfrm>
                      <a:off x="0" y="0"/>
                      <a:ext cx="1480360" cy="446913"/>
                    </a:xfrm>
                    <a:prstGeom prst="rect">
                      <a:avLst/>
                    </a:prstGeom>
                  </pic:spPr>
                </pic:pic>
              </a:graphicData>
            </a:graphic>
          </wp:anchor>
        </w:drawing>
      </w:r>
      <w:r>
        <w:rPr/>
        <w:drawing>
          <wp:anchor distT="0" distB="0" distL="0" distR="0" allowOverlap="1" layoutInCell="1" locked="0" behindDoc="1" simplePos="0" relativeHeight="487619072">
            <wp:simplePos x="0" y="0"/>
            <wp:positionH relativeFrom="page">
              <wp:posOffset>4876837</wp:posOffset>
            </wp:positionH>
            <wp:positionV relativeFrom="paragraph">
              <wp:posOffset>230934</wp:posOffset>
            </wp:positionV>
            <wp:extent cx="1951513" cy="464438"/>
            <wp:effectExtent l="0" t="0" r="0" b="0"/>
            <wp:wrapTopAndBottom/>
            <wp:docPr id="114" name="Image 114" descr="Geraldine McGahey Signature "/>
            <wp:cNvGraphicFramePr>
              <a:graphicFrameLocks/>
            </wp:cNvGraphicFramePr>
            <a:graphic>
              <a:graphicData uri="http://schemas.openxmlformats.org/drawingml/2006/picture">
                <pic:pic>
                  <pic:nvPicPr>
                    <pic:cNvPr id="114" name="Image 114" descr="Geraldine McGahey Signature "/>
                    <pic:cNvPicPr/>
                  </pic:nvPicPr>
                  <pic:blipFill>
                    <a:blip r:embed="rId61" cstate="print"/>
                    <a:stretch>
                      <a:fillRect/>
                    </a:stretch>
                  </pic:blipFill>
                  <pic:spPr>
                    <a:xfrm>
                      <a:off x="0" y="0"/>
                      <a:ext cx="1951513" cy="464438"/>
                    </a:xfrm>
                    <a:prstGeom prst="rect">
                      <a:avLst/>
                    </a:prstGeom>
                  </pic:spPr>
                </pic:pic>
              </a:graphicData>
            </a:graphic>
          </wp:anchor>
        </w:drawing>
      </w:r>
    </w:p>
    <w:p>
      <w:pPr>
        <w:pStyle w:val="BodyText"/>
        <w:rPr>
          <w:sz w:val="20"/>
        </w:rPr>
      </w:pPr>
    </w:p>
    <w:p>
      <w:pPr>
        <w:pStyle w:val="BodyText"/>
        <w:spacing w:before="7"/>
        <w:rPr>
          <w:sz w:val="20"/>
        </w:rPr>
      </w:pPr>
    </w:p>
    <w:p>
      <w:pPr>
        <w:spacing w:after="0"/>
        <w:rPr>
          <w:sz w:val="20"/>
        </w:rPr>
        <w:sectPr>
          <w:pgSz w:w="11910" w:h="16840"/>
          <w:pgMar w:header="496" w:footer="367" w:top="1220" w:bottom="560" w:left="0" w:right="0"/>
        </w:sectPr>
      </w:pPr>
    </w:p>
    <w:p>
      <w:pPr>
        <w:spacing w:line="331" w:lineRule="exact" w:before="54"/>
        <w:ind w:left="1133" w:right="0" w:firstLine="0"/>
        <w:jc w:val="left"/>
        <w:rPr>
          <w:b/>
          <w:sz w:val="28"/>
        </w:rPr>
      </w:pPr>
      <w:r>
        <w:rPr>
          <w:b/>
          <w:sz w:val="28"/>
        </w:rPr>
        <w:t>Alyson</w:t>
      </w:r>
      <w:r>
        <w:rPr>
          <w:b/>
          <w:spacing w:val="-2"/>
          <w:sz w:val="28"/>
        </w:rPr>
        <w:t> Kilpatrick</w:t>
      </w:r>
    </w:p>
    <w:p>
      <w:pPr>
        <w:pStyle w:val="BodyText"/>
        <w:spacing w:line="320" w:lineRule="exact"/>
        <w:ind w:left="1133"/>
      </w:pPr>
      <w:r>
        <w:rPr/>
        <w:t>Chief</w:t>
      </w:r>
      <w:r>
        <w:rPr>
          <w:spacing w:val="-4"/>
        </w:rPr>
        <w:t> </w:t>
      </w:r>
      <w:r>
        <w:rPr>
          <w:spacing w:val="-2"/>
        </w:rPr>
        <w:t>Commissioner</w:t>
      </w:r>
    </w:p>
    <w:p>
      <w:pPr>
        <w:pStyle w:val="BodyText"/>
        <w:spacing w:line="331" w:lineRule="exact"/>
        <w:ind w:left="1133"/>
      </w:pPr>
      <w:r>
        <w:rPr/>
        <w:t>NI</w:t>
      </w:r>
      <w:r>
        <w:rPr>
          <w:spacing w:val="-4"/>
        </w:rPr>
        <w:t> </w:t>
      </w:r>
      <w:r>
        <w:rPr/>
        <w:t>Human</w:t>
      </w:r>
      <w:r>
        <w:rPr>
          <w:spacing w:val="-5"/>
        </w:rPr>
        <w:t> </w:t>
      </w:r>
      <w:r>
        <w:rPr/>
        <w:t>Rights</w:t>
      </w:r>
      <w:r>
        <w:rPr>
          <w:spacing w:val="-4"/>
        </w:rPr>
        <w:t> </w:t>
      </w:r>
      <w:r>
        <w:rPr>
          <w:spacing w:val="-2"/>
        </w:rPr>
        <w:t>Commission</w:t>
      </w:r>
    </w:p>
    <w:p>
      <w:pPr>
        <w:spacing w:line="331" w:lineRule="exact" w:before="44"/>
        <w:ind w:left="1145" w:right="0" w:firstLine="0"/>
        <w:jc w:val="left"/>
        <w:rPr>
          <w:b/>
          <w:sz w:val="28"/>
        </w:rPr>
      </w:pPr>
      <w:r>
        <w:rPr/>
        <w:br w:type="column"/>
      </w:r>
      <w:r>
        <w:rPr>
          <w:b/>
          <w:sz w:val="28"/>
        </w:rPr>
        <w:t>Geraldine</w:t>
      </w:r>
      <w:r>
        <w:rPr>
          <w:b/>
          <w:spacing w:val="-14"/>
          <w:sz w:val="28"/>
        </w:rPr>
        <w:t> </w:t>
      </w:r>
      <w:r>
        <w:rPr>
          <w:b/>
          <w:spacing w:val="-2"/>
          <w:sz w:val="28"/>
        </w:rPr>
        <w:t>McGahey</w:t>
      </w:r>
    </w:p>
    <w:p>
      <w:pPr>
        <w:pStyle w:val="BodyText"/>
        <w:spacing w:line="225" w:lineRule="auto" w:before="5"/>
        <w:ind w:left="1145" w:right="1051"/>
      </w:pPr>
      <w:r>
        <w:rPr/>
        <w:t>Chief Commissioner Equality</w:t>
      </w:r>
      <w:r>
        <w:rPr>
          <w:spacing w:val="-15"/>
        </w:rPr>
        <w:t> </w:t>
      </w:r>
      <w:r>
        <w:rPr/>
        <w:t>Commission</w:t>
      </w:r>
      <w:r>
        <w:rPr>
          <w:spacing w:val="-15"/>
        </w:rPr>
        <w:t> </w:t>
      </w:r>
      <w:r>
        <w:rPr/>
        <w:t>for</w:t>
      </w:r>
      <w:r>
        <w:rPr>
          <w:spacing w:val="-15"/>
        </w:rPr>
        <w:t> </w:t>
      </w:r>
      <w:r>
        <w:rPr/>
        <w:t>NI</w:t>
      </w:r>
    </w:p>
    <w:p>
      <w:pPr>
        <w:spacing w:after="0" w:line="225" w:lineRule="auto"/>
        <w:sectPr>
          <w:type w:val="continuous"/>
          <w:pgSz w:w="11910" w:h="16840"/>
          <w:pgMar w:header="496" w:footer="367" w:top="980" w:bottom="280" w:left="0" w:right="0"/>
          <w:cols w:num="2" w:equalWidth="0">
            <w:col w:w="4523" w:space="2024"/>
            <w:col w:w="5363"/>
          </w:cols>
        </w:sectPr>
      </w:pPr>
    </w:p>
    <w:p>
      <w:pPr>
        <w:pStyle w:val="Heading2"/>
      </w:pPr>
      <w:bookmarkStart w:name="_bookmark1" w:id="3"/>
      <w:bookmarkEnd w:id="3"/>
      <w:r>
        <w:rPr>
          <w:b w:val="0"/>
        </w:rPr>
      </w:r>
      <w:bookmarkStart w:name="Abbreviations" w:id="4"/>
      <w:bookmarkEnd w:id="4"/>
      <w:r>
        <w:rPr>
          <w:b w:val="0"/>
        </w:rPr>
      </w:r>
      <w:r>
        <w:rPr>
          <w:color w:val="393B80"/>
          <w:spacing w:val="-2"/>
        </w:rPr>
        <w:t>Abbreviations</w:t>
      </w:r>
    </w:p>
    <w:p>
      <w:pPr>
        <w:pStyle w:val="BodyText"/>
        <w:spacing w:before="4"/>
        <w:rPr>
          <w:b/>
          <w:sz w:val="17"/>
        </w:rPr>
      </w:pPr>
      <w:r>
        <w:rPr/>
        <mc:AlternateContent>
          <mc:Choice Requires="wps">
            <w:drawing>
              <wp:anchor distT="0" distB="0" distL="0" distR="0" allowOverlap="1" layoutInCell="1" locked="0" behindDoc="1" simplePos="0" relativeHeight="487619584">
                <wp:simplePos x="0" y="0"/>
                <wp:positionH relativeFrom="page">
                  <wp:posOffset>719996</wp:posOffset>
                </wp:positionH>
                <wp:positionV relativeFrom="paragraph">
                  <wp:posOffset>149655</wp:posOffset>
                </wp:positionV>
                <wp:extent cx="6120130" cy="1270"/>
                <wp:effectExtent l="0" t="0" r="0" b="0"/>
                <wp:wrapTopAndBottom/>
                <wp:docPr id="115" name="Graphic 115"/>
                <wp:cNvGraphicFramePr>
                  <a:graphicFrameLocks/>
                </wp:cNvGraphicFramePr>
                <a:graphic>
                  <a:graphicData uri="http://schemas.microsoft.com/office/word/2010/wordprocessingShape">
                    <wps:wsp>
                      <wps:cNvPr id="115" name="Graphic 11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1.783918pt;width:481.9pt;height:.1pt;mso-position-horizontal-relative:page;mso-position-vertical-relative:paragraph;z-index:-15696896;mso-wrap-distance-left:0;mso-wrap-distance-right:0" id="docshape72" coordorigin="1134,236" coordsize="9638,0" path="m10772,236l1134,236e" filled="false" stroked="true" strokeweight="1pt" strokecolor="#393b80">
                <v:path arrowok="t"/>
                <v:stroke dashstyle="solid"/>
                <w10:wrap type="topAndBottom"/>
              </v:shape>
            </w:pict>
          </mc:Fallback>
        </mc:AlternateContent>
      </w:r>
    </w:p>
    <w:p>
      <w:pPr>
        <w:pStyle w:val="BodyText"/>
        <w:tabs>
          <w:tab w:pos="2573" w:val="left" w:leader="none"/>
        </w:tabs>
        <w:spacing w:before="324"/>
        <w:ind w:left="1133"/>
      </w:pPr>
      <w:r>
        <w:rPr>
          <w:b/>
          <w:spacing w:val="-4"/>
        </w:rPr>
        <w:t>CJEU</w:t>
      </w:r>
      <w:r>
        <w:rPr>
          <w:b/>
        </w:rPr>
        <w:tab/>
      </w:r>
      <w:r>
        <w:rPr/>
        <w:t>Court</w:t>
      </w:r>
      <w:r>
        <w:rPr>
          <w:spacing w:val="-4"/>
        </w:rPr>
        <w:t> </w:t>
      </w:r>
      <w:r>
        <w:rPr/>
        <w:t>of</w:t>
      </w:r>
      <w:r>
        <w:rPr>
          <w:spacing w:val="-4"/>
        </w:rPr>
        <w:t> </w:t>
      </w:r>
      <w:r>
        <w:rPr/>
        <w:t>Justice</w:t>
      </w:r>
      <w:r>
        <w:rPr>
          <w:spacing w:val="-4"/>
        </w:rPr>
        <w:t> </w:t>
      </w:r>
      <w:r>
        <w:rPr/>
        <w:t>of</w:t>
      </w:r>
      <w:r>
        <w:rPr>
          <w:spacing w:val="-4"/>
        </w:rPr>
        <w:t> </w:t>
      </w:r>
      <w:r>
        <w:rPr/>
        <w:t>the</w:t>
      </w:r>
      <w:r>
        <w:rPr>
          <w:spacing w:val="-3"/>
        </w:rPr>
        <w:t> </w:t>
      </w:r>
      <w:r>
        <w:rPr/>
        <w:t>European</w:t>
      </w:r>
      <w:r>
        <w:rPr>
          <w:spacing w:val="-5"/>
        </w:rPr>
        <w:t> </w:t>
      </w:r>
      <w:r>
        <w:rPr>
          <w:spacing w:val="-2"/>
        </w:rPr>
        <w:t>Union</w:t>
      </w:r>
    </w:p>
    <w:p>
      <w:pPr>
        <w:pStyle w:val="BodyText"/>
        <w:tabs>
          <w:tab w:pos="2573" w:val="left" w:leader="none"/>
        </w:tabs>
        <w:spacing w:before="198"/>
        <w:ind w:left="1133"/>
      </w:pPr>
      <w:r>
        <w:rPr>
          <w:b/>
          <w:spacing w:val="-5"/>
        </w:rPr>
        <w:t>COE</w:t>
      </w:r>
      <w:r>
        <w:rPr>
          <w:b/>
        </w:rPr>
        <w:tab/>
      </w:r>
      <w:r>
        <w:rPr/>
        <w:t>Council</w:t>
      </w:r>
      <w:r>
        <w:rPr>
          <w:spacing w:val="-5"/>
        </w:rPr>
        <w:t> </w:t>
      </w:r>
      <w:r>
        <w:rPr/>
        <w:t>of</w:t>
      </w:r>
      <w:r>
        <w:rPr>
          <w:spacing w:val="-4"/>
        </w:rPr>
        <w:t> </w:t>
      </w:r>
      <w:r>
        <w:rPr>
          <w:spacing w:val="-2"/>
        </w:rPr>
        <w:t>Europe</w:t>
      </w:r>
    </w:p>
    <w:p>
      <w:pPr>
        <w:pStyle w:val="BodyText"/>
        <w:tabs>
          <w:tab w:pos="2573" w:val="left" w:leader="none"/>
        </w:tabs>
        <w:spacing w:before="199"/>
        <w:ind w:left="1133"/>
      </w:pPr>
      <w:r>
        <w:rPr>
          <w:b/>
          <w:spacing w:val="-4"/>
        </w:rPr>
        <w:t>ECHR</w:t>
      </w:r>
      <w:r>
        <w:rPr>
          <w:b/>
        </w:rPr>
        <w:tab/>
      </w:r>
      <w:r>
        <w:rPr/>
        <w:t>European</w:t>
      </w:r>
      <w:r>
        <w:rPr>
          <w:spacing w:val="-10"/>
        </w:rPr>
        <w:t> </w:t>
      </w:r>
      <w:r>
        <w:rPr/>
        <w:t>Convention</w:t>
      </w:r>
      <w:r>
        <w:rPr>
          <w:spacing w:val="-10"/>
        </w:rPr>
        <w:t> </w:t>
      </w:r>
      <w:r>
        <w:rPr/>
        <w:t>of</w:t>
      </w:r>
      <w:r>
        <w:rPr>
          <w:spacing w:val="-10"/>
        </w:rPr>
        <w:t> </w:t>
      </w:r>
      <w:r>
        <w:rPr/>
        <w:t>Human</w:t>
      </w:r>
      <w:r>
        <w:rPr>
          <w:spacing w:val="-10"/>
        </w:rPr>
        <w:t> </w:t>
      </w:r>
      <w:r>
        <w:rPr>
          <w:spacing w:val="-2"/>
        </w:rPr>
        <w:t>Rights</w:t>
      </w:r>
    </w:p>
    <w:p>
      <w:pPr>
        <w:pStyle w:val="BodyText"/>
        <w:tabs>
          <w:tab w:pos="2573" w:val="left" w:leader="none"/>
        </w:tabs>
        <w:spacing w:before="198"/>
        <w:ind w:left="1133"/>
      </w:pPr>
      <w:r>
        <w:rPr>
          <w:b/>
          <w:spacing w:val="-2"/>
        </w:rPr>
        <w:t>ECtHR</w:t>
      </w:r>
      <w:r>
        <w:rPr>
          <w:b/>
        </w:rPr>
        <w:tab/>
      </w:r>
      <w:r>
        <w:rPr/>
        <w:t>European</w:t>
      </w:r>
      <w:r>
        <w:rPr>
          <w:spacing w:val="-7"/>
        </w:rPr>
        <w:t> </w:t>
      </w:r>
      <w:r>
        <w:rPr/>
        <w:t>Court</w:t>
      </w:r>
      <w:r>
        <w:rPr>
          <w:spacing w:val="-4"/>
        </w:rPr>
        <w:t> </w:t>
      </w:r>
      <w:r>
        <w:rPr/>
        <w:t>of</w:t>
      </w:r>
      <w:r>
        <w:rPr>
          <w:spacing w:val="-4"/>
        </w:rPr>
        <w:t> </w:t>
      </w:r>
      <w:r>
        <w:rPr/>
        <w:t>Human</w:t>
      </w:r>
      <w:r>
        <w:rPr>
          <w:spacing w:val="-4"/>
        </w:rPr>
        <w:t> </w:t>
      </w:r>
      <w:r>
        <w:rPr>
          <w:spacing w:val="-2"/>
        </w:rPr>
        <w:t>Rights</w:t>
      </w:r>
    </w:p>
    <w:p>
      <w:pPr>
        <w:pStyle w:val="BodyText"/>
        <w:tabs>
          <w:tab w:pos="2573" w:val="left" w:leader="none"/>
        </w:tabs>
        <w:spacing w:before="198"/>
        <w:ind w:left="1133"/>
      </w:pPr>
      <w:r>
        <w:rPr>
          <w:b/>
          <w:spacing w:val="-4"/>
        </w:rPr>
        <w:t>ECNI</w:t>
      </w:r>
      <w:r>
        <w:rPr>
          <w:b/>
        </w:rPr>
        <w:tab/>
      </w:r>
      <w:r>
        <w:rPr/>
        <w:t>Equality</w:t>
      </w:r>
      <w:r>
        <w:rPr>
          <w:spacing w:val="-9"/>
        </w:rPr>
        <w:t> </w:t>
      </w:r>
      <w:r>
        <w:rPr/>
        <w:t>Commission</w:t>
      </w:r>
      <w:r>
        <w:rPr>
          <w:spacing w:val="-7"/>
        </w:rPr>
        <w:t> </w:t>
      </w:r>
      <w:r>
        <w:rPr/>
        <w:t>for</w:t>
      </w:r>
      <w:r>
        <w:rPr>
          <w:spacing w:val="-7"/>
        </w:rPr>
        <w:t> </w:t>
      </w:r>
      <w:r>
        <w:rPr/>
        <w:t>Northern</w:t>
      </w:r>
      <w:r>
        <w:rPr>
          <w:spacing w:val="-7"/>
        </w:rPr>
        <w:t> </w:t>
      </w:r>
      <w:r>
        <w:rPr>
          <w:spacing w:val="-2"/>
        </w:rPr>
        <w:t>Ireland</w:t>
      </w:r>
    </w:p>
    <w:p>
      <w:pPr>
        <w:pStyle w:val="BodyText"/>
        <w:tabs>
          <w:tab w:pos="2573" w:val="left" w:leader="none"/>
        </w:tabs>
        <w:spacing w:before="198"/>
        <w:ind w:left="1133"/>
      </w:pPr>
      <w:r>
        <w:rPr>
          <w:b/>
          <w:spacing w:val="-5"/>
        </w:rPr>
        <w:t>EEA</w:t>
      </w:r>
      <w:r>
        <w:rPr>
          <w:b/>
        </w:rPr>
        <w:tab/>
      </w:r>
      <w:r>
        <w:rPr/>
        <w:t>European</w:t>
      </w:r>
      <w:r>
        <w:rPr>
          <w:spacing w:val="-9"/>
        </w:rPr>
        <w:t> </w:t>
      </w:r>
      <w:r>
        <w:rPr/>
        <w:t>Economic</w:t>
      </w:r>
      <w:r>
        <w:rPr>
          <w:spacing w:val="-8"/>
        </w:rPr>
        <w:t> </w:t>
      </w:r>
      <w:r>
        <w:rPr>
          <w:spacing w:val="-4"/>
        </w:rPr>
        <w:t>Area</w:t>
      </w:r>
    </w:p>
    <w:p>
      <w:pPr>
        <w:pStyle w:val="BodyText"/>
        <w:tabs>
          <w:tab w:pos="2573" w:val="left" w:leader="none"/>
        </w:tabs>
        <w:spacing w:before="198"/>
        <w:ind w:left="1133"/>
      </w:pPr>
      <w:r>
        <w:rPr>
          <w:b/>
          <w:spacing w:val="-5"/>
        </w:rPr>
        <w:t>EU</w:t>
      </w:r>
      <w:r>
        <w:rPr>
          <w:b/>
        </w:rPr>
        <w:tab/>
      </w:r>
      <w:r>
        <w:rPr/>
        <w:t>European</w:t>
      </w:r>
      <w:r>
        <w:rPr>
          <w:spacing w:val="-9"/>
        </w:rPr>
        <w:t> </w:t>
      </w:r>
      <w:r>
        <w:rPr>
          <w:spacing w:val="-2"/>
        </w:rPr>
        <w:t>Union</w:t>
      </w:r>
    </w:p>
    <w:p>
      <w:pPr>
        <w:pStyle w:val="BodyText"/>
        <w:tabs>
          <w:tab w:pos="2573" w:val="left" w:leader="none"/>
        </w:tabs>
        <w:spacing w:before="199"/>
        <w:ind w:left="1133"/>
      </w:pPr>
      <w:r>
        <w:rPr>
          <w:b/>
        </w:rPr>
        <w:t>EU </w:t>
      </w:r>
      <w:r>
        <w:rPr>
          <w:b/>
          <w:spacing w:val="-4"/>
        </w:rPr>
        <w:t>GDPR</w:t>
      </w:r>
      <w:r>
        <w:rPr>
          <w:b/>
        </w:rPr>
        <w:tab/>
      </w:r>
      <w:r>
        <w:rPr/>
        <w:t>European</w:t>
      </w:r>
      <w:r>
        <w:rPr>
          <w:spacing w:val="-11"/>
        </w:rPr>
        <w:t> </w:t>
      </w:r>
      <w:r>
        <w:rPr/>
        <w:t>Union</w:t>
      </w:r>
      <w:r>
        <w:rPr>
          <w:spacing w:val="-10"/>
        </w:rPr>
        <w:t> </w:t>
      </w:r>
      <w:r>
        <w:rPr/>
        <w:t>General</w:t>
      </w:r>
      <w:r>
        <w:rPr>
          <w:spacing w:val="-11"/>
        </w:rPr>
        <w:t> </w:t>
      </w:r>
      <w:r>
        <w:rPr/>
        <w:t>Data</w:t>
      </w:r>
      <w:r>
        <w:rPr>
          <w:spacing w:val="-10"/>
        </w:rPr>
        <w:t> </w:t>
      </w:r>
      <w:r>
        <w:rPr/>
        <w:t>Protection</w:t>
      </w:r>
      <w:r>
        <w:rPr>
          <w:spacing w:val="-11"/>
        </w:rPr>
        <w:t> </w:t>
      </w:r>
      <w:r>
        <w:rPr>
          <w:spacing w:val="-2"/>
        </w:rPr>
        <w:t>Regulation</w:t>
      </w:r>
    </w:p>
    <w:p>
      <w:pPr>
        <w:pStyle w:val="BodyText"/>
        <w:tabs>
          <w:tab w:pos="2573" w:val="left" w:leader="none"/>
        </w:tabs>
        <w:spacing w:before="198"/>
        <w:ind w:left="1133"/>
      </w:pPr>
      <w:r>
        <w:rPr>
          <w:b/>
          <w:spacing w:val="-2"/>
        </w:rPr>
        <w:t>ICRIR</w:t>
      </w:r>
      <w:r>
        <w:rPr>
          <w:b/>
        </w:rPr>
        <w:tab/>
      </w:r>
      <w:r>
        <w:rPr/>
        <w:t>Independent</w:t>
      </w:r>
      <w:r>
        <w:rPr>
          <w:spacing w:val="-11"/>
        </w:rPr>
        <w:t> </w:t>
      </w:r>
      <w:r>
        <w:rPr/>
        <w:t>Commission</w:t>
      </w:r>
      <w:r>
        <w:rPr>
          <w:spacing w:val="-11"/>
        </w:rPr>
        <w:t> </w:t>
      </w:r>
      <w:r>
        <w:rPr/>
        <w:t>on</w:t>
      </w:r>
      <w:r>
        <w:rPr>
          <w:spacing w:val="-12"/>
        </w:rPr>
        <w:t> </w:t>
      </w:r>
      <w:r>
        <w:rPr/>
        <w:t>Reconciliation</w:t>
      </w:r>
      <w:r>
        <w:rPr>
          <w:spacing w:val="-11"/>
        </w:rPr>
        <w:t> </w:t>
      </w:r>
      <w:r>
        <w:rPr/>
        <w:t>and</w:t>
      </w:r>
      <w:r>
        <w:rPr>
          <w:spacing w:val="-11"/>
        </w:rPr>
        <w:t> </w:t>
      </w:r>
      <w:r>
        <w:rPr/>
        <w:t>Information</w:t>
      </w:r>
      <w:r>
        <w:rPr>
          <w:spacing w:val="-12"/>
        </w:rPr>
        <w:t> </w:t>
      </w:r>
      <w:r>
        <w:rPr>
          <w:spacing w:val="-2"/>
        </w:rPr>
        <w:t>Recovery</w:t>
      </w:r>
    </w:p>
    <w:p>
      <w:pPr>
        <w:pStyle w:val="BodyText"/>
        <w:tabs>
          <w:tab w:pos="2573" w:val="left" w:leader="none"/>
        </w:tabs>
        <w:spacing w:before="198"/>
        <w:ind w:left="1133"/>
      </w:pPr>
      <w:r>
        <w:rPr>
          <w:b/>
          <w:spacing w:val="-5"/>
        </w:rPr>
        <w:t>NI</w:t>
      </w:r>
      <w:r>
        <w:rPr>
          <w:b/>
        </w:rPr>
        <w:tab/>
      </w:r>
      <w:r>
        <w:rPr/>
        <w:t>Northern</w:t>
      </w:r>
      <w:r>
        <w:rPr>
          <w:spacing w:val="-8"/>
        </w:rPr>
        <w:t> </w:t>
      </w:r>
      <w:r>
        <w:rPr>
          <w:spacing w:val="-2"/>
        </w:rPr>
        <w:t>Ireland</w:t>
      </w:r>
    </w:p>
    <w:p>
      <w:pPr>
        <w:pStyle w:val="BodyText"/>
        <w:tabs>
          <w:tab w:pos="2573" w:val="left" w:leader="none"/>
        </w:tabs>
        <w:spacing w:before="198"/>
        <w:ind w:left="1133"/>
      </w:pPr>
      <w:r>
        <w:rPr>
          <w:b/>
          <w:spacing w:val="-2"/>
        </w:rPr>
        <w:t>NIHRC</w:t>
      </w:r>
      <w:r>
        <w:rPr>
          <w:b/>
        </w:rPr>
        <w:tab/>
      </w:r>
      <w:r>
        <w:rPr/>
        <w:t>Northern</w:t>
      </w:r>
      <w:r>
        <w:rPr>
          <w:spacing w:val="-8"/>
        </w:rPr>
        <w:t> </w:t>
      </w:r>
      <w:r>
        <w:rPr/>
        <w:t>Ireland</w:t>
      </w:r>
      <w:r>
        <w:rPr>
          <w:spacing w:val="-7"/>
        </w:rPr>
        <w:t> </w:t>
      </w:r>
      <w:r>
        <w:rPr/>
        <w:t>Human</w:t>
      </w:r>
      <w:r>
        <w:rPr>
          <w:spacing w:val="-8"/>
        </w:rPr>
        <w:t> </w:t>
      </w:r>
      <w:r>
        <w:rPr/>
        <w:t>Rights</w:t>
      </w:r>
      <w:r>
        <w:rPr>
          <w:spacing w:val="-7"/>
        </w:rPr>
        <w:t> </w:t>
      </w:r>
      <w:r>
        <w:rPr>
          <w:spacing w:val="-2"/>
        </w:rPr>
        <w:t>Commission</w:t>
      </w:r>
    </w:p>
    <w:p>
      <w:pPr>
        <w:pStyle w:val="BodyText"/>
        <w:tabs>
          <w:tab w:pos="2573" w:val="left" w:leader="none"/>
        </w:tabs>
        <w:spacing w:before="199"/>
        <w:ind w:left="1133"/>
      </w:pPr>
      <w:r>
        <w:rPr>
          <w:b/>
          <w:spacing w:val="-4"/>
        </w:rPr>
        <w:t>PSNI</w:t>
      </w:r>
      <w:r>
        <w:rPr>
          <w:b/>
        </w:rPr>
        <w:tab/>
      </w:r>
      <w:r>
        <w:rPr/>
        <w:t>Police</w:t>
      </w:r>
      <w:r>
        <w:rPr>
          <w:spacing w:val="-4"/>
        </w:rPr>
        <w:t> </w:t>
      </w:r>
      <w:r>
        <w:rPr/>
        <w:t>Service</w:t>
      </w:r>
      <w:r>
        <w:rPr>
          <w:spacing w:val="-3"/>
        </w:rPr>
        <w:t> </w:t>
      </w:r>
      <w:r>
        <w:rPr/>
        <w:t>of</w:t>
      </w:r>
      <w:r>
        <w:rPr>
          <w:spacing w:val="-4"/>
        </w:rPr>
        <w:t> </w:t>
      </w:r>
      <w:r>
        <w:rPr/>
        <w:t>Northern</w:t>
      </w:r>
      <w:r>
        <w:rPr>
          <w:spacing w:val="-3"/>
        </w:rPr>
        <w:t> </w:t>
      </w:r>
      <w:r>
        <w:rPr>
          <w:spacing w:val="-2"/>
        </w:rPr>
        <w:t>Ireland</w:t>
      </w:r>
    </w:p>
    <w:p>
      <w:pPr>
        <w:pStyle w:val="BodyText"/>
        <w:tabs>
          <w:tab w:pos="2573" w:val="left" w:leader="none"/>
        </w:tabs>
        <w:spacing w:before="198"/>
        <w:ind w:left="1133"/>
      </w:pPr>
      <w:r>
        <w:rPr>
          <w:b/>
          <w:spacing w:val="-5"/>
        </w:rPr>
        <w:t>UK</w:t>
      </w:r>
      <w:r>
        <w:rPr>
          <w:b/>
        </w:rPr>
        <w:tab/>
      </w:r>
      <w:r>
        <w:rPr/>
        <w:t>United</w:t>
      </w:r>
      <w:r>
        <w:rPr>
          <w:spacing w:val="-5"/>
        </w:rPr>
        <w:t> </w:t>
      </w:r>
      <w:r>
        <w:rPr>
          <w:spacing w:val="-2"/>
        </w:rPr>
        <w:t>Kingdom</w:t>
      </w:r>
    </w:p>
    <w:p>
      <w:pPr>
        <w:pStyle w:val="BodyText"/>
        <w:tabs>
          <w:tab w:pos="2573" w:val="left" w:leader="none"/>
        </w:tabs>
        <w:spacing w:before="198"/>
        <w:ind w:left="1133"/>
      </w:pPr>
      <w:r>
        <w:rPr>
          <w:b/>
        </w:rPr>
        <w:t>UK </w:t>
      </w:r>
      <w:r>
        <w:rPr>
          <w:b/>
          <w:spacing w:val="-4"/>
        </w:rPr>
        <w:t>GDPR</w:t>
      </w:r>
      <w:r>
        <w:rPr>
          <w:b/>
        </w:rPr>
        <w:tab/>
      </w:r>
      <w:r>
        <w:rPr/>
        <w:t>United</w:t>
      </w:r>
      <w:r>
        <w:rPr>
          <w:spacing w:val="-9"/>
        </w:rPr>
        <w:t> </w:t>
      </w:r>
      <w:r>
        <w:rPr/>
        <w:t>Kingdom</w:t>
      </w:r>
      <w:r>
        <w:rPr>
          <w:spacing w:val="-8"/>
        </w:rPr>
        <w:t> </w:t>
      </w:r>
      <w:r>
        <w:rPr/>
        <w:t>incorporation</w:t>
      </w:r>
      <w:r>
        <w:rPr>
          <w:spacing w:val="-8"/>
        </w:rPr>
        <w:t> </w:t>
      </w:r>
      <w:r>
        <w:rPr/>
        <w:t>of</w:t>
      </w:r>
      <w:r>
        <w:rPr>
          <w:spacing w:val="-9"/>
        </w:rPr>
        <w:t> </w:t>
      </w:r>
      <w:r>
        <w:rPr/>
        <w:t>EU</w:t>
      </w:r>
      <w:r>
        <w:rPr>
          <w:spacing w:val="-8"/>
        </w:rPr>
        <w:t> </w:t>
      </w:r>
      <w:r>
        <w:rPr/>
        <w:t>Data</w:t>
      </w:r>
      <w:r>
        <w:rPr>
          <w:spacing w:val="-8"/>
        </w:rPr>
        <w:t> </w:t>
      </w:r>
      <w:r>
        <w:rPr/>
        <w:t>Protection</w:t>
      </w:r>
      <w:r>
        <w:rPr>
          <w:spacing w:val="-9"/>
        </w:rPr>
        <w:t> </w:t>
      </w:r>
      <w:r>
        <w:rPr>
          <w:spacing w:val="-2"/>
        </w:rPr>
        <w:t>Regulation</w:t>
      </w:r>
    </w:p>
    <w:p>
      <w:pPr>
        <w:pStyle w:val="BodyText"/>
        <w:tabs>
          <w:tab w:pos="2573" w:val="left" w:leader="none"/>
        </w:tabs>
        <w:spacing w:before="198"/>
        <w:ind w:left="1133"/>
      </w:pPr>
      <w:r>
        <w:rPr>
          <w:b/>
          <w:spacing w:val="-5"/>
        </w:rPr>
        <w:t>UN</w:t>
      </w:r>
      <w:r>
        <w:rPr>
          <w:b/>
        </w:rPr>
        <w:tab/>
      </w:r>
      <w:r>
        <w:rPr/>
        <w:t>United</w:t>
      </w:r>
      <w:r>
        <w:rPr>
          <w:spacing w:val="-5"/>
        </w:rPr>
        <w:t> </w:t>
      </w:r>
      <w:r>
        <w:rPr>
          <w:spacing w:val="-2"/>
        </w:rPr>
        <w:t>Nations</w:t>
      </w:r>
    </w:p>
    <w:p>
      <w:pPr>
        <w:pStyle w:val="BodyText"/>
        <w:tabs>
          <w:tab w:pos="2573" w:val="left" w:leader="none"/>
        </w:tabs>
        <w:spacing w:line="379" w:lineRule="auto" w:before="198"/>
        <w:ind w:left="2573" w:right="2478" w:hanging="1441"/>
      </w:pPr>
      <w:r>
        <w:rPr>
          <w:b/>
        </w:rPr>
        <w:t>UN CAT</w:t>
        <w:tab/>
      </w:r>
      <w:r>
        <w:rPr/>
        <w:t>UN</w:t>
      </w:r>
      <w:r>
        <w:rPr>
          <w:spacing w:val="-10"/>
        </w:rPr>
        <w:t> </w:t>
      </w:r>
      <w:r>
        <w:rPr/>
        <w:t>Convention</w:t>
      </w:r>
      <w:r>
        <w:rPr>
          <w:spacing w:val="-11"/>
        </w:rPr>
        <w:t> </w:t>
      </w:r>
      <w:r>
        <w:rPr/>
        <w:t>Against</w:t>
      </w:r>
      <w:r>
        <w:rPr>
          <w:spacing w:val="-10"/>
        </w:rPr>
        <w:t> </w:t>
      </w:r>
      <w:r>
        <w:rPr/>
        <w:t>Torture</w:t>
      </w:r>
      <w:r>
        <w:rPr>
          <w:spacing w:val="-10"/>
        </w:rPr>
        <w:t> </w:t>
      </w:r>
      <w:r>
        <w:rPr/>
        <w:t>and</w:t>
      </w:r>
      <w:r>
        <w:rPr>
          <w:spacing w:val="-11"/>
        </w:rPr>
        <w:t> </w:t>
      </w:r>
      <w:r>
        <w:rPr/>
        <w:t>Other</w:t>
      </w:r>
      <w:r>
        <w:rPr>
          <w:spacing w:val="-10"/>
        </w:rPr>
        <w:t> </w:t>
      </w:r>
      <w:r>
        <w:rPr/>
        <w:t>Cruel,</w:t>
      </w:r>
      <w:r>
        <w:rPr>
          <w:spacing w:val="-10"/>
        </w:rPr>
        <w:t> </w:t>
      </w:r>
      <w:r>
        <w:rPr/>
        <w:t>Inhuman</w:t>
      </w:r>
      <w:r>
        <w:rPr>
          <w:spacing w:val="-11"/>
        </w:rPr>
        <w:t> </w:t>
      </w:r>
      <w:r>
        <w:rPr/>
        <w:t>or Degrading Treatment or Punishment</w:t>
      </w:r>
    </w:p>
    <w:p>
      <w:pPr>
        <w:pStyle w:val="BodyText"/>
        <w:spacing w:line="379" w:lineRule="auto"/>
        <w:ind w:left="2573" w:right="1301" w:hanging="1441"/>
      </w:pPr>
      <w:r>
        <w:rPr>
          <w:b/>
        </w:rPr>
        <w:t>UN</w:t>
      </w:r>
      <w:r>
        <w:rPr>
          <w:b/>
          <w:spacing w:val="-6"/>
        </w:rPr>
        <w:t> </w:t>
      </w:r>
      <w:r>
        <w:rPr>
          <w:b/>
        </w:rPr>
        <w:t>CEDAW</w:t>
      </w:r>
      <w:r>
        <w:rPr>
          <w:b/>
          <w:spacing w:val="65"/>
        </w:rPr>
        <w:t> </w:t>
      </w:r>
      <w:r>
        <w:rPr/>
        <w:t>UN</w:t>
      </w:r>
      <w:r>
        <w:rPr>
          <w:spacing w:val="-6"/>
        </w:rPr>
        <w:t> </w:t>
      </w:r>
      <w:r>
        <w:rPr/>
        <w:t>Convention</w:t>
      </w:r>
      <w:r>
        <w:rPr>
          <w:spacing w:val="-7"/>
        </w:rPr>
        <w:t> </w:t>
      </w:r>
      <w:r>
        <w:rPr/>
        <w:t>on</w:t>
      </w:r>
      <w:r>
        <w:rPr>
          <w:spacing w:val="-7"/>
        </w:rPr>
        <w:t> </w:t>
      </w:r>
      <w:r>
        <w:rPr/>
        <w:t>the</w:t>
      </w:r>
      <w:r>
        <w:rPr>
          <w:spacing w:val="-6"/>
        </w:rPr>
        <w:t> </w:t>
      </w:r>
      <w:r>
        <w:rPr/>
        <w:t>Elimination</w:t>
      </w:r>
      <w:r>
        <w:rPr>
          <w:spacing w:val="-7"/>
        </w:rPr>
        <w:t> </w:t>
      </w:r>
      <w:r>
        <w:rPr/>
        <w:t>of</w:t>
      </w:r>
      <w:r>
        <w:rPr>
          <w:spacing w:val="-7"/>
        </w:rPr>
        <w:t> </w:t>
      </w:r>
      <w:r>
        <w:rPr/>
        <w:t>All</w:t>
      </w:r>
      <w:r>
        <w:rPr>
          <w:spacing w:val="-7"/>
        </w:rPr>
        <w:t> </w:t>
      </w:r>
      <w:r>
        <w:rPr/>
        <w:t>Forms</w:t>
      </w:r>
      <w:r>
        <w:rPr>
          <w:spacing w:val="-7"/>
        </w:rPr>
        <w:t> </w:t>
      </w:r>
      <w:r>
        <w:rPr/>
        <w:t>of</w:t>
      </w:r>
      <w:r>
        <w:rPr>
          <w:spacing w:val="-7"/>
        </w:rPr>
        <w:t> </w:t>
      </w:r>
      <w:r>
        <w:rPr/>
        <w:t>Discrimination Against Women</w:t>
      </w:r>
    </w:p>
    <w:p>
      <w:pPr>
        <w:pStyle w:val="BodyText"/>
        <w:tabs>
          <w:tab w:pos="2573" w:val="left" w:leader="none"/>
        </w:tabs>
        <w:ind w:left="1133"/>
      </w:pPr>
      <w:r>
        <w:rPr>
          <w:b/>
        </w:rPr>
        <w:t>UN </w:t>
      </w:r>
      <w:r>
        <w:rPr>
          <w:b/>
          <w:spacing w:val="-4"/>
        </w:rPr>
        <w:t>CERD</w:t>
      </w:r>
      <w:r>
        <w:rPr>
          <w:b/>
        </w:rPr>
        <w:tab/>
      </w:r>
      <w:r>
        <w:rPr/>
        <w:t>UN</w:t>
      </w:r>
      <w:r>
        <w:rPr>
          <w:spacing w:val="-5"/>
        </w:rPr>
        <w:t> </w:t>
      </w:r>
      <w:r>
        <w:rPr/>
        <w:t>Convention</w:t>
      </w:r>
      <w:r>
        <w:rPr>
          <w:spacing w:val="-6"/>
        </w:rPr>
        <w:t> </w:t>
      </w:r>
      <w:r>
        <w:rPr/>
        <w:t>on</w:t>
      </w:r>
      <w:r>
        <w:rPr>
          <w:spacing w:val="-6"/>
        </w:rPr>
        <w:t> </w:t>
      </w:r>
      <w:r>
        <w:rPr/>
        <w:t>the</w:t>
      </w:r>
      <w:r>
        <w:rPr>
          <w:spacing w:val="-5"/>
        </w:rPr>
        <w:t> </w:t>
      </w:r>
      <w:r>
        <w:rPr/>
        <w:t>Elimination</w:t>
      </w:r>
      <w:r>
        <w:rPr>
          <w:spacing w:val="-6"/>
        </w:rPr>
        <w:t> </w:t>
      </w:r>
      <w:r>
        <w:rPr/>
        <w:t>of</w:t>
      </w:r>
      <w:r>
        <w:rPr>
          <w:spacing w:val="-5"/>
        </w:rPr>
        <w:t> </w:t>
      </w:r>
      <w:r>
        <w:rPr/>
        <w:t>All</w:t>
      </w:r>
      <w:r>
        <w:rPr>
          <w:spacing w:val="-6"/>
        </w:rPr>
        <w:t> </w:t>
      </w:r>
      <w:r>
        <w:rPr/>
        <w:t>Forms</w:t>
      </w:r>
      <w:r>
        <w:rPr>
          <w:spacing w:val="-6"/>
        </w:rPr>
        <w:t> </w:t>
      </w:r>
      <w:r>
        <w:rPr/>
        <w:t>of</w:t>
      </w:r>
      <w:r>
        <w:rPr>
          <w:spacing w:val="-6"/>
        </w:rPr>
        <w:t> </w:t>
      </w:r>
      <w:r>
        <w:rPr/>
        <w:t>Racial</w:t>
      </w:r>
      <w:r>
        <w:rPr>
          <w:spacing w:val="-6"/>
        </w:rPr>
        <w:t> </w:t>
      </w:r>
      <w:r>
        <w:rPr>
          <w:spacing w:val="-2"/>
        </w:rPr>
        <w:t>Discrimination</w:t>
      </w:r>
    </w:p>
    <w:p>
      <w:pPr>
        <w:pStyle w:val="BodyText"/>
        <w:tabs>
          <w:tab w:pos="2573" w:val="left" w:leader="none"/>
        </w:tabs>
        <w:spacing w:before="198"/>
        <w:ind w:left="1133"/>
      </w:pPr>
      <w:r>
        <w:rPr>
          <w:b/>
        </w:rPr>
        <w:t>UN </w:t>
      </w:r>
      <w:r>
        <w:rPr>
          <w:b/>
          <w:spacing w:val="-5"/>
        </w:rPr>
        <w:t>CRC</w:t>
      </w:r>
      <w:r>
        <w:rPr>
          <w:b/>
        </w:rPr>
        <w:tab/>
      </w:r>
      <w:r>
        <w:rPr/>
        <w:t>UN</w:t>
      </w:r>
      <w:r>
        <w:rPr>
          <w:spacing w:val="-5"/>
        </w:rPr>
        <w:t> </w:t>
      </w:r>
      <w:r>
        <w:rPr/>
        <w:t>Convention</w:t>
      </w:r>
      <w:r>
        <w:rPr>
          <w:spacing w:val="-5"/>
        </w:rPr>
        <w:t> </w:t>
      </w:r>
      <w:r>
        <w:rPr/>
        <w:t>on</w:t>
      </w:r>
      <w:r>
        <w:rPr>
          <w:spacing w:val="-6"/>
        </w:rPr>
        <w:t> </w:t>
      </w:r>
      <w:r>
        <w:rPr/>
        <w:t>the</w:t>
      </w:r>
      <w:r>
        <w:rPr>
          <w:spacing w:val="-4"/>
        </w:rPr>
        <w:t> </w:t>
      </w:r>
      <w:r>
        <w:rPr/>
        <w:t>Rights</w:t>
      </w:r>
      <w:r>
        <w:rPr>
          <w:spacing w:val="-5"/>
        </w:rPr>
        <w:t> </w:t>
      </w:r>
      <w:r>
        <w:rPr/>
        <w:t>of</w:t>
      </w:r>
      <w:r>
        <w:rPr>
          <w:spacing w:val="-6"/>
        </w:rPr>
        <w:t> </w:t>
      </w:r>
      <w:r>
        <w:rPr/>
        <w:t>the</w:t>
      </w:r>
      <w:r>
        <w:rPr>
          <w:spacing w:val="-4"/>
        </w:rPr>
        <w:t> </w:t>
      </w:r>
      <w:r>
        <w:rPr>
          <w:spacing w:val="-2"/>
        </w:rPr>
        <w:t>Child</w:t>
      </w:r>
    </w:p>
    <w:p>
      <w:pPr>
        <w:pStyle w:val="BodyText"/>
        <w:tabs>
          <w:tab w:pos="2573" w:val="left" w:leader="none"/>
        </w:tabs>
        <w:spacing w:before="199"/>
        <w:ind w:left="1133"/>
      </w:pPr>
      <w:r>
        <w:rPr>
          <w:b/>
        </w:rPr>
        <w:t>UN </w:t>
      </w:r>
      <w:r>
        <w:rPr>
          <w:b/>
          <w:spacing w:val="-4"/>
        </w:rPr>
        <w:t>CRPD</w:t>
      </w:r>
      <w:r>
        <w:rPr>
          <w:b/>
        </w:rPr>
        <w:tab/>
      </w:r>
      <w:r>
        <w:rPr/>
        <w:t>UN</w:t>
      </w:r>
      <w:r>
        <w:rPr>
          <w:spacing w:val="-7"/>
        </w:rPr>
        <w:t> </w:t>
      </w:r>
      <w:r>
        <w:rPr/>
        <w:t>Convention</w:t>
      </w:r>
      <w:r>
        <w:rPr>
          <w:spacing w:val="-6"/>
        </w:rPr>
        <w:t> </w:t>
      </w:r>
      <w:r>
        <w:rPr/>
        <w:t>on</w:t>
      </w:r>
      <w:r>
        <w:rPr>
          <w:spacing w:val="-7"/>
        </w:rPr>
        <w:t> </w:t>
      </w:r>
      <w:r>
        <w:rPr/>
        <w:t>the</w:t>
      </w:r>
      <w:r>
        <w:rPr>
          <w:spacing w:val="-6"/>
        </w:rPr>
        <w:t> </w:t>
      </w:r>
      <w:r>
        <w:rPr/>
        <w:t>Rights</w:t>
      </w:r>
      <w:r>
        <w:rPr>
          <w:spacing w:val="-7"/>
        </w:rPr>
        <w:t> </w:t>
      </w:r>
      <w:r>
        <w:rPr/>
        <w:t>of</w:t>
      </w:r>
      <w:r>
        <w:rPr>
          <w:spacing w:val="-7"/>
        </w:rPr>
        <w:t> </w:t>
      </w:r>
      <w:r>
        <w:rPr/>
        <w:t>Persons</w:t>
      </w:r>
      <w:r>
        <w:rPr>
          <w:spacing w:val="-7"/>
        </w:rPr>
        <w:t> </w:t>
      </w:r>
      <w:r>
        <w:rPr/>
        <w:t>with</w:t>
      </w:r>
      <w:r>
        <w:rPr>
          <w:spacing w:val="-7"/>
        </w:rPr>
        <w:t> </w:t>
      </w:r>
      <w:r>
        <w:rPr>
          <w:spacing w:val="-2"/>
        </w:rPr>
        <w:t>Disabilities</w:t>
      </w:r>
    </w:p>
    <w:p>
      <w:pPr>
        <w:pStyle w:val="BodyText"/>
        <w:tabs>
          <w:tab w:pos="2573" w:val="left" w:leader="none"/>
        </w:tabs>
        <w:spacing w:before="198"/>
        <w:ind w:left="1133"/>
      </w:pPr>
      <w:r>
        <w:rPr>
          <w:b/>
        </w:rPr>
        <w:t>UN </w:t>
      </w:r>
      <w:r>
        <w:rPr>
          <w:b/>
          <w:spacing w:val="-2"/>
        </w:rPr>
        <w:t>ICCPR</w:t>
      </w:r>
      <w:r>
        <w:rPr>
          <w:b/>
        </w:rPr>
        <w:tab/>
      </w:r>
      <w:r>
        <w:rPr/>
        <w:t>International</w:t>
      </w:r>
      <w:r>
        <w:rPr>
          <w:spacing w:val="-10"/>
        </w:rPr>
        <w:t> </w:t>
      </w:r>
      <w:r>
        <w:rPr/>
        <w:t>Covenant</w:t>
      </w:r>
      <w:r>
        <w:rPr>
          <w:spacing w:val="-10"/>
        </w:rPr>
        <w:t> </w:t>
      </w:r>
      <w:r>
        <w:rPr/>
        <w:t>on</w:t>
      </w:r>
      <w:r>
        <w:rPr>
          <w:spacing w:val="-10"/>
        </w:rPr>
        <w:t> </w:t>
      </w:r>
      <w:r>
        <w:rPr/>
        <w:t>Civil</w:t>
      </w:r>
      <w:r>
        <w:rPr>
          <w:spacing w:val="-10"/>
        </w:rPr>
        <w:t> </w:t>
      </w:r>
      <w:r>
        <w:rPr/>
        <w:t>and</w:t>
      </w:r>
      <w:r>
        <w:rPr>
          <w:spacing w:val="-10"/>
        </w:rPr>
        <w:t> </w:t>
      </w:r>
      <w:r>
        <w:rPr/>
        <w:t>Political</w:t>
      </w:r>
      <w:r>
        <w:rPr>
          <w:spacing w:val="-10"/>
        </w:rPr>
        <w:t> </w:t>
      </w:r>
      <w:r>
        <w:rPr>
          <w:spacing w:val="-2"/>
        </w:rPr>
        <w:t>Rights</w:t>
      </w:r>
    </w:p>
    <w:p>
      <w:pPr>
        <w:pStyle w:val="BodyText"/>
        <w:tabs>
          <w:tab w:pos="2573" w:val="left" w:leader="none"/>
        </w:tabs>
        <w:spacing w:before="198"/>
        <w:ind w:left="1133"/>
      </w:pPr>
      <w:r>
        <w:rPr>
          <w:b/>
        </w:rPr>
        <w:t>UN </w:t>
      </w:r>
      <w:r>
        <w:rPr>
          <w:b/>
          <w:spacing w:val="-2"/>
        </w:rPr>
        <w:t>ICESCR</w:t>
      </w:r>
      <w:r>
        <w:rPr>
          <w:b/>
        </w:rPr>
        <w:tab/>
      </w:r>
      <w:r>
        <w:rPr/>
        <w:t>International</w:t>
      </w:r>
      <w:r>
        <w:rPr>
          <w:spacing w:val="-9"/>
        </w:rPr>
        <w:t> </w:t>
      </w:r>
      <w:r>
        <w:rPr/>
        <w:t>Covenant</w:t>
      </w:r>
      <w:r>
        <w:rPr>
          <w:spacing w:val="-8"/>
        </w:rPr>
        <w:t> </w:t>
      </w:r>
      <w:r>
        <w:rPr/>
        <w:t>on</w:t>
      </w:r>
      <w:r>
        <w:rPr>
          <w:spacing w:val="-9"/>
        </w:rPr>
        <w:t> </w:t>
      </w:r>
      <w:r>
        <w:rPr/>
        <w:t>Economic,</w:t>
      </w:r>
      <w:r>
        <w:rPr>
          <w:spacing w:val="-8"/>
        </w:rPr>
        <w:t> </w:t>
      </w:r>
      <w:r>
        <w:rPr/>
        <w:t>Social</w:t>
      </w:r>
      <w:r>
        <w:rPr>
          <w:spacing w:val="-8"/>
        </w:rPr>
        <w:t> </w:t>
      </w:r>
      <w:r>
        <w:rPr/>
        <w:t>and</w:t>
      </w:r>
      <w:r>
        <w:rPr>
          <w:spacing w:val="-9"/>
        </w:rPr>
        <w:t> </w:t>
      </w:r>
      <w:r>
        <w:rPr/>
        <w:t>Cultural</w:t>
      </w:r>
      <w:r>
        <w:rPr>
          <w:spacing w:val="-9"/>
        </w:rPr>
        <w:t> </w:t>
      </w:r>
      <w:r>
        <w:rPr>
          <w:spacing w:val="-2"/>
        </w:rPr>
        <w:t>Rights</w:t>
      </w:r>
    </w:p>
    <w:p>
      <w:pPr>
        <w:spacing w:after="0"/>
        <w:sectPr>
          <w:pgSz w:w="11910" w:h="16840"/>
          <w:pgMar w:header="496" w:footer="367" w:top="1220" w:bottom="560" w:left="0" w:right="0"/>
        </w:sectPr>
      </w:pPr>
    </w:p>
    <w:p>
      <w:pPr>
        <w:pStyle w:val="Heading1"/>
        <w:numPr>
          <w:ilvl w:val="1"/>
          <w:numId w:val="2"/>
        </w:numPr>
        <w:tabs>
          <w:tab w:pos="1976" w:val="left" w:leader="none"/>
        </w:tabs>
        <w:spacing w:line="240" w:lineRule="auto" w:before="468" w:after="0"/>
        <w:ind w:left="1976" w:right="0" w:hanging="843"/>
        <w:jc w:val="left"/>
        <w:rPr>
          <w:color w:val="393B80"/>
        </w:rPr>
      </w:pPr>
      <w:bookmarkStart w:name="_bookmark2" w:id="5"/>
      <w:bookmarkEnd w:id="5"/>
      <w:r>
        <w:rPr>
          <w:b w:val="0"/>
        </w:rPr>
      </w:r>
      <w:bookmarkStart w:name="1.0 Introduction " w:id="6"/>
      <w:bookmarkEnd w:id="6"/>
      <w:r>
        <w:rPr>
          <w:b w:val="0"/>
        </w:rPr>
      </w:r>
      <w:r>
        <w:rPr>
          <w:color w:val="393B80"/>
          <w:spacing w:val="-2"/>
        </w:rPr>
        <w:t>Introduction</w:t>
      </w:r>
    </w:p>
    <w:p>
      <w:pPr>
        <w:pStyle w:val="BodyText"/>
        <w:spacing w:before="1"/>
        <w:rPr>
          <w:b/>
          <w:sz w:val="17"/>
        </w:rPr>
      </w:pPr>
      <w:r>
        <w:rPr/>
        <mc:AlternateContent>
          <mc:Choice Requires="wps">
            <w:drawing>
              <wp:anchor distT="0" distB="0" distL="0" distR="0" allowOverlap="1" layoutInCell="1" locked="0" behindDoc="1" simplePos="0" relativeHeight="487620096">
                <wp:simplePos x="0" y="0"/>
                <wp:positionH relativeFrom="page">
                  <wp:posOffset>719996</wp:posOffset>
                </wp:positionH>
                <wp:positionV relativeFrom="paragraph">
                  <wp:posOffset>147831</wp:posOffset>
                </wp:positionV>
                <wp:extent cx="6120130" cy="1270"/>
                <wp:effectExtent l="0" t="0" r="0" b="0"/>
                <wp:wrapTopAndBottom/>
                <wp:docPr id="116" name="Graphic 116"/>
                <wp:cNvGraphicFramePr>
                  <a:graphicFrameLocks/>
                </wp:cNvGraphicFramePr>
                <a:graphic>
                  <a:graphicData uri="http://schemas.microsoft.com/office/word/2010/wordprocessingShape">
                    <wps:wsp>
                      <wps:cNvPr id="116" name="Graphic 116"/>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1.640312pt;width:481.9pt;height:.1pt;mso-position-horizontal-relative:page;mso-position-vertical-relative:paragraph;z-index:-15696384;mso-wrap-distance-left:0;mso-wrap-distance-right:0" id="docshape73" coordorigin="1134,233" coordsize="9638,0" path="m10772,233l1134,233e" filled="false" stroked="true" strokeweight="1pt" strokecolor="#393b80">
                <v:path arrowok="t"/>
                <v:stroke dashstyle="solid"/>
                <w10:wrap type="topAndBottom"/>
              </v:shape>
            </w:pict>
          </mc:Fallback>
        </mc:AlternateContent>
      </w:r>
    </w:p>
    <w:p>
      <w:pPr>
        <w:pStyle w:val="ListParagraph"/>
        <w:numPr>
          <w:ilvl w:val="1"/>
          <w:numId w:val="2"/>
        </w:numPr>
        <w:tabs>
          <w:tab w:pos="1853" w:val="left" w:leader="none"/>
        </w:tabs>
        <w:spacing w:line="225" w:lineRule="auto" w:before="316" w:after="0"/>
        <w:ind w:left="1853" w:right="1132" w:hanging="720"/>
        <w:jc w:val="left"/>
        <w:rPr>
          <w:sz w:val="28"/>
        </w:rPr>
      </w:pPr>
      <w:r>
        <w:rPr>
          <w:sz w:val="28"/>
        </w:rPr>
        <w:t>Both</w:t>
      </w:r>
      <w:r>
        <w:rPr>
          <w:spacing w:val="-6"/>
          <w:sz w:val="28"/>
        </w:rPr>
        <w:t> </w:t>
      </w:r>
      <w:r>
        <w:rPr>
          <w:sz w:val="28"/>
        </w:rPr>
        <w:t>the</w:t>
      </w:r>
      <w:r>
        <w:rPr>
          <w:spacing w:val="-6"/>
          <w:sz w:val="28"/>
        </w:rPr>
        <w:t> </w:t>
      </w:r>
      <w:r>
        <w:rPr>
          <w:sz w:val="28"/>
        </w:rPr>
        <w:t>Northern</w:t>
      </w:r>
      <w:r>
        <w:rPr>
          <w:spacing w:val="-6"/>
          <w:sz w:val="28"/>
        </w:rPr>
        <w:t> </w:t>
      </w:r>
      <w:r>
        <w:rPr>
          <w:sz w:val="28"/>
        </w:rPr>
        <w:t>Ireland</w:t>
      </w:r>
      <w:r>
        <w:rPr>
          <w:spacing w:val="-6"/>
          <w:sz w:val="28"/>
        </w:rPr>
        <w:t> </w:t>
      </w:r>
      <w:r>
        <w:rPr>
          <w:sz w:val="28"/>
        </w:rPr>
        <w:t>Human</w:t>
      </w:r>
      <w:r>
        <w:rPr>
          <w:spacing w:val="-6"/>
          <w:sz w:val="28"/>
        </w:rPr>
        <w:t> </w:t>
      </w:r>
      <w:r>
        <w:rPr>
          <w:sz w:val="28"/>
        </w:rPr>
        <w:t>Rights</w:t>
      </w:r>
      <w:r>
        <w:rPr>
          <w:spacing w:val="-6"/>
          <w:sz w:val="28"/>
        </w:rPr>
        <w:t> </w:t>
      </w:r>
      <w:r>
        <w:rPr>
          <w:sz w:val="28"/>
        </w:rPr>
        <w:t>Commission</w:t>
      </w:r>
      <w:r>
        <w:rPr>
          <w:spacing w:val="-6"/>
          <w:sz w:val="28"/>
        </w:rPr>
        <w:t> </w:t>
      </w:r>
      <w:r>
        <w:rPr>
          <w:sz w:val="28"/>
        </w:rPr>
        <w:t>(NIHRC)</w:t>
      </w:r>
      <w:r>
        <w:rPr>
          <w:spacing w:val="-6"/>
          <w:sz w:val="28"/>
        </w:rPr>
        <w:t> </w:t>
      </w:r>
      <w:r>
        <w:rPr>
          <w:sz w:val="28"/>
        </w:rPr>
        <w:t>and</w:t>
      </w:r>
      <w:r>
        <w:rPr>
          <w:spacing w:val="-6"/>
          <w:sz w:val="28"/>
        </w:rPr>
        <w:t> </w:t>
      </w:r>
      <w:r>
        <w:rPr>
          <w:sz w:val="28"/>
        </w:rPr>
        <w:t>the</w:t>
      </w:r>
      <w:r>
        <w:rPr>
          <w:spacing w:val="-6"/>
          <w:sz w:val="28"/>
        </w:rPr>
        <w:t> </w:t>
      </w:r>
      <w:r>
        <w:rPr>
          <w:sz w:val="28"/>
        </w:rPr>
        <w:t>Equality Commission for Northern Ireland (ECNI) (the Commissions) were established following the Belfast (Good Friday) Agreement and pursuant to the Northern Ireland Act 1998.</w:t>
      </w:r>
      <w:r>
        <w:rPr>
          <w:spacing w:val="40"/>
          <w:sz w:val="28"/>
        </w:rPr>
        <w:t> </w:t>
      </w:r>
      <w:r>
        <w:rPr>
          <w:sz w:val="28"/>
        </w:rPr>
        <w:t>The Commissions are non-departmental public bodies. The NIHRC</w:t>
      </w:r>
      <w:r>
        <w:rPr>
          <w:spacing w:val="-7"/>
          <w:sz w:val="28"/>
        </w:rPr>
        <w:t> </w:t>
      </w:r>
      <w:r>
        <w:rPr>
          <w:sz w:val="28"/>
        </w:rPr>
        <w:t>is</w:t>
      </w:r>
      <w:r>
        <w:rPr>
          <w:spacing w:val="-7"/>
          <w:sz w:val="28"/>
        </w:rPr>
        <w:t> </w:t>
      </w:r>
      <w:r>
        <w:rPr>
          <w:sz w:val="28"/>
        </w:rPr>
        <w:t>a</w:t>
      </w:r>
      <w:r>
        <w:rPr>
          <w:spacing w:val="-7"/>
          <w:sz w:val="28"/>
        </w:rPr>
        <w:t> </w:t>
      </w:r>
      <w:r>
        <w:rPr>
          <w:sz w:val="28"/>
        </w:rPr>
        <w:t>National</w:t>
      </w:r>
      <w:r>
        <w:rPr>
          <w:spacing w:val="-7"/>
          <w:sz w:val="28"/>
        </w:rPr>
        <w:t> </w:t>
      </w:r>
      <w:r>
        <w:rPr>
          <w:sz w:val="28"/>
        </w:rPr>
        <w:t>Human</w:t>
      </w:r>
      <w:r>
        <w:rPr>
          <w:spacing w:val="-7"/>
          <w:sz w:val="28"/>
        </w:rPr>
        <w:t> </w:t>
      </w:r>
      <w:r>
        <w:rPr>
          <w:sz w:val="28"/>
        </w:rPr>
        <w:t>Rights</w:t>
      </w:r>
      <w:r>
        <w:rPr>
          <w:spacing w:val="-7"/>
          <w:sz w:val="28"/>
        </w:rPr>
        <w:t> </w:t>
      </w:r>
      <w:r>
        <w:rPr>
          <w:sz w:val="28"/>
        </w:rPr>
        <w:t>Institution</w:t>
      </w:r>
      <w:r>
        <w:rPr>
          <w:spacing w:val="-7"/>
          <w:sz w:val="28"/>
        </w:rPr>
        <w:t> </w:t>
      </w:r>
      <w:r>
        <w:rPr>
          <w:sz w:val="28"/>
        </w:rPr>
        <w:t>with</w:t>
      </w:r>
      <w:r>
        <w:rPr>
          <w:spacing w:val="-7"/>
          <w:sz w:val="28"/>
        </w:rPr>
        <w:t> </w:t>
      </w:r>
      <w:r>
        <w:rPr>
          <w:sz w:val="28"/>
        </w:rPr>
        <w:t>‘A</w:t>
      </w:r>
      <w:r>
        <w:rPr>
          <w:spacing w:val="-6"/>
          <w:sz w:val="28"/>
        </w:rPr>
        <w:t> </w:t>
      </w:r>
      <w:r>
        <w:rPr>
          <w:sz w:val="28"/>
        </w:rPr>
        <w:t>status’</w:t>
      </w:r>
      <w:r>
        <w:rPr>
          <w:spacing w:val="-6"/>
          <w:sz w:val="28"/>
        </w:rPr>
        <w:t> </w:t>
      </w:r>
      <w:r>
        <w:rPr>
          <w:sz w:val="28"/>
        </w:rPr>
        <w:t>accreditation</w:t>
      </w:r>
      <w:r>
        <w:rPr>
          <w:spacing w:val="-7"/>
          <w:sz w:val="28"/>
        </w:rPr>
        <w:t> </w:t>
      </w:r>
      <w:r>
        <w:rPr>
          <w:sz w:val="28"/>
        </w:rPr>
        <w:t>from the United Nations.</w:t>
      </w:r>
    </w:p>
    <w:p>
      <w:pPr>
        <w:pStyle w:val="ListParagraph"/>
        <w:numPr>
          <w:ilvl w:val="1"/>
          <w:numId w:val="2"/>
        </w:numPr>
        <w:tabs>
          <w:tab w:pos="1853" w:val="left" w:leader="none"/>
        </w:tabs>
        <w:spacing w:line="225" w:lineRule="auto" w:before="312" w:after="0"/>
        <w:ind w:left="1853" w:right="1175" w:hanging="720"/>
        <w:jc w:val="left"/>
        <w:rPr>
          <w:sz w:val="28"/>
        </w:rPr>
      </w:pPr>
      <w:r>
        <w:rPr>
          <w:sz w:val="28"/>
        </w:rPr>
        <w:t>The Commissions are mandated in accordance with Article 2(1) of the Windsor Framework,</w:t>
      </w:r>
      <w:r>
        <w:rPr>
          <w:sz w:val="28"/>
          <w:vertAlign w:val="superscript"/>
        </w:rPr>
        <w:t>1</w:t>
      </w:r>
      <w:r>
        <w:rPr>
          <w:sz w:val="28"/>
          <w:vertAlign w:val="baseline"/>
        </w:rPr>
        <w:t> formerly knoxwn as the Protocol on Ireland/Northern Ireland</w:t>
      </w:r>
      <w:r>
        <w:rPr>
          <w:spacing w:val="-10"/>
          <w:sz w:val="28"/>
          <w:vertAlign w:val="baseline"/>
        </w:rPr>
        <w:t> </w:t>
      </w:r>
      <w:r>
        <w:rPr>
          <w:sz w:val="28"/>
          <w:vertAlign w:val="baseline"/>
        </w:rPr>
        <w:t>of</w:t>
      </w:r>
      <w:r>
        <w:rPr>
          <w:spacing w:val="-10"/>
          <w:sz w:val="28"/>
          <w:vertAlign w:val="baseline"/>
        </w:rPr>
        <w:t> </w:t>
      </w:r>
      <w:r>
        <w:rPr>
          <w:sz w:val="28"/>
          <w:vertAlign w:val="baseline"/>
        </w:rPr>
        <w:t>the</w:t>
      </w:r>
      <w:r>
        <w:rPr>
          <w:spacing w:val="-9"/>
          <w:sz w:val="28"/>
          <w:vertAlign w:val="baseline"/>
        </w:rPr>
        <w:t> </w:t>
      </w:r>
      <w:r>
        <w:rPr>
          <w:sz w:val="28"/>
          <w:vertAlign w:val="baseline"/>
        </w:rPr>
        <w:t>UK-EU</w:t>
      </w:r>
      <w:r>
        <w:rPr>
          <w:spacing w:val="-9"/>
          <w:sz w:val="28"/>
          <w:vertAlign w:val="baseline"/>
        </w:rPr>
        <w:t> </w:t>
      </w:r>
      <w:r>
        <w:rPr>
          <w:sz w:val="28"/>
          <w:vertAlign w:val="baseline"/>
        </w:rPr>
        <w:t>Withdrawal</w:t>
      </w:r>
      <w:r>
        <w:rPr>
          <w:spacing w:val="-10"/>
          <w:sz w:val="28"/>
          <w:vertAlign w:val="baseline"/>
        </w:rPr>
        <w:t> </w:t>
      </w:r>
      <w:r>
        <w:rPr>
          <w:sz w:val="28"/>
          <w:vertAlign w:val="baseline"/>
        </w:rPr>
        <w:t>Agreement</w:t>
      </w:r>
      <w:r>
        <w:rPr>
          <w:sz w:val="28"/>
          <w:vertAlign w:val="superscript"/>
        </w:rPr>
        <w:t>2</w:t>
      </w:r>
      <w:r>
        <w:rPr>
          <w:spacing w:val="-10"/>
          <w:sz w:val="28"/>
          <w:vertAlign w:val="baseline"/>
        </w:rPr>
        <w:t> </w:t>
      </w:r>
      <w:r>
        <w:rPr>
          <w:sz w:val="28"/>
          <w:vertAlign w:val="baseline"/>
        </w:rPr>
        <w:t>to</w:t>
      </w:r>
      <w:r>
        <w:rPr>
          <w:spacing w:val="-10"/>
          <w:sz w:val="28"/>
          <w:vertAlign w:val="baseline"/>
        </w:rPr>
        <w:t> </w:t>
      </w:r>
      <w:r>
        <w:rPr>
          <w:sz w:val="28"/>
          <w:vertAlign w:val="baseline"/>
        </w:rPr>
        <w:t>oversee</w:t>
      </w:r>
      <w:r>
        <w:rPr>
          <w:spacing w:val="-9"/>
          <w:sz w:val="28"/>
          <w:vertAlign w:val="baseline"/>
        </w:rPr>
        <w:t> </w:t>
      </w:r>
      <w:r>
        <w:rPr>
          <w:sz w:val="28"/>
          <w:vertAlign w:val="baseline"/>
        </w:rPr>
        <w:t>the</w:t>
      </w:r>
      <w:r>
        <w:rPr>
          <w:spacing w:val="-9"/>
          <w:sz w:val="28"/>
          <w:vertAlign w:val="baseline"/>
        </w:rPr>
        <w:t> </w:t>
      </w:r>
      <w:r>
        <w:rPr>
          <w:sz w:val="28"/>
          <w:vertAlign w:val="baseline"/>
        </w:rPr>
        <w:t>UK</w:t>
      </w:r>
      <w:r>
        <w:rPr>
          <w:spacing w:val="-9"/>
          <w:sz w:val="28"/>
          <w:vertAlign w:val="baseline"/>
        </w:rPr>
        <w:t> </w:t>
      </w:r>
      <w:r>
        <w:rPr>
          <w:sz w:val="28"/>
          <w:vertAlign w:val="baseline"/>
        </w:rPr>
        <w:t>Government’s commitment to rights and equality in Northern Ireland (NI) after UK Withdrawal from the EU. The Commissions can exercise these functions separately or jointly.</w:t>
      </w:r>
      <w:r>
        <w:rPr>
          <w:sz w:val="28"/>
          <w:vertAlign w:val="superscript"/>
        </w:rPr>
        <w:t>3</w:t>
      </w:r>
    </w:p>
    <w:p>
      <w:pPr>
        <w:pStyle w:val="ListParagraph"/>
        <w:numPr>
          <w:ilvl w:val="1"/>
          <w:numId w:val="2"/>
        </w:numPr>
        <w:tabs>
          <w:tab w:pos="1853" w:val="left" w:leader="none"/>
        </w:tabs>
        <w:spacing w:line="225" w:lineRule="auto" w:before="312" w:after="0"/>
        <w:ind w:left="1853" w:right="1302" w:hanging="720"/>
        <w:jc w:val="left"/>
        <w:rPr>
          <w:sz w:val="28"/>
        </w:rPr>
      </w:pPr>
      <w:r>
        <w:rPr>
          <w:sz w:val="28"/>
        </w:rPr>
        <w:t>The</w:t>
      </w:r>
      <w:r>
        <w:rPr>
          <w:spacing w:val="-4"/>
          <w:sz w:val="28"/>
        </w:rPr>
        <w:t> </w:t>
      </w:r>
      <w:r>
        <w:rPr>
          <w:sz w:val="28"/>
        </w:rPr>
        <w:t>Commissions</w:t>
      </w:r>
      <w:r>
        <w:rPr>
          <w:spacing w:val="-5"/>
          <w:sz w:val="28"/>
        </w:rPr>
        <w:t> </w:t>
      </w:r>
      <w:r>
        <w:rPr>
          <w:sz w:val="28"/>
        </w:rPr>
        <w:t>jointly</w:t>
      </w:r>
      <w:r>
        <w:rPr>
          <w:spacing w:val="-4"/>
          <w:sz w:val="28"/>
        </w:rPr>
        <w:t> </w:t>
      </w:r>
      <w:r>
        <w:rPr>
          <w:sz w:val="28"/>
        </w:rPr>
        <w:t>publish</w:t>
      </w:r>
      <w:r>
        <w:rPr>
          <w:spacing w:val="-5"/>
          <w:sz w:val="28"/>
        </w:rPr>
        <w:t> </w:t>
      </w:r>
      <w:r>
        <w:rPr>
          <w:sz w:val="28"/>
        </w:rPr>
        <w:t>this</w:t>
      </w:r>
      <w:r>
        <w:rPr>
          <w:spacing w:val="-5"/>
          <w:sz w:val="28"/>
        </w:rPr>
        <w:t> </w:t>
      </w:r>
      <w:r>
        <w:rPr>
          <w:sz w:val="28"/>
        </w:rPr>
        <w:t>annual</w:t>
      </w:r>
      <w:r>
        <w:rPr>
          <w:spacing w:val="-5"/>
          <w:sz w:val="28"/>
        </w:rPr>
        <w:t> </w:t>
      </w:r>
      <w:r>
        <w:rPr>
          <w:sz w:val="28"/>
        </w:rPr>
        <w:t>report,</w:t>
      </w:r>
      <w:r>
        <w:rPr>
          <w:spacing w:val="-4"/>
          <w:sz w:val="28"/>
        </w:rPr>
        <w:t> </w:t>
      </w:r>
      <w:r>
        <w:rPr>
          <w:sz w:val="28"/>
        </w:rPr>
        <w:t>based</w:t>
      </w:r>
      <w:r>
        <w:rPr>
          <w:spacing w:val="-5"/>
          <w:sz w:val="28"/>
        </w:rPr>
        <w:t> </w:t>
      </w:r>
      <w:r>
        <w:rPr>
          <w:sz w:val="28"/>
        </w:rPr>
        <w:t>on</w:t>
      </w:r>
      <w:r>
        <w:rPr>
          <w:spacing w:val="-5"/>
          <w:sz w:val="28"/>
        </w:rPr>
        <w:t> </w:t>
      </w:r>
      <w:r>
        <w:rPr>
          <w:sz w:val="28"/>
        </w:rPr>
        <w:t>their</w:t>
      </w:r>
      <w:r>
        <w:rPr>
          <w:spacing w:val="-4"/>
          <w:sz w:val="28"/>
        </w:rPr>
        <w:t> </w:t>
      </w:r>
      <w:r>
        <w:rPr>
          <w:sz w:val="28"/>
        </w:rPr>
        <w:t>respective mandates to:</w:t>
      </w:r>
    </w:p>
    <w:p>
      <w:pPr>
        <w:pStyle w:val="ListParagraph"/>
        <w:numPr>
          <w:ilvl w:val="2"/>
          <w:numId w:val="2"/>
        </w:numPr>
        <w:tabs>
          <w:tab w:pos="2562" w:val="left" w:leader="none"/>
        </w:tabs>
        <w:spacing w:line="323" w:lineRule="exact" w:before="0" w:after="0"/>
        <w:ind w:left="2562" w:right="0" w:hanging="360"/>
        <w:jc w:val="left"/>
        <w:rPr>
          <w:sz w:val="28"/>
        </w:rPr>
      </w:pPr>
      <w:r>
        <w:rPr>
          <w:sz w:val="28"/>
        </w:rPr>
        <w:t>monitor</w:t>
      </w:r>
      <w:r>
        <w:rPr>
          <w:spacing w:val="-7"/>
          <w:sz w:val="28"/>
        </w:rPr>
        <w:t> </w:t>
      </w:r>
      <w:r>
        <w:rPr>
          <w:sz w:val="28"/>
        </w:rPr>
        <w:t>the</w:t>
      </w:r>
      <w:r>
        <w:rPr>
          <w:spacing w:val="-7"/>
          <w:sz w:val="28"/>
        </w:rPr>
        <w:t> </w:t>
      </w:r>
      <w:r>
        <w:rPr>
          <w:sz w:val="28"/>
        </w:rPr>
        <w:t>implementation</w:t>
      </w:r>
      <w:r>
        <w:rPr>
          <w:spacing w:val="-7"/>
          <w:sz w:val="28"/>
        </w:rPr>
        <w:t> </w:t>
      </w:r>
      <w:r>
        <w:rPr>
          <w:sz w:val="28"/>
        </w:rPr>
        <w:t>of</w:t>
      </w:r>
      <w:r>
        <w:rPr>
          <w:spacing w:val="-8"/>
          <w:sz w:val="28"/>
        </w:rPr>
        <w:t> </w:t>
      </w:r>
      <w:r>
        <w:rPr>
          <w:sz w:val="28"/>
        </w:rPr>
        <w:t>Windsor</w:t>
      </w:r>
      <w:r>
        <w:rPr>
          <w:spacing w:val="-6"/>
          <w:sz w:val="28"/>
        </w:rPr>
        <w:t> </w:t>
      </w:r>
      <w:r>
        <w:rPr>
          <w:sz w:val="28"/>
        </w:rPr>
        <w:t>Framework</w:t>
      </w:r>
      <w:r>
        <w:rPr>
          <w:spacing w:val="-7"/>
          <w:sz w:val="28"/>
        </w:rPr>
        <w:t> </w:t>
      </w:r>
      <w:r>
        <w:rPr>
          <w:sz w:val="28"/>
        </w:rPr>
        <w:t>Article</w:t>
      </w:r>
      <w:r>
        <w:rPr>
          <w:spacing w:val="-6"/>
          <w:sz w:val="28"/>
        </w:rPr>
        <w:t> </w:t>
      </w:r>
      <w:r>
        <w:rPr>
          <w:spacing w:val="-5"/>
          <w:sz w:val="28"/>
        </w:rPr>
        <w:t>2;</w:t>
      </w:r>
    </w:p>
    <w:p>
      <w:pPr>
        <w:pStyle w:val="ListParagraph"/>
        <w:numPr>
          <w:ilvl w:val="2"/>
          <w:numId w:val="2"/>
        </w:numPr>
        <w:tabs>
          <w:tab w:pos="2562" w:val="left" w:leader="none"/>
        </w:tabs>
        <w:spacing w:line="225" w:lineRule="auto" w:before="115" w:after="0"/>
        <w:ind w:left="2562" w:right="1177" w:hanging="360"/>
        <w:jc w:val="left"/>
        <w:rPr>
          <w:sz w:val="28"/>
        </w:rPr>
      </w:pPr>
      <w:r>
        <w:rPr>
          <w:sz w:val="28"/>
        </w:rPr>
        <w:t>report</w:t>
      </w:r>
      <w:r>
        <w:rPr>
          <w:spacing w:val="-6"/>
          <w:sz w:val="28"/>
        </w:rPr>
        <w:t> </w:t>
      </w:r>
      <w:r>
        <w:rPr>
          <w:sz w:val="28"/>
        </w:rPr>
        <w:t>to</w:t>
      </w:r>
      <w:r>
        <w:rPr>
          <w:spacing w:val="-7"/>
          <w:sz w:val="28"/>
        </w:rPr>
        <w:t> </w:t>
      </w:r>
      <w:r>
        <w:rPr>
          <w:sz w:val="28"/>
        </w:rPr>
        <w:t>the</w:t>
      </w:r>
      <w:r>
        <w:rPr>
          <w:spacing w:val="-6"/>
          <w:sz w:val="28"/>
        </w:rPr>
        <w:t> </w:t>
      </w:r>
      <w:r>
        <w:rPr>
          <w:sz w:val="28"/>
        </w:rPr>
        <w:t>Secretary</w:t>
      </w:r>
      <w:r>
        <w:rPr>
          <w:spacing w:val="-6"/>
          <w:sz w:val="28"/>
        </w:rPr>
        <w:t> </w:t>
      </w:r>
      <w:r>
        <w:rPr>
          <w:sz w:val="28"/>
        </w:rPr>
        <w:t>of</w:t>
      </w:r>
      <w:r>
        <w:rPr>
          <w:spacing w:val="-7"/>
          <w:sz w:val="28"/>
        </w:rPr>
        <w:t> </w:t>
      </w:r>
      <w:r>
        <w:rPr>
          <w:sz w:val="28"/>
        </w:rPr>
        <w:t>State</w:t>
      </w:r>
      <w:r>
        <w:rPr>
          <w:spacing w:val="-6"/>
          <w:sz w:val="28"/>
        </w:rPr>
        <w:t> </w:t>
      </w:r>
      <w:r>
        <w:rPr>
          <w:sz w:val="28"/>
        </w:rPr>
        <w:t>for</w:t>
      </w:r>
      <w:r>
        <w:rPr>
          <w:spacing w:val="-6"/>
          <w:sz w:val="28"/>
        </w:rPr>
        <w:t> </w:t>
      </w:r>
      <w:r>
        <w:rPr>
          <w:sz w:val="28"/>
        </w:rPr>
        <w:t>NI</w:t>
      </w:r>
      <w:r>
        <w:rPr>
          <w:spacing w:val="-6"/>
          <w:sz w:val="28"/>
        </w:rPr>
        <w:t> </w:t>
      </w:r>
      <w:r>
        <w:rPr>
          <w:sz w:val="28"/>
        </w:rPr>
        <w:t>and</w:t>
      </w:r>
      <w:r>
        <w:rPr>
          <w:spacing w:val="-7"/>
          <w:sz w:val="28"/>
        </w:rPr>
        <w:t> </w:t>
      </w:r>
      <w:r>
        <w:rPr>
          <w:sz w:val="28"/>
        </w:rPr>
        <w:t>the</w:t>
      </w:r>
      <w:r>
        <w:rPr>
          <w:spacing w:val="-6"/>
          <w:sz w:val="28"/>
        </w:rPr>
        <w:t> </w:t>
      </w:r>
      <w:r>
        <w:rPr>
          <w:sz w:val="28"/>
        </w:rPr>
        <w:t>NI</w:t>
      </w:r>
      <w:r>
        <w:rPr>
          <w:spacing w:val="-6"/>
          <w:sz w:val="28"/>
        </w:rPr>
        <w:t> </w:t>
      </w:r>
      <w:r>
        <w:rPr>
          <w:sz w:val="28"/>
        </w:rPr>
        <w:t>Executive</w:t>
      </w:r>
      <w:r>
        <w:rPr>
          <w:spacing w:val="-6"/>
          <w:sz w:val="28"/>
        </w:rPr>
        <w:t> </w:t>
      </w:r>
      <w:r>
        <w:rPr>
          <w:sz w:val="28"/>
        </w:rPr>
        <w:t>Office</w:t>
      </w:r>
      <w:r>
        <w:rPr>
          <w:spacing w:val="-6"/>
          <w:sz w:val="28"/>
        </w:rPr>
        <w:t> </w:t>
      </w:r>
      <w:r>
        <w:rPr>
          <w:sz w:val="28"/>
        </w:rPr>
        <w:t>on</w:t>
      </w:r>
      <w:r>
        <w:rPr>
          <w:spacing w:val="-7"/>
          <w:sz w:val="28"/>
        </w:rPr>
        <w:t> </w:t>
      </w:r>
      <w:r>
        <w:rPr>
          <w:sz w:val="28"/>
        </w:rPr>
        <w:t>the implementation of Windsor Framework Article 2; and</w:t>
      </w:r>
    </w:p>
    <w:p>
      <w:pPr>
        <w:pStyle w:val="ListParagraph"/>
        <w:numPr>
          <w:ilvl w:val="2"/>
          <w:numId w:val="2"/>
        </w:numPr>
        <w:tabs>
          <w:tab w:pos="2562" w:val="left" w:leader="none"/>
        </w:tabs>
        <w:spacing w:line="225" w:lineRule="auto" w:before="117" w:after="0"/>
        <w:ind w:left="2562" w:right="1527" w:hanging="360"/>
        <w:jc w:val="left"/>
        <w:rPr>
          <w:sz w:val="28"/>
        </w:rPr>
      </w:pPr>
      <w:r>
        <w:rPr>
          <w:sz w:val="28"/>
        </w:rPr>
        <w:t>advise</w:t>
      </w:r>
      <w:r>
        <w:rPr>
          <w:spacing w:val="-6"/>
          <w:sz w:val="28"/>
        </w:rPr>
        <w:t> </w:t>
      </w:r>
      <w:r>
        <w:rPr>
          <w:sz w:val="28"/>
        </w:rPr>
        <w:t>the</w:t>
      </w:r>
      <w:r>
        <w:rPr>
          <w:spacing w:val="-6"/>
          <w:sz w:val="28"/>
        </w:rPr>
        <w:t> </w:t>
      </w:r>
      <w:r>
        <w:rPr>
          <w:sz w:val="28"/>
        </w:rPr>
        <w:t>Secretary</w:t>
      </w:r>
      <w:r>
        <w:rPr>
          <w:spacing w:val="-6"/>
          <w:sz w:val="28"/>
        </w:rPr>
        <w:t> </w:t>
      </w:r>
      <w:r>
        <w:rPr>
          <w:sz w:val="28"/>
        </w:rPr>
        <w:t>of</w:t>
      </w:r>
      <w:r>
        <w:rPr>
          <w:spacing w:val="-7"/>
          <w:sz w:val="28"/>
        </w:rPr>
        <w:t> </w:t>
      </w:r>
      <w:r>
        <w:rPr>
          <w:sz w:val="28"/>
        </w:rPr>
        <w:t>State</w:t>
      </w:r>
      <w:r>
        <w:rPr>
          <w:spacing w:val="-6"/>
          <w:sz w:val="28"/>
        </w:rPr>
        <w:t> </w:t>
      </w:r>
      <w:r>
        <w:rPr>
          <w:sz w:val="28"/>
        </w:rPr>
        <w:t>for</w:t>
      </w:r>
      <w:r>
        <w:rPr>
          <w:spacing w:val="-6"/>
          <w:sz w:val="28"/>
        </w:rPr>
        <w:t> </w:t>
      </w:r>
      <w:r>
        <w:rPr>
          <w:sz w:val="28"/>
        </w:rPr>
        <w:t>NI</w:t>
      </w:r>
      <w:r>
        <w:rPr>
          <w:spacing w:val="-6"/>
          <w:sz w:val="28"/>
        </w:rPr>
        <w:t> </w:t>
      </w:r>
      <w:r>
        <w:rPr>
          <w:sz w:val="28"/>
        </w:rPr>
        <w:t>and</w:t>
      </w:r>
      <w:r>
        <w:rPr>
          <w:spacing w:val="-7"/>
          <w:sz w:val="28"/>
        </w:rPr>
        <w:t> </w:t>
      </w:r>
      <w:r>
        <w:rPr>
          <w:sz w:val="28"/>
        </w:rPr>
        <w:t>the</w:t>
      </w:r>
      <w:r>
        <w:rPr>
          <w:spacing w:val="-6"/>
          <w:sz w:val="28"/>
        </w:rPr>
        <w:t> </w:t>
      </w:r>
      <w:r>
        <w:rPr>
          <w:sz w:val="28"/>
        </w:rPr>
        <w:t>NI</w:t>
      </w:r>
      <w:r>
        <w:rPr>
          <w:spacing w:val="-6"/>
          <w:sz w:val="28"/>
        </w:rPr>
        <w:t> </w:t>
      </w:r>
      <w:r>
        <w:rPr>
          <w:sz w:val="28"/>
        </w:rPr>
        <w:t>Executive</w:t>
      </w:r>
      <w:r>
        <w:rPr>
          <w:spacing w:val="-6"/>
          <w:sz w:val="28"/>
        </w:rPr>
        <w:t> </w:t>
      </w:r>
      <w:r>
        <w:rPr>
          <w:sz w:val="28"/>
        </w:rPr>
        <w:t>of</w:t>
      </w:r>
      <w:r>
        <w:rPr>
          <w:spacing w:val="-7"/>
          <w:sz w:val="28"/>
        </w:rPr>
        <w:t> </w:t>
      </w:r>
      <w:r>
        <w:rPr>
          <w:sz w:val="28"/>
        </w:rPr>
        <w:t>legislative and other measures which ought to be taken to implement Windsor Framework Article 2.</w:t>
      </w:r>
      <w:r>
        <w:rPr>
          <w:sz w:val="28"/>
          <w:vertAlign w:val="superscript"/>
        </w:rPr>
        <w:t>4</w:t>
      </w:r>
    </w:p>
    <w:p>
      <w:pPr>
        <w:pStyle w:val="BodyText"/>
        <w:spacing w:before="94"/>
      </w:pPr>
    </w:p>
    <w:p>
      <w:pPr>
        <w:pStyle w:val="ListParagraph"/>
        <w:numPr>
          <w:ilvl w:val="1"/>
          <w:numId w:val="2"/>
        </w:numPr>
        <w:tabs>
          <w:tab w:pos="1853" w:val="left" w:leader="none"/>
        </w:tabs>
        <w:spacing w:line="225" w:lineRule="auto" w:before="0" w:after="0"/>
        <w:ind w:left="1853" w:right="1159" w:hanging="720"/>
        <w:jc w:val="left"/>
        <w:rPr>
          <w:sz w:val="28"/>
        </w:rPr>
      </w:pPr>
      <w:r>
        <w:rPr>
          <w:sz w:val="28"/>
        </w:rPr>
        <w:t>In</w:t>
      </w:r>
      <w:r>
        <w:rPr>
          <w:spacing w:val="-6"/>
          <w:sz w:val="28"/>
        </w:rPr>
        <w:t> </w:t>
      </w:r>
      <w:r>
        <w:rPr>
          <w:sz w:val="28"/>
        </w:rPr>
        <w:t>addition,</w:t>
      </w:r>
      <w:r>
        <w:rPr>
          <w:spacing w:val="-5"/>
          <w:sz w:val="28"/>
        </w:rPr>
        <w:t> </w:t>
      </w:r>
      <w:r>
        <w:rPr>
          <w:sz w:val="28"/>
        </w:rPr>
        <w:t>the</w:t>
      </w:r>
      <w:r>
        <w:rPr>
          <w:spacing w:val="-5"/>
          <w:sz w:val="28"/>
        </w:rPr>
        <w:t> </w:t>
      </w:r>
      <w:r>
        <w:rPr>
          <w:sz w:val="28"/>
        </w:rPr>
        <w:t>Commissions</w:t>
      </w:r>
      <w:r>
        <w:rPr>
          <w:spacing w:val="-6"/>
          <w:sz w:val="28"/>
        </w:rPr>
        <w:t> </w:t>
      </w:r>
      <w:r>
        <w:rPr>
          <w:sz w:val="28"/>
        </w:rPr>
        <w:t>exercise</w:t>
      </w:r>
      <w:r>
        <w:rPr>
          <w:spacing w:val="-5"/>
          <w:sz w:val="28"/>
        </w:rPr>
        <w:t> </w:t>
      </w:r>
      <w:r>
        <w:rPr>
          <w:sz w:val="28"/>
        </w:rPr>
        <w:t>part</w:t>
      </w:r>
      <w:r>
        <w:rPr>
          <w:spacing w:val="-5"/>
          <w:sz w:val="28"/>
        </w:rPr>
        <w:t> </w:t>
      </w:r>
      <w:r>
        <w:rPr>
          <w:sz w:val="28"/>
        </w:rPr>
        <w:t>of</w:t>
      </w:r>
      <w:r>
        <w:rPr>
          <w:spacing w:val="-6"/>
          <w:sz w:val="28"/>
        </w:rPr>
        <w:t> </w:t>
      </w:r>
      <w:r>
        <w:rPr>
          <w:sz w:val="28"/>
        </w:rPr>
        <w:t>this</w:t>
      </w:r>
      <w:r>
        <w:rPr>
          <w:spacing w:val="-6"/>
          <w:sz w:val="28"/>
        </w:rPr>
        <w:t> </w:t>
      </w:r>
      <w:r>
        <w:rPr>
          <w:sz w:val="28"/>
        </w:rPr>
        <w:t>mandate</w:t>
      </w:r>
      <w:r>
        <w:rPr>
          <w:spacing w:val="-5"/>
          <w:sz w:val="28"/>
        </w:rPr>
        <w:t> </w:t>
      </w:r>
      <w:r>
        <w:rPr>
          <w:sz w:val="28"/>
        </w:rPr>
        <w:t>in</w:t>
      </w:r>
      <w:r>
        <w:rPr>
          <w:spacing w:val="-6"/>
          <w:sz w:val="28"/>
        </w:rPr>
        <w:t> </w:t>
      </w:r>
      <w:r>
        <w:rPr>
          <w:sz w:val="28"/>
        </w:rPr>
        <w:t>partnership</w:t>
      </w:r>
      <w:r>
        <w:rPr>
          <w:spacing w:val="-6"/>
          <w:sz w:val="28"/>
        </w:rPr>
        <w:t> </w:t>
      </w:r>
      <w:r>
        <w:rPr>
          <w:sz w:val="28"/>
        </w:rPr>
        <w:t>with the Irish Human Rights and Equality Commission in relation to those aspects</w:t>
      </w:r>
      <w:r>
        <w:rPr>
          <w:sz w:val="28"/>
        </w:rPr>
        <w:t> of oversight of, and reporting on, rights and equalities issues falling within</w:t>
      </w:r>
    </w:p>
    <w:p>
      <w:pPr>
        <w:pStyle w:val="BodyText"/>
        <w:spacing w:line="225" w:lineRule="auto"/>
        <w:ind w:left="1853" w:right="1171"/>
      </w:pPr>
      <w:r>
        <w:rPr/>
        <w:t>the scope of Windsor Framework Article 2 which have an island of Ireland dimension.</w:t>
      </w:r>
      <w:r>
        <w:rPr>
          <w:vertAlign w:val="superscript"/>
        </w:rPr>
        <w:t>5</w:t>
      </w:r>
      <w:r>
        <w:rPr>
          <w:spacing w:val="-7"/>
          <w:vertAlign w:val="baseline"/>
        </w:rPr>
        <w:t> </w:t>
      </w:r>
      <w:r>
        <w:rPr>
          <w:vertAlign w:val="baseline"/>
        </w:rPr>
        <w:t>Further</w:t>
      </w:r>
      <w:r>
        <w:rPr>
          <w:spacing w:val="-6"/>
          <w:vertAlign w:val="baseline"/>
        </w:rPr>
        <w:t> </w:t>
      </w:r>
      <w:r>
        <w:rPr>
          <w:vertAlign w:val="baseline"/>
        </w:rPr>
        <w:t>information</w:t>
      </w:r>
      <w:r>
        <w:rPr>
          <w:spacing w:val="-7"/>
          <w:vertAlign w:val="baseline"/>
        </w:rPr>
        <w:t> </w:t>
      </w:r>
      <w:r>
        <w:rPr>
          <w:vertAlign w:val="baseline"/>
        </w:rPr>
        <w:t>on</w:t>
      </w:r>
      <w:r>
        <w:rPr>
          <w:spacing w:val="-7"/>
          <w:vertAlign w:val="baseline"/>
        </w:rPr>
        <w:t> </w:t>
      </w:r>
      <w:r>
        <w:rPr>
          <w:vertAlign w:val="baseline"/>
        </w:rPr>
        <w:t>the</w:t>
      </w:r>
      <w:r>
        <w:rPr>
          <w:spacing w:val="-6"/>
          <w:vertAlign w:val="baseline"/>
        </w:rPr>
        <w:t> </w:t>
      </w:r>
      <w:r>
        <w:rPr>
          <w:vertAlign w:val="baseline"/>
        </w:rPr>
        <w:t>work</w:t>
      </w:r>
      <w:r>
        <w:rPr>
          <w:spacing w:val="-6"/>
          <w:vertAlign w:val="baseline"/>
        </w:rPr>
        <w:t> </w:t>
      </w:r>
      <w:r>
        <w:rPr>
          <w:vertAlign w:val="baseline"/>
        </w:rPr>
        <w:t>of</w:t>
      </w:r>
      <w:r>
        <w:rPr>
          <w:spacing w:val="-7"/>
          <w:vertAlign w:val="baseline"/>
        </w:rPr>
        <w:t> </w:t>
      </w:r>
      <w:r>
        <w:rPr>
          <w:vertAlign w:val="baseline"/>
        </w:rPr>
        <w:t>the</w:t>
      </w:r>
      <w:r>
        <w:rPr>
          <w:spacing w:val="-6"/>
          <w:vertAlign w:val="baseline"/>
        </w:rPr>
        <w:t> </w:t>
      </w:r>
      <w:r>
        <w:rPr>
          <w:vertAlign w:val="baseline"/>
        </w:rPr>
        <w:t>three</w:t>
      </w:r>
      <w:r>
        <w:rPr>
          <w:spacing w:val="-7"/>
          <w:vertAlign w:val="baseline"/>
        </w:rPr>
        <w:t> </w:t>
      </w:r>
      <w:r>
        <w:rPr>
          <w:vertAlign w:val="baseline"/>
        </w:rPr>
        <w:t>Commissions</w:t>
      </w:r>
      <w:r>
        <w:rPr>
          <w:spacing w:val="-7"/>
          <w:vertAlign w:val="baseline"/>
        </w:rPr>
        <w:t> </w:t>
      </w:r>
      <w:r>
        <w:rPr>
          <w:vertAlign w:val="baseline"/>
        </w:rPr>
        <w:t>can</w:t>
      </w:r>
    </w:p>
    <w:p>
      <w:pPr>
        <w:pStyle w:val="BodyText"/>
        <w:spacing w:before="7"/>
        <w:rPr>
          <w:sz w:val="7"/>
        </w:rPr>
      </w:pPr>
      <w:r>
        <w:rPr/>
        <mc:AlternateContent>
          <mc:Choice Requires="wps">
            <w:drawing>
              <wp:anchor distT="0" distB="0" distL="0" distR="0" allowOverlap="1" layoutInCell="1" locked="0" behindDoc="1" simplePos="0" relativeHeight="487620608">
                <wp:simplePos x="0" y="0"/>
                <wp:positionH relativeFrom="page">
                  <wp:posOffset>719996</wp:posOffset>
                </wp:positionH>
                <wp:positionV relativeFrom="paragraph">
                  <wp:posOffset>74061</wp:posOffset>
                </wp:positionV>
                <wp:extent cx="6120130" cy="1270"/>
                <wp:effectExtent l="0" t="0" r="0" b="0"/>
                <wp:wrapTopAndBottom/>
                <wp:docPr id="117" name="Graphic 117"/>
                <wp:cNvGraphicFramePr>
                  <a:graphicFrameLocks/>
                </wp:cNvGraphicFramePr>
                <a:graphic>
                  <a:graphicData uri="http://schemas.microsoft.com/office/word/2010/wordprocessingShape">
                    <wps:wsp>
                      <wps:cNvPr id="117" name="Graphic 117"/>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5.831648pt;width:481.9pt;height:.1pt;mso-position-horizontal-relative:page;mso-position-vertical-relative:paragraph;z-index:-15695872;mso-wrap-distance-left:0;mso-wrap-distance-right:0" id="docshape74" coordorigin="1134,117" coordsize="9638,0" path="m10772,117l1134,117e" filled="false" stroked="true" strokeweight="1pt" strokecolor="#393b80">
                <v:path arrowok="t"/>
                <v:stroke dashstyle="solid"/>
                <w10:wrap type="topAndBottom"/>
              </v:shape>
            </w:pict>
          </mc:Fallback>
        </mc:AlternateContent>
      </w:r>
    </w:p>
    <w:p>
      <w:pPr>
        <w:pStyle w:val="ListParagraph"/>
        <w:numPr>
          <w:ilvl w:val="0"/>
          <w:numId w:val="3"/>
        </w:numPr>
        <w:tabs>
          <w:tab w:pos="1853" w:val="left" w:leader="none"/>
        </w:tabs>
        <w:spacing w:line="235" w:lineRule="auto" w:before="116" w:after="0"/>
        <w:ind w:left="1853" w:right="1374" w:hanging="720"/>
        <w:jc w:val="both"/>
        <w:rPr>
          <w:sz w:val="18"/>
        </w:rPr>
      </w:pPr>
      <w:r>
        <w:rPr>
          <w:sz w:val="18"/>
        </w:rPr>
        <w:t>Decision</w:t>
      </w:r>
      <w:r>
        <w:rPr>
          <w:spacing w:val="-4"/>
          <w:sz w:val="18"/>
        </w:rPr>
        <w:t> </w:t>
      </w:r>
      <w:r>
        <w:rPr>
          <w:sz w:val="18"/>
        </w:rPr>
        <w:t>No</w:t>
      </w:r>
      <w:r>
        <w:rPr>
          <w:spacing w:val="-4"/>
          <w:sz w:val="18"/>
        </w:rPr>
        <w:t> </w:t>
      </w:r>
      <w:r>
        <w:rPr>
          <w:sz w:val="18"/>
        </w:rPr>
        <w:t>1/2023</w:t>
      </w:r>
      <w:r>
        <w:rPr>
          <w:spacing w:val="-3"/>
          <w:sz w:val="18"/>
        </w:rPr>
        <w:t> </w:t>
      </w:r>
      <w:r>
        <w:rPr>
          <w:sz w:val="18"/>
        </w:rPr>
        <w:t>of</w:t>
      </w:r>
      <w:r>
        <w:rPr>
          <w:spacing w:val="-4"/>
          <w:sz w:val="18"/>
        </w:rPr>
        <w:t> </w:t>
      </w:r>
      <w:r>
        <w:rPr>
          <w:sz w:val="18"/>
        </w:rPr>
        <w:t>the</w:t>
      </w:r>
      <w:r>
        <w:rPr>
          <w:spacing w:val="-3"/>
          <w:sz w:val="18"/>
        </w:rPr>
        <w:t> </w:t>
      </w:r>
      <w:r>
        <w:rPr>
          <w:sz w:val="18"/>
        </w:rPr>
        <w:t>Joint</w:t>
      </w:r>
      <w:r>
        <w:rPr>
          <w:spacing w:val="-3"/>
          <w:sz w:val="18"/>
        </w:rPr>
        <w:t> </w:t>
      </w:r>
      <w:r>
        <w:rPr>
          <w:sz w:val="18"/>
        </w:rPr>
        <w:t>Committee</w:t>
      </w:r>
      <w:r>
        <w:rPr>
          <w:spacing w:val="-3"/>
          <w:sz w:val="18"/>
        </w:rPr>
        <w:t> </w:t>
      </w:r>
      <w:r>
        <w:rPr>
          <w:sz w:val="18"/>
        </w:rPr>
        <w:t>established</w:t>
      </w:r>
      <w:r>
        <w:rPr>
          <w:spacing w:val="-4"/>
          <w:sz w:val="18"/>
        </w:rPr>
        <w:t> </w:t>
      </w:r>
      <w:r>
        <w:rPr>
          <w:sz w:val="18"/>
        </w:rPr>
        <w:t>by</w:t>
      </w:r>
      <w:r>
        <w:rPr>
          <w:spacing w:val="-3"/>
          <w:sz w:val="18"/>
        </w:rPr>
        <w:t> </w:t>
      </w:r>
      <w:r>
        <w:rPr>
          <w:sz w:val="18"/>
        </w:rPr>
        <w:t>the</w:t>
      </w:r>
      <w:r>
        <w:rPr>
          <w:spacing w:val="-3"/>
          <w:sz w:val="18"/>
        </w:rPr>
        <w:t> </w:t>
      </w:r>
      <w:r>
        <w:rPr>
          <w:sz w:val="18"/>
        </w:rPr>
        <w:t>Agreement</w:t>
      </w:r>
      <w:r>
        <w:rPr>
          <w:spacing w:val="-3"/>
          <w:sz w:val="18"/>
        </w:rPr>
        <w:t> </w:t>
      </w:r>
      <w:r>
        <w:rPr>
          <w:sz w:val="18"/>
        </w:rPr>
        <w:t>on</w:t>
      </w:r>
      <w:r>
        <w:rPr>
          <w:spacing w:val="-4"/>
          <w:sz w:val="18"/>
        </w:rPr>
        <w:t> </w:t>
      </w:r>
      <w:r>
        <w:rPr>
          <w:sz w:val="18"/>
        </w:rPr>
        <w:t>the</w:t>
      </w:r>
      <w:r>
        <w:rPr>
          <w:spacing w:val="-3"/>
          <w:sz w:val="18"/>
        </w:rPr>
        <w:t> </w:t>
      </w:r>
      <w:r>
        <w:rPr>
          <w:sz w:val="18"/>
        </w:rPr>
        <w:t>Withdrawal</w:t>
      </w:r>
      <w:r>
        <w:rPr>
          <w:spacing w:val="-4"/>
          <w:sz w:val="18"/>
        </w:rPr>
        <w:t> </w:t>
      </w:r>
      <w:r>
        <w:rPr>
          <w:sz w:val="18"/>
        </w:rPr>
        <w:t>of</w:t>
      </w:r>
      <w:r>
        <w:rPr>
          <w:spacing w:val="-4"/>
          <w:sz w:val="18"/>
        </w:rPr>
        <w:t> </w:t>
      </w:r>
      <w:r>
        <w:rPr>
          <w:sz w:val="18"/>
        </w:rPr>
        <w:t>the</w:t>
      </w:r>
      <w:r>
        <w:rPr>
          <w:spacing w:val="-3"/>
          <w:sz w:val="18"/>
        </w:rPr>
        <w:t> </w:t>
      </w:r>
      <w:r>
        <w:rPr>
          <w:sz w:val="18"/>
        </w:rPr>
        <w:t>United</w:t>
      </w:r>
      <w:r>
        <w:rPr>
          <w:spacing w:val="-4"/>
          <w:sz w:val="18"/>
        </w:rPr>
        <w:t> </w:t>
      </w:r>
      <w:r>
        <w:rPr>
          <w:sz w:val="18"/>
        </w:rPr>
        <w:t>Kingdom</w:t>
      </w:r>
      <w:r>
        <w:rPr>
          <w:spacing w:val="-3"/>
          <w:sz w:val="18"/>
        </w:rPr>
        <w:t> </w:t>
      </w:r>
      <w:r>
        <w:rPr>
          <w:sz w:val="18"/>
        </w:rPr>
        <w:t>of Great</w:t>
      </w:r>
      <w:r>
        <w:rPr>
          <w:spacing w:val="-4"/>
          <w:sz w:val="18"/>
        </w:rPr>
        <w:t> </w:t>
      </w:r>
      <w:r>
        <w:rPr>
          <w:sz w:val="18"/>
        </w:rPr>
        <w:t>Britain</w:t>
      </w:r>
      <w:r>
        <w:rPr>
          <w:spacing w:val="-4"/>
          <w:sz w:val="18"/>
        </w:rPr>
        <w:t> </w:t>
      </w:r>
      <w:r>
        <w:rPr>
          <w:sz w:val="18"/>
        </w:rPr>
        <w:t>and</w:t>
      </w:r>
      <w:r>
        <w:rPr>
          <w:spacing w:val="-5"/>
          <w:sz w:val="18"/>
        </w:rPr>
        <w:t> </w:t>
      </w:r>
      <w:r>
        <w:rPr>
          <w:sz w:val="18"/>
        </w:rPr>
        <w:t>Northern</w:t>
      </w:r>
      <w:r>
        <w:rPr>
          <w:spacing w:val="-4"/>
          <w:sz w:val="18"/>
        </w:rPr>
        <w:t> </w:t>
      </w:r>
      <w:r>
        <w:rPr>
          <w:sz w:val="18"/>
        </w:rPr>
        <w:t>Ireland</w:t>
      </w:r>
      <w:r>
        <w:rPr>
          <w:spacing w:val="-5"/>
          <w:sz w:val="18"/>
        </w:rPr>
        <w:t> </w:t>
      </w:r>
      <w:r>
        <w:rPr>
          <w:sz w:val="18"/>
        </w:rPr>
        <w:t>from</w:t>
      </w:r>
      <w:r>
        <w:rPr>
          <w:spacing w:val="-4"/>
          <w:sz w:val="18"/>
        </w:rPr>
        <w:t> </w:t>
      </w:r>
      <w:r>
        <w:rPr>
          <w:sz w:val="18"/>
        </w:rPr>
        <w:t>the</w:t>
      </w:r>
      <w:r>
        <w:rPr>
          <w:spacing w:val="-4"/>
          <w:sz w:val="18"/>
        </w:rPr>
        <w:t> </w:t>
      </w:r>
      <w:r>
        <w:rPr>
          <w:sz w:val="18"/>
        </w:rPr>
        <w:t>European</w:t>
      </w:r>
      <w:r>
        <w:rPr>
          <w:spacing w:val="-4"/>
          <w:sz w:val="18"/>
        </w:rPr>
        <w:t> </w:t>
      </w:r>
      <w:r>
        <w:rPr>
          <w:sz w:val="18"/>
        </w:rPr>
        <w:t>Union</w:t>
      </w:r>
      <w:r>
        <w:rPr>
          <w:spacing w:val="-5"/>
          <w:sz w:val="18"/>
        </w:rPr>
        <w:t> </w:t>
      </w:r>
      <w:r>
        <w:rPr>
          <w:sz w:val="18"/>
        </w:rPr>
        <w:t>and</w:t>
      </w:r>
      <w:r>
        <w:rPr>
          <w:spacing w:val="-4"/>
          <w:sz w:val="18"/>
        </w:rPr>
        <w:t> </w:t>
      </w:r>
      <w:r>
        <w:rPr>
          <w:sz w:val="18"/>
        </w:rPr>
        <w:t>the</w:t>
      </w:r>
      <w:r>
        <w:rPr>
          <w:spacing w:val="-4"/>
          <w:sz w:val="18"/>
        </w:rPr>
        <w:t> </w:t>
      </w:r>
      <w:r>
        <w:rPr>
          <w:sz w:val="18"/>
        </w:rPr>
        <w:t>European</w:t>
      </w:r>
      <w:r>
        <w:rPr>
          <w:spacing w:val="-4"/>
          <w:sz w:val="18"/>
        </w:rPr>
        <w:t> </w:t>
      </w:r>
      <w:r>
        <w:rPr>
          <w:sz w:val="18"/>
        </w:rPr>
        <w:t>Atomic</w:t>
      </w:r>
      <w:r>
        <w:rPr>
          <w:spacing w:val="-4"/>
          <w:sz w:val="18"/>
        </w:rPr>
        <w:t> </w:t>
      </w:r>
      <w:r>
        <w:rPr>
          <w:sz w:val="18"/>
        </w:rPr>
        <w:t>Energy</w:t>
      </w:r>
      <w:r>
        <w:rPr>
          <w:spacing w:val="-4"/>
          <w:sz w:val="18"/>
        </w:rPr>
        <w:t> </w:t>
      </w:r>
      <w:r>
        <w:rPr>
          <w:sz w:val="18"/>
        </w:rPr>
        <w:t>Community</w:t>
      </w:r>
      <w:r>
        <w:rPr>
          <w:spacing w:val="-4"/>
          <w:sz w:val="18"/>
        </w:rPr>
        <w:t> </w:t>
      </w:r>
      <w:r>
        <w:rPr>
          <w:sz w:val="18"/>
        </w:rPr>
        <w:t>of</w:t>
      </w:r>
      <w:r>
        <w:rPr>
          <w:spacing w:val="-4"/>
          <w:sz w:val="18"/>
        </w:rPr>
        <w:t> </w:t>
      </w:r>
      <w:r>
        <w:rPr>
          <w:sz w:val="18"/>
        </w:rPr>
        <w:t>24</w:t>
      </w:r>
      <w:r>
        <w:rPr>
          <w:spacing w:val="-4"/>
          <w:sz w:val="18"/>
        </w:rPr>
        <w:t> </w:t>
      </w:r>
      <w:r>
        <w:rPr>
          <w:sz w:val="18"/>
        </w:rPr>
        <w:t>March 2023 laying down arrangements relating to the Windsor Framework.</w:t>
      </w:r>
    </w:p>
    <w:p>
      <w:pPr>
        <w:pStyle w:val="ListParagraph"/>
        <w:numPr>
          <w:ilvl w:val="0"/>
          <w:numId w:val="3"/>
        </w:numPr>
        <w:tabs>
          <w:tab w:pos="1853" w:val="left" w:leader="none"/>
        </w:tabs>
        <w:spacing w:line="235" w:lineRule="auto" w:before="2" w:after="0"/>
        <w:ind w:left="1853" w:right="1482" w:hanging="720"/>
        <w:jc w:val="left"/>
        <w:rPr>
          <w:sz w:val="18"/>
        </w:rPr>
      </w:pPr>
      <w:r>
        <w:rPr>
          <w:sz w:val="18"/>
        </w:rPr>
        <w:t>Agreement</w:t>
      </w:r>
      <w:r>
        <w:rPr>
          <w:spacing w:val="-4"/>
          <w:sz w:val="18"/>
        </w:rPr>
        <w:t> </w:t>
      </w:r>
      <w:r>
        <w:rPr>
          <w:sz w:val="18"/>
        </w:rPr>
        <w:t>on</w:t>
      </w:r>
      <w:r>
        <w:rPr>
          <w:spacing w:val="-5"/>
          <w:sz w:val="18"/>
        </w:rPr>
        <w:t> </w:t>
      </w:r>
      <w:r>
        <w:rPr>
          <w:sz w:val="18"/>
        </w:rPr>
        <w:t>the</w:t>
      </w:r>
      <w:r>
        <w:rPr>
          <w:spacing w:val="-4"/>
          <w:sz w:val="18"/>
        </w:rPr>
        <w:t> </w:t>
      </w:r>
      <w:r>
        <w:rPr>
          <w:sz w:val="18"/>
        </w:rPr>
        <w:t>Withdrawal</w:t>
      </w:r>
      <w:r>
        <w:rPr>
          <w:spacing w:val="-5"/>
          <w:sz w:val="18"/>
        </w:rPr>
        <w:t> </w:t>
      </w:r>
      <w:r>
        <w:rPr>
          <w:sz w:val="18"/>
        </w:rPr>
        <w:t>of</w:t>
      </w:r>
      <w:r>
        <w:rPr>
          <w:spacing w:val="-5"/>
          <w:sz w:val="18"/>
        </w:rPr>
        <w:t> </w:t>
      </w:r>
      <w:r>
        <w:rPr>
          <w:sz w:val="18"/>
        </w:rPr>
        <w:t>the</w:t>
      </w:r>
      <w:r>
        <w:rPr>
          <w:spacing w:val="-4"/>
          <w:sz w:val="18"/>
        </w:rPr>
        <w:t> </w:t>
      </w:r>
      <w:r>
        <w:rPr>
          <w:sz w:val="18"/>
        </w:rPr>
        <w:t>United</w:t>
      </w:r>
      <w:r>
        <w:rPr>
          <w:spacing w:val="-5"/>
          <w:sz w:val="18"/>
        </w:rPr>
        <w:t> </w:t>
      </w:r>
      <w:r>
        <w:rPr>
          <w:sz w:val="18"/>
        </w:rPr>
        <w:t>Kingdom</w:t>
      </w:r>
      <w:r>
        <w:rPr>
          <w:spacing w:val="-4"/>
          <w:sz w:val="18"/>
        </w:rPr>
        <w:t> </w:t>
      </w:r>
      <w:r>
        <w:rPr>
          <w:sz w:val="18"/>
        </w:rPr>
        <w:t>of</w:t>
      </w:r>
      <w:r>
        <w:rPr>
          <w:spacing w:val="-5"/>
          <w:sz w:val="18"/>
        </w:rPr>
        <w:t> </w:t>
      </w:r>
      <w:r>
        <w:rPr>
          <w:sz w:val="18"/>
        </w:rPr>
        <w:t>Great</w:t>
      </w:r>
      <w:r>
        <w:rPr>
          <w:spacing w:val="-4"/>
          <w:sz w:val="18"/>
        </w:rPr>
        <w:t> </w:t>
      </w:r>
      <w:r>
        <w:rPr>
          <w:sz w:val="18"/>
        </w:rPr>
        <w:t>Britain</w:t>
      </w:r>
      <w:r>
        <w:rPr>
          <w:spacing w:val="-5"/>
          <w:sz w:val="18"/>
        </w:rPr>
        <w:t> </w:t>
      </w:r>
      <w:r>
        <w:rPr>
          <w:sz w:val="18"/>
        </w:rPr>
        <w:t>and</w:t>
      </w:r>
      <w:r>
        <w:rPr>
          <w:spacing w:val="-5"/>
          <w:sz w:val="18"/>
        </w:rPr>
        <w:t> </w:t>
      </w:r>
      <w:r>
        <w:rPr>
          <w:sz w:val="18"/>
        </w:rPr>
        <w:t>Northern</w:t>
      </w:r>
      <w:r>
        <w:rPr>
          <w:spacing w:val="-5"/>
          <w:sz w:val="18"/>
        </w:rPr>
        <w:t> </w:t>
      </w:r>
      <w:r>
        <w:rPr>
          <w:sz w:val="18"/>
        </w:rPr>
        <w:t>Ireland</w:t>
      </w:r>
      <w:r>
        <w:rPr>
          <w:spacing w:val="-5"/>
          <w:sz w:val="18"/>
        </w:rPr>
        <w:t> </w:t>
      </w:r>
      <w:r>
        <w:rPr>
          <w:sz w:val="18"/>
        </w:rPr>
        <w:t>from</w:t>
      </w:r>
      <w:r>
        <w:rPr>
          <w:spacing w:val="-4"/>
          <w:sz w:val="18"/>
        </w:rPr>
        <w:t> </w:t>
      </w:r>
      <w:r>
        <w:rPr>
          <w:sz w:val="18"/>
        </w:rPr>
        <w:t>the</w:t>
      </w:r>
      <w:r>
        <w:rPr>
          <w:spacing w:val="-4"/>
          <w:sz w:val="18"/>
        </w:rPr>
        <w:t> </w:t>
      </w:r>
      <w:r>
        <w:rPr>
          <w:sz w:val="18"/>
        </w:rPr>
        <w:t>European</w:t>
      </w:r>
      <w:r>
        <w:rPr>
          <w:spacing w:val="-5"/>
          <w:sz w:val="18"/>
        </w:rPr>
        <w:t> </w:t>
      </w:r>
      <w:r>
        <w:rPr>
          <w:sz w:val="18"/>
        </w:rPr>
        <w:t>Union and the European Atomic Energy Community, 24 January 2020.</w:t>
      </w:r>
    </w:p>
    <w:p>
      <w:pPr>
        <w:pStyle w:val="ListParagraph"/>
        <w:numPr>
          <w:ilvl w:val="0"/>
          <w:numId w:val="3"/>
        </w:numPr>
        <w:tabs>
          <w:tab w:pos="1853" w:val="left" w:leader="none"/>
        </w:tabs>
        <w:spacing w:line="235" w:lineRule="auto" w:before="1" w:after="0"/>
        <w:ind w:left="1853" w:right="1770" w:hanging="720"/>
        <w:jc w:val="left"/>
        <w:rPr>
          <w:sz w:val="18"/>
        </w:rPr>
      </w:pPr>
      <w:r>
        <w:rPr>
          <w:sz w:val="18"/>
        </w:rPr>
        <w:t>Section</w:t>
      </w:r>
      <w:r>
        <w:rPr>
          <w:spacing w:val="-4"/>
          <w:sz w:val="18"/>
        </w:rPr>
        <w:t> </w:t>
      </w:r>
      <w:r>
        <w:rPr>
          <w:sz w:val="18"/>
        </w:rPr>
        <w:t>78E,</w:t>
      </w:r>
      <w:r>
        <w:rPr>
          <w:spacing w:val="-3"/>
          <w:sz w:val="18"/>
        </w:rPr>
        <w:t> </w:t>
      </w:r>
      <w:r>
        <w:rPr>
          <w:sz w:val="18"/>
        </w:rPr>
        <w:t>Northern</w:t>
      </w:r>
      <w:r>
        <w:rPr>
          <w:spacing w:val="-4"/>
          <w:sz w:val="18"/>
        </w:rPr>
        <w:t> </w:t>
      </w:r>
      <w:r>
        <w:rPr>
          <w:sz w:val="18"/>
        </w:rPr>
        <w:t>Ireland</w:t>
      </w:r>
      <w:r>
        <w:rPr>
          <w:spacing w:val="-4"/>
          <w:sz w:val="18"/>
        </w:rPr>
        <w:t> </w:t>
      </w:r>
      <w:r>
        <w:rPr>
          <w:sz w:val="18"/>
        </w:rPr>
        <w:t>Act</w:t>
      </w:r>
      <w:r>
        <w:rPr>
          <w:spacing w:val="-3"/>
          <w:sz w:val="18"/>
        </w:rPr>
        <w:t> </w:t>
      </w:r>
      <w:r>
        <w:rPr>
          <w:sz w:val="18"/>
        </w:rPr>
        <w:t>1998.</w:t>
      </w:r>
      <w:r>
        <w:rPr>
          <w:spacing w:val="-4"/>
          <w:sz w:val="18"/>
        </w:rPr>
        <w:t> </w:t>
      </w:r>
      <w:r>
        <w:rPr>
          <w:sz w:val="18"/>
        </w:rPr>
        <w:t>The</w:t>
      </w:r>
      <w:r>
        <w:rPr>
          <w:spacing w:val="-3"/>
          <w:sz w:val="18"/>
        </w:rPr>
        <w:t> </w:t>
      </w:r>
      <w:r>
        <w:rPr>
          <w:sz w:val="18"/>
        </w:rPr>
        <w:t>EU</w:t>
      </w:r>
      <w:r>
        <w:rPr>
          <w:spacing w:val="-3"/>
          <w:sz w:val="18"/>
        </w:rPr>
        <w:t> </w:t>
      </w:r>
      <w:r>
        <w:rPr>
          <w:sz w:val="18"/>
        </w:rPr>
        <w:t>(Withdrawal</w:t>
      </w:r>
      <w:r>
        <w:rPr>
          <w:spacing w:val="-4"/>
          <w:sz w:val="18"/>
        </w:rPr>
        <w:t> </w:t>
      </w:r>
      <w:r>
        <w:rPr>
          <w:sz w:val="18"/>
        </w:rPr>
        <w:t>Agreement)</w:t>
      </w:r>
      <w:r>
        <w:rPr>
          <w:spacing w:val="-4"/>
          <w:sz w:val="18"/>
        </w:rPr>
        <w:t> </w:t>
      </w:r>
      <w:r>
        <w:rPr>
          <w:sz w:val="18"/>
        </w:rPr>
        <w:t>Act</w:t>
      </w:r>
      <w:r>
        <w:rPr>
          <w:spacing w:val="-3"/>
          <w:sz w:val="18"/>
        </w:rPr>
        <w:t> </w:t>
      </w:r>
      <w:r>
        <w:rPr>
          <w:sz w:val="18"/>
        </w:rPr>
        <w:t>2020</w:t>
      </w:r>
      <w:r>
        <w:rPr>
          <w:spacing w:val="-3"/>
          <w:sz w:val="18"/>
        </w:rPr>
        <w:t> </w:t>
      </w:r>
      <w:r>
        <w:rPr>
          <w:sz w:val="18"/>
        </w:rPr>
        <w:t>amended</w:t>
      </w:r>
      <w:r>
        <w:rPr>
          <w:spacing w:val="-4"/>
          <w:sz w:val="18"/>
        </w:rPr>
        <w:t> </w:t>
      </w:r>
      <w:r>
        <w:rPr>
          <w:sz w:val="18"/>
        </w:rPr>
        <w:t>the</w:t>
      </w:r>
      <w:r>
        <w:rPr>
          <w:spacing w:val="-3"/>
          <w:sz w:val="18"/>
        </w:rPr>
        <w:t> </w:t>
      </w:r>
      <w:r>
        <w:rPr>
          <w:sz w:val="18"/>
        </w:rPr>
        <w:t>Northern</w:t>
      </w:r>
      <w:r>
        <w:rPr>
          <w:spacing w:val="-4"/>
          <w:sz w:val="18"/>
        </w:rPr>
        <w:t> </w:t>
      </w:r>
      <w:r>
        <w:rPr>
          <w:sz w:val="18"/>
        </w:rPr>
        <w:t>Ireland Act 1998 to empower the NIHRC and ECNI with functions to monitor, advise, report on, promote, and enforce</w:t>
      </w:r>
    </w:p>
    <w:p>
      <w:pPr>
        <w:spacing w:line="235" w:lineRule="auto" w:before="1"/>
        <w:ind w:left="1853" w:right="1372" w:firstLine="0"/>
        <w:jc w:val="both"/>
        <w:rPr>
          <w:sz w:val="18"/>
        </w:rPr>
      </w:pPr>
      <w:r>
        <w:rPr>
          <w:sz w:val="18"/>
        </w:rPr>
        <w:t>the</w:t>
      </w:r>
      <w:r>
        <w:rPr>
          <w:spacing w:val="-4"/>
          <w:sz w:val="18"/>
        </w:rPr>
        <w:t> </w:t>
      </w:r>
      <w:r>
        <w:rPr>
          <w:sz w:val="18"/>
        </w:rPr>
        <w:t>implementation</w:t>
      </w:r>
      <w:r>
        <w:rPr>
          <w:spacing w:val="-5"/>
          <w:sz w:val="18"/>
        </w:rPr>
        <w:t> </w:t>
      </w:r>
      <w:r>
        <w:rPr>
          <w:sz w:val="18"/>
        </w:rPr>
        <w:t>of</w:t>
      </w:r>
      <w:r>
        <w:rPr>
          <w:spacing w:val="-5"/>
          <w:sz w:val="18"/>
        </w:rPr>
        <w:t> </w:t>
      </w:r>
      <w:r>
        <w:rPr>
          <w:sz w:val="18"/>
        </w:rPr>
        <w:t>Windsor</w:t>
      </w:r>
      <w:r>
        <w:rPr>
          <w:spacing w:val="-4"/>
          <w:sz w:val="18"/>
        </w:rPr>
        <w:t> </w:t>
      </w:r>
      <w:r>
        <w:rPr>
          <w:sz w:val="18"/>
        </w:rPr>
        <w:t>Framework</w:t>
      </w:r>
      <w:r>
        <w:rPr>
          <w:spacing w:val="-4"/>
          <w:sz w:val="18"/>
        </w:rPr>
        <w:t> </w:t>
      </w:r>
      <w:r>
        <w:rPr>
          <w:sz w:val="18"/>
        </w:rPr>
        <w:t>Article</w:t>
      </w:r>
      <w:r>
        <w:rPr>
          <w:spacing w:val="-4"/>
          <w:sz w:val="18"/>
        </w:rPr>
        <w:t> </w:t>
      </w:r>
      <w:r>
        <w:rPr>
          <w:sz w:val="18"/>
        </w:rPr>
        <w:t>2</w:t>
      </w:r>
      <w:r>
        <w:rPr>
          <w:spacing w:val="-4"/>
          <w:sz w:val="18"/>
        </w:rPr>
        <w:t> </w:t>
      </w:r>
      <w:r>
        <w:rPr>
          <w:sz w:val="18"/>
        </w:rPr>
        <w:t>(Sections</w:t>
      </w:r>
      <w:r>
        <w:rPr>
          <w:spacing w:val="-5"/>
          <w:sz w:val="18"/>
        </w:rPr>
        <w:t> </w:t>
      </w:r>
      <w:r>
        <w:rPr>
          <w:sz w:val="18"/>
        </w:rPr>
        <w:t>78A-78E,</w:t>
      </w:r>
      <w:r>
        <w:rPr>
          <w:spacing w:val="-4"/>
          <w:sz w:val="18"/>
        </w:rPr>
        <w:t> </w:t>
      </w:r>
      <w:r>
        <w:rPr>
          <w:sz w:val="18"/>
        </w:rPr>
        <w:t>Northern</w:t>
      </w:r>
      <w:r>
        <w:rPr>
          <w:spacing w:val="-5"/>
          <w:sz w:val="18"/>
        </w:rPr>
        <w:t> </w:t>
      </w:r>
      <w:r>
        <w:rPr>
          <w:sz w:val="18"/>
        </w:rPr>
        <w:t>Ireland</w:t>
      </w:r>
      <w:r>
        <w:rPr>
          <w:spacing w:val="-5"/>
          <w:sz w:val="18"/>
        </w:rPr>
        <w:t> </w:t>
      </w:r>
      <w:r>
        <w:rPr>
          <w:sz w:val="18"/>
        </w:rPr>
        <w:t>Act</w:t>
      </w:r>
      <w:r>
        <w:rPr>
          <w:spacing w:val="-4"/>
          <w:sz w:val="18"/>
        </w:rPr>
        <w:t> </w:t>
      </w:r>
      <w:r>
        <w:rPr>
          <w:sz w:val="18"/>
        </w:rPr>
        <w:t>1998).</w:t>
      </w:r>
      <w:r>
        <w:rPr>
          <w:spacing w:val="-5"/>
          <w:sz w:val="18"/>
        </w:rPr>
        <w:t> </w:t>
      </w:r>
      <w:r>
        <w:rPr>
          <w:sz w:val="18"/>
        </w:rPr>
        <w:t>These</w:t>
      </w:r>
      <w:r>
        <w:rPr>
          <w:spacing w:val="-4"/>
          <w:sz w:val="18"/>
        </w:rPr>
        <w:t> </w:t>
      </w:r>
      <w:r>
        <w:rPr>
          <w:sz w:val="18"/>
        </w:rPr>
        <w:t>new</w:t>
      </w:r>
      <w:r>
        <w:rPr>
          <w:spacing w:val="-4"/>
          <w:sz w:val="18"/>
        </w:rPr>
        <w:t> </w:t>
      </w:r>
      <w:r>
        <w:rPr>
          <w:sz w:val="18"/>
        </w:rPr>
        <w:t>powers took</w:t>
      </w:r>
      <w:r>
        <w:rPr>
          <w:spacing w:val="-3"/>
          <w:sz w:val="18"/>
        </w:rPr>
        <w:t> </w:t>
      </w:r>
      <w:r>
        <w:rPr>
          <w:sz w:val="18"/>
        </w:rPr>
        <w:t>effect</w:t>
      </w:r>
      <w:r>
        <w:rPr>
          <w:spacing w:val="-3"/>
          <w:sz w:val="18"/>
        </w:rPr>
        <w:t> </w:t>
      </w:r>
      <w:r>
        <w:rPr>
          <w:sz w:val="18"/>
        </w:rPr>
        <w:t>from</w:t>
      </w:r>
      <w:r>
        <w:rPr>
          <w:spacing w:val="-3"/>
          <w:sz w:val="18"/>
        </w:rPr>
        <w:t> </w:t>
      </w:r>
      <w:r>
        <w:rPr>
          <w:sz w:val="18"/>
        </w:rPr>
        <w:t>1</w:t>
      </w:r>
      <w:r>
        <w:rPr>
          <w:spacing w:val="-3"/>
          <w:sz w:val="18"/>
        </w:rPr>
        <w:t> </w:t>
      </w:r>
      <w:r>
        <w:rPr>
          <w:sz w:val="18"/>
        </w:rPr>
        <w:t>January</w:t>
      </w:r>
      <w:r>
        <w:rPr>
          <w:spacing w:val="-3"/>
          <w:sz w:val="18"/>
        </w:rPr>
        <w:t> </w:t>
      </w:r>
      <w:r>
        <w:rPr>
          <w:sz w:val="18"/>
        </w:rPr>
        <w:t>2021.</w:t>
      </w:r>
      <w:r>
        <w:rPr>
          <w:spacing w:val="-4"/>
          <w:sz w:val="18"/>
        </w:rPr>
        <w:t> </w:t>
      </w:r>
      <w:r>
        <w:rPr>
          <w:sz w:val="18"/>
        </w:rPr>
        <w:t>In</w:t>
      </w:r>
      <w:r>
        <w:rPr>
          <w:spacing w:val="-4"/>
          <w:sz w:val="18"/>
        </w:rPr>
        <w:t> </w:t>
      </w:r>
      <w:r>
        <w:rPr>
          <w:sz w:val="18"/>
        </w:rPr>
        <w:t>July</w:t>
      </w:r>
      <w:r>
        <w:rPr>
          <w:spacing w:val="-3"/>
          <w:sz w:val="18"/>
        </w:rPr>
        <w:t> </w:t>
      </w:r>
      <w:r>
        <w:rPr>
          <w:sz w:val="18"/>
        </w:rPr>
        <w:t>2020,</w:t>
      </w:r>
      <w:r>
        <w:rPr>
          <w:spacing w:val="-3"/>
          <w:sz w:val="18"/>
        </w:rPr>
        <w:t> </w:t>
      </w:r>
      <w:r>
        <w:rPr>
          <w:sz w:val="18"/>
        </w:rPr>
        <w:t>the</w:t>
      </w:r>
      <w:r>
        <w:rPr>
          <w:spacing w:val="-3"/>
          <w:sz w:val="18"/>
        </w:rPr>
        <w:t> </w:t>
      </w:r>
      <w:r>
        <w:rPr>
          <w:sz w:val="18"/>
        </w:rPr>
        <w:t>Commissions</w:t>
      </w:r>
      <w:r>
        <w:rPr>
          <w:spacing w:val="-4"/>
          <w:sz w:val="18"/>
        </w:rPr>
        <w:t> </w:t>
      </w:r>
      <w:r>
        <w:rPr>
          <w:sz w:val="18"/>
        </w:rPr>
        <w:t>were</w:t>
      </w:r>
      <w:r>
        <w:rPr>
          <w:spacing w:val="-3"/>
          <w:sz w:val="18"/>
        </w:rPr>
        <w:t> </w:t>
      </w:r>
      <w:r>
        <w:rPr>
          <w:sz w:val="18"/>
        </w:rPr>
        <w:t>provided</w:t>
      </w:r>
      <w:r>
        <w:rPr>
          <w:spacing w:val="-4"/>
          <w:sz w:val="18"/>
        </w:rPr>
        <w:t> </w:t>
      </w:r>
      <w:r>
        <w:rPr>
          <w:sz w:val="18"/>
        </w:rPr>
        <w:t>with</w:t>
      </w:r>
      <w:r>
        <w:rPr>
          <w:spacing w:val="-4"/>
          <w:sz w:val="18"/>
        </w:rPr>
        <w:t> </w:t>
      </w:r>
      <w:r>
        <w:rPr>
          <w:sz w:val="18"/>
        </w:rPr>
        <w:t>additional</w:t>
      </w:r>
      <w:r>
        <w:rPr>
          <w:spacing w:val="-4"/>
          <w:sz w:val="18"/>
        </w:rPr>
        <w:t> </w:t>
      </w:r>
      <w:r>
        <w:rPr>
          <w:sz w:val="18"/>
        </w:rPr>
        <w:t>funds</w:t>
      </w:r>
      <w:r>
        <w:rPr>
          <w:spacing w:val="-4"/>
          <w:sz w:val="18"/>
        </w:rPr>
        <w:t> </w:t>
      </w:r>
      <w:r>
        <w:rPr>
          <w:sz w:val="18"/>
        </w:rPr>
        <w:t>to</w:t>
      </w:r>
      <w:r>
        <w:rPr>
          <w:spacing w:val="-4"/>
          <w:sz w:val="18"/>
        </w:rPr>
        <w:t> </w:t>
      </w:r>
      <w:r>
        <w:rPr>
          <w:sz w:val="18"/>
        </w:rPr>
        <w:t>undertake</w:t>
      </w:r>
      <w:r>
        <w:rPr>
          <w:spacing w:val="-3"/>
          <w:sz w:val="18"/>
        </w:rPr>
        <w:t> </w:t>
      </w:r>
      <w:r>
        <w:rPr>
          <w:sz w:val="18"/>
        </w:rPr>
        <w:t>their respective roles as part of the dedicated mechanism.</w:t>
      </w:r>
    </w:p>
    <w:p>
      <w:pPr>
        <w:pStyle w:val="ListParagraph"/>
        <w:numPr>
          <w:ilvl w:val="0"/>
          <w:numId w:val="3"/>
        </w:numPr>
        <w:tabs>
          <w:tab w:pos="1853" w:val="left" w:leader="none"/>
        </w:tabs>
        <w:spacing w:line="235" w:lineRule="auto" w:before="2" w:after="0"/>
        <w:ind w:left="1853" w:right="1636" w:hanging="720"/>
        <w:jc w:val="left"/>
        <w:rPr>
          <w:sz w:val="18"/>
        </w:rPr>
      </w:pPr>
      <w:r>
        <w:rPr>
          <w:sz w:val="18"/>
        </w:rPr>
        <w:t>Section</w:t>
      </w:r>
      <w:r>
        <w:rPr>
          <w:spacing w:val="-3"/>
          <w:sz w:val="18"/>
        </w:rPr>
        <w:t> </w:t>
      </w:r>
      <w:r>
        <w:rPr>
          <w:sz w:val="18"/>
        </w:rPr>
        <w:t>78A(1)-(2)</w:t>
      </w:r>
      <w:r>
        <w:rPr>
          <w:spacing w:val="-3"/>
          <w:sz w:val="18"/>
        </w:rPr>
        <w:t> </w:t>
      </w:r>
      <w:r>
        <w:rPr>
          <w:sz w:val="18"/>
        </w:rPr>
        <w:t>and</w:t>
      </w:r>
      <w:r>
        <w:rPr>
          <w:spacing w:val="-3"/>
          <w:sz w:val="18"/>
        </w:rPr>
        <w:t> </w:t>
      </w:r>
      <w:r>
        <w:rPr>
          <w:sz w:val="18"/>
        </w:rPr>
        <w:t>78A(5),</w:t>
      </w:r>
      <w:r>
        <w:rPr>
          <w:spacing w:val="-2"/>
          <w:sz w:val="18"/>
        </w:rPr>
        <w:t> </w:t>
      </w:r>
      <w:r>
        <w:rPr>
          <w:sz w:val="18"/>
        </w:rPr>
        <w:t>Northern</w:t>
      </w:r>
      <w:r>
        <w:rPr>
          <w:spacing w:val="-3"/>
          <w:sz w:val="18"/>
        </w:rPr>
        <w:t> </w:t>
      </w:r>
      <w:r>
        <w:rPr>
          <w:sz w:val="18"/>
        </w:rPr>
        <w:t>Ireland</w:t>
      </w:r>
      <w:r>
        <w:rPr>
          <w:spacing w:val="-3"/>
          <w:sz w:val="18"/>
        </w:rPr>
        <w:t> </w:t>
      </w:r>
      <w:r>
        <w:rPr>
          <w:sz w:val="18"/>
        </w:rPr>
        <w:t>Act</w:t>
      </w:r>
      <w:r>
        <w:rPr>
          <w:spacing w:val="-2"/>
          <w:sz w:val="18"/>
        </w:rPr>
        <w:t> </w:t>
      </w:r>
      <w:r>
        <w:rPr>
          <w:sz w:val="18"/>
        </w:rPr>
        <w:t>1998</w:t>
      </w:r>
      <w:r>
        <w:rPr>
          <w:spacing w:val="-2"/>
          <w:sz w:val="18"/>
        </w:rPr>
        <w:t> </w:t>
      </w:r>
      <w:r>
        <w:rPr>
          <w:sz w:val="18"/>
        </w:rPr>
        <w:t>in</w:t>
      </w:r>
      <w:r>
        <w:rPr>
          <w:spacing w:val="-3"/>
          <w:sz w:val="18"/>
        </w:rPr>
        <w:t> </w:t>
      </w:r>
      <w:r>
        <w:rPr>
          <w:sz w:val="18"/>
        </w:rPr>
        <w:t>respect</w:t>
      </w:r>
      <w:r>
        <w:rPr>
          <w:spacing w:val="-2"/>
          <w:sz w:val="18"/>
        </w:rPr>
        <w:t> </w:t>
      </w:r>
      <w:r>
        <w:rPr>
          <w:sz w:val="18"/>
        </w:rPr>
        <w:t>of</w:t>
      </w:r>
      <w:r>
        <w:rPr>
          <w:spacing w:val="-3"/>
          <w:sz w:val="18"/>
        </w:rPr>
        <w:t> </w:t>
      </w:r>
      <w:r>
        <w:rPr>
          <w:sz w:val="18"/>
        </w:rPr>
        <w:t>the</w:t>
      </w:r>
      <w:r>
        <w:rPr>
          <w:spacing w:val="-2"/>
          <w:sz w:val="18"/>
        </w:rPr>
        <w:t> </w:t>
      </w:r>
      <w:r>
        <w:rPr>
          <w:sz w:val="18"/>
        </w:rPr>
        <w:t>NIHRC</w:t>
      </w:r>
      <w:r>
        <w:rPr>
          <w:spacing w:val="-3"/>
          <w:sz w:val="18"/>
        </w:rPr>
        <w:t> </w:t>
      </w:r>
      <w:r>
        <w:rPr>
          <w:sz w:val="18"/>
        </w:rPr>
        <w:t>and</w:t>
      </w:r>
      <w:r>
        <w:rPr>
          <w:spacing w:val="-3"/>
          <w:sz w:val="18"/>
        </w:rPr>
        <w:t> </w:t>
      </w:r>
      <w:r>
        <w:rPr>
          <w:sz w:val="18"/>
        </w:rPr>
        <w:t>Section</w:t>
      </w:r>
      <w:r>
        <w:rPr>
          <w:spacing w:val="-3"/>
          <w:sz w:val="18"/>
        </w:rPr>
        <w:t> </w:t>
      </w:r>
      <w:r>
        <w:rPr>
          <w:sz w:val="18"/>
        </w:rPr>
        <w:t>78B(1)-(2)</w:t>
      </w:r>
      <w:r>
        <w:rPr>
          <w:spacing w:val="-3"/>
          <w:sz w:val="18"/>
        </w:rPr>
        <w:t> </w:t>
      </w:r>
      <w:r>
        <w:rPr>
          <w:sz w:val="18"/>
        </w:rPr>
        <w:t>and</w:t>
      </w:r>
      <w:r>
        <w:rPr>
          <w:spacing w:val="-3"/>
          <w:sz w:val="18"/>
        </w:rPr>
        <w:t> </w:t>
      </w:r>
      <w:r>
        <w:rPr>
          <w:sz w:val="18"/>
        </w:rPr>
        <w:t>78B(5) Northern Ireland Act 1998 in respect of the ECNI.</w:t>
      </w:r>
    </w:p>
    <w:p>
      <w:pPr>
        <w:pStyle w:val="ListParagraph"/>
        <w:numPr>
          <w:ilvl w:val="0"/>
          <w:numId w:val="3"/>
        </w:numPr>
        <w:tabs>
          <w:tab w:pos="1853" w:val="left" w:leader="none"/>
        </w:tabs>
        <w:spacing w:line="235" w:lineRule="auto" w:before="2" w:after="0"/>
        <w:ind w:left="1853" w:right="1242" w:hanging="720"/>
        <w:jc w:val="left"/>
        <w:rPr>
          <w:sz w:val="18"/>
        </w:rPr>
      </w:pPr>
      <w:r>
        <w:rPr>
          <w:sz w:val="18"/>
        </w:rPr>
        <w:t>Article 2(2)</w:t>
      </w:r>
      <w:r>
        <w:rPr>
          <w:spacing w:val="-1"/>
          <w:sz w:val="18"/>
        </w:rPr>
        <w:t> </w:t>
      </w:r>
      <w:r>
        <w:rPr>
          <w:sz w:val="18"/>
        </w:rPr>
        <w:t>and</w:t>
      </w:r>
      <w:r>
        <w:rPr>
          <w:spacing w:val="-1"/>
          <w:sz w:val="18"/>
        </w:rPr>
        <w:t> </w:t>
      </w:r>
      <w:r>
        <w:rPr>
          <w:sz w:val="18"/>
        </w:rPr>
        <w:t>Article 14(c), Windsor Framework; NI Office, ‘UK Government Commitment to</w:t>
      </w:r>
      <w:r>
        <w:rPr>
          <w:spacing w:val="-1"/>
          <w:sz w:val="18"/>
        </w:rPr>
        <w:t> </w:t>
      </w:r>
      <w:r>
        <w:rPr>
          <w:sz w:val="18"/>
        </w:rPr>
        <w:t>“No</w:t>
      </w:r>
      <w:r>
        <w:rPr>
          <w:spacing w:val="-1"/>
          <w:sz w:val="18"/>
        </w:rPr>
        <w:t> </w:t>
      </w:r>
      <w:r>
        <w:rPr>
          <w:sz w:val="18"/>
        </w:rPr>
        <w:t>Diminution</w:t>
      </w:r>
      <w:r>
        <w:rPr>
          <w:spacing w:val="-1"/>
          <w:sz w:val="18"/>
        </w:rPr>
        <w:t> </w:t>
      </w:r>
      <w:r>
        <w:rPr>
          <w:sz w:val="18"/>
        </w:rPr>
        <w:t>of</w:t>
      </w:r>
      <w:r>
        <w:rPr>
          <w:spacing w:val="-1"/>
          <w:sz w:val="18"/>
        </w:rPr>
        <w:t> </w:t>
      </w:r>
      <w:r>
        <w:rPr>
          <w:sz w:val="18"/>
        </w:rPr>
        <w:t>Rights, Safeguards</w:t>
      </w:r>
      <w:r>
        <w:rPr>
          <w:spacing w:val="-3"/>
          <w:sz w:val="18"/>
        </w:rPr>
        <w:t> </w:t>
      </w:r>
      <w:r>
        <w:rPr>
          <w:sz w:val="18"/>
        </w:rPr>
        <w:t>and</w:t>
      </w:r>
      <w:r>
        <w:rPr>
          <w:spacing w:val="-3"/>
          <w:sz w:val="18"/>
        </w:rPr>
        <w:t> </w:t>
      </w:r>
      <w:r>
        <w:rPr>
          <w:sz w:val="18"/>
        </w:rPr>
        <w:t>Equality</w:t>
      </w:r>
      <w:r>
        <w:rPr>
          <w:spacing w:val="-3"/>
          <w:sz w:val="18"/>
        </w:rPr>
        <w:t> </w:t>
      </w:r>
      <w:r>
        <w:rPr>
          <w:sz w:val="18"/>
        </w:rPr>
        <w:t>of</w:t>
      </w:r>
      <w:r>
        <w:rPr>
          <w:spacing w:val="-3"/>
          <w:sz w:val="18"/>
        </w:rPr>
        <w:t> </w:t>
      </w:r>
      <w:r>
        <w:rPr>
          <w:sz w:val="18"/>
        </w:rPr>
        <w:t>Opportunity”</w:t>
      </w:r>
      <w:r>
        <w:rPr>
          <w:spacing w:val="-3"/>
          <w:sz w:val="18"/>
        </w:rPr>
        <w:t> </w:t>
      </w:r>
      <w:r>
        <w:rPr>
          <w:sz w:val="18"/>
        </w:rPr>
        <w:t>in</w:t>
      </w:r>
      <w:r>
        <w:rPr>
          <w:spacing w:val="-3"/>
          <w:sz w:val="18"/>
        </w:rPr>
        <w:t> </w:t>
      </w:r>
      <w:r>
        <w:rPr>
          <w:sz w:val="18"/>
        </w:rPr>
        <w:t>Northern</w:t>
      </w:r>
      <w:r>
        <w:rPr>
          <w:spacing w:val="-3"/>
          <w:sz w:val="18"/>
        </w:rPr>
        <w:t> </w:t>
      </w:r>
      <w:r>
        <w:rPr>
          <w:sz w:val="18"/>
        </w:rPr>
        <w:t>Ireland:</w:t>
      </w:r>
      <w:r>
        <w:rPr>
          <w:spacing w:val="-3"/>
          <w:sz w:val="18"/>
        </w:rPr>
        <w:t> </w:t>
      </w:r>
      <w:r>
        <w:rPr>
          <w:sz w:val="18"/>
        </w:rPr>
        <w:t>What</w:t>
      </w:r>
      <w:r>
        <w:rPr>
          <w:spacing w:val="-3"/>
          <w:sz w:val="18"/>
        </w:rPr>
        <w:t> </w:t>
      </w:r>
      <w:r>
        <w:rPr>
          <w:sz w:val="18"/>
        </w:rPr>
        <w:t>does</w:t>
      </w:r>
      <w:r>
        <w:rPr>
          <w:spacing w:val="-3"/>
          <w:sz w:val="18"/>
        </w:rPr>
        <w:t> </w:t>
      </w:r>
      <w:r>
        <w:rPr>
          <w:sz w:val="18"/>
        </w:rPr>
        <w:t>it</w:t>
      </w:r>
      <w:r>
        <w:rPr>
          <w:spacing w:val="-3"/>
          <w:sz w:val="18"/>
        </w:rPr>
        <w:t> </w:t>
      </w:r>
      <w:r>
        <w:rPr>
          <w:sz w:val="18"/>
        </w:rPr>
        <w:t>Mean</w:t>
      </w:r>
      <w:r>
        <w:rPr>
          <w:spacing w:val="-3"/>
          <w:sz w:val="18"/>
        </w:rPr>
        <w:t> </w:t>
      </w:r>
      <w:r>
        <w:rPr>
          <w:sz w:val="18"/>
        </w:rPr>
        <w:t>and</w:t>
      </w:r>
      <w:r>
        <w:rPr>
          <w:spacing w:val="-3"/>
          <w:sz w:val="18"/>
        </w:rPr>
        <w:t> </w:t>
      </w:r>
      <w:r>
        <w:rPr>
          <w:sz w:val="18"/>
        </w:rPr>
        <w:t>How</w:t>
      </w:r>
      <w:r>
        <w:rPr>
          <w:spacing w:val="-3"/>
          <w:sz w:val="18"/>
        </w:rPr>
        <w:t> </w:t>
      </w:r>
      <w:r>
        <w:rPr>
          <w:sz w:val="18"/>
        </w:rPr>
        <w:t>will</w:t>
      </w:r>
      <w:r>
        <w:rPr>
          <w:spacing w:val="-3"/>
          <w:sz w:val="18"/>
        </w:rPr>
        <w:t> </w:t>
      </w:r>
      <w:r>
        <w:rPr>
          <w:sz w:val="18"/>
        </w:rPr>
        <w:t>it</w:t>
      </w:r>
      <w:r>
        <w:rPr>
          <w:spacing w:val="-3"/>
          <w:sz w:val="18"/>
        </w:rPr>
        <w:t> </w:t>
      </w:r>
      <w:r>
        <w:rPr>
          <w:sz w:val="18"/>
        </w:rPr>
        <w:t>be</w:t>
      </w:r>
      <w:r>
        <w:rPr>
          <w:spacing w:val="-3"/>
          <w:sz w:val="18"/>
        </w:rPr>
        <w:t> </w:t>
      </w:r>
      <w:r>
        <w:rPr>
          <w:sz w:val="18"/>
        </w:rPr>
        <w:t>Implemented?’</w:t>
      </w:r>
      <w:r>
        <w:rPr>
          <w:spacing w:val="-3"/>
          <w:sz w:val="18"/>
        </w:rPr>
        <w:t> </w:t>
      </w:r>
      <w:r>
        <w:rPr>
          <w:sz w:val="18"/>
        </w:rPr>
        <w:t>(NIO, 2020), at 5. Equality Commission for NI, Irish Human Rights and Equality Commission and NI Human Rights Commission,</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pPr>
      <w:bookmarkStart w:name="_bookmark3" w:id="7"/>
      <w:bookmarkEnd w:id="7"/>
      <w:r>
        <w:rPr/>
      </w:r>
      <w:r>
        <w:rPr/>
        <w:t>be</w:t>
      </w:r>
      <w:r>
        <w:rPr>
          <w:spacing w:val="-6"/>
        </w:rPr>
        <w:t> </w:t>
      </w:r>
      <w:r>
        <w:rPr/>
        <w:t>found</w:t>
      </w:r>
      <w:r>
        <w:rPr>
          <w:spacing w:val="-7"/>
        </w:rPr>
        <w:t> </w:t>
      </w:r>
      <w:r>
        <w:rPr/>
        <w:t>in</w:t>
      </w:r>
      <w:r>
        <w:rPr>
          <w:spacing w:val="-7"/>
        </w:rPr>
        <w:t> </w:t>
      </w:r>
      <w:r>
        <w:rPr/>
        <w:t>their</w:t>
      </w:r>
      <w:r>
        <w:rPr>
          <w:spacing w:val="-6"/>
        </w:rPr>
        <w:t> </w:t>
      </w:r>
      <w:r>
        <w:rPr/>
        <w:t>annual</w:t>
      </w:r>
      <w:r>
        <w:rPr>
          <w:spacing w:val="-7"/>
        </w:rPr>
        <w:t> </w:t>
      </w:r>
      <w:r>
        <w:rPr/>
        <w:t>report</w:t>
      </w:r>
      <w:r>
        <w:rPr>
          <w:spacing w:val="-6"/>
        </w:rPr>
        <w:t> </w:t>
      </w:r>
      <w:r>
        <w:rPr/>
        <w:t>detailing</w:t>
      </w:r>
      <w:r>
        <w:rPr>
          <w:spacing w:val="-6"/>
        </w:rPr>
        <w:t> </w:t>
      </w:r>
      <w:r>
        <w:rPr/>
        <w:t>joint</w:t>
      </w:r>
      <w:r>
        <w:rPr>
          <w:spacing w:val="-6"/>
        </w:rPr>
        <w:t> </w:t>
      </w:r>
      <w:r>
        <w:rPr/>
        <w:t>activities</w:t>
      </w:r>
      <w:r>
        <w:rPr>
          <w:spacing w:val="-7"/>
        </w:rPr>
        <w:t> </w:t>
      </w:r>
      <w:r>
        <w:rPr/>
        <w:t>undertaken</w:t>
      </w:r>
      <w:r>
        <w:rPr>
          <w:spacing w:val="-7"/>
        </w:rPr>
        <w:t> </w:t>
      </w:r>
      <w:r>
        <w:rPr/>
        <w:t>in</w:t>
      </w:r>
      <w:r>
        <w:rPr>
          <w:spacing w:val="-7"/>
        </w:rPr>
        <w:t> </w:t>
      </w:r>
      <w:r>
        <w:rPr/>
        <w:t>2022- </w:t>
      </w:r>
      <w:r>
        <w:rPr>
          <w:spacing w:val="-2"/>
        </w:rPr>
        <w:t>2023.</w:t>
      </w:r>
      <w:r>
        <w:rPr>
          <w:spacing w:val="-2"/>
          <w:vertAlign w:val="superscript"/>
        </w:rPr>
        <w:t>6</w:t>
      </w:r>
    </w:p>
    <w:p>
      <w:pPr>
        <w:pStyle w:val="ListParagraph"/>
        <w:numPr>
          <w:ilvl w:val="1"/>
          <w:numId w:val="2"/>
        </w:numPr>
        <w:tabs>
          <w:tab w:pos="1853" w:val="left" w:leader="none"/>
        </w:tabs>
        <w:spacing w:line="225" w:lineRule="auto" w:before="318" w:after="0"/>
        <w:ind w:left="1853" w:right="1542" w:hanging="720"/>
        <w:jc w:val="both"/>
        <w:rPr>
          <w:sz w:val="28"/>
        </w:rPr>
      </w:pPr>
      <w:r>
        <w:rPr>
          <w:sz w:val="28"/>
        </w:rPr>
        <w:t>Further,</w:t>
      </w:r>
      <w:r>
        <w:rPr>
          <w:spacing w:val="-11"/>
          <w:sz w:val="28"/>
        </w:rPr>
        <w:t> </w:t>
      </w:r>
      <w:r>
        <w:rPr>
          <w:sz w:val="28"/>
        </w:rPr>
        <w:t>the</w:t>
      </w:r>
      <w:r>
        <w:rPr>
          <w:spacing w:val="-11"/>
          <w:sz w:val="28"/>
        </w:rPr>
        <w:t> </w:t>
      </w:r>
      <w:r>
        <w:rPr>
          <w:sz w:val="28"/>
        </w:rPr>
        <w:t>Specialised</w:t>
      </w:r>
      <w:r>
        <w:rPr>
          <w:spacing w:val="-12"/>
          <w:sz w:val="28"/>
        </w:rPr>
        <w:t> </w:t>
      </w:r>
      <w:r>
        <w:rPr>
          <w:sz w:val="28"/>
        </w:rPr>
        <w:t>Committee</w:t>
      </w:r>
      <w:r>
        <w:rPr>
          <w:spacing w:val="-11"/>
          <w:sz w:val="28"/>
        </w:rPr>
        <w:t> </w:t>
      </w:r>
      <w:r>
        <w:rPr>
          <w:sz w:val="28"/>
        </w:rPr>
        <w:t>on</w:t>
      </w:r>
      <w:r>
        <w:rPr>
          <w:spacing w:val="-12"/>
          <w:sz w:val="28"/>
        </w:rPr>
        <w:t> </w:t>
      </w:r>
      <w:r>
        <w:rPr>
          <w:sz w:val="28"/>
        </w:rPr>
        <w:t>the</w:t>
      </w:r>
      <w:r>
        <w:rPr>
          <w:spacing w:val="-11"/>
          <w:sz w:val="28"/>
        </w:rPr>
        <w:t> </w:t>
      </w:r>
      <w:r>
        <w:rPr>
          <w:sz w:val="28"/>
        </w:rPr>
        <w:t>implementation</w:t>
      </w:r>
      <w:r>
        <w:rPr>
          <w:spacing w:val="-12"/>
          <w:sz w:val="28"/>
        </w:rPr>
        <w:t> </w:t>
      </w:r>
      <w:r>
        <w:rPr>
          <w:sz w:val="28"/>
        </w:rPr>
        <w:t>of</w:t>
      </w:r>
      <w:r>
        <w:rPr>
          <w:spacing w:val="-12"/>
          <w:sz w:val="28"/>
        </w:rPr>
        <w:t> </w:t>
      </w:r>
      <w:r>
        <w:rPr>
          <w:sz w:val="28"/>
        </w:rPr>
        <w:t>the</w:t>
      </w:r>
      <w:r>
        <w:rPr>
          <w:spacing w:val="-11"/>
          <w:sz w:val="28"/>
        </w:rPr>
        <w:t> </w:t>
      </w:r>
      <w:r>
        <w:rPr>
          <w:sz w:val="28"/>
        </w:rPr>
        <w:t>Protocol</w:t>
      </w:r>
      <w:r>
        <w:rPr>
          <w:sz w:val="28"/>
          <w:vertAlign w:val="superscript"/>
        </w:rPr>
        <w:t>7</w:t>
      </w:r>
      <w:r>
        <w:rPr>
          <w:sz w:val="28"/>
          <w:vertAlign w:val="baseline"/>
        </w:rPr>
        <w:t> can</w:t>
      </w:r>
      <w:r>
        <w:rPr>
          <w:spacing w:val="-2"/>
          <w:sz w:val="28"/>
          <w:vertAlign w:val="baseline"/>
        </w:rPr>
        <w:t> </w:t>
      </w:r>
      <w:r>
        <w:rPr>
          <w:sz w:val="28"/>
          <w:vertAlign w:val="baseline"/>
        </w:rPr>
        <w:t>consider</w:t>
      </w:r>
      <w:r>
        <w:rPr>
          <w:spacing w:val="-1"/>
          <w:sz w:val="28"/>
          <w:vertAlign w:val="baseline"/>
        </w:rPr>
        <w:t> </w:t>
      </w:r>
      <w:r>
        <w:rPr>
          <w:sz w:val="28"/>
          <w:vertAlign w:val="baseline"/>
        </w:rPr>
        <w:t>any</w:t>
      </w:r>
      <w:r>
        <w:rPr>
          <w:spacing w:val="-1"/>
          <w:sz w:val="28"/>
          <w:vertAlign w:val="baseline"/>
        </w:rPr>
        <w:t> </w:t>
      </w:r>
      <w:r>
        <w:rPr>
          <w:sz w:val="28"/>
          <w:vertAlign w:val="baseline"/>
        </w:rPr>
        <w:t>matter</w:t>
      </w:r>
      <w:r>
        <w:rPr>
          <w:spacing w:val="-1"/>
          <w:sz w:val="28"/>
          <w:vertAlign w:val="baseline"/>
        </w:rPr>
        <w:t> </w:t>
      </w:r>
      <w:r>
        <w:rPr>
          <w:sz w:val="28"/>
          <w:vertAlign w:val="baseline"/>
        </w:rPr>
        <w:t>of</w:t>
      </w:r>
      <w:r>
        <w:rPr>
          <w:spacing w:val="-2"/>
          <w:sz w:val="28"/>
          <w:vertAlign w:val="baseline"/>
        </w:rPr>
        <w:t> </w:t>
      </w:r>
      <w:r>
        <w:rPr>
          <w:sz w:val="28"/>
          <w:vertAlign w:val="baseline"/>
        </w:rPr>
        <w:t>relevance</w:t>
      </w:r>
      <w:r>
        <w:rPr>
          <w:spacing w:val="-1"/>
          <w:sz w:val="28"/>
          <w:vertAlign w:val="baseline"/>
        </w:rPr>
        <w:t> </w:t>
      </w:r>
      <w:r>
        <w:rPr>
          <w:sz w:val="28"/>
          <w:vertAlign w:val="baseline"/>
        </w:rPr>
        <w:t>to</w:t>
      </w:r>
      <w:r>
        <w:rPr>
          <w:spacing w:val="-2"/>
          <w:sz w:val="28"/>
          <w:vertAlign w:val="baseline"/>
        </w:rPr>
        <w:t> </w:t>
      </w:r>
      <w:r>
        <w:rPr>
          <w:sz w:val="28"/>
          <w:vertAlign w:val="baseline"/>
        </w:rPr>
        <w:t>the</w:t>
      </w:r>
      <w:r>
        <w:rPr>
          <w:spacing w:val="-1"/>
          <w:sz w:val="28"/>
          <w:vertAlign w:val="baseline"/>
        </w:rPr>
        <w:t> </w:t>
      </w:r>
      <w:r>
        <w:rPr>
          <w:sz w:val="28"/>
          <w:vertAlign w:val="baseline"/>
        </w:rPr>
        <w:t>UK-EU</w:t>
      </w:r>
      <w:r>
        <w:rPr>
          <w:spacing w:val="-1"/>
          <w:sz w:val="28"/>
          <w:vertAlign w:val="baseline"/>
        </w:rPr>
        <w:t> </w:t>
      </w:r>
      <w:r>
        <w:rPr>
          <w:sz w:val="28"/>
          <w:vertAlign w:val="baseline"/>
        </w:rPr>
        <w:t>Withdrawal</w:t>
      </w:r>
      <w:r>
        <w:rPr>
          <w:spacing w:val="-2"/>
          <w:sz w:val="28"/>
          <w:vertAlign w:val="baseline"/>
        </w:rPr>
        <w:t> </w:t>
      </w:r>
      <w:r>
        <w:rPr>
          <w:sz w:val="28"/>
          <w:vertAlign w:val="baseline"/>
        </w:rPr>
        <w:t>Agreement brought to its attention by the NIHRC, ECNI or the Joint Committee</w:t>
      </w:r>
    </w:p>
    <w:p>
      <w:pPr>
        <w:pStyle w:val="BodyText"/>
        <w:spacing w:line="225" w:lineRule="auto"/>
        <w:ind w:left="1853" w:right="1595"/>
      </w:pPr>
      <w:r>
        <w:rPr/>
        <w:t>of representatives of the NIHRC and Irish Human Rights and Equality Commission.</w:t>
      </w:r>
      <w:r>
        <w:rPr>
          <w:spacing w:val="-1"/>
        </w:rPr>
        <w:t> </w:t>
      </w:r>
      <w:r>
        <w:rPr/>
        <w:t>Sections</w:t>
      </w:r>
      <w:r>
        <w:rPr>
          <w:spacing w:val="-1"/>
        </w:rPr>
        <w:t> </w:t>
      </w:r>
      <w:r>
        <w:rPr/>
        <w:t>78A(9)</w:t>
      </w:r>
      <w:r>
        <w:rPr>
          <w:spacing w:val="-1"/>
        </w:rPr>
        <w:t> </w:t>
      </w:r>
      <w:r>
        <w:rPr/>
        <w:t>and</w:t>
      </w:r>
      <w:r>
        <w:rPr>
          <w:spacing w:val="-1"/>
        </w:rPr>
        <w:t> </w:t>
      </w:r>
      <w:r>
        <w:rPr/>
        <w:t>78B(9)</w:t>
      </w:r>
      <w:r>
        <w:rPr>
          <w:spacing w:val="-1"/>
        </w:rPr>
        <w:t> </w:t>
      </w:r>
      <w:r>
        <w:rPr/>
        <w:t>of</w:t>
      </w:r>
      <w:r>
        <w:rPr>
          <w:spacing w:val="-1"/>
        </w:rPr>
        <w:t> </w:t>
      </w:r>
      <w:r>
        <w:rPr/>
        <w:t>the NI Act 1998 empower the NIHRC</w:t>
      </w:r>
      <w:r>
        <w:rPr>
          <w:spacing w:val="-8"/>
        </w:rPr>
        <w:t> </w:t>
      </w:r>
      <w:r>
        <w:rPr/>
        <w:t>and</w:t>
      </w:r>
      <w:r>
        <w:rPr>
          <w:spacing w:val="-8"/>
        </w:rPr>
        <w:t> </w:t>
      </w:r>
      <w:r>
        <w:rPr/>
        <w:t>the</w:t>
      </w:r>
      <w:r>
        <w:rPr>
          <w:spacing w:val="-7"/>
        </w:rPr>
        <w:t> </w:t>
      </w:r>
      <w:r>
        <w:rPr/>
        <w:t>ECNI</w:t>
      </w:r>
      <w:r>
        <w:rPr>
          <w:spacing w:val="-7"/>
        </w:rPr>
        <w:t> </w:t>
      </w:r>
      <w:r>
        <w:rPr/>
        <w:t>respectively</w:t>
      </w:r>
      <w:r>
        <w:rPr>
          <w:spacing w:val="-7"/>
        </w:rPr>
        <w:t> </w:t>
      </w:r>
      <w:r>
        <w:rPr/>
        <w:t>to</w:t>
      </w:r>
      <w:r>
        <w:rPr>
          <w:spacing w:val="-8"/>
        </w:rPr>
        <w:t> </w:t>
      </w:r>
      <w:r>
        <w:rPr/>
        <w:t>bring</w:t>
      </w:r>
      <w:r>
        <w:rPr>
          <w:spacing w:val="-7"/>
        </w:rPr>
        <w:t> </w:t>
      </w:r>
      <w:r>
        <w:rPr/>
        <w:t>matters</w:t>
      </w:r>
      <w:r>
        <w:rPr>
          <w:spacing w:val="-8"/>
        </w:rPr>
        <w:t> </w:t>
      </w:r>
      <w:r>
        <w:rPr/>
        <w:t>of</w:t>
      </w:r>
      <w:r>
        <w:rPr>
          <w:spacing w:val="-8"/>
        </w:rPr>
        <w:t> </w:t>
      </w:r>
      <w:r>
        <w:rPr/>
        <w:t>relevance</w:t>
      </w:r>
      <w:r>
        <w:rPr>
          <w:spacing w:val="-7"/>
        </w:rPr>
        <w:t> </w:t>
      </w:r>
      <w:r>
        <w:rPr/>
        <w:t>to</w:t>
      </w:r>
      <w:r>
        <w:rPr>
          <w:spacing w:val="-8"/>
        </w:rPr>
        <w:t> </w:t>
      </w:r>
      <w:r>
        <w:rPr/>
        <w:t>Windsor Framework Article 2 to the attention of the Specialised Committee.</w:t>
      </w:r>
    </w:p>
    <w:p>
      <w:pPr>
        <w:pStyle w:val="ListParagraph"/>
        <w:numPr>
          <w:ilvl w:val="1"/>
          <w:numId w:val="2"/>
        </w:numPr>
        <w:tabs>
          <w:tab w:pos="1853" w:val="left" w:leader="none"/>
        </w:tabs>
        <w:spacing w:line="225" w:lineRule="auto" w:before="311" w:after="0"/>
        <w:ind w:left="1853" w:right="1662" w:hanging="720"/>
        <w:jc w:val="left"/>
        <w:rPr>
          <w:sz w:val="28"/>
        </w:rPr>
      </w:pPr>
      <w:r>
        <w:rPr>
          <w:sz w:val="28"/>
        </w:rPr>
        <w:t>In March 2023, the UK and the EU agreed that the Ireland/NI Protocol is to</w:t>
      </w:r>
      <w:r>
        <w:rPr>
          <w:spacing w:val="-8"/>
          <w:sz w:val="28"/>
        </w:rPr>
        <w:t> </w:t>
      </w:r>
      <w:r>
        <w:rPr>
          <w:sz w:val="28"/>
        </w:rPr>
        <w:t>be</w:t>
      </w:r>
      <w:r>
        <w:rPr>
          <w:spacing w:val="-5"/>
          <w:sz w:val="28"/>
        </w:rPr>
        <w:t> </w:t>
      </w:r>
      <w:r>
        <w:rPr>
          <w:sz w:val="28"/>
        </w:rPr>
        <w:t>known</w:t>
      </w:r>
      <w:r>
        <w:rPr>
          <w:spacing w:val="-6"/>
          <w:sz w:val="28"/>
        </w:rPr>
        <w:t> </w:t>
      </w:r>
      <w:r>
        <w:rPr>
          <w:sz w:val="28"/>
        </w:rPr>
        <w:t>as</w:t>
      </w:r>
      <w:r>
        <w:rPr>
          <w:spacing w:val="-6"/>
          <w:sz w:val="28"/>
        </w:rPr>
        <w:t> </w:t>
      </w:r>
      <w:r>
        <w:rPr>
          <w:sz w:val="28"/>
        </w:rPr>
        <w:t>the</w:t>
      </w:r>
      <w:r>
        <w:rPr>
          <w:spacing w:val="-5"/>
          <w:sz w:val="28"/>
        </w:rPr>
        <w:t> </w:t>
      </w:r>
      <w:r>
        <w:rPr>
          <w:sz w:val="28"/>
        </w:rPr>
        <w:t>Windsor</w:t>
      </w:r>
      <w:r>
        <w:rPr>
          <w:spacing w:val="-5"/>
          <w:sz w:val="28"/>
        </w:rPr>
        <w:t> </w:t>
      </w:r>
      <w:r>
        <w:rPr>
          <w:sz w:val="28"/>
        </w:rPr>
        <w:t>Framework.</w:t>
      </w:r>
      <w:r>
        <w:rPr>
          <w:sz w:val="28"/>
          <w:vertAlign w:val="superscript"/>
        </w:rPr>
        <w:t>8</w:t>
      </w:r>
      <w:r>
        <w:rPr>
          <w:spacing w:val="-27"/>
          <w:sz w:val="28"/>
          <w:vertAlign w:val="baseline"/>
        </w:rPr>
        <w:t> </w:t>
      </w:r>
      <w:r>
        <w:rPr>
          <w:sz w:val="28"/>
          <w:vertAlign w:val="baseline"/>
        </w:rPr>
        <w:t>For</w:t>
      </w:r>
      <w:r>
        <w:rPr>
          <w:spacing w:val="-5"/>
          <w:sz w:val="28"/>
          <w:vertAlign w:val="baseline"/>
        </w:rPr>
        <w:t> </w:t>
      </w:r>
      <w:r>
        <w:rPr>
          <w:sz w:val="28"/>
          <w:vertAlign w:val="baseline"/>
        </w:rPr>
        <w:t>historic</w:t>
      </w:r>
      <w:r>
        <w:rPr>
          <w:spacing w:val="-5"/>
          <w:sz w:val="28"/>
          <w:vertAlign w:val="baseline"/>
        </w:rPr>
        <w:t> </w:t>
      </w:r>
      <w:r>
        <w:rPr>
          <w:sz w:val="28"/>
          <w:vertAlign w:val="baseline"/>
        </w:rPr>
        <w:t>reasons</w:t>
      </w:r>
      <w:r>
        <w:rPr>
          <w:spacing w:val="-6"/>
          <w:sz w:val="28"/>
          <w:vertAlign w:val="baseline"/>
        </w:rPr>
        <w:t> </w:t>
      </w:r>
      <w:r>
        <w:rPr>
          <w:sz w:val="28"/>
          <w:vertAlign w:val="baseline"/>
        </w:rPr>
        <w:t>some</w:t>
      </w:r>
      <w:r>
        <w:rPr>
          <w:spacing w:val="-5"/>
          <w:sz w:val="28"/>
          <w:vertAlign w:val="baseline"/>
        </w:rPr>
        <w:t> </w:t>
      </w:r>
      <w:r>
        <w:rPr>
          <w:sz w:val="28"/>
          <w:vertAlign w:val="baseline"/>
        </w:rPr>
        <w:t>of</w:t>
      </w:r>
      <w:r>
        <w:rPr>
          <w:spacing w:val="-6"/>
          <w:sz w:val="28"/>
          <w:vertAlign w:val="baseline"/>
        </w:rPr>
        <w:t> </w:t>
      </w:r>
      <w:r>
        <w:rPr>
          <w:sz w:val="28"/>
          <w:vertAlign w:val="baseline"/>
        </w:rPr>
        <w:t>the references in the report still mention the Protocol. Where references to the</w:t>
      </w:r>
      <w:r>
        <w:rPr>
          <w:spacing w:val="-8"/>
          <w:sz w:val="28"/>
          <w:vertAlign w:val="baseline"/>
        </w:rPr>
        <w:t> </w:t>
      </w:r>
      <w:r>
        <w:rPr>
          <w:sz w:val="28"/>
          <w:vertAlign w:val="baseline"/>
        </w:rPr>
        <w:t>Protocol</w:t>
      </w:r>
      <w:r>
        <w:rPr>
          <w:spacing w:val="-9"/>
          <w:sz w:val="28"/>
          <w:vertAlign w:val="baseline"/>
        </w:rPr>
        <w:t> </w:t>
      </w:r>
      <w:r>
        <w:rPr>
          <w:sz w:val="28"/>
          <w:vertAlign w:val="baseline"/>
        </w:rPr>
        <w:t>occur,</w:t>
      </w:r>
      <w:r>
        <w:rPr>
          <w:spacing w:val="-8"/>
          <w:sz w:val="28"/>
          <w:vertAlign w:val="baseline"/>
        </w:rPr>
        <w:t> </w:t>
      </w:r>
      <w:r>
        <w:rPr>
          <w:sz w:val="28"/>
          <w:vertAlign w:val="baseline"/>
        </w:rPr>
        <w:t>these</w:t>
      </w:r>
      <w:r>
        <w:rPr>
          <w:spacing w:val="-8"/>
          <w:sz w:val="28"/>
          <w:vertAlign w:val="baseline"/>
        </w:rPr>
        <w:t> </w:t>
      </w:r>
      <w:r>
        <w:rPr>
          <w:sz w:val="28"/>
          <w:vertAlign w:val="baseline"/>
        </w:rPr>
        <w:t>should</w:t>
      </w:r>
      <w:r>
        <w:rPr>
          <w:spacing w:val="-9"/>
          <w:sz w:val="28"/>
          <w:vertAlign w:val="baseline"/>
        </w:rPr>
        <w:t> </w:t>
      </w:r>
      <w:r>
        <w:rPr>
          <w:sz w:val="28"/>
          <w:vertAlign w:val="baseline"/>
        </w:rPr>
        <w:t>be</w:t>
      </w:r>
      <w:r>
        <w:rPr>
          <w:spacing w:val="-8"/>
          <w:sz w:val="28"/>
          <w:vertAlign w:val="baseline"/>
        </w:rPr>
        <w:t> </w:t>
      </w:r>
      <w:r>
        <w:rPr>
          <w:sz w:val="28"/>
          <w:vertAlign w:val="baseline"/>
        </w:rPr>
        <w:t>understood</w:t>
      </w:r>
      <w:r>
        <w:rPr>
          <w:spacing w:val="-9"/>
          <w:sz w:val="28"/>
          <w:vertAlign w:val="baseline"/>
        </w:rPr>
        <w:t> </w:t>
      </w:r>
      <w:r>
        <w:rPr>
          <w:sz w:val="28"/>
          <w:vertAlign w:val="baseline"/>
        </w:rPr>
        <w:t>as</w:t>
      </w:r>
      <w:r>
        <w:rPr>
          <w:spacing w:val="-9"/>
          <w:sz w:val="28"/>
          <w:vertAlign w:val="baseline"/>
        </w:rPr>
        <w:t> </w:t>
      </w:r>
      <w:r>
        <w:rPr>
          <w:sz w:val="28"/>
          <w:vertAlign w:val="baseline"/>
        </w:rPr>
        <w:t>relating</w:t>
      </w:r>
      <w:r>
        <w:rPr>
          <w:spacing w:val="-8"/>
          <w:sz w:val="28"/>
          <w:vertAlign w:val="baseline"/>
        </w:rPr>
        <w:t> </w:t>
      </w:r>
      <w:r>
        <w:rPr>
          <w:sz w:val="28"/>
          <w:vertAlign w:val="baseline"/>
        </w:rPr>
        <w:t>to</w:t>
      </w:r>
      <w:r>
        <w:rPr>
          <w:spacing w:val="-9"/>
          <w:sz w:val="28"/>
          <w:vertAlign w:val="baseline"/>
        </w:rPr>
        <w:t> </w:t>
      </w:r>
      <w:r>
        <w:rPr>
          <w:sz w:val="28"/>
          <w:vertAlign w:val="baseline"/>
        </w:rPr>
        <w:t>the</w:t>
      </w:r>
      <w:r>
        <w:rPr>
          <w:spacing w:val="-8"/>
          <w:sz w:val="28"/>
          <w:vertAlign w:val="baseline"/>
        </w:rPr>
        <w:t> </w:t>
      </w:r>
      <w:r>
        <w:rPr>
          <w:sz w:val="28"/>
          <w:vertAlign w:val="baseline"/>
        </w:rPr>
        <w:t>Windsor </w:t>
      </w:r>
      <w:r>
        <w:rPr>
          <w:spacing w:val="-2"/>
          <w:sz w:val="28"/>
          <w:vertAlign w:val="baseline"/>
        </w:rPr>
        <w:t>Framework.</w:t>
      </w:r>
    </w:p>
    <w:p>
      <w:pPr>
        <w:pStyle w:val="ListParagraph"/>
        <w:numPr>
          <w:ilvl w:val="1"/>
          <w:numId w:val="2"/>
        </w:numPr>
        <w:tabs>
          <w:tab w:pos="1853" w:val="left" w:leader="none"/>
        </w:tabs>
        <w:spacing w:line="225" w:lineRule="auto" w:before="313" w:after="0"/>
        <w:ind w:left="1853" w:right="1174" w:hanging="720"/>
        <w:jc w:val="left"/>
        <w:rPr>
          <w:sz w:val="28"/>
        </w:rPr>
      </w:pPr>
      <w:r>
        <w:rPr>
          <w:sz w:val="28"/>
        </w:rPr>
        <w:t>Further</w:t>
      </w:r>
      <w:r>
        <w:rPr>
          <w:spacing w:val="-4"/>
          <w:sz w:val="28"/>
        </w:rPr>
        <w:t> </w:t>
      </w:r>
      <w:r>
        <w:rPr>
          <w:sz w:val="28"/>
        </w:rPr>
        <w:t>information</w:t>
      </w:r>
      <w:r>
        <w:rPr>
          <w:spacing w:val="-5"/>
          <w:sz w:val="28"/>
        </w:rPr>
        <w:t> </w:t>
      </w:r>
      <w:r>
        <w:rPr>
          <w:sz w:val="28"/>
        </w:rPr>
        <w:t>on</w:t>
      </w:r>
      <w:r>
        <w:rPr>
          <w:spacing w:val="-5"/>
          <w:sz w:val="28"/>
        </w:rPr>
        <w:t> </w:t>
      </w:r>
      <w:r>
        <w:rPr>
          <w:sz w:val="28"/>
        </w:rPr>
        <w:t>the</w:t>
      </w:r>
      <w:r>
        <w:rPr>
          <w:spacing w:val="-4"/>
          <w:sz w:val="28"/>
        </w:rPr>
        <w:t> </w:t>
      </w:r>
      <w:r>
        <w:rPr>
          <w:sz w:val="28"/>
        </w:rPr>
        <w:t>powers</w:t>
      </w:r>
      <w:r>
        <w:rPr>
          <w:spacing w:val="-5"/>
          <w:sz w:val="28"/>
        </w:rPr>
        <w:t> </w:t>
      </w:r>
      <w:r>
        <w:rPr>
          <w:sz w:val="28"/>
        </w:rPr>
        <w:t>and</w:t>
      </w:r>
      <w:r>
        <w:rPr>
          <w:spacing w:val="-5"/>
          <w:sz w:val="28"/>
        </w:rPr>
        <w:t> </w:t>
      </w:r>
      <w:r>
        <w:rPr>
          <w:sz w:val="28"/>
        </w:rPr>
        <w:t>duties</w:t>
      </w:r>
      <w:r>
        <w:rPr>
          <w:spacing w:val="-5"/>
          <w:sz w:val="28"/>
        </w:rPr>
        <w:t> </w:t>
      </w:r>
      <w:r>
        <w:rPr>
          <w:sz w:val="28"/>
        </w:rPr>
        <w:t>of</w:t>
      </w:r>
      <w:r>
        <w:rPr>
          <w:spacing w:val="-5"/>
          <w:sz w:val="28"/>
        </w:rPr>
        <w:t> </w:t>
      </w:r>
      <w:r>
        <w:rPr>
          <w:sz w:val="28"/>
        </w:rPr>
        <w:t>the</w:t>
      </w:r>
      <w:r>
        <w:rPr>
          <w:spacing w:val="-4"/>
          <w:sz w:val="28"/>
        </w:rPr>
        <w:t> </w:t>
      </w:r>
      <w:r>
        <w:rPr>
          <w:sz w:val="28"/>
        </w:rPr>
        <w:t>Commissions</w:t>
      </w:r>
      <w:r>
        <w:rPr>
          <w:spacing w:val="-5"/>
          <w:sz w:val="28"/>
        </w:rPr>
        <w:t> </w:t>
      </w:r>
      <w:r>
        <w:rPr>
          <w:sz w:val="28"/>
        </w:rPr>
        <w:t>is</w:t>
      </w:r>
      <w:r>
        <w:rPr>
          <w:spacing w:val="-5"/>
          <w:sz w:val="28"/>
        </w:rPr>
        <w:t> </w:t>
      </w:r>
      <w:r>
        <w:rPr>
          <w:sz w:val="28"/>
        </w:rPr>
        <w:t>set</w:t>
      </w:r>
      <w:r>
        <w:rPr>
          <w:spacing w:val="-4"/>
          <w:sz w:val="28"/>
        </w:rPr>
        <w:t> </w:t>
      </w:r>
      <w:r>
        <w:rPr>
          <w:sz w:val="28"/>
        </w:rPr>
        <w:t>out</w:t>
      </w:r>
      <w:r>
        <w:rPr>
          <w:spacing w:val="-4"/>
          <w:sz w:val="28"/>
        </w:rPr>
        <w:t> </w:t>
      </w:r>
      <w:r>
        <w:rPr>
          <w:sz w:val="28"/>
        </w:rPr>
        <w:t>in Appendix 2.</w:t>
      </w:r>
    </w:p>
    <w:p>
      <w:pPr>
        <w:pStyle w:val="Heading5"/>
        <w:spacing w:before="302"/>
        <w:ind w:left="1133" w:firstLine="0"/>
      </w:pPr>
      <w:bookmarkStart w:name="Focus of the Report" w:id="8"/>
      <w:bookmarkEnd w:id="8"/>
      <w:r>
        <w:rPr>
          <w:b w:val="0"/>
        </w:rPr>
      </w:r>
      <w:r>
        <w:rPr>
          <w:color w:val="393B80"/>
        </w:rPr>
        <w:t>Focus</w:t>
      </w:r>
      <w:r>
        <w:rPr>
          <w:color w:val="393B80"/>
          <w:spacing w:val="-3"/>
        </w:rPr>
        <w:t> </w:t>
      </w:r>
      <w:r>
        <w:rPr>
          <w:color w:val="393B80"/>
        </w:rPr>
        <w:t>of</w:t>
      </w:r>
      <w:r>
        <w:rPr>
          <w:color w:val="393B80"/>
          <w:spacing w:val="-3"/>
        </w:rPr>
        <w:t> </w:t>
      </w:r>
      <w:r>
        <w:rPr>
          <w:color w:val="393B80"/>
        </w:rPr>
        <w:t>the</w:t>
      </w:r>
      <w:r>
        <w:rPr>
          <w:color w:val="393B80"/>
          <w:spacing w:val="-3"/>
        </w:rPr>
        <w:t> </w:t>
      </w:r>
      <w:r>
        <w:rPr>
          <w:color w:val="393B80"/>
          <w:spacing w:val="-2"/>
        </w:rPr>
        <w:t>Report</w:t>
      </w:r>
    </w:p>
    <w:p>
      <w:pPr>
        <w:pStyle w:val="ListParagraph"/>
        <w:numPr>
          <w:ilvl w:val="1"/>
          <w:numId w:val="2"/>
        </w:numPr>
        <w:tabs>
          <w:tab w:pos="1853" w:val="left" w:leader="none"/>
        </w:tabs>
        <w:spacing w:line="225" w:lineRule="auto" w:before="314" w:after="0"/>
        <w:ind w:left="1853" w:right="1158" w:hanging="720"/>
        <w:jc w:val="left"/>
        <w:rPr>
          <w:sz w:val="28"/>
        </w:rPr>
      </w:pPr>
      <w:r>
        <w:rPr>
          <w:sz w:val="28"/>
        </w:rPr>
        <w:t>This</w:t>
      </w:r>
      <w:r>
        <w:rPr>
          <w:spacing w:val="-5"/>
          <w:sz w:val="28"/>
        </w:rPr>
        <w:t> </w:t>
      </w:r>
      <w:r>
        <w:rPr>
          <w:sz w:val="28"/>
        </w:rPr>
        <w:t>report</w:t>
      </w:r>
      <w:r>
        <w:rPr>
          <w:spacing w:val="-4"/>
          <w:sz w:val="28"/>
        </w:rPr>
        <w:t> </w:t>
      </w:r>
      <w:r>
        <w:rPr>
          <w:sz w:val="28"/>
        </w:rPr>
        <w:t>sets</w:t>
      </w:r>
      <w:r>
        <w:rPr>
          <w:spacing w:val="-5"/>
          <w:sz w:val="28"/>
        </w:rPr>
        <w:t> </w:t>
      </w:r>
      <w:r>
        <w:rPr>
          <w:sz w:val="28"/>
        </w:rPr>
        <w:t>out</w:t>
      </w:r>
      <w:r>
        <w:rPr>
          <w:spacing w:val="-4"/>
          <w:sz w:val="28"/>
        </w:rPr>
        <w:t> </w:t>
      </w:r>
      <w:r>
        <w:rPr>
          <w:sz w:val="28"/>
        </w:rPr>
        <w:t>the</w:t>
      </w:r>
      <w:r>
        <w:rPr>
          <w:spacing w:val="-4"/>
          <w:sz w:val="28"/>
        </w:rPr>
        <w:t> </w:t>
      </w:r>
      <w:r>
        <w:rPr>
          <w:sz w:val="28"/>
        </w:rPr>
        <w:t>Commissions’</w:t>
      </w:r>
      <w:r>
        <w:rPr>
          <w:spacing w:val="-4"/>
          <w:sz w:val="28"/>
        </w:rPr>
        <w:t> </w:t>
      </w:r>
      <w:r>
        <w:rPr>
          <w:sz w:val="28"/>
        </w:rPr>
        <w:t>work</w:t>
      </w:r>
      <w:r>
        <w:rPr>
          <w:spacing w:val="-4"/>
          <w:sz w:val="28"/>
        </w:rPr>
        <w:t> </w:t>
      </w:r>
      <w:r>
        <w:rPr>
          <w:sz w:val="28"/>
        </w:rPr>
        <w:t>on</w:t>
      </w:r>
      <w:r>
        <w:rPr>
          <w:spacing w:val="-5"/>
          <w:sz w:val="28"/>
        </w:rPr>
        <w:t> </w:t>
      </w:r>
      <w:r>
        <w:rPr>
          <w:sz w:val="28"/>
        </w:rPr>
        <w:t>monitoring</w:t>
      </w:r>
      <w:r>
        <w:rPr>
          <w:spacing w:val="-4"/>
          <w:sz w:val="28"/>
        </w:rPr>
        <w:t> </w:t>
      </w:r>
      <w:r>
        <w:rPr>
          <w:sz w:val="28"/>
        </w:rPr>
        <w:t>and</w:t>
      </w:r>
      <w:r>
        <w:rPr>
          <w:spacing w:val="-5"/>
          <w:sz w:val="28"/>
        </w:rPr>
        <w:t> </w:t>
      </w:r>
      <w:r>
        <w:rPr>
          <w:sz w:val="28"/>
        </w:rPr>
        <w:t>scrutinising</w:t>
      </w:r>
      <w:r>
        <w:rPr>
          <w:spacing w:val="-4"/>
          <w:sz w:val="28"/>
        </w:rPr>
        <w:t> </w:t>
      </w:r>
      <w:r>
        <w:rPr>
          <w:sz w:val="28"/>
        </w:rPr>
        <w:t>the UK Government’s implementation of Windsor Framework Article 2 in 2023- 2024.</w:t>
      </w:r>
      <w:r>
        <w:rPr>
          <w:spacing w:val="-6"/>
          <w:sz w:val="28"/>
        </w:rPr>
        <w:t> </w:t>
      </w:r>
      <w:r>
        <w:rPr>
          <w:sz w:val="28"/>
        </w:rPr>
        <w:t>Having</w:t>
      </w:r>
      <w:r>
        <w:rPr>
          <w:spacing w:val="-5"/>
          <w:sz w:val="28"/>
        </w:rPr>
        <w:t> </w:t>
      </w:r>
      <w:r>
        <w:rPr>
          <w:sz w:val="28"/>
        </w:rPr>
        <w:t>reviewed</w:t>
      </w:r>
      <w:r>
        <w:rPr>
          <w:spacing w:val="-6"/>
          <w:sz w:val="28"/>
        </w:rPr>
        <w:t> </w:t>
      </w:r>
      <w:r>
        <w:rPr>
          <w:sz w:val="28"/>
        </w:rPr>
        <w:t>progress</w:t>
      </w:r>
      <w:r>
        <w:rPr>
          <w:spacing w:val="-6"/>
          <w:sz w:val="28"/>
        </w:rPr>
        <w:t> </w:t>
      </w:r>
      <w:r>
        <w:rPr>
          <w:sz w:val="28"/>
        </w:rPr>
        <w:t>on</w:t>
      </w:r>
      <w:r>
        <w:rPr>
          <w:spacing w:val="-6"/>
          <w:sz w:val="28"/>
        </w:rPr>
        <w:t> </w:t>
      </w:r>
      <w:r>
        <w:rPr>
          <w:sz w:val="28"/>
        </w:rPr>
        <w:t>the</w:t>
      </w:r>
      <w:r>
        <w:rPr>
          <w:spacing w:val="-5"/>
          <w:sz w:val="28"/>
        </w:rPr>
        <w:t> </w:t>
      </w:r>
      <w:r>
        <w:rPr>
          <w:sz w:val="28"/>
        </w:rPr>
        <w:t>delivery</w:t>
      </w:r>
      <w:r>
        <w:rPr>
          <w:spacing w:val="-5"/>
          <w:sz w:val="28"/>
        </w:rPr>
        <w:t> </w:t>
      </w:r>
      <w:r>
        <w:rPr>
          <w:sz w:val="28"/>
        </w:rPr>
        <w:t>of</w:t>
      </w:r>
      <w:r>
        <w:rPr>
          <w:spacing w:val="-6"/>
          <w:sz w:val="28"/>
        </w:rPr>
        <w:t> </w:t>
      </w:r>
      <w:r>
        <w:rPr>
          <w:sz w:val="28"/>
        </w:rPr>
        <w:t>the</w:t>
      </w:r>
      <w:r>
        <w:rPr>
          <w:spacing w:val="-5"/>
          <w:sz w:val="28"/>
        </w:rPr>
        <w:t> </w:t>
      </w:r>
      <w:r>
        <w:rPr>
          <w:sz w:val="28"/>
        </w:rPr>
        <w:t>recommendations</w:t>
      </w:r>
      <w:r>
        <w:rPr>
          <w:spacing w:val="-6"/>
          <w:sz w:val="28"/>
        </w:rPr>
        <w:t> </w:t>
      </w:r>
      <w:r>
        <w:rPr>
          <w:sz w:val="28"/>
        </w:rPr>
        <w:t>from our 2022-2023 Annual Report, the Commissions note that a small number</w:t>
      </w:r>
    </w:p>
    <w:p>
      <w:pPr>
        <w:pStyle w:val="BodyText"/>
        <w:spacing w:line="225" w:lineRule="auto"/>
        <w:ind w:left="1853" w:right="1171"/>
      </w:pPr>
      <w:r>
        <w:rPr/>
        <mc:AlternateContent>
          <mc:Choice Requires="wps">
            <w:drawing>
              <wp:anchor distT="0" distB="0" distL="0" distR="0" allowOverlap="1" layoutInCell="1" locked="0" behindDoc="1" simplePos="0" relativeHeight="487621120">
                <wp:simplePos x="0" y="0"/>
                <wp:positionH relativeFrom="page">
                  <wp:posOffset>719996</wp:posOffset>
                </wp:positionH>
                <wp:positionV relativeFrom="paragraph">
                  <wp:posOffset>1051135</wp:posOffset>
                </wp:positionV>
                <wp:extent cx="6120130" cy="1270"/>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82.766548pt;width:481.9pt;height:.1pt;mso-position-horizontal-relative:page;mso-position-vertical-relative:paragraph;z-index:-15695360;mso-wrap-distance-left:0;mso-wrap-distance-right:0" id="docshape75" coordorigin="1134,1655" coordsize="9638,0" path="m10772,1655l1134,1655e" filled="false" stroked="true" strokeweight="1pt" strokecolor="#393b80">
                <v:path arrowok="t"/>
                <v:stroke dashstyle="solid"/>
                <w10:wrap type="topAndBottom"/>
              </v:shape>
            </w:pict>
          </mc:Fallback>
        </mc:AlternateContent>
      </w:r>
      <w:r>
        <w:rPr/>
        <w:t>had</w:t>
      </w:r>
      <w:r>
        <w:rPr>
          <w:spacing w:val="-7"/>
        </w:rPr>
        <w:t> </w:t>
      </w:r>
      <w:r>
        <w:rPr/>
        <w:t>been</w:t>
      </w:r>
      <w:r>
        <w:rPr>
          <w:spacing w:val="-7"/>
        </w:rPr>
        <w:t> </w:t>
      </w:r>
      <w:r>
        <w:rPr/>
        <w:t>progressed</w:t>
      </w:r>
      <w:r>
        <w:rPr>
          <w:spacing w:val="-7"/>
        </w:rPr>
        <w:t> </w:t>
      </w:r>
      <w:r>
        <w:rPr/>
        <w:t>by</w:t>
      </w:r>
      <w:r>
        <w:rPr>
          <w:spacing w:val="-6"/>
        </w:rPr>
        <w:t> </w:t>
      </w:r>
      <w:r>
        <w:rPr/>
        <w:t>the</w:t>
      </w:r>
      <w:r>
        <w:rPr>
          <w:spacing w:val="-6"/>
        </w:rPr>
        <w:t> </w:t>
      </w:r>
      <w:r>
        <w:rPr/>
        <w:t>UK</w:t>
      </w:r>
      <w:r>
        <w:rPr>
          <w:spacing w:val="-6"/>
        </w:rPr>
        <w:t> </w:t>
      </w:r>
      <w:r>
        <w:rPr/>
        <w:t>Government</w:t>
      </w:r>
      <w:r>
        <w:rPr>
          <w:spacing w:val="-6"/>
        </w:rPr>
        <w:t> </w:t>
      </w:r>
      <w:r>
        <w:rPr/>
        <w:t>and</w:t>
      </w:r>
      <w:r>
        <w:rPr>
          <w:spacing w:val="-7"/>
        </w:rPr>
        <w:t> </w:t>
      </w:r>
      <w:r>
        <w:rPr/>
        <w:t>NI</w:t>
      </w:r>
      <w:r>
        <w:rPr>
          <w:spacing w:val="-6"/>
        </w:rPr>
        <w:t> </w:t>
      </w:r>
      <w:r>
        <w:rPr/>
        <w:t>Executive,</w:t>
      </w:r>
      <w:r>
        <w:rPr>
          <w:spacing w:val="-6"/>
        </w:rPr>
        <w:t> </w:t>
      </w:r>
      <w:r>
        <w:rPr/>
        <w:t>however</w:t>
      </w:r>
      <w:r>
        <w:rPr>
          <w:spacing w:val="-6"/>
        </w:rPr>
        <w:t> </w:t>
      </w:r>
      <w:r>
        <w:rPr/>
        <w:t>the vast majority have only been partially progressed or not progressed. The Commissions welcome the restoration of devolved institutions in February 2024 and note that the preceding suspension impacted on progress by NI departments across a range of areas.</w:t>
      </w:r>
    </w:p>
    <w:p>
      <w:pPr>
        <w:spacing w:line="235" w:lineRule="auto" w:before="100"/>
        <w:ind w:left="1853" w:right="1171" w:firstLine="0"/>
        <w:jc w:val="left"/>
        <w:rPr>
          <w:sz w:val="18"/>
        </w:rPr>
      </w:pPr>
      <w:r>
        <w:rPr>
          <w:sz w:val="18"/>
        </w:rPr>
        <w:t>‘Ireland/Northern</w:t>
      </w:r>
      <w:r>
        <w:rPr>
          <w:spacing w:val="-5"/>
          <w:sz w:val="18"/>
        </w:rPr>
        <w:t> </w:t>
      </w:r>
      <w:r>
        <w:rPr>
          <w:sz w:val="18"/>
        </w:rPr>
        <w:t>Ireland</w:t>
      </w:r>
      <w:r>
        <w:rPr>
          <w:spacing w:val="-5"/>
          <w:sz w:val="18"/>
        </w:rPr>
        <w:t> </w:t>
      </w:r>
      <w:r>
        <w:rPr>
          <w:sz w:val="18"/>
        </w:rPr>
        <w:t>Protocol</w:t>
      </w:r>
      <w:r>
        <w:rPr>
          <w:spacing w:val="-5"/>
          <w:sz w:val="18"/>
        </w:rPr>
        <w:t> </w:t>
      </w:r>
      <w:r>
        <w:rPr>
          <w:sz w:val="18"/>
        </w:rPr>
        <w:t>of</w:t>
      </w:r>
      <w:r>
        <w:rPr>
          <w:spacing w:val="-5"/>
          <w:sz w:val="18"/>
        </w:rPr>
        <w:t> </w:t>
      </w:r>
      <w:r>
        <w:rPr>
          <w:sz w:val="18"/>
        </w:rPr>
        <w:t>the</w:t>
      </w:r>
      <w:r>
        <w:rPr>
          <w:spacing w:val="-4"/>
          <w:sz w:val="18"/>
        </w:rPr>
        <w:t> </w:t>
      </w:r>
      <w:r>
        <w:rPr>
          <w:sz w:val="18"/>
        </w:rPr>
        <w:t>European</w:t>
      </w:r>
      <w:r>
        <w:rPr>
          <w:spacing w:val="-5"/>
          <w:sz w:val="18"/>
        </w:rPr>
        <w:t> </w:t>
      </w:r>
      <w:r>
        <w:rPr>
          <w:sz w:val="18"/>
        </w:rPr>
        <w:t>Union</w:t>
      </w:r>
      <w:r>
        <w:rPr>
          <w:spacing w:val="-5"/>
          <w:sz w:val="18"/>
        </w:rPr>
        <w:t> </w:t>
      </w:r>
      <w:r>
        <w:rPr>
          <w:sz w:val="18"/>
        </w:rPr>
        <w:t>(EU)</w:t>
      </w:r>
      <w:r>
        <w:rPr>
          <w:spacing w:val="-5"/>
          <w:sz w:val="18"/>
        </w:rPr>
        <w:t> </w:t>
      </w:r>
      <w:r>
        <w:rPr>
          <w:sz w:val="18"/>
        </w:rPr>
        <w:t>Withdrawal</w:t>
      </w:r>
      <w:r>
        <w:rPr>
          <w:spacing w:val="-5"/>
          <w:sz w:val="18"/>
        </w:rPr>
        <w:t> </w:t>
      </w:r>
      <w:r>
        <w:rPr>
          <w:sz w:val="18"/>
        </w:rPr>
        <w:t>Agreement,</w:t>
      </w:r>
      <w:r>
        <w:rPr>
          <w:spacing w:val="-4"/>
          <w:sz w:val="18"/>
        </w:rPr>
        <w:t> </w:t>
      </w:r>
      <w:r>
        <w:rPr>
          <w:sz w:val="18"/>
        </w:rPr>
        <w:t>Article</w:t>
      </w:r>
      <w:r>
        <w:rPr>
          <w:spacing w:val="-4"/>
          <w:sz w:val="18"/>
        </w:rPr>
        <w:t> </w:t>
      </w:r>
      <w:r>
        <w:rPr>
          <w:sz w:val="18"/>
        </w:rPr>
        <w:t>2:</w:t>
      </w:r>
      <w:r>
        <w:rPr>
          <w:spacing w:val="-4"/>
          <w:sz w:val="18"/>
        </w:rPr>
        <w:t> </w:t>
      </w:r>
      <w:r>
        <w:rPr>
          <w:sz w:val="18"/>
        </w:rPr>
        <w:t>island</w:t>
      </w:r>
      <w:r>
        <w:rPr>
          <w:spacing w:val="-5"/>
          <w:sz w:val="18"/>
        </w:rPr>
        <w:t> </w:t>
      </w:r>
      <w:r>
        <w:rPr>
          <w:sz w:val="18"/>
        </w:rPr>
        <w:t>of</w:t>
      </w:r>
      <w:r>
        <w:rPr>
          <w:spacing w:val="-5"/>
          <w:sz w:val="18"/>
        </w:rPr>
        <w:t> </w:t>
      </w:r>
      <w:r>
        <w:rPr>
          <w:sz w:val="18"/>
        </w:rPr>
        <w:t>Ireland dimension Memorandum of Understanding’, March 2021.</w:t>
      </w:r>
    </w:p>
    <w:p>
      <w:pPr>
        <w:pStyle w:val="ListParagraph"/>
        <w:numPr>
          <w:ilvl w:val="0"/>
          <w:numId w:val="3"/>
        </w:numPr>
        <w:tabs>
          <w:tab w:pos="1853" w:val="left" w:leader="none"/>
        </w:tabs>
        <w:spacing w:line="235" w:lineRule="auto" w:before="1" w:after="0"/>
        <w:ind w:left="1853" w:right="1545" w:hanging="720"/>
        <w:jc w:val="left"/>
        <w:rPr>
          <w:sz w:val="18"/>
        </w:rPr>
      </w:pPr>
      <w:r>
        <w:rPr>
          <w:sz w:val="18"/>
        </w:rPr>
        <w:t>Irish Human Rights and Equality Commission, NI Human Rights Commission and Equality Commission for NI,</w:t>
      </w:r>
      <w:r>
        <w:rPr>
          <w:spacing w:val="40"/>
          <w:sz w:val="18"/>
        </w:rPr>
        <w:t> </w:t>
      </w:r>
      <w:r>
        <w:rPr>
          <w:sz w:val="18"/>
        </w:rPr>
        <w:t>‘</w:t>
      </w:r>
      <w:hyperlink r:id="rId62">
        <w:r>
          <w:rPr>
            <w:sz w:val="18"/>
          </w:rPr>
          <w:t>Equality</w:t>
        </w:r>
        <w:r>
          <w:rPr>
            <w:spacing w:val="-3"/>
            <w:sz w:val="18"/>
          </w:rPr>
          <w:t> </w:t>
        </w:r>
        <w:r>
          <w:rPr>
            <w:sz w:val="18"/>
          </w:rPr>
          <w:t>and</w:t>
        </w:r>
        <w:r>
          <w:rPr>
            <w:spacing w:val="-4"/>
            <w:sz w:val="18"/>
          </w:rPr>
          <w:t> </w:t>
        </w:r>
        <w:r>
          <w:rPr>
            <w:sz w:val="18"/>
          </w:rPr>
          <w:t>Human</w:t>
        </w:r>
        <w:r>
          <w:rPr>
            <w:spacing w:val="-4"/>
            <w:sz w:val="18"/>
          </w:rPr>
          <w:t> </w:t>
        </w:r>
        <w:r>
          <w:rPr>
            <w:sz w:val="18"/>
          </w:rPr>
          <w:t>Rights</w:t>
        </w:r>
        <w:r>
          <w:rPr>
            <w:spacing w:val="-4"/>
            <w:sz w:val="18"/>
          </w:rPr>
          <w:t> </w:t>
        </w:r>
        <w:r>
          <w:rPr>
            <w:sz w:val="18"/>
          </w:rPr>
          <w:t>on</w:t>
        </w:r>
        <w:r>
          <w:rPr>
            <w:spacing w:val="-4"/>
            <w:sz w:val="18"/>
          </w:rPr>
          <w:t> </w:t>
        </w:r>
        <w:r>
          <w:rPr>
            <w:sz w:val="18"/>
          </w:rPr>
          <w:t>the</w:t>
        </w:r>
        <w:r>
          <w:rPr>
            <w:spacing w:val="-3"/>
            <w:sz w:val="18"/>
          </w:rPr>
          <w:t> </w:t>
        </w:r>
        <w:r>
          <w:rPr>
            <w:sz w:val="18"/>
          </w:rPr>
          <w:t>Island</w:t>
        </w:r>
        <w:r>
          <w:rPr>
            <w:spacing w:val="-4"/>
            <w:sz w:val="18"/>
          </w:rPr>
          <w:t> </w:t>
        </w:r>
        <w:r>
          <w:rPr>
            <w:sz w:val="18"/>
          </w:rPr>
          <w:t>of</w:t>
        </w:r>
        <w:r>
          <w:rPr>
            <w:spacing w:val="-4"/>
            <w:sz w:val="18"/>
          </w:rPr>
          <w:t> </w:t>
        </w:r>
        <w:r>
          <w:rPr>
            <w:sz w:val="18"/>
          </w:rPr>
          <w:t>Ireland</w:t>
        </w:r>
        <w:r>
          <w:rPr>
            <w:spacing w:val="-4"/>
            <w:sz w:val="18"/>
          </w:rPr>
          <w:t> </w:t>
        </w:r>
        <w:r>
          <w:rPr>
            <w:sz w:val="18"/>
          </w:rPr>
          <w:t>after</w:t>
        </w:r>
        <w:r>
          <w:rPr>
            <w:spacing w:val="-3"/>
            <w:sz w:val="18"/>
          </w:rPr>
          <w:t> </w:t>
        </w:r>
        <w:r>
          <w:rPr>
            <w:sz w:val="18"/>
          </w:rPr>
          <w:t>Brexit</w:t>
        </w:r>
      </w:hyperlink>
      <w:r>
        <w:rPr>
          <w:sz w:val="18"/>
        </w:rPr>
        <w:t>:</w:t>
      </w:r>
      <w:r>
        <w:rPr>
          <w:spacing w:val="-3"/>
          <w:sz w:val="18"/>
        </w:rPr>
        <w:t> </w:t>
      </w:r>
      <w:r>
        <w:rPr>
          <w:sz w:val="18"/>
        </w:rPr>
        <w:t>Annual</w:t>
      </w:r>
      <w:r>
        <w:rPr>
          <w:spacing w:val="-4"/>
          <w:sz w:val="18"/>
        </w:rPr>
        <w:t> </w:t>
      </w:r>
      <w:r>
        <w:rPr>
          <w:sz w:val="18"/>
        </w:rPr>
        <w:t>joint</w:t>
      </w:r>
      <w:r>
        <w:rPr>
          <w:spacing w:val="-3"/>
          <w:sz w:val="18"/>
        </w:rPr>
        <w:t> </w:t>
      </w:r>
      <w:r>
        <w:rPr>
          <w:sz w:val="18"/>
        </w:rPr>
        <w:t>report</w:t>
      </w:r>
      <w:r>
        <w:rPr>
          <w:spacing w:val="-3"/>
          <w:sz w:val="18"/>
        </w:rPr>
        <w:t> </w:t>
      </w:r>
      <w:r>
        <w:rPr>
          <w:sz w:val="18"/>
        </w:rPr>
        <w:t>of</w:t>
      </w:r>
      <w:r>
        <w:rPr>
          <w:spacing w:val="-4"/>
          <w:sz w:val="18"/>
        </w:rPr>
        <w:t> </w:t>
      </w:r>
      <w:r>
        <w:rPr>
          <w:sz w:val="18"/>
        </w:rPr>
        <w:t>IHREC,</w:t>
      </w:r>
      <w:r>
        <w:rPr>
          <w:spacing w:val="-3"/>
          <w:sz w:val="18"/>
        </w:rPr>
        <w:t> </w:t>
      </w:r>
      <w:r>
        <w:rPr>
          <w:sz w:val="18"/>
        </w:rPr>
        <w:t>ECNI</w:t>
      </w:r>
      <w:r>
        <w:rPr>
          <w:spacing w:val="-3"/>
          <w:sz w:val="18"/>
        </w:rPr>
        <w:t> </w:t>
      </w:r>
      <w:r>
        <w:rPr>
          <w:sz w:val="18"/>
        </w:rPr>
        <w:t>and</w:t>
      </w:r>
      <w:r>
        <w:rPr>
          <w:spacing w:val="-4"/>
          <w:sz w:val="18"/>
        </w:rPr>
        <w:t> </w:t>
      </w:r>
      <w:r>
        <w:rPr>
          <w:sz w:val="18"/>
        </w:rPr>
        <w:t>NIHRC</w:t>
      </w:r>
      <w:r>
        <w:rPr>
          <w:spacing w:val="-4"/>
          <w:sz w:val="18"/>
        </w:rPr>
        <w:t> </w:t>
      </w:r>
      <w:r>
        <w:rPr>
          <w:sz w:val="18"/>
        </w:rPr>
        <w:t>on</w:t>
      </w:r>
      <w:r>
        <w:rPr>
          <w:spacing w:val="-4"/>
          <w:sz w:val="18"/>
        </w:rPr>
        <w:t> </w:t>
      </w:r>
      <w:r>
        <w:rPr>
          <w:sz w:val="18"/>
        </w:rPr>
        <w:t>the</w:t>
      </w:r>
    </w:p>
    <w:p>
      <w:pPr>
        <w:spacing w:line="235" w:lineRule="auto" w:before="2"/>
        <w:ind w:left="1853" w:right="1171" w:firstLine="0"/>
        <w:jc w:val="left"/>
        <w:rPr>
          <w:sz w:val="18"/>
        </w:rPr>
      </w:pPr>
      <w:r>
        <w:rPr>
          <w:sz w:val="18"/>
        </w:rPr>
        <w:t>implementation</w:t>
      </w:r>
      <w:r>
        <w:rPr>
          <w:spacing w:val="-5"/>
          <w:sz w:val="18"/>
        </w:rPr>
        <w:t> </w:t>
      </w:r>
      <w:r>
        <w:rPr>
          <w:sz w:val="18"/>
        </w:rPr>
        <w:t>of</w:t>
      </w:r>
      <w:r>
        <w:rPr>
          <w:spacing w:val="-5"/>
          <w:sz w:val="18"/>
        </w:rPr>
        <w:t> </w:t>
      </w:r>
      <w:r>
        <w:rPr>
          <w:sz w:val="18"/>
        </w:rPr>
        <w:t>Article</w:t>
      </w:r>
      <w:r>
        <w:rPr>
          <w:spacing w:val="-5"/>
          <w:sz w:val="18"/>
        </w:rPr>
        <w:t> </w:t>
      </w:r>
      <w:r>
        <w:rPr>
          <w:sz w:val="18"/>
        </w:rPr>
        <w:t>2</w:t>
      </w:r>
      <w:r>
        <w:rPr>
          <w:spacing w:val="-5"/>
          <w:sz w:val="18"/>
        </w:rPr>
        <w:t> </w:t>
      </w:r>
      <w:r>
        <w:rPr>
          <w:sz w:val="18"/>
        </w:rPr>
        <w:t>of</w:t>
      </w:r>
      <w:r>
        <w:rPr>
          <w:spacing w:val="-5"/>
          <w:sz w:val="18"/>
        </w:rPr>
        <w:t> </w:t>
      </w:r>
      <w:r>
        <w:rPr>
          <w:sz w:val="18"/>
        </w:rPr>
        <w:t>the</w:t>
      </w:r>
      <w:r>
        <w:rPr>
          <w:spacing w:val="-5"/>
          <w:sz w:val="18"/>
        </w:rPr>
        <w:t> </w:t>
      </w:r>
      <w:r>
        <w:rPr>
          <w:sz w:val="18"/>
        </w:rPr>
        <w:t>Ireland/Northern</w:t>
      </w:r>
      <w:r>
        <w:rPr>
          <w:spacing w:val="-5"/>
          <w:sz w:val="18"/>
        </w:rPr>
        <w:t> </w:t>
      </w:r>
      <w:r>
        <w:rPr>
          <w:sz w:val="18"/>
        </w:rPr>
        <w:t>Ireland</w:t>
      </w:r>
      <w:r>
        <w:rPr>
          <w:spacing w:val="-5"/>
          <w:sz w:val="18"/>
        </w:rPr>
        <w:t> </w:t>
      </w:r>
      <w:r>
        <w:rPr>
          <w:sz w:val="18"/>
        </w:rPr>
        <w:t>Protocol</w:t>
      </w:r>
      <w:r>
        <w:rPr>
          <w:spacing w:val="-5"/>
          <w:sz w:val="18"/>
        </w:rPr>
        <w:t> </w:t>
      </w:r>
      <w:r>
        <w:rPr>
          <w:sz w:val="18"/>
        </w:rPr>
        <w:t>October</w:t>
      </w:r>
      <w:r>
        <w:rPr>
          <w:spacing w:val="-5"/>
          <w:sz w:val="18"/>
        </w:rPr>
        <w:t> </w:t>
      </w:r>
      <w:r>
        <w:rPr>
          <w:sz w:val="18"/>
        </w:rPr>
        <w:t>2022-September</w:t>
      </w:r>
      <w:r>
        <w:rPr>
          <w:spacing w:val="-5"/>
          <w:sz w:val="18"/>
        </w:rPr>
        <w:t> </w:t>
      </w:r>
      <w:r>
        <w:rPr>
          <w:sz w:val="18"/>
        </w:rPr>
        <w:t>2023’</w:t>
      </w:r>
      <w:r>
        <w:rPr>
          <w:spacing w:val="-5"/>
          <w:sz w:val="18"/>
        </w:rPr>
        <w:t> </w:t>
      </w:r>
      <w:r>
        <w:rPr>
          <w:sz w:val="18"/>
        </w:rPr>
        <w:t>(IHREC,</w:t>
      </w:r>
      <w:r>
        <w:rPr>
          <w:spacing w:val="-5"/>
          <w:sz w:val="18"/>
        </w:rPr>
        <w:t> </w:t>
      </w:r>
      <w:r>
        <w:rPr>
          <w:sz w:val="18"/>
        </w:rPr>
        <w:t>ECNI</w:t>
      </w:r>
      <w:r>
        <w:rPr>
          <w:spacing w:val="-5"/>
          <w:sz w:val="18"/>
        </w:rPr>
        <w:t> </w:t>
      </w:r>
      <w:r>
        <w:rPr>
          <w:sz w:val="18"/>
        </w:rPr>
        <w:t>and NIHRC, 2023).</w:t>
      </w:r>
    </w:p>
    <w:p>
      <w:pPr>
        <w:pStyle w:val="ListParagraph"/>
        <w:numPr>
          <w:ilvl w:val="0"/>
          <w:numId w:val="3"/>
        </w:numPr>
        <w:tabs>
          <w:tab w:pos="1853" w:val="left" w:leader="none"/>
        </w:tabs>
        <w:spacing w:line="216" w:lineRule="exact" w:before="0" w:after="0"/>
        <w:ind w:left="1853" w:right="0" w:hanging="720"/>
        <w:jc w:val="left"/>
        <w:rPr>
          <w:sz w:val="18"/>
        </w:rPr>
      </w:pPr>
      <w:r>
        <w:rPr>
          <w:sz w:val="18"/>
        </w:rPr>
        <w:t>The</w:t>
      </w:r>
      <w:r>
        <w:rPr>
          <w:spacing w:val="-5"/>
          <w:sz w:val="18"/>
        </w:rPr>
        <w:t> </w:t>
      </w:r>
      <w:r>
        <w:rPr>
          <w:sz w:val="18"/>
        </w:rPr>
        <w:t>Specialised</w:t>
      </w:r>
      <w:r>
        <w:rPr>
          <w:spacing w:val="-5"/>
          <w:sz w:val="18"/>
        </w:rPr>
        <w:t> </w:t>
      </w:r>
      <w:r>
        <w:rPr>
          <w:sz w:val="18"/>
        </w:rPr>
        <w:t>Committee</w:t>
      </w:r>
      <w:r>
        <w:rPr>
          <w:spacing w:val="-5"/>
          <w:sz w:val="18"/>
        </w:rPr>
        <w:t> </w:t>
      </w:r>
      <w:r>
        <w:rPr>
          <w:sz w:val="18"/>
        </w:rPr>
        <w:t>is</w:t>
      </w:r>
      <w:r>
        <w:rPr>
          <w:spacing w:val="-5"/>
          <w:sz w:val="18"/>
        </w:rPr>
        <w:t> </w:t>
      </w:r>
      <w:r>
        <w:rPr>
          <w:sz w:val="18"/>
        </w:rPr>
        <w:t>co-chaired</w:t>
      </w:r>
      <w:r>
        <w:rPr>
          <w:spacing w:val="-5"/>
          <w:sz w:val="18"/>
        </w:rPr>
        <w:t> </w:t>
      </w:r>
      <w:r>
        <w:rPr>
          <w:sz w:val="18"/>
        </w:rPr>
        <w:t>by</w:t>
      </w:r>
      <w:r>
        <w:rPr>
          <w:spacing w:val="-4"/>
          <w:sz w:val="18"/>
        </w:rPr>
        <w:t> </w:t>
      </w:r>
      <w:r>
        <w:rPr>
          <w:sz w:val="18"/>
        </w:rPr>
        <w:t>the</w:t>
      </w:r>
      <w:r>
        <w:rPr>
          <w:spacing w:val="-5"/>
          <w:sz w:val="18"/>
        </w:rPr>
        <w:t> </w:t>
      </w:r>
      <w:r>
        <w:rPr>
          <w:sz w:val="18"/>
        </w:rPr>
        <w:t>UK</w:t>
      </w:r>
      <w:r>
        <w:rPr>
          <w:spacing w:val="-4"/>
          <w:sz w:val="18"/>
        </w:rPr>
        <w:t> </w:t>
      </w:r>
      <w:r>
        <w:rPr>
          <w:sz w:val="18"/>
        </w:rPr>
        <w:t>and</w:t>
      </w:r>
      <w:r>
        <w:rPr>
          <w:spacing w:val="-5"/>
          <w:sz w:val="18"/>
        </w:rPr>
        <w:t> </w:t>
      </w:r>
      <w:r>
        <w:rPr>
          <w:sz w:val="18"/>
        </w:rPr>
        <w:t>EU</w:t>
      </w:r>
      <w:r>
        <w:rPr>
          <w:spacing w:val="-5"/>
          <w:sz w:val="18"/>
        </w:rPr>
        <w:t> </w:t>
      </w:r>
      <w:r>
        <w:rPr>
          <w:sz w:val="18"/>
        </w:rPr>
        <w:t>and</w:t>
      </w:r>
      <w:r>
        <w:rPr>
          <w:spacing w:val="-5"/>
          <w:sz w:val="18"/>
        </w:rPr>
        <w:t> </w:t>
      </w:r>
      <w:r>
        <w:rPr>
          <w:sz w:val="18"/>
        </w:rPr>
        <w:t>can</w:t>
      </w:r>
      <w:r>
        <w:rPr>
          <w:spacing w:val="-5"/>
          <w:sz w:val="18"/>
        </w:rPr>
        <w:t> </w:t>
      </w:r>
      <w:r>
        <w:rPr>
          <w:sz w:val="18"/>
        </w:rPr>
        <w:t>draw</w:t>
      </w:r>
      <w:r>
        <w:rPr>
          <w:spacing w:val="-5"/>
          <w:sz w:val="18"/>
        </w:rPr>
        <w:t> </w:t>
      </w:r>
      <w:r>
        <w:rPr>
          <w:sz w:val="18"/>
        </w:rPr>
        <w:t>up</w:t>
      </w:r>
      <w:r>
        <w:rPr>
          <w:spacing w:val="-5"/>
          <w:sz w:val="18"/>
        </w:rPr>
        <w:t> </w:t>
      </w:r>
      <w:r>
        <w:rPr>
          <w:sz w:val="18"/>
        </w:rPr>
        <w:t>draft</w:t>
      </w:r>
      <w:r>
        <w:rPr>
          <w:spacing w:val="-4"/>
          <w:sz w:val="18"/>
        </w:rPr>
        <w:t> </w:t>
      </w:r>
      <w:r>
        <w:rPr>
          <w:sz w:val="18"/>
        </w:rPr>
        <w:t>decisions</w:t>
      </w:r>
      <w:r>
        <w:rPr>
          <w:spacing w:val="-6"/>
          <w:sz w:val="18"/>
        </w:rPr>
        <w:t> </w:t>
      </w:r>
      <w:r>
        <w:rPr>
          <w:sz w:val="18"/>
        </w:rPr>
        <w:t>and</w:t>
      </w:r>
      <w:r>
        <w:rPr>
          <w:spacing w:val="-5"/>
          <w:sz w:val="18"/>
        </w:rPr>
        <w:t> </w:t>
      </w:r>
      <w:r>
        <w:rPr>
          <w:spacing w:val="-2"/>
          <w:sz w:val="18"/>
        </w:rPr>
        <w:t>recommendations</w:t>
      </w:r>
    </w:p>
    <w:p>
      <w:pPr>
        <w:spacing w:line="235" w:lineRule="auto" w:before="1"/>
        <w:ind w:left="1853" w:right="1301" w:firstLine="0"/>
        <w:jc w:val="left"/>
        <w:rPr>
          <w:sz w:val="18"/>
        </w:rPr>
      </w:pPr>
      <w:r>
        <w:rPr>
          <w:sz w:val="18"/>
        </w:rPr>
        <w:t>and</w:t>
      </w:r>
      <w:r>
        <w:rPr>
          <w:spacing w:val="-6"/>
          <w:sz w:val="18"/>
        </w:rPr>
        <w:t> </w:t>
      </w:r>
      <w:r>
        <w:rPr>
          <w:sz w:val="18"/>
        </w:rPr>
        <w:t>refer</w:t>
      </w:r>
      <w:r>
        <w:rPr>
          <w:spacing w:val="-5"/>
          <w:sz w:val="18"/>
        </w:rPr>
        <w:t> </w:t>
      </w:r>
      <w:r>
        <w:rPr>
          <w:sz w:val="18"/>
        </w:rPr>
        <w:t>them</w:t>
      </w:r>
      <w:r>
        <w:rPr>
          <w:spacing w:val="-5"/>
          <w:sz w:val="18"/>
        </w:rPr>
        <w:t> </w:t>
      </w:r>
      <w:r>
        <w:rPr>
          <w:sz w:val="18"/>
        </w:rPr>
        <w:t>for</w:t>
      </w:r>
      <w:r>
        <w:rPr>
          <w:spacing w:val="-5"/>
          <w:sz w:val="18"/>
        </w:rPr>
        <w:t> </w:t>
      </w:r>
      <w:r>
        <w:rPr>
          <w:sz w:val="18"/>
        </w:rPr>
        <w:t>adoption</w:t>
      </w:r>
      <w:r>
        <w:rPr>
          <w:spacing w:val="-6"/>
          <w:sz w:val="18"/>
        </w:rPr>
        <w:t> </w:t>
      </w:r>
      <w:r>
        <w:rPr>
          <w:sz w:val="18"/>
        </w:rPr>
        <w:t>by</w:t>
      </w:r>
      <w:r>
        <w:rPr>
          <w:spacing w:val="-5"/>
          <w:sz w:val="18"/>
        </w:rPr>
        <w:t> </w:t>
      </w:r>
      <w:r>
        <w:rPr>
          <w:sz w:val="18"/>
        </w:rPr>
        <w:t>the</w:t>
      </w:r>
      <w:r>
        <w:rPr>
          <w:spacing w:val="-5"/>
          <w:sz w:val="18"/>
        </w:rPr>
        <w:t> </w:t>
      </w:r>
      <w:r>
        <w:rPr>
          <w:sz w:val="18"/>
        </w:rPr>
        <w:t>UK-EU</w:t>
      </w:r>
      <w:r>
        <w:rPr>
          <w:spacing w:val="-5"/>
          <w:sz w:val="18"/>
        </w:rPr>
        <w:t> </w:t>
      </w:r>
      <w:r>
        <w:rPr>
          <w:sz w:val="18"/>
        </w:rPr>
        <w:t>Withdrawal</w:t>
      </w:r>
      <w:r>
        <w:rPr>
          <w:spacing w:val="-6"/>
          <w:sz w:val="18"/>
        </w:rPr>
        <w:t> </w:t>
      </w:r>
      <w:r>
        <w:rPr>
          <w:sz w:val="18"/>
        </w:rPr>
        <w:t>Agreement</w:t>
      </w:r>
      <w:r>
        <w:rPr>
          <w:spacing w:val="-5"/>
          <w:sz w:val="18"/>
        </w:rPr>
        <w:t> </w:t>
      </w:r>
      <w:r>
        <w:rPr>
          <w:sz w:val="18"/>
        </w:rPr>
        <w:t>Joint</w:t>
      </w:r>
      <w:r>
        <w:rPr>
          <w:spacing w:val="-5"/>
          <w:sz w:val="18"/>
        </w:rPr>
        <w:t> </w:t>
      </w:r>
      <w:r>
        <w:rPr>
          <w:sz w:val="18"/>
        </w:rPr>
        <w:t>Committee.</w:t>
      </w:r>
      <w:r>
        <w:rPr>
          <w:spacing w:val="29"/>
          <w:sz w:val="18"/>
        </w:rPr>
        <w:t> </w:t>
      </w:r>
      <w:r>
        <w:rPr>
          <w:sz w:val="18"/>
        </w:rPr>
        <w:t>The</w:t>
      </w:r>
      <w:r>
        <w:rPr>
          <w:spacing w:val="-5"/>
          <w:sz w:val="18"/>
        </w:rPr>
        <w:t> </w:t>
      </w:r>
      <w:r>
        <w:rPr>
          <w:sz w:val="18"/>
        </w:rPr>
        <w:t>Joint</w:t>
      </w:r>
      <w:r>
        <w:rPr>
          <w:spacing w:val="-5"/>
          <w:sz w:val="18"/>
        </w:rPr>
        <w:t> </w:t>
      </w:r>
      <w:r>
        <w:rPr>
          <w:sz w:val="18"/>
        </w:rPr>
        <w:t>Committee</w:t>
      </w:r>
      <w:r>
        <w:rPr>
          <w:spacing w:val="-5"/>
          <w:sz w:val="18"/>
        </w:rPr>
        <w:t> </w:t>
      </w:r>
      <w:r>
        <w:rPr>
          <w:sz w:val="18"/>
        </w:rPr>
        <w:t>is</w:t>
      </w:r>
      <w:r>
        <w:rPr>
          <w:spacing w:val="-6"/>
          <w:sz w:val="18"/>
        </w:rPr>
        <w:t> </w:t>
      </w:r>
      <w:r>
        <w:rPr>
          <w:sz w:val="18"/>
        </w:rPr>
        <w:t>empowered to</w:t>
      </w:r>
      <w:r>
        <w:rPr>
          <w:spacing w:val="-4"/>
          <w:sz w:val="18"/>
        </w:rPr>
        <w:t> </w:t>
      </w:r>
      <w:r>
        <w:rPr>
          <w:sz w:val="18"/>
        </w:rPr>
        <w:t>make</w:t>
      </w:r>
      <w:r>
        <w:rPr>
          <w:spacing w:val="-3"/>
          <w:sz w:val="18"/>
        </w:rPr>
        <w:t> </w:t>
      </w:r>
      <w:r>
        <w:rPr>
          <w:sz w:val="18"/>
        </w:rPr>
        <w:t>decisions</w:t>
      </w:r>
      <w:r>
        <w:rPr>
          <w:spacing w:val="-4"/>
          <w:sz w:val="18"/>
        </w:rPr>
        <w:t> </w:t>
      </w:r>
      <w:r>
        <w:rPr>
          <w:sz w:val="18"/>
        </w:rPr>
        <w:t>in</w:t>
      </w:r>
      <w:r>
        <w:rPr>
          <w:spacing w:val="-4"/>
          <w:sz w:val="18"/>
        </w:rPr>
        <w:t> </w:t>
      </w:r>
      <w:r>
        <w:rPr>
          <w:sz w:val="18"/>
        </w:rPr>
        <w:t>respect</w:t>
      </w:r>
      <w:r>
        <w:rPr>
          <w:spacing w:val="-3"/>
          <w:sz w:val="18"/>
        </w:rPr>
        <w:t> </w:t>
      </w:r>
      <w:r>
        <w:rPr>
          <w:sz w:val="18"/>
        </w:rPr>
        <w:t>of</w:t>
      </w:r>
      <w:r>
        <w:rPr>
          <w:spacing w:val="-4"/>
          <w:sz w:val="18"/>
        </w:rPr>
        <w:t> </w:t>
      </w:r>
      <w:r>
        <w:rPr>
          <w:sz w:val="18"/>
        </w:rPr>
        <w:t>the</w:t>
      </w:r>
      <w:r>
        <w:rPr>
          <w:spacing w:val="-3"/>
          <w:sz w:val="18"/>
        </w:rPr>
        <w:t> </w:t>
      </w:r>
      <w:r>
        <w:rPr>
          <w:sz w:val="18"/>
        </w:rPr>
        <w:t>Withdrawal</w:t>
      </w:r>
      <w:r>
        <w:rPr>
          <w:spacing w:val="-4"/>
          <w:sz w:val="18"/>
        </w:rPr>
        <w:t> </w:t>
      </w:r>
      <w:r>
        <w:rPr>
          <w:sz w:val="18"/>
        </w:rPr>
        <w:t>Agreement</w:t>
      </w:r>
      <w:r>
        <w:rPr>
          <w:spacing w:val="-3"/>
          <w:sz w:val="18"/>
        </w:rPr>
        <w:t> </w:t>
      </w:r>
      <w:r>
        <w:rPr>
          <w:sz w:val="18"/>
        </w:rPr>
        <w:t>which</w:t>
      </w:r>
      <w:r>
        <w:rPr>
          <w:spacing w:val="-4"/>
          <w:sz w:val="18"/>
        </w:rPr>
        <w:t> </w:t>
      </w:r>
      <w:r>
        <w:rPr>
          <w:sz w:val="18"/>
        </w:rPr>
        <w:t>are</w:t>
      </w:r>
      <w:r>
        <w:rPr>
          <w:spacing w:val="-3"/>
          <w:sz w:val="18"/>
        </w:rPr>
        <w:t> </w:t>
      </w:r>
      <w:r>
        <w:rPr>
          <w:sz w:val="18"/>
        </w:rPr>
        <w:t>binding</w:t>
      </w:r>
      <w:r>
        <w:rPr>
          <w:spacing w:val="-3"/>
          <w:sz w:val="18"/>
        </w:rPr>
        <w:t> </w:t>
      </w:r>
      <w:r>
        <w:rPr>
          <w:sz w:val="18"/>
        </w:rPr>
        <w:t>on</w:t>
      </w:r>
      <w:r>
        <w:rPr>
          <w:spacing w:val="-4"/>
          <w:sz w:val="18"/>
        </w:rPr>
        <w:t> </w:t>
      </w:r>
      <w:r>
        <w:rPr>
          <w:sz w:val="18"/>
        </w:rPr>
        <w:t>the</w:t>
      </w:r>
      <w:r>
        <w:rPr>
          <w:spacing w:val="-3"/>
          <w:sz w:val="18"/>
        </w:rPr>
        <w:t> </w:t>
      </w:r>
      <w:r>
        <w:rPr>
          <w:sz w:val="18"/>
        </w:rPr>
        <w:t>EU</w:t>
      </w:r>
      <w:r>
        <w:rPr>
          <w:spacing w:val="-3"/>
          <w:sz w:val="18"/>
        </w:rPr>
        <w:t> </w:t>
      </w:r>
      <w:r>
        <w:rPr>
          <w:sz w:val="18"/>
        </w:rPr>
        <w:t>and</w:t>
      </w:r>
      <w:r>
        <w:rPr>
          <w:spacing w:val="-4"/>
          <w:sz w:val="18"/>
        </w:rPr>
        <w:t> </w:t>
      </w:r>
      <w:r>
        <w:rPr>
          <w:sz w:val="18"/>
        </w:rPr>
        <w:t>UK</w:t>
      </w:r>
      <w:r>
        <w:rPr>
          <w:spacing w:val="-3"/>
          <w:sz w:val="18"/>
        </w:rPr>
        <w:t> </w:t>
      </w:r>
      <w:r>
        <w:rPr>
          <w:sz w:val="18"/>
        </w:rPr>
        <w:t>and</w:t>
      </w:r>
      <w:r>
        <w:rPr>
          <w:spacing w:val="-4"/>
          <w:sz w:val="18"/>
        </w:rPr>
        <w:t> </w:t>
      </w:r>
      <w:r>
        <w:rPr>
          <w:sz w:val="18"/>
        </w:rPr>
        <w:t>have</w:t>
      </w:r>
      <w:r>
        <w:rPr>
          <w:spacing w:val="-3"/>
          <w:sz w:val="18"/>
        </w:rPr>
        <w:t> </w:t>
      </w:r>
      <w:r>
        <w:rPr>
          <w:sz w:val="18"/>
        </w:rPr>
        <w:t>the</w:t>
      </w:r>
      <w:r>
        <w:rPr>
          <w:spacing w:val="-3"/>
          <w:sz w:val="18"/>
        </w:rPr>
        <w:t> </w:t>
      </w:r>
      <w:r>
        <w:rPr>
          <w:sz w:val="18"/>
        </w:rPr>
        <w:t>same</w:t>
      </w:r>
      <w:r>
        <w:rPr>
          <w:spacing w:val="-3"/>
          <w:sz w:val="18"/>
        </w:rPr>
        <w:t> </w:t>
      </w:r>
      <w:r>
        <w:rPr>
          <w:sz w:val="18"/>
        </w:rPr>
        <w:t>legal effect as the Withdrawal Agreement. The Joint Committee can also make appropriate recommendations to the UK and EU. The Specialised Committee can make recommendations to the Joint Committee in respect of the functioning of the Windsor Framework.</w:t>
      </w:r>
    </w:p>
    <w:p>
      <w:pPr>
        <w:pStyle w:val="ListParagraph"/>
        <w:numPr>
          <w:ilvl w:val="0"/>
          <w:numId w:val="3"/>
        </w:numPr>
        <w:tabs>
          <w:tab w:pos="1853" w:val="left" w:leader="none"/>
        </w:tabs>
        <w:spacing w:line="218" w:lineRule="exact" w:before="0" w:after="0"/>
        <w:ind w:left="1853" w:right="0" w:hanging="720"/>
        <w:jc w:val="left"/>
        <w:rPr>
          <w:sz w:val="18"/>
        </w:rPr>
      </w:pPr>
      <w:r>
        <w:rPr>
          <w:sz w:val="18"/>
        </w:rPr>
        <w:t>Decision</w:t>
      </w:r>
      <w:r>
        <w:rPr>
          <w:spacing w:val="-6"/>
          <w:sz w:val="18"/>
        </w:rPr>
        <w:t> </w:t>
      </w:r>
      <w:r>
        <w:rPr>
          <w:sz w:val="18"/>
        </w:rPr>
        <w:t>No</w:t>
      </w:r>
      <w:r>
        <w:rPr>
          <w:spacing w:val="-5"/>
          <w:sz w:val="18"/>
        </w:rPr>
        <w:t> </w:t>
      </w:r>
      <w:r>
        <w:rPr>
          <w:sz w:val="18"/>
        </w:rPr>
        <w:t>1/2023</w:t>
      </w:r>
      <w:r>
        <w:rPr>
          <w:spacing w:val="-4"/>
          <w:sz w:val="18"/>
        </w:rPr>
        <w:t> </w:t>
      </w:r>
      <w:r>
        <w:rPr>
          <w:sz w:val="18"/>
        </w:rPr>
        <w:t>of</w:t>
      </w:r>
      <w:r>
        <w:rPr>
          <w:spacing w:val="-6"/>
          <w:sz w:val="18"/>
        </w:rPr>
        <w:t> </w:t>
      </w:r>
      <w:r>
        <w:rPr>
          <w:sz w:val="18"/>
        </w:rPr>
        <w:t>the</w:t>
      </w:r>
      <w:r>
        <w:rPr>
          <w:spacing w:val="-4"/>
          <w:sz w:val="18"/>
        </w:rPr>
        <w:t> </w:t>
      </w:r>
      <w:r>
        <w:rPr>
          <w:sz w:val="18"/>
        </w:rPr>
        <w:t>Joint</w:t>
      </w:r>
      <w:r>
        <w:rPr>
          <w:spacing w:val="-5"/>
          <w:sz w:val="18"/>
        </w:rPr>
        <w:t> </w:t>
      </w:r>
      <w:r>
        <w:rPr>
          <w:sz w:val="18"/>
        </w:rPr>
        <w:t>Committee</w:t>
      </w:r>
      <w:r>
        <w:rPr>
          <w:spacing w:val="-4"/>
          <w:sz w:val="18"/>
        </w:rPr>
        <w:t> </w:t>
      </w:r>
      <w:r>
        <w:rPr>
          <w:sz w:val="18"/>
        </w:rPr>
        <w:t>established</w:t>
      </w:r>
      <w:r>
        <w:rPr>
          <w:spacing w:val="-5"/>
          <w:sz w:val="18"/>
        </w:rPr>
        <w:t> </w:t>
      </w:r>
      <w:r>
        <w:rPr>
          <w:sz w:val="18"/>
        </w:rPr>
        <w:t>by</w:t>
      </w:r>
      <w:r>
        <w:rPr>
          <w:spacing w:val="-5"/>
          <w:sz w:val="18"/>
        </w:rPr>
        <w:t> </w:t>
      </w:r>
      <w:r>
        <w:rPr>
          <w:sz w:val="18"/>
        </w:rPr>
        <w:t>the</w:t>
      </w:r>
      <w:r>
        <w:rPr>
          <w:spacing w:val="-4"/>
          <w:sz w:val="18"/>
        </w:rPr>
        <w:t> </w:t>
      </w:r>
      <w:r>
        <w:rPr>
          <w:sz w:val="18"/>
        </w:rPr>
        <w:t>Agreement</w:t>
      </w:r>
      <w:r>
        <w:rPr>
          <w:spacing w:val="-4"/>
          <w:sz w:val="18"/>
        </w:rPr>
        <w:t> </w:t>
      </w:r>
      <w:r>
        <w:rPr>
          <w:sz w:val="18"/>
        </w:rPr>
        <w:t>on</w:t>
      </w:r>
      <w:r>
        <w:rPr>
          <w:spacing w:val="-6"/>
          <w:sz w:val="18"/>
        </w:rPr>
        <w:t> </w:t>
      </w:r>
      <w:r>
        <w:rPr>
          <w:sz w:val="18"/>
        </w:rPr>
        <w:t>the</w:t>
      </w:r>
      <w:r>
        <w:rPr>
          <w:spacing w:val="-4"/>
          <w:sz w:val="18"/>
        </w:rPr>
        <w:t> </w:t>
      </w:r>
      <w:r>
        <w:rPr>
          <w:sz w:val="18"/>
        </w:rPr>
        <w:t>Withdrawal</w:t>
      </w:r>
      <w:r>
        <w:rPr>
          <w:spacing w:val="-5"/>
          <w:sz w:val="18"/>
        </w:rPr>
        <w:t> </w:t>
      </w:r>
      <w:r>
        <w:rPr>
          <w:sz w:val="18"/>
        </w:rPr>
        <w:t>of</w:t>
      </w:r>
      <w:r>
        <w:rPr>
          <w:spacing w:val="-6"/>
          <w:sz w:val="18"/>
        </w:rPr>
        <w:t> </w:t>
      </w:r>
      <w:r>
        <w:rPr>
          <w:sz w:val="18"/>
        </w:rPr>
        <w:t>the</w:t>
      </w:r>
      <w:r>
        <w:rPr>
          <w:spacing w:val="-4"/>
          <w:sz w:val="18"/>
        </w:rPr>
        <w:t> </w:t>
      </w:r>
      <w:r>
        <w:rPr>
          <w:sz w:val="18"/>
        </w:rPr>
        <w:t>United</w:t>
      </w:r>
      <w:r>
        <w:rPr>
          <w:spacing w:val="-5"/>
          <w:sz w:val="18"/>
        </w:rPr>
        <w:t> </w:t>
      </w:r>
      <w:r>
        <w:rPr>
          <w:spacing w:val="-2"/>
          <w:sz w:val="18"/>
        </w:rPr>
        <w:t>Kingdom</w:t>
      </w:r>
    </w:p>
    <w:p>
      <w:pPr>
        <w:spacing w:line="235" w:lineRule="auto" w:before="2"/>
        <w:ind w:left="1853" w:right="1171" w:firstLine="0"/>
        <w:jc w:val="left"/>
        <w:rPr>
          <w:sz w:val="18"/>
        </w:rPr>
      </w:pPr>
      <w:r>
        <w:rPr>
          <w:sz w:val="18"/>
        </w:rPr>
        <w:t>of</w:t>
      </w:r>
      <w:r>
        <w:rPr>
          <w:spacing w:val="-4"/>
          <w:sz w:val="18"/>
        </w:rPr>
        <w:t> </w:t>
      </w:r>
      <w:r>
        <w:rPr>
          <w:sz w:val="18"/>
        </w:rPr>
        <w:t>Great</w:t>
      </w:r>
      <w:r>
        <w:rPr>
          <w:spacing w:val="-3"/>
          <w:sz w:val="18"/>
        </w:rPr>
        <w:t> </w:t>
      </w:r>
      <w:r>
        <w:rPr>
          <w:sz w:val="18"/>
        </w:rPr>
        <w:t>Britain</w:t>
      </w:r>
      <w:r>
        <w:rPr>
          <w:spacing w:val="-4"/>
          <w:sz w:val="18"/>
        </w:rPr>
        <w:t> </w:t>
      </w:r>
      <w:r>
        <w:rPr>
          <w:sz w:val="18"/>
        </w:rPr>
        <w:t>and</w:t>
      </w:r>
      <w:r>
        <w:rPr>
          <w:spacing w:val="-4"/>
          <w:sz w:val="18"/>
        </w:rPr>
        <w:t> </w:t>
      </w:r>
      <w:r>
        <w:rPr>
          <w:sz w:val="18"/>
        </w:rPr>
        <w:t>Northern</w:t>
      </w:r>
      <w:r>
        <w:rPr>
          <w:spacing w:val="-4"/>
          <w:sz w:val="18"/>
        </w:rPr>
        <w:t> </w:t>
      </w:r>
      <w:r>
        <w:rPr>
          <w:sz w:val="18"/>
        </w:rPr>
        <w:t>Ireland</w:t>
      </w:r>
      <w:r>
        <w:rPr>
          <w:spacing w:val="-4"/>
          <w:sz w:val="18"/>
        </w:rPr>
        <w:t> </w:t>
      </w:r>
      <w:r>
        <w:rPr>
          <w:sz w:val="18"/>
        </w:rPr>
        <w:t>from</w:t>
      </w:r>
      <w:r>
        <w:rPr>
          <w:spacing w:val="-3"/>
          <w:sz w:val="18"/>
        </w:rPr>
        <w:t> </w:t>
      </w:r>
      <w:r>
        <w:rPr>
          <w:sz w:val="18"/>
        </w:rPr>
        <w:t>the</w:t>
      </w:r>
      <w:r>
        <w:rPr>
          <w:spacing w:val="-3"/>
          <w:sz w:val="18"/>
        </w:rPr>
        <w:t> </w:t>
      </w:r>
      <w:r>
        <w:rPr>
          <w:sz w:val="18"/>
        </w:rPr>
        <w:t>European</w:t>
      </w:r>
      <w:r>
        <w:rPr>
          <w:spacing w:val="-4"/>
          <w:sz w:val="18"/>
        </w:rPr>
        <w:t> </w:t>
      </w:r>
      <w:r>
        <w:rPr>
          <w:sz w:val="18"/>
        </w:rPr>
        <w:t>Union</w:t>
      </w:r>
      <w:r>
        <w:rPr>
          <w:spacing w:val="-4"/>
          <w:sz w:val="18"/>
        </w:rPr>
        <w:t> </w:t>
      </w:r>
      <w:r>
        <w:rPr>
          <w:sz w:val="18"/>
        </w:rPr>
        <w:t>and</w:t>
      </w:r>
      <w:r>
        <w:rPr>
          <w:spacing w:val="-4"/>
          <w:sz w:val="18"/>
        </w:rPr>
        <w:t> </w:t>
      </w:r>
      <w:r>
        <w:rPr>
          <w:sz w:val="18"/>
        </w:rPr>
        <w:t>the</w:t>
      </w:r>
      <w:r>
        <w:rPr>
          <w:spacing w:val="-3"/>
          <w:sz w:val="18"/>
        </w:rPr>
        <w:t> </w:t>
      </w:r>
      <w:r>
        <w:rPr>
          <w:sz w:val="18"/>
        </w:rPr>
        <w:t>European</w:t>
      </w:r>
      <w:r>
        <w:rPr>
          <w:spacing w:val="-4"/>
          <w:sz w:val="18"/>
        </w:rPr>
        <w:t> </w:t>
      </w:r>
      <w:r>
        <w:rPr>
          <w:sz w:val="18"/>
        </w:rPr>
        <w:t>Atomic</w:t>
      </w:r>
      <w:r>
        <w:rPr>
          <w:spacing w:val="-3"/>
          <w:sz w:val="18"/>
        </w:rPr>
        <w:t> </w:t>
      </w:r>
      <w:r>
        <w:rPr>
          <w:sz w:val="18"/>
        </w:rPr>
        <w:t>Energy</w:t>
      </w:r>
      <w:r>
        <w:rPr>
          <w:spacing w:val="-3"/>
          <w:sz w:val="18"/>
        </w:rPr>
        <w:t> </w:t>
      </w:r>
      <w:r>
        <w:rPr>
          <w:sz w:val="18"/>
        </w:rPr>
        <w:t>Community</w:t>
      </w:r>
      <w:r>
        <w:rPr>
          <w:spacing w:val="-3"/>
          <w:sz w:val="18"/>
        </w:rPr>
        <w:t> </w:t>
      </w:r>
      <w:r>
        <w:rPr>
          <w:sz w:val="18"/>
        </w:rPr>
        <w:t>of</w:t>
      </w:r>
      <w:r>
        <w:rPr>
          <w:spacing w:val="-4"/>
          <w:sz w:val="18"/>
        </w:rPr>
        <w:t> </w:t>
      </w:r>
      <w:r>
        <w:rPr>
          <w:sz w:val="18"/>
        </w:rPr>
        <w:t>24</w:t>
      </w:r>
      <w:r>
        <w:rPr>
          <w:spacing w:val="-3"/>
          <w:sz w:val="18"/>
        </w:rPr>
        <w:t> </w:t>
      </w:r>
      <w:r>
        <w:rPr>
          <w:sz w:val="18"/>
        </w:rPr>
        <w:t>March 2023 laying down arrangements relating to the Windsor Framework; Joint Declaration No 1/2023 of the European Union and</w:t>
      </w:r>
      <w:r>
        <w:rPr>
          <w:spacing w:val="-2"/>
          <w:sz w:val="18"/>
        </w:rPr>
        <w:t> </w:t>
      </w:r>
      <w:r>
        <w:rPr>
          <w:sz w:val="18"/>
        </w:rPr>
        <w:t>the</w:t>
      </w:r>
      <w:r>
        <w:rPr>
          <w:spacing w:val="-1"/>
          <w:sz w:val="18"/>
        </w:rPr>
        <w:t> </w:t>
      </w:r>
      <w:r>
        <w:rPr>
          <w:sz w:val="18"/>
        </w:rPr>
        <w:t>United</w:t>
      </w:r>
      <w:r>
        <w:rPr>
          <w:spacing w:val="-2"/>
          <w:sz w:val="18"/>
        </w:rPr>
        <w:t> </w:t>
      </w:r>
      <w:r>
        <w:rPr>
          <w:sz w:val="18"/>
        </w:rPr>
        <w:t>Kingdom</w:t>
      </w:r>
      <w:r>
        <w:rPr>
          <w:spacing w:val="-1"/>
          <w:sz w:val="18"/>
        </w:rPr>
        <w:t> </w:t>
      </w:r>
      <w:r>
        <w:rPr>
          <w:sz w:val="18"/>
        </w:rPr>
        <w:t>in</w:t>
      </w:r>
      <w:r>
        <w:rPr>
          <w:spacing w:val="-2"/>
          <w:sz w:val="18"/>
        </w:rPr>
        <w:t> </w:t>
      </w:r>
      <w:r>
        <w:rPr>
          <w:sz w:val="18"/>
        </w:rPr>
        <w:t>the</w:t>
      </w:r>
      <w:r>
        <w:rPr>
          <w:spacing w:val="-1"/>
          <w:sz w:val="18"/>
        </w:rPr>
        <w:t> </w:t>
      </w:r>
      <w:r>
        <w:rPr>
          <w:sz w:val="18"/>
        </w:rPr>
        <w:t>Joint</w:t>
      </w:r>
      <w:r>
        <w:rPr>
          <w:spacing w:val="-1"/>
          <w:sz w:val="18"/>
        </w:rPr>
        <w:t> </w:t>
      </w:r>
      <w:r>
        <w:rPr>
          <w:sz w:val="18"/>
        </w:rPr>
        <w:t>Committee</w:t>
      </w:r>
      <w:r>
        <w:rPr>
          <w:spacing w:val="-1"/>
          <w:sz w:val="18"/>
        </w:rPr>
        <w:t> </w:t>
      </w:r>
      <w:r>
        <w:rPr>
          <w:sz w:val="18"/>
        </w:rPr>
        <w:t>established</w:t>
      </w:r>
      <w:r>
        <w:rPr>
          <w:spacing w:val="-2"/>
          <w:sz w:val="18"/>
        </w:rPr>
        <w:t> </w:t>
      </w:r>
      <w:r>
        <w:rPr>
          <w:sz w:val="18"/>
        </w:rPr>
        <w:t>by</w:t>
      </w:r>
      <w:r>
        <w:rPr>
          <w:spacing w:val="-1"/>
          <w:sz w:val="18"/>
        </w:rPr>
        <w:t> </w:t>
      </w:r>
      <w:r>
        <w:rPr>
          <w:sz w:val="18"/>
        </w:rPr>
        <w:t>the</w:t>
      </w:r>
      <w:r>
        <w:rPr>
          <w:spacing w:val="-1"/>
          <w:sz w:val="18"/>
        </w:rPr>
        <w:t> </w:t>
      </w:r>
      <w:r>
        <w:rPr>
          <w:sz w:val="18"/>
        </w:rPr>
        <w:t>Agreement</w:t>
      </w:r>
      <w:r>
        <w:rPr>
          <w:spacing w:val="-1"/>
          <w:sz w:val="18"/>
        </w:rPr>
        <w:t> </w:t>
      </w:r>
      <w:r>
        <w:rPr>
          <w:sz w:val="18"/>
        </w:rPr>
        <w:t>on</w:t>
      </w:r>
      <w:r>
        <w:rPr>
          <w:spacing w:val="-2"/>
          <w:sz w:val="18"/>
        </w:rPr>
        <w:t> </w:t>
      </w:r>
      <w:r>
        <w:rPr>
          <w:sz w:val="18"/>
        </w:rPr>
        <w:t>the</w:t>
      </w:r>
      <w:r>
        <w:rPr>
          <w:spacing w:val="-1"/>
          <w:sz w:val="18"/>
        </w:rPr>
        <w:t> </w:t>
      </w:r>
      <w:r>
        <w:rPr>
          <w:sz w:val="18"/>
        </w:rPr>
        <w:t>Withdrawal</w:t>
      </w:r>
      <w:r>
        <w:rPr>
          <w:spacing w:val="-2"/>
          <w:sz w:val="18"/>
        </w:rPr>
        <w:t> </w:t>
      </w:r>
      <w:r>
        <w:rPr>
          <w:sz w:val="18"/>
        </w:rPr>
        <w:t>of</w:t>
      </w:r>
      <w:r>
        <w:rPr>
          <w:spacing w:val="-2"/>
          <w:sz w:val="18"/>
        </w:rPr>
        <w:t> </w:t>
      </w:r>
      <w:r>
        <w:rPr>
          <w:sz w:val="18"/>
        </w:rPr>
        <w:t>the</w:t>
      </w:r>
      <w:r>
        <w:rPr>
          <w:spacing w:val="-1"/>
          <w:sz w:val="18"/>
        </w:rPr>
        <w:t> </w:t>
      </w:r>
      <w:r>
        <w:rPr>
          <w:sz w:val="18"/>
        </w:rPr>
        <w:t>United</w:t>
      </w:r>
      <w:r>
        <w:rPr>
          <w:spacing w:val="-2"/>
          <w:sz w:val="18"/>
        </w:rPr>
        <w:t> </w:t>
      </w:r>
      <w:r>
        <w:rPr>
          <w:sz w:val="18"/>
        </w:rPr>
        <w:t>Kingdom of</w:t>
      </w:r>
      <w:r>
        <w:rPr>
          <w:spacing w:val="-4"/>
          <w:sz w:val="18"/>
        </w:rPr>
        <w:t> </w:t>
      </w:r>
      <w:r>
        <w:rPr>
          <w:sz w:val="18"/>
        </w:rPr>
        <w:t>Great</w:t>
      </w:r>
      <w:r>
        <w:rPr>
          <w:spacing w:val="-3"/>
          <w:sz w:val="18"/>
        </w:rPr>
        <w:t> </w:t>
      </w:r>
      <w:r>
        <w:rPr>
          <w:sz w:val="18"/>
        </w:rPr>
        <w:t>Britain</w:t>
      </w:r>
      <w:r>
        <w:rPr>
          <w:spacing w:val="-4"/>
          <w:sz w:val="18"/>
        </w:rPr>
        <w:t> </w:t>
      </w:r>
      <w:r>
        <w:rPr>
          <w:sz w:val="18"/>
        </w:rPr>
        <w:t>and</w:t>
      </w:r>
      <w:r>
        <w:rPr>
          <w:spacing w:val="-4"/>
          <w:sz w:val="18"/>
        </w:rPr>
        <w:t> </w:t>
      </w:r>
      <w:r>
        <w:rPr>
          <w:sz w:val="18"/>
        </w:rPr>
        <w:t>Northern</w:t>
      </w:r>
      <w:r>
        <w:rPr>
          <w:spacing w:val="-4"/>
          <w:sz w:val="18"/>
        </w:rPr>
        <w:t> </w:t>
      </w:r>
      <w:r>
        <w:rPr>
          <w:sz w:val="18"/>
        </w:rPr>
        <w:t>Ireland</w:t>
      </w:r>
      <w:r>
        <w:rPr>
          <w:spacing w:val="-4"/>
          <w:sz w:val="18"/>
        </w:rPr>
        <w:t> </w:t>
      </w:r>
      <w:r>
        <w:rPr>
          <w:sz w:val="18"/>
        </w:rPr>
        <w:t>from</w:t>
      </w:r>
      <w:r>
        <w:rPr>
          <w:spacing w:val="-3"/>
          <w:sz w:val="18"/>
        </w:rPr>
        <w:t> </w:t>
      </w:r>
      <w:r>
        <w:rPr>
          <w:sz w:val="18"/>
        </w:rPr>
        <w:t>the</w:t>
      </w:r>
      <w:r>
        <w:rPr>
          <w:spacing w:val="-3"/>
          <w:sz w:val="18"/>
        </w:rPr>
        <w:t> </w:t>
      </w:r>
      <w:r>
        <w:rPr>
          <w:sz w:val="18"/>
        </w:rPr>
        <w:t>European</w:t>
      </w:r>
      <w:r>
        <w:rPr>
          <w:spacing w:val="-4"/>
          <w:sz w:val="18"/>
        </w:rPr>
        <w:t> </w:t>
      </w:r>
      <w:r>
        <w:rPr>
          <w:sz w:val="18"/>
        </w:rPr>
        <w:t>Union</w:t>
      </w:r>
      <w:r>
        <w:rPr>
          <w:spacing w:val="-4"/>
          <w:sz w:val="18"/>
        </w:rPr>
        <w:t> </w:t>
      </w:r>
      <w:r>
        <w:rPr>
          <w:sz w:val="18"/>
        </w:rPr>
        <w:t>and</w:t>
      </w:r>
      <w:r>
        <w:rPr>
          <w:spacing w:val="-4"/>
          <w:sz w:val="18"/>
        </w:rPr>
        <w:t> </w:t>
      </w:r>
      <w:r>
        <w:rPr>
          <w:sz w:val="18"/>
        </w:rPr>
        <w:t>the</w:t>
      </w:r>
      <w:r>
        <w:rPr>
          <w:spacing w:val="-3"/>
          <w:sz w:val="18"/>
        </w:rPr>
        <w:t> </w:t>
      </w:r>
      <w:r>
        <w:rPr>
          <w:sz w:val="18"/>
        </w:rPr>
        <w:t>European</w:t>
      </w:r>
      <w:r>
        <w:rPr>
          <w:spacing w:val="-4"/>
          <w:sz w:val="18"/>
        </w:rPr>
        <w:t> </w:t>
      </w:r>
      <w:r>
        <w:rPr>
          <w:sz w:val="18"/>
        </w:rPr>
        <w:t>Atomic</w:t>
      </w:r>
      <w:r>
        <w:rPr>
          <w:spacing w:val="-3"/>
          <w:sz w:val="18"/>
        </w:rPr>
        <w:t> </w:t>
      </w:r>
      <w:r>
        <w:rPr>
          <w:sz w:val="18"/>
        </w:rPr>
        <w:t>Energy</w:t>
      </w:r>
      <w:r>
        <w:rPr>
          <w:spacing w:val="-3"/>
          <w:sz w:val="18"/>
        </w:rPr>
        <w:t> </w:t>
      </w:r>
      <w:r>
        <w:rPr>
          <w:sz w:val="18"/>
        </w:rPr>
        <w:t>Community</w:t>
      </w:r>
      <w:r>
        <w:rPr>
          <w:spacing w:val="-3"/>
          <w:sz w:val="18"/>
        </w:rPr>
        <w:t> </w:t>
      </w:r>
      <w:r>
        <w:rPr>
          <w:sz w:val="18"/>
        </w:rPr>
        <w:t>of</w:t>
      </w:r>
      <w:r>
        <w:rPr>
          <w:spacing w:val="-4"/>
          <w:sz w:val="18"/>
        </w:rPr>
        <w:t> </w:t>
      </w:r>
      <w:r>
        <w:rPr>
          <w:sz w:val="18"/>
        </w:rPr>
        <w:t>24</w:t>
      </w:r>
      <w:r>
        <w:rPr>
          <w:spacing w:val="-3"/>
          <w:sz w:val="18"/>
        </w:rPr>
        <w:t> </w:t>
      </w:r>
      <w:r>
        <w:rPr>
          <w:sz w:val="18"/>
        </w:rPr>
        <w:t>March </w:t>
      </w:r>
      <w:r>
        <w:rPr>
          <w:spacing w:val="-2"/>
          <w:sz w:val="18"/>
        </w:rPr>
        <w:t>2023.</w:t>
      </w:r>
    </w:p>
    <w:p>
      <w:pPr>
        <w:spacing w:after="0" w:line="235" w:lineRule="auto"/>
        <w:jc w:val="left"/>
        <w:rPr>
          <w:sz w:val="18"/>
        </w:rPr>
        <w:sectPr>
          <w:pgSz w:w="11910" w:h="16840"/>
          <w:pgMar w:header="496" w:footer="367" w:top="1220" w:bottom="560" w:left="0" w:right="0"/>
        </w:sectPr>
      </w:pPr>
    </w:p>
    <w:p>
      <w:pPr>
        <w:pStyle w:val="BodyText"/>
        <w:spacing w:before="198"/>
      </w:pPr>
    </w:p>
    <w:p>
      <w:pPr>
        <w:pStyle w:val="ListParagraph"/>
        <w:numPr>
          <w:ilvl w:val="1"/>
          <w:numId w:val="2"/>
        </w:numPr>
        <w:tabs>
          <w:tab w:pos="1853" w:val="left" w:leader="none"/>
        </w:tabs>
        <w:spacing w:line="225" w:lineRule="auto" w:before="0" w:after="0"/>
        <w:ind w:left="1853" w:right="1452" w:hanging="720"/>
        <w:jc w:val="left"/>
        <w:rPr>
          <w:sz w:val="28"/>
        </w:rPr>
      </w:pPr>
      <w:r>
        <w:rPr>
          <w:sz w:val="28"/>
        </w:rPr>
        <w:t>In this report, the Commissions have highlighted those obligations under Windsor Framework Article 2 which reflect the focus of their work in 2023- 2024. This report highlights the key changes to the human rights and equality</w:t>
      </w:r>
      <w:r>
        <w:rPr>
          <w:spacing w:val="-4"/>
          <w:sz w:val="28"/>
        </w:rPr>
        <w:t> </w:t>
      </w:r>
      <w:r>
        <w:rPr>
          <w:sz w:val="28"/>
        </w:rPr>
        <w:t>landscape</w:t>
      </w:r>
      <w:r>
        <w:rPr>
          <w:spacing w:val="-4"/>
          <w:sz w:val="28"/>
        </w:rPr>
        <w:t> </w:t>
      </w:r>
      <w:r>
        <w:rPr>
          <w:sz w:val="28"/>
        </w:rPr>
        <w:t>over</w:t>
      </w:r>
      <w:r>
        <w:rPr>
          <w:spacing w:val="-4"/>
          <w:sz w:val="28"/>
        </w:rPr>
        <w:t> </w:t>
      </w:r>
      <w:r>
        <w:rPr>
          <w:sz w:val="28"/>
        </w:rPr>
        <w:t>the</w:t>
      </w:r>
      <w:r>
        <w:rPr>
          <w:spacing w:val="-4"/>
          <w:sz w:val="28"/>
        </w:rPr>
        <w:t> </w:t>
      </w:r>
      <w:r>
        <w:rPr>
          <w:sz w:val="28"/>
        </w:rPr>
        <w:t>reporting</w:t>
      </w:r>
      <w:r>
        <w:rPr>
          <w:spacing w:val="-4"/>
          <w:sz w:val="28"/>
        </w:rPr>
        <w:t> </w:t>
      </w:r>
      <w:r>
        <w:rPr>
          <w:sz w:val="28"/>
        </w:rPr>
        <w:t>period</w:t>
      </w:r>
      <w:r>
        <w:rPr>
          <w:spacing w:val="-5"/>
          <w:sz w:val="28"/>
        </w:rPr>
        <w:t> </w:t>
      </w:r>
      <w:r>
        <w:rPr>
          <w:sz w:val="28"/>
        </w:rPr>
        <w:t>and</w:t>
      </w:r>
      <w:r>
        <w:rPr>
          <w:spacing w:val="-5"/>
          <w:sz w:val="28"/>
        </w:rPr>
        <w:t> </w:t>
      </w:r>
      <w:r>
        <w:rPr>
          <w:sz w:val="28"/>
        </w:rPr>
        <w:t>sets</w:t>
      </w:r>
      <w:r>
        <w:rPr>
          <w:spacing w:val="-5"/>
          <w:sz w:val="28"/>
        </w:rPr>
        <w:t> </w:t>
      </w:r>
      <w:r>
        <w:rPr>
          <w:sz w:val="28"/>
        </w:rPr>
        <w:t>out</w:t>
      </w:r>
      <w:r>
        <w:rPr>
          <w:spacing w:val="-4"/>
          <w:sz w:val="28"/>
        </w:rPr>
        <w:t> </w:t>
      </w:r>
      <w:r>
        <w:rPr>
          <w:sz w:val="28"/>
        </w:rPr>
        <w:t>the</w:t>
      </w:r>
      <w:r>
        <w:rPr>
          <w:spacing w:val="-4"/>
          <w:sz w:val="28"/>
        </w:rPr>
        <w:t> </w:t>
      </w:r>
      <w:r>
        <w:rPr>
          <w:sz w:val="28"/>
        </w:rPr>
        <w:t>Commissions’ recommendations relating to Windsor Framework Article 2 as of 31 March </w:t>
      </w:r>
      <w:r>
        <w:rPr>
          <w:spacing w:val="-2"/>
          <w:sz w:val="28"/>
        </w:rPr>
        <w:t>2024.</w:t>
      </w:r>
    </w:p>
    <w:p>
      <w:pPr>
        <w:pStyle w:val="ListParagraph"/>
        <w:numPr>
          <w:ilvl w:val="1"/>
          <w:numId w:val="2"/>
        </w:numPr>
        <w:tabs>
          <w:tab w:pos="1853" w:val="left" w:leader="none"/>
        </w:tabs>
        <w:spacing w:line="225" w:lineRule="auto" w:before="313" w:after="0"/>
        <w:ind w:left="1853" w:right="1222" w:hanging="720"/>
        <w:jc w:val="left"/>
        <w:rPr>
          <w:sz w:val="28"/>
        </w:rPr>
      </w:pPr>
      <w:r>
        <w:rPr>
          <w:sz w:val="28"/>
        </w:rPr>
        <w:t>The</w:t>
      </w:r>
      <w:r>
        <w:rPr>
          <w:spacing w:val="-5"/>
          <w:sz w:val="28"/>
        </w:rPr>
        <w:t> </w:t>
      </w:r>
      <w:r>
        <w:rPr>
          <w:sz w:val="28"/>
        </w:rPr>
        <w:t>Commissions</w:t>
      </w:r>
      <w:r>
        <w:rPr>
          <w:spacing w:val="-6"/>
          <w:sz w:val="28"/>
        </w:rPr>
        <w:t> </w:t>
      </w:r>
      <w:r>
        <w:rPr>
          <w:sz w:val="28"/>
        </w:rPr>
        <w:t>work</w:t>
      </w:r>
      <w:r>
        <w:rPr>
          <w:spacing w:val="-5"/>
          <w:sz w:val="28"/>
        </w:rPr>
        <w:t> </w:t>
      </w:r>
      <w:r>
        <w:rPr>
          <w:sz w:val="28"/>
        </w:rPr>
        <w:t>closely</w:t>
      </w:r>
      <w:r>
        <w:rPr>
          <w:spacing w:val="-5"/>
          <w:sz w:val="28"/>
        </w:rPr>
        <w:t> </w:t>
      </w:r>
      <w:r>
        <w:rPr>
          <w:sz w:val="28"/>
        </w:rPr>
        <w:t>in</w:t>
      </w:r>
      <w:r>
        <w:rPr>
          <w:spacing w:val="-6"/>
          <w:sz w:val="28"/>
        </w:rPr>
        <w:t> </w:t>
      </w:r>
      <w:r>
        <w:rPr>
          <w:sz w:val="28"/>
        </w:rPr>
        <w:t>the</w:t>
      </w:r>
      <w:r>
        <w:rPr>
          <w:spacing w:val="-5"/>
          <w:sz w:val="28"/>
        </w:rPr>
        <w:t> </w:t>
      </w:r>
      <w:r>
        <w:rPr>
          <w:sz w:val="28"/>
        </w:rPr>
        <w:t>exercise</w:t>
      </w:r>
      <w:r>
        <w:rPr>
          <w:spacing w:val="-5"/>
          <w:sz w:val="28"/>
        </w:rPr>
        <w:t> </w:t>
      </w:r>
      <w:r>
        <w:rPr>
          <w:sz w:val="28"/>
        </w:rPr>
        <w:t>of</w:t>
      </w:r>
      <w:r>
        <w:rPr>
          <w:spacing w:val="-6"/>
          <w:sz w:val="28"/>
        </w:rPr>
        <w:t> </w:t>
      </w:r>
      <w:r>
        <w:rPr>
          <w:sz w:val="28"/>
        </w:rPr>
        <w:t>their</w:t>
      </w:r>
      <w:r>
        <w:rPr>
          <w:spacing w:val="-5"/>
          <w:sz w:val="28"/>
        </w:rPr>
        <w:t> </w:t>
      </w:r>
      <w:r>
        <w:rPr>
          <w:sz w:val="28"/>
        </w:rPr>
        <w:t>mandate</w:t>
      </w:r>
      <w:r>
        <w:rPr>
          <w:spacing w:val="-5"/>
          <w:sz w:val="28"/>
        </w:rPr>
        <w:t> </w:t>
      </w:r>
      <w:r>
        <w:rPr>
          <w:sz w:val="28"/>
        </w:rPr>
        <w:t>to</w:t>
      </w:r>
      <w:r>
        <w:rPr>
          <w:spacing w:val="-6"/>
          <w:sz w:val="28"/>
        </w:rPr>
        <w:t> </w:t>
      </w:r>
      <w:r>
        <w:rPr>
          <w:sz w:val="28"/>
        </w:rPr>
        <w:t>oversee</w:t>
      </w:r>
      <w:r>
        <w:rPr>
          <w:spacing w:val="-5"/>
          <w:sz w:val="28"/>
        </w:rPr>
        <w:t> </w:t>
      </w:r>
      <w:r>
        <w:rPr>
          <w:sz w:val="28"/>
        </w:rPr>
        <w:t>the implementation of, and compliance with, Windsor Framework Article 2 and this</w:t>
      </w:r>
      <w:r>
        <w:rPr>
          <w:spacing w:val="-9"/>
          <w:sz w:val="28"/>
        </w:rPr>
        <w:t> </w:t>
      </w:r>
      <w:r>
        <w:rPr>
          <w:sz w:val="28"/>
        </w:rPr>
        <w:t>is</w:t>
      </w:r>
      <w:r>
        <w:rPr>
          <w:spacing w:val="-9"/>
          <w:sz w:val="28"/>
        </w:rPr>
        <w:t> </w:t>
      </w:r>
      <w:r>
        <w:rPr>
          <w:sz w:val="28"/>
        </w:rPr>
        <w:t>reflected</w:t>
      </w:r>
      <w:r>
        <w:rPr>
          <w:spacing w:val="-9"/>
          <w:sz w:val="28"/>
        </w:rPr>
        <w:t> </w:t>
      </w:r>
      <w:r>
        <w:rPr>
          <w:sz w:val="28"/>
        </w:rPr>
        <w:t>in</w:t>
      </w:r>
      <w:r>
        <w:rPr>
          <w:spacing w:val="-9"/>
          <w:sz w:val="28"/>
        </w:rPr>
        <w:t> </w:t>
      </w:r>
      <w:r>
        <w:rPr>
          <w:sz w:val="28"/>
        </w:rPr>
        <w:t>the</w:t>
      </w:r>
      <w:r>
        <w:rPr>
          <w:spacing w:val="-8"/>
          <w:sz w:val="28"/>
        </w:rPr>
        <w:t> </w:t>
      </w:r>
      <w:r>
        <w:rPr>
          <w:sz w:val="28"/>
        </w:rPr>
        <w:t>many</w:t>
      </w:r>
      <w:r>
        <w:rPr>
          <w:spacing w:val="-8"/>
          <w:sz w:val="28"/>
        </w:rPr>
        <w:t> </w:t>
      </w:r>
      <w:r>
        <w:rPr>
          <w:sz w:val="28"/>
        </w:rPr>
        <w:t>joint</w:t>
      </w:r>
      <w:r>
        <w:rPr>
          <w:spacing w:val="-8"/>
          <w:sz w:val="28"/>
        </w:rPr>
        <w:t> </w:t>
      </w:r>
      <w:r>
        <w:rPr>
          <w:sz w:val="28"/>
        </w:rPr>
        <w:t>recommendations.</w:t>
      </w:r>
      <w:r>
        <w:rPr>
          <w:spacing w:val="-9"/>
          <w:sz w:val="28"/>
        </w:rPr>
        <w:t> </w:t>
      </w:r>
      <w:r>
        <w:rPr>
          <w:sz w:val="28"/>
        </w:rPr>
        <w:t>Some</w:t>
      </w:r>
      <w:r>
        <w:rPr>
          <w:spacing w:val="-8"/>
          <w:sz w:val="28"/>
        </w:rPr>
        <w:t> </w:t>
      </w:r>
      <w:r>
        <w:rPr>
          <w:sz w:val="28"/>
        </w:rPr>
        <w:t>recommendations, however, are made by one or other Commission in keeping with its core</w:t>
      </w:r>
    </w:p>
    <w:p>
      <w:pPr>
        <w:pStyle w:val="BodyText"/>
        <w:spacing w:line="225" w:lineRule="auto"/>
        <w:ind w:left="1853" w:right="1383"/>
      </w:pPr>
      <w:r>
        <w:rPr/>
        <w:t>remit and consistent with the option under Section 78E of the NI Act 1998, to exercise this mandate jointly or separately. It should be noted that each organisation may have additional recommendations both in relation to Windsor</w:t>
      </w:r>
      <w:r>
        <w:rPr>
          <w:spacing w:val="-7"/>
        </w:rPr>
        <w:t> </w:t>
      </w:r>
      <w:r>
        <w:rPr/>
        <w:t>Framework</w:t>
      </w:r>
      <w:r>
        <w:rPr>
          <w:spacing w:val="-7"/>
        </w:rPr>
        <w:t> </w:t>
      </w:r>
      <w:r>
        <w:rPr/>
        <w:t>Article</w:t>
      </w:r>
      <w:r>
        <w:rPr>
          <w:spacing w:val="-7"/>
        </w:rPr>
        <w:t> </w:t>
      </w:r>
      <w:r>
        <w:rPr/>
        <w:t>2</w:t>
      </w:r>
      <w:r>
        <w:rPr>
          <w:spacing w:val="-7"/>
        </w:rPr>
        <w:t> </w:t>
      </w:r>
      <w:r>
        <w:rPr/>
        <w:t>and</w:t>
      </w:r>
      <w:r>
        <w:rPr>
          <w:spacing w:val="-8"/>
        </w:rPr>
        <w:t> </w:t>
      </w:r>
      <w:r>
        <w:rPr/>
        <w:t>on</w:t>
      </w:r>
      <w:r>
        <w:rPr>
          <w:spacing w:val="-8"/>
        </w:rPr>
        <w:t> </w:t>
      </w:r>
      <w:r>
        <w:rPr/>
        <w:t>matters</w:t>
      </w:r>
      <w:r>
        <w:rPr>
          <w:spacing w:val="-8"/>
        </w:rPr>
        <w:t> </w:t>
      </w:r>
      <w:r>
        <w:rPr/>
        <w:t>within</w:t>
      </w:r>
      <w:r>
        <w:rPr>
          <w:spacing w:val="-8"/>
        </w:rPr>
        <w:t> </w:t>
      </w:r>
      <w:r>
        <w:rPr/>
        <w:t>our</w:t>
      </w:r>
      <w:r>
        <w:rPr>
          <w:spacing w:val="-7"/>
        </w:rPr>
        <w:t> </w:t>
      </w:r>
      <w:r>
        <w:rPr/>
        <w:t>core</w:t>
      </w:r>
      <w:r>
        <w:rPr>
          <w:spacing w:val="-7"/>
        </w:rPr>
        <w:t> </w:t>
      </w:r>
      <w:r>
        <w:rPr/>
        <w:t>competences, which</w:t>
      </w:r>
      <w:r>
        <w:rPr>
          <w:spacing w:val="-6"/>
        </w:rPr>
        <w:t> </w:t>
      </w:r>
      <w:r>
        <w:rPr/>
        <w:t>are</w:t>
      </w:r>
      <w:r>
        <w:rPr>
          <w:spacing w:val="-5"/>
        </w:rPr>
        <w:t> </w:t>
      </w:r>
      <w:r>
        <w:rPr/>
        <w:t>not</w:t>
      </w:r>
      <w:r>
        <w:rPr>
          <w:spacing w:val="-5"/>
        </w:rPr>
        <w:t> </w:t>
      </w:r>
      <w:r>
        <w:rPr/>
        <w:t>included</w:t>
      </w:r>
      <w:r>
        <w:rPr>
          <w:spacing w:val="-6"/>
        </w:rPr>
        <w:t> </w:t>
      </w:r>
      <w:r>
        <w:rPr/>
        <w:t>here.</w:t>
      </w:r>
      <w:r>
        <w:rPr>
          <w:spacing w:val="-6"/>
        </w:rPr>
        <w:t> </w:t>
      </w:r>
      <w:r>
        <w:rPr/>
        <w:t>These</w:t>
      </w:r>
      <w:r>
        <w:rPr>
          <w:spacing w:val="-5"/>
        </w:rPr>
        <w:t> </w:t>
      </w:r>
      <w:r>
        <w:rPr/>
        <w:t>can</w:t>
      </w:r>
      <w:r>
        <w:rPr>
          <w:spacing w:val="-6"/>
        </w:rPr>
        <w:t> </w:t>
      </w:r>
      <w:r>
        <w:rPr/>
        <w:t>be</w:t>
      </w:r>
      <w:r>
        <w:rPr>
          <w:spacing w:val="-5"/>
        </w:rPr>
        <w:t> </w:t>
      </w:r>
      <w:r>
        <w:rPr/>
        <w:t>found</w:t>
      </w:r>
      <w:r>
        <w:rPr>
          <w:spacing w:val="-6"/>
        </w:rPr>
        <w:t> </w:t>
      </w:r>
      <w:r>
        <w:rPr/>
        <w:t>in</w:t>
      </w:r>
      <w:r>
        <w:rPr>
          <w:spacing w:val="-6"/>
        </w:rPr>
        <w:t> </w:t>
      </w:r>
      <w:r>
        <w:rPr/>
        <w:t>the</w:t>
      </w:r>
      <w:r>
        <w:rPr>
          <w:spacing w:val="-5"/>
        </w:rPr>
        <w:t> </w:t>
      </w:r>
      <w:r>
        <w:rPr/>
        <w:t>related</w:t>
      </w:r>
      <w:r>
        <w:rPr>
          <w:spacing w:val="-6"/>
        </w:rPr>
        <w:t> </w:t>
      </w:r>
      <w:r>
        <w:rPr/>
        <w:t>submissions and policy positions referenced.</w:t>
      </w:r>
      <w:r>
        <w:rPr>
          <w:spacing w:val="40"/>
        </w:rPr>
        <w:t> </w:t>
      </w:r>
      <w:r>
        <w:rPr/>
        <w:t>The Commissions’ points of advice are aimed primarily at ensuring compliance with Windsor Framework Article 2 </w:t>
      </w:r>
      <w:r>
        <w:rPr>
          <w:spacing w:val="-2"/>
        </w:rPr>
        <w:t>obligations.</w:t>
      </w:r>
    </w:p>
    <w:p>
      <w:pPr>
        <w:pStyle w:val="ListParagraph"/>
        <w:numPr>
          <w:ilvl w:val="1"/>
          <w:numId w:val="2"/>
        </w:numPr>
        <w:tabs>
          <w:tab w:pos="1853" w:val="left" w:leader="none"/>
        </w:tabs>
        <w:spacing w:line="225" w:lineRule="auto" w:before="304" w:after="0"/>
        <w:ind w:left="1853" w:right="1322" w:hanging="720"/>
        <w:jc w:val="left"/>
        <w:rPr>
          <w:sz w:val="28"/>
        </w:rPr>
      </w:pPr>
      <w:r>
        <w:rPr>
          <w:sz w:val="28"/>
        </w:rPr>
        <w:t>Chapter 2 of this report sets out a brief overview of the international and domestic framework and</w:t>
      </w:r>
      <w:r>
        <w:rPr>
          <w:spacing w:val="-1"/>
          <w:sz w:val="28"/>
        </w:rPr>
        <w:t> </w:t>
      </w:r>
      <w:r>
        <w:rPr>
          <w:sz w:val="28"/>
        </w:rPr>
        <w:t>explores</w:t>
      </w:r>
      <w:r>
        <w:rPr>
          <w:spacing w:val="-1"/>
          <w:sz w:val="28"/>
        </w:rPr>
        <w:t> </w:t>
      </w:r>
      <w:r>
        <w:rPr>
          <w:sz w:val="28"/>
        </w:rPr>
        <w:t>issues</w:t>
      </w:r>
      <w:r>
        <w:rPr>
          <w:spacing w:val="-1"/>
          <w:sz w:val="28"/>
        </w:rPr>
        <w:t> </w:t>
      </w:r>
      <w:r>
        <w:rPr>
          <w:sz w:val="28"/>
        </w:rPr>
        <w:t>relating to</w:t>
      </w:r>
      <w:r>
        <w:rPr>
          <w:spacing w:val="-1"/>
          <w:sz w:val="28"/>
        </w:rPr>
        <w:t> </w:t>
      </w:r>
      <w:r>
        <w:rPr>
          <w:sz w:val="28"/>
        </w:rPr>
        <w:t>the implementation</w:t>
      </w:r>
      <w:r>
        <w:rPr>
          <w:spacing w:val="-1"/>
          <w:sz w:val="28"/>
        </w:rPr>
        <w:t> </w:t>
      </w:r>
      <w:r>
        <w:rPr>
          <w:sz w:val="28"/>
        </w:rPr>
        <w:t>and scrutiny of Windsor Framework Article 2. Advice on compliance with Article</w:t>
      </w:r>
    </w:p>
    <w:p>
      <w:pPr>
        <w:pStyle w:val="ListParagraph"/>
        <w:numPr>
          <w:ilvl w:val="0"/>
          <w:numId w:val="4"/>
        </w:numPr>
        <w:tabs>
          <w:tab w:pos="2058" w:val="left" w:leader="none"/>
        </w:tabs>
        <w:spacing w:line="311" w:lineRule="exact" w:before="0" w:after="0"/>
        <w:ind w:left="2058" w:right="0" w:hanging="205"/>
        <w:jc w:val="left"/>
        <w:rPr>
          <w:sz w:val="28"/>
        </w:rPr>
      </w:pPr>
      <w:r>
        <w:rPr>
          <w:sz w:val="28"/>
        </w:rPr>
        <w:t>and</w:t>
      </w:r>
      <w:r>
        <w:rPr>
          <w:spacing w:val="-8"/>
          <w:sz w:val="28"/>
        </w:rPr>
        <w:t> </w:t>
      </w:r>
      <w:r>
        <w:rPr>
          <w:sz w:val="28"/>
        </w:rPr>
        <w:t>key</w:t>
      </w:r>
      <w:r>
        <w:rPr>
          <w:spacing w:val="-6"/>
          <w:sz w:val="28"/>
        </w:rPr>
        <w:t> </w:t>
      </w:r>
      <w:r>
        <w:rPr>
          <w:sz w:val="28"/>
        </w:rPr>
        <w:t>recommendations</w:t>
      </w:r>
      <w:r>
        <w:rPr>
          <w:spacing w:val="-7"/>
          <w:sz w:val="28"/>
        </w:rPr>
        <w:t> </w:t>
      </w:r>
      <w:r>
        <w:rPr>
          <w:sz w:val="28"/>
        </w:rPr>
        <w:t>are</w:t>
      </w:r>
      <w:r>
        <w:rPr>
          <w:spacing w:val="-6"/>
          <w:sz w:val="28"/>
        </w:rPr>
        <w:t> </w:t>
      </w:r>
      <w:r>
        <w:rPr>
          <w:sz w:val="28"/>
        </w:rPr>
        <w:t>included</w:t>
      </w:r>
      <w:r>
        <w:rPr>
          <w:spacing w:val="-8"/>
          <w:sz w:val="28"/>
        </w:rPr>
        <w:t> </w:t>
      </w:r>
      <w:r>
        <w:rPr>
          <w:sz w:val="28"/>
        </w:rPr>
        <w:t>at</w:t>
      </w:r>
      <w:r>
        <w:rPr>
          <w:spacing w:val="-6"/>
          <w:sz w:val="28"/>
        </w:rPr>
        <w:t> </w:t>
      </w:r>
      <w:r>
        <w:rPr>
          <w:sz w:val="28"/>
        </w:rPr>
        <w:t>the</w:t>
      </w:r>
      <w:r>
        <w:rPr>
          <w:spacing w:val="-6"/>
          <w:sz w:val="28"/>
        </w:rPr>
        <w:t> </w:t>
      </w:r>
      <w:r>
        <w:rPr>
          <w:sz w:val="28"/>
        </w:rPr>
        <w:t>end</w:t>
      </w:r>
      <w:r>
        <w:rPr>
          <w:spacing w:val="-7"/>
          <w:sz w:val="28"/>
        </w:rPr>
        <w:t> </w:t>
      </w:r>
      <w:r>
        <w:rPr>
          <w:sz w:val="28"/>
        </w:rPr>
        <w:t>of</w:t>
      </w:r>
      <w:r>
        <w:rPr>
          <w:spacing w:val="-8"/>
          <w:sz w:val="28"/>
        </w:rPr>
        <w:t> </w:t>
      </w:r>
      <w:r>
        <w:rPr>
          <w:sz w:val="28"/>
        </w:rPr>
        <w:t>each</w:t>
      </w:r>
      <w:r>
        <w:rPr>
          <w:spacing w:val="-7"/>
          <w:sz w:val="28"/>
        </w:rPr>
        <w:t> </w:t>
      </w:r>
      <w:r>
        <w:rPr>
          <w:sz w:val="28"/>
        </w:rPr>
        <w:t>section.</w:t>
      </w:r>
      <w:r>
        <w:rPr>
          <w:spacing w:val="-7"/>
          <w:sz w:val="28"/>
        </w:rPr>
        <w:t> </w:t>
      </w:r>
      <w:r>
        <w:rPr>
          <w:spacing w:val="-2"/>
          <w:sz w:val="28"/>
        </w:rPr>
        <w:t>Chapter</w:t>
      </w:r>
    </w:p>
    <w:p>
      <w:pPr>
        <w:pStyle w:val="ListParagraph"/>
        <w:numPr>
          <w:ilvl w:val="0"/>
          <w:numId w:val="4"/>
        </w:numPr>
        <w:tabs>
          <w:tab w:pos="2058" w:val="left" w:leader="none"/>
        </w:tabs>
        <w:spacing w:line="225" w:lineRule="auto" w:before="5" w:after="0"/>
        <w:ind w:left="1853" w:right="1263" w:firstLine="0"/>
        <w:jc w:val="left"/>
        <w:rPr>
          <w:sz w:val="28"/>
        </w:rPr>
      </w:pPr>
      <w:r>
        <w:rPr>
          <w:sz w:val="28"/>
        </w:rPr>
        <w:t>is structured under key rights and equality issues and developments with advice on compliance and recommendations at the end of each subsection.</w:t>
      </w:r>
    </w:p>
    <w:p>
      <w:pPr>
        <w:pStyle w:val="BodyText"/>
        <w:spacing w:line="225" w:lineRule="auto"/>
        <w:ind w:left="1853" w:right="1171"/>
      </w:pPr>
      <w:r>
        <w:rPr/>
        <w:t>In order to provide clarity on how Windsor Framework Article 2 applies in the different</w:t>
      </w:r>
      <w:r>
        <w:rPr>
          <w:spacing w:val="-9"/>
        </w:rPr>
        <w:t> </w:t>
      </w:r>
      <w:r>
        <w:rPr/>
        <w:t>areas,</w:t>
      </w:r>
      <w:r>
        <w:rPr>
          <w:spacing w:val="-9"/>
        </w:rPr>
        <w:t> </w:t>
      </w:r>
      <w:r>
        <w:rPr/>
        <w:t>some</w:t>
      </w:r>
      <w:r>
        <w:rPr>
          <w:spacing w:val="-9"/>
        </w:rPr>
        <w:t> </w:t>
      </w:r>
      <w:r>
        <w:rPr/>
        <w:t>narrative</w:t>
      </w:r>
      <w:r>
        <w:rPr>
          <w:spacing w:val="-9"/>
        </w:rPr>
        <w:t> </w:t>
      </w:r>
      <w:r>
        <w:rPr/>
        <w:t>is</w:t>
      </w:r>
      <w:r>
        <w:rPr>
          <w:spacing w:val="-10"/>
        </w:rPr>
        <w:t> </w:t>
      </w:r>
      <w:r>
        <w:rPr/>
        <w:t>necessarily</w:t>
      </w:r>
      <w:r>
        <w:rPr>
          <w:spacing w:val="-9"/>
        </w:rPr>
        <w:t> </w:t>
      </w:r>
      <w:r>
        <w:rPr/>
        <w:t>restated</w:t>
      </w:r>
      <w:r>
        <w:rPr>
          <w:spacing w:val="-10"/>
        </w:rPr>
        <w:t> </w:t>
      </w:r>
      <w:r>
        <w:rPr/>
        <w:t>to</w:t>
      </w:r>
      <w:r>
        <w:rPr>
          <w:spacing w:val="-10"/>
        </w:rPr>
        <w:t> </w:t>
      </w:r>
      <w:r>
        <w:rPr/>
        <w:t>provide</w:t>
      </w:r>
      <w:r>
        <w:rPr>
          <w:spacing w:val="-9"/>
        </w:rPr>
        <w:t> </w:t>
      </w:r>
      <w:r>
        <w:rPr/>
        <w:t>the</w:t>
      </w:r>
      <w:r>
        <w:rPr>
          <w:spacing w:val="-9"/>
        </w:rPr>
        <w:t> </w:t>
      </w:r>
      <w:r>
        <w:rPr/>
        <w:t>minimum context necessary to understand the recommendations and advice and to reduce the need to cross reference across chapters.</w:t>
      </w:r>
    </w:p>
    <w:p>
      <w:pPr>
        <w:pStyle w:val="ListParagraph"/>
        <w:numPr>
          <w:ilvl w:val="1"/>
          <w:numId w:val="2"/>
        </w:numPr>
        <w:tabs>
          <w:tab w:pos="1853" w:val="left" w:leader="none"/>
        </w:tabs>
        <w:spacing w:line="225" w:lineRule="auto" w:before="313" w:after="0"/>
        <w:ind w:left="1853" w:right="1428" w:hanging="720"/>
        <w:jc w:val="left"/>
        <w:rPr>
          <w:sz w:val="28"/>
        </w:rPr>
      </w:pPr>
      <w:r>
        <w:rPr>
          <w:sz w:val="28"/>
        </w:rPr>
        <w:t>The report also highlights the wider impact of Brexit on the enjoyment of human rights and equality, aspects of which may fall outside the protection of Windsor Framework Article 2 and/or have a particular impact on border communities or North-South co-operation. Chapter 4 addresses issues, including the Common Travel Area; EU Settlement Scheme; frontier and migrant</w:t>
      </w:r>
      <w:r>
        <w:rPr>
          <w:spacing w:val="-9"/>
          <w:sz w:val="28"/>
        </w:rPr>
        <w:t> </w:t>
      </w:r>
      <w:r>
        <w:rPr>
          <w:sz w:val="28"/>
        </w:rPr>
        <w:t>workers;</w:t>
      </w:r>
      <w:r>
        <w:rPr>
          <w:spacing w:val="-9"/>
          <w:sz w:val="28"/>
        </w:rPr>
        <w:t> </w:t>
      </w:r>
      <w:r>
        <w:rPr>
          <w:sz w:val="28"/>
        </w:rPr>
        <w:t>cross</w:t>
      </w:r>
      <w:r>
        <w:rPr>
          <w:spacing w:val="-10"/>
          <w:sz w:val="28"/>
        </w:rPr>
        <w:t> </w:t>
      </w:r>
      <w:r>
        <w:rPr>
          <w:sz w:val="28"/>
        </w:rPr>
        <w:t>border</w:t>
      </w:r>
      <w:r>
        <w:rPr>
          <w:spacing w:val="-9"/>
          <w:sz w:val="28"/>
        </w:rPr>
        <w:t> </w:t>
      </w:r>
      <w:r>
        <w:rPr>
          <w:sz w:val="28"/>
        </w:rPr>
        <w:t>justice</w:t>
      </w:r>
      <w:r>
        <w:rPr>
          <w:spacing w:val="-9"/>
          <w:sz w:val="28"/>
        </w:rPr>
        <w:t> </w:t>
      </w:r>
      <w:r>
        <w:rPr>
          <w:sz w:val="28"/>
        </w:rPr>
        <w:t>arrangements;</w:t>
      </w:r>
      <w:r>
        <w:rPr>
          <w:spacing w:val="-9"/>
          <w:sz w:val="28"/>
        </w:rPr>
        <w:t> </w:t>
      </w:r>
      <w:r>
        <w:rPr>
          <w:sz w:val="28"/>
        </w:rPr>
        <w:t>the</w:t>
      </w:r>
      <w:r>
        <w:rPr>
          <w:spacing w:val="-9"/>
          <w:sz w:val="28"/>
        </w:rPr>
        <w:t> </w:t>
      </w:r>
      <w:r>
        <w:rPr>
          <w:sz w:val="28"/>
        </w:rPr>
        <w:t>right</w:t>
      </w:r>
      <w:r>
        <w:rPr>
          <w:spacing w:val="-9"/>
          <w:sz w:val="28"/>
        </w:rPr>
        <w:t> </w:t>
      </w:r>
      <w:r>
        <w:rPr>
          <w:sz w:val="28"/>
        </w:rPr>
        <w:t>to</w:t>
      </w:r>
      <w:r>
        <w:rPr>
          <w:spacing w:val="-10"/>
          <w:sz w:val="28"/>
        </w:rPr>
        <w:t> </w:t>
      </w:r>
      <w:r>
        <w:rPr>
          <w:sz w:val="28"/>
        </w:rPr>
        <w:t>health;</w:t>
      </w:r>
      <w:r>
        <w:rPr>
          <w:spacing w:val="-9"/>
          <w:sz w:val="28"/>
        </w:rPr>
        <w:t> </w:t>
      </w:r>
      <w:r>
        <w:rPr>
          <w:sz w:val="28"/>
        </w:rPr>
        <w:t>and EU loss of funding, among others.</w:t>
      </w:r>
    </w:p>
    <w:p>
      <w:pPr>
        <w:pStyle w:val="ListParagraph"/>
        <w:numPr>
          <w:ilvl w:val="1"/>
          <w:numId w:val="2"/>
        </w:numPr>
        <w:tabs>
          <w:tab w:pos="1853" w:val="left" w:leader="none"/>
        </w:tabs>
        <w:spacing w:line="225" w:lineRule="auto" w:before="311" w:after="0"/>
        <w:ind w:left="1853" w:right="1616" w:hanging="720"/>
        <w:jc w:val="left"/>
        <w:rPr>
          <w:sz w:val="28"/>
        </w:rPr>
      </w:pPr>
      <w:r>
        <w:rPr>
          <w:sz w:val="28"/>
        </w:rPr>
        <w:t>Section 78A(3) in respect of the NIHRC and Section 78B(3) in respect of the</w:t>
      </w:r>
      <w:r>
        <w:rPr>
          <w:spacing w:val="-4"/>
          <w:sz w:val="28"/>
        </w:rPr>
        <w:t> </w:t>
      </w:r>
      <w:r>
        <w:rPr>
          <w:sz w:val="28"/>
        </w:rPr>
        <w:t>ECNI</w:t>
      </w:r>
      <w:r>
        <w:rPr>
          <w:spacing w:val="-5"/>
          <w:sz w:val="28"/>
        </w:rPr>
        <w:t> </w:t>
      </w:r>
      <w:r>
        <w:rPr>
          <w:sz w:val="28"/>
        </w:rPr>
        <w:t>of</w:t>
      </w:r>
      <w:r>
        <w:rPr>
          <w:spacing w:val="-5"/>
          <w:sz w:val="28"/>
        </w:rPr>
        <w:t> </w:t>
      </w:r>
      <w:r>
        <w:rPr>
          <w:sz w:val="28"/>
        </w:rPr>
        <w:t>the</w:t>
      </w:r>
      <w:r>
        <w:rPr>
          <w:spacing w:val="-4"/>
          <w:sz w:val="28"/>
        </w:rPr>
        <w:t> </w:t>
      </w:r>
      <w:r>
        <w:rPr>
          <w:sz w:val="28"/>
        </w:rPr>
        <w:t>NI</w:t>
      </w:r>
      <w:r>
        <w:rPr>
          <w:spacing w:val="-5"/>
          <w:sz w:val="28"/>
        </w:rPr>
        <w:t> </w:t>
      </w:r>
      <w:r>
        <w:rPr>
          <w:sz w:val="28"/>
        </w:rPr>
        <w:t>Act</w:t>
      </w:r>
      <w:r>
        <w:rPr>
          <w:spacing w:val="-4"/>
          <w:sz w:val="28"/>
        </w:rPr>
        <w:t> </w:t>
      </w:r>
      <w:r>
        <w:rPr>
          <w:sz w:val="28"/>
        </w:rPr>
        <w:t>1998,</w:t>
      </w:r>
      <w:r>
        <w:rPr>
          <w:spacing w:val="-5"/>
          <w:sz w:val="28"/>
        </w:rPr>
        <w:t> </w:t>
      </w:r>
      <w:r>
        <w:rPr>
          <w:sz w:val="28"/>
        </w:rPr>
        <w:t>state</w:t>
      </w:r>
      <w:r>
        <w:rPr>
          <w:spacing w:val="-4"/>
          <w:sz w:val="28"/>
        </w:rPr>
        <w:t> </w:t>
      </w:r>
      <w:r>
        <w:rPr>
          <w:sz w:val="28"/>
        </w:rPr>
        <w:t>that</w:t>
      </w:r>
      <w:r>
        <w:rPr>
          <w:spacing w:val="-5"/>
          <w:sz w:val="28"/>
        </w:rPr>
        <w:t> </w:t>
      </w:r>
      <w:r>
        <w:rPr>
          <w:sz w:val="28"/>
        </w:rPr>
        <w:t>a</w:t>
      </w:r>
      <w:r>
        <w:rPr>
          <w:spacing w:val="-5"/>
          <w:sz w:val="28"/>
        </w:rPr>
        <w:t> </w:t>
      </w:r>
      <w:r>
        <w:rPr>
          <w:sz w:val="28"/>
        </w:rPr>
        <w:t>report</w:t>
      </w:r>
      <w:r>
        <w:rPr>
          <w:spacing w:val="-4"/>
          <w:sz w:val="28"/>
        </w:rPr>
        <w:t> </w:t>
      </w:r>
      <w:r>
        <w:rPr>
          <w:sz w:val="28"/>
        </w:rPr>
        <w:t>under</w:t>
      </w:r>
      <w:r>
        <w:rPr>
          <w:spacing w:val="-5"/>
          <w:sz w:val="28"/>
        </w:rPr>
        <w:t> </w:t>
      </w:r>
      <w:r>
        <w:rPr>
          <w:sz w:val="28"/>
        </w:rPr>
        <w:t>subsection</w:t>
      </w:r>
      <w:r>
        <w:rPr>
          <w:spacing w:val="-5"/>
          <w:sz w:val="28"/>
        </w:rPr>
        <w:t> </w:t>
      </w:r>
      <w:r>
        <w:rPr>
          <w:sz w:val="28"/>
        </w:rPr>
        <w:t>2</w:t>
      </w:r>
      <w:r>
        <w:rPr>
          <w:spacing w:val="-4"/>
          <w:sz w:val="28"/>
        </w:rPr>
        <w:t> </w:t>
      </w:r>
      <w:r>
        <w:rPr>
          <w:sz w:val="28"/>
        </w:rPr>
        <w:t>Section 78A and 78B “may require the Secretary of State or the Executive Office</w:t>
      </w:r>
    </w:p>
    <w:p>
      <w:pPr>
        <w:pStyle w:val="BodyText"/>
        <w:spacing w:line="322" w:lineRule="exact"/>
        <w:ind w:left="1853"/>
      </w:pPr>
      <w:r>
        <w:rPr/>
        <w:t>in</w:t>
      </w:r>
      <w:r>
        <w:rPr>
          <w:spacing w:val="-7"/>
        </w:rPr>
        <w:t> </w:t>
      </w:r>
      <w:r>
        <w:rPr/>
        <w:t>NI</w:t>
      </w:r>
      <w:r>
        <w:rPr>
          <w:spacing w:val="-5"/>
        </w:rPr>
        <w:t> </w:t>
      </w:r>
      <w:r>
        <w:rPr/>
        <w:t>to</w:t>
      </w:r>
      <w:r>
        <w:rPr>
          <w:spacing w:val="-6"/>
        </w:rPr>
        <w:t> </w:t>
      </w:r>
      <w:r>
        <w:rPr/>
        <w:t>reply</w:t>
      </w:r>
      <w:r>
        <w:rPr>
          <w:spacing w:val="-5"/>
        </w:rPr>
        <w:t> </w:t>
      </w:r>
      <w:r>
        <w:rPr/>
        <w:t>in</w:t>
      </w:r>
      <w:r>
        <w:rPr>
          <w:spacing w:val="-7"/>
        </w:rPr>
        <w:t> </w:t>
      </w:r>
      <w:r>
        <w:rPr/>
        <w:t>writing</w:t>
      </w:r>
      <w:r>
        <w:rPr>
          <w:spacing w:val="-5"/>
        </w:rPr>
        <w:t> </w:t>
      </w:r>
      <w:r>
        <w:rPr/>
        <w:t>to</w:t>
      </w:r>
      <w:r>
        <w:rPr>
          <w:spacing w:val="-6"/>
        </w:rPr>
        <w:t> </w:t>
      </w:r>
      <w:r>
        <w:rPr/>
        <w:t>any</w:t>
      </w:r>
      <w:r>
        <w:rPr>
          <w:spacing w:val="-5"/>
        </w:rPr>
        <w:t> </w:t>
      </w:r>
      <w:r>
        <w:rPr/>
        <w:t>recommendations</w:t>
      </w:r>
      <w:r>
        <w:rPr>
          <w:spacing w:val="-6"/>
        </w:rPr>
        <w:t> </w:t>
      </w:r>
      <w:r>
        <w:rPr/>
        <w:t>contained</w:t>
      </w:r>
      <w:r>
        <w:rPr>
          <w:spacing w:val="-7"/>
        </w:rPr>
        <w:t> </w:t>
      </w:r>
      <w:r>
        <w:rPr/>
        <w:t>in</w:t>
      </w:r>
      <w:r>
        <w:rPr>
          <w:spacing w:val="-6"/>
        </w:rPr>
        <w:t> </w:t>
      </w:r>
      <w:r>
        <w:rPr/>
        <w:t>the</w:t>
      </w:r>
      <w:r>
        <w:rPr>
          <w:spacing w:val="-5"/>
        </w:rPr>
        <w:t> </w:t>
      </w:r>
      <w:r>
        <w:rPr>
          <w:spacing w:val="-2"/>
        </w:rPr>
        <w:t>report,</w:t>
      </w:r>
    </w:p>
    <w:p>
      <w:pPr>
        <w:spacing w:after="0" w:line="322" w:lineRule="exact"/>
        <w:sectPr>
          <w:pgSz w:w="11910" w:h="16840"/>
          <w:pgMar w:header="496" w:footer="367" w:top="1220" w:bottom="560" w:left="0" w:right="0"/>
        </w:sectPr>
      </w:pPr>
    </w:p>
    <w:p>
      <w:pPr>
        <w:pStyle w:val="BodyText"/>
        <w:spacing w:before="198"/>
      </w:pPr>
    </w:p>
    <w:p>
      <w:pPr>
        <w:spacing w:line="225" w:lineRule="auto" w:before="0"/>
        <w:ind w:left="1853" w:right="1171" w:firstLine="0"/>
        <w:jc w:val="left"/>
        <w:rPr>
          <w:b/>
          <w:sz w:val="28"/>
        </w:rPr>
      </w:pPr>
      <w:r>
        <w:rPr>
          <w:sz w:val="28"/>
        </w:rPr>
        <w:t>explaining what steps have been taken or are planned in response to the recommendations”.</w:t>
      </w:r>
      <w:r>
        <w:rPr>
          <w:spacing w:val="40"/>
          <w:sz w:val="28"/>
        </w:rPr>
        <w:t> </w:t>
      </w:r>
      <w:r>
        <w:rPr>
          <w:b/>
          <w:color w:val="393B80"/>
          <w:sz w:val="28"/>
        </w:rPr>
        <w:t>The Commissions will therefore be writing to the Secretary</w:t>
      </w:r>
      <w:r>
        <w:rPr>
          <w:b/>
          <w:color w:val="393B80"/>
          <w:spacing w:val="-7"/>
          <w:sz w:val="28"/>
        </w:rPr>
        <w:t> </w:t>
      </w:r>
      <w:r>
        <w:rPr>
          <w:b/>
          <w:color w:val="393B80"/>
          <w:sz w:val="28"/>
        </w:rPr>
        <w:t>of</w:t>
      </w:r>
      <w:r>
        <w:rPr>
          <w:b/>
          <w:color w:val="393B80"/>
          <w:spacing w:val="-7"/>
          <w:sz w:val="28"/>
        </w:rPr>
        <w:t> </w:t>
      </w:r>
      <w:r>
        <w:rPr>
          <w:b/>
          <w:color w:val="393B80"/>
          <w:sz w:val="28"/>
        </w:rPr>
        <w:t>State</w:t>
      </w:r>
      <w:r>
        <w:rPr>
          <w:b/>
          <w:color w:val="393B80"/>
          <w:spacing w:val="-8"/>
          <w:sz w:val="28"/>
        </w:rPr>
        <w:t> </w:t>
      </w:r>
      <w:r>
        <w:rPr>
          <w:b/>
          <w:color w:val="393B80"/>
          <w:sz w:val="28"/>
        </w:rPr>
        <w:t>for</w:t>
      </w:r>
      <w:r>
        <w:rPr>
          <w:b/>
          <w:color w:val="393B80"/>
          <w:spacing w:val="-7"/>
          <w:sz w:val="28"/>
        </w:rPr>
        <w:t> </w:t>
      </w:r>
      <w:r>
        <w:rPr>
          <w:b/>
          <w:color w:val="393B80"/>
          <w:sz w:val="28"/>
        </w:rPr>
        <w:t>NI</w:t>
      </w:r>
      <w:r>
        <w:rPr>
          <w:b/>
          <w:color w:val="393B80"/>
          <w:spacing w:val="-7"/>
          <w:sz w:val="28"/>
        </w:rPr>
        <w:t> </w:t>
      </w:r>
      <w:r>
        <w:rPr>
          <w:b/>
          <w:color w:val="393B80"/>
          <w:sz w:val="28"/>
        </w:rPr>
        <w:t>and</w:t>
      </w:r>
      <w:r>
        <w:rPr>
          <w:b/>
          <w:color w:val="393B80"/>
          <w:spacing w:val="-7"/>
          <w:sz w:val="28"/>
        </w:rPr>
        <w:t> </w:t>
      </w:r>
      <w:r>
        <w:rPr>
          <w:b/>
          <w:color w:val="393B80"/>
          <w:sz w:val="28"/>
        </w:rPr>
        <w:t>the</w:t>
      </w:r>
      <w:r>
        <w:rPr>
          <w:b/>
          <w:color w:val="393B80"/>
          <w:spacing w:val="-7"/>
          <w:sz w:val="28"/>
        </w:rPr>
        <w:t> </w:t>
      </w:r>
      <w:r>
        <w:rPr>
          <w:b/>
          <w:color w:val="393B80"/>
          <w:sz w:val="28"/>
        </w:rPr>
        <w:t>NI</w:t>
      </w:r>
      <w:r>
        <w:rPr>
          <w:b/>
          <w:color w:val="393B80"/>
          <w:spacing w:val="-7"/>
          <w:sz w:val="28"/>
        </w:rPr>
        <w:t> </w:t>
      </w:r>
      <w:r>
        <w:rPr>
          <w:b/>
          <w:color w:val="393B80"/>
          <w:sz w:val="28"/>
        </w:rPr>
        <w:t>Executive</w:t>
      </w:r>
      <w:r>
        <w:rPr>
          <w:b/>
          <w:color w:val="393B80"/>
          <w:spacing w:val="-7"/>
          <w:sz w:val="28"/>
        </w:rPr>
        <w:t> </w:t>
      </w:r>
      <w:r>
        <w:rPr>
          <w:b/>
          <w:color w:val="393B80"/>
          <w:sz w:val="28"/>
        </w:rPr>
        <w:t>Office</w:t>
      </w:r>
      <w:r>
        <w:rPr>
          <w:b/>
          <w:color w:val="393B80"/>
          <w:spacing w:val="-8"/>
          <w:sz w:val="28"/>
        </w:rPr>
        <w:t> </w:t>
      </w:r>
      <w:r>
        <w:rPr>
          <w:b/>
          <w:color w:val="393B80"/>
          <w:sz w:val="28"/>
        </w:rPr>
        <w:t>to</w:t>
      </w:r>
      <w:r>
        <w:rPr>
          <w:b/>
          <w:color w:val="393B80"/>
          <w:spacing w:val="-7"/>
          <w:sz w:val="28"/>
        </w:rPr>
        <w:t> </w:t>
      </w:r>
      <w:r>
        <w:rPr>
          <w:b/>
          <w:color w:val="393B80"/>
          <w:sz w:val="28"/>
        </w:rPr>
        <w:t>request</w:t>
      </w:r>
      <w:r>
        <w:rPr>
          <w:b/>
          <w:color w:val="393B80"/>
          <w:spacing w:val="-7"/>
          <w:sz w:val="28"/>
        </w:rPr>
        <w:t> </w:t>
      </w:r>
      <w:r>
        <w:rPr>
          <w:b/>
          <w:color w:val="393B80"/>
          <w:sz w:val="28"/>
        </w:rPr>
        <w:t>a</w:t>
      </w:r>
      <w:r>
        <w:rPr>
          <w:b/>
          <w:color w:val="393B80"/>
          <w:spacing w:val="-7"/>
          <w:sz w:val="28"/>
        </w:rPr>
        <w:t> </w:t>
      </w:r>
      <w:r>
        <w:rPr>
          <w:b/>
          <w:color w:val="393B80"/>
          <w:sz w:val="28"/>
        </w:rPr>
        <w:t>response</w:t>
      </w:r>
      <w:r>
        <w:rPr>
          <w:b/>
          <w:color w:val="393B80"/>
          <w:spacing w:val="-7"/>
          <w:sz w:val="28"/>
        </w:rPr>
        <w:t> </w:t>
      </w:r>
      <w:r>
        <w:rPr>
          <w:b/>
          <w:color w:val="393B80"/>
          <w:sz w:val="28"/>
        </w:rPr>
        <w:t>to th</w:t>
      </w:r>
      <w:r>
        <w:rPr>
          <w:b/>
          <w:color w:val="393B7F"/>
          <w:sz w:val="28"/>
        </w:rPr>
        <w:t>e recommendations in t</w:t>
      </w:r>
      <w:r>
        <w:rPr>
          <w:b/>
          <w:color w:val="393B80"/>
          <w:sz w:val="28"/>
        </w:rPr>
        <w:t>his report.</w:t>
      </w:r>
    </w:p>
    <w:p>
      <w:pPr>
        <w:pStyle w:val="ListParagraph"/>
        <w:numPr>
          <w:ilvl w:val="1"/>
          <w:numId w:val="2"/>
        </w:numPr>
        <w:tabs>
          <w:tab w:pos="1853" w:val="left" w:leader="none"/>
        </w:tabs>
        <w:spacing w:line="225" w:lineRule="auto" w:before="315" w:after="0"/>
        <w:ind w:left="1853" w:right="1487" w:hanging="720"/>
        <w:jc w:val="left"/>
        <w:rPr>
          <w:sz w:val="28"/>
        </w:rPr>
      </w:pPr>
      <w:r>
        <w:rPr>
          <w:sz w:val="28"/>
        </w:rPr>
        <w:t>The</w:t>
      </w:r>
      <w:r>
        <w:rPr>
          <w:spacing w:val="-7"/>
          <w:sz w:val="28"/>
        </w:rPr>
        <w:t> </w:t>
      </w:r>
      <w:r>
        <w:rPr>
          <w:sz w:val="28"/>
        </w:rPr>
        <w:t>Commissions</w:t>
      </w:r>
      <w:r>
        <w:rPr>
          <w:spacing w:val="-7"/>
          <w:sz w:val="28"/>
        </w:rPr>
        <w:t> </w:t>
      </w:r>
      <w:r>
        <w:rPr>
          <w:sz w:val="28"/>
        </w:rPr>
        <w:t>note</w:t>
      </w:r>
      <w:r>
        <w:rPr>
          <w:spacing w:val="-7"/>
          <w:sz w:val="28"/>
        </w:rPr>
        <w:t> </w:t>
      </w:r>
      <w:r>
        <w:rPr>
          <w:sz w:val="28"/>
        </w:rPr>
        <w:t>that,</w:t>
      </w:r>
      <w:r>
        <w:rPr>
          <w:spacing w:val="-7"/>
          <w:sz w:val="28"/>
        </w:rPr>
        <w:t> </w:t>
      </w:r>
      <w:r>
        <w:rPr>
          <w:sz w:val="28"/>
        </w:rPr>
        <w:t>since</w:t>
      </w:r>
      <w:r>
        <w:rPr>
          <w:spacing w:val="-7"/>
          <w:sz w:val="28"/>
        </w:rPr>
        <w:t> </w:t>
      </w:r>
      <w:r>
        <w:rPr>
          <w:sz w:val="28"/>
        </w:rPr>
        <w:t>restoration</w:t>
      </w:r>
      <w:r>
        <w:rPr>
          <w:spacing w:val="-7"/>
          <w:sz w:val="28"/>
        </w:rPr>
        <w:t> </w:t>
      </w:r>
      <w:r>
        <w:rPr>
          <w:sz w:val="28"/>
        </w:rPr>
        <w:t>of</w:t>
      </w:r>
      <w:r>
        <w:rPr>
          <w:spacing w:val="-7"/>
          <w:sz w:val="28"/>
        </w:rPr>
        <w:t> </w:t>
      </w:r>
      <w:r>
        <w:rPr>
          <w:sz w:val="28"/>
        </w:rPr>
        <w:t>the</w:t>
      </w:r>
      <w:r>
        <w:rPr>
          <w:spacing w:val="-7"/>
          <w:sz w:val="28"/>
        </w:rPr>
        <w:t> </w:t>
      </w:r>
      <w:r>
        <w:rPr>
          <w:sz w:val="28"/>
        </w:rPr>
        <w:t>institutions</w:t>
      </w:r>
      <w:r>
        <w:rPr>
          <w:spacing w:val="-7"/>
          <w:sz w:val="28"/>
        </w:rPr>
        <w:t> </w:t>
      </w:r>
      <w:r>
        <w:rPr>
          <w:sz w:val="28"/>
        </w:rPr>
        <w:t>in</w:t>
      </w:r>
      <w:r>
        <w:rPr>
          <w:spacing w:val="-7"/>
          <w:sz w:val="28"/>
        </w:rPr>
        <w:t> </w:t>
      </w:r>
      <w:r>
        <w:rPr>
          <w:sz w:val="28"/>
        </w:rPr>
        <w:t>February 2024, there has been limited time for a response from the Executive Office to receive Ministerial approval prior to 31 March 2024.</w:t>
      </w:r>
      <w:r>
        <w:rPr>
          <w:spacing w:val="40"/>
          <w:sz w:val="28"/>
        </w:rPr>
        <w:t> </w:t>
      </w:r>
      <w:r>
        <w:rPr>
          <w:sz w:val="28"/>
        </w:rPr>
        <w:t>Nevertheless, the</w:t>
      </w:r>
    </w:p>
    <w:p>
      <w:pPr>
        <w:pStyle w:val="BodyText"/>
        <w:spacing w:line="225" w:lineRule="auto"/>
        <w:ind w:left="1853" w:right="1171"/>
      </w:pPr>
      <w:r>
        <w:rPr/>
        <w:t>Commissions</w:t>
      </w:r>
      <w:r>
        <w:rPr>
          <w:spacing w:val="-8"/>
        </w:rPr>
        <w:t> </w:t>
      </w:r>
      <w:r>
        <w:rPr/>
        <w:t>are</w:t>
      </w:r>
      <w:r>
        <w:rPr>
          <w:spacing w:val="-7"/>
        </w:rPr>
        <w:t> </w:t>
      </w:r>
      <w:r>
        <w:rPr/>
        <w:t>disappointed</w:t>
      </w:r>
      <w:r>
        <w:rPr>
          <w:spacing w:val="-8"/>
        </w:rPr>
        <w:t> </w:t>
      </w:r>
      <w:r>
        <w:rPr/>
        <w:t>that</w:t>
      </w:r>
      <w:r>
        <w:rPr>
          <w:spacing w:val="-7"/>
        </w:rPr>
        <w:t> </w:t>
      </w:r>
      <w:r>
        <w:rPr/>
        <w:t>they</w:t>
      </w:r>
      <w:r>
        <w:rPr>
          <w:spacing w:val="-7"/>
        </w:rPr>
        <w:t> </w:t>
      </w:r>
      <w:r>
        <w:rPr/>
        <w:t>have</w:t>
      </w:r>
      <w:r>
        <w:rPr>
          <w:spacing w:val="-7"/>
        </w:rPr>
        <w:t> </w:t>
      </w:r>
      <w:r>
        <w:rPr/>
        <w:t>not</w:t>
      </w:r>
      <w:r>
        <w:rPr>
          <w:spacing w:val="-7"/>
        </w:rPr>
        <w:t> </w:t>
      </w:r>
      <w:r>
        <w:rPr/>
        <w:t>received</w:t>
      </w:r>
      <w:r>
        <w:rPr>
          <w:spacing w:val="-8"/>
        </w:rPr>
        <w:t> </w:t>
      </w:r>
      <w:r>
        <w:rPr/>
        <w:t>a</w:t>
      </w:r>
      <w:r>
        <w:rPr>
          <w:spacing w:val="-8"/>
        </w:rPr>
        <w:t> </w:t>
      </w:r>
      <w:r>
        <w:rPr/>
        <w:t>formal</w:t>
      </w:r>
      <w:r>
        <w:rPr>
          <w:spacing w:val="-8"/>
        </w:rPr>
        <w:t> </w:t>
      </w:r>
      <w:r>
        <w:rPr/>
        <w:t>response pursuant to Sections 78A(3) and 78B(3) from either the Secretary of State</w:t>
      </w:r>
    </w:p>
    <w:p>
      <w:pPr>
        <w:pStyle w:val="BodyText"/>
        <w:spacing w:line="225" w:lineRule="auto"/>
        <w:ind w:left="1853" w:right="1171"/>
      </w:pPr>
      <w:r>
        <w:rPr/>
        <w:t>for</w:t>
      </w:r>
      <w:r>
        <w:rPr>
          <w:spacing w:val="-5"/>
        </w:rPr>
        <w:t> </w:t>
      </w:r>
      <w:r>
        <w:rPr/>
        <w:t>NI</w:t>
      </w:r>
      <w:r>
        <w:rPr>
          <w:spacing w:val="-5"/>
        </w:rPr>
        <w:t> </w:t>
      </w:r>
      <w:r>
        <w:rPr/>
        <w:t>or</w:t>
      </w:r>
      <w:r>
        <w:rPr>
          <w:spacing w:val="-5"/>
        </w:rPr>
        <w:t> </w:t>
      </w:r>
      <w:r>
        <w:rPr/>
        <w:t>the</w:t>
      </w:r>
      <w:r>
        <w:rPr>
          <w:spacing w:val="-5"/>
        </w:rPr>
        <w:t> </w:t>
      </w:r>
      <w:r>
        <w:rPr/>
        <w:t>NI</w:t>
      </w:r>
      <w:r>
        <w:rPr>
          <w:spacing w:val="-5"/>
        </w:rPr>
        <w:t> </w:t>
      </w:r>
      <w:r>
        <w:rPr/>
        <w:t>Executive</w:t>
      </w:r>
      <w:r>
        <w:rPr>
          <w:spacing w:val="-5"/>
        </w:rPr>
        <w:t> </w:t>
      </w:r>
      <w:r>
        <w:rPr/>
        <w:t>Office</w:t>
      </w:r>
      <w:r>
        <w:rPr>
          <w:spacing w:val="-5"/>
        </w:rPr>
        <w:t> </w:t>
      </w:r>
      <w:r>
        <w:rPr/>
        <w:t>in</w:t>
      </w:r>
      <w:r>
        <w:rPr>
          <w:spacing w:val="-6"/>
        </w:rPr>
        <w:t> </w:t>
      </w:r>
      <w:r>
        <w:rPr/>
        <w:t>respect</w:t>
      </w:r>
      <w:r>
        <w:rPr>
          <w:spacing w:val="-5"/>
        </w:rPr>
        <w:t> </w:t>
      </w:r>
      <w:r>
        <w:rPr/>
        <w:t>of</w:t>
      </w:r>
      <w:r>
        <w:rPr>
          <w:spacing w:val="-6"/>
        </w:rPr>
        <w:t> </w:t>
      </w:r>
      <w:r>
        <w:rPr/>
        <w:t>their</w:t>
      </w:r>
      <w:r>
        <w:rPr>
          <w:spacing w:val="-5"/>
        </w:rPr>
        <w:t> </w:t>
      </w:r>
      <w:r>
        <w:rPr/>
        <w:t>Annual</w:t>
      </w:r>
      <w:r>
        <w:rPr>
          <w:spacing w:val="-6"/>
        </w:rPr>
        <w:t> </w:t>
      </w:r>
      <w:r>
        <w:rPr/>
        <w:t>Report</w:t>
      </w:r>
      <w:r>
        <w:rPr>
          <w:spacing w:val="-5"/>
        </w:rPr>
        <w:t> </w:t>
      </w:r>
      <w:r>
        <w:rPr/>
        <w:t>2022-2023 within the reporting period for this year.</w:t>
      </w:r>
    </w:p>
    <w:p>
      <w:pPr>
        <w:pStyle w:val="ListParagraph"/>
        <w:numPr>
          <w:ilvl w:val="1"/>
          <w:numId w:val="2"/>
        </w:numPr>
        <w:tabs>
          <w:tab w:pos="1853" w:val="left" w:leader="none"/>
        </w:tabs>
        <w:spacing w:line="225" w:lineRule="auto" w:before="311" w:after="0"/>
        <w:ind w:left="1853" w:right="1293" w:hanging="720"/>
        <w:jc w:val="left"/>
        <w:rPr>
          <w:sz w:val="28"/>
        </w:rPr>
      </w:pPr>
      <w:r>
        <w:rPr>
          <w:sz w:val="28"/>
        </w:rPr>
        <w:t>For ease of reference the Commissions have carried over recommendations and</w:t>
      </w:r>
      <w:r>
        <w:rPr>
          <w:spacing w:val="-6"/>
          <w:sz w:val="28"/>
        </w:rPr>
        <w:t> </w:t>
      </w:r>
      <w:r>
        <w:rPr>
          <w:sz w:val="28"/>
        </w:rPr>
        <w:t>advice</w:t>
      </w:r>
      <w:r>
        <w:rPr>
          <w:spacing w:val="-5"/>
          <w:sz w:val="28"/>
        </w:rPr>
        <w:t> </w:t>
      </w:r>
      <w:r>
        <w:rPr>
          <w:sz w:val="28"/>
        </w:rPr>
        <w:t>from</w:t>
      </w:r>
      <w:r>
        <w:rPr>
          <w:spacing w:val="-5"/>
          <w:sz w:val="28"/>
        </w:rPr>
        <w:t> </w:t>
      </w:r>
      <w:r>
        <w:rPr>
          <w:sz w:val="28"/>
        </w:rPr>
        <w:t>previous</w:t>
      </w:r>
      <w:r>
        <w:rPr>
          <w:spacing w:val="-6"/>
          <w:sz w:val="28"/>
        </w:rPr>
        <w:t> </w:t>
      </w:r>
      <w:r>
        <w:rPr>
          <w:sz w:val="28"/>
        </w:rPr>
        <w:t>Annual</w:t>
      </w:r>
      <w:r>
        <w:rPr>
          <w:spacing w:val="-6"/>
          <w:sz w:val="28"/>
        </w:rPr>
        <w:t> </w:t>
      </w:r>
      <w:r>
        <w:rPr>
          <w:sz w:val="28"/>
        </w:rPr>
        <w:t>Reports</w:t>
      </w:r>
      <w:r>
        <w:rPr>
          <w:spacing w:val="-6"/>
          <w:sz w:val="28"/>
        </w:rPr>
        <w:t> </w:t>
      </w:r>
      <w:r>
        <w:rPr>
          <w:sz w:val="28"/>
        </w:rPr>
        <w:t>that</w:t>
      </w:r>
      <w:r>
        <w:rPr>
          <w:spacing w:val="-5"/>
          <w:sz w:val="28"/>
        </w:rPr>
        <w:t> </w:t>
      </w:r>
      <w:r>
        <w:rPr>
          <w:sz w:val="28"/>
        </w:rPr>
        <w:t>have</w:t>
      </w:r>
      <w:r>
        <w:rPr>
          <w:spacing w:val="-5"/>
          <w:sz w:val="28"/>
        </w:rPr>
        <w:t> </w:t>
      </w:r>
      <w:r>
        <w:rPr>
          <w:sz w:val="28"/>
        </w:rPr>
        <w:t>not</w:t>
      </w:r>
      <w:r>
        <w:rPr>
          <w:spacing w:val="-5"/>
          <w:sz w:val="28"/>
        </w:rPr>
        <w:t> </w:t>
      </w:r>
      <w:r>
        <w:rPr>
          <w:sz w:val="28"/>
        </w:rPr>
        <w:t>been</w:t>
      </w:r>
      <w:r>
        <w:rPr>
          <w:spacing w:val="-6"/>
          <w:sz w:val="28"/>
        </w:rPr>
        <w:t> </w:t>
      </w:r>
      <w:r>
        <w:rPr>
          <w:sz w:val="28"/>
        </w:rPr>
        <w:t>fully</w:t>
      </w:r>
      <w:r>
        <w:rPr>
          <w:spacing w:val="-5"/>
          <w:sz w:val="28"/>
        </w:rPr>
        <w:t> </w:t>
      </w:r>
      <w:r>
        <w:rPr>
          <w:sz w:val="28"/>
        </w:rPr>
        <w:t>addressed. This Annual Report constitutes an up-to-date overview of the Commissions’ current recommendations.</w:t>
      </w:r>
    </w:p>
    <w:p>
      <w:pPr>
        <w:spacing w:after="0" w:line="225" w:lineRule="auto"/>
        <w:jc w:val="left"/>
        <w:rPr>
          <w:sz w:val="28"/>
        </w:rPr>
        <w:sectPr>
          <w:headerReference w:type="even" r:id="rId63"/>
          <w:headerReference w:type="default" r:id="rId64"/>
          <w:footerReference w:type="even" r:id="rId65"/>
          <w:footerReference w:type="default" r:id="rId66"/>
          <w:pgSz w:w="11910" w:h="16840"/>
          <w:pgMar w:header="496" w:footer="367" w:top="1220" w:bottom="560" w:left="0" w:right="0"/>
          <w:pgNumType w:start="10"/>
        </w:sectPr>
      </w:pPr>
    </w:p>
    <w:p>
      <w:pPr>
        <w:pStyle w:val="Heading1"/>
        <w:numPr>
          <w:ilvl w:val="1"/>
          <w:numId w:val="5"/>
        </w:numPr>
        <w:tabs>
          <w:tab w:pos="1976" w:val="left" w:leader="none"/>
        </w:tabs>
        <w:spacing w:line="235" w:lineRule="auto" w:before="478" w:after="0"/>
        <w:ind w:left="1133" w:right="2557" w:firstLine="0"/>
        <w:jc w:val="left"/>
        <w:rPr>
          <w:color w:val="393B7F"/>
        </w:rPr>
      </w:pPr>
      <w:bookmarkStart w:name="_bookmark4" w:id="9"/>
      <w:bookmarkEnd w:id="9"/>
      <w:r>
        <w:rPr>
          <w:b w:val="0"/>
        </w:rPr>
      </w:r>
      <w:bookmarkStart w:name="2.0 Implementation and Scrutiny of Winds" w:id="10"/>
      <w:bookmarkEnd w:id="10"/>
      <w:r>
        <w:rPr>
          <w:b w:val="0"/>
        </w:rPr>
      </w:r>
      <w:r>
        <w:rPr>
          <w:color w:val="393B7F"/>
        </w:rPr>
        <w:t>Implementation</w:t>
      </w:r>
      <w:r>
        <w:rPr>
          <w:color w:val="393B7F"/>
          <w:spacing w:val="-21"/>
        </w:rPr>
        <w:t> </w:t>
      </w:r>
      <w:r>
        <w:rPr>
          <w:color w:val="393B7F"/>
        </w:rPr>
        <w:t>and</w:t>
      </w:r>
      <w:r>
        <w:rPr>
          <w:color w:val="393B7F"/>
          <w:spacing w:val="-21"/>
        </w:rPr>
        <w:t> </w:t>
      </w:r>
      <w:r>
        <w:rPr>
          <w:color w:val="393B7F"/>
        </w:rPr>
        <w:t>Scrutiny</w:t>
      </w:r>
      <w:r>
        <w:rPr>
          <w:color w:val="393B7F"/>
          <w:spacing w:val="-21"/>
        </w:rPr>
        <w:t> </w:t>
      </w:r>
      <w:r>
        <w:rPr>
          <w:color w:val="393B7F"/>
        </w:rPr>
        <w:t>of Windsor Framework Article 2</w:t>
      </w:r>
    </w:p>
    <w:p>
      <w:pPr>
        <w:pStyle w:val="BodyText"/>
        <w:spacing w:before="9"/>
        <w:rPr>
          <w:b/>
          <w:sz w:val="17"/>
        </w:rPr>
      </w:pPr>
      <w:r>
        <w:rPr/>
        <mc:AlternateContent>
          <mc:Choice Requires="wps">
            <w:drawing>
              <wp:anchor distT="0" distB="0" distL="0" distR="0" allowOverlap="1" layoutInCell="1" locked="0" behindDoc="1" simplePos="0" relativeHeight="487621632">
                <wp:simplePos x="0" y="0"/>
                <wp:positionH relativeFrom="page">
                  <wp:posOffset>719997</wp:posOffset>
                </wp:positionH>
                <wp:positionV relativeFrom="paragraph">
                  <wp:posOffset>152942</wp:posOffset>
                </wp:positionV>
                <wp:extent cx="6120130" cy="1270"/>
                <wp:effectExtent l="0" t="0" r="0" b="0"/>
                <wp:wrapTopAndBottom/>
                <wp:docPr id="130" name="Graphic 130"/>
                <wp:cNvGraphicFramePr>
                  <a:graphicFrameLocks/>
                </wp:cNvGraphicFramePr>
                <a:graphic>
                  <a:graphicData uri="http://schemas.microsoft.com/office/word/2010/wordprocessingShape">
                    <wps:wsp>
                      <wps:cNvPr id="130" name="Graphic 13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12.042712pt;width:481.9pt;height:.1pt;mso-position-horizontal-relative:page;mso-position-vertical-relative:paragraph;z-index:-15694848;mso-wrap-distance-left:0;mso-wrap-distance-right:0" id="docshape87" coordorigin="1134,241" coordsize="9638,0" path="m10772,241l1134,241e" filled="false" stroked="true" strokeweight="1pt" strokecolor="#393b80">
                <v:path arrowok="t"/>
                <v:stroke dashstyle="solid"/>
                <w10:wrap type="topAndBottom"/>
              </v:shape>
            </w:pict>
          </mc:Fallback>
        </mc:AlternateContent>
      </w:r>
    </w:p>
    <w:p>
      <w:pPr>
        <w:pStyle w:val="ListParagraph"/>
        <w:numPr>
          <w:ilvl w:val="1"/>
          <w:numId w:val="5"/>
        </w:numPr>
        <w:tabs>
          <w:tab w:pos="1853" w:val="left" w:leader="none"/>
        </w:tabs>
        <w:spacing w:line="331" w:lineRule="exact" w:before="281" w:after="0"/>
        <w:ind w:left="1853" w:right="0" w:hanging="720"/>
        <w:jc w:val="left"/>
        <w:rPr>
          <w:sz w:val="28"/>
        </w:rPr>
      </w:pPr>
      <w:r>
        <w:rPr>
          <w:sz w:val="28"/>
        </w:rPr>
        <w:t>In</w:t>
      </w:r>
      <w:r>
        <w:rPr>
          <w:spacing w:val="-6"/>
          <w:sz w:val="28"/>
        </w:rPr>
        <w:t> </w:t>
      </w:r>
      <w:r>
        <w:rPr>
          <w:sz w:val="28"/>
        </w:rPr>
        <w:t>2023-24,</w:t>
      </w:r>
      <w:r>
        <w:rPr>
          <w:spacing w:val="-4"/>
          <w:sz w:val="28"/>
        </w:rPr>
        <w:t> </w:t>
      </w:r>
      <w:r>
        <w:rPr>
          <w:sz w:val="28"/>
        </w:rPr>
        <w:t>the</w:t>
      </w:r>
      <w:r>
        <w:rPr>
          <w:spacing w:val="-5"/>
          <w:sz w:val="28"/>
        </w:rPr>
        <w:t> </w:t>
      </w:r>
      <w:r>
        <w:rPr>
          <w:sz w:val="28"/>
        </w:rPr>
        <w:t>Commissions</w:t>
      </w:r>
      <w:r>
        <w:rPr>
          <w:spacing w:val="-5"/>
          <w:sz w:val="28"/>
        </w:rPr>
        <w:t> </w:t>
      </w:r>
      <w:r>
        <w:rPr>
          <w:sz w:val="28"/>
        </w:rPr>
        <w:t>continued</w:t>
      </w:r>
      <w:r>
        <w:rPr>
          <w:spacing w:val="-6"/>
          <w:sz w:val="28"/>
        </w:rPr>
        <w:t> </w:t>
      </w:r>
      <w:r>
        <w:rPr>
          <w:sz w:val="28"/>
        </w:rPr>
        <w:t>to</w:t>
      </w:r>
      <w:r>
        <w:rPr>
          <w:spacing w:val="-5"/>
          <w:sz w:val="28"/>
        </w:rPr>
        <w:t> </w:t>
      </w:r>
      <w:r>
        <w:rPr>
          <w:sz w:val="28"/>
        </w:rPr>
        <w:t>engage</w:t>
      </w:r>
      <w:r>
        <w:rPr>
          <w:spacing w:val="-5"/>
          <w:sz w:val="28"/>
        </w:rPr>
        <w:t> </w:t>
      </w:r>
      <w:r>
        <w:rPr>
          <w:sz w:val="28"/>
        </w:rPr>
        <w:t>with</w:t>
      </w:r>
      <w:r>
        <w:rPr>
          <w:spacing w:val="-5"/>
          <w:sz w:val="28"/>
        </w:rPr>
        <w:t> </w:t>
      </w:r>
      <w:r>
        <w:rPr>
          <w:sz w:val="28"/>
        </w:rPr>
        <w:t>the</w:t>
      </w:r>
      <w:r>
        <w:rPr>
          <w:spacing w:val="-4"/>
          <w:sz w:val="28"/>
        </w:rPr>
        <w:t> </w:t>
      </w:r>
      <w:r>
        <w:rPr>
          <w:sz w:val="28"/>
        </w:rPr>
        <w:t>UK</w:t>
      </w:r>
      <w:r>
        <w:rPr>
          <w:spacing w:val="-5"/>
          <w:sz w:val="28"/>
        </w:rPr>
        <w:t> </w:t>
      </w:r>
      <w:r>
        <w:rPr>
          <w:spacing w:val="-2"/>
          <w:sz w:val="28"/>
        </w:rPr>
        <w:t>Government,</w:t>
      </w:r>
    </w:p>
    <w:p>
      <w:pPr>
        <w:pStyle w:val="BodyText"/>
        <w:spacing w:line="225" w:lineRule="auto" w:before="6"/>
        <w:ind w:left="1853" w:right="1470"/>
      </w:pPr>
      <w:r>
        <w:rPr/>
        <w:t>NI departments, the UK Parliament and NI Assembly with a view to</w:t>
      </w:r>
      <w:r>
        <w:rPr>
          <w:spacing w:val="40"/>
        </w:rPr>
        <w:t> </w:t>
      </w:r>
      <w:r>
        <w:rPr/>
        <w:t>securing</w:t>
      </w:r>
      <w:r>
        <w:rPr>
          <w:spacing w:val="-8"/>
        </w:rPr>
        <w:t> </w:t>
      </w:r>
      <w:r>
        <w:rPr/>
        <w:t>the</w:t>
      </w:r>
      <w:r>
        <w:rPr>
          <w:spacing w:val="-8"/>
        </w:rPr>
        <w:t> </w:t>
      </w:r>
      <w:r>
        <w:rPr/>
        <w:t>effective</w:t>
      </w:r>
      <w:r>
        <w:rPr>
          <w:spacing w:val="-8"/>
        </w:rPr>
        <w:t> </w:t>
      </w:r>
      <w:r>
        <w:rPr/>
        <w:t>implementation</w:t>
      </w:r>
      <w:r>
        <w:rPr>
          <w:spacing w:val="-9"/>
        </w:rPr>
        <w:t> </w:t>
      </w:r>
      <w:r>
        <w:rPr/>
        <w:t>of</w:t>
      </w:r>
      <w:r>
        <w:rPr>
          <w:spacing w:val="-9"/>
        </w:rPr>
        <w:t> </w:t>
      </w:r>
      <w:r>
        <w:rPr/>
        <w:t>Windsor</w:t>
      </w:r>
      <w:r>
        <w:rPr>
          <w:spacing w:val="-8"/>
        </w:rPr>
        <w:t> </w:t>
      </w:r>
      <w:r>
        <w:rPr/>
        <w:t>Framework</w:t>
      </w:r>
      <w:r>
        <w:rPr>
          <w:spacing w:val="-8"/>
        </w:rPr>
        <w:t> </w:t>
      </w:r>
      <w:r>
        <w:rPr/>
        <w:t>Article</w:t>
      </w:r>
      <w:r>
        <w:rPr>
          <w:spacing w:val="-8"/>
        </w:rPr>
        <w:t> </w:t>
      </w:r>
      <w:r>
        <w:rPr/>
        <w:t>2.</w:t>
      </w:r>
      <w:r>
        <w:rPr>
          <w:spacing w:val="-9"/>
        </w:rPr>
        <w:t> </w:t>
      </w:r>
      <w:r>
        <w:rPr/>
        <w:t>This engagement has been informed by the Commissions’ research, including research on the impact of UK withdrawal from the EU on the divergence of</w:t>
      </w:r>
    </w:p>
    <w:p>
      <w:pPr>
        <w:pStyle w:val="BodyText"/>
        <w:spacing w:line="321" w:lineRule="exact"/>
        <w:ind w:left="1853"/>
      </w:pPr>
      <w:r>
        <w:rPr/>
        <w:t>rights</w:t>
      </w:r>
      <w:r>
        <w:rPr>
          <w:spacing w:val="-6"/>
        </w:rPr>
        <w:t> </w:t>
      </w:r>
      <w:r>
        <w:rPr/>
        <w:t>and</w:t>
      </w:r>
      <w:r>
        <w:rPr>
          <w:spacing w:val="-6"/>
        </w:rPr>
        <w:t> </w:t>
      </w:r>
      <w:r>
        <w:rPr/>
        <w:t>best</w:t>
      </w:r>
      <w:r>
        <w:rPr>
          <w:spacing w:val="-5"/>
        </w:rPr>
        <w:t> </w:t>
      </w:r>
      <w:r>
        <w:rPr/>
        <w:t>practice</w:t>
      </w:r>
      <w:r>
        <w:rPr>
          <w:spacing w:val="-5"/>
        </w:rPr>
        <w:t> </w:t>
      </w:r>
      <w:r>
        <w:rPr/>
        <w:t>on</w:t>
      </w:r>
      <w:r>
        <w:rPr>
          <w:spacing w:val="-5"/>
        </w:rPr>
        <w:t> </w:t>
      </w:r>
      <w:r>
        <w:rPr/>
        <w:t>the</w:t>
      </w:r>
      <w:r>
        <w:rPr>
          <w:spacing w:val="-5"/>
        </w:rPr>
        <w:t> </w:t>
      </w:r>
      <w:r>
        <w:rPr/>
        <w:t>island</w:t>
      </w:r>
      <w:r>
        <w:rPr>
          <w:spacing w:val="-6"/>
        </w:rPr>
        <w:t> </w:t>
      </w:r>
      <w:r>
        <w:rPr/>
        <w:t>of</w:t>
      </w:r>
      <w:r>
        <w:rPr>
          <w:spacing w:val="-6"/>
        </w:rPr>
        <w:t> </w:t>
      </w:r>
      <w:r>
        <w:rPr/>
        <w:t>Ireland,</w:t>
      </w:r>
      <w:r>
        <w:rPr>
          <w:spacing w:val="-5"/>
        </w:rPr>
        <w:t> </w:t>
      </w:r>
      <w:r>
        <w:rPr/>
        <w:t>and</w:t>
      </w:r>
      <w:r>
        <w:rPr>
          <w:spacing w:val="-5"/>
        </w:rPr>
        <w:t> </w:t>
      </w:r>
      <w:r>
        <w:rPr/>
        <w:t>parliamentary</w:t>
      </w:r>
      <w:r>
        <w:rPr>
          <w:spacing w:val="-5"/>
        </w:rPr>
        <w:t> </w:t>
      </w:r>
      <w:r>
        <w:rPr>
          <w:spacing w:val="-2"/>
        </w:rPr>
        <w:t>scrutiny.</w:t>
      </w:r>
      <w:r>
        <w:rPr>
          <w:spacing w:val="-2"/>
          <w:vertAlign w:val="superscript"/>
        </w:rPr>
        <w:t>9</w:t>
      </w:r>
    </w:p>
    <w:p>
      <w:pPr>
        <w:pStyle w:val="BodyText"/>
      </w:pPr>
    </w:p>
    <w:p>
      <w:pPr>
        <w:pStyle w:val="Heading3"/>
      </w:pPr>
      <w:bookmarkStart w:name="Legal Framework" w:id="11"/>
      <w:bookmarkEnd w:id="11"/>
      <w:r>
        <w:rPr>
          <w:b w:val="0"/>
        </w:rPr>
      </w:r>
      <w:r>
        <w:rPr>
          <w:color w:val="67287F"/>
        </w:rPr>
        <w:t>Legal</w:t>
      </w:r>
      <w:r>
        <w:rPr>
          <w:color w:val="67287F"/>
          <w:spacing w:val="-9"/>
        </w:rPr>
        <w:t> </w:t>
      </w:r>
      <w:r>
        <w:rPr>
          <w:color w:val="67287F"/>
          <w:spacing w:val="-2"/>
        </w:rPr>
        <w:t>Framework</w:t>
      </w:r>
    </w:p>
    <w:p>
      <w:pPr>
        <w:pStyle w:val="BodyText"/>
        <w:spacing w:before="8"/>
        <w:rPr>
          <w:b/>
          <w:sz w:val="5"/>
        </w:rPr>
      </w:pPr>
      <w:r>
        <w:rPr/>
        <mc:AlternateContent>
          <mc:Choice Requires="wps">
            <w:drawing>
              <wp:anchor distT="0" distB="0" distL="0" distR="0" allowOverlap="1" layoutInCell="1" locked="0" behindDoc="1" simplePos="0" relativeHeight="487622144">
                <wp:simplePos x="0" y="0"/>
                <wp:positionH relativeFrom="page">
                  <wp:posOffset>719996</wp:posOffset>
                </wp:positionH>
                <wp:positionV relativeFrom="paragraph">
                  <wp:posOffset>59339</wp:posOffset>
                </wp:positionV>
                <wp:extent cx="6120130" cy="1270"/>
                <wp:effectExtent l="0" t="0" r="0" b="0"/>
                <wp:wrapTopAndBottom/>
                <wp:docPr id="131" name="Graphic 131"/>
                <wp:cNvGraphicFramePr>
                  <a:graphicFrameLocks/>
                </wp:cNvGraphicFramePr>
                <a:graphic>
                  <a:graphicData uri="http://schemas.microsoft.com/office/word/2010/wordprocessingShape">
                    <wps:wsp>
                      <wps:cNvPr id="131" name="Graphic 131"/>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4.672439pt;width:481.9pt;height:.1pt;mso-position-horizontal-relative:page;mso-position-vertical-relative:paragraph;z-index:-15694336;mso-wrap-distance-left:0;mso-wrap-distance-right:0" id="docshape88" coordorigin="1134,93" coordsize="9638,0" path="m10772,93l1134,93e" filled="false" stroked="true" strokeweight="1pt" strokecolor="#67287f">
                <v:path arrowok="t"/>
                <v:stroke dashstyle="solid"/>
                <w10:wrap type="topAndBottom"/>
              </v:shape>
            </w:pict>
          </mc:Fallback>
        </mc:AlternateContent>
      </w:r>
    </w:p>
    <w:p>
      <w:pPr>
        <w:pStyle w:val="ListParagraph"/>
        <w:numPr>
          <w:ilvl w:val="1"/>
          <w:numId w:val="5"/>
        </w:numPr>
        <w:tabs>
          <w:tab w:pos="1853" w:val="left" w:leader="none"/>
        </w:tabs>
        <w:spacing w:line="225" w:lineRule="auto" w:before="329" w:after="0"/>
        <w:ind w:left="1853" w:right="1401" w:hanging="720"/>
        <w:jc w:val="left"/>
        <w:rPr>
          <w:sz w:val="28"/>
        </w:rPr>
      </w:pPr>
      <w:r>
        <w:rPr>
          <w:sz w:val="28"/>
        </w:rPr>
        <w:t>The NIHRC and the ECNI are required in accordance with Windsor Framework</w:t>
      </w:r>
      <w:r>
        <w:rPr>
          <w:spacing w:val="-5"/>
          <w:sz w:val="28"/>
        </w:rPr>
        <w:t> </w:t>
      </w:r>
      <w:r>
        <w:rPr>
          <w:sz w:val="28"/>
        </w:rPr>
        <w:t>Article</w:t>
      </w:r>
      <w:r>
        <w:rPr>
          <w:spacing w:val="-5"/>
          <w:sz w:val="28"/>
        </w:rPr>
        <w:t> </w:t>
      </w:r>
      <w:r>
        <w:rPr>
          <w:sz w:val="28"/>
        </w:rPr>
        <w:t>2</w:t>
      </w:r>
      <w:r>
        <w:rPr>
          <w:spacing w:val="-5"/>
          <w:sz w:val="28"/>
        </w:rPr>
        <w:t> </w:t>
      </w:r>
      <w:r>
        <w:rPr>
          <w:sz w:val="28"/>
        </w:rPr>
        <w:t>of</w:t>
      </w:r>
      <w:r>
        <w:rPr>
          <w:spacing w:val="-6"/>
          <w:sz w:val="28"/>
        </w:rPr>
        <w:t> </w:t>
      </w:r>
      <w:r>
        <w:rPr>
          <w:sz w:val="28"/>
        </w:rPr>
        <w:t>the</w:t>
      </w:r>
      <w:r>
        <w:rPr>
          <w:spacing w:val="-5"/>
          <w:sz w:val="28"/>
        </w:rPr>
        <w:t> </w:t>
      </w:r>
      <w:r>
        <w:rPr>
          <w:sz w:val="28"/>
        </w:rPr>
        <w:t>UK-EU</w:t>
      </w:r>
      <w:r>
        <w:rPr>
          <w:spacing w:val="-5"/>
          <w:sz w:val="28"/>
        </w:rPr>
        <w:t> </w:t>
      </w:r>
      <w:r>
        <w:rPr>
          <w:sz w:val="28"/>
        </w:rPr>
        <w:t>Withdrawal</w:t>
      </w:r>
      <w:r>
        <w:rPr>
          <w:spacing w:val="-6"/>
          <w:sz w:val="28"/>
        </w:rPr>
        <w:t> </w:t>
      </w:r>
      <w:r>
        <w:rPr>
          <w:sz w:val="28"/>
        </w:rPr>
        <w:t>Agreement</w:t>
      </w:r>
      <w:r>
        <w:rPr>
          <w:spacing w:val="-5"/>
          <w:sz w:val="28"/>
        </w:rPr>
        <w:t> </w:t>
      </w:r>
      <w:r>
        <w:rPr>
          <w:sz w:val="28"/>
        </w:rPr>
        <w:t>to</w:t>
      </w:r>
      <w:r>
        <w:rPr>
          <w:spacing w:val="-6"/>
          <w:sz w:val="28"/>
        </w:rPr>
        <w:t> </w:t>
      </w:r>
      <w:r>
        <w:rPr>
          <w:sz w:val="28"/>
        </w:rPr>
        <w:t>oversee</w:t>
      </w:r>
      <w:r>
        <w:rPr>
          <w:spacing w:val="-5"/>
          <w:sz w:val="28"/>
        </w:rPr>
        <w:t> </w:t>
      </w:r>
      <w:r>
        <w:rPr>
          <w:sz w:val="28"/>
        </w:rPr>
        <w:t>the</w:t>
      </w:r>
      <w:r>
        <w:rPr>
          <w:spacing w:val="-5"/>
          <w:sz w:val="28"/>
        </w:rPr>
        <w:t> </w:t>
      </w:r>
      <w:r>
        <w:rPr>
          <w:sz w:val="28"/>
        </w:rPr>
        <w:t>UK Government’s</w:t>
      </w:r>
      <w:r>
        <w:rPr>
          <w:spacing w:val="-7"/>
          <w:sz w:val="28"/>
        </w:rPr>
        <w:t> </w:t>
      </w:r>
      <w:r>
        <w:rPr>
          <w:sz w:val="28"/>
        </w:rPr>
        <w:t>commitment</w:t>
      </w:r>
      <w:r>
        <w:rPr>
          <w:spacing w:val="-6"/>
          <w:sz w:val="28"/>
        </w:rPr>
        <w:t> </w:t>
      </w:r>
      <w:r>
        <w:rPr>
          <w:sz w:val="28"/>
        </w:rPr>
        <w:t>on</w:t>
      </w:r>
      <w:r>
        <w:rPr>
          <w:spacing w:val="-7"/>
          <w:sz w:val="28"/>
        </w:rPr>
        <w:t> </w:t>
      </w:r>
      <w:r>
        <w:rPr>
          <w:sz w:val="28"/>
        </w:rPr>
        <w:t>rights</w:t>
      </w:r>
      <w:r>
        <w:rPr>
          <w:spacing w:val="-7"/>
          <w:sz w:val="28"/>
        </w:rPr>
        <w:t> </w:t>
      </w:r>
      <w:r>
        <w:rPr>
          <w:sz w:val="28"/>
        </w:rPr>
        <w:t>and</w:t>
      </w:r>
      <w:r>
        <w:rPr>
          <w:spacing w:val="-6"/>
          <w:sz w:val="28"/>
        </w:rPr>
        <w:t> </w:t>
      </w:r>
      <w:r>
        <w:rPr>
          <w:sz w:val="28"/>
        </w:rPr>
        <w:t>equality</w:t>
      </w:r>
      <w:r>
        <w:rPr>
          <w:spacing w:val="-6"/>
          <w:sz w:val="28"/>
        </w:rPr>
        <w:t> </w:t>
      </w:r>
      <w:r>
        <w:rPr>
          <w:sz w:val="28"/>
        </w:rPr>
        <w:t>in</w:t>
      </w:r>
      <w:r>
        <w:rPr>
          <w:spacing w:val="-7"/>
          <w:sz w:val="28"/>
        </w:rPr>
        <w:t> </w:t>
      </w:r>
      <w:r>
        <w:rPr>
          <w:sz w:val="28"/>
        </w:rPr>
        <w:t>NI</w:t>
      </w:r>
      <w:r>
        <w:rPr>
          <w:spacing w:val="-6"/>
          <w:sz w:val="28"/>
        </w:rPr>
        <w:t> </w:t>
      </w:r>
      <w:r>
        <w:rPr>
          <w:sz w:val="28"/>
        </w:rPr>
        <w:t>after</w:t>
      </w:r>
      <w:r>
        <w:rPr>
          <w:spacing w:val="-6"/>
          <w:sz w:val="28"/>
        </w:rPr>
        <w:t> </w:t>
      </w:r>
      <w:r>
        <w:rPr>
          <w:sz w:val="28"/>
        </w:rPr>
        <w:t>EU</w:t>
      </w:r>
      <w:r>
        <w:rPr>
          <w:spacing w:val="-6"/>
          <w:sz w:val="28"/>
        </w:rPr>
        <w:t> </w:t>
      </w:r>
      <w:r>
        <w:rPr>
          <w:spacing w:val="-2"/>
          <w:sz w:val="28"/>
        </w:rPr>
        <w:t>withdrawal.</w:t>
      </w:r>
    </w:p>
    <w:p>
      <w:pPr>
        <w:pStyle w:val="ListParagraph"/>
        <w:numPr>
          <w:ilvl w:val="1"/>
          <w:numId w:val="5"/>
        </w:numPr>
        <w:tabs>
          <w:tab w:pos="1853" w:val="left" w:leader="none"/>
        </w:tabs>
        <w:spacing w:line="225" w:lineRule="auto" w:before="316" w:after="0"/>
        <w:ind w:left="1853" w:right="1627" w:hanging="720"/>
        <w:jc w:val="both"/>
        <w:rPr>
          <w:sz w:val="28"/>
        </w:rPr>
      </w:pPr>
      <w:r>
        <w:rPr>
          <w:sz w:val="28"/>
        </w:rPr>
        <w:t>The UK signed the UK-EU Withdrawal Agreement in January 2020 and the Protocol</w:t>
      </w:r>
      <w:r>
        <w:rPr>
          <w:spacing w:val="-7"/>
          <w:sz w:val="28"/>
        </w:rPr>
        <w:t> </w:t>
      </w:r>
      <w:r>
        <w:rPr>
          <w:sz w:val="28"/>
        </w:rPr>
        <w:t>(now</w:t>
      </w:r>
      <w:r>
        <w:rPr>
          <w:spacing w:val="-6"/>
          <w:sz w:val="28"/>
        </w:rPr>
        <w:t> </w:t>
      </w:r>
      <w:r>
        <w:rPr>
          <w:sz w:val="28"/>
        </w:rPr>
        <w:t>referred</w:t>
      </w:r>
      <w:r>
        <w:rPr>
          <w:spacing w:val="-7"/>
          <w:sz w:val="28"/>
        </w:rPr>
        <w:t> </w:t>
      </w:r>
      <w:r>
        <w:rPr>
          <w:sz w:val="28"/>
        </w:rPr>
        <w:t>to</w:t>
      </w:r>
      <w:r>
        <w:rPr>
          <w:spacing w:val="-7"/>
          <w:sz w:val="28"/>
        </w:rPr>
        <w:t> </w:t>
      </w:r>
      <w:r>
        <w:rPr>
          <w:sz w:val="28"/>
        </w:rPr>
        <w:t>as</w:t>
      </w:r>
      <w:r>
        <w:rPr>
          <w:spacing w:val="-7"/>
          <w:sz w:val="28"/>
        </w:rPr>
        <w:t> </w:t>
      </w:r>
      <w:r>
        <w:rPr>
          <w:sz w:val="28"/>
        </w:rPr>
        <w:t>the</w:t>
      </w:r>
      <w:r>
        <w:rPr>
          <w:spacing w:val="-6"/>
          <w:sz w:val="28"/>
        </w:rPr>
        <w:t> </w:t>
      </w:r>
      <w:r>
        <w:rPr>
          <w:sz w:val="28"/>
        </w:rPr>
        <w:t>Windsor</w:t>
      </w:r>
      <w:r>
        <w:rPr>
          <w:spacing w:val="-6"/>
          <w:sz w:val="28"/>
        </w:rPr>
        <w:t> </w:t>
      </w:r>
      <w:r>
        <w:rPr>
          <w:sz w:val="28"/>
        </w:rPr>
        <w:t>Framework),</w:t>
      </w:r>
      <w:r>
        <w:rPr>
          <w:spacing w:val="-6"/>
          <w:sz w:val="28"/>
        </w:rPr>
        <w:t> </w:t>
      </w:r>
      <w:r>
        <w:rPr>
          <w:sz w:val="28"/>
        </w:rPr>
        <w:t>which</w:t>
      </w:r>
      <w:r>
        <w:rPr>
          <w:spacing w:val="-7"/>
          <w:sz w:val="28"/>
        </w:rPr>
        <w:t> </w:t>
      </w:r>
      <w:r>
        <w:rPr>
          <w:sz w:val="28"/>
        </w:rPr>
        <w:t>is</w:t>
      </w:r>
      <w:r>
        <w:rPr>
          <w:spacing w:val="-7"/>
          <w:sz w:val="28"/>
        </w:rPr>
        <w:t> </w:t>
      </w:r>
      <w:r>
        <w:rPr>
          <w:sz w:val="28"/>
        </w:rPr>
        <w:t>part</w:t>
      </w:r>
      <w:r>
        <w:rPr>
          <w:spacing w:val="-6"/>
          <w:sz w:val="28"/>
        </w:rPr>
        <w:t> </w:t>
      </w:r>
      <w:r>
        <w:rPr>
          <w:sz w:val="28"/>
        </w:rPr>
        <w:t>of</w:t>
      </w:r>
      <w:r>
        <w:rPr>
          <w:spacing w:val="-7"/>
          <w:sz w:val="28"/>
        </w:rPr>
        <w:t> </w:t>
      </w:r>
      <w:r>
        <w:rPr>
          <w:sz w:val="28"/>
        </w:rPr>
        <w:t>the treaty, took effect from 1 January 2021.</w:t>
      </w:r>
      <w:r>
        <w:rPr>
          <w:sz w:val="28"/>
          <w:vertAlign w:val="superscript"/>
        </w:rPr>
        <w:t>10</w:t>
      </w:r>
    </w:p>
    <w:p>
      <w:pPr>
        <w:pStyle w:val="ListParagraph"/>
        <w:numPr>
          <w:ilvl w:val="1"/>
          <w:numId w:val="5"/>
        </w:numPr>
        <w:tabs>
          <w:tab w:pos="1853" w:val="left" w:leader="none"/>
        </w:tabs>
        <w:spacing w:line="331" w:lineRule="exact" w:before="300" w:after="0"/>
        <w:ind w:left="1853" w:right="0" w:hanging="720"/>
        <w:jc w:val="left"/>
        <w:rPr>
          <w:sz w:val="28"/>
        </w:rPr>
      </w:pPr>
      <w:r>
        <w:rPr>
          <w:sz w:val="28"/>
        </w:rPr>
        <w:t>Windsor</w:t>
      </w:r>
      <w:r>
        <w:rPr>
          <w:spacing w:val="-5"/>
          <w:sz w:val="28"/>
        </w:rPr>
        <w:t> </w:t>
      </w:r>
      <w:r>
        <w:rPr>
          <w:sz w:val="28"/>
        </w:rPr>
        <w:t>Framework</w:t>
      </w:r>
      <w:r>
        <w:rPr>
          <w:spacing w:val="-5"/>
          <w:sz w:val="28"/>
        </w:rPr>
        <w:t> </w:t>
      </w:r>
      <w:r>
        <w:rPr>
          <w:sz w:val="28"/>
        </w:rPr>
        <w:t>Article</w:t>
      </w:r>
      <w:r>
        <w:rPr>
          <w:spacing w:val="-4"/>
          <w:sz w:val="28"/>
        </w:rPr>
        <w:t> </w:t>
      </w:r>
      <w:r>
        <w:rPr>
          <w:sz w:val="28"/>
        </w:rPr>
        <w:t>2</w:t>
      </w:r>
      <w:r>
        <w:rPr>
          <w:spacing w:val="-5"/>
          <w:sz w:val="28"/>
        </w:rPr>
        <w:t> </w:t>
      </w:r>
      <w:r>
        <w:rPr>
          <w:spacing w:val="-2"/>
          <w:sz w:val="28"/>
        </w:rPr>
        <w:t>states:</w:t>
      </w:r>
    </w:p>
    <w:p>
      <w:pPr>
        <w:pStyle w:val="ListParagraph"/>
        <w:numPr>
          <w:ilvl w:val="2"/>
          <w:numId w:val="5"/>
        </w:numPr>
        <w:tabs>
          <w:tab w:pos="2355" w:val="left" w:leader="none"/>
        </w:tabs>
        <w:spacing w:line="225" w:lineRule="auto" w:before="5" w:after="0"/>
        <w:ind w:left="2355" w:right="2074" w:hanging="360"/>
        <w:jc w:val="left"/>
        <w:rPr>
          <w:sz w:val="28"/>
        </w:rPr>
      </w:pPr>
      <w:r>
        <w:rPr>
          <w:sz w:val="28"/>
        </w:rPr>
        <w:t>The United Kingdom shall ensure that no diminution of rights, safeguards or equality of opportunity, as set out in that part of the 1998 Agreement entitled Rights, Safeguards and Equality of Opportunity</w:t>
      </w:r>
      <w:r>
        <w:rPr>
          <w:spacing w:val="-6"/>
          <w:sz w:val="28"/>
        </w:rPr>
        <w:t> </w:t>
      </w:r>
      <w:r>
        <w:rPr>
          <w:sz w:val="28"/>
        </w:rPr>
        <w:t>results</w:t>
      </w:r>
      <w:r>
        <w:rPr>
          <w:spacing w:val="-7"/>
          <w:sz w:val="28"/>
        </w:rPr>
        <w:t> </w:t>
      </w:r>
      <w:r>
        <w:rPr>
          <w:sz w:val="28"/>
        </w:rPr>
        <w:t>from</w:t>
      </w:r>
      <w:r>
        <w:rPr>
          <w:spacing w:val="-6"/>
          <w:sz w:val="28"/>
        </w:rPr>
        <w:t> </w:t>
      </w:r>
      <w:r>
        <w:rPr>
          <w:sz w:val="28"/>
        </w:rPr>
        <w:t>its</w:t>
      </w:r>
      <w:r>
        <w:rPr>
          <w:spacing w:val="-7"/>
          <w:sz w:val="28"/>
        </w:rPr>
        <w:t> </w:t>
      </w:r>
      <w:r>
        <w:rPr>
          <w:sz w:val="28"/>
        </w:rPr>
        <w:t>withdrawal</w:t>
      </w:r>
      <w:r>
        <w:rPr>
          <w:spacing w:val="-7"/>
          <w:sz w:val="28"/>
        </w:rPr>
        <w:t> </w:t>
      </w:r>
      <w:r>
        <w:rPr>
          <w:sz w:val="28"/>
        </w:rPr>
        <w:t>from</w:t>
      </w:r>
      <w:r>
        <w:rPr>
          <w:spacing w:val="-6"/>
          <w:sz w:val="28"/>
        </w:rPr>
        <w:t> </w:t>
      </w:r>
      <w:r>
        <w:rPr>
          <w:sz w:val="28"/>
        </w:rPr>
        <w:t>the</w:t>
      </w:r>
      <w:r>
        <w:rPr>
          <w:spacing w:val="-6"/>
          <w:sz w:val="28"/>
        </w:rPr>
        <w:t> </w:t>
      </w:r>
      <w:r>
        <w:rPr>
          <w:sz w:val="28"/>
        </w:rPr>
        <w:t>Union,</w:t>
      </w:r>
      <w:r>
        <w:rPr>
          <w:spacing w:val="-6"/>
          <w:sz w:val="28"/>
        </w:rPr>
        <w:t> </w:t>
      </w:r>
      <w:r>
        <w:rPr>
          <w:sz w:val="28"/>
        </w:rPr>
        <w:t>including in the area of protection against discrimination, as enshrined in the provisions of Union law listed in Annex 1 to this Protocol, and shall implement this paragraph through dedicated mechanisms.</w:t>
      </w:r>
    </w:p>
    <w:p>
      <w:pPr>
        <w:pStyle w:val="BodyText"/>
        <w:spacing w:before="43"/>
        <w:rPr>
          <w:sz w:val="20"/>
        </w:rPr>
      </w:pPr>
      <w:r>
        <w:rPr/>
        <mc:AlternateContent>
          <mc:Choice Requires="wps">
            <w:drawing>
              <wp:anchor distT="0" distB="0" distL="0" distR="0" allowOverlap="1" layoutInCell="1" locked="0" behindDoc="1" simplePos="0" relativeHeight="487622656">
                <wp:simplePos x="0" y="0"/>
                <wp:positionH relativeFrom="page">
                  <wp:posOffset>719996</wp:posOffset>
                </wp:positionH>
                <wp:positionV relativeFrom="paragraph">
                  <wp:posOffset>197578</wp:posOffset>
                </wp:positionV>
                <wp:extent cx="6120130" cy="1270"/>
                <wp:effectExtent l="0" t="0" r="0" b="0"/>
                <wp:wrapTopAndBottom/>
                <wp:docPr id="132" name="Graphic 132"/>
                <wp:cNvGraphicFramePr>
                  <a:graphicFrameLocks/>
                </wp:cNvGraphicFramePr>
                <a:graphic>
                  <a:graphicData uri="http://schemas.microsoft.com/office/word/2010/wordprocessingShape">
                    <wps:wsp>
                      <wps:cNvPr id="132" name="Graphic 132"/>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5.557387pt;width:481.9pt;height:.1pt;mso-position-horizontal-relative:page;mso-position-vertical-relative:paragraph;z-index:-15693824;mso-wrap-distance-left:0;mso-wrap-distance-right:0" id="docshape89" coordorigin="1134,311" coordsize="9638,0" path="m10772,311l1134,311e" filled="false" stroked="true" strokeweight="1pt" strokecolor="#393b80">
                <v:path arrowok="t"/>
                <v:stroke dashstyle="solid"/>
                <w10:wrap type="topAndBottom"/>
              </v:shape>
            </w:pict>
          </mc:Fallback>
        </mc:AlternateContent>
      </w:r>
    </w:p>
    <w:p>
      <w:pPr>
        <w:pStyle w:val="ListParagraph"/>
        <w:numPr>
          <w:ilvl w:val="0"/>
          <w:numId w:val="3"/>
        </w:numPr>
        <w:tabs>
          <w:tab w:pos="1853" w:val="left" w:leader="none"/>
        </w:tabs>
        <w:spacing w:line="235" w:lineRule="auto" w:before="107" w:after="0"/>
        <w:ind w:left="1853" w:right="1217" w:hanging="720"/>
        <w:jc w:val="left"/>
        <w:rPr>
          <w:sz w:val="18"/>
        </w:rPr>
      </w:pPr>
      <w:r>
        <w:rPr>
          <w:sz w:val="18"/>
        </w:rPr>
        <w:t>Sarah Craig, Anurag Deb, Eleni Frantziou, Alexander Horne, Colin Murray, Clare Rice and Jane Rooney, ‘European Union Developments in Equality and Human Rights: The Impact of Brexit on the Divergence of Rights and Best Practice on the Island</w:t>
      </w:r>
      <w:r>
        <w:rPr>
          <w:spacing w:val="-1"/>
          <w:sz w:val="18"/>
        </w:rPr>
        <w:t> </w:t>
      </w:r>
      <w:r>
        <w:rPr>
          <w:sz w:val="18"/>
        </w:rPr>
        <w:t>of</w:t>
      </w:r>
      <w:r>
        <w:rPr>
          <w:spacing w:val="-1"/>
          <w:sz w:val="18"/>
        </w:rPr>
        <w:t> </w:t>
      </w:r>
      <w:r>
        <w:rPr>
          <w:sz w:val="18"/>
        </w:rPr>
        <w:t>Ireland’ (ECNI, NIHRC, IHREC, 2022); Equality Commission</w:t>
      </w:r>
      <w:r>
        <w:rPr>
          <w:spacing w:val="-1"/>
          <w:sz w:val="18"/>
        </w:rPr>
        <w:t> </w:t>
      </w:r>
      <w:r>
        <w:rPr>
          <w:sz w:val="18"/>
        </w:rPr>
        <w:t>for NI, NI Human</w:t>
      </w:r>
      <w:r>
        <w:rPr>
          <w:spacing w:val="-1"/>
          <w:sz w:val="18"/>
        </w:rPr>
        <w:t> </w:t>
      </w:r>
      <w:r>
        <w:rPr>
          <w:sz w:val="18"/>
        </w:rPr>
        <w:t>Rights</w:t>
      </w:r>
      <w:r>
        <w:rPr>
          <w:spacing w:val="-1"/>
          <w:sz w:val="18"/>
        </w:rPr>
        <w:t> </w:t>
      </w:r>
      <w:r>
        <w:rPr>
          <w:sz w:val="18"/>
        </w:rPr>
        <w:t>Commission</w:t>
      </w:r>
      <w:r>
        <w:rPr>
          <w:spacing w:val="-1"/>
          <w:sz w:val="18"/>
        </w:rPr>
        <w:t> </w:t>
      </w:r>
      <w:r>
        <w:rPr>
          <w:sz w:val="18"/>
        </w:rPr>
        <w:t>and</w:t>
      </w:r>
      <w:r>
        <w:rPr>
          <w:spacing w:val="-1"/>
          <w:sz w:val="18"/>
        </w:rPr>
        <w:t> </w:t>
      </w:r>
      <w:r>
        <w:rPr>
          <w:sz w:val="18"/>
        </w:rPr>
        <w:t>Irish</w:t>
      </w:r>
      <w:r>
        <w:rPr>
          <w:spacing w:val="-1"/>
          <w:sz w:val="18"/>
        </w:rPr>
        <w:t> </w:t>
      </w:r>
      <w:r>
        <w:rPr>
          <w:sz w:val="18"/>
        </w:rPr>
        <w:t>Human Rights</w:t>
      </w:r>
      <w:r>
        <w:rPr>
          <w:spacing w:val="-5"/>
          <w:sz w:val="18"/>
        </w:rPr>
        <w:t> </w:t>
      </w:r>
      <w:r>
        <w:rPr>
          <w:sz w:val="18"/>
        </w:rPr>
        <w:t>and</w:t>
      </w:r>
      <w:r>
        <w:rPr>
          <w:spacing w:val="-5"/>
          <w:sz w:val="18"/>
        </w:rPr>
        <w:t> </w:t>
      </w:r>
      <w:r>
        <w:rPr>
          <w:sz w:val="18"/>
        </w:rPr>
        <w:t>Equality</w:t>
      </w:r>
      <w:r>
        <w:rPr>
          <w:spacing w:val="-4"/>
          <w:sz w:val="18"/>
        </w:rPr>
        <w:t> </w:t>
      </w:r>
      <w:r>
        <w:rPr>
          <w:sz w:val="18"/>
        </w:rPr>
        <w:t>Commission,</w:t>
      </w:r>
      <w:r>
        <w:rPr>
          <w:spacing w:val="-4"/>
          <w:sz w:val="18"/>
        </w:rPr>
        <w:t> </w:t>
      </w:r>
      <w:r>
        <w:rPr>
          <w:sz w:val="18"/>
        </w:rPr>
        <w:t>‘Policy</w:t>
      </w:r>
      <w:r>
        <w:rPr>
          <w:spacing w:val="-4"/>
          <w:sz w:val="18"/>
        </w:rPr>
        <w:t> </w:t>
      </w:r>
      <w:r>
        <w:rPr>
          <w:sz w:val="18"/>
        </w:rPr>
        <w:t>Recommendations:</w:t>
      </w:r>
      <w:r>
        <w:rPr>
          <w:spacing w:val="-4"/>
          <w:sz w:val="18"/>
        </w:rPr>
        <w:t> </w:t>
      </w:r>
      <w:r>
        <w:rPr>
          <w:sz w:val="18"/>
        </w:rPr>
        <w:t>European</w:t>
      </w:r>
      <w:r>
        <w:rPr>
          <w:spacing w:val="-5"/>
          <w:sz w:val="18"/>
        </w:rPr>
        <w:t> </w:t>
      </w:r>
      <w:r>
        <w:rPr>
          <w:sz w:val="18"/>
        </w:rPr>
        <w:t>Union</w:t>
      </w:r>
      <w:r>
        <w:rPr>
          <w:spacing w:val="-5"/>
          <w:sz w:val="18"/>
        </w:rPr>
        <w:t> </w:t>
      </w:r>
      <w:r>
        <w:rPr>
          <w:sz w:val="18"/>
        </w:rPr>
        <w:t>Developments</w:t>
      </w:r>
      <w:r>
        <w:rPr>
          <w:spacing w:val="-5"/>
          <w:sz w:val="18"/>
        </w:rPr>
        <w:t> </w:t>
      </w:r>
      <w:r>
        <w:rPr>
          <w:sz w:val="18"/>
        </w:rPr>
        <w:t>in</w:t>
      </w:r>
      <w:r>
        <w:rPr>
          <w:spacing w:val="-5"/>
          <w:sz w:val="18"/>
        </w:rPr>
        <w:t> </w:t>
      </w:r>
      <w:r>
        <w:rPr>
          <w:sz w:val="18"/>
        </w:rPr>
        <w:t>Equality</w:t>
      </w:r>
      <w:r>
        <w:rPr>
          <w:spacing w:val="-4"/>
          <w:sz w:val="18"/>
        </w:rPr>
        <w:t> </w:t>
      </w:r>
      <w:r>
        <w:rPr>
          <w:sz w:val="18"/>
        </w:rPr>
        <w:t>and</w:t>
      </w:r>
      <w:r>
        <w:rPr>
          <w:spacing w:val="-5"/>
          <w:sz w:val="18"/>
        </w:rPr>
        <w:t> </w:t>
      </w:r>
      <w:r>
        <w:rPr>
          <w:sz w:val="18"/>
        </w:rPr>
        <w:t>Human</w:t>
      </w:r>
      <w:r>
        <w:rPr>
          <w:spacing w:val="-5"/>
          <w:sz w:val="18"/>
        </w:rPr>
        <w:t> </w:t>
      </w:r>
      <w:r>
        <w:rPr>
          <w:sz w:val="18"/>
        </w:rPr>
        <w:t>Rights – The Impact of Brexit on the Divergence of Rights and Best Practice on the Island of Ireland’ (ECNI, NIHRC and IHREC, 2023); Paul Evans, Alexander Horne, Tasneem Ghazi, ‘Legislative Scrutiny and the Dedicated Mechanism for monitoring Article 2 of the Ireland/Northern Ireland Protocol’ (ECNI, 2021).</w:t>
      </w:r>
    </w:p>
    <w:p>
      <w:pPr>
        <w:pStyle w:val="ListParagraph"/>
        <w:numPr>
          <w:ilvl w:val="0"/>
          <w:numId w:val="3"/>
        </w:numPr>
        <w:tabs>
          <w:tab w:pos="1853" w:val="left" w:leader="none"/>
        </w:tabs>
        <w:spacing w:line="235" w:lineRule="auto" w:before="4" w:after="0"/>
        <w:ind w:left="1853" w:right="2060" w:hanging="720"/>
        <w:jc w:val="left"/>
        <w:rPr>
          <w:sz w:val="18"/>
        </w:rPr>
      </w:pPr>
      <w:r>
        <w:rPr>
          <w:sz w:val="18"/>
        </w:rPr>
        <w:t>Agreement</w:t>
      </w:r>
      <w:r>
        <w:rPr>
          <w:spacing w:val="-3"/>
          <w:sz w:val="18"/>
        </w:rPr>
        <w:t> </w:t>
      </w:r>
      <w:r>
        <w:rPr>
          <w:sz w:val="18"/>
        </w:rPr>
        <w:t>on</w:t>
      </w:r>
      <w:r>
        <w:rPr>
          <w:spacing w:val="-4"/>
          <w:sz w:val="18"/>
        </w:rPr>
        <w:t> </w:t>
      </w:r>
      <w:r>
        <w:rPr>
          <w:sz w:val="18"/>
        </w:rPr>
        <w:t>the</w:t>
      </w:r>
      <w:r>
        <w:rPr>
          <w:spacing w:val="-3"/>
          <w:sz w:val="18"/>
        </w:rPr>
        <w:t> </w:t>
      </w:r>
      <w:r>
        <w:rPr>
          <w:sz w:val="18"/>
        </w:rPr>
        <w:t>Withdrawal</w:t>
      </w:r>
      <w:r>
        <w:rPr>
          <w:spacing w:val="-4"/>
          <w:sz w:val="18"/>
        </w:rPr>
        <w:t> </w:t>
      </w:r>
      <w:r>
        <w:rPr>
          <w:sz w:val="18"/>
        </w:rPr>
        <w:t>of</w:t>
      </w:r>
      <w:r>
        <w:rPr>
          <w:spacing w:val="-4"/>
          <w:sz w:val="18"/>
        </w:rPr>
        <w:t> </w:t>
      </w:r>
      <w:r>
        <w:rPr>
          <w:sz w:val="18"/>
        </w:rPr>
        <w:t>the</w:t>
      </w:r>
      <w:r>
        <w:rPr>
          <w:spacing w:val="-3"/>
          <w:sz w:val="18"/>
        </w:rPr>
        <w:t> </w:t>
      </w:r>
      <w:r>
        <w:rPr>
          <w:sz w:val="18"/>
        </w:rPr>
        <w:t>UK</w:t>
      </w:r>
      <w:r>
        <w:rPr>
          <w:spacing w:val="-3"/>
          <w:sz w:val="18"/>
        </w:rPr>
        <w:t> </w:t>
      </w:r>
      <w:r>
        <w:rPr>
          <w:sz w:val="18"/>
        </w:rPr>
        <w:t>of</w:t>
      </w:r>
      <w:r>
        <w:rPr>
          <w:spacing w:val="-4"/>
          <w:sz w:val="18"/>
        </w:rPr>
        <w:t> </w:t>
      </w:r>
      <w:r>
        <w:rPr>
          <w:sz w:val="18"/>
        </w:rPr>
        <w:t>Great</w:t>
      </w:r>
      <w:r>
        <w:rPr>
          <w:spacing w:val="-3"/>
          <w:sz w:val="18"/>
        </w:rPr>
        <w:t> </w:t>
      </w:r>
      <w:r>
        <w:rPr>
          <w:sz w:val="18"/>
        </w:rPr>
        <w:t>Britain</w:t>
      </w:r>
      <w:r>
        <w:rPr>
          <w:spacing w:val="-4"/>
          <w:sz w:val="18"/>
        </w:rPr>
        <w:t> </w:t>
      </w:r>
      <w:r>
        <w:rPr>
          <w:sz w:val="18"/>
        </w:rPr>
        <w:t>and</w:t>
      </w:r>
      <w:r>
        <w:rPr>
          <w:spacing w:val="-4"/>
          <w:sz w:val="18"/>
        </w:rPr>
        <w:t> </w:t>
      </w:r>
      <w:r>
        <w:rPr>
          <w:sz w:val="18"/>
        </w:rPr>
        <w:t>NI</w:t>
      </w:r>
      <w:r>
        <w:rPr>
          <w:spacing w:val="-3"/>
          <w:sz w:val="18"/>
        </w:rPr>
        <w:t> </w:t>
      </w:r>
      <w:r>
        <w:rPr>
          <w:sz w:val="18"/>
        </w:rPr>
        <w:t>from</w:t>
      </w:r>
      <w:r>
        <w:rPr>
          <w:spacing w:val="-3"/>
          <w:sz w:val="18"/>
        </w:rPr>
        <w:t> </w:t>
      </w:r>
      <w:r>
        <w:rPr>
          <w:sz w:val="18"/>
        </w:rPr>
        <w:t>the</w:t>
      </w:r>
      <w:r>
        <w:rPr>
          <w:spacing w:val="-3"/>
          <w:sz w:val="18"/>
        </w:rPr>
        <w:t> </w:t>
      </w:r>
      <w:r>
        <w:rPr>
          <w:sz w:val="18"/>
        </w:rPr>
        <w:t>EU</w:t>
      </w:r>
      <w:r>
        <w:rPr>
          <w:spacing w:val="-3"/>
          <w:sz w:val="18"/>
        </w:rPr>
        <w:t> </w:t>
      </w:r>
      <w:r>
        <w:rPr>
          <w:sz w:val="18"/>
        </w:rPr>
        <w:t>and</w:t>
      </w:r>
      <w:r>
        <w:rPr>
          <w:spacing w:val="-4"/>
          <w:sz w:val="18"/>
        </w:rPr>
        <w:t> </w:t>
      </w:r>
      <w:r>
        <w:rPr>
          <w:sz w:val="18"/>
        </w:rPr>
        <w:t>the</w:t>
      </w:r>
      <w:r>
        <w:rPr>
          <w:spacing w:val="-3"/>
          <w:sz w:val="18"/>
        </w:rPr>
        <w:t> </w:t>
      </w:r>
      <w:r>
        <w:rPr>
          <w:sz w:val="18"/>
        </w:rPr>
        <w:t>European</w:t>
      </w:r>
      <w:r>
        <w:rPr>
          <w:spacing w:val="-4"/>
          <w:sz w:val="18"/>
        </w:rPr>
        <w:t> </w:t>
      </w:r>
      <w:r>
        <w:rPr>
          <w:sz w:val="18"/>
        </w:rPr>
        <w:t>Atomic</w:t>
      </w:r>
      <w:r>
        <w:rPr>
          <w:spacing w:val="-3"/>
          <w:sz w:val="18"/>
        </w:rPr>
        <w:t> </w:t>
      </w:r>
      <w:r>
        <w:rPr>
          <w:sz w:val="18"/>
        </w:rPr>
        <w:t>Energy Community 2020 (UK-EU Withdrawal Agreement).</w:t>
      </w:r>
      <w:r>
        <w:rPr>
          <w:spacing w:val="40"/>
          <w:sz w:val="18"/>
        </w:rPr>
        <w:t> </w:t>
      </w:r>
      <w:r>
        <w:rPr>
          <w:sz w:val="18"/>
        </w:rPr>
        <w:t>Following the Joint Declaration by the UK and the EU and the decision of the Joint Committee in March 2023, the Protocol on Ireland/NI has been renamed as the</w:t>
      </w:r>
    </w:p>
    <w:p>
      <w:pPr>
        <w:spacing w:line="235" w:lineRule="auto" w:before="2"/>
        <w:ind w:left="1853" w:right="1383" w:firstLine="0"/>
        <w:jc w:val="left"/>
        <w:rPr>
          <w:sz w:val="18"/>
        </w:rPr>
      </w:pPr>
      <w:r>
        <w:rPr>
          <w:sz w:val="18"/>
        </w:rPr>
        <w:t>Windsor</w:t>
      </w:r>
      <w:r>
        <w:rPr>
          <w:spacing w:val="-4"/>
          <w:sz w:val="18"/>
        </w:rPr>
        <w:t> </w:t>
      </w:r>
      <w:r>
        <w:rPr>
          <w:sz w:val="18"/>
        </w:rPr>
        <w:t>Framework.</w:t>
      </w:r>
      <w:r>
        <w:rPr>
          <w:spacing w:val="-5"/>
          <w:sz w:val="18"/>
        </w:rPr>
        <w:t> </w:t>
      </w:r>
      <w:r>
        <w:rPr>
          <w:sz w:val="18"/>
        </w:rPr>
        <w:t>Decision</w:t>
      </w:r>
      <w:r>
        <w:rPr>
          <w:spacing w:val="-5"/>
          <w:sz w:val="18"/>
        </w:rPr>
        <w:t> </w:t>
      </w:r>
      <w:r>
        <w:rPr>
          <w:sz w:val="18"/>
        </w:rPr>
        <w:t>No</w:t>
      </w:r>
      <w:r>
        <w:rPr>
          <w:spacing w:val="-5"/>
          <w:sz w:val="18"/>
        </w:rPr>
        <w:t> </w:t>
      </w:r>
      <w:r>
        <w:rPr>
          <w:sz w:val="18"/>
        </w:rPr>
        <w:t>1/2023</w:t>
      </w:r>
      <w:r>
        <w:rPr>
          <w:spacing w:val="-4"/>
          <w:sz w:val="18"/>
        </w:rPr>
        <w:t> </w:t>
      </w:r>
      <w:r>
        <w:rPr>
          <w:sz w:val="18"/>
        </w:rPr>
        <w:t>of</w:t>
      </w:r>
      <w:r>
        <w:rPr>
          <w:spacing w:val="-5"/>
          <w:sz w:val="18"/>
        </w:rPr>
        <w:t> </w:t>
      </w:r>
      <w:r>
        <w:rPr>
          <w:sz w:val="18"/>
        </w:rPr>
        <w:t>the</w:t>
      </w:r>
      <w:r>
        <w:rPr>
          <w:spacing w:val="-4"/>
          <w:sz w:val="18"/>
        </w:rPr>
        <w:t> </w:t>
      </w:r>
      <w:r>
        <w:rPr>
          <w:sz w:val="18"/>
        </w:rPr>
        <w:t>Joint</w:t>
      </w:r>
      <w:r>
        <w:rPr>
          <w:spacing w:val="-4"/>
          <w:sz w:val="18"/>
        </w:rPr>
        <w:t> </w:t>
      </w:r>
      <w:r>
        <w:rPr>
          <w:sz w:val="18"/>
        </w:rPr>
        <w:t>Committee</w:t>
      </w:r>
      <w:r>
        <w:rPr>
          <w:spacing w:val="-4"/>
          <w:sz w:val="18"/>
        </w:rPr>
        <w:t> </w:t>
      </w:r>
      <w:r>
        <w:rPr>
          <w:sz w:val="18"/>
        </w:rPr>
        <w:t>established</w:t>
      </w:r>
      <w:r>
        <w:rPr>
          <w:spacing w:val="-5"/>
          <w:sz w:val="18"/>
        </w:rPr>
        <w:t> </w:t>
      </w:r>
      <w:r>
        <w:rPr>
          <w:sz w:val="18"/>
        </w:rPr>
        <w:t>by</w:t>
      </w:r>
      <w:r>
        <w:rPr>
          <w:spacing w:val="-4"/>
          <w:sz w:val="18"/>
        </w:rPr>
        <w:t> </w:t>
      </w:r>
      <w:r>
        <w:rPr>
          <w:sz w:val="18"/>
        </w:rPr>
        <w:t>the</w:t>
      </w:r>
      <w:r>
        <w:rPr>
          <w:spacing w:val="-4"/>
          <w:sz w:val="18"/>
        </w:rPr>
        <w:t> </w:t>
      </w:r>
      <w:r>
        <w:rPr>
          <w:sz w:val="18"/>
        </w:rPr>
        <w:t>Agreement</w:t>
      </w:r>
      <w:r>
        <w:rPr>
          <w:spacing w:val="-4"/>
          <w:sz w:val="18"/>
        </w:rPr>
        <w:t> </w:t>
      </w:r>
      <w:r>
        <w:rPr>
          <w:sz w:val="18"/>
        </w:rPr>
        <w:t>on</w:t>
      </w:r>
      <w:r>
        <w:rPr>
          <w:spacing w:val="-5"/>
          <w:sz w:val="18"/>
        </w:rPr>
        <w:t> </w:t>
      </w:r>
      <w:r>
        <w:rPr>
          <w:sz w:val="18"/>
        </w:rPr>
        <w:t>the</w:t>
      </w:r>
      <w:r>
        <w:rPr>
          <w:spacing w:val="-4"/>
          <w:sz w:val="18"/>
        </w:rPr>
        <w:t> </w:t>
      </w:r>
      <w:r>
        <w:rPr>
          <w:sz w:val="18"/>
        </w:rPr>
        <w:t>Withdrawal</w:t>
      </w:r>
      <w:r>
        <w:rPr>
          <w:spacing w:val="-5"/>
          <w:sz w:val="18"/>
        </w:rPr>
        <w:t> </w:t>
      </w:r>
      <w:r>
        <w:rPr>
          <w:sz w:val="18"/>
        </w:rPr>
        <w:t>of the United Kingdom of Great Britain and Northern Ireland from the European Union and the European Atomic</w:t>
      </w:r>
    </w:p>
    <w:p>
      <w:pPr>
        <w:spacing w:line="235" w:lineRule="auto" w:before="2"/>
        <w:ind w:left="1853" w:right="1301" w:firstLine="0"/>
        <w:jc w:val="left"/>
        <w:rPr>
          <w:sz w:val="18"/>
        </w:rPr>
      </w:pPr>
      <w:r>
        <w:rPr>
          <w:sz w:val="18"/>
        </w:rPr>
        <w:t>Energy Community of 24 March 2023 laying down arrangements relating to the Windsor Framework; Joint Declaration No</w:t>
      </w:r>
      <w:r>
        <w:rPr>
          <w:spacing w:val="-4"/>
          <w:sz w:val="18"/>
        </w:rPr>
        <w:t> </w:t>
      </w:r>
      <w:r>
        <w:rPr>
          <w:sz w:val="18"/>
        </w:rPr>
        <w:t>1/2023</w:t>
      </w:r>
      <w:r>
        <w:rPr>
          <w:spacing w:val="-3"/>
          <w:sz w:val="18"/>
        </w:rPr>
        <w:t> </w:t>
      </w:r>
      <w:r>
        <w:rPr>
          <w:sz w:val="18"/>
        </w:rPr>
        <w:t>of</w:t>
      </w:r>
      <w:r>
        <w:rPr>
          <w:spacing w:val="-4"/>
          <w:sz w:val="18"/>
        </w:rPr>
        <w:t> </w:t>
      </w:r>
      <w:r>
        <w:rPr>
          <w:sz w:val="18"/>
        </w:rPr>
        <w:t>the</w:t>
      </w:r>
      <w:r>
        <w:rPr>
          <w:spacing w:val="-3"/>
          <w:sz w:val="18"/>
        </w:rPr>
        <w:t> </w:t>
      </w:r>
      <w:r>
        <w:rPr>
          <w:sz w:val="18"/>
        </w:rPr>
        <w:t>European</w:t>
      </w:r>
      <w:r>
        <w:rPr>
          <w:spacing w:val="-4"/>
          <w:sz w:val="18"/>
        </w:rPr>
        <w:t> </w:t>
      </w:r>
      <w:r>
        <w:rPr>
          <w:sz w:val="18"/>
        </w:rPr>
        <w:t>Union</w:t>
      </w:r>
      <w:r>
        <w:rPr>
          <w:spacing w:val="-4"/>
          <w:sz w:val="18"/>
        </w:rPr>
        <w:t> </w:t>
      </w:r>
      <w:r>
        <w:rPr>
          <w:sz w:val="18"/>
        </w:rPr>
        <w:t>and</w:t>
      </w:r>
      <w:r>
        <w:rPr>
          <w:spacing w:val="-4"/>
          <w:sz w:val="18"/>
        </w:rPr>
        <w:t> </w:t>
      </w:r>
      <w:r>
        <w:rPr>
          <w:sz w:val="18"/>
        </w:rPr>
        <w:t>the</w:t>
      </w:r>
      <w:r>
        <w:rPr>
          <w:spacing w:val="-3"/>
          <w:sz w:val="18"/>
        </w:rPr>
        <w:t> </w:t>
      </w:r>
      <w:r>
        <w:rPr>
          <w:sz w:val="18"/>
        </w:rPr>
        <w:t>United</w:t>
      </w:r>
      <w:r>
        <w:rPr>
          <w:spacing w:val="-4"/>
          <w:sz w:val="18"/>
        </w:rPr>
        <w:t> </w:t>
      </w:r>
      <w:r>
        <w:rPr>
          <w:sz w:val="18"/>
        </w:rPr>
        <w:t>Kingdom</w:t>
      </w:r>
      <w:r>
        <w:rPr>
          <w:spacing w:val="-3"/>
          <w:sz w:val="18"/>
        </w:rPr>
        <w:t> </w:t>
      </w:r>
      <w:r>
        <w:rPr>
          <w:sz w:val="18"/>
        </w:rPr>
        <w:t>in</w:t>
      </w:r>
      <w:r>
        <w:rPr>
          <w:spacing w:val="-4"/>
          <w:sz w:val="18"/>
        </w:rPr>
        <w:t> </w:t>
      </w:r>
      <w:r>
        <w:rPr>
          <w:sz w:val="18"/>
        </w:rPr>
        <w:t>the</w:t>
      </w:r>
      <w:r>
        <w:rPr>
          <w:spacing w:val="-3"/>
          <w:sz w:val="18"/>
        </w:rPr>
        <w:t> </w:t>
      </w:r>
      <w:r>
        <w:rPr>
          <w:sz w:val="18"/>
        </w:rPr>
        <w:t>Joint</w:t>
      </w:r>
      <w:r>
        <w:rPr>
          <w:spacing w:val="-3"/>
          <w:sz w:val="18"/>
        </w:rPr>
        <w:t> </w:t>
      </w:r>
      <w:r>
        <w:rPr>
          <w:sz w:val="18"/>
        </w:rPr>
        <w:t>Committee</w:t>
      </w:r>
      <w:r>
        <w:rPr>
          <w:spacing w:val="-3"/>
          <w:sz w:val="18"/>
        </w:rPr>
        <w:t> </w:t>
      </w:r>
      <w:r>
        <w:rPr>
          <w:sz w:val="18"/>
        </w:rPr>
        <w:t>established</w:t>
      </w:r>
      <w:r>
        <w:rPr>
          <w:spacing w:val="-4"/>
          <w:sz w:val="18"/>
        </w:rPr>
        <w:t> </w:t>
      </w:r>
      <w:r>
        <w:rPr>
          <w:sz w:val="18"/>
        </w:rPr>
        <w:t>by</w:t>
      </w:r>
      <w:r>
        <w:rPr>
          <w:spacing w:val="-3"/>
          <w:sz w:val="18"/>
        </w:rPr>
        <w:t> </w:t>
      </w:r>
      <w:r>
        <w:rPr>
          <w:sz w:val="18"/>
        </w:rPr>
        <w:t>the</w:t>
      </w:r>
      <w:r>
        <w:rPr>
          <w:spacing w:val="-3"/>
          <w:sz w:val="18"/>
        </w:rPr>
        <w:t> </w:t>
      </w:r>
      <w:r>
        <w:rPr>
          <w:sz w:val="18"/>
        </w:rPr>
        <w:t>Agreement</w:t>
      </w:r>
      <w:r>
        <w:rPr>
          <w:spacing w:val="-3"/>
          <w:sz w:val="18"/>
        </w:rPr>
        <w:t> </w:t>
      </w:r>
      <w:r>
        <w:rPr>
          <w:sz w:val="18"/>
        </w:rPr>
        <w:t>on</w:t>
      </w:r>
      <w:r>
        <w:rPr>
          <w:spacing w:val="-4"/>
          <w:sz w:val="18"/>
        </w:rPr>
        <w:t> </w:t>
      </w:r>
      <w:r>
        <w:rPr>
          <w:sz w:val="18"/>
        </w:rPr>
        <w:t>the Withdrawal of the United Kingdom of Great Britain and Northern Ireland from the European Union and the European Atomic Energy Community of 24 March 2023.</w:t>
      </w:r>
    </w:p>
    <w:p>
      <w:pPr>
        <w:spacing w:after="0" w:line="235" w:lineRule="auto"/>
        <w:jc w:val="left"/>
        <w:rPr>
          <w:sz w:val="18"/>
        </w:rPr>
        <w:sectPr>
          <w:pgSz w:w="11910" w:h="16840"/>
          <w:pgMar w:header="496" w:footer="367" w:top="1220" w:bottom="560" w:left="0" w:right="0"/>
        </w:sectPr>
      </w:pPr>
    </w:p>
    <w:p>
      <w:pPr>
        <w:pStyle w:val="BodyText"/>
        <w:spacing w:before="198"/>
      </w:pPr>
    </w:p>
    <w:p>
      <w:pPr>
        <w:pStyle w:val="ListParagraph"/>
        <w:numPr>
          <w:ilvl w:val="2"/>
          <w:numId w:val="5"/>
        </w:numPr>
        <w:tabs>
          <w:tab w:pos="2355" w:val="left" w:leader="none"/>
        </w:tabs>
        <w:spacing w:line="225" w:lineRule="auto" w:before="0" w:after="0"/>
        <w:ind w:left="2355" w:right="2290" w:hanging="360"/>
        <w:jc w:val="left"/>
        <w:rPr>
          <w:sz w:val="28"/>
        </w:rPr>
      </w:pPr>
      <w:bookmarkStart w:name="_bookmark5" w:id="12"/>
      <w:bookmarkEnd w:id="12"/>
      <w:r>
        <w:rPr/>
      </w:r>
      <w:r>
        <w:rPr>
          <w:sz w:val="28"/>
        </w:rPr>
        <w:t>The</w:t>
      </w:r>
      <w:r>
        <w:rPr>
          <w:spacing w:val="-8"/>
          <w:sz w:val="28"/>
        </w:rPr>
        <w:t> </w:t>
      </w:r>
      <w:r>
        <w:rPr>
          <w:sz w:val="28"/>
        </w:rPr>
        <w:t>United</w:t>
      </w:r>
      <w:r>
        <w:rPr>
          <w:spacing w:val="-9"/>
          <w:sz w:val="28"/>
        </w:rPr>
        <w:t> </w:t>
      </w:r>
      <w:r>
        <w:rPr>
          <w:sz w:val="28"/>
        </w:rPr>
        <w:t>Kingdom</w:t>
      </w:r>
      <w:r>
        <w:rPr>
          <w:spacing w:val="-8"/>
          <w:sz w:val="28"/>
        </w:rPr>
        <w:t> </w:t>
      </w:r>
      <w:r>
        <w:rPr>
          <w:sz w:val="28"/>
        </w:rPr>
        <w:t>shall</w:t>
      </w:r>
      <w:r>
        <w:rPr>
          <w:spacing w:val="-9"/>
          <w:sz w:val="28"/>
        </w:rPr>
        <w:t> </w:t>
      </w:r>
      <w:r>
        <w:rPr>
          <w:sz w:val="28"/>
        </w:rPr>
        <w:t>continue</w:t>
      </w:r>
      <w:r>
        <w:rPr>
          <w:spacing w:val="-8"/>
          <w:sz w:val="28"/>
        </w:rPr>
        <w:t> </w:t>
      </w:r>
      <w:r>
        <w:rPr>
          <w:sz w:val="28"/>
        </w:rPr>
        <w:t>to</w:t>
      </w:r>
      <w:r>
        <w:rPr>
          <w:spacing w:val="-9"/>
          <w:sz w:val="28"/>
        </w:rPr>
        <w:t> </w:t>
      </w:r>
      <w:r>
        <w:rPr>
          <w:sz w:val="28"/>
        </w:rPr>
        <w:t>facilitate</w:t>
      </w:r>
      <w:r>
        <w:rPr>
          <w:spacing w:val="-8"/>
          <w:sz w:val="28"/>
        </w:rPr>
        <w:t> </w:t>
      </w:r>
      <w:r>
        <w:rPr>
          <w:sz w:val="28"/>
        </w:rPr>
        <w:t>the</w:t>
      </w:r>
      <w:r>
        <w:rPr>
          <w:spacing w:val="-8"/>
          <w:sz w:val="28"/>
        </w:rPr>
        <w:t> </w:t>
      </w:r>
      <w:r>
        <w:rPr>
          <w:sz w:val="28"/>
        </w:rPr>
        <w:t>related</w:t>
      </w:r>
      <w:r>
        <w:rPr>
          <w:spacing w:val="-9"/>
          <w:sz w:val="28"/>
        </w:rPr>
        <w:t> </w:t>
      </w:r>
      <w:r>
        <w:rPr>
          <w:sz w:val="28"/>
        </w:rPr>
        <w:t>work of the institutions and bodies set up pursuant to the</w:t>
      </w:r>
    </w:p>
    <w:p>
      <w:pPr>
        <w:pStyle w:val="BodyText"/>
        <w:spacing w:line="225" w:lineRule="auto"/>
        <w:ind w:left="2355" w:right="2004"/>
      </w:pPr>
      <w:r>
        <w:rPr/>
        <w:t>1998 Agreement, including the Northern Ireland Human Rights Commission, the Equality Commission for Northern Ireland and the Joint Committee of representatives of the Human Rights Commissions</w:t>
      </w:r>
      <w:r>
        <w:rPr>
          <w:spacing w:val="-6"/>
        </w:rPr>
        <w:t> </w:t>
      </w:r>
      <w:r>
        <w:rPr/>
        <w:t>of</w:t>
      </w:r>
      <w:r>
        <w:rPr>
          <w:spacing w:val="-6"/>
        </w:rPr>
        <w:t> </w:t>
      </w:r>
      <w:r>
        <w:rPr/>
        <w:t>Northern</w:t>
      </w:r>
      <w:r>
        <w:rPr>
          <w:spacing w:val="-6"/>
        </w:rPr>
        <w:t> </w:t>
      </w:r>
      <w:r>
        <w:rPr/>
        <w:t>Ireland</w:t>
      </w:r>
      <w:r>
        <w:rPr>
          <w:spacing w:val="-6"/>
        </w:rPr>
        <w:t> </w:t>
      </w:r>
      <w:r>
        <w:rPr/>
        <w:t>and</w:t>
      </w:r>
      <w:r>
        <w:rPr>
          <w:spacing w:val="-6"/>
        </w:rPr>
        <w:t> </w:t>
      </w:r>
      <w:r>
        <w:rPr/>
        <w:t>Ireland,</w:t>
      </w:r>
      <w:r>
        <w:rPr>
          <w:spacing w:val="-5"/>
        </w:rPr>
        <w:t> </w:t>
      </w:r>
      <w:r>
        <w:rPr/>
        <w:t>in</w:t>
      </w:r>
      <w:r>
        <w:rPr>
          <w:spacing w:val="-6"/>
        </w:rPr>
        <w:t> </w:t>
      </w:r>
      <w:r>
        <w:rPr/>
        <w:t>upholding</w:t>
      </w:r>
      <w:r>
        <w:rPr>
          <w:spacing w:val="-5"/>
        </w:rPr>
        <w:t> </w:t>
      </w:r>
      <w:r>
        <w:rPr/>
        <w:t>human rights and equality standards.</w:t>
      </w:r>
    </w:p>
    <w:p>
      <w:pPr>
        <w:pStyle w:val="ListParagraph"/>
        <w:numPr>
          <w:ilvl w:val="1"/>
          <w:numId w:val="5"/>
        </w:numPr>
        <w:tabs>
          <w:tab w:pos="1853" w:val="left" w:leader="none"/>
        </w:tabs>
        <w:spacing w:line="225" w:lineRule="auto" w:before="231" w:after="0"/>
        <w:ind w:left="1853" w:right="1421" w:hanging="720"/>
        <w:jc w:val="left"/>
        <w:rPr>
          <w:sz w:val="28"/>
        </w:rPr>
      </w:pPr>
      <w:r>
        <w:rPr>
          <w:sz w:val="28"/>
        </w:rPr>
        <w:t>Section 7A of the EU (Withdrawal) Act 2018 gives effect to all the rights, obligations</w:t>
      </w:r>
      <w:r>
        <w:rPr>
          <w:spacing w:val="-8"/>
          <w:sz w:val="28"/>
        </w:rPr>
        <w:t> </w:t>
      </w:r>
      <w:r>
        <w:rPr>
          <w:sz w:val="28"/>
        </w:rPr>
        <w:t>and</w:t>
      </w:r>
      <w:r>
        <w:rPr>
          <w:spacing w:val="-8"/>
          <w:sz w:val="28"/>
        </w:rPr>
        <w:t> </w:t>
      </w:r>
      <w:r>
        <w:rPr>
          <w:sz w:val="28"/>
        </w:rPr>
        <w:t>remedies</w:t>
      </w:r>
      <w:r>
        <w:rPr>
          <w:spacing w:val="-8"/>
          <w:sz w:val="28"/>
        </w:rPr>
        <w:t> </w:t>
      </w:r>
      <w:r>
        <w:rPr>
          <w:sz w:val="28"/>
        </w:rPr>
        <w:t>arising</w:t>
      </w:r>
      <w:r>
        <w:rPr>
          <w:spacing w:val="-7"/>
          <w:sz w:val="28"/>
        </w:rPr>
        <w:t> </w:t>
      </w:r>
      <w:r>
        <w:rPr>
          <w:sz w:val="28"/>
        </w:rPr>
        <w:t>under</w:t>
      </w:r>
      <w:r>
        <w:rPr>
          <w:spacing w:val="-7"/>
          <w:sz w:val="28"/>
        </w:rPr>
        <w:t> </w:t>
      </w:r>
      <w:r>
        <w:rPr>
          <w:sz w:val="28"/>
        </w:rPr>
        <w:t>the</w:t>
      </w:r>
      <w:r>
        <w:rPr>
          <w:spacing w:val="-7"/>
          <w:sz w:val="28"/>
        </w:rPr>
        <w:t> </w:t>
      </w:r>
      <w:r>
        <w:rPr>
          <w:sz w:val="28"/>
        </w:rPr>
        <w:t>UK-EU</w:t>
      </w:r>
      <w:r>
        <w:rPr>
          <w:spacing w:val="-7"/>
          <w:sz w:val="28"/>
        </w:rPr>
        <w:t> </w:t>
      </w:r>
      <w:r>
        <w:rPr>
          <w:sz w:val="28"/>
        </w:rPr>
        <w:t>Withdrawal</w:t>
      </w:r>
      <w:r>
        <w:rPr>
          <w:spacing w:val="-8"/>
          <w:sz w:val="28"/>
        </w:rPr>
        <w:t> </w:t>
      </w:r>
      <w:r>
        <w:rPr>
          <w:sz w:val="28"/>
        </w:rPr>
        <w:t>Agreement</w:t>
      </w:r>
      <w:r>
        <w:rPr>
          <w:spacing w:val="-7"/>
          <w:sz w:val="28"/>
        </w:rPr>
        <w:t> </w:t>
      </w:r>
      <w:r>
        <w:rPr>
          <w:sz w:val="28"/>
        </w:rPr>
        <w:t>in UK law without the need for further enactment.</w:t>
      </w:r>
    </w:p>
    <w:p>
      <w:pPr>
        <w:pStyle w:val="ListParagraph"/>
        <w:numPr>
          <w:ilvl w:val="1"/>
          <w:numId w:val="5"/>
        </w:numPr>
        <w:tabs>
          <w:tab w:pos="1853" w:val="left" w:leader="none"/>
        </w:tabs>
        <w:spacing w:line="225" w:lineRule="auto" w:before="317" w:after="0"/>
        <w:ind w:left="1853" w:right="1408" w:hanging="720"/>
        <w:jc w:val="left"/>
        <w:rPr>
          <w:sz w:val="28"/>
        </w:rPr>
      </w:pPr>
      <w:r>
        <w:rPr>
          <w:sz w:val="28"/>
        </w:rPr>
        <w:t>Section 6 of the NI Act 1998 provides that the NI Assembly is prohibited from</w:t>
      </w:r>
      <w:r>
        <w:rPr>
          <w:spacing w:val="-6"/>
          <w:sz w:val="28"/>
        </w:rPr>
        <w:t> </w:t>
      </w:r>
      <w:r>
        <w:rPr>
          <w:sz w:val="28"/>
        </w:rPr>
        <w:t>making</w:t>
      </w:r>
      <w:r>
        <w:rPr>
          <w:spacing w:val="-6"/>
          <w:sz w:val="28"/>
        </w:rPr>
        <w:t> </w:t>
      </w:r>
      <w:r>
        <w:rPr>
          <w:sz w:val="28"/>
        </w:rPr>
        <w:t>any</w:t>
      </w:r>
      <w:r>
        <w:rPr>
          <w:spacing w:val="-6"/>
          <w:sz w:val="28"/>
        </w:rPr>
        <w:t> </w:t>
      </w:r>
      <w:r>
        <w:rPr>
          <w:sz w:val="28"/>
        </w:rPr>
        <w:t>law</w:t>
      </w:r>
      <w:r>
        <w:rPr>
          <w:spacing w:val="-6"/>
          <w:sz w:val="28"/>
        </w:rPr>
        <w:t> </w:t>
      </w:r>
      <w:r>
        <w:rPr>
          <w:sz w:val="28"/>
        </w:rPr>
        <w:t>which</w:t>
      </w:r>
      <w:r>
        <w:rPr>
          <w:spacing w:val="-7"/>
          <w:sz w:val="28"/>
        </w:rPr>
        <w:t> </w:t>
      </w:r>
      <w:r>
        <w:rPr>
          <w:sz w:val="28"/>
        </w:rPr>
        <w:t>is</w:t>
      </w:r>
      <w:r>
        <w:rPr>
          <w:spacing w:val="-7"/>
          <w:sz w:val="28"/>
        </w:rPr>
        <w:t> </w:t>
      </w:r>
      <w:r>
        <w:rPr>
          <w:sz w:val="28"/>
        </w:rPr>
        <w:t>incompatible</w:t>
      </w:r>
      <w:r>
        <w:rPr>
          <w:spacing w:val="-6"/>
          <w:sz w:val="28"/>
        </w:rPr>
        <w:t> </w:t>
      </w:r>
      <w:r>
        <w:rPr>
          <w:sz w:val="28"/>
        </w:rPr>
        <w:t>with</w:t>
      </w:r>
      <w:r>
        <w:rPr>
          <w:spacing w:val="-7"/>
          <w:sz w:val="28"/>
        </w:rPr>
        <w:t> </w:t>
      </w:r>
      <w:r>
        <w:rPr>
          <w:sz w:val="28"/>
        </w:rPr>
        <w:t>Windsor</w:t>
      </w:r>
      <w:r>
        <w:rPr>
          <w:spacing w:val="-6"/>
          <w:sz w:val="28"/>
        </w:rPr>
        <w:t> </w:t>
      </w:r>
      <w:r>
        <w:rPr>
          <w:sz w:val="28"/>
        </w:rPr>
        <w:t>Framework</w:t>
      </w:r>
      <w:r>
        <w:rPr>
          <w:spacing w:val="-6"/>
          <w:sz w:val="28"/>
        </w:rPr>
        <w:t> </w:t>
      </w:r>
      <w:r>
        <w:rPr>
          <w:sz w:val="28"/>
        </w:rPr>
        <w:t>Article</w:t>
      </w:r>
    </w:p>
    <w:p>
      <w:pPr>
        <w:pStyle w:val="BodyText"/>
        <w:spacing w:line="225" w:lineRule="auto"/>
        <w:ind w:left="1853" w:right="1171"/>
      </w:pPr>
      <w:r>
        <w:rPr/>
        <w:t>2.</w:t>
      </w:r>
      <w:r>
        <w:rPr>
          <w:spacing w:val="-4"/>
        </w:rPr>
        <w:t> </w:t>
      </w:r>
      <w:r>
        <w:rPr/>
        <w:t>Section</w:t>
      </w:r>
      <w:r>
        <w:rPr>
          <w:spacing w:val="-4"/>
        </w:rPr>
        <w:t> </w:t>
      </w:r>
      <w:r>
        <w:rPr/>
        <w:t>24</w:t>
      </w:r>
      <w:r>
        <w:rPr>
          <w:spacing w:val="-3"/>
        </w:rPr>
        <w:t> </w:t>
      </w:r>
      <w:r>
        <w:rPr/>
        <w:t>of</w:t>
      </w:r>
      <w:r>
        <w:rPr>
          <w:spacing w:val="-4"/>
        </w:rPr>
        <w:t> </w:t>
      </w:r>
      <w:r>
        <w:rPr/>
        <w:t>the</w:t>
      </w:r>
      <w:r>
        <w:rPr>
          <w:spacing w:val="-3"/>
        </w:rPr>
        <w:t> </w:t>
      </w:r>
      <w:r>
        <w:rPr/>
        <w:t>1998</w:t>
      </w:r>
      <w:r>
        <w:rPr>
          <w:spacing w:val="-3"/>
        </w:rPr>
        <w:t> </w:t>
      </w:r>
      <w:r>
        <w:rPr/>
        <w:t>Act</w:t>
      </w:r>
      <w:r>
        <w:rPr>
          <w:spacing w:val="-3"/>
        </w:rPr>
        <w:t> </w:t>
      </w:r>
      <w:r>
        <w:rPr/>
        <w:t>also</w:t>
      </w:r>
      <w:r>
        <w:rPr>
          <w:spacing w:val="-4"/>
        </w:rPr>
        <w:t> </w:t>
      </w:r>
      <w:r>
        <w:rPr/>
        <w:t>provides</w:t>
      </w:r>
      <w:r>
        <w:rPr>
          <w:spacing w:val="-4"/>
        </w:rPr>
        <w:t> </w:t>
      </w:r>
      <w:r>
        <w:rPr/>
        <w:t>that</w:t>
      </w:r>
      <w:r>
        <w:rPr>
          <w:spacing w:val="-3"/>
        </w:rPr>
        <w:t> </w:t>
      </w:r>
      <w:r>
        <w:rPr/>
        <w:t>all</w:t>
      </w:r>
      <w:r>
        <w:rPr>
          <w:spacing w:val="-4"/>
        </w:rPr>
        <w:t> </w:t>
      </w:r>
      <w:r>
        <w:rPr/>
        <w:t>acts</w:t>
      </w:r>
      <w:r>
        <w:rPr>
          <w:spacing w:val="-4"/>
        </w:rPr>
        <w:t> </w:t>
      </w:r>
      <w:r>
        <w:rPr/>
        <w:t>of</w:t>
      </w:r>
      <w:r>
        <w:rPr>
          <w:spacing w:val="-4"/>
        </w:rPr>
        <w:t> </w:t>
      </w:r>
      <w:r>
        <w:rPr/>
        <w:t>the</w:t>
      </w:r>
      <w:r>
        <w:rPr>
          <w:spacing w:val="-3"/>
        </w:rPr>
        <w:t> </w:t>
      </w:r>
      <w:r>
        <w:rPr/>
        <w:t>departments should be compatible with Windsor Framework Article 2.</w:t>
      </w:r>
    </w:p>
    <w:p>
      <w:pPr>
        <w:pStyle w:val="ListParagraph"/>
        <w:numPr>
          <w:ilvl w:val="1"/>
          <w:numId w:val="5"/>
        </w:numPr>
        <w:tabs>
          <w:tab w:pos="1853" w:val="left" w:leader="none"/>
        </w:tabs>
        <w:spacing w:line="225" w:lineRule="auto" w:before="314" w:after="0"/>
        <w:ind w:left="1853" w:right="1129" w:hanging="720"/>
        <w:jc w:val="left"/>
        <w:rPr>
          <w:sz w:val="28"/>
        </w:rPr>
      </w:pPr>
      <w:r>
        <w:rPr>
          <w:sz w:val="28"/>
        </w:rPr>
        <w:t>In 2022, the Commissions published a joint </w:t>
      </w:r>
      <w:r>
        <w:rPr>
          <w:b/>
          <w:color w:val="393B7F"/>
          <w:sz w:val="28"/>
        </w:rPr>
        <w:t>working paper </w:t>
      </w:r>
      <w:r>
        <w:rPr>
          <w:sz w:val="28"/>
        </w:rPr>
        <w:t>on the scope of Windsor Framework Article 2(1), which provides an initial assessment of Article 2, how it is engaged and what rights and safeguards fall within its scope.</w:t>
      </w:r>
      <w:r>
        <w:rPr>
          <w:sz w:val="28"/>
          <w:vertAlign w:val="superscript"/>
        </w:rPr>
        <w:t>11</w:t>
      </w:r>
      <w:r>
        <w:rPr>
          <w:spacing w:val="40"/>
          <w:sz w:val="28"/>
          <w:vertAlign w:val="baseline"/>
        </w:rPr>
        <w:t> </w:t>
      </w:r>
      <w:r>
        <w:rPr>
          <w:sz w:val="28"/>
          <w:vertAlign w:val="baseline"/>
        </w:rPr>
        <w:t>The Appendix sets out the EU law which the Commissions have identified as falling within the scope of Article 2. The Commissions take the view</w:t>
      </w:r>
      <w:r>
        <w:rPr>
          <w:spacing w:val="-6"/>
          <w:sz w:val="28"/>
          <w:vertAlign w:val="baseline"/>
        </w:rPr>
        <w:t> </w:t>
      </w:r>
      <w:r>
        <w:rPr>
          <w:sz w:val="28"/>
          <w:vertAlign w:val="baseline"/>
        </w:rPr>
        <w:t>that,</w:t>
      </w:r>
      <w:r>
        <w:rPr>
          <w:spacing w:val="-7"/>
          <w:sz w:val="28"/>
          <w:vertAlign w:val="baseline"/>
        </w:rPr>
        <w:t> </w:t>
      </w:r>
      <w:r>
        <w:rPr>
          <w:sz w:val="28"/>
          <w:vertAlign w:val="baseline"/>
        </w:rPr>
        <w:t>subject</w:t>
      </w:r>
      <w:r>
        <w:rPr>
          <w:spacing w:val="-6"/>
          <w:sz w:val="28"/>
          <w:vertAlign w:val="baseline"/>
        </w:rPr>
        <w:t> </w:t>
      </w:r>
      <w:r>
        <w:rPr>
          <w:sz w:val="28"/>
          <w:vertAlign w:val="baseline"/>
        </w:rPr>
        <w:t>to</w:t>
      </w:r>
      <w:r>
        <w:rPr>
          <w:spacing w:val="-7"/>
          <w:sz w:val="28"/>
          <w:vertAlign w:val="baseline"/>
        </w:rPr>
        <w:t> </w:t>
      </w:r>
      <w:r>
        <w:rPr>
          <w:sz w:val="28"/>
          <w:vertAlign w:val="baseline"/>
        </w:rPr>
        <w:t>anticipated</w:t>
      </w:r>
      <w:r>
        <w:rPr>
          <w:spacing w:val="-7"/>
          <w:sz w:val="28"/>
          <w:vertAlign w:val="baseline"/>
        </w:rPr>
        <w:t> </w:t>
      </w:r>
      <w:r>
        <w:rPr>
          <w:sz w:val="28"/>
          <w:vertAlign w:val="baseline"/>
        </w:rPr>
        <w:t>consideration</w:t>
      </w:r>
      <w:r>
        <w:rPr>
          <w:spacing w:val="-6"/>
          <w:sz w:val="28"/>
          <w:vertAlign w:val="baseline"/>
        </w:rPr>
        <w:t> </w:t>
      </w:r>
      <w:r>
        <w:rPr>
          <w:sz w:val="28"/>
          <w:vertAlign w:val="baseline"/>
        </w:rPr>
        <w:t>by</w:t>
      </w:r>
      <w:r>
        <w:rPr>
          <w:spacing w:val="-7"/>
          <w:sz w:val="28"/>
          <w:vertAlign w:val="baseline"/>
        </w:rPr>
        <w:t> </w:t>
      </w:r>
      <w:r>
        <w:rPr>
          <w:sz w:val="28"/>
          <w:vertAlign w:val="baseline"/>
        </w:rPr>
        <w:t>the</w:t>
      </w:r>
      <w:r>
        <w:rPr>
          <w:spacing w:val="-6"/>
          <w:sz w:val="28"/>
          <w:vertAlign w:val="baseline"/>
        </w:rPr>
        <w:t> </w:t>
      </w:r>
      <w:r>
        <w:rPr>
          <w:sz w:val="28"/>
          <w:vertAlign w:val="baseline"/>
        </w:rPr>
        <w:t>courts,</w:t>
      </w:r>
      <w:r>
        <w:rPr>
          <w:spacing w:val="-6"/>
          <w:sz w:val="28"/>
          <w:vertAlign w:val="baseline"/>
        </w:rPr>
        <w:t> </w:t>
      </w:r>
      <w:r>
        <w:rPr>
          <w:sz w:val="28"/>
          <w:vertAlign w:val="baseline"/>
        </w:rPr>
        <w:t>this</w:t>
      </w:r>
      <w:r>
        <w:rPr>
          <w:spacing w:val="-6"/>
          <w:sz w:val="28"/>
          <w:vertAlign w:val="baseline"/>
        </w:rPr>
        <w:t> </w:t>
      </w:r>
      <w:r>
        <w:rPr>
          <w:sz w:val="28"/>
          <w:vertAlign w:val="baseline"/>
        </w:rPr>
        <w:t>is</w:t>
      </w:r>
      <w:r>
        <w:rPr>
          <w:spacing w:val="-7"/>
          <w:sz w:val="28"/>
          <w:vertAlign w:val="baseline"/>
        </w:rPr>
        <w:t> </w:t>
      </w:r>
      <w:r>
        <w:rPr>
          <w:sz w:val="28"/>
          <w:vertAlign w:val="baseline"/>
        </w:rPr>
        <w:t>a</w:t>
      </w:r>
      <w:r>
        <w:rPr>
          <w:spacing w:val="-7"/>
          <w:sz w:val="28"/>
          <w:vertAlign w:val="baseline"/>
        </w:rPr>
        <w:t> </w:t>
      </w:r>
      <w:r>
        <w:rPr>
          <w:sz w:val="28"/>
          <w:vertAlign w:val="baseline"/>
        </w:rPr>
        <w:t>reasoned and robust interpretation and that it provides an essential contribution to our understanding of the UK Government commitment in Windsor Framework Article 2.</w:t>
      </w:r>
      <w:r>
        <w:rPr>
          <w:spacing w:val="40"/>
          <w:sz w:val="28"/>
          <w:vertAlign w:val="baseline"/>
        </w:rPr>
        <w:t> </w:t>
      </w:r>
      <w:r>
        <w:rPr>
          <w:sz w:val="28"/>
          <w:vertAlign w:val="baseline"/>
        </w:rPr>
        <w:t>The Commissions also published a further table which contains</w:t>
      </w:r>
    </w:p>
    <w:p>
      <w:pPr>
        <w:pStyle w:val="BodyText"/>
        <w:spacing w:line="225" w:lineRule="auto"/>
        <w:ind w:left="1853" w:right="1171"/>
      </w:pPr>
      <w:r>
        <w:rPr/>
        <w:t>the</w:t>
      </w:r>
      <w:r>
        <w:rPr>
          <w:spacing w:val="-6"/>
        </w:rPr>
        <w:t> </w:t>
      </w:r>
      <w:r>
        <w:rPr/>
        <w:t>associated</w:t>
      </w:r>
      <w:r>
        <w:rPr>
          <w:spacing w:val="-7"/>
        </w:rPr>
        <w:t> </w:t>
      </w:r>
      <w:r>
        <w:rPr/>
        <w:t>underpinning</w:t>
      </w:r>
      <w:r>
        <w:rPr>
          <w:spacing w:val="-6"/>
        </w:rPr>
        <w:t> </w:t>
      </w:r>
      <w:r>
        <w:rPr/>
        <w:t>domestic</w:t>
      </w:r>
      <w:r>
        <w:rPr>
          <w:spacing w:val="-6"/>
        </w:rPr>
        <w:t> </w:t>
      </w:r>
      <w:r>
        <w:rPr/>
        <w:t>legislation</w:t>
      </w:r>
      <w:r>
        <w:rPr>
          <w:spacing w:val="-7"/>
        </w:rPr>
        <w:t> </w:t>
      </w:r>
      <w:r>
        <w:rPr/>
        <w:t>that</w:t>
      </w:r>
      <w:r>
        <w:rPr>
          <w:spacing w:val="-6"/>
        </w:rPr>
        <w:t> </w:t>
      </w:r>
      <w:r>
        <w:rPr/>
        <w:t>has</w:t>
      </w:r>
      <w:r>
        <w:rPr>
          <w:spacing w:val="-7"/>
        </w:rPr>
        <w:t> </w:t>
      </w:r>
      <w:r>
        <w:rPr/>
        <w:t>transposed</w:t>
      </w:r>
      <w:r>
        <w:rPr>
          <w:spacing w:val="-7"/>
        </w:rPr>
        <w:t> </w:t>
      </w:r>
      <w:r>
        <w:rPr/>
        <w:t>the</w:t>
      </w:r>
      <w:r>
        <w:rPr>
          <w:spacing w:val="-6"/>
        </w:rPr>
        <w:t> </w:t>
      </w:r>
      <w:r>
        <w:rPr/>
        <w:t>EU directives identified by the Commissions into NI law.</w:t>
      </w:r>
      <w:r>
        <w:rPr>
          <w:vertAlign w:val="superscript"/>
        </w:rPr>
        <w:t>12</w:t>
      </w:r>
    </w:p>
    <w:p>
      <w:pPr>
        <w:pStyle w:val="Heading5"/>
        <w:spacing w:before="250"/>
        <w:ind w:left="1133" w:firstLine="0"/>
      </w:pPr>
      <w:bookmarkStart w:name="Court Judgments on Windsor Framework Art" w:id="13"/>
      <w:bookmarkEnd w:id="13"/>
      <w:r>
        <w:rPr>
          <w:b w:val="0"/>
        </w:rPr>
      </w:r>
      <w:r>
        <w:rPr>
          <w:color w:val="393B7F"/>
        </w:rPr>
        <w:t>Court</w:t>
      </w:r>
      <w:r>
        <w:rPr>
          <w:color w:val="393B7F"/>
          <w:spacing w:val="-7"/>
        </w:rPr>
        <w:t> </w:t>
      </w:r>
      <w:r>
        <w:rPr>
          <w:color w:val="393B7F"/>
        </w:rPr>
        <w:t>Judgments</w:t>
      </w:r>
      <w:r>
        <w:rPr>
          <w:color w:val="393B7F"/>
          <w:spacing w:val="-6"/>
        </w:rPr>
        <w:t> </w:t>
      </w:r>
      <w:r>
        <w:rPr>
          <w:color w:val="393B7F"/>
        </w:rPr>
        <w:t>on</w:t>
      </w:r>
      <w:r>
        <w:rPr>
          <w:color w:val="393B7F"/>
          <w:spacing w:val="-6"/>
        </w:rPr>
        <w:t> </w:t>
      </w:r>
      <w:r>
        <w:rPr>
          <w:color w:val="393B7F"/>
        </w:rPr>
        <w:t>Windsor</w:t>
      </w:r>
      <w:r>
        <w:rPr>
          <w:color w:val="393B7F"/>
          <w:spacing w:val="-8"/>
        </w:rPr>
        <w:t> </w:t>
      </w:r>
      <w:r>
        <w:rPr>
          <w:color w:val="393B7F"/>
        </w:rPr>
        <w:t>Framework</w:t>
      </w:r>
      <w:r>
        <w:rPr>
          <w:color w:val="393B7F"/>
          <w:spacing w:val="-7"/>
        </w:rPr>
        <w:t> </w:t>
      </w:r>
      <w:r>
        <w:rPr>
          <w:color w:val="393B7F"/>
        </w:rPr>
        <w:t>Article</w:t>
      </w:r>
      <w:r>
        <w:rPr>
          <w:color w:val="393B7F"/>
          <w:spacing w:val="-7"/>
        </w:rPr>
        <w:t> </w:t>
      </w:r>
      <w:r>
        <w:rPr>
          <w:color w:val="393B7F"/>
          <w:spacing w:val="-10"/>
        </w:rPr>
        <w:t>2</w:t>
      </w:r>
    </w:p>
    <w:p>
      <w:pPr>
        <w:pStyle w:val="BodyText"/>
        <w:spacing w:before="108"/>
        <w:rPr>
          <w:b/>
        </w:rPr>
      </w:pPr>
    </w:p>
    <w:p>
      <w:pPr>
        <w:pStyle w:val="ListParagraph"/>
        <w:numPr>
          <w:ilvl w:val="1"/>
          <w:numId w:val="5"/>
        </w:numPr>
        <w:tabs>
          <w:tab w:pos="1853" w:val="left" w:leader="none"/>
        </w:tabs>
        <w:spacing w:line="225" w:lineRule="auto" w:before="1" w:after="0"/>
        <w:ind w:left="1853" w:right="1413" w:hanging="720"/>
        <w:jc w:val="left"/>
        <w:rPr>
          <w:sz w:val="28"/>
        </w:rPr>
      </w:pPr>
      <w:r>
        <w:rPr>
          <w:sz w:val="28"/>
        </w:rPr>
        <w:t>In May 2023, the Court of Appeal in NI considered Windsor Framework Article 2 in the context of a challenge to the regulations which empowered the Secretary of State for NI to direct the Department of Health to commission</w:t>
      </w:r>
      <w:r>
        <w:rPr>
          <w:spacing w:val="-7"/>
          <w:sz w:val="28"/>
        </w:rPr>
        <w:t> </w:t>
      </w:r>
      <w:r>
        <w:rPr>
          <w:sz w:val="28"/>
        </w:rPr>
        <w:t>abortion</w:t>
      </w:r>
      <w:r>
        <w:rPr>
          <w:spacing w:val="-7"/>
          <w:sz w:val="28"/>
        </w:rPr>
        <w:t> </w:t>
      </w:r>
      <w:r>
        <w:rPr>
          <w:sz w:val="28"/>
        </w:rPr>
        <w:t>services.</w:t>
      </w:r>
      <w:r>
        <w:rPr>
          <w:sz w:val="28"/>
          <w:vertAlign w:val="superscript"/>
        </w:rPr>
        <w:t>13</w:t>
      </w:r>
      <w:r>
        <w:rPr>
          <w:spacing w:val="-7"/>
          <w:sz w:val="28"/>
          <w:vertAlign w:val="baseline"/>
        </w:rPr>
        <w:t> </w:t>
      </w:r>
      <w:r>
        <w:rPr>
          <w:sz w:val="28"/>
          <w:vertAlign w:val="baseline"/>
        </w:rPr>
        <w:t>The</w:t>
      </w:r>
      <w:r>
        <w:rPr>
          <w:spacing w:val="-6"/>
          <w:sz w:val="28"/>
          <w:vertAlign w:val="baseline"/>
        </w:rPr>
        <w:t> </w:t>
      </w:r>
      <w:r>
        <w:rPr>
          <w:sz w:val="28"/>
          <w:vertAlign w:val="baseline"/>
        </w:rPr>
        <w:t>Court</w:t>
      </w:r>
      <w:r>
        <w:rPr>
          <w:spacing w:val="-6"/>
          <w:sz w:val="28"/>
          <w:vertAlign w:val="baseline"/>
        </w:rPr>
        <w:t> </w:t>
      </w:r>
      <w:r>
        <w:rPr>
          <w:sz w:val="28"/>
          <w:vertAlign w:val="baseline"/>
        </w:rPr>
        <w:t>of</w:t>
      </w:r>
      <w:r>
        <w:rPr>
          <w:spacing w:val="-7"/>
          <w:sz w:val="28"/>
          <w:vertAlign w:val="baseline"/>
        </w:rPr>
        <w:t> </w:t>
      </w:r>
      <w:r>
        <w:rPr>
          <w:sz w:val="28"/>
          <w:vertAlign w:val="baseline"/>
        </w:rPr>
        <w:t>Appeal</w:t>
      </w:r>
      <w:r>
        <w:rPr>
          <w:spacing w:val="-7"/>
          <w:sz w:val="28"/>
          <w:vertAlign w:val="baseline"/>
        </w:rPr>
        <w:t> </w:t>
      </w:r>
      <w:r>
        <w:rPr>
          <w:sz w:val="28"/>
          <w:vertAlign w:val="baseline"/>
        </w:rPr>
        <w:t>was</w:t>
      </w:r>
      <w:r>
        <w:rPr>
          <w:spacing w:val="-7"/>
          <w:sz w:val="28"/>
          <w:vertAlign w:val="baseline"/>
        </w:rPr>
        <w:t> </w:t>
      </w:r>
      <w:r>
        <w:rPr>
          <w:sz w:val="28"/>
          <w:vertAlign w:val="baseline"/>
        </w:rPr>
        <w:t>not</w:t>
      </w:r>
      <w:r>
        <w:rPr>
          <w:spacing w:val="-6"/>
          <w:sz w:val="28"/>
          <w:vertAlign w:val="baseline"/>
        </w:rPr>
        <w:t> </w:t>
      </w:r>
      <w:r>
        <w:rPr>
          <w:sz w:val="28"/>
          <w:vertAlign w:val="baseline"/>
        </w:rPr>
        <w:t>convinced</w:t>
      </w:r>
      <w:r>
        <w:rPr>
          <w:spacing w:val="-7"/>
          <w:sz w:val="28"/>
          <w:vertAlign w:val="baseline"/>
        </w:rPr>
        <w:t> </w:t>
      </w:r>
      <w:r>
        <w:rPr>
          <w:sz w:val="28"/>
          <w:vertAlign w:val="baseline"/>
        </w:rPr>
        <w:t>that the commissioning of abortion services fell within the scope of Windsor</w:t>
      </w:r>
    </w:p>
    <w:p>
      <w:pPr>
        <w:pStyle w:val="BodyText"/>
        <w:spacing w:line="225" w:lineRule="auto"/>
        <w:ind w:left="1853"/>
      </w:pPr>
      <w:r>
        <w:rPr/>
        <w:t>Framework</w:t>
      </w:r>
      <w:r>
        <w:rPr>
          <w:spacing w:val="-5"/>
        </w:rPr>
        <w:t> </w:t>
      </w:r>
      <w:r>
        <w:rPr/>
        <w:t>Article</w:t>
      </w:r>
      <w:r>
        <w:rPr>
          <w:spacing w:val="-5"/>
        </w:rPr>
        <w:t> </w:t>
      </w:r>
      <w:r>
        <w:rPr/>
        <w:t>2.</w:t>
      </w:r>
      <w:r>
        <w:rPr>
          <w:spacing w:val="-6"/>
        </w:rPr>
        <w:t> </w:t>
      </w:r>
      <w:r>
        <w:rPr/>
        <w:t>Nevertheless,</w:t>
      </w:r>
      <w:r>
        <w:rPr>
          <w:spacing w:val="-5"/>
        </w:rPr>
        <w:t> </w:t>
      </w:r>
      <w:r>
        <w:rPr/>
        <w:t>the</w:t>
      </w:r>
      <w:r>
        <w:rPr>
          <w:spacing w:val="-5"/>
        </w:rPr>
        <w:t> </w:t>
      </w:r>
      <w:r>
        <w:rPr/>
        <w:t>Court</w:t>
      </w:r>
      <w:r>
        <w:rPr>
          <w:spacing w:val="-5"/>
        </w:rPr>
        <w:t> </w:t>
      </w:r>
      <w:r>
        <w:rPr/>
        <w:t>of</w:t>
      </w:r>
      <w:r>
        <w:rPr>
          <w:spacing w:val="-6"/>
        </w:rPr>
        <w:t> </w:t>
      </w:r>
      <w:r>
        <w:rPr/>
        <w:t>Appeal</w:t>
      </w:r>
      <w:r>
        <w:rPr>
          <w:spacing w:val="-6"/>
        </w:rPr>
        <w:t> </w:t>
      </w:r>
      <w:r>
        <w:rPr/>
        <w:t>confirmed</w:t>
      </w:r>
      <w:r>
        <w:rPr>
          <w:spacing w:val="-6"/>
        </w:rPr>
        <w:t> </w:t>
      </w:r>
      <w:r>
        <w:rPr/>
        <w:t>that</w:t>
      </w:r>
      <w:r>
        <w:rPr>
          <w:spacing w:val="-5"/>
        </w:rPr>
        <w:t> </w:t>
      </w:r>
      <w:r>
        <w:rPr/>
        <w:t>the</w:t>
      </w:r>
      <w:r>
        <w:rPr>
          <w:spacing w:val="-5"/>
        </w:rPr>
        <w:t> </w:t>
      </w:r>
      <w:r>
        <w:rPr/>
        <w:t>UN Convention on the Rights of Persons with Disabilities (UN CRPD) was a part of</w:t>
      </w:r>
    </w:p>
    <w:p>
      <w:pPr>
        <w:pStyle w:val="BodyText"/>
        <w:spacing w:before="95"/>
        <w:rPr>
          <w:sz w:val="20"/>
        </w:rPr>
      </w:pPr>
      <w:r>
        <w:rPr/>
        <mc:AlternateContent>
          <mc:Choice Requires="wps">
            <w:drawing>
              <wp:anchor distT="0" distB="0" distL="0" distR="0" allowOverlap="1" layoutInCell="1" locked="0" behindDoc="1" simplePos="0" relativeHeight="487623168">
                <wp:simplePos x="0" y="0"/>
                <wp:positionH relativeFrom="page">
                  <wp:posOffset>719996</wp:posOffset>
                </wp:positionH>
                <wp:positionV relativeFrom="paragraph">
                  <wp:posOffset>230763</wp:posOffset>
                </wp:positionV>
                <wp:extent cx="6120130" cy="1270"/>
                <wp:effectExtent l="0" t="0" r="0" b="0"/>
                <wp:wrapTopAndBottom/>
                <wp:docPr id="133" name="Graphic 133"/>
                <wp:cNvGraphicFramePr>
                  <a:graphicFrameLocks/>
                </wp:cNvGraphicFramePr>
                <a:graphic>
                  <a:graphicData uri="http://schemas.microsoft.com/office/word/2010/wordprocessingShape">
                    <wps:wsp>
                      <wps:cNvPr id="133" name="Graphic 133"/>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8.170368pt;width:481.9pt;height:.1pt;mso-position-horizontal-relative:page;mso-position-vertical-relative:paragraph;z-index:-15693312;mso-wrap-distance-left:0;mso-wrap-distance-right:0" id="docshape90" coordorigin="1134,363" coordsize="9638,0" path="m10772,363l1134,363e" filled="false" stroked="true" strokeweight="1pt" strokecolor="#393b80">
                <v:path arrowok="t"/>
                <v:stroke dashstyle="solid"/>
                <w10:wrap type="topAndBottom"/>
              </v:shape>
            </w:pict>
          </mc:Fallback>
        </mc:AlternateContent>
      </w:r>
    </w:p>
    <w:p>
      <w:pPr>
        <w:pStyle w:val="ListParagraph"/>
        <w:numPr>
          <w:ilvl w:val="0"/>
          <w:numId w:val="3"/>
        </w:numPr>
        <w:tabs>
          <w:tab w:pos="1853" w:val="left" w:leader="none"/>
        </w:tabs>
        <w:spacing w:line="235" w:lineRule="auto" w:before="124" w:after="0"/>
        <w:ind w:left="1853" w:right="1701" w:hanging="720"/>
        <w:jc w:val="left"/>
        <w:rPr>
          <w:sz w:val="18"/>
        </w:rPr>
      </w:pP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and</w:t>
      </w:r>
      <w:r>
        <w:rPr>
          <w:spacing w:val="-4"/>
          <w:sz w:val="18"/>
        </w:rPr>
        <w:t> </w:t>
      </w:r>
      <w:r>
        <w:rPr>
          <w:sz w:val="18"/>
        </w:rPr>
        <w:t>Equality</w:t>
      </w:r>
      <w:r>
        <w:rPr>
          <w:spacing w:val="-3"/>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‘Working</w:t>
      </w:r>
      <w:r>
        <w:rPr>
          <w:spacing w:val="-3"/>
          <w:sz w:val="18"/>
        </w:rPr>
        <w:t> </w:t>
      </w:r>
      <w:r>
        <w:rPr>
          <w:sz w:val="18"/>
        </w:rPr>
        <w:t>Paper:</w:t>
      </w:r>
      <w:r>
        <w:rPr>
          <w:spacing w:val="-3"/>
          <w:sz w:val="18"/>
        </w:rPr>
        <w:t> </w:t>
      </w:r>
      <w:r>
        <w:rPr>
          <w:sz w:val="18"/>
        </w:rPr>
        <w:t>Scope</w:t>
      </w:r>
      <w:r>
        <w:rPr>
          <w:spacing w:val="-3"/>
          <w:sz w:val="18"/>
        </w:rPr>
        <w:t> </w:t>
      </w:r>
      <w:r>
        <w:rPr>
          <w:sz w:val="18"/>
        </w:rPr>
        <w:t>of</w:t>
      </w:r>
      <w:r>
        <w:rPr>
          <w:spacing w:val="-4"/>
          <w:sz w:val="18"/>
        </w:rPr>
        <w:t> </w:t>
      </w:r>
      <w:r>
        <w:rPr>
          <w:sz w:val="18"/>
        </w:rPr>
        <w:t>Article</w:t>
      </w:r>
      <w:r>
        <w:rPr>
          <w:spacing w:val="-3"/>
          <w:sz w:val="18"/>
        </w:rPr>
        <w:t> </w:t>
      </w:r>
      <w:r>
        <w:rPr>
          <w:sz w:val="18"/>
        </w:rPr>
        <w:t>2(1)</w:t>
      </w:r>
      <w:r>
        <w:rPr>
          <w:spacing w:val="-4"/>
          <w:sz w:val="18"/>
        </w:rPr>
        <w:t> </w:t>
      </w:r>
      <w:r>
        <w:rPr>
          <w:sz w:val="18"/>
        </w:rPr>
        <w:t>of</w:t>
      </w:r>
      <w:r>
        <w:rPr>
          <w:spacing w:val="-4"/>
          <w:sz w:val="18"/>
        </w:rPr>
        <w:t> </w:t>
      </w:r>
      <w:r>
        <w:rPr>
          <w:sz w:val="18"/>
        </w:rPr>
        <w:t>the</w:t>
      </w:r>
      <w:r>
        <w:rPr>
          <w:spacing w:val="-3"/>
          <w:sz w:val="18"/>
        </w:rPr>
        <w:t> </w:t>
      </w:r>
      <w:r>
        <w:rPr>
          <w:sz w:val="18"/>
        </w:rPr>
        <w:t>Ireland/ Northern Ireland Protocol to the UK-EU Withdrawal Agreement 2020’ (NIHRC and ECNI, 2022).</w:t>
      </w:r>
    </w:p>
    <w:p>
      <w:pPr>
        <w:pStyle w:val="ListParagraph"/>
        <w:numPr>
          <w:ilvl w:val="0"/>
          <w:numId w:val="3"/>
        </w:numPr>
        <w:tabs>
          <w:tab w:pos="1853" w:val="left" w:leader="none"/>
        </w:tabs>
        <w:spacing w:line="235" w:lineRule="auto" w:before="1" w:after="0"/>
        <w:ind w:left="1853" w:right="1268" w:hanging="720"/>
        <w:jc w:val="left"/>
        <w:rPr>
          <w:sz w:val="18"/>
        </w:rPr>
      </w:pPr>
      <w:r>
        <w:rPr>
          <w:sz w:val="18"/>
        </w:rPr>
        <w:t>NI Human Rights Commission and Equality Commission for NI, ‘</w:t>
      </w:r>
      <w:hyperlink r:id="rId67">
        <w:r>
          <w:rPr>
            <w:sz w:val="18"/>
          </w:rPr>
          <w:t>Table of EU Directives which underpin the Rights,</w:t>
        </w:r>
      </w:hyperlink>
      <w:r>
        <w:rPr>
          <w:sz w:val="18"/>
        </w:rPr>
        <w:t> </w:t>
      </w:r>
      <w:hyperlink r:id="rId67">
        <w:r>
          <w:rPr>
            <w:sz w:val="18"/>
          </w:rPr>
          <w:t>Safeguards</w:t>
        </w:r>
        <w:r>
          <w:rPr>
            <w:spacing w:val="-4"/>
            <w:sz w:val="18"/>
          </w:rPr>
          <w:t> </w:t>
        </w:r>
        <w:r>
          <w:rPr>
            <w:sz w:val="18"/>
          </w:rPr>
          <w:t>and</w:t>
        </w:r>
        <w:r>
          <w:rPr>
            <w:spacing w:val="-4"/>
            <w:sz w:val="18"/>
          </w:rPr>
          <w:t> </w:t>
        </w:r>
        <w:r>
          <w:rPr>
            <w:sz w:val="18"/>
          </w:rPr>
          <w:t>Equality</w:t>
        </w:r>
        <w:r>
          <w:rPr>
            <w:spacing w:val="-4"/>
            <w:sz w:val="18"/>
          </w:rPr>
          <w:t> </w:t>
        </w:r>
        <w:r>
          <w:rPr>
            <w:sz w:val="18"/>
          </w:rPr>
          <w:t>of</w:t>
        </w:r>
        <w:r>
          <w:rPr>
            <w:spacing w:val="-4"/>
            <w:sz w:val="18"/>
          </w:rPr>
          <w:t> </w:t>
        </w:r>
        <w:r>
          <w:rPr>
            <w:sz w:val="18"/>
          </w:rPr>
          <w:t>Opportunity</w:t>
        </w:r>
        <w:r>
          <w:rPr>
            <w:spacing w:val="-4"/>
            <w:sz w:val="18"/>
          </w:rPr>
          <w:t> </w:t>
        </w:r>
        <w:r>
          <w:rPr>
            <w:sz w:val="18"/>
          </w:rPr>
          <w:t>Provisions</w:t>
        </w:r>
        <w:r>
          <w:rPr>
            <w:spacing w:val="-4"/>
            <w:sz w:val="18"/>
          </w:rPr>
          <w:t> </w:t>
        </w:r>
        <w:r>
          <w:rPr>
            <w:sz w:val="18"/>
          </w:rPr>
          <w:t>included</w:t>
        </w:r>
        <w:r>
          <w:rPr>
            <w:spacing w:val="-4"/>
            <w:sz w:val="18"/>
          </w:rPr>
          <w:t> </w:t>
        </w:r>
        <w:r>
          <w:rPr>
            <w:sz w:val="18"/>
          </w:rPr>
          <w:t>in</w:t>
        </w:r>
        <w:r>
          <w:rPr>
            <w:spacing w:val="-4"/>
            <w:sz w:val="18"/>
          </w:rPr>
          <w:t> </w:t>
        </w:r>
        <w:r>
          <w:rPr>
            <w:sz w:val="18"/>
          </w:rPr>
          <w:t>the</w:t>
        </w:r>
        <w:r>
          <w:rPr>
            <w:spacing w:val="-4"/>
            <w:sz w:val="18"/>
          </w:rPr>
          <w:t> </w:t>
        </w:r>
        <w:r>
          <w:rPr>
            <w:sz w:val="18"/>
          </w:rPr>
          <w:t>Chapter</w:t>
        </w:r>
        <w:r>
          <w:rPr>
            <w:spacing w:val="-4"/>
            <w:sz w:val="18"/>
          </w:rPr>
          <w:t> </w:t>
        </w:r>
        <w:r>
          <w:rPr>
            <w:sz w:val="18"/>
          </w:rPr>
          <w:t>of</w:t>
        </w:r>
        <w:r>
          <w:rPr>
            <w:spacing w:val="-4"/>
            <w:sz w:val="18"/>
          </w:rPr>
          <w:t> </w:t>
        </w:r>
        <w:r>
          <w:rPr>
            <w:sz w:val="18"/>
          </w:rPr>
          <w:t>the</w:t>
        </w:r>
        <w:r>
          <w:rPr>
            <w:spacing w:val="-4"/>
            <w:sz w:val="18"/>
          </w:rPr>
          <w:t> </w:t>
        </w:r>
        <w:r>
          <w:rPr>
            <w:sz w:val="18"/>
          </w:rPr>
          <w:t>Belfast</w:t>
        </w:r>
        <w:r>
          <w:rPr>
            <w:spacing w:val="-4"/>
            <w:sz w:val="18"/>
          </w:rPr>
          <w:t> </w:t>
        </w:r>
        <w:r>
          <w:rPr>
            <w:sz w:val="18"/>
          </w:rPr>
          <w:t>(Good</w:t>
        </w:r>
        <w:r>
          <w:rPr>
            <w:spacing w:val="-4"/>
            <w:sz w:val="18"/>
          </w:rPr>
          <w:t> </w:t>
        </w:r>
        <w:r>
          <w:rPr>
            <w:sz w:val="18"/>
          </w:rPr>
          <w:t>Friday)</w:t>
        </w:r>
        <w:r>
          <w:rPr>
            <w:spacing w:val="-4"/>
            <w:sz w:val="18"/>
          </w:rPr>
          <w:t> </w:t>
        </w:r>
        <w:r>
          <w:rPr>
            <w:sz w:val="18"/>
          </w:rPr>
          <w:t>Agreement</w:t>
        </w:r>
        <w:r>
          <w:rPr>
            <w:spacing w:val="-4"/>
            <w:sz w:val="18"/>
          </w:rPr>
          <w:t> </w:t>
        </w:r>
        <w:r>
          <w:rPr>
            <w:sz w:val="18"/>
          </w:rPr>
          <w:t>of</w:t>
        </w:r>
        <w:r>
          <w:rPr>
            <w:spacing w:val="-4"/>
            <w:sz w:val="18"/>
          </w:rPr>
          <w:t> </w:t>
        </w:r>
        <w:r>
          <w:rPr>
            <w:sz w:val="18"/>
          </w:rPr>
          <w:t>the</w:t>
        </w:r>
      </w:hyperlink>
      <w:r>
        <w:rPr>
          <w:sz w:val="18"/>
        </w:rPr>
        <w:t> </w:t>
      </w:r>
      <w:hyperlink r:id="rId67">
        <w:r>
          <w:rPr>
            <w:sz w:val="18"/>
          </w:rPr>
          <w:t>same name and Implementing Domestic Legislation</w:t>
        </w:r>
      </w:hyperlink>
      <w:r>
        <w:rPr>
          <w:sz w:val="18"/>
        </w:rPr>
        <w:t>’ (ECNI and NIHRC, 2022).</w:t>
      </w:r>
    </w:p>
    <w:p>
      <w:pPr>
        <w:pStyle w:val="ListParagraph"/>
        <w:numPr>
          <w:ilvl w:val="0"/>
          <w:numId w:val="3"/>
        </w:numPr>
        <w:tabs>
          <w:tab w:pos="1853" w:val="left" w:leader="none"/>
        </w:tabs>
        <w:spacing w:line="218" w:lineRule="exact" w:before="0" w:after="0"/>
        <w:ind w:left="1853" w:right="0" w:hanging="720"/>
        <w:jc w:val="left"/>
        <w:rPr>
          <w:sz w:val="18"/>
        </w:rPr>
      </w:pPr>
      <w:r>
        <w:rPr>
          <w:i/>
          <w:sz w:val="18"/>
        </w:rPr>
        <w:t>Society</w:t>
      </w:r>
      <w:r>
        <w:rPr>
          <w:i/>
          <w:spacing w:val="-5"/>
          <w:sz w:val="18"/>
        </w:rPr>
        <w:t> </w:t>
      </w:r>
      <w:r>
        <w:rPr>
          <w:i/>
          <w:sz w:val="18"/>
        </w:rPr>
        <w:t>for</w:t>
      </w:r>
      <w:r>
        <w:rPr>
          <w:i/>
          <w:spacing w:val="-3"/>
          <w:sz w:val="18"/>
        </w:rPr>
        <w:t> </w:t>
      </w:r>
      <w:r>
        <w:rPr>
          <w:i/>
          <w:sz w:val="18"/>
        </w:rPr>
        <w:t>the</w:t>
      </w:r>
      <w:r>
        <w:rPr>
          <w:i/>
          <w:spacing w:val="-3"/>
          <w:sz w:val="18"/>
        </w:rPr>
        <w:t> </w:t>
      </w:r>
      <w:r>
        <w:rPr>
          <w:i/>
          <w:sz w:val="18"/>
        </w:rPr>
        <w:t>Protection</w:t>
      </w:r>
      <w:r>
        <w:rPr>
          <w:i/>
          <w:spacing w:val="-4"/>
          <w:sz w:val="18"/>
        </w:rPr>
        <w:t> </w:t>
      </w:r>
      <w:r>
        <w:rPr>
          <w:i/>
          <w:sz w:val="18"/>
        </w:rPr>
        <w:t>of</w:t>
      </w:r>
      <w:r>
        <w:rPr>
          <w:i/>
          <w:spacing w:val="-4"/>
          <w:sz w:val="18"/>
        </w:rPr>
        <w:t> </w:t>
      </w:r>
      <w:r>
        <w:rPr>
          <w:i/>
          <w:sz w:val="18"/>
        </w:rPr>
        <w:t>the</w:t>
      </w:r>
      <w:r>
        <w:rPr>
          <w:i/>
          <w:spacing w:val="-3"/>
          <w:sz w:val="18"/>
        </w:rPr>
        <w:t> </w:t>
      </w:r>
      <w:r>
        <w:rPr>
          <w:i/>
          <w:sz w:val="18"/>
        </w:rPr>
        <w:t>Unborn</w:t>
      </w:r>
      <w:r>
        <w:rPr>
          <w:i/>
          <w:spacing w:val="-4"/>
          <w:sz w:val="18"/>
        </w:rPr>
        <w:t> </w:t>
      </w:r>
      <w:r>
        <w:rPr>
          <w:i/>
          <w:sz w:val="18"/>
        </w:rPr>
        <w:t>Child</w:t>
      </w:r>
      <w:r>
        <w:rPr>
          <w:i/>
          <w:spacing w:val="-5"/>
          <w:sz w:val="18"/>
        </w:rPr>
        <w:t> </w:t>
      </w:r>
      <w:r>
        <w:rPr>
          <w:i/>
          <w:sz w:val="18"/>
        </w:rPr>
        <w:t>Pro-Life</w:t>
      </w:r>
      <w:r>
        <w:rPr>
          <w:i/>
          <w:spacing w:val="-3"/>
          <w:sz w:val="18"/>
        </w:rPr>
        <w:t> </w:t>
      </w:r>
      <w:r>
        <w:rPr>
          <w:i/>
          <w:sz w:val="18"/>
        </w:rPr>
        <w:t>Ltd</w:t>
      </w:r>
      <w:r>
        <w:rPr>
          <w:i/>
          <w:spacing w:val="-4"/>
          <w:sz w:val="18"/>
        </w:rPr>
        <w:t> </w:t>
      </w:r>
      <w:r>
        <w:rPr>
          <w:i/>
          <w:sz w:val="18"/>
        </w:rPr>
        <w:t>v</w:t>
      </w:r>
      <w:r>
        <w:rPr>
          <w:i/>
          <w:spacing w:val="-3"/>
          <w:sz w:val="18"/>
        </w:rPr>
        <w:t> </w:t>
      </w:r>
      <w:r>
        <w:rPr>
          <w:i/>
          <w:sz w:val="18"/>
        </w:rPr>
        <w:t>Secretary</w:t>
      </w:r>
      <w:r>
        <w:rPr>
          <w:i/>
          <w:spacing w:val="-4"/>
          <w:sz w:val="18"/>
        </w:rPr>
        <w:t> </w:t>
      </w:r>
      <w:r>
        <w:rPr>
          <w:i/>
          <w:sz w:val="18"/>
        </w:rPr>
        <w:t>of</w:t>
      </w:r>
      <w:r>
        <w:rPr>
          <w:i/>
          <w:spacing w:val="-4"/>
          <w:sz w:val="18"/>
        </w:rPr>
        <w:t> </w:t>
      </w:r>
      <w:r>
        <w:rPr>
          <w:i/>
          <w:sz w:val="18"/>
        </w:rPr>
        <w:t>State</w:t>
      </w:r>
      <w:r>
        <w:rPr>
          <w:i/>
          <w:spacing w:val="-3"/>
          <w:sz w:val="18"/>
        </w:rPr>
        <w:t> </w:t>
      </w:r>
      <w:r>
        <w:rPr>
          <w:i/>
          <w:sz w:val="18"/>
        </w:rPr>
        <w:t>for</w:t>
      </w:r>
      <w:r>
        <w:rPr>
          <w:i/>
          <w:spacing w:val="-4"/>
          <w:sz w:val="18"/>
        </w:rPr>
        <w:t> </w:t>
      </w:r>
      <w:r>
        <w:rPr>
          <w:i/>
          <w:sz w:val="18"/>
        </w:rPr>
        <w:t>NI</w:t>
      </w:r>
      <w:r>
        <w:rPr>
          <w:i/>
          <w:spacing w:val="-5"/>
          <w:sz w:val="18"/>
        </w:rPr>
        <w:t> </w:t>
      </w:r>
      <w:r>
        <w:rPr>
          <w:sz w:val="18"/>
        </w:rPr>
        <w:t>[2023]</w:t>
      </w:r>
      <w:r>
        <w:rPr>
          <w:spacing w:val="-3"/>
          <w:sz w:val="18"/>
        </w:rPr>
        <w:t> </w:t>
      </w:r>
      <w:r>
        <w:rPr>
          <w:sz w:val="18"/>
        </w:rPr>
        <w:t>NICA</w:t>
      </w:r>
      <w:r>
        <w:rPr>
          <w:spacing w:val="-3"/>
          <w:sz w:val="18"/>
        </w:rPr>
        <w:t> </w:t>
      </w:r>
      <w:r>
        <w:rPr>
          <w:spacing w:val="-5"/>
          <w:sz w:val="18"/>
        </w:rPr>
        <w:t>35.</w:t>
      </w:r>
    </w:p>
    <w:p>
      <w:pPr>
        <w:spacing w:after="0" w:line="218" w:lineRule="exact"/>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86"/>
      </w:pPr>
      <w:r>
        <w:rPr/>
        <w:t>the EU legal order prior to UK withdrawal and as such, the NI Assembly was prohibited from legislating contrary to the UN CRPD as EU law where matters fall</w:t>
      </w:r>
      <w:r>
        <w:rPr>
          <w:spacing w:val="-7"/>
        </w:rPr>
        <w:t> </w:t>
      </w:r>
      <w:r>
        <w:rPr/>
        <w:t>within</w:t>
      </w:r>
      <w:r>
        <w:rPr>
          <w:spacing w:val="-7"/>
        </w:rPr>
        <w:t> </w:t>
      </w:r>
      <w:r>
        <w:rPr/>
        <w:t>the</w:t>
      </w:r>
      <w:r>
        <w:rPr>
          <w:spacing w:val="-6"/>
        </w:rPr>
        <w:t> </w:t>
      </w:r>
      <w:r>
        <w:rPr/>
        <w:t>competence</w:t>
      </w:r>
      <w:r>
        <w:rPr>
          <w:spacing w:val="-6"/>
        </w:rPr>
        <w:t> </w:t>
      </w:r>
      <w:r>
        <w:rPr/>
        <w:t>of</w:t>
      </w:r>
      <w:r>
        <w:rPr>
          <w:spacing w:val="-7"/>
        </w:rPr>
        <w:t> </w:t>
      </w:r>
      <w:r>
        <w:rPr/>
        <w:t>the</w:t>
      </w:r>
      <w:r>
        <w:rPr>
          <w:spacing w:val="-6"/>
        </w:rPr>
        <w:t> </w:t>
      </w:r>
      <w:r>
        <w:rPr/>
        <w:t>EU.</w:t>
      </w:r>
      <w:r>
        <w:rPr>
          <w:vertAlign w:val="superscript"/>
        </w:rPr>
        <w:t>14</w:t>
      </w:r>
      <w:r>
        <w:rPr>
          <w:spacing w:val="40"/>
          <w:vertAlign w:val="baseline"/>
        </w:rPr>
        <w:t> </w:t>
      </w:r>
      <w:r>
        <w:rPr>
          <w:vertAlign w:val="baseline"/>
        </w:rPr>
        <w:t>The</w:t>
      </w:r>
      <w:r>
        <w:rPr>
          <w:spacing w:val="-6"/>
          <w:vertAlign w:val="baseline"/>
        </w:rPr>
        <w:t> </w:t>
      </w:r>
      <w:r>
        <w:rPr>
          <w:vertAlign w:val="baseline"/>
        </w:rPr>
        <w:t>court</w:t>
      </w:r>
      <w:r>
        <w:rPr>
          <w:spacing w:val="-6"/>
          <w:vertAlign w:val="baseline"/>
        </w:rPr>
        <w:t> </w:t>
      </w:r>
      <w:r>
        <w:rPr>
          <w:vertAlign w:val="baseline"/>
        </w:rPr>
        <w:t>said</w:t>
      </w:r>
      <w:r>
        <w:rPr>
          <w:spacing w:val="-7"/>
          <w:vertAlign w:val="baseline"/>
        </w:rPr>
        <w:t> </w:t>
      </w:r>
      <w:r>
        <w:rPr>
          <w:vertAlign w:val="baseline"/>
        </w:rPr>
        <w:t>it</w:t>
      </w:r>
      <w:r>
        <w:rPr>
          <w:spacing w:val="-6"/>
          <w:vertAlign w:val="baseline"/>
        </w:rPr>
        <w:t> </w:t>
      </w:r>
      <w:r>
        <w:rPr>
          <w:vertAlign w:val="baseline"/>
        </w:rPr>
        <w:t>had</w:t>
      </w:r>
      <w:r>
        <w:rPr>
          <w:spacing w:val="-7"/>
          <w:vertAlign w:val="baseline"/>
        </w:rPr>
        <w:t> </w:t>
      </w:r>
      <w:r>
        <w:rPr>
          <w:vertAlign w:val="baseline"/>
        </w:rPr>
        <w:t>“drawn</w:t>
      </w:r>
      <w:r>
        <w:rPr>
          <w:spacing w:val="-7"/>
          <w:vertAlign w:val="baseline"/>
        </w:rPr>
        <w:t> </w:t>
      </w:r>
      <w:r>
        <w:rPr>
          <w:vertAlign w:val="baseline"/>
        </w:rPr>
        <w:t>particular assistance”</w:t>
      </w:r>
      <w:r>
        <w:rPr>
          <w:spacing w:val="-3"/>
          <w:vertAlign w:val="baseline"/>
        </w:rPr>
        <w:t> </w:t>
      </w:r>
      <w:r>
        <w:rPr>
          <w:vertAlign w:val="baseline"/>
        </w:rPr>
        <w:t>from</w:t>
      </w:r>
      <w:r>
        <w:rPr>
          <w:spacing w:val="-2"/>
          <w:vertAlign w:val="baseline"/>
        </w:rPr>
        <w:t> </w:t>
      </w:r>
      <w:r>
        <w:rPr>
          <w:vertAlign w:val="baseline"/>
        </w:rPr>
        <w:t>the</w:t>
      </w:r>
      <w:r>
        <w:rPr>
          <w:spacing w:val="-2"/>
          <w:vertAlign w:val="baseline"/>
        </w:rPr>
        <w:t> </w:t>
      </w:r>
      <w:r>
        <w:rPr>
          <w:vertAlign w:val="baseline"/>
        </w:rPr>
        <w:t>Commissions’</w:t>
      </w:r>
      <w:r>
        <w:rPr>
          <w:spacing w:val="-2"/>
          <w:vertAlign w:val="baseline"/>
        </w:rPr>
        <w:t> </w:t>
      </w:r>
      <w:r>
        <w:rPr>
          <w:vertAlign w:val="baseline"/>
        </w:rPr>
        <w:t>interventions,</w:t>
      </w:r>
      <w:r>
        <w:rPr>
          <w:spacing w:val="-2"/>
          <w:vertAlign w:val="baseline"/>
        </w:rPr>
        <w:t> </w:t>
      </w:r>
      <w:r>
        <w:rPr>
          <w:vertAlign w:val="baseline"/>
        </w:rPr>
        <w:t>including</w:t>
      </w:r>
      <w:r>
        <w:rPr>
          <w:spacing w:val="-2"/>
          <w:vertAlign w:val="baseline"/>
        </w:rPr>
        <w:t> </w:t>
      </w:r>
      <w:r>
        <w:rPr>
          <w:vertAlign w:val="baseline"/>
        </w:rPr>
        <w:t>the</w:t>
      </w:r>
      <w:r>
        <w:rPr>
          <w:spacing w:val="-2"/>
          <w:vertAlign w:val="baseline"/>
        </w:rPr>
        <w:t> </w:t>
      </w:r>
      <w:r>
        <w:rPr>
          <w:vertAlign w:val="baseline"/>
        </w:rPr>
        <w:t>working</w:t>
      </w:r>
      <w:r>
        <w:rPr>
          <w:spacing w:val="-2"/>
          <w:vertAlign w:val="baseline"/>
        </w:rPr>
        <w:t> </w:t>
      </w:r>
      <w:r>
        <w:rPr>
          <w:vertAlign w:val="baseline"/>
        </w:rPr>
        <w:t>paper on the scope of Windsor Framework Article 2.</w:t>
      </w:r>
      <w:r>
        <w:rPr>
          <w:vertAlign w:val="superscript"/>
        </w:rPr>
        <w:t>15</w:t>
      </w:r>
      <w:r>
        <w:rPr>
          <w:vertAlign w:val="baseline"/>
        </w:rPr>
        <w:t> The Court of Appeal also set out a six-point test to establish a breach of Windsor Framework Article 2.</w:t>
      </w:r>
      <w:r>
        <w:rPr>
          <w:vertAlign w:val="superscript"/>
        </w:rPr>
        <w:t>16</w:t>
      </w:r>
      <w:r>
        <w:rPr>
          <w:vertAlign w:val="baseline"/>
        </w:rPr>
        <w:t> The Court of Appeal did not dispute the finding of the High Court that Article</w:t>
      </w:r>
      <w:r>
        <w:rPr>
          <w:spacing w:val="40"/>
          <w:vertAlign w:val="baseline"/>
        </w:rPr>
        <w:t> </w:t>
      </w:r>
      <w:r>
        <w:rPr>
          <w:vertAlign w:val="baseline"/>
        </w:rPr>
        <w:t>2 has direct effect and can be relied on in domestic courts;</w:t>
      </w:r>
      <w:r>
        <w:rPr>
          <w:vertAlign w:val="superscript"/>
        </w:rPr>
        <w:t>17</w:t>
      </w:r>
      <w:r>
        <w:rPr>
          <w:spacing w:val="-24"/>
          <w:vertAlign w:val="baseline"/>
        </w:rPr>
        <w:t> </w:t>
      </w:r>
      <w:r>
        <w:rPr>
          <w:vertAlign w:val="baseline"/>
        </w:rPr>
        <w:t>and that there was a continuing obligation to conform with Court of Justice of the European Union (CJEU) jurisprudence in respect of the Protocol/Windsor Framework.</w:t>
      </w:r>
      <w:r>
        <w:rPr>
          <w:vertAlign w:val="superscript"/>
        </w:rPr>
        <w:t>18</w:t>
      </w:r>
      <w:r>
        <w:rPr>
          <w:vertAlign w:val="baseline"/>
        </w:rPr>
        <w:t> For further discussion of Windsor Framework Article 2 and the rights of people with disabilities, see the section on Equality and Non-Discrimination in Chapter 3.</w:t>
      </w:r>
    </w:p>
    <w:p>
      <w:pPr>
        <w:pStyle w:val="ListParagraph"/>
        <w:numPr>
          <w:ilvl w:val="1"/>
          <w:numId w:val="5"/>
        </w:numPr>
        <w:tabs>
          <w:tab w:pos="1853" w:val="left" w:leader="none"/>
        </w:tabs>
        <w:spacing w:line="225" w:lineRule="auto" w:before="304" w:after="0"/>
        <w:ind w:left="1853" w:right="1156" w:hanging="720"/>
        <w:jc w:val="left"/>
        <w:rPr>
          <w:sz w:val="28"/>
        </w:rPr>
      </w:pPr>
      <w:r>
        <w:rPr>
          <w:sz w:val="28"/>
        </w:rPr>
        <w:t>In October 2023, an asylum seeker challenged the lawfulness of the decision to remove him from NI to Scotland on several grounds including Windsor Framework Article 2.</w:t>
      </w:r>
      <w:r>
        <w:rPr>
          <w:sz w:val="28"/>
          <w:vertAlign w:val="superscript"/>
        </w:rPr>
        <w:t>19</w:t>
      </w:r>
      <w:r>
        <w:rPr>
          <w:sz w:val="28"/>
          <w:vertAlign w:val="baseline"/>
        </w:rPr>
        <w:t> While the applicant was unsuccessful, the NI High</w:t>
      </w:r>
      <w:r>
        <w:rPr>
          <w:sz w:val="28"/>
          <w:vertAlign w:val="baseline"/>
        </w:rPr>
        <w:t> Court</w:t>
      </w:r>
      <w:r>
        <w:rPr>
          <w:spacing w:val="-8"/>
          <w:sz w:val="28"/>
          <w:vertAlign w:val="baseline"/>
        </w:rPr>
        <w:t> </w:t>
      </w:r>
      <w:r>
        <w:rPr>
          <w:sz w:val="28"/>
          <w:vertAlign w:val="baseline"/>
        </w:rPr>
        <w:t>reiterated</w:t>
      </w:r>
      <w:r>
        <w:rPr>
          <w:spacing w:val="-9"/>
          <w:sz w:val="28"/>
          <w:vertAlign w:val="baseline"/>
        </w:rPr>
        <w:t> </w:t>
      </w:r>
      <w:r>
        <w:rPr>
          <w:sz w:val="28"/>
          <w:vertAlign w:val="baseline"/>
        </w:rPr>
        <w:t>that</w:t>
      </w:r>
      <w:r>
        <w:rPr>
          <w:spacing w:val="-8"/>
          <w:sz w:val="28"/>
          <w:vertAlign w:val="baseline"/>
        </w:rPr>
        <w:t> </w:t>
      </w:r>
      <w:r>
        <w:rPr>
          <w:sz w:val="28"/>
          <w:vertAlign w:val="baseline"/>
        </w:rPr>
        <w:t>Windsor</w:t>
      </w:r>
      <w:r>
        <w:rPr>
          <w:spacing w:val="-8"/>
          <w:sz w:val="28"/>
          <w:vertAlign w:val="baseline"/>
        </w:rPr>
        <w:t> </w:t>
      </w:r>
      <w:r>
        <w:rPr>
          <w:sz w:val="28"/>
          <w:vertAlign w:val="baseline"/>
        </w:rPr>
        <w:t>Framework</w:t>
      </w:r>
      <w:r>
        <w:rPr>
          <w:spacing w:val="-8"/>
          <w:sz w:val="28"/>
          <w:vertAlign w:val="baseline"/>
        </w:rPr>
        <w:t> </w:t>
      </w:r>
      <w:r>
        <w:rPr>
          <w:sz w:val="28"/>
          <w:vertAlign w:val="baseline"/>
        </w:rPr>
        <w:t>Article</w:t>
      </w:r>
      <w:r>
        <w:rPr>
          <w:spacing w:val="-8"/>
          <w:sz w:val="28"/>
          <w:vertAlign w:val="baseline"/>
        </w:rPr>
        <w:t> </w:t>
      </w:r>
      <w:r>
        <w:rPr>
          <w:sz w:val="28"/>
          <w:vertAlign w:val="baseline"/>
        </w:rPr>
        <w:t>2</w:t>
      </w:r>
      <w:r>
        <w:rPr>
          <w:spacing w:val="-8"/>
          <w:sz w:val="28"/>
          <w:vertAlign w:val="baseline"/>
        </w:rPr>
        <w:t> </w:t>
      </w:r>
      <w:r>
        <w:rPr>
          <w:sz w:val="28"/>
          <w:vertAlign w:val="baseline"/>
        </w:rPr>
        <w:t>has</w:t>
      </w:r>
      <w:r>
        <w:rPr>
          <w:spacing w:val="-9"/>
          <w:sz w:val="28"/>
          <w:vertAlign w:val="baseline"/>
        </w:rPr>
        <w:t> </w:t>
      </w:r>
      <w:r>
        <w:rPr>
          <w:sz w:val="28"/>
          <w:vertAlign w:val="baseline"/>
        </w:rPr>
        <w:t>direct</w:t>
      </w:r>
      <w:r>
        <w:rPr>
          <w:spacing w:val="-8"/>
          <w:sz w:val="28"/>
          <w:vertAlign w:val="baseline"/>
        </w:rPr>
        <w:t> </w:t>
      </w:r>
      <w:r>
        <w:rPr>
          <w:sz w:val="28"/>
          <w:vertAlign w:val="baseline"/>
        </w:rPr>
        <w:t>effect,</w:t>
      </w:r>
      <w:r>
        <w:rPr>
          <w:spacing w:val="-8"/>
          <w:sz w:val="28"/>
          <w:vertAlign w:val="baseline"/>
        </w:rPr>
        <w:t> </w:t>
      </w:r>
      <w:r>
        <w:rPr>
          <w:sz w:val="28"/>
          <w:vertAlign w:val="baseline"/>
        </w:rPr>
        <w:t>which</w:t>
      </w:r>
      <w:r>
        <w:rPr>
          <w:spacing w:val="-9"/>
          <w:sz w:val="28"/>
          <w:vertAlign w:val="baseline"/>
        </w:rPr>
        <w:t> </w:t>
      </w:r>
      <w:r>
        <w:rPr>
          <w:sz w:val="28"/>
          <w:vertAlign w:val="baseline"/>
        </w:rPr>
        <w:t>can be relied on in the domestic courts.</w:t>
      </w:r>
      <w:r>
        <w:rPr>
          <w:sz w:val="28"/>
          <w:vertAlign w:val="superscript"/>
        </w:rPr>
        <w:t>20</w:t>
      </w:r>
      <w:r>
        <w:rPr>
          <w:sz w:val="28"/>
          <w:vertAlign w:val="baseline"/>
        </w:rPr>
        <w:t> The High Court further confirmed that the EU Charter on Fundamental Rights falls within the ambit of Article 2(1) of the Windsor Framework and remains enforceable in NI.</w:t>
      </w:r>
      <w:r>
        <w:rPr>
          <w:sz w:val="28"/>
          <w:vertAlign w:val="superscript"/>
        </w:rPr>
        <w:t>21</w:t>
      </w:r>
      <w:r>
        <w:rPr>
          <w:sz w:val="28"/>
          <w:vertAlign w:val="baseline"/>
        </w:rPr>
        <w:t> The High Court also rejected the argument that the rights and safeguards in the relevant part of the Belfast (Good Friday) Agreement 1998 are frozen in time and limited to the political context of 1998.</w:t>
      </w:r>
      <w:r>
        <w:rPr>
          <w:sz w:val="28"/>
          <w:vertAlign w:val="superscript"/>
        </w:rPr>
        <w:t>22</w:t>
      </w:r>
      <w:r>
        <w:rPr>
          <w:spacing w:val="40"/>
          <w:sz w:val="28"/>
          <w:vertAlign w:val="baseline"/>
        </w:rPr>
        <w:t> </w:t>
      </w:r>
      <w:r>
        <w:rPr>
          <w:sz w:val="28"/>
          <w:vertAlign w:val="baseline"/>
        </w:rPr>
        <w:t>For further discussion of Windsor Framework Article 2 and the rights of asylum seekers and refugees, see the section on Migrants Rights in Chapter 3.</w:t>
      </w:r>
    </w:p>
    <w:p>
      <w:pPr>
        <w:pStyle w:val="ListParagraph"/>
        <w:numPr>
          <w:ilvl w:val="1"/>
          <w:numId w:val="5"/>
        </w:numPr>
        <w:tabs>
          <w:tab w:pos="1853" w:val="left" w:leader="none"/>
        </w:tabs>
        <w:spacing w:line="225" w:lineRule="auto" w:before="304" w:after="0"/>
        <w:ind w:left="1853" w:right="1202" w:hanging="720"/>
        <w:jc w:val="both"/>
        <w:rPr>
          <w:sz w:val="28"/>
        </w:rPr>
      </w:pPr>
      <w:r>
        <w:rPr>
          <w:sz w:val="28"/>
        </w:rPr>
        <w:t>In November 2023, the England and Wales Court of Appeal found that the EU Charter</w:t>
      </w:r>
      <w:r>
        <w:rPr>
          <w:spacing w:val="-7"/>
          <w:sz w:val="28"/>
        </w:rPr>
        <w:t> </w:t>
      </w:r>
      <w:r>
        <w:rPr>
          <w:sz w:val="28"/>
        </w:rPr>
        <w:t>of</w:t>
      </w:r>
      <w:r>
        <w:rPr>
          <w:spacing w:val="-8"/>
          <w:sz w:val="28"/>
        </w:rPr>
        <w:t> </w:t>
      </w:r>
      <w:r>
        <w:rPr>
          <w:sz w:val="28"/>
        </w:rPr>
        <w:t>Fundamental</w:t>
      </w:r>
      <w:r>
        <w:rPr>
          <w:spacing w:val="-8"/>
          <w:sz w:val="28"/>
        </w:rPr>
        <w:t> </w:t>
      </w:r>
      <w:r>
        <w:rPr>
          <w:sz w:val="28"/>
        </w:rPr>
        <w:t>Rights</w:t>
      </w:r>
      <w:r>
        <w:rPr>
          <w:spacing w:val="-8"/>
          <w:sz w:val="28"/>
        </w:rPr>
        <w:t> </w:t>
      </w:r>
      <w:r>
        <w:rPr>
          <w:sz w:val="28"/>
        </w:rPr>
        <w:t>applies</w:t>
      </w:r>
      <w:r>
        <w:rPr>
          <w:spacing w:val="-8"/>
          <w:sz w:val="28"/>
        </w:rPr>
        <w:t> </w:t>
      </w:r>
      <w:r>
        <w:rPr>
          <w:sz w:val="28"/>
        </w:rPr>
        <w:t>to</w:t>
      </w:r>
      <w:r>
        <w:rPr>
          <w:spacing w:val="-8"/>
          <w:sz w:val="28"/>
        </w:rPr>
        <w:t> </w:t>
      </w:r>
      <w:r>
        <w:rPr>
          <w:sz w:val="28"/>
        </w:rPr>
        <w:t>the</w:t>
      </w:r>
      <w:r>
        <w:rPr>
          <w:spacing w:val="-7"/>
          <w:sz w:val="28"/>
        </w:rPr>
        <w:t> </w:t>
      </w:r>
      <w:r>
        <w:rPr>
          <w:sz w:val="28"/>
        </w:rPr>
        <w:t>interpretation</w:t>
      </w:r>
      <w:r>
        <w:rPr>
          <w:spacing w:val="-8"/>
          <w:sz w:val="28"/>
        </w:rPr>
        <w:t> </w:t>
      </w:r>
      <w:r>
        <w:rPr>
          <w:sz w:val="28"/>
        </w:rPr>
        <w:t>and</w:t>
      </w:r>
      <w:r>
        <w:rPr>
          <w:spacing w:val="-8"/>
          <w:sz w:val="28"/>
        </w:rPr>
        <w:t> </w:t>
      </w:r>
      <w:r>
        <w:rPr>
          <w:sz w:val="28"/>
        </w:rPr>
        <w:t>application</w:t>
      </w:r>
      <w:r>
        <w:rPr>
          <w:spacing w:val="-8"/>
          <w:sz w:val="28"/>
        </w:rPr>
        <w:t> </w:t>
      </w:r>
      <w:r>
        <w:rPr>
          <w:sz w:val="28"/>
        </w:rPr>
        <w:t>of the UK-EU Withdrawal Agreement and that the approach taken by the CJEU</w:t>
      </w:r>
    </w:p>
    <w:p>
      <w:pPr>
        <w:pStyle w:val="BodyText"/>
        <w:spacing w:line="225" w:lineRule="auto"/>
        <w:ind w:left="1853" w:right="1667"/>
      </w:pPr>
      <w:r>
        <w:rPr/>
        <w:t>in</w:t>
      </w:r>
      <w:r>
        <w:rPr>
          <w:spacing w:val="-7"/>
        </w:rPr>
        <w:t> </w:t>
      </w:r>
      <w:r>
        <w:rPr/>
        <w:t>the</w:t>
      </w:r>
      <w:r>
        <w:rPr>
          <w:spacing w:val="-6"/>
        </w:rPr>
        <w:t> </w:t>
      </w:r>
      <w:r>
        <w:rPr>
          <w:i/>
        </w:rPr>
        <w:t>CG</w:t>
      </w:r>
      <w:r>
        <w:rPr>
          <w:i/>
          <w:spacing w:val="-7"/>
        </w:rPr>
        <w:t> </w:t>
      </w:r>
      <w:r>
        <w:rPr/>
        <w:t>case</w:t>
      </w:r>
      <w:r>
        <w:rPr>
          <w:vertAlign w:val="superscript"/>
        </w:rPr>
        <w:t>23</w:t>
      </w:r>
      <w:r>
        <w:rPr>
          <w:spacing w:val="-7"/>
          <w:vertAlign w:val="baseline"/>
        </w:rPr>
        <w:t> </w:t>
      </w:r>
      <w:r>
        <w:rPr>
          <w:vertAlign w:val="baseline"/>
        </w:rPr>
        <w:t>should</w:t>
      </w:r>
      <w:r>
        <w:rPr>
          <w:spacing w:val="-7"/>
          <w:vertAlign w:val="baseline"/>
        </w:rPr>
        <w:t> </w:t>
      </w:r>
      <w:r>
        <w:rPr>
          <w:vertAlign w:val="baseline"/>
        </w:rPr>
        <w:t>be</w:t>
      </w:r>
      <w:r>
        <w:rPr>
          <w:spacing w:val="-6"/>
          <w:vertAlign w:val="baseline"/>
        </w:rPr>
        <w:t> </w:t>
      </w:r>
      <w:r>
        <w:rPr>
          <w:vertAlign w:val="baseline"/>
        </w:rPr>
        <w:t>the</w:t>
      </w:r>
      <w:r>
        <w:rPr>
          <w:spacing w:val="-6"/>
          <w:vertAlign w:val="baseline"/>
        </w:rPr>
        <w:t> </w:t>
      </w:r>
      <w:r>
        <w:rPr>
          <w:vertAlign w:val="baseline"/>
        </w:rPr>
        <w:t>benchmark</w:t>
      </w:r>
      <w:r>
        <w:rPr>
          <w:spacing w:val="-6"/>
          <w:vertAlign w:val="baseline"/>
        </w:rPr>
        <w:t> </w:t>
      </w:r>
      <w:r>
        <w:rPr>
          <w:vertAlign w:val="baseline"/>
        </w:rPr>
        <w:t>for</w:t>
      </w:r>
      <w:r>
        <w:rPr>
          <w:spacing w:val="-6"/>
          <w:vertAlign w:val="baseline"/>
        </w:rPr>
        <w:t> </w:t>
      </w:r>
      <w:r>
        <w:rPr>
          <w:vertAlign w:val="baseline"/>
        </w:rPr>
        <w:t>determining</w:t>
      </w:r>
      <w:r>
        <w:rPr>
          <w:spacing w:val="-6"/>
          <w:vertAlign w:val="baseline"/>
        </w:rPr>
        <w:t> </w:t>
      </w:r>
      <w:r>
        <w:rPr>
          <w:vertAlign w:val="baseline"/>
        </w:rPr>
        <w:t>whether</w:t>
      </w:r>
      <w:r>
        <w:rPr>
          <w:spacing w:val="-6"/>
          <w:vertAlign w:val="baseline"/>
        </w:rPr>
        <w:t> </w:t>
      </w:r>
      <w:r>
        <w:rPr>
          <w:vertAlign w:val="baseline"/>
        </w:rPr>
        <w:t>there is</w:t>
      </w:r>
      <w:r>
        <w:rPr>
          <w:spacing w:val="-6"/>
          <w:vertAlign w:val="baseline"/>
        </w:rPr>
        <w:t> </w:t>
      </w:r>
      <w:r>
        <w:rPr>
          <w:vertAlign w:val="baseline"/>
        </w:rPr>
        <w:t>a</w:t>
      </w:r>
      <w:r>
        <w:rPr>
          <w:spacing w:val="-6"/>
          <w:vertAlign w:val="baseline"/>
        </w:rPr>
        <w:t> </w:t>
      </w:r>
      <w:r>
        <w:rPr>
          <w:vertAlign w:val="baseline"/>
        </w:rPr>
        <w:t>breach</w:t>
      </w:r>
      <w:r>
        <w:rPr>
          <w:spacing w:val="-6"/>
          <w:vertAlign w:val="baseline"/>
        </w:rPr>
        <w:t> </w:t>
      </w:r>
      <w:r>
        <w:rPr>
          <w:vertAlign w:val="baseline"/>
        </w:rPr>
        <w:t>of</w:t>
      </w:r>
      <w:r>
        <w:rPr>
          <w:spacing w:val="-5"/>
          <w:vertAlign w:val="baseline"/>
        </w:rPr>
        <w:t> </w:t>
      </w:r>
      <w:r>
        <w:rPr>
          <w:vertAlign w:val="baseline"/>
        </w:rPr>
        <w:t>the</w:t>
      </w:r>
      <w:r>
        <w:rPr>
          <w:spacing w:val="-5"/>
          <w:vertAlign w:val="baseline"/>
        </w:rPr>
        <w:t> </w:t>
      </w:r>
      <w:r>
        <w:rPr>
          <w:vertAlign w:val="baseline"/>
        </w:rPr>
        <w:t>right</w:t>
      </w:r>
      <w:r>
        <w:rPr>
          <w:spacing w:val="-5"/>
          <w:vertAlign w:val="baseline"/>
        </w:rPr>
        <w:t> </w:t>
      </w:r>
      <w:r>
        <w:rPr>
          <w:vertAlign w:val="baseline"/>
        </w:rPr>
        <w:t>to</w:t>
      </w:r>
      <w:r>
        <w:rPr>
          <w:spacing w:val="-5"/>
          <w:vertAlign w:val="baseline"/>
        </w:rPr>
        <w:t> </w:t>
      </w:r>
      <w:r>
        <w:rPr>
          <w:vertAlign w:val="baseline"/>
        </w:rPr>
        <w:t>human</w:t>
      </w:r>
      <w:r>
        <w:rPr>
          <w:spacing w:val="-6"/>
          <w:vertAlign w:val="baseline"/>
        </w:rPr>
        <w:t> </w:t>
      </w:r>
      <w:r>
        <w:rPr>
          <w:vertAlign w:val="baseline"/>
        </w:rPr>
        <w:t>dignity</w:t>
      </w:r>
      <w:r>
        <w:rPr>
          <w:spacing w:val="-5"/>
          <w:vertAlign w:val="baseline"/>
        </w:rPr>
        <w:t> </w:t>
      </w:r>
      <w:r>
        <w:rPr>
          <w:vertAlign w:val="baseline"/>
        </w:rPr>
        <w:t>in</w:t>
      </w:r>
      <w:r>
        <w:rPr>
          <w:spacing w:val="-5"/>
          <w:vertAlign w:val="baseline"/>
        </w:rPr>
        <w:t> </w:t>
      </w:r>
      <w:r>
        <w:rPr>
          <w:vertAlign w:val="baseline"/>
        </w:rPr>
        <w:t>the</w:t>
      </w:r>
      <w:r>
        <w:rPr>
          <w:spacing w:val="-5"/>
          <w:vertAlign w:val="baseline"/>
        </w:rPr>
        <w:t> </w:t>
      </w:r>
      <w:r>
        <w:rPr>
          <w:vertAlign w:val="baseline"/>
        </w:rPr>
        <w:t>EU</w:t>
      </w:r>
      <w:r>
        <w:rPr>
          <w:spacing w:val="-5"/>
          <w:vertAlign w:val="baseline"/>
        </w:rPr>
        <w:t> </w:t>
      </w:r>
      <w:r>
        <w:rPr>
          <w:vertAlign w:val="baseline"/>
        </w:rPr>
        <w:t>Charter.</w:t>
      </w:r>
      <w:r>
        <w:rPr>
          <w:vertAlign w:val="superscript"/>
        </w:rPr>
        <w:t>24</w:t>
      </w:r>
      <w:r>
        <w:rPr>
          <w:spacing w:val="-6"/>
          <w:vertAlign w:val="baseline"/>
        </w:rPr>
        <w:t> </w:t>
      </w:r>
      <w:r>
        <w:rPr>
          <w:vertAlign w:val="baseline"/>
        </w:rPr>
        <w:t>The</w:t>
      </w:r>
      <w:r>
        <w:rPr>
          <w:spacing w:val="-4"/>
          <w:vertAlign w:val="baseline"/>
        </w:rPr>
        <w:t> </w:t>
      </w:r>
      <w:r>
        <w:rPr>
          <w:vertAlign w:val="baseline"/>
        </w:rPr>
        <w:t>Court</w:t>
      </w:r>
      <w:r>
        <w:rPr>
          <w:spacing w:val="-5"/>
          <w:vertAlign w:val="baseline"/>
        </w:rPr>
        <w:t> of</w:t>
      </w:r>
    </w:p>
    <w:p>
      <w:pPr>
        <w:pStyle w:val="BodyText"/>
        <w:spacing w:line="225" w:lineRule="auto"/>
        <w:ind w:left="1853" w:right="1171"/>
      </w:pPr>
      <w:r>
        <w:rPr/>
        <w:t>Appeal</w:t>
      </w:r>
      <w:r>
        <w:rPr>
          <w:spacing w:val="-7"/>
        </w:rPr>
        <w:t> </w:t>
      </w:r>
      <w:r>
        <w:rPr/>
        <w:t>further</w:t>
      </w:r>
      <w:r>
        <w:rPr>
          <w:spacing w:val="-7"/>
        </w:rPr>
        <w:t> </w:t>
      </w:r>
      <w:r>
        <w:rPr/>
        <w:t>confirmed</w:t>
      </w:r>
      <w:r>
        <w:rPr>
          <w:spacing w:val="-7"/>
        </w:rPr>
        <w:t> </w:t>
      </w:r>
      <w:r>
        <w:rPr/>
        <w:t>that</w:t>
      </w:r>
      <w:r>
        <w:rPr>
          <w:spacing w:val="-7"/>
        </w:rPr>
        <w:t> </w:t>
      </w:r>
      <w:r>
        <w:rPr/>
        <w:t>Article</w:t>
      </w:r>
      <w:r>
        <w:rPr>
          <w:spacing w:val="-7"/>
        </w:rPr>
        <w:t> </w:t>
      </w:r>
      <w:r>
        <w:rPr/>
        <w:t>4</w:t>
      </w:r>
      <w:r>
        <w:rPr>
          <w:spacing w:val="-7"/>
        </w:rPr>
        <w:t> </w:t>
      </w:r>
      <w:r>
        <w:rPr/>
        <w:t>of</w:t>
      </w:r>
      <w:r>
        <w:rPr>
          <w:spacing w:val="-7"/>
        </w:rPr>
        <w:t> </w:t>
      </w:r>
      <w:r>
        <w:rPr/>
        <w:t>the</w:t>
      </w:r>
      <w:r>
        <w:rPr>
          <w:spacing w:val="-7"/>
        </w:rPr>
        <w:t> </w:t>
      </w:r>
      <w:r>
        <w:rPr/>
        <w:t>UK-EU</w:t>
      </w:r>
      <w:r>
        <w:rPr>
          <w:spacing w:val="-7"/>
        </w:rPr>
        <w:t> </w:t>
      </w:r>
      <w:r>
        <w:rPr/>
        <w:t>Withdrawal</w:t>
      </w:r>
      <w:r>
        <w:rPr>
          <w:spacing w:val="-7"/>
        </w:rPr>
        <w:t> </w:t>
      </w:r>
      <w:r>
        <w:rPr/>
        <w:t>Agreement and Section 7A of the EU (Withdrawal) Act 2018 confer “direct effect on litigants and a connected power and duty on the national courts to disapply</w:t>
      </w:r>
    </w:p>
    <w:p>
      <w:pPr>
        <w:pStyle w:val="BodyText"/>
        <w:spacing w:before="7"/>
        <w:rPr>
          <w:sz w:val="4"/>
        </w:rPr>
      </w:pPr>
      <w:r>
        <w:rPr/>
        <mc:AlternateContent>
          <mc:Choice Requires="wps">
            <w:drawing>
              <wp:anchor distT="0" distB="0" distL="0" distR="0" allowOverlap="1" layoutInCell="1" locked="0" behindDoc="1" simplePos="0" relativeHeight="487623680">
                <wp:simplePos x="0" y="0"/>
                <wp:positionH relativeFrom="page">
                  <wp:posOffset>719996</wp:posOffset>
                </wp:positionH>
                <wp:positionV relativeFrom="paragraph">
                  <wp:posOffset>50885</wp:posOffset>
                </wp:positionV>
                <wp:extent cx="6120130" cy="1270"/>
                <wp:effectExtent l="0" t="0" r="0" b="0"/>
                <wp:wrapTopAndBottom/>
                <wp:docPr id="134" name="Graphic 134"/>
                <wp:cNvGraphicFramePr>
                  <a:graphicFrameLocks/>
                </wp:cNvGraphicFramePr>
                <a:graphic>
                  <a:graphicData uri="http://schemas.microsoft.com/office/word/2010/wordprocessingShape">
                    <wps:wsp>
                      <wps:cNvPr id="134" name="Graphic 134"/>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4.006703pt;width:481.9pt;height:.1pt;mso-position-horizontal-relative:page;mso-position-vertical-relative:paragraph;z-index:-15692800;mso-wrap-distance-left:0;mso-wrap-distance-right:0" id="docshape91" coordorigin="1134,80" coordsize="9638,0" path="m10772,80l1134,80e" filled="false" stroked="true" strokeweight="1pt" strokecolor="#393b80">
                <v:path arrowok="t"/>
                <v:stroke dashstyle="solid"/>
                <w10:wrap type="topAndBottom"/>
              </v:shape>
            </w:pict>
          </mc:Fallback>
        </mc:AlternateContent>
      </w:r>
    </w:p>
    <w:p>
      <w:pPr>
        <w:pStyle w:val="ListParagraph"/>
        <w:numPr>
          <w:ilvl w:val="0"/>
          <w:numId w:val="3"/>
        </w:numPr>
        <w:tabs>
          <w:tab w:pos="1853" w:val="left" w:leader="none"/>
        </w:tabs>
        <w:spacing w:line="218" w:lineRule="exact" w:before="83" w:after="0"/>
        <w:ind w:left="1853" w:right="0" w:hanging="720"/>
        <w:jc w:val="left"/>
        <w:rPr>
          <w:sz w:val="18"/>
        </w:rPr>
      </w:pPr>
      <w:r>
        <w:rPr>
          <w:sz w:val="18"/>
        </w:rPr>
        <w:t>Ibid,</w:t>
      </w:r>
      <w:r>
        <w:rPr>
          <w:spacing w:val="-4"/>
          <w:sz w:val="18"/>
        </w:rPr>
        <w:t> </w:t>
      </w:r>
      <w:r>
        <w:rPr>
          <w:sz w:val="18"/>
        </w:rPr>
        <w:t>paras</w:t>
      </w:r>
      <w:r>
        <w:rPr>
          <w:spacing w:val="-3"/>
          <w:sz w:val="18"/>
        </w:rPr>
        <w:t> </w:t>
      </w:r>
      <w:r>
        <w:rPr>
          <w:sz w:val="18"/>
        </w:rPr>
        <w:t>57</w:t>
      </w:r>
      <w:r>
        <w:rPr>
          <w:spacing w:val="-2"/>
          <w:sz w:val="18"/>
        </w:rPr>
        <w:t> </w:t>
      </w:r>
      <w:r>
        <w:rPr>
          <w:sz w:val="18"/>
        </w:rPr>
        <w:t>and</w:t>
      </w:r>
      <w:r>
        <w:rPr>
          <w:spacing w:val="-2"/>
          <w:sz w:val="18"/>
        </w:rPr>
        <w:t> </w:t>
      </w:r>
      <w:r>
        <w:rPr>
          <w:spacing w:val="-5"/>
          <w:sz w:val="18"/>
        </w:rPr>
        <w:t>68.</w:t>
      </w:r>
    </w:p>
    <w:p>
      <w:pPr>
        <w:pStyle w:val="ListParagraph"/>
        <w:numPr>
          <w:ilvl w:val="0"/>
          <w:numId w:val="3"/>
        </w:numPr>
        <w:tabs>
          <w:tab w:pos="1853" w:val="left" w:leader="none"/>
        </w:tabs>
        <w:spacing w:line="216" w:lineRule="exact" w:before="0" w:after="0"/>
        <w:ind w:left="1853" w:right="0" w:hanging="720"/>
        <w:jc w:val="left"/>
        <w:rPr>
          <w:sz w:val="18"/>
        </w:rPr>
      </w:pPr>
      <w:r>
        <w:rPr>
          <w:sz w:val="18"/>
        </w:rPr>
        <w:t>Ibid,</w:t>
      </w:r>
      <w:r>
        <w:rPr>
          <w:spacing w:val="-5"/>
          <w:sz w:val="18"/>
        </w:rPr>
        <w:t> </w:t>
      </w:r>
      <w:r>
        <w:rPr>
          <w:sz w:val="18"/>
        </w:rPr>
        <w:t>paras</w:t>
      </w:r>
      <w:r>
        <w:rPr>
          <w:spacing w:val="-4"/>
          <w:sz w:val="18"/>
        </w:rPr>
        <w:t> </w:t>
      </w:r>
      <w:r>
        <w:rPr>
          <w:sz w:val="18"/>
        </w:rPr>
        <w:t>71-</w:t>
      </w:r>
      <w:r>
        <w:rPr>
          <w:spacing w:val="-5"/>
          <w:sz w:val="18"/>
        </w:rPr>
        <w:t>72.</w:t>
      </w:r>
    </w:p>
    <w:p>
      <w:pPr>
        <w:pStyle w:val="ListParagraph"/>
        <w:numPr>
          <w:ilvl w:val="0"/>
          <w:numId w:val="3"/>
        </w:numPr>
        <w:tabs>
          <w:tab w:pos="1853" w:val="left" w:leader="none"/>
        </w:tabs>
        <w:spacing w:line="216" w:lineRule="exact" w:before="0" w:after="0"/>
        <w:ind w:left="1853" w:right="0" w:hanging="720"/>
        <w:jc w:val="left"/>
        <w:rPr>
          <w:sz w:val="18"/>
        </w:rPr>
      </w:pPr>
      <w:r>
        <w:rPr>
          <w:sz w:val="18"/>
        </w:rPr>
        <w:t>Ibid,</w:t>
      </w:r>
      <w:r>
        <w:rPr>
          <w:spacing w:val="-3"/>
          <w:sz w:val="18"/>
        </w:rPr>
        <w:t> </w:t>
      </w:r>
      <w:r>
        <w:rPr>
          <w:sz w:val="18"/>
        </w:rPr>
        <w:t>para</w:t>
      </w:r>
      <w:r>
        <w:rPr>
          <w:spacing w:val="-2"/>
          <w:sz w:val="18"/>
        </w:rPr>
        <w:t> </w:t>
      </w:r>
      <w:r>
        <w:rPr>
          <w:spacing w:val="-5"/>
          <w:sz w:val="18"/>
        </w:rPr>
        <w:t>54.</w:t>
      </w:r>
    </w:p>
    <w:p>
      <w:pPr>
        <w:pStyle w:val="ListParagraph"/>
        <w:numPr>
          <w:ilvl w:val="0"/>
          <w:numId w:val="3"/>
        </w:numPr>
        <w:tabs>
          <w:tab w:pos="1853" w:val="left" w:leader="none"/>
        </w:tabs>
        <w:spacing w:line="216" w:lineRule="exact" w:before="0" w:after="0"/>
        <w:ind w:left="1853" w:right="0" w:hanging="720"/>
        <w:jc w:val="left"/>
        <w:rPr>
          <w:sz w:val="18"/>
        </w:rPr>
      </w:pPr>
      <w:r>
        <w:rPr>
          <w:sz w:val="18"/>
        </w:rPr>
        <w:t>Re</w:t>
      </w:r>
      <w:r>
        <w:rPr>
          <w:spacing w:val="-4"/>
          <w:sz w:val="18"/>
        </w:rPr>
        <w:t> </w:t>
      </w:r>
      <w:r>
        <w:rPr>
          <w:sz w:val="18"/>
        </w:rPr>
        <w:t>SPUC</w:t>
      </w:r>
      <w:r>
        <w:rPr>
          <w:spacing w:val="-3"/>
          <w:sz w:val="18"/>
        </w:rPr>
        <w:t> </w:t>
      </w:r>
      <w:r>
        <w:rPr>
          <w:sz w:val="18"/>
        </w:rPr>
        <w:t>Pro-Life</w:t>
      </w:r>
      <w:r>
        <w:rPr>
          <w:spacing w:val="-3"/>
          <w:sz w:val="18"/>
        </w:rPr>
        <w:t> </w:t>
      </w:r>
      <w:r>
        <w:rPr>
          <w:sz w:val="18"/>
        </w:rPr>
        <w:t>Limited</w:t>
      </w:r>
      <w:r>
        <w:rPr>
          <w:spacing w:val="-4"/>
          <w:sz w:val="18"/>
        </w:rPr>
        <w:t> </w:t>
      </w:r>
      <w:r>
        <w:rPr>
          <w:sz w:val="18"/>
        </w:rPr>
        <w:t>[2022]</w:t>
      </w:r>
      <w:r>
        <w:rPr>
          <w:spacing w:val="-3"/>
          <w:sz w:val="18"/>
        </w:rPr>
        <w:t> </w:t>
      </w:r>
      <w:r>
        <w:rPr>
          <w:sz w:val="18"/>
        </w:rPr>
        <w:t>NIQB</w:t>
      </w:r>
      <w:r>
        <w:rPr>
          <w:spacing w:val="-4"/>
          <w:sz w:val="18"/>
        </w:rPr>
        <w:t> </w:t>
      </w:r>
      <w:r>
        <w:rPr>
          <w:sz w:val="18"/>
        </w:rPr>
        <w:t>9,</w:t>
      </w:r>
      <w:r>
        <w:rPr>
          <w:spacing w:val="-3"/>
          <w:sz w:val="18"/>
        </w:rPr>
        <w:t> </w:t>
      </w:r>
      <w:r>
        <w:rPr>
          <w:sz w:val="18"/>
        </w:rPr>
        <w:t>at</w:t>
      </w:r>
      <w:r>
        <w:rPr>
          <w:spacing w:val="-3"/>
          <w:sz w:val="18"/>
        </w:rPr>
        <w:t> </w:t>
      </w:r>
      <w:r>
        <w:rPr>
          <w:sz w:val="18"/>
        </w:rPr>
        <w:t>paras</w:t>
      </w:r>
      <w:r>
        <w:rPr>
          <w:spacing w:val="-4"/>
          <w:sz w:val="18"/>
        </w:rPr>
        <w:t> </w:t>
      </w:r>
      <w:r>
        <w:rPr>
          <w:sz w:val="18"/>
        </w:rPr>
        <w:t>77</w:t>
      </w:r>
      <w:r>
        <w:rPr>
          <w:spacing w:val="-3"/>
          <w:sz w:val="18"/>
        </w:rPr>
        <w:t> </w:t>
      </w:r>
      <w:r>
        <w:rPr>
          <w:sz w:val="18"/>
        </w:rPr>
        <w:t>and</w:t>
      </w:r>
      <w:r>
        <w:rPr>
          <w:spacing w:val="-3"/>
          <w:sz w:val="18"/>
        </w:rPr>
        <w:t> </w:t>
      </w:r>
      <w:r>
        <w:rPr>
          <w:spacing w:val="-5"/>
          <w:sz w:val="18"/>
        </w:rPr>
        <w:t>88.</w:t>
      </w:r>
    </w:p>
    <w:p>
      <w:pPr>
        <w:pStyle w:val="ListParagraph"/>
        <w:numPr>
          <w:ilvl w:val="0"/>
          <w:numId w:val="3"/>
        </w:numPr>
        <w:tabs>
          <w:tab w:pos="1853" w:val="left" w:leader="none"/>
        </w:tabs>
        <w:spacing w:line="216" w:lineRule="exact" w:before="0" w:after="0"/>
        <w:ind w:left="1853" w:right="0" w:hanging="720"/>
        <w:jc w:val="left"/>
        <w:rPr>
          <w:sz w:val="18"/>
        </w:rPr>
      </w:pPr>
      <w:r>
        <w:rPr>
          <w:sz w:val="18"/>
        </w:rPr>
        <w:t>Ibid,</w:t>
      </w:r>
      <w:r>
        <w:rPr>
          <w:spacing w:val="-2"/>
          <w:sz w:val="18"/>
        </w:rPr>
        <w:t> </w:t>
      </w:r>
      <w:r>
        <w:rPr>
          <w:sz w:val="18"/>
        </w:rPr>
        <w:t>at</w:t>
      </w:r>
      <w:r>
        <w:rPr>
          <w:spacing w:val="-2"/>
          <w:sz w:val="18"/>
        </w:rPr>
        <w:t> </w:t>
      </w:r>
      <w:r>
        <w:rPr>
          <w:sz w:val="18"/>
        </w:rPr>
        <w:t>paras</w:t>
      </w:r>
      <w:r>
        <w:rPr>
          <w:spacing w:val="-3"/>
          <w:sz w:val="18"/>
        </w:rPr>
        <w:t> </w:t>
      </w:r>
      <w:r>
        <w:rPr>
          <w:sz w:val="18"/>
        </w:rPr>
        <w:t>78</w:t>
      </w:r>
      <w:r>
        <w:rPr>
          <w:spacing w:val="-2"/>
          <w:sz w:val="18"/>
        </w:rPr>
        <w:t> </w:t>
      </w:r>
      <w:r>
        <w:rPr>
          <w:sz w:val="18"/>
        </w:rPr>
        <w:t>and</w:t>
      </w:r>
      <w:r>
        <w:rPr>
          <w:spacing w:val="-2"/>
          <w:sz w:val="18"/>
        </w:rPr>
        <w:t> </w:t>
      </w:r>
      <w:r>
        <w:rPr>
          <w:spacing w:val="-5"/>
          <w:sz w:val="18"/>
        </w:rPr>
        <w:t>93.</w:t>
      </w:r>
    </w:p>
    <w:p>
      <w:pPr>
        <w:pStyle w:val="ListParagraph"/>
        <w:numPr>
          <w:ilvl w:val="0"/>
          <w:numId w:val="3"/>
        </w:numPr>
        <w:tabs>
          <w:tab w:pos="1853" w:val="left" w:leader="none"/>
        </w:tabs>
        <w:spacing w:line="216" w:lineRule="exact" w:before="0" w:after="0"/>
        <w:ind w:left="1853" w:right="0" w:hanging="720"/>
        <w:jc w:val="left"/>
        <w:rPr>
          <w:sz w:val="18"/>
        </w:rPr>
      </w:pPr>
      <w:r>
        <w:rPr>
          <w:i/>
          <w:sz w:val="18"/>
        </w:rPr>
        <w:t>In</w:t>
      </w:r>
      <w:r>
        <w:rPr>
          <w:i/>
          <w:spacing w:val="-5"/>
          <w:sz w:val="18"/>
        </w:rPr>
        <w:t> </w:t>
      </w:r>
      <w:r>
        <w:rPr>
          <w:i/>
          <w:sz w:val="18"/>
        </w:rPr>
        <w:t>the</w:t>
      </w:r>
      <w:r>
        <w:rPr>
          <w:i/>
          <w:spacing w:val="-3"/>
          <w:sz w:val="18"/>
        </w:rPr>
        <w:t> </w:t>
      </w:r>
      <w:r>
        <w:rPr>
          <w:i/>
          <w:sz w:val="18"/>
        </w:rPr>
        <w:t>Matter</w:t>
      </w:r>
      <w:r>
        <w:rPr>
          <w:i/>
          <w:spacing w:val="-3"/>
          <w:sz w:val="18"/>
        </w:rPr>
        <w:t> </w:t>
      </w:r>
      <w:r>
        <w:rPr>
          <w:i/>
          <w:sz w:val="18"/>
        </w:rPr>
        <w:t>of</w:t>
      </w:r>
      <w:r>
        <w:rPr>
          <w:i/>
          <w:spacing w:val="-4"/>
          <w:sz w:val="18"/>
        </w:rPr>
        <w:t> </w:t>
      </w:r>
      <w:r>
        <w:rPr>
          <w:i/>
          <w:sz w:val="18"/>
        </w:rPr>
        <w:t>an</w:t>
      </w:r>
      <w:r>
        <w:rPr>
          <w:i/>
          <w:spacing w:val="-4"/>
          <w:sz w:val="18"/>
        </w:rPr>
        <w:t> </w:t>
      </w:r>
      <w:r>
        <w:rPr>
          <w:i/>
          <w:sz w:val="18"/>
        </w:rPr>
        <w:t>Application</w:t>
      </w:r>
      <w:r>
        <w:rPr>
          <w:i/>
          <w:spacing w:val="-4"/>
          <w:sz w:val="18"/>
        </w:rPr>
        <w:t> </w:t>
      </w:r>
      <w:r>
        <w:rPr>
          <w:i/>
          <w:sz w:val="18"/>
        </w:rPr>
        <w:t>by</w:t>
      </w:r>
      <w:r>
        <w:rPr>
          <w:i/>
          <w:spacing w:val="-4"/>
          <w:sz w:val="18"/>
        </w:rPr>
        <w:t> </w:t>
      </w:r>
      <w:r>
        <w:rPr>
          <w:i/>
          <w:sz w:val="18"/>
        </w:rPr>
        <w:t>Aman</w:t>
      </w:r>
      <w:r>
        <w:rPr>
          <w:i/>
          <w:spacing w:val="-5"/>
          <w:sz w:val="18"/>
        </w:rPr>
        <w:t> </w:t>
      </w:r>
      <w:r>
        <w:rPr>
          <w:i/>
          <w:sz w:val="18"/>
        </w:rPr>
        <w:t>Angesom</w:t>
      </w:r>
      <w:r>
        <w:rPr>
          <w:i/>
          <w:spacing w:val="-4"/>
          <w:sz w:val="18"/>
        </w:rPr>
        <w:t> </w:t>
      </w:r>
      <w:r>
        <w:rPr>
          <w:i/>
          <w:sz w:val="18"/>
        </w:rPr>
        <w:t>for</w:t>
      </w:r>
      <w:r>
        <w:rPr>
          <w:i/>
          <w:spacing w:val="-3"/>
          <w:sz w:val="18"/>
        </w:rPr>
        <w:t> </w:t>
      </w:r>
      <w:r>
        <w:rPr>
          <w:i/>
          <w:sz w:val="18"/>
        </w:rPr>
        <w:t>Judicial</w:t>
      </w:r>
      <w:r>
        <w:rPr>
          <w:i/>
          <w:spacing w:val="-4"/>
          <w:sz w:val="18"/>
        </w:rPr>
        <w:t> </w:t>
      </w:r>
      <w:r>
        <w:rPr>
          <w:i/>
          <w:sz w:val="18"/>
        </w:rPr>
        <w:t>Review</w:t>
      </w:r>
      <w:r>
        <w:rPr>
          <w:i/>
          <w:spacing w:val="-3"/>
          <w:sz w:val="18"/>
        </w:rPr>
        <w:t> </w:t>
      </w:r>
      <w:r>
        <w:rPr>
          <w:sz w:val="18"/>
        </w:rPr>
        <w:t>[2023]</w:t>
      </w:r>
      <w:r>
        <w:rPr>
          <w:spacing w:val="-3"/>
          <w:sz w:val="18"/>
        </w:rPr>
        <w:t> </w:t>
      </w:r>
      <w:r>
        <w:rPr>
          <w:sz w:val="18"/>
        </w:rPr>
        <w:t>NIKB</w:t>
      </w:r>
      <w:r>
        <w:rPr>
          <w:spacing w:val="-4"/>
          <w:sz w:val="18"/>
        </w:rPr>
        <w:t> 102.</w:t>
      </w:r>
    </w:p>
    <w:p>
      <w:pPr>
        <w:pStyle w:val="ListParagraph"/>
        <w:numPr>
          <w:ilvl w:val="0"/>
          <w:numId w:val="3"/>
        </w:numPr>
        <w:tabs>
          <w:tab w:pos="1853" w:val="left" w:leader="none"/>
        </w:tabs>
        <w:spacing w:line="216"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para</w:t>
      </w:r>
      <w:r>
        <w:rPr>
          <w:spacing w:val="-2"/>
          <w:sz w:val="18"/>
        </w:rPr>
        <w:t> </w:t>
      </w:r>
      <w:r>
        <w:rPr>
          <w:spacing w:val="-5"/>
          <w:sz w:val="18"/>
        </w:rPr>
        <w:t>91.</w:t>
      </w:r>
    </w:p>
    <w:p>
      <w:pPr>
        <w:pStyle w:val="ListParagraph"/>
        <w:numPr>
          <w:ilvl w:val="0"/>
          <w:numId w:val="3"/>
        </w:numPr>
        <w:tabs>
          <w:tab w:pos="1853" w:val="left" w:leader="none"/>
        </w:tabs>
        <w:spacing w:line="216"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para</w:t>
      </w:r>
      <w:r>
        <w:rPr>
          <w:spacing w:val="-2"/>
          <w:sz w:val="18"/>
        </w:rPr>
        <w:t> </w:t>
      </w:r>
      <w:r>
        <w:rPr>
          <w:spacing w:val="-5"/>
          <w:sz w:val="18"/>
        </w:rPr>
        <w:t>93.</w:t>
      </w:r>
    </w:p>
    <w:p>
      <w:pPr>
        <w:pStyle w:val="ListParagraph"/>
        <w:numPr>
          <w:ilvl w:val="0"/>
          <w:numId w:val="3"/>
        </w:numPr>
        <w:tabs>
          <w:tab w:pos="1853" w:val="left" w:leader="none"/>
        </w:tabs>
        <w:spacing w:line="216"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para</w:t>
      </w:r>
      <w:r>
        <w:rPr>
          <w:spacing w:val="-2"/>
          <w:sz w:val="18"/>
        </w:rPr>
        <w:t> </w:t>
      </w:r>
      <w:r>
        <w:rPr>
          <w:spacing w:val="-4"/>
          <w:sz w:val="18"/>
        </w:rPr>
        <w:t>107.</w:t>
      </w:r>
    </w:p>
    <w:p>
      <w:pPr>
        <w:pStyle w:val="ListParagraph"/>
        <w:numPr>
          <w:ilvl w:val="0"/>
          <w:numId w:val="3"/>
        </w:numPr>
        <w:tabs>
          <w:tab w:pos="1853" w:val="left" w:leader="none"/>
        </w:tabs>
        <w:spacing w:line="216" w:lineRule="exact" w:before="0" w:after="0"/>
        <w:ind w:left="1853" w:right="0" w:hanging="720"/>
        <w:jc w:val="left"/>
        <w:rPr>
          <w:sz w:val="18"/>
        </w:rPr>
      </w:pPr>
      <w:r>
        <w:rPr>
          <w:i/>
          <w:sz w:val="18"/>
        </w:rPr>
        <w:t>CG</w:t>
      </w:r>
      <w:r>
        <w:rPr>
          <w:i/>
          <w:spacing w:val="-4"/>
          <w:sz w:val="18"/>
        </w:rPr>
        <w:t> </w:t>
      </w:r>
      <w:r>
        <w:rPr>
          <w:i/>
          <w:sz w:val="18"/>
        </w:rPr>
        <w:t>v</w:t>
      </w:r>
      <w:r>
        <w:rPr>
          <w:i/>
          <w:spacing w:val="-4"/>
          <w:sz w:val="18"/>
        </w:rPr>
        <w:t> </w:t>
      </w:r>
      <w:r>
        <w:rPr>
          <w:i/>
          <w:sz w:val="18"/>
        </w:rPr>
        <w:t>Department</w:t>
      </w:r>
      <w:r>
        <w:rPr>
          <w:i/>
          <w:spacing w:val="-4"/>
          <w:sz w:val="18"/>
        </w:rPr>
        <w:t> </w:t>
      </w:r>
      <w:r>
        <w:rPr>
          <w:i/>
          <w:sz w:val="18"/>
        </w:rPr>
        <w:t>for</w:t>
      </w:r>
      <w:r>
        <w:rPr>
          <w:i/>
          <w:spacing w:val="-4"/>
          <w:sz w:val="18"/>
        </w:rPr>
        <w:t> </w:t>
      </w:r>
      <w:r>
        <w:rPr>
          <w:i/>
          <w:sz w:val="18"/>
        </w:rPr>
        <w:t>Communities</w:t>
      </w:r>
      <w:r>
        <w:rPr>
          <w:sz w:val="18"/>
        </w:rPr>
        <w:t>,</w:t>
      </w:r>
      <w:r>
        <w:rPr>
          <w:spacing w:val="-4"/>
          <w:sz w:val="18"/>
        </w:rPr>
        <w:t> </w:t>
      </w:r>
      <w:r>
        <w:rPr>
          <w:sz w:val="18"/>
        </w:rPr>
        <w:t>Case</w:t>
      </w:r>
      <w:r>
        <w:rPr>
          <w:spacing w:val="-4"/>
          <w:sz w:val="18"/>
        </w:rPr>
        <w:t> </w:t>
      </w:r>
      <w:r>
        <w:rPr>
          <w:sz w:val="18"/>
        </w:rPr>
        <w:t>C-709/20,</w:t>
      </w:r>
      <w:r>
        <w:rPr>
          <w:spacing w:val="-3"/>
          <w:sz w:val="18"/>
        </w:rPr>
        <w:t> </w:t>
      </w:r>
      <w:r>
        <w:rPr>
          <w:sz w:val="18"/>
        </w:rPr>
        <w:t>15</w:t>
      </w:r>
      <w:r>
        <w:rPr>
          <w:spacing w:val="-4"/>
          <w:sz w:val="18"/>
        </w:rPr>
        <w:t> </w:t>
      </w:r>
      <w:r>
        <w:rPr>
          <w:sz w:val="18"/>
        </w:rPr>
        <w:t>July</w:t>
      </w:r>
      <w:r>
        <w:rPr>
          <w:spacing w:val="-4"/>
          <w:sz w:val="18"/>
        </w:rPr>
        <w:t> </w:t>
      </w:r>
      <w:r>
        <w:rPr>
          <w:spacing w:val="-2"/>
          <w:sz w:val="18"/>
        </w:rPr>
        <w:t>2021.</w:t>
      </w:r>
    </w:p>
    <w:p>
      <w:pPr>
        <w:pStyle w:val="ListParagraph"/>
        <w:numPr>
          <w:ilvl w:val="0"/>
          <w:numId w:val="3"/>
        </w:numPr>
        <w:tabs>
          <w:tab w:pos="1853" w:val="left" w:leader="none"/>
        </w:tabs>
        <w:spacing w:line="235" w:lineRule="auto" w:before="1" w:after="0"/>
        <w:ind w:left="1853" w:right="1512" w:hanging="720"/>
        <w:jc w:val="left"/>
        <w:rPr>
          <w:sz w:val="18"/>
        </w:rPr>
      </w:pPr>
      <w:r>
        <w:rPr>
          <w:i/>
          <w:sz w:val="18"/>
        </w:rPr>
        <w:t>Secretary</w:t>
      </w:r>
      <w:r>
        <w:rPr>
          <w:i/>
          <w:spacing w:val="-4"/>
          <w:sz w:val="18"/>
        </w:rPr>
        <w:t> </w:t>
      </w:r>
      <w:r>
        <w:rPr>
          <w:i/>
          <w:sz w:val="18"/>
        </w:rPr>
        <w:t>of</w:t>
      </w:r>
      <w:r>
        <w:rPr>
          <w:i/>
          <w:spacing w:val="-4"/>
          <w:sz w:val="18"/>
        </w:rPr>
        <w:t> </w:t>
      </w:r>
      <w:r>
        <w:rPr>
          <w:i/>
          <w:sz w:val="18"/>
        </w:rPr>
        <w:t>State</w:t>
      </w:r>
      <w:r>
        <w:rPr>
          <w:i/>
          <w:spacing w:val="-4"/>
          <w:sz w:val="18"/>
        </w:rPr>
        <w:t> </w:t>
      </w:r>
      <w:r>
        <w:rPr>
          <w:i/>
          <w:sz w:val="18"/>
        </w:rPr>
        <w:t>for</w:t>
      </w:r>
      <w:r>
        <w:rPr>
          <w:i/>
          <w:spacing w:val="-4"/>
          <w:sz w:val="18"/>
        </w:rPr>
        <w:t> </w:t>
      </w:r>
      <w:r>
        <w:rPr>
          <w:i/>
          <w:sz w:val="18"/>
        </w:rPr>
        <w:t>Work</w:t>
      </w:r>
      <w:r>
        <w:rPr>
          <w:i/>
          <w:spacing w:val="-4"/>
          <w:sz w:val="18"/>
        </w:rPr>
        <w:t> </w:t>
      </w:r>
      <w:r>
        <w:rPr>
          <w:i/>
          <w:sz w:val="18"/>
        </w:rPr>
        <w:t>and</w:t>
      </w:r>
      <w:r>
        <w:rPr>
          <w:i/>
          <w:spacing w:val="-4"/>
          <w:sz w:val="18"/>
        </w:rPr>
        <w:t> </w:t>
      </w:r>
      <w:r>
        <w:rPr>
          <w:i/>
          <w:sz w:val="18"/>
        </w:rPr>
        <w:t>Pensions</w:t>
      </w:r>
      <w:r>
        <w:rPr>
          <w:i/>
          <w:spacing w:val="-4"/>
          <w:sz w:val="18"/>
        </w:rPr>
        <w:t> </w:t>
      </w:r>
      <w:r>
        <w:rPr>
          <w:i/>
          <w:sz w:val="18"/>
        </w:rPr>
        <w:t>v</w:t>
      </w:r>
      <w:r>
        <w:rPr>
          <w:i/>
          <w:spacing w:val="-4"/>
          <w:sz w:val="18"/>
        </w:rPr>
        <w:t> </w:t>
      </w:r>
      <w:r>
        <w:rPr>
          <w:i/>
          <w:sz w:val="18"/>
        </w:rPr>
        <w:t>AT</w:t>
      </w:r>
      <w:r>
        <w:rPr>
          <w:i/>
          <w:spacing w:val="-4"/>
          <w:sz w:val="18"/>
        </w:rPr>
        <w:t> </w:t>
      </w:r>
      <w:r>
        <w:rPr>
          <w:sz w:val="18"/>
        </w:rPr>
        <w:t>[2023]</w:t>
      </w:r>
      <w:r>
        <w:rPr>
          <w:spacing w:val="-4"/>
          <w:sz w:val="18"/>
        </w:rPr>
        <w:t> </w:t>
      </w:r>
      <w:r>
        <w:rPr>
          <w:sz w:val="18"/>
        </w:rPr>
        <w:t>EWCA</w:t>
      </w:r>
      <w:r>
        <w:rPr>
          <w:spacing w:val="-4"/>
          <w:sz w:val="18"/>
        </w:rPr>
        <w:t> </w:t>
      </w:r>
      <w:r>
        <w:rPr>
          <w:sz w:val="18"/>
        </w:rPr>
        <w:t>Civ</w:t>
      </w:r>
      <w:r>
        <w:rPr>
          <w:spacing w:val="-4"/>
          <w:sz w:val="18"/>
        </w:rPr>
        <w:t> </w:t>
      </w:r>
      <w:r>
        <w:rPr>
          <w:sz w:val="18"/>
        </w:rPr>
        <w:t>1307,</w:t>
      </w:r>
      <w:r>
        <w:rPr>
          <w:spacing w:val="-4"/>
          <w:sz w:val="18"/>
        </w:rPr>
        <w:t> </w:t>
      </w:r>
      <w:r>
        <w:rPr>
          <w:sz w:val="18"/>
        </w:rPr>
        <w:t>at</w:t>
      </w:r>
      <w:r>
        <w:rPr>
          <w:spacing w:val="-4"/>
          <w:sz w:val="18"/>
        </w:rPr>
        <w:t> </w:t>
      </w:r>
      <w:r>
        <w:rPr>
          <w:sz w:val="18"/>
        </w:rPr>
        <w:t>para</w:t>
      </w:r>
      <w:r>
        <w:rPr>
          <w:spacing w:val="-4"/>
          <w:sz w:val="18"/>
        </w:rPr>
        <w:t> </w:t>
      </w:r>
      <w:r>
        <w:rPr>
          <w:sz w:val="18"/>
        </w:rPr>
        <w:t>113.</w:t>
      </w:r>
      <w:r>
        <w:rPr>
          <w:spacing w:val="33"/>
          <w:sz w:val="18"/>
        </w:rPr>
        <w:t> </w:t>
      </w:r>
      <w:r>
        <w:rPr>
          <w:sz w:val="18"/>
        </w:rPr>
        <w:t>For</w:t>
      </w:r>
      <w:r>
        <w:rPr>
          <w:spacing w:val="-4"/>
          <w:sz w:val="18"/>
        </w:rPr>
        <w:t> </w:t>
      </w:r>
      <w:r>
        <w:rPr>
          <w:sz w:val="18"/>
        </w:rPr>
        <w:t>further</w:t>
      </w:r>
      <w:r>
        <w:rPr>
          <w:spacing w:val="-4"/>
          <w:sz w:val="18"/>
        </w:rPr>
        <w:t> </w:t>
      </w:r>
      <w:r>
        <w:rPr>
          <w:sz w:val="18"/>
        </w:rPr>
        <w:t>discussion</w:t>
      </w:r>
      <w:r>
        <w:rPr>
          <w:spacing w:val="-4"/>
          <w:sz w:val="18"/>
        </w:rPr>
        <w:t> </w:t>
      </w:r>
      <w:r>
        <w:rPr>
          <w:sz w:val="18"/>
        </w:rPr>
        <w:t>of</w:t>
      </w:r>
      <w:r>
        <w:rPr>
          <w:spacing w:val="-4"/>
          <w:sz w:val="18"/>
        </w:rPr>
        <w:t> </w:t>
      </w:r>
      <w:r>
        <w:rPr>
          <w:sz w:val="18"/>
        </w:rPr>
        <w:t>the</w:t>
      </w:r>
      <w:r>
        <w:rPr>
          <w:spacing w:val="-4"/>
          <w:sz w:val="18"/>
        </w:rPr>
        <w:t> </w:t>
      </w:r>
      <w:r>
        <w:rPr>
          <w:sz w:val="18"/>
        </w:rPr>
        <w:t>policy implications of this case, see section on the EU Settlement Scheme in Chapter 4.</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pPr>
      <w:r>
        <w:rPr/>
        <w:t>inconsistent domestic law”.</w:t>
      </w:r>
      <w:r>
        <w:rPr>
          <w:vertAlign w:val="superscript"/>
        </w:rPr>
        <w:t>25</w:t>
      </w:r>
      <w:r>
        <w:rPr>
          <w:vertAlign w:val="baseline"/>
        </w:rPr>
        <w:t> For further discussion of this case in relation to the</w:t>
      </w:r>
      <w:r>
        <w:rPr>
          <w:spacing w:val="-5"/>
          <w:vertAlign w:val="baseline"/>
        </w:rPr>
        <w:t> </w:t>
      </w:r>
      <w:r>
        <w:rPr>
          <w:vertAlign w:val="baseline"/>
        </w:rPr>
        <w:t>rights</w:t>
      </w:r>
      <w:r>
        <w:rPr>
          <w:spacing w:val="-6"/>
          <w:vertAlign w:val="baseline"/>
        </w:rPr>
        <w:t> </w:t>
      </w:r>
      <w:r>
        <w:rPr>
          <w:vertAlign w:val="baseline"/>
        </w:rPr>
        <w:t>of</w:t>
      </w:r>
      <w:r>
        <w:rPr>
          <w:spacing w:val="-6"/>
          <w:vertAlign w:val="baseline"/>
        </w:rPr>
        <w:t> </w:t>
      </w:r>
      <w:r>
        <w:rPr>
          <w:vertAlign w:val="baseline"/>
        </w:rPr>
        <w:t>EU</w:t>
      </w:r>
      <w:r>
        <w:rPr>
          <w:spacing w:val="-5"/>
          <w:vertAlign w:val="baseline"/>
        </w:rPr>
        <w:t> </w:t>
      </w:r>
      <w:r>
        <w:rPr>
          <w:vertAlign w:val="baseline"/>
        </w:rPr>
        <w:t>citizens</w:t>
      </w:r>
      <w:r>
        <w:rPr>
          <w:spacing w:val="-6"/>
          <w:vertAlign w:val="baseline"/>
        </w:rPr>
        <w:t> </w:t>
      </w:r>
      <w:r>
        <w:rPr>
          <w:vertAlign w:val="baseline"/>
        </w:rPr>
        <w:t>under</w:t>
      </w:r>
      <w:r>
        <w:rPr>
          <w:spacing w:val="-5"/>
          <w:vertAlign w:val="baseline"/>
        </w:rPr>
        <w:t> </w:t>
      </w:r>
      <w:r>
        <w:rPr>
          <w:vertAlign w:val="baseline"/>
        </w:rPr>
        <w:t>the</w:t>
      </w:r>
      <w:r>
        <w:rPr>
          <w:spacing w:val="-5"/>
          <w:vertAlign w:val="baseline"/>
        </w:rPr>
        <w:t> </w:t>
      </w:r>
      <w:r>
        <w:rPr>
          <w:vertAlign w:val="baseline"/>
        </w:rPr>
        <w:t>Withdrawal</w:t>
      </w:r>
      <w:r>
        <w:rPr>
          <w:spacing w:val="-6"/>
          <w:vertAlign w:val="baseline"/>
        </w:rPr>
        <w:t> </w:t>
      </w:r>
      <w:r>
        <w:rPr>
          <w:vertAlign w:val="baseline"/>
        </w:rPr>
        <w:t>Agreement,</w:t>
      </w:r>
      <w:r>
        <w:rPr>
          <w:spacing w:val="-5"/>
          <w:vertAlign w:val="baseline"/>
        </w:rPr>
        <w:t> </w:t>
      </w:r>
      <w:r>
        <w:rPr>
          <w:vertAlign w:val="baseline"/>
        </w:rPr>
        <w:t>see</w:t>
      </w:r>
      <w:r>
        <w:rPr>
          <w:spacing w:val="-5"/>
          <w:vertAlign w:val="baseline"/>
        </w:rPr>
        <w:t> </w:t>
      </w:r>
      <w:r>
        <w:rPr>
          <w:vertAlign w:val="baseline"/>
        </w:rPr>
        <w:t>the</w:t>
      </w:r>
      <w:r>
        <w:rPr>
          <w:spacing w:val="-5"/>
          <w:vertAlign w:val="baseline"/>
        </w:rPr>
        <w:t> </w:t>
      </w:r>
      <w:r>
        <w:rPr>
          <w:vertAlign w:val="baseline"/>
        </w:rPr>
        <w:t>section</w:t>
      </w:r>
      <w:r>
        <w:rPr>
          <w:spacing w:val="-6"/>
          <w:vertAlign w:val="baseline"/>
        </w:rPr>
        <w:t> </w:t>
      </w:r>
      <w:r>
        <w:rPr>
          <w:vertAlign w:val="baseline"/>
        </w:rPr>
        <w:t>on the EU Settlement Scheme in Chapter 4.</w:t>
      </w:r>
    </w:p>
    <w:p>
      <w:pPr>
        <w:pStyle w:val="ListParagraph"/>
        <w:numPr>
          <w:ilvl w:val="1"/>
          <w:numId w:val="5"/>
        </w:numPr>
        <w:tabs>
          <w:tab w:pos="1853" w:val="left" w:leader="none"/>
        </w:tabs>
        <w:spacing w:line="225" w:lineRule="auto" w:before="317" w:after="0"/>
        <w:ind w:left="1853" w:right="1139" w:hanging="720"/>
        <w:jc w:val="left"/>
        <w:rPr>
          <w:sz w:val="28"/>
        </w:rPr>
      </w:pPr>
      <w:r>
        <w:rPr>
          <w:sz w:val="28"/>
        </w:rPr>
        <w:t>In February 2024, the NI High Court handed down a judgment in a legal challenge brought by a number of victims raising concerns about the compliance of the NI Troubles (Legacy and Reconciliation) Act 2023 with the European</w:t>
      </w:r>
      <w:r>
        <w:rPr>
          <w:spacing w:val="-8"/>
          <w:sz w:val="28"/>
        </w:rPr>
        <w:t> </w:t>
      </w:r>
      <w:r>
        <w:rPr>
          <w:sz w:val="28"/>
        </w:rPr>
        <w:t>Convention</w:t>
      </w:r>
      <w:r>
        <w:rPr>
          <w:spacing w:val="-8"/>
          <w:sz w:val="28"/>
        </w:rPr>
        <w:t> </w:t>
      </w:r>
      <w:r>
        <w:rPr>
          <w:sz w:val="28"/>
        </w:rPr>
        <w:t>of</w:t>
      </w:r>
      <w:r>
        <w:rPr>
          <w:spacing w:val="-8"/>
          <w:sz w:val="28"/>
        </w:rPr>
        <w:t> </w:t>
      </w:r>
      <w:r>
        <w:rPr>
          <w:sz w:val="28"/>
        </w:rPr>
        <w:t>Human</w:t>
      </w:r>
      <w:r>
        <w:rPr>
          <w:spacing w:val="-8"/>
          <w:sz w:val="28"/>
        </w:rPr>
        <w:t> </w:t>
      </w:r>
      <w:r>
        <w:rPr>
          <w:sz w:val="28"/>
        </w:rPr>
        <w:t>Rights</w:t>
      </w:r>
      <w:r>
        <w:rPr>
          <w:spacing w:val="-8"/>
          <w:sz w:val="28"/>
        </w:rPr>
        <w:t> </w:t>
      </w:r>
      <w:r>
        <w:rPr>
          <w:sz w:val="28"/>
        </w:rPr>
        <w:t>(ECHR)</w:t>
      </w:r>
      <w:r>
        <w:rPr>
          <w:spacing w:val="-8"/>
          <w:sz w:val="28"/>
        </w:rPr>
        <w:t> </w:t>
      </w:r>
      <w:r>
        <w:rPr>
          <w:sz w:val="28"/>
        </w:rPr>
        <w:t>and</w:t>
      </w:r>
      <w:r>
        <w:rPr>
          <w:spacing w:val="-8"/>
          <w:sz w:val="28"/>
        </w:rPr>
        <w:t> </w:t>
      </w:r>
      <w:r>
        <w:rPr>
          <w:sz w:val="28"/>
        </w:rPr>
        <w:t>Windsor</w:t>
      </w:r>
      <w:r>
        <w:rPr>
          <w:spacing w:val="-7"/>
          <w:sz w:val="28"/>
        </w:rPr>
        <w:t> </w:t>
      </w:r>
      <w:r>
        <w:rPr>
          <w:sz w:val="28"/>
        </w:rPr>
        <w:t>Framework</w:t>
      </w:r>
      <w:r>
        <w:rPr>
          <w:spacing w:val="-7"/>
          <w:sz w:val="28"/>
        </w:rPr>
        <w:t> </w:t>
      </w:r>
      <w:r>
        <w:rPr>
          <w:sz w:val="28"/>
        </w:rPr>
        <w:t>Article</w:t>
      </w:r>
    </w:p>
    <w:p>
      <w:pPr>
        <w:pStyle w:val="BodyText"/>
        <w:spacing w:line="225" w:lineRule="auto"/>
        <w:ind w:left="1853" w:right="1171"/>
      </w:pPr>
      <w:r>
        <w:rPr/>
        <w:t>2.</w:t>
      </w:r>
      <w:r>
        <w:rPr>
          <w:spacing w:val="40"/>
        </w:rPr>
        <w:t> </w:t>
      </w:r>
      <w:r>
        <w:rPr/>
        <w:t>Both</w:t>
      </w:r>
      <w:r>
        <w:rPr>
          <w:spacing w:val="-5"/>
        </w:rPr>
        <w:t> </w:t>
      </w:r>
      <w:r>
        <w:rPr/>
        <w:t>Commissions</w:t>
      </w:r>
      <w:r>
        <w:rPr>
          <w:spacing w:val="-5"/>
        </w:rPr>
        <w:t> </w:t>
      </w:r>
      <w:r>
        <w:rPr/>
        <w:t>intervened</w:t>
      </w:r>
      <w:r>
        <w:rPr>
          <w:spacing w:val="-5"/>
        </w:rPr>
        <w:t> </w:t>
      </w:r>
      <w:r>
        <w:rPr/>
        <w:t>in</w:t>
      </w:r>
      <w:r>
        <w:rPr>
          <w:spacing w:val="-5"/>
        </w:rPr>
        <w:t> </w:t>
      </w:r>
      <w:r>
        <w:rPr/>
        <w:t>the</w:t>
      </w:r>
      <w:r>
        <w:rPr>
          <w:spacing w:val="-4"/>
        </w:rPr>
        <w:t> </w:t>
      </w:r>
      <w:r>
        <w:rPr/>
        <w:t>case,</w:t>
      </w:r>
      <w:r>
        <w:rPr>
          <w:spacing w:val="-4"/>
        </w:rPr>
        <w:t> </w:t>
      </w:r>
      <w:r>
        <w:rPr/>
        <w:t>with</w:t>
      </w:r>
      <w:r>
        <w:rPr>
          <w:spacing w:val="-5"/>
        </w:rPr>
        <w:t> </w:t>
      </w:r>
      <w:r>
        <w:rPr/>
        <w:t>the</w:t>
      </w:r>
      <w:r>
        <w:rPr>
          <w:spacing w:val="-4"/>
        </w:rPr>
        <w:t> </w:t>
      </w:r>
      <w:r>
        <w:rPr/>
        <w:t>NIHRC</w:t>
      </w:r>
      <w:r>
        <w:rPr>
          <w:spacing w:val="-5"/>
        </w:rPr>
        <w:t> </w:t>
      </w:r>
      <w:r>
        <w:rPr/>
        <w:t>addressing</w:t>
      </w:r>
      <w:r>
        <w:rPr>
          <w:spacing w:val="-4"/>
        </w:rPr>
        <w:t> </w:t>
      </w:r>
      <w:r>
        <w:rPr/>
        <w:t>both ECHR and Windsor Framework Article 2 concerns and the ECNI focused on Windsor Framework Article 2 only. For further discussion of this case, see section on Legacy (Victims’ Rights) in Chapter 3.</w:t>
      </w:r>
    </w:p>
    <w:p>
      <w:pPr>
        <w:pStyle w:val="ListParagraph"/>
        <w:numPr>
          <w:ilvl w:val="1"/>
          <w:numId w:val="5"/>
        </w:numPr>
        <w:tabs>
          <w:tab w:pos="1853" w:val="left" w:leader="none"/>
        </w:tabs>
        <w:spacing w:line="225" w:lineRule="auto" w:before="309" w:after="0"/>
        <w:ind w:left="1853" w:right="1208" w:hanging="720"/>
        <w:jc w:val="left"/>
        <w:rPr>
          <w:sz w:val="28"/>
        </w:rPr>
      </w:pPr>
      <w:r>
        <w:rPr>
          <w:sz w:val="28"/>
        </w:rPr>
        <w:t>The</w:t>
      </w:r>
      <w:r>
        <w:rPr>
          <w:spacing w:val="-5"/>
          <w:sz w:val="28"/>
        </w:rPr>
        <w:t> </w:t>
      </w:r>
      <w:r>
        <w:rPr>
          <w:sz w:val="28"/>
        </w:rPr>
        <w:t>High</w:t>
      </w:r>
      <w:r>
        <w:rPr>
          <w:spacing w:val="-6"/>
          <w:sz w:val="28"/>
        </w:rPr>
        <w:t> </w:t>
      </w:r>
      <w:r>
        <w:rPr>
          <w:sz w:val="28"/>
        </w:rPr>
        <w:t>Court</w:t>
      </w:r>
      <w:r>
        <w:rPr>
          <w:spacing w:val="-5"/>
          <w:sz w:val="28"/>
        </w:rPr>
        <w:t> </w:t>
      </w:r>
      <w:r>
        <w:rPr>
          <w:sz w:val="28"/>
        </w:rPr>
        <w:t>found</w:t>
      </w:r>
      <w:r>
        <w:rPr>
          <w:spacing w:val="-6"/>
          <w:sz w:val="28"/>
        </w:rPr>
        <w:t> </w:t>
      </w:r>
      <w:r>
        <w:rPr>
          <w:sz w:val="28"/>
        </w:rPr>
        <w:t>that</w:t>
      </w:r>
      <w:r>
        <w:rPr>
          <w:spacing w:val="-5"/>
          <w:sz w:val="28"/>
        </w:rPr>
        <w:t> </w:t>
      </w:r>
      <w:r>
        <w:rPr>
          <w:sz w:val="28"/>
        </w:rPr>
        <w:t>the</w:t>
      </w:r>
      <w:r>
        <w:rPr>
          <w:spacing w:val="-5"/>
          <w:sz w:val="28"/>
        </w:rPr>
        <w:t> </w:t>
      </w:r>
      <w:r>
        <w:rPr>
          <w:sz w:val="28"/>
        </w:rPr>
        <w:t>conditional</w:t>
      </w:r>
      <w:r>
        <w:rPr>
          <w:spacing w:val="-6"/>
          <w:sz w:val="28"/>
        </w:rPr>
        <w:t> </w:t>
      </w:r>
      <w:r>
        <w:rPr>
          <w:sz w:val="28"/>
        </w:rPr>
        <w:t>immunity</w:t>
      </w:r>
      <w:r>
        <w:rPr>
          <w:spacing w:val="-5"/>
          <w:sz w:val="28"/>
        </w:rPr>
        <w:t> </w:t>
      </w:r>
      <w:r>
        <w:rPr>
          <w:sz w:val="28"/>
        </w:rPr>
        <w:t>scheme</w:t>
      </w:r>
      <w:r>
        <w:rPr>
          <w:spacing w:val="-5"/>
          <w:sz w:val="28"/>
        </w:rPr>
        <w:t> </w:t>
      </w:r>
      <w:r>
        <w:rPr>
          <w:sz w:val="28"/>
        </w:rPr>
        <w:t>breaches</w:t>
      </w:r>
      <w:r>
        <w:rPr>
          <w:spacing w:val="-6"/>
          <w:sz w:val="28"/>
        </w:rPr>
        <w:t> </w:t>
      </w:r>
      <w:r>
        <w:rPr>
          <w:sz w:val="28"/>
        </w:rPr>
        <w:t>Articles 2 and 3 of the ECHR</w:t>
      </w:r>
      <w:r>
        <w:rPr>
          <w:sz w:val="28"/>
          <w:vertAlign w:val="superscript"/>
        </w:rPr>
        <w:t>26</w:t>
      </w:r>
      <w:r>
        <w:rPr>
          <w:sz w:val="28"/>
          <w:vertAlign w:val="baseline"/>
        </w:rPr>
        <w:t> and that the removal of the possibility of prosecution was incompatible with the EU Victims Directive and therefore breaches Windsor Framework Article 2.</w:t>
      </w:r>
      <w:r>
        <w:rPr>
          <w:sz w:val="28"/>
          <w:vertAlign w:val="superscript"/>
        </w:rPr>
        <w:t>27</w:t>
      </w:r>
      <w:r>
        <w:rPr>
          <w:spacing w:val="40"/>
          <w:sz w:val="28"/>
          <w:vertAlign w:val="baseline"/>
        </w:rPr>
        <w:t> </w:t>
      </w:r>
      <w:r>
        <w:rPr>
          <w:sz w:val="28"/>
          <w:vertAlign w:val="baseline"/>
        </w:rPr>
        <w:t>The Court concluded that the Vienna Convention</w:t>
      </w:r>
      <w:r>
        <w:rPr>
          <w:spacing w:val="-1"/>
          <w:sz w:val="28"/>
          <w:vertAlign w:val="baseline"/>
        </w:rPr>
        <w:t> </w:t>
      </w:r>
      <w:r>
        <w:rPr>
          <w:sz w:val="28"/>
          <w:vertAlign w:val="baseline"/>
        </w:rPr>
        <w:t>on</w:t>
      </w:r>
      <w:r>
        <w:rPr>
          <w:spacing w:val="-1"/>
          <w:sz w:val="28"/>
          <w:vertAlign w:val="baseline"/>
        </w:rPr>
        <w:t> </w:t>
      </w:r>
      <w:r>
        <w:rPr>
          <w:sz w:val="28"/>
          <w:vertAlign w:val="baseline"/>
        </w:rPr>
        <w:t>the Law of</w:t>
      </w:r>
      <w:r>
        <w:rPr>
          <w:spacing w:val="-1"/>
          <w:sz w:val="28"/>
          <w:vertAlign w:val="baseline"/>
        </w:rPr>
        <w:t> </w:t>
      </w:r>
      <w:r>
        <w:rPr>
          <w:sz w:val="28"/>
          <w:vertAlign w:val="baseline"/>
        </w:rPr>
        <w:t>Treaties</w:t>
      </w:r>
      <w:r>
        <w:rPr>
          <w:spacing w:val="-1"/>
          <w:sz w:val="28"/>
          <w:vertAlign w:val="baseline"/>
        </w:rPr>
        <w:t> </w:t>
      </w:r>
      <w:r>
        <w:rPr>
          <w:sz w:val="28"/>
          <w:vertAlign w:val="baseline"/>
        </w:rPr>
        <w:t>applied</w:t>
      </w:r>
      <w:r>
        <w:rPr>
          <w:spacing w:val="-1"/>
          <w:sz w:val="28"/>
          <w:vertAlign w:val="baseline"/>
        </w:rPr>
        <w:t> </w:t>
      </w:r>
      <w:r>
        <w:rPr>
          <w:sz w:val="28"/>
          <w:vertAlign w:val="baseline"/>
        </w:rPr>
        <w:t>to</w:t>
      </w:r>
      <w:r>
        <w:rPr>
          <w:spacing w:val="-1"/>
          <w:sz w:val="28"/>
          <w:vertAlign w:val="baseline"/>
        </w:rPr>
        <w:t> </w:t>
      </w:r>
      <w:r>
        <w:rPr>
          <w:sz w:val="28"/>
          <w:vertAlign w:val="baseline"/>
        </w:rPr>
        <w:t>the interpretation</w:t>
      </w:r>
      <w:r>
        <w:rPr>
          <w:spacing w:val="-1"/>
          <w:sz w:val="28"/>
          <w:vertAlign w:val="baseline"/>
        </w:rPr>
        <w:t> </w:t>
      </w:r>
      <w:r>
        <w:rPr>
          <w:sz w:val="28"/>
          <w:vertAlign w:val="baseline"/>
        </w:rPr>
        <w:t>of</w:t>
      </w:r>
      <w:r>
        <w:rPr>
          <w:spacing w:val="-1"/>
          <w:sz w:val="28"/>
          <w:vertAlign w:val="baseline"/>
        </w:rPr>
        <w:t> </w:t>
      </w:r>
      <w:r>
        <w:rPr>
          <w:sz w:val="28"/>
          <w:vertAlign w:val="baseline"/>
        </w:rPr>
        <w:t>the Belfast (Good Friday) Agreement and that it is, therefore, entitled to take a generous and purposive approach in interpreting Windsor Framework Article 2.</w:t>
      </w:r>
      <w:r>
        <w:rPr>
          <w:sz w:val="28"/>
          <w:vertAlign w:val="superscript"/>
        </w:rPr>
        <w:t>28</w:t>
      </w:r>
      <w:r>
        <w:rPr>
          <w:sz w:val="28"/>
          <w:vertAlign w:val="baseline"/>
        </w:rPr>
        <w:t> The Court further held that the fundamental rights of victims “are encompassed within the notion of ‘civil rights’ and are protected through the commitment to victims at paragraph 11” in the relevant part of the Belfast (Good Friday) Agreement.</w:t>
      </w:r>
      <w:r>
        <w:rPr>
          <w:sz w:val="28"/>
          <w:vertAlign w:val="superscript"/>
        </w:rPr>
        <w:t>29</w:t>
      </w:r>
      <w:r>
        <w:rPr>
          <w:sz w:val="28"/>
          <w:vertAlign w:val="baseline"/>
        </w:rPr>
        <w:t> It also found that a narrow interpretation of “civil rights” undermines the future-facing dimension of the non-diminution commitment in Article 2 and that the rights of victims of crime, recognised in the 1998 Agreement are within the competence of EU law and are underpinned by EU law in the form of the Victims’ Directive and the EU Charter of Fundamental Rights.</w:t>
      </w:r>
      <w:r>
        <w:rPr>
          <w:sz w:val="28"/>
          <w:vertAlign w:val="superscript"/>
        </w:rPr>
        <w:t>30</w:t>
      </w:r>
      <w:r>
        <w:rPr>
          <w:spacing w:val="-1"/>
          <w:sz w:val="28"/>
          <w:vertAlign w:val="baseline"/>
        </w:rPr>
        <w:t> </w:t>
      </w:r>
      <w:r>
        <w:rPr>
          <w:sz w:val="28"/>
          <w:vertAlign w:val="baseline"/>
        </w:rPr>
        <w:t>The Court found</w:t>
      </w:r>
      <w:r>
        <w:rPr>
          <w:spacing w:val="-1"/>
          <w:sz w:val="28"/>
          <w:vertAlign w:val="baseline"/>
        </w:rPr>
        <w:t> </w:t>
      </w:r>
      <w:r>
        <w:rPr>
          <w:sz w:val="28"/>
          <w:vertAlign w:val="baseline"/>
        </w:rPr>
        <w:t>that where the provisions</w:t>
      </w:r>
      <w:r>
        <w:rPr>
          <w:spacing w:val="-1"/>
          <w:sz w:val="28"/>
          <w:vertAlign w:val="baseline"/>
        </w:rPr>
        <w:t> </w:t>
      </w:r>
      <w:r>
        <w:rPr>
          <w:sz w:val="28"/>
          <w:vertAlign w:val="baseline"/>
        </w:rPr>
        <w:t>of</w:t>
      </w:r>
      <w:r>
        <w:rPr>
          <w:spacing w:val="-1"/>
          <w:sz w:val="28"/>
          <w:vertAlign w:val="baseline"/>
        </w:rPr>
        <w:t> </w:t>
      </w:r>
      <w:r>
        <w:rPr>
          <w:sz w:val="28"/>
          <w:vertAlign w:val="baseline"/>
        </w:rPr>
        <w:t>the 2023 Act breached Windsor Framework Article 2, the appropriate remedy was disapplication, noting that “any assessment of the diminution of rights also requires assessment of the enforcement mechanisms and procedures available to protect those rights”.</w:t>
      </w:r>
      <w:r>
        <w:rPr>
          <w:sz w:val="28"/>
          <w:vertAlign w:val="superscript"/>
        </w:rPr>
        <w:t>31</w:t>
      </w:r>
      <w:r>
        <w:rPr>
          <w:sz w:val="28"/>
          <w:vertAlign w:val="baseline"/>
        </w:rPr>
        <w:t> The Court found that the immunity provisions of the Act should be disapplied.</w:t>
      </w:r>
      <w:r>
        <w:rPr>
          <w:sz w:val="28"/>
          <w:vertAlign w:val="superscript"/>
        </w:rPr>
        <w:t>32</w:t>
      </w:r>
    </w:p>
    <w:p>
      <w:pPr>
        <w:pStyle w:val="BodyText"/>
        <w:rPr>
          <w:sz w:val="20"/>
        </w:rPr>
      </w:pPr>
    </w:p>
    <w:p>
      <w:pPr>
        <w:pStyle w:val="BodyText"/>
        <w:spacing w:before="63"/>
        <w:rPr>
          <w:sz w:val="20"/>
        </w:rPr>
      </w:pPr>
      <w:r>
        <w:rPr/>
        <mc:AlternateContent>
          <mc:Choice Requires="wps">
            <w:drawing>
              <wp:anchor distT="0" distB="0" distL="0" distR="0" allowOverlap="1" layoutInCell="1" locked="0" behindDoc="1" simplePos="0" relativeHeight="487624192">
                <wp:simplePos x="0" y="0"/>
                <wp:positionH relativeFrom="page">
                  <wp:posOffset>719996</wp:posOffset>
                </wp:positionH>
                <wp:positionV relativeFrom="paragraph">
                  <wp:posOffset>210744</wp:posOffset>
                </wp:positionV>
                <wp:extent cx="6120130" cy="1270"/>
                <wp:effectExtent l="0" t="0" r="0" b="0"/>
                <wp:wrapTopAndBottom/>
                <wp:docPr id="135" name="Graphic 135"/>
                <wp:cNvGraphicFramePr>
                  <a:graphicFrameLocks/>
                </wp:cNvGraphicFramePr>
                <a:graphic>
                  <a:graphicData uri="http://schemas.microsoft.com/office/word/2010/wordprocessingShape">
                    <wps:wsp>
                      <wps:cNvPr id="135" name="Graphic 13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6.594025pt;width:481.9pt;height:.1pt;mso-position-horizontal-relative:page;mso-position-vertical-relative:paragraph;z-index:-15692288;mso-wrap-distance-left:0;mso-wrap-distance-right:0" id="docshape92" coordorigin="1134,332" coordsize="9638,0" path="m10772,332l1134,332e" filled="false" stroked="true" strokeweight="1pt" strokecolor="#393b80">
                <v:path arrowok="t"/>
                <v:stroke dashstyle="solid"/>
                <w10:wrap type="topAndBottom"/>
              </v:shape>
            </w:pict>
          </mc:Fallback>
        </mc:AlternateContent>
      </w:r>
    </w:p>
    <w:p>
      <w:pPr>
        <w:pStyle w:val="ListParagraph"/>
        <w:numPr>
          <w:ilvl w:val="0"/>
          <w:numId w:val="3"/>
        </w:numPr>
        <w:tabs>
          <w:tab w:pos="1853" w:val="left" w:leader="none"/>
        </w:tabs>
        <w:spacing w:line="218" w:lineRule="exact" w:before="106" w:after="0"/>
        <w:ind w:left="1853" w:right="0" w:hanging="720"/>
        <w:jc w:val="left"/>
        <w:rPr>
          <w:sz w:val="18"/>
        </w:rPr>
      </w:pPr>
      <w:r>
        <w:rPr>
          <w:i/>
          <w:sz w:val="18"/>
        </w:rPr>
        <w:t>Secretary</w:t>
      </w:r>
      <w:r>
        <w:rPr>
          <w:i/>
          <w:spacing w:val="-8"/>
          <w:sz w:val="18"/>
        </w:rPr>
        <w:t> </w:t>
      </w:r>
      <w:r>
        <w:rPr>
          <w:i/>
          <w:sz w:val="18"/>
        </w:rPr>
        <w:t>of</w:t>
      </w:r>
      <w:r>
        <w:rPr>
          <w:i/>
          <w:spacing w:val="-5"/>
          <w:sz w:val="18"/>
        </w:rPr>
        <w:t> </w:t>
      </w:r>
      <w:r>
        <w:rPr>
          <w:i/>
          <w:sz w:val="18"/>
        </w:rPr>
        <w:t>State</w:t>
      </w:r>
      <w:r>
        <w:rPr>
          <w:i/>
          <w:spacing w:val="-5"/>
          <w:sz w:val="18"/>
        </w:rPr>
        <w:t> </w:t>
      </w:r>
      <w:r>
        <w:rPr>
          <w:i/>
          <w:sz w:val="18"/>
        </w:rPr>
        <w:t>for</w:t>
      </w:r>
      <w:r>
        <w:rPr>
          <w:i/>
          <w:spacing w:val="-4"/>
          <w:sz w:val="18"/>
        </w:rPr>
        <w:t> </w:t>
      </w:r>
      <w:r>
        <w:rPr>
          <w:i/>
          <w:sz w:val="18"/>
        </w:rPr>
        <w:t>Work</w:t>
      </w:r>
      <w:r>
        <w:rPr>
          <w:i/>
          <w:spacing w:val="-4"/>
          <w:sz w:val="18"/>
        </w:rPr>
        <w:t> </w:t>
      </w:r>
      <w:r>
        <w:rPr>
          <w:i/>
          <w:sz w:val="18"/>
        </w:rPr>
        <w:t>and</w:t>
      </w:r>
      <w:r>
        <w:rPr>
          <w:i/>
          <w:spacing w:val="-6"/>
          <w:sz w:val="18"/>
        </w:rPr>
        <w:t> </w:t>
      </w:r>
      <w:r>
        <w:rPr>
          <w:i/>
          <w:sz w:val="18"/>
        </w:rPr>
        <w:t>Pensions</w:t>
      </w:r>
      <w:r>
        <w:rPr>
          <w:i/>
          <w:spacing w:val="-5"/>
          <w:sz w:val="18"/>
        </w:rPr>
        <w:t> </w:t>
      </w:r>
      <w:r>
        <w:rPr>
          <w:i/>
          <w:sz w:val="18"/>
        </w:rPr>
        <w:t>v</w:t>
      </w:r>
      <w:r>
        <w:rPr>
          <w:i/>
          <w:spacing w:val="-5"/>
          <w:sz w:val="18"/>
        </w:rPr>
        <w:t> </w:t>
      </w:r>
      <w:r>
        <w:rPr>
          <w:i/>
          <w:sz w:val="18"/>
        </w:rPr>
        <w:t>AT</w:t>
      </w:r>
      <w:r>
        <w:rPr>
          <w:i/>
          <w:spacing w:val="-5"/>
          <w:sz w:val="18"/>
        </w:rPr>
        <w:t> </w:t>
      </w:r>
      <w:r>
        <w:rPr>
          <w:sz w:val="18"/>
        </w:rPr>
        <w:t>[2023]</w:t>
      </w:r>
      <w:r>
        <w:rPr>
          <w:spacing w:val="-4"/>
          <w:sz w:val="18"/>
        </w:rPr>
        <w:t> </w:t>
      </w:r>
      <w:r>
        <w:rPr>
          <w:sz w:val="18"/>
        </w:rPr>
        <w:t>ECWA</w:t>
      </w:r>
      <w:r>
        <w:rPr>
          <w:spacing w:val="-5"/>
          <w:sz w:val="18"/>
        </w:rPr>
        <w:t> </w:t>
      </w:r>
      <w:r>
        <w:rPr>
          <w:sz w:val="18"/>
        </w:rPr>
        <w:t>Civ</w:t>
      </w:r>
      <w:r>
        <w:rPr>
          <w:spacing w:val="-4"/>
          <w:sz w:val="18"/>
        </w:rPr>
        <w:t> </w:t>
      </w:r>
      <w:r>
        <w:rPr>
          <w:sz w:val="18"/>
        </w:rPr>
        <w:t>1307,</w:t>
      </w:r>
      <w:r>
        <w:rPr>
          <w:spacing w:val="-5"/>
          <w:sz w:val="18"/>
        </w:rPr>
        <w:t> </w:t>
      </w:r>
      <w:r>
        <w:rPr>
          <w:sz w:val="18"/>
        </w:rPr>
        <w:t>at</w:t>
      </w:r>
      <w:r>
        <w:rPr>
          <w:spacing w:val="-4"/>
          <w:sz w:val="18"/>
        </w:rPr>
        <w:t> </w:t>
      </w:r>
      <w:r>
        <w:rPr>
          <w:sz w:val="18"/>
        </w:rPr>
        <w:t>para</w:t>
      </w:r>
      <w:r>
        <w:rPr>
          <w:spacing w:val="-5"/>
          <w:sz w:val="18"/>
        </w:rPr>
        <w:t> </w:t>
      </w:r>
      <w:r>
        <w:rPr>
          <w:spacing w:val="-4"/>
          <w:sz w:val="18"/>
        </w:rPr>
        <w:t>106.</w:t>
      </w:r>
    </w:p>
    <w:p>
      <w:pPr>
        <w:pStyle w:val="ListParagraph"/>
        <w:numPr>
          <w:ilvl w:val="0"/>
          <w:numId w:val="3"/>
        </w:numPr>
        <w:tabs>
          <w:tab w:pos="1853" w:val="left" w:leader="none"/>
        </w:tabs>
        <w:spacing w:line="216" w:lineRule="exact" w:before="0" w:after="0"/>
        <w:ind w:left="1853" w:right="0" w:hanging="720"/>
        <w:jc w:val="left"/>
        <w:rPr>
          <w:sz w:val="18"/>
        </w:rPr>
      </w:pPr>
      <w:r>
        <w:rPr>
          <w:i/>
          <w:sz w:val="18"/>
        </w:rPr>
        <w:t>In</w:t>
      </w:r>
      <w:r>
        <w:rPr>
          <w:i/>
          <w:spacing w:val="-5"/>
          <w:sz w:val="18"/>
        </w:rPr>
        <w:t> </w:t>
      </w:r>
      <w:r>
        <w:rPr>
          <w:i/>
          <w:sz w:val="18"/>
        </w:rPr>
        <w:t>the</w:t>
      </w:r>
      <w:r>
        <w:rPr>
          <w:i/>
          <w:spacing w:val="-4"/>
          <w:sz w:val="18"/>
        </w:rPr>
        <w:t> </w:t>
      </w:r>
      <w:r>
        <w:rPr>
          <w:i/>
          <w:sz w:val="18"/>
        </w:rPr>
        <w:t>matter</w:t>
      </w:r>
      <w:r>
        <w:rPr>
          <w:i/>
          <w:spacing w:val="-4"/>
          <w:sz w:val="18"/>
        </w:rPr>
        <w:t> </w:t>
      </w:r>
      <w:r>
        <w:rPr>
          <w:i/>
          <w:sz w:val="18"/>
        </w:rPr>
        <w:t>of</w:t>
      </w:r>
      <w:r>
        <w:rPr>
          <w:i/>
          <w:spacing w:val="-4"/>
          <w:sz w:val="18"/>
        </w:rPr>
        <w:t> </w:t>
      </w:r>
      <w:r>
        <w:rPr>
          <w:i/>
          <w:sz w:val="18"/>
        </w:rPr>
        <w:t>an</w:t>
      </w:r>
      <w:r>
        <w:rPr>
          <w:i/>
          <w:spacing w:val="-5"/>
          <w:sz w:val="18"/>
        </w:rPr>
        <w:t> </w:t>
      </w:r>
      <w:r>
        <w:rPr>
          <w:i/>
          <w:sz w:val="18"/>
        </w:rPr>
        <w:t>application</w:t>
      </w:r>
      <w:r>
        <w:rPr>
          <w:i/>
          <w:spacing w:val="-5"/>
          <w:sz w:val="18"/>
        </w:rPr>
        <w:t> </w:t>
      </w:r>
      <w:r>
        <w:rPr>
          <w:i/>
          <w:sz w:val="18"/>
        </w:rPr>
        <w:t>by</w:t>
      </w:r>
      <w:r>
        <w:rPr>
          <w:i/>
          <w:spacing w:val="-5"/>
          <w:sz w:val="18"/>
        </w:rPr>
        <w:t> </w:t>
      </w:r>
      <w:r>
        <w:rPr>
          <w:i/>
          <w:sz w:val="18"/>
        </w:rPr>
        <w:t>Martina</w:t>
      </w:r>
      <w:r>
        <w:rPr>
          <w:i/>
          <w:spacing w:val="-4"/>
          <w:sz w:val="18"/>
        </w:rPr>
        <w:t> </w:t>
      </w:r>
      <w:r>
        <w:rPr>
          <w:i/>
          <w:sz w:val="18"/>
        </w:rPr>
        <w:t>Dillon</w:t>
      </w:r>
      <w:r>
        <w:rPr>
          <w:i/>
          <w:spacing w:val="-5"/>
          <w:sz w:val="18"/>
        </w:rPr>
        <w:t> </w:t>
      </w:r>
      <w:r>
        <w:rPr>
          <w:i/>
          <w:sz w:val="18"/>
        </w:rPr>
        <w:t>and</w:t>
      </w:r>
      <w:r>
        <w:rPr>
          <w:i/>
          <w:spacing w:val="-5"/>
          <w:sz w:val="18"/>
        </w:rPr>
        <w:t> </w:t>
      </w:r>
      <w:r>
        <w:rPr>
          <w:i/>
          <w:sz w:val="18"/>
        </w:rPr>
        <w:t>others</w:t>
      </w:r>
      <w:r>
        <w:rPr>
          <w:i/>
          <w:spacing w:val="-4"/>
          <w:sz w:val="18"/>
        </w:rPr>
        <w:t> </w:t>
      </w:r>
      <w:r>
        <w:rPr>
          <w:i/>
          <w:sz w:val="18"/>
        </w:rPr>
        <w:t>for</w:t>
      </w:r>
      <w:r>
        <w:rPr>
          <w:i/>
          <w:spacing w:val="-4"/>
          <w:sz w:val="18"/>
        </w:rPr>
        <w:t> </w:t>
      </w:r>
      <w:r>
        <w:rPr>
          <w:i/>
          <w:sz w:val="18"/>
        </w:rPr>
        <w:t>Judicial</w:t>
      </w:r>
      <w:r>
        <w:rPr>
          <w:i/>
          <w:spacing w:val="-5"/>
          <w:sz w:val="18"/>
        </w:rPr>
        <w:t> </w:t>
      </w:r>
      <w:r>
        <w:rPr>
          <w:i/>
          <w:sz w:val="18"/>
        </w:rPr>
        <w:t>Review</w:t>
      </w:r>
      <w:r>
        <w:rPr>
          <w:i/>
          <w:spacing w:val="-4"/>
          <w:sz w:val="18"/>
        </w:rPr>
        <w:t> </w:t>
      </w:r>
      <w:r>
        <w:rPr>
          <w:sz w:val="18"/>
        </w:rPr>
        <w:t>[2024]</w:t>
      </w:r>
      <w:r>
        <w:rPr>
          <w:spacing w:val="-4"/>
          <w:sz w:val="18"/>
        </w:rPr>
        <w:t> </w:t>
      </w:r>
      <w:r>
        <w:rPr>
          <w:sz w:val="18"/>
        </w:rPr>
        <w:t>NIKB</w:t>
      </w:r>
      <w:r>
        <w:rPr>
          <w:spacing w:val="-4"/>
          <w:sz w:val="18"/>
        </w:rPr>
        <w:t> </w:t>
      </w:r>
      <w:r>
        <w:rPr>
          <w:sz w:val="18"/>
        </w:rPr>
        <w:t>11,</w:t>
      </w:r>
      <w:r>
        <w:rPr>
          <w:spacing w:val="-4"/>
          <w:sz w:val="18"/>
        </w:rPr>
        <w:t> </w:t>
      </w:r>
      <w:r>
        <w:rPr>
          <w:sz w:val="18"/>
        </w:rPr>
        <w:t>at</w:t>
      </w:r>
      <w:r>
        <w:rPr>
          <w:spacing w:val="-4"/>
          <w:sz w:val="18"/>
        </w:rPr>
        <w:t> </w:t>
      </w:r>
      <w:r>
        <w:rPr>
          <w:sz w:val="18"/>
        </w:rPr>
        <w:t>para</w:t>
      </w:r>
      <w:r>
        <w:rPr>
          <w:spacing w:val="-4"/>
          <w:sz w:val="18"/>
        </w:rPr>
        <w:t> 187.</w:t>
      </w:r>
    </w:p>
    <w:p>
      <w:pPr>
        <w:pStyle w:val="ListParagraph"/>
        <w:numPr>
          <w:ilvl w:val="0"/>
          <w:numId w:val="3"/>
        </w:numPr>
        <w:tabs>
          <w:tab w:pos="1853" w:val="left" w:leader="none"/>
        </w:tabs>
        <w:spacing w:line="216" w:lineRule="exact" w:before="0" w:after="0"/>
        <w:ind w:left="1853" w:right="0" w:hanging="720"/>
        <w:jc w:val="left"/>
        <w:rPr>
          <w:sz w:val="18"/>
        </w:rPr>
      </w:pPr>
      <w:r>
        <w:rPr>
          <w:sz w:val="18"/>
        </w:rPr>
        <w:t>Ibid,</w:t>
      </w:r>
      <w:r>
        <w:rPr>
          <w:spacing w:val="-2"/>
          <w:sz w:val="18"/>
        </w:rPr>
        <w:t> </w:t>
      </w:r>
      <w:r>
        <w:rPr>
          <w:sz w:val="18"/>
        </w:rPr>
        <w:t>at</w:t>
      </w:r>
      <w:r>
        <w:rPr>
          <w:spacing w:val="-2"/>
          <w:sz w:val="18"/>
        </w:rPr>
        <w:t> </w:t>
      </w:r>
      <w:r>
        <w:rPr>
          <w:sz w:val="18"/>
        </w:rPr>
        <w:t>paras</w:t>
      </w:r>
      <w:r>
        <w:rPr>
          <w:spacing w:val="-3"/>
          <w:sz w:val="18"/>
        </w:rPr>
        <w:t> </w:t>
      </w:r>
      <w:r>
        <w:rPr>
          <w:sz w:val="18"/>
        </w:rPr>
        <w:t>608</w:t>
      </w:r>
      <w:r>
        <w:rPr>
          <w:spacing w:val="-2"/>
          <w:sz w:val="18"/>
        </w:rPr>
        <w:t> </w:t>
      </w:r>
      <w:r>
        <w:rPr>
          <w:sz w:val="18"/>
        </w:rPr>
        <w:t>and</w:t>
      </w:r>
      <w:r>
        <w:rPr>
          <w:spacing w:val="-2"/>
          <w:sz w:val="18"/>
        </w:rPr>
        <w:t> </w:t>
      </w:r>
      <w:r>
        <w:rPr>
          <w:spacing w:val="-4"/>
          <w:sz w:val="18"/>
        </w:rPr>
        <w:t>710.</w:t>
      </w:r>
    </w:p>
    <w:p>
      <w:pPr>
        <w:pStyle w:val="ListParagraph"/>
        <w:numPr>
          <w:ilvl w:val="0"/>
          <w:numId w:val="3"/>
        </w:numPr>
        <w:tabs>
          <w:tab w:pos="1853" w:val="left" w:leader="none"/>
        </w:tabs>
        <w:spacing w:line="216" w:lineRule="exact" w:before="0" w:after="0"/>
        <w:ind w:left="1853" w:right="0" w:hanging="720"/>
        <w:jc w:val="left"/>
        <w:rPr>
          <w:sz w:val="18"/>
        </w:rPr>
      </w:pPr>
      <w:r>
        <w:rPr>
          <w:sz w:val="18"/>
        </w:rPr>
        <w:t>Ibid,</w:t>
      </w:r>
      <w:r>
        <w:rPr>
          <w:spacing w:val="-4"/>
          <w:sz w:val="18"/>
        </w:rPr>
        <w:t> </w:t>
      </w:r>
      <w:r>
        <w:rPr>
          <w:sz w:val="18"/>
        </w:rPr>
        <w:t>at</w:t>
      </w:r>
      <w:r>
        <w:rPr>
          <w:spacing w:val="-4"/>
          <w:sz w:val="18"/>
        </w:rPr>
        <w:t> </w:t>
      </w:r>
      <w:r>
        <w:rPr>
          <w:sz w:val="18"/>
        </w:rPr>
        <w:t>paras</w:t>
      </w:r>
      <w:r>
        <w:rPr>
          <w:spacing w:val="-4"/>
          <w:sz w:val="18"/>
        </w:rPr>
        <w:t> </w:t>
      </w:r>
      <w:r>
        <w:rPr>
          <w:sz w:val="18"/>
        </w:rPr>
        <w:t>533-</w:t>
      </w:r>
      <w:r>
        <w:rPr>
          <w:spacing w:val="-4"/>
          <w:sz w:val="18"/>
        </w:rPr>
        <w:t>535.</w:t>
      </w:r>
    </w:p>
    <w:p>
      <w:pPr>
        <w:pStyle w:val="ListParagraph"/>
        <w:numPr>
          <w:ilvl w:val="0"/>
          <w:numId w:val="3"/>
        </w:numPr>
        <w:tabs>
          <w:tab w:pos="1853" w:val="left" w:leader="none"/>
        </w:tabs>
        <w:spacing w:line="216"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para</w:t>
      </w:r>
      <w:r>
        <w:rPr>
          <w:spacing w:val="-2"/>
          <w:sz w:val="18"/>
        </w:rPr>
        <w:t> </w:t>
      </w:r>
      <w:r>
        <w:rPr>
          <w:spacing w:val="-4"/>
          <w:sz w:val="18"/>
        </w:rPr>
        <w:t>561.</w:t>
      </w:r>
    </w:p>
    <w:p>
      <w:pPr>
        <w:pStyle w:val="ListParagraph"/>
        <w:numPr>
          <w:ilvl w:val="0"/>
          <w:numId w:val="3"/>
        </w:numPr>
        <w:tabs>
          <w:tab w:pos="1853" w:val="left" w:leader="none"/>
        </w:tabs>
        <w:spacing w:line="216" w:lineRule="exact" w:before="0" w:after="0"/>
        <w:ind w:left="1853" w:right="0" w:hanging="720"/>
        <w:jc w:val="left"/>
        <w:rPr>
          <w:sz w:val="18"/>
        </w:rPr>
      </w:pPr>
      <w:r>
        <w:rPr>
          <w:sz w:val="18"/>
        </w:rPr>
        <w:t>Ibid,</w:t>
      </w:r>
      <w:r>
        <w:rPr>
          <w:spacing w:val="-2"/>
          <w:sz w:val="18"/>
        </w:rPr>
        <w:t> </w:t>
      </w:r>
      <w:r>
        <w:rPr>
          <w:sz w:val="18"/>
        </w:rPr>
        <w:t>at</w:t>
      </w:r>
      <w:r>
        <w:rPr>
          <w:spacing w:val="-2"/>
          <w:sz w:val="18"/>
        </w:rPr>
        <w:t> </w:t>
      </w:r>
      <w:r>
        <w:rPr>
          <w:sz w:val="18"/>
        </w:rPr>
        <w:t>paras</w:t>
      </w:r>
      <w:r>
        <w:rPr>
          <w:spacing w:val="-3"/>
          <w:sz w:val="18"/>
        </w:rPr>
        <w:t> </w:t>
      </w:r>
      <w:r>
        <w:rPr>
          <w:sz w:val="18"/>
        </w:rPr>
        <w:t>554</w:t>
      </w:r>
      <w:r>
        <w:rPr>
          <w:spacing w:val="-2"/>
          <w:sz w:val="18"/>
        </w:rPr>
        <w:t> </w:t>
      </w:r>
      <w:r>
        <w:rPr>
          <w:sz w:val="18"/>
        </w:rPr>
        <w:t>and</w:t>
      </w:r>
      <w:r>
        <w:rPr>
          <w:spacing w:val="-2"/>
          <w:sz w:val="18"/>
        </w:rPr>
        <w:t> </w:t>
      </w:r>
      <w:r>
        <w:rPr>
          <w:spacing w:val="-4"/>
          <w:sz w:val="18"/>
        </w:rPr>
        <w:t>582.</w:t>
      </w:r>
    </w:p>
    <w:p>
      <w:pPr>
        <w:pStyle w:val="ListParagraph"/>
        <w:numPr>
          <w:ilvl w:val="0"/>
          <w:numId w:val="3"/>
        </w:numPr>
        <w:tabs>
          <w:tab w:pos="1853" w:val="left" w:leader="none"/>
        </w:tabs>
        <w:spacing w:line="235" w:lineRule="auto" w:before="2" w:after="0"/>
        <w:ind w:left="1853" w:right="1196" w:hanging="720"/>
        <w:jc w:val="left"/>
        <w:rPr>
          <w:sz w:val="18"/>
        </w:rPr>
      </w:pPr>
      <w:r>
        <w:rPr>
          <w:sz w:val="18"/>
        </w:rPr>
        <w:t>Quoting De Smith’s Judicial Review (9</w:t>
      </w:r>
      <w:r>
        <w:rPr>
          <w:sz w:val="18"/>
          <w:vertAlign w:val="superscript"/>
        </w:rPr>
        <w:t>th</w:t>
      </w:r>
      <w:r>
        <w:rPr>
          <w:sz w:val="18"/>
          <w:vertAlign w:val="baseline"/>
        </w:rPr>
        <w:t> Ed, 2023, at para 14.166) at para 586; see also </w:t>
      </w:r>
      <w:r>
        <w:rPr>
          <w:i/>
          <w:sz w:val="18"/>
          <w:vertAlign w:val="baseline"/>
        </w:rPr>
        <w:t>In the matter of an application by</w:t>
      </w:r>
      <w:r>
        <w:rPr>
          <w:i/>
          <w:sz w:val="18"/>
          <w:vertAlign w:val="baseline"/>
        </w:rPr>
        <w:t> Martina</w:t>
      </w:r>
      <w:r>
        <w:rPr>
          <w:i/>
          <w:spacing w:val="-3"/>
          <w:sz w:val="18"/>
          <w:vertAlign w:val="baseline"/>
        </w:rPr>
        <w:t> </w:t>
      </w:r>
      <w:r>
        <w:rPr>
          <w:i/>
          <w:sz w:val="18"/>
          <w:vertAlign w:val="baseline"/>
        </w:rPr>
        <w:t>Dillon</w:t>
      </w:r>
      <w:r>
        <w:rPr>
          <w:i/>
          <w:spacing w:val="-3"/>
          <w:sz w:val="18"/>
          <w:vertAlign w:val="baseline"/>
        </w:rPr>
        <w:t> </w:t>
      </w:r>
      <w:r>
        <w:rPr>
          <w:i/>
          <w:sz w:val="18"/>
          <w:vertAlign w:val="baseline"/>
        </w:rPr>
        <w:t>and</w:t>
      </w:r>
      <w:r>
        <w:rPr>
          <w:i/>
          <w:spacing w:val="-3"/>
          <w:sz w:val="18"/>
          <w:vertAlign w:val="baseline"/>
        </w:rPr>
        <w:t> </w:t>
      </w:r>
      <w:r>
        <w:rPr>
          <w:i/>
          <w:sz w:val="18"/>
          <w:vertAlign w:val="baseline"/>
        </w:rPr>
        <w:t>others</w:t>
      </w:r>
      <w:r>
        <w:rPr>
          <w:i/>
          <w:spacing w:val="-3"/>
          <w:sz w:val="18"/>
          <w:vertAlign w:val="baseline"/>
        </w:rPr>
        <w:t> </w:t>
      </w:r>
      <w:r>
        <w:rPr>
          <w:i/>
          <w:sz w:val="18"/>
          <w:vertAlign w:val="baseline"/>
        </w:rPr>
        <w:t>for</w:t>
      </w:r>
      <w:r>
        <w:rPr>
          <w:i/>
          <w:spacing w:val="-2"/>
          <w:sz w:val="18"/>
          <w:vertAlign w:val="baseline"/>
        </w:rPr>
        <w:t> </w:t>
      </w:r>
      <w:r>
        <w:rPr>
          <w:i/>
          <w:sz w:val="18"/>
          <w:vertAlign w:val="baseline"/>
        </w:rPr>
        <w:t>Judicial</w:t>
      </w:r>
      <w:r>
        <w:rPr>
          <w:i/>
          <w:spacing w:val="-3"/>
          <w:sz w:val="18"/>
          <w:vertAlign w:val="baseline"/>
        </w:rPr>
        <w:t> </w:t>
      </w:r>
      <w:r>
        <w:rPr>
          <w:i/>
          <w:sz w:val="18"/>
          <w:vertAlign w:val="baseline"/>
        </w:rPr>
        <w:t>Review</w:t>
      </w:r>
      <w:r>
        <w:rPr>
          <w:i/>
          <w:spacing w:val="-2"/>
          <w:sz w:val="18"/>
          <w:vertAlign w:val="baseline"/>
        </w:rPr>
        <w:t> </w:t>
      </w:r>
      <w:r>
        <w:rPr>
          <w:sz w:val="18"/>
          <w:vertAlign w:val="baseline"/>
        </w:rPr>
        <w:t>[2024]</w:t>
      </w:r>
      <w:r>
        <w:rPr>
          <w:spacing w:val="-2"/>
          <w:sz w:val="18"/>
          <w:vertAlign w:val="baseline"/>
        </w:rPr>
        <w:t> </w:t>
      </w:r>
      <w:r>
        <w:rPr>
          <w:sz w:val="18"/>
          <w:vertAlign w:val="baseline"/>
        </w:rPr>
        <w:t>NIKB</w:t>
      </w:r>
      <w:r>
        <w:rPr>
          <w:spacing w:val="-2"/>
          <w:sz w:val="18"/>
          <w:vertAlign w:val="baseline"/>
        </w:rPr>
        <w:t> </w:t>
      </w:r>
      <w:r>
        <w:rPr>
          <w:sz w:val="18"/>
          <w:vertAlign w:val="baseline"/>
        </w:rPr>
        <w:t>11,</w:t>
      </w:r>
      <w:r>
        <w:rPr>
          <w:spacing w:val="-2"/>
          <w:sz w:val="18"/>
          <w:vertAlign w:val="baseline"/>
        </w:rPr>
        <w:t> </w:t>
      </w:r>
      <w:r>
        <w:rPr>
          <w:sz w:val="18"/>
          <w:vertAlign w:val="baseline"/>
        </w:rPr>
        <w:t>at</w:t>
      </w:r>
      <w:r>
        <w:rPr>
          <w:spacing w:val="-2"/>
          <w:sz w:val="18"/>
          <w:vertAlign w:val="baseline"/>
        </w:rPr>
        <w:t> </w:t>
      </w:r>
      <w:r>
        <w:rPr>
          <w:sz w:val="18"/>
          <w:vertAlign w:val="baseline"/>
        </w:rPr>
        <w:t>paras</w:t>
      </w:r>
      <w:r>
        <w:rPr>
          <w:spacing w:val="-3"/>
          <w:sz w:val="18"/>
          <w:vertAlign w:val="baseline"/>
        </w:rPr>
        <w:t> </w:t>
      </w:r>
      <w:r>
        <w:rPr>
          <w:sz w:val="18"/>
          <w:vertAlign w:val="baseline"/>
        </w:rPr>
        <w:t>527,</w:t>
      </w:r>
      <w:r>
        <w:rPr>
          <w:spacing w:val="-2"/>
          <w:sz w:val="18"/>
          <w:vertAlign w:val="baseline"/>
        </w:rPr>
        <w:t> </w:t>
      </w:r>
      <w:r>
        <w:rPr>
          <w:sz w:val="18"/>
          <w:vertAlign w:val="baseline"/>
        </w:rPr>
        <w:t>608,</w:t>
      </w:r>
      <w:r>
        <w:rPr>
          <w:spacing w:val="-2"/>
          <w:sz w:val="18"/>
          <w:vertAlign w:val="baseline"/>
        </w:rPr>
        <w:t> </w:t>
      </w:r>
      <w:r>
        <w:rPr>
          <w:sz w:val="18"/>
          <w:vertAlign w:val="baseline"/>
        </w:rPr>
        <w:t>613</w:t>
      </w:r>
      <w:r>
        <w:rPr>
          <w:spacing w:val="-2"/>
          <w:sz w:val="18"/>
          <w:vertAlign w:val="baseline"/>
        </w:rPr>
        <w:t> </w:t>
      </w:r>
      <w:r>
        <w:rPr>
          <w:sz w:val="18"/>
          <w:vertAlign w:val="baseline"/>
        </w:rPr>
        <w:t>and</w:t>
      </w:r>
      <w:r>
        <w:rPr>
          <w:spacing w:val="-3"/>
          <w:sz w:val="18"/>
          <w:vertAlign w:val="baseline"/>
        </w:rPr>
        <w:t> </w:t>
      </w:r>
      <w:r>
        <w:rPr>
          <w:sz w:val="18"/>
          <w:vertAlign w:val="baseline"/>
        </w:rPr>
        <w:t>710(ii).</w:t>
      </w:r>
      <w:r>
        <w:rPr>
          <w:spacing w:val="35"/>
          <w:sz w:val="18"/>
          <w:vertAlign w:val="baseline"/>
        </w:rPr>
        <w:t> </w:t>
      </w:r>
      <w:r>
        <w:rPr>
          <w:sz w:val="18"/>
          <w:vertAlign w:val="baseline"/>
        </w:rPr>
        <w:t>For</w:t>
      </w:r>
      <w:r>
        <w:rPr>
          <w:spacing w:val="-2"/>
          <w:sz w:val="18"/>
          <w:vertAlign w:val="baseline"/>
        </w:rPr>
        <w:t> </w:t>
      </w:r>
      <w:r>
        <w:rPr>
          <w:sz w:val="18"/>
          <w:vertAlign w:val="baseline"/>
        </w:rPr>
        <w:t>further</w:t>
      </w:r>
      <w:r>
        <w:rPr>
          <w:spacing w:val="-2"/>
          <w:sz w:val="18"/>
          <w:vertAlign w:val="baseline"/>
        </w:rPr>
        <w:t> </w:t>
      </w:r>
      <w:r>
        <w:rPr>
          <w:sz w:val="18"/>
          <w:vertAlign w:val="baseline"/>
        </w:rPr>
        <w:t>discussion</w:t>
      </w:r>
      <w:r>
        <w:rPr>
          <w:spacing w:val="-3"/>
          <w:sz w:val="18"/>
          <w:vertAlign w:val="baseline"/>
        </w:rPr>
        <w:t> </w:t>
      </w:r>
      <w:r>
        <w:rPr>
          <w:sz w:val="18"/>
          <w:vertAlign w:val="baseline"/>
        </w:rPr>
        <w:t>on this point, see Constitutional Issues - Divergence of Rights on the Island of Ireland in Chapter 3.</w:t>
      </w:r>
    </w:p>
    <w:p>
      <w:pPr>
        <w:pStyle w:val="ListParagraph"/>
        <w:numPr>
          <w:ilvl w:val="0"/>
          <w:numId w:val="3"/>
        </w:numPr>
        <w:tabs>
          <w:tab w:pos="1853" w:val="left" w:leader="none"/>
        </w:tabs>
        <w:spacing w:line="235" w:lineRule="auto" w:before="2" w:after="0"/>
        <w:ind w:left="1853" w:right="1246" w:hanging="720"/>
        <w:jc w:val="left"/>
        <w:rPr>
          <w:sz w:val="18"/>
        </w:rPr>
      </w:pPr>
      <w:r>
        <w:rPr>
          <w:sz w:val="18"/>
        </w:rPr>
        <w:t>Sections</w:t>
      </w:r>
      <w:r>
        <w:rPr>
          <w:spacing w:val="-4"/>
          <w:sz w:val="18"/>
        </w:rPr>
        <w:t> </w:t>
      </w:r>
      <w:r>
        <w:rPr>
          <w:sz w:val="18"/>
        </w:rPr>
        <w:t>7(3),</w:t>
      </w:r>
      <w:r>
        <w:rPr>
          <w:spacing w:val="-3"/>
          <w:sz w:val="18"/>
        </w:rPr>
        <w:t> </w:t>
      </w:r>
      <w:r>
        <w:rPr>
          <w:sz w:val="18"/>
        </w:rPr>
        <w:t>8,</w:t>
      </w:r>
      <w:r>
        <w:rPr>
          <w:spacing w:val="-3"/>
          <w:sz w:val="18"/>
        </w:rPr>
        <w:t> </w:t>
      </w:r>
      <w:r>
        <w:rPr>
          <w:sz w:val="18"/>
        </w:rPr>
        <w:t>12,</w:t>
      </w:r>
      <w:r>
        <w:rPr>
          <w:spacing w:val="-3"/>
          <w:sz w:val="18"/>
        </w:rPr>
        <w:t> </w:t>
      </w:r>
      <w:r>
        <w:rPr>
          <w:sz w:val="18"/>
        </w:rPr>
        <w:t>19,</w:t>
      </w:r>
      <w:r>
        <w:rPr>
          <w:spacing w:val="-3"/>
          <w:sz w:val="18"/>
        </w:rPr>
        <w:t> </w:t>
      </w:r>
      <w:r>
        <w:rPr>
          <w:sz w:val="18"/>
        </w:rPr>
        <w:t>20,</w:t>
      </w:r>
      <w:r>
        <w:rPr>
          <w:spacing w:val="-3"/>
          <w:sz w:val="18"/>
        </w:rPr>
        <w:t> </w:t>
      </w:r>
      <w:r>
        <w:rPr>
          <w:sz w:val="18"/>
        </w:rPr>
        <w:t>21,</w:t>
      </w:r>
      <w:r>
        <w:rPr>
          <w:spacing w:val="-3"/>
          <w:sz w:val="18"/>
        </w:rPr>
        <w:t> </w:t>
      </w:r>
      <w:r>
        <w:rPr>
          <w:sz w:val="18"/>
        </w:rPr>
        <w:t>22,</w:t>
      </w:r>
      <w:r>
        <w:rPr>
          <w:spacing w:val="-3"/>
          <w:sz w:val="18"/>
        </w:rPr>
        <w:t> </w:t>
      </w:r>
      <w:r>
        <w:rPr>
          <w:sz w:val="18"/>
        </w:rPr>
        <w:t>39,</w:t>
      </w:r>
      <w:r>
        <w:rPr>
          <w:spacing w:val="-3"/>
          <w:sz w:val="18"/>
        </w:rPr>
        <w:t> </w:t>
      </w:r>
      <w:r>
        <w:rPr>
          <w:sz w:val="18"/>
        </w:rPr>
        <w:t>41</w:t>
      </w:r>
      <w:r>
        <w:rPr>
          <w:spacing w:val="-3"/>
          <w:sz w:val="18"/>
        </w:rPr>
        <w:t> </w:t>
      </w:r>
      <w:r>
        <w:rPr>
          <w:sz w:val="18"/>
        </w:rPr>
        <w:t>and</w:t>
      </w:r>
      <w:r>
        <w:rPr>
          <w:spacing w:val="-4"/>
          <w:sz w:val="18"/>
        </w:rPr>
        <w:t> </w:t>
      </w:r>
      <w:r>
        <w:rPr>
          <w:sz w:val="18"/>
        </w:rPr>
        <w:t>42(1),</w:t>
      </w:r>
      <w:r>
        <w:rPr>
          <w:spacing w:val="-3"/>
          <w:sz w:val="18"/>
        </w:rPr>
        <w:t> </w:t>
      </w:r>
      <w:r>
        <w:rPr>
          <w:sz w:val="18"/>
        </w:rPr>
        <w:t>NI</w:t>
      </w:r>
      <w:r>
        <w:rPr>
          <w:spacing w:val="-3"/>
          <w:sz w:val="18"/>
        </w:rPr>
        <w:t> </w:t>
      </w:r>
      <w:r>
        <w:rPr>
          <w:sz w:val="18"/>
        </w:rPr>
        <w:t>Troubles</w:t>
      </w:r>
      <w:r>
        <w:rPr>
          <w:spacing w:val="-4"/>
          <w:sz w:val="18"/>
        </w:rPr>
        <w:t> </w:t>
      </w:r>
      <w:r>
        <w:rPr>
          <w:sz w:val="18"/>
        </w:rPr>
        <w:t>(Legacy</w:t>
      </w:r>
      <w:r>
        <w:rPr>
          <w:spacing w:val="-3"/>
          <w:sz w:val="18"/>
        </w:rPr>
        <w:t> </w:t>
      </w:r>
      <w:r>
        <w:rPr>
          <w:sz w:val="18"/>
        </w:rPr>
        <w:t>and</w:t>
      </w:r>
      <w:r>
        <w:rPr>
          <w:spacing w:val="-4"/>
          <w:sz w:val="18"/>
        </w:rPr>
        <w:t> </w:t>
      </w:r>
      <w:r>
        <w:rPr>
          <w:sz w:val="18"/>
        </w:rPr>
        <w:t>Reconciliation)</w:t>
      </w:r>
      <w:r>
        <w:rPr>
          <w:spacing w:val="-4"/>
          <w:sz w:val="18"/>
        </w:rPr>
        <w:t> </w:t>
      </w:r>
      <w:r>
        <w:rPr>
          <w:sz w:val="18"/>
        </w:rPr>
        <w:t>Act</w:t>
      </w:r>
      <w:r>
        <w:rPr>
          <w:spacing w:val="-3"/>
          <w:sz w:val="18"/>
        </w:rPr>
        <w:t> </w:t>
      </w:r>
      <w:r>
        <w:rPr>
          <w:sz w:val="18"/>
        </w:rPr>
        <w:t>2023.</w:t>
      </w:r>
      <w:r>
        <w:rPr>
          <w:spacing w:val="-5"/>
          <w:sz w:val="18"/>
        </w:rPr>
        <w:t> </w:t>
      </w:r>
      <w:r>
        <w:rPr>
          <w:i/>
          <w:sz w:val="18"/>
        </w:rPr>
        <w:t>In</w:t>
      </w:r>
      <w:r>
        <w:rPr>
          <w:i/>
          <w:spacing w:val="-4"/>
          <w:sz w:val="18"/>
        </w:rPr>
        <w:t> </w:t>
      </w:r>
      <w:r>
        <w:rPr>
          <w:i/>
          <w:sz w:val="18"/>
        </w:rPr>
        <w:t>the</w:t>
      </w:r>
      <w:r>
        <w:rPr>
          <w:i/>
          <w:spacing w:val="-3"/>
          <w:sz w:val="18"/>
        </w:rPr>
        <w:t> </w:t>
      </w:r>
      <w:r>
        <w:rPr>
          <w:i/>
          <w:sz w:val="18"/>
        </w:rPr>
        <w:t>matter</w:t>
      </w:r>
      <w:r>
        <w:rPr>
          <w:i/>
          <w:spacing w:val="-3"/>
          <w:sz w:val="18"/>
        </w:rPr>
        <w:t> </w:t>
      </w:r>
      <w:r>
        <w:rPr>
          <w:i/>
          <w:sz w:val="18"/>
        </w:rPr>
        <w:t>of</w:t>
      </w:r>
      <w:r>
        <w:rPr>
          <w:i/>
          <w:spacing w:val="-4"/>
          <w:sz w:val="18"/>
        </w:rPr>
        <w:t> </w:t>
      </w:r>
      <w:r>
        <w:rPr>
          <w:i/>
          <w:sz w:val="18"/>
        </w:rPr>
        <w:t>an</w:t>
      </w:r>
      <w:r>
        <w:rPr>
          <w:i/>
          <w:sz w:val="18"/>
        </w:rPr>
        <w:t> application by Martina Dillon and others for Judicial Review </w:t>
      </w:r>
      <w:r>
        <w:rPr>
          <w:sz w:val="18"/>
        </w:rPr>
        <w:t>[2024] NIKB 11, at para 710(ii).</w:t>
      </w:r>
    </w:p>
    <w:p>
      <w:pPr>
        <w:spacing w:after="0" w:line="235" w:lineRule="auto"/>
        <w:jc w:val="left"/>
        <w:rPr>
          <w:sz w:val="18"/>
        </w:rPr>
        <w:sectPr>
          <w:pgSz w:w="11910" w:h="16840"/>
          <w:pgMar w:header="496" w:footer="367" w:top="1220" w:bottom="560" w:left="0" w:right="0"/>
        </w:sectPr>
      </w:pPr>
    </w:p>
    <w:p>
      <w:pPr>
        <w:pStyle w:val="BodyText"/>
        <w:spacing w:before="198"/>
      </w:pPr>
    </w:p>
    <w:p>
      <w:pPr>
        <w:pStyle w:val="ListParagraph"/>
        <w:numPr>
          <w:ilvl w:val="1"/>
          <w:numId w:val="5"/>
        </w:numPr>
        <w:tabs>
          <w:tab w:pos="1853" w:val="left" w:leader="none"/>
        </w:tabs>
        <w:spacing w:line="225" w:lineRule="auto" w:before="0" w:after="0"/>
        <w:ind w:left="1853" w:right="1289" w:hanging="720"/>
        <w:jc w:val="left"/>
        <w:rPr>
          <w:sz w:val="28"/>
        </w:rPr>
      </w:pPr>
      <w:bookmarkStart w:name="_bookmark6" w:id="14"/>
      <w:bookmarkEnd w:id="14"/>
      <w:r>
        <w:rPr/>
      </w:r>
      <w:r>
        <w:rPr>
          <w:sz w:val="28"/>
        </w:rPr>
        <w:t>In January 2024, the NIHRC brought a legal challenge about the compliance of the Illegal Migration Act 2023 with the ECHR and Windsor Framework Article 2.</w:t>
      </w:r>
      <w:r>
        <w:rPr>
          <w:spacing w:val="40"/>
          <w:sz w:val="28"/>
        </w:rPr>
        <w:t> </w:t>
      </w:r>
      <w:r>
        <w:rPr>
          <w:sz w:val="28"/>
        </w:rPr>
        <w:t>In March 2024, the NI High Court heard a further challenge to the Illegal</w:t>
      </w:r>
      <w:r>
        <w:rPr>
          <w:spacing w:val="-4"/>
          <w:sz w:val="28"/>
        </w:rPr>
        <w:t> </w:t>
      </w:r>
      <w:r>
        <w:rPr>
          <w:sz w:val="28"/>
        </w:rPr>
        <w:t>Migration</w:t>
      </w:r>
      <w:r>
        <w:rPr>
          <w:spacing w:val="-4"/>
          <w:sz w:val="28"/>
        </w:rPr>
        <w:t> </w:t>
      </w:r>
      <w:r>
        <w:rPr>
          <w:sz w:val="28"/>
        </w:rPr>
        <w:t>Act</w:t>
      </w:r>
      <w:r>
        <w:rPr>
          <w:spacing w:val="-3"/>
          <w:sz w:val="28"/>
        </w:rPr>
        <w:t> </w:t>
      </w:r>
      <w:r>
        <w:rPr>
          <w:sz w:val="28"/>
        </w:rPr>
        <w:t>in</w:t>
      </w:r>
      <w:r>
        <w:rPr>
          <w:spacing w:val="-4"/>
          <w:sz w:val="28"/>
        </w:rPr>
        <w:t> </w:t>
      </w:r>
      <w:r>
        <w:rPr>
          <w:sz w:val="28"/>
        </w:rPr>
        <w:t>respect</w:t>
      </w:r>
      <w:r>
        <w:rPr>
          <w:spacing w:val="-3"/>
          <w:sz w:val="28"/>
        </w:rPr>
        <w:t> </w:t>
      </w:r>
      <w:r>
        <w:rPr>
          <w:sz w:val="28"/>
        </w:rPr>
        <w:t>of</w:t>
      </w:r>
      <w:r>
        <w:rPr>
          <w:spacing w:val="-4"/>
          <w:sz w:val="28"/>
        </w:rPr>
        <w:t> </w:t>
      </w:r>
      <w:r>
        <w:rPr>
          <w:sz w:val="28"/>
        </w:rPr>
        <w:t>an</w:t>
      </w:r>
      <w:r>
        <w:rPr>
          <w:spacing w:val="-4"/>
          <w:sz w:val="28"/>
        </w:rPr>
        <w:t> </w:t>
      </w:r>
      <w:r>
        <w:rPr>
          <w:sz w:val="28"/>
        </w:rPr>
        <w:t>unaccompanied</w:t>
      </w:r>
      <w:r>
        <w:rPr>
          <w:spacing w:val="-4"/>
          <w:sz w:val="28"/>
        </w:rPr>
        <w:t> </w:t>
      </w:r>
      <w:r>
        <w:rPr>
          <w:sz w:val="28"/>
        </w:rPr>
        <w:t>minor.</w:t>
      </w:r>
      <w:r>
        <w:rPr>
          <w:sz w:val="28"/>
          <w:vertAlign w:val="superscript"/>
        </w:rPr>
        <w:t>33</w:t>
      </w:r>
      <w:r>
        <w:rPr>
          <w:spacing w:val="-4"/>
          <w:sz w:val="28"/>
          <w:vertAlign w:val="baseline"/>
        </w:rPr>
        <w:t> </w:t>
      </w:r>
      <w:r>
        <w:rPr>
          <w:sz w:val="28"/>
          <w:vertAlign w:val="baseline"/>
        </w:rPr>
        <w:t>As</w:t>
      </w:r>
      <w:r>
        <w:rPr>
          <w:spacing w:val="-4"/>
          <w:sz w:val="28"/>
          <w:vertAlign w:val="baseline"/>
        </w:rPr>
        <w:t> </w:t>
      </w:r>
      <w:r>
        <w:rPr>
          <w:sz w:val="28"/>
          <w:vertAlign w:val="baseline"/>
        </w:rPr>
        <w:t>of</w:t>
      </w:r>
      <w:r>
        <w:rPr>
          <w:spacing w:val="-4"/>
          <w:sz w:val="28"/>
          <w:vertAlign w:val="baseline"/>
        </w:rPr>
        <w:t> </w:t>
      </w:r>
      <w:r>
        <w:rPr>
          <w:sz w:val="28"/>
          <w:vertAlign w:val="baseline"/>
        </w:rPr>
        <w:t>31</w:t>
      </w:r>
      <w:r>
        <w:rPr>
          <w:spacing w:val="-3"/>
          <w:sz w:val="28"/>
          <w:vertAlign w:val="baseline"/>
        </w:rPr>
        <w:t> </w:t>
      </w:r>
      <w:r>
        <w:rPr>
          <w:sz w:val="28"/>
          <w:vertAlign w:val="baseline"/>
        </w:rPr>
        <w:t>March 2024, the judgment in both challenges was awaited.</w:t>
      </w:r>
      <w:r>
        <w:rPr>
          <w:sz w:val="28"/>
          <w:vertAlign w:val="superscript"/>
        </w:rPr>
        <w:t>34</w:t>
      </w:r>
      <w:r>
        <w:rPr>
          <w:spacing w:val="40"/>
          <w:sz w:val="28"/>
          <w:vertAlign w:val="baseline"/>
        </w:rPr>
        <w:t> </w:t>
      </w:r>
      <w:r>
        <w:rPr>
          <w:sz w:val="28"/>
          <w:vertAlign w:val="baseline"/>
        </w:rPr>
        <w:t>For further discussion of</w:t>
      </w:r>
      <w:r>
        <w:rPr>
          <w:spacing w:val="-6"/>
          <w:sz w:val="28"/>
          <w:vertAlign w:val="baseline"/>
        </w:rPr>
        <w:t> </w:t>
      </w:r>
      <w:r>
        <w:rPr>
          <w:sz w:val="28"/>
          <w:vertAlign w:val="baseline"/>
        </w:rPr>
        <w:t>Windsor</w:t>
      </w:r>
      <w:r>
        <w:rPr>
          <w:spacing w:val="-5"/>
          <w:sz w:val="28"/>
          <w:vertAlign w:val="baseline"/>
        </w:rPr>
        <w:t> </w:t>
      </w:r>
      <w:r>
        <w:rPr>
          <w:sz w:val="28"/>
          <w:vertAlign w:val="baseline"/>
        </w:rPr>
        <w:t>Framework</w:t>
      </w:r>
      <w:r>
        <w:rPr>
          <w:spacing w:val="-5"/>
          <w:sz w:val="28"/>
          <w:vertAlign w:val="baseline"/>
        </w:rPr>
        <w:t> </w:t>
      </w:r>
      <w:r>
        <w:rPr>
          <w:sz w:val="28"/>
          <w:vertAlign w:val="baseline"/>
        </w:rPr>
        <w:t>Article</w:t>
      </w:r>
      <w:r>
        <w:rPr>
          <w:spacing w:val="-5"/>
          <w:sz w:val="28"/>
          <w:vertAlign w:val="baseline"/>
        </w:rPr>
        <w:t> </w:t>
      </w:r>
      <w:r>
        <w:rPr>
          <w:sz w:val="28"/>
          <w:vertAlign w:val="baseline"/>
        </w:rPr>
        <w:t>2</w:t>
      </w:r>
      <w:r>
        <w:rPr>
          <w:spacing w:val="-5"/>
          <w:sz w:val="28"/>
          <w:vertAlign w:val="baseline"/>
        </w:rPr>
        <w:t> </w:t>
      </w:r>
      <w:r>
        <w:rPr>
          <w:sz w:val="28"/>
          <w:vertAlign w:val="baseline"/>
        </w:rPr>
        <w:t>and</w:t>
      </w:r>
      <w:r>
        <w:rPr>
          <w:spacing w:val="-6"/>
          <w:sz w:val="28"/>
          <w:vertAlign w:val="baseline"/>
        </w:rPr>
        <w:t> </w:t>
      </w:r>
      <w:r>
        <w:rPr>
          <w:sz w:val="28"/>
          <w:vertAlign w:val="baseline"/>
        </w:rPr>
        <w:t>the</w:t>
      </w:r>
      <w:r>
        <w:rPr>
          <w:spacing w:val="-5"/>
          <w:sz w:val="28"/>
          <w:vertAlign w:val="baseline"/>
        </w:rPr>
        <w:t> </w:t>
      </w:r>
      <w:r>
        <w:rPr>
          <w:sz w:val="28"/>
          <w:vertAlign w:val="baseline"/>
        </w:rPr>
        <w:t>Illegal</w:t>
      </w:r>
      <w:r>
        <w:rPr>
          <w:spacing w:val="-6"/>
          <w:sz w:val="28"/>
          <w:vertAlign w:val="baseline"/>
        </w:rPr>
        <w:t> </w:t>
      </w:r>
      <w:r>
        <w:rPr>
          <w:sz w:val="28"/>
          <w:vertAlign w:val="baseline"/>
        </w:rPr>
        <w:t>Migration</w:t>
      </w:r>
      <w:r>
        <w:rPr>
          <w:spacing w:val="-6"/>
          <w:sz w:val="28"/>
          <w:vertAlign w:val="baseline"/>
        </w:rPr>
        <w:t> </w:t>
      </w:r>
      <w:r>
        <w:rPr>
          <w:sz w:val="28"/>
          <w:vertAlign w:val="baseline"/>
        </w:rPr>
        <w:t>Act,</w:t>
      </w:r>
      <w:r>
        <w:rPr>
          <w:spacing w:val="-5"/>
          <w:sz w:val="28"/>
          <w:vertAlign w:val="baseline"/>
        </w:rPr>
        <w:t> </w:t>
      </w:r>
      <w:r>
        <w:rPr>
          <w:sz w:val="28"/>
          <w:vertAlign w:val="baseline"/>
        </w:rPr>
        <w:t>see</w:t>
      </w:r>
      <w:r>
        <w:rPr>
          <w:spacing w:val="-5"/>
          <w:sz w:val="28"/>
          <w:vertAlign w:val="baseline"/>
        </w:rPr>
        <w:t> </w:t>
      </w:r>
      <w:r>
        <w:rPr>
          <w:sz w:val="28"/>
          <w:vertAlign w:val="baseline"/>
        </w:rPr>
        <w:t>sections</w:t>
      </w:r>
      <w:r>
        <w:rPr>
          <w:spacing w:val="-6"/>
          <w:sz w:val="28"/>
          <w:vertAlign w:val="baseline"/>
        </w:rPr>
        <w:t> </w:t>
      </w:r>
      <w:r>
        <w:rPr>
          <w:sz w:val="28"/>
          <w:vertAlign w:val="baseline"/>
        </w:rPr>
        <w:t>on</w:t>
      </w:r>
    </w:p>
    <w:p>
      <w:pPr>
        <w:pStyle w:val="BodyText"/>
        <w:spacing w:line="225" w:lineRule="auto"/>
        <w:ind w:left="1853" w:right="1171"/>
      </w:pPr>
      <w:r>
        <w:rPr/>
        <w:t>Victims’</w:t>
      </w:r>
      <w:r>
        <w:rPr>
          <w:spacing w:val="-8"/>
        </w:rPr>
        <w:t> </w:t>
      </w:r>
      <w:r>
        <w:rPr/>
        <w:t>Rights</w:t>
      </w:r>
      <w:r>
        <w:rPr>
          <w:spacing w:val="-9"/>
        </w:rPr>
        <w:t> </w:t>
      </w:r>
      <w:r>
        <w:rPr/>
        <w:t>-</w:t>
      </w:r>
      <w:r>
        <w:rPr>
          <w:spacing w:val="-9"/>
        </w:rPr>
        <w:t> </w:t>
      </w:r>
      <w:r>
        <w:rPr/>
        <w:t>Modern</w:t>
      </w:r>
      <w:r>
        <w:rPr>
          <w:spacing w:val="-9"/>
        </w:rPr>
        <w:t> </w:t>
      </w:r>
      <w:r>
        <w:rPr/>
        <w:t>Slavery</w:t>
      </w:r>
      <w:r>
        <w:rPr>
          <w:spacing w:val="-8"/>
        </w:rPr>
        <w:t> </w:t>
      </w:r>
      <w:r>
        <w:rPr/>
        <w:t>and</w:t>
      </w:r>
      <w:r>
        <w:rPr>
          <w:spacing w:val="-9"/>
        </w:rPr>
        <w:t> </w:t>
      </w:r>
      <w:r>
        <w:rPr/>
        <w:t>Human</w:t>
      </w:r>
      <w:r>
        <w:rPr>
          <w:spacing w:val="-9"/>
        </w:rPr>
        <w:t> </w:t>
      </w:r>
      <w:r>
        <w:rPr/>
        <w:t>Trafficking</w:t>
      </w:r>
      <w:r>
        <w:rPr>
          <w:spacing w:val="-8"/>
        </w:rPr>
        <w:t> </w:t>
      </w:r>
      <w:r>
        <w:rPr/>
        <w:t>and</w:t>
      </w:r>
      <w:r>
        <w:rPr>
          <w:spacing w:val="-9"/>
        </w:rPr>
        <w:t> </w:t>
      </w:r>
      <w:r>
        <w:rPr/>
        <w:t>Migrants</w:t>
      </w:r>
      <w:r>
        <w:rPr>
          <w:spacing w:val="-9"/>
        </w:rPr>
        <w:t> </w:t>
      </w:r>
      <w:r>
        <w:rPr/>
        <w:t>Rights</w:t>
      </w:r>
      <w:r>
        <w:rPr>
          <w:spacing w:val="-9"/>
        </w:rPr>
        <w:t> </w:t>
      </w:r>
      <w:r>
        <w:rPr/>
        <w:t>in Chapter 3.</w:t>
      </w:r>
    </w:p>
    <w:p>
      <w:pPr>
        <w:pStyle w:val="BodyText"/>
        <w:spacing w:before="72"/>
      </w:pPr>
    </w:p>
    <w:p>
      <w:pPr>
        <w:pStyle w:val="Heading5"/>
        <w:ind w:left="1133" w:firstLine="0"/>
      </w:pPr>
      <w:bookmarkStart w:name="Amendments to the Windsor Framework" w:id="15"/>
      <w:bookmarkEnd w:id="15"/>
      <w:r>
        <w:rPr>
          <w:b w:val="0"/>
        </w:rPr>
      </w:r>
      <w:r>
        <w:rPr>
          <w:color w:val="393B7F"/>
        </w:rPr>
        <w:t>Amendments</w:t>
      </w:r>
      <w:r>
        <w:rPr>
          <w:color w:val="393B7F"/>
          <w:spacing w:val="-4"/>
        </w:rPr>
        <w:t> </w:t>
      </w:r>
      <w:r>
        <w:rPr>
          <w:color w:val="393B7F"/>
        </w:rPr>
        <w:t>to</w:t>
      </w:r>
      <w:r>
        <w:rPr>
          <w:color w:val="393B7F"/>
          <w:spacing w:val="-4"/>
        </w:rPr>
        <w:t> </w:t>
      </w:r>
      <w:r>
        <w:rPr>
          <w:color w:val="393B7F"/>
        </w:rPr>
        <w:t>the</w:t>
      </w:r>
      <w:r>
        <w:rPr>
          <w:color w:val="393B7F"/>
          <w:spacing w:val="-4"/>
        </w:rPr>
        <w:t> </w:t>
      </w:r>
      <w:r>
        <w:rPr>
          <w:color w:val="393B7F"/>
        </w:rPr>
        <w:t>Windsor</w:t>
      </w:r>
      <w:r>
        <w:rPr>
          <w:color w:val="393B7F"/>
          <w:spacing w:val="-4"/>
        </w:rPr>
        <w:t> </w:t>
      </w:r>
      <w:r>
        <w:rPr>
          <w:color w:val="393B7F"/>
          <w:spacing w:val="-2"/>
        </w:rPr>
        <w:t>Framework</w:t>
      </w:r>
    </w:p>
    <w:p>
      <w:pPr>
        <w:pStyle w:val="BodyText"/>
        <w:spacing w:before="93"/>
        <w:rPr>
          <w:b/>
        </w:rPr>
      </w:pPr>
    </w:p>
    <w:p>
      <w:pPr>
        <w:pStyle w:val="ListParagraph"/>
        <w:numPr>
          <w:ilvl w:val="1"/>
          <w:numId w:val="5"/>
        </w:numPr>
        <w:tabs>
          <w:tab w:pos="1853" w:val="left" w:leader="none"/>
        </w:tabs>
        <w:spacing w:line="225" w:lineRule="auto" w:before="0" w:after="0"/>
        <w:ind w:left="1853" w:right="1905" w:hanging="720"/>
        <w:jc w:val="left"/>
        <w:rPr>
          <w:sz w:val="28"/>
        </w:rPr>
      </w:pPr>
      <w:r>
        <w:rPr>
          <w:sz w:val="28"/>
        </w:rPr>
        <w:t>In February 2023, the UK and EU Commission agreed a new way forward on the Protocol.</w:t>
      </w:r>
      <w:r>
        <w:rPr>
          <w:sz w:val="28"/>
          <w:vertAlign w:val="superscript"/>
        </w:rPr>
        <w:t>35</w:t>
      </w:r>
      <w:r>
        <w:rPr>
          <w:sz w:val="28"/>
          <w:vertAlign w:val="baseline"/>
        </w:rPr>
        <w:t> In March 2023, the UK-EU Joint Committee adopted</w:t>
      </w:r>
      <w:r>
        <w:rPr>
          <w:spacing w:val="-6"/>
          <w:sz w:val="28"/>
          <w:vertAlign w:val="baseline"/>
        </w:rPr>
        <w:t> </w:t>
      </w:r>
      <w:r>
        <w:rPr>
          <w:sz w:val="28"/>
          <w:vertAlign w:val="baseline"/>
        </w:rPr>
        <w:t>amendments</w:t>
      </w:r>
      <w:r>
        <w:rPr>
          <w:spacing w:val="-6"/>
          <w:sz w:val="28"/>
          <w:vertAlign w:val="baseline"/>
        </w:rPr>
        <w:t> </w:t>
      </w:r>
      <w:r>
        <w:rPr>
          <w:sz w:val="28"/>
          <w:vertAlign w:val="baseline"/>
        </w:rPr>
        <w:t>to</w:t>
      </w:r>
      <w:r>
        <w:rPr>
          <w:spacing w:val="-6"/>
          <w:sz w:val="28"/>
          <w:vertAlign w:val="baseline"/>
        </w:rPr>
        <w:t> </w:t>
      </w:r>
      <w:r>
        <w:rPr>
          <w:sz w:val="28"/>
          <w:vertAlign w:val="baseline"/>
        </w:rPr>
        <w:t>the</w:t>
      </w:r>
      <w:r>
        <w:rPr>
          <w:spacing w:val="-5"/>
          <w:sz w:val="28"/>
          <w:vertAlign w:val="baseline"/>
        </w:rPr>
        <w:t> </w:t>
      </w:r>
      <w:r>
        <w:rPr>
          <w:sz w:val="28"/>
          <w:vertAlign w:val="baseline"/>
        </w:rPr>
        <w:t>text</w:t>
      </w:r>
      <w:r>
        <w:rPr>
          <w:spacing w:val="-5"/>
          <w:sz w:val="28"/>
          <w:vertAlign w:val="baseline"/>
        </w:rPr>
        <w:t> </w:t>
      </w:r>
      <w:r>
        <w:rPr>
          <w:sz w:val="28"/>
          <w:vertAlign w:val="baseline"/>
        </w:rPr>
        <w:t>of</w:t>
      </w:r>
      <w:r>
        <w:rPr>
          <w:spacing w:val="-6"/>
          <w:sz w:val="28"/>
          <w:vertAlign w:val="baseline"/>
        </w:rPr>
        <w:t> </w:t>
      </w:r>
      <w:r>
        <w:rPr>
          <w:sz w:val="28"/>
          <w:vertAlign w:val="baseline"/>
        </w:rPr>
        <w:t>the</w:t>
      </w:r>
      <w:r>
        <w:rPr>
          <w:spacing w:val="-5"/>
          <w:sz w:val="28"/>
          <w:vertAlign w:val="baseline"/>
        </w:rPr>
        <w:t> </w:t>
      </w:r>
      <w:r>
        <w:rPr>
          <w:sz w:val="28"/>
          <w:vertAlign w:val="baseline"/>
        </w:rPr>
        <w:t>original</w:t>
      </w:r>
      <w:r>
        <w:rPr>
          <w:spacing w:val="-6"/>
          <w:sz w:val="28"/>
          <w:vertAlign w:val="baseline"/>
        </w:rPr>
        <w:t> </w:t>
      </w:r>
      <w:r>
        <w:rPr>
          <w:sz w:val="28"/>
          <w:vertAlign w:val="baseline"/>
        </w:rPr>
        <w:t>Protocol</w:t>
      </w:r>
      <w:r>
        <w:rPr>
          <w:spacing w:val="-6"/>
          <w:sz w:val="28"/>
          <w:vertAlign w:val="baseline"/>
        </w:rPr>
        <w:t> </w:t>
      </w:r>
      <w:r>
        <w:rPr>
          <w:sz w:val="28"/>
          <w:vertAlign w:val="baseline"/>
        </w:rPr>
        <w:t>and</w:t>
      </w:r>
      <w:r>
        <w:rPr>
          <w:spacing w:val="-6"/>
          <w:sz w:val="28"/>
          <w:vertAlign w:val="baseline"/>
        </w:rPr>
        <w:t> </w:t>
      </w:r>
      <w:r>
        <w:rPr>
          <w:sz w:val="28"/>
          <w:vertAlign w:val="baseline"/>
        </w:rPr>
        <w:t>a</w:t>
      </w:r>
      <w:r>
        <w:rPr>
          <w:spacing w:val="-6"/>
          <w:sz w:val="28"/>
          <w:vertAlign w:val="baseline"/>
        </w:rPr>
        <w:t> </w:t>
      </w:r>
      <w:r>
        <w:rPr>
          <w:sz w:val="28"/>
          <w:vertAlign w:val="baseline"/>
        </w:rPr>
        <w:t>series</w:t>
      </w:r>
      <w:r>
        <w:rPr>
          <w:spacing w:val="-6"/>
          <w:sz w:val="28"/>
          <w:vertAlign w:val="baseline"/>
        </w:rPr>
        <w:t> </w:t>
      </w:r>
      <w:r>
        <w:rPr>
          <w:sz w:val="28"/>
          <w:vertAlign w:val="baseline"/>
        </w:rPr>
        <w:t>of</w:t>
      </w:r>
    </w:p>
    <w:p>
      <w:pPr>
        <w:pStyle w:val="BodyText"/>
        <w:spacing w:line="225" w:lineRule="auto"/>
        <w:ind w:left="1853" w:right="1171"/>
      </w:pPr>
      <w:r>
        <w:rPr/>
        <w:t>recommendations and declarations, including that the Protocol would be renamed</w:t>
      </w:r>
      <w:r>
        <w:rPr>
          <w:spacing w:val="-5"/>
        </w:rPr>
        <w:t> </w:t>
      </w:r>
      <w:r>
        <w:rPr/>
        <w:t>the</w:t>
      </w:r>
      <w:r>
        <w:rPr>
          <w:spacing w:val="-5"/>
        </w:rPr>
        <w:t> </w:t>
      </w:r>
      <w:r>
        <w:rPr/>
        <w:t>Windsor</w:t>
      </w:r>
      <w:r>
        <w:rPr>
          <w:spacing w:val="-5"/>
        </w:rPr>
        <w:t> </w:t>
      </w:r>
      <w:r>
        <w:rPr/>
        <w:t>Framework</w:t>
      </w:r>
      <w:r>
        <w:rPr>
          <w:spacing w:val="-5"/>
        </w:rPr>
        <w:t> </w:t>
      </w:r>
      <w:r>
        <w:rPr/>
        <w:t>and</w:t>
      </w:r>
      <w:r>
        <w:rPr>
          <w:spacing w:val="-5"/>
        </w:rPr>
        <w:t> </w:t>
      </w:r>
      <w:r>
        <w:rPr/>
        <w:t>that</w:t>
      </w:r>
      <w:r>
        <w:rPr>
          <w:spacing w:val="-5"/>
        </w:rPr>
        <w:t> </w:t>
      </w:r>
      <w:r>
        <w:rPr/>
        <w:t>Article</w:t>
      </w:r>
      <w:r>
        <w:rPr>
          <w:spacing w:val="-5"/>
        </w:rPr>
        <w:t> </w:t>
      </w:r>
      <w:r>
        <w:rPr/>
        <w:t>13(3)</w:t>
      </w:r>
      <w:r>
        <w:rPr>
          <w:spacing w:val="-5"/>
        </w:rPr>
        <w:t> </w:t>
      </w:r>
      <w:r>
        <w:rPr/>
        <w:t>has</w:t>
      </w:r>
      <w:r>
        <w:rPr>
          <w:spacing w:val="-5"/>
        </w:rPr>
        <w:t> </w:t>
      </w:r>
      <w:r>
        <w:rPr/>
        <w:t>been</w:t>
      </w:r>
      <w:r>
        <w:rPr>
          <w:spacing w:val="-5"/>
        </w:rPr>
        <w:t> </w:t>
      </w:r>
      <w:r>
        <w:rPr/>
        <w:t>amended</w:t>
      </w:r>
      <w:r>
        <w:rPr>
          <w:spacing w:val="-5"/>
        </w:rPr>
        <w:t> </w:t>
      </w:r>
      <w:r>
        <w:rPr/>
        <w:t>as it relates to Annex 2.</w:t>
      </w:r>
      <w:r>
        <w:rPr>
          <w:vertAlign w:val="superscript"/>
        </w:rPr>
        <w:t>36</w:t>
      </w:r>
      <w:r>
        <w:rPr>
          <w:spacing w:val="40"/>
          <w:vertAlign w:val="baseline"/>
        </w:rPr>
        <w:t> </w:t>
      </w:r>
      <w:r>
        <w:rPr>
          <w:vertAlign w:val="baseline"/>
        </w:rPr>
        <w:t>Pursuant to Article 13(3a) of the Windsor Framework, new EU measures which amend or replace those currently listed in the relevant</w:t>
      </w:r>
      <w:r>
        <w:rPr>
          <w:spacing w:val="-1"/>
          <w:vertAlign w:val="baseline"/>
        </w:rPr>
        <w:t> </w:t>
      </w:r>
      <w:r>
        <w:rPr>
          <w:vertAlign w:val="baseline"/>
        </w:rPr>
        <w:t>parts</w:t>
      </w:r>
      <w:r>
        <w:rPr>
          <w:spacing w:val="-2"/>
          <w:vertAlign w:val="baseline"/>
        </w:rPr>
        <w:t> </w:t>
      </w:r>
      <w:r>
        <w:rPr>
          <w:vertAlign w:val="baseline"/>
        </w:rPr>
        <w:t>of</w:t>
      </w:r>
      <w:r>
        <w:rPr>
          <w:spacing w:val="-2"/>
          <w:vertAlign w:val="baseline"/>
        </w:rPr>
        <w:t> </w:t>
      </w:r>
      <w:r>
        <w:rPr>
          <w:vertAlign w:val="baseline"/>
        </w:rPr>
        <w:t>Annex</w:t>
      </w:r>
      <w:r>
        <w:rPr>
          <w:spacing w:val="-2"/>
          <w:vertAlign w:val="baseline"/>
        </w:rPr>
        <w:t> </w:t>
      </w:r>
      <w:r>
        <w:rPr>
          <w:vertAlign w:val="baseline"/>
        </w:rPr>
        <w:t>2</w:t>
      </w:r>
      <w:r>
        <w:rPr>
          <w:spacing w:val="-1"/>
          <w:vertAlign w:val="baseline"/>
        </w:rPr>
        <w:t> </w:t>
      </w:r>
      <w:r>
        <w:rPr>
          <w:vertAlign w:val="baseline"/>
        </w:rPr>
        <w:t>will</w:t>
      </w:r>
      <w:r>
        <w:rPr>
          <w:spacing w:val="-2"/>
          <w:vertAlign w:val="baseline"/>
        </w:rPr>
        <w:t> </w:t>
      </w:r>
      <w:r>
        <w:rPr>
          <w:vertAlign w:val="baseline"/>
        </w:rPr>
        <w:t>no</w:t>
      </w:r>
      <w:r>
        <w:rPr>
          <w:spacing w:val="-2"/>
          <w:vertAlign w:val="baseline"/>
        </w:rPr>
        <w:t> </w:t>
      </w:r>
      <w:r>
        <w:rPr>
          <w:vertAlign w:val="baseline"/>
        </w:rPr>
        <w:t>longer</w:t>
      </w:r>
      <w:r>
        <w:rPr>
          <w:spacing w:val="-1"/>
          <w:vertAlign w:val="baseline"/>
        </w:rPr>
        <w:t> </w:t>
      </w:r>
      <w:r>
        <w:rPr>
          <w:vertAlign w:val="baseline"/>
        </w:rPr>
        <w:t>be</w:t>
      </w:r>
      <w:r>
        <w:rPr>
          <w:spacing w:val="-1"/>
          <w:vertAlign w:val="baseline"/>
        </w:rPr>
        <w:t> </w:t>
      </w:r>
      <w:r>
        <w:rPr>
          <w:vertAlign w:val="baseline"/>
        </w:rPr>
        <w:t>automatically</w:t>
      </w:r>
      <w:r>
        <w:rPr>
          <w:spacing w:val="-1"/>
          <w:vertAlign w:val="baseline"/>
        </w:rPr>
        <w:t> </w:t>
      </w:r>
      <w:r>
        <w:rPr>
          <w:vertAlign w:val="baseline"/>
        </w:rPr>
        <w:t>read</w:t>
      </w:r>
      <w:r>
        <w:rPr>
          <w:spacing w:val="-2"/>
          <w:vertAlign w:val="baseline"/>
        </w:rPr>
        <w:t> </w:t>
      </w:r>
      <w:r>
        <w:rPr>
          <w:vertAlign w:val="baseline"/>
        </w:rPr>
        <w:t>as</w:t>
      </w:r>
      <w:r>
        <w:rPr>
          <w:spacing w:val="-2"/>
          <w:vertAlign w:val="baseline"/>
        </w:rPr>
        <w:t> </w:t>
      </w:r>
      <w:r>
        <w:rPr>
          <w:vertAlign w:val="baseline"/>
        </w:rPr>
        <w:t>‘amended</w:t>
      </w:r>
      <w:r>
        <w:rPr>
          <w:spacing w:val="-2"/>
          <w:vertAlign w:val="baseline"/>
        </w:rPr>
        <w:t> </w:t>
      </w:r>
      <w:r>
        <w:rPr>
          <w:vertAlign w:val="baseline"/>
        </w:rPr>
        <w:t>or replaced’ and will be subject to additional scrutiny by the NI Assembly.</w:t>
      </w:r>
    </w:p>
    <w:p>
      <w:pPr>
        <w:pStyle w:val="Heading6"/>
        <w:spacing w:before="292"/>
        <w:rPr>
          <w:i/>
        </w:rPr>
      </w:pPr>
      <w:r>
        <w:rPr>
          <w:i/>
          <w:color w:val="67287F"/>
        </w:rPr>
        <w:t>‘Stormont</w:t>
      </w:r>
      <w:r>
        <w:rPr>
          <w:i/>
          <w:color w:val="67287F"/>
          <w:spacing w:val="-10"/>
        </w:rPr>
        <w:t> </w:t>
      </w:r>
      <w:r>
        <w:rPr>
          <w:i/>
          <w:color w:val="67287F"/>
          <w:spacing w:val="-2"/>
        </w:rPr>
        <w:t>Brake’</w:t>
      </w:r>
    </w:p>
    <w:p>
      <w:pPr>
        <w:pStyle w:val="ListParagraph"/>
        <w:numPr>
          <w:ilvl w:val="1"/>
          <w:numId w:val="5"/>
        </w:numPr>
        <w:tabs>
          <w:tab w:pos="1853" w:val="left" w:leader="none"/>
        </w:tabs>
        <w:spacing w:line="225" w:lineRule="auto" w:before="5" w:after="0"/>
        <w:ind w:left="1853" w:right="1225" w:hanging="720"/>
        <w:jc w:val="left"/>
        <w:rPr>
          <w:sz w:val="28"/>
        </w:rPr>
      </w:pPr>
      <w:r>
        <w:rPr>
          <w:sz w:val="28"/>
        </w:rPr>
        <w:t>The ‘Stormont brake’ has been further given effect in UK law through the Windsor Framework (Democratic Scrutiny) Regulations 2024 which amend the NI Act 1998.</w:t>
      </w:r>
      <w:r>
        <w:rPr>
          <w:sz w:val="28"/>
          <w:vertAlign w:val="superscript"/>
        </w:rPr>
        <w:t>37</w:t>
      </w:r>
      <w:r>
        <w:rPr>
          <w:spacing w:val="40"/>
          <w:sz w:val="28"/>
          <w:vertAlign w:val="baseline"/>
        </w:rPr>
        <w:t> </w:t>
      </w:r>
      <w:r>
        <w:rPr>
          <w:sz w:val="28"/>
          <w:vertAlign w:val="baseline"/>
        </w:rPr>
        <w:t>This allows the UK Government to potentially stop the application</w:t>
      </w:r>
      <w:r>
        <w:rPr>
          <w:spacing w:val="-5"/>
          <w:sz w:val="28"/>
          <w:vertAlign w:val="baseline"/>
        </w:rPr>
        <w:t> </w:t>
      </w:r>
      <w:r>
        <w:rPr>
          <w:sz w:val="28"/>
          <w:vertAlign w:val="baseline"/>
        </w:rPr>
        <w:t>in</w:t>
      </w:r>
      <w:r>
        <w:rPr>
          <w:spacing w:val="-5"/>
          <w:sz w:val="28"/>
          <w:vertAlign w:val="baseline"/>
        </w:rPr>
        <w:t> </w:t>
      </w:r>
      <w:r>
        <w:rPr>
          <w:sz w:val="28"/>
          <w:vertAlign w:val="baseline"/>
        </w:rPr>
        <w:t>NI</w:t>
      </w:r>
      <w:r>
        <w:rPr>
          <w:spacing w:val="-4"/>
          <w:sz w:val="28"/>
          <w:vertAlign w:val="baseline"/>
        </w:rPr>
        <w:t> </w:t>
      </w:r>
      <w:r>
        <w:rPr>
          <w:sz w:val="28"/>
          <w:vertAlign w:val="baseline"/>
        </w:rPr>
        <w:t>of</w:t>
      </w:r>
      <w:r>
        <w:rPr>
          <w:spacing w:val="-5"/>
          <w:sz w:val="28"/>
          <w:vertAlign w:val="baseline"/>
        </w:rPr>
        <w:t> </w:t>
      </w:r>
      <w:r>
        <w:rPr>
          <w:sz w:val="28"/>
          <w:vertAlign w:val="baseline"/>
        </w:rPr>
        <w:t>amended</w:t>
      </w:r>
      <w:r>
        <w:rPr>
          <w:spacing w:val="-5"/>
          <w:sz w:val="28"/>
          <w:vertAlign w:val="baseline"/>
        </w:rPr>
        <w:t> </w:t>
      </w:r>
      <w:r>
        <w:rPr>
          <w:sz w:val="28"/>
          <w:vertAlign w:val="baseline"/>
        </w:rPr>
        <w:t>or</w:t>
      </w:r>
      <w:r>
        <w:rPr>
          <w:spacing w:val="-4"/>
          <w:sz w:val="28"/>
          <w:vertAlign w:val="baseline"/>
        </w:rPr>
        <w:t> </w:t>
      </w:r>
      <w:r>
        <w:rPr>
          <w:sz w:val="28"/>
          <w:vertAlign w:val="baseline"/>
        </w:rPr>
        <w:t>replaced</w:t>
      </w:r>
      <w:r>
        <w:rPr>
          <w:spacing w:val="-5"/>
          <w:sz w:val="28"/>
          <w:vertAlign w:val="baseline"/>
        </w:rPr>
        <w:t> </w:t>
      </w:r>
      <w:r>
        <w:rPr>
          <w:sz w:val="28"/>
          <w:vertAlign w:val="baseline"/>
        </w:rPr>
        <w:t>EU</w:t>
      </w:r>
      <w:r>
        <w:rPr>
          <w:spacing w:val="-4"/>
          <w:sz w:val="28"/>
          <w:vertAlign w:val="baseline"/>
        </w:rPr>
        <w:t> </w:t>
      </w:r>
      <w:r>
        <w:rPr>
          <w:sz w:val="28"/>
          <w:vertAlign w:val="baseline"/>
        </w:rPr>
        <w:t>legal</w:t>
      </w:r>
      <w:r>
        <w:rPr>
          <w:spacing w:val="-5"/>
          <w:sz w:val="28"/>
          <w:vertAlign w:val="baseline"/>
        </w:rPr>
        <w:t> </w:t>
      </w:r>
      <w:r>
        <w:rPr>
          <w:sz w:val="28"/>
          <w:vertAlign w:val="baseline"/>
        </w:rPr>
        <w:t>provisions</w:t>
      </w:r>
      <w:r>
        <w:rPr>
          <w:spacing w:val="-5"/>
          <w:sz w:val="28"/>
          <w:vertAlign w:val="baseline"/>
        </w:rPr>
        <w:t> </w:t>
      </w:r>
      <w:r>
        <w:rPr>
          <w:sz w:val="28"/>
          <w:vertAlign w:val="baseline"/>
        </w:rPr>
        <w:t>in</w:t>
      </w:r>
      <w:r>
        <w:rPr>
          <w:spacing w:val="-5"/>
          <w:sz w:val="28"/>
          <w:vertAlign w:val="baseline"/>
        </w:rPr>
        <w:t> </w:t>
      </w:r>
      <w:r>
        <w:rPr>
          <w:sz w:val="28"/>
          <w:vertAlign w:val="baseline"/>
        </w:rPr>
        <w:t>Annex</w:t>
      </w:r>
      <w:r>
        <w:rPr>
          <w:spacing w:val="-5"/>
          <w:sz w:val="28"/>
          <w:vertAlign w:val="baseline"/>
        </w:rPr>
        <w:t> </w:t>
      </w:r>
      <w:r>
        <w:rPr>
          <w:sz w:val="28"/>
          <w:vertAlign w:val="baseline"/>
        </w:rPr>
        <w:t>2</w:t>
      </w:r>
      <w:r>
        <w:rPr>
          <w:spacing w:val="-4"/>
          <w:sz w:val="28"/>
          <w:vertAlign w:val="baseline"/>
        </w:rPr>
        <w:t> </w:t>
      </w:r>
      <w:r>
        <w:rPr>
          <w:sz w:val="28"/>
          <w:vertAlign w:val="baseline"/>
        </w:rPr>
        <w:t>of</w:t>
      </w:r>
      <w:r>
        <w:rPr>
          <w:spacing w:val="-5"/>
          <w:sz w:val="28"/>
          <w:vertAlign w:val="baseline"/>
        </w:rPr>
        <w:t> </w:t>
      </w:r>
      <w:r>
        <w:rPr>
          <w:sz w:val="28"/>
          <w:vertAlign w:val="baseline"/>
        </w:rPr>
        <w:t>the Windsor Framework.</w:t>
      </w:r>
      <w:r>
        <w:rPr>
          <w:sz w:val="28"/>
          <w:vertAlign w:val="superscript"/>
        </w:rPr>
        <w:t>38</w:t>
      </w:r>
      <w:r>
        <w:rPr>
          <w:spacing w:val="40"/>
          <w:sz w:val="28"/>
          <w:vertAlign w:val="baseline"/>
        </w:rPr>
        <w:t> </w:t>
      </w:r>
      <w:r>
        <w:rPr>
          <w:sz w:val="28"/>
          <w:vertAlign w:val="baseline"/>
        </w:rPr>
        <w:t>In May 2023, the Commissions raised concerns</w:t>
      </w:r>
    </w:p>
    <w:p>
      <w:pPr>
        <w:pStyle w:val="BodyText"/>
        <w:rPr>
          <w:sz w:val="20"/>
        </w:rPr>
      </w:pPr>
    </w:p>
    <w:p>
      <w:pPr>
        <w:pStyle w:val="BodyText"/>
        <w:spacing w:before="63"/>
        <w:rPr>
          <w:sz w:val="20"/>
        </w:rPr>
      </w:pPr>
      <w:r>
        <w:rPr/>
        <mc:AlternateContent>
          <mc:Choice Requires="wps">
            <w:drawing>
              <wp:anchor distT="0" distB="0" distL="0" distR="0" allowOverlap="1" layoutInCell="1" locked="0" behindDoc="1" simplePos="0" relativeHeight="487624704">
                <wp:simplePos x="0" y="0"/>
                <wp:positionH relativeFrom="page">
                  <wp:posOffset>719996</wp:posOffset>
                </wp:positionH>
                <wp:positionV relativeFrom="paragraph">
                  <wp:posOffset>210524</wp:posOffset>
                </wp:positionV>
                <wp:extent cx="6120130" cy="1270"/>
                <wp:effectExtent l="0" t="0" r="0" b="0"/>
                <wp:wrapTopAndBottom/>
                <wp:docPr id="136" name="Graphic 136"/>
                <wp:cNvGraphicFramePr>
                  <a:graphicFrameLocks/>
                </wp:cNvGraphicFramePr>
                <a:graphic>
                  <a:graphicData uri="http://schemas.microsoft.com/office/word/2010/wordprocessingShape">
                    <wps:wsp>
                      <wps:cNvPr id="136" name="Graphic 136"/>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6.576704pt;width:481.9pt;height:.1pt;mso-position-horizontal-relative:page;mso-position-vertical-relative:paragraph;z-index:-15691776;mso-wrap-distance-left:0;mso-wrap-distance-right:0" id="docshape93" coordorigin="1134,332" coordsize="9638,0" path="m10772,332l1134,332e" filled="false" stroked="true" strokeweight="1pt" strokecolor="#393b80">
                <v:path arrowok="t"/>
                <v:stroke dashstyle="solid"/>
                <w10:wrap type="topAndBottom"/>
              </v:shape>
            </w:pict>
          </mc:Fallback>
        </mc:AlternateContent>
      </w:r>
    </w:p>
    <w:p>
      <w:pPr>
        <w:pStyle w:val="ListParagraph"/>
        <w:numPr>
          <w:ilvl w:val="0"/>
          <w:numId w:val="3"/>
        </w:numPr>
        <w:tabs>
          <w:tab w:pos="1853" w:val="left" w:leader="none"/>
        </w:tabs>
        <w:spacing w:line="218" w:lineRule="exact" w:before="183" w:after="0"/>
        <w:ind w:left="1853" w:right="0" w:hanging="720"/>
        <w:jc w:val="left"/>
        <w:rPr>
          <w:sz w:val="18"/>
        </w:rPr>
      </w:pPr>
      <w:r>
        <w:rPr>
          <w:i/>
          <w:sz w:val="18"/>
        </w:rPr>
        <w:t>In</w:t>
      </w:r>
      <w:r>
        <w:rPr>
          <w:i/>
          <w:spacing w:val="-4"/>
          <w:sz w:val="18"/>
        </w:rPr>
        <w:t> </w:t>
      </w:r>
      <w:r>
        <w:rPr>
          <w:i/>
          <w:sz w:val="18"/>
        </w:rPr>
        <w:t>the</w:t>
      </w:r>
      <w:r>
        <w:rPr>
          <w:i/>
          <w:spacing w:val="-3"/>
          <w:sz w:val="18"/>
        </w:rPr>
        <w:t> </w:t>
      </w:r>
      <w:r>
        <w:rPr>
          <w:i/>
          <w:sz w:val="18"/>
        </w:rPr>
        <w:t>matter</w:t>
      </w:r>
      <w:r>
        <w:rPr>
          <w:i/>
          <w:spacing w:val="-3"/>
          <w:sz w:val="18"/>
        </w:rPr>
        <w:t> </w:t>
      </w:r>
      <w:r>
        <w:rPr>
          <w:i/>
          <w:sz w:val="18"/>
        </w:rPr>
        <w:t>of</w:t>
      </w:r>
      <w:r>
        <w:rPr>
          <w:i/>
          <w:spacing w:val="-3"/>
          <w:sz w:val="18"/>
        </w:rPr>
        <w:t> </w:t>
      </w:r>
      <w:r>
        <w:rPr>
          <w:i/>
          <w:sz w:val="18"/>
        </w:rPr>
        <w:t>an</w:t>
      </w:r>
      <w:r>
        <w:rPr>
          <w:i/>
          <w:spacing w:val="-4"/>
          <w:sz w:val="18"/>
        </w:rPr>
        <w:t> </w:t>
      </w:r>
      <w:r>
        <w:rPr>
          <w:i/>
          <w:sz w:val="18"/>
        </w:rPr>
        <w:t>application</w:t>
      </w:r>
      <w:r>
        <w:rPr>
          <w:i/>
          <w:spacing w:val="-4"/>
          <w:sz w:val="18"/>
        </w:rPr>
        <w:t> </w:t>
      </w:r>
      <w:r>
        <w:rPr>
          <w:i/>
          <w:sz w:val="18"/>
        </w:rPr>
        <w:t>by</w:t>
      </w:r>
      <w:r>
        <w:rPr>
          <w:i/>
          <w:spacing w:val="-3"/>
          <w:sz w:val="18"/>
        </w:rPr>
        <w:t> </w:t>
      </w:r>
      <w:r>
        <w:rPr>
          <w:i/>
          <w:sz w:val="18"/>
        </w:rPr>
        <w:t>JR295</w:t>
      </w:r>
      <w:r>
        <w:rPr>
          <w:i/>
          <w:spacing w:val="-3"/>
          <w:sz w:val="18"/>
        </w:rPr>
        <w:t> </w:t>
      </w:r>
      <w:r>
        <w:rPr>
          <w:i/>
          <w:sz w:val="18"/>
        </w:rPr>
        <w:t>for</w:t>
      </w:r>
      <w:r>
        <w:rPr>
          <w:i/>
          <w:spacing w:val="-3"/>
          <w:sz w:val="18"/>
        </w:rPr>
        <w:t> </w:t>
      </w:r>
      <w:r>
        <w:rPr>
          <w:i/>
          <w:sz w:val="18"/>
        </w:rPr>
        <w:t>leave</w:t>
      </w:r>
      <w:r>
        <w:rPr>
          <w:i/>
          <w:spacing w:val="-3"/>
          <w:sz w:val="18"/>
        </w:rPr>
        <w:t> </w:t>
      </w:r>
      <w:r>
        <w:rPr>
          <w:i/>
          <w:sz w:val="18"/>
        </w:rPr>
        <w:t>to</w:t>
      </w:r>
      <w:r>
        <w:rPr>
          <w:i/>
          <w:spacing w:val="-3"/>
          <w:sz w:val="18"/>
        </w:rPr>
        <w:t> </w:t>
      </w:r>
      <w:r>
        <w:rPr>
          <w:i/>
          <w:sz w:val="18"/>
        </w:rPr>
        <w:t>apply</w:t>
      </w:r>
      <w:r>
        <w:rPr>
          <w:i/>
          <w:spacing w:val="-4"/>
          <w:sz w:val="18"/>
        </w:rPr>
        <w:t> </w:t>
      </w:r>
      <w:r>
        <w:rPr>
          <w:i/>
          <w:sz w:val="18"/>
        </w:rPr>
        <w:t>for</w:t>
      </w:r>
      <w:r>
        <w:rPr>
          <w:i/>
          <w:spacing w:val="-3"/>
          <w:sz w:val="18"/>
        </w:rPr>
        <w:t> </w:t>
      </w:r>
      <w:r>
        <w:rPr>
          <w:i/>
          <w:sz w:val="18"/>
        </w:rPr>
        <w:t>judicial</w:t>
      </w:r>
      <w:r>
        <w:rPr>
          <w:i/>
          <w:spacing w:val="-3"/>
          <w:sz w:val="18"/>
        </w:rPr>
        <w:t> </w:t>
      </w:r>
      <w:r>
        <w:rPr>
          <w:i/>
          <w:sz w:val="18"/>
        </w:rPr>
        <w:t>review</w:t>
      </w:r>
      <w:r>
        <w:rPr>
          <w:i/>
          <w:spacing w:val="-4"/>
          <w:sz w:val="18"/>
        </w:rPr>
        <w:t> </w:t>
      </w:r>
      <w:r>
        <w:rPr>
          <w:sz w:val="18"/>
        </w:rPr>
        <w:t>[2024]</w:t>
      </w:r>
      <w:r>
        <w:rPr>
          <w:spacing w:val="-3"/>
          <w:sz w:val="18"/>
        </w:rPr>
        <w:t> </w:t>
      </w:r>
      <w:r>
        <w:rPr>
          <w:sz w:val="18"/>
        </w:rPr>
        <w:t>NIKB</w:t>
      </w:r>
      <w:r>
        <w:rPr>
          <w:spacing w:val="-2"/>
          <w:sz w:val="18"/>
        </w:rPr>
        <w:t> </w:t>
      </w:r>
      <w:r>
        <w:rPr>
          <w:spacing w:val="-5"/>
          <w:sz w:val="18"/>
        </w:rPr>
        <w:t>7.</w:t>
      </w:r>
    </w:p>
    <w:p>
      <w:pPr>
        <w:pStyle w:val="ListParagraph"/>
        <w:numPr>
          <w:ilvl w:val="0"/>
          <w:numId w:val="3"/>
        </w:numPr>
        <w:tabs>
          <w:tab w:pos="1853" w:val="left" w:leader="none"/>
        </w:tabs>
        <w:spacing w:line="216" w:lineRule="exact" w:before="0" w:after="0"/>
        <w:ind w:left="1853" w:right="0" w:hanging="720"/>
        <w:jc w:val="left"/>
        <w:rPr>
          <w:sz w:val="18"/>
        </w:rPr>
      </w:pPr>
      <w:r>
        <w:rPr>
          <w:sz w:val="18"/>
        </w:rPr>
        <w:t>See</w:t>
      </w:r>
      <w:r>
        <w:rPr>
          <w:spacing w:val="-5"/>
          <w:sz w:val="18"/>
        </w:rPr>
        <w:t> </w:t>
      </w:r>
      <w:r>
        <w:rPr>
          <w:i/>
          <w:sz w:val="18"/>
        </w:rPr>
        <w:t>In</w:t>
      </w:r>
      <w:r>
        <w:rPr>
          <w:i/>
          <w:spacing w:val="-4"/>
          <w:sz w:val="18"/>
        </w:rPr>
        <w:t> </w:t>
      </w:r>
      <w:r>
        <w:rPr>
          <w:i/>
          <w:sz w:val="18"/>
        </w:rPr>
        <w:t>the</w:t>
      </w:r>
      <w:r>
        <w:rPr>
          <w:i/>
          <w:spacing w:val="-3"/>
          <w:sz w:val="18"/>
        </w:rPr>
        <w:t> </w:t>
      </w:r>
      <w:r>
        <w:rPr>
          <w:i/>
          <w:sz w:val="18"/>
        </w:rPr>
        <w:t>matter</w:t>
      </w:r>
      <w:r>
        <w:rPr>
          <w:i/>
          <w:spacing w:val="-3"/>
          <w:sz w:val="18"/>
        </w:rPr>
        <w:t> </w:t>
      </w:r>
      <w:r>
        <w:rPr>
          <w:i/>
          <w:sz w:val="18"/>
        </w:rPr>
        <w:t>of</w:t>
      </w:r>
      <w:r>
        <w:rPr>
          <w:i/>
          <w:spacing w:val="-4"/>
          <w:sz w:val="18"/>
        </w:rPr>
        <w:t> </w:t>
      </w:r>
      <w:r>
        <w:rPr>
          <w:i/>
          <w:sz w:val="18"/>
        </w:rPr>
        <w:t>an</w:t>
      </w:r>
      <w:r>
        <w:rPr>
          <w:i/>
          <w:spacing w:val="-4"/>
          <w:sz w:val="18"/>
        </w:rPr>
        <w:t> </w:t>
      </w:r>
      <w:r>
        <w:rPr>
          <w:i/>
          <w:sz w:val="18"/>
        </w:rPr>
        <w:t>application</w:t>
      </w:r>
      <w:r>
        <w:rPr>
          <w:i/>
          <w:spacing w:val="-4"/>
          <w:sz w:val="18"/>
        </w:rPr>
        <w:t> </w:t>
      </w:r>
      <w:r>
        <w:rPr>
          <w:i/>
          <w:sz w:val="18"/>
        </w:rPr>
        <w:t>by</w:t>
      </w:r>
      <w:r>
        <w:rPr>
          <w:i/>
          <w:spacing w:val="-4"/>
          <w:sz w:val="18"/>
        </w:rPr>
        <w:t> </w:t>
      </w:r>
      <w:r>
        <w:rPr>
          <w:i/>
          <w:sz w:val="18"/>
        </w:rPr>
        <w:t>the</w:t>
      </w:r>
      <w:r>
        <w:rPr>
          <w:i/>
          <w:spacing w:val="-3"/>
          <w:sz w:val="18"/>
        </w:rPr>
        <w:t> </w:t>
      </w:r>
      <w:r>
        <w:rPr>
          <w:i/>
          <w:sz w:val="18"/>
        </w:rPr>
        <w:t>NI</w:t>
      </w:r>
      <w:r>
        <w:rPr>
          <w:i/>
          <w:spacing w:val="-3"/>
          <w:sz w:val="18"/>
        </w:rPr>
        <w:t> </w:t>
      </w:r>
      <w:r>
        <w:rPr>
          <w:i/>
          <w:sz w:val="18"/>
        </w:rPr>
        <w:t>Human</w:t>
      </w:r>
      <w:r>
        <w:rPr>
          <w:i/>
          <w:spacing w:val="-4"/>
          <w:sz w:val="18"/>
        </w:rPr>
        <w:t> </w:t>
      </w:r>
      <w:r>
        <w:rPr>
          <w:i/>
          <w:sz w:val="18"/>
        </w:rPr>
        <w:t>Rights</w:t>
      </w:r>
      <w:r>
        <w:rPr>
          <w:i/>
          <w:spacing w:val="-4"/>
          <w:sz w:val="18"/>
        </w:rPr>
        <w:t> </w:t>
      </w:r>
      <w:r>
        <w:rPr>
          <w:i/>
          <w:sz w:val="18"/>
        </w:rPr>
        <w:t>Commission</w:t>
      </w:r>
      <w:r>
        <w:rPr>
          <w:i/>
          <w:spacing w:val="-4"/>
          <w:sz w:val="18"/>
        </w:rPr>
        <w:t> </w:t>
      </w:r>
      <w:r>
        <w:rPr>
          <w:i/>
          <w:sz w:val="18"/>
        </w:rPr>
        <w:t>for</w:t>
      </w:r>
      <w:r>
        <w:rPr>
          <w:i/>
          <w:spacing w:val="-3"/>
          <w:sz w:val="18"/>
        </w:rPr>
        <w:t> </w:t>
      </w:r>
      <w:r>
        <w:rPr>
          <w:i/>
          <w:sz w:val="18"/>
        </w:rPr>
        <w:t>judicial</w:t>
      </w:r>
      <w:r>
        <w:rPr>
          <w:i/>
          <w:spacing w:val="-4"/>
          <w:sz w:val="18"/>
        </w:rPr>
        <w:t> </w:t>
      </w:r>
      <w:r>
        <w:rPr>
          <w:i/>
          <w:sz w:val="18"/>
        </w:rPr>
        <w:t>review</w:t>
      </w:r>
      <w:r>
        <w:rPr>
          <w:i/>
          <w:spacing w:val="-4"/>
          <w:sz w:val="18"/>
        </w:rPr>
        <w:t> </w:t>
      </w:r>
      <w:r>
        <w:rPr>
          <w:sz w:val="18"/>
        </w:rPr>
        <w:t>[2024]</w:t>
      </w:r>
      <w:r>
        <w:rPr>
          <w:spacing w:val="-3"/>
          <w:sz w:val="18"/>
        </w:rPr>
        <w:t> </w:t>
      </w:r>
      <w:r>
        <w:rPr>
          <w:sz w:val="18"/>
        </w:rPr>
        <w:t>NIKB</w:t>
      </w:r>
      <w:r>
        <w:rPr>
          <w:spacing w:val="-3"/>
          <w:sz w:val="18"/>
        </w:rPr>
        <w:t> </w:t>
      </w:r>
      <w:r>
        <w:rPr>
          <w:spacing w:val="-5"/>
          <w:sz w:val="18"/>
        </w:rPr>
        <w:t>35.</w:t>
      </w:r>
    </w:p>
    <w:p>
      <w:pPr>
        <w:pStyle w:val="ListParagraph"/>
        <w:numPr>
          <w:ilvl w:val="0"/>
          <w:numId w:val="3"/>
        </w:numPr>
        <w:tabs>
          <w:tab w:pos="1853" w:val="left" w:leader="none"/>
        </w:tabs>
        <w:spacing w:line="235" w:lineRule="auto" w:before="2" w:after="0"/>
        <w:ind w:left="1853" w:right="1267" w:hanging="720"/>
        <w:jc w:val="left"/>
        <w:rPr>
          <w:sz w:val="18"/>
        </w:rPr>
      </w:pPr>
      <w:r>
        <w:rPr>
          <w:sz w:val="18"/>
        </w:rPr>
        <w:t>UK Government and EU Commission, ‘</w:t>
      </w:r>
      <w:hyperlink r:id="rId68">
        <w:r>
          <w:rPr>
            <w:sz w:val="18"/>
          </w:rPr>
          <w:t>Windsor Political Declaration</w:t>
        </w:r>
      </w:hyperlink>
      <w:r>
        <w:rPr>
          <w:sz w:val="18"/>
        </w:rPr>
        <w:t> by the European Commission and the Government</w:t>
      </w:r>
      <w:r>
        <w:rPr>
          <w:sz w:val="18"/>
        </w:rPr>
        <w:t> of the United Kingdom’, 27 February 2023. The UK Government also produced a Command paper setting out the UK Government’s</w:t>
      </w:r>
      <w:r>
        <w:rPr>
          <w:spacing w:val="-5"/>
          <w:sz w:val="18"/>
        </w:rPr>
        <w:t> </w:t>
      </w:r>
      <w:r>
        <w:rPr>
          <w:sz w:val="18"/>
        </w:rPr>
        <w:t>understanding</w:t>
      </w:r>
      <w:r>
        <w:rPr>
          <w:spacing w:val="-4"/>
          <w:sz w:val="18"/>
        </w:rPr>
        <w:t> </w:t>
      </w:r>
      <w:r>
        <w:rPr>
          <w:sz w:val="18"/>
        </w:rPr>
        <w:t>of</w:t>
      </w:r>
      <w:r>
        <w:rPr>
          <w:spacing w:val="-5"/>
          <w:sz w:val="18"/>
        </w:rPr>
        <w:t> </w:t>
      </w:r>
      <w:r>
        <w:rPr>
          <w:sz w:val="18"/>
        </w:rPr>
        <w:t>what</w:t>
      </w:r>
      <w:r>
        <w:rPr>
          <w:spacing w:val="-4"/>
          <w:sz w:val="18"/>
        </w:rPr>
        <w:t> </w:t>
      </w:r>
      <w:r>
        <w:rPr>
          <w:sz w:val="18"/>
        </w:rPr>
        <w:t>has</w:t>
      </w:r>
      <w:r>
        <w:rPr>
          <w:spacing w:val="-5"/>
          <w:sz w:val="18"/>
        </w:rPr>
        <w:t> </w:t>
      </w:r>
      <w:r>
        <w:rPr>
          <w:sz w:val="18"/>
        </w:rPr>
        <w:t>been</w:t>
      </w:r>
      <w:r>
        <w:rPr>
          <w:spacing w:val="-5"/>
          <w:sz w:val="18"/>
        </w:rPr>
        <w:t> </w:t>
      </w:r>
      <w:r>
        <w:rPr>
          <w:sz w:val="18"/>
        </w:rPr>
        <w:t>agreed.</w:t>
      </w:r>
      <w:r>
        <w:rPr>
          <w:spacing w:val="32"/>
          <w:sz w:val="18"/>
        </w:rPr>
        <w:t> </w:t>
      </w:r>
      <w:r>
        <w:rPr>
          <w:sz w:val="18"/>
        </w:rPr>
        <w:t>UK</w:t>
      </w:r>
      <w:r>
        <w:rPr>
          <w:spacing w:val="-4"/>
          <w:sz w:val="18"/>
        </w:rPr>
        <w:t> </w:t>
      </w:r>
      <w:r>
        <w:rPr>
          <w:sz w:val="18"/>
        </w:rPr>
        <w:t>Government,</w:t>
      </w:r>
      <w:r>
        <w:rPr>
          <w:spacing w:val="-4"/>
          <w:sz w:val="18"/>
        </w:rPr>
        <w:t> </w:t>
      </w:r>
      <w:r>
        <w:rPr>
          <w:sz w:val="18"/>
        </w:rPr>
        <w:t>‘The</w:t>
      </w:r>
      <w:r>
        <w:rPr>
          <w:spacing w:val="-4"/>
          <w:sz w:val="18"/>
        </w:rPr>
        <w:t> </w:t>
      </w:r>
      <w:r>
        <w:rPr>
          <w:sz w:val="18"/>
        </w:rPr>
        <w:t>Windsor</w:t>
      </w:r>
      <w:r>
        <w:rPr>
          <w:spacing w:val="-4"/>
          <w:sz w:val="18"/>
        </w:rPr>
        <w:t> </w:t>
      </w:r>
      <w:r>
        <w:rPr>
          <w:sz w:val="18"/>
        </w:rPr>
        <w:t>Framework:</w:t>
      </w:r>
      <w:r>
        <w:rPr>
          <w:spacing w:val="-4"/>
          <w:sz w:val="18"/>
        </w:rPr>
        <w:t> </w:t>
      </w:r>
      <w:r>
        <w:rPr>
          <w:sz w:val="18"/>
        </w:rPr>
        <w:t>a</w:t>
      </w:r>
      <w:r>
        <w:rPr>
          <w:spacing w:val="-5"/>
          <w:sz w:val="18"/>
        </w:rPr>
        <w:t> </w:t>
      </w:r>
      <w:r>
        <w:rPr>
          <w:sz w:val="18"/>
        </w:rPr>
        <w:t>new</w:t>
      </w:r>
      <w:r>
        <w:rPr>
          <w:spacing w:val="-4"/>
          <w:sz w:val="18"/>
        </w:rPr>
        <w:t> </w:t>
      </w:r>
      <w:r>
        <w:rPr>
          <w:sz w:val="18"/>
        </w:rPr>
        <w:t>way</w:t>
      </w:r>
      <w:r>
        <w:rPr>
          <w:spacing w:val="-4"/>
          <w:sz w:val="18"/>
        </w:rPr>
        <w:t> </w:t>
      </w:r>
      <w:r>
        <w:rPr>
          <w:sz w:val="18"/>
        </w:rPr>
        <w:t>forward</w:t>
      </w:r>
      <w:r>
        <w:rPr>
          <w:spacing w:val="-5"/>
          <w:sz w:val="18"/>
        </w:rPr>
        <w:t> </w:t>
      </w:r>
      <w:r>
        <w:rPr>
          <w:sz w:val="18"/>
        </w:rPr>
        <w:t>- CP806’ (UK Gov, 2023).</w:t>
      </w:r>
    </w:p>
    <w:p>
      <w:pPr>
        <w:pStyle w:val="ListParagraph"/>
        <w:numPr>
          <w:ilvl w:val="0"/>
          <w:numId w:val="3"/>
        </w:numPr>
        <w:tabs>
          <w:tab w:pos="1853" w:val="left" w:leader="none"/>
        </w:tabs>
        <w:spacing w:line="235" w:lineRule="auto" w:before="2" w:after="0"/>
        <w:ind w:left="1853" w:right="1316" w:hanging="720"/>
        <w:jc w:val="left"/>
        <w:rPr>
          <w:sz w:val="18"/>
        </w:rPr>
      </w:pPr>
      <w:r>
        <w:rPr>
          <w:sz w:val="18"/>
        </w:rPr>
        <w:t>See</w:t>
      </w:r>
      <w:r>
        <w:rPr>
          <w:spacing w:val="-4"/>
          <w:sz w:val="18"/>
        </w:rPr>
        <w:t> </w:t>
      </w:r>
      <w:hyperlink r:id="rId69">
        <w:r>
          <w:rPr>
            <w:sz w:val="18"/>
          </w:rPr>
          <w:t>Decision</w:t>
        </w:r>
        <w:r>
          <w:rPr>
            <w:spacing w:val="-4"/>
            <w:sz w:val="18"/>
          </w:rPr>
          <w:t> </w:t>
        </w:r>
        <w:r>
          <w:rPr>
            <w:sz w:val="18"/>
          </w:rPr>
          <w:t>No</w:t>
        </w:r>
        <w:r>
          <w:rPr>
            <w:spacing w:val="-4"/>
            <w:sz w:val="18"/>
          </w:rPr>
          <w:t> </w:t>
        </w:r>
        <w:r>
          <w:rPr>
            <w:sz w:val="18"/>
          </w:rPr>
          <w:t>1/2023</w:t>
        </w:r>
        <w:r>
          <w:rPr>
            <w:spacing w:val="-3"/>
            <w:sz w:val="18"/>
          </w:rPr>
          <w:t> </w:t>
        </w:r>
        <w:r>
          <w:rPr>
            <w:sz w:val="18"/>
          </w:rPr>
          <w:t>of</w:t>
        </w:r>
        <w:r>
          <w:rPr>
            <w:spacing w:val="-4"/>
            <w:sz w:val="18"/>
          </w:rPr>
          <w:t> </w:t>
        </w:r>
        <w:r>
          <w:rPr>
            <w:sz w:val="18"/>
          </w:rPr>
          <w:t>the</w:t>
        </w:r>
        <w:r>
          <w:rPr>
            <w:spacing w:val="-3"/>
            <w:sz w:val="18"/>
          </w:rPr>
          <w:t> </w:t>
        </w:r>
        <w:r>
          <w:rPr>
            <w:sz w:val="18"/>
          </w:rPr>
          <w:t>Joint</w:t>
        </w:r>
        <w:r>
          <w:rPr>
            <w:spacing w:val="-3"/>
            <w:sz w:val="18"/>
          </w:rPr>
          <w:t> </w:t>
        </w:r>
        <w:r>
          <w:rPr>
            <w:sz w:val="18"/>
          </w:rPr>
          <w:t>Committee</w:t>
        </w:r>
      </w:hyperlink>
      <w:r>
        <w:rPr>
          <w:spacing w:val="-3"/>
          <w:sz w:val="18"/>
        </w:rPr>
        <w:t> </w:t>
      </w:r>
      <w:r>
        <w:rPr>
          <w:sz w:val="18"/>
        </w:rPr>
        <w:t>established</w:t>
      </w:r>
      <w:r>
        <w:rPr>
          <w:spacing w:val="-4"/>
          <w:sz w:val="18"/>
        </w:rPr>
        <w:t> </w:t>
      </w:r>
      <w:r>
        <w:rPr>
          <w:sz w:val="18"/>
        </w:rPr>
        <w:t>by</w:t>
      </w:r>
      <w:r>
        <w:rPr>
          <w:spacing w:val="-3"/>
          <w:sz w:val="18"/>
        </w:rPr>
        <w:t> </w:t>
      </w:r>
      <w:r>
        <w:rPr>
          <w:sz w:val="18"/>
        </w:rPr>
        <w:t>the</w:t>
      </w:r>
      <w:r>
        <w:rPr>
          <w:spacing w:val="-3"/>
          <w:sz w:val="18"/>
        </w:rPr>
        <w:t> </w:t>
      </w:r>
      <w:r>
        <w:rPr>
          <w:sz w:val="18"/>
        </w:rPr>
        <w:t>agreement</w:t>
      </w:r>
      <w:r>
        <w:rPr>
          <w:spacing w:val="-3"/>
          <w:sz w:val="18"/>
        </w:rPr>
        <w:t> </w:t>
      </w:r>
      <w:r>
        <w:rPr>
          <w:sz w:val="18"/>
        </w:rPr>
        <w:t>on</w:t>
      </w:r>
      <w:r>
        <w:rPr>
          <w:spacing w:val="-4"/>
          <w:sz w:val="18"/>
        </w:rPr>
        <w:t> </w:t>
      </w:r>
      <w:r>
        <w:rPr>
          <w:sz w:val="18"/>
        </w:rPr>
        <w:t>the</w:t>
      </w:r>
      <w:r>
        <w:rPr>
          <w:spacing w:val="-3"/>
          <w:sz w:val="18"/>
        </w:rPr>
        <w:t> </w:t>
      </w:r>
      <w:r>
        <w:rPr>
          <w:sz w:val="18"/>
        </w:rPr>
        <w:t>withdrawal</w:t>
      </w:r>
      <w:r>
        <w:rPr>
          <w:spacing w:val="-4"/>
          <w:sz w:val="18"/>
        </w:rPr>
        <w:t> </w:t>
      </w:r>
      <w:r>
        <w:rPr>
          <w:sz w:val="18"/>
        </w:rPr>
        <w:t>of</w:t>
      </w:r>
      <w:r>
        <w:rPr>
          <w:spacing w:val="-4"/>
          <w:sz w:val="18"/>
        </w:rPr>
        <w:t> </w:t>
      </w:r>
      <w:r>
        <w:rPr>
          <w:sz w:val="18"/>
        </w:rPr>
        <w:t>the</w:t>
      </w:r>
      <w:r>
        <w:rPr>
          <w:spacing w:val="-3"/>
          <w:sz w:val="18"/>
        </w:rPr>
        <w:t> </w:t>
      </w:r>
      <w:r>
        <w:rPr>
          <w:sz w:val="18"/>
        </w:rPr>
        <w:t>United</w:t>
      </w:r>
      <w:r>
        <w:rPr>
          <w:spacing w:val="-4"/>
          <w:sz w:val="18"/>
        </w:rPr>
        <w:t> </w:t>
      </w:r>
      <w:r>
        <w:rPr>
          <w:sz w:val="18"/>
        </w:rPr>
        <w:t>Kingdom Great Britain</w:t>
      </w:r>
      <w:r>
        <w:rPr>
          <w:spacing w:val="-1"/>
          <w:sz w:val="18"/>
        </w:rPr>
        <w:t> </w:t>
      </w:r>
      <w:r>
        <w:rPr>
          <w:sz w:val="18"/>
        </w:rPr>
        <w:t>and</w:t>
      </w:r>
      <w:r>
        <w:rPr>
          <w:spacing w:val="-1"/>
          <w:sz w:val="18"/>
        </w:rPr>
        <w:t> </w:t>
      </w:r>
      <w:r>
        <w:rPr>
          <w:sz w:val="18"/>
        </w:rPr>
        <w:t>Northern</w:t>
      </w:r>
      <w:r>
        <w:rPr>
          <w:spacing w:val="-1"/>
          <w:sz w:val="18"/>
        </w:rPr>
        <w:t> </w:t>
      </w:r>
      <w:r>
        <w:rPr>
          <w:sz w:val="18"/>
        </w:rPr>
        <w:t>Ireland</w:t>
      </w:r>
      <w:r>
        <w:rPr>
          <w:spacing w:val="-1"/>
          <w:sz w:val="18"/>
        </w:rPr>
        <w:t> </w:t>
      </w:r>
      <w:r>
        <w:rPr>
          <w:sz w:val="18"/>
        </w:rPr>
        <w:t>from the European</w:t>
      </w:r>
      <w:r>
        <w:rPr>
          <w:spacing w:val="-1"/>
          <w:sz w:val="18"/>
        </w:rPr>
        <w:t> </w:t>
      </w:r>
      <w:r>
        <w:rPr>
          <w:sz w:val="18"/>
        </w:rPr>
        <w:t>Union</w:t>
      </w:r>
      <w:r>
        <w:rPr>
          <w:spacing w:val="-1"/>
          <w:sz w:val="18"/>
        </w:rPr>
        <w:t> </w:t>
      </w:r>
      <w:r>
        <w:rPr>
          <w:sz w:val="18"/>
        </w:rPr>
        <w:t>and</w:t>
      </w:r>
      <w:r>
        <w:rPr>
          <w:spacing w:val="-1"/>
          <w:sz w:val="18"/>
        </w:rPr>
        <w:t> </w:t>
      </w:r>
      <w:r>
        <w:rPr>
          <w:sz w:val="18"/>
        </w:rPr>
        <w:t>the European</w:t>
      </w:r>
      <w:r>
        <w:rPr>
          <w:spacing w:val="-1"/>
          <w:sz w:val="18"/>
        </w:rPr>
        <w:t> </w:t>
      </w:r>
      <w:r>
        <w:rPr>
          <w:sz w:val="18"/>
        </w:rPr>
        <w:t>Atomic Energy Community of</w:t>
      </w:r>
      <w:r>
        <w:rPr>
          <w:spacing w:val="-1"/>
          <w:sz w:val="18"/>
        </w:rPr>
        <w:t> </w:t>
      </w:r>
      <w:r>
        <w:rPr>
          <w:sz w:val="18"/>
        </w:rPr>
        <w:t>24 March 2023, laying down arrangements relating to the Windsor Framework.</w:t>
      </w:r>
    </w:p>
    <w:p>
      <w:pPr>
        <w:pStyle w:val="ListParagraph"/>
        <w:numPr>
          <w:ilvl w:val="0"/>
          <w:numId w:val="3"/>
        </w:numPr>
        <w:tabs>
          <w:tab w:pos="1853" w:val="left" w:leader="none"/>
        </w:tabs>
        <w:spacing w:line="235" w:lineRule="auto" w:before="2" w:after="0"/>
        <w:ind w:left="1853" w:right="1901" w:hanging="720"/>
        <w:jc w:val="left"/>
        <w:rPr>
          <w:sz w:val="18"/>
        </w:rPr>
      </w:pPr>
      <w:r>
        <w:rPr>
          <w:sz w:val="18"/>
        </w:rPr>
        <w:t>Windsor</w:t>
      </w:r>
      <w:r>
        <w:rPr>
          <w:spacing w:val="-4"/>
          <w:sz w:val="18"/>
        </w:rPr>
        <w:t> </w:t>
      </w:r>
      <w:r>
        <w:rPr>
          <w:sz w:val="18"/>
        </w:rPr>
        <w:t>Framework</w:t>
      </w:r>
      <w:r>
        <w:rPr>
          <w:spacing w:val="-4"/>
          <w:sz w:val="18"/>
        </w:rPr>
        <w:t> </w:t>
      </w:r>
      <w:r>
        <w:rPr>
          <w:sz w:val="18"/>
        </w:rPr>
        <w:t>(Democratic</w:t>
      </w:r>
      <w:r>
        <w:rPr>
          <w:spacing w:val="-4"/>
          <w:sz w:val="18"/>
        </w:rPr>
        <w:t> </w:t>
      </w:r>
      <w:r>
        <w:rPr>
          <w:sz w:val="18"/>
        </w:rPr>
        <w:t>Scrutiny)</w:t>
      </w:r>
      <w:r>
        <w:rPr>
          <w:spacing w:val="-5"/>
          <w:sz w:val="18"/>
        </w:rPr>
        <w:t> </w:t>
      </w:r>
      <w:r>
        <w:rPr>
          <w:sz w:val="18"/>
        </w:rPr>
        <w:t>Regulations</w:t>
      </w:r>
      <w:r>
        <w:rPr>
          <w:spacing w:val="-5"/>
          <w:sz w:val="18"/>
        </w:rPr>
        <w:t> </w:t>
      </w:r>
      <w:r>
        <w:rPr>
          <w:sz w:val="18"/>
        </w:rPr>
        <w:t>2024</w:t>
      </w:r>
      <w:r>
        <w:rPr>
          <w:spacing w:val="-4"/>
          <w:sz w:val="18"/>
        </w:rPr>
        <w:t> </w:t>
      </w:r>
      <w:r>
        <w:rPr>
          <w:sz w:val="18"/>
        </w:rPr>
        <w:t>(SI</w:t>
      </w:r>
      <w:r>
        <w:rPr>
          <w:spacing w:val="-4"/>
          <w:sz w:val="18"/>
        </w:rPr>
        <w:t> </w:t>
      </w:r>
      <w:r>
        <w:rPr>
          <w:sz w:val="18"/>
        </w:rPr>
        <w:t>2024/118).</w:t>
      </w:r>
      <w:r>
        <w:rPr>
          <w:spacing w:val="-5"/>
          <w:sz w:val="18"/>
        </w:rPr>
        <w:t> </w:t>
      </w:r>
      <w:r>
        <w:rPr>
          <w:sz w:val="18"/>
        </w:rPr>
        <w:t>The</w:t>
      </w:r>
      <w:r>
        <w:rPr>
          <w:spacing w:val="-4"/>
          <w:sz w:val="18"/>
        </w:rPr>
        <w:t> </w:t>
      </w:r>
      <w:r>
        <w:rPr>
          <w:sz w:val="18"/>
        </w:rPr>
        <w:t>NI</w:t>
      </w:r>
      <w:r>
        <w:rPr>
          <w:spacing w:val="-4"/>
          <w:sz w:val="18"/>
        </w:rPr>
        <w:t> </w:t>
      </w:r>
      <w:r>
        <w:rPr>
          <w:sz w:val="18"/>
        </w:rPr>
        <w:t>Assembly</w:t>
      </w:r>
      <w:r>
        <w:rPr>
          <w:spacing w:val="-4"/>
          <w:sz w:val="18"/>
        </w:rPr>
        <w:t> </w:t>
      </w:r>
      <w:r>
        <w:rPr>
          <w:sz w:val="18"/>
        </w:rPr>
        <w:t>has</w:t>
      </w:r>
      <w:r>
        <w:rPr>
          <w:spacing w:val="-5"/>
          <w:sz w:val="18"/>
        </w:rPr>
        <w:t> </w:t>
      </w:r>
      <w:r>
        <w:rPr>
          <w:sz w:val="18"/>
        </w:rPr>
        <w:t>published</w:t>
      </w:r>
      <w:r>
        <w:rPr>
          <w:spacing w:val="-5"/>
          <w:sz w:val="18"/>
        </w:rPr>
        <w:t> </w:t>
      </w:r>
      <w:r>
        <w:rPr>
          <w:sz w:val="18"/>
        </w:rPr>
        <w:t>a</w:t>
      </w:r>
      <w:r>
        <w:rPr>
          <w:spacing w:val="-5"/>
          <w:sz w:val="18"/>
        </w:rPr>
        <w:t> </w:t>
      </w:r>
      <w:r>
        <w:rPr>
          <w:sz w:val="18"/>
        </w:rPr>
        <w:t>list of relevant UK and EU law on the implementation of the Windsor Framework.</w:t>
      </w:r>
    </w:p>
    <w:p>
      <w:pPr>
        <w:pStyle w:val="ListParagraph"/>
        <w:numPr>
          <w:ilvl w:val="0"/>
          <w:numId w:val="3"/>
        </w:numPr>
        <w:tabs>
          <w:tab w:pos="1853" w:val="left" w:leader="none"/>
        </w:tabs>
        <w:spacing w:line="235" w:lineRule="auto" w:before="2" w:after="0"/>
        <w:ind w:left="1853" w:right="1618" w:hanging="720"/>
        <w:jc w:val="left"/>
        <w:rPr>
          <w:sz w:val="18"/>
        </w:rPr>
      </w:pPr>
      <w:hyperlink r:id="rId69">
        <w:r>
          <w:rPr>
            <w:sz w:val="18"/>
          </w:rPr>
          <w:t>Decision</w:t>
        </w:r>
        <w:r>
          <w:rPr>
            <w:spacing w:val="-5"/>
            <w:sz w:val="18"/>
          </w:rPr>
          <w:t> </w:t>
        </w:r>
        <w:r>
          <w:rPr>
            <w:sz w:val="18"/>
          </w:rPr>
          <w:t>No</w:t>
        </w:r>
        <w:r>
          <w:rPr>
            <w:spacing w:val="-5"/>
            <w:sz w:val="18"/>
          </w:rPr>
          <w:t> </w:t>
        </w:r>
        <w:r>
          <w:rPr>
            <w:sz w:val="18"/>
          </w:rPr>
          <w:t>1/2023</w:t>
        </w:r>
        <w:r>
          <w:rPr>
            <w:spacing w:val="-4"/>
            <w:sz w:val="18"/>
          </w:rPr>
          <w:t> </w:t>
        </w:r>
        <w:r>
          <w:rPr>
            <w:sz w:val="18"/>
          </w:rPr>
          <w:t>of</w:t>
        </w:r>
        <w:r>
          <w:rPr>
            <w:spacing w:val="-5"/>
            <w:sz w:val="18"/>
          </w:rPr>
          <w:t> </w:t>
        </w:r>
        <w:r>
          <w:rPr>
            <w:sz w:val="18"/>
          </w:rPr>
          <w:t>the</w:t>
        </w:r>
        <w:r>
          <w:rPr>
            <w:spacing w:val="-4"/>
            <w:sz w:val="18"/>
          </w:rPr>
          <w:t> </w:t>
        </w:r>
        <w:r>
          <w:rPr>
            <w:sz w:val="18"/>
          </w:rPr>
          <w:t>Joint</w:t>
        </w:r>
        <w:r>
          <w:rPr>
            <w:spacing w:val="-4"/>
            <w:sz w:val="18"/>
          </w:rPr>
          <w:t> </w:t>
        </w:r>
        <w:r>
          <w:rPr>
            <w:sz w:val="18"/>
          </w:rPr>
          <w:t>Committee</w:t>
        </w:r>
      </w:hyperlink>
      <w:r>
        <w:rPr>
          <w:spacing w:val="-4"/>
          <w:sz w:val="18"/>
        </w:rPr>
        <w:t> </w:t>
      </w:r>
      <w:r>
        <w:rPr>
          <w:sz w:val="18"/>
        </w:rPr>
        <w:t>established</w:t>
      </w:r>
      <w:r>
        <w:rPr>
          <w:spacing w:val="-5"/>
          <w:sz w:val="18"/>
        </w:rPr>
        <w:t> </w:t>
      </w:r>
      <w:r>
        <w:rPr>
          <w:sz w:val="18"/>
        </w:rPr>
        <w:t>by</w:t>
      </w:r>
      <w:r>
        <w:rPr>
          <w:spacing w:val="-4"/>
          <w:sz w:val="18"/>
        </w:rPr>
        <w:t> </w:t>
      </w:r>
      <w:r>
        <w:rPr>
          <w:sz w:val="18"/>
        </w:rPr>
        <w:t>the</w:t>
      </w:r>
      <w:r>
        <w:rPr>
          <w:spacing w:val="-4"/>
          <w:sz w:val="18"/>
        </w:rPr>
        <w:t> </w:t>
      </w:r>
      <w:r>
        <w:rPr>
          <w:sz w:val="18"/>
        </w:rPr>
        <w:t>agreement</w:t>
      </w:r>
      <w:r>
        <w:rPr>
          <w:spacing w:val="-4"/>
          <w:sz w:val="18"/>
        </w:rPr>
        <w:t> </w:t>
      </w:r>
      <w:r>
        <w:rPr>
          <w:sz w:val="18"/>
        </w:rPr>
        <w:t>on</w:t>
      </w:r>
      <w:r>
        <w:rPr>
          <w:spacing w:val="-5"/>
          <w:sz w:val="18"/>
        </w:rPr>
        <w:t> </w:t>
      </w:r>
      <w:r>
        <w:rPr>
          <w:sz w:val="18"/>
        </w:rPr>
        <w:t>the</w:t>
      </w:r>
      <w:r>
        <w:rPr>
          <w:spacing w:val="-4"/>
          <w:sz w:val="18"/>
        </w:rPr>
        <w:t> </w:t>
      </w:r>
      <w:r>
        <w:rPr>
          <w:sz w:val="18"/>
        </w:rPr>
        <w:t>withdrawal</w:t>
      </w:r>
      <w:r>
        <w:rPr>
          <w:spacing w:val="-5"/>
          <w:sz w:val="18"/>
        </w:rPr>
        <w:t> </w:t>
      </w:r>
      <w:r>
        <w:rPr>
          <w:sz w:val="18"/>
        </w:rPr>
        <w:t>of</w:t>
      </w:r>
      <w:r>
        <w:rPr>
          <w:spacing w:val="-5"/>
          <w:sz w:val="18"/>
        </w:rPr>
        <w:t> </w:t>
      </w:r>
      <w:r>
        <w:rPr>
          <w:sz w:val="18"/>
        </w:rPr>
        <w:t>the</w:t>
      </w:r>
      <w:r>
        <w:rPr>
          <w:spacing w:val="-4"/>
          <w:sz w:val="18"/>
        </w:rPr>
        <w:t> </w:t>
      </w:r>
      <w:r>
        <w:rPr>
          <w:sz w:val="18"/>
        </w:rPr>
        <w:t>United</w:t>
      </w:r>
      <w:r>
        <w:rPr>
          <w:spacing w:val="-5"/>
          <w:sz w:val="18"/>
        </w:rPr>
        <w:t> </w:t>
      </w:r>
      <w:r>
        <w:rPr>
          <w:sz w:val="18"/>
        </w:rPr>
        <w:t>Kingdom Great Britain and Northern Ireland from the European Union and the European Atomic Energy Community of</w:t>
      </w:r>
    </w:p>
    <w:p>
      <w:pPr>
        <w:spacing w:line="216" w:lineRule="exact" w:before="0"/>
        <w:ind w:left="1853" w:right="0" w:firstLine="0"/>
        <w:jc w:val="left"/>
        <w:rPr>
          <w:sz w:val="18"/>
        </w:rPr>
      </w:pPr>
      <w:r>
        <w:rPr>
          <w:sz w:val="18"/>
        </w:rPr>
        <w:t>24</w:t>
      </w:r>
      <w:r>
        <w:rPr>
          <w:spacing w:val="-4"/>
          <w:sz w:val="18"/>
        </w:rPr>
        <w:t> </w:t>
      </w:r>
      <w:r>
        <w:rPr>
          <w:sz w:val="18"/>
        </w:rPr>
        <w:t>March</w:t>
      </w:r>
      <w:r>
        <w:rPr>
          <w:spacing w:val="-4"/>
          <w:sz w:val="18"/>
        </w:rPr>
        <w:t> </w:t>
      </w:r>
      <w:r>
        <w:rPr>
          <w:sz w:val="18"/>
        </w:rPr>
        <w:t>2023,</w:t>
      </w:r>
      <w:r>
        <w:rPr>
          <w:spacing w:val="-4"/>
          <w:sz w:val="18"/>
        </w:rPr>
        <w:t> </w:t>
      </w:r>
      <w:r>
        <w:rPr>
          <w:sz w:val="18"/>
        </w:rPr>
        <w:t>laying</w:t>
      </w:r>
      <w:r>
        <w:rPr>
          <w:spacing w:val="-4"/>
          <w:sz w:val="18"/>
        </w:rPr>
        <w:t> </w:t>
      </w:r>
      <w:r>
        <w:rPr>
          <w:sz w:val="18"/>
        </w:rPr>
        <w:t>down</w:t>
      </w:r>
      <w:r>
        <w:rPr>
          <w:spacing w:val="-4"/>
          <w:sz w:val="18"/>
        </w:rPr>
        <w:t> </w:t>
      </w:r>
      <w:r>
        <w:rPr>
          <w:sz w:val="18"/>
        </w:rPr>
        <w:t>arrangements</w:t>
      </w:r>
      <w:r>
        <w:rPr>
          <w:spacing w:val="-4"/>
          <w:sz w:val="18"/>
        </w:rPr>
        <w:t> </w:t>
      </w:r>
      <w:r>
        <w:rPr>
          <w:sz w:val="18"/>
        </w:rPr>
        <w:t>relating</w:t>
      </w:r>
      <w:r>
        <w:rPr>
          <w:spacing w:val="-4"/>
          <w:sz w:val="18"/>
        </w:rPr>
        <w:t> </w:t>
      </w:r>
      <w:r>
        <w:rPr>
          <w:sz w:val="18"/>
        </w:rPr>
        <w:t>to</w:t>
      </w:r>
      <w:r>
        <w:rPr>
          <w:spacing w:val="-4"/>
          <w:sz w:val="18"/>
        </w:rPr>
        <w:t> </w:t>
      </w:r>
      <w:r>
        <w:rPr>
          <w:sz w:val="18"/>
        </w:rPr>
        <w:t>the</w:t>
      </w:r>
      <w:r>
        <w:rPr>
          <w:spacing w:val="-4"/>
          <w:sz w:val="18"/>
        </w:rPr>
        <w:t> </w:t>
      </w:r>
      <w:r>
        <w:rPr>
          <w:sz w:val="18"/>
        </w:rPr>
        <w:t>Windsor</w:t>
      </w:r>
      <w:r>
        <w:rPr>
          <w:spacing w:val="-3"/>
          <w:sz w:val="18"/>
        </w:rPr>
        <w:t> </w:t>
      </w:r>
      <w:r>
        <w:rPr>
          <w:sz w:val="18"/>
        </w:rPr>
        <w:t>Framework.</w:t>
      </w:r>
      <w:r>
        <w:rPr>
          <w:spacing w:val="32"/>
          <w:sz w:val="18"/>
        </w:rPr>
        <w:t> </w:t>
      </w:r>
      <w:r>
        <w:rPr>
          <w:sz w:val="18"/>
        </w:rPr>
        <w:t>In</w:t>
      </w:r>
      <w:r>
        <w:rPr>
          <w:spacing w:val="-5"/>
          <w:sz w:val="18"/>
        </w:rPr>
        <w:t> </w:t>
      </w:r>
      <w:r>
        <w:rPr>
          <w:sz w:val="18"/>
        </w:rPr>
        <w:t>order</w:t>
      </w:r>
      <w:r>
        <w:rPr>
          <w:spacing w:val="-3"/>
          <w:sz w:val="18"/>
        </w:rPr>
        <w:t> </w:t>
      </w:r>
      <w:r>
        <w:rPr>
          <w:sz w:val="18"/>
        </w:rPr>
        <w:t>to</w:t>
      </w:r>
      <w:r>
        <w:rPr>
          <w:spacing w:val="-5"/>
          <w:sz w:val="18"/>
        </w:rPr>
        <w:t> </w:t>
      </w:r>
      <w:r>
        <w:rPr>
          <w:sz w:val="18"/>
        </w:rPr>
        <w:t>activate</w:t>
      </w:r>
      <w:r>
        <w:rPr>
          <w:spacing w:val="-3"/>
          <w:sz w:val="18"/>
        </w:rPr>
        <w:t> </w:t>
      </w:r>
      <w:r>
        <w:rPr>
          <w:sz w:val="18"/>
        </w:rPr>
        <w:t>the</w:t>
      </w:r>
      <w:r>
        <w:rPr>
          <w:spacing w:val="-4"/>
          <w:sz w:val="18"/>
        </w:rPr>
        <w:t> </w:t>
      </w:r>
      <w:r>
        <w:rPr>
          <w:spacing w:val="-2"/>
          <w:sz w:val="18"/>
        </w:rPr>
        <w:t>‘Stormont</w:t>
      </w:r>
    </w:p>
    <w:p>
      <w:pPr>
        <w:spacing w:line="235" w:lineRule="auto" w:before="1"/>
        <w:ind w:left="1853" w:right="1171" w:firstLine="0"/>
        <w:jc w:val="left"/>
        <w:rPr>
          <w:sz w:val="18"/>
        </w:rPr>
      </w:pPr>
      <w:r>
        <w:rPr>
          <w:sz w:val="18"/>
        </w:rPr>
        <w:t>brake’,</w:t>
      </w:r>
      <w:r>
        <w:rPr>
          <w:spacing w:val="-5"/>
          <w:sz w:val="18"/>
        </w:rPr>
        <w:t> </w:t>
      </w:r>
      <w:r>
        <w:rPr>
          <w:sz w:val="18"/>
        </w:rPr>
        <w:t>MLAs</w:t>
      </w:r>
      <w:r>
        <w:rPr>
          <w:spacing w:val="-6"/>
          <w:sz w:val="18"/>
        </w:rPr>
        <w:t> </w:t>
      </w:r>
      <w:r>
        <w:rPr>
          <w:sz w:val="18"/>
        </w:rPr>
        <w:t>must</w:t>
      </w:r>
      <w:r>
        <w:rPr>
          <w:spacing w:val="-5"/>
          <w:sz w:val="18"/>
        </w:rPr>
        <w:t> </w:t>
      </w:r>
      <w:r>
        <w:rPr>
          <w:sz w:val="18"/>
        </w:rPr>
        <w:t>be</w:t>
      </w:r>
      <w:r>
        <w:rPr>
          <w:spacing w:val="-5"/>
          <w:sz w:val="18"/>
        </w:rPr>
        <w:t> </w:t>
      </w:r>
      <w:r>
        <w:rPr>
          <w:sz w:val="18"/>
        </w:rPr>
        <w:t>acting</w:t>
      </w:r>
      <w:r>
        <w:rPr>
          <w:spacing w:val="-5"/>
          <w:sz w:val="18"/>
        </w:rPr>
        <w:t> </w:t>
      </w:r>
      <w:r>
        <w:rPr>
          <w:sz w:val="18"/>
        </w:rPr>
        <w:t>in</w:t>
      </w:r>
      <w:r>
        <w:rPr>
          <w:spacing w:val="-6"/>
          <w:sz w:val="18"/>
        </w:rPr>
        <w:t> </w:t>
      </w:r>
      <w:r>
        <w:rPr>
          <w:sz w:val="18"/>
        </w:rPr>
        <w:t>good</w:t>
      </w:r>
      <w:r>
        <w:rPr>
          <w:spacing w:val="-6"/>
          <w:sz w:val="18"/>
        </w:rPr>
        <w:t> </w:t>
      </w:r>
      <w:r>
        <w:rPr>
          <w:sz w:val="18"/>
        </w:rPr>
        <w:t>faith,</w:t>
      </w:r>
      <w:r>
        <w:rPr>
          <w:spacing w:val="-5"/>
          <w:sz w:val="18"/>
        </w:rPr>
        <w:t> </w:t>
      </w:r>
      <w:r>
        <w:rPr>
          <w:sz w:val="18"/>
        </w:rPr>
        <w:t>meet</w:t>
      </w:r>
      <w:r>
        <w:rPr>
          <w:spacing w:val="-5"/>
          <w:sz w:val="18"/>
        </w:rPr>
        <w:t> </w:t>
      </w:r>
      <w:r>
        <w:rPr>
          <w:sz w:val="18"/>
        </w:rPr>
        <w:t>the</w:t>
      </w:r>
      <w:r>
        <w:rPr>
          <w:spacing w:val="-5"/>
          <w:sz w:val="18"/>
        </w:rPr>
        <w:t> </w:t>
      </w:r>
      <w:r>
        <w:rPr>
          <w:sz w:val="18"/>
        </w:rPr>
        <w:t>minimum</w:t>
      </w:r>
      <w:r>
        <w:rPr>
          <w:spacing w:val="-5"/>
          <w:sz w:val="18"/>
        </w:rPr>
        <w:t> </w:t>
      </w:r>
      <w:r>
        <w:rPr>
          <w:sz w:val="18"/>
        </w:rPr>
        <w:t>threshold</w:t>
      </w:r>
      <w:r>
        <w:rPr>
          <w:spacing w:val="-6"/>
          <w:sz w:val="18"/>
        </w:rPr>
        <w:t> </w:t>
      </w:r>
      <w:r>
        <w:rPr>
          <w:sz w:val="18"/>
        </w:rPr>
        <w:t>of</w:t>
      </w:r>
      <w:r>
        <w:rPr>
          <w:spacing w:val="-6"/>
          <w:sz w:val="18"/>
        </w:rPr>
        <w:t> </w:t>
      </w:r>
      <w:r>
        <w:rPr>
          <w:sz w:val="18"/>
        </w:rPr>
        <w:t>the</w:t>
      </w:r>
      <w:r>
        <w:rPr>
          <w:spacing w:val="-5"/>
          <w:sz w:val="18"/>
        </w:rPr>
        <w:t> </w:t>
      </w:r>
      <w:r>
        <w:rPr>
          <w:sz w:val="18"/>
        </w:rPr>
        <w:t>petition</w:t>
      </w:r>
      <w:r>
        <w:rPr>
          <w:spacing w:val="-6"/>
          <w:sz w:val="18"/>
        </w:rPr>
        <w:t> </w:t>
      </w:r>
      <w:r>
        <w:rPr>
          <w:sz w:val="18"/>
        </w:rPr>
        <w:t>of</w:t>
      </w:r>
      <w:r>
        <w:rPr>
          <w:spacing w:val="-6"/>
          <w:sz w:val="18"/>
        </w:rPr>
        <w:t> </w:t>
      </w:r>
      <w:r>
        <w:rPr>
          <w:sz w:val="18"/>
        </w:rPr>
        <w:t>concern</w:t>
      </w:r>
      <w:r>
        <w:rPr>
          <w:spacing w:val="-6"/>
          <w:sz w:val="18"/>
        </w:rPr>
        <w:t> </w:t>
      </w:r>
      <w:r>
        <w:rPr>
          <w:sz w:val="18"/>
        </w:rPr>
        <w:t>process,</w:t>
      </w:r>
      <w:r>
        <w:rPr>
          <w:spacing w:val="-5"/>
          <w:sz w:val="18"/>
        </w:rPr>
        <w:t> </w:t>
      </w:r>
      <w:r>
        <w:rPr>
          <w:sz w:val="18"/>
        </w:rPr>
        <w:t>have</w:t>
      </w:r>
      <w:r>
        <w:rPr>
          <w:spacing w:val="-5"/>
          <w:sz w:val="18"/>
        </w:rPr>
        <w:t> </w:t>
      </w:r>
      <w:r>
        <w:rPr>
          <w:sz w:val="18"/>
        </w:rPr>
        <w:t>engaged in a range of consultation processes, and demonstrate that the EU rule has a significant and lasting impact specific</w:t>
      </w:r>
    </w:p>
    <w:p>
      <w:pPr>
        <w:spacing w:line="216" w:lineRule="exact" w:before="0"/>
        <w:ind w:left="1853" w:right="0" w:firstLine="0"/>
        <w:jc w:val="left"/>
        <w:rPr>
          <w:sz w:val="18"/>
        </w:rPr>
      </w:pPr>
      <w:r>
        <w:rPr>
          <w:sz w:val="18"/>
        </w:rPr>
        <w:t>to</w:t>
      </w:r>
      <w:r>
        <w:rPr>
          <w:spacing w:val="-5"/>
          <w:sz w:val="18"/>
        </w:rPr>
        <w:t> </w:t>
      </w:r>
      <w:r>
        <w:rPr>
          <w:sz w:val="18"/>
        </w:rPr>
        <w:t>the</w:t>
      </w:r>
      <w:r>
        <w:rPr>
          <w:spacing w:val="-3"/>
          <w:sz w:val="18"/>
        </w:rPr>
        <w:t> </w:t>
      </w:r>
      <w:r>
        <w:rPr>
          <w:sz w:val="18"/>
        </w:rPr>
        <w:t>everyday</w:t>
      </w:r>
      <w:r>
        <w:rPr>
          <w:spacing w:val="-4"/>
          <w:sz w:val="18"/>
        </w:rPr>
        <w:t> </w:t>
      </w:r>
      <w:r>
        <w:rPr>
          <w:sz w:val="18"/>
        </w:rPr>
        <w:t>lives</w:t>
      </w:r>
      <w:r>
        <w:rPr>
          <w:spacing w:val="-4"/>
          <w:sz w:val="18"/>
        </w:rPr>
        <w:t> </w:t>
      </w:r>
      <w:r>
        <w:rPr>
          <w:sz w:val="18"/>
        </w:rPr>
        <w:t>of</w:t>
      </w:r>
      <w:r>
        <w:rPr>
          <w:spacing w:val="-5"/>
          <w:sz w:val="18"/>
        </w:rPr>
        <w:t> </w:t>
      </w:r>
      <w:r>
        <w:rPr>
          <w:sz w:val="18"/>
        </w:rPr>
        <w:t>communities</w:t>
      </w:r>
      <w:r>
        <w:rPr>
          <w:spacing w:val="-4"/>
          <w:sz w:val="18"/>
        </w:rPr>
        <w:t> </w:t>
      </w:r>
      <w:r>
        <w:rPr>
          <w:sz w:val="18"/>
        </w:rPr>
        <w:t>in</w:t>
      </w:r>
      <w:r>
        <w:rPr>
          <w:spacing w:val="-4"/>
          <w:sz w:val="18"/>
        </w:rPr>
        <w:t> </w:t>
      </w:r>
      <w:r>
        <w:rPr>
          <w:sz w:val="18"/>
        </w:rPr>
        <w:t>NI</w:t>
      </w:r>
      <w:r>
        <w:rPr>
          <w:spacing w:val="-4"/>
          <w:sz w:val="18"/>
        </w:rPr>
        <w:t> </w:t>
      </w:r>
      <w:r>
        <w:rPr>
          <w:sz w:val="18"/>
        </w:rPr>
        <w:t>in</w:t>
      </w:r>
      <w:r>
        <w:rPr>
          <w:spacing w:val="-4"/>
          <w:sz w:val="18"/>
        </w:rPr>
        <w:t> </w:t>
      </w:r>
      <w:r>
        <w:rPr>
          <w:sz w:val="18"/>
        </w:rPr>
        <w:t>a</w:t>
      </w:r>
      <w:r>
        <w:rPr>
          <w:spacing w:val="-5"/>
          <w:sz w:val="18"/>
        </w:rPr>
        <w:t> </w:t>
      </w:r>
      <w:r>
        <w:rPr>
          <w:sz w:val="18"/>
        </w:rPr>
        <w:t>way</w:t>
      </w:r>
      <w:r>
        <w:rPr>
          <w:spacing w:val="-3"/>
          <w:sz w:val="18"/>
        </w:rPr>
        <w:t> </w:t>
      </w:r>
      <w:r>
        <w:rPr>
          <w:sz w:val="18"/>
        </w:rPr>
        <w:t>that</w:t>
      </w:r>
      <w:r>
        <w:rPr>
          <w:spacing w:val="-4"/>
          <w:sz w:val="18"/>
        </w:rPr>
        <w:t> </w:t>
      </w:r>
      <w:r>
        <w:rPr>
          <w:sz w:val="18"/>
        </w:rPr>
        <w:t>is</w:t>
      </w:r>
      <w:r>
        <w:rPr>
          <w:spacing w:val="-4"/>
          <w:sz w:val="18"/>
        </w:rPr>
        <w:t> </w:t>
      </w:r>
      <w:r>
        <w:rPr>
          <w:sz w:val="18"/>
        </w:rPr>
        <w:t>liable</w:t>
      </w:r>
      <w:r>
        <w:rPr>
          <w:spacing w:val="-4"/>
          <w:sz w:val="18"/>
        </w:rPr>
        <w:t> </w:t>
      </w:r>
      <w:r>
        <w:rPr>
          <w:sz w:val="18"/>
        </w:rPr>
        <w:t>to</w:t>
      </w:r>
      <w:r>
        <w:rPr>
          <w:spacing w:val="-4"/>
          <w:sz w:val="18"/>
        </w:rPr>
        <w:t> </w:t>
      </w:r>
      <w:r>
        <w:rPr>
          <w:sz w:val="18"/>
        </w:rPr>
        <w:t>persist.</w:t>
      </w:r>
      <w:r>
        <w:rPr>
          <w:spacing w:val="32"/>
          <w:sz w:val="18"/>
        </w:rPr>
        <w:t> </w:t>
      </w:r>
      <w:r>
        <w:rPr>
          <w:sz w:val="18"/>
        </w:rPr>
        <w:t>Where</w:t>
      </w:r>
      <w:r>
        <w:rPr>
          <w:spacing w:val="-3"/>
          <w:sz w:val="18"/>
        </w:rPr>
        <w:t> </w:t>
      </w:r>
      <w:r>
        <w:rPr>
          <w:sz w:val="18"/>
        </w:rPr>
        <w:t>the</w:t>
      </w:r>
      <w:r>
        <w:rPr>
          <w:spacing w:val="-4"/>
          <w:sz w:val="18"/>
        </w:rPr>
        <w:t> </w:t>
      </w:r>
      <w:r>
        <w:rPr>
          <w:sz w:val="18"/>
        </w:rPr>
        <w:t>Secretary</w:t>
      </w:r>
      <w:r>
        <w:rPr>
          <w:spacing w:val="-3"/>
          <w:sz w:val="18"/>
        </w:rPr>
        <w:t> </w:t>
      </w:r>
      <w:r>
        <w:rPr>
          <w:sz w:val="18"/>
        </w:rPr>
        <w:t>of</w:t>
      </w:r>
      <w:r>
        <w:rPr>
          <w:spacing w:val="-5"/>
          <w:sz w:val="18"/>
        </w:rPr>
        <w:t> </w:t>
      </w:r>
      <w:r>
        <w:rPr>
          <w:sz w:val="18"/>
        </w:rPr>
        <w:t>State</w:t>
      </w:r>
      <w:r>
        <w:rPr>
          <w:spacing w:val="-3"/>
          <w:sz w:val="18"/>
        </w:rPr>
        <w:t> </w:t>
      </w:r>
      <w:r>
        <w:rPr>
          <w:spacing w:val="-2"/>
          <w:sz w:val="18"/>
        </w:rPr>
        <w:t>accepts</w:t>
      </w:r>
    </w:p>
    <w:p>
      <w:pPr>
        <w:spacing w:line="235" w:lineRule="auto" w:before="2"/>
        <w:ind w:left="1853" w:right="1171" w:firstLine="0"/>
        <w:jc w:val="left"/>
        <w:rPr>
          <w:sz w:val="18"/>
        </w:rPr>
      </w:pPr>
      <w:r>
        <w:rPr>
          <w:sz w:val="18"/>
        </w:rPr>
        <w:t>the</w:t>
      </w:r>
      <w:r>
        <w:rPr>
          <w:spacing w:val="-4"/>
          <w:sz w:val="18"/>
        </w:rPr>
        <w:t> </w:t>
      </w:r>
      <w:r>
        <w:rPr>
          <w:sz w:val="18"/>
        </w:rPr>
        <w:t>conditions</w:t>
      </w:r>
      <w:r>
        <w:rPr>
          <w:spacing w:val="-5"/>
          <w:sz w:val="18"/>
        </w:rPr>
        <w:t> </w:t>
      </w:r>
      <w:r>
        <w:rPr>
          <w:sz w:val="18"/>
        </w:rPr>
        <w:t>for</w:t>
      </w:r>
      <w:r>
        <w:rPr>
          <w:spacing w:val="-4"/>
          <w:sz w:val="18"/>
        </w:rPr>
        <w:t> </w:t>
      </w:r>
      <w:r>
        <w:rPr>
          <w:sz w:val="18"/>
        </w:rPr>
        <w:t>the</w:t>
      </w:r>
      <w:r>
        <w:rPr>
          <w:spacing w:val="-4"/>
          <w:sz w:val="18"/>
        </w:rPr>
        <w:t> </w:t>
      </w:r>
      <w:r>
        <w:rPr>
          <w:sz w:val="18"/>
        </w:rPr>
        <w:t>‘Stormont</w:t>
      </w:r>
      <w:r>
        <w:rPr>
          <w:spacing w:val="-4"/>
          <w:sz w:val="18"/>
        </w:rPr>
        <w:t> </w:t>
      </w:r>
      <w:r>
        <w:rPr>
          <w:sz w:val="18"/>
        </w:rPr>
        <w:t>brake’</w:t>
      </w:r>
      <w:r>
        <w:rPr>
          <w:spacing w:val="-4"/>
          <w:sz w:val="18"/>
        </w:rPr>
        <w:t> </w:t>
      </w:r>
      <w:r>
        <w:rPr>
          <w:sz w:val="18"/>
        </w:rPr>
        <w:t>are</w:t>
      </w:r>
      <w:r>
        <w:rPr>
          <w:spacing w:val="-4"/>
          <w:sz w:val="18"/>
        </w:rPr>
        <w:t> </w:t>
      </w:r>
      <w:r>
        <w:rPr>
          <w:sz w:val="18"/>
        </w:rPr>
        <w:t>met,</w:t>
      </w:r>
      <w:r>
        <w:rPr>
          <w:spacing w:val="-4"/>
          <w:sz w:val="18"/>
        </w:rPr>
        <w:t> </w:t>
      </w:r>
      <w:r>
        <w:rPr>
          <w:sz w:val="18"/>
        </w:rPr>
        <w:t>and</w:t>
      </w:r>
      <w:r>
        <w:rPr>
          <w:spacing w:val="-5"/>
          <w:sz w:val="18"/>
        </w:rPr>
        <w:t> </w:t>
      </w:r>
      <w:r>
        <w:rPr>
          <w:sz w:val="18"/>
        </w:rPr>
        <w:t>the</w:t>
      </w:r>
      <w:r>
        <w:rPr>
          <w:spacing w:val="-4"/>
          <w:sz w:val="18"/>
        </w:rPr>
        <w:t> </w:t>
      </w:r>
      <w:r>
        <w:rPr>
          <w:sz w:val="18"/>
        </w:rPr>
        <w:t>UK</w:t>
      </w:r>
      <w:r>
        <w:rPr>
          <w:spacing w:val="-4"/>
          <w:sz w:val="18"/>
        </w:rPr>
        <w:t> </w:t>
      </w:r>
      <w:r>
        <w:rPr>
          <w:sz w:val="18"/>
        </w:rPr>
        <w:t>notifies</w:t>
      </w:r>
      <w:r>
        <w:rPr>
          <w:spacing w:val="-5"/>
          <w:sz w:val="18"/>
        </w:rPr>
        <w:t> </w:t>
      </w:r>
      <w:r>
        <w:rPr>
          <w:sz w:val="18"/>
        </w:rPr>
        <w:t>the</w:t>
      </w:r>
      <w:r>
        <w:rPr>
          <w:spacing w:val="-4"/>
          <w:sz w:val="18"/>
        </w:rPr>
        <w:t> </w:t>
      </w:r>
      <w:r>
        <w:rPr>
          <w:sz w:val="18"/>
        </w:rPr>
        <w:t>UK-EU</w:t>
      </w:r>
      <w:r>
        <w:rPr>
          <w:spacing w:val="-4"/>
          <w:sz w:val="18"/>
        </w:rPr>
        <w:t> </w:t>
      </w:r>
      <w:r>
        <w:rPr>
          <w:sz w:val="18"/>
        </w:rPr>
        <w:t>Joint</w:t>
      </w:r>
      <w:r>
        <w:rPr>
          <w:spacing w:val="-4"/>
          <w:sz w:val="18"/>
        </w:rPr>
        <w:t> </w:t>
      </w:r>
      <w:r>
        <w:rPr>
          <w:sz w:val="18"/>
        </w:rPr>
        <w:t>Committee,</w:t>
      </w:r>
      <w:r>
        <w:rPr>
          <w:spacing w:val="-4"/>
          <w:sz w:val="18"/>
        </w:rPr>
        <w:t> </w:t>
      </w:r>
      <w:r>
        <w:rPr>
          <w:sz w:val="18"/>
        </w:rPr>
        <w:t>Article</w:t>
      </w:r>
      <w:r>
        <w:rPr>
          <w:spacing w:val="-4"/>
          <w:sz w:val="18"/>
        </w:rPr>
        <w:t> </w:t>
      </w:r>
      <w:r>
        <w:rPr>
          <w:sz w:val="18"/>
        </w:rPr>
        <w:t>13(3a)</w:t>
      </w:r>
      <w:r>
        <w:rPr>
          <w:spacing w:val="-5"/>
          <w:sz w:val="18"/>
        </w:rPr>
        <w:t> </w:t>
      </w:r>
      <w:r>
        <w:rPr>
          <w:sz w:val="18"/>
        </w:rPr>
        <w:t>of</w:t>
      </w:r>
      <w:r>
        <w:rPr>
          <w:spacing w:val="-5"/>
          <w:sz w:val="18"/>
        </w:rPr>
        <w:t> </w:t>
      </w:r>
      <w:r>
        <w:rPr>
          <w:sz w:val="18"/>
        </w:rPr>
        <w:t>the Windsor Framework sets out the procedures for next steps, including the non-application of the relevant new EU </w:t>
      </w:r>
      <w:r>
        <w:rPr>
          <w:spacing w:val="-2"/>
          <w:sz w:val="18"/>
        </w:rPr>
        <w:t>measure.</w:t>
      </w:r>
    </w:p>
    <w:p>
      <w:pPr>
        <w:spacing w:after="0" w:line="235" w:lineRule="auto"/>
        <w:jc w:val="left"/>
        <w:rPr>
          <w:sz w:val="18"/>
        </w:rPr>
        <w:sectPr>
          <w:pgSz w:w="11910" w:h="16840"/>
          <w:pgMar w:header="496" w:footer="367" w:top="1220" w:bottom="560" w:left="0" w:right="0"/>
        </w:sectPr>
      </w:pPr>
    </w:p>
    <w:p>
      <w:pPr>
        <w:pStyle w:val="BodyText"/>
        <w:spacing w:before="206"/>
      </w:pPr>
    </w:p>
    <w:p>
      <w:pPr>
        <w:pStyle w:val="BodyText"/>
        <w:spacing w:line="218" w:lineRule="auto"/>
        <w:ind w:left="1853" w:right="1171" w:hanging="1"/>
      </w:pPr>
      <w:r>
        <w:rPr/>
        <w:t>that</w:t>
      </w:r>
      <w:r>
        <w:rPr>
          <w:spacing w:val="-8"/>
        </w:rPr>
        <w:t> </w:t>
      </w:r>
      <w:r>
        <w:rPr/>
        <w:t>there</w:t>
      </w:r>
      <w:r>
        <w:rPr>
          <w:spacing w:val="-8"/>
        </w:rPr>
        <w:t> </w:t>
      </w:r>
      <w:r>
        <w:rPr/>
        <w:t>was</w:t>
      </w:r>
      <w:r>
        <w:rPr>
          <w:spacing w:val="-8"/>
        </w:rPr>
        <w:t> </w:t>
      </w:r>
      <w:r>
        <w:rPr/>
        <w:t>no</w:t>
      </w:r>
      <w:r>
        <w:rPr>
          <w:spacing w:val="-8"/>
        </w:rPr>
        <w:t> </w:t>
      </w:r>
      <w:r>
        <w:rPr/>
        <w:t>reference</w:t>
      </w:r>
      <w:r>
        <w:rPr>
          <w:spacing w:val="-8"/>
        </w:rPr>
        <w:t> </w:t>
      </w:r>
      <w:r>
        <w:rPr/>
        <w:t>in</w:t>
      </w:r>
      <w:r>
        <w:rPr>
          <w:spacing w:val="-8"/>
        </w:rPr>
        <w:t> </w:t>
      </w:r>
      <w:r>
        <w:rPr/>
        <w:t>the</w:t>
      </w:r>
      <w:r>
        <w:rPr>
          <w:spacing w:val="-8"/>
        </w:rPr>
        <w:t> </w:t>
      </w:r>
      <w:r>
        <w:rPr/>
        <w:t>Explanatory</w:t>
      </w:r>
      <w:r>
        <w:rPr>
          <w:spacing w:val="-8"/>
        </w:rPr>
        <w:t> </w:t>
      </w:r>
      <w:r>
        <w:rPr/>
        <w:t>Memorandum</w:t>
      </w:r>
      <w:r>
        <w:rPr>
          <w:spacing w:val="-8"/>
        </w:rPr>
        <w:t> </w:t>
      </w:r>
      <w:r>
        <w:rPr/>
        <w:t>to</w:t>
      </w:r>
      <w:r>
        <w:rPr>
          <w:spacing w:val="-8"/>
        </w:rPr>
        <w:t> </w:t>
      </w:r>
      <w:r>
        <w:rPr/>
        <w:t>the</w:t>
      </w:r>
      <w:r>
        <w:rPr>
          <w:spacing w:val="-8"/>
        </w:rPr>
        <w:t> </w:t>
      </w:r>
      <w:r>
        <w:rPr/>
        <w:t>draft Regulations as to what consideration the UK Government had given to compliance with Windsor Framework Article 2.</w:t>
      </w:r>
      <w:r>
        <w:rPr>
          <w:vertAlign w:val="superscript"/>
        </w:rPr>
        <w:t>39</w:t>
      </w:r>
    </w:p>
    <w:p>
      <w:pPr>
        <w:pStyle w:val="ListParagraph"/>
        <w:numPr>
          <w:ilvl w:val="1"/>
          <w:numId w:val="5"/>
        </w:numPr>
        <w:tabs>
          <w:tab w:pos="1853" w:val="left" w:leader="none"/>
        </w:tabs>
        <w:spacing w:line="218" w:lineRule="auto" w:before="307" w:after="0"/>
        <w:ind w:left="1853" w:right="1511" w:hanging="720"/>
        <w:jc w:val="left"/>
        <w:rPr>
          <w:sz w:val="28"/>
        </w:rPr>
      </w:pPr>
      <w:r>
        <w:rPr>
          <w:sz w:val="28"/>
        </w:rPr>
        <w:t>In May 2023, the Commissions, in evidence to the House of Lords Sub- Committee on the Ireland/NI Protocol,</w:t>
      </w:r>
      <w:r>
        <w:rPr>
          <w:sz w:val="28"/>
          <w:vertAlign w:val="superscript"/>
        </w:rPr>
        <w:t>40</w:t>
      </w:r>
      <w:r>
        <w:rPr>
          <w:sz w:val="28"/>
          <w:vertAlign w:val="baseline"/>
        </w:rPr>
        <w:t> welcomed the exclusion of Annex 1</w:t>
      </w:r>
      <w:r>
        <w:rPr>
          <w:spacing w:val="-5"/>
          <w:sz w:val="28"/>
          <w:vertAlign w:val="baseline"/>
        </w:rPr>
        <w:t> </w:t>
      </w:r>
      <w:r>
        <w:rPr>
          <w:sz w:val="28"/>
          <w:vertAlign w:val="baseline"/>
        </w:rPr>
        <w:t>equality</w:t>
      </w:r>
      <w:r>
        <w:rPr>
          <w:spacing w:val="-5"/>
          <w:sz w:val="28"/>
          <w:vertAlign w:val="baseline"/>
        </w:rPr>
        <w:t> </w:t>
      </w:r>
      <w:r>
        <w:rPr>
          <w:sz w:val="28"/>
          <w:vertAlign w:val="baseline"/>
        </w:rPr>
        <w:t>directives</w:t>
      </w:r>
      <w:r>
        <w:rPr>
          <w:spacing w:val="-6"/>
          <w:sz w:val="28"/>
          <w:vertAlign w:val="baseline"/>
        </w:rPr>
        <w:t> </w:t>
      </w:r>
      <w:r>
        <w:rPr>
          <w:sz w:val="28"/>
          <w:vertAlign w:val="baseline"/>
        </w:rPr>
        <w:t>from</w:t>
      </w:r>
      <w:r>
        <w:rPr>
          <w:spacing w:val="-5"/>
          <w:sz w:val="28"/>
          <w:vertAlign w:val="baseline"/>
        </w:rPr>
        <w:t> </w:t>
      </w:r>
      <w:r>
        <w:rPr>
          <w:sz w:val="28"/>
          <w:vertAlign w:val="baseline"/>
        </w:rPr>
        <w:t>Article</w:t>
      </w:r>
      <w:r>
        <w:rPr>
          <w:spacing w:val="-5"/>
          <w:sz w:val="28"/>
          <w:vertAlign w:val="baseline"/>
        </w:rPr>
        <w:t> </w:t>
      </w:r>
      <w:r>
        <w:rPr>
          <w:sz w:val="28"/>
          <w:vertAlign w:val="baseline"/>
        </w:rPr>
        <w:t>13(3a)</w:t>
      </w:r>
      <w:r>
        <w:rPr>
          <w:spacing w:val="-6"/>
          <w:sz w:val="28"/>
          <w:vertAlign w:val="baseline"/>
        </w:rPr>
        <w:t> </w:t>
      </w:r>
      <w:r>
        <w:rPr>
          <w:sz w:val="28"/>
          <w:vertAlign w:val="baseline"/>
        </w:rPr>
        <w:t>of</w:t>
      </w:r>
      <w:r>
        <w:rPr>
          <w:spacing w:val="-6"/>
          <w:sz w:val="28"/>
          <w:vertAlign w:val="baseline"/>
        </w:rPr>
        <w:t> </w:t>
      </w:r>
      <w:r>
        <w:rPr>
          <w:sz w:val="28"/>
          <w:vertAlign w:val="baseline"/>
        </w:rPr>
        <w:t>the</w:t>
      </w:r>
      <w:r>
        <w:rPr>
          <w:spacing w:val="-5"/>
          <w:sz w:val="28"/>
          <w:vertAlign w:val="baseline"/>
        </w:rPr>
        <w:t> </w:t>
      </w:r>
      <w:r>
        <w:rPr>
          <w:sz w:val="28"/>
          <w:vertAlign w:val="baseline"/>
        </w:rPr>
        <w:t>Windsor</w:t>
      </w:r>
      <w:r>
        <w:rPr>
          <w:spacing w:val="-5"/>
          <w:sz w:val="28"/>
          <w:vertAlign w:val="baseline"/>
        </w:rPr>
        <w:t> </w:t>
      </w:r>
      <w:r>
        <w:rPr>
          <w:sz w:val="28"/>
          <w:vertAlign w:val="baseline"/>
        </w:rPr>
        <w:t>Framework</w:t>
      </w:r>
      <w:r>
        <w:rPr>
          <w:spacing w:val="-5"/>
          <w:sz w:val="28"/>
          <w:vertAlign w:val="baseline"/>
        </w:rPr>
        <w:t> </w:t>
      </w:r>
      <w:r>
        <w:rPr>
          <w:sz w:val="28"/>
          <w:vertAlign w:val="baseline"/>
        </w:rPr>
        <w:t>and</w:t>
      </w:r>
      <w:r>
        <w:rPr>
          <w:spacing w:val="-6"/>
          <w:sz w:val="28"/>
          <w:vertAlign w:val="baseline"/>
        </w:rPr>
        <w:t> </w:t>
      </w:r>
      <w:r>
        <w:rPr>
          <w:sz w:val="28"/>
          <w:vertAlign w:val="baseline"/>
        </w:rPr>
        <w:t>the</w:t>
      </w:r>
    </w:p>
    <w:p>
      <w:pPr>
        <w:pStyle w:val="BodyText"/>
        <w:spacing w:line="218" w:lineRule="auto"/>
        <w:ind w:left="1853" w:right="1124"/>
      </w:pPr>
      <w:r>
        <w:rPr/>
        <w:t>‘Stormont</w:t>
      </w:r>
      <w:r>
        <w:rPr>
          <w:spacing w:val="-14"/>
        </w:rPr>
        <w:t> </w:t>
      </w:r>
      <w:r>
        <w:rPr/>
        <w:t>brake’</w:t>
      </w:r>
      <w:r>
        <w:rPr>
          <w:spacing w:val="-14"/>
        </w:rPr>
        <w:t> </w:t>
      </w:r>
      <w:r>
        <w:rPr/>
        <w:t>mechanism.</w:t>
      </w:r>
      <w:r>
        <w:rPr>
          <w:vertAlign w:val="superscript"/>
        </w:rPr>
        <w:t>41</w:t>
      </w:r>
      <w:r>
        <w:rPr>
          <w:spacing w:val="35"/>
          <w:vertAlign w:val="baseline"/>
        </w:rPr>
        <w:t> </w:t>
      </w:r>
      <w:r>
        <w:rPr>
          <w:vertAlign w:val="baseline"/>
        </w:rPr>
        <w:t>However,</w:t>
      </w:r>
      <w:r>
        <w:rPr>
          <w:spacing w:val="-14"/>
          <w:vertAlign w:val="baseline"/>
        </w:rPr>
        <w:t> </w:t>
      </w:r>
      <w:r>
        <w:rPr>
          <w:vertAlign w:val="baseline"/>
        </w:rPr>
        <w:t>the</w:t>
      </w:r>
      <w:r>
        <w:rPr>
          <w:spacing w:val="-14"/>
          <w:vertAlign w:val="baseline"/>
        </w:rPr>
        <w:t> </w:t>
      </w:r>
      <w:r>
        <w:rPr>
          <w:vertAlign w:val="baseline"/>
        </w:rPr>
        <w:t>Commissions</w:t>
      </w:r>
      <w:r>
        <w:rPr>
          <w:spacing w:val="-14"/>
          <w:vertAlign w:val="baseline"/>
        </w:rPr>
        <w:t> </w:t>
      </w:r>
      <w:r>
        <w:rPr>
          <w:vertAlign w:val="baseline"/>
        </w:rPr>
        <w:t>are</w:t>
      </w:r>
      <w:r>
        <w:rPr>
          <w:spacing w:val="-14"/>
          <w:vertAlign w:val="baseline"/>
        </w:rPr>
        <w:t> </w:t>
      </w:r>
      <w:r>
        <w:rPr>
          <w:vertAlign w:val="baseline"/>
        </w:rPr>
        <w:t>concerned</w:t>
      </w:r>
      <w:r>
        <w:rPr>
          <w:spacing w:val="-14"/>
          <w:vertAlign w:val="baseline"/>
        </w:rPr>
        <w:t> </w:t>
      </w:r>
      <w:r>
        <w:rPr>
          <w:vertAlign w:val="baseline"/>
        </w:rPr>
        <w:t>that there</w:t>
      </w:r>
      <w:r>
        <w:rPr>
          <w:spacing w:val="-2"/>
          <w:vertAlign w:val="baseline"/>
        </w:rPr>
        <w:t> </w:t>
      </w:r>
      <w:r>
        <w:rPr>
          <w:vertAlign w:val="baseline"/>
        </w:rPr>
        <w:t>is</w:t>
      </w:r>
      <w:r>
        <w:rPr>
          <w:spacing w:val="-3"/>
          <w:vertAlign w:val="baseline"/>
        </w:rPr>
        <w:t> </w:t>
      </w:r>
      <w:r>
        <w:rPr>
          <w:vertAlign w:val="baseline"/>
        </w:rPr>
        <w:t>potential</w:t>
      </w:r>
      <w:r>
        <w:rPr>
          <w:spacing w:val="-3"/>
          <w:vertAlign w:val="baseline"/>
        </w:rPr>
        <w:t> </w:t>
      </w:r>
      <w:r>
        <w:rPr>
          <w:vertAlign w:val="baseline"/>
        </w:rPr>
        <w:t>for</w:t>
      </w:r>
      <w:r>
        <w:rPr>
          <w:spacing w:val="-2"/>
          <w:vertAlign w:val="baseline"/>
        </w:rPr>
        <w:t> </w:t>
      </w:r>
      <w:r>
        <w:rPr>
          <w:vertAlign w:val="baseline"/>
        </w:rPr>
        <w:t>the</w:t>
      </w:r>
      <w:r>
        <w:rPr>
          <w:spacing w:val="-2"/>
          <w:vertAlign w:val="baseline"/>
        </w:rPr>
        <w:t> </w:t>
      </w:r>
      <w:r>
        <w:rPr>
          <w:vertAlign w:val="baseline"/>
        </w:rPr>
        <w:t>‘Stormont</w:t>
      </w:r>
      <w:r>
        <w:rPr>
          <w:spacing w:val="-2"/>
          <w:vertAlign w:val="baseline"/>
        </w:rPr>
        <w:t> </w:t>
      </w:r>
      <w:r>
        <w:rPr>
          <w:vertAlign w:val="baseline"/>
        </w:rPr>
        <w:t>brake’</w:t>
      </w:r>
      <w:r>
        <w:rPr>
          <w:spacing w:val="-2"/>
          <w:vertAlign w:val="baseline"/>
        </w:rPr>
        <w:t> </w:t>
      </w:r>
      <w:r>
        <w:rPr>
          <w:vertAlign w:val="baseline"/>
        </w:rPr>
        <w:t>mechanism</w:t>
      </w:r>
      <w:r>
        <w:rPr>
          <w:spacing w:val="-2"/>
          <w:vertAlign w:val="baseline"/>
        </w:rPr>
        <w:t> </w:t>
      </w:r>
      <w:r>
        <w:rPr>
          <w:vertAlign w:val="baseline"/>
        </w:rPr>
        <w:t>to</w:t>
      </w:r>
      <w:r>
        <w:rPr>
          <w:spacing w:val="-3"/>
          <w:vertAlign w:val="baseline"/>
        </w:rPr>
        <w:t> </w:t>
      </w:r>
      <w:r>
        <w:rPr>
          <w:vertAlign w:val="baseline"/>
        </w:rPr>
        <w:t>have</w:t>
      </w:r>
      <w:r>
        <w:rPr>
          <w:spacing w:val="-2"/>
          <w:vertAlign w:val="baseline"/>
        </w:rPr>
        <w:t> </w:t>
      </w:r>
      <w:r>
        <w:rPr>
          <w:vertAlign w:val="baseline"/>
        </w:rPr>
        <w:t>implications</w:t>
      </w:r>
      <w:r>
        <w:rPr>
          <w:spacing w:val="-3"/>
          <w:vertAlign w:val="baseline"/>
        </w:rPr>
        <w:t> </w:t>
      </w:r>
      <w:r>
        <w:rPr>
          <w:vertAlign w:val="baseline"/>
        </w:rPr>
        <w:t>for equality and human rights in NI and for divergence of rights on the island of Ireland in so far as it relates to EU law in Annex 2 of the Windsor Framework which has been identified by the Commissions as falling within the scope</w:t>
      </w:r>
    </w:p>
    <w:p>
      <w:pPr>
        <w:pStyle w:val="BodyText"/>
        <w:spacing w:line="218" w:lineRule="auto"/>
        <w:ind w:left="1853" w:right="1171"/>
      </w:pPr>
      <w:r>
        <w:rPr/>
        <w:t>of the Article 2 ‘non-diminution’ commitment.</w:t>
      </w:r>
      <w:r>
        <w:rPr>
          <w:vertAlign w:val="superscript"/>
        </w:rPr>
        <w:t>42</w:t>
      </w:r>
      <w:r>
        <w:rPr>
          <w:spacing w:val="40"/>
          <w:vertAlign w:val="baseline"/>
        </w:rPr>
        <w:t> </w:t>
      </w:r>
      <w:r>
        <w:rPr>
          <w:vertAlign w:val="baseline"/>
        </w:rPr>
        <w:t>The Commissions are also concerned</w:t>
      </w:r>
      <w:r>
        <w:rPr>
          <w:spacing w:val="-8"/>
          <w:vertAlign w:val="baseline"/>
        </w:rPr>
        <w:t> </w:t>
      </w:r>
      <w:r>
        <w:rPr>
          <w:vertAlign w:val="baseline"/>
        </w:rPr>
        <w:t>that</w:t>
      </w:r>
      <w:r>
        <w:rPr>
          <w:spacing w:val="-7"/>
          <w:vertAlign w:val="baseline"/>
        </w:rPr>
        <w:t> </w:t>
      </w:r>
      <w:r>
        <w:rPr>
          <w:vertAlign w:val="baseline"/>
        </w:rPr>
        <w:t>new</w:t>
      </w:r>
      <w:r>
        <w:rPr>
          <w:spacing w:val="-7"/>
          <w:vertAlign w:val="baseline"/>
        </w:rPr>
        <w:t> </w:t>
      </w:r>
      <w:r>
        <w:rPr>
          <w:vertAlign w:val="baseline"/>
        </w:rPr>
        <w:t>procedural</w:t>
      </w:r>
      <w:r>
        <w:rPr>
          <w:spacing w:val="-8"/>
          <w:vertAlign w:val="baseline"/>
        </w:rPr>
        <w:t> </w:t>
      </w:r>
      <w:r>
        <w:rPr>
          <w:vertAlign w:val="baseline"/>
        </w:rPr>
        <w:t>hurdles</w:t>
      </w:r>
      <w:r>
        <w:rPr>
          <w:spacing w:val="-8"/>
          <w:vertAlign w:val="baseline"/>
        </w:rPr>
        <w:t> </w:t>
      </w:r>
      <w:r>
        <w:rPr>
          <w:vertAlign w:val="baseline"/>
        </w:rPr>
        <w:t>in</w:t>
      </w:r>
      <w:r>
        <w:rPr>
          <w:spacing w:val="-8"/>
          <w:vertAlign w:val="baseline"/>
        </w:rPr>
        <w:t> </w:t>
      </w:r>
      <w:r>
        <w:rPr>
          <w:vertAlign w:val="baseline"/>
        </w:rPr>
        <w:t>‘applicability</w:t>
      </w:r>
      <w:r>
        <w:rPr>
          <w:spacing w:val="-7"/>
          <w:vertAlign w:val="baseline"/>
        </w:rPr>
        <w:t> </w:t>
      </w:r>
      <w:r>
        <w:rPr>
          <w:vertAlign w:val="baseline"/>
        </w:rPr>
        <w:t>motions’</w:t>
      </w:r>
      <w:r>
        <w:rPr>
          <w:spacing w:val="-7"/>
          <w:vertAlign w:val="baseline"/>
        </w:rPr>
        <w:t> </w:t>
      </w:r>
      <w:r>
        <w:rPr>
          <w:vertAlign w:val="baseline"/>
        </w:rPr>
        <w:t>may</w:t>
      </w:r>
      <w:r>
        <w:rPr>
          <w:spacing w:val="-7"/>
          <w:vertAlign w:val="baseline"/>
        </w:rPr>
        <w:t> </w:t>
      </w:r>
      <w:r>
        <w:rPr>
          <w:vertAlign w:val="baseline"/>
        </w:rPr>
        <w:t>impede the inclusion of new EU equality and human rights measures in Annex 1.</w:t>
      </w:r>
      <w:r>
        <w:rPr>
          <w:vertAlign w:val="superscript"/>
        </w:rPr>
        <w:t>43</w:t>
      </w:r>
    </w:p>
    <w:p>
      <w:pPr>
        <w:pStyle w:val="ListParagraph"/>
        <w:numPr>
          <w:ilvl w:val="1"/>
          <w:numId w:val="5"/>
        </w:numPr>
        <w:tabs>
          <w:tab w:pos="1853" w:val="left" w:leader="none"/>
        </w:tabs>
        <w:spacing w:line="218" w:lineRule="auto" w:before="299" w:after="0"/>
        <w:ind w:left="1853" w:right="1980" w:hanging="720"/>
        <w:jc w:val="left"/>
        <w:rPr>
          <w:sz w:val="28"/>
        </w:rPr>
      </w:pPr>
      <w:r>
        <w:rPr>
          <w:sz w:val="28"/>
        </w:rPr>
        <w:t>In</w:t>
      </w:r>
      <w:r>
        <w:rPr>
          <w:spacing w:val="-9"/>
          <w:sz w:val="28"/>
        </w:rPr>
        <w:t> </w:t>
      </w:r>
      <w:r>
        <w:rPr>
          <w:sz w:val="28"/>
        </w:rPr>
        <w:t>December</w:t>
      </w:r>
      <w:r>
        <w:rPr>
          <w:spacing w:val="-8"/>
          <w:sz w:val="28"/>
        </w:rPr>
        <w:t> </w:t>
      </w:r>
      <w:r>
        <w:rPr>
          <w:sz w:val="28"/>
        </w:rPr>
        <w:t>2023,</w:t>
      </w:r>
      <w:r>
        <w:rPr>
          <w:spacing w:val="-8"/>
          <w:sz w:val="28"/>
        </w:rPr>
        <w:t> </w:t>
      </w:r>
      <w:r>
        <w:rPr>
          <w:sz w:val="28"/>
        </w:rPr>
        <w:t>the</w:t>
      </w:r>
      <w:r>
        <w:rPr>
          <w:spacing w:val="-8"/>
          <w:sz w:val="28"/>
        </w:rPr>
        <w:t> </w:t>
      </w:r>
      <w:r>
        <w:rPr>
          <w:sz w:val="28"/>
        </w:rPr>
        <w:t>ECNI</w:t>
      </w:r>
      <w:r>
        <w:rPr>
          <w:spacing w:val="-8"/>
          <w:sz w:val="28"/>
        </w:rPr>
        <w:t> </w:t>
      </w:r>
      <w:r>
        <w:rPr>
          <w:sz w:val="28"/>
        </w:rPr>
        <w:t>highlighted</w:t>
      </w:r>
      <w:r>
        <w:rPr>
          <w:spacing w:val="-9"/>
          <w:sz w:val="28"/>
        </w:rPr>
        <w:t> </w:t>
      </w:r>
      <w:r>
        <w:rPr>
          <w:sz w:val="28"/>
        </w:rPr>
        <w:t>concerns</w:t>
      </w:r>
      <w:r>
        <w:rPr>
          <w:spacing w:val="-9"/>
          <w:sz w:val="28"/>
        </w:rPr>
        <w:t> </w:t>
      </w:r>
      <w:r>
        <w:rPr>
          <w:sz w:val="28"/>
        </w:rPr>
        <w:t>regarding</w:t>
      </w:r>
      <w:r>
        <w:rPr>
          <w:spacing w:val="-8"/>
          <w:sz w:val="28"/>
        </w:rPr>
        <w:t> </w:t>
      </w:r>
      <w:r>
        <w:rPr>
          <w:sz w:val="28"/>
        </w:rPr>
        <w:t>divergence of rights in a submission to the House of Lords Sub-Committee on the</w:t>
      </w:r>
    </w:p>
    <w:p>
      <w:pPr>
        <w:pStyle w:val="BodyText"/>
        <w:spacing w:line="218" w:lineRule="auto"/>
        <w:ind w:left="1853" w:right="1171"/>
      </w:pPr>
      <w:r>
        <w:rPr/>
        <w:t>Windsor</w:t>
      </w:r>
      <w:r>
        <w:rPr>
          <w:spacing w:val="-8"/>
        </w:rPr>
        <w:t> </w:t>
      </w:r>
      <w:r>
        <w:rPr/>
        <w:t>Framework.</w:t>
      </w:r>
      <w:r>
        <w:rPr>
          <w:vertAlign w:val="superscript"/>
        </w:rPr>
        <w:t>44</w:t>
      </w:r>
      <w:r>
        <w:rPr>
          <w:spacing w:val="40"/>
          <w:vertAlign w:val="baseline"/>
        </w:rPr>
        <w:t> </w:t>
      </w:r>
      <w:r>
        <w:rPr>
          <w:vertAlign w:val="baseline"/>
        </w:rPr>
        <w:t>The</w:t>
      </w:r>
      <w:r>
        <w:rPr>
          <w:spacing w:val="-8"/>
          <w:vertAlign w:val="baseline"/>
        </w:rPr>
        <w:t> </w:t>
      </w:r>
      <w:r>
        <w:rPr>
          <w:vertAlign w:val="baseline"/>
        </w:rPr>
        <w:t>ECNI</w:t>
      </w:r>
      <w:r>
        <w:rPr>
          <w:spacing w:val="-8"/>
          <w:vertAlign w:val="baseline"/>
        </w:rPr>
        <w:t> </w:t>
      </w:r>
      <w:r>
        <w:rPr>
          <w:vertAlign w:val="baseline"/>
        </w:rPr>
        <w:t>highlighted</w:t>
      </w:r>
      <w:r>
        <w:rPr>
          <w:spacing w:val="-9"/>
          <w:vertAlign w:val="baseline"/>
        </w:rPr>
        <w:t> </w:t>
      </w:r>
      <w:r>
        <w:rPr>
          <w:vertAlign w:val="baseline"/>
        </w:rPr>
        <w:t>its</w:t>
      </w:r>
      <w:r>
        <w:rPr>
          <w:spacing w:val="-9"/>
          <w:vertAlign w:val="baseline"/>
        </w:rPr>
        <w:t> </w:t>
      </w:r>
      <w:r>
        <w:rPr>
          <w:vertAlign w:val="baseline"/>
        </w:rPr>
        <w:t>concerns</w:t>
      </w:r>
      <w:r>
        <w:rPr>
          <w:spacing w:val="-9"/>
          <w:vertAlign w:val="baseline"/>
        </w:rPr>
        <w:t> </w:t>
      </w:r>
      <w:r>
        <w:rPr>
          <w:vertAlign w:val="baseline"/>
        </w:rPr>
        <w:t>about</w:t>
      </w:r>
      <w:r>
        <w:rPr>
          <w:spacing w:val="-8"/>
          <w:vertAlign w:val="baseline"/>
        </w:rPr>
        <w:t> </w:t>
      </w:r>
      <w:r>
        <w:rPr>
          <w:vertAlign w:val="baseline"/>
        </w:rPr>
        <w:t>the</w:t>
      </w:r>
      <w:r>
        <w:rPr>
          <w:spacing w:val="-8"/>
          <w:vertAlign w:val="baseline"/>
        </w:rPr>
        <w:t> </w:t>
      </w:r>
      <w:r>
        <w:rPr>
          <w:vertAlign w:val="baseline"/>
        </w:rPr>
        <w:t>potential implications for equality and human rights in NI and for an increasing risk</w:t>
      </w:r>
    </w:p>
    <w:p>
      <w:pPr>
        <w:pStyle w:val="BodyText"/>
        <w:spacing w:line="218" w:lineRule="auto"/>
        <w:ind w:left="1853" w:right="1171"/>
      </w:pPr>
      <w:r>
        <w:rPr/>
        <w:t>of divergence of rights on the island of Ireland stemming from the changes introduced regarding applicability motions aligned to Article 13(4) of the Windsor</w:t>
      </w:r>
      <w:r>
        <w:rPr>
          <w:spacing w:val="-7"/>
        </w:rPr>
        <w:t> </w:t>
      </w:r>
      <w:r>
        <w:rPr/>
        <w:t>Framework,</w:t>
      </w:r>
      <w:r>
        <w:rPr>
          <w:spacing w:val="-7"/>
        </w:rPr>
        <w:t> </w:t>
      </w:r>
      <w:r>
        <w:rPr/>
        <w:t>as</w:t>
      </w:r>
      <w:r>
        <w:rPr>
          <w:spacing w:val="-8"/>
        </w:rPr>
        <w:t> </w:t>
      </w:r>
      <w:r>
        <w:rPr/>
        <w:t>well</w:t>
      </w:r>
      <w:r>
        <w:rPr>
          <w:spacing w:val="-8"/>
        </w:rPr>
        <w:t> </w:t>
      </w:r>
      <w:r>
        <w:rPr/>
        <w:t>as</w:t>
      </w:r>
      <w:r>
        <w:rPr>
          <w:spacing w:val="-8"/>
        </w:rPr>
        <w:t> </w:t>
      </w:r>
      <w:r>
        <w:rPr/>
        <w:t>the</w:t>
      </w:r>
      <w:r>
        <w:rPr>
          <w:spacing w:val="-7"/>
        </w:rPr>
        <w:t> </w:t>
      </w:r>
      <w:r>
        <w:rPr/>
        <w:t>‘Stormont</w:t>
      </w:r>
      <w:r>
        <w:rPr>
          <w:spacing w:val="-7"/>
        </w:rPr>
        <w:t> </w:t>
      </w:r>
      <w:r>
        <w:rPr/>
        <w:t>brake’</w:t>
      </w:r>
      <w:r>
        <w:rPr>
          <w:spacing w:val="-7"/>
        </w:rPr>
        <w:t> </w:t>
      </w:r>
      <w:r>
        <w:rPr/>
        <w:t>mechanism,</w:t>
      </w:r>
      <w:r>
        <w:rPr>
          <w:spacing w:val="-7"/>
        </w:rPr>
        <w:t> </w:t>
      </w:r>
      <w:r>
        <w:rPr/>
        <w:t>as</w:t>
      </w:r>
      <w:r>
        <w:rPr>
          <w:spacing w:val="-8"/>
        </w:rPr>
        <w:t> </w:t>
      </w:r>
      <w:r>
        <w:rPr/>
        <w:t>it</w:t>
      </w:r>
      <w:r>
        <w:rPr>
          <w:spacing w:val="-7"/>
        </w:rPr>
        <w:t> </w:t>
      </w:r>
      <w:r>
        <w:rPr/>
        <w:t>relates to certain EU law in Annex 2 of the Windsor Framework.</w:t>
      </w:r>
      <w:r>
        <w:rPr>
          <w:vertAlign w:val="superscript"/>
        </w:rPr>
        <w:t>45</w:t>
      </w:r>
    </w:p>
    <w:p>
      <w:pPr>
        <w:pStyle w:val="ListParagraph"/>
        <w:numPr>
          <w:ilvl w:val="1"/>
          <w:numId w:val="5"/>
        </w:numPr>
        <w:tabs>
          <w:tab w:pos="1853" w:val="left" w:leader="none"/>
        </w:tabs>
        <w:spacing w:line="218" w:lineRule="auto" w:before="302" w:after="0"/>
        <w:ind w:left="1853" w:right="1316" w:hanging="720"/>
        <w:jc w:val="left"/>
        <w:rPr>
          <w:sz w:val="28"/>
        </w:rPr>
      </w:pPr>
      <w:r>
        <w:rPr>
          <w:sz w:val="28"/>
        </w:rPr>
        <w:t>In</w:t>
      </w:r>
      <w:r>
        <w:rPr>
          <w:spacing w:val="-7"/>
          <w:sz w:val="28"/>
        </w:rPr>
        <w:t> </w:t>
      </w:r>
      <w:r>
        <w:rPr>
          <w:sz w:val="28"/>
        </w:rPr>
        <w:t>February</w:t>
      </w:r>
      <w:r>
        <w:rPr>
          <w:spacing w:val="-7"/>
          <w:sz w:val="28"/>
        </w:rPr>
        <w:t> </w:t>
      </w:r>
      <w:r>
        <w:rPr>
          <w:sz w:val="28"/>
        </w:rPr>
        <w:t>2024,</w:t>
      </w:r>
      <w:r>
        <w:rPr>
          <w:spacing w:val="-7"/>
          <w:sz w:val="28"/>
        </w:rPr>
        <w:t> </w:t>
      </w:r>
      <w:r>
        <w:rPr>
          <w:sz w:val="28"/>
        </w:rPr>
        <w:t>following</w:t>
      </w:r>
      <w:r>
        <w:rPr>
          <w:spacing w:val="-7"/>
          <w:sz w:val="28"/>
        </w:rPr>
        <w:t> </w:t>
      </w:r>
      <w:r>
        <w:rPr>
          <w:sz w:val="28"/>
        </w:rPr>
        <w:t>the</w:t>
      </w:r>
      <w:r>
        <w:rPr>
          <w:spacing w:val="-7"/>
          <w:sz w:val="28"/>
        </w:rPr>
        <w:t> </w:t>
      </w:r>
      <w:r>
        <w:rPr>
          <w:sz w:val="28"/>
        </w:rPr>
        <w:t>agreement</w:t>
      </w:r>
      <w:r>
        <w:rPr>
          <w:spacing w:val="-7"/>
          <w:sz w:val="28"/>
        </w:rPr>
        <w:t> </w:t>
      </w:r>
      <w:r>
        <w:rPr>
          <w:sz w:val="28"/>
        </w:rPr>
        <w:t>to</w:t>
      </w:r>
      <w:r>
        <w:rPr>
          <w:spacing w:val="-7"/>
          <w:sz w:val="28"/>
        </w:rPr>
        <w:t> </w:t>
      </w:r>
      <w:r>
        <w:rPr>
          <w:sz w:val="28"/>
        </w:rPr>
        <w:t>restore</w:t>
      </w:r>
      <w:r>
        <w:rPr>
          <w:spacing w:val="-7"/>
          <w:sz w:val="28"/>
        </w:rPr>
        <w:t> </w:t>
      </w:r>
      <w:r>
        <w:rPr>
          <w:sz w:val="28"/>
        </w:rPr>
        <w:t>the</w:t>
      </w:r>
      <w:r>
        <w:rPr>
          <w:spacing w:val="-7"/>
          <w:sz w:val="28"/>
        </w:rPr>
        <w:t> </w:t>
      </w:r>
      <w:r>
        <w:rPr>
          <w:sz w:val="28"/>
        </w:rPr>
        <w:t>NI</w:t>
      </w:r>
      <w:r>
        <w:rPr>
          <w:spacing w:val="-7"/>
          <w:sz w:val="28"/>
        </w:rPr>
        <w:t> </w:t>
      </w:r>
      <w:r>
        <w:rPr>
          <w:sz w:val="28"/>
        </w:rPr>
        <w:t>Executive</w:t>
      </w:r>
      <w:r>
        <w:rPr>
          <w:spacing w:val="-7"/>
          <w:sz w:val="28"/>
        </w:rPr>
        <w:t> </w:t>
      </w:r>
      <w:r>
        <w:rPr>
          <w:sz w:val="28"/>
        </w:rPr>
        <w:t>and</w:t>
      </w:r>
      <w:r>
        <w:rPr>
          <w:spacing w:val="-7"/>
          <w:sz w:val="28"/>
        </w:rPr>
        <w:t> </w:t>
      </w:r>
      <w:r>
        <w:rPr>
          <w:sz w:val="28"/>
        </w:rPr>
        <w:t>NI Assembly the Windsor Framework Democratic Scrutiny Committee was established as a standing committee of the Assembly.</w:t>
      </w:r>
      <w:r>
        <w:rPr>
          <w:sz w:val="28"/>
          <w:vertAlign w:val="superscript"/>
        </w:rPr>
        <w:t>46</w:t>
      </w:r>
      <w:r>
        <w:rPr>
          <w:spacing w:val="40"/>
          <w:sz w:val="28"/>
          <w:vertAlign w:val="baseline"/>
        </w:rPr>
        <w:t> </w:t>
      </w:r>
      <w:r>
        <w:rPr>
          <w:sz w:val="28"/>
          <w:vertAlign w:val="baseline"/>
        </w:rPr>
        <w:t>The purpose of</w:t>
      </w:r>
    </w:p>
    <w:p>
      <w:pPr>
        <w:pStyle w:val="BodyText"/>
        <w:spacing w:line="218" w:lineRule="auto"/>
        <w:ind w:left="1853" w:right="1124"/>
      </w:pPr>
      <w:r>
        <w:rPr/>
        <w:t>the Committee is to assist with the observation and implementation of the ‘Stormont</w:t>
      </w:r>
      <w:r>
        <w:rPr>
          <w:spacing w:val="-9"/>
        </w:rPr>
        <w:t> </w:t>
      </w:r>
      <w:r>
        <w:rPr/>
        <w:t>brake’</w:t>
      </w:r>
      <w:r>
        <w:rPr>
          <w:spacing w:val="-9"/>
        </w:rPr>
        <w:t> </w:t>
      </w:r>
      <w:r>
        <w:rPr/>
        <w:t>mechanism</w:t>
      </w:r>
      <w:r>
        <w:rPr>
          <w:spacing w:val="-9"/>
        </w:rPr>
        <w:t> </w:t>
      </w:r>
      <w:r>
        <w:rPr/>
        <w:t>under</w:t>
      </w:r>
      <w:r>
        <w:rPr>
          <w:spacing w:val="-9"/>
        </w:rPr>
        <w:t> </w:t>
      </w:r>
      <w:r>
        <w:rPr/>
        <w:t>Windsor</w:t>
      </w:r>
      <w:r>
        <w:rPr>
          <w:spacing w:val="-9"/>
        </w:rPr>
        <w:t> </w:t>
      </w:r>
      <w:r>
        <w:rPr/>
        <w:t>Framework</w:t>
      </w:r>
      <w:r>
        <w:rPr>
          <w:spacing w:val="-9"/>
        </w:rPr>
        <w:t> </w:t>
      </w:r>
      <w:r>
        <w:rPr/>
        <w:t>Article</w:t>
      </w:r>
      <w:r>
        <w:rPr>
          <w:spacing w:val="-9"/>
        </w:rPr>
        <w:t> </w:t>
      </w:r>
      <w:r>
        <w:rPr/>
        <w:t>13(3a)</w:t>
      </w:r>
      <w:r>
        <w:rPr>
          <w:spacing w:val="-10"/>
        </w:rPr>
        <w:t> </w:t>
      </w:r>
      <w:r>
        <w:rPr/>
        <w:t>and</w:t>
      </w:r>
      <w:r>
        <w:rPr>
          <w:spacing w:val="-14"/>
        </w:rPr>
        <w:t> </w:t>
      </w:r>
      <w:r>
        <w:rPr/>
        <w:t>(4).</w:t>
      </w:r>
    </w:p>
    <w:p>
      <w:pPr>
        <w:pStyle w:val="BodyText"/>
        <w:spacing w:before="10"/>
        <w:rPr>
          <w:sz w:val="14"/>
        </w:rPr>
      </w:pPr>
      <w:r>
        <w:rPr/>
        <mc:AlternateContent>
          <mc:Choice Requires="wps">
            <w:drawing>
              <wp:anchor distT="0" distB="0" distL="0" distR="0" allowOverlap="1" layoutInCell="1" locked="0" behindDoc="1" simplePos="0" relativeHeight="487625216">
                <wp:simplePos x="0" y="0"/>
                <wp:positionH relativeFrom="page">
                  <wp:posOffset>719996</wp:posOffset>
                </wp:positionH>
                <wp:positionV relativeFrom="paragraph">
                  <wp:posOffset>130218</wp:posOffset>
                </wp:positionV>
                <wp:extent cx="6120130" cy="1270"/>
                <wp:effectExtent l="0" t="0" r="0" b="0"/>
                <wp:wrapTopAndBottom/>
                <wp:docPr id="137" name="Graphic 137"/>
                <wp:cNvGraphicFramePr>
                  <a:graphicFrameLocks/>
                </wp:cNvGraphicFramePr>
                <a:graphic>
                  <a:graphicData uri="http://schemas.microsoft.com/office/word/2010/wordprocessingShape">
                    <wps:wsp>
                      <wps:cNvPr id="137" name="Graphic 137"/>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0.253395pt;width:481.9pt;height:.1pt;mso-position-horizontal-relative:page;mso-position-vertical-relative:paragraph;z-index:-15691264;mso-wrap-distance-left:0;mso-wrap-distance-right:0" id="docshape94" coordorigin="1134,205" coordsize="9638,0" path="m10772,205l1134,205e" filled="false" stroked="true" strokeweight="1pt" strokecolor="#393b80">
                <v:path arrowok="t"/>
                <v:stroke dashstyle="solid"/>
                <w10:wrap type="topAndBottom"/>
              </v:shape>
            </w:pict>
          </mc:Fallback>
        </mc:AlternateContent>
      </w:r>
    </w:p>
    <w:p>
      <w:pPr>
        <w:pStyle w:val="ListParagraph"/>
        <w:numPr>
          <w:ilvl w:val="0"/>
          <w:numId w:val="3"/>
        </w:numPr>
        <w:tabs>
          <w:tab w:pos="1853" w:val="left" w:leader="none"/>
        </w:tabs>
        <w:spacing w:line="235" w:lineRule="auto" w:before="130" w:after="0"/>
        <w:ind w:left="1853" w:right="1318" w:hanging="720"/>
        <w:jc w:val="left"/>
        <w:rPr>
          <w:sz w:val="18"/>
        </w:rPr>
      </w:pPr>
      <w:r>
        <w:rPr>
          <w:sz w:val="18"/>
        </w:rPr>
        <w:t>Equality</w:t>
      </w:r>
      <w:r>
        <w:rPr>
          <w:spacing w:val="-2"/>
          <w:sz w:val="18"/>
        </w:rPr>
        <w:t> </w:t>
      </w:r>
      <w:r>
        <w:rPr>
          <w:sz w:val="18"/>
        </w:rPr>
        <w:t>Commission</w:t>
      </w:r>
      <w:r>
        <w:rPr>
          <w:spacing w:val="-3"/>
          <w:sz w:val="18"/>
        </w:rPr>
        <w:t> </w:t>
      </w:r>
      <w:r>
        <w:rPr>
          <w:sz w:val="18"/>
        </w:rPr>
        <w:t>for</w:t>
      </w:r>
      <w:r>
        <w:rPr>
          <w:spacing w:val="-2"/>
          <w:sz w:val="18"/>
        </w:rPr>
        <w:t> </w:t>
      </w:r>
      <w:r>
        <w:rPr>
          <w:sz w:val="18"/>
        </w:rPr>
        <w:t>NI</w:t>
      </w:r>
      <w:r>
        <w:rPr>
          <w:spacing w:val="-2"/>
          <w:sz w:val="18"/>
        </w:rPr>
        <w:t> </w:t>
      </w:r>
      <w:r>
        <w:rPr>
          <w:sz w:val="18"/>
        </w:rPr>
        <w:t>and</w:t>
      </w:r>
      <w:r>
        <w:rPr>
          <w:spacing w:val="-3"/>
          <w:sz w:val="18"/>
        </w:rPr>
        <w:t> </w:t>
      </w:r>
      <w:r>
        <w:rPr>
          <w:sz w:val="18"/>
        </w:rPr>
        <w:t>NI</w:t>
      </w:r>
      <w:r>
        <w:rPr>
          <w:spacing w:val="-2"/>
          <w:sz w:val="18"/>
        </w:rPr>
        <w:t> </w:t>
      </w:r>
      <w:r>
        <w:rPr>
          <w:sz w:val="18"/>
        </w:rPr>
        <w:t>Human</w:t>
      </w:r>
      <w:r>
        <w:rPr>
          <w:spacing w:val="-3"/>
          <w:sz w:val="18"/>
        </w:rPr>
        <w:t> </w:t>
      </w:r>
      <w:r>
        <w:rPr>
          <w:sz w:val="18"/>
        </w:rPr>
        <w:t>Rights</w:t>
      </w:r>
      <w:r>
        <w:rPr>
          <w:spacing w:val="-3"/>
          <w:sz w:val="18"/>
        </w:rPr>
        <w:t> </w:t>
      </w:r>
      <w:r>
        <w:rPr>
          <w:sz w:val="18"/>
        </w:rPr>
        <w:t>Commission,</w:t>
      </w:r>
      <w:r>
        <w:rPr>
          <w:spacing w:val="-2"/>
          <w:sz w:val="18"/>
        </w:rPr>
        <w:t> </w:t>
      </w:r>
      <w:r>
        <w:rPr>
          <w:sz w:val="18"/>
        </w:rPr>
        <w:t>‘Submission</w:t>
      </w:r>
      <w:r>
        <w:rPr>
          <w:spacing w:val="-3"/>
          <w:sz w:val="18"/>
        </w:rPr>
        <w:t> </w:t>
      </w:r>
      <w:r>
        <w:rPr>
          <w:sz w:val="18"/>
        </w:rPr>
        <w:t>of</w:t>
      </w:r>
      <w:r>
        <w:rPr>
          <w:spacing w:val="-3"/>
          <w:sz w:val="18"/>
        </w:rPr>
        <w:t> </w:t>
      </w:r>
      <w:r>
        <w:rPr>
          <w:sz w:val="18"/>
        </w:rPr>
        <w:t>the</w:t>
      </w:r>
      <w:r>
        <w:rPr>
          <w:spacing w:val="-2"/>
          <w:sz w:val="18"/>
        </w:rPr>
        <w:t> </w:t>
      </w:r>
      <w:r>
        <w:rPr>
          <w:sz w:val="18"/>
        </w:rPr>
        <w:t>NIHRC</w:t>
      </w:r>
      <w:r>
        <w:rPr>
          <w:spacing w:val="-3"/>
          <w:sz w:val="18"/>
        </w:rPr>
        <w:t> </w:t>
      </w:r>
      <w:r>
        <w:rPr>
          <w:sz w:val="18"/>
        </w:rPr>
        <w:t>and</w:t>
      </w:r>
      <w:r>
        <w:rPr>
          <w:spacing w:val="-3"/>
          <w:sz w:val="18"/>
        </w:rPr>
        <w:t> </w:t>
      </w:r>
      <w:r>
        <w:rPr>
          <w:sz w:val="18"/>
        </w:rPr>
        <w:t>ECNI</w:t>
      </w:r>
      <w:r>
        <w:rPr>
          <w:spacing w:val="-2"/>
          <w:sz w:val="18"/>
        </w:rPr>
        <w:t> </w:t>
      </w:r>
      <w:r>
        <w:rPr>
          <w:sz w:val="18"/>
        </w:rPr>
        <w:t>to</w:t>
      </w:r>
      <w:r>
        <w:rPr>
          <w:spacing w:val="-3"/>
          <w:sz w:val="18"/>
        </w:rPr>
        <w:t> </w:t>
      </w:r>
      <w:r>
        <w:rPr>
          <w:sz w:val="18"/>
        </w:rPr>
        <w:t>the</w:t>
      </w:r>
      <w:r>
        <w:rPr>
          <w:spacing w:val="-2"/>
          <w:sz w:val="18"/>
        </w:rPr>
        <w:t> </w:t>
      </w:r>
      <w:r>
        <w:rPr>
          <w:sz w:val="18"/>
        </w:rPr>
        <w:t>House</w:t>
      </w:r>
      <w:r>
        <w:rPr>
          <w:spacing w:val="-2"/>
          <w:sz w:val="18"/>
        </w:rPr>
        <w:t> </w:t>
      </w:r>
      <w:r>
        <w:rPr>
          <w:sz w:val="18"/>
        </w:rPr>
        <w:t>of</w:t>
      </w:r>
      <w:r>
        <w:rPr>
          <w:spacing w:val="-3"/>
          <w:sz w:val="18"/>
        </w:rPr>
        <w:t> </w:t>
      </w:r>
      <w:r>
        <w:rPr>
          <w:sz w:val="18"/>
        </w:rPr>
        <w:t>Lords Sub-Committee on the Protocol’s call for evidence for its inquiry on the Windsor Framework’ (ECNI and NIHRC, 2023).</w:t>
      </w:r>
    </w:p>
    <w:p>
      <w:pPr>
        <w:pStyle w:val="ListParagraph"/>
        <w:numPr>
          <w:ilvl w:val="0"/>
          <w:numId w:val="3"/>
        </w:numPr>
        <w:tabs>
          <w:tab w:pos="1853" w:val="left" w:leader="none"/>
          <w:tab w:pos="1866" w:val="left" w:leader="none"/>
        </w:tabs>
        <w:spacing w:line="235" w:lineRule="auto" w:before="1" w:after="0"/>
        <w:ind w:left="1866" w:right="1742" w:hanging="733"/>
        <w:jc w:val="left"/>
        <w:rPr>
          <w:sz w:val="18"/>
        </w:rPr>
      </w:pPr>
      <w:r>
        <w:rPr>
          <w:sz w:val="18"/>
        </w:rPr>
        <w:t>This</w:t>
      </w:r>
      <w:r>
        <w:rPr>
          <w:spacing w:val="-5"/>
          <w:sz w:val="18"/>
        </w:rPr>
        <w:t> </w:t>
      </w:r>
      <w:r>
        <w:rPr>
          <w:sz w:val="18"/>
        </w:rPr>
        <w:t>Committee</w:t>
      </w:r>
      <w:r>
        <w:rPr>
          <w:spacing w:val="-4"/>
          <w:sz w:val="18"/>
        </w:rPr>
        <w:t> </w:t>
      </w:r>
      <w:r>
        <w:rPr>
          <w:sz w:val="18"/>
        </w:rPr>
        <w:t>was</w:t>
      </w:r>
      <w:r>
        <w:rPr>
          <w:spacing w:val="-5"/>
          <w:sz w:val="18"/>
        </w:rPr>
        <w:t> </w:t>
      </w:r>
      <w:r>
        <w:rPr>
          <w:sz w:val="18"/>
        </w:rPr>
        <w:t>renamed</w:t>
      </w:r>
      <w:r>
        <w:rPr>
          <w:spacing w:val="-5"/>
          <w:sz w:val="18"/>
        </w:rPr>
        <w:t> </w:t>
      </w:r>
      <w:r>
        <w:rPr>
          <w:sz w:val="18"/>
        </w:rPr>
        <w:t>in</w:t>
      </w:r>
      <w:r>
        <w:rPr>
          <w:spacing w:val="-5"/>
          <w:sz w:val="18"/>
        </w:rPr>
        <w:t> </w:t>
      </w:r>
      <w:r>
        <w:rPr>
          <w:sz w:val="18"/>
        </w:rPr>
        <w:t>November</w:t>
      </w:r>
      <w:r>
        <w:rPr>
          <w:spacing w:val="-4"/>
          <w:sz w:val="18"/>
        </w:rPr>
        <w:t> </w:t>
      </w:r>
      <w:r>
        <w:rPr>
          <w:sz w:val="18"/>
        </w:rPr>
        <w:t>2023.</w:t>
      </w:r>
      <w:r>
        <w:rPr>
          <w:spacing w:val="-5"/>
          <w:sz w:val="18"/>
        </w:rPr>
        <w:t> </w:t>
      </w:r>
      <w:r>
        <w:rPr>
          <w:sz w:val="18"/>
        </w:rPr>
        <w:t>See</w:t>
      </w:r>
      <w:r>
        <w:rPr>
          <w:spacing w:val="-4"/>
          <w:sz w:val="18"/>
        </w:rPr>
        <w:t> </w:t>
      </w:r>
      <w:r>
        <w:rPr>
          <w:sz w:val="18"/>
        </w:rPr>
        <w:t>House</w:t>
      </w:r>
      <w:r>
        <w:rPr>
          <w:spacing w:val="-4"/>
          <w:sz w:val="18"/>
        </w:rPr>
        <w:t> </w:t>
      </w:r>
      <w:r>
        <w:rPr>
          <w:sz w:val="18"/>
        </w:rPr>
        <w:t>of</w:t>
      </w:r>
      <w:r>
        <w:rPr>
          <w:spacing w:val="-5"/>
          <w:sz w:val="18"/>
        </w:rPr>
        <w:t> </w:t>
      </w:r>
      <w:r>
        <w:rPr>
          <w:sz w:val="18"/>
        </w:rPr>
        <w:t>Lords</w:t>
      </w:r>
      <w:r>
        <w:rPr>
          <w:spacing w:val="-5"/>
          <w:sz w:val="18"/>
        </w:rPr>
        <w:t> </w:t>
      </w:r>
      <w:r>
        <w:rPr>
          <w:sz w:val="18"/>
        </w:rPr>
        <w:t>Sub-Committee</w:t>
      </w:r>
      <w:r>
        <w:rPr>
          <w:spacing w:val="-4"/>
          <w:sz w:val="18"/>
        </w:rPr>
        <w:t> </w:t>
      </w:r>
      <w:r>
        <w:rPr>
          <w:sz w:val="18"/>
        </w:rPr>
        <w:t>on</w:t>
      </w:r>
      <w:r>
        <w:rPr>
          <w:spacing w:val="-5"/>
          <w:sz w:val="18"/>
        </w:rPr>
        <w:t> </w:t>
      </w:r>
      <w:r>
        <w:rPr>
          <w:sz w:val="18"/>
        </w:rPr>
        <w:t>the</w:t>
      </w:r>
      <w:r>
        <w:rPr>
          <w:spacing w:val="-4"/>
          <w:sz w:val="18"/>
        </w:rPr>
        <w:t> </w:t>
      </w:r>
      <w:r>
        <w:rPr>
          <w:sz w:val="18"/>
        </w:rPr>
        <w:t>Windsor</w:t>
      </w:r>
      <w:r>
        <w:rPr>
          <w:spacing w:val="-4"/>
          <w:sz w:val="18"/>
        </w:rPr>
        <w:t> </w:t>
      </w:r>
      <w:r>
        <w:rPr>
          <w:sz w:val="18"/>
        </w:rPr>
        <w:t>Framework, New name for the Sub-Committee on the Protocol on Ireland/NI’, 15 November 2023.</w:t>
      </w:r>
    </w:p>
    <w:p>
      <w:pPr>
        <w:pStyle w:val="ListParagraph"/>
        <w:numPr>
          <w:ilvl w:val="0"/>
          <w:numId w:val="3"/>
        </w:numPr>
        <w:tabs>
          <w:tab w:pos="1853" w:val="left" w:leader="none"/>
        </w:tabs>
        <w:spacing w:line="235" w:lineRule="auto" w:before="1" w:after="0"/>
        <w:ind w:left="1853" w:right="1508" w:hanging="720"/>
        <w:jc w:val="left"/>
        <w:rPr>
          <w:sz w:val="18"/>
        </w:rPr>
      </w:pPr>
      <w:r>
        <w:rPr>
          <w:sz w:val="18"/>
        </w:rPr>
        <w:t>Under</w:t>
      </w:r>
      <w:r>
        <w:rPr>
          <w:spacing w:val="-4"/>
          <w:sz w:val="18"/>
        </w:rPr>
        <w:t> </w:t>
      </w:r>
      <w:r>
        <w:rPr>
          <w:sz w:val="18"/>
        </w:rPr>
        <w:t>the</w:t>
      </w:r>
      <w:r>
        <w:rPr>
          <w:spacing w:val="-4"/>
          <w:sz w:val="18"/>
        </w:rPr>
        <w:t> </w:t>
      </w:r>
      <w:r>
        <w:rPr>
          <w:sz w:val="18"/>
        </w:rPr>
        <w:t>original</w:t>
      </w:r>
      <w:r>
        <w:rPr>
          <w:spacing w:val="-5"/>
          <w:sz w:val="18"/>
        </w:rPr>
        <w:t> </w:t>
      </w:r>
      <w:r>
        <w:rPr>
          <w:sz w:val="18"/>
        </w:rPr>
        <w:t>Protocol,</w:t>
      </w:r>
      <w:r>
        <w:rPr>
          <w:spacing w:val="-4"/>
          <w:sz w:val="18"/>
        </w:rPr>
        <w:t> </w:t>
      </w:r>
      <w:r>
        <w:rPr>
          <w:sz w:val="18"/>
        </w:rPr>
        <w:t>Article</w:t>
      </w:r>
      <w:r>
        <w:rPr>
          <w:spacing w:val="-4"/>
          <w:sz w:val="18"/>
        </w:rPr>
        <w:t> </w:t>
      </w:r>
      <w:r>
        <w:rPr>
          <w:sz w:val="18"/>
        </w:rPr>
        <w:t>13(3)</w:t>
      </w:r>
      <w:r>
        <w:rPr>
          <w:spacing w:val="-5"/>
          <w:sz w:val="18"/>
        </w:rPr>
        <w:t> </w:t>
      </w:r>
      <w:r>
        <w:rPr>
          <w:sz w:val="18"/>
        </w:rPr>
        <w:t>provides</w:t>
      </w:r>
      <w:r>
        <w:rPr>
          <w:spacing w:val="-5"/>
          <w:sz w:val="18"/>
        </w:rPr>
        <w:t> </w:t>
      </w:r>
      <w:r>
        <w:rPr>
          <w:sz w:val="18"/>
        </w:rPr>
        <w:t>for</w:t>
      </w:r>
      <w:r>
        <w:rPr>
          <w:spacing w:val="-4"/>
          <w:sz w:val="18"/>
        </w:rPr>
        <w:t> </w:t>
      </w:r>
      <w:r>
        <w:rPr>
          <w:sz w:val="18"/>
        </w:rPr>
        <w:t>dynamic</w:t>
      </w:r>
      <w:r>
        <w:rPr>
          <w:spacing w:val="-4"/>
          <w:sz w:val="18"/>
        </w:rPr>
        <w:t> </w:t>
      </w:r>
      <w:r>
        <w:rPr>
          <w:sz w:val="18"/>
        </w:rPr>
        <w:t>alignment</w:t>
      </w:r>
      <w:r>
        <w:rPr>
          <w:spacing w:val="-4"/>
          <w:sz w:val="18"/>
        </w:rPr>
        <w:t> </w:t>
      </w:r>
      <w:r>
        <w:rPr>
          <w:sz w:val="18"/>
        </w:rPr>
        <w:t>of</w:t>
      </w:r>
      <w:r>
        <w:rPr>
          <w:spacing w:val="-5"/>
          <w:sz w:val="18"/>
        </w:rPr>
        <w:t> </w:t>
      </w:r>
      <w:r>
        <w:rPr>
          <w:sz w:val="18"/>
        </w:rPr>
        <w:t>NI</w:t>
      </w:r>
      <w:r>
        <w:rPr>
          <w:spacing w:val="-4"/>
          <w:sz w:val="18"/>
        </w:rPr>
        <w:t> </w:t>
      </w:r>
      <w:r>
        <w:rPr>
          <w:sz w:val="18"/>
        </w:rPr>
        <w:t>standards</w:t>
      </w:r>
      <w:r>
        <w:rPr>
          <w:spacing w:val="-5"/>
          <w:sz w:val="18"/>
        </w:rPr>
        <w:t> </w:t>
      </w:r>
      <w:r>
        <w:rPr>
          <w:sz w:val="18"/>
        </w:rPr>
        <w:t>with</w:t>
      </w:r>
      <w:r>
        <w:rPr>
          <w:spacing w:val="-5"/>
          <w:sz w:val="18"/>
        </w:rPr>
        <w:t> </w:t>
      </w:r>
      <w:r>
        <w:rPr>
          <w:sz w:val="18"/>
        </w:rPr>
        <w:t>EU</w:t>
      </w:r>
      <w:r>
        <w:rPr>
          <w:spacing w:val="-4"/>
          <w:sz w:val="18"/>
        </w:rPr>
        <w:t> </w:t>
      </w:r>
      <w:r>
        <w:rPr>
          <w:sz w:val="18"/>
        </w:rPr>
        <w:t>law</w:t>
      </w:r>
      <w:r>
        <w:rPr>
          <w:spacing w:val="-4"/>
          <w:sz w:val="18"/>
        </w:rPr>
        <w:t> </w:t>
      </w:r>
      <w:r>
        <w:rPr>
          <w:sz w:val="18"/>
        </w:rPr>
        <w:t>stating</w:t>
      </w:r>
      <w:r>
        <w:rPr>
          <w:spacing w:val="-4"/>
          <w:sz w:val="18"/>
        </w:rPr>
        <w:t> </w:t>
      </w:r>
      <w:r>
        <w:rPr>
          <w:sz w:val="18"/>
        </w:rPr>
        <w:t>that</w:t>
      </w:r>
      <w:r>
        <w:rPr>
          <w:spacing w:val="-4"/>
          <w:sz w:val="18"/>
        </w:rPr>
        <w:t> </w:t>
      </w:r>
      <w:r>
        <w:rPr>
          <w:sz w:val="18"/>
        </w:rPr>
        <w:t>any reference to EU law in the Windsor Framework, is to that law “as amended or replaced”. This represents an</w:t>
      </w:r>
      <w:r>
        <w:rPr>
          <w:sz w:val="18"/>
        </w:rPr>
        <w:t> automatic keeping pace obligation, subject to notification obligations. Under the Windsor Framework,</w:t>
      </w:r>
    </w:p>
    <w:p>
      <w:pPr>
        <w:spacing w:line="216" w:lineRule="exact" w:before="0"/>
        <w:ind w:left="1853" w:right="0" w:firstLine="0"/>
        <w:jc w:val="both"/>
        <w:rPr>
          <w:sz w:val="18"/>
        </w:rPr>
      </w:pPr>
      <w:r>
        <w:rPr>
          <w:sz w:val="18"/>
        </w:rPr>
        <w:t>a</w:t>
      </w:r>
      <w:r>
        <w:rPr>
          <w:spacing w:val="-5"/>
          <w:sz w:val="18"/>
        </w:rPr>
        <w:t> </w:t>
      </w:r>
      <w:r>
        <w:rPr>
          <w:sz w:val="18"/>
        </w:rPr>
        <w:t>new</w:t>
      </w:r>
      <w:r>
        <w:rPr>
          <w:spacing w:val="-4"/>
          <w:sz w:val="18"/>
        </w:rPr>
        <w:t> </w:t>
      </w:r>
      <w:r>
        <w:rPr>
          <w:sz w:val="18"/>
        </w:rPr>
        <w:t>provision</w:t>
      </w:r>
      <w:r>
        <w:rPr>
          <w:spacing w:val="-5"/>
          <w:sz w:val="18"/>
        </w:rPr>
        <w:t> </w:t>
      </w:r>
      <w:r>
        <w:rPr>
          <w:sz w:val="18"/>
        </w:rPr>
        <w:t>at</w:t>
      </w:r>
      <w:r>
        <w:rPr>
          <w:spacing w:val="-4"/>
          <w:sz w:val="18"/>
        </w:rPr>
        <w:t> </w:t>
      </w:r>
      <w:r>
        <w:rPr>
          <w:sz w:val="18"/>
        </w:rPr>
        <w:t>Article</w:t>
      </w:r>
      <w:r>
        <w:rPr>
          <w:spacing w:val="-3"/>
          <w:sz w:val="18"/>
        </w:rPr>
        <w:t> </w:t>
      </w:r>
      <w:r>
        <w:rPr>
          <w:sz w:val="18"/>
        </w:rPr>
        <w:t>13(3)(a)</w:t>
      </w:r>
      <w:r>
        <w:rPr>
          <w:spacing w:val="-5"/>
          <w:sz w:val="18"/>
        </w:rPr>
        <w:t> </w:t>
      </w:r>
      <w:r>
        <w:rPr>
          <w:sz w:val="18"/>
        </w:rPr>
        <w:t>would</w:t>
      </w:r>
      <w:r>
        <w:rPr>
          <w:spacing w:val="-5"/>
          <w:sz w:val="18"/>
        </w:rPr>
        <w:t> </w:t>
      </w:r>
      <w:r>
        <w:rPr>
          <w:sz w:val="18"/>
        </w:rPr>
        <w:t>allow</w:t>
      </w:r>
      <w:r>
        <w:rPr>
          <w:spacing w:val="-4"/>
          <w:sz w:val="18"/>
        </w:rPr>
        <w:t> </w:t>
      </w:r>
      <w:r>
        <w:rPr>
          <w:sz w:val="18"/>
        </w:rPr>
        <w:t>for</w:t>
      </w:r>
      <w:r>
        <w:rPr>
          <w:spacing w:val="-3"/>
          <w:sz w:val="18"/>
        </w:rPr>
        <w:t> </w:t>
      </w:r>
      <w:r>
        <w:rPr>
          <w:sz w:val="18"/>
        </w:rPr>
        <w:t>the</w:t>
      </w:r>
      <w:r>
        <w:rPr>
          <w:spacing w:val="-4"/>
          <w:sz w:val="18"/>
        </w:rPr>
        <w:t> </w:t>
      </w:r>
      <w:r>
        <w:rPr>
          <w:sz w:val="18"/>
        </w:rPr>
        <w:t>legislation</w:t>
      </w:r>
      <w:r>
        <w:rPr>
          <w:spacing w:val="-5"/>
          <w:sz w:val="18"/>
        </w:rPr>
        <w:t> </w:t>
      </w:r>
      <w:r>
        <w:rPr>
          <w:sz w:val="18"/>
        </w:rPr>
        <w:t>as</w:t>
      </w:r>
      <w:r>
        <w:rPr>
          <w:spacing w:val="-5"/>
          <w:sz w:val="18"/>
        </w:rPr>
        <w:t> </w:t>
      </w:r>
      <w:r>
        <w:rPr>
          <w:sz w:val="18"/>
        </w:rPr>
        <w:t>amended</w:t>
      </w:r>
      <w:r>
        <w:rPr>
          <w:spacing w:val="-4"/>
          <w:sz w:val="18"/>
        </w:rPr>
        <w:t> </w:t>
      </w:r>
      <w:r>
        <w:rPr>
          <w:sz w:val="18"/>
        </w:rPr>
        <w:t>or</w:t>
      </w:r>
      <w:r>
        <w:rPr>
          <w:spacing w:val="-4"/>
          <w:sz w:val="18"/>
        </w:rPr>
        <w:t> </w:t>
      </w:r>
      <w:r>
        <w:rPr>
          <w:sz w:val="18"/>
        </w:rPr>
        <w:t>replaced</w:t>
      </w:r>
      <w:r>
        <w:rPr>
          <w:spacing w:val="-5"/>
          <w:sz w:val="18"/>
        </w:rPr>
        <w:t> </w:t>
      </w:r>
      <w:r>
        <w:rPr>
          <w:sz w:val="18"/>
        </w:rPr>
        <w:t>not</w:t>
      </w:r>
      <w:r>
        <w:rPr>
          <w:spacing w:val="-4"/>
          <w:sz w:val="18"/>
        </w:rPr>
        <w:t> </w:t>
      </w:r>
      <w:r>
        <w:rPr>
          <w:sz w:val="18"/>
        </w:rPr>
        <w:t>to</w:t>
      </w:r>
      <w:r>
        <w:rPr>
          <w:spacing w:val="-4"/>
          <w:sz w:val="18"/>
        </w:rPr>
        <w:t> </w:t>
      </w:r>
      <w:r>
        <w:rPr>
          <w:sz w:val="18"/>
        </w:rPr>
        <w:t>have</w:t>
      </w:r>
      <w:r>
        <w:rPr>
          <w:spacing w:val="-4"/>
          <w:sz w:val="18"/>
        </w:rPr>
        <w:t> </w:t>
      </w:r>
      <w:r>
        <w:rPr>
          <w:spacing w:val="-2"/>
          <w:sz w:val="18"/>
        </w:rPr>
        <w:t>effect</w:t>
      </w:r>
    </w:p>
    <w:p>
      <w:pPr>
        <w:spacing w:line="235" w:lineRule="auto" w:before="2"/>
        <w:ind w:left="1853" w:right="1265" w:firstLine="0"/>
        <w:jc w:val="both"/>
        <w:rPr>
          <w:sz w:val="18"/>
        </w:rPr>
      </w:pPr>
      <w:r>
        <w:rPr>
          <w:sz w:val="18"/>
        </w:rPr>
        <w:t>from two weeks after the UK notifies the EU, in writing, through the Joint Committee that it is following the mechanism triggered</w:t>
      </w:r>
      <w:r>
        <w:rPr>
          <w:spacing w:val="-1"/>
          <w:sz w:val="18"/>
        </w:rPr>
        <w:t> </w:t>
      </w:r>
      <w:r>
        <w:rPr>
          <w:sz w:val="18"/>
        </w:rPr>
        <w:t>by the ‘Stormont brake’.</w:t>
      </w:r>
      <w:r>
        <w:rPr>
          <w:spacing w:val="40"/>
          <w:sz w:val="18"/>
        </w:rPr>
        <w:t> </w:t>
      </w:r>
      <w:r>
        <w:rPr>
          <w:sz w:val="18"/>
        </w:rPr>
        <w:t>Once the notification</w:t>
      </w:r>
      <w:r>
        <w:rPr>
          <w:spacing w:val="-1"/>
          <w:sz w:val="18"/>
        </w:rPr>
        <w:t> </w:t>
      </w:r>
      <w:r>
        <w:rPr>
          <w:sz w:val="18"/>
        </w:rPr>
        <w:t>is</w:t>
      </w:r>
      <w:r>
        <w:rPr>
          <w:spacing w:val="-1"/>
          <w:sz w:val="18"/>
        </w:rPr>
        <w:t> </w:t>
      </w:r>
      <w:r>
        <w:rPr>
          <w:sz w:val="18"/>
        </w:rPr>
        <w:t>made and</w:t>
      </w:r>
      <w:r>
        <w:rPr>
          <w:spacing w:val="-1"/>
          <w:sz w:val="18"/>
        </w:rPr>
        <w:t> </w:t>
      </w:r>
      <w:r>
        <w:rPr>
          <w:sz w:val="18"/>
        </w:rPr>
        <w:t>agreed, the amended</w:t>
      </w:r>
      <w:r>
        <w:rPr>
          <w:spacing w:val="-1"/>
          <w:sz w:val="18"/>
        </w:rPr>
        <w:t> </w:t>
      </w:r>
      <w:r>
        <w:rPr>
          <w:sz w:val="18"/>
        </w:rPr>
        <w:t>or replaced</w:t>
      </w:r>
      <w:r>
        <w:rPr>
          <w:spacing w:val="-1"/>
          <w:sz w:val="18"/>
        </w:rPr>
        <w:t> </w:t>
      </w:r>
      <w:r>
        <w:rPr>
          <w:sz w:val="18"/>
        </w:rPr>
        <w:t>provision</w:t>
      </w:r>
      <w:r>
        <w:rPr>
          <w:spacing w:val="-1"/>
          <w:sz w:val="18"/>
        </w:rPr>
        <w:t> </w:t>
      </w:r>
      <w:r>
        <w:rPr>
          <w:sz w:val="18"/>
        </w:rPr>
        <w:t>would be</w:t>
      </w:r>
      <w:r>
        <w:rPr>
          <w:spacing w:val="-3"/>
          <w:sz w:val="18"/>
        </w:rPr>
        <w:t> </w:t>
      </w:r>
      <w:r>
        <w:rPr>
          <w:sz w:val="18"/>
        </w:rPr>
        <w:t>treated</w:t>
      </w:r>
      <w:r>
        <w:rPr>
          <w:spacing w:val="-4"/>
          <w:sz w:val="18"/>
        </w:rPr>
        <w:t> </w:t>
      </w:r>
      <w:r>
        <w:rPr>
          <w:sz w:val="18"/>
        </w:rPr>
        <w:t>like</w:t>
      </w:r>
      <w:r>
        <w:rPr>
          <w:spacing w:val="-3"/>
          <w:sz w:val="18"/>
        </w:rPr>
        <w:t> </w:t>
      </w:r>
      <w:r>
        <w:rPr>
          <w:sz w:val="18"/>
        </w:rPr>
        <w:t>a</w:t>
      </w:r>
      <w:r>
        <w:rPr>
          <w:spacing w:val="-4"/>
          <w:sz w:val="18"/>
        </w:rPr>
        <w:t> </w:t>
      </w:r>
      <w:r>
        <w:rPr>
          <w:sz w:val="18"/>
        </w:rPr>
        <w:t>new</w:t>
      </w:r>
      <w:r>
        <w:rPr>
          <w:spacing w:val="-3"/>
          <w:sz w:val="18"/>
        </w:rPr>
        <w:t> </w:t>
      </w:r>
      <w:r>
        <w:rPr>
          <w:sz w:val="18"/>
        </w:rPr>
        <w:t>addition</w:t>
      </w:r>
      <w:r>
        <w:rPr>
          <w:spacing w:val="-4"/>
          <w:sz w:val="18"/>
        </w:rPr>
        <w:t> </w:t>
      </w:r>
      <w:r>
        <w:rPr>
          <w:sz w:val="18"/>
        </w:rPr>
        <w:t>to</w:t>
      </w:r>
      <w:r>
        <w:rPr>
          <w:spacing w:val="-4"/>
          <w:sz w:val="18"/>
        </w:rPr>
        <w:t> </w:t>
      </w:r>
      <w:r>
        <w:rPr>
          <w:sz w:val="18"/>
        </w:rPr>
        <w:t>an</w:t>
      </w:r>
      <w:r>
        <w:rPr>
          <w:spacing w:val="-4"/>
          <w:sz w:val="18"/>
        </w:rPr>
        <w:t> </w:t>
      </w:r>
      <w:r>
        <w:rPr>
          <w:sz w:val="18"/>
        </w:rPr>
        <w:t>Annex</w:t>
      </w:r>
      <w:r>
        <w:rPr>
          <w:spacing w:val="-4"/>
          <w:sz w:val="18"/>
        </w:rPr>
        <w:t> </w:t>
      </w:r>
      <w:r>
        <w:rPr>
          <w:sz w:val="18"/>
        </w:rPr>
        <w:t>and</w:t>
      </w:r>
      <w:r>
        <w:rPr>
          <w:spacing w:val="-4"/>
          <w:sz w:val="18"/>
        </w:rPr>
        <w:t> </w:t>
      </w:r>
      <w:r>
        <w:rPr>
          <w:sz w:val="18"/>
        </w:rPr>
        <w:t>the</w:t>
      </w:r>
      <w:r>
        <w:rPr>
          <w:spacing w:val="-3"/>
          <w:sz w:val="18"/>
        </w:rPr>
        <w:t> </w:t>
      </w:r>
      <w:r>
        <w:rPr>
          <w:sz w:val="18"/>
        </w:rPr>
        <w:t>UK</w:t>
      </w:r>
      <w:r>
        <w:rPr>
          <w:spacing w:val="-3"/>
          <w:sz w:val="18"/>
        </w:rPr>
        <w:t> </w:t>
      </w:r>
      <w:r>
        <w:rPr>
          <w:sz w:val="18"/>
        </w:rPr>
        <w:t>and</w:t>
      </w:r>
      <w:r>
        <w:rPr>
          <w:spacing w:val="-4"/>
          <w:sz w:val="18"/>
        </w:rPr>
        <w:t> </w:t>
      </w:r>
      <w:r>
        <w:rPr>
          <w:sz w:val="18"/>
        </w:rPr>
        <w:t>EU</w:t>
      </w:r>
      <w:r>
        <w:rPr>
          <w:spacing w:val="-3"/>
          <w:sz w:val="18"/>
        </w:rPr>
        <w:t> </w:t>
      </w:r>
      <w:r>
        <w:rPr>
          <w:sz w:val="18"/>
        </w:rPr>
        <w:t>would</w:t>
      </w:r>
      <w:r>
        <w:rPr>
          <w:spacing w:val="-4"/>
          <w:sz w:val="18"/>
        </w:rPr>
        <w:t> </w:t>
      </w:r>
      <w:r>
        <w:rPr>
          <w:sz w:val="18"/>
        </w:rPr>
        <w:t>have</w:t>
      </w:r>
      <w:r>
        <w:rPr>
          <w:spacing w:val="-3"/>
          <w:sz w:val="18"/>
        </w:rPr>
        <w:t> </w:t>
      </w:r>
      <w:r>
        <w:rPr>
          <w:sz w:val="18"/>
        </w:rPr>
        <w:t>to</w:t>
      </w:r>
      <w:r>
        <w:rPr>
          <w:spacing w:val="-4"/>
          <w:sz w:val="18"/>
        </w:rPr>
        <w:t> </w:t>
      </w:r>
      <w:r>
        <w:rPr>
          <w:sz w:val="18"/>
        </w:rPr>
        <w:t>agree</w:t>
      </w:r>
      <w:r>
        <w:rPr>
          <w:spacing w:val="-3"/>
          <w:sz w:val="18"/>
        </w:rPr>
        <w:t> </w:t>
      </w:r>
      <w:r>
        <w:rPr>
          <w:sz w:val="18"/>
        </w:rPr>
        <w:t>to</w:t>
      </w:r>
      <w:r>
        <w:rPr>
          <w:spacing w:val="-4"/>
          <w:sz w:val="18"/>
        </w:rPr>
        <w:t> </w:t>
      </w:r>
      <w:r>
        <w:rPr>
          <w:sz w:val="18"/>
        </w:rPr>
        <w:t>its</w:t>
      </w:r>
      <w:r>
        <w:rPr>
          <w:spacing w:val="-3"/>
          <w:sz w:val="18"/>
        </w:rPr>
        <w:t> </w:t>
      </w:r>
      <w:r>
        <w:rPr>
          <w:sz w:val="18"/>
        </w:rPr>
        <w:t>inclusion</w:t>
      </w:r>
      <w:r>
        <w:rPr>
          <w:spacing w:val="-4"/>
          <w:sz w:val="18"/>
        </w:rPr>
        <w:t> </w:t>
      </w:r>
      <w:r>
        <w:rPr>
          <w:sz w:val="18"/>
        </w:rPr>
        <w:t>as</w:t>
      </w:r>
      <w:r>
        <w:rPr>
          <w:spacing w:val="-4"/>
          <w:sz w:val="18"/>
        </w:rPr>
        <w:t> </w:t>
      </w:r>
      <w:r>
        <w:rPr>
          <w:sz w:val="18"/>
        </w:rPr>
        <w:t>under</w:t>
      </w:r>
      <w:r>
        <w:rPr>
          <w:spacing w:val="-3"/>
          <w:sz w:val="18"/>
        </w:rPr>
        <w:t> </w:t>
      </w:r>
      <w:r>
        <w:rPr>
          <w:sz w:val="18"/>
        </w:rPr>
        <w:t>Article</w:t>
      </w:r>
      <w:r>
        <w:rPr>
          <w:spacing w:val="-3"/>
          <w:sz w:val="18"/>
        </w:rPr>
        <w:t> </w:t>
      </w:r>
      <w:r>
        <w:rPr>
          <w:spacing w:val="-2"/>
          <w:sz w:val="18"/>
        </w:rPr>
        <w:t>13(4).</w:t>
      </w:r>
    </w:p>
    <w:p>
      <w:pPr>
        <w:pStyle w:val="ListParagraph"/>
        <w:numPr>
          <w:ilvl w:val="0"/>
          <w:numId w:val="3"/>
        </w:numPr>
        <w:tabs>
          <w:tab w:pos="1853" w:val="left" w:leader="none"/>
        </w:tabs>
        <w:spacing w:line="235" w:lineRule="auto" w:before="2" w:after="0"/>
        <w:ind w:left="1853" w:right="1308" w:hanging="720"/>
        <w:jc w:val="both"/>
        <w:rPr>
          <w:sz w:val="18"/>
        </w:rPr>
      </w:pPr>
      <w:r>
        <w:rPr>
          <w:sz w:val="18"/>
        </w:rPr>
        <w:t>Equality</w:t>
      </w:r>
      <w:r>
        <w:rPr>
          <w:spacing w:val="-2"/>
          <w:sz w:val="18"/>
        </w:rPr>
        <w:t> </w:t>
      </w:r>
      <w:r>
        <w:rPr>
          <w:sz w:val="18"/>
        </w:rPr>
        <w:t>Commission</w:t>
      </w:r>
      <w:r>
        <w:rPr>
          <w:spacing w:val="-3"/>
          <w:sz w:val="18"/>
        </w:rPr>
        <w:t> </w:t>
      </w:r>
      <w:r>
        <w:rPr>
          <w:sz w:val="18"/>
        </w:rPr>
        <w:t>for</w:t>
      </w:r>
      <w:r>
        <w:rPr>
          <w:spacing w:val="-2"/>
          <w:sz w:val="18"/>
        </w:rPr>
        <w:t> </w:t>
      </w:r>
      <w:r>
        <w:rPr>
          <w:sz w:val="18"/>
        </w:rPr>
        <w:t>NI</w:t>
      </w:r>
      <w:r>
        <w:rPr>
          <w:spacing w:val="-2"/>
          <w:sz w:val="18"/>
        </w:rPr>
        <w:t> </w:t>
      </w:r>
      <w:r>
        <w:rPr>
          <w:sz w:val="18"/>
        </w:rPr>
        <w:t>and</w:t>
      </w:r>
      <w:r>
        <w:rPr>
          <w:spacing w:val="-3"/>
          <w:sz w:val="18"/>
        </w:rPr>
        <w:t> </w:t>
      </w:r>
      <w:r>
        <w:rPr>
          <w:sz w:val="18"/>
        </w:rPr>
        <w:t>NI</w:t>
      </w:r>
      <w:r>
        <w:rPr>
          <w:spacing w:val="-2"/>
          <w:sz w:val="18"/>
        </w:rPr>
        <w:t> </w:t>
      </w:r>
      <w:r>
        <w:rPr>
          <w:sz w:val="18"/>
        </w:rPr>
        <w:t>Human</w:t>
      </w:r>
      <w:r>
        <w:rPr>
          <w:spacing w:val="-3"/>
          <w:sz w:val="18"/>
        </w:rPr>
        <w:t> </w:t>
      </w:r>
      <w:r>
        <w:rPr>
          <w:sz w:val="18"/>
        </w:rPr>
        <w:t>Rights</w:t>
      </w:r>
      <w:r>
        <w:rPr>
          <w:spacing w:val="-3"/>
          <w:sz w:val="18"/>
        </w:rPr>
        <w:t> </w:t>
      </w:r>
      <w:r>
        <w:rPr>
          <w:sz w:val="18"/>
        </w:rPr>
        <w:t>Commission,</w:t>
      </w:r>
      <w:r>
        <w:rPr>
          <w:spacing w:val="-2"/>
          <w:sz w:val="18"/>
        </w:rPr>
        <w:t> </w:t>
      </w:r>
      <w:r>
        <w:rPr>
          <w:sz w:val="18"/>
        </w:rPr>
        <w:t>‘Submission</w:t>
      </w:r>
      <w:r>
        <w:rPr>
          <w:spacing w:val="-3"/>
          <w:sz w:val="18"/>
        </w:rPr>
        <w:t> </w:t>
      </w:r>
      <w:r>
        <w:rPr>
          <w:sz w:val="18"/>
        </w:rPr>
        <w:t>of</w:t>
      </w:r>
      <w:r>
        <w:rPr>
          <w:spacing w:val="-3"/>
          <w:sz w:val="18"/>
        </w:rPr>
        <w:t> </w:t>
      </w:r>
      <w:r>
        <w:rPr>
          <w:sz w:val="18"/>
        </w:rPr>
        <w:t>the</w:t>
      </w:r>
      <w:r>
        <w:rPr>
          <w:spacing w:val="-2"/>
          <w:sz w:val="18"/>
        </w:rPr>
        <w:t> </w:t>
      </w:r>
      <w:r>
        <w:rPr>
          <w:sz w:val="18"/>
        </w:rPr>
        <w:t>NIHRC</w:t>
      </w:r>
      <w:r>
        <w:rPr>
          <w:spacing w:val="-3"/>
          <w:sz w:val="18"/>
        </w:rPr>
        <w:t> </w:t>
      </w:r>
      <w:r>
        <w:rPr>
          <w:sz w:val="18"/>
        </w:rPr>
        <w:t>and</w:t>
      </w:r>
      <w:r>
        <w:rPr>
          <w:spacing w:val="-3"/>
          <w:sz w:val="18"/>
        </w:rPr>
        <w:t> </w:t>
      </w:r>
      <w:r>
        <w:rPr>
          <w:sz w:val="18"/>
        </w:rPr>
        <w:t>ECNI</w:t>
      </w:r>
      <w:r>
        <w:rPr>
          <w:spacing w:val="-2"/>
          <w:sz w:val="18"/>
        </w:rPr>
        <w:t> </w:t>
      </w:r>
      <w:r>
        <w:rPr>
          <w:sz w:val="18"/>
        </w:rPr>
        <w:t>to</w:t>
      </w:r>
      <w:r>
        <w:rPr>
          <w:spacing w:val="-3"/>
          <w:sz w:val="18"/>
        </w:rPr>
        <w:t> </w:t>
      </w:r>
      <w:r>
        <w:rPr>
          <w:sz w:val="18"/>
        </w:rPr>
        <w:t>the</w:t>
      </w:r>
      <w:r>
        <w:rPr>
          <w:spacing w:val="-2"/>
          <w:sz w:val="18"/>
        </w:rPr>
        <w:t> </w:t>
      </w:r>
      <w:r>
        <w:rPr>
          <w:sz w:val="18"/>
        </w:rPr>
        <w:t>House</w:t>
      </w:r>
      <w:r>
        <w:rPr>
          <w:spacing w:val="-2"/>
          <w:sz w:val="18"/>
        </w:rPr>
        <w:t> </w:t>
      </w:r>
      <w:r>
        <w:rPr>
          <w:sz w:val="18"/>
        </w:rPr>
        <w:t>of</w:t>
      </w:r>
      <w:r>
        <w:rPr>
          <w:spacing w:val="-3"/>
          <w:sz w:val="18"/>
        </w:rPr>
        <w:t> </w:t>
      </w:r>
      <w:r>
        <w:rPr>
          <w:sz w:val="18"/>
        </w:rPr>
        <w:t>Lords Sub-Committee</w:t>
      </w:r>
      <w:r>
        <w:rPr>
          <w:spacing w:val="-4"/>
          <w:sz w:val="18"/>
        </w:rPr>
        <w:t> </w:t>
      </w:r>
      <w:r>
        <w:rPr>
          <w:sz w:val="18"/>
        </w:rPr>
        <w:t>on</w:t>
      </w:r>
      <w:r>
        <w:rPr>
          <w:spacing w:val="-5"/>
          <w:sz w:val="18"/>
        </w:rPr>
        <w:t> </w:t>
      </w:r>
      <w:r>
        <w:rPr>
          <w:sz w:val="18"/>
        </w:rPr>
        <w:t>the</w:t>
      </w:r>
      <w:r>
        <w:rPr>
          <w:spacing w:val="-4"/>
          <w:sz w:val="18"/>
        </w:rPr>
        <w:t> </w:t>
      </w:r>
      <w:r>
        <w:rPr>
          <w:sz w:val="18"/>
        </w:rPr>
        <w:t>Protocol’s</w:t>
      </w:r>
      <w:r>
        <w:rPr>
          <w:spacing w:val="-5"/>
          <w:sz w:val="18"/>
        </w:rPr>
        <w:t> </w:t>
      </w:r>
      <w:r>
        <w:rPr>
          <w:sz w:val="18"/>
        </w:rPr>
        <w:t>call</w:t>
      </w:r>
      <w:r>
        <w:rPr>
          <w:spacing w:val="-5"/>
          <w:sz w:val="18"/>
        </w:rPr>
        <w:t> </w:t>
      </w:r>
      <w:r>
        <w:rPr>
          <w:sz w:val="18"/>
        </w:rPr>
        <w:t>for</w:t>
      </w:r>
      <w:r>
        <w:rPr>
          <w:spacing w:val="-4"/>
          <w:sz w:val="18"/>
        </w:rPr>
        <w:t> </w:t>
      </w:r>
      <w:r>
        <w:rPr>
          <w:sz w:val="18"/>
        </w:rPr>
        <w:t>evidence</w:t>
      </w:r>
      <w:r>
        <w:rPr>
          <w:spacing w:val="-4"/>
          <w:sz w:val="18"/>
        </w:rPr>
        <w:t> </w:t>
      </w:r>
      <w:r>
        <w:rPr>
          <w:sz w:val="18"/>
        </w:rPr>
        <w:t>for</w:t>
      </w:r>
      <w:r>
        <w:rPr>
          <w:spacing w:val="-4"/>
          <w:sz w:val="18"/>
        </w:rPr>
        <w:t> </w:t>
      </w:r>
      <w:r>
        <w:rPr>
          <w:sz w:val="18"/>
        </w:rPr>
        <w:t>its</w:t>
      </w:r>
      <w:r>
        <w:rPr>
          <w:spacing w:val="-5"/>
          <w:sz w:val="18"/>
        </w:rPr>
        <w:t> </w:t>
      </w:r>
      <w:r>
        <w:rPr>
          <w:sz w:val="18"/>
        </w:rPr>
        <w:t>inquiry</w:t>
      </w:r>
      <w:r>
        <w:rPr>
          <w:spacing w:val="-4"/>
          <w:sz w:val="18"/>
        </w:rPr>
        <w:t> </w:t>
      </w:r>
      <w:r>
        <w:rPr>
          <w:sz w:val="18"/>
        </w:rPr>
        <w:t>on</w:t>
      </w:r>
      <w:r>
        <w:rPr>
          <w:spacing w:val="-5"/>
          <w:sz w:val="18"/>
        </w:rPr>
        <w:t> </w:t>
      </w:r>
      <w:r>
        <w:rPr>
          <w:sz w:val="18"/>
        </w:rPr>
        <w:t>the</w:t>
      </w:r>
      <w:r>
        <w:rPr>
          <w:spacing w:val="-4"/>
          <w:sz w:val="18"/>
        </w:rPr>
        <w:t> </w:t>
      </w:r>
      <w:r>
        <w:rPr>
          <w:sz w:val="18"/>
        </w:rPr>
        <w:t>Windsor</w:t>
      </w:r>
      <w:r>
        <w:rPr>
          <w:spacing w:val="-4"/>
          <w:sz w:val="18"/>
        </w:rPr>
        <w:t> </w:t>
      </w:r>
      <w:r>
        <w:rPr>
          <w:sz w:val="18"/>
        </w:rPr>
        <w:t>Framework’</w:t>
      </w:r>
      <w:r>
        <w:rPr>
          <w:spacing w:val="-4"/>
          <w:sz w:val="18"/>
        </w:rPr>
        <w:t> </w:t>
      </w:r>
      <w:r>
        <w:rPr>
          <w:sz w:val="18"/>
        </w:rPr>
        <w:t>(ECNI</w:t>
      </w:r>
      <w:r>
        <w:rPr>
          <w:spacing w:val="-4"/>
          <w:sz w:val="18"/>
        </w:rPr>
        <w:t> </w:t>
      </w:r>
      <w:r>
        <w:rPr>
          <w:sz w:val="18"/>
        </w:rPr>
        <w:t>and</w:t>
      </w:r>
      <w:r>
        <w:rPr>
          <w:spacing w:val="-5"/>
          <w:sz w:val="18"/>
        </w:rPr>
        <w:t> </w:t>
      </w:r>
      <w:r>
        <w:rPr>
          <w:sz w:val="18"/>
        </w:rPr>
        <w:t>NIHRC,</w:t>
      </w:r>
      <w:r>
        <w:rPr>
          <w:spacing w:val="-4"/>
          <w:sz w:val="18"/>
        </w:rPr>
        <w:t> </w:t>
      </w:r>
      <w:r>
        <w:rPr>
          <w:sz w:val="18"/>
        </w:rPr>
        <w:t>2023),</w:t>
      </w:r>
      <w:r>
        <w:rPr>
          <w:spacing w:val="-4"/>
          <w:sz w:val="18"/>
        </w:rPr>
        <w:t> </w:t>
      </w:r>
      <w:r>
        <w:rPr>
          <w:sz w:val="18"/>
        </w:rPr>
        <w:t>at paras</w:t>
      </w:r>
      <w:r>
        <w:rPr>
          <w:spacing w:val="-2"/>
          <w:sz w:val="18"/>
        </w:rPr>
        <w:t> </w:t>
      </w:r>
      <w:r>
        <w:rPr>
          <w:sz w:val="18"/>
        </w:rPr>
        <w:t>2.27-2.52.</w:t>
      </w:r>
    </w:p>
    <w:p>
      <w:pPr>
        <w:pStyle w:val="ListParagraph"/>
        <w:numPr>
          <w:ilvl w:val="0"/>
          <w:numId w:val="3"/>
        </w:numPr>
        <w:tabs>
          <w:tab w:pos="1853" w:val="left" w:leader="none"/>
        </w:tabs>
        <w:spacing w:line="235" w:lineRule="auto" w:before="2" w:after="0"/>
        <w:ind w:left="1853" w:right="1318" w:hanging="720"/>
        <w:jc w:val="both"/>
        <w:rPr>
          <w:sz w:val="18"/>
        </w:rPr>
      </w:pPr>
      <w:r>
        <w:rPr>
          <w:sz w:val="18"/>
        </w:rPr>
        <w:t>Equality</w:t>
      </w:r>
      <w:r>
        <w:rPr>
          <w:spacing w:val="-2"/>
          <w:sz w:val="18"/>
        </w:rPr>
        <w:t> </w:t>
      </w:r>
      <w:r>
        <w:rPr>
          <w:sz w:val="18"/>
        </w:rPr>
        <w:t>Commission</w:t>
      </w:r>
      <w:r>
        <w:rPr>
          <w:spacing w:val="-3"/>
          <w:sz w:val="18"/>
        </w:rPr>
        <w:t> </w:t>
      </w:r>
      <w:r>
        <w:rPr>
          <w:sz w:val="18"/>
        </w:rPr>
        <w:t>for</w:t>
      </w:r>
      <w:r>
        <w:rPr>
          <w:spacing w:val="-2"/>
          <w:sz w:val="18"/>
        </w:rPr>
        <w:t> </w:t>
      </w:r>
      <w:r>
        <w:rPr>
          <w:sz w:val="18"/>
        </w:rPr>
        <w:t>NI</w:t>
      </w:r>
      <w:r>
        <w:rPr>
          <w:spacing w:val="-2"/>
          <w:sz w:val="18"/>
        </w:rPr>
        <w:t> </w:t>
      </w:r>
      <w:r>
        <w:rPr>
          <w:sz w:val="18"/>
        </w:rPr>
        <w:t>and</w:t>
      </w:r>
      <w:r>
        <w:rPr>
          <w:spacing w:val="-3"/>
          <w:sz w:val="18"/>
        </w:rPr>
        <w:t> </w:t>
      </w:r>
      <w:r>
        <w:rPr>
          <w:sz w:val="18"/>
        </w:rPr>
        <w:t>NI</w:t>
      </w:r>
      <w:r>
        <w:rPr>
          <w:spacing w:val="-2"/>
          <w:sz w:val="18"/>
        </w:rPr>
        <w:t> </w:t>
      </w:r>
      <w:r>
        <w:rPr>
          <w:sz w:val="18"/>
        </w:rPr>
        <w:t>Human</w:t>
      </w:r>
      <w:r>
        <w:rPr>
          <w:spacing w:val="-3"/>
          <w:sz w:val="18"/>
        </w:rPr>
        <w:t> </w:t>
      </w:r>
      <w:r>
        <w:rPr>
          <w:sz w:val="18"/>
        </w:rPr>
        <w:t>Rights</w:t>
      </w:r>
      <w:r>
        <w:rPr>
          <w:spacing w:val="-3"/>
          <w:sz w:val="18"/>
        </w:rPr>
        <w:t> </w:t>
      </w:r>
      <w:r>
        <w:rPr>
          <w:sz w:val="18"/>
        </w:rPr>
        <w:t>Commission,</w:t>
      </w:r>
      <w:r>
        <w:rPr>
          <w:spacing w:val="-2"/>
          <w:sz w:val="18"/>
        </w:rPr>
        <w:t> </w:t>
      </w:r>
      <w:r>
        <w:rPr>
          <w:sz w:val="18"/>
        </w:rPr>
        <w:t>‘Submission</w:t>
      </w:r>
      <w:r>
        <w:rPr>
          <w:spacing w:val="-3"/>
          <w:sz w:val="18"/>
        </w:rPr>
        <w:t> </w:t>
      </w:r>
      <w:r>
        <w:rPr>
          <w:sz w:val="18"/>
        </w:rPr>
        <w:t>of</w:t>
      </w:r>
      <w:r>
        <w:rPr>
          <w:spacing w:val="-3"/>
          <w:sz w:val="18"/>
        </w:rPr>
        <w:t> </w:t>
      </w:r>
      <w:r>
        <w:rPr>
          <w:sz w:val="18"/>
        </w:rPr>
        <w:t>the</w:t>
      </w:r>
      <w:r>
        <w:rPr>
          <w:spacing w:val="-2"/>
          <w:sz w:val="18"/>
        </w:rPr>
        <w:t> </w:t>
      </w:r>
      <w:r>
        <w:rPr>
          <w:sz w:val="18"/>
        </w:rPr>
        <w:t>NIHRC</w:t>
      </w:r>
      <w:r>
        <w:rPr>
          <w:spacing w:val="-3"/>
          <w:sz w:val="18"/>
        </w:rPr>
        <w:t> </w:t>
      </w:r>
      <w:r>
        <w:rPr>
          <w:sz w:val="18"/>
        </w:rPr>
        <w:t>and</w:t>
      </w:r>
      <w:r>
        <w:rPr>
          <w:spacing w:val="-3"/>
          <w:sz w:val="18"/>
        </w:rPr>
        <w:t> </w:t>
      </w:r>
      <w:r>
        <w:rPr>
          <w:sz w:val="18"/>
        </w:rPr>
        <w:t>ECNI</w:t>
      </w:r>
      <w:r>
        <w:rPr>
          <w:spacing w:val="-2"/>
          <w:sz w:val="18"/>
        </w:rPr>
        <w:t> </w:t>
      </w:r>
      <w:r>
        <w:rPr>
          <w:sz w:val="18"/>
        </w:rPr>
        <w:t>to</w:t>
      </w:r>
      <w:r>
        <w:rPr>
          <w:spacing w:val="-3"/>
          <w:sz w:val="18"/>
        </w:rPr>
        <w:t> </w:t>
      </w:r>
      <w:r>
        <w:rPr>
          <w:sz w:val="18"/>
        </w:rPr>
        <w:t>the</w:t>
      </w:r>
      <w:r>
        <w:rPr>
          <w:spacing w:val="-2"/>
          <w:sz w:val="18"/>
        </w:rPr>
        <w:t> </w:t>
      </w:r>
      <w:r>
        <w:rPr>
          <w:sz w:val="18"/>
        </w:rPr>
        <w:t>House</w:t>
      </w:r>
      <w:r>
        <w:rPr>
          <w:spacing w:val="-2"/>
          <w:sz w:val="18"/>
        </w:rPr>
        <w:t> </w:t>
      </w:r>
      <w:r>
        <w:rPr>
          <w:sz w:val="18"/>
        </w:rPr>
        <w:t>of</w:t>
      </w:r>
      <w:r>
        <w:rPr>
          <w:spacing w:val="-3"/>
          <w:sz w:val="18"/>
        </w:rPr>
        <w:t> </w:t>
      </w:r>
      <w:r>
        <w:rPr>
          <w:sz w:val="18"/>
        </w:rPr>
        <w:t>Lords Sub-Committee on the Protocol’s call for evidence for its inquiry on the Windsor Framework’ (ECNI and NIHRC, 2023).</w:t>
      </w:r>
    </w:p>
    <w:p>
      <w:pPr>
        <w:pStyle w:val="ListParagraph"/>
        <w:numPr>
          <w:ilvl w:val="0"/>
          <w:numId w:val="3"/>
        </w:numPr>
        <w:tabs>
          <w:tab w:pos="1853" w:val="left" w:leader="none"/>
        </w:tabs>
        <w:spacing w:line="235" w:lineRule="auto" w:before="1" w:after="0"/>
        <w:ind w:left="1853" w:right="1651" w:hanging="720"/>
        <w:jc w:val="left"/>
        <w:rPr>
          <w:sz w:val="18"/>
        </w:rPr>
      </w:pP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5"/>
          <w:sz w:val="18"/>
        </w:rPr>
        <w:t> </w:t>
      </w:r>
      <w:r>
        <w:rPr>
          <w:sz w:val="18"/>
        </w:rPr>
        <w:t>‘Submission</w:t>
      </w:r>
      <w:r>
        <w:rPr>
          <w:spacing w:val="-5"/>
          <w:sz w:val="18"/>
        </w:rPr>
        <w:t> </w:t>
      </w:r>
      <w:r>
        <w:rPr>
          <w:sz w:val="18"/>
        </w:rPr>
        <w:t>to</w:t>
      </w:r>
      <w:r>
        <w:rPr>
          <w:spacing w:val="-5"/>
          <w:sz w:val="18"/>
        </w:rPr>
        <w:t> </w:t>
      </w:r>
      <w:r>
        <w:rPr>
          <w:sz w:val="18"/>
        </w:rPr>
        <w:t>the</w:t>
      </w:r>
      <w:r>
        <w:rPr>
          <w:spacing w:val="-4"/>
          <w:sz w:val="18"/>
        </w:rPr>
        <w:t> </w:t>
      </w:r>
      <w:r>
        <w:rPr>
          <w:sz w:val="18"/>
        </w:rPr>
        <w:t>House</w:t>
      </w:r>
      <w:r>
        <w:rPr>
          <w:spacing w:val="-5"/>
          <w:sz w:val="18"/>
        </w:rPr>
        <w:t> </w:t>
      </w:r>
      <w:r>
        <w:rPr>
          <w:sz w:val="18"/>
        </w:rPr>
        <w:t>of</w:t>
      </w:r>
      <w:r>
        <w:rPr>
          <w:spacing w:val="-5"/>
          <w:sz w:val="18"/>
        </w:rPr>
        <w:t> </w:t>
      </w:r>
      <w:r>
        <w:rPr>
          <w:sz w:val="18"/>
        </w:rPr>
        <w:t>Lords</w:t>
      </w:r>
      <w:r>
        <w:rPr>
          <w:spacing w:val="-5"/>
          <w:sz w:val="18"/>
        </w:rPr>
        <w:t> </w:t>
      </w:r>
      <w:r>
        <w:rPr>
          <w:sz w:val="18"/>
        </w:rPr>
        <w:t>Sub-Committee</w:t>
      </w:r>
      <w:r>
        <w:rPr>
          <w:spacing w:val="-4"/>
          <w:sz w:val="18"/>
        </w:rPr>
        <w:t> </w:t>
      </w:r>
      <w:r>
        <w:rPr>
          <w:sz w:val="18"/>
        </w:rPr>
        <w:t>on</w:t>
      </w:r>
      <w:r>
        <w:rPr>
          <w:spacing w:val="-5"/>
          <w:sz w:val="18"/>
        </w:rPr>
        <w:t> </w:t>
      </w:r>
      <w:r>
        <w:rPr>
          <w:sz w:val="18"/>
        </w:rPr>
        <w:t>the</w:t>
      </w:r>
      <w:r>
        <w:rPr>
          <w:spacing w:val="-4"/>
          <w:sz w:val="18"/>
        </w:rPr>
        <w:t> </w:t>
      </w:r>
      <w:r>
        <w:rPr>
          <w:sz w:val="18"/>
        </w:rPr>
        <w:t>Windsor</w:t>
      </w:r>
      <w:r>
        <w:rPr>
          <w:spacing w:val="-5"/>
          <w:sz w:val="18"/>
        </w:rPr>
        <w:t> </w:t>
      </w:r>
      <w:r>
        <w:rPr>
          <w:sz w:val="18"/>
        </w:rPr>
        <w:t>Framework’s</w:t>
      </w:r>
      <w:r>
        <w:rPr>
          <w:spacing w:val="-5"/>
          <w:sz w:val="18"/>
        </w:rPr>
        <w:t> </w:t>
      </w:r>
      <w:r>
        <w:rPr>
          <w:sz w:val="18"/>
        </w:rPr>
        <w:t>call</w:t>
      </w:r>
      <w:r>
        <w:rPr>
          <w:spacing w:val="-5"/>
          <w:sz w:val="18"/>
        </w:rPr>
        <w:t> </w:t>
      </w:r>
      <w:r>
        <w:rPr>
          <w:sz w:val="18"/>
        </w:rPr>
        <w:t>for evidence for its inquiry on regulatory divergence and the Windsor Framework’ (ECNI, 2023).</w:t>
      </w:r>
    </w:p>
    <w:p>
      <w:pPr>
        <w:pStyle w:val="ListParagraph"/>
        <w:numPr>
          <w:ilvl w:val="0"/>
          <w:numId w:val="3"/>
        </w:numPr>
        <w:tabs>
          <w:tab w:pos="1853" w:val="left" w:leader="none"/>
        </w:tabs>
        <w:spacing w:line="216" w:lineRule="exact" w:before="0" w:after="0"/>
        <w:ind w:left="1853" w:right="0" w:hanging="720"/>
        <w:jc w:val="left"/>
        <w:rPr>
          <w:sz w:val="18"/>
        </w:rPr>
      </w:pPr>
      <w:r>
        <w:rPr>
          <w:sz w:val="18"/>
        </w:rPr>
        <w:t>Ibid,</w:t>
      </w:r>
      <w:r>
        <w:rPr>
          <w:spacing w:val="-1"/>
          <w:sz w:val="18"/>
        </w:rPr>
        <w:t> </w:t>
      </w:r>
      <w:r>
        <w:rPr>
          <w:sz w:val="18"/>
        </w:rPr>
        <w:t>at</w:t>
      </w:r>
      <w:r>
        <w:rPr>
          <w:spacing w:val="-1"/>
          <w:sz w:val="18"/>
        </w:rPr>
        <w:t> </w:t>
      </w:r>
      <w:r>
        <w:rPr>
          <w:spacing w:val="-5"/>
          <w:sz w:val="18"/>
        </w:rPr>
        <w:t>9.</w:t>
      </w:r>
    </w:p>
    <w:p>
      <w:pPr>
        <w:pStyle w:val="ListParagraph"/>
        <w:numPr>
          <w:ilvl w:val="0"/>
          <w:numId w:val="3"/>
        </w:numPr>
        <w:tabs>
          <w:tab w:pos="1853" w:val="left" w:leader="none"/>
        </w:tabs>
        <w:spacing w:line="218" w:lineRule="exact" w:before="0" w:after="0"/>
        <w:ind w:left="1853" w:right="0" w:hanging="720"/>
        <w:jc w:val="left"/>
        <w:rPr>
          <w:sz w:val="18"/>
        </w:rPr>
      </w:pPr>
      <w:r>
        <w:rPr>
          <w:sz w:val="18"/>
        </w:rPr>
        <w:t>Windsor</w:t>
      </w:r>
      <w:r>
        <w:rPr>
          <w:spacing w:val="-7"/>
          <w:sz w:val="18"/>
        </w:rPr>
        <w:t> </w:t>
      </w:r>
      <w:r>
        <w:rPr>
          <w:sz w:val="18"/>
        </w:rPr>
        <w:t>Framework</w:t>
      </w:r>
      <w:r>
        <w:rPr>
          <w:spacing w:val="-6"/>
          <w:sz w:val="18"/>
        </w:rPr>
        <w:t> </w:t>
      </w:r>
      <w:r>
        <w:rPr>
          <w:sz w:val="18"/>
        </w:rPr>
        <w:t>(Democratic</w:t>
      </w:r>
      <w:r>
        <w:rPr>
          <w:spacing w:val="-7"/>
          <w:sz w:val="18"/>
        </w:rPr>
        <w:t> </w:t>
      </w:r>
      <w:r>
        <w:rPr>
          <w:sz w:val="18"/>
        </w:rPr>
        <w:t>Scrutiny)</w:t>
      </w:r>
      <w:r>
        <w:rPr>
          <w:spacing w:val="-7"/>
          <w:sz w:val="18"/>
        </w:rPr>
        <w:t> </w:t>
      </w:r>
      <w:r>
        <w:rPr>
          <w:sz w:val="18"/>
        </w:rPr>
        <w:t>Regulations</w:t>
      </w:r>
      <w:r>
        <w:rPr>
          <w:spacing w:val="-7"/>
          <w:sz w:val="18"/>
        </w:rPr>
        <w:t> </w:t>
      </w:r>
      <w:r>
        <w:rPr>
          <w:sz w:val="18"/>
        </w:rPr>
        <w:t>2024</w:t>
      </w:r>
      <w:r>
        <w:rPr>
          <w:spacing w:val="-7"/>
          <w:sz w:val="18"/>
        </w:rPr>
        <w:t> </w:t>
      </w:r>
      <w:r>
        <w:rPr>
          <w:sz w:val="18"/>
        </w:rPr>
        <w:t>(SI</w:t>
      </w:r>
      <w:r>
        <w:rPr>
          <w:spacing w:val="-6"/>
          <w:sz w:val="18"/>
        </w:rPr>
        <w:t> </w:t>
      </w:r>
      <w:r>
        <w:rPr>
          <w:spacing w:val="-2"/>
          <w:sz w:val="18"/>
        </w:rPr>
        <w:t>2024/118).</w:t>
      </w:r>
    </w:p>
    <w:p>
      <w:pPr>
        <w:spacing w:after="0" w:line="218" w:lineRule="exact"/>
        <w:jc w:val="left"/>
        <w:rPr>
          <w:sz w:val="18"/>
        </w:rPr>
        <w:sectPr>
          <w:pgSz w:w="11910" w:h="16840"/>
          <w:pgMar w:header="496" w:footer="367" w:top="1220" w:bottom="560" w:left="0" w:right="0"/>
        </w:sectPr>
      </w:pPr>
    </w:p>
    <w:p>
      <w:pPr>
        <w:pStyle w:val="BodyText"/>
        <w:spacing w:before="198"/>
      </w:pPr>
    </w:p>
    <w:p>
      <w:pPr>
        <w:pStyle w:val="ListParagraph"/>
        <w:numPr>
          <w:ilvl w:val="1"/>
          <w:numId w:val="5"/>
        </w:numPr>
        <w:tabs>
          <w:tab w:pos="1853" w:val="left" w:leader="none"/>
        </w:tabs>
        <w:spacing w:line="225" w:lineRule="auto" w:before="0" w:after="0"/>
        <w:ind w:left="1853" w:right="1597" w:hanging="720"/>
        <w:jc w:val="left"/>
        <w:rPr>
          <w:sz w:val="28"/>
        </w:rPr>
      </w:pPr>
      <w:r>
        <w:rPr>
          <w:sz w:val="28"/>
        </w:rPr>
        <w:t>Given the potential implications of the ‘Stormont brake’ outlined above the Commissions have highlighted that it is vital that equality and human rights considerations are built into the revised process under Article 13(4) of</w:t>
      </w:r>
      <w:r>
        <w:rPr>
          <w:spacing w:val="-7"/>
          <w:sz w:val="28"/>
        </w:rPr>
        <w:t> </w:t>
      </w:r>
      <w:r>
        <w:rPr>
          <w:sz w:val="28"/>
        </w:rPr>
        <w:t>the</w:t>
      </w:r>
      <w:r>
        <w:rPr>
          <w:spacing w:val="-6"/>
          <w:sz w:val="28"/>
        </w:rPr>
        <w:t> </w:t>
      </w:r>
      <w:r>
        <w:rPr>
          <w:sz w:val="28"/>
        </w:rPr>
        <w:t>Windsor</w:t>
      </w:r>
      <w:r>
        <w:rPr>
          <w:spacing w:val="-6"/>
          <w:sz w:val="28"/>
        </w:rPr>
        <w:t> </w:t>
      </w:r>
      <w:r>
        <w:rPr>
          <w:sz w:val="28"/>
        </w:rPr>
        <w:t>Framework</w:t>
      </w:r>
      <w:r>
        <w:rPr>
          <w:spacing w:val="-6"/>
          <w:sz w:val="28"/>
        </w:rPr>
        <w:t> </w:t>
      </w:r>
      <w:r>
        <w:rPr>
          <w:sz w:val="28"/>
        </w:rPr>
        <w:t>as</w:t>
      </w:r>
      <w:r>
        <w:rPr>
          <w:spacing w:val="-7"/>
          <w:sz w:val="28"/>
        </w:rPr>
        <w:t> </w:t>
      </w:r>
      <w:r>
        <w:rPr>
          <w:sz w:val="28"/>
        </w:rPr>
        <w:t>well</w:t>
      </w:r>
      <w:r>
        <w:rPr>
          <w:spacing w:val="-7"/>
          <w:sz w:val="28"/>
        </w:rPr>
        <w:t> </w:t>
      </w:r>
      <w:r>
        <w:rPr>
          <w:sz w:val="28"/>
        </w:rPr>
        <w:t>as</w:t>
      </w:r>
      <w:r>
        <w:rPr>
          <w:spacing w:val="-7"/>
          <w:sz w:val="28"/>
        </w:rPr>
        <w:t> </w:t>
      </w:r>
      <w:r>
        <w:rPr>
          <w:sz w:val="28"/>
        </w:rPr>
        <w:t>all</w:t>
      </w:r>
      <w:r>
        <w:rPr>
          <w:spacing w:val="-7"/>
          <w:sz w:val="28"/>
        </w:rPr>
        <w:t> </w:t>
      </w:r>
      <w:r>
        <w:rPr>
          <w:sz w:val="28"/>
        </w:rPr>
        <w:t>key</w:t>
      </w:r>
      <w:r>
        <w:rPr>
          <w:spacing w:val="-6"/>
          <w:sz w:val="28"/>
        </w:rPr>
        <w:t> </w:t>
      </w:r>
      <w:r>
        <w:rPr>
          <w:sz w:val="28"/>
        </w:rPr>
        <w:t>stages</w:t>
      </w:r>
      <w:r>
        <w:rPr>
          <w:spacing w:val="-7"/>
          <w:sz w:val="28"/>
        </w:rPr>
        <w:t> </w:t>
      </w:r>
      <w:r>
        <w:rPr>
          <w:sz w:val="28"/>
        </w:rPr>
        <w:t>of</w:t>
      </w:r>
      <w:r>
        <w:rPr>
          <w:spacing w:val="-7"/>
          <w:sz w:val="28"/>
        </w:rPr>
        <w:t> </w:t>
      </w:r>
      <w:r>
        <w:rPr>
          <w:sz w:val="28"/>
        </w:rPr>
        <w:t>the</w:t>
      </w:r>
      <w:r>
        <w:rPr>
          <w:spacing w:val="-6"/>
          <w:sz w:val="28"/>
        </w:rPr>
        <w:t> </w:t>
      </w:r>
      <w:r>
        <w:rPr>
          <w:sz w:val="28"/>
        </w:rPr>
        <w:t>‘Stormont</w:t>
      </w:r>
      <w:r>
        <w:rPr>
          <w:spacing w:val="-6"/>
          <w:sz w:val="28"/>
        </w:rPr>
        <w:t> </w:t>
      </w:r>
      <w:r>
        <w:rPr>
          <w:sz w:val="28"/>
        </w:rPr>
        <w:t>brake’</w:t>
      </w:r>
    </w:p>
    <w:p>
      <w:pPr>
        <w:pStyle w:val="BodyText"/>
        <w:spacing w:line="225" w:lineRule="auto"/>
        <w:ind w:left="1853" w:right="1171"/>
      </w:pPr>
      <w:r>
        <w:rPr/>
        <w:t>mechanism.</w:t>
      </w:r>
      <w:r>
        <w:rPr>
          <w:spacing w:val="40"/>
        </w:rPr>
        <w:t> </w:t>
      </w:r>
      <w:r>
        <w:rPr/>
        <w:t>The</w:t>
      </w:r>
      <w:r>
        <w:rPr>
          <w:spacing w:val="-5"/>
        </w:rPr>
        <w:t> </w:t>
      </w:r>
      <w:r>
        <w:rPr/>
        <w:t>Windsor</w:t>
      </w:r>
      <w:r>
        <w:rPr>
          <w:spacing w:val="-5"/>
        </w:rPr>
        <w:t> </w:t>
      </w:r>
      <w:r>
        <w:rPr/>
        <w:t>Framework</w:t>
      </w:r>
      <w:r>
        <w:rPr>
          <w:spacing w:val="-5"/>
        </w:rPr>
        <w:t> </w:t>
      </w:r>
      <w:r>
        <w:rPr/>
        <w:t>Democratic</w:t>
      </w:r>
      <w:r>
        <w:rPr>
          <w:spacing w:val="-5"/>
        </w:rPr>
        <w:t> </w:t>
      </w:r>
      <w:r>
        <w:rPr/>
        <w:t>Scrutiny</w:t>
      </w:r>
      <w:r>
        <w:rPr>
          <w:spacing w:val="-5"/>
        </w:rPr>
        <w:t> </w:t>
      </w:r>
      <w:r>
        <w:rPr/>
        <w:t>Committee</w:t>
      </w:r>
      <w:r>
        <w:rPr>
          <w:spacing w:val="-5"/>
        </w:rPr>
        <w:t> </w:t>
      </w:r>
      <w:r>
        <w:rPr/>
        <w:t>should also</w:t>
      </w:r>
      <w:r>
        <w:rPr>
          <w:spacing w:val="-7"/>
        </w:rPr>
        <w:t> </w:t>
      </w:r>
      <w:r>
        <w:rPr/>
        <w:t>undertake</w:t>
      </w:r>
      <w:r>
        <w:rPr>
          <w:spacing w:val="-7"/>
        </w:rPr>
        <w:t> </w:t>
      </w:r>
      <w:r>
        <w:rPr/>
        <w:t>meaningful</w:t>
      </w:r>
      <w:r>
        <w:rPr>
          <w:spacing w:val="-7"/>
        </w:rPr>
        <w:t> </w:t>
      </w:r>
      <w:r>
        <w:rPr/>
        <w:t>and</w:t>
      </w:r>
      <w:r>
        <w:rPr>
          <w:spacing w:val="-7"/>
        </w:rPr>
        <w:t> </w:t>
      </w:r>
      <w:r>
        <w:rPr/>
        <w:t>timely</w:t>
      </w:r>
      <w:r>
        <w:rPr>
          <w:spacing w:val="-7"/>
        </w:rPr>
        <w:t> </w:t>
      </w:r>
      <w:r>
        <w:rPr/>
        <w:t>engagement</w:t>
      </w:r>
      <w:r>
        <w:rPr>
          <w:spacing w:val="-7"/>
        </w:rPr>
        <w:t> </w:t>
      </w:r>
      <w:r>
        <w:rPr/>
        <w:t>with</w:t>
      </w:r>
      <w:r>
        <w:rPr>
          <w:spacing w:val="-7"/>
        </w:rPr>
        <w:t> </w:t>
      </w:r>
      <w:r>
        <w:rPr/>
        <w:t>the</w:t>
      </w:r>
      <w:r>
        <w:rPr>
          <w:spacing w:val="-7"/>
        </w:rPr>
        <w:t> </w:t>
      </w:r>
      <w:r>
        <w:rPr/>
        <w:t>Commissions</w:t>
      </w:r>
      <w:r>
        <w:rPr>
          <w:spacing w:val="-7"/>
        </w:rPr>
        <w:t> </w:t>
      </w:r>
      <w:r>
        <w:rPr/>
        <w:t>and equality</w:t>
      </w:r>
      <w:r>
        <w:rPr>
          <w:spacing w:val="-3"/>
        </w:rPr>
        <w:t> </w:t>
      </w:r>
      <w:r>
        <w:rPr/>
        <w:t>and</w:t>
      </w:r>
      <w:r>
        <w:rPr>
          <w:spacing w:val="-4"/>
        </w:rPr>
        <w:t> </w:t>
      </w:r>
      <w:r>
        <w:rPr/>
        <w:t>human</w:t>
      </w:r>
      <w:r>
        <w:rPr>
          <w:spacing w:val="-4"/>
        </w:rPr>
        <w:t> </w:t>
      </w:r>
      <w:r>
        <w:rPr/>
        <w:t>rights</w:t>
      </w:r>
      <w:r>
        <w:rPr>
          <w:spacing w:val="-4"/>
        </w:rPr>
        <w:t> </w:t>
      </w:r>
      <w:r>
        <w:rPr/>
        <w:t>groups</w:t>
      </w:r>
      <w:r>
        <w:rPr>
          <w:spacing w:val="-4"/>
        </w:rPr>
        <w:t> </w:t>
      </w:r>
      <w:r>
        <w:rPr/>
        <w:t>in</w:t>
      </w:r>
      <w:r>
        <w:rPr>
          <w:spacing w:val="-4"/>
        </w:rPr>
        <w:t> </w:t>
      </w:r>
      <w:r>
        <w:rPr/>
        <w:t>NI</w:t>
      </w:r>
      <w:r>
        <w:rPr>
          <w:spacing w:val="-3"/>
        </w:rPr>
        <w:t> </w:t>
      </w:r>
      <w:r>
        <w:rPr/>
        <w:t>to</w:t>
      </w:r>
      <w:r>
        <w:rPr>
          <w:spacing w:val="-4"/>
        </w:rPr>
        <w:t> </w:t>
      </w:r>
      <w:r>
        <w:rPr/>
        <w:t>seek</w:t>
      </w:r>
      <w:r>
        <w:rPr>
          <w:spacing w:val="-3"/>
        </w:rPr>
        <w:t> </w:t>
      </w:r>
      <w:r>
        <w:rPr/>
        <w:t>their</w:t>
      </w:r>
      <w:r>
        <w:rPr>
          <w:spacing w:val="-3"/>
        </w:rPr>
        <w:t> </w:t>
      </w:r>
      <w:r>
        <w:rPr/>
        <w:t>views</w:t>
      </w:r>
      <w:r>
        <w:rPr>
          <w:spacing w:val="-4"/>
        </w:rPr>
        <w:t> </w:t>
      </w:r>
      <w:r>
        <w:rPr/>
        <w:t>on</w:t>
      </w:r>
      <w:r>
        <w:rPr>
          <w:spacing w:val="-4"/>
        </w:rPr>
        <w:t> </w:t>
      </w:r>
      <w:r>
        <w:rPr/>
        <w:t>the</w:t>
      </w:r>
      <w:r>
        <w:rPr>
          <w:spacing w:val="-3"/>
        </w:rPr>
        <w:t> </w:t>
      </w:r>
      <w:r>
        <w:rPr/>
        <w:t>implications of proposed EU measures for the promotion and protection of equality and human rights in NI.</w:t>
      </w:r>
      <w:r>
        <w:rPr>
          <w:vertAlign w:val="superscript"/>
        </w:rPr>
        <w:t>47</w:t>
      </w:r>
    </w:p>
    <w:p>
      <w:pPr>
        <w:pStyle w:val="ListParagraph"/>
        <w:numPr>
          <w:ilvl w:val="1"/>
          <w:numId w:val="5"/>
        </w:numPr>
        <w:tabs>
          <w:tab w:pos="1853" w:val="left" w:leader="none"/>
        </w:tabs>
        <w:spacing w:line="225" w:lineRule="auto" w:before="309" w:after="0"/>
        <w:ind w:left="1853" w:right="1209" w:hanging="720"/>
        <w:jc w:val="both"/>
        <w:rPr>
          <w:sz w:val="28"/>
        </w:rPr>
      </w:pPr>
      <w:r>
        <w:rPr>
          <w:sz w:val="28"/>
        </w:rPr>
        <w:t>In</w:t>
      </w:r>
      <w:r>
        <w:rPr>
          <w:spacing w:val="-6"/>
          <w:sz w:val="28"/>
        </w:rPr>
        <w:t> </w:t>
      </w:r>
      <w:r>
        <w:rPr>
          <w:sz w:val="28"/>
        </w:rPr>
        <w:t>February</w:t>
      </w:r>
      <w:r>
        <w:rPr>
          <w:spacing w:val="-5"/>
          <w:sz w:val="28"/>
        </w:rPr>
        <w:t> </w:t>
      </w:r>
      <w:r>
        <w:rPr>
          <w:sz w:val="28"/>
        </w:rPr>
        <w:t>2024,</w:t>
      </w:r>
      <w:r>
        <w:rPr>
          <w:spacing w:val="-5"/>
          <w:sz w:val="28"/>
        </w:rPr>
        <w:t> </w:t>
      </w:r>
      <w:r>
        <w:rPr>
          <w:sz w:val="28"/>
        </w:rPr>
        <w:t>the</w:t>
      </w:r>
      <w:r>
        <w:rPr>
          <w:spacing w:val="-5"/>
          <w:sz w:val="28"/>
        </w:rPr>
        <w:t> </w:t>
      </w:r>
      <w:r>
        <w:rPr>
          <w:sz w:val="28"/>
        </w:rPr>
        <w:t>UK</w:t>
      </w:r>
      <w:r>
        <w:rPr>
          <w:spacing w:val="-5"/>
          <w:sz w:val="28"/>
        </w:rPr>
        <w:t> </w:t>
      </w:r>
      <w:r>
        <w:rPr>
          <w:sz w:val="28"/>
        </w:rPr>
        <w:t>Government</w:t>
      </w:r>
      <w:r>
        <w:rPr>
          <w:spacing w:val="-5"/>
          <w:sz w:val="28"/>
        </w:rPr>
        <w:t> </w:t>
      </w:r>
      <w:r>
        <w:rPr>
          <w:sz w:val="28"/>
        </w:rPr>
        <w:t>also</w:t>
      </w:r>
      <w:r>
        <w:rPr>
          <w:spacing w:val="-6"/>
          <w:sz w:val="28"/>
        </w:rPr>
        <w:t> </w:t>
      </w:r>
      <w:r>
        <w:rPr>
          <w:sz w:val="28"/>
        </w:rPr>
        <w:t>published</w:t>
      </w:r>
      <w:r>
        <w:rPr>
          <w:spacing w:val="-6"/>
          <w:sz w:val="28"/>
        </w:rPr>
        <w:t> </w:t>
      </w:r>
      <w:r>
        <w:rPr>
          <w:sz w:val="28"/>
        </w:rPr>
        <w:t>the</w:t>
      </w:r>
      <w:r>
        <w:rPr>
          <w:spacing w:val="-5"/>
          <w:sz w:val="28"/>
        </w:rPr>
        <w:t> </w:t>
      </w:r>
      <w:r>
        <w:rPr>
          <w:sz w:val="28"/>
        </w:rPr>
        <w:t>Windsor</w:t>
      </w:r>
      <w:r>
        <w:rPr>
          <w:spacing w:val="-5"/>
          <w:sz w:val="28"/>
        </w:rPr>
        <w:t> </w:t>
      </w:r>
      <w:r>
        <w:rPr>
          <w:sz w:val="28"/>
        </w:rPr>
        <w:t>Framework (Constitutional</w:t>
      </w:r>
      <w:r>
        <w:rPr>
          <w:spacing w:val="-1"/>
          <w:sz w:val="28"/>
        </w:rPr>
        <w:t> </w:t>
      </w:r>
      <w:r>
        <w:rPr>
          <w:sz w:val="28"/>
        </w:rPr>
        <w:t>Status</w:t>
      </w:r>
      <w:r>
        <w:rPr>
          <w:spacing w:val="-1"/>
          <w:sz w:val="28"/>
        </w:rPr>
        <w:t> </w:t>
      </w:r>
      <w:r>
        <w:rPr>
          <w:sz w:val="28"/>
        </w:rPr>
        <w:t>of</w:t>
      </w:r>
      <w:r>
        <w:rPr>
          <w:spacing w:val="-1"/>
          <w:sz w:val="28"/>
        </w:rPr>
        <w:t> </w:t>
      </w:r>
      <w:r>
        <w:rPr>
          <w:sz w:val="28"/>
        </w:rPr>
        <w:t>NI)</w:t>
      </w:r>
      <w:r>
        <w:rPr>
          <w:spacing w:val="-1"/>
          <w:sz w:val="28"/>
        </w:rPr>
        <w:t> </w:t>
      </w:r>
      <w:r>
        <w:rPr>
          <w:sz w:val="28"/>
        </w:rPr>
        <w:t>Regulations</w:t>
      </w:r>
      <w:r>
        <w:rPr>
          <w:spacing w:val="-1"/>
          <w:sz w:val="28"/>
        </w:rPr>
        <w:t> </w:t>
      </w:r>
      <w:r>
        <w:rPr>
          <w:sz w:val="28"/>
        </w:rPr>
        <w:t>2024.</w:t>
      </w:r>
      <w:r>
        <w:rPr>
          <w:spacing w:val="-1"/>
          <w:sz w:val="28"/>
        </w:rPr>
        <w:t> </w:t>
      </w:r>
      <w:r>
        <w:rPr>
          <w:sz w:val="28"/>
        </w:rPr>
        <w:t>The regulations</w:t>
      </w:r>
      <w:r>
        <w:rPr>
          <w:spacing w:val="-1"/>
          <w:sz w:val="28"/>
        </w:rPr>
        <w:t> </w:t>
      </w:r>
      <w:r>
        <w:rPr>
          <w:sz w:val="28"/>
        </w:rPr>
        <w:t>seek to</w:t>
      </w:r>
      <w:r>
        <w:rPr>
          <w:spacing w:val="-1"/>
          <w:sz w:val="28"/>
        </w:rPr>
        <w:t> </w:t>
      </w:r>
      <w:r>
        <w:rPr>
          <w:sz w:val="28"/>
        </w:rPr>
        <w:t>amend Section 7A of the EU (Withdrawal) Act 2018 to confirm that the application</w:t>
      </w:r>
    </w:p>
    <w:p>
      <w:pPr>
        <w:pStyle w:val="BodyText"/>
        <w:spacing w:line="225" w:lineRule="auto"/>
        <w:ind w:left="1853" w:right="1124"/>
      </w:pPr>
      <w:r>
        <w:rPr/>
        <w:t>of EU law relating to the trade in goods in NI is subject to democratic consent and scrutiny provisions in the Windsor Framework. The Secretary of State for NI</w:t>
      </w:r>
      <w:r>
        <w:rPr>
          <w:spacing w:val="-6"/>
        </w:rPr>
        <w:t> </w:t>
      </w:r>
      <w:r>
        <w:rPr/>
        <w:t>has</w:t>
      </w:r>
      <w:r>
        <w:rPr>
          <w:spacing w:val="-6"/>
        </w:rPr>
        <w:t> </w:t>
      </w:r>
      <w:r>
        <w:rPr/>
        <w:t>confirmed,</w:t>
      </w:r>
      <w:r>
        <w:rPr>
          <w:spacing w:val="-6"/>
        </w:rPr>
        <w:t> </w:t>
      </w:r>
      <w:r>
        <w:rPr/>
        <w:t>in</w:t>
      </w:r>
      <w:r>
        <w:rPr>
          <w:spacing w:val="-6"/>
        </w:rPr>
        <w:t> </w:t>
      </w:r>
      <w:r>
        <w:rPr/>
        <w:t>answer</w:t>
      </w:r>
      <w:r>
        <w:rPr>
          <w:spacing w:val="-6"/>
        </w:rPr>
        <w:t> </w:t>
      </w:r>
      <w:r>
        <w:rPr/>
        <w:t>to</w:t>
      </w:r>
      <w:r>
        <w:rPr>
          <w:spacing w:val="-6"/>
        </w:rPr>
        <w:t> </w:t>
      </w:r>
      <w:r>
        <w:rPr/>
        <w:t>a</w:t>
      </w:r>
      <w:r>
        <w:rPr>
          <w:spacing w:val="-6"/>
        </w:rPr>
        <w:t> </w:t>
      </w:r>
      <w:r>
        <w:rPr/>
        <w:t>parliamentary</w:t>
      </w:r>
      <w:r>
        <w:rPr>
          <w:spacing w:val="-6"/>
        </w:rPr>
        <w:t> </w:t>
      </w:r>
      <w:r>
        <w:rPr/>
        <w:t>question,</w:t>
      </w:r>
      <w:r>
        <w:rPr>
          <w:spacing w:val="-6"/>
        </w:rPr>
        <w:t> </w:t>
      </w:r>
      <w:r>
        <w:rPr/>
        <w:t>that</w:t>
      </w:r>
      <w:r>
        <w:rPr>
          <w:spacing w:val="-6"/>
        </w:rPr>
        <w:t> </w:t>
      </w:r>
      <w:r>
        <w:rPr/>
        <w:t>this</w:t>
      </w:r>
      <w:r>
        <w:rPr>
          <w:spacing w:val="-6"/>
        </w:rPr>
        <w:t> </w:t>
      </w:r>
      <w:r>
        <w:rPr/>
        <w:t>amendment will not result in a regression of rights in NI.</w:t>
      </w:r>
      <w:r>
        <w:rPr>
          <w:vertAlign w:val="superscript"/>
        </w:rPr>
        <w:t>48</w:t>
      </w:r>
    </w:p>
    <w:p>
      <w:pPr>
        <w:pStyle w:val="Heading6"/>
        <w:spacing w:before="311"/>
        <w:ind w:left="1853"/>
        <w:rPr>
          <w:i/>
        </w:rPr>
      </w:pPr>
      <w:r>
        <w:rPr>
          <w:i/>
          <w:color w:val="67287F"/>
        </w:rPr>
        <w:t>UK-EU</w:t>
      </w:r>
      <w:r>
        <w:rPr>
          <w:i/>
          <w:color w:val="67287F"/>
          <w:spacing w:val="-9"/>
        </w:rPr>
        <w:t> </w:t>
      </w:r>
      <w:r>
        <w:rPr>
          <w:i/>
          <w:color w:val="67287F"/>
        </w:rPr>
        <w:t>Engagement</w:t>
      </w:r>
      <w:r>
        <w:rPr>
          <w:i/>
          <w:color w:val="67287F"/>
          <w:spacing w:val="-8"/>
        </w:rPr>
        <w:t> </w:t>
      </w:r>
      <w:r>
        <w:rPr>
          <w:i/>
          <w:color w:val="67287F"/>
        </w:rPr>
        <w:t>on</w:t>
      </w:r>
      <w:r>
        <w:rPr>
          <w:i/>
          <w:color w:val="67287F"/>
          <w:spacing w:val="-8"/>
        </w:rPr>
        <w:t> </w:t>
      </w:r>
      <w:r>
        <w:rPr>
          <w:i/>
          <w:color w:val="67287F"/>
        </w:rPr>
        <w:t>Windsor</w:t>
      </w:r>
      <w:r>
        <w:rPr>
          <w:i/>
          <w:color w:val="67287F"/>
          <w:spacing w:val="-9"/>
        </w:rPr>
        <w:t> </w:t>
      </w:r>
      <w:r>
        <w:rPr>
          <w:i/>
          <w:color w:val="67287F"/>
        </w:rPr>
        <w:t>Framework</w:t>
      </w:r>
      <w:r>
        <w:rPr>
          <w:i/>
          <w:color w:val="67287F"/>
          <w:spacing w:val="-9"/>
        </w:rPr>
        <w:t> </w:t>
      </w:r>
      <w:r>
        <w:rPr>
          <w:i/>
          <w:color w:val="67287F"/>
        </w:rPr>
        <w:t>Article</w:t>
      </w:r>
      <w:r>
        <w:rPr>
          <w:i/>
          <w:color w:val="67287F"/>
          <w:spacing w:val="-9"/>
        </w:rPr>
        <w:t> </w:t>
      </w:r>
      <w:r>
        <w:rPr>
          <w:i/>
          <w:color w:val="67287F"/>
          <w:spacing w:val="-10"/>
        </w:rPr>
        <w:t>2</w:t>
      </w:r>
    </w:p>
    <w:p>
      <w:pPr>
        <w:pStyle w:val="ListParagraph"/>
        <w:numPr>
          <w:ilvl w:val="1"/>
          <w:numId w:val="5"/>
        </w:numPr>
        <w:tabs>
          <w:tab w:pos="1853" w:val="left" w:leader="none"/>
        </w:tabs>
        <w:spacing w:line="225" w:lineRule="auto" w:before="5" w:after="0"/>
        <w:ind w:left="1853" w:right="1183" w:hanging="720"/>
        <w:jc w:val="left"/>
        <w:rPr>
          <w:sz w:val="28"/>
        </w:rPr>
      </w:pPr>
      <w:r>
        <w:rPr>
          <w:sz w:val="28"/>
        </w:rPr>
        <w:t>The UK-EU political agreement on a new way forward on the Windsor Framework committed to establishing enhanced mechanisms for UK-EU cooperation,</w:t>
      </w:r>
      <w:r>
        <w:rPr>
          <w:spacing w:val="-10"/>
          <w:sz w:val="28"/>
        </w:rPr>
        <w:t> </w:t>
      </w:r>
      <w:r>
        <w:rPr>
          <w:sz w:val="28"/>
        </w:rPr>
        <w:t>including</w:t>
      </w:r>
      <w:r>
        <w:rPr>
          <w:spacing w:val="-10"/>
          <w:sz w:val="28"/>
        </w:rPr>
        <w:t> </w:t>
      </w:r>
      <w:r>
        <w:rPr>
          <w:sz w:val="28"/>
        </w:rPr>
        <w:t>for</w:t>
      </w:r>
      <w:r>
        <w:rPr>
          <w:spacing w:val="-10"/>
          <w:sz w:val="28"/>
        </w:rPr>
        <w:t> </w:t>
      </w:r>
      <w:r>
        <w:rPr>
          <w:sz w:val="28"/>
        </w:rPr>
        <w:t>sub-groups</w:t>
      </w:r>
      <w:r>
        <w:rPr>
          <w:spacing w:val="-11"/>
          <w:sz w:val="28"/>
        </w:rPr>
        <w:t> </w:t>
      </w:r>
      <w:r>
        <w:rPr>
          <w:sz w:val="28"/>
        </w:rPr>
        <w:t>to</w:t>
      </w:r>
      <w:r>
        <w:rPr>
          <w:spacing w:val="-11"/>
          <w:sz w:val="28"/>
        </w:rPr>
        <w:t> </w:t>
      </w:r>
      <w:r>
        <w:rPr>
          <w:sz w:val="28"/>
        </w:rPr>
        <w:t>the</w:t>
      </w:r>
      <w:r>
        <w:rPr>
          <w:spacing w:val="-10"/>
          <w:sz w:val="28"/>
        </w:rPr>
        <w:t> </w:t>
      </w:r>
      <w:r>
        <w:rPr>
          <w:sz w:val="28"/>
        </w:rPr>
        <w:t>Joint</w:t>
      </w:r>
      <w:r>
        <w:rPr>
          <w:spacing w:val="-10"/>
          <w:sz w:val="28"/>
        </w:rPr>
        <w:t> </w:t>
      </w:r>
      <w:r>
        <w:rPr>
          <w:sz w:val="28"/>
        </w:rPr>
        <w:t>Consultative</w:t>
      </w:r>
      <w:r>
        <w:rPr>
          <w:spacing w:val="-10"/>
          <w:sz w:val="28"/>
        </w:rPr>
        <w:t> </w:t>
      </w:r>
      <w:r>
        <w:rPr>
          <w:sz w:val="28"/>
        </w:rPr>
        <w:t>Working</w:t>
      </w:r>
      <w:r>
        <w:rPr>
          <w:spacing w:val="-10"/>
          <w:sz w:val="28"/>
        </w:rPr>
        <w:t> </w:t>
      </w:r>
      <w:r>
        <w:rPr>
          <w:sz w:val="28"/>
        </w:rPr>
        <w:t>Group and enhanced engagement with NI stakeholders.</w:t>
      </w:r>
      <w:r>
        <w:rPr>
          <w:sz w:val="28"/>
          <w:vertAlign w:val="superscript"/>
        </w:rPr>
        <w:t>49</w:t>
      </w:r>
    </w:p>
    <w:p>
      <w:pPr>
        <w:pStyle w:val="ListParagraph"/>
        <w:numPr>
          <w:ilvl w:val="1"/>
          <w:numId w:val="5"/>
        </w:numPr>
        <w:tabs>
          <w:tab w:pos="1853" w:val="left" w:leader="none"/>
        </w:tabs>
        <w:spacing w:line="225" w:lineRule="auto" w:before="315" w:after="0"/>
        <w:ind w:left="1853" w:right="2050" w:hanging="720"/>
        <w:jc w:val="both"/>
        <w:rPr>
          <w:sz w:val="28"/>
        </w:rPr>
      </w:pPr>
      <w:r>
        <w:rPr>
          <w:sz w:val="28"/>
        </w:rPr>
        <w:t>The</w:t>
      </w:r>
      <w:r>
        <w:rPr>
          <w:spacing w:val="-4"/>
          <w:sz w:val="28"/>
        </w:rPr>
        <w:t> </w:t>
      </w:r>
      <w:r>
        <w:rPr>
          <w:sz w:val="28"/>
        </w:rPr>
        <w:t>Commissions</w:t>
      </w:r>
      <w:r>
        <w:rPr>
          <w:spacing w:val="-5"/>
          <w:sz w:val="28"/>
        </w:rPr>
        <w:t> </w:t>
      </w:r>
      <w:r>
        <w:rPr>
          <w:sz w:val="28"/>
        </w:rPr>
        <w:t>had</w:t>
      </w:r>
      <w:r>
        <w:rPr>
          <w:spacing w:val="-5"/>
          <w:sz w:val="28"/>
        </w:rPr>
        <w:t> </w:t>
      </w:r>
      <w:r>
        <w:rPr>
          <w:sz w:val="28"/>
        </w:rPr>
        <w:t>previously</w:t>
      </w:r>
      <w:r>
        <w:rPr>
          <w:spacing w:val="-4"/>
          <w:sz w:val="28"/>
        </w:rPr>
        <w:t> </w:t>
      </w:r>
      <w:r>
        <w:rPr>
          <w:sz w:val="28"/>
        </w:rPr>
        <w:t>highlighted</w:t>
      </w:r>
      <w:r>
        <w:rPr>
          <w:spacing w:val="-5"/>
          <w:sz w:val="28"/>
        </w:rPr>
        <w:t> </w:t>
      </w:r>
      <w:r>
        <w:rPr>
          <w:sz w:val="28"/>
        </w:rPr>
        <w:t>that</w:t>
      </w:r>
      <w:r>
        <w:rPr>
          <w:spacing w:val="-4"/>
          <w:sz w:val="28"/>
        </w:rPr>
        <w:t> </w:t>
      </w:r>
      <w:r>
        <w:rPr>
          <w:sz w:val="28"/>
        </w:rPr>
        <w:t>the</w:t>
      </w:r>
      <w:r>
        <w:rPr>
          <w:spacing w:val="-4"/>
          <w:sz w:val="28"/>
        </w:rPr>
        <w:t> </w:t>
      </w:r>
      <w:r>
        <w:rPr>
          <w:sz w:val="28"/>
        </w:rPr>
        <w:t>establishment</w:t>
      </w:r>
      <w:r>
        <w:rPr>
          <w:spacing w:val="-4"/>
          <w:sz w:val="28"/>
        </w:rPr>
        <w:t> </w:t>
      </w:r>
      <w:r>
        <w:rPr>
          <w:sz w:val="28"/>
        </w:rPr>
        <w:t>of a</w:t>
      </w:r>
      <w:r>
        <w:rPr>
          <w:spacing w:val="-2"/>
          <w:sz w:val="28"/>
        </w:rPr>
        <w:t> </w:t>
      </w:r>
      <w:r>
        <w:rPr>
          <w:sz w:val="28"/>
        </w:rPr>
        <w:t>Windsor</w:t>
      </w:r>
      <w:r>
        <w:rPr>
          <w:spacing w:val="-1"/>
          <w:sz w:val="28"/>
        </w:rPr>
        <w:t> </w:t>
      </w:r>
      <w:r>
        <w:rPr>
          <w:sz w:val="28"/>
        </w:rPr>
        <w:t>Framework</w:t>
      </w:r>
      <w:r>
        <w:rPr>
          <w:spacing w:val="-1"/>
          <w:sz w:val="28"/>
        </w:rPr>
        <w:t> </w:t>
      </w:r>
      <w:r>
        <w:rPr>
          <w:sz w:val="28"/>
        </w:rPr>
        <w:t>Article</w:t>
      </w:r>
      <w:r>
        <w:rPr>
          <w:spacing w:val="-1"/>
          <w:sz w:val="28"/>
        </w:rPr>
        <w:t> </w:t>
      </w:r>
      <w:r>
        <w:rPr>
          <w:sz w:val="28"/>
        </w:rPr>
        <w:t>2</w:t>
      </w:r>
      <w:r>
        <w:rPr>
          <w:spacing w:val="-1"/>
          <w:sz w:val="28"/>
        </w:rPr>
        <w:t> </w:t>
      </w:r>
      <w:r>
        <w:rPr>
          <w:sz w:val="28"/>
        </w:rPr>
        <w:t>‘structured</w:t>
      </w:r>
      <w:r>
        <w:rPr>
          <w:spacing w:val="-2"/>
          <w:sz w:val="28"/>
        </w:rPr>
        <w:t> </w:t>
      </w:r>
      <w:r>
        <w:rPr>
          <w:sz w:val="28"/>
        </w:rPr>
        <w:t>sub-group’</w:t>
      </w:r>
      <w:r>
        <w:rPr>
          <w:spacing w:val="-1"/>
          <w:sz w:val="28"/>
        </w:rPr>
        <w:t> </w:t>
      </w:r>
      <w:r>
        <w:rPr>
          <w:sz w:val="28"/>
        </w:rPr>
        <w:t>within</w:t>
      </w:r>
      <w:r>
        <w:rPr>
          <w:spacing w:val="-2"/>
          <w:sz w:val="28"/>
        </w:rPr>
        <w:t> </w:t>
      </w:r>
      <w:r>
        <w:rPr>
          <w:sz w:val="28"/>
        </w:rPr>
        <w:t>the</w:t>
      </w:r>
      <w:r>
        <w:rPr>
          <w:spacing w:val="-1"/>
          <w:sz w:val="28"/>
        </w:rPr>
        <w:t> </w:t>
      </w:r>
      <w:r>
        <w:rPr>
          <w:sz w:val="28"/>
        </w:rPr>
        <w:t>Joint Consultative</w:t>
      </w:r>
      <w:r>
        <w:rPr>
          <w:spacing w:val="-8"/>
          <w:sz w:val="28"/>
        </w:rPr>
        <w:t> </w:t>
      </w:r>
      <w:r>
        <w:rPr>
          <w:sz w:val="28"/>
        </w:rPr>
        <w:t>Working</w:t>
      </w:r>
      <w:r>
        <w:rPr>
          <w:spacing w:val="-8"/>
          <w:sz w:val="28"/>
        </w:rPr>
        <w:t> </w:t>
      </w:r>
      <w:r>
        <w:rPr>
          <w:sz w:val="28"/>
        </w:rPr>
        <w:t>Group</w:t>
      </w:r>
      <w:r>
        <w:rPr>
          <w:spacing w:val="-9"/>
          <w:sz w:val="28"/>
        </w:rPr>
        <w:t> </w:t>
      </w:r>
      <w:r>
        <w:rPr>
          <w:sz w:val="28"/>
        </w:rPr>
        <w:t>that</w:t>
      </w:r>
      <w:r>
        <w:rPr>
          <w:spacing w:val="-8"/>
          <w:sz w:val="28"/>
        </w:rPr>
        <w:t> </w:t>
      </w:r>
      <w:r>
        <w:rPr>
          <w:sz w:val="28"/>
        </w:rPr>
        <w:t>focuses</w:t>
      </w:r>
      <w:r>
        <w:rPr>
          <w:spacing w:val="-9"/>
          <w:sz w:val="28"/>
        </w:rPr>
        <w:t> </w:t>
      </w:r>
      <w:r>
        <w:rPr>
          <w:sz w:val="28"/>
        </w:rPr>
        <w:t>on</w:t>
      </w:r>
      <w:r>
        <w:rPr>
          <w:spacing w:val="-9"/>
          <w:sz w:val="28"/>
        </w:rPr>
        <w:t> </w:t>
      </w:r>
      <w:r>
        <w:rPr>
          <w:sz w:val="28"/>
        </w:rPr>
        <w:t>issues</w:t>
      </w:r>
      <w:r>
        <w:rPr>
          <w:spacing w:val="-9"/>
          <w:sz w:val="28"/>
        </w:rPr>
        <w:t> </w:t>
      </w:r>
      <w:r>
        <w:rPr>
          <w:sz w:val="28"/>
        </w:rPr>
        <w:t>relating</w:t>
      </w:r>
      <w:r>
        <w:rPr>
          <w:spacing w:val="-8"/>
          <w:sz w:val="28"/>
        </w:rPr>
        <w:t> </w:t>
      </w:r>
      <w:r>
        <w:rPr>
          <w:sz w:val="28"/>
        </w:rPr>
        <w:t>to</w:t>
      </w:r>
      <w:r>
        <w:rPr>
          <w:spacing w:val="-9"/>
          <w:sz w:val="28"/>
        </w:rPr>
        <w:t> </w:t>
      </w:r>
      <w:r>
        <w:rPr>
          <w:sz w:val="28"/>
        </w:rPr>
        <w:t>Windsor</w:t>
      </w:r>
    </w:p>
    <w:p>
      <w:pPr>
        <w:pStyle w:val="BodyText"/>
        <w:spacing w:line="225" w:lineRule="auto"/>
        <w:ind w:left="1853" w:right="1124"/>
      </w:pPr>
      <w:r>
        <w:rPr/>
        <w:t>Framework</w:t>
      </w:r>
      <w:r>
        <w:rPr>
          <w:spacing w:val="-6"/>
        </w:rPr>
        <w:t> </w:t>
      </w:r>
      <w:r>
        <w:rPr/>
        <w:t>Article</w:t>
      </w:r>
      <w:r>
        <w:rPr>
          <w:spacing w:val="-6"/>
        </w:rPr>
        <w:t> </w:t>
      </w:r>
      <w:r>
        <w:rPr/>
        <w:t>2</w:t>
      </w:r>
      <w:r>
        <w:rPr>
          <w:spacing w:val="-6"/>
        </w:rPr>
        <w:t> </w:t>
      </w:r>
      <w:r>
        <w:rPr/>
        <w:t>and</w:t>
      </w:r>
      <w:r>
        <w:rPr>
          <w:spacing w:val="-7"/>
        </w:rPr>
        <w:t> </w:t>
      </w:r>
      <w:r>
        <w:rPr/>
        <w:t>equality</w:t>
      </w:r>
      <w:r>
        <w:rPr>
          <w:spacing w:val="-6"/>
        </w:rPr>
        <w:t> </w:t>
      </w:r>
      <w:r>
        <w:rPr/>
        <w:t>and</w:t>
      </w:r>
      <w:r>
        <w:rPr>
          <w:spacing w:val="-7"/>
        </w:rPr>
        <w:t> </w:t>
      </w:r>
      <w:r>
        <w:rPr/>
        <w:t>human</w:t>
      </w:r>
      <w:r>
        <w:rPr>
          <w:spacing w:val="-7"/>
        </w:rPr>
        <w:t> </w:t>
      </w:r>
      <w:r>
        <w:rPr/>
        <w:t>rights</w:t>
      </w:r>
      <w:r>
        <w:rPr>
          <w:spacing w:val="-7"/>
        </w:rPr>
        <w:t> </w:t>
      </w:r>
      <w:r>
        <w:rPr/>
        <w:t>in</w:t>
      </w:r>
      <w:r>
        <w:rPr>
          <w:spacing w:val="-7"/>
        </w:rPr>
        <w:t> </w:t>
      </w:r>
      <w:r>
        <w:rPr/>
        <w:t>NI</w:t>
      </w:r>
      <w:r>
        <w:rPr>
          <w:spacing w:val="-3"/>
        </w:rPr>
        <w:t> </w:t>
      </w:r>
      <w:r>
        <w:rPr/>
        <w:t>would</w:t>
      </w:r>
      <w:r>
        <w:rPr>
          <w:spacing w:val="-13"/>
        </w:rPr>
        <w:t> </w:t>
      </w:r>
      <w:r>
        <w:rPr/>
        <w:t>be</w:t>
      </w:r>
      <w:r>
        <w:rPr>
          <w:spacing w:val="-13"/>
        </w:rPr>
        <w:t> </w:t>
      </w:r>
      <w:r>
        <w:rPr/>
        <w:t>beneficial.</w:t>
      </w:r>
      <w:r>
        <w:rPr>
          <w:vertAlign w:val="superscript"/>
        </w:rPr>
        <w:t>50</w:t>
      </w:r>
      <w:r>
        <w:rPr>
          <w:vertAlign w:val="baseline"/>
        </w:rPr>
        <w:t> This would assist with ensuring regular and structured engagement and information exchange between the Joint Consultative Working Group, the Commissions and wider equality and human rights stakeholders, in terms of the</w:t>
      </w:r>
      <w:r>
        <w:rPr>
          <w:spacing w:val="-4"/>
          <w:vertAlign w:val="baseline"/>
        </w:rPr>
        <w:t> </w:t>
      </w:r>
      <w:r>
        <w:rPr>
          <w:vertAlign w:val="baseline"/>
        </w:rPr>
        <w:t>implications</w:t>
      </w:r>
      <w:r>
        <w:rPr>
          <w:spacing w:val="-5"/>
          <w:vertAlign w:val="baseline"/>
        </w:rPr>
        <w:t> </w:t>
      </w:r>
      <w:r>
        <w:rPr>
          <w:vertAlign w:val="baseline"/>
        </w:rPr>
        <w:t>of</w:t>
      </w:r>
      <w:r>
        <w:rPr>
          <w:spacing w:val="-5"/>
          <w:vertAlign w:val="baseline"/>
        </w:rPr>
        <w:t> </w:t>
      </w:r>
      <w:r>
        <w:rPr>
          <w:vertAlign w:val="baseline"/>
        </w:rPr>
        <w:t>proposed</w:t>
      </w:r>
      <w:r>
        <w:rPr>
          <w:spacing w:val="-5"/>
          <w:vertAlign w:val="baseline"/>
        </w:rPr>
        <w:t> </w:t>
      </w:r>
      <w:r>
        <w:rPr>
          <w:vertAlign w:val="baseline"/>
        </w:rPr>
        <w:t>EU</w:t>
      </w:r>
      <w:r>
        <w:rPr>
          <w:spacing w:val="-4"/>
          <w:vertAlign w:val="baseline"/>
        </w:rPr>
        <w:t> </w:t>
      </w:r>
      <w:r>
        <w:rPr>
          <w:vertAlign w:val="baseline"/>
        </w:rPr>
        <w:t>measures</w:t>
      </w:r>
      <w:r>
        <w:rPr>
          <w:spacing w:val="-5"/>
          <w:vertAlign w:val="baseline"/>
        </w:rPr>
        <w:t> </w:t>
      </w:r>
      <w:r>
        <w:rPr>
          <w:vertAlign w:val="baseline"/>
        </w:rPr>
        <w:t>on</w:t>
      </w:r>
      <w:r>
        <w:rPr>
          <w:spacing w:val="-5"/>
          <w:vertAlign w:val="baseline"/>
        </w:rPr>
        <w:t> </w:t>
      </w:r>
      <w:r>
        <w:rPr>
          <w:vertAlign w:val="baseline"/>
        </w:rPr>
        <w:t>the</w:t>
      </w:r>
      <w:r>
        <w:rPr>
          <w:spacing w:val="-4"/>
          <w:vertAlign w:val="baseline"/>
        </w:rPr>
        <w:t> </w:t>
      </w:r>
      <w:r>
        <w:rPr>
          <w:vertAlign w:val="baseline"/>
        </w:rPr>
        <w:t>promotion</w:t>
      </w:r>
      <w:r>
        <w:rPr>
          <w:spacing w:val="-5"/>
          <w:vertAlign w:val="baseline"/>
        </w:rPr>
        <w:t> </w:t>
      </w:r>
      <w:r>
        <w:rPr>
          <w:vertAlign w:val="baseline"/>
        </w:rPr>
        <w:t>and</w:t>
      </w:r>
      <w:r>
        <w:rPr>
          <w:spacing w:val="-5"/>
          <w:vertAlign w:val="baseline"/>
        </w:rPr>
        <w:t> </w:t>
      </w:r>
      <w:r>
        <w:rPr>
          <w:vertAlign w:val="baseline"/>
        </w:rPr>
        <w:t>protection</w:t>
      </w:r>
      <w:r>
        <w:rPr>
          <w:spacing w:val="-5"/>
          <w:vertAlign w:val="baseline"/>
        </w:rPr>
        <w:t> </w:t>
      </w:r>
      <w:r>
        <w:rPr>
          <w:vertAlign w:val="baseline"/>
        </w:rPr>
        <w:t>of equality and human rights.</w:t>
      </w:r>
    </w:p>
    <w:p>
      <w:pPr>
        <w:pStyle w:val="BodyText"/>
        <w:rPr>
          <w:sz w:val="20"/>
        </w:rPr>
      </w:pPr>
    </w:p>
    <w:p>
      <w:pPr>
        <w:pStyle w:val="BodyText"/>
        <w:rPr>
          <w:sz w:val="20"/>
        </w:rPr>
      </w:pPr>
    </w:p>
    <w:p>
      <w:pPr>
        <w:pStyle w:val="BodyText"/>
        <w:rPr>
          <w:sz w:val="20"/>
        </w:rPr>
      </w:pPr>
    </w:p>
    <w:p>
      <w:pPr>
        <w:pStyle w:val="BodyText"/>
        <w:spacing w:before="64"/>
        <w:rPr>
          <w:sz w:val="20"/>
        </w:rPr>
      </w:pPr>
      <w:r>
        <w:rPr/>
        <mc:AlternateContent>
          <mc:Choice Requires="wps">
            <w:drawing>
              <wp:anchor distT="0" distB="0" distL="0" distR="0" allowOverlap="1" layoutInCell="1" locked="0" behindDoc="1" simplePos="0" relativeHeight="487625728">
                <wp:simplePos x="0" y="0"/>
                <wp:positionH relativeFrom="page">
                  <wp:posOffset>719996</wp:posOffset>
                </wp:positionH>
                <wp:positionV relativeFrom="paragraph">
                  <wp:posOffset>211230</wp:posOffset>
                </wp:positionV>
                <wp:extent cx="6120130" cy="1270"/>
                <wp:effectExtent l="0" t="0" r="0" b="0"/>
                <wp:wrapTopAndBottom/>
                <wp:docPr id="138" name="Graphic 138"/>
                <wp:cNvGraphicFramePr>
                  <a:graphicFrameLocks/>
                </wp:cNvGraphicFramePr>
                <a:graphic>
                  <a:graphicData uri="http://schemas.microsoft.com/office/word/2010/wordprocessingShape">
                    <wps:wsp>
                      <wps:cNvPr id="138" name="Graphic 138"/>
                      <wps:cNvSpPr/>
                      <wps:spPr>
                        <a:xfrm>
                          <a:off x="0" y="0"/>
                          <a:ext cx="6120130" cy="1270"/>
                        </a:xfrm>
                        <a:custGeom>
                          <a:avLst/>
                          <a:gdLst/>
                          <a:ahLst/>
                          <a:cxnLst/>
                          <a:rect l="l" t="t" r="r" b="b"/>
                          <a:pathLst>
                            <a:path w="6120130" h="0">
                              <a:moveTo>
                                <a:pt x="6120003" y="0"/>
                              </a:moveTo>
                              <a:lnTo>
                                <a:pt x="0"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6.632299pt;width:481.9pt;height:.1pt;mso-position-horizontal-relative:page;mso-position-vertical-relative:paragraph;z-index:-15690752;mso-wrap-distance-left:0;mso-wrap-distance-right:0" id="docshape95" coordorigin="1134,333" coordsize="9638,0" path="m10772,333l1134,333e" filled="false" stroked="true" strokeweight="1pt" strokecolor="#393b7f">
                <v:path arrowok="t"/>
                <v:stroke dashstyle="solid"/>
                <w10:wrap type="topAndBottom"/>
              </v:shape>
            </w:pict>
          </mc:Fallback>
        </mc:AlternateContent>
      </w:r>
    </w:p>
    <w:p>
      <w:pPr>
        <w:pStyle w:val="ListParagraph"/>
        <w:numPr>
          <w:ilvl w:val="0"/>
          <w:numId w:val="3"/>
        </w:numPr>
        <w:tabs>
          <w:tab w:pos="1853" w:val="left" w:leader="none"/>
        </w:tabs>
        <w:spacing w:line="218" w:lineRule="exact" w:before="152" w:after="0"/>
        <w:ind w:left="1853" w:right="0" w:hanging="720"/>
        <w:jc w:val="left"/>
        <w:rPr>
          <w:sz w:val="18"/>
        </w:rPr>
      </w:pPr>
      <w:r>
        <w:rPr>
          <w:sz w:val="18"/>
        </w:rPr>
        <w:t>Equality</w:t>
      </w:r>
      <w:r>
        <w:rPr>
          <w:spacing w:val="-5"/>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and</w:t>
      </w:r>
      <w:r>
        <w:rPr>
          <w:spacing w:val="-3"/>
          <w:sz w:val="18"/>
        </w:rPr>
        <w:t> </w:t>
      </w: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2"/>
          <w:sz w:val="18"/>
        </w:rPr>
        <w:t> </w:t>
      </w:r>
      <w:r>
        <w:rPr>
          <w:sz w:val="18"/>
        </w:rPr>
        <w:t>‘</w:t>
      </w:r>
      <w:hyperlink r:id="rId70">
        <w:r>
          <w:rPr>
            <w:sz w:val="18"/>
          </w:rPr>
          <w:t>Submission</w:t>
        </w:r>
        <w:r>
          <w:rPr>
            <w:spacing w:val="-4"/>
            <w:sz w:val="18"/>
          </w:rPr>
          <w:t> </w:t>
        </w:r>
        <w:r>
          <w:rPr>
            <w:sz w:val="18"/>
          </w:rPr>
          <w:t>of</w:t>
        </w:r>
        <w:r>
          <w:rPr>
            <w:spacing w:val="-4"/>
            <w:sz w:val="18"/>
          </w:rPr>
          <w:t> </w:t>
        </w:r>
        <w:r>
          <w:rPr>
            <w:sz w:val="18"/>
          </w:rPr>
          <w:t>NIHRC</w:t>
        </w:r>
        <w:r>
          <w:rPr>
            <w:spacing w:val="-4"/>
            <w:sz w:val="18"/>
          </w:rPr>
          <w:t> </w:t>
        </w:r>
        <w:r>
          <w:rPr>
            <w:sz w:val="18"/>
          </w:rPr>
          <w:t>and</w:t>
        </w:r>
        <w:r>
          <w:rPr>
            <w:spacing w:val="-3"/>
            <w:sz w:val="18"/>
          </w:rPr>
          <w:t> </w:t>
        </w:r>
        <w:r>
          <w:rPr>
            <w:sz w:val="18"/>
          </w:rPr>
          <w:t>ECNI</w:t>
        </w:r>
        <w:r>
          <w:rPr>
            <w:spacing w:val="-3"/>
            <w:sz w:val="18"/>
          </w:rPr>
          <w:t> </w:t>
        </w:r>
        <w:r>
          <w:rPr>
            <w:sz w:val="18"/>
          </w:rPr>
          <w:t>to</w:t>
        </w:r>
        <w:r>
          <w:rPr>
            <w:spacing w:val="-4"/>
            <w:sz w:val="18"/>
          </w:rPr>
          <w:t> </w:t>
        </w:r>
        <w:r>
          <w:rPr>
            <w:sz w:val="18"/>
          </w:rPr>
          <w:t>House</w:t>
        </w:r>
        <w:r>
          <w:rPr>
            <w:spacing w:val="-3"/>
            <w:sz w:val="18"/>
          </w:rPr>
          <w:t> </w:t>
        </w:r>
        <w:r>
          <w:rPr>
            <w:sz w:val="18"/>
          </w:rPr>
          <w:t>of</w:t>
        </w:r>
        <w:r>
          <w:rPr>
            <w:spacing w:val="-3"/>
            <w:sz w:val="18"/>
          </w:rPr>
          <w:t> </w:t>
        </w:r>
        <w:r>
          <w:rPr>
            <w:spacing w:val="-2"/>
            <w:sz w:val="18"/>
          </w:rPr>
          <w:t>Lords</w:t>
        </w:r>
      </w:hyperlink>
    </w:p>
    <w:p>
      <w:pPr>
        <w:spacing w:line="216" w:lineRule="exact" w:before="0"/>
        <w:ind w:left="1853" w:right="0" w:firstLine="0"/>
        <w:jc w:val="left"/>
        <w:rPr>
          <w:sz w:val="18"/>
        </w:rPr>
      </w:pPr>
      <w:hyperlink r:id="rId70">
        <w:r>
          <w:rPr>
            <w:sz w:val="18"/>
          </w:rPr>
          <w:t>Sub-Committee</w:t>
        </w:r>
        <w:r>
          <w:rPr>
            <w:spacing w:val="-5"/>
            <w:sz w:val="18"/>
          </w:rPr>
          <w:t> </w:t>
        </w:r>
        <w:r>
          <w:rPr>
            <w:sz w:val="18"/>
          </w:rPr>
          <w:t>on</w:t>
        </w:r>
        <w:r>
          <w:rPr>
            <w:spacing w:val="-5"/>
            <w:sz w:val="18"/>
          </w:rPr>
          <w:t> </w:t>
        </w:r>
        <w:r>
          <w:rPr>
            <w:sz w:val="18"/>
          </w:rPr>
          <w:t>the</w:t>
        </w:r>
        <w:r>
          <w:rPr>
            <w:spacing w:val="-4"/>
            <w:sz w:val="18"/>
          </w:rPr>
          <w:t> </w:t>
        </w:r>
        <w:r>
          <w:rPr>
            <w:sz w:val="18"/>
          </w:rPr>
          <w:t>Protocol’s</w:t>
        </w:r>
        <w:r>
          <w:rPr>
            <w:spacing w:val="-5"/>
            <w:sz w:val="18"/>
          </w:rPr>
          <w:t> </w:t>
        </w:r>
        <w:r>
          <w:rPr>
            <w:sz w:val="18"/>
          </w:rPr>
          <w:t>call</w:t>
        </w:r>
        <w:r>
          <w:rPr>
            <w:spacing w:val="-5"/>
            <w:sz w:val="18"/>
          </w:rPr>
          <w:t> </w:t>
        </w:r>
        <w:r>
          <w:rPr>
            <w:sz w:val="18"/>
          </w:rPr>
          <w:t>for</w:t>
        </w:r>
        <w:r>
          <w:rPr>
            <w:spacing w:val="-5"/>
            <w:sz w:val="18"/>
          </w:rPr>
          <w:t> </w:t>
        </w:r>
        <w:r>
          <w:rPr>
            <w:sz w:val="18"/>
          </w:rPr>
          <w:t>evidence</w:t>
        </w:r>
        <w:r>
          <w:rPr>
            <w:spacing w:val="-4"/>
            <w:sz w:val="18"/>
          </w:rPr>
          <w:t> </w:t>
        </w:r>
        <w:r>
          <w:rPr>
            <w:sz w:val="18"/>
          </w:rPr>
          <w:t>for</w:t>
        </w:r>
        <w:r>
          <w:rPr>
            <w:spacing w:val="-4"/>
            <w:sz w:val="18"/>
          </w:rPr>
          <w:t> </w:t>
        </w:r>
        <w:r>
          <w:rPr>
            <w:sz w:val="18"/>
          </w:rPr>
          <w:t>its</w:t>
        </w:r>
        <w:r>
          <w:rPr>
            <w:spacing w:val="-5"/>
            <w:sz w:val="18"/>
          </w:rPr>
          <w:t> </w:t>
        </w:r>
        <w:r>
          <w:rPr>
            <w:sz w:val="18"/>
          </w:rPr>
          <w:t>inquiry</w:t>
        </w:r>
        <w:r>
          <w:rPr>
            <w:spacing w:val="-5"/>
            <w:sz w:val="18"/>
          </w:rPr>
          <w:t> </w:t>
        </w:r>
        <w:r>
          <w:rPr>
            <w:sz w:val="18"/>
          </w:rPr>
          <w:t>on</w:t>
        </w:r>
        <w:r>
          <w:rPr>
            <w:spacing w:val="-5"/>
            <w:sz w:val="18"/>
          </w:rPr>
          <w:t> </w:t>
        </w:r>
        <w:r>
          <w:rPr>
            <w:sz w:val="18"/>
          </w:rPr>
          <w:t>the</w:t>
        </w:r>
        <w:r>
          <w:rPr>
            <w:spacing w:val="-4"/>
            <w:sz w:val="18"/>
          </w:rPr>
          <w:t> </w:t>
        </w:r>
        <w:r>
          <w:rPr>
            <w:sz w:val="18"/>
          </w:rPr>
          <w:t>Windsor</w:t>
        </w:r>
        <w:r>
          <w:rPr>
            <w:spacing w:val="-4"/>
            <w:sz w:val="18"/>
          </w:rPr>
          <w:t> </w:t>
        </w:r>
        <w:r>
          <w:rPr>
            <w:sz w:val="18"/>
          </w:rPr>
          <w:t>Framework’</w:t>
        </w:r>
        <w:r>
          <w:rPr>
            <w:spacing w:val="-5"/>
            <w:sz w:val="18"/>
          </w:rPr>
          <w:t> </w:t>
        </w:r>
        <w:r>
          <w:rPr>
            <w:sz w:val="18"/>
          </w:rPr>
          <w:t>(ECNI</w:t>
        </w:r>
        <w:r>
          <w:rPr>
            <w:spacing w:val="-4"/>
            <w:sz w:val="18"/>
          </w:rPr>
          <w:t> </w:t>
        </w:r>
        <w:r>
          <w:rPr>
            <w:sz w:val="18"/>
          </w:rPr>
          <w:t>and</w:t>
        </w:r>
        <w:r>
          <w:rPr>
            <w:spacing w:val="-5"/>
            <w:sz w:val="18"/>
          </w:rPr>
          <w:t> </w:t>
        </w:r>
        <w:r>
          <w:rPr>
            <w:sz w:val="18"/>
          </w:rPr>
          <w:t>NIHRC,</w:t>
        </w:r>
        <w:r>
          <w:rPr>
            <w:spacing w:val="-4"/>
            <w:sz w:val="18"/>
          </w:rPr>
          <w:t> </w:t>
        </w:r>
        <w:r>
          <w:rPr>
            <w:spacing w:val="-2"/>
            <w:sz w:val="18"/>
          </w:rPr>
          <w:t>2023)</w:t>
        </w:r>
      </w:hyperlink>
      <w:r>
        <w:rPr>
          <w:spacing w:val="-2"/>
          <w:sz w:val="18"/>
        </w:rPr>
        <w:t>;</w:t>
      </w:r>
    </w:p>
    <w:p>
      <w:pPr>
        <w:spacing w:line="235" w:lineRule="auto" w:before="2"/>
        <w:ind w:left="1853" w:right="1762" w:firstLine="0"/>
        <w:jc w:val="left"/>
        <w:rPr>
          <w:sz w:val="18"/>
        </w:rPr>
      </w:pPr>
      <w:r>
        <w:rPr>
          <w:sz w:val="18"/>
        </w:rPr>
        <w:t>Equality</w:t>
      </w:r>
      <w:r>
        <w:rPr>
          <w:spacing w:val="-5"/>
          <w:sz w:val="18"/>
        </w:rPr>
        <w:t> </w:t>
      </w:r>
      <w:r>
        <w:rPr>
          <w:sz w:val="18"/>
        </w:rPr>
        <w:t>Commission</w:t>
      </w:r>
      <w:r>
        <w:rPr>
          <w:spacing w:val="-6"/>
          <w:sz w:val="18"/>
        </w:rPr>
        <w:t> </w:t>
      </w:r>
      <w:r>
        <w:rPr>
          <w:sz w:val="18"/>
        </w:rPr>
        <w:t>for</w:t>
      </w:r>
      <w:r>
        <w:rPr>
          <w:spacing w:val="-5"/>
          <w:sz w:val="18"/>
        </w:rPr>
        <w:t> </w:t>
      </w:r>
      <w:r>
        <w:rPr>
          <w:sz w:val="18"/>
        </w:rPr>
        <w:t>NI,</w:t>
      </w:r>
      <w:r>
        <w:rPr>
          <w:spacing w:val="-5"/>
          <w:sz w:val="18"/>
        </w:rPr>
        <w:t> </w:t>
      </w:r>
      <w:r>
        <w:rPr>
          <w:sz w:val="18"/>
        </w:rPr>
        <w:t>‘Submission</w:t>
      </w:r>
      <w:r>
        <w:rPr>
          <w:spacing w:val="-6"/>
          <w:sz w:val="18"/>
        </w:rPr>
        <w:t> </w:t>
      </w:r>
      <w:r>
        <w:rPr>
          <w:sz w:val="18"/>
        </w:rPr>
        <w:t>to</w:t>
      </w:r>
      <w:r>
        <w:rPr>
          <w:spacing w:val="-6"/>
          <w:sz w:val="18"/>
        </w:rPr>
        <w:t> </w:t>
      </w:r>
      <w:r>
        <w:rPr>
          <w:sz w:val="18"/>
        </w:rPr>
        <w:t>the</w:t>
      </w:r>
      <w:r>
        <w:rPr>
          <w:spacing w:val="-5"/>
          <w:sz w:val="18"/>
        </w:rPr>
        <w:t> </w:t>
      </w:r>
      <w:r>
        <w:rPr>
          <w:sz w:val="18"/>
        </w:rPr>
        <w:t>House</w:t>
      </w:r>
      <w:r>
        <w:rPr>
          <w:spacing w:val="-5"/>
          <w:sz w:val="18"/>
        </w:rPr>
        <w:t> </w:t>
      </w:r>
      <w:r>
        <w:rPr>
          <w:sz w:val="18"/>
        </w:rPr>
        <w:t>of</w:t>
      </w:r>
      <w:r>
        <w:rPr>
          <w:spacing w:val="-6"/>
          <w:sz w:val="18"/>
        </w:rPr>
        <w:t> </w:t>
      </w:r>
      <w:r>
        <w:rPr>
          <w:sz w:val="18"/>
        </w:rPr>
        <w:t>Lords</w:t>
      </w:r>
      <w:r>
        <w:rPr>
          <w:spacing w:val="-6"/>
          <w:sz w:val="18"/>
        </w:rPr>
        <w:t> </w:t>
      </w:r>
      <w:r>
        <w:rPr>
          <w:sz w:val="18"/>
        </w:rPr>
        <w:t>Sub-Committee</w:t>
      </w:r>
      <w:r>
        <w:rPr>
          <w:spacing w:val="-5"/>
          <w:sz w:val="18"/>
        </w:rPr>
        <w:t> </w:t>
      </w:r>
      <w:r>
        <w:rPr>
          <w:sz w:val="18"/>
        </w:rPr>
        <w:t>on</w:t>
      </w:r>
      <w:r>
        <w:rPr>
          <w:spacing w:val="-6"/>
          <w:sz w:val="18"/>
        </w:rPr>
        <w:t> </w:t>
      </w:r>
      <w:r>
        <w:rPr>
          <w:sz w:val="18"/>
        </w:rPr>
        <w:t>the</w:t>
      </w:r>
      <w:r>
        <w:rPr>
          <w:spacing w:val="-5"/>
          <w:sz w:val="18"/>
        </w:rPr>
        <w:t> </w:t>
      </w:r>
      <w:r>
        <w:rPr>
          <w:sz w:val="18"/>
        </w:rPr>
        <w:t>Windsor</w:t>
      </w:r>
      <w:r>
        <w:rPr>
          <w:spacing w:val="-5"/>
          <w:sz w:val="18"/>
        </w:rPr>
        <w:t> </w:t>
      </w:r>
      <w:r>
        <w:rPr>
          <w:sz w:val="18"/>
        </w:rPr>
        <w:t>Framework’s</w:t>
      </w:r>
      <w:r>
        <w:rPr>
          <w:spacing w:val="-6"/>
          <w:sz w:val="18"/>
        </w:rPr>
        <w:t> </w:t>
      </w:r>
      <w:r>
        <w:rPr>
          <w:sz w:val="18"/>
        </w:rPr>
        <w:t>call for evidence for its inquiry on regulatory divergence and the Windsor Framework’, (ECNI, 2023), at 9-10.</w:t>
      </w:r>
    </w:p>
    <w:p>
      <w:pPr>
        <w:pStyle w:val="ListParagraph"/>
        <w:numPr>
          <w:ilvl w:val="0"/>
          <w:numId w:val="3"/>
        </w:numPr>
        <w:tabs>
          <w:tab w:pos="1853" w:val="left" w:leader="none"/>
        </w:tabs>
        <w:spacing w:line="235" w:lineRule="auto" w:before="1" w:after="0"/>
        <w:ind w:left="1853" w:right="1167" w:hanging="720"/>
        <w:jc w:val="left"/>
        <w:rPr>
          <w:sz w:val="18"/>
        </w:rPr>
      </w:pPr>
      <w:r>
        <w:rPr>
          <w:sz w:val="18"/>
        </w:rPr>
        <w:t>UK</w:t>
      </w:r>
      <w:r>
        <w:rPr>
          <w:spacing w:val="-6"/>
          <w:sz w:val="18"/>
        </w:rPr>
        <w:t> </w:t>
      </w:r>
      <w:r>
        <w:rPr>
          <w:sz w:val="18"/>
        </w:rPr>
        <w:t>Parliament</w:t>
      </w:r>
      <w:r>
        <w:rPr>
          <w:spacing w:val="-6"/>
          <w:sz w:val="18"/>
        </w:rPr>
        <w:t> </w:t>
      </w:r>
      <w:r>
        <w:rPr>
          <w:sz w:val="18"/>
        </w:rPr>
        <w:t>Hansard,</w:t>
      </w:r>
      <w:r>
        <w:rPr>
          <w:spacing w:val="-6"/>
          <w:sz w:val="18"/>
        </w:rPr>
        <w:t> </w:t>
      </w:r>
      <w:r>
        <w:rPr>
          <w:sz w:val="18"/>
        </w:rPr>
        <w:t>‘House</w:t>
      </w:r>
      <w:r>
        <w:rPr>
          <w:spacing w:val="-6"/>
          <w:sz w:val="18"/>
        </w:rPr>
        <w:t> </w:t>
      </w:r>
      <w:r>
        <w:rPr>
          <w:sz w:val="18"/>
        </w:rPr>
        <w:t>of</w:t>
      </w:r>
      <w:r>
        <w:rPr>
          <w:spacing w:val="-6"/>
          <w:sz w:val="18"/>
        </w:rPr>
        <w:t> </w:t>
      </w:r>
      <w:r>
        <w:rPr>
          <w:sz w:val="18"/>
        </w:rPr>
        <w:t>Commons:</w:t>
      </w:r>
      <w:r>
        <w:rPr>
          <w:spacing w:val="-6"/>
          <w:sz w:val="18"/>
        </w:rPr>
        <w:t> </w:t>
      </w:r>
      <w:r>
        <w:rPr>
          <w:sz w:val="18"/>
        </w:rPr>
        <w:t>Ministerial</w:t>
      </w:r>
      <w:r>
        <w:rPr>
          <w:spacing w:val="-6"/>
          <w:sz w:val="18"/>
        </w:rPr>
        <w:t> </w:t>
      </w:r>
      <w:r>
        <w:rPr>
          <w:sz w:val="18"/>
        </w:rPr>
        <w:t>statement</w:t>
      </w:r>
      <w:r>
        <w:rPr>
          <w:spacing w:val="-6"/>
          <w:sz w:val="18"/>
        </w:rPr>
        <w:t> </w:t>
      </w:r>
      <w:r>
        <w:rPr>
          <w:sz w:val="18"/>
        </w:rPr>
        <w:t>-</w:t>
      </w:r>
      <w:r>
        <w:rPr>
          <w:spacing w:val="-6"/>
          <w:sz w:val="18"/>
        </w:rPr>
        <w:t> </w:t>
      </w:r>
      <w:r>
        <w:rPr>
          <w:sz w:val="18"/>
        </w:rPr>
        <w:t>Northern</w:t>
      </w:r>
      <w:r>
        <w:rPr>
          <w:spacing w:val="-6"/>
          <w:sz w:val="18"/>
        </w:rPr>
        <w:t> </w:t>
      </w:r>
      <w:r>
        <w:rPr>
          <w:sz w:val="18"/>
        </w:rPr>
        <w:t>Ireland</w:t>
      </w:r>
      <w:r>
        <w:rPr>
          <w:spacing w:val="-6"/>
          <w:sz w:val="18"/>
        </w:rPr>
        <w:t> </w:t>
      </w:r>
      <w:r>
        <w:rPr>
          <w:sz w:val="18"/>
        </w:rPr>
        <w:t>Executive</w:t>
      </w:r>
      <w:r>
        <w:rPr>
          <w:spacing w:val="-6"/>
          <w:sz w:val="18"/>
        </w:rPr>
        <w:t> </w:t>
      </w:r>
      <w:r>
        <w:rPr>
          <w:sz w:val="18"/>
        </w:rPr>
        <w:t>Formation</w:t>
      </w:r>
      <w:r>
        <w:rPr>
          <w:spacing w:val="-6"/>
          <w:sz w:val="18"/>
        </w:rPr>
        <w:t> </w:t>
      </w:r>
      <w:r>
        <w:rPr>
          <w:sz w:val="18"/>
        </w:rPr>
        <w:t>–</w:t>
      </w:r>
      <w:r>
        <w:rPr>
          <w:spacing w:val="-6"/>
          <w:sz w:val="18"/>
        </w:rPr>
        <w:t> </w:t>
      </w:r>
      <w:r>
        <w:rPr>
          <w:sz w:val="18"/>
        </w:rPr>
        <w:t>Volume</w:t>
      </w:r>
      <w:r>
        <w:rPr>
          <w:spacing w:val="-6"/>
          <w:sz w:val="18"/>
        </w:rPr>
        <w:t> </w:t>
      </w:r>
      <w:r>
        <w:rPr>
          <w:sz w:val="18"/>
        </w:rPr>
        <w:t>744, Column 886-887’, 31 January 2024.</w:t>
      </w:r>
    </w:p>
    <w:p>
      <w:pPr>
        <w:pStyle w:val="ListParagraph"/>
        <w:numPr>
          <w:ilvl w:val="0"/>
          <w:numId w:val="3"/>
        </w:numPr>
        <w:tabs>
          <w:tab w:pos="1853" w:val="left" w:leader="none"/>
        </w:tabs>
        <w:spacing w:line="235" w:lineRule="auto" w:before="1" w:after="0"/>
        <w:ind w:left="1853" w:right="1684" w:hanging="720"/>
        <w:jc w:val="left"/>
        <w:rPr>
          <w:sz w:val="18"/>
        </w:rPr>
      </w:pPr>
      <w:r>
        <w:rPr>
          <w:sz w:val="18"/>
        </w:rPr>
        <w:t>UK Government and EU Commission, ‘Windsor </w:t>
      </w:r>
      <w:hyperlink r:id="rId68">
        <w:r>
          <w:rPr>
            <w:sz w:val="18"/>
          </w:rPr>
          <w:t>Political Declaration</w:t>
        </w:r>
      </w:hyperlink>
      <w:r>
        <w:rPr>
          <w:sz w:val="18"/>
        </w:rPr>
        <w:t> by the European Commission and UK’ (HM Government,</w:t>
      </w:r>
      <w:r>
        <w:rPr>
          <w:spacing w:val="-7"/>
          <w:sz w:val="18"/>
        </w:rPr>
        <w:t> </w:t>
      </w:r>
      <w:r>
        <w:rPr>
          <w:sz w:val="18"/>
        </w:rPr>
        <w:t>2023),</w:t>
      </w:r>
      <w:r>
        <w:rPr>
          <w:spacing w:val="-7"/>
          <w:sz w:val="18"/>
        </w:rPr>
        <w:t> </w:t>
      </w:r>
      <w:r>
        <w:rPr>
          <w:sz w:val="18"/>
        </w:rPr>
        <w:t>at</w:t>
      </w:r>
      <w:r>
        <w:rPr>
          <w:spacing w:val="-7"/>
          <w:sz w:val="18"/>
        </w:rPr>
        <w:t> </w:t>
      </w:r>
      <w:r>
        <w:rPr>
          <w:sz w:val="18"/>
        </w:rPr>
        <w:t>3;</w:t>
      </w:r>
      <w:r>
        <w:rPr>
          <w:spacing w:val="-7"/>
          <w:sz w:val="18"/>
        </w:rPr>
        <w:t> </w:t>
      </w:r>
      <w:r>
        <w:rPr>
          <w:sz w:val="18"/>
        </w:rPr>
        <w:t>EU</w:t>
      </w:r>
      <w:r>
        <w:rPr>
          <w:spacing w:val="-7"/>
          <w:sz w:val="18"/>
        </w:rPr>
        <w:t> </w:t>
      </w:r>
      <w:r>
        <w:rPr>
          <w:sz w:val="18"/>
        </w:rPr>
        <w:t>Commission,</w:t>
      </w:r>
      <w:r>
        <w:rPr>
          <w:spacing w:val="-8"/>
          <w:sz w:val="18"/>
        </w:rPr>
        <w:t> </w:t>
      </w:r>
      <w:hyperlink r:id="rId71">
        <w:r>
          <w:rPr>
            <w:sz w:val="18"/>
          </w:rPr>
          <w:t>‘Commission</w:t>
        </w:r>
        <w:r>
          <w:rPr>
            <w:spacing w:val="-8"/>
            <w:sz w:val="18"/>
          </w:rPr>
          <w:t> </w:t>
        </w:r>
        <w:r>
          <w:rPr>
            <w:sz w:val="18"/>
          </w:rPr>
          <w:t>statement</w:t>
        </w:r>
        <w:r>
          <w:rPr>
            <w:spacing w:val="-7"/>
            <w:sz w:val="18"/>
          </w:rPr>
          <w:t> </w:t>
        </w:r>
        <w:r>
          <w:rPr>
            <w:sz w:val="18"/>
          </w:rPr>
          <w:t>on</w:t>
        </w:r>
        <w:r>
          <w:rPr>
            <w:spacing w:val="-8"/>
            <w:sz w:val="18"/>
          </w:rPr>
          <w:t> </w:t>
        </w:r>
        <w:r>
          <w:rPr>
            <w:sz w:val="18"/>
          </w:rPr>
          <w:t>Enhanced</w:t>
        </w:r>
        <w:r>
          <w:rPr>
            <w:spacing w:val="-8"/>
            <w:sz w:val="18"/>
          </w:rPr>
          <w:t> </w:t>
        </w:r>
        <w:r>
          <w:rPr>
            <w:sz w:val="18"/>
          </w:rPr>
          <w:t>engagement</w:t>
        </w:r>
        <w:r>
          <w:rPr>
            <w:spacing w:val="-7"/>
            <w:sz w:val="18"/>
          </w:rPr>
          <w:t> </w:t>
        </w:r>
        <w:r>
          <w:rPr>
            <w:sz w:val="18"/>
          </w:rPr>
          <w:t>with</w:t>
        </w:r>
        <w:r>
          <w:rPr>
            <w:spacing w:val="-8"/>
            <w:sz w:val="18"/>
          </w:rPr>
          <w:t> </w:t>
        </w:r>
        <w:r>
          <w:rPr>
            <w:sz w:val="18"/>
          </w:rPr>
          <w:t>NI</w:t>
        </w:r>
        <w:r>
          <w:rPr>
            <w:spacing w:val="-7"/>
            <w:sz w:val="18"/>
          </w:rPr>
          <w:t> </w:t>
        </w:r>
        <w:r>
          <w:rPr>
            <w:sz w:val="18"/>
          </w:rPr>
          <w:t>stakeholders’.</w:t>
        </w:r>
      </w:hyperlink>
    </w:p>
    <w:p>
      <w:pPr>
        <w:pStyle w:val="ListParagraph"/>
        <w:numPr>
          <w:ilvl w:val="0"/>
          <w:numId w:val="3"/>
        </w:numPr>
        <w:tabs>
          <w:tab w:pos="1853" w:val="left" w:leader="none"/>
        </w:tabs>
        <w:spacing w:line="235" w:lineRule="auto" w:before="2" w:after="0"/>
        <w:ind w:left="1853" w:right="1318" w:hanging="720"/>
        <w:jc w:val="left"/>
        <w:rPr>
          <w:sz w:val="18"/>
        </w:rPr>
      </w:pPr>
      <w:r>
        <w:rPr>
          <w:sz w:val="18"/>
        </w:rPr>
        <w:t>Equality</w:t>
      </w:r>
      <w:r>
        <w:rPr>
          <w:spacing w:val="-2"/>
          <w:sz w:val="18"/>
        </w:rPr>
        <w:t> </w:t>
      </w:r>
      <w:r>
        <w:rPr>
          <w:sz w:val="18"/>
        </w:rPr>
        <w:t>Commission</w:t>
      </w:r>
      <w:r>
        <w:rPr>
          <w:spacing w:val="-3"/>
          <w:sz w:val="18"/>
        </w:rPr>
        <w:t> </w:t>
      </w:r>
      <w:r>
        <w:rPr>
          <w:sz w:val="18"/>
        </w:rPr>
        <w:t>for</w:t>
      </w:r>
      <w:r>
        <w:rPr>
          <w:spacing w:val="-2"/>
          <w:sz w:val="18"/>
        </w:rPr>
        <w:t> </w:t>
      </w:r>
      <w:r>
        <w:rPr>
          <w:sz w:val="18"/>
        </w:rPr>
        <w:t>NI</w:t>
      </w:r>
      <w:r>
        <w:rPr>
          <w:spacing w:val="-2"/>
          <w:sz w:val="18"/>
        </w:rPr>
        <w:t> </w:t>
      </w:r>
      <w:r>
        <w:rPr>
          <w:sz w:val="18"/>
        </w:rPr>
        <w:t>and</w:t>
      </w:r>
      <w:r>
        <w:rPr>
          <w:spacing w:val="-3"/>
          <w:sz w:val="18"/>
        </w:rPr>
        <w:t> </w:t>
      </w:r>
      <w:r>
        <w:rPr>
          <w:sz w:val="18"/>
        </w:rPr>
        <w:t>NI</w:t>
      </w:r>
      <w:r>
        <w:rPr>
          <w:spacing w:val="-2"/>
          <w:sz w:val="18"/>
        </w:rPr>
        <w:t> </w:t>
      </w:r>
      <w:r>
        <w:rPr>
          <w:sz w:val="18"/>
        </w:rPr>
        <w:t>Human</w:t>
      </w:r>
      <w:r>
        <w:rPr>
          <w:spacing w:val="-3"/>
          <w:sz w:val="18"/>
        </w:rPr>
        <w:t> </w:t>
      </w:r>
      <w:r>
        <w:rPr>
          <w:sz w:val="18"/>
        </w:rPr>
        <w:t>Rights</w:t>
      </w:r>
      <w:r>
        <w:rPr>
          <w:spacing w:val="-3"/>
          <w:sz w:val="18"/>
        </w:rPr>
        <w:t> </w:t>
      </w:r>
      <w:r>
        <w:rPr>
          <w:sz w:val="18"/>
        </w:rPr>
        <w:t>Commission,</w:t>
      </w:r>
      <w:r>
        <w:rPr>
          <w:spacing w:val="-2"/>
          <w:sz w:val="18"/>
        </w:rPr>
        <w:t> </w:t>
      </w:r>
      <w:r>
        <w:rPr>
          <w:sz w:val="18"/>
        </w:rPr>
        <w:t>‘Submission</w:t>
      </w:r>
      <w:r>
        <w:rPr>
          <w:spacing w:val="-3"/>
          <w:sz w:val="18"/>
        </w:rPr>
        <w:t> </w:t>
      </w:r>
      <w:r>
        <w:rPr>
          <w:sz w:val="18"/>
        </w:rPr>
        <w:t>of</w:t>
      </w:r>
      <w:r>
        <w:rPr>
          <w:spacing w:val="-3"/>
          <w:sz w:val="18"/>
        </w:rPr>
        <w:t> </w:t>
      </w:r>
      <w:r>
        <w:rPr>
          <w:sz w:val="18"/>
        </w:rPr>
        <w:t>the</w:t>
      </w:r>
      <w:r>
        <w:rPr>
          <w:spacing w:val="-2"/>
          <w:sz w:val="18"/>
        </w:rPr>
        <w:t> </w:t>
      </w:r>
      <w:r>
        <w:rPr>
          <w:sz w:val="18"/>
        </w:rPr>
        <w:t>NIHRC</w:t>
      </w:r>
      <w:r>
        <w:rPr>
          <w:spacing w:val="-3"/>
          <w:sz w:val="18"/>
        </w:rPr>
        <w:t> </w:t>
      </w:r>
      <w:r>
        <w:rPr>
          <w:sz w:val="18"/>
        </w:rPr>
        <w:t>and</w:t>
      </w:r>
      <w:r>
        <w:rPr>
          <w:spacing w:val="-3"/>
          <w:sz w:val="18"/>
        </w:rPr>
        <w:t> </w:t>
      </w:r>
      <w:r>
        <w:rPr>
          <w:sz w:val="18"/>
        </w:rPr>
        <w:t>ECNI</w:t>
      </w:r>
      <w:r>
        <w:rPr>
          <w:spacing w:val="-2"/>
          <w:sz w:val="18"/>
        </w:rPr>
        <w:t> </w:t>
      </w:r>
      <w:r>
        <w:rPr>
          <w:sz w:val="18"/>
        </w:rPr>
        <w:t>to</w:t>
      </w:r>
      <w:r>
        <w:rPr>
          <w:spacing w:val="-3"/>
          <w:sz w:val="18"/>
        </w:rPr>
        <w:t> </w:t>
      </w:r>
      <w:r>
        <w:rPr>
          <w:sz w:val="18"/>
        </w:rPr>
        <w:t>the</w:t>
      </w:r>
      <w:r>
        <w:rPr>
          <w:spacing w:val="-2"/>
          <w:sz w:val="18"/>
        </w:rPr>
        <w:t> </w:t>
      </w:r>
      <w:r>
        <w:rPr>
          <w:sz w:val="18"/>
        </w:rPr>
        <w:t>House</w:t>
      </w:r>
      <w:r>
        <w:rPr>
          <w:spacing w:val="-2"/>
          <w:sz w:val="18"/>
        </w:rPr>
        <w:t> </w:t>
      </w:r>
      <w:r>
        <w:rPr>
          <w:sz w:val="18"/>
        </w:rPr>
        <w:t>of</w:t>
      </w:r>
      <w:r>
        <w:rPr>
          <w:spacing w:val="-3"/>
          <w:sz w:val="18"/>
        </w:rPr>
        <w:t> </w:t>
      </w:r>
      <w:r>
        <w:rPr>
          <w:sz w:val="18"/>
        </w:rPr>
        <w:t>Lords Sub-Committee on the Protocol’s call for evidence for its inquiry on the Windsor Framework’ (ECNI and NIHRC, 2023).</w:t>
      </w:r>
    </w:p>
    <w:p>
      <w:pPr>
        <w:spacing w:after="0" w:line="235" w:lineRule="auto"/>
        <w:jc w:val="left"/>
        <w:rPr>
          <w:sz w:val="18"/>
        </w:rPr>
        <w:sectPr>
          <w:pgSz w:w="11910" w:h="16840"/>
          <w:pgMar w:header="496" w:footer="367" w:top="1220" w:bottom="560" w:left="0" w:right="0"/>
        </w:sectPr>
      </w:pPr>
    </w:p>
    <w:p>
      <w:pPr>
        <w:pStyle w:val="BodyText"/>
        <w:spacing w:before="181"/>
      </w:pPr>
    </w:p>
    <w:p>
      <w:pPr>
        <w:pStyle w:val="ListParagraph"/>
        <w:numPr>
          <w:ilvl w:val="1"/>
          <w:numId w:val="5"/>
        </w:numPr>
        <w:tabs>
          <w:tab w:pos="1853" w:val="left" w:leader="none"/>
        </w:tabs>
        <w:spacing w:line="225" w:lineRule="auto" w:before="0" w:after="0"/>
        <w:ind w:left="1853" w:right="1366" w:hanging="720"/>
        <w:jc w:val="left"/>
        <w:rPr>
          <w:sz w:val="28"/>
        </w:rPr>
      </w:pPr>
      <w:r>
        <w:rPr>
          <w:sz w:val="28"/>
        </w:rPr>
        <w:t>In July 2023 “calls for dedicated sub-groups on agri-food, retail, haulage and the</w:t>
      </w:r>
      <w:r>
        <w:rPr>
          <w:spacing w:val="-5"/>
          <w:sz w:val="28"/>
        </w:rPr>
        <w:t> </w:t>
      </w:r>
      <w:r>
        <w:rPr>
          <w:sz w:val="28"/>
        </w:rPr>
        <w:t>Article</w:t>
      </w:r>
      <w:r>
        <w:rPr>
          <w:spacing w:val="-5"/>
          <w:sz w:val="28"/>
        </w:rPr>
        <w:t> </w:t>
      </w:r>
      <w:r>
        <w:rPr>
          <w:sz w:val="28"/>
        </w:rPr>
        <w:t>2</w:t>
      </w:r>
      <w:r>
        <w:rPr>
          <w:spacing w:val="-5"/>
          <w:sz w:val="28"/>
        </w:rPr>
        <w:t> </w:t>
      </w:r>
      <w:r>
        <w:rPr>
          <w:sz w:val="28"/>
        </w:rPr>
        <w:t>provisions</w:t>
      </w:r>
      <w:r>
        <w:rPr>
          <w:spacing w:val="-6"/>
          <w:sz w:val="28"/>
        </w:rPr>
        <w:t> </w:t>
      </w:r>
      <w:r>
        <w:rPr>
          <w:sz w:val="28"/>
        </w:rPr>
        <w:t>on</w:t>
      </w:r>
      <w:r>
        <w:rPr>
          <w:spacing w:val="-6"/>
          <w:sz w:val="28"/>
        </w:rPr>
        <w:t> </w:t>
      </w:r>
      <w:r>
        <w:rPr>
          <w:sz w:val="28"/>
        </w:rPr>
        <w:t>human</w:t>
      </w:r>
      <w:r>
        <w:rPr>
          <w:spacing w:val="-6"/>
          <w:sz w:val="28"/>
        </w:rPr>
        <w:t> </w:t>
      </w:r>
      <w:r>
        <w:rPr>
          <w:sz w:val="28"/>
        </w:rPr>
        <w:t>rights</w:t>
      </w:r>
      <w:r>
        <w:rPr>
          <w:spacing w:val="-6"/>
          <w:sz w:val="28"/>
        </w:rPr>
        <w:t> </w:t>
      </w:r>
      <w:r>
        <w:rPr>
          <w:sz w:val="28"/>
        </w:rPr>
        <w:t>and</w:t>
      </w:r>
      <w:r>
        <w:rPr>
          <w:spacing w:val="-6"/>
          <w:sz w:val="28"/>
        </w:rPr>
        <w:t> </w:t>
      </w:r>
      <w:r>
        <w:rPr>
          <w:sz w:val="28"/>
        </w:rPr>
        <w:t>equalities</w:t>
      </w:r>
      <w:r>
        <w:rPr>
          <w:spacing w:val="-6"/>
          <w:sz w:val="28"/>
        </w:rPr>
        <w:t> </w:t>
      </w:r>
      <w:r>
        <w:rPr>
          <w:sz w:val="28"/>
        </w:rPr>
        <w:t>issues”</w:t>
      </w:r>
      <w:r>
        <w:rPr>
          <w:spacing w:val="-6"/>
          <w:sz w:val="28"/>
        </w:rPr>
        <w:t> </w:t>
      </w:r>
      <w:r>
        <w:rPr>
          <w:sz w:val="28"/>
        </w:rPr>
        <w:t>was</w:t>
      </w:r>
      <w:r>
        <w:rPr>
          <w:spacing w:val="-6"/>
          <w:sz w:val="28"/>
        </w:rPr>
        <w:t> </w:t>
      </w:r>
      <w:r>
        <w:rPr>
          <w:sz w:val="28"/>
        </w:rPr>
        <w:t>endorsed by the House of Lords Sub-Committee on the Windsor Framework.</w:t>
      </w:r>
      <w:r>
        <w:rPr>
          <w:sz w:val="28"/>
          <w:vertAlign w:val="superscript"/>
        </w:rPr>
        <w:t>51</w:t>
      </w:r>
      <w:r>
        <w:rPr>
          <w:spacing w:val="40"/>
          <w:sz w:val="28"/>
          <w:vertAlign w:val="baseline"/>
        </w:rPr>
        <w:t> </w:t>
      </w:r>
      <w:r>
        <w:rPr>
          <w:sz w:val="28"/>
          <w:vertAlign w:val="baseline"/>
        </w:rPr>
        <w:t>The</w:t>
      </w:r>
    </w:p>
    <w:p>
      <w:pPr>
        <w:pStyle w:val="BodyText"/>
        <w:spacing w:line="225" w:lineRule="auto"/>
        <w:ind w:left="1853" w:right="1171"/>
      </w:pPr>
      <w:r>
        <w:rPr/>
        <w:t>UK Government’s response to the Sub-Committee did not address this recommendation</w:t>
      </w:r>
      <w:r>
        <w:rPr>
          <w:spacing w:val="-12"/>
        </w:rPr>
        <w:t> </w:t>
      </w:r>
      <w:r>
        <w:rPr/>
        <w:t>for</w:t>
      </w:r>
      <w:r>
        <w:rPr>
          <w:spacing w:val="-11"/>
        </w:rPr>
        <w:t> </w:t>
      </w:r>
      <w:r>
        <w:rPr/>
        <w:t>an</w:t>
      </w:r>
      <w:r>
        <w:rPr>
          <w:spacing w:val="-12"/>
        </w:rPr>
        <w:t> </w:t>
      </w:r>
      <w:r>
        <w:rPr/>
        <w:t>Article</w:t>
      </w:r>
      <w:r>
        <w:rPr>
          <w:spacing w:val="-11"/>
        </w:rPr>
        <w:t> </w:t>
      </w:r>
      <w:r>
        <w:rPr/>
        <w:t>2</w:t>
      </w:r>
      <w:r>
        <w:rPr>
          <w:spacing w:val="-11"/>
        </w:rPr>
        <w:t> </w:t>
      </w:r>
      <w:r>
        <w:rPr/>
        <w:t>subgroup.</w:t>
      </w:r>
      <w:r>
        <w:rPr>
          <w:vertAlign w:val="superscript"/>
        </w:rPr>
        <w:t>52</w:t>
      </w:r>
      <w:r>
        <w:rPr>
          <w:spacing w:val="40"/>
          <w:vertAlign w:val="baseline"/>
        </w:rPr>
        <w:t> </w:t>
      </w:r>
      <w:r>
        <w:rPr>
          <w:vertAlign w:val="baseline"/>
        </w:rPr>
        <w:t>However,</w:t>
      </w:r>
      <w:r>
        <w:rPr>
          <w:spacing w:val="-11"/>
          <w:vertAlign w:val="baseline"/>
        </w:rPr>
        <w:t> </w:t>
      </w:r>
      <w:r>
        <w:rPr>
          <w:vertAlign w:val="baseline"/>
        </w:rPr>
        <w:t>the</w:t>
      </w:r>
      <w:r>
        <w:rPr>
          <w:spacing w:val="-11"/>
          <w:vertAlign w:val="baseline"/>
        </w:rPr>
        <w:t> </w:t>
      </w:r>
      <w:r>
        <w:rPr>
          <w:vertAlign w:val="baseline"/>
        </w:rPr>
        <w:t>Commissions</w:t>
      </w:r>
      <w:r>
        <w:rPr>
          <w:spacing w:val="-12"/>
          <w:vertAlign w:val="baseline"/>
        </w:rPr>
        <w:t> </w:t>
      </w:r>
      <w:r>
        <w:rPr>
          <w:vertAlign w:val="baseline"/>
        </w:rPr>
        <w:t>note recent developments to ensure greater, albeit informal, engagement with equality and human rights stakeholders in NI.</w:t>
      </w:r>
    </w:p>
    <w:p>
      <w:pPr>
        <w:pStyle w:val="ListParagraph"/>
        <w:numPr>
          <w:ilvl w:val="1"/>
          <w:numId w:val="5"/>
        </w:numPr>
        <w:tabs>
          <w:tab w:pos="1853" w:val="left" w:leader="none"/>
        </w:tabs>
        <w:spacing w:line="225" w:lineRule="auto" w:before="311" w:after="0"/>
        <w:ind w:left="1853" w:right="1774" w:hanging="720"/>
        <w:jc w:val="left"/>
        <w:rPr>
          <w:sz w:val="28"/>
        </w:rPr>
      </w:pPr>
      <w:r>
        <w:rPr>
          <w:sz w:val="28"/>
        </w:rPr>
        <w:t>The Commissions welcome the introduction of enhanced measures to deepen engagement, including with people in NI, and recognition by the EU</w:t>
      </w:r>
      <w:r>
        <w:rPr>
          <w:spacing w:val="-9"/>
          <w:sz w:val="28"/>
        </w:rPr>
        <w:t> </w:t>
      </w:r>
      <w:r>
        <w:rPr>
          <w:sz w:val="28"/>
        </w:rPr>
        <w:t>Commission</w:t>
      </w:r>
      <w:r>
        <w:rPr>
          <w:spacing w:val="-10"/>
          <w:sz w:val="28"/>
        </w:rPr>
        <w:t> </w:t>
      </w:r>
      <w:r>
        <w:rPr>
          <w:sz w:val="28"/>
        </w:rPr>
        <w:t>of</w:t>
      </w:r>
      <w:r>
        <w:rPr>
          <w:spacing w:val="-10"/>
          <w:sz w:val="28"/>
        </w:rPr>
        <w:t> </w:t>
      </w:r>
      <w:r>
        <w:rPr>
          <w:sz w:val="28"/>
        </w:rPr>
        <w:t>the</w:t>
      </w:r>
      <w:r>
        <w:rPr>
          <w:spacing w:val="-9"/>
          <w:sz w:val="28"/>
        </w:rPr>
        <w:t> </w:t>
      </w:r>
      <w:r>
        <w:rPr>
          <w:sz w:val="28"/>
        </w:rPr>
        <w:t>importance</w:t>
      </w:r>
      <w:r>
        <w:rPr>
          <w:spacing w:val="-9"/>
          <w:sz w:val="28"/>
        </w:rPr>
        <w:t> </w:t>
      </w:r>
      <w:r>
        <w:rPr>
          <w:sz w:val="28"/>
        </w:rPr>
        <w:t>of</w:t>
      </w:r>
      <w:r>
        <w:rPr>
          <w:spacing w:val="-10"/>
          <w:sz w:val="28"/>
        </w:rPr>
        <w:t> </w:t>
      </w:r>
      <w:r>
        <w:rPr>
          <w:sz w:val="28"/>
        </w:rPr>
        <w:t>engagement</w:t>
      </w:r>
      <w:r>
        <w:rPr>
          <w:spacing w:val="-9"/>
          <w:sz w:val="28"/>
        </w:rPr>
        <w:t> </w:t>
      </w:r>
      <w:r>
        <w:rPr>
          <w:sz w:val="28"/>
        </w:rPr>
        <w:t>with</w:t>
      </w:r>
      <w:r>
        <w:rPr>
          <w:spacing w:val="-10"/>
          <w:sz w:val="28"/>
        </w:rPr>
        <w:t> </w:t>
      </w:r>
      <w:r>
        <w:rPr>
          <w:sz w:val="28"/>
        </w:rPr>
        <w:t>NI</w:t>
      </w:r>
      <w:r>
        <w:rPr>
          <w:spacing w:val="-9"/>
          <w:sz w:val="28"/>
        </w:rPr>
        <w:t> </w:t>
      </w:r>
      <w:r>
        <w:rPr>
          <w:sz w:val="28"/>
        </w:rPr>
        <w:t>stakeholders.</w:t>
      </w:r>
      <w:r>
        <w:rPr>
          <w:sz w:val="28"/>
          <w:vertAlign w:val="superscript"/>
        </w:rPr>
        <w:t>53</w:t>
      </w:r>
    </w:p>
    <w:p>
      <w:pPr>
        <w:pStyle w:val="BodyText"/>
        <w:spacing w:line="225" w:lineRule="auto"/>
        <w:ind w:left="1853" w:right="1171"/>
      </w:pPr>
      <w:r>
        <w:rPr/>
        <w:t>At</w:t>
      </w:r>
      <w:r>
        <w:rPr>
          <w:spacing w:val="-6"/>
        </w:rPr>
        <w:t> </w:t>
      </w:r>
      <w:r>
        <w:rPr/>
        <w:t>the</w:t>
      </w:r>
      <w:r>
        <w:rPr>
          <w:spacing w:val="-6"/>
        </w:rPr>
        <w:t> </w:t>
      </w:r>
      <w:r>
        <w:rPr/>
        <w:t>time</w:t>
      </w:r>
      <w:r>
        <w:rPr>
          <w:spacing w:val="-6"/>
        </w:rPr>
        <w:t> </w:t>
      </w:r>
      <w:r>
        <w:rPr/>
        <w:t>of</w:t>
      </w:r>
      <w:r>
        <w:rPr>
          <w:spacing w:val="-7"/>
        </w:rPr>
        <w:t> </w:t>
      </w:r>
      <w:r>
        <w:rPr/>
        <w:t>writing,</w:t>
      </w:r>
      <w:r>
        <w:rPr>
          <w:spacing w:val="-6"/>
        </w:rPr>
        <w:t> </w:t>
      </w:r>
      <w:r>
        <w:rPr/>
        <w:t>new</w:t>
      </w:r>
      <w:r>
        <w:rPr>
          <w:spacing w:val="-6"/>
        </w:rPr>
        <w:t> </w:t>
      </w:r>
      <w:r>
        <w:rPr/>
        <w:t>arrangements</w:t>
      </w:r>
      <w:r>
        <w:rPr>
          <w:spacing w:val="-7"/>
        </w:rPr>
        <w:t> </w:t>
      </w:r>
      <w:r>
        <w:rPr/>
        <w:t>were</w:t>
      </w:r>
      <w:r>
        <w:rPr>
          <w:spacing w:val="-6"/>
        </w:rPr>
        <w:t> </w:t>
      </w:r>
      <w:r>
        <w:rPr/>
        <w:t>still</w:t>
      </w:r>
      <w:r>
        <w:rPr>
          <w:spacing w:val="-7"/>
        </w:rPr>
        <w:t> </w:t>
      </w:r>
      <w:r>
        <w:rPr/>
        <w:t>in</w:t>
      </w:r>
      <w:r>
        <w:rPr>
          <w:spacing w:val="-7"/>
        </w:rPr>
        <w:t> </w:t>
      </w:r>
      <w:r>
        <w:rPr/>
        <w:t>development</w:t>
      </w:r>
      <w:r>
        <w:rPr>
          <w:spacing w:val="-6"/>
        </w:rPr>
        <w:t> </w:t>
      </w:r>
      <w:r>
        <w:rPr/>
        <w:t>and</w:t>
      </w:r>
      <w:r>
        <w:rPr>
          <w:spacing w:val="-7"/>
        </w:rPr>
        <w:t> </w:t>
      </w:r>
      <w:r>
        <w:rPr/>
        <w:t>the Commissions are keeping the matter under review.</w:t>
      </w:r>
    </w:p>
    <w:p>
      <w:pPr>
        <w:pStyle w:val="BodyText"/>
        <w:spacing w:before="3"/>
        <w:rPr>
          <w:sz w:val="16"/>
        </w:rPr>
      </w:pPr>
      <w:r>
        <w:rPr/>
        <mc:AlternateContent>
          <mc:Choice Requires="wps">
            <w:drawing>
              <wp:anchor distT="0" distB="0" distL="0" distR="0" allowOverlap="1" layoutInCell="1" locked="0" behindDoc="1" simplePos="0" relativeHeight="487626240">
                <wp:simplePos x="0" y="0"/>
                <wp:positionH relativeFrom="page">
                  <wp:posOffset>720001</wp:posOffset>
                </wp:positionH>
                <wp:positionV relativeFrom="paragraph">
                  <wp:posOffset>141588</wp:posOffset>
                </wp:positionV>
                <wp:extent cx="6120130" cy="354330"/>
                <wp:effectExtent l="0" t="0" r="0" b="0"/>
                <wp:wrapTopAndBottom/>
                <wp:docPr id="139" name="Textbox 139"/>
                <wp:cNvGraphicFramePr>
                  <a:graphicFrameLocks/>
                </wp:cNvGraphicFramePr>
                <a:graphic>
                  <a:graphicData uri="http://schemas.microsoft.com/office/word/2010/wordprocessingShape">
                    <wps:wsp>
                      <wps:cNvPr id="139" name="Textbox 139"/>
                      <wps:cNvSpPr txBox="1"/>
                      <wps:spPr>
                        <a:xfrm>
                          <a:off x="0" y="0"/>
                          <a:ext cx="6120130" cy="354330"/>
                        </a:xfrm>
                        <a:prstGeom prst="rect">
                          <a:avLst/>
                        </a:prstGeom>
                        <a:solidFill>
                          <a:srgbClr val="393B80"/>
                        </a:solidFill>
                      </wps:spPr>
                      <wps:txbx>
                        <w:txbxContent>
                          <w:p>
                            <w:pPr>
                              <w:spacing w:before="94"/>
                              <w:ind w:left="792"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11.148719pt;width:481.9pt;height:27.9pt;mso-position-horizontal-relative:page;mso-position-vertical-relative:paragraph;z-index:-15690240;mso-wrap-distance-left:0;mso-wrap-distance-right:0" type="#_x0000_t202" id="docshape96" filled="true" fillcolor="#393b80" stroked="false">
                <v:textbox inset="0,0,0,0">
                  <w:txbxContent>
                    <w:p>
                      <w:pPr>
                        <w:spacing w:before="94"/>
                        <w:ind w:left="792"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5"/>
        </w:numPr>
        <w:tabs>
          <w:tab w:pos="1853" w:val="left" w:leader="none"/>
        </w:tabs>
        <w:spacing w:line="220" w:lineRule="auto" w:before="210" w:after="0"/>
        <w:ind w:left="1853" w:right="1492" w:hanging="720"/>
        <w:jc w:val="left"/>
        <w:rPr>
          <w:b/>
          <w:color w:val="67287F"/>
          <w:sz w:val="28"/>
        </w:rPr>
      </w:pPr>
      <w:r>
        <w:rPr>
          <w:b/>
          <w:color w:val="67287F"/>
          <w:sz w:val="28"/>
        </w:rPr>
        <w:t>The Commissions continue to recommend that the UK Government, the NI</w:t>
      </w:r>
      <w:r>
        <w:rPr>
          <w:b/>
          <w:color w:val="67287F"/>
          <w:spacing w:val="-9"/>
          <w:sz w:val="28"/>
        </w:rPr>
        <w:t> </w:t>
      </w:r>
      <w:r>
        <w:rPr>
          <w:b/>
          <w:color w:val="67287F"/>
          <w:sz w:val="28"/>
        </w:rPr>
        <w:t>Assembly</w:t>
      </w:r>
      <w:r>
        <w:rPr>
          <w:b/>
          <w:color w:val="67287F"/>
          <w:spacing w:val="-9"/>
          <w:sz w:val="28"/>
        </w:rPr>
        <w:t> </w:t>
      </w:r>
      <w:r>
        <w:rPr>
          <w:b/>
          <w:color w:val="67287F"/>
          <w:sz w:val="28"/>
        </w:rPr>
        <w:t>and</w:t>
      </w:r>
      <w:r>
        <w:rPr>
          <w:b/>
          <w:color w:val="67287F"/>
          <w:spacing w:val="-9"/>
          <w:sz w:val="28"/>
        </w:rPr>
        <w:t> </w:t>
      </w:r>
      <w:r>
        <w:rPr>
          <w:b/>
          <w:color w:val="67287F"/>
          <w:sz w:val="28"/>
        </w:rPr>
        <w:t>the</w:t>
      </w:r>
      <w:r>
        <w:rPr>
          <w:b/>
          <w:color w:val="67287F"/>
          <w:spacing w:val="-10"/>
          <w:sz w:val="28"/>
        </w:rPr>
        <w:t> </w:t>
      </w:r>
      <w:r>
        <w:rPr>
          <w:b/>
          <w:color w:val="67287F"/>
          <w:sz w:val="28"/>
        </w:rPr>
        <w:t>Windsor</w:t>
      </w:r>
      <w:r>
        <w:rPr>
          <w:b/>
          <w:color w:val="67287F"/>
          <w:spacing w:val="-10"/>
          <w:sz w:val="28"/>
        </w:rPr>
        <w:t> </w:t>
      </w:r>
      <w:r>
        <w:rPr>
          <w:b/>
          <w:color w:val="67287F"/>
          <w:sz w:val="28"/>
        </w:rPr>
        <w:t>Framework</w:t>
      </w:r>
      <w:r>
        <w:rPr>
          <w:b/>
          <w:color w:val="67287F"/>
          <w:spacing w:val="-10"/>
          <w:sz w:val="28"/>
        </w:rPr>
        <w:t> </w:t>
      </w:r>
      <w:r>
        <w:rPr>
          <w:b/>
          <w:color w:val="67287F"/>
          <w:sz w:val="28"/>
        </w:rPr>
        <w:t>Democratic</w:t>
      </w:r>
      <w:r>
        <w:rPr>
          <w:b/>
          <w:color w:val="67287F"/>
          <w:spacing w:val="-10"/>
          <w:sz w:val="28"/>
        </w:rPr>
        <w:t> </w:t>
      </w:r>
      <w:r>
        <w:rPr>
          <w:b/>
          <w:color w:val="67287F"/>
          <w:sz w:val="28"/>
        </w:rPr>
        <w:t>Scrutiny</w:t>
      </w:r>
      <w:r>
        <w:rPr>
          <w:b/>
          <w:color w:val="67287F"/>
          <w:spacing w:val="-9"/>
          <w:sz w:val="28"/>
        </w:rPr>
        <w:t> </w:t>
      </w:r>
      <w:r>
        <w:rPr>
          <w:b/>
          <w:color w:val="67287F"/>
          <w:sz w:val="28"/>
        </w:rPr>
        <w:t>Committee build in equality and human rights considerations at all key stages of the ‘Stormont brake’ mechanism and the revised process under Windsor Framework Article 13(4).</w:t>
      </w:r>
    </w:p>
    <w:p>
      <w:pPr>
        <w:pStyle w:val="ListParagraph"/>
        <w:numPr>
          <w:ilvl w:val="1"/>
          <w:numId w:val="5"/>
        </w:numPr>
        <w:tabs>
          <w:tab w:pos="1853" w:val="left" w:leader="none"/>
        </w:tabs>
        <w:spacing w:line="220" w:lineRule="auto" w:before="323" w:after="0"/>
        <w:ind w:left="1853" w:right="1300" w:hanging="720"/>
        <w:jc w:val="left"/>
        <w:rPr>
          <w:b/>
          <w:color w:val="67287F"/>
          <w:sz w:val="28"/>
        </w:rPr>
      </w:pPr>
      <w:r>
        <w:rPr>
          <w:b/>
          <w:color w:val="67287F"/>
          <w:sz w:val="28"/>
        </w:rPr>
        <w:t>The</w:t>
      </w:r>
      <w:r>
        <w:rPr>
          <w:b/>
          <w:color w:val="67287F"/>
          <w:spacing w:val="-7"/>
          <w:sz w:val="28"/>
        </w:rPr>
        <w:t> </w:t>
      </w:r>
      <w:r>
        <w:rPr>
          <w:b/>
          <w:color w:val="67287F"/>
          <w:sz w:val="28"/>
        </w:rPr>
        <w:t>Commissions</w:t>
      </w:r>
      <w:r>
        <w:rPr>
          <w:b/>
          <w:color w:val="67287F"/>
          <w:spacing w:val="-6"/>
          <w:sz w:val="28"/>
        </w:rPr>
        <w:t> </w:t>
      </w:r>
      <w:r>
        <w:rPr>
          <w:b/>
          <w:color w:val="67287F"/>
          <w:sz w:val="28"/>
        </w:rPr>
        <w:t>continue</w:t>
      </w:r>
      <w:r>
        <w:rPr>
          <w:b/>
          <w:color w:val="67287F"/>
          <w:spacing w:val="-7"/>
          <w:sz w:val="28"/>
        </w:rPr>
        <w:t> </w:t>
      </w:r>
      <w:r>
        <w:rPr>
          <w:b/>
          <w:color w:val="67287F"/>
          <w:sz w:val="28"/>
        </w:rPr>
        <w:t>to</w:t>
      </w:r>
      <w:r>
        <w:rPr>
          <w:b/>
          <w:color w:val="67287F"/>
          <w:spacing w:val="-6"/>
          <w:sz w:val="28"/>
        </w:rPr>
        <w:t> </w:t>
      </w:r>
      <w:r>
        <w:rPr>
          <w:b/>
          <w:color w:val="67287F"/>
          <w:sz w:val="28"/>
        </w:rPr>
        <w:t>recommend</w:t>
      </w:r>
      <w:r>
        <w:rPr>
          <w:b/>
          <w:color w:val="67287F"/>
          <w:spacing w:val="-6"/>
          <w:sz w:val="28"/>
        </w:rPr>
        <w:t> </w:t>
      </w:r>
      <w:r>
        <w:rPr>
          <w:b/>
          <w:color w:val="67287F"/>
          <w:sz w:val="28"/>
        </w:rPr>
        <w:t>that</w:t>
      </w:r>
      <w:r>
        <w:rPr>
          <w:b/>
          <w:color w:val="67287F"/>
          <w:spacing w:val="-6"/>
          <w:sz w:val="28"/>
        </w:rPr>
        <w:t> </w:t>
      </w:r>
      <w:r>
        <w:rPr>
          <w:b/>
          <w:color w:val="67287F"/>
          <w:sz w:val="28"/>
        </w:rPr>
        <w:t>the</w:t>
      </w:r>
      <w:r>
        <w:rPr>
          <w:b/>
          <w:color w:val="67287F"/>
          <w:spacing w:val="-7"/>
          <w:sz w:val="28"/>
        </w:rPr>
        <w:t> </w:t>
      </w:r>
      <w:r>
        <w:rPr>
          <w:b/>
          <w:color w:val="67287F"/>
          <w:sz w:val="28"/>
        </w:rPr>
        <w:t>UK</w:t>
      </w:r>
      <w:r>
        <w:rPr>
          <w:b/>
          <w:color w:val="67287F"/>
          <w:spacing w:val="-6"/>
          <w:sz w:val="28"/>
        </w:rPr>
        <w:t> </w:t>
      </w:r>
      <w:r>
        <w:rPr>
          <w:b/>
          <w:color w:val="67287F"/>
          <w:sz w:val="28"/>
        </w:rPr>
        <w:t>Government</w:t>
      </w:r>
      <w:r>
        <w:rPr>
          <w:b/>
          <w:color w:val="67287F"/>
          <w:spacing w:val="-6"/>
          <w:sz w:val="28"/>
        </w:rPr>
        <w:t> </w:t>
      </w:r>
      <w:r>
        <w:rPr>
          <w:b/>
          <w:color w:val="67287F"/>
          <w:sz w:val="28"/>
        </w:rPr>
        <w:t>and</w:t>
      </w:r>
      <w:r>
        <w:rPr>
          <w:b/>
          <w:color w:val="67287F"/>
          <w:spacing w:val="-6"/>
          <w:sz w:val="28"/>
        </w:rPr>
        <w:t> </w:t>
      </w:r>
      <w:r>
        <w:rPr>
          <w:b/>
          <w:color w:val="67287F"/>
          <w:sz w:val="28"/>
        </w:rPr>
        <w:t>the NI Executive monitor the impact on equality and human rights in NI, of any divergence of rights on the island of Ireland, resulting from the application of the ‘Stormont brake’ mechanism.</w:t>
      </w:r>
    </w:p>
    <w:p>
      <w:pPr>
        <w:pStyle w:val="ListParagraph"/>
        <w:numPr>
          <w:ilvl w:val="1"/>
          <w:numId w:val="5"/>
        </w:numPr>
        <w:tabs>
          <w:tab w:pos="1853" w:val="left" w:leader="none"/>
        </w:tabs>
        <w:spacing w:line="220" w:lineRule="auto" w:before="323" w:after="0"/>
        <w:ind w:left="1853" w:right="1349" w:hanging="720"/>
        <w:jc w:val="left"/>
        <w:rPr>
          <w:b/>
          <w:color w:val="67287F"/>
          <w:sz w:val="28"/>
        </w:rPr>
      </w:pPr>
      <w:r>
        <w:rPr>
          <w:b/>
          <w:color w:val="67287F"/>
          <w:sz w:val="28"/>
        </w:rPr>
        <w:t>The Commissions continue to recommend that the Windsor Framework Democratic Scrutiny Committee undertakes meaningful and timely engagement with the Commissions and equality and human rights groups in NI in relation to a proposed EU measure, or a replacement EU act, so as to</w:t>
      </w:r>
      <w:r>
        <w:rPr>
          <w:b/>
          <w:color w:val="67287F"/>
          <w:spacing w:val="-6"/>
          <w:sz w:val="28"/>
        </w:rPr>
        <w:t> </w:t>
      </w:r>
      <w:r>
        <w:rPr>
          <w:b/>
          <w:color w:val="67287F"/>
          <w:sz w:val="28"/>
        </w:rPr>
        <w:t>seek</w:t>
      </w:r>
      <w:r>
        <w:rPr>
          <w:b/>
          <w:color w:val="67287F"/>
          <w:spacing w:val="-7"/>
          <w:sz w:val="28"/>
        </w:rPr>
        <w:t> </w:t>
      </w:r>
      <w:r>
        <w:rPr>
          <w:b/>
          <w:color w:val="67287F"/>
          <w:sz w:val="28"/>
        </w:rPr>
        <w:t>their</w:t>
      </w:r>
      <w:r>
        <w:rPr>
          <w:b/>
          <w:color w:val="67287F"/>
          <w:spacing w:val="-7"/>
          <w:sz w:val="28"/>
        </w:rPr>
        <w:t> </w:t>
      </w:r>
      <w:r>
        <w:rPr>
          <w:b/>
          <w:color w:val="67287F"/>
          <w:sz w:val="28"/>
        </w:rPr>
        <w:t>views</w:t>
      </w:r>
      <w:r>
        <w:rPr>
          <w:b/>
          <w:color w:val="67287F"/>
          <w:spacing w:val="-6"/>
          <w:sz w:val="28"/>
        </w:rPr>
        <w:t> </w:t>
      </w:r>
      <w:r>
        <w:rPr>
          <w:b/>
          <w:color w:val="67287F"/>
          <w:sz w:val="28"/>
        </w:rPr>
        <w:t>on</w:t>
      </w:r>
      <w:r>
        <w:rPr>
          <w:b/>
          <w:color w:val="67287F"/>
          <w:spacing w:val="-6"/>
          <w:sz w:val="28"/>
        </w:rPr>
        <w:t> </w:t>
      </w:r>
      <w:r>
        <w:rPr>
          <w:b/>
          <w:color w:val="67287F"/>
          <w:sz w:val="28"/>
        </w:rPr>
        <w:t>the</w:t>
      </w:r>
      <w:r>
        <w:rPr>
          <w:b/>
          <w:color w:val="67287F"/>
          <w:spacing w:val="-7"/>
          <w:sz w:val="28"/>
        </w:rPr>
        <w:t> </w:t>
      </w:r>
      <w:r>
        <w:rPr>
          <w:b/>
          <w:color w:val="67287F"/>
          <w:sz w:val="28"/>
        </w:rPr>
        <w:t>implications</w:t>
      </w:r>
      <w:r>
        <w:rPr>
          <w:b/>
          <w:color w:val="67287F"/>
          <w:spacing w:val="-6"/>
          <w:sz w:val="28"/>
        </w:rPr>
        <w:t> </w:t>
      </w:r>
      <w:r>
        <w:rPr>
          <w:b/>
          <w:color w:val="67287F"/>
          <w:sz w:val="28"/>
        </w:rPr>
        <w:t>for</w:t>
      </w:r>
      <w:r>
        <w:rPr>
          <w:b/>
          <w:color w:val="67287F"/>
          <w:spacing w:val="-7"/>
          <w:sz w:val="28"/>
        </w:rPr>
        <w:t> </w:t>
      </w:r>
      <w:r>
        <w:rPr>
          <w:b/>
          <w:color w:val="67287F"/>
          <w:sz w:val="28"/>
        </w:rPr>
        <w:t>the</w:t>
      </w:r>
      <w:r>
        <w:rPr>
          <w:b/>
          <w:color w:val="67287F"/>
          <w:spacing w:val="-7"/>
          <w:sz w:val="28"/>
        </w:rPr>
        <w:t> </w:t>
      </w:r>
      <w:r>
        <w:rPr>
          <w:b/>
          <w:color w:val="67287F"/>
          <w:sz w:val="28"/>
        </w:rPr>
        <w:t>promotion</w:t>
      </w:r>
      <w:r>
        <w:rPr>
          <w:b/>
          <w:color w:val="67287F"/>
          <w:spacing w:val="-6"/>
          <w:sz w:val="28"/>
        </w:rPr>
        <w:t> </w:t>
      </w:r>
      <w:r>
        <w:rPr>
          <w:b/>
          <w:color w:val="67287F"/>
          <w:sz w:val="28"/>
        </w:rPr>
        <w:t>and</w:t>
      </w:r>
      <w:r>
        <w:rPr>
          <w:b/>
          <w:color w:val="67287F"/>
          <w:spacing w:val="-6"/>
          <w:sz w:val="28"/>
        </w:rPr>
        <w:t> </w:t>
      </w:r>
      <w:r>
        <w:rPr>
          <w:b/>
          <w:color w:val="67287F"/>
          <w:sz w:val="28"/>
        </w:rPr>
        <w:t>protection</w:t>
      </w:r>
      <w:r>
        <w:rPr>
          <w:b/>
          <w:color w:val="67287F"/>
          <w:spacing w:val="-6"/>
          <w:sz w:val="28"/>
        </w:rPr>
        <w:t> </w:t>
      </w:r>
      <w:r>
        <w:rPr>
          <w:b/>
          <w:color w:val="67287F"/>
          <w:sz w:val="28"/>
        </w:rPr>
        <w:t>of equality and human rights in NI.</w:t>
      </w:r>
    </w:p>
    <w:p>
      <w:pPr>
        <w:pStyle w:val="ListParagraph"/>
        <w:numPr>
          <w:ilvl w:val="1"/>
          <w:numId w:val="5"/>
        </w:numPr>
        <w:tabs>
          <w:tab w:pos="1853" w:val="left" w:leader="none"/>
        </w:tabs>
        <w:spacing w:line="223" w:lineRule="auto" w:before="322" w:after="0"/>
        <w:ind w:left="1853" w:right="1327" w:hanging="720"/>
        <w:jc w:val="left"/>
        <w:rPr>
          <w:b/>
          <w:color w:val="67287F"/>
          <w:sz w:val="28"/>
        </w:rPr>
      </w:pPr>
      <w:r>
        <w:rPr>
          <w:b/>
          <w:color w:val="67287F"/>
          <w:sz w:val="28"/>
        </w:rPr>
        <w:t>The Commissions continue to recommend that the Windsor Framework Democratic Scrutiny Committee interprets broadly the impact on ‘communities’ of the proposed new or amended EU measure to include a consideration</w:t>
      </w:r>
      <w:r>
        <w:rPr>
          <w:b/>
          <w:color w:val="67287F"/>
          <w:spacing w:val="-5"/>
          <w:sz w:val="28"/>
        </w:rPr>
        <w:t> </w:t>
      </w:r>
      <w:r>
        <w:rPr>
          <w:b/>
          <w:color w:val="67287F"/>
          <w:sz w:val="28"/>
        </w:rPr>
        <w:t>of</w:t>
      </w:r>
      <w:r>
        <w:rPr>
          <w:b/>
          <w:color w:val="67287F"/>
          <w:spacing w:val="-6"/>
          <w:sz w:val="28"/>
        </w:rPr>
        <w:t> </w:t>
      </w:r>
      <w:r>
        <w:rPr>
          <w:b/>
          <w:color w:val="67287F"/>
          <w:sz w:val="28"/>
        </w:rPr>
        <w:t>equality</w:t>
      </w:r>
      <w:r>
        <w:rPr>
          <w:b/>
          <w:color w:val="67287F"/>
          <w:spacing w:val="-5"/>
          <w:sz w:val="28"/>
        </w:rPr>
        <w:t> </w:t>
      </w:r>
      <w:r>
        <w:rPr>
          <w:b/>
          <w:color w:val="67287F"/>
          <w:sz w:val="28"/>
        </w:rPr>
        <w:t>and</w:t>
      </w:r>
      <w:r>
        <w:rPr>
          <w:b/>
          <w:color w:val="67287F"/>
          <w:spacing w:val="-5"/>
          <w:sz w:val="28"/>
        </w:rPr>
        <w:t> </w:t>
      </w:r>
      <w:r>
        <w:rPr>
          <w:b/>
          <w:color w:val="67287F"/>
          <w:sz w:val="28"/>
        </w:rPr>
        <w:t>human</w:t>
      </w:r>
      <w:r>
        <w:rPr>
          <w:b/>
          <w:color w:val="67287F"/>
          <w:spacing w:val="-5"/>
          <w:sz w:val="28"/>
        </w:rPr>
        <w:t> </w:t>
      </w:r>
      <w:r>
        <w:rPr>
          <w:b/>
          <w:color w:val="67287F"/>
          <w:sz w:val="28"/>
        </w:rPr>
        <w:t>rights</w:t>
      </w:r>
      <w:r>
        <w:rPr>
          <w:b/>
          <w:color w:val="67287F"/>
          <w:spacing w:val="-5"/>
          <w:sz w:val="28"/>
        </w:rPr>
        <w:t> </w:t>
      </w:r>
      <w:r>
        <w:rPr>
          <w:b/>
          <w:color w:val="67287F"/>
          <w:sz w:val="28"/>
        </w:rPr>
        <w:t>impacts</w:t>
      </w:r>
      <w:r>
        <w:rPr>
          <w:b/>
          <w:color w:val="67287F"/>
          <w:spacing w:val="-5"/>
          <w:sz w:val="28"/>
        </w:rPr>
        <w:t> </w:t>
      </w:r>
      <w:r>
        <w:rPr>
          <w:b/>
          <w:color w:val="67287F"/>
          <w:sz w:val="28"/>
        </w:rPr>
        <w:t>including</w:t>
      </w:r>
      <w:r>
        <w:rPr>
          <w:b/>
          <w:color w:val="67287F"/>
          <w:spacing w:val="-6"/>
          <w:sz w:val="28"/>
        </w:rPr>
        <w:t> </w:t>
      </w:r>
      <w:r>
        <w:rPr>
          <w:b/>
          <w:color w:val="67287F"/>
          <w:sz w:val="28"/>
        </w:rPr>
        <w:t>on</w:t>
      </w:r>
      <w:r>
        <w:rPr>
          <w:b/>
          <w:color w:val="67287F"/>
          <w:spacing w:val="-5"/>
          <w:sz w:val="28"/>
        </w:rPr>
        <w:t> </w:t>
      </w:r>
      <w:r>
        <w:rPr>
          <w:b/>
          <w:color w:val="67287F"/>
          <w:sz w:val="28"/>
        </w:rPr>
        <w:t>Section</w:t>
      </w:r>
      <w:r>
        <w:rPr>
          <w:b/>
          <w:color w:val="67287F"/>
          <w:spacing w:val="-5"/>
          <w:sz w:val="28"/>
        </w:rPr>
        <w:t> </w:t>
      </w:r>
      <w:r>
        <w:rPr>
          <w:b/>
          <w:color w:val="67287F"/>
          <w:sz w:val="28"/>
        </w:rPr>
        <w:t>75 equality groups.</w:t>
      </w:r>
    </w:p>
    <w:p>
      <w:pPr>
        <w:pStyle w:val="BodyText"/>
        <w:spacing w:before="5"/>
        <w:rPr>
          <w:b/>
          <w:sz w:val="8"/>
        </w:rPr>
      </w:pPr>
      <w:r>
        <w:rPr/>
        <mc:AlternateContent>
          <mc:Choice Requires="wps">
            <w:drawing>
              <wp:anchor distT="0" distB="0" distL="0" distR="0" allowOverlap="1" layoutInCell="1" locked="0" behindDoc="1" simplePos="0" relativeHeight="487626752">
                <wp:simplePos x="0" y="0"/>
                <wp:positionH relativeFrom="page">
                  <wp:posOffset>719996</wp:posOffset>
                </wp:positionH>
                <wp:positionV relativeFrom="paragraph">
                  <wp:posOffset>80426</wp:posOffset>
                </wp:positionV>
                <wp:extent cx="6120130" cy="1270"/>
                <wp:effectExtent l="0" t="0" r="0" b="0"/>
                <wp:wrapTopAndBottom/>
                <wp:docPr id="140" name="Graphic 140"/>
                <wp:cNvGraphicFramePr>
                  <a:graphicFrameLocks/>
                </wp:cNvGraphicFramePr>
                <a:graphic>
                  <a:graphicData uri="http://schemas.microsoft.com/office/word/2010/wordprocessingShape">
                    <wps:wsp>
                      <wps:cNvPr id="140" name="Graphic 140"/>
                      <wps:cNvSpPr/>
                      <wps:spPr>
                        <a:xfrm>
                          <a:off x="0" y="0"/>
                          <a:ext cx="6120130" cy="1270"/>
                        </a:xfrm>
                        <a:custGeom>
                          <a:avLst/>
                          <a:gdLst/>
                          <a:ahLst/>
                          <a:cxnLst/>
                          <a:rect l="l" t="t" r="r" b="b"/>
                          <a:pathLst>
                            <a:path w="6120130" h="0">
                              <a:moveTo>
                                <a:pt x="6120003" y="0"/>
                              </a:moveTo>
                              <a:lnTo>
                                <a:pt x="0"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6.332783pt;width:481.9pt;height:.1pt;mso-position-horizontal-relative:page;mso-position-vertical-relative:paragraph;z-index:-15689728;mso-wrap-distance-left:0;mso-wrap-distance-right:0" id="docshape97" coordorigin="1134,127" coordsize="9638,0" path="m10772,127l1134,127e" filled="false" stroked="true" strokeweight="1pt" strokecolor="#393b7f">
                <v:path arrowok="t"/>
                <v:stroke dashstyle="solid"/>
                <w10:wrap type="topAndBottom"/>
              </v:shape>
            </w:pict>
          </mc:Fallback>
        </mc:AlternateContent>
      </w:r>
    </w:p>
    <w:p>
      <w:pPr>
        <w:pStyle w:val="ListParagraph"/>
        <w:numPr>
          <w:ilvl w:val="0"/>
          <w:numId w:val="3"/>
        </w:numPr>
        <w:tabs>
          <w:tab w:pos="1853" w:val="left" w:leader="none"/>
        </w:tabs>
        <w:spacing w:line="235" w:lineRule="auto" w:before="115" w:after="0"/>
        <w:ind w:left="1853" w:right="1168" w:hanging="720"/>
        <w:jc w:val="left"/>
        <w:rPr>
          <w:sz w:val="18"/>
        </w:rPr>
      </w:pPr>
      <w:r>
        <w:rPr>
          <w:sz w:val="18"/>
        </w:rPr>
        <w:t>House</w:t>
      </w:r>
      <w:r>
        <w:rPr>
          <w:spacing w:val="-7"/>
          <w:sz w:val="18"/>
        </w:rPr>
        <w:t> </w:t>
      </w:r>
      <w:r>
        <w:rPr>
          <w:sz w:val="18"/>
        </w:rPr>
        <w:t>of</w:t>
      </w:r>
      <w:r>
        <w:rPr>
          <w:spacing w:val="-7"/>
          <w:sz w:val="18"/>
        </w:rPr>
        <w:t> </w:t>
      </w:r>
      <w:r>
        <w:rPr>
          <w:sz w:val="18"/>
        </w:rPr>
        <w:t>Lords</w:t>
      </w:r>
      <w:r>
        <w:rPr>
          <w:spacing w:val="-7"/>
          <w:sz w:val="18"/>
        </w:rPr>
        <w:t> </w:t>
      </w:r>
      <w:r>
        <w:rPr>
          <w:sz w:val="18"/>
        </w:rPr>
        <w:t>European</w:t>
      </w:r>
      <w:r>
        <w:rPr>
          <w:spacing w:val="-7"/>
          <w:sz w:val="18"/>
        </w:rPr>
        <w:t> </w:t>
      </w:r>
      <w:r>
        <w:rPr>
          <w:sz w:val="18"/>
        </w:rPr>
        <w:t>Affair</w:t>
      </w:r>
      <w:r>
        <w:rPr>
          <w:spacing w:val="-7"/>
          <w:sz w:val="18"/>
        </w:rPr>
        <w:t> </w:t>
      </w:r>
      <w:r>
        <w:rPr>
          <w:sz w:val="18"/>
        </w:rPr>
        <w:t>Committee,</w:t>
      </w:r>
      <w:r>
        <w:rPr>
          <w:spacing w:val="-7"/>
          <w:sz w:val="18"/>
        </w:rPr>
        <w:t> </w:t>
      </w:r>
      <w:r>
        <w:rPr>
          <w:sz w:val="18"/>
        </w:rPr>
        <w:t>’Report</w:t>
      </w:r>
      <w:r>
        <w:rPr>
          <w:spacing w:val="-7"/>
          <w:sz w:val="18"/>
        </w:rPr>
        <w:t> </w:t>
      </w:r>
      <w:r>
        <w:rPr>
          <w:sz w:val="18"/>
        </w:rPr>
        <w:t>from</w:t>
      </w:r>
      <w:r>
        <w:rPr>
          <w:spacing w:val="-7"/>
          <w:sz w:val="18"/>
        </w:rPr>
        <w:t> </w:t>
      </w:r>
      <w:r>
        <w:rPr>
          <w:sz w:val="18"/>
        </w:rPr>
        <w:t>the</w:t>
      </w:r>
      <w:r>
        <w:rPr>
          <w:spacing w:val="-7"/>
          <w:sz w:val="18"/>
        </w:rPr>
        <w:t> </w:t>
      </w:r>
      <w:r>
        <w:rPr>
          <w:sz w:val="18"/>
        </w:rPr>
        <w:t>Sub-Committee</w:t>
      </w:r>
      <w:r>
        <w:rPr>
          <w:spacing w:val="-7"/>
          <w:sz w:val="18"/>
        </w:rPr>
        <w:t> </w:t>
      </w:r>
      <w:r>
        <w:rPr>
          <w:sz w:val="18"/>
        </w:rPr>
        <w:t>on</w:t>
      </w:r>
      <w:r>
        <w:rPr>
          <w:spacing w:val="-7"/>
          <w:sz w:val="18"/>
        </w:rPr>
        <w:t> </w:t>
      </w:r>
      <w:r>
        <w:rPr>
          <w:sz w:val="18"/>
        </w:rPr>
        <w:t>the</w:t>
      </w:r>
      <w:r>
        <w:rPr>
          <w:spacing w:val="-7"/>
          <w:sz w:val="18"/>
        </w:rPr>
        <w:t> </w:t>
      </w:r>
      <w:r>
        <w:rPr>
          <w:sz w:val="18"/>
        </w:rPr>
        <w:t>Protocol</w:t>
      </w:r>
      <w:r>
        <w:rPr>
          <w:spacing w:val="-7"/>
          <w:sz w:val="18"/>
        </w:rPr>
        <w:t> </w:t>
      </w:r>
      <w:r>
        <w:rPr>
          <w:sz w:val="18"/>
        </w:rPr>
        <w:t>on</w:t>
      </w:r>
      <w:r>
        <w:rPr>
          <w:spacing w:val="-7"/>
          <w:sz w:val="18"/>
        </w:rPr>
        <w:t> </w:t>
      </w:r>
      <w:r>
        <w:rPr>
          <w:sz w:val="18"/>
        </w:rPr>
        <w:t>Ireland/Northern</w:t>
      </w:r>
      <w:r>
        <w:rPr>
          <w:spacing w:val="-7"/>
          <w:sz w:val="18"/>
        </w:rPr>
        <w:t> </w:t>
      </w:r>
      <w:r>
        <w:rPr>
          <w:sz w:val="18"/>
        </w:rPr>
        <w:t>Ireland: The Windsor Framework 7 the Report of Session 2022-23‘ (HOL, 2023), at para 298.</w:t>
      </w:r>
    </w:p>
    <w:p>
      <w:pPr>
        <w:pStyle w:val="ListParagraph"/>
        <w:numPr>
          <w:ilvl w:val="0"/>
          <w:numId w:val="3"/>
        </w:numPr>
        <w:tabs>
          <w:tab w:pos="1853" w:val="left" w:leader="none"/>
        </w:tabs>
        <w:spacing w:line="235" w:lineRule="auto" w:before="1" w:after="0"/>
        <w:ind w:left="1853" w:right="1834" w:hanging="720"/>
        <w:jc w:val="left"/>
        <w:rPr>
          <w:sz w:val="18"/>
        </w:rPr>
      </w:pPr>
      <w:r>
        <w:rPr>
          <w:sz w:val="18"/>
        </w:rPr>
        <w:t>UK</w:t>
      </w:r>
      <w:r>
        <w:rPr>
          <w:spacing w:val="-5"/>
          <w:sz w:val="18"/>
        </w:rPr>
        <w:t> </w:t>
      </w:r>
      <w:r>
        <w:rPr>
          <w:sz w:val="18"/>
        </w:rPr>
        <w:t>Government,</w:t>
      </w:r>
      <w:r>
        <w:rPr>
          <w:spacing w:val="-5"/>
          <w:sz w:val="18"/>
        </w:rPr>
        <w:t> </w:t>
      </w:r>
      <w:r>
        <w:rPr>
          <w:sz w:val="18"/>
        </w:rPr>
        <w:t>‘Government</w:t>
      </w:r>
      <w:r>
        <w:rPr>
          <w:spacing w:val="-5"/>
          <w:sz w:val="18"/>
        </w:rPr>
        <w:t> </w:t>
      </w:r>
      <w:r>
        <w:rPr>
          <w:sz w:val="18"/>
        </w:rPr>
        <w:t>response</w:t>
      </w:r>
      <w:r>
        <w:rPr>
          <w:spacing w:val="-5"/>
          <w:sz w:val="18"/>
        </w:rPr>
        <w:t> </w:t>
      </w:r>
      <w:r>
        <w:rPr>
          <w:sz w:val="18"/>
        </w:rPr>
        <w:t>to</w:t>
      </w:r>
      <w:r>
        <w:rPr>
          <w:spacing w:val="-6"/>
          <w:sz w:val="18"/>
        </w:rPr>
        <w:t> </w:t>
      </w:r>
      <w:r>
        <w:rPr>
          <w:sz w:val="18"/>
        </w:rPr>
        <w:t>the</w:t>
      </w:r>
      <w:r>
        <w:rPr>
          <w:spacing w:val="-5"/>
          <w:sz w:val="18"/>
        </w:rPr>
        <w:t> </w:t>
      </w:r>
      <w:r>
        <w:rPr>
          <w:sz w:val="18"/>
        </w:rPr>
        <w:t>Northern</w:t>
      </w:r>
      <w:r>
        <w:rPr>
          <w:spacing w:val="-6"/>
          <w:sz w:val="18"/>
        </w:rPr>
        <w:t> </w:t>
      </w:r>
      <w:r>
        <w:rPr>
          <w:sz w:val="18"/>
        </w:rPr>
        <w:t>Ireland</w:t>
      </w:r>
      <w:r>
        <w:rPr>
          <w:spacing w:val="-6"/>
          <w:sz w:val="18"/>
        </w:rPr>
        <w:t> </w:t>
      </w:r>
      <w:r>
        <w:rPr>
          <w:sz w:val="18"/>
        </w:rPr>
        <w:t>Protocol</w:t>
      </w:r>
      <w:r>
        <w:rPr>
          <w:spacing w:val="-6"/>
          <w:sz w:val="18"/>
        </w:rPr>
        <w:t> </w:t>
      </w:r>
      <w:r>
        <w:rPr>
          <w:sz w:val="18"/>
        </w:rPr>
        <w:t>Sub-Committee</w:t>
      </w:r>
      <w:r>
        <w:rPr>
          <w:spacing w:val="-5"/>
          <w:sz w:val="18"/>
        </w:rPr>
        <w:t> </w:t>
      </w:r>
      <w:r>
        <w:rPr>
          <w:sz w:val="18"/>
        </w:rPr>
        <w:t>Report</w:t>
      </w:r>
      <w:r>
        <w:rPr>
          <w:spacing w:val="-5"/>
          <w:sz w:val="18"/>
        </w:rPr>
        <w:t> </w:t>
      </w:r>
      <w:r>
        <w:rPr>
          <w:sz w:val="18"/>
        </w:rPr>
        <w:t>on</w:t>
      </w:r>
      <w:r>
        <w:rPr>
          <w:spacing w:val="-6"/>
          <w:sz w:val="18"/>
        </w:rPr>
        <w:t> </w:t>
      </w:r>
      <w:r>
        <w:rPr>
          <w:sz w:val="18"/>
        </w:rPr>
        <w:t>the</w:t>
      </w:r>
      <w:r>
        <w:rPr>
          <w:spacing w:val="-5"/>
          <w:sz w:val="18"/>
        </w:rPr>
        <w:t> </w:t>
      </w:r>
      <w:r>
        <w:rPr>
          <w:sz w:val="18"/>
        </w:rPr>
        <w:t>Windsor Framework’ (UK Gov, 2023).</w:t>
      </w:r>
    </w:p>
    <w:p>
      <w:pPr>
        <w:pStyle w:val="ListParagraph"/>
        <w:numPr>
          <w:ilvl w:val="0"/>
          <w:numId w:val="3"/>
        </w:numPr>
        <w:tabs>
          <w:tab w:pos="1853" w:val="left" w:leader="none"/>
        </w:tabs>
        <w:spacing w:line="235" w:lineRule="auto" w:before="2" w:after="0"/>
        <w:ind w:left="1853" w:right="1318" w:hanging="720"/>
        <w:jc w:val="left"/>
        <w:rPr>
          <w:sz w:val="18"/>
        </w:rPr>
      </w:pPr>
      <w:r>
        <w:rPr>
          <w:sz w:val="18"/>
        </w:rPr>
        <w:t>Equality</w:t>
      </w:r>
      <w:r>
        <w:rPr>
          <w:spacing w:val="-2"/>
          <w:sz w:val="18"/>
        </w:rPr>
        <w:t> </w:t>
      </w:r>
      <w:r>
        <w:rPr>
          <w:sz w:val="18"/>
        </w:rPr>
        <w:t>Commission</w:t>
      </w:r>
      <w:r>
        <w:rPr>
          <w:spacing w:val="-3"/>
          <w:sz w:val="18"/>
        </w:rPr>
        <w:t> </w:t>
      </w:r>
      <w:r>
        <w:rPr>
          <w:sz w:val="18"/>
        </w:rPr>
        <w:t>for</w:t>
      </w:r>
      <w:r>
        <w:rPr>
          <w:spacing w:val="-2"/>
          <w:sz w:val="18"/>
        </w:rPr>
        <w:t> </w:t>
      </w:r>
      <w:r>
        <w:rPr>
          <w:sz w:val="18"/>
        </w:rPr>
        <w:t>NI</w:t>
      </w:r>
      <w:r>
        <w:rPr>
          <w:spacing w:val="-2"/>
          <w:sz w:val="18"/>
        </w:rPr>
        <w:t> </w:t>
      </w:r>
      <w:r>
        <w:rPr>
          <w:sz w:val="18"/>
        </w:rPr>
        <w:t>and</w:t>
      </w:r>
      <w:r>
        <w:rPr>
          <w:spacing w:val="-3"/>
          <w:sz w:val="18"/>
        </w:rPr>
        <w:t> </w:t>
      </w:r>
      <w:r>
        <w:rPr>
          <w:sz w:val="18"/>
        </w:rPr>
        <w:t>NI</w:t>
      </w:r>
      <w:r>
        <w:rPr>
          <w:spacing w:val="-2"/>
          <w:sz w:val="18"/>
        </w:rPr>
        <w:t> </w:t>
      </w:r>
      <w:r>
        <w:rPr>
          <w:sz w:val="18"/>
        </w:rPr>
        <w:t>Human</w:t>
      </w:r>
      <w:r>
        <w:rPr>
          <w:spacing w:val="-3"/>
          <w:sz w:val="18"/>
        </w:rPr>
        <w:t> </w:t>
      </w:r>
      <w:r>
        <w:rPr>
          <w:sz w:val="18"/>
        </w:rPr>
        <w:t>Rights</w:t>
      </w:r>
      <w:r>
        <w:rPr>
          <w:spacing w:val="-3"/>
          <w:sz w:val="18"/>
        </w:rPr>
        <w:t> </w:t>
      </w:r>
      <w:r>
        <w:rPr>
          <w:sz w:val="18"/>
        </w:rPr>
        <w:t>Commission,</w:t>
      </w:r>
      <w:r>
        <w:rPr>
          <w:spacing w:val="-2"/>
          <w:sz w:val="18"/>
        </w:rPr>
        <w:t> </w:t>
      </w:r>
      <w:r>
        <w:rPr>
          <w:sz w:val="18"/>
        </w:rPr>
        <w:t>‘Submission</w:t>
      </w:r>
      <w:r>
        <w:rPr>
          <w:spacing w:val="-3"/>
          <w:sz w:val="18"/>
        </w:rPr>
        <w:t> </w:t>
      </w:r>
      <w:r>
        <w:rPr>
          <w:sz w:val="18"/>
        </w:rPr>
        <w:t>of</w:t>
      </w:r>
      <w:r>
        <w:rPr>
          <w:spacing w:val="-3"/>
          <w:sz w:val="18"/>
        </w:rPr>
        <w:t> </w:t>
      </w:r>
      <w:r>
        <w:rPr>
          <w:sz w:val="18"/>
        </w:rPr>
        <w:t>the</w:t>
      </w:r>
      <w:r>
        <w:rPr>
          <w:spacing w:val="-2"/>
          <w:sz w:val="18"/>
        </w:rPr>
        <w:t> </w:t>
      </w:r>
      <w:r>
        <w:rPr>
          <w:sz w:val="18"/>
        </w:rPr>
        <w:t>NIHRC</w:t>
      </w:r>
      <w:r>
        <w:rPr>
          <w:spacing w:val="-3"/>
          <w:sz w:val="18"/>
        </w:rPr>
        <w:t> </w:t>
      </w:r>
      <w:r>
        <w:rPr>
          <w:sz w:val="18"/>
        </w:rPr>
        <w:t>and</w:t>
      </w:r>
      <w:r>
        <w:rPr>
          <w:spacing w:val="-3"/>
          <w:sz w:val="18"/>
        </w:rPr>
        <w:t> </w:t>
      </w:r>
      <w:r>
        <w:rPr>
          <w:sz w:val="18"/>
        </w:rPr>
        <w:t>ECNI</w:t>
      </w:r>
      <w:r>
        <w:rPr>
          <w:spacing w:val="-2"/>
          <w:sz w:val="18"/>
        </w:rPr>
        <w:t> </w:t>
      </w:r>
      <w:r>
        <w:rPr>
          <w:sz w:val="18"/>
        </w:rPr>
        <w:t>to</w:t>
      </w:r>
      <w:r>
        <w:rPr>
          <w:spacing w:val="-3"/>
          <w:sz w:val="18"/>
        </w:rPr>
        <w:t> </w:t>
      </w:r>
      <w:r>
        <w:rPr>
          <w:sz w:val="18"/>
        </w:rPr>
        <w:t>the</w:t>
      </w:r>
      <w:r>
        <w:rPr>
          <w:spacing w:val="-2"/>
          <w:sz w:val="18"/>
        </w:rPr>
        <w:t> </w:t>
      </w:r>
      <w:r>
        <w:rPr>
          <w:sz w:val="18"/>
        </w:rPr>
        <w:t>House</w:t>
      </w:r>
      <w:r>
        <w:rPr>
          <w:spacing w:val="-2"/>
          <w:sz w:val="18"/>
        </w:rPr>
        <w:t> </w:t>
      </w:r>
      <w:r>
        <w:rPr>
          <w:sz w:val="18"/>
        </w:rPr>
        <w:t>of</w:t>
      </w:r>
      <w:r>
        <w:rPr>
          <w:spacing w:val="-3"/>
          <w:sz w:val="18"/>
        </w:rPr>
        <w:t> </w:t>
      </w:r>
      <w:r>
        <w:rPr>
          <w:sz w:val="18"/>
        </w:rPr>
        <w:t>Lords Sub-Committee on the Protocol’s call for evidence for its inquiry on the Windsor Framework’ (ECNI and NIHRC, 2023).</w:t>
      </w:r>
    </w:p>
    <w:p>
      <w:pPr>
        <w:spacing w:after="0" w:line="235" w:lineRule="auto"/>
        <w:jc w:val="left"/>
        <w:rPr>
          <w:sz w:val="18"/>
        </w:rPr>
        <w:sectPr>
          <w:pgSz w:w="11910" w:h="16840"/>
          <w:pgMar w:header="496" w:footer="367" w:top="1220" w:bottom="560" w:left="0" w:right="0"/>
        </w:sectPr>
      </w:pPr>
    </w:p>
    <w:p>
      <w:pPr>
        <w:pStyle w:val="BodyText"/>
        <w:spacing w:before="198"/>
      </w:pPr>
    </w:p>
    <w:p>
      <w:pPr>
        <w:pStyle w:val="ListParagraph"/>
        <w:numPr>
          <w:ilvl w:val="1"/>
          <w:numId w:val="5"/>
        </w:numPr>
        <w:tabs>
          <w:tab w:pos="1853" w:val="left" w:leader="none"/>
        </w:tabs>
        <w:spacing w:line="225" w:lineRule="auto" w:before="0" w:after="0"/>
        <w:ind w:left="1853" w:right="1509" w:hanging="720"/>
        <w:jc w:val="left"/>
        <w:rPr>
          <w:b/>
          <w:color w:val="67287F"/>
          <w:sz w:val="28"/>
        </w:rPr>
      </w:pPr>
      <w:bookmarkStart w:name="_bookmark7" w:id="16"/>
      <w:bookmarkEnd w:id="16"/>
      <w:r>
        <w:rPr/>
      </w:r>
      <w:r>
        <w:rPr>
          <w:b/>
          <w:color w:val="67287F"/>
          <w:sz w:val="28"/>
        </w:rPr>
        <w:t>The Commissions continue to recommend that the EU Commission undertakes timely, targeted, and structured engagement, both with the Commissions</w:t>
      </w:r>
      <w:r>
        <w:rPr>
          <w:b/>
          <w:color w:val="67287F"/>
          <w:spacing w:val="-4"/>
          <w:sz w:val="28"/>
        </w:rPr>
        <w:t> </w:t>
      </w:r>
      <w:r>
        <w:rPr>
          <w:b/>
          <w:color w:val="67287F"/>
          <w:sz w:val="28"/>
        </w:rPr>
        <w:t>and</w:t>
      </w:r>
      <w:r>
        <w:rPr>
          <w:b/>
          <w:color w:val="67287F"/>
          <w:spacing w:val="-4"/>
          <w:sz w:val="28"/>
        </w:rPr>
        <w:t> </w:t>
      </w:r>
      <w:r>
        <w:rPr>
          <w:b/>
          <w:color w:val="67287F"/>
          <w:sz w:val="28"/>
        </w:rPr>
        <w:t>equality</w:t>
      </w:r>
      <w:r>
        <w:rPr>
          <w:b/>
          <w:color w:val="67287F"/>
          <w:spacing w:val="-4"/>
          <w:sz w:val="28"/>
        </w:rPr>
        <w:t> </w:t>
      </w:r>
      <w:r>
        <w:rPr>
          <w:b/>
          <w:color w:val="67287F"/>
          <w:sz w:val="28"/>
        </w:rPr>
        <w:t>and</w:t>
      </w:r>
      <w:r>
        <w:rPr>
          <w:b/>
          <w:color w:val="67287F"/>
          <w:spacing w:val="-4"/>
          <w:sz w:val="28"/>
        </w:rPr>
        <w:t> </w:t>
      </w:r>
      <w:r>
        <w:rPr>
          <w:b/>
          <w:color w:val="67287F"/>
          <w:sz w:val="28"/>
        </w:rPr>
        <w:t>human</w:t>
      </w:r>
      <w:r>
        <w:rPr>
          <w:b/>
          <w:color w:val="67287F"/>
          <w:spacing w:val="-4"/>
          <w:sz w:val="28"/>
        </w:rPr>
        <w:t> </w:t>
      </w:r>
      <w:r>
        <w:rPr>
          <w:b/>
          <w:color w:val="67287F"/>
          <w:sz w:val="28"/>
        </w:rPr>
        <w:t>rights</w:t>
      </w:r>
      <w:r>
        <w:rPr>
          <w:b/>
          <w:color w:val="67287F"/>
          <w:spacing w:val="-4"/>
          <w:sz w:val="28"/>
        </w:rPr>
        <w:t> </w:t>
      </w:r>
      <w:r>
        <w:rPr>
          <w:b/>
          <w:color w:val="67287F"/>
          <w:sz w:val="28"/>
        </w:rPr>
        <w:t>groups</w:t>
      </w:r>
      <w:r>
        <w:rPr>
          <w:b/>
          <w:color w:val="67287F"/>
          <w:spacing w:val="-4"/>
          <w:sz w:val="28"/>
        </w:rPr>
        <w:t> </w:t>
      </w:r>
      <w:r>
        <w:rPr>
          <w:b/>
          <w:color w:val="67287F"/>
          <w:sz w:val="28"/>
        </w:rPr>
        <w:t>in</w:t>
      </w:r>
      <w:r>
        <w:rPr>
          <w:b/>
          <w:color w:val="67287F"/>
          <w:spacing w:val="-4"/>
          <w:sz w:val="28"/>
        </w:rPr>
        <w:t> </w:t>
      </w:r>
      <w:r>
        <w:rPr>
          <w:b/>
          <w:color w:val="67287F"/>
          <w:sz w:val="28"/>
        </w:rPr>
        <w:t>NI</w:t>
      </w:r>
      <w:r>
        <w:rPr>
          <w:b/>
          <w:color w:val="67287F"/>
          <w:spacing w:val="-4"/>
          <w:sz w:val="28"/>
        </w:rPr>
        <w:t> </w:t>
      </w:r>
      <w:r>
        <w:rPr>
          <w:b/>
          <w:color w:val="67287F"/>
          <w:sz w:val="28"/>
        </w:rPr>
        <w:t>on</w:t>
      </w:r>
      <w:r>
        <w:rPr>
          <w:b/>
          <w:color w:val="67287F"/>
          <w:spacing w:val="-4"/>
          <w:sz w:val="28"/>
        </w:rPr>
        <w:t> </w:t>
      </w:r>
      <w:r>
        <w:rPr>
          <w:b/>
          <w:color w:val="67287F"/>
          <w:sz w:val="28"/>
        </w:rPr>
        <w:t>EU</w:t>
      </w:r>
      <w:r>
        <w:rPr>
          <w:b/>
          <w:color w:val="67287F"/>
          <w:spacing w:val="-4"/>
          <w:sz w:val="28"/>
        </w:rPr>
        <w:t> </w:t>
      </w:r>
      <w:r>
        <w:rPr>
          <w:b/>
          <w:color w:val="67287F"/>
          <w:sz w:val="28"/>
        </w:rPr>
        <w:t>proposals that have implications for equality and human rights in NI.</w:t>
      </w:r>
    </w:p>
    <w:p>
      <w:pPr>
        <w:pStyle w:val="ListParagraph"/>
        <w:numPr>
          <w:ilvl w:val="1"/>
          <w:numId w:val="5"/>
        </w:numPr>
        <w:tabs>
          <w:tab w:pos="1853" w:val="left" w:leader="none"/>
        </w:tabs>
        <w:spacing w:line="225" w:lineRule="auto" w:before="315" w:after="0"/>
        <w:ind w:left="1853" w:right="1379" w:hanging="720"/>
        <w:jc w:val="left"/>
        <w:rPr>
          <w:b/>
          <w:color w:val="67287F"/>
          <w:sz w:val="28"/>
        </w:rPr>
      </w:pPr>
      <w:r>
        <w:rPr>
          <w:b/>
          <w:color w:val="67287F"/>
          <w:sz w:val="28"/>
        </w:rPr>
        <w:t>The Commissions continue to recommend that the EU Commission’s impact</w:t>
      </w:r>
      <w:r>
        <w:rPr>
          <w:b/>
          <w:color w:val="67287F"/>
          <w:spacing w:val="-2"/>
          <w:sz w:val="28"/>
        </w:rPr>
        <w:t> </w:t>
      </w:r>
      <w:r>
        <w:rPr>
          <w:b/>
          <w:color w:val="67287F"/>
          <w:sz w:val="28"/>
        </w:rPr>
        <w:t>assessment,</w:t>
      </w:r>
      <w:r>
        <w:rPr>
          <w:b/>
          <w:color w:val="67287F"/>
          <w:spacing w:val="-2"/>
          <w:sz w:val="28"/>
        </w:rPr>
        <w:t> </w:t>
      </w:r>
      <w:r>
        <w:rPr>
          <w:b/>
          <w:color w:val="67287F"/>
          <w:sz w:val="28"/>
        </w:rPr>
        <w:t>as</w:t>
      </w:r>
      <w:r>
        <w:rPr>
          <w:b/>
          <w:color w:val="67287F"/>
          <w:spacing w:val="-2"/>
          <w:sz w:val="28"/>
        </w:rPr>
        <w:t> </w:t>
      </w:r>
      <w:r>
        <w:rPr>
          <w:b/>
          <w:color w:val="67287F"/>
          <w:sz w:val="28"/>
        </w:rPr>
        <w:t>regards</w:t>
      </w:r>
      <w:r>
        <w:rPr>
          <w:b/>
          <w:color w:val="67287F"/>
          <w:spacing w:val="-2"/>
          <w:sz w:val="28"/>
        </w:rPr>
        <w:t> </w:t>
      </w:r>
      <w:r>
        <w:rPr>
          <w:b/>
          <w:color w:val="67287F"/>
          <w:sz w:val="28"/>
        </w:rPr>
        <w:t>NI,</w:t>
      </w:r>
      <w:r>
        <w:rPr>
          <w:b/>
          <w:color w:val="67287F"/>
          <w:spacing w:val="-2"/>
          <w:sz w:val="28"/>
        </w:rPr>
        <w:t> </w:t>
      </w:r>
      <w:r>
        <w:rPr>
          <w:b/>
          <w:color w:val="67287F"/>
          <w:sz w:val="28"/>
        </w:rPr>
        <w:t>on</w:t>
      </w:r>
      <w:r>
        <w:rPr>
          <w:b/>
          <w:color w:val="67287F"/>
          <w:spacing w:val="-2"/>
          <w:sz w:val="28"/>
        </w:rPr>
        <w:t> </w:t>
      </w:r>
      <w:r>
        <w:rPr>
          <w:b/>
          <w:color w:val="67287F"/>
          <w:sz w:val="28"/>
        </w:rPr>
        <w:t>draft</w:t>
      </w:r>
      <w:r>
        <w:rPr>
          <w:b/>
          <w:color w:val="67287F"/>
          <w:spacing w:val="-2"/>
          <w:sz w:val="28"/>
        </w:rPr>
        <w:t> </w:t>
      </w:r>
      <w:r>
        <w:rPr>
          <w:b/>
          <w:color w:val="67287F"/>
          <w:sz w:val="28"/>
        </w:rPr>
        <w:t>EU</w:t>
      </w:r>
      <w:r>
        <w:rPr>
          <w:b/>
          <w:color w:val="67287F"/>
          <w:spacing w:val="-2"/>
          <w:sz w:val="28"/>
        </w:rPr>
        <w:t> </w:t>
      </w:r>
      <w:r>
        <w:rPr>
          <w:b/>
          <w:color w:val="67287F"/>
          <w:sz w:val="28"/>
        </w:rPr>
        <w:t>proposals</w:t>
      </w:r>
      <w:r>
        <w:rPr>
          <w:b/>
          <w:color w:val="67287F"/>
          <w:spacing w:val="-2"/>
          <w:sz w:val="28"/>
        </w:rPr>
        <w:t> </w:t>
      </w:r>
      <w:r>
        <w:rPr>
          <w:b/>
          <w:color w:val="67287F"/>
          <w:sz w:val="28"/>
        </w:rPr>
        <w:t>includes</w:t>
      </w:r>
      <w:r>
        <w:rPr>
          <w:b/>
          <w:color w:val="67287F"/>
          <w:spacing w:val="-2"/>
          <w:sz w:val="28"/>
        </w:rPr>
        <w:t> </w:t>
      </w:r>
      <w:r>
        <w:rPr>
          <w:b/>
          <w:color w:val="67287F"/>
          <w:sz w:val="28"/>
        </w:rPr>
        <w:t>a</w:t>
      </w:r>
      <w:r>
        <w:rPr>
          <w:b/>
          <w:color w:val="67287F"/>
          <w:spacing w:val="-2"/>
          <w:sz w:val="28"/>
        </w:rPr>
        <w:t> </w:t>
      </w:r>
      <w:r>
        <w:rPr>
          <w:b/>
          <w:color w:val="67287F"/>
          <w:sz w:val="28"/>
        </w:rPr>
        <w:t>specific assessment</w:t>
      </w:r>
      <w:r>
        <w:rPr>
          <w:b/>
          <w:color w:val="67287F"/>
          <w:spacing w:val="-4"/>
          <w:sz w:val="28"/>
        </w:rPr>
        <w:t> </w:t>
      </w:r>
      <w:r>
        <w:rPr>
          <w:b/>
          <w:color w:val="67287F"/>
          <w:sz w:val="28"/>
        </w:rPr>
        <w:t>of</w:t>
      </w:r>
      <w:r>
        <w:rPr>
          <w:b/>
          <w:color w:val="67287F"/>
          <w:spacing w:val="-5"/>
          <w:sz w:val="28"/>
        </w:rPr>
        <w:t> </w:t>
      </w:r>
      <w:r>
        <w:rPr>
          <w:b/>
          <w:color w:val="67287F"/>
          <w:sz w:val="28"/>
        </w:rPr>
        <w:t>the</w:t>
      </w:r>
      <w:r>
        <w:rPr>
          <w:b/>
          <w:color w:val="67287F"/>
          <w:spacing w:val="-5"/>
          <w:sz w:val="28"/>
        </w:rPr>
        <w:t> </w:t>
      </w:r>
      <w:r>
        <w:rPr>
          <w:b/>
          <w:color w:val="67287F"/>
          <w:sz w:val="28"/>
        </w:rPr>
        <w:t>impact</w:t>
      </w:r>
      <w:r>
        <w:rPr>
          <w:b/>
          <w:color w:val="67287F"/>
          <w:spacing w:val="-4"/>
          <w:sz w:val="28"/>
        </w:rPr>
        <w:t> </w:t>
      </w:r>
      <w:r>
        <w:rPr>
          <w:b/>
          <w:color w:val="67287F"/>
          <w:sz w:val="28"/>
        </w:rPr>
        <w:t>on</w:t>
      </w:r>
      <w:r>
        <w:rPr>
          <w:b/>
          <w:color w:val="67287F"/>
          <w:spacing w:val="-4"/>
          <w:sz w:val="28"/>
        </w:rPr>
        <w:t> </w:t>
      </w:r>
      <w:r>
        <w:rPr>
          <w:b/>
          <w:color w:val="67287F"/>
          <w:sz w:val="28"/>
        </w:rPr>
        <w:t>the</w:t>
      </w:r>
      <w:r>
        <w:rPr>
          <w:b/>
          <w:color w:val="67287F"/>
          <w:spacing w:val="-5"/>
          <w:sz w:val="28"/>
        </w:rPr>
        <w:t> </w:t>
      </w:r>
      <w:r>
        <w:rPr>
          <w:b/>
          <w:color w:val="67287F"/>
          <w:sz w:val="28"/>
        </w:rPr>
        <w:t>promotion</w:t>
      </w:r>
      <w:r>
        <w:rPr>
          <w:b/>
          <w:color w:val="67287F"/>
          <w:spacing w:val="-4"/>
          <w:sz w:val="28"/>
        </w:rPr>
        <w:t> </w:t>
      </w:r>
      <w:r>
        <w:rPr>
          <w:b/>
          <w:color w:val="67287F"/>
          <w:sz w:val="28"/>
        </w:rPr>
        <w:t>and</w:t>
      </w:r>
      <w:r>
        <w:rPr>
          <w:b/>
          <w:color w:val="67287F"/>
          <w:spacing w:val="-4"/>
          <w:sz w:val="28"/>
        </w:rPr>
        <w:t> </w:t>
      </w:r>
      <w:r>
        <w:rPr>
          <w:b/>
          <w:color w:val="67287F"/>
          <w:sz w:val="28"/>
        </w:rPr>
        <w:t>protection</w:t>
      </w:r>
      <w:r>
        <w:rPr>
          <w:b/>
          <w:color w:val="67287F"/>
          <w:spacing w:val="-4"/>
          <w:sz w:val="28"/>
        </w:rPr>
        <w:t> </w:t>
      </w:r>
      <w:r>
        <w:rPr>
          <w:b/>
          <w:color w:val="67287F"/>
          <w:sz w:val="28"/>
        </w:rPr>
        <w:t>of</w:t>
      </w:r>
      <w:r>
        <w:rPr>
          <w:b/>
          <w:color w:val="67287F"/>
          <w:spacing w:val="-5"/>
          <w:sz w:val="28"/>
        </w:rPr>
        <w:t> </w:t>
      </w:r>
      <w:r>
        <w:rPr>
          <w:b/>
          <w:color w:val="67287F"/>
          <w:sz w:val="28"/>
        </w:rPr>
        <w:t>equality</w:t>
      </w:r>
      <w:r>
        <w:rPr>
          <w:b/>
          <w:color w:val="67287F"/>
          <w:spacing w:val="-4"/>
          <w:sz w:val="28"/>
        </w:rPr>
        <w:t> </w:t>
      </w:r>
      <w:r>
        <w:rPr>
          <w:b/>
          <w:color w:val="67287F"/>
          <w:sz w:val="28"/>
        </w:rPr>
        <w:t>and human rights.</w:t>
      </w:r>
    </w:p>
    <w:p>
      <w:pPr>
        <w:pStyle w:val="ListParagraph"/>
        <w:numPr>
          <w:ilvl w:val="1"/>
          <w:numId w:val="5"/>
        </w:numPr>
        <w:tabs>
          <w:tab w:pos="1853" w:val="left" w:leader="none"/>
        </w:tabs>
        <w:spacing w:line="225" w:lineRule="auto" w:before="315" w:after="0"/>
        <w:ind w:left="1853" w:right="1874" w:hanging="720"/>
        <w:jc w:val="both"/>
        <w:rPr>
          <w:b/>
          <w:color w:val="67287F"/>
          <w:sz w:val="28"/>
        </w:rPr>
      </w:pPr>
      <w:r>
        <w:rPr>
          <w:b/>
          <w:color w:val="67287F"/>
          <w:sz w:val="28"/>
        </w:rPr>
        <w:t>The Commissions continue to recommend that the UK Government and</w:t>
      </w:r>
      <w:r>
        <w:rPr>
          <w:b/>
          <w:color w:val="67287F"/>
          <w:spacing w:val="-5"/>
          <w:sz w:val="28"/>
        </w:rPr>
        <w:t> </w:t>
      </w:r>
      <w:r>
        <w:rPr>
          <w:b/>
          <w:color w:val="67287F"/>
          <w:sz w:val="28"/>
        </w:rPr>
        <w:t>EU</w:t>
      </w:r>
      <w:r>
        <w:rPr>
          <w:b/>
          <w:color w:val="67287F"/>
          <w:spacing w:val="-5"/>
          <w:sz w:val="28"/>
        </w:rPr>
        <w:t> </w:t>
      </w:r>
      <w:r>
        <w:rPr>
          <w:b/>
          <w:color w:val="67287F"/>
          <w:sz w:val="28"/>
        </w:rPr>
        <w:t>Commission</w:t>
      </w:r>
      <w:r>
        <w:rPr>
          <w:b/>
          <w:color w:val="67287F"/>
          <w:spacing w:val="-5"/>
          <w:sz w:val="28"/>
        </w:rPr>
        <w:t> </w:t>
      </w:r>
      <w:r>
        <w:rPr>
          <w:b/>
          <w:color w:val="67287F"/>
          <w:sz w:val="28"/>
        </w:rPr>
        <w:t>keep</w:t>
      </w:r>
      <w:r>
        <w:rPr>
          <w:b/>
          <w:color w:val="67287F"/>
          <w:spacing w:val="-5"/>
          <w:sz w:val="28"/>
        </w:rPr>
        <w:t> </w:t>
      </w:r>
      <w:r>
        <w:rPr>
          <w:b/>
          <w:color w:val="67287F"/>
          <w:sz w:val="28"/>
        </w:rPr>
        <w:t>them</w:t>
      </w:r>
      <w:r>
        <w:rPr>
          <w:b/>
          <w:color w:val="67287F"/>
          <w:spacing w:val="-6"/>
          <w:sz w:val="28"/>
        </w:rPr>
        <w:t> </w:t>
      </w:r>
      <w:r>
        <w:rPr>
          <w:b/>
          <w:color w:val="67287F"/>
          <w:sz w:val="28"/>
        </w:rPr>
        <w:t>informed</w:t>
      </w:r>
      <w:r>
        <w:rPr>
          <w:b/>
          <w:color w:val="67287F"/>
          <w:spacing w:val="-5"/>
          <w:sz w:val="28"/>
        </w:rPr>
        <w:t> </w:t>
      </w:r>
      <w:r>
        <w:rPr>
          <w:b/>
          <w:color w:val="67287F"/>
          <w:sz w:val="28"/>
        </w:rPr>
        <w:t>of</w:t>
      </w:r>
      <w:r>
        <w:rPr>
          <w:b/>
          <w:color w:val="67287F"/>
          <w:spacing w:val="-6"/>
          <w:sz w:val="28"/>
        </w:rPr>
        <w:t> </w:t>
      </w:r>
      <w:r>
        <w:rPr>
          <w:b/>
          <w:color w:val="67287F"/>
          <w:sz w:val="28"/>
        </w:rPr>
        <w:t>any</w:t>
      </w:r>
      <w:r>
        <w:rPr>
          <w:b/>
          <w:color w:val="67287F"/>
          <w:spacing w:val="-5"/>
          <w:sz w:val="28"/>
        </w:rPr>
        <w:t> </w:t>
      </w:r>
      <w:r>
        <w:rPr>
          <w:b/>
          <w:color w:val="67287F"/>
          <w:sz w:val="28"/>
        </w:rPr>
        <w:t>future</w:t>
      </w:r>
      <w:r>
        <w:rPr>
          <w:b/>
          <w:color w:val="67287F"/>
          <w:spacing w:val="-6"/>
          <w:sz w:val="28"/>
        </w:rPr>
        <w:t> </w:t>
      </w:r>
      <w:r>
        <w:rPr>
          <w:b/>
          <w:color w:val="67287F"/>
          <w:sz w:val="28"/>
        </w:rPr>
        <w:t>EU</w:t>
      </w:r>
      <w:r>
        <w:rPr>
          <w:b/>
          <w:color w:val="67287F"/>
          <w:spacing w:val="-5"/>
          <w:sz w:val="28"/>
        </w:rPr>
        <w:t> </w:t>
      </w:r>
      <w:r>
        <w:rPr>
          <w:b/>
          <w:color w:val="67287F"/>
          <w:sz w:val="28"/>
        </w:rPr>
        <w:t>equality</w:t>
      </w:r>
      <w:r>
        <w:rPr>
          <w:b/>
          <w:color w:val="67287F"/>
          <w:spacing w:val="-5"/>
          <w:sz w:val="28"/>
        </w:rPr>
        <w:t> </w:t>
      </w:r>
      <w:r>
        <w:rPr>
          <w:b/>
          <w:color w:val="67287F"/>
          <w:sz w:val="28"/>
        </w:rPr>
        <w:t>law</w:t>
      </w:r>
    </w:p>
    <w:p>
      <w:pPr>
        <w:spacing w:line="225" w:lineRule="auto" w:before="0"/>
        <w:ind w:left="1853" w:right="1370" w:firstLine="0"/>
        <w:jc w:val="both"/>
        <w:rPr>
          <w:b/>
          <w:sz w:val="28"/>
        </w:rPr>
      </w:pPr>
      <w:r>
        <w:rPr>
          <w:b/>
          <w:color w:val="67287F"/>
          <w:sz w:val="28"/>
        </w:rPr>
        <w:t>developments</w:t>
      </w:r>
      <w:r>
        <w:rPr>
          <w:b/>
          <w:color w:val="67287F"/>
          <w:spacing w:val="-7"/>
          <w:sz w:val="28"/>
        </w:rPr>
        <w:t> </w:t>
      </w:r>
      <w:r>
        <w:rPr>
          <w:b/>
          <w:color w:val="67287F"/>
          <w:sz w:val="28"/>
        </w:rPr>
        <w:t>relevant</w:t>
      </w:r>
      <w:r>
        <w:rPr>
          <w:b/>
          <w:color w:val="67287F"/>
          <w:spacing w:val="-7"/>
          <w:sz w:val="28"/>
        </w:rPr>
        <w:t> </w:t>
      </w:r>
      <w:r>
        <w:rPr>
          <w:b/>
          <w:color w:val="67287F"/>
          <w:sz w:val="28"/>
        </w:rPr>
        <w:t>to</w:t>
      </w:r>
      <w:r>
        <w:rPr>
          <w:b/>
          <w:color w:val="67287F"/>
          <w:spacing w:val="-7"/>
          <w:sz w:val="28"/>
        </w:rPr>
        <w:t> </w:t>
      </w:r>
      <w:r>
        <w:rPr>
          <w:b/>
          <w:color w:val="67287F"/>
          <w:sz w:val="28"/>
        </w:rPr>
        <w:t>the</w:t>
      </w:r>
      <w:r>
        <w:rPr>
          <w:b/>
          <w:color w:val="67287F"/>
          <w:spacing w:val="-8"/>
          <w:sz w:val="28"/>
        </w:rPr>
        <w:t> </w:t>
      </w:r>
      <w:r>
        <w:rPr>
          <w:b/>
          <w:color w:val="67287F"/>
          <w:sz w:val="28"/>
        </w:rPr>
        <w:t>Annex</w:t>
      </w:r>
      <w:r>
        <w:rPr>
          <w:b/>
          <w:color w:val="67287F"/>
          <w:spacing w:val="-8"/>
          <w:sz w:val="28"/>
        </w:rPr>
        <w:t> </w:t>
      </w:r>
      <w:r>
        <w:rPr>
          <w:b/>
          <w:color w:val="67287F"/>
          <w:sz w:val="28"/>
        </w:rPr>
        <w:t>1</w:t>
      </w:r>
      <w:r>
        <w:rPr>
          <w:b/>
          <w:color w:val="67287F"/>
          <w:spacing w:val="-7"/>
          <w:sz w:val="28"/>
        </w:rPr>
        <w:t> </w:t>
      </w:r>
      <w:r>
        <w:rPr>
          <w:b/>
          <w:color w:val="67287F"/>
          <w:sz w:val="28"/>
        </w:rPr>
        <w:t>equality</w:t>
      </w:r>
      <w:r>
        <w:rPr>
          <w:b/>
          <w:color w:val="67287F"/>
          <w:spacing w:val="-7"/>
          <w:sz w:val="28"/>
        </w:rPr>
        <w:t> </w:t>
      </w:r>
      <w:r>
        <w:rPr>
          <w:b/>
          <w:color w:val="67287F"/>
          <w:sz w:val="28"/>
        </w:rPr>
        <w:t>directives,</w:t>
      </w:r>
      <w:r>
        <w:rPr>
          <w:b/>
          <w:color w:val="67287F"/>
          <w:spacing w:val="-7"/>
          <w:sz w:val="28"/>
        </w:rPr>
        <w:t> </w:t>
      </w:r>
      <w:r>
        <w:rPr>
          <w:b/>
          <w:color w:val="67287F"/>
          <w:sz w:val="28"/>
        </w:rPr>
        <w:t>including</w:t>
      </w:r>
      <w:r>
        <w:rPr>
          <w:b/>
          <w:color w:val="67287F"/>
          <w:spacing w:val="-8"/>
          <w:sz w:val="28"/>
        </w:rPr>
        <w:t> </w:t>
      </w:r>
      <w:r>
        <w:rPr>
          <w:b/>
          <w:color w:val="67287F"/>
          <w:sz w:val="28"/>
        </w:rPr>
        <w:t>via</w:t>
      </w:r>
      <w:r>
        <w:rPr>
          <w:b/>
          <w:color w:val="67287F"/>
          <w:spacing w:val="-7"/>
          <w:sz w:val="28"/>
        </w:rPr>
        <w:t> </w:t>
      </w:r>
      <w:r>
        <w:rPr>
          <w:b/>
          <w:color w:val="67287F"/>
          <w:sz w:val="28"/>
        </w:rPr>
        <w:t>the Joint</w:t>
      </w:r>
      <w:r>
        <w:rPr>
          <w:b/>
          <w:color w:val="67287F"/>
          <w:spacing w:val="-6"/>
          <w:sz w:val="28"/>
        </w:rPr>
        <w:t> </w:t>
      </w:r>
      <w:r>
        <w:rPr>
          <w:b/>
          <w:color w:val="67287F"/>
          <w:sz w:val="28"/>
        </w:rPr>
        <w:t>Consultative</w:t>
      </w:r>
      <w:r>
        <w:rPr>
          <w:b/>
          <w:color w:val="67287F"/>
          <w:spacing w:val="-7"/>
          <w:sz w:val="28"/>
        </w:rPr>
        <w:t> </w:t>
      </w:r>
      <w:r>
        <w:rPr>
          <w:b/>
          <w:color w:val="67287F"/>
          <w:sz w:val="28"/>
        </w:rPr>
        <w:t>Working</w:t>
      </w:r>
      <w:r>
        <w:rPr>
          <w:b/>
          <w:color w:val="67287F"/>
          <w:spacing w:val="-7"/>
          <w:sz w:val="28"/>
        </w:rPr>
        <w:t> </w:t>
      </w:r>
      <w:r>
        <w:rPr>
          <w:b/>
          <w:color w:val="67287F"/>
          <w:sz w:val="28"/>
        </w:rPr>
        <w:t>Group,</w:t>
      </w:r>
      <w:r>
        <w:rPr>
          <w:b/>
          <w:color w:val="67287F"/>
          <w:spacing w:val="-6"/>
          <w:sz w:val="28"/>
        </w:rPr>
        <w:t> </w:t>
      </w:r>
      <w:r>
        <w:rPr>
          <w:b/>
          <w:color w:val="67287F"/>
          <w:sz w:val="28"/>
        </w:rPr>
        <w:t>and</w:t>
      </w:r>
      <w:r>
        <w:rPr>
          <w:b/>
          <w:color w:val="67287F"/>
          <w:spacing w:val="-6"/>
          <w:sz w:val="28"/>
        </w:rPr>
        <w:t> </w:t>
      </w:r>
      <w:r>
        <w:rPr>
          <w:b/>
          <w:color w:val="67287F"/>
          <w:sz w:val="28"/>
        </w:rPr>
        <w:t>have</w:t>
      </w:r>
      <w:r>
        <w:rPr>
          <w:b/>
          <w:color w:val="67287F"/>
          <w:spacing w:val="-7"/>
          <w:sz w:val="28"/>
        </w:rPr>
        <w:t> </w:t>
      </w:r>
      <w:r>
        <w:rPr>
          <w:b/>
          <w:color w:val="67287F"/>
          <w:sz w:val="28"/>
        </w:rPr>
        <w:t>the</w:t>
      </w:r>
      <w:r>
        <w:rPr>
          <w:b/>
          <w:color w:val="67287F"/>
          <w:spacing w:val="-7"/>
          <w:sz w:val="28"/>
        </w:rPr>
        <w:t> </w:t>
      </w:r>
      <w:r>
        <w:rPr>
          <w:b/>
          <w:color w:val="67287F"/>
          <w:sz w:val="28"/>
        </w:rPr>
        <w:t>opportunity</w:t>
      </w:r>
      <w:r>
        <w:rPr>
          <w:b/>
          <w:color w:val="67287F"/>
          <w:spacing w:val="-6"/>
          <w:sz w:val="28"/>
        </w:rPr>
        <w:t> </w:t>
      </w:r>
      <w:r>
        <w:rPr>
          <w:b/>
          <w:color w:val="67287F"/>
          <w:sz w:val="28"/>
        </w:rPr>
        <w:t>to</w:t>
      </w:r>
      <w:r>
        <w:rPr>
          <w:b/>
          <w:color w:val="67287F"/>
          <w:spacing w:val="-6"/>
          <w:sz w:val="28"/>
        </w:rPr>
        <w:t> </w:t>
      </w:r>
      <w:r>
        <w:rPr>
          <w:b/>
          <w:color w:val="67287F"/>
          <w:sz w:val="28"/>
        </w:rPr>
        <w:t>highlight</w:t>
      </w:r>
      <w:r>
        <w:rPr>
          <w:b/>
          <w:color w:val="67287F"/>
          <w:spacing w:val="-6"/>
          <w:sz w:val="28"/>
        </w:rPr>
        <w:t> </w:t>
      </w:r>
      <w:r>
        <w:rPr>
          <w:b/>
          <w:color w:val="67287F"/>
          <w:sz w:val="28"/>
        </w:rPr>
        <w:t>in advance any implications of those changes for equality law in NI.</w:t>
      </w:r>
    </w:p>
    <w:p>
      <w:pPr>
        <w:pStyle w:val="ListParagraph"/>
        <w:numPr>
          <w:ilvl w:val="1"/>
          <w:numId w:val="5"/>
        </w:numPr>
        <w:tabs>
          <w:tab w:pos="1853" w:val="left" w:leader="none"/>
        </w:tabs>
        <w:spacing w:line="225" w:lineRule="auto" w:before="314" w:after="0"/>
        <w:ind w:left="1853" w:right="1383" w:hanging="720"/>
        <w:jc w:val="left"/>
        <w:rPr>
          <w:b/>
          <w:color w:val="67287F"/>
          <w:sz w:val="28"/>
        </w:rPr>
      </w:pPr>
      <w:r>
        <w:rPr>
          <w:b/>
          <w:color w:val="67287F"/>
          <w:sz w:val="28"/>
        </w:rPr>
        <w:t>The</w:t>
      </w:r>
      <w:r>
        <w:rPr>
          <w:b/>
          <w:color w:val="67287F"/>
          <w:spacing w:val="-7"/>
          <w:sz w:val="28"/>
        </w:rPr>
        <w:t> </w:t>
      </w:r>
      <w:r>
        <w:rPr>
          <w:b/>
          <w:color w:val="67287F"/>
          <w:sz w:val="28"/>
        </w:rPr>
        <w:t>Commissions</w:t>
      </w:r>
      <w:r>
        <w:rPr>
          <w:b/>
          <w:color w:val="67287F"/>
          <w:spacing w:val="-6"/>
          <w:sz w:val="28"/>
        </w:rPr>
        <w:t> </w:t>
      </w:r>
      <w:r>
        <w:rPr>
          <w:b/>
          <w:color w:val="67287F"/>
          <w:sz w:val="28"/>
        </w:rPr>
        <w:t>continue</w:t>
      </w:r>
      <w:r>
        <w:rPr>
          <w:b/>
          <w:color w:val="67287F"/>
          <w:spacing w:val="-7"/>
          <w:sz w:val="28"/>
        </w:rPr>
        <w:t> </w:t>
      </w:r>
      <w:r>
        <w:rPr>
          <w:b/>
          <w:color w:val="67287F"/>
          <w:sz w:val="28"/>
        </w:rPr>
        <w:t>to</w:t>
      </w:r>
      <w:r>
        <w:rPr>
          <w:b/>
          <w:color w:val="67287F"/>
          <w:spacing w:val="-6"/>
          <w:sz w:val="28"/>
        </w:rPr>
        <w:t> </w:t>
      </w:r>
      <w:r>
        <w:rPr>
          <w:b/>
          <w:color w:val="67287F"/>
          <w:sz w:val="28"/>
        </w:rPr>
        <w:t>recommend</w:t>
      </w:r>
      <w:r>
        <w:rPr>
          <w:b/>
          <w:color w:val="67287F"/>
          <w:spacing w:val="-6"/>
          <w:sz w:val="28"/>
        </w:rPr>
        <w:t> </w:t>
      </w:r>
      <w:r>
        <w:rPr>
          <w:b/>
          <w:color w:val="67287F"/>
          <w:sz w:val="28"/>
        </w:rPr>
        <w:t>that</w:t>
      </w:r>
      <w:r>
        <w:rPr>
          <w:b/>
          <w:color w:val="67287F"/>
          <w:spacing w:val="-6"/>
          <w:sz w:val="28"/>
        </w:rPr>
        <w:t> </w:t>
      </w:r>
      <w:r>
        <w:rPr>
          <w:b/>
          <w:color w:val="67287F"/>
          <w:sz w:val="28"/>
        </w:rPr>
        <w:t>the</w:t>
      </w:r>
      <w:r>
        <w:rPr>
          <w:b/>
          <w:color w:val="67287F"/>
          <w:spacing w:val="-7"/>
          <w:sz w:val="28"/>
        </w:rPr>
        <w:t> </w:t>
      </w:r>
      <w:r>
        <w:rPr>
          <w:b/>
          <w:color w:val="67287F"/>
          <w:sz w:val="28"/>
        </w:rPr>
        <w:t>secretariat</w:t>
      </w:r>
      <w:r>
        <w:rPr>
          <w:b/>
          <w:color w:val="67287F"/>
          <w:spacing w:val="-6"/>
          <w:sz w:val="28"/>
        </w:rPr>
        <w:t> </w:t>
      </w:r>
      <w:r>
        <w:rPr>
          <w:b/>
          <w:color w:val="67287F"/>
          <w:sz w:val="28"/>
        </w:rPr>
        <w:t>of</w:t>
      </w:r>
      <w:r>
        <w:rPr>
          <w:b/>
          <w:color w:val="67287F"/>
          <w:spacing w:val="-7"/>
          <w:sz w:val="28"/>
        </w:rPr>
        <w:t> </w:t>
      </w:r>
      <w:r>
        <w:rPr>
          <w:b/>
          <w:color w:val="67287F"/>
          <w:sz w:val="28"/>
        </w:rPr>
        <w:t>the</w:t>
      </w:r>
      <w:r>
        <w:rPr>
          <w:b/>
          <w:color w:val="67287F"/>
          <w:spacing w:val="-7"/>
          <w:sz w:val="28"/>
        </w:rPr>
        <w:t> </w:t>
      </w:r>
      <w:r>
        <w:rPr>
          <w:b/>
          <w:color w:val="67287F"/>
          <w:sz w:val="28"/>
        </w:rPr>
        <w:t>Joint/ Specialised Committee establishes a formal communication channel with the Commissions, to ensure early engagement on anticipated changes or additions</w:t>
      </w:r>
      <w:r>
        <w:rPr>
          <w:b/>
          <w:color w:val="67287F"/>
          <w:spacing w:val="-3"/>
          <w:sz w:val="28"/>
        </w:rPr>
        <w:t> </w:t>
      </w:r>
      <w:r>
        <w:rPr>
          <w:b/>
          <w:color w:val="67287F"/>
          <w:sz w:val="28"/>
        </w:rPr>
        <w:t>to</w:t>
      </w:r>
      <w:r>
        <w:rPr>
          <w:b/>
          <w:color w:val="67287F"/>
          <w:spacing w:val="-3"/>
          <w:sz w:val="28"/>
        </w:rPr>
        <w:t> </w:t>
      </w:r>
      <w:r>
        <w:rPr>
          <w:b/>
          <w:color w:val="67287F"/>
          <w:sz w:val="28"/>
        </w:rPr>
        <w:t>legislation</w:t>
      </w:r>
      <w:r>
        <w:rPr>
          <w:b/>
          <w:color w:val="67287F"/>
          <w:spacing w:val="-3"/>
          <w:sz w:val="28"/>
        </w:rPr>
        <w:t> </w:t>
      </w:r>
      <w:r>
        <w:rPr>
          <w:b/>
          <w:color w:val="67287F"/>
          <w:sz w:val="28"/>
        </w:rPr>
        <w:t>on</w:t>
      </w:r>
      <w:r>
        <w:rPr>
          <w:b/>
          <w:color w:val="67287F"/>
          <w:spacing w:val="-3"/>
          <w:sz w:val="28"/>
        </w:rPr>
        <w:t> </w:t>
      </w:r>
      <w:r>
        <w:rPr>
          <w:b/>
          <w:color w:val="67287F"/>
          <w:sz w:val="28"/>
        </w:rPr>
        <w:t>matters</w:t>
      </w:r>
      <w:r>
        <w:rPr>
          <w:b/>
          <w:color w:val="67287F"/>
          <w:spacing w:val="-3"/>
          <w:sz w:val="28"/>
        </w:rPr>
        <w:t> </w:t>
      </w:r>
      <w:r>
        <w:rPr>
          <w:b/>
          <w:color w:val="67287F"/>
          <w:sz w:val="28"/>
        </w:rPr>
        <w:t>relating</w:t>
      </w:r>
      <w:r>
        <w:rPr>
          <w:b/>
          <w:color w:val="67287F"/>
          <w:spacing w:val="-4"/>
          <w:sz w:val="28"/>
        </w:rPr>
        <w:t> </w:t>
      </w:r>
      <w:r>
        <w:rPr>
          <w:b/>
          <w:color w:val="67287F"/>
          <w:sz w:val="28"/>
        </w:rPr>
        <w:t>to</w:t>
      </w:r>
      <w:r>
        <w:rPr>
          <w:b/>
          <w:color w:val="67287F"/>
          <w:spacing w:val="-3"/>
          <w:sz w:val="28"/>
        </w:rPr>
        <w:t> </w:t>
      </w:r>
      <w:r>
        <w:rPr>
          <w:b/>
          <w:color w:val="67287F"/>
          <w:sz w:val="28"/>
        </w:rPr>
        <w:t>equality</w:t>
      </w:r>
      <w:r>
        <w:rPr>
          <w:b/>
          <w:color w:val="67287F"/>
          <w:spacing w:val="-3"/>
          <w:sz w:val="28"/>
        </w:rPr>
        <w:t> </w:t>
      </w:r>
      <w:r>
        <w:rPr>
          <w:b/>
          <w:color w:val="67287F"/>
          <w:sz w:val="28"/>
        </w:rPr>
        <w:t>and</w:t>
      </w:r>
      <w:r>
        <w:rPr>
          <w:b/>
          <w:color w:val="67287F"/>
          <w:spacing w:val="-3"/>
          <w:sz w:val="28"/>
        </w:rPr>
        <w:t> </w:t>
      </w:r>
      <w:r>
        <w:rPr>
          <w:b/>
          <w:color w:val="67287F"/>
          <w:sz w:val="28"/>
        </w:rPr>
        <w:t>human</w:t>
      </w:r>
      <w:r>
        <w:rPr>
          <w:b/>
          <w:color w:val="67287F"/>
          <w:spacing w:val="-3"/>
          <w:sz w:val="28"/>
        </w:rPr>
        <w:t> </w:t>
      </w:r>
      <w:r>
        <w:rPr>
          <w:b/>
          <w:color w:val="67287F"/>
          <w:sz w:val="28"/>
        </w:rPr>
        <w:t>rights</w:t>
      </w:r>
      <w:r>
        <w:rPr>
          <w:b/>
          <w:color w:val="67287F"/>
          <w:spacing w:val="-3"/>
          <w:sz w:val="28"/>
        </w:rPr>
        <w:t> </w:t>
      </w:r>
      <w:r>
        <w:rPr>
          <w:b/>
          <w:color w:val="67287F"/>
          <w:sz w:val="28"/>
        </w:rPr>
        <w:t>in NI, including Windsor Framework Article 2.</w:t>
      </w:r>
    </w:p>
    <w:p>
      <w:pPr>
        <w:pStyle w:val="BodyText"/>
        <w:spacing w:before="101"/>
        <w:rPr>
          <w:b/>
        </w:rPr>
      </w:pPr>
    </w:p>
    <w:p>
      <w:pPr>
        <w:pStyle w:val="Heading3"/>
        <w:spacing w:line="196" w:lineRule="auto"/>
        <w:ind w:right="2478"/>
      </w:pPr>
      <w:bookmarkStart w:name="Implementation and Parliamentary Scrutin" w:id="17"/>
      <w:bookmarkEnd w:id="17"/>
      <w:r>
        <w:rPr>
          <w:b w:val="0"/>
        </w:rPr>
      </w:r>
      <w:r>
        <w:rPr>
          <w:color w:val="67287F"/>
        </w:rPr>
        <w:t>Implementation</w:t>
      </w:r>
      <w:r>
        <w:rPr>
          <w:color w:val="67287F"/>
          <w:spacing w:val="-13"/>
        </w:rPr>
        <w:t> </w:t>
      </w:r>
      <w:r>
        <w:rPr>
          <w:color w:val="67287F"/>
        </w:rPr>
        <w:t>and</w:t>
      </w:r>
      <w:r>
        <w:rPr>
          <w:color w:val="67287F"/>
          <w:spacing w:val="-13"/>
        </w:rPr>
        <w:t> </w:t>
      </w:r>
      <w:r>
        <w:rPr>
          <w:color w:val="67287F"/>
        </w:rPr>
        <w:t>Parliamentary</w:t>
      </w:r>
      <w:r>
        <w:rPr>
          <w:color w:val="67287F"/>
          <w:spacing w:val="-13"/>
        </w:rPr>
        <w:t> </w:t>
      </w:r>
      <w:r>
        <w:rPr>
          <w:color w:val="67287F"/>
        </w:rPr>
        <w:t>Scrutiny</w:t>
      </w:r>
      <w:r>
        <w:rPr>
          <w:color w:val="67287F"/>
          <w:spacing w:val="-13"/>
        </w:rPr>
        <w:t> </w:t>
      </w:r>
      <w:r>
        <w:rPr>
          <w:color w:val="67287F"/>
        </w:rPr>
        <w:t>of</w:t>
      </w:r>
      <w:r>
        <w:rPr>
          <w:color w:val="67287F"/>
          <w:spacing w:val="-14"/>
        </w:rPr>
        <w:t> </w:t>
      </w:r>
      <w:r>
        <w:rPr>
          <w:color w:val="67287F"/>
        </w:rPr>
        <w:t>Windsor Framework Article 2</w:t>
      </w:r>
    </w:p>
    <w:p>
      <w:pPr>
        <w:pStyle w:val="BodyText"/>
        <w:spacing w:before="1"/>
        <w:rPr>
          <w:b/>
          <w:sz w:val="7"/>
        </w:rPr>
      </w:pPr>
      <w:r>
        <w:rPr/>
        <mc:AlternateContent>
          <mc:Choice Requires="wps">
            <w:drawing>
              <wp:anchor distT="0" distB="0" distL="0" distR="0" allowOverlap="1" layoutInCell="1" locked="0" behindDoc="1" simplePos="0" relativeHeight="487627264">
                <wp:simplePos x="0" y="0"/>
                <wp:positionH relativeFrom="page">
                  <wp:posOffset>719997</wp:posOffset>
                </wp:positionH>
                <wp:positionV relativeFrom="paragraph">
                  <wp:posOffset>70231</wp:posOffset>
                </wp:positionV>
                <wp:extent cx="6120130" cy="1270"/>
                <wp:effectExtent l="0" t="0" r="0" b="0"/>
                <wp:wrapTopAndBottom/>
                <wp:docPr id="141" name="Graphic 141"/>
                <wp:cNvGraphicFramePr>
                  <a:graphicFrameLocks/>
                </wp:cNvGraphicFramePr>
                <a:graphic>
                  <a:graphicData uri="http://schemas.microsoft.com/office/word/2010/wordprocessingShape">
                    <wps:wsp>
                      <wps:cNvPr id="141" name="Graphic 141"/>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5.53pt;width:481.9pt;height:.1pt;mso-position-horizontal-relative:page;mso-position-vertical-relative:paragraph;z-index:-15689216;mso-wrap-distance-left:0;mso-wrap-distance-right:0" id="docshape98" coordorigin="1134,111" coordsize="9638,0" path="m10772,111l1134,111e" filled="false" stroked="true" strokeweight="1pt" strokecolor="#67287f">
                <v:path arrowok="t"/>
                <v:stroke dashstyle="solid"/>
                <w10:wrap type="topAndBottom"/>
              </v:shape>
            </w:pict>
          </mc:Fallback>
        </mc:AlternateContent>
      </w:r>
    </w:p>
    <w:p>
      <w:pPr>
        <w:pStyle w:val="ListParagraph"/>
        <w:numPr>
          <w:ilvl w:val="1"/>
          <w:numId w:val="5"/>
        </w:numPr>
        <w:tabs>
          <w:tab w:pos="1853" w:val="left" w:leader="none"/>
        </w:tabs>
        <w:spacing w:line="225" w:lineRule="auto" w:before="129" w:after="0"/>
        <w:ind w:left="1853" w:right="1246" w:hanging="720"/>
        <w:jc w:val="left"/>
        <w:rPr>
          <w:sz w:val="28"/>
        </w:rPr>
      </w:pPr>
      <w:r>
        <w:rPr>
          <w:sz w:val="28"/>
        </w:rPr>
        <w:t>Any new international commitment, such as that set out in Windsor Framework Article 2, requires sustained leadership and a significant body of work by Government and others to implement.</w:t>
      </w:r>
      <w:r>
        <w:rPr>
          <w:spacing w:val="40"/>
          <w:sz w:val="28"/>
        </w:rPr>
        <w:t> </w:t>
      </w:r>
      <w:r>
        <w:rPr>
          <w:sz w:val="28"/>
        </w:rPr>
        <w:t>In 2023-2024, the Commissions have continued to advise the UK Government on embedding Article</w:t>
      </w:r>
      <w:r>
        <w:rPr>
          <w:spacing w:val="-8"/>
          <w:sz w:val="28"/>
        </w:rPr>
        <w:t> </w:t>
      </w:r>
      <w:r>
        <w:rPr>
          <w:sz w:val="28"/>
        </w:rPr>
        <w:t>2</w:t>
      </w:r>
      <w:r>
        <w:rPr>
          <w:spacing w:val="-8"/>
          <w:sz w:val="28"/>
        </w:rPr>
        <w:t> </w:t>
      </w:r>
      <w:r>
        <w:rPr>
          <w:sz w:val="28"/>
        </w:rPr>
        <w:t>across</w:t>
      </w:r>
      <w:r>
        <w:rPr>
          <w:spacing w:val="-9"/>
          <w:sz w:val="28"/>
        </w:rPr>
        <w:t> </w:t>
      </w:r>
      <w:r>
        <w:rPr>
          <w:sz w:val="28"/>
        </w:rPr>
        <w:t>its</w:t>
      </w:r>
      <w:r>
        <w:rPr>
          <w:spacing w:val="-9"/>
          <w:sz w:val="28"/>
        </w:rPr>
        <w:t> </w:t>
      </w:r>
      <w:r>
        <w:rPr>
          <w:sz w:val="28"/>
        </w:rPr>
        <w:t>work</w:t>
      </w:r>
      <w:r>
        <w:rPr>
          <w:spacing w:val="-8"/>
          <w:sz w:val="28"/>
        </w:rPr>
        <w:t> </w:t>
      </w:r>
      <w:r>
        <w:rPr>
          <w:sz w:val="28"/>
        </w:rPr>
        <w:t>through</w:t>
      </w:r>
      <w:r>
        <w:rPr>
          <w:spacing w:val="-9"/>
          <w:sz w:val="28"/>
        </w:rPr>
        <w:t> </w:t>
      </w:r>
      <w:r>
        <w:rPr>
          <w:sz w:val="28"/>
        </w:rPr>
        <w:t>awareness-raising,</w:t>
      </w:r>
      <w:r>
        <w:rPr>
          <w:spacing w:val="-8"/>
          <w:sz w:val="28"/>
        </w:rPr>
        <w:t> </w:t>
      </w:r>
      <w:r>
        <w:rPr>
          <w:sz w:val="28"/>
        </w:rPr>
        <w:t>engagement,</w:t>
      </w:r>
      <w:r>
        <w:rPr>
          <w:spacing w:val="-8"/>
          <w:sz w:val="28"/>
        </w:rPr>
        <w:t> </w:t>
      </w:r>
      <w:r>
        <w:rPr>
          <w:sz w:val="28"/>
        </w:rPr>
        <w:t>training</w:t>
      </w:r>
      <w:r>
        <w:rPr>
          <w:spacing w:val="-8"/>
          <w:sz w:val="28"/>
        </w:rPr>
        <w:t> </w:t>
      </w:r>
      <w:r>
        <w:rPr>
          <w:sz w:val="28"/>
        </w:rPr>
        <w:t>and the provision of guidance and recommendations.</w:t>
      </w:r>
    </w:p>
    <w:p>
      <w:pPr>
        <w:pStyle w:val="BodyText"/>
        <w:spacing w:before="90"/>
      </w:pPr>
    </w:p>
    <w:p>
      <w:pPr>
        <w:pStyle w:val="ListParagraph"/>
        <w:numPr>
          <w:ilvl w:val="1"/>
          <w:numId w:val="5"/>
        </w:numPr>
        <w:tabs>
          <w:tab w:pos="1853" w:val="left" w:leader="none"/>
        </w:tabs>
        <w:spacing w:line="225" w:lineRule="auto" w:before="1" w:after="0"/>
        <w:ind w:left="1853" w:right="1709" w:hanging="720"/>
        <w:jc w:val="both"/>
        <w:rPr>
          <w:sz w:val="28"/>
        </w:rPr>
      </w:pPr>
      <w:r>
        <w:rPr>
          <w:sz w:val="28"/>
        </w:rPr>
        <w:t>In</w:t>
      </w:r>
      <w:r>
        <w:rPr>
          <w:spacing w:val="-2"/>
          <w:sz w:val="28"/>
        </w:rPr>
        <w:t> </w:t>
      </w:r>
      <w:r>
        <w:rPr>
          <w:sz w:val="28"/>
        </w:rPr>
        <w:t>2021,</w:t>
      </w:r>
      <w:r>
        <w:rPr>
          <w:spacing w:val="-1"/>
          <w:sz w:val="28"/>
        </w:rPr>
        <w:t> </w:t>
      </w:r>
      <w:r>
        <w:rPr>
          <w:sz w:val="28"/>
        </w:rPr>
        <w:t>the</w:t>
      </w:r>
      <w:r>
        <w:rPr>
          <w:spacing w:val="-1"/>
          <w:sz w:val="28"/>
        </w:rPr>
        <w:t> </w:t>
      </w:r>
      <w:r>
        <w:rPr>
          <w:sz w:val="28"/>
        </w:rPr>
        <w:t>ECNI</w:t>
      </w:r>
      <w:r>
        <w:rPr>
          <w:spacing w:val="-1"/>
          <w:sz w:val="28"/>
        </w:rPr>
        <w:t> </w:t>
      </w:r>
      <w:r>
        <w:rPr>
          <w:sz w:val="28"/>
        </w:rPr>
        <w:t>published</w:t>
      </w:r>
      <w:r>
        <w:rPr>
          <w:spacing w:val="-2"/>
          <w:sz w:val="28"/>
        </w:rPr>
        <w:t> </w:t>
      </w:r>
      <w:r>
        <w:rPr>
          <w:sz w:val="28"/>
        </w:rPr>
        <w:t>independent</w:t>
      </w:r>
      <w:r>
        <w:rPr>
          <w:spacing w:val="-1"/>
          <w:sz w:val="28"/>
        </w:rPr>
        <w:t> </w:t>
      </w:r>
      <w:r>
        <w:rPr>
          <w:sz w:val="28"/>
        </w:rPr>
        <w:t>research</w:t>
      </w:r>
      <w:r>
        <w:rPr>
          <w:spacing w:val="-2"/>
          <w:sz w:val="28"/>
        </w:rPr>
        <w:t> </w:t>
      </w:r>
      <w:r>
        <w:rPr>
          <w:sz w:val="28"/>
        </w:rPr>
        <w:t>which</w:t>
      </w:r>
      <w:r>
        <w:rPr>
          <w:spacing w:val="-2"/>
          <w:sz w:val="28"/>
        </w:rPr>
        <w:t> </w:t>
      </w:r>
      <w:r>
        <w:rPr>
          <w:sz w:val="28"/>
        </w:rPr>
        <w:t>made</w:t>
      </w:r>
      <w:r>
        <w:rPr>
          <w:spacing w:val="-1"/>
          <w:sz w:val="28"/>
        </w:rPr>
        <w:t> </w:t>
      </w:r>
      <w:r>
        <w:rPr>
          <w:sz w:val="28"/>
        </w:rPr>
        <w:t>a</w:t>
      </w:r>
      <w:r>
        <w:rPr>
          <w:spacing w:val="-2"/>
          <w:sz w:val="28"/>
        </w:rPr>
        <w:t> </w:t>
      </w:r>
      <w:r>
        <w:rPr>
          <w:sz w:val="28"/>
        </w:rPr>
        <w:t>number of</w:t>
      </w:r>
      <w:r>
        <w:rPr>
          <w:spacing w:val="-7"/>
          <w:sz w:val="28"/>
        </w:rPr>
        <w:t> </w:t>
      </w:r>
      <w:r>
        <w:rPr>
          <w:sz w:val="28"/>
        </w:rPr>
        <w:t>recommendations</w:t>
      </w:r>
      <w:r>
        <w:rPr>
          <w:spacing w:val="-7"/>
          <w:sz w:val="28"/>
        </w:rPr>
        <w:t> </w:t>
      </w:r>
      <w:r>
        <w:rPr>
          <w:sz w:val="28"/>
        </w:rPr>
        <w:t>to</w:t>
      </w:r>
      <w:r>
        <w:rPr>
          <w:spacing w:val="-7"/>
          <w:sz w:val="28"/>
        </w:rPr>
        <w:t> </w:t>
      </w:r>
      <w:r>
        <w:rPr>
          <w:sz w:val="28"/>
        </w:rPr>
        <w:t>ensure</w:t>
      </w:r>
      <w:r>
        <w:rPr>
          <w:spacing w:val="-6"/>
          <w:sz w:val="28"/>
        </w:rPr>
        <w:t> </w:t>
      </w:r>
      <w:r>
        <w:rPr>
          <w:sz w:val="28"/>
        </w:rPr>
        <w:t>effective</w:t>
      </w:r>
      <w:r>
        <w:rPr>
          <w:spacing w:val="-6"/>
          <w:sz w:val="28"/>
        </w:rPr>
        <w:t> </w:t>
      </w:r>
      <w:r>
        <w:rPr>
          <w:sz w:val="28"/>
        </w:rPr>
        <w:t>scrutiny</w:t>
      </w:r>
      <w:r>
        <w:rPr>
          <w:spacing w:val="-6"/>
          <w:sz w:val="28"/>
        </w:rPr>
        <w:t> </w:t>
      </w:r>
      <w:r>
        <w:rPr>
          <w:sz w:val="28"/>
        </w:rPr>
        <w:t>of</w:t>
      </w:r>
      <w:r>
        <w:rPr>
          <w:spacing w:val="-7"/>
          <w:sz w:val="28"/>
        </w:rPr>
        <w:t> </w:t>
      </w:r>
      <w:r>
        <w:rPr>
          <w:sz w:val="28"/>
        </w:rPr>
        <w:t>the</w:t>
      </w:r>
      <w:r>
        <w:rPr>
          <w:spacing w:val="-6"/>
          <w:sz w:val="28"/>
        </w:rPr>
        <w:t> </w:t>
      </w:r>
      <w:r>
        <w:rPr>
          <w:sz w:val="28"/>
        </w:rPr>
        <w:t>UK</w:t>
      </w:r>
      <w:r>
        <w:rPr>
          <w:spacing w:val="-6"/>
          <w:sz w:val="28"/>
        </w:rPr>
        <w:t> </w:t>
      </w:r>
      <w:r>
        <w:rPr>
          <w:sz w:val="28"/>
        </w:rPr>
        <w:t>Government’s compliance</w:t>
      </w:r>
      <w:r>
        <w:rPr>
          <w:spacing w:val="-8"/>
          <w:sz w:val="28"/>
        </w:rPr>
        <w:t> </w:t>
      </w:r>
      <w:r>
        <w:rPr>
          <w:sz w:val="28"/>
        </w:rPr>
        <w:t>with</w:t>
      </w:r>
      <w:r>
        <w:rPr>
          <w:spacing w:val="-9"/>
          <w:sz w:val="28"/>
        </w:rPr>
        <w:t> </w:t>
      </w:r>
      <w:r>
        <w:rPr>
          <w:sz w:val="28"/>
        </w:rPr>
        <w:t>Windsor</w:t>
      </w:r>
      <w:r>
        <w:rPr>
          <w:spacing w:val="-8"/>
          <w:sz w:val="28"/>
        </w:rPr>
        <w:t> </w:t>
      </w:r>
      <w:r>
        <w:rPr>
          <w:sz w:val="28"/>
        </w:rPr>
        <w:t>Framework</w:t>
      </w:r>
      <w:r>
        <w:rPr>
          <w:spacing w:val="-8"/>
          <w:sz w:val="28"/>
        </w:rPr>
        <w:t> </w:t>
      </w:r>
      <w:r>
        <w:rPr>
          <w:sz w:val="28"/>
        </w:rPr>
        <w:t>Article</w:t>
      </w:r>
      <w:r>
        <w:rPr>
          <w:spacing w:val="-8"/>
          <w:sz w:val="28"/>
        </w:rPr>
        <w:t> </w:t>
      </w:r>
      <w:r>
        <w:rPr>
          <w:sz w:val="28"/>
        </w:rPr>
        <w:t>2.</w:t>
      </w:r>
      <w:r>
        <w:rPr>
          <w:sz w:val="28"/>
          <w:vertAlign w:val="superscript"/>
        </w:rPr>
        <w:t>54</w:t>
      </w:r>
      <w:r>
        <w:rPr>
          <w:spacing w:val="40"/>
          <w:sz w:val="28"/>
          <w:vertAlign w:val="baseline"/>
        </w:rPr>
        <w:t> </w:t>
      </w:r>
      <w:r>
        <w:rPr>
          <w:sz w:val="28"/>
          <w:vertAlign w:val="baseline"/>
        </w:rPr>
        <w:t>The</w:t>
      </w:r>
      <w:r>
        <w:rPr>
          <w:spacing w:val="-8"/>
          <w:sz w:val="28"/>
          <w:vertAlign w:val="baseline"/>
        </w:rPr>
        <w:t> </w:t>
      </w:r>
      <w:r>
        <w:rPr>
          <w:sz w:val="28"/>
          <w:vertAlign w:val="baseline"/>
        </w:rPr>
        <w:t>proposed</w:t>
      </w:r>
      <w:r>
        <w:rPr>
          <w:spacing w:val="-9"/>
          <w:sz w:val="28"/>
          <w:vertAlign w:val="baseline"/>
        </w:rPr>
        <w:t> </w:t>
      </w:r>
      <w:r>
        <w:rPr>
          <w:sz w:val="28"/>
          <w:vertAlign w:val="baseline"/>
        </w:rPr>
        <w:t>measures</w:t>
      </w:r>
    </w:p>
    <w:p>
      <w:pPr>
        <w:pStyle w:val="BodyText"/>
        <w:spacing w:line="225" w:lineRule="auto"/>
        <w:ind w:left="1853" w:right="1215"/>
      </w:pPr>
      <w:r>
        <w:rPr/>
        <w:t>included</w:t>
      </w:r>
      <w:r>
        <w:rPr>
          <w:spacing w:val="-8"/>
        </w:rPr>
        <w:t> </w:t>
      </w:r>
      <w:r>
        <w:rPr/>
        <w:t>setting</w:t>
      </w:r>
      <w:r>
        <w:rPr>
          <w:spacing w:val="-7"/>
        </w:rPr>
        <w:t> </w:t>
      </w:r>
      <w:r>
        <w:rPr/>
        <w:t>out</w:t>
      </w:r>
      <w:r>
        <w:rPr>
          <w:spacing w:val="-7"/>
        </w:rPr>
        <w:t> </w:t>
      </w:r>
      <w:r>
        <w:rPr/>
        <w:t>in</w:t>
      </w:r>
      <w:r>
        <w:rPr>
          <w:spacing w:val="-8"/>
        </w:rPr>
        <w:t> </w:t>
      </w:r>
      <w:r>
        <w:rPr/>
        <w:t>the</w:t>
      </w:r>
      <w:r>
        <w:rPr>
          <w:spacing w:val="-7"/>
        </w:rPr>
        <w:t> </w:t>
      </w:r>
      <w:r>
        <w:rPr/>
        <w:t>Explanatory</w:t>
      </w:r>
      <w:r>
        <w:rPr>
          <w:spacing w:val="-7"/>
        </w:rPr>
        <w:t> </w:t>
      </w:r>
      <w:r>
        <w:rPr/>
        <w:t>Memoranda</w:t>
      </w:r>
      <w:r>
        <w:rPr>
          <w:spacing w:val="-8"/>
        </w:rPr>
        <w:t> </w:t>
      </w:r>
      <w:r>
        <w:rPr/>
        <w:t>for</w:t>
      </w:r>
      <w:r>
        <w:rPr>
          <w:spacing w:val="-7"/>
        </w:rPr>
        <w:t> </w:t>
      </w:r>
      <w:r>
        <w:rPr/>
        <w:t>new</w:t>
      </w:r>
      <w:r>
        <w:rPr>
          <w:spacing w:val="-7"/>
        </w:rPr>
        <w:t> </w:t>
      </w:r>
      <w:r>
        <w:rPr/>
        <w:t>legislation</w:t>
      </w:r>
      <w:r>
        <w:rPr>
          <w:spacing w:val="-8"/>
        </w:rPr>
        <w:t> </w:t>
      </w:r>
      <w:r>
        <w:rPr/>
        <w:t>details of the UK Government’s consideration of Article 2 compliance. Building on this research, the Commissions have engaged with relevant Parliamentary Committees and Committee officials; UK Government officials; the NI Office; and the Executive Office with respect to these recommendations.</w:t>
      </w:r>
    </w:p>
    <w:p>
      <w:pPr>
        <w:pStyle w:val="BodyText"/>
        <w:spacing w:before="71"/>
        <w:rPr>
          <w:sz w:val="20"/>
        </w:rPr>
      </w:pPr>
      <w:r>
        <w:rPr/>
        <mc:AlternateContent>
          <mc:Choice Requires="wps">
            <w:drawing>
              <wp:anchor distT="0" distB="0" distL="0" distR="0" allowOverlap="1" layoutInCell="1" locked="0" behindDoc="1" simplePos="0" relativeHeight="487627776">
                <wp:simplePos x="0" y="0"/>
                <wp:positionH relativeFrom="page">
                  <wp:posOffset>719996</wp:posOffset>
                </wp:positionH>
                <wp:positionV relativeFrom="paragraph">
                  <wp:posOffset>215698</wp:posOffset>
                </wp:positionV>
                <wp:extent cx="6120130" cy="1270"/>
                <wp:effectExtent l="0" t="0" r="0" b="0"/>
                <wp:wrapTopAndBottom/>
                <wp:docPr id="142" name="Graphic 142"/>
                <wp:cNvGraphicFramePr>
                  <a:graphicFrameLocks/>
                </wp:cNvGraphicFramePr>
                <a:graphic>
                  <a:graphicData uri="http://schemas.microsoft.com/office/word/2010/wordprocessingShape">
                    <wps:wsp>
                      <wps:cNvPr id="142" name="Graphic 142"/>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6.984112pt;width:481.9pt;height:.1pt;mso-position-horizontal-relative:page;mso-position-vertical-relative:paragraph;z-index:-15688704;mso-wrap-distance-left:0;mso-wrap-distance-right:0" id="docshape99" coordorigin="1134,340" coordsize="9638,0" path="m10772,340l1134,340e" filled="false" stroked="true" strokeweight="1pt" strokecolor="#393b80">
                <v:path arrowok="t"/>
                <v:stroke dashstyle="solid"/>
                <w10:wrap type="topAndBottom"/>
              </v:shape>
            </w:pict>
          </mc:Fallback>
        </mc:AlternateContent>
      </w:r>
    </w:p>
    <w:p>
      <w:pPr>
        <w:pStyle w:val="ListParagraph"/>
        <w:numPr>
          <w:ilvl w:val="0"/>
          <w:numId w:val="3"/>
        </w:numPr>
        <w:tabs>
          <w:tab w:pos="1853" w:val="left" w:leader="none"/>
        </w:tabs>
        <w:spacing w:line="235" w:lineRule="auto" w:before="126" w:after="0"/>
        <w:ind w:left="1853" w:right="1250" w:hanging="720"/>
        <w:jc w:val="left"/>
        <w:rPr>
          <w:sz w:val="18"/>
        </w:rPr>
      </w:pPr>
      <w:r>
        <w:rPr>
          <w:sz w:val="18"/>
        </w:rPr>
        <w:t>Paul</w:t>
      </w:r>
      <w:r>
        <w:rPr>
          <w:spacing w:val="-7"/>
          <w:sz w:val="18"/>
        </w:rPr>
        <w:t> </w:t>
      </w:r>
      <w:r>
        <w:rPr>
          <w:sz w:val="18"/>
        </w:rPr>
        <w:t>Evans,</w:t>
      </w:r>
      <w:r>
        <w:rPr>
          <w:spacing w:val="-6"/>
          <w:sz w:val="18"/>
        </w:rPr>
        <w:t> </w:t>
      </w:r>
      <w:r>
        <w:rPr>
          <w:sz w:val="18"/>
        </w:rPr>
        <w:t>Alexander</w:t>
      </w:r>
      <w:r>
        <w:rPr>
          <w:spacing w:val="-6"/>
          <w:sz w:val="18"/>
        </w:rPr>
        <w:t> </w:t>
      </w:r>
      <w:r>
        <w:rPr>
          <w:sz w:val="18"/>
        </w:rPr>
        <w:t>Horne,</w:t>
      </w:r>
      <w:r>
        <w:rPr>
          <w:spacing w:val="-6"/>
          <w:sz w:val="18"/>
        </w:rPr>
        <w:t> </w:t>
      </w:r>
      <w:r>
        <w:rPr>
          <w:sz w:val="18"/>
        </w:rPr>
        <w:t>Tasneem</w:t>
      </w:r>
      <w:r>
        <w:rPr>
          <w:spacing w:val="-6"/>
          <w:sz w:val="18"/>
        </w:rPr>
        <w:t> </w:t>
      </w:r>
      <w:r>
        <w:rPr>
          <w:sz w:val="18"/>
        </w:rPr>
        <w:t>Ghazi,</w:t>
      </w:r>
      <w:r>
        <w:rPr>
          <w:spacing w:val="-6"/>
          <w:sz w:val="18"/>
        </w:rPr>
        <w:t> </w:t>
      </w:r>
      <w:r>
        <w:rPr>
          <w:sz w:val="18"/>
        </w:rPr>
        <w:t>‘</w:t>
      </w:r>
      <w:hyperlink r:id="rId72">
        <w:r>
          <w:rPr>
            <w:sz w:val="18"/>
          </w:rPr>
          <w:t>Legislative</w:t>
        </w:r>
        <w:r>
          <w:rPr>
            <w:spacing w:val="-6"/>
            <w:sz w:val="18"/>
          </w:rPr>
          <w:t> </w:t>
        </w:r>
        <w:r>
          <w:rPr>
            <w:sz w:val="18"/>
          </w:rPr>
          <w:t>Scrutiny</w:t>
        </w:r>
        <w:r>
          <w:rPr>
            <w:spacing w:val="-6"/>
            <w:sz w:val="18"/>
          </w:rPr>
          <w:t> </w:t>
        </w:r>
        <w:r>
          <w:rPr>
            <w:sz w:val="18"/>
          </w:rPr>
          <w:t>and</w:t>
        </w:r>
        <w:r>
          <w:rPr>
            <w:spacing w:val="-7"/>
            <w:sz w:val="18"/>
          </w:rPr>
          <w:t> </w:t>
        </w:r>
        <w:r>
          <w:rPr>
            <w:sz w:val="18"/>
          </w:rPr>
          <w:t>the</w:t>
        </w:r>
        <w:r>
          <w:rPr>
            <w:spacing w:val="-6"/>
            <w:sz w:val="18"/>
          </w:rPr>
          <w:t> </w:t>
        </w:r>
        <w:r>
          <w:rPr>
            <w:sz w:val="18"/>
          </w:rPr>
          <w:t>Dedicated</w:t>
        </w:r>
        <w:r>
          <w:rPr>
            <w:spacing w:val="-7"/>
            <w:sz w:val="18"/>
          </w:rPr>
          <w:t> </w:t>
        </w:r>
        <w:r>
          <w:rPr>
            <w:sz w:val="18"/>
          </w:rPr>
          <w:t>Mechanism</w:t>
        </w:r>
        <w:r>
          <w:rPr>
            <w:spacing w:val="-6"/>
            <w:sz w:val="18"/>
          </w:rPr>
          <w:t> </w:t>
        </w:r>
        <w:r>
          <w:rPr>
            <w:sz w:val="18"/>
          </w:rPr>
          <w:t>for</w:t>
        </w:r>
        <w:r>
          <w:rPr>
            <w:spacing w:val="-6"/>
            <w:sz w:val="18"/>
          </w:rPr>
          <w:t> </w:t>
        </w:r>
        <w:r>
          <w:rPr>
            <w:sz w:val="18"/>
          </w:rPr>
          <w:t>monitoring</w:t>
        </w:r>
        <w:r>
          <w:rPr>
            <w:spacing w:val="-6"/>
            <w:sz w:val="18"/>
          </w:rPr>
          <w:t> </w:t>
        </w:r>
        <w:r>
          <w:rPr>
            <w:sz w:val="18"/>
          </w:rPr>
          <w:t>Article</w:t>
        </w:r>
        <w:r>
          <w:rPr>
            <w:spacing w:val="-6"/>
            <w:sz w:val="18"/>
          </w:rPr>
          <w:t> </w:t>
        </w:r>
        <w:r>
          <w:rPr>
            <w:sz w:val="18"/>
          </w:rPr>
          <w:t>2</w:t>
        </w:r>
      </w:hyperlink>
      <w:r>
        <w:rPr>
          <w:sz w:val="18"/>
        </w:rPr>
        <w:t> </w:t>
      </w:r>
      <w:hyperlink r:id="rId72">
        <w:r>
          <w:rPr>
            <w:sz w:val="18"/>
          </w:rPr>
          <w:t>of the Ireland/Northern Ireland Protocol</w:t>
        </w:r>
      </w:hyperlink>
      <w:r>
        <w:rPr>
          <w:sz w:val="18"/>
        </w:rPr>
        <w:t>’ (ECNI, 2021).</w:t>
      </w:r>
    </w:p>
    <w:p>
      <w:pPr>
        <w:spacing w:after="0" w:line="235" w:lineRule="auto"/>
        <w:jc w:val="left"/>
        <w:rPr>
          <w:sz w:val="18"/>
        </w:rPr>
        <w:sectPr>
          <w:pgSz w:w="11910" w:h="16840"/>
          <w:pgMar w:header="496" w:footer="367" w:top="1220" w:bottom="560" w:left="0" w:right="0"/>
        </w:sectPr>
      </w:pPr>
    </w:p>
    <w:p>
      <w:pPr>
        <w:pStyle w:val="BodyText"/>
        <w:spacing w:before="212"/>
      </w:pPr>
    </w:p>
    <w:p>
      <w:pPr>
        <w:pStyle w:val="Heading5"/>
        <w:ind w:left="1133" w:firstLine="0"/>
      </w:pPr>
      <w:bookmarkStart w:name="_bookmark8" w:id="18"/>
      <w:bookmarkEnd w:id="18"/>
      <w:r>
        <w:rPr>
          <w:b w:val="0"/>
        </w:rPr>
      </w:r>
      <w:bookmarkStart w:name="UK Government" w:id="19"/>
      <w:bookmarkEnd w:id="19"/>
      <w:r>
        <w:rPr>
          <w:b w:val="0"/>
        </w:rPr>
      </w:r>
      <w:r>
        <w:rPr>
          <w:color w:val="393B80"/>
        </w:rPr>
        <w:t>UK</w:t>
      </w:r>
      <w:r>
        <w:rPr>
          <w:color w:val="393B80"/>
          <w:spacing w:val="-2"/>
        </w:rPr>
        <w:t> Government</w:t>
      </w:r>
    </w:p>
    <w:p>
      <w:pPr>
        <w:pStyle w:val="ListParagraph"/>
        <w:numPr>
          <w:ilvl w:val="1"/>
          <w:numId w:val="5"/>
        </w:numPr>
        <w:tabs>
          <w:tab w:pos="1853" w:val="left" w:leader="none"/>
        </w:tabs>
        <w:spacing w:line="225" w:lineRule="auto" w:before="331" w:after="0"/>
        <w:ind w:left="1853" w:right="1462" w:hanging="720"/>
        <w:jc w:val="left"/>
        <w:rPr>
          <w:sz w:val="28"/>
        </w:rPr>
      </w:pPr>
      <w:r>
        <w:rPr>
          <w:sz w:val="28"/>
        </w:rPr>
        <w:t>In 2022, the NI Office confirmed that it was working with colleagues across government to “consider mechanisms that could be put in place to ensure future</w:t>
      </w:r>
      <w:r>
        <w:rPr>
          <w:spacing w:val="-6"/>
          <w:sz w:val="28"/>
        </w:rPr>
        <w:t> </w:t>
      </w:r>
      <w:r>
        <w:rPr>
          <w:sz w:val="28"/>
        </w:rPr>
        <w:t>Bills</w:t>
      </w:r>
      <w:r>
        <w:rPr>
          <w:spacing w:val="-7"/>
          <w:sz w:val="28"/>
        </w:rPr>
        <w:t> </w:t>
      </w:r>
      <w:r>
        <w:rPr>
          <w:sz w:val="28"/>
        </w:rPr>
        <w:t>or</w:t>
      </w:r>
      <w:r>
        <w:rPr>
          <w:spacing w:val="-6"/>
          <w:sz w:val="28"/>
        </w:rPr>
        <w:t> </w:t>
      </w:r>
      <w:r>
        <w:rPr>
          <w:sz w:val="28"/>
        </w:rPr>
        <w:t>Statutory</w:t>
      </w:r>
      <w:r>
        <w:rPr>
          <w:spacing w:val="-6"/>
          <w:sz w:val="28"/>
        </w:rPr>
        <w:t> </w:t>
      </w:r>
      <w:r>
        <w:rPr>
          <w:sz w:val="28"/>
        </w:rPr>
        <w:t>Instruments</w:t>
      </w:r>
      <w:r>
        <w:rPr>
          <w:spacing w:val="-7"/>
          <w:sz w:val="28"/>
        </w:rPr>
        <w:t> </w:t>
      </w:r>
      <w:r>
        <w:rPr>
          <w:sz w:val="28"/>
        </w:rPr>
        <w:t>being</w:t>
      </w:r>
      <w:r>
        <w:rPr>
          <w:spacing w:val="-6"/>
          <w:sz w:val="28"/>
        </w:rPr>
        <w:t> </w:t>
      </w:r>
      <w:r>
        <w:rPr>
          <w:sz w:val="28"/>
        </w:rPr>
        <w:t>proposed</w:t>
      </w:r>
      <w:r>
        <w:rPr>
          <w:spacing w:val="-7"/>
          <w:sz w:val="28"/>
        </w:rPr>
        <w:t> </w:t>
      </w:r>
      <w:r>
        <w:rPr>
          <w:sz w:val="28"/>
        </w:rPr>
        <w:t>by</w:t>
      </w:r>
      <w:r>
        <w:rPr>
          <w:spacing w:val="-6"/>
          <w:sz w:val="28"/>
        </w:rPr>
        <w:t> </w:t>
      </w:r>
      <w:r>
        <w:rPr>
          <w:sz w:val="28"/>
        </w:rPr>
        <w:t>the</w:t>
      </w:r>
      <w:r>
        <w:rPr>
          <w:spacing w:val="-6"/>
          <w:sz w:val="28"/>
        </w:rPr>
        <w:t> </w:t>
      </w:r>
      <w:r>
        <w:rPr>
          <w:sz w:val="28"/>
        </w:rPr>
        <w:t>UK</w:t>
      </w:r>
      <w:r>
        <w:rPr>
          <w:spacing w:val="-6"/>
          <w:sz w:val="28"/>
        </w:rPr>
        <w:t> </w:t>
      </w:r>
      <w:r>
        <w:rPr>
          <w:sz w:val="28"/>
        </w:rPr>
        <w:t>Government do not diminish rights protected by [Windsor Framework] Article 2”.</w:t>
      </w:r>
      <w:r>
        <w:rPr>
          <w:spacing w:val="-24"/>
          <w:sz w:val="28"/>
        </w:rPr>
        <w:t> </w:t>
      </w:r>
      <w:r>
        <w:rPr>
          <w:sz w:val="28"/>
          <w:vertAlign w:val="superscript"/>
        </w:rPr>
        <w:t>55</w:t>
      </w:r>
    </w:p>
    <w:p>
      <w:pPr>
        <w:pStyle w:val="ListParagraph"/>
        <w:numPr>
          <w:ilvl w:val="1"/>
          <w:numId w:val="5"/>
        </w:numPr>
        <w:tabs>
          <w:tab w:pos="1853" w:val="left" w:leader="none"/>
        </w:tabs>
        <w:spacing w:line="225" w:lineRule="auto" w:before="314" w:after="0"/>
        <w:ind w:left="1853" w:right="1603" w:hanging="720"/>
        <w:jc w:val="left"/>
        <w:rPr>
          <w:sz w:val="28"/>
        </w:rPr>
      </w:pPr>
      <w:r>
        <w:rPr>
          <w:sz w:val="28"/>
        </w:rPr>
        <w:t>In 2022, UK Government confirmed that it would continue to submit Explanatory</w:t>
      </w:r>
      <w:r>
        <w:rPr>
          <w:spacing w:val="-6"/>
          <w:sz w:val="28"/>
        </w:rPr>
        <w:t> </w:t>
      </w:r>
      <w:r>
        <w:rPr>
          <w:sz w:val="28"/>
        </w:rPr>
        <w:t>Memoranda</w:t>
      </w:r>
      <w:r>
        <w:rPr>
          <w:spacing w:val="-7"/>
          <w:sz w:val="28"/>
        </w:rPr>
        <w:t> </w:t>
      </w:r>
      <w:r>
        <w:rPr>
          <w:sz w:val="28"/>
        </w:rPr>
        <w:t>on</w:t>
      </w:r>
      <w:r>
        <w:rPr>
          <w:spacing w:val="-7"/>
          <w:sz w:val="28"/>
        </w:rPr>
        <w:t> </w:t>
      </w:r>
      <w:r>
        <w:rPr>
          <w:sz w:val="28"/>
        </w:rPr>
        <w:t>EU</w:t>
      </w:r>
      <w:r>
        <w:rPr>
          <w:spacing w:val="-6"/>
          <w:sz w:val="28"/>
        </w:rPr>
        <w:t> </w:t>
      </w:r>
      <w:r>
        <w:rPr>
          <w:sz w:val="28"/>
        </w:rPr>
        <w:t>proposals</w:t>
      </w:r>
      <w:r>
        <w:rPr>
          <w:spacing w:val="-7"/>
          <w:sz w:val="28"/>
        </w:rPr>
        <w:t> </w:t>
      </w:r>
      <w:r>
        <w:rPr>
          <w:sz w:val="28"/>
        </w:rPr>
        <w:t>which</w:t>
      </w:r>
      <w:r>
        <w:rPr>
          <w:spacing w:val="-7"/>
          <w:sz w:val="28"/>
        </w:rPr>
        <w:t> </w:t>
      </w:r>
      <w:r>
        <w:rPr>
          <w:sz w:val="28"/>
        </w:rPr>
        <w:t>amend</w:t>
      </w:r>
      <w:r>
        <w:rPr>
          <w:spacing w:val="-7"/>
          <w:sz w:val="28"/>
        </w:rPr>
        <w:t> </w:t>
      </w:r>
      <w:r>
        <w:rPr>
          <w:sz w:val="28"/>
        </w:rPr>
        <w:t>or</w:t>
      </w:r>
      <w:r>
        <w:rPr>
          <w:spacing w:val="-6"/>
          <w:sz w:val="28"/>
        </w:rPr>
        <w:t> </w:t>
      </w:r>
      <w:r>
        <w:rPr>
          <w:sz w:val="28"/>
        </w:rPr>
        <w:t>replace</w:t>
      </w:r>
      <w:r>
        <w:rPr>
          <w:spacing w:val="-6"/>
          <w:sz w:val="28"/>
        </w:rPr>
        <w:t> </w:t>
      </w:r>
      <w:r>
        <w:rPr>
          <w:sz w:val="28"/>
        </w:rPr>
        <w:t>existing proposals that fall under scope of the Windsor Framework, including the Annex 1 equality directives as well as other EU legislation relevant to the provisions of Article 2.</w:t>
      </w:r>
      <w:r>
        <w:rPr>
          <w:sz w:val="28"/>
          <w:vertAlign w:val="superscript"/>
        </w:rPr>
        <w:t>56</w:t>
      </w:r>
    </w:p>
    <w:p>
      <w:pPr>
        <w:pStyle w:val="ListParagraph"/>
        <w:numPr>
          <w:ilvl w:val="1"/>
          <w:numId w:val="5"/>
        </w:numPr>
        <w:tabs>
          <w:tab w:pos="1853" w:val="left" w:leader="none"/>
        </w:tabs>
        <w:spacing w:line="225" w:lineRule="auto" w:before="314" w:after="0"/>
        <w:ind w:left="1853" w:right="1235" w:hanging="720"/>
        <w:jc w:val="left"/>
        <w:rPr>
          <w:sz w:val="28"/>
        </w:rPr>
      </w:pPr>
      <w:r>
        <w:rPr>
          <w:sz w:val="28"/>
        </w:rPr>
        <w:t>In</w:t>
      </w:r>
      <w:r>
        <w:rPr>
          <w:spacing w:val="-1"/>
          <w:sz w:val="28"/>
        </w:rPr>
        <w:t> </w:t>
      </w:r>
      <w:r>
        <w:rPr>
          <w:sz w:val="28"/>
        </w:rPr>
        <w:t>March</w:t>
      </w:r>
      <w:r>
        <w:rPr>
          <w:spacing w:val="-1"/>
          <w:sz w:val="28"/>
        </w:rPr>
        <w:t> </w:t>
      </w:r>
      <w:r>
        <w:rPr>
          <w:sz w:val="28"/>
        </w:rPr>
        <w:t>2023, in</w:t>
      </w:r>
      <w:r>
        <w:rPr>
          <w:spacing w:val="-1"/>
          <w:sz w:val="28"/>
        </w:rPr>
        <w:t> </w:t>
      </w:r>
      <w:r>
        <w:rPr>
          <w:sz w:val="28"/>
        </w:rPr>
        <w:t>response to</w:t>
      </w:r>
      <w:r>
        <w:rPr>
          <w:spacing w:val="-1"/>
          <w:sz w:val="28"/>
        </w:rPr>
        <w:t> </w:t>
      </w:r>
      <w:r>
        <w:rPr>
          <w:sz w:val="28"/>
        </w:rPr>
        <w:t>the chairs</w:t>
      </w:r>
      <w:r>
        <w:rPr>
          <w:spacing w:val="-1"/>
          <w:sz w:val="28"/>
        </w:rPr>
        <w:t> </w:t>
      </w:r>
      <w:r>
        <w:rPr>
          <w:sz w:val="28"/>
        </w:rPr>
        <w:t>of</w:t>
      </w:r>
      <w:r>
        <w:rPr>
          <w:spacing w:val="-1"/>
          <w:sz w:val="28"/>
        </w:rPr>
        <w:t> </w:t>
      </w:r>
      <w:r>
        <w:rPr>
          <w:sz w:val="28"/>
        </w:rPr>
        <w:t>four parliamentary Committees,</w:t>
      </w:r>
      <w:r>
        <w:rPr>
          <w:sz w:val="28"/>
          <w:vertAlign w:val="superscript"/>
        </w:rPr>
        <w:t>57</w:t>
      </w:r>
      <w:r>
        <w:rPr>
          <w:sz w:val="28"/>
          <w:vertAlign w:val="baseline"/>
        </w:rPr>
        <w:t> the Leader of the House of Commons, Penny Mordaunt MP, advised that updated Explanatory Memorandum guidance for statutory instruments has been circulated to departments to ensure consideration of compliance with Windsor</w:t>
      </w:r>
      <w:r>
        <w:rPr>
          <w:spacing w:val="-5"/>
          <w:sz w:val="28"/>
          <w:vertAlign w:val="baseline"/>
        </w:rPr>
        <w:t> </w:t>
      </w:r>
      <w:r>
        <w:rPr>
          <w:sz w:val="28"/>
          <w:vertAlign w:val="baseline"/>
        </w:rPr>
        <w:t>Framework</w:t>
      </w:r>
      <w:r>
        <w:rPr>
          <w:spacing w:val="-5"/>
          <w:sz w:val="28"/>
          <w:vertAlign w:val="baseline"/>
        </w:rPr>
        <w:t> </w:t>
      </w:r>
      <w:r>
        <w:rPr>
          <w:sz w:val="28"/>
          <w:vertAlign w:val="baseline"/>
        </w:rPr>
        <w:t>Article</w:t>
      </w:r>
      <w:r>
        <w:rPr>
          <w:spacing w:val="-5"/>
          <w:sz w:val="28"/>
          <w:vertAlign w:val="baseline"/>
        </w:rPr>
        <w:t> </w:t>
      </w:r>
      <w:r>
        <w:rPr>
          <w:sz w:val="28"/>
          <w:vertAlign w:val="baseline"/>
        </w:rPr>
        <w:t>2.</w:t>
      </w:r>
      <w:r>
        <w:rPr>
          <w:spacing w:val="-6"/>
          <w:sz w:val="28"/>
          <w:vertAlign w:val="baseline"/>
        </w:rPr>
        <w:t> </w:t>
      </w:r>
      <w:r>
        <w:rPr>
          <w:sz w:val="28"/>
          <w:vertAlign w:val="baseline"/>
        </w:rPr>
        <w:t>She</w:t>
      </w:r>
      <w:r>
        <w:rPr>
          <w:spacing w:val="-5"/>
          <w:sz w:val="28"/>
          <w:vertAlign w:val="baseline"/>
        </w:rPr>
        <w:t> </w:t>
      </w:r>
      <w:r>
        <w:rPr>
          <w:sz w:val="28"/>
          <w:vertAlign w:val="baseline"/>
        </w:rPr>
        <w:t>further</w:t>
      </w:r>
      <w:r>
        <w:rPr>
          <w:spacing w:val="-5"/>
          <w:sz w:val="28"/>
          <w:vertAlign w:val="baseline"/>
        </w:rPr>
        <w:t> </w:t>
      </w:r>
      <w:r>
        <w:rPr>
          <w:sz w:val="28"/>
          <w:vertAlign w:val="baseline"/>
        </w:rPr>
        <w:t>advised</w:t>
      </w:r>
      <w:r>
        <w:rPr>
          <w:spacing w:val="-6"/>
          <w:sz w:val="28"/>
          <w:vertAlign w:val="baseline"/>
        </w:rPr>
        <w:t> </w:t>
      </w:r>
      <w:r>
        <w:rPr>
          <w:sz w:val="28"/>
          <w:vertAlign w:val="baseline"/>
        </w:rPr>
        <w:t>that</w:t>
      </w:r>
      <w:r>
        <w:rPr>
          <w:spacing w:val="-5"/>
          <w:sz w:val="28"/>
          <w:vertAlign w:val="baseline"/>
        </w:rPr>
        <w:t> </w:t>
      </w:r>
      <w:r>
        <w:rPr>
          <w:sz w:val="28"/>
          <w:vertAlign w:val="baseline"/>
        </w:rPr>
        <w:t>the</w:t>
      </w:r>
      <w:r>
        <w:rPr>
          <w:spacing w:val="-5"/>
          <w:sz w:val="28"/>
          <w:vertAlign w:val="baseline"/>
        </w:rPr>
        <w:t> </w:t>
      </w:r>
      <w:r>
        <w:rPr>
          <w:sz w:val="28"/>
          <w:vertAlign w:val="baseline"/>
        </w:rPr>
        <w:t>next</w:t>
      </w:r>
      <w:r>
        <w:rPr>
          <w:spacing w:val="-5"/>
          <w:sz w:val="28"/>
          <w:vertAlign w:val="baseline"/>
        </w:rPr>
        <w:t> </w:t>
      </w:r>
      <w:r>
        <w:rPr>
          <w:sz w:val="28"/>
          <w:vertAlign w:val="baseline"/>
        </w:rPr>
        <w:t>update</w:t>
      </w:r>
      <w:r>
        <w:rPr>
          <w:spacing w:val="-5"/>
          <w:sz w:val="28"/>
          <w:vertAlign w:val="baseline"/>
        </w:rPr>
        <w:t> </w:t>
      </w:r>
      <w:r>
        <w:rPr>
          <w:sz w:val="28"/>
          <w:vertAlign w:val="baseline"/>
        </w:rPr>
        <w:t>of</w:t>
      </w:r>
      <w:r>
        <w:rPr>
          <w:spacing w:val="-6"/>
          <w:sz w:val="28"/>
          <w:vertAlign w:val="baseline"/>
        </w:rPr>
        <w:t> </w:t>
      </w:r>
      <w:r>
        <w:rPr>
          <w:sz w:val="28"/>
          <w:vertAlign w:val="baseline"/>
        </w:rPr>
        <w:t>the Guide to Making Legislation</w:t>
      </w:r>
      <w:r>
        <w:rPr>
          <w:sz w:val="28"/>
          <w:vertAlign w:val="superscript"/>
        </w:rPr>
        <w:t>58</w:t>
      </w:r>
      <w:r>
        <w:rPr>
          <w:sz w:val="28"/>
          <w:vertAlign w:val="baseline"/>
        </w:rPr>
        <w:t> would reference the importance of compliance with Article 2.</w:t>
      </w:r>
      <w:r>
        <w:rPr>
          <w:sz w:val="28"/>
          <w:vertAlign w:val="superscript"/>
        </w:rPr>
        <w:t>59</w:t>
      </w:r>
    </w:p>
    <w:p>
      <w:pPr>
        <w:pStyle w:val="ListParagraph"/>
        <w:numPr>
          <w:ilvl w:val="1"/>
          <w:numId w:val="5"/>
        </w:numPr>
        <w:tabs>
          <w:tab w:pos="1853" w:val="left" w:leader="none"/>
        </w:tabs>
        <w:spacing w:line="225" w:lineRule="auto" w:before="311" w:after="0"/>
        <w:ind w:left="1853" w:right="1267" w:hanging="720"/>
        <w:jc w:val="left"/>
        <w:rPr>
          <w:sz w:val="28"/>
        </w:rPr>
      </w:pPr>
      <w:r>
        <w:rPr>
          <w:sz w:val="28"/>
        </w:rPr>
        <w:t>In</w:t>
      </w:r>
      <w:r>
        <w:rPr>
          <w:spacing w:val="-6"/>
          <w:sz w:val="28"/>
        </w:rPr>
        <w:t> </w:t>
      </w:r>
      <w:r>
        <w:rPr>
          <w:sz w:val="28"/>
        </w:rPr>
        <w:t>January</w:t>
      </w:r>
      <w:r>
        <w:rPr>
          <w:spacing w:val="-5"/>
          <w:sz w:val="28"/>
        </w:rPr>
        <w:t> </w:t>
      </w:r>
      <w:r>
        <w:rPr>
          <w:sz w:val="28"/>
        </w:rPr>
        <w:t>2024,</w:t>
      </w:r>
      <w:r>
        <w:rPr>
          <w:spacing w:val="-5"/>
          <w:sz w:val="28"/>
        </w:rPr>
        <w:t> </w:t>
      </w:r>
      <w:r>
        <w:rPr>
          <w:sz w:val="28"/>
        </w:rPr>
        <w:t>the</w:t>
      </w:r>
      <w:r>
        <w:rPr>
          <w:spacing w:val="-5"/>
          <w:sz w:val="28"/>
        </w:rPr>
        <w:t> </w:t>
      </w:r>
      <w:r>
        <w:rPr>
          <w:sz w:val="28"/>
        </w:rPr>
        <w:t>Cabinet</w:t>
      </w:r>
      <w:r>
        <w:rPr>
          <w:spacing w:val="-5"/>
          <w:sz w:val="28"/>
        </w:rPr>
        <w:t> </w:t>
      </w:r>
      <w:r>
        <w:rPr>
          <w:sz w:val="28"/>
        </w:rPr>
        <w:t>Office</w:t>
      </w:r>
      <w:r>
        <w:rPr>
          <w:spacing w:val="-5"/>
          <w:sz w:val="28"/>
        </w:rPr>
        <w:t> </w:t>
      </w:r>
      <w:r>
        <w:rPr>
          <w:sz w:val="28"/>
        </w:rPr>
        <w:t>published</w:t>
      </w:r>
      <w:r>
        <w:rPr>
          <w:spacing w:val="-6"/>
          <w:sz w:val="28"/>
        </w:rPr>
        <w:t> </w:t>
      </w:r>
      <w:r>
        <w:rPr>
          <w:sz w:val="28"/>
        </w:rPr>
        <w:t>updated</w:t>
      </w:r>
      <w:r>
        <w:rPr>
          <w:spacing w:val="-6"/>
          <w:sz w:val="28"/>
        </w:rPr>
        <w:t> </w:t>
      </w:r>
      <w:r>
        <w:rPr>
          <w:sz w:val="28"/>
        </w:rPr>
        <w:t>guidance</w:t>
      </w:r>
      <w:r>
        <w:rPr>
          <w:spacing w:val="-5"/>
          <w:sz w:val="28"/>
        </w:rPr>
        <w:t> </w:t>
      </w:r>
      <w:r>
        <w:rPr>
          <w:sz w:val="28"/>
        </w:rPr>
        <w:t>on</w:t>
      </w:r>
      <w:r>
        <w:rPr>
          <w:spacing w:val="-6"/>
          <w:sz w:val="28"/>
        </w:rPr>
        <w:t> </w:t>
      </w:r>
      <w:r>
        <w:rPr>
          <w:sz w:val="28"/>
        </w:rPr>
        <w:t>preparing explanatory memoranda for statutory instruments which advises that where legislation may have interactions with Windsor Framework Article 2 contact should be made with the Windsor Framework Taskforce in the Cabinet Office.</w:t>
      </w:r>
      <w:r>
        <w:rPr>
          <w:sz w:val="28"/>
          <w:vertAlign w:val="superscript"/>
        </w:rPr>
        <w:t>60</w:t>
      </w:r>
      <w:r>
        <w:rPr>
          <w:sz w:val="28"/>
          <w:vertAlign w:val="baseline"/>
        </w:rPr>
        <w:t> In January, the Home Office also updated its factsheet on the Safety of Rwanda (Asylum and Immigration) Bill to address the application of the</w:t>
      </w:r>
    </w:p>
    <w:p>
      <w:pPr>
        <w:pStyle w:val="BodyText"/>
        <w:spacing w:line="225" w:lineRule="auto"/>
        <w:ind w:left="1853" w:right="1171"/>
      </w:pPr>
      <w:r>
        <w:rPr/>
        <w:t>Bill</w:t>
      </w:r>
      <w:r>
        <w:rPr>
          <w:spacing w:val="-5"/>
        </w:rPr>
        <w:t> </w:t>
      </w:r>
      <w:r>
        <w:rPr/>
        <w:t>in</w:t>
      </w:r>
      <w:r>
        <w:rPr>
          <w:spacing w:val="-5"/>
        </w:rPr>
        <w:t> </w:t>
      </w:r>
      <w:r>
        <w:rPr/>
        <w:t>NI,</w:t>
      </w:r>
      <w:r>
        <w:rPr>
          <w:spacing w:val="-4"/>
        </w:rPr>
        <w:t> </w:t>
      </w:r>
      <w:r>
        <w:rPr/>
        <w:t>but</w:t>
      </w:r>
      <w:r>
        <w:rPr>
          <w:spacing w:val="-4"/>
        </w:rPr>
        <w:t> </w:t>
      </w:r>
      <w:r>
        <w:rPr/>
        <w:t>this</w:t>
      </w:r>
      <w:r>
        <w:rPr>
          <w:spacing w:val="-5"/>
        </w:rPr>
        <w:t> </w:t>
      </w:r>
      <w:r>
        <w:rPr/>
        <w:t>dismissed</w:t>
      </w:r>
      <w:r>
        <w:rPr>
          <w:spacing w:val="-5"/>
        </w:rPr>
        <w:t> </w:t>
      </w:r>
      <w:r>
        <w:rPr/>
        <w:t>the</w:t>
      </w:r>
      <w:r>
        <w:rPr>
          <w:spacing w:val="-4"/>
        </w:rPr>
        <w:t> </w:t>
      </w:r>
      <w:r>
        <w:rPr/>
        <w:t>relevance</w:t>
      </w:r>
      <w:r>
        <w:rPr>
          <w:spacing w:val="-4"/>
        </w:rPr>
        <w:t> </w:t>
      </w:r>
      <w:r>
        <w:rPr/>
        <w:t>of</w:t>
      </w:r>
      <w:r>
        <w:rPr>
          <w:spacing w:val="-5"/>
        </w:rPr>
        <w:t> </w:t>
      </w:r>
      <w:r>
        <w:rPr/>
        <w:t>Windsor</w:t>
      </w:r>
      <w:r>
        <w:rPr>
          <w:spacing w:val="-4"/>
        </w:rPr>
        <w:t> </w:t>
      </w:r>
      <w:r>
        <w:rPr/>
        <w:t>Framework</w:t>
      </w:r>
      <w:r>
        <w:rPr>
          <w:spacing w:val="-4"/>
        </w:rPr>
        <w:t> </w:t>
      </w:r>
      <w:r>
        <w:rPr/>
        <w:t>Article</w:t>
      </w:r>
      <w:r>
        <w:rPr>
          <w:spacing w:val="-4"/>
        </w:rPr>
        <w:t> </w:t>
      </w:r>
      <w:r>
        <w:rPr/>
        <w:t>2 without detailed consideration.</w:t>
      </w:r>
      <w:r>
        <w:rPr>
          <w:vertAlign w:val="superscript"/>
        </w:rPr>
        <w:t>61</w:t>
      </w:r>
    </w:p>
    <w:p>
      <w:pPr>
        <w:pStyle w:val="ListParagraph"/>
        <w:numPr>
          <w:ilvl w:val="1"/>
          <w:numId w:val="5"/>
        </w:numPr>
        <w:tabs>
          <w:tab w:pos="1853" w:val="left" w:leader="none"/>
        </w:tabs>
        <w:spacing w:line="225" w:lineRule="auto" w:before="310" w:after="0"/>
        <w:ind w:left="1853" w:right="1500" w:hanging="720"/>
        <w:jc w:val="left"/>
        <w:rPr>
          <w:sz w:val="28"/>
        </w:rPr>
      </w:pPr>
      <w:r>
        <w:rPr>
          <w:sz w:val="28"/>
        </w:rPr>
        <w:t>That same month, the UK Government published its Command Paper on Safeguarding</w:t>
      </w:r>
      <w:r>
        <w:rPr>
          <w:spacing w:val="-7"/>
          <w:sz w:val="28"/>
        </w:rPr>
        <w:t> </w:t>
      </w:r>
      <w:r>
        <w:rPr>
          <w:sz w:val="28"/>
        </w:rPr>
        <w:t>the</w:t>
      </w:r>
      <w:r>
        <w:rPr>
          <w:spacing w:val="-7"/>
          <w:sz w:val="28"/>
        </w:rPr>
        <w:t> </w:t>
      </w:r>
      <w:r>
        <w:rPr>
          <w:sz w:val="28"/>
        </w:rPr>
        <w:t>Union,</w:t>
      </w:r>
      <w:r>
        <w:rPr>
          <w:spacing w:val="-7"/>
          <w:sz w:val="28"/>
        </w:rPr>
        <w:t> </w:t>
      </w:r>
      <w:r>
        <w:rPr>
          <w:sz w:val="28"/>
        </w:rPr>
        <w:t>which</w:t>
      </w:r>
      <w:r>
        <w:rPr>
          <w:spacing w:val="-8"/>
          <w:sz w:val="28"/>
        </w:rPr>
        <w:t> </w:t>
      </w:r>
      <w:r>
        <w:rPr>
          <w:sz w:val="28"/>
        </w:rPr>
        <w:t>states</w:t>
      </w:r>
      <w:r>
        <w:rPr>
          <w:spacing w:val="-8"/>
          <w:sz w:val="28"/>
        </w:rPr>
        <w:t> </w:t>
      </w:r>
      <w:r>
        <w:rPr>
          <w:sz w:val="28"/>
        </w:rPr>
        <w:t>that</w:t>
      </w:r>
      <w:r>
        <w:rPr>
          <w:spacing w:val="-7"/>
          <w:sz w:val="28"/>
        </w:rPr>
        <w:t> </w:t>
      </w:r>
      <w:r>
        <w:rPr>
          <w:sz w:val="28"/>
        </w:rPr>
        <w:t>“the</w:t>
      </w:r>
      <w:r>
        <w:rPr>
          <w:spacing w:val="-7"/>
          <w:sz w:val="28"/>
        </w:rPr>
        <w:t> </w:t>
      </w:r>
      <w:r>
        <w:rPr>
          <w:sz w:val="28"/>
        </w:rPr>
        <w:t>Windsor</w:t>
      </w:r>
      <w:r>
        <w:rPr>
          <w:spacing w:val="-7"/>
          <w:sz w:val="28"/>
        </w:rPr>
        <w:t> </w:t>
      </w:r>
      <w:r>
        <w:rPr>
          <w:sz w:val="28"/>
        </w:rPr>
        <w:t>Framework</w:t>
      </w:r>
      <w:r>
        <w:rPr>
          <w:spacing w:val="-7"/>
          <w:sz w:val="28"/>
        </w:rPr>
        <w:t> </w:t>
      </w:r>
      <w:r>
        <w:rPr>
          <w:sz w:val="28"/>
        </w:rPr>
        <w:t>applies</w:t>
      </w:r>
    </w:p>
    <w:p>
      <w:pPr>
        <w:pStyle w:val="BodyText"/>
        <w:spacing w:before="18"/>
        <w:rPr>
          <w:sz w:val="20"/>
        </w:rPr>
      </w:pPr>
      <w:r>
        <w:rPr/>
        <mc:AlternateContent>
          <mc:Choice Requires="wps">
            <w:drawing>
              <wp:anchor distT="0" distB="0" distL="0" distR="0" allowOverlap="1" layoutInCell="1" locked="0" behindDoc="1" simplePos="0" relativeHeight="487628288">
                <wp:simplePos x="0" y="0"/>
                <wp:positionH relativeFrom="page">
                  <wp:posOffset>719996</wp:posOffset>
                </wp:positionH>
                <wp:positionV relativeFrom="paragraph">
                  <wp:posOffset>182164</wp:posOffset>
                </wp:positionV>
                <wp:extent cx="6120130" cy="1270"/>
                <wp:effectExtent l="0" t="0" r="0" b="0"/>
                <wp:wrapTopAndBottom/>
                <wp:docPr id="143" name="Graphic 143"/>
                <wp:cNvGraphicFramePr>
                  <a:graphicFrameLocks/>
                </wp:cNvGraphicFramePr>
                <a:graphic>
                  <a:graphicData uri="http://schemas.microsoft.com/office/word/2010/wordprocessingShape">
                    <wps:wsp>
                      <wps:cNvPr id="143" name="Graphic 143"/>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4.343631pt;width:481.9pt;height:.1pt;mso-position-horizontal-relative:page;mso-position-vertical-relative:paragraph;z-index:-15688192;mso-wrap-distance-left:0;mso-wrap-distance-right:0" id="docshape100" coordorigin="1134,287" coordsize="9638,0" path="m10772,287l1134,287e" filled="false" stroked="true" strokeweight="1pt" strokecolor="#393b80">
                <v:path arrowok="t"/>
                <v:stroke dashstyle="solid"/>
                <w10:wrap type="topAndBottom"/>
              </v:shape>
            </w:pict>
          </mc:Fallback>
        </mc:AlternateContent>
      </w:r>
    </w:p>
    <w:p>
      <w:pPr>
        <w:pStyle w:val="ListParagraph"/>
        <w:numPr>
          <w:ilvl w:val="0"/>
          <w:numId w:val="3"/>
        </w:numPr>
        <w:tabs>
          <w:tab w:pos="1853" w:val="left" w:leader="none"/>
        </w:tabs>
        <w:spacing w:line="235" w:lineRule="auto" w:before="153" w:after="0"/>
        <w:ind w:left="1853" w:right="1259" w:hanging="720"/>
        <w:jc w:val="left"/>
        <w:rPr>
          <w:sz w:val="18"/>
        </w:rPr>
      </w:pPr>
      <w:r>
        <w:rPr>
          <w:sz w:val="18"/>
        </w:rPr>
        <w:t>Letter</w:t>
      </w:r>
      <w:r>
        <w:rPr>
          <w:spacing w:val="-3"/>
          <w:sz w:val="18"/>
        </w:rPr>
        <w:t> </w:t>
      </w:r>
      <w:r>
        <w:rPr>
          <w:sz w:val="18"/>
        </w:rPr>
        <w:t>from</w:t>
      </w:r>
      <w:r>
        <w:rPr>
          <w:spacing w:val="-3"/>
          <w:sz w:val="18"/>
        </w:rPr>
        <w:t> </w:t>
      </w:r>
      <w:r>
        <w:rPr>
          <w:sz w:val="18"/>
        </w:rPr>
        <w:t>the</w:t>
      </w:r>
      <w:r>
        <w:rPr>
          <w:spacing w:val="-3"/>
          <w:sz w:val="18"/>
        </w:rPr>
        <w:t> </w:t>
      </w:r>
      <w:r>
        <w:rPr>
          <w:sz w:val="18"/>
        </w:rPr>
        <w:t>Minister</w:t>
      </w:r>
      <w:r>
        <w:rPr>
          <w:spacing w:val="-3"/>
          <w:sz w:val="18"/>
        </w:rPr>
        <w:t> </w:t>
      </w:r>
      <w:r>
        <w:rPr>
          <w:sz w:val="18"/>
        </w:rPr>
        <w:t>of</w:t>
      </w:r>
      <w:r>
        <w:rPr>
          <w:spacing w:val="-4"/>
          <w:sz w:val="18"/>
        </w:rPr>
        <w:t> </w:t>
      </w:r>
      <w:r>
        <w:rPr>
          <w:sz w:val="18"/>
        </w:rPr>
        <w:t>State</w:t>
      </w:r>
      <w:r>
        <w:rPr>
          <w:spacing w:val="-3"/>
          <w:sz w:val="18"/>
        </w:rPr>
        <w:t> </w:t>
      </w:r>
      <w:r>
        <w:rPr>
          <w:sz w:val="18"/>
        </w:rPr>
        <w:t>for</w:t>
      </w:r>
      <w:r>
        <w:rPr>
          <w:spacing w:val="-3"/>
          <w:sz w:val="18"/>
        </w:rPr>
        <w:t> </w:t>
      </w:r>
      <w:r>
        <w:rPr>
          <w:sz w:val="18"/>
        </w:rPr>
        <w:t>NI</w:t>
      </w:r>
      <w:r>
        <w:rPr>
          <w:spacing w:val="-3"/>
          <w:sz w:val="18"/>
        </w:rPr>
        <w:t> </w:t>
      </w:r>
      <w:r>
        <w:rPr>
          <w:sz w:val="18"/>
        </w:rPr>
        <w:t>to</w:t>
      </w:r>
      <w:r>
        <w:rPr>
          <w:spacing w:val="-4"/>
          <w:sz w:val="18"/>
        </w:rPr>
        <w:t> </w:t>
      </w:r>
      <w:r>
        <w:rPr>
          <w:sz w:val="18"/>
        </w:rPr>
        <w:t>the</w:t>
      </w:r>
      <w:r>
        <w:rPr>
          <w:spacing w:val="-3"/>
          <w:sz w:val="18"/>
        </w:rPr>
        <w:t> </w:t>
      </w: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and</w:t>
      </w:r>
      <w:r>
        <w:rPr>
          <w:spacing w:val="-4"/>
          <w:sz w:val="18"/>
        </w:rPr>
        <w:t> </w:t>
      </w:r>
      <w:r>
        <w:rPr>
          <w:sz w:val="18"/>
        </w:rPr>
        <w:t>Equality</w:t>
      </w:r>
      <w:r>
        <w:rPr>
          <w:spacing w:val="-3"/>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1</w:t>
      </w:r>
      <w:r>
        <w:rPr>
          <w:spacing w:val="-3"/>
          <w:sz w:val="18"/>
        </w:rPr>
        <w:t> </w:t>
      </w:r>
      <w:r>
        <w:rPr>
          <w:sz w:val="18"/>
        </w:rPr>
        <w:t>December </w:t>
      </w:r>
      <w:r>
        <w:rPr>
          <w:spacing w:val="-2"/>
          <w:sz w:val="18"/>
        </w:rPr>
        <w:t>2022.</w:t>
      </w:r>
    </w:p>
    <w:p>
      <w:pPr>
        <w:pStyle w:val="ListParagraph"/>
        <w:numPr>
          <w:ilvl w:val="0"/>
          <w:numId w:val="3"/>
        </w:numPr>
        <w:tabs>
          <w:tab w:pos="1853" w:val="left" w:leader="none"/>
        </w:tabs>
        <w:spacing w:line="235" w:lineRule="auto" w:before="1" w:after="0"/>
        <w:ind w:left="1853" w:right="1285" w:hanging="720"/>
        <w:jc w:val="left"/>
        <w:rPr>
          <w:sz w:val="18"/>
        </w:rPr>
      </w:pPr>
      <w:r>
        <w:rPr>
          <w:sz w:val="18"/>
        </w:rPr>
        <w:t>UK Government, ‘</w:t>
      </w:r>
      <w:hyperlink r:id="rId73">
        <w:r>
          <w:rPr>
            <w:sz w:val="18"/>
          </w:rPr>
          <w:t>Government response</w:t>
        </w:r>
      </w:hyperlink>
      <w:r>
        <w:rPr>
          <w:sz w:val="18"/>
        </w:rPr>
        <w:t> to the Sub-Committee on the Protocol on Ireland/Northern Ireland’s report Scrutiny</w:t>
      </w:r>
      <w:r>
        <w:rPr>
          <w:spacing w:val="-4"/>
          <w:sz w:val="18"/>
        </w:rPr>
        <w:t> </w:t>
      </w:r>
      <w:r>
        <w:rPr>
          <w:sz w:val="18"/>
        </w:rPr>
        <w:t>of</w:t>
      </w:r>
      <w:r>
        <w:rPr>
          <w:spacing w:val="-5"/>
          <w:sz w:val="18"/>
        </w:rPr>
        <w:t> </w:t>
      </w:r>
      <w:r>
        <w:rPr>
          <w:sz w:val="18"/>
        </w:rPr>
        <w:t>EU</w:t>
      </w:r>
      <w:r>
        <w:rPr>
          <w:spacing w:val="-4"/>
          <w:sz w:val="18"/>
        </w:rPr>
        <w:t> </w:t>
      </w:r>
      <w:r>
        <w:rPr>
          <w:sz w:val="18"/>
        </w:rPr>
        <w:t>legislative</w:t>
      </w:r>
      <w:r>
        <w:rPr>
          <w:spacing w:val="-4"/>
          <w:sz w:val="18"/>
        </w:rPr>
        <w:t> </w:t>
      </w:r>
      <w:r>
        <w:rPr>
          <w:sz w:val="18"/>
        </w:rPr>
        <w:t>proposals</w:t>
      </w:r>
      <w:r>
        <w:rPr>
          <w:spacing w:val="-5"/>
          <w:sz w:val="18"/>
        </w:rPr>
        <w:t> </w:t>
      </w:r>
      <w:r>
        <w:rPr>
          <w:sz w:val="18"/>
        </w:rPr>
        <w:t>within</w:t>
      </w:r>
      <w:r>
        <w:rPr>
          <w:spacing w:val="-5"/>
          <w:sz w:val="18"/>
        </w:rPr>
        <w:t> </w:t>
      </w:r>
      <w:r>
        <w:rPr>
          <w:sz w:val="18"/>
        </w:rPr>
        <w:t>the</w:t>
      </w:r>
      <w:r>
        <w:rPr>
          <w:spacing w:val="-4"/>
          <w:sz w:val="18"/>
        </w:rPr>
        <w:t> </w:t>
      </w:r>
      <w:r>
        <w:rPr>
          <w:sz w:val="18"/>
        </w:rPr>
        <w:t>scope</w:t>
      </w:r>
      <w:r>
        <w:rPr>
          <w:spacing w:val="-4"/>
          <w:sz w:val="18"/>
        </w:rPr>
        <w:t> </w:t>
      </w:r>
      <w:r>
        <w:rPr>
          <w:sz w:val="18"/>
        </w:rPr>
        <w:t>of</w:t>
      </w:r>
      <w:r>
        <w:rPr>
          <w:spacing w:val="-5"/>
          <w:sz w:val="18"/>
        </w:rPr>
        <w:t> </w:t>
      </w:r>
      <w:r>
        <w:rPr>
          <w:sz w:val="18"/>
        </w:rPr>
        <w:t>the</w:t>
      </w:r>
      <w:r>
        <w:rPr>
          <w:spacing w:val="-4"/>
          <w:sz w:val="18"/>
        </w:rPr>
        <w:t> </w:t>
      </w:r>
      <w:r>
        <w:rPr>
          <w:sz w:val="18"/>
        </w:rPr>
        <w:t>Protocol</w:t>
      </w:r>
      <w:r>
        <w:rPr>
          <w:spacing w:val="-5"/>
          <w:sz w:val="18"/>
        </w:rPr>
        <w:t> </w:t>
      </w:r>
      <w:r>
        <w:rPr>
          <w:sz w:val="18"/>
        </w:rPr>
        <w:t>on</w:t>
      </w:r>
      <w:r>
        <w:rPr>
          <w:spacing w:val="-5"/>
          <w:sz w:val="18"/>
        </w:rPr>
        <w:t> </w:t>
      </w:r>
      <w:r>
        <w:rPr>
          <w:sz w:val="18"/>
        </w:rPr>
        <w:t>Ireland/Northern</w:t>
      </w:r>
      <w:r>
        <w:rPr>
          <w:spacing w:val="-5"/>
          <w:sz w:val="18"/>
        </w:rPr>
        <w:t> </w:t>
      </w:r>
      <w:r>
        <w:rPr>
          <w:sz w:val="18"/>
        </w:rPr>
        <w:t>Ireland’</w:t>
      </w:r>
      <w:r>
        <w:rPr>
          <w:spacing w:val="-4"/>
          <w:sz w:val="18"/>
        </w:rPr>
        <w:t> </w:t>
      </w:r>
      <w:r>
        <w:rPr>
          <w:sz w:val="18"/>
        </w:rPr>
        <w:t>(UK</w:t>
      </w:r>
      <w:r>
        <w:rPr>
          <w:spacing w:val="-4"/>
          <w:sz w:val="18"/>
        </w:rPr>
        <w:t> </w:t>
      </w:r>
      <w:r>
        <w:rPr>
          <w:sz w:val="18"/>
        </w:rPr>
        <w:t>Gov,</w:t>
      </w:r>
      <w:r>
        <w:rPr>
          <w:spacing w:val="-4"/>
          <w:sz w:val="18"/>
        </w:rPr>
        <w:t> </w:t>
      </w:r>
      <w:r>
        <w:rPr>
          <w:sz w:val="18"/>
        </w:rPr>
        <w:t>2022),</w:t>
      </w:r>
      <w:r>
        <w:rPr>
          <w:spacing w:val="-4"/>
          <w:sz w:val="18"/>
        </w:rPr>
        <w:t> </w:t>
      </w:r>
      <w:r>
        <w:rPr>
          <w:sz w:val="18"/>
        </w:rPr>
        <w:t>at</w:t>
      </w:r>
      <w:r>
        <w:rPr>
          <w:spacing w:val="-4"/>
          <w:sz w:val="18"/>
        </w:rPr>
        <w:t> </w:t>
      </w:r>
      <w:r>
        <w:rPr>
          <w:sz w:val="18"/>
        </w:rPr>
        <w:t>para 15;</w:t>
      </w:r>
      <w:r>
        <w:rPr>
          <w:spacing w:val="-3"/>
          <w:sz w:val="18"/>
        </w:rPr>
        <w:t> </w:t>
      </w:r>
      <w:r>
        <w:rPr>
          <w:sz w:val="18"/>
        </w:rPr>
        <w:t>House</w:t>
      </w:r>
      <w:r>
        <w:rPr>
          <w:spacing w:val="-3"/>
          <w:sz w:val="18"/>
        </w:rPr>
        <w:t> </w:t>
      </w:r>
      <w:r>
        <w:rPr>
          <w:sz w:val="18"/>
        </w:rPr>
        <w:t>of</w:t>
      </w:r>
      <w:r>
        <w:rPr>
          <w:spacing w:val="-4"/>
          <w:sz w:val="18"/>
        </w:rPr>
        <w:t> </w:t>
      </w:r>
      <w:r>
        <w:rPr>
          <w:sz w:val="18"/>
        </w:rPr>
        <w:t>Lords</w:t>
      </w:r>
      <w:r>
        <w:rPr>
          <w:spacing w:val="-4"/>
          <w:sz w:val="18"/>
        </w:rPr>
        <w:t> </w:t>
      </w:r>
      <w:r>
        <w:rPr>
          <w:sz w:val="18"/>
        </w:rPr>
        <w:t>European</w:t>
      </w:r>
      <w:r>
        <w:rPr>
          <w:spacing w:val="-4"/>
          <w:sz w:val="18"/>
        </w:rPr>
        <w:t> </w:t>
      </w:r>
      <w:r>
        <w:rPr>
          <w:sz w:val="18"/>
        </w:rPr>
        <w:t>Affairs</w:t>
      </w:r>
      <w:r>
        <w:rPr>
          <w:spacing w:val="-4"/>
          <w:sz w:val="18"/>
        </w:rPr>
        <w:t> </w:t>
      </w:r>
      <w:r>
        <w:rPr>
          <w:sz w:val="18"/>
        </w:rPr>
        <w:t>Committee,</w:t>
      </w:r>
      <w:r>
        <w:rPr>
          <w:spacing w:val="-3"/>
          <w:sz w:val="18"/>
        </w:rPr>
        <w:t> </w:t>
      </w:r>
      <w:r>
        <w:rPr>
          <w:sz w:val="18"/>
        </w:rPr>
        <w:t>‘5</w:t>
      </w:r>
      <w:r>
        <w:rPr>
          <w:sz w:val="18"/>
          <w:vertAlign w:val="superscript"/>
        </w:rPr>
        <w:t>th</w:t>
      </w:r>
      <w:r>
        <w:rPr>
          <w:spacing w:val="-3"/>
          <w:sz w:val="18"/>
          <w:vertAlign w:val="baseline"/>
        </w:rPr>
        <w:t> </w:t>
      </w:r>
      <w:r>
        <w:rPr>
          <w:sz w:val="18"/>
          <w:vertAlign w:val="baseline"/>
        </w:rPr>
        <w:t>Report</w:t>
      </w:r>
      <w:r>
        <w:rPr>
          <w:spacing w:val="-3"/>
          <w:sz w:val="18"/>
          <w:vertAlign w:val="baseline"/>
        </w:rPr>
        <w:t> </w:t>
      </w:r>
      <w:r>
        <w:rPr>
          <w:sz w:val="18"/>
          <w:vertAlign w:val="baseline"/>
        </w:rPr>
        <w:t>of</w:t>
      </w:r>
      <w:r>
        <w:rPr>
          <w:spacing w:val="-4"/>
          <w:sz w:val="18"/>
          <w:vertAlign w:val="baseline"/>
        </w:rPr>
        <w:t> </w:t>
      </w:r>
      <w:r>
        <w:rPr>
          <w:sz w:val="18"/>
          <w:vertAlign w:val="baseline"/>
        </w:rPr>
        <w:t>Session</w:t>
      </w:r>
      <w:r>
        <w:rPr>
          <w:spacing w:val="-4"/>
          <w:sz w:val="18"/>
          <w:vertAlign w:val="baseline"/>
        </w:rPr>
        <w:t> </w:t>
      </w:r>
      <w:r>
        <w:rPr>
          <w:sz w:val="18"/>
          <w:vertAlign w:val="baseline"/>
        </w:rPr>
        <w:t>2021-22</w:t>
      </w:r>
      <w:r>
        <w:rPr>
          <w:spacing w:val="-3"/>
          <w:sz w:val="18"/>
          <w:vertAlign w:val="baseline"/>
        </w:rPr>
        <w:t> </w:t>
      </w:r>
      <w:r>
        <w:rPr>
          <w:sz w:val="18"/>
          <w:vertAlign w:val="baseline"/>
        </w:rPr>
        <w:t>-</w:t>
      </w:r>
      <w:r>
        <w:rPr>
          <w:spacing w:val="-3"/>
          <w:sz w:val="18"/>
          <w:vertAlign w:val="baseline"/>
        </w:rPr>
        <w:t> </w:t>
      </w:r>
      <w:hyperlink r:id="rId74">
        <w:r>
          <w:rPr>
            <w:sz w:val="18"/>
            <w:vertAlign w:val="baseline"/>
          </w:rPr>
          <w:t>Report</w:t>
        </w:r>
        <w:r>
          <w:rPr>
            <w:spacing w:val="-3"/>
            <w:sz w:val="18"/>
            <w:vertAlign w:val="baseline"/>
          </w:rPr>
          <w:t> </w:t>
        </w:r>
        <w:r>
          <w:rPr>
            <w:sz w:val="18"/>
            <w:vertAlign w:val="baseline"/>
          </w:rPr>
          <w:t>from</w:t>
        </w:r>
        <w:r>
          <w:rPr>
            <w:spacing w:val="-3"/>
            <w:sz w:val="18"/>
            <w:vertAlign w:val="baseline"/>
          </w:rPr>
          <w:t> </w:t>
        </w:r>
        <w:r>
          <w:rPr>
            <w:sz w:val="18"/>
            <w:vertAlign w:val="baseline"/>
          </w:rPr>
          <w:t>the</w:t>
        </w:r>
        <w:r>
          <w:rPr>
            <w:spacing w:val="-3"/>
            <w:sz w:val="18"/>
            <w:vertAlign w:val="baseline"/>
          </w:rPr>
          <w:t> </w:t>
        </w:r>
        <w:r>
          <w:rPr>
            <w:sz w:val="18"/>
            <w:vertAlign w:val="baseline"/>
          </w:rPr>
          <w:t>Sub-Committee</w:t>
        </w:r>
        <w:r>
          <w:rPr>
            <w:spacing w:val="-3"/>
            <w:sz w:val="18"/>
            <w:vertAlign w:val="baseline"/>
          </w:rPr>
          <w:t> </w:t>
        </w:r>
        <w:r>
          <w:rPr>
            <w:sz w:val="18"/>
            <w:vertAlign w:val="baseline"/>
          </w:rPr>
          <w:t>on</w:t>
        </w:r>
        <w:r>
          <w:rPr>
            <w:spacing w:val="-4"/>
            <w:sz w:val="18"/>
            <w:vertAlign w:val="baseline"/>
          </w:rPr>
          <w:t> </w:t>
        </w:r>
        <w:r>
          <w:rPr>
            <w:sz w:val="18"/>
            <w:vertAlign w:val="baseline"/>
          </w:rPr>
          <w:t>the</w:t>
        </w:r>
      </w:hyperlink>
      <w:r>
        <w:rPr>
          <w:sz w:val="18"/>
          <w:vertAlign w:val="baseline"/>
        </w:rPr>
        <w:t> </w:t>
      </w:r>
      <w:hyperlink r:id="rId74">
        <w:r>
          <w:rPr>
            <w:sz w:val="18"/>
            <w:vertAlign w:val="baseline"/>
          </w:rPr>
          <w:t>Protocol on Ireland/Northern Ireland: Scrutiny of EU legislative proposals within the scope of the Protocol on Ireland/</w:t>
        </w:r>
      </w:hyperlink>
      <w:r>
        <w:rPr>
          <w:sz w:val="18"/>
          <w:vertAlign w:val="baseline"/>
        </w:rPr>
        <w:t> </w:t>
      </w:r>
      <w:hyperlink r:id="rId74">
        <w:r>
          <w:rPr>
            <w:sz w:val="18"/>
            <w:vertAlign w:val="baseline"/>
          </w:rPr>
          <w:t>Northern Ireland</w:t>
        </w:r>
      </w:hyperlink>
      <w:r>
        <w:rPr>
          <w:sz w:val="18"/>
          <w:vertAlign w:val="baseline"/>
        </w:rPr>
        <w:t>’ (HOL, 2022), at 35.</w:t>
      </w:r>
    </w:p>
    <w:p>
      <w:pPr>
        <w:pStyle w:val="ListParagraph"/>
        <w:numPr>
          <w:ilvl w:val="0"/>
          <w:numId w:val="3"/>
        </w:numPr>
        <w:tabs>
          <w:tab w:pos="1853" w:val="left" w:leader="none"/>
        </w:tabs>
        <w:spacing w:line="235" w:lineRule="auto" w:before="3" w:after="0"/>
        <w:ind w:left="1853" w:right="1163" w:hanging="720"/>
        <w:jc w:val="left"/>
        <w:rPr>
          <w:sz w:val="18"/>
        </w:rPr>
      </w:pPr>
      <w:r>
        <w:rPr>
          <w:sz w:val="18"/>
        </w:rPr>
        <w:t>Joint</w:t>
      </w:r>
      <w:r>
        <w:rPr>
          <w:spacing w:val="-7"/>
          <w:sz w:val="18"/>
        </w:rPr>
        <w:t> </w:t>
      </w:r>
      <w:r>
        <w:rPr>
          <w:sz w:val="18"/>
        </w:rPr>
        <w:t>letter</w:t>
      </w:r>
      <w:r>
        <w:rPr>
          <w:spacing w:val="-7"/>
          <w:sz w:val="18"/>
        </w:rPr>
        <w:t> </w:t>
      </w:r>
      <w:r>
        <w:rPr>
          <w:sz w:val="18"/>
        </w:rPr>
        <w:t>from</w:t>
      </w:r>
      <w:r>
        <w:rPr>
          <w:spacing w:val="-7"/>
          <w:sz w:val="18"/>
        </w:rPr>
        <w:t> </w:t>
      </w:r>
      <w:r>
        <w:rPr>
          <w:sz w:val="18"/>
        </w:rPr>
        <w:t>the</w:t>
      </w:r>
      <w:r>
        <w:rPr>
          <w:spacing w:val="-7"/>
          <w:sz w:val="18"/>
        </w:rPr>
        <w:t> </w:t>
      </w:r>
      <w:r>
        <w:rPr>
          <w:sz w:val="18"/>
        </w:rPr>
        <w:t>Northern</w:t>
      </w:r>
      <w:r>
        <w:rPr>
          <w:spacing w:val="-7"/>
          <w:sz w:val="18"/>
        </w:rPr>
        <w:t> </w:t>
      </w:r>
      <w:r>
        <w:rPr>
          <w:sz w:val="18"/>
        </w:rPr>
        <w:t>Ireland</w:t>
      </w:r>
      <w:r>
        <w:rPr>
          <w:spacing w:val="-7"/>
          <w:sz w:val="18"/>
        </w:rPr>
        <w:t> </w:t>
      </w:r>
      <w:r>
        <w:rPr>
          <w:sz w:val="18"/>
        </w:rPr>
        <w:t>Affairs</w:t>
      </w:r>
      <w:r>
        <w:rPr>
          <w:spacing w:val="-7"/>
          <w:sz w:val="18"/>
        </w:rPr>
        <w:t> </w:t>
      </w:r>
      <w:r>
        <w:rPr>
          <w:sz w:val="18"/>
        </w:rPr>
        <w:t>Committee,</w:t>
      </w:r>
      <w:r>
        <w:rPr>
          <w:spacing w:val="-7"/>
          <w:sz w:val="18"/>
        </w:rPr>
        <w:t> </w:t>
      </w:r>
      <w:r>
        <w:rPr>
          <w:sz w:val="18"/>
        </w:rPr>
        <w:t>the</w:t>
      </w:r>
      <w:r>
        <w:rPr>
          <w:spacing w:val="-7"/>
          <w:sz w:val="18"/>
        </w:rPr>
        <w:t> </w:t>
      </w:r>
      <w:r>
        <w:rPr>
          <w:sz w:val="18"/>
        </w:rPr>
        <w:t>Women</w:t>
      </w:r>
      <w:r>
        <w:rPr>
          <w:spacing w:val="-7"/>
          <w:sz w:val="18"/>
        </w:rPr>
        <w:t> </w:t>
      </w:r>
      <w:r>
        <w:rPr>
          <w:sz w:val="18"/>
        </w:rPr>
        <w:t>and</w:t>
      </w:r>
      <w:r>
        <w:rPr>
          <w:spacing w:val="-7"/>
          <w:sz w:val="18"/>
        </w:rPr>
        <w:t> </w:t>
      </w:r>
      <w:r>
        <w:rPr>
          <w:sz w:val="18"/>
        </w:rPr>
        <w:t>Equalities</w:t>
      </w:r>
      <w:r>
        <w:rPr>
          <w:spacing w:val="-7"/>
          <w:sz w:val="18"/>
        </w:rPr>
        <w:t> </w:t>
      </w:r>
      <w:r>
        <w:rPr>
          <w:sz w:val="18"/>
        </w:rPr>
        <w:t>Committee,</w:t>
      </w:r>
      <w:r>
        <w:rPr>
          <w:spacing w:val="-7"/>
          <w:sz w:val="18"/>
        </w:rPr>
        <w:t> </w:t>
      </w:r>
      <w:r>
        <w:rPr>
          <w:sz w:val="18"/>
        </w:rPr>
        <w:t>the</w:t>
      </w:r>
      <w:r>
        <w:rPr>
          <w:spacing w:val="-7"/>
          <w:sz w:val="18"/>
        </w:rPr>
        <w:t> </w:t>
      </w:r>
      <w:r>
        <w:rPr>
          <w:sz w:val="18"/>
        </w:rPr>
        <w:t>Lords</w:t>
      </w:r>
      <w:r>
        <w:rPr>
          <w:spacing w:val="-7"/>
          <w:sz w:val="18"/>
        </w:rPr>
        <w:t> </w:t>
      </w:r>
      <w:r>
        <w:rPr>
          <w:sz w:val="18"/>
        </w:rPr>
        <w:t>Sub-Committee on the Protocol on Ireland/Northern Ireland and the Joint Committee on Human Rights to the Secretary of State for Northern</w:t>
      </w:r>
      <w:r>
        <w:rPr>
          <w:spacing w:val="-5"/>
          <w:sz w:val="18"/>
        </w:rPr>
        <w:t> </w:t>
      </w:r>
      <w:r>
        <w:rPr>
          <w:sz w:val="18"/>
        </w:rPr>
        <w:t>Ireland,</w:t>
      </w:r>
      <w:r>
        <w:rPr>
          <w:spacing w:val="-4"/>
          <w:sz w:val="18"/>
        </w:rPr>
        <w:t> </w:t>
      </w:r>
      <w:r>
        <w:rPr>
          <w:sz w:val="18"/>
        </w:rPr>
        <w:t>relating</w:t>
      </w:r>
      <w:r>
        <w:rPr>
          <w:spacing w:val="-4"/>
          <w:sz w:val="18"/>
        </w:rPr>
        <w:t> </w:t>
      </w:r>
      <w:r>
        <w:rPr>
          <w:sz w:val="18"/>
        </w:rPr>
        <w:t>to</w:t>
      </w:r>
      <w:r>
        <w:rPr>
          <w:spacing w:val="-5"/>
          <w:sz w:val="18"/>
        </w:rPr>
        <w:t> </w:t>
      </w:r>
      <w:r>
        <w:rPr>
          <w:sz w:val="18"/>
        </w:rPr>
        <w:t>Parliamentary</w:t>
      </w:r>
      <w:r>
        <w:rPr>
          <w:spacing w:val="-4"/>
          <w:sz w:val="18"/>
        </w:rPr>
        <w:t> </w:t>
      </w:r>
      <w:r>
        <w:rPr>
          <w:sz w:val="18"/>
        </w:rPr>
        <w:t>scrutiny</w:t>
      </w:r>
      <w:r>
        <w:rPr>
          <w:spacing w:val="-4"/>
          <w:sz w:val="18"/>
        </w:rPr>
        <w:t> </w:t>
      </w:r>
      <w:r>
        <w:rPr>
          <w:sz w:val="18"/>
        </w:rPr>
        <w:t>of</w:t>
      </w:r>
      <w:r>
        <w:rPr>
          <w:spacing w:val="-5"/>
          <w:sz w:val="18"/>
        </w:rPr>
        <w:t> </w:t>
      </w:r>
      <w:r>
        <w:rPr>
          <w:sz w:val="18"/>
        </w:rPr>
        <w:t>Article</w:t>
      </w:r>
      <w:r>
        <w:rPr>
          <w:spacing w:val="-4"/>
          <w:sz w:val="18"/>
        </w:rPr>
        <w:t> </w:t>
      </w:r>
      <w:r>
        <w:rPr>
          <w:sz w:val="18"/>
        </w:rPr>
        <w:t>2</w:t>
      </w:r>
      <w:r>
        <w:rPr>
          <w:spacing w:val="-4"/>
          <w:sz w:val="18"/>
        </w:rPr>
        <w:t> </w:t>
      </w:r>
      <w:r>
        <w:rPr>
          <w:sz w:val="18"/>
        </w:rPr>
        <w:t>of</w:t>
      </w:r>
      <w:r>
        <w:rPr>
          <w:spacing w:val="-5"/>
          <w:sz w:val="18"/>
        </w:rPr>
        <w:t> </w:t>
      </w:r>
      <w:r>
        <w:rPr>
          <w:sz w:val="18"/>
        </w:rPr>
        <w:t>the</w:t>
      </w:r>
      <w:r>
        <w:rPr>
          <w:spacing w:val="-4"/>
          <w:sz w:val="18"/>
        </w:rPr>
        <w:t> </w:t>
      </w:r>
      <w:r>
        <w:rPr>
          <w:sz w:val="18"/>
        </w:rPr>
        <w:t>Protocol</w:t>
      </w:r>
      <w:r>
        <w:rPr>
          <w:spacing w:val="-5"/>
          <w:sz w:val="18"/>
        </w:rPr>
        <w:t> </w:t>
      </w:r>
      <w:r>
        <w:rPr>
          <w:sz w:val="18"/>
        </w:rPr>
        <w:t>on</w:t>
      </w:r>
      <w:r>
        <w:rPr>
          <w:spacing w:val="-5"/>
          <w:sz w:val="18"/>
        </w:rPr>
        <w:t> </w:t>
      </w:r>
      <w:r>
        <w:rPr>
          <w:sz w:val="18"/>
        </w:rPr>
        <w:t>Ireland/Northern</w:t>
      </w:r>
      <w:r>
        <w:rPr>
          <w:spacing w:val="-5"/>
          <w:sz w:val="18"/>
        </w:rPr>
        <w:t> </w:t>
      </w:r>
      <w:r>
        <w:rPr>
          <w:sz w:val="18"/>
        </w:rPr>
        <w:t>Ireland,</w:t>
      </w:r>
      <w:r>
        <w:rPr>
          <w:spacing w:val="-4"/>
          <w:sz w:val="18"/>
        </w:rPr>
        <w:t> </w:t>
      </w:r>
      <w:r>
        <w:rPr>
          <w:sz w:val="18"/>
        </w:rPr>
        <w:t>23</w:t>
      </w:r>
      <w:r>
        <w:rPr>
          <w:spacing w:val="-4"/>
          <w:sz w:val="18"/>
        </w:rPr>
        <w:t> </w:t>
      </w:r>
      <w:r>
        <w:rPr>
          <w:sz w:val="18"/>
        </w:rPr>
        <w:t>June</w:t>
      </w:r>
      <w:r>
        <w:rPr>
          <w:spacing w:val="-4"/>
          <w:sz w:val="18"/>
        </w:rPr>
        <w:t> </w:t>
      </w:r>
      <w:r>
        <w:rPr>
          <w:sz w:val="18"/>
        </w:rPr>
        <w:t>2022.</w:t>
      </w:r>
    </w:p>
    <w:p>
      <w:pPr>
        <w:pStyle w:val="ListParagraph"/>
        <w:numPr>
          <w:ilvl w:val="0"/>
          <w:numId w:val="3"/>
        </w:numPr>
        <w:tabs>
          <w:tab w:pos="1853" w:val="left" w:leader="none"/>
        </w:tabs>
        <w:spacing w:line="216" w:lineRule="exact" w:before="0" w:after="0"/>
        <w:ind w:left="1853" w:right="0" w:hanging="720"/>
        <w:jc w:val="left"/>
        <w:rPr>
          <w:sz w:val="18"/>
        </w:rPr>
      </w:pPr>
      <w:r>
        <w:rPr>
          <w:sz w:val="18"/>
        </w:rPr>
        <w:t>Cabinet</w:t>
      </w:r>
      <w:r>
        <w:rPr>
          <w:spacing w:val="-5"/>
          <w:sz w:val="18"/>
        </w:rPr>
        <w:t> </w:t>
      </w:r>
      <w:r>
        <w:rPr>
          <w:sz w:val="18"/>
        </w:rPr>
        <w:t>Office,</w:t>
      </w:r>
      <w:r>
        <w:rPr>
          <w:spacing w:val="-4"/>
          <w:sz w:val="18"/>
        </w:rPr>
        <w:t> </w:t>
      </w:r>
      <w:r>
        <w:rPr>
          <w:sz w:val="18"/>
        </w:rPr>
        <w:t>‘Guide</w:t>
      </w:r>
      <w:r>
        <w:rPr>
          <w:spacing w:val="-4"/>
          <w:sz w:val="18"/>
        </w:rPr>
        <w:t> </w:t>
      </w:r>
      <w:r>
        <w:rPr>
          <w:sz w:val="18"/>
        </w:rPr>
        <w:t>to</w:t>
      </w:r>
      <w:r>
        <w:rPr>
          <w:spacing w:val="-6"/>
          <w:sz w:val="18"/>
        </w:rPr>
        <w:t> </w:t>
      </w:r>
      <w:r>
        <w:rPr>
          <w:sz w:val="18"/>
        </w:rPr>
        <w:t>making</w:t>
      </w:r>
      <w:r>
        <w:rPr>
          <w:spacing w:val="-4"/>
          <w:sz w:val="18"/>
        </w:rPr>
        <w:t> </w:t>
      </w:r>
      <w:r>
        <w:rPr>
          <w:sz w:val="18"/>
        </w:rPr>
        <w:t>Legislation’</w:t>
      </w:r>
      <w:r>
        <w:rPr>
          <w:spacing w:val="-4"/>
          <w:sz w:val="18"/>
        </w:rPr>
        <w:t> </w:t>
      </w:r>
      <w:r>
        <w:rPr>
          <w:sz w:val="18"/>
        </w:rPr>
        <w:t>(CO,</w:t>
      </w:r>
      <w:r>
        <w:rPr>
          <w:spacing w:val="-4"/>
          <w:sz w:val="18"/>
        </w:rPr>
        <w:t> </w:t>
      </w:r>
      <w:r>
        <w:rPr>
          <w:spacing w:val="-2"/>
          <w:sz w:val="18"/>
        </w:rPr>
        <w:t>2022).</w:t>
      </w:r>
    </w:p>
    <w:p>
      <w:pPr>
        <w:pStyle w:val="ListParagraph"/>
        <w:numPr>
          <w:ilvl w:val="0"/>
          <w:numId w:val="3"/>
        </w:numPr>
        <w:tabs>
          <w:tab w:pos="1853" w:val="left" w:leader="none"/>
        </w:tabs>
        <w:spacing w:line="235" w:lineRule="auto" w:before="2" w:after="0"/>
        <w:ind w:left="1853" w:right="1171" w:hanging="720"/>
        <w:jc w:val="left"/>
        <w:rPr>
          <w:sz w:val="18"/>
        </w:rPr>
      </w:pPr>
      <w:r>
        <w:rPr>
          <w:sz w:val="18"/>
        </w:rPr>
        <w:t>Letter</w:t>
      </w:r>
      <w:r>
        <w:rPr>
          <w:spacing w:val="-9"/>
          <w:sz w:val="18"/>
        </w:rPr>
        <w:t> </w:t>
      </w:r>
      <w:r>
        <w:rPr>
          <w:sz w:val="18"/>
        </w:rPr>
        <w:t>from</w:t>
      </w:r>
      <w:r>
        <w:rPr>
          <w:spacing w:val="-9"/>
          <w:sz w:val="18"/>
        </w:rPr>
        <w:t> </w:t>
      </w:r>
      <w:r>
        <w:rPr>
          <w:sz w:val="18"/>
        </w:rPr>
        <w:t>Leader</w:t>
      </w:r>
      <w:r>
        <w:rPr>
          <w:spacing w:val="-9"/>
          <w:sz w:val="18"/>
        </w:rPr>
        <w:t> </w:t>
      </w:r>
      <w:r>
        <w:rPr>
          <w:sz w:val="18"/>
        </w:rPr>
        <w:t>of</w:t>
      </w:r>
      <w:r>
        <w:rPr>
          <w:spacing w:val="-9"/>
          <w:sz w:val="18"/>
        </w:rPr>
        <w:t> </w:t>
      </w:r>
      <w:r>
        <w:rPr>
          <w:sz w:val="18"/>
        </w:rPr>
        <w:t>the</w:t>
      </w:r>
      <w:r>
        <w:rPr>
          <w:spacing w:val="-9"/>
          <w:sz w:val="18"/>
        </w:rPr>
        <w:t> </w:t>
      </w:r>
      <w:r>
        <w:rPr>
          <w:sz w:val="18"/>
        </w:rPr>
        <w:t>House</w:t>
      </w:r>
      <w:r>
        <w:rPr>
          <w:spacing w:val="-9"/>
          <w:sz w:val="18"/>
        </w:rPr>
        <w:t> </w:t>
      </w:r>
      <w:r>
        <w:rPr>
          <w:sz w:val="18"/>
        </w:rPr>
        <w:t>of</w:t>
      </w:r>
      <w:r>
        <w:rPr>
          <w:spacing w:val="-9"/>
          <w:sz w:val="18"/>
        </w:rPr>
        <w:t> </w:t>
      </w:r>
      <w:r>
        <w:rPr>
          <w:sz w:val="18"/>
        </w:rPr>
        <w:t>Commons,</w:t>
      </w:r>
      <w:r>
        <w:rPr>
          <w:spacing w:val="-9"/>
          <w:sz w:val="18"/>
        </w:rPr>
        <w:t> </w:t>
      </w:r>
      <w:r>
        <w:rPr>
          <w:sz w:val="18"/>
        </w:rPr>
        <w:t>Penny</w:t>
      </w:r>
      <w:r>
        <w:rPr>
          <w:spacing w:val="-9"/>
          <w:sz w:val="18"/>
        </w:rPr>
        <w:t> </w:t>
      </w:r>
      <w:r>
        <w:rPr>
          <w:sz w:val="18"/>
        </w:rPr>
        <w:t>Mordaunt</w:t>
      </w:r>
      <w:r>
        <w:rPr>
          <w:spacing w:val="-9"/>
          <w:sz w:val="18"/>
        </w:rPr>
        <w:t> </w:t>
      </w:r>
      <w:r>
        <w:rPr>
          <w:sz w:val="18"/>
        </w:rPr>
        <w:t>MP,</w:t>
      </w:r>
      <w:r>
        <w:rPr>
          <w:spacing w:val="-9"/>
          <w:sz w:val="18"/>
        </w:rPr>
        <w:t> </w:t>
      </w:r>
      <w:r>
        <w:rPr>
          <w:sz w:val="18"/>
        </w:rPr>
        <w:t>to</w:t>
      </w:r>
      <w:r>
        <w:rPr>
          <w:spacing w:val="-9"/>
          <w:sz w:val="18"/>
        </w:rPr>
        <w:t> </w:t>
      </w:r>
      <w:r>
        <w:rPr>
          <w:sz w:val="18"/>
        </w:rPr>
        <w:t>Chair</w:t>
      </w:r>
      <w:r>
        <w:rPr>
          <w:spacing w:val="-9"/>
          <w:sz w:val="18"/>
        </w:rPr>
        <w:t> </w:t>
      </w:r>
      <w:r>
        <w:rPr>
          <w:sz w:val="18"/>
        </w:rPr>
        <w:t>of</w:t>
      </w:r>
      <w:r>
        <w:rPr>
          <w:spacing w:val="-9"/>
          <w:sz w:val="18"/>
        </w:rPr>
        <w:t> </w:t>
      </w:r>
      <w:r>
        <w:rPr>
          <w:sz w:val="18"/>
        </w:rPr>
        <w:t>the</w:t>
      </w:r>
      <w:r>
        <w:rPr>
          <w:spacing w:val="-9"/>
          <w:sz w:val="18"/>
        </w:rPr>
        <w:t> </w:t>
      </w:r>
      <w:r>
        <w:rPr>
          <w:sz w:val="18"/>
        </w:rPr>
        <w:t>NI</w:t>
      </w:r>
      <w:r>
        <w:rPr>
          <w:spacing w:val="-9"/>
          <w:sz w:val="18"/>
        </w:rPr>
        <w:t> </w:t>
      </w:r>
      <w:r>
        <w:rPr>
          <w:sz w:val="18"/>
        </w:rPr>
        <w:t>Affairs</w:t>
      </w:r>
      <w:r>
        <w:rPr>
          <w:spacing w:val="-9"/>
          <w:sz w:val="18"/>
        </w:rPr>
        <w:t> </w:t>
      </w:r>
      <w:r>
        <w:rPr>
          <w:sz w:val="18"/>
        </w:rPr>
        <w:t>Committee,</w:t>
      </w:r>
      <w:r>
        <w:rPr>
          <w:spacing w:val="-9"/>
          <w:sz w:val="18"/>
        </w:rPr>
        <w:t> </w:t>
      </w:r>
      <w:r>
        <w:rPr>
          <w:sz w:val="18"/>
        </w:rPr>
        <w:t>Simon</w:t>
      </w:r>
      <w:r>
        <w:rPr>
          <w:spacing w:val="-9"/>
          <w:sz w:val="18"/>
        </w:rPr>
        <w:t> </w:t>
      </w:r>
      <w:r>
        <w:rPr>
          <w:sz w:val="18"/>
        </w:rPr>
        <w:t>Hoare</w:t>
      </w:r>
      <w:r>
        <w:rPr>
          <w:spacing w:val="-9"/>
          <w:sz w:val="18"/>
        </w:rPr>
        <w:t> </w:t>
      </w:r>
      <w:r>
        <w:rPr>
          <w:sz w:val="18"/>
        </w:rPr>
        <w:t>MP, 28 March 2023.</w:t>
      </w:r>
    </w:p>
    <w:p>
      <w:pPr>
        <w:pStyle w:val="ListParagraph"/>
        <w:numPr>
          <w:ilvl w:val="0"/>
          <w:numId w:val="3"/>
        </w:numPr>
        <w:tabs>
          <w:tab w:pos="1853" w:val="left" w:leader="none"/>
        </w:tabs>
        <w:spacing w:line="216" w:lineRule="exact" w:before="0" w:after="0"/>
        <w:ind w:left="1853" w:right="0" w:hanging="720"/>
        <w:jc w:val="left"/>
        <w:rPr>
          <w:sz w:val="18"/>
        </w:rPr>
      </w:pPr>
      <w:r>
        <w:rPr>
          <w:sz w:val="18"/>
        </w:rPr>
        <w:t>Cabinet</w:t>
      </w:r>
      <w:r>
        <w:rPr>
          <w:spacing w:val="-5"/>
          <w:sz w:val="18"/>
        </w:rPr>
        <w:t> </w:t>
      </w:r>
      <w:r>
        <w:rPr>
          <w:sz w:val="18"/>
        </w:rPr>
        <w:t>Office,</w:t>
      </w:r>
      <w:r>
        <w:rPr>
          <w:spacing w:val="-4"/>
          <w:sz w:val="18"/>
        </w:rPr>
        <w:t> </w:t>
      </w:r>
      <w:r>
        <w:rPr>
          <w:sz w:val="18"/>
        </w:rPr>
        <w:t>‘Guide</w:t>
      </w:r>
      <w:r>
        <w:rPr>
          <w:spacing w:val="-5"/>
          <w:sz w:val="18"/>
        </w:rPr>
        <w:t> </w:t>
      </w:r>
      <w:r>
        <w:rPr>
          <w:sz w:val="18"/>
        </w:rPr>
        <w:t>to</w:t>
      </w:r>
      <w:r>
        <w:rPr>
          <w:spacing w:val="-5"/>
          <w:sz w:val="18"/>
        </w:rPr>
        <w:t> </w:t>
      </w:r>
      <w:r>
        <w:rPr>
          <w:sz w:val="18"/>
        </w:rPr>
        <w:t>Preparing</w:t>
      </w:r>
      <w:r>
        <w:rPr>
          <w:spacing w:val="-5"/>
          <w:sz w:val="18"/>
        </w:rPr>
        <w:t> </w:t>
      </w:r>
      <w:r>
        <w:rPr>
          <w:sz w:val="18"/>
        </w:rPr>
        <w:t>Explanatory</w:t>
      </w:r>
      <w:r>
        <w:rPr>
          <w:spacing w:val="-4"/>
          <w:sz w:val="18"/>
        </w:rPr>
        <w:t> </w:t>
      </w:r>
      <w:r>
        <w:rPr>
          <w:sz w:val="18"/>
        </w:rPr>
        <w:t>Memoranda</w:t>
      </w:r>
      <w:r>
        <w:rPr>
          <w:spacing w:val="-6"/>
          <w:sz w:val="18"/>
        </w:rPr>
        <w:t> </w:t>
      </w:r>
      <w:r>
        <w:rPr>
          <w:sz w:val="18"/>
        </w:rPr>
        <w:t>(EMs)</w:t>
      </w:r>
      <w:r>
        <w:rPr>
          <w:spacing w:val="-5"/>
          <w:sz w:val="18"/>
        </w:rPr>
        <w:t> </w:t>
      </w:r>
      <w:r>
        <w:rPr>
          <w:sz w:val="18"/>
        </w:rPr>
        <w:t>to</w:t>
      </w:r>
      <w:r>
        <w:rPr>
          <w:spacing w:val="-5"/>
          <w:sz w:val="18"/>
        </w:rPr>
        <w:t> </w:t>
      </w:r>
      <w:r>
        <w:rPr>
          <w:sz w:val="18"/>
        </w:rPr>
        <w:t>Statutory</w:t>
      </w:r>
      <w:r>
        <w:rPr>
          <w:spacing w:val="-5"/>
          <w:sz w:val="18"/>
        </w:rPr>
        <w:t> </w:t>
      </w:r>
      <w:r>
        <w:rPr>
          <w:sz w:val="18"/>
        </w:rPr>
        <w:t>Instruments’</w:t>
      </w:r>
      <w:r>
        <w:rPr>
          <w:spacing w:val="-4"/>
          <w:sz w:val="18"/>
        </w:rPr>
        <w:t> </w:t>
      </w:r>
      <w:r>
        <w:rPr>
          <w:sz w:val="18"/>
        </w:rPr>
        <w:t>(CO,</w:t>
      </w:r>
      <w:r>
        <w:rPr>
          <w:spacing w:val="-5"/>
          <w:sz w:val="18"/>
        </w:rPr>
        <w:t> </w:t>
      </w:r>
      <w:r>
        <w:rPr>
          <w:sz w:val="18"/>
        </w:rPr>
        <w:t>2024),</w:t>
      </w:r>
      <w:r>
        <w:rPr>
          <w:spacing w:val="-4"/>
          <w:sz w:val="18"/>
        </w:rPr>
        <w:t> </w:t>
      </w:r>
      <w:r>
        <w:rPr>
          <w:sz w:val="18"/>
        </w:rPr>
        <w:t>at</w:t>
      </w:r>
      <w:r>
        <w:rPr>
          <w:spacing w:val="-5"/>
          <w:sz w:val="18"/>
        </w:rPr>
        <w:t> </w:t>
      </w:r>
      <w:r>
        <w:rPr>
          <w:sz w:val="18"/>
        </w:rPr>
        <w:t>para</w:t>
      </w:r>
      <w:r>
        <w:rPr>
          <w:spacing w:val="-5"/>
          <w:sz w:val="18"/>
        </w:rPr>
        <w:t> </w:t>
      </w:r>
      <w:r>
        <w:rPr>
          <w:spacing w:val="-4"/>
          <w:sz w:val="18"/>
        </w:rPr>
        <w:t>6.1.</w:t>
      </w:r>
    </w:p>
    <w:p>
      <w:pPr>
        <w:pStyle w:val="ListParagraph"/>
        <w:numPr>
          <w:ilvl w:val="0"/>
          <w:numId w:val="3"/>
        </w:numPr>
        <w:tabs>
          <w:tab w:pos="1853" w:val="left" w:leader="none"/>
        </w:tabs>
        <w:spacing w:line="218" w:lineRule="exact" w:before="0" w:after="0"/>
        <w:ind w:left="1853" w:right="0" w:hanging="720"/>
        <w:jc w:val="left"/>
        <w:rPr>
          <w:sz w:val="18"/>
        </w:rPr>
      </w:pPr>
      <w:r>
        <w:rPr>
          <w:sz w:val="18"/>
        </w:rPr>
        <w:t>Home</w:t>
      </w:r>
      <w:r>
        <w:rPr>
          <w:spacing w:val="-5"/>
          <w:sz w:val="18"/>
        </w:rPr>
        <w:t> </w:t>
      </w:r>
      <w:r>
        <w:rPr>
          <w:sz w:val="18"/>
        </w:rPr>
        <w:t>Office,</w:t>
      </w:r>
      <w:r>
        <w:rPr>
          <w:spacing w:val="-4"/>
          <w:sz w:val="18"/>
        </w:rPr>
        <w:t> </w:t>
      </w:r>
      <w:r>
        <w:rPr>
          <w:sz w:val="18"/>
        </w:rPr>
        <w:t>‘Policy</w:t>
      </w:r>
      <w:r>
        <w:rPr>
          <w:spacing w:val="-4"/>
          <w:sz w:val="18"/>
        </w:rPr>
        <w:t> </w:t>
      </w:r>
      <w:r>
        <w:rPr>
          <w:sz w:val="18"/>
        </w:rPr>
        <w:t>Paper</w:t>
      </w:r>
      <w:r>
        <w:rPr>
          <w:spacing w:val="-5"/>
          <w:sz w:val="18"/>
        </w:rPr>
        <w:t> </w:t>
      </w:r>
      <w:r>
        <w:rPr>
          <w:sz w:val="18"/>
        </w:rPr>
        <w:t>–</w:t>
      </w:r>
      <w:r>
        <w:rPr>
          <w:spacing w:val="-5"/>
          <w:sz w:val="18"/>
        </w:rPr>
        <w:t> </w:t>
      </w:r>
      <w:r>
        <w:rPr>
          <w:sz w:val="18"/>
        </w:rPr>
        <w:t>Safety</w:t>
      </w:r>
      <w:r>
        <w:rPr>
          <w:spacing w:val="-4"/>
          <w:sz w:val="18"/>
        </w:rPr>
        <w:t> </w:t>
      </w:r>
      <w:r>
        <w:rPr>
          <w:sz w:val="18"/>
        </w:rPr>
        <w:t>of</w:t>
      </w:r>
      <w:r>
        <w:rPr>
          <w:spacing w:val="-5"/>
          <w:sz w:val="18"/>
        </w:rPr>
        <w:t> </w:t>
      </w:r>
      <w:r>
        <w:rPr>
          <w:sz w:val="18"/>
        </w:rPr>
        <w:t>Rwanda</w:t>
      </w:r>
      <w:r>
        <w:rPr>
          <w:spacing w:val="-5"/>
          <w:sz w:val="18"/>
        </w:rPr>
        <w:t> </w:t>
      </w:r>
      <w:r>
        <w:rPr>
          <w:sz w:val="18"/>
        </w:rPr>
        <w:t>(Asylum</w:t>
      </w:r>
      <w:r>
        <w:rPr>
          <w:spacing w:val="-4"/>
          <w:sz w:val="18"/>
        </w:rPr>
        <w:t> </w:t>
      </w:r>
      <w:r>
        <w:rPr>
          <w:sz w:val="18"/>
        </w:rPr>
        <w:t>and</w:t>
      </w:r>
      <w:r>
        <w:rPr>
          <w:spacing w:val="-6"/>
          <w:sz w:val="18"/>
        </w:rPr>
        <w:t> </w:t>
      </w:r>
      <w:r>
        <w:rPr>
          <w:sz w:val="18"/>
        </w:rPr>
        <w:t>Immigration)</w:t>
      </w:r>
      <w:r>
        <w:rPr>
          <w:spacing w:val="-5"/>
          <w:sz w:val="18"/>
        </w:rPr>
        <w:t> </w:t>
      </w:r>
      <w:r>
        <w:rPr>
          <w:sz w:val="18"/>
        </w:rPr>
        <w:t>Bill:</w:t>
      </w:r>
      <w:r>
        <w:rPr>
          <w:spacing w:val="-4"/>
          <w:sz w:val="18"/>
        </w:rPr>
        <w:t> </w:t>
      </w:r>
      <w:r>
        <w:rPr>
          <w:sz w:val="18"/>
        </w:rPr>
        <w:t>factsheet’</w:t>
      </w:r>
      <w:r>
        <w:rPr>
          <w:spacing w:val="-4"/>
          <w:sz w:val="18"/>
        </w:rPr>
        <w:t> </w:t>
      </w:r>
      <w:r>
        <w:rPr>
          <w:sz w:val="18"/>
        </w:rPr>
        <w:t>(HO,</w:t>
      </w:r>
      <w:r>
        <w:rPr>
          <w:spacing w:val="-5"/>
          <w:sz w:val="18"/>
        </w:rPr>
        <w:t> </w:t>
      </w:r>
      <w:r>
        <w:rPr>
          <w:spacing w:val="-2"/>
          <w:sz w:val="18"/>
        </w:rPr>
        <w:t>2024).</w:t>
      </w:r>
    </w:p>
    <w:p>
      <w:pPr>
        <w:spacing w:after="0" w:line="218" w:lineRule="exact"/>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pPr>
      <w:bookmarkStart w:name="_bookmark9" w:id="20"/>
      <w:bookmarkEnd w:id="20"/>
      <w:r>
        <w:rPr/>
      </w:r>
      <w:r>
        <w:rPr/>
        <w:t>only in respect of the trade in goods - the vast majority of public policy is entirely</w:t>
      </w:r>
      <w:r>
        <w:rPr>
          <w:spacing w:val="-9"/>
        </w:rPr>
        <w:t> </w:t>
      </w:r>
      <w:r>
        <w:rPr/>
        <w:t>untouched</w:t>
      </w:r>
      <w:r>
        <w:rPr>
          <w:spacing w:val="-10"/>
        </w:rPr>
        <w:t> </w:t>
      </w:r>
      <w:r>
        <w:rPr/>
        <w:t>by</w:t>
      </w:r>
      <w:r>
        <w:rPr>
          <w:spacing w:val="-9"/>
        </w:rPr>
        <w:t> </w:t>
      </w:r>
      <w:r>
        <w:rPr/>
        <w:t>it”.</w:t>
      </w:r>
      <w:r>
        <w:rPr>
          <w:vertAlign w:val="superscript"/>
        </w:rPr>
        <w:t>62</w:t>
      </w:r>
      <w:r>
        <w:rPr>
          <w:spacing w:val="-10"/>
          <w:vertAlign w:val="baseline"/>
        </w:rPr>
        <w:t> </w:t>
      </w:r>
      <w:r>
        <w:rPr>
          <w:vertAlign w:val="baseline"/>
        </w:rPr>
        <w:t>The</w:t>
      </w:r>
      <w:r>
        <w:rPr>
          <w:spacing w:val="-9"/>
          <w:vertAlign w:val="baseline"/>
        </w:rPr>
        <w:t> </w:t>
      </w:r>
      <w:r>
        <w:rPr>
          <w:vertAlign w:val="baseline"/>
        </w:rPr>
        <w:t>Paper</w:t>
      </w:r>
      <w:r>
        <w:rPr>
          <w:spacing w:val="-9"/>
          <w:vertAlign w:val="baseline"/>
        </w:rPr>
        <w:t> </w:t>
      </w:r>
      <w:r>
        <w:rPr>
          <w:vertAlign w:val="baseline"/>
        </w:rPr>
        <w:t>further</w:t>
      </w:r>
      <w:r>
        <w:rPr>
          <w:spacing w:val="-9"/>
          <w:vertAlign w:val="baseline"/>
        </w:rPr>
        <w:t> </w:t>
      </w:r>
      <w:r>
        <w:rPr>
          <w:vertAlign w:val="baseline"/>
        </w:rPr>
        <w:t>sets</w:t>
      </w:r>
      <w:r>
        <w:rPr>
          <w:spacing w:val="-10"/>
          <w:vertAlign w:val="baseline"/>
        </w:rPr>
        <w:t> </w:t>
      </w:r>
      <w:r>
        <w:rPr>
          <w:vertAlign w:val="baseline"/>
        </w:rPr>
        <w:t>out</w:t>
      </w:r>
      <w:r>
        <w:rPr>
          <w:spacing w:val="-9"/>
          <w:vertAlign w:val="baseline"/>
        </w:rPr>
        <w:t> </w:t>
      </w:r>
      <w:r>
        <w:rPr>
          <w:vertAlign w:val="baseline"/>
        </w:rPr>
        <w:t>the</w:t>
      </w:r>
      <w:r>
        <w:rPr>
          <w:spacing w:val="-9"/>
          <w:vertAlign w:val="baseline"/>
        </w:rPr>
        <w:t> </w:t>
      </w:r>
      <w:r>
        <w:rPr>
          <w:vertAlign w:val="baseline"/>
        </w:rPr>
        <w:t>UK</w:t>
      </w:r>
      <w:r>
        <w:rPr>
          <w:spacing w:val="-9"/>
          <w:vertAlign w:val="baseline"/>
        </w:rPr>
        <w:t> </w:t>
      </w:r>
      <w:r>
        <w:rPr>
          <w:vertAlign w:val="baseline"/>
        </w:rPr>
        <w:t>Government’s position that “Article 2 of the Framework does not apply EU law or ECJ jurisdiction, and only applies in the respect of rights set out in the relevant chapter of the Belfast (Good Friday) Agreement and a diminution of those rights which arises as a result of the UK’s withdrawal from the EU”.</w:t>
      </w:r>
      <w:r>
        <w:rPr>
          <w:vertAlign w:val="superscript"/>
        </w:rPr>
        <w:t>63</w:t>
      </w:r>
    </w:p>
    <w:p>
      <w:pPr>
        <w:pStyle w:val="ListParagraph"/>
        <w:numPr>
          <w:ilvl w:val="1"/>
          <w:numId w:val="5"/>
        </w:numPr>
        <w:tabs>
          <w:tab w:pos="1853" w:val="left" w:leader="none"/>
        </w:tabs>
        <w:spacing w:line="225" w:lineRule="auto" w:before="313" w:after="0"/>
        <w:ind w:left="1853" w:right="1389" w:hanging="720"/>
        <w:jc w:val="left"/>
        <w:rPr>
          <w:sz w:val="28"/>
        </w:rPr>
      </w:pPr>
      <w:r>
        <w:rPr>
          <w:sz w:val="28"/>
        </w:rPr>
        <w:t>In February 2024, four months after writing to the Home Office a second time on the Illegal Migration Act 2023, the House of Lords Sub-Committee on</w:t>
      </w:r>
      <w:r>
        <w:rPr>
          <w:spacing w:val="-8"/>
          <w:sz w:val="28"/>
        </w:rPr>
        <w:t> </w:t>
      </w:r>
      <w:r>
        <w:rPr>
          <w:sz w:val="28"/>
        </w:rPr>
        <w:t>the</w:t>
      </w:r>
      <w:r>
        <w:rPr>
          <w:spacing w:val="-7"/>
          <w:sz w:val="28"/>
        </w:rPr>
        <w:t> </w:t>
      </w:r>
      <w:r>
        <w:rPr>
          <w:sz w:val="28"/>
        </w:rPr>
        <w:t>Windsor</w:t>
      </w:r>
      <w:r>
        <w:rPr>
          <w:spacing w:val="-7"/>
          <w:sz w:val="28"/>
        </w:rPr>
        <w:t> </w:t>
      </w:r>
      <w:r>
        <w:rPr>
          <w:sz w:val="28"/>
        </w:rPr>
        <w:t>Framework</w:t>
      </w:r>
      <w:r>
        <w:rPr>
          <w:spacing w:val="-7"/>
          <w:sz w:val="28"/>
        </w:rPr>
        <w:t> </w:t>
      </w:r>
      <w:r>
        <w:rPr>
          <w:sz w:val="28"/>
        </w:rPr>
        <w:t>received</w:t>
      </w:r>
      <w:r>
        <w:rPr>
          <w:spacing w:val="-8"/>
          <w:sz w:val="28"/>
        </w:rPr>
        <w:t> </w:t>
      </w:r>
      <w:r>
        <w:rPr>
          <w:sz w:val="28"/>
        </w:rPr>
        <w:t>a</w:t>
      </w:r>
      <w:r>
        <w:rPr>
          <w:spacing w:val="-8"/>
          <w:sz w:val="28"/>
        </w:rPr>
        <w:t> </w:t>
      </w:r>
      <w:r>
        <w:rPr>
          <w:sz w:val="28"/>
        </w:rPr>
        <w:t>reply</w:t>
      </w:r>
      <w:r>
        <w:rPr>
          <w:spacing w:val="-7"/>
          <w:sz w:val="28"/>
        </w:rPr>
        <w:t> </w:t>
      </w:r>
      <w:r>
        <w:rPr>
          <w:sz w:val="28"/>
        </w:rPr>
        <w:t>stating</w:t>
      </w:r>
      <w:r>
        <w:rPr>
          <w:spacing w:val="-7"/>
          <w:sz w:val="28"/>
        </w:rPr>
        <w:t> </w:t>
      </w:r>
      <w:r>
        <w:rPr>
          <w:sz w:val="28"/>
        </w:rPr>
        <w:t>that</w:t>
      </w:r>
      <w:r>
        <w:rPr>
          <w:spacing w:val="-7"/>
          <w:sz w:val="28"/>
        </w:rPr>
        <w:t> </w:t>
      </w:r>
      <w:r>
        <w:rPr>
          <w:sz w:val="28"/>
        </w:rPr>
        <w:t>the</w:t>
      </w:r>
      <w:r>
        <w:rPr>
          <w:spacing w:val="-7"/>
          <w:sz w:val="28"/>
        </w:rPr>
        <w:t> </w:t>
      </w:r>
      <w:r>
        <w:rPr>
          <w:sz w:val="28"/>
        </w:rPr>
        <w:t>UK</w:t>
      </w:r>
      <w:r>
        <w:rPr>
          <w:spacing w:val="-7"/>
          <w:sz w:val="28"/>
        </w:rPr>
        <w:t> </w:t>
      </w:r>
      <w:r>
        <w:rPr>
          <w:sz w:val="28"/>
        </w:rPr>
        <w:t>Government had concluded that “our approach is compatible with international law and specifically the [Illegal Migration Act] proposals are compatible with Article 2”.</w:t>
      </w:r>
      <w:r>
        <w:rPr>
          <w:sz w:val="28"/>
          <w:vertAlign w:val="superscript"/>
        </w:rPr>
        <w:t>64</w:t>
      </w:r>
      <w:r>
        <w:rPr>
          <w:sz w:val="28"/>
          <w:vertAlign w:val="baseline"/>
        </w:rPr>
        <w:t> In March 2024, the Sub-Committee expressed regret at the lack of</w:t>
      </w:r>
    </w:p>
    <w:p>
      <w:pPr>
        <w:pStyle w:val="BodyText"/>
        <w:spacing w:line="225" w:lineRule="auto"/>
        <w:ind w:left="1853" w:right="1171"/>
      </w:pPr>
      <w:r>
        <w:rPr/>
        <w:t>information</w:t>
      </w:r>
      <w:r>
        <w:rPr>
          <w:spacing w:val="-10"/>
        </w:rPr>
        <w:t> </w:t>
      </w:r>
      <w:r>
        <w:rPr/>
        <w:t>provided</w:t>
      </w:r>
      <w:r>
        <w:rPr>
          <w:spacing w:val="-10"/>
        </w:rPr>
        <w:t> </w:t>
      </w:r>
      <w:r>
        <w:rPr/>
        <w:t>by</w:t>
      </w:r>
      <w:r>
        <w:rPr>
          <w:spacing w:val="-10"/>
        </w:rPr>
        <w:t> </w:t>
      </w:r>
      <w:r>
        <w:rPr/>
        <w:t>the</w:t>
      </w:r>
      <w:r>
        <w:rPr>
          <w:spacing w:val="-10"/>
        </w:rPr>
        <w:t> </w:t>
      </w:r>
      <w:r>
        <w:rPr/>
        <w:t>Home</w:t>
      </w:r>
      <w:r>
        <w:rPr>
          <w:spacing w:val="-10"/>
        </w:rPr>
        <w:t> </w:t>
      </w:r>
      <w:r>
        <w:rPr/>
        <w:t>Office</w:t>
      </w:r>
      <w:r>
        <w:rPr>
          <w:spacing w:val="-10"/>
        </w:rPr>
        <w:t> </w:t>
      </w:r>
      <w:r>
        <w:rPr/>
        <w:t>in</w:t>
      </w:r>
      <w:r>
        <w:rPr>
          <w:spacing w:val="-10"/>
        </w:rPr>
        <w:t> </w:t>
      </w:r>
      <w:r>
        <w:rPr/>
        <w:t>response</w:t>
      </w:r>
      <w:r>
        <w:rPr>
          <w:spacing w:val="-10"/>
        </w:rPr>
        <w:t> </w:t>
      </w:r>
      <w:r>
        <w:rPr/>
        <w:t>to</w:t>
      </w:r>
      <w:r>
        <w:rPr>
          <w:spacing w:val="-10"/>
        </w:rPr>
        <w:t> </w:t>
      </w:r>
      <w:r>
        <w:rPr/>
        <w:t>the</w:t>
      </w:r>
      <w:r>
        <w:rPr>
          <w:spacing w:val="-10"/>
        </w:rPr>
        <w:t> </w:t>
      </w:r>
      <w:r>
        <w:rPr/>
        <w:t>Sub-Committee’s request to set out a detailed and specific assessment of the Bill’s compliance with Windsor Framework Article 2.</w:t>
      </w:r>
      <w:r>
        <w:rPr>
          <w:vertAlign w:val="superscript"/>
        </w:rPr>
        <w:t>65</w:t>
      </w:r>
    </w:p>
    <w:p>
      <w:pPr>
        <w:pStyle w:val="ListParagraph"/>
        <w:numPr>
          <w:ilvl w:val="1"/>
          <w:numId w:val="5"/>
        </w:numPr>
        <w:tabs>
          <w:tab w:pos="1853" w:val="left" w:leader="none"/>
        </w:tabs>
        <w:spacing w:line="225" w:lineRule="auto" w:before="308" w:after="0"/>
        <w:ind w:left="1853" w:right="1445" w:hanging="720"/>
        <w:jc w:val="left"/>
        <w:rPr>
          <w:sz w:val="28"/>
        </w:rPr>
      </w:pPr>
      <w:r>
        <w:rPr>
          <w:sz w:val="28"/>
        </w:rPr>
        <w:t>The Sub-Committee further noted limited information provided by the Minister,</w:t>
      </w:r>
      <w:r>
        <w:rPr>
          <w:spacing w:val="-10"/>
          <w:sz w:val="28"/>
        </w:rPr>
        <w:t> </w:t>
      </w:r>
      <w:r>
        <w:rPr>
          <w:sz w:val="28"/>
        </w:rPr>
        <w:t>noting</w:t>
      </w:r>
      <w:r>
        <w:rPr>
          <w:spacing w:val="-10"/>
          <w:sz w:val="28"/>
        </w:rPr>
        <w:t> </w:t>
      </w:r>
      <w:r>
        <w:rPr>
          <w:sz w:val="28"/>
        </w:rPr>
        <w:t>that</w:t>
      </w:r>
      <w:r>
        <w:rPr>
          <w:spacing w:val="-10"/>
          <w:sz w:val="28"/>
        </w:rPr>
        <w:t> </w:t>
      </w:r>
      <w:r>
        <w:rPr>
          <w:sz w:val="28"/>
        </w:rPr>
        <w:t>in</w:t>
      </w:r>
      <w:r>
        <w:rPr>
          <w:spacing w:val="-11"/>
          <w:sz w:val="28"/>
        </w:rPr>
        <w:t> </w:t>
      </w:r>
      <w:r>
        <w:rPr>
          <w:sz w:val="28"/>
        </w:rPr>
        <w:t>the</w:t>
      </w:r>
      <w:r>
        <w:rPr>
          <w:spacing w:val="-10"/>
          <w:sz w:val="28"/>
        </w:rPr>
        <w:t> </w:t>
      </w:r>
      <w:r>
        <w:rPr>
          <w:sz w:val="28"/>
        </w:rPr>
        <w:t>Safeguarding</w:t>
      </w:r>
      <w:r>
        <w:rPr>
          <w:spacing w:val="-10"/>
          <w:sz w:val="28"/>
        </w:rPr>
        <w:t> </w:t>
      </w:r>
      <w:r>
        <w:rPr>
          <w:sz w:val="28"/>
        </w:rPr>
        <w:t>the</w:t>
      </w:r>
      <w:r>
        <w:rPr>
          <w:spacing w:val="-10"/>
          <w:sz w:val="28"/>
        </w:rPr>
        <w:t> </w:t>
      </w:r>
      <w:r>
        <w:rPr>
          <w:sz w:val="28"/>
        </w:rPr>
        <w:t>Union</w:t>
      </w:r>
      <w:r>
        <w:rPr>
          <w:spacing w:val="-11"/>
          <w:sz w:val="28"/>
        </w:rPr>
        <w:t> </w:t>
      </w:r>
      <w:r>
        <w:rPr>
          <w:sz w:val="28"/>
        </w:rPr>
        <w:t>Command</w:t>
      </w:r>
      <w:r>
        <w:rPr>
          <w:spacing w:val="-11"/>
          <w:sz w:val="28"/>
        </w:rPr>
        <w:t> </w:t>
      </w:r>
      <w:r>
        <w:rPr>
          <w:sz w:val="28"/>
        </w:rPr>
        <w:t>Paper,</w:t>
      </w:r>
      <w:r>
        <w:rPr>
          <w:spacing w:val="-10"/>
          <w:sz w:val="28"/>
        </w:rPr>
        <w:t> </w:t>
      </w:r>
      <w:r>
        <w:rPr>
          <w:sz w:val="28"/>
        </w:rPr>
        <w:t>the</w:t>
      </w:r>
      <w:r>
        <w:rPr>
          <w:spacing w:val="-10"/>
          <w:sz w:val="28"/>
        </w:rPr>
        <w:t> </w:t>
      </w:r>
      <w:r>
        <w:rPr>
          <w:sz w:val="28"/>
        </w:rPr>
        <w:t>UK Government</w:t>
      </w:r>
      <w:r>
        <w:rPr>
          <w:spacing w:val="-3"/>
          <w:sz w:val="28"/>
        </w:rPr>
        <w:t> </w:t>
      </w:r>
      <w:r>
        <w:rPr>
          <w:sz w:val="28"/>
        </w:rPr>
        <w:t>was</w:t>
      </w:r>
      <w:r>
        <w:rPr>
          <w:spacing w:val="-4"/>
          <w:sz w:val="28"/>
        </w:rPr>
        <w:t> </w:t>
      </w:r>
      <w:r>
        <w:rPr>
          <w:sz w:val="28"/>
        </w:rPr>
        <w:t>able</w:t>
      </w:r>
      <w:r>
        <w:rPr>
          <w:spacing w:val="-3"/>
          <w:sz w:val="28"/>
        </w:rPr>
        <w:t> </w:t>
      </w:r>
      <w:r>
        <w:rPr>
          <w:sz w:val="28"/>
        </w:rPr>
        <w:t>to</w:t>
      </w:r>
      <w:r>
        <w:rPr>
          <w:spacing w:val="-4"/>
          <w:sz w:val="28"/>
        </w:rPr>
        <w:t> </w:t>
      </w:r>
      <w:r>
        <w:rPr>
          <w:sz w:val="28"/>
        </w:rPr>
        <w:t>“express</w:t>
      </w:r>
      <w:r>
        <w:rPr>
          <w:spacing w:val="-4"/>
          <w:sz w:val="28"/>
        </w:rPr>
        <w:t> </w:t>
      </w:r>
      <w:r>
        <w:rPr>
          <w:sz w:val="28"/>
        </w:rPr>
        <w:t>clear</w:t>
      </w:r>
      <w:r>
        <w:rPr>
          <w:spacing w:val="-3"/>
          <w:sz w:val="28"/>
        </w:rPr>
        <w:t> </w:t>
      </w:r>
      <w:r>
        <w:rPr>
          <w:sz w:val="28"/>
        </w:rPr>
        <w:t>and</w:t>
      </w:r>
      <w:r>
        <w:rPr>
          <w:spacing w:val="-4"/>
          <w:sz w:val="28"/>
        </w:rPr>
        <w:t> </w:t>
      </w:r>
      <w:r>
        <w:rPr>
          <w:sz w:val="28"/>
        </w:rPr>
        <w:t>frank</w:t>
      </w:r>
      <w:r>
        <w:rPr>
          <w:spacing w:val="-3"/>
          <w:sz w:val="28"/>
        </w:rPr>
        <w:t> </w:t>
      </w:r>
      <w:r>
        <w:rPr>
          <w:sz w:val="28"/>
        </w:rPr>
        <w:t>views</w:t>
      </w:r>
      <w:r>
        <w:rPr>
          <w:spacing w:val="-4"/>
          <w:sz w:val="28"/>
        </w:rPr>
        <w:t> </w:t>
      </w:r>
      <w:r>
        <w:rPr>
          <w:sz w:val="28"/>
        </w:rPr>
        <w:t>on</w:t>
      </w:r>
      <w:r>
        <w:rPr>
          <w:spacing w:val="-4"/>
          <w:sz w:val="28"/>
        </w:rPr>
        <w:t> </w:t>
      </w:r>
      <w:r>
        <w:rPr>
          <w:sz w:val="28"/>
        </w:rPr>
        <w:t>the</w:t>
      </w:r>
      <w:r>
        <w:rPr>
          <w:spacing w:val="-3"/>
          <w:sz w:val="28"/>
        </w:rPr>
        <w:t> </w:t>
      </w:r>
      <w:r>
        <w:rPr>
          <w:sz w:val="28"/>
        </w:rPr>
        <w:t>interrelation of</w:t>
      </w:r>
      <w:r>
        <w:rPr>
          <w:spacing w:val="-2"/>
          <w:sz w:val="28"/>
        </w:rPr>
        <w:t> </w:t>
      </w:r>
      <w:r>
        <w:rPr>
          <w:sz w:val="28"/>
        </w:rPr>
        <w:t>Article</w:t>
      </w:r>
      <w:r>
        <w:rPr>
          <w:spacing w:val="-1"/>
          <w:sz w:val="28"/>
        </w:rPr>
        <w:t> </w:t>
      </w:r>
      <w:r>
        <w:rPr>
          <w:sz w:val="28"/>
        </w:rPr>
        <w:t>2</w:t>
      </w:r>
      <w:r>
        <w:rPr>
          <w:spacing w:val="-1"/>
          <w:sz w:val="28"/>
        </w:rPr>
        <w:t> </w:t>
      </w:r>
      <w:r>
        <w:rPr>
          <w:sz w:val="28"/>
        </w:rPr>
        <w:t>of</w:t>
      </w:r>
      <w:r>
        <w:rPr>
          <w:spacing w:val="-2"/>
          <w:sz w:val="28"/>
        </w:rPr>
        <w:t> </w:t>
      </w:r>
      <w:r>
        <w:rPr>
          <w:sz w:val="28"/>
        </w:rPr>
        <w:t>the</w:t>
      </w:r>
      <w:r>
        <w:rPr>
          <w:spacing w:val="-1"/>
          <w:sz w:val="28"/>
        </w:rPr>
        <w:t> </w:t>
      </w:r>
      <w:r>
        <w:rPr>
          <w:sz w:val="28"/>
        </w:rPr>
        <w:t>Windsor</w:t>
      </w:r>
      <w:r>
        <w:rPr>
          <w:spacing w:val="-1"/>
          <w:sz w:val="28"/>
        </w:rPr>
        <w:t> </w:t>
      </w:r>
      <w:r>
        <w:rPr>
          <w:sz w:val="28"/>
        </w:rPr>
        <w:t>Framework</w:t>
      </w:r>
      <w:r>
        <w:rPr>
          <w:spacing w:val="-1"/>
          <w:sz w:val="28"/>
        </w:rPr>
        <w:t> </w:t>
      </w:r>
      <w:r>
        <w:rPr>
          <w:sz w:val="28"/>
        </w:rPr>
        <w:t>and</w:t>
      </w:r>
      <w:r>
        <w:rPr>
          <w:spacing w:val="-2"/>
          <w:sz w:val="28"/>
        </w:rPr>
        <w:t> </w:t>
      </w:r>
      <w:r>
        <w:rPr>
          <w:sz w:val="28"/>
        </w:rPr>
        <w:t>the</w:t>
      </w:r>
      <w:r>
        <w:rPr>
          <w:spacing w:val="-1"/>
          <w:sz w:val="28"/>
        </w:rPr>
        <w:t> </w:t>
      </w:r>
      <w:r>
        <w:rPr>
          <w:sz w:val="28"/>
        </w:rPr>
        <w:t>UK’s</w:t>
      </w:r>
      <w:r>
        <w:rPr>
          <w:spacing w:val="-2"/>
          <w:sz w:val="28"/>
        </w:rPr>
        <w:t> </w:t>
      </w:r>
      <w:r>
        <w:rPr>
          <w:sz w:val="28"/>
        </w:rPr>
        <w:t>immigration</w:t>
      </w:r>
      <w:r>
        <w:rPr>
          <w:spacing w:val="-2"/>
          <w:sz w:val="28"/>
        </w:rPr>
        <w:t> </w:t>
      </w:r>
      <w:r>
        <w:rPr>
          <w:sz w:val="28"/>
        </w:rPr>
        <w:t>policy</w:t>
      </w:r>
      <w:r>
        <w:rPr>
          <w:spacing w:val="-1"/>
          <w:sz w:val="28"/>
        </w:rPr>
        <w:t> </w:t>
      </w:r>
      <w:r>
        <w:rPr>
          <w:sz w:val="28"/>
        </w:rPr>
        <w:t>that you</w:t>
      </w:r>
      <w:r>
        <w:rPr>
          <w:spacing w:val="-8"/>
          <w:sz w:val="28"/>
        </w:rPr>
        <w:t> </w:t>
      </w:r>
      <w:r>
        <w:rPr>
          <w:sz w:val="28"/>
        </w:rPr>
        <w:t>are</w:t>
      </w:r>
      <w:r>
        <w:rPr>
          <w:spacing w:val="-7"/>
          <w:sz w:val="28"/>
        </w:rPr>
        <w:t> </w:t>
      </w:r>
      <w:r>
        <w:rPr>
          <w:sz w:val="28"/>
        </w:rPr>
        <w:t>either</w:t>
      </w:r>
      <w:r>
        <w:rPr>
          <w:spacing w:val="-7"/>
          <w:sz w:val="28"/>
        </w:rPr>
        <w:t> </w:t>
      </w:r>
      <w:r>
        <w:rPr>
          <w:sz w:val="28"/>
        </w:rPr>
        <w:t>unwilling</w:t>
      </w:r>
      <w:r>
        <w:rPr>
          <w:spacing w:val="-7"/>
          <w:sz w:val="28"/>
        </w:rPr>
        <w:t> </w:t>
      </w:r>
      <w:r>
        <w:rPr>
          <w:sz w:val="28"/>
        </w:rPr>
        <w:t>or</w:t>
      </w:r>
      <w:r>
        <w:rPr>
          <w:spacing w:val="-7"/>
          <w:sz w:val="28"/>
        </w:rPr>
        <w:t> </w:t>
      </w:r>
      <w:r>
        <w:rPr>
          <w:sz w:val="28"/>
        </w:rPr>
        <w:t>unable</w:t>
      </w:r>
      <w:r>
        <w:rPr>
          <w:spacing w:val="-7"/>
          <w:sz w:val="28"/>
        </w:rPr>
        <w:t> </w:t>
      </w:r>
      <w:r>
        <w:rPr>
          <w:sz w:val="28"/>
        </w:rPr>
        <w:t>to</w:t>
      </w:r>
      <w:r>
        <w:rPr>
          <w:spacing w:val="-8"/>
          <w:sz w:val="28"/>
        </w:rPr>
        <w:t> </w:t>
      </w:r>
      <w:r>
        <w:rPr>
          <w:sz w:val="28"/>
        </w:rPr>
        <w:t>share</w:t>
      </w:r>
      <w:r>
        <w:rPr>
          <w:spacing w:val="-7"/>
          <w:sz w:val="28"/>
        </w:rPr>
        <w:t> </w:t>
      </w:r>
      <w:r>
        <w:rPr>
          <w:sz w:val="28"/>
        </w:rPr>
        <w:t>with</w:t>
      </w:r>
      <w:r>
        <w:rPr>
          <w:spacing w:val="-8"/>
          <w:sz w:val="28"/>
        </w:rPr>
        <w:t> </w:t>
      </w:r>
      <w:r>
        <w:rPr>
          <w:sz w:val="28"/>
        </w:rPr>
        <w:t>this</w:t>
      </w:r>
      <w:r>
        <w:rPr>
          <w:spacing w:val="-8"/>
          <w:sz w:val="28"/>
        </w:rPr>
        <w:t> </w:t>
      </w:r>
      <w:r>
        <w:rPr>
          <w:sz w:val="28"/>
        </w:rPr>
        <w:t>Committee”.</w:t>
      </w:r>
      <w:r>
        <w:rPr>
          <w:sz w:val="28"/>
          <w:vertAlign w:val="superscript"/>
        </w:rPr>
        <w:t>66</w:t>
      </w:r>
      <w:r>
        <w:rPr>
          <w:spacing w:val="-8"/>
          <w:sz w:val="28"/>
          <w:vertAlign w:val="baseline"/>
        </w:rPr>
        <w:t> </w:t>
      </w:r>
      <w:r>
        <w:rPr>
          <w:sz w:val="28"/>
          <w:vertAlign w:val="baseline"/>
        </w:rPr>
        <w:t>The</w:t>
      </w:r>
      <w:r>
        <w:rPr>
          <w:spacing w:val="-7"/>
          <w:sz w:val="28"/>
          <w:vertAlign w:val="baseline"/>
        </w:rPr>
        <w:t> </w:t>
      </w:r>
      <w:r>
        <w:rPr>
          <w:sz w:val="28"/>
          <w:vertAlign w:val="baseline"/>
        </w:rPr>
        <w:t>Sub-</w:t>
      </w:r>
    </w:p>
    <w:p>
      <w:pPr>
        <w:pStyle w:val="BodyText"/>
        <w:spacing w:line="225" w:lineRule="auto"/>
        <w:ind w:left="1853" w:right="1798"/>
      </w:pPr>
      <w:r>
        <w:rPr/>
        <w:t>Committee</w:t>
      </w:r>
      <w:r>
        <w:rPr>
          <w:spacing w:val="-8"/>
        </w:rPr>
        <w:t> </w:t>
      </w:r>
      <w:r>
        <w:rPr/>
        <w:t>also</w:t>
      </w:r>
      <w:r>
        <w:rPr>
          <w:spacing w:val="-9"/>
        </w:rPr>
        <w:t> </w:t>
      </w:r>
      <w:r>
        <w:rPr/>
        <w:t>expressed</w:t>
      </w:r>
      <w:r>
        <w:rPr>
          <w:spacing w:val="-9"/>
        </w:rPr>
        <w:t> </w:t>
      </w:r>
      <w:r>
        <w:rPr/>
        <w:t>concern</w:t>
      </w:r>
      <w:r>
        <w:rPr>
          <w:spacing w:val="-9"/>
        </w:rPr>
        <w:t> </w:t>
      </w:r>
      <w:r>
        <w:rPr/>
        <w:t>that</w:t>
      </w:r>
      <w:r>
        <w:rPr>
          <w:spacing w:val="-8"/>
        </w:rPr>
        <w:t> </w:t>
      </w:r>
      <w:r>
        <w:rPr/>
        <w:t>the</w:t>
      </w:r>
      <w:r>
        <w:rPr>
          <w:spacing w:val="-8"/>
        </w:rPr>
        <w:t> </w:t>
      </w:r>
      <w:r>
        <w:rPr/>
        <w:t>“failure</w:t>
      </w:r>
      <w:r>
        <w:rPr>
          <w:spacing w:val="-8"/>
        </w:rPr>
        <w:t> </w:t>
      </w:r>
      <w:r>
        <w:rPr/>
        <w:t>of</w:t>
      </w:r>
      <w:r>
        <w:rPr>
          <w:spacing w:val="-9"/>
        </w:rPr>
        <w:t> </w:t>
      </w:r>
      <w:r>
        <w:rPr/>
        <w:t>the</w:t>
      </w:r>
      <w:r>
        <w:rPr>
          <w:spacing w:val="-8"/>
        </w:rPr>
        <w:t> </w:t>
      </w:r>
      <w:r>
        <w:rPr/>
        <w:t>Government to respond to letters from this Committee promptly has unacceptably</w:t>
      </w:r>
    </w:p>
    <w:p>
      <w:pPr>
        <w:pStyle w:val="BodyText"/>
        <w:spacing w:line="225" w:lineRule="auto"/>
        <w:ind w:left="1853" w:right="1171"/>
      </w:pPr>
      <w:r>
        <w:rPr/>
        <w:t>constrained</w:t>
      </w:r>
      <w:r>
        <w:rPr>
          <w:spacing w:val="-6"/>
        </w:rPr>
        <w:t> </w:t>
      </w:r>
      <w:r>
        <w:rPr/>
        <w:t>the</w:t>
      </w:r>
      <w:r>
        <w:rPr>
          <w:spacing w:val="-5"/>
        </w:rPr>
        <w:t> </w:t>
      </w:r>
      <w:r>
        <w:rPr/>
        <w:t>ability</w:t>
      </w:r>
      <w:r>
        <w:rPr>
          <w:spacing w:val="-5"/>
        </w:rPr>
        <w:t> </w:t>
      </w:r>
      <w:r>
        <w:rPr/>
        <w:t>of</w:t>
      </w:r>
      <w:r>
        <w:rPr>
          <w:spacing w:val="-6"/>
        </w:rPr>
        <w:t> </w:t>
      </w:r>
      <w:r>
        <w:rPr/>
        <w:t>the</w:t>
      </w:r>
      <w:r>
        <w:rPr>
          <w:spacing w:val="-5"/>
        </w:rPr>
        <w:t> </w:t>
      </w:r>
      <w:r>
        <w:rPr/>
        <w:t>Committee</w:t>
      </w:r>
      <w:r>
        <w:rPr>
          <w:spacing w:val="-5"/>
        </w:rPr>
        <w:t> </w:t>
      </w:r>
      <w:r>
        <w:rPr/>
        <w:t>(and</w:t>
      </w:r>
      <w:r>
        <w:rPr>
          <w:spacing w:val="-6"/>
        </w:rPr>
        <w:t> </w:t>
      </w:r>
      <w:r>
        <w:rPr/>
        <w:t>the</w:t>
      </w:r>
      <w:r>
        <w:rPr>
          <w:spacing w:val="-5"/>
        </w:rPr>
        <w:t> </w:t>
      </w:r>
      <w:r>
        <w:rPr/>
        <w:t>House)</w:t>
      </w:r>
      <w:r>
        <w:rPr>
          <w:spacing w:val="-6"/>
        </w:rPr>
        <w:t> </w:t>
      </w:r>
      <w:r>
        <w:rPr/>
        <w:t>to</w:t>
      </w:r>
      <w:r>
        <w:rPr>
          <w:spacing w:val="-6"/>
        </w:rPr>
        <w:t> </w:t>
      </w:r>
      <w:r>
        <w:rPr/>
        <w:t>scrutinise</w:t>
      </w:r>
      <w:r>
        <w:rPr>
          <w:spacing w:val="-5"/>
        </w:rPr>
        <w:t> </w:t>
      </w:r>
      <w:r>
        <w:rPr/>
        <w:t>the issues raised around this legislation and Article 2”.</w:t>
      </w:r>
      <w:r>
        <w:rPr>
          <w:vertAlign w:val="superscript"/>
        </w:rPr>
        <w:t>67</w:t>
      </w:r>
    </w:p>
    <w:p>
      <w:pPr>
        <w:pStyle w:val="Heading5"/>
        <w:spacing w:before="292"/>
        <w:ind w:left="1133" w:firstLine="0"/>
      </w:pPr>
      <w:bookmarkStart w:name="NI Executive " w:id="21"/>
      <w:bookmarkEnd w:id="21"/>
      <w:r>
        <w:rPr>
          <w:b w:val="0"/>
        </w:rPr>
      </w:r>
      <w:r>
        <w:rPr>
          <w:color w:val="393B7F"/>
        </w:rPr>
        <w:t>NI </w:t>
      </w:r>
      <w:r>
        <w:rPr>
          <w:color w:val="393B7F"/>
          <w:spacing w:val="-2"/>
        </w:rPr>
        <w:t>Executive</w:t>
      </w:r>
    </w:p>
    <w:p>
      <w:pPr>
        <w:pStyle w:val="ListParagraph"/>
        <w:numPr>
          <w:ilvl w:val="1"/>
          <w:numId w:val="5"/>
        </w:numPr>
        <w:tabs>
          <w:tab w:pos="1853" w:val="left" w:leader="none"/>
        </w:tabs>
        <w:spacing w:line="225" w:lineRule="auto" w:before="331" w:after="0"/>
        <w:ind w:left="1853" w:right="1279" w:hanging="720"/>
        <w:jc w:val="left"/>
        <w:rPr>
          <w:sz w:val="28"/>
        </w:rPr>
      </w:pPr>
      <w:r>
        <w:rPr>
          <w:sz w:val="28"/>
        </w:rPr>
        <w:t>In July 2023, the Executive Office launched a consultation on the Draft Strategic</w:t>
      </w:r>
      <w:r>
        <w:rPr>
          <w:spacing w:val="-8"/>
          <w:sz w:val="28"/>
        </w:rPr>
        <w:t> </w:t>
      </w:r>
      <w:r>
        <w:rPr>
          <w:sz w:val="28"/>
        </w:rPr>
        <w:t>Framework</w:t>
      </w:r>
      <w:r>
        <w:rPr>
          <w:spacing w:val="-8"/>
          <w:sz w:val="28"/>
        </w:rPr>
        <w:t> </w:t>
      </w:r>
      <w:r>
        <w:rPr>
          <w:sz w:val="28"/>
        </w:rPr>
        <w:t>to</w:t>
      </w:r>
      <w:r>
        <w:rPr>
          <w:spacing w:val="-8"/>
          <w:sz w:val="28"/>
        </w:rPr>
        <w:t> </w:t>
      </w:r>
      <w:r>
        <w:rPr>
          <w:sz w:val="28"/>
        </w:rPr>
        <w:t>End</w:t>
      </w:r>
      <w:r>
        <w:rPr>
          <w:spacing w:val="-8"/>
          <w:sz w:val="28"/>
        </w:rPr>
        <w:t> </w:t>
      </w:r>
      <w:r>
        <w:rPr>
          <w:sz w:val="28"/>
        </w:rPr>
        <w:t>Violence</w:t>
      </w:r>
      <w:r>
        <w:rPr>
          <w:spacing w:val="-8"/>
          <w:sz w:val="28"/>
        </w:rPr>
        <w:t> </w:t>
      </w:r>
      <w:r>
        <w:rPr>
          <w:sz w:val="28"/>
        </w:rPr>
        <w:t>Against</w:t>
      </w:r>
      <w:r>
        <w:rPr>
          <w:spacing w:val="-8"/>
          <w:sz w:val="28"/>
        </w:rPr>
        <w:t> </w:t>
      </w:r>
      <w:r>
        <w:rPr>
          <w:sz w:val="28"/>
        </w:rPr>
        <w:t>Women</w:t>
      </w:r>
      <w:r>
        <w:rPr>
          <w:spacing w:val="-8"/>
          <w:sz w:val="28"/>
        </w:rPr>
        <w:t> </w:t>
      </w:r>
      <w:r>
        <w:rPr>
          <w:sz w:val="28"/>
        </w:rPr>
        <w:t>and</w:t>
      </w:r>
      <w:r>
        <w:rPr>
          <w:spacing w:val="-8"/>
          <w:sz w:val="28"/>
        </w:rPr>
        <w:t> </w:t>
      </w:r>
      <w:r>
        <w:rPr>
          <w:sz w:val="28"/>
        </w:rPr>
        <w:t>Girls</w:t>
      </w:r>
      <w:r>
        <w:rPr>
          <w:spacing w:val="-8"/>
          <w:sz w:val="28"/>
        </w:rPr>
        <w:t> </w:t>
      </w:r>
      <w:r>
        <w:rPr>
          <w:sz w:val="28"/>
        </w:rPr>
        <w:t>and</w:t>
      </w:r>
      <w:r>
        <w:rPr>
          <w:spacing w:val="-8"/>
          <w:sz w:val="28"/>
        </w:rPr>
        <w:t> </w:t>
      </w:r>
      <w:r>
        <w:rPr>
          <w:sz w:val="28"/>
        </w:rPr>
        <w:t>published an accompanying Windsor Framework Article 2 Impact Assessment.</w:t>
      </w:r>
      <w:r>
        <w:rPr>
          <w:sz w:val="28"/>
          <w:vertAlign w:val="superscript"/>
        </w:rPr>
        <w:t>68</w:t>
      </w:r>
      <w:r>
        <w:rPr>
          <w:sz w:val="28"/>
          <w:vertAlign w:val="baseline"/>
        </w:rPr>
        <w:t> Both Commissions responded separately to the consultation welcoming the inclusion of a Windsor Framework Impact Assessment in relation to the</w:t>
      </w:r>
    </w:p>
    <w:p>
      <w:pPr>
        <w:pStyle w:val="BodyText"/>
        <w:spacing w:line="319" w:lineRule="exact"/>
        <w:ind w:left="1853"/>
      </w:pPr>
      <w:r>
        <w:rPr/>
        <w:t>draft</w:t>
      </w:r>
      <w:r>
        <w:rPr>
          <w:spacing w:val="-7"/>
        </w:rPr>
        <w:t> </w:t>
      </w:r>
      <w:r>
        <w:rPr/>
        <w:t>Strategic</w:t>
      </w:r>
      <w:r>
        <w:rPr>
          <w:spacing w:val="-7"/>
        </w:rPr>
        <w:t> </w:t>
      </w:r>
      <w:r>
        <w:rPr/>
        <w:t>Framework</w:t>
      </w:r>
      <w:r>
        <w:rPr>
          <w:spacing w:val="-7"/>
        </w:rPr>
        <w:t> </w:t>
      </w:r>
      <w:r>
        <w:rPr/>
        <w:t>and</w:t>
      </w:r>
      <w:r>
        <w:rPr>
          <w:spacing w:val="-8"/>
        </w:rPr>
        <w:t> </w:t>
      </w:r>
      <w:r>
        <w:rPr/>
        <w:t>advised</w:t>
      </w:r>
      <w:r>
        <w:rPr>
          <w:spacing w:val="-8"/>
        </w:rPr>
        <w:t> </w:t>
      </w:r>
      <w:r>
        <w:rPr/>
        <w:t>that</w:t>
      </w:r>
      <w:r>
        <w:rPr>
          <w:spacing w:val="-7"/>
        </w:rPr>
        <w:t> </w:t>
      </w:r>
      <w:r>
        <w:rPr/>
        <w:t>they</w:t>
      </w:r>
      <w:r>
        <w:rPr>
          <w:spacing w:val="-7"/>
        </w:rPr>
        <w:t> </w:t>
      </w:r>
      <w:r>
        <w:rPr/>
        <w:t>would</w:t>
      </w:r>
      <w:r>
        <w:rPr>
          <w:spacing w:val="-8"/>
        </w:rPr>
        <w:t> </w:t>
      </w:r>
      <w:r>
        <w:rPr/>
        <w:t>welcome</w:t>
      </w:r>
      <w:r>
        <w:rPr>
          <w:spacing w:val="-7"/>
        </w:rPr>
        <w:t> </w:t>
      </w:r>
      <w:r>
        <w:rPr>
          <w:spacing w:val="-2"/>
        </w:rPr>
        <w:t>further</w:t>
      </w:r>
    </w:p>
    <w:p>
      <w:pPr>
        <w:pStyle w:val="BodyText"/>
        <w:spacing w:before="182"/>
        <w:rPr>
          <w:sz w:val="20"/>
        </w:rPr>
      </w:pPr>
      <w:r>
        <w:rPr/>
        <mc:AlternateContent>
          <mc:Choice Requires="wps">
            <w:drawing>
              <wp:anchor distT="0" distB="0" distL="0" distR="0" allowOverlap="1" layoutInCell="1" locked="0" behindDoc="1" simplePos="0" relativeHeight="487628800">
                <wp:simplePos x="0" y="0"/>
                <wp:positionH relativeFrom="page">
                  <wp:posOffset>719996</wp:posOffset>
                </wp:positionH>
                <wp:positionV relativeFrom="paragraph">
                  <wp:posOffset>286266</wp:posOffset>
                </wp:positionV>
                <wp:extent cx="6120130" cy="1270"/>
                <wp:effectExtent l="0" t="0" r="0" b="0"/>
                <wp:wrapTopAndBottom/>
                <wp:docPr id="144" name="Graphic 144"/>
                <wp:cNvGraphicFramePr>
                  <a:graphicFrameLocks/>
                </wp:cNvGraphicFramePr>
                <a:graphic>
                  <a:graphicData uri="http://schemas.microsoft.com/office/word/2010/wordprocessingShape">
                    <wps:wsp>
                      <wps:cNvPr id="144" name="Graphic 144"/>
                      <wps:cNvSpPr/>
                      <wps:spPr>
                        <a:xfrm>
                          <a:off x="0" y="0"/>
                          <a:ext cx="6120130" cy="1270"/>
                        </a:xfrm>
                        <a:custGeom>
                          <a:avLst/>
                          <a:gdLst/>
                          <a:ahLst/>
                          <a:cxnLst/>
                          <a:rect l="l" t="t" r="r" b="b"/>
                          <a:pathLst>
                            <a:path w="6120130" h="0">
                              <a:moveTo>
                                <a:pt x="6120003" y="0"/>
                              </a:moveTo>
                              <a:lnTo>
                                <a:pt x="0"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2.540699pt;width:481.9pt;height:.1pt;mso-position-horizontal-relative:page;mso-position-vertical-relative:paragraph;z-index:-15687680;mso-wrap-distance-left:0;mso-wrap-distance-right:0" id="docshape101" coordorigin="1134,451" coordsize="9638,0" path="m10772,451l1134,451e" filled="false" stroked="true" strokeweight="1pt" strokecolor="#393b7f">
                <v:path arrowok="t"/>
                <v:stroke dashstyle="solid"/>
                <w10:wrap type="topAndBottom"/>
              </v:shape>
            </w:pict>
          </mc:Fallback>
        </mc:AlternateContent>
      </w:r>
    </w:p>
    <w:p>
      <w:pPr>
        <w:pStyle w:val="ListParagraph"/>
        <w:numPr>
          <w:ilvl w:val="0"/>
          <w:numId w:val="3"/>
        </w:numPr>
        <w:tabs>
          <w:tab w:pos="1853" w:val="left" w:leader="none"/>
        </w:tabs>
        <w:spacing w:line="218" w:lineRule="exact" w:before="132" w:after="0"/>
        <w:ind w:left="1853" w:right="0" w:hanging="720"/>
        <w:jc w:val="left"/>
        <w:rPr>
          <w:sz w:val="18"/>
        </w:rPr>
      </w:pPr>
      <w:r>
        <w:rPr>
          <w:sz w:val="18"/>
        </w:rPr>
        <w:t>NI</w:t>
      </w:r>
      <w:r>
        <w:rPr>
          <w:spacing w:val="-4"/>
          <w:sz w:val="18"/>
        </w:rPr>
        <w:t> </w:t>
      </w:r>
      <w:r>
        <w:rPr>
          <w:sz w:val="18"/>
        </w:rPr>
        <w:t>Office,</w:t>
      </w:r>
      <w:r>
        <w:rPr>
          <w:spacing w:val="-4"/>
          <w:sz w:val="18"/>
        </w:rPr>
        <w:t> </w:t>
      </w:r>
      <w:r>
        <w:rPr>
          <w:sz w:val="18"/>
        </w:rPr>
        <w:t>‘Safeguarding</w:t>
      </w:r>
      <w:r>
        <w:rPr>
          <w:spacing w:val="-3"/>
          <w:sz w:val="18"/>
        </w:rPr>
        <w:t> </w:t>
      </w:r>
      <w:r>
        <w:rPr>
          <w:sz w:val="18"/>
        </w:rPr>
        <w:t>the</w:t>
      </w:r>
      <w:r>
        <w:rPr>
          <w:spacing w:val="-4"/>
          <w:sz w:val="18"/>
        </w:rPr>
        <w:t> </w:t>
      </w:r>
      <w:r>
        <w:rPr>
          <w:sz w:val="18"/>
        </w:rPr>
        <w:t>Union’</w:t>
      </w:r>
      <w:r>
        <w:rPr>
          <w:spacing w:val="-4"/>
          <w:sz w:val="18"/>
        </w:rPr>
        <w:t> </w:t>
      </w:r>
      <w:r>
        <w:rPr>
          <w:sz w:val="18"/>
        </w:rPr>
        <w:t>(NIO,</w:t>
      </w:r>
      <w:r>
        <w:rPr>
          <w:spacing w:val="-3"/>
          <w:sz w:val="18"/>
        </w:rPr>
        <w:t> </w:t>
      </w:r>
      <w:r>
        <w:rPr>
          <w:sz w:val="18"/>
        </w:rPr>
        <w:t>2024),</w:t>
      </w:r>
      <w:r>
        <w:rPr>
          <w:spacing w:val="-4"/>
          <w:sz w:val="18"/>
        </w:rPr>
        <w:t> </w:t>
      </w:r>
      <w:r>
        <w:rPr>
          <w:sz w:val="18"/>
        </w:rPr>
        <w:t>at</w:t>
      </w:r>
      <w:r>
        <w:rPr>
          <w:spacing w:val="-4"/>
          <w:sz w:val="18"/>
        </w:rPr>
        <w:t> </w:t>
      </w:r>
      <w:r>
        <w:rPr>
          <w:sz w:val="18"/>
        </w:rPr>
        <w:t>para</w:t>
      </w:r>
      <w:r>
        <w:rPr>
          <w:spacing w:val="-4"/>
          <w:sz w:val="18"/>
        </w:rPr>
        <w:t> </w:t>
      </w:r>
      <w:r>
        <w:rPr>
          <w:spacing w:val="-5"/>
          <w:sz w:val="18"/>
        </w:rPr>
        <w:t>46.</w:t>
      </w:r>
    </w:p>
    <w:p>
      <w:pPr>
        <w:pStyle w:val="ListParagraph"/>
        <w:numPr>
          <w:ilvl w:val="0"/>
          <w:numId w:val="3"/>
        </w:numPr>
        <w:tabs>
          <w:tab w:pos="1853" w:val="left" w:leader="none"/>
        </w:tabs>
        <w:spacing w:line="216"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para</w:t>
      </w:r>
      <w:r>
        <w:rPr>
          <w:spacing w:val="-2"/>
          <w:sz w:val="18"/>
        </w:rPr>
        <w:t> </w:t>
      </w:r>
      <w:r>
        <w:rPr>
          <w:spacing w:val="-5"/>
          <w:sz w:val="18"/>
        </w:rPr>
        <w:t>46.</w:t>
      </w:r>
    </w:p>
    <w:p>
      <w:pPr>
        <w:pStyle w:val="ListParagraph"/>
        <w:numPr>
          <w:ilvl w:val="0"/>
          <w:numId w:val="3"/>
        </w:numPr>
        <w:tabs>
          <w:tab w:pos="1853" w:val="left" w:leader="none"/>
        </w:tabs>
        <w:spacing w:line="235" w:lineRule="auto" w:before="2" w:after="0"/>
        <w:ind w:left="1853" w:right="1169" w:hanging="720"/>
        <w:jc w:val="left"/>
        <w:rPr>
          <w:sz w:val="18"/>
        </w:rPr>
      </w:pPr>
      <w:r>
        <w:rPr>
          <w:sz w:val="18"/>
        </w:rPr>
        <w:t>Letter</w:t>
      </w:r>
      <w:r>
        <w:rPr>
          <w:spacing w:val="-4"/>
          <w:sz w:val="18"/>
        </w:rPr>
        <w:t> </w:t>
      </w:r>
      <w:r>
        <w:rPr>
          <w:sz w:val="18"/>
        </w:rPr>
        <w:t>from</w:t>
      </w:r>
      <w:r>
        <w:rPr>
          <w:spacing w:val="-3"/>
          <w:sz w:val="18"/>
        </w:rPr>
        <w:t> </w:t>
      </w:r>
      <w:r>
        <w:rPr>
          <w:sz w:val="18"/>
        </w:rPr>
        <w:t>Parliamentary</w:t>
      </w:r>
      <w:r>
        <w:rPr>
          <w:spacing w:val="-3"/>
          <w:sz w:val="18"/>
        </w:rPr>
        <w:t> </w:t>
      </w:r>
      <w:r>
        <w:rPr>
          <w:sz w:val="18"/>
        </w:rPr>
        <w:t>Under</w:t>
      </w:r>
      <w:r>
        <w:rPr>
          <w:spacing w:val="-4"/>
          <w:sz w:val="18"/>
        </w:rPr>
        <w:t> </w:t>
      </w:r>
      <w:r>
        <w:rPr>
          <w:sz w:val="18"/>
        </w:rPr>
        <w:t>Secretary</w:t>
      </w:r>
      <w:r>
        <w:rPr>
          <w:spacing w:val="-3"/>
          <w:sz w:val="18"/>
        </w:rPr>
        <w:t> </w:t>
      </w:r>
      <w:r>
        <w:rPr>
          <w:sz w:val="18"/>
        </w:rPr>
        <w:t>of</w:t>
      </w:r>
      <w:r>
        <w:rPr>
          <w:spacing w:val="-4"/>
          <w:sz w:val="18"/>
        </w:rPr>
        <w:t> </w:t>
      </w:r>
      <w:r>
        <w:rPr>
          <w:sz w:val="18"/>
        </w:rPr>
        <w:t>State</w:t>
      </w:r>
      <w:r>
        <w:rPr>
          <w:spacing w:val="-4"/>
          <w:sz w:val="18"/>
        </w:rPr>
        <w:t> </w:t>
      </w:r>
      <w:r>
        <w:rPr>
          <w:sz w:val="18"/>
        </w:rPr>
        <w:t>in</w:t>
      </w:r>
      <w:r>
        <w:rPr>
          <w:spacing w:val="-4"/>
          <w:sz w:val="18"/>
        </w:rPr>
        <w:t> </w:t>
      </w:r>
      <w:r>
        <w:rPr>
          <w:sz w:val="18"/>
        </w:rPr>
        <w:t>the</w:t>
      </w:r>
      <w:r>
        <w:rPr>
          <w:spacing w:val="-4"/>
          <w:sz w:val="18"/>
        </w:rPr>
        <w:t> </w:t>
      </w:r>
      <w:r>
        <w:rPr>
          <w:sz w:val="18"/>
        </w:rPr>
        <w:t>Home</w:t>
      </w:r>
      <w:r>
        <w:rPr>
          <w:spacing w:val="-4"/>
          <w:sz w:val="18"/>
        </w:rPr>
        <w:t> </w:t>
      </w:r>
      <w:r>
        <w:rPr>
          <w:sz w:val="18"/>
        </w:rPr>
        <w:t>Office,</w:t>
      </w:r>
      <w:r>
        <w:rPr>
          <w:spacing w:val="-4"/>
          <w:sz w:val="18"/>
        </w:rPr>
        <w:t> </w:t>
      </w:r>
      <w:r>
        <w:rPr>
          <w:sz w:val="18"/>
        </w:rPr>
        <w:t>Lord</w:t>
      </w:r>
      <w:r>
        <w:rPr>
          <w:spacing w:val="-4"/>
          <w:sz w:val="18"/>
        </w:rPr>
        <w:t> </w:t>
      </w:r>
      <w:r>
        <w:rPr>
          <w:sz w:val="18"/>
        </w:rPr>
        <w:t>Sharpe</w:t>
      </w:r>
      <w:r>
        <w:rPr>
          <w:spacing w:val="-4"/>
          <w:sz w:val="18"/>
        </w:rPr>
        <w:t> </w:t>
      </w:r>
      <w:r>
        <w:rPr>
          <w:sz w:val="18"/>
        </w:rPr>
        <w:t>of</w:t>
      </w:r>
      <w:r>
        <w:rPr>
          <w:spacing w:val="-4"/>
          <w:sz w:val="18"/>
        </w:rPr>
        <w:t> </w:t>
      </w:r>
      <w:r>
        <w:rPr>
          <w:sz w:val="18"/>
        </w:rPr>
        <w:t>Epson,</w:t>
      </w:r>
      <w:r>
        <w:rPr>
          <w:spacing w:val="-4"/>
          <w:sz w:val="18"/>
        </w:rPr>
        <w:t> </w:t>
      </w:r>
      <w:r>
        <w:rPr>
          <w:sz w:val="18"/>
        </w:rPr>
        <w:t>to</w:t>
      </w:r>
      <w:r>
        <w:rPr>
          <w:spacing w:val="-4"/>
          <w:sz w:val="18"/>
        </w:rPr>
        <w:t> </w:t>
      </w:r>
      <w:r>
        <w:rPr>
          <w:sz w:val="18"/>
        </w:rPr>
        <w:t>the</w:t>
      </w:r>
      <w:r>
        <w:rPr>
          <w:spacing w:val="-4"/>
          <w:sz w:val="18"/>
        </w:rPr>
        <w:t> </w:t>
      </w:r>
      <w:r>
        <w:rPr>
          <w:sz w:val="18"/>
        </w:rPr>
        <w:t>Chair</w:t>
      </w:r>
      <w:r>
        <w:rPr>
          <w:spacing w:val="-3"/>
          <w:sz w:val="18"/>
        </w:rPr>
        <w:t> </w:t>
      </w:r>
      <w:r>
        <w:rPr>
          <w:sz w:val="18"/>
        </w:rPr>
        <w:t>of</w:t>
      </w:r>
      <w:r>
        <w:rPr>
          <w:spacing w:val="-4"/>
          <w:sz w:val="18"/>
        </w:rPr>
        <w:t> </w:t>
      </w:r>
      <w:r>
        <w:rPr>
          <w:sz w:val="18"/>
        </w:rPr>
        <w:t>the</w:t>
      </w:r>
      <w:r>
        <w:rPr>
          <w:spacing w:val="-4"/>
          <w:sz w:val="18"/>
        </w:rPr>
        <w:t> </w:t>
      </w:r>
      <w:r>
        <w:rPr>
          <w:sz w:val="18"/>
        </w:rPr>
        <w:t>House</w:t>
      </w:r>
      <w:r>
        <w:rPr>
          <w:spacing w:val="-4"/>
          <w:sz w:val="18"/>
        </w:rPr>
        <w:t> </w:t>
      </w:r>
      <w:r>
        <w:rPr>
          <w:sz w:val="18"/>
        </w:rPr>
        <w:t>of Lords Sub-Committee on the Windsor Framework, Lord Jay, 12 February 2024.</w:t>
      </w:r>
    </w:p>
    <w:p>
      <w:pPr>
        <w:pStyle w:val="ListParagraph"/>
        <w:numPr>
          <w:ilvl w:val="0"/>
          <w:numId w:val="3"/>
        </w:numPr>
        <w:tabs>
          <w:tab w:pos="1853" w:val="left" w:leader="none"/>
        </w:tabs>
        <w:spacing w:line="235" w:lineRule="auto" w:before="1" w:after="0"/>
        <w:ind w:left="1853" w:right="1229" w:hanging="720"/>
        <w:jc w:val="left"/>
        <w:rPr>
          <w:sz w:val="18"/>
        </w:rPr>
      </w:pPr>
      <w:r>
        <w:rPr>
          <w:sz w:val="18"/>
        </w:rPr>
        <w:t>Letter</w:t>
      </w:r>
      <w:r>
        <w:rPr>
          <w:spacing w:val="-5"/>
          <w:sz w:val="18"/>
        </w:rPr>
        <w:t> </w:t>
      </w:r>
      <w:r>
        <w:rPr>
          <w:sz w:val="18"/>
        </w:rPr>
        <w:t>from</w:t>
      </w:r>
      <w:r>
        <w:rPr>
          <w:spacing w:val="-5"/>
          <w:sz w:val="18"/>
        </w:rPr>
        <w:t> </w:t>
      </w:r>
      <w:r>
        <w:rPr>
          <w:sz w:val="18"/>
        </w:rPr>
        <w:t>the</w:t>
      </w:r>
      <w:r>
        <w:rPr>
          <w:spacing w:val="-5"/>
          <w:sz w:val="18"/>
        </w:rPr>
        <w:t> </w:t>
      </w:r>
      <w:r>
        <w:rPr>
          <w:sz w:val="18"/>
        </w:rPr>
        <w:t>Chair</w:t>
      </w:r>
      <w:r>
        <w:rPr>
          <w:spacing w:val="-5"/>
          <w:sz w:val="18"/>
        </w:rPr>
        <w:t> </w:t>
      </w:r>
      <w:r>
        <w:rPr>
          <w:sz w:val="18"/>
        </w:rPr>
        <w:t>of</w:t>
      </w:r>
      <w:r>
        <w:rPr>
          <w:spacing w:val="-6"/>
          <w:sz w:val="18"/>
        </w:rPr>
        <w:t> </w:t>
      </w:r>
      <w:r>
        <w:rPr>
          <w:sz w:val="18"/>
        </w:rPr>
        <w:t>the</w:t>
      </w:r>
      <w:r>
        <w:rPr>
          <w:spacing w:val="-5"/>
          <w:sz w:val="18"/>
        </w:rPr>
        <w:t> </w:t>
      </w:r>
      <w:r>
        <w:rPr>
          <w:sz w:val="18"/>
        </w:rPr>
        <w:t>House</w:t>
      </w:r>
      <w:r>
        <w:rPr>
          <w:spacing w:val="-5"/>
          <w:sz w:val="18"/>
        </w:rPr>
        <w:t> </w:t>
      </w:r>
      <w:r>
        <w:rPr>
          <w:sz w:val="18"/>
        </w:rPr>
        <w:t>of</w:t>
      </w:r>
      <w:r>
        <w:rPr>
          <w:spacing w:val="-6"/>
          <w:sz w:val="18"/>
        </w:rPr>
        <w:t> </w:t>
      </w:r>
      <w:r>
        <w:rPr>
          <w:sz w:val="18"/>
        </w:rPr>
        <w:t>Lords</w:t>
      </w:r>
      <w:r>
        <w:rPr>
          <w:spacing w:val="-6"/>
          <w:sz w:val="18"/>
        </w:rPr>
        <w:t> </w:t>
      </w:r>
      <w:r>
        <w:rPr>
          <w:sz w:val="18"/>
        </w:rPr>
        <w:t>Sub-Committee</w:t>
      </w:r>
      <w:r>
        <w:rPr>
          <w:spacing w:val="-5"/>
          <w:sz w:val="18"/>
        </w:rPr>
        <w:t> </w:t>
      </w:r>
      <w:r>
        <w:rPr>
          <w:sz w:val="18"/>
        </w:rPr>
        <w:t>on</w:t>
      </w:r>
      <w:r>
        <w:rPr>
          <w:spacing w:val="-6"/>
          <w:sz w:val="18"/>
        </w:rPr>
        <w:t> </w:t>
      </w:r>
      <w:r>
        <w:rPr>
          <w:sz w:val="18"/>
        </w:rPr>
        <w:t>the</w:t>
      </w:r>
      <w:r>
        <w:rPr>
          <w:spacing w:val="-5"/>
          <w:sz w:val="18"/>
        </w:rPr>
        <w:t> </w:t>
      </w:r>
      <w:r>
        <w:rPr>
          <w:sz w:val="18"/>
        </w:rPr>
        <w:t>Windsor</w:t>
      </w:r>
      <w:r>
        <w:rPr>
          <w:spacing w:val="-5"/>
          <w:sz w:val="18"/>
        </w:rPr>
        <w:t> </w:t>
      </w:r>
      <w:r>
        <w:rPr>
          <w:sz w:val="18"/>
        </w:rPr>
        <w:t>Framework,</w:t>
      </w:r>
      <w:r>
        <w:rPr>
          <w:spacing w:val="-5"/>
          <w:sz w:val="18"/>
        </w:rPr>
        <w:t> </w:t>
      </w:r>
      <w:r>
        <w:rPr>
          <w:sz w:val="18"/>
        </w:rPr>
        <w:t>Lord</w:t>
      </w:r>
      <w:r>
        <w:rPr>
          <w:spacing w:val="-6"/>
          <w:sz w:val="18"/>
        </w:rPr>
        <w:t> </w:t>
      </w:r>
      <w:r>
        <w:rPr>
          <w:sz w:val="18"/>
        </w:rPr>
        <w:t>Jay,</w:t>
      </w:r>
      <w:r>
        <w:rPr>
          <w:spacing w:val="-5"/>
          <w:sz w:val="18"/>
        </w:rPr>
        <w:t> </w:t>
      </w:r>
      <w:r>
        <w:rPr>
          <w:sz w:val="18"/>
        </w:rPr>
        <w:t>to</w:t>
      </w:r>
      <w:r>
        <w:rPr>
          <w:spacing w:val="-6"/>
          <w:sz w:val="18"/>
        </w:rPr>
        <w:t> </w:t>
      </w:r>
      <w:r>
        <w:rPr>
          <w:sz w:val="18"/>
        </w:rPr>
        <w:t>Parliamentary</w:t>
      </w:r>
      <w:r>
        <w:rPr>
          <w:spacing w:val="-5"/>
          <w:sz w:val="18"/>
        </w:rPr>
        <w:t> </w:t>
      </w:r>
      <w:r>
        <w:rPr>
          <w:sz w:val="18"/>
        </w:rPr>
        <w:t>Under Secretary of State in the Home Office, Lord Sharpe of Epson, 7 March 2024.</w:t>
      </w:r>
    </w:p>
    <w:p>
      <w:pPr>
        <w:pStyle w:val="ListParagraph"/>
        <w:numPr>
          <w:ilvl w:val="0"/>
          <w:numId w:val="3"/>
        </w:numPr>
        <w:tabs>
          <w:tab w:pos="1853" w:val="left" w:leader="none"/>
        </w:tabs>
        <w:spacing w:line="216" w:lineRule="exact" w:before="0" w:after="0"/>
        <w:ind w:left="1853" w:right="0" w:hanging="720"/>
        <w:jc w:val="left"/>
        <w:rPr>
          <w:sz w:val="18"/>
        </w:rPr>
      </w:pPr>
      <w:r>
        <w:rPr>
          <w:spacing w:val="-4"/>
          <w:sz w:val="18"/>
        </w:rPr>
        <w:t>Ibid.</w:t>
      </w:r>
    </w:p>
    <w:p>
      <w:pPr>
        <w:pStyle w:val="ListParagraph"/>
        <w:numPr>
          <w:ilvl w:val="0"/>
          <w:numId w:val="3"/>
        </w:numPr>
        <w:tabs>
          <w:tab w:pos="1853" w:val="left" w:leader="none"/>
        </w:tabs>
        <w:spacing w:line="216" w:lineRule="exact" w:before="0" w:after="0"/>
        <w:ind w:left="1853" w:right="0" w:hanging="720"/>
        <w:jc w:val="left"/>
        <w:rPr>
          <w:sz w:val="18"/>
        </w:rPr>
      </w:pPr>
      <w:r>
        <w:rPr>
          <w:spacing w:val="-4"/>
          <w:sz w:val="18"/>
        </w:rPr>
        <w:t>Ibid.</w:t>
      </w:r>
    </w:p>
    <w:p>
      <w:pPr>
        <w:pStyle w:val="ListParagraph"/>
        <w:numPr>
          <w:ilvl w:val="0"/>
          <w:numId w:val="3"/>
        </w:numPr>
        <w:tabs>
          <w:tab w:pos="1853" w:val="left" w:leader="none"/>
        </w:tabs>
        <w:spacing w:line="235" w:lineRule="auto" w:before="1" w:after="0"/>
        <w:ind w:left="1853" w:right="1676" w:hanging="720"/>
        <w:jc w:val="left"/>
        <w:rPr>
          <w:sz w:val="18"/>
        </w:rPr>
      </w:pPr>
      <w:r>
        <w:rPr>
          <w:sz w:val="18"/>
        </w:rPr>
        <w:t>The</w:t>
      </w:r>
      <w:r>
        <w:rPr>
          <w:spacing w:val="-7"/>
          <w:sz w:val="18"/>
        </w:rPr>
        <w:t> </w:t>
      </w:r>
      <w:r>
        <w:rPr>
          <w:sz w:val="18"/>
        </w:rPr>
        <w:t>Executive</w:t>
      </w:r>
      <w:r>
        <w:rPr>
          <w:spacing w:val="-7"/>
          <w:sz w:val="18"/>
        </w:rPr>
        <w:t> </w:t>
      </w:r>
      <w:r>
        <w:rPr>
          <w:sz w:val="18"/>
        </w:rPr>
        <w:t>Office,</w:t>
      </w:r>
      <w:r>
        <w:rPr>
          <w:spacing w:val="-7"/>
          <w:sz w:val="18"/>
        </w:rPr>
        <w:t> </w:t>
      </w:r>
      <w:r>
        <w:rPr>
          <w:sz w:val="18"/>
        </w:rPr>
        <w:t>‘Article</w:t>
      </w:r>
      <w:r>
        <w:rPr>
          <w:spacing w:val="-7"/>
          <w:sz w:val="18"/>
        </w:rPr>
        <w:t> </w:t>
      </w:r>
      <w:r>
        <w:rPr>
          <w:sz w:val="18"/>
        </w:rPr>
        <w:t>2(1)</w:t>
      </w:r>
      <w:r>
        <w:rPr>
          <w:spacing w:val="-8"/>
          <w:sz w:val="18"/>
        </w:rPr>
        <w:t> </w:t>
      </w:r>
      <w:r>
        <w:rPr>
          <w:sz w:val="18"/>
        </w:rPr>
        <w:t>Windsor</w:t>
      </w:r>
      <w:r>
        <w:rPr>
          <w:spacing w:val="-7"/>
          <w:sz w:val="18"/>
        </w:rPr>
        <w:t> </w:t>
      </w:r>
      <w:r>
        <w:rPr>
          <w:sz w:val="18"/>
        </w:rPr>
        <w:t>Framework</w:t>
      </w:r>
      <w:r>
        <w:rPr>
          <w:spacing w:val="-7"/>
          <w:sz w:val="18"/>
        </w:rPr>
        <w:t> </w:t>
      </w:r>
      <w:r>
        <w:rPr>
          <w:sz w:val="18"/>
        </w:rPr>
        <w:t>Impact</w:t>
      </w:r>
      <w:r>
        <w:rPr>
          <w:spacing w:val="-7"/>
          <w:sz w:val="18"/>
        </w:rPr>
        <w:t> </w:t>
      </w:r>
      <w:r>
        <w:rPr>
          <w:sz w:val="18"/>
        </w:rPr>
        <w:t>Assessment</w:t>
      </w:r>
      <w:r>
        <w:rPr>
          <w:spacing w:val="-7"/>
          <w:sz w:val="18"/>
        </w:rPr>
        <w:t> </w:t>
      </w:r>
      <w:r>
        <w:rPr>
          <w:sz w:val="18"/>
        </w:rPr>
        <w:t>for</w:t>
      </w:r>
      <w:r>
        <w:rPr>
          <w:spacing w:val="-7"/>
          <w:sz w:val="18"/>
        </w:rPr>
        <w:t> </w:t>
      </w:r>
      <w:r>
        <w:rPr>
          <w:sz w:val="18"/>
        </w:rPr>
        <w:t>the</w:t>
      </w:r>
      <w:r>
        <w:rPr>
          <w:spacing w:val="-7"/>
          <w:sz w:val="18"/>
        </w:rPr>
        <w:t> </w:t>
      </w:r>
      <w:r>
        <w:rPr>
          <w:sz w:val="18"/>
        </w:rPr>
        <w:t>Draft</w:t>
      </w:r>
      <w:r>
        <w:rPr>
          <w:spacing w:val="-7"/>
          <w:sz w:val="18"/>
        </w:rPr>
        <w:t> </w:t>
      </w:r>
      <w:r>
        <w:rPr>
          <w:sz w:val="18"/>
        </w:rPr>
        <w:t>Strategic</w:t>
      </w:r>
      <w:r>
        <w:rPr>
          <w:spacing w:val="-7"/>
          <w:sz w:val="18"/>
        </w:rPr>
        <w:t> </w:t>
      </w:r>
      <w:r>
        <w:rPr>
          <w:sz w:val="18"/>
        </w:rPr>
        <w:t>Framework</w:t>
      </w:r>
      <w:r>
        <w:rPr>
          <w:spacing w:val="-7"/>
          <w:sz w:val="18"/>
        </w:rPr>
        <w:t> </w:t>
      </w:r>
      <w:r>
        <w:rPr>
          <w:sz w:val="18"/>
        </w:rPr>
        <w:t>to</w:t>
      </w:r>
      <w:r>
        <w:rPr>
          <w:spacing w:val="-8"/>
          <w:sz w:val="18"/>
        </w:rPr>
        <w:t> </w:t>
      </w:r>
      <w:r>
        <w:rPr>
          <w:sz w:val="18"/>
        </w:rPr>
        <w:t>End Violence Against Women and Girls’ (TEO, 2023).</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pPr>
      <w:bookmarkStart w:name="_bookmark10" w:id="22"/>
      <w:bookmarkEnd w:id="22"/>
      <w:r>
        <w:rPr/>
      </w:r>
      <w:r>
        <w:rPr/>
        <w:t>engagement with the Executive Office on it.</w:t>
      </w:r>
      <w:r>
        <w:rPr>
          <w:vertAlign w:val="superscript"/>
        </w:rPr>
        <w:t>69</w:t>
      </w:r>
      <w:r>
        <w:rPr>
          <w:vertAlign w:val="baseline"/>
        </w:rPr>
        <w:t> Both Commissions also called for the development and implementation of training and guidance for departmental officials on Windsor Framework Article 2, including Impact Assessments,</w:t>
      </w:r>
      <w:r>
        <w:rPr>
          <w:spacing w:val="-7"/>
          <w:vertAlign w:val="baseline"/>
        </w:rPr>
        <w:t> </w:t>
      </w:r>
      <w:r>
        <w:rPr>
          <w:vertAlign w:val="baseline"/>
        </w:rPr>
        <w:t>to</w:t>
      </w:r>
      <w:r>
        <w:rPr>
          <w:spacing w:val="-8"/>
          <w:vertAlign w:val="baseline"/>
        </w:rPr>
        <w:t> </w:t>
      </w:r>
      <w:r>
        <w:rPr>
          <w:vertAlign w:val="baseline"/>
        </w:rPr>
        <w:t>embed</w:t>
      </w:r>
      <w:r>
        <w:rPr>
          <w:spacing w:val="-8"/>
          <w:vertAlign w:val="baseline"/>
        </w:rPr>
        <w:t> </w:t>
      </w:r>
      <w:r>
        <w:rPr>
          <w:vertAlign w:val="baseline"/>
        </w:rPr>
        <w:t>consideration</w:t>
      </w:r>
      <w:r>
        <w:rPr>
          <w:spacing w:val="-8"/>
          <w:vertAlign w:val="baseline"/>
        </w:rPr>
        <w:t> </w:t>
      </w:r>
      <w:r>
        <w:rPr>
          <w:vertAlign w:val="baseline"/>
        </w:rPr>
        <w:t>of</w:t>
      </w:r>
      <w:r>
        <w:rPr>
          <w:spacing w:val="-8"/>
          <w:vertAlign w:val="baseline"/>
        </w:rPr>
        <w:t> </w:t>
      </w:r>
      <w:r>
        <w:rPr>
          <w:vertAlign w:val="baseline"/>
        </w:rPr>
        <w:t>Article</w:t>
      </w:r>
      <w:r>
        <w:rPr>
          <w:spacing w:val="-7"/>
          <w:vertAlign w:val="baseline"/>
        </w:rPr>
        <w:t> </w:t>
      </w:r>
      <w:r>
        <w:rPr>
          <w:vertAlign w:val="baseline"/>
        </w:rPr>
        <w:t>2</w:t>
      </w:r>
      <w:r>
        <w:rPr>
          <w:spacing w:val="-7"/>
          <w:vertAlign w:val="baseline"/>
        </w:rPr>
        <w:t> </w:t>
      </w:r>
      <w:r>
        <w:rPr>
          <w:vertAlign w:val="baseline"/>
        </w:rPr>
        <w:t>throughout</w:t>
      </w:r>
      <w:r>
        <w:rPr>
          <w:spacing w:val="-7"/>
          <w:vertAlign w:val="baseline"/>
        </w:rPr>
        <w:t> </w:t>
      </w:r>
      <w:r>
        <w:rPr>
          <w:vertAlign w:val="baseline"/>
        </w:rPr>
        <w:t>legislative</w:t>
      </w:r>
      <w:r>
        <w:rPr>
          <w:spacing w:val="-7"/>
          <w:vertAlign w:val="baseline"/>
        </w:rPr>
        <w:t> </w:t>
      </w:r>
      <w:r>
        <w:rPr>
          <w:vertAlign w:val="baseline"/>
        </w:rPr>
        <w:t>and policy processes.</w:t>
      </w:r>
      <w:r>
        <w:rPr>
          <w:vertAlign w:val="superscript"/>
        </w:rPr>
        <w:t>70</w:t>
      </w:r>
    </w:p>
    <w:p>
      <w:pPr>
        <w:pStyle w:val="ListParagraph"/>
        <w:numPr>
          <w:ilvl w:val="1"/>
          <w:numId w:val="5"/>
        </w:numPr>
        <w:tabs>
          <w:tab w:pos="1853" w:val="left" w:leader="none"/>
        </w:tabs>
        <w:spacing w:line="225" w:lineRule="auto" w:before="314" w:after="0"/>
        <w:ind w:left="1853" w:right="1468" w:hanging="720"/>
        <w:jc w:val="left"/>
        <w:rPr>
          <w:sz w:val="28"/>
        </w:rPr>
      </w:pPr>
      <w:r>
        <w:rPr>
          <w:sz w:val="28"/>
        </w:rPr>
        <w:t>In</w:t>
      </w:r>
      <w:r>
        <w:rPr>
          <w:spacing w:val="-3"/>
          <w:sz w:val="28"/>
        </w:rPr>
        <w:t> </w:t>
      </w:r>
      <w:r>
        <w:rPr>
          <w:sz w:val="28"/>
        </w:rPr>
        <w:t>November</w:t>
      </w:r>
      <w:r>
        <w:rPr>
          <w:spacing w:val="-2"/>
          <w:sz w:val="28"/>
        </w:rPr>
        <w:t> </w:t>
      </w:r>
      <w:r>
        <w:rPr>
          <w:sz w:val="28"/>
        </w:rPr>
        <w:t>2023,</w:t>
      </w:r>
      <w:r>
        <w:rPr>
          <w:spacing w:val="-2"/>
          <w:sz w:val="28"/>
        </w:rPr>
        <w:t> </w:t>
      </w:r>
      <w:r>
        <w:rPr>
          <w:sz w:val="28"/>
        </w:rPr>
        <w:t>the</w:t>
      </w:r>
      <w:r>
        <w:rPr>
          <w:spacing w:val="-2"/>
          <w:sz w:val="28"/>
        </w:rPr>
        <w:t> </w:t>
      </w:r>
      <w:r>
        <w:rPr>
          <w:sz w:val="28"/>
        </w:rPr>
        <w:t>Executive</w:t>
      </w:r>
      <w:r>
        <w:rPr>
          <w:spacing w:val="-2"/>
          <w:sz w:val="28"/>
        </w:rPr>
        <w:t> </w:t>
      </w:r>
      <w:r>
        <w:rPr>
          <w:sz w:val="28"/>
        </w:rPr>
        <w:t>Office</w:t>
      </w:r>
      <w:r>
        <w:rPr>
          <w:spacing w:val="-2"/>
          <w:sz w:val="28"/>
        </w:rPr>
        <w:t> </w:t>
      </w:r>
      <w:r>
        <w:rPr>
          <w:sz w:val="28"/>
        </w:rPr>
        <w:t>delivered</w:t>
      </w:r>
      <w:r>
        <w:rPr>
          <w:spacing w:val="-3"/>
          <w:sz w:val="28"/>
        </w:rPr>
        <w:t> </w:t>
      </w:r>
      <w:r>
        <w:rPr>
          <w:sz w:val="28"/>
        </w:rPr>
        <w:t>an</w:t>
      </w:r>
      <w:r>
        <w:rPr>
          <w:spacing w:val="-3"/>
          <w:sz w:val="28"/>
        </w:rPr>
        <w:t> </w:t>
      </w:r>
      <w:r>
        <w:rPr>
          <w:sz w:val="28"/>
        </w:rPr>
        <w:t>initial</w:t>
      </w:r>
      <w:r>
        <w:rPr>
          <w:spacing w:val="-3"/>
          <w:sz w:val="28"/>
        </w:rPr>
        <w:t> </w:t>
      </w:r>
      <w:r>
        <w:rPr>
          <w:sz w:val="28"/>
        </w:rPr>
        <w:t>webinar</w:t>
      </w:r>
      <w:r>
        <w:rPr>
          <w:spacing w:val="-2"/>
          <w:sz w:val="28"/>
        </w:rPr>
        <w:t> </w:t>
      </w:r>
      <w:r>
        <w:rPr>
          <w:sz w:val="28"/>
        </w:rPr>
        <w:t>for</w:t>
      </w:r>
      <w:r>
        <w:rPr>
          <w:spacing w:val="-2"/>
          <w:sz w:val="28"/>
        </w:rPr>
        <w:t> </w:t>
      </w:r>
      <w:r>
        <w:rPr>
          <w:sz w:val="28"/>
        </w:rPr>
        <w:t>civil servants on Windsor Framework Article 2 and has circulated guidance for policy</w:t>
      </w:r>
      <w:r>
        <w:rPr>
          <w:spacing w:val="-7"/>
          <w:sz w:val="28"/>
        </w:rPr>
        <w:t> </w:t>
      </w:r>
      <w:r>
        <w:rPr>
          <w:sz w:val="28"/>
        </w:rPr>
        <w:t>makers</w:t>
      </w:r>
      <w:r>
        <w:rPr>
          <w:spacing w:val="-8"/>
          <w:sz w:val="28"/>
        </w:rPr>
        <w:t> </w:t>
      </w:r>
      <w:r>
        <w:rPr>
          <w:sz w:val="28"/>
        </w:rPr>
        <w:t>and</w:t>
      </w:r>
      <w:r>
        <w:rPr>
          <w:spacing w:val="-8"/>
          <w:sz w:val="28"/>
        </w:rPr>
        <w:t> </w:t>
      </w:r>
      <w:r>
        <w:rPr>
          <w:sz w:val="28"/>
        </w:rPr>
        <w:t>a</w:t>
      </w:r>
      <w:r>
        <w:rPr>
          <w:spacing w:val="-8"/>
          <w:sz w:val="28"/>
        </w:rPr>
        <w:t> </w:t>
      </w:r>
      <w:r>
        <w:rPr>
          <w:sz w:val="28"/>
        </w:rPr>
        <w:t>checklist</w:t>
      </w:r>
      <w:r>
        <w:rPr>
          <w:spacing w:val="-7"/>
          <w:sz w:val="28"/>
        </w:rPr>
        <w:t> </w:t>
      </w:r>
      <w:r>
        <w:rPr>
          <w:sz w:val="28"/>
        </w:rPr>
        <w:t>and</w:t>
      </w:r>
      <w:r>
        <w:rPr>
          <w:spacing w:val="-8"/>
          <w:sz w:val="28"/>
        </w:rPr>
        <w:t> </w:t>
      </w:r>
      <w:r>
        <w:rPr>
          <w:sz w:val="28"/>
        </w:rPr>
        <w:t>screening</w:t>
      </w:r>
      <w:r>
        <w:rPr>
          <w:spacing w:val="-7"/>
          <w:sz w:val="28"/>
        </w:rPr>
        <w:t> </w:t>
      </w:r>
      <w:r>
        <w:rPr>
          <w:sz w:val="28"/>
        </w:rPr>
        <w:t>document.</w:t>
      </w:r>
      <w:r>
        <w:rPr>
          <w:spacing w:val="-8"/>
          <w:sz w:val="28"/>
        </w:rPr>
        <w:t> </w:t>
      </w:r>
      <w:r>
        <w:rPr>
          <w:sz w:val="28"/>
        </w:rPr>
        <w:t>The</w:t>
      </w:r>
      <w:r>
        <w:rPr>
          <w:spacing w:val="-7"/>
          <w:sz w:val="28"/>
        </w:rPr>
        <w:t> </w:t>
      </w:r>
      <w:r>
        <w:rPr>
          <w:sz w:val="28"/>
        </w:rPr>
        <w:t>Executive</w:t>
      </w:r>
      <w:r>
        <w:rPr>
          <w:spacing w:val="-7"/>
          <w:sz w:val="28"/>
        </w:rPr>
        <w:t> </w:t>
      </w:r>
      <w:r>
        <w:rPr>
          <w:sz w:val="28"/>
        </w:rPr>
        <w:t>Office has also established an interdepartmental working group which meets on</w:t>
      </w:r>
    </w:p>
    <w:p>
      <w:pPr>
        <w:pStyle w:val="BodyText"/>
        <w:spacing w:line="225" w:lineRule="auto"/>
        <w:ind w:left="1853" w:right="1171"/>
      </w:pPr>
      <w:r>
        <w:rPr/>
        <w:t>a</w:t>
      </w:r>
      <w:r>
        <w:rPr>
          <w:spacing w:val="-7"/>
        </w:rPr>
        <w:t> </w:t>
      </w:r>
      <w:r>
        <w:rPr/>
        <w:t>monthly</w:t>
      </w:r>
      <w:r>
        <w:rPr>
          <w:spacing w:val="-6"/>
        </w:rPr>
        <w:t> </w:t>
      </w:r>
      <w:r>
        <w:rPr/>
        <w:t>basis</w:t>
      </w:r>
      <w:r>
        <w:rPr>
          <w:spacing w:val="-7"/>
        </w:rPr>
        <w:t> </w:t>
      </w:r>
      <w:r>
        <w:rPr/>
        <w:t>to</w:t>
      </w:r>
      <w:r>
        <w:rPr>
          <w:spacing w:val="-7"/>
        </w:rPr>
        <w:t> </w:t>
      </w:r>
      <w:r>
        <w:rPr/>
        <w:t>share</w:t>
      </w:r>
      <w:r>
        <w:rPr>
          <w:spacing w:val="-6"/>
        </w:rPr>
        <w:t> </w:t>
      </w:r>
      <w:r>
        <w:rPr/>
        <w:t>information</w:t>
      </w:r>
      <w:r>
        <w:rPr>
          <w:spacing w:val="-7"/>
        </w:rPr>
        <w:t> </w:t>
      </w:r>
      <w:r>
        <w:rPr/>
        <w:t>and</w:t>
      </w:r>
      <w:r>
        <w:rPr>
          <w:spacing w:val="-7"/>
        </w:rPr>
        <w:t> </w:t>
      </w:r>
      <w:r>
        <w:rPr/>
        <w:t>learning</w:t>
      </w:r>
      <w:r>
        <w:rPr>
          <w:spacing w:val="-6"/>
        </w:rPr>
        <w:t> </w:t>
      </w:r>
      <w:r>
        <w:rPr/>
        <w:t>on</w:t>
      </w:r>
      <w:r>
        <w:rPr>
          <w:spacing w:val="-7"/>
        </w:rPr>
        <w:t> </w:t>
      </w:r>
      <w:r>
        <w:rPr/>
        <w:t>Windsor</w:t>
      </w:r>
      <w:r>
        <w:rPr>
          <w:spacing w:val="-6"/>
        </w:rPr>
        <w:t> </w:t>
      </w:r>
      <w:r>
        <w:rPr/>
        <w:t>Framework Article 2, with additional ad hoc subgroups on specific themes.</w:t>
      </w:r>
      <w:r>
        <w:rPr>
          <w:vertAlign w:val="superscript"/>
        </w:rPr>
        <w:t>71</w:t>
      </w:r>
    </w:p>
    <w:p>
      <w:pPr>
        <w:pStyle w:val="ListParagraph"/>
        <w:numPr>
          <w:ilvl w:val="1"/>
          <w:numId w:val="5"/>
        </w:numPr>
        <w:tabs>
          <w:tab w:pos="1853" w:val="left" w:leader="none"/>
        </w:tabs>
        <w:spacing w:line="225" w:lineRule="auto" w:before="312" w:after="0"/>
        <w:ind w:left="1853" w:right="1510" w:hanging="720"/>
        <w:jc w:val="left"/>
        <w:rPr>
          <w:sz w:val="28"/>
        </w:rPr>
      </w:pPr>
      <w:r>
        <w:rPr>
          <w:sz w:val="28"/>
        </w:rPr>
        <w:t>There has therefore been some progress by the NI Executive in embedding consideration</w:t>
      </w:r>
      <w:r>
        <w:rPr>
          <w:spacing w:val="-8"/>
          <w:sz w:val="28"/>
        </w:rPr>
        <w:t> </w:t>
      </w:r>
      <w:r>
        <w:rPr>
          <w:sz w:val="28"/>
        </w:rPr>
        <w:t>of</w:t>
      </w:r>
      <w:r>
        <w:rPr>
          <w:spacing w:val="-8"/>
          <w:sz w:val="28"/>
        </w:rPr>
        <w:t> </w:t>
      </w:r>
      <w:r>
        <w:rPr>
          <w:sz w:val="28"/>
        </w:rPr>
        <w:t>Windsor</w:t>
      </w:r>
      <w:r>
        <w:rPr>
          <w:spacing w:val="-8"/>
          <w:sz w:val="28"/>
        </w:rPr>
        <w:t> </w:t>
      </w:r>
      <w:r>
        <w:rPr>
          <w:sz w:val="28"/>
        </w:rPr>
        <w:t>Framework</w:t>
      </w:r>
      <w:r>
        <w:rPr>
          <w:spacing w:val="-8"/>
          <w:sz w:val="28"/>
        </w:rPr>
        <w:t> </w:t>
      </w:r>
      <w:r>
        <w:rPr>
          <w:sz w:val="28"/>
        </w:rPr>
        <w:t>Article</w:t>
      </w:r>
      <w:r>
        <w:rPr>
          <w:spacing w:val="-8"/>
          <w:sz w:val="28"/>
        </w:rPr>
        <w:t> </w:t>
      </w:r>
      <w:r>
        <w:rPr>
          <w:sz w:val="28"/>
        </w:rPr>
        <w:t>2,</w:t>
      </w:r>
      <w:r>
        <w:rPr>
          <w:spacing w:val="-8"/>
          <w:sz w:val="28"/>
        </w:rPr>
        <w:t> </w:t>
      </w:r>
      <w:r>
        <w:rPr>
          <w:sz w:val="28"/>
        </w:rPr>
        <w:t>including</w:t>
      </w:r>
      <w:r>
        <w:rPr>
          <w:spacing w:val="-8"/>
          <w:sz w:val="28"/>
        </w:rPr>
        <w:t> </w:t>
      </w:r>
      <w:r>
        <w:rPr>
          <w:sz w:val="28"/>
        </w:rPr>
        <w:t>into</w:t>
      </w:r>
      <w:r>
        <w:rPr>
          <w:spacing w:val="-8"/>
          <w:sz w:val="28"/>
        </w:rPr>
        <w:t> </w:t>
      </w:r>
      <w:r>
        <w:rPr>
          <w:sz w:val="28"/>
        </w:rPr>
        <w:t>processes,</w:t>
      </w:r>
      <w:r>
        <w:rPr>
          <w:spacing w:val="-8"/>
          <w:sz w:val="28"/>
        </w:rPr>
        <w:t> </w:t>
      </w:r>
      <w:r>
        <w:rPr>
          <w:sz w:val="28"/>
        </w:rPr>
        <w:t>for example, the publication by the Executive Office of a Windsor Framework Article 2 impact assessment,</w:t>
      </w:r>
      <w:r>
        <w:rPr>
          <w:sz w:val="28"/>
          <w:vertAlign w:val="superscript"/>
        </w:rPr>
        <w:t>72</w:t>
      </w:r>
      <w:r>
        <w:rPr>
          <w:sz w:val="28"/>
          <w:vertAlign w:val="baseline"/>
        </w:rPr>
        <w:t> which is welcomed by the Commissions. However, this approach has not, as yet, been replicated in respect of other consultations and departments.</w:t>
      </w:r>
    </w:p>
    <w:p>
      <w:pPr>
        <w:pStyle w:val="ListParagraph"/>
        <w:numPr>
          <w:ilvl w:val="1"/>
          <w:numId w:val="5"/>
        </w:numPr>
        <w:tabs>
          <w:tab w:pos="1853" w:val="left" w:leader="none"/>
        </w:tabs>
        <w:spacing w:line="225" w:lineRule="auto" w:before="312" w:after="0"/>
        <w:ind w:left="1853" w:right="1656" w:hanging="720"/>
        <w:jc w:val="left"/>
        <w:rPr>
          <w:sz w:val="28"/>
        </w:rPr>
      </w:pPr>
      <w:r>
        <w:rPr>
          <w:sz w:val="28"/>
        </w:rPr>
        <w:t>Significant work is still required at NI Executive and UK Government level to</w:t>
      </w:r>
      <w:r>
        <w:rPr>
          <w:spacing w:val="-9"/>
          <w:sz w:val="28"/>
        </w:rPr>
        <w:t> </w:t>
      </w:r>
      <w:r>
        <w:rPr>
          <w:sz w:val="28"/>
        </w:rPr>
        <w:t>ensure</w:t>
      </w:r>
      <w:r>
        <w:rPr>
          <w:spacing w:val="-8"/>
          <w:sz w:val="28"/>
        </w:rPr>
        <w:t> </w:t>
      </w:r>
      <w:r>
        <w:rPr>
          <w:sz w:val="28"/>
        </w:rPr>
        <w:t>that</w:t>
      </w:r>
      <w:r>
        <w:rPr>
          <w:spacing w:val="-8"/>
          <w:sz w:val="28"/>
        </w:rPr>
        <w:t> </w:t>
      </w:r>
      <w:r>
        <w:rPr>
          <w:sz w:val="28"/>
        </w:rPr>
        <w:t>systematic</w:t>
      </w:r>
      <w:r>
        <w:rPr>
          <w:spacing w:val="-8"/>
          <w:sz w:val="28"/>
        </w:rPr>
        <w:t> </w:t>
      </w:r>
      <w:r>
        <w:rPr>
          <w:sz w:val="28"/>
        </w:rPr>
        <w:t>consideration</w:t>
      </w:r>
      <w:r>
        <w:rPr>
          <w:spacing w:val="-9"/>
          <w:sz w:val="28"/>
        </w:rPr>
        <w:t> </w:t>
      </w:r>
      <w:r>
        <w:rPr>
          <w:sz w:val="28"/>
        </w:rPr>
        <w:t>of</w:t>
      </w:r>
      <w:r>
        <w:rPr>
          <w:spacing w:val="-9"/>
          <w:sz w:val="28"/>
        </w:rPr>
        <w:t> </w:t>
      </w:r>
      <w:r>
        <w:rPr>
          <w:sz w:val="28"/>
        </w:rPr>
        <w:t>Windsor</w:t>
      </w:r>
      <w:r>
        <w:rPr>
          <w:spacing w:val="-8"/>
          <w:sz w:val="28"/>
        </w:rPr>
        <w:t> </w:t>
      </w:r>
      <w:r>
        <w:rPr>
          <w:sz w:val="28"/>
        </w:rPr>
        <w:t>Framework</w:t>
      </w:r>
      <w:r>
        <w:rPr>
          <w:spacing w:val="-8"/>
          <w:sz w:val="28"/>
        </w:rPr>
        <w:t> </w:t>
      </w:r>
      <w:r>
        <w:rPr>
          <w:sz w:val="28"/>
        </w:rPr>
        <w:t>Article</w:t>
      </w:r>
      <w:r>
        <w:rPr>
          <w:spacing w:val="-8"/>
          <w:sz w:val="28"/>
        </w:rPr>
        <w:t> </w:t>
      </w:r>
      <w:r>
        <w:rPr>
          <w:sz w:val="28"/>
        </w:rPr>
        <w:t>2</w:t>
      </w:r>
      <w:r>
        <w:rPr>
          <w:spacing w:val="-8"/>
          <w:sz w:val="28"/>
        </w:rPr>
        <w:t> </w:t>
      </w:r>
      <w:r>
        <w:rPr>
          <w:sz w:val="28"/>
        </w:rPr>
        <w:t>is embedded in policy and processes.</w:t>
      </w:r>
    </w:p>
    <w:p>
      <w:pPr>
        <w:pStyle w:val="ListParagraph"/>
        <w:numPr>
          <w:ilvl w:val="1"/>
          <w:numId w:val="5"/>
        </w:numPr>
        <w:tabs>
          <w:tab w:pos="1853" w:val="left" w:leader="none"/>
        </w:tabs>
        <w:spacing w:line="225" w:lineRule="auto" w:before="317" w:after="0"/>
        <w:ind w:left="1853" w:right="1329" w:hanging="720"/>
        <w:jc w:val="left"/>
        <w:rPr>
          <w:sz w:val="28"/>
        </w:rPr>
      </w:pPr>
      <w:r>
        <w:rPr>
          <w:sz w:val="28"/>
        </w:rPr>
        <w:t>The</w:t>
      </w:r>
      <w:r>
        <w:rPr>
          <w:spacing w:val="-7"/>
          <w:sz w:val="28"/>
        </w:rPr>
        <w:t> </w:t>
      </w:r>
      <w:r>
        <w:rPr>
          <w:sz w:val="28"/>
        </w:rPr>
        <w:t>Commissions</w:t>
      </w:r>
      <w:r>
        <w:rPr>
          <w:spacing w:val="-8"/>
          <w:sz w:val="28"/>
        </w:rPr>
        <w:t> </w:t>
      </w:r>
      <w:r>
        <w:rPr>
          <w:sz w:val="28"/>
        </w:rPr>
        <w:t>continue</w:t>
      </w:r>
      <w:r>
        <w:rPr>
          <w:spacing w:val="-7"/>
          <w:sz w:val="28"/>
        </w:rPr>
        <w:t> </w:t>
      </w:r>
      <w:r>
        <w:rPr>
          <w:sz w:val="28"/>
        </w:rPr>
        <w:t>to</w:t>
      </w:r>
      <w:r>
        <w:rPr>
          <w:spacing w:val="-8"/>
          <w:sz w:val="28"/>
        </w:rPr>
        <w:t> </w:t>
      </w:r>
      <w:r>
        <w:rPr>
          <w:sz w:val="28"/>
        </w:rPr>
        <w:t>be</w:t>
      </w:r>
      <w:r>
        <w:rPr>
          <w:spacing w:val="-7"/>
          <w:sz w:val="28"/>
        </w:rPr>
        <w:t> </w:t>
      </w:r>
      <w:r>
        <w:rPr>
          <w:sz w:val="28"/>
        </w:rPr>
        <w:t>concerned</w:t>
      </w:r>
      <w:r>
        <w:rPr>
          <w:spacing w:val="-8"/>
          <w:sz w:val="28"/>
        </w:rPr>
        <w:t> </w:t>
      </w:r>
      <w:r>
        <w:rPr>
          <w:sz w:val="28"/>
        </w:rPr>
        <w:t>that</w:t>
      </w:r>
      <w:r>
        <w:rPr>
          <w:spacing w:val="-7"/>
          <w:sz w:val="28"/>
        </w:rPr>
        <w:t> </w:t>
      </w:r>
      <w:r>
        <w:rPr>
          <w:sz w:val="28"/>
        </w:rPr>
        <w:t>comprehensive</w:t>
      </w:r>
      <w:r>
        <w:rPr>
          <w:spacing w:val="-7"/>
          <w:sz w:val="28"/>
        </w:rPr>
        <w:t> </w:t>
      </w:r>
      <w:r>
        <w:rPr>
          <w:sz w:val="28"/>
        </w:rPr>
        <w:t>training</w:t>
      </w:r>
      <w:r>
        <w:rPr>
          <w:spacing w:val="-7"/>
          <w:sz w:val="28"/>
        </w:rPr>
        <w:t> </w:t>
      </w:r>
      <w:r>
        <w:rPr>
          <w:sz w:val="28"/>
        </w:rPr>
        <w:t>and guidance</w:t>
      </w:r>
      <w:r>
        <w:rPr>
          <w:spacing w:val="-1"/>
          <w:sz w:val="28"/>
        </w:rPr>
        <w:t> </w:t>
      </w:r>
      <w:r>
        <w:rPr>
          <w:sz w:val="28"/>
        </w:rPr>
        <w:t>on</w:t>
      </w:r>
      <w:r>
        <w:rPr>
          <w:spacing w:val="-2"/>
          <w:sz w:val="28"/>
        </w:rPr>
        <w:t> </w:t>
      </w:r>
      <w:r>
        <w:rPr>
          <w:sz w:val="28"/>
        </w:rPr>
        <w:t>Windsor</w:t>
      </w:r>
      <w:r>
        <w:rPr>
          <w:spacing w:val="-1"/>
          <w:sz w:val="28"/>
        </w:rPr>
        <w:t> </w:t>
      </w:r>
      <w:r>
        <w:rPr>
          <w:sz w:val="28"/>
        </w:rPr>
        <w:t>Framework</w:t>
      </w:r>
      <w:r>
        <w:rPr>
          <w:spacing w:val="-1"/>
          <w:sz w:val="28"/>
        </w:rPr>
        <w:t> </w:t>
      </w:r>
      <w:r>
        <w:rPr>
          <w:sz w:val="28"/>
        </w:rPr>
        <w:t>Article</w:t>
      </w:r>
      <w:r>
        <w:rPr>
          <w:spacing w:val="-1"/>
          <w:sz w:val="28"/>
        </w:rPr>
        <w:t> </w:t>
      </w:r>
      <w:r>
        <w:rPr>
          <w:sz w:val="28"/>
        </w:rPr>
        <w:t>2</w:t>
      </w:r>
      <w:r>
        <w:rPr>
          <w:spacing w:val="-1"/>
          <w:sz w:val="28"/>
        </w:rPr>
        <w:t> </w:t>
      </w:r>
      <w:r>
        <w:rPr>
          <w:sz w:val="28"/>
        </w:rPr>
        <w:t>has</w:t>
      </w:r>
      <w:r>
        <w:rPr>
          <w:spacing w:val="-2"/>
          <w:sz w:val="28"/>
        </w:rPr>
        <w:t> </w:t>
      </w:r>
      <w:r>
        <w:rPr>
          <w:sz w:val="28"/>
        </w:rPr>
        <w:t>not</w:t>
      </w:r>
      <w:r>
        <w:rPr>
          <w:spacing w:val="-1"/>
          <w:sz w:val="28"/>
        </w:rPr>
        <w:t> </w:t>
      </w:r>
      <w:r>
        <w:rPr>
          <w:sz w:val="28"/>
        </w:rPr>
        <w:t>yet</w:t>
      </w:r>
      <w:r>
        <w:rPr>
          <w:spacing w:val="-1"/>
          <w:sz w:val="28"/>
        </w:rPr>
        <w:t> </w:t>
      </w:r>
      <w:r>
        <w:rPr>
          <w:sz w:val="28"/>
        </w:rPr>
        <w:t>been</w:t>
      </w:r>
      <w:r>
        <w:rPr>
          <w:spacing w:val="-2"/>
          <w:sz w:val="28"/>
        </w:rPr>
        <w:t> </w:t>
      </w:r>
      <w:r>
        <w:rPr>
          <w:sz w:val="28"/>
        </w:rPr>
        <w:t>rolled</w:t>
      </w:r>
      <w:r>
        <w:rPr>
          <w:spacing w:val="-2"/>
          <w:sz w:val="28"/>
        </w:rPr>
        <w:t> </w:t>
      </w:r>
      <w:r>
        <w:rPr>
          <w:sz w:val="28"/>
        </w:rPr>
        <w:t>out</w:t>
      </w:r>
      <w:r>
        <w:rPr>
          <w:spacing w:val="-1"/>
          <w:sz w:val="28"/>
        </w:rPr>
        <w:t> </w:t>
      </w:r>
      <w:r>
        <w:rPr>
          <w:sz w:val="28"/>
        </w:rPr>
        <w:t>across UK Government and NI departments and there is limited evidence that early consideration of Article 2 has been systematically embedded in policy and legislative development and processes.</w:t>
      </w:r>
    </w:p>
    <w:p>
      <w:pPr>
        <w:pStyle w:val="Heading5"/>
        <w:spacing w:before="313"/>
        <w:ind w:left="1133" w:firstLine="0"/>
      </w:pPr>
      <w:bookmarkStart w:name="Additional Mechanisms for Ensuring Compl" w:id="23"/>
      <w:bookmarkEnd w:id="23"/>
      <w:r>
        <w:rPr>
          <w:b w:val="0"/>
        </w:rPr>
      </w:r>
      <w:r>
        <w:rPr>
          <w:color w:val="393B80"/>
        </w:rPr>
        <w:t>Additional</w:t>
      </w:r>
      <w:r>
        <w:rPr>
          <w:color w:val="393B80"/>
          <w:spacing w:val="-8"/>
        </w:rPr>
        <w:t> </w:t>
      </w:r>
      <w:r>
        <w:rPr>
          <w:color w:val="393B80"/>
        </w:rPr>
        <w:t>Mechanisms</w:t>
      </w:r>
      <w:r>
        <w:rPr>
          <w:color w:val="393B80"/>
          <w:spacing w:val="-8"/>
        </w:rPr>
        <w:t> </w:t>
      </w:r>
      <w:r>
        <w:rPr>
          <w:color w:val="393B80"/>
        </w:rPr>
        <w:t>for</w:t>
      </w:r>
      <w:r>
        <w:rPr>
          <w:color w:val="393B80"/>
          <w:spacing w:val="-9"/>
        </w:rPr>
        <w:t> </w:t>
      </w:r>
      <w:r>
        <w:rPr>
          <w:color w:val="393B80"/>
        </w:rPr>
        <w:t>Ensuring</w:t>
      </w:r>
      <w:r>
        <w:rPr>
          <w:color w:val="393B80"/>
          <w:spacing w:val="-8"/>
        </w:rPr>
        <w:t> </w:t>
      </w:r>
      <w:r>
        <w:rPr>
          <w:color w:val="393B80"/>
        </w:rPr>
        <w:t>Compliance</w:t>
      </w:r>
      <w:r>
        <w:rPr>
          <w:color w:val="393B80"/>
          <w:spacing w:val="-9"/>
        </w:rPr>
        <w:t> </w:t>
      </w:r>
      <w:r>
        <w:rPr>
          <w:color w:val="393B80"/>
        </w:rPr>
        <w:t>and</w:t>
      </w:r>
      <w:r>
        <w:rPr>
          <w:color w:val="393B80"/>
          <w:spacing w:val="-8"/>
        </w:rPr>
        <w:t> </w:t>
      </w:r>
      <w:r>
        <w:rPr>
          <w:color w:val="393B80"/>
        </w:rPr>
        <w:t>Voluntary</w:t>
      </w:r>
      <w:r>
        <w:rPr>
          <w:color w:val="393B80"/>
          <w:spacing w:val="-7"/>
        </w:rPr>
        <w:t> </w:t>
      </w:r>
      <w:r>
        <w:rPr>
          <w:color w:val="393B80"/>
          <w:spacing w:val="-2"/>
        </w:rPr>
        <w:t>Alignment</w:t>
      </w:r>
    </w:p>
    <w:p>
      <w:pPr>
        <w:pStyle w:val="ListParagraph"/>
        <w:numPr>
          <w:ilvl w:val="1"/>
          <w:numId w:val="5"/>
        </w:numPr>
        <w:tabs>
          <w:tab w:pos="1853" w:val="left" w:leader="none"/>
        </w:tabs>
        <w:spacing w:line="225" w:lineRule="auto" w:before="330" w:after="0"/>
        <w:ind w:left="1853" w:right="1156" w:hanging="720"/>
        <w:jc w:val="left"/>
        <w:rPr>
          <w:sz w:val="28"/>
        </w:rPr>
      </w:pPr>
      <w:r>
        <w:rPr>
          <w:sz w:val="28"/>
        </w:rPr>
        <w:t>The Commissions consider that the UK Government should ensure that there are</w:t>
      </w:r>
      <w:r>
        <w:rPr>
          <w:spacing w:val="-7"/>
          <w:sz w:val="28"/>
        </w:rPr>
        <w:t> </w:t>
      </w:r>
      <w:r>
        <w:rPr>
          <w:sz w:val="28"/>
        </w:rPr>
        <w:t>robust</w:t>
      </w:r>
      <w:r>
        <w:rPr>
          <w:spacing w:val="-7"/>
          <w:sz w:val="28"/>
        </w:rPr>
        <w:t> </w:t>
      </w:r>
      <w:r>
        <w:rPr>
          <w:sz w:val="28"/>
        </w:rPr>
        <w:t>mechanisms</w:t>
      </w:r>
      <w:r>
        <w:rPr>
          <w:spacing w:val="-8"/>
          <w:sz w:val="28"/>
        </w:rPr>
        <w:t> </w:t>
      </w:r>
      <w:r>
        <w:rPr>
          <w:sz w:val="28"/>
        </w:rPr>
        <w:t>for</w:t>
      </w:r>
      <w:r>
        <w:rPr>
          <w:spacing w:val="-7"/>
          <w:sz w:val="28"/>
        </w:rPr>
        <w:t> </w:t>
      </w:r>
      <w:r>
        <w:rPr>
          <w:sz w:val="28"/>
        </w:rPr>
        <w:t>engaging</w:t>
      </w:r>
      <w:r>
        <w:rPr>
          <w:spacing w:val="-7"/>
          <w:sz w:val="28"/>
        </w:rPr>
        <w:t> </w:t>
      </w:r>
      <w:r>
        <w:rPr>
          <w:sz w:val="28"/>
        </w:rPr>
        <w:t>with</w:t>
      </w:r>
      <w:r>
        <w:rPr>
          <w:spacing w:val="-8"/>
          <w:sz w:val="28"/>
        </w:rPr>
        <w:t> </w:t>
      </w:r>
      <w:r>
        <w:rPr>
          <w:sz w:val="28"/>
        </w:rPr>
        <w:t>compliance</w:t>
      </w:r>
      <w:r>
        <w:rPr>
          <w:spacing w:val="-7"/>
          <w:sz w:val="28"/>
        </w:rPr>
        <w:t> </w:t>
      </w:r>
      <w:r>
        <w:rPr>
          <w:sz w:val="28"/>
        </w:rPr>
        <w:t>and</w:t>
      </w:r>
      <w:r>
        <w:rPr>
          <w:spacing w:val="-8"/>
          <w:sz w:val="28"/>
        </w:rPr>
        <w:t> </w:t>
      </w:r>
      <w:r>
        <w:rPr>
          <w:sz w:val="28"/>
        </w:rPr>
        <w:t>voluntary</w:t>
      </w:r>
      <w:r>
        <w:rPr>
          <w:spacing w:val="-7"/>
          <w:sz w:val="28"/>
        </w:rPr>
        <w:t> </w:t>
      </w:r>
      <w:r>
        <w:rPr>
          <w:sz w:val="28"/>
        </w:rPr>
        <w:t>alignment issues, to avoid a breach of Windsor Framework Article 2 should the NI Executive be unable to or fail to act in relation to devolved issues.</w:t>
      </w:r>
    </w:p>
    <w:p>
      <w:pPr>
        <w:pStyle w:val="BodyText"/>
        <w:rPr>
          <w:sz w:val="7"/>
        </w:rPr>
      </w:pPr>
      <w:r>
        <w:rPr/>
        <mc:AlternateContent>
          <mc:Choice Requires="wps">
            <w:drawing>
              <wp:anchor distT="0" distB="0" distL="0" distR="0" allowOverlap="1" layoutInCell="1" locked="0" behindDoc="1" simplePos="0" relativeHeight="487629312">
                <wp:simplePos x="0" y="0"/>
                <wp:positionH relativeFrom="page">
                  <wp:posOffset>719996</wp:posOffset>
                </wp:positionH>
                <wp:positionV relativeFrom="paragraph">
                  <wp:posOffset>70068</wp:posOffset>
                </wp:positionV>
                <wp:extent cx="6120130" cy="1270"/>
                <wp:effectExtent l="0" t="0" r="0" b="0"/>
                <wp:wrapTopAndBottom/>
                <wp:docPr id="145" name="Graphic 145"/>
                <wp:cNvGraphicFramePr>
                  <a:graphicFrameLocks/>
                </wp:cNvGraphicFramePr>
                <a:graphic>
                  <a:graphicData uri="http://schemas.microsoft.com/office/word/2010/wordprocessingShape">
                    <wps:wsp>
                      <wps:cNvPr id="145" name="Graphic 145"/>
                      <wps:cNvSpPr/>
                      <wps:spPr>
                        <a:xfrm>
                          <a:off x="0" y="0"/>
                          <a:ext cx="6120130" cy="1270"/>
                        </a:xfrm>
                        <a:custGeom>
                          <a:avLst/>
                          <a:gdLst/>
                          <a:ahLst/>
                          <a:cxnLst/>
                          <a:rect l="l" t="t" r="r" b="b"/>
                          <a:pathLst>
                            <a:path w="6120130" h="0">
                              <a:moveTo>
                                <a:pt x="6120003" y="0"/>
                              </a:moveTo>
                              <a:lnTo>
                                <a:pt x="0"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5.517172pt;width:481.9pt;height:.1pt;mso-position-horizontal-relative:page;mso-position-vertical-relative:paragraph;z-index:-15687168;mso-wrap-distance-left:0;mso-wrap-distance-right:0" id="docshape102" coordorigin="1134,110" coordsize="9638,0" path="m10772,110l1134,110e" filled="false" stroked="true" strokeweight="1pt" strokecolor="#393b7f">
                <v:path arrowok="t"/>
                <v:stroke dashstyle="solid"/>
                <w10:wrap type="topAndBottom"/>
              </v:shape>
            </w:pict>
          </mc:Fallback>
        </mc:AlternateContent>
      </w:r>
    </w:p>
    <w:p>
      <w:pPr>
        <w:pStyle w:val="ListParagraph"/>
        <w:numPr>
          <w:ilvl w:val="0"/>
          <w:numId w:val="3"/>
        </w:numPr>
        <w:tabs>
          <w:tab w:pos="1853" w:val="left" w:leader="none"/>
        </w:tabs>
        <w:spacing w:line="235" w:lineRule="auto" w:before="141" w:after="0"/>
        <w:ind w:left="1853" w:right="1167" w:hanging="720"/>
        <w:jc w:val="left"/>
        <w:rPr>
          <w:sz w:val="18"/>
        </w:rPr>
      </w:pPr>
      <w:r>
        <w:rPr>
          <w:sz w:val="18"/>
        </w:rPr>
        <w:t>NI Human Rights Commission, ‘Submission to the Executive Office’s Consultation on the Ending Violence Against Women and</w:t>
      </w:r>
      <w:r>
        <w:rPr>
          <w:spacing w:val="-6"/>
          <w:sz w:val="18"/>
        </w:rPr>
        <w:t> </w:t>
      </w:r>
      <w:r>
        <w:rPr>
          <w:sz w:val="18"/>
        </w:rPr>
        <w:t>Girls</w:t>
      </w:r>
      <w:r>
        <w:rPr>
          <w:spacing w:val="-6"/>
          <w:sz w:val="18"/>
        </w:rPr>
        <w:t> </w:t>
      </w:r>
      <w:r>
        <w:rPr>
          <w:sz w:val="18"/>
        </w:rPr>
        <w:t>Strategic</w:t>
      </w:r>
      <w:r>
        <w:rPr>
          <w:spacing w:val="-6"/>
          <w:sz w:val="18"/>
        </w:rPr>
        <w:t> </w:t>
      </w:r>
      <w:r>
        <w:rPr>
          <w:sz w:val="18"/>
        </w:rPr>
        <w:t>Framework’</w:t>
      </w:r>
      <w:r>
        <w:rPr>
          <w:spacing w:val="-6"/>
          <w:sz w:val="18"/>
        </w:rPr>
        <w:t> </w:t>
      </w:r>
      <w:r>
        <w:rPr>
          <w:sz w:val="18"/>
        </w:rPr>
        <w:t>(NIHRC,</w:t>
      </w:r>
      <w:r>
        <w:rPr>
          <w:spacing w:val="-6"/>
          <w:sz w:val="18"/>
        </w:rPr>
        <w:t> </w:t>
      </w:r>
      <w:r>
        <w:rPr>
          <w:sz w:val="18"/>
        </w:rPr>
        <w:t>2023);</w:t>
      </w:r>
      <w:r>
        <w:rPr>
          <w:spacing w:val="-6"/>
          <w:sz w:val="18"/>
        </w:rPr>
        <w:t> </w:t>
      </w:r>
      <w:r>
        <w:rPr>
          <w:sz w:val="18"/>
        </w:rPr>
        <w:t>Equality</w:t>
      </w:r>
      <w:r>
        <w:rPr>
          <w:spacing w:val="-6"/>
          <w:sz w:val="18"/>
        </w:rPr>
        <w:t> </w:t>
      </w:r>
      <w:r>
        <w:rPr>
          <w:sz w:val="18"/>
        </w:rPr>
        <w:t>Commission</w:t>
      </w:r>
      <w:r>
        <w:rPr>
          <w:spacing w:val="-6"/>
          <w:sz w:val="18"/>
        </w:rPr>
        <w:t> </w:t>
      </w:r>
      <w:r>
        <w:rPr>
          <w:sz w:val="18"/>
        </w:rPr>
        <w:t>for</w:t>
      </w:r>
      <w:r>
        <w:rPr>
          <w:spacing w:val="-6"/>
          <w:sz w:val="18"/>
        </w:rPr>
        <w:t> </w:t>
      </w:r>
      <w:r>
        <w:rPr>
          <w:sz w:val="18"/>
        </w:rPr>
        <w:t>NI,</w:t>
      </w:r>
      <w:r>
        <w:rPr>
          <w:spacing w:val="-6"/>
          <w:sz w:val="18"/>
        </w:rPr>
        <w:t> </w:t>
      </w:r>
      <w:r>
        <w:rPr>
          <w:sz w:val="18"/>
        </w:rPr>
        <w:t>‘Response</w:t>
      </w:r>
      <w:r>
        <w:rPr>
          <w:spacing w:val="-6"/>
          <w:sz w:val="18"/>
        </w:rPr>
        <w:t> </w:t>
      </w:r>
      <w:r>
        <w:rPr>
          <w:sz w:val="18"/>
        </w:rPr>
        <w:t>to</w:t>
      </w:r>
      <w:r>
        <w:rPr>
          <w:spacing w:val="-6"/>
          <w:sz w:val="18"/>
        </w:rPr>
        <w:t> </w:t>
      </w:r>
      <w:r>
        <w:rPr>
          <w:sz w:val="18"/>
        </w:rPr>
        <w:t>consultation:</w:t>
      </w:r>
      <w:r>
        <w:rPr>
          <w:spacing w:val="-6"/>
          <w:sz w:val="18"/>
        </w:rPr>
        <w:t> </w:t>
      </w:r>
      <w:r>
        <w:rPr>
          <w:sz w:val="18"/>
        </w:rPr>
        <w:t>The</w:t>
      </w:r>
      <w:r>
        <w:rPr>
          <w:spacing w:val="-6"/>
          <w:sz w:val="18"/>
        </w:rPr>
        <w:t> </w:t>
      </w:r>
      <w:r>
        <w:rPr>
          <w:sz w:val="18"/>
        </w:rPr>
        <w:t>Executive</w:t>
      </w:r>
      <w:r>
        <w:rPr>
          <w:spacing w:val="-6"/>
          <w:sz w:val="18"/>
        </w:rPr>
        <w:t> </w:t>
      </w:r>
      <w:r>
        <w:rPr>
          <w:sz w:val="18"/>
        </w:rPr>
        <w:t>Office Strategic Framework to End Violence Against Women and Girls and Foundational Action Plan’ (ECNI, 2023).</w:t>
      </w:r>
    </w:p>
    <w:p>
      <w:pPr>
        <w:pStyle w:val="ListParagraph"/>
        <w:numPr>
          <w:ilvl w:val="0"/>
          <w:numId w:val="3"/>
        </w:numPr>
        <w:tabs>
          <w:tab w:pos="1853" w:val="left" w:leader="none"/>
        </w:tabs>
        <w:spacing w:line="235" w:lineRule="auto" w:before="2" w:after="0"/>
        <w:ind w:left="1853" w:right="1266" w:hanging="720"/>
        <w:jc w:val="left"/>
        <w:rPr>
          <w:sz w:val="18"/>
        </w:rPr>
      </w:pPr>
      <w:r>
        <w:rPr>
          <w:sz w:val="18"/>
        </w:rPr>
        <w:t>NI</w:t>
      </w:r>
      <w:r>
        <w:rPr>
          <w:spacing w:val="-5"/>
          <w:sz w:val="18"/>
        </w:rPr>
        <w:t> </w:t>
      </w:r>
      <w:r>
        <w:rPr>
          <w:sz w:val="18"/>
        </w:rPr>
        <w:t>Human</w:t>
      </w:r>
      <w:r>
        <w:rPr>
          <w:spacing w:val="-6"/>
          <w:sz w:val="18"/>
        </w:rPr>
        <w:t> </w:t>
      </w:r>
      <w:r>
        <w:rPr>
          <w:sz w:val="18"/>
        </w:rPr>
        <w:t>Rights</w:t>
      </w:r>
      <w:r>
        <w:rPr>
          <w:spacing w:val="-6"/>
          <w:sz w:val="18"/>
        </w:rPr>
        <w:t> </w:t>
      </w:r>
      <w:r>
        <w:rPr>
          <w:sz w:val="18"/>
        </w:rPr>
        <w:t>Commission,</w:t>
      </w:r>
      <w:r>
        <w:rPr>
          <w:spacing w:val="-5"/>
          <w:sz w:val="18"/>
        </w:rPr>
        <w:t> </w:t>
      </w:r>
      <w:r>
        <w:rPr>
          <w:sz w:val="18"/>
        </w:rPr>
        <w:t>‘Submission</w:t>
      </w:r>
      <w:r>
        <w:rPr>
          <w:spacing w:val="-6"/>
          <w:sz w:val="18"/>
        </w:rPr>
        <w:t> </w:t>
      </w:r>
      <w:r>
        <w:rPr>
          <w:sz w:val="18"/>
        </w:rPr>
        <w:t>to</w:t>
      </w:r>
      <w:r>
        <w:rPr>
          <w:spacing w:val="-6"/>
          <w:sz w:val="18"/>
        </w:rPr>
        <w:t> </w:t>
      </w:r>
      <w:r>
        <w:rPr>
          <w:sz w:val="18"/>
        </w:rPr>
        <w:t>the</w:t>
      </w:r>
      <w:r>
        <w:rPr>
          <w:spacing w:val="-5"/>
          <w:sz w:val="18"/>
        </w:rPr>
        <w:t> </w:t>
      </w:r>
      <w:r>
        <w:rPr>
          <w:sz w:val="18"/>
        </w:rPr>
        <w:t>Executive</w:t>
      </w:r>
      <w:r>
        <w:rPr>
          <w:spacing w:val="-5"/>
          <w:sz w:val="18"/>
        </w:rPr>
        <w:t> </w:t>
      </w:r>
      <w:r>
        <w:rPr>
          <w:sz w:val="18"/>
        </w:rPr>
        <w:t>Office’s</w:t>
      </w:r>
      <w:r>
        <w:rPr>
          <w:spacing w:val="-6"/>
          <w:sz w:val="18"/>
        </w:rPr>
        <w:t> </w:t>
      </w:r>
      <w:r>
        <w:rPr>
          <w:sz w:val="18"/>
        </w:rPr>
        <w:t>Consultation</w:t>
      </w:r>
      <w:r>
        <w:rPr>
          <w:spacing w:val="-6"/>
          <w:sz w:val="18"/>
        </w:rPr>
        <w:t> </w:t>
      </w:r>
      <w:r>
        <w:rPr>
          <w:sz w:val="18"/>
        </w:rPr>
        <w:t>on</w:t>
      </w:r>
      <w:r>
        <w:rPr>
          <w:spacing w:val="-6"/>
          <w:sz w:val="18"/>
        </w:rPr>
        <w:t> </w:t>
      </w:r>
      <w:r>
        <w:rPr>
          <w:sz w:val="18"/>
        </w:rPr>
        <w:t>the</w:t>
      </w:r>
      <w:r>
        <w:rPr>
          <w:spacing w:val="-5"/>
          <w:sz w:val="18"/>
        </w:rPr>
        <w:t> </w:t>
      </w:r>
      <w:r>
        <w:rPr>
          <w:sz w:val="18"/>
        </w:rPr>
        <w:t>Ending</w:t>
      </w:r>
      <w:r>
        <w:rPr>
          <w:spacing w:val="-5"/>
          <w:sz w:val="18"/>
        </w:rPr>
        <w:t> </w:t>
      </w:r>
      <w:r>
        <w:rPr>
          <w:sz w:val="18"/>
        </w:rPr>
        <w:t>Violence</w:t>
      </w:r>
      <w:r>
        <w:rPr>
          <w:spacing w:val="-5"/>
          <w:sz w:val="18"/>
        </w:rPr>
        <w:t> </w:t>
      </w:r>
      <w:r>
        <w:rPr>
          <w:sz w:val="18"/>
        </w:rPr>
        <w:t>Against</w:t>
      </w:r>
      <w:r>
        <w:rPr>
          <w:spacing w:val="-5"/>
          <w:sz w:val="18"/>
        </w:rPr>
        <w:t> </w:t>
      </w:r>
      <w:r>
        <w:rPr>
          <w:sz w:val="18"/>
        </w:rPr>
        <w:t>Women and Girls Strategic </w:t>
      </w:r>
      <w:r>
        <w:rPr>
          <w:sz w:val="16"/>
        </w:rPr>
        <w:t>Framework’ (NIHRC, 2023), at paras 7.0-7.41; </w:t>
      </w:r>
      <w:r>
        <w:rPr>
          <w:sz w:val="18"/>
        </w:rPr>
        <w:t>Equality Commission for NI, ‘Response to consultation:</w:t>
      </w:r>
    </w:p>
    <w:p>
      <w:pPr>
        <w:spacing w:line="235" w:lineRule="auto" w:before="2"/>
        <w:ind w:left="1853" w:right="1383" w:firstLine="0"/>
        <w:jc w:val="left"/>
        <w:rPr>
          <w:sz w:val="16"/>
        </w:rPr>
      </w:pPr>
      <w:r>
        <w:rPr>
          <w:sz w:val="18"/>
        </w:rPr>
        <w:t>The</w:t>
      </w:r>
      <w:r>
        <w:rPr>
          <w:spacing w:val="-5"/>
          <w:sz w:val="18"/>
        </w:rPr>
        <w:t> </w:t>
      </w:r>
      <w:r>
        <w:rPr>
          <w:sz w:val="18"/>
        </w:rPr>
        <w:t>Executive</w:t>
      </w:r>
      <w:r>
        <w:rPr>
          <w:spacing w:val="-5"/>
          <w:sz w:val="18"/>
        </w:rPr>
        <w:t> </w:t>
      </w:r>
      <w:r>
        <w:rPr>
          <w:sz w:val="18"/>
        </w:rPr>
        <w:t>Office</w:t>
      </w:r>
      <w:r>
        <w:rPr>
          <w:spacing w:val="-5"/>
          <w:sz w:val="18"/>
        </w:rPr>
        <w:t> </w:t>
      </w:r>
      <w:r>
        <w:rPr>
          <w:sz w:val="18"/>
        </w:rPr>
        <w:t>Strategic</w:t>
      </w:r>
      <w:r>
        <w:rPr>
          <w:spacing w:val="-5"/>
          <w:sz w:val="18"/>
        </w:rPr>
        <w:t> </w:t>
      </w:r>
      <w:r>
        <w:rPr>
          <w:sz w:val="18"/>
        </w:rPr>
        <w:t>Framework</w:t>
      </w:r>
      <w:r>
        <w:rPr>
          <w:spacing w:val="-5"/>
          <w:sz w:val="18"/>
        </w:rPr>
        <w:t> </w:t>
      </w:r>
      <w:r>
        <w:rPr>
          <w:sz w:val="18"/>
        </w:rPr>
        <w:t>to</w:t>
      </w:r>
      <w:r>
        <w:rPr>
          <w:spacing w:val="-6"/>
          <w:sz w:val="18"/>
        </w:rPr>
        <w:t> </w:t>
      </w:r>
      <w:r>
        <w:rPr>
          <w:sz w:val="18"/>
        </w:rPr>
        <w:t>End</w:t>
      </w:r>
      <w:r>
        <w:rPr>
          <w:spacing w:val="-6"/>
          <w:sz w:val="18"/>
        </w:rPr>
        <w:t> </w:t>
      </w:r>
      <w:r>
        <w:rPr>
          <w:sz w:val="18"/>
        </w:rPr>
        <w:t>Violence</w:t>
      </w:r>
      <w:r>
        <w:rPr>
          <w:spacing w:val="-5"/>
          <w:sz w:val="18"/>
        </w:rPr>
        <w:t> </w:t>
      </w:r>
      <w:r>
        <w:rPr>
          <w:sz w:val="18"/>
        </w:rPr>
        <w:t>Against</w:t>
      </w:r>
      <w:r>
        <w:rPr>
          <w:spacing w:val="-5"/>
          <w:sz w:val="18"/>
        </w:rPr>
        <w:t> </w:t>
      </w:r>
      <w:r>
        <w:rPr>
          <w:sz w:val="18"/>
        </w:rPr>
        <w:t>Women</w:t>
      </w:r>
      <w:r>
        <w:rPr>
          <w:spacing w:val="-6"/>
          <w:sz w:val="18"/>
        </w:rPr>
        <w:t> </w:t>
      </w:r>
      <w:r>
        <w:rPr>
          <w:sz w:val="18"/>
        </w:rPr>
        <w:t>and</w:t>
      </w:r>
      <w:r>
        <w:rPr>
          <w:spacing w:val="-6"/>
          <w:sz w:val="18"/>
        </w:rPr>
        <w:t> </w:t>
      </w:r>
      <w:r>
        <w:rPr>
          <w:sz w:val="18"/>
        </w:rPr>
        <w:t>Girls</w:t>
      </w:r>
      <w:r>
        <w:rPr>
          <w:spacing w:val="-6"/>
          <w:sz w:val="18"/>
        </w:rPr>
        <w:t> </w:t>
      </w:r>
      <w:r>
        <w:rPr>
          <w:sz w:val="18"/>
        </w:rPr>
        <w:t>and</w:t>
      </w:r>
      <w:r>
        <w:rPr>
          <w:spacing w:val="-6"/>
          <w:sz w:val="18"/>
        </w:rPr>
        <w:t> </w:t>
      </w:r>
      <w:r>
        <w:rPr>
          <w:sz w:val="18"/>
        </w:rPr>
        <w:t>Foundational</w:t>
      </w:r>
      <w:r>
        <w:rPr>
          <w:spacing w:val="-6"/>
          <w:sz w:val="18"/>
        </w:rPr>
        <w:t> </w:t>
      </w:r>
      <w:r>
        <w:rPr>
          <w:sz w:val="18"/>
        </w:rPr>
        <w:t>Action</w:t>
      </w:r>
      <w:r>
        <w:rPr>
          <w:spacing w:val="-6"/>
          <w:sz w:val="18"/>
        </w:rPr>
        <w:t> </w:t>
      </w:r>
      <w:r>
        <w:rPr>
          <w:sz w:val="18"/>
        </w:rPr>
        <w:t>Plan’ (ECNI, 2023), </w:t>
      </w:r>
      <w:r>
        <w:rPr>
          <w:sz w:val="16"/>
        </w:rPr>
        <w:t>at para 6.32.</w:t>
      </w:r>
    </w:p>
    <w:p>
      <w:pPr>
        <w:pStyle w:val="ListParagraph"/>
        <w:numPr>
          <w:ilvl w:val="0"/>
          <w:numId w:val="3"/>
        </w:numPr>
        <w:tabs>
          <w:tab w:pos="1853" w:val="left" w:leader="none"/>
        </w:tabs>
        <w:spacing w:line="216" w:lineRule="exact" w:before="0" w:after="0"/>
        <w:ind w:left="1853" w:right="0" w:hanging="720"/>
        <w:jc w:val="left"/>
        <w:rPr>
          <w:sz w:val="18"/>
        </w:rPr>
      </w:pPr>
      <w:r>
        <w:rPr>
          <w:sz w:val="18"/>
        </w:rPr>
        <w:t>Email</w:t>
      </w:r>
      <w:r>
        <w:rPr>
          <w:spacing w:val="-5"/>
          <w:sz w:val="18"/>
        </w:rPr>
        <w:t> </w:t>
      </w:r>
      <w:r>
        <w:rPr>
          <w:sz w:val="18"/>
        </w:rPr>
        <w:t>correspondence</w:t>
      </w:r>
      <w:r>
        <w:rPr>
          <w:spacing w:val="-3"/>
          <w:sz w:val="18"/>
        </w:rPr>
        <w:t> </w:t>
      </w:r>
      <w:r>
        <w:rPr>
          <w:sz w:val="18"/>
        </w:rPr>
        <w:t>from</w:t>
      </w:r>
      <w:r>
        <w:rPr>
          <w:spacing w:val="-3"/>
          <w:sz w:val="18"/>
        </w:rPr>
        <w:t> </w:t>
      </w:r>
      <w:r>
        <w:rPr>
          <w:sz w:val="18"/>
        </w:rPr>
        <w:t>the</w:t>
      </w:r>
      <w:r>
        <w:rPr>
          <w:spacing w:val="-4"/>
          <w:sz w:val="18"/>
        </w:rPr>
        <w:t> </w:t>
      </w:r>
      <w:r>
        <w:rPr>
          <w:sz w:val="18"/>
        </w:rPr>
        <w:t>NI</w:t>
      </w:r>
      <w:r>
        <w:rPr>
          <w:spacing w:val="-3"/>
          <w:sz w:val="18"/>
        </w:rPr>
        <w:t> </w:t>
      </w:r>
      <w:r>
        <w:rPr>
          <w:sz w:val="18"/>
        </w:rPr>
        <w:t>Executive</w:t>
      </w:r>
      <w:r>
        <w:rPr>
          <w:spacing w:val="-3"/>
          <w:sz w:val="18"/>
        </w:rPr>
        <w:t> </w:t>
      </w:r>
      <w:r>
        <w:rPr>
          <w:sz w:val="18"/>
        </w:rPr>
        <w:t>Office</w:t>
      </w:r>
      <w:r>
        <w:rPr>
          <w:spacing w:val="-3"/>
          <w:sz w:val="18"/>
        </w:rPr>
        <w:t> </w:t>
      </w:r>
      <w:r>
        <w:rPr>
          <w:sz w:val="18"/>
        </w:rPr>
        <w:t>to</w:t>
      </w:r>
      <w:r>
        <w:rPr>
          <w:spacing w:val="-5"/>
          <w:sz w:val="18"/>
        </w:rPr>
        <w:t> </w:t>
      </w:r>
      <w:r>
        <w:rPr>
          <w:sz w:val="18"/>
        </w:rPr>
        <w:t>the</w:t>
      </w:r>
      <w:r>
        <w:rPr>
          <w:spacing w:val="-3"/>
          <w:sz w:val="18"/>
        </w:rPr>
        <w:t> </w:t>
      </w:r>
      <w:r>
        <w:rPr>
          <w:sz w:val="18"/>
        </w:rPr>
        <w:t>NI</w:t>
      </w:r>
      <w:r>
        <w:rPr>
          <w:spacing w:val="-3"/>
          <w:sz w:val="18"/>
        </w:rPr>
        <w:t> </w:t>
      </w:r>
      <w:r>
        <w:rPr>
          <w:sz w:val="18"/>
        </w:rPr>
        <w:t>Human</w:t>
      </w:r>
      <w:r>
        <w:rPr>
          <w:spacing w:val="-5"/>
          <w:sz w:val="18"/>
        </w:rPr>
        <w:t> </w:t>
      </w:r>
      <w:r>
        <w:rPr>
          <w:sz w:val="18"/>
        </w:rPr>
        <w:t>Rights</w:t>
      </w:r>
      <w:r>
        <w:rPr>
          <w:spacing w:val="-4"/>
          <w:sz w:val="18"/>
        </w:rPr>
        <w:t> </w:t>
      </w:r>
      <w:r>
        <w:rPr>
          <w:sz w:val="18"/>
        </w:rPr>
        <w:t>Commission,</w:t>
      </w:r>
      <w:r>
        <w:rPr>
          <w:spacing w:val="-3"/>
          <w:sz w:val="18"/>
        </w:rPr>
        <w:t> </w:t>
      </w:r>
      <w:r>
        <w:rPr>
          <w:sz w:val="18"/>
        </w:rPr>
        <w:t>10</w:t>
      </w:r>
      <w:r>
        <w:rPr>
          <w:spacing w:val="-3"/>
          <w:sz w:val="18"/>
        </w:rPr>
        <w:t> </w:t>
      </w:r>
      <w:r>
        <w:rPr>
          <w:sz w:val="18"/>
        </w:rPr>
        <w:t>November</w:t>
      </w:r>
      <w:r>
        <w:rPr>
          <w:spacing w:val="-4"/>
          <w:sz w:val="18"/>
        </w:rPr>
        <w:t> </w:t>
      </w:r>
      <w:r>
        <w:rPr>
          <w:spacing w:val="-2"/>
          <w:sz w:val="18"/>
        </w:rPr>
        <w:t>2023.</w:t>
      </w:r>
    </w:p>
    <w:p>
      <w:pPr>
        <w:pStyle w:val="ListParagraph"/>
        <w:numPr>
          <w:ilvl w:val="0"/>
          <w:numId w:val="3"/>
        </w:numPr>
        <w:tabs>
          <w:tab w:pos="1853" w:val="left" w:leader="none"/>
        </w:tabs>
        <w:spacing w:line="235" w:lineRule="auto" w:before="1" w:after="0"/>
        <w:ind w:left="1853" w:right="1266" w:hanging="720"/>
        <w:jc w:val="left"/>
        <w:rPr>
          <w:sz w:val="18"/>
        </w:rPr>
      </w:pPr>
      <w:r>
        <w:rPr>
          <w:sz w:val="18"/>
        </w:rPr>
        <w:t>NI</w:t>
      </w:r>
      <w:r>
        <w:rPr>
          <w:spacing w:val="-5"/>
          <w:sz w:val="18"/>
        </w:rPr>
        <w:t> </w:t>
      </w:r>
      <w:r>
        <w:rPr>
          <w:sz w:val="18"/>
        </w:rPr>
        <w:t>Human</w:t>
      </w:r>
      <w:r>
        <w:rPr>
          <w:spacing w:val="-6"/>
          <w:sz w:val="18"/>
        </w:rPr>
        <w:t> </w:t>
      </w:r>
      <w:r>
        <w:rPr>
          <w:sz w:val="18"/>
        </w:rPr>
        <w:t>Rights</w:t>
      </w:r>
      <w:r>
        <w:rPr>
          <w:spacing w:val="-6"/>
          <w:sz w:val="18"/>
        </w:rPr>
        <w:t> </w:t>
      </w:r>
      <w:r>
        <w:rPr>
          <w:sz w:val="18"/>
        </w:rPr>
        <w:t>Commission,</w:t>
      </w:r>
      <w:r>
        <w:rPr>
          <w:spacing w:val="-5"/>
          <w:sz w:val="18"/>
        </w:rPr>
        <w:t> </w:t>
      </w:r>
      <w:r>
        <w:rPr>
          <w:sz w:val="18"/>
        </w:rPr>
        <w:t>‘Submission</w:t>
      </w:r>
      <w:r>
        <w:rPr>
          <w:spacing w:val="-6"/>
          <w:sz w:val="18"/>
        </w:rPr>
        <w:t> </w:t>
      </w:r>
      <w:r>
        <w:rPr>
          <w:sz w:val="18"/>
        </w:rPr>
        <w:t>to</w:t>
      </w:r>
      <w:r>
        <w:rPr>
          <w:spacing w:val="-6"/>
          <w:sz w:val="18"/>
        </w:rPr>
        <w:t> </w:t>
      </w:r>
      <w:r>
        <w:rPr>
          <w:sz w:val="18"/>
        </w:rPr>
        <w:t>the</w:t>
      </w:r>
      <w:r>
        <w:rPr>
          <w:spacing w:val="-5"/>
          <w:sz w:val="18"/>
        </w:rPr>
        <w:t> </w:t>
      </w:r>
      <w:r>
        <w:rPr>
          <w:sz w:val="18"/>
        </w:rPr>
        <w:t>Executive</w:t>
      </w:r>
      <w:r>
        <w:rPr>
          <w:spacing w:val="-5"/>
          <w:sz w:val="18"/>
        </w:rPr>
        <w:t> </w:t>
      </w:r>
      <w:r>
        <w:rPr>
          <w:sz w:val="18"/>
        </w:rPr>
        <w:t>Office’s</w:t>
      </w:r>
      <w:r>
        <w:rPr>
          <w:spacing w:val="-6"/>
          <w:sz w:val="18"/>
        </w:rPr>
        <w:t> </w:t>
      </w:r>
      <w:r>
        <w:rPr>
          <w:sz w:val="18"/>
        </w:rPr>
        <w:t>Consultation</w:t>
      </w:r>
      <w:r>
        <w:rPr>
          <w:spacing w:val="-6"/>
          <w:sz w:val="18"/>
        </w:rPr>
        <w:t> </w:t>
      </w:r>
      <w:r>
        <w:rPr>
          <w:sz w:val="18"/>
        </w:rPr>
        <w:t>on</w:t>
      </w:r>
      <w:r>
        <w:rPr>
          <w:spacing w:val="-6"/>
          <w:sz w:val="18"/>
        </w:rPr>
        <w:t> </w:t>
      </w:r>
      <w:r>
        <w:rPr>
          <w:sz w:val="18"/>
        </w:rPr>
        <w:t>the</w:t>
      </w:r>
      <w:r>
        <w:rPr>
          <w:spacing w:val="-5"/>
          <w:sz w:val="18"/>
        </w:rPr>
        <w:t> </w:t>
      </w:r>
      <w:r>
        <w:rPr>
          <w:sz w:val="18"/>
        </w:rPr>
        <w:t>Ending</w:t>
      </w:r>
      <w:r>
        <w:rPr>
          <w:spacing w:val="-5"/>
          <w:sz w:val="18"/>
        </w:rPr>
        <w:t> </w:t>
      </w:r>
      <w:r>
        <w:rPr>
          <w:sz w:val="18"/>
        </w:rPr>
        <w:t>Violence</w:t>
      </w:r>
      <w:r>
        <w:rPr>
          <w:spacing w:val="-5"/>
          <w:sz w:val="18"/>
        </w:rPr>
        <w:t> </w:t>
      </w:r>
      <w:r>
        <w:rPr>
          <w:sz w:val="18"/>
        </w:rPr>
        <w:t>Against</w:t>
      </w:r>
      <w:r>
        <w:rPr>
          <w:spacing w:val="-5"/>
          <w:sz w:val="18"/>
        </w:rPr>
        <w:t> </w:t>
      </w:r>
      <w:r>
        <w:rPr>
          <w:sz w:val="18"/>
        </w:rPr>
        <w:t>Women and Girls Strategic Framework’ (NIHRC, 2023).</w:t>
      </w:r>
    </w:p>
    <w:p>
      <w:pPr>
        <w:spacing w:after="0" w:line="235" w:lineRule="auto"/>
        <w:jc w:val="left"/>
        <w:rPr>
          <w:sz w:val="18"/>
        </w:rPr>
        <w:sectPr>
          <w:pgSz w:w="11910" w:h="16840"/>
          <w:pgMar w:header="496" w:footer="367" w:top="1220" w:bottom="560" w:left="0" w:right="0"/>
        </w:sectPr>
      </w:pPr>
    </w:p>
    <w:p>
      <w:pPr>
        <w:pStyle w:val="BodyText"/>
        <w:spacing w:before="198"/>
      </w:pPr>
    </w:p>
    <w:p>
      <w:pPr>
        <w:pStyle w:val="ListParagraph"/>
        <w:numPr>
          <w:ilvl w:val="1"/>
          <w:numId w:val="5"/>
        </w:numPr>
        <w:tabs>
          <w:tab w:pos="1853" w:val="left" w:leader="none"/>
        </w:tabs>
        <w:spacing w:line="225" w:lineRule="auto" w:before="0" w:after="0"/>
        <w:ind w:left="1853" w:right="1764" w:hanging="720"/>
        <w:jc w:val="left"/>
        <w:rPr>
          <w:sz w:val="28"/>
        </w:rPr>
      </w:pPr>
      <w:r>
        <w:rPr>
          <w:sz w:val="28"/>
        </w:rPr>
        <w:t>The Secretary of State for NI may exercise their power under Section 26 of the NI Act 1998 to ensure that the UK Government’s internationally binding</w:t>
      </w:r>
      <w:r>
        <w:rPr>
          <w:spacing w:val="-6"/>
          <w:sz w:val="28"/>
        </w:rPr>
        <w:t> </w:t>
      </w:r>
      <w:r>
        <w:rPr>
          <w:sz w:val="28"/>
        </w:rPr>
        <w:t>commitments,</w:t>
      </w:r>
      <w:r>
        <w:rPr>
          <w:spacing w:val="-6"/>
          <w:sz w:val="28"/>
        </w:rPr>
        <w:t> </w:t>
      </w:r>
      <w:r>
        <w:rPr>
          <w:sz w:val="28"/>
        </w:rPr>
        <w:t>including</w:t>
      </w:r>
      <w:r>
        <w:rPr>
          <w:spacing w:val="-6"/>
          <w:sz w:val="28"/>
        </w:rPr>
        <w:t> </w:t>
      </w:r>
      <w:r>
        <w:rPr>
          <w:sz w:val="28"/>
        </w:rPr>
        <w:t>under</w:t>
      </w:r>
      <w:r>
        <w:rPr>
          <w:spacing w:val="-6"/>
          <w:sz w:val="28"/>
        </w:rPr>
        <w:t> </w:t>
      </w:r>
      <w:r>
        <w:rPr>
          <w:sz w:val="28"/>
        </w:rPr>
        <w:t>Windsor</w:t>
      </w:r>
      <w:r>
        <w:rPr>
          <w:spacing w:val="-6"/>
          <w:sz w:val="28"/>
        </w:rPr>
        <w:t> </w:t>
      </w:r>
      <w:r>
        <w:rPr>
          <w:sz w:val="28"/>
        </w:rPr>
        <w:t>Framework</w:t>
      </w:r>
      <w:r>
        <w:rPr>
          <w:spacing w:val="-6"/>
          <w:sz w:val="28"/>
        </w:rPr>
        <w:t> </w:t>
      </w:r>
      <w:r>
        <w:rPr>
          <w:sz w:val="28"/>
        </w:rPr>
        <w:t>Article</w:t>
      </w:r>
      <w:r>
        <w:rPr>
          <w:spacing w:val="-6"/>
          <w:sz w:val="28"/>
        </w:rPr>
        <w:t> </w:t>
      </w:r>
      <w:r>
        <w:rPr>
          <w:sz w:val="28"/>
        </w:rPr>
        <w:t>2,</w:t>
      </w:r>
      <w:r>
        <w:rPr>
          <w:spacing w:val="-6"/>
          <w:sz w:val="28"/>
        </w:rPr>
        <w:t> </w:t>
      </w:r>
      <w:r>
        <w:rPr>
          <w:sz w:val="28"/>
        </w:rPr>
        <w:t>are</w:t>
      </w:r>
    </w:p>
    <w:p>
      <w:pPr>
        <w:pStyle w:val="BodyText"/>
        <w:spacing w:line="225" w:lineRule="auto"/>
        <w:ind w:left="1853" w:right="1375"/>
        <w:jc w:val="both"/>
      </w:pPr>
      <w:r>
        <w:rPr/>
        <w:t>not breached by failure of a NI Minister or Department to act. However, the Commissions consider that there is value in carrying out a review of existing legislative</w:t>
      </w:r>
      <w:r>
        <w:rPr>
          <w:spacing w:val="-9"/>
        </w:rPr>
        <w:t> </w:t>
      </w:r>
      <w:r>
        <w:rPr/>
        <w:t>safeguards</w:t>
      </w:r>
      <w:r>
        <w:rPr>
          <w:spacing w:val="-10"/>
        </w:rPr>
        <w:t> </w:t>
      </w:r>
      <w:r>
        <w:rPr/>
        <w:t>to</w:t>
      </w:r>
      <w:r>
        <w:rPr>
          <w:spacing w:val="-10"/>
        </w:rPr>
        <w:t> </w:t>
      </w:r>
      <w:r>
        <w:rPr/>
        <w:t>ensure</w:t>
      </w:r>
      <w:r>
        <w:rPr>
          <w:spacing w:val="-9"/>
        </w:rPr>
        <w:t> </w:t>
      </w:r>
      <w:r>
        <w:rPr/>
        <w:t>that</w:t>
      </w:r>
      <w:r>
        <w:rPr>
          <w:spacing w:val="-9"/>
        </w:rPr>
        <w:t> </w:t>
      </w:r>
      <w:r>
        <w:rPr/>
        <w:t>such</w:t>
      </w:r>
      <w:r>
        <w:rPr>
          <w:spacing w:val="-10"/>
        </w:rPr>
        <w:t> </w:t>
      </w:r>
      <w:r>
        <w:rPr/>
        <w:t>mechanisms</w:t>
      </w:r>
      <w:r>
        <w:rPr>
          <w:spacing w:val="-10"/>
        </w:rPr>
        <w:t> </w:t>
      </w:r>
      <w:r>
        <w:rPr/>
        <w:t>are</w:t>
      </w:r>
      <w:r>
        <w:rPr>
          <w:spacing w:val="-9"/>
        </w:rPr>
        <w:t> </w:t>
      </w:r>
      <w:r>
        <w:rPr/>
        <w:t>sufficiently</w:t>
      </w:r>
      <w:r>
        <w:rPr>
          <w:spacing w:val="-9"/>
        </w:rPr>
        <w:t> </w:t>
      </w:r>
      <w:r>
        <w:rPr/>
        <w:t>robust and adequate.</w:t>
      </w:r>
    </w:p>
    <w:p>
      <w:pPr>
        <w:pStyle w:val="ListParagraph"/>
        <w:numPr>
          <w:ilvl w:val="1"/>
          <w:numId w:val="5"/>
        </w:numPr>
        <w:tabs>
          <w:tab w:pos="1853" w:val="left" w:leader="none"/>
        </w:tabs>
        <w:spacing w:line="225" w:lineRule="auto" w:before="311" w:after="0"/>
        <w:ind w:left="1853" w:right="1269" w:hanging="720"/>
        <w:jc w:val="left"/>
        <w:rPr>
          <w:sz w:val="28"/>
        </w:rPr>
      </w:pPr>
      <w:r>
        <w:rPr>
          <w:sz w:val="28"/>
        </w:rPr>
        <w:t>Further, the Commissions continue to highlight the value of a Memorandum of</w:t>
      </w:r>
      <w:r>
        <w:rPr>
          <w:spacing w:val="-3"/>
          <w:sz w:val="28"/>
        </w:rPr>
        <w:t> </w:t>
      </w:r>
      <w:r>
        <w:rPr>
          <w:sz w:val="28"/>
        </w:rPr>
        <w:t>Understanding</w:t>
      </w:r>
      <w:r>
        <w:rPr>
          <w:spacing w:val="-3"/>
          <w:sz w:val="28"/>
        </w:rPr>
        <w:t> </w:t>
      </w:r>
      <w:r>
        <w:rPr>
          <w:sz w:val="28"/>
        </w:rPr>
        <w:t>between</w:t>
      </w:r>
      <w:r>
        <w:rPr>
          <w:spacing w:val="-3"/>
          <w:sz w:val="28"/>
        </w:rPr>
        <w:t> </w:t>
      </w:r>
      <w:r>
        <w:rPr>
          <w:sz w:val="28"/>
        </w:rPr>
        <w:t>the</w:t>
      </w:r>
      <w:r>
        <w:rPr>
          <w:spacing w:val="-3"/>
          <w:sz w:val="28"/>
        </w:rPr>
        <w:t> </w:t>
      </w:r>
      <w:r>
        <w:rPr>
          <w:sz w:val="28"/>
        </w:rPr>
        <w:t>UK</w:t>
      </w:r>
      <w:r>
        <w:rPr>
          <w:spacing w:val="-3"/>
          <w:sz w:val="28"/>
        </w:rPr>
        <w:t> </w:t>
      </w:r>
      <w:r>
        <w:rPr>
          <w:sz w:val="28"/>
        </w:rPr>
        <w:t>Government</w:t>
      </w:r>
      <w:r>
        <w:rPr>
          <w:spacing w:val="-3"/>
          <w:sz w:val="28"/>
        </w:rPr>
        <w:t> </w:t>
      </w:r>
      <w:r>
        <w:rPr>
          <w:sz w:val="28"/>
        </w:rPr>
        <w:t>and</w:t>
      </w:r>
      <w:r>
        <w:rPr>
          <w:spacing w:val="-3"/>
          <w:sz w:val="28"/>
        </w:rPr>
        <w:t> </w:t>
      </w:r>
      <w:r>
        <w:rPr>
          <w:sz w:val="28"/>
        </w:rPr>
        <w:t>the</w:t>
      </w:r>
      <w:r>
        <w:rPr>
          <w:spacing w:val="-3"/>
          <w:sz w:val="28"/>
        </w:rPr>
        <w:t> </w:t>
      </w:r>
      <w:r>
        <w:rPr>
          <w:sz w:val="28"/>
        </w:rPr>
        <w:t>NI</w:t>
      </w:r>
      <w:r>
        <w:rPr>
          <w:spacing w:val="-3"/>
          <w:sz w:val="28"/>
        </w:rPr>
        <w:t> </w:t>
      </w:r>
      <w:r>
        <w:rPr>
          <w:sz w:val="28"/>
        </w:rPr>
        <w:t>Executive</w:t>
      </w:r>
      <w:r>
        <w:rPr>
          <w:spacing w:val="-3"/>
          <w:sz w:val="28"/>
        </w:rPr>
        <w:t> </w:t>
      </w:r>
      <w:r>
        <w:rPr>
          <w:sz w:val="28"/>
        </w:rPr>
        <w:t>to</w:t>
      </w:r>
      <w:r>
        <w:rPr>
          <w:spacing w:val="-3"/>
          <w:sz w:val="28"/>
        </w:rPr>
        <w:t> </w:t>
      </w:r>
      <w:r>
        <w:rPr>
          <w:sz w:val="28"/>
        </w:rPr>
        <w:t>assist in clarifying when the UK Government will act to ensure compliance with Windsor Framework Article 2.</w:t>
      </w:r>
      <w:r>
        <w:rPr>
          <w:sz w:val="28"/>
          <w:vertAlign w:val="superscript"/>
        </w:rPr>
        <w:t>73</w:t>
      </w:r>
      <w:r>
        <w:rPr>
          <w:spacing w:val="40"/>
          <w:sz w:val="28"/>
          <w:vertAlign w:val="baseline"/>
        </w:rPr>
        <w:t> </w:t>
      </w:r>
      <w:r>
        <w:rPr>
          <w:sz w:val="28"/>
          <w:vertAlign w:val="baseline"/>
        </w:rPr>
        <w:t>This could also make explicit commitments on</w:t>
      </w:r>
      <w:r>
        <w:rPr>
          <w:spacing w:val="-6"/>
          <w:sz w:val="28"/>
          <w:vertAlign w:val="baseline"/>
        </w:rPr>
        <w:t> </w:t>
      </w:r>
      <w:r>
        <w:rPr>
          <w:sz w:val="28"/>
          <w:vertAlign w:val="baseline"/>
        </w:rPr>
        <w:t>voluntary</w:t>
      </w:r>
      <w:r>
        <w:rPr>
          <w:spacing w:val="-5"/>
          <w:sz w:val="28"/>
          <w:vertAlign w:val="baseline"/>
        </w:rPr>
        <w:t> </w:t>
      </w:r>
      <w:r>
        <w:rPr>
          <w:sz w:val="28"/>
          <w:vertAlign w:val="baseline"/>
        </w:rPr>
        <w:t>alignment</w:t>
      </w:r>
      <w:r>
        <w:rPr>
          <w:spacing w:val="-5"/>
          <w:sz w:val="28"/>
          <w:vertAlign w:val="baseline"/>
        </w:rPr>
        <w:t> </w:t>
      </w:r>
      <w:r>
        <w:rPr>
          <w:sz w:val="28"/>
          <w:vertAlign w:val="baseline"/>
        </w:rPr>
        <w:t>between</w:t>
      </w:r>
      <w:r>
        <w:rPr>
          <w:spacing w:val="-6"/>
          <w:sz w:val="28"/>
          <w:vertAlign w:val="baseline"/>
        </w:rPr>
        <w:t> </w:t>
      </w:r>
      <w:r>
        <w:rPr>
          <w:sz w:val="28"/>
          <w:vertAlign w:val="baseline"/>
        </w:rPr>
        <w:t>NI</w:t>
      </w:r>
      <w:r>
        <w:rPr>
          <w:spacing w:val="-5"/>
          <w:sz w:val="28"/>
          <w:vertAlign w:val="baseline"/>
        </w:rPr>
        <w:t> </w:t>
      </w:r>
      <w:r>
        <w:rPr>
          <w:sz w:val="28"/>
          <w:vertAlign w:val="baseline"/>
        </w:rPr>
        <w:t>law</w:t>
      </w:r>
      <w:r>
        <w:rPr>
          <w:spacing w:val="-5"/>
          <w:sz w:val="28"/>
          <w:vertAlign w:val="baseline"/>
        </w:rPr>
        <w:t> </w:t>
      </w:r>
      <w:r>
        <w:rPr>
          <w:sz w:val="28"/>
          <w:vertAlign w:val="baseline"/>
        </w:rPr>
        <w:t>and</w:t>
      </w:r>
      <w:r>
        <w:rPr>
          <w:spacing w:val="-6"/>
          <w:sz w:val="28"/>
          <w:vertAlign w:val="baseline"/>
        </w:rPr>
        <w:t> </w:t>
      </w:r>
      <w:r>
        <w:rPr>
          <w:sz w:val="28"/>
          <w:vertAlign w:val="baseline"/>
        </w:rPr>
        <w:t>developments</w:t>
      </w:r>
      <w:r>
        <w:rPr>
          <w:spacing w:val="-6"/>
          <w:sz w:val="28"/>
          <w:vertAlign w:val="baseline"/>
        </w:rPr>
        <w:t> </w:t>
      </w:r>
      <w:r>
        <w:rPr>
          <w:sz w:val="28"/>
          <w:vertAlign w:val="baseline"/>
        </w:rPr>
        <w:t>in</w:t>
      </w:r>
      <w:r>
        <w:rPr>
          <w:spacing w:val="-6"/>
          <w:sz w:val="28"/>
          <w:vertAlign w:val="baseline"/>
        </w:rPr>
        <w:t> </w:t>
      </w:r>
      <w:r>
        <w:rPr>
          <w:sz w:val="28"/>
          <w:vertAlign w:val="baseline"/>
        </w:rPr>
        <w:t>EU</w:t>
      </w:r>
      <w:r>
        <w:rPr>
          <w:spacing w:val="-5"/>
          <w:sz w:val="28"/>
          <w:vertAlign w:val="baseline"/>
        </w:rPr>
        <w:t> </w:t>
      </w:r>
      <w:r>
        <w:rPr>
          <w:sz w:val="28"/>
          <w:vertAlign w:val="baseline"/>
        </w:rPr>
        <w:t>equality</w:t>
      </w:r>
      <w:r>
        <w:rPr>
          <w:spacing w:val="-5"/>
          <w:sz w:val="28"/>
          <w:vertAlign w:val="baseline"/>
        </w:rPr>
        <w:t> </w:t>
      </w:r>
      <w:r>
        <w:rPr>
          <w:sz w:val="28"/>
          <w:vertAlign w:val="baseline"/>
        </w:rPr>
        <w:t>and human rights legislation relevant to Article 2 and North-South equivalence, that enhance protections and reflect international human rights standards.</w:t>
      </w:r>
      <w:r>
        <w:rPr>
          <w:sz w:val="28"/>
          <w:vertAlign w:val="superscript"/>
        </w:rPr>
        <w:t>74</w:t>
      </w:r>
    </w:p>
    <w:p>
      <w:pPr>
        <w:pStyle w:val="BodyText"/>
        <w:spacing w:before="9"/>
        <w:rPr>
          <w:sz w:val="13"/>
        </w:rPr>
      </w:pPr>
      <w:r>
        <w:rPr/>
        <mc:AlternateContent>
          <mc:Choice Requires="wps">
            <w:drawing>
              <wp:anchor distT="0" distB="0" distL="0" distR="0" allowOverlap="1" layoutInCell="1" locked="0" behindDoc="1" simplePos="0" relativeHeight="487629824">
                <wp:simplePos x="0" y="0"/>
                <wp:positionH relativeFrom="page">
                  <wp:posOffset>720001</wp:posOffset>
                </wp:positionH>
                <wp:positionV relativeFrom="paragraph">
                  <wp:posOffset>121955</wp:posOffset>
                </wp:positionV>
                <wp:extent cx="6120130" cy="360045"/>
                <wp:effectExtent l="0" t="0" r="0" b="0"/>
                <wp:wrapTopAndBottom/>
                <wp:docPr id="146" name="Textbox 146"/>
                <wp:cNvGraphicFramePr>
                  <a:graphicFrameLocks/>
                </wp:cNvGraphicFramePr>
                <a:graphic>
                  <a:graphicData uri="http://schemas.microsoft.com/office/word/2010/wordprocessingShape">
                    <wps:wsp>
                      <wps:cNvPr id="146" name="Textbox 146"/>
                      <wps:cNvSpPr txBox="1"/>
                      <wps:spPr>
                        <a:xfrm>
                          <a:off x="0" y="0"/>
                          <a:ext cx="6120130" cy="360045"/>
                        </a:xfrm>
                        <a:prstGeom prst="rect">
                          <a:avLst/>
                        </a:prstGeom>
                        <a:solidFill>
                          <a:srgbClr val="393B80"/>
                        </a:solidFill>
                      </wps:spPr>
                      <wps:txbx>
                        <w:txbxContent>
                          <w:p>
                            <w:pPr>
                              <w:spacing w:before="103"/>
                              <w:ind w:left="736"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9.602813pt;width:481.9pt;height:28.35pt;mso-position-horizontal-relative:page;mso-position-vertical-relative:paragraph;z-index:-15686656;mso-wrap-distance-left:0;mso-wrap-distance-right:0" type="#_x0000_t202" id="docshape103" filled="true" fillcolor="#393b80" stroked="false">
                <v:textbox inset="0,0,0,0">
                  <w:txbxContent>
                    <w:p>
                      <w:pPr>
                        <w:spacing w:before="103"/>
                        <w:ind w:left="736"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5"/>
        </w:numPr>
        <w:tabs>
          <w:tab w:pos="1853" w:val="left" w:leader="none"/>
        </w:tabs>
        <w:spacing w:line="225" w:lineRule="auto" w:before="208" w:after="0"/>
        <w:ind w:left="1853" w:right="1372" w:hanging="720"/>
        <w:jc w:val="left"/>
        <w:rPr>
          <w:b/>
          <w:color w:val="67287F"/>
          <w:sz w:val="28"/>
        </w:rPr>
      </w:pPr>
      <w:r>
        <w:rPr>
          <w:b/>
          <w:color w:val="67287F"/>
          <w:sz w:val="28"/>
        </w:rPr>
        <w:t>The Commissions continue to recommend that UK Government and NI departments ensure that consideration of compliance with Windsor Framework</w:t>
      </w:r>
      <w:r>
        <w:rPr>
          <w:b/>
          <w:color w:val="67287F"/>
          <w:spacing w:val="-5"/>
          <w:sz w:val="28"/>
        </w:rPr>
        <w:t> </w:t>
      </w:r>
      <w:r>
        <w:rPr>
          <w:b/>
          <w:color w:val="67287F"/>
          <w:sz w:val="28"/>
        </w:rPr>
        <w:t>Article</w:t>
      </w:r>
      <w:r>
        <w:rPr>
          <w:b/>
          <w:color w:val="67287F"/>
          <w:spacing w:val="-4"/>
          <w:sz w:val="28"/>
        </w:rPr>
        <w:t> </w:t>
      </w:r>
      <w:r>
        <w:rPr>
          <w:b/>
          <w:color w:val="67287F"/>
          <w:sz w:val="28"/>
        </w:rPr>
        <w:t>2</w:t>
      </w:r>
      <w:r>
        <w:rPr>
          <w:b/>
          <w:color w:val="67287F"/>
          <w:spacing w:val="-3"/>
          <w:sz w:val="28"/>
        </w:rPr>
        <w:t> </w:t>
      </w:r>
      <w:r>
        <w:rPr>
          <w:b/>
          <w:color w:val="67287F"/>
          <w:sz w:val="28"/>
        </w:rPr>
        <w:t>is</w:t>
      </w:r>
      <w:r>
        <w:rPr>
          <w:b/>
          <w:color w:val="67287F"/>
          <w:spacing w:val="-3"/>
          <w:sz w:val="28"/>
        </w:rPr>
        <w:t> </w:t>
      </w:r>
      <w:r>
        <w:rPr>
          <w:b/>
          <w:color w:val="67287F"/>
          <w:sz w:val="28"/>
        </w:rPr>
        <w:t>embedded</w:t>
      </w:r>
      <w:r>
        <w:rPr>
          <w:b/>
          <w:color w:val="67287F"/>
          <w:spacing w:val="-3"/>
          <w:sz w:val="28"/>
        </w:rPr>
        <w:t> </w:t>
      </w:r>
      <w:r>
        <w:rPr>
          <w:b/>
          <w:color w:val="67287F"/>
          <w:sz w:val="28"/>
        </w:rPr>
        <w:t>in</w:t>
      </w:r>
      <w:r>
        <w:rPr>
          <w:b/>
          <w:color w:val="67287F"/>
          <w:spacing w:val="-3"/>
          <w:sz w:val="28"/>
        </w:rPr>
        <w:t> </w:t>
      </w:r>
      <w:r>
        <w:rPr>
          <w:b/>
          <w:color w:val="67287F"/>
          <w:sz w:val="28"/>
        </w:rPr>
        <w:t>policy</w:t>
      </w:r>
      <w:r>
        <w:rPr>
          <w:b/>
          <w:color w:val="67287F"/>
          <w:spacing w:val="-3"/>
          <w:sz w:val="28"/>
        </w:rPr>
        <w:t> </w:t>
      </w:r>
      <w:r>
        <w:rPr>
          <w:b/>
          <w:color w:val="67287F"/>
          <w:sz w:val="28"/>
        </w:rPr>
        <w:t>and</w:t>
      </w:r>
      <w:r>
        <w:rPr>
          <w:b/>
          <w:color w:val="67287F"/>
          <w:spacing w:val="-4"/>
          <w:sz w:val="28"/>
        </w:rPr>
        <w:t> </w:t>
      </w:r>
      <w:r>
        <w:rPr>
          <w:b/>
          <w:color w:val="67287F"/>
          <w:sz w:val="28"/>
        </w:rPr>
        <w:t>processes</w:t>
      </w:r>
      <w:r>
        <w:rPr>
          <w:b/>
          <w:color w:val="67287F"/>
          <w:spacing w:val="-3"/>
          <w:sz w:val="28"/>
        </w:rPr>
        <w:t> </w:t>
      </w:r>
      <w:r>
        <w:rPr>
          <w:b/>
          <w:color w:val="67287F"/>
          <w:sz w:val="28"/>
        </w:rPr>
        <w:t>at</w:t>
      </w:r>
      <w:r>
        <w:rPr>
          <w:b/>
          <w:color w:val="67287F"/>
          <w:spacing w:val="-3"/>
          <w:sz w:val="28"/>
        </w:rPr>
        <w:t> </w:t>
      </w:r>
      <w:r>
        <w:rPr>
          <w:b/>
          <w:color w:val="67287F"/>
          <w:sz w:val="28"/>
        </w:rPr>
        <w:t>an</w:t>
      </w:r>
      <w:r>
        <w:rPr>
          <w:b/>
          <w:color w:val="67287F"/>
          <w:spacing w:val="-3"/>
          <w:sz w:val="28"/>
        </w:rPr>
        <w:t> </w:t>
      </w:r>
      <w:r>
        <w:rPr>
          <w:b/>
          <w:color w:val="67287F"/>
          <w:sz w:val="28"/>
        </w:rPr>
        <w:t>early</w:t>
      </w:r>
      <w:r>
        <w:rPr>
          <w:b/>
          <w:color w:val="67287F"/>
          <w:spacing w:val="-3"/>
          <w:sz w:val="28"/>
        </w:rPr>
        <w:t> </w:t>
      </w:r>
      <w:r>
        <w:rPr>
          <w:b/>
          <w:color w:val="67287F"/>
          <w:spacing w:val="-2"/>
          <w:sz w:val="28"/>
        </w:rPr>
        <w:t>stage.</w:t>
      </w:r>
    </w:p>
    <w:p>
      <w:pPr>
        <w:pStyle w:val="ListParagraph"/>
        <w:numPr>
          <w:ilvl w:val="1"/>
          <w:numId w:val="5"/>
        </w:numPr>
        <w:tabs>
          <w:tab w:pos="1853" w:val="left" w:leader="none"/>
        </w:tabs>
        <w:spacing w:line="225" w:lineRule="auto" w:before="316" w:after="0"/>
        <w:ind w:left="1853" w:right="1705" w:hanging="720"/>
        <w:jc w:val="left"/>
        <w:rPr>
          <w:b/>
          <w:color w:val="67287F"/>
          <w:sz w:val="28"/>
        </w:rPr>
      </w:pPr>
      <w:r>
        <w:rPr>
          <w:b/>
          <w:color w:val="67287F"/>
          <w:sz w:val="28"/>
        </w:rPr>
        <w:t>To</w:t>
      </w:r>
      <w:r>
        <w:rPr>
          <w:b/>
          <w:color w:val="67287F"/>
          <w:spacing w:val="-9"/>
          <w:sz w:val="28"/>
        </w:rPr>
        <w:t> </w:t>
      </w:r>
      <w:r>
        <w:rPr>
          <w:b/>
          <w:color w:val="67287F"/>
          <w:sz w:val="28"/>
        </w:rPr>
        <w:t>ensure</w:t>
      </w:r>
      <w:r>
        <w:rPr>
          <w:b/>
          <w:color w:val="67287F"/>
          <w:spacing w:val="-10"/>
          <w:sz w:val="28"/>
        </w:rPr>
        <w:t> </w:t>
      </w:r>
      <w:r>
        <w:rPr>
          <w:b/>
          <w:color w:val="67287F"/>
          <w:sz w:val="28"/>
        </w:rPr>
        <w:t>effective</w:t>
      </w:r>
      <w:r>
        <w:rPr>
          <w:b/>
          <w:color w:val="67287F"/>
          <w:spacing w:val="-10"/>
          <w:sz w:val="28"/>
        </w:rPr>
        <w:t> </w:t>
      </w:r>
      <w:r>
        <w:rPr>
          <w:b/>
          <w:color w:val="67287F"/>
          <w:sz w:val="28"/>
        </w:rPr>
        <w:t>embedding</w:t>
      </w:r>
      <w:r>
        <w:rPr>
          <w:b/>
          <w:color w:val="67287F"/>
          <w:spacing w:val="-10"/>
          <w:sz w:val="28"/>
        </w:rPr>
        <w:t> </w:t>
      </w:r>
      <w:r>
        <w:rPr>
          <w:b/>
          <w:color w:val="67287F"/>
          <w:sz w:val="28"/>
        </w:rPr>
        <w:t>of</w:t>
      </w:r>
      <w:r>
        <w:rPr>
          <w:b/>
          <w:color w:val="67287F"/>
          <w:spacing w:val="-10"/>
          <w:sz w:val="28"/>
        </w:rPr>
        <w:t> </w:t>
      </w:r>
      <w:r>
        <w:rPr>
          <w:b/>
          <w:color w:val="67287F"/>
          <w:sz w:val="28"/>
        </w:rPr>
        <w:t>Windsor</w:t>
      </w:r>
      <w:r>
        <w:rPr>
          <w:b/>
          <w:color w:val="67287F"/>
          <w:spacing w:val="-10"/>
          <w:sz w:val="28"/>
        </w:rPr>
        <w:t> </w:t>
      </w:r>
      <w:r>
        <w:rPr>
          <w:b/>
          <w:color w:val="67287F"/>
          <w:sz w:val="28"/>
        </w:rPr>
        <w:t>Framework</w:t>
      </w:r>
      <w:r>
        <w:rPr>
          <w:b/>
          <w:color w:val="67287F"/>
          <w:spacing w:val="-10"/>
          <w:sz w:val="28"/>
        </w:rPr>
        <w:t> </w:t>
      </w:r>
      <w:r>
        <w:rPr>
          <w:b/>
          <w:color w:val="67287F"/>
          <w:sz w:val="28"/>
        </w:rPr>
        <w:t>Article</w:t>
      </w:r>
      <w:r>
        <w:rPr>
          <w:b/>
          <w:color w:val="67287F"/>
          <w:spacing w:val="-10"/>
          <w:sz w:val="28"/>
        </w:rPr>
        <w:t> </w:t>
      </w:r>
      <w:r>
        <w:rPr>
          <w:b/>
          <w:color w:val="67287F"/>
          <w:sz w:val="28"/>
        </w:rPr>
        <w:t>2</w:t>
      </w:r>
      <w:r>
        <w:rPr>
          <w:b/>
          <w:color w:val="67287F"/>
          <w:spacing w:val="-9"/>
          <w:sz w:val="28"/>
        </w:rPr>
        <w:t> </w:t>
      </w:r>
      <w:r>
        <w:rPr>
          <w:b/>
          <w:color w:val="67287F"/>
          <w:sz w:val="28"/>
        </w:rPr>
        <w:t>in</w:t>
      </w:r>
      <w:r>
        <w:rPr>
          <w:b/>
          <w:color w:val="67287F"/>
          <w:spacing w:val="-9"/>
          <w:sz w:val="28"/>
        </w:rPr>
        <w:t> </w:t>
      </w:r>
      <w:r>
        <w:rPr>
          <w:b/>
          <w:color w:val="67287F"/>
          <w:sz w:val="28"/>
        </w:rPr>
        <w:t>policy and processes the Commissions continue to recommend that UK and</w:t>
      </w:r>
    </w:p>
    <w:p>
      <w:pPr>
        <w:spacing w:line="225" w:lineRule="auto" w:before="0"/>
        <w:ind w:left="1853" w:right="1595" w:firstLine="0"/>
        <w:jc w:val="left"/>
        <w:rPr>
          <w:b/>
          <w:sz w:val="28"/>
        </w:rPr>
      </w:pPr>
      <w:r>
        <w:rPr>
          <w:b/>
          <w:color w:val="67287F"/>
          <w:sz w:val="28"/>
        </w:rPr>
        <w:t>NI</w:t>
      </w:r>
      <w:r>
        <w:rPr>
          <w:b/>
          <w:color w:val="67287F"/>
          <w:spacing w:val="-1"/>
          <w:sz w:val="28"/>
        </w:rPr>
        <w:t> </w:t>
      </w:r>
      <w:r>
        <w:rPr>
          <w:b/>
          <w:color w:val="67287F"/>
          <w:sz w:val="28"/>
        </w:rPr>
        <w:t>government</w:t>
      </w:r>
      <w:r>
        <w:rPr>
          <w:b/>
          <w:color w:val="67287F"/>
          <w:spacing w:val="-1"/>
          <w:sz w:val="28"/>
        </w:rPr>
        <w:t> </w:t>
      </w:r>
      <w:r>
        <w:rPr>
          <w:b/>
          <w:color w:val="67287F"/>
          <w:sz w:val="28"/>
        </w:rPr>
        <w:t>officials</w:t>
      </w:r>
      <w:r>
        <w:rPr>
          <w:b/>
          <w:color w:val="67287F"/>
          <w:spacing w:val="-1"/>
          <w:sz w:val="28"/>
        </w:rPr>
        <w:t> </w:t>
      </w:r>
      <w:r>
        <w:rPr>
          <w:b/>
          <w:color w:val="67287F"/>
          <w:sz w:val="28"/>
        </w:rPr>
        <w:t>should</w:t>
      </w:r>
      <w:r>
        <w:rPr>
          <w:b/>
          <w:color w:val="67287F"/>
          <w:spacing w:val="-1"/>
          <w:sz w:val="28"/>
        </w:rPr>
        <w:t> </w:t>
      </w:r>
      <w:r>
        <w:rPr>
          <w:b/>
          <w:color w:val="67287F"/>
          <w:sz w:val="28"/>
        </w:rPr>
        <w:t>roll</w:t>
      </w:r>
      <w:r>
        <w:rPr>
          <w:b/>
          <w:color w:val="67287F"/>
          <w:spacing w:val="-1"/>
          <w:sz w:val="28"/>
        </w:rPr>
        <w:t> </w:t>
      </w:r>
      <w:r>
        <w:rPr>
          <w:b/>
          <w:color w:val="67287F"/>
          <w:sz w:val="28"/>
        </w:rPr>
        <w:t>out</w:t>
      </w:r>
      <w:r>
        <w:rPr>
          <w:b/>
          <w:color w:val="67287F"/>
          <w:spacing w:val="-1"/>
          <w:sz w:val="28"/>
        </w:rPr>
        <w:t> </w:t>
      </w:r>
      <w:r>
        <w:rPr>
          <w:b/>
          <w:color w:val="67287F"/>
          <w:sz w:val="28"/>
        </w:rPr>
        <w:t>effective</w:t>
      </w:r>
      <w:r>
        <w:rPr>
          <w:b/>
          <w:color w:val="67287F"/>
          <w:spacing w:val="-2"/>
          <w:sz w:val="28"/>
        </w:rPr>
        <w:t> </w:t>
      </w:r>
      <w:r>
        <w:rPr>
          <w:b/>
          <w:color w:val="67287F"/>
          <w:sz w:val="28"/>
        </w:rPr>
        <w:t>training</w:t>
      </w:r>
      <w:r>
        <w:rPr>
          <w:b/>
          <w:color w:val="67287F"/>
          <w:spacing w:val="-2"/>
          <w:sz w:val="28"/>
        </w:rPr>
        <w:t> </w:t>
      </w:r>
      <w:r>
        <w:rPr>
          <w:b/>
          <w:color w:val="67287F"/>
          <w:sz w:val="28"/>
        </w:rPr>
        <w:t>on</w:t>
      </w:r>
      <w:r>
        <w:rPr>
          <w:b/>
          <w:color w:val="67287F"/>
          <w:spacing w:val="-1"/>
          <w:sz w:val="28"/>
        </w:rPr>
        <w:t> </w:t>
      </w:r>
      <w:r>
        <w:rPr>
          <w:b/>
          <w:color w:val="67287F"/>
          <w:sz w:val="28"/>
        </w:rPr>
        <w:t>Article</w:t>
      </w:r>
      <w:r>
        <w:rPr>
          <w:b/>
          <w:color w:val="67287F"/>
          <w:spacing w:val="-2"/>
          <w:sz w:val="28"/>
        </w:rPr>
        <w:t> </w:t>
      </w:r>
      <w:r>
        <w:rPr>
          <w:b/>
          <w:color w:val="67287F"/>
          <w:sz w:val="28"/>
        </w:rPr>
        <w:t>2</w:t>
      </w:r>
      <w:r>
        <w:rPr>
          <w:b/>
          <w:color w:val="67287F"/>
          <w:spacing w:val="-1"/>
          <w:sz w:val="28"/>
        </w:rPr>
        <w:t> </w:t>
      </w:r>
      <w:r>
        <w:rPr>
          <w:b/>
          <w:color w:val="67287F"/>
          <w:sz w:val="28"/>
        </w:rPr>
        <w:t>to all</w:t>
      </w:r>
      <w:r>
        <w:rPr>
          <w:b/>
          <w:color w:val="67287F"/>
          <w:spacing w:val="-7"/>
          <w:sz w:val="28"/>
        </w:rPr>
        <w:t> </w:t>
      </w:r>
      <w:r>
        <w:rPr>
          <w:b/>
          <w:color w:val="67287F"/>
          <w:sz w:val="28"/>
        </w:rPr>
        <w:t>relevant</w:t>
      </w:r>
      <w:r>
        <w:rPr>
          <w:b/>
          <w:color w:val="67287F"/>
          <w:spacing w:val="-7"/>
          <w:sz w:val="28"/>
        </w:rPr>
        <w:t> </w:t>
      </w:r>
      <w:r>
        <w:rPr>
          <w:b/>
          <w:color w:val="67287F"/>
          <w:sz w:val="28"/>
        </w:rPr>
        <w:t>officials,</w:t>
      </w:r>
      <w:r>
        <w:rPr>
          <w:b/>
          <w:color w:val="67287F"/>
          <w:spacing w:val="-7"/>
          <w:sz w:val="28"/>
        </w:rPr>
        <w:t> </w:t>
      </w:r>
      <w:r>
        <w:rPr>
          <w:b/>
          <w:color w:val="67287F"/>
          <w:sz w:val="28"/>
        </w:rPr>
        <w:t>and</w:t>
      </w:r>
      <w:r>
        <w:rPr>
          <w:b/>
          <w:color w:val="67287F"/>
          <w:spacing w:val="-7"/>
          <w:sz w:val="28"/>
        </w:rPr>
        <w:t> </w:t>
      </w:r>
      <w:r>
        <w:rPr>
          <w:b/>
          <w:color w:val="67287F"/>
          <w:sz w:val="28"/>
        </w:rPr>
        <w:t>act</w:t>
      </w:r>
      <w:r>
        <w:rPr>
          <w:b/>
          <w:color w:val="67287F"/>
          <w:spacing w:val="-7"/>
          <w:sz w:val="28"/>
        </w:rPr>
        <w:t> </w:t>
      </w:r>
      <w:r>
        <w:rPr>
          <w:b/>
          <w:color w:val="67287F"/>
          <w:sz w:val="28"/>
        </w:rPr>
        <w:t>promptly</w:t>
      </w:r>
      <w:r>
        <w:rPr>
          <w:b/>
          <w:color w:val="67287F"/>
          <w:spacing w:val="-7"/>
          <w:sz w:val="28"/>
        </w:rPr>
        <w:t> </w:t>
      </w:r>
      <w:r>
        <w:rPr>
          <w:b/>
          <w:color w:val="67287F"/>
          <w:sz w:val="28"/>
        </w:rPr>
        <w:t>to</w:t>
      </w:r>
      <w:r>
        <w:rPr>
          <w:b/>
          <w:color w:val="67287F"/>
          <w:spacing w:val="-7"/>
          <w:sz w:val="28"/>
        </w:rPr>
        <w:t> </w:t>
      </w:r>
      <w:r>
        <w:rPr>
          <w:b/>
          <w:color w:val="67287F"/>
          <w:sz w:val="28"/>
        </w:rPr>
        <w:t>ensure</w:t>
      </w:r>
      <w:r>
        <w:rPr>
          <w:b/>
          <w:color w:val="67287F"/>
          <w:spacing w:val="-8"/>
          <w:sz w:val="28"/>
        </w:rPr>
        <w:t> </w:t>
      </w:r>
      <w:r>
        <w:rPr>
          <w:b/>
          <w:color w:val="67287F"/>
          <w:sz w:val="28"/>
        </w:rPr>
        <w:t>UK</w:t>
      </w:r>
      <w:r>
        <w:rPr>
          <w:b/>
          <w:color w:val="67287F"/>
          <w:spacing w:val="-7"/>
          <w:sz w:val="28"/>
        </w:rPr>
        <w:t> </w:t>
      </w:r>
      <w:r>
        <w:rPr>
          <w:b/>
          <w:color w:val="67287F"/>
          <w:sz w:val="28"/>
        </w:rPr>
        <w:t>and</w:t>
      </w:r>
      <w:r>
        <w:rPr>
          <w:b/>
          <w:color w:val="67287F"/>
          <w:spacing w:val="-7"/>
          <w:sz w:val="28"/>
        </w:rPr>
        <w:t> </w:t>
      </w:r>
      <w:r>
        <w:rPr>
          <w:b/>
          <w:color w:val="67287F"/>
          <w:sz w:val="28"/>
        </w:rPr>
        <w:t>NI</w:t>
      </w:r>
      <w:r>
        <w:rPr>
          <w:b/>
          <w:color w:val="67287F"/>
          <w:spacing w:val="-7"/>
          <w:sz w:val="28"/>
        </w:rPr>
        <w:t> </w:t>
      </w:r>
      <w:r>
        <w:rPr>
          <w:b/>
          <w:color w:val="67287F"/>
          <w:sz w:val="28"/>
        </w:rPr>
        <w:t>government guidance on policy and legislative development is updated to include consideration of Article 2.</w:t>
      </w:r>
    </w:p>
    <w:p>
      <w:pPr>
        <w:pStyle w:val="ListParagraph"/>
        <w:numPr>
          <w:ilvl w:val="1"/>
          <w:numId w:val="5"/>
        </w:numPr>
        <w:tabs>
          <w:tab w:pos="1853" w:val="left" w:leader="none"/>
        </w:tabs>
        <w:spacing w:line="225" w:lineRule="auto" w:before="313" w:after="0"/>
        <w:ind w:left="1853" w:right="1269" w:hanging="720"/>
        <w:jc w:val="left"/>
        <w:rPr>
          <w:b/>
          <w:color w:val="67287F"/>
          <w:sz w:val="28"/>
        </w:rPr>
      </w:pPr>
      <w:r>
        <w:rPr>
          <w:b/>
          <w:color w:val="67287F"/>
          <w:sz w:val="28"/>
        </w:rPr>
        <w:t>The</w:t>
      </w:r>
      <w:r>
        <w:rPr>
          <w:b/>
          <w:color w:val="67287F"/>
          <w:spacing w:val="-8"/>
          <w:sz w:val="28"/>
        </w:rPr>
        <w:t> </w:t>
      </w:r>
      <w:r>
        <w:rPr>
          <w:b/>
          <w:color w:val="67287F"/>
          <w:sz w:val="28"/>
        </w:rPr>
        <w:t>Commissions</w:t>
      </w:r>
      <w:r>
        <w:rPr>
          <w:b/>
          <w:color w:val="67287F"/>
          <w:spacing w:val="-7"/>
          <w:sz w:val="28"/>
        </w:rPr>
        <w:t> </w:t>
      </w:r>
      <w:r>
        <w:rPr>
          <w:b/>
          <w:color w:val="67287F"/>
          <w:sz w:val="28"/>
        </w:rPr>
        <w:t>recommend</w:t>
      </w:r>
      <w:r>
        <w:rPr>
          <w:b/>
          <w:color w:val="67287F"/>
          <w:spacing w:val="-7"/>
          <w:sz w:val="28"/>
        </w:rPr>
        <w:t> </w:t>
      </w:r>
      <w:r>
        <w:rPr>
          <w:b/>
          <w:color w:val="67287F"/>
          <w:sz w:val="28"/>
        </w:rPr>
        <w:t>that</w:t>
      </w:r>
      <w:r>
        <w:rPr>
          <w:b/>
          <w:color w:val="67287F"/>
          <w:spacing w:val="-7"/>
          <w:sz w:val="28"/>
        </w:rPr>
        <w:t> </w:t>
      </w:r>
      <w:r>
        <w:rPr>
          <w:b/>
          <w:color w:val="67287F"/>
          <w:sz w:val="28"/>
        </w:rPr>
        <w:t>the</w:t>
      </w:r>
      <w:r>
        <w:rPr>
          <w:b/>
          <w:color w:val="67287F"/>
          <w:spacing w:val="-8"/>
          <w:sz w:val="28"/>
        </w:rPr>
        <w:t> </w:t>
      </w:r>
      <w:r>
        <w:rPr>
          <w:b/>
          <w:color w:val="67287F"/>
          <w:sz w:val="28"/>
        </w:rPr>
        <w:t>Executive</w:t>
      </w:r>
      <w:r>
        <w:rPr>
          <w:b/>
          <w:color w:val="67287F"/>
          <w:spacing w:val="-8"/>
          <w:sz w:val="28"/>
        </w:rPr>
        <w:t> </w:t>
      </w:r>
      <w:r>
        <w:rPr>
          <w:b/>
          <w:color w:val="67287F"/>
          <w:sz w:val="28"/>
        </w:rPr>
        <w:t>Office</w:t>
      </w:r>
      <w:r>
        <w:rPr>
          <w:b/>
          <w:color w:val="67287F"/>
          <w:spacing w:val="-8"/>
          <w:sz w:val="28"/>
        </w:rPr>
        <w:t> </w:t>
      </w:r>
      <w:r>
        <w:rPr>
          <w:b/>
          <w:color w:val="67287F"/>
          <w:sz w:val="28"/>
        </w:rPr>
        <w:t>and</w:t>
      </w:r>
      <w:r>
        <w:rPr>
          <w:b/>
          <w:color w:val="67287F"/>
          <w:spacing w:val="-7"/>
          <w:sz w:val="28"/>
        </w:rPr>
        <w:t> </w:t>
      </w:r>
      <w:r>
        <w:rPr>
          <w:b/>
          <w:color w:val="67287F"/>
          <w:sz w:val="28"/>
        </w:rPr>
        <w:t>NI</w:t>
      </w:r>
      <w:r>
        <w:rPr>
          <w:b/>
          <w:color w:val="67287F"/>
          <w:spacing w:val="-7"/>
          <w:sz w:val="28"/>
        </w:rPr>
        <w:t> </w:t>
      </w:r>
      <w:r>
        <w:rPr>
          <w:b/>
          <w:color w:val="67287F"/>
          <w:sz w:val="28"/>
        </w:rPr>
        <w:t>departments consider Windsor Framework Article 2 within its current impact</w:t>
      </w:r>
    </w:p>
    <w:p>
      <w:pPr>
        <w:spacing w:line="225" w:lineRule="auto" w:before="0"/>
        <w:ind w:left="1853" w:right="1171" w:firstLine="0"/>
        <w:jc w:val="left"/>
        <w:rPr>
          <w:b/>
          <w:sz w:val="28"/>
        </w:rPr>
      </w:pPr>
      <w:r>
        <w:rPr>
          <w:b/>
          <w:color w:val="67287F"/>
          <w:sz w:val="28"/>
        </w:rPr>
        <w:t>assessment framework, including Human Rights Impact Assessments, to ensure</w:t>
      </w:r>
      <w:r>
        <w:rPr>
          <w:b/>
          <w:color w:val="67287F"/>
          <w:spacing w:val="-6"/>
          <w:sz w:val="28"/>
        </w:rPr>
        <w:t> </w:t>
      </w:r>
      <w:r>
        <w:rPr>
          <w:b/>
          <w:color w:val="67287F"/>
          <w:sz w:val="28"/>
        </w:rPr>
        <w:t>continuity</w:t>
      </w:r>
      <w:r>
        <w:rPr>
          <w:b/>
          <w:color w:val="67287F"/>
          <w:spacing w:val="-5"/>
          <w:sz w:val="28"/>
        </w:rPr>
        <w:t> </w:t>
      </w:r>
      <w:r>
        <w:rPr>
          <w:b/>
          <w:color w:val="67287F"/>
          <w:sz w:val="28"/>
        </w:rPr>
        <w:t>of</w:t>
      </w:r>
      <w:r>
        <w:rPr>
          <w:b/>
          <w:color w:val="67287F"/>
          <w:spacing w:val="-6"/>
          <w:sz w:val="28"/>
        </w:rPr>
        <w:t> </w:t>
      </w:r>
      <w:r>
        <w:rPr>
          <w:b/>
          <w:color w:val="67287F"/>
          <w:sz w:val="28"/>
        </w:rPr>
        <w:t>human</w:t>
      </w:r>
      <w:r>
        <w:rPr>
          <w:b/>
          <w:color w:val="67287F"/>
          <w:spacing w:val="-5"/>
          <w:sz w:val="28"/>
        </w:rPr>
        <w:t> </w:t>
      </w:r>
      <w:r>
        <w:rPr>
          <w:b/>
          <w:color w:val="67287F"/>
          <w:sz w:val="28"/>
        </w:rPr>
        <w:t>rights</w:t>
      </w:r>
      <w:r>
        <w:rPr>
          <w:b/>
          <w:color w:val="67287F"/>
          <w:spacing w:val="-5"/>
          <w:sz w:val="28"/>
        </w:rPr>
        <w:t> </w:t>
      </w:r>
      <w:r>
        <w:rPr>
          <w:b/>
          <w:color w:val="67287F"/>
          <w:sz w:val="28"/>
        </w:rPr>
        <w:t>and</w:t>
      </w:r>
      <w:r>
        <w:rPr>
          <w:b/>
          <w:color w:val="67287F"/>
          <w:spacing w:val="-5"/>
          <w:sz w:val="28"/>
        </w:rPr>
        <w:t> </w:t>
      </w:r>
      <w:r>
        <w:rPr>
          <w:b/>
          <w:color w:val="67287F"/>
          <w:sz w:val="28"/>
        </w:rPr>
        <w:t>equality</w:t>
      </w:r>
      <w:r>
        <w:rPr>
          <w:b/>
          <w:color w:val="67287F"/>
          <w:spacing w:val="-5"/>
          <w:sz w:val="28"/>
        </w:rPr>
        <w:t> </w:t>
      </w:r>
      <w:r>
        <w:rPr>
          <w:b/>
          <w:color w:val="67287F"/>
          <w:sz w:val="28"/>
        </w:rPr>
        <w:t>protections.</w:t>
      </w:r>
      <w:r>
        <w:rPr>
          <w:b/>
          <w:color w:val="67287F"/>
          <w:spacing w:val="40"/>
          <w:sz w:val="28"/>
        </w:rPr>
        <w:t> </w:t>
      </w:r>
      <w:r>
        <w:rPr>
          <w:b/>
          <w:color w:val="67287F"/>
          <w:sz w:val="28"/>
        </w:rPr>
        <w:t>Such</w:t>
      </w:r>
      <w:r>
        <w:rPr>
          <w:b/>
          <w:color w:val="67287F"/>
          <w:spacing w:val="-5"/>
          <w:sz w:val="28"/>
        </w:rPr>
        <w:t> </w:t>
      </w:r>
      <w:r>
        <w:rPr>
          <w:b/>
          <w:color w:val="67287F"/>
          <w:sz w:val="28"/>
        </w:rPr>
        <w:t>Impact Assessments should consider all provisions of EU law engaged under the Windsor Framework Article 2 relevant to the legislation or policy being assessed, including EU law which underpins relevant ECHR rights.</w:t>
      </w:r>
    </w:p>
    <w:p>
      <w:pPr>
        <w:pStyle w:val="BodyText"/>
        <w:rPr>
          <w:b/>
          <w:sz w:val="20"/>
        </w:rPr>
      </w:pPr>
    </w:p>
    <w:p>
      <w:pPr>
        <w:pStyle w:val="BodyText"/>
        <w:rPr>
          <w:b/>
          <w:sz w:val="20"/>
        </w:rPr>
      </w:pPr>
    </w:p>
    <w:p>
      <w:pPr>
        <w:pStyle w:val="BodyText"/>
        <w:spacing w:before="233"/>
        <w:rPr>
          <w:b/>
          <w:sz w:val="20"/>
        </w:rPr>
      </w:pPr>
      <w:r>
        <w:rPr/>
        <mc:AlternateContent>
          <mc:Choice Requires="wps">
            <w:drawing>
              <wp:anchor distT="0" distB="0" distL="0" distR="0" allowOverlap="1" layoutInCell="1" locked="0" behindDoc="1" simplePos="0" relativeHeight="487630336">
                <wp:simplePos x="0" y="0"/>
                <wp:positionH relativeFrom="page">
                  <wp:posOffset>719996</wp:posOffset>
                </wp:positionH>
                <wp:positionV relativeFrom="paragraph">
                  <wp:posOffset>318218</wp:posOffset>
                </wp:positionV>
                <wp:extent cx="6120130" cy="1270"/>
                <wp:effectExtent l="0" t="0" r="0" b="0"/>
                <wp:wrapTopAndBottom/>
                <wp:docPr id="147" name="Graphic 147"/>
                <wp:cNvGraphicFramePr>
                  <a:graphicFrameLocks/>
                </wp:cNvGraphicFramePr>
                <a:graphic>
                  <a:graphicData uri="http://schemas.microsoft.com/office/word/2010/wordprocessingShape">
                    <wps:wsp>
                      <wps:cNvPr id="147" name="Graphic 147"/>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5.056587pt;width:481.9pt;height:.1pt;mso-position-horizontal-relative:page;mso-position-vertical-relative:paragraph;z-index:-15686144;mso-wrap-distance-left:0;mso-wrap-distance-right:0" id="docshape104" coordorigin="1134,501" coordsize="9638,0" path="m10772,501l1134,501e" filled="false" stroked="true" strokeweight="1pt" strokecolor="#393b80">
                <v:path arrowok="t"/>
                <v:stroke dashstyle="solid"/>
                <w10:wrap type="topAndBottom"/>
              </v:shape>
            </w:pict>
          </mc:Fallback>
        </mc:AlternateContent>
      </w:r>
    </w:p>
    <w:p>
      <w:pPr>
        <w:pStyle w:val="ListParagraph"/>
        <w:numPr>
          <w:ilvl w:val="0"/>
          <w:numId w:val="3"/>
        </w:numPr>
        <w:tabs>
          <w:tab w:pos="1853" w:val="left" w:leader="none"/>
        </w:tabs>
        <w:spacing w:line="235" w:lineRule="auto" w:before="138" w:after="0"/>
        <w:ind w:left="1853" w:right="1285" w:hanging="720"/>
        <w:jc w:val="both"/>
        <w:rPr>
          <w:sz w:val="18"/>
        </w:rPr>
      </w:pPr>
      <w:r>
        <w:rPr>
          <w:sz w:val="18"/>
        </w:rPr>
        <w:t>Sarah</w:t>
      </w:r>
      <w:r>
        <w:rPr>
          <w:spacing w:val="-6"/>
          <w:sz w:val="18"/>
        </w:rPr>
        <w:t> </w:t>
      </w:r>
      <w:r>
        <w:rPr>
          <w:sz w:val="18"/>
        </w:rPr>
        <w:t>Craig,</w:t>
      </w:r>
      <w:r>
        <w:rPr>
          <w:spacing w:val="-5"/>
          <w:sz w:val="18"/>
        </w:rPr>
        <w:t> </w:t>
      </w:r>
      <w:r>
        <w:rPr>
          <w:sz w:val="18"/>
        </w:rPr>
        <w:t>Anurag</w:t>
      </w:r>
      <w:r>
        <w:rPr>
          <w:spacing w:val="-5"/>
          <w:sz w:val="18"/>
        </w:rPr>
        <w:t> </w:t>
      </w:r>
      <w:r>
        <w:rPr>
          <w:sz w:val="18"/>
        </w:rPr>
        <w:t>Deb,</w:t>
      </w:r>
      <w:r>
        <w:rPr>
          <w:spacing w:val="-5"/>
          <w:sz w:val="18"/>
        </w:rPr>
        <w:t> </w:t>
      </w:r>
      <w:r>
        <w:rPr>
          <w:sz w:val="18"/>
        </w:rPr>
        <w:t>Eleni</w:t>
      </w:r>
      <w:r>
        <w:rPr>
          <w:spacing w:val="-6"/>
          <w:sz w:val="18"/>
        </w:rPr>
        <w:t> </w:t>
      </w:r>
      <w:r>
        <w:rPr>
          <w:sz w:val="18"/>
        </w:rPr>
        <w:t>Frantziou,</w:t>
      </w:r>
      <w:r>
        <w:rPr>
          <w:spacing w:val="-5"/>
          <w:sz w:val="18"/>
        </w:rPr>
        <w:t> </w:t>
      </w:r>
      <w:r>
        <w:rPr>
          <w:sz w:val="18"/>
        </w:rPr>
        <w:t>Alexander</w:t>
      </w:r>
      <w:r>
        <w:rPr>
          <w:spacing w:val="-5"/>
          <w:sz w:val="18"/>
        </w:rPr>
        <w:t> </w:t>
      </w:r>
      <w:r>
        <w:rPr>
          <w:sz w:val="18"/>
        </w:rPr>
        <w:t>Horne,</w:t>
      </w:r>
      <w:r>
        <w:rPr>
          <w:spacing w:val="-5"/>
          <w:sz w:val="18"/>
        </w:rPr>
        <w:t> </w:t>
      </w:r>
      <w:r>
        <w:rPr>
          <w:sz w:val="18"/>
        </w:rPr>
        <w:t>Colin</w:t>
      </w:r>
      <w:r>
        <w:rPr>
          <w:spacing w:val="-6"/>
          <w:sz w:val="18"/>
        </w:rPr>
        <w:t> </w:t>
      </w:r>
      <w:r>
        <w:rPr>
          <w:sz w:val="18"/>
        </w:rPr>
        <w:t>Murray,</w:t>
      </w:r>
      <w:r>
        <w:rPr>
          <w:spacing w:val="-5"/>
          <w:sz w:val="18"/>
        </w:rPr>
        <w:t> </w:t>
      </w:r>
      <w:r>
        <w:rPr>
          <w:sz w:val="18"/>
        </w:rPr>
        <w:t>Clare</w:t>
      </w:r>
      <w:r>
        <w:rPr>
          <w:spacing w:val="-5"/>
          <w:sz w:val="18"/>
        </w:rPr>
        <w:t> </w:t>
      </w:r>
      <w:r>
        <w:rPr>
          <w:sz w:val="18"/>
        </w:rPr>
        <w:t>Rice</w:t>
      </w:r>
      <w:r>
        <w:rPr>
          <w:spacing w:val="-5"/>
          <w:sz w:val="18"/>
        </w:rPr>
        <w:t> </w:t>
      </w:r>
      <w:r>
        <w:rPr>
          <w:sz w:val="18"/>
        </w:rPr>
        <w:t>and</w:t>
      </w:r>
      <w:r>
        <w:rPr>
          <w:spacing w:val="-6"/>
          <w:sz w:val="18"/>
        </w:rPr>
        <w:t> </w:t>
      </w:r>
      <w:r>
        <w:rPr>
          <w:sz w:val="18"/>
        </w:rPr>
        <w:t>Jane</w:t>
      </w:r>
      <w:r>
        <w:rPr>
          <w:spacing w:val="-5"/>
          <w:sz w:val="18"/>
        </w:rPr>
        <w:t> </w:t>
      </w:r>
      <w:r>
        <w:rPr>
          <w:sz w:val="18"/>
        </w:rPr>
        <w:t>Rooney,</w:t>
      </w:r>
      <w:r>
        <w:rPr>
          <w:spacing w:val="-5"/>
          <w:sz w:val="18"/>
        </w:rPr>
        <w:t> </w:t>
      </w:r>
      <w:r>
        <w:rPr>
          <w:sz w:val="18"/>
        </w:rPr>
        <w:t>‘</w:t>
      </w:r>
      <w:hyperlink r:id="rId75">
        <w:r>
          <w:rPr>
            <w:sz w:val="18"/>
          </w:rPr>
          <w:t>EU</w:t>
        </w:r>
        <w:r>
          <w:rPr>
            <w:spacing w:val="-5"/>
            <w:sz w:val="18"/>
          </w:rPr>
          <w:t> </w:t>
        </w:r>
        <w:r>
          <w:rPr>
            <w:sz w:val="18"/>
          </w:rPr>
          <w:t>developments</w:t>
        </w:r>
      </w:hyperlink>
      <w:r>
        <w:rPr>
          <w:sz w:val="18"/>
        </w:rPr>
        <w:t> </w:t>
      </w:r>
      <w:hyperlink r:id="rId75">
        <w:r>
          <w:rPr>
            <w:sz w:val="18"/>
          </w:rPr>
          <w:t>in</w:t>
        </w:r>
        <w:r>
          <w:rPr>
            <w:spacing w:val="-4"/>
            <w:sz w:val="18"/>
          </w:rPr>
          <w:t> </w:t>
        </w:r>
        <w:r>
          <w:rPr>
            <w:sz w:val="18"/>
          </w:rPr>
          <w:t>Equality</w:t>
        </w:r>
        <w:r>
          <w:rPr>
            <w:spacing w:val="-3"/>
            <w:sz w:val="18"/>
          </w:rPr>
          <w:t> </w:t>
        </w:r>
        <w:r>
          <w:rPr>
            <w:sz w:val="18"/>
          </w:rPr>
          <w:t>and</w:t>
        </w:r>
        <w:r>
          <w:rPr>
            <w:spacing w:val="-4"/>
            <w:sz w:val="18"/>
          </w:rPr>
          <w:t> </w:t>
        </w:r>
        <w:r>
          <w:rPr>
            <w:sz w:val="18"/>
          </w:rPr>
          <w:t>Human</w:t>
        </w:r>
        <w:r>
          <w:rPr>
            <w:spacing w:val="-4"/>
            <w:sz w:val="18"/>
          </w:rPr>
          <w:t> </w:t>
        </w:r>
        <w:r>
          <w:rPr>
            <w:sz w:val="18"/>
          </w:rPr>
          <w:t>Rights:</w:t>
        </w:r>
        <w:r>
          <w:rPr>
            <w:spacing w:val="-3"/>
            <w:sz w:val="18"/>
          </w:rPr>
          <w:t> </w:t>
        </w:r>
        <w:r>
          <w:rPr>
            <w:sz w:val="18"/>
          </w:rPr>
          <w:t>The</w:t>
        </w:r>
        <w:r>
          <w:rPr>
            <w:spacing w:val="-3"/>
            <w:sz w:val="18"/>
          </w:rPr>
          <w:t> </w:t>
        </w:r>
        <w:r>
          <w:rPr>
            <w:sz w:val="18"/>
          </w:rPr>
          <w:t>Impact</w:t>
        </w:r>
        <w:r>
          <w:rPr>
            <w:spacing w:val="-3"/>
            <w:sz w:val="18"/>
          </w:rPr>
          <w:t> </w:t>
        </w:r>
        <w:r>
          <w:rPr>
            <w:sz w:val="18"/>
          </w:rPr>
          <w:t>of</w:t>
        </w:r>
        <w:r>
          <w:rPr>
            <w:spacing w:val="-4"/>
            <w:sz w:val="18"/>
          </w:rPr>
          <w:t> </w:t>
        </w:r>
        <w:r>
          <w:rPr>
            <w:sz w:val="18"/>
          </w:rPr>
          <w:t>Brexit</w:t>
        </w:r>
        <w:r>
          <w:rPr>
            <w:spacing w:val="-3"/>
            <w:sz w:val="18"/>
          </w:rPr>
          <w:t> </w:t>
        </w:r>
        <w:r>
          <w:rPr>
            <w:sz w:val="18"/>
          </w:rPr>
          <w:t>on</w:t>
        </w:r>
        <w:r>
          <w:rPr>
            <w:spacing w:val="-4"/>
            <w:sz w:val="18"/>
          </w:rPr>
          <w:t> </w:t>
        </w:r>
        <w:r>
          <w:rPr>
            <w:sz w:val="18"/>
          </w:rPr>
          <w:t>the</w:t>
        </w:r>
        <w:r>
          <w:rPr>
            <w:spacing w:val="-3"/>
            <w:sz w:val="18"/>
          </w:rPr>
          <w:t> </w:t>
        </w:r>
        <w:r>
          <w:rPr>
            <w:sz w:val="18"/>
          </w:rPr>
          <w:t>divergence</w:t>
        </w:r>
        <w:r>
          <w:rPr>
            <w:spacing w:val="-3"/>
            <w:sz w:val="18"/>
          </w:rPr>
          <w:t> </w:t>
        </w:r>
        <w:r>
          <w:rPr>
            <w:sz w:val="18"/>
          </w:rPr>
          <w:t>of</w:t>
        </w:r>
        <w:r>
          <w:rPr>
            <w:spacing w:val="-4"/>
            <w:sz w:val="18"/>
          </w:rPr>
          <w:t> </w:t>
        </w:r>
        <w:r>
          <w:rPr>
            <w:sz w:val="18"/>
          </w:rPr>
          <w:t>rights</w:t>
        </w:r>
        <w:r>
          <w:rPr>
            <w:spacing w:val="-4"/>
            <w:sz w:val="18"/>
          </w:rPr>
          <w:t> </w:t>
        </w:r>
        <w:r>
          <w:rPr>
            <w:sz w:val="18"/>
          </w:rPr>
          <w:t>and</w:t>
        </w:r>
        <w:r>
          <w:rPr>
            <w:spacing w:val="-4"/>
            <w:sz w:val="18"/>
          </w:rPr>
          <w:t> </w:t>
        </w:r>
        <w:r>
          <w:rPr>
            <w:sz w:val="18"/>
          </w:rPr>
          <w:t>best</w:t>
        </w:r>
        <w:r>
          <w:rPr>
            <w:spacing w:val="-3"/>
            <w:sz w:val="18"/>
          </w:rPr>
          <w:t> </w:t>
        </w:r>
        <w:r>
          <w:rPr>
            <w:sz w:val="18"/>
          </w:rPr>
          <w:t>practice</w:t>
        </w:r>
        <w:r>
          <w:rPr>
            <w:spacing w:val="-3"/>
            <w:sz w:val="18"/>
          </w:rPr>
          <w:t> </w:t>
        </w:r>
        <w:r>
          <w:rPr>
            <w:sz w:val="18"/>
          </w:rPr>
          <w:t>on</w:t>
        </w:r>
        <w:r>
          <w:rPr>
            <w:spacing w:val="-4"/>
            <w:sz w:val="18"/>
          </w:rPr>
          <w:t> </w:t>
        </w:r>
        <w:r>
          <w:rPr>
            <w:sz w:val="18"/>
          </w:rPr>
          <w:t>the</w:t>
        </w:r>
        <w:r>
          <w:rPr>
            <w:spacing w:val="-3"/>
            <w:sz w:val="18"/>
          </w:rPr>
          <w:t> </w:t>
        </w:r>
        <w:r>
          <w:rPr>
            <w:sz w:val="18"/>
          </w:rPr>
          <w:t>island</w:t>
        </w:r>
        <w:r>
          <w:rPr>
            <w:spacing w:val="-4"/>
            <w:sz w:val="18"/>
          </w:rPr>
          <w:t> </w:t>
        </w:r>
        <w:r>
          <w:rPr>
            <w:sz w:val="18"/>
          </w:rPr>
          <w:t>of</w:t>
        </w:r>
        <w:r>
          <w:rPr>
            <w:spacing w:val="-4"/>
            <w:sz w:val="18"/>
          </w:rPr>
          <w:t> </w:t>
        </w:r>
        <w:r>
          <w:rPr>
            <w:sz w:val="18"/>
          </w:rPr>
          <w:t>Ireland</w:t>
        </w:r>
      </w:hyperlink>
      <w:r>
        <w:rPr>
          <w:sz w:val="18"/>
        </w:rPr>
        <w:t>’ (ECNI, NIHRC and IHREC, 2022), at 110.</w:t>
      </w:r>
    </w:p>
    <w:p>
      <w:pPr>
        <w:pStyle w:val="ListParagraph"/>
        <w:numPr>
          <w:ilvl w:val="0"/>
          <w:numId w:val="3"/>
        </w:numPr>
        <w:tabs>
          <w:tab w:pos="1853" w:val="left" w:leader="none"/>
        </w:tabs>
        <w:spacing w:line="235" w:lineRule="auto" w:before="2" w:after="0"/>
        <w:ind w:left="1853" w:right="1233" w:hanging="720"/>
        <w:jc w:val="left"/>
        <w:rPr>
          <w:sz w:val="18"/>
        </w:rPr>
      </w:pPr>
      <w:r>
        <w:rPr>
          <w:sz w:val="18"/>
        </w:rPr>
        <w:t>Equality Commission for NI, NI Human Rights Commission and Irish Human Rights and Equality Commission, ‘</w:t>
      </w:r>
      <w:hyperlink r:id="rId76">
        <w:r>
          <w:rPr>
            <w:sz w:val="18"/>
          </w:rPr>
          <w:t>Policy</w:t>
        </w:r>
      </w:hyperlink>
      <w:r>
        <w:rPr>
          <w:sz w:val="18"/>
        </w:rPr>
        <w:t> </w:t>
      </w:r>
      <w:hyperlink r:id="rId76">
        <w:r>
          <w:rPr>
            <w:sz w:val="18"/>
          </w:rPr>
          <w:t>Recommendations:</w:t>
        </w:r>
        <w:r>
          <w:rPr>
            <w:spacing w:val="-4"/>
            <w:sz w:val="18"/>
          </w:rPr>
          <w:t> </w:t>
        </w:r>
        <w:r>
          <w:rPr>
            <w:sz w:val="18"/>
          </w:rPr>
          <w:t>European</w:t>
        </w:r>
        <w:r>
          <w:rPr>
            <w:spacing w:val="-5"/>
            <w:sz w:val="18"/>
          </w:rPr>
          <w:t> </w:t>
        </w:r>
        <w:r>
          <w:rPr>
            <w:sz w:val="18"/>
          </w:rPr>
          <w:t>Union</w:t>
        </w:r>
        <w:r>
          <w:rPr>
            <w:spacing w:val="-5"/>
            <w:sz w:val="18"/>
          </w:rPr>
          <w:t> </w:t>
        </w:r>
        <w:r>
          <w:rPr>
            <w:sz w:val="18"/>
          </w:rPr>
          <w:t>developments</w:t>
        </w:r>
        <w:r>
          <w:rPr>
            <w:spacing w:val="-5"/>
            <w:sz w:val="18"/>
          </w:rPr>
          <w:t> </w:t>
        </w:r>
        <w:r>
          <w:rPr>
            <w:sz w:val="18"/>
          </w:rPr>
          <w:t>in</w:t>
        </w:r>
        <w:r>
          <w:rPr>
            <w:spacing w:val="-5"/>
            <w:sz w:val="18"/>
          </w:rPr>
          <w:t> </w:t>
        </w:r>
        <w:r>
          <w:rPr>
            <w:sz w:val="18"/>
          </w:rPr>
          <w:t>Equality</w:t>
        </w:r>
        <w:r>
          <w:rPr>
            <w:spacing w:val="-4"/>
            <w:sz w:val="18"/>
          </w:rPr>
          <w:t> </w:t>
        </w:r>
        <w:r>
          <w:rPr>
            <w:sz w:val="18"/>
          </w:rPr>
          <w:t>and</w:t>
        </w:r>
        <w:r>
          <w:rPr>
            <w:spacing w:val="-5"/>
            <w:sz w:val="18"/>
          </w:rPr>
          <w:t> </w:t>
        </w:r>
        <w:r>
          <w:rPr>
            <w:sz w:val="18"/>
          </w:rPr>
          <w:t>Human</w:t>
        </w:r>
        <w:r>
          <w:rPr>
            <w:spacing w:val="-5"/>
            <w:sz w:val="18"/>
          </w:rPr>
          <w:t> </w:t>
        </w:r>
        <w:r>
          <w:rPr>
            <w:sz w:val="18"/>
          </w:rPr>
          <w:t>Rights: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the</w:t>
        </w:r>
        <w:r>
          <w:rPr>
            <w:spacing w:val="-4"/>
            <w:sz w:val="18"/>
          </w:rPr>
          <w:t> </w:t>
        </w:r>
        <w:r>
          <w:rPr>
            <w:sz w:val="18"/>
          </w:rPr>
          <w:t>divergence</w:t>
        </w:r>
      </w:hyperlink>
      <w:r>
        <w:rPr>
          <w:sz w:val="18"/>
        </w:rPr>
        <w:t> </w:t>
      </w:r>
      <w:hyperlink r:id="rId76">
        <w:r>
          <w:rPr>
            <w:sz w:val="18"/>
          </w:rPr>
          <w:t>of rights and best practice on the island of Ireland</w:t>
        </w:r>
      </w:hyperlink>
      <w:r>
        <w:rPr>
          <w:sz w:val="18"/>
        </w:rPr>
        <w:t>’ (ECNI, NIHRC and IHREC, 2023), at 34.</w:t>
      </w:r>
    </w:p>
    <w:p>
      <w:pPr>
        <w:spacing w:after="0" w:line="235" w:lineRule="auto"/>
        <w:jc w:val="left"/>
        <w:rPr>
          <w:sz w:val="18"/>
        </w:rPr>
        <w:sectPr>
          <w:pgSz w:w="11910" w:h="16840"/>
          <w:pgMar w:header="496" w:footer="367" w:top="1220" w:bottom="560" w:left="0" w:right="0"/>
        </w:sectPr>
      </w:pPr>
    </w:p>
    <w:p>
      <w:pPr>
        <w:pStyle w:val="BodyText"/>
        <w:spacing w:before="198"/>
      </w:pPr>
    </w:p>
    <w:p>
      <w:pPr>
        <w:pStyle w:val="ListParagraph"/>
        <w:numPr>
          <w:ilvl w:val="1"/>
          <w:numId w:val="5"/>
        </w:numPr>
        <w:tabs>
          <w:tab w:pos="1853" w:val="left" w:leader="none"/>
        </w:tabs>
        <w:spacing w:line="225" w:lineRule="auto" w:before="0" w:after="0"/>
        <w:ind w:left="1853" w:right="1627" w:hanging="720"/>
        <w:jc w:val="left"/>
        <w:rPr>
          <w:b/>
          <w:color w:val="67287F"/>
          <w:sz w:val="28"/>
        </w:rPr>
      </w:pPr>
      <w:r>
        <w:rPr>
          <w:b/>
          <w:color w:val="67287F"/>
          <w:sz w:val="28"/>
        </w:rPr>
        <w:t>The Commissions continue to advise that, in accordance with Article 2 and</w:t>
      </w:r>
      <w:r>
        <w:rPr>
          <w:b/>
          <w:color w:val="67287F"/>
          <w:spacing w:val="-7"/>
          <w:sz w:val="28"/>
        </w:rPr>
        <w:t> </w:t>
      </w:r>
      <w:r>
        <w:rPr>
          <w:b/>
          <w:color w:val="67287F"/>
          <w:sz w:val="28"/>
        </w:rPr>
        <w:t>13</w:t>
      </w:r>
      <w:r>
        <w:rPr>
          <w:b/>
          <w:color w:val="67287F"/>
          <w:spacing w:val="-7"/>
          <w:sz w:val="28"/>
        </w:rPr>
        <w:t> </w:t>
      </w:r>
      <w:r>
        <w:rPr>
          <w:b/>
          <w:color w:val="67287F"/>
          <w:sz w:val="28"/>
        </w:rPr>
        <w:t>of</w:t>
      </w:r>
      <w:r>
        <w:rPr>
          <w:b/>
          <w:color w:val="67287F"/>
          <w:spacing w:val="-7"/>
          <w:sz w:val="28"/>
        </w:rPr>
        <w:t> </w:t>
      </w:r>
      <w:r>
        <w:rPr>
          <w:b/>
          <w:color w:val="67287F"/>
          <w:sz w:val="28"/>
        </w:rPr>
        <w:t>the</w:t>
      </w:r>
      <w:r>
        <w:rPr>
          <w:b/>
          <w:color w:val="67287F"/>
          <w:spacing w:val="-7"/>
          <w:sz w:val="28"/>
        </w:rPr>
        <w:t> </w:t>
      </w:r>
      <w:r>
        <w:rPr>
          <w:b/>
          <w:color w:val="67287F"/>
          <w:sz w:val="28"/>
        </w:rPr>
        <w:t>Windsor</w:t>
      </w:r>
      <w:r>
        <w:rPr>
          <w:b/>
          <w:color w:val="67287F"/>
          <w:spacing w:val="-7"/>
          <w:sz w:val="28"/>
        </w:rPr>
        <w:t> </w:t>
      </w:r>
      <w:r>
        <w:rPr>
          <w:b/>
          <w:color w:val="67287F"/>
          <w:sz w:val="28"/>
        </w:rPr>
        <w:t>Framework,</w:t>
      </w:r>
      <w:r>
        <w:rPr>
          <w:b/>
          <w:color w:val="67287F"/>
          <w:spacing w:val="-7"/>
          <w:sz w:val="28"/>
        </w:rPr>
        <w:t> </w:t>
      </w:r>
      <w:r>
        <w:rPr>
          <w:b/>
          <w:color w:val="67287F"/>
          <w:sz w:val="28"/>
        </w:rPr>
        <w:t>the</w:t>
      </w:r>
      <w:r>
        <w:rPr>
          <w:b/>
          <w:color w:val="67287F"/>
          <w:spacing w:val="-7"/>
          <w:sz w:val="28"/>
        </w:rPr>
        <w:t> </w:t>
      </w:r>
      <w:r>
        <w:rPr>
          <w:b/>
          <w:color w:val="67287F"/>
          <w:sz w:val="28"/>
        </w:rPr>
        <w:t>NI</w:t>
      </w:r>
      <w:r>
        <w:rPr>
          <w:b/>
          <w:color w:val="67287F"/>
          <w:spacing w:val="-7"/>
          <w:sz w:val="28"/>
        </w:rPr>
        <w:t> </w:t>
      </w:r>
      <w:r>
        <w:rPr>
          <w:b/>
          <w:color w:val="67287F"/>
          <w:sz w:val="28"/>
        </w:rPr>
        <w:t>Office</w:t>
      </w:r>
      <w:r>
        <w:rPr>
          <w:b/>
          <w:color w:val="67287F"/>
          <w:spacing w:val="-7"/>
          <w:sz w:val="28"/>
        </w:rPr>
        <w:t> </w:t>
      </w:r>
      <w:r>
        <w:rPr>
          <w:b/>
          <w:color w:val="67287F"/>
          <w:sz w:val="28"/>
        </w:rPr>
        <w:t>and</w:t>
      </w:r>
      <w:r>
        <w:rPr>
          <w:b/>
          <w:color w:val="67287F"/>
          <w:spacing w:val="-7"/>
          <w:sz w:val="28"/>
        </w:rPr>
        <w:t> </w:t>
      </w:r>
      <w:r>
        <w:rPr>
          <w:b/>
          <w:color w:val="67287F"/>
          <w:sz w:val="28"/>
        </w:rPr>
        <w:t>the</w:t>
      </w:r>
      <w:r>
        <w:rPr>
          <w:b/>
          <w:color w:val="67287F"/>
          <w:spacing w:val="-7"/>
          <w:sz w:val="28"/>
        </w:rPr>
        <w:t> </w:t>
      </w:r>
      <w:r>
        <w:rPr>
          <w:b/>
          <w:color w:val="67287F"/>
          <w:sz w:val="28"/>
        </w:rPr>
        <w:t>Executive</w:t>
      </w:r>
      <w:r>
        <w:rPr>
          <w:b/>
          <w:color w:val="67287F"/>
          <w:spacing w:val="-7"/>
          <w:sz w:val="28"/>
        </w:rPr>
        <w:t> </w:t>
      </w:r>
      <w:r>
        <w:rPr>
          <w:b/>
          <w:color w:val="67287F"/>
          <w:sz w:val="28"/>
        </w:rPr>
        <w:t>Office</w:t>
      </w:r>
    </w:p>
    <w:p>
      <w:pPr>
        <w:spacing w:line="225" w:lineRule="auto" w:before="0"/>
        <w:ind w:left="1853" w:right="1124" w:firstLine="0"/>
        <w:jc w:val="left"/>
        <w:rPr>
          <w:b/>
          <w:sz w:val="28"/>
        </w:rPr>
      </w:pPr>
      <w:r>
        <w:rPr>
          <w:b/>
          <w:color w:val="67287F"/>
          <w:sz w:val="28"/>
        </w:rPr>
        <w:t>continue</w:t>
      </w:r>
      <w:r>
        <w:rPr>
          <w:b/>
          <w:color w:val="67287F"/>
          <w:spacing w:val="-6"/>
          <w:sz w:val="28"/>
        </w:rPr>
        <w:t> </w:t>
      </w:r>
      <w:r>
        <w:rPr>
          <w:b/>
          <w:color w:val="67287F"/>
          <w:sz w:val="28"/>
        </w:rPr>
        <w:t>to</w:t>
      </w:r>
      <w:r>
        <w:rPr>
          <w:b/>
          <w:color w:val="67287F"/>
          <w:spacing w:val="-5"/>
          <w:sz w:val="28"/>
        </w:rPr>
        <w:t> </w:t>
      </w:r>
      <w:r>
        <w:rPr>
          <w:b/>
          <w:color w:val="67287F"/>
          <w:sz w:val="28"/>
        </w:rPr>
        <w:t>monitor</w:t>
      </w:r>
      <w:r>
        <w:rPr>
          <w:b/>
          <w:color w:val="67287F"/>
          <w:spacing w:val="-6"/>
          <w:sz w:val="28"/>
        </w:rPr>
        <w:t> </w:t>
      </w:r>
      <w:r>
        <w:rPr>
          <w:b/>
          <w:color w:val="67287F"/>
          <w:sz w:val="28"/>
        </w:rPr>
        <w:t>and</w:t>
      </w:r>
      <w:r>
        <w:rPr>
          <w:b/>
          <w:color w:val="67287F"/>
          <w:spacing w:val="-5"/>
          <w:sz w:val="28"/>
        </w:rPr>
        <w:t> </w:t>
      </w:r>
      <w:r>
        <w:rPr>
          <w:b/>
          <w:color w:val="67287F"/>
          <w:sz w:val="28"/>
        </w:rPr>
        <w:t>comply</w:t>
      </w:r>
      <w:r>
        <w:rPr>
          <w:b/>
          <w:color w:val="67287F"/>
          <w:spacing w:val="-5"/>
          <w:sz w:val="28"/>
        </w:rPr>
        <w:t> </w:t>
      </w:r>
      <w:r>
        <w:rPr>
          <w:b/>
          <w:color w:val="67287F"/>
          <w:sz w:val="28"/>
        </w:rPr>
        <w:t>with</w:t>
      </w:r>
      <w:r>
        <w:rPr>
          <w:b/>
          <w:color w:val="67287F"/>
          <w:spacing w:val="-5"/>
          <w:sz w:val="28"/>
        </w:rPr>
        <w:t> </w:t>
      </w:r>
      <w:r>
        <w:rPr>
          <w:b/>
          <w:color w:val="67287F"/>
          <w:sz w:val="28"/>
        </w:rPr>
        <w:t>any</w:t>
      </w:r>
      <w:r>
        <w:rPr>
          <w:b/>
          <w:color w:val="67287F"/>
          <w:spacing w:val="-5"/>
          <w:sz w:val="28"/>
        </w:rPr>
        <w:t> </w:t>
      </w:r>
      <w:r>
        <w:rPr>
          <w:b/>
          <w:color w:val="67287F"/>
          <w:sz w:val="28"/>
        </w:rPr>
        <w:t>proposed</w:t>
      </w:r>
      <w:r>
        <w:rPr>
          <w:b/>
          <w:color w:val="67287F"/>
          <w:spacing w:val="-5"/>
          <w:sz w:val="28"/>
        </w:rPr>
        <w:t> </w:t>
      </w:r>
      <w:r>
        <w:rPr>
          <w:b/>
          <w:color w:val="67287F"/>
          <w:sz w:val="28"/>
        </w:rPr>
        <w:t>changes</w:t>
      </w:r>
      <w:r>
        <w:rPr>
          <w:b/>
          <w:color w:val="67287F"/>
          <w:spacing w:val="-5"/>
          <w:sz w:val="28"/>
        </w:rPr>
        <w:t> </w:t>
      </w:r>
      <w:r>
        <w:rPr>
          <w:b/>
          <w:color w:val="67287F"/>
          <w:sz w:val="28"/>
        </w:rPr>
        <w:t>by</w:t>
      </w:r>
      <w:r>
        <w:rPr>
          <w:b/>
          <w:color w:val="67287F"/>
          <w:spacing w:val="-5"/>
          <w:sz w:val="28"/>
        </w:rPr>
        <w:t> </w:t>
      </w:r>
      <w:r>
        <w:rPr>
          <w:b/>
          <w:color w:val="67287F"/>
          <w:sz w:val="28"/>
        </w:rPr>
        <w:t>the</w:t>
      </w:r>
      <w:r>
        <w:rPr>
          <w:b/>
          <w:color w:val="67287F"/>
          <w:spacing w:val="-6"/>
          <w:sz w:val="28"/>
        </w:rPr>
        <w:t> </w:t>
      </w:r>
      <w:r>
        <w:rPr>
          <w:b/>
          <w:color w:val="67287F"/>
          <w:sz w:val="28"/>
        </w:rPr>
        <w:t>EU</w:t>
      </w:r>
      <w:r>
        <w:rPr>
          <w:b/>
          <w:color w:val="67287F"/>
          <w:spacing w:val="-5"/>
          <w:sz w:val="28"/>
        </w:rPr>
        <w:t> </w:t>
      </w:r>
      <w:r>
        <w:rPr>
          <w:b/>
          <w:color w:val="67287F"/>
          <w:sz w:val="28"/>
        </w:rPr>
        <w:t>to</w:t>
      </w:r>
      <w:r>
        <w:rPr>
          <w:b/>
          <w:color w:val="67287F"/>
          <w:spacing w:val="-5"/>
          <w:sz w:val="28"/>
        </w:rPr>
        <w:t> </w:t>
      </w:r>
      <w:r>
        <w:rPr>
          <w:b/>
          <w:color w:val="67287F"/>
          <w:sz w:val="28"/>
        </w:rPr>
        <w:t>the six Annex 1 equality directives, including relevant case law of the CJEU.</w:t>
      </w:r>
    </w:p>
    <w:p>
      <w:pPr>
        <w:pStyle w:val="ListParagraph"/>
        <w:numPr>
          <w:ilvl w:val="1"/>
          <w:numId w:val="5"/>
        </w:numPr>
        <w:tabs>
          <w:tab w:pos="1853" w:val="left" w:leader="none"/>
        </w:tabs>
        <w:spacing w:line="225" w:lineRule="auto" w:before="315" w:after="0"/>
        <w:ind w:left="1853" w:right="1168" w:hanging="720"/>
        <w:jc w:val="left"/>
        <w:rPr>
          <w:b/>
          <w:color w:val="67287F"/>
          <w:sz w:val="28"/>
        </w:rPr>
      </w:pPr>
      <w:r>
        <w:rPr>
          <w:b/>
          <w:color w:val="67287F"/>
          <w:sz w:val="28"/>
        </w:rPr>
        <w:t>The Commissions continue to recommend that the Foreign, Commonwealth and Development Office ensures that Explanatory Memoranda on draft EU proposals</w:t>
      </w:r>
      <w:r>
        <w:rPr>
          <w:b/>
          <w:color w:val="67287F"/>
          <w:spacing w:val="-5"/>
          <w:sz w:val="28"/>
        </w:rPr>
        <w:t> </w:t>
      </w:r>
      <w:r>
        <w:rPr>
          <w:b/>
          <w:color w:val="67287F"/>
          <w:sz w:val="28"/>
        </w:rPr>
        <w:t>which</w:t>
      </w:r>
      <w:r>
        <w:rPr>
          <w:b/>
          <w:color w:val="67287F"/>
          <w:spacing w:val="-5"/>
          <w:sz w:val="28"/>
        </w:rPr>
        <w:t> </w:t>
      </w:r>
      <w:r>
        <w:rPr>
          <w:b/>
          <w:color w:val="67287F"/>
          <w:sz w:val="28"/>
        </w:rPr>
        <w:t>amend</w:t>
      </w:r>
      <w:r>
        <w:rPr>
          <w:b/>
          <w:color w:val="67287F"/>
          <w:spacing w:val="-5"/>
          <w:sz w:val="28"/>
        </w:rPr>
        <w:t> </w:t>
      </w:r>
      <w:r>
        <w:rPr>
          <w:b/>
          <w:color w:val="67287F"/>
          <w:sz w:val="28"/>
        </w:rPr>
        <w:t>or</w:t>
      </w:r>
      <w:r>
        <w:rPr>
          <w:b/>
          <w:color w:val="67287F"/>
          <w:spacing w:val="-6"/>
          <w:sz w:val="28"/>
        </w:rPr>
        <w:t> </w:t>
      </w:r>
      <w:r>
        <w:rPr>
          <w:b/>
          <w:color w:val="67287F"/>
          <w:sz w:val="28"/>
        </w:rPr>
        <w:t>replace</w:t>
      </w:r>
      <w:r>
        <w:rPr>
          <w:b/>
          <w:color w:val="67287F"/>
          <w:spacing w:val="-6"/>
          <w:sz w:val="28"/>
        </w:rPr>
        <w:t> </w:t>
      </w:r>
      <w:r>
        <w:rPr>
          <w:b/>
          <w:color w:val="67287F"/>
          <w:sz w:val="28"/>
        </w:rPr>
        <w:t>the</w:t>
      </w:r>
      <w:r>
        <w:rPr>
          <w:b/>
          <w:color w:val="67287F"/>
          <w:spacing w:val="-6"/>
          <w:sz w:val="28"/>
        </w:rPr>
        <w:t> </w:t>
      </w:r>
      <w:r>
        <w:rPr>
          <w:b/>
          <w:color w:val="67287F"/>
          <w:sz w:val="28"/>
        </w:rPr>
        <w:t>Annex</w:t>
      </w:r>
      <w:r>
        <w:rPr>
          <w:b/>
          <w:color w:val="67287F"/>
          <w:spacing w:val="-6"/>
          <w:sz w:val="28"/>
        </w:rPr>
        <w:t> </w:t>
      </w:r>
      <w:r>
        <w:rPr>
          <w:b/>
          <w:color w:val="67287F"/>
          <w:sz w:val="28"/>
        </w:rPr>
        <w:t>1</w:t>
      </w:r>
      <w:r>
        <w:rPr>
          <w:b/>
          <w:color w:val="67287F"/>
          <w:spacing w:val="-5"/>
          <w:sz w:val="28"/>
        </w:rPr>
        <w:t> </w:t>
      </w:r>
      <w:r>
        <w:rPr>
          <w:b/>
          <w:color w:val="67287F"/>
          <w:sz w:val="28"/>
        </w:rPr>
        <w:t>equality</w:t>
      </w:r>
      <w:r>
        <w:rPr>
          <w:b/>
          <w:color w:val="67287F"/>
          <w:spacing w:val="-5"/>
          <w:sz w:val="28"/>
        </w:rPr>
        <w:t> </w:t>
      </w:r>
      <w:r>
        <w:rPr>
          <w:b/>
          <w:color w:val="67287F"/>
          <w:sz w:val="28"/>
        </w:rPr>
        <w:t>directives,</w:t>
      </w:r>
      <w:r>
        <w:rPr>
          <w:b/>
          <w:color w:val="67287F"/>
          <w:spacing w:val="-5"/>
          <w:sz w:val="28"/>
        </w:rPr>
        <w:t> </w:t>
      </w:r>
      <w:r>
        <w:rPr>
          <w:b/>
          <w:color w:val="67287F"/>
          <w:sz w:val="28"/>
        </w:rPr>
        <w:t>as</w:t>
      </w:r>
      <w:r>
        <w:rPr>
          <w:b/>
          <w:color w:val="67287F"/>
          <w:spacing w:val="-5"/>
          <w:sz w:val="28"/>
        </w:rPr>
        <w:t> </w:t>
      </w:r>
      <w:r>
        <w:rPr>
          <w:b/>
          <w:color w:val="67287F"/>
          <w:sz w:val="28"/>
        </w:rPr>
        <w:t>well</w:t>
      </w:r>
      <w:r>
        <w:rPr>
          <w:b/>
          <w:color w:val="67287F"/>
          <w:spacing w:val="-5"/>
          <w:sz w:val="28"/>
        </w:rPr>
        <w:t> </w:t>
      </w:r>
      <w:r>
        <w:rPr>
          <w:b/>
          <w:color w:val="67287F"/>
          <w:sz w:val="28"/>
        </w:rPr>
        <w:t>as other</w:t>
      </w:r>
      <w:r>
        <w:rPr>
          <w:b/>
          <w:color w:val="67287F"/>
          <w:spacing w:val="-6"/>
          <w:sz w:val="28"/>
        </w:rPr>
        <w:t> </w:t>
      </w:r>
      <w:r>
        <w:rPr>
          <w:b/>
          <w:color w:val="67287F"/>
          <w:sz w:val="28"/>
        </w:rPr>
        <w:t>EU</w:t>
      </w:r>
      <w:r>
        <w:rPr>
          <w:b/>
          <w:color w:val="67287F"/>
          <w:spacing w:val="-5"/>
          <w:sz w:val="28"/>
        </w:rPr>
        <w:t> </w:t>
      </w:r>
      <w:r>
        <w:rPr>
          <w:b/>
          <w:color w:val="67287F"/>
          <w:sz w:val="28"/>
        </w:rPr>
        <w:t>legislation</w:t>
      </w:r>
      <w:r>
        <w:rPr>
          <w:b/>
          <w:color w:val="67287F"/>
          <w:spacing w:val="-5"/>
          <w:sz w:val="28"/>
        </w:rPr>
        <w:t> </w:t>
      </w:r>
      <w:r>
        <w:rPr>
          <w:b/>
          <w:color w:val="67287F"/>
          <w:sz w:val="28"/>
        </w:rPr>
        <w:t>relevant</w:t>
      </w:r>
      <w:r>
        <w:rPr>
          <w:b/>
          <w:color w:val="67287F"/>
          <w:spacing w:val="-5"/>
          <w:sz w:val="28"/>
        </w:rPr>
        <w:t> </w:t>
      </w:r>
      <w:r>
        <w:rPr>
          <w:b/>
          <w:color w:val="67287F"/>
          <w:sz w:val="28"/>
        </w:rPr>
        <w:t>to</w:t>
      </w:r>
      <w:r>
        <w:rPr>
          <w:b/>
          <w:color w:val="67287F"/>
          <w:spacing w:val="-5"/>
          <w:sz w:val="28"/>
        </w:rPr>
        <w:t> </w:t>
      </w:r>
      <w:r>
        <w:rPr>
          <w:b/>
          <w:color w:val="67287F"/>
          <w:sz w:val="28"/>
        </w:rPr>
        <w:t>the</w:t>
      </w:r>
      <w:r>
        <w:rPr>
          <w:b/>
          <w:color w:val="67287F"/>
          <w:spacing w:val="-6"/>
          <w:sz w:val="28"/>
        </w:rPr>
        <w:t> </w:t>
      </w:r>
      <w:r>
        <w:rPr>
          <w:b/>
          <w:color w:val="67287F"/>
          <w:sz w:val="28"/>
        </w:rPr>
        <w:t>provisions</w:t>
      </w:r>
      <w:r>
        <w:rPr>
          <w:b/>
          <w:color w:val="67287F"/>
          <w:spacing w:val="-5"/>
          <w:sz w:val="28"/>
        </w:rPr>
        <w:t> </w:t>
      </w:r>
      <w:r>
        <w:rPr>
          <w:b/>
          <w:color w:val="67287F"/>
          <w:sz w:val="28"/>
        </w:rPr>
        <w:t>of</w:t>
      </w:r>
      <w:r>
        <w:rPr>
          <w:b/>
          <w:color w:val="67287F"/>
          <w:spacing w:val="-6"/>
          <w:sz w:val="28"/>
        </w:rPr>
        <w:t> </w:t>
      </w:r>
      <w:r>
        <w:rPr>
          <w:b/>
          <w:color w:val="67287F"/>
          <w:sz w:val="28"/>
        </w:rPr>
        <w:t>Windsor</w:t>
      </w:r>
      <w:r>
        <w:rPr>
          <w:b/>
          <w:color w:val="67287F"/>
          <w:spacing w:val="-6"/>
          <w:sz w:val="28"/>
        </w:rPr>
        <w:t> </w:t>
      </w:r>
      <w:r>
        <w:rPr>
          <w:b/>
          <w:color w:val="67287F"/>
          <w:sz w:val="28"/>
        </w:rPr>
        <w:t>Framework</w:t>
      </w:r>
      <w:r>
        <w:rPr>
          <w:b/>
          <w:color w:val="67287F"/>
          <w:spacing w:val="-6"/>
          <w:sz w:val="28"/>
        </w:rPr>
        <w:t> </w:t>
      </w:r>
      <w:r>
        <w:rPr>
          <w:b/>
          <w:color w:val="67287F"/>
          <w:sz w:val="28"/>
        </w:rPr>
        <w:t>Article 2, set out what consideration has been given to ensuring compliance with Article 2.</w:t>
      </w:r>
    </w:p>
    <w:p>
      <w:pPr>
        <w:pStyle w:val="ListParagraph"/>
        <w:numPr>
          <w:ilvl w:val="1"/>
          <w:numId w:val="5"/>
        </w:numPr>
        <w:tabs>
          <w:tab w:pos="1853" w:val="left" w:leader="none"/>
        </w:tabs>
        <w:spacing w:line="225" w:lineRule="auto" w:before="313" w:after="0"/>
        <w:ind w:left="1853" w:right="1233" w:hanging="720"/>
        <w:jc w:val="left"/>
        <w:rPr>
          <w:b/>
          <w:color w:val="67287F"/>
          <w:sz w:val="28"/>
        </w:rPr>
      </w:pPr>
      <w:r>
        <w:rPr>
          <w:b/>
          <w:color w:val="67287F"/>
          <w:sz w:val="28"/>
        </w:rPr>
        <w:t>The</w:t>
      </w:r>
      <w:r>
        <w:rPr>
          <w:b/>
          <w:color w:val="67287F"/>
          <w:spacing w:val="-8"/>
          <w:sz w:val="28"/>
        </w:rPr>
        <w:t> </w:t>
      </w:r>
      <w:r>
        <w:rPr>
          <w:b/>
          <w:color w:val="67287F"/>
          <w:sz w:val="28"/>
        </w:rPr>
        <w:t>Commissions</w:t>
      </w:r>
      <w:r>
        <w:rPr>
          <w:b/>
          <w:color w:val="67287F"/>
          <w:spacing w:val="-7"/>
          <w:sz w:val="28"/>
        </w:rPr>
        <w:t> </w:t>
      </w:r>
      <w:r>
        <w:rPr>
          <w:b/>
          <w:color w:val="67287F"/>
          <w:sz w:val="28"/>
        </w:rPr>
        <w:t>continue</w:t>
      </w:r>
      <w:r>
        <w:rPr>
          <w:b/>
          <w:color w:val="67287F"/>
          <w:spacing w:val="-8"/>
          <w:sz w:val="28"/>
        </w:rPr>
        <w:t> </w:t>
      </w:r>
      <w:r>
        <w:rPr>
          <w:b/>
          <w:color w:val="67287F"/>
          <w:sz w:val="28"/>
        </w:rPr>
        <w:t>to</w:t>
      </w:r>
      <w:r>
        <w:rPr>
          <w:b/>
          <w:color w:val="67287F"/>
          <w:spacing w:val="-7"/>
          <w:sz w:val="28"/>
        </w:rPr>
        <w:t> </w:t>
      </w:r>
      <w:r>
        <w:rPr>
          <w:b/>
          <w:color w:val="67287F"/>
          <w:sz w:val="28"/>
        </w:rPr>
        <w:t>recommend</w:t>
      </w:r>
      <w:r>
        <w:rPr>
          <w:b/>
          <w:color w:val="67287F"/>
          <w:spacing w:val="-7"/>
          <w:sz w:val="28"/>
        </w:rPr>
        <w:t> </w:t>
      </w:r>
      <w:r>
        <w:rPr>
          <w:b/>
          <w:color w:val="67287F"/>
          <w:sz w:val="28"/>
        </w:rPr>
        <w:t>that</w:t>
      </w:r>
      <w:r>
        <w:rPr>
          <w:b/>
          <w:color w:val="67287F"/>
          <w:spacing w:val="-7"/>
          <w:sz w:val="28"/>
        </w:rPr>
        <w:t> </w:t>
      </w:r>
      <w:r>
        <w:rPr>
          <w:b/>
          <w:color w:val="67287F"/>
          <w:sz w:val="28"/>
        </w:rPr>
        <w:t>the</w:t>
      </w:r>
      <w:r>
        <w:rPr>
          <w:b/>
          <w:color w:val="67287F"/>
          <w:spacing w:val="-8"/>
          <w:sz w:val="28"/>
        </w:rPr>
        <w:t> </w:t>
      </w:r>
      <w:r>
        <w:rPr>
          <w:b/>
          <w:color w:val="67287F"/>
          <w:sz w:val="28"/>
        </w:rPr>
        <w:t>relevant</w:t>
      </w:r>
      <w:r>
        <w:rPr>
          <w:b/>
          <w:color w:val="67287F"/>
          <w:spacing w:val="-7"/>
          <w:sz w:val="28"/>
        </w:rPr>
        <w:t> </w:t>
      </w:r>
      <w:r>
        <w:rPr>
          <w:b/>
          <w:color w:val="67287F"/>
          <w:sz w:val="28"/>
        </w:rPr>
        <w:t>UK</w:t>
      </w:r>
      <w:r>
        <w:rPr>
          <w:b/>
          <w:color w:val="67287F"/>
          <w:spacing w:val="-7"/>
          <w:sz w:val="28"/>
        </w:rPr>
        <w:t> </w:t>
      </w:r>
      <w:r>
        <w:rPr>
          <w:b/>
          <w:color w:val="67287F"/>
          <w:sz w:val="28"/>
        </w:rPr>
        <w:t>Government and NI departments ensure that Explanatory Memoranda /notes and Human Rights Memoranda/impact assessments on Bills and draft statutory instruments that may engage Windsor Framework Article 2 set out detailed consideration of compliance.</w:t>
      </w:r>
    </w:p>
    <w:p>
      <w:pPr>
        <w:pStyle w:val="ListParagraph"/>
        <w:numPr>
          <w:ilvl w:val="1"/>
          <w:numId w:val="5"/>
        </w:numPr>
        <w:tabs>
          <w:tab w:pos="1853" w:val="left" w:leader="none"/>
        </w:tabs>
        <w:spacing w:line="225" w:lineRule="auto" w:before="313" w:after="0"/>
        <w:ind w:left="1853" w:right="1462" w:hanging="720"/>
        <w:jc w:val="left"/>
        <w:rPr>
          <w:b/>
          <w:color w:val="67287F"/>
          <w:sz w:val="28"/>
        </w:rPr>
      </w:pPr>
      <w:r>
        <w:rPr>
          <w:b/>
          <w:color w:val="67287F"/>
          <w:sz w:val="28"/>
        </w:rPr>
        <w:t>The Commissions continue to recommend that the NI Assembly amends Standing Order 41 to ensure the list of topics covered in the Explanatory and Financial Memoranda accompanying Bills be expanded to include a requirement</w:t>
      </w:r>
      <w:r>
        <w:rPr>
          <w:b/>
          <w:color w:val="67287F"/>
          <w:spacing w:val="-7"/>
          <w:sz w:val="28"/>
        </w:rPr>
        <w:t> </w:t>
      </w:r>
      <w:r>
        <w:rPr>
          <w:b/>
          <w:color w:val="67287F"/>
          <w:sz w:val="28"/>
        </w:rPr>
        <w:t>to</w:t>
      </w:r>
      <w:r>
        <w:rPr>
          <w:b/>
          <w:color w:val="67287F"/>
          <w:spacing w:val="-7"/>
          <w:sz w:val="28"/>
        </w:rPr>
        <w:t> </w:t>
      </w:r>
      <w:r>
        <w:rPr>
          <w:b/>
          <w:color w:val="67287F"/>
          <w:sz w:val="28"/>
        </w:rPr>
        <w:t>explain</w:t>
      </w:r>
      <w:r>
        <w:rPr>
          <w:b/>
          <w:color w:val="67287F"/>
          <w:spacing w:val="-7"/>
          <w:sz w:val="28"/>
        </w:rPr>
        <w:t> </w:t>
      </w:r>
      <w:r>
        <w:rPr>
          <w:b/>
          <w:color w:val="67287F"/>
          <w:sz w:val="28"/>
        </w:rPr>
        <w:t>what</w:t>
      </w:r>
      <w:r>
        <w:rPr>
          <w:b/>
          <w:color w:val="67287F"/>
          <w:spacing w:val="-7"/>
          <w:sz w:val="28"/>
        </w:rPr>
        <w:t> </w:t>
      </w:r>
      <w:r>
        <w:rPr>
          <w:b/>
          <w:color w:val="67287F"/>
          <w:sz w:val="28"/>
        </w:rPr>
        <w:t>consideration</w:t>
      </w:r>
      <w:r>
        <w:rPr>
          <w:b/>
          <w:color w:val="67287F"/>
          <w:spacing w:val="-7"/>
          <w:sz w:val="28"/>
        </w:rPr>
        <w:t> </w:t>
      </w:r>
      <w:r>
        <w:rPr>
          <w:b/>
          <w:color w:val="67287F"/>
          <w:sz w:val="28"/>
        </w:rPr>
        <w:t>has</w:t>
      </w:r>
      <w:r>
        <w:rPr>
          <w:b/>
          <w:color w:val="67287F"/>
          <w:spacing w:val="-7"/>
          <w:sz w:val="28"/>
        </w:rPr>
        <w:t> </w:t>
      </w:r>
      <w:r>
        <w:rPr>
          <w:b/>
          <w:color w:val="67287F"/>
          <w:sz w:val="28"/>
        </w:rPr>
        <w:t>been</w:t>
      </w:r>
      <w:r>
        <w:rPr>
          <w:b/>
          <w:color w:val="67287F"/>
          <w:spacing w:val="-7"/>
          <w:sz w:val="28"/>
        </w:rPr>
        <w:t> </w:t>
      </w:r>
      <w:r>
        <w:rPr>
          <w:b/>
          <w:color w:val="67287F"/>
          <w:sz w:val="28"/>
        </w:rPr>
        <w:t>given</w:t>
      </w:r>
      <w:r>
        <w:rPr>
          <w:b/>
          <w:color w:val="67287F"/>
          <w:spacing w:val="-7"/>
          <w:sz w:val="28"/>
        </w:rPr>
        <w:t> </w:t>
      </w:r>
      <w:r>
        <w:rPr>
          <w:b/>
          <w:color w:val="67287F"/>
          <w:sz w:val="28"/>
        </w:rPr>
        <w:t>to</w:t>
      </w:r>
      <w:r>
        <w:rPr>
          <w:b/>
          <w:color w:val="67287F"/>
          <w:spacing w:val="-7"/>
          <w:sz w:val="28"/>
        </w:rPr>
        <w:t> </w:t>
      </w:r>
      <w:r>
        <w:rPr>
          <w:b/>
          <w:color w:val="67287F"/>
          <w:sz w:val="28"/>
        </w:rPr>
        <w:t>equality</w:t>
      </w:r>
      <w:r>
        <w:rPr>
          <w:b/>
          <w:color w:val="67287F"/>
          <w:spacing w:val="-7"/>
          <w:sz w:val="28"/>
        </w:rPr>
        <w:t> </w:t>
      </w:r>
      <w:r>
        <w:rPr>
          <w:b/>
          <w:color w:val="67287F"/>
          <w:sz w:val="28"/>
        </w:rPr>
        <w:t>and human rights.</w:t>
      </w:r>
    </w:p>
    <w:p>
      <w:pPr>
        <w:pStyle w:val="ListParagraph"/>
        <w:numPr>
          <w:ilvl w:val="1"/>
          <w:numId w:val="5"/>
        </w:numPr>
        <w:tabs>
          <w:tab w:pos="1853" w:val="left" w:leader="none"/>
        </w:tabs>
        <w:spacing w:line="225" w:lineRule="auto" w:before="314" w:after="0"/>
        <w:ind w:left="1853" w:right="1366" w:hanging="720"/>
        <w:jc w:val="left"/>
        <w:rPr>
          <w:b/>
          <w:color w:val="67287F"/>
          <w:sz w:val="28"/>
        </w:rPr>
      </w:pPr>
      <w:r>
        <w:rPr>
          <w:b/>
          <w:color w:val="67287F"/>
          <w:sz w:val="28"/>
        </w:rPr>
        <w:t>The ECNI continues to recommend that the NI Assembly Standing Order/s are amended to provide for the Speaker to send a copy of every Bill introduced to the Assembly to the ECNI as soon as practical after its introduction.</w:t>
      </w:r>
      <w:r>
        <w:rPr>
          <w:b/>
          <w:color w:val="67287F"/>
          <w:spacing w:val="-6"/>
          <w:sz w:val="28"/>
        </w:rPr>
        <w:t> </w:t>
      </w:r>
      <w:r>
        <w:rPr>
          <w:b/>
          <w:color w:val="67287F"/>
          <w:sz w:val="28"/>
        </w:rPr>
        <w:t>This</w:t>
      </w:r>
      <w:r>
        <w:rPr>
          <w:b/>
          <w:color w:val="67287F"/>
          <w:spacing w:val="-5"/>
          <w:sz w:val="28"/>
        </w:rPr>
        <w:t> </w:t>
      </w:r>
      <w:r>
        <w:rPr>
          <w:b/>
          <w:color w:val="67287F"/>
          <w:sz w:val="28"/>
        </w:rPr>
        <w:t>is</w:t>
      </w:r>
      <w:r>
        <w:rPr>
          <w:b/>
          <w:color w:val="67287F"/>
          <w:spacing w:val="-5"/>
          <w:sz w:val="28"/>
        </w:rPr>
        <w:t> </w:t>
      </w:r>
      <w:r>
        <w:rPr>
          <w:b/>
          <w:color w:val="67287F"/>
          <w:sz w:val="28"/>
        </w:rPr>
        <w:t>in</w:t>
      </w:r>
      <w:r>
        <w:rPr>
          <w:b/>
          <w:color w:val="67287F"/>
          <w:spacing w:val="-5"/>
          <w:sz w:val="28"/>
        </w:rPr>
        <w:t> </w:t>
      </w:r>
      <w:r>
        <w:rPr>
          <w:b/>
          <w:color w:val="67287F"/>
          <w:sz w:val="28"/>
        </w:rPr>
        <w:t>addition</w:t>
      </w:r>
      <w:r>
        <w:rPr>
          <w:b/>
          <w:color w:val="67287F"/>
          <w:spacing w:val="-5"/>
          <w:sz w:val="28"/>
        </w:rPr>
        <w:t> </w:t>
      </w:r>
      <w:r>
        <w:rPr>
          <w:b/>
          <w:color w:val="67287F"/>
          <w:sz w:val="28"/>
        </w:rPr>
        <w:t>to</w:t>
      </w:r>
      <w:r>
        <w:rPr>
          <w:b/>
          <w:color w:val="67287F"/>
          <w:spacing w:val="-5"/>
          <w:sz w:val="28"/>
        </w:rPr>
        <w:t> </w:t>
      </w:r>
      <w:r>
        <w:rPr>
          <w:b/>
          <w:color w:val="67287F"/>
          <w:sz w:val="28"/>
        </w:rPr>
        <w:t>the</w:t>
      </w:r>
      <w:r>
        <w:rPr>
          <w:b/>
          <w:color w:val="67287F"/>
          <w:spacing w:val="-6"/>
          <w:sz w:val="28"/>
        </w:rPr>
        <w:t> </w:t>
      </w:r>
      <w:r>
        <w:rPr>
          <w:b/>
          <w:color w:val="67287F"/>
          <w:sz w:val="28"/>
        </w:rPr>
        <w:t>NIHRC</w:t>
      </w:r>
      <w:r>
        <w:rPr>
          <w:b/>
          <w:color w:val="67287F"/>
          <w:spacing w:val="-6"/>
          <w:sz w:val="28"/>
        </w:rPr>
        <w:t> </w:t>
      </w:r>
      <w:r>
        <w:rPr>
          <w:b/>
          <w:color w:val="67287F"/>
          <w:sz w:val="28"/>
        </w:rPr>
        <w:t>which</w:t>
      </w:r>
      <w:r>
        <w:rPr>
          <w:b/>
          <w:color w:val="67287F"/>
          <w:spacing w:val="-5"/>
          <w:sz w:val="28"/>
        </w:rPr>
        <w:t> </w:t>
      </w:r>
      <w:r>
        <w:rPr>
          <w:b/>
          <w:color w:val="67287F"/>
          <w:sz w:val="28"/>
        </w:rPr>
        <w:t>already</w:t>
      </w:r>
      <w:r>
        <w:rPr>
          <w:b/>
          <w:color w:val="67287F"/>
          <w:spacing w:val="-5"/>
          <w:sz w:val="28"/>
        </w:rPr>
        <w:t> </w:t>
      </w:r>
      <w:r>
        <w:rPr>
          <w:b/>
          <w:color w:val="67287F"/>
          <w:sz w:val="28"/>
        </w:rPr>
        <w:t>receives</w:t>
      </w:r>
      <w:r>
        <w:rPr>
          <w:b/>
          <w:color w:val="67287F"/>
          <w:spacing w:val="-5"/>
          <w:sz w:val="28"/>
        </w:rPr>
        <w:t> </w:t>
      </w:r>
      <w:r>
        <w:rPr>
          <w:b/>
          <w:color w:val="67287F"/>
          <w:sz w:val="28"/>
        </w:rPr>
        <w:t>a</w:t>
      </w:r>
      <w:r>
        <w:rPr>
          <w:b/>
          <w:color w:val="67287F"/>
          <w:spacing w:val="-5"/>
          <w:sz w:val="28"/>
        </w:rPr>
        <w:t> </w:t>
      </w:r>
      <w:r>
        <w:rPr>
          <w:b/>
          <w:color w:val="67287F"/>
          <w:sz w:val="28"/>
        </w:rPr>
        <w:t>copy of every Bill.</w:t>
      </w:r>
    </w:p>
    <w:p>
      <w:pPr>
        <w:pStyle w:val="ListParagraph"/>
        <w:numPr>
          <w:ilvl w:val="1"/>
          <w:numId w:val="5"/>
        </w:numPr>
        <w:tabs>
          <w:tab w:pos="1853" w:val="left" w:leader="none"/>
        </w:tabs>
        <w:spacing w:line="225" w:lineRule="auto" w:before="313" w:after="0"/>
        <w:ind w:left="1853" w:right="1340" w:hanging="720"/>
        <w:jc w:val="left"/>
        <w:rPr>
          <w:b/>
          <w:color w:val="67287F"/>
          <w:sz w:val="28"/>
        </w:rPr>
      </w:pPr>
      <w:r>
        <w:rPr>
          <w:b/>
          <w:color w:val="67287F"/>
          <w:sz w:val="28"/>
        </w:rPr>
        <w:t>The Commissions continue to recommend that the UK Government undertakes</w:t>
      </w:r>
      <w:r>
        <w:rPr>
          <w:b/>
          <w:color w:val="67287F"/>
          <w:spacing w:val="-8"/>
          <w:sz w:val="28"/>
        </w:rPr>
        <w:t> </w:t>
      </w:r>
      <w:r>
        <w:rPr>
          <w:b/>
          <w:color w:val="67287F"/>
          <w:sz w:val="28"/>
        </w:rPr>
        <w:t>a</w:t>
      </w:r>
      <w:r>
        <w:rPr>
          <w:b/>
          <w:color w:val="67287F"/>
          <w:spacing w:val="-8"/>
          <w:sz w:val="28"/>
        </w:rPr>
        <w:t> </w:t>
      </w:r>
      <w:r>
        <w:rPr>
          <w:b/>
          <w:color w:val="67287F"/>
          <w:sz w:val="28"/>
        </w:rPr>
        <w:t>review</w:t>
      </w:r>
      <w:r>
        <w:rPr>
          <w:b/>
          <w:color w:val="67287F"/>
          <w:spacing w:val="-8"/>
          <w:sz w:val="28"/>
        </w:rPr>
        <w:t> </w:t>
      </w:r>
      <w:r>
        <w:rPr>
          <w:b/>
          <w:color w:val="67287F"/>
          <w:sz w:val="28"/>
        </w:rPr>
        <w:t>of</w:t>
      </w:r>
      <w:r>
        <w:rPr>
          <w:b/>
          <w:color w:val="67287F"/>
          <w:spacing w:val="-8"/>
          <w:sz w:val="28"/>
        </w:rPr>
        <w:t> </w:t>
      </w:r>
      <w:r>
        <w:rPr>
          <w:b/>
          <w:color w:val="67287F"/>
          <w:sz w:val="28"/>
        </w:rPr>
        <w:t>legislative</w:t>
      </w:r>
      <w:r>
        <w:rPr>
          <w:b/>
          <w:color w:val="67287F"/>
          <w:spacing w:val="-8"/>
          <w:sz w:val="28"/>
        </w:rPr>
        <w:t> </w:t>
      </w:r>
      <w:r>
        <w:rPr>
          <w:b/>
          <w:color w:val="67287F"/>
          <w:sz w:val="28"/>
        </w:rPr>
        <w:t>safeguards</w:t>
      </w:r>
      <w:r>
        <w:rPr>
          <w:b/>
          <w:color w:val="67287F"/>
          <w:spacing w:val="-8"/>
          <w:sz w:val="28"/>
        </w:rPr>
        <w:t> </w:t>
      </w:r>
      <w:r>
        <w:rPr>
          <w:b/>
          <w:color w:val="67287F"/>
          <w:sz w:val="28"/>
        </w:rPr>
        <w:t>in</w:t>
      </w:r>
      <w:r>
        <w:rPr>
          <w:b/>
          <w:color w:val="67287F"/>
          <w:spacing w:val="-8"/>
          <w:sz w:val="28"/>
        </w:rPr>
        <w:t> </w:t>
      </w:r>
      <w:r>
        <w:rPr>
          <w:b/>
          <w:color w:val="67287F"/>
          <w:sz w:val="28"/>
        </w:rPr>
        <w:t>place</w:t>
      </w:r>
      <w:r>
        <w:rPr>
          <w:b/>
          <w:color w:val="67287F"/>
          <w:spacing w:val="-8"/>
          <w:sz w:val="28"/>
        </w:rPr>
        <w:t> </w:t>
      </w:r>
      <w:r>
        <w:rPr>
          <w:b/>
          <w:color w:val="67287F"/>
          <w:sz w:val="28"/>
        </w:rPr>
        <w:t>to</w:t>
      </w:r>
      <w:r>
        <w:rPr>
          <w:b/>
          <w:color w:val="67287F"/>
          <w:spacing w:val="-8"/>
          <w:sz w:val="28"/>
        </w:rPr>
        <w:t> </w:t>
      </w:r>
      <w:r>
        <w:rPr>
          <w:b/>
          <w:color w:val="67287F"/>
          <w:sz w:val="28"/>
        </w:rPr>
        <w:t>ensure</w:t>
      </w:r>
      <w:r>
        <w:rPr>
          <w:b/>
          <w:color w:val="67287F"/>
          <w:spacing w:val="-8"/>
          <w:sz w:val="28"/>
        </w:rPr>
        <w:t> </w:t>
      </w:r>
      <w:r>
        <w:rPr>
          <w:b/>
          <w:color w:val="67287F"/>
          <w:sz w:val="28"/>
        </w:rPr>
        <w:t>compliance with</w:t>
      </w:r>
      <w:r>
        <w:rPr>
          <w:b/>
          <w:color w:val="67287F"/>
          <w:spacing w:val="-3"/>
          <w:sz w:val="28"/>
        </w:rPr>
        <w:t> </w:t>
      </w:r>
      <w:r>
        <w:rPr>
          <w:b/>
          <w:color w:val="67287F"/>
          <w:sz w:val="28"/>
        </w:rPr>
        <w:t>Windsor</w:t>
      </w:r>
      <w:r>
        <w:rPr>
          <w:b/>
          <w:color w:val="67287F"/>
          <w:spacing w:val="-4"/>
          <w:sz w:val="28"/>
        </w:rPr>
        <w:t> </w:t>
      </w:r>
      <w:r>
        <w:rPr>
          <w:b/>
          <w:color w:val="67287F"/>
          <w:sz w:val="28"/>
        </w:rPr>
        <w:t>Framework</w:t>
      </w:r>
      <w:r>
        <w:rPr>
          <w:b/>
          <w:color w:val="67287F"/>
          <w:spacing w:val="-4"/>
          <w:sz w:val="28"/>
        </w:rPr>
        <w:t> </w:t>
      </w:r>
      <w:r>
        <w:rPr>
          <w:b/>
          <w:color w:val="67287F"/>
          <w:sz w:val="28"/>
        </w:rPr>
        <w:t>Article</w:t>
      </w:r>
      <w:r>
        <w:rPr>
          <w:b/>
          <w:color w:val="67287F"/>
          <w:spacing w:val="-4"/>
          <w:sz w:val="28"/>
        </w:rPr>
        <w:t> </w:t>
      </w:r>
      <w:r>
        <w:rPr>
          <w:b/>
          <w:color w:val="67287F"/>
          <w:sz w:val="28"/>
        </w:rPr>
        <w:t>2</w:t>
      </w:r>
      <w:r>
        <w:rPr>
          <w:b/>
          <w:color w:val="67287F"/>
          <w:spacing w:val="-3"/>
          <w:sz w:val="28"/>
        </w:rPr>
        <w:t> </w:t>
      </w:r>
      <w:r>
        <w:rPr>
          <w:b/>
          <w:color w:val="67287F"/>
          <w:sz w:val="28"/>
        </w:rPr>
        <w:t>should</w:t>
      </w:r>
      <w:r>
        <w:rPr>
          <w:b/>
          <w:color w:val="67287F"/>
          <w:spacing w:val="-3"/>
          <w:sz w:val="28"/>
        </w:rPr>
        <w:t> </w:t>
      </w:r>
      <w:r>
        <w:rPr>
          <w:b/>
          <w:color w:val="67287F"/>
          <w:sz w:val="28"/>
        </w:rPr>
        <w:t>the</w:t>
      </w:r>
      <w:r>
        <w:rPr>
          <w:b/>
          <w:color w:val="67287F"/>
          <w:spacing w:val="-4"/>
          <w:sz w:val="28"/>
        </w:rPr>
        <w:t> </w:t>
      </w:r>
      <w:r>
        <w:rPr>
          <w:b/>
          <w:color w:val="67287F"/>
          <w:sz w:val="28"/>
        </w:rPr>
        <w:t>NI</w:t>
      </w:r>
      <w:r>
        <w:rPr>
          <w:b/>
          <w:color w:val="67287F"/>
          <w:spacing w:val="-3"/>
          <w:sz w:val="28"/>
        </w:rPr>
        <w:t> </w:t>
      </w:r>
      <w:r>
        <w:rPr>
          <w:b/>
          <w:color w:val="67287F"/>
          <w:sz w:val="28"/>
        </w:rPr>
        <w:t>Executive</w:t>
      </w:r>
      <w:r>
        <w:rPr>
          <w:b/>
          <w:color w:val="67287F"/>
          <w:spacing w:val="-4"/>
          <w:sz w:val="28"/>
        </w:rPr>
        <w:t> </w:t>
      </w:r>
      <w:r>
        <w:rPr>
          <w:b/>
          <w:color w:val="67287F"/>
          <w:sz w:val="28"/>
        </w:rPr>
        <w:t>or</w:t>
      </w:r>
      <w:r>
        <w:rPr>
          <w:b/>
          <w:color w:val="67287F"/>
          <w:spacing w:val="-4"/>
          <w:sz w:val="28"/>
        </w:rPr>
        <w:t> </w:t>
      </w:r>
      <w:r>
        <w:rPr>
          <w:b/>
          <w:color w:val="67287F"/>
          <w:sz w:val="28"/>
        </w:rPr>
        <w:t>Assembly</w:t>
      </w:r>
      <w:r>
        <w:rPr>
          <w:b/>
          <w:color w:val="67287F"/>
          <w:spacing w:val="-3"/>
          <w:sz w:val="28"/>
        </w:rPr>
        <w:t> </w:t>
      </w:r>
      <w:r>
        <w:rPr>
          <w:b/>
          <w:color w:val="67287F"/>
          <w:sz w:val="28"/>
        </w:rPr>
        <w:t>fail to act as required.</w:t>
      </w:r>
    </w:p>
    <w:p>
      <w:pPr>
        <w:pStyle w:val="ListParagraph"/>
        <w:numPr>
          <w:ilvl w:val="1"/>
          <w:numId w:val="5"/>
        </w:numPr>
        <w:tabs>
          <w:tab w:pos="1853" w:val="left" w:leader="none"/>
        </w:tabs>
        <w:spacing w:line="225" w:lineRule="auto" w:before="315" w:after="0"/>
        <w:ind w:left="1853" w:right="1284" w:hanging="720"/>
        <w:jc w:val="left"/>
        <w:rPr>
          <w:b/>
          <w:color w:val="67287F"/>
          <w:sz w:val="28"/>
        </w:rPr>
      </w:pPr>
      <w:r>
        <w:rPr>
          <w:b/>
          <w:color w:val="67287F"/>
          <w:sz w:val="28"/>
        </w:rPr>
        <w:t>The Commissions continue to recommend that a memorandum of understanding</w:t>
      </w:r>
      <w:r>
        <w:rPr>
          <w:b/>
          <w:color w:val="67287F"/>
          <w:spacing w:val="-9"/>
          <w:sz w:val="28"/>
        </w:rPr>
        <w:t> </w:t>
      </w:r>
      <w:r>
        <w:rPr>
          <w:b/>
          <w:color w:val="67287F"/>
          <w:sz w:val="28"/>
        </w:rPr>
        <w:t>is</w:t>
      </w:r>
      <w:r>
        <w:rPr>
          <w:b/>
          <w:color w:val="67287F"/>
          <w:spacing w:val="-8"/>
          <w:sz w:val="28"/>
        </w:rPr>
        <w:t> </w:t>
      </w:r>
      <w:r>
        <w:rPr>
          <w:b/>
          <w:color w:val="67287F"/>
          <w:sz w:val="28"/>
        </w:rPr>
        <w:t>established</w:t>
      </w:r>
      <w:r>
        <w:rPr>
          <w:b/>
          <w:color w:val="67287F"/>
          <w:spacing w:val="-8"/>
          <w:sz w:val="28"/>
        </w:rPr>
        <w:t> </w:t>
      </w:r>
      <w:r>
        <w:rPr>
          <w:b/>
          <w:color w:val="67287F"/>
          <w:sz w:val="28"/>
        </w:rPr>
        <w:t>between</w:t>
      </w:r>
      <w:r>
        <w:rPr>
          <w:b/>
          <w:color w:val="67287F"/>
          <w:spacing w:val="-8"/>
          <w:sz w:val="28"/>
        </w:rPr>
        <w:t> </w:t>
      </w:r>
      <w:r>
        <w:rPr>
          <w:b/>
          <w:color w:val="67287F"/>
          <w:sz w:val="28"/>
        </w:rPr>
        <w:t>the</w:t>
      </w:r>
      <w:r>
        <w:rPr>
          <w:b/>
          <w:color w:val="67287F"/>
          <w:spacing w:val="-9"/>
          <w:sz w:val="28"/>
        </w:rPr>
        <w:t> </w:t>
      </w:r>
      <w:r>
        <w:rPr>
          <w:b/>
          <w:color w:val="67287F"/>
          <w:sz w:val="28"/>
        </w:rPr>
        <w:t>UK</w:t>
      </w:r>
      <w:r>
        <w:rPr>
          <w:b/>
          <w:color w:val="67287F"/>
          <w:spacing w:val="-8"/>
          <w:sz w:val="28"/>
        </w:rPr>
        <w:t> </w:t>
      </w:r>
      <w:r>
        <w:rPr>
          <w:b/>
          <w:color w:val="67287F"/>
          <w:sz w:val="28"/>
        </w:rPr>
        <w:t>Government</w:t>
      </w:r>
      <w:r>
        <w:rPr>
          <w:b/>
          <w:color w:val="67287F"/>
          <w:spacing w:val="-8"/>
          <w:sz w:val="28"/>
        </w:rPr>
        <w:t> </w:t>
      </w:r>
      <w:r>
        <w:rPr>
          <w:b/>
          <w:color w:val="67287F"/>
          <w:sz w:val="28"/>
        </w:rPr>
        <w:t>and</w:t>
      </w:r>
      <w:r>
        <w:rPr>
          <w:b/>
          <w:color w:val="67287F"/>
          <w:spacing w:val="-8"/>
          <w:sz w:val="28"/>
        </w:rPr>
        <w:t> </w:t>
      </w:r>
      <w:r>
        <w:rPr>
          <w:b/>
          <w:color w:val="67287F"/>
          <w:sz w:val="28"/>
        </w:rPr>
        <w:t>NI</w:t>
      </w:r>
      <w:r>
        <w:rPr>
          <w:b/>
          <w:color w:val="67287F"/>
          <w:spacing w:val="-8"/>
          <w:sz w:val="28"/>
        </w:rPr>
        <w:t> </w:t>
      </w:r>
      <w:r>
        <w:rPr>
          <w:b/>
          <w:color w:val="67287F"/>
          <w:sz w:val="28"/>
        </w:rPr>
        <w:t>Executive explaining how they will engage on compliance and voluntary alignment issues between NI and EU law relevant to Windsor Framework Article 2.</w:t>
      </w:r>
    </w:p>
    <w:p>
      <w:pPr>
        <w:pStyle w:val="ListParagraph"/>
        <w:numPr>
          <w:ilvl w:val="1"/>
          <w:numId w:val="5"/>
        </w:numPr>
        <w:tabs>
          <w:tab w:pos="1853" w:val="left" w:leader="none"/>
        </w:tabs>
        <w:spacing w:line="225" w:lineRule="auto" w:before="315" w:after="0"/>
        <w:ind w:left="1853" w:right="1438" w:hanging="720"/>
        <w:jc w:val="left"/>
        <w:rPr>
          <w:b/>
          <w:color w:val="67287F"/>
          <w:sz w:val="28"/>
        </w:rPr>
      </w:pPr>
      <w:r>
        <w:rPr>
          <w:b/>
          <w:color w:val="67287F"/>
          <w:sz w:val="28"/>
        </w:rPr>
        <w:t>The ECNI continues to recommend that a new Standing Order is created, to allow for a motion to refer any proposed legislation to the ECNI for an opinion</w:t>
      </w:r>
      <w:r>
        <w:rPr>
          <w:b/>
          <w:color w:val="67287F"/>
          <w:spacing w:val="-7"/>
          <w:sz w:val="28"/>
        </w:rPr>
        <w:t> </w:t>
      </w:r>
      <w:r>
        <w:rPr>
          <w:b/>
          <w:color w:val="67287F"/>
          <w:sz w:val="28"/>
        </w:rPr>
        <w:t>with</w:t>
      </w:r>
      <w:r>
        <w:rPr>
          <w:b/>
          <w:color w:val="67287F"/>
          <w:spacing w:val="-7"/>
          <w:sz w:val="28"/>
        </w:rPr>
        <w:t> </w:t>
      </w:r>
      <w:r>
        <w:rPr>
          <w:b/>
          <w:color w:val="67287F"/>
          <w:sz w:val="28"/>
        </w:rPr>
        <w:t>regards</w:t>
      </w:r>
      <w:r>
        <w:rPr>
          <w:b/>
          <w:color w:val="67287F"/>
          <w:spacing w:val="-7"/>
          <w:sz w:val="28"/>
        </w:rPr>
        <w:t> </w:t>
      </w:r>
      <w:r>
        <w:rPr>
          <w:b/>
          <w:color w:val="67287F"/>
          <w:sz w:val="28"/>
        </w:rPr>
        <w:t>to</w:t>
      </w:r>
      <w:r>
        <w:rPr>
          <w:b/>
          <w:color w:val="67287F"/>
          <w:spacing w:val="-7"/>
          <w:sz w:val="28"/>
        </w:rPr>
        <w:t> </w:t>
      </w:r>
      <w:r>
        <w:rPr>
          <w:b/>
          <w:color w:val="67287F"/>
          <w:sz w:val="28"/>
        </w:rPr>
        <w:t>equality</w:t>
      </w:r>
      <w:r>
        <w:rPr>
          <w:b/>
          <w:color w:val="67287F"/>
          <w:spacing w:val="-7"/>
          <w:sz w:val="28"/>
        </w:rPr>
        <w:t> </w:t>
      </w:r>
      <w:r>
        <w:rPr>
          <w:b/>
          <w:color w:val="67287F"/>
          <w:sz w:val="28"/>
        </w:rPr>
        <w:t>and</w:t>
      </w:r>
      <w:r>
        <w:rPr>
          <w:b/>
          <w:color w:val="67287F"/>
          <w:spacing w:val="-7"/>
          <w:sz w:val="28"/>
        </w:rPr>
        <w:t> </w:t>
      </w:r>
      <w:r>
        <w:rPr>
          <w:b/>
          <w:color w:val="67287F"/>
          <w:sz w:val="28"/>
        </w:rPr>
        <w:t>other</w:t>
      </w:r>
      <w:r>
        <w:rPr>
          <w:b/>
          <w:color w:val="67287F"/>
          <w:spacing w:val="-8"/>
          <w:sz w:val="28"/>
        </w:rPr>
        <w:t> </w:t>
      </w:r>
      <w:r>
        <w:rPr>
          <w:b/>
          <w:color w:val="67287F"/>
          <w:sz w:val="28"/>
        </w:rPr>
        <w:t>matters</w:t>
      </w:r>
      <w:r>
        <w:rPr>
          <w:b/>
          <w:color w:val="67287F"/>
          <w:spacing w:val="-7"/>
          <w:sz w:val="28"/>
        </w:rPr>
        <w:t> </w:t>
      </w:r>
      <w:r>
        <w:rPr>
          <w:b/>
          <w:color w:val="67287F"/>
          <w:sz w:val="28"/>
        </w:rPr>
        <w:t>aligned</w:t>
      </w:r>
      <w:r>
        <w:rPr>
          <w:b/>
          <w:color w:val="67287F"/>
          <w:spacing w:val="-7"/>
          <w:sz w:val="28"/>
        </w:rPr>
        <w:t> </w:t>
      </w:r>
      <w:r>
        <w:rPr>
          <w:b/>
          <w:color w:val="67287F"/>
          <w:sz w:val="28"/>
        </w:rPr>
        <w:t>with</w:t>
      </w:r>
      <w:r>
        <w:rPr>
          <w:b/>
          <w:color w:val="67287F"/>
          <w:spacing w:val="-7"/>
          <w:sz w:val="28"/>
        </w:rPr>
        <w:t> </w:t>
      </w:r>
      <w:r>
        <w:rPr>
          <w:b/>
          <w:color w:val="67287F"/>
          <w:sz w:val="28"/>
        </w:rPr>
        <w:t>our</w:t>
      </w:r>
      <w:r>
        <w:rPr>
          <w:b/>
          <w:color w:val="67287F"/>
          <w:spacing w:val="-8"/>
          <w:sz w:val="28"/>
        </w:rPr>
        <w:t> </w:t>
      </w:r>
      <w:r>
        <w:rPr>
          <w:b/>
          <w:color w:val="67287F"/>
          <w:sz w:val="28"/>
        </w:rPr>
        <w:t>remit,</w:t>
      </w:r>
    </w:p>
    <w:p>
      <w:pPr>
        <w:spacing w:after="0" w:line="225" w:lineRule="auto"/>
        <w:jc w:val="left"/>
        <w:rPr>
          <w:sz w:val="28"/>
        </w:rPr>
        <w:sectPr>
          <w:pgSz w:w="11910" w:h="16840"/>
          <w:pgMar w:header="496" w:footer="367" w:top="1220" w:bottom="560" w:left="0" w:right="0"/>
        </w:sectPr>
      </w:pPr>
    </w:p>
    <w:p>
      <w:pPr>
        <w:pStyle w:val="BodyText"/>
        <w:spacing w:before="198"/>
        <w:rPr>
          <w:b/>
        </w:rPr>
      </w:pPr>
    </w:p>
    <w:p>
      <w:pPr>
        <w:spacing w:line="225" w:lineRule="auto" w:before="0"/>
        <w:ind w:left="1853" w:right="1124" w:firstLine="0"/>
        <w:jc w:val="left"/>
        <w:rPr>
          <w:b/>
          <w:sz w:val="28"/>
        </w:rPr>
      </w:pPr>
      <w:bookmarkStart w:name="_bookmark11" w:id="24"/>
      <w:bookmarkEnd w:id="24"/>
      <w:r>
        <w:rPr/>
      </w:r>
      <w:r>
        <w:rPr>
          <w:b/>
          <w:color w:val="67287F"/>
          <w:sz w:val="28"/>
        </w:rPr>
        <w:t>including Article 2.</w:t>
      </w:r>
      <w:r>
        <w:rPr>
          <w:b/>
          <w:color w:val="67287F"/>
          <w:spacing w:val="40"/>
          <w:sz w:val="28"/>
        </w:rPr>
        <w:t> </w:t>
      </w:r>
      <w:r>
        <w:rPr>
          <w:b/>
          <w:color w:val="67287F"/>
          <w:sz w:val="28"/>
        </w:rPr>
        <w:t>This will enable both organisations that comprise the Dedicated Mechanism to conduct analysis and provide opinion in relation to equality/human</w:t>
      </w:r>
      <w:r>
        <w:rPr>
          <w:b/>
          <w:color w:val="67287F"/>
          <w:spacing w:val="-7"/>
          <w:sz w:val="28"/>
        </w:rPr>
        <w:t> </w:t>
      </w:r>
      <w:r>
        <w:rPr>
          <w:b/>
          <w:color w:val="67287F"/>
          <w:sz w:val="28"/>
        </w:rPr>
        <w:t>rights</w:t>
      </w:r>
      <w:r>
        <w:rPr>
          <w:b/>
          <w:color w:val="67287F"/>
          <w:spacing w:val="-5"/>
          <w:sz w:val="28"/>
        </w:rPr>
        <w:t> </w:t>
      </w:r>
      <w:r>
        <w:rPr>
          <w:b/>
          <w:color w:val="67287F"/>
          <w:sz w:val="28"/>
        </w:rPr>
        <w:t>and</w:t>
      </w:r>
      <w:r>
        <w:rPr>
          <w:b/>
          <w:color w:val="67287F"/>
          <w:spacing w:val="-6"/>
          <w:sz w:val="28"/>
        </w:rPr>
        <w:t> </w:t>
      </w:r>
      <w:r>
        <w:rPr>
          <w:b/>
          <w:color w:val="67287F"/>
          <w:sz w:val="28"/>
        </w:rPr>
        <w:t>Article</w:t>
      </w:r>
      <w:r>
        <w:rPr>
          <w:b/>
          <w:color w:val="67287F"/>
          <w:spacing w:val="-5"/>
          <w:sz w:val="28"/>
        </w:rPr>
        <w:t> </w:t>
      </w:r>
      <w:r>
        <w:rPr>
          <w:b/>
          <w:color w:val="67287F"/>
          <w:sz w:val="28"/>
        </w:rPr>
        <w:t>2.</w:t>
      </w:r>
      <w:r>
        <w:rPr>
          <w:b/>
          <w:color w:val="67287F"/>
          <w:spacing w:val="40"/>
          <w:sz w:val="28"/>
        </w:rPr>
        <w:t> </w:t>
      </w:r>
      <w:r>
        <w:rPr>
          <w:b/>
          <w:color w:val="67287F"/>
          <w:sz w:val="28"/>
        </w:rPr>
        <w:t>Currently</w:t>
      </w:r>
      <w:r>
        <w:rPr>
          <w:b/>
          <w:color w:val="67287F"/>
          <w:spacing w:val="-6"/>
          <w:sz w:val="28"/>
        </w:rPr>
        <w:t> </w:t>
      </w:r>
      <w:r>
        <w:rPr>
          <w:b/>
          <w:color w:val="67287F"/>
          <w:sz w:val="28"/>
        </w:rPr>
        <w:t>neither</w:t>
      </w:r>
      <w:r>
        <w:rPr>
          <w:b/>
          <w:color w:val="67287F"/>
          <w:spacing w:val="-6"/>
          <w:sz w:val="28"/>
        </w:rPr>
        <w:t> </w:t>
      </w:r>
      <w:r>
        <w:rPr>
          <w:b/>
          <w:color w:val="67287F"/>
          <w:sz w:val="28"/>
        </w:rPr>
        <w:t>Standing</w:t>
      </w:r>
      <w:r>
        <w:rPr>
          <w:b/>
          <w:color w:val="67287F"/>
          <w:spacing w:val="-4"/>
          <w:sz w:val="28"/>
        </w:rPr>
        <w:t> </w:t>
      </w:r>
      <w:r>
        <w:rPr>
          <w:b/>
          <w:color w:val="67287F"/>
          <w:sz w:val="28"/>
        </w:rPr>
        <w:t>Orders</w:t>
      </w:r>
      <w:r>
        <w:rPr>
          <w:b/>
          <w:color w:val="67287F"/>
          <w:spacing w:val="-5"/>
          <w:sz w:val="28"/>
        </w:rPr>
        <w:t> </w:t>
      </w:r>
      <w:r>
        <w:rPr>
          <w:b/>
          <w:color w:val="67287F"/>
          <w:sz w:val="28"/>
        </w:rPr>
        <w:t>34</w:t>
      </w:r>
      <w:r>
        <w:rPr>
          <w:b/>
          <w:color w:val="67287F"/>
          <w:spacing w:val="-5"/>
          <w:sz w:val="28"/>
        </w:rPr>
        <w:t> </w:t>
      </w:r>
      <w:r>
        <w:rPr>
          <w:b/>
          <w:color w:val="67287F"/>
          <w:sz w:val="28"/>
        </w:rPr>
        <w:t>or 35 allow bills to be referred to the ECNI for an opinion.</w:t>
      </w:r>
    </w:p>
    <w:p>
      <w:pPr>
        <w:pStyle w:val="BodyText"/>
        <w:spacing w:before="1"/>
        <w:rPr>
          <w:b/>
        </w:rPr>
      </w:pPr>
    </w:p>
    <w:p>
      <w:pPr>
        <w:pStyle w:val="Heading3"/>
      </w:pPr>
      <w:bookmarkStart w:name="Retained European Union Law " w:id="25"/>
      <w:bookmarkEnd w:id="25"/>
      <w:r>
        <w:rPr>
          <w:b w:val="0"/>
        </w:rPr>
      </w:r>
      <w:r>
        <w:rPr>
          <w:color w:val="67287F"/>
        </w:rPr>
        <w:t>Retained</w:t>
      </w:r>
      <w:r>
        <w:rPr>
          <w:color w:val="67287F"/>
          <w:spacing w:val="-7"/>
        </w:rPr>
        <w:t> </w:t>
      </w:r>
      <w:r>
        <w:rPr>
          <w:color w:val="67287F"/>
        </w:rPr>
        <w:t>European</w:t>
      </w:r>
      <w:r>
        <w:rPr>
          <w:color w:val="67287F"/>
          <w:spacing w:val="-7"/>
        </w:rPr>
        <w:t> </w:t>
      </w:r>
      <w:r>
        <w:rPr>
          <w:color w:val="67287F"/>
        </w:rPr>
        <w:t>Union</w:t>
      </w:r>
      <w:r>
        <w:rPr>
          <w:color w:val="67287F"/>
          <w:spacing w:val="-6"/>
        </w:rPr>
        <w:t> </w:t>
      </w:r>
      <w:r>
        <w:rPr>
          <w:color w:val="67287F"/>
          <w:spacing w:val="-5"/>
        </w:rPr>
        <w:t>Law</w:t>
      </w:r>
    </w:p>
    <w:p>
      <w:pPr>
        <w:pStyle w:val="BodyText"/>
        <w:spacing w:before="8"/>
        <w:rPr>
          <w:b/>
          <w:sz w:val="3"/>
        </w:rPr>
      </w:pPr>
      <w:r>
        <w:rPr/>
        <mc:AlternateContent>
          <mc:Choice Requires="wps">
            <w:drawing>
              <wp:anchor distT="0" distB="0" distL="0" distR="0" allowOverlap="1" layoutInCell="1" locked="0" behindDoc="1" simplePos="0" relativeHeight="487630848">
                <wp:simplePos x="0" y="0"/>
                <wp:positionH relativeFrom="page">
                  <wp:posOffset>719997</wp:posOffset>
                </wp:positionH>
                <wp:positionV relativeFrom="paragraph">
                  <wp:posOffset>43661</wp:posOffset>
                </wp:positionV>
                <wp:extent cx="6120130" cy="1270"/>
                <wp:effectExtent l="0" t="0" r="0" b="0"/>
                <wp:wrapTopAndBottom/>
                <wp:docPr id="148" name="Graphic 148"/>
                <wp:cNvGraphicFramePr>
                  <a:graphicFrameLocks/>
                </wp:cNvGraphicFramePr>
                <a:graphic>
                  <a:graphicData uri="http://schemas.microsoft.com/office/word/2010/wordprocessingShape">
                    <wps:wsp>
                      <wps:cNvPr id="148" name="Graphic 148"/>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3.437944pt;width:481.9pt;height:.1pt;mso-position-horizontal-relative:page;mso-position-vertical-relative:paragraph;z-index:-15685632;mso-wrap-distance-left:0;mso-wrap-distance-right:0" id="docshape105" coordorigin="1134,69" coordsize="9638,0" path="m10772,69l1134,69e" filled="false" stroked="true" strokeweight="1pt" strokecolor="#67287f">
                <v:path arrowok="t"/>
                <v:stroke dashstyle="solid"/>
                <w10:wrap type="topAndBottom"/>
              </v:shape>
            </w:pict>
          </mc:Fallback>
        </mc:AlternateContent>
      </w:r>
    </w:p>
    <w:p>
      <w:pPr>
        <w:pStyle w:val="ListParagraph"/>
        <w:numPr>
          <w:ilvl w:val="1"/>
          <w:numId w:val="5"/>
        </w:numPr>
        <w:tabs>
          <w:tab w:pos="1853" w:val="left" w:leader="none"/>
        </w:tabs>
        <w:spacing w:line="225" w:lineRule="auto" w:before="334" w:after="0"/>
        <w:ind w:left="1853" w:right="1148" w:hanging="720"/>
        <w:jc w:val="left"/>
        <w:rPr>
          <w:sz w:val="28"/>
        </w:rPr>
      </w:pPr>
      <w:r>
        <w:rPr>
          <w:sz w:val="28"/>
        </w:rPr>
        <w:t>The</w:t>
      </w:r>
      <w:r>
        <w:rPr>
          <w:spacing w:val="-6"/>
          <w:sz w:val="28"/>
        </w:rPr>
        <w:t> </w:t>
      </w:r>
      <w:r>
        <w:rPr>
          <w:sz w:val="28"/>
        </w:rPr>
        <w:t>EU</w:t>
      </w:r>
      <w:r>
        <w:rPr>
          <w:spacing w:val="-6"/>
          <w:sz w:val="28"/>
        </w:rPr>
        <w:t> </w:t>
      </w:r>
      <w:r>
        <w:rPr>
          <w:sz w:val="28"/>
        </w:rPr>
        <w:t>(Withdrawal)</w:t>
      </w:r>
      <w:r>
        <w:rPr>
          <w:spacing w:val="-7"/>
          <w:sz w:val="28"/>
        </w:rPr>
        <w:t> </w:t>
      </w:r>
      <w:r>
        <w:rPr>
          <w:sz w:val="28"/>
        </w:rPr>
        <w:t>Act</w:t>
      </w:r>
      <w:r>
        <w:rPr>
          <w:spacing w:val="-6"/>
          <w:sz w:val="28"/>
        </w:rPr>
        <w:t> </w:t>
      </w:r>
      <w:r>
        <w:rPr>
          <w:sz w:val="28"/>
        </w:rPr>
        <w:t>2018</w:t>
      </w:r>
      <w:r>
        <w:rPr>
          <w:spacing w:val="-6"/>
          <w:sz w:val="28"/>
        </w:rPr>
        <w:t> </w:t>
      </w:r>
      <w:r>
        <w:rPr>
          <w:sz w:val="28"/>
        </w:rPr>
        <w:t>Act</w:t>
      </w:r>
      <w:r>
        <w:rPr>
          <w:spacing w:val="-6"/>
          <w:sz w:val="28"/>
        </w:rPr>
        <w:t> </w:t>
      </w:r>
      <w:r>
        <w:rPr>
          <w:sz w:val="28"/>
        </w:rPr>
        <w:t>provided</w:t>
      </w:r>
      <w:r>
        <w:rPr>
          <w:spacing w:val="-7"/>
          <w:sz w:val="28"/>
        </w:rPr>
        <w:t> </w:t>
      </w:r>
      <w:r>
        <w:rPr>
          <w:sz w:val="28"/>
        </w:rPr>
        <w:t>for</w:t>
      </w:r>
      <w:r>
        <w:rPr>
          <w:spacing w:val="-6"/>
          <w:sz w:val="28"/>
        </w:rPr>
        <w:t> </w:t>
      </w:r>
      <w:r>
        <w:rPr>
          <w:sz w:val="28"/>
        </w:rPr>
        <w:t>existing</w:t>
      </w:r>
      <w:r>
        <w:rPr>
          <w:spacing w:val="-6"/>
          <w:sz w:val="28"/>
        </w:rPr>
        <w:t> </w:t>
      </w:r>
      <w:r>
        <w:rPr>
          <w:sz w:val="28"/>
        </w:rPr>
        <w:t>EU</w:t>
      </w:r>
      <w:r>
        <w:rPr>
          <w:spacing w:val="-6"/>
          <w:sz w:val="28"/>
        </w:rPr>
        <w:t> </w:t>
      </w:r>
      <w:r>
        <w:rPr>
          <w:sz w:val="28"/>
        </w:rPr>
        <w:t>law</w:t>
      </w:r>
      <w:r>
        <w:rPr>
          <w:spacing w:val="-6"/>
          <w:sz w:val="28"/>
        </w:rPr>
        <w:t> </w:t>
      </w:r>
      <w:r>
        <w:rPr>
          <w:sz w:val="28"/>
        </w:rPr>
        <w:t>to</w:t>
      </w:r>
      <w:r>
        <w:rPr>
          <w:spacing w:val="-7"/>
          <w:sz w:val="28"/>
        </w:rPr>
        <w:t> </w:t>
      </w:r>
      <w:r>
        <w:rPr>
          <w:sz w:val="28"/>
        </w:rPr>
        <w:t>be</w:t>
      </w:r>
      <w:r>
        <w:rPr>
          <w:spacing w:val="-6"/>
          <w:sz w:val="28"/>
        </w:rPr>
        <w:t> </w:t>
      </w:r>
      <w:r>
        <w:rPr>
          <w:sz w:val="28"/>
        </w:rPr>
        <w:t>‘retained’ in the UK, so that it would continue to have effect after 1 January 2021, subject to amendment or repeal over time. In 2022, the Retained EU Law (Revocation and Reform) Bill was introduced in the UK Parliament.</w:t>
      </w:r>
    </w:p>
    <w:p>
      <w:pPr>
        <w:pStyle w:val="ListParagraph"/>
        <w:numPr>
          <w:ilvl w:val="1"/>
          <w:numId w:val="5"/>
        </w:numPr>
        <w:tabs>
          <w:tab w:pos="1853" w:val="left" w:leader="none"/>
        </w:tabs>
        <w:spacing w:line="225" w:lineRule="auto" w:before="315" w:after="0"/>
        <w:ind w:left="1853" w:right="1432" w:hanging="720"/>
        <w:jc w:val="left"/>
        <w:rPr>
          <w:sz w:val="28"/>
        </w:rPr>
      </w:pPr>
      <w:r>
        <w:rPr>
          <w:sz w:val="28"/>
        </w:rPr>
        <w:t>In January 2023, the Commissions published a briefing which raised several concerns with the then Retained EU Law (Revocation and Reform) Bill, including the sunset clause for all EU-derived subordinate legislation and retained direct EU law by 31 December 2023.</w:t>
      </w:r>
      <w:r>
        <w:rPr>
          <w:sz w:val="28"/>
          <w:vertAlign w:val="superscript"/>
        </w:rPr>
        <w:t>75</w:t>
      </w:r>
      <w:r>
        <w:rPr>
          <w:spacing w:val="40"/>
          <w:sz w:val="28"/>
          <w:vertAlign w:val="baseline"/>
        </w:rPr>
        <w:t> </w:t>
      </w:r>
      <w:r>
        <w:rPr>
          <w:sz w:val="28"/>
          <w:vertAlign w:val="baseline"/>
        </w:rPr>
        <w:t>The Commissions advised that</w:t>
      </w:r>
      <w:r>
        <w:rPr>
          <w:spacing w:val="-4"/>
          <w:sz w:val="28"/>
          <w:vertAlign w:val="baseline"/>
        </w:rPr>
        <w:t> </w:t>
      </w:r>
      <w:r>
        <w:rPr>
          <w:sz w:val="28"/>
          <w:vertAlign w:val="baseline"/>
        </w:rPr>
        <w:t>failure</w:t>
      </w:r>
      <w:r>
        <w:rPr>
          <w:spacing w:val="-4"/>
          <w:sz w:val="28"/>
          <w:vertAlign w:val="baseline"/>
        </w:rPr>
        <w:t> </w:t>
      </w:r>
      <w:r>
        <w:rPr>
          <w:sz w:val="28"/>
          <w:vertAlign w:val="baseline"/>
        </w:rPr>
        <w:t>to</w:t>
      </w:r>
      <w:r>
        <w:rPr>
          <w:spacing w:val="-5"/>
          <w:sz w:val="28"/>
          <w:vertAlign w:val="baseline"/>
        </w:rPr>
        <w:t> </w:t>
      </w:r>
      <w:r>
        <w:rPr>
          <w:sz w:val="28"/>
          <w:vertAlign w:val="baseline"/>
        </w:rPr>
        <w:t>preserve</w:t>
      </w:r>
      <w:r>
        <w:rPr>
          <w:spacing w:val="-4"/>
          <w:sz w:val="28"/>
          <w:vertAlign w:val="baseline"/>
        </w:rPr>
        <w:t> </w:t>
      </w:r>
      <w:r>
        <w:rPr>
          <w:sz w:val="28"/>
          <w:vertAlign w:val="baseline"/>
        </w:rPr>
        <w:t>or</w:t>
      </w:r>
      <w:r>
        <w:rPr>
          <w:spacing w:val="-4"/>
          <w:sz w:val="28"/>
          <w:vertAlign w:val="baseline"/>
        </w:rPr>
        <w:t> </w:t>
      </w:r>
      <w:r>
        <w:rPr>
          <w:sz w:val="28"/>
          <w:vertAlign w:val="baseline"/>
        </w:rPr>
        <w:t>restate</w:t>
      </w:r>
      <w:r>
        <w:rPr>
          <w:spacing w:val="-4"/>
          <w:sz w:val="28"/>
          <w:vertAlign w:val="baseline"/>
        </w:rPr>
        <w:t> </w:t>
      </w:r>
      <w:r>
        <w:rPr>
          <w:sz w:val="28"/>
          <w:vertAlign w:val="baseline"/>
        </w:rPr>
        <w:t>all</w:t>
      </w:r>
      <w:r>
        <w:rPr>
          <w:spacing w:val="-5"/>
          <w:sz w:val="28"/>
          <w:vertAlign w:val="baseline"/>
        </w:rPr>
        <w:t> </w:t>
      </w:r>
      <w:r>
        <w:rPr>
          <w:sz w:val="28"/>
          <w:vertAlign w:val="baseline"/>
        </w:rPr>
        <w:t>relevant</w:t>
      </w:r>
      <w:r>
        <w:rPr>
          <w:spacing w:val="-4"/>
          <w:sz w:val="28"/>
          <w:vertAlign w:val="baseline"/>
        </w:rPr>
        <w:t> </w:t>
      </w:r>
      <w:r>
        <w:rPr>
          <w:sz w:val="28"/>
          <w:vertAlign w:val="baseline"/>
        </w:rPr>
        <w:t>Retained</w:t>
      </w:r>
      <w:r>
        <w:rPr>
          <w:spacing w:val="-5"/>
          <w:sz w:val="28"/>
          <w:vertAlign w:val="baseline"/>
        </w:rPr>
        <w:t> </w:t>
      </w:r>
      <w:r>
        <w:rPr>
          <w:sz w:val="28"/>
          <w:vertAlign w:val="baseline"/>
        </w:rPr>
        <w:t>Direct</w:t>
      </w:r>
      <w:r>
        <w:rPr>
          <w:spacing w:val="-4"/>
          <w:sz w:val="28"/>
          <w:vertAlign w:val="baseline"/>
        </w:rPr>
        <w:t> </w:t>
      </w:r>
      <w:r>
        <w:rPr>
          <w:sz w:val="28"/>
          <w:vertAlign w:val="baseline"/>
        </w:rPr>
        <w:t>EU</w:t>
      </w:r>
      <w:r>
        <w:rPr>
          <w:spacing w:val="-4"/>
          <w:sz w:val="28"/>
          <w:vertAlign w:val="baseline"/>
        </w:rPr>
        <w:t> </w:t>
      </w:r>
      <w:r>
        <w:rPr>
          <w:sz w:val="28"/>
          <w:vertAlign w:val="baseline"/>
        </w:rPr>
        <w:t>Legislation and EU-derived subordinate legislation in NI within the scope of Article 2, within</w:t>
      </w:r>
      <w:r>
        <w:rPr>
          <w:spacing w:val="-6"/>
          <w:sz w:val="28"/>
          <w:vertAlign w:val="baseline"/>
        </w:rPr>
        <w:t> </w:t>
      </w:r>
      <w:r>
        <w:rPr>
          <w:sz w:val="28"/>
          <w:vertAlign w:val="baseline"/>
        </w:rPr>
        <w:t>set</w:t>
      </w:r>
      <w:r>
        <w:rPr>
          <w:spacing w:val="-5"/>
          <w:sz w:val="28"/>
          <w:vertAlign w:val="baseline"/>
        </w:rPr>
        <w:t> </w:t>
      </w:r>
      <w:r>
        <w:rPr>
          <w:sz w:val="28"/>
          <w:vertAlign w:val="baseline"/>
        </w:rPr>
        <w:t>deadlines,</w:t>
      </w:r>
      <w:r>
        <w:rPr>
          <w:spacing w:val="-5"/>
          <w:sz w:val="28"/>
          <w:vertAlign w:val="baseline"/>
        </w:rPr>
        <w:t> </w:t>
      </w:r>
      <w:r>
        <w:rPr>
          <w:sz w:val="28"/>
          <w:vertAlign w:val="baseline"/>
        </w:rPr>
        <w:t>would</w:t>
      </w:r>
      <w:r>
        <w:rPr>
          <w:spacing w:val="-6"/>
          <w:sz w:val="28"/>
          <w:vertAlign w:val="baseline"/>
        </w:rPr>
        <w:t> </w:t>
      </w:r>
      <w:r>
        <w:rPr>
          <w:sz w:val="28"/>
          <w:vertAlign w:val="baseline"/>
        </w:rPr>
        <w:t>result</w:t>
      </w:r>
      <w:r>
        <w:rPr>
          <w:spacing w:val="-5"/>
          <w:sz w:val="28"/>
          <w:vertAlign w:val="baseline"/>
        </w:rPr>
        <w:t> </w:t>
      </w:r>
      <w:r>
        <w:rPr>
          <w:sz w:val="28"/>
          <w:vertAlign w:val="baseline"/>
        </w:rPr>
        <w:t>in</w:t>
      </w:r>
      <w:r>
        <w:rPr>
          <w:spacing w:val="-6"/>
          <w:sz w:val="28"/>
          <w:vertAlign w:val="baseline"/>
        </w:rPr>
        <w:t> </w:t>
      </w:r>
      <w:r>
        <w:rPr>
          <w:sz w:val="28"/>
          <w:vertAlign w:val="baseline"/>
        </w:rPr>
        <w:t>a</w:t>
      </w:r>
      <w:r>
        <w:rPr>
          <w:spacing w:val="-6"/>
          <w:sz w:val="28"/>
          <w:vertAlign w:val="baseline"/>
        </w:rPr>
        <w:t> </w:t>
      </w:r>
      <w:r>
        <w:rPr>
          <w:sz w:val="28"/>
          <w:vertAlign w:val="baseline"/>
        </w:rPr>
        <w:t>breach</w:t>
      </w:r>
      <w:r>
        <w:rPr>
          <w:spacing w:val="-6"/>
          <w:sz w:val="28"/>
          <w:vertAlign w:val="baseline"/>
        </w:rPr>
        <w:t> </w:t>
      </w:r>
      <w:r>
        <w:rPr>
          <w:sz w:val="28"/>
          <w:vertAlign w:val="baseline"/>
        </w:rPr>
        <w:t>of</w:t>
      </w:r>
      <w:r>
        <w:rPr>
          <w:spacing w:val="-6"/>
          <w:sz w:val="28"/>
          <w:vertAlign w:val="baseline"/>
        </w:rPr>
        <w:t> </w:t>
      </w:r>
      <w:r>
        <w:rPr>
          <w:sz w:val="28"/>
          <w:vertAlign w:val="baseline"/>
        </w:rPr>
        <w:t>Windsor</w:t>
      </w:r>
      <w:r>
        <w:rPr>
          <w:spacing w:val="-5"/>
          <w:sz w:val="28"/>
          <w:vertAlign w:val="baseline"/>
        </w:rPr>
        <w:t> </w:t>
      </w:r>
      <w:r>
        <w:rPr>
          <w:sz w:val="28"/>
          <w:vertAlign w:val="baseline"/>
        </w:rPr>
        <w:t>Framework</w:t>
      </w:r>
      <w:r>
        <w:rPr>
          <w:spacing w:val="-5"/>
          <w:sz w:val="28"/>
          <w:vertAlign w:val="baseline"/>
        </w:rPr>
        <w:t> </w:t>
      </w:r>
      <w:r>
        <w:rPr>
          <w:sz w:val="28"/>
          <w:vertAlign w:val="baseline"/>
        </w:rPr>
        <w:t>Article</w:t>
      </w:r>
    </w:p>
    <w:p>
      <w:pPr>
        <w:pStyle w:val="BodyText"/>
        <w:spacing w:line="225" w:lineRule="auto"/>
        <w:ind w:left="1853" w:right="1171"/>
      </w:pPr>
      <w:r>
        <w:rPr/>
        <w:t>2. In March 2023, speaking on behalf of the UK Government, Lord Callanan, stated</w:t>
      </w:r>
      <w:r>
        <w:rPr>
          <w:spacing w:val="-6"/>
        </w:rPr>
        <w:t> </w:t>
      </w:r>
      <w:r>
        <w:rPr/>
        <w:t>that</w:t>
      </w:r>
      <w:r>
        <w:rPr>
          <w:spacing w:val="-5"/>
        </w:rPr>
        <w:t> </w:t>
      </w:r>
      <w:r>
        <w:rPr/>
        <w:t>the</w:t>
      </w:r>
      <w:r>
        <w:rPr>
          <w:spacing w:val="-5"/>
        </w:rPr>
        <w:t> </w:t>
      </w:r>
      <w:r>
        <w:rPr/>
        <w:t>then</w:t>
      </w:r>
      <w:r>
        <w:rPr>
          <w:spacing w:val="-6"/>
        </w:rPr>
        <w:t> </w:t>
      </w:r>
      <w:r>
        <w:rPr/>
        <w:t>Bill</w:t>
      </w:r>
      <w:r>
        <w:rPr>
          <w:spacing w:val="-6"/>
        </w:rPr>
        <w:t> </w:t>
      </w:r>
      <w:r>
        <w:rPr/>
        <w:t>would</w:t>
      </w:r>
      <w:r>
        <w:rPr>
          <w:spacing w:val="-6"/>
        </w:rPr>
        <w:t> </w:t>
      </w:r>
      <w:r>
        <w:rPr/>
        <w:t>not</w:t>
      </w:r>
      <w:r>
        <w:rPr>
          <w:spacing w:val="-5"/>
        </w:rPr>
        <w:t> </w:t>
      </w:r>
      <w:r>
        <w:rPr/>
        <w:t>disturb</w:t>
      </w:r>
      <w:r>
        <w:rPr>
          <w:spacing w:val="-6"/>
        </w:rPr>
        <w:t> </w:t>
      </w:r>
      <w:r>
        <w:rPr/>
        <w:t>Section</w:t>
      </w:r>
      <w:r>
        <w:rPr>
          <w:spacing w:val="-6"/>
        </w:rPr>
        <w:t> </w:t>
      </w:r>
      <w:r>
        <w:rPr/>
        <w:t>7A</w:t>
      </w:r>
      <w:r>
        <w:rPr>
          <w:spacing w:val="-5"/>
        </w:rPr>
        <w:t> </w:t>
      </w:r>
      <w:r>
        <w:rPr/>
        <w:t>of</w:t>
      </w:r>
      <w:r>
        <w:rPr>
          <w:spacing w:val="-6"/>
        </w:rPr>
        <w:t> </w:t>
      </w:r>
      <w:r>
        <w:rPr/>
        <w:t>the</w:t>
      </w:r>
      <w:r>
        <w:rPr>
          <w:spacing w:val="-5"/>
        </w:rPr>
        <w:t> </w:t>
      </w:r>
      <w:r>
        <w:rPr/>
        <w:t>European</w:t>
      </w:r>
      <w:r>
        <w:rPr>
          <w:spacing w:val="-6"/>
        </w:rPr>
        <w:t> </w:t>
      </w:r>
      <w:r>
        <w:rPr/>
        <w:t>Union (Withdrawal) Act 2018, and gave assurances that “the [UK] Government</w:t>
      </w:r>
    </w:p>
    <w:p>
      <w:pPr>
        <w:pStyle w:val="BodyText"/>
        <w:spacing w:line="225" w:lineRule="auto"/>
        <w:ind w:left="1853" w:right="1547"/>
        <w:jc w:val="both"/>
      </w:pPr>
      <w:r>
        <w:rPr/>
        <w:t>will</w:t>
      </w:r>
      <w:r>
        <w:rPr>
          <w:spacing w:val="-5"/>
        </w:rPr>
        <w:t> </w:t>
      </w:r>
      <w:r>
        <w:rPr/>
        <w:t>ensure</w:t>
      </w:r>
      <w:r>
        <w:rPr>
          <w:spacing w:val="-4"/>
        </w:rPr>
        <w:t> </w:t>
      </w:r>
      <w:r>
        <w:rPr/>
        <w:t>that</w:t>
      </w:r>
      <w:r>
        <w:rPr>
          <w:spacing w:val="-4"/>
        </w:rPr>
        <w:t> </w:t>
      </w:r>
      <w:r>
        <w:rPr/>
        <w:t>all</w:t>
      </w:r>
      <w:r>
        <w:rPr>
          <w:spacing w:val="-5"/>
        </w:rPr>
        <w:t> </w:t>
      </w:r>
      <w:r>
        <w:rPr/>
        <w:t>necessary</w:t>
      </w:r>
      <w:r>
        <w:rPr>
          <w:spacing w:val="-4"/>
        </w:rPr>
        <w:t> </w:t>
      </w:r>
      <w:r>
        <w:rPr/>
        <w:t>legislation</w:t>
      </w:r>
      <w:r>
        <w:rPr>
          <w:spacing w:val="-5"/>
        </w:rPr>
        <w:t> </w:t>
      </w:r>
      <w:r>
        <w:rPr/>
        <w:t>is</w:t>
      </w:r>
      <w:r>
        <w:rPr>
          <w:spacing w:val="-5"/>
        </w:rPr>
        <w:t> </w:t>
      </w:r>
      <w:r>
        <w:rPr/>
        <w:t>in</w:t>
      </w:r>
      <w:r>
        <w:rPr>
          <w:spacing w:val="-5"/>
        </w:rPr>
        <w:t> </w:t>
      </w:r>
      <w:r>
        <w:rPr/>
        <w:t>place</w:t>
      </w:r>
      <w:r>
        <w:rPr>
          <w:spacing w:val="-4"/>
        </w:rPr>
        <w:t> </w:t>
      </w:r>
      <w:r>
        <w:rPr/>
        <w:t>by</w:t>
      </w:r>
      <w:r>
        <w:rPr>
          <w:spacing w:val="-4"/>
        </w:rPr>
        <w:t> </w:t>
      </w:r>
      <w:r>
        <w:rPr/>
        <w:t>the</w:t>
      </w:r>
      <w:r>
        <w:rPr>
          <w:spacing w:val="-4"/>
        </w:rPr>
        <w:t> </w:t>
      </w:r>
      <w:r>
        <w:rPr/>
        <w:t>[Retained</w:t>
      </w:r>
      <w:r>
        <w:rPr>
          <w:spacing w:val="-5"/>
        </w:rPr>
        <w:t> </w:t>
      </w:r>
      <w:r>
        <w:rPr/>
        <w:t>EU</w:t>
      </w:r>
      <w:r>
        <w:rPr>
          <w:spacing w:val="-4"/>
        </w:rPr>
        <w:t> </w:t>
      </w:r>
      <w:r>
        <w:rPr/>
        <w:t>Law (Revocation</w:t>
      </w:r>
      <w:r>
        <w:rPr>
          <w:spacing w:val="-3"/>
        </w:rPr>
        <w:t> </w:t>
      </w:r>
      <w:r>
        <w:rPr/>
        <w:t>and</w:t>
      </w:r>
      <w:r>
        <w:rPr>
          <w:spacing w:val="-3"/>
        </w:rPr>
        <w:t> </w:t>
      </w:r>
      <w:r>
        <w:rPr/>
        <w:t>Reform)]</w:t>
      </w:r>
      <w:r>
        <w:rPr>
          <w:spacing w:val="-2"/>
        </w:rPr>
        <w:t> </w:t>
      </w:r>
      <w:r>
        <w:rPr/>
        <w:t>Bill’s</w:t>
      </w:r>
      <w:r>
        <w:rPr>
          <w:spacing w:val="-3"/>
        </w:rPr>
        <w:t> </w:t>
      </w:r>
      <w:r>
        <w:rPr/>
        <w:t>sunset</w:t>
      </w:r>
      <w:r>
        <w:rPr>
          <w:spacing w:val="-2"/>
        </w:rPr>
        <w:t> </w:t>
      </w:r>
      <w:r>
        <w:rPr/>
        <w:t>date</w:t>
      </w:r>
      <w:r>
        <w:rPr>
          <w:spacing w:val="-2"/>
        </w:rPr>
        <w:t> </w:t>
      </w:r>
      <w:r>
        <w:rPr/>
        <w:t>to</w:t>
      </w:r>
      <w:r>
        <w:rPr>
          <w:spacing w:val="-3"/>
        </w:rPr>
        <w:t> </w:t>
      </w:r>
      <w:r>
        <w:rPr/>
        <w:t>uphold</w:t>
      </w:r>
      <w:r>
        <w:rPr>
          <w:spacing w:val="-3"/>
        </w:rPr>
        <w:t> </w:t>
      </w:r>
      <w:r>
        <w:rPr/>
        <w:t>all</w:t>
      </w:r>
      <w:r>
        <w:rPr>
          <w:spacing w:val="-3"/>
        </w:rPr>
        <w:t> </w:t>
      </w:r>
      <w:r>
        <w:rPr/>
        <w:t>the</w:t>
      </w:r>
      <w:r>
        <w:rPr>
          <w:spacing w:val="-2"/>
        </w:rPr>
        <w:t> </w:t>
      </w:r>
      <w:r>
        <w:rPr/>
        <w:t>commitments made under Article 2”.</w:t>
      </w:r>
      <w:r>
        <w:rPr>
          <w:vertAlign w:val="superscript"/>
        </w:rPr>
        <w:t>76</w:t>
      </w:r>
    </w:p>
    <w:p>
      <w:pPr>
        <w:pStyle w:val="ListParagraph"/>
        <w:numPr>
          <w:ilvl w:val="1"/>
          <w:numId w:val="5"/>
        </w:numPr>
        <w:tabs>
          <w:tab w:pos="1853" w:val="left" w:leader="none"/>
        </w:tabs>
        <w:spacing w:line="225" w:lineRule="auto" w:before="303" w:after="0"/>
        <w:ind w:left="1853" w:right="1508" w:hanging="720"/>
        <w:jc w:val="left"/>
        <w:rPr>
          <w:sz w:val="28"/>
        </w:rPr>
      </w:pPr>
      <w:r>
        <w:rPr>
          <w:sz w:val="28"/>
        </w:rPr>
        <w:t>In May 2023, the UK Government brought forward an amendment to the then</w:t>
      </w:r>
      <w:r>
        <w:rPr>
          <w:spacing w:val="-5"/>
          <w:sz w:val="28"/>
        </w:rPr>
        <w:t> </w:t>
      </w:r>
      <w:r>
        <w:rPr>
          <w:sz w:val="28"/>
        </w:rPr>
        <w:t>Bill</w:t>
      </w:r>
      <w:r>
        <w:rPr>
          <w:spacing w:val="-5"/>
          <w:sz w:val="28"/>
        </w:rPr>
        <w:t> </w:t>
      </w:r>
      <w:r>
        <w:rPr>
          <w:sz w:val="28"/>
        </w:rPr>
        <w:t>replacing</w:t>
      </w:r>
      <w:r>
        <w:rPr>
          <w:spacing w:val="-4"/>
          <w:sz w:val="28"/>
        </w:rPr>
        <w:t> </w:t>
      </w:r>
      <w:r>
        <w:rPr>
          <w:sz w:val="28"/>
        </w:rPr>
        <w:t>the</w:t>
      </w:r>
      <w:r>
        <w:rPr>
          <w:spacing w:val="-4"/>
          <w:sz w:val="28"/>
        </w:rPr>
        <w:t> </w:t>
      </w:r>
      <w:r>
        <w:rPr>
          <w:sz w:val="28"/>
        </w:rPr>
        <w:t>sunset</w:t>
      </w:r>
      <w:r>
        <w:rPr>
          <w:spacing w:val="-4"/>
          <w:sz w:val="28"/>
        </w:rPr>
        <w:t> </w:t>
      </w:r>
      <w:r>
        <w:rPr>
          <w:sz w:val="28"/>
        </w:rPr>
        <w:t>clause</w:t>
      </w:r>
      <w:r>
        <w:rPr>
          <w:spacing w:val="-4"/>
          <w:sz w:val="28"/>
        </w:rPr>
        <w:t> </w:t>
      </w:r>
      <w:r>
        <w:rPr>
          <w:sz w:val="28"/>
        </w:rPr>
        <w:t>with</w:t>
      </w:r>
      <w:r>
        <w:rPr>
          <w:spacing w:val="-5"/>
          <w:sz w:val="28"/>
        </w:rPr>
        <w:t> </w:t>
      </w:r>
      <w:r>
        <w:rPr>
          <w:sz w:val="28"/>
        </w:rPr>
        <w:t>a</w:t>
      </w:r>
      <w:r>
        <w:rPr>
          <w:spacing w:val="-5"/>
          <w:sz w:val="28"/>
        </w:rPr>
        <w:t> </w:t>
      </w:r>
      <w:r>
        <w:rPr>
          <w:sz w:val="28"/>
        </w:rPr>
        <w:t>list</w:t>
      </w:r>
      <w:r>
        <w:rPr>
          <w:spacing w:val="-4"/>
          <w:sz w:val="28"/>
        </w:rPr>
        <w:t> </w:t>
      </w:r>
      <w:r>
        <w:rPr>
          <w:sz w:val="28"/>
        </w:rPr>
        <w:t>of</w:t>
      </w:r>
      <w:r>
        <w:rPr>
          <w:spacing w:val="-5"/>
          <w:sz w:val="28"/>
        </w:rPr>
        <w:t> </w:t>
      </w:r>
      <w:r>
        <w:rPr>
          <w:sz w:val="28"/>
        </w:rPr>
        <w:t>retained</w:t>
      </w:r>
      <w:r>
        <w:rPr>
          <w:spacing w:val="-5"/>
          <w:sz w:val="28"/>
        </w:rPr>
        <w:t> </w:t>
      </w:r>
      <w:r>
        <w:rPr>
          <w:sz w:val="28"/>
        </w:rPr>
        <w:t>EU</w:t>
      </w:r>
      <w:r>
        <w:rPr>
          <w:spacing w:val="-4"/>
          <w:sz w:val="28"/>
        </w:rPr>
        <w:t> </w:t>
      </w:r>
      <w:r>
        <w:rPr>
          <w:sz w:val="28"/>
        </w:rPr>
        <w:t>law</w:t>
      </w:r>
      <w:r>
        <w:rPr>
          <w:spacing w:val="-4"/>
          <w:sz w:val="28"/>
        </w:rPr>
        <w:t> </w:t>
      </w:r>
      <w:r>
        <w:rPr>
          <w:sz w:val="28"/>
        </w:rPr>
        <w:t>measures in a Schedule to the Bill. The Secretary of State for Business and Trade</w:t>
      </w:r>
    </w:p>
    <w:p>
      <w:pPr>
        <w:pStyle w:val="BodyText"/>
        <w:spacing w:line="225" w:lineRule="auto"/>
        <w:ind w:left="1853" w:right="1171"/>
      </w:pPr>
      <w:r>
        <w:rPr/>
        <w:t>acknowledged</w:t>
      </w:r>
      <w:r>
        <w:rPr>
          <w:spacing w:val="-6"/>
        </w:rPr>
        <w:t> </w:t>
      </w:r>
      <w:r>
        <w:rPr/>
        <w:t>that</w:t>
      </w:r>
      <w:r>
        <w:rPr>
          <w:spacing w:val="-5"/>
        </w:rPr>
        <w:t> </w:t>
      </w:r>
      <w:r>
        <w:rPr/>
        <w:t>this</w:t>
      </w:r>
      <w:r>
        <w:rPr>
          <w:spacing w:val="-6"/>
        </w:rPr>
        <w:t> </w:t>
      </w:r>
      <w:r>
        <w:rPr/>
        <w:t>would</w:t>
      </w:r>
      <w:r>
        <w:rPr>
          <w:spacing w:val="-6"/>
        </w:rPr>
        <w:t> </w:t>
      </w:r>
      <w:r>
        <w:rPr/>
        <w:t>provide</w:t>
      </w:r>
      <w:r>
        <w:rPr>
          <w:spacing w:val="-5"/>
        </w:rPr>
        <w:t> </w:t>
      </w:r>
      <w:r>
        <w:rPr/>
        <w:t>clarity</w:t>
      </w:r>
      <w:r>
        <w:rPr>
          <w:spacing w:val="-5"/>
        </w:rPr>
        <w:t> </w:t>
      </w:r>
      <w:r>
        <w:rPr/>
        <w:t>for</w:t>
      </w:r>
      <w:r>
        <w:rPr>
          <w:spacing w:val="-5"/>
        </w:rPr>
        <w:t> </w:t>
      </w:r>
      <w:r>
        <w:rPr/>
        <w:t>businesses</w:t>
      </w:r>
      <w:r>
        <w:rPr>
          <w:spacing w:val="-6"/>
        </w:rPr>
        <w:t> </w:t>
      </w:r>
      <w:r>
        <w:rPr/>
        <w:t>by</w:t>
      </w:r>
      <w:r>
        <w:rPr>
          <w:spacing w:val="-5"/>
        </w:rPr>
        <w:t> </w:t>
      </w:r>
      <w:r>
        <w:rPr/>
        <w:t>making</w:t>
      </w:r>
      <w:r>
        <w:rPr>
          <w:spacing w:val="-5"/>
        </w:rPr>
        <w:t> </w:t>
      </w:r>
      <w:r>
        <w:rPr/>
        <w:t>it</w:t>
      </w:r>
      <w:r>
        <w:rPr>
          <w:spacing w:val="-5"/>
        </w:rPr>
        <w:t> </w:t>
      </w:r>
      <w:r>
        <w:rPr/>
        <w:t>clear which laws would remain in statute and which would be revoked.</w:t>
      </w:r>
      <w:r>
        <w:rPr>
          <w:vertAlign w:val="superscript"/>
        </w:rPr>
        <w:t>77</w:t>
      </w:r>
      <w:r>
        <w:rPr>
          <w:vertAlign w:val="baseline"/>
        </w:rPr>
        <w:t> In June 2023, the Retained EU Law (Revocation and Reform) Act 2023 received Royal </w:t>
      </w:r>
      <w:r>
        <w:rPr>
          <w:spacing w:val="-2"/>
          <w:vertAlign w:val="baseline"/>
        </w:rPr>
        <w:t>Assent.</w:t>
      </w:r>
    </w:p>
    <w:p>
      <w:pPr>
        <w:pStyle w:val="ListParagraph"/>
        <w:numPr>
          <w:ilvl w:val="1"/>
          <w:numId w:val="5"/>
        </w:numPr>
        <w:tabs>
          <w:tab w:pos="1853" w:val="left" w:leader="none"/>
        </w:tabs>
        <w:spacing w:line="225" w:lineRule="auto" w:before="311" w:after="0"/>
        <w:ind w:left="1853" w:right="1138" w:hanging="720"/>
        <w:jc w:val="left"/>
        <w:rPr>
          <w:sz w:val="28"/>
        </w:rPr>
      </w:pPr>
      <w:r>
        <w:rPr>
          <w:sz w:val="28"/>
        </w:rPr>
        <w:t>In June 2023, the Secretary of State for Business and Trade, in a letter to the House of Lords Sub-Committee on the Ireland/NI Protocol, stated that the Bill did not disturb sections 7A and 7C of the EU Withdrawal Act 2018. However, the</w:t>
      </w:r>
      <w:r>
        <w:rPr>
          <w:spacing w:val="-8"/>
          <w:sz w:val="28"/>
        </w:rPr>
        <w:t> </w:t>
      </w:r>
      <w:r>
        <w:rPr>
          <w:sz w:val="28"/>
        </w:rPr>
        <w:t>Secretary</w:t>
      </w:r>
      <w:r>
        <w:rPr>
          <w:spacing w:val="-8"/>
          <w:sz w:val="28"/>
        </w:rPr>
        <w:t> </w:t>
      </w:r>
      <w:r>
        <w:rPr>
          <w:sz w:val="28"/>
        </w:rPr>
        <w:t>of</w:t>
      </w:r>
      <w:r>
        <w:rPr>
          <w:spacing w:val="-9"/>
          <w:sz w:val="28"/>
        </w:rPr>
        <w:t> </w:t>
      </w:r>
      <w:r>
        <w:rPr>
          <w:sz w:val="28"/>
        </w:rPr>
        <w:t>State</w:t>
      </w:r>
      <w:r>
        <w:rPr>
          <w:spacing w:val="-8"/>
          <w:sz w:val="28"/>
        </w:rPr>
        <w:t> </w:t>
      </w:r>
      <w:r>
        <w:rPr>
          <w:sz w:val="28"/>
        </w:rPr>
        <w:t>stated</w:t>
      </w:r>
      <w:r>
        <w:rPr>
          <w:spacing w:val="-9"/>
          <w:sz w:val="28"/>
        </w:rPr>
        <w:t> </w:t>
      </w:r>
      <w:r>
        <w:rPr>
          <w:sz w:val="28"/>
        </w:rPr>
        <w:t>that</w:t>
      </w:r>
      <w:r>
        <w:rPr>
          <w:spacing w:val="-8"/>
          <w:sz w:val="28"/>
        </w:rPr>
        <w:t> </w:t>
      </w:r>
      <w:r>
        <w:rPr>
          <w:sz w:val="28"/>
        </w:rPr>
        <w:t>“Article</w:t>
      </w:r>
      <w:r>
        <w:rPr>
          <w:spacing w:val="-8"/>
          <w:sz w:val="28"/>
        </w:rPr>
        <w:t> </w:t>
      </w:r>
      <w:r>
        <w:rPr>
          <w:sz w:val="28"/>
        </w:rPr>
        <w:t>2</w:t>
      </w:r>
      <w:r>
        <w:rPr>
          <w:spacing w:val="-8"/>
          <w:sz w:val="28"/>
        </w:rPr>
        <w:t> </w:t>
      </w:r>
      <w:r>
        <w:rPr>
          <w:sz w:val="28"/>
        </w:rPr>
        <w:t>does</w:t>
      </w:r>
      <w:r>
        <w:rPr>
          <w:spacing w:val="-9"/>
          <w:sz w:val="28"/>
        </w:rPr>
        <w:t> </w:t>
      </w:r>
      <w:r>
        <w:rPr>
          <w:sz w:val="28"/>
        </w:rPr>
        <w:t>not</w:t>
      </w:r>
      <w:r>
        <w:rPr>
          <w:spacing w:val="-8"/>
          <w:sz w:val="28"/>
        </w:rPr>
        <w:t> </w:t>
      </w:r>
      <w:r>
        <w:rPr>
          <w:sz w:val="28"/>
        </w:rPr>
        <w:t>itself</w:t>
      </w:r>
      <w:r>
        <w:rPr>
          <w:spacing w:val="-9"/>
          <w:sz w:val="28"/>
        </w:rPr>
        <w:t> </w:t>
      </w:r>
      <w:r>
        <w:rPr>
          <w:sz w:val="28"/>
        </w:rPr>
        <w:t>apply</w:t>
      </w:r>
      <w:r>
        <w:rPr>
          <w:spacing w:val="-8"/>
          <w:sz w:val="28"/>
        </w:rPr>
        <w:t> </w:t>
      </w:r>
      <w:r>
        <w:rPr>
          <w:sz w:val="28"/>
        </w:rPr>
        <w:t>EU</w:t>
      </w:r>
      <w:r>
        <w:rPr>
          <w:spacing w:val="-8"/>
          <w:sz w:val="28"/>
        </w:rPr>
        <w:t> </w:t>
      </w:r>
      <w:r>
        <w:rPr>
          <w:sz w:val="28"/>
        </w:rPr>
        <w:t>law,</w:t>
      </w:r>
      <w:r>
        <w:rPr>
          <w:spacing w:val="-8"/>
          <w:sz w:val="28"/>
        </w:rPr>
        <w:t> </w:t>
      </w:r>
      <w:r>
        <w:rPr>
          <w:sz w:val="28"/>
        </w:rPr>
        <w:t>and</w:t>
      </w:r>
      <w:r>
        <w:rPr>
          <w:spacing w:val="-9"/>
          <w:sz w:val="28"/>
        </w:rPr>
        <w:t> </w:t>
      </w:r>
      <w:r>
        <w:rPr>
          <w:sz w:val="28"/>
        </w:rPr>
        <w:t>so domestic law giving effect to Article 2 rights may be affected by the abolition</w:t>
      </w:r>
    </w:p>
    <w:p>
      <w:pPr>
        <w:pStyle w:val="BodyText"/>
        <w:spacing w:before="4"/>
        <w:rPr>
          <w:sz w:val="19"/>
        </w:rPr>
      </w:pPr>
      <w:r>
        <w:rPr/>
        <mc:AlternateContent>
          <mc:Choice Requires="wps">
            <w:drawing>
              <wp:anchor distT="0" distB="0" distL="0" distR="0" allowOverlap="1" layoutInCell="1" locked="0" behindDoc="1" simplePos="0" relativeHeight="487631360">
                <wp:simplePos x="0" y="0"/>
                <wp:positionH relativeFrom="page">
                  <wp:posOffset>719996</wp:posOffset>
                </wp:positionH>
                <wp:positionV relativeFrom="paragraph">
                  <wp:posOffset>165217</wp:posOffset>
                </wp:positionV>
                <wp:extent cx="6120130" cy="1270"/>
                <wp:effectExtent l="0" t="0" r="0" b="0"/>
                <wp:wrapTopAndBottom/>
                <wp:docPr id="149" name="Graphic 149"/>
                <wp:cNvGraphicFramePr>
                  <a:graphicFrameLocks/>
                </wp:cNvGraphicFramePr>
                <a:graphic>
                  <a:graphicData uri="http://schemas.microsoft.com/office/word/2010/wordprocessingShape">
                    <wps:wsp>
                      <wps:cNvPr id="149" name="Graphic 149"/>
                      <wps:cNvSpPr/>
                      <wps:spPr>
                        <a:xfrm>
                          <a:off x="0" y="0"/>
                          <a:ext cx="6120130" cy="1270"/>
                        </a:xfrm>
                        <a:custGeom>
                          <a:avLst/>
                          <a:gdLst/>
                          <a:ahLst/>
                          <a:cxnLst/>
                          <a:rect l="l" t="t" r="r" b="b"/>
                          <a:pathLst>
                            <a:path w="6120130" h="0">
                              <a:moveTo>
                                <a:pt x="6120003" y="0"/>
                              </a:moveTo>
                              <a:lnTo>
                                <a:pt x="0"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3.009259pt;width:481.9pt;height:.1pt;mso-position-horizontal-relative:page;mso-position-vertical-relative:paragraph;z-index:-15685120;mso-wrap-distance-left:0;mso-wrap-distance-right:0" id="docshape106" coordorigin="1134,260" coordsize="9638,0" path="m10772,260l1134,260e" filled="false" stroked="true" strokeweight="1pt" strokecolor="#393b7f">
                <v:path arrowok="t"/>
                <v:stroke dashstyle="solid"/>
                <w10:wrap type="topAndBottom"/>
              </v:shape>
            </w:pict>
          </mc:Fallback>
        </mc:AlternateContent>
      </w:r>
    </w:p>
    <w:p>
      <w:pPr>
        <w:pStyle w:val="ListParagraph"/>
        <w:numPr>
          <w:ilvl w:val="0"/>
          <w:numId w:val="3"/>
        </w:numPr>
        <w:tabs>
          <w:tab w:pos="1853" w:val="left" w:leader="none"/>
        </w:tabs>
        <w:spacing w:line="235" w:lineRule="auto" w:before="118" w:after="0"/>
        <w:ind w:left="1853" w:right="1249" w:hanging="720"/>
        <w:jc w:val="left"/>
        <w:rPr>
          <w:sz w:val="18"/>
        </w:rPr>
      </w:pP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5"/>
          <w:sz w:val="18"/>
        </w:rPr>
        <w:t> </w:t>
      </w:r>
      <w:r>
        <w:rPr>
          <w:sz w:val="18"/>
        </w:rPr>
        <w:t>and</w:t>
      </w:r>
      <w:r>
        <w:rPr>
          <w:spacing w:val="-5"/>
          <w:sz w:val="18"/>
        </w:rPr>
        <w:t> </w:t>
      </w: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‘Briefing</w:t>
      </w:r>
      <w:r>
        <w:rPr>
          <w:spacing w:val="-4"/>
          <w:sz w:val="18"/>
        </w:rPr>
        <w:t> </w:t>
      </w:r>
      <w:r>
        <w:rPr>
          <w:sz w:val="18"/>
        </w:rPr>
        <w:t>on</w:t>
      </w:r>
      <w:r>
        <w:rPr>
          <w:spacing w:val="-5"/>
          <w:sz w:val="18"/>
        </w:rPr>
        <w:t> </w:t>
      </w:r>
      <w:r>
        <w:rPr>
          <w:sz w:val="18"/>
        </w:rPr>
        <w:t>the</w:t>
      </w:r>
      <w:r>
        <w:rPr>
          <w:spacing w:val="-4"/>
          <w:sz w:val="18"/>
        </w:rPr>
        <w:t> </w:t>
      </w:r>
      <w:r>
        <w:rPr>
          <w:sz w:val="18"/>
        </w:rPr>
        <w:t>Retained</w:t>
      </w:r>
      <w:r>
        <w:rPr>
          <w:spacing w:val="-5"/>
          <w:sz w:val="18"/>
        </w:rPr>
        <w:t> </w:t>
      </w:r>
      <w:r>
        <w:rPr>
          <w:sz w:val="18"/>
        </w:rPr>
        <w:t>EU</w:t>
      </w:r>
      <w:r>
        <w:rPr>
          <w:spacing w:val="-4"/>
          <w:sz w:val="18"/>
        </w:rPr>
        <w:t> </w:t>
      </w:r>
      <w:r>
        <w:rPr>
          <w:sz w:val="18"/>
        </w:rPr>
        <w:t>Law</w:t>
      </w:r>
      <w:r>
        <w:rPr>
          <w:spacing w:val="-4"/>
          <w:sz w:val="18"/>
        </w:rPr>
        <w:t> </w:t>
      </w:r>
      <w:r>
        <w:rPr>
          <w:sz w:val="18"/>
        </w:rPr>
        <w:t>(Revocation</w:t>
      </w:r>
      <w:r>
        <w:rPr>
          <w:spacing w:val="-5"/>
          <w:sz w:val="18"/>
        </w:rPr>
        <w:t> </w:t>
      </w:r>
      <w:r>
        <w:rPr>
          <w:sz w:val="18"/>
        </w:rPr>
        <w:t>and</w:t>
      </w:r>
      <w:r>
        <w:rPr>
          <w:spacing w:val="-5"/>
          <w:sz w:val="18"/>
        </w:rPr>
        <w:t> </w:t>
      </w:r>
      <w:r>
        <w:rPr>
          <w:sz w:val="18"/>
        </w:rPr>
        <w:t>Reform) Bill’ (NIHRC and ECNI, 2023).</w:t>
      </w:r>
    </w:p>
    <w:p>
      <w:pPr>
        <w:pStyle w:val="ListParagraph"/>
        <w:numPr>
          <w:ilvl w:val="0"/>
          <w:numId w:val="3"/>
        </w:numPr>
        <w:tabs>
          <w:tab w:pos="1853" w:val="left" w:leader="none"/>
        </w:tabs>
        <w:spacing w:line="216" w:lineRule="exact" w:before="0" w:after="0"/>
        <w:ind w:left="1853" w:right="0" w:hanging="720"/>
        <w:jc w:val="left"/>
        <w:rPr>
          <w:sz w:val="18"/>
        </w:rPr>
      </w:pPr>
      <w:r>
        <w:rPr>
          <w:sz w:val="18"/>
        </w:rPr>
        <w:t>UK</w:t>
      </w:r>
      <w:r>
        <w:rPr>
          <w:spacing w:val="-6"/>
          <w:sz w:val="18"/>
        </w:rPr>
        <w:t> </w:t>
      </w:r>
      <w:r>
        <w:rPr>
          <w:sz w:val="18"/>
        </w:rPr>
        <w:t>Parliament</w:t>
      </w:r>
      <w:r>
        <w:rPr>
          <w:spacing w:val="-5"/>
          <w:sz w:val="18"/>
        </w:rPr>
        <w:t> </w:t>
      </w:r>
      <w:r>
        <w:rPr>
          <w:sz w:val="18"/>
        </w:rPr>
        <w:t>Hansard,</w:t>
      </w:r>
      <w:r>
        <w:rPr>
          <w:spacing w:val="-5"/>
          <w:sz w:val="18"/>
        </w:rPr>
        <w:t> </w:t>
      </w:r>
      <w:r>
        <w:rPr>
          <w:sz w:val="18"/>
        </w:rPr>
        <w:t>‘House</w:t>
      </w:r>
      <w:r>
        <w:rPr>
          <w:spacing w:val="-5"/>
          <w:sz w:val="18"/>
        </w:rPr>
        <w:t> </w:t>
      </w:r>
      <w:r>
        <w:rPr>
          <w:sz w:val="18"/>
        </w:rPr>
        <w:t>of</w:t>
      </w:r>
      <w:r>
        <w:rPr>
          <w:spacing w:val="-6"/>
          <w:sz w:val="18"/>
        </w:rPr>
        <w:t> </w:t>
      </w:r>
      <w:r>
        <w:rPr>
          <w:sz w:val="18"/>
        </w:rPr>
        <w:t>Lords:</w:t>
      </w:r>
      <w:r>
        <w:rPr>
          <w:spacing w:val="-5"/>
          <w:sz w:val="18"/>
        </w:rPr>
        <w:t> </w:t>
      </w:r>
      <w:r>
        <w:rPr>
          <w:sz w:val="18"/>
        </w:rPr>
        <w:t>Retained</w:t>
      </w:r>
      <w:r>
        <w:rPr>
          <w:spacing w:val="-6"/>
          <w:sz w:val="18"/>
        </w:rPr>
        <w:t> </w:t>
      </w:r>
      <w:r>
        <w:rPr>
          <w:sz w:val="18"/>
        </w:rPr>
        <w:t>EU</w:t>
      </w:r>
      <w:r>
        <w:rPr>
          <w:spacing w:val="-6"/>
          <w:sz w:val="18"/>
        </w:rPr>
        <w:t> </w:t>
      </w:r>
      <w:r>
        <w:rPr>
          <w:sz w:val="18"/>
        </w:rPr>
        <w:t>Law</w:t>
      </w:r>
      <w:r>
        <w:rPr>
          <w:spacing w:val="-5"/>
          <w:sz w:val="18"/>
        </w:rPr>
        <w:t> </w:t>
      </w:r>
      <w:r>
        <w:rPr>
          <w:sz w:val="18"/>
        </w:rPr>
        <w:t>(Revocation</w:t>
      </w:r>
      <w:r>
        <w:rPr>
          <w:spacing w:val="-6"/>
          <w:sz w:val="18"/>
        </w:rPr>
        <w:t> </w:t>
      </w:r>
      <w:r>
        <w:rPr>
          <w:sz w:val="18"/>
        </w:rPr>
        <w:t>and</w:t>
      </w:r>
      <w:r>
        <w:rPr>
          <w:spacing w:val="-6"/>
          <w:sz w:val="18"/>
        </w:rPr>
        <w:t> </w:t>
      </w:r>
      <w:r>
        <w:rPr>
          <w:sz w:val="18"/>
        </w:rPr>
        <w:t>Reform)</w:t>
      </w:r>
      <w:r>
        <w:rPr>
          <w:spacing w:val="-6"/>
          <w:sz w:val="18"/>
        </w:rPr>
        <w:t> </w:t>
      </w:r>
      <w:r>
        <w:rPr>
          <w:sz w:val="18"/>
        </w:rPr>
        <w:t>Bill</w:t>
      </w:r>
      <w:r>
        <w:rPr>
          <w:spacing w:val="-6"/>
          <w:sz w:val="18"/>
        </w:rPr>
        <w:t> </w:t>
      </w:r>
      <w:r>
        <w:rPr>
          <w:sz w:val="18"/>
        </w:rPr>
        <w:t>–</w:t>
      </w:r>
      <w:r>
        <w:rPr>
          <w:spacing w:val="-6"/>
          <w:sz w:val="18"/>
        </w:rPr>
        <w:t> </w:t>
      </w:r>
      <w:r>
        <w:rPr>
          <w:sz w:val="18"/>
        </w:rPr>
        <w:t>Lord</w:t>
      </w:r>
      <w:r>
        <w:rPr>
          <w:spacing w:val="-6"/>
          <w:sz w:val="18"/>
        </w:rPr>
        <w:t> </w:t>
      </w:r>
      <w:r>
        <w:rPr>
          <w:sz w:val="18"/>
        </w:rPr>
        <w:t>Callanan’,</w:t>
      </w:r>
      <w:r>
        <w:rPr>
          <w:spacing w:val="-5"/>
          <w:sz w:val="18"/>
        </w:rPr>
        <w:t> </w:t>
      </w:r>
      <w:r>
        <w:rPr>
          <w:sz w:val="18"/>
        </w:rPr>
        <w:t>2</w:t>
      </w:r>
      <w:r>
        <w:rPr>
          <w:spacing w:val="-5"/>
          <w:sz w:val="18"/>
        </w:rPr>
        <w:t> </w:t>
      </w:r>
      <w:r>
        <w:rPr>
          <w:sz w:val="18"/>
        </w:rPr>
        <w:t>March</w:t>
      </w:r>
      <w:r>
        <w:rPr>
          <w:spacing w:val="-6"/>
          <w:sz w:val="18"/>
        </w:rPr>
        <w:t> </w:t>
      </w:r>
      <w:r>
        <w:rPr>
          <w:spacing w:val="-2"/>
          <w:sz w:val="18"/>
        </w:rPr>
        <w:t>2023.</w:t>
      </w:r>
    </w:p>
    <w:p>
      <w:pPr>
        <w:pStyle w:val="ListParagraph"/>
        <w:numPr>
          <w:ilvl w:val="0"/>
          <w:numId w:val="3"/>
        </w:numPr>
        <w:tabs>
          <w:tab w:pos="1853" w:val="left" w:leader="none"/>
        </w:tabs>
        <w:spacing w:line="218" w:lineRule="exact" w:before="0" w:after="0"/>
        <w:ind w:left="1853" w:right="0" w:hanging="720"/>
        <w:jc w:val="left"/>
        <w:rPr>
          <w:sz w:val="18"/>
        </w:rPr>
      </w:pPr>
      <w:r>
        <w:rPr>
          <w:sz w:val="18"/>
        </w:rPr>
        <w:t>UK</w:t>
      </w:r>
      <w:r>
        <w:rPr>
          <w:spacing w:val="-7"/>
          <w:sz w:val="18"/>
        </w:rPr>
        <w:t> </w:t>
      </w:r>
      <w:r>
        <w:rPr>
          <w:sz w:val="18"/>
        </w:rPr>
        <w:t>Parliament</w:t>
      </w:r>
      <w:r>
        <w:rPr>
          <w:spacing w:val="-7"/>
          <w:sz w:val="18"/>
        </w:rPr>
        <w:t> </w:t>
      </w:r>
      <w:r>
        <w:rPr>
          <w:sz w:val="18"/>
        </w:rPr>
        <w:t>Hansard,</w:t>
      </w:r>
      <w:r>
        <w:rPr>
          <w:spacing w:val="-6"/>
          <w:sz w:val="18"/>
        </w:rPr>
        <w:t> </w:t>
      </w:r>
      <w:r>
        <w:rPr>
          <w:sz w:val="18"/>
        </w:rPr>
        <w:t>‘Written</w:t>
      </w:r>
      <w:r>
        <w:rPr>
          <w:spacing w:val="-8"/>
          <w:sz w:val="18"/>
        </w:rPr>
        <w:t> </w:t>
      </w:r>
      <w:r>
        <w:rPr>
          <w:sz w:val="18"/>
        </w:rPr>
        <w:t>Statement:</w:t>
      </w:r>
      <w:r>
        <w:rPr>
          <w:spacing w:val="-7"/>
          <w:sz w:val="18"/>
        </w:rPr>
        <w:t> </w:t>
      </w:r>
      <w:r>
        <w:rPr>
          <w:sz w:val="18"/>
        </w:rPr>
        <w:t>Regulatory</w:t>
      </w:r>
      <w:r>
        <w:rPr>
          <w:spacing w:val="-6"/>
          <w:sz w:val="18"/>
        </w:rPr>
        <w:t> </w:t>
      </w:r>
      <w:r>
        <w:rPr>
          <w:sz w:val="18"/>
        </w:rPr>
        <w:t>Reform</w:t>
      </w:r>
      <w:r>
        <w:rPr>
          <w:spacing w:val="-7"/>
          <w:sz w:val="18"/>
        </w:rPr>
        <w:t> </w:t>
      </w:r>
      <w:r>
        <w:rPr>
          <w:sz w:val="18"/>
        </w:rPr>
        <w:t>Update</w:t>
      </w:r>
      <w:r>
        <w:rPr>
          <w:spacing w:val="-7"/>
          <w:sz w:val="18"/>
        </w:rPr>
        <w:t> </w:t>
      </w:r>
      <w:r>
        <w:rPr>
          <w:sz w:val="18"/>
        </w:rPr>
        <w:t>–</w:t>
      </w:r>
      <w:r>
        <w:rPr>
          <w:spacing w:val="-7"/>
          <w:sz w:val="18"/>
        </w:rPr>
        <w:t> </w:t>
      </w:r>
      <w:r>
        <w:rPr>
          <w:sz w:val="18"/>
        </w:rPr>
        <w:t>Kemi</w:t>
      </w:r>
      <w:r>
        <w:rPr>
          <w:spacing w:val="-8"/>
          <w:sz w:val="18"/>
        </w:rPr>
        <w:t> </w:t>
      </w:r>
      <w:r>
        <w:rPr>
          <w:sz w:val="18"/>
        </w:rPr>
        <w:t>Badenoch</w:t>
      </w:r>
      <w:r>
        <w:rPr>
          <w:spacing w:val="-7"/>
          <w:sz w:val="18"/>
        </w:rPr>
        <w:t> </w:t>
      </w:r>
      <w:r>
        <w:rPr>
          <w:sz w:val="18"/>
        </w:rPr>
        <w:t>–</w:t>
      </w:r>
      <w:r>
        <w:rPr>
          <w:spacing w:val="-8"/>
          <w:sz w:val="18"/>
        </w:rPr>
        <w:t> </w:t>
      </w:r>
      <w:r>
        <w:rPr>
          <w:sz w:val="18"/>
        </w:rPr>
        <w:t>UIN</w:t>
      </w:r>
      <w:r>
        <w:rPr>
          <w:spacing w:val="-6"/>
          <w:sz w:val="18"/>
        </w:rPr>
        <w:t> </w:t>
      </w:r>
      <w:r>
        <w:rPr>
          <w:sz w:val="18"/>
        </w:rPr>
        <w:t>HCWS764’,</w:t>
      </w:r>
      <w:r>
        <w:rPr>
          <w:spacing w:val="-7"/>
          <w:sz w:val="18"/>
        </w:rPr>
        <w:t> </w:t>
      </w:r>
      <w:r>
        <w:rPr>
          <w:sz w:val="18"/>
        </w:rPr>
        <w:t>10</w:t>
      </w:r>
      <w:r>
        <w:rPr>
          <w:spacing w:val="-7"/>
          <w:sz w:val="18"/>
        </w:rPr>
        <w:t> </w:t>
      </w:r>
      <w:r>
        <w:rPr>
          <w:sz w:val="18"/>
        </w:rPr>
        <w:t>May</w:t>
      </w:r>
      <w:r>
        <w:rPr>
          <w:spacing w:val="-6"/>
          <w:sz w:val="18"/>
        </w:rPr>
        <w:t> </w:t>
      </w:r>
      <w:r>
        <w:rPr>
          <w:spacing w:val="-2"/>
          <w:sz w:val="18"/>
        </w:rPr>
        <w:t>2023.</w:t>
      </w:r>
    </w:p>
    <w:p>
      <w:pPr>
        <w:spacing w:after="0" w:line="218" w:lineRule="exact"/>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pPr>
      <w:r>
        <w:rPr/>
        <w:t>of retained EU interpretive effects. We therefore expect it may be necessary to</w:t>
      </w:r>
      <w:r>
        <w:rPr>
          <w:spacing w:val="-7"/>
        </w:rPr>
        <w:t> </w:t>
      </w:r>
      <w:r>
        <w:rPr/>
        <w:t>use</w:t>
      </w:r>
      <w:r>
        <w:rPr>
          <w:spacing w:val="-7"/>
        </w:rPr>
        <w:t> </w:t>
      </w:r>
      <w:r>
        <w:rPr/>
        <w:t>Bill</w:t>
      </w:r>
      <w:r>
        <w:rPr>
          <w:spacing w:val="-7"/>
        </w:rPr>
        <w:t> </w:t>
      </w:r>
      <w:r>
        <w:rPr/>
        <w:t>powers</w:t>
      </w:r>
      <w:r>
        <w:rPr>
          <w:spacing w:val="-7"/>
        </w:rPr>
        <w:t> </w:t>
      </w:r>
      <w:r>
        <w:rPr/>
        <w:t>to</w:t>
      </w:r>
      <w:r>
        <w:rPr>
          <w:spacing w:val="-7"/>
        </w:rPr>
        <w:t> </w:t>
      </w:r>
      <w:r>
        <w:rPr/>
        <w:t>restate</w:t>
      </w:r>
      <w:r>
        <w:rPr>
          <w:spacing w:val="-7"/>
        </w:rPr>
        <w:t> </w:t>
      </w:r>
      <w:r>
        <w:rPr/>
        <w:t>the</w:t>
      </w:r>
      <w:r>
        <w:rPr>
          <w:spacing w:val="-7"/>
        </w:rPr>
        <w:t> </w:t>
      </w:r>
      <w:r>
        <w:rPr/>
        <w:t>relatively</w:t>
      </w:r>
      <w:r>
        <w:rPr>
          <w:spacing w:val="-7"/>
        </w:rPr>
        <w:t> </w:t>
      </w:r>
      <w:r>
        <w:rPr/>
        <w:t>small</w:t>
      </w:r>
      <w:r>
        <w:rPr>
          <w:spacing w:val="-7"/>
        </w:rPr>
        <w:t> </w:t>
      </w:r>
      <w:r>
        <w:rPr/>
        <w:t>number</w:t>
      </w:r>
      <w:r>
        <w:rPr>
          <w:spacing w:val="-7"/>
        </w:rPr>
        <w:t> </w:t>
      </w:r>
      <w:r>
        <w:rPr/>
        <w:t>of</w:t>
      </w:r>
      <w:r>
        <w:rPr>
          <w:spacing w:val="-7"/>
        </w:rPr>
        <w:t> </w:t>
      </w:r>
      <w:r>
        <w:rPr/>
        <w:t>instruments</w:t>
      </w:r>
      <w:r>
        <w:rPr>
          <w:spacing w:val="-7"/>
        </w:rPr>
        <w:t> </w:t>
      </w:r>
      <w:r>
        <w:rPr/>
        <w:t>within Article 2 to codify any required effects”.</w:t>
      </w:r>
      <w:r>
        <w:rPr>
          <w:vertAlign w:val="superscript"/>
        </w:rPr>
        <w:t>78</w:t>
      </w:r>
    </w:p>
    <w:p>
      <w:pPr>
        <w:pStyle w:val="ListParagraph"/>
        <w:numPr>
          <w:ilvl w:val="1"/>
          <w:numId w:val="5"/>
        </w:numPr>
        <w:tabs>
          <w:tab w:pos="1853" w:val="left" w:leader="none"/>
        </w:tabs>
        <w:spacing w:line="225" w:lineRule="auto" w:before="317" w:after="0"/>
        <w:ind w:left="1853" w:right="1136" w:hanging="720"/>
        <w:jc w:val="left"/>
        <w:rPr>
          <w:sz w:val="28"/>
        </w:rPr>
      </w:pPr>
      <w:r>
        <w:rPr>
          <w:sz w:val="28"/>
        </w:rPr>
        <w:t>In the subsequent exchange of letters between the House of Lords Sub- Committee on the Ireland/NI Protocol and the Minister for Industry and Economic</w:t>
      </w:r>
      <w:r>
        <w:rPr>
          <w:spacing w:val="-2"/>
          <w:sz w:val="28"/>
        </w:rPr>
        <w:t> </w:t>
      </w:r>
      <w:r>
        <w:rPr>
          <w:sz w:val="28"/>
        </w:rPr>
        <w:t>Security,</w:t>
      </w:r>
      <w:r>
        <w:rPr>
          <w:sz w:val="28"/>
          <w:vertAlign w:val="superscript"/>
        </w:rPr>
        <w:t>79</w:t>
      </w:r>
      <w:r>
        <w:rPr>
          <w:spacing w:val="-3"/>
          <w:sz w:val="28"/>
          <w:vertAlign w:val="baseline"/>
        </w:rPr>
        <w:t> </w:t>
      </w:r>
      <w:r>
        <w:rPr>
          <w:sz w:val="28"/>
          <w:vertAlign w:val="baseline"/>
        </w:rPr>
        <w:t>the</w:t>
      </w:r>
      <w:r>
        <w:rPr>
          <w:spacing w:val="-2"/>
          <w:sz w:val="28"/>
          <w:vertAlign w:val="baseline"/>
        </w:rPr>
        <w:t> </w:t>
      </w:r>
      <w:r>
        <w:rPr>
          <w:sz w:val="28"/>
          <w:vertAlign w:val="baseline"/>
        </w:rPr>
        <w:t>Sub-Committee</w:t>
      </w:r>
      <w:r>
        <w:rPr>
          <w:spacing w:val="-2"/>
          <w:sz w:val="28"/>
          <w:vertAlign w:val="baseline"/>
        </w:rPr>
        <w:t> </w:t>
      </w:r>
      <w:r>
        <w:rPr>
          <w:sz w:val="28"/>
          <w:vertAlign w:val="baseline"/>
        </w:rPr>
        <w:t>raised</w:t>
      </w:r>
      <w:r>
        <w:rPr>
          <w:spacing w:val="-3"/>
          <w:sz w:val="28"/>
          <w:vertAlign w:val="baseline"/>
        </w:rPr>
        <w:t> </w:t>
      </w:r>
      <w:r>
        <w:rPr>
          <w:sz w:val="28"/>
          <w:vertAlign w:val="baseline"/>
        </w:rPr>
        <w:t>some</w:t>
      </w:r>
      <w:r>
        <w:rPr>
          <w:spacing w:val="-2"/>
          <w:sz w:val="28"/>
          <w:vertAlign w:val="baseline"/>
        </w:rPr>
        <w:t> </w:t>
      </w:r>
      <w:r>
        <w:rPr>
          <w:sz w:val="28"/>
          <w:vertAlign w:val="baseline"/>
        </w:rPr>
        <w:t>concerns</w:t>
      </w:r>
      <w:r>
        <w:rPr>
          <w:spacing w:val="-3"/>
          <w:sz w:val="28"/>
          <w:vertAlign w:val="baseline"/>
        </w:rPr>
        <w:t> </w:t>
      </w:r>
      <w:r>
        <w:rPr>
          <w:sz w:val="28"/>
          <w:vertAlign w:val="baseline"/>
        </w:rPr>
        <w:t>about</w:t>
      </w:r>
      <w:r>
        <w:rPr>
          <w:spacing w:val="-2"/>
          <w:sz w:val="28"/>
          <w:vertAlign w:val="baseline"/>
        </w:rPr>
        <w:t> </w:t>
      </w:r>
      <w:r>
        <w:rPr>
          <w:sz w:val="28"/>
          <w:vertAlign w:val="baseline"/>
        </w:rPr>
        <w:t>the</w:t>
      </w:r>
      <w:r>
        <w:rPr>
          <w:spacing w:val="-2"/>
          <w:sz w:val="28"/>
          <w:vertAlign w:val="baseline"/>
        </w:rPr>
        <w:t> </w:t>
      </w:r>
      <w:r>
        <w:rPr>
          <w:sz w:val="28"/>
          <w:vertAlign w:val="baseline"/>
        </w:rPr>
        <w:t>risks inherent in this approach and pressed the Minister for further clarification on why the UK Government did not amend the Retained EU Law (Revocation and Reform) Act 2023 to signpost that a distinct interpretive approach is required under sections 7A and 7C of the EU Withdrawal Act 2018.</w:t>
      </w:r>
      <w:r>
        <w:rPr>
          <w:spacing w:val="40"/>
          <w:sz w:val="28"/>
          <w:vertAlign w:val="baseline"/>
        </w:rPr>
        <w:t> </w:t>
      </w:r>
      <w:r>
        <w:rPr>
          <w:sz w:val="28"/>
          <w:vertAlign w:val="baseline"/>
        </w:rPr>
        <w:t>The Committee expressed further concerns about the complex and time-consuming process and the risk of incomplete, inaccurate or out-of-date codification.</w:t>
      </w:r>
      <w:r>
        <w:rPr>
          <w:sz w:val="28"/>
          <w:vertAlign w:val="superscript"/>
        </w:rPr>
        <w:t>80</w:t>
      </w:r>
      <w:r>
        <w:rPr>
          <w:sz w:val="28"/>
          <w:vertAlign w:val="baseline"/>
        </w:rPr>
        <w:t> The Committee</w:t>
      </w:r>
      <w:r>
        <w:rPr>
          <w:spacing w:val="-7"/>
          <w:sz w:val="28"/>
          <w:vertAlign w:val="baseline"/>
        </w:rPr>
        <w:t> </w:t>
      </w:r>
      <w:r>
        <w:rPr>
          <w:sz w:val="28"/>
          <w:vertAlign w:val="baseline"/>
        </w:rPr>
        <w:t>also</w:t>
      </w:r>
      <w:r>
        <w:rPr>
          <w:spacing w:val="-7"/>
          <w:sz w:val="28"/>
          <w:vertAlign w:val="baseline"/>
        </w:rPr>
        <w:t> </w:t>
      </w:r>
      <w:r>
        <w:rPr>
          <w:sz w:val="28"/>
          <w:vertAlign w:val="baseline"/>
        </w:rPr>
        <w:t>asked</w:t>
      </w:r>
      <w:r>
        <w:rPr>
          <w:spacing w:val="-7"/>
          <w:sz w:val="28"/>
          <w:vertAlign w:val="baseline"/>
        </w:rPr>
        <w:t> </w:t>
      </w:r>
      <w:r>
        <w:rPr>
          <w:sz w:val="28"/>
          <w:vertAlign w:val="baseline"/>
        </w:rPr>
        <w:t>if</w:t>
      </w:r>
      <w:r>
        <w:rPr>
          <w:spacing w:val="-8"/>
          <w:sz w:val="28"/>
          <w:vertAlign w:val="baseline"/>
        </w:rPr>
        <w:t> </w:t>
      </w:r>
      <w:r>
        <w:rPr>
          <w:sz w:val="28"/>
          <w:vertAlign w:val="baseline"/>
        </w:rPr>
        <w:t>the</w:t>
      </w:r>
      <w:r>
        <w:rPr>
          <w:spacing w:val="-7"/>
          <w:sz w:val="28"/>
          <w:vertAlign w:val="baseline"/>
        </w:rPr>
        <w:t> </w:t>
      </w:r>
      <w:r>
        <w:rPr>
          <w:sz w:val="28"/>
          <w:vertAlign w:val="baseline"/>
        </w:rPr>
        <w:t>UK</w:t>
      </w:r>
      <w:r>
        <w:rPr>
          <w:spacing w:val="-7"/>
          <w:sz w:val="28"/>
          <w:vertAlign w:val="baseline"/>
        </w:rPr>
        <w:t> </w:t>
      </w:r>
      <w:r>
        <w:rPr>
          <w:sz w:val="28"/>
          <w:vertAlign w:val="baseline"/>
        </w:rPr>
        <w:t>Government</w:t>
      </w:r>
      <w:r>
        <w:rPr>
          <w:spacing w:val="-7"/>
          <w:sz w:val="28"/>
          <w:vertAlign w:val="baseline"/>
        </w:rPr>
        <w:t> </w:t>
      </w:r>
      <w:r>
        <w:rPr>
          <w:sz w:val="28"/>
          <w:vertAlign w:val="baseline"/>
        </w:rPr>
        <w:t>had</w:t>
      </w:r>
      <w:r>
        <w:rPr>
          <w:spacing w:val="-7"/>
          <w:sz w:val="28"/>
          <w:vertAlign w:val="baseline"/>
        </w:rPr>
        <w:t> </w:t>
      </w:r>
      <w:r>
        <w:rPr>
          <w:sz w:val="28"/>
          <w:vertAlign w:val="baseline"/>
        </w:rPr>
        <w:t>considered</w:t>
      </w:r>
      <w:r>
        <w:rPr>
          <w:spacing w:val="-7"/>
          <w:sz w:val="28"/>
          <w:vertAlign w:val="baseline"/>
        </w:rPr>
        <w:t> </w:t>
      </w:r>
      <w:r>
        <w:rPr>
          <w:sz w:val="28"/>
          <w:vertAlign w:val="baseline"/>
        </w:rPr>
        <w:t>the</w:t>
      </w:r>
      <w:r>
        <w:rPr>
          <w:spacing w:val="-7"/>
          <w:sz w:val="28"/>
          <w:vertAlign w:val="baseline"/>
        </w:rPr>
        <w:t> </w:t>
      </w:r>
      <w:r>
        <w:rPr>
          <w:sz w:val="28"/>
          <w:vertAlign w:val="baseline"/>
        </w:rPr>
        <w:t>Commissions’ working paper on the scope of Windsor Framework Article 2.</w:t>
      </w:r>
    </w:p>
    <w:p>
      <w:pPr>
        <w:pStyle w:val="ListParagraph"/>
        <w:numPr>
          <w:ilvl w:val="1"/>
          <w:numId w:val="5"/>
        </w:numPr>
        <w:tabs>
          <w:tab w:pos="1853" w:val="left" w:leader="none"/>
        </w:tabs>
        <w:spacing w:line="225" w:lineRule="auto" w:before="305" w:after="0"/>
        <w:ind w:left="1853" w:right="1424" w:hanging="720"/>
        <w:jc w:val="left"/>
        <w:rPr>
          <w:sz w:val="28"/>
        </w:rPr>
      </w:pPr>
      <w:r>
        <w:rPr>
          <w:sz w:val="28"/>
        </w:rPr>
        <w:t>The Minister’s reply stated that the EU (Withdrawal) Act 2018, as amended by the Retained EU Law (Revocation and Reform) Act 2023, is sufficiently clear</w:t>
      </w:r>
      <w:r>
        <w:rPr>
          <w:spacing w:val="-6"/>
          <w:sz w:val="28"/>
        </w:rPr>
        <w:t> </w:t>
      </w:r>
      <w:r>
        <w:rPr>
          <w:sz w:val="28"/>
        </w:rPr>
        <w:t>that</w:t>
      </w:r>
      <w:r>
        <w:rPr>
          <w:spacing w:val="-6"/>
          <w:sz w:val="28"/>
        </w:rPr>
        <w:t> </w:t>
      </w:r>
      <w:r>
        <w:rPr>
          <w:sz w:val="28"/>
        </w:rPr>
        <w:t>the</w:t>
      </w:r>
      <w:r>
        <w:rPr>
          <w:spacing w:val="-6"/>
          <w:sz w:val="28"/>
        </w:rPr>
        <w:t> </w:t>
      </w:r>
      <w:r>
        <w:rPr>
          <w:sz w:val="28"/>
        </w:rPr>
        <w:t>loss</w:t>
      </w:r>
      <w:r>
        <w:rPr>
          <w:spacing w:val="-6"/>
          <w:sz w:val="28"/>
        </w:rPr>
        <w:t> </w:t>
      </w:r>
      <w:r>
        <w:rPr>
          <w:sz w:val="28"/>
        </w:rPr>
        <w:t>of</w:t>
      </w:r>
      <w:r>
        <w:rPr>
          <w:spacing w:val="-6"/>
          <w:sz w:val="28"/>
        </w:rPr>
        <w:t> </w:t>
      </w:r>
      <w:r>
        <w:rPr>
          <w:sz w:val="28"/>
        </w:rPr>
        <w:t>EU</w:t>
      </w:r>
      <w:r>
        <w:rPr>
          <w:spacing w:val="-6"/>
          <w:sz w:val="28"/>
        </w:rPr>
        <w:t> </w:t>
      </w:r>
      <w:r>
        <w:rPr>
          <w:sz w:val="28"/>
        </w:rPr>
        <w:t>interpretive</w:t>
      </w:r>
      <w:r>
        <w:rPr>
          <w:spacing w:val="-6"/>
          <w:sz w:val="28"/>
        </w:rPr>
        <w:t> </w:t>
      </w:r>
      <w:r>
        <w:rPr>
          <w:sz w:val="28"/>
        </w:rPr>
        <w:t>effects</w:t>
      </w:r>
      <w:r>
        <w:rPr>
          <w:spacing w:val="-6"/>
          <w:sz w:val="28"/>
        </w:rPr>
        <w:t> </w:t>
      </w:r>
      <w:r>
        <w:rPr>
          <w:sz w:val="28"/>
        </w:rPr>
        <w:t>is</w:t>
      </w:r>
      <w:r>
        <w:rPr>
          <w:spacing w:val="-6"/>
          <w:sz w:val="28"/>
        </w:rPr>
        <w:t> </w:t>
      </w:r>
      <w:r>
        <w:rPr>
          <w:sz w:val="28"/>
        </w:rPr>
        <w:t>subject</w:t>
      </w:r>
      <w:r>
        <w:rPr>
          <w:spacing w:val="-6"/>
          <w:sz w:val="28"/>
        </w:rPr>
        <w:t> </w:t>
      </w:r>
      <w:r>
        <w:rPr>
          <w:sz w:val="28"/>
        </w:rPr>
        <w:t>to</w:t>
      </w:r>
      <w:r>
        <w:rPr>
          <w:spacing w:val="-6"/>
          <w:sz w:val="28"/>
        </w:rPr>
        <w:t> </w:t>
      </w:r>
      <w:r>
        <w:rPr>
          <w:sz w:val="28"/>
        </w:rPr>
        <w:t>relevant</w:t>
      </w:r>
      <w:r>
        <w:rPr>
          <w:spacing w:val="-6"/>
          <w:sz w:val="28"/>
        </w:rPr>
        <w:t> </w:t>
      </w:r>
      <w:r>
        <w:rPr>
          <w:sz w:val="28"/>
        </w:rPr>
        <w:t>separation agreement law and no further legislative signpost was required.</w:t>
      </w:r>
      <w:r>
        <w:rPr>
          <w:sz w:val="28"/>
          <w:vertAlign w:val="superscript"/>
        </w:rPr>
        <w:t>81</w:t>
      </w:r>
      <w:r>
        <w:rPr>
          <w:spacing w:val="40"/>
          <w:sz w:val="28"/>
          <w:vertAlign w:val="baseline"/>
        </w:rPr>
        <w:t> </w:t>
      </w:r>
      <w:r>
        <w:rPr>
          <w:sz w:val="28"/>
          <w:vertAlign w:val="baseline"/>
        </w:rPr>
        <w:t>On codifying the interpretive effects of EU law on a case-by-case basis, the Minister stated that it would “provide legal certainty and clarity in areas of retained</w:t>
      </w:r>
      <w:r>
        <w:rPr>
          <w:spacing w:val="-7"/>
          <w:sz w:val="28"/>
          <w:vertAlign w:val="baseline"/>
        </w:rPr>
        <w:t> </w:t>
      </w:r>
      <w:r>
        <w:rPr>
          <w:sz w:val="28"/>
          <w:vertAlign w:val="baseline"/>
        </w:rPr>
        <w:t>EU</w:t>
      </w:r>
      <w:r>
        <w:rPr>
          <w:spacing w:val="-6"/>
          <w:sz w:val="28"/>
          <w:vertAlign w:val="baseline"/>
        </w:rPr>
        <w:t> </w:t>
      </w:r>
      <w:r>
        <w:rPr>
          <w:sz w:val="28"/>
          <w:vertAlign w:val="baseline"/>
        </w:rPr>
        <w:t>law</w:t>
      </w:r>
      <w:r>
        <w:rPr>
          <w:spacing w:val="-6"/>
          <w:sz w:val="28"/>
          <w:vertAlign w:val="baseline"/>
        </w:rPr>
        <w:t> </w:t>
      </w:r>
      <w:r>
        <w:rPr>
          <w:sz w:val="28"/>
          <w:vertAlign w:val="baseline"/>
        </w:rPr>
        <w:t>…</w:t>
      </w:r>
      <w:r>
        <w:rPr>
          <w:spacing w:val="-7"/>
          <w:sz w:val="28"/>
          <w:vertAlign w:val="baseline"/>
        </w:rPr>
        <w:t> </w:t>
      </w:r>
      <w:r>
        <w:rPr>
          <w:sz w:val="28"/>
          <w:vertAlign w:val="baseline"/>
        </w:rPr>
        <w:t>by</w:t>
      </w:r>
      <w:r>
        <w:rPr>
          <w:spacing w:val="-6"/>
          <w:sz w:val="28"/>
          <w:vertAlign w:val="baseline"/>
        </w:rPr>
        <w:t> </w:t>
      </w:r>
      <w:r>
        <w:rPr>
          <w:sz w:val="28"/>
          <w:vertAlign w:val="baseline"/>
        </w:rPr>
        <w:t>consolidating,</w:t>
      </w:r>
      <w:r>
        <w:rPr>
          <w:spacing w:val="-6"/>
          <w:sz w:val="28"/>
          <w:vertAlign w:val="baseline"/>
        </w:rPr>
        <w:t> </w:t>
      </w:r>
      <w:r>
        <w:rPr>
          <w:sz w:val="28"/>
          <w:vertAlign w:val="baseline"/>
        </w:rPr>
        <w:t>codifying</w:t>
      </w:r>
      <w:r>
        <w:rPr>
          <w:spacing w:val="-6"/>
          <w:sz w:val="28"/>
          <w:vertAlign w:val="baseline"/>
        </w:rPr>
        <w:t> </w:t>
      </w:r>
      <w:r>
        <w:rPr>
          <w:sz w:val="28"/>
          <w:vertAlign w:val="baseline"/>
        </w:rPr>
        <w:t>and</w:t>
      </w:r>
      <w:r>
        <w:rPr>
          <w:spacing w:val="-7"/>
          <w:sz w:val="28"/>
          <w:vertAlign w:val="baseline"/>
        </w:rPr>
        <w:t> </w:t>
      </w:r>
      <w:r>
        <w:rPr>
          <w:sz w:val="28"/>
          <w:vertAlign w:val="baseline"/>
        </w:rPr>
        <w:t>reproducing</w:t>
      </w:r>
      <w:r>
        <w:rPr>
          <w:spacing w:val="-6"/>
          <w:sz w:val="28"/>
          <w:vertAlign w:val="baseline"/>
        </w:rPr>
        <w:t> </w:t>
      </w:r>
      <w:r>
        <w:rPr>
          <w:sz w:val="28"/>
          <w:vertAlign w:val="baseline"/>
        </w:rPr>
        <w:t>more</w:t>
      </w:r>
      <w:r>
        <w:rPr>
          <w:spacing w:val="-6"/>
          <w:sz w:val="28"/>
          <w:vertAlign w:val="baseline"/>
        </w:rPr>
        <w:t> </w:t>
      </w:r>
      <w:r>
        <w:rPr>
          <w:sz w:val="28"/>
          <w:vertAlign w:val="baseline"/>
        </w:rPr>
        <w:t>clearly] specific effects resulting from EU principles of interpretation”.</w:t>
      </w:r>
      <w:r>
        <w:rPr>
          <w:sz w:val="28"/>
          <w:vertAlign w:val="superscript"/>
        </w:rPr>
        <w:t>82</w:t>
      </w:r>
    </w:p>
    <w:p>
      <w:pPr>
        <w:pStyle w:val="ListParagraph"/>
        <w:numPr>
          <w:ilvl w:val="1"/>
          <w:numId w:val="5"/>
        </w:numPr>
        <w:tabs>
          <w:tab w:pos="1853" w:val="left" w:leader="none"/>
        </w:tabs>
        <w:spacing w:line="225" w:lineRule="auto" w:before="310" w:after="0"/>
        <w:ind w:left="1853" w:right="1299" w:hanging="720"/>
        <w:jc w:val="left"/>
        <w:rPr>
          <w:sz w:val="28"/>
        </w:rPr>
      </w:pPr>
      <w:r>
        <w:rPr>
          <w:sz w:val="28"/>
        </w:rPr>
        <w:t>The</w:t>
      </w:r>
      <w:r>
        <w:rPr>
          <w:spacing w:val="-8"/>
          <w:sz w:val="28"/>
        </w:rPr>
        <w:t> </w:t>
      </w:r>
      <w:r>
        <w:rPr>
          <w:sz w:val="28"/>
        </w:rPr>
        <w:t>Sub-Committee</w:t>
      </w:r>
      <w:r>
        <w:rPr>
          <w:spacing w:val="-8"/>
          <w:sz w:val="28"/>
        </w:rPr>
        <w:t> </w:t>
      </w:r>
      <w:r>
        <w:rPr>
          <w:sz w:val="28"/>
        </w:rPr>
        <w:t>pressed</w:t>
      </w:r>
      <w:r>
        <w:rPr>
          <w:spacing w:val="-9"/>
          <w:sz w:val="28"/>
        </w:rPr>
        <w:t> </w:t>
      </w:r>
      <w:r>
        <w:rPr>
          <w:sz w:val="28"/>
        </w:rPr>
        <w:t>the</w:t>
      </w:r>
      <w:r>
        <w:rPr>
          <w:spacing w:val="-8"/>
          <w:sz w:val="28"/>
        </w:rPr>
        <w:t> </w:t>
      </w:r>
      <w:r>
        <w:rPr>
          <w:sz w:val="28"/>
        </w:rPr>
        <w:t>Minister</w:t>
      </w:r>
      <w:r>
        <w:rPr>
          <w:spacing w:val="-8"/>
          <w:sz w:val="28"/>
        </w:rPr>
        <w:t> </w:t>
      </w:r>
      <w:r>
        <w:rPr>
          <w:sz w:val="28"/>
        </w:rPr>
        <w:t>on</w:t>
      </w:r>
      <w:r>
        <w:rPr>
          <w:spacing w:val="-9"/>
          <w:sz w:val="28"/>
        </w:rPr>
        <w:t> </w:t>
      </w:r>
      <w:r>
        <w:rPr>
          <w:sz w:val="28"/>
        </w:rPr>
        <w:t>whether</w:t>
      </w:r>
      <w:r>
        <w:rPr>
          <w:spacing w:val="-8"/>
          <w:sz w:val="28"/>
        </w:rPr>
        <w:t> </w:t>
      </w:r>
      <w:r>
        <w:rPr>
          <w:sz w:val="28"/>
        </w:rPr>
        <w:t>the</w:t>
      </w:r>
      <w:r>
        <w:rPr>
          <w:spacing w:val="-8"/>
          <w:sz w:val="28"/>
        </w:rPr>
        <w:t> </w:t>
      </w:r>
      <w:r>
        <w:rPr>
          <w:sz w:val="28"/>
        </w:rPr>
        <w:t>Government</w:t>
      </w:r>
      <w:r>
        <w:rPr>
          <w:spacing w:val="-8"/>
          <w:sz w:val="28"/>
        </w:rPr>
        <w:t> </w:t>
      </w:r>
      <w:r>
        <w:rPr>
          <w:sz w:val="28"/>
        </w:rPr>
        <w:t>would publish guidance on the methodology, scope and approach to be taken to the codification of interpretative effects and also on how the Government could be assured that codification will provide legal certainty when the list</w:t>
      </w:r>
    </w:p>
    <w:p>
      <w:pPr>
        <w:pStyle w:val="BodyText"/>
        <w:spacing w:line="225" w:lineRule="auto"/>
        <w:ind w:left="1853" w:right="1171"/>
      </w:pPr>
      <w:r>
        <w:rPr/>
        <w:t>of</w:t>
      </w:r>
      <w:r>
        <w:rPr>
          <w:spacing w:val="-5"/>
        </w:rPr>
        <w:t> </w:t>
      </w:r>
      <w:r>
        <w:rPr/>
        <w:t>measures</w:t>
      </w:r>
      <w:r>
        <w:rPr>
          <w:spacing w:val="-5"/>
        </w:rPr>
        <w:t> </w:t>
      </w:r>
      <w:r>
        <w:rPr/>
        <w:t>within</w:t>
      </w:r>
      <w:r>
        <w:rPr>
          <w:spacing w:val="-5"/>
        </w:rPr>
        <w:t> </w:t>
      </w:r>
      <w:r>
        <w:rPr/>
        <w:t>the</w:t>
      </w:r>
      <w:r>
        <w:rPr>
          <w:spacing w:val="-4"/>
        </w:rPr>
        <w:t> </w:t>
      </w:r>
      <w:r>
        <w:rPr/>
        <w:t>scope</w:t>
      </w:r>
      <w:r>
        <w:rPr>
          <w:spacing w:val="-4"/>
        </w:rPr>
        <w:t> </w:t>
      </w:r>
      <w:r>
        <w:rPr/>
        <w:t>of</w:t>
      </w:r>
      <w:r>
        <w:rPr>
          <w:spacing w:val="-5"/>
        </w:rPr>
        <w:t> </w:t>
      </w:r>
      <w:r>
        <w:rPr/>
        <w:t>Windsor</w:t>
      </w:r>
      <w:r>
        <w:rPr>
          <w:spacing w:val="-4"/>
        </w:rPr>
        <w:t> </w:t>
      </w:r>
      <w:r>
        <w:rPr/>
        <w:t>Framework</w:t>
      </w:r>
      <w:r>
        <w:rPr>
          <w:spacing w:val="-4"/>
        </w:rPr>
        <w:t> </w:t>
      </w:r>
      <w:r>
        <w:rPr/>
        <w:t>Article</w:t>
      </w:r>
      <w:r>
        <w:rPr>
          <w:spacing w:val="-4"/>
        </w:rPr>
        <w:t> </w:t>
      </w:r>
      <w:r>
        <w:rPr/>
        <w:t>2</w:t>
      </w:r>
      <w:r>
        <w:rPr>
          <w:spacing w:val="-4"/>
        </w:rPr>
        <w:t> </w:t>
      </w:r>
      <w:r>
        <w:rPr/>
        <w:t>has</w:t>
      </w:r>
      <w:r>
        <w:rPr>
          <w:spacing w:val="-5"/>
        </w:rPr>
        <w:t> </w:t>
      </w:r>
      <w:r>
        <w:rPr/>
        <w:t>not</w:t>
      </w:r>
      <w:r>
        <w:rPr>
          <w:spacing w:val="-4"/>
        </w:rPr>
        <w:t> </w:t>
      </w:r>
      <w:r>
        <w:rPr/>
        <w:t>been identified and in light of anticipated court rulings over coming years.</w:t>
      </w:r>
      <w:r>
        <w:rPr>
          <w:vertAlign w:val="superscript"/>
        </w:rPr>
        <w:t>83</w:t>
      </w:r>
    </w:p>
    <w:p>
      <w:pPr>
        <w:pStyle w:val="BodyText"/>
        <w:spacing w:before="7"/>
        <w:rPr>
          <w:sz w:val="18"/>
        </w:rPr>
      </w:pPr>
      <w:r>
        <w:rPr/>
        <mc:AlternateContent>
          <mc:Choice Requires="wps">
            <w:drawing>
              <wp:anchor distT="0" distB="0" distL="0" distR="0" allowOverlap="1" layoutInCell="1" locked="0" behindDoc="1" simplePos="0" relativeHeight="487631872">
                <wp:simplePos x="0" y="0"/>
                <wp:positionH relativeFrom="page">
                  <wp:posOffset>719996</wp:posOffset>
                </wp:positionH>
                <wp:positionV relativeFrom="paragraph">
                  <wp:posOffset>159538</wp:posOffset>
                </wp:positionV>
                <wp:extent cx="6120130" cy="1270"/>
                <wp:effectExtent l="0" t="0" r="0" b="0"/>
                <wp:wrapTopAndBottom/>
                <wp:docPr id="150" name="Graphic 150"/>
                <wp:cNvGraphicFramePr>
                  <a:graphicFrameLocks/>
                </wp:cNvGraphicFramePr>
                <a:graphic>
                  <a:graphicData uri="http://schemas.microsoft.com/office/word/2010/wordprocessingShape">
                    <wps:wsp>
                      <wps:cNvPr id="150" name="Graphic 150"/>
                      <wps:cNvSpPr/>
                      <wps:spPr>
                        <a:xfrm>
                          <a:off x="0" y="0"/>
                          <a:ext cx="6120130" cy="1270"/>
                        </a:xfrm>
                        <a:custGeom>
                          <a:avLst/>
                          <a:gdLst/>
                          <a:ahLst/>
                          <a:cxnLst/>
                          <a:rect l="l" t="t" r="r" b="b"/>
                          <a:pathLst>
                            <a:path w="6120130" h="0">
                              <a:moveTo>
                                <a:pt x="6120003" y="0"/>
                              </a:moveTo>
                              <a:lnTo>
                                <a:pt x="0"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2.562069pt;width:481.9pt;height:.1pt;mso-position-horizontal-relative:page;mso-position-vertical-relative:paragraph;z-index:-15684608;mso-wrap-distance-left:0;mso-wrap-distance-right:0" id="docshape107" coordorigin="1134,251" coordsize="9638,0" path="m10772,251l1134,251e" filled="false" stroked="true" strokeweight="1pt" strokecolor="#393b7f">
                <v:path arrowok="t"/>
                <v:stroke dashstyle="solid"/>
                <w10:wrap type="topAndBottom"/>
              </v:shape>
            </w:pict>
          </mc:Fallback>
        </mc:AlternateContent>
      </w:r>
    </w:p>
    <w:p>
      <w:pPr>
        <w:pStyle w:val="ListParagraph"/>
        <w:numPr>
          <w:ilvl w:val="0"/>
          <w:numId w:val="3"/>
        </w:numPr>
        <w:tabs>
          <w:tab w:pos="1853" w:val="left" w:leader="none"/>
        </w:tabs>
        <w:spacing w:line="235" w:lineRule="auto" w:before="117" w:after="0"/>
        <w:ind w:left="1853" w:right="1392" w:hanging="720"/>
        <w:jc w:val="left"/>
        <w:rPr>
          <w:sz w:val="18"/>
        </w:rPr>
      </w:pPr>
      <w:r>
        <w:rPr>
          <w:sz w:val="18"/>
        </w:rPr>
        <w:t>Letter</w:t>
      </w:r>
      <w:r>
        <w:rPr>
          <w:spacing w:val="-6"/>
          <w:sz w:val="18"/>
        </w:rPr>
        <w:t> </w:t>
      </w:r>
      <w:r>
        <w:rPr>
          <w:sz w:val="18"/>
        </w:rPr>
        <w:t>from</w:t>
      </w:r>
      <w:r>
        <w:rPr>
          <w:spacing w:val="-6"/>
          <w:sz w:val="18"/>
        </w:rPr>
        <w:t> </w:t>
      </w:r>
      <w:r>
        <w:rPr>
          <w:sz w:val="18"/>
        </w:rPr>
        <w:t>the</w:t>
      </w:r>
      <w:r>
        <w:rPr>
          <w:spacing w:val="-6"/>
          <w:sz w:val="18"/>
        </w:rPr>
        <w:t> </w:t>
      </w:r>
      <w:r>
        <w:rPr>
          <w:sz w:val="18"/>
        </w:rPr>
        <w:t>Secretary</w:t>
      </w:r>
      <w:r>
        <w:rPr>
          <w:spacing w:val="-6"/>
          <w:sz w:val="18"/>
        </w:rPr>
        <w:t> </w:t>
      </w:r>
      <w:r>
        <w:rPr>
          <w:sz w:val="18"/>
        </w:rPr>
        <w:t>of</w:t>
      </w:r>
      <w:r>
        <w:rPr>
          <w:spacing w:val="-6"/>
          <w:sz w:val="18"/>
        </w:rPr>
        <w:t> </w:t>
      </w:r>
      <w:r>
        <w:rPr>
          <w:sz w:val="18"/>
        </w:rPr>
        <w:t>State</w:t>
      </w:r>
      <w:r>
        <w:rPr>
          <w:spacing w:val="-6"/>
          <w:sz w:val="18"/>
        </w:rPr>
        <w:t> </w:t>
      </w:r>
      <w:r>
        <w:rPr>
          <w:sz w:val="18"/>
        </w:rPr>
        <w:t>for</w:t>
      </w:r>
      <w:r>
        <w:rPr>
          <w:spacing w:val="-6"/>
          <w:sz w:val="18"/>
        </w:rPr>
        <w:t> </w:t>
      </w:r>
      <w:r>
        <w:rPr>
          <w:sz w:val="18"/>
        </w:rPr>
        <w:t>Business</w:t>
      </w:r>
      <w:r>
        <w:rPr>
          <w:spacing w:val="-6"/>
          <w:sz w:val="18"/>
        </w:rPr>
        <w:t> </w:t>
      </w:r>
      <w:r>
        <w:rPr>
          <w:sz w:val="18"/>
        </w:rPr>
        <w:t>and</w:t>
      </w:r>
      <w:r>
        <w:rPr>
          <w:spacing w:val="-6"/>
          <w:sz w:val="18"/>
        </w:rPr>
        <w:t> </w:t>
      </w:r>
      <w:r>
        <w:rPr>
          <w:sz w:val="18"/>
        </w:rPr>
        <w:t>Trade,</w:t>
      </w:r>
      <w:r>
        <w:rPr>
          <w:spacing w:val="-6"/>
          <w:sz w:val="18"/>
        </w:rPr>
        <w:t> </w:t>
      </w:r>
      <w:r>
        <w:rPr>
          <w:sz w:val="18"/>
        </w:rPr>
        <w:t>Kemi</w:t>
      </w:r>
      <w:r>
        <w:rPr>
          <w:spacing w:val="-6"/>
          <w:sz w:val="18"/>
        </w:rPr>
        <w:t> </w:t>
      </w:r>
      <w:r>
        <w:rPr>
          <w:sz w:val="18"/>
        </w:rPr>
        <w:t>Badenoch</w:t>
      </w:r>
      <w:r>
        <w:rPr>
          <w:spacing w:val="-6"/>
          <w:sz w:val="18"/>
        </w:rPr>
        <w:t> </w:t>
      </w:r>
      <w:r>
        <w:rPr>
          <w:sz w:val="18"/>
        </w:rPr>
        <w:t>MP,</w:t>
      </w:r>
      <w:r>
        <w:rPr>
          <w:spacing w:val="-6"/>
          <w:sz w:val="18"/>
        </w:rPr>
        <w:t> </w:t>
      </w:r>
      <w:r>
        <w:rPr>
          <w:sz w:val="18"/>
        </w:rPr>
        <w:t>to</w:t>
      </w:r>
      <w:r>
        <w:rPr>
          <w:spacing w:val="-6"/>
          <w:sz w:val="18"/>
        </w:rPr>
        <w:t> </w:t>
      </w:r>
      <w:r>
        <w:rPr>
          <w:sz w:val="18"/>
        </w:rPr>
        <w:t>the</w:t>
      </w:r>
      <w:r>
        <w:rPr>
          <w:spacing w:val="-6"/>
          <w:sz w:val="18"/>
        </w:rPr>
        <w:t> </w:t>
      </w:r>
      <w:r>
        <w:rPr>
          <w:sz w:val="18"/>
        </w:rPr>
        <w:t>House</w:t>
      </w:r>
      <w:r>
        <w:rPr>
          <w:spacing w:val="-6"/>
          <w:sz w:val="18"/>
        </w:rPr>
        <w:t> </w:t>
      </w:r>
      <w:r>
        <w:rPr>
          <w:sz w:val="18"/>
        </w:rPr>
        <w:t>of</w:t>
      </w:r>
      <w:r>
        <w:rPr>
          <w:spacing w:val="-6"/>
          <w:sz w:val="18"/>
        </w:rPr>
        <w:t> </w:t>
      </w:r>
      <w:r>
        <w:rPr>
          <w:sz w:val="18"/>
        </w:rPr>
        <w:t>Lords</w:t>
      </w:r>
      <w:r>
        <w:rPr>
          <w:spacing w:val="-6"/>
          <w:sz w:val="18"/>
        </w:rPr>
        <w:t> </w:t>
      </w:r>
      <w:r>
        <w:rPr>
          <w:sz w:val="18"/>
        </w:rPr>
        <w:t>Sub</w:t>
      </w:r>
      <w:r>
        <w:rPr>
          <w:spacing w:val="-6"/>
          <w:sz w:val="18"/>
        </w:rPr>
        <w:t> </w:t>
      </w:r>
      <w:r>
        <w:rPr>
          <w:sz w:val="18"/>
        </w:rPr>
        <w:t>Committee</w:t>
      </w:r>
      <w:r>
        <w:rPr>
          <w:spacing w:val="-6"/>
          <w:sz w:val="18"/>
        </w:rPr>
        <w:t> </w:t>
      </w:r>
      <w:r>
        <w:rPr>
          <w:sz w:val="18"/>
        </w:rPr>
        <w:t>on the Ireland/NI Protocol, 16 June 2023.</w:t>
      </w:r>
    </w:p>
    <w:p>
      <w:pPr>
        <w:pStyle w:val="ListParagraph"/>
        <w:numPr>
          <w:ilvl w:val="0"/>
          <w:numId w:val="3"/>
        </w:numPr>
        <w:tabs>
          <w:tab w:pos="1853" w:val="left" w:leader="none"/>
        </w:tabs>
        <w:spacing w:line="235" w:lineRule="auto" w:before="2" w:after="0"/>
        <w:ind w:left="1853" w:right="1299" w:hanging="720"/>
        <w:jc w:val="left"/>
        <w:rPr>
          <w:sz w:val="18"/>
        </w:rPr>
      </w:pPr>
      <w:r>
        <w:rPr>
          <w:sz w:val="18"/>
        </w:rPr>
        <w:t>Letter</w:t>
      </w:r>
      <w:r>
        <w:rPr>
          <w:spacing w:val="-5"/>
          <w:sz w:val="18"/>
        </w:rPr>
        <w:t> </w:t>
      </w:r>
      <w:r>
        <w:rPr>
          <w:sz w:val="18"/>
        </w:rPr>
        <w:t>from</w:t>
      </w:r>
      <w:r>
        <w:rPr>
          <w:spacing w:val="-5"/>
          <w:sz w:val="18"/>
        </w:rPr>
        <w:t> </w:t>
      </w:r>
      <w:r>
        <w:rPr>
          <w:sz w:val="18"/>
        </w:rPr>
        <w:t>the</w:t>
      </w:r>
      <w:r>
        <w:rPr>
          <w:spacing w:val="-5"/>
          <w:sz w:val="18"/>
        </w:rPr>
        <w:t> </w:t>
      </w:r>
      <w:r>
        <w:rPr>
          <w:sz w:val="18"/>
        </w:rPr>
        <w:t>Chair</w:t>
      </w:r>
      <w:r>
        <w:rPr>
          <w:spacing w:val="-5"/>
          <w:sz w:val="18"/>
        </w:rPr>
        <w:t> </w:t>
      </w:r>
      <w:r>
        <w:rPr>
          <w:sz w:val="18"/>
        </w:rPr>
        <w:t>of</w:t>
      </w:r>
      <w:r>
        <w:rPr>
          <w:spacing w:val="-6"/>
          <w:sz w:val="18"/>
        </w:rPr>
        <w:t> </w:t>
      </w:r>
      <w:r>
        <w:rPr>
          <w:sz w:val="18"/>
        </w:rPr>
        <w:t>the</w:t>
      </w:r>
      <w:r>
        <w:rPr>
          <w:spacing w:val="-5"/>
          <w:sz w:val="18"/>
        </w:rPr>
        <w:t> </w:t>
      </w:r>
      <w:r>
        <w:rPr>
          <w:sz w:val="18"/>
        </w:rPr>
        <w:t>House</w:t>
      </w:r>
      <w:r>
        <w:rPr>
          <w:spacing w:val="-5"/>
          <w:sz w:val="18"/>
        </w:rPr>
        <w:t> </w:t>
      </w:r>
      <w:r>
        <w:rPr>
          <w:sz w:val="18"/>
        </w:rPr>
        <w:t>of</w:t>
      </w:r>
      <w:r>
        <w:rPr>
          <w:spacing w:val="-6"/>
          <w:sz w:val="18"/>
        </w:rPr>
        <w:t> </w:t>
      </w:r>
      <w:r>
        <w:rPr>
          <w:sz w:val="18"/>
        </w:rPr>
        <w:t>Lords</w:t>
      </w:r>
      <w:r>
        <w:rPr>
          <w:spacing w:val="-6"/>
          <w:sz w:val="18"/>
        </w:rPr>
        <w:t> </w:t>
      </w:r>
      <w:r>
        <w:rPr>
          <w:sz w:val="18"/>
        </w:rPr>
        <w:t>Sub-Committee</w:t>
      </w:r>
      <w:r>
        <w:rPr>
          <w:spacing w:val="-5"/>
          <w:sz w:val="18"/>
        </w:rPr>
        <w:t> </w:t>
      </w:r>
      <w:r>
        <w:rPr>
          <w:sz w:val="18"/>
        </w:rPr>
        <w:t>on</w:t>
      </w:r>
      <w:r>
        <w:rPr>
          <w:spacing w:val="-6"/>
          <w:sz w:val="18"/>
        </w:rPr>
        <w:t> </w:t>
      </w:r>
      <w:r>
        <w:rPr>
          <w:sz w:val="18"/>
        </w:rPr>
        <w:t>the</w:t>
      </w:r>
      <w:r>
        <w:rPr>
          <w:spacing w:val="-5"/>
          <w:sz w:val="18"/>
        </w:rPr>
        <w:t> </w:t>
      </w:r>
      <w:r>
        <w:rPr>
          <w:sz w:val="18"/>
        </w:rPr>
        <w:t>Ireland/NI</w:t>
      </w:r>
      <w:r>
        <w:rPr>
          <w:spacing w:val="-5"/>
          <w:sz w:val="18"/>
        </w:rPr>
        <w:t> </w:t>
      </w:r>
      <w:r>
        <w:rPr>
          <w:sz w:val="18"/>
        </w:rPr>
        <w:t>Protocol,</w:t>
      </w:r>
      <w:r>
        <w:rPr>
          <w:spacing w:val="-5"/>
          <w:sz w:val="18"/>
        </w:rPr>
        <w:t> </w:t>
      </w:r>
      <w:r>
        <w:rPr>
          <w:sz w:val="18"/>
        </w:rPr>
        <w:t>Lord</w:t>
      </w:r>
      <w:r>
        <w:rPr>
          <w:spacing w:val="-6"/>
          <w:sz w:val="18"/>
        </w:rPr>
        <w:t> </w:t>
      </w:r>
      <w:r>
        <w:rPr>
          <w:sz w:val="18"/>
        </w:rPr>
        <w:t>Jay,</w:t>
      </w:r>
      <w:r>
        <w:rPr>
          <w:spacing w:val="-5"/>
          <w:sz w:val="18"/>
        </w:rPr>
        <w:t> </w:t>
      </w:r>
      <w:r>
        <w:rPr>
          <w:sz w:val="18"/>
        </w:rPr>
        <w:t>to</w:t>
      </w:r>
      <w:r>
        <w:rPr>
          <w:spacing w:val="-6"/>
          <w:sz w:val="18"/>
        </w:rPr>
        <w:t> </w:t>
      </w:r>
      <w:r>
        <w:rPr>
          <w:sz w:val="18"/>
        </w:rPr>
        <w:t>Secretary</w:t>
      </w:r>
      <w:r>
        <w:rPr>
          <w:spacing w:val="-5"/>
          <w:sz w:val="18"/>
        </w:rPr>
        <w:t> </w:t>
      </w:r>
      <w:r>
        <w:rPr>
          <w:sz w:val="18"/>
        </w:rPr>
        <w:t>of</w:t>
      </w:r>
      <w:r>
        <w:rPr>
          <w:spacing w:val="-6"/>
          <w:sz w:val="18"/>
        </w:rPr>
        <w:t> </w:t>
      </w:r>
      <w:r>
        <w:rPr>
          <w:sz w:val="18"/>
        </w:rPr>
        <w:t>State</w:t>
      </w:r>
      <w:r>
        <w:rPr>
          <w:spacing w:val="-5"/>
          <w:sz w:val="18"/>
        </w:rPr>
        <w:t> </w:t>
      </w:r>
      <w:r>
        <w:rPr>
          <w:sz w:val="18"/>
        </w:rPr>
        <w:t>for Business and Trade, Kemi Badenoch MP, 12 July 2023; Letter from the Minister for Industry and Economic Security</w:t>
      </w:r>
    </w:p>
    <w:p>
      <w:pPr>
        <w:spacing w:line="235" w:lineRule="auto" w:before="1"/>
        <w:ind w:left="1853" w:right="1301" w:firstLine="0"/>
        <w:jc w:val="left"/>
        <w:rPr>
          <w:sz w:val="18"/>
        </w:rPr>
      </w:pPr>
      <w:r>
        <w:rPr>
          <w:sz w:val="18"/>
        </w:rPr>
        <w:t>at the Department of Business and Trade, Nusrat Ghani MP, to the House of Lords Sub-Committee on the Ireland/NI Protocol,</w:t>
      </w:r>
      <w:r>
        <w:rPr>
          <w:spacing w:val="-4"/>
          <w:sz w:val="18"/>
        </w:rPr>
        <w:t> </w:t>
      </w:r>
      <w:r>
        <w:rPr>
          <w:sz w:val="18"/>
        </w:rPr>
        <w:t>11</w:t>
      </w:r>
      <w:r>
        <w:rPr>
          <w:spacing w:val="-4"/>
          <w:sz w:val="18"/>
        </w:rPr>
        <w:t> </w:t>
      </w:r>
      <w:r>
        <w:rPr>
          <w:sz w:val="18"/>
        </w:rPr>
        <w:t>September</w:t>
      </w:r>
      <w:r>
        <w:rPr>
          <w:spacing w:val="-4"/>
          <w:sz w:val="18"/>
        </w:rPr>
        <w:t> </w:t>
      </w:r>
      <w:r>
        <w:rPr>
          <w:sz w:val="18"/>
        </w:rPr>
        <w:t>2023;</w:t>
      </w:r>
      <w:r>
        <w:rPr>
          <w:spacing w:val="-4"/>
          <w:sz w:val="18"/>
        </w:rPr>
        <w:t> </w:t>
      </w:r>
      <w:r>
        <w:rPr>
          <w:sz w:val="18"/>
        </w:rPr>
        <w:t>Letter</w:t>
      </w:r>
      <w:r>
        <w:rPr>
          <w:spacing w:val="-4"/>
          <w:sz w:val="18"/>
        </w:rPr>
        <w:t> </w:t>
      </w:r>
      <w:r>
        <w:rPr>
          <w:sz w:val="18"/>
        </w:rPr>
        <w:t>from</w:t>
      </w:r>
      <w:r>
        <w:rPr>
          <w:spacing w:val="-4"/>
          <w:sz w:val="18"/>
        </w:rPr>
        <w:t> </w:t>
      </w:r>
      <w:r>
        <w:rPr>
          <w:sz w:val="18"/>
        </w:rPr>
        <w:t>the</w:t>
      </w:r>
      <w:r>
        <w:rPr>
          <w:spacing w:val="-4"/>
          <w:sz w:val="18"/>
        </w:rPr>
        <w:t> </w:t>
      </w:r>
      <w:r>
        <w:rPr>
          <w:sz w:val="18"/>
        </w:rPr>
        <w:t>Chair</w:t>
      </w:r>
      <w:r>
        <w:rPr>
          <w:spacing w:val="-4"/>
          <w:sz w:val="18"/>
        </w:rPr>
        <w:t> </w:t>
      </w:r>
      <w:r>
        <w:rPr>
          <w:sz w:val="18"/>
        </w:rPr>
        <w:t>of</w:t>
      </w:r>
      <w:r>
        <w:rPr>
          <w:spacing w:val="-5"/>
          <w:sz w:val="18"/>
        </w:rPr>
        <w:t> </w:t>
      </w:r>
      <w:r>
        <w:rPr>
          <w:sz w:val="18"/>
        </w:rPr>
        <w:t>the</w:t>
      </w:r>
      <w:r>
        <w:rPr>
          <w:spacing w:val="-4"/>
          <w:sz w:val="18"/>
        </w:rPr>
        <w:t> </w:t>
      </w:r>
      <w:r>
        <w:rPr>
          <w:sz w:val="18"/>
        </w:rPr>
        <w:t>House</w:t>
      </w:r>
      <w:r>
        <w:rPr>
          <w:spacing w:val="-4"/>
          <w:sz w:val="18"/>
        </w:rPr>
        <w:t> </w:t>
      </w:r>
      <w:r>
        <w:rPr>
          <w:sz w:val="18"/>
        </w:rPr>
        <w:t>of</w:t>
      </w:r>
      <w:r>
        <w:rPr>
          <w:spacing w:val="-5"/>
          <w:sz w:val="18"/>
        </w:rPr>
        <w:t> </w:t>
      </w:r>
      <w:r>
        <w:rPr>
          <w:sz w:val="18"/>
        </w:rPr>
        <w:t>Lords</w:t>
      </w:r>
      <w:r>
        <w:rPr>
          <w:spacing w:val="-5"/>
          <w:sz w:val="18"/>
        </w:rPr>
        <w:t> </w:t>
      </w:r>
      <w:r>
        <w:rPr>
          <w:sz w:val="18"/>
        </w:rPr>
        <w:t>Sub-Committee</w:t>
      </w:r>
      <w:r>
        <w:rPr>
          <w:spacing w:val="-4"/>
          <w:sz w:val="18"/>
        </w:rPr>
        <w:t> </w:t>
      </w:r>
      <w:r>
        <w:rPr>
          <w:sz w:val="18"/>
        </w:rPr>
        <w:t>on</w:t>
      </w:r>
      <w:r>
        <w:rPr>
          <w:spacing w:val="-5"/>
          <w:sz w:val="18"/>
        </w:rPr>
        <w:t> </w:t>
      </w:r>
      <w:r>
        <w:rPr>
          <w:sz w:val="18"/>
        </w:rPr>
        <w:t>the</w:t>
      </w:r>
      <w:r>
        <w:rPr>
          <w:spacing w:val="-4"/>
          <w:sz w:val="18"/>
        </w:rPr>
        <w:t> </w:t>
      </w:r>
      <w:r>
        <w:rPr>
          <w:sz w:val="18"/>
        </w:rPr>
        <w:t>Ireland/NI</w:t>
      </w:r>
      <w:r>
        <w:rPr>
          <w:spacing w:val="-4"/>
          <w:sz w:val="18"/>
        </w:rPr>
        <w:t> </w:t>
      </w:r>
      <w:r>
        <w:rPr>
          <w:sz w:val="18"/>
        </w:rPr>
        <w:t>Protocol, Lord Jay, to the Minister for Industry and Economic Security at the Department of Business and Trade, Nusrat</w:t>
      </w:r>
    </w:p>
    <w:p>
      <w:pPr>
        <w:spacing w:line="235" w:lineRule="auto" w:before="2"/>
        <w:ind w:left="1853" w:right="1171" w:firstLine="0"/>
        <w:jc w:val="left"/>
        <w:rPr>
          <w:sz w:val="18"/>
        </w:rPr>
      </w:pPr>
      <w:r>
        <w:rPr>
          <w:sz w:val="18"/>
        </w:rPr>
        <w:t>Ghani</w:t>
      </w:r>
      <w:r>
        <w:rPr>
          <w:spacing w:val="-6"/>
          <w:sz w:val="18"/>
        </w:rPr>
        <w:t> </w:t>
      </w:r>
      <w:r>
        <w:rPr>
          <w:sz w:val="18"/>
        </w:rPr>
        <w:t>MP,</w:t>
      </w:r>
      <w:r>
        <w:rPr>
          <w:spacing w:val="-5"/>
          <w:sz w:val="18"/>
        </w:rPr>
        <w:t> </w:t>
      </w:r>
      <w:r>
        <w:rPr>
          <w:sz w:val="18"/>
        </w:rPr>
        <w:t>19</w:t>
      </w:r>
      <w:r>
        <w:rPr>
          <w:spacing w:val="-5"/>
          <w:sz w:val="18"/>
        </w:rPr>
        <w:t> </w:t>
      </w:r>
      <w:r>
        <w:rPr>
          <w:sz w:val="18"/>
        </w:rPr>
        <w:t>October</w:t>
      </w:r>
      <w:r>
        <w:rPr>
          <w:spacing w:val="-5"/>
          <w:sz w:val="18"/>
        </w:rPr>
        <w:t> </w:t>
      </w:r>
      <w:r>
        <w:rPr>
          <w:sz w:val="18"/>
        </w:rPr>
        <w:t>2023;</w:t>
      </w:r>
      <w:r>
        <w:rPr>
          <w:spacing w:val="-5"/>
          <w:sz w:val="18"/>
        </w:rPr>
        <w:t> </w:t>
      </w:r>
      <w:r>
        <w:rPr>
          <w:sz w:val="18"/>
        </w:rPr>
        <w:t>Letter</w:t>
      </w:r>
      <w:r>
        <w:rPr>
          <w:spacing w:val="-5"/>
          <w:sz w:val="18"/>
        </w:rPr>
        <w:t> </w:t>
      </w:r>
      <w:r>
        <w:rPr>
          <w:sz w:val="18"/>
        </w:rPr>
        <w:t>from</w:t>
      </w:r>
      <w:r>
        <w:rPr>
          <w:spacing w:val="-5"/>
          <w:sz w:val="18"/>
        </w:rPr>
        <w:t> </w:t>
      </w:r>
      <w:r>
        <w:rPr>
          <w:sz w:val="18"/>
        </w:rPr>
        <w:t>the</w:t>
      </w:r>
      <w:r>
        <w:rPr>
          <w:spacing w:val="-5"/>
          <w:sz w:val="18"/>
        </w:rPr>
        <w:t> </w:t>
      </w:r>
      <w:r>
        <w:rPr>
          <w:sz w:val="18"/>
        </w:rPr>
        <w:t>Minister</w:t>
      </w:r>
      <w:r>
        <w:rPr>
          <w:spacing w:val="-5"/>
          <w:sz w:val="18"/>
        </w:rPr>
        <w:t> </w:t>
      </w:r>
      <w:r>
        <w:rPr>
          <w:sz w:val="18"/>
        </w:rPr>
        <w:t>for</w:t>
      </w:r>
      <w:r>
        <w:rPr>
          <w:spacing w:val="-5"/>
          <w:sz w:val="18"/>
        </w:rPr>
        <w:t> </w:t>
      </w:r>
      <w:r>
        <w:rPr>
          <w:sz w:val="18"/>
        </w:rPr>
        <w:t>Industry</w:t>
      </w:r>
      <w:r>
        <w:rPr>
          <w:spacing w:val="-5"/>
          <w:sz w:val="18"/>
        </w:rPr>
        <w:t> </w:t>
      </w:r>
      <w:r>
        <w:rPr>
          <w:sz w:val="18"/>
        </w:rPr>
        <w:t>and</w:t>
      </w:r>
      <w:r>
        <w:rPr>
          <w:spacing w:val="-6"/>
          <w:sz w:val="18"/>
        </w:rPr>
        <w:t> </w:t>
      </w:r>
      <w:r>
        <w:rPr>
          <w:sz w:val="18"/>
        </w:rPr>
        <w:t>Economic</w:t>
      </w:r>
      <w:r>
        <w:rPr>
          <w:spacing w:val="-5"/>
          <w:sz w:val="18"/>
        </w:rPr>
        <w:t> </w:t>
      </w:r>
      <w:r>
        <w:rPr>
          <w:sz w:val="18"/>
        </w:rPr>
        <w:t>Security</w:t>
      </w:r>
      <w:r>
        <w:rPr>
          <w:spacing w:val="-5"/>
          <w:sz w:val="18"/>
        </w:rPr>
        <w:t> </w:t>
      </w:r>
      <w:r>
        <w:rPr>
          <w:sz w:val="18"/>
        </w:rPr>
        <w:t>at</w:t>
      </w:r>
      <w:r>
        <w:rPr>
          <w:spacing w:val="-5"/>
          <w:sz w:val="18"/>
        </w:rPr>
        <w:t> </w:t>
      </w:r>
      <w:r>
        <w:rPr>
          <w:sz w:val="18"/>
        </w:rPr>
        <w:t>the</w:t>
      </w:r>
      <w:r>
        <w:rPr>
          <w:spacing w:val="-5"/>
          <w:sz w:val="18"/>
        </w:rPr>
        <w:t> </w:t>
      </w:r>
      <w:r>
        <w:rPr>
          <w:sz w:val="18"/>
        </w:rPr>
        <w:t>Department</w:t>
      </w:r>
      <w:r>
        <w:rPr>
          <w:spacing w:val="-5"/>
          <w:sz w:val="18"/>
        </w:rPr>
        <w:t> </w:t>
      </w:r>
      <w:r>
        <w:rPr>
          <w:sz w:val="18"/>
        </w:rPr>
        <w:t>of</w:t>
      </w:r>
      <w:r>
        <w:rPr>
          <w:spacing w:val="-6"/>
          <w:sz w:val="18"/>
        </w:rPr>
        <w:t> </w:t>
      </w:r>
      <w:r>
        <w:rPr>
          <w:sz w:val="18"/>
        </w:rPr>
        <w:t>Business and Trade, Nusrat Ghani MP, to the House of Lords Windsor Framework Sub-Committee, 24 November 2023.</w:t>
      </w:r>
    </w:p>
    <w:p>
      <w:pPr>
        <w:pStyle w:val="ListParagraph"/>
        <w:numPr>
          <w:ilvl w:val="0"/>
          <w:numId w:val="3"/>
        </w:numPr>
        <w:tabs>
          <w:tab w:pos="1853" w:val="left" w:leader="none"/>
        </w:tabs>
        <w:spacing w:line="235" w:lineRule="auto" w:before="1" w:after="0"/>
        <w:ind w:left="1853" w:right="1299" w:hanging="720"/>
        <w:jc w:val="left"/>
        <w:rPr>
          <w:sz w:val="18"/>
        </w:rPr>
      </w:pPr>
      <w:r>
        <w:rPr>
          <w:sz w:val="18"/>
        </w:rPr>
        <w:t>Letter</w:t>
      </w:r>
      <w:r>
        <w:rPr>
          <w:spacing w:val="-5"/>
          <w:sz w:val="18"/>
        </w:rPr>
        <w:t> </w:t>
      </w:r>
      <w:r>
        <w:rPr>
          <w:sz w:val="18"/>
        </w:rPr>
        <w:t>from</w:t>
      </w:r>
      <w:r>
        <w:rPr>
          <w:spacing w:val="-5"/>
          <w:sz w:val="18"/>
        </w:rPr>
        <w:t> </w:t>
      </w:r>
      <w:r>
        <w:rPr>
          <w:sz w:val="18"/>
        </w:rPr>
        <w:t>the</w:t>
      </w:r>
      <w:r>
        <w:rPr>
          <w:spacing w:val="-5"/>
          <w:sz w:val="18"/>
        </w:rPr>
        <w:t> </w:t>
      </w:r>
      <w:r>
        <w:rPr>
          <w:sz w:val="18"/>
        </w:rPr>
        <w:t>Chair</w:t>
      </w:r>
      <w:r>
        <w:rPr>
          <w:spacing w:val="-5"/>
          <w:sz w:val="18"/>
        </w:rPr>
        <w:t> </w:t>
      </w:r>
      <w:r>
        <w:rPr>
          <w:sz w:val="18"/>
        </w:rPr>
        <w:t>of</w:t>
      </w:r>
      <w:r>
        <w:rPr>
          <w:spacing w:val="-6"/>
          <w:sz w:val="18"/>
        </w:rPr>
        <w:t> </w:t>
      </w:r>
      <w:r>
        <w:rPr>
          <w:sz w:val="18"/>
        </w:rPr>
        <w:t>the</w:t>
      </w:r>
      <w:r>
        <w:rPr>
          <w:spacing w:val="-5"/>
          <w:sz w:val="18"/>
        </w:rPr>
        <w:t> </w:t>
      </w:r>
      <w:r>
        <w:rPr>
          <w:sz w:val="18"/>
        </w:rPr>
        <w:t>House</w:t>
      </w:r>
      <w:r>
        <w:rPr>
          <w:spacing w:val="-5"/>
          <w:sz w:val="18"/>
        </w:rPr>
        <w:t> </w:t>
      </w:r>
      <w:r>
        <w:rPr>
          <w:sz w:val="18"/>
        </w:rPr>
        <w:t>of</w:t>
      </w:r>
      <w:r>
        <w:rPr>
          <w:spacing w:val="-6"/>
          <w:sz w:val="18"/>
        </w:rPr>
        <w:t> </w:t>
      </w:r>
      <w:r>
        <w:rPr>
          <w:sz w:val="18"/>
        </w:rPr>
        <w:t>Lords</w:t>
      </w:r>
      <w:r>
        <w:rPr>
          <w:spacing w:val="-6"/>
          <w:sz w:val="18"/>
        </w:rPr>
        <w:t> </w:t>
      </w:r>
      <w:r>
        <w:rPr>
          <w:sz w:val="18"/>
        </w:rPr>
        <w:t>Sub-Committee</w:t>
      </w:r>
      <w:r>
        <w:rPr>
          <w:spacing w:val="-5"/>
          <w:sz w:val="18"/>
        </w:rPr>
        <w:t> </w:t>
      </w:r>
      <w:r>
        <w:rPr>
          <w:sz w:val="18"/>
        </w:rPr>
        <w:t>on</w:t>
      </w:r>
      <w:r>
        <w:rPr>
          <w:spacing w:val="-6"/>
          <w:sz w:val="18"/>
        </w:rPr>
        <w:t> </w:t>
      </w:r>
      <w:r>
        <w:rPr>
          <w:sz w:val="18"/>
        </w:rPr>
        <w:t>the</w:t>
      </w:r>
      <w:r>
        <w:rPr>
          <w:spacing w:val="-5"/>
          <w:sz w:val="18"/>
        </w:rPr>
        <w:t> </w:t>
      </w:r>
      <w:r>
        <w:rPr>
          <w:sz w:val="18"/>
        </w:rPr>
        <w:t>Ireland/NI</w:t>
      </w:r>
      <w:r>
        <w:rPr>
          <w:spacing w:val="-5"/>
          <w:sz w:val="18"/>
        </w:rPr>
        <w:t> </w:t>
      </w:r>
      <w:r>
        <w:rPr>
          <w:sz w:val="18"/>
        </w:rPr>
        <w:t>Protocol,</w:t>
      </w:r>
      <w:r>
        <w:rPr>
          <w:spacing w:val="-5"/>
          <w:sz w:val="18"/>
        </w:rPr>
        <w:t> </w:t>
      </w:r>
      <w:r>
        <w:rPr>
          <w:sz w:val="18"/>
        </w:rPr>
        <w:t>Lord</w:t>
      </w:r>
      <w:r>
        <w:rPr>
          <w:spacing w:val="-6"/>
          <w:sz w:val="18"/>
        </w:rPr>
        <w:t> </w:t>
      </w:r>
      <w:r>
        <w:rPr>
          <w:sz w:val="18"/>
        </w:rPr>
        <w:t>Jay,</w:t>
      </w:r>
      <w:r>
        <w:rPr>
          <w:spacing w:val="-5"/>
          <w:sz w:val="18"/>
        </w:rPr>
        <w:t> </w:t>
      </w:r>
      <w:r>
        <w:rPr>
          <w:sz w:val="18"/>
        </w:rPr>
        <w:t>to</w:t>
      </w:r>
      <w:r>
        <w:rPr>
          <w:spacing w:val="-6"/>
          <w:sz w:val="18"/>
        </w:rPr>
        <w:t> </w:t>
      </w:r>
      <w:r>
        <w:rPr>
          <w:sz w:val="18"/>
        </w:rPr>
        <w:t>Secretary</w:t>
      </w:r>
      <w:r>
        <w:rPr>
          <w:spacing w:val="-5"/>
          <w:sz w:val="18"/>
        </w:rPr>
        <w:t> </w:t>
      </w:r>
      <w:r>
        <w:rPr>
          <w:sz w:val="18"/>
        </w:rPr>
        <w:t>of</w:t>
      </w:r>
      <w:r>
        <w:rPr>
          <w:spacing w:val="-6"/>
          <w:sz w:val="18"/>
        </w:rPr>
        <w:t> </w:t>
      </w:r>
      <w:r>
        <w:rPr>
          <w:sz w:val="18"/>
        </w:rPr>
        <w:t>State</w:t>
      </w:r>
      <w:r>
        <w:rPr>
          <w:spacing w:val="-5"/>
          <w:sz w:val="18"/>
        </w:rPr>
        <w:t> </w:t>
      </w:r>
      <w:r>
        <w:rPr>
          <w:sz w:val="18"/>
        </w:rPr>
        <w:t>for Business and Trade, Kemi Badenoch MP, 12 July 2023.</w:t>
      </w:r>
    </w:p>
    <w:p>
      <w:pPr>
        <w:pStyle w:val="ListParagraph"/>
        <w:numPr>
          <w:ilvl w:val="0"/>
          <w:numId w:val="3"/>
        </w:numPr>
        <w:tabs>
          <w:tab w:pos="1853" w:val="left" w:leader="none"/>
        </w:tabs>
        <w:spacing w:line="235" w:lineRule="auto" w:before="2" w:after="0"/>
        <w:ind w:left="1853" w:right="1176" w:hanging="720"/>
        <w:jc w:val="left"/>
        <w:rPr>
          <w:sz w:val="18"/>
        </w:rPr>
      </w:pPr>
      <w:r>
        <w:rPr>
          <w:sz w:val="18"/>
        </w:rPr>
        <w:t>Letter</w:t>
      </w:r>
      <w:r>
        <w:rPr>
          <w:spacing w:val="-8"/>
          <w:sz w:val="18"/>
        </w:rPr>
        <w:t> </w:t>
      </w:r>
      <w:r>
        <w:rPr>
          <w:sz w:val="18"/>
        </w:rPr>
        <w:t>from</w:t>
      </w:r>
      <w:r>
        <w:rPr>
          <w:spacing w:val="-8"/>
          <w:sz w:val="18"/>
        </w:rPr>
        <w:t> </w:t>
      </w:r>
      <w:r>
        <w:rPr>
          <w:sz w:val="18"/>
        </w:rPr>
        <w:t>the</w:t>
      </w:r>
      <w:r>
        <w:rPr>
          <w:spacing w:val="-8"/>
          <w:sz w:val="18"/>
        </w:rPr>
        <w:t> </w:t>
      </w:r>
      <w:r>
        <w:rPr>
          <w:sz w:val="18"/>
        </w:rPr>
        <w:t>Minister</w:t>
      </w:r>
      <w:r>
        <w:rPr>
          <w:spacing w:val="-8"/>
          <w:sz w:val="18"/>
        </w:rPr>
        <w:t> </w:t>
      </w:r>
      <w:r>
        <w:rPr>
          <w:sz w:val="18"/>
        </w:rPr>
        <w:t>for</w:t>
      </w:r>
      <w:r>
        <w:rPr>
          <w:spacing w:val="-8"/>
          <w:sz w:val="18"/>
        </w:rPr>
        <w:t> </w:t>
      </w:r>
      <w:r>
        <w:rPr>
          <w:sz w:val="18"/>
        </w:rPr>
        <w:t>Industry</w:t>
      </w:r>
      <w:r>
        <w:rPr>
          <w:spacing w:val="-8"/>
          <w:sz w:val="18"/>
        </w:rPr>
        <w:t> </w:t>
      </w:r>
      <w:r>
        <w:rPr>
          <w:sz w:val="18"/>
        </w:rPr>
        <w:t>and</w:t>
      </w:r>
      <w:r>
        <w:rPr>
          <w:spacing w:val="-8"/>
          <w:sz w:val="18"/>
        </w:rPr>
        <w:t> </w:t>
      </w:r>
      <w:r>
        <w:rPr>
          <w:sz w:val="18"/>
        </w:rPr>
        <w:t>Economic</w:t>
      </w:r>
      <w:r>
        <w:rPr>
          <w:spacing w:val="-8"/>
          <w:sz w:val="18"/>
        </w:rPr>
        <w:t> </w:t>
      </w:r>
      <w:r>
        <w:rPr>
          <w:sz w:val="18"/>
        </w:rPr>
        <w:t>Security</w:t>
      </w:r>
      <w:r>
        <w:rPr>
          <w:spacing w:val="-8"/>
          <w:sz w:val="18"/>
        </w:rPr>
        <w:t> </w:t>
      </w:r>
      <w:r>
        <w:rPr>
          <w:sz w:val="18"/>
        </w:rPr>
        <w:t>at</w:t>
      </w:r>
      <w:r>
        <w:rPr>
          <w:spacing w:val="-8"/>
          <w:sz w:val="18"/>
        </w:rPr>
        <w:t> </w:t>
      </w:r>
      <w:r>
        <w:rPr>
          <w:sz w:val="18"/>
        </w:rPr>
        <w:t>the</w:t>
      </w:r>
      <w:r>
        <w:rPr>
          <w:spacing w:val="-8"/>
          <w:sz w:val="18"/>
        </w:rPr>
        <w:t> </w:t>
      </w:r>
      <w:r>
        <w:rPr>
          <w:sz w:val="18"/>
        </w:rPr>
        <w:t>Department</w:t>
      </w:r>
      <w:r>
        <w:rPr>
          <w:spacing w:val="-8"/>
          <w:sz w:val="18"/>
        </w:rPr>
        <w:t> </w:t>
      </w:r>
      <w:r>
        <w:rPr>
          <w:sz w:val="18"/>
        </w:rPr>
        <w:t>of</w:t>
      </w:r>
      <w:r>
        <w:rPr>
          <w:spacing w:val="-8"/>
          <w:sz w:val="18"/>
        </w:rPr>
        <w:t> </w:t>
      </w:r>
      <w:r>
        <w:rPr>
          <w:sz w:val="18"/>
        </w:rPr>
        <w:t>Business</w:t>
      </w:r>
      <w:r>
        <w:rPr>
          <w:spacing w:val="-8"/>
          <w:sz w:val="18"/>
        </w:rPr>
        <w:t> </w:t>
      </w:r>
      <w:r>
        <w:rPr>
          <w:sz w:val="18"/>
        </w:rPr>
        <w:t>and</w:t>
      </w:r>
      <w:r>
        <w:rPr>
          <w:spacing w:val="-8"/>
          <w:sz w:val="18"/>
        </w:rPr>
        <w:t> </w:t>
      </w:r>
      <w:r>
        <w:rPr>
          <w:sz w:val="18"/>
        </w:rPr>
        <w:t>Trade,</w:t>
      </w:r>
      <w:r>
        <w:rPr>
          <w:spacing w:val="-8"/>
          <w:sz w:val="18"/>
        </w:rPr>
        <w:t> </w:t>
      </w:r>
      <w:r>
        <w:rPr>
          <w:sz w:val="18"/>
        </w:rPr>
        <w:t>Nusrat</w:t>
      </w:r>
      <w:r>
        <w:rPr>
          <w:spacing w:val="-8"/>
          <w:sz w:val="18"/>
        </w:rPr>
        <w:t> </w:t>
      </w:r>
      <w:r>
        <w:rPr>
          <w:sz w:val="18"/>
        </w:rPr>
        <w:t>Ghani</w:t>
      </w:r>
      <w:r>
        <w:rPr>
          <w:spacing w:val="-8"/>
          <w:sz w:val="18"/>
        </w:rPr>
        <w:t> </w:t>
      </w:r>
      <w:r>
        <w:rPr>
          <w:sz w:val="18"/>
        </w:rPr>
        <w:t>MP,</w:t>
      </w:r>
      <w:r>
        <w:rPr>
          <w:spacing w:val="-8"/>
          <w:sz w:val="18"/>
        </w:rPr>
        <w:t> </w:t>
      </w:r>
      <w:r>
        <w:rPr>
          <w:sz w:val="18"/>
        </w:rPr>
        <w:t>to the House of Lords Sub-Committee on the Ireland/NI Protocol, 11 September 2023.</w:t>
      </w:r>
    </w:p>
    <w:p>
      <w:pPr>
        <w:pStyle w:val="ListParagraph"/>
        <w:numPr>
          <w:ilvl w:val="0"/>
          <w:numId w:val="3"/>
        </w:numPr>
        <w:tabs>
          <w:tab w:pos="1853" w:val="left" w:leader="none"/>
        </w:tabs>
        <w:spacing w:line="235" w:lineRule="auto" w:before="1" w:after="0"/>
        <w:ind w:left="1853" w:right="1176" w:hanging="720"/>
        <w:jc w:val="left"/>
        <w:rPr>
          <w:sz w:val="18"/>
        </w:rPr>
      </w:pPr>
      <w:r>
        <w:rPr>
          <w:sz w:val="18"/>
        </w:rPr>
        <w:t>Letter</w:t>
      </w:r>
      <w:r>
        <w:rPr>
          <w:spacing w:val="-8"/>
          <w:sz w:val="18"/>
        </w:rPr>
        <w:t> </w:t>
      </w:r>
      <w:r>
        <w:rPr>
          <w:sz w:val="18"/>
        </w:rPr>
        <w:t>from</w:t>
      </w:r>
      <w:r>
        <w:rPr>
          <w:spacing w:val="-8"/>
          <w:sz w:val="18"/>
        </w:rPr>
        <w:t> </w:t>
      </w:r>
      <w:r>
        <w:rPr>
          <w:sz w:val="18"/>
        </w:rPr>
        <w:t>the</w:t>
      </w:r>
      <w:r>
        <w:rPr>
          <w:spacing w:val="-8"/>
          <w:sz w:val="18"/>
        </w:rPr>
        <w:t> </w:t>
      </w:r>
      <w:r>
        <w:rPr>
          <w:sz w:val="18"/>
        </w:rPr>
        <w:t>Minister</w:t>
      </w:r>
      <w:r>
        <w:rPr>
          <w:spacing w:val="-8"/>
          <w:sz w:val="18"/>
        </w:rPr>
        <w:t> </w:t>
      </w:r>
      <w:r>
        <w:rPr>
          <w:sz w:val="18"/>
        </w:rPr>
        <w:t>for</w:t>
      </w:r>
      <w:r>
        <w:rPr>
          <w:spacing w:val="-8"/>
          <w:sz w:val="18"/>
        </w:rPr>
        <w:t> </w:t>
      </w:r>
      <w:r>
        <w:rPr>
          <w:sz w:val="18"/>
        </w:rPr>
        <w:t>Industry</w:t>
      </w:r>
      <w:r>
        <w:rPr>
          <w:spacing w:val="-8"/>
          <w:sz w:val="18"/>
        </w:rPr>
        <w:t> </w:t>
      </w:r>
      <w:r>
        <w:rPr>
          <w:sz w:val="18"/>
        </w:rPr>
        <w:t>and</w:t>
      </w:r>
      <w:r>
        <w:rPr>
          <w:spacing w:val="-8"/>
          <w:sz w:val="18"/>
        </w:rPr>
        <w:t> </w:t>
      </w:r>
      <w:r>
        <w:rPr>
          <w:sz w:val="18"/>
        </w:rPr>
        <w:t>Economic</w:t>
      </w:r>
      <w:r>
        <w:rPr>
          <w:spacing w:val="-8"/>
          <w:sz w:val="18"/>
        </w:rPr>
        <w:t> </w:t>
      </w:r>
      <w:r>
        <w:rPr>
          <w:sz w:val="18"/>
        </w:rPr>
        <w:t>Security</w:t>
      </w:r>
      <w:r>
        <w:rPr>
          <w:spacing w:val="-8"/>
          <w:sz w:val="18"/>
        </w:rPr>
        <w:t> </w:t>
      </w:r>
      <w:r>
        <w:rPr>
          <w:sz w:val="18"/>
        </w:rPr>
        <w:t>at</w:t>
      </w:r>
      <w:r>
        <w:rPr>
          <w:spacing w:val="-8"/>
          <w:sz w:val="18"/>
        </w:rPr>
        <w:t> </w:t>
      </w:r>
      <w:r>
        <w:rPr>
          <w:sz w:val="18"/>
        </w:rPr>
        <w:t>the</w:t>
      </w:r>
      <w:r>
        <w:rPr>
          <w:spacing w:val="-8"/>
          <w:sz w:val="18"/>
        </w:rPr>
        <w:t> </w:t>
      </w:r>
      <w:r>
        <w:rPr>
          <w:sz w:val="18"/>
        </w:rPr>
        <w:t>Department</w:t>
      </w:r>
      <w:r>
        <w:rPr>
          <w:spacing w:val="-8"/>
          <w:sz w:val="18"/>
        </w:rPr>
        <w:t> </w:t>
      </w:r>
      <w:r>
        <w:rPr>
          <w:sz w:val="18"/>
        </w:rPr>
        <w:t>of</w:t>
      </w:r>
      <w:r>
        <w:rPr>
          <w:spacing w:val="-8"/>
          <w:sz w:val="18"/>
        </w:rPr>
        <w:t> </w:t>
      </w:r>
      <w:r>
        <w:rPr>
          <w:sz w:val="18"/>
        </w:rPr>
        <w:t>Business</w:t>
      </w:r>
      <w:r>
        <w:rPr>
          <w:spacing w:val="-8"/>
          <w:sz w:val="18"/>
        </w:rPr>
        <w:t> </w:t>
      </w:r>
      <w:r>
        <w:rPr>
          <w:sz w:val="18"/>
        </w:rPr>
        <w:t>and</w:t>
      </w:r>
      <w:r>
        <w:rPr>
          <w:spacing w:val="-8"/>
          <w:sz w:val="18"/>
        </w:rPr>
        <w:t> </w:t>
      </w:r>
      <w:r>
        <w:rPr>
          <w:sz w:val="18"/>
        </w:rPr>
        <w:t>Trade,</w:t>
      </w:r>
      <w:r>
        <w:rPr>
          <w:spacing w:val="-8"/>
          <w:sz w:val="18"/>
        </w:rPr>
        <w:t> </w:t>
      </w:r>
      <w:r>
        <w:rPr>
          <w:sz w:val="18"/>
        </w:rPr>
        <w:t>Nusrat</w:t>
      </w:r>
      <w:r>
        <w:rPr>
          <w:spacing w:val="-8"/>
          <w:sz w:val="18"/>
        </w:rPr>
        <w:t> </w:t>
      </w:r>
      <w:r>
        <w:rPr>
          <w:sz w:val="18"/>
        </w:rPr>
        <w:t>Ghani</w:t>
      </w:r>
      <w:r>
        <w:rPr>
          <w:spacing w:val="-8"/>
          <w:sz w:val="18"/>
        </w:rPr>
        <w:t> </w:t>
      </w:r>
      <w:r>
        <w:rPr>
          <w:sz w:val="18"/>
        </w:rPr>
        <w:t>MP,</w:t>
      </w:r>
      <w:r>
        <w:rPr>
          <w:spacing w:val="-8"/>
          <w:sz w:val="18"/>
        </w:rPr>
        <w:t> </w:t>
      </w:r>
      <w:r>
        <w:rPr>
          <w:sz w:val="18"/>
        </w:rPr>
        <w:t>to the House of Lords Windsor Framework Sub-Committee, 11 September 2023.</w:t>
      </w:r>
    </w:p>
    <w:p>
      <w:pPr>
        <w:pStyle w:val="ListParagraph"/>
        <w:numPr>
          <w:ilvl w:val="0"/>
          <w:numId w:val="3"/>
        </w:numPr>
        <w:tabs>
          <w:tab w:pos="1853" w:val="left" w:leader="none"/>
        </w:tabs>
        <w:spacing w:line="235" w:lineRule="auto" w:before="1" w:after="0"/>
        <w:ind w:left="1853" w:right="1695" w:hanging="720"/>
        <w:jc w:val="left"/>
        <w:rPr>
          <w:sz w:val="18"/>
        </w:rPr>
      </w:pPr>
      <w:r>
        <w:rPr>
          <w:sz w:val="18"/>
        </w:rPr>
        <w:t>Letter</w:t>
      </w:r>
      <w:r>
        <w:rPr>
          <w:spacing w:val="-5"/>
          <w:sz w:val="18"/>
        </w:rPr>
        <w:t> </w:t>
      </w:r>
      <w:r>
        <w:rPr>
          <w:sz w:val="18"/>
        </w:rPr>
        <w:t>from</w:t>
      </w:r>
      <w:r>
        <w:rPr>
          <w:spacing w:val="-5"/>
          <w:sz w:val="18"/>
        </w:rPr>
        <w:t> </w:t>
      </w:r>
      <w:r>
        <w:rPr>
          <w:sz w:val="18"/>
        </w:rPr>
        <w:t>the</w:t>
      </w:r>
      <w:r>
        <w:rPr>
          <w:spacing w:val="-5"/>
          <w:sz w:val="18"/>
        </w:rPr>
        <w:t> </w:t>
      </w:r>
      <w:r>
        <w:rPr>
          <w:sz w:val="18"/>
        </w:rPr>
        <w:t>Chair</w:t>
      </w:r>
      <w:r>
        <w:rPr>
          <w:spacing w:val="-5"/>
          <w:sz w:val="18"/>
        </w:rPr>
        <w:t> </w:t>
      </w:r>
      <w:r>
        <w:rPr>
          <w:sz w:val="18"/>
        </w:rPr>
        <w:t>of</w:t>
      </w:r>
      <w:r>
        <w:rPr>
          <w:spacing w:val="-6"/>
          <w:sz w:val="18"/>
        </w:rPr>
        <w:t> </w:t>
      </w:r>
      <w:r>
        <w:rPr>
          <w:sz w:val="18"/>
        </w:rPr>
        <w:t>the</w:t>
      </w:r>
      <w:r>
        <w:rPr>
          <w:spacing w:val="-5"/>
          <w:sz w:val="18"/>
        </w:rPr>
        <w:t> </w:t>
      </w:r>
      <w:r>
        <w:rPr>
          <w:sz w:val="18"/>
        </w:rPr>
        <w:t>House</w:t>
      </w:r>
      <w:r>
        <w:rPr>
          <w:spacing w:val="-5"/>
          <w:sz w:val="18"/>
        </w:rPr>
        <w:t> </w:t>
      </w:r>
      <w:r>
        <w:rPr>
          <w:sz w:val="18"/>
        </w:rPr>
        <w:t>of</w:t>
      </w:r>
      <w:r>
        <w:rPr>
          <w:spacing w:val="-6"/>
          <w:sz w:val="18"/>
        </w:rPr>
        <w:t> </w:t>
      </w:r>
      <w:r>
        <w:rPr>
          <w:sz w:val="18"/>
        </w:rPr>
        <w:t>Lords</w:t>
      </w:r>
      <w:r>
        <w:rPr>
          <w:spacing w:val="-6"/>
          <w:sz w:val="18"/>
        </w:rPr>
        <w:t> </w:t>
      </w:r>
      <w:r>
        <w:rPr>
          <w:sz w:val="18"/>
        </w:rPr>
        <w:t>Sub-Committee</w:t>
      </w:r>
      <w:r>
        <w:rPr>
          <w:spacing w:val="-5"/>
          <w:sz w:val="18"/>
        </w:rPr>
        <w:t> </w:t>
      </w:r>
      <w:r>
        <w:rPr>
          <w:sz w:val="18"/>
        </w:rPr>
        <w:t>on</w:t>
      </w:r>
      <w:r>
        <w:rPr>
          <w:spacing w:val="-6"/>
          <w:sz w:val="18"/>
        </w:rPr>
        <w:t> </w:t>
      </w:r>
      <w:r>
        <w:rPr>
          <w:sz w:val="18"/>
        </w:rPr>
        <w:t>the</w:t>
      </w:r>
      <w:r>
        <w:rPr>
          <w:spacing w:val="-5"/>
          <w:sz w:val="18"/>
        </w:rPr>
        <w:t> </w:t>
      </w:r>
      <w:r>
        <w:rPr>
          <w:sz w:val="18"/>
        </w:rPr>
        <w:t>Ireland/NI</w:t>
      </w:r>
      <w:r>
        <w:rPr>
          <w:spacing w:val="-5"/>
          <w:sz w:val="18"/>
        </w:rPr>
        <w:t> </w:t>
      </w:r>
      <w:r>
        <w:rPr>
          <w:sz w:val="18"/>
        </w:rPr>
        <w:t>Protocol,</w:t>
      </w:r>
      <w:r>
        <w:rPr>
          <w:spacing w:val="-5"/>
          <w:sz w:val="18"/>
        </w:rPr>
        <w:t> </w:t>
      </w:r>
      <w:r>
        <w:rPr>
          <w:sz w:val="18"/>
        </w:rPr>
        <w:t>Lord</w:t>
      </w:r>
      <w:r>
        <w:rPr>
          <w:spacing w:val="-6"/>
          <w:sz w:val="18"/>
        </w:rPr>
        <w:t> </w:t>
      </w:r>
      <w:r>
        <w:rPr>
          <w:sz w:val="18"/>
        </w:rPr>
        <w:t>Jay,</w:t>
      </w:r>
      <w:r>
        <w:rPr>
          <w:spacing w:val="-5"/>
          <w:sz w:val="18"/>
        </w:rPr>
        <w:t> </w:t>
      </w:r>
      <w:r>
        <w:rPr>
          <w:sz w:val="18"/>
        </w:rPr>
        <w:t>to</w:t>
      </w:r>
      <w:r>
        <w:rPr>
          <w:spacing w:val="-6"/>
          <w:sz w:val="18"/>
        </w:rPr>
        <w:t> </w:t>
      </w:r>
      <w:r>
        <w:rPr>
          <w:sz w:val="18"/>
        </w:rPr>
        <w:t>the</w:t>
      </w:r>
      <w:r>
        <w:rPr>
          <w:spacing w:val="-5"/>
          <w:sz w:val="18"/>
        </w:rPr>
        <w:t> </w:t>
      </w:r>
      <w:r>
        <w:rPr>
          <w:sz w:val="18"/>
        </w:rPr>
        <w:t>Minister</w:t>
      </w:r>
      <w:r>
        <w:rPr>
          <w:spacing w:val="-5"/>
          <w:sz w:val="18"/>
        </w:rPr>
        <w:t> </w:t>
      </w:r>
      <w:r>
        <w:rPr>
          <w:sz w:val="18"/>
        </w:rPr>
        <w:t>for Industry and Economic Security at the Department of Business and Trade, Nusrat Ghani MP, 19 October 2023.</w:t>
      </w:r>
    </w:p>
    <w:p>
      <w:pPr>
        <w:spacing w:after="0" w:line="235" w:lineRule="auto"/>
        <w:jc w:val="left"/>
        <w:rPr>
          <w:sz w:val="18"/>
        </w:rPr>
        <w:sectPr>
          <w:pgSz w:w="11910" w:h="16840"/>
          <w:pgMar w:header="496" w:footer="367" w:top="1220" w:bottom="560" w:left="0" w:right="0"/>
        </w:sectPr>
      </w:pPr>
    </w:p>
    <w:p>
      <w:pPr>
        <w:pStyle w:val="BodyText"/>
        <w:spacing w:before="198"/>
      </w:pPr>
    </w:p>
    <w:p>
      <w:pPr>
        <w:pStyle w:val="ListParagraph"/>
        <w:numPr>
          <w:ilvl w:val="1"/>
          <w:numId w:val="5"/>
        </w:numPr>
        <w:tabs>
          <w:tab w:pos="1853" w:val="left" w:leader="none"/>
        </w:tabs>
        <w:spacing w:line="225" w:lineRule="auto" w:before="0" w:after="0"/>
        <w:ind w:left="1853" w:right="1136" w:hanging="720"/>
        <w:jc w:val="left"/>
        <w:rPr>
          <w:sz w:val="28"/>
        </w:rPr>
      </w:pPr>
      <w:r>
        <w:rPr>
          <w:sz w:val="28"/>
        </w:rPr>
        <w:t>The Minister advised that although there was no plan to publish details of the process adopted on the topic of Windsor Framework Article 2, the Secretary</w:t>
      </w:r>
      <w:r>
        <w:rPr>
          <w:sz w:val="28"/>
        </w:rPr>
        <w:t> of</w:t>
      </w:r>
      <w:r>
        <w:rPr>
          <w:spacing w:val="-1"/>
          <w:sz w:val="28"/>
        </w:rPr>
        <w:t> </w:t>
      </w:r>
      <w:r>
        <w:rPr>
          <w:sz w:val="28"/>
        </w:rPr>
        <w:t>State would</w:t>
      </w:r>
      <w:r>
        <w:rPr>
          <w:spacing w:val="-1"/>
          <w:sz w:val="28"/>
        </w:rPr>
        <w:t> </w:t>
      </w:r>
      <w:r>
        <w:rPr>
          <w:sz w:val="28"/>
        </w:rPr>
        <w:t>lay a</w:t>
      </w:r>
      <w:r>
        <w:rPr>
          <w:spacing w:val="-1"/>
          <w:sz w:val="28"/>
        </w:rPr>
        <w:t> </w:t>
      </w:r>
      <w:r>
        <w:rPr>
          <w:sz w:val="28"/>
        </w:rPr>
        <w:t>report before Parliament on</w:t>
      </w:r>
      <w:r>
        <w:rPr>
          <w:spacing w:val="-1"/>
          <w:sz w:val="28"/>
        </w:rPr>
        <w:t> </w:t>
      </w:r>
      <w:r>
        <w:rPr>
          <w:sz w:val="28"/>
        </w:rPr>
        <w:t>the revocation</w:t>
      </w:r>
      <w:r>
        <w:rPr>
          <w:spacing w:val="-1"/>
          <w:sz w:val="28"/>
        </w:rPr>
        <w:t> </w:t>
      </w:r>
      <w:r>
        <w:rPr>
          <w:sz w:val="28"/>
        </w:rPr>
        <w:t>and</w:t>
      </w:r>
      <w:r>
        <w:rPr>
          <w:spacing w:val="-1"/>
          <w:sz w:val="28"/>
        </w:rPr>
        <w:t> </w:t>
      </w:r>
      <w:r>
        <w:rPr>
          <w:sz w:val="28"/>
        </w:rPr>
        <w:t>reform of the</w:t>
      </w:r>
      <w:r>
        <w:rPr>
          <w:spacing w:val="-5"/>
          <w:sz w:val="28"/>
        </w:rPr>
        <w:t> </w:t>
      </w:r>
      <w:r>
        <w:rPr>
          <w:sz w:val="28"/>
        </w:rPr>
        <w:t>retained</w:t>
      </w:r>
      <w:r>
        <w:rPr>
          <w:spacing w:val="-6"/>
          <w:sz w:val="28"/>
        </w:rPr>
        <w:t> </w:t>
      </w:r>
      <w:r>
        <w:rPr>
          <w:sz w:val="28"/>
        </w:rPr>
        <w:t>EU</w:t>
      </w:r>
      <w:r>
        <w:rPr>
          <w:spacing w:val="-5"/>
          <w:sz w:val="28"/>
        </w:rPr>
        <w:t> </w:t>
      </w:r>
      <w:r>
        <w:rPr>
          <w:sz w:val="28"/>
        </w:rPr>
        <w:t>law</w:t>
      </w:r>
      <w:r>
        <w:rPr>
          <w:spacing w:val="-5"/>
          <w:sz w:val="28"/>
        </w:rPr>
        <w:t> </w:t>
      </w:r>
      <w:r>
        <w:rPr>
          <w:sz w:val="28"/>
        </w:rPr>
        <w:t>in</w:t>
      </w:r>
      <w:r>
        <w:rPr>
          <w:spacing w:val="-6"/>
          <w:sz w:val="28"/>
        </w:rPr>
        <w:t> </w:t>
      </w:r>
      <w:r>
        <w:rPr>
          <w:sz w:val="28"/>
        </w:rPr>
        <w:t>line</w:t>
      </w:r>
      <w:r>
        <w:rPr>
          <w:spacing w:val="-5"/>
          <w:sz w:val="28"/>
        </w:rPr>
        <w:t> </w:t>
      </w:r>
      <w:r>
        <w:rPr>
          <w:sz w:val="28"/>
        </w:rPr>
        <w:t>with</w:t>
      </w:r>
      <w:r>
        <w:rPr>
          <w:spacing w:val="-6"/>
          <w:sz w:val="28"/>
        </w:rPr>
        <w:t> </w:t>
      </w:r>
      <w:r>
        <w:rPr>
          <w:sz w:val="28"/>
        </w:rPr>
        <w:t>Section</w:t>
      </w:r>
      <w:r>
        <w:rPr>
          <w:spacing w:val="-6"/>
          <w:sz w:val="28"/>
        </w:rPr>
        <w:t> </w:t>
      </w:r>
      <w:r>
        <w:rPr>
          <w:sz w:val="28"/>
        </w:rPr>
        <w:t>17</w:t>
      </w:r>
      <w:r>
        <w:rPr>
          <w:spacing w:val="-5"/>
          <w:sz w:val="28"/>
        </w:rPr>
        <w:t> </w:t>
      </w:r>
      <w:r>
        <w:rPr>
          <w:sz w:val="28"/>
        </w:rPr>
        <w:t>of</w:t>
      </w:r>
      <w:r>
        <w:rPr>
          <w:spacing w:val="-6"/>
          <w:sz w:val="28"/>
        </w:rPr>
        <w:t> </w:t>
      </w:r>
      <w:r>
        <w:rPr>
          <w:sz w:val="28"/>
        </w:rPr>
        <w:t>the</w:t>
      </w:r>
      <w:r>
        <w:rPr>
          <w:spacing w:val="-5"/>
          <w:sz w:val="28"/>
        </w:rPr>
        <w:t> </w:t>
      </w:r>
      <w:r>
        <w:rPr>
          <w:sz w:val="28"/>
        </w:rPr>
        <w:t>Retained</w:t>
      </w:r>
      <w:r>
        <w:rPr>
          <w:spacing w:val="-6"/>
          <w:sz w:val="28"/>
        </w:rPr>
        <w:t> </w:t>
      </w:r>
      <w:r>
        <w:rPr>
          <w:sz w:val="28"/>
        </w:rPr>
        <w:t>EU</w:t>
      </w:r>
      <w:r>
        <w:rPr>
          <w:spacing w:val="-5"/>
          <w:sz w:val="28"/>
        </w:rPr>
        <w:t> </w:t>
      </w:r>
      <w:r>
        <w:rPr>
          <w:sz w:val="28"/>
        </w:rPr>
        <w:t>Law</w:t>
      </w:r>
      <w:r>
        <w:rPr>
          <w:spacing w:val="-5"/>
          <w:sz w:val="28"/>
        </w:rPr>
        <w:t> </w:t>
      </w:r>
      <w:r>
        <w:rPr>
          <w:sz w:val="28"/>
        </w:rPr>
        <w:t>(Revocation and Reform) Act 2023.</w:t>
      </w:r>
      <w:r>
        <w:rPr>
          <w:sz w:val="28"/>
          <w:vertAlign w:val="superscript"/>
        </w:rPr>
        <w:t>84</w:t>
      </w:r>
      <w:r>
        <w:rPr>
          <w:spacing w:val="40"/>
          <w:sz w:val="28"/>
          <w:vertAlign w:val="baseline"/>
        </w:rPr>
        <w:t> </w:t>
      </w:r>
      <w:r>
        <w:rPr>
          <w:sz w:val="28"/>
          <w:vertAlign w:val="baseline"/>
        </w:rPr>
        <w:t>The Minister also advised that written guidance had been supplied to the UK Government and NI Civil Service officials to support their analysis of the impact of the Act, “including on managing the removal</w:t>
      </w:r>
    </w:p>
    <w:p>
      <w:pPr>
        <w:pStyle w:val="BodyText"/>
        <w:spacing w:line="225" w:lineRule="auto"/>
        <w:ind w:left="1853" w:right="1383"/>
      </w:pPr>
      <w:r>
        <w:rPr/>
        <w:t>of interpretive effects from the UK statute book at the end of the year”.</w:t>
      </w:r>
      <w:r>
        <w:rPr>
          <w:vertAlign w:val="superscript"/>
        </w:rPr>
        <w:t>85</w:t>
      </w:r>
      <w:r>
        <w:rPr>
          <w:vertAlign w:val="baseline"/>
        </w:rPr>
        <w:t> The</w:t>
      </w:r>
      <w:r>
        <w:rPr>
          <w:spacing w:val="-10"/>
          <w:vertAlign w:val="baseline"/>
        </w:rPr>
        <w:t> </w:t>
      </w:r>
      <w:r>
        <w:rPr>
          <w:vertAlign w:val="baseline"/>
        </w:rPr>
        <w:t>Minister</w:t>
      </w:r>
      <w:r>
        <w:rPr>
          <w:spacing w:val="-10"/>
          <w:vertAlign w:val="baseline"/>
        </w:rPr>
        <w:t> </w:t>
      </w:r>
      <w:r>
        <w:rPr>
          <w:vertAlign w:val="baseline"/>
        </w:rPr>
        <w:t>also</w:t>
      </w:r>
      <w:r>
        <w:rPr>
          <w:spacing w:val="-11"/>
          <w:vertAlign w:val="baseline"/>
        </w:rPr>
        <w:t> </w:t>
      </w:r>
      <w:r>
        <w:rPr>
          <w:vertAlign w:val="baseline"/>
        </w:rPr>
        <w:t>advised</w:t>
      </w:r>
      <w:r>
        <w:rPr>
          <w:spacing w:val="-11"/>
          <w:vertAlign w:val="baseline"/>
        </w:rPr>
        <w:t> </w:t>
      </w:r>
      <w:r>
        <w:rPr>
          <w:vertAlign w:val="baseline"/>
        </w:rPr>
        <w:t>that</w:t>
      </w:r>
      <w:r>
        <w:rPr>
          <w:spacing w:val="-10"/>
          <w:vertAlign w:val="baseline"/>
        </w:rPr>
        <w:t> </w:t>
      </w:r>
      <w:r>
        <w:rPr>
          <w:vertAlign w:val="baseline"/>
        </w:rPr>
        <w:t>“Although</w:t>
      </w:r>
      <w:r>
        <w:rPr>
          <w:spacing w:val="-11"/>
          <w:vertAlign w:val="baseline"/>
        </w:rPr>
        <w:t> </w:t>
      </w:r>
      <w:r>
        <w:rPr>
          <w:vertAlign w:val="baseline"/>
        </w:rPr>
        <w:t>interpretive</w:t>
      </w:r>
      <w:r>
        <w:rPr>
          <w:spacing w:val="-10"/>
          <w:vertAlign w:val="baseline"/>
        </w:rPr>
        <w:t> </w:t>
      </w:r>
      <w:r>
        <w:rPr>
          <w:vertAlign w:val="baseline"/>
        </w:rPr>
        <w:t>effects</w:t>
      </w:r>
      <w:r>
        <w:rPr>
          <w:spacing w:val="-11"/>
          <w:vertAlign w:val="baseline"/>
        </w:rPr>
        <w:t> </w:t>
      </w:r>
      <w:r>
        <w:rPr>
          <w:vertAlign w:val="baseline"/>
        </w:rPr>
        <w:t>will</w:t>
      </w:r>
      <w:r>
        <w:rPr>
          <w:spacing w:val="-11"/>
          <w:vertAlign w:val="baseline"/>
        </w:rPr>
        <w:t> </w:t>
      </w:r>
      <w:r>
        <w:rPr>
          <w:vertAlign w:val="baseline"/>
        </w:rPr>
        <w:t>cease</w:t>
      </w:r>
      <w:r>
        <w:rPr>
          <w:spacing w:val="-10"/>
          <w:vertAlign w:val="baseline"/>
        </w:rPr>
        <w:t> </w:t>
      </w:r>
      <w:r>
        <w:rPr>
          <w:vertAlign w:val="baseline"/>
        </w:rPr>
        <w:t>from the end of 2023, the UK will remain in compliance with our international obligations under Article 2”.</w:t>
      </w:r>
      <w:r>
        <w:rPr>
          <w:vertAlign w:val="superscript"/>
        </w:rPr>
        <w:t>86</w:t>
      </w:r>
    </w:p>
    <w:p>
      <w:pPr>
        <w:pStyle w:val="ListParagraph"/>
        <w:numPr>
          <w:ilvl w:val="1"/>
          <w:numId w:val="5"/>
        </w:numPr>
        <w:tabs>
          <w:tab w:pos="1853" w:val="left" w:leader="none"/>
        </w:tabs>
        <w:spacing w:line="225" w:lineRule="auto" w:before="306" w:after="0"/>
        <w:ind w:left="1853" w:right="1372" w:hanging="720"/>
        <w:jc w:val="left"/>
        <w:rPr>
          <w:sz w:val="28"/>
        </w:rPr>
      </w:pPr>
      <w:r>
        <w:rPr>
          <w:sz w:val="28"/>
        </w:rPr>
        <w:t>In February 2024, the Commissions jointly responded to the European Scrutiny Committee’s inquiry into the progress and the mechanics of reforming retained EU law.</w:t>
      </w:r>
      <w:r>
        <w:rPr>
          <w:sz w:val="28"/>
          <w:vertAlign w:val="superscript"/>
        </w:rPr>
        <w:t>87</w:t>
      </w:r>
      <w:r>
        <w:rPr>
          <w:sz w:val="28"/>
          <w:vertAlign w:val="baseline"/>
        </w:rPr>
        <w:t> The response advised that, in contrast to the view presented by the UK Government, the Commissions consider that section 7A EU (Withdrawal) Act 2018 requires that relevant EU measures be read</w:t>
      </w:r>
      <w:r>
        <w:rPr>
          <w:spacing w:val="-10"/>
          <w:sz w:val="28"/>
          <w:vertAlign w:val="baseline"/>
        </w:rPr>
        <w:t> </w:t>
      </w:r>
      <w:r>
        <w:rPr>
          <w:sz w:val="28"/>
          <w:vertAlign w:val="baseline"/>
        </w:rPr>
        <w:t>in</w:t>
      </w:r>
      <w:r>
        <w:rPr>
          <w:spacing w:val="-10"/>
          <w:sz w:val="28"/>
          <w:vertAlign w:val="baseline"/>
        </w:rPr>
        <w:t> </w:t>
      </w:r>
      <w:r>
        <w:rPr>
          <w:sz w:val="28"/>
          <w:vertAlign w:val="baseline"/>
        </w:rPr>
        <w:t>keeping</w:t>
      </w:r>
      <w:r>
        <w:rPr>
          <w:spacing w:val="-9"/>
          <w:sz w:val="28"/>
          <w:vertAlign w:val="baseline"/>
        </w:rPr>
        <w:t> </w:t>
      </w:r>
      <w:r>
        <w:rPr>
          <w:sz w:val="28"/>
          <w:vertAlign w:val="baseline"/>
        </w:rPr>
        <w:t>with</w:t>
      </w:r>
      <w:r>
        <w:rPr>
          <w:spacing w:val="-10"/>
          <w:sz w:val="28"/>
          <w:vertAlign w:val="baseline"/>
        </w:rPr>
        <w:t> </w:t>
      </w:r>
      <w:r>
        <w:rPr>
          <w:sz w:val="28"/>
          <w:vertAlign w:val="baseline"/>
        </w:rPr>
        <w:t>EU</w:t>
      </w:r>
      <w:r>
        <w:rPr>
          <w:spacing w:val="-9"/>
          <w:sz w:val="28"/>
          <w:vertAlign w:val="baseline"/>
        </w:rPr>
        <w:t> </w:t>
      </w:r>
      <w:r>
        <w:rPr>
          <w:sz w:val="28"/>
          <w:vertAlign w:val="baseline"/>
        </w:rPr>
        <w:t>interpretive</w:t>
      </w:r>
      <w:r>
        <w:rPr>
          <w:spacing w:val="-9"/>
          <w:sz w:val="28"/>
          <w:vertAlign w:val="baseline"/>
        </w:rPr>
        <w:t> </w:t>
      </w:r>
      <w:r>
        <w:rPr>
          <w:sz w:val="28"/>
          <w:vertAlign w:val="baseline"/>
        </w:rPr>
        <w:t>requirements</w:t>
      </w:r>
      <w:r>
        <w:rPr>
          <w:spacing w:val="-10"/>
          <w:sz w:val="28"/>
          <w:vertAlign w:val="baseline"/>
        </w:rPr>
        <w:t> </w:t>
      </w:r>
      <w:r>
        <w:rPr>
          <w:sz w:val="28"/>
          <w:vertAlign w:val="baseline"/>
        </w:rPr>
        <w:t>and</w:t>
      </w:r>
      <w:r>
        <w:rPr>
          <w:spacing w:val="-10"/>
          <w:sz w:val="28"/>
          <w:vertAlign w:val="baseline"/>
        </w:rPr>
        <w:t> </w:t>
      </w:r>
      <w:r>
        <w:rPr>
          <w:sz w:val="28"/>
          <w:vertAlign w:val="baseline"/>
        </w:rPr>
        <w:t>that</w:t>
      </w:r>
      <w:r>
        <w:rPr>
          <w:spacing w:val="-9"/>
          <w:sz w:val="28"/>
          <w:vertAlign w:val="baseline"/>
        </w:rPr>
        <w:t> </w:t>
      </w:r>
      <w:r>
        <w:rPr>
          <w:sz w:val="28"/>
          <w:vertAlign w:val="baseline"/>
        </w:rPr>
        <w:t>related</w:t>
      </w:r>
      <w:r>
        <w:rPr>
          <w:spacing w:val="-10"/>
          <w:sz w:val="28"/>
          <w:vertAlign w:val="baseline"/>
        </w:rPr>
        <w:t> </w:t>
      </w:r>
      <w:r>
        <w:rPr>
          <w:sz w:val="28"/>
          <w:vertAlign w:val="baseline"/>
        </w:rPr>
        <w:t>domestic provisions should be interpreted in a manner that ensures no diminution of standards, contrary to Windsor Framework Article 2.</w:t>
      </w:r>
    </w:p>
    <w:p>
      <w:pPr>
        <w:pStyle w:val="ListParagraph"/>
        <w:numPr>
          <w:ilvl w:val="1"/>
          <w:numId w:val="5"/>
        </w:numPr>
        <w:tabs>
          <w:tab w:pos="1853" w:val="left" w:leader="none"/>
        </w:tabs>
        <w:spacing w:line="225" w:lineRule="auto" w:before="310" w:after="0"/>
        <w:ind w:left="1853" w:right="1188" w:hanging="720"/>
        <w:jc w:val="left"/>
        <w:rPr>
          <w:sz w:val="28"/>
        </w:rPr>
      </w:pPr>
      <w:r>
        <w:rPr>
          <w:sz w:val="28"/>
        </w:rPr>
        <w:t>The</w:t>
      </w:r>
      <w:r>
        <w:rPr>
          <w:spacing w:val="-6"/>
          <w:sz w:val="28"/>
        </w:rPr>
        <w:t> </w:t>
      </w:r>
      <w:r>
        <w:rPr>
          <w:sz w:val="28"/>
        </w:rPr>
        <w:t>Commissions</w:t>
      </w:r>
      <w:r>
        <w:rPr>
          <w:spacing w:val="-7"/>
          <w:sz w:val="28"/>
        </w:rPr>
        <w:t> </w:t>
      </w:r>
      <w:r>
        <w:rPr>
          <w:sz w:val="28"/>
        </w:rPr>
        <w:t>also</w:t>
      </w:r>
      <w:r>
        <w:rPr>
          <w:spacing w:val="-7"/>
          <w:sz w:val="28"/>
        </w:rPr>
        <w:t> </w:t>
      </w:r>
      <w:r>
        <w:rPr>
          <w:sz w:val="28"/>
        </w:rPr>
        <w:t>raised</w:t>
      </w:r>
      <w:r>
        <w:rPr>
          <w:spacing w:val="-7"/>
          <w:sz w:val="28"/>
        </w:rPr>
        <w:t> </w:t>
      </w:r>
      <w:r>
        <w:rPr>
          <w:sz w:val="28"/>
        </w:rPr>
        <w:t>concerns</w:t>
      </w:r>
      <w:r>
        <w:rPr>
          <w:spacing w:val="-7"/>
          <w:sz w:val="28"/>
        </w:rPr>
        <w:t> </w:t>
      </w:r>
      <w:r>
        <w:rPr>
          <w:sz w:val="28"/>
        </w:rPr>
        <w:t>about</w:t>
      </w:r>
      <w:r>
        <w:rPr>
          <w:spacing w:val="-6"/>
          <w:sz w:val="28"/>
        </w:rPr>
        <w:t> </w:t>
      </w:r>
      <w:r>
        <w:rPr>
          <w:sz w:val="28"/>
        </w:rPr>
        <w:t>the</w:t>
      </w:r>
      <w:r>
        <w:rPr>
          <w:spacing w:val="-6"/>
          <w:sz w:val="28"/>
        </w:rPr>
        <w:t> </w:t>
      </w:r>
      <w:r>
        <w:rPr>
          <w:sz w:val="28"/>
        </w:rPr>
        <w:t>breadth</w:t>
      </w:r>
      <w:r>
        <w:rPr>
          <w:spacing w:val="-7"/>
          <w:sz w:val="28"/>
        </w:rPr>
        <w:t> </w:t>
      </w:r>
      <w:r>
        <w:rPr>
          <w:sz w:val="28"/>
        </w:rPr>
        <w:t>of</w:t>
      </w:r>
      <w:r>
        <w:rPr>
          <w:spacing w:val="-7"/>
          <w:sz w:val="28"/>
        </w:rPr>
        <w:t> </w:t>
      </w:r>
      <w:r>
        <w:rPr>
          <w:sz w:val="28"/>
        </w:rPr>
        <w:t>delegated</w:t>
      </w:r>
      <w:r>
        <w:rPr>
          <w:spacing w:val="-7"/>
          <w:sz w:val="28"/>
        </w:rPr>
        <w:t> </w:t>
      </w:r>
      <w:r>
        <w:rPr>
          <w:sz w:val="28"/>
        </w:rPr>
        <w:t>powers provided under the Retained EU Law (Revocation and Reform) Act 2023</w:t>
      </w:r>
    </w:p>
    <w:p>
      <w:pPr>
        <w:pStyle w:val="BodyText"/>
        <w:spacing w:line="225" w:lineRule="auto"/>
        <w:ind w:left="1853" w:right="1476"/>
      </w:pPr>
      <w:r>
        <w:rPr/>
        <w:t>and</w:t>
      </w:r>
      <w:r>
        <w:rPr>
          <w:spacing w:val="-6"/>
        </w:rPr>
        <w:t> </w:t>
      </w:r>
      <w:r>
        <w:rPr/>
        <w:t>the</w:t>
      </w:r>
      <w:r>
        <w:rPr>
          <w:spacing w:val="-5"/>
        </w:rPr>
        <w:t> </w:t>
      </w:r>
      <w:r>
        <w:rPr/>
        <w:t>potential</w:t>
      </w:r>
      <w:r>
        <w:rPr>
          <w:spacing w:val="-6"/>
        </w:rPr>
        <w:t> </w:t>
      </w:r>
      <w:r>
        <w:rPr/>
        <w:t>for</w:t>
      </w:r>
      <w:r>
        <w:rPr>
          <w:spacing w:val="-5"/>
        </w:rPr>
        <w:t> </w:t>
      </w:r>
      <w:r>
        <w:rPr/>
        <w:t>inadvertent</w:t>
      </w:r>
      <w:r>
        <w:rPr>
          <w:spacing w:val="-5"/>
        </w:rPr>
        <w:t> </w:t>
      </w:r>
      <w:r>
        <w:rPr/>
        <w:t>breach</w:t>
      </w:r>
      <w:r>
        <w:rPr>
          <w:spacing w:val="-6"/>
        </w:rPr>
        <w:t> </w:t>
      </w:r>
      <w:r>
        <w:rPr/>
        <w:t>of</w:t>
      </w:r>
      <w:r>
        <w:rPr>
          <w:spacing w:val="-6"/>
        </w:rPr>
        <w:t> </w:t>
      </w:r>
      <w:r>
        <w:rPr/>
        <w:t>Windsor</w:t>
      </w:r>
      <w:r>
        <w:rPr>
          <w:spacing w:val="-5"/>
        </w:rPr>
        <w:t> </w:t>
      </w:r>
      <w:r>
        <w:rPr/>
        <w:t>Framework</w:t>
      </w:r>
      <w:r>
        <w:rPr>
          <w:spacing w:val="-5"/>
        </w:rPr>
        <w:t> </w:t>
      </w:r>
      <w:r>
        <w:rPr/>
        <w:t>Article</w:t>
      </w:r>
      <w:r>
        <w:rPr>
          <w:spacing w:val="-5"/>
        </w:rPr>
        <w:t> </w:t>
      </w:r>
      <w:r>
        <w:rPr/>
        <w:t>2</w:t>
      </w:r>
      <w:r>
        <w:rPr>
          <w:spacing w:val="-5"/>
        </w:rPr>
        <w:t> </w:t>
      </w:r>
      <w:r>
        <w:rPr/>
        <w:t>or wider diminution of human rights and equality, in the absence of detailed parliamentary scrutiny. The response further highlighted the added value</w:t>
      </w:r>
      <w:r>
        <w:rPr/>
        <w:t> of the UK Government and NI Executive Office establishing an accessible and</w:t>
      </w:r>
      <w:r>
        <w:rPr>
          <w:spacing w:val="-12"/>
        </w:rPr>
        <w:t> </w:t>
      </w:r>
      <w:r>
        <w:rPr/>
        <w:t>transparent</w:t>
      </w:r>
      <w:r>
        <w:rPr>
          <w:spacing w:val="-11"/>
        </w:rPr>
        <w:t> </w:t>
      </w:r>
      <w:r>
        <w:rPr/>
        <w:t>central</w:t>
      </w:r>
      <w:r>
        <w:rPr>
          <w:spacing w:val="-12"/>
        </w:rPr>
        <w:t> </w:t>
      </w:r>
      <w:r>
        <w:rPr/>
        <w:t>record</w:t>
      </w:r>
      <w:r>
        <w:rPr>
          <w:spacing w:val="-12"/>
        </w:rPr>
        <w:t> </w:t>
      </w:r>
      <w:r>
        <w:rPr/>
        <w:t>of</w:t>
      </w:r>
      <w:r>
        <w:rPr>
          <w:spacing w:val="-12"/>
        </w:rPr>
        <w:t> </w:t>
      </w:r>
      <w:r>
        <w:rPr/>
        <w:t>areas</w:t>
      </w:r>
      <w:r>
        <w:rPr>
          <w:spacing w:val="-12"/>
        </w:rPr>
        <w:t> </w:t>
      </w:r>
      <w:r>
        <w:rPr/>
        <w:t>of</w:t>
      </w:r>
      <w:r>
        <w:rPr>
          <w:spacing w:val="-12"/>
        </w:rPr>
        <w:t> </w:t>
      </w:r>
      <w:r>
        <w:rPr/>
        <w:t>regulatory</w:t>
      </w:r>
      <w:r>
        <w:rPr>
          <w:spacing w:val="-11"/>
        </w:rPr>
        <w:t> </w:t>
      </w:r>
      <w:r>
        <w:rPr/>
        <w:t>divergence</w:t>
      </w:r>
      <w:r>
        <w:rPr>
          <w:spacing w:val="-11"/>
        </w:rPr>
        <w:t> </w:t>
      </w:r>
      <w:r>
        <w:rPr/>
        <w:t>post-Brexit relating to equality and human rights in NI.</w:t>
      </w:r>
    </w:p>
    <w:p>
      <w:pPr>
        <w:pStyle w:val="ListParagraph"/>
        <w:numPr>
          <w:ilvl w:val="1"/>
          <w:numId w:val="5"/>
        </w:numPr>
        <w:tabs>
          <w:tab w:pos="1853" w:val="left" w:leader="none"/>
        </w:tabs>
        <w:spacing w:line="225" w:lineRule="auto" w:before="310" w:after="0"/>
        <w:ind w:left="1853" w:right="1195" w:hanging="720"/>
        <w:jc w:val="left"/>
        <w:rPr>
          <w:sz w:val="28"/>
        </w:rPr>
      </w:pPr>
      <w:r>
        <w:rPr>
          <w:sz w:val="28"/>
        </w:rPr>
        <w:t>In</w:t>
      </w:r>
      <w:r>
        <w:rPr>
          <w:spacing w:val="-6"/>
          <w:sz w:val="28"/>
        </w:rPr>
        <w:t> </w:t>
      </w:r>
      <w:r>
        <w:rPr>
          <w:sz w:val="28"/>
        </w:rPr>
        <w:t>May</w:t>
      </w:r>
      <w:r>
        <w:rPr>
          <w:spacing w:val="-5"/>
          <w:sz w:val="28"/>
        </w:rPr>
        <w:t> </w:t>
      </w:r>
      <w:r>
        <w:rPr>
          <w:sz w:val="28"/>
        </w:rPr>
        <w:t>2023,</w:t>
      </w:r>
      <w:r>
        <w:rPr>
          <w:spacing w:val="-5"/>
          <w:sz w:val="28"/>
        </w:rPr>
        <w:t> </w:t>
      </w:r>
      <w:r>
        <w:rPr>
          <w:sz w:val="28"/>
        </w:rPr>
        <w:t>the</w:t>
      </w:r>
      <w:r>
        <w:rPr>
          <w:spacing w:val="-5"/>
          <w:sz w:val="28"/>
        </w:rPr>
        <w:t> </w:t>
      </w:r>
      <w:r>
        <w:rPr>
          <w:sz w:val="28"/>
        </w:rPr>
        <w:t>Department</w:t>
      </w:r>
      <w:r>
        <w:rPr>
          <w:spacing w:val="-5"/>
          <w:sz w:val="28"/>
        </w:rPr>
        <w:t> </w:t>
      </w:r>
      <w:r>
        <w:rPr>
          <w:sz w:val="28"/>
        </w:rPr>
        <w:t>for</w:t>
      </w:r>
      <w:r>
        <w:rPr>
          <w:spacing w:val="-5"/>
          <w:sz w:val="28"/>
        </w:rPr>
        <w:t> </w:t>
      </w:r>
      <w:r>
        <w:rPr>
          <w:sz w:val="28"/>
        </w:rPr>
        <w:t>Business</w:t>
      </w:r>
      <w:r>
        <w:rPr>
          <w:spacing w:val="-6"/>
          <w:sz w:val="28"/>
        </w:rPr>
        <w:t> </w:t>
      </w:r>
      <w:r>
        <w:rPr>
          <w:sz w:val="28"/>
        </w:rPr>
        <w:t>and</w:t>
      </w:r>
      <w:r>
        <w:rPr>
          <w:spacing w:val="-6"/>
          <w:sz w:val="28"/>
        </w:rPr>
        <w:t> </w:t>
      </w:r>
      <w:r>
        <w:rPr>
          <w:sz w:val="28"/>
        </w:rPr>
        <w:t>Trade</w:t>
      </w:r>
      <w:r>
        <w:rPr>
          <w:spacing w:val="-5"/>
          <w:sz w:val="28"/>
        </w:rPr>
        <w:t> </w:t>
      </w:r>
      <w:r>
        <w:rPr>
          <w:sz w:val="28"/>
        </w:rPr>
        <w:t>published</w:t>
      </w:r>
      <w:r>
        <w:rPr>
          <w:spacing w:val="-6"/>
          <w:sz w:val="28"/>
        </w:rPr>
        <w:t> </w:t>
      </w:r>
      <w:r>
        <w:rPr>
          <w:sz w:val="28"/>
        </w:rPr>
        <w:t>a</w:t>
      </w:r>
      <w:r>
        <w:rPr>
          <w:spacing w:val="-6"/>
          <w:sz w:val="28"/>
        </w:rPr>
        <w:t> </w:t>
      </w:r>
      <w:r>
        <w:rPr>
          <w:sz w:val="28"/>
        </w:rPr>
        <w:t>consultation on proposed reforms and repeal of several provisions of retained EU employment law.</w:t>
      </w:r>
      <w:r>
        <w:rPr>
          <w:sz w:val="28"/>
          <w:vertAlign w:val="superscript"/>
        </w:rPr>
        <w:t>88</w:t>
      </w:r>
      <w:r>
        <w:rPr>
          <w:sz w:val="28"/>
          <w:vertAlign w:val="baseline"/>
        </w:rPr>
        <w:t> The NIHRC identified two provisions where changes could apply to NI and advised that consideration of Windsor Framework Article 2 should be embedded at all stages of policy and decision making to ensure compliance.</w:t>
      </w:r>
      <w:r>
        <w:rPr>
          <w:sz w:val="28"/>
          <w:vertAlign w:val="superscript"/>
        </w:rPr>
        <w:t>89</w:t>
      </w:r>
      <w:r>
        <w:rPr>
          <w:spacing w:val="-9"/>
          <w:sz w:val="28"/>
          <w:vertAlign w:val="baseline"/>
        </w:rPr>
        <w:t> </w:t>
      </w:r>
      <w:r>
        <w:rPr>
          <w:sz w:val="28"/>
          <w:vertAlign w:val="baseline"/>
        </w:rPr>
        <w:t>In</w:t>
      </w:r>
      <w:r>
        <w:rPr>
          <w:spacing w:val="-9"/>
          <w:sz w:val="28"/>
          <w:vertAlign w:val="baseline"/>
        </w:rPr>
        <w:t> </w:t>
      </w:r>
      <w:r>
        <w:rPr>
          <w:sz w:val="28"/>
          <w:vertAlign w:val="baseline"/>
        </w:rPr>
        <w:t>its</w:t>
      </w:r>
      <w:r>
        <w:rPr>
          <w:spacing w:val="-9"/>
          <w:sz w:val="28"/>
          <w:vertAlign w:val="baseline"/>
        </w:rPr>
        <w:t> </w:t>
      </w:r>
      <w:r>
        <w:rPr>
          <w:sz w:val="28"/>
          <w:vertAlign w:val="baseline"/>
        </w:rPr>
        <w:t>response</w:t>
      </w:r>
      <w:r>
        <w:rPr>
          <w:spacing w:val="-8"/>
          <w:sz w:val="28"/>
          <w:vertAlign w:val="baseline"/>
        </w:rPr>
        <w:t> </w:t>
      </w:r>
      <w:r>
        <w:rPr>
          <w:sz w:val="28"/>
          <w:vertAlign w:val="baseline"/>
        </w:rPr>
        <w:t>to</w:t>
      </w:r>
      <w:r>
        <w:rPr>
          <w:spacing w:val="-9"/>
          <w:sz w:val="28"/>
          <w:vertAlign w:val="baseline"/>
        </w:rPr>
        <w:t> </w:t>
      </w:r>
      <w:r>
        <w:rPr>
          <w:sz w:val="28"/>
          <w:vertAlign w:val="baseline"/>
        </w:rPr>
        <w:t>the</w:t>
      </w:r>
      <w:r>
        <w:rPr>
          <w:spacing w:val="-8"/>
          <w:sz w:val="28"/>
          <w:vertAlign w:val="baseline"/>
        </w:rPr>
        <w:t> </w:t>
      </w:r>
      <w:r>
        <w:rPr>
          <w:sz w:val="28"/>
          <w:vertAlign w:val="baseline"/>
        </w:rPr>
        <w:t>consultation,</w:t>
      </w:r>
      <w:r>
        <w:rPr>
          <w:spacing w:val="-8"/>
          <w:sz w:val="28"/>
          <w:vertAlign w:val="baseline"/>
        </w:rPr>
        <w:t> </w:t>
      </w:r>
      <w:r>
        <w:rPr>
          <w:sz w:val="28"/>
          <w:vertAlign w:val="baseline"/>
        </w:rPr>
        <w:t>the</w:t>
      </w:r>
      <w:r>
        <w:rPr>
          <w:spacing w:val="-8"/>
          <w:sz w:val="28"/>
          <w:vertAlign w:val="baseline"/>
        </w:rPr>
        <w:t> </w:t>
      </w:r>
      <w:r>
        <w:rPr>
          <w:sz w:val="28"/>
          <w:vertAlign w:val="baseline"/>
        </w:rPr>
        <w:t>Department</w:t>
      </w:r>
      <w:r>
        <w:rPr>
          <w:spacing w:val="-8"/>
          <w:sz w:val="28"/>
          <w:vertAlign w:val="baseline"/>
        </w:rPr>
        <w:t> </w:t>
      </w:r>
      <w:r>
        <w:rPr>
          <w:sz w:val="28"/>
          <w:vertAlign w:val="baseline"/>
        </w:rPr>
        <w:t>for</w:t>
      </w:r>
      <w:r>
        <w:rPr>
          <w:spacing w:val="-8"/>
          <w:sz w:val="28"/>
          <w:vertAlign w:val="baseline"/>
        </w:rPr>
        <w:t> </w:t>
      </w:r>
      <w:r>
        <w:rPr>
          <w:sz w:val="28"/>
          <w:vertAlign w:val="baseline"/>
        </w:rPr>
        <w:t>Business</w:t>
      </w:r>
    </w:p>
    <w:p>
      <w:pPr>
        <w:pStyle w:val="BodyText"/>
        <w:spacing w:before="5"/>
        <w:rPr>
          <w:sz w:val="11"/>
        </w:rPr>
      </w:pPr>
      <w:r>
        <w:rPr/>
        <mc:AlternateContent>
          <mc:Choice Requires="wps">
            <w:drawing>
              <wp:anchor distT="0" distB="0" distL="0" distR="0" allowOverlap="1" layoutInCell="1" locked="0" behindDoc="1" simplePos="0" relativeHeight="487632384">
                <wp:simplePos x="0" y="0"/>
                <wp:positionH relativeFrom="page">
                  <wp:posOffset>719996</wp:posOffset>
                </wp:positionH>
                <wp:positionV relativeFrom="paragraph">
                  <wp:posOffset>103953</wp:posOffset>
                </wp:positionV>
                <wp:extent cx="6120130" cy="1270"/>
                <wp:effectExtent l="0" t="0" r="0" b="0"/>
                <wp:wrapTopAndBottom/>
                <wp:docPr id="151" name="Graphic 151"/>
                <wp:cNvGraphicFramePr>
                  <a:graphicFrameLocks/>
                </wp:cNvGraphicFramePr>
                <a:graphic>
                  <a:graphicData uri="http://schemas.microsoft.com/office/word/2010/wordprocessingShape">
                    <wps:wsp>
                      <wps:cNvPr id="151" name="Graphic 151"/>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8.185303pt;width:481.9pt;height:.1pt;mso-position-horizontal-relative:page;mso-position-vertical-relative:paragraph;z-index:-15684096;mso-wrap-distance-left:0;mso-wrap-distance-right:0" id="docshape108" coordorigin="1134,164" coordsize="9638,0" path="m10772,164l1134,164e" filled="false" stroked="true" strokeweight="1pt" strokecolor="#393b80">
                <v:path arrowok="t"/>
                <v:stroke dashstyle="solid"/>
                <w10:wrap type="topAndBottom"/>
              </v:shape>
            </w:pict>
          </mc:Fallback>
        </mc:AlternateContent>
      </w:r>
    </w:p>
    <w:p>
      <w:pPr>
        <w:pStyle w:val="ListParagraph"/>
        <w:numPr>
          <w:ilvl w:val="0"/>
          <w:numId w:val="3"/>
        </w:numPr>
        <w:tabs>
          <w:tab w:pos="1853" w:val="left" w:leader="none"/>
        </w:tabs>
        <w:spacing w:line="235" w:lineRule="auto" w:before="117" w:after="0"/>
        <w:ind w:left="1853" w:right="1176" w:hanging="720"/>
        <w:jc w:val="left"/>
        <w:rPr>
          <w:sz w:val="18"/>
        </w:rPr>
      </w:pPr>
      <w:r>
        <w:rPr>
          <w:sz w:val="18"/>
        </w:rPr>
        <w:t>Letter</w:t>
      </w:r>
      <w:r>
        <w:rPr>
          <w:spacing w:val="-8"/>
          <w:sz w:val="18"/>
        </w:rPr>
        <w:t> </w:t>
      </w:r>
      <w:r>
        <w:rPr>
          <w:sz w:val="18"/>
        </w:rPr>
        <w:t>from</w:t>
      </w:r>
      <w:r>
        <w:rPr>
          <w:spacing w:val="-8"/>
          <w:sz w:val="18"/>
        </w:rPr>
        <w:t> </w:t>
      </w:r>
      <w:r>
        <w:rPr>
          <w:sz w:val="18"/>
        </w:rPr>
        <w:t>Minister</w:t>
      </w:r>
      <w:r>
        <w:rPr>
          <w:spacing w:val="-8"/>
          <w:sz w:val="18"/>
        </w:rPr>
        <w:t> </w:t>
      </w:r>
      <w:r>
        <w:rPr>
          <w:sz w:val="18"/>
        </w:rPr>
        <w:t>for</w:t>
      </w:r>
      <w:r>
        <w:rPr>
          <w:spacing w:val="-8"/>
          <w:sz w:val="18"/>
        </w:rPr>
        <w:t> </w:t>
      </w:r>
      <w:r>
        <w:rPr>
          <w:sz w:val="18"/>
        </w:rPr>
        <w:t>Industry</w:t>
      </w:r>
      <w:r>
        <w:rPr>
          <w:spacing w:val="-8"/>
          <w:sz w:val="18"/>
        </w:rPr>
        <w:t> </w:t>
      </w:r>
      <w:r>
        <w:rPr>
          <w:sz w:val="18"/>
        </w:rPr>
        <w:t>and</w:t>
      </w:r>
      <w:r>
        <w:rPr>
          <w:spacing w:val="-8"/>
          <w:sz w:val="18"/>
        </w:rPr>
        <w:t> </w:t>
      </w:r>
      <w:r>
        <w:rPr>
          <w:sz w:val="18"/>
        </w:rPr>
        <w:t>Economic</w:t>
      </w:r>
      <w:r>
        <w:rPr>
          <w:spacing w:val="-8"/>
          <w:sz w:val="18"/>
        </w:rPr>
        <w:t> </w:t>
      </w:r>
      <w:r>
        <w:rPr>
          <w:sz w:val="18"/>
        </w:rPr>
        <w:t>Security</w:t>
      </w:r>
      <w:r>
        <w:rPr>
          <w:spacing w:val="-8"/>
          <w:sz w:val="18"/>
        </w:rPr>
        <w:t> </w:t>
      </w:r>
      <w:r>
        <w:rPr>
          <w:sz w:val="18"/>
        </w:rPr>
        <w:t>at</w:t>
      </w:r>
      <w:r>
        <w:rPr>
          <w:spacing w:val="-8"/>
          <w:sz w:val="18"/>
        </w:rPr>
        <w:t> </w:t>
      </w:r>
      <w:r>
        <w:rPr>
          <w:sz w:val="18"/>
        </w:rPr>
        <w:t>the</w:t>
      </w:r>
      <w:r>
        <w:rPr>
          <w:spacing w:val="-8"/>
          <w:sz w:val="18"/>
        </w:rPr>
        <w:t> </w:t>
      </w:r>
      <w:r>
        <w:rPr>
          <w:sz w:val="18"/>
        </w:rPr>
        <w:t>Department</w:t>
      </w:r>
      <w:r>
        <w:rPr>
          <w:spacing w:val="-8"/>
          <w:sz w:val="18"/>
        </w:rPr>
        <w:t> </w:t>
      </w:r>
      <w:r>
        <w:rPr>
          <w:sz w:val="18"/>
        </w:rPr>
        <w:t>of</w:t>
      </w:r>
      <w:r>
        <w:rPr>
          <w:spacing w:val="-8"/>
          <w:sz w:val="18"/>
        </w:rPr>
        <w:t> </w:t>
      </w:r>
      <w:r>
        <w:rPr>
          <w:sz w:val="18"/>
        </w:rPr>
        <w:t>Business</w:t>
      </w:r>
      <w:r>
        <w:rPr>
          <w:spacing w:val="-8"/>
          <w:sz w:val="18"/>
        </w:rPr>
        <w:t> </w:t>
      </w:r>
      <w:r>
        <w:rPr>
          <w:sz w:val="18"/>
        </w:rPr>
        <w:t>and</w:t>
      </w:r>
      <w:r>
        <w:rPr>
          <w:spacing w:val="-8"/>
          <w:sz w:val="18"/>
        </w:rPr>
        <w:t> </w:t>
      </w:r>
      <w:r>
        <w:rPr>
          <w:sz w:val="18"/>
        </w:rPr>
        <w:t>Trade,</w:t>
      </w:r>
      <w:r>
        <w:rPr>
          <w:spacing w:val="-8"/>
          <w:sz w:val="18"/>
        </w:rPr>
        <w:t> </w:t>
      </w:r>
      <w:r>
        <w:rPr>
          <w:sz w:val="18"/>
        </w:rPr>
        <w:t>Nusrat</w:t>
      </w:r>
      <w:r>
        <w:rPr>
          <w:spacing w:val="-8"/>
          <w:sz w:val="18"/>
        </w:rPr>
        <w:t> </w:t>
      </w:r>
      <w:r>
        <w:rPr>
          <w:sz w:val="18"/>
        </w:rPr>
        <w:t>Ghani</w:t>
      </w:r>
      <w:r>
        <w:rPr>
          <w:spacing w:val="-8"/>
          <w:sz w:val="18"/>
        </w:rPr>
        <w:t> </w:t>
      </w:r>
      <w:r>
        <w:rPr>
          <w:sz w:val="18"/>
        </w:rPr>
        <w:t>MP,</w:t>
      </w:r>
      <w:r>
        <w:rPr>
          <w:spacing w:val="-8"/>
          <w:sz w:val="18"/>
        </w:rPr>
        <w:t> </w:t>
      </w:r>
      <w:r>
        <w:rPr>
          <w:sz w:val="18"/>
        </w:rPr>
        <w:t>to</w:t>
      </w:r>
      <w:r>
        <w:rPr>
          <w:spacing w:val="-8"/>
          <w:sz w:val="18"/>
        </w:rPr>
        <w:t> </w:t>
      </w:r>
      <w:r>
        <w:rPr>
          <w:sz w:val="18"/>
        </w:rPr>
        <w:t>the House of Lords Sub-Committee on the Ireland/NI Protocol, 24 November 2023.</w:t>
      </w:r>
    </w:p>
    <w:p>
      <w:pPr>
        <w:pStyle w:val="ListParagraph"/>
        <w:numPr>
          <w:ilvl w:val="0"/>
          <w:numId w:val="3"/>
        </w:numPr>
        <w:tabs>
          <w:tab w:pos="1853" w:val="left" w:leader="none"/>
        </w:tabs>
        <w:spacing w:line="216" w:lineRule="exact" w:before="0" w:after="0"/>
        <w:ind w:left="1853" w:right="0" w:hanging="720"/>
        <w:jc w:val="left"/>
        <w:rPr>
          <w:sz w:val="18"/>
        </w:rPr>
      </w:pPr>
      <w:r>
        <w:rPr>
          <w:spacing w:val="-4"/>
          <w:sz w:val="18"/>
        </w:rPr>
        <w:t>Ibid.</w:t>
      </w:r>
    </w:p>
    <w:p>
      <w:pPr>
        <w:pStyle w:val="ListParagraph"/>
        <w:numPr>
          <w:ilvl w:val="0"/>
          <w:numId w:val="3"/>
        </w:numPr>
        <w:tabs>
          <w:tab w:pos="1853" w:val="left" w:leader="none"/>
        </w:tabs>
        <w:spacing w:line="216" w:lineRule="exact" w:before="0" w:after="0"/>
        <w:ind w:left="1853" w:right="0" w:hanging="720"/>
        <w:jc w:val="left"/>
        <w:rPr>
          <w:sz w:val="18"/>
        </w:rPr>
      </w:pPr>
      <w:r>
        <w:rPr>
          <w:spacing w:val="-4"/>
          <w:sz w:val="18"/>
        </w:rPr>
        <w:t>Ibid.</w:t>
      </w:r>
    </w:p>
    <w:p>
      <w:pPr>
        <w:pStyle w:val="ListParagraph"/>
        <w:numPr>
          <w:ilvl w:val="0"/>
          <w:numId w:val="3"/>
        </w:numPr>
        <w:tabs>
          <w:tab w:pos="1853" w:val="left" w:leader="none"/>
        </w:tabs>
        <w:spacing w:line="235" w:lineRule="auto" w:before="1" w:after="0"/>
        <w:ind w:left="1853" w:right="1553" w:hanging="720"/>
        <w:jc w:val="left"/>
        <w:rPr>
          <w:sz w:val="18"/>
        </w:rPr>
      </w:pP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and</w:t>
      </w:r>
      <w:r>
        <w:rPr>
          <w:spacing w:val="-4"/>
          <w:sz w:val="18"/>
        </w:rPr>
        <w:t> </w:t>
      </w:r>
      <w:r>
        <w:rPr>
          <w:sz w:val="18"/>
        </w:rPr>
        <w:t>Equality</w:t>
      </w:r>
      <w:r>
        <w:rPr>
          <w:spacing w:val="-3"/>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‘NIHRC</w:t>
      </w:r>
      <w:r>
        <w:rPr>
          <w:spacing w:val="-4"/>
          <w:sz w:val="18"/>
        </w:rPr>
        <w:t> </w:t>
      </w:r>
      <w:r>
        <w:rPr>
          <w:sz w:val="18"/>
        </w:rPr>
        <w:t>and</w:t>
      </w:r>
      <w:r>
        <w:rPr>
          <w:spacing w:val="-4"/>
          <w:sz w:val="18"/>
        </w:rPr>
        <w:t> </w:t>
      </w:r>
      <w:r>
        <w:rPr>
          <w:sz w:val="18"/>
        </w:rPr>
        <w:t>ECNI</w:t>
      </w:r>
      <w:r>
        <w:rPr>
          <w:spacing w:val="-3"/>
          <w:sz w:val="18"/>
        </w:rPr>
        <w:t> </w:t>
      </w:r>
      <w:r>
        <w:rPr>
          <w:sz w:val="18"/>
        </w:rPr>
        <w:t>Submission</w:t>
      </w:r>
      <w:r>
        <w:rPr>
          <w:spacing w:val="-4"/>
          <w:sz w:val="18"/>
        </w:rPr>
        <w:t> </w:t>
      </w:r>
      <w:r>
        <w:rPr>
          <w:sz w:val="18"/>
        </w:rPr>
        <w:t>to</w:t>
      </w:r>
      <w:r>
        <w:rPr>
          <w:spacing w:val="-4"/>
          <w:sz w:val="18"/>
        </w:rPr>
        <w:t> </w:t>
      </w:r>
      <w:r>
        <w:rPr>
          <w:sz w:val="18"/>
        </w:rPr>
        <w:t>the</w:t>
      </w:r>
      <w:r>
        <w:rPr>
          <w:spacing w:val="-3"/>
          <w:sz w:val="18"/>
        </w:rPr>
        <w:t> </w:t>
      </w:r>
      <w:r>
        <w:rPr>
          <w:sz w:val="18"/>
        </w:rPr>
        <w:t>European</w:t>
      </w:r>
      <w:r>
        <w:rPr>
          <w:spacing w:val="-4"/>
          <w:sz w:val="18"/>
        </w:rPr>
        <w:t> </w:t>
      </w:r>
      <w:r>
        <w:rPr>
          <w:sz w:val="18"/>
        </w:rPr>
        <w:t>Scrutiny Committee Inquiry on Retained EU law: the progress and mechanics of reform’ (NIHRC and ECNI, 2024).</w:t>
      </w:r>
    </w:p>
    <w:p>
      <w:pPr>
        <w:pStyle w:val="ListParagraph"/>
        <w:numPr>
          <w:ilvl w:val="0"/>
          <w:numId w:val="3"/>
        </w:numPr>
        <w:tabs>
          <w:tab w:pos="1853" w:val="left" w:leader="none"/>
        </w:tabs>
        <w:spacing w:line="235" w:lineRule="auto" w:before="1" w:after="0"/>
        <w:ind w:left="1853" w:right="1729" w:hanging="720"/>
        <w:jc w:val="left"/>
        <w:rPr>
          <w:sz w:val="18"/>
        </w:rPr>
      </w:pPr>
      <w:r>
        <w:rPr>
          <w:sz w:val="18"/>
        </w:rPr>
        <w:t>Department</w:t>
      </w:r>
      <w:r>
        <w:rPr>
          <w:spacing w:val="-6"/>
          <w:sz w:val="18"/>
        </w:rPr>
        <w:t> </w:t>
      </w:r>
      <w:r>
        <w:rPr>
          <w:sz w:val="18"/>
        </w:rPr>
        <w:t>for</w:t>
      </w:r>
      <w:r>
        <w:rPr>
          <w:spacing w:val="-6"/>
          <w:sz w:val="18"/>
        </w:rPr>
        <w:t> </w:t>
      </w:r>
      <w:r>
        <w:rPr>
          <w:sz w:val="18"/>
        </w:rPr>
        <w:t>Business</w:t>
      </w:r>
      <w:r>
        <w:rPr>
          <w:spacing w:val="-7"/>
          <w:sz w:val="18"/>
        </w:rPr>
        <w:t> </w:t>
      </w:r>
      <w:r>
        <w:rPr>
          <w:sz w:val="18"/>
        </w:rPr>
        <w:t>and</w:t>
      </w:r>
      <w:r>
        <w:rPr>
          <w:spacing w:val="-7"/>
          <w:sz w:val="18"/>
        </w:rPr>
        <w:t> </w:t>
      </w:r>
      <w:r>
        <w:rPr>
          <w:sz w:val="18"/>
        </w:rPr>
        <w:t>Trade,</w:t>
      </w:r>
      <w:r>
        <w:rPr>
          <w:spacing w:val="-6"/>
          <w:sz w:val="18"/>
        </w:rPr>
        <w:t> </w:t>
      </w:r>
      <w:r>
        <w:rPr>
          <w:sz w:val="18"/>
        </w:rPr>
        <w:t>‘Retained</w:t>
      </w:r>
      <w:r>
        <w:rPr>
          <w:spacing w:val="-7"/>
          <w:sz w:val="18"/>
        </w:rPr>
        <w:t> </w:t>
      </w:r>
      <w:r>
        <w:rPr>
          <w:sz w:val="18"/>
        </w:rPr>
        <w:t>EU</w:t>
      </w:r>
      <w:r>
        <w:rPr>
          <w:spacing w:val="-6"/>
          <w:sz w:val="18"/>
        </w:rPr>
        <w:t> </w:t>
      </w:r>
      <w:r>
        <w:rPr>
          <w:sz w:val="18"/>
        </w:rPr>
        <w:t>Employment</w:t>
      </w:r>
      <w:r>
        <w:rPr>
          <w:spacing w:val="-6"/>
          <w:sz w:val="18"/>
        </w:rPr>
        <w:t> </w:t>
      </w:r>
      <w:r>
        <w:rPr>
          <w:sz w:val="18"/>
        </w:rPr>
        <w:t>Law:</w:t>
      </w:r>
      <w:r>
        <w:rPr>
          <w:spacing w:val="-6"/>
          <w:sz w:val="18"/>
        </w:rPr>
        <w:t> </w:t>
      </w:r>
      <w:r>
        <w:rPr>
          <w:sz w:val="18"/>
        </w:rPr>
        <w:t>Consultation</w:t>
      </w:r>
      <w:r>
        <w:rPr>
          <w:spacing w:val="-7"/>
          <w:sz w:val="18"/>
        </w:rPr>
        <w:t> </w:t>
      </w:r>
      <w:r>
        <w:rPr>
          <w:sz w:val="18"/>
        </w:rPr>
        <w:t>on</w:t>
      </w:r>
      <w:r>
        <w:rPr>
          <w:spacing w:val="-7"/>
          <w:sz w:val="18"/>
        </w:rPr>
        <w:t> </w:t>
      </w:r>
      <w:r>
        <w:rPr>
          <w:sz w:val="18"/>
        </w:rPr>
        <w:t>Reforms</w:t>
      </w:r>
      <w:r>
        <w:rPr>
          <w:spacing w:val="-7"/>
          <w:sz w:val="18"/>
        </w:rPr>
        <w:t> </w:t>
      </w:r>
      <w:r>
        <w:rPr>
          <w:sz w:val="18"/>
        </w:rPr>
        <w:t>to</w:t>
      </w:r>
      <w:r>
        <w:rPr>
          <w:spacing w:val="-7"/>
          <w:sz w:val="18"/>
        </w:rPr>
        <w:t> </w:t>
      </w:r>
      <w:r>
        <w:rPr>
          <w:sz w:val="18"/>
        </w:rPr>
        <w:t>the</w:t>
      </w:r>
      <w:r>
        <w:rPr>
          <w:spacing w:val="-6"/>
          <w:sz w:val="18"/>
        </w:rPr>
        <w:t> </w:t>
      </w:r>
      <w:r>
        <w:rPr>
          <w:sz w:val="18"/>
        </w:rPr>
        <w:t>Working</w:t>
      </w:r>
      <w:r>
        <w:rPr>
          <w:spacing w:val="-6"/>
          <w:sz w:val="18"/>
        </w:rPr>
        <w:t> </w:t>
      </w:r>
      <w:r>
        <w:rPr>
          <w:sz w:val="18"/>
        </w:rPr>
        <w:t>Time Regulations, Holiday Pay and the Transfer of Undertakings (Protection of Employment) Regulations’ (DBT, 2023).</w:t>
      </w:r>
    </w:p>
    <w:p>
      <w:pPr>
        <w:pStyle w:val="ListParagraph"/>
        <w:numPr>
          <w:ilvl w:val="0"/>
          <w:numId w:val="3"/>
        </w:numPr>
        <w:tabs>
          <w:tab w:pos="1853" w:val="left" w:leader="none"/>
        </w:tabs>
        <w:spacing w:line="235" w:lineRule="auto" w:before="2" w:after="0"/>
        <w:ind w:left="1853" w:right="1724" w:hanging="720"/>
        <w:jc w:val="left"/>
        <w:rPr>
          <w:sz w:val="18"/>
        </w:rPr>
      </w:pPr>
      <w:r>
        <w:rPr>
          <w:sz w:val="18"/>
        </w:rPr>
        <w:t>Letter</w:t>
      </w:r>
      <w:r>
        <w:rPr>
          <w:spacing w:val="-6"/>
          <w:sz w:val="18"/>
        </w:rPr>
        <w:t> </w:t>
      </w:r>
      <w:r>
        <w:rPr>
          <w:sz w:val="18"/>
        </w:rPr>
        <w:t>from</w:t>
      </w:r>
      <w:r>
        <w:rPr>
          <w:spacing w:val="-6"/>
          <w:sz w:val="18"/>
        </w:rPr>
        <w:t> </w:t>
      </w:r>
      <w:r>
        <w:rPr>
          <w:sz w:val="18"/>
        </w:rPr>
        <w:t>the</w:t>
      </w:r>
      <w:r>
        <w:rPr>
          <w:spacing w:val="-6"/>
          <w:sz w:val="18"/>
        </w:rPr>
        <w:t> </w:t>
      </w:r>
      <w:r>
        <w:rPr>
          <w:sz w:val="18"/>
        </w:rPr>
        <w:t>NI</w:t>
      </w:r>
      <w:r>
        <w:rPr>
          <w:spacing w:val="-6"/>
          <w:sz w:val="18"/>
        </w:rPr>
        <w:t> </w:t>
      </w:r>
      <w:r>
        <w:rPr>
          <w:sz w:val="18"/>
        </w:rPr>
        <w:t>Human</w:t>
      </w:r>
      <w:r>
        <w:rPr>
          <w:spacing w:val="-7"/>
          <w:sz w:val="18"/>
        </w:rPr>
        <w:t> </w:t>
      </w:r>
      <w:r>
        <w:rPr>
          <w:sz w:val="18"/>
        </w:rPr>
        <w:t>Rights</w:t>
      </w:r>
      <w:r>
        <w:rPr>
          <w:spacing w:val="-7"/>
          <w:sz w:val="18"/>
        </w:rPr>
        <w:t> </w:t>
      </w:r>
      <w:r>
        <w:rPr>
          <w:sz w:val="18"/>
        </w:rPr>
        <w:t>Commission</w:t>
      </w:r>
      <w:r>
        <w:rPr>
          <w:spacing w:val="-7"/>
          <w:sz w:val="18"/>
        </w:rPr>
        <w:t> </w:t>
      </w:r>
      <w:r>
        <w:rPr>
          <w:sz w:val="18"/>
        </w:rPr>
        <w:t>to</w:t>
      </w:r>
      <w:r>
        <w:rPr>
          <w:spacing w:val="-7"/>
          <w:sz w:val="18"/>
        </w:rPr>
        <w:t> </w:t>
      </w:r>
      <w:r>
        <w:rPr>
          <w:sz w:val="18"/>
        </w:rPr>
        <w:t>the</w:t>
      </w:r>
      <w:r>
        <w:rPr>
          <w:spacing w:val="-6"/>
          <w:sz w:val="18"/>
        </w:rPr>
        <w:t> </w:t>
      </w:r>
      <w:r>
        <w:rPr>
          <w:sz w:val="18"/>
        </w:rPr>
        <w:t>Secretary</w:t>
      </w:r>
      <w:r>
        <w:rPr>
          <w:spacing w:val="-6"/>
          <w:sz w:val="18"/>
        </w:rPr>
        <w:t> </w:t>
      </w:r>
      <w:r>
        <w:rPr>
          <w:sz w:val="18"/>
        </w:rPr>
        <w:t>of</w:t>
      </w:r>
      <w:r>
        <w:rPr>
          <w:spacing w:val="-7"/>
          <w:sz w:val="18"/>
        </w:rPr>
        <w:t> </w:t>
      </w:r>
      <w:r>
        <w:rPr>
          <w:sz w:val="18"/>
        </w:rPr>
        <w:t>State</w:t>
      </w:r>
      <w:r>
        <w:rPr>
          <w:spacing w:val="-6"/>
          <w:sz w:val="18"/>
        </w:rPr>
        <w:t> </w:t>
      </w:r>
      <w:r>
        <w:rPr>
          <w:sz w:val="18"/>
        </w:rPr>
        <w:t>for</w:t>
      </w:r>
      <w:r>
        <w:rPr>
          <w:spacing w:val="-6"/>
          <w:sz w:val="18"/>
        </w:rPr>
        <w:t> </w:t>
      </w:r>
      <w:r>
        <w:rPr>
          <w:sz w:val="18"/>
        </w:rPr>
        <w:t>Business</w:t>
      </w:r>
      <w:r>
        <w:rPr>
          <w:spacing w:val="-7"/>
          <w:sz w:val="18"/>
        </w:rPr>
        <w:t> </w:t>
      </w:r>
      <w:r>
        <w:rPr>
          <w:sz w:val="18"/>
        </w:rPr>
        <w:t>and</w:t>
      </w:r>
      <w:r>
        <w:rPr>
          <w:spacing w:val="-7"/>
          <w:sz w:val="18"/>
        </w:rPr>
        <w:t> </w:t>
      </w:r>
      <w:r>
        <w:rPr>
          <w:sz w:val="18"/>
        </w:rPr>
        <w:t>Trade,</w:t>
      </w:r>
      <w:r>
        <w:rPr>
          <w:spacing w:val="-6"/>
          <w:sz w:val="18"/>
        </w:rPr>
        <w:t> </w:t>
      </w:r>
      <w:r>
        <w:rPr>
          <w:sz w:val="18"/>
        </w:rPr>
        <w:t>Kemi</w:t>
      </w:r>
      <w:r>
        <w:rPr>
          <w:spacing w:val="-7"/>
          <w:sz w:val="18"/>
        </w:rPr>
        <w:t> </w:t>
      </w:r>
      <w:r>
        <w:rPr>
          <w:sz w:val="18"/>
        </w:rPr>
        <w:t>Badenoch</w:t>
      </w:r>
      <w:r>
        <w:rPr>
          <w:spacing w:val="-7"/>
          <w:sz w:val="18"/>
        </w:rPr>
        <w:t> </w:t>
      </w:r>
      <w:r>
        <w:rPr>
          <w:sz w:val="18"/>
        </w:rPr>
        <w:t>MP, 7 July 2023.</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pPr>
      <w:r>
        <w:rPr/>
        <w:t>and Trade did not address these concerns.</w:t>
      </w:r>
      <w:r>
        <w:rPr>
          <w:vertAlign w:val="superscript"/>
        </w:rPr>
        <w:t>90</w:t>
      </w:r>
      <w:r>
        <w:rPr>
          <w:spacing w:val="40"/>
          <w:vertAlign w:val="baseline"/>
        </w:rPr>
        <w:t> </w:t>
      </w:r>
      <w:r>
        <w:rPr>
          <w:vertAlign w:val="baseline"/>
        </w:rPr>
        <w:t>The subsequent regulations confirmed that the reform of the Transfer of Undertakings (Protection of Employment) Regulations 2006 would not extend to NI.</w:t>
      </w:r>
      <w:r>
        <w:rPr>
          <w:vertAlign w:val="superscript"/>
        </w:rPr>
        <w:t>91</w:t>
      </w:r>
      <w:r>
        <w:rPr>
          <w:vertAlign w:val="baseline"/>
        </w:rPr>
        <w:t> However, the revocation of the European Cooperative Society (Involvement of Employees) Regulations</w:t>
      </w:r>
      <w:r>
        <w:rPr>
          <w:spacing w:val="-6"/>
          <w:vertAlign w:val="baseline"/>
        </w:rPr>
        <w:t> </w:t>
      </w:r>
      <w:r>
        <w:rPr>
          <w:vertAlign w:val="baseline"/>
        </w:rPr>
        <w:t>2006</w:t>
      </w:r>
      <w:r>
        <w:rPr>
          <w:spacing w:val="-5"/>
          <w:vertAlign w:val="baseline"/>
        </w:rPr>
        <w:t> </w:t>
      </w:r>
      <w:r>
        <w:rPr>
          <w:vertAlign w:val="baseline"/>
        </w:rPr>
        <w:t>does</w:t>
      </w:r>
      <w:r>
        <w:rPr>
          <w:spacing w:val="-6"/>
          <w:vertAlign w:val="baseline"/>
        </w:rPr>
        <w:t> </w:t>
      </w:r>
      <w:r>
        <w:rPr>
          <w:vertAlign w:val="baseline"/>
        </w:rPr>
        <w:t>extend</w:t>
      </w:r>
      <w:r>
        <w:rPr>
          <w:spacing w:val="-6"/>
          <w:vertAlign w:val="baseline"/>
        </w:rPr>
        <w:t> </w:t>
      </w:r>
      <w:r>
        <w:rPr>
          <w:vertAlign w:val="baseline"/>
        </w:rPr>
        <w:t>to</w:t>
      </w:r>
      <w:r>
        <w:rPr>
          <w:spacing w:val="-6"/>
          <w:vertAlign w:val="baseline"/>
        </w:rPr>
        <w:t> </w:t>
      </w:r>
      <w:r>
        <w:rPr>
          <w:vertAlign w:val="baseline"/>
        </w:rPr>
        <w:t>NI</w:t>
      </w:r>
      <w:r>
        <w:rPr>
          <w:spacing w:val="-5"/>
          <w:vertAlign w:val="baseline"/>
        </w:rPr>
        <w:t> </w:t>
      </w:r>
      <w:r>
        <w:rPr>
          <w:vertAlign w:val="baseline"/>
        </w:rPr>
        <w:t>and</w:t>
      </w:r>
      <w:r>
        <w:rPr>
          <w:spacing w:val="-6"/>
          <w:vertAlign w:val="baseline"/>
        </w:rPr>
        <w:t> </w:t>
      </w:r>
      <w:r>
        <w:rPr>
          <w:vertAlign w:val="baseline"/>
        </w:rPr>
        <w:t>no</w:t>
      </w:r>
      <w:r>
        <w:rPr>
          <w:spacing w:val="-6"/>
          <w:vertAlign w:val="baseline"/>
        </w:rPr>
        <w:t> </w:t>
      </w:r>
      <w:r>
        <w:rPr>
          <w:vertAlign w:val="baseline"/>
        </w:rPr>
        <w:t>impact</w:t>
      </w:r>
      <w:r>
        <w:rPr>
          <w:spacing w:val="-5"/>
          <w:vertAlign w:val="baseline"/>
        </w:rPr>
        <w:t> </w:t>
      </w:r>
      <w:r>
        <w:rPr>
          <w:vertAlign w:val="baseline"/>
        </w:rPr>
        <w:t>assessment</w:t>
      </w:r>
      <w:r>
        <w:rPr>
          <w:spacing w:val="-5"/>
          <w:vertAlign w:val="baseline"/>
        </w:rPr>
        <w:t> </w:t>
      </w:r>
      <w:r>
        <w:rPr>
          <w:vertAlign w:val="baseline"/>
        </w:rPr>
        <w:t>relating</w:t>
      </w:r>
      <w:r>
        <w:rPr>
          <w:spacing w:val="-5"/>
          <w:vertAlign w:val="baseline"/>
        </w:rPr>
        <w:t> </w:t>
      </w:r>
      <w:r>
        <w:rPr>
          <w:vertAlign w:val="baseline"/>
        </w:rPr>
        <w:t>to</w:t>
      </w:r>
      <w:r>
        <w:rPr>
          <w:spacing w:val="-6"/>
          <w:vertAlign w:val="baseline"/>
        </w:rPr>
        <w:t> </w:t>
      </w:r>
      <w:r>
        <w:rPr>
          <w:vertAlign w:val="baseline"/>
        </w:rPr>
        <w:t>this part of the regulations was undertaken.</w:t>
      </w:r>
      <w:r>
        <w:rPr>
          <w:vertAlign w:val="superscript"/>
        </w:rPr>
        <w:t>92</w:t>
      </w:r>
      <w:r>
        <w:rPr>
          <w:vertAlign w:val="baseline"/>
        </w:rPr>
        <w:t> The UK Government advised this change is designed to tidy up the statute book.</w:t>
      </w:r>
      <w:r>
        <w:rPr>
          <w:vertAlign w:val="superscript"/>
        </w:rPr>
        <w:t>93</w:t>
      </w:r>
    </w:p>
    <w:p>
      <w:pPr>
        <w:pStyle w:val="ListParagraph"/>
        <w:numPr>
          <w:ilvl w:val="1"/>
          <w:numId w:val="5"/>
        </w:numPr>
        <w:tabs>
          <w:tab w:pos="1853" w:val="left" w:leader="none"/>
        </w:tabs>
        <w:spacing w:line="225" w:lineRule="auto" w:before="311" w:after="0"/>
        <w:ind w:left="1853" w:right="1496" w:hanging="720"/>
        <w:jc w:val="left"/>
        <w:rPr>
          <w:sz w:val="28"/>
        </w:rPr>
      </w:pPr>
      <w:r>
        <w:rPr>
          <w:sz w:val="28"/>
        </w:rPr>
        <w:t>The Retained EU Law (Revocation and Reform) Act 2023 amends section 5 of</w:t>
      </w:r>
      <w:r>
        <w:rPr>
          <w:spacing w:val="-6"/>
          <w:sz w:val="28"/>
        </w:rPr>
        <w:t> </w:t>
      </w:r>
      <w:r>
        <w:rPr>
          <w:sz w:val="28"/>
        </w:rPr>
        <w:t>the</w:t>
      </w:r>
      <w:r>
        <w:rPr>
          <w:spacing w:val="-5"/>
          <w:sz w:val="28"/>
        </w:rPr>
        <w:t> </w:t>
      </w:r>
      <w:r>
        <w:rPr>
          <w:sz w:val="28"/>
        </w:rPr>
        <w:t>EU</w:t>
      </w:r>
      <w:r>
        <w:rPr>
          <w:spacing w:val="-5"/>
          <w:sz w:val="28"/>
        </w:rPr>
        <w:t> </w:t>
      </w:r>
      <w:r>
        <w:rPr>
          <w:sz w:val="28"/>
        </w:rPr>
        <w:t>(Withdrawal)</w:t>
      </w:r>
      <w:r>
        <w:rPr>
          <w:spacing w:val="-6"/>
          <w:sz w:val="28"/>
        </w:rPr>
        <w:t> </w:t>
      </w:r>
      <w:r>
        <w:rPr>
          <w:sz w:val="28"/>
        </w:rPr>
        <w:t>Act</w:t>
      </w:r>
      <w:r>
        <w:rPr>
          <w:spacing w:val="-5"/>
          <w:sz w:val="28"/>
        </w:rPr>
        <w:t> </w:t>
      </w:r>
      <w:r>
        <w:rPr>
          <w:sz w:val="28"/>
        </w:rPr>
        <w:t>2018</w:t>
      </w:r>
      <w:r>
        <w:rPr>
          <w:spacing w:val="-5"/>
          <w:sz w:val="28"/>
        </w:rPr>
        <w:t> </w:t>
      </w:r>
      <w:r>
        <w:rPr>
          <w:sz w:val="28"/>
        </w:rPr>
        <w:t>to</w:t>
      </w:r>
      <w:r>
        <w:rPr>
          <w:spacing w:val="-6"/>
          <w:sz w:val="28"/>
        </w:rPr>
        <w:t> </w:t>
      </w:r>
      <w:r>
        <w:rPr>
          <w:sz w:val="28"/>
        </w:rPr>
        <w:t>provide</w:t>
      </w:r>
      <w:r>
        <w:rPr>
          <w:spacing w:val="-5"/>
          <w:sz w:val="28"/>
        </w:rPr>
        <w:t> </w:t>
      </w:r>
      <w:r>
        <w:rPr>
          <w:sz w:val="28"/>
        </w:rPr>
        <w:t>that</w:t>
      </w:r>
      <w:r>
        <w:rPr>
          <w:spacing w:val="-5"/>
          <w:sz w:val="28"/>
        </w:rPr>
        <w:t> </w:t>
      </w:r>
      <w:r>
        <w:rPr>
          <w:sz w:val="28"/>
        </w:rPr>
        <w:t>“no</w:t>
      </w:r>
      <w:r>
        <w:rPr>
          <w:spacing w:val="-6"/>
          <w:sz w:val="28"/>
        </w:rPr>
        <w:t> </w:t>
      </w:r>
      <w:r>
        <w:rPr>
          <w:sz w:val="28"/>
        </w:rPr>
        <w:t>general</w:t>
      </w:r>
      <w:r>
        <w:rPr>
          <w:spacing w:val="-6"/>
          <w:sz w:val="28"/>
        </w:rPr>
        <w:t> </w:t>
      </w:r>
      <w:r>
        <w:rPr>
          <w:sz w:val="28"/>
        </w:rPr>
        <w:t>principle</w:t>
      </w:r>
      <w:r>
        <w:rPr>
          <w:spacing w:val="-5"/>
          <w:sz w:val="28"/>
        </w:rPr>
        <w:t> </w:t>
      </w:r>
      <w:r>
        <w:rPr>
          <w:sz w:val="28"/>
        </w:rPr>
        <w:t>of</w:t>
      </w:r>
      <w:r>
        <w:rPr>
          <w:spacing w:val="-6"/>
          <w:sz w:val="28"/>
        </w:rPr>
        <w:t> </w:t>
      </w:r>
      <w:r>
        <w:rPr>
          <w:sz w:val="28"/>
        </w:rPr>
        <w:t>EU</w:t>
      </w:r>
    </w:p>
    <w:p>
      <w:pPr>
        <w:pStyle w:val="BodyText"/>
        <w:spacing w:line="225" w:lineRule="auto"/>
        <w:ind w:left="1853" w:right="1171"/>
      </w:pPr>
      <w:r>
        <w:rPr/>
        <w:t>law</w:t>
      </w:r>
      <w:r>
        <w:rPr>
          <w:spacing w:val="-8"/>
        </w:rPr>
        <w:t> </w:t>
      </w:r>
      <w:r>
        <w:rPr/>
        <w:t>is</w:t>
      </w:r>
      <w:r>
        <w:rPr>
          <w:spacing w:val="-9"/>
        </w:rPr>
        <w:t> </w:t>
      </w:r>
      <w:r>
        <w:rPr/>
        <w:t>part</w:t>
      </w:r>
      <w:r>
        <w:rPr>
          <w:spacing w:val="-8"/>
        </w:rPr>
        <w:t> </w:t>
      </w:r>
      <w:r>
        <w:rPr/>
        <w:t>of</w:t>
      </w:r>
      <w:r>
        <w:rPr>
          <w:spacing w:val="-9"/>
        </w:rPr>
        <w:t> </w:t>
      </w:r>
      <w:r>
        <w:rPr/>
        <w:t>domestic</w:t>
      </w:r>
      <w:r>
        <w:rPr>
          <w:spacing w:val="-8"/>
        </w:rPr>
        <w:t> </w:t>
      </w:r>
      <w:r>
        <w:rPr/>
        <w:t>law</w:t>
      </w:r>
      <w:r>
        <w:rPr>
          <w:spacing w:val="-8"/>
        </w:rPr>
        <w:t> </w:t>
      </w:r>
      <w:r>
        <w:rPr/>
        <w:t>after</w:t>
      </w:r>
      <w:r>
        <w:rPr>
          <w:spacing w:val="-8"/>
        </w:rPr>
        <w:t> </w:t>
      </w:r>
      <w:r>
        <w:rPr/>
        <w:t>the</w:t>
      </w:r>
      <w:r>
        <w:rPr>
          <w:spacing w:val="-8"/>
        </w:rPr>
        <w:t> </w:t>
      </w:r>
      <w:r>
        <w:rPr/>
        <w:t>end</w:t>
      </w:r>
      <w:r>
        <w:rPr>
          <w:spacing w:val="-9"/>
        </w:rPr>
        <w:t> </w:t>
      </w:r>
      <w:r>
        <w:rPr/>
        <w:t>of</w:t>
      </w:r>
      <w:r>
        <w:rPr>
          <w:spacing w:val="-9"/>
        </w:rPr>
        <w:t> </w:t>
      </w:r>
      <w:r>
        <w:rPr/>
        <w:t>2023”.</w:t>
      </w:r>
      <w:r>
        <w:rPr>
          <w:spacing w:val="-9"/>
        </w:rPr>
        <w:t> </w:t>
      </w:r>
      <w:r>
        <w:rPr/>
        <w:t>However,</w:t>
      </w:r>
      <w:r>
        <w:rPr>
          <w:spacing w:val="-8"/>
        </w:rPr>
        <w:t> </w:t>
      </w:r>
      <w:r>
        <w:rPr/>
        <w:t>in</w:t>
      </w:r>
      <w:r>
        <w:rPr>
          <w:spacing w:val="-9"/>
        </w:rPr>
        <w:t> </w:t>
      </w:r>
      <w:r>
        <w:rPr/>
        <w:t>October</w:t>
      </w:r>
      <w:r>
        <w:rPr>
          <w:spacing w:val="-8"/>
        </w:rPr>
        <w:t> </w:t>
      </w:r>
      <w:r>
        <w:rPr/>
        <w:t>2023, the NI High Court confirmed that sections 5(4)-5(5) of the EU Withdrawal</w:t>
      </w:r>
    </w:p>
    <w:p>
      <w:pPr>
        <w:pStyle w:val="BodyText"/>
        <w:spacing w:line="225" w:lineRule="auto"/>
        <w:ind w:left="1853" w:right="1383"/>
      </w:pPr>
      <w:r>
        <w:rPr/>
        <w:t>Act</w:t>
      </w:r>
      <w:r>
        <w:rPr>
          <w:spacing w:val="-5"/>
        </w:rPr>
        <w:t> </w:t>
      </w:r>
      <w:r>
        <w:rPr/>
        <w:t>2018,</w:t>
      </w:r>
      <w:r>
        <w:rPr>
          <w:spacing w:val="-5"/>
        </w:rPr>
        <w:t> </w:t>
      </w:r>
      <w:r>
        <w:rPr/>
        <w:t>which</w:t>
      </w:r>
      <w:r>
        <w:rPr>
          <w:spacing w:val="-6"/>
        </w:rPr>
        <w:t> </w:t>
      </w:r>
      <w:r>
        <w:rPr/>
        <w:t>restrict</w:t>
      </w:r>
      <w:r>
        <w:rPr>
          <w:spacing w:val="-5"/>
        </w:rPr>
        <w:t> </w:t>
      </w:r>
      <w:r>
        <w:rPr/>
        <w:t>the</w:t>
      </w:r>
      <w:r>
        <w:rPr>
          <w:spacing w:val="-5"/>
        </w:rPr>
        <w:t> </w:t>
      </w:r>
      <w:r>
        <w:rPr/>
        <w:t>application</w:t>
      </w:r>
      <w:r>
        <w:rPr>
          <w:spacing w:val="-6"/>
        </w:rPr>
        <w:t> </w:t>
      </w:r>
      <w:r>
        <w:rPr/>
        <w:t>of</w:t>
      </w:r>
      <w:r>
        <w:rPr>
          <w:spacing w:val="-6"/>
        </w:rPr>
        <w:t> </w:t>
      </w:r>
      <w:r>
        <w:rPr/>
        <w:t>EU</w:t>
      </w:r>
      <w:r>
        <w:rPr>
          <w:spacing w:val="-5"/>
        </w:rPr>
        <w:t> </w:t>
      </w:r>
      <w:r>
        <w:rPr/>
        <w:t>Charter</w:t>
      </w:r>
      <w:r>
        <w:rPr>
          <w:spacing w:val="-5"/>
        </w:rPr>
        <w:t> </w:t>
      </w:r>
      <w:r>
        <w:rPr/>
        <w:t>of</w:t>
      </w:r>
      <w:r>
        <w:rPr>
          <w:spacing w:val="-6"/>
        </w:rPr>
        <w:t> </w:t>
      </w:r>
      <w:r>
        <w:rPr/>
        <w:t>Fundamental</w:t>
      </w:r>
      <w:r>
        <w:rPr>
          <w:spacing w:val="-6"/>
        </w:rPr>
        <w:t> </w:t>
      </w:r>
      <w:r>
        <w:rPr/>
        <w:t>Rights and EU General Principles, are limited by the domestic incorporation of the UK-EU</w:t>
      </w:r>
      <w:r>
        <w:rPr>
          <w:spacing w:val="-5"/>
        </w:rPr>
        <w:t> </w:t>
      </w:r>
      <w:r>
        <w:rPr/>
        <w:t>Withdrawal</w:t>
      </w:r>
      <w:r>
        <w:rPr>
          <w:spacing w:val="-6"/>
        </w:rPr>
        <w:t> </w:t>
      </w:r>
      <w:r>
        <w:rPr/>
        <w:t>Agreement</w:t>
      </w:r>
      <w:r>
        <w:rPr>
          <w:spacing w:val="-5"/>
        </w:rPr>
        <w:t> </w:t>
      </w:r>
      <w:r>
        <w:rPr/>
        <w:t>by</w:t>
      </w:r>
      <w:r>
        <w:rPr>
          <w:spacing w:val="-5"/>
        </w:rPr>
        <w:t> </w:t>
      </w:r>
      <w:r>
        <w:rPr/>
        <w:t>section</w:t>
      </w:r>
      <w:r>
        <w:rPr>
          <w:spacing w:val="-6"/>
        </w:rPr>
        <w:t> </w:t>
      </w:r>
      <w:r>
        <w:rPr/>
        <w:t>7A</w:t>
      </w:r>
      <w:r>
        <w:rPr>
          <w:spacing w:val="-5"/>
        </w:rPr>
        <w:t> </w:t>
      </w:r>
      <w:r>
        <w:rPr/>
        <w:t>of</w:t>
      </w:r>
      <w:r>
        <w:rPr>
          <w:spacing w:val="-6"/>
        </w:rPr>
        <w:t> </w:t>
      </w:r>
      <w:r>
        <w:rPr/>
        <w:t>the</w:t>
      </w:r>
      <w:r>
        <w:rPr>
          <w:spacing w:val="-5"/>
        </w:rPr>
        <w:t> </w:t>
      </w:r>
      <w:r>
        <w:rPr/>
        <w:t>2018</w:t>
      </w:r>
      <w:r>
        <w:rPr>
          <w:spacing w:val="-5"/>
        </w:rPr>
        <w:t> </w:t>
      </w:r>
      <w:r>
        <w:rPr/>
        <w:t>Act.</w:t>
      </w:r>
      <w:r>
        <w:rPr>
          <w:spacing w:val="-6"/>
        </w:rPr>
        <w:t> </w:t>
      </w:r>
      <w:r>
        <w:rPr/>
        <w:t>The</w:t>
      </w:r>
      <w:r>
        <w:rPr>
          <w:spacing w:val="-5"/>
        </w:rPr>
        <w:t> </w:t>
      </w:r>
      <w:r>
        <w:rPr/>
        <w:t>High</w:t>
      </w:r>
      <w:r>
        <w:rPr>
          <w:spacing w:val="-6"/>
        </w:rPr>
        <w:t> </w:t>
      </w:r>
      <w:r>
        <w:rPr/>
        <w:t>Court concluded that the EU Charter of Fundamental Rights remains enforceable in NI and falls within the ambit of Article 2(1) of the Windsor Framework.</w:t>
      </w:r>
      <w:r>
        <w:rPr>
          <w:vertAlign w:val="superscript"/>
        </w:rPr>
        <w:t>94</w:t>
      </w:r>
      <w:r>
        <w:rPr>
          <w:vertAlign w:val="baseline"/>
        </w:rPr>
        <w:t> In November 2023, the England and Wales Court of Appeal confirmed that the EU Charter of Fundamental Rights applies to the interpretation and application of the UK-EU Withdrawal Agreement.</w:t>
      </w:r>
      <w:r>
        <w:rPr>
          <w:vertAlign w:val="superscript"/>
        </w:rPr>
        <w:t>95</w:t>
      </w:r>
    </w:p>
    <w:p>
      <w:pPr>
        <w:pStyle w:val="BodyText"/>
        <w:rPr>
          <w:sz w:val="14"/>
        </w:rPr>
      </w:pPr>
      <w:r>
        <w:rPr/>
        <mc:AlternateContent>
          <mc:Choice Requires="wps">
            <w:drawing>
              <wp:anchor distT="0" distB="0" distL="0" distR="0" allowOverlap="1" layoutInCell="1" locked="0" behindDoc="1" simplePos="0" relativeHeight="487632896">
                <wp:simplePos x="0" y="0"/>
                <wp:positionH relativeFrom="page">
                  <wp:posOffset>720001</wp:posOffset>
                </wp:positionH>
                <wp:positionV relativeFrom="paragraph">
                  <wp:posOffset>123857</wp:posOffset>
                </wp:positionV>
                <wp:extent cx="6120130" cy="354330"/>
                <wp:effectExtent l="0" t="0" r="0" b="0"/>
                <wp:wrapTopAndBottom/>
                <wp:docPr id="152" name="Textbox 152"/>
                <wp:cNvGraphicFramePr>
                  <a:graphicFrameLocks/>
                </wp:cNvGraphicFramePr>
                <a:graphic>
                  <a:graphicData uri="http://schemas.microsoft.com/office/word/2010/wordprocessingShape">
                    <wps:wsp>
                      <wps:cNvPr id="152" name="Textbox 152"/>
                      <wps:cNvSpPr txBox="1"/>
                      <wps:spPr>
                        <a:xfrm>
                          <a:off x="0" y="0"/>
                          <a:ext cx="6120130" cy="354330"/>
                        </a:xfrm>
                        <a:prstGeom prst="rect">
                          <a:avLst/>
                        </a:prstGeom>
                        <a:solidFill>
                          <a:srgbClr val="393B80"/>
                        </a:solidFill>
                      </wps:spPr>
                      <wps:txbx>
                        <w:txbxContent>
                          <w:p>
                            <w:pPr>
                              <w:spacing w:before="94"/>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9.752547pt;width:481.9pt;height:27.9pt;mso-position-horizontal-relative:page;mso-position-vertical-relative:paragraph;z-index:-15683584;mso-wrap-distance-left:0;mso-wrap-distance-right:0" type="#_x0000_t202" id="docshape109" filled="true" fillcolor="#393b80" stroked="false">
                <v:textbox inset="0,0,0,0">
                  <w:txbxContent>
                    <w:p>
                      <w:pPr>
                        <w:spacing w:before="94"/>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5"/>
        </w:numPr>
        <w:tabs>
          <w:tab w:pos="1853" w:val="left" w:leader="none"/>
        </w:tabs>
        <w:spacing w:line="225" w:lineRule="auto" w:before="208" w:after="0"/>
        <w:ind w:left="1853" w:right="1288" w:hanging="720"/>
        <w:jc w:val="left"/>
        <w:rPr>
          <w:b/>
          <w:color w:val="67287F"/>
          <w:sz w:val="28"/>
        </w:rPr>
      </w:pPr>
      <w:r>
        <w:rPr>
          <w:b/>
          <w:color w:val="67287F"/>
          <w:sz w:val="28"/>
        </w:rPr>
        <w:t>The Commissions continue to recommend that the relevant UK or NI department ensures compliance with Windsor Framework Article 2 is considered</w:t>
      </w:r>
      <w:r>
        <w:rPr>
          <w:b/>
          <w:color w:val="67287F"/>
          <w:spacing w:val="-6"/>
          <w:sz w:val="28"/>
        </w:rPr>
        <w:t> </w:t>
      </w:r>
      <w:r>
        <w:rPr>
          <w:b/>
          <w:color w:val="67287F"/>
          <w:sz w:val="28"/>
        </w:rPr>
        <w:t>in</w:t>
      </w:r>
      <w:r>
        <w:rPr>
          <w:b/>
          <w:color w:val="67287F"/>
          <w:spacing w:val="-6"/>
          <w:sz w:val="28"/>
        </w:rPr>
        <w:t> </w:t>
      </w:r>
      <w:r>
        <w:rPr>
          <w:b/>
          <w:color w:val="67287F"/>
          <w:sz w:val="28"/>
        </w:rPr>
        <w:t>advance</w:t>
      </w:r>
      <w:r>
        <w:rPr>
          <w:b/>
          <w:color w:val="67287F"/>
          <w:spacing w:val="-7"/>
          <w:sz w:val="28"/>
        </w:rPr>
        <w:t> </w:t>
      </w:r>
      <w:r>
        <w:rPr>
          <w:b/>
          <w:color w:val="67287F"/>
          <w:sz w:val="28"/>
        </w:rPr>
        <w:t>of</w:t>
      </w:r>
      <w:r>
        <w:rPr>
          <w:b/>
          <w:color w:val="67287F"/>
          <w:spacing w:val="-7"/>
          <w:sz w:val="28"/>
        </w:rPr>
        <w:t> </w:t>
      </w:r>
      <w:r>
        <w:rPr>
          <w:b/>
          <w:color w:val="67287F"/>
          <w:sz w:val="28"/>
        </w:rPr>
        <w:t>amendment,</w:t>
      </w:r>
      <w:r>
        <w:rPr>
          <w:b/>
          <w:color w:val="67287F"/>
          <w:spacing w:val="-6"/>
          <w:sz w:val="28"/>
        </w:rPr>
        <w:t> </w:t>
      </w:r>
      <w:r>
        <w:rPr>
          <w:b/>
          <w:color w:val="67287F"/>
          <w:sz w:val="28"/>
        </w:rPr>
        <w:t>repeal</w:t>
      </w:r>
      <w:r>
        <w:rPr>
          <w:b/>
          <w:color w:val="67287F"/>
          <w:spacing w:val="-6"/>
          <w:sz w:val="28"/>
        </w:rPr>
        <w:t> </w:t>
      </w:r>
      <w:r>
        <w:rPr>
          <w:b/>
          <w:color w:val="67287F"/>
          <w:sz w:val="28"/>
        </w:rPr>
        <w:t>or</w:t>
      </w:r>
      <w:r>
        <w:rPr>
          <w:b/>
          <w:color w:val="67287F"/>
          <w:spacing w:val="-7"/>
          <w:sz w:val="28"/>
        </w:rPr>
        <w:t> </w:t>
      </w:r>
      <w:r>
        <w:rPr>
          <w:b/>
          <w:color w:val="67287F"/>
          <w:sz w:val="28"/>
        </w:rPr>
        <w:t>revocation</w:t>
      </w:r>
      <w:r>
        <w:rPr>
          <w:b/>
          <w:color w:val="67287F"/>
          <w:spacing w:val="-6"/>
          <w:sz w:val="28"/>
        </w:rPr>
        <w:t> </w:t>
      </w:r>
      <w:r>
        <w:rPr>
          <w:b/>
          <w:color w:val="67287F"/>
          <w:sz w:val="28"/>
        </w:rPr>
        <w:t>of</w:t>
      </w:r>
      <w:r>
        <w:rPr>
          <w:b/>
          <w:color w:val="67287F"/>
          <w:spacing w:val="-7"/>
          <w:sz w:val="28"/>
        </w:rPr>
        <w:t> </w:t>
      </w:r>
      <w:r>
        <w:rPr>
          <w:b/>
          <w:color w:val="67287F"/>
          <w:sz w:val="28"/>
        </w:rPr>
        <w:t>retained</w:t>
      </w:r>
      <w:r>
        <w:rPr>
          <w:b/>
          <w:color w:val="67287F"/>
          <w:spacing w:val="-6"/>
          <w:sz w:val="28"/>
        </w:rPr>
        <w:t> </w:t>
      </w:r>
      <w:r>
        <w:rPr>
          <w:b/>
          <w:color w:val="67287F"/>
          <w:sz w:val="28"/>
        </w:rPr>
        <w:t>EU</w:t>
      </w:r>
      <w:r>
        <w:rPr>
          <w:b/>
          <w:color w:val="67287F"/>
          <w:spacing w:val="-6"/>
          <w:sz w:val="28"/>
        </w:rPr>
        <w:t> </w:t>
      </w:r>
      <w:r>
        <w:rPr>
          <w:b/>
          <w:color w:val="67287F"/>
          <w:sz w:val="28"/>
        </w:rPr>
        <w:t>/ assimilated</w:t>
      </w:r>
      <w:r>
        <w:rPr>
          <w:b/>
          <w:color w:val="67287F"/>
          <w:spacing w:val="-7"/>
          <w:sz w:val="28"/>
        </w:rPr>
        <w:t> </w:t>
      </w:r>
      <w:r>
        <w:rPr>
          <w:b/>
          <w:color w:val="67287F"/>
          <w:sz w:val="28"/>
        </w:rPr>
        <w:t>law</w:t>
      </w:r>
      <w:r>
        <w:rPr>
          <w:b/>
          <w:color w:val="67287F"/>
          <w:spacing w:val="-8"/>
          <w:sz w:val="28"/>
        </w:rPr>
        <w:t> </w:t>
      </w:r>
      <w:r>
        <w:rPr>
          <w:b/>
          <w:color w:val="67287F"/>
          <w:sz w:val="28"/>
        </w:rPr>
        <w:t>and</w:t>
      </w:r>
      <w:r>
        <w:rPr>
          <w:b/>
          <w:color w:val="67287F"/>
          <w:spacing w:val="-7"/>
          <w:sz w:val="28"/>
        </w:rPr>
        <w:t> </w:t>
      </w:r>
      <w:r>
        <w:rPr>
          <w:b/>
          <w:color w:val="67287F"/>
          <w:sz w:val="28"/>
        </w:rPr>
        <w:t>fully</w:t>
      </w:r>
      <w:r>
        <w:rPr>
          <w:b/>
          <w:color w:val="67287F"/>
          <w:spacing w:val="-7"/>
          <w:sz w:val="28"/>
        </w:rPr>
        <w:t> </w:t>
      </w:r>
      <w:r>
        <w:rPr>
          <w:b/>
          <w:color w:val="67287F"/>
          <w:sz w:val="28"/>
        </w:rPr>
        <w:t>explained</w:t>
      </w:r>
      <w:r>
        <w:rPr>
          <w:b/>
          <w:color w:val="67287F"/>
          <w:spacing w:val="-7"/>
          <w:sz w:val="28"/>
        </w:rPr>
        <w:t> </w:t>
      </w:r>
      <w:r>
        <w:rPr>
          <w:b/>
          <w:color w:val="67287F"/>
          <w:sz w:val="28"/>
        </w:rPr>
        <w:t>in</w:t>
      </w:r>
      <w:r>
        <w:rPr>
          <w:b/>
          <w:color w:val="67287F"/>
          <w:spacing w:val="-7"/>
          <w:sz w:val="28"/>
        </w:rPr>
        <w:t> </w:t>
      </w:r>
      <w:r>
        <w:rPr>
          <w:b/>
          <w:color w:val="67287F"/>
          <w:sz w:val="28"/>
        </w:rPr>
        <w:t>associated</w:t>
      </w:r>
      <w:r>
        <w:rPr>
          <w:b/>
          <w:color w:val="67287F"/>
          <w:spacing w:val="-7"/>
          <w:sz w:val="28"/>
        </w:rPr>
        <w:t> </w:t>
      </w:r>
      <w:r>
        <w:rPr>
          <w:b/>
          <w:color w:val="67287F"/>
          <w:sz w:val="28"/>
        </w:rPr>
        <w:t>Explanatory</w:t>
      </w:r>
      <w:r>
        <w:rPr>
          <w:b/>
          <w:color w:val="67287F"/>
          <w:spacing w:val="-7"/>
          <w:sz w:val="28"/>
        </w:rPr>
        <w:t> </w:t>
      </w:r>
      <w:r>
        <w:rPr>
          <w:b/>
          <w:color w:val="67287F"/>
          <w:sz w:val="28"/>
        </w:rPr>
        <w:t>Memoranda</w:t>
      </w:r>
      <w:r>
        <w:rPr>
          <w:b/>
          <w:color w:val="67287F"/>
          <w:spacing w:val="-7"/>
          <w:sz w:val="28"/>
        </w:rPr>
        <w:t> </w:t>
      </w:r>
      <w:r>
        <w:rPr>
          <w:b/>
          <w:color w:val="67287F"/>
          <w:sz w:val="28"/>
        </w:rPr>
        <w:t>/ Notes or Human Rights Impact Assessments.</w:t>
      </w:r>
    </w:p>
    <w:p>
      <w:pPr>
        <w:pStyle w:val="ListParagraph"/>
        <w:numPr>
          <w:ilvl w:val="1"/>
          <w:numId w:val="5"/>
        </w:numPr>
        <w:tabs>
          <w:tab w:pos="1853" w:val="left" w:leader="none"/>
        </w:tabs>
        <w:spacing w:line="225" w:lineRule="auto" w:before="314" w:after="0"/>
        <w:ind w:left="1853" w:right="1606" w:hanging="720"/>
        <w:jc w:val="left"/>
        <w:rPr>
          <w:b/>
          <w:color w:val="67287F"/>
          <w:sz w:val="28"/>
        </w:rPr>
      </w:pPr>
      <w:r>
        <w:rPr>
          <w:b/>
          <w:color w:val="67287F"/>
          <w:sz w:val="28"/>
        </w:rPr>
        <w:t>The Commissions recommend that when making any change to retained EU law/assimilated law, the relevant UK or NI Minister confirms that an assessment</w:t>
      </w:r>
      <w:r>
        <w:rPr>
          <w:b/>
          <w:color w:val="67287F"/>
          <w:spacing w:val="-7"/>
          <w:sz w:val="28"/>
        </w:rPr>
        <w:t> </w:t>
      </w:r>
      <w:r>
        <w:rPr>
          <w:b/>
          <w:color w:val="67287F"/>
          <w:sz w:val="28"/>
        </w:rPr>
        <w:t>for</w:t>
      </w:r>
      <w:r>
        <w:rPr>
          <w:b/>
          <w:color w:val="67287F"/>
          <w:spacing w:val="-8"/>
          <w:sz w:val="28"/>
        </w:rPr>
        <w:t> </w:t>
      </w:r>
      <w:r>
        <w:rPr>
          <w:b/>
          <w:color w:val="67287F"/>
          <w:sz w:val="28"/>
        </w:rPr>
        <w:t>compliance</w:t>
      </w:r>
      <w:r>
        <w:rPr>
          <w:b/>
          <w:color w:val="67287F"/>
          <w:spacing w:val="-8"/>
          <w:sz w:val="28"/>
        </w:rPr>
        <w:t> </w:t>
      </w:r>
      <w:r>
        <w:rPr>
          <w:b/>
          <w:color w:val="67287F"/>
          <w:sz w:val="28"/>
        </w:rPr>
        <w:t>with</w:t>
      </w:r>
      <w:r>
        <w:rPr>
          <w:b/>
          <w:color w:val="67287F"/>
          <w:spacing w:val="-7"/>
          <w:sz w:val="28"/>
        </w:rPr>
        <w:t> </w:t>
      </w:r>
      <w:r>
        <w:rPr>
          <w:b/>
          <w:color w:val="67287F"/>
          <w:sz w:val="28"/>
        </w:rPr>
        <w:t>the</w:t>
      </w:r>
      <w:r>
        <w:rPr>
          <w:b/>
          <w:color w:val="67287F"/>
          <w:spacing w:val="-8"/>
          <w:sz w:val="28"/>
        </w:rPr>
        <w:t> </w:t>
      </w:r>
      <w:r>
        <w:rPr>
          <w:b/>
          <w:color w:val="67287F"/>
          <w:sz w:val="28"/>
        </w:rPr>
        <w:t>commitment</w:t>
      </w:r>
      <w:r>
        <w:rPr>
          <w:b/>
          <w:color w:val="67287F"/>
          <w:spacing w:val="-7"/>
          <w:sz w:val="28"/>
        </w:rPr>
        <w:t> </w:t>
      </w:r>
      <w:r>
        <w:rPr>
          <w:b/>
          <w:color w:val="67287F"/>
          <w:sz w:val="28"/>
        </w:rPr>
        <w:t>in</w:t>
      </w:r>
      <w:r>
        <w:rPr>
          <w:b/>
          <w:color w:val="67287F"/>
          <w:spacing w:val="-7"/>
          <w:sz w:val="28"/>
        </w:rPr>
        <w:t> </w:t>
      </w:r>
      <w:r>
        <w:rPr>
          <w:b/>
          <w:color w:val="67287F"/>
          <w:sz w:val="28"/>
        </w:rPr>
        <w:t>Windsor</w:t>
      </w:r>
      <w:r>
        <w:rPr>
          <w:b/>
          <w:color w:val="67287F"/>
          <w:spacing w:val="-8"/>
          <w:sz w:val="28"/>
        </w:rPr>
        <w:t> </w:t>
      </w:r>
      <w:r>
        <w:rPr>
          <w:b/>
          <w:color w:val="67287F"/>
          <w:sz w:val="28"/>
        </w:rPr>
        <w:t>Framework Article 2 has been undertaken and that there is no breach of Windsor Framework Article 2.</w:t>
      </w:r>
    </w:p>
    <w:p>
      <w:pPr>
        <w:pStyle w:val="BodyText"/>
        <w:spacing w:before="85"/>
        <w:rPr>
          <w:b/>
          <w:sz w:val="20"/>
        </w:rPr>
      </w:pPr>
      <w:r>
        <w:rPr/>
        <mc:AlternateContent>
          <mc:Choice Requires="wps">
            <w:drawing>
              <wp:anchor distT="0" distB="0" distL="0" distR="0" allowOverlap="1" layoutInCell="1" locked="0" behindDoc="1" simplePos="0" relativeHeight="487633408">
                <wp:simplePos x="0" y="0"/>
                <wp:positionH relativeFrom="page">
                  <wp:posOffset>719996</wp:posOffset>
                </wp:positionH>
                <wp:positionV relativeFrom="paragraph">
                  <wp:posOffset>224512</wp:posOffset>
                </wp:positionV>
                <wp:extent cx="6120130" cy="1270"/>
                <wp:effectExtent l="0" t="0" r="0" b="0"/>
                <wp:wrapTopAndBottom/>
                <wp:docPr id="153" name="Graphic 153"/>
                <wp:cNvGraphicFramePr>
                  <a:graphicFrameLocks/>
                </wp:cNvGraphicFramePr>
                <a:graphic>
                  <a:graphicData uri="http://schemas.microsoft.com/office/word/2010/wordprocessingShape">
                    <wps:wsp>
                      <wps:cNvPr id="153" name="Graphic 153"/>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7.678169pt;width:481.9pt;height:.1pt;mso-position-horizontal-relative:page;mso-position-vertical-relative:paragraph;z-index:-15683072;mso-wrap-distance-left:0;mso-wrap-distance-right:0" id="docshape110" coordorigin="1134,354" coordsize="9638,0" path="m10772,354l1134,354e" filled="false" stroked="true" strokeweight="1pt" strokecolor="#393b80">
                <v:path arrowok="t"/>
                <v:stroke dashstyle="solid"/>
                <w10:wrap type="topAndBottom"/>
              </v:shape>
            </w:pict>
          </mc:Fallback>
        </mc:AlternateContent>
      </w:r>
    </w:p>
    <w:p>
      <w:pPr>
        <w:pStyle w:val="ListParagraph"/>
        <w:numPr>
          <w:ilvl w:val="0"/>
          <w:numId w:val="3"/>
        </w:numPr>
        <w:tabs>
          <w:tab w:pos="1853" w:val="left" w:leader="none"/>
        </w:tabs>
        <w:spacing w:line="235" w:lineRule="auto" w:before="120" w:after="0"/>
        <w:ind w:left="1853" w:right="1625" w:hanging="720"/>
        <w:jc w:val="left"/>
        <w:rPr>
          <w:sz w:val="18"/>
        </w:rPr>
      </w:pPr>
      <w:r>
        <w:rPr>
          <w:sz w:val="18"/>
        </w:rPr>
        <w:t>Department</w:t>
      </w:r>
      <w:r>
        <w:rPr>
          <w:spacing w:val="-5"/>
          <w:sz w:val="18"/>
        </w:rPr>
        <w:t> </w:t>
      </w:r>
      <w:r>
        <w:rPr>
          <w:sz w:val="18"/>
        </w:rPr>
        <w:t>for</w:t>
      </w:r>
      <w:r>
        <w:rPr>
          <w:spacing w:val="-5"/>
          <w:sz w:val="18"/>
        </w:rPr>
        <w:t> </w:t>
      </w:r>
      <w:r>
        <w:rPr>
          <w:sz w:val="18"/>
        </w:rPr>
        <w:t>Business</w:t>
      </w:r>
      <w:r>
        <w:rPr>
          <w:spacing w:val="-6"/>
          <w:sz w:val="18"/>
        </w:rPr>
        <w:t> </w:t>
      </w:r>
      <w:r>
        <w:rPr>
          <w:sz w:val="18"/>
        </w:rPr>
        <w:t>and</w:t>
      </w:r>
      <w:r>
        <w:rPr>
          <w:spacing w:val="-6"/>
          <w:sz w:val="18"/>
        </w:rPr>
        <w:t> </w:t>
      </w:r>
      <w:r>
        <w:rPr>
          <w:sz w:val="18"/>
        </w:rPr>
        <w:t>Trade,</w:t>
      </w:r>
      <w:r>
        <w:rPr>
          <w:spacing w:val="-5"/>
          <w:sz w:val="18"/>
        </w:rPr>
        <w:t> </w:t>
      </w:r>
      <w:r>
        <w:rPr>
          <w:sz w:val="18"/>
        </w:rPr>
        <w:t>‘Retained</w:t>
      </w:r>
      <w:r>
        <w:rPr>
          <w:spacing w:val="-6"/>
          <w:sz w:val="18"/>
        </w:rPr>
        <w:t> </w:t>
      </w:r>
      <w:r>
        <w:rPr>
          <w:sz w:val="18"/>
        </w:rPr>
        <w:t>EU</w:t>
      </w:r>
      <w:r>
        <w:rPr>
          <w:spacing w:val="-5"/>
          <w:sz w:val="18"/>
        </w:rPr>
        <w:t> </w:t>
      </w:r>
      <w:r>
        <w:rPr>
          <w:sz w:val="18"/>
        </w:rPr>
        <w:t>Employment</w:t>
      </w:r>
      <w:r>
        <w:rPr>
          <w:spacing w:val="-5"/>
          <w:sz w:val="18"/>
        </w:rPr>
        <w:t> </w:t>
      </w:r>
      <w:r>
        <w:rPr>
          <w:sz w:val="18"/>
        </w:rPr>
        <w:t>Law</w:t>
      </w:r>
      <w:r>
        <w:rPr>
          <w:spacing w:val="-5"/>
          <w:sz w:val="18"/>
        </w:rPr>
        <w:t> </w:t>
      </w:r>
      <w:r>
        <w:rPr>
          <w:sz w:val="18"/>
        </w:rPr>
        <w:t>-</w:t>
      </w:r>
      <w:r>
        <w:rPr>
          <w:spacing w:val="-6"/>
          <w:sz w:val="18"/>
        </w:rPr>
        <w:t> </w:t>
      </w:r>
      <w:r>
        <w:rPr>
          <w:sz w:val="18"/>
        </w:rPr>
        <w:t>A</w:t>
      </w:r>
      <w:r>
        <w:rPr>
          <w:spacing w:val="-5"/>
          <w:sz w:val="18"/>
        </w:rPr>
        <w:t> </w:t>
      </w:r>
      <w:r>
        <w:rPr>
          <w:sz w:val="18"/>
        </w:rPr>
        <w:t>government</w:t>
      </w:r>
      <w:r>
        <w:rPr>
          <w:spacing w:val="-5"/>
          <w:sz w:val="18"/>
        </w:rPr>
        <w:t> </w:t>
      </w:r>
      <w:r>
        <w:rPr>
          <w:sz w:val="18"/>
        </w:rPr>
        <w:t>response</w:t>
      </w:r>
      <w:r>
        <w:rPr>
          <w:spacing w:val="-5"/>
          <w:sz w:val="18"/>
        </w:rPr>
        <w:t> </w:t>
      </w:r>
      <w:r>
        <w:rPr>
          <w:sz w:val="18"/>
        </w:rPr>
        <w:t>to</w:t>
      </w:r>
      <w:r>
        <w:rPr>
          <w:spacing w:val="-6"/>
          <w:sz w:val="18"/>
        </w:rPr>
        <w:t> </w:t>
      </w:r>
      <w:r>
        <w:rPr>
          <w:sz w:val="18"/>
        </w:rPr>
        <w:t>the</w:t>
      </w:r>
      <w:r>
        <w:rPr>
          <w:spacing w:val="-5"/>
          <w:sz w:val="18"/>
        </w:rPr>
        <w:t> </w:t>
      </w:r>
      <w:r>
        <w:rPr>
          <w:sz w:val="18"/>
        </w:rPr>
        <w:t>consultation</w:t>
      </w:r>
      <w:r>
        <w:rPr>
          <w:spacing w:val="-6"/>
          <w:sz w:val="18"/>
        </w:rPr>
        <w:t> </w:t>
      </w:r>
      <w:r>
        <w:rPr>
          <w:sz w:val="18"/>
        </w:rPr>
        <w:t>on reforms to retained EU employment law and the consultation on calculating holiday entitlement for part-year and irregular hours workers’ (DBT, 2023).</w:t>
      </w:r>
    </w:p>
    <w:p>
      <w:pPr>
        <w:pStyle w:val="ListParagraph"/>
        <w:numPr>
          <w:ilvl w:val="0"/>
          <w:numId w:val="3"/>
        </w:numPr>
        <w:tabs>
          <w:tab w:pos="1853" w:val="left" w:leader="none"/>
        </w:tabs>
        <w:spacing w:line="216" w:lineRule="exact" w:before="0" w:after="0"/>
        <w:ind w:left="1853" w:right="0" w:hanging="720"/>
        <w:jc w:val="left"/>
        <w:rPr>
          <w:sz w:val="18"/>
        </w:rPr>
      </w:pPr>
      <w:r>
        <w:rPr>
          <w:sz w:val="18"/>
        </w:rPr>
        <w:t>Part</w:t>
      </w:r>
      <w:r>
        <w:rPr>
          <w:spacing w:val="-10"/>
          <w:sz w:val="18"/>
        </w:rPr>
        <w:t> </w:t>
      </w:r>
      <w:r>
        <w:rPr>
          <w:sz w:val="18"/>
        </w:rPr>
        <w:t>1,</w:t>
      </w:r>
      <w:r>
        <w:rPr>
          <w:spacing w:val="-10"/>
          <w:sz w:val="18"/>
        </w:rPr>
        <w:t> </w:t>
      </w:r>
      <w:r>
        <w:rPr>
          <w:sz w:val="18"/>
        </w:rPr>
        <w:t>The</w:t>
      </w:r>
      <w:r>
        <w:rPr>
          <w:spacing w:val="-9"/>
          <w:sz w:val="18"/>
        </w:rPr>
        <w:t> </w:t>
      </w:r>
      <w:r>
        <w:rPr>
          <w:sz w:val="18"/>
        </w:rPr>
        <w:t>Employment</w:t>
      </w:r>
      <w:r>
        <w:rPr>
          <w:spacing w:val="-10"/>
          <w:sz w:val="18"/>
        </w:rPr>
        <w:t> </w:t>
      </w:r>
      <w:r>
        <w:rPr>
          <w:sz w:val="18"/>
        </w:rPr>
        <w:t>Rights</w:t>
      </w:r>
      <w:r>
        <w:rPr>
          <w:spacing w:val="-10"/>
          <w:sz w:val="18"/>
        </w:rPr>
        <w:t> </w:t>
      </w:r>
      <w:r>
        <w:rPr>
          <w:sz w:val="18"/>
        </w:rPr>
        <w:t>(Amendment,</w:t>
      </w:r>
      <w:r>
        <w:rPr>
          <w:spacing w:val="-9"/>
          <w:sz w:val="18"/>
        </w:rPr>
        <w:t> </w:t>
      </w:r>
      <w:r>
        <w:rPr>
          <w:sz w:val="18"/>
        </w:rPr>
        <w:t>Revocation</w:t>
      </w:r>
      <w:r>
        <w:rPr>
          <w:spacing w:val="-10"/>
          <w:sz w:val="18"/>
        </w:rPr>
        <w:t> </w:t>
      </w:r>
      <w:r>
        <w:rPr>
          <w:sz w:val="18"/>
        </w:rPr>
        <w:t>and</w:t>
      </w:r>
      <w:r>
        <w:rPr>
          <w:spacing w:val="-11"/>
          <w:sz w:val="18"/>
        </w:rPr>
        <w:t> </w:t>
      </w:r>
      <w:r>
        <w:rPr>
          <w:sz w:val="18"/>
        </w:rPr>
        <w:t>Transitional</w:t>
      </w:r>
      <w:r>
        <w:rPr>
          <w:spacing w:val="-10"/>
          <w:sz w:val="18"/>
        </w:rPr>
        <w:t> </w:t>
      </w:r>
      <w:r>
        <w:rPr>
          <w:sz w:val="18"/>
        </w:rPr>
        <w:t>Provision)</w:t>
      </w:r>
      <w:r>
        <w:rPr>
          <w:spacing w:val="-10"/>
          <w:sz w:val="18"/>
        </w:rPr>
        <w:t> </w:t>
      </w:r>
      <w:r>
        <w:rPr>
          <w:sz w:val="18"/>
        </w:rPr>
        <w:t>Regulations</w:t>
      </w:r>
      <w:r>
        <w:rPr>
          <w:spacing w:val="-10"/>
          <w:sz w:val="18"/>
        </w:rPr>
        <w:t> </w:t>
      </w:r>
      <w:r>
        <w:rPr>
          <w:spacing w:val="-2"/>
          <w:sz w:val="18"/>
        </w:rPr>
        <w:t>2023.</w:t>
      </w:r>
    </w:p>
    <w:p>
      <w:pPr>
        <w:pStyle w:val="ListParagraph"/>
        <w:numPr>
          <w:ilvl w:val="0"/>
          <w:numId w:val="3"/>
        </w:numPr>
        <w:tabs>
          <w:tab w:pos="1853" w:val="left" w:leader="none"/>
        </w:tabs>
        <w:spacing w:line="235" w:lineRule="auto" w:before="2" w:after="0"/>
        <w:ind w:left="1853" w:right="1326" w:hanging="720"/>
        <w:jc w:val="left"/>
        <w:rPr>
          <w:sz w:val="18"/>
        </w:rPr>
      </w:pPr>
      <w:r>
        <w:rPr>
          <w:sz w:val="18"/>
        </w:rPr>
        <w:t>Department</w:t>
      </w:r>
      <w:r>
        <w:rPr>
          <w:spacing w:val="-7"/>
          <w:sz w:val="18"/>
        </w:rPr>
        <w:t> </w:t>
      </w:r>
      <w:r>
        <w:rPr>
          <w:sz w:val="18"/>
        </w:rPr>
        <w:t>of</w:t>
      </w:r>
      <w:r>
        <w:rPr>
          <w:spacing w:val="-7"/>
          <w:sz w:val="18"/>
        </w:rPr>
        <w:t> </w:t>
      </w:r>
      <w:r>
        <w:rPr>
          <w:sz w:val="18"/>
        </w:rPr>
        <w:t>Business</w:t>
      </w:r>
      <w:r>
        <w:rPr>
          <w:spacing w:val="-7"/>
          <w:sz w:val="18"/>
        </w:rPr>
        <w:t> </w:t>
      </w:r>
      <w:r>
        <w:rPr>
          <w:sz w:val="18"/>
        </w:rPr>
        <w:t>and</w:t>
      </w:r>
      <w:r>
        <w:rPr>
          <w:spacing w:val="-7"/>
          <w:sz w:val="18"/>
        </w:rPr>
        <w:t> </w:t>
      </w:r>
      <w:r>
        <w:rPr>
          <w:sz w:val="18"/>
        </w:rPr>
        <w:t>Trade,</w:t>
      </w:r>
      <w:r>
        <w:rPr>
          <w:spacing w:val="-7"/>
          <w:sz w:val="18"/>
        </w:rPr>
        <w:t> </w:t>
      </w:r>
      <w:r>
        <w:rPr>
          <w:sz w:val="18"/>
        </w:rPr>
        <w:t>‘Impact</w:t>
      </w:r>
      <w:r>
        <w:rPr>
          <w:spacing w:val="-7"/>
          <w:sz w:val="18"/>
        </w:rPr>
        <w:t> </w:t>
      </w:r>
      <w:r>
        <w:rPr>
          <w:sz w:val="18"/>
        </w:rPr>
        <w:t>Assessment:</w:t>
      </w:r>
      <w:r>
        <w:rPr>
          <w:spacing w:val="-7"/>
          <w:sz w:val="18"/>
        </w:rPr>
        <w:t> </w:t>
      </w:r>
      <w:r>
        <w:rPr>
          <w:sz w:val="18"/>
        </w:rPr>
        <w:t>Changing</w:t>
      </w:r>
      <w:r>
        <w:rPr>
          <w:spacing w:val="-7"/>
          <w:sz w:val="18"/>
        </w:rPr>
        <w:t> </w:t>
      </w:r>
      <w:r>
        <w:rPr>
          <w:sz w:val="18"/>
        </w:rPr>
        <w:t>Transfer</w:t>
      </w:r>
      <w:r>
        <w:rPr>
          <w:spacing w:val="-7"/>
          <w:sz w:val="18"/>
        </w:rPr>
        <w:t> </w:t>
      </w:r>
      <w:r>
        <w:rPr>
          <w:sz w:val="18"/>
        </w:rPr>
        <w:t>of</w:t>
      </w:r>
      <w:r>
        <w:rPr>
          <w:spacing w:val="-7"/>
          <w:sz w:val="18"/>
        </w:rPr>
        <w:t> </w:t>
      </w:r>
      <w:r>
        <w:rPr>
          <w:sz w:val="18"/>
        </w:rPr>
        <w:t>Undertakings</w:t>
      </w:r>
      <w:r>
        <w:rPr>
          <w:spacing w:val="-7"/>
          <w:sz w:val="18"/>
        </w:rPr>
        <w:t> </w:t>
      </w:r>
      <w:r>
        <w:rPr>
          <w:sz w:val="18"/>
        </w:rPr>
        <w:t>(Protection</w:t>
      </w:r>
      <w:r>
        <w:rPr>
          <w:spacing w:val="-7"/>
          <w:sz w:val="18"/>
        </w:rPr>
        <w:t> </w:t>
      </w:r>
      <w:r>
        <w:rPr>
          <w:sz w:val="18"/>
        </w:rPr>
        <w:t>of</w:t>
      </w:r>
      <w:r>
        <w:rPr>
          <w:spacing w:val="-7"/>
          <w:sz w:val="18"/>
        </w:rPr>
        <w:t> </w:t>
      </w:r>
      <w:r>
        <w:rPr>
          <w:sz w:val="18"/>
        </w:rPr>
        <w:t>Employment) (TUPE) Regulations in relation to Retained European Union Law’ (DBT, 2023); Department of Business and Trade, ‘Reducing</w:t>
      </w:r>
      <w:r>
        <w:rPr>
          <w:spacing w:val="-1"/>
          <w:sz w:val="18"/>
        </w:rPr>
        <w:t> </w:t>
      </w:r>
      <w:r>
        <w:rPr>
          <w:sz w:val="18"/>
        </w:rPr>
        <w:t>the</w:t>
      </w:r>
      <w:r>
        <w:rPr>
          <w:spacing w:val="-2"/>
          <w:sz w:val="18"/>
        </w:rPr>
        <w:t> </w:t>
      </w:r>
      <w:r>
        <w:rPr>
          <w:sz w:val="18"/>
        </w:rPr>
        <w:t>administrative</w:t>
      </w:r>
      <w:r>
        <w:rPr>
          <w:spacing w:val="-1"/>
          <w:sz w:val="18"/>
        </w:rPr>
        <w:t> </w:t>
      </w:r>
      <w:r>
        <w:rPr>
          <w:sz w:val="18"/>
        </w:rPr>
        <w:t>burden</w:t>
      </w:r>
      <w:r>
        <w:rPr>
          <w:spacing w:val="-2"/>
          <w:sz w:val="18"/>
        </w:rPr>
        <w:t> </w:t>
      </w:r>
      <w:r>
        <w:rPr>
          <w:sz w:val="18"/>
        </w:rPr>
        <w:t>of</w:t>
      </w:r>
      <w:r>
        <w:rPr>
          <w:spacing w:val="-2"/>
          <w:sz w:val="18"/>
        </w:rPr>
        <w:t> </w:t>
      </w:r>
      <w:r>
        <w:rPr>
          <w:sz w:val="18"/>
        </w:rPr>
        <w:t>the</w:t>
      </w:r>
      <w:r>
        <w:rPr>
          <w:spacing w:val="-1"/>
          <w:sz w:val="18"/>
        </w:rPr>
        <w:t> </w:t>
      </w:r>
      <w:r>
        <w:rPr>
          <w:sz w:val="18"/>
        </w:rPr>
        <w:t>Working</w:t>
      </w:r>
      <w:r>
        <w:rPr>
          <w:spacing w:val="-2"/>
          <w:sz w:val="18"/>
        </w:rPr>
        <w:t> </w:t>
      </w:r>
      <w:r>
        <w:rPr>
          <w:sz w:val="18"/>
        </w:rPr>
        <w:t>Time</w:t>
      </w:r>
      <w:r>
        <w:rPr>
          <w:spacing w:val="-1"/>
          <w:sz w:val="18"/>
        </w:rPr>
        <w:t> </w:t>
      </w:r>
      <w:r>
        <w:rPr>
          <w:sz w:val="18"/>
        </w:rPr>
        <w:t>Regulations’</w:t>
      </w:r>
      <w:r>
        <w:rPr>
          <w:spacing w:val="-2"/>
          <w:sz w:val="18"/>
        </w:rPr>
        <w:t> </w:t>
      </w:r>
      <w:r>
        <w:rPr>
          <w:sz w:val="18"/>
        </w:rPr>
        <w:t>(DBT,</w:t>
      </w:r>
      <w:r>
        <w:rPr>
          <w:spacing w:val="-1"/>
          <w:sz w:val="18"/>
        </w:rPr>
        <w:t> </w:t>
      </w:r>
      <w:r>
        <w:rPr>
          <w:sz w:val="18"/>
        </w:rPr>
        <w:t>2022);</w:t>
      </w:r>
      <w:r>
        <w:rPr>
          <w:spacing w:val="-2"/>
          <w:sz w:val="18"/>
        </w:rPr>
        <w:t> </w:t>
      </w:r>
      <w:r>
        <w:rPr>
          <w:sz w:val="18"/>
        </w:rPr>
        <w:t>Department</w:t>
      </w:r>
      <w:r>
        <w:rPr>
          <w:spacing w:val="-1"/>
          <w:sz w:val="18"/>
        </w:rPr>
        <w:t> </w:t>
      </w:r>
      <w:r>
        <w:rPr>
          <w:sz w:val="18"/>
        </w:rPr>
        <w:t>of</w:t>
      </w:r>
      <w:r>
        <w:rPr>
          <w:spacing w:val="-2"/>
          <w:sz w:val="18"/>
        </w:rPr>
        <w:t> </w:t>
      </w:r>
      <w:r>
        <w:rPr>
          <w:sz w:val="18"/>
        </w:rPr>
        <w:t>Business</w:t>
      </w:r>
      <w:r>
        <w:rPr>
          <w:spacing w:val="-2"/>
          <w:sz w:val="18"/>
        </w:rPr>
        <w:t> </w:t>
      </w:r>
      <w:r>
        <w:rPr>
          <w:sz w:val="18"/>
        </w:rPr>
        <w:t>and</w:t>
      </w:r>
      <w:r>
        <w:rPr>
          <w:spacing w:val="-2"/>
          <w:sz w:val="18"/>
        </w:rPr>
        <w:t> </w:t>
      </w:r>
      <w:r>
        <w:rPr>
          <w:sz w:val="18"/>
        </w:rPr>
        <w:t>Trade, ‘Holiday Pay and Entitlement reforms in relation to Retained European Union Law’ (DBT, 2023).</w:t>
      </w:r>
    </w:p>
    <w:p>
      <w:pPr>
        <w:pStyle w:val="ListParagraph"/>
        <w:numPr>
          <w:ilvl w:val="0"/>
          <w:numId w:val="3"/>
        </w:numPr>
        <w:tabs>
          <w:tab w:pos="1853" w:val="left" w:leader="none"/>
        </w:tabs>
        <w:spacing w:line="235" w:lineRule="auto" w:before="3" w:after="0"/>
        <w:ind w:left="1853" w:right="1290" w:hanging="720"/>
        <w:jc w:val="left"/>
        <w:rPr>
          <w:sz w:val="18"/>
        </w:rPr>
      </w:pPr>
      <w:r>
        <w:rPr>
          <w:sz w:val="18"/>
        </w:rPr>
        <w:t>Department</w:t>
      </w:r>
      <w:r>
        <w:rPr>
          <w:spacing w:val="-6"/>
          <w:sz w:val="18"/>
        </w:rPr>
        <w:t> </w:t>
      </w:r>
      <w:r>
        <w:rPr>
          <w:sz w:val="18"/>
        </w:rPr>
        <w:t>of</w:t>
      </w:r>
      <w:r>
        <w:rPr>
          <w:spacing w:val="-7"/>
          <w:sz w:val="18"/>
        </w:rPr>
        <w:t> </w:t>
      </w:r>
      <w:r>
        <w:rPr>
          <w:sz w:val="18"/>
        </w:rPr>
        <w:t>Business</w:t>
      </w:r>
      <w:r>
        <w:rPr>
          <w:spacing w:val="-7"/>
          <w:sz w:val="18"/>
        </w:rPr>
        <w:t> </w:t>
      </w:r>
      <w:r>
        <w:rPr>
          <w:sz w:val="18"/>
        </w:rPr>
        <w:t>and</w:t>
      </w:r>
      <w:r>
        <w:rPr>
          <w:spacing w:val="-7"/>
          <w:sz w:val="18"/>
        </w:rPr>
        <w:t> </w:t>
      </w:r>
      <w:r>
        <w:rPr>
          <w:sz w:val="18"/>
        </w:rPr>
        <w:t>Trade,</w:t>
      </w:r>
      <w:r>
        <w:rPr>
          <w:spacing w:val="-6"/>
          <w:sz w:val="18"/>
        </w:rPr>
        <w:t> </w:t>
      </w:r>
      <w:r>
        <w:rPr>
          <w:sz w:val="18"/>
        </w:rPr>
        <w:t>‘Explanatory</w:t>
      </w:r>
      <w:r>
        <w:rPr>
          <w:spacing w:val="-6"/>
          <w:sz w:val="18"/>
        </w:rPr>
        <w:t> </w:t>
      </w:r>
      <w:r>
        <w:rPr>
          <w:sz w:val="18"/>
        </w:rPr>
        <w:t>Memorandum</w:t>
      </w:r>
      <w:r>
        <w:rPr>
          <w:spacing w:val="-6"/>
          <w:sz w:val="18"/>
        </w:rPr>
        <w:t> </w:t>
      </w:r>
      <w:r>
        <w:rPr>
          <w:sz w:val="18"/>
        </w:rPr>
        <w:t>to</w:t>
      </w:r>
      <w:r>
        <w:rPr>
          <w:spacing w:val="-7"/>
          <w:sz w:val="18"/>
        </w:rPr>
        <w:t> </w:t>
      </w:r>
      <w:r>
        <w:rPr>
          <w:sz w:val="18"/>
        </w:rPr>
        <w:t>the</w:t>
      </w:r>
      <w:r>
        <w:rPr>
          <w:spacing w:val="-6"/>
          <w:sz w:val="18"/>
        </w:rPr>
        <w:t> </w:t>
      </w:r>
      <w:r>
        <w:rPr>
          <w:sz w:val="18"/>
        </w:rPr>
        <w:t>Employment</w:t>
      </w:r>
      <w:r>
        <w:rPr>
          <w:spacing w:val="-6"/>
          <w:sz w:val="18"/>
        </w:rPr>
        <w:t> </w:t>
      </w:r>
      <w:r>
        <w:rPr>
          <w:sz w:val="18"/>
        </w:rPr>
        <w:t>Rights</w:t>
      </w:r>
      <w:r>
        <w:rPr>
          <w:spacing w:val="-7"/>
          <w:sz w:val="18"/>
        </w:rPr>
        <w:t> </w:t>
      </w:r>
      <w:r>
        <w:rPr>
          <w:sz w:val="18"/>
        </w:rPr>
        <w:t>(Amendment,</w:t>
      </w:r>
      <w:r>
        <w:rPr>
          <w:spacing w:val="-6"/>
          <w:sz w:val="18"/>
        </w:rPr>
        <w:t> </w:t>
      </w:r>
      <w:r>
        <w:rPr>
          <w:sz w:val="18"/>
        </w:rPr>
        <w:t>Revocation</w:t>
      </w:r>
      <w:r>
        <w:rPr>
          <w:spacing w:val="-7"/>
          <w:sz w:val="18"/>
        </w:rPr>
        <w:t> </w:t>
      </w:r>
      <w:r>
        <w:rPr>
          <w:sz w:val="18"/>
        </w:rPr>
        <w:t>and Transitional Provision) Regulations 2023’ (DBT, 2023).</w:t>
      </w:r>
    </w:p>
    <w:p>
      <w:pPr>
        <w:pStyle w:val="ListParagraph"/>
        <w:numPr>
          <w:ilvl w:val="0"/>
          <w:numId w:val="3"/>
        </w:numPr>
        <w:tabs>
          <w:tab w:pos="1853" w:val="left" w:leader="none"/>
        </w:tabs>
        <w:spacing w:line="216" w:lineRule="exact" w:before="0" w:after="0"/>
        <w:ind w:left="1853" w:right="0" w:hanging="720"/>
        <w:jc w:val="left"/>
        <w:rPr>
          <w:sz w:val="18"/>
        </w:rPr>
      </w:pPr>
      <w:r>
        <w:rPr>
          <w:i/>
          <w:sz w:val="18"/>
        </w:rPr>
        <w:t>In</w:t>
      </w:r>
      <w:r>
        <w:rPr>
          <w:i/>
          <w:spacing w:val="-4"/>
          <w:sz w:val="18"/>
        </w:rPr>
        <w:t> </w:t>
      </w:r>
      <w:r>
        <w:rPr>
          <w:i/>
          <w:sz w:val="18"/>
        </w:rPr>
        <w:t>the</w:t>
      </w:r>
      <w:r>
        <w:rPr>
          <w:i/>
          <w:spacing w:val="-4"/>
          <w:sz w:val="18"/>
        </w:rPr>
        <w:t> </w:t>
      </w:r>
      <w:r>
        <w:rPr>
          <w:i/>
          <w:sz w:val="18"/>
        </w:rPr>
        <w:t>Matter</w:t>
      </w:r>
      <w:r>
        <w:rPr>
          <w:i/>
          <w:spacing w:val="-3"/>
          <w:sz w:val="18"/>
        </w:rPr>
        <w:t> </w:t>
      </w:r>
      <w:r>
        <w:rPr>
          <w:i/>
          <w:sz w:val="18"/>
        </w:rPr>
        <w:t>of</w:t>
      </w:r>
      <w:r>
        <w:rPr>
          <w:i/>
          <w:spacing w:val="-4"/>
          <w:sz w:val="18"/>
        </w:rPr>
        <w:t> </w:t>
      </w:r>
      <w:r>
        <w:rPr>
          <w:i/>
          <w:sz w:val="18"/>
        </w:rPr>
        <w:t>an</w:t>
      </w:r>
      <w:r>
        <w:rPr>
          <w:i/>
          <w:spacing w:val="-4"/>
          <w:sz w:val="18"/>
        </w:rPr>
        <w:t> </w:t>
      </w:r>
      <w:r>
        <w:rPr>
          <w:i/>
          <w:sz w:val="18"/>
        </w:rPr>
        <w:t>Application</w:t>
      </w:r>
      <w:r>
        <w:rPr>
          <w:i/>
          <w:spacing w:val="-3"/>
          <w:sz w:val="18"/>
        </w:rPr>
        <w:t> </w:t>
      </w:r>
      <w:r>
        <w:rPr>
          <w:i/>
          <w:sz w:val="18"/>
        </w:rPr>
        <w:t>by</w:t>
      </w:r>
      <w:r>
        <w:rPr>
          <w:i/>
          <w:spacing w:val="-4"/>
          <w:sz w:val="18"/>
        </w:rPr>
        <w:t> </w:t>
      </w:r>
      <w:r>
        <w:rPr>
          <w:i/>
          <w:sz w:val="18"/>
        </w:rPr>
        <w:t>Aman</w:t>
      </w:r>
      <w:r>
        <w:rPr>
          <w:i/>
          <w:spacing w:val="-4"/>
          <w:sz w:val="18"/>
        </w:rPr>
        <w:t> </w:t>
      </w:r>
      <w:r>
        <w:rPr>
          <w:i/>
          <w:sz w:val="18"/>
        </w:rPr>
        <w:t>Angesom</w:t>
      </w:r>
      <w:r>
        <w:rPr>
          <w:i/>
          <w:spacing w:val="-4"/>
          <w:sz w:val="18"/>
        </w:rPr>
        <w:t> </w:t>
      </w:r>
      <w:r>
        <w:rPr>
          <w:i/>
          <w:sz w:val="18"/>
        </w:rPr>
        <w:t>for</w:t>
      </w:r>
      <w:r>
        <w:rPr>
          <w:i/>
          <w:spacing w:val="-3"/>
          <w:sz w:val="18"/>
        </w:rPr>
        <w:t> </w:t>
      </w:r>
      <w:r>
        <w:rPr>
          <w:i/>
          <w:sz w:val="18"/>
        </w:rPr>
        <w:t>Judicial</w:t>
      </w:r>
      <w:r>
        <w:rPr>
          <w:i/>
          <w:spacing w:val="-4"/>
          <w:sz w:val="18"/>
        </w:rPr>
        <w:t> </w:t>
      </w:r>
      <w:r>
        <w:rPr>
          <w:i/>
          <w:sz w:val="18"/>
        </w:rPr>
        <w:t>Review</w:t>
      </w:r>
      <w:r>
        <w:rPr>
          <w:i/>
          <w:spacing w:val="-3"/>
          <w:sz w:val="18"/>
        </w:rPr>
        <w:t> </w:t>
      </w:r>
      <w:r>
        <w:rPr>
          <w:sz w:val="18"/>
        </w:rPr>
        <w:t>[2023]</w:t>
      </w:r>
      <w:r>
        <w:rPr>
          <w:spacing w:val="-4"/>
          <w:sz w:val="18"/>
        </w:rPr>
        <w:t> </w:t>
      </w:r>
      <w:r>
        <w:rPr>
          <w:sz w:val="18"/>
        </w:rPr>
        <w:t>NIKB</w:t>
      </w:r>
      <w:r>
        <w:rPr>
          <w:spacing w:val="-3"/>
          <w:sz w:val="18"/>
        </w:rPr>
        <w:t> </w:t>
      </w:r>
      <w:r>
        <w:rPr>
          <w:sz w:val="18"/>
        </w:rPr>
        <w:t>102,</w:t>
      </w:r>
      <w:r>
        <w:rPr>
          <w:spacing w:val="-3"/>
          <w:sz w:val="18"/>
        </w:rPr>
        <w:t> </w:t>
      </w:r>
      <w:r>
        <w:rPr>
          <w:sz w:val="18"/>
        </w:rPr>
        <w:t>at</w:t>
      </w:r>
      <w:r>
        <w:rPr>
          <w:spacing w:val="-3"/>
          <w:sz w:val="18"/>
        </w:rPr>
        <w:t> </w:t>
      </w:r>
      <w:r>
        <w:rPr>
          <w:sz w:val="18"/>
        </w:rPr>
        <w:t>para</w:t>
      </w:r>
      <w:r>
        <w:rPr>
          <w:spacing w:val="-4"/>
          <w:sz w:val="18"/>
        </w:rPr>
        <w:t> </w:t>
      </w:r>
      <w:r>
        <w:rPr>
          <w:spacing w:val="-5"/>
          <w:sz w:val="18"/>
        </w:rPr>
        <w:t>94.</w:t>
      </w:r>
    </w:p>
    <w:p>
      <w:pPr>
        <w:pStyle w:val="ListParagraph"/>
        <w:numPr>
          <w:ilvl w:val="0"/>
          <w:numId w:val="3"/>
        </w:numPr>
        <w:tabs>
          <w:tab w:pos="1853" w:val="left" w:leader="none"/>
        </w:tabs>
        <w:spacing w:line="218" w:lineRule="exact" w:before="0" w:after="0"/>
        <w:ind w:left="1853" w:right="0" w:hanging="720"/>
        <w:jc w:val="left"/>
        <w:rPr>
          <w:sz w:val="18"/>
        </w:rPr>
      </w:pPr>
      <w:r>
        <w:rPr>
          <w:i/>
          <w:sz w:val="18"/>
        </w:rPr>
        <w:t>Secretary</w:t>
      </w:r>
      <w:r>
        <w:rPr>
          <w:i/>
          <w:spacing w:val="-7"/>
          <w:sz w:val="18"/>
        </w:rPr>
        <w:t> </w:t>
      </w:r>
      <w:r>
        <w:rPr>
          <w:i/>
          <w:sz w:val="18"/>
        </w:rPr>
        <w:t>of</w:t>
      </w:r>
      <w:r>
        <w:rPr>
          <w:i/>
          <w:spacing w:val="-5"/>
          <w:sz w:val="18"/>
        </w:rPr>
        <w:t> </w:t>
      </w:r>
      <w:r>
        <w:rPr>
          <w:i/>
          <w:sz w:val="18"/>
        </w:rPr>
        <w:t>State</w:t>
      </w:r>
      <w:r>
        <w:rPr>
          <w:i/>
          <w:spacing w:val="-4"/>
          <w:sz w:val="18"/>
        </w:rPr>
        <w:t> </w:t>
      </w:r>
      <w:r>
        <w:rPr>
          <w:i/>
          <w:sz w:val="18"/>
        </w:rPr>
        <w:t>for</w:t>
      </w:r>
      <w:r>
        <w:rPr>
          <w:i/>
          <w:spacing w:val="-4"/>
          <w:sz w:val="18"/>
        </w:rPr>
        <w:t> </w:t>
      </w:r>
      <w:r>
        <w:rPr>
          <w:i/>
          <w:sz w:val="18"/>
        </w:rPr>
        <w:t>Work</w:t>
      </w:r>
      <w:r>
        <w:rPr>
          <w:i/>
          <w:spacing w:val="-3"/>
          <w:sz w:val="18"/>
        </w:rPr>
        <w:t> </w:t>
      </w:r>
      <w:r>
        <w:rPr>
          <w:i/>
          <w:sz w:val="18"/>
        </w:rPr>
        <w:t>and</w:t>
      </w:r>
      <w:r>
        <w:rPr>
          <w:i/>
          <w:spacing w:val="-5"/>
          <w:sz w:val="18"/>
        </w:rPr>
        <w:t> </w:t>
      </w:r>
      <w:r>
        <w:rPr>
          <w:i/>
          <w:sz w:val="18"/>
        </w:rPr>
        <w:t>Pensions</w:t>
      </w:r>
      <w:r>
        <w:rPr>
          <w:i/>
          <w:spacing w:val="-5"/>
          <w:sz w:val="18"/>
        </w:rPr>
        <w:t> </w:t>
      </w:r>
      <w:r>
        <w:rPr>
          <w:i/>
          <w:sz w:val="18"/>
        </w:rPr>
        <w:t>v</w:t>
      </w:r>
      <w:r>
        <w:rPr>
          <w:i/>
          <w:spacing w:val="-4"/>
          <w:sz w:val="18"/>
        </w:rPr>
        <w:t> </w:t>
      </w:r>
      <w:r>
        <w:rPr>
          <w:i/>
          <w:sz w:val="18"/>
        </w:rPr>
        <w:t>AT</w:t>
      </w:r>
      <w:r>
        <w:rPr>
          <w:i/>
          <w:spacing w:val="-5"/>
          <w:sz w:val="18"/>
        </w:rPr>
        <w:t> </w:t>
      </w:r>
      <w:r>
        <w:rPr>
          <w:sz w:val="18"/>
        </w:rPr>
        <w:t>[2023]</w:t>
      </w:r>
      <w:r>
        <w:rPr>
          <w:spacing w:val="-3"/>
          <w:sz w:val="18"/>
        </w:rPr>
        <w:t> </w:t>
      </w:r>
      <w:r>
        <w:rPr>
          <w:sz w:val="18"/>
        </w:rPr>
        <w:t>EWCA</w:t>
      </w:r>
      <w:r>
        <w:rPr>
          <w:spacing w:val="-4"/>
          <w:sz w:val="18"/>
        </w:rPr>
        <w:t> </w:t>
      </w:r>
      <w:r>
        <w:rPr>
          <w:sz w:val="18"/>
        </w:rPr>
        <w:t>Civ</w:t>
      </w:r>
      <w:r>
        <w:rPr>
          <w:spacing w:val="-4"/>
          <w:sz w:val="18"/>
        </w:rPr>
        <w:t> </w:t>
      </w:r>
      <w:r>
        <w:rPr>
          <w:sz w:val="18"/>
        </w:rPr>
        <w:t>1307,</w:t>
      </w:r>
      <w:r>
        <w:rPr>
          <w:spacing w:val="-4"/>
          <w:sz w:val="18"/>
        </w:rPr>
        <w:t> </w:t>
      </w:r>
      <w:r>
        <w:rPr>
          <w:sz w:val="18"/>
        </w:rPr>
        <w:t>at</w:t>
      </w:r>
      <w:r>
        <w:rPr>
          <w:spacing w:val="-4"/>
          <w:sz w:val="18"/>
        </w:rPr>
        <w:t> </w:t>
      </w:r>
      <w:r>
        <w:rPr>
          <w:sz w:val="18"/>
        </w:rPr>
        <w:t>para</w:t>
      </w:r>
      <w:r>
        <w:rPr>
          <w:spacing w:val="-4"/>
          <w:sz w:val="18"/>
        </w:rPr>
        <w:t> 113.</w:t>
      </w:r>
    </w:p>
    <w:p>
      <w:pPr>
        <w:spacing w:after="0" w:line="218" w:lineRule="exact"/>
        <w:jc w:val="left"/>
        <w:rPr>
          <w:sz w:val="18"/>
        </w:rPr>
        <w:sectPr>
          <w:pgSz w:w="11910" w:h="16840"/>
          <w:pgMar w:header="496" w:footer="367" w:top="1220" w:bottom="560" w:left="0" w:right="0"/>
        </w:sectPr>
      </w:pPr>
    </w:p>
    <w:p>
      <w:pPr>
        <w:pStyle w:val="BodyText"/>
        <w:spacing w:before="198"/>
      </w:pPr>
    </w:p>
    <w:p>
      <w:pPr>
        <w:pStyle w:val="ListParagraph"/>
        <w:numPr>
          <w:ilvl w:val="1"/>
          <w:numId w:val="5"/>
        </w:numPr>
        <w:tabs>
          <w:tab w:pos="1853" w:val="left" w:leader="none"/>
        </w:tabs>
        <w:spacing w:line="225" w:lineRule="auto" w:before="0" w:after="0"/>
        <w:ind w:left="1853" w:right="1315" w:hanging="720"/>
        <w:jc w:val="left"/>
        <w:rPr>
          <w:b/>
          <w:color w:val="67287F"/>
          <w:sz w:val="28"/>
        </w:rPr>
      </w:pPr>
      <w:bookmarkStart w:name="_bookmark12" w:id="26"/>
      <w:bookmarkEnd w:id="26"/>
      <w:r>
        <w:rPr/>
      </w:r>
      <w:r>
        <w:rPr>
          <w:b/>
          <w:color w:val="67287F"/>
          <w:sz w:val="28"/>
        </w:rPr>
        <w:t>The Commissions continue to recommend that the Retained EU Law (Revocation</w:t>
      </w:r>
      <w:r>
        <w:rPr>
          <w:b/>
          <w:color w:val="67287F"/>
          <w:spacing w:val="-7"/>
          <w:sz w:val="28"/>
        </w:rPr>
        <w:t> </w:t>
      </w:r>
      <w:r>
        <w:rPr>
          <w:b/>
          <w:color w:val="67287F"/>
          <w:sz w:val="28"/>
        </w:rPr>
        <w:t>and</w:t>
      </w:r>
      <w:r>
        <w:rPr>
          <w:b/>
          <w:color w:val="67287F"/>
          <w:spacing w:val="-7"/>
          <w:sz w:val="28"/>
        </w:rPr>
        <w:t> </w:t>
      </w:r>
      <w:r>
        <w:rPr>
          <w:b/>
          <w:color w:val="67287F"/>
          <w:sz w:val="28"/>
        </w:rPr>
        <w:t>Reform)</w:t>
      </w:r>
      <w:r>
        <w:rPr>
          <w:b/>
          <w:color w:val="67287F"/>
          <w:spacing w:val="-7"/>
          <w:sz w:val="28"/>
        </w:rPr>
        <w:t> </w:t>
      </w:r>
      <w:r>
        <w:rPr>
          <w:b/>
          <w:color w:val="67287F"/>
          <w:sz w:val="28"/>
        </w:rPr>
        <w:t>Act</w:t>
      </w:r>
      <w:r>
        <w:rPr>
          <w:b/>
          <w:color w:val="67287F"/>
          <w:spacing w:val="-7"/>
          <w:sz w:val="28"/>
        </w:rPr>
        <w:t> </w:t>
      </w:r>
      <w:r>
        <w:rPr>
          <w:b/>
          <w:color w:val="67287F"/>
          <w:sz w:val="28"/>
        </w:rPr>
        <w:t>2023</w:t>
      </w:r>
      <w:r>
        <w:rPr>
          <w:b/>
          <w:color w:val="67287F"/>
          <w:spacing w:val="-7"/>
          <w:sz w:val="28"/>
        </w:rPr>
        <w:t> </w:t>
      </w:r>
      <w:r>
        <w:rPr>
          <w:b/>
          <w:color w:val="67287F"/>
          <w:sz w:val="28"/>
        </w:rPr>
        <w:t>be</w:t>
      </w:r>
      <w:r>
        <w:rPr>
          <w:b/>
          <w:color w:val="67287F"/>
          <w:spacing w:val="-7"/>
          <w:sz w:val="28"/>
        </w:rPr>
        <w:t> </w:t>
      </w:r>
      <w:r>
        <w:rPr>
          <w:b/>
          <w:color w:val="67287F"/>
          <w:sz w:val="28"/>
        </w:rPr>
        <w:t>amended</w:t>
      </w:r>
      <w:r>
        <w:rPr>
          <w:b/>
          <w:color w:val="67287F"/>
          <w:spacing w:val="-7"/>
          <w:sz w:val="28"/>
        </w:rPr>
        <w:t> </w:t>
      </w:r>
      <w:r>
        <w:rPr>
          <w:b/>
          <w:color w:val="67287F"/>
          <w:sz w:val="28"/>
        </w:rPr>
        <w:t>to</w:t>
      </w:r>
      <w:r>
        <w:rPr>
          <w:b/>
          <w:color w:val="67287F"/>
          <w:spacing w:val="-7"/>
          <w:sz w:val="28"/>
        </w:rPr>
        <w:t> </w:t>
      </w:r>
      <w:r>
        <w:rPr>
          <w:b/>
          <w:color w:val="67287F"/>
          <w:sz w:val="28"/>
        </w:rPr>
        <w:t>confirm</w:t>
      </w:r>
      <w:r>
        <w:rPr>
          <w:b/>
          <w:color w:val="67287F"/>
          <w:spacing w:val="-7"/>
          <w:sz w:val="28"/>
        </w:rPr>
        <w:t> </w:t>
      </w:r>
      <w:r>
        <w:rPr>
          <w:b/>
          <w:color w:val="67287F"/>
          <w:sz w:val="28"/>
        </w:rPr>
        <w:t>that</w:t>
      </w:r>
      <w:r>
        <w:rPr>
          <w:b/>
          <w:color w:val="67287F"/>
          <w:spacing w:val="-7"/>
          <w:sz w:val="28"/>
        </w:rPr>
        <w:t> </w:t>
      </w:r>
      <w:r>
        <w:rPr>
          <w:b/>
          <w:color w:val="67287F"/>
          <w:sz w:val="28"/>
        </w:rPr>
        <w:t>sections</w:t>
      </w:r>
      <w:r>
        <w:rPr>
          <w:b/>
          <w:color w:val="67287F"/>
          <w:spacing w:val="-7"/>
          <w:sz w:val="28"/>
        </w:rPr>
        <w:t> </w:t>
      </w:r>
      <w:r>
        <w:rPr>
          <w:b/>
          <w:color w:val="67287F"/>
          <w:sz w:val="28"/>
        </w:rPr>
        <w:t>2-4 are without prejudice to Section 7A of the EU Withdrawal Act 2018.</w:t>
      </w:r>
    </w:p>
    <w:p>
      <w:pPr>
        <w:pStyle w:val="ListParagraph"/>
        <w:numPr>
          <w:ilvl w:val="1"/>
          <w:numId w:val="5"/>
        </w:numPr>
        <w:tabs>
          <w:tab w:pos="1853" w:val="left" w:leader="none"/>
        </w:tabs>
        <w:spacing w:line="225" w:lineRule="auto" w:before="317" w:after="0"/>
        <w:ind w:left="1853" w:right="1319" w:hanging="720"/>
        <w:jc w:val="left"/>
        <w:rPr>
          <w:b/>
          <w:color w:val="67287F"/>
          <w:sz w:val="28"/>
        </w:rPr>
      </w:pPr>
      <w:r>
        <w:rPr>
          <w:b/>
          <w:color w:val="67287F"/>
          <w:sz w:val="28"/>
        </w:rPr>
        <w:t>The Commissions recommend that, consistent with principles of transparency</w:t>
      </w:r>
      <w:r>
        <w:rPr>
          <w:b/>
          <w:color w:val="67287F"/>
          <w:spacing w:val="-6"/>
          <w:sz w:val="28"/>
        </w:rPr>
        <w:t> </w:t>
      </w:r>
      <w:r>
        <w:rPr>
          <w:b/>
          <w:color w:val="67287F"/>
          <w:sz w:val="28"/>
        </w:rPr>
        <w:t>and</w:t>
      </w:r>
      <w:r>
        <w:rPr>
          <w:b/>
          <w:color w:val="67287F"/>
          <w:spacing w:val="-6"/>
          <w:sz w:val="28"/>
        </w:rPr>
        <w:t> </w:t>
      </w:r>
      <w:r>
        <w:rPr>
          <w:b/>
          <w:color w:val="67287F"/>
          <w:sz w:val="28"/>
        </w:rPr>
        <w:t>openness,</w:t>
      </w:r>
      <w:r>
        <w:rPr>
          <w:b/>
          <w:color w:val="67287F"/>
          <w:spacing w:val="-6"/>
          <w:sz w:val="28"/>
        </w:rPr>
        <w:t> </w:t>
      </w:r>
      <w:r>
        <w:rPr>
          <w:b/>
          <w:color w:val="67287F"/>
          <w:sz w:val="28"/>
        </w:rPr>
        <w:t>the</w:t>
      </w:r>
      <w:r>
        <w:rPr>
          <w:b/>
          <w:color w:val="67287F"/>
          <w:spacing w:val="-7"/>
          <w:sz w:val="28"/>
        </w:rPr>
        <w:t> </w:t>
      </w:r>
      <w:r>
        <w:rPr>
          <w:b/>
          <w:color w:val="67287F"/>
          <w:sz w:val="28"/>
        </w:rPr>
        <w:t>UK</w:t>
      </w:r>
      <w:r>
        <w:rPr>
          <w:b/>
          <w:color w:val="67287F"/>
          <w:spacing w:val="-6"/>
          <w:sz w:val="28"/>
        </w:rPr>
        <w:t> </w:t>
      </w:r>
      <w:r>
        <w:rPr>
          <w:b/>
          <w:color w:val="67287F"/>
          <w:sz w:val="28"/>
        </w:rPr>
        <w:t>Government</w:t>
      </w:r>
      <w:r>
        <w:rPr>
          <w:b/>
          <w:color w:val="67287F"/>
          <w:spacing w:val="-6"/>
          <w:sz w:val="28"/>
        </w:rPr>
        <w:t> </w:t>
      </w:r>
      <w:r>
        <w:rPr>
          <w:b/>
          <w:color w:val="67287F"/>
          <w:sz w:val="28"/>
        </w:rPr>
        <w:t>publishes</w:t>
      </w:r>
      <w:r>
        <w:rPr>
          <w:b/>
          <w:color w:val="67287F"/>
          <w:spacing w:val="-6"/>
          <w:sz w:val="28"/>
        </w:rPr>
        <w:t> </w:t>
      </w:r>
      <w:r>
        <w:rPr>
          <w:b/>
          <w:color w:val="67287F"/>
          <w:sz w:val="28"/>
        </w:rPr>
        <w:t>guidance</w:t>
      </w:r>
      <w:r>
        <w:rPr>
          <w:b/>
          <w:color w:val="67287F"/>
          <w:spacing w:val="-7"/>
          <w:sz w:val="28"/>
        </w:rPr>
        <w:t> </w:t>
      </w:r>
      <w:r>
        <w:rPr>
          <w:b/>
          <w:color w:val="67287F"/>
          <w:sz w:val="28"/>
        </w:rPr>
        <w:t>on</w:t>
      </w:r>
      <w:r>
        <w:rPr>
          <w:b/>
          <w:color w:val="67287F"/>
          <w:spacing w:val="-6"/>
          <w:sz w:val="28"/>
        </w:rPr>
        <w:t> </w:t>
      </w:r>
      <w:r>
        <w:rPr>
          <w:b/>
          <w:color w:val="67287F"/>
          <w:sz w:val="28"/>
        </w:rPr>
        <w:t>the methodology, scope and approach to be taken by UK and NI departments in respect of the proposed codification of interpretative effects on a case- by-case</w:t>
      </w:r>
      <w:r>
        <w:rPr>
          <w:b/>
          <w:color w:val="67287F"/>
          <w:spacing w:val="-2"/>
          <w:sz w:val="28"/>
        </w:rPr>
        <w:t> </w:t>
      </w:r>
      <w:r>
        <w:rPr>
          <w:b/>
          <w:color w:val="67287F"/>
          <w:sz w:val="28"/>
        </w:rPr>
        <w:t>basis,</w:t>
      </w:r>
      <w:r>
        <w:rPr>
          <w:b/>
          <w:color w:val="67287F"/>
          <w:spacing w:val="-1"/>
          <w:sz w:val="28"/>
        </w:rPr>
        <w:t> </w:t>
      </w:r>
      <w:r>
        <w:rPr>
          <w:b/>
          <w:color w:val="67287F"/>
          <w:sz w:val="28"/>
        </w:rPr>
        <w:t>specifically</w:t>
      </w:r>
      <w:r>
        <w:rPr>
          <w:b/>
          <w:color w:val="67287F"/>
          <w:spacing w:val="-1"/>
          <w:sz w:val="28"/>
        </w:rPr>
        <w:t> </w:t>
      </w:r>
      <w:r>
        <w:rPr>
          <w:b/>
          <w:color w:val="67287F"/>
          <w:sz w:val="28"/>
        </w:rPr>
        <w:t>in</w:t>
      </w:r>
      <w:r>
        <w:rPr>
          <w:b/>
          <w:color w:val="67287F"/>
          <w:spacing w:val="-1"/>
          <w:sz w:val="28"/>
        </w:rPr>
        <w:t> </w:t>
      </w:r>
      <w:r>
        <w:rPr>
          <w:b/>
          <w:color w:val="67287F"/>
          <w:sz w:val="28"/>
        </w:rPr>
        <w:t>the</w:t>
      </w:r>
      <w:r>
        <w:rPr>
          <w:b/>
          <w:color w:val="67287F"/>
          <w:spacing w:val="-2"/>
          <w:sz w:val="28"/>
        </w:rPr>
        <w:t> </w:t>
      </w:r>
      <w:r>
        <w:rPr>
          <w:b/>
          <w:color w:val="67287F"/>
          <w:sz w:val="28"/>
        </w:rPr>
        <w:t>context</w:t>
      </w:r>
      <w:r>
        <w:rPr>
          <w:b/>
          <w:color w:val="67287F"/>
          <w:spacing w:val="-1"/>
          <w:sz w:val="28"/>
        </w:rPr>
        <w:t> </w:t>
      </w:r>
      <w:r>
        <w:rPr>
          <w:b/>
          <w:color w:val="67287F"/>
          <w:sz w:val="28"/>
        </w:rPr>
        <w:t>of</w:t>
      </w:r>
      <w:r>
        <w:rPr>
          <w:b/>
          <w:color w:val="67287F"/>
          <w:spacing w:val="-2"/>
          <w:sz w:val="28"/>
        </w:rPr>
        <w:t> </w:t>
      </w:r>
      <w:r>
        <w:rPr>
          <w:b/>
          <w:color w:val="67287F"/>
          <w:sz w:val="28"/>
        </w:rPr>
        <w:t>meeting</w:t>
      </w:r>
      <w:r>
        <w:rPr>
          <w:b/>
          <w:color w:val="67287F"/>
          <w:spacing w:val="-2"/>
          <w:sz w:val="28"/>
        </w:rPr>
        <w:t> </w:t>
      </w:r>
      <w:r>
        <w:rPr>
          <w:b/>
          <w:color w:val="67287F"/>
          <w:sz w:val="28"/>
        </w:rPr>
        <w:t>its</w:t>
      </w:r>
      <w:r>
        <w:rPr>
          <w:b/>
          <w:color w:val="67287F"/>
          <w:spacing w:val="-1"/>
          <w:sz w:val="28"/>
        </w:rPr>
        <w:t> </w:t>
      </w:r>
      <w:r>
        <w:rPr>
          <w:b/>
          <w:color w:val="67287F"/>
          <w:sz w:val="28"/>
        </w:rPr>
        <w:t>Windsor</w:t>
      </w:r>
      <w:r>
        <w:rPr>
          <w:b/>
          <w:color w:val="67287F"/>
          <w:spacing w:val="-2"/>
          <w:sz w:val="28"/>
        </w:rPr>
        <w:t> </w:t>
      </w:r>
      <w:r>
        <w:rPr>
          <w:b/>
          <w:color w:val="67287F"/>
          <w:sz w:val="28"/>
        </w:rPr>
        <w:t>Framework Article 2 commitments.</w:t>
      </w:r>
    </w:p>
    <w:p>
      <w:pPr>
        <w:pStyle w:val="ListParagraph"/>
        <w:numPr>
          <w:ilvl w:val="1"/>
          <w:numId w:val="5"/>
        </w:numPr>
        <w:tabs>
          <w:tab w:pos="1853" w:val="left" w:leader="none"/>
        </w:tabs>
        <w:spacing w:line="225" w:lineRule="auto" w:before="312" w:after="0"/>
        <w:ind w:left="1853" w:right="1252" w:hanging="720"/>
        <w:jc w:val="left"/>
        <w:rPr>
          <w:b/>
          <w:color w:val="67287F"/>
          <w:sz w:val="28"/>
        </w:rPr>
      </w:pPr>
      <w:r>
        <w:rPr>
          <w:b/>
          <w:color w:val="67287F"/>
          <w:sz w:val="28"/>
        </w:rPr>
        <w:t>In</w:t>
      </w:r>
      <w:r>
        <w:rPr>
          <w:b/>
          <w:color w:val="67287F"/>
          <w:spacing w:val="-5"/>
          <w:sz w:val="28"/>
        </w:rPr>
        <w:t> </w:t>
      </w:r>
      <w:r>
        <w:rPr>
          <w:b/>
          <w:color w:val="67287F"/>
          <w:sz w:val="28"/>
        </w:rPr>
        <w:t>order</w:t>
      </w:r>
      <w:r>
        <w:rPr>
          <w:b/>
          <w:color w:val="67287F"/>
          <w:spacing w:val="-6"/>
          <w:sz w:val="28"/>
        </w:rPr>
        <w:t> </w:t>
      </w:r>
      <w:r>
        <w:rPr>
          <w:b/>
          <w:color w:val="67287F"/>
          <w:sz w:val="28"/>
        </w:rPr>
        <w:t>to</w:t>
      </w:r>
      <w:r>
        <w:rPr>
          <w:b/>
          <w:color w:val="67287F"/>
          <w:spacing w:val="-5"/>
          <w:sz w:val="28"/>
        </w:rPr>
        <w:t> </w:t>
      </w:r>
      <w:r>
        <w:rPr>
          <w:b/>
          <w:color w:val="67287F"/>
          <w:sz w:val="28"/>
        </w:rPr>
        <w:t>increase</w:t>
      </w:r>
      <w:r>
        <w:rPr>
          <w:b/>
          <w:color w:val="67287F"/>
          <w:spacing w:val="-6"/>
          <w:sz w:val="28"/>
        </w:rPr>
        <w:t> </w:t>
      </w:r>
      <w:r>
        <w:rPr>
          <w:b/>
          <w:color w:val="67287F"/>
          <w:sz w:val="28"/>
        </w:rPr>
        <w:t>accessibility</w:t>
      </w:r>
      <w:r>
        <w:rPr>
          <w:b/>
          <w:color w:val="67287F"/>
          <w:spacing w:val="-5"/>
          <w:sz w:val="28"/>
        </w:rPr>
        <w:t> </w:t>
      </w:r>
      <w:r>
        <w:rPr>
          <w:b/>
          <w:color w:val="67287F"/>
          <w:sz w:val="28"/>
        </w:rPr>
        <w:t>and</w:t>
      </w:r>
      <w:r>
        <w:rPr>
          <w:b/>
          <w:color w:val="67287F"/>
          <w:spacing w:val="-5"/>
          <w:sz w:val="28"/>
        </w:rPr>
        <w:t> </w:t>
      </w:r>
      <w:r>
        <w:rPr>
          <w:b/>
          <w:color w:val="67287F"/>
          <w:sz w:val="28"/>
        </w:rPr>
        <w:t>clarity</w:t>
      </w:r>
      <w:r>
        <w:rPr>
          <w:b/>
          <w:color w:val="67287F"/>
          <w:spacing w:val="-5"/>
          <w:sz w:val="28"/>
        </w:rPr>
        <w:t> </w:t>
      </w:r>
      <w:r>
        <w:rPr>
          <w:b/>
          <w:color w:val="67287F"/>
          <w:sz w:val="28"/>
        </w:rPr>
        <w:t>of</w:t>
      </w:r>
      <w:r>
        <w:rPr>
          <w:b/>
          <w:color w:val="67287F"/>
          <w:spacing w:val="-6"/>
          <w:sz w:val="28"/>
        </w:rPr>
        <w:t> </w:t>
      </w:r>
      <w:r>
        <w:rPr>
          <w:b/>
          <w:color w:val="67287F"/>
          <w:sz w:val="28"/>
        </w:rPr>
        <w:t>the</w:t>
      </w:r>
      <w:r>
        <w:rPr>
          <w:b/>
          <w:color w:val="67287F"/>
          <w:spacing w:val="-6"/>
          <w:sz w:val="28"/>
        </w:rPr>
        <w:t> </w:t>
      </w:r>
      <w:r>
        <w:rPr>
          <w:b/>
          <w:color w:val="67287F"/>
          <w:sz w:val="28"/>
        </w:rPr>
        <w:t>statue</w:t>
      </w:r>
      <w:r>
        <w:rPr>
          <w:b/>
          <w:color w:val="67287F"/>
          <w:spacing w:val="-6"/>
          <w:sz w:val="28"/>
        </w:rPr>
        <w:t> </w:t>
      </w:r>
      <w:r>
        <w:rPr>
          <w:b/>
          <w:color w:val="67287F"/>
          <w:sz w:val="28"/>
        </w:rPr>
        <w:t>book,</w:t>
      </w:r>
      <w:r>
        <w:rPr>
          <w:b/>
          <w:color w:val="67287F"/>
          <w:spacing w:val="-5"/>
          <w:sz w:val="28"/>
        </w:rPr>
        <w:t> </w:t>
      </w:r>
      <w:r>
        <w:rPr>
          <w:b/>
          <w:color w:val="67287F"/>
          <w:sz w:val="28"/>
        </w:rPr>
        <w:t>and</w:t>
      </w:r>
      <w:r>
        <w:rPr>
          <w:b/>
          <w:color w:val="67287F"/>
          <w:spacing w:val="-5"/>
          <w:sz w:val="28"/>
        </w:rPr>
        <w:t> </w:t>
      </w:r>
      <w:r>
        <w:rPr>
          <w:b/>
          <w:color w:val="67287F"/>
          <w:sz w:val="28"/>
        </w:rPr>
        <w:t>increase accountability, transparency and openness, the Commissions recommend that the Department for Business and Trade and the Executive Office take steps to ensure that any changes to retained EU / assimilated law in NI relating to equality and human rights are made clear and easily accessible, including to those whose rights are affected.</w:t>
      </w:r>
    </w:p>
    <w:p>
      <w:pPr>
        <w:pStyle w:val="ListParagraph"/>
        <w:numPr>
          <w:ilvl w:val="1"/>
          <w:numId w:val="5"/>
        </w:numPr>
        <w:tabs>
          <w:tab w:pos="1853" w:val="left" w:leader="none"/>
        </w:tabs>
        <w:spacing w:line="225" w:lineRule="auto" w:before="312" w:after="0"/>
        <w:ind w:left="1853" w:right="1747" w:hanging="720"/>
        <w:jc w:val="left"/>
        <w:rPr>
          <w:b/>
          <w:color w:val="67287F"/>
          <w:sz w:val="28"/>
        </w:rPr>
      </w:pPr>
      <w:r>
        <w:rPr>
          <w:b/>
          <w:color w:val="67287F"/>
          <w:sz w:val="28"/>
        </w:rPr>
        <w:t>The Commissions continue to recommend that amendment or repeal</w:t>
      </w:r>
      <w:r>
        <w:rPr>
          <w:b/>
          <w:color w:val="67287F"/>
          <w:spacing w:val="40"/>
          <w:sz w:val="28"/>
        </w:rPr>
        <w:t> </w:t>
      </w:r>
      <w:r>
        <w:rPr>
          <w:b/>
          <w:color w:val="67287F"/>
          <w:sz w:val="28"/>
        </w:rPr>
        <w:t>of</w:t>
      </w:r>
      <w:r>
        <w:rPr>
          <w:b/>
          <w:color w:val="67287F"/>
          <w:spacing w:val="-10"/>
          <w:sz w:val="28"/>
        </w:rPr>
        <w:t> </w:t>
      </w:r>
      <w:r>
        <w:rPr>
          <w:b/>
          <w:color w:val="67287F"/>
          <w:sz w:val="28"/>
        </w:rPr>
        <w:t>retained</w:t>
      </w:r>
      <w:r>
        <w:rPr>
          <w:b/>
          <w:color w:val="67287F"/>
          <w:spacing w:val="-10"/>
          <w:sz w:val="28"/>
        </w:rPr>
        <w:t> </w:t>
      </w:r>
      <w:r>
        <w:rPr>
          <w:b/>
          <w:color w:val="67287F"/>
          <w:sz w:val="28"/>
        </w:rPr>
        <w:t>EU</w:t>
      </w:r>
      <w:r>
        <w:rPr>
          <w:b/>
          <w:color w:val="67287F"/>
          <w:spacing w:val="-10"/>
          <w:sz w:val="28"/>
        </w:rPr>
        <w:t> </w:t>
      </w:r>
      <w:r>
        <w:rPr>
          <w:b/>
          <w:color w:val="67287F"/>
          <w:sz w:val="28"/>
        </w:rPr>
        <w:t>/</w:t>
      </w:r>
      <w:r>
        <w:rPr>
          <w:b/>
          <w:color w:val="67287F"/>
          <w:spacing w:val="-10"/>
          <w:sz w:val="28"/>
        </w:rPr>
        <w:t> </w:t>
      </w:r>
      <w:r>
        <w:rPr>
          <w:b/>
          <w:color w:val="67287F"/>
          <w:sz w:val="28"/>
        </w:rPr>
        <w:t>assimilated</w:t>
      </w:r>
      <w:r>
        <w:rPr>
          <w:b/>
          <w:color w:val="67287F"/>
          <w:spacing w:val="-10"/>
          <w:sz w:val="28"/>
        </w:rPr>
        <w:t> </w:t>
      </w:r>
      <w:r>
        <w:rPr>
          <w:b/>
          <w:color w:val="67287F"/>
          <w:sz w:val="28"/>
        </w:rPr>
        <w:t>law,</w:t>
      </w:r>
      <w:r>
        <w:rPr>
          <w:b/>
          <w:color w:val="67287F"/>
          <w:spacing w:val="-10"/>
          <w:sz w:val="28"/>
        </w:rPr>
        <w:t> </w:t>
      </w:r>
      <w:r>
        <w:rPr>
          <w:b/>
          <w:color w:val="67287F"/>
          <w:sz w:val="28"/>
        </w:rPr>
        <w:t>affecting</w:t>
      </w:r>
      <w:r>
        <w:rPr>
          <w:b/>
          <w:color w:val="67287F"/>
          <w:spacing w:val="-10"/>
          <w:sz w:val="28"/>
        </w:rPr>
        <w:t> </w:t>
      </w:r>
      <w:r>
        <w:rPr>
          <w:b/>
          <w:color w:val="67287F"/>
          <w:sz w:val="28"/>
        </w:rPr>
        <w:t>human</w:t>
      </w:r>
      <w:r>
        <w:rPr>
          <w:b/>
          <w:color w:val="67287F"/>
          <w:spacing w:val="-10"/>
          <w:sz w:val="28"/>
        </w:rPr>
        <w:t> </w:t>
      </w:r>
      <w:r>
        <w:rPr>
          <w:b/>
          <w:color w:val="67287F"/>
          <w:sz w:val="28"/>
        </w:rPr>
        <w:t>rights</w:t>
      </w:r>
      <w:r>
        <w:rPr>
          <w:b/>
          <w:color w:val="67287F"/>
          <w:spacing w:val="-10"/>
          <w:sz w:val="28"/>
        </w:rPr>
        <w:t> </w:t>
      </w:r>
      <w:r>
        <w:rPr>
          <w:b/>
          <w:color w:val="67287F"/>
          <w:sz w:val="28"/>
        </w:rPr>
        <w:t>and/or</w:t>
      </w:r>
      <w:r>
        <w:rPr>
          <w:b/>
          <w:color w:val="67287F"/>
          <w:spacing w:val="-10"/>
          <w:sz w:val="28"/>
        </w:rPr>
        <w:t> </w:t>
      </w:r>
      <w:r>
        <w:rPr>
          <w:b/>
          <w:color w:val="67287F"/>
          <w:sz w:val="28"/>
        </w:rPr>
        <w:t>equality</w:t>
      </w:r>
    </w:p>
    <w:p>
      <w:pPr>
        <w:spacing w:line="225" w:lineRule="auto" w:before="0"/>
        <w:ind w:left="1853" w:right="1124" w:firstLine="0"/>
        <w:jc w:val="left"/>
        <w:rPr>
          <w:b/>
          <w:sz w:val="28"/>
        </w:rPr>
      </w:pPr>
      <w:r>
        <w:rPr>
          <w:b/>
          <w:color w:val="67287F"/>
          <w:sz w:val="28"/>
        </w:rPr>
        <w:t>protections</w:t>
      </w:r>
      <w:r>
        <w:rPr>
          <w:b/>
          <w:color w:val="67287F"/>
          <w:spacing w:val="-6"/>
          <w:sz w:val="28"/>
        </w:rPr>
        <w:t> </w:t>
      </w:r>
      <w:r>
        <w:rPr>
          <w:b/>
          <w:color w:val="67287F"/>
          <w:sz w:val="28"/>
        </w:rPr>
        <w:t>in</w:t>
      </w:r>
      <w:r>
        <w:rPr>
          <w:b/>
          <w:color w:val="67287F"/>
          <w:spacing w:val="-6"/>
          <w:sz w:val="28"/>
        </w:rPr>
        <w:t> </w:t>
      </w:r>
      <w:r>
        <w:rPr>
          <w:b/>
          <w:color w:val="67287F"/>
          <w:sz w:val="28"/>
        </w:rPr>
        <w:t>NI,</w:t>
      </w:r>
      <w:r>
        <w:rPr>
          <w:b/>
          <w:color w:val="67287F"/>
          <w:spacing w:val="-6"/>
          <w:sz w:val="28"/>
        </w:rPr>
        <w:t> </w:t>
      </w:r>
      <w:r>
        <w:rPr>
          <w:b/>
          <w:color w:val="67287F"/>
          <w:sz w:val="28"/>
        </w:rPr>
        <w:t>should</w:t>
      </w:r>
      <w:r>
        <w:rPr>
          <w:b/>
          <w:color w:val="67287F"/>
          <w:spacing w:val="-6"/>
          <w:sz w:val="28"/>
        </w:rPr>
        <w:t> </w:t>
      </w:r>
      <w:r>
        <w:rPr>
          <w:b/>
          <w:color w:val="67287F"/>
          <w:sz w:val="28"/>
        </w:rPr>
        <w:t>be</w:t>
      </w:r>
      <w:r>
        <w:rPr>
          <w:b/>
          <w:color w:val="67287F"/>
          <w:spacing w:val="-6"/>
          <w:sz w:val="28"/>
        </w:rPr>
        <w:t> </w:t>
      </w:r>
      <w:r>
        <w:rPr>
          <w:b/>
          <w:color w:val="67287F"/>
          <w:sz w:val="28"/>
        </w:rPr>
        <w:t>progressed</w:t>
      </w:r>
      <w:r>
        <w:rPr>
          <w:b/>
          <w:color w:val="67287F"/>
          <w:spacing w:val="-6"/>
          <w:sz w:val="28"/>
        </w:rPr>
        <w:t> </w:t>
      </w:r>
      <w:r>
        <w:rPr>
          <w:b/>
          <w:color w:val="67287F"/>
          <w:sz w:val="28"/>
        </w:rPr>
        <w:t>on</w:t>
      </w:r>
      <w:r>
        <w:rPr>
          <w:b/>
          <w:color w:val="67287F"/>
          <w:spacing w:val="-6"/>
          <w:sz w:val="28"/>
        </w:rPr>
        <w:t> </w:t>
      </w:r>
      <w:r>
        <w:rPr>
          <w:b/>
          <w:color w:val="67287F"/>
          <w:sz w:val="28"/>
        </w:rPr>
        <w:t>the</w:t>
      </w:r>
      <w:r>
        <w:rPr>
          <w:b/>
          <w:color w:val="67287F"/>
          <w:spacing w:val="-6"/>
          <w:sz w:val="28"/>
        </w:rPr>
        <w:t> </w:t>
      </w:r>
      <w:r>
        <w:rPr>
          <w:b/>
          <w:color w:val="67287F"/>
          <w:sz w:val="28"/>
        </w:rPr>
        <w:t>basis</w:t>
      </w:r>
      <w:r>
        <w:rPr>
          <w:b/>
          <w:color w:val="67287F"/>
          <w:spacing w:val="-6"/>
          <w:sz w:val="28"/>
        </w:rPr>
        <w:t> </w:t>
      </w:r>
      <w:r>
        <w:rPr>
          <w:b/>
          <w:color w:val="67287F"/>
          <w:sz w:val="28"/>
        </w:rPr>
        <w:t>of</w:t>
      </w:r>
      <w:r>
        <w:rPr>
          <w:b/>
          <w:color w:val="67287F"/>
          <w:spacing w:val="-6"/>
          <w:sz w:val="28"/>
        </w:rPr>
        <w:t> </w:t>
      </w:r>
      <w:r>
        <w:rPr>
          <w:b/>
          <w:color w:val="67287F"/>
          <w:sz w:val="28"/>
        </w:rPr>
        <w:t>continuing</w:t>
      </w:r>
      <w:r>
        <w:rPr>
          <w:b/>
          <w:color w:val="67287F"/>
          <w:spacing w:val="-6"/>
          <w:sz w:val="28"/>
        </w:rPr>
        <w:t> </w:t>
      </w:r>
      <w:r>
        <w:rPr>
          <w:b/>
          <w:color w:val="67287F"/>
          <w:sz w:val="28"/>
        </w:rPr>
        <w:t>adherence to the UK constitutional convention of providing for policy change via the primary legislative process, with technical and operational detail addressed in subordinate legislation. This applies to legislation that emanates from either Westminster or the NI Assembly.</w:t>
      </w:r>
    </w:p>
    <w:p>
      <w:pPr>
        <w:pStyle w:val="ListParagraph"/>
        <w:numPr>
          <w:ilvl w:val="1"/>
          <w:numId w:val="5"/>
        </w:numPr>
        <w:tabs>
          <w:tab w:pos="1853" w:val="left" w:leader="none"/>
        </w:tabs>
        <w:spacing w:line="225" w:lineRule="auto" w:before="311" w:after="0"/>
        <w:ind w:left="1853" w:right="1240" w:hanging="720"/>
        <w:jc w:val="left"/>
        <w:rPr>
          <w:b/>
          <w:color w:val="67287F"/>
          <w:sz w:val="28"/>
        </w:rPr>
      </w:pPr>
      <w:r>
        <w:rPr>
          <w:b/>
          <w:color w:val="67287F"/>
          <w:sz w:val="28"/>
        </w:rPr>
        <w:t>The</w:t>
      </w:r>
      <w:r>
        <w:rPr>
          <w:b/>
          <w:color w:val="67287F"/>
          <w:spacing w:val="-8"/>
          <w:sz w:val="28"/>
        </w:rPr>
        <w:t> </w:t>
      </w:r>
      <w:r>
        <w:rPr>
          <w:b/>
          <w:color w:val="67287F"/>
          <w:sz w:val="28"/>
        </w:rPr>
        <w:t>Commissions</w:t>
      </w:r>
      <w:r>
        <w:rPr>
          <w:b/>
          <w:color w:val="67287F"/>
          <w:spacing w:val="-7"/>
          <w:sz w:val="28"/>
        </w:rPr>
        <w:t> </w:t>
      </w:r>
      <w:r>
        <w:rPr>
          <w:b/>
          <w:color w:val="67287F"/>
          <w:sz w:val="28"/>
        </w:rPr>
        <w:t>continue</w:t>
      </w:r>
      <w:r>
        <w:rPr>
          <w:b/>
          <w:color w:val="67287F"/>
          <w:spacing w:val="-8"/>
          <w:sz w:val="28"/>
        </w:rPr>
        <w:t> </w:t>
      </w:r>
      <w:r>
        <w:rPr>
          <w:b/>
          <w:color w:val="67287F"/>
          <w:sz w:val="28"/>
        </w:rPr>
        <w:t>to</w:t>
      </w:r>
      <w:r>
        <w:rPr>
          <w:b/>
          <w:color w:val="67287F"/>
          <w:spacing w:val="-7"/>
          <w:sz w:val="28"/>
        </w:rPr>
        <w:t> </w:t>
      </w:r>
      <w:r>
        <w:rPr>
          <w:b/>
          <w:color w:val="67287F"/>
          <w:sz w:val="28"/>
        </w:rPr>
        <w:t>recommend</w:t>
      </w:r>
      <w:r>
        <w:rPr>
          <w:b/>
          <w:color w:val="67287F"/>
          <w:spacing w:val="-7"/>
          <w:sz w:val="28"/>
        </w:rPr>
        <w:t> </w:t>
      </w:r>
      <w:r>
        <w:rPr>
          <w:b/>
          <w:color w:val="67287F"/>
          <w:sz w:val="28"/>
        </w:rPr>
        <w:t>that</w:t>
      </w:r>
      <w:r>
        <w:rPr>
          <w:b/>
          <w:color w:val="67287F"/>
          <w:spacing w:val="-7"/>
          <w:sz w:val="28"/>
        </w:rPr>
        <w:t> </w:t>
      </w:r>
      <w:r>
        <w:rPr>
          <w:b/>
          <w:color w:val="67287F"/>
          <w:sz w:val="28"/>
        </w:rPr>
        <w:t>relevant</w:t>
      </w:r>
      <w:r>
        <w:rPr>
          <w:b/>
          <w:color w:val="67287F"/>
          <w:spacing w:val="-7"/>
          <w:sz w:val="28"/>
        </w:rPr>
        <w:t> </w:t>
      </w:r>
      <w:r>
        <w:rPr>
          <w:b/>
          <w:color w:val="67287F"/>
          <w:sz w:val="28"/>
        </w:rPr>
        <w:t>UK</w:t>
      </w:r>
      <w:r>
        <w:rPr>
          <w:b/>
          <w:color w:val="67287F"/>
          <w:spacing w:val="-7"/>
          <w:sz w:val="28"/>
        </w:rPr>
        <w:t> </w:t>
      </w:r>
      <w:r>
        <w:rPr>
          <w:b/>
          <w:color w:val="67287F"/>
          <w:sz w:val="28"/>
        </w:rPr>
        <w:t>and</w:t>
      </w:r>
      <w:r>
        <w:rPr>
          <w:b/>
          <w:color w:val="67287F"/>
          <w:spacing w:val="-7"/>
          <w:sz w:val="28"/>
        </w:rPr>
        <w:t> </w:t>
      </w:r>
      <w:r>
        <w:rPr>
          <w:b/>
          <w:color w:val="67287F"/>
          <w:sz w:val="28"/>
        </w:rPr>
        <w:t>NI</w:t>
      </w:r>
      <w:r>
        <w:rPr>
          <w:b/>
          <w:color w:val="67287F"/>
          <w:spacing w:val="-7"/>
          <w:sz w:val="28"/>
        </w:rPr>
        <w:t> </w:t>
      </w:r>
      <w:r>
        <w:rPr>
          <w:b/>
          <w:color w:val="67287F"/>
          <w:sz w:val="28"/>
        </w:rPr>
        <w:t>Ministers engage</w:t>
      </w:r>
      <w:r>
        <w:rPr>
          <w:b/>
          <w:color w:val="67287F"/>
          <w:spacing w:val="-6"/>
          <w:sz w:val="28"/>
        </w:rPr>
        <w:t> </w:t>
      </w:r>
      <w:r>
        <w:rPr>
          <w:b/>
          <w:color w:val="67287F"/>
          <w:sz w:val="28"/>
        </w:rPr>
        <w:t>with</w:t>
      </w:r>
      <w:r>
        <w:rPr>
          <w:b/>
          <w:color w:val="67287F"/>
          <w:spacing w:val="-5"/>
          <w:sz w:val="28"/>
        </w:rPr>
        <w:t> </w:t>
      </w:r>
      <w:r>
        <w:rPr>
          <w:b/>
          <w:color w:val="67287F"/>
          <w:sz w:val="28"/>
        </w:rPr>
        <w:t>stakeholders,</w:t>
      </w:r>
      <w:r>
        <w:rPr>
          <w:b/>
          <w:color w:val="67287F"/>
          <w:spacing w:val="-5"/>
          <w:sz w:val="28"/>
        </w:rPr>
        <w:t> </w:t>
      </w:r>
      <w:r>
        <w:rPr>
          <w:b/>
          <w:color w:val="67287F"/>
          <w:sz w:val="28"/>
        </w:rPr>
        <w:t>including</w:t>
      </w:r>
      <w:r>
        <w:rPr>
          <w:b/>
          <w:color w:val="67287F"/>
          <w:spacing w:val="-6"/>
          <w:sz w:val="28"/>
        </w:rPr>
        <w:t> </w:t>
      </w:r>
      <w:r>
        <w:rPr>
          <w:b/>
          <w:color w:val="67287F"/>
          <w:sz w:val="28"/>
        </w:rPr>
        <w:t>the</w:t>
      </w:r>
      <w:r>
        <w:rPr>
          <w:b/>
          <w:color w:val="67287F"/>
          <w:spacing w:val="-6"/>
          <w:sz w:val="28"/>
        </w:rPr>
        <w:t> </w:t>
      </w:r>
      <w:r>
        <w:rPr>
          <w:b/>
          <w:color w:val="67287F"/>
          <w:sz w:val="28"/>
        </w:rPr>
        <w:t>Commissions</w:t>
      </w:r>
      <w:r>
        <w:rPr>
          <w:b/>
          <w:color w:val="67287F"/>
          <w:spacing w:val="-5"/>
          <w:sz w:val="28"/>
        </w:rPr>
        <w:t> </w:t>
      </w:r>
      <w:r>
        <w:rPr>
          <w:b/>
          <w:color w:val="67287F"/>
          <w:sz w:val="28"/>
        </w:rPr>
        <w:t>and</w:t>
      </w:r>
      <w:r>
        <w:rPr>
          <w:b/>
          <w:color w:val="67287F"/>
          <w:spacing w:val="-5"/>
          <w:sz w:val="28"/>
        </w:rPr>
        <w:t> </w:t>
      </w:r>
      <w:r>
        <w:rPr>
          <w:b/>
          <w:color w:val="67287F"/>
          <w:sz w:val="28"/>
        </w:rPr>
        <w:t>human</w:t>
      </w:r>
      <w:r>
        <w:rPr>
          <w:b/>
          <w:color w:val="67287F"/>
          <w:spacing w:val="-5"/>
          <w:sz w:val="28"/>
        </w:rPr>
        <w:t> </w:t>
      </w:r>
      <w:r>
        <w:rPr>
          <w:b/>
          <w:color w:val="67287F"/>
          <w:sz w:val="28"/>
        </w:rPr>
        <w:t>rights</w:t>
      </w:r>
      <w:r>
        <w:rPr>
          <w:b/>
          <w:color w:val="67287F"/>
          <w:spacing w:val="-5"/>
          <w:sz w:val="28"/>
        </w:rPr>
        <w:t> </w:t>
      </w:r>
      <w:r>
        <w:rPr>
          <w:b/>
          <w:color w:val="67287F"/>
          <w:sz w:val="28"/>
        </w:rPr>
        <w:t>and equality organisations, in NI before using delegated powers to revoke or replace retained EU / assimilated law relating to NI.</w:t>
      </w:r>
    </w:p>
    <w:p>
      <w:pPr>
        <w:pStyle w:val="BodyText"/>
        <w:spacing w:before="1"/>
        <w:rPr>
          <w:b/>
        </w:rPr>
      </w:pPr>
    </w:p>
    <w:p>
      <w:pPr>
        <w:pStyle w:val="Heading3"/>
      </w:pPr>
      <w:bookmarkStart w:name="Resourcing of the Commissions" w:id="27"/>
      <w:bookmarkEnd w:id="27"/>
      <w:r>
        <w:rPr>
          <w:b w:val="0"/>
        </w:rPr>
      </w:r>
      <w:r>
        <w:rPr>
          <w:color w:val="67287F"/>
        </w:rPr>
        <w:t>Resourcing</w:t>
      </w:r>
      <w:r>
        <w:rPr>
          <w:color w:val="67287F"/>
          <w:spacing w:val="-9"/>
        </w:rPr>
        <w:t> </w:t>
      </w:r>
      <w:r>
        <w:rPr>
          <w:color w:val="67287F"/>
        </w:rPr>
        <w:t>of</w:t>
      </w:r>
      <w:r>
        <w:rPr>
          <w:color w:val="67287F"/>
          <w:spacing w:val="-8"/>
        </w:rPr>
        <w:t> </w:t>
      </w:r>
      <w:r>
        <w:rPr>
          <w:color w:val="67287F"/>
        </w:rPr>
        <w:t>the</w:t>
      </w:r>
      <w:r>
        <w:rPr>
          <w:color w:val="67287F"/>
          <w:spacing w:val="-8"/>
        </w:rPr>
        <w:t> </w:t>
      </w:r>
      <w:r>
        <w:rPr>
          <w:color w:val="67287F"/>
          <w:spacing w:val="-2"/>
        </w:rPr>
        <w:t>Commissions</w:t>
      </w:r>
    </w:p>
    <w:p>
      <w:pPr>
        <w:pStyle w:val="BodyText"/>
        <w:spacing w:before="9"/>
        <w:rPr>
          <w:b/>
          <w:sz w:val="5"/>
        </w:rPr>
      </w:pPr>
      <w:r>
        <w:rPr/>
        <mc:AlternateContent>
          <mc:Choice Requires="wps">
            <w:drawing>
              <wp:anchor distT="0" distB="0" distL="0" distR="0" allowOverlap="1" layoutInCell="1" locked="0" behindDoc="1" simplePos="0" relativeHeight="487633920">
                <wp:simplePos x="0" y="0"/>
                <wp:positionH relativeFrom="page">
                  <wp:posOffset>719997</wp:posOffset>
                </wp:positionH>
                <wp:positionV relativeFrom="paragraph">
                  <wp:posOffset>59922</wp:posOffset>
                </wp:positionV>
                <wp:extent cx="6120130" cy="1270"/>
                <wp:effectExtent l="0" t="0" r="0" b="0"/>
                <wp:wrapTopAndBottom/>
                <wp:docPr id="154" name="Graphic 154"/>
                <wp:cNvGraphicFramePr>
                  <a:graphicFrameLocks/>
                </wp:cNvGraphicFramePr>
                <a:graphic>
                  <a:graphicData uri="http://schemas.microsoft.com/office/word/2010/wordprocessingShape">
                    <wps:wsp>
                      <wps:cNvPr id="154" name="Graphic 154"/>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4.718275pt;width:481.9pt;height:.1pt;mso-position-horizontal-relative:page;mso-position-vertical-relative:paragraph;z-index:-15682560;mso-wrap-distance-left:0;mso-wrap-distance-right:0" id="docshape111" coordorigin="1134,94" coordsize="9638,0" path="m10772,94l1134,94e" filled="false" stroked="true" strokeweight="1pt" strokecolor="#67287f">
                <v:path arrowok="t"/>
                <v:stroke dashstyle="solid"/>
                <w10:wrap type="topAndBottom"/>
              </v:shape>
            </w:pict>
          </mc:Fallback>
        </mc:AlternateContent>
      </w:r>
    </w:p>
    <w:p>
      <w:pPr>
        <w:pStyle w:val="ListParagraph"/>
        <w:numPr>
          <w:ilvl w:val="1"/>
          <w:numId w:val="5"/>
        </w:numPr>
        <w:tabs>
          <w:tab w:pos="1853" w:val="left" w:leader="none"/>
        </w:tabs>
        <w:spacing w:line="218" w:lineRule="auto" w:before="322" w:after="0"/>
        <w:ind w:left="1853" w:right="1160" w:hanging="720"/>
        <w:jc w:val="left"/>
        <w:rPr>
          <w:sz w:val="28"/>
        </w:rPr>
      </w:pPr>
      <w:r>
        <w:rPr>
          <w:sz w:val="28"/>
        </w:rPr>
        <w:t>The Commissions welcome the UK Government’s confirmation of continued funding for the Dedicated Mechanism for 2023-25.</w:t>
      </w:r>
      <w:r>
        <w:rPr>
          <w:sz w:val="28"/>
          <w:vertAlign w:val="superscript"/>
        </w:rPr>
        <w:t>96</w:t>
      </w:r>
      <w:r>
        <w:rPr>
          <w:sz w:val="28"/>
          <w:vertAlign w:val="baseline"/>
        </w:rPr>
        <w:t> Further to the UK Government’s commitment in Article 2(2) of the Windsor Framework to facilitate the related work of the ECNI and the NIHRC, it is important that there</w:t>
      </w:r>
      <w:r>
        <w:rPr>
          <w:spacing w:val="-4"/>
          <w:sz w:val="28"/>
          <w:vertAlign w:val="baseline"/>
        </w:rPr>
        <w:t> </w:t>
      </w:r>
      <w:r>
        <w:rPr>
          <w:sz w:val="28"/>
          <w:vertAlign w:val="baseline"/>
        </w:rPr>
        <w:t>is</w:t>
      </w:r>
      <w:r>
        <w:rPr>
          <w:spacing w:val="-5"/>
          <w:sz w:val="28"/>
          <w:vertAlign w:val="baseline"/>
        </w:rPr>
        <w:t> </w:t>
      </w:r>
      <w:r>
        <w:rPr>
          <w:sz w:val="28"/>
          <w:vertAlign w:val="baseline"/>
        </w:rPr>
        <w:t>sustained</w:t>
      </w:r>
      <w:r>
        <w:rPr>
          <w:spacing w:val="-5"/>
          <w:sz w:val="28"/>
          <w:vertAlign w:val="baseline"/>
        </w:rPr>
        <w:t> </w:t>
      </w:r>
      <w:r>
        <w:rPr>
          <w:sz w:val="28"/>
          <w:vertAlign w:val="baseline"/>
        </w:rPr>
        <w:t>and</w:t>
      </w:r>
      <w:r>
        <w:rPr>
          <w:spacing w:val="-5"/>
          <w:sz w:val="28"/>
          <w:vertAlign w:val="baseline"/>
        </w:rPr>
        <w:t> </w:t>
      </w:r>
      <w:r>
        <w:rPr>
          <w:sz w:val="28"/>
          <w:vertAlign w:val="baseline"/>
        </w:rPr>
        <w:t>adequate</w:t>
      </w:r>
      <w:r>
        <w:rPr>
          <w:spacing w:val="-4"/>
          <w:sz w:val="28"/>
          <w:vertAlign w:val="baseline"/>
        </w:rPr>
        <w:t> </w:t>
      </w:r>
      <w:r>
        <w:rPr>
          <w:sz w:val="28"/>
          <w:vertAlign w:val="baseline"/>
        </w:rPr>
        <w:t>funding</w:t>
      </w:r>
      <w:r>
        <w:rPr>
          <w:spacing w:val="-4"/>
          <w:sz w:val="28"/>
          <w:vertAlign w:val="baseline"/>
        </w:rPr>
        <w:t> </w:t>
      </w:r>
      <w:r>
        <w:rPr>
          <w:sz w:val="28"/>
          <w:vertAlign w:val="baseline"/>
        </w:rPr>
        <w:t>of</w:t>
      </w:r>
      <w:r>
        <w:rPr>
          <w:spacing w:val="-5"/>
          <w:sz w:val="28"/>
          <w:vertAlign w:val="baseline"/>
        </w:rPr>
        <w:t> </w:t>
      </w:r>
      <w:r>
        <w:rPr>
          <w:sz w:val="28"/>
          <w:vertAlign w:val="baseline"/>
        </w:rPr>
        <w:t>both</w:t>
      </w:r>
      <w:r>
        <w:rPr>
          <w:spacing w:val="-5"/>
          <w:sz w:val="28"/>
          <w:vertAlign w:val="baseline"/>
        </w:rPr>
        <w:t> </w:t>
      </w:r>
      <w:r>
        <w:rPr>
          <w:sz w:val="28"/>
          <w:vertAlign w:val="baseline"/>
        </w:rPr>
        <w:t>Commissions</w:t>
      </w:r>
      <w:r>
        <w:rPr>
          <w:spacing w:val="-5"/>
          <w:sz w:val="28"/>
          <w:vertAlign w:val="baseline"/>
        </w:rPr>
        <w:t> </w:t>
      </w:r>
      <w:r>
        <w:rPr>
          <w:sz w:val="28"/>
          <w:vertAlign w:val="baseline"/>
        </w:rPr>
        <w:t>to</w:t>
      </w:r>
      <w:r>
        <w:rPr>
          <w:spacing w:val="-5"/>
          <w:sz w:val="28"/>
          <w:vertAlign w:val="baseline"/>
        </w:rPr>
        <w:t> </w:t>
      </w:r>
      <w:r>
        <w:rPr>
          <w:sz w:val="28"/>
          <w:vertAlign w:val="baseline"/>
        </w:rPr>
        <w:t>carry</w:t>
      </w:r>
      <w:r>
        <w:rPr>
          <w:spacing w:val="-4"/>
          <w:sz w:val="28"/>
          <w:vertAlign w:val="baseline"/>
        </w:rPr>
        <w:t> </w:t>
      </w:r>
      <w:r>
        <w:rPr>
          <w:sz w:val="28"/>
          <w:vertAlign w:val="baseline"/>
        </w:rPr>
        <w:t>out</w:t>
      </w:r>
      <w:r>
        <w:rPr>
          <w:spacing w:val="-4"/>
          <w:sz w:val="28"/>
          <w:vertAlign w:val="baseline"/>
        </w:rPr>
        <w:t> </w:t>
      </w:r>
      <w:r>
        <w:rPr>
          <w:sz w:val="28"/>
          <w:vertAlign w:val="baseline"/>
        </w:rPr>
        <w:t>this related work on upholding rights and equality standards.</w:t>
      </w:r>
    </w:p>
    <w:p>
      <w:pPr>
        <w:pStyle w:val="BodyText"/>
        <w:spacing w:before="1"/>
        <w:rPr>
          <w:sz w:val="6"/>
        </w:rPr>
      </w:pPr>
      <w:r>
        <w:rPr/>
        <mc:AlternateContent>
          <mc:Choice Requires="wps">
            <w:drawing>
              <wp:anchor distT="0" distB="0" distL="0" distR="0" allowOverlap="1" layoutInCell="1" locked="0" behindDoc="1" simplePos="0" relativeHeight="487634432">
                <wp:simplePos x="0" y="0"/>
                <wp:positionH relativeFrom="page">
                  <wp:posOffset>719996</wp:posOffset>
                </wp:positionH>
                <wp:positionV relativeFrom="paragraph">
                  <wp:posOffset>62559</wp:posOffset>
                </wp:positionV>
                <wp:extent cx="6120130" cy="1270"/>
                <wp:effectExtent l="0" t="0" r="0" b="0"/>
                <wp:wrapTopAndBottom/>
                <wp:docPr id="155" name="Graphic 155"/>
                <wp:cNvGraphicFramePr>
                  <a:graphicFrameLocks/>
                </wp:cNvGraphicFramePr>
                <a:graphic>
                  <a:graphicData uri="http://schemas.microsoft.com/office/word/2010/wordprocessingShape">
                    <wps:wsp>
                      <wps:cNvPr id="155" name="Graphic 15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4.925953pt;width:481.9pt;height:.1pt;mso-position-horizontal-relative:page;mso-position-vertical-relative:paragraph;z-index:-15682048;mso-wrap-distance-left:0;mso-wrap-distance-right:0" id="docshape112" coordorigin="1134,99" coordsize="9638,0" path="m10772,99l1134,99e" filled="false" stroked="true" strokeweight="1pt" strokecolor="#393b80">
                <v:path arrowok="t"/>
                <v:stroke dashstyle="solid"/>
                <w10:wrap type="topAndBottom"/>
              </v:shape>
            </w:pict>
          </mc:Fallback>
        </mc:AlternateContent>
      </w:r>
    </w:p>
    <w:p>
      <w:pPr>
        <w:pStyle w:val="ListParagraph"/>
        <w:numPr>
          <w:ilvl w:val="0"/>
          <w:numId w:val="3"/>
        </w:numPr>
        <w:tabs>
          <w:tab w:pos="1853" w:val="left" w:leader="none"/>
        </w:tabs>
        <w:spacing w:line="235" w:lineRule="auto" w:before="110" w:after="0"/>
        <w:ind w:left="1853" w:right="1448" w:hanging="720"/>
        <w:jc w:val="left"/>
        <w:rPr>
          <w:sz w:val="18"/>
        </w:rPr>
      </w:pPr>
      <w:r>
        <w:rPr>
          <w:sz w:val="18"/>
        </w:rPr>
        <w:t>The</w:t>
      </w:r>
      <w:r>
        <w:rPr>
          <w:spacing w:val="-3"/>
          <w:sz w:val="18"/>
        </w:rPr>
        <w:t> </w:t>
      </w:r>
      <w:r>
        <w:rPr>
          <w:sz w:val="18"/>
        </w:rPr>
        <w:t>UK</w:t>
      </w:r>
      <w:r>
        <w:rPr>
          <w:spacing w:val="-3"/>
          <w:sz w:val="18"/>
        </w:rPr>
        <w:t> </w:t>
      </w:r>
      <w:r>
        <w:rPr>
          <w:sz w:val="18"/>
        </w:rPr>
        <w:t>Government</w:t>
      </w:r>
      <w:r>
        <w:rPr>
          <w:spacing w:val="-3"/>
          <w:sz w:val="18"/>
        </w:rPr>
        <w:t> </w:t>
      </w:r>
      <w:r>
        <w:rPr>
          <w:sz w:val="18"/>
        </w:rPr>
        <w:t>has</w:t>
      </w:r>
      <w:r>
        <w:rPr>
          <w:spacing w:val="-4"/>
          <w:sz w:val="18"/>
        </w:rPr>
        <w:t> </w:t>
      </w:r>
      <w:r>
        <w:rPr>
          <w:sz w:val="18"/>
        </w:rPr>
        <w:t>previously</w:t>
      </w:r>
      <w:r>
        <w:rPr>
          <w:spacing w:val="-3"/>
          <w:sz w:val="18"/>
        </w:rPr>
        <w:t> </w:t>
      </w:r>
      <w:r>
        <w:rPr>
          <w:sz w:val="18"/>
        </w:rPr>
        <w:t>confirmed</w:t>
      </w:r>
      <w:r>
        <w:rPr>
          <w:spacing w:val="-4"/>
          <w:sz w:val="18"/>
        </w:rPr>
        <w:t> </w:t>
      </w:r>
      <w:r>
        <w:rPr>
          <w:sz w:val="18"/>
        </w:rPr>
        <w:t>that</w:t>
      </w:r>
      <w:r>
        <w:rPr>
          <w:spacing w:val="-3"/>
          <w:sz w:val="18"/>
        </w:rPr>
        <w:t> </w:t>
      </w:r>
      <w:r>
        <w:rPr>
          <w:sz w:val="18"/>
        </w:rPr>
        <w:t>it</w:t>
      </w:r>
      <w:r>
        <w:rPr>
          <w:spacing w:val="-3"/>
          <w:sz w:val="18"/>
        </w:rPr>
        <w:t> </w:t>
      </w:r>
      <w:r>
        <w:rPr>
          <w:sz w:val="18"/>
        </w:rPr>
        <w:t>is</w:t>
      </w:r>
      <w:r>
        <w:rPr>
          <w:spacing w:val="-4"/>
          <w:sz w:val="18"/>
        </w:rPr>
        <w:t> </w:t>
      </w:r>
      <w:r>
        <w:rPr>
          <w:sz w:val="18"/>
        </w:rPr>
        <w:t>“firmly</w:t>
      </w:r>
      <w:r>
        <w:rPr>
          <w:spacing w:val="-3"/>
          <w:sz w:val="18"/>
        </w:rPr>
        <w:t> </w:t>
      </w:r>
      <w:r>
        <w:rPr>
          <w:sz w:val="18"/>
        </w:rPr>
        <w:t>committed</w:t>
      </w:r>
      <w:r>
        <w:rPr>
          <w:spacing w:val="-4"/>
          <w:sz w:val="18"/>
        </w:rPr>
        <w:t> </w:t>
      </w:r>
      <w:r>
        <w:rPr>
          <w:sz w:val="18"/>
        </w:rPr>
        <w:t>to</w:t>
      </w:r>
      <w:r>
        <w:rPr>
          <w:spacing w:val="-4"/>
          <w:sz w:val="18"/>
        </w:rPr>
        <w:t> </w:t>
      </w:r>
      <w:r>
        <w:rPr>
          <w:sz w:val="18"/>
        </w:rPr>
        <w:t>Article</w:t>
      </w:r>
      <w:r>
        <w:rPr>
          <w:spacing w:val="-3"/>
          <w:sz w:val="18"/>
        </w:rPr>
        <w:t> </w:t>
      </w:r>
      <w:r>
        <w:rPr>
          <w:sz w:val="18"/>
        </w:rPr>
        <w:t>2</w:t>
      </w:r>
      <w:r>
        <w:rPr>
          <w:spacing w:val="-3"/>
          <w:sz w:val="18"/>
        </w:rPr>
        <w:t> </w:t>
      </w:r>
      <w:r>
        <w:rPr>
          <w:sz w:val="18"/>
        </w:rPr>
        <w:t>of</w:t>
      </w:r>
      <w:r>
        <w:rPr>
          <w:spacing w:val="-4"/>
          <w:sz w:val="18"/>
        </w:rPr>
        <w:t> </w:t>
      </w:r>
      <w:r>
        <w:rPr>
          <w:sz w:val="18"/>
        </w:rPr>
        <w:t>the</w:t>
      </w:r>
      <w:r>
        <w:rPr>
          <w:spacing w:val="-3"/>
          <w:sz w:val="18"/>
        </w:rPr>
        <w:t> </w:t>
      </w:r>
      <w:r>
        <w:rPr>
          <w:sz w:val="18"/>
        </w:rPr>
        <w:t>Protocol</w:t>
      </w:r>
      <w:r>
        <w:rPr>
          <w:spacing w:val="-4"/>
          <w:sz w:val="18"/>
        </w:rPr>
        <w:t> </w:t>
      </w:r>
      <w:r>
        <w:rPr>
          <w:sz w:val="18"/>
        </w:rPr>
        <w:t>and</w:t>
      </w:r>
      <w:r>
        <w:rPr>
          <w:spacing w:val="-4"/>
          <w:sz w:val="18"/>
        </w:rPr>
        <w:t> </w:t>
      </w:r>
      <w:r>
        <w:rPr>
          <w:sz w:val="18"/>
        </w:rPr>
        <w:t>this</w:t>
      </w:r>
      <w:r>
        <w:rPr>
          <w:spacing w:val="-4"/>
          <w:sz w:val="18"/>
        </w:rPr>
        <w:t> </w:t>
      </w:r>
      <w:r>
        <w:rPr>
          <w:sz w:val="18"/>
        </w:rPr>
        <w:t>includes ensuring that the two Commissions are resourced sufficiently to enable them to fulfil their responsibilities as part of</w:t>
      </w:r>
    </w:p>
    <w:p>
      <w:pPr>
        <w:spacing w:line="235" w:lineRule="auto" w:before="1"/>
        <w:ind w:left="1853" w:right="1171" w:firstLine="0"/>
        <w:jc w:val="left"/>
        <w:rPr>
          <w:sz w:val="18"/>
        </w:rPr>
      </w:pPr>
      <w:r>
        <w:rPr>
          <w:sz w:val="18"/>
        </w:rPr>
        <w:t>the</w:t>
      </w:r>
      <w:r>
        <w:rPr>
          <w:spacing w:val="-6"/>
          <w:sz w:val="18"/>
        </w:rPr>
        <w:t> </w:t>
      </w:r>
      <w:r>
        <w:rPr>
          <w:sz w:val="18"/>
        </w:rPr>
        <w:t>dedicated</w:t>
      </w:r>
      <w:r>
        <w:rPr>
          <w:spacing w:val="-7"/>
          <w:sz w:val="18"/>
        </w:rPr>
        <w:t> </w:t>
      </w:r>
      <w:r>
        <w:rPr>
          <w:sz w:val="18"/>
        </w:rPr>
        <w:t>mechanism”.</w:t>
      </w:r>
      <w:r>
        <w:rPr>
          <w:spacing w:val="-7"/>
          <w:sz w:val="18"/>
        </w:rPr>
        <w:t> </w:t>
      </w:r>
      <w:r>
        <w:rPr>
          <w:sz w:val="18"/>
        </w:rPr>
        <w:t>Letter</w:t>
      </w:r>
      <w:r>
        <w:rPr>
          <w:spacing w:val="-6"/>
          <w:sz w:val="18"/>
        </w:rPr>
        <w:t> </w:t>
      </w:r>
      <w:r>
        <w:rPr>
          <w:sz w:val="18"/>
        </w:rPr>
        <w:t>from</w:t>
      </w:r>
      <w:r>
        <w:rPr>
          <w:spacing w:val="-6"/>
          <w:sz w:val="18"/>
        </w:rPr>
        <w:t> </w:t>
      </w:r>
      <w:r>
        <w:rPr>
          <w:sz w:val="18"/>
        </w:rPr>
        <w:t>Minister</w:t>
      </w:r>
      <w:r>
        <w:rPr>
          <w:spacing w:val="-6"/>
          <w:sz w:val="18"/>
        </w:rPr>
        <w:t> </w:t>
      </w:r>
      <w:r>
        <w:rPr>
          <w:sz w:val="18"/>
        </w:rPr>
        <w:t>of</w:t>
      </w:r>
      <w:r>
        <w:rPr>
          <w:spacing w:val="-7"/>
          <w:sz w:val="18"/>
        </w:rPr>
        <w:t> </w:t>
      </w:r>
      <w:r>
        <w:rPr>
          <w:sz w:val="18"/>
        </w:rPr>
        <w:t>State</w:t>
      </w:r>
      <w:r>
        <w:rPr>
          <w:spacing w:val="-6"/>
          <w:sz w:val="18"/>
        </w:rPr>
        <w:t> </w:t>
      </w:r>
      <w:r>
        <w:rPr>
          <w:sz w:val="18"/>
        </w:rPr>
        <w:t>for</w:t>
      </w:r>
      <w:r>
        <w:rPr>
          <w:spacing w:val="-6"/>
          <w:sz w:val="18"/>
        </w:rPr>
        <w:t> </w:t>
      </w:r>
      <w:r>
        <w:rPr>
          <w:sz w:val="18"/>
        </w:rPr>
        <w:t>NI,</w:t>
      </w:r>
      <w:r>
        <w:rPr>
          <w:spacing w:val="-6"/>
          <w:sz w:val="18"/>
        </w:rPr>
        <w:t> </w:t>
      </w:r>
      <w:r>
        <w:rPr>
          <w:sz w:val="18"/>
        </w:rPr>
        <w:t>Steve</w:t>
      </w:r>
      <w:r>
        <w:rPr>
          <w:spacing w:val="-6"/>
          <w:sz w:val="18"/>
        </w:rPr>
        <w:t> </w:t>
      </w:r>
      <w:r>
        <w:rPr>
          <w:sz w:val="18"/>
        </w:rPr>
        <w:t>Baker</w:t>
      </w:r>
      <w:r>
        <w:rPr>
          <w:spacing w:val="-6"/>
          <w:sz w:val="18"/>
        </w:rPr>
        <w:t> </w:t>
      </w:r>
      <w:r>
        <w:rPr>
          <w:sz w:val="18"/>
        </w:rPr>
        <w:t>MP,</w:t>
      </w:r>
      <w:r>
        <w:rPr>
          <w:spacing w:val="-6"/>
          <w:sz w:val="18"/>
        </w:rPr>
        <w:t> </w:t>
      </w:r>
      <w:r>
        <w:rPr>
          <w:sz w:val="18"/>
        </w:rPr>
        <w:t>to</w:t>
      </w:r>
      <w:r>
        <w:rPr>
          <w:spacing w:val="-7"/>
          <w:sz w:val="18"/>
        </w:rPr>
        <w:t> </w:t>
      </w:r>
      <w:r>
        <w:rPr>
          <w:sz w:val="18"/>
        </w:rPr>
        <w:t>the</w:t>
      </w:r>
      <w:r>
        <w:rPr>
          <w:spacing w:val="-6"/>
          <w:sz w:val="18"/>
        </w:rPr>
        <w:t> </w:t>
      </w:r>
      <w:r>
        <w:rPr>
          <w:sz w:val="18"/>
        </w:rPr>
        <w:t>NI</w:t>
      </w:r>
      <w:r>
        <w:rPr>
          <w:spacing w:val="-6"/>
          <w:sz w:val="18"/>
        </w:rPr>
        <w:t> </w:t>
      </w:r>
      <w:r>
        <w:rPr>
          <w:sz w:val="18"/>
        </w:rPr>
        <w:t>Human</w:t>
      </w:r>
      <w:r>
        <w:rPr>
          <w:spacing w:val="-7"/>
          <w:sz w:val="18"/>
        </w:rPr>
        <w:t> </w:t>
      </w:r>
      <w:r>
        <w:rPr>
          <w:sz w:val="18"/>
        </w:rPr>
        <w:t>Rights</w:t>
      </w:r>
      <w:r>
        <w:rPr>
          <w:spacing w:val="-7"/>
          <w:sz w:val="18"/>
        </w:rPr>
        <w:t> </w:t>
      </w:r>
      <w:r>
        <w:rPr>
          <w:sz w:val="18"/>
        </w:rPr>
        <w:t>Commission</w:t>
      </w:r>
      <w:r>
        <w:rPr>
          <w:spacing w:val="-7"/>
          <w:sz w:val="18"/>
        </w:rPr>
        <w:t> </w:t>
      </w:r>
      <w:r>
        <w:rPr>
          <w:sz w:val="18"/>
        </w:rPr>
        <w:t>and Equality Commission for NI, 1 December 2022.</w:t>
      </w:r>
      <w:r>
        <w:rPr>
          <w:spacing w:val="40"/>
          <w:sz w:val="18"/>
        </w:rPr>
        <w:t> </w:t>
      </w:r>
      <w:r>
        <w:rPr>
          <w:sz w:val="18"/>
        </w:rPr>
        <w:t>Letter from Minister of State in the NI Office, Conor Burns MP, to the House of Lords EU Affairs Committee Sub Committee on the Ireland/ Northern Ireland Protocol, 24 November 2021.</w:t>
      </w:r>
    </w:p>
    <w:p>
      <w:pPr>
        <w:spacing w:after="0" w:line="235" w:lineRule="auto"/>
        <w:jc w:val="left"/>
        <w:rPr>
          <w:sz w:val="18"/>
        </w:rPr>
        <w:sectPr>
          <w:pgSz w:w="11910" w:h="16840"/>
          <w:pgMar w:header="496" w:footer="367" w:top="1220" w:bottom="560" w:left="0" w:right="0"/>
        </w:sectPr>
      </w:pPr>
    </w:p>
    <w:p>
      <w:pPr>
        <w:pStyle w:val="BodyText"/>
        <w:spacing w:before="198"/>
      </w:pPr>
    </w:p>
    <w:p>
      <w:pPr>
        <w:pStyle w:val="ListParagraph"/>
        <w:numPr>
          <w:ilvl w:val="1"/>
          <w:numId w:val="5"/>
        </w:numPr>
        <w:tabs>
          <w:tab w:pos="1853" w:val="left" w:leader="none"/>
        </w:tabs>
        <w:spacing w:line="225" w:lineRule="auto" w:before="0" w:after="0"/>
        <w:ind w:left="1853" w:right="1201" w:hanging="720"/>
        <w:jc w:val="left"/>
        <w:rPr>
          <w:sz w:val="28"/>
        </w:rPr>
      </w:pPr>
      <w:r>
        <w:rPr>
          <w:sz w:val="28"/>
        </w:rPr>
        <w:t>In</w:t>
      </w:r>
      <w:r>
        <w:rPr>
          <w:spacing w:val="-10"/>
          <w:sz w:val="28"/>
        </w:rPr>
        <w:t> </w:t>
      </w:r>
      <w:r>
        <w:rPr>
          <w:sz w:val="28"/>
        </w:rPr>
        <w:t>2021,</w:t>
      </w:r>
      <w:r>
        <w:rPr>
          <w:spacing w:val="-9"/>
          <w:sz w:val="28"/>
        </w:rPr>
        <w:t> </w:t>
      </w:r>
      <w:r>
        <w:rPr>
          <w:sz w:val="28"/>
        </w:rPr>
        <w:t>following</w:t>
      </w:r>
      <w:r>
        <w:rPr>
          <w:spacing w:val="-9"/>
          <w:sz w:val="28"/>
        </w:rPr>
        <w:t> </w:t>
      </w:r>
      <w:r>
        <w:rPr>
          <w:sz w:val="28"/>
        </w:rPr>
        <w:t>its</w:t>
      </w:r>
      <w:r>
        <w:rPr>
          <w:spacing w:val="-10"/>
          <w:sz w:val="28"/>
        </w:rPr>
        <w:t> </w:t>
      </w:r>
      <w:r>
        <w:rPr>
          <w:sz w:val="28"/>
        </w:rPr>
        <w:t>5-year</w:t>
      </w:r>
      <w:r>
        <w:rPr>
          <w:spacing w:val="-9"/>
          <w:sz w:val="28"/>
        </w:rPr>
        <w:t> </w:t>
      </w:r>
      <w:r>
        <w:rPr>
          <w:sz w:val="28"/>
        </w:rPr>
        <w:t>periodic</w:t>
      </w:r>
      <w:r>
        <w:rPr>
          <w:spacing w:val="-9"/>
          <w:sz w:val="28"/>
        </w:rPr>
        <w:t> </w:t>
      </w:r>
      <w:r>
        <w:rPr>
          <w:sz w:val="28"/>
        </w:rPr>
        <w:t>review,</w:t>
      </w:r>
      <w:r>
        <w:rPr>
          <w:spacing w:val="-9"/>
          <w:sz w:val="28"/>
        </w:rPr>
        <w:t> </w:t>
      </w:r>
      <w:r>
        <w:rPr>
          <w:sz w:val="28"/>
        </w:rPr>
        <w:t>the</w:t>
      </w:r>
      <w:r>
        <w:rPr>
          <w:spacing w:val="-9"/>
          <w:sz w:val="28"/>
        </w:rPr>
        <w:t> </w:t>
      </w:r>
      <w:r>
        <w:rPr>
          <w:sz w:val="28"/>
        </w:rPr>
        <w:t>United</w:t>
      </w:r>
      <w:r>
        <w:rPr>
          <w:spacing w:val="-10"/>
          <w:sz w:val="28"/>
        </w:rPr>
        <w:t> </w:t>
      </w:r>
      <w:r>
        <w:rPr>
          <w:sz w:val="28"/>
        </w:rPr>
        <w:t>Nations</w:t>
      </w:r>
      <w:r>
        <w:rPr>
          <w:spacing w:val="-10"/>
          <w:sz w:val="28"/>
        </w:rPr>
        <w:t> </w:t>
      </w:r>
      <w:r>
        <w:rPr>
          <w:sz w:val="28"/>
        </w:rPr>
        <w:t>(UN)</w:t>
      </w:r>
      <w:r>
        <w:rPr>
          <w:spacing w:val="-10"/>
          <w:sz w:val="28"/>
        </w:rPr>
        <w:t> </w:t>
      </w:r>
      <w:r>
        <w:rPr>
          <w:sz w:val="28"/>
        </w:rPr>
        <w:t>deferred its</w:t>
      </w:r>
      <w:r>
        <w:rPr>
          <w:spacing w:val="-2"/>
          <w:sz w:val="28"/>
        </w:rPr>
        <w:t> </w:t>
      </w:r>
      <w:r>
        <w:rPr>
          <w:sz w:val="28"/>
        </w:rPr>
        <w:t>decision</w:t>
      </w:r>
      <w:r>
        <w:rPr>
          <w:spacing w:val="-2"/>
          <w:sz w:val="28"/>
        </w:rPr>
        <w:t> </w:t>
      </w:r>
      <w:r>
        <w:rPr>
          <w:sz w:val="28"/>
        </w:rPr>
        <w:t>on</w:t>
      </w:r>
      <w:r>
        <w:rPr>
          <w:spacing w:val="-2"/>
          <w:sz w:val="28"/>
        </w:rPr>
        <w:t> </w:t>
      </w:r>
      <w:r>
        <w:rPr>
          <w:sz w:val="28"/>
        </w:rPr>
        <w:t>re-accrediting</w:t>
      </w:r>
      <w:r>
        <w:rPr>
          <w:spacing w:val="-1"/>
          <w:sz w:val="28"/>
        </w:rPr>
        <w:t> </w:t>
      </w:r>
      <w:r>
        <w:rPr>
          <w:sz w:val="28"/>
        </w:rPr>
        <w:t>the</w:t>
      </w:r>
      <w:r>
        <w:rPr>
          <w:spacing w:val="-1"/>
          <w:sz w:val="28"/>
        </w:rPr>
        <w:t> </w:t>
      </w:r>
      <w:r>
        <w:rPr>
          <w:sz w:val="28"/>
        </w:rPr>
        <w:t>NIHRC</w:t>
      </w:r>
      <w:r>
        <w:rPr>
          <w:spacing w:val="-2"/>
          <w:sz w:val="28"/>
        </w:rPr>
        <w:t> </w:t>
      </w:r>
      <w:r>
        <w:rPr>
          <w:sz w:val="28"/>
        </w:rPr>
        <w:t>with</w:t>
      </w:r>
      <w:r>
        <w:rPr>
          <w:spacing w:val="-2"/>
          <w:sz w:val="28"/>
        </w:rPr>
        <w:t> </w:t>
      </w:r>
      <w:r>
        <w:rPr>
          <w:sz w:val="28"/>
        </w:rPr>
        <w:t>‘A</w:t>
      </w:r>
      <w:r>
        <w:rPr>
          <w:spacing w:val="-1"/>
          <w:sz w:val="28"/>
        </w:rPr>
        <w:t> </w:t>
      </w:r>
      <w:r>
        <w:rPr>
          <w:sz w:val="28"/>
        </w:rPr>
        <w:t>Status’</w:t>
      </w:r>
      <w:r>
        <w:rPr>
          <w:spacing w:val="-1"/>
          <w:sz w:val="28"/>
        </w:rPr>
        <w:t> </w:t>
      </w:r>
      <w:r>
        <w:rPr>
          <w:sz w:val="28"/>
        </w:rPr>
        <w:t>due</w:t>
      </w:r>
      <w:r>
        <w:rPr>
          <w:spacing w:val="-1"/>
          <w:sz w:val="28"/>
        </w:rPr>
        <w:t> </w:t>
      </w:r>
      <w:r>
        <w:rPr>
          <w:sz w:val="28"/>
        </w:rPr>
        <w:t>to</w:t>
      </w:r>
      <w:r>
        <w:rPr>
          <w:spacing w:val="-2"/>
          <w:sz w:val="28"/>
        </w:rPr>
        <w:t> </w:t>
      </w:r>
      <w:r>
        <w:rPr>
          <w:sz w:val="28"/>
        </w:rPr>
        <w:t>concerns</w:t>
      </w:r>
      <w:r>
        <w:rPr>
          <w:spacing w:val="-2"/>
          <w:sz w:val="28"/>
        </w:rPr>
        <w:t> </w:t>
      </w:r>
      <w:r>
        <w:rPr>
          <w:sz w:val="28"/>
        </w:rPr>
        <w:t>about the impact of funding cuts on the NIHRC’s fitness for purpose. The NIHRC advised</w:t>
      </w:r>
      <w:r>
        <w:rPr>
          <w:spacing w:val="-5"/>
          <w:sz w:val="28"/>
        </w:rPr>
        <w:t> </w:t>
      </w:r>
      <w:r>
        <w:rPr>
          <w:sz w:val="28"/>
        </w:rPr>
        <w:t>that</w:t>
      </w:r>
      <w:r>
        <w:rPr>
          <w:spacing w:val="-4"/>
          <w:sz w:val="28"/>
        </w:rPr>
        <w:t> </w:t>
      </w:r>
      <w:r>
        <w:rPr>
          <w:sz w:val="28"/>
        </w:rPr>
        <w:t>there</w:t>
      </w:r>
      <w:r>
        <w:rPr>
          <w:spacing w:val="-4"/>
          <w:sz w:val="28"/>
        </w:rPr>
        <w:t> </w:t>
      </w:r>
      <w:r>
        <w:rPr>
          <w:sz w:val="28"/>
        </w:rPr>
        <w:t>would</w:t>
      </w:r>
      <w:r>
        <w:rPr>
          <w:spacing w:val="-5"/>
          <w:sz w:val="28"/>
        </w:rPr>
        <w:t> </w:t>
      </w:r>
      <w:r>
        <w:rPr>
          <w:sz w:val="28"/>
        </w:rPr>
        <w:t>be</w:t>
      </w:r>
      <w:r>
        <w:rPr>
          <w:spacing w:val="-4"/>
          <w:sz w:val="28"/>
        </w:rPr>
        <w:t> </w:t>
      </w:r>
      <w:r>
        <w:rPr>
          <w:sz w:val="28"/>
        </w:rPr>
        <w:t>a</w:t>
      </w:r>
      <w:r>
        <w:rPr>
          <w:spacing w:val="-5"/>
          <w:sz w:val="28"/>
        </w:rPr>
        <w:t> </w:t>
      </w:r>
      <w:r>
        <w:rPr>
          <w:sz w:val="28"/>
        </w:rPr>
        <w:t>potential</w:t>
      </w:r>
      <w:r>
        <w:rPr>
          <w:spacing w:val="-5"/>
          <w:sz w:val="28"/>
        </w:rPr>
        <w:t> </w:t>
      </w:r>
      <w:r>
        <w:rPr>
          <w:sz w:val="28"/>
        </w:rPr>
        <w:t>breach</w:t>
      </w:r>
      <w:r>
        <w:rPr>
          <w:spacing w:val="-5"/>
          <w:sz w:val="28"/>
        </w:rPr>
        <w:t> </w:t>
      </w:r>
      <w:r>
        <w:rPr>
          <w:sz w:val="28"/>
        </w:rPr>
        <w:t>of</w:t>
      </w:r>
      <w:r>
        <w:rPr>
          <w:spacing w:val="-5"/>
          <w:sz w:val="28"/>
        </w:rPr>
        <w:t> </w:t>
      </w:r>
      <w:r>
        <w:rPr>
          <w:sz w:val="28"/>
        </w:rPr>
        <w:t>Article</w:t>
      </w:r>
      <w:r>
        <w:rPr>
          <w:spacing w:val="-4"/>
          <w:sz w:val="28"/>
        </w:rPr>
        <w:t> </w:t>
      </w:r>
      <w:r>
        <w:rPr>
          <w:sz w:val="28"/>
        </w:rPr>
        <w:t>2(2)</w:t>
      </w:r>
      <w:r>
        <w:rPr>
          <w:spacing w:val="-5"/>
          <w:sz w:val="28"/>
        </w:rPr>
        <w:t> </w:t>
      </w:r>
      <w:r>
        <w:rPr>
          <w:sz w:val="28"/>
        </w:rPr>
        <w:t>if</w:t>
      </w:r>
      <w:r>
        <w:rPr>
          <w:spacing w:val="-5"/>
          <w:sz w:val="28"/>
        </w:rPr>
        <w:t> </w:t>
      </w:r>
      <w:r>
        <w:rPr>
          <w:sz w:val="28"/>
        </w:rPr>
        <w:t>for</w:t>
      </w:r>
      <w:r>
        <w:rPr>
          <w:spacing w:val="-4"/>
          <w:sz w:val="28"/>
        </w:rPr>
        <w:t> </w:t>
      </w:r>
      <w:r>
        <w:rPr>
          <w:sz w:val="28"/>
        </w:rPr>
        <w:t>this</w:t>
      </w:r>
      <w:r>
        <w:rPr>
          <w:spacing w:val="-5"/>
          <w:sz w:val="28"/>
        </w:rPr>
        <w:t> </w:t>
      </w:r>
      <w:r>
        <w:rPr>
          <w:sz w:val="28"/>
        </w:rPr>
        <w:t>reason its ‘A status’ was not confirmed on review.</w:t>
      </w:r>
      <w:r>
        <w:rPr>
          <w:sz w:val="28"/>
          <w:vertAlign w:val="superscript"/>
        </w:rPr>
        <w:t>97</w:t>
      </w:r>
      <w:r>
        <w:rPr>
          <w:sz w:val="28"/>
          <w:vertAlign w:val="baseline"/>
        </w:rPr>
        <w:t> A final six-month deferral was granted in March 2023, pending the outcome of an independent review of</w:t>
      </w:r>
      <w:r>
        <w:rPr>
          <w:sz w:val="28"/>
          <w:vertAlign w:val="baseline"/>
        </w:rPr>
        <w:t> the NIHRC commissioned by the Secretary of State for NI, which reported</w:t>
      </w:r>
    </w:p>
    <w:p>
      <w:pPr>
        <w:pStyle w:val="BodyText"/>
        <w:spacing w:line="225" w:lineRule="auto"/>
        <w:ind w:left="1853" w:right="1438"/>
      </w:pPr>
      <w:r>
        <w:rPr/>
        <w:t>in</w:t>
      </w:r>
      <w:r>
        <w:rPr>
          <w:spacing w:val="-2"/>
        </w:rPr>
        <w:t> </w:t>
      </w:r>
      <w:r>
        <w:rPr/>
        <w:t>December</w:t>
      </w:r>
      <w:r>
        <w:rPr>
          <w:spacing w:val="-1"/>
        </w:rPr>
        <w:t> </w:t>
      </w:r>
      <w:r>
        <w:rPr/>
        <w:t>2022.</w:t>
      </w:r>
      <w:r>
        <w:rPr>
          <w:vertAlign w:val="superscript"/>
        </w:rPr>
        <w:t>98</w:t>
      </w:r>
      <w:r>
        <w:rPr>
          <w:spacing w:val="-2"/>
          <w:vertAlign w:val="baseline"/>
        </w:rPr>
        <w:t> </w:t>
      </w:r>
      <w:r>
        <w:rPr>
          <w:vertAlign w:val="baseline"/>
        </w:rPr>
        <w:t>In</w:t>
      </w:r>
      <w:r>
        <w:rPr>
          <w:spacing w:val="-2"/>
          <w:vertAlign w:val="baseline"/>
        </w:rPr>
        <w:t> </w:t>
      </w:r>
      <w:r>
        <w:rPr>
          <w:vertAlign w:val="baseline"/>
        </w:rPr>
        <w:t>September</w:t>
      </w:r>
      <w:r>
        <w:rPr>
          <w:spacing w:val="-1"/>
          <w:vertAlign w:val="baseline"/>
        </w:rPr>
        <w:t> </w:t>
      </w:r>
      <w:r>
        <w:rPr>
          <w:vertAlign w:val="baseline"/>
        </w:rPr>
        <w:t>2023,</w:t>
      </w:r>
      <w:r>
        <w:rPr>
          <w:spacing w:val="-1"/>
          <w:vertAlign w:val="baseline"/>
        </w:rPr>
        <w:t> </w:t>
      </w:r>
      <w:r>
        <w:rPr>
          <w:vertAlign w:val="baseline"/>
        </w:rPr>
        <w:t>the</w:t>
      </w:r>
      <w:r>
        <w:rPr>
          <w:spacing w:val="-1"/>
          <w:vertAlign w:val="baseline"/>
        </w:rPr>
        <w:t> </w:t>
      </w:r>
      <w:r>
        <w:rPr>
          <w:vertAlign w:val="baseline"/>
        </w:rPr>
        <w:t>UK</w:t>
      </w:r>
      <w:r>
        <w:rPr>
          <w:spacing w:val="-1"/>
          <w:vertAlign w:val="baseline"/>
        </w:rPr>
        <w:t> </w:t>
      </w:r>
      <w:r>
        <w:rPr>
          <w:vertAlign w:val="baseline"/>
        </w:rPr>
        <w:t>Government</w:t>
      </w:r>
      <w:r>
        <w:rPr>
          <w:spacing w:val="-1"/>
          <w:vertAlign w:val="baseline"/>
        </w:rPr>
        <w:t> </w:t>
      </w:r>
      <w:r>
        <w:rPr>
          <w:vertAlign w:val="baseline"/>
        </w:rPr>
        <w:t>published</w:t>
      </w:r>
      <w:r>
        <w:rPr>
          <w:spacing w:val="-2"/>
          <w:vertAlign w:val="baseline"/>
        </w:rPr>
        <w:t> </w:t>
      </w:r>
      <w:r>
        <w:rPr>
          <w:vertAlign w:val="baseline"/>
        </w:rPr>
        <w:t>the independent review’s report, together with its response, which accepted most</w:t>
      </w:r>
      <w:r>
        <w:rPr>
          <w:spacing w:val="-9"/>
          <w:vertAlign w:val="baseline"/>
        </w:rPr>
        <w:t> </w:t>
      </w:r>
      <w:r>
        <w:rPr>
          <w:vertAlign w:val="baseline"/>
        </w:rPr>
        <w:t>of</w:t>
      </w:r>
      <w:r>
        <w:rPr>
          <w:spacing w:val="-10"/>
          <w:vertAlign w:val="baseline"/>
        </w:rPr>
        <w:t> </w:t>
      </w:r>
      <w:r>
        <w:rPr>
          <w:vertAlign w:val="baseline"/>
        </w:rPr>
        <w:t>the</w:t>
      </w:r>
      <w:r>
        <w:rPr>
          <w:spacing w:val="-9"/>
          <w:vertAlign w:val="baseline"/>
        </w:rPr>
        <w:t> </w:t>
      </w:r>
      <w:r>
        <w:rPr>
          <w:vertAlign w:val="baseline"/>
        </w:rPr>
        <w:t>independent</w:t>
      </w:r>
      <w:r>
        <w:rPr>
          <w:spacing w:val="-9"/>
          <w:vertAlign w:val="baseline"/>
        </w:rPr>
        <w:t> </w:t>
      </w:r>
      <w:r>
        <w:rPr>
          <w:vertAlign w:val="baseline"/>
        </w:rPr>
        <w:t>review’s</w:t>
      </w:r>
      <w:r>
        <w:rPr>
          <w:spacing w:val="-10"/>
          <w:vertAlign w:val="baseline"/>
        </w:rPr>
        <w:t> </w:t>
      </w:r>
      <w:r>
        <w:rPr>
          <w:vertAlign w:val="baseline"/>
        </w:rPr>
        <w:t>recommendations.</w:t>
      </w:r>
      <w:r>
        <w:rPr>
          <w:vertAlign w:val="superscript"/>
        </w:rPr>
        <w:t>99</w:t>
      </w:r>
      <w:r>
        <w:rPr>
          <w:spacing w:val="-10"/>
          <w:vertAlign w:val="baseline"/>
        </w:rPr>
        <w:t> </w:t>
      </w:r>
      <w:r>
        <w:rPr>
          <w:vertAlign w:val="baseline"/>
        </w:rPr>
        <w:t>In</w:t>
      </w:r>
      <w:r>
        <w:rPr>
          <w:spacing w:val="-10"/>
          <w:vertAlign w:val="baseline"/>
        </w:rPr>
        <w:t> </w:t>
      </w:r>
      <w:r>
        <w:rPr>
          <w:vertAlign w:val="baseline"/>
        </w:rPr>
        <w:t>October</w:t>
      </w:r>
      <w:r>
        <w:rPr>
          <w:spacing w:val="-9"/>
          <w:vertAlign w:val="baseline"/>
        </w:rPr>
        <w:t> </w:t>
      </w:r>
      <w:r>
        <w:rPr>
          <w:vertAlign w:val="baseline"/>
        </w:rPr>
        <w:t>2023,</w:t>
      </w:r>
      <w:r>
        <w:rPr>
          <w:spacing w:val="-9"/>
          <w:vertAlign w:val="baseline"/>
        </w:rPr>
        <w:t> </w:t>
      </w:r>
      <w:r>
        <w:rPr>
          <w:vertAlign w:val="baseline"/>
        </w:rPr>
        <w:t>the Sub-Committee on Accreditation decided that the NIHRC should retain its</w:t>
      </w:r>
    </w:p>
    <w:p>
      <w:pPr>
        <w:pStyle w:val="BodyText"/>
        <w:spacing w:line="225" w:lineRule="auto"/>
        <w:ind w:left="1853" w:right="1383"/>
      </w:pPr>
      <w:r>
        <w:rPr/>
        <w:t>‘A-status’.</w:t>
      </w:r>
      <w:r>
        <w:rPr>
          <w:vertAlign w:val="superscript"/>
        </w:rPr>
        <w:t>100</w:t>
      </w:r>
      <w:r>
        <w:rPr>
          <w:spacing w:val="-6"/>
          <w:vertAlign w:val="baseline"/>
        </w:rPr>
        <w:t> </w:t>
      </w:r>
      <w:r>
        <w:rPr>
          <w:vertAlign w:val="baseline"/>
        </w:rPr>
        <w:t>Consequently,</w:t>
      </w:r>
      <w:r>
        <w:rPr>
          <w:spacing w:val="-5"/>
          <w:vertAlign w:val="baseline"/>
        </w:rPr>
        <w:t> </w:t>
      </w:r>
      <w:r>
        <w:rPr>
          <w:vertAlign w:val="baseline"/>
        </w:rPr>
        <w:t>the</w:t>
      </w:r>
      <w:r>
        <w:rPr>
          <w:spacing w:val="-5"/>
          <w:vertAlign w:val="baseline"/>
        </w:rPr>
        <w:t> </w:t>
      </w:r>
      <w:r>
        <w:rPr>
          <w:vertAlign w:val="baseline"/>
        </w:rPr>
        <w:t>Commission</w:t>
      </w:r>
      <w:r>
        <w:rPr>
          <w:spacing w:val="-6"/>
          <w:vertAlign w:val="baseline"/>
        </w:rPr>
        <w:t> </w:t>
      </w:r>
      <w:r>
        <w:rPr>
          <w:vertAlign w:val="baseline"/>
        </w:rPr>
        <w:t>has</w:t>
      </w:r>
      <w:r>
        <w:rPr>
          <w:spacing w:val="-6"/>
          <w:vertAlign w:val="baseline"/>
        </w:rPr>
        <w:t> </w:t>
      </w:r>
      <w:r>
        <w:rPr>
          <w:vertAlign w:val="baseline"/>
        </w:rPr>
        <w:t>retained</w:t>
      </w:r>
      <w:r>
        <w:rPr>
          <w:spacing w:val="-6"/>
          <w:vertAlign w:val="baseline"/>
        </w:rPr>
        <w:t> </w:t>
      </w:r>
      <w:r>
        <w:rPr>
          <w:vertAlign w:val="baseline"/>
        </w:rPr>
        <w:t>its</w:t>
      </w:r>
      <w:r>
        <w:rPr>
          <w:spacing w:val="-6"/>
          <w:vertAlign w:val="baseline"/>
        </w:rPr>
        <w:t> </w:t>
      </w:r>
      <w:r>
        <w:rPr>
          <w:vertAlign w:val="baseline"/>
        </w:rPr>
        <w:t>voting</w:t>
      </w:r>
      <w:r>
        <w:rPr>
          <w:spacing w:val="-5"/>
          <w:vertAlign w:val="baseline"/>
        </w:rPr>
        <w:t> </w:t>
      </w:r>
      <w:r>
        <w:rPr>
          <w:vertAlign w:val="baseline"/>
        </w:rPr>
        <w:t>rights</w:t>
      </w:r>
      <w:r>
        <w:rPr>
          <w:spacing w:val="-6"/>
          <w:vertAlign w:val="baseline"/>
        </w:rPr>
        <w:t> </w:t>
      </w:r>
      <w:r>
        <w:rPr>
          <w:vertAlign w:val="baseline"/>
        </w:rPr>
        <w:t>at the Global Alliance of National Human Rights Institutions and has speaking rights at the UN Human Rights Council.</w:t>
      </w:r>
      <w:r>
        <w:rPr>
          <w:vertAlign w:val="superscript"/>
        </w:rPr>
        <w:t>101</w:t>
      </w:r>
      <w:r>
        <w:rPr>
          <w:vertAlign w:val="baseline"/>
        </w:rPr>
        <w:t> The NIHRC is under an obligation to</w:t>
      </w:r>
      <w:r>
        <w:rPr>
          <w:spacing w:val="-6"/>
          <w:vertAlign w:val="baseline"/>
        </w:rPr>
        <w:t> </w:t>
      </w:r>
      <w:r>
        <w:rPr>
          <w:vertAlign w:val="baseline"/>
        </w:rPr>
        <w:t>self-report</w:t>
      </w:r>
      <w:r>
        <w:rPr>
          <w:spacing w:val="-5"/>
          <w:vertAlign w:val="baseline"/>
        </w:rPr>
        <w:t> </w:t>
      </w:r>
      <w:r>
        <w:rPr>
          <w:vertAlign w:val="baseline"/>
        </w:rPr>
        <w:t>to</w:t>
      </w:r>
      <w:r>
        <w:rPr>
          <w:spacing w:val="-6"/>
          <w:vertAlign w:val="baseline"/>
        </w:rPr>
        <w:t> </w:t>
      </w:r>
      <w:r>
        <w:rPr>
          <w:vertAlign w:val="baseline"/>
        </w:rPr>
        <w:t>the</w:t>
      </w:r>
      <w:r>
        <w:rPr>
          <w:spacing w:val="-5"/>
          <w:vertAlign w:val="baseline"/>
        </w:rPr>
        <w:t> </w:t>
      </w:r>
      <w:r>
        <w:rPr>
          <w:vertAlign w:val="baseline"/>
        </w:rPr>
        <w:t>UN</w:t>
      </w:r>
      <w:r>
        <w:rPr>
          <w:spacing w:val="-5"/>
          <w:vertAlign w:val="baseline"/>
        </w:rPr>
        <w:t> </w:t>
      </w:r>
      <w:r>
        <w:rPr>
          <w:vertAlign w:val="baseline"/>
        </w:rPr>
        <w:t>in</w:t>
      </w:r>
      <w:r>
        <w:rPr>
          <w:spacing w:val="-6"/>
          <w:vertAlign w:val="baseline"/>
        </w:rPr>
        <w:t> </w:t>
      </w:r>
      <w:r>
        <w:rPr>
          <w:vertAlign w:val="baseline"/>
        </w:rPr>
        <w:t>2025</w:t>
      </w:r>
      <w:r>
        <w:rPr>
          <w:spacing w:val="-5"/>
          <w:vertAlign w:val="baseline"/>
        </w:rPr>
        <w:t> </w:t>
      </w:r>
      <w:r>
        <w:rPr>
          <w:vertAlign w:val="baseline"/>
        </w:rPr>
        <w:t>if</w:t>
      </w:r>
      <w:r>
        <w:rPr>
          <w:spacing w:val="-6"/>
          <w:vertAlign w:val="baseline"/>
        </w:rPr>
        <w:t> </w:t>
      </w:r>
      <w:r>
        <w:rPr>
          <w:vertAlign w:val="baseline"/>
        </w:rPr>
        <w:t>the</w:t>
      </w:r>
      <w:r>
        <w:rPr>
          <w:spacing w:val="-5"/>
          <w:vertAlign w:val="baseline"/>
        </w:rPr>
        <w:t> </w:t>
      </w:r>
      <w:r>
        <w:rPr>
          <w:vertAlign w:val="baseline"/>
        </w:rPr>
        <w:t>concerns</w:t>
      </w:r>
      <w:r>
        <w:rPr>
          <w:spacing w:val="-6"/>
          <w:vertAlign w:val="baseline"/>
        </w:rPr>
        <w:t> </w:t>
      </w:r>
      <w:r>
        <w:rPr>
          <w:vertAlign w:val="baseline"/>
        </w:rPr>
        <w:t>identified</w:t>
      </w:r>
      <w:r>
        <w:rPr>
          <w:spacing w:val="-6"/>
          <w:vertAlign w:val="baseline"/>
        </w:rPr>
        <w:t> </w:t>
      </w:r>
      <w:r>
        <w:rPr>
          <w:vertAlign w:val="baseline"/>
        </w:rPr>
        <w:t>are</w:t>
      </w:r>
      <w:r>
        <w:rPr>
          <w:spacing w:val="-5"/>
          <w:vertAlign w:val="baseline"/>
        </w:rPr>
        <w:t> </w:t>
      </w:r>
      <w:r>
        <w:rPr>
          <w:vertAlign w:val="baseline"/>
        </w:rPr>
        <w:t>not</w:t>
      </w:r>
      <w:r>
        <w:rPr>
          <w:spacing w:val="-5"/>
          <w:vertAlign w:val="baseline"/>
        </w:rPr>
        <w:t> </w:t>
      </w:r>
      <w:r>
        <w:rPr>
          <w:vertAlign w:val="baseline"/>
        </w:rPr>
        <w:t>addressed through the implementation of the independent review recommendations and resulting economic appraisal.</w:t>
      </w:r>
    </w:p>
    <w:p>
      <w:pPr>
        <w:pStyle w:val="ListParagraph"/>
        <w:numPr>
          <w:ilvl w:val="1"/>
          <w:numId w:val="5"/>
        </w:numPr>
        <w:tabs>
          <w:tab w:pos="1853" w:val="left" w:leader="none"/>
        </w:tabs>
        <w:spacing w:line="225" w:lineRule="auto" w:before="298" w:after="0"/>
        <w:ind w:left="1853" w:right="1202" w:hanging="720"/>
        <w:jc w:val="left"/>
        <w:rPr>
          <w:sz w:val="28"/>
        </w:rPr>
      </w:pPr>
      <w:r>
        <w:rPr>
          <w:sz w:val="28"/>
        </w:rPr>
        <w:t>In 2021, the ECNI published research which called for the continued and sustained resourcing of the Commissions to fulfil their role under Windsor Framework Article 2.</w:t>
      </w:r>
      <w:r>
        <w:rPr>
          <w:sz w:val="28"/>
          <w:vertAlign w:val="superscript"/>
        </w:rPr>
        <w:t>102</w:t>
      </w:r>
      <w:r>
        <w:rPr>
          <w:sz w:val="28"/>
          <w:vertAlign w:val="baseline"/>
        </w:rPr>
        <w:t> Whilst confirmation of continued funding for the Dedicated Mechanism for 2023-25 is welcome, this masks some of the underlying</w:t>
      </w:r>
      <w:r>
        <w:rPr>
          <w:spacing w:val="-8"/>
          <w:sz w:val="28"/>
          <w:vertAlign w:val="baseline"/>
        </w:rPr>
        <w:t> </w:t>
      </w:r>
      <w:r>
        <w:rPr>
          <w:sz w:val="28"/>
          <w:vertAlign w:val="baseline"/>
        </w:rPr>
        <w:t>difficulties</w:t>
      </w:r>
      <w:r>
        <w:rPr>
          <w:spacing w:val="-9"/>
          <w:sz w:val="28"/>
          <w:vertAlign w:val="baseline"/>
        </w:rPr>
        <w:t> </w:t>
      </w:r>
      <w:r>
        <w:rPr>
          <w:sz w:val="28"/>
          <w:vertAlign w:val="baseline"/>
        </w:rPr>
        <w:t>with</w:t>
      </w:r>
      <w:r>
        <w:rPr>
          <w:spacing w:val="-9"/>
          <w:sz w:val="28"/>
          <w:vertAlign w:val="baseline"/>
        </w:rPr>
        <w:t> </w:t>
      </w:r>
      <w:r>
        <w:rPr>
          <w:sz w:val="28"/>
          <w:vertAlign w:val="baseline"/>
        </w:rPr>
        <w:t>the</w:t>
      </w:r>
      <w:r>
        <w:rPr>
          <w:spacing w:val="-8"/>
          <w:sz w:val="28"/>
          <w:vertAlign w:val="baseline"/>
        </w:rPr>
        <w:t> </w:t>
      </w:r>
      <w:r>
        <w:rPr>
          <w:sz w:val="28"/>
          <w:vertAlign w:val="baseline"/>
        </w:rPr>
        <w:t>ECNI’s</w:t>
      </w:r>
      <w:r>
        <w:rPr>
          <w:spacing w:val="-9"/>
          <w:sz w:val="28"/>
          <w:vertAlign w:val="baseline"/>
        </w:rPr>
        <w:t> </w:t>
      </w:r>
      <w:r>
        <w:rPr>
          <w:sz w:val="28"/>
          <w:vertAlign w:val="baseline"/>
        </w:rPr>
        <w:t>core</w:t>
      </w:r>
      <w:r>
        <w:rPr>
          <w:spacing w:val="-8"/>
          <w:sz w:val="28"/>
          <w:vertAlign w:val="baseline"/>
        </w:rPr>
        <w:t> </w:t>
      </w:r>
      <w:r>
        <w:rPr>
          <w:sz w:val="28"/>
          <w:vertAlign w:val="baseline"/>
        </w:rPr>
        <w:t>funding</w:t>
      </w:r>
      <w:r>
        <w:rPr>
          <w:spacing w:val="-8"/>
          <w:sz w:val="28"/>
          <w:vertAlign w:val="baseline"/>
        </w:rPr>
        <w:t> </w:t>
      </w:r>
      <w:r>
        <w:rPr>
          <w:sz w:val="28"/>
          <w:vertAlign w:val="baseline"/>
        </w:rPr>
        <w:t>which</w:t>
      </w:r>
      <w:r>
        <w:rPr>
          <w:spacing w:val="-9"/>
          <w:sz w:val="28"/>
          <w:vertAlign w:val="baseline"/>
        </w:rPr>
        <w:t> </w:t>
      </w:r>
      <w:r>
        <w:rPr>
          <w:sz w:val="28"/>
          <w:vertAlign w:val="baseline"/>
        </w:rPr>
        <w:t>continues</w:t>
      </w:r>
      <w:r>
        <w:rPr>
          <w:spacing w:val="-9"/>
          <w:sz w:val="28"/>
          <w:vertAlign w:val="baseline"/>
        </w:rPr>
        <w:t> </w:t>
      </w:r>
      <w:r>
        <w:rPr>
          <w:sz w:val="28"/>
          <w:vertAlign w:val="baseline"/>
        </w:rPr>
        <w:t>to</w:t>
      </w:r>
      <w:r>
        <w:rPr>
          <w:spacing w:val="-9"/>
          <w:sz w:val="28"/>
          <w:vertAlign w:val="baseline"/>
        </w:rPr>
        <w:t> </w:t>
      </w:r>
      <w:r>
        <w:rPr>
          <w:sz w:val="28"/>
          <w:vertAlign w:val="baseline"/>
        </w:rPr>
        <w:t>reduce.</w:t>
      </w:r>
    </w:p>
    <w:p>
      <w:pPr>
        <w:pStyle w:val="ListParagraph"/>
        <w:numPr>
          <w:ilvl w:val="1"/>
          <w:numId w:val="5"/>
        </w:numPr>
        <w:tabs>
          <w:tab w:pos="1853" w:val="left" w:leader="none"/>
        </w:tabs>
        <w:spacing w:line="225" w:lineRule="auto" w:before="304" w:after="0"/>
        <w:ind w:left="1853" w:right="1211" w:hanging="720"/>
        <w:jc w:val="left"/>
        <w:rPr>
          <w:sz w:val="28"/>
        </w:rPr>
      </w:pPr>
      <w:r>
        <w:rPr>
          <w:sz w:val="28"/>
        </w:rPr>
        <w:t>As noted below, the Commissions consider that the proposed EU directives</w:t>
      </w:r>
      <w:r>
        <w:rPr>
          <w:sz w:val="28"/>
        </w:rPr>
        <w:t> on binding standards for equality bodies, amend or replace the provisions of</w:t>
      </w:r>
      <w:r>
        <w:rPr>
          <w:spacing w:val="40"/>
          <w:sz w:val="28"/>
        </w:rPr>
        <w:t> </w:t>
      </w:r>
      <w:r>
        <w:rPr>
          <w:sz w:val="28"/>
        </w:rPr>
        <w:t>a number of the EU equality directives in Annex 1 of the Windsor Framework and</w:t>
      </w:r>
      <w:r>
        <w:rPr>
          <w:spacing w:val="-8"/>
          <w:sz w:val="28"/>
        </w:rPr>
        <w:t> </w:t>
      </w:r>
      <w:r>
        <w:rPr>
          <w:sz w:val="28"/>
        </w:rPr>
        <w:t>engage</w:t>
      </w:r>
      <w:r>
        <w:rPr>
          <w:spacing w:val="-7"/>
          <w:sz w:val="28"/>
        </w:rPr>
        <w:t> </w:t>
      </w:r>
      <w:r>
        <w:rPr>
          <w:sz w:val="28"/>
        </w:rPr>
        <w:t>the</w:t>
      </w:r>
      <w:r>
        <w:rPr>
          <w:spacing w:val="-7"/>
          <w:sz w:val="28"/>
        </w:rPr>
        <w:t> </w:t>
      </w:r>
      <w:r>
        <w:rPr>
          <w:sz w:val="28"/>
        </w:rPr>
        <w:t>‘keeping</w:t>
      </w:r>
      <w:r>
        <w:rPr>
          <w:spacing w:val="-7"/>
          <w:sz w:val="28"/>
        </w:rPr>
        <w:t> </w:t>
      </w:r>
      <w:r>
        <w:rPr>
          <w:sz w:val="28"/>
        </w:rPr>
        <w:t>pace’</w:t>
      </w:r>
      <w:r>
        <w:rPr>
          <w:spacing w:val="-7"/>
          <w:sz w:val="28"/>
        </w:rPr>
        <w:t> </w:t>
      </w:r>
      <w:r>
        <w:rPr>
          <w:sz w:val="28"/>
        </w:rPr>
        <w:t>obligation</w:t>
      </w:r>
      <w:r>
        <w:rPr>
          <w:spacing w:val="-8"/>
          <w:sz w:val="28"/>
        </w:rPr>
        <w:t> </w:t>
      </w:r>
      <w:r>
        <w:rPr>
          <w:sz w:val="28"/>
        </w:rPr>
        <w:t>under</w:t>
      </w:r>
      <w:r>
        <w:rPr>
          <w:spacing w:val="-7"/>
          <w:sz w:val="28"/>
        </w:rPr>
        <w:t> </w:t>
      </w:r>
      <w:r>
        <w:rPr>
          <w:sz w:val="28"/>
        </w:rPr>
        <w:t>Windsor</w:t>
      </w:r>
      <w:r>
        <w:rPr>
          <w:spacing w:val="-7"/>
          <w:sz w:val="28"/>
        </w:rPr>
        <w:t> </w:t>
      </w:r>
      <w:r>
        <w:rPr>
          <w:sz w:val="28"/>
        </w:rPr>
        <w:t>Framework</w:t>
      </w:r>
      <w:r>
        <w:rPr>
          <w:spacing w:val="-7"/>
          <w:sz w:val="28"/>
        </w:rPr>
        <w:t> </w:t>
      </w:r>
      <w:r>
        <w:rPr>
          <w:sz w:val="28"/>
        </w:rPr>
        <w:t>Article</w:t>
      </w:r>
      <w:r>
        <w:rPr>
          <w:spacing w:val="-7"/>
          <w:sz w:val="28"/>
        </w:rPr>
        <w:t> </w:t>
      </w:r>
      <w:r>
        <w:rPr>
          <w:sz w:val="28"/>
        </w:rPr>
        <w:t>2.</w:t>
      </w:r>
    </w:p>
    <w:p>
      <w:pPr>
        <w:pStyle w:val="BodyText"/>
        <w:spacing w:line="225" w:lineRule="auto"/>
        <w:ind w:left="1853" w:right="1146"/>
      </w:pPr>
      <w:r>
        <w:rPr/>
        <w:t>The</w:t>
      </w:r>
      <w:r>
        <w:rPr>
          <w:spacing w:val="-5"/>
        </w:rPr>
        <w:t> </w:t>
      </w:r>
      <w:r>
        <w:rPr/>
        <w:t>standards</w:t>
      </w:r>
      <w:r>
        <w:rPr>
          <w:spacing w:val="-6"/>
        </w:rPr>
        <w:t> </w:t>
      </w:r>
      <w:r>
        <w:rPr/>
        <w:t>in</w:t>
      </w:r>
      <w:r>
        <w:rPr>
          <w:spacing w:val="-6"/>
        </w:rPr>
        <w:t> </w:t>
      </w:r>
      <w:r>
        <w:rPr/>
        <w:t>the</w:t>
      </w:r>
      <w:r>
        <w:rPr>
          <w:spacing w:val="-5"/>
        </w:rPr>
        <w:t> </w:t>
      </w:r>
      <w:r>
        <w:rPr/>
        <w:t>proposed</w:t>
      </w:r>
      <w:r>
        <w:rPr>
          <w:spacing w:val="-6"/>
        </w:rPr>
        <w:t> </w:t>
      </w:r>
      <w:r>
        <w:rPr/>
        <w:t>directives</w:t>
      </w:r>
      <w:r>
        <w:rPr>
          <w:spacing w:val="-6"/>
        </w:rPr>
        <w:t> </w:t>
      </w:r>
      <w:r>
        <w:rPr/>
        <w:t>include</w:t>
      </w:r>
      <w:r>
        <w:rPr>
          <w:spacing w:val="-5"/>
        </w:rPr>
        <w:t> </w:t>
      </w:r>
      <w:r>
        <w:rPr/>
        <w:t>ensuring</w:t>
      </w:r>
      <w:r>
        <w:rPr>
          <w:spacing w:val="-5"/>
        </w:rPr>
        <w:t> </w:t>
      </w:r>
      <w:r>
        <w:rPr/>
        <w:t>that</w:t>
      </w:r>
      <w:r>
        <w:rPr>
          <w:spacing w:val="-5"/>
        </w:rPr>
        <w:t> </w:t>
      </w:r>
      <w:r>
        <w:rPr/>
        <w:t>equality</w:t>
      </w:r>
      <w:r>
        <w:rPr>
          <w:spacing w:val="-5"/>
        </w:rPr>
        <w:t> </w:t>
      </w:r>
      <w:r>
        <w:rPr/>
        <w:t>bodies are provided with the human, technical and financial resources necessary to perform their mandates under the relevant EU equality directives in Annex 1. It is therefore important that NI equality law is amended to keep pace with any changes to these equality directives, including on standards relating to resources, if these EU proposals are adopted.</w:t>
      </w:r>
      <w:r>
        <w:rPr>
          <w:vertAlign w:val="superscript"/>
        </w:rPr>
        <w:t>103</w:t>
      </w:r>
    </w:p>
    <w:p>
      <w:pPr>
        <w:pStyle w:val="BodyText"/>
        <w:rPr>
          <w:sz w:val="10"/>
        </w:rPr>
      </w:pPr>
      <w:r>
        <w:rPr/>
        <mc:AlternateContent>
          <mc:Choice Requires="wps">
            <w:drawing>
              <wp:anchor distT="0" distB="0" distL="0" distR="0" allowOverlap="1" layoutInCell="1" locked="0" behindDoc="1" simplePos="0" relativeHeight="487634944">
                <wp:simplePos x="0" y="0"/>
                <wp:positionH relativeFrom="page">
                  <wp:posOffset>719996</wp:posOffset>
                </wp:positionH>
                <wp:positionV relativeFrom="paragraph">
                  <wp:posOffset>93011</wp:posOffset>
                </wp:positionV>
                <wp:extent cx="6120130" cy="1270"/>
                <wp:effectExtent l="0" t="0" r="0" b="0"/>
                <wp:wrapTopAndBottom/>
                <wp:docPr id="156" name="Graphic 156"/>
                <wp:cNvGraphicFramePr>
                  <a:graphicFrameLocks/>
                </wp:cNvGraphicFramePr>
                <a:graphic>
                  <a:graphicData uri="http://schemas.microsoft.com/office/word/2010/wordprocessingShape">
                    <wps:wsp>
                      <wps:cNvPr id="156" name="Graphic 156"/>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7.323756pt;width:481.9pt;height:.1pt;mso-position-horizontal-relative:page;mso-position-vertical-relative:paragraph;z-index:-15681536;mso-wrap-distance-left:0;mso-wrap-distance-right:0" id="docshape113" coordorigin="1134,146" coordsize="9638,0" path="m10772,146l1134,146e" filled="false" stroked="true" strokeweight="1pt" strokecolor="#393b80">
                <v:path arrowok="t"/>
                <v:stroke dashstyle="solid"/>
                <w10:wrap type="topAndBottom"/>
              </v:shape>
            </w:pict>
          </mc:Fallback>
        </mc:AlternateContent>
      </w:r>
    </w:p>
    <w:p>
      <w:pPr>
        <w:pStyle w:val="ListParagraph"/>
        <w:numPr>
          <w:ilvl w:val="0"/>
          <w:numId w:val="3"/>
        </w:numPr>
        <w:tabs>
          <w:tab w:pos="1853" w:val="left" w:leader="none"/>
        </w:tabs>
        <w:spacing w:line="218" w:lineRule="exact" w:before="128" w:after="0"/>
        <w:ind w:left="1853" w:right="0" w:hanging="720"/>
        <w:jc w:val="left"/>
        <w:rPr>
          <w:sz w:val="18"/>
        </w:rPr>
      </w:pPr>
      <w:r>
        <w:rPr>
          <w:sz w:val="18"/>
        </w:rPr>
        <w:t>Letter</w:t>
      </w:r>
      <w:r>
        <w:rPr>
          <w:spacing w:val="-6"/>
          <w:sz w:val="18"/>
        </w:rPr>
        <w:t> </w:t>
      </w:r>
      <w:r>
        <w:rPr>
          <w:sz w:val="18"/>
        </w:rPr>
        <w:t>from</w:t>
      </w:r>
      <w:r>
        <w:rPr>
          <w:spacing w:val="-5"/>
          <w:sz w:val="18"/>
        </w:rPr>
        <w:t> </w:t>
      </w:r>
      <w:r>
        <w:rPr>
          <w:sz w:val="18"/>
        </w:rPr>
        <w:t>NI</w:t>
      </w:r>
      <w:r>
        <w:rPr>
          <w:spacing w:val="-6"/>
          <w:sz w:val="18"/>
        </w:rPr>
        <w:t> </w:t>
      </w:r>
      <w:r>
        <w:rPr>
          <w:sz w:val="18"/>
        </w:rPr>
        <w:t>Human</w:t>
      </w:r>
      <w:r>
        <w:rPr>
          <w:spacing w:val="-6"/>
          <w:sz w:val="18"/>
        </w:rPr>
        <w:t> </w:t>
      </w:r>
      <w:r>
        <w:rPr>
          <w:sz w:val="18"/>
        </w:rPr>
        <w:t>Rights</w:t>
      </w:r>
      <w:r>
        <w:rPr>
          <w:spacing w:val="-6"/>
          <w:sz w:val="18"/>
        </w:rPr>
        <w:t> </w:t>
      </w:r>
      <w:r>
        <w:rPr>
          <w:sz w:val="18"/>
        </w:rPr>
        <w:t>Commission</w:t>
      </w:r>
      <w:r>
        <w:rPr>
          <w:spacing w:val="-7"/>
          <w:sz w:val="18"/>
        </w:rPr>
        <w:t> </w:t>
      </w:r>
      <w:r>
        <w:rPr>
          <w:sz w:val="18"/>
        </w:rPr>
        <w:t>to</w:t>
      </w:r>
      <w:r>
        <w:rPr>
          <w:spacing w:val="-6"/>
          <w:sz w:val="18"/>
        </w:rPr>
        <w:t> </w:t>
      </w:r>
      <w:r>
        <w:rPr>
          <w:sz w:val="18"/>
        </w:rPr>
        <w:t>Secretary</w:t>
      </w:r>
      <w:r>
        <w:rPr>
          <w:spacing w:val="-5"/>
          <w:sz w:val="18"/>
        </w:rPr>
        <w:t> </w:t>
      </w:r>
      <w:r>
        <w:rPr>
          <w:sz w:val="18"/>
        </w:rPr>
        <w:t>of</w:t>
      </w:r>
      <w:r>
        <w:rPr>
          <w:spacing w:val="-7"/>
          <w:sz w:val="18"/>
        </w:rPr>
        <w:t> </w:t>
      </w:r>
      <w:r>
        <w:rPr>
          <w:sz w:val="18"/>
        </w:rPr>
        <w:t>State</w:t>
      </w:r>
      <w:r>
        <w:rPr>
          <w:spacing w:val="-5"/>
          <w:sz w:val="18"/>
        </w:rPr>
        <w:t> </w:t>
      </w:r>
      <w:r>
        <w:rPr>
          <w:sz w:val="18"/>
        </w:rPr>
        <w:t>for</w:t>
      </w:r>
      <w:r>
        <w:rPr>
          <w:spacing w:val="-5"/>
          <w:sz w:val="18"/>
        </w:rPr>
        <w:t> </w:t>
      </w:r>
      <w:r>
        <w:rPr>
          <w:sz w:val="18"/>
        </w:rPr>
        <w:t>NI,</w:t>
      </w:r>
      <w:r>
        <w:rPr>
          <w:spacing w:val="-6"/>
          <w:sz w:val="18"/>
        </w:rPr>
        <w:t> </w:t>
      </w:r>
      <w:r>
        <w:rPr>
          <w:sz w:val="18"/>
        </w:rPr>
        <w:t>Brandon</w:t>
      </w:r>
      <w:r>
        <w:rPr>
          <w:spacing w:val="-6"/>
          <w:sz w:val="18"/>
        </w:rPr>
        <w:t> </w:t>
      </w:r>
      <w:r>
        <w:rPr>
          <w:sz w:val="18"/>
        </w:rPr>
        <w:t>Lewis</w:t>
      </w:r>
      <w:r>
        <w:rPr>
          <w:spacing w:val="-6"/>
          <w:sz w:val="18"/>
        </w:rPr>
        <w:t> </w:t>
      </w:r>
      <w:r>
        <w:rPr>
          <w:sz w:val="18"/>
        </w:rPr>
        <w:t>MP,</w:t>
      </w:r>
      <w:r>
        <w:rPr>
          <w:spacing w:val="-6"/>
          <w:sz w:val="18"/>
        </w:rPr>
        <w:t> </w:t>
      </w:r>
      <w:r>
        <w:rPr>
          <w:sz w:val="18"/>
        </w:rPr>
        <w:t>17</w:t>
      </w:r>
      <w:r>
        <w:rPr>
          <w:spacing w:val="-5"/>
          <w:sz w:val="18"/>
        </w:rPr>
        <w:t> </w:t>
      </w:r>
      <w:r>
        <w:rPr>
          <w:sz w:val="18"/>
        </w:rPr>
        <w:t>November</w:t>
      </w:r>
      <w:r>
        <w:rPr>
          <w:spacing w:val="-6"/>
          <w:sz w:val="18"/>
        </w:rPr>
        <w:t> </w:t>
      </w:r>
      <w:r>
        <w:rPr>
          <w:spacing w:val="-2"/>
          <w:sz w:val="18"/>
        </w:rPr>
        <w:t>2021.</w:t>
      </w:r>
    </w:p>
    <w:p>
      <w:pPr>
        <w:pStyle w:val="ListParagraph"/>
        <w:numPr>
          <w:ilvl w:val="0"/>
          <w:numId w:val="3"/>
        </w:numPr>
        <w:tabs>
          <w:tab w:pos="1853" w:val="left" w:leader="none"/>
        </w:tabs>
        <w:spacing w:line="235" w:lineRule="auto" w:before="1" w:after="0"/>
        <w:ind w:left="1853" w:right="1407" w:hanging="720"/>
        <w:jc w:val="left"/>
        <w:rPr>
          <w:sz w:val="18"/>
        </w:rPr>
      </w:pPr>
      <w:r>
        <w:rPr>
          <w:sz w:val="18"/>
        </w:rPr>
        <w:t>At its</w:t>
      </w:r>
      <w:r>
        <w:rPr>
          <w:spacing w:val="-1"/>
          <w:sz w:val="18"/>
        </w:rPr>
        <w:t> </w:t>
      </w:r>
      <w:r>
        <w:rPr>
          <w:sz w:val="18"/>
        </w:rPr>
        <w:t>March</w:t>
      </w:r>
      <w:r>
        <w:rPr>
          <w:spacing w:val="-1"/>
          <w:sz w:val="18"/>
        </w:rPr>
        <w:t> </w:t>
      </w:r>
      <w:r>
        <w:rPr>
          <w:sz w:val="18"/>
        </w:rPr>
        <w:t>meeting, the Sub-Committee on</w:t>
      </w:r>
      <w:r>
        <w:rPr>
          <w:spacing w:val="-1"/>
          <w:sz w:val="18"/>
        </w:rPr>
        <w:t> </w:t>
      </w:r>
      <w:r>
        <w:rPr>
          <w:sz w:val="18"/>
        </w:rPr>
        <w:t>Accreditation</w:t>
      </w:r>
      <w:r>
        <w:rPr>
          <w:spacing w:val="-1"/>
          <w:sz w:val="18"/>
        </w:rPr>
        <w:t> </w:t>
      </w:r>
      <w:r>
        <w:rPr>
          <w:sz w:val="18"/>
        </w:rPr>
        <w:t>considered</w:t>
      </w:r>
      <w:r>
        <w:rPr>
          <w:spacing w:val="-1"/>
          <w:sz w:val="18"/>
        </w:rPr>
        <w:t> </w:t>
      </w:r>
      <w:r>
        <w:rPr>
          <w:sz w:val="18"/>
        </w:rPr>
        <w:t>correspondence from the Secretary of</w:t>
      </w:r>
      <w:r>
        <w:rPr>
          <w:spacing w:val="-1"/>
          <w:sz w:val="18"/>
        </w:rPr>
        <w:t> </w:t>
      </w:r>
      <w:r>
        <w:rPr>
          <w:sz w:val="18"/>
        </w:rPr>
        <w:t>State to NIHRC</w:t>
      </w:r>
      <w:r>
        <w:rPr>
          <w:spacing w:val="-5"/>
          <w:sz w:val="18"/>
        </w:rPr>
        <w:t> </w:t>
      </w:r>
      <w:r>
        <w:rPr>
          <w:sz w:val="18"/>
        </w:rPr>
        <w:t>making</w:t>
      </w:r>
      <w:r>
        <w:rPr>
          <w:spacing w:val="-4"/>
          <w:sz w:val="18"/>
        </w:rPr>
        <w:t> </w:t>
      </w:r>
      <w:r>
        <w:rPr>
          <w:sz w:val="18"/>
        </w:rPr>
        <w:t>commitments</w:t>
      </w:r>
      <w:r>
        <w:rPr>
          <w:spacing w:val="-5"/>
          <w:sz w:val="18"/>
        </w:rPr>
        <w:t> </w:t>
      </w:r>
      <w:r>
        <w:rPr>
          <w:sz w:val="18"/>
        </w:rPr>
        <w:t>as</w:t>
      </w:r>
      <w:r>
        <w:rPr>
          <w:spacing w:val="-5"/>
          <w:sz w:val="18"/>
        </w:rPr>
        <w:t> </w:t>
      </w:r>
      <w:r>
        <w:rPr>
          <w:sz w:val="18"/>
        </w:rPr>
        <w:t>regards</w:t>
      </w:r>
      <w:r>
        <w:rPr>
          <w:spacing w:val="-5"/>
          <w:sz w:val="18"/>
        </w:rPr>
        <w:t> </w:t>
      </w:r>
      <w:r>
        <w:rPr>
          <w:sz w:val="18"/>
        </w:rPr>
        <w:t>seeking</w:t>
      </w:r>
      <w:r>
        <w:rPr>
          <w:spacing w:val="-4"/>
          <w:sz w:val="18"/>
        </w:rPr>
        <w:t> </w:t>
      </w:r>
      <w:r>
        <w:rPr>
          <w:sz w:val="18"/>
        </w:rPr>
        <w:t>additional</w:t>
      </w:r>
      <w:r>
        <w:rPr>
          <w:spacing w:val="-5"/>
          <w:sz w:val="18"/>
        </w:rPr>
        <w:t> </w:t>
      </w:r>
      <w:r>
        <w:rPr>
          <w:sz w:val="18"/>
        </w:rPr>
        <w:t>funding</w:t>
      </w:r>
      <w:r>
        <w:rPr>
          <w:spacing w:val="-4"/>
          <w:sz w:val="18"/>
        </w:rPr>
        <w:t> </w:t>
      </w:r>
      <w:r>
        <w:rPr>
          <w:sz w:val="18"/>
        </w:rPr>
        <w:t>and</w:t>
      </w:r>
      <w:r>
        <w:rPr>
          <w:spacing w:val="-5"/>
          <w:sz w:val="18"/>
        </w:rPr>
        <w:t> </w:t>
      </w:r>
      <w:r>
        <w:rPr>
          <w:sz w:val="18"/>
        </w:rPr>
        <w:t>discussing</w:t>
      </w:r>
      <w:r>
        <w:rPr>
          <w:spacing w:val="-4"/>
          <w:sz w:val="18"/>
        </w:rPr>
        <w:t> </w:t>
      </w:r>
      <w:r>
        <w:rPr>
          <w:sz w:val="18"/>
        </w:rPr>
        <w:t>plans</w:t>
      </w:r>
      <w:r>
        <w:rPr>
          <w:spacing w:val="-5"/>
          <w:sz w:val="18"/>
        </w:rPr>
        <w:t> </w:t>
      </w:r>
      <w:r>
        <w:rPr>
          <w:sz w:val="18"/>
        </w:rPr>
        <w:t>for</w:t>
      </w:r>
      <w:r>
        <w:rPr>
          <w:spacing w:val="-4"/>
          <w:sz w:val="18"/>
        </w:rPr>
        <w:t> </w:t>
      </w:r>
      <w:r>
        <w:rPr>
          <w:sz w:val="18"/>
        </w:rPr>
        <w:t>a</w:t>
      </w:r>
      <w:r>
        <w:rPr>
          <w:spacing w:val="-5"/>
          <w:sz w:val="18"/>
        </w:rPr>
        <w:t> </w:t>
      </w:r>
      <w:r>
        <w:rPr>
          <w:sz w:val="18"/>
        </w:rPr>
        <w:t>Comprehensive</w:t>
      </w:r>
      <w:r>
        <w:rPr>
          <w:spacing w:val="-4"/>
          <w:sz w:val="18"/>
        </w:rPr>
        <w:t> </w:t>
      </w:r>
      <w:r>
        <w:rPr>
          <w:sz w:val="18"/>
        </w:rPr>
        <w:t>Spending </w:t>
      </w:r>
      <w:r>
        <w:rPr>
          <w:spacing w:val="-2"/>
          <w:sz w:val="18"/>
        </w:rPr>
        <w:t>Review.</w:t>
      </w:r>
    </w:p>
    <w:p>
      <w:pPr>
        <w:pStyle w:val="ListParagraph"/>
        <w:numPr>
          <w:ilvl w:val="0"/>
          <w:numId w:val="3"/>
        </w:numPr>
        <w:tabs>
          <w:tab w:pos="1853" w:val="left" w:leader="none"/>
        </w:tabs>
        <w:spacing w:line="235" w:lineRule="auto" w:before="2" w:after="0"/>
        <w:ind w:left="1853" w:right="1173" w:hanging="720"/>
        <w:jc w:val="left"/>
        <w:rPr>
          <w:sz w:val="18"/>
        </w:rPr>
      </w:pPr>
      <w:r>
        <w:rPr>
          <w:sz w:val="18"/>
        </w:rPr>
        <w:t>Simon</w:t>
      </w:r>
      <w:r>
        <w:rPr>
          <w:spacing w:val="-6"/>
          <w:sz w:val="18"/>
        </w:rPr>
        <w:t> </w:t>
      </w:r>
      <w:r>
        <w:rPr>
          <w:sz w:val="18"/>
        </w:rPr>
        <w:t>Routh-Jones,</w:t>
      </w:r>
      <w:r>
        <w:rPr>
          <w:spacing w:val="-6"/>
          <w:sz w:val="18"/>
        </w:rPr>
        <w:t> </w:t>
      </w:r>
      <w:r>
        <w:rPr>
          <w:sz w:val="18"/>
        </w:rPr>
        <w:t>‘Independent</w:t>
      </w:r>
      <w:r>
        <w:rPr>
          <w:spacing w:val="-6"/>
          <w:sz w:val="18"/>
        </w:rPr>
        <w:t> </w:t>
      </w:r>
      <w:r>
        <w:rPr>
          <w:sz w:val="18"/>
        </w:rPr>
        <w:t>Review</w:t>
      </w:r>
      <w:r>
        <w:rPr>
          <w:spacing w:val="-6"/>
          <w:sz w:val="18"/>
        </w:rPr>
        <w:t> </w:t>
      </w:r>
      <w:r>
        <w:rPr>
          <w:sz w:val="18"/>
        </w:rPr>
        <w:t>of</w:t>
      </w:r>
      <w:r>
        <w:rPr>
          <w:spacing w:val="-6"/>
          <w:sz w:val="18"/>
        </w:rPr>
        <w:t> </w:t>
      </w:r>
      <w:r>
        <w:rPr>
          <w:sz w:val="18"/>
        </w:rPr>
        <w:t>the</w:t>
      </w:r>
      <w:r>
        <w:rPr>
          <w:spacing w:val="-6"/>
          <w:sz w:val="18"/>
        </w:rPr>
        <w:t> </w:t>
      </w:r>
      <w:r>
        <w:rPr>
          <w:sz w:val="18"/>
        </w:rPr>
        <w:t>NI</w:t>
      </w:r>
      <w:r>
        <w:rPr>
          <w:spacing w:val="-6"/>
          <w:sz w:val="18"/>
        </w:rPr>
        <w:t> </w:t>
      </w:r>
      <w:r>
        <w:rPr>
          <w:sz w:val="18"/>
        </w:rPr>
        <w:t>Human</w:t>
      </w:r>
      <w:r>
        <w:rPr>
          <w:spacing w:val="-6"/>
          <w:sz w:val="18"/>
        </w:rPr>
        <w:t> </w:t>
      </w:r>
      <w:r>
        <w:rPr>
          <w:sz w:val="18"/>
        </w:rPr>
        <w:t>Rights</w:t>
      </w:r>
      <w:r>
        <w:rPr>
          <w:spacing w:val="-6"/>
          <w:sz w:val="18"/>
        </w:rPr>
        <w:t> </w:t>
      </w:r>
      <w:r>
        <w:rPr>
          <w:sz w:val="18"/>
        </w:rPr>
        <w:t>Commission’</w:t>
      </w:r>
      <w:r>
        <w:rPr>
          <w:spacing w:val="-6"/>
          <w:sz w:val="18"/>
        </w:rPr>
        <w:t> </w:t>
      </w:r>
      <w:r>
        <w:rPr>
          <w:sz w:val="18"/>
        </w:rPr>
        <w:t>(UK</w:t>
      </w:r>
      <w:r>
        <w:rPr>
          <w:spacing w:val="-6"/>
          <w:sz w:val="18"/>
        </w:rPr>
        <w:t> </w:t>
      </w:r>
      <w:r>
        <w:rPr>
          <w:sz w:val="18"/>
        </w:rPr>
        <w:t>Gov,</w:t>
      </w:r>
      <w:r>
        <w:rPr>
          <w:spacing w:val="-6"/>
          <w:sz w:val="18"/>
        </w:rPr>
        <w:t> </w:t>
      </w:r>
      <w:r>
        <w:rPr>
          <w:sz w:val="18"/>
        </w:rPr>
        <w:t>2022);</w:t>
      </w:r>
      <w:r>
        <w:rPr>
          <w:spacing w:val="-6"/>
          <w:sz w:val="18"/>
        </w:rPr>
        <w:t> </w:t>
      </w:r>
      <w:r>
        <w:rPr>
          <w:sz w:val="18"/>
        </w:rPr>
        <w:t>NI</w:t>
      </w:r>
      <w:r>
        <w:rPr>
          <w:spacing w:val="-6"/>
          <w:sz w:val="18"/>
        </w:rPr>
        <w:t> </w:t>
      </w:r>
      <w:r>
        <w:rPr>
          <w:sz w:val="18"/>
        </w:rPr>
        <w:t>Office,</w:t>
      </w:r>
      <w:r>
        <w:rPr>
          <w:spacing w:val="-6"/>
          <w:sz w:val="18"/>
        </w:rPr>
        <w:t> </w:t>
      </w:r>
      <w:r>
        <w:rPr>
          <w:sz w:val="18"/>
        </w:rPr>
        <w:t>‘UK</w:t>
      </w:r>
      <w:r>
        <w:rPr>
          <w:spacing w:val="-6"/>
          <w:sz w:val="18"/>
        </w:rPr>
        <w:t> </w:t>
      </w:r>
      <w:r>
        <w:rPr>
          <w:sz w:val="18"/>
        </w:rPr>
        <w:t>Government Response to the Independent Review of the NI Human Rights Commission 2022’ (NIO, 2023).</w:t>
      </w:r>
    </w:p>
    <w:p>
      <w:pPr>
        <w:pStyle w:val="ListParagraph"/>
        <w:numPr>
          <w:ilvl w:val="0"/>
          <w:numId w:val="3"/>
        </w:numPr>
        <w:tabs>
          <w:tab w:pos="1853" w:val="left" w:leader="none"/>
        </w:tabs>
        <w:spacing w:line="235" w:lineRule="auto" w:before="2" w:after="0"/>
        <w:ind w:left="1853" w:right="1361" w:hanging="720"/>
        <w:jc w:val="left"/>
        <w:rPr>
          <w:sz w:val="18"/>
        </w:rPr>
      </w:pPr>
      <w:r>
        <w:rPr>
          <w:sz w:val="18"/>
        </w:rPr>
        <w:t>Letter</w:t>
      </w:r>
      <w:r>
        <w:rPr>
          <w:spacing w:val="-4"/>
          <w:sz w:val="18"/>
        </w:rPr>
        <w:t> </w:t>
      </w:r>
      <w:r>
        <w:rPr>
          <w:sz w:val="18"/>
        </w:rPr>
        <w:t>from</w:t>
      </w:r>
      <w:r>
        <w:rPr>
          <w:spacing w:val="-4"/>
          <w:sz w:val="18"/>
        </w:rPr>
        <w:t> </w:t>
      </w:r>
      <w:r>
        <w:rPr>
          <w:sz w:val="18"/>
        </w:rPr>
        <w:t>the</w:t>
      </w:r>
      <w:r>
        <w:rPr>
          <w:spacing w:val="-4"/>
          <w:sz w:val="18"/>
        </w:rPr>
        <w:t> </w:t>
      </w:r>
      <w:r>
        <w:rPr>
          <w:sz w:val="18"/>
        </w:rPr>
        <w:t>Global</w:t>
      </w:r>
      <w:r>
        <w:rPr>
          <w:spacing w:val="-5"/>
          <w:sz w:val="18"/>
        </w:rPr>
        <w:t> </w:t>
      </w:r>
      <w:r>
        <w:rPr>
          <w:sz w:val="18"/>
        </w:rPr>
        <w:t>Alliance</w:t>
      </w:r>
      <w:r>
        <w:rPr>
          <w:spacing w:val="-4"/>
          <w:sz w:val="18"/>
        </w:rPr>
        <w:t> </w:t>
      </w:r>
      <w:r>
        <w:rPr>
          <w:sz w:val="18"/>
        </w:rPr>
        <w:t>of</w:t>
      </w:r>
      <w:r>
        <w:rPr>
          <w:spacing w:val="-5"/>
          <w:sz w:val="18"/>
        </w:rPr>
        <w:t> </w:t>
      </w:r>
      <w:r>
        <w:rPr>
          <w:sz w:val="18"/>
        </w:rPr>
        <w:t>National</w:t>
      </w:r>
      <w:r>
        <w:rPr>
          <w:spacing w:val="-5"/>
          <w:sz w:val="18"/>
        </w:rPr>
        <w:t> </w:t>
      </w:r>
      <w:r>
        <w:rPr>
          <w:sz w:val="18"/>
        </w:rPr>
        <w:t>Human</w:t>
      </w:r>
      <w:r>
        <w:rPr>
          <w:spacing w:val="-5"/>
          <w:sz w:val="18"/>
        </w:rPr>
        <w:t> </w:t>
      </w:r>
      <w:r>
        <w:rPr>
          <w:sz w:val="18"/>
        </w:rPr>
        <w:t>Rights</w:t>
      </w:r>
      <w:r>
        <w:rPr>
          <w:spacing w:val="-5"/>
          <w:sz w:val="18"/>
        </w:rPr>
        <w:t> </w:t>
      </w:r>
      <w:r>
        <w:rPr>
          <w:sz w:val="18"/>
        </w:rPr>
        <w:t>Institutions</w:t>
      </w:r>
      <w:r>
        <w:rPr>
          <w:spacing w:val="-5"/>
          <w:sz w:val="18"/>
        </w:rPr>
        <w:t> </w:t>
      </w:r>
      <w:r>
        <w:rPr>
          <w:sz w:val="18"/>
        </w:rPr>
        <w:t>Sub-Committee</w:t>
      </w:r>
      <w:r>
        <w:rPr>
          <w:spacing w:val="-4"/>
          <w:sz w:val="18"/>
        </w:rPr>
        <w:t> </w:t>
      </w:r>
      <w:r>
        <w:rPr>
          <w:sz w:val="18"/>
        </w:rPr>
        <w:t>on</w:t>
      </w:r>
      <w:r>
        <w:rPr>
          <w:spacing w:val="-5"/>
          <w:sz w:val="18"/>
        </w:rPr>
        <w:t> </w:t>
      </w:r>
      <w:r>
        <w:rPr>
          <w:sz w:val="18"/>
        </w:rPr>
        <w:t>Accreditation</w:t>
      </w:r>
      <w:r>
        <w:rPr>
          <w:spacing w:val="-5"/>
          <w:sz w:val="18"/>
        </w:rPr>
        <w:t> </w:t>
      </w:r>
      <w:r>
        <w:rPr>
          <w:sz w:val="18"/>
        </w:rPr>
        <w:t>to</w:t>
      </w:r>
      <w:r>
        <w:rPr>
          <w:spacing w:val="-5"/>
          <w:sz w:val="18"/>
        </w:rPr>
        <w:t> </w:t>
      </w:r>
      <w:r>
        <w:rPr>
          <w:sz w:val="18"/>
        </w:rPr>
        <w:t>the</w:t>
      </w:r>
      <w:r>
        <w:rPr>
          <w:spacing w:val="-4"/>
          <w:sz w:val="18"/>
        </w:rPr>
        <w:t> </w:t>
      </w:r>
      <w:r>
        <w:rPr>
          <w:sz w:val="18"/>
        </w:rPr>
        <w:t>NI</w:t>
      </w:r>
      <w:r>
        <w:rPr>
          <w:spacing w:val="-4"/>
          <w:sz w:val="18"/>
        </w:rPr>
        <w:t> </w:t>
      </w:r>
      <w:r>
        <w:rPr>
          <w:sz w:val="18"/>
        </w:rPr>
        <w:t>Human Rights Commission, 1 November 2023.</w:t>
      </w:r>
    </w:p>
    <w:p>
      <w:pPr>
        <w:pStyle w:val="ListParagraph"/>
        <w:numPr>
          <w:ilvl w:val="0"/>
          <w:numId w:val="3"/>
        </w:numPr>
        <w:tabs>
          <w:tab w:pos="1853" w:val="left" w:leader="none"/>
        </w:tabs>
        <w:spacing w:line="216" w:lineRule="exact" w:before="0" w:after="0"/>
        <w:ind w:left="1853" w:right="0" w:hanging="720"/>
        <w:jc w:val="left"/>
        <w:rPr>
          <w:sz w:val="18"/>
        </w:rPr>
      </w:pPr>
      <w:r>
        <w:rPr>
          <w:sz w:val="18"/>
        </w:rPr>
        <w:t>The</w:t>
      </w:r>
      <w:r>
        <w:rPr>
          <w:spacing w:val="-5"/>
          <w:sz w:val="18"/>
        </w:rPr>
        <w:t> </w:t>
      </w: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Commission’s</w:t>
      </w:r>
      <w:r>
        <w:rPr>
          <w:spacing w:val="-5"/>
          <w:sz w:val="18"/>
        </w:rPr>
        <w:t> </w:t>
      </w:r>
      <w:r>
        <w:rPr>
          <w:sz w:val="18"/>
        </w:rPr>
        <w:t>accreditation</w:t>
      </w:r>
      <w:r>
        <w:rPr>
          <w:spacing w:val="-5"/>
          <w:sz w:val="18"/>
        </w:rPr>
        <w:t> </w:t>
      </w:r>
      <w:r>
        <w:rPr>
          <w:sz w:val="18"/>
        </w:rPr>
        <w:t>is</w:t>
      </w:r>
      <w:r>
        <w:rPr>
          <w:spacing w:val="-5"/>
          <w:sz w:val="18"/>
        </w:rPr>
        <w:t> </w:t>
      </w:r>
      <w:r>
        <w:rPr>
          <w:sz w:val="18"/>
        </w:rPr>
        <w:t>due</w:t>
      </w:r>
      <w:r>
        <w:rPr>
          <w:spacing w:val="-4"/>
          <w:sz w:val="18"/>
        </w:rPr>
        <w:t> </w:t>
      </w:r>
      <w:r>
        <w:rPr>
          <w:sz w:val="18"/>
        </w:rPr>
        <w:t>to</w:t>
      </w:r>
      <w:r>
        <w:rPr>
          <w:spacing w:val="-5"/>
          <w:sz w:val="18"/>
        </w:rPr>
        <w:t> </w:t>
      </w:r>
      <w:r>
        <w:rPr>
          <w:sz w:val="18"/>
        </w:rPr>
        <w:t>be</w:t>
      </w:r>
      <w:r>
        <w:rPr>
          <w:spacing w:val="-4"/>
          <w:sz w:val="18"/>
        </w:rPr>
        <w:t> </w:t>
      </w:r>
      <w:r>
        <w:rPr>
          <w:sz w:val="18"/>
        </w:rPr>
        <w:t>reviewed</w:t>
      </w:r>
      <w:r>
        <w:rPr>
          <w:spacing w:val="-5"/>
          <w:sz w:val="18"/>
        </w:rPr>
        <w:t> </w:t>
      </w:r>
      <w:r>
        <w:rPr>
          <w:sz w:val="18"/>
        </w:rPr>
        <w:t>again</w:t>
      </w:r>
      <w:r>
        <w:rPr>
          <w:spacing w:val="-5"/>
          <w:sz w:val="18"/>
        </w:rPr>
        <w:t> </w:t>
      </w:r>
      <w:r>
        <w:rPr>
          <w:sz w:val="18"/>
        </w:rPr>
        <w:t>in</w:t>
      </w:r>
      <w:r>
        <w:rPr>
          <w:spacing w:val="-5"/>
          <w:sz w:val="18"/>
        </w:rPr>
        <w:t> </w:t>
      </w:r>
      <w:r>
        <w:rPr>
          <w:spacing w:val="-2"/>
          <w:sz w:val="18"/>
        </w:rPr>
        <w:t>2028.</w:t>
      </w:r>
    </w:p>
    <w:p>
      <w:pPr>
        <w:pStyle w:val="ListParagraph"/>
        <w:numPr>
          <w:ilvl w:val="0"/>
          <w:numId w:val="3"/>
        </w:numPr>
        <w:tabs>
          <w:tab w:pos="1853" w:val="left" w:leader="none"/>
        </w:tabs>
        <w:spacing w:line="235" w:lineRule="auto" w:before="1" w:after="0"/>
        <w:ind w:left="1853" w:right="1250" w:hanging="720"/>
        <w:jc w:val="left"/>
        <w:rPr>
          <w:sz w:val="18"/>
        </w:rPr>
      </w:pPr>
      <w:r>
        <w:rPr>
          <w:sz w:val="18"/>
        </w:rPr>
        <w:t>Paul</w:t>
      </w:r>
      <w:r>
        <w:rPr>
          <w:spacing w:val="-7"/>
          <w:sz w:val="18"/>
        </w:rPr>
        <w:t> </w:t>
      </w:r>
      <w:r>
        <w:rPr>
          <w:sz w:val="18"/>
        </w:rPr>
        <w:t>Evans,</w:t>
      </w:r>
      <w:r>
        <w:rPr>
          <w:spacing w:val="-6"/>
          <w:sz w:val="18"/>
        </w:rPr>
        <w:t> </w:t>
      </w:r>
      <w:r>
        <w:rPr>
          <w:sz w:val="18"/>
        </w:rPr>
        <w:t>Alexander</w:t>
      </w:r>
      <w:r>
        <w:rPr>
          <w:spacing w:val="-6"/>
          <w:sz w:val="18"/>
        </w:rPr>
        <w:t> </w:t>
      </w:r>
      <w:r>
        <w:rPr>
          <w:sz w:val="18"/>
        </w:rPr>
        <w:t>Horne,</w:t>
      </w:r>
      <w:r>
        <w:rPr>
          <w:spacing w:val="-6"/>
          <w:sz w:val="18"/>
        </w:rPr>
        <w:t> </w:t>
      </w:r>
      <w:r>
        <w:rPr>
          <w:sz w:val="18"/>
        </w:rPr>
        <w:t>Tasneem</w:t>
      </w:r>
      <w:r>
        <w:rPr>
          <w:spacing w:val="-6"/>
          <w:sz w:val="18"/>
        </w:rPr>
        <w:t> </w:t>
      </w:r>
      <w:r>
        <w:rPr>
          <w:sz w:val="18"/>
        </w:rPr>
        <w:t>Ghazi,</w:t>
      </w:r>
      <w:r>
        <w:rPr>
          <w:spacing w:val="-6"/>
          <w:sz w:val="18"/>
        </w:rPr>
        <w:t> </w:t>
      </w:r>
      <w:r>
        <w:rPr>
          <w:sz w:val="18"/>
        </w:rPr>
        <w:t>‘</w:t>
      </w:r>
      <w:hyperlink r:id="rId72">
        <w:r>
          <w:rPr>
            <w:sz w:val="18"/>
          </w:rPr>
          <w:t>Legislative</w:t>
        </w:r>
        <w:r>
          <w:rPr>
            <w:spacing w:val="-6"/>
            <w:sz w:val="18"/>
          </w:rPr>
          <w:t> </w:t>
        </w:r>
        <w:r>
          <w:rPr>
            <w:sz w:val="18"/>
          </w:rPr>
          <w:t>Scrutiny</w:t>
        </w:r>
        <w:r>
          <w:rPr>
            <w:spacing w:val="-6"/>
            <w:sz w:val="18"/>
          </w:rPr>
          <w:t> </w:t>
        </w:r>
        <w:r>
          <w:rPr>
            <w:sz w:val="18"/>
          </w:rPr>
          <w:t>and</w:t>
        </w:r>
        <w:r>
          <w:rPr>
            <w:spacing w:val="-7"/>
            <w:sz w:val="18"/>
          </w:rPr>
          <w:t> </w:t>
        </w:r>
        <w:r>
          <w:rPr>
            <w:sz w:val="18"/>
          </w:rPr>
          <w:t>the</w:t>
        </w:r>
        <w:r>
          <w:rPr>
            <w:spacing w:val="-6"/>
            <w:sz w:val="18"/>
          </w:rPr>
          <w:t> </w:t>
        </w:r>
        <w:r>
          <w:rPr>
            <w:sz w:val="18"/>
          </w:rPr>
          <w:t>Dedicated</w:t>
        </w:r>
        <w:r>
          <w:rPr>
            <w:spacing w:val="-7"/>
            <w:sz w:val="18"/>
          </w:rPr>
          <w:t> </w:t>
        </w:r>
        <w:r>
          <w:rPr>
            <w:sz w:val="18"/>
          </w:rPr>
          <w:t>Mechanism</w:t>
        </w:r>
        <w:r>
          <w:rPr>
            <w:spacing w:val="-6"/>
            <w:sz w:val="18"/>
          </w:rPr>
          <w:t> </w:t>
        </w:r>
        <w:r>
          <w:rPr>
            <w:sz w:val="18"/>
          </w:rPr>
          <w:t>for</w:t>
        </w:r>
        <w:r>
          <w:rPr>
            <w:spacing w:val="-6"/>
            <w:sz w:val="18"/>
          </w:rPr>
          <w:t> </w:t>
        </w:r>
        <w:r>
          <w:rPr>
            <w:sz w:val="18"/>
          </w:rPr>
          <w:t>monitoring</w:t>
        </w:r>
        <w:r>
          <w:rPr>
            <w:spacing w:val="-6"/>
            <w:sz w:val="18"/>
          </w:rPr>
          <w:t> </w:t>
        </w:r>
        <w:r>
          <w:rPr>
            <w:sz w:val="18"/>
          </w:rPr>
          <w:t>Article</w:t>
        </w:r>
        <w:r>
          <w:rPr>
            <w:spacing w:val="-6"/>
            <w:sz w:val="18"/>
          </w:rPr>
          <w:t> </w:t>
        </w:r>
        <w:r>
          <w:rPr>
            <w:sz w:val="18"/>
          </w:rPr>
          <w:t>2</w:t>
        </w:r>
      </w:hyperlink>
      <w:r>
        <w:rPr>
          <w:sz w:val="18"/>
        </w:rPr>
        <w:t> </w:t>
      </w:r>
      <w:hyperlink r:id="rId72">
        <w:r>
          <w:rPr>
            <w:sz w:val="18"/>
          </w:rPr>
          <w:t>of the Ireland/Northern Ireland Protocol</w:t>
        </w:r>
      </w:hyperlink>
      <w:r>
        <w:rPr>
          <w:sz w:val="18"/>
        </w:rPr>
        <w:t>’ (ECNI, 2021).</w:t>
      </w:r>
    </w:p>
    <w:p>
      <w:pPr>
        <w:pStyle w:val="ListParagraph"/>
        <w:numPr>
          <w:ilvl w:val="0"/>
          <w:numId w:val="3"/>
        </w:numPr>
        <w:tabs>
          <w:tab w:pos="1853" w:val="left" w:leader="none"/>
        </w:tabs>
        <w:spacing w:line="235" w:lineRule="auto" w:before="1" w:after="0"/>
        <w:ind w:left="1853" w:right="1184" w:hanging="720"/>
        <w:jc w:val="left"/>
        <w:rPr>
          <w:sz w:val="18"/>
        </w:rPr>
      </w:pPr>
      <w:r>
        <w:rPr>
          <w:sz w:val="18"/>
        </w:rPr>
        <w:t>EU</w:t>
      </w:r>
      <w:r>
        <w:rPr>
          <w:spacing w:val="-3"/>
          <w:sz w:val="18"/>
        </w:rPr>
        <w:t> </w:t>
      </w:r>
      <w:r>
        <w:rPr>
          <w:sz w:val="18"/>
        </w:rPr>
        <w:t>Commission,</w:t>
      </w:r>
      <w:r>
        <w:rPr>
          <w:spacing w:val="-3"/>
          <w:sz w:val="18"/>
        </w:rPr>
        <w:t> </w:t>
      </w:r>
      <w:r>
        <w:rPr>
          <w:sz w:val="18"/>
        </w:rPr>
        <w:t>’Proposal</w:t>
      </w:r>
      <w:r>
        <w:rPr>
          <w:spacing w:val="-4"/>
          <w:sz w:val="18"/>
        </w:rPr>
        <w:t> </w:t>
      </w:r>
      <w:r>
        <w:rPr>
          <w:sz w:val="18"/>
        </w:rPr>
        <w:t>for</w:t>
      </w:r>
      <w:r>
        <w:rPr>
          <w:spacing w:val="-3"/>
          <w:sz w:val="18"/>
        </w:rPr>
        <w:t> </w:t>
      </w:r>
      <w:r>
        <w:rPr>
          <w:sz w:val="18"/>
        </w:rPr>
        <w:t>a</w:t>
      </w:r>
      <w:r>
        <w:rPr>
          <w:spacing w:val="-4"/>
          <w:sz w:val="18"/>
        </w:rPr>
        <w:t> </w:t>
      </w:r>
      <w:r>
        <w:rPr>
          <w:sz w:val="18"/>
        </w:rPr>
        <w:t>Council</w:t>
      </w:r>
      <w:r>
        <w:rPr>
          <w:spacing w:val="-4"/>
          <w:sz w:val="18"/>
        </w:rPr>
        <w:t> </w:t>
      </w:r>
      <w:r>
        <w:rPr>
          <w:sz w:val="18"/>
        </w:rPr>
        <w:t>Directive</w:t>
      </w:r>
      <w:r>
        <w:rPr>
          <w:spacing w:val="-3"/>
          <w:sz w:val="18"/>
        </w:rPr>
        <w:t> </w:t>
      </w:r>
      <w:r>
        <w:rPr>
          <w:sz w:val="18"/>
        </w:rPr>
        <w:t>on</w:t>
      </w:r>
      <w:r>
        <w:rPr>
          <w:spacing w:val="-4"/>
          <w:sz w:val="18"/>
        </w:rPr>
        <w:t> </w:t>
      </w:r>
      <w:r>
        <w:rPr>
          <w:sz w:val="18"/>
        </w:rPr>
        <w:t>standards</w:t>
      </w:r>
      <w:r>
        <w:rPr>
          <w:spacing w:val="-4"/>
          <w:sz w:val="18"/>
        </w:rPr>
        <w:t> </w:t>
      </w:r>
      <w:r>
        <w:rPr>
          <w:sz w:val="18"/>
        </w:rPr>
        <w:t>for</w:t>
      </w:r>
      <w:r>
        <w:rPr>
          <w:spacing w:val="-3"/>
          <w:sz w:val="18"/>
        </w:rPr>
        <w:t> </w:t>
      </w:r>
      <w:r>
        <w:rPr>
          <w:sz w:val="18"/>
        </w:rPr>
        <w:t>equality</w:t>
      </w:r>
      <w:r>
        <w:rPr>
          <w:spacing w:val="-3"/>
          <w:sz w:val="18"/>
        </w:rPr>
        <w:t> </w:t>
      </w:r>
      <w:r>
        <w:rPr>
          <w:sz w:val="18"/>
        </w:rPr>
        <w:t>bodies</w:t>
      </w:r>
      <w:r>
        <w:rPr>
          <w:spacing w:val="-4"/>
          <w:sz w:val="18"/>
        </w:rPr>
        <w:t> </w:t>
      </w:r>
      <w:r>
        <w:rPr>
          <w:sz w:val="18"/>
        </w:rPr>
        <w:t>in</w:t>
      </w:r>
      <w:r>
        <w:rPr>
          <w:spacing w:val="-4"/>
          <w:sz w:val="18"/>
        </w:rPr>
        <w:t> </w:t>
      </w:r>
      <w:r>
        <w:rPr>
          <w:sz w:val="18"/>
        </w:rPr>
        <w:t>the</w:t>
      </w:r>
      <w:r>
        <w:rPr>
          <w:spacing w:val="-3"/>
          <w:sz w:val="18"/>
        </w:rPr>
        <w:t> </w:t>
      </w:r>
      <w:r>
        <w:rPr>
          <w:sz w:val="18"/>
        </w:rPr>
        <w:t>field</w:t>
      </w:r>
      <w:r>
        <w:rPr>
          <w:spacing w:val="-4"/>
          <w:sz w:val="18"/>
        </w:rPr>
        <w:t> </w:t>
      </w:r>
      <w:r>
        <w:rPr>
          <w:sz w:val="18"/>
        </w:rPr>
        <w:t>of</w:t>
      </w:r>
      <w:r>
        <w:rPr>
          <w:spacing w:val="-4"/>
          <w:sz w:val="18"/>
        </w:rPr>
        <w:t> </w:t>
      </w:r>
      <w:r>
        <w:rPr>
          <w:sz w:val="18"/>
        </w:rPr>
        <w:t>equal</w:t>
      </w:r>
      <w:r>
        <w:rPr>
          <w:spacing w:val="-4"/>
          <w:sz w:val="18"/>
        </w:rPr>
        <w:t> </w:t>
      </w:r>
      <w:r>
        <w:rPr>
          <w:sz w:val="18"/>
        </w:rPr>
        <w:t>treatment</w:t>
      </w:r>
      <w:r>
        <w:rPr>
          <w:spacing w:val="-3"/>
          <w:sz w:val="18"/>
        </w:rPr>
        <w:t> </w:t>
      </w:r>
      <w:r>
        <w:rPr>
          <w:sz w:val="18"/>
        </w:rPr>
        <w:t>between persons irrespective of their racial or ethnic origin, equal treatment in the field of employment and occupation between</w:t>
      </w:r>
    </w:p>
    <w:p>
      <w:pPr>
        <w:spacing w:after="0" w:line="235" w:lineRule="auto"/>
        <w:jc w:val="left"/>
        <w:rPr>
          <w:sz w:val="18"/>
        </w:rPr>
        <w:sectPr>
          <w:pgSz w:w="11910" w:h="16840"/>
          <w:pgMar w:header="496" w:footer="367" w:top="1220" w:bottom="560" w:left="0" w:right="0"/>
        </w:sectPr>
      </w:pPr>
    </w:p>
    <w:p>
      <w:pPr>
        <w:pStyle w:val="BodyText"/>
        <w:rPr>
          <w:sz w:val="20"/>
        </w:rPr>
      </w:pPr>
    </w:p>
    <w:p>
      <w:pPr>
        <w:pStyle w:val="BodyText"/>
        <w:spacing w:before="42"/>
        <w:rPr>
          <w:sz w:val="20"/>
        </w:rPr>
      </w:pPr>
    </w:p>
    <w:p>
      <w:pPr>
        <w:pStyle w:val="BodyText"/>
        <w:ind w:left="1133"/>
        <w:rPr>
          <w:sz w:val="20"/>
        </w:rPr>
      </w:pPr>
      <w:r>
        <w:rPr>
          <w:sz w:val="20"/>
        </w:rPr>
        <mc:AlternateContent>
          <mc:Choice Requires="wps">
            <w:drawing>
              <wp:inline distT="0" distB="0" distL="0" distR="0">
                <wp:extent cx="6120130" cy="360045"/>
                <wp:effectExtent l="0" t="0" r="0" b="0"/>
                <wp:docPr id="157" name="Textbox 157"/>
                <wp:cNvGraphicFramePr>
                  <a:graphicFrameLocks/>
                </wp:cNvGraphicFramePr>
                <a:graphic>
                  <a:graphicData uri="http://schemas.microsoft.com/office/word/2010/wordprocessingShape">
                    <wps:wsp>
                      <wps:cNvPr id="157" name="Textbox 157"/>
                      <wps:cNvSpPr txBox="1"/>
                      <wps:spPr>
                        <a:xfrm>
                          <a:off x="0" y="0"/>
                          <a:ext cx="6120130" cy="360045"/>
                        </a:xfrm>
                        <a:prstGeom prst="rect">
                          <a:avLst/>
                        </a:prstGeom>
                        <a:solidFill>
                          <a:srgbClr val="393B80"/>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inline>
            </w:drawing>
          </mc:Choice>
          <mc:Fallback>
            <w:pict>
              <v:shape style="width:481.9pt;height:28.35pt;mso-position-horizontal-relative:char;mso-position-vertical-relative:line" type="#_x0000_t202" id="docshape114" filled="true" fillcolor="#393b80" stroked="false">
                <w10:anchorlock/>
                <v:textbox inset="0,0,0,0">
                  <w:txbxContent>
                    <w:p>
                      <w:pPr>
                        <w:spacing w:before="103"/>
                        <w:ind w:left="800" w:right="0" w:firstLine="0"/>
                        <w:jc w:val="left"/>
                        <w:rPr>
                          <w:b/>
                          <w:color w:val="000000"/>
                          <w:sz w:val="28"/>
                        </w:rPr>
                      </w:pPr>
                      <w:r>
                        <w:rPr>
                          <w:b/>
                          <w:color w:val="FFFFFF"/>
                          <w:spacing w:val="-2"/>
                          <w:sz w:val="28"/>
                        </w:rPr>
                        <w:t>Recommendations</w:t>
                      </w:r>
                    </w:p>
                  </w:txbxContent>
                </v:textbox>
                <v:fill type="solid"/>
              </v:shape>
            </w:pict>
          </mc:Fallback>
        </mc:AlternateContent>
      </w:r>
      <w:r>
        <w:rPr>
          <w:sz w:val="20"/>
        </w:rPr>
      </w:r>
    </w:p>
    <w:p>
      <w:pPr>
        <w:pStyle w:val="ListParagraph"/>
        <w:numPr>
          <w:ilvl w:val="1"/>
          <w:numId w:val="5"/>
        </w:numPr>
        <w:tabs>
          <w:tab w:pos="1853" w:val="left" w:leader="none"/>
        </w:tabs>
        <w:spacing w:line="204" w:lineRule="auto" w:before="184" w:after="0"/>
        <w:ind w:left="1853" w:right="1365" w:hanging="720"/>
        <w:jc w:val="left"/>
        <w:rPr>
          <w:b/>
          <w:color w:val="67287F"/>
          <w:sz w:val="28"/>
        </w:rPr>
      </w:pPr>
      <w:r>
        <w:rPr>
          <w:b/>
          <w:color w:val="67287F"/>
          <w:sz w:val="28"/>
        </w:rPr>
        <w:t>The Commissions continue to recommend that the NI Office ensures there is</w:t>
      </w:r>
      <w:r>
        <w:rPr>
          <w:b/>
          <w:color w:val="67287F"/>
          <w:spacing w:val="-6"/>
          <w:sz w:val="28"/>
        </w:rPr>
        <w:t> </w:t>
      </w:r>
      <w:r>
        <w:rPr>
          <w:b/>
          <w:color w:val="67287F"/>
          <w:sz w:val="28"/>
        </w:rPr>
        <w:t>adequate</w:t>
      </w:r>
      <w:r>
        <w:rPr>
          <w:b/>
          <w:color w:val="67287F"/>
          <w:spacing w:val="-7"/>
          <w:sz w:val="28"/>
        </w:rPr>
        <w:t> </w:t>
      </w:r>
      <w:r>
        <w:rPr>
          <w:b/>
          <w:color w:val="67287F"/>
          <w:sz w:val="28"/>
        </w:rPr>
        <w:t>and</w:t>
      </w:r>
      <w:r>
        <w:rPr>
          <w:b/>
          <w:color w:val="67287F"/>
          <w:spacing w:val="-6"/>
          <w:sz w:val="28"/>
        </w:rPr>
        <w:t> </w:t>
      </w:r>
      <w:r>
        <w:rPr>
          <w:b/>
          <w:color w:val="67287F"/>
          <w:sz w:val="28"/>
        </w:rPr>
        <w:t>sustained</w:t>
      </w:r>
      <w:r>
        <w:rPr>
          <w:b/>
          <w:color w:val="67287F"/>
          <w:spacing w:val="-6"/>
          <w:sz w:val="28"/>
        </w:rPr>
        <w:t> </w:t>
      </w:r>
      <w:r>
        <w:rPr>
          <w:b/>
          <w:color w:val="67287F"/>
          <w:sz w:val="28"/>
        </w:rPr>
        <w:t>resourcing</w:t>
      </w:r>
      <w:r>
        <w:rPr>
          <w:b/>
          <w:color w:val="67287F"/>
          <w:spacing w:val="-7"/>
          <w:sz w:val="28"/>
        </w:rPr>
        <w:t> </w:t>
      </w:r>
      <w:r>
        <w:rPr>
          <w:b/>
          <w:color w:val="67287F"/>
          <w:sz w:val="28"/>
        </w:rPr>
        <w:t>of</w:t>
      </w:r>
      <w:r>
        <w:rPr>
          <w:b/>
          <w:color w:val="67287F"/>
          <w:spacing w:val="-7"/>
          <w:sz w:val="28"/>
        </w:rPr>
        <w:t> </w:t>
      </w:r>
      <w:r>
        <w:rPr>
          <w:b/>
          <w:color w:val="67287F"/>
          <w:sz w:val="28"/>
        </w:rPr>
        <w:t>the</w:t>
      </w:r>
      <w:r>
        <w:rPr>
          <w:b/>
          <w:color w:val="67287F"/>
          <w:spacing w:val="-7"/>
          <w:sz w:val="28"/>
        </w:rPr>
        <w:t> </w:t>
      </w:r>
      <w:r>
        <w:rPr>
          <w:b/>
          <w:color w:val="67287F"/>
          <w:sz w:val="28"/>
        </w:rPr>
        <w:t>two</w:t>
      </w:r>
      <w:r>
        <w:rPr>
          <w:b/>
          <w:color w:val="67287F"/>
          <w:spacing w:val="-6"/>
          <w:sz w:val="28"/>
        </w:rPr>
        <w:t> </w:t>
      </w:r>
      <w:r>
        <w:rPr>
          <w:b/>
          <w:color w:val="67287F"/>
          <w:sz w:val="28"/>
        </w:rPr>
        <w:t>Commissions</w:t>
      </w:r>
      <w:r>
        <w:rPr>
          <w:b/>
          <w:color w:val="67287F"/>
          <w:spacing w:val="-6"/>
          <w:sz w:val="28"/>
        </w:rPr>
        <w:t> </w:t>
      </w:r>
      <w:r>
        <w:rPr>
          <w:b/>
          <w:color w:val="67287F"/>
          <w:sz w:val="28"/>
        </w:rPr>
        <w:t>to</w:t>
      </w:r>
      <w:r>
        <w:rPr>
          <w:b/>
          <w:color w:val="67287F"/>
          <w:spacing w:val="-6"/>
          <w:sz w:val="28"/>
        </w:rPr>
        <w:t> </w:t>
      </w:r>
      <w:r>
        <w:rPr>
          <w:b/>
          <w:color w:val="67287F"/>
          <w:sz w:val="28"/>
        </w:rPr>
        <w:t>fulfil</w:t>
      </w:r>
      <w:r>
        <w:rPr>
          <w:b/>
          <w:color w:val="67287F"/>
          <w:spacing w:val="-6"/>
          <w:sz w:val="28"/>
        </w:rPr>
        <w:t> </w:t>
      </w:r>
      <w:r>
        <w:rPr>
          <w:b/>
          <w:color w:val="67287F"/>
          <w:sz w:val="28"/>
        </w:rPr>
        <w:t>their responsibilities as the dedicated mechanism, post March 2025.</w:t>
      </w:r>
      <w:r>
        <w:rPr>
          <w:b/>
          <w:color w:val="67287F"/>
          <w:sz w:val="28"/>
          <w:vertAlign w:val="superscript"/>
        </w:rPr>
        <w:t>104</w:t>
      </w:r>
    </w:p>
    <w:p>
      <w:pPr>
        <w:pStyle w:val="ListParagraph"/>
        <w:numPr>
          <w:ilvl w:val="1"/>
          <w:numId w:val="5"/>
        </w:numPr>
        <w:tabs>
          <w:tab w:pos="1853" w:val="left" w:leader="none"/>
        </w:tabs>
        <w:spacing w:line="204" w:lineRule="auto" w:before="289" w:after="0"/>
        <w:ind w:left="1853" w:right="1538" w:hanging="720"/>
        <w:jc w:val="left"/>
        <w:rPr>
          <w:b/>
          <w:color w:val="67287F"/>
          <w:sz w:val="28"/>
        </w:rPr>
      </w:pPr>
      <w:r>
        <w:rPr>
          <w:b/>
          <w:color w:val="67287F"/>
          <w:sz w:val="28"/>
        </w:rPr>
        <w:t>The Commissions continue to recommend that, further to the UK Government’s</w:t>
      </w:r>
      <w:r>
        <w:rPr>
          <w:b/>
          <w:color w:val="67287F"/>
          <w:spacing w:val="-8"/>
          <w:sz w:val="28"/>
        </w:rPr>
        <w:t> </w:t>
      </w:r>
      <w:r>
        <w:rPr>
          <w:b/>
          <w:color w:val="67287F"/>
          <w:sz w:val="28"/>
        </w:rPr>
        <w:t>commitment</w:t>
      </w:r>
      <w:r>
        <w:rPr>
          <w:b/>
          <w:color w:val="67287F"/>
          <w:spacing w:val="-8"/>
          <w:sz w:val="28"/>
        </w:rPr>
        <w:t> </w:t>
      </w:r>
      <w:r>
        <w:rPr>
          <w:b/>
          <w:color w:val="67287F"/>
          <w:sz w:val="28"/>
        </w:rPr>
        <w:t>in</w:t>
      </w:r>
      <w:r>
        <w:rPr>
          <w:b/>
          <w:color w:val="67287F"/>
          <w:spacing w:val="-8"/>
          <w:sz w:val="28"/>
        </w:rPr>
        <w:t> </w:t>
      </w:r>
      <w:r>
        <w:rPr>
          <w:b/>
          <w:color w:val="67287F"/>
          <w:sz w:val="28"/>
        </w:rPr>
        <w:t>Article</w:t>
      </w:r>
      <w:r>
        <w:rPr>
          <w:b/>
          <w:color w:val="67287F"/>
          <w:spacing w:val="-9"/>
          <w:sz w:val="28"/>
        </w:rPr>
        <w:t> </w:t>
      </w:r>
      <w:r>
        <w:rPr>
          <w:b/>
          <w:color w:val="67287F"/>
          <w:sz w:val="28"/>
        </w:rPr>
        <w:t>2(2)</w:t>
      </w:r>
      <w:r>
        <w:rPr>
          <w:b/>
          <w:color w:val="67287F"/>
          <w:spacing w:val="-8"/>
          <w:sz w:val="28"/>
        </w:rPr>
        <w:t> </w:t>
      </w:r>
      <w:r>
        <w:rPr>
          <w:b/>
          <w:color w:val="67287F"/>
          <w:sz w:val="28"/>
        </w:rPr>
        <w:t>to</w:t>
      </w:r>
      <w:r>
        <w:rPr>
          <w:b/>
          <w:color w:val="67287F"/>
          <w:spacing w:val="-8"/>
          <w:sz w:val="28"/>
        </w:rPr>
        <w:t> </w:t>
      </w:r>
      <w:r>
        <w:rPr>
          <w:b/>
          <w:color w:val="67287F"/>
          <w:sz w:val="28"/>
        </w:rPr>
        <w:t>facilitate</w:t>
      </w:r>
      <w:r>
        <w:rPr>
          <w:b/>
          <w:color w:val="67287F"/>
          <w:spacing w:val="-9"/>
          <w:sz w:val="28"/>
        </w:rPr>
        <w:t> </w:t>
      </w:r>
      <w:r>
        <w:rPr>
          <w:b/>
          <w:color w:val="67287F"/>
          <w:sz w:val="28"/>
        </w:rPr>
        <w:t>the</w:t>
      </w:r>
      <w:r>
        <w:rPr>
          <w:b/>
          <w:color w:val="67287F"/>
          <w:spacing w:val="-9"/>
          <w:sz w:val="28"/>
        </w:rPr>
        <w:t> </w:t>
      </w:r>
      <w:r>
        <w:rPr>
          <w:b/>
          <w:color w:val="67287F"/>
          <w:sz w:val="28"/>
        </w:rPr>
        <w:t>related</w:t>
      </w:r>
      <w:r>
        <w:rPr>
          <w:b/>
          <w:color w:val="67287F"/>
          <w:spacing w:val="-8"/>
          <w:sz w:val="28"/>
        </w:rPr>
        <w:t> </w:t>
      </w:r>
      <w:r>
        <w:rPr>
          <w:b/>
          <w:color w:val="67287F"/>
          <w:sz w:val="28"/>
        </w:rPr>
        <w:t>work</w:t>
      </w:r>
      <w:r>
        <w:rPr>
          <w:b/>
          <w:color w:val="67287F"/>
          <w:spacing w:val="-9"/>
          <w:sz w:val="28"/>
        </w:rPr>
        <w:t> </w:t>
      </w:r>
      <w:r>
        <w:rPr>
          <w:b/>
          <w:color w:val="67287F"/>
          <w:sz w:val="28"/>
        </w:rPr>
        <w:t>of the two Commissions in upholding human rights and equality standards, there is sustained and adequate funding of both Commissions generally.</w:t>
      </w:r>
    </w:p>
    <w:p>
      <w:pPr>
        <w:pStyle w:val="ListParagraph"/>
        <w:numPr>
          <w:ilvl w:val="1"/>
          <w:numId w:val="5"/>
        </w:numPr>
        <w:tabs>
          <w:tab w:pos="1853" w:val="left" w:leader="none"/>
        </w:tabs>
        <w:spacing w:line="204" w:lineRule="auto" w:before="288" w:after="0"/>
        <w:ind w:left="1853" w:right="1145" w:hanging="720"/>
        <w:jc w:val="left"/>
        <w:rPr>
          <w:b/>
          <w:color w:val="67287F"/>
          <w:sz w:val="28"/>
        </w:rPr>
      </w:pPr>
      <w:r>
        <w:rPr>
          <w:b/>
          <w:color w:val="67287F"/>
          <w:sz w:val="28"/>
        </w:rPr>
        <w:t>The NIHRC recommends that the NI Office and HM Treasury ensure that the ongoing</w:t>
      </w:r>
      <w:r>
        <w:rPr>
          <w:b/>
          <w:color w:val="67287F"/>
          <w:spacing w:val="-7"/>
          <w:sz w:val="28"/>
        </w:rPr>
        <w:t> </w:t>
      </w:r>
      <w:r>
        <w:rPr>
          <w:b/>
          <w:color w:val="67287F"/>
          <w:sz w:val="28"/>
        </w:rPr>
        <w:t>economic</w:t>
      </w:r>
      <w:r>
        <w:rPr>
          <w:b/>
          <w:color w:val="67287F"/>
          <w:spacing w:val="-7"/>
          <w:sz w:val="28"/>
        </w:rPr>
        <w:t> </w:t>
      </w:r>
      <w:r>
        <w:rPr>
          <w:b/>
          <w:color w:val="67287F"/>
          <w:sz w:val="28"/>
        </w:rPr>
        <w:t>appraisal</w:t>
      </w:r>
      <w:r>
        <w:rPr>
          <w:b/>
          <w:color w:val="67287F"/>
          <w:spacing w:val="-6"/>
          <w:sz w:val="28"/>
        </w:rPr>
        <w:t> </w:t>
      </w:r>
      <w:r>
        <w:rPr>
          <w:b/>
          <w:color w:val="67287F"/>
          <w:sz w:val="28"/>
        </w:rPr>
        <w:t>of</w:t>
      </w:r>
      <w:r>
        <w:rPr>
          <w:b/>
          <w:color w:val="67287F"/>
          <w:spacing w:val="-7"/>
          <w:sz w:val="28"/>
        </w:rPr>
        <w:t> </w:t>
      </w:r>
      <w:r>
        <w:rPr>
          <w:b/>
          <w:color w:val="67287F"/>
          <w:sz w:val="28"/>
        </w:rPr>
        <w:t>NIHRC</w:t>
      </w:r>
      <w:r>
        <w:rPr>
          <w:b/>
          <w:color w:val="67287F"/>
          <w:spacing w:val="-7"/>
          <w:sz w:val="28"/>
        </w:rPr>
        <w:t> </w:t>
      </w:r>
      <w:r>
        <w:rPr>
          <w:b/>
          <w:color w:val="67287F"/>
          <w:sz w:val="28"/>
        </w:rPr>
        <w:t>results</w:t>
      </w:r>
      <w:r>
        <w:rPr>
          <w:b/>
          <w:color w:val="67287F"/>
          <w:spacing w:val="-6"/>
          <w:sz w:val="28"/>
        </w:rPr>
        <w:t> </w:t>
      </w:r>
      <w:r>
        <w:rPr>
          <w:b/>
          <w:color w:val="67287F"/>
          <w:sz w:val="28"/>
        </w:rPr>
        <w:t>in</w:t>
      </w:r>
      <w:r>
        <w:rPr>
          <w:b/>
          <w:color w:val="67287F"/>
          <w:spacing w:val="-6"/>
          <w:sz w:val="28"/>
        </w:rPr>
        <w:t> </w:t>
      </w:r>
      <w:r>
        <w:rPr>
          <w:b/>
          <w:color w:val="67287F"/>
          <w:sz w:val="28"/>
        </w:rPr>
        <w:t>adequate</w:t>
      </w:r>
      <w:r>
        <w:rPr>
          <w:b/>
          <w:color w:val="67287F"/>
          <w:spacing w:val="-7"/>
          <w:sz w:val="28"/>
        </w:rPr>
        <w:t> </w:t>
      </w:r>
      <w:r>
        <w:rPr>
          <w:b/>
          <w:color w:val="67287F"/>
          <w:sz w:val="28"/>
        </w:rPr>
        <w:t>and</w:t>
      </w:r>
      <w:r>
        <w:rPr>
          <w:b/>
          <w:color w:val="67287F"/>
          <w:spacing w:val="-6"/>
          <w:sz w:val="28"/>
        </w:rPr>
        <w:t> </w:t>
      </w:r>
      <w:r>
        <w:rPr>
          <w:b/>
          <w:color w:val="67287F"/>
          <w:sz w:val="28"/>
        </w:rPr>
        <w:t>secure</w:t>
      </w:r>
      <w:r>
        <w:rPr>
          <w:b/>
          <w:color w:val="67287F"/>
          <w:spacing w:val="-7"/>
          <w:sz w:val="28"/>
        </w:rPr>
        <w:t> </w:t>
      </w:r>
      <w:r>
        <w:rPr>
          <w:b/>
          <w:color w:val="67287F"/>
          <w:sz w:val="28"/>
        </w:rPr>
        <w:t>funding to enable</w:t>
      </w:r>
      <w:r>
        <w:rPr>
          <w:b/>
          <w:color w:val="67287F"/>
          <w:spacing w:val="-1"/>
          <w:sz w:val="28"/>
        </w:rPr>
        <w:t> </w:t>
      </w:r>
      <w:r>
        <w:rPr>
          <w:b/>
          <w:color w:val="67287F"/>
          <w:sz w:val="28"/>
        </w:rPr>
        <w:t>the</w:t>
      </w:r>
      <w:r>
        <w:rPr>
          <w:b/>
          <w:color w:val="67287F"/>
          <w:spacing w:val="-1"/>
          <w:sz w:val="28"/>
        </w:rPr>
        <w:t> </w:t>
      </w:r>
      <w:r>
        <w:rPr>
          <w:b/>
          <w:color w:val="67287F"/>
          <w:sz w:val="28"/>
        </w:rPr>
        <w:t>Commission to fulfil its statutory functions, in line</w:t>
      </w:r>
      <w:r>
        <w:rPr>
          <w:b/>
          <w:color w:val="67287F"/>
          <w:spacing w:val="-1"/>
          <w:sz w:val="28"/>
        </w:rPr>
        <w:t> </w:t>
      </w:r>
      <w:r>
        <w:rPr>
          <w:b/>
          <w:color w:val="67287F"/>
          <w:sz w:val="28"/>
        </w:rPr>
        <w:t>with its role as an ‘A status’ institution under the UN Paris Principles.</w:t>
      </w:r>
    </w:p>
    <w:p>
      <w:pPr>
        <w:pStyle w:val="ListParagraph"/>
        <w:numPr>
          <w:ilvl w:val="1"/>
          <w:numId w:val="5"/>
        </w:numPr>
        <w:tabs>
          <w:tab w:pos="1853" w:val="left" w:leader="none"/>
        </w:tabs>
        <w:spacing w:line="204" w:lineRule="auto" w:before="287" w:after="0"/>
        <w:ind w:left="1853" w:right="1260" w:hanging="720"/>
        <w:jc w:val="left"/>
        <w:rPr>
          <w:b/>
          <w:color w:val="67287F"/>
          <w:sz w:val="28"/>
        </w:rPr>
      </w:pPr>
      <w:r>
        <w:rPr>
          <w:b/>
          <w:color w:val="67287F"/>
          <w:sz w:val="28"/>
        </w:rPr>
        <w:t>The</w:t>
      </w:r>
      <w:r>
        <w:rPr>
          <w:b/>
          <w:color w:val="67287F"/>
          <w:spacing w:val="-7"/>
          <w:sz w:val="28"/>
        </w:rPr>
        <w:t> </w:t>
      </w:r>
      <w:r>
        <w:rPr>
          <w:b/>
          <w:color w:val="67287F"/>
          <w:sz w:val="28"/>
        </w:rPr>
        <w:t>Commissions</w:t>
      </w:r>
      <w:r>
        <w:rPr>
          <w:b/>
          <w:color w:val="67287F"/>
          <w:spacing w:val="-6"/>
          <w:sz w:val="28"/>
        </w:rPr>
        <w:t> </w:t>
      </w:r>
      <w:r>
        <w:rPr>
          <w:b/>
          <w:color w:val="67287F"/>
          <w:sz w:val="28"/>
        </w:rPr>
        <w:t>advise</w:t>
      </w:r>
      <w:r>
        <w:rPr>
          <w:b/>
          <w:color w:val="67287F"/>
          <w:spacing w:val="-7"/>
          <w:sz w:val="28"/>
        </w:rPr>
        <w:t> </w:t>
      </w:r>
      <w:r>
        <w:rPr>
          <w:b/>
          <w:color w:val="67287F"/>
          <w:sz w:val="28"/>
        </w:rPr>
        <w:t>the</w:t>
      </w:r>
      <w:r>
        <w:rPr>
          <w:b/>
          <w:color w:val="67287F"/>
          <w:spacing w:val="-7"/>
          <w:sz w:val="28"/>
        </w:rPr>
        <w:t> </w:t>
      </w:r>
      <w:r>
        <w:rPr>
          <w:b/>
          <w:color w:val="67287F"/>
          <w:sz w:val="28"/>
        </w:rPr>
        <w:t>NI</w:t>
      </w:r>
      <w:r>
        <w:rPr>
          <w:b/>
          <w:color w:val="67287F"/>
          <w:spacing w:val="-6"/>
          <w:sz w:val="28"/>
        </w:rPr>
        <w:t> </w:t>
      </w:r>
      <w:r>
        <w:rPr>
          <w:b/>
          <w:color w:val="67287F"/>
          <w:sz w:val="28"/>
        </w:rPr>
        <w:t>Executive</w:t>
      </w:r>
      <w:r>
        <w:rPr>
          <w:b/>
          <w:color w:val="67287F"/>
          <w:spacing w:val="-7"/>
          <w:sz w:val="28"/>
        </w:rPr>
        <w:t> </w:t>
      </w:r>
      <w:r>
        <w:rPr>
          <w:b/>
          <w:color w:val="67287F"/>
          <w:sz w:val="28"/>
        </w:rPr>
        <w:t>and</w:t>
      </w:r>
      <w:r>
        <w:rPr>
          <w:b/>
          <w:color w:val="67287F"/>
          <w:spacing w:val="-6"/>
          <w:sz w:val="28"/>
        </w:rPr>
        <w:t> </w:t>
      </w:r>
      <w:r>
        <w:rPr>
          <w:b/>
          <w:color w:val="67287F"/>
          <w:sz w:val="28"/>
        </w:rPr>
        <w:t>relevant</w:t>
      </w:r>
      <w:r>
        <w:rPr>
          <w:b/>
          <w:color w:val="67287F"/>
          <w:spacing w:val="-6"/>
          <w:sz w:val="28"/>
        </w:rPr>
        <w:t> </w:t>
      </w:r>
      <w:r>
        <w:rPr>
          <w:b/>
          <w:color w:val="67287F"/>
          <w:sz w:val="28"/>
        </w:rPr>
        <w:t>NI</w:t>
      </w:r>
      <w:r>
        <w:rPr>
          <w:b/>
          <w:color w:val="67287F"/>
          <w:spacing w:val="-6"/>
          <w:sz w:val="28"/>
        </w:rPr>
        <w:t> </w:t>
      </w:r>
      <w:r>
        <w:rPr>
          <w:b/>
          <w:color w:val="67287F"/>
          <w:sz w:val="28"/>
        </w:rPr>
        <w:t>departments</w:t>
      </w:r>
      <w:r>
        <w:rPr>
          <w:b/>
          <w:color w:val="67287F"/>
          <w:spacing w:val="-6"/>
          <w:sz w:val="28"/>
        </w:rPr>
        <w:t> </w:t>
      </w:r>
      <w:r>
        <w:rPr>
          <w:b/>
          <w:color w:val="67287F"/>
          <w:sz w:val="28"/>
        </w:rPr>
        <w:t>that, pursuant to Articles 2 and 13 of the Windsor Framework, NI law should</w:t>
      </w:r>
    </w:p>
    <w:p>
      <w:pPr>
        <w:spacing w:line="208" w:lineRule="auto" w:before="0"/>
        <w:ind w:left="1853" w:right="1281" w:firstLine="0"/>
        <w:jc w:val="left"/>
        <w:rPr>
          <w:b/>
          <w:sz w:val="28"/>
        </w:rPr>
      </w:pPr>
      <w:r>
        <w:rPr>
          <w:b/>
          <w:color w:val="67287F"/>
          <w:sz w:val="28"/>
        </w:rPr>
        <w:t>be amended to keep pace with those provisions of the EU directives on standards for equality bodies, if adopted, which amend or replace any Annex</w:t>
      </w:r>
      <w:r>
        <w:rPr>
          <w:b/>
          <w:color w:val="67287F"/>
          <w:spacing w:val="-9"/>
          <w:sz w:val="28"/>
        </w:rPr>
        <w:t> </w:t>
      </w:r>
      <w:r>
        <w:rPr>
          <w:b/>
          <w:color w:val="67287F"/>
          <w:sz w:val="28"/>
        </w:rPr>
        <w:t>1</w:t>
      </w:r>
      <w:r>
        <w:rPr>
          <w:b/>
          <w:color w:val="67287F"/>
          <w:spacing w:val="-8"/>
          <w:sz w:val="28"/>
        </w:rPr>
        <w:t> </w:t>
      </w:r>
      <w:r>
        <w:rPr>
          <w:b/>
          <w:color w:val="67287F"/>
          <w:sz w:val="28"/>
        </w:rPr>
        <w:t>equality</w:t>
      </w:r>
      <w:r>
        <w:rPr>
          <w:b/>
          <w:color w:val="67287F"/>
          <w:spacing w:val="-8"/>
          <w:sz w:val="28"/>
        </w:rPr>
        <w:t> </w:t>
      </w:r>
      <w:r>
        <w:rPr>
          <w:b/>
          <w:color w:val="67287F"/>
          <w:sz w:val="28"/>
        </w:rPr>
        <w:t>directives,</w:t>
      </w:r>
      <w:r>
        <w:rPr>
          <w:b/>
          <w:color w:val="67287F"/>
          <w:spacing w:val="-8"/>
          <w:sz w:val="28"/>
        </w:rPr>
        <w:t> </w:t>
      </w:r>
      <w:r>
        <w:rPr>
          <w:b/>
          <w:color w:val="67287F"/>
          <w:sz w:val="28"/>
        </w:rPr>
        <w:t>including</w:t>
      </w:r>
      <w:r>
        <w:rPr>
          <w:b/>
          <w:color w:val="67287F"/>
          <w:spacing w:val="-9"/>
          <w:sz w:val="28"/>
        </w:rPr>
        <w:t> </w:t>
      </w:r>
      <w:r>
        <w:rPr>
          <w:b/>
          <w:color w:val="67287F"/>
          <w:sz w:val="28"/>
        </w:rPr>
        <w:t>those</w:t>
      </w:r>
      <w:r>
        <w:rPr>
          <w:b/>
          <w:color w:val="67287F"/>
          <w:spacing w:val="-9"/>
          <w:sz w:val="28"/>
        </w:rPr>
        <w:t> </w:t>
      </w:r>
      <w:r>
        <w:rPr>
          <w:b/>
          <w:color w:val="67287F"/>
          <w:sz w:val="28"/>
        </w:rPr>
        <w:t>provisions</w:t>
      </w:r>
      <w:r>
        <w:rPr>
          <w:b/>
          <w:color w:val="67287F"/>
          <w:spacing w:val="-8"/>
          <w:sz w:val="28"/>
        </w:rPr>
        <w:t> </w:t>
      </w:r>
      <w:r>
        <w:rPr>
          <w:b/>
          <w:color w:val="67287F"/>
          <w:sz w:val="28"/>
        </w:rPr>
        <w:t>relating</w:t>
      </w:r>
      <w:r>
        <w:rPr>
          <w:b/>
          <w:color w:val="67287F"/>
          <w:spacing w:val="-9"/>
          <w:sz w:val="28"/>
        </w:rPr>
        <w:t> </w:t>
      </w:r>
      <w:r>
        <w:rPr>
          <w:b/>
          <w:color w:val="67287F"/>
          <w:sz w:val="28"/>
        </w:rPr>
        <w:t>to</w:t>
      </w:r>
      <w:r>
        <w:rPr>
          <w:b/>
          <w:color w:val="67287F"/>
          <w:spacing w:val="-6"/>
          <w:sz w:val="28"/>
        </w:rPr>
        <w:t> </w:t>
      </w:r>
      <w:r>
        <w:rPr>
          <w:b/>
          <w:color w:val="67287F"/>
          <w:sz w:val="28"/>
        </w:rPr>
        <w:t>standards on resources for equality bodies. The implementation of these changes in NI law should align with the transposition deadline for Member States in relation to these directives, if adopted.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1"/>
        <w:rPr>
          <w:b/>
          <w:sz w:val="20"/>
        </w:rPr>
      </w:pPr>
      <w:r>
        <w:rPr/>
        <mc:AlternateContent>
          <mc:Choice Requires="wps">
            <w:drawing>
              <wp:anchor distT="0" distB="0" distL="0" distR="0" allowOverlap="1" layoutInCell="1" locked="0" behindDoc="1" simplePos="0" relativeHeight="487635968">
                <wp:simplePos x="0" y="0"/>
                <wp:positionH relativeFrom="page">
                  <wp:posOffset>719996</wp:posOffset>
                </wp:positionH>
                <wp:positionV relativeFrom="paragraph">
                  <wp:posOffset>215485</wp:posOffset>
                </wp:positionV>
                <wp:extent cx="6120130" cy="1270"/>
                <wp:effectExtent l="0" t="0" r="0" b="0"/>
                <wp:wrapTopAndBottom/>
                <wp:docPr id="158" name="Graphic 158"/>
                <wp:cNvGraphicFramePr>
                  <a:graphicFrameLocks/>
                </wp:cNvGraphicFramePr>
                <a:graphic>
                  <a:graphicData uri="http://schemas.microsoft.com/office/word/2010/wordprocessingShape">
                    <wps:wsp>
                      <wps:cNvPr id="158" name="Graphic 158"/>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6.967381pt;width:481.9pt;height:.1pt;mso-position-horizontal-relative:page;mso-position-vertical-relative:paragraph;z-index:-15680512;mso-wrap-distance-left:0;mso-wrap-distance-right:0" id="docshape115" coordorigin="1134,339" coordsize="9638,0" path="m10772,339l1134,339e" filled="false" stroked="true" strokeweight="1pt" strokecolor="#393b80">
                <v:path arrowok="t"/>
                <v:stroke dashstyle="solid"/>
                <w10:wrap type="topAndBottom"/>
              </v:shape>
            </w:pict>
          </mc:Fallback>
        </mc:AlternateContent>
      </w:r>
    </w:p>
    <w:p>
      <w:pPr>
        <w:spacing w:line="235" w:lineRule="auto" w:before="106"/>
        <w:ind w:left="1853" w:right="1438" w:firstLine="0"/>
        <w:jc w:val="left"/>
        <w:rPr>
          <w:sz w:val="18"/>
        </w:rPr>
      </w:pPr>
      <w:r>
        <w:rPr>
          <w:sz w:val="18"/>
        </w:rPr>
        <w:t>persons</w:t>
      </w:r>
      <w:r>
        <w:rPr>
          <w:spacing w:val="-7"/>
          <w:sz w:val="18"/>
        </w:rPr>
        <w:t> </w:t>
      </w:r>
      <w:r>
        <w:rPr>
          <w:sz w:val="18"/>
        </w:rPr>
        <w:t>irrespective</w:t>
      </w:r>
      <w:r>
        <w:rPr>
          <w:spacing w:val="-6"/>
          <w:sz w:val="18"/>
        </w:rPr>
        <w:t> </w:t>
      </w:r>
      <w:r>
        <w:rPr>
          <w:sz w:val="18"/>
        </w:rPr>
        <w:t>of</w:t>
      </w:r>
      <w:r>
        <w:rPr>
          <w:spacing w:val="-7"/>
          <w:sz w:val="18"/>
        </w:rPr>
        <w:t> </w:t>
      </w:r>
      <w:r>
        <w:rPr>
          <w:sz w:val="18"/>
        </w:rPr>
        <w:t>their</w:t>
      </w:r>
      <w:r>
        <w:rPr>
          <w:spacing w:val="-6"/>
          <w:sz w:val="18"/>
        </w:rPr>
        <w:t> </w:t>
      </w:r>
      <w:r>
        <w:rPr>
          <w:sz w:val="18"/>
        </w:rPr>
        <w:t>religion</w:t>
      </w:r>
      <w:r>
        <w:rPr>
          <w:spacing w:val="-7"/>
          <w:sz w:val="18"/>
        </w:rPr>
        <w:t> </w:t>
      </w:r>
      <w:r>
        <w:rPr>
          <w:sz w:val="18"/>
        </w:rPr>
        <w:t>or</w:t>
      </w:r>
      <w:r>
        <w:rPr>
          <w:spacing w:val="-6"/>
          <w:sz w:val="18"/>
        </w:rPr>
        <w:t> </w:t>
      </w:r>
      <w:r>
        <w:rPr>
          <w:sz w:val="18"/>
        </w:rPr>
        <w:t>belief,</w:t>
      </w:r>
      <w:r>
        <w:rPr>
          <w:spacing w:val="-6"/>
          <w:sz w:val="18"/>
        </w:rPr>
        <w:t> </w:t>
      </w:r>
      <w:r>
        <w:rPr>
          <w:sz w:val="18"/>
        </w:rPr>
        <w:t>disability,</w:t>
      </w:r>
      <w:r>
        <w:rPr>
          <w:spacing w:val="-6"/>
          <w:sz w:val="18"/>
        </w:rPr>
        <w:t> </w:t>
      </w:r>
      <w:r>
        <w:rPr>
          <w:sz w:val="18"/>
        </w:rPr>
        <w:t>age</w:t>
      </w:r>
      <w:r>
        <w:rPr>
          <w:spacing w:val="-6"/>
          <w:sz w:val="18"/>
        </w:rPr>
        <w:t> </w:t>
      </w:r>
      <w:r>
        <w:rPr>
          <w:sz w:val="18"/>
        </w:rPr>
        <w:t>or</w:t>
      </w:r>
      <w:r>
        <w:rPr>
          <w:spacing w:val="-6"/>
          <w:sz w:val="18"/>
        </w:rPr>
        <w:t> </w:t>
      </w:r>
      <w:r>
        <w:rPr>
          <w:sz w:val="18"/>
        </w:rPr>
        <w:t>sexual</w:t>
      </w:r>
      <w:r>
        <w:rPr>
          <w:spacing w:val="-7"/>
          <w:sz w:val="18"/>
        </w:rPr>
        <w:t> </w:t>
      </w:r>
      <w:r>
        <w:rPr>
          <w:sz w:val="18"/>
        </w:rPr>
        <w:t>orientation,</w:t>
      </w:r>
      <w:r>
        <w:rPr>
          <w:spacing w:val="-6"/>
          <w:sz w:val="18"/>
        </w:rPr>
        <w:t> </w:t>
      </w:r>
      <w:r>
        <w:rPr>
          <w:sz w:val="18"/>
        </w:rPr>
        <w:t>equal</w:t>
      </w:r>
      <w:r>
        <w:rPr>
          <w:spacing w:val="-7"/>
          <w:sz w:val="18"/>
        </w:rPr>
        <w:t> </w:t>
      </w:r>
      <w:r>
        <w:rPr>
          <w:sz w:val="18"/>
        </w:rPr>
        <w:t>treatment</w:t>
      </w:r>
      <w:r>
        <w:rPr>
          <w:spacing w:val="-6"/>
          <w:sz w:val="18"/>
        </w:rPr>
        <w:t> </w:t>
      </w:r>
      <w:r>
        <w:rPr>
          <w:sz w:val="18"/>
        </w:rPr>
        <w:t>between</w:t>
      </w:r>
      <w:r>
        <w:rPr>
          <w:spacing w:val="-7"/>
          <w:sz w:val="18"/>
        </w:rPr>
        <w:t> </w:t>
      </w:r>
      <w:r>
        <w:rPr>
          <w:sz w:val="18"/>
        </w:rPr>
        <w:t>women and men in matters of social security and in the access to and supply of goods and services, and deleting</w:t>
      </w:r>
    </w:p>
    <w:p>
      <w:pPr>
        <w:spacing w:line="235" w:lineRule="auto" w:before="1"/>
        <w:ind w:left="1853" w:right="2004" w:firstLine="0"/>
        <w:jc w:val="left"/>
        <w:rPr>
          <w:sz w:val="18"/>
        </w:rPr>
      </w:pPr>
      <w:r>
        <w:rPr>
          <w:sz w:val="18"/>
        </w:rPr>
        <w:t>Article 13 of Directive 2000/43/EC and Article 12 of Directive 2004/113/EC‘ (EU Commission, 2022);</w:t>
      </w:r>
      <w:r>
        <w:rPr>
          <w:spacing w:val="40"/>
          <w:sz w:val="18"/>
        </w:rPr>
        <w:t> </w:t>
      </w:r>
      <w:r>
        <w:rPr>
          <w:sz w:val="18"/>
        </w:rPr>
        <w:t>EU Commission,</w:t>
      </w:r>
      <w:r>
        <w:rPr>
          <w:spacing w:val="-4"/>
          <w:sz w:val="18"/>
        </w:rPr>
        <w:t> </w:t>
      </w:r>
      <w:r>
        <w:rPr>
          <w:sz w:val="18"/>
        </w:rPr>
        <w:t>’Proposal</w:t>
      </w:r>
      <w:r>
        <w:rPr>
          <w:spacing w:val="-5"/>
          <w:sz w:val="18"/>
        </w:rPr>
        <w:t> </w:t>
      </w:r>
      <w:r>
        <w:rPr>
          <w:sz w:val="18"/>
        </w:rPr>
        <w:t>for</w:t>
      </w:r>
      <w:r>
        <w:rPr>
          <w:spacing w:val="-4"/>
          <w:sz w:val="18"/>
        </w:rPr>
        <w:t> </w:t>
      </w:r>
      <w:r>
        <w:rPr>
          <w:sz w:val="18"/>
        </w:rPr>
        <w:t>a</w:t>
      </w:r>
      <w:r>
        <w:rPr>
          <w:spacing w:val="-5"/>
          <w:sz w:val="18"/>
        </w:rPr>
        <w:t> </w:t>
      </w:r>
      <w:r>
        <w:rPr>
          <w:sz w:val="18"/>
        </w:rPr>
        <w:t>Directive</w:t>
      </w:r>
      <w:r>
        <w:rPr>
          <w:spacing w:val="-4"/>
          <w:sz w:val="18"/>
        </w:rPr>
        <w:t> </w:t>
      </w:r>
      <w:r>
        <w:rPr>
          <w:sz w:val="18"/>
        </w:rPr>
        <w:t>of</w:t>
      </w:r>
      <w:r>
        <w:rPr>
          <w:spacing w:val="-5"/>
          <w:sz w:val="18"/>
        </w:rPr>
        <w:t> </w:t>
      </w:r>
      <w:r>
        <w:rPr>
          <w:sz w:val="18"/>
        </w:rPr>
        <w:t>the</w:t>
      </w:r>
      <w:r>
        <w:rPr>
          <w:spacing w:val="-4"/>
          <w:sz w:val="18"/>
        </w:rPr>
        <w:t> </w:t>
      </w:r>
      <w:r>
        <w:rPr>
          <w:sz w:val="18"/>
        </w:rPr>
        <w:t>European</w:t>
      </w:r>
      <w:r>
        <w:rPr>
          <w:spacing w:val="-5"/>
          <w:sz w:val="18"/>
        </w:rPr>
        <w:t> </w:t>
      </w:r>
      <w:r>
        <w:rPr>
          <w:sz w:val="18"/>
        </w:rPr>
        <w:t>Parliament</w:t>
      </w:r>
      <w:r>
        <w:rPr>
          <w:spacing w:val="-4"/>
          <w:sz w:val="18"/>
        </w:rPr>
        <w:t> </w:t>
      </w:r>
      <w:r>
        <w:rPr>
          <w:sz w:val="18"/>
        </w:rPr>
        <w:t>and</w:t>
      </w:r>
      <w:r>
        <w:rPr>
          <w:spacing w:val="-5"/>
          <w:sz w:val="18"/>
        </w:rPr>
        <w:t> </w:t>
      </w:r>
      <w:r>
        <w:rPr>
          <w:sz w:val="18"/>
        </w:rPr>
        <w:t>of</w:t>
      </w:r>
      <w:r>
        <w:rPr>
          <w:spacing w:val="-5"/>
          <w:sz w:val="18"/>
        </w:rPr>
        <w:t> </w:t>
      </w:r>
      <w:r>
        <w:rPr>
          <w:sz w:val="18"/>
        </w:rPr>
        <w:t>the</w:t>
      </w:r>
      <w:r>
        <w:rPr>
          <w:spacing w:val="-4"/>
          <w:sz w:val="18"/>
        </w:rPr>
        <w:t> </w:t>
      </w:r>
      <w:r>
        <w:rPr>
          <w:sz w:val="18"/>
        </w:rPr>
        <w:t>Council</w:t>
      </w:r>
      <w:r>
        <w:rPr>
          <w:spacing w:val="-5"/>
          <w:sz w:val="18"/>
        </w:rPr>
        <w:t> </w:t>
      </w:r>
      <w:r>
        <w:rPr>
          <w:sz w:val="18"/>
        </w:rPr>
        <w:t>on</w:t>
      </w:r>
      <w:r>
        <w:rPr>
          <w:spacing w:val="-5"/>
          <w:sz w:val="18"/>
        </w:rPr>
        <w:t> </w:t>
      </w:r>
      <w:r>
        <w:rPr>
          <w:sz w:val="18"/>
        </w:rPr>
        <w:t>standards</w:t>
      </w:r>
      <w:r>
        <w:rPr>
          <w:spacing w:val="-5"/>
          <w:sz w:val="18"/>
        </w:rPr>
        <w:t> </w:t>
      </w:r>
      <w:r>
        <w:rPr>
          <w:sz w:val="18"/>
        </w:rPr>
        <w:t>for</w:t>
      </w:r>
      <w:r>
        <w:rPr>
          <w:spacing w:val="-4"/>
          <w:sz w:val="18"/>
        </w:rPr>
        <w:t> </w:t>
      </w:r>
      <w:r>
        <w:rPr>
          <w:sz w:val="18"/>
        </w:rPr>
        <w:t>equality</w:t>
      </w:r>
    </w:p>
    <w:p>
      <w:pPr>
        <w:spacing w:line="235" w:lineRule="auto" w:before="1"/>
        <w:ind w:left="1853" w:right="1171" w:firstLine="0"/>
        <w:jc w:val="left"/>
        <w:rPr>
          <w:sz w:val="18"/>
        </w:rPr>
      </w:pPr>
      <w:r>
        <w:rPr>
          <w:sz w:val="18"/>
        </w:rPr>
        <w:t>bodies</w:t>
      </w:r>
      <w:r>
        <w:rPr>
          <w:spacing w:val="-4"/>
          <w:sz w:val="18"/>
        </w:rPr>
        <w:t> </w:t>
      </w:r>
      <w:r>
        <w:rPr>
          <w:sz w:val="18"/>
        </w:rPr>
        <w:t>in</w:t>
      </w:r>
      <w:r>
        <w:rPr>
          <w:spacing w:val="-4"/>
          <w:sz w:val="18"/>
        </w:rPr>
        <w:t> </w:t>
      </w:r>
      <w:r>
        <w:rPr>
          <w:sz w:val="18"/>
        </w:rPr>
        <w:t>the</w:t>
      </w:r>
      <w:r>
        <w:rPr>
          <w:spacing w:val="-3"/>
          <w:sz w:val="18"/>
        </w:rPr>
        <w:t> </w:t>
      </w:r>
      <w:r>
        <w:rPr>
          <w:sz w:val="18"/>
        </w:rPr>
        <w:t>field</w:t>
      </w:r>
      <w:r>
        <w:rPr>
          <w:spacing w:val="-4"/>
          <w:sz w:val="18"/>
        </w:rPr>
        <w:t> </w:t>
      </w:r>
      <w:r>
        <w:rPr>
          <w:sz w:val="18"/>
        </w:rPr>
        <w:t>of</w:t>
      </w:r>
      <w:r>
        <w:rPr>
          <w:spacing w:val="-4"/>
          <w:sz w:val="18"/>
        </w:rPr>
        <w:t> </w:t>
      </w:r>
      <w:r>
        <w:rPr>
          <w:sz w:val="18"/>
        </w:rPr>
        <w:t>equal</w:t>
      </w:r>
      <w:r>
        <w:rPr>
          <w:spacing w:val="-4"/>
          <w:sz w:val="18"/>
        </w:rPr>
        <w:t> </w:t>
      </w:r>
      <w:r>
        <w:rPr>
          <w:sz w:val="18"/>
        </w:rPr>
        <w:t>treatment</w:t>
      </w:r>
      <w:r>
        <w:rPr>
          <w:spacing w:val="-3"/>
          <w:sz w:val="18"/>
        </w:rPr>
        <w:t> </w:t>
      </w:r>
      <w:r>
        <w:rPr>
          <w:sz w:val="18"/>
        </w:rPr>
        <w:t>and</w:t>
      </w:r>
      <w:r>
        <w:rPr>
          <w:spacing w:val="-4"/>
          <w:sz w:val="18"/>
        </w:rPr>
        <w:t> </w:t>
      </w:r>
      <w:r>
        <w:rPr>
          <w:sz w:val="18"/>
        </w:rPr>
        <w:t>equal</w:t>
      </w:r>
      <w:r>
        <w:rPr>
          <w:spacing w:val="-4"/>
          <w:sz w:val="18"/>
        </w:rPr>
        <w:t> </w:t>
      </w:r>
      <w:r>
        <w:rPr>
          <w:sz w:val="18"/>
        </w:rPr>
        <w:t>opportunities</w:t>
      </w:r>
      <w:r>
        <w:rPr>
          <w:spacing w:val="-4"/>
          <w:sz w:val="18"/>
        </w:rPr>
        <w:t> </w:t>
      </w:r>
      <w:r>
        <w:rPr>
          <w:sz w:val="18"/>
        </w:rPr>
        <w:t>between</w:t>
      </w:r>
      <w:r>
        <w:rPr>
          <w:spacing w:val="-4"/>
          <w:sz w:val="18"/>
        </w:rPr>
        <w:t> </w:t>
      </w:r>
      <w:r>
        <w:rPr>
          <w:sz w:val="18"/>
        </w:rPr>
        <w:t>women</w:t>
      </w:r>
      <w:r>
        <w:rPr>
          <w:spacing w:val="-4"/>
          <w:sz w:val="18"/>
        </w:rPr>
        <w:t> </w:t>
      </w:r>
      <w:r>
        <w:rPr>
          <w:sz w:val="18"/>
        </w:rPr>
        <w:t>and</w:t>
      </w:r>
      <w:r>
        <w:rPr>
          <w:spacing w:val="-4"/>
          <w:sz w:val="18"/>
        </w:rPr>
        <w:t> </w:t>
      </w:r>
      <w:r>
        <w:rPr>
          <w:sz w:val="18"/>
        </w:rPr>
        <w:t>men</w:t>
      </w:r>
      <w:r>
        <w:rPr>
          <w:spacing w:val="-4"/>
          <w:sz w:val="18"/>
        </w:rPr>
        <w:t> </w:t>
      </w:r>
      <w:r>
        <w:rPr>
          <w:sz w:val="18"/>
        </w:rPr>
        <w:t>in</w:t>
      </w:r>
      <w:r>
        <w:rPr>
          <w:spacing w:val="-4"/>
          <w:sz w:val="18"/>
        </w:rPr>
        <w:t> </w:t>
      </w:r>
      <w:r>
        <w:rPr>
          <w:sz w:val="18"/>
        </w:rPr>
        <w:t>matters</w:t>
      </w:r>
      <w:r>
        <w:rPr>
          <w:spacing w:val="-4"/>
          <w:sz w:val="18"/>
        </w:rPr>
        <w:t> </w:t>
      </w:r>
      <w:r>
        <w:rPr>
          <w:sz w:val="18"/>
        </w:rPr>
        <w:t>of</w:t>
      </w:r>
      <w:r>
        <w:rPr>
          <w:spacing w:val="-4"/>
          <w:sz w:val="18"/>
        </w:rPr>
        <w:t> </w:t>
      </w:r>
      <w:r>
        <w:rPr>
          <w:sz w:val="18"/>
        </w:rPr>
        <w:t>employment</w:t>
      </w:r>
      <w:r>
        <w:rPr>
          <w:spacing w:val="-3"/>
          <w:sz w:val="18"/>
        </w:rPr>
        <w:t> </w:t>
      </w:r>
      <w:r>
        <w:rPr>
          <w:sz w:val="18"/>
        </w:rPr>
        <w:t>and occupation, and deleting Article 20 of Directive 2006/54/EC and Article 11 of Directive 2010/41/EU’ (EU Commission, </w:t>
      </w:r>
      <w:r>
        <w:rPr>
          <w:spacing w:val="-2"/>
          <w:sz w:val="18"/>
        </w:rPr>
        <w:t>2022).</w:t>
      </w:r>
    </w:p>
    <w:p>
      <w:pPr>
        <w:pStyle w:val="ListParagraph"/>
        <w:numPr>
          <w:ilvl w:val="0"/>
          <w:numId w:val="3"/>
        </w:numPr>
        <w:tabs>
          <w:tab w:pos="1853" w:val="left" w:leader="none"/>
        </w:tabs>
        <w:spacing w:line="235" w:lineRule="auto" w:before="2" w:after="0"/>
        <w:ind w:left="1853" w:right="1579" w:hanging="720"/>
        <w:jc w:val="left"/>
        <w:rPr>
          <w:sz w:val="18"/>
        </w:rPr>
      </w:pPr>
      <w:r>
        <w:rPr>
          <w:sz w:val="18"/>
        </w:rPr>
        <w:t>The</w:t>
      </w:r>
      <w:r>
        <w:rPr>
          <w:spacing w:val="-3"/>
          <w:sz w:val="18"/>
        </w:rPr>
        <w:t> </w:t>
      </w:r>
      <w:r>
        <w:rPr>
          <w:sz w:val="18"/>
        </w:rPr>
        <w:t>work</w:t>
      </w:r>
      <w:r>
        <w:rPr>
          <w:spacing w:val="-3"/>
          <w:sz w:val="18"/>
        </w:rPr>
        <w:t> </w:t>
      </w:r>
      <w:r>
        <w:rPr>
          <w:sz w:val="18"/>
        </w:rPr>
        <w:t>of</w:t>
      </w:r>
      <w:r>
        <w:rPr>
          <w:spacing w:val="-4"/>
          <w:sz w:val="18"/>
        </w:rPr>
        <w:t> </w:t>
      </w:r>
      <w:r>
        <w:rPr>
          <w:sz w:val="18"/>
        </w:rPr>
        <w:t>the</w:t>
      </w:r>
      <w:r>
        <w:rPr>
          <w:spacing w:val="-3"/>
          <w:sz w:val="18"/>
        </w:rPr>
        <w:t> </w:t>
      </w:r>
      <w:r>
        <w:rPr>
          <w:sz w:val="18"/>
        </w:rPr>
        <w:t>Commissions</w:t>
      </w:r>
      <w:r>
        <w:rPr>
          <w:spacing w:val="-4"/>
          <w:sz w:val="18"/>
        </w:rPr>
        <w:t> </w:t>
      </w:r>
      <w:r>
        <w:rPr>
          <w:sz w:val="18"/>
        </w:rPr>
        <w:t>as</w:t>
      </w:r>
      <w:r>
        <w:rPr>
          <w:spacing w:val="-4"/>
          <w:sz w:val="18"/>
        </w:rPr>
        <w:t> </w:t>
      </w:r>
      <w:r>
        <w:rPr>
          <w:sz w:val="18"/>
        </w:rPr>
        <w:t>the</w:t>
      </w:r>
      <w:r>
        <w:rPr>
          <w:spacing w:val="-3"/>
          <w:sz w:val="18"/>
        </w:rPr>
        <w:t> </w:t>
      </w:r>
      <w:r>
        <w:rPr>
          <w:sz w:val="18"/>
        </w:rPr>
        <w:t>Dedicated</w:t>
      </w:r>
      <w:r>
        <w:rPr>
          <w:spacing w:val="-4"/>
          <w:sz w:val="18"/>
        </w:rPr>
        <w:t> </w:t>
      </w:r>
      <w:r>
        <w:rPr>
          <w:sz w:val="18"/>
        </w:rPr>
        <w:t>Mechanism</w:t>
      </w:r>
      <w:r>
        <w:rPr>
          <w:spacing w:val="-3"/>
          <w:sz w:val="18"/>
        </w:rPr>
        <w:t> </w:t>
      </w:r>
      <w:r>
        <w:rPr>
          <w:sz w:val="18"/>
        </w:rPr>
        <w:t>is</w:t>
      </w:r>
      <w:r>
        <w:rPr>
          <w:spacing w:val="-4"/>
          <w:sz w:val="18"/>
        </w:rPr>
        <w:t> </w:t>
      </w:r>
      <w:r>
        <w:rPr>
          <w:sz w:val="18"/>
        </w:rPr>
        <w:t>funded</w:t>
      </w:r>
      <w:r>
        <w:rPr>
          <w:spacing w:val="-4"/>
          <w:sz w:val="18"/>
        </w:rPr>
        <w:t> </w:t>
      </w:r>
      <w:r>
        <w:rPr>
          <w:sz w:val="18"/>
        </w:rPr>
        <w:t>by</w:t>
      </w:r>
      <w:r>
        <w:rPr>
          <w:spacing w:val="-3"/>
          <w:sz w:val="18"/>
        </w:rPr>
        <w:t> </w:t>
      </w:r>
      <w:r>
        <w:rPr>
          <w:sz w:val="18"/>
        </w:rPr>
        <w:t>the</w:t>
      </w:r>
      <w:r>
        <w:rPr>
          <w:spacing w:val="-3"/>
          <w:sz w:val="18"/>
        </w:rPr>
        <w:t> </w:t>
      </w:r>
      <w:r>
        <w:rPr>
          <w:sz w:val="18"/>
        </w:rPr>
        <w:t>UK</w:t>
      </w:r>
      <w:r>
        <w:rPr>
          <w:spacing w:val="-3"/>
          <w:sz w:val="18"/>
        </w:rPr>
        <w:t> </w:t>
      </w:r>
      <w:r>
        <w:rPr>
          <w:sz w:val="18"/>
        </w:rPr>
        <w:t>Government,</w:t>
      </w:r>
      <w:r>
        <w:rPr>
          <w:spacing w:val="-3"/>
          <w:sz w:val="18"/>
        </w:rPr>
        <w:t> </w:t>
      </w:r>
      <w:r>
        <w:rPr>
          <w:sz w:val="18"/>
        </w:rPr>
        <w:t>with</w:t>
      </w:r>
      <w:r>
        <w:rPr>
          <w:spacing w:val="-4"/>
          <w:sz w:val="18"/>
        </w:rPr>
        <w:t> </w:t>
      </w:r>
      <w:r>
        <w:rPr>
          <w:sz w:val="18"/>
        </w:rPr>
        <w:t>funding</w:t>
      </w:r>
      <w:r>
        <w:rPr>
          <w:spacing w:val="-3"/>
          <w:sz w:val="18"/>
        </w:rPr>
        <w:t> </w:t>
      </w:r>
      <w:r>
        <w:rPr>
          <w:sz w:val="18"/>
        </w:rPr>
        <w:t>delivered through the Commissions’ respective sponsor departments.</w:t>
      </w:r>
    </w:p>
    <w:p>
      <w:pPr>
        <w:spacing w:after="0" w:line="235" w:lineRule="auto"/>
        <w:jc w:val="left"/>
        <w:rPr>
          <w:sz w:val="18"/>
        </w:rPr>
        <w:sectPr>
          <w:pgSz w:w="11910" w:h="16840"/>
          <w:pgMar w:header="496" w:footer="367" w:top="1220" w:bottom="560" w:left="0" w:right="0"/>
        </w:sectPr>
      </w:pPr>
    </w:p>
    <w:p>
      <w:pPr>
        <w:pStyle w:val="Heading1"/>
        <w:numPr>
          <w:ilvl w:val="1"/>
          <w:numId w:val="6"/>
        </w:numPr>
        <w:tabs>
          <w:tab w:pos="1976" w:val="left" w:leader="none"/>
        </w:tabs>
        <w:spacing w:line="211" w:lineRule="auto" w:before="532" w:after="0"/>
        <w:ind w:left="1133" w:right="2985" w:firstLine="0"/>
        <w:jc w:val="left"/>
      </w:pPr>
      <w:bookmarkStart w:name="_bookmark13" w:id="28"/>
      <w:bookmarkEnd w:id="28"/>
      <w:r>
        <w:rPr>
          <w:b w:val="0"/>
        </w:rPr>
      </w:r>
      <w:bookmarkStart w:name="3.0 Windsor Framework Article 2: Rights " w:id="29"/>
      <w:bookmarkEnd w:id="29"/>
      <w:r>
        <w:rPr>
          <w:b w:val="0"/>
        </w:rPr>
      </w:r>
      <w:r>
        <w:rPr>
          <w:color w:val="393B80"/>
        </w:rPr>
        <w:t>Windsor</w:t>
      </w:r>
      <w:r>
        <w:rPr>
          <w:color w:val="393B80"/>
          <w:spacing w:val="-20"/>
        </w:rPr>
        <w:t> </w:t>
      </w:r>
      <w:r>
        <w:rPr>
          <w:color w:val="393B80"/>
        </w:rPr>
        <w:t>Framework</w:t>
      </w:r>
      <w:r>
        <w:rPr>
          <w:color w:val="393B80"/>
          <w:spacing w:val="-20"/>
        </w:rPr>
        <w:t> </w:t>
      </w:r>
      <w:r>
        <w:rPr>
          <w:color w:val="393B80"/>
        </w:rPr>
        <w:t>Article</w:t>
      </w:r>
      <w:r>
        <w:rPr>
          <w:color w:val="393B80"/>
          <w:spacing w:val="-20"/>
        </w:rPr>
        <w:t> </w:t>
      </w:r>
      <w:r>
        <w:rPr>
          <w:color w:val="393B80"/>
        </w:rPr>
        <w:t>2: Rights and Issues</w:t>
      </w:r>
    </w:p>
    <w:p>
      <w:pPr>
        <w:pStyle w:val="BodyText"/>
        <w:rPr>
          <w:b/>
          <w:sz w:val="16"/>
        </w:rPr>
      </w:pPr>
      <w:r>
        <w:rPr/>
        <mc:AlternateContent>
          <mc:Choice Requires="wps">
            <w:drawing>
              <wp:anchor distT="0" distB="0" distL="0" distR="0" allowOverlap="1" layoutInCell="1" locked="0" behindDoc="1" simplePos="0" relativeHeight="487636480">
                <wp:simplePos x="0" y="0"/>
                <wp:positionH relativeFrom="page">
                  <wp:posOffset>719997</wp:posOffset>
                </wp:positionH>
                <wp:positionV relativeFrom="paragraph">
                  <wp:posOffset>139673</wp:posOffset>
                </wp:positionV>
                <wp:extent cx="6120130" cy="1270"/>
                <wp:effectExtent l="0" t="0" r="0" b="0"/>
                <wp:wrapTopAndBottom/>
                <wp:docPr id="170" name="Graphic 170"/>
                <wp:cNvGraphicFramePr>
                  <a:graphicFrameLocks/>
                </wp:cNvGraphicFramePr>
                <a:graphic>
                  <a:graphicData uri="http://schemas.microsoft.com/office/word/2010/wordprocessingShape">
                    <wps:wsp>
                      <wps:cNvPr id="170" name="Graphic 17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10.99795pt;width:481.9pt;height:.1pt;mso-position-horizontal-relative:page;mso-position-vertical-relative:paragraph;z-index:-15680000;mso-wrap-distance-left:0;mso-wrap-distance-right:0" id="docshape127" coordorigin="1134,220" coordsize="9638,0" path="m10772,220l1134,220e" filled="false" stroked="true" strokeweight="1pt" strokecolor="#393b80">
                <v:path arrowok="t"/>
                <v:stroke dashstyle="solid"/>
                <w10:wrap type="topAndBottom"/>
              </v:shape>
            </w:pict>
          </mc:Fallback>
        </mc:AlternateContent>
      </w:r>
    </w:p>
    <w:p>
      <w:pPr>
        <w:pStyle w:val="ListParagraph"/>
        <w:numPr>
          <w:ilvl w:val="1"/>
          <w:numId w:val="7"/>
        </w:numPr>
        <w:tabs>
          <w:tab w:pos="1853" w:val="left" w:leader="none"/>
        </w:tabs>
        <w:spacing w:line="225" w:lineRule="auto" w:before="281" w:after="0"/>
        <w:ind w:left="1853" w:right="1167" w:hanging="720"/>
        <w:jc w:val="left"/>
        <w:rPr>
          <w:sz w:val="28"/>
        </w:rPr>
      </w:pPr>
      <w:r>
        <w:rPr>
          <w:sz w:val="28"/>
        </w:rPr>
        <w:t>In addition to the recommendations on the implementation and scrutiny of Windsor Framework Article 2 above, the Commissions have considered the non-diminution commitment in a range of substantive areas. This section is organised</w:t>
      </w:r>
      <w:r>
        <w:rPr>
          <w:spacing w:val="-8"/>
          <w:sz w:val="28"/>
        </w:rPr>
        <w:t> </w:t>
      </w:r>
      <w:r>
        <w:rPr>
          <w:sz w:val="28"/>
        </w:rPr>
        <w:t>thematically</w:t>
      </w:r>
      <w:r>
        <w:rPr>
          <w:spacing w:val="-7"/>
          <w:sz w:val="28"/>
        </w:rPr>
        <w:t> </w:t>
      </w:r>
      <w:r>
        <w:rPr>
          <w:sz w:val="28"/>
        </w:rPr>
        <w:t>to</w:t>
      </w:r>
      <w:r>
        <w:rPr>
          <w:spacing w:val="-8"/>
          <w:sz w:val="28"/>
        </w:rPr>
        <w:t> </w:t>
      </w:r>
      <w:r>
        <w:rPr>
          <w:sz w:val="28"/>
        </w:rPr>
        <w:t>reflect</w:t>
      </w:r>
      <w:r>
        <w:rPr>
          <w:spacing w:val="-7"/>
          <w:sz w:val="28"/>
        </w:rPr>
        <w:t> </w:t>
      </w:r>
      <w:r>
        <w:rPr>
          <w:sz w:val="28"/>
        </w:rPr>
        <w:t>the</w:t>
      </w:r>
      <w:r>
        <w:rPr>
          <w:spacing w:val="-7"/>
          <w:sz w:val="28"/>
        </w:rPr>
        <w:t> </w:t>
      </w:r>
      <w:r>
        <w:rPr>
          <w:sz w:val="28"/>
        </w:rPr>
        <w:t>areas</w:t>
      </w:r>
      <w:r>
        <w:rPr>
          <w:spacing w:val="-8"/>
          <w:sz w:val="28"/>
        </w:rPr>
        <w:t> </w:t>
      </w:r>
      <w:r>
        <w:rPr>
          <w:sz w:val="28"/>
        </w:rPr>
        <w:t>where</w:t>
      </w:r>
      <w:r>
        <w:rPr>
          <w:spacing w:val="-7"/>
          <w:sz w:val="28"/>
        </w:rPr>
        <w:t> </w:t>
      </w:r>
      <w:r>
        <w:rPr>
          <w:sz w:val="28"/>
        </w:rPr>
        <w:t>the</w:t>
      </w:r>
      <w:r>
        <w:rPr>
          <w:spacing w:val="-7"/>
          <w:sz w:val="28"/>
        </w:rPr>
        <w:t> </w:t>
      </w:r>
      <w:r>
        <w:rPr>
          <w:sz w:val="28"/>
        </w:rPr>
        <w:t>Commissions</w:t>
      </w:r>
      <w:r>
        <w:rPr>
          <w:spacing w:val="-8"/>
          <w:sz w:val="28"/>
        </w:rPr>
        <w:t> </w:t>
      </w:r>
      <w:r>
        <w:rPr>
          <w:sz w:val="28"/>
        </w:rPr>
        <w:t>have</w:t>
      </w:r>
      <w:r>
        <w:rPr>
          <w:spacing w:val="-7"/>
          <w:sz w:val="28"/>
        </w:rPr>
        <w:t> </w:t>
      </w:r>
      <w:r>
        <w:rPr>
          <w:sz w:val="28"/>
        </w:rPr>
        <w:t>made such recommendations.</w:t>
      </w:r>
    </w:p>
    <w:p>
      <w:pPr>
        <w:pStyle w:val="Heading3"/>
        <w:spacing w:before="341"/>
      </w:pPr>
      <w:bookmarkStart w:name="Constitutional Issues " w:id="30"/>
      <w:bookmarkEnd w:id="30"/>
      <w:r>
        <w:rPr>
          <w:b w:val="0"/>
        </w:rPr>
      </w:r>
      <w:r>
        <w:rPr>
          <w:color w:val="67287F"/>
        </w:rPr>
        <w:t>Constitutional</w:t>
      </w:r>
      <w:r>
        <w:rPr>
          <w:color w:val="67287F"/>
          <w:spacing w:val="-19"/>
        </w:rPr>
        <w:t> </w:t>
      </w:r>
      <w:r>
        <w:rPr>
          <w:color w:val="67287F"/>
          <w:spacing w:val="-2"/>
        </w:rPr>
        <w:t>Issues</w:t>
      </w:r>
    </w:p>
    <w:p>
      <w:pPr>
        <w:pStyle w:val="BodyText"/>
        <w:spacing w:before="7"/>
        <w:rPr>
          <w:b/>
          <w:sz w:val="6"/>
        </w:rPr>
      </w:pPr>
      <w:r>
        <w:rPr/>
        <mc:AlternateContent>
          <mc:Choice Requires="wps">
            <w:drawing>
              <wp:anchor distT="0" distB="0" distL="0" distR="0" allowOverlap="1" layoutInCell="1" locked="0" behindDoc="1" simplePos="0" relativeHeight="487636992">
                <wp:simplePos x="0" y="0"/>
                <wp:positionH relativeFrom="page">
                  <wp:posOffset>719996</wp:posOffset>
                </wp:positionH>
                <wp:positionV relativeFrom="paragraph">
                  <wp:posOffset>66626</wp:posOffset>
                </wp:positionV>
                <wp:extent cx="6120130" cy="1270"/>
                <wp:effectExtent l="0" t="0" r="0" b="0"/>
                <wp:wrapTopAndBottom/>
                <wp:docPr id="171" name="Graphic 171"/>
                <wp:cNvGraphicFramePr>
                  <a:graphicFrameLocks/>
                </wp:cNvGraphicFramePr>
                <a:graphic>
                  <a:graphicData uri="http://schemas.microsoft.com/office/word/2010/wordprocessingShape">
                    <wps:wsp>
                      <wps:cNvPr id="171" name="Graphic 171"/>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5.246178pt;width:481.9pt;height:.1pt;mso-position-horizontal-relative:page;mso-position-vertical-relative:paragraph;z-index:-15679488;mso-wrap-distance-left:0;mso-wrap-distance-right:0" id="docshape128" coordorigin="1134,105" coordsize="9638,0" path="m10772,105l1134,105e" filled="false" stroked="true" strokeweight="1pt" strokecolor="#67287f">
                <v:path arrowok="t"/>
                <v:stroke dashstyle="solid"/>
                <w10:wrap type="topAndBottom"/>
              </v:shape>
            </w:pict>
          </mc:Fallback>
        </mc:AlternateContent>
      </w:r>
    </w:p>
    <w:p>
      <w:pPr>
        <w:pStyle w:val="ListParagraph"/>
        <w:numPr>
          <w:ilvl w:val="1"/>
          <w:numId w:val="7"/>
        </w:numPr>
        <w:tabs>
          <w:tab w:pos="1853" w:val="left" w:leader="none"/>
        </w:tabs>
        <w:spacing w:line="225" w:lineRule="auto" w:before="314" w:after="0"/>
        <w:ind w:left="1853" w:right="1715" w:hanging="720"/>
        <w:jc w:val="left"/>
        <w:rPr>
          <w:sz w:val="28"/>
        </w:rPr>
      </w:pPr>
      <w:r>
        <w:rPr>
          <w:sz w:val="28"/>
        </w:rPr>
        <w:t>Windsor Framework Article 2 adds an additional layer of human rights and</w:t>
      </w:r>
      <w:r>
        <w:rPr>
          <w:spacing w:val="-5"/>
          <w:sz w:val="28"/>
        </w:rPr>
        <w:t> </w:t>
      </w:r>
      <w:r>
        <w:rPr>
          <w:sz w:val="28"/>
        </w:rPr>
        <w:t>equality</w:t>
      </w:r>
      <w:r>
        <w:rPr>
          <w:spacing w:val="-4"/>
          <w:sz w:val="28"/>
        </w:rPr>
        <w:t> </w:t>
      </w:r>
      <w:r>
        <w:rPr>
          <w:sz w:val="28"/>
        </w:rPr>
        <w:t>protections</w:t>
      </w:r>
      <w:r>
        <w:rPr>
          <w:spacing w:val="-5"/>
          <w:sz w:val="28"/>
        </w:rPr>
        <w:t> </w:t>
      </w:r>
      <w:r>
        <w:rPr>
          <w:sz w:val="28"/>
        </w:rPr>
        <w:t>in</w:t>
      </w:r>
      <w:r>
        <w:rPr>
          <w:spacing w:val="-5"/>
          <w:sz w:val="28"/>
        </w:rPr>
        <w:t> </w:t>
      </w:r>
      <w:r>
        <w:rPr>
          <w:sz w:val="28"/>
        </w:rPr>
        <w:t>NI</w:t>
      </w:r>
      <w:r>
        <w:rPr>
          <w:spacing w:val="-4"/>
          <w:sz w:val="28"/>
        </w:rPr>
        <w:t> </w:t>
      </w:r>
      <w:r>
        <w:rPr>
          <w:sz w:val="28"/>
        </w:rPr>
        <w:t>which</w:t>
      </w:r>
      <w:r>
        <w:rPr>
          <w:spacing w:val="-5"/>
          <w:sz w:val="28"/>
        </w:rPr>
        <w:t> </w:t>
      </w:r>
      <w:r>
        <w:rPr>
          <w:sz w:val="28"/>
        </w:rPr>
        <w:t>must</w:t>
      </w:r>
      <w:r>
        <w:rPr>
          <w:spacing w:val="-4"/>
          <w:sz w:val="28"/>
        </w:rPr>
        <w:t> </w:t>
      </w:r>
      <w:r>
        <w:rPr>
          <w:sz w:val="28"/>
        </w:rPr>
        <w:t>be</w:t>
      </w:r>
      <w:r>
        <w:rPr>
          <w:spacing w:val="-4"/>
          <w:sz w:val="28"/>
        </w:rPr>
        <w:t> </w:t>
      </w:r>
      <w:r>
        <w:rPr>
          <w:sz w:val="28"/>
        </w:rPr>
        <w:t>considered</w:t>
      </w:r>
      <w:r>
        <w:rPr>
          <w:spacing w:val="-5"/>
          <w:sz w:val="28"/>
        </w:rPr>
        <w:t> </w:t>
      </w:r>
      <w:r>
        <w:rPr>
          <w:sz w:val="28"/>
        </w:rPr>
        <w:t>within</w:t>
      </w:r>
      <w:r>
        <w:rPr>
          <w:spacing w:val="-5"/>
          <w:sz w:val="28"/>
        </w:rPr>
        <w:t> </w:t>
      </w:r>
      <w:r>
        <w:rPr>
          <w:sz w:val="28"/>
        </w:rPr>
        <w:t>the</w:t>
      </w:r>
      <w:r>
        <w:rPr>
          <w:spacing w:val="-4"/>
          <w:sz w:val="28"/>
        </w:rPr>
        <w:t> </w:t>
      </w:r>
      <w:r>
        <w:rPr>
          <w:sz w:val="28"/>
        </w:rPr>
        <w:t>wider</w:t>
      </w:r>
    </w:p>
    <w:p>
      <w:pPr>
        <w:pStyle w:val="BodyText"/>
        <w:spacing w:line="225" w:lineRule="auto"/>
        <w:ind w:left="1853" w:right="1171"/>
      </w:pPr>
      <w:r>
        <w:rPr/>
        <w:t>constitutional human rights and equality framework. This section identifies those areas where the Commissions have raised specific concerns and made recommendations on the interaction of Article 2 in respect of a Bill of Rights for</w:t>
      </w:r>
      <w:r>
        <w:rPr>
          <w:spacing w:val="-4"/>
        </w:rPr>
        <w:t> </w:t>
      </w:r>
      <w:r>
        <w:rPr/>
        <w:t>NI;</w:t>
      </w:r>
      <w:r>
        <w:rPr>
          <w:spacing w:val="-4"/>
        </w:rPr>
        <w:t> </w:t>
      </w:r>
      <w:r>
        <w:rPr/>
        <w:t>divergence</w:t>
      </w:r>
      <w:r>
        <w:rPr>
          <w:spacing w:val="-4"/>
        </w:rPr>
        <w:t> </w:t>
      </w:r>
      <w:r>
        <w:rPr/>
        <w:t>of</w:t>
      </w:r>
      <w:r>
        <w:rPr>
          <w:spacing w:val="-5"/>
        </w:rPr>
        <w:t> </w:t>
      </w:r>
      <w:r>
        <w:rPr/>
        <w:t>rights</w:t>
      </w:r>
      <w:r>
        <w:rPr>
          <w:spacing w:val="-5"/>
        </w:rPr>
        <w:t> </w:t>
      </w:r>
      <w:r>
        <w:rPr/>
        <w:t>on</w:t>
      </w:r>
      <w:r>
        <w:rPr>
          <w:spacing w:val="-5"/>
        </w:rPr>
        <w:t> </w:t>
      </w:r>
      <w:r>
        <w:rPr/>
        <w:t>the</w:t>
      </w:r>
      <w:r>
        <w:rPr>
          <w:spacing w:val="-4"/>
        </w:rPr>
        <w:t> </w:t>
      </w:r>
      <w:r>
        <w:rPr/>
        <w:t>island</w:t>
      </w:r>
      <w:r>
        <w:rPr>
          <w:spacing w:val="-5"/>
        </w:rPr>
        <w:t> </w:t>
      </w:r>
      <w:r>
        <w:rPr/>
        <w:t>of</w:t>
      </w:r>
      <w:r>
        <w:rPr>
          <w:spacing w:val="-5"/>
        </w:rPr>
        <w:t> </w:t>
      </w:r>
      <w:r>
        <w:rPr/>
        <w:t>Ireland;</w:t>
      </w:r>
      <w:r>
        <w:rPr>
          <w:spacing w:val="-4"/>
        </w:rPr>
        <w:t> </w:t>
      </w:r>
      <w:r>
        <w:rPr/>
        <w:t>and</w:t>
      </w:r>
      <w:r>
        <w:rPr>
          <w:spacing w:val="-5"/>
        </w:rPr>
        <w:t> </w:t>
      </w:r>
      <w:r>
        <w:rPr/>
        <w:t>the</w:t>
      </w:r>
      <w:r>
        <w:rPr>
          <w:spacing w:val="-4"/>
        </w:rPr>
        <w:t> </w:t>
      </w:r>
      <w:r>
        <w:rPr/>
        <w:t>Human</w:t>
      </w:r>
      <w:r>
        <w:rPr>
          <w:spacing w:val="-5"/>
        </w:rPr>
        <w:t> </w:t>
      </w:r>
      <w:r>
        <w:rPr/>
        <w:t>Rights</w:t>
      </w:r>
      <w:r>
        <w:rPr>
          <w:spacing w:val="-5"/>
        </w:rPr>
        <w:t> </w:t>
      </w:r>
      <w:r>
        <w:rPr/>
        <w:t>Act.</w:t>
      </w:r>
    </w:p>
    <w:p>
      <w:pPr>
        <w:pStyle w:val="Heading5"/>
        <w:spacing w:before="297"/>
        <w:ind w:left="1133" w:firstLine="0"/>
      </w:pPr>
      <w:bookmarkStart w:name="A Bill of Rights for NI" w:id="31"/>
      <w:bookmarkEnd w:id="31"/>
      <w:r>
        <w:rPr>
          <w:b w:val="0"/>
        </w:rPr>
      </w:r>
      <w:r>
        <w:rPr>
          <w:color w:val="393B80"/>
        </w:rPr>
        <w:t>A</w:t>
      </w:r>
      <w:r>
        <w:rPr>
          <w:color w:val="393B80"/>
          <w:spacing w:val="-3"/>
        </w:rPr>
        <w:t> </w:t>
      </w:r>
      <w:r>
        <w:rPr>
          <w:color w:val="393B80"/>
        </w:rPr>
        <w:t>Bill</w:t>
      </w:r>
      <w:r>
        <w:rPr>
          <w:color w:val="393B80"/>
          <w:spacing w:val="-2"/>
        </w:rPr>
        <w:t> </w:t>
      </w:r>
      <w:r>
        <w:rPr>
          <w:color w:val="393B80"/>
        </w:rPr>
        <w:t>of</w:t>
      </w:r>
      <w:r>
        <w:rPr>
          <w:color w:val="393B80"/>
          <w:spacing w:val="-3"/>
        </w:rPr>
        <w:t> </w:t>
      </w:r>
      <w:r>
        <w:rPr>
          <w:color w:val="393B80"/>
        </w:rPr>
        <w:t>Rights</w:t>
      </w:r>
      <w:r>
        <w:rPr>
          <w:color w:val="393B80"/>
          <w:spacing w:val="-2"/>
        </w:rPr>
        <w:t> </w:t>
      </w:r>
      <w:r>
        <w:rPr>
          <w:color w:val="393B80"/>
        </w:rPr>
        <w:t>for</w:t>
      </w:r>
      <w:r>
        <w:rPr>
          <w:color w:val="393B80"/>
          <w:spacing w:val="-3"/>
        </w:rPr>
        <w:t> </w:t>
      </w:r>
      <w:r>
        <w:rPr>
          <w:color w:val="393B80"/>
          <w:spacing w:val="-5"/>
        </w:rPr>
        <w:t>NI</w:t>
      </w:r>
    </w:p>
    <w:p>
      <w:pPr>
        <w:pStyle w:val="ListParagraph"/>
        <w:numPr>
          <w:ilvl w:val="1"/>
          <w:numId w:val="7"/>
        </w:numPr>
        <w:tabs>
          <w:tab w:pos="1853" w:val="left" w:leader="none"/>
        </w:tabs>
        <w:spacing w:line="225" w:lineRule="auto" w:before="330" w:after="0"/>
        <w:ind w:left="1853" w:right="1313" w:hanging="720"/>
        <w:jc w:val="left"/>
        <w:rPr>
          <w:sz w:val="28"/>
        </w:rPr>
      </w:pPr>
      <w:r>
        <w:rPr>
          <w:sz w:val="28"/>
        </w:rPr>
        <w:t>A</w:t>
      </w:r>
      <w:r>
        <w:rPr>
          <w:spacing w:val="-5"/>
          <w:sz w:val="28"/>
        </w:rPr>
        <w:t> </w:t>
      </w:r>
      <w:r>
        <w:rPr>
          <w:sz w:val="28"/>
        </w:rPr>
        <w:t>Bill</w:t>
      </w:r>
      <w:r>
        <w:rPr>
          <w:spacing w:val="-6"/>
          <w:sz w:val="28"/>
        </w:rPr>
        <w:t> </w:t>
      </w:r>
      <w:r>
        <w:rPr>
          <w:sz w:val="28"/>
        </w:rPr>
        <w:t>of</w:t>
      </w:r>
      <w:r>
        <w:rPr>
          <w:spacing w:val="-6"/>
          <w:sz w:val="28"/>
        </w:rPr>
        <w:t> </w:t>
      </w:r>
      <w:r>
        <w:rPr>
          <w:sz w:val="28"/>
        </w:rPr>
        <w:t>Rights</w:t>
      </w:r>
      <w:r>
        <w:rPr>
          <w:spacing w:val="-6"/>
          <w:sz w:val="28"/>
        </w:rPr>
        <w:t> </w:t>
      </w:r>
      <w:r>
        <w:rPr>
          <w:sz w:val="28"/>
        </w:rPr>
        <w:t>for</w:t>
      </w:r>
      <w:r>
        <w:rPr>
          <w:spacing w:val="-5"/>
          <w:sz w:val="28"/>
        </w:rPr>
        <w:t> </w:t>
      </w:r>
      <w:r>
        <w:rPr>
          <w:sz w:val="28"/>
        </w:rPr>
        <w:t>NI</w:t>
      </w:r>
      <w:r>
        <w:rPr>
          <w:spacing w:val="-5"/>
          <w:sz w:val="28"/>
        </w:rPr>
        <w:t> </w:t>
      </w:r>
      <w:r>
        <w:rPr>
          <w:sz w:val="28"/>
        </w:rPr>
        <w:t>remains</w:t>
      </w:r>
      <w:r>
        <w:rPr>
          <w:spacing w:val="-6"/>
          <w:sz w:val="28"/>
        </w:rPr>
        <w:t> </w:t>
      </w:r>
      <w:r>
        <w:rPr>
          <w:sz w:val="28"/>
        </w:rPr>
        <w:t>an</w:t>
      </w:r>
      <w:r>
        <w:rPr>
          <w:spacing w:val="-6"/>
          <w:sz w:val="28"/>
        </w:rPr>
        <w:t> </w:t>
      </w:r>
      <w:r>
        <w:rPr>
          <w:sz w:val="28"/>
        </w:rPr>
        <w:t>unfulfilled</w:t>
      </w:r>
      <w:r>
        <w:rPr>
          <w:spacing w:val="-6"/>
          <w:sz w:val="28"/>
        </w:rPr>
        <w:t> </w:t>
      </w:r>
      <w:r>
        <w:rPr>
          <w:sz w:val="28"/>
        </w:rPr>
        <w:t>commitment</w:t>
      </w:r>
      <w:r>
        <w:rPr>
          <w:spacing w:val="-5"/>
          <w:sz w:val="28"/>
        </w:rPr>
        <w:t> </w:t>
      </w:r>
      <w:r>
        <w:rPr>
          <w:sz w:val="28"/>
        </w:rPr>
        <w:t>of</w:t>
      </w:r>
      <w:r>
        <w:rPr>
          <w:spacing w:val="-6"/>
          <w:sz w:val="28"/>
        </w:rPr>
        <w:t> </w:t>
      </w:r>
      <w:r>
        <w:rPr>
          <w:sz w:val="28"/>
        </w:rPr>
        <w:t>the</w:t>
      </w:r>
      <w:r>
        <w:rPr>
          <w:spacing w:val="-5"/>
          <w:sz w:val="28"/>
        </w:rPr>
        <w:t> </w:t>
      </w:r>
      <w:r>
        <w:rPr>
          <w:sz w:val="28"/>
        </w:rPr>
        <w:t>Belfast</w:t>
      </w:r>
      <w:r>
        <w:rPr>
          <w:spacing w:val="-5"/>
          <w:sz w:val="28"/>
        </w:rPr>
        <w:t> </w:t>
      </w:r>
      <w:r>
        <w:rPr>
          <w:sz w:val="28"/>
        </w:rPr>
        <w:t>(Good Friday) Agreement.</w:t>
      </w:r>
      <w:r>
        <w:rPr>
          <w:sz w:val="28"/>
          <w:vertAlign w:val="superscript"/>
        </w:rPr>
        <w:t>105</w:t>
      </w:r>
      <w:r>
        <w:rPr>
          <w:sz w:val="28"/>
          <w:vertAlign w:val="baseline"/>
        </w:rPr>
        <w:t> Following commitments made in the New Decade,</w:t>
      </w:r>
    </w:p>
    <w:p>
      <w:pPr>
        <w:pStyle w:val="BodyText"/>
        <w:spacing w:line="225" w:lineRule="auto"/>
        <w:ind w:left="1853" w:right="1667"/>
      </w:pPr>
      <w:r>
        <w:rPr/>
        <w:t>New</w:t>
      </w:r>
      <w:r>
        <w:rPr>
          <w:spacing w:val="-8"/>
        </w:rPr>
        <w:t> </w:t>
      </w:r>
      <w:r>
        <w:rPr/>
        <w:t>Approach</w:t>
      </w:r>
      <w:r>
        <w:rPr>
          <w:spacing w:val="-8"/>
        </w:rPr>
        <w:t> </w:t>
      </w:r>
      <w:r>
        <w:rPr/>
        <w:t>agreement,</w:t>
      </w:r>
      <w:r>
        <w:rPr>
          <w:vertAlign w:val="superscript"/>
        </w:rPr>
        <w:t>106</w:t>
      </w:r>
      <w:r>
        <w:rPr>
          <w:spacing w:val="-8"/>
          <w:vertAlign w:val="baseline"/>
        </w:rPr>
        <w:t> </w:t>
      </w:r>
      <w:r>
        <w:rPr>
          <w:vertAlign w:val="baseline"/>
        </w:rPr>
        <w:t>the</w:t>
      </w:r>
      <w:r>
        <w:rPr>
          <w:spacing w:val="-8"/>
          <w:vertAlign w:val="baseline"/>
        </w:rPr>
        <w:t> </w:t>
      </w:r>
      <w:r>
        <w:rPr>
          <w:vertAlign w:val="baseline"/>
        </w:rPr>
        <w:t>NI</w:t>
      </w:r>
      <w:r>
        <w:rPr>
          <w:spacing w:val="-8"/>
          <w:vertAlign w:val="baseline"/>
        </w:rPr>
        <w:t> </w:t>
      </w:r>
      <w:r>
        <w:rPr>
          <w:vertAlign w:val="baseline"/>
        </w:rPr>
        <w:t>Assembly</w:t>
      </w:r>
      <w:r>
        <w:rPr>
          <w:spacing w:val="-8"/>
          <w:vertAlign w:val="baseline"/>
        </w:rPr>
        <w:t> </w:t>
      </w:r>
      <w:r>
        <w:rPr>
          <w:vertAlign w:val="baseline"/>
        </w:rPr>
        <w:t>Ad</w:t>
      </w:r>
      <w:r>
        <w:rPr>
          <w:spacing w:val="-8"/>
          <w:vertAlign w:val="baseline"/>
        </w:rPr>
        <w:t> </w:t>
      </w:r>
      <w:r>
        <w:rPr>
          <w:vertAlign w:val="baseline"/>
        </w:rPr>
        <w:t>Hoc</w:t>
      </w:r>
      <w:r>
        <w:rPr>
          <w:spacing w:val="-8"/>
          <w:vertAlign w:val="baseline"/>
        </w:rPr>
        <w:t> </w:t>
      </w:r>
      <w:r>
        <w:rPr>
          <w:vertAlign w:val="baseline"/>
        </w:rPr>
        <w:t>Committee</w:t>
      </w:r>
      <w:r>
        <w:rPr>
          <w:spacing w:val="-8"/>
          <w:vertAlign w:val="baseline"/>
        </w:rPr>
        <w:t> </w:t>
      </w:r>
      <w:r>
        <w:rPr>
          <w:vertAlign w:val="baseline"/>
        </w:rPr>
        <w:t>on</w:t>
      </w:r>
      <w:r>
        <w:rPr>
          <w:spacing w:val="-8"/>
          <w:vertAlign w:val="baseline"/>
        </w:rPr>
        <w:t> </w:t>
      </w:r>
      <w:r>
        <w:rPr>
          <w:vertAlign w:val="baseline"/>
        </w:rPr>
        <w:t>a</w:t>
      </w:r>
      <w:r>
        <w:rPr>
          <w:spacing w:val="-8"/>
          <w:vertAlign w:val="baseline"/>
        </w:rPr>
        <w:t> </w:t>
      </w:r>
      <w:r>
        <w:rPr>
          <w:vertAlign w:val="baseline"/>
        </w:rPr>
        <w:t>Bill of Rights was established. In 2021, the Commissions separately provided</w:t>
      </w:r>
    </w:p>
    <w:p>
      <w:pPr>
        <w:pStyle w:val="BodyText"/>
        <w:spacing w:line="225" w:lineRule="auto"/>
        <w:ind w:left="1853" w:right="1171"/>
      </w:pPr>
      <w:r>
        <w:rPr/>
        <w:t>written submissions and joint oral evidence to the Committee, building upon previous</w:t>
      </w:r>
      <w:r>
        <w:rPr>
          <w:spacing w:val="-3"/>
        </w:rPr>
        <w:t> </w:t>
      </w:r>
      <w:r>
        <w:rPr/>
        <w:t>advice.</w:t>
      </w:r>
      <w:r>
        <w:rPr>
          <w:vertAlign w:val="superscript"/>
        </w:rPr>
        <w:t>107</w:t>
      </w:r>
      <w:r>
        <w:rPr>
          <w:spacing w:val="40"/>
          <w:vertAlign w:val="baseline"/>
        </w:rPr>
        <w:t> </w:t>
      </w:r>
      <w:r>
        <w:rPr>
          <w:vertAlign w:val="baseline"/>
        </w:rPr>
        <w:t>In</w:t>
      </w:r>
      <w:r>
        <w:rPr>
          <w:spacing w:val="-3"/>
          <w:vertAlign w:val="baseline"/>
        </w:rPr>
        <w:t> </w:t>
      </w:r>
      <w:r>
        <w:rPr>
          <w:vertAlign w:val="baseline"/>
        </w:rPr>
        <w:t>2022,</w:t>
      </w:r>
      <w:r>
        <w:rPr>
          <w:spacing w:val="-2"/>
          <w:vertAlign w:val="baseline"/>
        </w:rPr>
        <w:t> </w:t>
      </w:r>
      <w:r>
        <w:rPr>
          <w:vertAlign w:val="baseline"/>
        </w:rPr>
        <w:t>the</w:t>
      </w:r>
      <w:r>
        <w:rPr>
          <w:spacing w:val="-2"/>
          <w:vertAlign w:val="baseline"/>
        </w:rPr>
        <w:t> </w:t>
      </w:r>
      <w:r>
        <w:rPr>
          <w:vertAlign w:val="baseline"/>
        </w:rPr>
        <w:t>Committee</w:t>
      </w:r>
      <w:r>
        <w:rPr>
          <w:spacing w:val="-2"/>
          <w:vertAlign w:val="baseline"/>
        </w:rPr>
        <w:t> </w:t>
      </w:r>
      <w:r>
        <w:rPr>
          <w:vertAlign w:val="baseline"/>
        </w:rPr>
        <w:t>concluded</w:t>
      </w:r>
      <w:r>
        <w:rPr>
          <w:spacing w:val="-3"/>
          <w:vertAlign w:val="baseline"/>
        </w:rPr>
        <w:t> </w:t>
      </w:r>
      <w:r>
        <w:rPr>
          <w:vertAlign w:val="baseline"/>
        </w:rPr>
        <w:t>its</w:t>
      </w:r>
      <w:r>
        <w:rPr>
          <w:spacing w:val="-3"/>
          <w:vertAlign w:val="baseline"/>
        </w:rPr>
        <w:t> </w:t>
      </w:r>
      <w:r>
        <w:rPr>
          <w:vertAlign w:val="baseline"/>
        </w:rPr>
        <w:t>work</w:t>
      </w:r>
      <w:r>
        <w:rPr>
          <w:spacing w:val="-2"/>
          <w:vertAlign w:val="baseline"/>
        </w:rPr>
        <w:t> </w:t>
      </w:r>
      <w:r>
        <w:rPr>
          <w:vertAlign w:val="baseline"/>
        </w:rPr>
        <w:t>and</w:t>
      </w:r>
      <w:r>
        <w:rPr>
          <w:spacing w:val="-3"/>
          <w:vertAlign w:val="baseline"/>
        </w:rPr>
        <w:t> </w:t>
      </w:r>
      <w:r>
        <w:rPr>
          <w:vertAlign w:val="baseline"/>
        </w:rPr>
        <w:t>published a</w:t>
      </w:r>
      <w:r>
        <w:rPr>
          <w:spacing w:val="-11"/>
          <w:vertAlign w:val="baseline"/>
        </w:rPr>
        <w:t> </w:t>
      </w:r>
      <w:r>
        <w:rPr>
          <w:vertAlign w:val="baseline"/>
        </w:rPr>
        <w:t>report</w:t>
      </w:r>
      <w:r>
        <w:rPr>
          <w:vertAlign w:val="superscript"/>
        </w:rPr>
        <w:t>108</w:t>
      </w:r>
      <w:r>
        <w:rPr>
          <w:spacing w:val="-11"/>
          <w:vertAlign w:val="baseline"/>
        </w:rPr>
        <w:t> </w:t>
      </w:r>
      <w:r>
        <w:rPr>
          <w:vertAlign w:val="baseline"/>
        </w:rPr>
        <w:t>summarising</w:t>
      </w:r>
      <w:r>
        <w:rPr>
          <w:spacing w:val="-11"/>
          <w:vertAlign w:val="baseline"/>
        </w:rPr>
        <w:t> </w:t>
      </w:r>
      <w:r>
        <w:rPr>
          <w:vertAlign w:val="baseline"/>
        </w:rPr>
        <w:t>the</w:t>
      </w:r>
      <w:r>
        <w:rPr>
          <w:spacing w:val="-11"/>
          <w:vertAlign w:val="baseline"/>
        </w:rPr>
        <w:t> </w:t>
      </w:r>
      <w:r>
        <w:rPr>
          <w:vertAlign w:val="baseline"/>
        </w:rPr>
        <w:t>findings</w:t>
      </w:r>
      <w:r>
        <w:rPr>
          <w:spacing w:val="-11"/>
          <w:vertAlign w:val="baseline"/>
        </w:rPr>
        <w:t> </w:t>
      </w:r>
      <w:r>
        <w:rPr>
          <w:vertAlign w:val="baseline"/>
        </w:rPr>
        <w:t>of</w:t>
      </w:r>
      <w:r>
        <w:rPr>
          <w:spacing w:val="-11"/>
          <w:vertAlign w:val="baseline"/>
        </w:rPr>
        <w:t> </w:t>
      </w:r>
      <w:r>
        <w:rPr>
          <w:vertAlign w:val="baseline"/>
        </w:rPr>
        <w:t>the</w:t>
      </w:r>
      <w:r>
        <w:rPr>
          <w:spacing w:val="-11"/>
          <w:vertAlign w:val="baseline"/>
        </w:rPr>
        <w:t> </w:t>
      </w:r>
      <w:r>
        <w:rPr>
          <w:vertAlign w:val="baseline"/>
        </w:rPr>
        <w:t>extensive</w:t>
      </w:r>
      <w:r>
        <w:rPr>
          <w:spacing w:val="-11"/>
          <w:vertAlign w:val="baseline"/>
        </w:rPr>
        <w:t> </w:t>
      </w:r>
      <w:r>
        <w:rPr>
          <w:vertAlign w:val="baseline"/>
        </w:rPr>
        <w:t>stakeholder</w:t>
      </w:r>
      <w:r>
        <w:rPr>
          <w:spacing w:val="-11"/>
          <w:vertAlign w:val="baseline"/>
        </w:rPr>
        <w:t> </w:t>
      </w:r>
      <w:r>
        <w:rPr>
          <w:vertAlign w:val="baseline"/>
        </w:rPr>
        <w:t>consultation activities it undertook between 2020-2021. The Committee found that majority of stakeholders and witnesses supported the creation of a Bill of Rights</w:t>
      </w:r>
      <w:r>
        <w:rPr>
          <w:spacing w:val="-4"/>
          <w:vertAlign w:val="baseline"/>
        </w:rPr>
        <w:t> </w:t>
      </w:r>
      <w:r>
        <w:rPr>
          <w:vertAlign w:val="baseline"/>
        </w:rPr>
        <w:t>for</w:t>
      </w:r>
      <w:r>
        <w:rPr>
          <w:spacing w:val="-3"/>
          <w:vertAlign w:val="baseline"/>
        </w:rPr>
        <w:t> </w:t>
      </w:r>
      <w:r>
        <w:rPr>
          <w:vertAlign w:val="baseline"/>
        </w:rPr>
        <w:t>NI</w:t>
      </w:r>
      <w:r>
        <w:rPr>
          <w:spacing w:val="-3"/>
          <w:vertAlign w:val="baseline"/>
        </w:rPr>
        <w:t> </w:t>
      </w:r>
      <w:r>
        <w:rPr>
          <w:vertAlign w:val="baseline"/>
        </w:rPr>
        <w:t>and</w:t>
      </w:r>
      <w:r>
        <w:rPr>
          <w:spacing w:val="-4"/>
          <w:vertAlign w:val="baseline"/>
        </w:rPr>
        <w:t> </w:t>
      </w:r>
      <w:r>
        <w:rPr>
          <w:vertAlign w:val="baseline"/>
        </w:rPr>
        <w:t>in</w:t>
      </w:r>
      <w:r>
        <w:rPr>
          <w:spacing w:val="-4"/>
          <w:vertAlign w:val="baseline"/>
        </w:rPr>
        <w:t> </w:t>
      </w:r>
      <w:r>
        <w:rPr>
          <w:vertAlign w:val="baseline"/>
        </w:rPr>
        <w:t>June</w:t>
      </w:r>
      <w:r>
        <w:rPr>
          <w:spacing w:val="-3"/>
          <w:vertAlign w:val="baseline"/>
        </w:rPr>
        <w:t> </w:t>
      </w:r>
      <w:r>
        <w:rPr>
          <w:vertAlign w:val="baseline"/>
        </w:rPr>
        <w:t>2021,</w:t>
      </w:r>
      <w:r>
        <w:rPr>
          <w:spacing w:val="-3"/>
          <w:vertAlign w:val="baseline"/>
        </w:rPr>
        <w:t> </w:t>
      </w:r>
      <w:r>
        <w:rPr>
          <w:vertAlign w:val="baseline"/>
        </w:rPr>
        <w:t>in</w:t>
      </w:r>
      <w:r>
        <w:rPr>
          <w:spacing w:val="-4"/>
          <w:vertAlign w:val="baseline"/>
        </w:rPr>
        <w:t> </w:t>
      </w:r>
      <w:r>
        <w:rPr>
          <w:vertAlign w:val="baseline"/>
        </w:rPr>
        <w:t>light</w:t>
      </w:r>
      <w:r>
        <w:rPr>
          <w:spacing w:val="-3"/>
          <w:vertAlign w:val="baseline"/>
        </w:rPr>
        <w:t> </w:t>
      </w:r>
      <w:r>
        <w:rPr>
          <w:vertAlign w:val="baseline"/>
        </w:rPr>
        <w:t>of</w:t>
      </w:r>
      <w:r>
        <w:rPr>
          <w:spacing w:val="-4"/>
          <w:vertAlign w:val="baseline"/>
        </w:rPr>
        <w:t> </w:t>
      </w:r>
      <w:r>
        <w:rPr>
          <w:vertAlign w:val="baseline"/>
        </w:rPr>
        <w:t>the</w:t>
      </w:r>
      <w:r>
        <w:rPr>
          <w:spacing w:val="-3"/>
          <w:vertAlign w:val="baseline"/>
        </w:rPr>
        <w:t> </w:t>
      </w:r>
      <w:r>
        <w:rPr>
          <w:vertAlign w:val="baseline"/>
        </w:rPr>
        <w:t>evidence,</w:t>
      </w:r>
      <w:r>
        <w:rPr>
          <w:spacing w:val="-3"/>
          <w:vertAlign w:val="baseline"/>
        </w:rPr>
        <w:t> </w:t>
      </w:r>
      <w:r>
        <w:rPr>
          <w:vertAlign w:val="baseline"/>
        </w:rPr>
        <w:t>the</w:t>
      </w:r>
      <w:r>
        <w:rPr>
          <w:spacing w:val="-3"/>
          <w:vertAlign w:val="baseline"/>
        </w:rPr>
        <w:t> </w:t>
      </w:r>
      <w:r>
        <w:rPr>
          <w:vertAlign w:val="baseline"/>
        </w:rPr>
        <w:t>Committee</w:t>
      </w:r>
      <w:r>
        <w:rPr>
          <w:spacing w:val="-3"/>
          <w:vertAlign w:val="baseline"/>
        </w:rPr>
        <w:t> </w:t>
      </w:r>
      <w:r>
        <w:rPr>
          <w:vertAlign w:val="baseline"/>
        </w:rPr>
        <w:t>agreed with</w:t>
      </w:r>
      <w:r>
        <w:rPr>
          <w:spacing w:val="-5"/>
          <w:vertAlign w:val="baseline"/>
        </w:rPr>
        <w:t> </w:t>
      </w:r>
      <w:r>
        <w:rPr>
          <w:vertAlign w:val="baseline"/>
        </w:rPr>
        <w:t>this</w:t>
      </w:r>
      <w:r>
        <w:rPr>
          <w:spacing w:val="-5"/>
          <w:vertAlign w:val="baseline"/>
        </w:rPr>
        <w:t> </w:t>
      </w:r>
      <w:r>
        <w:rPr>
          <w:vertAlign w:val="baseline"/>
        </w:rPr>
        <w:t>position</w:t>
      </w:r>
      <w:r>
        <w:rPr>
          <w:spacing w:val="-5"/>
          <w:vertAlign w:val="baseline"/>
        </w:rPr>
        <w:t> </w:t>
      </w:r>
      <w:r>
        <w:rPr>
          <w:vertAlign w:val="baseline"/>
        </w:rPr>
        <w:t>in</w:t>
      </w:r>
      <w:r>
        <w:rPr>
          <w:spacing w:val="-5"/>
          <w:vertAlign w:val="baseline"/>
        </w:rPr>
        <w:t> </w:t>
      </w:r>
      <w:r>
        <w:rPr>
          <w:vertAlign w:val="baseline"/>
        </w:rPr>
        <w:t>principle.</w:t>
      </w:r>
      <w:r>
        <w:rPr>
          <w:vertAlign w:val="superscript"/>
        </w:rPr>
        <w:t>109</w:t>
      </w:r>
      <w:r>
        <w:rPr>
          <w:spacing w:val="-5"/>
          <w:vertAlign w:val="baseline"/>
        </w:rPr>
        <w:t> </w:t>
      </w:r>
      <w:r>
        <w:rPr>
          <w:vertAlign w:val="baseline"/>
        </w:rPr>
        <w:t>However</w:t>
      </w:r>
      <w:r>
        <w:rPr>
          <w:spacing w:val="-4"/>
          <w:vertAlign w:val="baseline"/>
        </w:rPr>
        <w:t> </w:t>
      </w:r>
      <w:r>
        <w:rPr>
          <w:vertAlign w:val="baseline"/>
        </w:rPr>
        <w:t>in</w:t>
      </w:r>
      <w:r>
        <w:rPr>
          <w:spacing w:val="-5"/>
          <w:vertAlign w:val="baseline"/>
        </w:rPr>
        <w:t> </w:t>
      </w:r>
      <w:r>
        <w:rPr>
          <w:vertAlign w:val="baseline"/>
        </w:rPr>
        <w:t>the</w:t>
      </w:r>
      <w:r>
        <w:rPr>
          <w:spacing w:val="-4"/>
          <w:vertAlign w:val="baseline"/>
        </w:rPr>
        <w:t> </w:t>
      </w:r>
      <w:r>
        <w:rPr>
          <w:vertAlign w:val="baseline"/>
        </w:rPr>
        <w:t>absence</w:t>
      </w:r>
      <w:r>
        <w:rPr>
          <w:spacing w:val="-4"/>
          <w:vertAlign w:val="baseline"/>
        </w:rPr>
        <w:t> </w:t>
      </w:r>
      <w:r>
        <w:rPr>
          <w:vertAlign w:val="baseline"/>
        </w:rPr>
        <w:t>of</w:t>
      </w:r>
      <w:r>
        <w:rPr>
          <w:spacing w:val="-5"/>
          <w:vertAlign w:val="baseline"/>
        </w:rPr>
        <w:t> </w:t>
      </w:r>
      <w:r>
        <w:rPr>
          <w:vertAlign w:val="baseline"/>
        </w:rPr>
        <w:t>a</w:t>
      </w:r>
      <w:r>
        <w:rPr>
          <w:spacing w:val="-5"/>
          <w:vertAlign w:val="baseline"/>
        </w:rPr>
        <w:t> </w:t>
      </w:r>
      <w:r>
        <w:rPr>
          <w:vertAlign w:val="baseline"/>
        </w:rPr>
        <w:t>panel</w:t>
      </w:r>
      <w:r>
        <w:rPr>
          <w:spacing w:val="-5"/>
          <w:vertAlign w:val="baseline"/>
        </w:rPr>
        <w:t> </w:t>
      </w:r>
      <w:r>
        <w:rPr>
          <w:vertAlign w:val="baseline"/>
        </w:rPr>
        <w:t>of</w:t>
      </w:r>
      <w:r>
        <w:rPr>
          <w:spacing w:val="-5"/>
          <w:vertAlign w:val="baseline"/>
        </w:rPr>
        <w:t> </w:t>
      </w:r>
      <w:r>
        <w:rPr>
          <w:vertAlign w:val="baseline"/>
        </w:rPr>
        <w:t>experts</w:t>
      </w:r>
    </w:p>
    <w:p>
      <w:pPr>
        <w:pStyle w:val="BodyText"/>
        <w:spacing w:before="11"/>
        <w:rPr>
          <w:sz w:val="5"/>
        </w:rPr>
      </w:pPr>
      <w:r>
        <w:rPr/>
        <mc:AlternateContent>
          <mc:Choice Requires="wps">
            <w:drawing>
              <wp:anchor distT="0" distB="0" distL="0" distR="0" allowOverlap="1" layoutInCell="1" locked="0" behindDoc="1" simplePos="0" relativeHeight="487637504">
                <wp:simplePos x="0" y="0"/>
                <wp:positionH relativeFrom="page">
                  <wp:posOffset>719996</wp:posOffset>
                </wp:positionH>
                <wp:positionV relativeFrom="paragraph">
                  <wp:posOffset>61534</wp:posOffset>
                </wp:positionV>
                <wp:extent cx="6120130" cy="1270"/>
                <wp:effectExtent l="0" t="0" r="0" b="0"/>
                <wp:wrapTopAndBottom/>
                <wp:docPr id="172" name="Graphic 172"/>
                <wp:cNvGraphicFramePr>
                  <a:graphicFrameLocks/>
                </wp:cNvGraphicFramePr>
                <a:graphic>
                  <a:graphicData uri="http://schemas.microsoft.com/office/word/2010/wordprocessingShape">
                    <wps:wsp>
                      <wps:cNvPr id="172" name="Graphic 172"/>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4.845253pt;width:481.9pt;height:.1pt;mso-position-horizontal-relative:page;mso-position-vertical-relative:paragraph;z-index:-15678976;mso-wrap-distance-left:0;mso-wrap-distance-right:0" id="docshape129" coordorigin="1134,97" coordsize="9638,0" path="m10772,97l1134,97e" filled="false" stroked="true" strokeweight="1pt" strokecolor="#393b80">
                <v:path arrowok="t"/>
                <v:stroke dashstyle="solid"/>
                <w10:wrap type="topAndBottom"/>
              </v:shape>
            </w:pict>
          </mc:Fallback>
        </mc:AlternateContent>
      </w:r>
    </w:p>
    <w:p>
      <w:pPr>
        <w:pStyle w:val="ListParagraph"/>
        <w:numPr>
          <w:ilvl w:val="0"/>
          <w:numId w:val="3"/>
        </w:numPr>
        <w:tabs>
          <w:tab w:pos="1853" w:val="left" w:leader="none"/>
        </w:tabs>
        <w:spacing w:line="235" w:lineRule="auto" w:before="111" w:after="0"/>
        <w:ind w:left="1853" w:right="1349" w:hanging="720"/>
        <w:jc w:val="both"/>
        <w:rPr>
          <w:sz w:val="18"/>
        </w:rPr>
      </w:pPr>
      <w:r>
        <w:rPr>
          <w:sz w:val="18"/>
        </w:rPr>
        <w:t>In 2008, as required by the Belfast (Good Friday) Agreement and the NI Act 1998, the NIHRC produced ‘A Bill of Rights for</w:t>
      </w:r>
      <w:r>
        <w:rPr>
          <w:spacing w:val="-4"/>
          <w:sz w:val="18"/>
        </w:rPr>
        <w:t> </w:t>
      </w:r>
      <w:r>
        <w:rPr>
          <w:sz w:val="18"/>
        </w:rPr>
        <w:t>Northern</w:t>
      </w:r>
      <w:r>
        <w:rPr>
          <w:spacing w:val="-5"/>
          <w:sz w:val="18"/>
        </w:rPr>
        <w:t> </w:t>
      </w:r>
      <w:r>
        <w:rPr>
          <w:sz w:val="18"/>
        </w:rPr>
        <w:t>Ireland</w:t>
      </w:r>
      <w:r>
        <w:rPr>
          <w:spacing w:val="-5"/>
          <w:sz w:val="18"/>
        </w:rPr>
        <w:t> </w:t>
      </w:r>
      <w:r>
        <w:rPr>
          <w:sz w:val="18"/>
        </w:rPr>
        <w:t>-</w:t>
      </w:r>
      <w:r>
        <w:rPr>
          <w:spacing w:val="-5"/>
          <w:sz w:val="18"/>
        </w:rPr>
        <w:t> </w:t>
      </w:r>
      <w:r>
        <w:rPr>
          <w:sz w:val="18"/>
        </w:rPr>
        <w:t>Advice</w:t>
      </w:r>
      <w:r>
        <w:rPr>
          <w:spacing w:val="-4"/>
          <w:sz w:val="18"/>
        </w:rPr>
        <w:t> </w:t>
      </w:r>
      <w:r>
        <w:rPr>
          <w:sz w:val="18"/>
        </w:rPr>
        <w:t>to</w:t>
      </w:r>
      <w:r>
        <w:rPr>
          <w:spacing w:val="-5"/>
          <w:sz w:val="18"/>
        </w:rPr>
        <w:t> </w:t>
      </w:r>
      <w:r>
        <w:rPr>
          <w:sz w:val="18"/>
        </w:rPr>
        <w:t>the</w:t>
      </w:r>
      <w:r>
        <w:rPr>
          <w:spacing w:val="-4"/>
          <w:sz w:val="18"/>
        </w:rPr>
        <w:t> </w:t>
      </w:r>
      <w:r>
        <w:rPr>
          <w:sz w:val="18"/>
        </w:rPr>
        <w:t>Secretary</w:t>
      </w:r>
      <w:r>
        <w:rPr>
          <w:spacing w:val="-4"/>
          <w:sz w:val="18"/>
        </w:rPr>
        <w:t> </w:t>
      </w:r>
      <w:r>
        <w:rPr>
          <w:sz w:val="18"/>
        </w:rPr>
        <w:t>of</w:t>
      </w:r>
      <w:r>
        <w:rPr>
          <w:spacing w:val="-5"/>
          <w:sz w:val="18"/>
        </w:rPr>
        <w:t> </w:t>
      </w:r>
      <w:r>
        <w:rPr>
          <w:sz w:val="18"/>
        </w:rPr>
        <w:t>State</w:t>
      </w:r>
      <w:r>
        <w:rPr>
          <w:spacing w:val="-4"/>
          <w:sz w:val="18"/>
        </w:rPr>
        <w:t> </w:t>
      </w:r>
      <w:r>
        <w:rPr>
          <w:sz w:val="18"/>
        </w:rPr>
        <w:t>for</w:t>
      </w:r>
      <w:r>
        <w:rPr>
          <w:spacing w:val="-4"/>
          <w:sz w:val="18"/>
        </w:rPr>
        <w:t> </w:t>
      </w:r>
      <w:r>
        <w:rPr>
          <w:sz w:val="18"/>
        </w:rPr>
        <w:t>Northern</w:t>
      </w:r>
      <w:r>
        <w:rPr>
          <w:spacing w:val="-5"/>
          <w:sz w:val="18"/>
        </w:rPr>
        <w:t> </w:t>
      </w:r>
      <w:r>
        <w:rPr>
          <w:sz w:val="18"/>
        </w:rPr>
        <w:t>Ireland‘</w:t>
      </w:r>
      <w:r>
        <w:rPr>
          <w:spacing w:val="-4"/>
          <w:sz w:val="18"/>
        </w:rPr>
        <w:t> </w:t>
      </w:r>
      <w:r>
        <w:rPr>
          <w:sz w:val="18"/>
        </w:rPr>
        <w:t>(NIHRC,</w:t>
      </w:r>
      <w:r>
        <w:rPr>
          <w:spacing w:val="-4"/>
          <w:sz w:val="18"/>
        </w:rPr>
        <w:t> </w:t>
      </w:r>
      <w:r>
        <w:rPr>
          <w:sz w:val="18"/>
        </w:rPr>
        <w:t>2009).</w:t>
      </w:r>
      <w:r>
        <w:rPr>
          <w:spacing w:val="-5"/>
          <w:sz w:val="18"/>
        </w:rPr>
        <w:t> </w:t>
      </w:r>
      <w:r>
        <w:rPr>
          <w:sz w:val="18"/>
        </w:rPr>
        <w:t>Subsequent</w:t>
      </w:r>
      <w:r>
        <w:rPr>
          <w:spacing w:val="-4"/>
          <w:sz w:val="18"/>
        </w:rPr>
        <w:t> </w:t>
      </w:r>
      <w:r>
        <w:rPr>
          <w:sz w:val="18"/>
        </w:rPr>
        <w:t>UK</w:t>
      </w:r>
      <w:r>
        <w:rPr>
          <w:spacing w:val="-4"/>
          <w:sz w:val="18"/>
        </w:rPr>
        <w:t> </w:t>
      </w:r>
      <w:r>
        <w:rPr>
          <w:sz w:val="18"/>
        </w:rPr>
        <w:t>Government</w:t>
      </w:r>
    </w:p>
    <w:p>
      <w:pPr>
        <w:spacing w:line="235" w:lineRule="auto" w:before="1"/>
        <w:ind w:left="1853" w:right="1160" w:firstLine="0"/>
        <w:jc w:val="both"/>
        <w:rPr>
          <w:sz w:val="18"/>
        </w:rPr>
      </w:pPr>
      <w:r>
        <w:rPr>
          <w:sz w:val="18"/>
        </w:rPr>
        <w:t>public</w:t>
      </w:r>
      <w:r>
        <w:rPr>
          <w:spacing w:val="-5"/>
          <w:sz w:val="18"/>
        </w:rPr>
        <w:t> </w:t>
      </w:r>
      <w:r>
        <w:rPr>
          <w:sz w:val="18"/>
        </w:rPr>
        <w:t>consultation</w:t>
      </w:r>
      <w:r>
        <w:rPr>
          <w:spacing w:val="-5"/>
          <w:sz w:val="18"/>
        </w:rPr>
        <w:t> </w:t>
      </w:r>
      <w:r>
        <w:rPr>
          <w:sz w:val="18"/>
        </w:rPr>
        <w:t>found</w:t>
      </w:r>
      <w:r>
        <w:rPr>
          <w:spacing w:val="-5"/>
          <w:sz w:val="18"/>
        </w:rPr>
        <w:t> </w:t>
      </w:r>
      <w:r>
        <w:rPr>
          <w:sz w:val="18"/>
        </w:rPr>
        <w:t>“considerable</w:t>
      </w:r>
      <w:r>
        <w:rPr>
          <w:spacing w:val="-5"/>
          <w:sz w:val="18"/>
        </w:rPr>
        <w:t> </w:t>
      </w:r>
      <w:r>
        <w:rPr>
          <w:sz w:val="18"/>
        </w:rPr>
        <w:t>support”</w:t>
      </w:r>
      <w:r>
        <w:rPr>
          <w:spacing w:val="-5"/>
          <w:sz w:val="18"/>
        </w:rPr>
        <w:t> </w:t>
      </w:r>
      <w:r>
        <w:rPr>
          <w:sz w:val="18"/>
        </w:rPr>
        <w:t>for</w:t>
      </w:r>
      <w:r>
        <w:rPr>
          <w:spacing w:val="-5"/>
          <w:sz w:val="18"/>
        </w:rPr>
        <w:t> </w:t>
      </w:r>
      <w:r>
        <w:rPr>
          <w:sz w:val="18"/>
        </w:rPr>
        <w:t>a</w:t>
      </w:r>
      <w:r>
        <w:rPr>
          <w:spacing w:val="-5"/>
          <w:sz w:val="18"/>
        </w:rPr>
        <w:t> </w:t>
      </w:r>
      <w:r>
        <w:rPr>
          <w:sz w:val="18"/>
        </w:rPr>
        <w:t>Bill</w:t>
      </w:r>
      <w:r>
        <w:rPr>
          <w:spacing w:val="-5"/>
          <w:sz w:val="18"/>
        </w:rPr>
        <w:t> </w:t>
      </w:r>
      <w:r>
        <w:rPr>
          <w:sz w:val="18"/>
        </w:rPr>
        <w:t>of</w:t>
      </w:r>
      <w:r>
        <w:rPr>
          <w:spacing w:val="-5"/>
          <w:sz w:val="18"/>
        </w:rPr>
        <w:t> </w:t>
      </w:r>
      <w:r>
        <w:rPr>
          <w:sz w:val="18"/>
        </w:rPr>
        <w:t>Rights</w:t>
      </w:r>
      <w:r>
        <w:rPr>
          <w:spacing w:val="-5"/>
          <w:sz w:val="18"/>
        </w:rPr>
        <w:t> </w:t>
      </w:r>
      <w:r>
        <w:rPr>
          <w:sz w:val="18"/>
        </w:rPr>
        <w:t>along</w:t>
      </w:r>
      <w:r>
        <w:rPr>
          <w:spacing w:val="-5"/>
          <w:sz w:val="18"/>
        </w:rPr>
        <w:t> </w:t>
      </w:r>
      <w:r>
        <w:rPr>
          <w:sz w:val="18"/>
        </w:rPr>
        <w:t>lines</w:t>
      </w:r>
      <w:r>
        <w:rPr>
          <w:spacing w:val="-5"/>
          <w:sz w:val="18"/>
        </w:rPr>
        <w:t> </w:t>
      </w:r>
      <w:r>
        <w:rPr>
          <w:sz w:val="18"/>
        </w:rPr>
        <w:t>recommended</w:t>
      </w:r>
      <w:r>
        <w:rPr>
          <w:spacing w:val="-5"/>
          <w:sz w:val="18"/>
        </w:rPr>
        <w:t> </w:t>
      </w:r>
      <w:r>
        <w:rPr>
          <w:sz w:val="18"/>
        </w:rPr>
        <w:t>but</w:t>
      </w:r>
      <w:r>
        <w:rPr>
          <w:spacing w:val="-5"/>
          <w:sz w:val="18"/>
        </w:rPr>
        <w:t> </w:t>
      </w:r>
      <w:r>
        <w:rPr>
          <w:sz w:val="18"/>
        </w:rPr>
        <w:t>UK</w:t>
      </w:r>
      <w:r>
        <w:rPr>
          <w:spacing w:val="-5"/>
          <w:sz w:val="18"/>
        </w:rPr>
        <w:t> </w:t>
      </w:r>
      <w:r>
        <w:rPr>
          <w:sz w:val="18"/>
        </w:rPr>
        <w:t>Ministers</w:t>
      </w:r>
      <w:r>
        <w:rPr>
          <w:spacing w:val="-5"/>
          <w:sz w:val="18"/>
        </w:rPr>
        <w:t> </w:t>
      </w:r>
      <w:r>
        <w:rPr>
          <w:sz w:val="18"/>
        </w:rPr>
        <w:t>have</w:t>
      </w:r>
      <w:r>
        <w:rPr>
          <w:spacing w:val="-5"/>
          <w:sz w:val="18"/>
        </w:rPr>
        <w:t> </w:t>
      </w:r>
      <w:r>
        <w:rPr>
          <w:sz w:val="18"/>
        </w:rPr>
        <w:t>since referred</w:t>
      </w:r>
      <w:r>
        <w:rPr>
          <w:spacing w:val="-3"/>
          <w:sz w:val="18"/>
        </w:rPr>
        <w:t> </w:t>
      </w:r>
      <w:r>
        <w:rPr>
          <w:sz w:val="18"/>
        </w:rPr>
        <w:t>to</w:t>
      </w:r>
      <w:r>
        <w:rPr>
          <w:spacing w:val="-3"/>
          <w:sz w:val="18"/>
        </w:rPr>
        <w:t> </w:t>
      </w:r>
      <w:r>
        <w:rPr>
          <w:sz w:val="18"/>
        </w:rPr>
        <w:t>lack</w:t>
      </w:r>
      <w:r>
        <w:rPr>
          <w:spacing w:val="-2"/>
          <w:sz w:val="18"/>
        </w:rPr>
        <w:t> </w:t>
      </w:r>
      <w:r>
        <w:rPr>
          <w:sz w:val="18"/>
        </w:rPr>
        <w:t>of</w:t>
      </w:r>
      <w:r>
        <w:rPr>
          <w:spacing w:val="-3"/>
          <w:sz w:val="18"/>
        </w:rPr>
        <w:t> </w:t>
      </w:r>
      <w:r>
        <w:rPr>
          <w:sz w:val="18"/>
        </w:rPr>
        <w:t>political</w:t>
      </w:r>
      <w:r>
        <w:rPr>
          <w:spacing w:val="-3"/>
          <w:sz w:val="18"/>
        </w:rPr>
        <w:t> </w:t>
      </w:r>
      <w:r>
        <w:rPr>
          <w:sz w:val="18"/>
        </w:rPr>
        <w:t>consensus.</w:t>
      </w:r>
      <w:r>
        <w:rPr>
          <w:spacing w:val="-3"/>
          <w:sz w:val="18"/>
        </w:rPr>
        <w:t> </w:t>
      </w:r>
      <w:r>
        <w:rPr>
          <w:sz w:val="18"/>
        </w:rPr>
        <w:t>See</w:t>
      </w:r>
      <w:r>
        <w:rPr>
          <w:spacing w:val="-2"/>
          <w:sz w:val="18"/>
        </w:rPr>
        <w:t> </w:t>
      </w:r>
      <w:r>
        <w:rPr>
          <w:sz w:val="18"/>
        </w:rPr>
        <w:t>UK</w:t>
      </w:r>
      <w:r>
        <w:rPr>
          <w:spacing w:val="-2"/>
          <w:sz w:val="18"/>
        </w:rPr>
        <w:t> </w:t>
      </w:r>
      <w:r>
        <w:rPr>
          <w:sz w:val="18"/>
        </w:rPr>
        <w:t>Parliament</w:t>
      </w:r>
      <w:r>
        <w:rPr>
          <w:spacing w:val="-2"/>
          <w:sz w:val="18"/>
        </w:rPr>
        <w:t> </w:t>
      </w:r>
      <w:r>
        <w:rPr>
          <w:sz w:val="18"/>
        </w:rPr>
        <w:t>Hansard,</w:t>
      </w:r>
      <w:r>
        <w:rPr>
          <w:spacing w:val="-2"/>
          <w:sz w:val="18"/>
        </w:rPr>
        <w:t> </w:t>
      </w:r>
      <w:r>
        <w:rPr>
          <w:sz w:val="18"/>
        </w:rPr>
        <w:t>‘Written</w:t>
      </w:r>
      <w:r>
        <w:rPr>
          <w:spacing w:val="-3"/>
          <w:sz w:val="18"/>
        </w:rPr>
        <w:t> </w:t>
      </w:r>
      <w:r>
        <w:rPr>
          <w:sz w:val="18"/>
        </w:rPr>
        <w:t>Ministerial</w:t>
      </w:r>
      <w:r>
        <w:rPr>
          <w:spacing w:val="-3"/>
          <w:sz w:val="18"/>
        </w:rPr>
        <w:t> </w:t>
      </w:r>
      <w:r>
        <w:rPr>
          <w:sz w:val="18"/>
        </w:rPr>
        <w:t>Statement:</w:t>
      </w:r>
      <w:r>
        <w:rPr>
          <w:spacing w:val="-2"/>
          <w:sz w:val="18"/>
        </w:rPr>
        <w:t> </w:t>
      </w:r>
      <w:r>
        <w:rPr>
          <w:sz w:val="18"/>
        </w:rPr>
        <w:t>Minister</w:t>
      </w:r>
      <w:r>
        <w:rPr>
          <w:spacing w:val="-2"/>
          <w:sz w:val="18"/>
        </w:rPr>
        <w:t> </w:t>
      </w:r>
      <w:r>
        <w:rPr>
          <w:sz w:val="18"/>
        </w:rPr>
        <w:t>of</w:t>
      </w:r>
      <w:r>
        <w:rPr>
          <w:spacing w:val="-3"/>
          <w:sz w:val="18"/>
        </w:rPr>
        <w:t> </w:t>
      </w:r>
      <w:r>
        <w:rPr>
          <w:sz w:val="18"/>
        </w:rPr>
        <w:t>State</w:t>
      </w:r>
      <w:r>
        <w:rPr>
          <w:spacing w:val="-2"/>
          <w:sz w:val="18"/>
        </w:rPr>
        <w:t> </w:t>
      </w:r>
      <w:r>
        <w:rPr>
          <w:sz w:val="18"/>
        </w:rPr>
        <w:t>Hugo </w:t>
      </w:r>
      <w:r>
        <w:rPr>
          <w:spacing w:val="-4"/>
          <w:sz w:val="18"/>
        </w:rPr>
        <w:t>Swire</w:t>
      </w:r>
      <w:r>
        <w:rPr>
          <w:spacing w:val="-6"/>
          <w:sz w:val="18"/>
        </w:rPr>
        <w:t> </w:t>
      </w:r>
      <w:r>
        <w:rPr>
          <w:spacing w:val="-4"/>
          <w:sz w:val="18"/>
        </w:rPr>
        <w:t>MP’,</w:t>
      </w:r>
      <w:r>
        <w:rPr>
          <w:spacing w:val="-6"/>
          <w:sz w:val="18"/>
        </w:rPr>
        <w:t> </w:t>
      </w:r>
      <w:r>
        <w:rPr>
          <w:spacing w:val="-4"/>
          <w:sz w:val="18"/>
        </w:rPr>
        <w:t>16</w:t>
      </w:r>
      <w:r>
        <w:rPr>
          <w:spacing w:val="-6"/>
          <w:sz w:val="18"/>
        </w:rPr>
        <w:t> </w:t>
      </w:r>
      <w:r>
        <w:rPr>
          <w:spacing w:val="-4"/>
          <w:sz w:val="18"/>
        </w:rPr>
        <w:t>December</w:t>
      </w:r>
      <w:r>
        <w:rPr>
          <w:spacing w:val="-6"/>
          <w:sz w:val="18"/>
        </w:rPr>
        <w:t> </w:t>
      </w:r>
      <w:r>
        <w:rPr>
          <w:spacing w:val="-4"/>
          <w:sz w:val="18"/>
        </w:rPr>
        <w:t>2010;</w:t>
      </w:r>
      <w:r>
        <w:rPr>
          <w:spacing w:val="-6"/>
          <w:sz w:val="18"/>
        </w:rPr>
        <w:t> </w:t>
      </w:r>
      <w:r>
        <w:rPr>
          <w:spacing w:val="-4"/>
          <w:sz w:val="18"/>
        </w:rPr>
        <w:t>UK</w:t>
      </w:r>
      <w:r>
        <w:rPr>
          <w:spacing w:val="-6"/>
          <w:sz w:val="18"/>
        </w:rPr>
        <w:t> </w:t>
      </w:r>
      <w:r>
        <w:rPr>
          <w:spacing w:val="-4"/>
          <w:sz w:val="18"/>
        </w:rPr>
        <w:t>Parliament</w:t>
      </w:r>
      <w:r>
        <w:rPr>
          <w:spacing w:val="-6"/>
          <w:sz w:val="18"/>
        </w:rPr>
        <w:t> </w:t>
      </w:r>
      <w:r>
        <w:rPr>
          <w:spacing w:val="-4"/>
          <w:sz w:val="18"/>
        </w:rPr>
        <w:t>Hansard,</w:t>
      </w:r>
      <w:r>
        <w:rPr>
          <w:spacing w:val="-6"/>
          <w:sz w:val="18"/>
        </w:rPr>
        <w:t> </w:t>
      </w:r>
      <w:r>
        <w:rPr>
          <w:spacing w:val="-4"/>
          <w:sz w:val="18"/>
        </w:rPr>
        <w:t>‘House</w:t>
      </w:r>
      <w:r>
        <w:rPr>
          <w:spacing w:val="-6"/>
          <w:sz w:val="18"/>
        </w:rPr>
        <w:t> </w:t>
      </w:r>
      <w:r>
        <w:rPr>
          <w:spacing w:val="-4"/>
          <w:sz w:val="18"/>
        </w:rPr>
        <w:t>of</w:t>
      </w:r>
      <w:r>
        <w:rPr>
          <w:spacing w:val="-6"/>
          <w:sz w:val="18"/>
        </w:rPr>
        <w:t> </w:t>
      </w:r>
      <w:r>
        <w:rPr>
          <w:spacing w:val="-4"/>
          <w:sz w:val="18"/>
        </w:rPr>
        <w:t>Commons</w:t>
      </w:r>
      <w:r>
        <w:rPr>
          <w:spacing w:val="-6"/>
          <w:sz w:val="18"/>
        </w:rPr>
        <w:t> </w:t>
      </w:r>
      <w:r>
        <w:rPr>
          <w:spacing w:val="-4"/>
          <w:sz w:val="18"/>
        </w:rPr>
        <w:t>(Westminster</w:t>
      </w:r>
      <w:r>
        <w:rPr>
          <w:spacing w:val="-6"/>
          <w:sz w:val="18"/>
        </w:rPr>
        <w:t> </w:t>
      </w:r>
      <w:r>
        <w:rPr>
          <w:spacing w:val="-4"/>
          <w:sz w:val="18"/>
        </w:rPr>
        <w:t>Hall)</w:t>
      </w:r>
      <w:r>
        <w:rPr>
          <w:spacing w:val="-6"/>
          <w:sz w:val="18"/>
        </w:rPr>
        <w:t> </w:t>
      </w:r>
      <w:r>
        <w:rPr>
          <w:spacing w:val="-4"/>
          <w:sz w:val="18"/>
        </w:rPr>
        <w:t>-</w:t>
      </w:r>
      <w:r>
        <w:rPr>
          <w:spacing w:val="-6"/>
          <w:sz w:val="18"/>
        </w:rPr>
        <w:t> </w:t>
      </w:r>
      <w:r>
        <w:rPr>
          <w:spacing w:val="-4"/>
          <w:sz w:val="18"/>
        </w:rPr>
        <w:t>Bill</w:t>
      </w:r>
      <w:r>
        <w:rPr>
          <w:spacing w:val="-6"/>
          <w:sz w:val="18"/>
        </w:rPr>
        <w:t> </w:t>
      </w:r>
      <w:r>
        <w:rPr>
          <w:spacing w:val="-4"/>
          <w:sz w:val="18"/>
        </w:rPr>
        <w:t>of</w:t>
      </w:r>
      <w:r>
        <w:rPr>
          <w:spacing w:val="-6"/>
          <w:sz w:val="18"/>
        </w:rPr>
        <w:t> </w:t>
      </w:r>
      <w:r>
        <w:rPr>
          <w:spacing w:val="-4"/>
          <w:sz w:val="18"/>
        </w:rPr>
        <w:t>Rights</w:t>
      </w:r>
      <w:r>
        <w:rPr>
          <w:spacing w:val="-6"/>
          <w:sz w:val="18"/>
        </w:rPr>
        <w:t> </w:t>
      </w:r>
      <w:r>
        <w:rPr>
          <w:spacing w:val="-4"/>
          <w:sz w:val="18"/>
        </w:rPr>
        <w:t>(NI)’,</w:t>
      </w:r>
      <w:r>
        <w:rPr>
          <w:spacing w:val="-6"/>
          <w:sz w:val="18"/>
        </w:rPr>
        <w:t> </w:t>
      </w:r>
      <w:r>
        <w:rPr>
          <w:spacing w:val="-4"/>
          <w:sz w:val="18"/>
        </w:rPr>
        <w:t>16</w:t>
      </w:r>
      <w:r>
        <w:rPr>
          <w:spacing w:val="-6"/>
          <w:sz w:val="18"/>
        </w:rPr>
        <w:t> </w:t>
      </w:r>
      <w:r>
        <w:rPr>
          <w:spacing w:val="-4"/>
          <w:sz w:val="18"/>
        </w:rPr>
        <w:t>July</w:t>
      </w:r>
      <w:r>
        <w:rPr>
          <w:spacing w:val="-6"/>
          <w:sz w:val="18"/>
        </w:rPr>
        <w:t> </w:t>
      </w:r>
      <w:r>
        <w:rPr>
          <w:spacing w:val="-4"/>
          <w:sz w:val="18"/>
        </w:rPr>
        <w:t>2003.</w:t>
      </w:r>
    </w:p>
    <w:p>
      <w:pPr>
        <w:pStyle w:val="ListParagraph"/>
        <w:numPr>
          <w:ilvl w:val="0"/>
          <w:numId w:val="3"/>
        </w:numPr>
        <w:tabs>
          <w:tab w:pos="1853" w:val="left" w:leader="none"/>
        </w:tabs>
        <w:spacing w:line="216" w:lineRule="exact" w:before="0" w:after="0"/>
        <w:ind w:left="1853" w:right="0" w:hanging="720"/>
        <w:jc w:val="left"/>
        <w:rPr>
          <w:sz w:val="18"/>
        </w:rPr>
      </w:pPr>
      <w:r>
        <w:rPr>
          <w:sz w:val="18"/>
        </w:rPr>
        <w:t>NI</w:t>
      </w:r>
      <w:r>
        <w:rPr>
          <w:spacing w:val="-4"/>
          <w:sz w:val="18"/>
        </w:rPr>
        <w:t> </w:t>
      </w:r>
      <w:r>
        <w:rPr>
          <w:sz w:val="18"/>
        </w:rPr>
        <w:t>Office,</w:t>
      </w:r>
      <w:r>
        <w:rPr>
          <w:spacing w:val="-4"/>
          <w:sz w:val="18"/>
        </w:rPr>
        <w:t> </w:t>
      </w:r>
      <w:r>
        <w:rPr>
          <w:sz w:val="18"/>
        </w:rPr>
        <w:t>‘New</w:t>
      </w:r>
      <w:r>
        <w:rPr>
          <w:spacing w:val="-4"/>
          <w:sz w:val="18"/>
        </w:rPr>
        <w:t> </w:t>
      </w:r>
      <w:r>
        <w:rPr>
          <w:sz w:val="18"/>
        </w:rPr>
        <w:t>Decade,</w:t>
      </w:r>
      <w:r>
        <w:rPr>
          <w:spacing w:val="-4"/>
          <w:sz w:val="18"/>
        </w:rPr>
        <w:t> </w:t>
      </w:r>
      <w:r>
        <w:rPr>
          <w:sz w:val="18"/>
        </w:rPr>
        <w:t>New</w:t>
      </w:r>
      <w:r>
        <w:rPr>
          <w:spacing w:val="-4"/>
          <w:sz w:val="18"/>
        </w:rPr>
        <w:t> </w:t>
      </w:r>
      <w:r>
        <w:rPr>
          <w:sz w:val="18"/>
        </w:rPr>
        <w:t>Approach’</w:t>
      </w:r>
      <w:r>
        <w:rPr>
          <w:spacing w:val="-3"/>
          <w:sz w:val="18"/>
        </w:rPr>
        <w:t> </w:t>
      </w:r>
      <w:r>
        <w:rPr>
          <w:sz w:val="18"/>
        </w:rPr>
        <w:t>(NIO,</w:t>
      </w:r>
      <w:r>
        <w:rPr>
          <w:spacing w:val="-4"/>
          <w:sz w:val="18"/>
        </w:rPr>
        <w:t> </w:t>
      </w:r>
      <w:r>
        <w:rPr>
          <w:spacing w:val="-2"/>
          <w:sz w:val="18"/>
        </w:rPr>
        <w:t>2020).</w:t>
      </w:r>
    </w:p>
    <w:p>
      <w:pPr>
        <w:pStyle w:val="ListParagraph"/>
        <w:numPr>
          <w:ilvl w:val="0"/>
          <w:numId w:val="3"/>
        </w:numPr>
        <w:tabs>
          <w:tab w:pos="1853" w:val="left" w:leader="none"/>
        </w:tabs>
        <w:spacing w:line="235" w:lineRule="auto" w:before="2" w:after="0"/>
        <w:ind w:left="1853" w:right="1176" w:hanging="720"/>
        <w:jc w:val="left"/>
        <w:rPr>
          <w:sz w:val="18"/>
        </w:rPr>
      </w:pPr>
      <w:r>
        <w:rPr>
          <w:sz w:val="18"/>
        </w:rPr>
        <w:t>NI Human Rights Commission, ‘Briefing Note to the Ad Hoc Committee on a Bill of Rights EU Withdrawal and a Bill of Rights’ (NIHRC, 2021); Equality Commission for NI, ‘Submission to the Ad Hoc Committee on a Bill of Rights for NI’ (ECNI 2021);</w:t>
      </w:r>
      <w:r>
        <w:rPr>
          <w:spacing w:val="31"/>
          <w:sz w:val="18"/>
        </w:rPr>
        <w:t> </w:t>
      </w:r>
      <w:r>
        <w:rPr>
          <w:sz w:val="18"/>
        </w:rPr>
        <w:t>NI</w:t>
      </w:r>
      <w:r>
        <w:rPr>
          <w:spacing w:val="-5"/>
          <w:sz w:val="18"/>
        </w:rPr>
        <w:t> </w:t>
      </w:r>
      <w:r>
        <w:rPr>
          <w:sz w:val="18"/>
        </w:rPr>
        <w:t>Human</w:t>
      </w:r>
      <w:r>
        <w:rPr>
          <w:spacing w:val="-5"/>
          <w:sz w:val="18"/>
        </w:rPr>
        <w:t> </w:t>
      </w:r>
      <w:r>
        <w:rPr>
          <w:sz w:val="18"/>
        </w:rPr>
        <w:t>Rights</w:t>
      </w:r>
      <w:r>
        <w:rPr>
          <w:spacing w:val="-5"/>
          <w:sz w:val="18"/>
        </w:rPr>
        <w:t> </w:t>
      </w:r>
      <w:r>
        <w:rPr>
          <w:sz w:val="18"/>
        </w:rPr>
        <w:t>Commission,</w:t>
      </w:r>
      <w:r>
        <w:rPr>
          <w:spacing w:val="-5"/>
          <w:sz w:val="18"/>
        </w:rPr>
        <w:t> </w:t>
      </w:r>
      <w:r>
        <w:rPr>
          <w:sz w:val="18"/>
        </w:rPr>
        <w:t>‘Response</w:t>
      </w:r>
      <w:r>
        <w:rPr>
          <w:spacing w:val="-5"/>
          <w:sz w:val="18"/>
        </w:rPr>
        <w:t> </w:t>
      </w:r>
      <w:r>
        <w:rPr>
          <w:sz w:val="18"/>
        </w:rPr>
        <w:t>to</w:t>
      </w:r>
      <w:r>
        <w:rPr>
          <w:spacing w:val="-5"/>
          <w:sz w:val="18"/>
        </w:rPr>
        <w:t> </w:t>
      </w:r>
      <w:r>
        <w:rPr>
          <w:sz w:val="18"/>
        </w:rPr>
        <w:t>the</w:t>
      </w:r>
      <w:r>
        <w:rPr>
          <w:spacing w:val="-5"/>
          <w:sz w:val="18"/>
        </w:rPr>
        <w:t> </w:t>
      </w:r>
      <w:r>
        <w:rPr>
          <w:sz w:val="18"/>
        </w:rPr>
        <w:t>Ad</w:t>
      </w:r>
      <w:r>
        <w:rPr>
          <w:spacing w:val="-5"/>
          <w:sz w:val="18"/>
        </w:rPr>
        <w:t> </w:t>
      </w:r>
      <w:r>
        <w:rPr>
          <w:sz w:val="18"/>
        </w:rPr>
        <w:t>Hoc</w:t>
      </w:r>
      <w:r>
        <w:rPr>
          <w:spacing w:val="-5"/>
          <w:sz w:val="18"/>
        </w:rPr>
        <w:t> </w:t>
      </w:r>
      <w:r>
        <w:rPr>
          <w:sz w:val="18"/>
        </w:rPr>
        <w:t>Committee’s</w:t>
      </w:r>
      <w:r>
        <w:rPr>
          <w:spacing w:val="-5"/>
          <w:sz w:val="18"/>
        </w:rPr>
        <w:t> </w:t>
      </w:r>
      <w:r>
        <w:rPr>
          <w:sz w:val="18"/>
        </w:rPr>
        <w:t>Consultation</w:t>
      </w:r>
      <w:r>
        <w:rPr>
          <w:spacing w:val="-5"/>
          <w:sz w:val="18"/>
        </w:rPr>
        <w:t> </w:t>
      </w:r>
      <w:r>
        <w:rPr>
          <w:sz w:val="18"/>
        </w:rPr>
        <w:t>on</w:t>
      </w:r>
      <w:r>
        <w:rPr>
          <w:spacing w:val="-5"/>
          <w:sz w:val="18"/>
        </w:rPr>
        <w:t> </w:t>
      </w:r>
      <w:r>
        <w:rPr>
          <w:sz w:val="18"/>
        </w:rPr>
        <w:t>a</w:t>
      </w:r>
      <w:r>
        <w:rPr>
          <w:spacing w:val="-5"/>
          <w:sz w:val="18"/>
        </w:rPr>
        <w:t> </w:t>
      </w:r>
      <w:r>
        <w:rPr>
          <w:sz w:val="18"/>
        </w:rPr>
        <w:t>Bill</w:t>
      </w:r>
      <w:r>
        <w:rPr>
          <w:spacing w:val="-5"/>
          <w:sz w:val="18"/>
        </w:rPr>
        <w:t> </w:t>
      </w:r>
      <w:r>
        <w:rPr>
          <w:sz w:val="18"/>
        </w:rPr>
        <w:t>of</w:t>
      </w:r>
      <w:r>
        <w:rPr>
          <w:spacing w:val="-5"/>
          <w:sz w:val="18"/>
        </w:rPr>
        <w:t> </w:t>
      </w:r>
      <w:r>
        <w:rPr>
          <w:sz w:val="18"/>
        </w:rPr>
        <w:t>Rights</w:t>
      </w:r>
      <w:r>
        <w:rPr>
          <w:spacing w:val="-5"/>
          <w:sz w:val="18"/>
        </w:rPr>
        <w:t> </w:t>
      </w:r>
      <w:r>
        <w:rPr>
          <w:sz w:val="18"/>
        </w:rPr>
        <w:t>for</w:t>
      </w:r>
      <w:r>
        <w:rPr>
          <w:spacing w:val="-5"/>
          <w:sz w:val="18"/>
        </w:rPr>
        <w:t> </w:t>
      </w:r>
      <w:r>
        <w:rPr>
          <w:sz w:val="18"/>
        </w:rPr>
        <w:t>NI’</w:t>
      </w:r>
      <w:r>
        <w:rPr>
          <w:spacing w:val="-5"/>
          <w:sz w:val="18"/>
        </w:rPr>
        <w:t> </w:t>
      </w:r>
      <w:r>
        <w:rPr>
          <w:sz w:val="18"/>
        </w:rPr>
        <w:t>(NIHRC, 2021); NI Assembly Hansard, ‘Ad Hoc Committee on a Bill of Rights: Implications of Brexit for Human</w:t>
      </w:r>
    </w:p>
    <w:p>
      <w:pPr>
        <w:spacing w:line="217" w:lineRule="exact" w:before="0"/>
        <w:ind w:left="1853" w:right="0" w:firstLine="0"/>
        <w:jc w:val="left"/>
        <w:rPr>
          <w:sz w:val="18"/>
        </w:rPr>
      </w:pPr>
      <w:r>
        <w:rPr>
          <w:sz w:val="18"/>
        </w:rPr>
        <w:t>Rights:</w:t>
      </w:r>
      <w:r>
        <w:rPr>
          <w:spacing w:val="-5"/>
          <w:sz w:val="18"/>
        </w:rPr>
        <w:t> </w:t>
      </w:r>
      <w:r>
        <w:rPr>
          <w:sz w:val="18"/>
        </w:rPr>
        <w:t>Equality</w:t>
      </w:r>
      <w:r>
        <w:rPr>
          <w:spacing w:val="-5"/>
          <w:sz w:val="18"/>
        </w:rPr>
        <w:t> </w:t>
      </w:r>
      <w:r>
        <w:rPr>
          <w:sz w:val="18"/>
        </w:rPr>
        <w:t>Commission</w:t>
      </w:r>
      <w:r>
        <w:rPr>
          <w:spacing w:val="-6"/>
          <w:sz w:val="18"/>
        </w:rPr>
        <w:t> </w:t>
      </w:r>
      <w:r>
        <w:rPr>
          <w:sz w:val="18"/>
        </w:rPr>
        <w:t>for</w:t>
      </w:r>
      <w:r>
        <w:rPr>
          <w:spacing w:val="-4"/>
          <w:sz w:val="18"/>
        </w:rPr>
        <w:t> </w:t>
      </w:r>
      <w:r>
        <w:rPr>
          <w:sz w:val="18"/>
        </w:rPr>
        <w:t>NI;</w:t>
      </w:r>
      <w:r>
        <w:rPr>
          <w:spacing w:val="-5"/>
          <w:sz w:val="18"/>
        </w:rPr>
        <w:t> </w:t>
      </w:r>
      <w:r>
        <w:rPr>
          <w:sz w:val="18"/>
        </w:rPr>
        <w:t>NI</w:t>
      </w:r>
      <w:r>
        <w:rPr>
          <w:spacing w:val="-5"/>
          <w:sz w:val="18"/>
        </w:rPr>
        <w:t> </w:t>
      </w:r>
      <w:r>
        <w:rPr>
          <w:sz w:val="18"/>
        </w:rPr>
        <w:t>Human</w:t>
      </w:r>
      <w:r>
        <w:rPr>
          <w:spacing w:val="-6"/>
          <w:sz w:val="18"/>
        </w:rPr>
        <w:t> </w:t>
      </w:r>
      <w:r>
        <w:rPr>
          <w:sz w:val="18"/>
        </w:rPr>
        <w:t>Rights</w:t>
      </w:r>
      <w:r>
        <w:rPr>
          <w:spacing w:val="-5"/>
          <w:sz w:val="18"/>
        </w:rPr>
        <w:t> </w:t>
      </w:r>
      <w:r>
        <w:rPr>
          <w:sz w:val="18"/>
        </w:rPr>
        <w:t>Commission’,</w:t>
      </w:r>
      <w:r>
        <w:rPr>
          <w:spacing w:val="-5"/>
          <w:sz w:val="18"/>
        </w:rPr>
        <w:t> </w:t>
      </w:r>
      <w:r>
        <w:rPr>
          <w:sz w:val="18"/>
        </w:rPr>
        <w:t>29</w:t>
      </w:r>
      <w:r>
        <w:rPr>
          <w:spacing w:val="-5"/>
          <w:sz w:val="18"/>
        </w:rPr>
        <w:t> </w:t>
      </w:r>
      <w:r>
        <w:rPr>
          <w:sz w:val="18"/>
        </w:rPr>
        <w:t>April</w:t>
      </w:r>
      <w:r>
        <w:rPr>
          <w:spacing w:val="-5"/>
          <w:sz w:val="18"/>
        </w:rPr>
        <w:t> </w:t>
      </w:r>
      <w:r>
        <w:rPr>
          <w:spacing w:val="-2"/>
          <w:sz w:val="18"/>
        </w:rPr>
        <w:t>2021.</w:t>
      </w:r>
    </w:p>
    <w:p>
      <w:pPr>
        <w:pStyle w:val="ListParagraph"/>
        <w:numPr>
          <w:ilvl w:val="0"/>
          <w:numId w:val="3"/>
        </w:numPr>
        <w:tabs>
          <w:tab w:pos="1853" w:val="left" w:leader="none"/>
        </w:tabs>
        <w:spacing w:line="216" w:lineRule="exact" w:before="0" w:after="0"/>
        <w:ind w:left="1853" w:right="0" w:hanging="720"/>
        <w:jc w:val="left"/>
        <w:rPr>
          <w:sz w:val="18"/>
        </w:rPr>
      </w:pPr>
      <w:r>
        <w:rPr>
          <w:sz w:val="18"/>
        </w:rPr>
        <w:t>Ad</w:t>
      </w:r>
      <w:r>
        <w:rPr>
          <w:spacing w:val="-5"/>
          <w:sz w:val="18"/>
        </w:rPr>
        <w:t> </w:t>
      </w:r>
      <w:r>
        <w:rPr>
          <w:sz w:val="18"/>
        </w:rPr>
        <w:t>Hoc</w:t>
      </w:r>
      <w:r>
        <w:rPr>
          <w:spacing w:val="-3"/>
          <w:sz w:val="18"/>
        </w:rPr>
        <w:t> </w:t>
      </w:r>
      <w:r>
        <w:rPr>
          <w:sz w:val="18"/>
        </w:rPr>
        <w:t>Committee</w:t>
      </w:r>
      <w:r>
        <w:rPr>
          <w:spacing w:val="-3"/>
          <w:sz w:val="18"/>
        </w:rPr>
        <w:t> </w:t>
      </w:r>
      <w:r>
        <w:rPr>
          <w:sz w:val="18"/>
        </w:rPr>
        <w:t>on</w:t>
      </w:r>
      <w:r>
        <w:rPr>
          <w:spacing w:val="-4"/>
          <w:sz w:val="18"/>
        </w:rPr>
        <w:t> </w:t>
      </w:r>
      <w:r>
        <w:rPr>
          <w:sz w:val="18"/>
        </w:rPr>
        <w:t>a</w:t>
      </w:r>
      <w:r>
        <w:rPr>
          <w:spacing w:val="-5"/>
          <w:sz w:val="18"/>
        </w:rPr>
        <w:t> </w:t>
      </w:r>
      <w:r>
        <w:rPr>
          <w:sz w:val="18"/>
        </w:rPr>
        <w:t>Bill</w:t>
      </w:r>
      <w:r>
        <w:rPr>
          <w:spacing w:val="-4"/>
          <w:sz w:val="18"/>
        </w:rPr>
        <w:t> </w:t>
      </w:r>
      <w:r>
        <w:rPr>
          <w:sz w:val="18"/>
        </w:rPr>
        <w:t>of</w:t>
      </w:r>
      <w:r>
        <w:rPr>
          <w:spacing w:val="-4"/>
          <w:sz w:val="18"/>
        </w:rPr>
        <w:t> </w:t>
      </w:r>
      <w:r>
        <w:rPr>
          <w:sz w:val="18"/>
        </w:rPr>
        <w:t>Rights,</w:t>
      </w:r>
      <w:r>
        <w:rPr>
          <w:spacing w:val="-3"/>
          <w:sz w:val="18"/>
        </w:rPr>
        <w:t> </w:t>
      </w:r>
      <w:r>
        <w:rPr>
          <w:sz w:val="18"/>
        </w:rPr>
        <w:t>‘156/17-22</w:t>
      </w:r>
      <w:r>
        <w:rPr>
          <w:spacing w:val="-3"/>
          <w:sz w:val="18"/>
        </w:rPr>
        <w:t> </w:t>
      </w:r>
      <w:r>
        <w:rPr>
          <w:sz w:val="18"/>
        </w:rPr>
        <w:t>Report</w:t>
      </w:r>
      <w:r>
        <w:rPr>
          <w:spacing w:val="-4"/>
          <w:sz w:val="18"/>
        </w:rPr>
        <w:t> </w:t>
      </w:r>
      <w:r>
        <w:rPr>
          <w:sz w:val="18"/>
        </w:rPr>
        <w:t>of</w:t>
      </w:r>
      <w:r>
        <w:rPr>
          <w:spacing w:val="-4"/>
          <w:sz w:val="18"/>
        </w:rPr>
        <w:t> </w:t>
      </w:r>
      <w:r>
        <w:rPr>
          <w:sz w:val="18"/>
        </w:rPr>
        <w:t>the</w:t>
      </w:r>
      <w:r>
        <w:rPr>
          <w:spacing w:val="-3"/>
          <w:sz w:val="18"/>
        </w:rPr>
        <w:t> </w:t>
      </w:r>
      <w:r>
        <w:rPr>
          <w:sz w:val="18"/>
        </w:rPr>
        <w:t>Ad</w:t>
      </w:r>
      <w:r>
        <w:rPr>
          <w:spacing w:val="-4"/>
          <w:sz w:val="18"/>
        </w:rPr>
        <w:t> </w:t>
      </w:r>
      <w:r>
        <w:rPr>
          <w:sz w:val="18"/>
        </w:rPr>
        <w:t>Hoc</w:t>
      </w:r>
      <w:r>
        <w:rPr>
          <w:spacing w:val="-4"/>
          <w:sz w:val="18"/>
        </w:rPr>
        <w:t> </w:t>
      </w:r>
      <w:r>
        <w:rPr>
          <w:sz w:val="18"/>
        </w:rPr>
        <w:t>Committee</w:t>
      </w:r>
      <w:r>
        <w:rPr>
          <w:spacing w:val="-3"/>
          <w:sz w:val="18"/>
        </w:rPr>
        <w:t> </w:t>
      </w:r>
      <w:r>
        <w:rPr>
          <w:sz w:val="18"/>
        </w:rPr>
        <w:t>on</w:t>
      </w:r>
      <w:r>
        <w:rPr>
          <w:spacing w:val="-4"/>
          <w:sz w:val="18"/>
        </w:rPr>
        <w:t> </w:t>
      </w:r>
      <w:r>
        <w:rPr>
          <w:sz w:val="18"/>
        </w:rPr>
        <w:t>a</w:t>
      </w:r>
      <w:r>
        <w:rPr>
          <w:spacing w:val="-4"/>
          <w:sz w:val="18"/>
        </w:rPr>
        <w:t> </w:t>
      </w:r>
      <w:r>
        <w:rPr>
          <w:sz w:val="18"/>
        </w:rPr>
        <w:t>Bill</w:t>
      </w:r>
      <w:r>
        <w:rPr>
          <w:spacing w:val="-4"/>
          <w:sz w:val="18"/>
        </w:rPr>
        <w:t> </w:t>
      </w:r>
      <w:r>
        <w:rPr>
          <w:sz w:val="18"/>
        </w:rPr>
        <w:t>of</w:t>
      </w:r>
      <w:r>
        <w:rPr>
          <w:spacing w:val="-5"/>
          <w:sz w:val="18"/>
        </w:rPr>
        <w:t> </w:t>
      </w:r>
      <w:r>
        <w:rPr>
          <w:sz w:val="18"/>
        </w:rPr>
        <w:t>Rights’</w:t>
      </w:r>
      <w:r>
        <w:rPr>
          <w:spacing w:val="-3"/>
          <w:sz w:val="18"/>
        </w:rPr>
        <w:t> </w:t>
      </w:r>
      <w:r>
        <w:rPr>
          <w:sz w:val="18"/>
        </w:rPr>
        <w:t>(NIA,</w:t>
      </w:r>
      <w:r>
        <w:rPr>
          <w:spacing w:val="-3"/>
          <w:sz w:val="18"/>
        </w:rPr>
        <w:t> </w:t>
      </w:r>
      <w:r>
        <w:rPr>
          <w:spacing w:val="-2"/>
          <w:sz w:val="18"/>
        </w:rPr>
        <w:t>2022).</w:t>
      </w:r>
    </w:p>
    <w:p>
      <w:pPr>
        <w:pStyle w:val="ListParagraph"/>
        <w:numPr>
          <w:ilvl w:val="0"/>
          <w:numId w:val="3"/>
        </w:numPr>
        <w:tabs>
          <w:tab w:pos="1853" w:val="left" w:leader="none"/>
        </w:tabs>
        <w:spacing w:line="218" w:lineRule="exact" w:before="0" w:after="0"/>
        <w:ind w:left="1853" w:right="0" w:hanging="720"/>
        <w:jc w:val="left"/>
        <w:rPr>
          <w:sz w:val="18"/>
        </w:rPr>
      </w:pPr>
      <w:r>
        <w:rPr>
          <w:spacing w:val="-6"/>
          <w:sz w:val="18"/>
        </w:rPr>
        <w:t>Ad Hoc Committee on a</w:t>
      </w:r>
      <w:r>
        <w:rPr>
          <w:spacing w:val="-5"/>
          <w:sz w:val="18"/>
        </w:rPr>
        <w:t> </w:t>
      </w:r>
      <w:r>
        <w:rPr>
          <w:spacing w:val="-6"/>
          <w:sz w:val="18"/>
        </w:rPr>
        <w:t>Bill of Rights, ‘156/17-22</w:t>
      </w:r>
      <w:r>
        <w:rPr>
          <w:spacing w:val="-5"/>
          <w:sz w:val="18"/>
        </w:rPr>
        <w:t> </w:t>
      </w:r>
      <w:r>
        <w:rPr>
          <w:spacing w:val="-6"/>
          <w:sz w:val="18"/>
        </w:rPr>
        <w:t>Report of the Ad</w:t>
      </w:r>
      <w:r>
        <w:rPr>
          <w:spacing w:val="-5"/>
          <w:sz w:val="18"/>
        </w:rPr>
        <w:t> </w:t>
      </w:r>
      <w:r>
        <w:rPr>
          <w:spacing w:val="-6"/>
          <w:sz w:val="18"/>
        </w:rPr>
        <w:t>Hoc Committee on a Bill</w:t>
      </w:r>
      <w:r>
        <w:rPr>
          <w:spacing w:val="-5"/>
          <w:sz w:val="18"/>
        </w:rPr>
        <w:t> </w:t>
      </w:r>
      <w:r>
        <w:rPr>
          <w:spacing w:val="-6"/>
          <w:sz w:val="18"/>
        </w:rPr>
        <w:t>of Rights’ (NIA, 2022),</w:t>
      </w:r>
      <w:r>
        <w:rPr>
          <w:spacing w:val="-5"/>
          <w:sz w:val="18"/>
        </w:rPr>
        <w:t> </w:t>
      </w:r>
      <w:r>
        <w:rPr>
          <w:spacing w:val="-6"/>
          <w:sz w:val="18"/>
        </w:rPr>
        <w:t>at para 13.</w:t>
      </w:r>
    </w:p>
    <w:p>
      <w:pPr>
        <w:spacing w:after="0" w:line="218" w:lineRule="exact"/>
        <w:jc w:val="left"/>
        <w:rPr>
          <w:sz w:val="18"/>
        </w:rPr>
        <w:sectPr>
          <w:headerReference w:type="even" r:id="rId77"/>
          <w:headerReference w:type="default" r:id="rId78"/>
          <w:footerReference w:type="even" r:id="rId79"/>
          <w:footerReference w:type="default" r:id="rId80"/>
          <w:pgSz w:w="11910" w:h="16840"/>
          <w:pgMar w:header="496" w:footer="367" w:top="1220" w:bottom="560" w:left="0" w:right="0"/>
          <w:pgNumType w:start="32"/>
        </w:sectPr>
      </w:pPr>
    </w:p>
    <w:p>
      <w:pPr>
        <w:pStyle w:val="BodyText"/>
        <w:spacing w:before="198"/>
      </w:pPr>
    </w:p>
    <w:p>
      <w:pPr>
        <w:pStyle w:val="BodyText"/>
        <w:spacing w:line="225" w:lineRule="auto"/>
        <w:ind w:left="1853" w:right="1171"/>
      </w:pPr>
      <w:bookmarkStart w:name="_bookmark14" w:id="32"/>
      <w:bookmarkEnd w:id="32"/>
      <w:r>
        <w:rPr/>
      </w:r>
      <w:r>
        <w:rPr/>
        <w:t>and</w:t>
      </w:r>
      <w:r>
        <w:rPr>
          <w:spacing w:val="-5"/>
        </w:rPr>
        <w:t> </w:t>
      </w:r>
      <w:r>
        <w:rPr/>
        <w:t>a</w:t>
      </w:r>
      <w:r>
        <w:rPr>
          <w:spacing w:val="-5"/>
        </w:rPr>
        <w:t> </w:t>
      </w:r>
      <w:r>
        <w:rPr/>
        <w:t>lack</w:t>
      </w:r>
      <w:r>
        <w:rPr>
          <w:spacing w:val="-4"/>
        </w:rPr>
        <w:t> </w:t>
      </w:r>
      <w:r>
        <w:rPr/>
        <w:t>of</w:t>
      </w:r>
      <w:r>
        <w:rPr>
          <w:spacing w:val="-5"/>
        </w:rPr>
        <w:t> </w:t>
      </w:r>
      <w:r>
        <w:rPr/>
        <w:t>political</w:t>
      </w:r>
      <w:r>
        <w:rPr>
          <w:spacing w:val="-5"/>
        </w:rPr>
        <w:t> </w:t>
      </w:r>
      <w:r>
        <w:rPr/>
        <w:t>consensus</w:t>
      </w:r>
      <w:r>
        <w:rPr>
          <w:spacing w:val="-5"/>
        </w:rPr>
        <w:t> </w:t>
      </w:r>
      <w:r>
        <w:rPr/>
        <w:t>in</w:t>
      </w:r>
      <w:r>
        <w:rPr>
          <w:spacing w:val="-5"/>
        </w:rPr>
        <w:t> </w:t>
      </w:r>
      <w:r>
        <w:rPr/>
        <w:t>the</w:t>
      </w:r>
      <w:r>
        <w:rPr>
          <w:spacing w:val="-4"/>
        </w:rPr>
        <w:t> </w:t>
      </w:r>
      <w:r>
        <w:rPr/>
        <w:t>final</w:t>
      </w:r>
      <w:r>
        <w:rPr>
          <w:spacing w:val="-5"/>
        </w:rPr>
        <w:t> </w:t>
      </w:r>
      <w:r>
        <w:rPr/>
        <w:t>report,</w:t>
      </w:r>
      <w:r>
        <w:rPr>
          <w:spacing w:val="-4"/>
        </w:rPr>
        <w:t> </w:t>
      </w:r>
      <w:r>
        <w:rPr/>
        <w:t>the</w:t>
      </w:r>
      <w:r>
        <w:rPr>
          <w:spacing w:val="-4"/>
        </w:rPr>
        <w:t> </w:t>
      </w:r>
      <w:r>
        <w:rPr/>
        <w:t>Committee</w:t>
      </w:r>
      <w:r>
        <w:rPr>
          <w:spacing w:val="-4"/>
        </w:rPr>
        <w:t> </w:t>
      </w:r>
      <w:r>
        <w:rPr/>
        <w:t>was</w:t>
      </w:r>
      <w:r>
        <w:rPr>
          <w:spacing w:val="-5"/>
        </w:rPr>
        <w:t> </w:t>
      </w:r>
      <w:r>
        <w:rPr/>
        <w:t>unable to make key decisions about the content of a Bill of Rights.</w:t>
      </w:r>
      <w:r>
        <w:rPr>
          <w:vertAlign w:val="superscript"/>
        </w:rPr>
        <w:t>110</w:t>
      </w:r>
    </w:p>
    <w:p>
      <w:pPr>
        <w:pStyle w:val="ListParagraph"/>
        <w:numPr>
          <w:ilvl w:val="1"/>
          <w:numId w:val="7"/>
        </w:numPr>
        <w:tabs>
          <w:tab w:pos="1853" w:val="left" w:leader="none"/>
        </w:tabs>
        <w:spacing w:line="225" w:lineRule="auto" w:before="318" w:after="0"/>
        <w:ind w:left="1853" w:right="1655" w:hanging="720"/>
        <w:jc w:val="left"/>
        <w:rPr>
          <w:sz w:val="28"/>
        </w:rPr>
      </w:pPr>
      <w:r>
        <w:rPr>
          <w:sz w:val="28"/>
        </w:rPr>
        <w:t>In June 2023, the UN Convention on the Rights of the Child (UN CRC) Committee recommended that the UK Government “enact a Bill of Rights for</w:t>
      </w:r>
      <w:r>
        <w:rPr>
          <w:spacing w:val="-12"/>
          <w:sz w:val="28"/>
        </w:rPr>
        <w:t> </w:t>
      </w:r>
      <w:r>
        <w:rPr>
          <w:sz w:val="28"/>
        </w:rPr>
        <w:t>NI”.</w:t>
      </w:r>
      <w:r>
        <w:rPr>
          <w:sz w:val="28"/>
          <w:vertAlign w:val="superscript"/>
        </w:rPr>
        <w:t>111</w:t>
      </w:r>
      <w:r>
        <w:rPr>
          <w:spacing w:val="-13"/>
          <w:sz w:val="28"/>
          <w:vertAlign w:val="baseline"/>
        </w:rPr>
        <w:t> </w:t>
      </w:r>
      <w:r>
        <w:rPr>
          <w:sz w:val="28"/>
          <w:vertAlign w:val="baseline"/>
        </w:rPr>
        <w:t>In</w:t>
      </w:r>
      <w:r>
        <w:rPr>
          <w:spacing w:val="-13"/>
          <w:sz w:val="28"/>
          <w:vertAlign w:val="baseline"/>
        </w:rPr>
        <w:t> </w:t>
      </w:r>
      <w:r>
        <w:rPr>
          <w:sz w:val="28"/>
          <w:vertAlign w:val="baseline"/>
        </w:rPr>
        <w:t>March</w:t>
      </w:r>
      <w:r>
        <w:rPr>
          <w:spacing w:val="-13"/>
          <w:sz w:val="28"/>
          <w:vertAlign w:val="baseline"/>
        </w:rPr>
        <w:t> </w:t>
      </w:r>
      <w:r>
        <w:rPr>
          <w:sz w:val="28"/>
          <w:vertAlign w:val="baseline"/>
        </w:rPr>
        <w:t>2024,</w:t>
      </w:r>
      <w:r>
        <w:rPr>
          <w:spacing w:val="-12"/>
          <w:sz w:val="28"/>
          <w:vertAlign w:val="baseline"/>
        </w:rPr>
        <w:t> </w:t>
      </w:r>
      <w:r>
        <w:rPr>
          <w:sz w:val="28"/>
          <w:vertAlign w:val="baseline"/>
        </w:rPr>
        <w:t>the</w:t>
      </w:r>
      <w:r>
        <w:rPr>
          <w:spacing w:val="-12"/>
          <w:sz w:val="28"/>
          <w:vertAlign w:val="baseline"/>
        </w:rPr>
        <w:t> </w:t>
      </w:r>
      <w:r>
        <w:rPr>
          <w:sz w:val="28"/>
          <w:vertAlign w:val="baseline"/>
        </w:rPr>
        <w:t>UN</w:t>
      </w:r>
      <w:r>
        <w:rPr>
          <w:spacing w:val="-12"/>
          <w:sz w:val="28"/>
          <w:vertAlign w:val="baseline"/>
        </w:rPr>
        <w:t> </w:t>
      </w:r>
      <w:r>
        <w:rPr>
          <w:sz w:val="28"/>
          <w:vertAlign w:val="baseline"/>
        </w:rPr>
        <w:t>Human</w:t>
      </w:r>
      <w:r>
        <w:rPr>
          <w:spacing w:val="-13"/>
          <w:sz w:val="28"/>
          <w:vertAlign w:val="baseline"/>
        </w:rPr>
        <w:t> </w:t>
      </w:r>
      <w:r>
        <w:rPr>
          <w:sz w:val="28"/>
          <w:vertAlign w:val="baseline"/>
        </w:rPr>
        <w:t>Rights</w:t>
      </w:r>
      <w:r>
        <w:rPr>
          <w:spacing w:val="-13"/>
          <w:sz w:val="28"/>
          <w:vertAlign w:val="baseline"/>
        </w:rPr>
        <w:t> </w:t>
      </w:r>
      <w:r>
        <w:rPr>
          <w:sz w:val="28"/>
          <w:vertAlign w:val="baseline"/>
        </w:rPr>
        <w:t>Committee</w:t>
      </w:r>
      <w:r>
        <w:rPr>
          <w:spacing w:val="-12"/>
          <w:sz w:val="28"/>
          <w:vertAlign w:val="baseline"/>
        </w:rPr>
        <w:t> </w:t>
      </w:r>
      <w:r>
        <w:rPr>
          <w:sz w:val="28"/>
          <w:vertAlign w:val="baseline"/>
        </w:rPr>
        <w:t>recommended that the UK Government “Increase its efforts to expedite the process of the adoption of the Bill of Rights for Northern Ireland and ensure that it incorporates all of the rights enshrined in the Covenant.”</w:t>
      </w:r>
      <w:r>
        <w:rPr>
          <w:sz w:val="28"/>
          <w:vertAlign w:val="superscript"/>
        </w:rPr>
        <w:t>112</w:t>
      </w:r>
    </w:p>
    <w:p>
      <w:pPr>
        <w:pStyle w:val="ListParagraph"/>
        <w:numPr>
          <w:ilvl w:val="1"/>
          <w:numId w:val="7"/>
        </w:numPr>
        <w:tabs>
          <w:tab w:pos="1853" w:val="left" w:leader="none"/>
        </w:tabs>
        <w:spacing w:line="225" w:lineRule="auto" w:before="312" w:after="0"/>
        <w:ind w:left="1853" w:right="1395" w:hanging="720"/>
        <w:jc w:val="left"/>
        <w:rPr>
          <w:sz w:val="28"/>
        </w:rPr>
      </w:pPr>
      <w:r>
        <w:rPr>
          <w:sz w:val="28"/>
        </w:rPr>
        <w:t>In</w:t>
      </w:r>
      <w:r>
        <w:rPr>
          <w:spacing w:val="-5"/>
          <w:sz w:val="28"/>
        </w:rPr>
        <w:t> </w:t>
      </w:r>
      <w:r>
        <w:rPr>
          <w:sz w:val="28"/>
        </w:rPr>
        <w:t>2024,</w:t>
      </w:r>
      <w:r>
        <w:rPr>
          <w:spacing w:val="-4"/>
          <w:sz w:val="28"/>
        </w:rPr>
        <w:t> </w:t>
      </w:r>
      <w:r>
        <w:rPr>
          <w:sz w:val="28"/>
        </w:rPr>
        <w:t>there</w:t>
      </w:r>
      <w:r>
        <w:rPr>
          <w:spacing w:val="-4"/>
          <w:sz w:val="28"/>
        </w:rPr>
        <w:t> </w:t>
      </w:r>
      <w:r>
        <w:rPr>
          <w:sz w:val="28"/>
        </w:rPr>
        <w:t>has</w:t>
      </w:r>
      <w:r>
        <w:rPr>
          <w:spacing w:val="-5"/>
          <w:sz w:val="28"/>
        </w:rPr>
        <w:t> </w:t>
      </w:r>
      <w:r>
        <w:rPr>
          <w:sz w:val="28"/>
        </w:rPr>
        <w:t>been</w:t>
      </w:r>
      <w:r>
        <w:rPr>
          <w:spacing w:val="-5"/>
          <w:sz w:val="28"/>
        </w:rPr>
        <w:t> </w:t>
      </w:r>
      <w:r>
        <w:rPr>
          <w:sz w:val="28"/>
        </w:rPr>
        <w:t>no</w:t>
      </w:r>
      <w:r>
        <w:rPr>
          <w:spacing w:val="-5"/>
          <w:sz w:val="28"/>
        </w:rPr>
        <w:t> </w:t>
      </w:r>
      <w:r>
        <w:rPr>
          <w:sz w:val="28"/>
        </w:rPr>
        <w:t>further</w:t>
      </w:r>
      <w:r>
        <w:rPr>
          <w:spacing w:val="-4"/>
          <w:sz w:val="28"/>
        </w:rPr>
        <w:t> </w:t>
      </w:r>
      <w:r>
        <w:rPr>
          <w:sz w:val="28"/>
        </w:rPr>
        <w:t>progress</w:t>
      </w:r>
      <w:r>
        <w:rPr>
          <w:spacing w:val="-5"/>
          <w:sz w:val="28"/>
        </w:rPr>
        <w:t> </w:t>
      </w:r>
      <w:r>
        <w:rPr>
          <w:sz w:val="28"/>
        </w:rPr>
        <w:t>on</w:t>
      </w:r>
      <w:r>
        <w:rPr>
          <w:spacing w:val="-5"/>
          <w:sz w:val="28"/>
        </w:rPr>
        <w:t> </w:t>
      </w:r>
      <w:r>
        <w:rPr>
          <w:sz w:val="28"/>
        </w:rPr>
        <w:t>creating</w:t>
      </w:r>
      <w:r>
        <w:rPr>
          <w:spacing w:val="-4"/>
          <w:sz w:val="28"/>
        </w:rPr>
        <w:t> </w:t>
      </w:r>
      <w:r>
        <w:rPr>
          <w:sz w:val="28"/>
        </w:rPr>
        <w:t>a</w:t>
      </w:r>
      <w:r>
        <w:rPr>
          <w:spacing w:val="-5"/>
          <w:sz w:val="28"/>
        </w:rPr>
        <w:t> </w:t>
      </w:r>
      <w:r>
        <w:rPr>
          <w:sz w:val="28"/>
        </w:rPr>
        <w:t>Bill</w:t>
      </w:r>
      <w:r>
        <w:rPr>
          <w:spacing w:val="-5"/>
          <w:sz w:val="28"/>
        </w:rPr>
        <w:t> </w:t>
      </w:r>
      <w:r>
        <w:rPr>
          <w:sz w:val="28"/>
        </w:rPr>
        <w:t>of</w:t>
      </w:r>
      <w:r>
        <w:rPr>
          <w:spacing w:val="-5"/>
          <w:sz w:val="28"/>
        </w:rPr>
        <w:t> </w:t>
      </w:r>
      <w:r>
        <w:rPr>
          <w:sz w:val="28"/>
        </w:rPr>
        <w:t>Rights</w:t>
      </w:r>
      <w:r>
        <w:rPr>
          <w:spacing w:val="-5"/>
          <w:sz w:val="28"/>
        </w:rPr>
        <w:t> </w:t>
      </w:r>
      <w:r>
        <w:rPr>
          <w:sz w:val="28"/>
        </w:rPr>
        <w:t>for</w:t>
      </w:r>
      <w:r>
        <w:rPr>
          <w:spacing w:val="-4"/>
          <w:sz w:val="28"/>
        </w:rPr>
        <w:t> </w:t>
      </w:r>
      <w:r>
        <w:rPr>
          <w:sz w:val="28"/>
        </w:rPr>
        <w:t>NI since the Ad Hoc Committee on a Bill of Rights published its report.</w:t>
      </w:r>
      <w:r>
        <w:rPr>
          <w:sz w:val="28"/>
          <w:vertAlign w:val="superscript"/>
        </w:rPr>
        <w:t>113</w:t>
      </w:r>
    </w:p>
    <w:p>
      <w:pPr>
        <w:pStyle w:val="BodyText"/>
        <w:spacing w:before="3"/>
        <w:rPr>
          <w:sz w:val="14"/>
        </w:rPr>
      </w:pPr>
      <w:r>
        <w:rPr/>
        <mc:AlternateContent>
          <mc:Choice Requires="wps">
            <w:drawing>
              <wp:anchor distT="0" distB="0" distL="0" distR="0" allowOverlap="1" layoutInCell="1" locked="0" behindDoc="1" simplePos="0" relativeHeight="487638016">
                <wp:simplePos x="0" y="0"/>
                <wp:positionH relativeFrom="page">
                  <wp:posOffset>720001</wp:posOffset>
                </wp:positionH>
                <wp:positionV relativeFrom="paragraph">
                  <wp:posOffset>125877</wp:posOffset>
                </wp:positionV>
                <wp:extent cx="6120130" cy="360045"/>
                <wp:effectExtent l="0" t="0" r="0" b="0"/>
                <wp:wrapTopAndBottom/>
                <wp:docPr id="173" name="Textbox 173"/>
                <wp:cNvGraphicFramePr>
                  <a:graphicFrameLocks/>
                </wp:cNvGraphicFramePr>
                <a:graphic>
                  <a:graphicData uri="http://schemas.microsoft.com/office/word/2010/wordprocessingShape">
                    <wps:wsp>
                      <wps:cNvPr id="173" name="Textbox 173"/>
                      <wps:cNvSpPr txBox="1"/>
                      <wps:spPr>
                        <a:xfrm>
                          <a:off x="0" y="0"/>
                          <a:ext cx="6120130" cy="360045"/>
                        </a:xfrm>
                        <a:prstGeom prst="rect">
                          <a:avLst/>
                        </a:prstGeom>
                        <a:solidFill>
                          <a:srgbClr val="393B7F"/>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9.911625pt;width:481.9pt;height:28.35pt;mso-position-horizontal-relative:page;mso-position-vertical-relative:paragraph;z-index:-15678464;mso-wrap-distance-left:0;mso-wrap-distance-right:0" type="#_x0000_t202" id="docshape130" filled="true" fillcolor="#393b7f"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208" w:after="0"/>
        <w:ind w:left="1853" w:right="1203" w:hanging="720"/>
        <w:jc w:val="both"/>
        <w:rPr>
          <w:b/>
          <w:color w:val="67287F"/>
          <w:sz w:val="28"/>
        </w:rPr>
      </w:pPr>
      <w:r>
        <w:rPr>
          <w:b/>
          <w:color w:val="67287F"/>
          <w:sz w:val="28"/>
        </w:rPr>
        <w:t>The</w:t>
      </w:r>
      <w:r>
        <w:rPr>
          <w:b/>
          <w:color w:val="67287F"/>
          <w:spacing w:val="-6"/>
          <w:sz w:val="28"/>
        </w:rPr>
        <w:t> </w:t>
      </w:r>
      <w:r>
        <w:rPr>
          <w:b/>
          <w:color w:val="67287F"/>
          <w:sz w:val="28"/>
        </w:rPr>
        <w:t>Commissions</w:t>
      </w:r>
      <w:r>
        <w:rPr>
          <w:b/>
          <w:color w:val="67287F"/>
          <w:spacing w:val="-5"/>
          <w:sz w:val="28"/>
        </w:rPr>
        <w:t> </w:t>
      </w:r>
      <w:r>
        <w:rPr>
          <w:b/>
          <w:color w:val="67287F"/>
          <w:sz w:val="28"/>
        </w:rPr>
        <w:t>continue</w:t>
      </w:r>
      <w:r>
        <w:rPr>
          <w:b/>
          <w:color w:val="67287F"/>
          <w:spacing w:val="-6"/>
          <w:sz w:val="28"/>
        </w:rPr>
        <w:t> </w:t>
      </w:r>
      <w:r>
        <w:rPr>
          <w:b/>
          <w:color w:val="67287F"/>
          <w:sz w:val="28"/>
        </w:rPr>
        <w:t>to</w:t>
      </w:r>
      <w:r>
        <w:rPr>
          <w:b/>
          <w:color w:val="67287F"/>
          <w:spacing w:val="-5"/>
          <w:sz w:val="28"/>
        </w:rPr>
        <w:t> </w:t>
      </w:r>
      <w:r>
        <w:rPr>
          <w:b/>
          <w:color w:val="67287F"/>
          <w:sz w:val="28"/>
        </w:rPr>
        <w:t>recommend</w:t>
      </w:r>
      <w:r>
        <w:rPr>
          <w:b/>
          <w:color w:val="67287F"/>
          <w:spacing w:val="-5"/>
          <w:sz w:val="28"/>
        </w:rPr>
        <w:t> </w:t>
      </w:r>
      <w:r>
        <w:rPr>
          <w:b/>
          <w:color w:val="67287F"/>
          <w:sz w:val="28"/>
        </w:rPr>
        <w:t>that</w:t>
      </w:r>
      <w:r>
        <w:rPr>
          <w:b/>
          <w:color w:val="67287F"/>
          <w:spacing w:val="-5"/>
          <w:sz w:val="28"/>
        </w:rPr>
        <w:t> </w:t>
      </w:r>
      <w:r>
        <w:rPr>
          <w:b/>
          <w:color w:val="67287F"/>
          <w:sz w:val="28"/>
        </w:rPr>
        <w:t>the</w:t>
      </w:r>
      <w:r>
        <w:rPr>
          <w:b/>
          <w:color w:val="67287F"/>
          <w:spacing w:val="-6"/>
          <w:sz w:val="28"/>
        </w:rPr>
        <w:t> </w:t>
      </w:r>
      <w:r>
        <w:rPr>
          <w:b/>
          <w:color w:val="67287F"/>
          <w:sz w:val="28"/>
        </w:rPr>
        <w:t>NI</w:t>
      </w:r>
      <w:r>
        <w:rPr>
          <w:b/>
          <w:color w:val="67287F"/>
          <w:spacing w:val="-5"/>
          <w:sz w:val="28"/>
        </w:rPr>
        <w:t> </w:t>
      </w:r>
      <w:r>
        <w:rPr>
          <w:b/>
          <w:color w:val="67287F"/>
          <w:sz w:val="28"/>
        </w:rPr>
        <w:t>Office</w:t>
      </w:r>
      <w:r>
        <w:rPr>
          <w:b/>
          <w:color w:val="67287F"/>
          <w:spacing w:val="-6"/>
          <w:sz w:val="28"/>
        </w:rPr>
        <w:t> </w:t>
      </w:r>
      <w:r>
        <w:rPr>
          <w:b/>
          <w:color w:val="67287F"/>
          <w:sz w:val="28"/>
        </w:rPr>
        <w:t>implements</w:t>
      </w:r>
      <w:r>
        <w:rPr>
          <w:b/>
          <w:color w:val="67287F"/>
          <w:spacing w:val="-5"/>
          <w:sz w:val="28"/>
        </w:rPr>
        <w:t> </w:t>
      </w:r>
      <w:r>
        <w:rPr>
          <w:b/>
          <w:color w:val="67287F"/>
          <w:sz w:val="28"/>
        </w:rPr>
        <w:t>the UK</w:t>
      </w:r>
      <w:r>
        <w:rPr>
          <w:b/>
          <w:color w:val="67287F"/>
          <w:spacing w:val="-5"/>
          <w:sz w:val="28"/>
        </w:rPr>
        <w:t> </w:t>
      </w:r>
      <w:r>
        <w:rPr>
          <w:b/>
          <w:color w:val="67287F"/>
          <w:sz w:val="28"/>
        </w:rPr>
        <w:t>Government</w:t>
      </w:r>
      <w:r>
        <w:rPr>
          <w:b/>
          <w:color w:val="67287F"/>
          <w:spacing w:val="-5"/>
          <w:sz w:val="28"/>
        </w:rPr>
        <w:t> </w:t>
      </w:r>
      <w:r>
        <w:rPr>
          <w:b/>
          <w:color w:val="67287F"/>
          <w:sz w:val="28"/>
        </w:rPr>
        <w:t>commitment</w:t>
      </w:r>
      <w:r>
        <w:rPr>
          <w:b/>
          <w:color w:val="67287F"/>
          <w:spacing w:val="-5"/>
          <w:sz w:val="28"/>
        </w:rPr>
        <w:t> </w:t>
      </w:r>
      <w:r>
        <w:rPr>
          <w:b/>
          <w:color w:val="67287F"/>
          <w:sz w:val="28"/>
        </w:rPr>
        <w:t>to</w:t>
      </w:r>
      <w:r>
        <w:rPr>
          <w:b/>
          <w:color w:val="67287F"/>
          <w:spacing w:val="-5"/>
          <w:sz w:val="28"/>
        </w:rPr>
        <w:t> </w:t>
      </w:r>
      <w:r>
        <w:rPr>
          <w:b/>
          <w:color w:val="67287F"/>
          <w:sz w:val="28"/>
        </w:rPr>
        <w:t>legislate</w:t>
      </w:r>
      <w:r>
        <w:rPr>
          <w:b/>
          <w:color w:val="67287F"/>
          <w:spacing w:val="-6"/>
          <w:sz w:val="28"/>
        </w:rPr>
        <w:t> </w:t>
      </w:r>
      <w:r>
        <w:rPr>
          <w:b/>
          <w:color w:val="67287F"/>
          <w:sz w:val="28"/>
        </w:rPr>
        <w:t>for</w:t>
      </w:r>
      <w:r>
        <w:rPr>
          <w:b/>
          <w:color w:val="67287F"/>
          <w:spacing w:val="-6"/>
          <w:sz w:val="28"/>
        </w:rPr>
        <w:t> </w:t>
      </w:r>
      <w:r>
        <w:rPr>
          <w:b/>
          <w:color w:val="67287F"/>
          <w:sz w:val="28"/>
        </w:rPr>
        <w:t>a</w:t>
      </w:r>
      <w:r>
        <w:rPr>
          <w:b/>
          <w:color w:val="67287F"/>
          <w:spacing w:val="-5"/>
          <w:sz w:val="28"/>
        </w:rPr>
        <w:t> </w:t>
      </w:r>
      <w:r>
        <w:rPr>
          <w:b/>
          <w:color w:val="67287F"/>
          <w:sz w:val="28"/>
        </w:rPr>
        <w:t>Bill</w:t>
      </w:r>
      <w:r>
        <w:rPr>
          <w:b/>
          <w:color w:val="67287F"/>
          <w:spacing w:val="-5"/>
          <w:sz w:val="28"/>
        </w:rPr>
        <w:t> </w:t>
      </w:r>
      <w:r>
        <w:rPr>
          <w:b/>
          <w:color w:val="67287F"/>
          <w:sz w:val="28"/>
        </w:rPr>
        <w:t>of</w:t>
      </w:r>
      <w:r>
        <w:rPr>
          <w:b/>
          <w:color w:val="67287F"/>
          <w:spacing w:val="-6"/>
          <w:sz w:val="28"/>
        </w:rPr>
        <w:t> </w:t>
      </w:r>
      <w:r>
        <w:rPr>
          <w:b/>
          <w:color w:val="67287F"/>
          <w:sz w:val="28"/>
        </w:rPr>
        <w:t>Rights</w:t>
      </w:r>
      <w:r>
        <w:rPr>
          <w:b/>
          <w:color w:val="67287F"/>
          <w:spacing w:val="-5"/>
          <w:sz w:val="28"/>
        </w:rPr>
        <w:t> </w:t>
      </w:r>
      <w:r>
        <w:rPr>
          <w:b/>
          <w:color w:val="67287F"/>
          <w:sz w:val="28"/>
        </w:rPr>
        <w:t>for</w:t>
      </w:r>
      <w:r>
        <w:rPr>
          <w:b/>
          <w:color w:val="67287F"/>
          <w:spacing w:val="-6"/>
          <w:sz w:val="28"/>
        </w:rPr>
        <w:t> </w:t>
      </w:r>
      <w:r>
        <w:rPr>
          <w:b/>
          <w:color w:val="67287F"/>
          <w:sz w:val="28"/>
        </w:rPr>
        <w:t>NI,</w:t>
      </w:r>
      <w:r>
        <w:rPr>
          <w:b/>
          <w:color w:val="67287F"/>
          <w:spacing w:val="-5"/>
          <w:sz w:val="28"/>
        </w:rPr>
        <w:t> </w:t>
      </w:r>
      <w:r>
        <w:rPr>
          <w:b/>
          <w:color w:val="67287F"/>
          <w:sz w:val="28"/>
        </w:rPr>
        <w:t>as</w:t>
      </w:r>
      <w:r>
        <w:rPr>
          <w:b/>
          <w:color w:val="67287F"/>
          <w:spacing w:val="-5"/>
          <w:sz w:val="28"/>
        </w:rPr>
        <w:t> </w:t>
      </w:r>
      <w:r>
        <w:rPr>
          <w:b/>
          <w:color w:val="67287F"/>
          <w:sz w:val="28"/>
        </w:rPr>
        <w:t>set</w:t>
      </w:r>
      <w:r>
        <w:rPr>
          <w:b/>
          <w:color w:val="67287F"/>
          <w:spacing w:val="-5"/>
          <w:sz w:val="28"/>
        </w:rPr>
        <w:t> </w:t>
      </w:r>
      <w:r>
        <w:rPr>
          <w:b/>
          <w:color w:val="67287F"/>
          <w:sz w:val="28"/>
        </w:rPr>
        <w:t>out in the Belfast (Good Friday) Agreement.</w:t>
      </w:r>
    </w:p>
    <w:p>
      <w:pPr>
        <w:pStyle w:val="ListParagraph"/>
        <w:numPr>
          <w:ilvl w:val="1"/>
          <w:numId w:val="7"/>
        </w:numPr>
        <w:tabs>
          <w:tab w:pos="1853" w:val="left" w:leader="none"/>
        </w:tabs>
        <w:spacing w:line="225" w:lineRule="auto" w:before="316" w:after="0"/>
        <w:ind w:left="1853" w:right="1176" w:hanging="720"/>
        <w:jc w:val="left"/>
        <w:rPr>
          <w:b/>
          <w:color w:val="67287F"/>
          <w:sz w:val="28"/>
        </w:rPr>
      </w:pPr>
      <w:r>
        <w:rPr>
          <w:b/>
          <w:color w:val="67287F"/>
          <w:sz w:val="28"/>
        </w:rPr>
        <w:t>The ECNI continues to recommend that the UK Government and NI Executive</w:t>
      </w:r>
      <w:r>
        <w:rPr>
          <w:b/>
          <w:color w:val="67287F"/>
          <w:spacing w:val="-7"/>
          <w:sz w:val="28"/>
        </w:rPr>
        <w:t> </w:t>
      </w:r>
      <w:r>
        <w:rPr>
          <w:b/>
          <w:color w:val="67287F"/>
          <w:sz w:val="28"/>
        </w:rPr>
        <w:t>ensure</w:t>
      </w:r>
      <w:r>
        <w:rPr>
          <w:b/>
          <w:color w:val="67287F"/>
          <w:spacing w:val="-7"/>
          <w:sz w:val="28"/>
        </w:rPr>
        <w:t> </w:t>
      </w:r>
      <w:r>
        <w:rPr>
          <w:b/>
          <w:color w:val="67287F"/>
          <w:sz w:val="28"/>
        </w:rPr>
        <w:t>that</w:t>
      </w:r>
      <w:r>
        <w:rPr>
          <w:b/>
          <w:color w:val="67287F"/>
          <w:spacing w:val="-6"/>
          <w:sz w:val="28"/>
        </w:rPr>
        <w:t> </w:t>
      </w:r>
      <w:r>
        <w:rPr>
          <w:b/>
          <w:color w:val="67287F"/>
          <w:sz w:val="28"/>
        </w:rPr>
        <w:t>there</w:t>
      </w:r>
      <w:r>
        <w:rPr>
          <w:b/>
          <w:color w:val="67287F"/>
          <w:spacing w:val="-7"/>
          <w:sz w:val="28"/>
        </w:rPr>
        <w:t> </w:t>
      </w:r>
      <w:r>
        <w:rPr>
          <w:b/>
          <w:color w:val="67287F"/>
          <w:sz w:val="28"/>
        </w:rPr>
        <w:t>are</w:t>
      </w:r>
      <w:r>
        <w:rPr>
          <w:b/>
          <w:color w:val="67287F"/>
          <w:spacing w:val="-7"/>
          <w:sz w:val="28"/>
        </w:rPr>
        <w:t> </w:t>
      </w:r>
      <w:r>
        <w:rPr>
          <w:b/>
          <w:color w:val="67287F"/>
          <w:sz w:val="28"/>
        </w:rPr>
        <w:t>additional</w:t>
      </w:r>
      <w:r>
        <w:rPr>
          <w:b/>
          <w:color w:val="67287F"/>
          <w:spacing w:val="-6"/>
          <w:sz w:val="28"/>
        </w:rPr>
        <w:t> </w:t>
      </w:r>
      <w:r>
        <w:rPr>
          <w:b/>
          <w:color w:val="67287F"/>
          <w:sz w:val="28"/>
        </w:rPr>
        <w:t>measures</w:t>
      </w:r>
      <w:r>
        <w:rPr>
          <w:b/>
          <w:color w:val="67287F"/>
          <w:spacing w:val="-6"/>
          <w:sz w:val="28"/>
        </w:rPr>
        <w:t> </w:t>
      </w:r>
      <w:r>
        <w:rPr>
          <w:b/>
          <w:color w:val="67287F"/>
          <w:sz w:val="28"/>
        </w:rPr>
        <w:t>within</w:t>
      </w:r>
      <w:r>
        <w:rPr>
          <w:b/>
          <w:color w:val="67287F"/>
          <w:spacing w:val="-6"/>
          <w:sz w:val="28"/>
        </w:rPr>
        <w:t> </w:t>
      </w:r>
      <w:r>
        <w:rPr>
          <w:b/>
          <w:color w:val="67287F"/>
          <w:sz w:val="28"/>
        </w:rPr>
        <w:t>a</w:t>
      </w:r>
      <w:r>
        <w:rPr>
          <w:b/>
          <w:color w:val="67287F"/>
          <w:spacing w:val="-6"/>
          <w:sz w:val="28"/>
        </w:rPr>
        <w:t> </w:t>
      </w:r>
      <w:r>
        <w:rPr>
          <w:b/>
          <w:color w:val="67287F"/>
          <w:sz w:val="28"/>
        </w:rPr>
        <w:t>Bill</w:t>
      </w:r>
      <w:r>
        <w:rPr>
          <w:b/>
          <w:color w:val="67287F"/>
          <w:spacing w:val="-6"/>
          <w:sz w:val="28"/>
        </w:rPr>
        <w:t> </w:t>
      </w:r>
      <w:r>
        <w:rPr>
          <w:b/>
          <w:color w:val="67287F"/>
          <w:sz w:val="28"/>
        </w:rPr>
        <w:t>of</w:t>
      </w:r>
      <w:r>
        <w:rPr>
          <w:b/>
          <w:color w:val="67287F"/>
          <w:spacing w:val="-7"/>
          <w:sz w:val="28"/>
        </w:rPr>
        <w:t> </w:t>
      </w:r>
      <w:r>
        <w:rPr>
          <w:b/>
          <w:color w:val="67287F"/>
          <w:sz w:val="28"/>
        </w:rPr>
        <w:t>Rights</w:t>
      </w:r>
      <w:r>
        <w:rPr>
          <w:b/>
          <w:color w:val="67287F"/>
          <w:spacing w:val="-6"/>
          <w:sz w:val="28"/>
        </w:rPr>
        <w:t> </w:t>
      </w:r>
      <w:r>
        <w:rPr>
          <w:b/>
          <w:color w:val="67287F"/>
          <w:sz w:val="28"/>
        </w:rPr>
        <w:t>to strengthen NI equality laws, address gaps in equality legislation and protect equality and human rights in a post-Brexit context.</w:t>
      </w:r>
    </w:p>
    <w:p>
      <w:pPr>
        <w:pStyle w:val="Heading5"/>
        <w:spacing w:before="299"/>
        <w:ind w:left="1133" w:firstLine="0"/>
      </w:pPr>
      <w:bookmarkStart w:name="Human Rights Act" w:id="33"/>
      <w:bookmarkEnd w:id="33"/>
      <w:r>
        <w:rPr>
          <w:b w:val="0"/>
        </w:rPr>
      </w:r>
      <w:r>
        <w:rPr>
          <w:color w:val="393B80"/>
        </w:rPr>
        <w:t>Human</w:t>
      </w:r>
      <w:r>
        <w:rPr>
          <w:color w:val="393B80"/>
          <w:spacing w:val="-4"/>
        </w:rPr>
        <w:t> </w:t>
      </w:r>
      <w:r>
        <w:rPr>
          <w:color w:val="393B80"/>
        </w:rPr>
        <w:t>Rights</w:t>
      </w:r>
      <w:r>
        <w:rPr>
          <w:color w:val="393B80"/>
          <w:spacing w:val="-1"/>
        </w:rPr>
        <w:t> </w:t>
      </w:r>
      <w:r>
        <w:rPr>
          <w:color w:val="393B80"/>
          <w:spacing w:val="-5"/>
        </w:rPr>
        <w:t>Act</w:t>
      </w:r>
    </w:p>
    <w:p>
      <w:pPr>
        <w:pStyle w:val="ListParagraph"/>
        <w:numPr>
          <w:ilvl w:val="1"/>
          <w:numId w:val="7"/>
        </w:numPr>
        <w:tabs>
          <w:tab w:pos="1853" w:val="left" w:leader="none"/>
        </w:tabs>
        <w:spacing w:line="225" w:lineRule="auto" w:before="331" w:after="0"/>
        <w:ind w:left="1853" w:right="1858" w:hanging="720"/>
        <w:jc w:val="left"/>
        <w:rPr>
          <w:sz w:val="28"/>
        </w:rPr>
      </w:pPr>
      <w:r>
        <w:rPr>
          <w:sz w:val="28"/>
        </w:rPr>
        <w:t>In 2020, the UK Government announced an independent review of the Human</w:t>
      </w:r>
      <w:r>
        <w:rPr>
          <w:spacing w:val="-6"/>
          <w:sz w:val="28"/>
        </w:rPr>
        <w:t> </w:t>
      </w:r>
      <w:r>
        <w:rPr>
          <w:sz w:val="28"/>
        </w:rPr>
        <w:t>Rights</w:t>
      </w:r>
      <w:r>
        <w:rPr>
          <w:spacing w:val="-6"/>
          <w:sz w:val="28"/>
        </w:rPr>
        <w:t> </w:t>
      </w:r>
      <w:r>
        <w:rPr>
          <w:sz w:val="28"/>
        </w:rPr>
        <w:t>Act</w:t>
      </w:r>
      <w:r>
        <w:rPr>
          <w:spacing w:val="-5"/>
          <w:sz w:val="28"/>
        </w:rPr>
        <w:t> </w:t>
      </w:r>
      <w:r>
        <w:rPr>
          <w:sz w:val="28"/>
        </w:rPr>
        <w:t>1998.</w:t>
      </w:r>
      <w:r>
        <w:rPr>
          <w:spacing w:val="-6"/>
          <w:sz w:val="28"/>
        </w:rPr>
        <w:t> </w:t>
      </w:r>
      <w:r>
        <w:rPr>
          <w:sz w:val="28"/>
        </w:rPr>
        <w:t>In</w:t>
      </w:r>
      <w:r>
        <w:rPr>
          <w:spacing w:val="-6"/>
          <w:sz w:val="28"/>
        </w:rPr>
        <w:t> </w:t>
      </w:r>
      <w:r>
        <w:rPr>
          <w:sz w:val="28"/>
        </w:rPr>
        <w:t>2021,</w:t>
      </w:r>
      <w:r>
        <w:rPr>
          <w:spacing w:val="-5"/>
          <w:sz w:val="28"/>
        </w:rPr>
        <w:t> </w:t>
      </w:r>
      <w:r>
        <w:rPr>
          <w:sz w:val="28"/>
        </w:rPr>
        <w:t>the</w:t>
      </w:r>
      <w:r>
        <w:rPr>
          <w:spacing w:val="-5"/>
          <w:sz w:val="28"/>
        </w:rPr>
        <w:t> </w:t>
      </w:r>
      <w:r>
        <w:rPr>
          <w:sz w:val="28"/>
        </w:rPr>
        <w:t>review</w:t>
      </w:r>
      <w:r>
        <w:rPr>
          <w:spacing w:val="-5"/>
          <w:sz w:val="28"/>
        </w:rPr>
        <w:t> </w:t>
      </w:r>
      <w:r>
        <w:rPr>
          <w:sz w:val="28"/>
        </w:rPr>
        <w:t>team</w:t>
      </w:r>
      <w:r>
        <w:rPr>
          <w:spacing w:val="-5"/>
          <w:sz w:val="28"/>
        </w:rPr>
        <w:t> </w:t>
      </w:r>
      <w:r>
        <w:rPr>
          <w:sz w:val="28"/>
        </w:rPr>
        <w:t>advised</w:t>
      </w:r>
      <w:r>
        <w:rPr>
          <w:spacing w:val="-6"/>
          <w:sz w:val="28"/>
        </w:rPr>
        <w:t> </w:t>
      </w:r>
      <w:r>
        <w:rPr>
          <w:sz w:val="28"/>
        </w:rPr>
        <w:t>there</w:t>
      </w:r>
      <w:r>
        <w:rPr>
          <w:spacing w:val="-5"/>
          <w:sz w:val="28"/>
        </w:rPr>
        <w:t> </w:t>
      </w:r>
      <w:r>
        <w:rPr>
          <w:sz w:val="28"/>
        </w:rPr>
        <w:t>was</w:t>
      </w:r>
      <w:r>
        <w:rPr>
          <w:spacing w:val="-6"/>
          <w:sz w:val="28"/>
        </w:rPr>
        <w:t> </w:t>
      </w:r>
      <w:r>
        <w:rPr>
          <w:sz w:val="28"/>
        </w:rPr>
        <w:t>“an overwhelming body of support for retaining the Human Rights Act”.</w:t>
      </w:r>
      <w:r>
        <w:rPr>
          <w:sz w:val="28"/>
          <w:vertAlign w:val="superscript"/>
        </w:rPr>
        <w:t>114</w:t>
      </w:r>
    </w:p>
    <w:p>
      <w:pPr>
        <w:pStyle w:val="ListParagraph"/>
        <w:numPr>
          <w:ilvl w:val="1"/>
          <w:numId w:val="7"/>
        </w:numPr>
        <w:tabs>
          <w:tab w:pos="1853" w:val="left" w:leader="none"/>
        </w:tabs>
        <w:spacing w:line="225" w:lineRule="auto" w:before="316" w:after="0"/>
        <w:ind w:left="1853" w:right="1517" w:hanging="720"/>
        <w:jc w:val="left"/>
        <w:rPr>
          <w:sz w:val="28"/>
        </w:rPr>
      </w:pPr>
      <w:r>
        <w:rPr>
          <w:sz w:val="28"/>
        </w:rPr>
        <w:t>In</w:t>
      </w:r>
      <w:r>
        <w:rPr>
          <w:spacing w:val="-6"/>
          <w:sz w:val="28"/>
        </w:rPr>
        <w:t> </w:t>
      </w:r>
      <w:r>
        <w:rPr>
          <w:sz w:val="28"/>
        </w:rPr>
        <w:t>2022,</w:t>
      </w:r>
      <w:r>
        <w:rPr>
          <w:spacing w:val="-5"/>
          <w:sz w:val="28"/>
        </w:rPr>
        <w:t> </w:t>
      </w:r>
      <w:r>
        <w:rPr>
          <w:sz w:val="28"/>
        </w:rPr>
        <w:t>the</w:t>
      </w:r>
      <w:r>
        <w:rPr>
          <w:spacing w:val="-5"/>
          <w:sz w:val="28"/>
        </w:rPr>
        <w:t> </w:t>
      </w:r>
      <w:r>
        <w:rPr>
          <w:sz w:val="28"/>
        </w:rPr>
        <w:t>Ministry</w:t>
      </w:r>
      <w:r>
        <w:rPr>
          <w:spacing w:val="-5"/>
          <w:sz w:val="28"/>
        </w:rPr>
        <w:t> </w:t>
      </w:r>
      <w:r>
        <w:rPr>
          <w:sz w:val="28"/>
        </w:rPr>
        <w:t>of</w:t>
      </w:r>
      <w:r>
        <w:rPr>
          <w:spacing w:val="-6"/>
          <w:sz w:val="28"/>
        </w:rPr>
        <w:t> </w:t>
      </w:r>
      <w:r>
        <w:rPr>
          <w:sz w:val="28"/>
        </w:rPr>
        <w:t>Justice</w:t>
      </w:r>
      <w:r>
        <w:rPr>
          <w:spacing w:val="-5"/>
          <w:sz w:val="28"/>
        </w:rPr>
        <w:t> </w:t>
      </w:r>
      <w:r>
        <w:rPr>
          <w:sz w:val="28"/>
        </w:rPr>
        <w:t>introduced</w:t>
      </w:r>
      <w:r>
        <w:rPr>
          <w:spacing w:val="-6"/>
          <w:sz w:val="28"/>
        </w:rPr>
        <w:t> </w:t>
      </w:r>
      <w:r>
        <w:rPr>
          <w:sz w:val="28"/>
        </w:rPr>
        <w:t>the</w:t>
      </w:r>
      <w:r>
        <w:rPr>
          <w:spacing w:val="-5"/>
          <w:sz w:val="28"/>
        </w:rPr>
        <w:t> </w:t>
      </w:r>
      <w:r>
        <w:rPr>
          <w:sz w:val="28"/>
        </w:rPr>
        <w:t>Bill</w:t>
      </w:r>
      <w:r>
        <w:rPr>
          <w:spacing w:val="-6"/>
          <w:sz w:val="28"/>
        </w:rPr>
        <w:t> </w:t>
      </w:r>
      <w:r>
        <w:rPr>
          <w:sz w:val="28"/>
        </w:rPr>
        <w:t>of</w:t>
      </w:r>
      <w:r>
        <w:rPr>
          <w:spacing w:val="-6"/>
          <w:sz w:val="28"/>
        </w:rPr>
        <w:t> </w:t>
      </w:r>
      <w:r>
        <w:rPr>
          <w:sz w:val="28"/>
        </w:rPr>
        <w:t>Rights</w:t>
      </w:r>
      <w:r>
        <w:rPr>
          <w:spacing w:val="-6"/>
          <w:sz w:val="28"/>
        </w:rPr>
        <w:t> </w:t>
      </w:r>
      <w:r>
        <w:rPr>
          <w:sz w:val="28"/>
        </w:rPr>
        <w:t>Bill,</w:t>
      </w:r>
      <w:r>
        <w:rPr>
          <w:spacing w:val="-5"/>
          <w:sz w:val="28"/>
        </w:rPr>
        <w:t> </w:t>
      </w:r>
      <w:r>
        <w:rPr>
          <w:sz w:val="28"/>
        </w:rPr>
        <w:t>stating</w:t>
      </w:r>
      <w:r>
        <w:rPr>
          <w:spacing w:val="-5"/>
          <w:sz w:val="28"/>
        </w:rPr>
        <w:t> </w:t>
      </w:r>
      <w:r>
        <w:rPr>
          <w:sz w:val="28"/>
        </w:rPr>
        <w:t>that its proposed reforms to the Human Rights Act were “fully in line with our</w:t>
      </w:r>
    </w:p>
    <w:p>
      <w:pPr>
        <w:pStyle w:val="BodyText"/>
        <w:spacing w:before="66"/>
        <w:rPr>
          <w:sz w:val="20"/>
        </w:rPr>
      </w:pPr>
      <w:r>
        <w:rPr/>
        <mc:AlternateContent>
          <mc:Choice Requires="wps">
            <w:drawing>
              <wp:anchor distT="0" distB="0" distL="0" distR="0" allowOverlap="1" layoutInCell="1" locked="0" behindDoc="1" simplePos="0" relativeHeight="487638528">
                <wp:simplePos x="0" y="0"/>
                <wp:positionH relativeFrom="page">
                  <wp:posOffset>719996</wp:posOffset>
                </wp:positionH>
                <wp:positionV relativeFrom="paragraph">
                  <wp:posOffset>212754</wp:posOffset>
                </wp:positionV>
                <wp:extent cx="6120130" cy="1270"/>
                <wp:effectExtent l="0" t="0" r="0" b="0"/>
                <wp:wrapTopAndBottom/>
                <wp:docPr id="174" name="Graphic 174"/>
                <wp:cNvGraphicFramePr>
                  <a:graphicFrameLocks/>
                </wp:cNvGraphicFramePr>
                <a:graphic>
                  <a:graphicData uri="http://schemas.microsoft.com/office/word/2010/wordprocessingShape">
                    <wps:wsp>
                      <wps:cNvPr id="174" name="Graphic 174"/>
                      <wps:cNvSpPr/>
                      <wps:spPr>
                        <a:xfrm>
                          <a:off x="0" y="0"/>
                          <a:ext cx="6120130" cy="1270"/>
                        </a:xfrm>
                        <a:custGeom>
                          <a:avLst/>
                          <a:gdLst/>
                          <a:ahLst/>
                          <a:cxnLst/>
                          <a:rect l="l" t="t" r="r" b="b"/>
                          <a:pathLst>
                            <a:path w="6120130" h="0">
                              <a:moveTo>
                                <a:pt x="6120003" y="0"/>
                              </a:moveTo>
                              <a:lnTo>
                                <a:pt x="0"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6.752319pt;width:481.9pt;height:.1pt;mso-position-horizontal-relative:page;mso-position-vertical-relative:paragraph;z-index:-15677952;mso-wrap-distance-left:0;mso-wrap-distance-right:0" id="docshape131" coordorigin="1134,335" coordsize="9638,0" path="m10772,335l1134,335e" filled="false" stroked="true" strokeweight="1pt" strokecolor="#393b7f">
                <v:path arrowok="t"/>
                <v:stroke dashstyle="solid"/>
                <w10:wrap type="topAndBottom"/>
              </v:shape>
            </w:pict>
          </mc:Fallback>
        </mc:AlternateContent>
      </w:r>
    </w:p>
    <w:p>
      <w:pPr>
        <w:pStyle w:val="ListParagraph"/>
        <w:numPr>
          <w:ilvl w:val="0"/>
          <w:numId w:val="3"/>
        </w:numPr>
        <w:tabs>
          <w:tab w:pos="1853" w:val="left" w:leader="none"/>
        </w:tabs>
        <w:spacing w:line="235" w:lineRule="auto" w:before="118" w:after="0"/>
        <w:ind w:left="1853" w:right="1176" w:hanging="720"/>
        <w:jc w:val="left"/>
        <w:rPr>
          <w:sz w:val="18"/>
        </w:rPr>
      </w:pPr>
      <w:r>
        <w:rPr>
          <w:sz w:val="18"/>
        </w:rPr>
        <w:t>Ad</w:t>
      </w:r>
      <w:r>
        <w:rPr>
          <w:spacing w:val="-4"/>
          <w:sz w:val="18"/>
        </w:rPr>
        <w:t> </w:t>
      </w:r>
      <w:r>
        <w:rPr>
          <w:sz w:val="18"/>
        </w:rPr>
        <w:t>Hoc</w:t>
      </w:r>
      <w:r>
        <w:rPr>
          <w:spacing w:val="-3"/>
          <w:sz w:val="18"/>
        </w:rPr>
        <w:t> </w:t>
      </w:r>
      <w:r>
        <w:rPr>
          <w:sz w:val="18"/>
        </w:rPr>
        <w:t>Committee</w:t>
      </w:r>
      <w:r>
        <w:rPr>
          <w:spacing w:val="-3"/>
          <w:sz w:val="18"/>
        </w:rPr>
        <w:t> </w:t>
      </w:r>
      <w:r>
        <w:rPr>
          <w:sz w:val="18"/>
        </w:rPr>
        <w:t>on</w:t>
      </w:r>
      <w:r>
        <w:rPr>
          <w:spacing w:val="-4"/>
          <w:sz w:val="18"/>
        </w:rPr>
        <w:t> </w:t>
      </w:r>
      <w:r>
        <w:rPr>
          <w:sz w:val="18"/>
        </w:rPr>
        <w:t>a</w:t>
      </w:r>
      <w:r>
        <w:rPr>
          <w:spacing w:val="-4"/>
          <w:sz w:val="18"/>
        </w:rPr>
        <w:t> </w:t>
      </w:r>
      <w:r>
        <w:rPr>
          <w:sz w:val="18"/>
        </w:rPr>
        <w:t>Bill</w:t>
      </w:r>
      <w:r>
        <w:rPr>
          <w:spacing w:val="-4"/>
          <w:sz w:val="18"/>
        </w:rPr>
        <w:t> </w:t>
      </w:r>
      <w:r>
        <w:rPr>
          <w:sz w:val="18"/>
        </w:rPr>
        <w:t>of</w:t>
      </w:r>
      <w:r>
        <w:rPr>
          <w:spacing w:val="-4"/>
          <w:sz w:val="18"/>
        </w:rPr>
        <w:t> </w:t>
      </w:r>
      <w:r>
        <w:rPr>
          <w:sz w:val="18"/>
        </w:rPr>
        <w:t>Rights,</w:t>
      </w:r>
      <w:r>
        <w:rPr>
          <w:spacing w:val="-3"/>
          <w:sz w:val="18"/>
        </w:rPr>
        <w:t> </w:t>
      </w:r>
      <w:r>
        <w:rPr>
          <w:sz w:val="18"/>
        </w:rPr>
        <w:t>‘156/17-22</w:t>
      </w:r>
      <w:r>
        <w:rPr>
          <w:spacing w:val="-3"/>
          <w:sz w:val="18"/>
        </w:rPr>
        <w:t> </w:t>
      </w:r>
      <w:r>
        <w:rPr>
          <w:sz w:val="18"/>
        </w:rPr>
        <w:t>Report</w:t>
      </w:r>
      <w:r>
        <w:rPr>
          <w:spacing w:val="-3"/>
          <w:sz w:val="18"/>
        </w:rPr>
        <w:t> </w:t>
      </w:r>
      <w:r>
        <w:rPr>
          <w:sz w:val="18"/>
        </w:rPr>
        <w:t>of</w:t>
      </w:r>
      <w:r>
        <w:rPr>
          <w:spacing w:val="-4"/>
          <w:sz w:val="18"/>
        </w:rPr>
        <w:t> </w:t>
      </w:r>
      <w:r>
        <w:rPr>
          <w:sz w:val="18"/>
        </w:rPr>
        <w:t>the</w:t>
      </w:r>
      <w:r>
        <w:rPr>
          <w:spacing w:val="-3"/>
          <w:sz w:val="18"/>
        </w:rPr>
        <w:t> </w:t>
      </w:r>
      <w:r>
        <w:rPr>
          <w:sz w:val="18"/>
        </w:rPr>
        <w:t>Ad</w:t>
      </w:r>
      <w:r>
        <w:rPr>
          <w:spacing w:val="-4"/>
          <w:sz w:val="18"/>
        </w:rPr>
        <w:t> </w:t>
      </w:r>
      <w:r>
        <w:rPr>
          <w:sz w:val="18"/>
        </w:rPr>
        <w:t>Hoc</w:t>
      </w:r>
      <w:r>
        <w:rPr>
          <w:spacing w:val="-3"/>
          <w:sz w:val="18"/>
        </w:rPr>
        <w:t> </w:t>
      </w:r>
      <w:r>
        <w:rPr>
          <w:sz w:val="18"/>
        </w:rPr>
        <w:t>Committee</w:t>
      </w:r>
      <w:r>
        <w:rPr>
          <w:spacing w:val="-3"/>
          <w:sz w:val="18"/>
        </w:rPr>
        <w:t> </w:t>
      </w:r>
      <w:r>
        <w:rPr>
          <w:sz w:val="18"/>
        </w:rPr>
        <w:t>on</w:t>
      </w:r>
      <w:r>
        <w:rPr>
          <w:spacing w:val="-4"/>
          <w:sz w:val="18"/>
        </w:rPr>
        <w:t> </w:t>
      </w:r>
      <w:r>
        <w:rPr>
          <w:sz w:val="18"/>
        </w:rPr>
        <w:t>a</w:t>
      </w:r>
      <w:r>
        <w:rPr>
          <w:spacing w:val="-4"/>
          <w:sz w:val="18"/>
        </w:rPr>
        <w:t> </w:t>
      </w:r>
      <w:r>
        <w:rPr>
          <w:sz w:val="18"/>
        </w:rPr>
        <w:t>Bill</w:t>
      </w:r>
      <w:r>
        <w:rPr>
          <w:spacing w:val="-4"/>
          <w:sz w:val="18"/>
        </w:rPr>
        <w:t> </w:t>
      </w:r>
      <w:r>
        <w:rPr>
          <w:sz w:val="18"/>
        </w:rPr>
        <w:t>of</w:t>
      </w:r>
      <w:r>
        <w:rPr>
          <w:spacing w:val="-4"/>
          <w:sz w:val="18"/>
        </w:rPr>
        <w:t> </w:t>
      </w:r>
      <w:r>
        <w:rPr>
          <w:sz w:val="18"/>
        </w:rPr>
        <w:t>Rights’</w:t>
      </w:r>
      <w:r>
        <w:rPr>
          <w:spacing w:val="-3"/>
          <w:sz w:val="18"/>
        </w:rPr>
        <w:t> </w:t>
      </w:r>
      <w:r>
        <w:rPr>
          <w:sz w:val="18"/>
        </w:rPr>
        <w:t>(NIA,</w:t>
      </w:r>
      <w:r>
        <w:rPr>
          <w:spacing w:val="-3"/>
          <w:sz w:val="18"/>
        </w:rPr>
        <w:t> </w:t>
      </w:r>
      <w:r>
        <w:rPr>
          <w:sz w:val="18"/>
        </w:rPr>
        <w:t>2022),</w:t>
      </w:r>
      <w:r>
        <w:rPr>
          <w:spacing w:val="-3"/>
          <w:sz w:val="18"/>
        </w:rPr>
        <w:t> </w:t>
      </w:r>
      <w:r>
        <w:rPr>
          <w:sz w:val="18"/>
        </w:rPr>
        <w:t>at</w:t>
      </w:r>
      <w:r>
        <w:rPr>
          <w:spacing w:val="-3"/>
          <w:sz w:val="18"/>
        </w:rPr>
        <w:t> </w:t>
      </w:r>
      <w:r>
        <w:rPr>
          <w:sz w:val="18"/>
        </w:rPr>
        <w:t>paras 9, 17 and 47.</w:t>
      </w:r>
    </w:p>
    <w:p>
      <w:pPr>
        <w:pStyle w:val="ListParagraph"/>
        <w:numPr>
          <w:ilvl w:val="0"/>
          <w:numId w:val="3"/>
        </w:numPr>
        <w:tabs>
          <w:tab w:pos="1853" w:val="left" w:leader="none"/>
        </w:tabs>
        <w:spacing w:line="235" w:lineRule="auto" w:before="2" w:after="0"/>
        <w:ind w:left="1853" w:right="1781" w:hanging="720"/>
        <w:jc w:val="left"/>
        <w:rPr>
          <w:sz w:val="18"/>
        </w:rPr>
      </w:pPr>
      <w:r>
        <w:rPr>
          <w:sz w:val="18"/>
        </w:rPr>
        <w:t>CRC/C/GBR/CO/6-7,</w:t>
      </w:r>
      <w:r>
        <w:rPr>
          <w:spacing w:val="-4"/>
          <w:sz w:val="18"/>
        </w:rPr>
        <w:t> </w:t>
      </w:r>
      <w:r>
        <w:rPr>
          <w:sz w:val="18"/>
        </w:rPr>
        <w:t>‘UN</w:t>
      </w:r>
      <w:r>
        <w:rPr>
          <w:spacing w:val="-4"/>
          <w:sz w:val="18"/>
        </w:rPr>
        <w:t> </w:t>
      </w:r>
      <w:r>
        <w:rPr>
          <w:sz w:val="18"/>
        </w:rPr>
        <w:t>CRC</w:t>
      </w:r>
      <w:r>
        <w:rPr>
          <w:spacing w:val="-5"/>
          <w:sz w:val="18"/>
        </w:rPr>
        <w:t> </w:t>
      </w:r>
      <w:r>
        <w:rPr>
          <w:sz w:val="18"/>
        </w:rPr>
        <w:t>Committee</w:t>
      </w:r>
      <w:r>
        <w:rPr>
          <w:spacing w:val="-4"/>
          <w:sz w:val="18"/>
        </w:rPr>
        <w:t> </w:t>
      </w:r>
      <w:r>
        <w:rPr>
          <w:sz w:val="18"/>
        </w:rPr>
        <w:t>Concluding</w:t>
      </w:r>
      <w:r>
        <w:rPr>
          <w:spacing w:val="-4"/>
          <w:sz w:val="18"/>
        </w:rPr>
        <w:t> </w:t>
      </w:r>
      <w:r>
        <w:rPr>
          <w:sz w:val="18"/>
        </w:rPr>
        <w:t>Observations</w:t>
      </w:r>
      <w:r>
        <w:rPr>
          <w:spacing w:val="-5"/>
          <w:sz w:val="18"/>
        </w:rPr>
        <w:t> </w:t>
      </w:r>
      <w:r>
        <w:rPr>
          <w:sz w:val="18"/>
        </w:rPr>
        <w:t>on</w:t>
      </w:r>
      <w:r>
        <w:rPr>
          <w:spacing w:val="-5"/>
          <w:sz w:val="18"/>
        </w:rPr>
        <w:t> </w:t>
      </w:r>
      <w:r>
        <w:rPr>
          <w:sz w:val="18"/>
        </w:rPr>
        <w:t>the</w:t>
      </w:r>
      <w:r>
        <w:rPr>
          <w:spacing w:val="-4"/>
          <w:sz w:val="18"/>
        </w:rPr>
        <w:t> </w:t>
      </w:r>
      <w:r>
        <w:rPr>
          <w:sz w:val="18"/>
        </w:rPr>
        <w:t>Combined</w:t>
      </w:r>
      <w:r>
        <w:rPr>
          <w:spacing w:val="-5"/>
          <w:sz w:val="18"/>
        </w:rPr>
        <w:t> </w:t>
      </w:r>
      <w:r>
        <w:rPr>
          <w:sz w:val="18"/>
        </w:rPr>
        <w:t>Sixth</w:t>
      </w:r>
      <w:r>
        <w:rPr>
          <w:spacing w:val="-5"/>
          <w:sz w:val="18"/>
        </w:rPr>
        <w:t> </w:t>
      </w:r>
      <w:r>
        <w:rPr>
          <w:sz w:val="18"/>
        </w:rPr>
        <w:t>and</w:t>
      </w:r>
      <w:r>
        <w:rPr>
          <w:spacing w:val="-5"/>
          <w:sz w:val="18"/>
        </w:rPr>
        <w:t> </w:t>
      </w:r>
      <w:r>
        <w:rPr>
          <w:sz w:val="18"/>
        </w:rPr>
        <w:t>Seventh</w:t>
      </w:r>
      <w:r>
        <w:rPr>
          <w:spacing w:val="-5"/>
          <w:sz w:val="18"/>
        </w:rPr>
        <w:t> </w:t>
      </w:r>
      <w:r>
        <w:rPr>
          <w:sz w:val="18"/>
        </w:rPr>
        <w:t>Reports</w:t>
      </w:r>
      <w:r>
        <w:rPr>
          <w:spacing w:val="-5"/>
          <w:sz w:val="18"/>
        </w:rPr>
        <w:t> </w:t>
      </w:r>
      <w:r>
        <w:rPr>
          <w:sz w:val="18"/>
        </w:rPr>
        <w:t>of the UK of Great Britain and NI’, 2 June 2023, at para 8(d). In 2016, the UN ICESCR Committee and the UN CERD Committee also recommended a Bill of Rights for NI. CERD/C/GBR/CO/21-23, ‘UN CERD Committee Concluding</w:t>
      </w:r>
    </w:p>
    <w:p>
      <w:pPr>
        <w:spacing w:line="235" w:lineRule="auto" w:before="2"/>
        <w:ind w:left="1853" w:right="1171" w:firstLine="0"/>
        <w:jc w:val="left"/>
        <w:rPr>
          <w:sz w:val="18"/>
        </w:rPr>
      </w:pPr>
      <w:r>
        <w:rPr>
          <w:sz w:val="18"/>
        </w:rPr>
        <w:t>Observations</w:t>
      </w:r>
      <w:r>
        <w:rPr>
          <w:spacing w:val="-7"/>
          <w:sz w:val="18"/>
        </w:rPr>
        <w:t> </w:t>
      </w:r>
      <w:r>
        <w:rPr>
          <w:sz w:val="18"/>
        </w:rPr>
        <w:t>on</w:t>
      </w:r>
      <w:r>
        <w:rPr>
          <w:spacing w:val="-7"/>
          <w:sz w:val="18"/>
        </w:rPr>
        <w:t> </w:t>
      </w:r>
      <w:r>
        <w:rPr>
          <w:sz w:val="18"/>
        </w:rPr>
        <w:t>the</w:t>
      </w:r>
      <w:r>
        <w:rPr>
          <w:spacing w:val="-6"/>
          <w:sz w:val="18"/>
        </w:rPr>
        <w:t> </w:t>
      </w:r>
      <w:r>
        <w:rPr>
          <w:sz w:val="18"/>
        </w:rPr>
        <w:t>Combined</w:t>
      </w:r>
      <w:r>
        <w:rPr>
          <w:spacing w:val="-7"/>
          <w:sz w:val="18"/>
        </w:rPr>
        <w:t> </w:t>
      </w:r>
      <w:r>
        <w:rPr>
          <w:sz w:val="18"/>
        </w:rPr>
        <w:t>Twenty-first</w:t>
      </w:r>
      <w:r>
        <w:rPr>
          <w:spacing w:val="-6"/>
          <w:sz w:val="18"/>
        </w:rPr>
        <w:t> </w:t>
      </w:r>
      <w:r>
        <w:rPr>
          <w:sz w:val="18"/>
        </w:rPr>
        <w:t>to</w:t>
      </w:r>
      <w:r>
        <w:rPr>
          <w:spacing w:val="-7"/>
          <w:sz w:val="18"/>
        </w:rPr>
        <w:t> </w:t>
      </w:r>
      <w:r>
        <w:rPr>
          <w:sz w:val="18"/>
        </w:rPr>
        <w:t>Twenty-third</w:t>
      </w:r>
      <w:r>
        <w:rPr>
          <w:spacing w:val="-7"/>
          <w:sz w:val="18"/>
        </w:rPr>
        <w:t> </w:t>
      </w:r>
      <w:r>
        <w:rPr>
          <w:sz w:val="18"/>
        </w:rPr>
        <w:t>Periodic</w:t>
      </w:r>
      <w:r>
        <w:rPr>
          <w:spacing w:val="-6"/>
          <w:sz w:val="18"/>
        </w:rPr>
        <w:t> </w:t>
      </w:r>
      <w:r>
        <w:rPr>
          <w:sz w:val="18"/>
        </w:rPr>
        <w:t>Reports</w:t>
      </w:r>
      <w:r>
        <w:rPr>
          <w:spacing w:val="-7"/>
          <w:sz w:val="18"/>
        </w:rPr>
        <w:t> </w:t>
      </w:r>
      <w:r>
        <w:rPr>
          <w:sz w:val="18"/>
        </w:rPr>
        <w:t>of</w:t>
      </w:r>
      <w:r>
        <w:rPr>
          <w:spacing w:val="-7"/>
          <w:sz w:val="18"/>
        </w:rPr>
        <w:t> </w:t>
      </w:r>
      <w:r>
        <w:rPr>
          <w:sz w:val="18"/>
        </w:rPr>
        <w:t>the</w:t>
      </w:r>
      <w:r>
        <w:rPr>
          <w:spacing w:val="-6"/>
          <w:sz w:val="18"/>
        </w:rPr>
        <w:t> </w:t>
      </w:r>
      <w:r>
        <w:rPr>
          <w:sz w:val="18"/>
        </w:rPr>
        <w:t>UK</w:t>
      </w:r>
      <w:r>
        <w:rPr>
          <w:spacing w:val="-6"/>
          <w:sz w:val="18"/>
        </w:rPr>
        <w:t> </w:t>
      </w:r>
      <w:r>
        <w:rPr>
          <w:sz w:val="18"/>
        </w:rPr>
        <w:t>of</w:t>
      </w:r>
      <w:r>
        <w:rPr>
          <w:spacing w:val="-7"/>
          <w:sz w:val="18"/>
        </w:rPr>
        <w:t> </w:t>
      </w:r>
      <w:r>
        <w:rPr>
          <w:sz w:val="18"/>
        </w:rPr>
        <w:t>Great</w:t>
      </w:r>
      <w:r>
        <w:rPr>
          <w:spacing w:val="-6"/>
          <w:sz w:val="18"/>
        </w:rPr>
        <w:t> </w:t>
      </w:r>
      <w:r>
        <w:rPr>
          <w:sz w:val="18"/>
        </w:rPr>
        <w:t>Britain</w:t>
      </w:r>
      <w:r>
        <w:rPr>
          <w:spacing w:val="-7"/>
          <w:sz w:val="18"/>
        </w:rPr>
        <w:t> </w:t>
      </w:r>
      <w:r>
        <w:rPr>
          <w:sz w:val="18"/>
        </w:rPr>
        <w:t>and</w:t>
      </w:r>
      <w:r>
        <w:rPr>
          <w:spacing w:val="-7"/>
          <w:sz w:val="18"/>
        </w:rPr>
        <w:t> </w:t>
      </w:r>
      <w:r>
        <w:rPr>
          <w:sz w:val="18"/>
        </w:rPr>
        <w:t>NI’,</w:t>
      </w:r>
      <w:r>
        <w:rPr>
          <w:spacing w:val="-6"/>
          <w:sz w:val="18"/>
        </w:rPr>
        <w:t> </w:t>
      </w:r>
      <w:r>
        <w:rPr>
          <w:sz w:val="18"/>
        </w:rPr>
        <w:t>3</w:t>
      </w:r>
      <w:r>
        <w:rPr>
          <w:spacing w:val="-6"/>
          <w:sz w:val="18"/>
        </w:rPr>
        <w:t> </w:t>
      </w:r>
      <w:r>
        <w:rPr>
          <w:sz w:val="18"/>
        </w:rPr>
        <w:t>October 2016, at para 10; E/C.12/GBR/CO/6, ‘UN ICESCR Committee Concluding Observations on the Sixth Periodic Report of the UK of Great Britain and NI’, 14 July 2016, at para 10.</w:t>
      </w:r>
    </w:p>
    <w:p>
      <w:pPr>
        <w:pStyle w:val="ListParagraph"/>
        <w:numPr>
          <w:ilvl w:val="0"/>
          <w:numId w:val="3"/>
        </w:numPr>
        <w:tabs>
          <w:tab w:pos="1853" w:val="left" w:leader="none"/>
        </w:tabs>
        <w:spacing w:line="235" w:lineRule="auto" w:before="2" w:after="0"/>
        <w:ind w:left="1853" w:right="1690" w:hanging="720"/>
        <w:jc w:val="left"/>
        <w:rPr>
          <w:sz w:val="18"/>
        </w:rPr>
      </w:pPr>
      <w:r>
        <w:rPr>
          <w:sz w:val="18"/>
        </w:rPr>
        <w:t>CCPR/C/GBR/CO/8,</w:t>
      </w:r>
      <w:r>
        <w:rPr>
          <w:spacing w:val="-4"/>
          <w:sz w:val="18"/>
        </w:rPr>
        <w:t> </w:t>
      </w:r>
      <w:r>
        <w:rPr>
          <w:sz w:val="18"/>
        </w:rPr>
        <w:t>‘UN</w:t>
      </w:r>
      <w:r>
        <w:rPr>
          <w:spacing w:val="-4"/>
          <w:sz w:val="18"/>
        </w:rPr>
        <w:t> </w:t>
      </w:r>
      <w:r>
        <w:rPr>
          <w:sz w:val="18"/>
        </w:rPr>
        <w:t>Human</w:t>
      </w:r>
      <w:r>
        <w:rPr>
          <w:spacing w:val="-5"/>
          <w:sz w:val="18"/>
        </w:rPr>
        <w:t> </w:t>
      </w:r>
      <w:r>
        <w:rPr>
          <w:sz w:val="18"/>
        </w:rPr>
        <w:t>Rights</w:t>
      </w:r>
      <w:r>
        <w:rPr>
          <w:spacing w:val="-5"/>
          <w:sz w:val="18"/>
        </w:rPr>
        <w:t> </w:t>
      </w:r>
      <w:r>
        <w:rPr>
          <w:sz w:val="18"/>
        </w:rPr>
        <w:t>Committee</w:t>
      </w:r>
      <w:r>
        <w:rPr>
          <w:spacing w:val="-4"/>
          <w:sz w:val="18"/>
        </w:rPr>
        <w:t> </w:t>
      </w:r>
      <w:r>
        <w:rPr>
          <w:sz w:val="18"/>
        </w:rPr>
        <w:t>Concluding</w:t>
      </w:r>
      <w:r>
        <w:rPr>
          <w:spacing w:val="-4"/>
          <w:sz w:val="18"/>
        </w:rPr>
        <w:t> </w:t>
      </w:r>
      <w:r>
        <w:rPr>
          <w:sz w:val="18"/>
        </w:rPr>
        <w:t>observations</w:t>
      </w:r>
      <w:r>
        <w:rPr>
          <w:spacing w:val="-5"/>
          <w:sz w:val="18"/>
        </w:rPr>
        <w:t> </w:t>
      </w:r>
      <w:r>
        <w:rPr>
          <w:sz w:val="18"/>
        </w:rPr>
        <w:t>on</w:t>
      </w:r>
      <w:r>
        <w:rPr>
          <w:spacing w:val="-5"/>
          <w:sz w:val="18"/>
        </w:rPr>
        <w:t> </w:t>
      </w:r>
      <w:r>
        <w:rPr>
          <w:sz w:val="18"/>
        </w:rPr>
        <w:t>the</w:t>
      </w:r>
      <w:r>
        <w:rPr>
          <w:spacing w:val="-4"/>
          <w:sz w:val="18"/>
        </w:rPr>
        <w:t> </w:t>
      </w:r>
      <w:r>
        <w:rPr>
          <w:sz w:val="18"/>
        </w:rPr>
        <w:t>eighth</w:t>
      </w:r>
      <w:r>
        <w:rPr>
          <w:spacing w:val="-5"/>
          <w:sz w:val="18"/>
        </w:rPr>
        <w:t> </w:t>
      </w:r>
      <w:r>
        <w:rPr>
          <w:sz w:val="18"/>
        </w:rPr>
        <w:t>periodic</w:t>
      </w:r>
      <w:r>
        <w:rPr>
          <w:spacing w:val="-4"/>
          <w:sz w:val="18"/>
        </w:rPr>
        <w:t> </w:t>
      </w:r>
      <w:r>
        <w:rPr>
          <w:sz w:val="18"/>
        </w:rPr>
        <w:t>report</w:t>
      </w:r>
      <w:r>
        <w:rPr>
          <w:spacing w:val="-4"/>
          <w:sz w:val="18"/>
        </w:rPr>
        <w:t> </w:t>
      </w:r>
      <w:r>
        <w:rPr>
          <w:sz w:val="18"/>
        </w:rPr>
        <w:t>of</w:t>
      </w:r>
      <w:r>
        <w:rPr>
          <w:spacing w:val="-5"/>
          <w:sz w:val="18"/>
        </w:rPr>
        <w:t> </w:t>
      </w:r>
      <w:r>
        <w:rPr>
          <w:sz w:val="18"/>
        </w:rPr>
        <w:t>United Kingdom of Great Britain and Northern Ireland’, 28 March 2024, at para 5(c).</w:t>
      </w:r>
    </w:p>
    <w:p>
      <w:pPr>
        <w:pStyle w:val="ListParagraph"/>
        <w:numPr>
          <w:ilvl w:val="0"/>
          <w:numId w:val="3"/>
        </w:numPr>
        <w:tabs>
          <w:tab w:pos="1853" w:val="left" w:leader="none"/>
        </w:tabs>
        <w:spacing w:line="216" w:lineRule="exact" w:before="0" w:after="0"/>
        <w:ind w:left="1853" w:right="0" w:hanging="720"/>
        <w:jc w:val="left"/>
        <w:rPr>
          <w:sz w:val="18"/>
        </w:rPr>
      </w:pPr>
      <w:r>
        <w:rPr>
          <w:sz w:val="18"/>
        </w:rPr>
        <w:t>Ad</w:t>
      </w:r>
      <w:r>
        <w:rPr>
          <w:spacing w:val="-6"/>
          <w:sz w:val="18"/>
        </w:rPr>
        <w:t> </w:t>
      </w:r>
      <w:r>
        <w:rPr>
          <w:sz w:val="18"/>
        </w:rPr>
        <w:t>Hoc</w:t>
      </w:r>
      <w:r>
        <w:rPr>
          <w:spacing w:val="-4"/>
          <w:sz w:val="18"/>
        </w:rPr>
        <w:t> </w:t>
      </w:r>
      <w:r>
        <w:rPr>
          <w:sz w:val="18"/>
        </w:rPr>
        <w:t>Committee</w:t>
      </w:r>
      <w:r>
        <w:rPr>
          <w:spacing w:val="-4"/>
          <w:sz w:val="18"/>
        </w:rPr>
        <w:t> </w:t>
      </w:r>
      <w:r>
        <w:rPr>
          <w:sz w:val="18"/>
        </w:rPr>
        <w:t>on</w:t>
      </w:r>
      <w:r>
        <w:rPr>
          <w:spacing w:val="-6"/>
          <w:sz w:val="18"/>
        </w:rPr>
        <w:t> </w:t>
      </w:r>
      <w:r>
        <w:rPr>
          <w:sz w:val="18"/>
        </w:rPr>
        <w:t>a</w:t>
      </w:r>
      <w:r>
        <w:rPr>
          <w:spacing w:val="-5"/>
          <w:sz w:val="18"/>
        </w:rPr>
        <w:t> </w:t>
      </w:r>
      <w:r>
        <w:rPr>
          <w:sz w:val="18"/>
        </w:rPr>
        <w:t>Bill</w:t>
      </w:r>
      <w:r>
        <w:rPr>
          <w:spacing w:val="-5"/>
          <w:sz w:val="18"/>
        </w:rPr>
        <w:t> </w:t>
      </w:r>
      <w:r>
        <w:rPr>
          <w:sz w:val="18"/>
        </w:rPr>
        <w:t>of</w:t>
      </w:r>
      <w:r>
        <w:rPr>
          <w:spacing w:val="-5"/>
          <w:sz w:val="18"/>
        </w:rPr>
        <w:t> </w:t>
      </w:r>
      <w:r>
        <w:rPr>
          <w:sz w:val="18"/>
        </w:rPr>
        <w:t>Right,</w:t>
      </w:r>
      <w:r>
        <w:rPr>
          <w:spacing w:val="-5"/>
          <w:sz w:val="18"/>
        </w:rPr>
        <w:t> </w:t>
      </w:r>
      <w:r>
        <w:rPr>
          <w:sz w:val="18"/>
        </w:rPr>
        <w:t>‘Report</w:t>
      </w:r>
      <w:r>
        <w:rPr>
          <w:spacing w:val="-4"/>
          <w:sz w:val="18"/>
        </w:rPr>
        <w:t> </w:t>
      </w:r>
      <w:r>
        <w:rPr>
          <w:sz w:val="18"/>
        </w:rPr>
        <w:t>of</w:t>
      </w:r>
      <w:r>
        <w:rPr>
          <w:spacing w:val="-5"/>
          <w:sz w:val="18"/>
        </w:rPr>
        <w:t> </w:t>
      </w:r>
      <w:r>
        <w:rPr>
          <w:sz w:val="18"/>
        </w:rPr>
        <w:t>the</w:t>
      </w:r>
      <w:r>
        <w:rPr>
          <w:spacing w:val="-4"/>
          <w:sz w:val="18"/>
        </w:rPr>
        <w:t> </w:t>
      </w:r>
      <w:r>
        <w:rPr>
          <w:sz w:val="18"/>
        </w:rPr>
        <w:t>Ad</w:t>
      </w:r>
      <w:r>
        <w:rPr>
          <w:spacing w:val="-6"/>
          <w:sz w:val="18"/>
        </w:rPr>
        <w:t> </w:t>
      </w:r>
      <w:r>
        <w:rPr>
          <w:sz w:val="18"/>
        </w:rPr>
        <w:t>Hoc</w:t>
      </w:r>
      <w:r>
        <w:rPr>
          <w:spacing w:val="-4"/>
          <w:sz w:val="18"/>
        </w:rPr>
        <w:t> </w:t>
      </w:r>
      <w:r>
        <w:rPr>
          <w:sz w:val="18"/>
        </w:rPr>
        <w:t>Committee</w:t>
      </w:r>
      <w:r>
        <w:rPr>
          <w:spacing w:val="-4"/>
          <w:sz w:val="18"/>
        </w:rPr>
        <w:t> </w:t>
      </w:r>
      <w:r>
        <w:rPr>
          <w:sz w:val="18"/>
        </w:rPr>
        <w:t>on</w:t>
      </w:r>
      <w:r>
        <w:rPr>
          <w:spacing w:val="-5"/>
          <w:sz w:val="18"/>
        </w:rPr>
        <w:t> </w:t>
      </w:r>
      <w:r>
        <w:rPr>
          <w:sz w:val="18"/>
        </w:rPr>
        <w:t>the</w:t>
      </w:r>
      <w:r>
        <w:rPr>
          <w:spacing w:val="-5"/>
          <w:sz w:val="18"/>
        </w:rPr>
        <w:t> </w:t>
      </w:r>
      <w:r>
        <w:rPr>
          <w:sz w:val="18"/>
        </w:rPr>
        <w:t>Bill</w:t>
      </w:r>
      <w:r>
        <w:rPr>
          <w:spacing w:val="-5"/>
          <w:sz w:val="18"/>
        </w:rPr>
        <w:t> </w:t>
      </w:r>
      <w:r>
        <w:rPr>
          <w:sz w:val="18"/>
        </w:rPr>
        <w:t>of</w:t>
      </w:r>
      <w:r>
        <w:rPr>
          <w:spacing w:val="-5"/>
          <w:sz w:val="18"/>
        </w:rPr>
        <w:t> </w:t>
      </w:r>
      <w:r>
        <w:rPr>
          <w:sz w:val="18"/>
        </w:rPr>
        <w:t>Rights’,</w:t>
      </w:r>
      <w:r>
        <w:rPr>
          <w:spacing w:val="-4"/>
          <w:sz w:val="18"/>
        </w:rPr>
        <w:t> </w:t>
      </w:r>
      <w:r>
        <w:rPr>
          <w:sz w:val="18"/>
        </w:rPr>
        <w:t>14</w:t>
      </w:r>
      <w:r>
        <w:rPr>
          <w:spacing w:val="-5"/>
          <w:sz w:val="18"/>
        </w:rPr>
        <w:t> </w:t>
      </w:r>
      <w:r>
        <w:rPr>
          <w:sz w:val="18"/>
        </w:rPr>
        <w:t>February</w:t>
      </w:r>
      <w:r>
        <w:rPr>
          <w:spacing w:val="-4"/>
          <w:sz w:val="18"/>
        </w:rPr>
        <w:t> </w:t>
      </w:r>
      <w:r>
        <w:rPr>
          <w:spacing w:val="-2"/>
          <w:sz w:val="18"/>
        </w:rPr>
        <w:t>2022.</w:t>
      </w:r>
    </w:p>
    <w:p>
      <w:pPr>
        <w:pStyle w:val="ListParagraph"/>
        <w:numPr>
          <w:ilvl w:val="0"/>
          <w:numId w:val="3"/>
        </w:numPr>
        <w:tabs>
          <w:tab w:pos="1853" w:val="left" w:leader="none"/>
        </w:tabs>
        <w:spacing w:line="235" w:lineRule="auto" w:before="1" w:after="0"/>
        <w:ind w:left="1853" w:right="1223" w:hanging="720"/>
        <w:jc w:val="left"/>
        <w:rPr>
          <w:sz w:val="18"/>
        </w:rPr>
      </w:pPr>
      <w:r>
        <w:rPr>
          <w:sz w:val="18"/>
        </w:rPr>
        <w:t>Independent Human</w:t>
      </w:r>
      <w:r>
        <w:rPr>
          <w:spacing w:val="-1"/>
          <w:sz w:val="18"/>
        </w:rPr>
        <w:t> </w:t>
      </w:r>
      <w:r>
        <w:rPr>
          <w:sz w:val="18"/>
        </w:rPr>
        <w:t>Rights</w:t>
      </w:r>
      <w:r>
        <w:rPr>
          <w:spacing w:val="-1"/>
          <w:sz w:val="18"/>
        </w:rPr>
        <w:t> </w:t>
      </w:r>
      <w:r>
        <w:rPr>
          <w:sz w:val="18"/>
        </w:rPr>
        <w:t>Act Review Team, ‘Independent Human</w:t>
      </w:r>
      <w:r>
        <w:rPr>
          <w:spacing w:val="-1"/>
          <w:sz w:val="18"/>
        </w:rPr>
        <w:t> </w:t>
      </w:r>
      <w:r>
        <w:rPr>
          <w:sz w:val="18"/>
        </w:rPr>
        <w:t>Rights</w:t>
      </w:r>
      <w:r>
        <w:rPr>
          <w:spacing w:val="-1"/>
          <w:sz w:val="18"/>
        </w:rPr>
        <w:t> </w:t>
      </w:r>
      <w:r>
        <w:rPr>
          <w:sz w:val="18"/>
        </w:rPr>
        <w:t>Act Review’ (MoJ, 2021), at para</w:t>
      </w:r>
      <w:r>
        <w:rPr>
          <w:spacing w:val="-1"/>
          <w:sz w:val="18"/>
        </w:rPr>
        <w:t> </w:t>
      </w:r>
      <w:r>
        <w:rPr>
          <w:sz w:val="18"/>
        </w:rPr>
        <w:t>19.</w:t>
      </w:r>
      <w:r>
        <w:rPr>
          <w:spacing w:val="40"/>
          <w:sz w:val="18"/>
        </w:rPr>
        <w:t> </w:t>
      </w:r>
      <w:r>
        <w:rPr>
          <w:sz w:val="18"/>
        </w:rPr>
        <w:t>See also NI Human Rights Commission, ‘Response to the Consultation on Human Rights Act Reform: A Modern Bill of Rights’ (NIHRC,</w:t>
      </w:r>
      <w:r>
        <w:rPr>
          <w:spacing w:val="-4"/>
          <w:sz w:val="18"/>
        </w:rPr>
        <w:t> </w:t>
      </w:r>
      <w:r>
        <w:rPr>
          <w:sz w:val="18"/>
        </w:rPr>
        <w:t>2022);</w:t>
      </w:r>
      <w:r>
        <w:rPr>
          <w:spacing w:val="-4"/>
          <w:sz w:val="18"/>
        </w:rPr>
        <w:t> </w:t>
      </w: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‘Response</w:t>
      </w:r>
      <w:r>
        <w:rPr>
          <w:spacing w:val="-4"/>
          <w:sz w:val="18"/>
        </w:rPr>
        <w:t> </w:t>
      </w:r>
      <w:r>
        <w:rPr>
          <w:sz w:val="18"/>
        </w:rPr>
        <w:t>to</w:t>
      </w:r>
      <w:r>
        <w:rPr>
          <w:spacing w:val="-5"/>
          <w:sz w:val="18"/>
        </w:rPr>
        <w:t> </w:t>
      </w:r>
      <w:r>
        <w:rPr>
          <w:sz w:val="18"/>
        </w:rPr>
        <w:t>consultation:</w:t>
      </w:r>
      <w:r>
        <w:rPr>
          <w:spacing w:val="-4"/>
          <w:sz w:val="18"/>
        </w:rPr>
        <w:t> </w:t>
      </w:r>
      <w:r>
        <w:rPr>
          <w:sz w:val="18"/>
        </w:rPr>
        <w:t>Human</w:t>
      </w:r>
      <w:r>
        <w:rPr>
          <w:spacing w:val="-5"/>
          <w:sz w:val="18"/>
        </w:rPr>
        <w:t> </w:t>
      </w:r>
      <w:r>
        <w:rPr>
          <w:sz w:val="18"/>
        </w:rPr>
        <w:t>Rights</w:t>
      </w:r>
      <w:r>
        <w:rPr>
          <w:spacing w:val="-5"/>
          <w:sz w:val="18"/>
        </w:rPr>
        <w:t> </w:t>
      </w:r>
      <w:r>
        <w:rPr>
          <w:sz w:val="18"/>
        </w:rPr>
        <w:t>Act</w:t>
      </w:r>
      <w:r>
        <w:rPr>
          <w:spacing w:val="-4"/>
          <w:sz w:val="18"/>
        </w:rPr>
        <w:t> </w:t>
      </w:r>
      <w:r>
        <w:rPr>
          <w:sz w:val="18"/>
        </w:rPr>
        <w:t>Reform:</w:t>
      </w:r>
      <w:r>
        <w:rPr>
          <w:spacing w:val="-4"/>
          <w:sz w:val="18"/>
        </w:rPr>
        <w:t> </w:t>
      </w:r>
      <w:r>
        <w:rPr>
          <w:sz w:val="18"/>
        </w:rPr>
        <w:t>A</w:t>
      </w:r>
      <w:r>
        <w:rPr>
          <w:spacing w:val="-4"/>
          <w:sz w:val="18"/>
        </w:rPr>
        <w:t> </w:t>
      </w:r>
      <w:r>
        <w:rPr>
          <w:sz w:val="18"/>
        </w:rPr>
        <w:t>Modern</w:t>
      </w:r>
      <w:r>
        <w:rPr>
          <w:spacing w:val="-5"/>
          <w:sz w:val="18"/>
        </w:rPr>
        <w:t> </w:t>
      </w:r>
      <w:r>
        <w:rPr>
          <w:sz w:val="18"/>
        </w:rPr>
        <w:t>Bill</w:t>
      </w:r>
      <w:r>
        <w:rPr>
          <w:spacing w:val="-5"/>
          <w:sz w:val="18"/>
        </w:rPr>
        <w:t> </w:t>
      </w:r>
      <w:r>
        <w:rPr>
          <w:sz w:val="18"/>
        </w:rPr>
        <w:t>of</w:t>
      </w:r>
      <w:r>
        <w:rPr>
          <w:spacing w:val="-5"/>
          <w:sz w:val="18"/>
        </w:rPr>
        <w:t> </w:t>
      </w:r>
      <w:r>
        <w:rPr>
          <w:sz w:val="18"/>
        </w:rPr>
        <w:t>Rights, Ministry of Justice’ (ECNI, 2022).</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326"/>
      </w:pPr>
      <w:r>
        <w:rPr/>
        <w:t>obligations</w:t>
      </w:r>
      <w:r>
        <w:rPr>
          <w:spacing w:val="-6"/>
        </w:rPr>
        <w:t> </w:t>
      </w:r>
      <w:r>
        <w:rPr/>
        <w:t>under</w:t>
      </w:r>
      <w:r>
        <w:rPr>
          <w:spacing w:val="-5"/>
        </w:rPr>
        <w:t> </w:t>
      </w:r>
      <w:r>
        <w:rPr/>
        <w:t>the</w:t>
      </w:r>
      <w:r>
        <w:rPr>
          <w:spacing w:val="-5"/>
        </w:rPr>
        <w:t> </w:t>
      </w:r>
      <w:r>
        <w:rPr/>
        <w:t>Withdrawal</w:t>
      </w:r>
      <w:r>
        <w:rPr>
          <w:spacing w:val="-6"/>
        </w:rPr>
        <w:t> </w:t>
      </w:r>
      <w:r>
        <w:rPr/>
        <w:t>Agreement,</w:t>
      </w:r>
      <w:r>
        <w:rPr>
          <w:spacing w:val="-5"/>
        </w:rPr>
        <w:t> </w:t>
      </w:r>
      <w:r>
        <w:rPr/>
        <w:t>the</w:t>
      </w:r>
      <w:r>
        <w:rPr>
          <w:spacing w:val="-5"/>
        </w:rPr>
        <w:t> </w:t>
      </w:r>
      <w:r>
        <w:rPr/>
        <w:t>[Windsor</w:t>
      </w:r>
      <w:r>
        <w:rPr>
          <w:spacing w:val="-5"/>
        </w:rPr>
        <w:t> </w:t>
      </w:r>
      <w:r>
        <w:rPr/>
        <w:t>Framework]</w:t>
      </w:r>
      <w:r>
        <w:rPr>
          <w:spacing w:val="-5"/>
        </w:rPr>
        <w:t> </w:t>
      </w:r>
      <w:r>
        <w:rPr/>
        <w:t>and the UK-EU Trade and Cooperation Agreement”.</w:t>
      </w:r>
      <w:r>
        <w:rPr>
          <w:vertAlign w:val="superscript"/>
        </w:rPr>
        <w:t>115</w:t>
      </w:r>
      <w:r>
        <w:rPr>
          <w:vertAlign w:val="baseline"/>
        </w:rPr>
        <w:t> The Commissions were concerned about the UK Government’s lack of consideration of the Bill’s compliance with Windsor Framework Article 2. The ECNI raised concerns about the Bill’s lack of safeguards so as to ensure that the Bill, as applied, does not potentially breach Windsor Framework Article 2. The NIHRC advised that the Bill would create uncertainty and confusion, making the interpretation of Article 2 more challenging and that it is not a substitute for the comprehensive framework of human rights protections in the Human Rights Act.</w:t>
      </w:r>
      <w:r>
        <w:rPr>
          <w:vertAlign w:val="superscript"/>
        </w:rPr>
        <w:t>116</w:t>
      </w:r>
      <w:r>
        <w:rPr>
          <w:vertAlign w:val="baseline"/>
        </w:rPr>
        <w:t> In 2023, the Joint Committee on Human Rights found that the proposed Bill of Rights Bill undermined the universality of human rights, weakened</w:t>
      </w:r>
      <w:r>
        <w:rPr>
          <w:spacing w:val="-8"/>
          <w:vertAlign w:val="baseline"/>
        </w:rPr>
        <w:t> </w:t>
      </w:r>
      <w:r>
        <w:rPr>
          <w:vertAlign w:val="baseline"/>
        </w:rPr>
        <w:t>human</w:t>
      </w:r>
      <w:r>
        <w:rPr>
          <w:spacing w:val="-8"/>
          <w:vertAlign w:val="baseline"/>
        </w:rPr>
        <w:t> </w:t>
      </w:r>
      <w:r>
        <w:rPr>
          <w:vertAlign w:val="baseline"/>
        </w:rPr>
        <w:t>rights</w:t>
      </w:r>
      <w:r>
        <w:rPr>
          <w:spacing w:val="-8"/>
          <w:vertAlign w:val="baseline"/>
        </w:rPr>
        <w:t> </w:t>
      </w:r>
      <w:r>
        <w:rPr>
          <w:vertAlign w:val="baseline"/>
        </w:rPr>
        <w:t>protection</w:t>
      </w:r>
      <w:r>
        <w:rPr>
          <w:spacing w:val="-8"/>
          <w:vertAlign w:val="baseline"/>
        </w:rPr>
        <w:t> </w:t>
      </w:r>
      <w:r>
        <w:rPr>
          <w:vertAlign w:val="baseline"/>
        </w:rPr>
        <w:t>and</w:t>
      </w:r>
      <w:r>
        <w:rPr>
          <w:spacing w:val="-8"/>
          <w:vertAlign w:val="baseline"/>
        </w:rPr>
        <w:t> </w:t>
      </w:r>
      <w:r>
        <w:rPr>
          <w:vertAlign w:val="baseline"/>
        </w:rPr>
        <w:t>that</w:t>
      </w:r>
      <w:r>
        <w:rPr>
          <w:spacing w:val="-7"/>
          <w:vertAlign w:val="baseline"/>
        </w:rPr>
        <w:t> </w:t>
      </w:r>
      <w:r>
        <w:rPr>
          <w:vertAlign w:val="baseline"/>
        </w:rPr>
        <w:t>there</w:t>
      </w:r>
      <w:r>
        <w:rPr>
          <w:spacing w:val="-7"/>
          <w:vertAlign w:val="baseline"/>
        </w:rPr>
        <w:t> </w:t>
      </w:r>
      <w:r>
        <w:rPr>
          <w:vertAlign w:val="baseline"/>
        </w:rPr>
        <w:t>was</w:t>
      </w:r>
      <w:r>
        <w:rPr>
          <w:spacing w:val="-8"/>
          <w:vertAlign w:val="baseline"/>
        </w:rPr>
        <w:t> </w:t>
      </w:r>
      <w:r>
        <w:rPr>
          <w:vertAlign w:val="baseline"/>
        </w:rPr>
        <w:t>an</w:t>
      </w:r>
      <w:r>
        <w:rPr>
          <w:spacing w:val="-8"/>
          <w:vertAlign w:val="baseline"/>
        </w:rPr>
        <w:t> </w:t>
      </w:r>
      <w:r>
        <w:rPr>
          <w:vertAlign w:val="baseline"/>
        </w:rPr>
        <w:t>overwhelming</w:t>
      </w:r>
      <w:r>
        <w:rPr>
          <w:spacing w:val="-7"/>
          <w:vertAlign w:val="baseline"/>
        </w:rPr>
        <w:t> </w:t>
      </w:r>
      <w:r>
        <w:rPr>
          <w:vertAlign w:val="baseline"/>
        </w:rPr>
        <w:t>lack of support for the proposed reforms.</w:t>
      </w:r>
      <w:r>
        <w:rPr>
          <w:vertAlign w:val="superscript"/>
        </w:rPr>
        <w:t>117</w:t>
      </w:r>
      <w:r>
        <w:rPr>
          <w:vertAlign w:val="baseline"/>
        </w:rPr>
        <w:t> The Joint Committee concluded that</w:t>
      </w:r>
    </w:p>
    <w:p>
      <w:pPr>
        <w:pStyle w:val="BodyText"/>
        <w:spacing w:line="298" w:lineRule="exact"/>
        <w:ind w:left="1853"/>
      </w:pPr>
      <w:r>
        <w:rPr/>
        <w:t>the</w:t>
      </w:r>
      <w:r>
        <w:rPr>
          <w:spacing w:val="-7"/>
        </w:rPr>
        <w:t> </w:t>
      </w:r>
      <w:r>
        <w:rPr/>
        <w:t>UK</w:t>
      </w:r>
      <w:r>
        <w:rPr>
          <w:spacing w:val="-4"/>
        </w:rPr>
        <w:t> </w:t>
      </w:r>
      <w:r>
        <w:rPr/>
        <w:t>Government</w:t>
      </w:r>
      <w:r>
        <w:rPr>
          <w:spacing w:val="-4"/>
        </w:rPr>
        <w:t> </w:t>
      </w:r>
      <w:r>
        <w:rPr/>
        <w:t>“should</w:t>
      </w:r>
      <w:r>
        <w:rPr>
          <w:spacing w:val="-5"/>
        </w:rPr>
        <w:t> </w:t>
      </w:r>
      <w:r>
        <w:rPr/>
        <w:t>not</w:t>
      </w:r>
      <w:r>
        <w:rPr>
          <w:spacing w:val="-4"/>
        </w:rPr>
        <w:t> </w:t>
      </w:r>
      <w:r>
        <w:rPr/>
        <w:t>progress</w:t>
      </w:r>
      <w:r>
        <w:rPr>
          <w:spacing w:val="-5"/>
        </w:rPr>
        <w:t> </w:t>
      </w:r>
      <w:r>
        <w:rPr/>
        <w:t>the…</w:t>
      </w:r>
      <w:r>
        <w:rPr>
          <w:spacing w:val="-5"/>
        </w:rPr>
        <w:t> </w:t>
      </w:r>
      <w:r>
        <w:rPr/>
        <w:t>[Bill</w:t>
      </w:r>
      <w:r>
        <w:rPr>
          <w:spacing w:val="-5"/>
        </w:rPr>
        <w:t> </w:t>
      </w:r>
      <w:r>
        <w:rPr/>
        <w:t>of</w:t>
      </w:r>
      <w:r>
        <w:rPr>
          <w:spacing w:val="-5"/>
        </w:rPr>
        <w:t> </w:t>
      </w:r>
      <w:r>
        <w:rPr/>
        <w:t>Rights</w:t>
      </w:r>
      <w:r>
        <w:rPr>
          <w:spacing w:val="-5"/>
        </w:rPr>
        <w:t> </w:t>
      </w:r>
      <w:r>
        <w:rPr/>
        <w:t>Bill]</w:t>
      </w:r>
      <w:r>
        <w:rPr>
          <w:spacing w:val="-4"/>
        </w:rPr>
        <w:t> </w:t>
      </w:r>
      <w:r>
        <w:rPr/>
        <w:t>in</w:t>
      </w:r>
      <w:r>
        <w:rPr>
          <w:spacing w:val="-5"/>
        </w:rPr>
        <w:t> </w:t>
      </w:r>
      <w:r>
        <w:rPr/>
        <w:t>its</w:t>
      </w:r>
      <w:r>
        <w:rPr>
          <w:spacing w:val="-5"/>
        </w:rPr>
        <w:t> </w:t>
      </w:r>
      <w:r>
        <w:rPr>
          <w:spacing w:val="-2"/>
        </w:rPr>
        <w:t>current</w:t>
      </w:r>
    </w:p>
    <w:p>
      <w:pPr>
        <w:pStyle w:val="BodyText"/>
        <w:spacing w:line="225" w:lineRule="auto" w:before="5"/>
        <w:ind w:left="1853" w:right="1301"/>
      </w:pPr>
      <w:r>
        <w:rPr/>
        <w:t>form</w:t>
      </w:r>
      <w:r>
        <w:rPr>
          <w:spacing w:val="-11"/>
        </w:rPr>
        <w:t> </w:t>
      </w:r>
      <w:r>
        <w:rPr/>
        <w:t>through</w:t>
      </w:r>
      <w:r>
        <w:rPr>
          <w:spacing w:val="-12"/>
        </w:rPr>
        <w:t> </w:t>
      </w:r>
      <w:r>
        <w:rPr/>
        <w:t>Parliament”.</w:t>
      </w:r>
      <w:r>
        <w:rPr>
          <w:vertAlign w:val="superscript"/>
        </w:rPr>
        <w:t>118</w:t>
      </w:r>
      <w:r>
        <w:rPr>
          <w:spacing w:val="-12"/>
          <w:vertAlign w:val="baseline"/>
        </w:rPr>
        <w:t> </w:t>
      </w:r>
      <w:r>
        <w:rPr>
          <w:vertAlign w:val="baseline"/>
        </w:rPr>
        <w:t>This</w:t>
      </w:r>
      <w:r>
        <w:rPr>
          <w:spacing w:val="-12"/>
          <w:vertAlign w:val="baseline"/>
        </w:rPr>
        <w:t> </w:t>
      </w:r>
      <w:r>
        <w:rPr>
          <w:vertAlign w:val="baseline"/>
        </w:rPr>
        <w:t>conclusion</w:t>
      </w:r>
      <w:r>
        <w:rPr>
          <w:spacing w:val="-12"/>
          <w:vertAlign w:val="baseline"/>
        </w:rPr>
        <w:t> </w:t>
      </w:r>
      <w:r>
        <w:rPr>
          <w:vertAlign w:val="baseline"/>
        </w:rPr>
        <w:t>echoes</w:t>
      </w:r>
      <w:r>
        <w:rPr>
          <w:spacing w:val="-12"/>
          <w:vertAlign w:val="baseline"/>
        </w:rPr>
        <w:t> </w:t>
      </w:r>
      <w:r>
        <w:rPr>
          <w:vertAlign w:val="baseline"/>
        </w:rPr>
        <w:t>the</w:t>
      </w:r>
      <w:r>
        <w:rPr>
          <w:spacing w:val="-11"/>
          <w:vertAlign w:val="baseline"/>
        </w:rPr>
        <w:t> </w:t>
      </w:r>
      <w:r>
        <w:rPr>
          <w:vertAlign w:val="baseline"/>
        </w:rPr>
        <w:t>advice</w:t>
      </w:r>
      <w:r>
        <w:rPr>
          <w:spacing w:val="-11"/>
          <w:vertAlign w:val="baseline"/>
        </w:rPr>
        <w:t> </w:t>
      </w:r>
      <w:r>
        <w:rPr>
          <w:vertAlign w:val="baseline"/>
        </w:rPr>
        <w:t>provided</w:t>
      </w:r>
      <w:r>
        <w:rPr>
          <w:spacing w:val="-12"/>
          <w:vertAlign w:val="baseline"/>
        </w:rPr>
        <w:t> </w:t>
      </w:r>
      <w:r>
        <w:rPr>
          <w:vertAlign w:val="baseline"/>
        </w:rPr>
        <w:t>by the Commissions.</w:t>
      </w:r>
      <w:r>
        <w:rPr>
          <w:vertAlign w:val="superscript"/>
        </w:rPr>
        <w:t>119</w:t>
      </w:r>
    </w:p>
    <w:p>
      <w:pPr>
        <w:pStyle w:val="ListParagraph"/>
        <w:numPr>
          <w:ilvl w:val="1"/>
          <w:numId w:val="7"/>
        </w:numPr>
        <w:tabs>
          <w:tab w:pos="1853" w:val="left" w:leader="none"/>
        </w:tabs>
        <w:spacing w:line="225" w:lineRule="auto" w:before="318" w:after="0"/>
        <w:ind w:left="1853" w:right="1417" w:hanging="720"/>
        <w:jc w:val="left"/>
        <w:rPr>
          <w:sz w:val="28"/>
        </w:rPr>
      </w:pPr>
      <w:r>
        <w:rPr>
          <w:sz w:val="28"/>
        </w:rPr>
        <w:t>In June 2023, the UK Government confirmed that it was not proceeding with</w:t>
      </w:r>
      <w:r>
        <w:rPr>
          <w:spacing w:val="-6"/>
          <w:sz w:val="28"/>
        </w:rPr>
        <w:t> </w:t>
      </w:r>
      <w:r>
        <w:rPr>
          <w:sz w:val="28"/>
        </w:rPr>
        <w:t>the</w:t>
      </w:r>
      <w:r>
        <w:rPr>
          <w:spacing w:val="-5"/>
          <w:sz w:val="28"/>
        </w:rPr>
        <w:t> </w:t>
      </w:r>
      <w:r>
        <w:rPr>
          <w:sz w:val="28"/>
        </w:rPr>
        <w:t>Bill</w:t>
      </w:r>
      <w:r>
        <w:rPr>
          <w:spacing w:val="-6"/>
          <w:sz w:val="28"/>
        </w:rPr>
        <w:t> </w:t>
      </w:r>
      <w:r>
        <w:rPr>
          <w:sz w:val="28"/>
        </w:rPr>
        <w:t>of</w:t>
      </w:r>
      <w:r>
        <w:rPr>
          <w:spacing w:val="-6"/>
          <w:sz w:val="28"/>
        </w:rPr>
        <w:t> </w:t>
      </w:r>
      <w:r>
        <w:rPr>
          <w:sz w:val="28"/>
        </w:rPr>
        <w:t>Rights</w:t>
      </w:r>
      <w:r>
        <w:rPr>
          <w:spacing w:val="-6"/>
          <w:sz w:val="28"/>
        </w:rPr>
        <w:t> </w:t>
      </w:r>
      <w:r>
        <w:rPr>
          <w:sz w:val="28"/>
        </w:rPr>
        <w:t>Bill</w:t>
      </w:r>
      <w:r>
        <w:rPr>
          <w:spacing w:val="-6"/>
          <w:sz w:val="28"/>
        </w:rPr>
        <w:t> </w:t>
      </w:r>
      <w:r>
        <w:rPr>
          <w:sz w:val="28"/>
        </w:rPr>
        <w:t>and</w:t>
      </w:r>
      <w:r>
        <w:rPr>
          <w:spacing w:val="-6"/>
          <w:sz w:val="28"/>
        </w:rPr>
        <w:t> </w:t>
      </w:r>
      <w:r>
        <w:rPr>
          <w:sz w:val="28"/>
        </w:rPr>
        <w:t>instead</w:t>
      </w:r>
      <w:r>
        <w:rPr>
          <w:spacing w:val="-6"/>
          <w:sz w:val="28"/>
        </w:rPr>
        <w:t> </w:t>
      </w:r>
      <w:r>
        <w:rPr>
          <w:sz w:val="28"/>
        </w:rPr>
        <w:t>was</w:t>
      </w:r>
      <w:r>
        <w:rPr>
          <w:spacing w:val="-6"/>
          <w:sz w:val="28"/>
        </w:rPr>
        <w:t> </w:t>
      </w:r>
      <w:r>
        <w:rPr>
          <w:sz w:val="28"/>
        </w:rPr>
        <w:t>seeking</w:t>
      </w:r>
      <w:r>
        <w:rPr>
          <w:spacing w:val="-5"/>
          <w:sz w:val="28"/>
        </w:rPr>
        <w:t> </w:t>
      </w:r>
      <w:r>
        <w:rPr>
          <w:sz w:val="28"/>
        </w:rPr>
        <w:t>to</w:t>
      </w:r>
      <w:r>
        <w:rPr>
          <w:spacing w:val="-6"/>
          <w:sz w:val="28"/>
        </w:rPr>
        <w:t> </w:t>
      </w:r>
      <w:r>
        <w:rPr>
          <w:sz w:val="28"/>
        </w:rPr>
        <w:t>reform</w:t>
      </w:r>
      <w:r>
        <w:rPr>
          <w:spacing w:val="-5"/>
          <w:sz w:val="28"/>
        </w:rPr>
        <w:t> </w:t>
      </w:r>
      <w:r>
        <w:rPr>
          <w:sz w:val="28"/>
        </w:rPr>
        <w:t>the</w:t>
      </w:r>
      <w:r>
        <w:rPr>
          <w:spacing w:val="-5"/>
          <w:sz w:val="28"/>
        </w:rPr>
        <w:t> </w:t>
      </w:r>
      <w:r>
        <w:rPr>
          <w:sz w:val="28"/>
        </w:rPr>
        <w:t>UK’s</w:t>
      </w:r>
      <w:r>
        <w:rPr>
          <w:spacing w:val="-6"/>
          <w:sz w:val="28"/>
        </w:rPr>
        <w:t> </w:t>
      </w:r>
      <w:r>
        <w:rPr>
          <w:sz w:val="28"/>
        </w:rPr>
        <w:t>human rights</w:t>
      </w:r>
      <w:r>
        <w:rPr>
          <w:spacing w:val="-2"/>
          <w:sz w:val="28"/>
        </w:rPr>
        <w:t> </w:t>
      </w:r>
      <w:r>
        <w:rPr>
          <w:sz w:val="28"/>
        </w:rPr>
        <w:t>framework</w:t>
      </w:r>
      <w:r>
        <w:rPr>
          <w:spacing w:val="-1"/>
          <w:sz w:val="28"/>
        </w:rPr>
        <w:t> </w:t>
      </w:r>
      <w:r>
        <w:rPr>
          <w:sz w:val="28"/>
        </w:rPr>
        <w:t>through</w:t>
      </w:r>
      <w:r>
        <w:rPr>
          <w:spacing w:val="-2"/>
          <w:sz w:val="28"/>
        </w:rPr>
        <w:t> </w:t>
      </w:r>
      <w:r>
        <w:rPr>
          <w:sz w:val="28"/>
        </w:rPr>
        <w:t>a</w:t>
      </w:r>
      <w:r>
        <w:rPr>
          <w:spacing w:val="-2"/>
          <w:sz w:val="28"/>
        </w:rPr>
        <w:t> </w:t>
      </w:r>
      <w:r>
        <w:rPr>
          <w:sz w:val="28"/>
        </w:rPr>
        <w:t>piecemeal</w:t>
      </w:r>
      <w:r>
        <w:rPr>
          <w:spacing w:val="-2"/>
          <w:sz w:val="28"/>
        </w:rPr>
        <w:t> </w:t>
      </w:r>
      <w:r>
        <w:rPr>
          <w:sz w:val="28"/>
        </w:rPr>
        <w:t>approach,</w:t>
      </w:r>
      <w:r>
        <w:rPr>
          <w:spacing w:val="-1"/>
          <w:sz w:val="28"/>
        </w:rPr>
        <w:t> </w:t>
      </w:r>
      <w:r>
        <w:rPr>
          <w:sz w:val="28"/>
        </w:rPr>
        <w:t>such</w:t>
      </w:r>
      <w:r>
        <w:rPr>
          <w:spacing w:val="-2"/>
          <w:sz w:val="28"/>
        </w:rPr>
        <w:t> </w:t>
      </w:r>
      <w:r>
        <w:rPr>
          <w:sz w:val="28"/>
        </w:rPr>
        <w:t>as</w:t>
      </w:r>
      <w:r>
        <w:rPr>
          <w:spacing w:val="-2"/>
          <w:sz w:val="28"/>
        </w:rPr>
        <w:t> </w:t>
      </w:r>
      <w:r>
        <w:rPr>
          <w:sz w:val="28"/>
        </w:rPr>
        <w:t>through</w:t>
      </w:r>
      <w:r>
        <w:rPr>
          <w:spacing w:val="-2"/>
          <w:sz w:val="28"/>
        </w:rPr>
        <w:t> </w:t>
      </w:r>
      <w:r>
        <w:rPr>
          <w:sz w:val="28"/>
        </w:rPr>
        <w:t>the</w:t>
      </w:r>
      <w:r>
        <w:rPr>
          <w:spacing w:val="-1"/>
          <w:sz w:val="28"/>
        </w:rPr>
        <w:t> </w:t>
      </w:r>
      <w:r>
        <w:rPr>
          <w:sz w:val="28"/>
        </w:rPr>
        <w:t>Illegal</w:t>
      </w:r>
    </w:p>
    <w:p>
      <w:pPr>
        <w:pStyle w:val="BodyText"/>
        <w:spacing w:line="225" w:lineRule="auto"/>
        <w:ind w:left="1853" w:right="1215"/>
      </w:pPr>
      <w:r>
        <w:rPr/>
        <w:t>Migration</w:t>
      </w:r>
      <w:r>
        <w:rPr>
          <w:spacing w:val="-7"/>
        </w:rPr>
        <w:t> </w:t>
      </w:r>
      <w:r>
        <w:rPr/>
        <w:t>Act</w:t>
      </w:r>
      <w:r>
        <w:rPr>
          <w:spacing w:val="-6"/>
        </w:rPr>
        <w:t> </w:t>
      </w:r>
      <w:r>
        <w:rPr/>
        <w:t>2023,</w:t>
      </w:r>
      <w:r>
        <w:rPr>
          <w:spacing w:val="-6"/>
        </w:rPr>
        <w:t> </w:t>
      </w:r>
      <w:r>
        <w:rPr/>
        <w:t>the</w:t>
      </w:r>
      <w:r>
        <w:rPr>
          <w:spacing w:val="-6"/>
        </w:rPr>
        <w:t> </w:t>
      </w:r>
      <w:r>
        <w:rPr/>
        <w:t>NI</w:t>
      </w:r>
      <w:r>
        <w:rPr>
          <w:spacing w:val="-6"/>
        </w:rPr>
        <w:t> </w:t>
      </w:r>
      <w:r>
        <w:rPr/>
        <w:t>Troubles</w:t>
      </w:r>
      <w:r>
        <w:rPr>
          <w:spacing w:val="-7"/>
        </w:rPr>
        <w:t> </w:t>
      </w:r>
      <w:r>
        <w:rPr/>
        <w:t>(Legacy</w:t>
      </w:r>
      <w:r>
        <w:rPr>
          <w:spacing w:val="-6"/>
        </w:rPr>
        <w:t> </w:t>
      </w:r>
      <w:r>
        <w:rPr/>
        <w:t>and</w:t>
      </w:r>
      <w:r>
        <w:rPr>
          <w:spacing w:val="-7"/>
        </w:rPr>
        <w:t> </w:t>
      </w:r>
      <w:r>
        <w:rPr/>
        <w:t>Reconciliation)</w:t>
      </w:r>
      <w:r>
        <w:rPr>
          <w:spacing w:val="-7"/>
        </w:rPr>
        <w:t> </w:t>
      </w:r>
      <w:r>
        <w:rPr/>
        <w:t>Act</w:t>
      </w:r>
      <w:r>
        <w:rPr>
          <w:spacing w:val="-6"/>
        </w:rPr>
        <w:t> </w:t>
      </w:r>
      <w:r>
        <w:rPr/>
        <w:t>2023,</w:t>
      </w:r>
      <w:r>
        <w:rPr>
          <w:spacing w:val="-6"/>
        </w:rPr>
        <w:t> </w:t>
      </w:r>
      <w:r>
        <w:rPr/>
        <w:t>and the Safety of Rwanda (Asylum and Immigration) Bill.</w:t>
      </w:r>
      <w:r>
        <w:rPr>
          <w:vertAlign w:val="superscript"/>
        </w:rPr>
        <w:t>120</w:t>
      </w:r>
      <w:r>
        <w:rPr>
          <w:vertAlign w:val="baseline"/>
        </w:rPr>
        <w:t> The NIHRC has raised concerns</w:t>
      </w:r>
      <w:r>
        <w:rPr>
          <w:spacing w:val="-3"/>
          <w:vertAlign w:val="baseline"/>
        </w:rPr>
        <w:t> </w:t>
      </w:r>
      <w:r>
        <w:rPr>
          <w:vertAlign w:val="baseline"/>
        </w:rPr>
        <w:t>that</w:t>
      </w:r>
      <w:r>
        <w:rPr>
          <w:spacing w:val="-2"/>
          <w:vertAlign w:val="baseline"/>
        </w:rPr>
        <w:t> </w:t>
      </w:r>
      <w:r>
        <w:rPr>
          <w:vertAlign w:val="baseline"/>
        </w:rPr>
        <w:t>the</w:t>
      </w:r>
      <w:r>
        <w:rPr>
          <w:spacing w:val="-2"/>
          <w:vertAlign w:val="baseline"/>
        </w:rPr>
        <w:t> </w:t>
      </w:r>
      <w:r>
        <w:rPr>
          <w:vertAlign w:val="baseline"/>
        </w:rPr>
        <w:t>proposed</w:t>
      </w:r>
      <w:r>
        <w:rPr>
          <w:spacing w:val="-3"/>
          <w:vertAlign w:val="baseline"/>
        </w:rPr>
        <w:t> </w:t>
      </w:r>
      <w:r>
        <w:rPr>
          <w:vertAlign w:val="baseline"/>
        </w:rPr>
        <w:t>changes</w:t>
      </w:r>
      <w:r>
        <w:rPr>
          <w:spacing w:val="-3"/>
          <w:vertAlign w:val="baseline"/>
        </w:rPr>
        <w:t> </w:t>
      </w:r>
      <w:r>
        <w:rPr>
          <w:vertAlign w:val="baseline"/>
        </w:rPr>
        <w:t>will</w:t>
      </w:r>
      <w:r>
        <w:rPr>
          <w:spacing w:val="-3"/>
          <w:vertAlign w:val="baseline"/>
        </w:rPr>
        <w:t> </w:t>
      </w:r>
      <w:r>
        <w:rPr>
          <w:vertAlign w:val="baseline"/>
        </w:rPr>
        <w:t>reduce</w:t>
      </w:r>
      <w:r>
        <w:rPr>
          <w:spacing w:val="-2"/>
          <w:vertAlign w:val="baseline"/>
        </w:rPr>
        <w:t> </w:t>
      </w:r>
      <w:r>
        <w:rPr>
          <w:vertAlign w:val="baseline"/>
        </w:rPr>
        <w:t>access</w:t>
      </w:r>
      <w:r>
        <w:rPr>
          <w:spacing w:val="-3"/>
          <w:vertAlign w:val="baseline"/>
        </w:rPr>
        <w:t> </w:t>
      </w:r>
      <w:r>
        <w:rPr>
          <w:vertAlign w:val="baseline"/>
        </w:rPr>
        <w:t>to</w:t>
      </w:r>
      <w:r>
        <w:rPr>
          <w:spacing w:val="-3"/>
          <w:vertAlign w:val="baseline"/>
        </w:rPr>
        <w:t> </w:t>
      </w:r>
      <w:r>
        <w:rPr>
          <w:vertAlign w:val="baseline"/>
        </w:rPr>
        <w:t>domestic</w:t>
      </w:r>
      <w:r>
        <w:rPr>
          <w:spacing w:val="-2"/>
          <w:vertAlign w:val="baseline"/>
        </w:rPr>
        <w:t> </w:t>
      </w:r>
      <w:r>
        <w:rPr>
          <w:vertAlign w:val="baseline"/>
        </w:rPr>
        <w:t>courts</w:t>
      </w:r>
      <w:r>
        <w:rPr>
          <w:spacing w:val="-3"/>
          <w:vertAlign w:val="baseline"/>
        </w:rPr>
        <w:t> </w:t>
      </w:r>
      <w:r>
        <w:rPr>
          <w:vertAlign w:val="baseline"/>
        </w:rPr>
        <w:t>for individuals</w:t>
      </w:r>
      <w:r>
        <w:rPr>
          <w:spacing w:val="-1"/>
          <w:vertAlign w:val="baseline"/>
        </w:rPr>
        <w:t> </w:t>
      </w:r>
      <w:r>
        <w:rPr>
          <w:vertAlign w:val="baseline"/>
        </w:rPr>
        <w:t>seeking human</w:t>
      </w:r>
      <w:r>
        <w:rPr>
          <w:spacing w:val="-1"/>
          <w:vertAlign w:val="baseline"/>
        </w:rPr>
        <w:t> </w:t>
      </w:r>
      <w:r>
        <w:rPr>
          <w:vertAlign w:val="baseline"/>
        </w:rPr>
        <w:t>rights-based</w:t>
      </w:r>
      <w:r>
        <w:rPr>
          <w:spacing w:val="-1"/>
          <w:vertAlign w:val="baseline"/>
        </w:rPr>
        <w:t> </w:t>
      </w:r>
      <w:r>
        <w:rPr>
          <w:vertAlign w:val="baseline"/>
        </w:rPr>
        <w:t>remedy contrary to</w:t>
      </w:r>
      <w:r>
        <w:rPr>
          <w:spacing w:val="-1"/>
          <w:vertAlign w:val="baseline"/>
        </w:rPr>
        <w:t> </w:t>
      </w:r>
      <w:r>
        <w:rPr>
          <w:vertAlign w:val="baseline"/>
        </w:rPr>
        <w:t>the ECHR</w:t>
      </w:r>
      <w:r>
        <w:rPr>
          <w:spacing w:val="-1"/>
          <w:vertAlign w:val="baseline"/>
        </w:rPr>
        <w:t> </w:t>
      </w:r>
      <w:r>
        <w:rPr>
          <w:vertAlign w:val="baseline"/>
        </w:rPr>
        <w:t>and</w:t>
      </w:r>
      <w:r>
        <w:rPr>
          <w:spacing w:val="-1"/>
          <w:vertAlign w:val="baseline"/>
        </w:rPr>
        <w:t> </w:t>
      </w:r>
      <w:r>
        <w:rPr>
          <w:vertAlign w:val="baseline"/>
        </w:rPr>
        <w:t>the Belfast</w:t>
      </w:r>
      <w:r>
        <w:rPr>
          <w:spacing w:val="-8"/>
          <w:vertAlign w:val="baseline"/>
        </w:rPr>
        <w:t> </w:t>
      </w:r>
      <w:r>
        <w:rPr>
          <w:vertAlign w:val="baseline"/>
        </w:rPr>
        <w:t>(Good</w:t>
      </w:r>
      <w:r>
        <w:rPr>
          <w:spacing w:val="-9"/>
          <w:vertAlign w:val="baseline"/>
        </w:rPr>
        <w:t> </w:t>
      </w:r>
      <w:r>
        <w:rPr>
          <w:vertAlign w:val="baseline"/>
        </w:rPr>
        <w:t>Friday)</w:t>
      </w:r>
      <w:r>
        <w:rPr>
          <w:spacing w:val="-9"/>
          <w:vertAlign w:val="baseline"/>
        </w:rPr>
        <w:t> </w:t>
      </w:r>
      <w:r>
        <w:rPr>
          <w:vertAlign w:val="baseline"/>
        </w:rPr>
        <w:t>Agreement</w:t>
      </w:r>
      <w:r>
        <w:rPr>
          <w:spacing w:val="-8"/>
          <w:vertAlign w:val="baseline"/>
        </w:rPr>
        <w:t> </w:t>
      </w:r>
      <w:r>
        <w:rPr>
          <w:vertAlign w:val="baseline"/>
        </w:rPr>
        <w:t>1998,</w:t>
      </w:r>
      <w:r>
        <w:rPr>
          <w:spacing w:val="-8"/>
          <w:vertAlign w:val="baseline"/>
        </w:rPr>
        <w:t> </w:t>
      </w:r>
      <w:r>
        <w:rPr>
          <w:vertAlign w:val="baseline"/>
        </w:rPr>
        <w:t>and</w:t>
      </w:r>
      <w:r>
        <w:rPr>
          <w:spacing w:val="-9"/>
          <w:vertAlign w:val="baseline"/>
        </w:rPr>
        <w:t> </w:t>
      </w:r>
      <w:r>
        <w:rPr>
          <w:vertAlign w:val="baseline"/>
        </w:rPr>
        <w:t>about</w:t>
      </w:r>
      <w:r>
        <w:rPr>
          <w:spacing w:val="-8"/>
          <w:vertAlign w:val="baseline"/>
        </w:rPr>
        <w:t> </w:t>
      </w:r>
      <w:r>
        <w:rPr>
          <w:vertAlign w:val="baseline"/>
        </w:rPr>
        <w:t>the</w:t>
      </w:r>
      <w:r>
        <w:rPr>
          <w:spacing w:val="-8"/>
          <w:vertAlign w:val="baseline"/>
        </w:rPr>
        <w:t> </w:t>
      </w:r>
      <w:r>
        <w:rPr>
          <w:vertAlign w:val="baseline"/>
        </w:rPr>
        <w:t>legislation’s</w:t>
      </w:r>
      <w:r>
        <w:rPr>
          <w:spacing w:val="-9"/>
          <w:vertAlign w:val="baseline"/>
        </w:rPr>
        <w:t> </w:t>
      </w:r>
      <w:r>
        <w:rPr>
          <w:vertAlign w:val="baseline"/>
        </w:rPr>
        <w:t>compliance with human rights law.</w:t>
      </w:r>
      <w:r>
        <w:rPr>
          <w:spacing w:val="40"/>
          <w:vertAlign w:val="baseline"/>
        </w:rPr>
        <w:t> </w:t>
      </w:r>
      <w:r>
        <w:rPr>
          <w:vertAlign w:val="baseline"/>
        </w:rPr>
        <w:t>Both Commissions have also raised concerns about the compatibility of this legislation with Windsor Framework Article 2.</w:t>
      </w:r>
      <w:r>
        <w:rPr>
          <w:vertAlign w:val="superscript"/>
        </w:rPr>
        <w:t>121</w:t>
      </w:r>
    </w:p>
    <w:p>
      <w:pPr>
        <w:pStyle w:val="BodyText"/>
        <w:spacing w:before="6"/>
        <w:rPr>
          <w:sz w:val="15"/>
        </w:rPr>
      </w:pPr>
      <w:r>
        <w:rPr/>
        <mc:AlternateContent>
          <mc:Choice Requires="wps">
            <w:drawing>
              <wp:anchor distT="0" distB="0" distL="0" distR="0" allowOverlap="1" layoutInCell="1" locked="0" behindDoc="1" simplePos="0" relativeHeight="487639040">
                <wp:simplePos x="0" y="0"/>
                <wp:positionH relativeFrom="page">
                  <wp:posOffset>719996</wp:posOffset>
                </wp:positionH>
                <wp:positionV relativeFrom="paragraph">
                  <wp:posOffset>135685</wp:posOffset>
                </wp:positionV>
                <wp:extent cx="6120130" cy="1270"/>
                <wp:effectExtent l="0" t="0" r="0" b="0"/>
                <wp:wrapTopAndBottom/>
                <wp:docPr id="175" name="Graphic 175"/>
                <wp:cNvGraphicFramePr>
                  <a:graphicFrameLocks/>
                </wp:cNvGraphicFramePr>
                <a:graphic>
                  <a:graphicData uri="http://schemas.microsoft.com/office/word/2010/wordprocessingShape">
                    <wps:wsp>
                      <wps:cNvPr id="175" name="Graphic 175"/>
                      <wps:cNvSpPr/>
                      <wps:spPr>
                        <a:xfrm>
                          <a:off x="0" y="0"/>
                          <a:ext cx="6120130" cy="1270"/>
                        </a:xfrm>
                        <a:custGeom>
                          <a:avLst/>
                          <a:gdLst/>
                          <a:ahLst/>
                          <a:cxnLst/>
                          <a:rect l="l" t="t" r="r" b="b"/>
                          <a:pathLst>
                            <a:path w="6120130" h="0">
                              <a:moveTo>
                                <a:pt x="6120003" y="0"/>
                              </a:moveTo>
                              <a:lnTo>
                                <a:pt x="0"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0.683902pt;width:481.9pt;height:.1pt;mso-position-horizontal-relative:page;mso-position-vertical-relative:paragraph;z-index:-15677440;mso-wrap-distance-left:0;mso-wrap-distance-right:0" id="docshape132" coordorigin="1134,214" coordsize="9638,0" path="m10772,214l1134,214e" filled="false" stroked="true" strokeweight="1pt" strokecolor="#393b7f">
                <v:path arrowok="t"/>
                <v:stroke dashstyle="solid"/>
                <w10:wrap type="topAndBottom"/>
              </v:shape>
            </w:pict>
          </mc:Fallback>
        </mc:AlternateContent>
      </w:r>
    </w:p>
    <w:p>
      <w:pPr>
        <w:pStyle w:val="ListParagraph"/>
        <w:numPr>
          <w:ilvl w:val="0"/>
          <w:numId w:val="3"/>
        </w:numPr>
        <w:tabs>
          <w:tab w:pos="1853" w:val="left" w:leader="none"/>
        </w:tabs>
        <w:spacing w:line="218" w:lineRule="exact" w:before="130" w:after="0"/>
        <w:ind w:left="1853" w:right="0" w:hanging="720"/>
        <w:jc w:val="left"/>
        <w:rPr>
          <w:sz w:val="18"/>
        </w:rPr>
      </w:pPr>
      <w:r>
        <w:rPr>
          <w:sz w:val="18"/>
        </w:rPr>
        <w:t>Ministry</w:t>
      </w:r>
      <w:r>
        <w:rPr>
          <w:spacing w:val="-5"/>
          <w:sz w:val="18"/>
        </w:rPr>
        <w:t> </w:t>
      </w:r>
      <w:r>
        <w:rPr>
          <w:sz w:val="18"/>
        </w:rPr>
        <w:t>of</w:t>
      </w:r>
      <w:r>
        <w:rPr>
          <w:spacing w:val="-5"/>
          <w:sz w:val="18"/>
        </w:rPr>
        <w:t> </w:t>
      </w:r>
      <w:r>
        <w:rPr>
          <w:sz w:val="18"/>
        </w:rPr>
        <w:t>Justice,</w:t>
      </w:r>
      <w:r>
        <w:rPr>
          <w:spacing w:val="-4"/>
          <w:sz w:val="18"/>
        </w:rPr>
        <w:t> </w:t>
      </w:r>
      <w:r>
        <w:rPr>
          <w:sz w:val="18"/>
        </w:rPr>
        <w:t>‘Human</w:t>
      </w:r>
      <w:r>
        <w:rPr>
          <w:spacing w:val="-5"/>
          <w:sz w:val="18"/>
        </w:rPr>
        <w:t> </w:t>
      </w:r>
      <w:r>
        <w:rPr>
          <w:sz w:val="18"/>
        </w:rPr>
        <w:t>Rights</w:t>
      </w:r>
      <w:r>
        <w:rPr>
          <w:spacing w:val="-5"/>
          <w:sz w:val="18"/>
        </w:rPr>
        <w:t> </w:t>
      </w:r>
      <w:r>
        <w:rPr>
          <w:sz w:val="18"/>
        </w:rPr>
        <w:t>Act</w:t>
      </w:r>
      <w:r>
        <w:rPr>
          <w:spacing w:val="-4"/>
          <w:sz w:val="18"/>
        </w:rPr>
        <w:t> </w:t>
      </w:r>
      <w:r>
        <w:rPr>
          <w:sz w:val="18"/>
        </w:rPr>
        <w:t>Reform:</w:t>
      </w:r>
      <w:r>
        <w:rPr>
          <w:spacing w:val="-4"/>
          <w:sz w:val="18"/>
        </w:rPr>
        <w:t> </w:t>
      </w:r>
      <w:r>
        <w:rPr>
          <w:sz w:val="18"/>
        </w:rPr>
        <w:t>A</w:t>
      </w:r>
      <w:r>
        <w:rPr>
          <w:spacing w:val="-5"/>
          <w:sz w:val="18"/>
        </w:rPr>
        <w:t> </w:t>
      </w:r>
      <w:r>
        <w:rPr>
          <w:sz w:val="18"/>
        </w:rPr>
        <w:t>Modern</w:t>
      </w:r>
      <w:r>
        <w:rPr>
          <w:spacing w:val="-5"/>
          <w:sz w:val="18"/>
        </w:rPr>
        <w:t> </w:t>
      </w:r>
      <w:r>
        <w:rPr>
          <w:sz w:val="18"/>
        </w:rPr>
        <w:t>Bill</w:t>
      </w:r>
      <w:r>
        <w:rPr>
          <w:spacing w:val="-5"/>
          <w:sz w:val="18"/>
        </w:rPr>
        <w:t> </w:t>
      </w:r>
      <w:r>
        <w:rPr>
          <w:sz w:val="18"/>
        </w:rPr>
        <w:t>of</w:t>
      </w:r>
      <w:r>
        <w:rPr>
          <w:spacing w:val="-5"/>
          <w:sz w:val="18"/>
        </w:rPr>
        <w:t> </w:t>
      </w:r>
      <w:r>
        <w:rPr>
          <w:sz w:val="18"/>
        </w:rPr>
        <w:t>Rights</w:t>
      </w:r>
      <w:r>
        <w:rPr>
          <w:spacing w:val="-5"/>
          <w:sz w:val="18"/>
        </w:rPr>
        <w:t> </w:t>
      </w:r>
      <w:r>
        <w:rPr>
          <w:sz w:val="18"/>
        </w:rPr>
        <w:t>–</w:t>
      </w:r>
      <w:r>
        <w:rPr>
          <w:spacing w:val="-5"/>
          <w:sz w:val="18"/>
        </w:rPr>
        <w:t> </w:t>
      </w:r>
      <w:r>
        <w:rPr>
          <w:sz w:val="18"/>
        </w:rPr>
        <w:t>Consultation</w:t>
      </w:r>
      <w:r>
        <w:rPr>
          <w:spacing w:val="-5"/>
          <w:sz w:val="18"/>
        </w:rPr>
        <w:t> </w:t>
      </w:r>
      <w:r>
        <w:rPr>
          <w:sz w:val="18"/>
        </w:rPr>
        <w:t>Response’</w:t>
      </w:r>
      <w:r>
        <w:rPr>
          <w:spacing w:val="-4"/>
          <w:sz w:val="18"/>
        </w:rPr>
        <w:t> </w:t>
      </w:r>
      <w:r>
        <w:rPr>
          <w:sz w:val="18"/>
        </w:rPr>
        <w:t>(MoJ,</w:t>
      </w:r>
      <w:r>
        <w:rPr>
          <w:spacing w:val="-5"/>
          <w:sz w:val="18"/>
        </w:rPr>
        <w:t> </w:t>
      </w:r>
      <w:r>
        <w:rPr>
          <w:spacing w:val="-2"/>
          <w:sz w:val="18"/>
        </w:rPr>
        <w:t>2022).</w:t>
      </w:r>
    </w:p>
    <w:p>
      <w:pPr>
        <w:pStyle w:val="ListParagraph"/>
        <w:numPr>
          <w:ilvl w:val="0"/>
          <w:numId w:val="3"/>
        </w:numPr>
        <w:tabs>
          <w:tab w:pos="1853" w:val="left" w:leader="none"/>
        </w:tabs>
        <w:spacing w:line="235" w:lineRule="auto" w:before="2" w:after="0"/>
        <w:ind w:left="1853" w:right="1312" w:hanging="720"/>
        <w:jc w:val="left"/>
        <w:rPr>
          <w:sz w:val="18"/>
        </w:rPr>
      </w:pPr>
      <w:r>
        <w:rPr>
          <w:sz w:val="18"/>
        </w:rPr>
        <w:t>NI Human Rights Commission, ‘Evidence to Joint Committee on Human Rights Legislative Scrutiny of the Bill of Rights Bill’,</w:t>
      </w:r>
      <w:r>
        <w:rPr>
          <w:spacing w:val="-5"/>
          <w:sz w:val="18"/>
        </w:rPr>
        <w:t> </w:t>
      </w:r>
      <w:r>
        <w:rPr>
          <w:sz w:val="18"/>
        </w:rPr>
        <w:t>(NIHRC,</w:t>
      </w:r>
      <w:r>
        <w:rPr>
          <w:spacing w:val="-5"/>
          <w:sz w:val="18"/>
        </w:rPr>
        <w:t> </w:t>
      </w:r>
      <w:r>
        <w:rPr>
          <w:sz w:val="18"/>
        </w:rPr>
        <w:t>2022);</w:t>
      </w:r>
      <w:r>
        <w:rPr>
          <w:spacing w:val="-5"/>
          <w:sz w:val="18"/>
        </w:rPr>
        <w:t> </w:t>
      </w:r>
      <w:r>
        <w:rPr>
          <w:sz w:val="18"/>
        </w:rPr>
        <w:t>Equality</w:t>
      </w:r>
      <w:r>
        <w:rPr>
          <w:spacing w:val="-5"/>
          <w:sz w:val="18"/>
        </w:rPr>
        <w:t> </w:t>
      </w:r>
      <w:r>
        <w:rPr>
          <w:sz w:val="18"/>
        </w:rPr>
        <w:t>Commission</w:t>
      </w:r>
      <w:r>
        <w:rPr>
          <w:spacing w:val="-5"/>
          <w:sz w:val="18"/>
        </w:rPr>
        <w:t> </w:t>
      </w:r>
      <w:r>
        <w:rPr>
          <w:sz w:val="18"/>
        </w:rPr>
        <w:t>for</w:t>
      </w:r>
      <w:r>
        <w:rPr>
          <w:spacing w:val="-5"/>
          <w:sz w:val="18"/>
        </w:rPr>
        <w:t> </w:t>
      </w:r>
      <w:r>
        <w:rPr>
          <w:sz w:val="18"/>
        </w:rPr>
        <w:t>NI,</w:t>
      </w:r>
      <w:r>
        <w:rPr>
          <w:spacing w:val="-5"/>
          <w:sz w:val="18"/>
        </w:rPr>
        <w:t> </w:t>
      </w:r>
      <w:r>
        <w:rPr>
          <w:sz w:val="18"/>
        </w:rPr>
        <w:t>‘Response</w:t>
      </w:r>
      <w:r>
        <w:rPr>
          <w:spacing w:val="-5"/>
          <w:sz w:val="18"/>
        </w:rPr>
        <w:t> </w:t>
      </w:r>
      <w:r>
        <w:rPr>
          <w:sz w:val="18"/>
        </w:rPr>
        <w:t>to</w:t>
      </w:r>
      <w:r>
        <w:rPr>
          <w:spacing w:val="-5"/>
          <w:sz w:val="18"/>
        </w:rPr>
        <w:t> </w:t>
      </w:r>
      <w:r>
        <w:rPr>
          <w:sz w:val="18"/>
        </w:rPr>
        <w:t>the</w:t>
      </w:r>
      <w:r>
        <w:rPr>
          <w:spacing w:val="-5"/>
          <w:sz w:val="18"/>
        </w:rPr>
        <w:t> </w:t>
      </w:r>
      <w:r>
        <w:rPr>
          <w:sz w:val="18"/>
        </w:rPr>
        <w:t>UK</w:t>
      </w:r>
      <w:r>
        <w:rPr>
          <w:spacing w:val="-5"/>
          <w:sz w:val="18"/>
        </w:rPr>
        <w:t> </w:t>
      </w:r>
      <w:r>
        <w:rPr>
          <w:sz w:val="18"/>
        </w:rPr>
        <w:t>Joint</w:t>
      </w:r>
      <w:r>
        <w:rPr>
          <w:spacing w:val="-5"/>
          <w:sz w:val="18"/>
        </w:rPr>
        <w:t> </w:t>
      </w:r>
      <w:r>
        <w:rPr>
          <w:sz w:val="18"/>
        </w:rPr>
        <w:t>Committee</w:t>
      </w:r>
      <w:r>
        <w:rPr>
          <w:spacing w:val="-5"/>
          <w:sz w:val="18"/>
        </w:rPr>
        <w:t> </w:t>
      </w:r>
      <w:r>
        <w:rPr>
          <w:sz w:val="18"/>
        </w:rPr>
        <w:t>on</w:t>
      </w:r>
      <w:r>
        <w:rPr>
          <w:spacing w:val="-5"/>
          <w:sz w:val="18"/>
        </w:rPr>
        <w:t> </w:t>
      </w:r>
      <w:r>
        <w:rPr>
          <w:sz w:val="18"/>
        </w:rPr>
        <w:t>Human</w:t>
      </w:r>
      <w:r>
        <w:rPr>
          <w:spacing w:val="-5"/>
          <w:sz w:val="18"/>
        </w:rPr>
        <w:t> </w:t>
      </w:r>
      <w:r>
        <w:rPr>
          <w:sz w:val="18"/>
        </w:rPr>
        <w:t>Rights</w:t>
      </w:r>
      <w:r>
        <w:rPr>
          <w:spacing w:val="-5"/>
          <w:sz w:val="18"/>
        </w:rPr>
        <w:t> </w:t>
      </w:r>
      <w:r>
        <w:rPr>
          <w:sz w:val="18"/>
        </w:rPr>
        <w:t>call</w:t>
      </w:r>
      <w:r>
        <w:rPr>
          <w:spacing w:val="-5"/>
          <w:sz w:val="18"/>
        </w:rPr>
        <w:t> </w:t>
      </w:r>
      <w:r>
        <w:rPr>
          <w:sz w:val="18"/>
        </w:rPr>
        <w:t>for</w:t>
      </w:r>
      <w:r>
        <w:rPr>
          <w:spacing w:val="-5"/>
          <w:sz w:val="18"/>
        </w:rPr>
        <w:t> </w:t>
      </w:r>
      <w:r>
        <w:rPr>
          <w:sz w:val="18"/>
        </w:rPr>
        <w:t>evidence</w:t>
      </w:r>
    </w:p>
    <w:p>
      <w:pPr>
        <w:spacing w:line="235" w:lineRule="auto" w:before="1"/>
        <w:ind w:left="1853" w:right="1171" w:firstLine="0"/>
        <w:jc w:val="left"/>
        <w:rPr>
          <w:sz w:val="18"/>
        </w:rPr>
      </w:pPr>
      <w:r>
        <w:rPr>
          <w:sz w:val="18"/>
        </w:rPr>
        <w:t>Legislative</w:t>
      </w:r>
      <w:r>
        <w:rPr>
          <w:spacing w:val="-4"/>
          <w:sz w:val="18"/>
        </w:rPr>
        <w:t> </w:t>
      </w:r>
      <w:r>
        <w:rPr>
          <w:sz w:val="18"/>
        </w:rPr>
        <w:t>Scrutiny:</w:t>
      </w:r>
      <w:r>
        <w:rPr>
          <w:spacing w:val="-4"/>
          <w:sz w:val="18"/>
        </w:rPr>
        <w:t> </w:t>
      </w:r>
      <w:r>
        <w:rPr>
          <w:sz w:val="18"/>
        </w:rPr>
        <w:t>Bill</w:t>
      </w:r>
      <w:r>
        <w:rPr>
          <w:spacing w:val="-5"/>
          <w:sz w:val="18"/>
        </w:rPr>
        <w:t> </w:t>
      </w:r>
      <w:r>
        <w:rPr>
          <w:sz w:val="18"/>
        </w:rPr>
        <w:t>of</w:t>
      </w:r>
      <w:r>
        <w:rPr>
          <w:spacing w:val="-5"/>
          <w:sz w:val="18"/>
        </w:rPr>
        <w:t> </w:t>
      </w:r>
      <w:r>
        <w:rPr>
          <w:sz w:val="18"/>
        </w:rPr>
        <w:t>Rights</w:t>
      </w:r>
      <w:r>
        <w:rPr>
          <w:spacing w:val="-5"/>
          <w:sz w:val="18"/>
        </w:rPr>
        <w:t> </w:t>
      </w:r>
      <w:r>
        <w:rPr>
          <w:sz w:val="18"/>
        </w:rPr>
        <w:t>Bill’,</w:t>
      </w:r>
      <w:r>
        <w:rPr>
          <w:spacing w:val="-4"/>
          <w:sz w:val="18"/>
        </w:rPr>
        <w:t> </w:t>
      </w:r>
      <w:r>
        <w:rPr>
          <w:sz w:val="18"/>
        </w:rPr>
        <w:t>(ECNI,</w:t>
      </w:r>
      <w:r>
        <w:rPr>
          <w:spacing w:val="-4"/>
          <w:sz w:val="18"/>
        </w:rPr>
        <w:t> </w:t>
      </w:r>
      <w:r>
        <w:rPr>
          <w:sz w:val="18"/>
        </w:rPr>
        <w:t>2022);</w:t>
      </w:r>
      <w:r>
        <w:rPr>
          <w:spacing w:val="-4"/>
          <w:sz w:val="18"/>
        </w:rPr>
        <w:t> </w:t>
      </w: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‘Advice</w:t>
      </w:r>
      <w:r>
        <w:rPr>
          <w:spacing w:val="-4"/>
          <w:sz w:val="18"/>
        </w:rPr>
        <w:t> </w:t>
      </w:r>
      <w:r>
        <w:rPr>
          <w:sz w:val="18"/>
        </w:rPr>
        <w:t>on</w:t>
      </w:r>
      <w:r>
        <w:rPr>
          <w:spacing w:val="-5"/>
          <w:sz w:val="18"/>
        </w:rPr>
        <w:t> </w:t>
      </w:r>
      <w:r>
        <w:rPr>
          <w:sz w:val="18"/>
        </w:rPr>
        <w:t>the</w:t>
      </w:r>
      <w:r>
        <w:rPr>
          <w:spacing w:val="-4"/>
          <w:sz w:val="18"/>
        </w:rPr>
        <w:t> </w:t>
      </w:r>
      <w:r>
        <w:rPr>
          <w:sz w:val="18"/>
        </w:rPr>
        <w:t>Bill</w:t>
      </w:r>
      <w:r>
        <w:rPr>
          <w:spacing w:val="-5"/>
          <w:sz w:val="18"/>
        </w:rPr>
        <w:t> </w:t>
      </w:r>
      <w:r>
        <w:rPr>
          <w:sz w:val="18"/>
        </w:rPr>
        <w:t>of</w:t>
      </w:r>
      <w:r>
        <w:rPr>
          <w:spacing w:val="-5"/>
          <w:sz w:val="18"/>
        </w:rPr>
        <w:t> </w:t>
      </w:r>
      <w:r>
        <w:rPr>
          <w:sz w:val="18"/>
        </w:rPr>
        <w:t>Rights</w:t>
      </w:r>
      <w:r>
        <w:rPr>
          <w:spacing w:val="-5"/>
          <w:sz w:val="18"/>
        </w:rPr>
        <w:t> </w:t>
      </w:r>
      <w:r>
        <w:rPr>
          <w:sz w:val="18"/>
        </w:rPr>
        <w:t>Bill’</w:t>
      </w:r>
      <w:r>
        <w:rPr>
          <w:spacing w:val="-4"/>
          <w:sz w:val="18"/>
        </w:rPr>
        <w:t> </w:t>
      </w:r>
      <w:r>
        <w:rPr>
          <w:sz w:val="18"/>
        </w:rPr>
        <w:t>(NIHRC, </w:t>
      </w:r>
      <w:r>
        <w:rPr>
          <w:spacing w:val="-2"/>
          <w:sz w:val="18"/>
        </w:rPr>
        <w:t>2022).</w:t>
      </w:r>
    </w:p>
    <w:p>
      <w:pPr>
        <w:pStyle w:val="ListParagraph"/>
        <w:numPr>
          <w:ilvl w:val="0"/>
          <w:numId w:val="3"/>
        </w:numPr>
        <w:tabs>
          <w:tab w:pos="1853" w:val="left" w:leader="none"/>
        </w:tabs>
        <w:spacing w:line="235" w:lineRule="auto" w:before="2" w:after="0"/>
        <w:ind w:left="1853" w:right="1209" w:hanging="720"/>
        <w:jc w:val="left"/>
        <w:rPr>
          <w:sz w:val="18"/>
        </w:rPr>
      </w:pPr>
      <w:r>
        <w:rPr>
          <w:sz w:val="18"/>
        </w:rPr>
        <w:t>House</w:t>
      </w:r>
      <w:r>
        <w:rPr>
          <w:spacing w:val="-3"/>
          <w:sz w:val="18"/>
        </w:rPr>
        <w:t> </w:t>
      </w:r>
      <w:r>
        <w:rPr>
          <w:sz w:val="18"/>
        </w:rPr>
        <w:t>of</w:t>
      </w:r>
      <w:r>
        <w:rPr>
          <w:spacing w:val="-4"/>
          <w:sz w:val="18"/>
        </w:rPr>
        <w:t> </w:t>
      </w:r>
      <w:r>
        <w:rPr>
          <w:sz w:val="18"/>
        </w:rPr>
        <w:t>Commons</w:t>
      </w:r>
      <w:r>
        <w:rPr>
          <w:spacing w:val="-4"/>
          <w:sz w:val="18"/>
        </w:rPr>
        <w:t> </w:t>
      </w:r>
      <w:r>
        <w:rPr>
          <w:sz w:val="18"/>
        </w:rPr>
        <w:t>and</w:t>
      </w:r>
      <w:r>
        <w:rPr>
          <w:spacing w:val="-4"/>
          <w:sz w:val="18"/>
        </w:rPr>
        <w:t> </w:t>
      </w:r>
      <w:r>
        <w:rPr>
          <w:sz w:val="18"/>
        </w:rPr>
        <w:t>House</w:t>
      </w:r>
      <w:r>
        <w:rPr>
          <w:spacing w:val="-3"/>
          <w:sz w:val="18"/>
        </w:rPr>
        <w:t> </w:t>
      </w:r>
      <w:r>
        <w:rPr>
          <w:sz w:val="18"/>
        </w:rPr>
        <w:t>of</w:t>
      </w:r>
      <w:r>
        <w:rPr>
          <w:spacing w:val="-4"/>
          <w:sz w:val="18"/>
        </w:rPr>
        <w:t> </w:t>
      </w:r>
      <w:r>
        <w:rPr>
          <w:sz w:val="18"/>
        </w:rPr>
        <w:t>Lords</w:t>
      </w:r>
      <w:r>
        <w:rPr>
          <w:spacing w:val="-4"/>
          <w:sz w:val="18"/>
        </w:rPr>
        <w:t> </w:t>
      </w:r>
      <w:r>
        <w:rPr>
          <w:sz w:val="18"/>
        </w:rPr>
        <w:t>Joint</w:t>
      </w:r>
      <w:r>
        <w:rPr>
          <w:spacing w:val="-3"/>
          <w:sz w:val="18"/>
        </w:rPr>
        <w:t> </w:t>
      </w:r>
      <w:r>
        <w:rPr>
          <w:sz w:val="18"/>
        </w:rPr>
        <w:t>Committee</w:t>
      </w:r>
      <w:r>
        <w:rPr>
          <w:spacing w:val="-3"/>
          <w:sz w:val="18"/>
        </w:rPr>
        <w:t> </w:t>
      </w:r>
      <w:r>
        <w:rPr>
          <w:sz w:val="18"/>
        </w:rPr>
        <w:t>on</w:t>
      </w:r>
      <w:r>
        <w:rPr>
          <w:spacing w:val="-4"/>
          <w:sz w:val="18"/>
        </w:rPr>
        <w:t> </w:t>
      </w:r>
      <w:r>
        <w:rPr>
          <w:sz w:val="18"/>
        </w:rPr>
        <w:t>Human</w:t>
      </w:r>
      <w:r>
        <w:rPr>
          <w:spacing w:val="-4"/>
          <w:sz w:val="18"/>
        </w:rPr>
        <w:t> </w:t>
      </w:r>
      <w:r>
        <w:rPr>
          <w:sz w:val="18"/>
        </w:rPr>
        <w:t>Rights,</w:t>
      </w:r>
      <w:r>
        <w:rPr>
          <w:spacing w:val="-3"/>
          <w:sz w:val="18"/>
        </w:rPr>
        <w:t> </w:t>
      </w:r>
      <w:r>
        <w:rPr>
          <w:sz w:val="18"/>
        </w:rPr>
        <w:t>‘Legislative</w:t>
      </w:r>
      <w:r>
        <w:rPr>
          <w:spacing w:val="-3"/>
          <w:sz w:val="18"/>
        </w:rPr>
        <w:t> </w:t>
      </w:r>
      <w:r>
        <w:rPr>
          <w:sz w:val="18"/>
        </w:rPr>
        <w:t>Scrutiny:</w:t>
      </w:r>
      <w:r>
        <w:rPr>
          <w:spacing w:val="-3"/>
          <w:sz w:val="18"/>
        </w:rPr>
        <w:t> </w:t>
      </w:r>
      <w:r>
        <w:rPr>
          <w:sz w:val="18"/>
        </w:rPr>
        <w:t>Bill</w:t>
      </w:r>
      <w:r>
        <w:rPr>
          <w:spacing w:val="-4"/>
          <w:sz w:val="18"/>
        </w:rPr>
        <w:t> </w:t>
      </w:r>
      <w:r>
        <w:rPr>
          <w:sz w:val="18"/>
        </w:rPr>
        <w:t>of</w:t>
      </w:r>
      <w:r>
        <w:rPr>
          <w:spacing w:val="-4"/>
          <w:sz w:val="18"/>
        </w:rPr>
        <w:t> </w:t>
      </w:r>
      <w:r>
        <w:rPr>
          <w:sz w:val="18"/>
        </w:rPr>
        <w:t>Rights</w:t>
      </w:r>
      <w:r>
        <w:rPr>
          <w:spacing w:val="-4"/>
          <w:sz w:val="18"/>
        </w:rPr>
        <w:t> </w:t>
      </w:r>
      <w:r>
        <w:rPr>
          <w:sz w:val="18"/>
        </w:rPr>
        <w:t>Bill’</w:t>
      </w:r>
      <w:r>
        <w:rPr>
          <w:spacing w:val="-3"/>
          <w:sz w:val="18"/>
        </w:rPr>
        <w:t> </w:t>
      </w:r>
      <w:r>
        <w:rPr>
          <w:sz w:val="18"/>
        </w:rPr>
        <w:t>(HC</w:t>
      </w:r>
      <w:r>
        <w:rPr>
          <w:spacing w:val="-4"/>
          <w:sz w:val="18"/>
        </w:rPr>
        <w:t> </w:t>
      </w:r>
      <w:r>
        <w:rPr>
          <w:sz w:val="18"/>
        </w:rPr>
        <w:t>and HoL, 2023), at Chapter 9.</w:t>
      </w:r>
    </w:p>
    <w:p>
      <w:pPr>
        <w:pStyle w:val="ListParagraph"/>
        <w:numPr>
          <w:ilvl w:val="0"/>
          <w:numId w:val="3"/>
        </w:numPr>
        <w:tabs>
          <w:tab w:pos="1853" w:val="left" w:leader="none"/>
        </w:tabs>
        <w:spacing w:line="216"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para</w:t>
      </w:r>
      <w:r>
        <w:rPr>
          <w:spacing w:val="-2"/>
          <w:sz w:val="18"/>
        </w:rPr>
        <w:t> </w:t>
      </w:r>
      <w:r>
        <w:rPr>
          <w:spacing w:val="-4"/>
          <w:sz w:val="18"/>
        </w:rPr>
        <w:t>339.</w:t>
      </w:r>
    </w:p>
    <w:p>
      <w:pPr>
        <w:pStyle w:val="ListParagraph"/>
        <w:numPr>
          <w:ilvl w:val="0"/>
          <w:numId w:val="3"/>
        </w:numPr>
        <w:tabs>
          <w:tab w:pos="1853" w:val="left" w:leader="none"/>
        </w:tabs>
        <w:spacing w:line="235" w:lineRule="auto" w:before="1" w:after="0"/>
        <w:ind w:left="1853" w:right="1312" w:hanging="720"/>
        <w:jc w:val="left"/>
        <w:rPr>
          <w:sz w:val="18"/>
        </w:rPr>
      </w:pPr>
      <w:r>
        <w:rPr>
          <w:sz w:val="18"/>
        </w:rPr>
        <w:t>NI Human Rights Commission, ‘Evidence to Joint Committee on Human Rights Legislative Scrutiny of the Bill of Rights Bill’,</w:t>
      </w:r>
      <w:r>
        <w:rPr>
          <w:spacing w:val="-5"/>
          <w:sz w:val="18"/>
        </w:rPr>
        <w:t> </w:t>
      </w:r>
      <w:r>
        <w:rPr>
          <w:sz w:val="18"/>
        </w:rPr>
        <w:t>(NIHRC,</w:t>
      </w:r>
      <w:r>
        <w:rPr>
          <w:spacing w:val="-5"/>
          <w:sz w:val="18"/>
        </w:rPr>
        <w:t> </w:t>
      </w:r>
      <w:r>
        <w:rPr>
          <w:sz w:val="18"/>
        </w:rPr>
        <w:t>2022);</w:t>
      </w:r>
      <w:r>
        <w:rPr>
          <w:spacing w:val="-5"/>
          <w:sz w:val="18"/>
        </w:rPr>
        <w:t> </w:t>
      </w:r>
      <w:r>
        <w:rPr>
          <w:sz w:val="18"/>
        </w:rPr>
        <w:t>Equality</w:t>
      </w:r>
      <w:r>
        <w:rPr>
          <w:spacing w:val="-5"/>
          <w:sz w:val="18"/>
        </w:rPr>
        <w:t> </w:t>
      </w:r>
      <w:r>
        <w:rPr>
          <w:sz w:val="18"/>
        </w:rPr>
        <w:t>Commission</w:t>
      </w:r>
      <w:r>
        <w:rPr>
          <w:spacing w:val="-5"/>
          <w:sz w:val="18"/>
        </w:rPr>
        <w:t> </w:t>
      </w:r>
      <w:r>
        <w:rPr>
          <w:sz w:val="18"/>
        </w:rPr>
        <w:t>for</w:t>
      </w:r>
      <w:r>
        <w:rPr>
          <w:spacing w:val="-5"/>
          <w:sz w:val="18"/>
        </w:rPr>
        <w:t> </w:t>
      </w:r>
      <w:r>
        <w:rPr>
          <w:sz w:val="18"/>
        </w:rPr>
        <w:t>NI,</w:t>
      </w:r>
      <w:r>
        <w:rPr>
          <w:spacing w:val="-5"/>
          <w:sz w:val="18"/>
        </w:rPr>
        <w:t> </w:t>
      </w:r>
      <w:r>
        <w:rPr>
          <w:sz w:val="18"/>
        </w:rPr>
        <w:t>‘Response</w:t>
      </w:r>
      <w:r>
        <w:rPr>
          <w:spacing w:val="-5"/>
          <w:sz w:val="18"/>
        </w:rPr>
        <w:t> </w:t>
      </w:r>
      <w:r>
        <w:rPr>
          <w:sz w:val="18"/>
        </w:rPr>
        <w:t>to</w:t>
      </w:r>
      <w:r>
        <w:rPr>
          <w:spacing w:val="-5"/>
          <w:sz w:val="18"/>
        </w:rPr>
        <w:t> </w:t>
      </w:r>
      <w:r>
        <w:rPr>
          <w:sz w:val="18"/>
        </w:rPr>
        <w:t>the</w:t>
      </w:r>
      <w:r>
        <w:rPr>
          <w:spacing w:val="-5"/>
          <w:sz w:val="18"/>
        </w:rPr>
        <w:t> </w:t>
      </w:r>
      <w:r>
        <w:rPr>
          <w:sz w:val="18"/>
        </w:rPr>
        <w:t>UK</w:t>
      </w:r>
      <w:r>
        <w:rPr>
          <w:spacing w:val="-5"/>
          <w:sz w:val="18"/>
        </w:rPr>
        <w:t> </w:t>
      </w:r>
      <w:r>
        <w:rPr>
          <w:sz w:val="18"/>
        </w:rPr>
        <w:t>Joint</w:t>
      </w:r>
      <w:r>
        <w:rPr>
          <w:spacing w:val="-5"/>
          <w:sz w:val="18"/>
        </w:rPr>
        <w:t> </w:t>
      </w:r>
      <w:r>
        <w:rPr>
          <w:sz w:val="18"/>
        </w:rPr>
        <w:t>Committee</w:t>
      </w:r>
      <w:r>
        <w:rPr>
          <w:spacing w:val="-5"/>
          <w:sz w:val="18"/>
        </w:rPr>
        <w:t> </w:t>
      </w:r>
      <w:r>
        <w:rPr>
          <w:sz w:val="18"/>
        </w:rPr>
        <w:t>on</w:t>
      </w:r>
      <w:r>
        <w:rPr>
          <w:spacing w:val="-5"/>
          <w:sz w:val="18"/>
        </w:rPr>
        <w:t> </w:t>
      </w:r>
      <w:r>
        <w:rPr>
          <w:sz w:val="18"/>
        </w:rPr>
        <w:t>Human</w:t>
      </w:r>
      <w:r>
        <w:rPr>
          <w:spacing w:val="-5"/>
          <w:sz w:val="18"/>
        </w:rPr>
        <w:t> </w:t>
      </w:r>
      <w:r>
        <w:rPr>
          <w:sz w:val="18"/>
        </w:rPr>
        <w:t>Rights</w:t>
      </w:r>
      <w:r>
        <w:rPr>
          <w:spacing w:val="-5"/>
          <w:sz w:val="18"/>
        </w:rPr>
        <w:t> </w:t>
      </w:r>
      <w:r>
        <w:rPr>
          <w:sz w:val="18"/>
        </w:rPr>
        <w:t>call</w:t>
      </w:r>
      <w:r>
        <w:rPr>
          <w:spacing w:val="-5"/>
          <w:sz w:val="18"/>
        </w:rPr>
        <w:t> </w:t>
      </w:r>
      <w:r>
        <w:rPr>
          <w:sz w:val="18"/>
        </w:rPr>
        <w:t>for</w:t>
      </w:r>
      <w:r>
        <w:rPr>
          <w:spacing w:val="-5"/>
          <w:sz w:val="18"/>
        </w:rPr>
        <w:t> </w:t>
      </w:r>
      <w:r>
        <w:rPr>
          <w:sz w:val="18"/>
        </w:rPr>
        <w:t>evidence</w:t>
      </w:r>
    </w:p>
    <w:p>
      <w:pPr>
        <w:spacing w:line="235" w:lineRule="auto" w:before="1"/>
        <w:ind w:left="1853" w:right="1171" w:firstLine="0"/>
        <w:jc w:val="left"/>
        <w:rPr>
          <w:sz w:val="18"/>
        </w:rPr>
      </w:pPr>
      <w:r>
        <w:rPr>
          <w:sz w:val="18"/>
        </w:rPr>
        <w:t>Legislative</w:t>
      </w:r>
      <w:r>
        <w:rPr>
          <w:spacing w:val="-4"/>
          <w:sz w:val="18"/>
        </w:rPr>
        <w:t> </w:t>
      </w:r>
      <w:r>
        <w:rPr>
          <w:sz w:val="18"/>
        </w:rPr>
        <w:t>Scrutiny:</w:t>
      </w:r>
      <w:r>
        <w:rPr>
          <w:spacing w:val="-4"/>
          <w:sz w:val="18"/>
        </w:rPr>
        <w:t> </w:t>
      </w:r>
      <w:r>
        <w:rPr>
          <w:sz w:val="18"/>
        </w:rPr>
        <w:t>Bill</w:t>
      </w:r>
      <w:r>
        <w:rPr>
          <w:spacing w:val="-5"/>
          <w:sz w:val="18"/>
        </w:rPr>
        <w:t> </w:t>
      </w:r>
      <w:r>
        <w:rPr>
          <w:sz w:val="18"/>
        </w:rPr>
        <w:t>of</w:t>
      </w:r>
      <w:r>
        <w:rPr>
          <w:spacing w:val="-5"/>
          <w:sz w:val="18"/>
        </w:rPr>
        <w:t> </w:t>
      </w:r>
      <w:r>
        <w:rPr>
          <w:sz w:val="18"/>
        </w:rPr>
        <w:t>Rights</w:t>
      </w:r>
      <w:r>
        <w:rPr>
          <w:spacing w:val="-5"/>
          <w:sz w:val="18"/>
        </w:rPr>
        <w:t> </w:t>
      </w:r>
      <w:r>
        <w:rPr>
          <w:sz w:val="18"/>
        </w:rPr>
        <w:t>Bill’,</w:t>
      </w:r>
      <w:r>
        <w:rPr>
          <w:spacing w:val="-4"/>
          <w:sz w:val="18"/>
        </w:rPr>
        <w:t> </w:t>
      </w:r>
      <w:r>
        <w:rPr>
          <w:sz w:val="18"/>
        </w:rPr>
        <w:t>(ECNI,</w:t>
      </w:r>
      <w:r>
        <w:rPr>
          <w:spacing w:val="-4"/>
          <w:sz w:val="18"/>
        </w:rPr>
        <w:t> </w:t>
      </w:r>
      <w:r>
        <w:rPr>
          <w:sz w:val="18"/>
        </w:rPr>
        <w:t>2022);</w:t>
      </w:r>
      <w:r>
        <w:rPr>
          <w:spacing w:val="-4"/>
          <w:sz w:val="18"/>
        </w:rPr>
        <w:t> </w:t>
      </w: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‘Advice</w:t>
      </w:r>
      <w:r>
        <w:rPr>
          <w:spacing w:val="-4"/>
          <w:sz w:val="18"/>
        </w:rPr>
        <w:t> </w:t>
      </w:r>
      <w:r>
        <w:rPr>
          <w:sz w:val="18"/>
        </w:rPr>
        <w:t>on</w:t>
      </w:r>
      <w:r>
        <w:rPr>
          <w:spacing w:val="-5"/>
          <w:sz w:val="18"/>
        </w:rPr>
        <w:t> </w:t>
      </w:r>
      <w:r>
        <w:rPr>
          <w:sz w:val="18"/>
        </w:rPr>
        <w:t>the</w:t>
      </w:r>
      <w:r>
        <w:rPr>
          <w:spacing w:val="-4"/>
          <w:sz w:val="18"/>
        </w:rPr>
        <w:t> </w:t>
      </w:r>
      <w:r>
        <w:rPr>
          <w:sz w:val="18"/>
        </w:rPr>
        <w:t>Bill</w:t>
      </w:r>
      <w:r>
        <w:rPr>
          <w:spacing w:val="-5"/>
          <w:sz w:val="18"/>
        </w:rPr>
        <w:t> </w:t>
      </w:r>
      <w:r>
        <w:rPr>
          <w:sz w:val="18"/>
        </w:rPr>
        <w:t>of</w:t>
      </w:r>
      <w:r>
        <w:rPr>
          <w:spacing w:val="-5"/>
          <w:sz w:val="18"/>
        </w:rPr>
        <w:t> </w:t>
      </w:r>
      <w:r>
        <w:rPr>
          <w:sz w:val="18"/>
        </w:rPr>
        <w:t>Rights</w:t>
      </w:r>
      <w:r>
        <w:rPr>
          <w:spacing w:val="-5"/>
          <w:sz w:val="18"/>
        </w:rPr>
        <w:t> </w:t>
      </w:r>
      <w:r>
        <w:rPr>
          <w:sz w:val="18"/>
        </w:rPr>
        <w:t>Bill’</w:t>
      </w:r>
      <w:r>
        <w:rPr>
          <w:spacing w:val="-4"/>
          <w:sz w:val="18"/>
        </w:rPr>
        <w:t> </w:t>
      </w:r>
      <w:r>
        <w:rPr>
          <w:sz w:val="18"/>
        </w:rPr>
        <w:t>(NIHRC, </w:t>
      </w:r>
      <w:r>
        <w:rPr>
          <w:spacing w:val="-2"/>
          <w:sz w:val="18"/>
        </w:rPr>
        <w:t>2022).</w:t>
      </w:r>
    </w:p>
    <w:p>
      <w:pPr>
        <w:pStyle w:val="ListParagraph"/>
        <w:numPr>
          <w:ilvl w:val="0"/>
          <w:numId w:val="3"/>
        </w:numPr>
        <w:tabs>
          <w:tab w:pos="1853" w:val="left" w:leader="none"/>
        </w:tabs>
        <w:spacing w:line="235" w:lineRule="auto" w:before="2" w:after="0"/>
        <w:ind w:left="1853" w:right="1324" w:hanging="720"/>
        <w:jc w:val="left"/>
        <w:rPr>
          <w:sz w:val="18"/>
        </w:rPr>
      </w:pPr>
      <w:r>
        <w:rPr>
          <w:sz w:val="18"/>
        </w:rPr>
        <w:t>UK Parliament Hansard, ‘House of Commons Oral Question: Topical Questions – Justice – Alex Chalk MP, Secretary of State</w:t>
      </w:r>
      <w:r>
        <w:rPr>
          <w:spacing w:val="-4"/>
          <w:sz w:val="18"/>
        </w:rPr>
        <w:t> </w:t>
      </w:r>
      <w:r>
        <w:rPr>
          <w:sz w:val="18"/>
        </w:rPr>
        <w:t>for</w:t>
      </w:r>
      <w:r>
        <w:rPr>
          <w:spacing w:val="-4"/>
          <w:sz w:val="18"/>
        </w:rPr>
        <w:t> </w:t>
      </w:r>
      <w:r>
        <w:rPr>
          <w:sz w:val="18"/>
        </w:rPr>
        <w:t>Justice</w:t>
      </w:r>
      <w:r>
        <w:rPr>
          <w:spacing w:val="-4"/>
          <w:sz w:val="18"/>
        </w:rPr>
        <w:t> </w:t>
      </w:r>
      <w:r>
        <w:rPr>
          <w:sz w:val="18"/>
        </w:rPr>
        <w:t>–</w:t>
      </w:r>
      <w:r>
        <w:rPr>
          <w:spacing w:val="-5"/>
          <w:sz w:val="18"/>
        </w:rPr>
        <w:t> </w:t>
      </w:r>
      <w:r>
        <w:rPr>
          <w:sz w:val="18"/>
        </w:rPr>
        <w:t>Vol</w:t>
      </w:r>
      <w:r>
        <w:rPr>
          <w:spacing w:val="-5"/>
          <w:sz w:val="18"/>
        </w:rPr>
        <w:t> </w:t>
      </w:r>
      <w:r>
        <w:rPr>
          <w:sz w:val="18"/>
        </w:rPr>
        <w:t>735,</w:t>
      </w:r>
      <w:r>
        <w:rPr>
          <w:spacing w:val="-4"/>
          <w:sz w:val="18"/>
        </w:rPr>
        <w:t> </w:t>
      </w:r>
      <w:r>
        <w:rPr>
          <w:sz w:val="18"/>
        </w:rPr>
        <w:t>Col</w:t>
      </w:r>
      <w:r>
        <w:rPr>
          <w:spacing w:val="-5"/>
          <w:sz w:val="18"/>
        </w:rPr>
        <w:t> </w:t>
      </w:r>
      <w:r>
        <w:rPr>
          <w:sz w:val="18"/>
        </w:rPr>
        <w:t>145’,</w:t>
      </w:r>
      <w:r>
        <w:rPr>
          <w:spacing w:val="-4"/>
          <w:sz w:val="18"/>
        </w:rPr>
        <w:t> </w:t>
      </w:r>
      <w:r>
        <w:rPr>
          <w:sz w:val="18"/>
        </w:rPr>
        <w:t>27</w:t>
      </w:r>
      <w:r>
        <w:rPr>
          <w:spacing w:val="-4"/>
          <w:sz w:val="18"/>
        </w:rPr>
        <w:t> </w:t>
      </w:r>
      <w:r>
        <w:rPr>
          <w:sz w:val="18"/>
        </w:rPr>
        <w:t>June</w:t>
      </w:r>
      <w:r>
        <w:rPr>
          <w:spacing w:val="-4"/>
          <w:sz w:val="18"/>
        </w:rPr>
        <w:t> </w:t>
      </w:r>
      <w:r>
        <w:rPr>
          <w:sz w:val="18"/>
        </w:rPr>
        <w:t>2023.</w:t>
      </w:r>
      <w:r>
        <w:rPr>
          <w:spacing w:val="32"/>
          <w:sz w:val="18"/>
        </w:rPr>
        <w:t> </w:t>
      </w:r>
      <w:r>
        <w:rPr>
          <w:sz w:val="18"/>
        </w:rPr>
        <w:t>See</w:t>
      </w:r>
      <w:r>
        <w:rPr>
          <w:spacing w:val="-4"/>
          <w:sz w:val="18"/>
        </w:rPr>
        <w:t> </w:t>
      </w:r>
      <w:r>
        <w:rPr>
          <w:sz w:val="18"/>
        </w:rPr>
        <w:t>further</w:t>
      </w:r>
      <w:r>
        <w:rPr>
          <w:spacing w:val="-4"/>
          <w:sz w:val="18"/>
        </w:rPr>
        <w:t> </w:t>
      </w:r>
      <w:r>
        <w:rPr>
          <w:sz w:val="18"/>
        </w:rPr>
        <w:t>discussion</w:t>
      </w:r>
      <w:r>
        <w:rPr>
          <w:spacing w:val="-5"/>
          <w:sz w:val="18"/>
        </w:rPr>
        <w:t> </w:t>
      </w:r>
      <w:r>
        <w:rPr>
          <w:sz w:val="18"/>
        </w:rPr>
        <w:t>of</w:t>
      </w:r>
      <w:r>
        <w:rPr>
          <w:spacing w:val="-5"/>
          <w:sz w:val="18"/>
        </w:rPr>
        <w:t> </w:t>
      </w:r>
      <w:r>
        <w:rPr>
          <w:sz w:val="18"/>
        </w:rPr>
        <w:t>these</w:t>
      </w:r>
      <w:r>
        <w:rPr>
          <w:spacing w:val="-4"/>
          <w:sz w:val="18"/>
        </w:rPr>
        <w:t> </w:t>
      </w:r>
      <w:r>
        <w:rPr>
          <w:sz w:val="18"/>
        </w:rPr>
        <w:t>legislative</w:t>
      </w:r>
      <w:r>
        <w:rPr>
          <w:spacing w:val="-4"/>
          <w:sz w:val="18"/>
        </w:rPr>
        <w:t> </w:t>
      </w:r>
      <w:r>
        <w:rPr>
          <w:sz w:val="18"/>
        </w:rPr>
        <w:t>developments</w:t>
      </w:r>
      <w:r>
        <w:rPr>
          <w:spacing w:val="-5"/>
          <w:sz w:val="18"/>
        </w:rPr>
        <w:t> </w:t>
      </w:r>
      <w:r>
        <w:rPr>
          <w:sz w:val="18"/>
        </w:rPr>
        <w:t>in</w:t>
      </w:r>
      <w:r>
        <w:rPr>
          <w:spacing w:val="-5"/>
          <w:sz w:val="18"/>
        </w:rPr>
        <w:t> </w:t>
      </w:r>
      <w:r>
        <w:rPr>
          <w:sz w:val="18"/>
        </w:rPr>
        <w:t>Chapter</w:t>
      </w:r>
      <w:r>
        <w:rPr>
          <w:spacing w:val="-4"/>
          <w:sz w:val="18"/>
        </w:rPr>
        <w:t> </w:t>
      </w:r>
      <w:r>
        <w:rPr>
          <w:sz w:val="18"/>
        </w:rPr>
        <w:t>2 and in the Victims’ Rights and Migrants’ Rights sections of this chapter.</w:t>
      </w:r>
    </w:p>
    <w:p>
      <w:pPr>
        <w:pStyle w:val="ListParagraph"/>
        <w:numPr>
          <w:ilvl w:val="0"/>
          <w:numId w:val="3"/>
        </w:numPr>
        <w:tabs>
          <w:tab w:pos="1853" w:val="left" w:leader="none"/>
        </w:tabs>
        <w:spacing w:line="235" w:lineRule="auto" w:before="2" w:after="0"/>
        <w:ind w:left="1853" w:right="1965" w:hanging="720"/>
        <w:jc w:val="left"/>
        <w:rPr>
          <w:sz w:val="18"/>
        </w:rPr>
      </w:pP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3"/>
          <w:sz w:val="18"/>
        </w:rPr>
        <w:t> </w:t>
      </w:r>
      <w:r>
        <w:rPr>
          <w:sz w:val="18"/>
        </w:rPr>
        <w:t>‘Submission</w:t>
      </w:r>
      <w:r>
        <w:rPr>
          <w:spacing w:val="-4"/>
          <w:sz w:val="18"/>
        </w:rPr>
        <w:t> </w:t>
      </w:r>
      <w:r>
        <w:rPr>
          <w:sz w:val="18"/>
        </w:rPr>
        <w:t>to</w:t>
      </w:r>
      <w:r>
        <w:rPr>
          <w:spacing w:val="-4"/>
          <w:sz w:val="18"/>
        </w:rPr>
        <w:t> </w:t>
      </w:r>
      <w:r>
        <w:rPr>
          <w:sz w:val="18"/>
        </w:rPr>
        <w:t>the</w:t>
      </w:r>
      <w:r>
        <w:rPr>
          <w:spacing w:val="-3"/>
          <w:sz w:val="18"/>
        </w:rPr>
        <w:t> </w:t>
      </w:r>
      <w:r>
        <w:rPr>
          <w:sz w:val="18"/>
        </w:rPr>
        <w:t>House</w:t>
      </w:r>
      <w:r>
        <w:rPr>
          <w:spacing w:val="-3"/>
          <w:sz w:val="18"/>
        </w:rPr>
        <w:t> </w:t>
      </w:r>
      <w:r>
        <w:rPr>
          <w:sz w:val="18"/>
        </w:rPr>
        <w:t>of</w:t>
      </w:r>
      <w:r>
        <w:rPr>
          <w:spacing w:val="-4"/>
          <w:sz w:val="18"/>
        </w:rPr>
        <w:t> </w:t>
      </w:r>
      <w:r>
        <w:rPr>
          <w:sz w:val="18"/>
        </w:rPr>
        <w:t>Lords</w:t>
      </w:r>
      <w:r>
        <w:rPr>
          <w:spacing w:val="-4"/>
          <w:sz w:val="18"/>
        </w:rPr>
        <w:t> </w:t>
      </w:r>
      <w:r>
        <w:rPr>
          <w:sz w:val="18"/>
        </w:rPr>
        <w:t>on</w:t>
      </w:r>
      <w:r>
        <w:rPr>
          <w:spacing w:val="-4"/>
          <w:sz w:val="18"/>
        </w:rPr>
        <w:t> </w:t>
      </w:r>
      <w:r>
        <w:rPr>
          <w:sz w:val="18"/>
        </w:rPr>
        <w:t>the</w:t>
      </w:r>
      <w:r>
        <w:rPr>
          <w:spacing w:val="-3"/>
          <w:sz w:val="18"/>
        </w:rPr>
        <w:t> </w:t>
      </w:r>
      <w:r>
        <w:rPr>
          <w:sz w:val="18"/>
        </w:rPr>
        <w:t>Illegal</w:t>
      </w:r>
      <w:r>
        <w:rPr>
          <w:spacing w:val="-4"/>
          <w:sz w:val="18"/>
        </w:rPr>
        <w:t> </w:t>
      </w:r>
      <w:r>
        <w:rPr>
          <w:sz w:val="18"/>
        </w:rPr>
        <w:t>Migration</w:t>
      </w:r>
      <w:r>
        <w:rPr>
          <w:spacing w:val="-4"/>
          <w:sz w:val="18"/>
        </w:rPr>
        <w:t> </w:t>
      </w:r>
      <w:r>
        <w:rPr>
          <w:sz w:val="18"/>
        </w:rPr>
        <w:t>Bill’</w:t>
      </w:r>
      <w:r>
        <w:rPr>
          <w:spacing w:val="-3"/>
          <w:sz w:val="18"/>
        </w:rPr>
        <w:t> </w:t>
      </w:r>
      <w:r>
        <w:rPr>
          <w:sz w:val="18"/>
        </w:rPr>
        <w:t>(NIHRC,</w:t>
      </w:r>
      <w:r>
        <w:rPr>
          <w:spacing w:val="-3"/>
          <w:sz w:val="18"/>
        </w:rPr>
        <w:t> </w:t>
      </w:r>
      <w:r>
        <w:rPr>
          <w:sz w:val="18"/>
        </w:rPr>
        <w:t>2023);</w:t>
      </w:r>
      <w:r>
        <w:rPr>
          <w:spacing w:val="-3"/>
          <w:sz w:val="18"/>
        </w:rPr>
        <w:t> </w:t>
      </w:r>
      <w:r>
        <w:rPr>
          <w:sz w:val="18"/>
        </w:rPr>
        <w:t>NI Human Rights Commission, ‘Submission to Joint Committee on Human Rights Inquiry on Illegal Migration Bill’ (NIHRC, 2023); NI Human Rights Commission, ‘Advice on NI Troubles (Legacy and Reconciliation) Bill’ (NIHRC,</w:t>
      </w:r>
    </w:p>
    <w:p>
      <w:pPr>
        <w:spacing w:line="235" w:lineRule="auto" w:before="2"/>
        <w:ind w:left="1853" w:right="1171" w:firstLine="0"/>
        <w:jc w:val="left"/>
        <w:rPr>
          <w:sz w:val="18"/>
        </w:rPr>
      </w:pPr>
      <w:r>
        <w:rPr>
          <w:sz w:val="18"/>
        </w:rPr>
        <w:t>2022);</w:t>
      </w:r>
      <w:r>
        <w:rPr>
          <w:spacing w:val="-5"/>
          <w:sz w:val="18"/>
        </w:rPr>
        <w:t> </w:t>
      </w:r>
      <w:r>
        <w:rPr>
          <w:sz w:val="18"/>
        </w:rPr>
        <w:t>NI</w:t>
      </w:r>
      <w:r>
        <w:rPr>
          <w:spacing w:val="-5"/>
          <w:sz w:val="18"/>
        </w:rPr>
        <w:t> </w:t>
      </w:r>
      <w:r>
        <w:rPr>
          <w:sz w:val="18"/>
        </w:rPr>
        <w:t>Human</w:t>
      </w:r>
      <w:r>
        <w:rPr>
          <w:spacing w:val="-6"/>
          <w:sz w:val="18"/>
        </w:rPr>
        <w:t> </w:t>
      </w:r>
      <w:r>
        <w:rPr>
          <w:sz w:val="18"/>
        </w:rPr>
        <w:t>Rights</w:t>
      </w:r>
      <w:r>
        <w:rPr>
          <w:spacing w:val="-6"/>
          <w:sz w:val="18"/>
        </w:rPr>
        <w:t> </w:t>
      </w:r>
      <w:r>
        <w:rPr>
          <w:sz w:val="18"/>
        </w:rPr>
        <w:t>Commission,</w:t>
      </w:r>
      <w:r>
        <w:rPr>
          <w:spacing w:val="-5"/>
          <w:sz w:val="18"/>
        </w:rPr>
        <w:t> </w:t>
      </w:r>
      <w:r>
        <w:rPr>
          <w:sz w:val="18"/>
        </w:rPr>
        <w:t>‘Supplementary</w:t>
      </w:r>
      <w:r>
        <w:rPr>
          <w:spacing w:val="-5"/>
          <w:sz w:val="18"/>
        </w:rPr>
        <w:t> </w:t>
      </w:r>
      <w:r>
        <w:rPr>
          <w:sz w:val="18"/>
        </w:rPr>
        <w:t>Briefing:</w:t>
      </w:r>
      <w:r>
        <w:rPr>
          <w:spacing w:val="-5"/>
          <w:sz w:val="18"/>
        </w:rPr>
        <w:t> </w:t>
      </w:r>
      <w:r>
        <w:rPr>
          <w:sz w:val="18"/>
        </w:rPr>
        <w:t>UK</w:t>
      </w:r>
      <w:r>
        <w:rPr>
          <w:spacing w:val="-5"/>
          <w:sz w:val="18"/>
        </w:rPr>
        <w:t> </w:t>
      </w:r>
      <w:r>
        <w:rPr>
          <w:sz w:val="18"/>
        </w:rPr>
        <w:t>Government’s</w:t>
      </w:r>
      <w:r>
        <w:rPr>
          <w:spacing w:val="-6"/>
          <w:sz w:val="18"/>
        </w:rPr>
        <w:t> </w:t>
      </w:r>
      <w:r>
        <w:rPr>
          <w:sz w:val="18"/>
        </w:rPr>
        <w:t>Proposed</w:t>
      </w:r>
      <w:r>
        <w:rPr>
          <w:spacing w:val="-6"/>
          <w:sz w:val="18"/>
        </w:rPr>
        <w:t> </w:t>
      </w:r>
      <w:r>
        <w:rPr>
          <w:sz w:val="18"/>
        </w:rPr>
        <w:t>Amendments</w:t>
      </w:r>
      <w:r>
        <w:rPr>
          <w:spacing w:val="-6"/>
          <w:sz w:val="18"/>
        </w:rPr>
        <w:t> </w:t>
      </w:r>
      <w:r>
        <w:rPr>
          <w:sz w:val="18"/>
        </w:rPr>
        <w:t>to</w:t>
      </w:r>
      <w:r>
        <w:rPr>
          <w:spacing w:val="-6"/>
          <w:sz w:val="18"/>
        </w:rPr>
        <w:t> </w:t>
      </w:r>
      <w:r>
        <w:rPr>
          <w:sz w:val="18"/>
        </w:rPr>
        <w:t>NI</w:t>
      </w:r>
      <w:r>
        <w:rPr>
          <w:spacing w:val="-5"/>
          <w:sz w:val="18"/>
        </w:rPr>
        <w:t> </w:t>
      </w:r>
      <w:r>
        <w:rPr>
          <w:sz w:val="18"/>
        </w:rPr>
        <w:t>Troubles (Legacy and Reconciliation) Bill’ (NIHRC, 2023); Letter from the NI Human Rights Commission to the Chair of the</w:t>
      </w:r>
    </w:p>
    <w:p>
      <w:pPr>
        <w:spacing w:line="216" w:lineRule="exact" w:before="0"/>
        <w:ind w:left="1853" w:right="0" w:firstLine="0"/>
        <w:jc w:val="left"/>
        <w:rPr>
          <w:sz w:val="18"/>
        </w:rPr>
      </w:pPr>
      <w:r>
        <w:rPr>
          <w:sz w:val="18"/>
        </w:rPr>
        <w:t>House</w:t>
      </w:r>
      <w:r>
        <w:rPr>
          <w:spacing w:val="-7"/>
          <w:sz w:val="18"/>
        </w:rPr>
        <w:t> </w:t>
      </w:r>
      <w:r>
        <w:rPr>
          <w:sz w:val="18"/>
        </w:rPr>
        <w:t>of</w:t>
      </w:r>
      <w:r>
        <w:rPr>
          <w:spacing w:val="-6"/>
          <w:sz w:val="18"/>
        </w:rPr>
        <w:t> </w:t>
      </w:r>
      <w:r>
        <w:rPr>
          <w:sz w:val="18"/>
        </w:rPr>
        <w:t>Lords</w:t>
      </w:r>
      <w:r>
        <w:rPr>
          <w:spacing w:val="-7"/>
          <w:sz w:val="18"/>
        </w:rPr>
        <w:t> </w:t>
      </w:r>
      <w:r>
        <w:rPr>
          <w:sz w:val="18"/>
        </w:rPr>
        <w:t>Sub-Committee</w:t>
      </w:r>
      <w:r>
        <w:rPr>
          <w:spacing w:val="-6"/>
          <w:sz w:val="18"/>
        </w:rPr>
        <w:t> </w:t>
      </w:r>
      <w:r>
        <w:rPr>
          <w:sz w:val="18"/>
        </w:rPr>
        <w:t>on</w:t>
      </w:r>
      <w:r>
        <w:rPr>
          <w:spacing w:val="-7"/>
          <w:sz w:val="18"/>
        </w:rPr>
        <w:t> </w:t>
      </w:r>
      <w:r>
        <w:rPr>
          <w:sz w:val="18"/>
        </w:rPr>
        <w:t>the</w:t>
      </w:r>
      <w:r>
        <w:rPr>
          <w:spacing w:val="-6"/>
          <w:sz w:val="18"/>
        </w:rPr>
        <w:t> </w:t>
      </w:r>
      <w:r>
        <w:rPr>
          <w:sz w:val="18"/>
        </w:rPr>
        <w:t>Ireland/Northern</w:t>
      </w:r>
      <w:r>
        <w:rPr>
          <w:spacing w:val="-7"/>
          <w:sz w:val="18"/>
        </w:rPr>
        <w:t> </w:t>
      </w:r>
      <w:r>
        <w:rPr>
          <w:sz w:val="18"/>
        </w:rPr>
        <w:t>Ireland</w:t>
      </w:r>
      <w:r>
        <w:rPr>
          <w:spacing w:val="-7"/>
          <w:sz w:val="18"/>
        </w:rPr>
        <w:t> </w:t>
      </w:r>
      <w:r>
        <w:rPr>
          <w:sz w:val="18"/>
        </w:rPr>
        <w:t>Protocol,</w:t>
      </w:r>
      <w:r>
        <w:rPr>
          <w:spacing w:val="-6"/>
          <w:sz w:val="18"/>
        </w:rPr>
        <w:t> </w:t>
      </w:r>
      <w:r>
        <w:rPr>
          <w:sz w:val="18"/>
        </w:rPr>
        <w:t>Lord</w:t>
      </w:r>
      <w:r>
        <w:rPr>
          <w:spacing w:val="-7"/>
          <w:sz w:val="18"/>
        </w:rPr>
        <w:t> </w:t>
      </w:r>
      <w:r>
        <w:rPr>
          <w:sz w:val="18"/>
        </w:rPr>
        <w:t>Jay,</w:t>
      </w:r>
      <w:r>
        <w:rPr>
          <w:spacing w:val="-6"/>
          <w:sz w:val="18"/>
        </w:rPr>
        <w:t> </w:t>
      </w:r>
      <w:r>
        <w:rPr>
          <w:sz w:val="18"/>
        </w:rPr>
        <w:t>30</w:t>
      </w:r>
      <w:r>
        <w:rPr>
          <w:spacing w:val="-6"/>
          <w:sz w:val="18"/>
        </w:rPr>
        <w:t> </w:t>
      </w:r>
      <w:r>
        <w:rPr>
          <w:sz w:val="18"/>
        </w:rPr>
        <w:t>January</w:t>
      </w:r>
      <w:r>
        <w:rPr>
          <w:spacing w:val="-6"/>
          <w:sz w:val="18"/>
        </w:rPr>
        <w:t> </w:t>
      </w:r>
      <w:r>
        <w:rPr>
          <w:spacing w:val="-2"/>
          <w:sz w:val="18"/>
        </w:rPr>
        <w:t>2023;</w:t>
      </w:r>
    </w:p>
    <w:p>
      <w:pPr>
        <w:spacing w:line="216" w:lineRule="exact" w:before="0"/>
        <w:ind w:left="1853" w:right="0" w:firstLine="0"/>
        <w:jc w:val="left"/>
        <w:rPr>
          <w:sz w:val="18"/>
        </w:rPr>
      </w:pPr>
      <w:r>
        <w:rPr>
          <w:sz w:val="18"/>
        </w:rPr>
        <w:t>NI</w:t>
      </w:r>
      <w:r>
        <w:rPr>
          <w:spacing w:val="-8"/>
          <w:sz w:val="18"/>
        </w:rPr>
        <w:t> </w:t>
      </w:r>
      <w:r>
        <w:rPr>
          <w:sz w:val="18"/>
        </w:rPr>
        <w:t>Human</w:t>
      </w:r>
      <w:r>
        <w:rPr>
          <w:spacing w:val="-8"/>
          <w:sz w:val="18"/>
        </w:rPr>
        <w:t> </w:t>
      </w:r>
      <w:r>
        <w:rPr>
          <w:sz w:val="18"/>
        </w:rPr>
        <w:t>Rights</w:t>
      </w:r>
      <w:r>
        <w:rPr>
          <w:spacing w:val="-8"/>
          <w:sz w:val="18"/>
        </w:rPr>
        <w:t> </w:t>
      </w:r>
      <w:r>
        <w:rPr>
          <w:sz w:val="18"/>
        </w:rPr>
        <w:t>Commission,</w:t>
      </w:r>
      <w:r>
        <w:rPr>
          <w:spacing w:val="-8"/>
          <w:sz w:val="18"/>
        </w:rPr>
        <w:t> </w:t>
      </w:r>
      <w:r>
        <w:rPr>
          <w:sz w:val="18"/>
        </w:rPr>
        <w:t>‘Supplementary</w:t>
      </w:r>
      <w:r>
        <w:rPr>
          <w:spacing w:val="-7"/>
          <w:sz w:val="18"/>
        </w:rPr>
        <w:t> </w:t>
      </w:r>
      <w:r>
        <w:rPr>
          <w:sz w:val="18"/>
        </w:rPr>
        <w:t>Briefing:</w:t>
      </w:r>
      <w:r>
        <w:rPr>
          <w:spacing w:val="-7"/>
          <w:sz w:val="18"/>
        </w:rPr>
        <w:t> </w:t>
      </w:r>
      <w:r>
        <w:rPr>
          <w:sz w:val="18"/>
        </w:rPr>
        <w:t>UK</w:t>
      </w:r>
      <w:r>
        <w:rPr>
          <w:spacing w:val="-8"/>
          <w:sz w:val="18"/>
        </w:rPr>
        <w:t> </w:t>
      </w:r>
      <w:r>
        <w:rPr>
          <w:sz w:val="18"/>
        </w:rPr>
        <w:t>Government’s</w:t>
      </w:r>
      <w:r>
        <w:rPr>
          <w:spacing w:val="-8"/>
          <w:sz w:val="18"/>
        </w:rPr>
        <w:t> </w:t>
      </w:r>
      <w:r>
        <w:rPr>
          <w:sz w:val="18"/>
        </w:rPr>
        <w:t>Additional</w:t>
      </w:r>
      <w:r>
        <w:rPr>
          <w:spacing w:val="-8"/>
          <w:sz w:val="18"/>
        </w:rPr>
        <w:t> </w:t>
      </w:r>
      <w:r>
        <w:rPr>
          <w:sz w:val="18"/>
        </w:rPr>
        <w:t>Proposed</w:t>
      </w:r>
      <w:r>
        <w:rPr>
          <w:spacing w:val="-8"/>
          <w:sz w:val="18"/>
        </w:rPr>
        <w:t> </w:t>
      </w:r>
      <w:r>
        <w:rPr>
          <w:sz w:val="18"/>
        </w:rPr>
        <w:t>Amendments</w:t>
      </w:r>
      <w:r>
        <w:rPr>
          <w:spacing w:val="-8"/>
          <w:sz w:val="18"/>
        </w:rPr>
        <w:t> </w:t>
      </w:r>
      <w:r>
        <w:rPr>
          <w:spacing w:val="-5"/>
          <w:sz w:val="18"/>
        </w:rPr>
        <w:t>to</w:t>
      </w:r>
    </w:p>
    <w:p>
      <w:pPr>
        <w:spacing w:line="218" w:lineRule="exact" w:before="0"/>
        <w:ind w:left="1853" w:right="0" w:firstLine="0"/>
        <w:jc w:val="left"/>
        <w:rPr>
          <w:sz w:val="18"/>
        </w:rPr>
      </w:pPr>
      <w:r>
        <w:rPr>
          <w:sz w:val="18"/>
        </w:rPr>
        <w:t>NI</w:t>
      </w:r>
      <w:r>
        <w:rPr>
          <w:spacing w:val="-6"/>
          <w:sz w:val="18"/>
        </w:rPr>
        <w:t> </w:t>
      </w:r>
      <w:r>
        <w:rPr>
          <w:sz w:val="18"/>
        </w:rPr>
        <w:t>Troubles</w:t>
      </w:r>
      <w:r>
        <w:rPr>
          <w:spacing w:val="-5"/>
          <w:sz w:val="18"/>
        </w:rPr>
        <w:t> </w:t>
      </w:r>
      <w:r>
        <w:rPr>
          <w:sz w:val="18"/>
        </w:rPr>
        <w:t>(Legacy</w:t>
      </w:r>
      <w:r>
        <w:rPr>
          <w:spacing w:val="-6"/>
          <w:sz w:val="18"/>
        </w:rPr>
        <w:t> </w:t>
      </w:r>
      <w:r>
        <w:rPr>
          <w:sz w:val="18"/>
        </w:rPr>
        <w:t>and</w:t>
      </w:r>
      <w:r>
        <w:rPr>
          <w:spacing w:val="-6"/>
          <w:sz w:val="18"/>
        </w:rPr>
        <w:t> </w:t>
      </w:r>
      <w:r>
        <w:rPr>
          <w:sz w:val="18"/>
        </w:rPr>
        <w:t>Reconciliation)</w:t>
      </w:r>
      <w:r>
        <w:rPr>
          <w:spacing w:val="-6"/>
          <w:sz w:val="18"/>
        </w:rPr>
        <w:t> </w:t>
      </w:r>
      <w:r>
        <w:rPr>
          <w:sz w:val="18"/>
        </w:rPr>
        <w:t>Bill’</w:t>
      </w:r>
      <w:r>
        <w:rPr>
          <w:spacing w:val="-6"/>
          <w:sz w:val="18"/>
        </w:rPr>
        <w:t> </w:t>
      </w:r>
      <w:r>
        <w:rPr>
          <w:sz w:val="18"/>
        </w:rPr>
        <w:t>(NIHRC,</w:t>
      </w:r>
      <w:r>
        <w:rPr>
          <w:spacing w:val="-6"/>
          <w:sz w:val="18"/>
        </w:rPr>
        <w:t> </w:t>
      </w:r>
      <w:r>
        <w:rPr>
          <w:sz w:val="18"/>
        </w:rPr>
        <w:t>2023);</w:t>
      </w:r>
      <w:r>
        <w:rPr>
          <w:spacing w:val="-6"/>
          <w:sz w:val="18"/>
        </w:rPr>
        <w:t> </w:t>
      </w:r>
      <w:r>
        <w:rPr>
          <w:sz w:val="18"/>
        </w:rPr>
        <w:t>NI</w:t>
      </w:r>
      <w:r>
        <w:rPr>
          <w:spacing w:val="-5"/>
          <w:sz w:val="18"/>
        </w:rPr>
        <w:t> </w:t>
      </w:r>
      <w:r>
        <w:rPr>
          <w:sz w:val="18"/>
        </w:rPr>
        <w:t>Human</w:t>
      </w:r>
      <w:r>
        <w:rPr>
          <w:spacing w:val="-6"/>
          <w:sz w:val="18"/>
        </w:rPr>
        <w:t> </w:t>
      </w:r>
      <w:r>
        <w:rPr>
          <w:sz w:val="18"/>
        </w:rPr>
        <w:t>Rights</w:t>
      </w:r>
      <w:r>
        <w:rPr>
          <w:spacing w:val="-6"/>
          <w:sz w:val="18"/>
        </w:rPr>
        <w:t> </w:t>
      </w:r>
      <w:r>
        <w:rPr>
          <w:sz w:val="18"/>
        </w:rPr>
        <w:t>Commission,</w:t>
      </w:r>
      <w:r>
        <w:rPr>
          <w:spacing w:val="-5"/>
          <w:sz w:val="18"/>
        </w:rPr>
        <w:t> </w:t>
      </w:r>
      <w:r>
        <w:rPr>
          <w:sz w:val="18"/>
        </w:rPr>
        <w:t>‘Advice</w:t>
      </w:r>
      <w:r>
        <w:rPr>
          <w:spacing w:val="-6"/>
          <w:sz w:val="18"/>
        </w:rPr>
        <w:t> </w:t>
      </w:r>
      <w:r>
        <w:rPr>
          <w:sz w:val="18"/>
        </w:rPr>
        <w:t>on</w:t>
      </w:r>
      <w:r>
        <w:rPr>
          <w:spacing w:val="-6"/>
          <w:sz w:val="18"/>
        </w:rPr>
        <w:t> </w:t>
      </w:r>
      <w:r>
        <w:rPr>
          <w:sz w:val="18"/>
        </w:rPr>
        <w:t>the</w:t>
      </w:r>
      <w:r>
        <w:rPr>
          <w:spacing w:val="-6"/>
          <w:sz w:val="18"/>
        </w:rPr>
        <w:t> </w:t>
      </w:r>
      <w:r>
        <w:rPr>
          <w:sz w:val="18"/>
        </w:rPr>
        <w:t>Safety</w:t>
      </w:r>
      <w:r>
        <w:rPr>
          <w:spacing w:val="-6"/>
          <w:sz w:val="18"/>
        </w:rPr>
        <w:t> </w:t>
      </w:r>
      <w:r>
        <w:rPr>
          <w:sz w:val="18"/>
        </w:rPr>
        <w:t>of</w:t>
      </w:r>
      <w:r>
        <w:rPr>
          <w:spacing w:val="-6"/>
          <w:sz w:val="18"/>
        </w:rPr>
        <w:t> </w:t>
      </w:r>
      <w:r>
        <w:rPr>
          <w:spacing w:val="-2"/>
          <w:sz w:val="18"/>
        </w:rPr>
        <w:t>Rwanda</w:t>
      </w:r>
    </w:p>
    <w:p>
      <w:pPr>
        <w:spacing w:after="0" w:line="218" w:lineRule="exact"/>
        <w:jc w:val="left"/>
        <w:rPr>
          <w:sz w:val="18"/>
        </w:rPr>
        <w:sectPr>
          <w:pgSz w:w="11910" w:h="16840"/>
          <w:pgMar w:header="496" w:footer="367" w:top="1220" w:bottom="560" w:left="0" w:right="0"/>
        </w:sectPr>
      </w:pPr>
    </w:p>
    <w:p>
      <w:pPr>
        <w:pStyle w:val="BodyText"/>
        <w:spacing w:before="198"/>
      </w:pPr>
    </w:p>
    <w:p>
      <w:pPr>
        <w:pStyle w:val="ListParagraph"/>
        <w:numPr>
          <w:ilvl w:val="1"/>
          <w:numId w:val="7"/>
        </w:numPr>
        <w:tabs>
          <w:tab w:pos="1853" w:val="left" w:leader="none"/>
        </w:tabs>
        <w:spacing w:line="225" w:lineRule="auto" w:before="0" w:after="0"/>
        <w:ind w:left="1853" w:right="1692" w:hanging="720"/>
        <w:jc w:val="both"/>
        <w:rPr>
          <w:sz w:val="28"/>
        </w:rPr>
      </w:pPr>
      <w:bookmarkStart w:name="_bookmark15" w:id="34"/>
      <w:bookmarkEnd w:id="34"/>
      <w:r>
        <w:rPr/>
      </w:r>
      <w:r>
        <w:rPr>
          <w:sz w:val="28"/>
        </w:rPr>
        <w:t>The NIHRC highlighted its concerns with the UK Government’s approach in the submission to the UN Human Rights Committee.</w:t>
      </w:r>
      <w:r>
        <w:rPr>
          <w:sz w:val="28"/>
          <w:vertAlign w:val="superscript"/>
        </w:rPr>
        <w:t>122</w:t>
      </w:r>
      <w:r>
        <w:rPr>
          <w:sz w:val="28"/>
          <w:vertAlign w:val="baseline"/>
        </w:rPr>
        <w:t> In March 2024, the UN Committee recommended that the UK Government “ensure that any</w:t>
      </w:r>
      <w:r>
        <w:rPr>
          <w:spacing w:val="-5"/>
          <w:sz w:val="28"/>
          <w:vertAlign w:val="baseline"/>
        </w:rPr>
        <w:t> </w:t>
      </w:r>
      <w:r>
        <w:rPr>
          <w:sz w:val="28"/>
          <w:vertAlign w:val="baseline"/>
        </w:rPr>
        <w:t>legislation</w:t>
      </w:r>
      <w:r>
        <w:rPr>
          <w:spacing w:val="-6"/>
          <w:sz w:val="28"/>
          <w:vertAlign w:val="baseline"/>
        </w:rPr>
        <w:t> </w:t>
      </w:r>
      <w:r>
        <w:rPr>
          <w:sz w:val="28"/>
          <w:vertAlign w:val="baseline"/>
        </w:rPr>
        <w:t>that</w:t>
      </w:r>
      <w:r>
        <w:rPr>
          <w:spacing w:val="-5"/>
          <w:sz w:val="28"/>
          <w:vertAlign w:val="baseline"/>
        </w:rPr>
        <w:t> </w:t>
      </w:r>
      <w:r>
        <w:rPr>
          <w:sz w:val="28"/>
          <w:vertAlign w:val="baseline"/>
        </w:rPr>
        <w:t>may</w:t>
      </w:r>
      <w:r>
        <w:rPr>
          <w:spacing w:val="-5"/>
          <w:sz w:val="28"/>
          <w:vertAlign w:val="baseline"/>
        </w:rPr>
        <w:t> </w:t>
      </w:r>
      <w:r>
        <w:rPr>
          <w:sz w:val="28"/>
          <w:vertAlign w:val="baseline"/>
        </w:rPr>
        <w:t>be</w:t>
      </w:r>
      <w:r>
        <w:rPr>
          <w:spacing w:val="-5"/>
          <w:sz w:val="28"/>
          <w:vertAlign w:val="baseline"/>
        </w:rPr>
        <w:t> </w:t>
      </w:r>
      <w:r>
        <w:rPr>
          <w:sz w:val="28"/>
          <w:vertAlign w:val="baseline"/>
        </w:rPr>
        <w:t>adopted</w:t>
      </w:r>
      <w:r>
        <w:rPr>
          <w:spacing w:val="-6"/>
          <w:sz w:val="28"/>
          <w:vertAlign w:val="baseline"/>
        </w:rPr>
        <w:t> </w:t>
      </w:r>
      <w:r>
        <w:rPr>
          <w:sz w:val="28"/>
          <w:vertAlign w:val="baseline"/>
        </w:rPr>
        <w:t>in</w:t>
      </w:r>
      <w:r>
        <w:rPr>
          <w:spacing w:val="-6"/>
          <w:sz w:val="28"/>
          <w:vertAlign w:val="baseline"/>
        </w:rPr>
        <w:t> </w:t>
      </w:r>
      <w:r>
        <w:rPr>
          <w:sz w:val="28"/>
          <w:vertAlign w:val="baseline"/>
        </w:rPr>
        <w:t>the</w:t>
      </w:r>
      <w:r>
        <w:rPr>
          <w:spacing w:val="-5"/>
          <w:sz w:val="28"/>
          <w:vertAlign w:val="baseline"/>
        </w:rPr>
        <w:t> </w:t>
      </w:r>
      <w:r>
        <w:rPr>
          <w:sz w:val="28"/>
          <w:vertAlign w:val="baseline"/>
        </w:rPr>
        <w:t>future</w:t>
      </w:r>
      <w:r>
        <w:rPr>
          <w:spacing w:val="-5"/>
          <w:sz w:val="28"/>
          <w:vertAlign w:val="baseline"/>
        </w:rPr>
        <w:t> </w:t>
      </w:r>
      <w:r>
        <w:rPr>
          <w:sz w:val="28"/>
          <w:vertAlign w:val="baseline"/>
        </w:rPr>
        <w:t>to</w:t>
      </w:r>
      <w:r>
        <w:rPr>
          <w:spacing w:val="-6"/>
          <w:sz w:val="28"/>
          <w:vertAlign w:val="baseline"/>
        </w:rPr>
        <w:t> </w:t>
      </w:r>
      <w:r>
        <w:rPr>
          <w:sz w:val="28"/>
          <w:vertAlign w:val="baseline"/>
        </w:rPr>
        <w:t>replace</w:t>
      </w:r>
      <w:r>
        <w:rPr>
          <w:spacing w:val="-5"/>
          <w:sz w:val="28"/>
          <w:vertAlign w:val="baseline"/>
        </w:rPr>
        <w:t> </w:t>
      </w:r>
      <w:r>
        <w:rPr>
          <w:sz w:val="28"/>
          <w:vertAlign w:val="baseline"/>
        </w:rPr>
        <w:t>or</w:t>
      </w:r>
      <w:r>
        <w:rPr>
          <w:spacing w:val="-5"/>
          <w:sz w:val="28"/>
          <w:vertAlign w:val="baseline"/>
        </w:rPr>
        <w:t> </w:t>
      </w:r>
      <w:r>
        <w:rPr>
          <w:sz w:val="28"/>
          <w:vertAlign w:val="baseline"/>
        </w:rPr>
        <w:t>amend</w:t>
      </w:r>
      <w:r>
        <w:rPr>
          <w:spacing w:val="-6"/>
          <w:sz w:val="28"/>
          <w:vertAlign w:val="baseline"/>
        </w:rPr>
        <w:t> </w:t>
      </w:r>
      <w:r>
        <w:rPr>
          <w:sz w:val="28"/>
          <w:vertAlign w:val="baseline"/>
        </w:rPr>
        <w:t>the</w:t>
      </w:r>
    </w:p>
    <w:p>
      <w:pPr>
        <w:pStyle w:val="BodyText"/>
        <w:spacing w:line="225" w:lineRule="auto"/>
        <w:ind w:left="1853" w:right="1171"/>
      </w:pPr>
      <w:r>
        <w:rPr/>
        <w:t>Human</w:t>
      </w:r>
      <w:r>
        <w:rPr>
          <w:spacing w:val="-7"/>
        </w:rPr>
        <w:t> </w:t>
      </w:r>
      <w:r>
        <w:rPr/>
        <w:t>Rights</w:t>
      </w:r>
      <w:r>
        <w:rPr>
          <w:spacing w:val="-7"/>
        </w:rPr>
        <w:t> </w:t>
      </w:r>
      <w:r>
        <w:rPr/>
        <w:t>Act</w:t>
      </w:r>
      <w:r>
        <w:rPr>
          <w:spacing w:val="-6"/>
        </w:rPr>
        <w:t> </w:t>
      </w:r>
      <w:r>
        <w:rPr/>
        <w:t>1998</w:t>
      </w:r>
      <w:r>
        <w:rPr>
          <w:spacing w:val="-6"/>
        </w:rPr>
        <w:t> </w:t>
      </w:r>
      <w:r>
        <w:rPr/>
        <w:t>is</w:t>
      </w:r>
      <w:r>
        <w:rPr>
          <w:spacing w:val="-7"/>
        </w:rPr>
        <w:t> </w:t>
      </w:r>
      <w:r>
        <w:rPr/>
        <w:t>aimed</w:t>
      </w:r>
      <w:r>
        <w:rPr>
          <w:spacing w:val="-7"/>
        </w:rPr>
        <w:t> </w:t>
      </w:r>
      <w:r>
        <w:rPr/>
        <w:t>at</w:t>
      </w:r>
      <w:r>
        <w:rPr>
          <w:spacing w:val="-6"/>
        </w:rPr>
        <w:t> </w:t>
      </w:r>
      <w:r>
        <w:rPr/>
        <w:t>strengthening</w:t>
      </w:r>
      <w:r>
        <w:rPr>
          <w:spacing w:val="-6"/>
        </w:rPr>
        <w:t> </w:t>
      </w:r>
      <w:r>
        <w:rPr/>
        <w:t>the</w:t>
      </w:r>
      <w:r>
        <w:rPr>
          <w:spacing w:val="-6"/>
        </w:rPr>
        <w:t> </w:t>
      </w:r>
      <w:r>
        <w:rPr/>
        <w:t>status</w:t>
      </w:r>
      <w:r>
        <w:rPr>
          <w:spacing w:val="-7"/>
        </w:rPr>
        <w:t> </w:t>
      </w:r>
      <w:r>
        <w:rPr/>
        <w:t>of</w:t>
      </w:r>
      <w:r>
        <w:rPr>
          <w:spacing w:val="-7"/>
        </w:rPr>
        <w:t> </w:t>
      </w:r>
      <w:r>
        <w:rPr/>
        <w:t>international human rights […] and provide effective protection of those rights across all </w:t>
      </w:r>
      <w:r>
        <w:rPr>
          <w:spacing w:val="-2"/>
        </w:rPr>
        <w:t>jurisdictions.”</w:t>
      </w:r>
      <w:r>
        <w:rPr>
          <w:spacing w:val="-2"/>
          <w:vertAlign w:val="superscript"/>
        </w:rPr>
        <w:t>123</w:t>
      </w:r>
    </w:p>
    <w:p>
      <w:pPr>
        <w:pStyle w:val="BodyText"/>
        <w:spacing w:before="9"/>
        <w:rPr>
          <w:sz w:val="13"/>
        </w:rPr>
      </w:pPr>
      <w:r>
        <w:rPr/>
        <mc:AlternateContent>
          <mc:Choice Requires="wps">
            <w:drawing>
              <wp:anchor distT="0" distB="0" distL="0" distR="0" allowOverlap="1" layoutInCell="1" locked="0" behindDoc="1" simplePos="0" relativeHeight="487639552">
                <wp:simplePos x="0" y="0"/>
                <wp:positionH relativeFrom="page">
                  <wp:posOffset>720001</wp:posOffset>
                </wp:positionH>
                <wp:positionV relativeFrom="paragraph">
                  <wp:posOffset>121957</wp:posOffset>
                </wp:positionV>
                <wp:extent cx="6120130" cy="360045"/>
                <wp:effectExtent l="0" t="0" r="0" b="0"/>
                <wp:wrapTopAndBottom/>
                <wp:docPr id="176" name="Textbox 176"/>
                <wp:cNvGraphicFramePr>
                  <a:graphicFrameLocks/>
                </wp:cNvGraphicFramePr>
                <a:graphic>
                  <a:graphicData uri="http://schemas.microsoft.com/office/word/2010/wordprocessingShape">
                    <wps:wsp>
                      <wps:cNvPr id="176" name="Textbox 176"/>
                      <wps:cNvSpPr txBox="1"/>
                      <wps:spPr>
                        <a:xfrm>
                          <a:off x="0" y="0"/>
                          <a:ext cx="6120130" cy="360045"/>
                        </a:xfrm>
                        <a:prstGeom prst="rect">
                          <a:avLst/>
                        </a:prstGeom>
                        <a:solidFill>
                          <a:srgbClr val="393B80"/>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9.602984pt;width:481.9pt;height:28.35pt;mso-position-horizontal-relative:page;mso-position-vertical-relative:paragraph;z-index:-15676928;mso-wrap-distance-left:0;mso-wrap-distance-right:0" type="#_x0000_t202" id="docshape133" filled="true" fillcolor="#393b80"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208" w:after="0"/>
        <w:ind w:left="1853" w:right="1360" w:hanging="720"/>
        <w:jc w:val="left"/>
        <w:rPr>
          <w:b/>
          <w:color w:val="67287F"/>
          <w:sz w:val="28"/>
        </w:rPr>
      </w:pPr>
      <w:r>
        <w:rPr>
          <w:b/>
          <w:color w:val="67287F"/>
          <w:sz w:val="28"/>
        </w:rPr>
        <w:t>The NIHRC continues to recommend that the UK Government recognises </w:t>
      </w:r>
      <w:r>
        <w:rPr>
          <w:b/>
          <w:color w:val="67287F"/>
          <w:spacing w:val="-4"/>
          <w:sz w:val="28"/>
        </w:rPr>
        <w:t>the</w:t>
      </w:r>
      <w:r>
        <w:rPr>
          <w:b/>
          <w:color w:val="67287F"/>
          <w:spacing w:val="-12"/>
          <w:sz w:val="28"/>
        </w:rPr>
        <w:t> </w:t>
      </w:r>
      <w:r>
        <w:rPr>
          <w:b/>
          <w:color w:val="67287F"/>
          <w:spacing w:val="-4"/>
          <w:sz w:val="28"/>
        </w:rPr>
        <w:t>Human</w:t>
      </w:r>
      <w:r>
        <w:rPr>
          <w:b/>
          <w:color w:val="67287F"/>
          <w:spacing w:val="-12"/>
          <w:sz w:val="28"/>
        </w:rPr>
        <w:t> </w:t>
      </w:r>
      <w:r>
        <w:rPr>
          <w:b/>
          <w:color w:val="67287F"/>
          <w:spacing w:val="-4"/>
          <w:sz w:val="28"/>
        </w:rPr>
        <w:t>Rights</w:t>
      </w:r>
      <w:r>
        <w:rPr>
          <w:b/>
          <w:color w:val="67287F"/>
          <w:spacing w:val="-12"/>
          <w:sz w:val="28"/>
        </w:rPr>
        <w:t> </w:t>
      </w:r>
      <w:r>
        <w:rPr>
          <w:b/>
          <w:color w:val="67287F"/>
          <w:spacing w:val="-4"/>
          <w:sz w:val="28"/>
        </w:rPr>
        <w:t>Act</w:t>
      </w:r>
      <w:r>
        <w:rPr>
          <w:b/>
          <w:color w:val="67287F"/>
          <w:spacing w:val="-12"/>
          <w:sz w:val="28"/>
        </w:rPr>
        <w:t> </w:t>
      </w:r>
      <w:r>
        <w:rPr>
          <w:b/>
          <w:color w:val="67287F"/>
          <w:spacing w:val="-4"/>
          <w:sz w:val="28"/>
        </w:rPr>
        <w:t>1998</w:t>
      </w:r>
      <w:r>
        <w:rPr>
          <w:b/>
          <w:color w:val="67287F"/>
          <w:spacing w:val="-12"/>
          <w:sz w:val="28"/>
        </w:rPr>
        <w:t> </w:t>
      </w:r>
      <w:r>
        <w:rPr>
          <w:b/>
          <w:color w:val="67287F"/>
          <w:spacing w:val="-4"/>
          <w:sz w:val="28"/>
        </w:rPr>
        <w:t>as</w:t>
      </w:r>
      <w:r>
        <w:rPr>
          <w:b/>
          <w:color w:val="67287F"/>
          <w:spacing w:val="-11"/>
          <w:sz w:val="28"/>
        </w:rPr>
        <w:t> </w:t>
      </w:r>
      <w:r>
        <w:rPr>
          <w:b/>
          <w:color w:val="67287F"/>
          <w:spacing w:val="-4"/>
          <w:sz w:val="28"/>
        </w:rPr>
        <w:t>a</w:t>
      </w:r>
      <w:r>
        <w:rPr>
          <w:b/>
          <w:color w:val="67287F"/>
          <w:spacing w:val="-12"/>
          <w:sz w:val="28"/>
        </w:rPr>
        <w:t> </w:t>
      </w:r>
      <w:r>
        <w:rPr>
          <w:b/>
          <w:color w:val="67287F"/>
          <w:spacing w:val="-4"/>
          <w:sz w:val="28"/>
        </w:rPr>
        <w:t>constitutional</w:t>
      </w:r>
      <w:r>
        <w:rPr>
          <w:b/>
          <w:color w:val="67287F"/>
          <w:spacing w:val="-12"/>
          <w:sz w:val="28"/>
        </w:rPr>
        <w:t> </w:t>
      </w:r>
      <w:r>
        <w:rPr>
          <w:b/>
          <w:color w:val="67287F"/>
          <w:spacing w:val="-4"/>
          <w:sz w:val="28"/>
        </w:rPr>
        <w:t>statute</w:t>
      </w:r>
      <w:r>
        <w:rPr>
          <w:b/>
          <w:color w:val="67287F"/>
          <w:spacing w:val="-12"/>
          <w:sz w:val="28"/>
        </w:rPr>
        <w:t> </w:t>
      </w:r>
      <w:r>
        <w:rPr>
          <w:b/>
          <w:color w:val="67287F"/>
          <w:spacing w:val="-4"/>
          <w:sz w:val="28"/>
        </w:rPr>
        <w:t>and</w:t>
      </w:r>
      <w:r>
        <w:rPr>
          <w:b/>
          <w:color w:val="67287F"/>
          <w:spacing w:val="-12"/>
          <w:sz w:val="28"/>
        </w:rPr>
        <w:t> </w:t>
      </w:r>
      <w:r>
        <w:rPr>
          <w:b/>
          <w:color w:val="67287F"/>
          <w:spacing w:val="-4"/>
          <w:sz w:val="28"/>
        </w:rPr>
        <w:t>ensures</w:t>
      </w:r>
      <w:r>
        <w:rPr>
          <w:b/>
          <w:color w:val="67287F"/>
          <w:spacing w:val="-12"/>
          <w:sz w:val="28"/>
        </w:rPr>
        <w:t> </w:t>
      </w:r>
      <w:r>
        <w:rPr>
          <w:b/>
          <w:color w:val="67287F"/>
          <w:spacing w:val="-4"/>
          <w:sz w:val="28"/>
        </w:rPr>
        <w:t>any</w:t>
      </w:r>
      <w:r>
        <w:rPr>
          <w:b/>
          <w:color w:val="67287F"/>
          <w:spacing w:val="-11"/>
          <w:sz w:val="28"/>
        </w:rPr>
        <w:t> </w:t>
      </w:r>
      <w:r>
        <w:rPr>
          <w:b/>
          <w:color w:val="67287F"/>
          <w:spacing w:val="-4"/>
          <w:sz w:val="28"/>
        </w:rPr>
        <w:t>reform </w:t>
      </w:r>
      <w:r>
        <w:rPr>
          <w:b/>
          <w:color w:val="67287F"/>
          <w:sz w:val="28"/>
        </w:rPr>
        <w:t>builds on the 1998 Act as part of further progress in the promotion and protection of human rights.</w:t>
      </w:r>
    </w:p>
    <w:p>
      <w:pPr>
        <w:pStyle w:val="ListParagraph"/>
        <w:numPr>
          <w:ilvl w:val="1"/>
          <w:numId w:val="7"/>
        </w:numPr>
        <w:tabs>
          <w:tab w:pos="1853" w:val="left" w:leader="none"/>
        </w:tabs>
        <w:spacing w:line="225" w:lineRule="auto" w:before="315" w:after="0"/>
        <w:ind w:left="1853" w:right="1416" w:hanging="720"/>
        <w:jc w:val="left"/>
        <w:rPr>
          <w:b/>
          <w:color w:val="67287F"/>
          <w:sz w:val="28"/>
        </w:rPr>
      </w:pPr>
      <w:r>
        <w:rPr>
          <w:b/>
          <w:color w:val="67287F"/>
          <w:sz w:val="28"/>
        </w:rPr>
        <w:t>The</w:t>
      </w:r>
      <w:r>
        <w:rPr>
          <w:b/>
          <w:color w:val="67287F"/>
          <w:spacing w:val="-8"/>
          <w:sz w:val="28"/>
        </w:rPr>
        <w:t> </w:t>
      </w:r>
      <w:r>
        <w:rPr>
          <w:b/>
          <w:color w:val="67287F"/>
          <w:sz w:val="28"/>
        </w:rPr>
        <w:t>NIHRC</w:t>
      </w:r>
      <w:r>
        <w:rPr>
          <w:b/>
          <w:color w:val="67287F"/>
          <w:spacing w:val="-8"/>
          <w:sz w:val="28"/>
        </w:rPr>
        <w:t> </w:t>
      </w:r>
      <w:r>
        <w:rPr>
          <w:b/>
          <w:color w:val="67287F"/>
          <w:sz w:val="28"/>
        </w:rPr>
        <w:t>continues</w:t>
      </w:r>
      <w:r>
        <w:rPr>
          <w:b/>
          <w:color w:val="67287F"/>
          <w:spacing w:val="-7"/>
          <w:sz w:val="28"/>
        </w:rPr>
        <w:t> </w:t>
      </w:r>
      <w:r>
        <w:rPr>
          <w:b/>
          <w:color w:val="67287F"/>
          <w:sz w:val="28"/>
        </w:rPr>
        <w:t>to</w:t>
      </w:r>
      <w:r>
        <w:rPr>
          <w:b/>
          <w:color w:val="67287F"/>
          <w:spacing w:val="-7"/>
          <w:sz w:val="28"/>
        </w:rPr>
        <w:t> </w:t>
      </w:r>
      <w:r>
        <w:rPr>
          <w:b/>
          <w:color w:val="67287F"/>
          <w:sz w:val="28"/>
        </w:rPr>
        <w:t>advise</w:t>
      </w:r>
      <w:r>
        <w:rPr>
          <w:b/>
          <w:color w:val="67287F"/>
          <w:spacing w:val="-8"/>
          <w:sz w:val="28"/>
        </w:rPr>
        <w:t> </w:t>
      </w:r>
      <w:r>
        <w:rPr>
          <w:b/>
          <w:color w:val="67287F"/>
          <w:sz w:val="28"/>
        </w:rPr>
        <w:t>that</w:t>
      </w:r>
      <w:r>
        <w:rPr>
          <w:b/>
          <w:color w:val="67287F"/>
          <w:spacing w:val="-7"/>
          <w:sz w:val="28"/>
        </w:rPr>
        <w:t> </w:t>
      </w:r>
      <w:r>
        <w:rPr>
          <w:b/>
          <w:color w:val="67287F"/>
          <w:sz w:val="28"/>
        </w:rPr>
        <w:t>the</w:t>
      </w:r>
      <w:r>
        <w:rPr>
          <w:b/>
          <w:color w:val="67287F"/>
          <w:spacing w:val="-8"/>
          <w:sz w:val="28"/>
        </w:rPr>
        <w:t> </w:t>
      </w:r>
      <w:r>
        <w:rPr>
          <w:b/>
          <w:color w:val="67287F"/>
          <w:sz w:val="28"/>
        </w:rPr>
        <w:t>protections</w:t>
      </w:r>
      <w:r>
        <w:rPr>
          <w:b/>
          <w:color w:val="67287F"/>
          <w:spacing w:val="-7"/>
          <w:sz w:val="28"/>
        </w:rPr>
        <w:t> </w:t>
      </w:r>
      <w:r>
        <w:rPr>
          <w:b/>
          <w:color w:val="67287F"/>
          <w:sz w:val="28"/>
        </w:rPr>
        <w:t>in</w:t>
      </w:r>
      <w:r>
        <w:rPr>
          <w:b/>
          <w:color w:val="67287F"/>
          <w:spacing w:val="-7"/>
          <w:sz w:val="28"/>
        </w:rPr>
        <w:t> </w:t>
      </w:r>
      <w:r>
        <w:rPr>
          <w:b/>
          <w:color w:val="67287F"/>
          <w:sz w:val="28"/>
        </w:rPr>
        <w:t>Windsor</w:t>
      </w:r>
      <w:r>
        <w:rPr>
          <w:b/>
          <w:color w:val="67287F"/>
          <w:spacing w:val="-8"/>
          <w:sz w:val="28"/>
        </w:rPr>
        <w:t> </w:t>
      </w:r>
      <w:r>
        <w:rPr>
          <w:b/>
          <w:color w:val="67287F"/>
          <w:sz w:val="28"/>
        </w:rPr>
        <w:t>Framework Article 2, while an important safeguard against the diminution of rights following UK withdrawal from the EU, are not a substitute for the comprehensive framework of human rights protections under the Human Rights Act.</w:t>
      </w:r>
    </w:p>
    <w:p>
      <w:pPr>
        <w:pStyle w:val="ListParagraph"/>
        <w:numPr>
          <w:ilvl w:val="1"/>
          <w:numId w:val="7"/>
        </w:numPr>
        <w:tabs>
          <w:tab w:pos="1853" w:val="left" w:leader="none"/>
        </w:tabs>
        <w:spacing w:line="225" w:lineRule="auto" w:before="314" w:after="0"/>
        <w:ind w:left="1853" w:right="1722" w:hanging="720"/>
        <w:jc w:val="both"/>
        <w:rPr>
          <w:b/>
          <w:color w:val="67287F"/>
          <w:sz w:val="28"/>
        </w:rPr>
      </w:pPr>
      <w:r>
        <w:rPr>
          <w:b/>
          <w:color w:val="67287F"/>
          <w:sz w:val="28"/>
        </w:rPr>
        <w:t>The</w:t>
      </w:r>
      <w:r>
        <w:rPr>
          <w:b/>
          <w:color w:val="67287F"/>
          <w:spacing w:val="-6"/>
          <w:sz w:val="28"/>
        </w:rPr>
        <w:t> </w:t>
      </w:r>
      <w:r>
        <w:rPr>
          <w:b/>
          <w:color w:val="67287F"/>
          <w:sz w:val="28"/>
        </w:rPr>
        <w:t>NIHRC</w:t>
      </w:r>
      <w:r>
        <w:rPr>
          <w:b/>
          <w:color w:val="67287F"/>
          <w:spacing w:val="-6"/>
          <w:sz w:val="28"/>
        </w:rPr>
        <w:t> </w:t>
      </w:r>
      <w:r>
        <w:rPr>
          <w:b/>
          <w:color w:val="67287F"/>
          <w:sz w:val="28"/>
        </w:rPr>
        <w:t>advises</w:t>
      </w:r>
      <w:r>
        <w:rPr>
          <w:b/>
          <w:color w:val="67287F"/>
          <w:spacing w:val="-5"/>
          <w:sz w:val="28"/>
        </w:rPr>
        <w:t> </w:t>
      </w:r>
      <w:r>
        <w:rPr>
          <w:b/>
          <w:color w:val="67287F"/>
          <w:sz w:val="28"/>
        </w:rPr>
        <w:t>that</w:t>
      </w:r>
      <w:r>
        <w:rPr>
          <w:b/>
          <w:color w:val="67287F"/>
          <w:spacing w:val="-5"/>
          <w:sz w:val="28"/>
        </w:rPr>
        <w:t> </w:t>
      </w:r>
      <w:r>
        <w:rPr>
          <w:b/>
          <w:color w:val="67287F"/>
          <w:sz w:val="28"/>
        </w:rPr>
        <w:t>the</w:t>
      </w:r>
      <w:r>
        <w:rPr>
          <w:b/>
          <w:color w:val="67287F"/>
          <w:spacing w:val="-6"/>
          <w:sz w:val="28"/>
        </w:rPr>
        <w:t> </w:t>
      </w:r>
      <w:r>
        <w:rPr>
          <w:b/>
          <w:color w:val="67287F"/>
          <w:sz w:val="28"/>
        </w:rPr>
        <w:t>ECHR</w:t>
      </w:r>
      <w:r>
        <w:rPr>
          <w:b/>
          <w:color w:val="67287F"/>
          <w:spacing w:val="-6"/>
          <w:sz w:val="28"/>
        </w:rPr>
        <w:t> </w:t>
      </w:r>
      <w:r>
        <w:rPr>
          <w:b/>
          <w:color w:val="67287F"/>
          <w:sz w:val="28"/>
        </w:rPr>
        <w:t>and</w:t>
      </w:r>
      <w:r>
        <w:rPr>
          <w:b/>
          <w:color w:val="67287F"/>
          <w:spacing w:val="-5"/>
          <w:sz w:val="28"/>
        </w:rPr>
        <w:t> </w:t>
      </w:r>
      <w:r>
        <w:rPr>
          <w:b/>
          <w:color w:val="67287F"/>
          <w:sz w:val="28"/>
        </w:rPr>
        <w:t>ECtHR</w:t>
      </w:r>
      <w:r>
        <w:rPr>
          <w:b/>
          <w:color w:val="67287F"/>
          <w:spacing w:val="-6"/>
          <w:sz w:val="28"/>
        </w:rPr>
        <w:t> </w:t>
      </w:r>
      <w:r>
        <w:rPr>
          <w:b/>
          <w:color w:val="67287F"/>
          <w:sz w:val="28"/>
        </w:rPr>
        <w:t>jurisprudence</w:t>
      </w:r>
      <w:r>
        <w:rPr>
          <w:b/>
          <w:color w:val="67287F"/>
          <w:spacing w:val="-6"/>
          <w:sz w:val="28"/>
        </w:rPr>
        <w:t> </w:t>
      </w:r>
      <w:r>
        <w:rPr>
          <w:b/>
          <w:color w:val="67287F"/>
          <w:sz w:val="28"/>
        </w:rPr>
        <w:t>will</w:t>
      </w:r>
      <w:r>
        <w:rPr>
          <w:b/>
          <w:color w:val="67287F"/>
          <w:spacing w:val="-5"/>
          <w:sz w:val="28"/>
        </w:rPr>
        <w:t> </w:t>
      </w:r>
      <w:r>
        <w:rPr>
          <w:b/>
          <w:color w:val="67287F"/>
          <w:sz w:val="28"/>
        </w:rPr>
        <w:t>continue to</w:t>
      </w:r>
      <w:r>
        <w:rPr>
          <w:b/>
          <w:color w:val="67287F"/>
          <w:spacing w:val="-7"/>
          <w:sz w:val="28"/>
        </w:rPr>
        <w:t> </w:t>
      </w:r>
      <w:r>
        <w:rPr>
          <w:b/>
          <w:color w:val="67287F"/>
          <w:sz w:val="28"/>
        </w:rPr>
        <w:t>inform</w:t>
      </w:r>
      <w:r>
        <w:rPr>
          <w:b/>
          <w:color w:val="67287F"/>
          <w:spacing w:val="-8"/>
          <w:sz w:val="28"/>
        </w:rPr>
        <w:t> </w:t>
      </w:r>
      <w:r>
        <w:rPr>
          <w:b/>
          <w:color w:val="67287F"/>
          <w:sz w:val="28"/>
        </w:rPr>
        <w:t>the</w:t>
      </w:r>
      <w:r>
        <w:rPr>
          <w:b/>
          <w:color w:val="67287F"/>
          <w:spacing w:val="-8"/>
          <w:sz w:val="28"/>
        </w:rPr>
        <w:t> </w:t>
      </w:r>
      <w:r>
        <w:rPr>
          <w:b/>
          <w:color w:val="67287F"/>
          <w:sz w:val="28"/>
        </w:rPr>
        <w:t>interpretation</w:t>
      </w:r>
      <w:r>
        <w:rPr>
          <w:b/>
          <w:color w:val="67287F"/>
          <w:spacing w:val="-7"/>
          <w:sz w:val="28"/>
        </w:rPr>
        <w:t> </w:t>
      </w:r>
      <w:r>
        <w:rPr>
          <w:b/>
          <w:color w:val="67287F"/>
          <w:sz w:val="28"/>
        </w:rPr>
        <w:t>of</w:t>
      </w:r>
      <w:r>
        <w:rPr>
          <w:b/>
          <w:color w:val="67287F"/>
          <w:spacing w:val="-8"/>
          <w:sz w:val="28"/>
        </w:rPr>
        <w:t> </w:t>
      </w:r>
      <w:r>
        <w:rPr>
          <w:b/>
          <w:color w:val="67287F"/>
          <w:sz w:val="28"/>
        </w:rPr>
        <w:t>Windsor</w:t>
      </w:r>
      <w:r>
        <w:rPr>
          <w:b/>
          <w:color w:val="67287F"/>
          <w:spacing w:val="-8"/>
          <w:sz w:val="28"/>
        </w:rPr>
        <w:t> </w:t>
      </w:r>
      <w:r>
        <w:rPr>
          <w:b/>
          <w:color w:val="67287F"/>
          <w:sz w:val="28"/>
        </w:rPr>
        <w:t>Framework</w:t>
      </w:r>
      <w:r>
        <w:rPr>
          <w:b/>
          <w:color w:val="67287F"/>
          <w:spacing w:val="-8"/>
          <w:sz w:val="28"/>
        </w:rPr>
        <w:t> </w:t>
      </w:r>
      <w:r>
        <w:rPr>
          <w:b/>
          <w:color w:val="67287F"/>
          <w:sz w:val="28"/>
        </w:rPr>
        <w:t>Article</w:t>
      </w:r>
      <w:r>
        <w:rPr>
          <w:b/>
          <w:color w:val="67287F"/>
          <w:spacing w:val="-8"/>
          <w:sz w:val="28"/>
        </w:rPr>
        <w:t> </w:t>
      </w:r>
      <w:r>
        <w:rPr>
          <w:b/>
          <w:color w:val="67287F"/>
          <w:sz w:val="28"/>
        </w:rPr>
        <w:t>2,</w:t>
      </w:r>
      <w:r>
        <w:rPr>
          <w:b/>
          <w:color w:val="67287F"/>
          <w:spacing w:val="-7"/>
          <w:sz w:val="28"/>
        </w:rPr>
        <w:t> </w:t>
      </w:r>
      <w:r>
        <w:rPr>
          <w:b/>
          <w:color w:val="67287F"/>
          <w:sz w:val="28"/>
        </w:rPr>
        <w:t>due</w:t>
      </w:r>
      <w:r>
        <w:rPr>
          <w:b/>
          <w:color w:val="67287F"/>
          <w:spacing w:val="-8"/>
          <w:sz w:val="28"/>
        </w:rPr>
        <w:t> </w:t>
      </w:r>
      <w:r>
        <w:rPr>
          <w:b/>
          <w:color w:val="67287F"/>
          <w:sz w:val="28"/>
        </w:rPr>
        <w:t>to</w:t>
      </w:r>
      <w:r>
        <w:rPr>
          <w:b/>
          <w:color w:val="67287F"/>
          <w:spacing w:val="-7"/>
          <w:sz w:val="28"/>
        </w:rPr>
        <w:t> </w:t>
      </w:r>
      <w:r>
        <w:rPr>
          <w:b/>
          <w:color w:val="67287F"/>
          <w:sz w:val="28"/>
        </w:rPr>
        <w:t>the interpretive</w:t>
      </w:r>
      <w:r>
        <w:rPr>
          <w:b/>
          <w:color w:val="67287F"/>
          <w:spacing w:val="-6"/>
          <w:sz w:val="28"/>
        </w:rPr>
        <w:t> </w:t>
      </w:r>
      <w:r>
        <w:rPr>
          <w:b/>
          <w:color w:val="67287F"/>
          <w:sz w:val="28"/>
        </w:rPr>
        <w:t>requirement</w:t>
      </w:r>
      <w:r>
        <w:rPr>
          <w:b/>
          <w:color w:val="67287F"/>
          <w:spacing w:val="-6"/>
          <w:sz w:val="28"/>
        </w:rPr>
        <w:t> </w:t>
      </w:r>
      <w:r>
        <w:rPr>
          <w:b/>
          <w:color w:val="67287F"/>
          <w:sz w:val="28"/>
        </w:rPr>
        <w:t>in</w:t>
      </w:r>
      <w:r>
        <w:rPr>
          <w:b/>
          <w:color w:val="67287F"/>
          <w:spacing w:val="-6"/>
          <w:sz w:val="28"/>
        </w:rPr>
        <w:t> </w:t>
      </w:r>
      <w:r>
        <w:rPr>
          <w:b/>
          <w:color w:val="67287F"/>
          <w:sz w:val="28"/>
        </w:rPr>
        <w:t>Article</w:t>
      </w:r>
      <w:r>
        <w:rPr>
          <w:b/>
          <w:color w:val="67287F"/>
          <w:spacing w:val="-6"/>
          <w:sz w:val="28"/>
        </w:rPr>
        <w:t> </w:t>
      </w:r>
      <w:r>
        <w:rPr>
          <w:b/>
          <w:color w:val="67287F"/>
          <w:sz w:val="28"/>
        </w:rPr>
        <w:t>52</w:t>
      </w:r>
      <w:r>
        <w:rPr>
          <w:b/>
          <w:color w:val="67287F"/>
          <w:spacing w:val="-6"/>
          <w:sz w:val="28"/>
        </w:rPr>
        <w:t> </w:t>
      </w:r>
      <w:r>
        <w:rPr>
          <w:b/>
          <w:color w:val="67287F"/>
          <w:sz w:val="28"/>
        </w:rPr>
        <w:t>of</w:t>
      </w:r>
      <w:r>
        <w:rPr>
          <w:b/>
          <w:color w:val="67287F"/>
          <w:spacing w:val="-6"/>
          <w:sz w:val="28"/>
        </w:rPr>
        <w:t> </w:t>
      </w:r>
      <w:r>
        <w:rPr>
          <w:b/>
          <w:color w:val="67287F"/>
          <w:sz w:val="28"/>
        </w:rPr>
        <w:t>the</w:t>
      </w:r>
      <w:r>
        <w:rPr>
          <w:b/>
          <w:color w:val="67287F"/>
          <w:spacing w:val="-6"/>
          <w:sz w:val="28"/>
        </w:rPr>
        <w:t> </w:t>
      </w:r>
      <w:r>
        <w:rPr>
          <w:b/>
          <w:color w:val="67287F"/>
          <w:sz w:val="28"/>
        </w:rPr>
        <w:t>EU</w:t>
      </w:r>
      <w:r>
        <w:rPr>
          <w:b/>
          <w:color w:val="67287F"/>
          <w:spacing w:val="-6"/>
          <w:sz w:val="28"/>
        </w:rPr>
        <w:t> </w:t>
      </w:r>
      <w:r>
        <w:rPr>
          <w:b/>
          <w:color w:val="67287F"/>
          <w:sz w:val="28"/>
        </w:rPr>
        <w:t>Charter</w:t>
      </w:r>
      <w:r>
        <w:rPr>
          <w:b/>
          <w:color w:val="67287F"/>
          <w:spacing w:val="-6"/>
          <w:sz w:val="28"/>
        </w:rPr>
        <w:t> </w:t>
      </w:r>
      <w:r>
        <w:rPr>
          <w:b/>
          <w:color w:val="67287F"/>
          <w:sz w:val="28"/>
        </w:rPr>
        <w:t>of</w:t>
      </w:r>
      <w:r>
        <w:rPr>
          <w:b/>
          <w:color w:val="67287F"/>
          <w:spacing w:val="-6"/>
          <w:sz w:val="28"/>
        </w:rPr>
        <w:t> </w:t>
      </w:r>
      <w:r>
        <w:rPr>
          <w:b/>
          <w:color w:val="67287F"/>
          <w:sz w:val="28"/>
        </w:rPr>
        <w:t>Fundamental Rights regarding the ECHR and the resulting CJEU jurisprudence.</w:t>
      </w:r>
    </w:p>
    <w:p>
      <w:pPr>
        <w:pStyle w:val="ListParagraph"/>
        <w:numPr>
          <w:ilvl w:val="1"/>
          <w:numId w:val="7"/>
        </w:numPr>
        <w:tabs>
          <w:tab w:pos="1853" w:val="left" w:leader="none"/>
        </w:tabs>
        <w:spacing w:line="225" w:lineRule="auto" w:before="315" w:after="0"/>
        <w:ind w:left="1853" w:right="1141" w:hanging="720"/>
        <w:jc w:val="left"/>
        <w:rPr>
          <w:b/>
          <w:color w:val="67287F"/>
          <w:sz w:val="28"/>
        </w:rPr>
      </w:pPr>
      <w:r>
        <w:rPr>
          <w:b/>
          <w:color w:val="67287F"/>
          <w:sz w:val="28"/>
        </w:rPr>
        <w:t>The</w:t>
      </w:r>
      <w:r>
        <w:rPr>
          <w:b/>
          <w:color w:val="67287F"/>
          <w:spacing w:val="-7"/>
          <w:sz w:val="28"/>
        </w:rPr>
        <w:t> </w:t>
      </w:r>
      <w:r>
        <w:rPr>
          <w:b/>
          <w:color w:val="67287F"/>
          <w:sz w:val="28"/>
        </w:rPr>
        <w:t>ECNI</w:t>
      </w:r>
      <w:r>
        <w:rPr>
          <w:b/>
          <w:color w:val="67287F"/>
          <w:spacing w:val="-7"/>
          <w:sz w:val="28"/>
        </w:rPr>
        <w:t> </w:t>
      </w:r>
      <w:r>
        <w:rPr>
          <w:b/>
          <w:color w:val="67287F"/>
          <w:sz w:val="28"/>
        </w:rPr>
        <w:t>continues</w:t>
      </w:r>
      <w:r>
        <w:rPr>
          <w:b/>
          <w:color w:val="67287F"/>
          <w:spacing w:val="-7"/>
          <w:sz w:val="28"/>
        </w:rPr>
        <w:t> </w:t>
      </w:r>
      <w:r>
        <w:rPr>
          <w:b/>
          <w:color w:val="67287F"/>
          <w:sz w:val="28"/>
        </w:rPr>
        <w:t>to</w:t>
      </w:r>
      <w:r>
        <w:rPr>
          <w:b/>
          <w:color w:val="67287F"/>
          <w:spacing w:val="-7"/>
          <w:sz w:val="28"/>
        </w:rPr>
        <w:t> </w:t>
      </w:r>
      <w:r>
        <w:rPr>
          <w:b/>
          <w:color w:val="67287F"/>
          <w:sz w:val="28"/>
        </w:rPr>
        <w:t>recommend</w:t>
      </w:r>
      <w:r>
        <w:rPr>
          <w:b/>
          <w:color w:val="67287F"/>
          <w:spacing w:val="-7"/>
          <w:sz w:val="28"/>
        </w:rPr>
        <w:t> </w:t>
      </w:r>
      <w:r>
        <w:rPr>
          <w:b/>
          <w:color w:val="67287F"/>
          <w:sz w:val="28"/>
        </w:rPr>
        <w:t>that</w:t>
      </w:r>
      <w:r>
        <w:rPr>
          <w:b/>
          <w:color w:val="67287F"/>
          <w:spacing w:val="-7"/>
          <w:sz w:val="28"/>
        </w:rPr>
        <w:t> </w:t>
      </w:r>
      <w:r>
        <w:rPr>
          <w:b/>
          <w:color w:val="67287F"/>
          <w:sz w:val="28"/>
        </w:rPr>
        <w:t>the</w:t>
      </w:r>
      <w:r>
        <w:rPr>
          <w:b/>
          <w:color w:val="67287F"/>
          <w:spacing w:val="-7"/>
          <w:sz w:val="28"/>
        </w:rPr>
        <w:t> </w:t>
      </w:r>
      <w:r>
        <w:rPr>
          <w:b/>
          <w:color w:val="67287F"/>
          <w:sz w:val="28"/>
        </w:rPr>
        <w:t>UK</w:t>
      </w:r>
      <w:r>
        <w:rPr>
          <w:b/>
          <w:color w:val="67287F"/>
          <w:spacing w:val="-7"/>
          <w:sz w:val="28"/>
        </w:rPr>
        <w:t> </w:t>
      </w:r>
      <w:r>
        <w:rPr>
          <w:b/>
          <w:color w:val="67287F"/>
          <w:sz w:val="28"/>
        </w:rPr>
        <w:t>Government</w:t>
      </w:r>
      <w:r>
        <w:rPr>
          <w:b/>
          <w:color w:val="67287F"/>
          <w:spacing w:val="-7"/>
          <w:sz w:val="28"/>
        </w:rPr>
        <w:t> </w:t>
      </w:r>
      <w:r>
        <w:rPr>
          <w:b/>
          <w:color w:val="67287F"/>
          <w:sz w:val="28"/>
        </w:rPr>
        <w:t>ensures</w:t>
      </w:r>
      <w:r>
        <w:rPr>
          <w:b/>
          <w:color w:val="67287F"/>
          <w:spacing w:val="-7"/>
          <w:sz w:val="28"/>
        </w:rPr>
        <w:t> </w:t>
      </w:r>
      <w:r>
        <w:rPr>
          <w:b/>
          <w:color w:val="67287F"/>
          <w:sz w:val="28"/>
        </w:rPr>
        <w:t>that</w:t>
      </w:r>
      <w:r>
        <w:rPr>
          <w:b/>
          <w:color w:val="67287F"/>
          <w:spacing w:val="-7"/>
          <w:sz w:val="28"/>
        </w:rPr>
        <w:t> </w:t>
      </w:r>
      <w:r>
        <w:rPr>
          <w:b/>
          <w:color w:val="67287F"/>
          <w:sz w:val="28"/>
        </w:rPr>
        <w:t>any reform of the Human Rights Act does not breach or undermine the Belfast (Good Friday) Agreement or Windsor Framework Article 2 and that current levels of protection under the Human Rights Act and other ratified human rights instruments are not eroded.</w:t>
      </w:r>
    </w:p>
    <w:p>
      <w:pPr>
        <w:pStyle w:val="Heading5"/>
        <w:spacing w:before="297"/>
        <w:ind w:left="1133" w:firstLine="0"/>
      </w:pPr>
      <w:bookmarkStart w:name="Divergence of Rights on the Island of Ir" w:id="35"/>
      <w:bookmarkEnd w:id="35"/>
      <w:r>
        <w:rPr>
          <w:b w:val="0"/>
        </w:rPr>
      </w:r>
      <w:r>
        <w:rPr>
          <w:color w:val="393B7F"/>
        </w:rPr>
        <w:t>Divergence</w:t>
      </w:r>
      <w:r>
        <w:rPr>
          <w:color w:val="393B7F"/>
          <w:spacing w:val="-5"/>
        </w:rPr>
        <w:t> </w:t>
      </w:r>
      <w:r>
        <w:rPr>
          <w:color w:val="393B7F"/>
        </w:rPr>
        <w:t>of</w:t>
      </w:r>
      <w:r>
        <w:rPr>
          <w:color w:val="393B7F"/>
          <w:spacing w:val="-4"/>
        </w:rPr>
        <w:t> </w:t>
      </w:r>
      <w:r>
        <w:rPr>
          <w:color w:val="393B7F"/>
        </w:rPr>
        <w:t>Rights</w:t>
      </w:r>
      <w:r>
        <w:rPr>
          <w:color w:val="393B7F"/>
          <w:spacing w:val="-3"/>
        </w:rPr>
        <w:t> </w:t>
      </w:r>
      <w:r>
        <w:rPr>
          <w:color w:val="393B7F"/>
        </w:rPr>
        <w:t>on</w:t>
      </w:r>
      <w:r>
        <w:rPr>
          <w:color w:val="393B7F"/>
          <w:spacing w:val="-4"/>
        </w:rPr>
        <w:t> </w:t>
      </w:r>
      <w:r>
        <w:rPr>
          <w:color w:val="393B7F"/>
        </w:rPr>
        <w:t>the</w:t>
      </w:r>
      <w:r>
        <w:rPr>
          <w:color w:val="393B7F"/>
          <w:spacing w:val="-4"/>
        </w:rPr>
        <w:t> </w:t>
      </w:r>
      <w:r>
        <w:rPr>
          <w:color w:val="393B7F"/>
        </w:rPr>
        <w:t>Island</w:t>
      </w:r>
      <w:r>
        <w:rPr>
          <w:color w:val="393B7F"/>
          <w:spacing w:val="-3"/>
        </w:rPr>
        <w:t> </w:t>
      </w:r>
      <w:r>
        <w:rPr>
          <w:color w:val="393B7F"/>
        </w:rPr>
        <w:t>of</w:t>
      </w:r>
      <w:r>
        <w:rPr>
          <w:color w:val="393B7F"/>
          <w:spacing w:val="-4"/>
        </w:rPr>
        <w:t> </w:t>
      </w:r>
      <w:r>
        <w:rPr>
          <w:color w:val="393B7F"/>
          <w:spacing w:val="-2"/>
        </w:rPr>
        <w:t>Ireland</w:t>
      </w:r>
    </w:p>
    <w:p>
      <w:pPr>
        <w:pStyle w:val="ListParagraph"/>
        <w:numPr>
          <w:ilvl w:val="1"/>
          <w:numId w:val="7"/>
        </w:numPr>
        <w:tabs>
          <w:tab w:pos="1853" w:val="left" w:leader="none"/>
        </w:tabs>
        <w:spacing w:line="225" w:lineRule="auto" w:before="330" w:after="0"/>
        <w:ind w:left="1853" w:right="1530" w:hanging="720"/>
        <w:jc w:val="left"/>
        <w:rPr>
          <w:sz w:val="28"/>
        </w:rPr>
      </w:pPr>
      <w:r>
        <w:rPr>
          <w:sz w:val="28"/>
        </w:rPr>
        <w:t>The Commissions recognise that long term North-South equivalence of protection for equality and human rights is important. For example, it can help facilitate the enjoyment of certain rights on a cross-border basis, in keeping</w:t>
      </w:r>
      <w:r>
        <w:rPr>
          <w:spacing w:val="-6"/>
          <w:sz w:val="28"/>
        </w:rPr>
        <w:t> </w:t>
      </w:r>
      <w:r>
        <w:rPr>
          <w:sz w:val="28"/>
        </w:rPr>
        <w:t>with</w:t>
      </w:r>
      <w:r>
        <w:rPr>
          <w:spacing w:val="-7"/>
          <w:sz w:val="28"/>
        </w:rPr>
        <w:t> </w:t>
      </w:r>
      <w:r>
        <w:rPr>
          <w:sz w:val="28"/>
        </w:rPr>
        <w:t>the</w:t>
      </w:r>
      <w:r>
        <w:rPr>
          <w:spacing w:val="-6"/>
          <w:sz w:val="28"/>
        </w:rPr>
        <w:t> </w:t>
      </w:r>
      <w:r>
        <w:rPr>
          <w:sz w:val="28"/>
        </w:rPr>
        <w:t>North-South</w:t>
      </w:r>
      <w:r>
        <w:rPr>
          <w:spacing w:val="-7"/>
          <w:sz w:val="28"/>
        </w:rPr>
        <w:t> </w:t>
      </w:r>
      <w:r>
        <w:rPr>
          <w:sz w:val="28"/>
        </w:rPr>
        <w:t>rights</w:t>
      </w:r>
      <w:r>
        <w:rPr>
          <w:spacing w:val="-7"/>
          <w:sz w:val="28"/>
        </w:rPr>
        <w:t> </w:t>
      </w:r>
      <w:r>
        <w:rPr>
          <w:sz w:val="28"/>
        </w:rPr>
        <w:t>dimension</w:t>
      </w:r>
      <w:r>
        <w:rPr>
          <w:spacing w:val="-7"/>
          <w:sz w:val="28"/>
        </w:rPr>
        <w:t> </w:t>
      </w:r>
      <w:r>
        <w:rPr>
          <w:sz w:val="28"/>
        </w:rPr>
        <w:t>of</w:t>
      </w:r>
      <w:r>
        <w:rPr>
          <w:spacing w:val="-7"/>
          <w:sz w:val="28"/>
        </w:rPr>
        <w:t> </w:t>
      </w:r>
      <w:r>
        <w:rPr>
          <w:sz w:val="28"/>
        </w:rPr>
        <w:t>the</w:t>
      </w:r>
      <w:r>
        <w:rPr>
          <w:spacing w:val="-6"/>
          <w:sz w:val="28"/>
        </w:rPr>
        <w:t> </w:t>
      </w:r>
      <w:r>
        <w:rPr>
          <w:sz w:val="28"/>
        </w:rPr>
        <w:t>Belfast</w:t>
      </w:r>
      <w:r>
        <w:rPr>
          <w:spacing w:val="-6"/>
          <w:sz w:val="28"/>
        </w:rPr>
        <w:t> </w:t>
      </w:r>
      <w:r>
        <w:rPr>
          <w:sz w:val="28"/>
        </w:rPr>
        <w:t>(Good</w:t>
      </w:r>
      <w:r>
        <w:rPr>
          <w:spacing w:val="-7"/>
          <w:sz w:val="28"/>
        </w:rPr>
        <w:t> </w:t>
      </w:r>
      <w:r>
        <w:rPr>
          <w:sz w:val="28"/>
        </w:rPr>
        <w:t>Friday)</w:t>
      </w:r>
    </w:p>
    <w:p>
      <w:pPr>
        <w:pStyle w:val="BodyText"/>
        <w:spacing w:before="8"/>
        <w:rPr>
          <w:sz w:val="9"/>
        </w:rPr>
      </w:pPr>
      <w:r>
        <w:rPr/>
        <mc:AlternateContent>
          <mc:Choice Requires="wps">
            <w:drawing>
              <wp:anchor distT="0" distB="0" distL="0" distR="0" allowOverlap="1" layoutInCell="1" locked="0" behindDoc="1" simplePos="0" relativeHeight="487640064">
                <wp:simplePos x="0" y="0"/>
                <wp:positionH relativeFrom="page">
                  <wp:posOffset>719996</wp:posOffset>
                </wp:positionH>
                <wp:positionV relativeFrom="paragraph">
                  <wp:posOffset>90355</wp:posOffset>
                </wp:positionV>
                <wp:extent cx="6120130" cy="1270"/>
                <wp:effectExtent l="0" t="0" r="0" b="0"/>
                <wp:wrapTopAndBottom/>
                <wp:docPr id="177" name="Graphic 177"/>
                <wp:cNvGraphicFramePr>
                  <a:graphicFrameLocks/>
                </wp:cNvGraphicFramePr>
                <a:graphic>
                  <a:graphicData uri="http://schemas.microsoft.com/office/word/2010/wordprocessingShape">
                    <wps:wsp>
                      <wps:cNvPr id="177" name="Graphic 177"/>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7.114587pt;width:481.9pt;height:.1pt;mso-position-horizontal-relative:page;mso-position-vertical-relative:paragraph;z-index:-15676416;mso-wrap-distance-left:0;mso-wrap-distance-right:0" id="docshape134" coordorigin="1134,142" coordsize="9638,0" path="m10772,142l1134,142e" filled="false" stroked="true" strokeweight="1pt" strokecolor="#393b80">
                <v:path arrowok="t"/>
                <v:stroke dashstyle="solid"/>
                <w10:wrap type="topAndBottom"/>
              </v:shape>
            </w:pict>
          </mc:Fallback>
        </mc:AlternateContent>
      </w:r>
    </w:p>
    <w:p>
      <w:pPr>
        <w:spacing w:line="235" w:lineRule="auto" w:before="117"/>
        <w:ind w:left="1853" w:right="1171" w:firstLine="0"/>
        <w:jc w:val="left"/>
        <w:rPr>
          <w:sz w:val="18"/>
        </w:rPr>
      </w:pPr>
      <w:r>
        <w:rPr>
          <w:sz w:val="18"/>
        </w:rPr>
        <w:t>(Asylum and Immigration) Bill (NIHRC, 2024); Equality Commission for NI, ‘Submission on the Safety of Rwanda (Asylum and</w:t>
      </w:r>
      <w:r>
        <w:rPr>
          <w:spacing w:val="-4"/>
          <w:sz w:val="18"/>
        </w:rPr>
        <w:t> </w:t>
      </w:r>
      <w:r>
        <w:rPr>
          <w:sz w:val="18"/>
        </w:rPr>
        <w:t>Immigration)</w:t>
      </w:r>
      <w:r>
        <w:rPr>
          <w:spacing w:val="-4"/>
          <w:sz w:val="18"/>
        </w:rPr>
        <w:t> </w:t>
      </w:r>
      <w:r>
        <w:rPr>
          <w:sz w:val="18"/>
        </w:rPr>
        <w:t>Bill’</w:t>
      </w:r>
      <w:r>
        <w:rPr>
          <w:spacing w:val="-3"/>
          <w:sz w:val="18"/>
        </w:rPr>
        <w:t> </w:t>
      </w:r>
      <w:r>
        <w:rPr>
          <w:sz w:val="18"/>
        </w:rPr>
        <w:t>(ECNI,</w:t>
      </w:r>
      <w:r>
        <w:rPr>
          <w:spacing w:val="-3"/>
          <w:sz w:val="18"/>
        </w:rPr>
        <w:t> </w:t>
      </w:r>
      <w:r>
        <w:rPr>
          <w:sz w:val="18"/>
        </w:rPr>
        <w:t>2024);</w:t>
      </w:r>
      <w:r>
        <w:rPr>
          <w:spacing w:val="-3"/>
          <w:sz w:val="18"/>
        </w:rPr>
        <w:t> </w:t>
      </w:r>
      <w:r>
        <w:rPr>
          <w:sz w:val="18"/>
        </w:rPr>
        <w:t>Equality</w:t>
      </w:r>
      <w:r>
        <w:rPr>
          <w:spacing w:val="-3"/>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‘Submission</w:t>
      </w:r>
      <w:r>
        <w:rPr>
          <w:spacing w:val="-4"/>
          <w:sz w:val="18"/>
        </w:rPr>
        <w:t> </w:t>
      </w:r>
      <w:r>
        <w:rPr>
          <w:sz w:val="18"/>
        </w:rPr>
        <w:t>to</w:t>
      </w:r>
      <w:r>
        <w:rPr>
          <w:spacing w:val="-4"/>
          <w:sz w:val="18"/>
        </w:rPr>
        <w:t> </w:t>
      </w:r>
      <w:r>
        <w:rPr>
          <w:sz w:val="18"/>
        </w:rPr>
        <w:t>the</w:t>
      </w:r>
      <w:r>
        <w:rPr>
          <w:spacing w:val="-3"/>
          <w:sz w:val="18"/>
        </w:rPr>
        <w:t> </w:t>
      </w:r>
      <w:r>
        <w:rPr>
          <w:sz w:val="18"/>
        </w:rPr>
        <w:t>House</w:t>
      </w:r>
      <w:r>
        <w:rPr>
          <w:spacing w:val="-3"/>
          <w:sz w:val="18"/>
        </w:rPr>
        <w:t> </w:t>
      </w:r>
      <w:r>
        <w:rPr>
          <w:sz w:val="18"/>
        </w:rPr>
        <w:t>of</w:t>
      </w:r>
      <w:r>
        <w:rPr>
          <w:spacing w:val="-4"/>
          <w:sz w:val="18"/>
        </w:rPr>
        <w:t> </w:t>
      </w:r>
      <w:r>
        <w:rPr>
          <w:sz w:val="18"/>
        </w:rPr>
        <w:t>Lords</w:t>
      </w:r>
      <w:r>
        <w:rPr>
          <w:spacing w:val="-4"/>
          <w:sz w:val="18"/>
        </w:rPr>
        <w:t> </w:t>
      </w:r>
      <w:r>
        <w:rPr>
          <w:sz w:val="18"/>
        </w:rPr>
        <w:t>on</w:t>
      </w:r>
      <w:r>
        <w:rPr>
          <w:spacing w:val="-4"/>
          <w:sz w:val="18"/>
        </w:rPr>
        <w:t> </w:t>
      </w:r>
      <w:r>
        <w:rPr>
          <w:sz w:val="18"/>
        </w:rPr>
        <w:t>the</w:t>
      </w:r>
      <w:r>
        <w:rPr>
          <w:spacing w:val="-3"/>
          <w:sz w:val="18"/>
        </w:rPr>
        <w:t> </w:t>
      </w:r>
      <w:r>
        <w:rPr>
          <w:sz w:val="18"/>
        </w:rPr>
        <w:t>Illegal</w:t>
      </w:r>
      <w:r>
        <w:rPr>
          <w:spacing w:val="-4"/>
          <w:sz w:val="18"/>
        </w:rPr>
        <w:t> </w:t>
      </w:r>
      <w:r>
        <w:rPr>
          <w:sz w:val="18"/>
        </w:rPr>
        <w:t>Migration Bill’ (ECNI, 2023).</w:t>
      </w:r>
    </w:p>
    <w:p>
      <w:pPr>
        <w:pStyle w:val="ListParagraph"/>
        <w:numPr>
          <w:ilvl w:val="0"/>
          <w:numId w:val="3"/>
        </w:numPr>
        <w:tabs>
          <w:tab w:pos="1853" w:val="left" w:leader="none"/>
        </w:tabs>
        <w:spacing w:line="235" w:lineRule="auto" w:before="2" w:after="0"/>
        <w:ind w:left="1853" w:right="1298" w:hanging="720"/>
        <w:jc w:val="left"/>
        <w:rPr>
          <w:sz w:val="18"/>
        </w:rPr>
      </w:pP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‘Submission</w:t>
      </w:r>
      <w:r>
        <w:rPr>
          <w:spacing w:val="-5"/>
          <w:sz w:val="18"/>
        </w:rPr>
        <w:t> </w:t>
      </w:r>
      <w:r>
        <w:rPr>
          <w:sz w:val="18"/>
        </w:rPr>
        <w:t>to</w:t>
      </w:r>
      <w:r>
        <w:rPr>
          <w:spacing w:val="-5"/>
          <w:sz w:val="18"/>
        </w:rPr>
        <w:t> </w:t>
      </w:r>
      <w:r>
        <w:rPr>
          <w:sz w:val="18"/>
        </w:rPr>
        <w:t>the</w:t>
      </w:r>
      <w:r>
        <w:rPr>
          <w:spacing w:val="-4"/>
          <w:sz w:val="18"/>
        </w:rPr>
        <w:t> </w:t>
      </w:r>
      <w:r>
        <w:rPr>
          <w:sz w:val="18"/>
        </w:rPr>
        <w:t>UN</w:t>
      </w:r>
      <w:r>
        <w:rPr>
          <w:spacing w:val="-4"/>
          <w:sz w:val="18"/>
        </w:rPr>
        <w:t> </w:t>
      </w:r>
      <w:r>
        <w:rPr>
          <w:sz w:val="18"/>
        </w:rPr>
        <w:t>Human</w:t>
      </w:r>
      <w:r>
        <w:rPr>
          <w:spacing w:val="-5"/>
          <w:sz w:val="18"/>
        </w:rPr>
        <w:t> </w:t>
      </w:r>
      <w:r>
        <w:rPr>
          <w:sz w:val="18"/>
        </w:rPr>
        <w:t>Rights</w:t>
      </w:r>
      <w:r>
        <w:rPr>
          <w:spacing w:val="-5"/>
          <w:sz w:val="18"/>
        </w:rPr>
        <w:t> </w:t>
      </w:r>
      <w:r>
        <w:rPr>
          <w:sz w:val="18"/>
        </w:rPr>
        <w:t>Committee</w:t>
      </w:r>
      <w:r>
        <w:rPr>
          <w:spacing w:val="-4"/>
          <w:sz w:val="18"/>
        </w:rPr>
        <w:t> </w:t>
      </w:r>
      <w:r>
        <w:rPr>
          <w:sz w:val="18"/>
        </w:rPr>
        <w:t>on</w:t>
      </w:r>
      <w:r>
        <w:rPr>
          <w:spacing w:val="-5"/>
          <w:sz w:val="18"/>
        </w:rPr>
        <w:t> </w:t>
      </w:r>
      <w:r>
        <w:rPr>
          <w:sz w:val="18"/>
        </w:rPr>
        <w:t>the</w:t>
      </w:r>
      <w:r>
        <w:rPr>
          <w:spacing w:val="-4"/>
          <w:sz w:val="18"/>
        </w:rPr>
        <w:t> </w:t>
      </w:r>
      <w:r>
        <w:rPr>
          <w:sz w:val="18"/>
        </w:rPr>
        <w:t>United</w:t>
      </w:r>
      <w:r>
        <w:rPr>
          <w:spacing w:val="-5"/>
          <w:sz w:val="18"/>
        </w:rPr>
        <w:t> </w:t>
      </w:r>
      <w:r>
        <w:rPr>
          <w:sz w:val="18"/>
        </w:rPr>
        <w:t>Kingdom’s</w:t>
      </w:r>
      <w:r>
        <w:rPr>
          <w:spacing w:val="-5"/>
          <w:sz w:val="18"/>
        </w:rPr>
        <w:t> </w:t>
      </w:r>
      <w:r>
        <w:rPr>
          <w:sz w:val="18"/>
        </w:rPr>
        <w:t>Eighth</w:t>
      </w:r>
      <w:r>
        <w:rPr>
          <w:spacing w:val="-5"/>
          <w:sz w:val="18"/>
        </w:rPr>
        <w:t> </w:t>
      </w:r>
      <w:r>
        <w:rPr>
          <w:sz w:val="18"/>
        </w:rPr>
        <w:t>Periodic Report on Compliance with the International Covenant on Civil and Political Rights’ (NIHRC, 2024).</w:t>
      </w:r>
    </w:p>
    <w:p>
      <w:pPr>
        <w:pStyle w:val="ListParagraph"/>
        <w:numPr>
          <w:ilvl w:val="0"/>
          <w:numId w:val="3"/>
        </w:numPr>
        <w:tabs>
          <w:tab w:pos="1853" w:val="left" w:leader="none"/>
        </w:tabs>
        <w:spacing w:line="235" w:lineRule="auto" w:before="2" w:after="0"/>
        <w:ind w:left="1853" w:right="1690" w:hanging="720"/>
        <w:jc w:val="left"/>
        <w:rPr>
          <w:sz w:val="18"/>
        </w:rPr>
      </w:pPr>
      <w:r>
        <w:rPr>
          <w:sz w:val="18"/>
        </w:rPr>
        <w:t>CCPR/C/GBR/CO/8,</w:t>
      </w:r>
      <w:r>
        <w:rPr>
          <w:spacing w:val="-4"/>
          <w:sz w:val="18"/>
        </w:rPr>
        <w:t> </w:t>
      </w:r>
      <w:r>
        <w:rPr>
          <w:sz w:val="18"/>
        </w:rPr>
        <w:t>‘UN</w:t>
      </w:r>
      <w:r>
        <w:rPr>
          <w:spacing w:val="-4"/>
          <w:sz w:val="18"/>
        </w:rPr>
        <w:t> </w:t>
      </w:r>
      <w:r>
        <w:rPr>
          <w:sz w:val="18"/>
        </w:rPr>
        <w:t>Human</w:t>
      </w:r>
      <w:r>
        <w:rPr>
          <w:spacing w:val="-5"/>
          <w:sz w:val="18"/>
        </w:rPr>
        <w:t> </w:t>
      </w:r>
      <w:r>
        <w:rPr>
          <w:sz w:val="18"/>
        </w:rPr>
        <w:t>Rights</w:t>
      </w:r>
      <w:r>
        <w:rPr>
          <w:spacing w:val="-5"/>
          <w:sz w:val="18"/>
        </w:rPr>
        <w:t> </w:t>
      </w:r>
      <w:r>
        <w:rPr>
          <w:sz w:val="18"/>
        </w:rPr>
        <w:t>Committee</w:t>
      </w:r>
      <w:r>
        <w:rPr>
          <w:spacing w:val="-4"/>
          <w:sz w:val="18"/>
        </w:rPr>
        <w:t> </w:t>
      </w:r>
      <w:r>
        <w:rPr>
          <w:sz w:val="18"/>
        </w:rPr>
        <w:t>Concluding</w:t>
      </w:r>
      <w:r>
        <w:rPr>
          <w:spacing w:val="-4"/>
          <w:sz w:val="18"/>
        </w:rPr>
        <w:t> </w:t>
      </w:r>
      <w:r>
        <w:rPr>
          <w:sz w:val="18"/>
        </w:rPr>
        <w:t>observations</w:t>
      </w:r>
      <w:r>
        <w:rPr>
          <w:spacing w:val="-5"/>
          <w:sz w:val="18"/>
        </w:rPr>
        <w:t> </w:t>
      </w:r>
      <w:r>
        <w:rPr>
          <w:sz w:val="18"/>
        </w:rPr>
        <w:t>on</w:t>
      </w:r>
      <w:r>
        <w:rPr>
          <w:spacing w:val="-5"/>
          <w:sz w:val="18"/>
        </w:rPr>
        <w:t> </w:t>
      </w:r>
      <w:r>
        <w:rPr>
          <w:sz w:val="18"/>
        </w:rPr>
        <w:t>the</w:t>
      </w:r>
      <w:r>
        <w:rPr>
          <w:spacing w:val="-4"/>
          <w:sz w:val="18"/>
        </w:rPr>
        <w:t> </w:t>
      </w:r>
      <w:r>
        <w:rPr>
          <w:sz w:val="18"/>
        </w:rPr>
        <w:t>eighth</w:t>
      </w:r>
      <w:r>
        <w:rPr>
          <w:spacing w:val="-5"/>
          <w:sz w:val="18"/>
        </w:rPr>
        <w:t> </w:t>
      </w:r>
      <w:r>
        <w:rPr>
          <w:sz w:val="18"/>
        </w:rPr>
        <w:t>periodic</w:t>
      </w:r>
      <w:r>
        <w:rPr>
          <w:spacing w:val="-4"/>
          <w:sz w:val="18"/>
        </w:rPr>
        <w:t> </w:t>
      </w:r>
      <w:r>
        <w:rPr>
          <w:sz w:val="18"/>
        </w:rPr>
        <w:t>report</w:t>
      </w:r>
      <w:r>
        <w:rPr>
          <w:spacing w:val="-4"/>
          <w:sz w:val="18"/>
        </w:rPr>
        <w:t> </w:t>
      </w:r>
      <w:r>
        <w:rPr>
          <w:sz w:val="18"/>
        </w:rPr>
        <w:t>of</w:t>
      </w:r>
      <w:r>
        <w:rPr>
          <w:spacing w:val="-5"/>
          <w:sz w:val="18"/>
        </w:rPr>
        <w:t> </w:t>
      </w:r>
      <w:r>
        <w:rPr>
          <w:sz w:val="18"/>
        </w:rPr>
        <w:t>United Kingdom of Great Britain and Northern Ireland’, 28 March 2024, at para 5(b).</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215"/>
      </w:pPr>
      <w:r>
        <w:rPr/>
        <w:t>Agreement. It would assist, for example, in the smooth functioning of North- South</w:t>
      </w:r>
      <w:r>
        <w:rPr>
          <w:spacing w:val="-7"/>
        </w:rPr>
        <w:t> </w:t>
      </w:r>
      <w:r>
        <w:rPr/>
        <w:t>co-operation</w:t>
      </w:r>
      <w:r>
        <w:rPr>
          <w:spacing w:val="-7"/>
        </w:rPr>
        <w:t> </w:t>
      </w:r>
      <w:r>
        <w:rPr/>
        <w:t>across</w:t>
      </w:r>
      <w:r>
        <w:rPr>
          <w:spacing w:val="-7"/>
        </w:rPr>
        <w:t> </w:t>
      </w:r>
      <w:r>
        <w:rPr/>
        <w:t>a</w:t>
      </w:r>
      <w:r>
        <w:rPr>
          <w:spacing w:val="-7"/>
        </w:rPr>
        <w:t> </w:t>
      </w:r>
      <w:r>
        <w:rPr/>
        <w:t>range</w:t>
      </w:r>
      <w:r>
        <w:rPr>
          <w:spacing w:val="-6"/>
        </w:rPr>
        <w:t> </w:t>
      </w:r>
      <w:r>
        <w:rPr/>
        <w:t>of</w:t>
      </w:r>
      <w:r>
        <w:rPr>
          <w:spacing w:val="-7"/>
        </w:rPr>
        <w:t> </w:t>
      </w:r>
      <w:r>
        <w:rPr/>
        <w:t>policy</w:t>
      </w:r>
      <w:r>
        <w:rPr>
          <w:spacing w:val="-6"/>
        </w:rPr>
        <w:t> </w:t>
      </w:r>
      <w:r>
        <w:rPr/>
        <w:t>areas</w:t>
      </w:r>
      <w:r>
        <w:rPr>
          <w:spacing w:val="-7"/>
        </w:rPr>
        <w:t> </w:t>
      </w:r>
      <w:r>
        <w:rPr/>
        <w:t>from</w:t>
      </w:r>
      <w:r>
        <w:rPr>
          <w:spacing w:val="-6"/>
        </w:rPr>
        <w:t> </w:t>
      </w:r>
      <w:r>
        <w:rPr/>
        <w:t>all-island</w:t>
      </w:r>
      <w:r>
        <w:rPr>
          <w:spacing w:val="-7"/>
        </w:rPr>
        <w:t> </w:t>
      </w:r>
      <w:r>
        <w:rPr/>
        <w:t>healthcare</w:t>
      </w:r>
      <w:r>
        <w:rPr>
          <w:spacing w:val="-6"/>
        </w:rPr>
        <w:t> </w:t>
      </w:r>
      <w:r>
        <w:rPr/>
        <w:t>to North-South justice co-operation, many of which have a strong equality and rights dimension.</w:t>
      </w:r>
      <w:r>
        <w:rPr>
          <w:vertAlign w:val="superscript"/>
        </w:rPr>
        <w:t>124</w:t>
      </w:r>
    </w:p>
    <w:p>
      <w:pPr>
        <w:pStyle w:val="ListParagraph"/>
        <w:numPr>
          <w:ilvl w:val="1"/>
          <w:numId w:val="7"/>
        </w:numPr>
        <w:tabs>
          <w:tab w:pos="1853" w:val="left" w:leader="none"/>
        </w:tabs>
        <w:spacing w:line="225" w:lineRule="auto" w:before="315" w:after="0"/>
        <w:ind w:left="1853" w:right="1167" w:hanging="720"/>
        <w:jc w:val="both"/>
        <w:rPr>
          <w:sz w:val="28"/>
        </w:rPr>
      </w:pPr>
      <w:r>
        <w:rPr>
          <w:sz w:val="28"/>
        </w:rPr>
        <w:t>Prior</w:t>
      </w:r>
      <w:r>
        <w:rPr>
          <w:spacing w:val="-4"/>
          <w:sz w:val="28"/>
        </w:rPr>
        <w:t> </w:t>
      </w:r>
      <w:r>
        <w:rPr>
          <w:sz w:val="28"/>
        </w:rPr>
        <w:t>to</w:t>
      </w:r>
      <w:r>
        <w:rPr>
          <w:spacing w:val="-5"/>
          <w:sz w:val="28"/>
        </w:rPr>
        <w:t> </w:t>
      </w:r>
      <w:r>
        <w:rPr>
          <w:sz w:val="28"/>
        </w:rPr>
        <w:t>31</w:t>
      </w:r>
      <w:r>
        <w:rPr>
          <w:spacing w:val="-4"/>
          <w:sz w:val="28"/>
        </w:rPr>
        <w:t> </w:t>
      </w:r>
      <w:r>
        <w:rPr>
          <w:sz w:val="28"/>
        </w:rPr>
        <w:t>December</w:t>
      </w:r>
      <w:r>
        <w:rPr>
          <w:spacing w:val="-4"/>
          <w:sz w:val="28"/>
        </w:rPr>
        <w:t> </w:t>
      </w:r>
      <w:r>
        <w:rPr>
          <w:sz w:val="28"/>
        </w:rPr>
        <w:t>2020,</w:t>
      </w:r>
      <w:r>
        <w:rPr>
          <w:spacing w:val="-4"/>
          <w:sz w:val="28"/>
        </w:rPr>
        <w:t> </w:t>
      </w:r>
      <w:r>
        <w:rPr>
          <w:sz w:val="28"/>
        </w:rPr>
        <w:t>EU</w:t>
      </w:r>
      <w:r>
        <w:rPr>
          <w:spacing w:val="-4"/>
          <w:sz w:val="28"/>
        </w:rPr>
        <w:t> </w:t>
      </w:r>
      <w:r>
        <w:rPr>
          <w:sz w:val="28"/>
        </w:rPr>
        <w:t>law</w:t>
      </w:r>
      <w:r>
        <w:rPr>
          <w:spacing w:val="-4"/>
          <w:sz w:val="28"/>
        </w:rPr>
        <w:t> </w:t>
      </w:r>
      <w:r>
        <w:rPr>
          <w:sz w:val="28"/>
        </w:rPr>
        <w:t>had</w:t>
      </w:r>
      <w:r>
        <w:rPr>
          <w:spacing w:val="-5"/>
          <w:sz w:val="28"/>
        </w:rPr>
        <w:t> </w:t>
      </w:r>
      <w:r>
        <w:rPr>
          <w:sz w:val="28"/>
        </w:rPr>
        <w:t>facilitated</w:t>
      </w:r>
      <w:r>
        <w:rPr>
          <w:spacing w:val="-5"/>
          <w:sz w:val="28"/>
        </w:rPr>
        <w:t> </w:t>
      </w:r>
      <w:r>
        <w:rPr>
          <w:sz w:val="28"/>
        </w:rPr>
        <w:t>the</w:t>
      </w:r>
      <w:r>
        <w:rPr>
          <w:spacing w:val="-4"/>
          <w:sz w:val="28"/>
        </w:rPr>
        <w:t> </w:t>
      </w:r>
      <w:r>
        <w:rPr>
          <w:sz w:val="28"/>
        </w:rPr>
        <w:t>alignment</w:t>
      </w:r>
      <w:r>
        <w:rPr>
          <w:spacing w:val="-4"/>
          <w:sz w:val="28"/>
        </w:rPr>
        <w:t> </w:t>
      </w:r>
      <w:r>
        <w:rPr>
          <w:sz w:val="28"/>
        </w:rPr>
        <w:t>of</w:t>
      </w:r>
      <w:r>
        <w:rPr>
          <w:spacing w:val="-5"/>
          <w:sz w:val="28"/>
        </w:rPr>
        <w:t> </w:t>
      </w:r>
      <w:r>
        <w:rPr>
          <w:sz w:val="28"/>
        </w:rPr>
        <w:t>many</w:t>
      </w:r>
      <w:r>
        <w:rPr>
          <w:spacing w:val="-4"/>
          <w:sz w:val="28"/>
        </w:rPr>
        <w:t> </w:t>
      </w:r>
      <w:r>
        <w:rPr>
          <w:sz w:val="28"/>
        </w:rPr>
        <w:t>laws on</w:t>
      </w:r>
      <w:r>
        <w:rPr>
          <w:spacing w:val="-6"/>
          <w:sz w:val="28"/>
        </w:rPr>
        <w:t> </w:t>
      </w:r>
      <w:r>
        <w:rPr>
          <w:sz w:val="28"/>
        </w:rPr>
        <w:t>rights</w:t>
      </w:r>
      <w:r>
        <w:rPr>
          <w:spacing w:val="-6"/>
          <w:sz w:val="28"/>
        </w:rPr>
        <w:t> </w:t>
      </w:r>
      <w:r>
        <w:rPr>
          <w:sz w:val="28"/>
        </w:rPr>
        <w:t>and</w:t>
      </w:r>
      <w:r>
        <w:rPr>
          <w:spacing w:val="-6"/>
          <w:sz w:val="28"/>
        </w:rPr>
        <w:t> </w:t>
      </w:r>
      <w:r>
        <w:rPr>
          <w:sz w:val="28"/>
        </w:rPr>
        <w:t>equality</w:t>
      </w:r>
      <w:r>
        <w:rPr>
          <w:spacing w:val="-5"/>
          <w:sz w:val="28"/>
        </w:rPr>
        <w:t> </w:t>
      </w:r>
      <w:r>
        <w:rPr>
          <w:sz w:val="28"/>
        </w:rPr>
        <w:t>between</w:t>
      </w:r>
      <w:r>
        <w:rPr>
          <w:spacing w:val="-6"/>
          <w:sz w:val="28"/>
        </w:rPr>
        <w:t> </w:t>
      </w:r>
      <w:r>
        <w:rPr>
          <w:sz w:val="28"/>
        </w:rPr>
        <w:t>Ireland</w:t>
      </w:r>
      <w:r>
        <w:rPr>
          <w:spacing w:val="-6"/>
          <w:sz w:val="28"/>
        </w:rPr>
        <w:t> </w:t>
      </w:r>
      <w:r>
        <w:rPr>
          <w:sz w:val="28"/>
        </w:rPr>
        <w:t>and</w:t>
      </w:r>
      <w:r>
        <w:rPr>
          <w:spacing w:val="-6"/>
          <w:sz w:val="28"/>
        </w:rPr>
        <w:t> </w:t>
      </w:r>
      <w:r>
        <w:rPr>
          <w:sz w:val="28"/>
        </w:rPr>
        <w:t>NI.</w:t>
      </w:r>
      <w:r>
        <w:rPr>
          <w:spacing w:val="-6"/>
          <w:sz w:val="28"/>
        </w:rPr>
        <w:t> </w:t>
      </w:r>
      <w:r>
        <w:rPr>
          <w:sz w:val="28"/>
        </w:rPr>
        <w:t>Whilst</w:t>
      </w:r>
      <w:r>
        <w:rPr>
          <w:spacing w:val="-5"/>
          <w:sz w:val="28"/>
        </w:rPr>
        <w:t> </w:t>
      </w:r>
      <w:r>
        <w:rPr>
          <w:sz w:val="28"/>
        </w:rPr>
        <w:t>the</w:t>
      </w:r>
      <w:r>
        <w:rPr>
          <w:spacing w:val="-5"/>
          <w:sz w:val="28"/>
        </w:rPr>
        <w:t> </w:t>
      </w:r>
      <w:r>
        <w:rPr>
          <w:sz w:val="28"/>
        </w:rPr>
        <w:t>Windsor</w:t>
      </w:r>
      <w:r>
        <w:rPr>
          <w:spacing w:val="-5"/>
          <w:sz w:val="28"/>
        </w:rPr>
        <w:t> </w:t>
      </w:r>
      <w:r>
        <w:rPr>
          <w:sz w:val="28"/>
        </w:rPr>
        <w:t>Framework requires that NI equality law keeps pace with any EU changes to the Annex</w:t>
      </w:r>
    </w:p>
    <w:p>
      <w:pPr>
        <w:pStyle w:val="BodyText"/>
        <w:spacing w:line="225" w:lineRule="auto"/>
        <w:ind w:left="1853" w:right="1409"/>
        <w:jc w:val="both"/>
      </w:pPr>
      <w:r>
        <w:rPr/>
        <w:t>1</w:t>
      </w:r>
      <w:r>
        <w:rPr>
          <w:spacing w:val="-2"/>
        </w:rPr>
        <w:t> </w:t>
      </w:r>
      <w:r>
        <w:rPr/>
        <w:t>equality</w:t>
      </w:r>
      <w:r>
        <w:rPr>
          <w:spacing w:val="-2"/>
        </w:rPr>
        <w:t> </w:t>
      </w:r>
      <w:r>
        <w:rPr/>
        <w:t>directives</w:t>
      </w:r>
      <w:r>
        <w:rPr>
          <w:spacing w:val="-3"/>
        </w:rPr>
        <w:t> </w:t>
      </w:r>
      <w:r>
        <w:rPr/>
        <w:t>which</w:t>
      </w:r>
      <w:r>
        <w:rPr>
          <w:spacing w:val="-3"/>
        </w:rPr>
        <w:t> </w:t>
      </w:r>
      <w:r>
        <w:rPr/>
        <w:t>enhance</w:t>
      </w:r>
      <w:r>
        <w:rPr>
          <w:spacing w:val="-2"/>
        </w:rPr>
        <w:t> </w:t>
      </w:r>
      <w:r>
        <w:rPr/>
        <w:t>protections,</w:t>
      </w:r>
      <w:r>
        <w:rPr>
          <w:vertAlign w:val="superscript"/>
        </w:rPr>
        <w:t>125</w:t>
      </w:r>
      <w:r>
        <w:rPr>
          <w:spacing w:val="-3"/>
          <w:vertAlign w:val="baseline"/>
        </w:rPr>
        <w:t> </w:t>
      </w:r>
      <w:r>
        <w:rPr>
          <w:vertAlign w:val="baseline"/>
        </w:rPr>
        <w:t>there</w:t>
      </w:r>
      <w:r>
        <w:rPr>
          <w:spacing w:val="-2"/>
          <w:vertAlign w:val="baseline"/>
        </w:rPr>
        <w:t> </w:t>
      </w:r>
      <w:r>
        <w:rPr>
          <w:vertAlign w:val="baseline"/>
        </w:rPr>
        <w:t>is</w:t>
      </w:r>
      <w:r>
        <w:rPr>
          <w:spacing w:val="-3"/>
          <w:vertAlign w:val="baseline"/>
        </w:rPr>
        <w:t> </w:t>
      </w:r>
      <w:r>
        <w:rPr>
          <w:vertAlign w:val="baseline"/>
        </w:rPr>
        <w:t>the</w:t>
      </w:r>
      <w:r>
        <w:rPr>
          <w:spacing w:val="-2"/>
          <w:vertAlign w:val="baseline"/>
        </w:rPr>
        <w:t> </w:t>
      </w:r>
      <w:r>
        <w:rPr>
          <w:vertAlign w:val="baseline"/>
        </w:rPr>
        <w:t>potential</w:t>
      </w:r>
      <w:r>
        <w:rPr>
          <w:spacing w:val="-3"/>
          <w:vertAlign w:val="baseline"/>
        </w:rPr>
        <w:t> </w:t>
      </w:r>
      <w:r>
        <w:rPr>
          <w:vertAlign w:val="baseline"/>
        </w:rPr>
        <w:t>for equality</w:t>
      </w:r>
      <w:r>
        <w:rPr>
          <w:spacing w:val="-5"/>
          <w:vertAlign w:val="baseline"/>
        </w:rPr>
        <w:t> </w:t>
      </w:r>
      <w:r>
        <w:rPr>
          <w:vertAlign w:val="baseline"/>
        </w:rPr>
        <w:t>and</w:t>
      </w:r>
      <w:r>
        <w:rPr>
          <w:spacing w:val="-6"/>
          <w:vertAlign w:val="baseline"/>
        </w:rPr>
        <w:t> </w:t>
      </w:r>
      <w:r>
        <w:rPr>
          <w:vertAlign w:val="baseline"/>
        </w:rPr>
        <w:t>human</w:t>
      </w:r>
      <w:r>
        <w:rPr>
          <w:spacing w:val="-6"/>
          <w:vertAlign w:val="baseline"/>
        </w:rPr>
        <w:t> </w:t>
      </w:r>
      <w:r>
        <w:rPr>
          <w:vertAlign w:val="baseline"/>
        </w:rPr>
        <w:t>rights</w:t>
      </w:r>
      <w:r>
        <w:rPr>
          <w:spacing w:val="-6"/>
          <w:vertAlign w:val="baseline"/>
        </w:rPr>
        <w:t> </w:t>
      </w:r>
      <w:r>
        <w:rPr>
          <w:vertAlign w:val="baseline"/>
        </w:rPr>
        <w:t>on</w:t>
      </w:r>
      <w:r>
        <w:rPr>
          <w:spacing w:val="-6"/>
          <w:vertAlign w:val="baseline"/>
        </w:rPr>
        <w:t> </w:t>
      </w:r>
      <w:r>
        <w:rPr>
          <w:vertAlign w:val="baseline"/>
        </w:rPr>
        <w:t>the</w:t>
      </w:r>
      <w:r>
        <w:rPr>
          <w:spacing w:val="-5"/>
          <w:vertAlign w:val="baseline"/>
        </w:rPr>
        <w:t> </w:t>
      </w:r>
      <w:r>
        <w:rPr>
          <w:vertAlign w:val="baseline"/>
        </w:rPr>
        <w:t>island</w:t>
      </w:r>
      <w:r>
        <w:rPr>
          <w:spacing w:val="-6"/>
          <w:vertAlign w:val="baseline"/>
        </w:rPr>
        <w:t> </w:t>
      </w:r>
      <w:r>
        <w:rPr>
          <w:vertAlign w:val="baseline"/>
        </w:rPr>
        <w:t>of</w:t>
      </w:r>
      <w:r>
        <w:rPr>
          <w:spacing w:val="-6"/>
          <w:vertAlign w:val="baseline"/>
        </w:rPr>
        <w:t> </w:t>
      </w:r>
      <w:r>
        <w:rPr>
          <w:vertAlign w:val="baseline"/>
        </w:rPr>
        <w:t>Ireland</w:t>
      </w:r>
      <w:r>
        <w:rPr>
          <w:spacing w:val="-6"/>
          <w:vertAlign w:val="baseline"/>
        </w:rPr>
        <w:t> </w:t>
      </w:r>
      <w:r>
        <w:rPr>
          <w:vertAlign w:val="baseline"/>
        </w:rPr>
        <w:t>to</w:t>
      </w:r>
      <w:r>
        <w:rPr>
          <w:spacing w:val="-6"/>
          <w:vertAlign w:val="baseline"/>
        </w:rPr>
        <w:t> </w:t>
      </w:r>
      <w:r>
        <w:rPr>
          <w:vertAlign w:val="baseline"/>
        </w:rPr>
        <w:t>diverge</w:t>
      </w:r>
      <w:r>
        <w:rPr>
          <w:spacing w:val="-5"/>
          <w:vertAlign w:val="baseline"/>
        </w:rPr>
        <w:t> </w:t>
      </w:r>
      <w:r>
        <w:rPr>
          <w:vertAlign w:val="baseline"/>
        </w:rPr>
        <w:t>after</w:t>
      </w:r>
      <w:r>
        <w:rPr>
          <w:spacing w:val="-5"/>
          <w:vertAlign w:val="baseline"/>
        </w:rPr>
        <w:t> </w:t>
      </w:r>
      <w:r>
        <w:rPr>
          <w:vertAlign w:val="baseline"/>
        </w:rPr>
        <w:t>that</w:t>
      </w:r>
      <w:r>
        <w:rPr>
          <w:spacing w:val="-5"/>
          <w:vertAlign w:val="baseline"/>
        </w:rPr>
        <w:t> </w:t>
      </w:r>
      <w:r>
        <w:rPr>
          <w:vertAlign w:val="baseline"/>
        </w:rPr>
        <w:t>date.</w:t>
      </w:r>
    </w:p>
    <w:p>
      <w:pPr>
        <w:pStyle w:val="ListParagraph"/>
        <w:numPr>
          <w:ilvl w:val="1"/>
          <w:numId w:val="7"/>
        </w:numPr>
        <w:tabs>
          <w:tab w:pos="1853" w:val="left" w:leader="none"/>
        </w:tabs>
        <w:spacing w:line="225" w:lineRule="auto" w:before="314" w:after="0"/>
        <w:ind w:left="1853" w:right="1171" w:hanging="720"/>
        <w:jc w:val="left"/>
        <w:rPr>
          <w:sz w:val="28"/>
        </w:rPr>
      </w:pPr>
      <w:r>
        <w:rPr>
          <w:sz w:val="28"/>
        </w:rPr>
        <w:t>The Commissions</w:t>
      </w:r>
      <w:r>
        <w:rPr>
          <w:spacing w:val="-1"/>
          <w:sz w:val="28"/>
        </w:rPr>
        <w:t> </w:t>
      </w:r>
      <w:r>
        <w:rPr>
          <w:sz w:val="28"/>
        </w:rPr>
        <w:t>have previously urged</w:t>
      </w:r>
      <w:r>
        <w:rPr>
          <w:spacing w:val="-1"/>
          <w:sz w:val="28"/>
        </w:rPr>
        <w:t> </w:t>
      </w:r>
      <w:r>
        <w:rPr>
          <w:sz w:val="28"/>
        </w:rPr>
        <w:t>the UK Government and</w:t>
      </w:r>
      <w:r>
        <w:rPr>
          <w:spacing w:val="-1"/>
          <w:sz w:val="28"/>
        </w:rPr>
        <w:t> </w:t>
      </w:r>
      <w:r>
        <w:rPr>
          <w:sz w:val="28"/>
        </w:rPr>
        <w:t>NI Executive to ensure North-South equivalence of rights, by aligning with changes to EU equality</w:t>
      </w:r>
      <w:r>
        <w:rPr>
          <w:spacing w:val="-6"/>
          <w:sz w:val="28"/>
        </w:rPr>
        <w:t> </w:t>
      </w:r>
      <w:r>
        <w:rPr>
          <w:sz w:val="28"/>
        </w:rPr>
        <w:t>and</w:t>
      </w:r>
      <w:r>
        <w:rPr>
          <w:spacing w:val="-7"/>
          <w:sz w:val="28"/>
        </w:rPr>
        <w:t> </w:t>
      </w:r>
      <w:r>
        <w:rPr>
          <w:sz w:val="28"/>
        </w:rPr>
        <w:t>human</w:t>
      </w:r>
      <w:r>
        <w:rPr>
          <w:spacing w:val="-7"/>
          <w:sz w:val="28"/>
        </w:rPr>
        <w:t> </w:t>
      </w:r>
      <w:r>
        <w:rPr>
          <w:sz w:val="28"/>
        </w:rPr>
        <w:t>rights</w:t>
      </w:r>
      <w:r>
        <w:rPr>
          <w:spacing w:val="-7"/>
          <w:sz w:val="28"/>
        </w:rPr>
        <w:t> </w:t>
      </w:r>
      <w:r>
        <w:rPr>
          <w:sz w:val="28"/>
        </w:rPr>
        <w:t>law,</w:t>
      </w:r>
      <w:r>
        <w:rPr>
          <w:spacing w:val="-6"/>
          <w:sz w:val="28"/>
        </w:rPr>
        <w:t> </w:t>
      </w:r>
      <w:r>
        <w:rPr>
          <w:sz w:val="28"/>
        </w:rPr>
        <w:t>even</w:t>
      </w:r>
      <w:r>
        <w:rPr>
          <w:spacing w:val="-7"/>
          <w:sz w:val="28"/>
        </w:rPr>
        <w:t> </w:t>
      </w:r>
      <w:r>
        <w:rPr>
          <w:sz w:val="28"/>
        </w:rPr>
        <w:t>where</w:t>
      </w:r>
      <w:r>
        <w:rPr>
          <w:spacing w:val="-6"/>
          <w:sz w:val="28"/>
        </w:rPr>
        <w:t> </w:t>
      </w:r>
      <w:r>
        <w:rPr>
          <w:sz w:val="28"/>
        </w:rPr>
        <w:t>not</w:t>
      </w:r>
      <w:r>
        <w:rPr>
          <w:spacing w:val="-6"/>
          <w:sz w:val="28"/>
        </w:rPr>
        <w:t> </w:t>
      </w:r>
      <w:r>
        <w:rPr>
          <w:sz w:val="28"/>
        </w:rPr>
        <w:t>required</w:t>
      </w:r>
      <w:r>
        <w:rPr>
          <w:spacing w:val="-7"/>
          <w:sz w:val="28"/>
        </w:rPr>
        <w:t> </w:t>
      </w:r>
      <w:r>
        <w:rPr>
          <w:sz w:val="28"/>
        </w:rPr>
        <w:t>to</w:t>
      </w:r>
      <w:r>
        <w:rPr>
          <w:spacing w:val="-7"/>
          <w:sz w:val="28"/>
        </w:rPr>
        <w:t> </w:t>
      </w:r>
      <w:r>
        <w:rPr>
          <w:sz w:val="28"/>
        </w:rPr>
        <w:t>under</w:t>
      </w:r>
      <w:r>
        <w:rPr>
          <w:spacing w:val="-6"/>
          <w:sz w:val="28"/>
        </w:rPr>
        <w:t> </w:t>
      </w:r>
      <w:r>
        <w:rPr>
          <w:sz w:val="28"/>
        </w:rPr>
        <w:t>the</w:t>
      </w:r>
      <w:r>
        <w:rPr>
          <w:spacing w:val="-6"/>
          <w:sz w:val="28"/>
        </w:rPr>
        <w:t> </w:t>
      </w:r>
      <w:r>
        <w:rPr>
          <w:sz w:val="28"/>
        </w:rPr>
        <w:t>Windsor Framework, that enhance protections and reflect international human rights </w:t>
      </w:r>
      <w:r>
        <w:rPr>
          <w:spacing w:val="-2"/>
          <w:sz w:val="28"/>
        </w:rPr>
        <w:t>standards.</w:t>
      </w:r>
      <w:r>
        <w:rPr>
          <w:spacing w:val="-2"/>
          <w:sz w:val="28"/>
          <w:vertAlign w:val="superscript"/>
        </w:rPr>
        <w:t>126</w:t>
      </w:r>
    </w:p>
    <w:p>
      <w:pPr>
        <w:pStyle w:val="ListParagraph"/>
        <w:numPr>
          <w:ilvl w:val="1"/>
          <w:numId w:val="7"/>
        </w:numPr>
        <w:tabs>
          <w:tab w:pos="1853" w:val="left" w:leader="none"/>
        </w:tabs>
        <w:spacing w:line="225" w:lineRule="auto" w:before="313" w:after="0"/>
        <w:ind w:left="1853" w:right="1402" w:hanging="720"/>
        <w:jc w:val="left"/>
        <w:rPr>
          <w:sz w:val="28"/>
        </w:rPr>
      </w:pPr>
      <w:r>
        <w:rPr>
          <w:sz w:val="28"/>
        </w:rPr>
        <w:t>The Commissions stress that EU law should be considered minimum requirements, and we would encourage government to adopt an approach when implementing EU law into NI law that goes beyond these minimum standards</w:t>
      </w:r>
      <w:r>
        <w:rPr>
          <w:spacing w:val="-9"/>
          <w:sz w:val="28"/>
        </w:rPr>
        <w:t> </w:t>
      </w:r>
      <w:r>
        <w:rPr>
          <w:sz w:val="28"/>
        </w:rPr>
        <w:t>where</w:t>
      </w:r>
      <w:r>
        <w:rPr>
          <w:spacing w:val="-8"/>
          <w:sz w:val="28"/>
        </w:rPr>
        <w:t> </w:t>
      </w:r>
      <w:r>
        <w:rPr>
          <w:sz w:val="28"/>
        </w:rPr>
        <w:t>this</w:t>
      </w:r>
      <w:r>
        <w:rPr>
          <w:spacing w:val="-9"/>
          <w:sz w:val="28"/>
        </w:rPr>
        <w:t> </w:t>
      </w:r>
      <w:r>
        <w:rPr>
          <w:sz w:val="28"/>
        </w:rPr>
        <w:t>strengthens</w:t>
      </w:r>
      <w:r>
        <w:rPr>
          <w:spacing w:val="-9"/>
          <w:sz w:val="28"/>
        </w:rPr>
        <w:t> </w:t>
      </w:r>
      <w:r>
        <w:rPr>
          <w:sz w:val="28"/>
        </w:rPr>
        <w:t>rights</w:t>
      </w:r>
      <w:r>
        <w:rPr>
          <w:spacing w:val="-9"/>
          <w:sz w:val="28"/>
        </w:rPr>
        <w:t> </w:t>
      </w:r>
      <w:r>
        <w:rPr>
          <w:sz w:val="28"/>
        </w:rPr>
        <w:t>and</w:t>
      </w:r>
      <w:r>
        <w:rPr>
          <w:spacing w:val="-9"/>
          <w:sz w:val="28"/>
        </w:rPr>
        <w:t> </w:t>
      </w:r>
      <w:r>
        <w:rPr>
          <w:sz w:val="28"/>
        </w:rPr>
        <w:t>aligns</w:t>
      </w:r>
      <w:r>
        <w:rPr>
          <w:spacing w:val="-9"/>
          <w:sz w:val="28"/>
        </w:rPr>
        <w:t> </w:t>
      </w:r>
      <w:r>
        <w:rPr>
          <w:sz w:val="28"/>
        </w:rPr>
        <w:t>with</w:t>
      </w:r>
      <w:r>
        <w:rPr>
          <w:spacing w:val="-9"/>
          <w:sz w:val="28"/>
        </w:rPr>
        <w:t> </w:t>
      </w:r>
      <w:r>
        <w:rPr>
          <w:sz w:val="28"/>
        </w:rPr>
        <w:t>international</w:t>
      </w:r>
      <w:r>
        <w:rPr>
          <w:spacing w:val="-9"/>
          <w:sz w:val="28"/>
        </w:rPr>
        <w:t> </w:t>
      </w:r>
      <w:r>
        <w:rPr>
          <w:sz w:val="28"/>
        </w:rPr>
        <w:t>human rights standards.</w:t>
      </w:r>
    </w:p>
    <w:p>
      <w:pPr>
        <w:pStyle w:val="ListParagraph"/>
        <w:numPr>
          <w:ilvl w:val="1"/>
          <w:numId w:val="7"/>
        </w:numPr>
        <w:tabs>
          <w:tab w:pos="1853" w:val="left" w:leader="none"/>
        </w:tabs>
        <w:spacing w:line="225" w:lineRule="auto" w:before="314" w:after="0"/>
        <w:ind w:left="1853" w:right="1576" w:hanging="720"/>
        <w:jc w:val="left"/>
        <w:rPr>
          <w:sz w:val="28"/>
        </w:rPr>
      </w:pPr>
      <w:r>
        <w:rPr>
          <w:sz w:val="28"/>
        </w:rPr>
        <w:t>In 2023, independent research published jointly by the ECNI, NIHRC and Irish</w:t>
      </w:r>
      <w:r>
        <w:rPr>
          <w:spacing w:val="-8"/>
          <w:sz w:val="28"/>
        </w:rPr>
        <w:t> </w:t>
      </w:r>
      <w:r>
        <w:rPr>
          <w:sz w:val="28"/>
        </w:rPr>
        <w:t>Human</w:t>
      </w:r>
      <w:r>
        <w:rPr>
          <w:spacing w:val="-8"/>
          <w:sz w:val="28"/>
        </w:rPr>
        <w:t> </w:t>
      </w:r>
      <w:r>
        <w:rPr>
          <w:sz w:val="28"/>
        </w:rPr>
        <w:t>Rights</w:t>
      </w:r>
      <w:r>
        <w:rPr>
          <w:spacing w:val="-8"/>
          <w:sz w:val="28"/>
        </w:rPr>
        <w:t> </w:t>
      </w:r>
      <w:r>
        <w:rPr>
          <w:sz w:val="28"/>
        </w:rPr>
        <w:t>and</w:t>
      </w:r>
      <w:r>
        <w:rPr>
          <w:spacing w:val="-8"/>
          <w:sz w:val="28"/>
        </w:rPr>
        <w:t> </w:t>
      </w:r>
      <w:r>
        <w:rPr>
          <w:sz w:val="28"/>
        </w:rPr>
        <w:t>Equality</w:t>
      </w:r>
      <w:r>
        <w:rPr>
          <w:spacing w:val="-7"/>
          <w:sz w:val="28"/>
        </w:rPr>
        <w:t> </w:t>
      </w:r>
      <w:r>
        <w:rPr>
          <w:sz w:val="28"/>
        </w:rPr>
        <w:t>Commission</w:t>
      </w:r>
      <w:r>
        <w:rPr>
          <w:sz w:val="28"/>
          <w:vertAlign w:val="superscript"/>
        </w:rPr>
        <w:t>127</w:t>
      </w:r>
      <w:r>
        <w:rPr>
          <w:spacing w:val="-8"/>
          <w:sz w:val="28"/>
          <w:vertAlign w:val="baseline"/>
        </w:rPr>
        <w:t> </w:t>
      </w:r>
      <w:r>
        <w:rPr>
          <w:sz w:val="28"/>
          <w:vertAlign w:val="baseline"/>
        </w:rPr>
        <w:t>and</w:t>
      </w:r>
      <w:r>
        <w:rPr>
          <w:spacing w:val="-8"/>
          <w:sz w:val="28"/>
          <w:vertAlign w:val="baseline"/>
        </w:rPr>
        <w:t> </w:t>
      </w:r>
      <w:r>
        <w:rPr>
          <w:sz w:val="28"/>
          <w:vertAlign w:val="baseline"/>
        </w:rPr>
        <w:t>the</w:t>
      </w:r>
      <w:r>
        <w:rPr>
          <w:spacing w:val="-7"/>
          <w:sz w:val="28"/>
          <w:vertAlign w:val="baseline"/>
        </w:rPr>
        <w:t> </w:t>
      </w:r>
      <w:r>
        <w:rPr>
          <w:sz w:val="28"/>
          <w:vertAlign w:val="baseline"/>
        </w:rPr>
        <w:t>three</w:t>
      </w:r>
      <w:r>
        <w:rPr>
          <w:spacing w:val="-7"/>
          <w:sz w:val="28"/>
          <w:vertAlign w:val="baseline"/>
        </w:rPr>
        <w:t> </w:t>
      </w:r>
      <w:r>
        <w:rPr>
          <w:sz w:val="28"/>
          <w:vertAlign w:val="baseline"/>
        </w:rPr>
        <w:t>Commissions</w:t>
      </w:r>
    </w:p>
    <w:p>
      <w:pPr>
        <w:pStyle w:val="BodyText"/>
        <w:spacing w:line="225" w:lineRule="auto"/>
        <w:ind w:left="1853" w:right="1124"/>
      </w:pPr>
      <w:r>
        <w:rPr/>
        <w:t>subsequent</w:t>
      </w:r>
      <w:r>
        <w:rPr>
          <w:spacing w:val="-16"/>
        </w:rPr>
        <w:t> </w:t>
      </w:r>
      <w:r>
        <w:rPr/>
        <w:t>policy</w:t>
      </w:r>
      <w:r>
        <w:rPr>
          <w:spacing w:val="-11"/>
        </w:rPr>
        <w:t> </w:t>
      </w:r>
      <w:r>
        <w:rPr/>
        <w:t>recommendations,</w:t>
      </w:r>
      <w:r>
        <w:rPr>
          <w:vertAlign w:val="superscript"/>
        </w:rPr>
        <w:t>128</w:t>
      </w:r>
      <w:r>
        <w:rPr>
          <w:spacing w:val="-27"/>
          <w:vertAlign w:val="baseline"/>
        </w:rPr>
        <w:t> </w:t>
      </w:r>
      <w:r>
        <w:rPr>
          <w:vertAlign w:val="baseline"/>
        </w:rPr>
        <w:t>found</w:t>
      </w:r>
      <w:r>
        <w:rPr>
          <w:spacing w:val="-11"/>
          <w:vertAlign w:val="baseline"/>
        </w:rPr>
        <w:t> </w:t>
      </w:r>
      <w:r>
        <w:rPr>
          <w:vertAlign w:val="baseline"/>
        </w:rPr>
        <w:t>that</w:t>
      </w:r>
      <w:r>
        <w:rPr>
          <w:spacing w:val="-11"/>
          <w:vertAlign w:val="baseline"/>
        </w:rPr>
        <w:t> </w:t>
      </w:r>
      <w:r>
        <w:rPr>
          <w:vertAlign w:val="baseline"/>
        </w:rPr>
        <w:t>there</w:t>
      </w:r>
      <w:r>
        <w:rPr>
          <w:spacing w:val="-11"/>
          <w:vertAlign w:val="baseline"/>
        </w:rPr>
        <w:t> </w:t>
      </w:r>
      <w:r>
        <w:rPr>
          <w:vertAlign w:val="baseline"/>
        </w:rPr>
        <w:t>are</w:t>
      </w:r>
      <w:r>
        <w:rPr>
          <w:spacing w:val="-11"/>
          <w:vertAlign w:val="baseline"/>
        </w:rPr>
        <w:t> </w:t>
      </w:r>
      <w:r>
        <w:rPr>
          <w:vertAlign w:val="baseline"/>
        </w:rPr>
        <w:t>already</w:t>
      </w:r>
      <w:r>
        <w:rPr>
          <w:spacing w:val="-11"/>
          <w:vertAlign w:val="baseline"/>
        </w:rPr>
        <w:t> </w:t>
      </w:r>
      <w:r>
        <w:rPr>
          <w:vertAlign w:val="baseline"/>
        </w:rPr>
        <w:t>a</w:t>
      </w:r>
      <w:r>
        <w:rPr>
          <w:spacing w:val="-12"/>
          <w:vertAlign w:val="baseline"/>
        </w:rPr>
        <w:t> </w:t>
      </w:r>
      <w:r>
        <w:rPr>
          <w:vertAlign w:val="baseline"/>
        </w:rPr>
        <w:t>number of developments in areas of EU law which have the potential to result in divergence of rights on the island of Ireland. These include, for example, the EU Work-life Balance Directive,</w:t>
      </w:r>
      <w:r>
        <w:rPr>
          <w:vertAlign w:val="superscript"/>
        </w:rPr>
        <w:t>129</w:t>
      </w:r>
      <w:r>
        <w:rPr>
          <w:vertAlign w:val="baseline"/>
        </w:rPr>
        <w:t> and the European Accessibility Act.</w:t>
      </w:r>
      <w:r>
        <w:rPr>
          <w:vertAlign w:val="superscript"/>
        </w:rPr>
        <w:t>130</w:t>
      </w:r>
      <w:r>
        <w:rPr>
          <w:spacing w:val="-24"/>
          <w:vertAlign w:val="baseline"/>
        </w:rPr>
        <w:t> </w:t>
      </w:r>
      <w:r>
        <w:rPr>
          <w:vertAlign w:val="baseline"/>
        </w:rPr>
        <w:t>Such EU laws will need to be implemented in law in Ireland, but NI law will not be required to align with them pursuant to the Windsor Framework.</w:t>
      </w:r>
    </w:p>
    <w:p>
      <w:pPr>
        <w:pStyle w:val="BodyText"/>
        <w:rPr>
          <w:sz w:val="20"/>
        </w:rPr>
      </w:pPr>
    </w:p>
    <w:p>
      <w:pPr>
        <w:pStyle w:val="BodyText"/>
        <w:rPr>
          <w:sz w:val="20"/>
        </w:rPr>
      </w:pPr>
    </w:p>
    <w:p>
      <w:pPr>
        <w:pStyle w:val="BodyText"/>
        <w:spacing w:before="115"/>
        <w:rPr>
          <w:sz w:val="20"/>
        </w:rPr>
      </w:pPr>
      <w:r>
        <w:rPr/>
        <mc:AlternateContent>
          <mc:Choice Requires="wps">
            <w:drawing>
              <wp:anchor distT="0" distB="0" distL="0" distR="0" allowOverlap="1" layoutInCell="1" locked="0" behindDoc="1" simplePos="0" relativeHeight="487640576">
                <wp:simplePos x="0" y="0"/>
                <wp:positionH relativeFrom="page">
                  <wp:posOffset>719996</wp:posOffset>
                </wp:positionH>
                <wp:positionV relativeFrom="paragraph">
                  <wp:posOffset>243755</wp:posOffset>
                </wp:positionV>
                <wp:extent cx="6120130" cy="1270"/>
                <wp:effectExtent l="0" t="0" r="0" b="0"/>
                <wp:wrapTopAndBottom/>
                <wp:docPr id="178" name="Graphic 178"/>
                <wp:cNvGraphicFramePr>
                  <a:graphicFrameLocks/>
                </wp:cNvGraphicFramePr>
                <a:graphic>
                  <a:graphicData uri="http://schemas.microsoft.com/office/word/2010/wordprocessingShape">
                    <wps:wsp>
                      <wps:cNvPr id="178" name="Graphic 178"/>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9.193359pt;width:481.9pt;height:.1pt;mso-position-horizontal-relative:page;mso-position-vertical-relative:paragraph;z-index:-15675904;mso-wrap-distance-left:0;mso-wrap-distance-right:0" id="docshape135" coordorigin="1134,384" coordsize="9638,0" path="m10772,384l1134,384e" filled="false" stroked="true" strokeweight="1pt" strokecolor="#393b80">
                <v:path arrowok="t"/>
                <v:stroke dashstyle="solid"/>
                <w10:wrap type="topAndBottom"/>
              </v:shape>
            </w:pict>
          </mc:Fallback>
        </mc:AlternateContent>
      </w:r>
    </w:p>
    <w:p>
      <w:pPr>
        <w:pStyle w:val="ListParagraph"/>
        <w:numPr>
          <w:ilvl w:val="0"/>
          <w:numId w:val="3"/>
        </w:numPr>
        <w:tabs>
          <w:tab w:pos="1853" w:val="left" w:leader="none"/>
        </w:tabs>
        <w:spacing w:line="235" w:lineRule="auto" w:before="142" w:after="0"/>
        <w:ind w:left="1853" w:right="1388" w:hanging="720"/>
        <w:jc w:val="both"/>
        <w:rPr>
          <w:sz w:val="18"/>
        </w:rPr>
      </w:pP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and</w:t>
      </w:r>
      <w:r>
        <w:rPr>
          <w:spacing w:val="-4"/>
          <w:sz w:val="18"/>
        </w:rPr>
        <w:t> </w:t>
      </w:r>
      <w:r>
        <w:rPr>
          <w:sz w:val="18"/>
        </w:rPr>
        <w:t>Equality</w:t>
      </w:r>
      <w:r>
        <w:rPr>
          <w:spacing w:val="-3"/>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w:t>
      </w:r>
      <w:hyperlink r:id="rId81">
        <w:r>
          <w:rPr>
            <w:sz w:val="18"/>
          </w:rPr>
          <w:t>Working</w:t>
        </w:r>
        <w:r>
          <w:rPr>
            <w:spacing w:val="-3"/>
            <w:sz w:val="18"/>
          </w:rPr>
          <w:t> </w:t>
        </w:r>
        <w:r>
          <w:rPr>
            <w:sz w:val="18"/>
          </w:rPr>
          <w:t>Paper:</w:t>
        </w:r>
        <w:r>
          <w:rPr>
            <w:spacing w:val="-3"/>
            <w:sz w:val="18"/>
          </w:rPr>
          <w:t> </w:t>
        </w:r>
        <w:r>
          <w:rPr>
            <w:sz w:val="18"/>
          </w:rPr>
          <w:t>The</w:t>
        </w:r>
        <w:r>
          <w:rPr>
            <w:spacing w:val="-3"/>
            <w:sz w:val="18"/>
          </w:rPr>
          <w:t> </w:t>
        </w:r>
        <w:r>
          <w:rPr>
            <w:sz w:val="18"/>
          </w:rPr>
          <w:t>Scope</w:t>
        </w:r>
        <w:r>
          <w:rPr>
            <w:spacing w:val="-3"/>
            <w:sz w:val="18"/>
          </w:rPr>
          <w:t> </w:t>
        </w:r>
        <w:r>
          <w:rPr>
            <w:sz w:val="18"/>
          </w:rPr>
          <w:t>of</w:t>
        </w:r>
        <w:r>
          <w:rPr>
            <w:spacing w:val="-4"/>
            <w:sz w:val="18"/>
          </w:rPr>
          <w:t> </w:t>
        </w:r>
        <w:r>
          <w:rPr>
            <w:sz w:val="18"/>
          </w:rPr>
          <w:t>Article</w:t>
        </w:r>
        <w:r>
          <w:rPr>
            <w:spacing w:val="-3"/>
            <w:sz w:val="18"/>
          </w:rPr>
          <w:t> </w:t>
        </w:r>
        <w:r>
          <w:rPr>
            <w:sz w:val="18"/>
          </w:rPr>
          <w:t>2(1)</w:t>
        </w:r>
        <w:r>
          <w:rPr>
            <w:spacing w:val="-4"/>
            <w:sz w:val="18"/>
          </w:rPr>
          <w:t> </w:t>
        </w:r>
        <w:r>
          <w:rPr>
            <w:sz w:val="18"/>
          </w:rPr>
          <w:t>of</w:t>
        </w:r>
        <w:r>
          <w:rPr>
            <w:spacing w:val="-4"/>
            <w:sz w:val="18"/>
          </w:rPr>
          <w:t> </w:t>
        </w:r>
        <w:r>
          <w:rPr>
            <w:sz w:val="18"/>
          </w:rPr>
          <w:t>the</w:t>
        </w:r>
        <w:r>
          <w:rPr>
            <w:spacing w:val="-3"/>
            <w:sz w:val="18"/>
          </w:rPr>
          <w:t> </w:t>
        </w:r>
        <w:r>
          <w:rPr>
            <w:sz w:val="18"/>
          </w:rPr>
          <w:t>Ireland/</w:t>
        </w:r>
      </w:hyperlink>
      <w:r>
        <w:rPr>
          <w:sz w:val="18"/>
        </w:rPr>
        <w:t> </w:t>
      </w:r>
      <w:hyperlink r:id="rId81">
        <w:r>
          <w:rPr>
            <w:sz w:val="18"/>
          </w:rPr>
          <w:t>Northern Ireland Protocol</w:t>
        </w:r>
      </w:hyperlink>
      <w:r>
        <w:rPr>
          <w:sz w:val="18"/>
        </w:rPr>
        <w:t>’ (NIHRC and ECNI, 2022).</w:t>
      </w:r>
    </w:p>
    <w:p>
      <w:pPr>
        <w:pStyle w:val="ListParagraph"/>
        <w:numPr>
          <w:ilvl w:val="0"/>
          <w:numId w:val="3"/>
        </w:numPr>
        <w:tabs>
          <w:tab w:pos="1853" w:val="left" w:leader="none"/>
        </w:tabs>
        <w:spacing w:line="216" w:lineRule="exact" w:before="0" w:after="0"/>
        <w:ind w:left="1853" w:right="0" w:hanging="720"/>
        <w:jc w:val="both"/>
        <w:rPr>
          <w:sz w:val="18"/>
        </w:rPr>
      </w:pPr>
      <w:r>
        <w:rPr>
          <w:sz w:val="18"/>
        </w:rPr>
        <w:t>Article</w:t>
      </w:r>
      <w:r>
        <w:rPr>
          <w:spacing w:val="-2"/>
          <w:sz w:val="18"/>
        </w:rPr>
        <w:t> </w:t>
      </w:r>
      <w:r>
        <w:rPr>
          <w:sz w:val="18"/>
        </w:rPr>
        <w:t>13,</w:t>
      </w:r>
      <w:r>
        <w:rPr>
          <w:spacing w:val="-2"/>
          <w:sz w:val="18"/>
        </w:rPr>
        <w:t> </w:t>
      </w:r>
      <w:r>
        <w:rPr>
          <w:sz w:val="18"/>
        </w:rPr>
        <w:t>Windsor</w:t>
      </w:r>
      <w:r>
        <w:rPr>
          <w:spacing w:val="-1"/>
          <w:sz w:val="18"/>
        </w:rPr>
        <w:t> </w:t>
      </w:r>
      <w:r>
        <w:rPr>
          <w:spacing w:val="-2"/>
          <w:sz w:val="18"/>
        </w:rPr>
        <w:t>Framework.</w:t>
      </w:r>
    </w:p>
    <w:p>
      <w:pPr>
        <w:pStyle w:val="ListParagraph"/>
        <w:numPr>
          <w:ilvl w:val="0"/>
          <w:numId w:val="3"/>
        </w:numPr>
        <w:tabs>
          <w:tab w:pos="1853" w:val="left" w:leader="none"/>
        </w:tabs>
        <w:spacing w:line="235" w:lineRule="auto" w:before="1" w:after="0"/>
        <w:ind w:left="1853" w:right="1919" w:hanging="720"/>
        <w:jc w:val="both"/>
        <w:rPr>
          <w:sz w:val="18"/>
        </w:rPr>
      </w:pP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and</w:t>
      </w:r>
      <w:r>
        <w:rPr>
          <w:spacing w:val="-4"/>
          <w:sz w:val="18"/>
        </w:rPr>
        <w:t> </w:t>
      </w:r>
      <w:r>
        <w:rPr>
          <w:sz w:val="18"/>
        </w:rPr>
        <w:t>Equality</w:t>
      </w:r>
      <w:r>
        <w:rPr>
          <w:spacing w:val="-3"/>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‘Annual</w:t>
      </w:r>
      <w:r>
        <w:rPr>
          <w:spacing w:val="-4"/>
          <w:sz w:val="18"/>
        </w:rPr>
        <w:t> </w:t>
      </w:r>
      <w:r>
        <w:rPr>
          <w:sz w:val="18"/>
        </w:rPr>
        <w:t>Report</w:t>
      </w:r>
      <w:r>
        <w:rPr>
          <w:spacing w:val="-3"/>
          <w:sz w:val="18"/>
        </w:rPr>
        <w:t> </w:t>
      </w:r>
      <w:r>
        <w:rPr>
          <w:sz w:val="18"/>
        </w:rPr>
        <w:t>of</w:t>
      </w:r>
      <w:r>
        <w:rPr>
          <w:spacing w:val="-4"/>
          <w:sz w:val="18"/>
        </w:rPr>
        <w:t> </w:t>
      </w:r>
      <w:r>
        <w:rPr>
          <w:sz w:val="18"/>
        </w:rPr>
        <w:t>the</w:t>
      </w:r>
      <w:r>
        <w:rPr>
          <w:spacing w:val="-3"/>
          <w:sz w:val="18"/>
        </w:rPr>
        <w:t> </w:t>
      </w:r>
      <w:r>
        <w:rPr>
          <w:sz w:val="18"/>
        </w:rPr>
        <w:t>NIHRC</w:t>
      </w:r>
      <w:r>
        <w:rPr>
          <w:spacing w:val="-4"/>
          <w:sz w:val="18"/>
        </w:rPr>
        <w:t> </w:t>
      </w:r>
      <w:r>
        <w:rPr>
          <w:sz w:val="18"/>
        </w:rPr>
        <w:t>and</w:t>
      </w:r>
      <w:r>
        <w:rPr>
          <w:spacing w:val="-4"/>
          <w:sz w:val="18"/>
        </w:rPr>
        <w:t> </w:t>
      </w:r>
      <w:r>
        <w:rPr>
          <w:sz w:val="18"/>
        </w:rPr>
        <w:t>the</w:t>
      </w:r>
      <w:r>
        <w:rPr>
          <w:spacing w:val="-3"/>
          <w:sz w:val="18"/>
        </w:rPr>
        <w:t> </w:t>
      </w:r>
      <w:r>
        <w:rPr>
          <w:sz w:val="18"/>
        </w:rPr>
        <w:t>ECNI</w:t>
      </w:r>
      <w:r>
        <w:rPr>
          <w:spacing w:val="-3"/>
          <w:sz w:val="18"/>
        </w:rPr>
        <w:t> </w:t>
      </w:r>
      <w:r>
        <w:rPr>
          <w:sz w:val="18"/>
        </w:rPr>
        <w:t>on</w:t>
      </w:r>
      <w:r>
        <w:rPr>
          <w:spacing w:val="-4"/>
          <w:sz w:val="18"/>
        </w:rPr>
        <w:t> </w:t>
      </w:r>
      <w:r>
        <w:rPr>
          <w:sz w:val="18"/>
        </w:rPr>
        <w:t>the implementation of Protocol Article 2 2021 – 2022’ (NIHRC and ECNI, 2022).</w:t>
      </w:r>
    </w:p>
    <w:p>
      <w:pPr>
        <w:pStyle w:val="ListParagraph"/>
        <w:numPr>
          <w:ilvl w:val="0"/>
          <w:numId w:val="3"/>
        </w:numPr>
        <w:tabs>
          <w:tab w:pos="1853" w:val="left" w:leader="none"/>
        </w:tabs>
        <w:spacing w:line="235" w:lineRule="auto" w:before="2" w:after="0"/>
        <w:ind w:left="1853" w:right="1412" w:hanging="720"/>
        <w:jc w:val="both"/>
        <w:rPr>
          <w:sz w:val="18"/>
        </w:rPr>
      </w:pPr>
      <w:r>
        <w:rPr>
          <w:sz w:val="18"/>
        </w:rPr>
        <w:t>Sarah</w:t>
      </w:r>
      <w:r>
        <w:rPr>
          <w:spacing w:val="-7"/>
          <w:sz w:val="18"/>
        </w:rPr>
        <w:t> </w:t>
      </w:r>
      <w:r>
        <w:rPr>
          <w:sz w:val="18"/>
        </w:rPr>
        <w:t>Craig,</w:t>
      </w:r>
      <w:r>
        <w:rPr>
          <w:spacing w:val="-6"/>
          <w:sz w:val="18"/>
        </w:rPr>
        <w:t> </w:t>
      </w:r>
      <w:r>
        <w:rPr>
          <w:sz w:val="18"/>
        </w:rPr>
        <w:t>Anurag</w:t>
      </w:r>
      <w:r>
        <w:rPr>
          <w:spacing w:val="-6"/>
          <w:sz w:val="18"/>
        </w:rPr>
        <w:t> </w:t>
      </w:r>
      <w:r>
        <w:rPr>
          <w:sz w:val="18"/>
        </w:rPr>
        <w:t>Deb,</w:t>
      </w:r>
      <w:r>
        <w:rPr>
          <w:spacing w:val="-6"/>
          <w:sz w:val="18"/>
        </w:rPr>
        <w:t> </w:t>
      </w:r>
      <w:r>
        <w:rPr>
          <w:sz w:val="18"/>
        </w:rPr>
        <w:t>Eleni</w:t>
      </w:r>
      <w:r>
        <w:rPr>
          <w:spacing w:val="-7"/>
          <w:sz w:val="18"/>
        </w:rPr>
        <w:t> </w:t>
      </w:r>
      <w:r>
        <w:rPr>
          <w:sz w:val="18"/>
        </w:rPr>
        <w:t>Frantziou,</w:t>
      </w:r>
      <w:r>
        <w:rPr>
          <w:spacing w:val="-6"/>
          <w:sz w:val="18"/>
        </w:rPr>
        <w:t> </w:t>
      </w:r>
      <w:r>
        <w:rPr>
          <w:sz w:val="18"/>
        </w:rPr>
        <w:t>Alexander</w:t>
      </w:r>
      <w:r>
        <w:rPr>
          <w:spacing w:val="-6"/>
          <w:sz w:val="18"/>
        </w:rPr>
        <w:t> </w:t>
      </w:r>
      <w:r>
        <w:rPr>
          <w:sz w:val="18"/>
        </w:rPr>
        <w:t>Horne,</w:t>
      </w:r>
      <w:r>
        <w:rPr>
          <w:spacing w:val="-6"/>
          <w:sz w:val="18"/>
        </w:rPr>
        <w:t> </w:t>
      </w:r>
      <w:r>
        <w:rPr>
          <w:sz w:val="18"/>
        </w:rPr>
        <w:t>Colin</w:t>
      </w:r>
      <w:r>
        <w:rPr>
          <w:spacing w:val="-7"/>
          <w:sz w:val="18"/>
        </w:rPr>
        <w:t> </w:t>
      </w:r>
      <w:r>
        <w:rPr>
          <w:sz w:val="18"/>
        </w:rPr>
        <w:t>Murray,</w:t>
      </w:r>
      <w:r>
        <w:rPr>
          <w:spacing w:val="-6"/>
          <w:sz w:val="18"/>
        </w:rPr>
        <w:t> </w:t>
      </w:r>
      <w:r>
        <w:rPr>
          <w:sz w:val="18"/>
        </w:rPr>
        <w:t>Clare</w:t>
      </w:r>
      <w:r>
        <w:rPr>
          <w:spacing w:val="-6"/>
          <w:sz w:val="18"/>
        </w:rPr>
        <w:t> </w:t>
      </w:r>
      <w:r>
        <w:rPr>
          <w:sz w:val="18"/>
        </w:rPr>
        <w:t>Rice</w:t>
      </w:r>
      <w:r>
        <w:rPr>
          <w:spacing w:val="-6"/>
          <w:sz w:val="18"/>
        </w:rPr>
        <w:t> </w:t>
      </w:r>
      <w:r>
        <w:rPr>
          <w:sz w:val="18"/>
        </w:rPr>
        <w:t>and</w:t>
      </w:r>
      <w:r>
        <w:rPr>
          <w:spacing w:val="-7"/>
          <w:sz w:val="18"/>
        </w:rPr>
        <w:t> </w:t>
      </w:r>
      <w:r>
        <w:rPr>
          <w:sz w:val="18"/>
        </w:rPr>
        <w:t>Jane</w:t>
      </w:r>
      <w:r>
        <w:rPr>
          <w:spacing w:val="-6"/>
          <w:sz w:val="18"/>
        </w:rPr>
        <w:t> </w:t>
      </w:r>
      <w:r>
        <w:rPr>
          <w:sz w:val="18"/>
        </w:rPr>
        <w:t>Rooney,</w:t>
      </w:r>
      <w:r>
        <w:rPr>
          <w:spacing w:val="-6"/>
          <w:sz w:val="18"/>
        </w:rPr>
        <w:t> </w:t>
      </w:r>
      <w:r>
        <w:rPr>
          <w:sz w:val="18"/>
        </w:rPr>
        <w:t>‘</w:t>
      </w:r>
      <w:hyperlink r:id="rId82">
        <w:r>
          <w:rPr>
            <w:sz w:val="18"/>
          </w:rPr>
          <w:t>European</w:t>
        </w:r>
        <w:r>
          <w:rPr>
            <w:spacing w:val="-7"/>
            <w:sz w:val="18"/>
          </w:rPr>
          <w:t> </w:t>
        </w:r>
        <w:r>
          <w:rPr>
            <w:sz w:val="18"/>
          </w:rPr>
          <w:t>Union</w:t>
        </w:r>
      </w:hyperlink>
      <w:r>
        <w:rPr>
          <w:sz w:val="18"/>
        </w:rPr>
        <w:t> </w:t>
      </w:r>
      <w:hyperlink r:id="rId82">
        <w:r>
          <w:rPr>
            <w:sz w:val="18"/>
          </w:rPr>
          <w:t>developments</w:t>
        </w:r>
        <w:r>
          <w:rPr>
            <w:spacing w:val="-2"/>
            <w:sz w:val="18"/>
          </w:rPr>
          <w:t> </w:t>
        </w:r>
        <w:r>
          <w:rPr>
            <w:sz w:val="18"/>
          </w:rPr>
          <w:t>in</w:t>
        </w:r>
        <w:r>
          <w:rPr>
            <w:spacing w:val="-2"/>
            <w:sz w:val="18"/>
          </w:rPr>
          <w:t> </w:t>
        </w:r>
        <w:r>
          <w:rPr>
            <w:sz w:val="18"/>
          </w:rPr>
          <w:t>Equality</w:t>
        </w:r>
        <w:r>
          <w:rPr>
            <w:spacing w:val="-1"/>
            <w:sz w:val="18"/>
          </w:rPr>
          <w:t> </w:t>
        </w:r>
        <w:r>
          <w:rPr>
            <w:sz w:val="18"/>
          </w:rPr>
          <w:t>and</w:t>
        </w:r>
        <w:r>
          <w:rPr>
            <w:spacing w:val="-2"/>
            <w:sz w:val="18"/>
          </w:rPr>
          <w:t> </w:t>
        </w:r>
        <w:r>
          <w:rPr>
            <w:sz w:val="18"/>
          </w:rPr>
          <w:t>Human</w:t>
        </w:r>
        <w:r>
          <w:rPr>
            <w:spacing w:val="-2"/>
            <w:sz w:val="18"/>
          </w:rPr>
          <w:t> </w:t>
        </w:r>
        <w:r>
          <w:rPr>
            <w:sz w:val="18"/>
          </w:rPr>
          <w:t>Rights:</w:t>
        </w:r>
        <w:r>
          <w:rPr>
            <w:spacing w:val="-1"/>
            <w:sz w:val="18"/>
          </w:rPr>
          <w:t> </w:t>
        </w:r>
        <w:r>
          <w:rPr>
            <w:sz w:val="18"/>
          </w:rPr>
          <w:t>The</w:t>
        </w:r>
        <w:r>
          <w:rPr>
            <w:spacing w:val="-1"/>
            <w:sz w:val="18"/>
          </w:rPr>
          <w:t> </w:t>
        </w:r>
        <w:r>
          <w:rPr>
            <w:sz w:val="18"/>
          </w:rPr>
          <w:t>Impact</w:t>
        </w:r>
        <w:r>
          <w:rPr>
            <w:spacing w:val="-1"/>
            <w:sz w:val="18"/>
          </w:rPr>
          <w:t> </w:t>
        </w:r>
        <w:r>
          <w:rPr>
            <w:sz w:val="18"/>
          </w:rPr>
          <w:t>of</w:t>
        </w:r>
        <w:r>
          <w:rPr>
            <w:spacing w:val="-2"/>
            <w:sz w:val="18"/>
          </w:rPr>
          <w:t> </w:t>
        </w:r>
        <w:r>
          <w:rPr>
            <w:sz w:val="18"/>
          </w:rPr>
          <w:t>Brexit</w:t>
        </w:r>
        <w:r>
          <w:rPr>
            <w:spacing w:val="-1"/>
            <w:sz w:val="18"/>
          </w:rPr>
          <w:t> </w:t>
        </w:r>
        <w:r>
          <w:rPr>
            <w:sz w:val="18"/>
          </w:rPr>
          <w:t>on</w:t>
        </w:r>
        <w:r>
          <w:rPr>
            <w:spacing w:val="-2"/>
            <w:sz w:val="18"/>
          </w:rPr>
          <w:t> </w:t>
        </w:r>
        <w:r>
          <w:rPr>
            <w:sz w:val="18"/>
          </w:rPr>
          <w:t>the</w:t>
        </w:r>
        <w:r>
          <w:rPr>
            <w:spacing w:val="-1"/>
            <w:sz w:val="18"/>
          </w:rPr>
          <w:t> </w:t>
        </w:r>
        <w:r>
          <w:rPr>
            <w:sz w:val="18"/>
          </w:rPr>
          <w:t>divergence</w:t>
        </w:r>
        <w:r>
          <w:rPr>
            <w:spacing w:val="-1"/>
            <w:sz w:val="18"/>
          </w:rPr>
          <w:t> </w:t>
        </w:r>
        <w:r>
          <w:rPr>
            <w:sz w:val="18"/>
          </w:rPr>
          <w:t>of</w:t>
        </w:r>
        <w:r>
          <w:rPr>
            <w:spacing w:val="-2"/>
            <w:sz w:val="18"/>
          </w:rPr>
          <w:t> </w:t>
        </w:r>
        <w:r>
          <w:rPr>
            <w:sz w:val="18"/>
          </w:rPr>
          <w:t>rights</w:t>
        </w:r>
        <w:r>
          <w:rPr>
            <w:spacing w:val="-2"/>
            <w:sz w:val="18"/>
          </w:rPr>
          <w:t> </w:t>
        </w:r>
        <w:r>
          <w:rPr>
            <w:sz w:val="18"/>
          </w:rPr>
          <w:t>and</w:t>
        </w:r>
        <w:r>
          <w:rPr>
            <w:spacing w:val="-2"/>
            <w:sz w:val="18"/>
          </w:rPr>
          <w:t> </w:t>
        </w:r>
        <w:r>
          <w:rPr>
            <w:sz w:val="18"/>
          </w:rPr>
          <w:t>best</w:t>
        </w:r>
        <w:r>
          <w:rPr>
            <w:spacing w:val="-1"/>
            <w:sz w:val="18"/>
          </w:rPr>
          <w:t> </w:t>
        </w:r>
        <w:r>
          <w:rPr>
            <w:sz w:val="18"/>
          </w:rPr>
          <w:t>practice</w:t>
        </w:r>
        <w:r>
          <w:rPr>
            <w:spacing w:val="-1"/>
            <w:sz w:val="18"/>
          </w:rPr>
          <w:t> </w:t>
        </w:r>
        <w:r>
          <w:rPr>
            <w:sz w:val="18"/>
          </w:rPr>
          <w:t>on</w:t>
        </w:r>
        <w:r>
          <w:rPr>
            <w:spacing w:val="-2"/>
            <w:sz w:val="18"/>
          </w:rPr>
          <w:t> </w:t>
        </w:r>
        <w:r>
          <w:rPr>
            <w:sz w:val="18"/>
          </w:rPr>
          <w:t>the</w:t>
        </w:r>
      </w:hyperlink>
      <w:r>
        <w:rPr>
          <w:sz w:val="18"/>
        </w:rPr>
        <w:t> </w:t>
      </w:r>
      <w:hyperlink r:id="rId82">
        <w:r>
          <w:rPr>
            <w:sz w:val="18"/>
          </w:rPr>
          <w:t>island of Ireland</w:t>
        </w:r>
      </w:hyperlink>
      <w:r>
        <w:rPr>
          <w:sz w:val="18"/>
        </w:rPr>
        <w:t>’ (ECNI, NIHRC, IHREC 2022).</w:t>
      </w:r>
    </w:p>
    <w:p>
      <w:pPr>
        <w:pStyle w:val="ListParagraph"/>
        <w:numPr>
          <w:ilvl w:val="0"/>
          <w:numId w:val="3"/>
        </w:numPr>
        <w:tabs>
          <w:tab w:pos="1853" w:val="left" w:leader="none"/>
        </w:tabs>
        <w:spacing w:line="235" w:lineRule="auto" w:before="2" w:after="0"/>
        <w:ind w:left="1853" w:right="1233" w:hanging="720"/>
        <w:jc w:val="left"/>
        <w:rPr>
          <w:sz w:val="18"/>
        </w:rPr>
      </w:pPr>
      <w:r>
        <w:rPr>
          <w:sz w:val="18"/>
        </w:rPr>
        <w:t>Equality Commission for NI, NI Human Rights Commission and Irish Human Rights and Equality Commission, ‘</w:t>
      </w:r>
      <w:hyperlink r:id="rId76">
        <w:r>
          <w:rPr>
            <w:sz w:val="18"/>
          </w:rPr>
          <w:t>Policy</w:t>
        </w:r>
      </w:hyperlink>
      <w:r>
        <w:rPr>
          <w:sz w:val="18"/>
        </w:rPr>
        <w:t> </w:t>
      </w:r>
      <w:hyperlink r:id="rId76">
        <w:r>
          <w:rPr>
            <w:sz w:val="18"/>
          </w:rPr>
          <w:t>Recommendations:</w:t>
        </w:r>
        <w:r>
          <w:rPr>
            <w:spacing w:val="-4"/>
            <w:sz w:val="18"/>
          </w:rPr>
          <w:t> </w:t>
        </w:r>
        <w:r>
          <w:rPr>
            <w:sz w:val="18"/>
          </w:rPr>
          <w:t>European</w:t>
        </w:r>
        <w:r>
          <w:rPr>
            <w:spacing w:val="-5"/>
            <w:sz w:val="18"/>
          </w:rPr>
          <w:t> </w:t>
        </w:r>
        <w:r>
          <w:rPr>
            <w:sz w:val="18"/>
          </w:rPr>
          <w:t>Union</w:t>
        </w:r>
        <w:r>
          <w:rPr>
            <w:spacing w:val="-5"/>
            <w:sz w:val="18"/>
          </w:rPr>
          <w:t> </w:t>
        </w:r>
        <w:r>
          <w:rPr>
            <w:sz w:val="18"/>
          </w:rPr>
          <w:t>developments</w:t>
        </w:r>
        <w:r>
          <w:rPr>
            <w:spacing w:val="-5"/>
            <w:sz w:val="18"/>
          </w:rPr>
          <w:t> </w:t>
        </w:r>
        <w:r>
          <w:rPr>
            <w:sz w:val="18"/>
          </w:rPr>
          <w:t>in</w:t>
        </w:r>
        <w:r>
          <w:rPr>
            <w:spacing w:val="-5"/>
            <w:sz w:val="18"/>
          </w:rPr>
          <w:t> </w:t>
        </w:r>
        <w:r>
          <w:rPr>
            <w:sz w:val="18"/>
          </w:rPr>
          <w:t>Equality</w:t>
        </w:r>
        <w:r>
          <w:rPr>
            <w:spacing w:val="-4"/>
            <w:sz w:val="18"/>
          </w:rPr>
          <w:t> </w:t>
        </w:r>
        <w:r>
          <w:rPr>
            <w:sz w:val="18"/>
          </w:rPr>
          <w:t>and</w:t>
        </w:r>
        <w:r>
          <w:rPr>
            <w:spacing w:val="-5"/>
            <w:sz w:val="18"/>
          </w:rPr>
          <w:t> </w:t>
        </w:r>
        <w:r>
          <w:rPr>
            <w:sz w:val="18"/>
          </w:rPr>
          <w:t>Human</w:t>
        </w:r>
        <w:r>
          <w:rPr>
            <w:spacing w:val="-5"/>
            <w:sz w:val="18"/>
          </w:rPr>
          <w:t> </w:t>
        </w:r>
        <w:r>
          <w:rPr>
            <w:sz w:val="18"/>
          </w:rPr>
          <w:t>Rights: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the</w:t>
        </w:r>
        <w:r>
          <w:rPr>
            <w:spacing w:val="-4"/>
            <w:sz w:val="18"/>
          </w:rPr>
          <w:t> </w:t>
        </w:r>
        <w:r>
          <w:rPr>
            <w:sz w:val="18"/>
          </w:rPr>
          <w:t>divergence</w:t>
        </w:r>
      </w:hyperlink>
      <w:r>
        <w:rPr>
          <w:sz w:val="18"/>
        </w:rPr>
        <w:t> </w:t>
      </w:r>
      <w:hyperlink r:id="rId76">
        <w:r>
          <w:rPr>
            <w:sz w:val="18"/>
          </w:rPr>
          <w:t>of rights and best practice on the island of Ireland</w:t>
        </w:r>
      </w:hyperlink>
      <w:r>
        <w:rPr>
          <w:sz w:val="18"/>
        </w:rPr>
        <w:t>’ (ECNI, NIHRC and IHREC, 2023).</w:t>
      </w:r>
    </w:p>
    <w:p>
      <w:pPr>
        <w:pStyle w:val="ListParagraph"/>
        <w:numPr>
          <w:ilvl w:val="0"/>
          <w:numId w:val="3"/>
        </w:numPr>
        <w:tabs>
          <w:tab w:pos="1853" w:val="left" w:leader="none"/>
        </w:tabs>
        <w:spacing w:line="216" w:lineRule="exact" w:before="0" w:after="0"/>
        <w:ind w:left="1853" w:right="0" w:hanging="720"/>
        <w:jc w:val="left"/>
        <w:rPr>
          <w:sz w:val="18"/>
        </w:rPr>
      </w:pPr>
      <w:r>
        <w:rPr>
          <w:sz w:val="18"/>
        </w:rPr>
        <w:t>Directive</w:t>
      </w:r>
      <w:r>
        <w:rPr>
          <w:spacing w:val="-7"/>
          <w:sz w:val="18"/>
        </w:rPr>
        <w:t> </w:t>
      </w:r>
      <w:r>
        <w:rPr>
          <w:sz w:val="18"/>
        </w:rPr>
        <w:t>2019/1158/EU,</w:t>
      </w:r>
      <w:r>
        <w:rPr>
          <w:spacing w:val="-6"/>
          <w:sz w:val="18"/>
        </w:rPr>
        <w:t> </w:t>
      </w:r>
      <w:r>
        <w:rPr>
          <w:sz w:val="18"/>
        </w:rPr>
        <w:t>‘EU</w:t>
      </w:r>
      <w:r>
        <w:rPr>
          <w:spacing w:val="-6"/>
          <w:sz w:val="18"/>
        </w:rPr>
        <w:t> </w:t>
      </w:r>
      <w:r>
        <w:rPr>
          <w:sz w:val="18"/>
        </w:rPr>
        <w:t>Parliament</w:t>
      </w:r>
      <w:r>
        <w:rPr>
          <w:spacing w:val="-6"/>
          <w:sz w:val="18"/>
        </w:rPr>
        <w:t> </w:t>
      </w:r>
      <w:r>
        <w:rPr>
          <w:sz w:val="18"/>
        </w:rPr>
        <w:t>and</w:t>
      </w:r>
      <w:r>
        <w:rPr>
          <w:spacing w:val="-8"/>
          <w:sz w:val="18"/>
        </w:rPr>
        <w:t> </w:t>
      </w:r>
      <w:r>
        <w:rPr>
          <w:sz w:val="18"/>
        </w:rPr>
        <w:t>Council</w:t>
      </w:r>
      <w:r>
        <w:rPr>
          <w:spacing w:val="-7"/>
          <w:sz w:val="18"/>
        </w:rPr>
        <w:t> </w:t>
      </w:r>
      <w:r>
        <w:rPr>
          <w:sz w:val="18"/>
        </w:rPr>
        <w:t>Directive</w:t>
      </w:r>
      <w:r>
        <w:rPr>
          <w:spacing w:val="-6"/>
          <w:sz w:val="18"/>
        </w:rPr>
        <w:t> </w:t>
      </w:r>
      <w:r>
        <w:rPr>
          <w:sz w:val="18"/>
        </w:rPr>
        <w:t>on</w:t>
      </w:r>
      <w:r>
        <w:rPr>
          <w:spacing w:val="-7"/>
          <w:sz w:val="18"/>
        </w:rPr>
        <w:t> </w:t>
      </w:r>
      <w:r>
        <w:rPr>
          <w:sz w:val="18"/>
        </w:rPr>
        <w:t>work-life</w:t>
      </w:r>
      <w:r>
        <w:rPr>
          <w:spacing w:val="-6"/>
          <w:sz w:val="18"/>
        </w:rPr>
        <w:t> </w:t>
      </w:r>
      <w:r>
        <w:rPr>
          <w:sz w:val="18"/>
        </w:rPr>
        <w:t>balance</w:t>
      </w:r>
      <w:r>
        <w:rPr>
          <w:spacing w:val="-6"/>
          <w:sz w:val="18"/>
        </w:rPr>
        <w:t> </w:t>
      </w:r>
      <w:r>
        <w:rPr>
          <w:sz w:val="18"/>
        </w:rPr>
        <w:t>for</w:t>
      </w:r>
      <w:r>
        <w:rPr>
          <w:spacing w:val="-7"/>
          <w:sz w:val="18"/>
        </w:rPr>
        <w:t> </w:t>
      </w:r>
      <w:r>
        <w:rPr>
          <w:sz w:val="18"/>
        </w:rPr>
        <w:t>parents</w:t>
      </w:r>
      <w:r>
        <w:rPr>
          <w:spacing w:val="-7"/>
          <w:sz w:val="18"/>
        </w:rPr>
        <w:t> </w:t>
      </w:r>
      <w:r>
        <w:rPr>
          <w:sz w:val="18"/>
        </w:rPr>
        <w:t>and</w:t>
      </w:r>
      <w:r>
        <w:rPr>
          <w:spacing w:val="-7"/>
          <w:sz w:val="18"/>
        </w:rPr>
        <w:t> </w:t>
      </w:r>
      <w:r>
        <w:rPr>
          <w:sz w:val="18"/>
        </w:rPr>
        <w:t>carers’,</w:t>
      </w:r>
      <w:r>
        <w:rPr>
          <w:spacing w:val="-6"/>
          <w:sz w:val="18"/>
        </w:rPr>
        <w:t> </w:t>
      </w:r>
      <w:r>
        <w:rPr>
          <w:sz w:val="18"/>
        </w:rPr>
        <w:t>20</w:t>
      </w:r>
      <w:r>
        <w:rPr>
          <w:spacing w:val="-6"/>
          <w:sz w:val="18"/>
        </w:rPr>
        <w:t> </w:t>
      </w:r>
      <w:r>
        <w:rPr>
          <w:sz w:val="18"/>
        </w:rPr>
        <w:t>June</w:t>
      </w:r>
      <w:r>
        <w:rPr>
          <w:spacing w:val="-6"/>
          <w:sz w:val="18"/>
        </w:rPr>
        <w:t> </w:t>
      </w:r>
      <w:r>
        <w:rPr>
          <w:spacing w:val="-2"/>
          <w:sz w:val="18"/>
        </w:rPr>
        <w:t>2019.</w:t>
      </w:r>
    </w:p>
    <w:p>
      <w:pPr>
        <w:pStyle w:val="ListParagraph"/>
        <w:numPr>
          <w:ilvl w:val="0"/>
          <w:numId w:val="3"/>
        </w:numPr>
        <w:tabs>
          <w:tab w:pos="1853" w:val="left" w:leader="none"/>
        </w:tabs>
        <w:spacing w:line="235" w:lineRule="auto" w:before="1" w:after="0"/>
        <w:ind w:left="1853" w:right="1226" w:hanging="720"/>
        <w:jc w:val="left"/>
        <w:rPr>
          <w:sz w:val="18"/>
        </w:rPr>
      </w:pPr>
      <w:r>
        <w:rPr>
          <w:sz w:val="18"/>
        </w:rPr>
        <w:t>Directive</w:t>
      </w:r>
      <w:r>
        <w:rPr>
          <w:spacing w:val="-6"/>
          <w:sz w:val="18"/>
        </w:rPr>
        <w:t> </w:t>
      </w:r>
      <w:r>
        <w:rPr>
          <w:sz w:val="18"/>
        </w:rPr>
        <w:t>2019/882/EU,</w:t>
      </w:r>
      <w:r>
        <w:rPr>
          <w:spacing w:val="-6"/>
          <w:sz w:val="18"/>
        </w:rPr>
        <w:t> </w:t>
      </w:r>
      <w:r>
        <w:rPr>
          <w:sz w:val="18"/>
        </w:rPr>
        <w:t>‘EU</w:t>
      </w:r>
      <w:r>
        <w:rPr>
          <w:spacing w:val="-6"/>
          <w:sz w:val="18"/>
        </w:rPr>
        <w:t> </w:t>
      </w:r>
      <w:r>
        <w:rPr>
          <w:sz w:val="18"/>
        </w:rPr>
        <w:t>Parliament</w:t>
      </w:r>
      <w:r>
        <w:rPr>
          <w:spacing w:val="-6"/>
          <w:sz w:val="18"/>
        </w:rPr>
        <w:t> </w:t>
      </w:r>
      <w:r>
        <w:rPr>
          <w:sz w:val="18"/>
        </w:rPr>
        <w:t>and</w:t>
      </w:r>
      <w:r>
        <w:rPr>
          <w:spacing w:val="-7"/>
          <w:sz w:val="18"/>
        </w:rPr>
        <w:t> </w:t>
      </w:r>
      <w:r>
        <w:rPr>
          <w:sz w:val="18"/>
        </w:rPr>
        <w:t>Council</w:t>
      </w:r>
      <w:r>
        <w:rPr>
          <w:spacing w:val="-7"/>
          <w:sz w:val="18"/>
        </w:rPr>
        <w:t> </w:t>
      </w:r>
      <w:r>
        <w:rPr>
          <w:sz w:val="18"/>
        </w:rPr>
        <w:t>Directive</w:t>
      </w:r>
      <w:r>
        <w:rPr>
          <w:spacing w:val="-6"/>
          <w:sz w:val="18"/>
        </w:rPr>
        <w:t> </w:t>
      </w:r>
      <w:r>
        <w:rPr>
          <w:sz w:val="18"/>
        </w:rPr>
        <w:t>on</w:t>
      </w:r>
      <w:r>
        <w:rPr>
          <w:spacing w:val="-7"/>
          <w:sz w:val="18"/>
        </w:rPr>
        <w:t> </w:t>
      </w:r>
      <w:r>
        <w:rPr>
          <w:sz w:val="18"/>
        </w:rPr>
        <w:t>the</w:t>
      </w:r>
      <w:r>
        <w:rPr>
          <w:spacing w:val="-6"/>
          <w:sz w:val="18"/>
        </w:rPr>
        <w:t> </w:t>
      </w:r>
      <w:r>
        <w:rPr>
          <w:sz w:val="18"/>
        </w:rPr>
        <w:t>accessibility</w:t>
      </w:r>
      <w:r>
        <w:rPr>
          <w:spacing w:val="-6"/>
          <w:sz w:val="18"/>
        </w:rPr>
        <w:t> </w:t>
      </w:r>
      <w:r>
        <w:rPr>
          <w:sz w:val="18"/>
        </w:rPr>
        <w:t>requirements</w:t>
      </w:r>
      <w:r>
        <w:rPr>
          <w:spacing w:val="-7"/>
          <w:sz w:val="18"/>
        </w:rPr>
        <w:t> </w:t>
      </w:r>
      <w:r>
        <w:rPr>
          <w:sz w:val="18"/>
        </w:rPr>
        <w:t>for</w:t>
      </w:r>
      <w:r>
        <w:rPr>
          <w:spacing w:val="-6"/>
          <w:sz w:val="18"/>
        </w:rPr>
        <w:t> </w:t>
      </w:r>
      <w:r>
        <w:rPr>
          <w:sz w:val="18"/>
        </w:rPr>
        <w:t>products</w:t>
      </w:r>
      <w:r>
        <w:rPr>
          <w:spacing w:val="-7"/>
          <w:sz w:val="18"/>
        </w:rPr>
        <w:t> </w:t>
      </w:r>
      <w:r>
        <w:rPr>
          <w:sz w:val="18"/>
        </w:rPr>
        <w:t>and</w:t>
      </w:r>
      <w:r>
        <w:rPr>
          <w:spacing w:val="-7"/>
          <w:sz w:val="18"/>
        </w:rPr>
        <w:t> </w:t>
      </w:r>
      <w:r>
        <w:rPr>
          <w:sz w:val="18"/>
        </w:rPr>
        <w:t>services’, 17 April 2019.</w:t>
      </w:r>
    </w:p>
    <w:p>
      <w:pPr>
        <w:spacing w:after="0" w:line="235" w:lineRule="auto"/>
        <w:jc w:val="left"/>
        <w:rPr>
          <w:sz w:val="18"/>
        </w:rPr>
        <w:sectPr>
          <w:pgSz w:w="11910" w:h="16840"/>
          <w:pgMar w:header="496" w:footer="367" w:top="1220" w:bottom="560" w:left="0" w:right="0"/>
        </w:sectPr>
      </w:pPr>
    </w:p>
    <w:p>
      <w:pPr>
        <w:pStyle w:val="BodyText"/>
        <w:spacing w:before="198"/>
      </w:pPr>
    </w:p>
    <w:p>
      <w:pPr>
        <w:pStyle w:val="ListParagraph"/>
        <w:numPr>
          <w:ilvl w:val="1"/>
          <w:numId w:val="7"/>
        </w:numPr>
        <w:tabs>
          <w:tab w:pos="1853" w:val="left" w:leader="none"/>
        </w:tabs>
        <w:spacing w:line="225" w:lineRule="auto" w:before="0" w:after="0"/>
        <w:ind w:left="1853" w:right="1546" w:hanging="720"/>
        <w:jc w:val="left"/>
        <w:rPr>
          <w:sz w:val="28"/>
        </w:rPr>
      </w:pPr>
      <w:r>
        <w:rPr>
          <w:sz w:val="28"/>
        </w:rPr>
        <w:t>Prior to the withdrawal of the UK from the EU, in some areas that were</w:t>
      </w:r>
      <w:r>
        <w:rPr>
          <w:spacing w:val="40"/>
          <w:sz w:val="28"/>
        </w:rPr>
        <w:t> </w:t>
      </w:r>
      <w:r>
        <w:rPr>
          <w:sz w:val="28"/>
        </w:rPr>
        <w:t>not underpinned by EU law, there was already stronger protection against discrimination in both Ireland and Great Britain than in NI.</w:t>
      </w:r>
      <w:r>
        <w:rPr>
          <w:sz w:val="28"/>
          <w:vertAlign w:val="superscript"/>
        </w:rPr>
        <w:t>131</w:t>
      </w:r>
      <w:r>
        <w:rPr>
          <w:sz w:val="28"/>
          <w:vertAlign w:val="baseline"/>
        </w:rPr>
        <w:t> This includes in</w:t>
      </w:r>
      <w:r>
        <w:rPr>
          <w:spacing w:val="-5"/>
          <w:sz w:val="28"/>
          <w:vertAlign w:val="baseline"/>
        </w:rPr>
        <w:t> </w:t>
      </w:r>
      <w:r>
        <w:rPr>
          <w:sz w:val="28"/>
          <w:vertAlign w:val="baseline"/>
        </w:rPr>
        <w:t>the</w:t>
      </w:r>
      <w:r>
        <w:rPr>
          <w:spacing w:val="-5"/>
          <w:sz w:val="28"/>
          <w:vertAlign w:val="baseline"/>
        </w:rPr>
        <w:t> </w:t>
      </w:r>
      <w:r>
        <w:rPr>
          <w:sz w:val="28"/>
          <w:vertAlign w:val="baseline"/>
        </w:rPr>
        <w:t>areas</w:t>
      </w:r>
      <w:r>
        <w:rPr>
          <w:spacing w:val="-5"/>
          <w:sz w:val="28"/>
          <w:vertAlign w:val="baseline"/>
        </w:rPr>
        <w:t> </w:t>
      </w:r>
      <w:r>
        <w:rPr>
          <w:sz w:val="28"/>
          <w:vertAlign w:val="baseline"/>
        </w:rPr>
        <w:t>of</w:t>
      </w:r>
      <w:r>
        <w:rPr>
          <w:spacing w:val="-5"/>
          <w:sz w:val="28"/>
          <w:vertAlign w:val="baseline"/>
        </w:rPr>
        <w:t> </w:t>
      </w:r>
      <w:r>
        <w:rPr>
          <w:sz w:val="28"/>
          <w:vertAlign w:val="baseline"/>
        </w:rPr>
        <w:t>gender</w:t>
      </w:r>
      <w:r>
        <w:rPr>
          <w:spacing w:val="-5"/>
          <w:sz w:val="28"/>
          <w:vertAlign w:val="baseline"/>
        </w:rPr>
        <w:t> </w:t>
      </w:r>
      <w:r>
        <w:rPr>
          <w:sz w:val="28"/>
          <w:vertAlign w:val="baseline"/>
        </w:rPr>
        <w:t>pay</w:t>
      </w:r>
      <w:r>
        <w:rPr>
          <w:spacing w:val="-5"/>
          <w:sz w:val="28"/>
          <w:vertAlign w:val="baseline"/>
        </w:rPr>
        <w:t> </w:t>
      </w:r>
      <w:r>
        <w:rPr>
          <w:sz w:val="28"/>
          <w:vertAlign w:val="baseline"/>
        </w:rPr>
        <w:t>gap</w:t>
      </w:r>
      <w:r>
        <w:rPr>
          <w:spacing w:val="-5"/>
          <w:sz w:val="28"/>
          <w:vertAlign w:val="baseline"/>
        </w:rPr>
        <w:t> </w:t>
      </w:r>
      <w:r>
        <w:rPr>
          <w:sz w:val="28"/>
          <w:vertAlign w:val="baseline"/>
        </w:rPr>
        <w:t>reporting,</w:t>
      </w:r>
      <w:r>
        <w:rPr>
          <w:spacing w:val="-5"/>
          <w:sz w:val="28"/>
          <w:vertAlign w:val="baseline"/>
        </w:rPr>
        <w:t> </w:t>
      </w:r>
      <w:r>
        <w:rPr>
          <w:sz w:val="28"/>
          <w:vertAlign w:val="baseline"/>
        </w:rPr>
        <w:t>single</w:t>
      </w:r>
      <w:r>
        <w:rPr>
          <w:spacing w:val="-5"/>
          <w:sz w:val="28"/>
          <w:vertAlign w:val="baseline"/>
        </w:rPr>
        <w:t> </w:t>
      </w:r>
      <w:r>
        <w:rPr>
          <w:sz w:val="28"/>
          <w:vertAlign w:val="baseline"/>
        </w:rPr>
        <w:t>equality</w:t>
      </w:r>
      <w:r>
        <w:rPr>
          <w:spacing w:val="-5"/>
          <w:sz w:val="28"/>
          <w:vertAlign w:val="baseline"/>
        </w:rPr>
        <w:t> </w:t>
      </w:r>
      <w:r>
        <w:rPr>
          <w:sz w:val="28"/>
          <w:vertAlign w:val="baseline"/>
        </w:rPr>
        <w:t>legislation</w:t>
      </w:r>
      <w:r>
        <w:rPr>
          <w:spacing w:val="-5"/>
          <w:sz w:val="28"/>
          <w:vertAlign w:val="baseline"/>
        </w:rPr>
        <w:t> </w:t>
      </w:r>
      <w:r>
        <w:rPr>
          <w:sz w:val="28"/>
          <w:vertAlign w:val="baseline"/>
        </w:rPr>
        <w:t>and</w:t>
      </w:r>
      <w:r>
        <w:rPr>
          <w:spacing w:val="-5"/>
          <w:sz w:val="28"/>
          <w:vertAlign w:val="baseline"/>
        </w:rPr>
        <w:t> </w:t>
      </w:r>
      <w:r>
        <w:rPr>
          <w:sz w:val="28"/>
          <w:vertAlign w:val="baseline"/>
        </w:rPr>
        <w:t>age discrimination in access to goods, facilities and services.</w:t>
      </w:r>
      <w:r>
        <w:rPr>
          <w:sz w:val="28"/>
          <w:vertAlign w:val="superscript"/>
        </w:rPr>
        <w:t>132</w:t>
      </w:r>
    </w:p>
    <w:p>
      <w:pPr>
        <w:pStyle w:val="ListParagraph"/>
        <w:numPr>
          <w:ilvl w:val="1"/>
          <w:numId w:val="7"/>
        </w:numPr>
        <w:tabs>
          <w:tab w:pos="1853" w:val="left" w:leader="none"/>
        </w:tabs>
        <w:spacing w:line="225" w:lineRule="auto" w:before="314" w:after="0"/>
        <w:ind w:left="1853" w:right="1393" w:hanging="720"/>
        <w:jc w:val="left"/>
        <w:rPr>
          <w:sz w:val="28"/>
        </w:rPr>
      </w:pPr>
      <w:r>
        <w:rPr>
          <w:sz w:val="28"/>
        </w:rPr>
        <w:t>The three Commissions also highlighted a number of significant CJEU case law developments since 31 December 2020 relating to the interpretation of the</w:t>
      </w:r>
      <w:r>
        <w:rPr>
          <w:spacing w:val="-7"/>
          <w:sz w:val="28"/>
        </w:rPr>
        <w:t> </w:t>
      </w:r>
      <w:r>
        <w:rPr>
          <w:sz w:val="28"/>
        </w:rPr>
        <w:t>Annex</w:t>
      </w:r>
      <w:r>
        <w:rPr>
          <w:spacing w:val="-8"/>
          <w:sz w:val="28"/>
        </w:rPr>
        <w:t> </w:t>
      </w:r>
      <w:r>
        <w:rPr>
          <w:sz w:val="28"/>
        </w:rPr>
        <w:t>1</w:t>
      </w:r>
      <w:r>
        <w:rPr>
          <w:spacing w:val="-7"/>
          <w:sz w:val="28"/>
        </w:rPr>
        <w:t> </w:t>
      </w:r>
      <w:r>
        <w:rPr>
          <w:sz w:val="28"/>
        </w:rPr>
        <w:t>equality</w:t>
      </w:r>
      <w:r>
        <w:rPr>
          <w:spacing w:val="-7"/>
          <w:sz w:val="28"/>
        </w:rPr>
        <w:t> </w:t>
      </w:r>
      <w:r>
        <w:rPr>
          <w:sz w:val="28"/>
        </w:rPr>
        <w:t>directives,</w:t>
      </w:r>
      <w:r>
        <w:rPr>
          <w:spacing w:val="-7"/>
          <w:sz w:val="28"/>
        </w:rPr>
        <w:t> </w:t>
      </w:r>
      <w:r>
        <w:rPr>
          <w:sz w:val="28"/>
        </w:rPr>
        <w:t>which</w:t>
      </w:r>
      <w:r>
        <w:rPr>
          <w:spacing w:val="-8"/>
          <w:sz w:val="28"/>
        </w:rPr>
        <w:t> </w:t>
      </w:r>
      <w:r>
        <w:rPr>
          <w:sz w:val="28"/>
        </w:rPr>
        <w:t>continue</w:t>
      </w:r>
      <w:r>
        <w:rPr>
          <w:spacing w:val="-7"/>
          <w:sz w:val="28"/>
        </w:rPr>
        <w:t> </w:t>
      </w:r>
      <w:r>
        <w:rPr>
          <w:sz w:val="28"/>
        </w:rPr>
        <w:t>to</w:t>
      </w:r>
      <w:r>
        <w:rPr>
          <w:spacing w:val="-8"/>
          <w:sz w:val="28"/>
        </w:rPr>
        <w:t> </w:t>
      </w:r>
      <w:r>
        <w:rPr>
          <w:sz w:val="28"/>
        </w:rPr>
        <w:t>have</w:t>
      </w:r>
      <w:r>
        <w:rPr>
          <w:spacing w:val="-7"/>
          <w:sz w:val="28"/>
        </w:rPr>
        <w:t> </w:t>
      </w:r>
      <w:r>
        <w:rPr>
          <w:sz w:val="28"/>
        </w:rPr>
        <w:t>implications</w:t>
      </w:r>
      <w:r>
        <w:rPr>
          <w:spacing w:val="-8"/>
          <w:sz w:val="28"/>
        </w:rPr>
        <w:t> </w:t>
      </w:r>
      <w:r>
        <w:rPr>
          <w:sz w:val="28"/>
        </w:rPr>
        <w:t>for</w:t>
      </w:r>
      <w:r>
        <w:rPr>
          <w:spacing w:val="-7"/>
          <w:sz w:val="28"/>
        </w:rPr>
        <w:t> </w:t>
      </w:r>
      <w:r>
        <w:rPr>
          <w:sz w:val="28"/>
        </w:rPr>
        <w:t>how particular legal rules operate in NI.</w:t>
      </w:r>
      <w:r>
        <w:rPr>
          <w:sz w:val="28"/>
          <w:vertAlign w:val="superscript"/>
        </w:rPr>
        <w:t>133</w:t>
      </w:r>
    </w:p>
    <w:p>
      <w:pPr>
        <w:pStyle w:val="ListParagraph"/>
        <w:numPr>
          <w:ilvl w:val="1"/>
          <w:numId w:val="7"/>
        </w:numPr>
        <w:tabs>
          <w:tab w:pos="1853" w:val="left" w:leader="none"/>
        </w:tabs>
        <w:spacing w:line="225" w:lineRule="auto" w:before="315" w:after="0"/>
        <w:ind w:left="1853" w:right="1199" w:hanging="720"/>
        <w:jc w:val="left"/>
        <w:rPr>
          <w:sz w:val="28"/>
        </w:rPr>
      </w:pPr>
      <w:r>
        <w:rPr>
          <w:sz w:val="28"/>
        </w:rPr>
        <w:t>In December 2023, the ECNI highlighted concerns regarding divergence of rights in a submission to the House of Lords Sub-Committee on the Windsor Framework.</w:t>
      </w:r>
      <w:r>
        <w:rPr>
          <w:sz w:val="28"/>
          <w:vertAlign w:val="superscript"/>
        </w:rPr>
        <w:t>134</w:t>
      </w:r>
      <w:r>
        <w:rPr>
          <w:spacing w:val="-11"/>
          <w:sz w:val="28"/>
          <w:vertAlign w:val="baseline"/>
        </w:rPr>
        <w:t> </w:t>
      </w:r>
      <w:r>
        <w:rPr>
          <w:sz w:val="28"/>
          <w:vertAlign w:val="baseline"/>
        </w:rPr>
        <w:t>The</w:t>
      </w:r>
      <w:r>
        <w:rPr>
          <w:spacing w:val="-10"/>
          <w:sz w:val="28"/>
          <w:vertAlign w:val="baseline"/>
        </w:rPr>
        <w:t> </w:t>
      </w:r>
      <w:r>
        <w:rPr>
          <w:sz w:val="28"/>
          <w:vertAlign w:val="baseline"/>
        </w:rPr>
        <w:t>Sub-Committee</w:t>
      </w:r>
      <w:r>
        <w:rPr>
          <w:spacing w:val="-10"/>
          <w:sz w:val="28"/>
          <w:vertAlign w:val="baseline"/>
        </w:rPr>
        <w:t> </w:t>
      </w:r>
      <w:r>
        <w:rPr>
          <w:sz w:val="28"/>
          <w:vertAlign w:val="baseline"/>
        </w:rPr>
        <w:t>raised</w:t>
      </w:r>
      <w:r>
        <w:rPr>
          <w:spacing w:val="-11"/>
          <w:sz w:val="28"/>
          <w:vertAlign w:val="baseline"/>
        </w:rPr>
        <w:t> </w:t>
      </w:r>
      <w:r>
        <w:rPr>
          <w:sz w:val="28"/>
          <w:vertAlign w:val="baseline"/>
        </w:rPr>
        <w:t>the</w:t>
      </w:r>
      <w:r>
        <w:rPr>
          <w:spacing w:val="-10"/>
          <w:sz w:val="28"/>
          <w:vertAlign w:val="baseline"/>
        </w:rPr>
        <w:t> </w:t>
      </w:r>
      <w:r>
        <w:rPr>
          <w:sz w:val="28"/>
          <w:vertAlign w:val="baseline"/>
        </w:rPr>
        <w:t>issue</w:t>
      </w:r>
      <w:r>
        <w:rPr>
          <w:spacing w:val="-10"/>
          <w:sz w:val="28"/>
          <w:vertAlign w:val="baseline"/>
        </w:rPr>
        <w:t> </w:t>
      </w:r>
      <w:r>
        <w:rPr>
          <w:sz w:val="28"/>
          <w:vertAlign w:val="baseline"/>
        </w:rPr>
        <w:t>of</w:t>
      </w:r>
      <w:r>
        <w:rPr>
          <w:spacing w:val="-11"/>
          <w:sz w:val="28"/>
          <w:vertAlign w:val="baseline"/>
        </w:rPr>
        <w:t> </w:t>
      </w:r>
      <w:r>
        <w:rPr>
          <w:sz w:val="28"/>
          <w:vertAlign w:val="baseline"/>
        </w:rPr>
        <w:t>North-South</w:t>
      </w:r>
      <w:r>
        <w:rPr>
          <w:spacing w:val="-11"/>
          <w:sz w:val="28"/>
          <w:vertAlign w:val="baseline"/>
        </w:rPr>
        <w:t> </w:t>
      </w:r>
      <w:r>
        <w:rPr>
          <w:sz w:val="28"/>
          <w:vertAlign w:val="baseline"/>
        </w:rPr>
        <w:t>divergence of rights with the UK Government.</w:t>
      </w:r>
      <w:r>
        <w:rPr>
          <w:sz w:val="28"/>
          <w:vertAlign w:val="superscript"/>
        </w:rPr>
        <w:t>135</w:t>
      </w:r>
      <w:r>
        <w:rPr>
          <w:spacing w:val="40"/>
          <w:sz w:val="28"/>
          <w:vertAlign w:val="baseline"/>
        </w:rPr>
        <w:t> </w:t>
      </w:r>
      <w:r>
        <w:rPr>
          <w:sz w:val="28"/>
          <w:vertAlign w:val="baseline"/>
        </w:rPr>
        <w:t>In its response, the UK Government indicated that it considered that there was no commitment in the Windsor Framework</w:t>
      </w:r>
      <w:r>
        <w:rPr>
          <w:spacing w:val="-7"/>
          <w:sz w:val="28"/>
          <w:vertAlign w:val="baseline"/>
        </w:rPr>
        <w:t> </w:t>
      </w:r>
      <w:r>
        <w:rPr>
          <w:sz w:val="28"/>
          <w:vertAlign w:val="baseline"/>
        </w:rPr>
        <w:t>or</w:t>
      </w:r>
      <w:r>
        <w:rPr>
          <w:spacing w:val="-7"/>
          <w:sz w:val="28"/>
          <w:vertAlign w:val="baseline"/>
        </w:rPr>
        <w:t> </w:t>
      </w:r>
      <w:r>
        <w:rPr>
          <w:sz w:val="28"/>
          <w:vertAlign w:val="baseline"/>
        </w:rPr>
        <w:t>the</w:t>
      </w:r>
      <w:r>
        <w:rPr>
          <w:spacing w:val="-7"/>
          <w:sz w:val="28"/>
          <w:vertAlign w:val="baseline"/>
        </w:rPr>
        <w:t> </w:t>
      </w:r>
      <w:r>
        <w:rPr>
          <w:sz w:val="28"/>
          <w:vertAlign w:val="baseline"/>
        </w:rPr>
        <w:t>Belfast</w:t>
      </w:r>
      <w:r>
        <w:rPr>
          <w:spacing w:val="-7"/>
          <w:sz w:val="28"/>
          <w:vertAlign w:val="baseline"/>
        </w:rPr>
        <w:t> </w:t>
      </w:r>
      <w:r>
        <w:rPr>
          <w:sz w:val="28"/>
          <w:vertAlign w:val="baseline"/>
        </w:rPr>
        <w:t>(Good</w:t>
      </w:r>
      <w:r>
        <w:rPr>
          <w:spacing w:val="-8"/>
          <w:sz w:val="28"/>
          <w:vertAlign w:val="baseline"/>
        </w:rPr>
        <w:t> </w:t>
      </w:r>
      <w:r>
        <w:rPr>
          <w:sz w:val="28"/>
          <w:vertAlign w:val="baseline"/>
        </w:rPr>
        <w:t>Friday)</w:t>
      </w:r>
      <w:r>
        <w:rPr>
          <w:spacing w:val="-8"/>
          <w:sz w:val="28"/>
          <w:vertAlign w:val="baseline"/>
        </w:rPr>
        <w:t> </w:t>
      </w:r>
      <w:r>
        <w:rPr>
          <w:sz w:val="28"/>
          <w:vertAlign w:val="baseline"/>
        </w:rPr>
        <w:t>Agreement</w:t>
      </w:r>
      <w:r>
        <w:rPr>
          <w:spacing w:val="-7"/>
          <w:sz w:val="28"/>
          <w:vertAlign w:val="baseline"/>
        </w:rPr>
        <w:t> </w:t>
      </w:r>
      <w:r>
        <w:rPr>
          <w:sz w:val="28"/>
          <w:vertAlign w:val="baseline"/>
        </w:rPr>
        <w:t>for</w:t>
      </w:r>
      <w:r>
        <w:rPr>
          <w:spacing w:val="-7"/>
          <w:sz w:val="28"/>
          <w:vertAlign w:val="baseline"/>
        </w:rPr>
        <w:t> </w:t>
      </w:r>
      <w:r>
        <w:rPr>
          <w:sz w:val="28"/>
          <w:vertAlign w:val="baseline"/>
        </w:rPr>
        <w:t>the</w:t>
      </w:r>
      <w:r>
        <w:rPr>
          <w:spacing w:val="-7"/>
          <w:sz w:val="28"/>
          <w:vertAlign w:val="baseline"/>
        </w:rPr>
        <w:t> </w:t>
      </w:r>
      <w:r>
        <w:rPr>
          <w:sz w:val="28"/>
          <w:vertAlign w:val="baseline"/>
        </w:rPr>
        <w:t>alignment</w:t>
      </w:r>
      <w:r>
        <w:rPr>
          <w:spacing w:val="-7"/>
          <w:sz w:val="28"/>
          <w:vertAlign w:val="baseline"/>
        </w:rPr>
        <w:t> </w:t>
      </w:r>
      <w:r>
        <w:rPr>
          <w:sz w:val="28"/>
          <w:vertAlign w:val="baseline"/>
        </w:rPr>
        <w:t>of</w:t>
      </w:r>
      <w:r>
        <w:rPr>
          <w:spacing w:val="-8"/>
          <w:sz w:val="28"/>
          <w:vertAlign w:val="baseline"/>
        </w:rPr>
        <w:t> </w:t>
      </w:r>
      <w:r>
        <w:rPr>
          <w:sz w:val="28"/>
          <w:vertAlign w:val="baseline"/>
        </w:rPr>
        <w:t>rights across the island of Ireland.</w:t>
      </w:r>
      <w:r>
        <w:rPr>
          <w:sz w:val="28"/>
          <w:vertAlign w:val="superscript"/>
        </w:rPr>
        <w:t>136</w:t>
      </w:r>
    </w:p>
    <w:p>
      <w:pPr>
        <w:pStyle w:val="ListParagraph"/>
        <w:numPr>
          <w:ilvl w:val="1"/>
          <w:numId w:val="7"/>
        </w:numPr>
        <w:tabs>
          <w:tab w:pos="1853" w:val="left" w:leader="none"/>
        </w:tabs>
        <w:spacing w:line="225" w:lineRule="auto" w:before="311" w:after="0"/>
        <w:ind w:left="1853" w:right="1238" w:hanging="720"/>
        <w:jc w:val="left"/>
        <w:rPr>
          <w:sz w:val="28"/>
        </w:rPr>
      </w:pPr>
      <w:r>
        <w:rPr>
          <w:sz w:val="28"/>
        </w:rPr>
        <w:t>The ECNI has also highlighted the value in the UK Government and the Executive Office centrally logging areas of regulatory divergence post Brexit relating</w:t>
      </w:r>
      <w:r>
        <w:rPr>
          <w:spacing w:val="-5"/>
          <w:sz w:val="28"/>
        </w:rPr>
        <w:t> </w:t>
      </w:r>
      <w:r>
        <w:rPr>
          <w:sz w:val="28"/>
        </w:rPr>
        <w:t>to</w:t>
      </w:r>
      <w:r>
        <w:rPr>
          <w:spacing w:val="-6"/>
          <w:sz w:val="28"/>
        </w:rPr>
        <w:t> </w:t>
      </w:r>
      <w:r>
        <w:rPr>
          <w:sz w:val="28"/>
        </w:rPr>
        <w:t>equality</w:t>
      </w:r>
      <w:r>
        <w:rPr>
          <w:spacing w:val="-5"/>
          <w:sz w:val="28"/>
        </w:rPr>
        <w:t> </w:t>
      </w:r>
      <w:r>
        <w:rPr>
          <w:sz w:val="28"/>
        </w:rPr>
        <w:t>and</w:t>
      </w:r>
      <w:r>
        <w:rPr>
          <w:spacing w:val="-6"/>
          <w:sz w:val="28"/>
        </w:rPr>
        <w:t> </w:t>
      </w:r>
      <w:r>
        <w:rPr>
          <w:sz w:val="28"/>
        </w:rPr>
        <w:t>human</w:t>
      </w:r>
      <w:r>
        <w:rPr>
          <w:spacing w:val="-6"/>
          <w:sz w:val="28"/>
        </w:rPr>
        <w:t> </w:t>
      </w:r>
      <w:r>
        <w:rPr>
          <w:sz w:val="28"/>
        </w:rPr>
        <w:t>rights</w:t>
      </w:r>
      <w:r>
        <w:rPr>
          <w:spacing w:val="-6"/>
          <w:sz w:val="28"/>
        </w:rPr>
        <w:t> </w:t>
      </w:r>
      <w:r>
        <w:rPr>
          <w:sz w:val="28"/>
        </w:rPr>
        <w:t>in</w:t>
      </w:r>
      <w:r>
        <w:rPr>
          <w:spacing w:val="-6"/>
          <w:sz w:val="28"/>
        </w:rPr>
        <w:t> </w:t>
      </w:r>
      <w:r>
        <w:rPr>
          <w:sz w:val="28"/>
        </w:rPr>
        <w:t>NI</w:t>
      </w:r>
      <w:r>
        <w:rPr>
          <w:spacing w:val="-5"/>
          <w:sz w:val="28"/>
        </w:rPr>
        <w:t> </w:t>
      </w:r>
      <w:r>
        <w:rPr>
          <w:sz w:val="28"/>
        </w:rPr>
        <w:t>and</w:t>
      </w:r>
      <w:r>
        <w:rPr>
          <w:spacing w:val="-6"/>
          <w:sz w:val="28"/>
        </w:rPr>
        <w:t> </w:t>
      </w:r>
      <w:r>
        <w:rPr>
          <w:sz w:val="28"/>
        </w:rPr>
        <w:t>making</w:t>
      </w:r>
      <w:r>
        <w:rPr>
          <w:spacing w:val="-5"/>
          <w:sz w:val="28"/>
        </w:rPr>
        <w:t> </w:t>
      </w:r>
      <w:r>
        <w:rPr>
          <w:sz w:val="28"/>
        </w:rPr>
        <w:t>this</w:t>
      </w:r>
      <w:r>
        <w:rPr>
          <w:spacing w:val="-6"/>
          <w:sz w:val="28"/>
        </w:rPr>
        <w:t> </w:t>
      </w:r>
      <w:r>
        <w:rPr>
          <w:sz w:val="28"/>
        </w:rPr>
        <w:t>information</w:t>
      </w:r>
      <w:r>
        <w:rPr>
          <w:spacing w:val="-6"/>
          <w:sz w:val="28"/>
        </w:rPr>
        <w:t> </w:t>
      </w:r>
      <w:r>
        <w:rPr>
          <w:sz w:val="28"/>
        </w:rPr>
        <w:t>public in an accessible and transparent way.</w:t>
      </w:r>
      <w:r>
        <w:rPr>
          <w:sz w:val="28"/>
          <w:vertAlign w:val="superscript"/>
        </w:rPr>
        <w:t>137</w:t>
      </w:r>
      <w:r>
        <w:rPr>
          <w:sz w:val="28"/>
          <w:vertAlign w:val="baseline"/>
        </w:rPr>
        <w:t> This should include in the context of divergence</w:t>
      </w:r>
      <w:r>
        <w:rPr>
          <w:spacing w:val="-4"/>
          <w:sz w:val="28"/>
          <w:vertAlign w:val="baseline"/>
        </w:rPr>
        <w:t> </w:t>
      </w:r>
      <w:r>
        <w:rPr>
          <w:sz w:val="28"/>
          <w:vertAlign w:val="baseline"/>
        </w:rPr>
        <w:t>of</w:t>
      </w:r>
      <w:r>
        <w:rPr>
          <w:spacing w:val="-5"/>
          <w:sz w:val="28"/>
          <w:vertAlign w:val="baseline"/>
        </w:rPr>
        <w:t> </w:t>
      </w:r>
      <w:r>
        <w:rPr>
          <w:sz w:val="28"/>
          <w:vertAlign w:val="baseline"/>
        </w:rPr>
        <w:t>rights</w:t>
      </w:r>
      <w:r>
        <w:rPr>
          <w:spacing w:val="-5"/>
          <w:sz w:val="28"/>
          <w:vertAlign w:val="baseline"/>
        </w:rPr>
        <w:t> </w:t>
      </w:r>
      <w:r>
        <w:rPr>
          <w:sz w:val="28"/>
          <w:vertAlign w:val="baseline"/>
        </w:rPr>
        <w:t>on</w:t>
      </w:r>
      <w:r>
        <w:rPr>
          <w:spacing w:val="-5"/>
          <w:sz w:val="28"/>
          <w:vertAlign w:val="baseline"/>
        </w:rPr>
        <w:t> </w:t>
      </w:r>
      <w:r>
        <w:rPr>
          <w:sz w:val="28"/>
          <w:vertAlign w:val="baseline"/>
        </w:rPr>
        <w:t>the</w:t>
      </w:r>
      <w:r>
        <w:rPr>
          <w:spacing w:val="-4"/>
          <w:sz w:val="28"/>
          <w:vertAlign w:val="baseline"/>
        </w:rPr>
        <w:t> </w:t>
      </w:r>
      <w:r>
        <w:rPr>
          <w:sz w:val="28"/>
          <w:vertAlign w:val="baseline"/>
        </w:rPr>
        <w:t>island</w:t>
      </w:r>
      <w:r>
        <w:rPr>
          <w:spacing w:val="-5"/>
          <w:sz w:val="28"/>
          <w:vertAlign w:val="baseline"/>
        </w:rPr>
        <w:t> </w:t>
      </w:r>
      <w:r>
        <w:rPr>
          <w:sz w:val="28"/>
          <w:vertAlign w:val="baseline"/>
        </w:rPr>
        <w:t>of</w:t>
      </w:r>
      <w:r>
        <w:rPr>
          <w:spacing w:val="-5"/>
          <w:sz w:val="28"/>
          <w:vertAlign w:val="baseline"/>
        </w:rPr>
        <w:t> </w:t>
      </w:r>
      <w:r>
        <w:rPr>
          <w:sz w:val="28"/>
          <w:vertAlign w:val="baseline"/>
        </w:rPr>
        <w:t>Ireland</w:t>
      </w:r>
      <w:r>
        <w:rPr>
          <w:spacing w:val="-5"/>
          <w:sz w:val="28"/>
          <w:vertAlign w:val="baseline"/>
        </w:rPr>
        <w:t> </w:t>
      </w:r>
      <w:r>
        <w:rPr>
          <w:sz w:val="28"/>
          <w:vertAlign w:val="baseline"/>
        </w:rPr>
        <w:t>and</w:t>
      </w:r>
      <w:r>
        <w:rPr>
          <w:spacing w:val="-5"/>
          <w:sz w:val="28"/>
          <w:vertAlign w:val="baseline"/>
        </w:rPr>
        <w:t> </w:t>
      </w:r>
      <w:r>
        <w:rPr>
          <w:sz w:val="28"/>
          <w:vertAlign w:val="baseline"/>
        </w:rPr>
        <w:t>divergence</w:t>
      </w:r>
      <w:r>
        <w:rPr>
          <w:spacing w:val="-4"/>
          <w:sz w:val="28"/>
          <w:vertAlign w:val="baseline"/>
        </w:rPr>
        <w:t> </w:t>
      </w:r>
      <w:r>
        <w:rPr>
          <w:sz w:val="28"/>
          <w:vertAlign w:val="baseline"/>
        </w:rPr>
        <w:t>of</w:t>
      </w:r>
      <w:r>
        <w:rPr>
          <w:spacing w:val="-5"/>
          <w:sz w:val="28"/>
          <w:vertAlign w:val="baseline"/>
        </w:rPr>
        <w:t> </w:t>
      </w:r>
      <w:r>
        <w:rPr>
          <w:sz w:val="28"/>
          <w:vertAlign w:val="baseline"/>
        </w:rPr>
        <w:t>rights</w:t>
      </w:r>
      <w:r>
        <w:rPr>
          <w:spacing w:val="-5"/>
          <w:sz w:val="28"/>
          <w:vertAlign w:val="baseline"/>
        </w:rPr>
        <w:t> </w:t>
      </w:r>
      <w:r>
        <w:rPr>
          <w:sz w:val="28"/>
          <w:vertAlign w:val="baseline"/>
        </w:rPr>
        <w:t>between NI and Great Britain.</w:t>
      </w:r>
    </w:p>
    <w:p>
      <w:pPr>
        <w:pStyle w:val="ListParagraph"/>
        <w:numPr>
          <w:ilvl w:val="1"/>
          <w:numId w:val="7"/>
        </w:numPr>
        <w:tabs>
          <w:tab w:pos="1853" w:val="left" w:leader="none"/>
        </w:tabs>
        <w:spacing w:line="225" w:lineRule="auto" w:before="312" w:after="0"/>
        <w:ind w:left="1853" w:right="1333" w:hanging="720"/>
        <w:jc w:val="left"/>
        <w:rPr>
          <w:sz w:val="28"/>
        </w:rPr>
      </w:pPr>
      <w:r>
        <w:rPr>
          <w:sz w:val="28"/>
        </w:rPr>
        <w:t>The Commissions continue to engage with the Executive Office to advise</w:t>
      </w:r>
      <w:r>
        <w:rPr>
          <w:sz w:val="28"/>
        </w:rPr>
        <w:t> that monitoring should include those EU laws or proposed EU laws that are relevant</w:t>
      </w:r>
      <w:r>
        <w:rPr>
          <w:spacing w:val="-5"/>
          <w:sz w:val="28"/>
        </w:rPr>
        <w:t> </w:t>
      </w:r>
      <w:r>
        <w:rPr>
          <w:sz w:val="28"/>
        </w:rPr>
        <w:t>to</w:t>
      </w:r>
      <w:r>
        <w:rPr>
          <w:spacing w:val="-6"/>
          <w:sz w:val="28"/>
        </w:rPr>
        <w:t> </w:t>
      </w:r>
      <w:r>
        <w:rPr>
          <w:sz w:val="28"/>
        </w:rPr>
        <w:t>equality</w:t>
      </w:r>
      <w:r>
        <w:rPr>
          <w:spacing w:val="-5"/>
          <w:sz w:val="28"/>
        </w:rPr>
        <w:t> </w:t>
      </w:r>
      <w:r>
        <w:rPr>
          <w:sz w:val="28"/>
        </w:rPr>
        <w:t>and</w:t>
      </w:r>
      <w:r>
        <w:rPr>
          <w:spacing w:val="-6"/>
          <w:sz w:val="28"/>
        </w:rPr>
        <w:t> </w:t>
      </w:r>
      <w:r>
        <w:rPr>
          <w:sz w:val="28"/>
        </w:rPr>
        <w:t>human</w:t>
      </w:r>
      <w:r>
        <w:rPr>
          <w:spacing w:val="-6"/>
          <w:sz w:val="28"/>
        </w:rPr>
        <w:t> </w:t>
      </w:r>
      <w:r>
        <w:rPr>
          <w:sz w:val="28"/>
        </w:rPr>
        <w:t>rights</w:t>
      </w:r>
      <w:r>
        <w:rPr>
          <w:spacing w:val="-6"/>
          <w:sz w:val="28"/>
        </w:rPr>
        <w:t> </w:t>
      </w:r>
      <w:r>
        <w:rPr>
          <w:sz w:val="28"/>
        </w:rPr>
        <w:t>but</w:t>
      </w:r>
      <w:r>
        <w:rPr>
          <w:spacing w:val="-5"/>
          <w:sz w:val="28"/>
        </w:rPr>
        <w:t> </w:t>
      </w:r>
      <w:r>
        <w:rPr>
          <w:sz w:val="28"/>
        </w:rPr>
        <w:t>do</w:t>
      </w:r>
      <w:r>
        <w:rPr>
          <w:spacing w:val="-6"/>
          <w:sz w:val="28"/>
        </w:rPr>
        <w:t> </w:t>
      </w:r>
      <w:r>
        <w:rPr>
          <w:sz w:val="28"/>
        </w:rPr>
        <w:t>not</w:t>
      </w:r>
      <w:r>
        <w:rPr>
          <w:spacing w:val="-5"/>
          <w:sz w:val="28"/>
        </w:rPr>
        <w:t> </w:t>
      </w:r>
      <w:r>
        <w:rPr>
          <w:sz w:val="28"/>
        </w:rPr>
        <w:t>fall</w:t>
      </w:r>
      <w:r>
        <w:rPr>
          <w:spacing w:val="-6"/>
          <w:sz w:val="28"/>
        </w:rPr>
        <w:t> </w:t>
      </w:r>
      <w:r>
        <w:rPr>
          <w:sz w:val="28"/>
        </w:rPr>
        <w:t>within</w:t>
      </w:r>
      <w:r>
        <w:rPr>
          <w:spacing w:val="-6"/>
          <w:sz w:val="28"/>
        </w:rPr>
        <w:t> </w:t>
      </w:r>
      <w:r>
        <w:rPr>
          <w:sz w:val="28"/>
        </w:rPr>
        <w:t>the</w:t>
      </w:r>
      <w:r>
        <w:rPr>
          <w:spacing w:val="-5"/>
          <w:sz w:val="28"/>
        </w:rPr>
        <w:t> </w:t>
      </w:r>
      <w:r>
        <w:rPr>
          <w:sz w:val="28"/>
        </w:rPr>
        <w:t>keeping</w:t>
      </w:r>
      <w:r>
        <w:rPr>
          <w:spacing w:val="-5"/>
          <w:sz w:val="28"/>
        </w:rPr>
        <w:t> </w:t>
      </w:r>
      <w:r>
        <w:rPr>
          <w:sz w:val="28"/>
        </w:rPr>
        <w:t>pace</w:t>
      </w:r>
    </w:p>
    <w:p>
      <w:pPr>
        <w:pStyle w:val="BodyText"/>
        <w:spacing w:line="225" w:lineRule="auto"/>
        <w:ind w:left="1853" w:right="1124"/>
      </w:pPr>
      <w:r>
        <w:rPr/>
        <w:t>commitment</w:t>
      </w:r>
      <w:r>
        <w:rPr>
          <w:spacing w:val="-6"/>
        </w:rPr>
        <w:t> </w:t>
      </w:r>
      <w:r>
        <w:rPr/>
        <w:t>relevant</w:t>
      </w:r>
      <w:r>
        <w:rPr>
          <w:spacing w:val="-6"/>
        </w:rPr>
        <w:t> </w:t>
      </w:r>
      <w:r>
        <w:rPr/>
        <w:t>to</w:t>
      </w:r>
      <w:r>
        <w:rPr>
          <w:spacing w:val="-7"/>
        </w:rPr>
        <w:t> </w:t>
      </w:r>
      <w:r>
        <w:rPr/>
        <w:t>the</w:t>
      </w:r>
      <w:r>
        <w:rPr>
          <w:spacing w:val="-6"/>
        </w:rPr>
        <w:t> </w:t>
      </w:r>
      <w:r>
        <w:rPr/>
        <w:t>Annex</w:t>
      </w:r>
      <w:r>
        <w:rPr>
          <w:spacing w:val="-7"/>
        </w:rPr>
        <w:t> </w:t>
      </w:r>
      <w:r>
        <w:rPr/>
        <w:t>1</w:t>
      </w:r>
      <w:r>
        <w:rPr>
          <w:spacing w:val="-6"/>
        </w:rPr>
        <w:t> </w:t>
      </w:r>
      <w:r>
        <w:rPr/>
        <w:t>directives,</w:t>
      </w:r>
      <w:r>
        <w:rPr>
          <w:spacing w:val="-6"/>
        </w:rPr>
        <w:t> </w:t>
      </w:r>
      <w:r>
        <w:rPr/>
        <w:t>in</w:t>
      </w:r>
      <w:r>
        <w:rPr>
          <w:spacing w:val="-7"/>
        </w:rPr>
        <w:t> </w:t>
      </w:r>
      <w:r>
        <w:rPr/>
        <w:t>addition</w:t>
      </w:r>
      <w:r>
        <w:rPr>
          <w:spacing w:val="-7"/>
        </w:rPr>
        <w:t> </w:t>
      </w:r>
      <w:r>
        <w:rPr/>
        <w:t>to</w:t>
      </w:r>
      <w:r>
        <w:rPr>
          <w:spacing w:val="-7"/>
        </w:rPr>
        <w:t> </w:t>
      </w:r>
      <w:r>
        <w:rPr/>
        <w:t>EU</w:t>
      </w:r>
      <w:r>
        <w:rPr>
          <w:spacing w:val="-6"/>
        </w:rPr>
        <w:t> </w:t>
      </w:r>
      <w:r>
        <w:rPr/>
        <w:t>law</w:t>
      </w:r>
      <w:r>
        <w:rPr>
          <w:spacing w:val="-6"/>
        </w:rPr>
        <w:t> </w:t>
      </w:r>
      <w:r>
        <w:rPr/>
        <w:t>and</w:t>
      </w:r>
      <w:r>
        <w:rPr>
          <w:spacing w:val="-7"/>
        </w:rPr>
        <w:t> </w:t>
      </w:r>
      <w:r>
        <w:rPr/>
        <w:t>case law of the CJEU relevant to the ‘keeping pace’ commitment. This would assist</w:t>
      </w:r>
    </w:p>
    <w:p>
      <w:pPr>
        <w:pStyle w:val="BodyText"/>
        <w:spacing w:before="8"/>
        <w:rPr>
          <w:sz w:val="18"/>
        </w:rPr>
      </w:pPr>
      <w:r>
        <w:rPr/>
        <mc:AlternateContent>
          <mc:Choice Requires="wps">
            <w:drawing>
              <wp:anchor distT="0" distB="0" distL="0" distR="0" allowOverlap="1" layoutInCell="1" locked="0" behindDoc="1" simplePos="0" relativeHeight="487641088">
                <wp:simplePos x="0" y="0"/>
                <wp:positionH relativeFrom="page">
                  <wp:posOffset>719996</wp:posOffset>
                </wp:positionH>
                <wp:positionV relativeFrom="paragraph">
                  <wp:posOffset>160356</wp:posOffset>
                </wp:positionV>
                <wp:extent cx="6120130" cy="1270"/>
                <wp:effectExtent l="0" t="0" r="0" b="0"/>
                <wp:wrapTopAndBottom/>
                <wp:docPr id="179" name="Graphic 179"/>
                <wp:cNvGraphicFramePr>
                  <a:graphicFrameLocks/>
                </wp:cNvGraphicFramePr>
                <a:graphic>
                  <a:graphicData uri="http://schemas.microsoft.com/office/word/2010/wordprocessingShape">
                    <wps:wsp>
                      <wps:cNvPr id="179" name="Graphic 179"/>
                      <wps:cNvSpPr/>
                      <wps:spPr>
                        <a:xfrm>
                          <a:off x="0" y="0"/>
                          <a:ext cx="6120130" cy="1270"/>
                        </a:xfrm>
                        <a:custGeom>
                          <a:avLst/>
                          <a:gdLst/>
                          <a:ahLst/>
                          <a:cxnLst/>
                          <a:rect l="l" t="t" r="r" b="b"/>
                          <a:pathLst>
                            <a:path w="6120130" h="0">
                              <a:moveTo>
                                <a:pt x="6120003" y="0"/>
                              </a:moveTo>
                              <a:lnTo>
                                <a:pt x="0"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2.626522pt;width:481.9pt;height:.1pt;mso-position-horizontal-relative:page;mso-position-vertical-relative:paragraph;z-index:-15675392;mso-wrap-distance-left:0;mso-wrap-distance-right:0" id="docshape136" coordorigin="1134,253" coordsize="9638,0" path="m10772,253l1134,253e" filled="false" stroked="true" strokeweight="1pt" strokecolor="#393b7f">
                <v:path arrowok="t"/>
                <v:stroke dashstyle="solid"/>
                <w10:wrap type="topAndBottom"/>
              </v:shape>
            </w:pict>
          </mc:Fallback>
        </mc:AlternateContent>
      </w:r>
    </w:p>
    <w:p>
      <w:pPr>
        <w:pStyle w:val="ListParagraph"/>
        <w:numPr>
          <w:ilvl w:val="0"/>
          <w:numId w:val="3"/>
        </w:numPr>
        <w:tabs>
          <w:tab w:pos="1853" w:val="left" w:leader="none"/>
        </w:tabs>
        <w:spacing w:line="235" w:lineRule="auto" w:before="117" w:after="0"/>
        <w:ind w:left="1853" w:right="1412" w:hanging="720"/>
        <w:jc w:val="both"/>
        <w:rPr>
          <w:sz w:val="18"/>
        </w:rPr>
      </w:pPr>
      <w:r>
        <w:rPr>
          <w:sz w:val="18"/>
        </w:rPr>
        <w:t>Sarah</w:t>
      </w:r>
      <w:r>
        <w:rPr>
          <w:spacing w:val="-7"/>
          <w:sz w:val="18"/>
        </w:rPr>
        <w:t> </w:t>
      </w:r>
      <w:r>
        <w:rPr>
          <w:sz w:val="18"/>
        </w:rPr>
        <w:t>Craig,</w:t>
      </w:r>
      <w:r>
        <w:rPr>
          <w:spacing w:val="-6"/>
          <w:sz w:val="18"/>
        </w:rPr>
        <w:t> </w:t>
      </w:r>
      <w:r>
        <w:rPr>
          <w:sz w:val="18"/>
        </w:rPr>
        <w:t>Anurag</w:t>
      </w:r>
      <w:r>
        <w:rPr>
          <w:spacing w:val="-6"/>
          <w:sz w:val="18"/>
        </w:rPr>
        <w:t> </w:t>
      </w:r>
      <w:r>
        <w:rPr>
          <w:sz w:val="18"/>
        </w:rPr>
        <w:t>Deb,</w:t>
      </w:r>
      <w:r>
        <w:rPr>
          <w:spacing w:val="-6"/>
          <w:sz w:val="18"/>
        </w:rPr>
        <w:t> </w:t>
      </w:r>
      <w:r>
        <w:rPr>
          <w:sz w:val="18"/>
        </w:rPr>
        <w:t>Eleni</w:t>
      </w:r>
      <w:r>
        <w:rPr>
          <w:spacing w:val="-7"/>
          <w:sz w:val="18"/>
        </w:rPr>
        <w:t> </w:t>
      </w:r>
      <w:r>
        <w:rPr>
          <w:sz w:val="18"/>
        </w:rPr>
        <w:t>Frantziou,</w:t>
      </w:r>
      <w:r>
        <w:rPr>
          <w:spacing w:val="-6"/>
          <w:sz w:val="18"/>
        </w:rPr>
        <w:t> </w:t>
      </w:r>
      <w:r>
        <w:rPr>
          <w:sz w:val="18"/>
        </w:rPr>
        <w:t>Alexander</w:t>
      </w:r>
      <w:r>
        <w:rPr>
          <w:spacing w:val="-6"/>
          <w:sz w:val="18"/>
        </w:rPr>
        <w:t> </w:t>
      </w:r>
      <w:r>
        <w:rPr>
          <w:sz w:val="18"/>
        </w:rPr>
        <w:t>Horne,</w:t>
      </w:r>
      <w:r>
        <w:rPr>
          <w:spacing w:val="-6"/>
          <w:sz w:val="18"/>
        </w:rPr>
        <w:t> </w:t>
      </w:r>
      <w:r>
        <w:rPr>
          <w:sz w:val="18"/>
        </w:rPr>
        <w:t>Colin</w:t>
      </w:r>
      <w:r>
        <w:rPr>
          <w:spacing w:val="-7"/>
          <w:sz w:val="18"/>
        </w:rPr>
        <w:t> </w:t>
      </w:r>
      <w:r>
        <w:rPr>
          <w:sz w:val="18"/>
        </w:rPr>
        <w:t>Murray,</w:t>
      </w:r>
      <w:r>
        <w:rPr>
          <w:spacing w:val="-6"/>
          <w:sz w:val="18"/>
        </w:rPr>
        <w:t> </w:t>
      </w:r>
      <w:r>
        <w:rPr>
          <w:sz w:val="18"/>
        </w:rPr>
        <w:t>Clare</w:t>
      </w:r>
      <w:r>
        <w:rPr>
          <w:spacing w:val="-6"/>
          <w:sz w:val="18"/>
        </w:rPr>
        <w:t> </w:t>
      </w:r>
      <w:r>
        <w:rPr>
          <w:sz w:val="18"/>
        </w:rPr>
        <w:t>Rice</w:t>
      </w:r>
      <w:r>
        <w:rPr>
          <w:spacing w:val="-6"/>
          <w:sz w:val="18"/>
        </w:rPr>
        <w:t> </w:t>
      </w:r>
      <w:r>
        <w:rPr>
          <w:sz w:val="18"/>
        </w:rPr>
        <w:t>and</w:t>
      </w:r>
      <w:r>
        <w:rPr>
          <w:spacing w:val="-7"/>
          <w:sz w:val="18"/>
        </w:rPr>
        <w:t> </w:t>
      </w:r>
      <w:r>
        <w:rPr>
          <w:sz w:val="18"/>
        </w:rPr>
        <w:t>Jane</w:t>
      </w:r>
      <w:r>
        <w:rPr>
          <w:spacing w:val="-6"/>
          <w:sz w:val="18"/>
        </w:rPr>
        <w:t> </w:t>
      </w:r>
      <w:r>
        <w:rPr>
          <w:sz w:val="18"/>
        </w:rPr>
        <w:t>Rooney,</w:t>
      </w:r>
      <w:r>
        <w:rPr>
          <w:spacing w:val="-6"/>
          <w:sz w:val="18"/>
        </w:rPr>
        <w:t> </w:t>
      </w:r>
      <w:r>
        <w:rPr>
          <w:sz w:val="18"/>
        </w:rPr>
        <w:t>‘</w:t>
      </w:r>
      <w:hyperlink r:id="rId82">
        <w:r>
          <w:rPr>
            <w:sz w:val="18"/>
          </w:rPr>
          <w:t>European</w:t>
        </w:r>
        <w:r>
          <w:rPr>
            <w:spacing w:val="-7"/>
            <w:sz w:val="18"/>
          </w:rPr>
          <w:t> </w:t>
        </w:r>
        <w:r>
          <w:rPr>
            <w:sz w:val="18"/>
          </w:rPr>
          <w:t>Union</w:t>
        </w:r>
      </w:hyperlink>
      <w:r>
        <w:rPr>
          <w:sz w:val="18"/>
        </w:rPr>
        <w:t> </w:t>
      </w:r>
      <w:hyperlink r:id="rId82">
        <w:r>
          <w:rPr>
            <w:sz w:val="18"/>
          </w:rPr>
          <w:t>developments</w:t>
        </w:r>
        <w:r>
          <w:rPr>
            <w:spacing w:val="-2"/>
            <w:sz w:val="18"/>
          </w:rPr>
          <w:t> </w:t>
        </w:r>
        <w:r>
          <w:rPr>
            <w:sz w:val="18"/>
          </w:rPr>
          <w:t>in</w:t>
        </w:r>
        <w:r>
          <w:rPr>
            <w:spacing w:val="-2"/>
            <w:sz w:val="18"/>
          </w:rPr>
          <w:t> </w:t>
        </w:r>
        <w:r>
          <w:rPr>
            <w:sz w:val="18"/>
          </w:rPr>
          <w:t>Equality</w:t>
        </w:r>
        <w:r>
          <w:rPr>
            <w:spacing w:val="-1"/>
            <w:sz w:val="18"/>
          </w:rPr>
          <w:t> </w:t>
        </w:r>
        <w:r>
          <w:rPr>
            <w:sz w:val="18"/>
          </w:rPr>
          <w:t>and</w:t>
        </w:r>
        <w:r>
          <w:rPr>
            <w:spacing w:val="-2"/>
            <w:sz w:val="18"/>
          </w:rPr>
          <w:t> </w:t>
        </w:r>
        <w:r>
          <w:rPr>
            <w:sz w:val="18"/>
          </w:rPr>
          <w:t>Human</w:t>
        </w:r>
        <w:r>
          <w:rPr>
            <w:spacing w:val="-2"/>
            <w:sz w:val="18"/>
          </w:rPr>
          <w:t> </w:t>
        </w:r>
        <w:r>
          <w:rPr>
            <w:sz w:val="18"/>
          </w:rPr>
          <w:t>Rights:</w:t>
        </w:r>
        <w:r>
          <w:rPr>
            <w:spacing w:val="-1"/>
            <w:sz w:val="18"/>
          </w:rPr>
          <w:t> </w:t>
        </w:r>
        <w:r>
          <w:rPr>
            <w:sz w:val="18"/>
          </w:rPr>
          <w:t>The</w:t>
        </w:r>
        <w:r>
          <w:rPr>
            <w:spacing w:val="-1"/>
            <w:sz w:val="18"/>
          </w:rPr>
          <w:t> </w:t>
        </w:r>
        <w:r>
          <w:rPr>
            <w:sz w:val="18"/>
          </w:rPr>
          <w:t>Impact</w:t>
        </w:r>
        <w:r>
          <w:rPr>
            <w:spacing w:val="-1"/>
            <w:sz w:val="18"/>
          </w:rPr>
          <w:t> </w:t>
        </w:r>
        <w:r>
          <w:rPr>
            <w:sz w:val="18"/>
          </w:rPr>
          <w:t>of</w:t>
        </w:r>
        <w:r>
          <w:rPr>
            <w:spacing w:val="-2"/>
            <w:sz w:val="18"/>
          </w:rPr>
          <w:t> </w:t>
        </w:r>
        <w:r>
          <w:rPr>
            <w:sz w:val="18"/>
          </w:rPr>
          <w:t>Brexit</w:t>
        </w:r>
        <w:r>
          <w:rPr>
            <w:spacing w:val="-1"/>
            <w:sz w:val="18"/>
          </w:rPr>
          <w:t> </w:t>
        </w:r>
        <w:r>
          <w:rPr>
            <w:sz w:val="18"/>
          </w:rPr>
          <w:t>on</w:t>
        </w:r>
        <w:r>
          <w:rPr>
            <w:spacing w:val="-2"/>
            <w:sz w:val="18"/>
          </w:rPr>
          <w:t> </w:t>
        </w:r>
        <w:r>
          <w:rPr>
            <w:sz w:val="18"/>
          </w:rPr>
          <w:t>the</w:t>
        </w:r>
        <w:r>
          <w:rPr>
            <w:spacing w:val="-1"/>
            <w:sz w:val="18"/>
          </w:rPr>
          <w:t> </w:t>
        </w:r>
        <w:r>
          <w:rPr>
            <w:sz w:val="18"/>
          </w:rPr>
          <w:t>divergence</w:t>
        </w:r>
        <w:r>
          <w:rPr>
            <w:spacing w:val="-1"/>
            <w:sz w:val="18"/>
          </w:rPr>
          <w:t> </w:t>
        </w:r>
        <w:r>
          <w:rPr>
            <w:sz w:val="18"/>
          </w:rPr>
          <w:t>of</w:t>
        </w:r>
        <w:r>
          <w:rPr>
            <w:spacing w:val="-2"/>
            <w:sz w:val="18"/>
          </w:rPr>
          <w:t> </w:t>
        </w:r>
        <w:r>
          <w:rPr>
            <w:sz w:val="18"/>
          </w:rPr>
          <w:t>rights</w:t>
        </w:r>
        <w:r>
          <w:rPr>
            <w:spacing w:val="-2"/>
            <w:sz w:val="18"/>
          </w:rPr>
          <w:t> </w:t>
        </w:r>
        <w:r>
          <w:rPr>
            <w:sz w:val="18"/>
          </w:rPr>
          <w:t>and</w:t>
        </w:r>
        <w:r>
          <w:rPr>
            <w:spacing w:val="-2"/>
            <w:sz w:val="18"/>
          </w:rPr>
          <w:t> </w:t>
        </w:r>
        <w:r>
          <w:rPr>
            <w:sz w:val="18"/>
          </w:rPr>
          <w:t>best</w:t>
        </w:r>
        <w:r>
          <w:rPr>
            <w:spacing w:val="-1"/>
            <w:sz w:val="18"/>
          </w:rPr>
          <w:t> </w:t>
        </w:r>
        <w:r>
          <w:rPr>
            <w:sz w:val="18"/>
          </w:rPr>
          <w:t>practice</w:t>
        </w:r>
        <w:r>
          <w:rPr>
            <w:spacing w:val="-1"/>
            <w:sz w:val="18"/>
          </w:rPr>
          <w:t> </w:t>
        </w:r>
        <w:r>
          <w:rPr>
            <w:sz w:val="18"/>
          </w:rPr>
          <w:t>on</w:t>
        </w:r>
        <w:r>
          <w:rPr>
            <w:spacing w:val="-2"/>
            <w:sz w:val="18"/>
          </w:rPr>
          <w:t> </w:t>
        </w:r>
        <w:r>
          <w:rPr>
            <w:sz w:val="18"/>
          </w:rPr>
          <w:t>the</w:t>
        </w:r>
      </w:hyperlink>
      <w:r>
        <w:rPr>
          <w:sz w:val="18"/>
        </w:rPr>
        <w:t> </w:t>
      </w:r>
      <w:hyperlink r:id="rId82">
        <w:r>
          <w:rPr>
            <w:sz w:val="18"/>
          </w:rPr>
          <w:t>island of Ireland</w:t>
        </w:r>
      </w:hyperlink>
      <w:r>
        <w:rPr>
          <w:sz w:val="18"/>
        </w:rPr>
        <w:t>’ (ECNI, NIHRC and IHREC, 2022).</w:t>
      </w:r>
    </w:p>
    <w:p>
      <w:pPr>
        <w:pStyle w:val="ListParagraph"/>
        <w:numPr>
          <w:ilvl w:val="0"/>
          <w:numId w:val="3"/>
        </w:numPr>
        <w:tabs>
          <w:tab w:pos="1853" w:val="left" w:leader="none"/>
        </w:tabs>
        <w:spacing w:line="235" w:lineRule="auto" w:before="2" w:after="0"/>
        <w:ind w:left="1853" w:right="1233" w:hanging="720"/>
        <w:jc w:val="left"/>
        <w:rPr>
          <w:sz w:val="18"/>
        </w:rPr>
      </w:pPr>
      <w:r>
        <w:rPr>
          <w:sz w:val="18"/>
        </w:rPr>
        <w:t>Equality Commission for NI, NI Human Rights Commission and Irish Human Rights and Equality Commission, ‘</w:t>
      </w:r>
      <w:hyperlink r:id="rId76">
        <w:r>
          <w:rPr>
            <w:sz w:val="18"/>
          </w:rPr>
          <w:t>Policy</w:t>
        </w:r>
      </w:hyperlink>
      <w:r>
        <w:rPr>
          <w:sz w:val="18"/>
        </w:rPr>
        <w:t> </w:t>
      </w:r>
      <w:hyperlink r:id="rId76">
        <w:r>
          <w:rPr>
            <w:sz w:val="18"/>
          </w:rPr>
          <w:t>Recommendations:</w:t>
        </w:r>
        <w:r>
          <w:rPr>
            <w:spacing w:val="-4"/>
            <w:sz w:val="18"/>
          </w:rPr>
          <w:t> </w:t>
        </w:r>
        <w:r>
          <w:rPr>
            <w:sz w:val="18"/>
          </w:rPr>
          <w:t>European</w:t>
        </w:r>
        <w:r>
          <w:rPr>
            <w:spacing w:val="-5"/>
            <w:sz w:val="18"/>
          </w:rPr>
          <w:t> </w:t>
        </w:r>
        <w:r>
          <w:rPr>
            <w:sz w:val="18"/>
          </w:rPr>
          <w:t>Union</w:t>
        </w:r>
        <w:r>
          <w:rPr>
            <w:spacing w:val="-5"/>
            <w:sz w:val="18"/>
          </w:rPr>
          <w:t> </w:t>
        </w:r>
        <w:r>
          <w:rPr>
            <w:sz w:val="18"/>
          </w:rPr>
          <w:t>developments</w:t>
        </w:r>
        <w:r>
          <w:rPr>
            <w:spacing w:val="-5"/>
            <w:sz w:val="18"/>
          </w:rPr>
          <w:t> </w:t>
        </w:r>
        <w:r>
          <w:rPr>
            <w:sz w:val="18"/>
          </w:rPr>
          <w:t>in</w:t>
        </w:r>
        <w:r>
          <w:rPr>
            <w:spacing w:val="-5"/>
            <w:sz w:val="18"/>
          </w:rPr>
          <w:t> </w:t>
        </w:r>
        <w:r>
          <w:rPr>
            <w:sz w:val="18"/>
          </w:rPr>
          <w:t>Equality</w:t>
        </w:r>
        <w:r>
          <w:rPr>
            <w:spacing w:val="-4"/>
            <w:sz w:val="18"/>
          </w:rPr>
          <w:t> </w:t>
        </w:r>
        <w:r>
          <w:rPr>
            <w:sz w:val="18"/>
          </w:rPr>
          <w:t>and</w:t>
        </w:r>
        <w:r>
          <w:rPr>
            <w:spacing w:val="-5"/>
            <w:sz w:val="18"/>
          </w:rPr>
          <w:t> </w:t>
        </w:r>
        <w:r>
          <w:rPr>
            <w:sz w:val="18"/>
          </w:rPr>
          <w:t>Human</w:t>
        </w:r>
        <w:r>
          <w:rPr>
            <w:spacing w:val="-5"/>
            <w:sz w:val="18"/>
          </w:rPr>
          <w:t> </w:t>
        </w:r>
        <w:r>
          <w:rPr>
            <w:sz w:val="18"/>
          </w:rPr>
          <w:t>Rights: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the</w:t>
        </w:r>
        <w:r>
          <w:rPr>
            <w:spacing w:val="-4"/>
            <w:sz w:val="18"/>
          </w:rPr>
          <w:t> </w:t>
        </w:r>
        <w:r>
          <w:rPr>
            <w:sz w:val="18"/>
          </w:rPr>
          <w:t>divergence</w:t>
        </w:r>
      </w:hyperlink>
      <w:r>
        <w:rPr>
          <w:sz w:val="18"/>
        </w:rPr>
        <w:t> </w:t>
      </w:r>
      <w:hyperlink r:id="rId76">
        <w:r>
          <w:rPr>
            <w:sz w:val="18"/>
          </w:rPr>
          <w:t>of rights and best practice on the island of Ireland</w:t>
        </w:r>
      </w:hyperlink>
      <w:r>
        <w:rPr>
          <w:sz w:val="18"/>
        </w:rPr>
        <w:t>’ (ECNI, NIHRC and IHREC, 2023), at 37-41 and 58-61.</w:t>
      </w:r>
    </w:p>
    <w:p>
      <w:pPr>
        <w:pStyle w:val="ListParagraph"/>
        <w:numPr>
          <w:ilvl w:val="0"/>
          <w:numId w:val="3"/>
        </w:numPr>
        <w:tabs>
          <w:tab w:pos="1853" w:val="left" w:leader="none"/>
        </w:tabs>
        <w:spacing w:line="235" w:lineRule="auto" w:before="2" w:after="0"/>
        <w:ind w:left="1853" w:right="1251" w:hanging="720"/>
        <w:jc w:val="left"/>
        <w:rPr>
          <w:sz w:val="18"/>
        </w:rPr>
      </w:pPr>
      <w:r>
        <w:rPr>
          <w:sz w:val="18"/>
        </w:rPr>
        <w:t>Article</w:t>
      </w:r>
      <w:r>
        <w:rPr>
          <w:spacing w:val="-3"/>
          <w:sz w:val="18"/>
        </w:rPr>
        <w:t> </w:t>
      </w:r>
      <w:r>
        <w:rPr>
          <w:sz w:val="18"/>
        </w:rPr>
        <w:t>13(2),</w:t>
      </w:r>
      <w:r>
        <w:rPr>
          <w:spacing w:val="-3"/>
          <w:sz w:val="18"/>
        </w:rPr>
        <w:t> </w:t>
      </w:r>
      <w:r>
        <w:rPr>
          <w:sz w:val="18"/>
        </w:rPr>
        <w:t>Windsor</w:t>
      </w:r>
      <w:r>
        <w:rPr>
          <w:spacing w:val="-3"/>
          <w:sz w:val="18"/>
        </w:rPr>
        <w:t> </w:t>
      </w:r>
      <w:r>
        <w:rPr>
          <w:sz w:val="18"/>
        </w:rPr>
        <w:t>Framework.</w:t>
      </w:r>
      <w:r>
        <w:rPr>
          <w:spacing w:val="-4"/>
          <w:sz w:val="18"/>
        </w:rPr>
        <w:t> </w:t>
      </w:r>
      <w:r>
        <w:rPr>
          <w:sz w:val="18"/>
        </w:rPr>
        <w:t>See</w:t>
      </w:r>
      <w:r>
        <w:rPr>
          <w:spacing w:val="-3"/>
          <w:sz w:val="18"/>
        </w:rPr>
        <w:t> </w:t>
      </w:r>
      <w:r>
        <w:rPr>
          <w:sz w:val="18"/>
        </w:rPr>
        <w:t>Equality</w:t>
      </w:r>
      <w:r>
        <w:rPr>
          <w:spacing w:val="-3"/>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and</w:t>
      </w:r>
      <w:r>
        <w:rPr>
          <w:spacing w:val="-4"/>
          <w:sz w:val="18"/>
        </w:rPr>
        <w:t> </w:t>
      </w:r>
      <w:r>
        <w:rPr>
          <w:sz w:val="18"/>
        </w:rPr>
        <w:t>Irish</w:t>
      </w:r>
      <w:r>
        <w:rPr>
          <w:spacing w:val="-4"/>
          <w:sz w:val="18"/>
        </w:rPr>
        <w:t> </w:t>
      </w:r>
      <w:r>
        <w:rPr>
          <w:sz w:val="18"/>
        </w:rPr>
        <w:t>Human</w:t>
      </w:r>
      <w:r>
        <w:rPr>
          <w:spacing w:val="-4"/>
          <w:sz w:val="18"/>
        </w:rPr>
        <w:t> </w:t>
      </w:r>
      <w:r>
        <w:rPr>
          <w:sz w:val="18"/>
        </w:rPr>
        <w:t>Rights and Equality Commission, ‘</w:t>
      </w:r>
      <w:hyperlink r:id="rId76">
        <w:r>
          <w:rPr>
            <w:sz w:val="18"/>
          </w:rPr>
          <w:t>Policy Recommendations: European Union developments in Equality and Human Rights: The</w:t>
        </w:r>
      </w:hyperlink>
      <w:r>
        <w:rPr>
          <w:sz w:val="18"/>
        </w:rPr>
        <w:t> </w:t>
      </w:r>
      <w:hyperlink r:id="rId76">
        <w:r>
          <w:rPr>
            <w:sz w:val="18"/>
          </w:rPr>
          <w:t>Impact of Brexit on the divergence of rights and best practice on the island of Ireland</w:t>
        </w:r>
      </w:hyperlink>
      <w:r>
        <w:rPr>
          <w:sz w:val="18"/>
        </w:rPr>
        <w:t>’ (ECNI, NIHRC and IHREC, 2023).</w:t>
      </w:r>
    </w:p>
    <w:p>
      <w:pPr>
        <w:pStyle w:val="ListParagraph"/>
        <w:numPr>
          <w:ilvl w:val="0"/>
          <w:numId w:val="3"/>
        </w:numPr>
        <w:tabs>
          <w:tab w:pos="1853" w:val="left" w:leader="none"/>
        </w:tabs>
        <w:spacing w:line="235" w:lineRule="auto" w:before="2" w:after="0"/>
        <w:ind w:left="1853" w:right="1651" w:hanging="720"/>
        <w:jc w:val="left"/>
        <w:rPr>
          <w:sz w:val="18"/>
        </w:rPr>
      </w:pP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5"/>
          <w:sz w:val="18"/>
        </w:rPr>
        <w:t> </w:t>
      </w:r>
      <w:r>
        <w:rPr>
          <w:sz w:val="18"/>
        </w:rPr>
        <w:t>‘Submission</w:t>
      </w:r>
      <w:r>
        <w:rPr>
          <w:spacing w:val="-5"/>
          <w:sz w:val="18"/>
        </w:rPr>
        <w:t> </w:t>
      </w:r>
      <w:r>
        <w:rPr>
          <w:sz w:val="18"/>
        </w:rPr>
        <w:t>to</w:t>
      </w:r>
      <w:r>
        <w:rPr>
          <w:spacing w:val="-5"/>
          <w:sz w:val="18"/>
        </w:rPr>
        <w:t> </w:t>
      </w:r>
      <w:r>
        <w:rPr>
          <w:sz w:val="18"/>
        </w:rPr>
        <w:t>the</w:t>
      </w:r>
      <w:r>
        <w:rPr>
          <w:spacing w:val="-4"/>
          <w:sz w:val="18"/>
        </w:rPr>
        <w:t> </w:t>
      </w:r>
      <w:r>
        <w:rPr>
          <w:sz w:val="18"/>
        </w:rPr>
        <w:t>House</w:t>
      </w:r>
      <w:r>
        <w:rPr>
          <w:spacing w:val="-5"/>
          <w:sz w:val="18"/>
        </w:rPr>
        <w:t> </w:t>
      </w:r>
      <w:r>
        <w:rPr>
          <w:sz w:val="18"/>
        </w:rPr>
        <w:t>of</w:t>
      </w:r>
      <w:r>
        <w:rPr>
          <w:spacing w:val="-5"/>
          <w:sz w:val="18"/>
        </w:rPr>
        <w:t> </w:t>
      </w:r>
      <w:r>
        <w:rPr>
          <w:sz w:val="18"/>
        </w:rPr>
        <w:t>Lords</w:t>
      </w:r>
      <w:r>
        <w:rPr>
          <w:spacing w:val="-5"/>
          <w:sz w:val="18"/>
        </w:rPr>
        <w:t> </w:t>
      </w:r>
      <w:r>
        <w:rPr>
          <w:sz w:val="18"/>
        </w:rPr>
        <w:t>Sub-Committee</w:t>
      </w:r>
      <w:r>
        <w:rPr>
          <w:spacing w:val="-4"/>
          <w:sz w:val="18"/>
        </w:rPr>
        <w:t> </w:t>
      </w:r>
      <w:r>
        <w:rPr>
          <w:sz w:val="18"/>
        </w:rPr>
        <w:t>on</w:t>
      </w:r>
      <w:r>
        <w:rPr>
          <w:spacing w:val="-5"/>
          <w:sz w:val="18"/>
        </w:rPr>
        <w:t> </w:t>
      </w:r>
      <w:r>
        <w:rPr>
          <w:sz w:val="18"/>
        </w:rPr>
        <w:t>the</w:t>
      </w:r>
      <w:r>
        <w:rPr>
          <w:spacing w:val="-4"/>
          <w:sz w:val="18"/>
        </w:rPr>
        <w:t> </w:t>
      </w:r>
      <w:r>
        <w:rPr>
          <w:sz w:val="18"/>
        </w:rPr>
        <w:t>Windsor</w:t>
      </w:r>
      <w:r>
        <w:rPr>
          <w:spacing w:val="-5"/>
          <w:sz w:val="18"/>
        </w:rPr>
        <w:t> </w:t>
      </w:r>
      <w:r>
        <w:rPr>
          <w:sz w:val="18"/>
        </w:rPr>
        <w:t>Framework’s</w:t>
      </w:r>
      <w:r>
        <w:rPr>
          <w:spacing w:val="-5"/>
          <w:sz w:val="18"/>
        </w:rPr>
        <w:t> </w:t>
      </w:r>
      <w:r>
        <w:rPr>
          <w:sz w:val="18"/>
        </w:rPr>
        <w:t>call</w:t>
      </w:r>
      <w:r>
        <w:rPr>
          <w:spacing w:val="-5"/>
          <w:sz w:val="18"/>
        </w:rPr>
        <w:t> </w:t>
      </w:r>
      <w:r>
        <w:rPr>
          <w:sz w:val="18"/>
        </w:rPr>
        <w:t>for evidence for its inquiry on regulatory divergence and the Windsor Framework’ (ECNI 2023).</w:t>
      </w:r>
    </w:p>
    <w:p>
      <w:pPr>
        <w:pStyle w:val="ListParagraph"/>
        <w:numPr>
          <w:ilvl w:val="0"/>
          <w:numId w:val="3"/>
        </w:numPr>
        <w:tabs>
          <w:tab w:pos="1853" w:val="left" w:leader="none"/>
        </w:tabs>
        <w:spacing w:line="235" w:lineRule="auto" w:before="2" w:after="0"/>
        <w:ind w:left="1853" w:right="1174" w:hanging="720"/>
        <w:jc w:val="left"/>
        <w:rPr>
          <w:sz w:val="18"/>
        </w:rPr>
      </w:pPr>
      <w:r>
        <w:rPr>
          <w:sz w:val="18"/>
        </w:rPr>
        <w:t>Letter</w:t>
      </w:r>
      <w:r>
        <w:rPr>
          <w:spacing w:val="-5"/>
          <w:sz w:val="18"/>
        </w:rPr>
        <w:t> </w:t>
      </w:r>
      <w:r>
        <w:rPr>
          <w:sz w:val="18"/>
        </w:rPr>
        <w:t>from</w:t>
      </w:r>
      <w:r>
        <w:rPr>
          <w:spacing w:val="-5"/>
          <w:sz w:val="18"/>
        </w:rPr>
        <w:t> </w:t>
      </w:r>
      <w:r>
        <w:rPr>
          <w:sz w:val="18"/>
        </w:rPr>
        <w:t>the</w:t>
      </w:r>
      <w:r>
        <w:rPr>
          <w:spacing w:val="-5"/>
          <w:sz w:val="18"/>
        </w:rPr>
        <w:t> </w:t>
      </w:r>
      <w:r>
        <w:rPr>
          <w:sz w:val="18"/>
        </w:rPr>
        <w:t>Chair</w:t>
      </w:r>
      <w:r>
        <w:rPr>
          <w:spacing w:val="-5"/>
          <w:sz w:val="18"/>
        </w:rPr>
        <w:t> </w:t>
      </w:r>
      <w:r>
        <w:rPr>
          <w:sz w:val="18"/>
        </w:rPr>
        <w:t>of</w:t>
      </w:r>
      <w:r>
        <w:rPr>
          <w:spacing w:val="-5"/>
          <w:sz w:val="18"/>
        </w:rPr>
        <w:t> </w:t>
      </w:r>
      <w:r>
        <w:rPr>
          <w:sz w:val="18"/>
        </w:rPr>
        <w:t>the</w:t>
      </w:r>
      <w:r>
        <w:rPr>
          <w:spacing w:val="-5"/>
          <w:sz w:val="18"/>
        </w:rPr>
        <w:t> </w:t>
      </w:r>
      <w:r>
        <w:rPr>
          <w:sz w:val="18"/>
        </w:rPr>
        <w:t>House</w:t>
      </w:r>
      <w:r>
        <w:rPr>
          <w:spacing w:val="-5"/>
          <w:sz w:val="18"/>
        </w:rPr>
        <w:t> </w:t>
      </w:r>
      <w:r>
        <w:rPr>
          <w:sz w:val="18"/>
        </w:rPr>
        <w:t>of</w:t>
      </w:r>
      <w:r>
        <w:rPr>
          <w:spacing w:val="-5"/>
          <w:sz w:val="18"/>
        </w:rPr>
        <w:t> </w:t>
      </w:r>
      <w:r>
        <w:rPr>
          <w:sz w:val="18"/>
        </w:rPr>
        <w:t>Lords</w:t>
      </w:r>
      <w:r>
        <w:rPr>
          <w:spacing w:val="-7"/>
          <w:sz w:val="18"/>
        </w:rPr>
        <w:t> </w:t>
      </w:r>
      <w:r>
        <w:rPr>
          <w:sz w:val="18"/>
        </w:rPr>
        <w:t>Sub-Committee</w:t>
      </w:r>
      <w:r>
        <w:rPr>
          <w:spacing w:val="-5"/>
          <w:sz w:val="18"/>
        </w:rPr>
        <w:t> </w:t>
      </w:r>
      <w:r>
        <w:rPr>
          <w:sz w:val="18"/>
        </w:rPr>
        <w:t>on</w:t>
      </w:r>
      <w:r>
        <w:rPr>
          <w:spacing w:val="-5"/>
          <w:sz w:val="18"/>
        </w:rPr>
        <w:t> </w:t>
      </w:r>
      <w:r>
        <w:rPr>
          <w:sz w:val="18"/>
        </w:rPr>
        <w:t>the</w:t>
      </w:r>
      <w:r>
        <w:rPr>
          <w:spacing w:val="-5"/>
          <w:sz w:val="18"/>
        </w:rPr>
        <w:t> </w:t>
      </w:r>
      <w:r>
        <w:rPr>
          <w:sz w:val="18"/>
        </w:rPr>
        <w:t>Windsor</w:t>
      </w:r>
      <w:r>
        <w:rPr>
          <w:spacing w:val="-5"/>
          <w:sz w:val="18"/>
        </w:rPr>
        <w:t> </w:t>
      </w:r>
      <w:r>
        <w:rPr>
          <w:sz w:val="18"/>
        </w:rPr>
        <w:t>Framework,</w:t>
      </w:r>
      <w:r>
        <w:rPr>
          <w:spacing w:val="-5"/>
          <w:sz w:val="18"/>
        </w:rPr>
        <w:t> </w:t>
      </w:r>
      <w:r>
        <w:rPr>
          <w:sz w:val="18"/>
        </w:rPr>
        <w:t>Lord</w:t>
      </w:r>
      <w:r>
        <w:rPr>
          <w:spacing w:val="-5"/>
          <w:sz w:val="18"/>
        </w:rPr>
        <w:t> </w:t>
      </w:r>
      <w:r>
        <w:rPr>
          <w:sz w:val="18"/>
        </w:rPr>
        <w:t>Jay,</w:t>
      </w:r>
      <w:r>
        <w:rPr>
          <w:spacing w:val="-5"/>
          <w:sz w:val="18"/>
        </w:rPr>
        <w:t> </w:t>
      </w:r>
      <w:r>
        <w:rPr>
          <w:sz w:val="18"/>
        </w:rPr>
        <w:t>to</w:t>
      </w:r>
      <w:r>
        <w:rPr>
          <w:spacing w:val="-5"/>
          <w:sz w:val="18"/>
        </w:rPr>
        <w:t> </w:t>
      </w:r>
      <w:r>
        <w:rPr>
          <w:sz w:val="18"/>
        </w:rPr>
        <w:t>the</w:t>
      </w:r>
      <w:r>
        <w:rPr>
          <w:spacing w:val="-5"/>
          <w:sz w:val="18"/>
        </w:rPr>
        <w:t> </w:t>
      </w:r>
      <w:r>
        <w:rPr>
          <w:sz w:val="18"/>
        </w:rPr>
        <w:t>Secretary</w:t>
      </w:r>
      <w:r>
        <w:rPr>
          <w:spacing w:val="-5"/>
          <w:sz w:val="18"/>
        </w:rPr>
        <w:t> </w:t>
      </w:r>
      <w:r>
        <w:rPr>
          <w:sz w:val="18"/>
        </w:rPr>
        <w:t>of</w:t>
      </w:r>
      <w:r>
        <w:rPr>
          <w:spacing w:val="-5"/>
          <w:sz w:val="18"/>
        </w:rPr>
        <w:t> </w:t>
      </w:r>
      <w:r>
        <w:rPr>
          <w:sz w:val="18"/>
        </w:rPr>
        <w:t>State for Foreign, Commonwealth and Development Affairs, Lord Cameron, 19 December 2023.</w:t>
      </w:r>
    </w:p>
    <w:p>
      <w:pPr>
        <w:pStyle w:val="ListParagraph"/>
        <w:numPr>
          <w:ilvl w:val="0"/>
          <w:numId w:val="3"/>
        </w:numPr>
        <w:tabs>
          <w:tab w:pos="1853" w:val="left" w:leader="none"/>
        </w:tabs>
        <w:spacing w:line="235" w:lineRule="auto" w:before="1" w:after="0"/>
        <w:ind w:left="1853" w:right="1339" w:hanging="720"/>
        <w:jc w:val="left"/>
        <w:rPr>
          <w:sz w:val="18"/>
        </w:rPr>
      </w:pPr>
      <w:r>
        <w:rPr>
          <w:sz w:val="18"/>
        </w:rPr>
        <w:t>Letter</w:t>
      </w:r>
      <w:r>
        <w:rPr>
          <w:spacing w:val="-5"/>
          <w:sz w:val="18"/>
        </w:rPr>
        <w:t> </w:t>
      </w:r>
      <w:r>
        <w:rPr>
          <w:sz w:val="18"/>
        </w:rPr>
        <w:t>from</w:t>
      </w:r>
      <w:r>
        <w:rPr>
          <w:spacing w:val="-5"/>
          <w:sz w:val="18"/>
        </w:rPr>
        <w:t> </w:t>
      </w:r>
      <w:r>
        <w:rPr>
          <w:sz w:val="18"/>
        </w:rPr>
        <w:t>the</w:t>
      </w:r>
      <w:r>
        <w:rPr>
          <w:spacing w:val="-5"/>
          <w:sz w:val="18"/>
        </w:rPr>
        <w:t> </w:t>
      </w:r>
      <w:r>
        <w:rPr>
          <w:sz w:val="18"/>
        </w:rPr>
        <w:t>Secretary</w:t>
      </w:r>
      <w:r>
        <w:rPr>
          <w:spacing w:val="-5"/>
          <w:sz w:val="18"/>
        </w:rPr>
        <w:t> </w:t>
      </w:r>
      <w:r>
        <w:rPr>
          <w:sz w:val="18"/>
        </w:rPr>
        <w:t>of</w:t>
      </w:r>
      <w:r>
        <w:rPr>
          <w:spacing w:val="-6"/>
          <w:sz w:val="18"/>
        </w:rPr>
        <w:t> </w:t>
      </w:r>
      <w:r>
        <w:rPr>
          <w:sz w:val="18"/>
        </w:rPr>
        <w:t>State</w:t>
      </w:r>
      <w:r>
        <w:rPr>
          <w:spacing w:val="-5"/>
          <w:sz w:val="18"/>
        </w:rPr>
        <w:t> </w:t>
      </w:r>
      <w:r>
        <w:rPr>
          <w:sz w:val="18"/>
        </w:rPr>
        <w:t>for</w:t>
      </w:r>
      <w:r>
        <w:rPr>
          <w:spacing w:val="-5"/>
          <w:sz w:val="18"/>
        </w:rPr>
        <w:t> </w:t>
      </w:r>
      <w:r>
        <w:rPr>
          <w:sz w:val="18"/>
        </w:rPr>
        <w:t>Foreign,</w:t>
      </w:r>
      <w:r>
        <w:rPr>
          <w:spacing w:val="-5"/>
          <w:sz w:val="18"/>
        </w:rPr>
        <w:t> </w:t>
      </w:r>
      <w:r>
        <w:rPr>
          <w:sz w:val="18"/>
        </w:rPr>
        <w:t>Commonwealth</w:t>
      </w:r>
      <w:r>
        <w:rPr>
          <w:spacing w:val="-6"/>
          <w:sz w:val="18"/>
        </w:rPr>
        <w:t> </w:t>
      </w:r>
      <w:r>
        <w:rPr>
          <w:sz w:val="18"/>
        </w:rPr>
        <w:t>and</w:t>
      </w:r>
      <w:r>
        <w:rPr>
          <w:spacing w:val="-6"/>
          <w:sz w:val="18"/>
        </w:rPr>
        <w:t> </w:t>
      </w:r>
      <w:r>
        <w:rPr>
          <w:sz w:val="18"/>
        </w:rPr>
        <w:t>Development</w:t>
      </w:r>
      <w:r>
        <w:rPr>
          <w:spacing w:val="-5"/>
          <w:sz w:val="18"/>
        </w:rPr>
        <w:t> </w:t>
      </w:r>
      <w:r>
        <w:rPr>
          <w:sz w:val="18"/>
        </w:rPr>
        <w:t>Affairs,</w:t>
      </w:r>
      <w:r>
        <w:rPr>
          <w:spacing w:val="-5"/>
          <w:sz w:val="18"/>
        </w:rPr>
        <w:t> </w:t>
      </w:r>
      <w:r>
        <w:rPr>
          <w:sz w:val="18"/>
        </w:rPr>
        <w:t>Lord</w:t>
      </w:r>
      <w:r>
        <w:rPr>
          <w:spacing w:val="-6"/>
          <w:sz w:val="18"/>
        </w:rPr>
        <w:t> </w:t>
      </w:r>
      <w:r>
        <w:rPr>
          <w:sz w:val="18"/>
        </w:rPr>
        <w:t>Cameron,</w:t>
      </w:r>
      <w:r>
        <w:rPr>
          <w:spacing w:val="-5"/>
          <w:sz w:val="18"/>
        </w:rPr>
        <w:t> </w:t>
      </w:r>
      <w:r>
        <w:rPr>
          <w:sz w:val="18"/>
        </w:rPr>
        <w:t>to</w:t>
      </w:r>
      <w:r>
        <w:rPr>
          <w:spacing w:val="-6"/>
          <w:sz w:val="18"/>
        </w:rPr>
        <w:t> </w:t>
      </w:r>
      <w:r>
        <w:rPr>
          <w:sz w:val="18"/>
        </w:rPr>
        <w:t>the</w:t>
      </w:r>
      <w:r>
        <w:rPr>
          <w:spacing w:val="-5"/>
          <w:sz w:val="18"/>
        </w:rPr>
        <w:t> </w:t>
      </w:r>
      <w:r>
        <w:rPr>
          <w:sz w:val="18"/>
        </w:rPr>
        <w:t>House</w:t>
      </w:r>
      <w:r>
        <w:rPr>
          <w:spacing w:val="-5"/>
          <w:sz w:val="18"/>
        </w:rPr>
        <w:t> </w:t>
      </w:r>
      <w:r>
        <w:rPr>
          <w:sz w:val="18"/>
        </w:rPr>
        <w:t>of Lords Sub-Committee on the Windsor Framework, 14 March 2024.</w:t>
      </w:r>
    </w:p>
    <w:p>
      <w:pPr>
        <w:pStyle w:val="ListParagraph"/>
        <w:numPr>
          <w:ilvl w:val="0"/>
          <w:numId w:val="3"/>
        </w:numPr>
        <w:tabs>
          <w:tab w:pos="1853" w:val="left" w:leader="none"/>
        </w:tabs>
        <w:spacing w:line="235" w:lineRule="auto" w:before="1" w:after="0"/>
        <w:ind w:left="1853" w:right="1651" w:hanging="720"/>
        <w:jc w:val="left"/>
        <w:rPr>
          <w:sz w:val="18"/>
        </w:rPr>
      </w:pP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5"/>
          <w:sz w:val="18"/>
        </w:rPr>
        <w:t> </w:t>
      </w:r>
      <w:r>
        <w:rPr>
          <w:sz w:val="18"/>
        </w:rPr>
        <w:t>‘Submission</w:t>
      </w:r>
      <w:r>
        <w:rPr>
          <w:spacing w:val="-5"/>
          <w:sz w:val="18"/>
        </w:rPr>
        <w:t> </w:t>
      </w:r>
      <w:r>
        <w:rPr>
          <w:sz w:val="18"/>
        </w:rPr>
        <w:t>to</w:t>
      </w:r>
      <w:r>
        <w:rPr>
          <w:spacing w:val="-5"/>
          <w:sz w:val="18"/>
        </w:rPr>
        <w:t> </w:t>
      </w:r>
      <w:r>
        <w:rPr>
          <w:sz w:val="18"/>
        </w:rPr>
        <w:t>the</w:t>
      </w:r>
      <w:r>
        <w:rPr>
          <w:spacing w:val="-4"/>
          <w:sz w:val="18"/>
        </w:rPr>
        <w:t> </w:t>
      </w:r>
      <w:r>
        <w:rPr>
          <w:sz w:val="18"/>
        </w:rPr>
        <w:t>House</w:t>
      </w:r>
      <w:r>
        <w:rPr>
          <w:spacing w:val="-5"/>
          <w:sz w:val="18"/>
        </w:rPr>
        <w:t> </w:t>
      </w:r>
      <w:r>
        <w:rPr>
          <w:sz w:val="18"/>
        </w:rPr>
        <w:t>of</w:t>
      </w:r>
      <w:r>
        <w:rPr>
          <w:spacing w:val="-5"/>
          <w:sz w:val="18"/>
        </w:rPr>
        <w:t> </w:t>
      </w:r>
      <w:r>
        <w:rPr>
          <w:sz w:val="18"/>
        </w:rPr>
        <w:t>Lords</w:t>
      </w:r>
      <w:r>
        <w:rPr>
          <w:spacing w:val="-5"/>
          <w:sz w:val="18"/>
        </w:rPr>
        <w:t> </w:t>
      </w:r>
      <w:r>
        <w:rPr>
          <w:sz w:val="18"/>
        </w:rPr>
        <w:t>Sub-Committee</w:t>
      </w:r>
      <w:r>
        <w:rPr>
          <w:spacing w:val="-4"/>
          <w:sz w:val="18"/>
        </w:rPr>
        <w:t> </w:t>
      </w:r>
      <w:r>
        <w:rPr>
          <w:sz w:val="18"/>
        </w:rPr>
        <w:t>on</w:t>
      </w:r>
      <w:r>
        <w:rPr>
          <w:spacing w:val="-5"/>
          <w:sz w:val="18"/>
        </w:rPr>
        <w:t> </w:t>
      </w:r>
      <w:r>
        <w:rPr>
          <w:sz w:val="18"/>
        </w:rPr>
        <w:t>the</w:t>
      </w:r>
      <w:r>
        <w:rPr>
          <w:spacing w:val="-4"/>
          <w:sz w:val="18"/>
        </w:rPr>
        <w:t> </w:t>
      </w:r>
      <w:r>
        <w:rPr>
          <w:sz w:val="18"/>
        </w:rPr>
        <w:t>Windsor</w:t>
      </w:r>
      <w:r>
        <w:rPr>
          <w:spacing w:val="-5"/>
          <w:sz w:val="18"/>
        </w:rPr>
        <w:t> </w:t>
      </w:r>
      <w:r>
        <w:rPr>
          <w:sz w:val="18"/>
        </w:rPr>
        <w:t>Framework’s</w:t>
      </w:r>
      <w:r>
        <w:rPr>
          <w:spacing w:val="-5"/>
          <w:sz w:val="18"/>
        </w:rPr>
        <w:t> </w:t>
      </w:r>
      <w:r>
        <w:rPr>
          <w:sz w:val="18"/>
        </w:rPr>
        <w:t>call</w:t>
      </w:r>
      <w:r>
        <w:rPr>
          <w:spacing w:val="-5"/>
          <w:sz w:val="18"/>
        </w:rPr>
        <w:t> </w:t>
      </w:r>
      <w:r>
        <w:rPr>
          <w:sz w:val="18"/>
        </w:rPr>
        <w:t>for evidence for its inquiry on regulatory divergence and the Windsor Framework’ (ECNI 2023).</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24"/>
      </w:pPr>
      <w:r>
        <w:rPr/>
        <w:t>in</w:t>
      </w:r>
      <w:r>
        <w:rPr>
          <w:spacing w:val="-6"/>
        </w:rPr>
        <w:t> </w:t>
      </w:r>
      <w:r>
        <w:rPr/>
        <w:t>monitoring</w:t>
      </w:r>
      <w:r>
        <w:rPr>
          <w:spacing w:val="-5"/>
        </w:rPr>
        <w:t> </w:t>
      </w:r>
      <w:r>
        <w:rPr/>
        <w:t>the</w:t>
      </w:r>
      <w:r>
        <w:rPr>
          <w:spacing w:val="-5"/>
        </w:rPr>
        <w:t> </w:t>
      </w:r>
      <w:r>
        <w:rPr/>
        <w:t>potential</w:t>
      </w:r>
      <w:r>
        <w:rPr>
          <w:spacing w:val="-6"/>
        </w:rPr>
        <w:t> </w:t>
      </w:r>
      <w:r>
        <w:rPr/>
        <w:t>for</w:t>
      </w:r>
      <w:r>
        <w:rPr>
          <w:spacing w:val="-5"/>
        </w:rPr>
        <w:t> </w:t>
      </w:r>
      <w:r>
        <w:rPr/>
        <w:t>divergence</w:t>
      </w:r>
      <w:r>
        <w:rPr>
          <w:spacing w:val="-5"/>
        </w:rPr>
        <w:t> </w:t>
      </w:r>
      <w:r>
        <w:rPr/>
        <w:t>of</w:t>
      </w:r>
      <w:r>
        <w:rPr>
          <w:spacing w:val="-6"/>
        </w:rPr>
        <w:t> </w:t>
      </w:r>
      <w:r>
        <w:rPr/>
        <w:t>equality</w:t>
      </w:r>
      <w:r>
        <w:rPr>
          <w:spacing w:val="-5"/>
        </w:rPr>
        <w:t> </w:t>
      </w:r>
      <w:r>
        <w:rPr/>
        <w:t>and</w:t>
      </w:r>
      <w:r>
        <w:rPr>
          <w:spacing w:val="-6"/>
        </w:rPr>
        <w:t> </w:t>
      </w:r>
      <w:r>
        <w:rPr/>
        <w:t>human</w:t>
      </w:r>
      <w:r>
        <w:rPr>
          <w:spacing w:val="-6"/>
        </w:rPr>
        <w:t> </w:t>
      </w:r>
      <w:r>
        <w:rPr/>
        <w:t>rights</w:t>
      </w:r>
      <w:r>
        <w:rPr>
          <w:spacing w:val="-6"/>
        </w:rPr>
        <w:t> </w:t>
      </w:r>
      <w:r>
        <w:rPr/>
        <w:t>on</w:t>
      </w:r>
      <w:r>
        <w:rPr>
          <w:spacing w:val="-6"/>
        </w:rPr>
        <w:t> </w:t>
      </w:r>
      <w:r>
        <w:rPr/>
        <w:t>the island of Ireland after the end of the Brexit transition period.</w:t>
      </w:r>
    </w:p>
    <w:p>
      <w:pPr>
        <w:pStyle w:val="ListParagraph"/>
        <w:numPr>
          <w:ilvl w:val="1"/>
          <w:numId w:val="7"/>
        </w:numPr>
        <w:tabs>
          <w:tab w:pos="1853" w:val="left" w:leader="none"/>
        </w:tabs>
        <w:spacing w:line="225" w:lineRule="auto" w:before="318" w:after="0"/>
        <w:ind w:left="1853" w:right="1158" w:hanging="720"/>
        <w:jc w:val="left"/>
        <w:rPr>
          <w:sz w:val="28"/>
        </w:rPr>
      </w:pPr>
      <w:r>
        <w:rPr>
          <w:sz w:val="28"/>
        </w:rPr>
        <w:t>The</w:t>
      </w:r>
      <w:r>
        <w:rPr>
          <w:spacing w:val="-1"/>
          <w:sz w:val="28"/>
        </w:rPr>
        <w:t> </w:t>
      </w:r>
      <w:r>
        <w:rPr>
          <w:sz w:val="28"/>
        </w:rPr>
        <w:t>Commissions</w:t>
      </w:r>
      <w:r>
        <w:rPr>
          <w:spacing w:val="-2"/>
          <w:sz w:val="28"/>
        </w:rPr>
        <w:t> </w:t>
      </w:r>
      <w:r>
        <w:rPr>
          <w:sz w:val="28"/>
        </w:rPr>
        <w:t>have</w:t>
      </w:r>
      <w:r>
        <w:rPr>
          <w:spacing w:val="-1"/>
          <w:sz w:val="28"/>
        </w:rPr>
        <w:t> </w:t>
      </w:r>
      <w:r>
        <w:rPr>
          <w:sz w:val="28"/>
        </w:rPr>
        <w:t>highlighted</w:t>
      </w:r>
      <w:r>
        <w:rPr>
          <w:spacing w:val="-2"/>
          <w:sz w:val="28"/>
        </w:rPr>
        <w:t> </w:t>
      </w:r>
      <w:r>
        <w:rPr>
          <w:sz w:val="28"/>
        </w:rPr>
        <w:t>the</w:t>
      </w:r>
      <w:r>
        <w:rPr>
          <w:spacing w:val="-1"/>
          <w:sz w:val="28"/>
        </w:rPr>
        <w:t> </w:t>
      </w:r>
      <w:r>
        <w:rPr>
          <w:sz w:val="28"/>
        </w:rPr>
        <w:t>need</w:t>
      </w:r>
      <w:r>
        <w:rPr>
          <w:spacing w:val="-2"/>
          <w:sz w:val="28"/>
        </w:rPr>
        <w:t> </w:t>
      </w:r>
      <w:r>
        <w:rPr>
          <w:sz w:val="28"/>
        </w:rPr>
        <w:t>for</w:t>
      </w:r>
      <w:r>
        <w:rPr>
          <w:spacing w:val="-1"/>
          <w:sz w:val="28"/>
        </w:rPr>
        <w:t> </w:t>
      </w:r>
      <w:r>
        <w:rPr>
          <w:sz w:val="28"/>
        </w:rPr>
        <w:t>the</w:t>
      </w:r>
      <w:r>
        <w:rPr>
          <w:spacing w:val="-1"/>
          <w:sz w:val="28"/>
        </w:rPr>
        <w:t> </w:t>
      </w:r>
      <w:r>
        <w:rPr>
          <w:sz w:val="28"/>
        </w:rPr>
        <w:t>UK</w:t>
      </w:r>
      <w:r>
        <w:rPr>
          <w:spacing w:val="-1"/>
          <w:sz w:val="28"/>
        </w:rPr>
        <w:t> </w:t>
      </w:r>
      <w:r>
        <w:rPr>
          <w:sz w:val="28"/>
        </w:rPr>
        <w:t>Government,</w:t>
      </w:r>
      <w:r>
        <w:rPr>
          <w:spacing w:val="-1"/>
          <w:sz w:val="28"/>
        </w:rPr>
        <w:t> </w:t>
      </w:r>
      <w:r>
        <w:rPr>
          <w:sz w:val="28"/>
        </w:rPr>
        <w:t>together with the EU, to consider measures to limit divergence of rights on the island</w:t>
      </w:r>
      <w:r>
        <w:rPr>
          <w:spacing w:val="40"/>
          <w:sz w:val="28"/>
        </w:rPr>
        <w:t> </w:t>
      </w:r>
      <w:r>
        <w:rPr>
          <w:sz w:val="28"/>
        </w:rPr>
        <w:t>of</w:t>
      </w:r>
      <w:r>
        <w:rPr>
          <w:spacing w:val="-8"/>
          <w:sz w:val="28"/>
        </w:rPr>
        <w:t> </w:t>
      </w:r>
      <w:r>
        <w:rPr>
          <w:sz w:val="28"/>
        </w:rPr>
        <w:t>Ireland.</w:t>
      </w:r>
      <w:r>
        <w:rPr>
          <w:spacing w:val="-8"/>
          <w:sz w:val="28"/>
        </w:rPr>
        <w:t> </w:t>
      </w:r>
      <w:r>
        <w:rPr>
          <w:sz w:val="28"/>
        </w:rPr>
        <w:t>Specifically,</w:t>
      </w:r>
      <w:r>
        <w:rPr>
          <w:spacing w:val="-7"/>
          <w:sz w:val="28"/>
        </w:rPr>
        <w:t> </w:t>
      </w:r>
      <w:r>
        <w:rPr>
          <w:sz w:val="28"/>
        </w:rPr>
        <w:t>such</w:t>
      </w:r>
      <w:r>
        <w:rPr>
          <w:spacing w:val="-8"/>
          <w:sz w:val="28"/>
        </w:rPr>
        <w:t> </w:t>
      </w:r>
      <w:r>
        <w:rPr>
          <w:sz w:val="28"/>
        </w:rPr>
        <w:t>measures</w:t>
      </w:r>
      <w:r>
        <w:rPr>
          <w:spacing w:val="-8"/>
          <w:sz w:val="28"/>
        </w:rPr>
        <w:t> </w:t>
      </w:r>
      <w:r>
        <w:rPr>
          <w:sz w:val="28"/>
        </w:rPr>
        <w:t>should</w:t>
      </w:r>
      <w:r>
        <w:rPr>
          <w:spacing w:val="-8"/>
          <w:sz w:val="28"/>
        </w:rPr>
        <w:t> </w:t>
      </w:r>
      <w:r>
        <w:rPr>
          <w:sz w:val="28"/>
        </w:rPr>
        <w:t>include</w:t>
      </w:r>
      <w:r>
        <w:rPr>
          <w:spacing w:val="-7"/>
          <w:sz w:val="28"/>
        </w:rPr>
        <w:t> </w:t>
      </w:r>
      <w:r>
        <w:rPr>
          <w:sz w:val="28"/>
        </w:rPr>
        <w:t>the</w:t>
      </w:r>
      <w:r>
        <w:rPr>
          <w:spacing w:val="-7"/>
          <w:sz w:val="28"/>
        </w:rPr>
        <w:t> </w:t>
      </w:r>
      <w:r>
        <w:rPr>
          <w:sz w:val="28"/>
        </w:rPr>
        <w:t>consideration</w:t>
      </w:r>
      <w:r>
        <w:rPr>
          <w:spacing w:val="-8"/>
          <w:sz w:val="28"/>
        </w:rPr>
        <w:t> </w:t>
      </w:r>
      <w:r>
        <w:rPr>
          <w:sz w:val="28"/>
        </w:rPr>
        <w:t>of</w:t>
      </w:r>
      <w:r>
        <w:rPr>
          <w:spacing w:val="-8"/>
          <w:sz w:val="28"/>
        </w:rPr>
        <w:t> </w:t>
      </w:r>
      <w:r>
        <w:rPr>
          <w:sz w:val="28"/>
        </w:rPr>
        <w:t>new EU laws, on a case-by-case basis, for addition to the list of equality directives within</w:t>
      </w:r>
      <w:r>
        <w:rPr>
          <w:spacing w:val="-5"/>
          <w:sz w:val="28"/>
        </w:rPr>
        <w:t> </w:t>
      </w:r>
      <w:r>
        <w:rPr>
          <w:sz w:val="28"/>
        </w:rPr>
        <w:t>Annex</w:t>
      </w:r>
      <w:r>
        <w:rPr>
          <w:spacing w:val="-5"/>
          <w:sz w:val="28"/>
        </w:rPr>
        <w:t> </w:t>
      </w:r>
      <w:r>
        <w:rPr>
          <w:sz w:val="28"/>
        </w:rPr>
        <w:t>1,</w:t>
      </w:r>
      <w:r>
        <w:rPr>
          <w:spacing w:val="-4"/>
          <w:sz w:val="28"/>
        </w:rPr>
        <w:t> </w:t>
      </w:r>
      <w:r>
        <w:rPr>
          <w:sz w:val="28"/>
        </w:rPr>
        <w:t>as</w:t>
      </w:r>
      <w:r>
        <w:rPr>
          <w:spacing w:val="-5"/>
          <w:sz w:val="28"/>
        </w:rPr>
        <w:t> </w:t>
      </w:r>
      <w:r>
        <w:rPr>
          <w:sz w:val="28"/>
        </w:rPr>
        <w:t>provided</w:t>
      </w:r>
      <w:r>
        <w:rPr>
          <w:spacing w:val="-5"/>
          <w:sz w:val="28"/>
        </w:rPr>
        <w:t> </w:t>
      </w:r>
      <w:r>
        <w:rPr>
          <w:sz w:val="28"/>
        </w:rPr>
        <w:t>for</w:t>
      </w:r>
      <w:r>
        <w:rPr>
          <w:spacing w:val="-4"/>
          <w:sz w:val="28"/>
        </w:rPr>
        <w:t> </w:t>
      </w:r>
      <w:r>
        <w:rPr>
          <w:sz w:val="28"/>
        </w:rPr>
        <w:t>under</w:t>
      </w:r>
      <w:r>
        <w:rPr>
          <w:spacing w:val="-4"/>
          <w:sz w:val="28"/>
        </w:rPr>
        <w:t> </w:t>
      </w:r>
      <w:r>
        <w:rPr>
          <w:sz w:val="28"/>
        </w:rPr>
        <w:t>the</w:t>
      </w:r>
      <w:r>
        <w:rPr>
          <w:spacing w:val="-4"/>
          <w:sz w:val="28"/>
        </w:rPr>
        <w:t> </w:t>
      </w:r>
      <w:r>
        <w:rPr>
          <w:sz w:val="28"/>
        </w:rPr>
        <w:t>mechanisms</w:t>
      </w:r>
      <w:r>
        <w:rPr>
          <w:spacing w:val="-5"/>
          <w:sz w:val="28"/>
        </w:rPr>
        <w:t> </w:t>
      </w:r>
      <w:r>
        <w:rPr>
          <w:sz w:val="28"/>
        </w:rPr>
        <w:t>of</w:t>
      </w:r>
      <w:r>
        <w:rPr>
          <w:spacing w:val="-5"/>
          <w:sz w:val="28"/>
        </w:rPr>
        <w:t> </w:t>
      </w:r>
      <w:r>
        <w:rPr>
          <w:sz w:val="28"/>
        </w:rPr>
        <w:t>Windsor</w:t>
      </w:r>
      <w:r>
        <w:rPr>
          <w:spacing w:val="-4"/>
          <w:sz w:val="28"/>
        </w:rPr>
        <w:t> </w:t>
      </w:r>
      <w:r>
        <w:rPr>
          <w:sz w:val="28"/>
        </w:rPr>
        <w:t>Framework Article 13(4).</w:t>
      </w:r>
      <w:r>
        <w:rPr>
          <w:sz w:val="28"/>
          <w:vertAlign w:val="superscript"/>
        </w:rPr>
        <w:t>138</w:t>
      </w:r>
    </w:p>
    <w:p>
      <w:pPr>
        <w:pStyle w:val="ListParagraph"/>
        <w:numPr>
          <w:ilvl w:val="1"/>
          <w:numId w:val="7"/>
        </w:numPr>
        <w:tabs>
          <w:tab w:pos="1853" w:val="left" w:leader="none"/>
        </w:tabs>
        <w:spacing w:line="225" w:lineRule="auto" w:before="312" w:after="0"/>
        <w:ind w:left="1853" w:right="1381" w:hanging="720"/>
        <w:jc w:val="left"/>
        <w:rPr>
          <w:sz w:val="28"/>
        </w:rPr>
      </w:pPr>
      <w:r>
        <w:rPr>
          <w:sz w:val="28"/>
        </w:rPr>
        <w:t>The ECNI, on behalf of the three Commissions, commissioned a follow-up report</w:t>
      </w:r>
      <w:r>
        <w:rPr>
          <w:spacing w:val="-4"/>
          <w:sz w:val="28"/>
        </w:rPr>
        <w:t> </w:t>
      </w:r>
      <w:r>
        <w:rPr>
          <w:sz w:val="28"/>
        </w:rPr>
        <w:t>covering</w:t>
      </w:r>
      <w:r>
        <w:rPr>
          <w:spacing w:val="-4"/>
          <w:sz w:val="28"/>
        </w:rPr>
        <w:t> </w:t>
      </w:r>
      <w:r>
        <w:rPr>
          <w:sz w:val="28"/>
        </w:rPr>
        <w:t>the</w:t>
      </w:r>
      <w:r>
        <w:rPr>
          <w:spacing w:val="-4"/>
          <w:sz w:val="28"/>
        </w:rPr>
        <w:t> </w:t>
      </w:r>
      <w:r>
        <w:rPr>
          <w:sz w:val="28"/>
        </w:rPr>
        <w:t>period</w:t>
      </w:r>
      <w:r>
        <w:rPr>
          <w:spacing w:val="-5"/>
          <w:sz w:val="28"/>
        </w:rPr>
        <w:t> </w:t>
      </w:r>
      <w:r>
        <w:rPr>
          <w:sz w:val="28"/>
        </w:rPr>
        <w:t>1</w:t>
      </w:r>
      <w:r>
        <w:rPr>
          <w:spacing w:val="-4"/>
          <w:sz w:val="28"/>
        </w:rPr>
        <w:t> </w:t>
      </w:r>
      <w:r>
        <w:rPr>
          <w:sz w:val="28"/>
        </w:rPr>
        <w:t>January</w:t>
      </w:r>
      <w:r>
        <w:rPr>
          <w:spacing w:val="-4"/>
          <w:sz w:val="28"/>
        </w:rPr>
        <w:t> </w:t>
      </w:r>
      <w:r>
        <w:rPr>
          <w:sz w:val="28"/>
        </w:rPr>
        <w:t>2022</w:t>
      </w:r>
      <w:r>
        <w:rPr>
          <w:spacing w:val="-4"/>
          <w:sz w:val="28"/>
        </w:rPr>
        <w:t> </w:t>
      </w:r>
      <w:r>
        <w:rPr>
          <w:sz w:val="28"/>
        </w:rPr>
        <w:t>and</w:t>
      </w:r>
      <w:r>
        <w:rPr>
          <w:spacing w:val="-5"/>
          <w:sz w:val="28"/>
        </w:rPr>
        <w:t> </w:t>
      </w:r>
      <w:r>
        <w:rPr>
          <w:sz w:val="28"/>
        </w:rPr>
        <w:t>31</w:t>
      </w:r>
      <w:r>
        <w:rPr>
          <w:spacing w:val="-4"/>
          <w:sz w:val="28"/>
        </w:rPr>
        <w:t> </w:t>
      </w:r>
      <w:r>
        <w:rPr>
          <w:sz w:val="28"/>
        </w:rPr>
        <w:t>August</w:t>
      </w:r>
      <w:r>
        <w:rPr>
          <w:spacing w:val="-4"/>
          <w:sz w:val="28"/>
        </w:rPr>
        <w:t> </w:t>
      </w:r>
      <w:r>
        <w:rPr>
          <w:sz w:val="28"/>
        </w:rPr>
        <w:t>2023.</w:t>
      </w:r>
      <w:r>
        <w:rPr>
          <w:spacing w:val="-5"/>
          <w:sz w:val="28"/>
        </w:rPr>
        <w:t> </w:t>
      </w:r>
      <w:r>
        <w:rPr>
          <w:sz w:val="28"/>
        </w:rPr>
        <w:t>The</w:t>
      </w:r>
      <w:r>
        <w:rPr>
          <w:spacing w:val="-4"/>
          <w:sz w:val="28"/>
        </w:rPr>
        <w:t> </w:t>
      </w:r>
      <w:r>
        <w:rPr>
          <w:sz w:val="28"/>
        </w:rPr>
        <w:t>updated report is expected to be published in 2024.</w:t>
      </w:r>
    </w:p>
    <w:p>
      <w:pPr>
        <w:pStyle w:val="Heading6"/>
        <w:spacing w:before="300"/>
        <w:jc w:val="both"/>
        <w:rPr>
          <w:i/>
        </w:rPr>
      </w:pPr>
      <w:r>
        <w:rPr>
          <w:i/>
          <w:color w:val="67287F"/>
          <w:spacing w:val="-2"/>
        </w:rPr>
        <w:t>Effective</w:t>
      </w:r>
      <w:r>
        <w:rPr>
          <w:i/>
          <w:color w:val="67287F"/>
          <w:spacing w:val="-1"/>
        </w:rPr>
        <w:t> </w:t>
      </w:r>
      <w:r>
        <w:rPr>
          <w:i/>
          <w:color w:val="67287F"/>
          <w:spacing w:val="-2"/>
        </w:rPr>
        <w:t>Judicial</w:t>
      </w:r>
      <w:r>
        <w:rPr>
          <w:i/>
          <w:color w:val="67287F"/>
        </w:rPr>
        <w:t> </w:t>
      </w:r>
      <w:r>
        <w:rPr>
          <w:i/>
          <w:color w:val="67287F"/>
          <w:spacing w:val="-2"/>
        </w:rPr>
        <w:t>Protections</w:t>
      </w:r>
    </w:p>
    <w:p>
      <w:pPr>
        <w:pStyle w:val="ListParagraph"/>
        <w:numPr>
          <w:ilvl w:val="1"/>
          <w:numId w:val="7"/>
        </w:numPr>
        <w:tabs>
          <w:tab w:pos="1853" w:val="left" w:leader="none"/>
        </w:tabs>
        <w:spacing w:line="225" w:lineRule="auto" w:before="5" w:after="0"/>
        <w:ind w:left="1853" w:right="1660" w:hanging="720"/>
        <w:jc w:val="both"/>
        <w:rPr>
          <w:sz w:val="28"/>
        </w:rPr>
      </w:pPr>
      <w:r>
        <w:rPr>
          <w:sz w:val="28"/>
        </w:rPr>
        <w:t>The</w:t>
      </w:r>
      <w:r>
        <w:rPr>
          <w:spacing w:val="-4"/>
          <w:sz w:val="28"/>
        </w:rPr>
        <w:t> </w:t>
      </w:r>
      <w:r>
        <w:rPr>
          <w:sz w:val="28"/>
        </w:rPr>
        <w:t>research</w:t>
      </w:r>
      <w:r>
        <w:rPr>
          <w:spacing w:val="-5"/>
          <w:sz w:val="28"/>
        </w:rPr>
        <w:t> </w:t>
      </w:r>
      <w:r>
        <w:rPr>
          <w:sz w:val="28"/>
        </w:rPr>
        <w:t>report</w:t>
      </w:r>
      <w:r>
        <w:rPr>
          <w:spacing w:val="-4"/>
          <w:sz w:val="28"/>
        </w:rPr>
        <w:t> </w:t>
      </w:r>
      <w:r>
        <w:rPr>
          <w:sz w:val="28"/>
        </w:rPr>
        <w:t>and</w:t>
      </w:r>
      <w:r>
        <w:rPr>
          <w:spacing w:val="-5"/>
          <w:sz w:val="28"/>
        </w:rPr>
        <w:t> </w:t>
      </w:r>
      <w:r>
        <w:rPr>
          <w:sz w:val="28"/>
        </w:rPr>
        <w:t>Commissions’</w:t>
      </w:r>
      <w:r>
        <w:rPr>
          <w:spacing w:val="-4"/>
          <w:sz w:val="28"/>
        </w:rPr>
        <w:t> </w:t>
      </w:r>
      <w:r>
        <w:rPr>
          <w:sz w:val="28"/>
        </w:rPr>
        <w:t>recommendations</w:t>
      </w:r>
      <w:r>
        <w:rPr>
          <w:spacing w:val="-5"/>
          <w:sz w:val="28"/>
        </w:rPr>
        <w:t> </w:t>
      </w:r>
      <w:r>
        <w:rPr>
          <w:sz w:val="28"/>
        </w:rPr>
        <w:t>emphasised</w:t>
      </w:r>
      <w:r>
        <w:rPr>
          <w:spacing w:val="-5"/>
          <w:sz w:val="28"/>
        </w:rPr>
        <w:t> </w:t>
      </w:r>
      <w:r>
        <w:rPr>
          <w:sz w:val="28"/>
        </w:rPr>
        <w:t>the need</w:t>
      </w:r>
      <w:r>
        <w:rPr>
          <w:spacing w:val="-9"/>
          <w:sz w:val="28"/>
        </w:rPr>
        <w:t> </w:t>
      </w:r>
      <w:r>
        <w:rPr>
          <w:sz w:val="28"/>
        </w:rPr>
        <w:t>for</w:t>
      </w:r>
      <w:r>
        <w:rPr>
          <w:spacing w:val="-8"/>
          <w:sz w:val="28"/>
        </w:rPr>
        <w:t> </w:t>
      </w:r>
      <w:r>
        <w:rPr>
          <w:sz w:val="28"/>
        </w:rPr>
        <w:t>real</w:t>
      </w:r>
      <w:r>
        <w:rPr>
          <w:spacing w:val="-9"/>
          <w:sz w:val="28"/>
        </w:rPr>
        <w:t> </w:t>
      </w:r>
      <w:r>
        <w:rPr>
          <w:sz w:val="28"/>
        </w:rPr>
        <w:t>and</w:t>
      </w:r>
      <w:r>
        <w:rPr>
          <w:spacing w:val="-9"/>
          <w:sz w:val="28"/>
        </w:rPr>
        <w:t> </w:t>
      </w:r>
      <w:r>
        <w:rPr>
          <w:sz w:val="28"/>
        </w:rPr>
        <w:t>effective</w:t>
      </w:r>
      <w:r>
        <w:rPr>
          <w:spacing w:val="-8"/>
          <w:sz w:val="28"/>
        </w:rPr>
        <w:t> </w:t>
      </w:r>
      <w:r>
        <w:rPr>
          <w:sz w:val="28"/>
        </w:rPr>
        <w:t>judicial</w:t>
      </w:r>
      <w:r>
        <w:rPr>
          <w:spacing w:val="-9"/>
          <w:sz w:val="28"/>
        </w:rPr>
        <w:t> </w:t>
      </w:r>
      <w:r>
        <w:rPr>
          <w:sz w:val="28"/>
        </w:rPr>
        <w:t>protection</w:t>
      </w:r>
      <w:r>
        <w:rPr>
          <w:spacing w:val="-9"/>
          <w:sz w:val="28"/>
        </w:rPr>
        <w:t> </w:t>
      </w:r>
      <w:r>
        <w:rPr>
          <w:sz w:val="28"/>
        </w:rPr>
        <w:t>of</w:t>
      </w:r>
      <w:r>
        <w:rPr>
          <w:spacing w:val="-9"/>
          <w:sz w:val="28"/>
        </w:rPr>
        <w:t> </w:t>
      </w:r>
      <w:r>
        <w:rPr>
          <w:sz w:val="28"/>
        </w:rPr>
        <w:t>rights,</w:t>
      </w:r>
      <w:r>
        <w:rPr>
          <w:spacing w:val="-8"/>
          <w:sz w:val="28"/>
        </w:rPr>
        <w:t> </w:t>
      </w:r>
      <w:r>
        <w:rPr>
          <w:sz w:val="28"/>
        </w:rPr>
        <w:t>arising</w:t>
      </w:r>
      <w:r>
        <w:rPr>
          <w:spacing w:val="-8"/>
          <w:sz w:val="28"/>
        </w:rPr>
        <w:t> </w:t>
      </w:r>
      <w:r>
        <w:rPr>
          <w:sz w:val="28"/>
        </w:rPr>
        <w:t>from</w:t>
      </w:r>
      <w:r>
        <w:rPr>
          <w:spacing w:val="-8"/>
          <w:sz w:val="28"/>
        </w:rPr>
        <w:t> </w:t>
      </w:r>
      <w:r>
        <w:rPr>
          <w:sz w:val="28"/>
        </w:rPr>
        <w:t>recent CJEU case law.</w:t>
      </w:r>
      <w:r>
        <w:rPr>
          <w:sz w:val="28"/>
          <w:vertAlign w:val="superscript"/>
        </w:rPr>
        <w:t>139</w:t>
      </w:r>
    </w:p>
    <w:p>
      <w:pPr>
        <w:pStyle w:val="ListParagraph"/>
        <w:numPr>
          <w:ilvl w:val="1"/>
          <w:numId w:val="7"/>
        </w:numPr>
        <w:tabs>
          <w:tab w:pos="1853" w:val="left" w:leader="none"/>
        </w:tabs>
        <w:spacing w:line="225" w:lineRule="auto" w:before="316" w:after="0"/>
        <w:ind w:left="1853" w:right="1366" w:hanging="720"/>
        <w:jc w:val="left"/>
        <w:rPr>
          <w:sz w:val="28"/>
        </w:rPr>
      </w:pPr>
      <w:r>
        <w:rPr>
          <w:sz w:val="28"/>
        </w:rPr>
        <w:t>As</w:t>
      </w:r>
      <w:r>
        <w:rPr>
          <w:spacing w:val="-4"/>
          <w:sz w:val="28"/>
        </w:rPr>
        <w:t> </w:t>
      </w:r>
      <w:r>
        <w:rPr>
          <w:sz w:val="28"/>
        </w:rPr>
        <w:t>highlighted</w:t>
      </w:r>
      <w:r>
        <w:rPr>
          <w:spacing w:val="-4"/>
          <w:sz w:val="28"/>
        </w:rPr>
        <w:t> </w:t>
      </w:r>
      <w:r>
        <w:rPr>
          <w:sz w:val="28"/>
        </w:rPr>
        <w:t>in</w:t>
      </w:r>
      <w:r>
        <w:rPr>
          <w:spacing w:val="-4"/>
          <w:sz w:val="28"/>
        </w:rPr>
        <w:t> </w:t>
      </w:r>
      <w:r>
        <w:rPr>
          <w:sz w:val="28"/>
        </w:rPr>
        <w:t>the</w:t>
      </w:r>
      <w:r>
        <w:rPr>
          <w:spacing w:val="-3"/>
          <w:sz w:val="28"/>
        </w:rPr>
        <w:t> </w:t>
      </w:r>
      <w:r>
        <w:rPr>
          <w:sz w:val="28"/>
        </w:rPr>
        <w:t>decision</w:t>
      </w:r>
      <w:r>
        <w:rPr>
          <w:spacing w:val="-4"/>
          <w:sz w:val="28"/>
        </w:rPr>
        <w:t> </w:t>
      </w:r>
      <w:r>
        <w:rPr>
          <w:sz w:val="28"/>
        </w:rPr>
        <w:t>in</w:t>
      </w:r>
      <w:r>
        <w:rPr>
          <w:spacing w:val="-2"/>
          <w:sz w:val="28"/>
        </w:rPr>
        <w:t> </w:t>
      </w:r>
      <w:r>
        <w:rPr>
          <w:i/>
          <w:sz w:val="28"/>
        </w:rPr>
        <w:t>Diskrimineringsombudsmannen</w:t>
      </w:r>
      <w:r>
        <w:rPr>
          <w:i/>
          <w:spacing w:val="-4"/>
          <w:sz w:val="28"/>
        </w:rPr>
        <w:t> </w:t>
      </w:r>
      <w:r>
        <w:rPr>
          <w:i/>
          <w:sz w:val="28"/>
        </w:rPr>
        <w:t>v</w:t>
      </w:r>
      <w:r>
        <w:rPr>
          <w:i/>
          <w:spacing w:val="-3"/>
          <w:sz w:val="28"/>
        </w:rPr>
        <w:t> </w:t>
      </w:r>
      <w:r>
        <w:rPr>
          <w:i/>
          <w:sz w:val="28"/>
        </w:rPr>
        <w:t>Braathens</w:t>
      </w:r>
      <w:r>
        <w:rPr>
          <w:i/>
          <w:sz w:val="28"/>
        </w:rPr>
        <w:t> Regional Aviation AB</w:t>
      </w:r>
      <w:r>
        <w:rPr>
          <w:i/>
          <w:sz w:val="28"/>
          <w:vertAlign w:val="superscript"/>
        </w:rPr>
        <w:t>140</w:t>
      </w:r>
      <w:r>
        <w:rPr>
          <w:i/>
          <w:sz w:val="28"/>
          <w:vertAlign w:val="baseline"/>
        </w:rPr>
        <w:t> </w:t>
      </w:r>
      <w:r>
        <w:rPr>
          <w:sz w:val="28"/>
          <w:vertAlign w:val="baseline"/>
        </w:rPr>
        <w:t>and </w:t>
      </w:r>
      <w:r>
        <w:rPr>
          <w:i/>
          <w:sz w:val="28"/>
          <w:vertAlign w:val="baseline"/>
        </w:rPr>
        <w:t>Appointment of Judges </w:t>
      </w:r>
      <w:r>
        <w:rPr>
          <w:sz w:val="28"/>
          <w:vertAlign w:val="baseline"/>
        </w:rPr>
        <w:t>case,</w:t>
      </w:r>
      <w:r>
        <w:rPr>
          <w:sz w:val="28"/>
          <w:vertAlign w:val="superscript"/>
        </w:rPr>
        <w:t>141</w:t>
      </w:r>
      <w:r>
        <w:rPr>
          <w:sz w:val="28"/>
          <w:vertAlign w:val="baseline"/>
        </w:rPr>
        <w:t> Article 47 (Right to an effective remedy and to a fair trial) of the EU Charter on Fundamental Rights</w:t>
      </w:r>
      <w:r>
        <w:rPr>
          <w:sz w:val="28"/>
          <w:vertAlign w:val="superscript"/>
        </w:rPr>
        <w:t>142</w:t>
      </w:r>
      <w:r>
        <w:rPr>
          <w:spacing w:val="-10"/>
          <w:sz w:val="28"/>
          <w:vertAlign w:val="baseline"/>
        </w:rPr>
        <w:t> </w:t>
      </w:r>
      <w:r>
        <w:rPr>
          <w:sz w:val="28"/>
          <w:vertAlign w:val="baseline"/>
        </w:rPr>
        <w:t>has</w:t>
      </w:r>
      <w:r>
        <w:rPr>
          <w:spacing w:val="-10"/>
          <w:sz w:val="28"/>
          <w:vertAlign w:val="baseline"/>
        </w:rPr>
        <w:t> </w:t>
      </w:r>
      <w:r>
        <w:rPr>
          <w:sz w:val="28"/>
          <w:vertAlign w:val="baseline"/>
        </w:rPr>
        <w:t>become</w:t>
      </w:r>
      <w:r>
        <w:rPr>
          <w:spacing w:val="-9"/>
          <w:sz w:val="28"/>
          <w:vertAlign w:val="baseline"/>
        </w:rPr>
        <w:t> </w:t>
      </w:r>
      <w:r>
        <w:rPr>
          <w:sz w:val="28"/>
          <w:vertAlign w:val="baseline"/>
        </w:rPr>
        <w:t>“a</w:t>
      </w:r>
      <w:r>
        <w:rPr>
          <w:spacing w:val="-10"/>
          <w:sz w:val="28"/>
          <w:vertAlign w:val="baseline"/>
        </w:rPr>
        <w:t> </w:t>
      </w:r>
      <w:r>
        <w:rPr>
          <w:sz w:val="28"/>
          <w:vertAlign w:val="baseline"/>
        </w:rPr>
        <w:t>significant</w:t>
      </w:r>
      <w:r>
        <w:rPr>
          <w:spacing w:val="-9"/>
          <w:sz w:val="28"/>
          <w:vertAlign w:val="baseline"/>
        </w:rPr>
        <w:t> </w:t>
      </w:r>
      <w:r>
        <w:rPr>
          <w:sz w:val="28"/>
          <w:vertAlign w:val="baseline"/>
        </w:rPr>
        <w:t>supplementary</w:t>
      </w:r>
      <w:r>
        <w:rPr>
          <w:spacing w:val="-9"/>
          <w:sz w:val="28"/>
          <w:vertAlign w:val="baseline"/>
        </w:rPr>
        <w:t> </w:t>
      </w:r>
      <w:r>
        <w:rPr>
          <w:sz w:val="28"/>
          <w:vertAlign w:val="baseline"/>
        </w:rPr>
        <w:t>ground</w:t>
      </w:r>
      <w:r>
        <w:rPr>
          <w:spacing w:val="-10"/>
          <w:sz w:val="28"/>
          <w:vertAlign w:val="baseline"/>
        </w:rPr>
        <w:t> </w:t>
      </w:r>
      <w:r>
        <w:rPr>
          <w:sz w:val="28"/>
          <w:vertAlign w:val="baseline"/>
        </w:rPr>
        <w:t>in</w:t>
      </w:r>
      <w:r>
        <w:rPr>
          <w:spacing w:val="-10"/>
          <w:sz w:val="28"/>
          <w:vertAlign w:val="baseline"/>
        </w:rPr>
        <w:t> </w:t>
      </w:r>
      <w:r>
        <w:rPr>
          <w:sz w:val="28"/>
          <w:vertAlign w:val="baseline"/>
        </w:rPr>
        <w:t>various</w:t>
      </w:r>
      <w:r>
        <w:rPr>
          <w:spacing w:val="-10"/>
          <w:sz w:val="28"/>
          <w:vertAlign w:val="baseline"/>
        </w:rPr>
        <w:t> </w:t>
      </w:r>
      <w:r>
        <w:rPr>
          <w:sz w:val="28"/>
          <w:vertAlign w:val="baseline"/>
        </w:rPr>
        <w:t>areas</w:t>
      </w:r>
      <w:r>
        <w:rPr>
          <w:spacing w:val="-10"/>
          <w:sz w:val="28"/>
          <w:vertAlign w:val="baseline"/>
        </w:rPr>
        <w:t> </w:t>
      </w:r>
      <w:r>
        <w:rPr>
          <w:sz w:val="28"/>
          <w:vertAlign w:val="baseline"/>
        </w:rPr>
        <w:t>of human rights litigation”.</w:t>
      </w:r>
      <w:r>
        <w:rPr>
          <w:sz w:val="28"/>
          <w:vertAlign w:val="superscript"/>
        </w:rPr>
        <w:t>143</w:t>
      </w:r>
      <w:r>
        <w:rPr>
          <w:sz w:val="28"/>
          <w:vertAlign w:val="baseline"/>
        </w:rPr>
        <w:t> The research report noted that “the CJEU views effective</w:t>
      </w:r>
      <w:r>
        <w:rPr>
          <w:spacing w:val="-4"/>
          <w:sz w:val="28"/>
          <w:vertAlign w:val="baseline"/>
        </w:rPr>
        <w:t> </w:t>
      </w:r>
      <w:r>
        <w:rPr>
          <w:sz w:val="28"/>
          <w:vertAlign w:val="baseline"/>
        </w:rPr>
        <w:t>judicial</w:t>
      </w:r>
      <w:r>
        <w:rPr>
          <w:spacing w:val="-5"/>
          <w:sz w:val="28"/>
          <w:vertAlign w:val="baseline"/>
        </w:rPr>
        <w:t> </w:t>
      </w:r>
      <w:r>
        <w:rPr>
          <w:sz w:val="28"/>
          <w:vertAlign w:val="baseline"/>
        </w:rPr>
        <w:t>protection</w:t>
      </w:r>
      <w:r>
        <w:rPr>
          <w:spacing w:val="-5"/>
          <w:sz w:val="28"/>
          <w:vertAlign w:val="baseline"/>
        </w:rPr>
        <w:t> </w:t>
      </w:r>
      <w:r>
        <w:rPr>
          <w:sz w:val="28"/>
          <w:vertAlign w:val="baseline"/>
        </w:rPr>
        <w:t>as</w:t>
      </w:r>
      <w:r>
        <w:rPr>
          <w:spacing w:val="-5"/>
          <w:sz w:val="28"/>
          <w:vertAlign w:val="baseline"/>
        </w:rPr>
        <w:t> </w:t>
      </w:r>
      <w:r>
        <w:rPr>
          <w:sz w:val="28"/>
          <w:vertAlign w:val="baseline"/>
        </w:rPr>
        <w:t>a</w:t>
      </w:r>
      <w:r>
        <w:rPr>
          <w:spacing w:val="-5"/>
          <w:sz w:val="28"/>
          <w:vertAlign w:val="baseline"/>
        </w:rPr>
        <w:t> </w:t>
      </w:r>
      <w:r>
        <w:rPr>
          <w:sz w:val="28"/>
          <w:vertAlign w:val="baseline"/>
        </w:rPr>
        <w:t>procedural</w:t>
      </w:r>
      <w:r>
        <w:rPr>
          <w:spacing w:val="-5"/>
          <w:sz w:val="28"/>
          <w:vertAlign w:val="baseline"/>
        </w:rPr>
        <w:t> </w:t>
      </w:r>
      <w:r>
        <w:rPr>
          <w:sz w:val="28"/>
          <w:vertAlign w:val="baseline"/>
        </w:rPr>
        <w:t>right</w:t>
      </w:r>
      <w:r>
        <w:rPr>
          <w:spacing w:val="-4"/>
          <w:sz w:val="28"/>
          <w:vertAlign w:val="baseline"/>
        </w:rPr>
        <w:t> </w:t>
      </w:r>
      <w:r>
        <w:rPr>
          <w:sz w:val="28"/>
          <w:vertAlign w:val="baseline"/>
        </w:rPr>
        <w:t>that</w:t>
      </w:r>
      <w:r>
        <w:rPr>
          <w:spacing w:val="-4"/>
          <w:sz w:val="28"/>
          <w:vertAlign w:val="baseline"/>
        </w:rPr>
        <w:t> </w:t>
      </w:r>
      <w:r>
        <w:rPr>
          <w:sz w:val="28"/>
          <w:vertAlign w:val="baseline"/>
        </w:rPr>
        <w:t>is</w:t>
      </w:r>
      <w:r>
        <w:rPr>
          <w:spacing w:val="-5"/>
          <w:sz w:val="28"/>
          <w:vertAlign w:val="baseline"/>
        </w:rPr>
        <w:t> </w:t>
      </w:r>
      <w:r>
        <w:rPr>
          <w:sz w:val="28"/>
          <w:vertAlign w:val="baseline"/>
        </w:rPr>
        <w:t>integral</w:t>
      </w:r>
      <w:r>
        <w:rPr>
          <w:spacing w:val="-5"/>
          <w:sz w:val="28"/>
          <w:vertAlign w:val="baseline"/>
        </w:rPr>
        <w:t> </w:t>
      </w:r>
      <w:r>
        <w:rPr>
          <w:sz w:val="28"/>
          <w:vertAlign w:val="baseline"/>
        </w:rPr>
        <w:t>to</w:t>
      </w:r>
      <w:r>
        <w:rPr>
          <w:spacing w:val="-5"/>
          <w:sz w:val="28"/>
          <w:vertAlign w:val="baseline"/>
        </w:rPr>
        <w:t> </w:t>
      </w:r>
      <w:r>
        <w:rPr>
          <w:sz w:val="28"/>
          <w:vertAlign w:val="baseline"/>
        </w:rPr>
        <w:t>European</w:t>
      </w:r>
    </w:p>
    <w:p>
      <w:pPr>
        <w:pStyle w:val="BodyText"/>
        <w:spacing w:line="225" w:lineRule="auto"/>
        <w:ind w:left="1853" w:right="1171"/>
      </w:pPr>
      <w:r>
        <w:rPr/>
        <w:t>Union</w:t>
      </w:r>
      <w:r>
        <w:rPr>
          <w:spacing w:val="-6"/>
        </w:rPr>
        <w:t> </w:t>
      </w:r>
      <w:r>
        <w:rPr/>
        <w:t>law,</w:t>
      </w:r>
      <w:r>
        <w:rPr>
          <w:spacing w:val="-5"/>
        </w:rPr>
        <w:t> </w:t>
      </w:r>
      <w:r>
        <w:rPr/>
        <w:t>both</w:t>
      </w:r>
      <w:r>
        <w:rPr>
          <w:spacing w:val="-6"/>
        </w:rPr>
        <w:t> </w:t>
      </w:r>
      <w:r>
        <w:rPr/>
        <w:t>in</w:t>
      </w:r>
      <w:r>
        <w:rPr>
          <w:spacing w:val="-6"/>
        </w:rPr>
        <w:t> </w:t>
      </w:r>
      <w:r>
        <w:rPr/>
        <w:t>the</w:t>
      </w:r>
      <w:r>
        <w:rPr>
          <w:spacing w:val="-5"/>
        </w:rPr>
        <w:t> </w:t>
      </w:r>
      <w:r>
        <w:rPr/>
        <w:t>field</w:t>
      </w:r>
      <w:r>
        <w:rPr>
          <w:spacing w:val="-6"/>
        </w:rPr>
        <w:t> </w:t>
      </w:r>
      <w:r>
        <w:rPr/>
        <w:t>of</w:t>
      </w:r>
      <w:r>
        <w:rPr>
          <w:spacing w:val="-6"/>
        </w:rPr>
        <w:t> </w:t>
      </w:r>
      <w:r>
        <w:rPr/>
        <w:t>equal</w:t>
      </w:r>
      <w:r>
        <w:rPr>
          <w:spacing w:val="-6"/>
        </w:rPr>
        <w:t> </w:t>
      </w:r>
      <w:r>
        <w:rPr/>
        <w:t>treatment</w:t>
      </w:r>
      <w:r>
        <w:rPr>
          <w:spacing w:val="-5"/>
        </w:rPr>
        <w:t> </w:t>
      </w:r>
      <w:r>
        <w:rPr/>
        <w:t>and</w:t>
      </w:r>
      <w:r>
        <w:rPr>
          <w:spacing w:val="-6"/>
        </w:rPr>
        <w:t> </w:t>
      </w:r>
      <w:r>
        <w:rPr/>
        <w:t>in</w:t>
      </w:r>
      <w:r>
        <w:rPr>
          <w:spacing w:val="-6"/>
        </w:rPr>
        <w:t> </w:t>
      </w:r>
      <w:r>
        <w:rPr/>
        <w:t>respect</w:t>
      </w:r>
      <w:r>
        <w:rPr>
          <w:spacing w:val="-5"/>
        </w:rPr>
        <w:t> </w:t>
      </w:r>
      <w:r>
        <w:rPr/>
        <w:t>of</w:t>
      </w:r>
      <w:r>
        <w:rPr>
          <w:spacing w:val="-6"/>
        </w:rPr>
        <w:t> </w:t>
      </w:r>
      <w:r>
        <w:rPr/>
        <w:t>other</w:t>
      </w:r>
      <w:r>
        <w:rPr>
          <w:spacing w:val="-5"/>
        </w:rPr>
        <w:t> </w:t>
      </w:r>
      <w:r>
        <w:rPr/>
        <w:t>directly effective rights”.</w:t>
      </w:r>
    </w:p>
    <w:p>
      <w:pPr>
        <w:pStyle w:val="BodyText"/>
        <w:rPr>
          <w:sz w:val="20"/>
        </w:rPr>
      </w:pPr>
    </w:p>
    <w:p>
      <w:pPr>
        <w:pStyle w:val="BodyText"/>
        <w:rPr>
          <w:sz w:val="20"/>
        </w:rPr>
      </w:pPr>
    </w:p>
    <w:p>
      <w:pPr>
        <w:pStyle w:val="BodyText"/>
        <w:spacing w:before="109"/>
        <w:rPr>
          <w:sz w:val="20"/>
        </w:rPr>
      </w:pPr>
      <w:r>
        <w:rPr/>
        <mc:AlternateContent>
          <mc:Choice Requires="wps">
            <w:drawing>
              <wp:anchor distT="0" distB="0" distL="0" distR="0" allowOverlap="1" layoutInCell="1" locked="0" behindDoc="1" simplePos="0" relativeHeight="487641600">
                <wp:simplePos x="0" y="0"/>
                <wp:positionH relativeFrom="page">
                  <wp:posOffset>719996</wp:posOffset>
                </wp:positionH>
                <wp:positionV relativeFrom="paragraph">
                  <wp:posOffset>239805</wp:posOffset>
                </wp:positionV>
                <wp:extent cx="6120130" cy="1270"/>
                <wp:effectExtent l="0" t="0" r="0" b="0"/>
                <wp:wrapTopAndBottom/>
                <wp:docPr id="180" name="Graphic 180"/>
                <wp:cNvGraphicFramePr>
                  <a:graphicFrameLocks/>
                </wp:cNvGraphicFramePr>
                <a:graphic>
                  <a:graphicData uri="http://schemas.microsoft.com/office/word/2010/wordprocessingShape">
                    <wps:wsp>
                      <wps:cNvPr id="180" name="Graphic 180"/>
                      <wps:cNvSpPr/>
                      <wps:spPr>
                        <a:xfrm>
                          <a:off x="0" y="0"/>
                          <a:ext cx="6120130" cy="1270"/>
                        </a:xfrm>
                        <a:custGeom>
                          <a:avLst/>
                          <a:gdLst/>
                          <a:ahLst/>
                          <a:cxnLst/>
                          <a:rect l="l" t="t" r="r" b="b"/>
                          <a:pathLst>
                            <a:path w="6120130" h="0">
                              <a:moveTo>
                                <a:pt x="6120003" y="0"/>
                              </a:moveTo>
                              <a:lnTo>
                                <a:pt x="0"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8.882303pt;width:481.9pt;height:.1pt;mso-position-horizontal-relative:page;mso-position-vertical-relative:paragraph;z-index:-15674880;mso-wrap-distance-left:0;mso-wrap-distance-right:0" id="docshape137" coordorigin="1134,378" coordsize="9638,0" path="m10772,378l1134,378e" filled="false" stroked="true" strokeweight="1pt" strokecolor="#393b7f">
                <v:path arrowok="t"/>
                <v:stroke dashstyle="solid"/>
                <w10:wrap type="topAndBottom"/>
              </v:shape>
            </w:pict>
          </mc:Fallback>
        </mc:AlternateContent>
      </w:r>
    </w:p>
    <w:p>
      <w:pPr>
        <w:pStyle w:val="ListParagraph"/>
        <w:numPr>
          <w:ilvl w:val="0"/>
          <w:numId w:val="3"/>
        </w:numPr>
        <w:tabs>
          <w:tab w:pos="1853" w:val="left" w:leader="none"/>
        </w:tabs>
        <w:spacing w:line="218" w:lineRule="exact" w:before="129" w:after="0"/>
        <w:ind w:left="1853" w:right="0" w:hanging="720"/>
        <w:jc w:val="both"/>
        <w:rPr>
          <w:sz w:val="18"/>
        </w:rPr>
      </w:pPr>
      <w:r>
        <w:rPr>
          <w:sz w:val="18"/>
        </w:rPr>
        <w:t>For</w:t>
      </w:r>
      <w:r>
        <w:rPr>
          <w:spacing w:val="-3"/>
          <w:sz w:val="18"/>
        </w:rPr>
        <w:t> </w:t>
      </w:r>
      <w:r>
        <w:rPr>
          <w:sz w:val="18"/>
        </w:rPr>
        <w:t>further</w:t>
      </w:r>
      <w:r>
        <w:rPr>
          <w:spacing w:val="-3"/>
          <w:sz w:val="18"/>
        </w:rPr>
        <w:t> </w:t>
      </w:r>
      <w:r>
        <w:rPr>
          <w:sz w:val="18"/>
        </w:rPr>
        <w:t>discussion</w:t>
      </w:r>
      <w:r>
        <w:rPr>
          <w:spacing w:val="-4"/>
          <w:sz w:val="18"/>
        </w:rPr>
        <w:t> </w:t>
      </w:r>
      <w:r>
        <w:rPr>
          <w:sz w:val="18"/>
        </w:rPr>
        <w:t>on</w:t>
      </w:r>
      <w:r>
        <w:rPr>
          <w:spacing w:val="-4"/>
          <w:sz w:val="18"/>
        </w:rPr>
        <w:t> </w:t>
      </w:r>
      <w:r>
        <w:rPr>
          <w:sz w:val="18"/>
        </w:rPr>
        <w:t>adding</w:t>
      </w:r>
      <w:r>
        <w:rPr>
          <w:spacing w:val="-2"/>
          <w:sz w:val="18"/>
        </w:rPr>
        <w:t> </w:t>
      </w:r>
      <w:r>
        <w:rPr>
          <w:sz w:val="18"/>
        </w:rPr>
        <w:t>measures</w:t>
      </w:r>
      <w:r>
        <w:rPr>
          <w:spacing w:val="-4"/>
          <w:sz w:val="18"/>
        </w:rPr>
        <w:t> </w:t>
      </w:r>
      <w:r>
        <w:rPr>
          <w:sz w:val="18"/>
        </w:rPr>
        <w:t>to</w:t>
      </w:r>
      <w:r>
        <w:rPr>
          <w:spacing w:val="-4"/>
          <w:sz w:val="18"/>
        </w:rPr>
        <w:t> </w:t>
      </w:r>
      <w:r>
        <w:rPr>
          <w:sz w:val="18"/>
        </w:rPr>
        <w:t>Annex</w:t>
      </w:r>
      <w:r>
        <w:rPr>
          <w:spacing w:val="-4"/>
          <w:sz w:val="18"/>
        </w:rPr>
        <w:t> </w:t>
      </w:r>
      <w:r>
        <w:rPr>
          <w:sz w:val="18"/>
        </w:rPr>
        <w:t>1</w:t>
      </w:r>
      <w:r>
        <w:rPr>
          <w:spacing w:val="-2"/>
          <w:sz w:val="18"/>
        </w:rPr>
        <w:t> </w:t>
      </w:r>
      <w:r>
        <w:rPr>
          <w:sz w:val="18"/>
        </w:rPr>
        <w:t>pursuant</w:t>
      </w:r>
      <w:r>
        <w:rPr>
          <w:spacing w:val="-3"/>
          <w:sz w:val="18"/>
        </w:rPr>
        <w:t> </w:t>
      </w:r>
      <w:r>
        <w:rPr>
          <w:sz w:val="18"/>
        </w:rPr>
        <w:t>to</w:t>
      </w:r>
      <w:r>
        <w:rPr>
          <w:spacing w:val="-4"/>
          <w:sz w:val="18"/>
        </w:rPr>
        <w:t> </w:t>
      </w:r>
      <w:r>
        <w:rPr>
          <w:sz w:val="18"/>
        </w:rPr>
        <w:t>Article</w:t>
      </w:r>
      <w:r>
        <w:rPr>
          <w:spacing w:val="-3"/>
          <w:sz w:val="18"/>
        </w:rPr>
        <w:t> </w:t>
      </w:r>
      <w:r>
        <w:rPr>
          <w:sz w:val="18"/>
        </w:rPr>
        <w:t>13(4),</w:t>
      </w:r>
      <w:r>
        <w:rPr>
          <w:spacing w:val="-3"/>
          <w:sz w:val="18"/>
        </w:rPr>
        <w:t> </w:t>
      </w:r>
      <w:r>
        <w:rPr>
          <w:sz w:val="18"/>
        </w:rPr>
        <w:t>see</w:t>
      </w:r>
      <w:r>
        <w:rPr>
          <w:spacing w:val="-2"/>
          <w:sz w:val="18"/>
        </w:rPr>
        <w:t> </w:t>
      </w:r>
      <w:r>
        <w:rPr>
          <w:sz w:val="18"/>
        </w:rPr>
        <w:t>Chapter</w:t>
      </w:r>
      <w:r>
        <w:rPr>
          <w:spacing w:val="-3"/>
          <w:sz w:val="18"/>
        </w:rPr>
        <w:t> </w:t>
      </w:r>
      <w:r>
        <w:rPr>
          <w:spacing w:val="-5"/>
          <w:sz w:val="18"/>
        </w:rPr>
        <w:t>2.</w:t>
      </w:r>
    </w:p>
    <w:p>
      <w:pPr>
        <w:pStyle w:val="ListParagraph"/>
        <w:numPr>
          <w:ilvl w:val="0"/>
          <w:numId w:val="3"/>
        </w:numPr>
        <w:tabs>
          <w:tab w:pos="1853" w:val="left" w:leader="none"/>
        </w:tabs>
        <w:spacing w:line="235" w:lineRule="auto" w:before="2" w:after="0"/>
        <w:ind w:left="1853" w:right="1412" w:hanging="720"/>
        <w:jc w:val="both"/>
        <w:rPr>
          <w:sz w:val="18"/>
        </w:rPr>
      </w:pPr>
      <w:r>
        <w:rPr>
          <w:sz w:val="18"/>
        </w:rPr>
        <w:t>Sarah</w:t>
      </w:r>
      <w:r>
        <w:rPr>
          <w:spacing w:val="-7"/>
          <w:sz w:val="18"/>
        </w:rPr>
        <w:t> </w:t>
      </w:r>
      <w:r>
        <w:rPr>
          <w:sz w:val="18"/>
        </w:rPr>
        <w:t>Craig,</w:t>
      </w:r>
      <w:r>
        <w:rPr>
          <w:spacing w:val="-6"/>
          <w:sz w:val="18"/>
        </w:rPr>
        <w:t> </w:t>
      </w:r>
      <w:r>
        <w:rPr>
          <w:sz w:val="18"/>
        </w:rPr>
        <w:t>Anurag</w:t>
      </w:r>
      <w:r>
        <w:rPr>
          <w:spacing w:val="-6"/>
          <w:sz w:val="18"/>
        </w:rPr>
        <w:t> </w:t>
      </w:r>
      <w:r>
        <w:rPr>
          <w:sz w:val="18"/>
        </w:rPr>
        <w:t>Deb,</w:t>
      </w:r>
      <w:r>
        <w:rPr>
          <w:spacing w:val="-6"/>
          <w:sz w:val="18"/>
        </w:rPr>
        <w:t> </w:t>
      </w:r>
      <w:r>
        <w:rPr>
          <w:sz w:val="18"/>
        </w:rPr>
        <w:t>Eleni</w:t>
      </w:r>
      <w:r>
        <w:rPr>
          <w:spacing w:val="-7"/>
          <w:sz w:val="18"/>
        </w:rPr>
        <w:t> </w:t>
      </w:r>
      <w:r>
        <w:rPr>
          <w:sz w:val="18"/>
        </w:rPr>
        <w:t>Frantziou,</w:t>
      </w:r>
      <w:r>
        <w:rPr>
          <w:spacing w:val="-6"/>
          <w:sz w:val="18"/>
        </w:rPr>
        <w:t> </w:t>
      </w:r>
      <w:r>
        <w:rPr>
          <w:sz w:val="18"/>
        </w:rPr>
        <w:t>Alexander</w:t>
      </w:r>
      <w:r>
        <w:rPr>
          <w:spacing w:val="-6"/>
          <w:sz w:val="18"/>
        </w:rPr>
        <w:t> </w:t>
      </w:r>
      <w:r>
        <w:rPr>
          <w:sz w:val="18"/>
        </w:rPr>
        <w:t>Horne,</w:t>
      </w:r>
      <w:r>
        <w:rPr>
          <w:spacing w:val="-6"/>
          <w:sz w:val="18"/>
        </w:rPr>
        <w:t> </w:t>
      </w:r>
      <w:r>
        <w:rPr>
          <w:sz w:val="18"/>
        </w:rPr>
        <w:t>Colin</w:t>
      </w:r>
      <w:r>
        <w:rPr>
          <w:spacing w:val="-7"/>
          <w:sz w:val="18"/>
        </w:rPr>
        <w:t> </w:t>
      </w:r>
      <w:r>
        <w:rPr>
          <w:sz w:val="18"/>
        </w:rPr>
        <w:t>Murray,</w:t>
      </w:r>
      <w:r>
        <w:rPr>
          <w:spacing w:val="-6"/>
          <w:sz w:val="18"/>
        </w:rPr>
        <w:t> </w:t>
      </w:r>
      <w:r>
        <w:rPr>
          <w:sz w:val="18"/>
        </w:rPr>
        <w:t>Clare</w:t>
      </w:r>
      <w:r>
        <w:rPr>
          <w:spacing w:val="-6"/>
          <w:sz w:val="18"/>
        </w:rPr>
        <w:t> </w:t>
      </w:r>
      <w:r>
        <w:rPr>
          <w:sz w:val="18"/>
        </w:rPr>
        <w:t>Rice</w:t>
      </w:r>
      <w:r>
        <w:rPr>
          <w:spacing w:val="-6"/>
          <w:sz w:val="18"/>
        </w:rPr>
        <w:t> </w:t>
      </w:r>
      <w:r>
        <w:rPr>
          <w:sz w:val="18"/>
        </w:rPr>
        <w:t>and</w:t>
      </w:r>
      <w:r>
        <w:rPr>
          <w:spacing w:val="-7"/>
          <w:sz w:val="18"/>
        </w:rPr>
        <w:t> </w:t>
      </w:r>
      <w:r>
        <w:rPr>
          <w:sz w:val="18"/>
        </w:rPr>
        <w:t>Jane</w:t>
      </w:r>
      <w:r>
        <w:rPr>
          <w:spacing w:val="-6"/>
          <w:sz w:val="18"/>
        </w:rPr>
        <w:t> </w:t>
      </w:r>
      <w:r>
        <w:rPr>
          <w:sz w:val="18"/>
        </w:rPr>
        <w:t>Rooney,</w:t>
      </w:r>
      <w:r>
        <w:rPr>
          <w:spacing w:val="-6"/>
          <w:sz w:val="18"/>
        </w:rPr>
        <w:t> </w:t>
      </w:r>
      <w:r>
        <w:rPr>
          <w:sz w:val="18"/>
        </w:rPr>
        <w:t>‘</w:t>
      </w:r>
      <w:hyperlink r:id="rId82">
        <w:r>
          <w:rPr>
            <w:sz w:val="18"/>
          </w:rPr>
          <w:t>European</w:t>
        </w:r>
        <w:r>
          <w:rPr>
            <w:spacing w:val="-7"/>
            <w:sz w:val="18"/>
          </w:rPr>
          <w:t> </w:t>
        </w:r>
        <w:r>
          <w:rPr>
            <w:sz w:val="18"/>
          </w:rPr>
          <w:t>Union</w:t>
        </w:r>
      </w:hyperlink>
      <w:r>
        <w:rPr>
          <w:sz w:val="18"/>
        </w:rPr>
        <w:t> </w:t>
      </w:r>
      <w:hyperlink r:id="rId82">
        <w:r>
          <w:rPr>
            <w:sz w:val="18"/>
          </w:rPr>
          <w:t>developments</w:t>
        </w:r>
        <w:r>
          <w:rPr>
            <w:spacing w:val="-2"/>
            <w:sz w:val="18"/>
          </w:rPr>
          <w:t> </w:t>
        </w:r>
        <w:r>
          <w:rPr>
            <w:sz w:val="18"/>
          </w:rPr>
          <w:t>in</w:t>
        </w:r>
        <w:r>
          <w:rPr>
            <w:spacing w:val="-2"/>
            <w:sz w:val="18"/>
          </w:rPr>
          <w:t> </w:t>
        </w:r>
        <w:r>
          <w:rPr>
            <w:sz w:val="18"/>
          </w:rPr>
          <w:t>Equality</w:t>
        </w:r>
        <w:r>
          <w:rPr>
            <w:spacing w:val="-1"/>
            <w:sz w:val="18"/>
          </w:rPr>
          <w:t> </w:t>
        </w:r>
        <w:r>
          <w:rPr>
            <w:sz w:val="18"/>
          </w:rPr>
          <w:t>and</w:t>
        </w:r>
        <w:r>
          <w:rPr>
            <w:spacing w:val="-2"/>
            <w:sz w:val="18"/>
          </w:rPr>
          <w:t> </w:t>
        </w:r>
        <w:r>
          <w:rPr>
            <w:sz w:val="18"/>
          </w:rPr>
          <w:t>Human</w:t>
        </w:r>
        <w:r>
          <w:rPr>
            <w:spacing w:val="-2"/>
            <w:sz w:val="18"/>
          </w:rPr>
          <w:t> </w:t>
        </w:r>
        <w:r>
          <w:rPr>
            <w:sz w:val="18"/>
          </w:rPr>
          <w:t>Rights:</w:t>
        </w:r>
        <w:r>
          <w:rPr>
            <w:spacing w:val="-1"/>
            <w:sz w:val="18"/>
          </w:rPr>
          <w:t> </w:t>
        </w:r>
        <w:r>
          <w:rPr>
            <w:sz w:val="18"/>
          </w:rPr>
          <w:t>The</w:t>
        </w:r>
        <w:r>
          <w:rPr>
            <w:spacing w:val="-1"/>
            <w:sz w:val="18"/>
          </w:rPr>
          <w:t> </w:t>
        </w:r>
        <w:r>
          <w:rPr>
            <w:sz w:val="18"/>
          </w:rPr>
          <w:t>Impact</w:t>
        </w:r>
        <w:r>
          <w:rPr>
            <w:spacing w:val="-1"/>
            <w:sz w:val="18"/>
          </w:rPr>
          <w:t> </w:t>
        </w:r>
        <w:r>
          <w:rPr>
            <w:sz w:val="18"/>
          </w:rPr>
          <w:t>of</w:t>
        </w:r>
        <w:r>
          <w:rPr>
            <w:spacing w:val="-2"/>
            <w:sz w:val="18"/>
          </w:rPr>
          <w:t> </w:t>
        </w:r>
        <w:r>
          <w:rPr>
            <w:sz w:val="18"/>
          </w:rPr>
          <w:t>Brexit</w:t>
        </w:r>
        <w:r>
          <w:rPr>
            <w:spacing w:val="-1"/>
            <w:sz w:val="18"/>
          </w:rPr>
          <w:t> </w:t>
        </w:r>
        <w:r>
          <w:rPr>
            <w:sz w:val="18"/>
          </w:rPr>
          <w:t>on</w:t>
        </w:r>
        <w:r>
          <w:rPr>
            <w:spacing w:val="-2"/>
            <w:sz w:val="18"/>
          </w:rPr>
          <w:t> </w:t>
        </w:r>
        <w:r>
          <w:rPr>
            <w:sz w:val="18"/>
          </w:rPr>
          <w:t>the</w:t>
        </w:r>
        <w:r>
          <w:rPr>
            <w:spacing w:val="-1"/>
            <w:sz w:val="18"/>
          </w:rPr>
          <w:t> </w:t>
        </w:r>
        <w:r>
          <w:rPr>
            <w:sz w:val="18"/>
          </w:rPr>
          <w:t>divergence</w:t>
        </w:r>
        <w:r>
          <w:rPr>
            <w:spacing w:val="-1"/>
            <w:sz w:val="18"/>
          </w:rPr>
          <w:t> </w:t>
        </w:r>
        <w:r>
          <w:rPr>
            <w:sz w:val="18"/>
          </w:rPr>
          <w:t>of</w:t>
        </w:r>
        <w:r>
          <w:rPr>
            <w:spacing w:val="-2"/>
            <w:sz w:val="18"/>
          </w:rPr>
          <w:t> </w:t>
        </w:r>
        <w:r>
          <w:rPr>
            <w:sz w:val="18"/>
          </w:rPr>
          <w:t>rights</w:t>
        </w:r>
        <w:r>
          <w:rPr>
            <w:spacing w:val="-2"/>
            <w:sz w:val="18"/>
          </w:rPr>
          <w:t> </w:t>
        </w:r>
        <w:r>
          <w:rPr>
            <w:sz w:val="18"/>
          </w:rPr>
          <w:t>and</w:t>
        </w:r>
        <w:r>
          <w:rPr>
            <w:spacing w:val="-2"/>
            <w:sz w:val="18"/>
          </w:rPr>
          <w:t> </w:t>
        </w:r>
        <w:r>
          <w:rPr>
            <w:sz w:val="18"/>
          </w:rPr>
          <w:t>best</w:t>
        </w:r>
        <w:r>
          <w:rPr>
            <w:spacing w:val="-1"/>
            <w:sz w:val="18"/>
          </w:rPr>
          <w:t> </w:t>
        </w:r>
        <w:r>
          <w:rPr>
            <w:sz w:val="18"/>
          </w:rPr>
          <w:t>practice</w:t>
        </w:r>
        <w:r>
          <w:rPr>
            <w:spacing w:val="-1"/>
            <w:sz w:val="18"/>
          </w:rPr>
          <w:t> </w:t>
        </w:r>
        <w:r>
          <w:rPr>
            <w:sz w:val="18"/>
          </w:rPr>
          <w:t>on</w:t>
        </w:r>
        <w:r>
          <w:rPr>
            <w:spacing w:val="-2"/>
            <w:sz w:val="18"/>
          </w:rPr>
          <w:t> </w:t>
        </w:r>
        <w:r>
          <w:rPr>
            <w:sz w:val="18"/>
          </w:rPr>
          <w:t>the</w:t>
        </w:r>
      </w:hyperlink>
      <w:r>
        <w:rPr>
          <w:sz w:val="18"/>
        </w:rPr>
        <w:t> </w:t>
      </w:r>
      <w:hyperlink r:id="rId82">
        <w:r>
          <w:rPr>
            <w:sz w:val="18"/>
          </w:rPr>
          <w:t>island of Ireland</w:t>
        </w:r>
      </w:hyperlink>
      <w:r>
        <w:rPr>
          <w:sz w:val="18"/>
        </w:rPr>
        <w:t>’ (ECNI, NIHRC, IHREC 2022); Equality Commission for NI, NI Human Rights Commission and Irish</w:t>
      </w:r>
    </w:p>
    <w:p>
      <w:pPr>
        <w:spacing w:line="235" w:lineRule="auto" w:before="2"/>
        <w:ind w:left="1853" w:right="1172" w:firstLine="0"/>
        <w:jc w:val="both"/>
        <w:rPr>
          <w:sz w:val="18"/>
        </w:rPr>
      </w:pPr>
      <w:r>
        <w:rPr>
          <w:sz w:val="18"/>
        </w:rPr>
        <w:t>Human</w:t>
      </w:r>
      <w:r>
        <w:rPr>
          <w:spacing w:val="-6"/>
          <w:sz w:val="18"/>
        </w:rPr>
        <w:t> </w:t>
      </w:r>
      <w:r>
        <w:rPr>
          <w:sz w:val="18"/>
        </w:rPr>
        <w:t>Rights</w:t>
      </w:r>
      <w:r>
        <w:rPr>
          <w:spacing w:val="-6"/>
          <w:sz w:val="18"/>
        </w:rPr>
        <w:t> </w:t>
      </w:r>
      <w:r>
        <w:rPr>
          <w:sz w:val="18"/>
        </w:rPr>
        <w:t>and</w:t>
      </w:r>
      <w:r>
        <w:rPr>
          <w:spacing w:val="-6"/>
          <w:sz w:val="18"/>
        </w:rPr>
        <w:t> </w:t>
      </w:r>
      <w:r>
        <w:rPr>
          <w:sz w:val="18"/>
        </w:rPr>
        <w:t>Equality</w:t>
      </w:r>
      <w:r>
        <w:rPr>
          <w:spacing w:val="-6"/>
          <w:sz w:val="18"/>
        </w:rPr>
        <w:t> </w:t>
      </w:r>
      <w:r>
        <w:rPr>
          <w:sz w:val="18"/>
        </w:rPr>
        <w:t>Commission,</w:t>
      </w:r>
      <w:r>
        <w:rPr>
          <w:spacing w:val="-6"/>
          <w:sz w:val="18"/>
        </w:rPr>
        <w:t> </w:t>
      </w:r>
      <w:r>
        <w:rPr>
          <w:sz w:val="18"/>
        </w:rPr>
        <w:t>‘</w:t>
      </w:r>
      <w:hyperlink r:id="rId76">
        <w:r>
          <w:rPr>
            <w:sz w:val="18"/>
          </w:rPr>
          <w:t>Policy</w:t>
        </w:r>
        <w:r>
          <w:rPr>
            <w:spacing w:val="-6"/>
            <w:sz w:val="18"/>
          </w:rPr>
          <w:t> </w:t>
        </w:r>
        <w:r>
          <w:rPr>
            <w:sz w:val="18"/>
          </w:rPr>
          <w:t>Recommendations:</w:t>
        </w:r>
        <w:r>
          <w:rPr>
            <w:spacing w:val="-6"/>
            <w:sz w:val="18"/>
          </w:rPr>
          <w:t> </w:t>
        </w:r>
        <w:r>
          <w:rPr>
            <w:sz w:val="18"/>
          </w:rPr>
          <w:t>European</w:t>
        </w:r>
        <w:r>
          <w:rPr>
            <w:spacing w:val="-6"/>
            <w:sz w:val="18"/>
          </w:rPr>
          <w:t> </w:t>
        </w:r>
        <w:r>
          <w:rPr>
            <w:sz w:val="18"/>
          </w:rPr>
          <w:t>Union</w:t>
        </w:r>
        <w:r>
          <w:rPr>
            <w:spacing w:val="-6"/>
            <w:sz w:val="18"/>
          </w:rPr>
          <w:t> </w:t>
        </w:r>
        <w:r>
          <w:rPr>
            <w:sz w:val="18"/>
          </w:rPr>
          <w:t>developments</w:t>
        </w:r>
        <w:r>
          <w:rPr>
            <w:spacing w:val="-6"/>
            <w:sz w:val="18"/>
          </w:rPr>
          <w:t> </w:t>
        </w:r>
        <w:r>
          <w:rPr>
            <w:sz w:val="18"/>
          </w:rPr>
          <w:t>in</w:t>
        </w:r>
        <w:r>
          <w:rPr>
            <w:spacing w:val="-6"/>
            <w:sz w:val="18"/>
          </w:rPr>
          <w:t> </w:t>
        </w:r>
        <w:r>
          <w:rPr>
            <w:sz w:val="18"/>
          </w:rPr>
          <w:t>Equality</w:t>
        </w:r>
        <w:r>
          <w:rPr>
            <w:spacing w:val="-6"/>
            <w:sz w:val="18"/>
          </w:rPr>
          <w:t> </w:t>
        </w:r>
        <w:r>
          <w:rPr>
            <w:sz w:val="18"/>
          </w:rPr>
          <w:t>and</w:t>
        </w:r>
        <w:r>
          <w:rPr>
            <w:spacing w:val="-6"/>
            <w:sz w:val="18"/>
          </w:rPr>
          <w:t> </w:t>
        </w:r>
        <w:r>
          <w:rPr>
            <w:sz w:val="18"/>
          </w:rPr>
          <w:t>Human</w:t>
        </w:r>
      </w:hyperlink>
      <w:r>
        <w:rPr>
          <w:sz w:val="18"/>
        </w:rPr>
        <w:t> </w:t>
      </w:r>
      <w:hyperlink r:id="rId76">
        <w:r>
          <w:rPr>
            <w:sz w:val="18"/>
          </w:rPr>
          <w:t>Rights:</w:t>
        </w:r>
        <w:r>
          <w:rPr>
            <w:spacing w:val="-5"/>
            <w:sz w:val="18"/>
          </w:rPr>
          <w:t> </w:t>
        </w:r>
        <w:r>
          <w:rPr>
            <w:sz w:val="18"/>
          </w:rPr>
          <w:t>The</w:t>
        </w:r>
        <w:r>
          <w:rPr>
            <w:spacing w:val="-5"/>
            <w:sz w:val="18"/>
          </w:rPr>
          <w:t> </w:t>
        </w:r>
        <w:r>
          <w:rPr>
            <w:sz w:val="18"/>
          </w:rPr>
          <w:t>Impact</w:t>
        </w:r>
        <w:r>
          <w:rPr>
            <w:spacing w:val="-5"/>
            <w:sz w:val="18"/>
          </w:rPr>
          <w:t> </w:t>
        </w:r>
        <w:r>
          <w:rPr>
            <w:sz w:val="18"/>
          </w:rPr>
          <w:t>of</w:t>
        </w:r>
        <w:r>
          <w:rPr>
            <w:spacing w:val="-5"/>
            <w:sz w:val="18"/>
          </w:rPr>
          <w:t> </w:t>
        </w:r>
        <w:r>
          <w:rPr>
            <w:sz w:val="18"/>
          </w:rPr>
          <w:t>Brexit</w:t>
        </w:r>
        <w:r>
          <w:rPr>
            <w:spacing w:val="-5"/>
            <w:sz w:val="18"/>
          </w:rPr>
          <w:t> </w:t>
        </w:r>
        <w:r>
          <w:rPr>
            <w:sz w:val="18"/>
          </w:rPr>
          <w:t>on</w:t>
        </w:r>
        <w:r>
          <w:rPr>
            <w:spacing w:val="-5"/>
            <w:sz w:val="18"/>
          </w:rPr>
          <w:t> </w:t>
        </w:r>
        <w:r>
          <w:rPr>
            <w:sz w:val="18"/>
          </w:rPr>
          <w:t>the</w:t>
        </w:r>
        <w:r>
          <w:rPr>
            <w:spacing w:val="-5"/>
            <w:sz w:val="18"/>
          </w:rPr>
          <w:t> </w:t>
        </w:r>
        <w:r>
          <w:rPr>
            <w:sz w:val="18"/>
          </w:rPr>
          <w:t>divergence</w:t>
        </w:r>
        <w:r>
          <w:rPr>
            <w:spacing w:val="-5"/>
            <w:sz w:val="18"/>
          </w:rPr>
          <w:t> </w:t>
        </w:r>
        <w:r>
          <w:rPr>
            <w:sz w:val="18"/>
          </w:rPr>
          <w:t>of</w:t>
        </w:r>
        <w:r>
          <w:rPr>
            <w:spacing w:val="-5"/>
            <w:sz w:val="18"/>
          </w:rPr>
          <w:t> </w:t>
        </w:r>
        <w:r>
          <w:rPr>
            <w:sz w:val="18"/>
          </w:rPr>
          <w:t>rights</w:t>
        </w:r>
        <w:r>
          <w:rPr>
            <w:spacing w:val="-5"/>
            <w:sz w:val="18"/>
          </w:rPr>
          <w:t> </w:t>
        </w:r>
        <w:r>
          <w:rPr>
            <w:sz w:val="18"/>
          </w:rPr>
          <w:t>and</w:t>
        </w:r>
        <w:r>
          <w:rPr>
            <w:spacing w:val="-5"/>
            <w:sz w:val="18"/>
          </w:rPr>
          <w:t> </w:t>
        </w:r>
        <w:r>
          <w:rPr>
            <w:sz w:val="18"/>
          </w:rPr>
          <w:t>best</w:t>
        </w:r>
        <w:r>
          <w:rPr>
            <w:spacing w:val="-5"/>
            <w:sz w:val="18"/>
          </w:rPr>
          <w:t> </w:t>
        </w:r>
        <w:r>
          <w:rPr>
            <w:sz w:val="18"/>
          </w:rPr>
          <w:t>practice</w:t>
        </w:r>
        <w:r>
          <w:rPr>
            <w:spacing w:val="-5"/>
            <w:sz w:val="18"/>
          </w:rPr>
          <w:t> </w:t>
        </w:r>
        <w:r>
          <w:rPr>
            <w:sz w:val="18"/>
          </w:rPr>
          <w:t>on</w:t>
        </w:r>
        <w:r>
          <w:rPr>
            <w:spacing w:val="-5"/>
            <w:sz w:val="18"/>
          </w:rPr>
          <w:t> </w:t>
        </w:r>
        <w:r>
          <w:rPr>
            <w:sz w:val="18"/>
          </w:rPr>
          <w:t>the</w:t>
        </w:r>
        <w:r>
          <w:rPr>
            <w:spacing w:val="-5"/>
            <w:sz w:val="18"/>
          </w:rPr>
          <w:t> </w:t>
        </w:r>
        <w:r>
          <w:rPr>
            <w:sz w:val="18"/>
          </w:rPr>
          <w:t>island</w:t>
        </w:r>
        <w:r>
          <w:rPr>
            <w:spacing w:val="-5"/>
            <w:sz w:val="18"/>
          </w:rPr>
          <w:t> </w:t>
        </w:r>
        <w:r>
          <w:rPr>
            <w:sz w:val="18"/>
          </w:rPr>
          <w:t>of</w:t>
        </w:r>
        <w:r>
          <w:rPr>
            <w:spacing w:val="-5"/>
            <w:sz w:val="18"/>
          </w:rPr>
          <w:t> </w:t>
        </w:r>
        <w:r>
          <w:rPr>
            <w:sz w:val="18"/>
          </w:rPr>
          <w:t>Ireland</w:t>
        </w:r>
      </w:hyperlink>
      <w:r>
        <w:rPr>
          <w:sz w:val="18"/>
        </w:rPr>
        <w:t>’</w:t>
      </w:r>
      <w:r>
        <w:rPr>
          <w:spacing w:val="-5"/>
          <w:sz w:val="18"/>
        </w:rPr>
        <w:t> </w:t>
      </w:r>
      <w:r>
        <w:rPr>
          <w:sz w:val="18"/>
        </w:rPr>
        <w:t>(ECNI,</w:t>
      </w:r>
      <w:r>
        <w:rPr>
          <w:spacing w:val="-5"/>
          <w:sz w:val="18"/>
        </w:rPr>
        <w:t> </w:t>
      </w:r>
      <w:r>
        <w:rPr>
          <w:sz w:val="18"/>
        </w:rPr>
        <w:t>NIHRC</w:t>
      </w:r>
      <w:r>
        <w:rPr>
          <w:spacing w:val="-5"/>
          <w:sz w:val="18"/>
        </w:rPr>
        <w:t> </w:t>
      </w:r>
      <w:r>
        <w:rPr>
          <w:sz w:val="18"/>
        </w:rPr>
        <w:t>and</w:t>
      </w:r>
      <w:r>
        <w:rPr>
          <w:spacing w:val="-5"/>
          <w:sz w:val="18"/>
        </w:rPr>
        <w:t> </w:t>
      </w:r>
      <w:r>
        <w:rPr>
          <w:sz w:val="18"/>
        </w:rPr>
        <w:t>IHREC, </w:t>
      </w:r>
      <w:r>
        <w:rPr>
          <w:spacing w:val="-2"/>
          <w:sz w:val="18"/>
        </w:rPr>
        <w:t>2023).</w:t>
      </w:r>
    </w:p>
    <w:p>
      <w:pPr>
        <w:pStyle w:val="ListParagraph"/>
        <w:numPr>
          <w:ilvl w:val="0"/>
          <w:numId w:val="3"/>
        </w:numPr>
        <w:tabs>
          <w:tab w:pos="1853" w:val="left" w:leader="none"/>
        </w:tabs>
        <w:spacing w:line="235" w:lineRule="auto" w:before="2" w:after="0"/>
        <w:ind w:left="1853" w:right="1182" w:hanging="720"/>
        <w:jc w:val="left"/>
        <w:rPr>
          <w:sz w:val="18"/>
        </w:rPr>
      </w:pPr>
      <w:r>
        <w:rPr>
          <w:i/>
          <w:sz w:val="18"/>
        </w:rPr>
        <w:t>Diskrimineringsombudsmannen v Braathens Regional Aviation AB</w:t>
      </w:r>
      <w:r>
        <w:rPr>
          <w:sz w:val="18"/>
        </w:rPr>
        <w:t>, Case C-30/19, 15 April 2021. The case concerned a passenger who claimed he was discriminated against on grounds of his ethnicity, requiring him to undertake additional security</w:t>
      </w:r>
      <w:r>
        <w:rPr>
          <w:spacing w:val="-5"/>
          <w:sz w:val="18"/>
        </w:rPr>
        <w:t> </w:t>
      </w:r>
      <w:r>
        <w:rPr>
          <w:sz w:val="18"/>
        </w:rPr>
        <w:t>controls,</w:t>
      </w:r>
      <w:r>
        <w:rPr>
          <w:spacing w:val="-5"/>
          <w:sz w:val="18"/>
        </w:rPr>
        <w:t> </w:t>
      </w:r>
      <w:r>
        <w:rPr>
          <w:sz w:val="18"/>
        </w:rPr>
        <w:t>and</w:t>
      </w:r>
      <w:r>
        <w:rPr>
          <w:spacing w:val="-6"/>
          <w:sz w:val="18"/>
        </w:rPr>
        <w:t> </w:t>
      </w:r>
      <w:r>
        <w:rPr>
          <w:sz w:val="18"/>
        </w:rPr>
        <w:t>resulted</w:t>
      </w:r>
      <w:r>
        <w:rPr>
          <w:spacing w:val="-6"/>
          <w:sz w:val="18"/>
        </w:rPr>
        <w:t> </w:t>
      </w:r>
      <w:r>
        <w:rPr>
          <w:sz w:val="18"/>
        </w:rPr>
        <w:t>in</w:t>
      </w:r>
      <w:r>
        <w:rPr>
          <w:spacing w:val="-6"/>
          <w:sz w:val="18"/>
        </w:rPr>
        <w:t> </w:t>
      </w:r>
      <w:r>
        <w:rPr>
          <w:sz w:val="18"/>
        </w:rPr>
        <w:t>a</w:t>
      </w:r>
      <w:r>
        <w:rPr>
          <w:spacing w:val="-6"/>
          <w:sz w:val="18"/>
        </w:rPr>
        <w:t> </w:t>
      </w:r>
      <w:r>
        <w:rPr>
          <w:sz w:val="18"/>
        </w:rPr>
        <w:t>settlement</w:t>
      </w:r>
      <w:r>
        <w:rPr>
          <w:spacing w:val="-5"/>
          <w:sz w:val="18"/>
        </w:rPr>
        <w:t> </w:t>
      </w:r>
      <w:r>
        <w:rPr>
          <w:sz w:val="18"/>
        </w:rPr>
        <w:t>with</w:t>
      </w:r>
      <w:r>
        <w:rPr>
          <w:spacing w:val="-6"/>
          <w:sz w:val="18"/>
        </w:rPr>
        <w:t> </w:t>
      </w:r>
      <w:r>
        <w:rPr>
          <w:sz w:val="18"/>
        </w:rPr>
        <w:t>the</w:t>
      </w:r>
      <w:r>
        <w:rPr>
          <w:spacing w:val="-5"/>
          <w:sz w:val="18"/>
        </w:rPr>
        <w:t> </w:t>
      </w:r>
      <w:r>
        <w:rPr>
          <w:sz w:val="18"/>
        </w:rPr>
        <w:t>airline</w:t>
      </w:r>
      <w:r>
        <w:rPr>
          <w:spacing w:val="-5"/>
          <w:sz w:val="18"/>
        </w:rPr>
        <w:t> </w:t>
      </w:r>
      <w:r>
        <w:rPr>
          <w:sz w:val="18"/>
        </w:rPr>
        <w:t>paying</w:t>
      </w:r>
      <w:r>
        <w:rPr>
          <w:spacing w:val="-5"/>
          <w:sz w:val="18"/>
        </w:rPr>
        <w:t> </w:t>
      </w:r>
      <w:r>
        <w:rPr>
          <w:sz w:val="18"/>
        </w:rPr>
        <w:t>compensation</w:t>
      </w:r>
      <w:r>
        <w:rPr>
          <w:spacing w:val="-6"/>
          <w:sz w:val="18"/>
        </w:rPr>
        <w:t> </w:t>
      </w:r>
      <w:r>
        <w:rPr>
          <w:sz w:val="18"/>
        </w:rPr>
        <w:t>without</w:t>
      </w:r>
      <w:r>
        <w:rPr>
          <w:spacing w:val="-5"/>
          <w:sz w:val="18"/>
        </w:rPr>
        <w:t> </w:t>
      </w:r>
      <w:r>
        <w:rPr>
          <w:sz w:val="18"/>
        </w:rPr>
        <w:t>admitting</w:t>
      </w:r>
      <w:r>
        <w:rPr>
          <w:spacing w:val="-5"/>
          <w:sz w:val="18"/>
        </w:rPr>
        <w:t> </w:t>
      </w:r>
      <w:r>
        <w:rPr>
          <w:sz w:val="18"/>
        </w:rPr>
        <w:t>that</w:t>
      </w:r>
      <w:r>
        <w:rPr>
          <w:spacing w:val="-5"/>
          <w:sz w:val="18"/>
        </w:rPr>
        <w:t> </w:t>
      </w:r>
      <w:r>
        <w:rPr>
          <w:sz w:val="18"/>
        </w:rPr>
        <w:t>discrimination had taken place.</w:t>
      </w:r>
    </w:p>
    <w:p>
      <w:pPr>
        <w:pStyle w:val="ListParagraph"/>
        <w:numPr>
          <w:ilvl w:val="0"/>
          <w:numId w:val="3"/>
        </w:numPr>
        <w:tabs>
          <w:tab w:pos="1853" w:val="left" w:leader="none"/>
        </w:tabs>
        <w:spacing w:line="217" w:lineRule="exact" w:before="0" w:after="0"/>
        <w:ind w:left="1853" w:right="0" w:hanging="720"/>
        <w:jc w:val="left"/>
        <w:rPr>
          <w:sz w:val="18"/>
        </w:rPr>
      </w:pPr>
      <w:r>
        <w:rPr>
          <w:i/>
          <w:sz w:val="18"/>
        </w:rPr>
        <w:t>A.B.</w:t>
      </w:r>
      <w:r>
        <w:rPr>
          <w:i/>
          <w:spacing w:val="-4"/>
          <w:sz w:val="18"/>
        </w:rPr>
        <w:t> </w:t>
      </w:r>
      <w:r>
        <w:rPr>
          <w:i/>
          <w:sz w:val="18"/>
        </w:rPr>
        <w:t>and</w:t>
      </w:r>
      <w:r>
        <w:rPr>
          <w:i/>
          <w:spacing w:val="-4"/>
          <w:sz w:val="18"/>
        </w:rPr>
        <w:t> </w:t>
      </w:r>
      <w:r>
        <w:rPr>
          <w:i/>
          <w:sz w:val="18"/>
        </w:rPr>
        <w:t>Others</w:t>
      </w:r>
      <w:r>
        <w:rPr>
          <w:i/>
          <w:spacing w:val="-3"/>
          <w:sz w:val="18"/>
        </w:rPr>
        <w:t> </w:t>
      </w:r>
      <w:r>
        <w:rPr>
          <w:i/>
          <w:sz w:val="18"/>
        </w:rPr>
        <w:t>v</w:t>
      </w:r>
      <w:r>
        <w:rPr>
          <w:i/>
          <w:spacing w:val="-3"/>
          <w:sz w:val="18"/>
        </w:rPr>
        <w:t> </w:t>
      </w:r>
      <w:r>
        <w:rPr>
          <w:i/>
          <w:sz w:val="18"/>
        </w:rPr>
        <w:t>Krajowa</w:t>
      </w:r>
      <w:r>
        <w:rPr>
          <w:i/>
          <w:spacing w:val="-4"/>
          <w:sz w:val="18"/>
        </w:rPr>
        <w:t> </w:t>
      </w:r>
      <w:r>
        <w:rPr>
          <w:i/>
          <w:sz w:val="18"/>
        </w:rPr>
        <w:t>Rada</w:t>
      </w:r>
      <w:r>
        <w:rPr>
          <w:i/>
          <w:spacing w:val="-4"/>
          <w:sz w:val="18"/>
        </w:rPr>
        <w:t> </w:t>
      </w:r>
      <w:r>
        <w:rPr>
          <w:i/>
          <w:sz w:val="18"/>
        </w:rPr>
        <w:t>Sądownictwa</w:t>
      </w:r>
      <w:r>
        <w:rPr>
          <w:i/>
          <w:spacing w:val="-3"/>
          <w:sz w:val="18"/>
        </w:rPr>
        <w:t> </w:t>
      </w:r>
      <w:r>
        <w:rPr>
          <w:i/>
          <w:sz w:val="18"/>
        </w:rPr>
        <w:t>and</w:t>
      </w:r>
      <w:r>
        <w:rPr>
          <w:i/>
          <w:spacing w:val="-4"/>
          <w:sz w:val="18"/>
        </w:rPr>
        <w:t> </w:t>
      </w:r>
      <w:r>
        <w:rPr>
          <w:i/>
          <w:sz w:val="18"/>
        </w:rPr>
        <w:t>Others</w:t>
      </w:r>
      <w:r>
        <w:rPr>
          <w:sz w:val="18"/>
        </w:rPr>
        <w:t>,</w:t>
      </w:r>
      <w:r>
        <w:rPr>
          <w:spacing w:val="-3"/>
          <w:sz w:val="18"/>
        </w:rPr>
        <w:t> </w:t>
      </w:r>
      <w:r>
        <w:rPr>
          <w:sz w:val="18"/>
        </w:rPr>
        <w:t>Case</w:t>
      </w:r>
      <w:r>
        <w:rPr>
          <w:spacing w:val="-2"/>
          <w:sz w:val="18"/>
        </w:rPr>
        <w:t> </w:t>
      </w:r>
      <w:r>
        <w:rPr>
          <w:sz w:val="18"/>
        </w:rPr>
        <w:t>C-824/18,</w:t>
      </w:r>
      <w:r>
        <w:rPr>
          <w:spacing w:val="-3"/>
          <w:sz w:val="18"/>
        </w:rPr>
        <w:t> </w:t>
      </w:r>
      <w:r>
        <w:rPr>
          <w:sz w:val="18"/>
        </w:rPr>
        <w:t>17</w:t>
      </w:r>
      <w:r>
        <w:rPr>
          <w:spacing w:val="-3"/>
          <w:sz w:val="18"/>
        </w:rPr>
        <w:t> </w:t>
      </w:r>
      <w:r>
        <w:rPr>
          <w:sz w:val="18"/>
        </w:rPr>
        <w:t>December</w:t>
      </w:r>
      <w:r>
        <w:rPr>
          <w:spacing w:val="-2"/>
          <w:sz w:val="18"/>
        </w:rPr>
        <w:t> 2020.</w:t>
      </w:r>
    </w:p>
    <w:p>
      <w:pPr>
        <w:pStyle w:val="ListParagraph"/>
        <w:numPr>
          <w:ilvl w:val="0"/>
          <w:numId w:val="3"/>
        </w:numPr>
        <w:tabs>
          <w:tab w:pos="1853" w:val="left" w:leader="none"/>
        </w:tabs>
        <w:spacing w:line="235" w:lineRule="auto" w:before="1" w:after="0"/>
        <w:ind w:left="1853" w:right="1184" w:hanging="720"/>
        <w:jc w:val="left"/>
        <w:rPr>
          <w:sz w:val="18"/>
        </w:rPr>
      </w:pPr>
      <w:r>
        <w:rPr>
          <w:sz w:val="18"/>
        </w:rPr>
        <w:t>Article 47 states: “Everyone whose rights and freedoms guaranteed by the law of the Union are violated has the right to an</w:t>
      </w:r>
      <w:r>
        <w:rPr>
          <w:spacing w:val="-2"/>
          <w:sz w:val="18"/>
        </w:rPr>
        <w:t> </w:t>
      </w:r>
      <w:r>
        <w:rPr>
          <w:sz w:val="18"/>
        </w:rPr>
        <w:t>effective</w:t>
      </w:r>
      <w:r>
        <w:rPr>
          <w:spacing w:val="-1"/>
          <w:sz w:val="18"/>
        </w:rPr>
        <w:t> </w:t>
      </w:r>
      <w:r>
        <w:rPr>
          <w:sz w:val="18"/>
        </w:rPr>
        <w:t>remedy</w:t>
      </w:r>
      <w:r>
        <w:rPr>
          <w:spacing w:val="-1"/>
          <w:sz w:val="18"/>
        </w:rPr>
        <w:t> </w:t>
      </w:r>
      <w:r>
        <w:rPr>
          <w:sz w:val="18"/>
        </w:rPr>
        <w:t>before</w:t>
      </w:r>
      <w:r>
        <w:rPr>
          <w:spacing w:val="-1"/>
          <w:sz w:val="18"/>
        </w:rPr>
        <w:t> </w:t>
      </w:r>
      <w:r>
        <w:rPr>
          <w:sz w:val="18"/>
        </w:rPr>
        <w:t>a</w:t>
      </w:r>
      <w:r>
        <w:rPr>
          <w:spacing w:val="-2"/>
          <w:sz w:val="18"/>
        </w:rPr>
        <w:t> </w:t>
      </w:r>
      <w:r>
        <w:rPr>
          <w:sz w:val="18"/>
        </w:rPr>
        <w:t>tribunal</w:t>
      </w:r>
      <w:r>
        <w:rPr>
          <w:spacing w:val="-2"/>
          <w:sz w:val="18"/>
        </w:rPr>
        <w:t> </w:t>
      </w:r>
      <w:r>
        <w:rPr>
          <w:sz w:val="18"/>
        </w:rPr>
        <w:t>in</w:t>
      </w:r>
      <w:r>
        <w:rPr>
          <w:spacing w:val="-2"/>
          <w:sz w:val="18"/>
        </w:rPr>
        <w:t> </w:t>
      </w:r>
      <w:r>
        <w:rPr>
          <w:sz w:val="18"/>
        </w:rPr>
        <w:t>compliance</w:t>
      </w:r>
      <w:r>
        <w:rPr>
          <w:spacing w:val="-1"/>
          <w:sz w:val="18"/>
        </w:rPr>
        <w:t> </w:t>
      </w:r>
      <w:r>
        <w:rPr>
          <w:sz w:val="18"/>
        </w:rPr>
        <w:t>with</w:t>
      </w:r>
      <w:r>
        <w:rPr>
          <w:spacing w:val="-2"/>
          <w:sz w:val="18"/>
        </w:rPr>
        <w:t> </w:t>
      </w:r>
      <w:r>
        <w:rPr>
          <w:sz w:val="18"/>
        </w:rPr>
        <w:t>the</w:t>
      </w:r>
      <w:r>
        <w:rPr>
          <w:spacing w:val="-1"/>
          <w:sz w:val="18"/>
        </w:rPr>
        <w:t> </w:t>
      </w:r>
      <w:r>
        <w:rPr>
          <w:sz w:val="18"/>
        </w:rPr>
        <w:t>conditions</w:t>
      </w:r>
      <w:r>
        <w:rPr>
          <w:spacing w:val="-2"/>
          <w:sz w:val="18"/>
        </w:rPr>
        <w:t> </w:t>
      </w:r>
      <w:r>
        <w:rPr>
          <w:sz w:val="18"/>
        </w:rPr>
        <w:t>laid</w:t>
      </w:r>
      <w:r>
        <w:rPr>
          <w:spacing w:val="-2"/>
          <w:sz w:val="18"/>
        </w:rPr>
        <w:t> </w:t>
      </w:r>
      <w:r>
        <w:rPr>
          <w:sz w:val="18"/>
        </w:rPr>
        <w:t>down</w:t>
      </w:r>
      <w:r>
        <w:rPr>
          <w:spacing w:val="-2"/>
          <w:sz w:val="18"/>
        </w:rPr>
        <w:t> </w:t>
      </w:r>
      <w:r>
        <w:rPr>
          <w:sz w:val="18"/>
        </w:rPr>
        <w:t>in</w:t>
      </w:r>
      <w:r>
        <w:rPr>
          <w:spacing w:val="-2"/>
          <w:sz w:val="18"/>
        </w:rPr>
        <w:t> </w:t>
      </w:r>
      <w:r>
        <w:rPr>
          <w:sz w:val="18"/>
        </w:rPr>
        <w:t>this</w:t>
      </w:r>
      <w:r>
        <w:rPr>
          <w:spacing w:val="-2"/>
          <w:sz w:val="18"/>
        </w:rPr>
        <w:t> </w:t>
      </w:r>
      <w:r>
        <w:rPr>
          <w:sz w:val="18"/>
        </w:rPr>
        <w:t>Article.</w:t>
      </w:r>
      <w:r>
        <w:rPr>
          <w:spacing w:val="-2"/>
          <w:sz w:val="18"/>
        </w:rPr>
        <w:t> </w:t>
      </w:r>
      <w:r>
        <w:rPr>
          <w:sz w:val="18"/>
        </w:rPr>
        <w:t>Everyone</w:t>
      </w:r>
      <w:r>
        <w:rPr>
          <w:spacing w:val="-1"/>
          <w:sz w:val="18"/>
        </w:rPr>
        <w:t> </w:t>
      </w:r>
      <w:r>
        <w:rPr>
          <w:sz w:val="18"/>
        </w:rPr>
        <w:t>is</w:t>
      </w:r>
      <w:r>
        <w:rPr>
          <w:spacing w:val="-2"/>
          <w:sz w:val="18"/>
        </w:rPr>
        <w:t> </w:t>
      </w:r>
      <w:r>
        <w:rPr>
          <w:sz w:val="18"/>
        </w:rPr>
        <w:t>entitled</w:t>
      </w:r>
      <w:r>
        <w:rPr>
          <w:spacing w:val="-2"/>
          <w:sz w:val="18"/>
        </w:rPr>
        <w:t> </w:t>
      </w:r>
      <w:r>
        <w:rPr>
          <w:sz w:val="18"/>
        </w:rPr>
        <w:t>to</w:t>
      </w:r>
      <w:r>
        <w:rPr>
          <w:spacing w:val="-2"/>
          <w:sz w:val="18"/>
        </w:rPr>
        <w:t> </w:t>
      </w:r>
      <w:r>
        <w:rPr>
          <w:sz w:val="18"/>
        </w:rPr>
        <w:t>a fair and public hearing within a reasonable time by an independent and impartial tribunal previously established by law. Everyone</w:t>
      </w:r>
      <w:r>
        <w:rPr>
          <w:spacing w:val="-4"/>
          <w:sz w:val="18"/>
        </w:rPr>
        <w:t> </w:t>
      </w:r>
      <w:r>
        <w:rPr>
          <w:sz w:val="18"/>
        </w:rPr>
        <w:t>shall</w:t>
      </w:r>
      <w:r>
        <w:rPr>
          <w:spacing w:val="-5"/>
          <w:sz w:val="18"/>
        </w:rPr>
        <w:t> </w:t>
      </w:r>
      <w:r>
        <w:rPr>
          <w:sz w:val="18"/>
        </w:rPr>
        <w:t>have</w:t>
      </w:r>
      <w:r>
        <w:rPr>
          <w:spacing w:val="-4"/>
          <w:sz w:val="18"/>
        </w:rPr>
        <w:t> </w:t>
      </w:r>
      <w:r>
        <w:rPr>
          <w:sz w:val="18"/>
        </w:rPr>
        <w:t>the</w:t>
      </w:r>
      <w:r>
        <w:rPr>
          <w:spacing w:val="-4"/>
          <w:sz w:val="18"/>
        </w:rPr>
        <w:t> </w:t>
      </w:r>
      <w:r>
        <w:rPr>
          <w:sz w:val="18"/>
        </w:rPr>
        <w:t>possibility</w:t>
      </w:r>
      <w:r>
        <w:rPr>
          <w:spacing w:val="-4"/>
          <w:sz w:val="18"/>
        </w:rPr>
        <w:t> </w:t>
      </w:r>
      <w:r>
        <w:rPr>
          <w:sz w:val="18"/>
        </w:rPr>
        <w:t>of</w:t>
      </w:r>
      <w:r>
        <w:rPr>
          <w:spacing w:val="-5"/>
          <w:sz w:val="18"/>
        </w:rPr>
        <w:t> </w:t>
      </w:r>
      <w:r>
        <w:rPr>
          <w:sz w:val="18"/>
        </w:rPr>
        <w:t>being</w:t>
      </w:r>
      <w:r>
        <w:rPr>
          <w:spacing w:val="-4"/>
          <w:sz w:val="18"/>
        </w:rPr>
        <w:t> </w:t>
      </w:r>
      <w:r>
        <w:rPr>
          <w:sz w:val="18"/>
        </w:rPr>
        <w:t>advised,</w:t>
      </w:r>
      <w:r>
        <w:rPr>
          <w:spacing w:val="-4"/>
          <w:sz w:val="18"/>
        </w:rPr>
        <w:t> </w:t>
      </w:r>
      <w:r>
        <w:rPr>
          <w:sz w:val="18"/>
        </w:rPr>
        <w:t>defended</w:t>
      </w:r>
      <w:r>
        <w:rPr>
          <w:spacing w:val="-5"/>
          <w:sz w:val="18"/>
        </w:rPr>
        <w:t> </w:t>
      </w:r>
      <w:r>
        <w:rPr>
          <w:sz w:val="18"/>
        </w:rPr>
        <w:t>and</w:t>
      </w:r>
      <w:r>
        <w:rPr>
          <w:spacing w:val="-5"/>
          <w:sz w:val="18"/>
        </w:rPr>
        <w:t> </w:t>
      </w:r>
      <w:r>
        <w:rPr>
          <w:sz w:val="18"/>
        </w:rPr>
        <w:t>represented.</w:t>
      </w:r>
      <w:r>
        <w:rPr>
          <w:spacing w:val="-5"/>
          <w:sz w:val="18"/>
        </w:rPr>
        <w:t> </w:t>
      </w:r>
      <w:r>
        <w:rPr>
          <w:sz w:val="18"/>
        </w:rPr>
        <w:t>Legal</w:t>
      </w:r>
      <w:r>
        <w:rPr>
          <w:spacing w:val="-5"/>
          <w:sz w:val="18"/>
        </w:rPr>
        <w:t> </w:t>
      </w:r>
      <w:r>
        <w:rPr>
          <w:sz w:val="18"/>
        </w:rPr>
        <w:t>aid</w:t>
      </w:r>
      <w:r>
        <w:rPr>
          <w:spacing w:val="-5"/>
          <w:sz w:val="18"/>
        </w:rPr>
        <w:t> </w:t>
      </w:r>
      <w:r>
        <w:rPr>
          <w:sz w:val="18"/>
        </w:rPr>
        <w:t>shall</w:t>
      </w:r>
      <w:r>
        <w:rPr>
          <w:spacing w:val="-5"/>
          <w:sz w:val="18"/>
        </w:rPr>
        <w:t> </w:t>
      </w:r>
      <w:r>
        <w:rPr>
          <w:sz w:val="18"/>
        </w:rPr>
        <w:t>be</w:t>
      </w:r>
      <w:r>
        <w:rPr>
          <w:spacing w:val="-4"/>
          <w:sz w:val="18"/>
        </w:rPr>
        <w:t> </w:t>
      </w:r>
      <w:r>
        <w:rPr>
          <w:sz w:val="18"/>
        </w:rPr>
        <w:t>made</w:t>
      </w:r>
      <w:r>
        <w:rPr>
          <w:spacing w:val="-4"/>
          <w:sz w:val="18"/>
        </w:rPr>
        <w:t> </w:t>
      </w:r>
      <w:r>
        <w:rPr>
          <w:sz w:val="18"/>
        </w:rPr>
        <w:t>available</w:t>
      </w:r>
      <w:r>
        <w:rPr>
          <w:spacing w:val="-4"/>
          <w:sz w:val="18"/>
        </w:rPr>
        <w:t> </w:t>
      </w:r>
      <w:r>
        <w:rPr>
          <w:sz w:val="18"/>
        </w:rPr>
        <w:t>to</w:t>
      </w:r>
      <w:r>
        <w:rPr>
          <w:spacing w:val="-5"/>
          <w:sz w:val="18"/>
        </w:rPr>
        <w:t> </w:t>
      </w:r>
      <w:r>
        <w:rPr>
          <w:sz w:val="18"/>
        </w:rPr>
        <w:t>those who lack sufficient resources in so far as such aid is necessary to ensure effective access to justice.”</w:t>
      </w:r>
    </w:p>
    <w:p>
      <w:pPr>
        <w:pStyle w:val="ListParagraph"/>
        <w:numPr>
          <w:ilvl w:val="0"/>
          <w:numId w:val="3"/>
        </w:numPr>
        <w:tabs>
          <w:tab w:pos="1853" w:val="left" w:leader="none"/>
        </w:tabs>
        <w:spacing w:line="235" w:lineRule="auto" w:before="4" w:after="0"/>
        <w:ind w:left="1853" w:right="1412" w:hanging="720"/>
        <w:jc w:val="left"/>
        <w:rPr>
          <w:sz w:val="18"/>
        </w:rPr>
      </w:pPr>
      <w:r>
        <w:rPr>
          <w:sz w:val="18"/>
        </w:rPr>
        <w:t>Sarah</w:t>
      </w:r>
      <w:r>
        <w:rPr>
          <w:spacing w:val="-7"/>
          <w:sz w:val="18"/>
        </w:rPr>
        <w:t> </w:t>
      </w:r>
      <w:r>
        <w:rPr>
          <w:sz w:val="18"/>
        </w:rPr>
        <w:t>Craig,</w:t>
      </w:r>
      <w:r>
        <w:rPr>
          <w:spacing w:val="-6"/>
          <w:sz w:val="18"/>
        </w:rPr>
        <w:t> </w:t>
      </w:r>
      <w:r>
        <w:rPr>
          <w:sz w:val="18"/>
        </w:rPr>
        <w:t>Anurag</w:t>
      </w:r>
      <w:r>
        <w:rPr>
          <w:spacing w:val="-6"/>
          <w:sz w:val="18"/>
        </w:rPr>
        <w:t> </w:t>
      </w:r>
      <w:r>
        <w:rPr>
          <w:sz w:val="18"/>
        </w:rPr>
        <w:t>Deb,</w:t>
      </w:r>
      <w:r>
        <w:rPr>
          <w:spacing w:val="-6"/>
          <w:sz w:val="18"/>
        </w:rPr>
        <w:t> </w:t>
      </w:r>
      <w:r>
        <w:rPr>
          <w:sz w:val="18"/>
        </w:rPr>
        <w:t>Eleni</w:t>
      </w:r>
      <w:r>
        <w:rPr>
          <w:spacing w:val="-7"/>
          <w:sz w:val="18"/>
        </w:rPr>
        <w:t> </w:t>
      </w:r>
      <w:r>
        <w:rPr>
          <w:sz w:val="18"/>
        </w:rPr>
        <w:t>Frantziou,</w:t>
      </w:r>
      <w:r>
        <w:rPr>
          <w:spacing w:val="-6"/>
          <w:sz w:val="18"/>
        </w:rPr>
        <w:t> </w:t>
      </w:r>
      <w:r>
        <w:rPr>
          <w:sz w:val="18"/>
        </w:rPr>
        <w:t>Alexander</w:t>
      </w:r>
      <w:r>
        <w:rPr>
          <w:spacing w:val="-6"/>
          <w:sz w:val="18"/>
        </w:rPr>
        <w:t> </w:t>
      </w:r>
      <w:r>
        <w:rPr>
          <w:sz w:val="18"/>
        </w:rPr>
        <w:t>Horne,</w:t>
      </w:r>
      <w:r>
        <w:rPr>
          <w:spacing w:val="-6"/>
          <w:sz w:val="18"/>
        </w:rPr>
        <w:t> </w:t>
      </w:r>
      <w:r>
        <w:rPr>
          <w:sz w:val="18"/>
        </w:rPr>
        <w:t>Colin</w:t>
      </w:r>
      <w:r>
        <w:rPr>
          <w:spacing w:val="-7"/>
          <w:sz w:val="18"/>
        </w:rPr>
        <w:t> </w:t>
      </w:r>
      <w:r>
        <w:rPr>
          <w:sz w:val="18"/>
        </w:rPr>
        <w:t>Murray,</w:t>
      </w:r>
      <w:r>
        <w:rPr>
          <w:spacing w:val="-6"/>
          <w:sz w:val="18"/>
        </w:rPr>
        <w:t> </w:t>
      </w:r>
      <w:r>
        <w:rPr>
          <w:sz w:val="18"/>
        </w:rPr>
        <w:t>Clare</w:t>
      </w:r>
      <w:r>
        <w:rPr>
          <w:spacing w:val="-6"/>
          <w:sz w:val="18"/>
        </w:rPr>
        <w:t> </w:t>
      </w:r>
      <w:r>
        <w:rPr>
          <w:sz w:val="18"/>
        </w:rPr>
        <w:t>Rice</w:t>
      </w:r>
      <w:r>
        <w:rPr>
          <w:spacing w:val="-6"/>
          <w:sz w:val="18"/>
        </w:rPr>
        <w:t> </w:t>
      </w:r>
      <w:r>
        <w:rPr>
          <w:sz w:val="18"/>
        </w:rPr>
        <w:t>and</w:t>
      </w:r>
      <w:r>
        <w:rPr>
          <w:spacing w:val="-7"/>
          <w:sz w:val="18"/>
        </w:rPr>
        <w:t> </w:t>
      </w:r>
      <w:r>
        <w:rPr>
          <w:sz w:val="18"/>
        </w:rPr>
        <w:t>Jane</w:t>
      </w:r>
      <w:r>
        <w:rPr>
          <w:spacing w:val="-6"/>
          <w:sz w:val="18"/>
        </w:rPr>
        <w:t> </w:t>
      </w:r>
      <w:r>
        <w:rPr>
          <w:sz w:val="18"/>
        </w:rPr>
        <w:t>Rooney,</w:t>
      </w:r>
      <w:r>
        <w:rPr>
          <w:spacing w:val="-6"/>
          <w:sz w:val="18"/>
        </w:rPr>
        <w:t> </w:t>
      </w:r>
      <w:r>
        <w:rPr>
          <w:sz w:val="18"/>
        </w:rPr>
        <w:t>‘</w:t>
      </w:r>
      <w:hyperlink r:id="rId75">
        <w:r>
          <w:rPr>
            <w:sz w:val="18"/>
          </w:rPr>
          <w:t>European</w:t>
        </w:r>
        <w:r>
          <w:rPr>
            <w:spacing w:val="-7"/>
            <w:sz w:val="18"/>
          </w:rPr>
          <w:t> </w:t>
        </w:r>
        <w:r>
          <w:rPr>
            <w:sz w:val="18"/>
          </w:rPr>
          <w:t>Union</w:t>
        </w:r>
      </w:hyperlink>
      <w:r>
        <w:rPr>
          <w:sz w:val="18"/>
        </w:rPr>
        <w:t> </w:t>
      </w:r>
      <w:hyperlink r:id="rId75">
        <w:r>
          <w:rPr>
            <w:sz w:val="18"/>
          </w:rPr>
          <w:t>developments in Equality and Human Rights: The Impact of Brexit on the divergence of rights and best practice on</w:t>
        </w:r>
      </w:hyperlink>
    </w:p>
    <w:p>
      <w:pPr>
        <w:spacing w:line="218" w:lineRule="exact" w:before="0"/>
        <w:ind w:left="1853" w:right="0" w:firstLine="0"/>
        <w:jc w:val="both"/>
        <w:rPr>
          <w:sz w:val="18"/>
        </w:rPr>
      </w:pPr>
      <w:hyperlink r:id="rId75">
        <w:r>
          <w:rPr>
            <w:sz w:val="18"/>
          </w:rPr>
          <w:t>the</w:t>
        </w:r>
        <w:r>
          <w:rPr>
            <w:spacing w:val="-4"/>
            <w:sz w:val="18"/>
          </w:rPr>
          <w:t> </w:t>
        </w:r>
        <w:r>
          <w:rPr>
            <w:sz w:val="18"/>
          </w:rPr>
          <w:t>island</w:t>
        </w:r>
        <w:r>
          <w:rPr>
            <w:spacing w:val="-3"/>
            <w:sz w:val="18"/>
          </w:rPr>
          <w:t> </w:t>
        </w:r>
        <w:r>
          <w:rPr>
            <w:sz w:val="18"/>
          </w:rPr>
          <w:t>of</w:t>
        </w:r>
        <w:r>
          <w:rPr>
            <w:spacing w:val="-4"/>
            <w:sz w:val="18"/>
          </w:rPr>
          <w:t> </w:t>
        </w:r>
        <w:r>
          <w:rPr>
            <w:sz w:val="18"/>
          </w:rPr>
          <w:t>Ireland</w:t>
        </w:r>
      </w:hyperlink>
      <w:r>
        <w:rPr>
          <w:sz w:val="18"/>
        </w:rPr>
        <w:t>’</w:t>
      </w:r>
      <w:r>
        <w:rPr>
          <w:spacing w:val="-4"/>
          <w:sz w:val="18"/>
        </w:rPr>
        <w:t> </w:t>
      </w:r>
      <w:r>
        <w:rPr>
          <w:sz w:val="18"/>
        </w:rPr>
        <w:t>(ECNI,</w:t>
      </w:r>
      <w:r>
        <w:rPr>
          <w:spacing w:val="-3"/>
          <w:sz w:val="18"/>
        </w:rPr>
        <w:t> </w:t>
      </w:r>
      <w:r>
        <w:rPr>
          <w:sz w:val="18"/>
        </w:rPr>
        <w:t>NIHRC,</w:t>
      </w:r>
      <w:r>
        <w:rPr>
          <w:spacing w:val="-3"/>
          <w:sz w:val="18"/>
        </w:rPr>
        <w:t> </w:t>
      </w:r>
      <w:r>
        <w:rPr>
          <w:sz w:val="18"/>
        </w:rPr>
        <w:t>IHREC</w:t>
      </w:r>
      <w:r>
        <w:rPr>
          <w:spacing w:val="-4"/>
          <w:sz w:val="18"/>
        </w:rPr>
        <w:t> </w:t>
      </w:r>
      <w:r>
        <w:rPr>
          <w:sz w:val="18"/>
        </w:rPr>
        <w:t>2022),</w:t>
      </w:r>
      <w:r>
        <w:rPr>
          <w:spacing w:val="-3"/>
          <w:sz w:val="18"/>
        </w:rPr>
        <w:t> </w:t>
      </w:r>
      <w:r>
        <w:rPr>
          <w:sz w:val="18"/>
        </w:rPr>
        <w:t>at</w:t>
      </w:r>
      <w:r>
        <w:rPr>
          <w:spacing w:val="-3"/>
          <w:sz w:val="18"/>
        </w:rPr>
        <w:t> </w:t>
      </w:r>
      <w:r>
        <w:rPr>
          <w:spacing w:val="-5"/>
          <w:sz w:val="18"/>
        </w:rPr>
        <w:t>87.</w:t>
      </w:r>
    </w:p>
    <w:p>
      <w:pPr>
        <w:spacing w:after="0" w:line="218" w:lineRule="exact"/>
        <w:jc w:val="both"/>
        <w:rPr>
          <w:sz w:val="18"/>
        </w:rPr>
        <w:sectPr>
          <w:pgSz w:w="11910" w:h="16840"/>
          <w:pgMar w:header="496" w:footer="367" w:top="1220" w:bottom="560" w:left="0" w:right="0"/>
        </w:sectPr>
      </w:pPr>
    </w:p>
    <w:p>
      <w:pPr>
        <w:pStyle w:val="BodyText"/>
        <w:spacing w:before="204"/>
      </w:pPr>
    </w:p>
    <w:p>
      <w:pPr>
        <w:pStyle w:val="ListParagraph"/>
        <w:numPr>
          <w:ilvl w:val="1"/>
          <w:numId w:val="7"/>
        </w:numPr>
        <w:tabs>
          <w:tab w:pos="1853" w:val="left" w:leader="none"/>
        </w:tabs>
        <w:spacing w:line="220" w:lineRule="auto" w:before="0" w:after="0"/>
        <w:ind w:left="1853" w:right="1388" w:hanging="720"/>
        <w:jc w:val="left"/>
        <w:rPr>
          <w:sz w:val="28"/>
        </w:rPr>
      </w:pPr>
      <w:r>
        <w:rPr>
          <w:sz w:val="28"/>
        </w:rPr>
        <w:t>It is essential that the application of UK-wide legislation, such as the NI Troubles</w:t>
      </w:r>
      <w:r>
        <w:rPr>
          <w:spacing w:val="-9"/>
          <w:sz w:val="28"/>
        </w:rPr>
        <w:t> </w:t>
      </w:r>
      <w:r>
        <w:rPr>
          <w:sz w:val="28"/>
        </w:rPr>
        <w:t>(Legacy</w:t>
      </w:r>
      <w:r>
        <w:rPr>
          <w:spacing w:val="-8"/>
          <w:sz w:val="28"/>
        </w:rPr>
        <w:t> </w:t>
      </w:r>
      <w:r>
        <w:rPr>
          <w:sz w:val="28"/>
        </w:rPr>
        <w:t>and</w:t>
      </w:r>
      <w:r>
        <w:rPr>
          <w:spacing w:val="-9"/>
          <w:sz w:val="28"/>
        </w:rPr>
        <w:t> </w:t>
      </w:r>
      <w:r>
        <w:rPr>
          <w:sz w:val="28"/>
        </w:rPr>
        <w:t>Reconciliation)</w:t>
      </w:r>
      <w:r>
        <w:rPr>
          <w:spacing w:val="-9"/>
          <w:sz w:val="28"/>
        </w:rPr>
        <w:t> </w:t>
      </w:r>
      <w:r>
        <w:rPr>
          <w:sz w:val="28"/>
        </w:rPr>
        <w:t>Act</w:t>
      </w:r>
      <w:r>
        <w:rPr>
          <w:spacing w:val="-8"/>
          <w:sz w:val="28"/>
        </w:rPr>
        <w:t> </w:t>
      </w:r>
      <w:r>
        <w:rPr>
          <w:sz w:val="28"/>
        </w:rPr>
        <w:t>2023,</w:t>
      </w:r>
      <w:r>
        <w:rPr>
          <w:spacing w:val="-9"/>
          <w:sz w:val="28"/>
        </w:rPr>
        <w:t> </w:t>
      </w:r>
      <w:r>
        <w:rPr>
          <w:sz w:val="28"/>
        </w:rPr>
        <w:t>the</w:t>
      </w:r>
      <w:r>
        <w:rPr>
          <w:spacing w:val="-8"/>
          <w:sz w:val="28"/>
        </w:rPr>
        <w:t> </w:t>
      </w:r>
      <w:r>
        <w:rPr>
          <w:sz w:val="28"/>
        </w:rPr>
        <w:t>Illegal</w:t>
      </w:r>
      <w:r>
        <w:rPr>
          <w:spacing w:val="-9"/>
          <w:sz w:val="28"/>
        </w:rPr>
        <w:t> </w:t>
      </w:r>
      <w:r>
        <w:rPr>
          <w:sz w:val="28"/>
        </w:rPr>
        <w:t>Migration</w:t>
      </w:r>
      <w:r>
        <w:rPr>
          <w:spacing w:val="-9"/>
          <w:sz w:val="28"/>
        </w:rPr>
        <w:t> </w:t>
      </w:r>
      <w:r>
        <w:rPr>
          <w:sz w:val="28"/>
        </w:rPr>
        <w:t>Act</w:t>
      </w:r>
      <w:r>
        <w:rPr>
          <w:spacing w:val="-8"/>
          <w:sz w:val="28"/>
        </w:rPr>
        <w:t> </w:t>
      </w:r>
      <w:r>
        <w:rPr>
          <w:sz w:val="28"/>
        </w:rPr>
        <w:t>2023 and the Safety of Rwanda Bill, does not compromise the specific protection for access to justice and effective judicial protection in NI law of Windsor Framework Article 2.</w:t>
      </w:r>
    </w:p>
    <w:p>
      <w:pPr>
        <w:pStyle w:val="ListParagraph"/>
        <w:numPr>
          <w:ilvl w:val="1"/>
          <w:numId w:val="7"/>
        </w:numPr>
        <w:tabs>
          <w:tab w:pos="1853" w:val="left" w:leader="none"/>
        </w:tabs>
        <w:spacing w:line="225" w:lineRule="auto" w:before="318" w:after="0"/>
        <w:ind w:left="1853" w:right="1485" w:hanging="720"/>
        <w:jc w:val="left"/>
        <w:rPr>
          <w:sz w:val="28"/>
        </w:rPr>
      </w:pPr>
      <w:r>
        <w:rPr>
          <w:sz w:val="28"/>
        </w:rPr>
        <w:t>The</w:t>
      </w:r>
      <w:r>
        <w:rPr>
          <w:spacing w:val="-6"/>
          <w:sz w:val="28"/>
        </w:rPr>
        <w:t> </w:t>
      </w:r>
      <w:r>
        <w:rPr>
          <w:sz w:val="28"/>
        </w:rPr>
        <w:t>Commissions</w:t>
      </w:r>
      <w:r>
        <w:rPr>
          <w:spacing w:val="-7"/>
          <w:sz w:val="28"/>
        </w:rPr>
        <w:t> </w:t>
      </w:r>
      <w:r>
        <w:rPr>
          <w:sz w:val="28"/>
        </w:rPr>
        <w:t>consider</w:t>
      </w:r>
      <w:r>
        <w:rPr>
          <w:spacing w:val="-6"/>
          <w:sz w:val="28"/>
        </w:rPr>
        <w:t> </w:t>
      </w:r>
      <w:r>
        <w:rPr>
          <w:sz w:val="28"/>
        </w:rPr>
        <w:t>that</w:t>
      </w:r>
      <w:r>
        <w:rPr>
          <w:spacing w:val="-6"/>
          <w:sz w:val="28"/>
        </w:rPr>
        <w:t> </w:t>
      </w:r>
      <w:r>
        <w:rPr>
          <w:sz w:val="28"/>
        </w:rPr>
        <w:t>the</w:t>
      </w:r>
      <w:r>
        <w:rPr>
          <w:spacing w:val="-6"/>
          <w:sz w:val="28"/>
        </w:rPr>
        <w:t> </w:t>
      </w:r>
      <w:r>
        <w:rPr>
          <w:sz w:val="28"/>
        </w:rPr>
        <w:t>non-diminution</w:t>
      </w:r>
      <w:r>
        <w:rPr>
          <w:spacing w:val="-7"/>
          <w:sz w:val="28"/>
        </w:rPr>
        <w:t> </w:t>
      </w:r>
      <w:r>
        <w:rPr>
          <w:sz w:val="28"/>
        </w:rPr>
        <w:t>obligation</w:t>
      </w:r>
      <w:r>
        <w:rPr>
          <w:spacing w:val="-7"/>
          <w:sz w:val="28"/>
        </w:rPr>
        <w:t> </w:t>
      </w:r>
      <w:r>
        <w:rPr>
          <w:sz w:val="28"/>
        </w:rPr>
        <w:t>under</w:t>
      </w:r>
      <w:r>
        <w:rPr>
          <w:spacing w:val="-6"/>
          <w:sz w:val="28"/>
        </w:rPr>
        <w:t> </w:t>
      </w:r>
      <w:r>
        <w:rPr>
          <w:sz w:val="28"/>
        </w:rPr>
        <w:t>Article 2 applies not only to the substantive rights but also to how those rights</w:t>
      </w:r>
    </w:p>
    <w:p>
      <w:pPr>
        <w:pStyle w:val="BodyText"/>
        <w:spacing w:line="225" w:lineRule="auto"/>
        <w:ind w:left="1853" w:right="1468"/>
      </w:pPr>
      <w:r>
        <w:rPr/>
        <w:t>are enforced and available remedies.</w:t>
      </w:r>
      <w:r>
        <w:rPr>
          <w:vertAlign w:val="superscript"/>
        </w:rPr>
        <w:t>144</w:t>
      </w:r>
      <w:r>
        <w:rPr>
          <w:vertAlign w:val="baseline"/>
        </w:rPr>
        <w:t> This has been confirmed by the High Court in the </w:t>
      </w:r>
      <w:r>
        <w:rPr>
          <w:i/>
          <w:vertAlign w:val="baseline"/>
        </w:rPr>
        <w:t>Dillon </w:t>
      </w:r>
      <w:r>
        <w:rPr>
          <w:vertAlign w:val="baseline"/>
        </w:rPr>
        <w:t>judgment, wherein, the court, citing De Smith’s Judicial</w:t>
      </w:r>
      <w:r>
        <w:rPr>
          <w:spacing w:val="-9"/>
          <w:vertAlign w:val="baseline"/>
        </w:rPr>
        <w:t> </w:t>
      </w:r>
      <w:r>
        <w:rPr>
          <w:vertAlign w:val="baseline"/>
        </w:rPr>
        <w:t>Review,</w:t>
      </w:r>
      <w:r>
        <w:rPr>
          <w:spacing w:val="-9"/>
          <w:vertAlign w:val="baseline"/>
        </w:rPr>
        <w:t> </w:t>
      </w:r>
      <w:r>
        <w:rPr>
          <w:vertAlign w:val="baseline"/>
        </w:rPr>
        <w:t>concluded</w:t>
      </w:r>
      <w:r>
        <w:rPr>
          <w:spacing w:val="-9"/>
          <w:vertAlign w:val="baseline"/>
        </w:rPr>
        <w:t> </w:t>
      </w:r>
      <w:r>
        <w:rPr>
          <w:vertAlign w:val="baseline"/>
        </w:rPr>
        <w:t>that</w:t>
      </w:r>
      <w:r>
        <w:rPr>
          <w:spacing w:val="-9"/>
          <w:vertAlign w:val="baseline"/>
        </w:rPr>
        <w:t> </w:t>
      </w:r>
      <w:r>
        <w:rPr>
          <w:vertAlign w:val="baseline"/>
        </w:rPr>
        <w:t>“assessment</w:t>
      </w:r>
      <w:r>
        <w:rPr>
          <w:spacing w:val="-9"/>
          <w:vertAlign w:val="baseline"/>
        </w:rPr>
        <w:t> </w:t>
      </w:r>
      <w:r>
        <w:rPr>
          <w:vertAlign w:val="baseline"/>
        </w:rPr>
        <w:t>of</w:t>
      </w:r>
      <w:r>
        <w:rPr>
          <w:spacing w:val="-9"/>
          <w:vertAlign w:val="baseline"/>
        </w:rPr>
        <w:t> </w:t>
      </w:r>
      <w:r>
        <w:rPr>
          <w:vertAlign w:val="baseline"/>
        </w:rPr>
        <w:t>the</w:t>
      </w:r>
      <w:r>
        <w:rPr>
          <w:spacing w:val="-9"/>
          <w:vertAlign w:val="baseline"/>
        </w:rPr>
        <w:t> </w:t>
      </w:r>
      <w:r>
        <w:rPr>
          <w:vertAlign w:val="baseline"/>
        </w:rPr>
        <w:t>diminution</w:t>
      </w:r>
      <w:r>
        <w:rPr>
          <w:spacing w:val="-9"/>
          <w:vertAlign w:val="baseline"/>
        </w:rPr>
        <w:t> </w:t>
      </w:r>
      <w:r>
        <w:rPr>
          <w:vertAlign w:val="baseline"/>
        </w:rPr>
        <w:t>of</w:t>
      </w:r>
      <w:r>
        <w:rPr>
          <w:spacing w:val="-9"/>
          <w:vertAlign w:val="baseline"/>
        </w:rPr>
        <w:t> </w:t>
      </w:r>
      <w:r>
        <w:rPr>
          <w:vertAlign w:val="baseline"/>
        </w:rPr>
        <w:t>rights</w:t>
      </w:r>
      <w:r>
        <w:rPr>
          <w:spacing w:val="-9"/>
          <w:vertAlign w:val="baseline"/>
        </w:rPr>
        <w:t> </w:t>
      </w:r>
      <w:r>
        <w:rPr>
          <w:vertAlign w:val="baseline"/>
        </w:rPr>
        <w:t>also requires assessment of the enforcement mechanisms”.</w:t>
      </w:r>
      <w:r>
        <w:rPr>
          <w:vertAlign w:val="superscript"/>
        </w:rPr>
        <w:t>145</w:t>
      </w:r>
      <w:r>
        <w:rPr>
          <w:vertAlign w:val="baseline"/>
        </w:rPr>
        <w:t> Article 4 of the</w:t>
      </w:r>
    </w:p>
    <w:p>
      <w:pPr>
        <w:pStyle w:val="BodyText"/>
        <w:spacing w:line="225" w:lineRule="auto"/>
        <w:ind w:left="1853" w:right="1215"/>
      </w:pPr>
      <w:r>
        <w:rPr/>
        <w:t>UK-EU Withdrawal Agreement states that provisions of that Agreement shall produce in the UK the same effects as in the EU and the UK shall ensure that courts will be empowered to disapply inconsistent or incompatible domestic provisions. This is implemented through Section 7A of the EU (Withdrawal) Act 2018.</w:t>
      </w:r>
      <w:r>
        <w:rPr>
          <w:spacing w:val="40"/>
        </w:rPr>
        <w:t> </w:t>
      </w:r>
      <w:r>
        <w:rPr/>
        <w:t>Therefore, the Court found that that the offending provisions should</w:t>
      </w:r>
      <w:r>
        <w:rPr>
          <w:spacing w:val="-11"/>
        </w:rPr>
        <w:t> </w:t>
      </w:r>
      <w:r>
        <w:rPr/>
        <w:t>be</w:t>
      </w:r>
      <w:r>
        <w:rPr>
          <w:spacing w:val="-10"/>
        </w:rPr>
        <w:t> </w:t>
      </w:r>
      <w:r>
        <w:rPr/>
        <w:t>disapplied.</w:t>
      </w:r>
      <w:r>
        <w:rPr>
          <w:vertAlign w:val="superscript"/>
        </w:rPr>
        <w:t>146</w:t>
      </w:r>
      <w:r>
        <w:rPr>
          <w:spacing w:val="40"/>
          <w:vertAlign w:val="baseline"/>
        </w:rPr>
        <w:t> </w:t>
      </w:r>
      <w:r>
        <w:rPr>
          <w:vertAlign w:val="baseline"/>
        </w:rPr>
        <w:t>Similarly,</w:t>
      </w:r>
      <w:r>
        <w:rPr>
          <w:spacing w:val="-10"/>
          <w:vertAlign w:val="baseline"/>
        </w:rPr>
        <w:t> </w:t>
      </w:r>
      <w:r>
        <w:rPr>
          <w:vertAlign w:val="baseline"/>
        </w:rPr>
        <w:t>the</w:t>
      </w:r>
      <w:r>
        <w:rPr>
          <w:spacing w:val="-10"/>
          <w:vertAlign w:val="baseline"/>
        </w:rPr>
        <w:t> </w:t>
      </w:r>
      <w:r>
        <w:rPr>
          <w:vertAlign w:val="baseline"/>
        </w:rPr>
        <w:t>Commissions</w:t>
      </w:r>
      <w:r>
        <w:rPr>
          <w:spacing w:val="-11"/>
          <w:vertAlign w:val="baseline"/>
        </w:rPr>
        <w:t> </w:t>
      </w:r>
      <w:r>
        <w:rPr>
          <w:vertAlign w:val="baseline"/>
        </w:rPr>
        <w:t>consider</w:t>
      </w:r>
      <w:r>
        <w:rPr>
          <w:spacing w:val="-10"/>
          <w:vertAlign w:val="baseline"/>
        </w:rPr>
        <w:t> </w:t>
      </w:r>
      <w:r>
        <w:rPr>
          <w:vertAlign w:val="baseline"/>
        </w:rPr>
        <w:t>that</w:t>
      </w:r>
      <w:r>
        <w:rPr>
          <w:spacing w:val="-10"/>
          <w:vertAlign w:val="baseline"/>
        </w:rPr>
        <w:t> </w:t>
      </w:r>
      <w:r>
        <w:rPr>
          <w:vertAlign w:val="baseline"/>
        </w:rPr>
        <w:t>entitlement to</w:t>
      </w:r>
      <w:r>
        <w:rPr>
          <w:spacing w:val="-4"/>
          <w:vertAlign w:val="baseline"/>
        </w:rPr>
        <w:t> </w:t>
      </w:r>
      <w:r>
        <w:rPr>
          <w:vertAlign w:val="baseline"/>
        </w:rPr>
        <w:t>compensation</w:t>
      </w:r>
      <w:r>
        <w:rPr>
          <w:spacing w:val="-4"/>
          <w:vertAlign w:val="baseline"/>
        </w:rPr>
        <w:t> </w:t>
      </w:r>
      <w:r>
        <w:rPr>
          <w:vertAlign w:val="baseline"/>
        </w:rPr>
        <w:t>must</w:t>
      </w:r>
      <w:r>
        <w:rPr>
          <w:spacing w:val="-3"/>
          <w:vertAlign w:val="baseline"/>
        </w:rPr>
        <w:t> </w:t>
      </w:r>
      <w:r>
        <w:rPr>
          <w:vertAlign w:val="baseline"/>
        </w:rPr>
        <w:t>continue</w:t>
      </w:r>
      <w:r>
        <w:rPr>
          <w:spacing w:val="-3"/>
          <w:vertAlign w:val="baseline"/>
        </w:rPr>
        <w:t> </w:t>
      </w:r>
      <w:r>
        <w:rPr>
          <w:vertAlign w:val="baseline"/>
        </w:rPr>
        <w:t>to</w:t>
      </w:r>
      <w:r>
        <w:rPr>
          <w:spacing w:val="-4"/>
          <w:vertAlign w:val="baseline"/>
        </w:rPr>
        <w:t> </w:t>
      </w:r>
      <w:r>
        <w:rPr>
          <w:vertAlign w:val="baseline"/>
        </w:rPr>
        <w:t>be</w:t>
      </w:r>
      <w:r>
        <w:rPr>
          <w:spacing w:val="-3"/>
          <w:vertAlign w:val="baseline"/>
        </w:rPr>
        <w:t> </w:t>
      </w:r>
      <w:r>
        <w:rPr>
          <w:vertAlign w:val="baseline"/>
        </w:rPr>
        <w:t>available</w:t>
      </w:r>
      <w:r>
        <w:rPr>
          <w:spacing w:val="-3"/>
          <w:vertAlign w:val="baseline"/>
        </w:rPr>
        <w:t> </w:t>
      </w:r>
      <w:r>
        <w:rPr>
          <w:vertAlign w:val="baseline"/>
        </w:rPr>
        <w:t>under</w:t>
      </w:r>
      <w:r>
        <w:rPr>
          <w:spacing w:val="-3"/>
          <w:vertAlign w:val="baseline"/>
        </w:rPr>
        <w:t> </w:t>
      </w:r>
      <w:r>
        <w:rPr>
          <w:vertAlign w:val="baseline"/>
        </w:rPr>
        <w:t>NI</w:t>
      </w:r>
      <w:r>
        <w:rPr>
          <w:spacing w:val="-3"/>
          <w:vertAlign w:val="baseline"/>
        </w:rPr>
        <w:t> </w:t>
      </w:r>
      <w:r>
        <w:rPr>
          <w:vertAlign w:val="baseline"/>
        </w:rPr>
        <w:t>law</w:t>
      </w:r>
      <w:r>
        <w:rPr>
          <w:spacing w:val="-3"/>
          <w:vertAlign w:val="baseline"/>
        </w:rPr>
        <w:t> </w:t>
      </w:r>
      <w:r>
        <w:rPr>
          <w:vertAlign w:val="baseline"/>
        </w:rPr>
        <w:t>where</w:t>
      </w:r>
      <w:r>
        <w:rPr>
          <w:spacing w:val="-3"/>
          <w:vertAlign w:val="baseline"/>
        </w:rPr>
        <w:t> </w:t>
      </w:r>
      <w:r>
        <w:rPr>
          <w:vertAlign w:val="baseline"/>
        </w:rPr>
        <w:t>there</w:t>
      </w:r>
      <w:r>
        <w:rPr>
          <w:spacing w:val="-3"/>
          <w:vertAlign w:val="baseline"/>
        </w:rPr>
        <w:t> </w:t>
      </w:r>
      <w:r>
        <w:rPr>
          <w:vertAlign w:val="baseline"/>
        </w:rPr>
        <w:t>are breaches of rights within the scope of Article 2 which occurred prior to the end of the Brexit transition period.</w:t>
      </w:r>
      <w:r>
        <w:rPr>
          <w:vertAlign w:val="superscript"/>
        </w:rPr>
        <w:t>147</w:t>
      </w:r>
    </w:p>
    <w:p>
      <w:pPr>
        <w:pStyle w:val="ListParagraph"/>
        <w:numPr>
          <w:ilvl w:val="1"/>
          <w:numId w:val="7"/>
        </w:numPr>
        <w:tabs>
          <w:tab w:pos="1853" w:val="left" w:leader="none"/>
        </w:tabs>
        <w:spacing w:line="225" w:lineRule="auto" w:before="301" w:after="0"/>
        <w:ind w:left="1853" w:right="1450" w:hanging="720"/>
        <w:jc w:val="both"/>
        <w:rPr>
          <w:sz w:val="28"/>
        </w:rPr>
      </w:pPr>
      <w:r>
        <w:rPr>
          <w:sz w:val="28"/>
        </w:rPr>
        <w:t>Further, the research report refers to the decision in the </w:t>
      </w:r>
      <w:r>
        <w:rPr>
          <w:i/>
          <w:sz w:val="28"/>
        </w:rPr>
        <w:t>VI </w:t>
      </w:r>
      <w:r>
        <w:rPr>
          <w:sz w:val="28"/>
        </w:rPr>
        <w:t>case</w:t>
      </w:r>
      <w:r>
        <w:rPr>
          <w:sz w:val="28"/>
          <w:vertAlign w:val="superscript"/>
        </w:rPr>
        <w:t>148</w:t>
      </w:r>
      <w:r>
        <w:rPr>
          <w:sz w:val="28"/>
          <w:vertAlign w:val="baseline"/>
        </w:rPr>
        <w:t> and it was</w:t>
      </w:r>
      <w:r>
        <w:rPr>
          <w:spacing w:val="-6"/>
          <w:sz w:val="28"/>
          <w:vertAlign w:val="baseline"/>
        </w:rPr>
        <w:t> </w:t>
      </w:r>
      <w:r>
        <w:rPr>
          <w:sz w:val="28"/>
          <w:vertAlign w:val="baseline"/>
        </w:rPr>
        <w:t>the</w:t>
      </w:r>
      <w:r>
        <w:rPr>
          <w:spacing w:val="-6"/>
          <w:sz w:val="28"/>
          <w:vertAlign w:val="baseline"/>
        </w:rPr>
        <w:t> </w:t>
      </w:r>
      <w:r>
        <w:rPr>
          <w:sz w:val="28"/>
          <w:vertAlign w:val="baseline"/>
        </w:rPr>
        <w:t>view</w:t>
      </w:r>
      <w:r>
        <w:rPr>
          <w:spacing w:val="-6"/>
          <w:sz w:val="28"/>
          <w:vertAlign w:val="baseline"/>
        </w:rPr>
        <w:t> </w:t>
      </w:r>
      <w:r>
        <w:rPr>
          <w:sz w:val="28"/>
          <w:vertAlign w:val="baseline"/>
        </w:rPr>
        <w:t>of</w:t>
      </w:r>
      <w:r>
        <w:rPr>
          <w:spacing w:val="-6"/>
          <w:sz w:val="28"/>
          <w:vertAlign w:val="baseline"/>
        </w:rPr>
        <w:t> </w:t>
      </w:r>
      <w:r>
        <w:rPr>
          <w:sz w:val="28"/>
          <w:vertAlign w:val="baseline"/>
        </w:rPr>
        <w:t>the</w:t>
      </w:r>
      <w:r>
        <w:rPr>
          <w:spacing w:val="-6"/>
          <w:sz w:val="28"/>
          <w:vertAlign w:val="baseline"/>
        </w:rPr>
        <w:t> </w:t>
      </w:r>
      <w:r>
        <w:rPr>
          <w:sz w:val="28"/>
          <w:vertAlign w:val="baseline"/>
        </w:rPr>
        <w:t>researchers</w:t>
      </w:r>
      <w:r>
        <w:rPr>
          <w:spacing w:val="-6"/>
          <w:sz w:val="28"/>
          <w:vertAlign w:val="baseline"/>
        </w:rPr>
        <w:t> </w:t>
      </w:r>
      <w:r>
        <w:rPr>
          <w:sz w:val="28"/>
          <w:vertAlign w:val="baseline"/>
        </w:rPr>
        <w:t>that</w:t>
      </w:r>
      <w:r>
        <w:rPr>
          <w:spacing w:val="-6"/>
          <w:sz w:val="28"/>
          <w:vertAlign w:val="baseline"/>
        </w:rPr>
        <w:t> </w:t>
      </w:r>
      <w:r>
        <w:rPr>
          <w:sz w:val="28"/>
          <w:vertAlign w:val="baseline"/>
        </w:rPr>
        <w:t>this</w:t>
      </w:r>
      <w:r>
        <w:rPr>
          <w:spacing w:val="-6"/>
          <w:sz w:val="28"/>
          <w:vertAlign w:val="baseline"/>
        </w:rPr>
        <w:t> </w:t>
      </w:r>
      <w:r>
        <w:rPr>
          <w:sz w:val="28"/>
          <w:vertAlign w:val="baseline"/>
        </w:rPr>
        <w:t>could</w:t>
      </w:r>
      <w:r>
        <w:rPr>
          <w:spacing w:val="-6"/>
          <w:sz w:val="28"/>
          <w:vertAlign w:val="baseline"/>
        </w:rPr>
        <w:t> </w:t>
      </w:r>
      <w:r>
        <w:rPr>
          <w:sz w:val="28"/>
          <w:vertAlign w:val="baseline"/>
        </w:rPr>
        <w:t>be</w:t>
      </w:r>
      <w:r>
        <w:rPr>
          <w:spacing w:val="-6"/>
          <w:sz w:val="28"/>
          <w:vertAlign w:val="baseline"/>
        </w:rPr>
        <w:t> </w:t>
      </w:r>
      <w:r>
        <w:rPr>
          <w:sz w:val="28"/>
          <w:vertAlign w:val="baseline"/>
        </w:rPr>
        <w:t>interpreted</w:t>
      </w:r>
      <w:r>
        <w:rPr>
          <w:spacing w:val="-6"/>
          <w:sz w:val="28"/>
          <w:vertAlign w:val="baseline"/>
        </w:rPr>
        <w:t> </w:t>
      </w:r>
      <w:r>
        <w:rPr>
          <w:sz w:val="28"/>
          <w:vertAlign w:val="baseline"/>
        </w:rPr>
        <w:t>as</w:t>
      </w:r>
      <w:r>
        <w:rPr>
          <w:spacing w:val="-6"/>
          <w:sz w:val="28"/>
          <w:vertAlign w:val="baseline"/>
        </w:rPr>
        <w:t> </w:t>
      </w:r>
      <w:r>
        <w:rPr>
          <w:sz w:val="28"/>
          <w:vertAlign w:val="baseline"/>
        </w:rPr>
        <w:t>supporting</w:t>
      </w:r>
    </w:p>
    <w:p>
      <w:pPr>
        <w:pStyle w:val="BodyText"/>
        <w:spacing w:line="225" w:lineRule="auto"/>
        <w:ind w:left="1853" w:right="1250"/>
        <w:jc w:val="both"/>
      </w:pPr>
      <w:r>
        <w:rPr/>
        <w:t>‘prospective obligations’ to</w:t>
      </w:r>
      <w:r>
        <w:rPr>
          <w:spacing w:val="-1"/>
        </w:rPr>
        <w:t> </w:t>
      </w:r>
      <w:r>
        <w:rPr/>
        <w:t>provide EU citizens</w:t>
      </w:r>
      <w:r>
        <w:rPr>
          <w:spacing w:val="-1"/>
        </w:rPr>
        <w:t> </w:t>
      </w:r>
      <w:r>
        <w:rPr/>
        <w:t>resident in</w:t>
      </w:r>
      <w:r>
        <w:rPr>
          <w:spacing w:val="-1"/>
        </w:rPr>
        <w:t> </w:t>
      </w:r>
      <w:r>
        <w:rPr/>
        <w:t>NI and</w:t>
      </w:r>
      <w:r>
        <w:rPr>
          <w:spacing w:val="-1"/>
        </w:rPr>
        <w:t> </w:t>
      </w:r>
      <w:r>
        <w:rPr/>
        <w:t>their family with</w:t>
      </w:r>
      <w:r>
        <w:rPr>
          <w:spacing w:val="-5"/>
        </w:rPr>
        <w:t> </w:t>
      </w:r>
      <w:r>
        <w:rPr/>
        <w:t>a</w:t>
      </w:r>
      <w:r>
        <w:rPr>
          <w:spacing w:val="-5"/>
        </w:rPr>
        <w:t> </w:t>
      </w:r>
      <w:r>
        <w:rPr/>
        <w:t>right</w:t>
      </w:r>
      <w:r>
        <w:rPr>
          <w:spacing w:val="-4"/>
        </w:rPr>
        <w:t> </w:t>
      </w:r>
      <w:r>
        <w:rPr/>
        <w:t>to</w:t>
      </w:r>
      <w:r>
        <w:rPr>
          <w:spacing w:val="-5"/>
        </w:rPr>
        <w:t> </w:t>
      </w:r>
      <w:r>
        <w:rPr/>
        <w:t>access</w:t>
      </w:r>
      <w:r>
        <w:rPr>
          <w:spacing w:val="-5"/>
        </w:rPr>
        <w:t> </w:t>
      </w:r>
      <w:r>
        <w:rPr/>
        <w:t>health</w:t>
      </w:r>
      <w:r>
        <w:rPr>
          <w:spacing w:val="-5"/>
        </w:rPr>
        <w:t> </w:t>
      </w:r>
      <w:r>
        <w:rPr/>
        <w:t>and</w:t>
      </w:r>
      <w:r>
        <w:rPr>
          <w:spacing w:val="-5"/>
        </w:rPr>
        <w:t> </w:t>
      </w:r>
      <w:r>
        <w:rPr/>
        <w:t>social</w:t>
      </w:r>
      <w:r>
        <w:rPr>
          <w:spacing w:val="-5"/>
        </w:rPr>
        <w:t> </w:t>
      </w:r>
      <w:r>
        <w:rPr/>
        <w:t>care</w:t>
      </w:r>
      <w:r>
        <w:rPr>
          <w:spacing w:val="-4"/>
        </w:rPr>
        <w:t> </w:t>
      </w:r>
      <w:r>
        <w:rPr/>
        <w:t>benefits,</w:t>
      </w:r>
      <w:r>
        <w:rPr>
          <w:spacing w:val="-4"/>
        </w:rPr>
        <w:t> </w:t>
      </w:r>
      <w:r>
        <w:rPr/>
        <w:t>in</w:t>
      </w:r>
      <w:r>
        <w:rPr>
          <w:spacing w:val="-5"/>
        </w:rPr>
        <w:t> </w:t>
      </w:r>
      <w:r>
        <w:rPr/>
        <w:t>the</w:t>
      </w:r>
      <w:r>
        <w:rPr>
          <w:spacing w:val="-4"/>
        </w:rPr>
        <w:t> </w:t>
      </w:r>
      <w:r>
        <w:rPr/>
        <w:t>same</w:t>
      </w:r>
      <w:r>
        <w:rPr>
          <w:spacing w:val="-4"/>
        </w:rPr>
        <w:t> </w:t>
      </w:r>
      <w:r>
        <w:rPr/>
        <w:t>way</w:t>
      </w:r>
      <w:r>
        <w:rPr>
          <w:spacing w:val="-4"/>
        </w:rPr>
        <w:t> </w:t>
      </w:r>
      <w:r>
        <w:rPr/>
        <w:t>that</w:t>
      </w:r>
      <w:r>
        <w:rPr>
          <w:spacing w:val="-4"/>
        </w:rPr>
        <w:t> </w:t>
      </w:r>
      <w:r>
        <w:rPr/>
        <w:t>UK and Irish citizens can.</w:t>
      </w:r>
      <w:r>
        <w:rPr>
          <w:vertAlign w:val="superscript"/>
        </w:rPr>
        <w:t>149</w:t>
      </w:r>
    </w:p>
    <w:p>
      <w:pPr>
        <w:pStyle w:val="BodyText"/>
        <w:spacing w:before="11"/>
        <w:rPr>
          <w:sz w:val="13"/>
        </w:rPr>
      </w:pPr>
      <w:r>
        <w:rPr/>
        <mc:AlternateContent>
          <mc:Choice Requires="wps">
            <w:drawing>
              <wp:anchor distT="0" distB="0" distL="0" distR="0" allowOverlap="1" layoutInCell="1" locked="0" behindDoc="1" simplePos="0" relativeHeight="487642112">
                <wp:simplePos x="0" y="0"/>
                <wp:positionH relativeFrom="page">
                  <wp:posOffset>720001</wp:posOffset>
                </wp:positionH>
                <wp:positionV relativeFrom="paragraph">
                  <wp:posOffset>123200</wp:posOffset>
                </wp:positionV>
                <wp:extent cx="6120130" cy="360045"/>
                <wp:effectExtent l="0" t="0" r="0" b="0"/>
                <wp:wrapTopAndBottom/>
                <wp:docPr id="181" name="Textbox 181"/>
                <wp:cNvGraphicFramePr>
                  <a:graphicFrameLocks/>
                </wp:cNvGraphicFramePr>
                <a:graphic>
                  <a:graphicData uri="http://schemas.microsoft.com/office/word/2010/wordprocessingShape">
                    <wps:wsp>
                      <wps:cNvPr id="181" name="Textbox 181"/>
                      <wps:cNvSpPr txBox="1"/>
                      <wps:spPr>
                        <a:xfrm>
                          <a:off x="0" y="0"/>
                          <a:ext cx="6120130" cy="360045"/>
                        </a:xfrm>
                        <a:prstGeom prst="rect">
                          <a:avLst/>
                        </a:prstGeom>
                        <a:solidFill>
                          <a:srgbClr val="393B80"/>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9.700812pt;width:481.9pt;height:28.35pt;mso-position-horizontal-relative:page;mso-position-vertical-relative:paragraph;z-index:-15674368;mso-wrap-distance-left:0;mso-wrap-distance-right:0" type="#_x0000_t202" id="docshape138" filled="true" fillcolor="#393b80"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208" w:after="0"/>
        <w:ind w:left="1853" w:right="1428" w:hanging="720"/>
        <w:jc w:val="left"/>
        <w:rPr>
          <w:b/>
          <w:color w:val="67287F"/>
          <w:sz w:val="28"/>
        </w:rPr>
      </w:pPr>
      <w:r>
        <w:rPr>
          <w:b/>
          <w:color w:val="67287F"/>
          <w:sz w:val="28"/>
        </w:rPr>
        <w:t>The</w:t>
      </w:r>
      <w:r>
        <w:rPr>
          <w:b/>
          <w:color w:val="67287F"/>
          <w:spacing w:val="-6"/>
          <w:sz w:val="28"/>
        </w:rPr>
        <w:t> </w:t>
      </w:r>
      <w:r>
        <w:rPr>
          <w:b/>
          <w:color w:val="67287F"/>
          <w:sz w:val="28"/>
        </w:rPr>
        <w:t>Commissions</w:t>
      </w:r>
      <w:r>
        <w:rPr>
          <w:b/>
          <w:color w:val="67287F"/>
          <w:spacing w:val="-5"/>
          <w:sz w:val="28"/>
        </w:rPr>
        <w:t> </w:t>
      </w:r>
      <w:r>
        <w:rPr>
          <w:b/>
          <w:color w:val="67287F"/>
          <w:sz w:val="28"/>
        </w:rPr>
        <w:t>continue</w:t>
      </w:r>
      <w:r>
        <w:rPr>
          <w:b/>
          <w:color w:val="67287F"/>
          <w:spacing w:val="-6"/>
          <w:sz w:val="28"/>
        </w:rPr>
        <w:t> </w:t>
      </w:r>
      <w:r>
        <w:rPr>
          <w:b/>
          <w:color w:val="67287F"/>
          <w:sz w:val="28"/>
        </w:rPr>
        <w:t>to</w:t>
      </w:r>
      <w:r>
        <w:rPr>
          <w:b/>
          <w:color w:val="67287F"/>
          <w:spacing w:val="-5"/>
          <w:sz w:val="28"/>
        </w:rPr>
        <w:t> </w:t>
      </w:r>
      <w:r>
        <w:rPr>
          <w:b/>
          <w:color w:val="67287F"/>
          <w:sz w:val="28"/>
        </w:rPr>
        <w:t>recommend</w:t>
      </w:r>
      <w:r>
        <w:rPr>
          <w:b/>
          <w:color w:val="67287F"/>
          <w:spacing w:val="-5"/>
          <w:sz w:val="28"/>
        </w:rPr>
        <w:t> </w:t>
      </w:r>
      <w:r>
        <w:rPr>
          <w:b/>
          <w:color w:val="67287F"/>
          <w:sz w:val="28"/>
        </w:rPr>
        <w:t>that</w:t>
      </w:r>
      <w:r>
        <w:rPr>
          <w:b/>
          <w:color w:val="67287F"/>
          <w:spacing w:val="-5"/>
          <w:sz w:val="28"/>
        </w:rPr>
        <w:t> </w:t>
      </w:r>
      <w:r>
        <w:rPr>
          <w:b/>
          <w:color w:val="67287F"/>
          <w:sz w:val="28"/>
        </w:rPr>
        <w:t>the</w:t>
      </w:r>
      <w:r>
        <w:rPr>
          <w:b/>
          <w:color w:val="67287F"/>
          <w:spacing w:val="-6"/>
          <w:sz w:val="28"/>
        </w:rPr>
        <w:t> </w:t>
      </w:r>
      <w:r>
        <w:rPr>
          <w:b/>
          <w:color w:val="67287F"/>
          <w:sz w:val="28"/>
        </w:rPr>
        <w:t>UK</w:t>
      </w:r>
      <w:r>
        <w:rPr>
          <w:b/>
          <w:color w:val="67287F"/>
          <w:spacing w:val="-5"/>
          <w:sz w:val="28"/>
        </w:rPr>
        <w:t> </w:t>
      </w:r>
      <w:r>
        <w:rPr>
          <w:b/>
          <w:color w:val="67287F"/>
          <w:sz w:val="28"/>
        </w:rPr>
        <w:t>Government</w:t>
      </w:r>
      <w:r>
        <w:rPr>
          <w:b/>
          <w:color w:val="67287F"/>
          <w:spacing w:val="-5"/>
          <w:sz w:val="28"/>
        </w:rPr>
        <w:t> </w:t>
      </w:r>
      <w:r>
        <w:rPr>
          <w:b/>
          <w:color w:val="67287F"/>
          <w:sz w:val="28"/>
        </w:rPr>
        <w:t>and</w:t>
      </w:r>
      <w:r>
        <w:rPr>
          <w:b/>
          <w:color w:val="67287F"/>
          <w:spacing w:val="-5"/>
          <w:sz w:val="28"/>
        </w:rPr>
        <w:t> </w:t>
      </w:r>
      <w:r>
        <w:rPr>
          <w:b/>
          <w:color w:val="67287F"/>
          <w:sz w:val="28"/>
        </w:rPr>
        <w:t>NI Executive ensure NI law keeps pace with changes to equality and human</w:t>
      </w:r>
    </w:p>
    <w:p>
      <w:pPr>
        <w:pStyle w:val="BodyText"/>
        <w:spacing w:before="96"/>
        <w:rPr>
          <w:b/>
          <w:sz w:val="20"/>
        </w:rPr>
      </w:pPr>
      <w:r>
        <w:rPr/>
        <mc:AlternateContent>
          <mc:Choice Requires="wps">
            <w:drawing>
              <wp:anchor distT="0" distB="0" distL="0" distR="0" allowOverlap="1" layoutInCell="1" locked="0" behindDoc="1" simplePos="0" relativeHeight="487642624">
                <wp:simplePos x="0" y="0"/>
                <wp:positionH relativeFrom="page">
                  <wp:posOffset>719996</wp:posOffset>
                </wp:positionH>
                <wp:positionV relativeFrom="paragraph">
                  <wp:posOffset>231404</wp:posOffset>
                </wp:positionV>
                <wp:extent cx="6120130" cy="1270"/>
                <wp:effectExtent l="0" t="0" r="0" b="0"/>
                <wp:wrapTopAndBottom/>
                <wp:docPr id="182" name="Graphic 182"/>
                <wp:cNvGraphicFramePr>
                  <a:graphicFrameLocks/>
                </wp:cNvGraphicFramePr>
                <a:graphic>
                  <a:graphicData uri="http://schemas.microsoft.com/office/word/2010/wordprocessingShape">
                    <wps:wsp>
                      <wps:cNvPr id="182" name="Graphic 182"/>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8.220795pt;width:481.9pt;height:.1pt;mso-position-horizontal-relative:page;mso-position-vertical-relative:paragraph;z-index:-15673856;mso-wrap-distance-left:0;mso-wrap-distance-right:0" id="docshape139" coordorigin="1134,364" coordsize="9638,0" path="m10772,364l1134,364e" filled="false" stroked="true" strokeweight="1pt" strokecolor="#393b80">
                <v:path arrowok="t"/>
                <v:stroke dashstyle="solid"/>
                <w10:wrap type="topAndBottom"/>
              </v:shape>
            </w:pict>
          </mc:Fallback>
        </mc:AlternateContent>
      </w:r>
    </w:p>
    <w:p>
      <w:pPr>
        <w:pStyle w:val="ListParagraph"/>
        <w:numPr>
          <w:ilvl w:val="0"/>
          <w:numId w:val="3"/>
        </w:numPr>
        <w:tabs>
          <w:tab w:pos="1853" w:val="left" w:leader="none"/>
        </w:tabs>
        <w:spacing w:line="235" w:lineRule="auto" w:before="130" w:after="0"/>
        <w:ind w:left="1853" w:right="1837" w:hanging="720"/>
        <w:jc w:val="left"/>
        <w:rPr>
          <w:sz w:val="18"/>
        </w:rPr>
      </w:pPr>
      <w:r>
        <w:rPr>
          <w:sz w:val="18"/>
        </w:rPr>
        <w:t>NI</w:t>
      </w:r>
      <w:r>
        <w:rPr>
          <w:spacing w:val="-4"/>
          <w:sz w:val="18"/>
        </w:rPr>
        <w:t> </w:t>
      </w:r>
      <w:r>
        <w:rPr>
          <w:sz w:val="18"/>
        </w:rPr>
        <w:t>Office,</w:t>
      </w:r>
      <w:r>
        <w:rPr>
          <w:spacing w:val="-4"/>
          <w:sz w:val="18"/>
        </w:rPr>
        <w:t> </w:t>
      </w:r>
      <w:r>
        <w:rPr>
          <w:sz w:val="18"/>
        </w:rPr>
        <w:t>‘</w:t>
      </w:r>
      <w:hyperlink r:id="rId83">
        <w:r>
          <w:rPr>
            <w:sz w:val="18"/>
          </w:rPr>
          <w:t>UK</w:t>
        </w:r>
        <w:r>
          <w:rPr>
            <w:spacing w:val="-4"/>
            <w:sz w:val="18"/>
          </w:rPr>
          <w:t> </w:t>
        </w:r>
        <w:r>
          <w:rPr>
            <w:sz w:val="18"/>
          </w:rPr>
          <w:t>Government</w:t>
        </w:r>
        <w:r>
          <w:rPr>
            <w:spacing w:val="-4"/>
            <w:sz w:val="18"/>
          </w:rPr>
          <w:t> </w:t>
        </w:r>
        <w:r>
          <w:rPr>
            <w:sz w:val="18"/>
          </w:rPr>
          <w:t>Commitment</w:t>
        </w:r>
      </w:hyperlink>
      <w:r>
        <w:rPr>
          <w:spacing w:val="-3"/>
          <w:sz w:val="18"/>
        </w:rPr>
        <w:t> </w:t>
      </w:r>
      <w:r>
        <w:rPr>
          <w:sz w:val="18"/>
        </w:rPr>
        <w:t>to</w:t>
      </w:r>
      <w:r>
        <w:rPr>
          <w:spacing w:val="-4"/>
          <w:sz w:val="18"/>
        </w:rPr>
        <w:t> </w:t>
      </w:r>
      <w:r>
        <w:rPr>
          <w:sz w:val="18"/>
        </w:rPr>
        <w:t>“No</w:t>
      </w:r>
      <w:r>
        <w:rPr>
          <w:spacing w:val="-4"/>
          <w:sz w:val="18"/>
        </w:rPr>
        <w:t> </w:t>
      </w:r>
      <w:r>
        <w:rPr>
          <w:sz w:val="18"/>
        </w:rPr>
        <w:t>Diminution</w:t>
      </w:r>
      <w:r>
        <w:rPr>
          <w:spacing w:val="-4"/>
          <w:sz w:val="18"/>
        </w:rPr>
        <w:t> </w:t>
      </w:r>
      <w:r>
        <w:rPr>
          <w:sz w:val="18"/>
        </w:rPr>
        <w:t>of</w:t>
      </w:r>
      <w:r>
        <w:rPr>
          <w:spacing w:val="-4"/>
          <w:sz w:val="18"/>
        </w:rPr>
        <w:t> </w:t>
      </w:r>
      <w:r>
        <w:rPr>
          <w:sz w:val="18"/>
        </w:rPr>
        <w:t>Rights,</w:t>
      </w:r>
      <w:r>
        <w:rPr>
          <w:spacing w:val="-4"/>
          <w:sz w:val="18"/>
        </w:rPr>
        <w:t> </w:t>
      </w:r>
      <w:r>
        <w:rPr>
          <w:sz w:val="18"/>
        </w:rPr>
        <w:t>Safeguards</w:t>
      </w:r>
      <w:r>
        <w:rPr>
          <w:spacing w:val="-4"/>
          <w:sz w:val="18"/>
        </w:rPr>
        <w:t> </w:t>
      </w:r>
      <w:r>
        <w:rPr>
          <w:sz w:val="18"/>
        </w:rPr>
        <w:t>and</w:t>
      </w:r>
      <w:r>
        <w:rPr>
          <w:spacing w:val="-4"/>
          <w:sz w:val="18"/>
        </w:rPr>
        <w:t> </w:t>
      </w:r>
      <w:r>
        <w:rPr>
          <w:sz w:val="18"/>
        </w:rPr>
        <w:t>Equality</w:t>
      </w:r>
      <w:r>
        <w:rPr>
          <w:spacing w:val="-4"/>
          <w:sz w:val="18"/>
        </w:rPr>
        <w:t> </w:t>
      </w:r>
      <w:r>
        <w:rPr>
          <w:sz w:val="18"/>
        </w:rPr>
        <w:t>of</w:t>
      </w:r>
      <w:r>
        <w:rPr>
          <w:spacing w:val="-4"/>
          <w:sz w:val="18"/>
        </w:rPr>
        <w:t> </w:t>
      </w:r>
      <w:r>
        <w:rPr>
          <w:sz w:val="18"/>
        </w:rPr>
        <w:t>Opportunity”</w:t>
      </w:r>
      <w:r>
        <w:rPr>
          <w:spacing w:val="-4"/>
          <w:sz w:val="18"/>
        </w:rPr>
        <w:t> </w:t>
      </w:r>
      <w:r>
        <w:rPr>
          <w:sz w:val="18"/>
        </w:rPr>
        <w:t>in Northern Ireland: What does it Mean and How will it be Implemented?’ (NIO, 2020), at para 6.</w:t>
      </w:r>
    </w:p>
    <w:p>
      <w:pPr>
        <w:pStyle w:val="ListParagraph"/>
        <w:numPr>
          <w:ilvl w:val="0"/>
          <w:numId w:val="3"/>
        </w:numPr>
        <w:tabs>
          <w:tab w:pos="1853" w:val="left" w:leader="none"/>
        </w:tabs>
        <w:spacing w:line="235" w:lineRule="auto" w:before="1" w:after="0"/>
        <w:ind w:left="1853" w:right="1568" w:hanging="720"/>
        <w:jc w:val="left"/>
        <w:rPr>
          <w:sz w:val="18"/>
        </w:rPr>
      </w:pPr>
      <w:r>
        <w:rPr>
          <w:i/>
          <w:sz w:val="18"/>
        </w:rPr>
        <w:t>In the matter of an application by Martina Dillon and others for Judicial Review </w:t>
      </w:r>
      <w:r>
        <w:rPr>
          <w:sz w:val="18"/>
        </w:rPr>
        <w:t>[2024] NIKB 11, at para 586. Further discussion</w:t>
      </w:r>
      <w:r>
        <w:rPr>
          <w:spacing w:val="-4"/>
          <w:sz w:val="18"/>
        </w:rPr>
        <w:t> </w:t>
      </w:r>
      <w:r>
        <w:rPr>
          <w:sz w:val="18"/>
        </w:rPr>
        <w:t>of</w:t>
      </w:r>
      <w:r>
        <w:rPr>
          <w:spacing w:val="-4"/>
          <w:sz w:val="18"/>
        </w:rPr>
        <w:t> </w:t>
      </w:r>
      <w:r>
        <w:rPr>
          <w:sz w:val="18"/>
        </w:rPr>
        <w:t>this</w:t>
      </w:r>
      <w:r>
        <w:rPr>
          <w:spacing w:val="-4"/>
          <w:sz w:val="18"/>
        </w:rPr>
        <w:t> </w:t>
      </w:r>
      <w:r>
        <w:rPr>
          <w:sz w:val="18"/>
        </w:rPr>
        <w:t>case</w:t>
      </w:r>
      <w:r>
        <w:rPr>
          <w:spacing w:val="-3"/>
          <w:sz w:val="18"/>
        </w:rPr>
        <w:t> </w:t>
      </w:r>
      <w:r>
        <w:rPr>
          <w:sz w:val="18"/>
        </w:rPr>
        <w:t>can</w:t>
      </w:r>
      <w:r>
        <w:rPr>
          <w:spacing w:val="-4"/>
          <w:sz w:val="18"/>
        </w:rPr>
        <w:t> </w:t>
      </w:r>
      <w:r>
        <w:rPr>
          <w:sz w:val="18"/>
        </w:rPr>
        <w:t>be</w:t>
      </w:r>
      <w:r>
        <w:rPr>
          <w:spacing w:val="-3"/>
          <w:sz w:val="18"/>
        </w:rPr>
        <w:t> </w:t>
      </w:r>
      <w:r>
        <w:rPr>
          <w:sz w:val="18"/>
        </w:rPr>
        <w:t>found</w:t>
      </w:r>
      <w:r>
        <w:rPr>
          <w:spacing w:val="-4"/>
          <w:sz w:val="18"/>
        </w:rPr>
        <w:t> </w:t>
      </w:r>
      <w:r>
        <w:rPr>
          <w:sz w:val="18"/>
        </w:rPr>
        <w:t>in</w:t>
      </w:r>
      <w:r>
        <w:rPr>
          <w:spacing w:val="-4"/>
          <w:sz w:val="18"/>
        </w:rPr>
        <w:t> </w:t>
      </w:r>
      <w:r>
        <w:rPr>
          <w:sz w:val="18"/>
        </w:rPr>
        <w:t>the</w:t>
      </w:r>
      <w:r>
        <w:rPr>
          <w:spacing w:val="-3"/>
          <w:sz w:val="18"/>
        </w:rPr>
        <w:t> </w:t>
      </w:r>
      <w:r>
        <w:rPr>
          <w:sz w:val="18"/>
        </w:rPr>
        <w:t>Victims’</w:t>
      </w:r>
      <w:r>
        <w:rPr>
          <w:spacing w:val="-3"/>
          <w:sz w:val="18"/>
        </w:rPr>
        <w:t> </w:t>
      </w:r>
      <w:r>
        <w:rPr>
          <w:sz w:val="18"/>
        </w:rPr>
        <w:t>Rights</w:t>
      </w:r>
      <w:r>
        <w:rPr>
          <w:spacing w:val="-4"/>
          <w:sz w:val="18"/>
        </w:rPr>
        <w:t> </w:t>
      </w:r>
      <w:r>
        <w:rPr>
          <w:sz w:val="18"/>
        </w:rPr>
        <w:t>-</w:t>
      </w:r>
      <w:r>
        <w:rPr>
          <w:spacing w:val="-4"/>
          <w:sz w:val="18"/>
        </w:rPr>
        <w:t> </w:t>
      </w:r>
      <w:r>
        <w:rPr>
          <w:sz w:val="18"/>
        </w:rPr>
        <w:t>Legacy</w:t>
      </w:r>
      <w:r>
        <w:rPr>
          <w:spacing w:val="-3"/>
          <w:sz w:val="18"/>
        </w:rPr>
        <w:t> </w:t>
      </w:r>
      <w:r>
        <w:rPr>
          <w:sz w:val="18"/>
        </w:rPr>
        <w:t>section</w:t>
      </w:r>
      <w:r>
        <w:rPr>
          <w:spacing w:val="-4"/>
          <w:sz w:val="18"/>
        </w:rPr>
        <w:t> </w:t>
      </w:r>
      <w:r>
        <w:rPr>
          <w:sz w:val="18"/>
        </w:rPr>
        <w:t>of</w:t>
      </w:r>
      <w:r>
        <w:rPr>
          <w:spacing w:val="-4"/>
          <w:sz w:val="18"/>
        </w:rPr>
        <w:t> </w:t>
      </w:r>
      <w:r>
        <w:rPr>
          <w:sz w:val="18"/>
        </w:rPr>
        <w:t>this</w:t>
      </w:r>
      <w:r>
        <w:rPr>
          <w:spacing w:val="-4"/>
          <w:sz w:val="18"/>
        </w:rPr>
        <w:t> </w:t>
      </w:r>
      <w:r>
        <w:rPr>
          <w:sz w:val="18"/>
        </w:rPr>
        <w:t>Chapter</w:t>
      </w:r>
      <w:r>
        <w:rPr>
          <w:spacing w:val="-3"/>
          <w:sz w:val="18"/>
        </w:rPr>
        <w:t> </w:t>
      </w:r>
      <w:r>
        <w:rPr>
          <w:sz w:val="18"/>
        </w:rPr>
        <w:t>and</w:t>
      </w:r>
      <w:r>
        <w:rPr>
          <w:spacing w:val="-4"/>
          <w:sz w:val="18"/>
        </w:rPr>
        <w:t> </w:t>
      </w:r>
      <w:r>
        <w:rPr>
          <w:sz w:val="18"/>
        </w:rPr>
        <w:t>in</w:t>
      </w:r>
      <w:r>
        <w:rPr>
          <w:spacing w:val="-4"/>
          <w:sz w:val="18"/>
        </w:rPr>
        <w:t> </w:t>
      </w:r>
      <w:r>
        <w:rPr>
          <w:sz w:val="18"/>
        </w:rPr>
        <w:t>the</w:t>
      </w:r>
      <w:r>
        <w:rPr>
          <w:spacing w:val="-3"/>
          <w:sz w:val="18"/>
        </w:rPr>
        <w:t> </w:t>
      </w:r>
      <w:r>
        <w:rPr>
          <w:sz w:val="18"/>
        </w:rPr>
        <w:t>legal</w:t>
      </w:r>
      <w:r>
        <w:rPr>
          <w:spacing w:val="-4"/>
          <w:sz w:val="18"/>
        </w:rPr>
        <w:t> </w:t>
      </w:r>
      <w:r>
        <w:rPr>
          <w:sz w:val="18"/>
        </w:rPr>
        <w:t>framework (court judgments) section in Chapter 2.</w:t>
      </w:r>
    </w:p>
    <w:p>
      <w:pPr>
        <w:pStyle w:val="ListParagraph"/>
        <w:numPr>
          <w:ilvl w:val="0"/>
          <w:numId w:val="3"/>
        </w:numPr>
        <w:tabs>
          <w:tab w:pos="1853" w:val="left" w:leader="none"/>
        </w:tabs>
        <w:spacing w:line="216" w:lineRule="exact" w:before="0" w:after="0"/>
        <w:ind w:left="1853" w:right="0" w:hanging="720"/>
        <w:jc w:val="left"/>
        <w:rPr>
          <w:sz w:val="18"/>
        </w:rPr>
      </w:pPr>
      <w:r>
        <w:rPr>
          <w:i/>
          <w:sz w:val="18"/>
        </w:rPr>
        <w:t>In</w:t>
      </w:r>
      <w:r>
        <w:rPr>
          <w:i/>
          <w:spacing w:val="-5"/>
          <w:sz w:val="18"/>
        </w:rPr>
        <w:t> </w:t>
      </w:r>
      <w:r>
        <w:rPr>
          <w:i/>
          <w:sz w:val="18"/>
        </w:rPr>
        <w:t>the</w:t>
      </w:r>
      <w:r>
        <w:rPr>
          <w:i/>
          <w:spacing w:val="-4"/>
          <w:sz w:val="18"/>
        </w:rPr>
        <w:t> </w:t>
      </w:r>
      <w:r>
        <w:rPr>
          <w:i/>
          <w:sz w:val="18"/>
        </w:rPr>
        <w:t>matter</w:t>
      </w:r>
      <w:r>
        <w:rPr>
          <w:i/>
          <w:spacing w:val="-4"/>
          <w:sz w:val="18"/>
        </w:rPr>
        <w:t> </w:t>
      </w:r>
      <w:r>
        <w:rPr>
          <w:i/>
          <w:sz w:val="18"/>
        </w:rPr>
        <w:t>of</w:t>
      </w:r>
      <w:r>
        <w:rPr>
          <w:i/>
          <w:spacing w:val="-4"/>
          <w:sz w:val="18"/>
        </w:rPr>
        <w:t> </w:t>
      </w:r>
      <w:r>
        <w:rPr>
          <w:i/>
          <w:sz w:val="18"/>
        </w:rPr>
        <w:t>an</w:t>
      </w:r>
      <w:r>
        <w:rPr>
          <w:i/>
          <w:spacing w:val="-5"/>
          <w:sz w:val="18"/>
        </w:rPr>
        <w:t> </w:t>
      </w:r>
      <w:r>
        <w:rPr>
          <w:i/>
          <w:sz w:val="18"/>
        </w:rPr>
        <w:t>application</w:t>
      </w:r>
      <w:r>
        <w:rPr>
          <w:i/>
          <w:spacing w:val="-5"/>
          <w:sz w:val="18"/>
        </w:rPr>
        <w:t> </w:t>
      </w:r>
      <w:r>
        <w:rPr>
          <w:i/>
          <w:sz w:val="18"/>
        </w:rPr>
        <w:t>by</w:t>
      </w:r>
      <w:r>
        <w:rPr>
          <w:i/>
          <w:spacing w:val="-5"/>
          <w:sz w:val="18"/>
        </w:rPr>
        <w:t> </w:t>
      </w:r>
      <w:r>
        <w:rPr>
          <w:i/>
          <w:sz w:val="18"/>
        </w:rPr>
        <w:t>Martina</w:t>
      </w:r>
      <w:r>
        <w:rPr>
          <w:i/>
          <w:spacing w:val="-4"/>
          <w:sz w:val="18"/>
        </w:rPr>
        <w:t> </w:t>
      </w:r>
      <w:r>
        <w:rPr>
          <w:i/>
          <w:sz w:val="18"/>
        </w:rPr>
        <w:t>Dillon</w:t>
      </w:r>
      <w:r>
        <w:rPr>
          <w:i/>
          <w:spacing w:val="-5"/>
          <w:sz w:val="18"/>
        </w:rPr>
        <w:t> </w:t>
      </w:r>
      <w:r>
        <w:rPr>
          <w:i/>
          <w:sz w:val="18"/>
        </w:rPr>
        <w:t>and</w:t>
      </w:r>
      <w:r>
        <w:rPr>
          <w:i/>
          <w:spacing w:val="-5"/>
          <w:sz w:val="18"/>
        </w:rPr>
        <w:t> </w:t>
      </w:r>
      <w:r>
        <w:rPr>
          <w:i/>
          <w:sz w:val="18"/>
        </w:rPr>
        <w:t>others</w:t>
      </w:r>
      <w:r>
        <w:rPr>
          <w:i/>
          <w:spacing w:val="-4"/>
          <w:sz w:val="18"/>
        </w:rPr>
        <w:t> </w:t>
      </w:r>
      <w:r>
        <w:rPr>
          <w:i/>
          <w:sz w:val="18"/>
        </w:rPr>
        <w:t>for</w:t>
      </w:r>
      <w:r>
        <w:rPr>
          <w:i/>
          <w:spacing w:val="-4"/>
          <w:sz w:val="18"/>
        </w:rPr>
        <w:t> </w:t>
      </w:r>
      <w:r>
        <w:rPr>
          <w:i/>
          <w:sz w:val="18"/>
        </w:rPr>
        <w:t>Judicial</w:t>
      </w:r>
      <w:r>
        <w:rPr>
          <w:i/>
          <w:spacing w:val="-5"/>
          <w:sz w:val="18"/>
        </w:rPr>
        <w:t> </w:t>
      </w:r>
      <w:r>
        <w:rPr>
          <w:i/>
          <w:sz w:val="18"/>
        </w:rPr>
        <w:t>Review</w:t>
      </w:r>
      <w:r>
        <w:rPr>
          <w:i/>
          <w:spacing w:val="-4"/>
          <w:sz w:val="18"/>
        </w:rPr>
        <w:t> </w:t>
      </w:r>
      <w:r>
        <w:rPr>
          <w:sz w:val="18"/>
        </w:rPr>
        <w:t>[2024]</w:t>
      </w:r>
      <w:r>
        <w:rPr>
          <w:spacing w:val="-4"/>
          <w:sz w:val="18"/>
        </w:rPr>
        <w:t> </w:t>
      </w:r>
      <w:r>
        <w:rPr>
          <w:sz w:val="18"/>
        </w:rPr>
        <w:t>NIKB</w:t>
      </w:r>
      <w:r>
        <w:rPr>
          <w:spacing w:val="-4"/>
          <w:sz w:val="18"/>
        </w:rPr>
        <w:t> </w:t>
      </w:r>
      <w:r>
        <w:rPr>
          <w:sz w:val="18"/>
        </w:rPr>
        <w:t>11,</w:t>
      </w:r>
      <w:r>
        <w:rPr>
          <w:spacing w:val="-4"/>
          <w:sz w:val="18"/>
        </w:rPr>
        <w:t> </w:t>
      </w:r>
      <w:r>
        <w:rPr>
          <w:sz w:val="18"/>
        </w:rPr>
        <w:t>at</w:t>
      </w:r>
      <w:r>
        <w:rPr>
          <w:spacing w:val="-4"/>
          <w:sz w:val="18"/>
        </w:rPr>
        <w:t> </w:t>
      </w:r>
      <w:r>
        <w:rPr>
          <w:sz w:val="18"/>
        </w:rPr>
        <w:t>para</w:t>
      </w:r>
      <w:r>
        <w:rPr>
          <w:spacing w:val="-4"/>
          <w:sz w:val="18"/>
        </w:rPr>
        <w:t> 710.</w:t>
      </w:r>
    </w:p>
    <w:p>
      <w:pPr>
        <w:pStyle w:val="ListParagraph"/>
        <w:numPr>
          <w:ilvl w:val="0"/>
          <w:numId w:val="3"/>
        </w:numPr>
        <w:tabs>
          <w:tab w:pos="1853" w:val="left" w:leader="none"/>
        </w:tabs>
        <w:spacing w:line="235" w:lineRule="auto" w:before="2" w:after="0"/>
        <w:ind w:left="1853" w:right="1233" w:hanging="720"/>
        <w:jc w:val="left"/>
        <w:rPr>
          <w:sz w:val="18"/>
        </w:rPr>
      </w:pPr>
      <w:r>
        <w:rPr>
          <w:sz w:val="18"/>
        </w:rPr>
        <w:t>Equality Commission for NI, NI Human Rights Commission and Irish Human Rights and Equality Commission, ‘</w:t>
      </w:r>
      <w:hyperlink r:id="rId76">
        <w:r>
          <w:rPr>
            <w:sz w:val="18"/>
          </w:rPr>
          <w:t>Policy</w:t>
        </w:r>
      </w:hyperlink>
      <w:r>
        <w:rPr>
          <w:sz w:val="18"/>
        </w:rPr>
        <w:t> </w:t>
      </w:r>
      <w:hyperlink r:id="rId76">
        <w:r>
          <w:rPr>
            <w:sz w:val="18"/>
          </w:rPr>
          <w:t>Recommendations:</w:t>
        </w:r>
        <w:r>
          <w:rPr>
            <w:spacing w:val="-4"/>
            <w:sz w:val="18"/>
          </w:rPr>
          <w:t> </w:t>
        </w:r>
        <w:r>
          <w:rPr>
            <w:sz w:val="18"/>
          </w:rPr>
          <w:t>European</w:t>
        </w:r>
        <w:r>
          <w:rPr>
            <w:spacing w:val="-5"/>
            <w:sz w:val="18"/>
          </w:rPr>
          <w:t> </w:t>
        </w:r>
        <w:r>
          <w:rPr>
            <w:sz w:val="18"/>
          </w:rPr>
          <w:t>Union</w:t>
        </w:r>
        <w:r>
          <w:rPr>
            <w:spacing w:val="-5"/>
            <w:sz w:val="18"/>
          </w:rPr>
          <w:t> </w:t>
        </w:r>
        <w:r>
          <w:rPr>
            <w:sz w:val="18"/>
          </w:rPr>
          <w:t>developments</w:t>
        </w:r>
        <w:r>
          <w:rPr>
            <w:spacing w:val="-5"/>
            <w:sz w:val="18"/>
          </w:rPr>
          <w:t> </w:t>
        </w:r>
        <w:r>
          <w:rPr>
            <w:sz w:val="18"/>
          </w:rPr>
          <w:t>in</w:t>
        </w:r>
        <w:r>
          <w:rPr>
            <w:spacing w:val="-5"/>
            <w:sz w:val="18"/>
          </w:rPr>
          <w:t> </w:t>
        </w:r>
        <w:r>
          <w:rPr>
            <w:sz w:val="18"/>
          </w:rPr>
          <w:t>Equality</w:t>
        </w:r>
        <w:r>
          <w:rPr>
            <w:spacing w:val="-4"/>
            <w:sz w:val="18"/>
          </w:rPr>
          <w:t> </w:t>
        </w:r>
        <w:r>
          <w:rPr>
            <w:sz w:val="18"/>
          </w:rPr>
          <w:t>and</w:t>
        </w:r>
        <w:r>
          <w:rPr>
            <w:spacing w:val="-5"/>
            <w:sz w:val="18"/>
          </w:rPr>
          <w:t> </w:t>
        </w:r>
        <w:r>
          <w:rPr>
            <w:sz w:val="18"/>
          </w:rPr>
          <w:t>Human</w:t>
        </w:r>
        <w:r>
          <w:rPr>
            <w:spacing w:val="-5"/>
            <w:sz w:val="18"/>
          </w:rPr>
          <w:t> </w:t>
        </w:r>
        <w:r>
          <w:rPr>
            <w:sz w:val="18"/>
          </w:rPr>
          <w:t>Rights: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the</w:t>
        </w:r>
        <w:r>
          <w:rPr>
            <w:spacing w:val="-4"/>
            <w:sz w:val="18"/>
          </w:rPr>
          <w:t> </w:t>
        </w:r>
        <w:r>
          <w:rPr>
            <w:sz w:val="18"/>
          </w:rPr>
          <w:t>divergence</w:t>
        </w:r>
      </w:hyperlink>
      <w:r>
        <w:rPr>
          <w:sz w:val="18"/>
        </w:rPr>
        <w:t> </w:t>
      </w:r>
      <w:hyperlink r:id="rId76">
        <w:r>
          <w:rPr>
            <w:sz w:val="18"/>
          </w:rPr>
          <w:t>of rights and best practice on the island of Ireland</w:t>
        </w:r>
      </w:hyperlink>
      <w:r>
        <w:rPr>
          <w:sz w:val="18"/>
        </w:rPr>
        <w:t>’ (ECNI, NIHRC and IHREC, 2023), at 47.</w:t>
      </w:r>
    </w:p>
    <w:p>
      <w:pPr>
        <w:pStyle w:val="ListParagraph"/>
        <w:numPr>
          <w:ilvl w:val="0"/>
          <w:numId w:val="3"/>
        </w:numPr>
        <w:tabs>
          <w:tab w:pos="1853" w:val="left" w:leader="none"/>
        </w:tabs>
        <w:spacing w:line="235" w:lineRule="auto" w:before="2" w:after="0"/>
        <w:ind w:left="1853" w:right="1289" w:hanging="720"/>
        <w:jc w:val="left"/>
        <w:rPr>
          <w:sz w:val="18"/>
        </w:rPr>
      </w:pPr>
      <w:r>
        <w:rPr>
          <w:i/>
          <w:sz w:val="18"/>
        </w:rPr>
        <w:t>VI v Commissioners for Her Majesty’s Revenue &amp; Customs</w:t>
      </w:r>
      <w:r>
        <w:rPr>
          <w:sz w:val="18"/>
        </w:rPr>
        <w:t>, Case C247/20, 10 March 2022. In which case the CJEU ruled that</w:t>
      </w:r>
      <w:r>
        <w:rPr>
          <w:spacing w:val="-4"/>
          <w:sz w:val="18"/>
        </w:rPr>
        <w:t> </w:t>
      </w:r>
      <w:r>
        <w:rPr>
          <w:sz w:val="18"/>
        </w:rPr>
        <w:t>the</w:t>
      </w:r>
      <w:r>
        <w:rPr>
          <w:spacing w:val="-4"/>
          <w:sz w:val="18"/>
        </w:rPr>
        <w:t> </w:t>
      </w:r>
      <w:r>
        <w:rPr>
          <w:sz w:val="18"/>
        </w:rPr>
        <w:t>UK</w:t>
      </w:r>
      <w:r>
        <w:rPr>
          <w:spacing w:val="-4"/>
          <w:sz w:val="18"/>
        </w:rPr>
        <w:t> </w:t>
      </w:r>
      <w:r>
        <w:rPr>
          <w:sz w:val="18"/>
        </w:rPr>
        <w:t>had</w:t>
      </w:r>
      <w:r>
        <w:rPr>
          <w:spacing w:val="-5"/>
          <w:sz w:val="18"/>
        </w:rPr>
        <w:t> </w:t>
      </w:r>
      <w:r>
        <w:rPr>
          <w:sz w:val="18"/>
        </w:rPr>
        <w:t>wrongfully</w:t>
      </w:r>
      <w:r>
        <w:rPr>
          <w:spacing w:val="-4"/>
          <w:sz w:val="18"/>
        </w:rPr>
        <w:t> </w:t>
      </w:r>
      <w:r>
        <w:rPr>
          <w:sz w:val="18"/>
        </w:rPr>
        <w:t>required</w:t>
      </w:r>
      <w:r>
        <w:rPr>
          <w:spacing w:val="-5"/>
          <w:sz w:val="18"/>
        </w:rPr>
        <w:t> </w:t>
      </w:r>
      <w:r>
        <w:rPr>
          <w:sz w:val="18"/>
        </w:rPr>
        <w:t>private</w:t>
      </w:r>
      <w:r>
        <w:rPr>
          <w:spacing w:val="-4"/>
          <w:sz w:val="18"/>
        </w:rPr>
        <w:t> </w:t>
      </w:r>
      <w:r>
        <w:rPr>
          <w:sz w:val="18"/>
        </w:rPr>
        <w:t>comprehensive</w:t>
      </w:r>
      <w:r>
        <w:rPr>
          <w:spacing w:val="-4"/>
          <w:sz w:val="18"/>
        </w:rPr>
        <w:t> </w:t>
      </w:r>
      <w:r>
        <w:rPr>
          <w:sz w:val="18"/>
        </w:rPr>
        <w:t>health</w:t>
      </w:r>
      <w:r>
        <w:rPr>
          <w:spacing w:val="-5"/>
          <w:sz w:val="18"/>
        </w:rPr>
        <w:t> </w:t>
      </w:r>
      <w:r>
        <w:rPr>
          <w:sz w:val="18"/>
        </w:rPr>
        <w:t>insurance</w:t>
      </w:r>
      <w:r>
        <w:rPr>
          <w:spacing w:val="-4"/>
          <w:sz w:val="18"/>
        </w:rPr>
        <w:t> </w:t>
      </w:r>
      <w:r>
        <w:rPr>
          <w:sz w:val="18"/>
        </w:rPr>
        <w:t>cover</w:t>
      </w:r>
      <w:r>
        <w:rPr>
          <w:spacing w:val="-4"/>
          <w:sz w:val="18"/>
        </w:rPr>
        <w:t> </w:t>
      </w:r>
      <w:r>
        <w:rPr>
          <w:sz w:val="18"/>
        </w:rPr>
        <w:t>as</w:t>
      </w:r>
      <w:r>
        <w:rPr>
          <w:spacing w:val="-5"/>
          <w:sz w:val="18"/>
        </w:rPr>
        <w:t> </w:t>
      </w:r>
      <w:r>
        <w:rPr>
          <w:sz w:val="18"/>
        </w:rPr>
        <w:t>part</w:t>
      </w:r>
      <w:r>
        <w:rPr>
          <w:spacing w:val="-4"/>
          <w:sz w:val="18"/>
        </w:rPr>
        <w:t> </w:t>
      </w:r>
      <w:r>
        <w:rPr>
          <w:sz w:val="18"/>
        </w:rPr>
        <w:t>of</w:t>
      </w:r>
      <w:r>
        <w:rPr>
          <w:spacing w:val="-5"/>
          <w:sz w:val="18"/>
        </w:rPr>
        <w:t> </w:t>
      </w:r>
      <w:r>
        <w:rPr>
          <w:sz w:val="18"/>
        </w:rPr>
        <w:t>its</w:t>
      </w:r>
      <w:r>
        <w:rPr>
          <w:spacing w:val="-5"/>
          <w:sz w:val="18"/>
        </w:rPr>
        <w:t> </w:t>
      </w:r>
      <w:r>
        <w:rPr>
          <w:sz w:val="18"/>
        </w:rPr>
        <w:t>residence</w:t>
      </w:r>
      <w:r>
        <w:rPr>
          <w:spacing w:val="-4"/>
          <w:sz w:val="18"/>
        </w:rPr>
        <w:t> </w:t>
      </w:r>
      <w:r>
        <w:rPr>
          <w:sz w:val="18"/>
        </w:rPr>
        <w:t>requirements upon EU citizens in relation to the EU Citizens Rights Directive.</w:t>
      </w:r>
    </w:p>
    <w:p>
      <w:pPr>
        <w:pStyle w:val="ListParagraph"/>
        <w:numPr>
          <w:ilvl w:val="0"/>
          <w:numId w:val="3"/>
        </w:numPr>
        <w:tabs>
          <w:tab w:pos="1853" w:val="left" w:leader="none"/>
        </w:tabs>
        <w:spacing w:line="235" w:lineRule="auto" w:before="2" w:after="0"/>
        <w:ind w:left="1853" w:right="1412" w:hanging="720"/>
        <w:jc w:val="both"/>
        <w:rPr>
          <w:sz w:val="18"/>
        </w:rPr>
      </w:pPr>
      <w:r>
        <w:rPr>
          <w:sz w:val="18"/>
        </w:rPr>
        <w:t>Sarah</w:t>
      </w:r>
      <w:r>
        <w:rPr>
          <w:spacing w:val="-7"/>
          <w:sz w:val="18"/>
        </w:rPr>
        <w:t> </w:t>
      </w:r>
      <w:r>
        <w:rPr>
          <w:sz w:val="18"/>
        </w:rPr>
        <w:t>Craig,</w:t>
      </w:r>
      <w:r>
        <w:rPr>
          <w:spacing w:val="-6"/>
          <w:sz w:val="18"/>
        </w:rPr>
        <w:t> </w:t>
      </w:r>
      <w:r>
        <w:rPr>
          <w:sz w:val="18"/>
        </w:rPr>
        <w:t>Anurag</w:t>
      </w:r>
      <w:r>
        <w:rPr>
          <w:spacing w:val="-6"/>
          <w:sz w:val="18"/>
        </w:rPr>
        <w:t> </w:t>
      </w:r>
      <w:r>
        <w:rPr>
          <w:sz w:val="18"/>
        </w:rPr>
        <w:t>Deb,</w:t>
      </w:r>
      <w:r>
        <w:rPr>
          <w:spacing w:val="-6"/>
          <w:sz w:val="18"/>
        </w:rPr>
        <w:t> </w:t>
      </w:r>
      <w:r>
        <w:rPr>
          <w:sz w:val="18"/>
        </w:rPr>
        <w:t>Eleni</w:t>
      </w:r>
      <w:r>
        <w:rPr>
          <w:spacing w:val="-7"/>
          <w:sz w:val="18"/>
        </w:rPr>
        <w:t> </w:t>
      </w:r>
      <w:r>
        <w:rPr>
          <w:sz w:val="18"/>
        </w:rPr>
        <w:t>Frantziou,</w:t>
      </w:r>
      <w:r>
        <w:rPr>
          <w:spacing w:val="-6"/>
          <w:sz w:val="18"/>
        </w:rPr>
        <w:t> </w:t>
      </w:r>
      <w:r>
        <w:rPr>
          <w:sz w:val="18"/>
        </w:rPr>
        <w:t>Alexander</w:t>
      </w:r>
      <w:r>
        <w:rPr>
          <w:spacing w:val="-6"/>
          <w:sz w:val="18"/>
        </w:rPr>
        <w:t> </w:t>
      </w:r>
      <w:r>
        <w:rPr>
          <w:sz w:val="18"/>
        </w:rPr>
        <w:t>Horne,</w:t>
      </w:r>
      <w:r>
        <w:rPr>
          <w:spacing w:val="-6"/>
          <w:sz w:val="18"/>
        </w:rPr>
        <w:t> </w:t>
      </w:r>
      <w:r>
        <w:rPr>
          <w:sz w:val="18"/>
        </w:rPr>
        <w:t>Colin</w:t>
      </w:r>
      <w:r>
        <w:rPr>
          <w:spacing w:val="-7"/>
          <w:sz w:val="18"/>
        </w:rPr>
        <w:t> </w:t>
      </w:r>
      <w:r>
        <w:rPr>
          <w:sz w:val="18"/>
        </w:rPr>
        <w:t>Murray,</w:t>
      </w:r>
      <w:r>
        <w:rPr>
          <w:spacing w:val="-6"/>
          <w:sz w:val="18"/>
        </w:rPr>
        <w:t> </w:t>
      </w:r>
      <w:r>
        <w:rPr>
          <w:sz w:val="18"/>
        </w:rPr>
        <w:t>Clare</w:t>
      </w:r>
      <w:r>
        <w:rPr>
          <w:spacing w:val="-6"/>
          <w:sz w:val="18"/>
        </w:rPr>
        <w:t> </w:t>
      </w:r>
      <w:r>
        <w:rPr>
          <w:sz w:val="18"/>
        </w:rPr>
        <w:t>Rice</w:t>
      </w:r>
      <w:r>
        <w:rPr>
          <w:spacing w:val="-6"/>
          <w:sz w:val="18"/>
        </w:rPr>
        <w:t> </w:t>
      </w:r>
      <w:r>
        <w:rPr>
          <w:sz w:val="18"/>
        </w:rPr>
        <w:t>and</w:t>
      </w:r>
      <w:r>
        <w:rPr>
          <w:spacing w:val="-7"/>
          <w:sz w:val="18"/>
        </w:rPr>
        <w:t> </w:t>
      </w:r>
      <w:r>
        <w:rPr>
          <w:sz w:val="18"/>
        </w:rPr>
        <w:t>Jane</w:t>
      </w:r>
      <w:r>
        <w:rPr>
          <w:spacing w:val="-6"/>
          <w:sz w:val="18"/>
        </w:rPr>
        <w:t> </w:t>
      </w:r>
      <w:r>
        <w:rPr>
          <w:sz w:val="18"/>
        </w:rPr>
        <w:t>Rooney,</w:t>
      </w:r>
      <w:r>
        <w:rPr>
          <w:spacing w:val="-6"/>
          <w:sz w:val="18"/>
        </w:rPr>
        <w:t> </w:t>
      </w:r>
      <w:r>
        <w:rPr>
          <w:sz w:val="18"/>
        </w:rPr>
        <w:t>‘</w:t>
      </w:r>
      <w:hyperlink r:id="rId75">
        <w:r>
          <w:rPr>
            <w:sz w:val="18"/>
          </w:rPr>
          <w:t>European</w:t>
        </w:r>
        <w:r>
          <w:rPr>
            <w:spacing w:val="-7"/>
            <w:sz w:val="18"/>
          </w:rPr>
          <w:t> </w:t>
        </w:r>
        <w:r>
          <w:rPr>
            <w:sz w:val="18"/>
          </w:rPr>
          <w:t>Union</w:t>
        </w:r>
      </w:hyperlink>
      <w:r>
        <w:rPr>
          <w:sz w:val="18"/>
        </w:rPr>
        <w:t> </w:t>
      </w:r>
      <w:hyperlink r:id="rId75">
        <w:r>
          <w:rPr>
            <w:sz w:val="18"/>
          </w:rPr>
          <w:t>developments</w:t>
        </w:r>
        <w:r>
          <w:rPr>
            <w:spacing w:val="-2"/>
            <w:sz w:val="18"/>
          </w:rPr>
          <w:t> </w:t>
        </w:r>
        <w:r>
          <w:rPr>
            <w:sz w:val="18"/>
          </w:rPr>
          <w:t>in</w:t>
        </w:r>
        <w:r>
          <w:rPr>
            <w:spacing w:val="-2"/>
            <w:sz w:val="18"/>
          </w:rPr>
          <w:t> </w:t>
        </w:r>
        <w:r>
          <w:rPr>
            <w:sz w:val="18"/>
          </w:rPr>
          <w:t>Equality</w:t>
        </w:r>
        <w:r>
          <w:rPr>
            <w:spacing w:val="-1"/>
            <w:sz w:val="18"/>
          </w:rPr>
          <w:t> </w:t>
        </w:r>
        <w:r>
          <w:rPr>
            <w:sz w:val="18"/>
          </w:rPr>
          <w:t>and</w:t>
        </w:r>
        <w:r>
          <w:rPr>
            <w:spacing w:val="-2"/>
            <w:sz w:val="18"/>
          </w:rPr>
          <w:t> </w:t>
        </w:r>
        <w:r>
          <w:rPr>
            <w:sz w:val="18"/>
          </w:rPr>
          <w:t>Human</w:t>
        </w:r>
        <w:r>
          <w:rPr>
            <w:spacing w:val="-2"/>
            <w:sz w:val="18"/>
          </w:rPr>
          <w:t> </w:t>
        </w:r>
        <w:r>
          <w:rPr>
            <w:sz w:val="18"/>
          </w:rPr>
          <w:t>Rights:</w:t>
        </w:r>
        <w:r>
          <w:rPr>
            <w:spacing w:val="-1"/>
            <w:sz w:val="18"/>
          </w:rPr>
          <w:t> </w:t>
        </w:r>
        <w:r>
          <w:rPr>
            <w:sz w:val="18"/>
          </w:rPr>
          <w:t>The</w:t>
        </w:r>
        <w:r>
          <w:rPr>
            <w:spacing w:val="-1"/>
            <w:sz w:val="18"/>
          </w:rPr>
          <w:t> </w:t>
        </w:r>
        <w:r>
          <w:rPr>
            <w:sz w:val="18"/>
          </w:rPr>
          <w:t>Impact</w:t>
        </w:r>
        <w:r>
          <w:rPr>
            <w:spacing w:val="-1"/>
            <w:sz w:val="18"/>
          </w:rPr>
          <w:t> </w:t>
        </w:r>
        <w:r>
          <w:rPr>
            <w:sz w:val="18"/>
          </w:rPr>
          <w:t>of</w:t>
        </w:r>
        <w:r>
          <w:rPr>
            <w:spacing w:val="-2"/>
            <w:sz w:val="18"/>
          </w:rPr>
          <w:t> </w:t>
        </w:r>
        <w:r>
          <w:rPr>
            <w:sz w:val="18"/>
          </w:rPr>
          <w:t>Brexit</w:t>
        </w:r>
        <w:r>
          <w:rPr>
            <w:spacing w:val="-1"/>
            <w:sz w:val="18"/>
          </w:rPr>
          <w:t> </w:t>
        </w:r>
        <w:r>
          <w:rPr>
            <w:sz w:val="18"/>
          </w:rPr>
          <w:t>on</w:t>
        </w:r>
        <w:r>
          <w:rPr>
            <w:spacing w:val="-2"/>
            <w:sz w:val="18"/>
          </w:rPr>
          <w:t> </w:t>
        </w:r>
        <w:r>
          <w:rPr>
            <w:sz w:val="18"/>
          </w:rPr>
          <w:t>the</w:t>
        </w:r>
        <w:r>
          <w:rPr>
            <w:spacing w:val="-1"/>
            <w:sz w:val="18"/>
          </w:rPr>
          <w:t> </w:t>
        </w:r>
        <w:r>
          <w:rPr>
            <w:sz w:val="18"/>
          </w:rPr>
          <w:t>divergence</w:t>
        </w:r>
        <w:r>
          <w:rPr>
            <w:spacing w:val="-1"/>
            <w:sz w:val="18"/>
          </w:rPr>
          <w:t> </w:t>
        </w:r>
        <w:r>
          <w:rPr>
            <w:sz w:val="18"/>
          </w:rPr>
          <w:t>of</w:t>
        </w:r>
        <w:r>
          <w:rPr>
            <w:spacing w:val="-2"/>
            <w:sz w:val="18"/>
          </w:rPr>
          <w:t> </w:t>
        </w:r>
        <w:r>
          <w:rPr>
            <w:sz w:val="18"/>
          </w:rPr>
          <w:t>rights</w:t>
        </w:r>
        <w:r>
          <w:rPr>
            <w:spacing w:val="-2"/>
            <w:sz w:val="18"/>
          </w:rPr>
          <w:t> </w:t>
        </w:r>
        <w:r>
          <w:rPr>
            <w:sz w:val="18"/>
          </w:rPr>
          <w:t>and</w:t>
        </w:r>
        <w:r>
          <w:rPr>
            <w:spacing w:val="-2"/>
            <w:sz w:val="18"/>
          </w:rPr>
          <w:t> </w:t>
        </w:r>
        <w:r>
          <w:rPr>
            <w:sz w:val="18"/>
          </w:rPr>
          <w:t>best</w:t>
        </w:r>
        <w:r>
          <w:rPr>
            <w:spacing w:val="-1"/>
            <w:sz w:val="18"/>
          </w:rPr>
          <w:t> </w:t>
        </w:r>
        <w:r>
          <w:rPr>
            <w:sz w:val="18"/>
          </w:rPr>
          <w:t>practice</w:t>
        </w:r>
        <w:r>
          <w:rPr>
            <w:spacing w:val="-1"/>
            <w:sz w:val="18"/>
          </w:rPr>
          <w:t> </w:t>
        </w:r>
        <w:r>
          <w:rPr>
            <w:sz w:val="18"/>
          </w:rPr>
          <w:t>on</w:t>
        </w:r>
        <w:r>
          <w:rPr>
            <w:spacing w:val="-2"/>
            <w:sz w:val="18"/>
          </w:rPr>
          <w:t> </w:t>
        </w:r>
        <w:r>
          <w:rPr>
            <w:sz w:val="18"/>
          </w:rPr>
          <w:t>the</w:t>
        </w:r>
      </w:hyperlink>
      <w:r>
        <w:rPr>
          <w:sz w:val="18"/>
        </w:rPr>
        <w:t> </w:t>
      </w:r>
      <w:hyperlink r:id="rId75">
        <w:r>
          <w:rPr>
            <w:sz w:val="18"/>
          </w:rPr>
          <w:t>island of Ireland</w:t>
        </w:r>
      </w:hyperlink>
      <w:r>
        <w:rPr>
          <w:sz w:val="18"/>
        </w:rPr>
        <w:t>’ (ECNI, NIHRC, IHREC 2022), at 91.</w:t>
      </w:r>
    </w:p>
    <w:p>
      <w:pPr>
        <w:spacing w:after="0" w:line="235" w:lineRule="auto"/>
        <w:jc w:val="both"/>
        <w:rPr>
          <w:sz w:val="18"/>
        </w:rPr>
        <w:sectPr>
          <w:pgSz w:w="11910" w:h="16840"/>
          <w:pgMar w:header="496" w:footer="367" w:top="1220" w:bottom="560" w:left="0" w:right="0"/>
        </w:sectPr>
      </w:pPr>
    </w:p>
    <w:p>
      <w:pPr>
        <w:pStyle w:val="BodyText"/>
        <w:spacing w:before="198"/>
      </w:pPr>
    </w:p>
    <w:p>
      <w:pPr>
        <w:spacing w:line="225" w:lineRule="auto" w:before="0"/>
        <w:ind w:left="1853" w:right="1468" w:firstLine="0"/>
        <w:jc w:val="left"/>
        <w:rPr>
          <w:b/>
          <w:sz w:val="28"/>
        </w:rPr>
      </w:pPr>
      <w:r>
        <w:rPr>
          <w:b/>
          <w:color w:val="67287F"/>
          <w:sz w:val="28"/>
        </w:rPr>
        <w:t>rights law, arising as a result of EU laws introduced on or after 1 January 2021, that enhance protections and reflect international human rights standards.</w:t>
      </w:r>
      <w:r>
        <w:rPr>
          <w:b/>
          <w:color w:val="67287F"/>
          <w:spacing w:val="40"/>
          <w:sz w:val="28"/>
        </w:rPr>
        <w:t> </w:t>
      </w:r>
      <w:r>
        <w:rPr>
          <w:b/>
          <w:color w:val="67287F"/>
          <w:sz w:val="28"/>
        </w:rPr>
        <w:t>This should include aligning on a voluntary basis with rights introduced</w:t>
      </w:r>
      <w:r>
        <w:rPr>
          <w:b/>
          <w:color w:val="67287F"/>
          <w:spacing w:val="-4"/>
          <w:sz w:val="28"/>
        </w:rPr>
        <w:t> </w:t>
      </w:r>
      <w:r>
        <w:rPr>
          <w:b/>
          <w:color w:val="67287F"/>
          <w:sz w:val="28"/>
        </w:rPr>
        <w:t>as</w:t>
      </w:r>
      <w:r>
        <w:rPr>
          <w:b/>
          <w:color w:val="67287F"/>
          <w:spacing w:val="-4"/>
          <w:sz w:val="28"/>
        </w:rPr>
        <w:t> </w:t>
      </w:r>
      <w:r>
        <w:rPr>
          <w:b/>
          <w:color w:val="67287F"/>
          <w:sz w:val="28"/>
        </w:rPr>
        <w:t>a</w:t>
      </w:r>
      <w:r>
        <w:rPr>
          <w:b/>
          <w:color w:val="67287F"/>
          <w:spacing w:val="-4"/>
          <w:sz w:val="28"/>
        </w:rPr>
        <w:t> </w:t>
      </w:r>
      <w:r>
        <w:rPr>
          <w:b/>
          <w:color w:val="67287F"/>
          <w:sz w:val="28"/>
        </w:rPr>
        <w:t>result</w:t>
      </w:r>
      <w:r>
        <w:rPr>
          <w:b/>
          <w:color w:val="67287F"/>
          <w:spacing w:val="-4"/>
          <w:sz w:val="28"/>
        </w:rPr>
        <w:t> </w:t>
      </w:r>
      <w:r>
        <w:rPr>
          <w:b/>
          <w:color w:val="67287F"/>
          <w:sz w:val="28"/>
        </w:rPr>
        <w:t>of</w:t>
      </w:r>
      <w:r>
        <w:rPr>
          <w:b/>
          <w:color w:val="67287F"/>
          <w:spacing w:val="-5"/>
          <w:sz w:val="28"/>
        </w:rPr>
        <w:t> </w:t>
      </w:r>
      <w:r>
        <w:rPr>
          <w:b/>
          <w:color w:val="67287F"/>
          <w:sz w:val="28"/>
        </w:rPr>
        <w:t>EU</w:t>
      </w:r>
      <w:r>
        <w:rPr>
          <w:b/>
          <w:color w:val="67287F"/>
          <w:spacing w:val="-4"/>
          <w:sz w:val="28"/>
        </w:rPr>
        <w:t> </w:t>
      </w:r>
      <w:r>
        <w:rPr>
          <w:b/>
          <w:color w:val="67287F"/>
          <w:sz w:val="28"/>
        </w:rPr>
        <w:t>laws</w:t>
      </w:r>
      <w:r>
        <w:rPr>
          <w:b/>
          <w:color w:val="67287F"/>
          <w:spacing w:val="-4"/>
          <w:sz w:val="28"/>
        </w:rPr>
        <w:t> </w:t>
      </w:r>
      <w:r>
        <w:rPr>
          <w:b/>
          <w:color w:val="67287F"/>
          <w:sz w:val="28"/>
        </w:rPr>
        <w:t>that</w:t>
      </w:r>
      <w:r>
        <w:rPr>
          <w:b/>
          <w:color w:val="67287F"/>
          <w:spacing w:val="-4"/>
          <w:sz w:val="28"/>
        </w:rPr>
        <w:t> </w:t>
      </w:r>
      <w:r>
        <w:rPr>
          <w:b/>
          <w:color w:val="67287F"/>
          <w:sz w:val="28"/>
        </w:rPr>
        <w:t>do</w:t>
      </w:r>
      <w:r>
        <w:rPr>
          <w:b/>
          <w:color w:val="67287F"/>
          <w:spacing w:val="-4"/>
          <w:sz w:val="28"/>
        </w:rPr>
        <w:t> </w:t>
      </w:r>
      <w:r>
        <w:rPr>
          <w:b/>
          <w:color w:val="67287F"/>
          <w:sz w:val="28"/>
        </w:rPr>
        <w:t>not</w:t>
      </w:r>
      <w:r>
        <w:rPr>
          <w:b/>
          <w:color w:val="67287F"/>
          <w:spacing w:val="-4"/>
          <w:sz w:val="28"/>
        </w:rPr>
        <w:t> </w:t>
      </w:r>
      <w:r>
        <w:rPr>
          <w:b/>
          <w:color w:val="67287F"/>
          <w:sz w:val="28"/>
        </w:rPr>
        <w:t>amend</w:t>
      </w:r>
      <w:r>
        <w:rPr>
          <w:b/>
          <w:color w:val="67287F"/>
          <w:spacing w:val="-4"/>
          <w:sz w:val="28"/>
        </w:rPr>
        <w:t> </w:t>
      </w:r>
      <w:r>
        <w:rPr>
          <w:b/>
          <w:color w:val="67287F"/>
          <w:sz w:val="28"/>
        </w:rPr>
        <w:t>or</w:t>
      </w:r>
      <w:r>
        <w:rPr>
          <w:b/>
          <w:color w:val="67287F"/>
          <w:spacing w:val="-5"/>
          <w:sz w:val="28"/>
        </w:rPr>
        <w:t> </w:t>
      </w:r>
      <w:r>
        <w:rPr>
          <w:b/>
          <w:color w:val="67287F"/>
          <w:sz w:val="28"/>
        </w:rPr>
        <w:t>replace</w:t>
      </w:r>
      <w:r>
        <w:rPr>
          <w:b/>
          <w:color w:val="67287F"/>
          <w:spacing w:val="-5"/>
          <w:sz w:val="28"/>
        </w:rPr>
        <w:t> </w:t>
      </w:r>
      <w:r>
        <w:rPr>
          <w:b/>
          <w:color w:val="67287F"/>
          <w:sz w:val="28"/>
        </w:rPr>
        <w:t>the</w:t>
      </w:r>
      <w:r>
        <w:rPr>
          <w:b/>
          <w:color w:val="67287F"/>
          <w:spacing w:val="-5"/>
          <w:sz w:val="28"/>
        </w:rPr>
        <w:t> </w:t>
      </w:r>
      <w:r>
        <w:rPr>
          <w:b/>
          <w:color w:val="67287F"/>
          <w:sz w:val="28"/>
        </w:rPr>
        <w:t>Annex 1 directives.</w:t>
      </w:r>
    </w:p>
    <w:p>
      <w:pPr>
        <w:pStyle w:val="ListParagraph"/>
        <w:numPr>
          <w:ilvl w:val="1"/>
          <w:numId w:val="7"/>
        </w:numPr>
        <w:tabs>
          <w:tab w:pos="1853" w:val="left" w:leader="none"/>
        </w:tabs>
        <w:spacing w:line="225" w:lineRule="auto" w:before="314" w:after="0"/>
        <w:ind w:left="1853" w:right="1354" w:hanging="720"/>
        <w:jc w:val="left"/>
        <w:rPr>
          <w:b/>
          <w:color w:val="67287F"/>
          <w:sz w:val="28"/>
        </w:rPr>
      </w:pPr>
      <w:r>
        <w:rPr>
          <w:b/>
          <w:color w:val="67287F"/>
          <w:sz w:val="28"/>
        </w:rPr>
        <w:t>The Commissions continue to recommend that the Irish Government, NI Executive, and UK Government work to enhance and harmonise equality and human rights protections on the island of Ireland, aligned to their respective remits, and make a clear commitment to working towards ensuring</w:t>
      </w:r>
      <w:r>
        <w:rPr>
          <w:b/>
          <w:color w:val="67287F"/>
          <w:spacing w:val="-5"/>
          <w:sz w:val="28"/>
        </w:rPr>
        <w:t> </w:t>
      </w:r>
      <w:r>
        <w:rPr>
          <w:b/>
          <w:color w:val="67287F"/>
          <w:sz w:val="28"/>
        </w:rPr>
        <w:t>North-South</w:t>
      </w:r>
      <w:r>
        <w:rPr>
          <w:b/>
          <w:color w:val="67287F"/>
          <w:spacing w:val="-4"/>
          <w:sz w:val="28"/>
        </w:rPr>
        <w:t> </w:t>
      </w:r>
      <w:r>
        <w:rPr>
          <w:b/>
          <w:color w:val="67287F"/>
          <w:sz w:val="28"/>
        </w:rPr>
        <w:t>equivalence</w:t>
      </w:r>
      <w:r>
        <w:rPr>
          <w:b/>
          <w:color w:val="67287F"/>
          <w:spacing w:val="-5"/>
          <w:sz w:val="28"/>
        </w:rPr>
        <w:t> </w:t>
      </w:r>
      <w:r>
        <w:rPr>
          <w:b/>
          <w:color w:val="67287F"/>
          <w:sz w:val="28"/>
        </w:rPr>
        <w:t>of</w:t>
      </w:r>
      <w:r>
        <w:rPr>
          <w:b/>
          <w:color w:val="67287F"/>
          <w:spacing w:val="-5"/>
          <w:sz w:val="28"/>
        </w:rPr>
        <w:t> </w:t>
      </w:r>
      <w:r>
        <w:rPr>
          <w:b/>
          <w:color w:val="67287F"/>
          <w:sz w:val="28"/>
        </w:rPr>
        <w:t>rights</w:t>
      </w:r>
      <w:r>
        <w:rPr>
          <w:b/>
          <w:color w:val="67287F"/>
          <w:spacing w:val="-4"/>
          <w:sz w:val="28"/>
        </w:rPr>
        <w:t> </w:t>
      </w:r>
      <w:r>
        <w:rPr>
          <w:b/>
          <w:color w:val="67287F"/>
          <w:sz w:val="28"/>
        </w:rPr>
        <w:t>on</w:t>
      </w:r>
      <w:r>
        <w:rPr>
          <w:b/>
          <w:color w:val="67287F"/>
          <w:spacing w:val="-4"/>
          <w:sz w:val="28"/>
        </w:rPr>
        <w:t> </w:t>
      </w:r>
      <w:r>
        <w:rPr>
          <w:b/>
          <w:color w:val="67287F"/>
          <w:sz w:val="28"/>
        </w:rPr>
        <w:t>the</w:t>
      </w:r>
      <w:r>
        <w:rPr>
          <w:b/>
          <w:color w:val="67287F"/>
          <w:spacing w:val="-5"/>
          <w:sz w:val="28"/>
        </w:rPr>
        <w:t> </w:t>
      </w:r>
      <w:r>
        <w:rPr>
          <w:b/>
          <w:color w:val="67287F"/>
          <w:sz w:val="28"/>
        </w:rPr>
        <w:t>island</w:t>
      </w:r>
      <w:r>
        <w:rPr>
          <w:b/>
          <w:color w:val="67287F"/>
          <w:spacing w:val="-4"/>
          <w:sz w:val="28"/>
        </w:rPr>
        <w:t> </w:t>
      </w:r>
      <w:r>
        <w:rPr>
          <w:b/>
          <w:color w:val="67287F"/>
          <w:sz w:val="28"/>
        </w:rPr>
        <w:t>of</w:t>
      </w:r>
      <w:r>
        <w:rPr>
          <w:b/>
          <w:color w:val="67287F"/>
          <w:spacing w:val="-5"/>
          <w:sz w:val="28"/>
        </w:rPr>
        <w:t> </w:t>
      </w:r>
      <w:r>
        <w:rPr>
          <w:b/>
          <w:color w:val="67287F"/>
          <w:sz w:val="28"/>
        </w:rPr>
        <w:t>Ireland</w:t>
      </w:r>
      <w:r>
        <w:rPr>
          <w:b/>
          <w:color w:val="67287F"/>
          <w:spacing w:val="-4"/>
          <w:sz w:val="28"/>
        </w:rPr>
        <w:t> </w:t>
      </w:r>
      <w:r>
        <w:rPr>
          <w:b/>
          <w:color w:val="67287F"/>
          <w:sz w:val="28"/>
        </w:rPr>
        <w:t>so</w:t>
      </w:r>
      <w:r>
        <w:rPr>
          <w:b/>
          <w:color w:val="67287F"/>
          <w:spacing w:val="-4"/>
          <w:sz w:val="28"/>
        </w:rPr>
        <w:t> </w:t>
      </w:r>
      <w:r>
        <w:rPr>
          <w:b/>
          <w:color w:val="67287F"/>
          <w:sz w:val="28"/>
        </w:rPr>
        <w:t>as</w:t>
      </w:r>
      <w:r>
        <w:rPr>
          <w:b/>
          <w:color w:val="67287F"/>
          <w:spacing w:val="-4"/>
          <w:sz w:val="28"/>
        </w:rPr>
        <w:t> </w:t>
      </w:r>
      <w:r>
        <w:rPr>
          <w:b/>
          <w:color w:val="67287F"/>
          <w:sz w:val="28"/>
        </w:rPr>
        <w:t>to strengthen protections and reflect international human rights standards.</w:t>
      </w:r>
    </w:p>
    <w:p>
      <w:pPr>
        <w:pStyle w:val="ListParagraph"/>
        <w:numPr>
          <w:ilvl w:val="1"/>
          <w:numId w:val="7"/>
        </w:numPr>
        <w:tabs>
          <w:tab w:pos="1853" w:val="left" w:leader="none"/>
        </w:tabs>
        <w:spacing w:line="225" w:lineRule="auto" w:before="312" w:after="0"/>
        <w:ind w:left="1853" w:right="1290" w:hanging="720"/>
        <w:jc w:val="left"/>
        <w:rPr>
          <w:b/>
          <w:color w:val="67287F"/>
          <w:sz w:val="28"/>
        </w:rPr>
      </w:pPr>
      <w:r>
        <w:rPr>
          <w:b/>
          <w:color w:val="67287F"/>
          <w:sz w:val="28"/>
        </w:rPr>
        <w:t>The Commissions recommend that the UK Government and the Executive Office centrally logs and publishes areas of regulatory divergence post Brexit</w:t>
      </w:r>
      <w:r>
        <w:rPr>
          <w:b/>
          <w:color w:val="67287F"/>
          <w:spacing w:val="-4"/>
          <w:sz w:val="28"/>
        </w:rPr>
        <w:t> </w:t>
      </w:r>
      <w:r>
        <w:rPr>
          <w:b/>
          <w:color w:val="67287F"/>
          <w:sz w:val="28"/>
        </w:rPr>
        <w:t>relating</w:t>
      </w:r>
      <w:r>
        <w:rPr>
          <w:b/>
          <w:color w:val="67287F"/>
          <w:spacing w:val="-5"/>
          <w:sz w:val="28"/>
        </w:rPr>
        <w:t> </w:t>
      </w:r>
      <w:r>
        <w:rPr>
          <w:b/>
          <w:color w:val="67287F"/>
          <w:sz w:val="28"/>
        </w:rPr>
        <w:t>to</w:t>
      </w:r>
      <w:r>
        <w:rPr>
          <w:b/>
          <w:color w:val="67287F"/>
          <w:spacing w:val="-4"/>
          <w:sz w:val="28"/>
        </w:rPr>
        <w:t> </w:t>
      </w:r>
      <w:r>
        <w:rPr>
          <w:b/>
          <w:color w:val="67287F"/>
          <w:sz w:val="28"/>
        </w:rPr>
        <w:t>equality</w:t>
      </w:r>
      <w:r>
        <w:rPr>
          <w:b/>
          <w:color w:val="67287F"/>
          <w:spacing w:val="-4"/>
          <w:sz w:val="28"/>
        </w:rPr>
        <w:t> </w:t>
      </w:r>
      <w:r>
        <w:rPr>
          <w:b/>
          <w:color w:val="67287F"/>
          <w:sz w:val="28"/>
        </w:rPr>
        <w:t>and</w:t>
      </w:r>
      <w:r>
        <w:rPr>
          <w:b/>
          <w:color w:val="67287F"/>
          <w:spacing w:val="-4"/>
          <w:sz w:val="28"/>
        </w:rPr>
        <w:t> </w:t>
      </w:r>
      <w:r>
        <w:rPr>
          <w:b/>
          <w:color w:val="67287F"/>
          <w:sz w:val="28"/>
        </w:rPr>
        <w:t>human</w:t>
      </w:r>
      <w:r>
        <w:rPr>
          <w:b/>
          <w:color w:val="67287F"/>
          <w:spacing w:val="-4"/>
          <w:sz w:val="28"/>
        </w:rPr>
        <w:t> </w:t>
      </w:r>
      <w:r>
        <w:rPr>
          <w:b/>
          <w:color w:val="67287F"/>
          <w:sz w:val="28"/>
        </w:rPr>
        <w:t>rights</w:t>
      </w:r>
      <w:r>
        <w:rPr>
          <w:b/>
          <w:color w:val="67287F"/>
          <w:spacing w:val="-4"/>
          <w:sz w:val="28"/>
        </w:rPr>
        <w:t> </w:t>
      </w:r>
      <w:r>
        <w:rPr>
          <w:b/>
          <w:color w:val="67287F"/>
          <w:sz w:val="28"/>
        </w:rPr>
        <w:t>in</w:t>
      </w:r>
      <w:r>
        <w:rPr>
          <w:b/>
          <w:color w:val="67287F"/>
          <w:spacing w:val="-4"/>
          <w:sz w:val="28"/>
        </w:rPr>
        <w:t> </w:t>
      </w:r>
      <w:r>
        <w:rPr>
          <w:b/>
          <w:color w:val="67287F"/>
          <w:sz w:val="28"/>
        </w:rPr>
        <w:t>NI.</w:t>
      </w:r>
      <w:r>
        <w:rPr>
          <w:b/>
          <w:color w:val="67287F"/>
          <w:spacing w:val="-5"/>
          <w:sz w:val="28"/>
        </w:rPr>
        <w:t> </w:t>
      </w:r>
      <w:r>
        <w:rPr>
          <w:b/>
          <w:color w:val="67287F"/>
          <w:sz w:val="28"/>
        </w:rPr>
        <w:t>This</w:t>
      </w:r>
      <w:r>
        <w:rPr>
          <w:b/>
          <w:color w:val="67287F"/>
          <w:spacing w:val="-4"/>
          <w:sz w:val="28"/>
        </w:rPr>
        <w:t> </w:t>
      </w:r>
      <w:r>
        <w:rPr>
          <w:b/>
          <w:color w:val="67287F"/>
          <w:sz w:val="28"/>
        </w:rPr>
        <w:t>should</w:t>
      </w:r>
      <w:r>
        <w:rPr>
          <w:b/>
          <w:color w:val="67287F"/>
          <w:spacing w:val="-4"/>
          <w:sz w:val="28"/>
        </w:rPr>
        <w:t> </w:t>
      </w:r>
      <w:r>
        <w:rPr>
          <w:b/>
          <w:color w:val="67287F"/>
          <w:sz w:val="28"/>
        </w:rPr>
        <w:t>include</w:t>
      </w:r>
      <w:r>
        <w:rPr>
          <w:b/>
          <w:color w:val="67287F"/>
          <w:spacing w:val="-5"/>
          <w:sz w:val="28"/>
        </w:rPr>
        <w:t> </w:t>
      </w:r>
      <w:r>
        <w:rPr>
          <w:b/>
          <w:color w:val="67287F"/>
          <w:sz w:val="28"/>
        </w:rPr>
        <w:t>in</w:t>
      </w:r>
      <w:r>
        <w:rPr>
          <w:b/>
          <w:color w:val="67287F"/>
          <w:spacing w:val="-4"/>
          <w:sz w:val="28"/>
        </w:rPr>
        <w:t> </w:t>
      </w:r>
      <w:r>
        <w:rPr>
          <w:b/>
          <w:color w:val="67287F"/>
          <w:sz w:val="28"/>
        </w:rPr>
        <w:t>the context of divergence of rights on the island of Ireland and divergence of rights between NI and Great Britain.</w:t>
      </w:r>
    </w:p>
    <w:p>
      <w:pPr>
        <w:pStyle w:val="ListParagraph"/>
        <w:numPr>
          <w:ilvl w:val="1"/>
          <w:numId w:val="7"/>
        </w:numPr>
        <w:tabs>
          <w:tab w:pos="1853" w:val="left" w:leader="none"/>
        </w:tabs>
        <w:spacing w:line="225" w:lineRule="auto" w:before="314" w:after="0"/>
        <w:ind w:left="1853" w:right="1368" w:hanging="720"/>
        <w:jc w:val="left"/>
        <w:rPr>
          <w:b/>
          <w:color w:val="67287F"/>
          <w:sz w:val="28"/>
        </w:rPr>
      </w:pPr>
      <w:r>
        <w:rPr>
          <w:b/>
          <w:color w:val="67287F"/>
          <w:sz w:val="28"/>
        </w:rPr>
        <w:t>The</w:t>
      </w:r>
      <w:r>
        <w:rPr>
          <w:b/>
          <w:color w:val="67287F"/>
          <w:spacing w:val="-6"/>
          <w:sz w:val="28"/>
        </w:rPr>
        <w:t> </w:t>
      </w:r>
      <w:r>
        <w:rPr>
          <w:b/>
          <w:color w:val="67287F"/>
          <w:sz w:val="28"/>
        </w:rPr>
        <w:t>Commissions</w:t>
      </w:r>
      <w:r>
        <w:rPr>
          <w:b/>
          <w:color w:val="67287F"/>
          <w:spacing w:val="-6"/>
          <w:sz w:val="28"/>
        </w:rPr>
        <w:t> </w:t>
      </w:r>
      <w:r>
        <w:rPr>
          <w:b/>
          <w:color w:val="67287F"/>
          <w:sz w:val="28"/>
        </w:rPr>
        <w:t>continue</w:t>
      </w:r>
      <w:r>
        <w:rPr>
          <w:b/>
          <w:color w:val="67287F"/>
          <w:spacing w:val="-6"/>
          <w:sz w:val="28"/>
        </w:rPr>
        <w:t> </w:t>
      </w:r>
      <w:r>
        <w:rPr>
          <w:b/>
          <w:color w:val="67287F"/>
          <w:sz w:val="28"/>
        </w:rPr>
        <w:t>to</w:t>
      </w:r>
      <w:r>
        <w:rPr>
          <w:b/>
          <w:color w:val="67287F"/>
          <w:spacing w:val="-6"/>
          <w:sz w:val="28"/>
        </w:rPr>
        <w:t> </w:t>
      </w:r>
      <w:r>
        <w:rPr>
          <w:b/>
          <w:color w:val="67287F"/>
          <w:sz w:val="28"/>
        </w:rPr>
        <w:t>recommend</w:t>
      </w:r>
      <w:r>
        <w:rPr>
          <w:b/>
          <w:color w:val="67287F"/>
          <w:spacing w:val="-6"/>
          <w:sz w:val="28"/>
        </w:rPr>
        <w:t> </w:t>
      </w:r>
      <w:r>
        <w:rPr>
          <w:b/>
          <w:color w:val="67287F"/>
          <w:sz w:val="28"/>
        </w:rPr>
        <w:t>that</w:t>
      </w:r>
      <w:r>
        <w:rPr>
          <w:b/>
          <w:color w:val="67287F"/>
          <w:spacing w:val="-6"/>
          <w:sz w:val="28"/>
        </w:rPr>
        <w:t> </w:t>
      </w:r>
      <w:r>
        <w:rPr>
          <w:b/>
          <w:color w:val="67287F"/>
          <w:sz w:val="28"/>
        </w:rPr>
        <w:t>the</w:t>
      </w:r>
      <w:r>
        <w:rPr>
          <w:b/>
          <w:color w:val="67287F"/>
          <w:spacing w:val="-6"/>
          <w:sz w:val="28"/>
        </w:rPr>
        <w:t> </w:t>
      </w:r>
      <w:r>
        <w:rPr>
          <w:b/>
          <w:color w:val="67287F"/>
          <w:sz w:val="28"/>
        </w:rPr>
        <w:t>UK</w:t>
      </w:r>
      <w:r>
        <w:rPr>
          <w:b/>
          <w:color w:val="67287F"/>
          <w:spacing w:val="-6"/>
          <w:sz w:val="28"/>
        </w:rPr>
        <w:t> </w:t>
      </w:r>
      <w:r>
        <w:rPr>
          <w:b/>
          <w:color w:val="67287F"/>
          <w:sz w:val="28"/>
        </w:rPr>
        <w:t>Government</w:t>
      </w:r>
      <w:r>
        <w:rPr>
          <w:b/>
          <w:color w:val="67287F"/>
          <w:spacing w:val="-6"/>
          <w:sz w:val="28"/>
        </w:rPr>
        <w:t> </w:t>
      </w:r>
      <w:r>
        <w:rPr>
          <w:b/>
          <w:color w:val="67287F"/>
          <w:sz w:val="28"/>
        </w:rPr>
        <w:t>and</w:t>
      </w:r>
      <w:r>
        <w:rPr>
          <w:b/>
          <w:color w:val="67287F"/>
          <w:spacing w:val="-6"/>
          <w:sz w:val="28"/>
        </w:rPr>
        <w:t> </w:t>
      </w:r>
      <w:r>
        <w:rPr>
          <w:b/>
          <w:color w:val="67287F"/>
          <w:sz w:val="28"/>
        </w:rPr>
        <w:t>EU undertake regular reviews of new EU laws relating to equality and human rights</w:t>
      </w:r>
      <w:r>
        <w:rPr>
          <w:b/>
          <w:color w:val="67287F"/>
          <w:spacing w:val="-4"/>
          <w:sz w:val="28"/>
        </w:rPr>
        <w:t> </w:t>
      </w:r>
      <w:r>
        <w:rPr>
          <w:b/>
          <w:color w:val="67287F"/>
          <w:sz w:val="28"/>
        </w:rPr>
        <w:t>to</w:t>
      </w:r>
      <w:r>
        <w:rPr>
          <w:b/>
          <w:color w:val="67287F"/>
          <w:spacing w:val="-4"/>
          <w:sz w:val="28"/>
        </w:rPr>
        <w:t> </w:t>
      </w:r>
      <w:r>
        <w:rPr>
          <w:b/>
          <w:color w:val="67287F"/>
          <w:sz w:val="28"/>
        </w:rPr>
        <w:t>identify</w:t>
      </w:r>
      <w:r>
        <w:rPr>
          <w:b/>
          <w:color w:val="67287F"/>
          <w:spacing w:val="-4"/>
          <w:sz w:val="28"/>
        </w:rPr>
        <w:t> </w:t>
      </w:r>
      <w:r>
        <w:rPr>
          <w:b/>
          <w:color w:val="67287F"/>
          <w:sz w:val="28"/>
        </w:rPr>
        <w:t>new</w:t>
      </w:r>
      <w:r>
        <w:rPr>
          <w:b/>
          <w:color w:val="67287F"/>
          <w:spacing w:val="-5"/>
          <w:sz w:val="28"/>
        </w:rPr>
        <w:t> </w:t>
      </w:r>
      <w:r>
        <w:rPr>
          <w:b/>
          <w:color w:val="67287F"/>
          <w:sz w:val="28"/>
        </w:rPr>
        <w:t>measures</w:t>
      </w:r>
      <w:r>
        <w:rPr>
          <w:b/>
          <w:color w:val="67287F"/>
          <w:spacing w:val="-4"/>
          <w:sz w:val="28"/>
        </w:rPr>
        <w:t> </w:t>
      </w:r>
      <w:r>
        <w:rPr>
          <w:b/>
          <w:color w:val="67287F"/>
          <w:sz w:val="28"/>
        </w:rPr>
        <w:t>to</w:t>
      </w:r>
      <w:r>
        <w:rPr>
          <w:b/>
          <w:color w:val="67287F"/>
          <w:spacing w:val="-4"/>
          <w:sz w:val="28"/>
        </w:rPr>
        <w:t> </w:t>
      </w:r>
      <w:r>
        <w:rPr>
          <w:b/>
          <w:color w:val="67287F"/>
          <w:sz w:val="28"/>
        </w:rPr>
        <w:t>be</w:t>
      </w:r>
      <w:r>
        <w:rPr>
          <w:b/>
          <w:color w:val="67287F"/>
          <w:spacing w:val="-5"/>
          <w:sz w:val="28"/>
        </w:rPr>
        <w:t> </w:t>
      </w:r>
      <w:r>
        <w:rPr>
          <w:b/>
          <w:color w:val="67287F"/>
          <w:sz w:val="28"/>
        </w:rPr>
        <w:t>considered</w:t>
      </w:r>
      <w:r>
        <w:rPr>
          <w:b/>
          <w:color w:val="67287F"/>
          <w:spacing w:val="-4"/>
          <w:sz w:val="28"/>
        </w:rPr>
        <w:t> </w:t>
      </w:r>
      <w:r>
        <w:rPr>
          <w:b/>
          <w:color w:val="67287F"/>
          <w:sz w:val="28"/>
        </w:rPr>
        <w:t>for</w:t>
      </w:r>
      <w:r>
        <w:rPr>
          <w:b/>
          <w:color w:val="67287F"/>
          <w:spacing w:val="-5"/>
          <w:sz w:val="28"/>
        </w:rPr>
        <w:t> </w:t>
      </w:r>
      <w:r>
        <w:rPr>
          <w:b/>
          <w:color w:val="67287F"/>
          <w:sz w:val="28"/>
        </w:rPr>
        <w:t>addition</w:t>
      </w:r>
      <w:r>
        <w:rPr>
          <w:b/>
          <w:color w:val="67287F"/>
          <w:spacing w:val="-4"/>
          <w:sz w:val="28"/>
        </w:rPr>
        <w:t> </w:t>
      </w:r>
      <w:r>
        <w:rPr>
          <w:b/>
          <w:color w:val="67287F"/>
          <w:sz w:val="28"/>
        </w:rPr>
        <w:t>to</w:t>
      </w:r>
      <w:r>
        <w:rPr>
          <w:b/>
          <w:color w:val="67287F"/>
          <w:spacing w:val="-4"/>
          <w:sz w:val="28"/>
        </w:rPr>
        <w:t> </w:t>
      </w:r>
      <w:r>
        <w:rPr>
          <w:b/>
          <w:color w:val="67287F"/>
          <w:sz w:val="28"/>
        </w:rPr>
        <w:t>the</w:t>
      </w:r>
      <w:r>
        <w:rPr>
          <w:b/>
          <w:color w:val="67287F"/>
          <w:spacing w:val="-5"/>
          <w:sz w:val="28"/>
        </w:rPr>
        <w:t> </w:t>
      </w:r>
      <w:r>
        <w:rPr>
          <w:b/>
          <w:color w:val="67287F"/>
          <w:sz w:val="28"/>
        </w:rPr>
        <w:t>Annex 1 equality directives, as provided for under Article 13(4), with particular consideration being given to alignment of standards across the two jurisdictions on the island of Ireland.</w:t>
      </w:r>
    </w:p>
    <w:p>
      <w:pPr>
        <w:pStyle w:val="ListParagraph"/>
        <w:numPr>
          <w:ilvl w:val="1"/>
          <w:numId w:val="7"/>
        </w:numPr>
        <w:tabs>
          <w:tab w:pos="1853" w:val="left" w:leader="none"/>
        </w:tabs>
        <w:spacing w:line="225" w:lineRule="auto" w:before="312" w:after="0"/>
        <w:ind w:left="1853" w:right="1300" w:hanging="720"/>
        <w:jc w:val="left"/>
        <w:rPr>
          <w:b/>
          <w:color w:val="67287F"/>
          <w:sz w:val="28"/>
        </w:rPr>
      </w:pPr>
      <w:r>
        <w:rPr>
          <w:b/>
          <w:color w:val="67287F"/>
          <w:sz w:val="28"/>
        </w:rPr>
        <w:t>The Commissions continue to recommend that the NI Executive reviews remedies available under NI equality law so as to ensure that these remedies</w:t>
      </w:r>
      <w:r>
        <w:rPr>
          <w:b/>
          <w:color w:val="67287F"/>
          <w:spacing w:val="-7"/>
          <w:sz w:val="28"/>
        </w:rPr>
        <w:t> </w:t>
      </w:r>
      <w:r>
        <w:rPr>
          <w:b/>
          <w:color w:val="67287F"/>
          <w:sz w:val="28"/>
        </w:rPr>
        <w:t>result</w:t>
      </w:r>
      <w:r>
        <w:rPr>
          <w:b/>
          <w:color w:val="67287F"/>
          <w:spacing w:val="-7"/>
          <w:sz w:val="28"/>
        </w:rPr>
        <w:t> </w:t>
      </w:r>
      <w:r>
        <w:rPr>
          <w:b/>
          <w:color w:val="67287F"/>
          <w:sz w:val="28"/>
        </w:rPr>
        <w:t>in</w:t>
      </w:r>
      <w:r>
        <w:rPr>
          <w:b/>
          <w:color w:val="67287F"/>
          <w:spacing w:val="-7"/>
          <w:sz w:val="28"/>
        </w:rPr>
        <w:t> </w:t>
      </w:r>
      <w:r>
        <w:rPr>
          <w:b/>
          <w:color w:val="67287F"/>
          <w:sz w:val="28"/>
        </w:rPr>
        <w:t>real</w:t>
      </w:r>
      <w:r>
        <w:rPr>
          <w:b/>
          <w:color w:val="67287F"/>
          <w:spacing w:val="-7"/>
          <w:sz w:val="28"/>
        </w:rPr>
        <w:t> </w:t>
      </w:r>
      <w:r>
        <w:rPr>
          <w:b/>
          <w:color w:val="67287F"/>
          <w:sz w:val="28"/>
        </w:rPr>
        <w:t>and</w:t>
      </w:r>
      <w:r>
        <w:rPr>
          <w:b/>
          <w:color w:val="67287F"/>
          <w:spacing w:val="-7"/>
          <w:sz w:val="28"/>
        </w:rPr>
        <w:t> </w:t>
      </w:r>
      <w:r>
        <w:rPr>
          <w:b/>
          <w:color w:val="67287F"/>
          <w:sz w:val="28"/>
        </w:rPr>
        <w:t>effective</w:t>
      </w:r>
      <w:r>
        <w:rPr>
          <w:b/>
          <w:color w:val="67287F"/>
          <w:spacing w:val="-8"/>
          <w:sz w:val="28"/>
        </w:rPr>
        <w:t> </w:t>
      </w:r>
      <w:r>
        <w:rPr>
          <w:b/>
          <w:color w:val="67287F"/>
          <w:sz w:val="28"/>
        </w:rPr>
        <w:t>judicial</w:t>
      </w:r>
      <w:r>
        <w:rPr>
          <w:b/>
          <w:color w:val="67287F"/>
          <w:spacing w:val="-7"/>
          <w:sz w:val="28"/>
        </w:rPr>
        <w:t> </w:t>
      </w:r>
      <w:r>
        <w:rPr>
          <w:b/>
          <w:color w:val="67287F"/>
          <w:sz w:val="28"/>
        </w:rPr>
        <w:t>protection</w:t>
      </w:r>
      <w:r>
        <w:rPr>
          <w:b/>
          <w:color w:val="67287F"/>
          <w:spacing w:val="-7"/>
          <w:sz w:val="28"/>
        </w:rPr>
        <w:t> </w:t>
      </w:r>
      <w:r>
        <w:rPr>
          <w:b/>
          <w:color w:val="67287F"/>
          <w:sz w:val="28"/>
        </w:rPr>
        <w:t>of</w:t>
      </w:r>
      <w:r>
        <w:rPr>
          <w:b/>
          <w:color w:val="67287F"/>
          <w:spacing w:val="-8"/>
          <w:sz w:val="28"/>
        </w:rPr>
        <w:t> </w:t>
      </w:r>
      <w:r>
        <w:rPr>
          <w:b/>
          <w:color w:val="67287F"/>
          <w:sz w:val="28"/>
        </w:rPr>
        <w:t>the</w:t>
      </w:r>
      <w:r>
        <w:rPr>
          <w:b/>
          <w:color w:val="67287F"/>
          <w:spacing w:val="-8"/>
          <w:sz w:val="28"/>
        </w:rPr>
        <w:t> </w:t>
      </w:r>
      <w:r>
        <w:rPr>
          <w:b/>
          <w:color w:val="67287F"/>
          <w:sz w:val="28"/>
        </w:rPr>
        <w:t>rights</w:t>
      </w:r>
      <w:r>
        <w:rPr>
          <w:b/>
          <w:color w:val="67287F"/>
          <w:spacing w:val="-7"/>
          <w:sz w:val="28"/>
        </w:rPr>
        <w:t> </w:t>
      </w:r>
      <w:r>
        <w:rPr>
          <w:b/>
          <w:color w:val="67287F"/>
          <w:sz w:val="28"/>
        </w:rPr>
        <w:t>derived from the Annex 1 equality directives and Article 47 of the EU Charter of Fundamental Rights.</w:t>
      </w:r>
    </w:p>
    <w:p>
      <w:pPr>
        <w:pStyle w:val="ListParagraph"/>
        <w:numPr>
          <w:ilvl w:val="1"/>
          <w:numId w:val="7"/>
        </w:numPr>
        <w:tabs>
          <w:tab w:pos="1853" w:val="left" w:leader="none"/>
        </w:tabs>
        <w:spacing w:line="225" w:lineRule="auto" w:before="314" w:after="0"/>
        <w:ind w:left="1853" w:right="1226" w:hanging="720"/>
        <w:jc w:val="left"/>
        <w:rPr>
          <w:b/>
          <w:color w:val="67287F"/>
          <w:sz w:val="28"/>
        </w:rPr>
      </w:pPr>
      <w:r>
        <w:rPr>
          <w:b/>
          <w:color w:val="67287F"/>
          <w:sz w:val="28"/>
        </w:rPr>
        <w:t>The Commissions continue to recommend that the UK Government, the NI Executive,</w:t>
      </w:r>
      <w:r>
        <w:rPr>
          <w:b/>
          <w:color w:val="67287F"/>
          <w:spacing w:val="-8"/>
          <w:sz w:val="28"/>
        </w:rPr>
        <w:t> </w:t>
      </w:r>
      <w:r>
        <w:rPr>
          <w:b/>
          <w:color w:val="67287F"/>
          <w:sz w:val="28"/>
        </w:rPr>
        <w:t>and</w:t>
      </w:r>
      <w:r>
        <w:rPr>
          <w:b/>
          <w:color w:val="67287F"/>
          <w:spacing w:val="-8"/>
          <w:sz w:val="28"/>
        </w:rPr>
        <w:t> </w:t>
      </w:r>
      <w:r>
        <w:rPr>
          <w:b/>
          <w:color w:val="67287F"/>
          <w:sz w:val="28"/>
        </w:rPr>
        <w:t>NI</w:t>
      </w:r>
      <w:r>
        <w:rPr>
          <w:b/>
          <w:color w:val="67287F"/>
          <w:spacing w:val="-8"/>
          <w:sz w:val="28"/>
        </w:rPr>
        <w:t> </w:t>
      </w:r>
      <w:r>
        <w:rPr>
          <w:b/>
          <w:color w:val="67287F"/>
          <w:sz w:val="28"/>
        </w:rPr>
        <w:t>departments</w:t>
      </w:r>
      <w:r>
        <w:rPr>
          <w:b/>
          <w:color w:val="67287F"/>
          <w:spacing w:val="-8"/>
          <w:sz w:val="28"/>
        </w:rPr>
        <w:t> </w:t>
      </w:r>
      <w:r>
        <w:rPr>
          <w:b/>
          <w:color w:val="67287F"/>
          <w:sz w:val="28"/>
        </w:rPr>
        <w:t>review</w:t>
      </w:r>
      <w:r>
        <w:rPr>
          <w:b/>
          <w:color w:val="67287F"/>
          <w:spacing w:val="-9"/>
          <w:sz w:val="28"/>
        </w:rPr>
        <w:t> </w:t>
      </w:r>
      <w:r>
        <w:rPr>
          <w:b/>
          <w:color w:val="67287F"/>
          <w:sz w:val="28"/>
        </w:rPr>
        <w:t>relevant</w:t>
      </w:r>
      <w:r>
        <w:rPr>
          <w:b/>
          <w:color w:val="67287F"/>
          <w:spacing w:val="-8"/>
          <w:sz w:val="28"/>
        </w:rPr>
        <w:t> </w:t>
      </w:r>
      <w:r>
        <w:rPr>
          <w:b/>
          <w:color w:val="67287F"/>
          <w:sz w:val="28"/>
        </w:rPr>
        <w:t>CJEU</w:t>
      </w:r>
      <w:r>
        <w:rPr>
          <w:b/>
          <w:color w:val="67287F"/>
          <w:spacing w:val="-8"/>
          <w:sz w:val="28"/>
        </w:rPr>
        <w:t> </w:t>
      </w:r>
      <w:r>
        <w:rPr>
          <w:b/>
          <w:color w:val="67287F"/>
          <w:sz w:val="28"/>
        </w:rPr>
        <w:t>case</w:t>
      </w:r>
      <w:r>
        <w:rPr>
          <w:b/>
          <w:color w:val="67287F"/>
          <w:spacing w:val="-9"/>
          <w:sz w:val="28"/>
        </w:rPr>
        <w:t> </w:t>
      </w:r>
      <w:r>
        <w:rPr>
          <w:b/>
          <w:color w:val="67287F"/>
          <w:sz w:val="28"/>
        </w:rPr>
        <w:t>law</w:t>
      </w:r>
      <w:r>
        <w:rPr>
          <w:b/>
          <w:color w:val="67287F"/>
          <w:spacing w:val="-9"/>
          <w:sz w:val="28"/>
        </w:rPr>
        <w:t> </w:t>
      </w:r>
      <w:r>
        <w:rPr>
          <w:b/>
          <w:color w:val="67287F"/>
          <w:sz w:val="28"/>
        </w:rPr>
        <w:t>developments relating to access to court, effective remedies, and compensation for violations of EU fundamental rights to ensure that their policies/legislation in this area reflect these developments as required and as a matter of best </w:t>
      </w:r>
      <w:r>
        <w:rPr>
          <w:b/>
          <w:color w:val="67287F"/>
          <w:spacing w:val="-2"/>
          <w:sz w:val="28"/>
        </w:rPr>
        <w:t>practice.</w:t>
      </w:r>
    </w:p>
    <w:p>
      <w:pPr>
        <w:pStyle w:val="ListParagraph"/>
        <w:numPr>
          <w:ilvl w:val="1"/>
          <w:numId w:val="7"/>
        </w:numPr>
        <w:tabs>
          <w:tab w:pos="1853" w:val="left" w:leader="none"/>
        </w:tabs>
        <w:spacing w:line="225" w:lineRule="auto" w:before="312" w:after="0"/>
        <w:ind w:left="1853" w:right="1293" w:hanging="720"/>
        <w:jc w:val="left"/>
        <w:rPr>
          <w:b/>
          <w:color w:val="67287F"/>
          <w:sz w:val="28"/>
        </w:rPr>
      </w:pPr>
      <w:r>
        <w:rPr>
          <w:b/>
          <w:color w:val="67287F"/>
          <w:sz w:val="28"/>
        </w:rPr>
        <w:t>The</w:t>
      </w:r>
      <w:r>
        <w:rPr>
          <w:b/>
          <w:color w:val="67287F"/>
          <w:spacing w:val="-8"/>
          <w:sz w:val="28"/>
        </w:rPr>
        <w:t> </w:t>
      </w:r>
      <w:r>
        <w:rPr>
          <w:b/>
          <w:color w:val="67287F"/>
          <w:sz w:val="28"/>
        </w:rPr>
        <w:t>Commissions</w:t>
      </w:r>
      <w:r>
        <w:rPr>
          <w:b/>
          <w:color w:val="67287F"/>
          <w:spacing w:val="-7"/>
          <w:sz w:val="28"/>
        </w:rPr>
        <w:t> </w:t>
      </w:r>
      <w:r>
        <w:rPr>
          <w:b/>
          <w:color w:val="67287F"/>
          <w:sz w:val="28"/>
        </w:rPr>
        <w:t>recommend</w:t>
      </w:r>
      <w:r>
        <w:rPr>
          <w:b/>
          <w:color w:val="67287F"/>
          <w:spacing w:val="-7"/>
          <w:sz w:val="28"/>
        </w:rPr>
        <w:t> </w:t>
      </w:r>
      <w:r>
        <w:rPr>
          <w:b/>
          <w:color w:val="67287F"/>
          <w:sz w:val="28"/>
        </w:rPr>
        <w:t>the</w:t>
      </w:r>
      <w:r>
        <w:rPr>
          <w:b/>
          <w:color w:val="67287F"/>
          <w:spacing w:val="-8"/>
          <w:sz w:val="28"/>
        </w:rPr>
        <w:t> </w:t>
      </w:r>
      <w:r>
        <w:rPr>
          <w:b/>
          <w:color w:val="67287F"/>
          <w:sz w:val="28"/>
        </w:rPr>
        <w:t>UK</w:t>
      </w:r>
      <w:r>
        <w:rPr>
          <w:b/>
          <w:color w:val="67287F"/>
          <w:spacing w:val="-7"/>
          <w:sz w:val="28"/>
        </w:rPr>
        <w:t> </w:t>
      </w:r>
      <w:r>
        <w:rPr>
          <w:b/>
          <w:color w:val="67287F"/>
          <w:sz w:val="28"/>
        </w:rPr>
        <w:t>Government</w:t>
      </w:r>
      <w:r>
        <w:rPr>
          <w:b/>
          <w:color w:val="67287F"/>
          <w:spacing w:val="-7"/>
          <w:sz w:val="28"/>
        </w:rPr>
        <w:t> </w:t>
      </w:r>
      <w:r>
        <w:rPr>
          <w:b/>
          <w:color w:val="67287F"/>
          <w:sz w:val="28"/>
        </w:rPr>
        <w:t>takes</w:t>
      </w:r>
      <w:r>
        <w:rPr>
          <w:b/>
          <w:color w:val="67287F"/>
          <w:spacing w:val="-7"/>
          <w:sz w:val="28"/>
        </w:rPr>
        <w:t> </w:t>
      </w:r>
      <w:r>
        <w:rPr>
          <w:b/>
          <w:color w:val="67287F"/>
          <w:sz w:val="28"/>
        </w:rPr>
        <w:t>additional</w:t>
      </w:r>
      <w:r>
        <w:rPr>
          <w:b/>
          <w:color w:val="67287F"/>
          <w:spacing w:val="-7"/>
          <w:sz w:val="28"/>
        </w:rPr>
        <w:t> </w:t>
      </w:r>
      <w:r>
        <w:rPr>
          <w:b/>
          <w:color w:val="67287F"/>
          <w:sz w:val="28"/>
        </w:rPr>
        <w:t>steps</w:t>
      </w:r>
      <w:r>
        <w:rPr>
          <w:b/>
          <w:color w:val="67287F"/>
          <w:spacing w:val="-7"/>
          <w:sz w:val="28"/>
        </w:rPr>
        <w:t> </w:t>
      </w:r>
      <w:r>
        <w:rPr>
          <w:b/>
          <w:color w:val="67287F"/>
          <w:sz w:val="28"/>
        </w:rPr>
        <w:t>to ensure timely, regular, targeted, and structured engagement with equality and human rights groups in NI, including on matters relating to regulatory divergence and the implications of this for equality and human rights in NI.</w:t>
      </w:r>
    </w:p>
    <w:p>
      <w:pPr>
        <w:spacing w:after="0" w:line="225" w:lineRule="auto"/>
        <w:jc w:val="left"/>
        <w:rPr>
          <w:sz w:val="28"/>
        </w:rPr>
        <w:sectPr>
          <w:pgSz w:w="11910" w:h="16840"/>
          <w:pgMar w:header="496" w:footer="367" w:top="1220" w:bottom="560" w:left="0" w:right="0"/>
        </w:sectPr>
      </w:pPr>
    </w:p>
    <w:p>
      <w:pPr>
        <w:pStyle w:val="BodyText"/>
        <w:spacing w:before="68"/>
        <w:rPr>
          <w:b/>
          <w:sz w:val="36"/>
        </w:rPr>
      </w:pPr>
    </w:p>
    <w:p>
      <w:pPr>
        <w:pStyle w:val="Heading3"/>
        <w:spacing w:before="1"/>
      </w:pPr>
      <w:bookmarkStart w:name="_bookmark16" w:id="36"/>
      <w:bookmarkEnd w:id="36"/>
      <w:r>
        <w:rPr>
          <w:b w:val="0"/>
        </w:rPr>
      </w:r>
      <w:bookmarkStart w:name="Equality and Non-Discrimination" w:id="37"/>
      <w:bookmarkEnd w:id="37"/>
      <w:r>
        <w:rPr>
          <w:b w:val="0"/>
        </w:rPr>
      </w:r>
      <w:r>
        <w:rPr>
          <w:color w:val="67287F"/>
        </w:rPr>
        <w:t>Equality</w:t>
      </w:r>
      <w:r>
        <w:rPr>
          <w:color w:val="67287F"/>
          <w:spacing w:val="-3"/>
        </w:rPr>
        <w:t> </w:t>
      </w:r>
      <w:r>
        <w:rPr>
          <w:color w:val="67287F"/>
        </w:rPr>
        <w:t>and</w:t>
      </w:r>
      <w:r>
        <w:rPr>
          <w:color w:val="67287F"/>
          <w:spacing w:val="-3"/>
        </w:rPr>
        <w:t> </w:t>
      </w:r>
      <w:r>
        <w:rPr>
          <w:color w:val="67287F"/>
        </w:rPr>
        <w:t>Non-</w:t>
      </w:r>
      <w:r>
        <w:rPr>
          <w:color w:val="67287F"/>
          <w:spacing w:val="-2"/>
        </w:rPr>
        <w:t>Discrimination</w:t>
      </w:r>
    </w:p>
    <w:p>
      <w:pPr>
        <w:pStyle w:val="BodyText"/>
        <w:spacing w:before="11"/>
        <w:rPr>
          <w:b/>
          <w:sz w:val="4"/>
        </w:rPr>
      </w:pPr>
      <w:r>
        <w:rPr/>
        <mc:AlternateContent>
          <mc:Choice Requires="wps">
            <w:drawing>
              <wp:anchor distT="0" distB="0" distL="0" distR="0" allowOverlap="1" layoutInCell="1" locked="0" behindDoc="1" simplePos="0" relativeHeight="487643136">
                <wp:simplePos x="0" y="0"/>
                <wp:positionH relativeFrom="page">
                  <wp:posOffset>719997</wp:posOffset>
                </wp:positionH>
                <wp:positionV relativeFrom="paragraph">
                  <wp:posOffset>53305</wp:posOffset>
                </wp:positionV>
                <wp:extent cx="6120130" cy="1270"/>
                <wp:effectExtent l="0" t="0" r="0" b="0"/>
                <wp:wrapTopAndBottom/>
                <wp:docPr id="183" name="Graphic 183"/>
                <wp:cNvGraphicFramePr>
                  <a:graphicFrameLocks/>
                </wp:cNvGraphicFramePr>
                <a:graphic>
                  <a:graphicData uri="http://schemas.microsoft.com/office/word/2010/wordprocessingShape">
                    <wps:wsp>
                      <wps:cNvPr id="183" name="Graphic 183"/>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4.197288pt;width:481.9pt;height:.1pt;mso-position-horizontal-relative:page;mso-position-vertical-relative:paragraph;z-index:-15673344;mso-wrap-distance-left:0;mso-wrap-distance-right:0" id="docshape140" coordorigin="1134,84" coordsize="9638,0" path="m10772,84l1134,84e" filled="false" stroked="true" strokeweight="1pt" strokecolor="#67287f">
                <v:path arrowok="t"/>
                <v:stroke dashstyle="solid"/>
                <w10:wrap type="topAndBottom"/>
              </v:shape>
            </w:pict>
          </mc:Fallback>
        </mc:AlternateContent>
      </w:r>
    </w:p>
    <w:p>
      <w:pPr>
        <w:pStyle w:val="ListParagraph"/>
        <w:numPr>
          <w:ilvl w:val="1"/>
          <w:numId w:val="7"/>
        </w:numPr>
        <w:tabs>
          <w:tab w:pos="1853" w:val="left" w:leader="none"/>
        </w:tabs>
        <w:spacing w:line="225" w:lineRule="auto" w:before="318" w:after="0"/>
        <w:ind w:left="1853" w:right="1132" w:hanging="720"/>
        <w:jc w:val="left"/>
        <w:rPr>
          <w:sz w:val="28"/>
        </w:rPr>
      </w:pPr>
      <w:r>
        <w:rPr>
          <w:sz w:val="28"/>
        </w:rPr>
        <w:t>Article</w:t>
      </w:r>
      <w:r>
        <w:rPr>
          <w:spacing w:val="-6"/>
          <w:sz w:val="28"/>
        </w:rPr>
        <w:t> </w:t>
      </w:r>
      <w:r>
        <w:rPr>
          <w:sz w:val="28"/>
        </w:rPr>
        <w:t>2</w:t>
      </w:r>
      <w:r>
        <w:rPr>
          <w:spacing w:val="-6"/>
          <w:sz w:val="28"/>
        </w:rPr>
        <w:t> </w:t>
      </w:r>
      <w:r>
        <w:rPr>
          <w:sz w:val="28"/>
        </w:rPr>
        <w:t>provides</w:t>
      </w:r>
      <w:r>
        <w:rPr>
          <w:spacing w:val="-7"/>
          <w:sz w:val="28"/>
        </w:rPr>
        <w:t> </w:t>
      </w:r>
      <w:r>
        <w:rPr>
          <w:sz w:val="28"/>
        </w:rPr>
        <w:t>specific</w:t>
      </w:r>
      <w:r>
        <w:rPr>
          <w:spacing w:val="-6"/>
          <w:sz w:val="28"/>
        </w:rPr>
        <w:t> </w:t>
      </w:r>
      <w:r>
        <w:rPr>
          <w:sz w:val="28"/>
        </w:rPr>
        <w:t>protection</w:t>
      </w:r>
      <w:r>
        <w:rPr>
          <w:spacing w:val="-7"/>
          <w:sz w:val="28"/>
        </w:rPr>
        <w:t> </w:t>
      </w:r>
      <w:r>
        <w:rPr>
          <w:sz w:val="28"/>
        </w:rPr>
        <w:t>against</w:t>
      </w:r>
      <w:r>
        <w:rPr>
          <w:spacing w:val="-6"/>
          <w:sz w:val="28"/>
        </w:rPr>
        <w:t> </w:t>
      </w:r>
      <w:r>
        <w:rPr>
          <w:sz w:val="28"/>
        </w:rPr>
        <w:t>discrimination</w:t>
      </w:r>
      <w:r>
        <w:rPr>
          <w:spacing w:val="-7"/>
          <w:sz w:val="28"/>
        </w:rPr>
        <w:t> </w:t>
      </w:r>
      <w:r>
        <w:rPr>
          <w:sz w:val="28"/>
        </w:rPr>
        <w:t>as</w:t>
      </w:r>
      <w:r>
        <w:rPr>
          <w:spacing w:val="-7"/>
          <w:sz w:val="28"/>
        </w:rPr>
        <w:t> </w:t>
      </w:r>
      <w:r>
        <w:rPr>
          <w:sz w:val="28"/>
        </w:rPr>
        <w:t>enshrined</w:t>
      </w:r>
      <w:r>
        <w:rPr>
          <w:spacing w:val="-7"/>
          <w:sz w:val="28"/>
        </w:rPr>
        <w:t> </w:t>
      </w:r>
      <w:r>
        <w:rPr>
          <w:sz w:val="28"/>
        </w:rPr>
        <w:t>in</w:t>
      </w:r>
      <w:r>
        <w:rPr>
          <w:spacing w:val="-7"/>
          <w:sz w:val="28"/>
        </w:rPr>
        <w:t> </w:t>
      </w:r>
      <w:r>
        <w:rPr>
          <w:sz w:val="28"/>
        </w:rPr>
        <w:t>the six EU equality directives listed in Annex 1 of the Windsor Framework (Annex</w:t>
      </w:r>
      <w:r>
        <w:rPr>
          <w:spacing w:val="40"/>
          <w:sz w:val="28"/>
        </w:rPr>
        <w:t> </w:t>
      </w:r>
      <w:r>
        <w:rPr>
          <w:sz w:val="28"/>
        </w:rPr>
        <w:t>1 equality directives).</w:t>
      </w:r>
      <w:r>
        <w:rPr>
          <w:sz w:val="28"/>
          <w:vertAlign w:val="superscript"/>
        </w:rPr>
        <w:t>150</w:t>
      </w:r>
      <w:r>
        <w:rPr>
          <w:spacing w:val="40"/>
          <w:sz w:val="28"/>
          <w:vertAlign w:val="baseline"/>
        </w:rPr>
        <w:t> </w:t>
      </w:r>
      <w:r>
        <w:rPr>
          <w:sz w:val="28"/>
          <w:vertAlign w:val="baseline"/>
        </w:rPr>
        <w:t>The UK Government has said that these directives have “been specifically referenced because of the important framework</w:t>
      </w:r>
    </w:p>
    <w:p>
      <w:pPr>
        <w:pStyle w:val="BodyText"/>
        <w:spacing w:line="225" w:lineRule="auto"/>
        <w:ind w:left="1853" w:right="1171"/>
      </w:pPr>
      <w:r>
        <w:rPr/>
        <w:t>they</w:t>
      </w:r>
      <w:r>
        <w:rPr>
          <w:spacing w:val="-7"/>
        </w:rPr>
        <w:t> </w:t>
      </w:r>
      <w:r>
        <w:rPr/>
        <w:t>provide</w:t>
      </w:r>
      <w:r>
        <w:rPr>
          <w:spacing w:val="-7"/>
        </w:rPr>
        <w:t> </w:t>
      </w:r>
      <w:r>
        <w:rPr/>
        <w:t>for</w:t>
      </w:r>
      <w:r>
        <w:rPr>
          <w:spacing w:val="-7"/>
        </w:rPr>
        <w:t> </w:t>
      </w:r>
      <w:r>
        <w:rPr/>
        <w:t>the</w:t>
      </w:r>
      <w:r>
        <w:rPr>
          <w:spacing w:val="-7"/>
        </w:rPr>
        <w:t> </w:t>
      </w:r>
      <w:r>
        <w:rPr/>
        <w:t>anti-discrimination</w:t>
      </w:r>
      <w:r>
        <w:rPr>
          <w:spacing w:val="-8"/>
        </w:rPr>
        <w:t> </w:t>
      </w:r>
      <w:r>
        <w:rPr/>
        <w:t>commitments</w:t>
      </w:r>
      <w:r>
        <w:rPr>
          <w:spacing w:val="-8"/>
        </w:rPr>
        <w:t> </w:t>
      </w:r>
      <w:r>
        <w:rPr/>
        <w:t>set</w:t>
      </w:r>
      <w:r>
        <w:rPr>
          <w:spacing w:val="-7"/>
        </w:rPr>
        <w:t> </w:t>
      </w:r>
      <w:r>
        <w:rPr/>
        <w:t>out</w:t>
      </w:r>
      <w:r>
        <w:rPr>
          <w:spacing w:val="-7"/>
        </w:rPr>
        <w:t> </w:t>
      </w:r>
      <w:r>
        <w:rPr/>
        <w:t>in</w:t>
      </w:r>
      <w:r>
        <w:rPr>
          <w:spacing w:val="-8"/>
        </w:rPr>
        <w:t> </w:t>
      </w:r>
      <w:r>
        <w:rPr/>
        <w:t>the</w:t>
      </w:r>
      <w:r>
        <w:rPr>
          <w:spacing w:val="-7"/>
        </w:rPr>
        <w:t> </w:t>
      </w:r>
      <w:r>
        <w:rPr/>
        <w:t>relevant chapter of the Belfast (Good Friday) Agreement”.</w:t>
      </w:r>
      <w:r>
        <w:rPr>
          <w:vertAlign w:val="superscript"/>
        </w:rPr>
        <w:t>151</w:t>
      </w:r>
    </w:p>
    <w:p>
      <w:pPr>
        <w:pStyle w:val="ListParagraph"/>
        <w:numPr>
          <w:ilvl w:val="1"/>
          <w:numId w:val="7"/>
        </w:numPr>
        <w:tabs>
          <w:tab w:pos="1853" w:val="left" w:leader="none"/>
        </w:tabs>
        <w:spacing w:line="225" w:lineRule="auto" w:before="313" w:after="0"/>
        <w:ind w:left="1853" w:right="1180" w:hanging="720"/>
        <w:jc w:val="left"/>
        <w:rPr>
          <w:sz w:val="28"/>
        </w:rPr>
      </w:pPr>
      <w:r>
        <w:rPr>
          <w:sz w:val="28"/>
        </w:rPr>
        <w:t>NI equality law must keep pace with any changes made by the EU to improve the</w:t>
      </w:r>
      <w:r>
        <w:rPr>
          <w:spacing w:val="-5"/>
          <w:sz w:val="28"/>
        </w:rPr>
        <w:t> </w:t>
      </w:r>
      <w:r>
        <w:rPr>
          <w:sz w:val="28"/>
        </w:rPr>
        <w:t>minimum</w:t>
      </w:r>
      <w:r>
        <w:rPr>
          <w:spacing w:val="-5"/>
          <w:sz w:val="28"/>
        </w:rPr>
        <w:t> </w:t>
      </w:r>
      <w:r>
        <w:rPr>
          <w:sz w:val="28"/>
        </w:rPr>
        <w:t>levels</w:t>
      </w:r>
      <w:r>
        <w:rPr>
          <w:spacing w:val="-6"/>
          <w:sz w:val="28"/>
        </w:rPr>
        <w:t> </w:t>
      </w:r>
      <w:r>
        <w:rPr>
          <w:sz w:val="28"/>
        </w:rPr>
        <w:t>of</w:t>
      </w:r>
      <w:r>
        <w:rPr>
          <w:spacing w:val="-6"/>
          <w:sz w:val="28"/>
        </w:rPr>
        <w:t> </w:t>
      </w:r>
      <w:r>
        <w:rPr>
          <w:sz w:val="28"/>
        </w:rPr>
        <w:t>protection,</w:t>
      </w:r>
      <w:r>
        <w:rPr>
          <w:spacing w:val="-5"/>
          <w:sz w:val="28"/>
        </w:rPr>
        <w:t> </w:t>
      </w:r>
      <w:r>
        <w:rPr>
          <w:sz w:val="28"/>
        </w:rPr>
        <w:t>on</w:t>
      </w:r>
      <w:r>
        <w:rPr>
          <w:spacing w:val="-6"/>
          <w:sz w:val="28"/>
        </w:rPr>
        <w:t> </w:t>
      </w:r>
      <w:r>
        <w:rPr>
          <w:sz w:val="28"/>
        </w:rPr>
        <w:t>or</w:t>
      </w:r>
      <w:r>
        <w:rPr>
          <w:spacing w:val="-5"/>
          <w:sz w:val="28"/>
        </w:rPr>
        <w:t> </w:t>
      </w:r>
      <w:r>
        <w:rPr>
          <w:sz w:val="28"/>
        </w:rPr>
        <w:t>after</w:t>
      </w:r>
      <w:r>
        <w:rPr>
          <w:spacing w:val="-5"/>
          <w:sz w:val="28"/>
        </w:rPr>
        <w:t> </w:t>
      </w:r>
      <w:r>
        <w:rPr>
          <w:sz w:val="28"/>
        </w:rPr>
        <w:t>1</w:t>
      </w:r>
      <w:r>
        <w:rPr>
          <w:spacing w:val="-5"/>
          <w:sz w:val="28"/>
        </w:rPr>
        <w:t> </w:t>
      </w:r>
      <w:r>
        <w:rPr>
          <w:sz w:val="28"/>
        </w:rPr>
        <w:t>January</w:t>
      </w:r>
      <w:r>
        <w:rPr>
          <w:spacing w:val="-5"/>
          <w:sz w:val="28"/>
        </w:rPr>
        <w:t> </w:t>
      </w:r>
      <w:r>
        <w:rPr>
          <w:sz w:val="28"/>
        </w:rPr>
        <w:t>2021</w:t>
      </w:r>
      <w:r>
        <w:rPr>
          <w:spacing w:val="-5"/>
          <w:sz w:val="28"/>
        </w:rPr>
        <w:t> </w:t>
      </w:r>
      <w:r>
        <w:rPr>
          <w:sz w:val="28"/>
        </w:rPr>
        <w:t>in</w:t>
      </w:r>
      <w:r>
        <w:rPr>
          <w:spacing w:val="-6"/>
          <w:sz w:val="28"/>
        </w:rPr>
        <w:t> </w:t>
      </w:r>
      <w:r>
        <w:rPr>
          <w:sz w:val="28"/>
        </w:rPr>
        <w:t>relation</w:t>
      </w:r>
      <w:r>
        <w:rPr>
          <w:spacing w:val="-6"/>
          <w:sz w:val="28"/>
        </w:rPr>
        <w:t> </w:t>
      </w:r>
      <w:r>
        <w:rPr>
          <w:sz w:val="28"/>
        </w:rPr>
        <w:t>to</w:t>
      </w:r>
      <w:r>
        <w:rPr>
          <w:spacing w:val="-6"/>
          <w:sz w:val="28"/>
        </w:rPr>
        <w:t> </w:t>
      </w:r>
      <w:r>
        <w:rPr>
          <w:sz w:val="28"/>
        </w:rPr>
        <w:t>the Annex 1 directives including monitoring and complying with relevant current and future CJEU case law.</w:t>
      </w:r>
      <w:r>
        <w:rPr>
          <w:sz w:val="28"/>
          <w:vertAlign w:val="superscript"/>
        </w:rPr>
        <w:t>152</w:t>
      </w:r>
    </w:p>
    <w:p>
      <w:pPr>
        <w:pStyle w:val="Heading5"/>
        <w:spacing w:before="298"/>
        <w:ind w:left="1133" w:firstLine="0"/>
      </w:pPr>
      <w:bookmarkStart w:name="Single Equality Legislation" w:id="38"/>
      <w:bookmarkEnd w:id="38"/>
      <w:r>
        <w:rPr>
          <w:b w:val="0"/>
        </w:rPr>
      </w:r>
      <w:r>
        <w:rPr>
          <w:color w:val="393B80"/>
        </w:rPr>
        <w:t>Single</w:t>
      </w:r>
      <w:r>
        <w:rPr>
          <w:color w:val="393B80"/>
          <w:spacing w:val="-6"/>
        </w:rPr>
        <w:t> </w:t>
      </w:r>
      <w:r>
        <w:rPr>
          <w:color w:val="393B80"/>
        </w:rPr>
        <w:t>Equality</w:t>
      </w:r>
      <w:r>
        <w:rPr>
          <w:color w:val="393B80"/>
          <w:spacing w:val="-5"/>
        </w:rPr>
        <w:t> </w:t>
      </w:r>
      <w:r>
        <w:rPr>
          <w:color w:val="393B80"/>
          <w:spacing w:val="-2"/>
        </w:rPr>
        <w:t>Legislation</w:t>
      </w:r>
    </w:p>
    <w:p>
      <w:pPr>
        <w:pStyle w:val="ListParagraph"/>
        <w:numPr>
          <w:ilvl w:val="1"/>
          <w:numId w:val="7"/>
        </w:numPr>
        <w:tabs>
          <w:tab w:pos="1853" w:val="left" w:leader="none"/>
        </w:tabs>
        <w:spacing w:line="225" w:lineRule="auto" w:before="331" w:after="0"/>
        <w:ind w:left="1853" w:right="1244" w:hanging="720"/>
        <w:jc w:val="left"/>
        <w:rPr>
          <w:sz w:val="28"/>
        </w:rPr>
      </w:pPr>
      <w:r>
        <w:rPr>
          <w:sz w:val="28"/>
        </w:rPr>
        <w:t>In NI, discrimination is prohibited by a complex framework of legislation and regulations. Unlike other parts of the UK (which fall under the Equality Act 2010) and Ireland, there is no single legislative instrument to consolidate, clarify</w:t>
      </w:r>
      <w:r>
        <w:rPr>
          <w:spacing w:val="-5"/>
          <w:sz w:val="28"/>
        </w:rPr>
        <w:t> </w:t>
      </w:r>
      <w:r>
        <w:rPr>
          <w:sz w:val="28"/>
        </w:rPr>
        <w:t>and</w:t>
      </w:r>
      <w:r>
        <w:rPr>
          <w:spacing w:val="-6"/>
          <w:sz w:val="28"/>
        </w:rPr>
        <w:t> </w:t>
      </w:r>
      <w:r>
        <w:rPr>
          <w:sz w:val="28"/>
        </w:rPr>
        <w:t>enhance</w:t>
      </w:r>
      <w:r>
        <w:rPr>
          <w:spacing w:val="-5"/>
          <w:sz w:val="28"/>
        </w:rPr>
        <w:t> </w:t>
      </w:r>
      <w:r>
        <w:rPr>
          <w:sz w:val="28"/>
        </w:rPr>
        <w:t>existing</w:t>
      </w:r>
      <w:r>
        <w:rPr>
          <w:spacing w:val="-5"/>
          <w:sz w:val="28"/>
        </w:rPr>
        <w:t> </w:t>
      </w:r>
      <w:r>
        <w:rPr>
          <w:sz w:val="28"/>
        </w:rPr>
        <w:t>equality</w:t>
      </w:r>
      <w:r>
        <w:rPr>
          <w:spacing w:val="-5"/>
          <w:sz w:val="28"/>
        </w:rPr>
        <w:t> </w:t>
      </w:r>
      <w:r>
        <w:rPr>
          <w:sz w:val="28"/>
        </w:rPr>
        <w:t>protections</w:t>
      </w:r>
      <w:r>
        <w:rPr>
          <w:spacing w:val="-6"/>
          <w:sz w:val="28"/>
        </w:rPr>
        <w:t> </w:t>
      </w:r>
      <w:r>
        <w:rPr>
          <w:sz w:val="28"/>
        </w:rPr>
        <w:t>in</w:t>
      </w:r>
      <w:r>
        <w:rPr>
          <w:spacing w:val="-6"/>
          <w:sz w:val="28"/>
        </w:rPr>
        <w:t> </w:t>
      </w:r>
      <w:r>
        <w:rPr>
          <w:sz w:val="28"/>
        </w:rPr>
        <w:t>NI.</w:t>
      </w:r>
      <w:r>
        <w:rPr>
          <w:spacing w:val="-6"/>
          <w:sz w:val="28"/>
        </w:rPr>
        <w:t> </w:t>
      </w:r>
      <w:r>
        <w:rPr>
          <w:sz w:val="28"/>
        </w:rPr>
        <w:t>NI</w:t>
      </w:r>
      <w:r>
        <w:rPr>
          <w:spacing w:val="-5"/>
          <w:sz w:val="28"/>
        </w:rPr>
        <w:t> </w:t>
      </w:r>
      <w:r>
        <w:rPr>
          <w:sz w:val="28"/>
        </w:rPr>
        <w:t>legislation</w:t>
      </w:r>
      <w:r>
        <w:rPr>
          <w:spacing w:val="-6"/>
          <w:sz w:val="28"/>
        </w:rPr>
        <w:t> </w:t>
      </w:r>
      <w:r>
        <w:rPr>
          <w:sz w:val="28"/>
        </w:rPr>
        <w:t>also</w:t>
      </w:r>
      <w:r>
        <w:rPr>
          <w:spacing w:val="-6"/>
          <w:sz w:val="28"/>
        </w:rPr>
        <w:t> </w:t>
      </w:r>
      <w:r>
        <w:rPr>
          <w:sz w:val="28"/>
        </w:rPr>
        <w:t>does not provide for cases of intersectional multiple discrimination. At present in NI, each ground for discrimination must form its own case, meaning it has to be considered and ruled on separately.</w:t>
      </w:r>
      <w:r>
        <w:rPr>
          <w:sz w:val="28"/>
          <w:vertAlign w:val="superscript"/>
        </w:rPr>
        <w:t>153</w:t>
      </w:r>
    </w:p>
    <w:p>
      <w:pPr>
        <w:pStyle w:val="ListParagraph"/>
        <w:numPr>
          <w:ilvl w:val="1"/>
          <w:numId w:val="7"/>
        </w:numPr>
        <w:tabs>
          <w:tab w:pos="1853" w:val="left" w:leader="none"/>
        </w:tabs>
        <w:spacing w:line="225" w:lineRule="auto" w:before="311" w:after="0"/>
        <w:ind w:left="1853" w:right="1226" w:hanging="720"/>
        <w:jc w:val="left"/>
        <w:rPr>
          <w:sz w:val="28"/>
        </w:rPr>
      </w:pPr>
      <w:r>
        <w:rPr>
          <w:sz w:val="28"/>
        </w:rPr>
        <w:t>In its submission to the Advisory Committee on the Framework Convention</w:t>
      </w:r>
      <w:r>
        <w:rPr>
          <w:sz w:val="28"/>
        </w:rPr>
        <w:t> on National Minorities, the NIHRC highlighted the lack of a single legislative instrument</w:t>
      </w:r>
      <w:r>
        <w:rPr>
          <w:spacing w:val="-7"/>
          <w:sz w:val="28"/>
        </w:rPr>
        <w:t> </w:t>
      </w:r>
      <w:r>
        <w:rPr>
          <w:sz w:val="28"/>
        </w:rPr>
        <w:t>to</w:t>
      </w:r>
      <w:r>
        <w:rPr>
          <w:spacing w:val="-8"/>
          <w:sz w:val="28"/>
        </w:rPr>
        <w:t> </w:t>
      </w:r>
      <w:r>
        <w:rPr>
          <w:sz w:val="28"/>
        </w:rPr>
        <w:t>consolidate,</w:t>
      </w:r>
      <w:r>
        <w:rPr>
          <w:spacing w:val="-7"/>
          <w:sz w:val="28"/>
        </w:rPr>
        <w:t> </w:t>
      </w:r>
      <w:r>
        <w:rPr>
          <w:sz w:val="28"/>
        </w:rPr>
        <w:t>clarify</w:t>
      </w:r>
      <w:r>
        <w:rPr>
          <w:spacing w:val="-7"/>
          <w:sz w:val="28"/>
        </w:rPr>
        <w:t> </w:t>
      </w:r>
      <w:r>
        <w:rPr>
          <w:sz w:val="28"/>
        </w:rPr>
        <w:t>and</w:t>
      </w:r>
      <w:r>
        <w:rPr>
          <w:spacing w:val="-8"/>
          <w:sz w:val="28"/>
        </w:rPr>
        <w:t> </w:t>
      </w:r>
      <w:r>
        <w:rPr>
          <w:sz w:val="28"/>
        </w:rPr>
        <w:t>enhance</w:t>
      </w:r>
      <w:r>
        <w:rPr>
          <w:spacing w:val="-7"/>
          <w:sz w:val="28"/>
        </w:rPr>
        <w:t> </w:t>
      </w:r>
      <w:r>
        <w:rPr>
          <w:sz w:val="28"/>
        </w:rPr>
        <w:t>existing</w:t>
      </w:r>
      <w:r>
        <w:rPr>
          <w:spacing w:val="-7"/>
          <w:sz w:val="28"/>
        </w:rPr>
        <w:t> </w:t>
      </w:r>
      <w:r>
        <w:rPr>
          <w:sz w:val="28"/>
        </w:rPr>
        <w:t>equality</w:t>
      </w:r>
      <w:r>
        <w:rPr>
          <w:spacing w:val="-7"/>
          <w:sz w:val="28"/>
        </w:rPr>
        <w:t> </w:t>
      </w:r>
      <w:r>
        <w:rPr>
          <w:sz w:val="28"/>
        </w:rPr>
        <w:t>protections</w:t>
      </w:r>
      <w:r>
        <w:rPr>
          <w:spacing w:val="-8"/>
          <w:sz w:val="28"/>
        </w:rPr>
        <w:t> </w:t>
      </w:r>
      <w:r>
        <w:rPr>
          <w:sz w:val="28"/>
        </w:rPr>
        <w:t>in NI, noting that that Windsor Framework Article 2 added a further dimension</w:t>
      </w:r>
    </w:p>
    <w:p>
      <w:pPr>
        <w:pStyle w:val="BodyText"/>
        <w:spacing w:before="88"/>
        <w:rPr>
          <w:sz w:val="20"/>
        </w:rPr>
      </w:pPr>
      <w:r>
        <w:rPr/>
        <mc:AlternateContent>
          <mc:Choice Requires="wps">
            <w:drawing>
              <wp:anchor distT="0" distB="0" distL="0" distR="0" allowOverlap="1" layoutInCell="1" locked="0" behindDoc="1" simplePos="0" relativeHeight="487643648">
                <wp:simplePos x="0" y="0"/>
                <wp:positionH relativeFrom="page">
                  <wp:posOffset>719999</wp:posOffset>
                </wp:positionH>
                <wp:positionV relativeFrom="paragraph">
                  <wp:posOffset>226760</wp:posOffset>
                </wp:positionV>
                <wp:extent cx="6120130" cy="1270"/>
                <wp:effectExtent l="0" t="0" r="0" b="0"/>
                <wp:wrapTopAndBottom/>
                <wp:docPr id="184" name="Graphic 184"/>
                <wp:cNvGraphicFramePr>
                  <a:graphicFrameLocks/>
                </wp:cNvGraphicFramePr>
                <a:graphic>
                  <a:graphicData uri="http://schemas.microsoft.com/office/word/2010/wordprocessingShape">
                    <wps:wsp>
                      <wps:cNvPr id="184" name="Graphic 184"/>
                      <wps:cNvSpPr/>
                      <wps:spPr>
                        <a:xfrm>
                          <a:off x="0" y="0"/>
                          <a:ext cx="6120130" cy="1270"/>
                        </a:xfrm>
                        <a:custGeom>
                          <a:avLst/>
                          <a:gdLst/>
                          <a:ahLst/>
                          <a:cxnLst/>
                          <a:rect l="l" t="t" r="r" b="b"/>
                          <a:pathLst>
                            <a:path w="6120130" h="0">
                              <a:moveTo>
                                <a:pt x="0" y="0"/>
                              </a:moveTo>
                              <a:lnTo>
                                <a:pt x="6120003"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7.855141pt;width:481.9pt;height:.1pt;mso-position-horizontal-relative:page;mso-position-vertical-relative:paragraph;z-index:-15672832;mso-wrap-distance-left:0;mso-wrap-distance-right:0" id="docshape141" coordorigin="1134,357" coordsize="9638,0" path="m1134,357l10772,357e" filled="false" stroked="true" strokeweight="1pt" strokecolor="#393b7f">
                <v:path arrowok="t"/>
                <v:stroke dashstyle="solid"/>
                <w10:wrap type="topAndBottom"/>
              </v:shape>
            </w:pict>
          </mc:Fallback>
        </mc:AlternateContent>
      </w:r>
    </w:p>
    <w:p>
      <w:pPr>
        <w:pStyle w:val="ListParagraph"/>
        <w:numPr>
          <w:ilvl w:val="0"/>
          <w:numId w:val="3"/>
        </w:numPr>
        <w:tabs>
          <w:tab w:pos="1853" w:val="left" w:leader="none"/>
        </w:tabs>
        <w:spacing w:line="235" w:lineRule="auto" w:before="130" w:after="0"/>
        <w:ind w:left="1853" w:right="1221" w:hanging="720"/>
        <w:jc w:val="left"/>
        <w:rPr>
          <w:sz w:val="18"/>
        </w:rPr>
      </w:pPr>
      <w:r>
        <w:rPr>
          <w:sz w:val="18"/>
        </w:rPr>
        <w:t>These are the Racial Equality Directive (Directive 2000/43/EC, ‘Council Directive on Implementing the Principle of Equal Treatment</w:t>
      </w:r>
      <w:r>
        <w:rPr>
          <w:spacing w:val="-6"/>
          <w:sz w:val="18"/>
        </w:rPr>
        <w:t> </w:t>
      </w:r>
      <w:r>
        <w:rPr>
          <w:sz w:val="18"/>
        </w:rPr>
        <w:t>between</w:t>
      </w:r>
      <w:r>
        <w:rPr>
          <w:spacing w:val="-7"/>
          <w:sz w:val="18"/>
        </w:rPr>
        <w:t> </w:t>
      </w:r>
      <w:r>
        <w:rPr>
          <w:sz w:val="18"/>
        </w:rPr>
        <w:t>Persons</w:t>
      </w:r>
      <w:r>
        <w:rPr>
          <w:spacing w:val="-7"/>
          <w:sz w:val="18"/>
        </w:rPr>
        <w:t> </w:t>
      </w:r>
      <w:r>
        <w:rPr>
          <w:sz w:val="18"/>
        </w:rPr>
        <w:t>Irrespective</w:t>
      </w:r>
      <w:r>
        <w:rPr>
          <w:spacing w:val="-6"/>
          <w:sz w:val="18"/>
        </w:rPr>
        <w:t> </w:t>
      </w:r>
      <w:r>
        <w:rPr>
          <w:sz w:val="18"/>
        </w:rPr>
        <w:t>of</w:t>
      </w:r>
      <w:r>
        <w:rPr>
          <w:spacing w:val="-7"/>
          <w:sz w:val="18"/>
        </w:rPr>
        <w:t> </w:t>
      </w:r>
      <w:r>
        <w:rPr>
          <w:sz w:val="18"/>
        </w:rPr>
        <w:t>Racial</w:t>
      </w:r>
      <w:r>
        <w:rPr>
          <w:spacing w:val="-7"/>
          <w:sz w:val="18"/>
        </w:rPr>
        <w:t> </w:t>
      </w:r>
      <w:r>
        <w:rPr>
          <w:sz w:val="18"/>
        </w:rPr>
        <w:t>or</w:t>
      </w:r>
      <w:r>
        <w:rPr>
          <w:spacing w:val="-6"/>
          <w:sz w:val="18"/>
        </w:rPr>
        <w:t> </w:t>
      </w:r>
      <w:r>
        <w:rPr>
          <w:sz w:val="18"/>
        </w:rPr>
        <w:t>Ethnic</w:t>
      </w:r>
      <w:r>
        <w:rPr>
          <w:spacing w:val="-6"/>
          <w:sz w:val="18"/>
        </w:rPr>
        <w:t> </w:t>
      </w:r>
      <w:r>
        <w:rPr>
          <w:sz w:val="18"/>
        </w:rPr>
        <w:t>Origin’,</w:t>
      </w:r>
      <w:r>
        <w:rPr>
          <w:spacing w:val="-6"/>
          <w:sz w:val="18"/>
        </w:rPr>
        <w:t> </w:t>
      </w:r>
      <w:r>
        <w:rPr>
          <w:sz w:val="18"/>
        </w:rPr>
        <w:t>29</w:t>
      </w:r>
      <w:r>
        <w:rPr>
          <w:spacing w:val="-6"/>
          <w:sz w:val="18"/>
        </w:rPr>
        <w:t> </w:t>
      </w:r>
      <w:r>
        <w:rPr>
          <w:sz w:val="18"/>
        </w:rPr>
        <w:t>June</w:t>
      </w:r>
      <w:r>
        <w:rPr>
          <w:spacing w:val="-6"/>
          <w:sz w:val="18"/>
        </w:rPr>
        <w:t> </w:t>
      </w:r>
      <w:r>
        <w:rPr>
          <w:sz w:val="18"/>
        </w:rPr>
        <w:t>2000);</w:t>
      </w:r>
      <w:r>
        <w:rPr>
          <w:spacing w:val="-6"/>
          <w:sz w:val="18"/>
        </w:rPr>
        <w:t> </w:t>
      </w:r>
      <w:r>
        <w:rPr>
          <w:sz w:val="18"/>
        </w:rPr>
        <w:t>the</w:t>
      </w:r>
      <w:r>
        <w:rPr>
          <w:spacing w:val="-6"/>
          <w:sz w:val="18"/>
        </w:rPr>
        <w:t> </w:t>
      </w:r>
      <w:r>
        <w:rPr>
          <w:sz w:val="18"/>
        </w:rPr>
        <w:t>Employment</w:t>
      </w:r>
      <w:r>
        <w:rPr>
          <w:spacing w:val="-6"/>
          <w:sz w:val="18"/>
        </w:rPr>
        <w:t> </w:t>
      </w:r>
      <w:r>
        <w:rPr>
          <w:sz w:val="18"/>
        </w:rPr>
        <w:t>Equality</w:t>
      </w:r>
      <w:r>
        <w:rPr>
          <w:spacing w:val="-6"/>
          <w:sz w:val="18"/>
        </w:rPr>
        <w:t> </w:t>
      </w:r>
      <w:r>
        <w:rPr>
          <w:sz w:val="18"/>
        </w:rPr>
        <w:t>(Framework) Directive (Directive 2000/78/EC, ‘Council Directive on Establishing a General Framework for Equal Treatment in Employment and Occupation’, 27 November 2000); the Gender Goods and Services Directive (Directive 2004/113/EC, ‘Council Directive on Implementing the Principle of Equal Treatment between Men and Women in the access to and supply of goods and services’, 13 December 2004); the Gender Equality (Employment) Directive (Directive 2006/54/EC, ‘ ‘EU</w:t>
      </w:r>
      <w:r>
        <w:rPr>
          <w:spacing w:val="-2"/>
          <w:sz w:val="18"/>
        </w:rPr>
        <w:t> </w:t>
      </w:r>
      <w:r>
        <w:rPr>
          <w:sz w:val="18"/>
        </w:rPr>
        <w:t>Parliament</w:t>
      </w:r>
      <w:r>
        <w:rPr>
          <w:spacing w:val="-2"/>
          <w:sz w:val="18"/>
        </w:rPr>
        <w:t> </w:t>
      </w:r>
      <w:r>
        <w:rPr>
          <w:sz w:val="18"/>
        </w:rPr>
        <w:t>and</w:t>
      </w:r>
      <w:r>
        <w:rPr>
          <w:spacing w:val="-3"/>
          <w:sz w:val="18"/>
        </w:rPr>
        <w:t> </w:t>
      </w:r>
      <w:r>
        <w:rPr>
          <w:sz w:val="18"/>
        </w:rPr>
        <w:t>Council</w:t>
      </w:r>
      <w:r>
        <w:rPr>
          <w:spacing w:val="-3"/>
          <w:sz w:val="18"/>
        </w:rPr>
        <w:t> </w:t>
      </w:r>
      <w:r>
        <w:rPr>
          <w:sz w:val="18"/>
        </w:rPr>
        <w:t>Directive</w:t>
      </w:r>
      <w:r>
        <w:rPr>
          <w:spacing w:val="-2"/>
          <w:sz w:val="18"/>
        </w:rPr>
        <w:t> </w:t>
      </w:r>
      <w:r>
        <w:rPr>
          <w:sz w:val="18"/>
        </w:rPr>
        <w:t>on</w:t>
      </w:r>
      <w:r>
        <w:rPr>
          <w:spacing w:val="-3"/>
          <w:sz w:val="18"/>
        </w:rPr>
        <w:t> </w:t>
      </w:r>
      <w:r>
        <w:rPr>
          <w:sz w:val="18"/>
        </w:rPr>
        <w:t>the</w:t>
      </w:r>
      <w:r>
        <w:rPr>
          <w:spacing w:val="-2"/>
          <w:sz w:val="18"/>
        </w:rPr>
        <w:t> </w:t>
      </w:r>
      <w:r>
        <w:rPr>
          <w:sz w:val="18"/>
        </w:rPr>
        <w:t>Implementation</w:t>
      </w:r>
      <w:r>
        <w:rPr>
          <w:spacing w:val="-3"/>
          <w:sz w:val="18"/>
        </w:rPr>
        <w:t> </w:t>
      </w:r>
      <w:r>
        <w:rPr>
          <w:sz w:val="18"/>
        </w:rPr>
        <w:t>of</w:t>
      </w:r>
      <w:r>
        <w:rPr>
          <w:spacing w:val="-3"/>
          <w:sz w:val="18"/>
        </w:rPr>
        <w:t> </w:t>
      </w:r>
      <w:r>
        <w:rPr>
          <w:sz w:val="18"/>
        </w:rPr>
        <w:t>the</w:t>
      </w:r>
      <w:r>
        <w:rPr>
          <w:spacing w:val="-2"/>
          <w:sz w:val="18"/>
        </w:rPr>
        <w:t> </w:t>
      </w:r>
      <w:r>
        <w:rPr>
          <w:sz w:val="18"/>
        </w:rPr>
        <w:t>Principle</w:t>
      </w:r>
      <w:r>
        <w:rPr>
          <w:spacing w:val="-2"/>
          <w:sz w:val="18"/>
        </w:rPr>
        <w:t> </w:t>
      </w:r>
      <w:r>
        <w:rPr>
          <w:sz w:val="18"/>
        </w:rPr>
        <w:t>of</w:t>
      </w:r>
      <w:r>
        <w:rPr>
          <w:spacing w:val="-3"/>
          <w:sz w:val="18"/>
        </w:rPr>
        <w:t> </w:t>
      </w:r>
      <w:r>
        <w:rPr>
          <w:sz w:val="18"/>
        </w:rPr>
        <w:t>Equal</w:t>
      </w:r>
      <w:r>
        <w:rPr>
          <w:spacing w:val="-3"/>
          <w:sz w:val="18"/>
        </w:rPr>
        <w:t> </w:t>
      </w:r>
      <w:r>
        <w:rPr>
          <w:sz w:val="18"/>
        </w:rPr>
        <w:t>Opportunities</w:t>
      </w:r>
      <w:r>
        <w:rPr>
          <w:spacing w:val="-3"/>
          <w:sz w:val="18"/>
        </w:rPr>
        <w:t> </w:t>
      </w:r>
      <w:r>
        <w:rPr>
          <w:sz w:val="18"/>
        </w:rPr>
        <w:t>and</w:t>
      </w:r>
      <w:r>
        <w:rPr>
          <w:spacing w:val="-3"/>
          <w:sz w:val="18"/>
        </w:rPr>
        <w:t> </w:t>
      </w:r>
      <w:r>
        <w:rPr>
          <w:sz w:val="18"/>
        </w:rPr>
        <w:t>Equal</w:t>
      </w:r>
      <w:r>
        <w:rPr>
          <w:spacing w:val="-3"/>
          <w:sz w:val="18"/>
        </w:rPr>
        <w:t> </w:t>
      </w:r>
      <w:r>
        <w:rPr>
          <w:sz w:val="18"/>
        </w:rPr>
        <w:t>Treatment of Men and Women in Matters of Employment and Occupation (Recast)’, 5 July 2006); the Self-Employment Equality Directive (Directive 2010/41/EU, ‘EU Parliament and Council Directive on the Application of the Principle of Equal Treatment between Men and Women Engaged in an Activity in a Self-employed Capacity’, 7 July 2010); and the</w:t>
      </w:r>
    </w:p>
    <w:p>
      <w:pPr>
        <w:spacing w:line="235" w:lineRule="auto" w:before="6"/>
        <w:ind w:left="1853" w:right="1798" w:firstLine="0"/>
        <w:jc w:val="left"/>
        <w:rPr>
          <w:sz w:val="18"/>
        </w:rPr>
      </w:pPr>
      <w:r>
        <w:rPr>
          <w:sz w:val="18"/>
        </w:rPr>
        <w:t>Equality</w:t>
      </w:r>
      <w:r>
        <w:rPr>
          <w:spacing w:val="-5"/>
          <w:sz w:val="18"/>
        </w:rPr>
        <w:t> </w:t>
      </w:r>
      <w:r>
        <w:rPr>
          <w:sz w:val="18"/>
        </w:rPr>
        <w:t>in</w:t>
      </w:r>
      <w:r>
        <w:rPr>
          <w:spacing w:val="-6"/>
          <w:sz w:val="18"/>
        </w:rPr>
        <w:t> </w:t>
      </w:r>
      <w:r>
        <w:rPr>
          <w:sz w:val="18"/>
        </w:rPr>
        <w:t>Social</w:t>
      </w:r>
      <w:r>
        <w:rPr>
          <w:spacing w:val="-6"/>
          <w:sz w:val="18"/>
        </w:rPr>
        <w:t> </w:t>
      </w:r>
      <w:r>
        <w:rPr>
          <w:sz w:val="18"/>
        </w:rPr>
        <w:t>Security</w:t>
      </w:r>
      <w:r>
        <w:rPr>
          <w:spacing w:val="-5"/>
          <w:sz w:val="18"/>
        </w:rPr>
        <w:t> </w:t>
      </w:r>
      <w:r>
        <w:rPr>
          <w:sz w:val="18"/>
        </w:rPr>
        <w:t>Directive</w:t>
      </w:r>
      <w:r>
        <w:rPr>
          <w:spacing w:val="-5"/>
          <w:sz w:val="18"/>
        </w:rPr>
        <w:t> </w:t>
      </w:r>
      <w:r>
        <w:rPr>
          <w:sz w:val="18"/>
        </w:rPr>
        <w:t>(Directive</w:t>
      </w:r>
      <w:r>
        <w:rPr>
          <w:spacing w:val="-5"/>
          <w:sz w:val="18"/>
        </w:rPr>
        <w:t> </w:t>
      </w:r>
      <w:r>
        <w:rPr>
          <w:sz w:val="18"/>
        </w:rPr>
        <w:t>79/7/EEC,</w:t>
      </w:r>
      <w:r>
        <w:rPr>
          <w:spacing w:val="-5"/>
          <w:sz w:val="18"/>
        </w:rPr>
        <w:t> </w:t>
      </w:r>
      <w:r>
        <w:rPr>
          <w:sz w:val="18"/>
        </w:rPr>
        <w:t>‘Council</w:t>
      </w:r>
      <w:r>
        <w:rPr>
          <w:spacing w:val="-6"/>
          <w:sz w:val="18"/>
        </w:rPr>
        <w:t> </w:t>
      </w:r>
      <w:r>
        <w:rPr>
          <w:sz w:val="18"/>
        </w:rPr>
        <w:t>Directive</w:t>
      </w:r>
      <w:r>
        <w:rPr>
          <w:spacing w:val="-5"/>
          <w:sz w:val="18"/>
        </w:rPr>
        <w:t> </w:t>
      </w:r>
      <w:r>
        <w:rPr>
          <w:sz w:val="18"/>
        </w:rPr>
        <w:t>on</w:t>
      </w:r>
      <w:r>
        <w:rPr>
          <w:spacing w:val="-6"/>
          <w:sz w:val="18"/>
        </w:rPr>
        <w:t> </w:t>
      </w:r>
      <w:r>
        <w:rPr>
          <w:sz w:val="18"/>
        </w:rPr>
        <w:t>the</w:t>
      </w:r>
      <w:r>
        <w:rPr>
          <w:spacing w:val="-5"/>
          <w:sz w:val="18"/>
        </w:rPr>
        <w:t> </w:t>
      </w:r>
      <w:r>
        <w:rPr>
          <w:sz w:val="18"/>
        </w:rPr>
        <w:t>Progressive</w:t>
      </w:r>
      <w:r>
        <w:rPr>
          <w:spacing w:val="-5"/>
          <w:sz w:val="18"/>
        </w:rPr>
        <w:t> </w:t>
      </w:r>
      <w:r>
        <w:rPr>
          <w:sz w:val="18"/>
        </w:rPr>
        <w:t>Implementation</w:t>
      </w:r>
      <w:r>
        <w:rPr>
          <w:spacing w:val="-6"/>
          <w:sz w:val="18"/>
        </w:rPr>
        <w:t> </w:t>
      </w:r>
      <w:r>
        <w:rPr>
          <w:sz w:val="18"/>
        </w:rPr>
        <w:t>of the Principle of Equal Treatment for Men and Women in Matters of Social Security’, 19 December 1978).</w:t>
      </w:r>
    </w:p>
    <w:p>
      <w:pPr>
        <w:pStyle w:val="ListParagraph"/>
        <w:numPr>
          <w:ilvl w:val="0"/>
          <w:numId w:val="3"/>
        </w:numPr>
        <w:tabs>
          <w:tab w:pos="1853" w:val="left" w:leader="none"/>
        </w:tabs>
        <w:spacing w:line="235" w:lineRule="auto" w:before="2" w:after="0"/>
        <w:ind w:left="1853" w:right="1838" w:hanging="720"/>
        <w:jc w:val="left"/>
        <w:rPr>
          <w:sz w:val="18"/>
        </w:rPr>
      </w:pPr>
      <w:r>
        <w:rPr>
          <w:sz w:val="18"/>
        </w:rPr>
        <w:t>NI</w:t>
      </w:r>
      <w:r>
        <w:rPr>
          <w:spacing w:val="-4"/>
          <w:sz w:val="18"/>
        </w:rPr>
        <w:t> </w:t>
      </w:r>
      <w:r>
        <w:rPr>
          <w:sz w:val="18"/>
        </w:rPr>
        <w:t>Office,</w:t>
      </w:r>
      <w:r>
        <w:rPr>
          <w:spacing w:val="-4"/>
          <w:sz w:val="18"/>
        </w:rPr>
        <w:t> </w:t>
      </w:r>
      <w:r>
        <w:rPr>
          <w:sz w:val="18"/>
        </w:rPr>
        <w:t>‘UK</w:t>
      </w:r>
      <w:r>
        <w:rPr>
          <w:spacing w:val="-4"/>
          <w:sz w:val="18"/>
        </w:rPr>
        <w:t> </w:t>
      </w:r>
      <w:r>
        <w:rPr>
          <w:sz w:val="18"/>
        </w:rPr>
        <w:t>Government</w:t>
      </w:r>
      <w:r>
        <w:rPr>
          <w:spacing w:val="-4"/>
          <w:sz w:val="18"/>
        </w:rPr>
        <w:t> </w:t>
      </w:r>
      <w:r>
        <w:rPr>
          <w:sz w:val="18"/>
        </w:rPr>
        <w:t>Commitment</w:t>
      </w:r>
      <w:r>
        <w:rPr>
          <w:spacing w:val="-4"/>
          <w:sz w:val="18"/>
        </w:rPr>
        <w:t> </w:t>
      </w:r>
      <w:r>
        <w:rPr>
          <w:sz w:val="18"/>
        </w:rPr>
        <w:t>to</w:t>
      </w:r>
      <w:r>
        <w:rPr>
          <w:spacing w:val="-4"/>
          <w:sz w:val="18"/>
        </w:rPr>
        <w:t> </w:t>
      </w:r>
      <w:r>
        <w:rPr>
          <w:sz w:val="18"/>
        </w:rPr>
        <w:t>“No</w:t>
      </w:r>
      <w:r>
        <w:rPr>
          <w:spacing w:val="-4"/>
          <w:sz w:val="18"/>
        </w:rPr>
        <w:t> </w:t>
      </w:r>
      <w:r>
        <w:rPr>
          <w:sz w:val="18"/>
        </w:rPr>
        <w:t>Diminution</w:t>
      </w:r>
      <w:r>
        <w:rPr>
          <w:spacing w:val="-4"/>
          <w:sz w:val="18"/>
        </w:rPr>
        <w:t> </w:t>
      </w:r>
      <w:r>
        <w:rPr>
          <w:sz w:val="18"/>
        </w:rPr>
        <w:t>of</w:t>
      </w:r>
      <w:r>
        <w:rPr>
          <w:spacing w:val="-4"/>
          <w:sz w:val="18"/>
        </w:rPr>
        <w:t> </w:t>
      </w:r>
      <w:r>
        <w:rPr>
          <w:sz w:val="18"/>
        </w:rPr>
        <w:t>Rights,</w:t>
      </w:r>
      <w:r>
        <w:rPr>
          <w:spacing w:val="-4"/>
          <w:sz w:val="18"/>
        </w:rPr>
        <w:t> </w:t>
      </w:r>
      <w:r>
        <w:rPr>
          <w:sz w:val="18"/>
        </w:rPr>
        <w:t>Safeguards</w:t>
      </w:r>
      <w:r>
        <w:rPr>
          <w:spacing w:val="-4"/>
          <w:sz w:val="18"/>
        </w:rPr>
        <w:t> </w:t>
      </w:r>
      <w:r>
        <w:rPr>
          <w:sz w:val="18"/>
        </w:rPr>
        <w:t>and</w:t>
      </w:r>
      <w:r>
        <w:rPr>
          <w:spacing w:val="-4"/>
          <w:sz w:val="18"/>
        </w:rPr>
        <w:t> </w:t>
      </w:r>
      <w:r>
        <w:rPr>
          <w:sz w:val="18"/>
        </w:rPr>
        <w:t>Equality</w:t>
      </w:r>
      <w:r>
        <w:rPr>
          <w:spacing w:val="-4"/>
          <w:sz w:val="18"/>
        </w:rPr>
        <w:t> </w:t>
      </w:r>
      <w:r>
        <w:rPr>
          <w:sz w:val="18"/>
        </w:rPr>
        <w:t>of</w:t>
      </w:r>
      <w:r>
        <w:rPr>
          <w:spacing w:val="-4"/>
          <w:sz w:val="18"/>
        </w:rPr>
        <w:t> </w:t>
      </w:r>
      <w:r>
        <w:rPr>
          <w:sz w:val="18"/>
        </w:rPr>
        <w:t>Opportunity”</w:t>
      </w:r>
      <w:r>
        <w:rPr>
          <w:spacing w:val="-4"/>
          <w:sz w:val="18"/>
        </w:rPr>
        <w:t> </w:t>
      </w:r>
      <w:r>
        <w:rPr>
          <w:sz w:val="18"/>
        </w:rPr>
        <w:t>in Northern Ireland: What does it Mean and How will it be Implemented?’ (NIO, 2020), at 3.</w:t>
      </w:r>
    </w:p>
    <w:p>
      <w:pPr>
        <w:pStyle w:val="ListParagraph"/>
        <w:numPr>
          <w:ilvl w:val="0"/>
          <w:numId w:val="3"/>
        </w:numPr>
        <w:tabs>
          <w:tab w:pos="1853" w:val="left" w:leader="none"/>
        </w:tabs>
        <w:spacing w:line="216" w:lineRule="exact" w:before="0" w:after="0"/>
        <w:ind w:left="1853" w:right="0" w:hanging="720"/>
        <w:jc w:val="left"/>
        <w:rPr>
          <w:sz w:val="18"/>
        </w:rPr>
      </w:pPr>
      <w:r>
        <w:rPr>
          <w:sz w:val="18"/>
        </w:rPr>
        <w:t>Article</w:t>
      </w:r>
      <w:r>
        <w:rPr>
          <w:spacing w:val="-2"/>
          <w:sz w:val="18"/>
        </w:rPr>
        <w:t> </w:t>
      </w:r>
      <w:r>
        <w:rPr>
          <w:sz w:val="18"/>
        </w:rPr>
        <w:t>13(3),</w:t>
      </w:r>
      <w:r>
        <w:rPr>
          <w:spacing w:val="-2"/>
          <w:sz w:val="18"/>
        </w:rPr>
        <w:t> </w:t>
      </w:r>
      <w:r>
        <w:rPr>
          <w:sz w:val="18"/>
        </w:rPr>
        <w:t>Windsor</w:t>
      </w:r>
      <w:r>
        <w:rPr>
          <w:spacing w:val="-1"/>
          <w:sz w:val="18"/>
        </w:rPr>
        <w:t> </w:t>
      </w:r>
      <w:r>
        <w:rPr>
          <w:spacing w:val="-2"/>
          <w:sz w:val="18"/>
        </w:rPr>
        <w:t>Framework.</w:t>
      </w:r>
    </w:p>
    <w:p>
      <w:pPr>
        <w:pStyle w:val="ListParagraph"/>
        <w:numPr>
          <w:ilvl w:val="0"/>
          <w:numId w:val="3"/>
        </w:numPr>
        <w:tabs>
          <w:tab w:pos="1853" w:val="left" w:leader="none"/>
        </w:tabs>
        <w:spacing w:line="235" w:lineRule="auto" w:before="1" w:after="0"/>
        <w:ind w:left="1853" w:right="1340" w:hanging="720"/>
        <w:jc w:val="left"/>
        <w:rPr>
          <w:sz w:val="18"/>
        </w:rPr>
      </w:pPr>
      <w:r>
        <w:rPr>
          <w:sz w:val="18"/>
        </w:rPr>
        <w:t>Equality Commission for NI, </w:t>
      </w:r>
      <w:hyperlink r:id="rId84">
        <w:r>
          <w:rPr>
            <w:sz w:val="18"/>
          </w:rPr>
          <w:t>‘Recommendations for law reform: Strengthening protection against racial discrimination’</w:t>
        </w:r>
      </w:hyperlink>
      <w:r>
        <w:rPr>
          <w:sz w:val="18"/>
        </w:rPr>
        <w:t> (ECNI, 2014), at 38. The Equality Act 2010 which applies in England, Scotland and Wales, contains a dual discrimination provision,</w:t>
      </w:r>
      <w:r>
        <w:rPr>
          <w:spacing w:val="-3"/>
          <w:sz w:val="18"/>
        </w:rPr>
        <w:t> </w:t>
      </w:r>
      <w:r>
        <w:rPr>
          <w:sz w:val="18"/>
        </w:rPr>
        <w:t>although</w:t>
      </w:r>
      <w:r>
        <w:rPr>
          <w:spacing w:val="-4"/>
          <w:sz w:val="18"/>
        </w:rPr>
        <w:t> </w:t>
      </w:r>
      <w:r>
        <w:rPr>
          <w:sz w:val="18"/>
        </w:rPr>
        <w:t>this</w:t>
      </w:r>
      <w:r>
        <w:rPr>
          <w:spacing w:val="-4"/>
          <w:sz w:val="18"/>
        </w:rPr>
        <w:t> </w:t>
      </w:r>
      <w:r>
        <w:rPr>
          <w:sz w:val="18"/>
        </w:rPr>
        <w:t>has</w:t>
      </w:r>
      <w:r>
        <w:rPr>
          <w:spacing w:val="-4"/>
          <w:sz w:val="18"/>
        </w:rPr>
        <w:t> </w:t>
      </w:r>
      <w:r>
        <w:rPr>
          <w:sz w:val="18"/>
        </w:rPr>
        <w:t>not</w:t>
      </w:r>
      <w:r>
        <w:rPr>
          <w:spacing w:val="-3"/>
          <w:sz w:val="18"/>
        </w:rPr>
        <w:t> </w:t>
      </w:r>
      <w:r>
        <w:rPr>
          <w:sz w:val="18"/>
        </w:rPr>
        <w:t>been</w:t>
      </w:r>
      <w:r>
        <w:rPr>
          <w:spacing w:val="-4"/>
          <w:sz w:val="18"/>
        </w:rPr>
        <w:t> </w:t>
      </w:r>
      <w:r>
        <w:rPr>
          <w:sz w:val="18"/>
        </w:rPr>
        <w:t>brought</w:t>
      </w:r>
      <w:r>
        <w:rPr>
          <w:spacing w:val="-3"/>
          <w:sz w:val="18"/>
        </w:rPr>
        <w:t> </w:t>
      </w:r>
      <w:r>
        <w:rPr>
          <w:sz w:val="18"/>
        </w:rPr>
        <w:t>into</w:t>
      </w:r>
      <w:r>
        <w:rPr>
          <w:spacing w:val="-4"/>
          <w:sz w:val="18"/>
        </w:rPr>
        <w:t> </w:t>
      </w:r>
      <w:r>
        <w:rPr>
          <w:sz w:val="18"/>
        </w:rPr>
        <w:t>force.</w:t>
      </w:r>
      <w:r>
        <w:rPr>
          <w:spacing w:val="-4"/>
          <w:sz w:val="18"/>
        </w:rPr>
        <w:t> </w:t>
      </w:r>
      <w:r>
        <w:rPr>
          <w:sz w:val="18"/>
        </w:rPr>
        <w:t>See</w:t>
      </w:r>
      <w:r>
        <w:rPr>
          <w:spacing w:val="-3"/>
          <w:sz w:val="18"/>
        </w:rPr>
        <w:t> </w:t>
      </w:r>
      <w:r>
        <w:rPr>
          <w:sz w:val="18"/>
        </w:rPr>
        <w:t>House</w:t>
      </w:r>
      <w:r>
        <w:rPr>
          <w:spacing w:val="-3"/>
          <w:sz w:val="18"/>
        </w:rPr>
        <w:t> </w:t>
      </w:r>
      <w:r>
        <w:rPr>
          <w:sz w:val="18"/>
        </w:rPr>
        <w:t>of</w:t>
      </w:r>
      <w:r>
        <w:rPr>
          <w:spacing w:val="-4"/>
          <w:sz w:val="18"/>
        </w:rPr>
        <w:t> </w:t>
      </w:r>
      <w:r>
        <w:rPr>
          <w:sz w:val="18"/>
        </w:rPr>
        <w:t>Lords</w:t>
      </w:r>
      <w:r>
        <w:rPr>
          <w:spacing w:val="-4"/>
          <w:sz w:val="18"/>
        </w:rPr>
        <w:t> </w:t>
      </w:r>
      <w:r>
        <w:rPr>
          <w:sz w:val="18"/>
        </w:rPr>
        <w:t>Select</w:t>
      </w:r>
      <w:r>
        <w:rPr>
          <w:spacing w:val="-3"/>
          <w:sz w:val="18"/>
        </w:rPr>
        <w:t> </w:t>
      </w:r>
      <w:r>
        <w:rPr>
          <w:sz w:val="18"/>
        </w:rPr>
        <w:t>Committee</w:t>
      </w:r>
      <w:r>
        <w:rPr>
          <w:spacing w:val="-3"/>
          <w:sz w:val="18"/>
        </w:rPr>
        <w:t> </w:t>
      </w:r>
      <w:r>
        <w:rPr>
          <w:sz w:val="18"/>
        </w:rPr>
        <w:t>on</w:t>
      </w:r>
      <w:r>
        <w:rPr>
          <w:spacing w:val="-4"/>
          <w:sz w:val="18"/>
        </w:rPr>
        <w:t> </w:t>
      </w:r>
      <w:r>
        <w:rPr>
          <w:sz w:val="18"/>
        </w:rPr>
        <w:t>the</w:t>
      </w:r>
      <w:r>
        <w:rPr>
          <w:spacing w:val="-3"/>
          <w:sz w:val="18"/>
        </w:rPr>
        <w:t> </w:t>
      </w:r>
      <w:r>
        <w:rPr>
          <w:sz w:val="18"/>
        </w:rPr>
        <w:t>Equality</w:t>
      </w:r>
      <w:r>
        <w:rPr>
          <w:spacing w:val="-3"/>
          <w:sz w:val="18"/>
        </w:rPr>
        <w:t> </w:t>
      </w:r>
      <w:r>
        <w:rPr>
          <w:sz w:val="18"/>
        </w:rPr>
        <w:t>Act</w:t>
      </w:r>
      <w:r>
        <w:rPr>
          <w:spacing w:val="-3"/>
          <w:sz w:val="18"/>
        </w:rPr>
        <w:t> </w:t>
      </w:r>
      <w:r>
        <w:rPr>
          <w:sz w:val="18"/>
        </w:rPr>
        <w:t>2010 and Disability, ‘The Equality Act 2010: The Impact on Disabled People (Report of session 2015-16) HL Paper 117’, (HL, </w:t>
      </w:r>
      <w:r>
        <w:rPr>
          <w:spacing w:val="-2"/>
          <w:sz w:val="18"/>
        </w:rPr>
        <w:t>2016).</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pPr>
      <w:r>
        <w:rPr/>
        <w:t>for consideration in this context.</w:t>
      </w:r>
      <w:r>
        <w:rPr>
          <w:vertAlign w:val="superscript"/>
        </w:rPr>
        <w:t>154</w:t>
      </w:r>
      <w:r>
        <w:rPr>
          <w:vertAlign w:val="baseline"/>
        </w:rPr>
        <w:t> The ECNI, in its shadow report to the Advisory</w:t>
      </w:r>
      <w:r>
        <w:rPr>
          <w:spacing w:val="-7"/>
          <w:vertAlign w:val="baseline"/>
        </w:rPr>
        <w:t> </w:t>
      </w:r>
      <w:r>
        <w:rPr>
          <w:vertAlign w:val="baseline"/>
        </w:rPr>
        <w:t>Committee,</w:t>
      </w:r>
      <w:r>
        <w:rPr>
          <w:spacing w:val="-7"/>
          <w:vertAlign w:val="baseline"/>
        </w:rPr>
        <w:t> </w:t>
      </w:r>
      <w:r>
        <w:rPr>
          <w:vertAlign w:val="baseline"/>
        </w:rPr>
        <w:t>also</w:t>
      </w:r>
      <w:r>
        <w:rPr>
          <w:spacing w:val="-8"/>
          <w:vertAlign w:val="baseline"/>
        </w:rPr>
        <w:t> </w:t>
      </w:r>
      <w:r>
        <w:rPr>
          <w:vertAlign w:val="baseline"/>
        </w:rPr>
        <w:t>called</w:t>
      </w:r>
      <w:r>
        <w:rPr>
          <w:spacing w:val="-8"/>
          <w:vertAlign w:val="baseline"/>
        </w:rPr>
        <w:t> </w:t>
      </w:r>
      <w:r>
        <w:rPr>
          <w:vertAlign w:val="baseline"/>
        </w:rPr>
        <w:t>for</w:t>
      </w:r>
      <w:r>
        <w:rPr>
          <w:spacing w:val="-7"/>
          <w:vertAlign w:val="baseline"/>
        </w:rPr>
        <w:t> </w:t>
      </w:r>
      <w:r>
        <w:rPr>
          <w:vertAlign w:val="baseline"/>
        </w:rPr>
        <w:t>the</w:t>
      </w:r>
      <w:r>
        <w:rPr>
          <w:spacing w:val="-7"/>
          <w:vertAlign w:val="baseline"/>
        </w:rPr>
        <w:t> </w:t>
      </w:r>
      <w:r>
        <w:rPr>
          <w:vertAlign w:val="baseline"/>
        </w:rPr>
        <w:t>advancement</w:t>
      </w:r>
      <w:r>
        <w:rPr>
          <w:spacing w:val="-7"/>
          <w:vertAlign w:val="baseline"/>
        </w:rPr>
        <w:t> </w:t>
      </w:r>
      <w:r>
        <w:rPr>
          <w:vertAlign w:val="baseline"/>
        </w:rPr>
        <w:t>by</w:t>
      </w:r>
      <w:r>
        <w:rPr>
          <w:spacing w:val="-7"/>
          <w:vertAlign w:val="baseline"/>
        </w:rPr>
        <w:t> </w:t>
      </w:r>
      <w:r>
        <w:rPr>
          <w:vertAlign w:val="baseline"/>
        </w:rPr>
        <w:t>the</w:t>
      </w:r>
      <w:r>
        <w:rPr>
          <w:spacing w:val="-7"/>
          <w:vertAlign w:val="baseline"/>
        </w:rPr>
        <w:t> </w:t>
      </w:r>
      <w:r>
        <w:rPr>
          <w:vertAlign w:val="baseline"/>
        </w:rPr>
        <w:t>NI</w:t>
      </w:r>
      <w:r>
        <w:rPr>
          <w:spacing w:val="-7"/>
          <w:vertAlign w:val="baseline"/>
        </w:rPr>
        <w:t> </w:t>
      </w:r>
      <w:r>
        <w:rPr>
          <w:vertAlign w:val="baseline"/>
        </w:rPr>
        <w:t>Executive</w:t>
      </w:r>
      <w:r>
        <w:rPr>
          <w:spacing w:val="-7"/>
          <w:vertAlign w:val="baseline"/>
        </w:rPr>
        <w:t> </w:t>
      </w:r>
      <w:r>
        <w:rPr>
          <w:vertAlign w:val="baseline"/>
        </w:rPr>
        <w:t>of robust and comprehensive single equality legislation.</w:t>
      </w:r>
      <w:r>
        <w:rPr>
          <w:vertAlign w:val="superscript"/>
        </w:rPr>
        <w:t>155</w:t>
      </w:r>
    </w:p>
    <w:p>
      <w:pPr>
        <w:pStyle w:val="ListParagraph"/>
        <w:numPr>
          <w:ilvl w:val="1"/>
          <w:numId w:val="7"/>
        </w:numPr>
        <w:tabs>
          <w:tab w:pos="1853" w:val="left" w:leader="none"/>
        </w:tabs>
        <w:spacing w:line="225" w:lineRule="auto" w:before="317" w:after="0"/>
        <w:ind w:left="1853" w:right="1133" w:hanging="720"/>
        <w:jc w:val="left"/>
        <w:rPr>
          <w:sz w:val="28"/>
        </w:rPr>
      </w:pPr>
      <w:r>
        <w:rPr>
          <w:sz w:val="28"/>
        </w:rPr>
        <w:t>In May 2023, the Advisory Committee published its Fifth Opinion on the UK, expressing</w:t>
      </w:r>
      <w:r>
        <w:rPr>
          <w:spacing w:val="-11"/>
          <w:sz w:val="28"/>
        </w:rPr>
        <w:t> </w:t>
      </w:r>
      <w:r>
        <w:rPr>
          <w:sz w:val="28"/>
        </w:rPr>
        <w:t>concern</w:t>
      </w:r>
      <w:r>
        <w:rPr>
          <w:spacing w:val="-11"/>
          <w:sz w:val="28"/>
        </w:rPr>
        <w:t> </w:t>
      </w:r>
      <w:r>
        <w:rPr>
          <w:sz w:val="28"/>
        </w:rPr>
        <w:t>that</w:t>
      </w:r>
      <w:r>
        <w:rPr>
          <w:spacing w:val="-11"/>
          <w:sz w:val="28"/>
        </w:rPr>
        <w:t> </w:t>
      </w:r>
      <w:r>
        <w:rPr>
          <w:sz w:val="28"/>
        </w:rPr>
        <w:t>the</w:t>
      </w:r>
      <w:r>
        <w:rPr>
          <w:spacing w:val="-11"/>
          <w:sz w:val="28"/>
        </w:rPr>
        <w:t> </w:t>
      </w:r>
      <w:r>
        <w:rPr>
          <w:sz w:val="28"/>
        </w:rPr>
        <w:t>“current</w:t>
      </w:r>
      <w:r>
        <w:rPr>
          <w:spacing w:val="-11"/>
          <w:sz w:val="28"/>
        </w:rPr>
        <w:t> </w:t>
      </w:r>
      <w:r>
        <w:rPr>
          <w:sz w:val="28"/>
        </w:rPr>
        <w:t>fragmented</w:t>
      </w:r>
      <w:r>
        <w:rPr>
          <w:spacing w:val="-11"/>
          <w:sz w:val="28"/>
        </w:rPr>
        <w:t> </w:t>
      </w:r>
      <w:r>
        <w:rPr>
          <w:sz w:val="28"/>
        </w:rPr>
        <w:t>approach</w:t>
      </w:r>
      <w:r>
        <w:rPr>
          <w:spacing w:val="-11"/>
          <w:sz w:val="28"/>
        </w:rPr>
        <w:t> </w:t>
      </w:r>
      <w:r>
        <w:rPr>
          <w:sz w:val="28"/>
        </w:rPr>
        <w:t>in</w:t>
      </w:r>
      <w:r>
        <w:rPr>
          <w:spacing w:val="-11"/>
          <w:sz w:val="28"/>
        </w:rPr>
        <w:t> </w:t>
      </w:r>
      <w:r>
        <w:rPr>
          <w:sz w:val="28"/>
        </w:rPr>
        <w:t>Northern</w:t>
      </w:r>
      <w:r>
        <w:rPr>
          <w:spacing w:val="-11"/>
          <w:sz w:val="28"/>
        </w:rPr>
        <w:t> </w:t>
      </w:r>
      <w:r>
        <w:rPr>
          <w:sz w:val="28"/>
        </w:rPr>
        <w:t>Ireland to anti-discrimination legislation” is not guaranteeing the same protection against discrimination across the UK.</w:t>
      </w:r>
      <w:r>
        <w:rPr>
          <w:sz w:val="28"/>
          <w:vertAlign w:val="superscript"/>
        </w:rPr>
        <w:t>156</w:t>
      </w:r>
      <w:r>
        <w:rPr>
          <w:sz w:val="28"/>
          <w:vertAlign w:val="baseline"/>
        </w:rPr>
        <w:t> Further, the Committee advised that “comprehensive, unified equality legislation should be adopted for Northern Ireland”, alongside continuing to strengthen racial equality legislation by continuing the revision process initiated in 2021.</w:t>
      </w:r>
      <w:r>
        <w:rPr>
          <w:sz w:val="28"/>
          <w:vertAlign w:val="superscript"/>
        </w:rPr>
        <w:t>157</w:t>
      </w:r>
    </w:p>
    <w:p>
      <w:pPr>
        <w:pStyle w:val="ListParagraph"/>
        <w:numPr>
          <w:ilvl w:val="1"/>
          <w:numId w:val="7"/>
        </w:numPr>
        <w:tabs>
          <w:tab w:pos="1853" w:val="left" w:leader="none"/>
        </w:tabs>
        <w:spacing w:line="225" w:lineRule="auto" w:before="311" w:after="0"/>
        <w:ind w:left="1853" w:right="1513" w:hanging="720"/>
        <w:jc w:val="left"/>
        <w:rPr>
          <w:sz w:val="28"/>
        </w:rPr>
      </w:pPr>
      <w:r>
        <w:rPr>
          <w:sz w:val="28"/>
        </w:rPr>
        <w:t>In 2022, the Commissions responded separately to the EU Commission public consultation on potential gaps in the EU Racial Equality Directive</w:t>
      </w:r>
      <w:r>
        <w:rPr>
          <w:spacing w:val="40"/>
          <w:sz w:val="28"/>
        </w:rPr>
        <w:t> </w:t>
      </w:r>
      <w:r>
        <w:rPr>
          <w:sz w:val="28"/>
        </w:rPr>
        <w:t>and</w:t>
      </w:r>
      <w:r>
        <w:rPr>
          <w:spacing w:val="-5"/>
          <w:sz w:val="28"/>
        </w:rPr>
        <w:t> </w:t>
      </w:r>
      <w:r>
        <w:rPr>
          <w:sz w:val="28"/>
        </w:rPr>
        <w:t>how</w:t>
      </w:r>
      <w:r>
        <w:rPr>
          <w:spacing w:val="-4"/>
          <w:sz w:val="28"/>
        </w:rPr>
        <w:t> </w:t>
      </w:r>
      <w:r>
        <w:rPr>
          <w:sz w:val="28"/>
        </w:rPr>
        <w:t>the</w:t>
      </w:r>
      <w:r>
        <w:rPr>
          <w:spacing w:val="-4"/>
          <w:sz w:val="28"/>
        </w:rPr>
        <w:t> </w:t>
      </w:r>
      <w:r>
        <w:rPr>
          <w:sz w:val="28"/>
        </w:rPr>
        <w:t>gaps</w:t>
      </w:r>
      <w:r>
        <w:rPr>
          <w:spacing w:val="-5"/>
          <w:sz w:val="28"/>
        </w:rPr>
        <w:t> </w:t>
      </w:r>
      <w:r>
        <w:rPr>
          <w:sz w:val="28"/>
        </w:rPr>
        <w:t>should</w:t>
      </w:r>
      <w:r>
        <w:rPr>
          <w:spacing w:val="-5"/>
          <w:sz w:val="28"/>
        </w:rPr>
        <w:t> </w:t>
      </w:r>
      <w:r>
        <w:rPr>
          <w:sz w:val="28"/>
        </w:rPr>
        <w:t>be</w:t>
      </w:r>
      <w:r>
        <w:rPr>
          <w:spacing w:val="-4"/>
          <w:sz w:val="28"/>
        </w:rPr>
        <w:t> </w:t>
      </w:r>
      <w:r>
        <w:rPr>
          <w:sz w:val="28"/>
        </w:rPr>
        <w:t>addressed.</w:t>
      </w:r>
      <w:r>
        <w:rPr>
          <w:sz w:val="28"/>
          <w:vertAlign w:val="superscript"/>
        </w:rPr>
        <w:t>158</w:t>
      </w:r>
      <w:r>
        <w:rPr>
          <w:spacing w:val="-8"/>
          <w:sz w:val="28"/>
          <w:vertAlign w:val="baseline"/>
        </w:rPr>
        <w:t> </w:t>
      </w:r>
      <w:r>
        <w:rPr>
          <w:sz w:val="28"/>
          <w:vertAlign w:val="baseline"/>
        </w:rPr>
        <w:t>Both</w:t>
      </w:r>
      <w:r>
        <w:rPr>
          <w:spacing w:val="-5"/>
          <w:sz w:val="28"/>
          <w:vertAlign w:val="baseline"/>
        </w:rPr>
        <w:t> </w:t>
      </w:r>
      <w:r>
        <w:rPr>
          <w:sz w:val="28"/>
          <w:vertAlign w:val="baseline"/>
        </w:rPr>
        <w:t>Commissions</w:t>
      </w:r>
      <w:r>
        <w:rPr>
          <w:spacing w:val="-5"/>
          <w:sz w:val="28"/>
          <w:vertAlign w:val="baseline"/>
        </w:rPr>
        <w:t> </w:t>
      </w:r>
      <w:r>
        <w:rPr>
          <w:sz w:val="28"/>
          <w:vertAlign w:val="baseline"/>
        </w:rPr>
        <w:t>highlighted</w:t>
      </w:r>
      <w:r>
        <w:rPr>
          <w:spacing w:val="-5"/>
          <w:sz w:val="28"/>
          <w:vertAlign w:val="baseline"/>
        </w:rPr>
        <w:t> </w:t>
      </w:r>
      <w:r>
        <w:rPr>
          <w:sz w:val="28"/>
          <w:vertAlign w:val="baseline"/>
        </w:rPr>
        <w:t>in their</w:t>
      </w:r>
      <w:r>
        <w:rPr>
          <w:spacing w:val="-4"/>
          <w:sz w:val="28"/>
          <w:vertAlign w:val="baseline"/>
        </w:rPr>
        <w:t> </w:t>
      </w:r>
      <w:r>
        <w:rPr>
          <w:sz w:val="28"/>
          <w:vertAlign w:val="baseline"/>
        </w:rPr>
        <w:t>submissions</w:t>
      </w:r>
      <w:r>
        <w:rPr>
          <w:spacing w:val="-5"/>
          <w:sz w:val="28"/>
          <w:vertAlign w:val="baseline"/>
        </w:rPr>
        <w:t> </w:t>
      </w:r>
      <w:r>
        <w:rPr>
          <w:sz w:val="28"/>
          <w:vertAlign w:val="baseline"/>
        </w:rPr>
        <w:t>that</w:t>
      </w:r>
      <w:r>
        <w:rPr>
          <w:spacing w:val="-4"/>
          <w:sz w:val="28"/>
          <w:vertAlign w:val="baseline"/>
        </w:rPr>
        <w:t> </w:t>
      </w:r>
      <w:r>
        <w:rPr>
          <w:sz w:val="28"/>
          <w:vertAlign w:val="baseline"/>
        </w:rPr>
        <w:t>in</w:t>
      </w:r>
      <w:r>
        <w:rPr>
          <w:spacing w:val="-5"/>
          <w:sz w:val="28"/>
          <w:vertAlign w:val="baseline"/>
        </w:rPr>
        <w:t> </w:t>
      </w:r>
      <w:r>
        <w:rPr>
          <w:sz w:val="28"/>
          <w:vertAlign w:val="baseline"/>
        </w:rPr>
        <w:t>accordance</w:t>
      </w:r>
      <w:r>
        <w:rPr>
          <w:spacing w:val="-4"/>
          <w:sz w:val="28"/>
          <w:vertAlign w:val="baseline"/>
        </w:rPr>
        <w:t> </w:t>
      </w:r>
      <w:r>
        <w:rPr>
          <w:sz w:val="28"/>
          <w:vertAlign w:val="baseline"/>
        </w:rPr>
        <w:t>with</w:t>
      </w:r>
      <w:r>
        <w:rPr>
          <w:spacing w:val="-5"/>
          <w:sz w:val="28"/>
          <w:vertAlign w:val="baseline"/>
        </w:rPr>
        <w:t> </w:t>
      </w:r>
      <w:r>
        <w:rPr>
          <w:sz w:val="28"/>
          <w:vertAlign w:val="baseline"/>
        </w:rPr>
        <w:t>Article</w:t>
      </w:r>
      <w:r>
        <w:rPr>
          <w:spacing w:val="-4"/>
          <w:sz w:val="28"/>
          <w:vertAlign w:val="baseline"/>
        </w:rPr>
        <w:t> </w:t>
      </w:r>
      <w:r>
        <w:rPr>
          <w:sz w:val="28"/>
          <w:vertAlign w:val="baseline"/>
        </w:rPr>
        <w:t>2,</w:t>
      </w:r>
      <w:r>
        <w:rPr>
          <w:spacing w:val="-4"/>
          <w:sz w:val="28"/>
          <w:vertAlign w:val="baseline"/>
        </w:rPr>
        <w:t> </w:t>
      </w:r>
      <w:r>
        <w:rPr>
          <w:sz w:val="28"/>
          <w:vertAlign w:val="baseline"/>
        </w:rPr>
        <w:t>if</w:t>
      </w:r>
      <w:r>
        <w:rPr>
          <w:spacing w:val="-5"/>
          <w:sz w:val="28"/>
          <w:vertAlign w:val="baseline"/>
        </w:rPr>
        <w:t> </w:t>
      </w:r>
      <w:r>
        <w:rPr>
          <w:sz w:val="28"/>
          <w:vertAlign w:val="baseline"/>
        </w:rPr>
        <w:t>the</w:t>
      </w:r>
      <w:r>
        <w:rPr>
          <w:spacing w:val="-4"/>
          <w:sz w:val="28"/>
          <w:vertAlign w:val="baseline"/>
        </w:rPr>
        <w:t> </w:t>
      </w:r>
      <w:r>
        <w:rPr>
          <w:sz w:val="28"/>
          <w:vertAlign w:val="baseline"/>
        </w:rPr>
        <w:t>EU</w:t>
      </w:r>
      <w:r>
        <w:rPr>
          <w:spacing w:val="-4"/>
          <w:sz w:val="28"/>
          <w:vertAlign w:val="baseline"/>
        </w:rPr>
        <w:t> </w:t>
      </w:r>
      <w:r>
        <w:rPr>
          <w:sz w:val="28"/>
          <w:vertAlign w:val="baseline"/>
        </w:rPr>
        <w:t>Racial</w:t>
      </w:r>
      <w:r>
        <w:rPr>
          <w:spacing w:val="-5"/>
          <w:sz w:val="28"/>
          <w:vertAlign w:val="baseline"/>
        </w:rPr>
        <w:t> </w:t>
      </w:r>
      <w:r>
        <w:rPr>
          <w:sz w:val="28"/>
          <w:vertAlign w:val="baseline"/>
        </w:rPr>
        <w:t>Equality Directive</w:t>
      </w:r>
      <w:r>
        <w:rPr>
          <w:spacing w:val="-2"/>
          <w:sz w:val="28"/>
          <w:vertAlign w:val="baseline"/>
        </w:rPr>
        <w:t> </w:t>
      </w:r>
      <w:r>
        <w:rPr>
          <w:sz w:val="28"/>
          <w:vertAlign w:val="baseline"/>
        </w:rPr>
        <w:t>is</w:t>
      </w:r>
      <w:r>
        <w:rPr>
          <w:spacing w:val="-3"/>
          <w:sz w:val="28"/>
          <w:vertAlign w:val="baseline"/>
        </w:rPr>
        <w:t> </w:t>
      </w:r>
      <w:r>
        <w:rPr>
          <w:sz w:val="28"/>
          <w:vertAlign w:val="baseline"/>
        </w:rPr>
        <w:t>amended</w:t>
      </w:r>
      <w:r>
        <w:rPr>
          <w:spacing w:val="-3"/>
          <w:sz w:val="28"/>
          <w:vertAlign w:val="baseline"/>
        </w:rPr>
        <w:t> </w:t>
      </w:r>
      <w:r>
        <w:rPr>
          <w:sz w:val="28"/>
          <w:vertAlign w:val="baseline"/>
        </w:rPr>
        <w:t>in</w:t>
      </w:r>
      <w:r>
        <w:rPr>
          <w:spacing w:val="-3"/>
          <w:sz w:val="28"/>
          <w:vertAlign w:val="baseline"/>
        </w:rPr>
        <w:t> </w:t>
      </w:r>
      <w:r>
        <w:rPr>
          <w:sz w:val="28"/>
          <w:vertAlign w:val="baseline"/>
        </w:rPr>
        <w:t>such</w:t>
      </w:r>
      <w:r>
        <w:rPr>
          <w:spacing w:val="-3"/>
          <w:sz w:val="28"/>
          <w:vertAlign w:val="baseline"/>
        </w:rPr>
        <w:t> </w:t>
      </w:r>
      <w:r>
        <w:rPr>
          <w:sz w:val="28"/>
          <w:vertAlign w:val="baseline"/>
        </w:rPr>
        <w:t>a</w:t>
      </w:r>
      <w:r>
        <w:rPr>
          <w:spacing w:val="-3"/>
          <w:sz w:val="28"/>
          <w:vertAlign w:val="baseline"/>
        </w:rPr>
        <w:t> </w:t>
      </w:r>
      <w:r>
        <w:rPr>
          <w:sz w:val="28"/>
          <w:vertAlign w:val="baseline"/>
        </w:rPr>
        <w:t>way</w:t>
      </w:r>
      <w:r>
        <w:rPr>
          <w:spacing w:val="-2"/>
          <w:sz w:val="28"/>
          <w:vertAlign w:val="baseline"/>
        </w:rPr>
        <w:t> </w:t>
      </w:r>
      <w:r>
        <w:rPr>
          <w:sz w:val="28"/>
          <w:vertAlign w:val="baseline"/>
        </w:rPr>
        <w:t>that</w:t>
      </w:r>
      <w:r>
        <w:rPr>
          <w:spacing w:val="-2"/>
          <w:sz w:val="28"/>
          <w:vertAlign w:val="baseline"/>
        </w:rPr>
        <w:t> </w:t>
      </w:r>
      <w:r>
        <w:rPr>
          <w:sz w:val="28"/>
          <w:vertAlign w:val="baseline"/>
        </w:rPr>
        <w:t>enhances</w:t>
      </w:r>
      <w:r>
        <w:rPr>
          <w:spacing w:val="-3"/>
          <w:sz w:val="28"/>
          <w:vertAlign w:val="baseline"/>
        </w:rPr>
        <w:t> </w:t>
      </w:r>
      <w:r>
        <w:rPr>
          <w:sz w:val="28"/>
          <w:vertAlign w:val="baseline"/>
        </w:rPr>
        <w:t>rights</w:t>
      </w:r>
      <w:r>
        <w:rPr>
          <w:spacing w:val="-3"/>
          <w:sz w:val="28"/>
          <w:vertAlign w:val="baseline"/>
        </w:rPr>
        <w:t> </w:t>
      </w:r>
      <w:r>
        <w:rPr>
          <w:sz w:val="28"/>
          <w:vertAlign w:val="baseline"/>
        </w:rPr>
        <w:t>and</w:t>
      </w:r>
      <w:r>
        <w:rPr>
          <w:spacing w:val="-3"/>
          <w:sz w:val="28"/>
          <w:vertAlign w:val="baseline"/>
        </w:rPr>
        <w:t> </w:t>
      </w:r>
      <w:r>
        <w:rPr>
          <w:sz w:val="28"/>
          <w:vertAlign w:val="baseline"/>
        </w:rPr>
        <w:t>safeguards,</w:t>
      </w:r>
      <w:r>
        <w:rPr>
          <w:spacing w:val="-2"/>
          <w:sz w:val="28"/>
          <w:vertAlign w:val="baseline"/>
        </w:rPr>
        <w:t> </w:t>
      </w:r>
      <w:r>
        <w:rPr>
          <w:sz w:val="28"/>
          <w:vertAlign w:val="baseline"/>
        </w:rPr>
        <w:t>NI law</w:t>
      </w:r>
      <w:r>
        <w:rPr>
          <w:spacing w:val="-4"/>
          <w:sz w:val="28"/>
          <w:vertAlign w:val="baseline"/>
        </w:rPr>
        <w:t> </w:t>
      </w:r>
      <w:r>
        <w:rPr>
          <w:sz w:val="28"/>
          <w:vertAlign w:val="baseline"/>
        </w:rPr>
        <w:t>would</w:t>
      </w:r>
      <w:r>
        <w:rPr>
          <w:spacing w:val="-5"/>
          <w:sz w:val="28"/>
          <w:vertAlign w:val="baseline"/>
        </w:rPr>
        <w:t> </w:t>
      </w:r>
      <w:r>
        <w:rPr>
          <w:sz w:val="28"/>
          <w:vertAlign w:val="baseline"/>
        </w:rPr>
        <w:t>then</w:t>
      </w:r>
      <w:r>
        <w:rPr>
          <w:spacing w:val="-5"/>
          <w:sz w:val="28"/>
          <w:vertAlign w:val="baseline"/>
        </w:rPr>
        <w:t> </w:t>
      </w:r>
      <w:r>
        <w:rPr>
          <w:sz w:val="28"/>
          <w:vertAlign w:val="baseline"/>
        </w:rPr>
        <w:t>be</w:t>
      </w:r>
      <w:r>
        <w:rPr>
          <w:spacing w:val="-4"/>
          <w:sz w:val="28"/>
          <w:vertAlign w:val="baseline"/>
        </w:rPr>
        <w:t> </w:t>
      </w:r>
      <w:r>
        <w:rPr>
          <w:sz w:val="28"/>
          <w:vertAlign w:val="baseline"/>
        </w:rPr>
        <w:t>required</w:t>
      </w:r>
      <w:r>
        <w:rPr>
          <w:spacing w:val="-5"/>
          <w:sz w:val="28"/>
          <w:vertAlign w:val="baseline"/>
        </w:rPr>
        <w:t> </w:t>
      </w:r>
      <w:r>
        <w:rPr>
          <w:sz w:val="28"/>
          <w:vertAlign w:val="baseline"/>
        </w:rPr>
        <w:t>to</w:t>
      </w:r>
      <w:r>
        <w:rPr>
          <w:spacing w:val="-5"/>
          <w:sz w:val="28"/>
          <w:vertAlign w:val="baseline"/>
        </w:rPr>
        <w:t> </w:t>
      </w:r>
      <w:r>
        <w:rPr>
          <w:sz w:val="28"/>
          <w:vertAlign w:val="baseline"/>
        </w:rPr>
        <w:t>keep</w:t>
      </w:r>
      <w:r>
        <w:rPr>
          <w:spacing w:val="-5"/>
          <w:sz w:val="28"/>
          <w:vertAlign w:val="baseline"/>
        </w:rPr>
        <w:t> </w:t>
      </w:r>
      <w:r>
        <w:rPr>
          <w:sz w:val="28"/>
          <w:vertAlign w:val="baseline"/>
        </w:rPr>
        <w:t>pace</w:t>
      </w:r>
      <w:r>
        <w:rPr>
          <w:spacing w:val="-4"/>
          <w:sz w:val="28"/>
          <w:vertAlign w:val="baseline"/>
        </w:rPr>
        <w:t> </w:t>
      </w:r>
      <w:r>
        <w:rPr>
          <w:sz w:val="28"/>
          <w:vertAlign w:val="baseline"/>
        </w:rPr>
        <w:t>with</w:t>
      </w:r>
      <w:r>
        <w:rPr>
          <w:spacing w:val="-5"/>
          <w:sz w:val="28"/>
          <w:vertAlign w:val="baseline"/>
        </w:rPr>
        <w:t> </w:t>
      </w:r>
      <w:r>
        <w:rPr>
          <w:sz w:val="28"/>
          <w:vertAlign w:val="baseline"/>
        </w:rPr>
        <w:t>those</w:t>
      </w:r>
      <w:r>
        <w:rPr>
          <w:spacing w:val="-4"/>
          <w:sz w:val="28"/>
          <w:vertAlign w:val="baseline"/>
        </w:rPr>
        <w:t> </w:t>
      </w:r>
      <w:r>
        <w:rPr>
          <w:sz w:val="28"/>
          <w:vertAlign w:val="baseline"/>
        </w:rPr>
        <w:t>changes.</w:t>
      </w:r>
      <w:r>
        <w:rPr>
          <w:sz w:val="28"/>
          <w:vertAlign w:val="superscript"/>
        </w:rPr>
        <w:t>159</w:t>
      </w:r>
      <w:r>
        <w:rPr>
          <w:spacing w:val="-5"/>
          <w:sz w:val="28"/>
          <w:vertAlign w:val="baseline"/>
        </w:rPr>
        <w:t> </w:t>
      </w:r>
      <w:r>
        <w:rPr>
          <w:sz w:val="28"/>
          <w:vertAlign w:val="baseline"/>
        </w:rPr>
        <w:t>The</w:t>
      </w:r>
      <w:r>
        <w:rPr>
          <w:spacing w:val="-4"/>
          <w:sz w:val="28"/>
          <w:vertAlign w:val="baseline"/>
        </w:rPr>
        <w:t> </w:t>
      </w:r>
      <w:r>
        <w:rPr>
          <w:sz w:val="28"/>
          <w:vertAlign w:val="baseline"/>
        </w:rPr>
        <w:t>NIHRC</w:t>
      </w:r>
    </w:p>
    <w:p>
      <w:pPr>
        <w:pStyle w:val="BodyText"/>
        <w:spacing w:line="225" w:lineRule="auto"/>
        <w:ind w:left="1853" w:right="1124"/>
      </w:pPr>
      <w:r>
        <w:rPr/>
        <w:t>recommended</w:t>
      </w:r>
      <w:r>
        <w:rPr>
          <w:spacing w:val="-7"/>
        </w:rPr>
        <w:t> </w:t>
      </w:r>
      <w:r>
        <w:rPr/>
        <w:t>that</w:t>
      </w:r>
      <w:r>
        <w:rPr>
          <w:spacing w:val="-6"/>
        </w:rPr>
        <w:t> </w:t>
      </w:r>
      <w:r>
        <w:rPr/>
        <w:t>the</w:t>
      </w:r>
      <w:r>
        <w:rPr>
          <w:spacing w:val="-6"/>
        </w:rPr>
        <w:t> </w:t>
      </w:r>
      <w:r>
        <w:rPr/>
        <w:t>EU</w:t>
      </w:r>
      <w:r>
        <w:rPr>
          <w:spacing w:val="-6"/>
        </w:rPr>
        <w:t> </w:t>
      </w:r>
      <w:r>
        <w:rPr/>
        <w:t>Racial</w:t>
      </w:r>
      <w:r>
        <w:rPr>
          <w:spacing w:val="-7"/>
        </w:rPr>
        <w:t> </w:t>
      </w:r>
      <w:r>
        <w:rPr/>
        <w:t>Equality</w:t>
      </w:r>
      <w:r>
        <w:rPr>
          <w:spacing w:val="-6"/>
        </w:rPr>
        <w:t> </w:t>
      </w:r>
      <w:r>
        <w:rPr/>
        <w:t>Directive</w:t>
      </w:r>
      <w:r>
        <w:rPr>
          <w:spacing w:val="-6"/>
        </w:rPr>
        <w:t> </w:t>
      </w:r>
      <w:r>
        <w:rPr/>
        <w:t>be</w:t>
      </w:r>
      <w:r>
        <w:rPr>
          <w:spacing w:val="-6"/>
        </w:rPr>
        <w:t> </w:t>
      </w:r>
      <w:r>
        <w:rPr/>
        <w:t>amended</w:t>
      </w:r>
      <w:r>
        <w:rPr>
          <w:spacing w:val="-7"/>
        </w:rPr>
        <w:t> </w:t>
      </w:r>
      <w:r>
        <w:rPr/>
        <w:t>to</w:t>
      </w:r>
      <w:r>
        <w:rPr>
          <w:spacing w:val="-7"/>
        </w:rPr>
        <w:t> </w:t>
      </w:r>
      <w:r>
        <w:rPr/>
        <w:t>implement specific protections against intersectional and multiple discrimination and</w:t>
      </w:r>
    </w:p>
    <w:p>
      <w:pPr>
        <w:pStyle w:val="BodyText"/>
        <w:spacing w:line="225" w:lineRule="auto"/>
        <w:ind w:left="1853" w:right="1438"/>
      </w:pPr>
      <w:r>
        <w:rPr/>
        <w:t>to</w:t>
      </w:r>
      <w:r>
        <w:rPr>
          <w:spacing w:val="-7"/>
        </w:rPr>
        <w:t> </w:t>
      </w:r>
      <w:r>
        <w:rPr/>
        <w:t>require</w:t>
      </w:r>
      <w:r>
        <w:rPr>
          <w:spacing w:val="-6"/>
        </w:rPr>
        <w:t> </w:t>
      </w:r>
      <w:r>
        <w:rPr/>
        <w:t>all</w:t>
      </w:r>
      <w:r>
        <w:rPr>
          <w:spacing w:val="-7"/>
        </w:rPr>
        <w:t> </w:t>
      </w:r>
      <w:r>
        <w:rPr/>
        <w:t>jurisdictions</w:t>
      </w:r>
      <w:r>
        <w:rPr>
          <w:spacing w:val="-7"/>
        </w:rPr>
        <w:t> </w:t>
      </w:r>
      <w:r>
        <w:rPr/>
        <w:t>to</w:t>
      </w:r>
      <w:r>
        <w:rPr>
          <w:spacing w:val="-7"/>
        </w:rPr>
        <w:t> </w:t>
      </w:r>
      <w:r>
        <w:rPr/>
        <w:t>which</w:t>
      </w:r>
      <w:r>
        <w:rPr>
          <w:spacing w:val="-7"/>
        </w:rPr>
        <w:t> </w:t>
      </w:r>
      <w:r>
        <w:rPr/>
        <w:t>the</w:t>
      </w:r>
      <w:r>
        <w:rPr>
          <w:spacing w:val="-6"/>
        </w:rPr>
        <w:t> </w:t>
      </w:r>
      <w:r>
        <w:rPr/>
        <w:t>EU</w:t>
      </w:r>
      <w:r>
        <w:rPr>
          <w:spacing w:val="-6"/>
        </w:rPr>
        <w:t> </w:t>
      </w:r>
      <w:r>
        <w:rPr/>
        <w:t>Directive</w:t>
      </w:r>
      <w:r>
        <w:rPr>
          <w:spacing w:val="-6"/>
        </w:rPr>
        <w:t> </w:t>
      </w:r>
      <w:r>
        <w:rPr/>
        <w:t>applies</w:t>
      </w:r>
      <w:r>
        <w:rPr>
          <w:spacing w:val="-7"/>
        </w:rPr>
        <w:t> </w:t>
      </w:r>
      <w:r>
        <w:rPr/>
        <w:t>to</w:t>
      </w:r>
      <w:r>
        <w:rPr>
          <w:spacing w:val="-7"/>
        </w:rPr>
        <w:t> </w:t>
      </w:r>
      <w:r>
        <w:rPr/>
        <w:t>take</w:t>
      </w:r>
      <w:r>
        <w:rPr>
          <w:spacing w:val="-6"/>
        </w:rPr>
        <w:t> </w:t>
      </w:r>
      <w:r>
        <w:rPr/>
        <w:t>steps</w:t>
      </w:r>
      <w:r>
        <w:rPr>
          <w:spacing w:val="-7"/>
        </w:rPr>
        <w:t> </w:t>
      </w:r>
      <w:r>
        <w:rPr/>
        <w:t>to strengthen, simplify and harmonise anti-discrimination protections across all protected categories.</w:t>
      </w:r>
      <w:r>
        <w:rPr>
          <w:vertAlign w:val="superscript"/>
        </w:rPr>
        <w:t>160</w:t>
      </w:r>
      <w:r>
        <w:rPr>
          <w:spacing w:val="40"/>
          <w:vertAlign w:val="baseline"/>
        </w:rPr>
        <w:t> </w:t>
      </w:r>
      <w:r>
        <w:rPr>
          <w:vertAlign w:val="baseline"/>
        </w:rPr>
        <w:t>The ECNI highlighted the need to introduce protection against intersectional multiple discrimination so that there is protection for individuals who experience discrimination or harassment because of a combination of equality grounds, including racial grounds.</w:t>
      </w:r>
      <w:r>
        <w:rPr>
          <w:vertAlign w:val="superscript"/>
        </w:rPr>
        <w:t>161</w:t>
      </w:r>
    </w:p>
    <w:p>
      <w:pPr>
        <w:pStyle w:val="ListParagraph"/>
        <w:numPr>
          <w:ilvl w:val="1"/>
          <w:numId w:val="7"/>
        </w:numPr>
        <w:tabs>
          <w:tab w:pos="1853" w:val="left" w:leader="none"/>
        </w:tabs>
        <w:spacing w:line="225" w:lineRule="auto" w:before="301" w:after="0"/>
        <w:ind w:left="1853" w:right="1361" w:hanging="720"/>
        <w:jc w:val="left"/>
        <w:rPr>
          <w:sz w:val="28"/>
        </w:rPr>
      </w:pPr>
      <w:r>
        <w:rPr>
          <w:sz w:val="28"/>
        </w:rPr>
        <w:t>In</w:t>
      </w:r>
      <w:r>
        <w:rPr>
          <w:spacing w:val="-2"/>
          <w:sz w:val="28"/>
        </w:rPr>
        <w:t> </w:t>
      </w:r>
      <w:r>
        <w:rPr>
          <w:sz w:val="28"/>
        </w:rPr>
        <w:t>2022,</w:t>
      </w:r>
      <w:r>
        <w:rPr>
          <w:spacing w:val="-1"/>
          <w:sz w:val="28"/>
        </w:rPr>
        <w:t> </w:t>
      </w:r>
      <w:r>
        <w:rPr>
          <w:sz w:val="28"/>
        </w:rPr>
        <w:t>the</w:t>
      </w:r>
      <w:r>
        <w:rPr>
          <w:spacing w:val="-2"/>
          <w:sz w:val="28"/>
        </w:rPr>
        <w:t> </w:t>
      </w:r>
      <w:r>
        <w:rPr>
          <w:sz w:val="28"/>
        </w:rPr>
        <w:t>ECNI</w:t>
      </w:r>
      <w:r>
        <w:rPr>
          <w:spacing w:val="-1"/>
          <w:sz w:val="28"/>
        </w:rPr>
        <w:t> </w:t>
      </w:r>
      <w:r>
        <w:rPr>
          <w:sz w:val="28"/>
        </w:rPr>
        <w:t>published</w:t>
      </w:r>
      <w:r>
        <w:rPr>
          <w:spacing w:val="-2"/>
          <w:sz w:val="28"/>
        </w:rPr>
        <w:t> </w:t>
      </w:r>
      <w:r>
        <w:rPr>
          <w:sz w:val="28"/>
        </w:rPr>
        <w:t>a</w:t>
      </w:r>
      <w:r>
        <w:rPr>
          <w:spacing w:val="-2"/>
          <w:sz w:val="28"/>
        </w:rPr>
        <w:t> </w:t>
      </w:r>
      <w:r>
        <w:rPr>
          <w:sz w:val="28"/>
        </w:rPr>
        <w:t>position</w:t>
      </w:r>
      <w:r>
        <w:rPr>
          <w:spacing w:val="-2"/>
          <w:sz w:val="28"/>
        </w:rPr>
        <w:t> </w:t>
      </w:r>
      <w:r>
        <w:rPr>
          <w:sz w:val="28"/>
        </w:rPr>
        <w:t>paper</w:t>
      </w:r>
      <w:r>
        <w:rPr>
          <w:spacing w:val="-1"/>
          <w:sz w:val="28"/>
        </w:rPr>
        <w:t> </w:t>
      </w:r>
      <w:r>
        <w:rPr>
          <w:sz w:val="28"/>
        </w:rPr>
        <w:t>recommending</w:t>
      </w:r>
      <w:r>
        <w:rPr>
          <w:spacing w:val="-2"/>
          <w:sz w:val="28"/>
        </w:rPr>
        <w:t> </w:t>
      </w:r>
      <w:r>
        <w:rPr>
          <w:sz w:val="28"/>
        </w:rPr>
        <w:t>the</w:t>
      </w:r>
      <w:r>
        <w:rPr>
          <w:spacing w:val="-1"/>
          <w:sz w:val="28"/>
        </w:rPr>
        <w:t> </w:t>
      </w:r>
      <w:r>
        <w:rPr>
          <w:sz w:val="28"/>
        </w:rPr>
        <w:t>adoption</w:t>
      </w:r>
      <w:r>
        <w:rPr>
          <w:spacing w:val="-2"/>
          <w:sz w:val="28"/>
        </w:rPr>
        <w:t> </w:t>
      </w:r>
      <w:r>
        <w:rPr>
          <w:sz w:val="28"/>
        </w:rPr>
        <w:t>of a</w:t>
      </w:r>
      <w:r>
        <w:rPr>
          <w:spacing w:val="-8"/>
          <w:sz w:val="28"/>
        </w:rPr>
        <w:t> </w:t>
      </w:r>
      <w:r>
        <w:rPr>
          <w:sz w:val="28"/>
        </w:rPr>
        <w:t>Single</w:t>
      </w:r>
      <w:r>
        <w:rPr>
          <w:spacing w:val="-7"/>
          <w:sz w:val="28"/>
        </w:rPr>
        <w:t> </w:t>
      </w:r>
      <w:r>
        <w:rPr>
          <w:sz w:val="28"/>
        </w:rPr>
        <w:t>Equality</w:t>
      </w:r>
      <w:r>
        <w:rPr>
          <w:spacing w:val="-7"/>
          <w:sz w:val="28"/>
        </w:rPr>
        <w:t> </w:t>
      </w:r>
      <w:r>
        <w:rPr>
          <w:sz w:val="28"/>
        </w:rPr>
        <w:t>Act</w:t>
      </w:r>
      <w:r>
        <w:rPr>
          <w:spacing w:val="-7"/>
          <w:sz w:val="28"/>
        </w:rPr>
        <w:t> </w:t>
      </w:r>
      <w:r>
        <w:rPr>
          <w:sz w:val="28"/>
        </w:rPr>
        <w:t>for</w:t>
      </w:r>
      <w:r>
        <w:rPr>
          <w:spacing w:val="-7"/>
          <w:sz w:val="28"/>
        </w:rPr>
        <w:t> </w:t>
      </w:r>
      <w:r>
        <w:rPr>
          <w:sz w:val="28"/>
        </w:rPr>
        <w:t>NI</w:t>
      </w:r>
      <w:r>
        <w:rPr>
          <w:spacing w:val="-7"/>
          <w:sz w:val="28"/>
        </w:rPr>
        <w:t> </w:t>
      </w:r>
      <w:r>
        <w:rPr>
          <w:sz w:val="28"/>
        </w:rPr>
        <w:t>that</w:t>
      </w:r>
      <w:r>
        <w:rPr>
          <w:spacing w:val="-7"/>
          <w:sz w:val="28"/>
        </w:rPr>
        <w:t> </w:t>
      </w:r>
      <w:r>
        <w:rPr>
          <w:sz w:val="28"/>
        </w:rPr>
        <w:t>reflects</w:t>
      </w:r>
      <w:r>
        <w:rPr>
          <w:spacing w:val="-8"/>
          <w:sz w:val="28"/>
        </w:rPr>
        <w:t> </w:t>
      </w:r>
      <w:r>
        <w:rPr>
          <w:sz w:val="28"/>
        </w:rPr>
        <w:t>international</w:t>
      </w:r>
      <w:r>
        <w:rPr>
          <w:spacing w:val="-8"/>
          <w:sz w:val="28"/>
        </w:rPr>
        <w:t> </w:t>
      </w:r>
      <w:r>
        <w:rPr>
          <w:sz w:val="28"/>
        </w:rPr>
        <w:t>human</w:t>
      </w:r>
      <w:r>
        <w:rPr>
          <w:spacing w:val="-8"/>
          <w:sz w:val="28"/>
        </w:rPr>
        <w:t> </w:t>
      </w:r>
      <w:r>
        <w:rPr>
          <w:sz w:val="28"/>
        </w:rPr>
        <w:t>rights</w:t>
      </w:r>
      <w:r>
        <w:rPr>
          <w:spacing w:val="-8"/>
          <w:sz w:val="28"/>
        </w:rPr>
        <w:t> </w:t>
      </w:r>
      <w:r>
        <w:rPr>
          <w:sz w:val="28"/>
        </w:rPr>
        <w:t>standards</w:t>
      </w:r>
    </w:p>
    <w:p>
      <w:pPr>
        <w:pStyle w:val="BodyText"/>
        <w:spacing w:before="7"/>
        <w:rPr>
          <w:sz w:val="4"/>
        </w:rPr>
      </w:pPr>
      <w:r>
        <w:rPr/>
        <mc:AlternateContent>
          <mc:Choice Requires="wps">
            <w:drawing>
              <wp:anchor distT="0" distB="0" distL="0" distR="0" allowOverlap="1" layoutInCell="1" locked="0" behindDoc="1" simplePos="0" relativeHeight="487644160">
                <wp:simplePos x="0" y="0"/>
                <wp:positionH relativeFrom="page">
                  <wp:posOffset>719999</wp:posOffset>
                </wp:positionH>
                <wp:positionV relativeFrom="paragraph">
                  <wp:posOffset>51188</wp:posOffset>
                </wp:positionV>
                <wp:extent cx="6120130" cy="1270"/>
                <wp:effectExtent l="0" t="0" r="0" b="0"/>
                <wp:wrapTopAndBottom/>
                <wp:docPr id="197" name="Graphic 197"/>
                <wp:cNvGraphicFramePr>
                  <a:graphicFrameLocks/>
                </wp:cNvGraphicFramePr>
                <a:graphic>
                  <a:graphicData uri="http://schemas.microsoft.com/office/word/2010/wordprocessingShape">
                    <wps:wsp>
                      <wps:cNvPr id="197" name="Graphic 197"/>
                      <wps:cNvSpPr/>
                      <wps:spPr>
                        <a:xfrm>
                          <a:off x="0" y="0"/>
                          <a:ext cx="6120130" cy="1270"/>
                        </a:xfrm>
                        <a:custGeom>
                          <a:avLst/>
                          <a:gdLst/>
                          <a:ahLst/>
                          <a:cxnLst/>
                          <a:rect l="l" t="t" r="r" b="b"/>
                          <a:pathLst>
                            <a:path w="6120130" h="0">
                              <a:moveTo>
                                <a:pt x="0" y="0"/>
                              </a:moveTo>
                              <a:lnTo>
                                <a:pt x="6120003"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4.030575pt;width:481.9pt;height:.1pt;mso-position-horizontal-relative:page;mso-position-vertical-relative:paragraph;z-index:-15672320;mso-wrap-distance-left:0;mso-wrap-distance-right:0" id="docshape153" coordorigin="1134,81" coordsize="9638,0" path="m1134,81l10772,81e" filled="false" stroked="true" strokeweight="1pt" strokecolor="#393b7f">
                <v:path arrowok="t"/>
                <v:stroke dashstyle="solid"/>
                <w10:wrap type="topAndBottom"/>
              </v:shape>
            </w:pict>
          </mc:Fallback>
        </mc:AlternateContent>
      </w:r>
    </w:p>
    <w:p>
      <w:pPr>
        <w:pStyle w:val="ListParagraph"/>
        <w:numPr>
          <w:ilvl w:val="0"/>
          <w:numId w:val="3"/>
        </w:numPr>
        <w:tabs>
          <w:tab w:pos="1853" w:val="left" w:leader="none"/>
        </w:tabs>
        <w:spacing w:line="235" w:lineRule="auto" w:before="70" w:after="0"/>
        <w:ind w:left="1853" w:right="1177" w:hanging="720"/>
        <w:jc w:val="left"/>
        <w:rPr>
          <w:sz w:val="18"/>
        </w:rPr>
      </w:pPr>
      <w:r>
        <w:rPr>
          <w:sz w:val="18"/>
        </w:rPr>
        <w:t>NI Human Rights Commission, ‘Submission to the Advisory Committee on the Framework Convention for the protection</w:t>
      </w:r>
      <w:r>
        <w:rPr>
          <w:sz w:val="18"/>
        </w:rPr>
        <w:t> of</w:t>
      </w:r>
      <w:r>
        <w:rPr>
          <w:spacing w:val="-5"/>
          <w:sz w:val="18"/>
        </w:rPr>
        <w:t> </w:t>
      </w:r>
      <w:r>
        <w:rPr>
          <w:sz w:val="18"/>
        </w:rPr>
        <w:t>National</w:t>
      </w:r>
      <w:r>
        <w:rPr>
          <w:spacing w:val="-5"/>
          <w:sz w:val="18"/>
        </w:rPr>
        <w:t> </w:t>
      </w:r>
      <w:r>
        <w:rPr>
          <w:sz w:val="18"/>
        </w:rPr>
        <w:t>Minorities</w:t>
      </w:r>
      <w:r>
        <w:rPr>
          <w:spacing w:val="-5"/>
          <w:sz w:val="18"/>
        </w:rPr>
        <w:t> </w:t>
      </w:r>
      <w:r>
        <w:rPr>
          <w:sz w:val="18"/>
        </w:rPr>
        <w:t>–</w:t>
      </w:r>
      <w:r>
        <w:rPr>
          <w:spacing w:val="-5"/>
          <w:sz w:val="18"/>
        </w:rPr>
        <w:t> </w:t>
      </w:r>
      <w:r>
        <w:rPr>
          <w:sz w:val="18"/>
        </w:rPr>
        <w:t>Parallel</w:t>
      </w:r>
      <w:r>
        <w:rPr>
          <w:spacing w:val="-5"/>
          <w:sz w:val="18"/>
        </w:rPr>
        <w:t> </w:t>
      </w:r>
      <w:r>
        <w:rPr>
          <w:sz w:val="18"/>
        </w:rPr>
        <w:t>Report</w:t>
      </w:r>
      <w:r>
        <w:rPr>
          <w:spacing w:val="-4"/>
          <w:sz w:val="18"/>
        </w:rPr>
        <w:t> </w:t>
      </w:r>
      <w:r>
        <w:rPr>
          <w:sz w:val="18"/>
        </w:rPr>
        <w:t>to</w:t>
      </w:r>
      <w:r>
        <w:rPr>
          <w:spacing w:val="-5"/>
          <w:sz w:val="18"/>
        </w:rPr>
        <w:t> </w:t>
      </w:r>
      <w:r>
        <w:rPr>
          <w:sz w:val="18"/>
        </w:rPr>
        <w:t>the</w:t>
      </w:r>
      <w:r>
        <w:rPr>
          <w:spacing w:val="-4"/>
          <w:sz w:val="18"/>
        </w:rPr>
        <w:t> </w:t>
      </w:r>
      <w:r>
        <w:rPr>
          <w:sz w:val="18"/>
        </w:rPr>
        <w:t>Advisory</w:t>
      </w:r>
      <w:r>
        <w:rPr>
          <w:spacing w:val="-4"/>
          <w:sz w:val="18"/>
        </w:rPr>
        <w:t> </w:t>
      </w:r>
      <w:r>
        <w:rPr>
          <w:sz w:val="18"/>
        </w:rPr>
        <w:t>Committee</w:t>
      </w:r>
      <w:r>
        <w:rPr>
          <w:spacing w:val="-4"/>
          <w:sz w:val="18"/>
        </w:rPr>
        <w:t> </w:t>
      </w:r>
      <w:r>
        <w:rPr>
          <w:sz w:val="18"/>
        </w:rPr>
        <w:t>on</w:t>
      </w:r>
      <w:r>
        <w:rPr>
          <w:spacing w:val="-5"/>
          <w:sz w:val="18"/>
        </w:rPr>
        <w:t> </w:t>
      </w:r>
      <w:r>
        <w:rPr>
          <w:sz w:val="18"/>
        </w:rPr>
        <w:t>the</w:t>
      </w:r>
      <w:r>
        <w:rPr>
          <w:spacing w:val="-4"/>
          <w:sz w:val="18"/>
        </w:rPr>
        <w:t> </w:t>
      </w:r>
      <w:r>
        <w:rPr>
          <w:sz w:val="18"/>
        </w:rPr>
        <w:t>Fifth</w:t>
      </w:r>
      <w:r>
        <w:rPr>
          <w:spacing w:val="-5"/>
          <w:sz w:val="18"/>
        </w:rPr>
        <w:t> </w:t>
      </w:r>
      <w:r>
        <w:rPr>
          <w:sz w:val="18"/>
        </w:rPr>
        <w:t>Monitoring</w:t>
      </w:r>
      <w:r>
        <w:rPr>
          <w:spacing w:val="-4"/>
          <w:sz w:val="18"/>
        </w:rPr>
        <w:t> </w:t>
      </w:r>
      <w:r>
        <w:rPr>
          <w:sz w:val="18"/>
        </w:rPr>
        <w:t>Report</w:t>
      </w:r>
      <w:r>
        <w:rPr>
          <w:spacing w:val="-4"/>
          <w:sz w:val="18"/>
        </w:rPr>
        <w:t> </w:t>
      </w:r>
      <w:r>
        <w:rPr>
          <w:sz w:val="18"/>
        </w:rPr>
        <w:t>of</w:t>
      </w:r>
      <w:r>
        <w:rPr>
          <w:spacing w:val="-5"/>
          <w:sz w:val="18"/>
        </w:rPr>
        <w:t> </w:t>
      </w:r>
      <w:r>
        <w:rPr>
          <w:sz w:val="18"/>
        </w:rPr>
        <w:t>the</w:t>
      </w:r>
      <w:r>
        <w:rPr>
          <w:spacing w:val="-4"/>
          <w:sz w:val="18"/>
        </w:rPr>
        <w:t> </w:t>
      </w:r>
      <w:r>
        <w:rPr>
          <w:sz w:val="18"/>
        </w:rPr>
        <w:t>United</w:t>
      </w:r>
      <w:r>
        <w:rPr>
          <w:spacing w:val="-5"/>
          <w:sz w:val="18"/>
        </w:rPr>
        <w:t> </w:t>
      </w:r>
      <w:r>
        <w:rPr>
          <w:sz w:val="18"/>
        </w:rPr>
        <w:t>Kingdom’ (NIHRC, 2022), at para 4.1.</w:t>
      </w:r>
    </w:p>
    <w:p>
      <w:pPr>
        <w:pStyle w:val="ListParagraph"/>
        <w:numPr>
          <w:ilvl w:val="0"/>
          <w:numId w:val="3"/>
        </w:numPr>
        <w:tabs>
          <w:tab w:pos="1853" w:val="left" w:leader="none"/>
        </w:tabs>
        <w:spacing w:line="235" w:lineRule="auto" w:before="2" w:after="0"/>
        <w:ind w:left="1853" w:right="1223" w:hanging="720"/>
        <w:jc w:val="left"/>
        <w:rPr>
          <w:sz w:val="18"/>
        </w:rPr>
      </w:pPr>
      <w:r>
        <w:rPr>
          <w:sz w:val="18"/>
        </w:rPr>
        <w:t>Equality Commission for NI, ’Shadow Report from the Equality Commission for Northern Ireland to the Advisory Committee</w:t>
      </w:r>
      <w:r>
        <w:rPr>
          <w:spacing w:val="-5"/>
          <w:sz w:val="18"/>
        </w:rPr>
        <w:t> </w:t>
      </w:r>
      <w:r>
        <w:rPr>
          <w:sz w:val="18"/>
        </w:rPr>
        <w:t>for</w:t>
      </w:r>
      <w:r>
        <w:rPr>
          <w:spacing w:val="-5"/>
          <w:sz w:val="18"/>
        </w:rPr>
        <w:t> </w:t>
      </w:r>
      <w:r>
        <w:rPr>
          <w:sz w:val="18"/>
        </w:rPr>
        <w:t>the</w:t>
      </w:r>
      <w:r>
        <w:rPr>
          <w:spacing w:val="-5"/>
          <w:sz w:val="18"/>
        </w:rPr>
        <w:t> </w:t>
      </w:r>
      <w:r>
        <w:rPr>
          <w:sz w:val="18"/>
        </w:rPr>
        <w:t>Framework</w:t>
      </w:r>
      <w:r>
        <w:rPr>
          <w:spacing w:val="-5"/>
          <w:sz w:val="18"/>
        </w:rPr>
        <w:t> </w:t>
      </w:r>
      <w:r>
        <w:rPr>
          <w:sz w:val="18"/>
        </w:rPr>
        <w:t>Convention</w:t>
      </w:r>
      <w:r>
        <w:rPr>
          <w:spacing w:val="-6"/>
          <w:sz w:val="18"/>
        </w:rPr>
        <w:t> </w:t>
      </w:r>
      <w:r>
        <w:rPr>
          <w:sz w:val="18"/>
        </w:rPr>
        <w:t>for</w:t>
      </w:r>
      <w:r>
        <w:rPr>
          <w:spacing w:val="-5"/>
          <w:sz w:val="18"/>
        </w:rPr>
        <w:t> </w:t>
      </w:r>
      <w:r>
        <w:rPr>
          <w:sz w:val="18"/>
        </w:rPr>
        <w:t>the</w:t>
      </w:r>
      <w:r>
        <w:rPr>
          <w:spacing w:val="-5"/>
          <w:sz w:val="18"/>
        </w:rPr>
        <w:t> </w:t>
      </w:r>
      <w:r>
        <w:rPr>
          <w:sz w:val="18"/>
        </w:rPr>
        <w:t>Protection</w:t>
      </w:r>
      <w:r>
        <w:rPr>
          <w:spacing w:val="-6"/>
          <w:sz w:val="18"/>
        </w:rPr>
        <w:t> </w:t>
      </w:r>
      <w:r>
        <w:rPr>
          <w:sz w:val="18"/>
        </w:rPr>
        <w:t>of</w:t>
      </w:r>
      <w:r>
        <w:rPr>
          <w:spacing w:val="-6"/>
          <w:sz w:val="18"/>
        </w:rPr>
        <w:t> </w:t>
      </w:r>
      <w:r>
        <w:rPr>
          <w:sz w:val="18"/>
        </w:rPr>
        <w:t>National</w:t>
      </w:r>
      <w:r>
        <w:rPr>
          <w:spacing w:val="-6"/>
          <w:sz w:val="18"/>
        </w:rPr>
        <w:t> </w:t>
      </w:r>
      <w:r>
        <w:rPr>
          <w:sz w:val="18"/>
        </w:rPr>
        <w:t>Minorities</w:t>
      </w:r>
      <w:r>
        <w:rPr>
          <w:spacing w:val="-6"/>
          <w:sz w:val="18"/>
        </w:rPr>
        <w:t> </w:t>
      </w:r>
      <w:r>
        <w:rPr>
          <w:sz w:val="18"/>
        </w:rPr>
        <w:t>on</w:t>
      </w:r>
      <w:r>
        <w:rPr>
          <w:spacing w:val="-6"/>
          <w:sz w:val="18"/>
        </w:rPr>
        <w:t> </w:t>
      </w:r>
      <w:r>
        <w:rPr>
          <w:sz w:val="18"/>
        </w:rPr>
        <w:t>the</w:t>
      </w:r>
      <w:r>
        <w:rPr>
          <w:spacing w:val="-5"/>
          <w:sz w:val="18"/>
        </w:rPr>
        <w:t> </w:t>
      </w:r>
      <w:r>
        <w:rPr>
          <w:sz w:val="18"/>
        </w:rPr>
        <w:t>Fifth</w:t>
      </w:r>
      <w:r>
        <w:rPr>
          <w:spacing w:val="-6"/>
          <w:sz w:val="18"/>
        </w:rPr>
        <w:t> </w:t>
      </w:r>
      <w:r>
        <w:rPr>
          <w:sz w:val="18"/>
        </w:rPr>
        <w:t>Monitoring</w:t>
      </w:r>
      <w:r>
        <w:rPr>
          <w:spacing w:val="-5"/>
          <w:sz w:val="18"/>
        </w:rPr>
        <w:t> </w:t>
      </w:r>
      <w:r>
        <w:rPr>
          <w:sz w:val="18"/>
        </w:rPr>
        <w:t>Report</w:t>
      </w:r>
      <w:r>
        <w:rPr>
          <w:spacing w:val="-5"/>
          <w:sz w:val="18"/>
        </w:rPr>
        <w:t> </w:t>
      </w:r>
      <w:r>
        <w:rPr>
          <w:sz w:val="18"/>
        </w:rPr>
        <w:t>of</w:t>
      </w:r>
      <w:r>
        <w:rPr>
          <w:spacing w:val="-6"/>
          <w:sz w:val="18"/>
        </w:rPr>
        <w:t> </w:t>
      </w:r>
      <w:r>
        <w:rPr>
          <w:sz w:val="18"/>
        </w:rPr>
        <w:t>the United Kingdom‘ (ECNI, 2022), at para 5.16.</w:t>
      </w:r>
    </w:p>
    <w:p>
      <w:pPr>
        <w:pStyle w:val="ListParagraph"/>
        <w:numPr>
          <w:ilvl w:val="0"/>
          <w:numId w:val="3"/>
        </w:numPr>
        <w:tabs>
          <w:tab w:pos="1853" w:val="left" w:leader="none"/>
        </w:tabs>
        <w:spacing w:line="235" w:lineRule="auto" w:before="2" w:after="0"/>
        <w:ind w:left="1853" w:right="1431" w:hanging="720"/>
        <w:jc w:val="left"/>
        <w:rPr>
          <w:sz w:val="18"/>
        </w:rPr>
      </w:pPr>
      <w:r>
        <w:rPr>
          <w:sz w:val="18"/>
        </w:rPr>
        <w:t>Advisory</w:t>
      </w:r>
      <w:r>
        <w:rPr>
          <w:spacing w:val="-5"/>
          <w:sz w:val="18"/>
        </w:rPr>
        <w:t> </w:t>
      </w:r>
      <w:r>
        <w:rPr>
          <w:sz w:val="18"/>
        </w:rPr>
        <w:t>Committee</w:t>
      </w:r>
      <w:r>
        <w:rPr>
          <w:spacing w:val="-5"/>
          <w:sz w:val="18"/>
        </w:rPr>
        <w:t> </w:t>
      </w:r>
      <w:r>
        <w:rPr>
          <w:sz w:val="18"/>
        </w:rPr>
        <w:t>on</w:t>
      </w:r>
      <w:r>
        <w:rPr>
          <w:spacing w:val="-6"/>
          <w:sz w:val="18"/>
        </w:rPr>
        <w:t> </w:t>
      </w:r>
      <w:r>
        <w:rPr>
          <w:sz w:val="18"/>
        </w:rPr>
        <w:t>the</w:t>
      </w:r>
      <w:r>
        <w:rPr>
          <w:spacing w:val="-5"/>
          <w:sz w:val="18"/>
        </w:rPr>
        <w:t> </w:t>
      </w:r>
      <w:r>
        <w:rPr>
          <w:sz w:val="18"/>
        </w:rPr>
        <w:t>Framework</w:t>
      </w:r>
      <w:r>
        <w:rPr>
          <w:spacing w:val="-5"/>
          <w:sz w:val="18"/>
        </w:rPr>
        <w:t> </w:t>
      </w:r>
      <w:r>
        <w:rPr>
          <w:sz w:val="18"/>
        </w:rPr>
        <w:t>Convention</w:t>
      </w:r>
      <w:r>
        <w:rPr>
          <w:spacing w:val="-6"/>
          <w:sz w:val="18"/>
        </w:rPr>
        <w:t> </w:t>
      </w:r>
      <w:r>
        <w:rPr>
          <w:sz w:val="18"/>
        </w:rPr>
        <w:t>for</w:t>
      </w:r>
      <w:r>
        <w:rPr>
          <w:spacing w:val="-5"/>
          <w:sz w:val="18"/>
        </w:rPr>
        <w:t> </w:t>
      </w:r>
      <w:r>
        <w:rPr>
          <w:sz w:val="18"/>
        </w:rPr>
        <w:t>the</w:t>
      </w:r>
      <w:r>
        <w:rPr>
          <w:spacing w:val="-5"/>
          <w:sz w:val="18"/>
        </w:rPr>
        <w:t> </w:t>
      </w:r>
      <w:r>
        <w:rPr>
          <w:sz w:val="18"/>
        </w:rPr>
        <w:t>Protection</w:t>
      </w:r>
      <w:r>
        <w:rPr>
          <w:spacing w:val="-6"/>
          <w:sz w:val="18"/>
        </w:rPr>
        <w:t> </w:t>
      </w:r>
      <w:r>
        <w:rPr>
          <w:sz w:val="18"/>
        </w:rPr>
        <w:t>of</w:t>
      </w:r>
      <w:r>
        <w:rPr>
          <w:spacing w:val="-6"/>
          <w:sz w:val="18"/>
        </w:rPr>
        <w:t> </w:t>
      </w:r>
      <w:r>
        <w:rPr>
          <w:sz w:val="18"/>
        </w:rPr>
        <w:t>National</w:t>
      </w:r>
      <w:r>
        <w:rPr>
          <w:spacing w:val="-6"/>
          <w:sz w:val="18"/>
        </w:rPr>
        <w:t> </w:t>
      </w:r>
      <w:r>
        <w:rPr>
          <w:sz w:val="18"/>
        </w:rPr>
        <w:t>Minorities,</w:t>
      </w:r>
      <w:r>
        <w:rPr>
          <w:spacing w:val="-5"/>
          <w:sz w:val="18"/>
        </w:rPr>
        <w:t> </w:t>
      </w:r>
      <w:r>
        <w:rPr>
          <w:sz w:val="18"/>
        </w:rPr>
        <w:t>’Fifth</w:t>
      </w:r>
      <w:r>
        <w:rPr>
          <w:spacing w:val="-6"/>
          <w:sz w:val="18"/>
        </w:rPr>
        <w:t> </w:t>
      </w:r>
      <w:r>
        <w:rPr>
          <w:sz w:val="18"/>
        </w:rPr>
        <w:t>Opinion</w:t>
      </w:r>
      <w:r>
        <w:rPr>
          <w:spacing w:val="-6"/>
          <w:sz w:val="18"/>
        </w:rPr>
        <w:t> </w:t>
      </w:r>
      <w:r>
        <w:rPr>
          <w:sz w:val="18"/>
        </w:rPr>
        <w:t>the</w:t>
      </w:r>
      <w:r>
        <w:rPr>
          <w:spacing w:val="-5"/>
          <w:sz w:val="18"/>
        </w:rPr>
        <w:t> </w:t>
      </w:r>
      <w:r>
        <w:rPr>
          <w:sz w:val="18"/>
        </w:rPr>
        <w:t>United Kingdom‘ (CoE, 2023), at para 63.</w:t>
      </w:r>
    </w:p>
    <w:p>
      <w:pPr>
        <w:pStyle w:val="ListParagraph"/>
        <w:numPr>
          <w:ilvl w:val="0"/>
          <w:numId w:val="3"/>
        </w:numPr>
        <w:tabs>
          <w:tab w:pos="1853" w:val="left" w:leader="none"/>
        </w:tabs>
        <w:spacing w:line="235" w:lineRule="auto" w:before="1" w:after="0"/>
        <w:ind w:left="1853" w:right="1401" w:hanging="720"/>
        <w:jc w:val="left"/>
        <w:rPr>
          <w:sz w:val="18"/>
        </w:rPr>
      </w:pPr>
      <w:r>
        <w:rPr>
          <w:sz w:val="18"/>
        </w:rPr>
        <w:t>Advisory</w:t>
      </w:r>
      <w:r>
        <w:rPr>
          <w:spacing w:val="-5"/>
          <w:sz w:val="18"/>
        </w:rPr>
        <w:t> </w:t>
      </w:r>
      <w:r>
        <w:rPr>
          <w:sz w:val="18"/>
        </w:rPr>
        <w:t>Committee</w:t>
      </w:r>
      <w:r>
        <w:rPr>
          <w:spacing w:val="-5"/>
          <w:sz w:val="18"/>
        </w:rPr>
        <w:t> </w:t>
      </w:r>
      <w:r>
        <w:rPr>
          <w:sz w:val="18"/>
        </w:rPr>
        <w:t>on</w:t>
      </w:r>
      <w:r>
        <w:rPr>
          <w:spacing w:val="-6"/>
          <w:sz w:val="18"/>
        </w:rPr>
        <w:t> </w:t>
      </w:r>
      <w:r>
        <w:rPr>
          <w:sz w:val="18"/>
        </w:rPr>
        <w:t>the</w:t>
      </w:r>
      <w:r>
        <w:rPr>
          <w:spacing w:val="-5"/>
          <w:sz w:val="18"/>
        </w:rPr>
        <w:t> </w:t>
      </w:r>
      <w:r>
        <w:rPr>
          <w:sz w:val="18"/>
        </w:rPr>
        <w:t>Framework</w:t>
      </w:r>
      <w:r>
        <w:rPr>
          <w:spacing w:val="-5"/>
          <w:sz w:val="18"/>
        </w:rPr>
        <w:t> </w:t>
      </w:r>
      <w:r>
        <w:rPr>
          <w:sz w:val="18"/>
        </w:rPr>
        <w:t>Convention</w:t>
      </w:r>
      <w:r>
        <w:rPr>
          <w:spacing w:val="-6"/>
          <w:sz w:val="18"/>
        </w:rPr>
        <w:t> </w:t>
      </w:r>
      <w:r>
        <w:rPr>
          <w:sz w:val="18"/>
        </w:rPr>
        <w:t>for</w:t>
      </w:r>
      <w:r>
        <w:rPr>
          <w:spacing w:val="-5"/>
          <w:sz w:val="18"/>
        </w:rPr>
        <w:t> </w:t>
      </w:r>
      <w:r>
        <w:rPr>
          <w:sz w:val="18"/>
        </w:rPr>
        <w:t>the</w:t>
      </w:r>
      <w:r>
        <w:rPr>
          <w:spacing w:val="-5"/>
          <w:sz w:val="18"/>
        </w:rPr>
        <w:t> </w:t>
      </w:r>
      <w:r>
        <w:rPr>
          <w:sz w:val="18"/>
        </w:rPr>
        <w:t>Protection</w:t>
      </w:r>
      <w:r>
        <w:rPr>
          <w:spacing w:val="-6"/>
          <w:sz w:val="18"/>
        </w:rPr>
        <w:t> </w:t>
      </w:r>
      <w:r>
        <w:rPr>
          <w:sz w:val="18"/>
        </w:rPr>
        <w:t>of</w:t>
      </w:r>
      <w:r>
        <w:rPr>
          <w:spacing w:val="-6"/>
          <w:sz w:val="18"/>
        </w:rPr>
        <w:t> </w:t>
      </w:r>
      <w:r>
        <w:rPr>
          <w:sz w:val="18"/>
        </w:rPr>
        <w:t>National</w:t>
      </w:r>
      <w:r>
        <w:rPr>
          <w:spacing w:val="-6"/>
          <w:sz w:val="18"/>
        </w:rPr>
        <w:t> </w:t>
      </w:r>
      <w:r>
        <w:rPr>
          <w:sz w:val="18"/>
        </w:rPr>
        <w:t>Minorities,</w:t>
      </w:r>
      <w:r>
        <w:rPr>
          <w:spacing w:val="-5"/>
          <w:sz w:val="18"/>
        </w:rPr>
        <w:t> </w:t>
      </w:r>
      <w:r>
        <w:rPr>
          <w:sz w:val="18"/>
        </w:rPr>
        <w:t>“</w:t>
      </w:r>
      <w:hyperlink r:id="rId89">
        <w:r>
          <w:rPr>
            <w:sz w:val="18"/>
          </w:rPr>
          <w:t>Fifth</w:t>
        </w:r>
        <w:r>
          <w:rPr>
            <w:spacing w:val="-6"/>
            <w:sz w:val="18"/>
          </w:rPr>
          <w:t> </w:t>
        </w:r>
        <w:r>
          <w:rPr>
            <w:sz w:val="18"/>
          </w:rPr>
          <w:t>Opinion</w:t>
        </w:r>
        <w:r>
          <w:rPr>
            <w:spacing w:val="-6"/>
            <w:sz w:val="18"/>
          </w:rPr>
          <w:t> </w:t>
        </w:r>
        <w:r>
          <w:rPr>
            <w:sz w:val="18"/>
          </w:rPr>
          <w:t>the</w:t>
        </w:r>
        <w:r>
          <w:rPr>
            <w:spacing w:val="-5"/>
            <w:sz w:val="18"/>
          </w:rPr>
          <w:t> </w:t>
        </w:r>
        <w:r>
          <w:rPr>
            <w:sz w:val="18"/>
          </w:rPr>
          <w:t>United</w:t>
        </w:r>
      </w:hyperlink>
      <w:r>
        <w:rPr>
          <w:sz w:val="18"/>
        </w:rPr>
        <w:t> </w:t>
      </w:r>
      <w:hyperlink r:id="rId89">
        <w:r>
          <w:rPr>
            <w:sz w:val="18"/>
          </w:rPr>
          <w:t>Kingdom</w:t>
        </w:r>
      </w:hyperlink>
      <w:r>
        <w:rPr>
          <w:sz w:val="18"/>
        </w:rPr>
        <w:t>” (CoE, 2023), at para 63.</w:t>
      </w:r>
    </w:p>
    <w:p>
      <w:pPr>
        <w:pStyle w:val="ListParagraph"/>
        <w:numPr>
          <w:ilvl w:val="0"/>
          <w:numId w:val="3"/>
        </w:numPr>
        <w:tabs>
          <w:tab w:pos="1853" w:val="left" w:leader="none"/>
        </w:tabs>
        <w:spacing w:line="235" w:lineRule="auto" w:before="1" w:after="0"/>
        <w:ind w:left="1853" w:right="1303" w:hanging="720"/>
        <w:jc w:val="left"/>
        <w:rPr>
          <w:sz w:val="18"/>
        </w:rPr>
      </w:pPr>
      <w:r>
        <w:rPr>
          <w:sz w:val="18"/>
        </w:rPr>
        <w:t>EU</w:t>
      </w:r>
      <w:r>
        <w:rPr>
          <w:spacing w:val="-4"/>
          <w:sz w:val="18"/>
        </w:rPr>
        <w:t> </w:t>
      </w:r>
      <w:r>
        <w:rPr>
          <w:sz w:val="18"/>
        </w:rPr>
        <w:t>Commission,</w:t>
      </w:r>
      <w:r>
        <w:rPr>
          <w:spacing w:val="-4"/>
          <w:sz w:val="18"/>
        </w:rPr>
        <w:t> </w:t>
      </w:r>
      <w:r>
        <w:rPr>
          <w:sz w:val="18"/>
        </w:rPr>
        <w:t>‘Addressing</w:t>
      </w:r>
      <w:r>
        <w:rPr>
          <w:spacing w:val="-4"/>
          <w:sz w:val="18"/>
        </w:rPr>
        <w:t> </w:t>
      </w:r>
      <w:r>
        <w:rPr>
          <w:sz w:val="18"/>
        </w:rPr>
        <w:t>Possible</w:t>
      </w:r>
      <w:r>
        <w:rPr>
          <w:spacing w:val="-4"/>
          <w:sz w:val="18"/>
        </w:rPr>
        <w:t> </w:t>
      </w:r>
      <w:r>
        <w:rPr>
          <w:sz w:val="18"/>
        </w:rPr>
        <w:t>Gaps</w:t>
      </w:r>
      <w:r>
        <w:rPr>
          <w:spacing w:val="-5"/>
          <w:sz w:val="18"/>
        </w:rPr>
        <w:t> </w:t>
      </w:r>
      <w:r>
        <w:rPr>
          <w:sz w:val="18"/>
        </w:rPr>
        <w:t>in</w:t>
      </w:r>
      <w:r>
        <w:rPr>
          <w:spacing w:val="-5"/>
          <w:sz w:val="18"/>
        </w:rPr>
        <w:t> </w:t>
      </w:r>
      <w:r>
        <w:rPr>
          <w:sz w:val="18"/>
        </w:rPr>
        <w:t>the</w:t>
      </w:r>
      <w:r>
        <w:rPr>
          <w:spacing w:val="-4"/>
          <w:sz w:val="18"/>
        </w:rPr>
        <w:t> </w:t>
      </w:r>
      <w:r>
        <w:rPr>
          <w:sz w:val="18"/>
        </w:rPr>
        <w:t>Racial</w:t>
      </w:r>
      <w:r>
        <w:rPr>
          <w:spacing w:val="-5"/>
          <w:sz w:val="18"/>
        </w:rPr>
        <w:t> </w:t>
      </w:r>
      <w:r>
        <w:rPr>
          <w:sz w:val="18"/>
        </w:rPr>
        <w:t>Equality</w:t>
      </w:r>
      <w:r>
        <w:rPr>
          <w:spacing w:val="-4"/>
          <w:sz w:val="18"/>
        </w:rPr>
        <w:t> </w:t>
      </w:r>
      <w:r>
        <w:rPr>
          <w:sz w:val="18"/>
        </w:rPr>
        <w:t>Directive</w:t>
      </w:r>
      <w:r>
        <w:rPr>
          <w:spacing w:val="-4"/>
          <w:sz w:val="18"/>
        </w:rPr>
        <w:t> </w:t>
      </w:r>
      <w:r>
        <w:rPr>
          <w:sz w:val="18"/>
        </w:rPr>
        <w:t>–</w:t>
      </w:r>
      <w:r>
        <w:rPr>
          <w:spacing w:val="-5"/>
          <w:sz w:val="18"/>
        </w:rPr>
        <w:t> </w:t>
      </w:r>
      <w:r>
        <w:rPr>
          <w:sz w:val="18"/>
        </w:rPr>
        <w:t>Public</w:t>
      </w:r>
      <w:r>
        <w:rPr>
          <w:spacing w:val="-4"/>
          <w:sz w:val="18"/>
        </w:rPr>
        <w:t> </w:t>
      </w:r>
      <w:r>
        <w:rPr>
          <w:sz w:val="18"/>
        </w:rPr>
        <w:t>Consultation’</w:t>
      </w:r>
      <w:r>
        <w:rPr>
          <w:spacing w:val="-4"/>
          <w:sz w:val="18"/>
        </w:rPr>
        <w:t> </w:t>
      </w:r>
      <w:r>
        <w:rPr>
          <w:sz w:val="18"/>
        </w:rPr>
        <w:t>(EU</w:t>
      </w:r>
      <w:r>
        <w:rPr>
          <w:spacing w:val="-4"/>
          <w:sz w:val="18"/>
        </w:rPr>
        <w:t> </w:t>
      </w:r>
      <w:r>
        <w:rPr>
          <w:sz w:val="18"/>
        </w:rPr>
        <w:t>Commission,</w:t>
      </w:r>
      <w:r>
        <w:rPr>
          <w:spacing w:val="-4"/>
          <w:sz w:val="18"/>
        </w:rPr>
        <w:t> </w:t>
      </w:r>
      <w:r>
        <w:rPr>
          <w:sz w:val="18"/>
        </w:rPr>
        <w:t>2022). NI Human Rights Commission, ‘Response to the European Commission Consultation on the Racial Equality Directive (Directive 2000/43/EC)’ (NIHRC, 2022); Equality Commission for NI, ‘</w:t>
      </w:r>
      <w:hyperlink r:id="rId90">
        <w:r>
          <w:rPr>
            <w:sz w:val="18"/>
          </w:rPr>
          <w:t>Response to consultation: European Commission -</w:t>
        </w:r>
      </w:hyperlink>
      <w:r>
        <w:rPr>
          <w:sz w:val="18"/>
        </w:rPr>
        <w:t> </w:t>
      </w:r>
      <w:hyperlink r:id="rId90">
        <w:r>
          <w:rPr>
            <w:sz w:val="18"/>
          </w:rPr>
          <w:t>Addressing possible gaps in the Racial Equality Directive</w:t>
        </w:r>
      </w:hyperlink>
      <w:r>
        <w:rPr>
          <w:sz w:val="18"/>
        </w:rPr>
        <w:t>’ (ECNI, 2022)</w:t>
      </w:r>
    </w:p>
    <w:p>
      <w:pPr>
        <w:pStyle w:val="ListParagraph"/>
        <w:numPr>
          <w:ilvl w:val="0"/>
          <w:numId w:val="3"/>
        </w:numPr>
        <w:tabs>
          <w:tab w:pos="1853" w:val="left" w:leader="none"/>
        </w:tabs>
        <w:spacing w:line="235" w:lineRule="auto" w:before="3" w:after="0"/>
        <w:ind w:left="1853" w:right="1428" w:hanging="720"/>
        <w:jc w:val="left"/>
        <w:rPr>
          <w:sz w:val="18"/>
        </w:rPr>
      </w:pPr>
      <w:r>
        <w:rPr>
          <w:sz w:val="18"/>
        </w:rPr>
        <w:t>NI Human Rights Commission, ‘Response to the European Commission Consultation on the Racial Equality Directive (Directive</w:t>
      </w:r>
      <w:r>
        <w:rPr>
          <w:spacing w:val="-5"/>
          <w:sz w:val="18"/>
        </w:rPr>
        <w:t> </w:t>
      </w:r>
      <w:r>
        <w:rPr>
          <w:sz w:val="18"/>
        </w:rPr>
        <w:t>2000/43/EC)’</w:t>
      </w:r>
      <w:r>
        <w:rPr>
          <w:spacing w:val="-5"/>
          <w:sz w:val="18"/>
        </w:rPr>
        <w:t> </w:t>
      </w:r>
      <w:r>
        <w:rPr>
          <w:sz w:val="18"/>
        </w:rPr>
        <w:t>(NIHRC,</w:t>
      </w:r>
      <w:r>
        <w:rPr>
          <w:spacing w:val="-5"/>
          <w:sz w:val="18"/>
        </w:rPr>
        <w:t> </w:t>
      </w:r>
      <w:r>
        <w:rPr>
          <w:sz w:val="18"/>
        </w:rPr>
        <w:t>2022);</w:t>
      </w:r>
      <w:r>
        <w:rPr>
          <w:spacing w:val="-5"/>
          <w:sz w:val="18"/>
        </w:rPr>
        <w:t> </w:t>
      </w:r>
      <w:r>
        <w:rPr>
          <w:sz w:val="18"/>
        </w:rPr>
        <w:t>Equality</w:t>
      </w:r>
      <w:r>
        <w:rPr>
          <w:spacing w:val="-5"/>
          <w:sz w:val="18"/>
        </w:rPr>
        <w:t> </w:t>
      </w:r>
      <w:r>
        <w:rPr>
          <w:sz w:val="18"/>
        </w:rPr>
        <w:t>Commission</w:t>
      </w:r>
      <w:r>
        <w:rPr>
          <w:spacing w:val="-6"/>
          <w:sz w:val="18"/>
        </w:rPr>
        <w:t> </w:t>
      </w:r>
      <w:r>
        <w:rPr>
          <w:sz w:val="18"/>
        </w:rPr>
        <w:t>for</w:t>
      </w:r>
      <w:r>
        <w:rPr>
          <w:spacing w:val="-5"/>
          <w:sz w:val="18"/>
        </w:rPr>
        <w:t> </w:t>
      </w:r>
      <w:r>
        <w:rPr>
          <w:sz w:val="18"/>
        </w:rPr>
        <w:t>NI,</w:t>
      </w:r>
      <w:r>
        <w:rPr>
          <w:spacing w:val="-5"/>
          <w:sz w:val="18"/>
        </w:rPr>
        <w:t> </w:t>
      </w:r>
      <w:r>
        <w:rPr>
          <w:sz w:val="18"/>
        </w:rPr>
        <w:t>‘Response</w:t>
      </w:r>
      <w:r>
        <w:rPr>
          <w:spacing w:val="-5"/>
          <w:sz w:val="18"/>
        </w:rPr>
        <w:t> </w:t>
      </w:r>
      <w:r>
        <w:rPr>
          <w:sz w:val="18"/>
        </w:rPr>
        <w:t>to</w:t>
      </w:r>
      <w:r>
        <w:rPr>
          <w:spacing w:val="-6"/>
          <w:sz w:val="18"/>
        </w:rPr>
        <w:t> </w:t>
      </w:r>
      <w:r>
        <w:rPr>
          <w:sz w:val="18"/>
        </w:rPr>
        <w:t>consultation:</w:t>
      </w:r>
      <w:r>
        <w:rPr>
          <w:spacing w:val="-5"/>
          <w:sz w:val="18"/>
        </w:rPr>
        <w:t> </w:t>
      </w:r>
      <w:r>
        <w:rPr>
          <w:sz w:val="18"/>
        </w:rPr>
        <w:t>European</w:t>
      </w:r>
      <w:r>
        <w:rPr>
          <w:spacing w:val="-6"/>
          <w:sz w:val="18"/>
        </w:rPr>
        <w:t> </w:t>
      </w:r>
      <w:r>
        <w:rPr>
          <w:sz w:val="18"/>
        </w:rPr>
        <w:t>Commission</w:t>
      </w:r>
      <w:r>
        <w:rPr>
          <w:spacing w:val="-6"/>
          <w:sz w:val="18"/>
        </w:rPr>
        <w:t> </w:t>
      </w:r>
      <w:r>
        <w:rPr>
          <w:sz w:val="18"/>
        </w:rPr>
        <w:t>- Addressing possible gaps in the Racial Equality Directive’ (ECNI, 2022).</w:t>
      </w:r>
    </w:p>
    <w:p>
      <w:pPr>
        <w:pStyle w:val="ListParagraph"/>
        <w:numPr>
          <w:ilvl w:val="0"/>
          <w:numId w:val="3"/>
        </w:numPr>
        <w:tabs>
          <w:tab w:pos="1853" w:val="left" w:leader="none"/>
        </w:tabs>
        <w:spacing w:line="235" w:lineRule="auto" w:before="2" w:after="0"/>
        <w:ind w:left="1853" w:right="1646" w:hanging="720"/>
        <w:jc w:val="left"/>
        <w:rPr>
          <w:sz w:val="18"/>
        </w:rPr>
      </w:pP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‘Response</w:t>
      </w:r>
      <w:r>
        <w:rPr>
          <w:spacing w:val="-4"/>
          <w:sz w:val="18"/>
        </w:rPr>
        <w:t> </w:t>
      </w:r>
      <w:r>
        <w:rPr>
          <w:sz w:val="18"/>
        </w:rPr>
        <w:t>to</w:t>
      </w:r>
      <w:r>
        <w:rPr>
          <w:spacing w:val="-5"/>
          <w:sz w:val="18"/>
        </w:rPr>
        <w:t> </w:t>
      </w:r>
      <w:r>
        <w:rPr>
          <w:sz w:val="18"/>
        </w:rPr>
        <w:t>the</w:t>
      </w:r>
      <w:r>
        <w:rPr>
          <w:spacing w:val="-4"/>
          <w:sz w:val="18"/>
        </w:rPr>
        <w:t> </w:t>
      </w:r>
      <w:r>
        <w:rPr>
          <w:sz w:val="18"/>
        </w:rPr>
        <w:t>European</w:t>
      </w:r>
      <w:r>
        <w:rPr>
          <w:spacing w:val="-5"/>
          <w:sz w:val="18"/>
        </w:rPr>
        <w:t> </w:t>
      </w:r>
      <w:r>
        <w:rPr>
          <w:sz w:val="18"/>
        </w:rPr>
        <w:t>Commission</w:t>
      </w:r>
      <w:r>
        <w:rPr>
          <w:spacing w:val="-5"/>
          <w:sz w:val="18"/>
        </w:rPr>
        <w:t> </w:t>
      </w:r>
      <w:r>
        <w:rPr>
          <w:sz w:val="18"/>
        </w:rPr>
        <w:t>Consultation</w:t>
      </w:r>
      <w:r>
        <w:rPr>
          <w:spacing w:val="-5"/>
          <w:sz w:val="18"/>
        </w:rPr>
        <w:t> </w:t>
      </w:r>
      <w:r>
        <w:rPr>
          <w:sz w:val="18"/>
        </w:rPr>
        <w:t>on</w:t>
      </w:r>
      <w:r>
        <w:rPr>
          <w:spacing w:val="-5"/>
          <w:sz w:val="18"/>
        </w:rPr>
        <w:t> </w:t>
      </w:r>
      <w:r>
        <w:rPr>
          <w:sz w:val="18"/>
        </w:rPr>
        <w:t>the</w:t>
      </w:r>
      <w:r>
        <w:rPr>
          <w:spacing w:val="-4"/>
          <w:sz w:val="18"/>
        </w:rPr>
        <w:t> </w:t>
      </w:r>
      <w:r>
        <w:rPr>
          <w:sz w:val="18"/>
        </w:rPr>
        <w:t>Racial</w:t>
      </w:r>
      <w:r>
        <w:rPr>
          <w:spacing w:val="-5"/>
          <w:sz w:val="18"/>
        </w:rPr>
        <w:t> </w:t>
      </w:r>
      <w:r>
        <w:rPr>
          <w:sz w:val="18"/>
        </w:rPr>
        <w:t>Equality</w:t>
      </w:r>
      <w:r>
        <w:rPr>
          <w:spacing w:val="-4"/>
          <w:sz w:val="18"/>
        </w:rPr>
        <w:t> </w:t>
      </w:r>
      <w:r>
        <w:rPr>
          <w:sz w:val="18"/>
        </w:rPr>
        <w:t>Directive (Directive 2000/43/EC)’ (NIHRC, 2022).</w:t>
      </w:r>
    </w:p>
    <w:p>
      <w:pPr>
        <w:pStyle w:val="ListParagraph"/>
        <w:numPr>
          <w:ilvl w:val="0"/>
          <w:numId w:val="3"/>
        </w:numPr>
        <w:tabs>
          <w:tab w:pos="1853" w:val="left" w:leader="none"/>
        </w:tabs>
        <w:spacing w:line="235" w:lineRule="auto" w:before="1" w:after="0"/>
        <w:ind w:left="1853" w:right="1506" w:hanging="720"/>
        <w:jc w:val="left"/>
        <w:rPr>
          <w:sz w:val="18"/>
        </w:rPr>
      </w:pP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w:t>
      </w:r>
      <w:hyperlink r:id="rId90">
        <w:r>
          <w:rPr>
            <w:sz w:val="18"/>
          </w:rPr>
          <w:t>Response</w:t>
        </w:r>
        <w:r>
          <w:rPr>
            <w:spacing w:val="-4"/>
            <w:sz w:val="18"/>
          </w:rPr>
          <w:t> </w:t>
        </w:r>
        <w:r>
          <w:rPr>
            <w:sz w:val="18"/>
          </w:rPr>
          <w:t>to</w:t>
        </w:r>
        <w:r>
          <w:rPr>
            <w:spacing w:val="-5"/>
            <w:sz w:val="18"/>
          </w:rPr>
          <w:t> </w:t>
        </w:r>
        <w:r>
          <w:rPr>
            <w:sz w:val="18"/>
          </w:rPr>
          <w:t>consultation:</w:t>
        </w:r>
        <w:r>
          <w:rPr>
            <w:spacing w:val="-4"/>
            <w:sz w:val="18"/>
          </w:rPr>
          <w:t> </w:t>
        </w:r>
        <w:r>
          <w:rPr>
            <w:sz w:val="18"/>
          </w:rPr>
          <w:t>European</w:t>
        </w:r>
        <w:r>
          <w:rPr>
            <w:spacing w:val="-5"/>
            <w:sz w:val="18"/>
          </w:rPr>
          <w:t> </w:t>
        </w:r>
        <w:r>
          <w:rPr>
            <w:sz w:val="18"/>
          </w:rPr>
          <w:t>Commission</w:t>
        </w:r>
        <w:r>
          <w:rPr>
            <w:spacing w:val="-5"/>
            <w:sz w:val="18"/>
          </w:rPr>
          <w:t> </w:t>
        </w:r>
        <w:r>
          <w:rPr>
            <w:sz w:val="18"/>
          </w:rPr>
          <w:t>-</w:t>
        </w:r>
        <w:r>
          <w:rPr>
            <w:spacing w:val="-5"/>
            <w:sz w:val="18"/>
          </w:rPr>
          <w:t> </w:t>
        </w:r>
        <w:r>
          <w:rPr>
            <w:sz w:val="18"/>
          </w:rPr>
          <w:t>Addressing</w:t>
        </w:r>
        <w:r>
          <w:rPr>
            <w:spacing w:val="-4"/>
            <w:sz w:val="18"/>
          </w:rPr>
          <w:t> </w:t>
        </w:r>
        <w:r>
          <w:rPr>
            <w:sz w:val="18"/>
          </w:rPr>
          <w:t>possible</w:t>
        </w:r>
        <w:r>
          <w:rPr>
            <w:spacing w:val="-4"/>
            <w:sz w:val="18"/>
          </w:rPr>
          <w:t> </w:t>
        </w:r>
        <w:r>
          <w:rPr>
            <w:sz w:val="18"/>
          </w:rPr>
          <w:t>gaps</w:t>
        </w:r>
        <w:r>
          <w:rPr>
            <w:spacing w:val="-5"/>
            <w:sz w:val="18"/>
          </w:rPr>
          <w:t> </w:t>
        </w:r>
        <w:r>
          <w:rPr>
            <w:sz w:val="18"/>
          </w:rPr>
          <w:t>in</w:t>
        </w:r>
        <w:r>
          <w:rPr>
            <w:spacing w:val="-5"/>
            <w:sz w:val="18"/>
          </w:rPr>
          <w:t> </w:t>
        </w:r>
        <w:r>
          <w:rPr>
            <w:sz w:val="18"/>
          </w:rPr>
          <w:t>the</w:t>
        </w:r>
        <w:r>
          <w:rPr>
            <w:spacing w:val="-4"/>
            <w:sz w:val="18"/>
          </w:rPr>
          <w:t> </w:t>
        </w:r>
        <w:r>
          <w:rPr>
            <w:sz w:val="18"/>
          </w:rPr>
          <w:t>Racial</w:t>
        </w:r>
      </w:hyperlink>
      <w:r>
        <w:rPr>
          <w:sz w:val="18"/>
        </w:rPr>
        <w:t> </w:t>
      </w:r>
      <w:hyperlink r:id="rId90">
        <w:r>
          <w:rPr>
            <w:sz w:val="18"/>
          </w:rPr>
          <w:t>Equality Directive</w:t>
        </w:r>
      </w:hyperlink>
      <w:r>
        <w:rPr>
          <w:sz w:val="18"/>
        </w:rPr>
        <w:t>’ (ECNI, 2022).</w:t>
      </w:r>
    </w:p>
    <w:p>
      <w:pPr>
        <w:spacing w:after="0" w:line="235" w:lineRule="auto"/>
        <w:jc w:val="left"/>
        <w:rPr>
          <w:sz w:val="18"/>
        </w:rPr>
        <w:sectPr>
          <w:headerReference w:type="even" r:id="rId85"/>
          <w:headerReference w:type="default" r:id="rId86"/>
          <w:footerReference w:type="even" r:id="rId87"/>
          <w:footerReference w:type="default" r:id="rId88"/>
          <w:pgSz w:w="11910" w:h="16840"/>
          <w:pgMar w:header="496" w:footer="367" w:top="1220" w:bottom="560" w:left="0" w:right="0"/>
          <w:pgNumType w:start="42"/>
        </w:sectPr>
      </w:pPr>
    </w:p>
    <w:p>
      <w:pPr>
        <w:pStyle w:val="BodyText"/>
        <w:spacing w:before="198"/>
      </w:pPr>
    </w:p>
    <w:p>
      <w:pPr>
        <w:pStyle w:val="BodyText"/>
        <w:spacing w:line="225" w:lineRule="auto"/>
        <w:ind w:left="1853" w:right="1171"/>
      </w:pPr>
      <w:r>
        <w:rPr/>
        <w:t>and best practice and builds on equality law in Great Britain.</w:t>
      </w:r>
      <w:r>
        <w:rPr>
          <w:vertAlign w:val="superscript"/>
        </w:rPr>
        <w:t>162</w:t>
      </w:r>
      <w:r>
        <w:rPr>
          <w:vertAlign w:val="baseline"/>
        </w:rPr>
        <w:t> The ECNI reiterated that any legislation should also consider and comply with the Windsor</w:t>
      </w:r>
      <w:r>
        <w:rPr>
          <w:spacing w:val="-6"/>
          <w:vertAlign w:val="baseline"/>
        </w:rPr>
        <w:t> </w:t>
      </w:r>
      <w:r>
        <w:rPr>
          <w:vertAlign w:val="baseline"/>
        </w:rPr>
        <w:t>Framework</w:t>
      </w:r>
      <w:r>
        <w:rPr>
          <w:spacing w:val="-6"/>
          <w:vertAlign w:val="baseline"/>
        </w:rPr>
        <w:t> </w:t>
      </w:r>
      <w:r>
        <w:rPr>
          <w:vertAlign w:val="baseline"/>
        </w:rPr>
        <w:t>Article</w:t>
      </w:r>
      <w:r>
        <w:rPr>
          <w:spacing w:val="-6"/>
          <w:vertAlign w:val="baseline"/>
        </w:rPr>
        <w:t> </w:t>
      </w:r>
      <w:r>
        <w:rPr>
          <w:vertAlign w:val="baseline"/>
        </w:rPr>
        <w:t>2</w:t>
      </w:r>
      <w:r>
        <w:rPr>
          <w:spacing w:val="-6"/>
          <w:vertAlign w:val="baseline"/>
        </w:rPr>
        <w:t> </w:t>
      </w:r>
      <w:r>
        <w:rPr>
          <w:vertAlign w:val="baseline"/>
        </w:rPr>
        <w:t>commitment</w:t>
      </w:r>
      <w:r>
        <w:rPr>
          <w:spacing w:val="-6"/>
          <w:vertAlign w:val="baseline"/>
        </w:rPr>
        <w:t> </w:t>
      </w:r>
      <w:r>
        <w:rPr>
          <w:vertAlign w:val="baseline"/>
        </w:rPr>
        <w:t>and</w:t>
      </w:r>
      <w:r>
        <w:rPr>
          <w:spacing w:val="-7"/>
          <w:vertAlign w:val="baseline"/>
        </w:rPr>
        <w:t> </w:t>
      </w:r>
      <w:r>
        <w:rPr>
          <w:vertAlign w:val="baseline"/>
        </w:rPr>
        <w:t>keep</w:t>
      </w:r>
      <w:r>
        <w:rPr>
          <w:spacing w:val="-7"/>
          <w:vertAlign w:val="baseline"/>
        </w:rPr>
        <w:t> </w:t>
      </w:r>
      <w:r>
        <w:rPr>
          <w:vertAlign w:val="baseline"/>
        </w:rPr>
        <w:t>pace</w:t>
      </w:r>
      <w:r>
        <w:rPr>
          <w:spacing w:val="-6"/>
          <w:vertAlign w:val="baseline"/>
        </w:rPr>
        <w:t> </w:t>
      </w:r>
      <w:r>
        <w:rPr>
          <w:vertAlign w:val="baseline"/>
        </w:rPr>
        <w:t>with</w:t>
      </w:r>
      <w:r>
        <w:rPr>
          <w:spacing w:val="-7"/>
          <w:vertAlign w:val="baseline"/>
        </w:rPr>
        <w:t> </w:t>
      </w:r>
      <w:r>
        <w:rPr>
          <w:vertAlign w:val="baseline"/>
        </w:rPr>
        <w:t>all</w:t>
      </w:r>
      <w:r>
        <w:rPr>
          <w:spacing w:val="-7"/>
          <w:vertAlign w:val="baseline"/>
        </w:rPr>
        <w:t> </w:t>
      </w:r>
      <w:r>
        <w:rPr>
          <w:vertAlign w:val="baseline"/>
        </w:rPr>
        <w:t>future</w:t>
      </w:r>
      <w:r>
        <w:rPr>
          <w:spacing w:val="-6"/>
          <w:vertAlign w:val="baseline"/>
        </w:rPr>
        <w:t> </w:t>
      </w:r>
      <w:r>
        <w:rPr>
          <w:vertAlign w:val="baseline"/>
        </w:rPr>
        <w:t>EU equality laws that enhance protections.</w:t>
      </w:r>
    </w:p>
    <w:p>
      <w:pPr>
        <w:pStyle w:val="ListParagraph"/>
        <w:numPr>
          <w:ilvl w:val="1"/>
          <w:numId w:val="7"/>
        </w:numPr>
        <w:tabs>
          <w:tab w:pos="1853" w:val="left" w:leader="none"/>
        </w:tabs>
        <w:spacing w:line="225" w:lineRule="auto" w:before="315" w:after="0"/>
        <w:ind w:left="1853" w:right="1635" w:hanging="720"/>
        <w:jc w:val="left"/>
        <w:rPr>
          <w:sz w:val="28"/>
        </w:rPr>
      </w:pPr>
      <w:r>
        <w:rPr>
          <w:sz w:val="28"/>
        </w:rPr>
        <w:t>In 2023, the UN International Covenant on Economic, Social and Cultural Rights (UN ICESCR) Committee expressed its regret that no action had been</w:t>
      </w:r>
      <w:r>
        <w:rPr>
          <w:spacing w:val="-11"/>
          <w:sz w:val="28"/>
        </w:rPr>
        <w:t> </w:t>
      </w:r>
      <w:r>
        <w:rPr>
          <w:sz w:val="28"/>
        </w:rPr>
        <w:t>taken</w:t>
      </w:r>
      <w:r>
        <w:rPr>
          <w:spacing w:val="-11"/>
          <w:sz w:val="28"/>
        </w:rPr>
        <w:t> </w:t>
      </w:r>
      <w:r>
        <w:rPr>
          <w:sz w:val="28"/>
        </w:rPr>
        <w:t>on</w:t>
      </w:r>
      <w:r>
        <w:rPr>
          <w:spacing w:val="-11"/>
          <w:sz w:val="28"/>
        </w:rPr>
        <w:t> </w:t>
      </w:r>
      <w:r>
        <w:rPr>
          <w:sz w:val="28"/>
        </w:rPr>
        <w:t>its</w:t>
      </w:r>
      <w:r>
        <w:rPr>
          <w:spacing w:val="-11"/>
          <w:sz w:val="28"/>
        </w:rPr>
        <w:t> </w:t>
      </w:r>
      <w:r>
        <w:rPr>
          <w:sz w:val="28"/>
        </w:rPr>
        <w:t>earlier</w:t>
      </w:r>
      <w:r>
        <w:rPr>
          <w:spacing w:val="-10"/>
          <w:sz w:val="28"/>
        </w:rPr>
        <w:t> </w:t>
      </w:r>
      <w:r>
        <w:rPr>
          <w:sz w:val="28"/>
        </w:rPr>
        <w:t>recommendation</w:t>
      </w:r>
      <w:r>
        <w:rPr>
          <w:spacing w:val="-11"/>
          <w:sz w:val="28"/>
        </w:rPr>
        <w:t> </w:t>
      </w:r>
      <w:r>
        <w:rPr>
          <w:sz w:val="28"/>
        </w:rPr>
        <w:t>to</w:t>
      </w:r>
      <w:r>
        <w:rPr>
          <w:spacing w:val="-11"/>
          <w:sz w:val="28"/>
        </w:rPr>
        <w:t> </w:t>
      </w:r>
      <w:r>
        <w:rPr>
          <w:sz w:val="28"/>
        </w:rPr>
        <w:t>extend</w:t>
      </w:r>
      <w:r>
        <w:rPr>
          <w:spacing w:val="-11"/>
          <w:sz w:val="28"/>
        </w:rPr>
        <w:t> </w:t>
      </w:r>
      <w:r>
        <w:rPr>
          <w:sz w:val="28"/>
        </w:rPr>
        <w:t>“comprehensive</w:t>
      </w:r>
      <w:r>
        <w:rPr>
          <w:spacing w:val="-10"/>
          <w:sz w:val="28"/>
        </w:rPr>
        <w:t> </w:t>
      </w:r>
      <w:r>
        <w:rPr>
          <w:sz w:val="28"/>
        </w:rPr>
        <w:t>anti-</w:t>
      </w:r>
    </w:p>
    <w:p>
      <w:pPr>
        <w:pStyle w:val="BodyText"/>
        <w:spacing w:line="225" w:lineRule="auto"/>
        <w:ind w:left="1853" w:right="1171"/>
      </w:pPr>
      <w:r>
        <w:rPr/>
        <w:t>discrimination legislation” to NI.</w:t>
      </w:r>
      <w:r>
        <w:rPr>
          <w:vertAlign w:val="superscript"/>
        </w:rPr>
        <w:t>163</w:t>
      </w:r>
      <w:r>
        <w:rPr>
          <w:vertAlign w:val="baseline"/>
        </w:rPr>
        <w:t> The Committee sought information from the UK Government on measures taken to adopt a comprehensive anti- discrimination</w:t>
      </w:r>
      <w:r>
        <w:rPr>
          <w:spacing w:val="-7"/>
          <w:vertAlign w:val="baseline"/>
        </w:rPr>
        <w:t> </w:t>
      </w:r>
      <w:r>
        <w:rPr>
          <w:vertAlign w:val="baseline"/>
        </w:rPr>
        <w:t>law</w:t>
      </w:r>
      <w:r>
        <w:rPr>
          <w:spacing w:val="-6"/>
          <w:vertAlign w:val="baseline"/>
        </w:rPr>
        <w:t> </w:t>
      </w:r>
      <w:r>
        <w:rPr>
          <w:vertAlign w:val="baseline"/>
        </w:rPr>
        <w:t>prohibiting</w:t>
      </w:r>
      <w:r>
        <w:rPr>
          <w:spacing w:val="-6"/>
          <w:vertAlign w:val="baseline"/>
        </w:rPr>
        <w:t> </w:t>
      </w:r>
      <w:r>
        <w:rPr>
          <w:vertAlign w:val="baseline"/>
        </w:rPr>
        <w:t>multiple</w:t>
      </w:r>
      <w:r>
        <w:rPr>
          <w:spacing w:val="-6"/>
          <w:vertAlign w:val="baseline"/>
        </w:rPr>
        <w:t> </w:t>
      </w:r>
      <w:r>
        <w:rPr>
          <w:vertAlign w:val="baseline"/>
        </w:rPr>
        <w:t>forms</w:t>
      </w:r>
      <w:r>
        <w:rPr>
          <w:spacing w:val="-7"/>
          <w:vertAlign w:val="baseline"/>
        </w:rPr>
        <w:t> </w:t>
      </w:r>
      <w:r>
        <w:rPr>
          <w:vertAlign w:val="baseline"/>
        </w:rPr>
        <w:t>of</w:t>
      </w:r>
      <w:r>
        <w:rPr>
          <w:spacing w:val="-7"/>
          <w:vertAlign w:val="baseline"/>
        </w:rPr>
        <w:t> </w:t>
      </w:r>
      <w:r>
        <w:rPr>
          <w:vertAlign w:val="baseline"/>
        </w:rPr>
        <w:t>discrimination</w:t>
      </w:r>
      <w:r>
        <w:rPr>
          <w:spacing w:val="-7"/>
          <w:vertAlign w:val="baseline"/>
        </w:rPr>
        <w:t> </w:t>
      </w:r>
      <w:r>
        <w:rPr>
          <w:vertAlign w:val="baseline"/>
        </w:rPr>
        <w:t>on</w:t>
      </w:r>
      <w:r>
        <w:rPr>
          <w:spacing w:val="-7"/>
          <w:vertAlign w:val="baseline"/>
        </w:rPr>
        <w:t> </w:t>
      </w:r>
      <w:r>
        <w:rPr>
          <w:vertAlign w:val="baseline"/>
        </w:rPr>
        <w:t>all</w:t>
      </w:r>
      <w:r>
        <w:rPr>
          <w:spacing w:val="-7"/>
          <w:vertAlign w:val="baseline"/>
        </w:rPr>
        <w:t> </w:t>
      </w:r>
      <w:r>
        <w:rPr>
          <w:vertAlign w:val="baseline"/>
        </w:rPr>
        <w:t>grounds in all jurisdictions of the UK.</w:t>
      </w:r>
      <w:r>
        <w:rPr>
          <w:vertAlign w:val="superscript"/>
        </w:rPr>
        <w:t>164</w:t>
      </w:r>
    </w:p>
    <w:p>
      <w:pPr>
        <w:pStyle w:val="ListParagraph"/>
        <w:numPr>
          <w:ilvl w:val="1"/>
          <w:numId w:val="7"/>
        </w:numPr>
        <w:tabs>
          <w:tab w:pos="1853" w:val="left" w:leader="none"/>
        </w:tabs>
        <w:spacing w:line="225" w:lineRule="auto" w:before="311" w:after="0"/>
        <w:ind w:left="1853" w:right="1394" w:hanging="720"/>
        <w:jc w:val="left"/>
        <w:rPr>
          <w:sz w:val="28"/>
        </w:rPr>
      </w:pPr>
      <w:r>
        <w:rPr>
          <w:sz w:val="28"/>
        </w:rPr>
        <w:t>In 2022, the Commissions in partnership with the Irish Human Rights and Equality Commission, published research which found that the introduction of</w:t>
      </w:r>
      <w:r>
        <w:rPr>
          <w:spacing w:val="-11"/>
          <w:sz w:val="28"/>
        </w:rPr>
        <w:t> </w:t>
      </w:r>
      <w:r>
        <w:rPr>
          <w:sz w:val="28"/>
        </w:rPr>
        <w:t>a</w:t>
      </w:r>
      <w:r>
        <w:rPr>
          <w:spacing w:val="-11"/>
          <w:sz w:val="28"/>
        </w:rPr>
        <w:t> </w:t>
      </w:r>
      <w:r>
        <w:rPr>
          <w:sz w:val="28"/>
        </w:rPr>
        <w:t>“consolidated</w:t>
      </w:r>
      <w:r>
        <w:rPr>
          <w:spacing w:val="-11"/>
          <w:sz w:val="28"/>
        </w:rPr>
        <w:t> </w:t>
      </w:r>
      <w:r>
        <w:rPr>
          <w:sz w:val="28"/>
        </w:rPr>
        <w:t>codification</w:t>
      </w:r>
      <w:r>
        <w:rPr>
          <w:spacing w:val="-11"/>
          <w:sz w:val="28"/>
        </w:rPr>
        <w:t> </w:t>
      </w:r>
      <w:r>
        <w:rPr>
          <w:sz w:val="28"/>
        </w:rPr>
        <w:t>of</w:t>
      </w:r>
      <w:r>
        <w:rPr>
          <w:spacing w:val="-11"/>
          <w:sz w:val="28"/>
        </w:rPr>
        <w:t> </w:t>
      </w:r>
      <w:r>
        <w:rPr>
          <w:sz w:val="28"/>
        </w:rPr>
        <w:t>rights</w:t>
      </w:r>
      <w:r>
        <w:rPr>
          <w:spacing w:val="-11"/>
          <w:sz w:val="28"/>
        </w:rPr>
        <w:t> </w:t>
      </w:r>
      <w:r>
        <w:rPr>
          <w:sz w:val="28"/>
        </w:rPr>
        <w:t>and</w:t>
      </w:r>
      <w:r>
        <w:rPr>
          <w:spacing w:val="-11"/>
          <w:sz w:val="28"/>
        </w:rPr>
        <w:t> </w:t>
      </w:r>
      <w:r>
        <w:rPr>
          <w:sz w:val="28"/>
        </w:rPr>
        <w:t>equality</w:t>
      </w:r>
      <w:r>
        <w:rPr>
          <w:spacing w:val="-10"/>
          <w:sz w:val="28"/>
        </w:rPr>
        <w:t> </w:t>
      </w:r>
      <w:r>
        <w:rPr>
          <w:sz w:val="28"/>
        </w:rPr>
        <w:t>legislation”,</w:t>
      </w:r>
      <w:r>
        <w:rPr>
          <w:spacing w:val="-10"/>
          <w:sz w:val="28"/>
        </w:rPr>
        <w:t> </w:t>
      </w:r>
      <w:r>
        <w:rPr>
          <w:sz w:val="28"/>
        </w:rPr>
        <w:t>could</w:t>
      </w:r>
      <w:r>
        <w:rPr>
          <w:spacing w:val="-11"/>
          <w:sz w:val="28"/>
        </w:rPr>
        <w:t> </w:t>
      </w:r>
      <w:r>
        <w:rPr>
          <w:sz w:val="28"/>
        </w:rPr>
        <w:t>assist</w:t>
      </w:r>
    </w:p>
    <w:p>
      <w:pPr>
        <w:pStyle w:val="BodyText"/>
        <w:spacing w:line="225" w:lineRule="auto"/>
        <w:ind w:left="1853" w:right="1171"/>
      </w:pPr>
      <w:r>
        <w:rPr/>
        <w:t>with</w:t>
      </w:r>
      <w:r>
        <w:rPr>
          <w:spacing w:val="-4"/>
        </w:rPr>
        <w:t> </w:t>
      </w:r>
      <w:r>
        <w:rPr/>
        <w:t>NI</w:t>
      </w:r>
      <w:r>
        <w:rPr>
          <w:spacing w:val="-3"/>
        </w:rPr>
        <w:t> </w:t>
      </w:r>
      <w:r>
        <w:rPr/>
        <w:t>complying</w:t>
      </w:r>
      <w:r>
        <w:rPr>
          <w:spacing w:val="-3"/>
        </w:rPr>
        <w:t> </w:t>
      </w:r>
      <w:r>
        <w:rPr/>
        <w:t>more</w:t>
      </w:r>
      <w:r>
        <w:rPr>
          <w:spacing w:val="-3"/>
        </w:rPr>
        <w:t> </w:t>
      </w:r>
      <w:r>
        <w:rPr/>
        <w:t>fully</w:t>
      </w:r>
      <w:r>
        <w:rPr>
          <w:spacing w:val="-3"/>
        </w:rPr>
        <w:t> </w:t>
      </w:r>
      <w:r>
        <w:rPr/>
        <w:t>with</w:t>
      </w:r>
      <w:r>
        <w:rPr>
          <w:spacing w:val="-4"/>
        </w:rPr>
        <w:t> </w:t>
      </w:r>
      <w:r>
        <w:rPr/>
        <w:t>the</w:t>
      </w:r>
      <w:r>
        <w:rPr>
          <w:spacing w:val="-3"/>
        </w:rPr>
        <w:t> </w:t>
      </w:r>
      <w:r>
        <w:rPr/>
        <w:t>principle</w:t>
      </w:r>
      <w:r>
        <w:rPr>
          <w:spacing w:val="-3"/>
        </w:rPr>
        <w:t> </w:t>
      </w:r>
      <w:r>
        <w:rPr/>
        <w:t>of</w:t>
      </w:r>
      <w:r>
        <w:rPr>
          <w:spacing w:val="-4"/>
        </w:rPr>
        <w:t> </w:t>
      </w:r>
      <w:r>
        <w:rPr/>
        <w:t>equivalence</w:t>
      </w:r>
      <w:r>
        <w:rPr>
          <w:spacing w:val="-3"/>
        </w:rPr>
        <w:t> </w:t>
      </w:r>
      <w:r>
        <w:rPr/>
        <w:t>of</w:t>
      </w:r>
      <w:r>
        <w:rPr>
          <w:spacing w:val="-4"/>
        </w:rPr>
        <w:t> </w:t>
      </w:r>
      <w:r>
        <w:rPr/>
        <w:t>rights</w:t>
      </w:r>
      <w:r>
        <w:rPr>
          <w:spacing w:val="-4"/>
        </w:rPr>
        <w:t> </w:t>
      </w:r>
      <w:r>
        <w:rPr/>
        <w:t>on</w:t>
      </w:r>
      <w:r>
        <w:rPr>
          <w:spacing w:val="-4"/>
        </w:rPr>
        <w:t> </w:t>
      </w:r>
      <w:r>
        <w:rPr/>
        <w:t>the island of Ireland under the Belfast (Good Friday) Agreement 1998.</w:t>
      </w:r>
      <w:r>
        <w:rPr>
          <w:vertAlign w:val="superscript"/>
        </w:rPr>
        <w:t>165</w:t>
      </w:r>
    </w:p>
    <w:p>
      <w:pPr>
        <w:pStyle w:val="ListParagraph"/>
        <w:numPr>
          <w:ilvl w:val="1"/>
          <w:numId w:val="7"/>
        </w:numPr>
        <w:tabs>
          <w:tab w:pos="1853" w:val="left" w:leader="none"/>
        </w:tabs>
        <w:spacing w:line="225" w:lineRule="auto" w:before="314" w:after="0"/>
        <w:ind w:left="1853" w:right="1531" w:hanging="720"/>
        <w:jc w:val="left"/>
        <w:rPr>
          <w:sz w:val="28"/>
        </w:rPr>
      </w:pPr>
      <w:r>
        <w:rPr>
          <w:sz w:val="28"/>
        </w:rPr>
        <w:t>In April 2023, the EU Parliament adopted a resolution on combating discrimination in the EU and expressing regret that the horizontal anti- discrimination</w:t>
      </w:r>
      <w:r>
        <w:rPr>
          <w:spacing w:val="-11"/>
          <w:sz w:val="28"/>
        </w:rPr>
        <w:t> </w:t>
      </w:r>
      <w:r>
        <w:rPr>
          <w:sz w:val="28"/>
        </w:rPr>
        <w:t>directive</w:t>
      </w:r>
      <w:r>
        <w:rPr>
          <w:spacing w:val="-10"/>
          <w:sz w:val="28"/>
        </w:rPr>
        <w:t> </w:t>
      </w:r>
      <w:r>
        <w:rPr>
          <w:sz w:val="28"/>
        </w:rPr>
        <w:t>to</w:t>
      </w:r>
      <w:r>
        <w:rPr>
          <w:spacing w:val="-11"/>
          <w:sz w:val="28"/>
        </w:rPr>
        <w:t> </w:t>
      </w:r>
      <w:r>
        <w:rPr>
          <w:sz w:val="28"/>
        </w:rPr>
        <w:t>address</w:t>
      </w:r>
      <w:r>
        <w:rPr>
          <w:spacing w:val="-11"/>
          <w:sz w:val="28"/>
        </w:rPr>
        <w:t> </w:t>
      </w:r>
      <w:r>
        <w:rPr>
          <w:sz w:val="28"/>
        </w:rPr>
        <w:t>the</w:t>
      </w:r>
      <w:r>
        <w:rPr>
          <w:spacing w:val="-10"/>
          <w:sz w:val="28"/>
        </w:rPr>
        <w:t> </w:t>
      </w:r>
      <w:r>
        <w:rPr>
          <w:sz w:val="28"/>
        </w:rPr>
        <w:t>“considerable</w:t>
      </w:r>
      <w:r>
        <w:rPr>
          <w:spacing w:val="-10"/>
          <w:sz w:val="28"/>
        </w:rPr>
        <w:t> </w:t>
      </w:r>
      <w:r>
        <w:rPr>
          <w:sz w:val="28"/>
        </w:rPr>
        <w:t>gaps</w:t>
      </w:r>
      <w:r>
        <w:rPr>
          <w:spacing w:val="-11"/>
          <w:sz w:val="28"/>
        </w:rPr>
        <w:t> </w:t>
      </w:r>
      <w:r>
        <w:rPr>
          <w:sz w:val="28"/>
        </w:rPr>
        <w:t>in</w:t>
      </w:r>
      <w:r>
        <w:rPr>
          <w:spacing w:val="-11"/>
          <w:sz w:val="28"/>
        </w:rPr>
        <w:t> </w:t>
      </w:r>
      <w:r>
        <w:rPr>
          <w:sz w:val="28"/>
        </w:rPr>
        <w:t>the</w:t>
      </w:r>
      <w:r>
        <w:rPr>
          <w:spacing w:val="-10"/>
          <w:sz w:val="28"/>
        </w:rPr>
        <w:t> </w:t>
      </w:r>
      <w:r>
        <w:rPr>
          <w:sz w:val="28"/>
        </w:rPr>
        <w:t>protection afforded by the EU anti-discrimination framework” had been delayed.</w:t>
      </w:r>
      <w:r>
        <w:rPr>
          <w:sz w:val="28"/>
          <w:vertAlign w:val="superscript"/>
        </w:rPr>
        <w:t>166</w:t>
      </w:r>
    </w:p>
    <w:p>
      <w:pPr>
        <w:pStyle w:val="ListParagraph"/>
        <w:numPr>
          <w:ilvl w:val="1"/>
          <w:numId w:val="7"/>
        </w:numPr>
        <w:tabs>
          <w:tab w:pos="1853" w:val="left" w:leader="none"/>
        </w:tabs>
        <w:spacing w:line="225" w:lineRule="auto" w:before="315" w:after="0"/>
        <w:ind w:left="1853" w:right="1434" w:hanging="720"/>
        <w:jc w:val="left"/>
        <w:rPr>
          <w:sz w:val="28"/>
        </w:rPr>
      </w:pPr>
      <w:r>
        <w:rPr>
          <w:sz w:val="28"/>
        </w:rPr>
        <w:t>In June 2023, both Commissions responded separately to the Executive Office Consultation on the Review of the Race Relations (NI) Order. The NIHRC highlighted that the lack of consideration of intersectional multiple discrimination by the consultation was an oversight and called for the Executive</w:t>
      </w:r>
      <w:r>
        <w:rPr>
          <w:spacing w:val="-9"/>
          <w:sz w:val="28"/>
        </w:rPr>
        <w:t> </w:t>
      </w:r>
      <w:r>
        <w:rPr>
          <w:sz w:val="28"/>
        </w:rPr>
        <w:t>Office</w:t>
      </w:r>
      <w:r>
        <w:rPr>
          <w:spacing w:val="-9"/>
          <w:sz w:val="28"/>
        </w:rPr>
        <w:t> </w:t>
      </w:r>
      <w:r>
        <w:rPr>
          <w:sz w:val="28"/>
        </w:rPr>
        <w:t>to</w:t>
      </w:r>
      <w:r>
        <w:rPr>
          <w:spacing w:val="-9"/>
          <w:sz w:val="28"/>
        </w:rPr>
        <w:t> </w:t>
      </w:r>
      <w:r>
        <w:rPr>
          <w:sz w:val="28"/>
        </w:rPr>
        <w:t>ensure</w:t>
      </w:r>
      <w:r>
        <w:rPr>
          <w:spacing w:val="-9"/>
          <w:sz w:val="28"/>
        </w:rPr>
        <w:t> </w:t>
      </w:r>
      <w:r>
        <w:rPr>
          <w:sz w:val="28"/>
        </w:rPr>
        <w:t>intersectional</w:t>
      </w:r>
      <w:r>
        <w:rPr>
          <w:spacing w:val="-9"/>
          <w:sz w:val="28"/>
        </w:rPr>
        <w:t> </w:t>
      </w:r>
      <w:r>
        <w:rPr>
          <w:sz w:val="28"/>
        </w:rPr>
        <w:t>multiple</w:t>
      </w:r>
      <w:r>
        <w:rPr>
          <w:spacing w:val="-9"/>
          <w:sz w:val="28"/>
        </w:rPr>
        <w:t> </w:t>
      </w:r>
      <w:r>
        <w:rPr>
          <w:sz w:val="28"/>
        </w:rPr>
        <w:t>discrimination</w:t>
      </w:r>
      <w:r>
        <w:rPr>
          <w:spacing w:val="-9"/>
          <w:sz w:val="28"/>
        </w:rPr>
        <w:t> </w:t>
      </w:r>
      <w:r>
        <w:rPr>
          <w:sz w:val="28"/>
        </w:rPr>
        <w:t>claims</w:t>
      </w:r>
      <w:r>
        <w:rPr>
          <w:spacing w:val="-9"/>
          <w:sz w:val="28"/>
        </w:rPr>
        <w:t> </w:t>
      </w:r>
      <w:r>
        <w:rPr>
          <w:sz w:val="28"/>
        </w:rPr>
        <w:t>in</w:t>
      </w:r>
      <w:r>
        <w:rPr>
          <w:spacing w:val="-9"/>
          <w:sz w:val="28"/>
        </w:rPr>
        <w:t> </w:t>
      </w:r>
      <w:r>
        <w:rPr>
          <w:sz w:val="28"/>
        </w:rPr>
        <w:t>NI</w:t>
      </w:r>
    </w:p>
    <w:p>
      <w:pPr>
        <w:pStyle w:val="BodyText"/>
        <w:spacing w:line="225" w:lineRule="auto"/>
        <w:ind w:left="1853" w:right="1171"/>
      </w:pPr>
      <w:r>
        <w:rPr/>
        <w:t>are</w:t>
      </w:r>
      <w:r>
        <w:rPr>
          <w:spacing w:val="-9"/>
        </w:rPr>
        <w:t> </w:t>
      </w:r>
      <w:r>
        <w:rPr/>
        <w:t>effectively</w:t>
      </w:r>
      <w:r>
        <w:rPr>
          <w:spacing w:val="-9"/>
        </w:rPr>
        <w:t> </w:t>
      </w:r>
      <w:r>
        <w:rPr/>
        <w:t>addressed,</w:t>
      </w:r>
      <w:r>
        <w:rPr>
          <w:spacing w:val="-9"/>
        </w:rPr>
        <w:t> </w:t>
      </w:r>
      <w:r>
        <w:rPr/>
        <w:t>including</w:t>
      </w:r>
      <w:r>
        <w:rPr>
          <w:spacing w:val="-9"/>
        </w:rPr>
        <w:t> </w:t>
      </w:r>
      <w:r>
        <w:rPr/>
        <w:t>by</w:t>
      </w:r>
      <w:r>
        <w:rPr>
          <w:spacing w:val="-9"/>
        </w:rPr>
        <w:t> </w:t>
      </w:r>
      <w:r>
        <w:rPr/>
        <w:t>the</w:t>
      </w:r>
      <w:r>
        <w:rPr>
          <w:spacing w:val="-9"/>
        </w:rPr>
        <w:t> </w:t>
      </w:r>
      <w:r>
        <w:rPr/>
        <w:t>provision</w:t>
      </w:r>
      <w:r>
        <w:rPr>
          <w:spacing w:val="-10"/>
        </w:rPr>
        <w:t> </w:t>
      </w:r>
      <w:r>
        <w:rPr/>
        <w:t>of</w:t>
      </w:r>
      <w:r>
        <w:rPr>
          <w:spacing w:val="-10"/>
        </w:rPr>
        <w:t> </w:t>
      </w:r>
      <w:r>
        <w:rPr/>
        <w:t>intersectionality</w:t>
      </w:r>
      <w:r>
        <w:rPr>
          <w:spacing w:val="-9"/>
        </w:rPr>
        <w:t> </w:t>
      </w:r>
      <w:r>
        <w:rPr/>
        <w:t>within equality legislation.</w:t>
      </w:r>
      <w:r>
        <w:rPr>
          <w:vertAlign w:val="superscript"/>
        </w:rPr>
        <w:t>167</w:t>
      </w:r>
    </w:p>
    <w:p>
      <w:pPr>
        <w:pStyle w:val="ListParagraph"/>
        <w:numPr>
          <w:ilvl w:val="1"/>
          <w:numId w:val="7"/>
        </w:numPr>
        <w:tabs>
          <w:tab w:pos="1853" w:val="left" w:leader="none"/>
        </w:tabs>
        <w:spacing w:line="225" w:lineRule="auto" w:before="311" w:after="0"/>
        <w:ind w:left="1853" w:right="1346" w:hanging="720"/>
        <w:jc w:val="left"/>
        <w:rPr>
          <w:sz w:val="28"/>
        </w:rPr>
      </w:pPr>
      <w:r>
        <w:rPr>
          <w:sz w:val="28"/>
        </w:rPr>
        <w:t>In June 2023, the ECNI’s response to the review of the Race Relations (NI) Order</w:t>
      </w:r>
      <w:r>
        <w:rPr>
          <w:spacing w:val="-5"/>
          <w:sz w:val="28"/>
        </w:rPr>
        <w:t> </w:t>
      </w:r>
      <w:r>
        <w:rPr>
          <w:sz w:val="28"/>
        </w:rPr>
        <w:t>1997,</w:t>
      </w:r>
      <w:r>
        <w:rPr>
          <w:spacing w:val="-5"/>
          <w:sz w:val="28"/>
        </w:rPr>
        <w:t> </w:t>
      </w:r>
      <w:r>
        <w:rPr>
          <w:sz w:val="28"/>
        </w:rPr>
        <w:t>reiterated</w:t>
      </w:r>
      <w:r>
        <w:rPr>
          <w:spacing w:val="-6"/>
          <w:sz w:val="28"/>
        </w:rPr>
        <w:t> </w:t>
      </w:r>
      <w:r>
        <w:rPr>
          <w:sz w:val="28"/>
        </w:rPr>
        <w:t>its</w:t>
      </w:r>
      <w:r>
        <w:rPr>
          <w:spacing w:val="-6"/>
          <w:sz w:val="28"/>
        </w:rPr>
        <w:t> </w:t>
      </w:r>
      <w:r>
        <w:rPr>
          <w:sz w:val="28"/>
        </w:rPr>
        <w:t>position</w:t>
      </w:r>
      <w:r>
        <w:rPr>
          <w:spacing w:val="-6"/>
          <w:sz w:val="28"/>
        </w:rPr>
        <w:t> </w:t>
      </w:r>
      <w:r>
        <w:rPr>
          <w:sz w:val="28"/>
        </w:rPr>
        <w:t>on</w:t>
      </w:r>
      <w:r>
        <w:rPr>
          <w:spacing w:val="-6"/>
          <w:sz w:val="28"/>
        </w:rPr>
        <w:t> </w:t>
      </w:r>
      <w:r>
        <w:rPr>
          <w:sz w:val="28"/>
        </w:rPr>
        <w:t>the</w:t>
      </w:r>
      <w:r>
        <w:rPr>
          <w:spacing w:val="-5"/>
          <w:sz w:val="28"/>
        </w:rPr>
        <w:t> </w:t>
      </w:r>
      <w:r>
        <w:rPr>
          <w:sz w:val="28"/>
        </w:rPr>
        <w:t>need</w:t>
      </w:r>
      <w:r>
        <w:rPr>
          <w:spacing w:val="-6"/>
          <w:sz w:val="28"/>
        </w:rPr>
        <w:t> </w:t>
      </w:r>
      <w:r>
        <w:rPr>
          <w:sz w:val="28"/>
        </w:rPr>
        <w:t>for</w:t>
      </w:r>
      <w:r>
        <w:rPr>
          <w:spacing w:val="-5"/>
          <w:sz w:val="28"/>
        </w:rPr>
        <w:t> </w:t>
      </w:r>
      <w:r>
        <w:rPr>
          <w:sz w:val="28"/>
        </w:rPr>
        <w:t>a</w:t>
      </w:r>
      <w:r>
        <w:rPr>
          <w:spacing w:val="-6"/>
          <w:sz w:val="28"/>
        </w:rPr>
        <w:t> </w:t>
      </w:r>
      <w:r>
        <w:rPr>
          <w:sz w:val="28"/>
        </w:rPr>
        <w:t>Single</w:t>
      </w:r>
      <w:r>
        <w:rPr>
          <w:spacing w:val="-5"/>
          <w:sz w:val="28"/>
        </w:rPr>
        <w:t> </w:t>
      </w:r>
      <w:r>
        <w:rPr>
          <w:sz w:val="28"/>
        </w:rPr>
        <w:t>Equality</w:t>
      </w:r>
      <w:r>
        <w:rPr>
          <w:spacing w:val="-5"/>
          <w:sz w:val="28"/>
        </w:rPr>
        <w:t> </w:t>
      </w:r>
      <w:r>
        <w:rPr>
          <w:sz w:val="28"/>
        </w:rPr>
        <w:t>Act</w:t>
      </w:r>
      <w:r>
        <w:rPr>
          <w:spacing w:val="-5"/>
          <w:sz w:val="28"/>
        </w:rPr>
        <w:t> </w:t>
      </w:r>
      <w:r>
        <w:rPr>
          <w:sz w:val="28"/>
        </w:rPr>
        <w:t>in</w:t>
      </w:r>
      <w:r>
        <w:rPr>
          <w:spacing w:val="-6"/>
          <w:sz w:val="28"/>
        </w:rPr>
        <w:t> </w:t>
      </w:r>
      <w:r>
        <w:rPr>
          <w:sz w:val="28"/>
        </w:rPr>
        <w:t>NI.</w:t>
      </w:r>
    </w:p>
    <w:p>
      <w:pPr>
        <w:pStyle w:val="BodyText"/>
        <w:spacing w:before="110"/>
        <w:rPr>
          <w:sz w:val="20"/>
        </w:rPr>
      </w:pPr>
      <w:r>
        <w:rPr/>
        <mc:AlternateContent>
          <mc:Choice Requires="wps">
            <w:drawing>
              <wp:anchor distT="0" distB="0" distL="0" distR="0" allowOverlap="1" layoutInCell="1" locked="0" behindDoc="1" simplePos="0" relativeHeight="487644672">
                <wp:simplePos x="0" y="0"/>
                <wp:positionH relativeFrom="page">
                  <wp:posOffset>719996</wp:posOffset>
                </wp:positionH>
                <wp:positionV relativeFrom="paragraph">
                  <wp:posOffset>240627</wp:posOffset>
                </wp:positionV>
                <wp:extent cx="6120130" cy="1270"/>
                <wp:effectExtent l="0" t="0" r="0" b="0"/>
                <wp:wrapTopAndBottom/>
                <wp:docPr id="198" name="Graphic 198"/>
                <wp:cNvGraphicFramePr>
                  <a:graphicFrameLocks/>
                </wp:cNvGraphicFramePr>
                <a:graphic>
                  <a:graphicData uri="http://schemas.microsoft.com/office/word/2010/wordprocessingShape">
                    <wps:wsp>
                      <wps:cNvPr id="198" name="Graphic 198"/>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8.947016pt;width:481.9pt;height:.1pt;mso-position-horizontal-relative:page;mso-position-vertical-relative:paragraph;z-index:-15671808;mso-wrap-distance-left:0;mso-wrap-distance-right:0" id="docshape154" coordorigin="1134,379" coordsize="9638,0" path="m10772,379l1134,379e" filled="false" stroked="true" strokeweight="1pt" strokecolor="#393b80">
                <v:path arrowok="t"/>
                <v:stroke dashstyle="solid"/>
                <w10:wrap type="topAndBottom"/>
              </v:shape>
            </w:pict>
          </mc:Fallback>
        </mc:AlternateContent>
      </w:r>
    </w:p>
    <w:p>
      <w:pPr>
        <w:pStyle w:val="ListParagraph"/>
        <w:numPr>
          <w:ilvl w:val="0"/>
          <w:numId w:val="3"/>
        </w:numPr>
        <w:tabs>
          <w:tab w:pos="1853" w:val="left" w:leader="none"/>
        </w:tabs>
        <w:spacing w:line="218" w:lineRule="exact" w:before="111" w:after="0"/>
        <w:ind w:left="1853" w:right="0" w:hanging="720"/>
        <w:jc w:val="left"/>
        <w:rPr>
          <w:sz w:val="18"/>
        </w:rPr>
      </w:pPr>
      <w:r>
        <w:rPr>
          <w:sz w:val="18"/>
        </w:rPr>
        <w:t>Equality</w:t>
      </w:r>
      <w:r>
        <w:rPr>
          <w:spacing w:val="-3"/>
          <w:sz w:val="18"/>
        </w:rPr>
        <w:t> </w:t>
      </w:r>
      <w:r>
        <w:rPr>
          <w:sz w:val="18"/>
        </w:rPr>
        <w:t>Commission</w:t>
      </w:r>
      <w:r>
        <w:rPr>
          <w:spacing w:val="-4"/>
          <w:sz w:val="18"/>
        </w:rPr>
        <w:t> </w:t>
      </w:r>
      <w:r>
        <w:rPr>
          <w:sz w:val="18"/>
        </w:rPr>
        <w:t>for</w:t>
      </w:r>
      <w:r>
        <w:rPr>
          <w:spacing w:val="-2"/>
          <w:sz w:val="18"/>
        </w:rPr>
        <w:t> </w:t>
      </w:r>
      <w:r>
        <w:rPr>
          <w:sz w:val="18"/>
        </w:rPr>
        <w:t>NI,</w:t>
      </w:r>
      <w:r>
        <w:rPr>
          <w:spacing w:val="-3"/>
          <w:sz w:val="18"/>
        </w:rPr>
        <w:t> </w:t>
      </w:r>
      <w:r>
        <w:rPr>
          <w:sz w:val="18"/>
        </w:rPr>
        <w:t>‘</w:t>
      </w:r>
      <w:hyperlink r:id="rId91">
        <w:r>
          <w:rPr>
            <w:sz w:val="18"/>
          </w:rPr>
          <w:t>The</w:t>
        </w:r>
        <w:r>
          <w:rPr>
            <w:spacing w:val="-2"/>
            <w:sz w:val="18"/>
          </w:rPr>
          <w:t> </w:t>
        </w:r>
        <w:r>
          <w:rPr>
            <w:sz w:val="18"/>
          </w:rPr>
          <w:t>need</w:t>
        </w:r>
        <w:r>
          <w:rPr>
            <w:spacing w:val="-4"/>
            <w:sz w:val="18"/>
          </w:rPr>
          <w:t> </w:t>
        </w:r>
        <w:r>
          <w:rPr>
            <w:sz w:val="18"/>
          </w:rPr>
          <w:t>for</w:t>
        </w:r>
        <w:r>
          <w:rPr>
            <w:spacing w:val="-2"/>
            <w:sz w:val="18"/>
          </w:rPr>
          <w:t> </w:t>
        </w:r>
        <w:r>
          <w:rPr>
            <w:sz w:val="18"/>
          </w:rPr>
          <w:t>a</w:t>
        </w:r>
        <w:r>
          <w:rPr>
            <w:spacing w:val="-4"/>
            <w:sz w:val="18"/>
          </w:rPr>
          <w:t> </w:t>
        </w:r>
        <w:r>
          <w:rPr>
            <w:sz w:val="18"/>
          </w:rPr>
          <w:t>NI</w:t>
        </w:r>
        <w:r>
          <w:rPr>
            <w:spacing w:val="-3"/>
            <w:sz w:val="18"/>
          </w:rPr>
          <w:t> </w:t>
        </w:r>
        <w:r>
          <w:rPr>
            <w:sz w:val="18"/>
          </w:rPr>
          <w:t>Single</w:t>
        </w:r>
        <w:r>
          <w:rPr>
            <w:spacing w:val="-2"/>
            <w:sz w:val="18"/>
          </w:rPr>
          <w:t> </w:t>
        </w:r>
        <w:r>
          <w:rPr>
            <w:sz w:val="18"/>
          </w:rPr>
          <w:t>Equality</w:t>
        </w:r>
        <w:r>
          <w:rPr>
            <w:spacing w:val="-3"/>
            <w:sz w:val="18"/>
          </w:rPr>
          <w:t> </w:t>
        </w:r>
        <w:r>
          <w:rPr>
            <w:sz w:val="18"/>
          </w:rPr>
          <w:t>Act:</w:t>
        </w:r>
        <w:r>
          <w:rPr>
            <w:spacing w:val="-2"/>
            <w:sz w:val="18"/>
          </w:rPr>
          <w:t> </w:t>
        </w:r>
        <w:r>
          <w:rPr>
            <w:sz w:val="18"/>
          </w:rPr>
          <w:t>Policy</w:t>
        </w:r>
        <w:r>
          <w:rPr>
            <w:spacing w:val="-3"/>
            <w:sz w:val="18"/>
          </w:rPr>
          <w:t> </w:t>
        </w:r>
        <w:r>
          <w:rPr>
            <w:sz w:val="18"/>
          </w:rPr>
          <w:t>Position</w:t>
        </w:r>
        <w:r>
          <w:rPr>
            <w:spacing w:val="-3"/>
            <w:sz w:val="18"/>
          </w:rPr>
          <w:t> </w:t>
        </w:r>
        <w:r>
          <w:rPr>
            <w:sz w:val="18"/>
          </w:rPr>
          <w:t>Paper</w:t>
        </w:r>
      </w:hyperlink>
      <w:r>
        <w:rPr>
          <w:sz w:val="18"/>
        </w:rPr>
        <w:t>’</w:t>
      </w:r>
      <w:r>
        <w:rPr>
          <w:spacing w:val="-4"/>
          <w:sz w:val="18"/>
        </w:rPr>
        <w:t> </w:t>
      </w:r>
      <w:r>
        <w:rPr>
          <w:sz w:val="18"/>
        </w:rPr>
        <w:t>(ECNI,</w:t>
      </w:r>
      <w:r>
        <w:rPr>
          <w:spacing w:val="-2"/>
          <w:sz w:val="18"/>
        </w:rPr>
        <w:t> 2022).</w:t>
      </w:r>
    </w:p>
    <w:p>
      <w:pPr>
        <w:pStyle w:val="ListParagraph"/>
        <w:numPr>
          <w:ilvl w:val="0"/>
          <w:numId w:val="3"/>
        </w:numPr>
        <w:tabs>
          <w:tab w:pos="1853" w:val="left" w:leader="none"/>
        </w:tabs>
        <w:spacing w:line="235" w:lineRule="auto" w:before="2" w:after="0"/>
        <w:ind w:left="1853" w:right="1167" w:hanging="720"/>
        <w:jc w:val="left"/>
        <w:rPr>
          <w:sz w:val="18"/>
        </w:rPr>
      </w:pPr>
      <w:r>
        <w:rPr>
          <w:sz w:val="18"/>
        </w:rPr>
        <w:t>E/C.12/GBR/CO/6,</w:t>
      </w:r>
      <w:r>
        <w:rPr>
          <w:spacing w:val="-5"/>
          <w:sz w:val="18"/>
        </w:rPr>
        <w:t> </w:t>
      </w:r>
      <w:r>
        <w:rPr>
          <w:sz w:val="18"/>
        </w:rPr>
        <w:t>‘UN</w:t>
      </w:r>
      <w:r>
        <w:rPr>
          <w:spacing w:val="-5"/>
          <w:sz w:val="18"/>
        </w:rPr>
        <w:t> </w:t>
      </w:r>
      <w:r>
        <w:rPr>
          <w:sz w:val="18"/>
        </w:rPr>
        <w:t>ICESCR</w:t>
      </w:r>
      <w:r>
        <w:rPr>
          <w:spacing w:val="-5"/>
          <w:sz w:val="18"/>
        </w:rPr>
        <w:t> </w:t>
      </w:r>
      <w:r>
        <w:rPr>
          <w:sz w:val="18"/>
        </w:rPr>
        <w:t>Committee</w:t>
      </w:r>
      <w:r>
        <w:rPr>
          <w:spacing w:val="-5"/>
          <w:sz w:val="18"/>
        </w:rPr>
        <w:t> </w:t>
      </w:r>
      <w:r>
        <w:rPr>
          <w:sz w:val="18"/>
        </w:rPr>
        <w:t>Concluding</w:t>
      </w:r>
      <w:r>
        <w:rPr>
          <w:spacing w:val="-5"/>
          <w:sz w:val="18"/>
        </w:rPr>
        <w:t> </w:t>
      </w:r>
      <w:r>
        <w:rPr>
          <w:sz w:val="18"/>
        </w:rPr>
        <w:t>Observations</w:t>
      </w:r>
      <w:r>
        <w:rPr>
          <w:spacing w:val="-5"/>
          <w:sz w:val="18"/>
        </w:rPr>
        <w:t> </w:t>
      </w:r>
      <w:r>
        <w:rPr>
          <w:sz w:val="18"/>
        </w:rPr>
        <w:t>on</w:t>
      </w:r>
      <w:r>
        <w:rPr>
          <w:spacing w:val="-5"/>
          <w:sz w:val="18"/>
        </w:rPr>
        <w:t> </w:t>
      </w:r>
      <w:r>
        <w:rPr>
          <w:sz w:val="18"/>
        </w:rPr>
        <w:t>the</w:t>
      </w:r>
      <w:r>
        <w:rPr>
          <w:spacing w:val="-5"/>
          <w:sz w:val="18"/>
        </w:rPr>
        <w:t> </w:t>
      </w:r>
      <w:r>
        <w:rPr>
          <w:sz w:val="18"/>
        </w:rPr>
        <w:t>Sixth</w:t>
      </w:r>
      <w:r>
        <w:rPr>
          <w:spacing w:val="-5"/>
          <w:sz w:val="18"/>
        </w:rPr>
        <w:t> </w:t>
      </w:r>
      <w:r>
        <w:rPr>
          <w:sz w:val="18"/>
        </w:rPr>
        <w:t>Periodic</w:t>
      </w:r>
      <w:r>
        <w:rPr>
          <w:spacing w:val="-5"/>
          <w:sz w:val="18"/>
        </w:rPr>
        <w:t> </w:t>
      </w:r>
      <w:r>
        <w:rPr>
          <w:sz w:val="18"/>
        </w:rPr>
        <w:t>Report</w:t>
      </w:r>
      <w:r>
        <w:rPr>
          <w:spacing w:val="-5"/>
          <w:sz w:val="18"/>
        </w:rPr>
        <w:t> </w:t>
      </w:r>
      <w:r>
        <w:rPr>
          <w:sz w:val="18"/>
        </w:rPr>
        <w:t>of</w:t>
      </w:r>
      <w:r>
        <w:rPr>
          <w:spacing w:val="-5"/>
          <w:sz w:val="18"/>
        </w:rPr>
        <w:t> </w:t>
      </w:r>
      <w:r>
        <w:rPr>
          <w:sz w:val="18"/>
        </w:rPr>
        <w:t>the</w:t>
      </w:r>
      <w:r>
        <w:rPr>
          <w:spacing w:val="-5"/>
          <w:sz w:val="18"/>
        </w:rPr>
        <w:t> </w:t>
      </w:r>
      <w:r>
        <w:rPr>
          <w:sz w:val="18"/>
        </w:rPr>
        <w:t>UK</w:t>
      </w:r>
      <w:r>
        <w:rPr>
          <w:spacing w:val="-5"/>
          <w:sz w:val="18"/>
        </w:rPr>
        <w:t> </w:t>
      </w:r>
      <w:r>
        <w:rPr>
          <w:sz w:val="18"/>
        </w:rPr>
        <w:t>of</w:t>
      </w:r>
      <w:r>
        <w:rPr>
          <w:spacing w:val="-5"/>
          <w:sz w:val="18"/>
        </w:rPr>
        <w:t> </w:t>
      </w:r>
      <w:r>
        <w:rPr>
          <w:sz w:val="18"/>
        </w:rPr>
        <w:t>Great</w:t>
      </w:r>
      <w:r>
        <w:rPr>
          <w:spacing w:val="-5"/>
          <w:sz w:val="18"/>
        </w:rPr>
        <w:t> </w:t>
      </w:r>
      <w:r>
        <w:rPr>
          <w:sz w:val="18"/>
        </w:rPr>
        <w:t>Britain and NI’, 14 July 2016, at para 22-23.</w:t>
      </w:r>
    </w:p>
    <w:p>
      <w:pPr>
        <w:pStyle w:val="ListParagraph"/>
        <w:numPr>
          <w:ilvl w:val="0"/>
          <w:numId w:val="3"/>
        </w:numPr>
        <w:tabs>
          <w:tab w:pos="1853" w:val="left" w:leader="none"/>
        </w:tabs>
        <w:spacing w:line="235" w:lineRule="auto" w:before="1" w:after="0"/>
        <w:ind w:left="1853" w:right="2903" w:hanging="720"/>
        <w:jc w:val="left"/>
        <w:rPr>
          <w:sz w:val="18"/>
        </w:rPr>
      </w:pPr>
      <w:r>
        <w:rPr>
          <w:sz w:val="18"/>
        </w:rPr>
        <w:t>E/C.12/GBR/Q/7,</w:t>
      </w:r>
      <w:r>
        <w:rPr>
          <w:spacing w:val="-3"/>
          <w:sz w:val="18"/>
        </w:rPr>
        <w:t> </w:t>
      </w:r>
      <w:r>
        <w:rPr>
          <w:sz w:val="18"/>
        </w:rPr>
        <w:t>‘UN</w:t>
      </w:r>
      <w:r>
        <w:rPr>
          <w:spacing w:val="-3"/>
          <w:sz w:val="18"/>
        </w:rPr>
        <w:t> </w:t>
      </w:r>
      <w:r>
        <w:rPr>
          <w:sz w:val="18"/>
        </w:rPr>
        <w:t>ICESCR</w:t>
      </w:r>
      <w:r>
        <w:rPr>
          <w:spacing w:val="-3"/>
          <w:sz w:val="18"/>
        </w:rPr>
        <w:t> </w:t>
      </w:r>
      <w:r>
        <w:rPr>
          <w:sz w:val="18"/>
        </w:rPr>
        <w:t>Committee</w:t>
      </w:r>
      <w:r>
        <w:rPr>
          <w:spacing w:val="-3"/>
          <w:sz w:val="18"/>
        </w:rPr>
        <w:t> </w:t>
      </w:r>
      <w:r>
        <w:rPr>
          <w:sz w:val="18"/>
        </w:rPr>
        <w:t>List</w:t>
      </w:r>
      <w:r>
        <w:rPr>
          <w:spacing w:val="-3"/>
          <w:sz w:val="18"/>
        </w:rPr>
        <w:t> </w:t>
      </w:r>
      <w:r>
        <w:rPr>
          <w:sz w:val="18"/>
        </w:rPr>
        <w:t>of</w:t>
      </w:r>
      <w:r>
        <w:rPr>
          <w:spacing w:val="-4"/>
          <w:sz w:val="18"/>
        </w:rPr>
        <w:t> </w:t>
      </w:r>
      <w:r>
        <w:rPr>
          <w:sz w:val="18"/>
        </w:rPr>
        <w:t>issues</w:t>
      </w:r>
      <w:r>
        <w:rPr>
          <w:spacing w:val="-4"/>
          <w:sz w:val="18"/>
        </w:rPr>
        <w:t> </w:t>
      </w:r>
      <w:r>
        <w:rPr>
          <w:sz w:val="18"/>
        </w:rPr>
        <w:t>in</w:t>
      </w:r>
      <w:r>
        <w:rPr>
          <w:spacing w:val="-4"/>
          <w:sz w:val="18"/>
        </w:rPr>
        <w:t> </w:t>
      </w:r>
      <w:r>
        <w:rPr>
          <w:sz w:val="18"/>
        </w:rPr>
        <w:t>relation</w:t>
      </w:r>
      <w:r>
        <w:rPr>
          <w:spacing w:val="-4"/>
          <w:sz w:val="18"/>
        </w:rPr>
        <w:t> </w:t>
      </w:r>
      <w:r>
        <w:rPr>
          <w:sz w:val="18"/>
        </w:rPr>
        <w:t>to</w:t>
      </w:r>
      <w:r>
        <w:rPr>
          <w:spacing w:val="-4"/>
          <w:sz w:val="18"/>
        </w:rPr>
        <w:t> </w:t>
      </w:r>
      <w:r>
        <w:rPr>
          <w:sz w:val="18"/>
        </w:rPr>
        <w:t>the</w:t>
      </w:r>
      <w:r>
        <w:rPr>
          <w:spacing w:val="-3"/>
          <w:sz w:val="18"/>
        </w:rPr>
        <w:t> </w:t>
      </w:r>
      <w:r>
        <w:rPr>
          <w:sz w:val="18"/>
        </w:rPr>
        <w:t>seventh</w:t>
      </w:r>
      <w:r>
        <w:rPr>
          <w:spacing w:val="-4"/>
          <w:sz w:val="18"/>
        </w:rPr>
        <w:t> </w:t>
      </w:r>
      <w:r>
        <w:rPr>
          <w:sz w:val="18"/>
        </w:rPr>
        <w:t>periodic</w:t>
      </w:r>
      <w:r>
        <w:rPr>
          <w:spacing w:val="-3"/>
          <w:sz w:val="18"/>
        </w:rPr>
        <w:t> </w:t>
      </w:r>
      <w:r>
        <w:rPr>
          <w:sz w:val="18"/>
        </w:rPr>
        <w:t>report</w:t>
      </w:r>
      <w:r>
        <w:rPr>
          <w:spacing w:val="-3"/>
          <w:sz w:val="18"/>
        </w:rPr>
        <w:t> </w:t>
      </w:r>
      <w:r>
        <w:rPr>
          <w:sz w:val="18"/>
        </w:rPr>
        <w:t>of UK of Great Britain and NI’, 23 March 2023, at para 9.</w:t>
      </w:r>
    </w:p>
    <w:p>
      <w:pPr>
        <w:pStyle w:val="ListParagraph"/>
        <w:numPr>
          <w:ilvl w:val="0"/>
          <w:numId w:val="3"/>
        </w:numPr>
        <w:tabs>
          <w:tab w:pos="1853" w:val="left" w:leader="none"/>
        </w:tabs>
        <w:spacing w:line="235" w:lineRule="auto" w:before="1" w:after="0"/>
        <w:ind w:left="1853" w:right="1412" w:hanging="720"/>
        <w:jc w:val="both"/>
        <w:rPr>
          <w:sz w:val="18"/>
        </w:rPr>
      </w:pPr>
      <w:r>
        <w:rPr>
          <w:sz w:val="18"/>
        </w:rPr>
        <w:t>Sarah</w:t>
      </w:r>
      <w:r>
        <w:rPr>
          <w:spacing w:val="-7"/>
          <w:sz w:val="18"/>
        </w:rPr>
        <w:t> </w:t>
      </w:r>
      <w:r>
        <w:rPr>
          <w:sz w:val="18"/>
        </w:rPr>
        <w:t>Craig,</w:t>
      </w:r>
      <w:r>
        <w:rPr>
          <w:spacing w:val="-6"/>
          <w:sz w:val="18"/>
        </w:rPr>
        <w:t> </w:t>
      </w:r>
      <w:r>
        <w:rPr>
          <w:sz w:val="18"/>
        </w:rPr>
        <w:t>Anurag</w:t>
      </w:r>
      <w:r>
        <w:rPr>
          <w:spacing w:val="-6"/>
          <w:sz w:val="18"/>
        </w:rPr>
        <w:t> </w:t>
      </w:r>
      <w:r>
        <w:rPr>
          <w:sz w:val="18"/>
        </w:rPr>
        <w:t>Deb,</w:t>
      </w:r>
      <w:r>
        <w:rPr>
          <w:spacing w:val="-6"/>
          <w:sz w:val="18"/>
        </w:rPr>
        <w:t> </w:t>
      </w:r>
      <w:r>
        <w:rPr>
          <w:sz w:val="18"/>
        </w:rPr>
        <w:t>Eleni</w:t>
      </w:r>
      <w:r>
        <w:rPr>
          <w:spacing w:val="-7"/>
          <w:sz w:val="18"/>
        </w:rPr>
        <w:t> </w:t>
      </w:r>
      <w:r>
        <w:rPr>
          <w:sz w:val="18"/>
        </w:rPr>
        <w:t>Frantziou,</w:t>
      </w:r>
      <w:r>
        <w:rPr>
          <w:spacing w:val="-6"/>
          <w:sz w:val="18"/>
        </w:rPr>
        <w:t> </w:t>
      </w:r>
      <w:r>
        <w:rPr>
          <w:sz w:val="18"/>
        </w:rPr>
        <w:t>Alexander</w:t>
      </w:r>
      <w:r>
        <w:rPr>
          <w:spacing w:val="-6"/>
          <w:sz w:val="18"/>
        </w:rPr>
        <w:t> </w:t>
      </w:r>
      <w:r>
        <w:rPr>
          <w:sz w:val="18"/>
        </w:rPr>
        <w:t>Horne,</w:t>
      </w:r>
      <w:r>
        <w:rPr>
          <w:spacing w:val="-6"/>
          <w:sz w:val="18"/>
        </w:rPr>
        <w:t> </w:t>
      </w:r>
      <w:r>
        <w:rPr>
          <w:sz w:val="18"/>
        </w:rPr>
        <w:t>Colin</w:t>
      </w:r>
      <w:r>
        <w:rPr>
          <w:spacing w:val="-7"/>
          <w:sz w:val="18"/>
        </w:rPr>
        <w:t> </w:t>
      </w:r>
      <w:r>
        <w:rPr>
          <w:sz w:val="18"/>
        </w:rPr>
        <w:t>Murray,</w:t>
      </w:r>
      <w:r>
        <w:rPr>
          <w:spacing w:val="-6"/>
          <w:sz w:val="18"/>
        </w:rPr>
        <w:t> </w:t>
      </w:r>
      <w:r>
        <w:rPr>
          <w:sz w:val="18"/>
        </w:rPr>
        <w:t>Clare</w:t>
      </w:r>
      <w:r>
        <w:rPr>
          <w:spacing w:val="-6"/>
          <w:sz w:val="18"/>
        </w:rPr>
        <w:t> </w:t>
      </w:r>
      <w:r>
        <w:rPr>
          <w:sz w:val="18"/>
        </w:rPr>
        <w:t>Rice</w:t>
      </w:r>
      <w:r>
        <w:rPr>
          <w:spacing w:val="-6"/>
          <w:sz w:val="18"/>
        </w:rPr>
        <w:t> </w:t>
      </w:r>
      <w:r>
        <w:rPr>
          <w:sz w:val="18"/>
        </w:rPr>
        <w:t>and</w:t>
      </w:r>
      <w:r>
        <w:rPr>
          <w:spacing w:val="-7"/>
          <w:sz w:val="18"/>
        </w:rPr>
        <w:t> </w:t>
      </w:r>
      <w:r>
        <w:rPr>
          <w:sz w:val="18"/>
        </w:rPr>
        <w:t>Jane</w:t>
      </w:r>
      <w:r>
        <w:rPr>
          <w:spacing w:val="-6"/>
          <w:sz w:val="18"/>
        </w:rPr>
        <w:t> </w:t>
      </w:r>
      <w:r>
        <w:rPr>
          <w:sz w:val="18"/>
        </w:rPr>
        <w:t>Rooney,</w:t>
      </w:r>
      <w:r>
        <w:rPr>
          <w:spacing w:val="-6"/>
          <w:sz w:val="18"/>
        </w:rPr>
        <w:t> </w:t>
      </w:r>
      <w:r>
        <w:rPr>
          <w:sz w:val="18"/>
        </w:rPr>
        <w:t>‘</w:t>
      </w:r>
      <w:hyperlink r:id="rId75">
        <w:r>
          <w:rPr>
            <w:sz w:val="18"/>
          </w:rPr>
          <w:t>European</w:t>
        </w:r>
        <w:r>
          <w:rPr>
            <w:spacing w:val="-7"/>
            <w:sz w:val="18"/>
          </w:rPr>
          <w:t> </w:t>
        </w:r>
        <w:r>
          <w:rPr>
            <w:sz w:val="18"/>
          </w:rPr>
          <w:t>Union</w:t>
        </w:r>
      </w:hyperlink>
      <w:r>
        <w:rPr>
          <w:sz w:val="18"/>
        </w:rPr>
        <w:t> </w:t>
      </w:r>
      <w:hyperlink r:id="rId75">
        <w:r>
          <w:rPr>
            <w:sz w:val="18"/>
          </w:rPr>
          <w:t>developments</w:t>
        </w:r>
        <w:r>
          <w:rPr>
            <w:spacing w:val="-2"/>
            <w:sz w:val="18"/>
          </w:rPr>
          <w:t> </w:t>
        </w:r>
        <w:r>
          <w:rPr>
            <w:sz w:val="18"/>
          </w:rPr>
          <w:t>in</w:t>
        </w:r>
        <w:r>
          <w:rPr>
            <w:spacing w:val="-2"/>
            <w:sz w:val="18"/>
          </w:rPr>
          <w:t> </w:t>
        </w:r>
        <w:r>
          <w:rPr>
            <w:sz w:val="18"/>
          </w:rPr>
          <w:t>Equality</w:t>
        </w:r>
        <w:r>
          <w:rPr>
            <w:spacing w:val="-1"/>
            <w:sz w:val="18"/>
          </w:rPr>
          <w:t> </w:t>
        </w:r>
        <w:r>
          <w:rPr>
            <w:sz w:val="18"/>
          </w:rPr>
          <w:t>and</w:t>
        </w:r>
        <w:r>
          <w:rPr>
            <w:spacing w:val="-2"/>
            <w:sz w:val="18"/>
          </w:rPr>
          <w:t> </w:t>
        </w:r>
        <w:r>
          <w:rPr>
            <w:sz w:val="18"/>
          </w:rPr>
          <w:t>Human</w:t>
        </w:r>
        <w:r>
          <w:rPr>
            <w:spacing w:val="-2"/>
            <w:sz w:val="18"/>
          </w:rPr>
          <w:t> </w:t>
        </w:r>
        <w:r>
          <w:rPr>
            <w:sz w:val="18"/>
          </w:rPr>
          <w:t>Rights:</w:t>
        </w:r>
        <w:r>
          <w:rPr>
            <w:spacing w:val="-1"/>
            <w:sz w:val="18"/>
          </w:rPr>
          <w:t> </w:t>
        </w:r>
        <w:r>
          <w:rPr>
            <w:sz w:val="18"/>
          </w:rPr>
          <w:t>The</w:t>
        </w:r>
        <w:r>
          <w:rPr>
            <w:spacing w:val="-1"/>
            <w:sz w:val="18"/>
          </w:rPr>
          <w:t> </w:t>
        </w:r>
        <w:r>
          <w:rPr>
            <w:sz w:val="18"/>
          </w:rPr>
          <w:t>Impact</w:t>
        </w:r>
        <w:r>
          <w:rPr>
            <w:spacing w:val="-1"/>
            <w:sz w:val="18"/>
          </w:rPr>
          <w:t> </w:t>
        </w:r>
        <w:r>
          <w:rPr>
            <w:sz w:val="18"/>
          </w:rPr>
          <w:t>of</w:t>
        </w:r>
        <w:r>
          <w:rPr>
            <w:spacing w:val="-2"/>
            <w:sz w:val="18"/>
          </w:rPr>
          <w:t> </w:t>
        </w:r>
        <w:r>
          <w:rPr>
            <w:sz w:val="18"/>
          </w:rPr>
          <w:t>Brexit</w:t>
        </w:r>
        <w:r>
          <w:rPr>
            <w:spacing w:val="-1"/>
            <w:sz w:val="18"/>
          </w:rPr>
          <w:t> </w:t>
        </w:r>
        <w:r>
          <w:rPr>
            <w:sz w:val="18"/>
          </w:rPr>
          <w:t>on</w:t>
        </w:r>
        <w:r>
          <w:rPr>
            <w:spacing w:val="-2"/>
            <w:sz w:val="18"/>
          </w:rPr>
          <w:t> </w:t>
        </w:r>
        <w:r>
          <w:rPr>
            <w:sz w:val="18"/>
          </w:rPr>
          <w:t>the</w:t>
        </w:r>
        <w:r>
          <w:rPr>
            <w:spacing w:val="-1"/>
            <w:sz w:val="18"/>
          </w:rPr>
          <w:t> </w:t>
        </w:r>
        <w:r>
          <w:rPr>
            <w:sz w:val="18"/>
          </w:rPr>
          <w:t>divergence</w:t>
        </w:r>
        <w:r>
          <w:rPr>
            <w:spacing w:val="-1"/>
            <w:sz w:val="18"/>
          </w:rPr>
          <w:t> </w:t>
        </w:r>
        <w:r>
          <w:rPr>
            <w:sz w:val="18"/>
          </w:rPr>
          <w:t>of</w:t>
        </w:r>
        <w:r>
          <w:rPr>
            <w:spacing w:val="-2"/>
            <w:sz w:val="18"/>
          </w:rPr>
          <w:t> </w:t>
        </w:r>
        <w:r>
          <w:rPr>
            <w:sz w:val="18"/>
          </w:rPr>
          <w:t>rights</w:t>
        </w:r>
        <w:r>
          <w:rPr>
            <w:spacing w:val="-2"/>
            <w:sz w:val="18"/>
          </w:rPr>
          <w:t> </w:t>
        </w:r>
        <w:r>
          <w:rPr>
            <w:sz w:val="18"/>
          </w:rPr>
          <w:t>and</w:t>
        </w:r>
        <w:r>
          <w:rPr>
            <w:spacing w:val="-2"/>
            <w:sz w:val="18"/>
          </w:rPr>
          <w:t> </w:t>
        </w:r>
        <w:r>
          <w:rPr>
            <w:sz w:val="18"/>
          </w:rPr>
          <w:t>best</w:t>
        </w:r>
        <w:r>
          <w:rPr>
            <w:spacing w:val="-1"/>
            <w:sz w:val="18"/>
          </w:rPr>
          <w:t> </w:t>
        </w:r>
        <w:r>
          <w:rPr>
            <w:sz w:val="18"/>
          </w:rPr>
          <w:t>practice</w:t>
        </w:r>
        <w:r>
          <w:rPr>
            <w:spacing w:val="-1"/>
            <w:sz w:val="18"/>
          </w:rPr>
          <w:t> </w:t>
        </w:r>
        <w:r>
          <w:rPr>
            <w:sz w:val="18"/>
          </w:rPr>
          <w:t>on</w:t>
        </w:r>
        <w:r>
          <w:rPr>
            <w:spacing w:val="-2"/>
            <w:sz w:val="18"/>
          </w:rPr>
          <w:t> </w:t>
        </w:r>
        <w:r>
          <w:rPr>
            <w:sz w:val="18"/>
          </w:rPr>
          <w:t>the</w:t>
        </w:r>
      </w:hyperlink>
      <w:r>
        <w:rPr>
          <w:sz w:val="18"/>
        </w:rPr>
        <w:t> </w:t>
      </w:r>
      <w:hyperlink r:id="rId75">
        <w:r>
          <w:rPr>
            <w:sz w:val="18"/>
          </w:rPr>
          <w:t>island of Ireland</w:t>
        </w:r>
      </w:hyperlink>
      <w:r>
        <w:rPr>
          <w:sz w:val="18"/>
        </w:rPr>
        <w:t>’ (ECNI, NIHRC and</w:t>
      </w:r>
      <w:r>
        <w:rPr>
          <w:spacing w:val="40"/>
          <w:sz w:val="18"/>
        </w:rPr>
        <w:t> </w:t>
      </w:r>
      <w:r>
        <w:rPr>
          <w:sz w:val="18"/>
        </w:rPr>
        <w:t>IHREC, 2022), at 43.</w:t>
      </w:r>
    </w:p>
    <w:p>
      <w:pPr>
        <w:pStyle w:val="ListParagraph"/>
        <w:numPr>
          <w:ilvl w:val="0"/>
          <w:numId w:val="3"/>
        </w:numPr>
        <w:tabs>
          <w:tab w:pos="1853" w:val="left" w:leader="none"/>
        </w:tabs>
        <w:spacing w:line="235" w:lineRule="auto" w:before="2" w:after="0"/>
        <w:ind w:left="1853" w:right="1292" w:hanging="720"/>
        <w:jc w:val="left"/>
        <w:rPr>
          <w:sz w:val="18"/>
        </w:rPr>
      </w:pPr>
      <w:r>
        <w:rPr>
          <w:sz w:val="18"/>
        </w:rPr>
        <w:t>EU</w:t>
      </w:r>
      <w:r>
        <w:rPr>
          <w:spacing w:val="-6"/>
          <w:sz w:val="18"/>
        </w:rPr>
        <w:t> </w:t>
      </w:r>
      <w:r>
        <w:rPr>
          <w:sz w:val="18"/>
        </w:rPr>
        <w:t>Parliament</w:t>
      </w:r>
      <w:r>
        <w:rPr>
          <w:spacing w:val="-6"/>
          <w:sz w:val="18"/>
        </w:rPr>
        <w:t> </w:t>
      </w:r>
      <w:r>
        <w:rPr>
          <w:sz w:val="18"/>
        </w:rPr>
        <w:t>Resolution</w:t>
      </w:r>
      <w:r>
        <w:rPr>
          <w:spacing w:val="-6"/>
          <w:sz w:val="18"/>
        </w:rPr>
        <w:t> </w:t>
      </w:r>
      <w:r>
        <w:rPr>
          <w:sz w:val="18"/>
        </w:rPr>
        <w:t>‘Combating</w:t>
      </w:r>
      <w:r>
        <w:rPr>
          <w:spacing w:val="-6"/>
          <w:sz w:val="18"/>
        </w:rPr>
        <w:t> </w:t>
      </w:r>
      <w:r>
        <w:rPr>
          <w:sz w:val="18"/>
        </w:rPr>
        <w:t>discrimination</w:t>
      </w:r>
      <w:r>
        <w:rPr>
          <w:spacing w:val="-6"/>
          <w:sz w:val="18"/>
        </w:rPr>
        <w:t> </w:t>
      </w:r>
      <w:r>
        <w:rPr>
          <w:sz w:val="18"/>
        </w:rPr>
        <w:t>in</w:t>
      </w:r>
      <w:r>
        <w:rPr>
          <w:spacing w:val="-6"/>
          <w:sz w:val="18"/>
        </w:rPr>
        <w:t> </w:t>
      </w:r>
      <w:r>
        <w:rPr>
          <w:sz w:val="18"/>
        </w:rPr>
        <w:t>the</w:t>
      </w:r>
      <w:r>
        <w:rPr>
          <w:spacing w:val="-6"/>
          <w:sz w:val="18"/>
        </w:rPr>
        <w:t> </w:t>
      </w:r>
      <w:r>
        <w:rPr>
          <w:sz w:val="18"/>
        </w:rPr>
        <w:t>EU</w:t>
      </w:r>
      <w:r>
        <w:rPr>
          <w:spacing w:val="-6"/>
          <w:sz w:val="18"/>
        </w:rPr>
        <w:t> </w:t>
      </w:r>
      <w:r>
        <w:rPr>
          <w:sz w:val="18"/>
        </w:rPr>
        <w:t>-</w:t>
      </w:r>
      <w:r>
        <w:rPr>
          <w:spacing w:val="-6"/>
          <w:sz w:val="18"/>
        </w:rPr>
        <w:t> </w:t>
      </w:r>
      <w:r>
        <w:rPr>
          <w:sz w:val="18"/>
        </w:rPr>
        <w:t>the</w:t>
      </w:r>
      <w:r>
        <w:rPr>
          <w:spacing w:val="-6"/>
          <w:sz w:val="18"/>
        </w:rPr>
        <w:t> </w:t>
      </w:r>
      <w:r>
        <w:rPr>
          <w:sz w:val="18"/>
        </w:rPr>
        <w:t>long-awaited</w:t>
      </w:r>
      <w:r>
        <w:rPr>
          <w:spacing w:val="-6"/>
          <w:sz w:val="18"/>
        </w:rPr>
        <w:t> </w:t>
      </w:r>
      <w:r>
        <w:rPr>
          <w:sz w:val="18"/>
        </w:rPr>
        <w:t>horizontal</w:t>
      </w:r>
      <w:r>
        <w:rPr>
          <w:spacing w:val="-6"/>
          <w:sz w:val="18"/>
        </w:rPr>
        <w:t> </w:t>
      </w:r>
      <w:r>
        <w:rPr>
          <w:sz w:val="18"/>
        </w:rPr>
        <w:t>anti-discrimination</w:t>
      </w:r>
      <w:r>
        <w:rPr>
          <w:spacing w:val="-6"/>
          <w:sz w:val="18"/>
        </w:rPr>
        <w:t> </w:t>
      </w:r>
      <w:r>
        <w:rPr>
          <w:sz w:val="18"/>
        </w:rPr>
        <w:t>directive (2023/2582(RSP))’ (EU Parliament, 2023), at paras D and 1.</w:t>
      </w:r>
    </w:p>
    <w:p>
      <w:pPr>
        <w:pStyle w:val="ListParagraph"/>
        <w:numPr>
          <w:ilvl w:val="0"/>
          <w:numId w:val="3"/>
        </w:numPr>
        <w:tabs>
          <w:tab w:pos="1853" w:val="left" w:leader="none"/>
        </w:tabs>
        <w:spacing w:line="235" w:lineRule="auto" w:before="2" w:after="0"/>
        <w:ind w:left="1853" w:right="1345" w:hanging="720"/>
        <w:jc w:val="left"/>
        <w:rPr>
          <w:sz w:val="18"/>
        </w:rPr>
      </w:pPr>
      <w:r>
        <w:rPr>
          <w:sz w:val="18"/>
        </w:rPr>
        <w:t>NI</w:t>
      </w:r>
      <w:r>
        <w:rPr>
          <w:spacing w:val="-5"/>
          <w:sz w:val="18"/>
        </w:rPr>
        <w:t> </w:t>
      </w:r>
      <w:r>
        <w:rPr>
          <w:sz w:val="18"/>
        </w:rPr>
        <w:t>Human</w:t>
      </w:r>
      <w:r>
        <w:rPr>
          <w:spacing w:val="-5"/>
          <w:sz w:val="18"/>
        </w:rPr>
        <w:t> </w:t>
      </w:r>
      <w:r>
        <w:rPr>
          <w:sz w:val="18"/>
        </w:rPr>
        <w:t>Rights</w:t>
      </w:r>
      <w:r>
        <w:rPr>
          <w:spacing w:val="-5"/>
          <w:sz w:val="18"/>
        </w:rPr>
        <w:t> </w:t>
      </w:r>
      <w:r>
        <w:rPr>
          <w:sz w:val="18"/>
        </w:rPr>
        <w:t>Commission,</w:t>
      </w:r>
      <w:r>
        <w:rPr>
          <w:spacing w:val="-5"/>
          <w:sz w:val="18"/>
        </w:rPr>
        <w:t> </w:t>
      </w:r>
      <w:r>
        <w:rPr>
          <w:sz w:val="18"/>
        </w:rPr>
        <w:t>‘Response</w:t>
      </w:r>
      <w:r>
        <w:rPr>
          <w:spacing w:val="-5"/>
          <w:sz w:val="18"/>
        </w:rPr>
        <w:t> </w:t>
      </w:r>
      <w:r>
        <w:rPr>
          <w:sz w:val="18"/>
        </w:rPr>
        <w:t>to</w:t>
      </w:r>
      <w:r>
        <w:rPr>
          <w:spacing w:val="-5"/>
          <w:sz w:val="18"/>
        </w:rPr>
        <w:t> </w:t>
      </w:r>
      <w:r>
        <w:rPr>
          <w:sz w:val="18"/>
        </w:rPr>
        <w:t>the</w:t>
      </w:r>
      <w:r>
        <w:rPr>
          <w:spacing w:val="-5"/>
          <w:sz w:val="18"/>
        </w:rPr>
        <w:t> </w:t>
      </w:r>
      <w:r>
        <w:rPr>
          <w:sz w:val="18"/>
        </w:rPr>
        <w:t>Executive</w:t>
      </w:r>
      <w:r>
        <w:rPr>
          <w:spacing w:val="-5"/>
          <w:sz w:val="18"/>
        </w:rPr>
        <w:t> </w:t>
      </w:r>
      <w:r>
        <w:rPr>
          <w:sz w:val="18"/>
        </w:rPr>
        <w:t>Office’s</w:t>
      </w:r>
      <w:r>
        <w:rPr>
          <w:spacing w:val="-5"/>
          <w:sz w:val="18"/>
        </w:rPr>
        <w:t> </w:t>
      </w:r>
      <w:r>
        <w:rPr>
          <w:sz w:val="18"/>
        </w:rPr>
        <w:t>Consultation</w:t>
      </w:r>
      <w:r>
        <w:rPr>
          <w:spacing w:val="-5"/>
          <w:sz w:val="18"/>
        </w:rPr>
        <w:t> </w:t>
      </w:r>
      <w:r>
        <w:rPr>
          <w:sz w:val="18"/>
        </w:rPr>
        <w:t>on</w:t>
      </w:r>
      <w:r>
        <w:rPr>
          <w:spacing w:val="-5"/>
          <w:sz w:val="18"/>
        </w:rPr>
        <w:t> </w:t>
      </w:r>
      <w:r>
        <w:rPr>
          <w:sz w:val="18"/>
        </w:rPr>
        <w:t>the</w:t>
      </w:r>
      <w:r>
        <w:rPr>
          <w:spacing w:val="-5"/>
          <w:sz w:val="18"/>
        </w:rPr>
        <w:t> </w:t>
      </w:r>
      <w:r>
        <w:rPr>
          <w:sz w:val="18"/>
        </w:rPr>
        <w:t>Review</w:t>
      </w:r>
      <w:r>
        <w:rPr>
          <w:spacing w:val="-5"/>
          <w:sz w:val="18"/>
        </w:rPr>
        <w:t> </w:t>
      </w:r>
      <w:r>
        <w:rPr>
          <w:sz w:val="18"/>
        </w:rPr>
        <w:t>of</w:t>
      </w:r>
      <w:r>
        <w:rPr>
          <w:spacing w:val="-5"/>
          <w:sz w:val="18"/>
        </w:rPr>
        <w:t> </w:t>
      </w:r>
      <w:r>
        <w:rPr>
          <w:sz w:val="18"/>
        </w:rPr>
        <w:t>the</w:t>
      </w:r>
      <w:r>
        <w:rPr>
          <w:spacing w:val="-5"/>
          <w:sz w:val="18"/>
        </w:rPr>
        <w:t> </w:t>
      </w:r>
      <w:r>
        <w:rPr>
          <w:sz w:val="18"/>
        </w:rPr>
        <w:t>Race</w:t>
      </w:r>
      <w:r>
        <w:rPr>
          <w:spacing w:val="-5"/>
          <w:sz w:val="18"/>
        </w:rPr>
        <w:t> </w:t>
      </w:r>
      <w:r>
        <w:rPr>
          <w:sz w:val="18"/>
        </w:rPr>
        <w:t>Relations</w:t>
      </w:r>
      <w:r>
        <w:rPr>
          <w:spacing w:val="-5"/>
          <w:sz w:val="18"/>
        </w:rPr>
        <w:t> </w:t>
      </w:r>
      <w:r>
        <w:rPr>
          <w:sz w:val="18"/>
        </w:rPr>
        <w:t>(NI) Order 1997’ (NIHRC, 2023).</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pPr>
      <w:r>
        <w:rPr/>
        <w:t>The</w:t>
      </w:r>
      <w:r>
        <w:rPr>
          <w:spacing w:val="-5"/>
        </w:rPr>
        <w:t> </w:t>
      </w:r>
      <w:r>
        <w:rPr/>
        <w:t>ECNI</w:t>
      </w:r>
      <w:r>
        <w:rPr>
          <w:spacing w:val="-5"/>
        </w:rPr>
        <w:t> </w:t>
      </w:r>
      <w:r>
        <w:rPr/>
        <w:t>also</w:t>
      </w:r>
      <w:r>
        <w:rPr>
          <w:spacing w:val="-6"/>
        </w:rPr>
        <w:t> </w:t>
      </w:r>
      <w:r>
        <w:rPr/>
        <w:t>restated</w:t>
      </w:r>
      <w:r>
        <w:rPr>
          <w:spacing w:val="-6"/>
        </w:rPr>
        <w:t> </w:t>
      </w:r>
      <w:r>
        <w:rPr/>
        <w:t>its</w:t>
      </w:r>
      <w:r>
        <w:rPr>
          <w:spacing w:val="-6"/>
        </w:rPr>
        <w:t> </w:t>
      </w:r>
      <w:r>
        <w:rPr/>
        <w:t>call</w:t>
      </w:r>
      <w:r>
        <w:rPr>
          <w:spacing w:val="-6"/>
        </w:rPr>
        <w:t> </w:t>
      </w:r>
      <w:r>
        <w:rPr/>
        <w:t>for</w:t>
      </w:r>
      <w:r>
        <w:rPr>
          <w:spacing w:val="-5"/>
        </w:rPr>
        <w:t> </w:t>
      </w:r>
      <w:r>
        <w:rPr/>
        <w:t>the</w:t>
      </w:r>
      <w:r>
        <w:rPr>
          <w:spacing w:val="-5"/>
        </w:rPr>
        <w:t> </w:t>
      </w:r>
      <w:r>
        <w:rPr/>
        <w:t>introduction</w:t>
      </w:r>
      <w:r>
        <w:rPr>
          <w:spacing w:val="-6"/>
        </w:rPr>
        <w:t> </w:t>
      </w:r>
      <w:r>
        <w:rPr/>
        <w:t>of</w:t>
      </w:r>
      <w:r>
        <w:rPr>
          <w:spacing w:val="-6"/>
        </w:rPr>
        <w:t> </w:t>
      </w:r>
      <w:r>
        <w:rPr/>
        <w:t>combined</w:t>
      </w:r>
      <w:r>
        <w:rPr>
          <w:spacing w:val="-6"/>
        </w:rPr>
        <w:t> </w:t>
      </w:r>
      <w:r>
        <w:rPr/>
        <w:t>discrimination so that there is legal protection for individuals who experience direct or indirect</w:t>
      </w:r>
      <w:r>
        <w:rPr>
          <w:spacing w:val="-8"/>
        </w:rPr>
        <w:t> </w:t>
      </w:r>
      <w:r>
        <w:rPr/>
        <w:t>discrimination,</w:t>
      </w:r>
      <w:r>
        <w:rPr>
          <w:spacing w:val="-8"/>
        </w:rPr>
        <w:t> </w:t>
      </w:r>
      <w:r>
        <w:rPr/>
        <w:t>victimisation</w:t>
      </w:r>
      <w:r>
        <w:rPr>
          <w:spacing w:val="-9"/>
        </w:rPr>
        <w:t> </w:t>
      </w:r>
      <w:r>
        <w:rPr/>
        <w:t>or</w:t>
      </w:r>
      <w:r>
        <w:rPr>
          <w:spacing w:val="-8"/>
        </w:rPr>
        <w:t> </w:t>
      </w:r>
      <w:r>
        <w:rPr/>
        <w:t>harassment</w:t>
      </w:r>
      <w:r>
        <w:rPr>
          <w:spacing w:val="-8"/>
        </w:rPr>
        <w:t> </w:t>
      </w:r>
      <w:r>
        <w:rPr/>
        <w:t>because</w:t>
      </w:r>
      <w:r>
        <w:rPr>
          <w:spacing w:val="-8"/>
        </w:rPr>
        <w:t> </w:t>
      </w:r>
      <w:r>
        <w:rPr/>
        <w:t>of</w:t>
      </w:r>
      <w:r>
        <w:rPr>
          <w:spacing w:val="-9"/>
        </w:rPr>
        <w:t> </w:t>
      </w:r>
      <w:r>
        <w:rPr/>
        <w:t>a</w:t>
      </w:r>
      <w:r>
        <w:rPr>
          <w:spacing w:val="-9"/>
        </w:rPr>
        <w:t> </w:t>
      </w:r>
      <w:r>
        <w:rPr/>
        <w:t>combination of equality grounds, including racial grounds.</w:t>
      </w:r>
      <w:r>
        <w:rPr>
          <w:spacing w:val="40"/>
        </w:rPr>
        <w:t> </w:t>
      </w:r>
      <w:r>
        <w:rPr/>
        <w:t>The response noted that</w:t>
      </w:r>
    </w:p>
    <w:p>
      <w:pPr>
        <w:pStyle w:val="BodyText"/>
        <w:spacing w:line="225" w:lineRule="auto"/>
        <w:ind w:left="1853" w:right="1171"/>
      </w:pPr>
      <w:r>
        <w:rPr/>
        <w:t>single</w:t>
      </w:r>
      <w:r>
        <w:rPr>
          <w:spacing w:val="-7"/>
        </w:rPr>
        <w:t> </w:t>
      </w:r>
      <w:r>
        <w:rPr/>
        <w:t>equality</w:t>
      </w:r>
      <w:r>
        <w:rPr>
          <w:spacing w:val="-7"/>
        </w:rPr>
        <w:t> </w:t>
      </w:r>
      <w:r>
        <w:rPr/>
        <w:t>legislation</w:t>
      </w:r>
      <w:r>
        <w:rPr>
          <w:spacing w:val="-8"/>
        </w:rPr>
        <w:t> </w:t>
      </w:r>
      <w:r>
        <w:rPr/>
        <w:t>is</w:t>
      </w:r>
      <w:r>
        <w:rPr>
          <w:spacing w:val="-8"/>
        </w:rPr>
        <w:t> </w:t>
      </w:r>
      <w:r>
        <w:rPr/>
        <w:t>the</w:t>
      </w:r>
      <w:r>
        <w:rPr>
          <w:spacing w:val="-7"/>
        </w:rPr>
        <w:t> </w:t>
      </w:r>
      <w:r>
        <w:rPr/>
        <w:t>most</w:t>
      </w:r>
      <w:r>
        <w:rPr>
          <w:spacing w:val="-7"/>
        </w:rPr>
        <w:t> </w:t>
      </w:r>
      <w:r>
        <w:rPr/>
        <w:t>effective</w:t>
      </w:r>
      <w:r>
        <w:rPr>
          <w:spacing w:val="-7"/>
        </w:rPr>
        <w:t> </w:t>
      </w:r>
      <w:r>
        <w:rPr/>
        <w:t>means</w:t>
      </w:r>
      <w:r>
        <w:rPr>
          <w:spacing w:val="-8"/>
        </w:rPr>
        <w:t> </w:t>
      </w:r>
      <w:r>
        <w:rPr/>
        <w:t>of</w:t>
      </w:r>
      <w:r>
        <w:rPr>
          <w:spacing w:val="-8"/>
        </w:rPr>
        <w:t> </w:t>
      </w:r>
      <w:r>
        <w:rPr/>
        <w:t>strengthening</w:t>
      </w:r>
      <w:r>
        <w:rPr>
          <w:spacing w:val="-7"/>
        </w:rPr>
        <w:t> </w:t>
      </w:r>
      <w:r>
        <w:rPr/>
        <w:t>and maintaining protections against discrimination in NI.</w:t>
      </w:r>
      <w:r>
        <w:rPr>
          <w:vertAlign w:val="superscript"/>
        </w:rPr>
        <w:t>168</w:t>
      </w:r>
    </w:p>
    <w:p>
      <w:pPr>
        <w:pStyle w:val="ListParagraph"/>
        <w:numPr>
          <w:ilvl w:val="1"/>
          <w:numId w:val="7"/>
        </w:numPr>
        <w:tabs>
          <w:tab w:pos="1853" w:val="left" w:leader="none"/>
        </w:tabs>
        <w:spacing w:line="225" w:lineRule="auto" w:before="313" w:after="0"/>
        <w:ind w:left="1853" w:right="1550" w:hanging="720"/>
        <w:jc w:val="left"/>
        <w:rPr>
          <w:sz w:val="28"/>
        </w:rPr>
      </w:pPr>
      <w:r>
        <w:rPr>
          <w:sz w:val="28"/>
        </w:rPr>
        <w:t>The importance of intersectional discrimination has been highlighted by recent</w:t>
      </w:r>
      <w:r>
        <w:rPr>
          <w:spacing w:val="-8"/>
          <w:sz w:val="28"/>
        </w:rPr>
        <w:t> </w:t>
      </w:r>
      <w:r>
        <w:rPr>
          <w:sz w:val="28"/>
        </w:rPr>
        <w:t>developments</w:t>
      </w:r>
      <w:r>
        <w:rPr>
          <w:spacing w:val="-9"/>
          <w:sz w:val="28"/>
        </w:rPr>
        <w:t> </w:t>
      </w:r>
      <w:r>
        <w:rPr>
          <w:sz w:val="28"/>
        </w:rPr>
        <w:t>in</w:t>
      </w:r>
      <w:r>
        <w:rPr>
          <w:spacing w:val="-9"/>
          <w:sz w:val="28"/>
        </w:rPr>
        <w:t> </w:t>
      </w:r>
      <w:r>
        <w:rPr>
          <w:sz w:val="28"/>
        </w:rPr>
        <w:t>EU</w:t>
      </w:r>
      <w:r>
        <w:rPr>
          <w:spacing w:val="-8"/>
          <w:sz w:val="28"/>
        </w:rPr>
        <w:t> </w:t>
      </w:r>
      <w:r>
        <w:rPr>
          <w:sz w:val="28"/>
        </w:rPr>
        <w:t>law</w:t>
      </w:r>
      <w:r>
        <w:rPr>
          <w:spacing w:val="-8"/>
          <w:sz w:val="28"/>
        </w:rPr>
        <w:t> </w:t>
      </w:r>
      <w:r>
        <w:rPr>
          <w:sz w:val="28"/>
        </w:rPr>
        <w:t>which</w:t>
      </w:r>
      <w:r>
        <w:rPr>
          <w:spacing w:val="-9"/>
          <w:sz w:val="28"/>
        </w:rPr>
        <w:t> </w:t>
      </w:r>
      <w:r>
        <w:rPr>
          <w:sz w:val="28"/>
        </w:rPr>
        <w:t>have</w:t>
      </w:r>
      <w:r>
        <w:rPr>
          <w:spacing w:val="-8"/>
          <w:sz w:val="28"/>
        </w:rPr>
        <w:t> </w:t>
      </w:r>
      <w:r>
        <w:rPr>
          <w:sz w:val="28"/>
        </w:rPr>
        <w:t>implications</w:t>
      </w:r>
      <w:r>
        <w:rPr>
          <w:spacing w:val="-9"/>
          <w:sz w:val="28"/>
        </w:rPr>
        <w:t> </w:t>
      </w:r>
      <w:r>
        <w:rPr>
          <w:sz w:val="28"/>
        </w:rPr>
        <w:t>for</w:t>
      </w:r>
      <w:r>
        <w:rPr>
          <w:spacing w:val="-8"/>
          <w:sz w:val="28"/>
        </w:rPr>
        <w:t> </w:t>
      </w:r>
      <w:r>
        <w:rPr>
          <w:sz w:val="28"/>
        </w:rPr>
        <w:t>NI</w:t>
      </w:r>
      <w:r>
        <w:rPr>
          <w:spacing w:val="-8"/>
          <w:sz w:val="28"/>
        </w:rPr>
        <w:t> </w:t>
      </w:r>
      <w:r>
        <w:rPr>
          <w:sz w:val="28"/>
        </w:rPr>
        <w:t>equality</w:t>
      </w:r>
      <w:r>
        <w:rPr>
          <w:spacing w:val="-8"/>
          <w:sz w:val="28"/>
        </w:rPr>
        <w:t> </w:t>
      </w:r>
      <w:r>
        <w:rPr>
          <w:sz w:val="28"/>
        </w:rPr>
        <w:t>law. In May 2023, the EU Pay Transparency Directive came into force.</w:t>
      </w:r>
      <w:r>
        <w:rPr>
          <w:sz w:val="28"/>
          <w:vertAlign w:val="superscript"/>
        </w:rPr>
        <w:t>169</w:t>
      </w:r>
      <w:r>
        <w:rPr>
          <w:spacing w:val="40"/>
          <w:sz w:val="28"/>
          <w:vertAlign w:val="baseline"/>
        </w:rPr>
        <w:t> </w:t>
      </w:r>
      <w:r>
        <w:rPr>
          <w:sz w:val="28"/>
          <w:vertAlign w:val="baseline"/>
        </w:rPr>
        <w:t>The Directive, clarifies in Article 3, via a new definition, that discrimination includes</w:t>
      </w:r>
      <w:r>
        <w:rPr>
          <w:spacing w:val="-6"/>
          <w:sz w:val="28"/>
          <w:vertAlign w:val="baseline"/>
        </w:rPr>
        <w:t> </w:t>
      </w:r>
      <w:r>
        <w:rPr>
          <w:sz w:val="28"/>
          <w:vertAlign w:val="baseline"/>
        </w:rPr>
        <w:t>“intersectional</w:t>
      </w:r>
      <w:r>
        <w:rPr>
          <w:spacing w:val="-6"/>
          <w:sz w:val="28"/>
          <w:vertAlign w:val="baseline"/>
        </w:rPr>
        <w:t> </w:t>
      </w:r>
      <w:r>
        <w:rPr>
          <w:sz w:val="28"/>
          <w:vertAlign w:val="baseline"/>
        </w:rPr>
        <w:t>discrimination”,</w:t>
      </w:r>
      <w:r>
        <w:rPr>
          <w:spacing w:val="-5"/>
          <w:sz w:val="28"/>
          <w:vertAlign w:val="baseline"/>
        </w:rPr>
        <w:t> </w:t>
      </w:r>
      <w:r>
        <w:rPr>
          <w:sz w:val="28"/>
          <w:vertAlign w:val="baseline"/>
        </w:rPr>
        <w:t>which</w:t>
      </w:r>
      <w:r>
        <w:rPr>
          <w:spacing w:val="-6"/>
          <w:sz w:val="28"/>
          <w:vertAlign w:val="baseline"/>
        </w:rPr>
        <w:t> </w:t>
      </w:r>
      <w:r>
        <w:rPr>
          <w:sz w:val="28"/>
          <w:vertAlign w:val="baseline"/>
        </w:rPr>
        <w:t>is</w:t>
      </w:r>
      <w:r>
        <w:rPr>
          <w:spacing w:val="-6"/>
          <w:sz w:val="28"/>
          <w:vertAlign w:val="baseline"/>
        </w:rPr>
        <w:t> </w:t>
      </w:r>
      <w:r>
        <w:rPr>
          <w:sz w:val="28"/>
          <w:vertAlign w:val="baseline"/>
        </w:rPr>
        <w:t>discrimination</w:t>
      </w:r>
      <w:r>
        <w:rPr>
          <w:spacing w:val="-6"/>
          <w:sz w:val="28"/>
          <w:vertAlign w:val="baseline"/>
        </w:rPr>
        <w:t> </w:t>
      </w:r>
      <w:r>
        <w:rPr>
          <w:sz w:val="28"/>
          <w:vertAlign w:val="baseline"/>
        </w:rPr>
        <w:t>based</w:t>
      </w:r>
      <w:r>
        <w:rPr>
          <w:spacing w:val="-6"/>
          <w:sz w:val="28"/>
          <w:vertAlign w:val="baseline"/>
        </w:rPr>
        <w:t> </w:t>
      </w:r>
      <w:r>
        <w:rPr>
          <w:sz w:val="28"/>
          <w:vertAlign w:val="baseline"/>
        </w:rPr>
        <w:t>on</w:t>
      </w:r>
      <w:r>
        <w:rPr>
          <w:spacing w:val="-6"/>
          <w:sz w:val="28"/>
          <w:vertAlign w:val="baseline"/>
        </w:rPr>
        <w:t> </w:t>
      </w:r>
      <w:r>
        <w:rPr>
          <w:sz w:val="28"/>
          <w:vertAlign w:val="baseline"/>
        </w:rPr>
        <w:t>a</w:t>
      </w:r>
    </w:p>
    <w:p>
      <w:pPr>
        <w:pStyle w:val="BodyText"/>
        <w:spacing w:line="225" w:lineRule="auto"/>
        <w:ind w:left="1853" w:right="1171"/>
      </w:pPr>
      <w:r>
        <w:rPr/>
        <w:t>combination</w:t>
      </w:r>
      <w:r>
        <w:rPr>
          <w:spacing w:val="-6"/>
        </w:rPr>
        <w:t> </w:t>
      </w:r>
      <w:r>
        <w:rPr/>
        <w:t>of</w:t>
      </w:r>
      <w:r>
        <w:rPr>
          <w:spacing w:val="-6"/>
        </w:rPr>
        <w:t> </w:t>
      </w:r>
      <w:r>
        <w:rPr/>
        <w:t>sex</w:t>
      </w:r>
      <w:r>
        <w:rPr>
          <w:spacing w:val="-6"/>
        </w:rPr>
        <w:t> </w:t>
      </w:r>
      <w:r>
        <w:rPr/>
        <w:t>and</w:t>
      </w:r>
      <w:r>
        <w:rPr>
          <w:spacing w:val="-6"/>
        </w:rPr>
        <w:t> </w:t>
      </w:r>
      <w:r>
        <w:rPr/>
        <w:t>a</w:t>
      </w:r>
      <w:r>
        <w:rPr>
          <w:spacing w:val="-6"/>
        </w:rPr>
        <w:t> </w:t>
      </w:r>
      <w:r>
        <w:rPr/>
        <w:t>number</w:t>
      </w:r>
      <w:r>
        <w:rPr>
          <w:spacing w:val="-5"/>
        </w:rPr>
        <w:t> </w:t>
      </w:r>
      <w:r>
        <w:rPr/>
        <w:t>of</w:t>
      </w:r>
      <w:r>
        <w:rPr>
          <w:spacing w:val="-6"/>
        </w:rPr>
        <w:t> </w:t>
      </w:r>
      <w:r>
        <w:rPr/>
        <w:t>other</w:t>
      </w:r>
      <w:r>
        <w:rPr>
          <w:spacing w:val="-5"/>
        </w:rPr>
        <w:t> </w:t>
      </w:r>
      <w:r>
        <w:rPr/>
        <w:t>equality</w:t>
      </w:r>
      <w:r>
        <w:rPr>
          <w:spacing w:val="-5"/>
        </w:rPr>
        <w:t> </w:t>
      </w:r>
      <w:r>
        <w:rPr/>
        <w:t>ground/s</w:t>
      </w:r>
      <w:r>
        <w:rPr>
          <w:spacing w:val="-6"/>
        </w:rPr>
        <w:t> </w:t>
      </w:r>
      <w:r>
        <w:rPr/>
        <w:t>protected</w:t>
      </w:r>
      <w:r>
        <w:rPr>
          <w:spacing w:val="-6"/>
        </w:rPr>
        <w:t> </w:t>
      </w:r>
      <w:r>
        <w:rPr/>
        <w:t>under EU equality directives.</w:t>
      </w:r>
    </w:p>
    <w:p>
      <w:pPr>
        <w:pStyle w:val="ListParagraph"/>
        <w:numPr>
          <w:ilvl w:val="1"/>
          <w:numId w:val="7"/>
        </w:numPr>
        <w:tabs>
          <w:tab w:pos="1853" w:val="left" w:leader="none"/>
        </w:tabs>
        <w:spacing w:line="225" w:lineRule="auto" w:before="311" w:after="0"/>
        <w:ind w:left="1853" w:right="1268" w:hanging="720"/>
        <w:jc w:val="left"/>
        <w:rPr>
          <w:sz w:val="28"/>
        </w:rPr>
      </w:pPr>
      <w:r>
        <w:rPr>
          <w:sz w:val="28"/>
        </w:rPr>
        <w:t>The Commissions consider that the provisions of the EU Pay Transparency Directive,</w:t>
      </w:r>
      <w:r>
        <w:rPr>
          <w:sz w:val="28"/>
          <w:vertAlign w:val="superscript"/>
        </w:rPr>
        <w:t>170</w:t>
      </w:r>
      <w:r>
        <w:rPr>
          <w:sz w:val="28"/>
          <w:vertAlign w:val="baseline"/>
        </w:rPr>
        <w:t> amend and/or replace provisions in the EU Gender Equality (Employment) Directive</w:t>
      </w:r>
      <w:r>
        <w:rPr>
          <w:sz w:val="28"/>
          <w:vertAlign w:val="superscript"/>
        </w:rPr>
        <w:t>171</w:t>
      </w:r>
      <w:r>
        <w:rPr>
          <w:sz w:val="28"/>
          <w:vertAlign w:val="baseline"/>
        </w:rPr>
        <w:t> which is listed in Annex 1 of the Windsor Framework.</w:t>
      </w:r>
      <w:r>
        <w:rPr>
          <w:sz w:val="28"/>
          <w:vertAlign w:val="superscript"/>
        </w:rPr>
        <w:t>172</w:t>
      </w:r>
      <w:r>
        <w:rPr>
          <w:spacing w:val="-10"/>
          <w:sz w:val="28"/>
          <w:vertAlign w:val="baseline"/>
        </w:rPr>
        <w:t> </w:t>
      </w:r>
      <w:r>
        <w:rPr>
          <w:sz w:val="28"/>
          <w:vertAlign w:val="baseline"/>
        </w:rPr>
        <w:t>Therefore,</w:t>
      </w:r>
      <w:r>
        <w:rPr>
          <w:spacing w:val="-9"/>
          <w:sz w:val="28"/>
          <w:vertAlign w:val="baseline"/>
        </w:rPr>
        <w:t> </w:t>
      </w:r>
      <w:r>
        <w:rPr>
          <w:sz w:val="28"/>
          <w:vertAlign w:val="baseline"/>
        </w:rPr>
        <w:t>NI</w:t>
      </w:r>
      <w:r>
        <w:rPr>
          <w:spacing w:val="-9"/>
          <w:sz w:val="28"/>
          <w:vertAlign w:val="baseline"/>
        </w:rPr>
        <w:t> </w:t>
      </w:r>
      <w:r>
        <w:rPr>
          <w:sz w:val="28"/>
          <w:vertAlign w:val="baseline"/>
        </w:rPr>
        <w:t>equality</w:t>
      </w:r>
      <w:r>
        <w:rPr>
          <w:spacing w:val="-9"/>
          <w:sz w:val="28"/>
          <w:vertAlign w:val="baseline"/>
        </w:rPr>
        <w:t> </w:t>
      </w:r>
      <w:r>
        <w:rPr>
          <w:sz w:val="28"/>
          <w:vertAlign w:val="baseline"/>
        </w:rPr>
        <w:t>law</w:t>
      </w:r>
      <w:r>
        <w:rPr>
          <w:spacing w:val="-9"/>
          <w:sz w:val="28"/>
          <w:vertAlign w:val="baseline"/>
        </w:rPr>
        <w:t> </w:t>
      </w:r>
      <w:r>
        <w:rPr>
          <w:sz w:val="28"/>
          <w:vertAlign w:val="baseline"/>
        </w:rPr>
        <w:t>must</w:t>
      </w:r>
      <w:r>
        <w:rPr>
          <w:spacing w:val="-9"/>
          <w:sz w:val="28"/>
          <w:vertAlign w:val="baseline"/>
        </w:rPr>
        <w:t> </w:t>
      </w:r>
      <w:r>
        <w:rPr>
          <w:sz w:val="28"/>
          <w:vertAlign w:val="baseline"/>
        </w:rPr>
        <w:t>keep</w:t>
      </w:r>
      <w:r>
        <w:rPr>
          <w:spacing w:val="-10"/>
          <w:sz w:val="28"/>
          <w:vertAlign w:val="baseline"/>
        </w:rPr>
        <w:t> </w:t>
      </w:r>
      <w:r>
        <w:rPr>
          <w:sz w:val="28"/>
          <w:vertAlign w:val="baseline"/>
        </w:rPr>
        <w:t>pace</w:t>
      </w:r>
      <w:r>
        <w:rPr>
          <w:spacing w:val="-9"/>
          <w:sz w:val="28"/>
          <w:vertAlign w:val="baseline"/>
        </w:rPr>
        <w:t> </w:t>
      </w:r>
      <w:r>
        <w:rPr>
          <w:sz w:val="28"/>
          <w:vertAlign w:val="baseline"/>
        </w:rPr>
        <w:t>with</w:t>
      </w:r>
      <w:r>
        <w:rPr>
          <w:spacing w:val="-10"/>
          <w:sz w:val="28"/>
          <w:vertAlign w:val="baseline"/>
        </w:rPr>
        <w:t> </w:t>
      </w:r>
      <w:r>
        <w:rPr>
          <w:sz w:val="28"/>
          <w:vertAlign w:val="baseline"/>
        </w:rPr>
        <w:t>these</w:t>
      </w:r>
      <w:r>
        <w:rPr>
          <w:spacing w:val="-9"/>
          <w:sz w:val="28"/>
          <w:vertAlign w:val="baseline"/>
        </w:rPr>
        <w:t> </w:t>
      </w:r>
      <w:r>
        <w:rPr>
          <w:sz w:val="28"/>
          <w:vertAlign w:val="baseline"/>
        </w:rPr>
        <w:t>changes, further</w:t>
      </w:r>
      <w:r>
        <w:rPr>
          <w:spacing w:val="-6"/>
          <w:sz w:val="28"/>
          <w:vertAlign w:val="baseline"/>
        </w:rPr>
        <w:t> </w:t>
      </w:r>
      <w:r>
        <w:rPr>
          <w:sz w:val="28"/>
          <w:vertAlign w:val="baseline"/>
        </w:rPr>
        <w:t>to</w:t>
      </w:r>
      <w:r>
        <w:rPr>
          <w:spacing w:val="-7"/>
          <w:sz w:val="28"/>
          <w:vertAlign w:val="baseline"/>
        </w:rPr>
        <w:t> </w:t>
      </w:r>
      <w:r>
        <w:rPr>
          <w:sz w:val="28"/>
          <w:vertAlign w:val="baseline"/>
        </w:rPr>
        <w:t>the</w:t>
      </w:r>
      <w:r>
        <w:rPr>
          <w:spacing w:val="-6"/>
          <w:sz w:val="28"/>
          <w:vertAlign w:val="baseline"/>
        </w:rPr>
        <w:t> </w:t>
      </w:r>
      <w:r>
        <w:rPr>
          <w:sz w:val="28"/>
          <w:vertAlign w:val="baseline"/>
        </w:rPr>
        <w:t>UK</w:t>
      </w:r>
      <w:r>
        <w:rPr>
          <w:spacing w:val="-6"/>
          <w:sz w:val="28"/>
          <w:vertAlign w:val="baseline"/>
        </w:rPr>
        <w:t> </w:t>
      </w:r>
      <w:r>
        <w:rPr>
          <w:sz w:val="28"/>
          <w:vertAlign w:val="baseline"/>
        </w:rPr>
        <w:t>Government’s</w:t>
      </w:r>
      <w:r>
        <w:rPr>
          <w:spacing w:val="-7"/>
          <w:sz w:val="28"/>
          <w:vertAlign w:val="baseline"/>
        </w:rPr>
        <w:t> </w:t>
      </w:r>
      <w:r>
        <w:rPr>
          <w:sz w:val="28"/>
          <w:vertAlign w:val="baseline"/>
        </w:rPr>
        <w:t>dynamic</w:t>
      </w:r>
      <w:r>
        <w:rPr>
          <w:spacing w:val="-6"/>
          <w:sz w:val="28"/>
          <w:vertAlign w:val="baseline"/>
        </w:rPr>
        <w:t> </w:t>
      </w:r>
      <w:r>
        <w:rPr>
          <w:sz w:val="28"/>
          <w:vertAlign w:val="baseline"/>
        </w:rPr>
        <w:t>alignment</w:t>
      </w:r>
      <w:r>
        <w:rPr>
          <w:spacing w:val="-6"/>
          <w:sz w:val="28"/>
          <w:vertAlign w:val="baseline"/>
        </w:rPr>
        <w:t> </w:t>
      </w:r>
      <w:r>
        <w:rPr>
          <w:sz w:val="28"/>
          <w:vertAlign w:val="baseline"/>
        </w:rPr>
        <w:t>obligation</w:t>
      </w:r>
      <w:r>
        <w:rPr>
          <w:spacing w:val="-7"/>
          <w:sz w:val="28"/>
          <w:vertAlign w:val="baseline"/>
        </w:rPr>
        <w:t> </w:t>
      </w:r>
      <w:r>
        <w:rPr>
          <w:sz w:val="28"/>
          <w:vertAlign w:val="baseline"/>
        </w:rPr>
        <w:t>in</w:t>
      </w:r>
      <w:r>
        <w:rPr>
          <w:spacing w:val="-7"/>
          <w:sz w:val="28"/>
          <w:vertAlign w:val="baseline"/>
        </w:rPr>
        <w:t> </w:t>
      </w:r>
      <w:r>
        <w:rPr>
          <w:sz w:val="28"/>
          <w:vertAlign w:val="baseline"/>
        </w:rPr>
        <w:t>the</w:t>
      </w:r>
      <w:r>
        <w:rPr>
          <w:spacing w:val="-6"/>
          <w:sz w:val="28"/>
          <w:vertAlign w:val="baseline"/>
        </w:rPr>
        <w:t> </w:t>
      </w:r>
      <w:r>
        <w:rPr>
          <w:sz w:val="28"/>
          <w:vertAlign w:val="baseline"/>
        </w:rPr>
        <w:t>Windsor Framework.</w:t>
      </w:r>
      <w:r>
        <w:rPr>
          <w:sz w:val="28"/>
          <w:vertAlign w:val="superscript"/>
        </w:rPr>
        <w:t>173</w:t>
      </w:r>
      <w:r>
        <w:rPr>
          <w:spacing w:val="40"/>
          <w:sz w:val="28"/>
          <w:vertAlign w:val="baseline"/>
        </w:rPr>
        <w:t> </w:t>
      </w:r>
      <w:r>
        <w:rPr>
          <w:sz w:val="28"/>
          <w:vertAlign w:val="baseline"/>
        </w:rPr>
        <w:t>This includes changes to the definition of discrimination to include “intersectional” discrimination.</w:t>
      </w:r>
      <w:r>
        <w:rPr>
          <w:spacing w:val="40"/>
          <w:sz w:val="28"/>
          <w:vertAlign w:val="baseline"/>
        </w:rPr>
        <w:t> </w:t>
      </w:r>
      <w:r>
        <w:rPr>
          <w:sz w:val="28"/>
          <w:vertAlign w:val="baseline"/>
        </w:rPr>
        <w:t>There is more detailed discussion of the EU Pay Transparency Directive in the Employment Rights - Employment Equality section of this chapter.</w:t>
      </w:r>
    </w:p>
    <w:p>
      <w:pPr>
        <w:pStyle w:val="BodyText"/>
        <w:spacing w:before="6"/>
        <w:rPr>
          <w:sz w:val="13"/>
        </w:rPr>
      </w:pPr>
      <w:r>
        <w:rPr/>
        <mc:AlternateContent>
          <mc:Choice Requires="wps">
            <w:drawing>
              <wp:anchor distT="0" distB="0" distL="0" distR="0" allowOverlap="1" layoutInCell="1" locked="0" behindDoc="1" simplePos="0" relativeHeight="487645184">
                <wp:simplePos x="0" y="0"/>
                <wp:positionH relativeFrom="page">
                  <wp:posOffset>720001</wp:posOffset>
                </wp:positionH>
                <wp:positionV relativeFrom="paragraph">
                  <wp:posOffset>119839</wp:posOffset>
                </wp:positionV>
                <wp:extent cx="6120130" cy="360045"/>
                <wp:effectExtent l="0" t="0" r="0" b="0"/>
                <wp:wrapTopAndBottom/>
                <wp:docPr id="210" name="Textbox 210"/>
                <wp:cNvGraphicFramePr>
                  <a:graphicFrameLocks/>
                </wp:cNvGraphicFramePr>
                <a:graphic>
                  <a:graphicData uri="http://schemas.microsoft.com/office/word/2010/wordprocessingShape">
                    <wps:wsp>
                      <wps:cNvPr id="210" name="Textbox 210"/>
                      <wps:cNvSpPr txBox="1"/>
                      <wps:spPr>
                        <a:xfrm>
                          <a:off x="0" y="0"/>
                          <a:ext cx="6120130" cy="360045"/>
                        </a:xfrm>
                        <a:prstGeom prst="rect">
                          <a:avLst/>
                        </a:prstGeom>
                        <a:solidFill>
                          <a:srgbClr val="393B80"/>
                        </a:solidFill>
                      </wps:spPr>
                      <wps:txbx>
                        <w:txbxContent>
                          <w:p>
                            <w:pPr>
                              <w:spacing w:before="109"/>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9.436188pt;width:481.9pt;height:28.35pt;mso-position-horizontal-relative:page;mso-position-vertical-relative:paragraph;z-index:-15671296;mso-wrap-distance-left:0;mso-wrap-distance-right:0" type="#_x0000_t202" id="docshape166" filled="true" fillcolor="#393b80" stroked="false">
                <v:textbox inset="0,0,0,0">
                  <w:txbxContent>
                    <w:p>
                      <w:pPr>
                        <w:spacing w:before="109"/>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215" w:after="0"/>
        <w:ind w:left="1853" w:right="1329" w:hanging="720"/>
        <w:jc w:val="left"/>
        <w:rPr>
          <w:b/>
          <w:color w:val="67287F"/>
          <w:sz w:val="28"/>
        </w:rPr>
      </w:pPr>
      <w:r>
        <w:rPr>
          <w:b/>
          <w:color w:val="67287F"/>
          <w:sz w:val="28"/>
        </w:rPr>
        <w:t>The Commissions continue to recommend that the NI Executive introduce</w:t>
      </w:r>
      <w:r>
        <w:rPr>
          <w:b/>
          <w:color w:val="67287F"/>
          <w:sz w:val="28"/>
        </w:rPr>
        <w:t> a</w:t>
      </w:r>
      <w:r>
        <w:rPr>
          <w:b/>
          <w:color w:val="67287F"/>
          <w:spacing w:val="-5"/>
          <w:sz w:val="28"/>
        </w:rPr>
        <w:t> </w:t>
      </w:r>
      <w:r>
        <w:rPr>
          <w:b/>
          <w:color w:val="67287F"/>
          <w:sz w:val="28"/>
        </w:rPr>
        <w:t>single</w:t>
      </w:r>
      <w:r>
        <w:rPr>
          <w:b/>
          <w:color w:val="67287F"/>
          <w:spacing w:val="-5"/>
          <w:sz w:val="28"/>
        </w:rPr>
        <w:t> </w:t>
      </w:r>
      <w:r>
        <w:rPr>
          <w:b/>
          <w:color w:val="67287F"/>
          <w:sz w:val="28"/>
        </w:rPr>
        <w:t>equality</w:t>
      </w:r>
      <w:r>
        <w:rPr>
          <w:b/>
          <w:color w:val="67287F"/>
          <w:spacing w:val="-5"/>
          <w:sz w:val="28"/>
        </w:rPr>
        <w:t> </w:t>
      </w:r>
      <w:r>
        <w:rPr>
          <w:b/>
          <w:color w:val="67287F"/>
          <w:sz w:val="28"/>
        </w:rPr>
        <w:t>act</w:t>
      </w:r>
      <w:r>
        <w:rPr>
          <w:b/>
          <w:color w:val="67287F"/>
          <w:spacing w:val="-5"/>
          <w:sz w:val="28"/>
        </w:rPr>
        <w:t> </w:t>
      </w:r>
      <w:r>
        <w:rPr>
          <w:b/>
          <w:color w:val="67287F"/>
          <w:sz w:val="28"/>
        </w:rPr>
        <w:t>to</w:t>
      </w:r>
      <w:r>
        <w:rPr>
          <w:b/>
          <w:color w:val="67287F"/>
          <w:spacing w:val="-5"/>
          <w:sz w:val="28"/>
        </w:rPr>
        <w:t> </w:t>
      </w:r>
      <w:r>
        <w:rPr>
          <w:b/>
          <w:color w:val="67287F"/>
          <w:sz w:val="28"/>
        </w:rPr>
        <w:t>ensure</w:t>
      </w:r>
      <w:r>
        <w:rPr>
          <w:b/>
          <w:color w:val="67287F"/>
          <w:spacing w:val="-5"/>
          <w:sz w:val="28"/>
        </w:rPr>
        <w:t> </w:t>
      </w:r>
      <w:r>
        <w:rPr>
          <w:b/>
          <w:color w:val="67287F"/>
          <w:sz w:val="28"/>
        </w:rPr>
        <w:t>that</w:t>
      </w:r>
      <w:r>
        <w:rPr>
          <w:b/>
          <w:color w:val="67287F"/>
          <w:spacing w:val="-5"/>
          <w:sz w:val="28"/>
        </w:rPr>
        <w:t> </w:t>
      </w:r>
      <w:r>
        <w:rPr>
          <w:b/>
          <w:color w:val="67287F"/>
          <w:sz w:val="28"/>
        </w:rPr>
        <w:t>NI</w:t>
      </w:r>
      <w:r>
        <w:rPr>
          <w:b/>
          <w:color w:val="67287F"/>
          <w:spacing w:val="-5"/>
          <w:sz w:val="28"/>
        </w:rPr>
        <w:t> </w:t>
      </w:r>
      <w:r>
        <w:rPr>
          <w:b/>
          <w:color w:val="67287F"/>
          <w:sz w:val="28"/>
        </w:rPr>
        <w:t>equality</w:t>
      </w:r>
      <w:r>
        <w:rPr>
          <w:b/>
          <w:color w:val="67287F"/>
          <w:spacing w:val="-5"/>
          <w:sz w:val="28"/>
        </w:rPr>
        <w:t> </w:t>
      </w:r>
      <w:r>
        <w:rPr>
          <w:b/>
          <w:color w:val="67287F"/>
          <w:sz w:val="28"/>
        </w:rPr>
        <w:t>law</w:t>
      </w:r>
      <w:r>
        <w:rPr>
          <w:b/>
          <w:color w:val="67287F"/>
          <w:spacing w:val="-5"/>
          <w:sz w:val="28"/>
        </w:rPr>
        <w:t> </w:t>
      </w:r>
      <w:r>
        <w:rPr>
          <w:b/>
          <w:color w:val="67287F"/>
          <w:sz w:val="28"/>
        </w:rPr>
        <w:t>is</w:t>
      </w:r>
      <w:r>
        <w:rPr>
          <w:b/>
          <w:color w:val="67287F"/>
          <w:spacing w:val="-5"/>
          <w:sz w:val="28"/>
        </w:rPr>
        <w:t> </w:t>
      </w:r>
      <w:r>
        <w:rPr>
          <w:b/>
          <w:color w:val="67287F"/>
          <w:sz w:val="28"/>
        </w:rPr>
        <w:t>strengthened</w:t>
      </w:r>
      <w:r>
        <w:rPr>
          <w:b/>
          <w:color w:val="67287F"/>
          <w:spacing w:val="-5"/>
          <w:sz w:val="28"/>
        </w:rPr>
        <w:t> </w:t>
      </w:r>
      <w:r>
        <w:rPr>
          <w:b/>
          <w:color w:val="67287F"/>
          <w:sz w:val="28"/>
        </w:rPr>
        <w:t>and</w:t>
      </w:r>
      <w:r>
        <w:rPr>
          <w:b/>
          <w:color w:val="67287F"/>
          <w:spacing w:val="-5"/>
          <w:sz w:val="28"/>
        </w:rPr>
        <w:t> </w:t>
      </w:r>
      <w:r>
        <w:rPr>
          <w:b/>
          <w:color w:val="67287F"/>
          <w:sz w:val="28"/>
        </w:rPr>
        <w:t>that gaps are addressed as a matter of urgency.</w:t>
      </w:r>
    </w:p>
    <w:p>
      <w:pPr>
        <w:pStyle w:val="ListParagraph"/>
        <w:numPr>
          <w:ilvl w:val="1"/>
          <w:numId w:val="7"/>
        </w:numPr>
        <w:tabs>
          <w:tab w:pos="1853" w:val="left" w:leader="none"/>
        </w:tabs>
        <w:spacing w:line="225" w:lineRule="auto" w:before="316" w:after="0"/>
        <w:ind w:left="1853" w:right="2160" w:hanging="720"/>
        <w:jc w:val="both"/>
        <w:rPr>
          <w:b/>
          <w:color w:val="67287F"/>
          <w:sz w:val="28"/>
        </w:rPr>
      </w:pPr>
      <w:r>
        <w:rPr>
          <w:b/>
          <w:color w:val="67287F"/>
          <w:sz w:val="28"/>
        </w:rPr>
        <w:t>The</w:t>
      </w:r>
      <w:r>
        <w:rPr>
          <w:b/>
          <w:color w:val="67287F"/>
          <w:spacing w:val="-5"/>
          <w:sz w:val="28"/>
        </w:rPr>
        <w:t> </w:t>
      </w:r>
      <w:r>
        <w:rPr>
          <w:b/>
          <w:color w:val="67287F"/>
          <w:sz w:val="28"/>
        </w:rPr>
        <w:t>Commissions</w:t>
      </w:r>
      <w:r>
        <w:rPr>
          <w:b/>
          <w:color w:val="67287F"/>
          <w:spacing w:val="-4"/>
          <w:sz w:val="28"/>
        </w:rPr>
        <w:t> </w:t>
      </w:r>
      <w:r>
        <w:rPr>
          <w:b/>
          <w:color w:val="67287F"/>
          <w:sz w:val="28"/>
        </w:rPr>
        <w:t>recommend</w:t>
      </w:r>
      <w:r>
        <w:rPr>
          <w:b/>
          <w:color w:val="67287F"/>
          <w:spacing w:val="-4"/>
          <w:sz w:val="28"/>
        </w:rPr>
        <w:t> </w:t>
      </w:r>
      <w:r>
        <w:rPr>
          <w:b/>
          <w:color w:val="67287F"/>
          <w:sz w:val="28"/>
        </w:rPr>
        <w:t>that</w:t>
      </w:r>
      <w:r>
        <w:rPr>
          <w:b/>
          <w:color w:val="67287F"/>
          <w:spacing w:val="-4"/>
          <w:sz w:val="28"/>
        </w:rPr>
        <w:t> </w:t>
      </w:r>
      <w:r>
        <w:rPr>
          <w:b/>
          <w:color w:val="67287F"/>
          <w:sz w:val="28"/>
        </w:rPr>
        <w:t>the</w:t>
      </w:r>
      <w:r>
        <w:rPr>
          <w:b/>
          <w:color w:val="67287F"/>
          <w:spacing w:val="-5"/>
          <w:sz w:val="28"/>
        </w:rPr>
        <w:t> </w:t>
      </w:r>
      <w:r>
        <w:rPr>
          <w:b/>
          <w:color w:val="67287F"/>
          <w:sz w:val="28"/>
        </w:rPr>
        <w:t>Executive</w:t>
      </w:r>
      <w:r>
        <w:rPr>
          <w:b/>
          <w:color w:val="67287F"/>
          <w:spacing w:val="-5"/>
          <w:sz w:val="28"/>
        </w:rPr>
        <w:t> </w:t>
      </w:r>
      <w:r>
        <w:rPr>
          <w:b/>
          <w:color w:val="67287F"/>
          <w:sz w:val="28"/>
        </w:rPr>
        <w:t>Office</w:t>
      </w:r>
      <w:r>
        <w:rPr>
          <w:b/>
          <w:color w:val="67287F"/>
          <w:spacing w:val="-5"/>
          <w:sz w:val="28"/>
        </w:rPr>
        <w:t> </w:t>
      </w:r>
      <w:r>
        <w:rPr>
          <w:b/>
          <w:color w:val="67287F"/>
          <w:sz w:val="28"/>
        </w:rPr>
        <w:t>provides</w:t>
      </w:r>
      <w:r>
        <w:rPr>
          <w:b/>
          <w:color w:val="67287F"/>
          <w:spacing w:val="-4"/>
          <w:sz w:val="28"/>
        </w:rPr>
        <w:t> </w:t>
      </w:r>
      <w:r>
        <w:rPr>
          <w:b/>
          <w:color w:val="67287F"/>
          <w:sz w:val="28"/>
        </w:rPr>
        <w:t>for intersectional</w:t>
      </w:r>
      <w:r>
        <w:rPr>
          <w:b/>
          <w:color w:val="67287F"/>
          <w:spacing w:val="-7"/>
          <w:sz w:val="28"/>
        </w:rPr>
        <w:t> </w:t>
      </w:r>
      <w:r>
        <w:rPr>
          <w:b/>
          <w:color w:val="67287F"/>
          <w:sz w:val="28"/>
        </w:rPr>
        <w:t>multiple</w:t>
      </w:r>
      <w:r>
        <w:rPr>
          <w:b/>
          <w:color w:val="67287F"/>
          <w:spacing w:val="-8"/>
          <w:sz w:val="28"/>
        </w:rPr>
        <w:t> </w:t>
      </w:r>
      <w:r>
        <w:rPr>
          <w:b/>
          <w:color w:val="67287F"/>
          <w:sz w:val="28"/>
        </w:rPr>
        <w:t>discrimination</w:t>
      </w:r>
      <w:r>
        <w:rPr>
          <w:b/>
          <w:color w:val="67287F"/>
          <w:spacing w:val="-7"/>
          <w:sz w:val="28"/>
        </w:rPr>
        <w:t> </w:t>
      </w:r>
      <w:r>
        <w:rPr>
          <w:b/>
          <w:color w:val="67287F"/>
          <w:sz w:val="28"/>
        </w:rPr>
        <w:t>claims</w:t>
      </w:r>
      <w:r>
        <w:rPr>
          <w:b/>
          <w:color w:val="67287F"/>
          <w:spacing w:val="-7"/>
          <w:sz w:val="28"/>
        </w:rPr>
        <w:t> </w:t>
      </w:r>
      <w:r>
        <w:rPr>
          <w:b/>
          <w:color w:val="67287F"/>
          <w:sz w:val="28"/>
        </w:rPr>
        <w:t>in</w:t>
      </w:r>
      <w:r>
        <w:rPr>
          <w:b/>
          <w:color w:val="67287F"/>
          <w:spacing w:val="-7"/>
          <w:sz w:val="28"/>
        </w:rPr>
        <w:t> </w:t>
      </w:r>
      <w:r>
        <w:rPr>
          <w:b/>
          <w:color w:val="67287F"/>
          <w:sz w:val="28"/>
        </w:rPr>
        <w:t>NI</w:t>
      </w:r>
      <w:r>
        <w:rPr>
          <w:b/>
          <w:color w:val="67287F"/>
          <w:spacing w:val="-7"/>
          <w:sz w:val="28"/>
        </w:rPr>
        <w:t> </w:t>
      </w:r>
      <w:r>
        <w:rPr>
          <w:b/>
          <w:color w:val="67287F"/>
          <w:sz w:val="28"/>
        </w:rPr>
        <w:t>across</w:t>
      </w:r>
      <w:r>
        <w:rPr>
          <w:b/>
          <w:color w:val="67287F"/>
          <w:spacing w:val="-7"/>
          <w:sz w:val="28"/>
        </w:rPr>
        <w:t> </w:t>
      </w:r>
      <w:r>
        <w:rPr>
          <w:b/>
          <w:color w:val="67287F"/>
          <w:sz w:val="28"/>
        </w:rPr>
        <w:t>all</w:t>
      </w:r>
      <w:r>
        <w:rPr>
          <w:b/>
          <w:color w:val="67287F"/>
          <w:spacing w:val="-7"/>
          <w:sz w:val="28"/>
        </w:rPr>
        <w:t> </w:t>
      </w:r>
      <w:r>
        <w:rPr>
          <w:b/>
          <w:color w:val="67287F"/>
          <w:sz w:val="28"/>
        </w:rPr>
        <w:t>equality </w:t>
      </w:r>
      <w:r>
        <w:rPr>
          <w:b/>
          <w:color w:val="67287F"/>
          <w:spacing w:val="-2"/>
          <w:sz w:val="28"/>
        </w:rPr>
        <w:t>grounds.</w:t>
      </w:r>
    </w:p>
    <w:p>
      <w:pPr>
        <w:pStyle w:val="BodyText"/>
        <w:spacing w:before="81"/>
        <w:rPr>
          <w:b/>
          <w:sz w:val="20"/>
        </w:rPr>
      </w:pPr>
      <w:r>
        <w:rPr/>
        <mc:AlternateContent>
          <mc:Choice Requires="wps">
            <w:drawing>
              <wp:anchor distT="0" distB="0" distL="0" distR="0" allowOverlap="1" layoutInCell="1" locked="0" behindDoc="1" simplePos="0" relativeHeight="487645696">
                <wp:simplePos x="0" y="0"/>
                <wp:positionH relativeFrom="page">
                  <wp:posOffset>719996</wp:posOffset>
                </wp:positionH>
                <wp:positionV relativeFrom="paragraph">
                  <wp:posOffset>222071</wp:posOffset>
                </wp:positionV>
                <wp:extent cx="6120130" cy="1270"/>
                <wp:effectExtent l="0" t="0" r="0" b="0"/>
                <wp:wrapTopAndBottom/>
                <wp:docPr id="211" name="Graphic 211"/>
                <wp:cNvGraphicFramePr>
                  <a:graphicFrameLocks/>
                </wp:cNvGraphicFramePr>
                <a:graphic>
                  <a:graphicData uri="http://schemas.microsoft.com/office/word/2010/wordprocessingShape">
                    <wps:wsp>
                      <wps:cNvPr id="211" name="Graphic 211"/>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7.485981pt;width:481.9pt;height:.1pt;mso-position-horizontal-relative:page;mso-position-vertical-relative:paragraph;z-index:-15670784;mso-wrap-distance-left:0;mso-wrap-distance-right:0" id="docshape167" coordorigin="1134,350" coordsize="9638,0" path="m10772,350l1134,350e" filled="false" stroked="true" strokeweight="1pt" strokecolor="#393b80">
                <v:path arrowok="t"/>
                <v:stroke dashstyle="solid"/>
                <w10:wrap type="topAndBottom"/>
              </v:shape>
            </w:pict>
          </mc:Fallback>
        </mc:AlternateContent>
      </w:r>
    </w:p>
    <w:p>
      <w:pPr>
        <w:pStyle w:val="ListParagraph"/>
        <w:numPr>
          <w:ilvl w:val="0"/>
          <w:numId w:val="3"/>
        </w:numPr>
        <w:tabs>
          <w:tab w:pos="1853" w:val="left" w:leader="none"/>
        </w:tabs>
        <w:spacing w:line="235" w:lineRule="auto" w:before="120" w:after="0"/>
        <w:ind w:left="1853" w:right="1810" w:hanging="720"/>
        <w:jc w:val="left"/>
        <w:rPr>
          <w:sz w:val="18"/>
        </w:rPr>
      </w:pPr>
      <w:r>
        <w:rPr>
          <w:sz w:val="18"/>
        </w:rPr>
        <w:t>Equality</w:t>
      </w:r>
      <w:r>
        <w:rPr>
          <w:spacing w:val="-5"/>
          <w:sz w:val="18"/>
        </w:rPr>
        <w:t> </w:t>
      </w:r>
      <w:r>
        <w:rPr>
          <w:sz w:val="18"/>
        </w:rPr>
        <w:t>Commission</w:t>
      </w:r>
      <w:r>
        <w:rPr>
          <w:spacing w:val="-6"/>
          <w:sz w:val="18"/>
        </w:rPr>
        <w:t> </w:t>
      </w:r>
      <w:r>
        <w:rPr>
          <w:sz w:val="18"/>
        </w:rPr>
        <w:t>for</w:t>
      </w:r>
      <w:r>
        <w:rPr>
          <w:spacing w:val="-5"/>
          <w:sz w:val="18"/>
        </w:rPr>
        <w:t> </w:t>
      </w:r>
      <w:r>
        <w:rPr>
          <w:sz w:val="18"/>
        </w:rPr>
        <w:t>NI,</w:t>
      </w:r>
      <w:r>
        <w:rPr>
          <w:spacing w:val="-5"/>
          <w:sz w:val="18"/>
        </w:rPr>
        <w:t> </w:t>
      </w:r>
      <w:r>
        <w:rPr>
          <w:sz w:val="18"/>
        </w:rPr>
        <w:t>‘Consultation</w:t>
      </w:r>
      <w:r>
        <w:rPr>
          <w:spacing w:val="-6"/>
          <w:sz w:val="18"/>
        </w:rPr>
        <w:t> </w:t>
      </w:r>
      <w:r>
        <w:rPr>
          <w:sz w:val="18"/>
        </w:rPr>
        <w:t>Response:</w:t>
      </w:r>
      <w:r>
        <w:rPr>
          <w:spacing w:val="-5"/>
          <w:sz w:val="18"/>
        </w:rPr>
        <w:t> </w:t>
      </w:r>
      <w:r>
        <w:rPr>
          <w:sz w:val="18"/>
        </w:rPr>
        <w:t>The</w:t>
      </w:r>
      <w:r>
        <w:rPr>
          <w:spacing w:val="-5"/>
          <w:sz w:val="18"/>
        </w:rPr>
        <w:t> </w:t>
      </w:r>
      <w:r>
        <w:rPr>
          <w:sz w:val="18"/>
        </w:rPr>
        <w:t>Executive</w:t>
      </w:r>
      <w:r>
        <w:rPr>
          <w:spacing w:val="-5"/>
          <w:sz w:val="18"/>
        </w:rPr>
        <w:t> </w:t>
      </w:r>
      <w:r>
        <w:rPr>
          <w:sz w:val="18"/>
        </w:rPr>
        <w:t>Office</w:t>
      </w:r>
      <w:r>
        <w:rPr>
          <w:spacing w:val="-5"/>
          <w:sz w:val="18"/>
        </w:rPr>
        <w:t> </w:t>
      </w:r>
      <w:r>
        <w:rPr>
          <w:sz w:val="18"/>
        </w:rPr>
        <w:t>Consultation</w:t>
      </w:r>
      <w:r>
        <w:rPr>
          <w:spacing w:val="-6"/>
          <w:sz w:val="18"/>
        </w:rPr>
        <w:t> </w:t>
      </w:r>
      <w:r>
        <w:rPr>
          <w:sz w:val="18"/>
        </w:rPr>
        <w:t>on</w:t>
      </w:r>
      <w:r>
        <w:rPr>
          <w:spacing w:val="-6"/>
          <w:sz w:val="18"/>
        </w:rPr>
        <w:t> </w:t>
      </w:r>
      <w:r>
        <w:rPr>
          <w:sz w:val="18"/>
        </w:rPr>
        <w:t>the</w:t>
      </w:r>
      <w:r>
        <w:rPr>
          <w:spacing w:val="-5"/>
          <w:sz w:val="18"/>
        </w:rPr>
        <w:t> </w:t>
      </w:r>
      <w:r>
        <w:rPr>
          <w:sz w:val="18"/>
        </w:rPr>
        <w:t>Review</w:t>
      </w:r>
      <w:r>
        <w:rPr>
          <w:spacing w:val="-5"/>
          <w:sz w:val="18"/>
        </w:rPr>
        <w:t> </w:t>
      </w:r>
      <w:r>
        <w:rPr>
          <w:sz w:val="18"/>
        </w:rPr>
        <w:t>of</w:t>
      </w:r>
      <w:r>
        <w:rPr>
          <w:spacing w:val="-6"/>
          <w:sz w:val="18"/>
        </w:rPr>
        <w:t> </w:t>
      </w:r>
      <w:r>
        <w:rPr>
          <w:sz w:val="18"/>
        </w:rPr>
        <w:t>the</w:t>
      </w:r>
      <w:r>
        <w:rPr>
          <w:spacing w:val="-5"/>
          <w:sz w:val="18"/>
        </w:rPr>
        <w:t> </w:t>
      </w:r>
      <w:r>
        <w:rPr>
          <w:sz w:val="18"/>
        </w:rPr>
        <w:t>Race Relations (NI) Order 1997’, (ECNI 2023)</w:t>
      </w:r>
    </w:p>
    <w:p>
      <w:pPr>
        <w:pStyle w:val="ListParagraph"/>
        <w:numPr>
          <w:ilvl w:val="0"/>
          <w:numId w:val="3"/>
        </w:numPr>
        <w:tabs>
          <w:tab w:pos="1853" w:val="left" w:leader="none"/>
        </w:tabs>
        <w:spacing w:line="235" w:lineRule="auto" w:before="2" w:after="0"/>
        <w:ind w:left="1853" w:right="1678" w:hanging="720"/>
        <w:jc w:val="left"/>
        <w:rPr>
          <w:sz w:val="18"/>
        </w:rPr>
      </w:pPr>
      <w:r>
        <w:rPr>
          <w:sz w:val="18"/>
        </w:rPr>
        <w:t>Directive</w:t>
      </w:r>
      <w:r>
        <w:rPr>
          <w:spacing w:val="-4"/>
          <w:sz w:val="18"/>
        </w:rPr>
        <w:t> </w:t>
      </w:r>
      <w:r>
        <w:rPr>
          <w:sz w:val="18"/>
        </w:rPr>
        <w:t>2023/970/EU,</w:t>
      </w:r>
      <w:r>
        <w:rPr>
          <w:spacing w:val="-4"/>
          <w:sz w:val="18"/>
        </w:rPr>
        <w:t> </w:t>
      </w:r>
      <w:r>
        <w:rPr>
          <w:sz w:val="18"/>
        </w:rPr>
        <w:t>‘EU</w:t>
      </w:r>
      <w:r>
        <w:rPr>
          <w:spacing w:val="-4"/>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Directive</w:t>
      </w:r>
      <w:r>
        <w:rPr>
          <w:spacing w:val="-4"/>
          <w:sz w:val="18"/>
        </w:rPr>
        <w:t> </w:t>
      </w:r>
      <w:r>
        <w:rPr>
          <w:sz w:val="18"/>
        </w:rPr>
        <w:t>to</w:t>
      </w:r>
      <w:r>
        <w:rPr>
          <w:spacing w:val="-5"/>
          <w:sz w:val="18"/>
        </w:rPr>
        <w:t> </w:t>
      </w:r>
      <w:r>
        <w:rPr>
          <w:sz w:val="18"/>
        </w:rPr>
        <w:t>strengthen</w:t>
      </w:r>
      <w:r>
        <w:rPr>
          <w:spacing w:val="-5"/>
          <w:sz w:val="18"/>
        </w:rPr>
        <w:t> </w:t>
      </w:r>
      <w:r>
        <w:rPr>
          <w:sz w:val="18"/>
        </w:rPr>
        <w:t>the</w:t>
      </w:r>
      <w:r>
        <w:rPr>
          <w:spacing w:val="-4"/>
          <w:sz w:val="18"/>
        </w:rPr>
        <w:t> </w:t>
      </w:r>
      <w:r>
        <w:rPr>
          <w:sz w:val="18"/>
        </w:rPr>
        <w:t>application</w:t>
      </w:r>
      <w:r>
        <w:rPr>
          <w:spacing w:val="-5"/>
          <w:sz w:val="18"/>
        </w:rPr>
        <w:t> </w:t>
      </w:r>
      <w:r>
        <w:rPr>
          <w:sz w:val="18"/>
        </w:rPr>
        <w:t>of</w:t>
      </w:r>
      <w:r>
        <w:rPr>
          <w:spacing w:val="-5"/>
          <w:sz w:val="18"/>
        </w:rPr>
        <w:t> </w:t>
      </w:r>
      <w:r>
        <w:rPr>
          <w:sz w:val="18"/>
        </w:rPr>
        <w:t>the</w:t>
      </w:r>
      <w:r>
        <w:rPr>
          <w:spacing w:val="-4"/>
          <w:sz w:val="18"/>
        </w:rPr>
        <w:t> </w:t>
      </w:r>
      <w:r>
        <w:rPr>
          <w:sz w:val="18"/>
        </w:rPr>
        <w:t>principle</w:t>
      </w:r>
      <w:r>
        <w:rPr>
          <w:spacing w:val="-4"/>
          <w:sz w:val="18"/>
        </w:rPr>
        <w:t> </w:t>
      </w:r>
      <w:r>
        <w:rPr>
          <w:sz w:val="18"/>
        </w:rPr>
        <w:t>of</w:t>
      </w:r>
      <w:r>
        <w:rPr>
          <w:spacing w:val="-5"/>
          <w:sz w:val="18"/>
        </w:rPr>
        <w:t> </w:t>
      </w:r>
      <w:r>
        <w:rPr>
          <w:sz w:val="18"/>
        </w:rPr>
        <w:t>equal pay for equal work or work of equal value, between men and women through pay transparency and enforcement mechanisms’, 10 May 2023.</w:t>
      </w:r>
    </w:p>
    <w:p>
      <w:pPr>
        <w:pStyle w:val="ListParagraph"/>
        <w:numPr>
          <w:ilvl w:val="0"/>
          <w:numId w:val="3"/>
        </w:numPr>
        <w:tabs>
          <w:tab w:pos="1853" w:val="left" w:leader="none"/>
        </w:tabs>
        <w:spacing w:line="235" w:lineRule="auto" w:before="2" w:after="0"/>
        <w:ind w:left="1853" w:right="1167" w:hanging="720"/>
        <w:jc w:val="left"/>
        <w:rPr>
          <w:sz w:val="18"/>
        </w:rPr>
      </w:pPr>
      <w:r>
        <w:rPr>
          <w:sz w:val="18"/>
        </w:rPr>
        <w:t>Apart</w:t>
      </w:r>
      <w:r>
        <w:rPr>
          <w:spacing w:val="-5"/>
          <w:sz w:val="18"/>
        </w:rPr>
        <w:t> </w:t>
      </w:r>
      <w:r>
        <w:rPr>
          <w:sz w:val="18"/>
        </w:rPr>
        <w:t>from</w:t>
      </w:r>
      <w:r>
        <w:rPr>
          <w:spacing w:val="-5"/>
          <w:sz w:val="18"/>
        </w:rPr>
        <w:t> </w:t>
      </w:r>
      <w:r>
        <w:rPr>
          <w:sz w:val="18"/>
        </w:rPr>
        <w:t>a</w:t>
      </w:r>
      <w:r>
        <w:rPr>
          <w:spacing w:val="-5"/>
          <w:sz w:val="18"/>
        </w:rPr>
        <w:t> </w:t>
      </w:r>
      <w:r>
        <w:rPr>
          <w:sz w:val="18"/>
        </w:rPr>
        <w:t>small</w:t>
      </w:r>
      <w:r>
        <w:rPr>
          <w:spacing w:val="-5"/>
          <w:sz w:val="18"/>
        </w:rPr>
        <w:t> </w:t>
      </w:r>
      <w:r>
        <w:rPr>
          <w:sz w:val="18"/>
        </w:rPr>
        <w:t>number</w:t>
      </w:r>
      <w:r>
        <w:rPr>
          <w:spacing w:val="-5"/>
          <w:sz w:val="18"/>
        </w:rPr>
        <w:t> </w:t>
      </w:r>
      <w:r>
        <w:rPr>
          <w:sz w:val="18"/>
        </w:rPr>
        <w:t>of</w:t>
      </w:r>
      <w:r>
        <w:rPr>
          <w:spacing w:val="-5"/>
          <w:sz w:val="18"/>
        </w:rPr>
        <w:t> </w:t>
      </w:r>
      <w:r>
        <w:rPr>
          <w:sz w:val="18"/>
        </w:rPr>
        <w:t>provisions</w:t>
      </w:r>
      <w:r>
        <w:rPr>
          <w:spacing w:val="-5"/>
          <w:sz w:val="18"/>
        </w:rPr>
        <w:t> </w:t>
      </w:r>
      <w:r>
        <w:rPr>
          <w:sz w:val="18"/>
        </w:rPr>
        <w:t>of</w:t>
      </w:r>
      <w:r>
        <w:rPr>
          <w:spacing w:val="-5"/>
          <w:sz w:val="18"/>
        </w:rPr>
        <w:t> </w:t>
      </w:r>
      <w:r>
        <w:rPr>
          <w:sz w:val="18"/>
        </w:rPr>
        <w:t>the</w:t>
      </w:r>
      <w:r>
        <w:rPr>
          <w:spacing w:val="-5"/>
          <w:sz w:val="18"/>
        </w:rPr>
        <w:t> </w:t>
      </w:r>
      <w:r>
        <w:rPr>
          <w:sz w:val="18"/>
        </w:rPr>
        <w:t>EU</w:t>
      </w:r>
      <w:r>
        <w:rPr>
          <w:spacing w:val="-5"/>
          <w:sz w:val="18"/>
        </w:rPr>
        <w:t> </w:t>
      </w:r>
      <w:r>
        <w:rPr>
          <w:sz w:val="18"/>
        </w:rPr>
        <w:t>Pay</w:t>
      </w:r>
      <w:r>
        <w:rPr>
          <w:spacing w:val="-5"/>
          <w:sz w:val="18"/>
        </w:rPr>
        <w:t> </w:t>
      </w:r>
      <w:r>
        <w:rPr>
          <w:sz w:val="18"/>
        </w:rPr>
        <w:t>Transparency</w:t>
      </w:r>
      <w:r>
        <w:rPr>
          <w:spacing w:val="-5"/>
          <w:sz w:val="18"/>
        </w:rPr>
        <w:t> </w:t>
      </w:r>
      <w:r>
        <w:rPr>
          <w:sz w:val="18"/>
        </w:rPr>
        <w:t>Directive</w:t>
      </w:r>
      <w:r>
        <w:rPr>
          <w:spacing w:val="-5"/>
          <w:sz w:val="18"/>
        </w:rPr>
        <w:t> </w:t>
      </w:r>
      <w:r>
        <w:rPr>
          <w:sz w:val="18"/>
        </w:rPr>
        <w:t>that</w:t>
      </w:r>
      <w:r>
        <w:rPr>
          <w:spacing w:val="-5"/>
          <w:sz w:val="18"/>
        </w:rPr>
        <w:t> </w:t>
      </w:r>
      <w:r>
        <w:rPr>
          <w:sz w:val="18"/>
        </w:rPr>
        <w:t>are</w:t>
      </w:r>
      <w:r>
        <w:rPr>
          <w:spacing w:val="-5"/>
          <w:sz w:val="18"/>
        </w:rPr>
        <w:t> </w:t>
      </w:r>
      <w:r>
        <w:rPr>
          <w:sz w:val="18"/>
        </w:rPr>
        <w:t>no</w:t>
      </w:r>
      <w:r>
        <w:rPr>
          <w:spacing w:val="-5"/>
          <w:sz w:val="18"/>
        </w:rPr>
        <w:t> </w:t>
      </w:r>
      <w:r>
        <w:rPr>
          <w:sz w:val="18"/>
        </w:rPr>
        <w:t>longer</w:t>
      </w:r>
      <w:r>
        <w:rPr>
          <w:spacing w:val="-5"/>
          <w:sz w:val="18"/>
        </w:rPr>
        <w:t> </w:t>
      </w:r>
      <w:r>
        <w:rPr>
          <w:sz w:val="18"/>
        </w:rPr>
        <w:t>relevant</w:t>
      </w:r>
      <w:r>
        <w:rPr>
          <w:spacing w:val="-5"/>
          <w:sz w:val="18"/>
        </w:rPr>
        <w:t> </w:t>
      </w:r>
      <w:r>
        <w:rPr>
          <w:sz w:val="18"/>
        </w:rPr>
        <w:t>now</w:t>
      </w:r>
      <w:r>
        <w:rPr>
          <w:spacing w:val="-5"/>
          <w:sz w:val="18"/>
        </w:rPr>
        <w:t> </w:t>
      </w:r>
      <w:r>
        <w:rPr>
          <w:sz w:val="18"/>
        </w:rPr>
        <w:t>that</w:t>
      </w:r>
      <w:r>
        <w:rPr>
          <w:spacing w:val="-4"/>
          <w:sz w:val="18"/>
        </w:rPr>
        <w:t> </w:t>
      </w:r>
      <w:r>
        <w:rPr>
          <w:sz w:val="18"/>
        </w:rPr>
        <w:t>the</w:t>
      </w:r>
      <w:r>
        <w:rPr>
          <w:spacing w:val="-5"/>
          <w:sz w:val="18"/>
        </w:rPr>
        <w:t> </w:t>
      </w:r>
      <w:r>
        <w:rPr>
          <w:sz w:val="18"/>
        </w:rPr>
        <w:t>UK has left the EU.</w:t>
      </w:r>
    </w:p>
    <w:p>
      <w:pPr>
        <w:pStyle w:val="ListParagraph"/>
        <w:numPr>
          <w:ilvl w:val="0"/>
          <w:numId w:val="3"/>
        </w:numPr>
        <w:tabs>
          <w:tab w:pos="1853" w:val="left" w:leader="none"/>
        </w:tabs>
        <w:spacing w:line="235" w:lineRule="auto" w:before="1" w:after="0"/>
        <w:ind w:left="1853" w:right="1170" w:hanging="720"/>
        <w:jc w:val="left"/>
        <w:rPr>
          <w:sz w:val="18"/>
        </w:rPr>
      </w:pPr>
      <w:r>
        <w:rPr>
          <w:sz w:val="18"/>
        </w:rPr>
        <w:t>Directive</w:t>
      </w:r>
      <w:r>
        <w:rPr>
          <w:spacing w:val="-5"/>
          <w:sz w:val="18"/>
        </w:rPr>
        <w:t> </w:t>
      </w:r>
      <w:r>
        <w:rPr>
          <w:sz w:val="18"/>
        </w:rPr>
        <w:t>2006/54/EC,</w:t>
      </w:r>
      <w:r>
        <w:rPr>
          <w:spacing w:val="-5"/>
          <w:sz w:val="18"/>
        </w:rPr>
        <w:t> </w:t>
      </w:r>
      <w:r>
        <w:rPr>
          <w:sz w:val="18"/>
        </w:rPr>
        <w:t>‘EU</w:t>
      </w:r>
      <w:r>
        <w:rPr>
          <w:spacing w:val="-5"/>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Directive</w:t>
      </w:r>
      <w:r>
        <w:rPr>
          <w:spacing w:val="-5"/>
          <w:sz w:val="18"/>
        </w:rPr>
        <w:t> </w:t>
      </w:r>
      <w:r>
        <w:rPr>
          <w:sz w:val="18"/>
        </w:rPr>
        <w:t>on</w:t>
      </w:r>
      <w:r>
        <w:rPr>
          <w:spacing w:val="-5"/>
          <w:sz w:val="18"/>
        </w:rPr>
        <w:t> </w:t>
      </w:r>
      <w:r>
        <w:rPr>
          <w:sz w:val="18"/>
        </w:rPr>
        <w:t>the</w:t>
      </w:r>
      <w:r>
        <w:rPr>
          <w:spacing w:val="-5"/>
          <w:sz w:val="18"/>
        </w:rPr>
        <w:t> </w:t>
      </w:r>
      <w:r>
        <w:rPr>
          <w:sz w:val="18"/>
        </w:rPr>
        <w:t>Implementation</w:t>
      </w:r>
      <w:r>
        <w:rPr>
          <w:spacing w:val="-5"/>
          <w:sz w:val="18"/>
        </w:rPr>
        <w:t> </w:t>
      </w:r>
      <w:r>
        <w:rPr>
          <w:sz w:val="18"/>
        </w:rPr>
        <w:t>of</w:t>
      </w:r>
      <w:r>
        <w:rPr>
          <w:spacing w:val="-5"/>
          <w:sz w:val="18"/>
        </w:rPr>
        <w:t> </w:t>
      </w:r>
      <w:r>
        <w:rPr>
          <w:sz w:val="18"/>
        </w:rPr>
        <w:t>the</w:t>
      </w:r>
      <w:r>
        <w:rPr>
          <w:spacing w:val="-5"/>
          <w:sz w:val="18"/>
        </w:rPr>
        <w:t> </w:t>
      </w:r>
      <w:r>
        <w:rPr>
          <w:sz w:val="18"/>
        </w:rPr>
        <w:t>Principle</w:t>
      </w:r>
      <w:r>
        <w:rPr>
          <w:spacing w:val="-5"/>
          <w:sz w:val="18"/>
        </w:rPr>
        <w:t> </w:t>
      </w:r>
      <w:r>
        <w:rPr>
          <w:sz w:val="18"/>
        </w:rPr>
        <w:t>of</w:t>
      </w:r>
      <w:r>
        <w:rPr>
          <w:spacing w:val="-5"/>
          <w:sz w:val="18"/>
        </w:rPr>
        <w:t> </w:t>
      </w:r>
      <w:r>
        <w:rPr>
          <w:sz w:val="18"/>
        </w:rPr>
        <w:t>Equal</w:t>
      </w:r>
      <w:r>
        <w:rPr>
          <w:spacing w:val="-5"/>
          <w:sz w:val="18"/>
        </w:rPr>
        <w:t> </w:t>
      </w:r>
      <w:r>
        <w:rPr>
          <w:sz w:val="18"/>
        </w:rPr>
        <w:t>Opportunities and Equal Treatment of Men and Women in Matters of Employment and Occupation (Recast)’, 5 July 2006.</w:t>
      </w:r>
    </w:p>
    <w:p>
      <w:pPr>
        <w:pStyle w:val="ListParagraph"/>
        <w:numPr>
          <w:ilvl w:val="0"/>
          <w:numId w:val="3"/>
        </w:numPr>
        <w:tabs>
          <w:tab w:pos="1853" w:val="left" w:leader="none"/>
        </w:tabs>
        <w:spacing w:line="235" w:lineRule="auto" w:before="1" w:after="0"/>
        <w:ind w:left="1853" w:right="1201" w:hanging="720"/>
        <w:jc w:val="left"/>
        <w:rPr>
          <w:sz w:val="18"/>
        </w:rPr>
      </w:pPr>
      <w:r>
        <w:rPr>
          <w:sz w:val="18"/>
        </w:rPr>
        <w:t>Equality</w:t>
      </w:r>
      <w:r>
        <w:rPr>
          <w:spacing w:val="-5"/>
          <w:sz w:val="18"/>
        </w:rPr>
        <w:t> </w:t>
      </w:r>
      <w:r>
        <w:rPr>
          <w:sz w:val="18"/>
        </w:rPr>
        <w:t>Commission</w:t>
      </w:r>
      <w:r>
        <w:rPr>
          <w:spacing w:val="-6"/>
          <w:sz w:val="18"/>
        </w:rPr>
        <w:t> </w:t>
      </w:r>
      <w:r>
        <w:rPr>
          <w:sz w:val="18"/>
        </w:rPr>
        <w:t>for</w:t>
      </w:r>
      <w:r>
        <w:rPr>
          <w:spacing w:val="-5"/>
          <w:sz w:val="18"/>
        </w:rPr>
        <w:t> </w:t>
      </w:r>
      <w:r>
        <w:rPr>
          <w:sz w:val="18"/>
        </w:rPr>
        <w:t>NI</w:t>
      </w:r>
      <w:r>
        <w:rPr>
          <w:spacing w:val="-5"/>
          <w:sz w:val="18"/>
        </w:rPr>
        <w:t> </w:t>
      </w:r>
      <w:r>
        <w:rPr>
          <w:sz w:val="18"/>
        </w:rPr>
        <w:t>and</w:t>
      </w:r>
      <w:r>
        <w:rPr>
          <w:spacing w:val="-6"/>
          <w:sz w:val="18"/>
        </w:rPr>
        <w:t> </w:t>
      </w:r>
      <w:r>
        <w:rPr>
          <w:sz w:val="18"/>
        </w:rPr>
        <w:t>NI</w:t>
      </w:r>
      <w:r>
        <w:rPr>
          <w:spacing w:val="-5"/>
          <w:sz w:val="18"/>
        </w:rPr>
        <w:t> </w:t>
      </w:r>
      <w:r>
        <w:rPr>
          <w:sz w:val="18"/>
        </w:rPr>
        <w:t>Human</w:t>
      </w:r>
      <w:r>
        <w:rPr>
          <w:spacing w:val="-6"/>
          <w:sz w:val="18"/>
        </w:rPr>
        <w:t> </w:t>
      </w:r>
      <w:r>
        <w:rPr>
          <w:sz w:val="18"/>
        </w:rPr>
        <w:t>Rights</w:t>
      </w:r>
      <w:r>
        <w:rPr>
          <w:spacing w:val="-6"/>
          <w:sz w:val="18"/>
        </w:rPr>
        <w:t> </w:t>
      </w:r>
      <w:r>
        <w:rPr>
          <w:sz w:val="18"/>
        </w:rPr>
        <w:t>Commission,</w:t>
      </w:r>
      <w:r>
        <w:rPr>
          <w:spacing w:val="-5"/>
          <w:sz w:val="18"/>
        </w:rPr>
        <w:t> </w:t>
      </w:r>
      <w:r>
        <w:rPr>
          <w:sz w:val="18"/>
        </w:rPr>
        <w:t>‘</w:t>
      </w:r>
      <w:hyperlink r:id="rId96">
        <w:r>
          <w:rPr>
            <w:sz w:val="18"/>
          </w:rPr>
          <w:t>Briefing</w:t>
        </w:r>
        <w:r>
          <w:rPr>
            <w:spacing w:val="-5"/>
            <w:sz w:val="18"/>
          </w:rPr>
          <w:t> </w:t>
        </w:r>
        <w:r>
          <w:rPr>
            <w:sz w:val="18"/>
          </w:rPr>
          <w:t>Paper:</w:t>
        </w:r>
        <w:r>
          <w:rPr>
            <w:spacing w:val="-5"/>
            <w:sz w:val="18"/>
          </w:rPr>
          <w:t> </w:t>
        </w:r>
        <w:r>
          <w:rPr>
            <w:sz w:val="18"/>
          </w:rPr>
          <w:t>The</w:t>
        </w:r>
        <w:r>
          <w:rPr>
            <w:spacing w:val="-5"/>
            <w:sz w:val="18"/>
          </w:rPr>
          <w:t> </w:t>
        </w:r>
        <w:r>
          <w:rPr>
            <w:sz w:val="18"/>
          </w:rPr>
          <w:t>EU</w:t>
        </w:r>
        <w:r>
          <w:rPr>
            <w:spacing w:val="-5"/>
            <w:sz w:val="18"/>
          </w:rPr>
          <w:t> </w:t>
        </w:r>
        <w:r>
          <w:rPr>
            <w:sz w:val="18"/>
          </w:rPr>
          <w:t>Pay</w:t>
        </w:r>
        <w:r>
          <w:rPr>
            <w:spacing w:val="-5"/>
            <w:sz w:val="18"/>
          </w:rPr>
          <w:t> </w:t>
        </w:r>
        <w:r>
          <w:rPr>
            <w:sz w:val="18"/>
          </w:rPr>
          <w:t>Transparency</w:t>
        </w:r>
        <w:r>
          <w:rPr>
            <w:spacing w:val="-5"/>
            <w:sz w:val="18"/>
          </w:rPr>
          <w:t> </w:t>
        </w:r>
        <w:r>
          <w:rPr>
            <w:sz w:val="18"/>
          </w:rPr>
          <w:t>Directive:</w:t>
        </w:r>
        <w:r>
          <w:rPr>
            <w:spacing w:val="-5"/>
            <w:sz w:val="18"/>
          </w:rPr>
          <w:t> </w:t>
        </w:r>
        <w:r>
          <w:rPr>
            <w:sz w:val="18"/>
          </w:rPr>
          <w:t>The</w:t>
        </w:r>
        <w:r>
          <w:rPr>
            <w:spacing w:val="-5"/>
            <w:sz w:val="18"/>
          </w:rPr>
          <w:t> </w:t>
        </w:r>
        <w:r>
          <w:rPr>
            <w:sz w:val="18"/>
          </w:rPr>
          <w:t>UK</w:t>
        </w:r>
      </w:hyperlink>
      <w:r>
        <w:rPr>
          <w:sz w:val="18"/>
        </w:rPr>
        <w:t> </w:t>
      </w:r>
      <w:hyperlink r:id="rId96">
        <w:r>
          <w:rPr>
            <w:sz w:val="18"/>
          </w:rPr>
          <w:t>Governments dynamic alignment obligations relating to Windsor Framework Article 2</w:t>
        </w:r>
      </w:hyperlink>
      <w:r>
        <w:rPr>
          <w:sz w:val="18"/>
        </w:rPr>
        <w:t>’ (ECNI and NIHRC, 2024).</w:t>
      </w:r>
    </w:p>
    <w:p>
      <w:pPr>
        <w:pStyle w:val="ListParagraph"/>
        <w:numPr>
          <w:ilvl w:val="0"/>
          <w:numId w:val="3"/>
        </w:numPr>
        <w:tabs>
          <w:tab w:pos="1853" w:val="left" w:leader="none"/>
        </w:tabs>
        <w:spacing w:line="218" w:lineRule="exact" w:before="0" w:after="0"/>
        <w:ind w:left="1853" w:right="0" w:hanging="720"/>
        <w:jc w:val="left"/>
        <w:rPr>
          <w:sz w:val="18"/>
        </w:rPr>
      </w:pPr>
      <w:r>
        <w:rPr>
          <w:sz w:val="18"/>
        </w:rPr>
        <w:t>Article</w:t>
      </w:r>
      <w:r>
        <w:rPr>
          <w:spacing w:val="-2"/>
          <w:sz w:val="18"/>
        </w:rPr>
        <w:t> </w:t>
      </w:r>
      <w:r>
        <w:rPr>
          <w:sz w:val="18"/>
        </w:rPr>
        <w:t>13(3),</w:t>
      </w:r>
      <w:r>
        <w:rPr>
          <w:spacing w:val="-2"/>
          <w:sz w:val="18"/>
        </w:rPr>
        <w:t> </w:t>
      </w:r>
      <w:r>
        <w:rPr>
          <w:sz w:val="18"/>
        </w:rPr>
        <w:t>Windsor</w:t>
      </w:r>
      <w:r>
        <w:rPr>
          <w:spacing w:val="-1"/>
          <w:sz w:val="18"/>
        </w:rPr>
        <w:t> </w:t>
      </w:r>
      <w:r>
        <w:rPr>
          <w:spacing w:val="-2"/>
          <w:sz w:val="18"/>
        </w:rPr>
        <w:t>Framework.</w:t>
      </w:r>
    </w:p>
    <w:p>
      <w:pPr>
        <w:spacing w:after="0" w:line="218" w:lineRule="exact"/>
        <w:jc w:val="left"/>
        <w:rPr>
          <w:sz w:val="18"/>
        </w:rPr>
        <w:sectPr>
          <w:headerReference w:type="even" r:id="rId92"/>
          <w:headerReference w:type="default" r:id="rId93"/>
          <w:footerReference w:type="even" r:id="rId94"/>
          <w:footerReference w:type="default" r:id="rId95"/>
          <w:pgSz w:w="11910" w:h="16840"/>
          <w:pgMar w:header="496" w:footer="367" w:top="1220" w:bottom="560" w:left="0" w:right="0"/>
          <w:pgNumType w:start="44"/>
        </w:sectPr>
      </w:pPr>
    </w:p>
    <w:p>
      <w:pPr>
        <w:pStyle w:val="BodyText"/>
        <w:spacing w:before="198"/>
      </w:pPr>
    </w:p>
    <w:p>
      <w:pPr>
        <w:pStyle w:val="ListParagraph"/>
        <w:numPr>
          <w:ilvl w:val="1"/>
          <w:numId w:val="7"/>
        </w:numPr>
        <w:tabs>
          <w:tab w:pos="1853" w:val="left" w:leader="none"/>
        </w:tabs>
        <w:spacing w:line="225" w:lineRule="auto" w:before="0" w:after="0"/>
        <w:ind w:left="1853" w:right="1132" w:hanging="720"/>
        <w:jc w:val="left"/>
        <w:rPr>
          <w:b/>
          <w:color w:val="67287F"/>
          <w:sz w:val="28"/>
        </w:rPr>
      </w:pPr>
      <w:bookmarkStart w:name="_bookmark17" w:id="39"/>
      <w:bookmarkEnd w:id="39"/>
      <w:r>
        <w:rPr/>
      </w:r>
      <w:r>
        <w:rPr>
          <w:b/>
          <w:color w:val="67287F"/>
          <w:sz w:val="28"/>
        </w:rPr>
        <w:t>The Commissions advise the NI Executive and the Department of Communities</w:t>
      </w:r>
      <w:r>
        <w:rPr>
          <w:b/>
          <w:color w:val="67287F"/>
          <w:spacing w:val="-9"/>
          <w:sz w:val="28"/>
        </w:rPr>
        <w:t> </w:t>
      </w:r>
      <w:r>
        <w:rPr>
          <w:b/>
          <w:color w:val="67287F"/>
          <w:sz w:val="28"/>
        </w:rPr>
        <w:t>that,</w:t>
      </w:r>
      <w:r>
        <w:rPr>
          <w:b/>
          <w:color w:val="67287F"/>
          <w:spacing w:val="-9"/>
          <w:sz w:val="28"/>
        </w:rPr>
        <w:t> </w:t>
      </w:r>
      <w:r>
        <w:rPr>
          <w:b/>
          <w:color w:val="67287F"/>
          <w:sz w:val="28"/>
        </w:rPr>
        <w:t>in</w:t>
      </w:r>
      <w:r>
        <w:rPr>
          <w:b/>
          <w:color w:val="67287F"/>
          <w:spacing w:val="-9"/>
          <w:sz w:val="28"/>
        </w:rPr>
        <w:t> </w:t>
      </w:r>
      <w:r>
        <w:rPr>
          <w:b/>
          <w:color w:val="67287F"/>
          <w:sz w:val="28"/>
        </w:rPr>
        <w:t>accordance</w:t>
      </w:r>
      <w:r>
        <w:rPr>
          <w:b/>
          <w:color w:val="67287F"/>
          <w:spacing w:val="-8"/>
          <w:sz w:val="28"/>
        </w:rPr>
        <w:t> </w:t>
      </w:r>
      <w:r>
        <w:rPr>
          <w:b/>
          <w:color w:val="67287F"/>
          <w:sz w:val="28"/>
        </w:rPr>
        <w:t>with</w:t>
      </w:r>
      <w:r>
        <w:rPr>
          <w:b/>
          <w:color w:val="67287F"/>
          <w:spacing w:val="-9"/>
          <w:sz w:val="28"/>
        </w:rPr>
        <w:t> </w:t>
      </w:r>
      <w:r>
        <w:rPr>
          <w:b/>
          <w:color w:val="67287F"/>
          <w:sz w:val="28"/>
        </w:rPr>
        <w:t>the</w:t>
      </w:r>
      <w:r>
        <w:rPr>
          <w:b/>
          <w:color w:val="67287F"/>
          <w:spacing w:val="-8"/>
          <w:sz w:val="28"/>
        </w:rPr>
        <w:t> </w:t>
      </w:r>
      <w:r>
        <w:rPr>
          <w:b/>
          <w:color w:val="67287F"/>
          <w:sz w:val="28"/>
        </w:rPr>
        <w:t>keeping</w:t>
      </w:r>
      <w:r>
        <w:rPr>
          <w:b/>
          <w:color w:val="67287F"/>
          <w:spacing w:val="-9"/>
          <w:sz w:val="28"/>
        </w:rPr>
        <w:t> </w:t>
      </w:r>
      <w:r>
        <w:rPr>
          <w:b/>
          <w:color w:val="67287F"/>
          <w:sz w:val="28"/>
        </w:rPr>
        <w:t>pace</w:t>
      </w:r>
      <w:r>
        <w:rPr>
          <w:b/>
          <w:color w:val="67287F"/>
          <w:spacing w:val="-8"/>
          <w:sz w:val="28"/>
        </w:rPr>
        <w:t> </w:t>
      </w:r>
      <w:r>
        <w:rPr>
          <w:b/>
          <w:color w:val="67287F"/>
          <w:sz w:val="28"/>
        </w:rPr>
        <w:t>obligation</w:t>
      </w:r>
      <w:r>
        <w:rPr>
          <w:b/>
          <w:color w:val="67287F"/>
          <w:spacing w:val="-8"/>
          <w:sz w:val="28"/>
        </w:rPr>
        <w:t> </w:t>
      </w:r>
      <w:r>
        <w:rPr>
          <w:b/>
          <w:color w:val="67287F"/>
          <w:sz w:val="28"/>
        </w:rPr>
        <w:t>relating</w:t>
      </w:r>
      <w:r>
        <w:rPr>
          <w:b/>
          <w:color w:val="67287F"/>
          <w:spacing w:val="-9"/>
          <w:sz w:val="28"/>
        </w:rPr>
        <w:t> </w:t>
      </w:r>
      <w:r>
        <w:rPr>
          <w:b/>
          <w:color w:val="67287F"/>
          <w:sz w:val="28"/>
        </w:rPr>
        <w:t>to Windsor Framework Article 2, the definition of discrimination in relevant NI equality law should be amended to include “intersectional discrimination” aligned to the relevant provisions of the EU Pay Transparency Directive and the transposition deadline of the Directive.</w:t>
      </w:r>
    </w:p>
    <w:p>
      <w:pPr>
        <w:pStyle w:val="ListParagraph"/>
        <w:numPr>
          <w:ilvl w:val="1"/>
          <w:numId w:val="7"/>
        </w:numPr>
        <w:tabs>
          <w:tab w:pos="1853" w:val="left" w:leader="none"/>
        </w:tabs>
        <w:spacing w:line="225" w:lineRule="auto" w:before="313" w:after="0"/>
        <w:ind w:left="1853" w:right="1613" w:hanging="720"/>
        <w:jc w:val="left"/>
        <w:rPr>
          <w:b/>
          <w:color w:val="67287F"/>
          <w:sz w:val="28"/>
        </w:rPr>
      </w:pPr>
      <w:r>
        <w:rPr>
          <w:b/>
          <w:color w:val="67287F"/>
          <w:sz w:val="28"/>
        </w:rPr>
        <w:t>The NIHRC recommends that the Racial Equality Directive is amended to include</w:t>
      </w:r>
      <w:r>
        <w:rPr>
          <w:b/>
          <w:color w:val="67287F"/>
          <w:spacing w:val="-7"/>
          <w:sz w:val="28"/>
        </w:rPr>
        <w:t> </w:t>
      </w:r>
      <w:r>
        <w:rPr>
          <w:b/>
          <w:color w:val="67287F"/>
          <w:sz w:val="28"/>
        </w:rPr>
        <w:t>a</w:t>
      </w:r>
      <w:r>
        <w:rPr>
          <w:b/>
          <w:color w:val="67287F"/>
          <w:spacing w:val="-6"/>
          <w:sz w:val="28"/>
        </w:rPr>
        <w:t> </w:t>
      </w:r>
      <w:r>
        <w:rPr>
          <w:b/>
          <w:color w:val="67287F"/>
          <w:sz w:val="28"/>
        </w:rPr>
        <w:t>requirement</w:t>
      </w:r>
      <w:r>
        <w:rPr>
          <w:b/>
          <w:color w:val="67287F"/>
          <w:spacing w:val="-6"/>
          <w:sz w:val="28"/>
        </w:rPr>
        <w:t> </w:t>
      </w:r>
      <w:r>
        <w:rPr>
          <w:b/>
          <w:color w:val="67287F"/>
          <w:sz w:val="28"/>
        </w:rPr>
        <w:t>that</w:t>
      </w:r>
      <w:r>
        <w:rPr>
          <w:b/>
          <w:color w:val="67287F"/>
          <w:spacing w:val="-6"/>
          <w:sz w:val="28"/>
        </w:rPr>
        <w:t> </w:t>
      </w:r>
      <w:r>
        <w:rPr>
          <w:b/>
          <w:color w:val="67287F"/>
          <w:sz w:val="28"/>
        </w:rPr>
        <w:t>all</w:t>
      </w:r>
      <w:r>
        <w:rPr>
          <w:b/>
          <w:color w:val="67287F"/>
          <w:spacing w:val="-6"/>
          <w:sz w:val="28"/>
        </w:rPr>
        <w:t> </w:t>
      </w:r>
      <w:r>
        <w:rPr>
          <w:b/>
          <w:color w:val="67287F"/>
          <w:sz w:val="28"/>
        </w:rPr>
        <w:t>jurisdictions</w:t>
      </w:r>
      <w:r>
        <w:rPr>
          <w:b/>
          <w:color w:val="67287F"/>
          <w:spacing w:val="-6"/>
          <w:sz w:val="28"/>
        </w:rPr>
        <w:t> </w:t>
      </w:r>
      <w:r>
        <w:rPr>
          <w:b/>
          <w:color w:val="67287F"/>
          <w:sz w:val="28"/>
        </w:rPr>
        <w:t>to</w:t>
      </w:r>
      <w:r>
        <w:rPr>
          <w:b/>
          <w:color w:val="67287F"/>
          <w:spacing w:val="-6"/>
          <w:sz w:val="28"/>
        </w:rPr>
        <w:t> </w:t>
      </w:r>
      <w:r>
        <w:rPr>
          <w:b/>
          <w:color w:val="67287F"/>
          <w:sz w:val="28"/>
        </w:rPr>
        <w:t>which</w:t>
      </w:r>
      <w:r>
        <w:rPr>
          <w:b/>
          <w:color w:val="67287F"/>
          <w:spacing w:val="-6"/>
          <w:sz w:val="28"/>
        </w:rPr>
        <w:t> </w:t>
      </w:r>
      <w:r>
        <w:rPr>
          <w:b/>
          <w:color w:val="67287F"/>
          <w:sz w:val="28"/>
        </w:rPr>
        <w:t>the</w:t>
      </w:r>
      <w:r>
        <w:rPr>
          <w:b/>
          <w:color w:val="67287F"/>
          <w:spacing w:val="-7"/>
          <w:sz w:val="28"/>
        </w:rPr>
        <w:t> </w:t>
      </w:r>
      <w:r>
        <w:rPr>
          <w:b/>
          <w:color w:val="67287F"/>
          <w:sz w:val="28"/>
        </w:rPr>
        <w:t>Directive</w:t>
      </w:r>
      <w:r>
        <w:rPr>
          <w:b/>
          <w:color w:val="67287F"/>
          <w:spacing w:val="-7"/>
          <w:sz w:val="28"/>
        </w:rPr>
        <w:t> </w:t>
      </w:r>
      <w:r>
        <w:rPr>
          <w:b/>
          <w:color w:val="67287F"/>
          <w:sz w:val="28"/>
        </w:rPr>
        <w:t>applies take steps to strengthen, simplify and harmonise anti-discrimination protections across all protected categories.</w:t>
      </w:r>
    </w:p>
    <w:p>
      <w:pPr>
        <w:pStyle w:val="ListParagraph"/>
        <w:numPr>
          <w:ilvl w:val="1"/>
          <w:numId w:val="7"/>
        </w:numPr>
        <w:tabs>
          <w:tab w:pos="1853" w:val="left" w:leader="none"/>
        </w:tabs>
        <w:spacing w:line="225" w:lineRule="auto" w:before="315" w:after="0"/>
        <w:ind w:left="1853" w:right="1374" w:hanging="720"/>
        <w:jc w:val="left"/>
        <w:rPr>
          <w:b/>
          <w:color w:val="67287F"/>
          <w:sz w:val="28"/>
        </w:rPr>
      </w:pPr>
      <w:r>
        <w:rPr>
          <w:b/>
          <w:color w:val="67287F"/>
          <w:sz w:val="28"/>
        </w:rPr>
        <w:t>The NIHRC recommends that the EU Commission includes, as a minimum standard,</w:t>
      </w:r>
      <w:r>
        <w:rPr>
          <w:b/>
          <w:color w:val="67287F"/>
          <w:spacing w:val="-9"/>
          <w:sz w:val="28"/>
        </w:rPr>
        <w:t> </w:t>
      </w:r>
      <w:r>
        <w:rPr>
          <w:b/>
          <w:color w:val="67287F"/>
          <w:sz w:val="28"/>
        </w:rPr>
        <w:t>stronger</w:t>
      </w:r>
      <w:r>
        <w:rPr>
          <w:b/>
          <w:color w:val="67287F"/>
          <w:spacing w:val="-10"/>
          <w:sz w:val="28"/>
        </w:rPr>
        <w:t> </w:t>
      </w:r>
      <w:r>
        <w:rPr>
          <w:b/>
          <w:color w:val="67287F"/>
          <w:sz w:val="28"/>
        </w:rPr>
        <w:t>recognition</w:t>
      </w:r>
      <w:r>
        <w:rPr>
          <w:b/>
          <w:color w:val="67287F"/>
          <w:spacing w:val="-9"/>
          <w:sz w:val="28"/>
        </w:rPr>
        <w:t> </w:t>
      </w:r>
      <w:r>
        <w:rPr>
          <w:b/>
          <w:color w:val="67287F"/>
          <w:sz w:val="28"/>
        </w:rPr>
        <w:t>of</w:t>
      </w:r>
      <w:r>
        <w:rPr>
          <w:b/>
          <w:color w:val="67287F"/>
          <w:spacing w:val="-10"/>
          <w:sz w:val="28"/>
        </w:rPr>
        <w:t> </w:t>
      </w:r>
      <w:r>
        <w:rPr>
          <w:b/>
          <w:color w:val="67287F"/>
          <w:sz w:val="28"/>
        </w:rPr>
        <w:t>multiple</w:t>
      </w:r>
      <w:r>
        <w:rPr>
          <w:b/>
          <w:color w:val="67287F"/>
          <w:spacing w:val="-10"/>
          <w:sz w:val="28"/>
        </w:rPr>
        <w:t> </w:t>
      </w:r>
      <w:r>
        <w:rPr>
          <w:b/>
          <w:color w:val="67287F"/>
          <w:sz w:val="28"/>
        </w:rPr>
        <w:t>discrimination</w:t>
      </w:r>
      <w:r>
        <w:rPr>
          <w:b/>
          <w:color w:val="67287F"/>
          <w:spacing w:val="-9"/>
          <w:sz w:val="28"/>
        </w:rPr>
        <w:t> </w:t>
      </w:r>
      <w:r>
        <w:rPr>
          <w:b/>
          <w:color w:val="67287F"/>
          <w:sz w:val="28"/>
        </w:rPr>
        <w:t>and</w:t>
      </w:r>
      <w:r>
        <w:rPr>
          <w:b/>
          <w:color w:val="67287F"/>
          <w:spacing w:val="-9"/>
          <w:sz w:val="28"/>
        </w:rPr>
        <w:t> </w:t>
      </w:r>
      <w:r>
        <w:rPr>
          <w:b/>
          <w:color w:val="67287F"/>
          <w:sz w:val="28"/>
        </w:rPr>
        <w:t>the</w:t>
      </w:r>
      <w:r>
        <w:rPr>
          <w:b/>
          <w:color w:val="67287F"/>
          <w:spacing w:val="-10"/>
          <w:sz w:val="28"/>
        </w:rPr>
        <w:t> </w:t>
      </w:r>
      <w:r>
        <w:rPr>
          <w:b/>
          <w:color w:val="67287F"/>
          <w:sz w:val="28"/>
        </w:rPr>
        <w:t>provision of a mechanism for individuals to bring intersectional claims within the EU Racial Equality Directive.</w:t>
      </w:r>
    </w:p>
    <w:p>
      <w:pPr>
        <w:pStyle w:val="Heading5"/>
        <w:spacing w:before="298"/>
        <w:ind w:left="1133" w:firstLine="0"/>
      </w:pPr>
      <w:bookmarkStart w:name="Binding Standards for Equality Bodies" w:id="40"/>
      <w:bookmarkEnd w:id="40"/>
      <w:r>
        <w:rPr>
          <w:b w:val="0"/>
        </w:rPr>
      </w:r>
      <w:r>
        <w:rPr>
          <w:color w:val="393B7F"/>
        </w:rPr>
        <w:t>Binding</w:t>
      </w:r>
      <w:r>
        <w:rPr>
          <w:color w:val="393B7F"/>
          <w:spacing w:val="-11"/>
        </w:rPr>
        <w:t> </w:t>
      </w:r>
      <w:r>
        <w:rPr>
          <w:color w:val="393B7F"/>
        </w:rPr>
        <w:t>Standards</w:t>
      </w:r>
      <w:r>
        <w:rPr>
          <w:color w:val="393B7F"/>
          <w:spacing w:val="-7"/>
        </w:rPr>
        <w:t> </w:t>
      </w:r>
      <w:r>
        <w:rPr>
          <w:color w:val="393B7F"/>
        </w:rPr>
        <w:t>for</w:t>
      </w:r>
      <w:r>
        <w:rPr>
          <w:color w:val="393B7F"/>
          <w:spacing w:val="-8"/>
        </w:rPr>
        <w:t> </w:t>
      </w:r>
      <w:r>
        <w:rPr>
          <w:color w:val="393B7F"/>
        </w:rPr>
        <w:t>Equality</w:t>
      </w:r>
      <w:r>
        <w:rPr>
          <w:color w:val="393B7F"/>
          <w:spacing w:val="-7"/>
        </w:rPr>
        <w:t> </w:t>
      </w:r>
      <w:r>
        <w:rPr>
          <w:color w:val="393B7F"/>
          <w:spacing w:val="-2"/>
        </w:rPr>
        <w:t>Bodies</w:t>
      </w:r>
    </w:p>
    <w:p>
      <w:pPr>
        <w:pStyle w:val="ListParagraph"/>
        <w:numPr>
          <w:ilvl w:val="1"/>
          <w:numId w:val="7"/>
        </w:numPr>
        <w:tabs>
          <w:tab w:pos="1853" w:val="left" w:leader="none"/>
        </w:tabs>
        <w:spacing w:line="218" w:lineRule="auto" w:before="329" w:after="0"/>
        <w:ind w:left="1853" w:right="1183" w:hanging="720"/>
        <w:jc w:val="left"/>
        <w:rPr>
          <w:sz w:val="28"/>
        </w:rPr>
      </w:pPr>
      <w:r>
        <w:rPr>
          <w:sz w:val="28"/>
        </w:rPr>
        <w:t>In December 2022, the EU Commission published its proposals on two directives</w:t>
      </w:r>
      <w:r>
        <w:rPr>
          <w:spacing w:val="-11"/>
          <w:sz w:val="28"/>
        </w:rPr>
        <w:t> </w:t>
      </w:r>
      <w:r>
        <w:rPr>
          <w:sz w:val="28"/>
        </w:rPr>
        <w:t>on</w:t>
      </w:r>
      <w:r>
        <w:rPr>
          <w:spacing w:val="-11"/>
          <w:sz w:val="28"/>
        </w:rPr>
        <w:t> </w:t>
      </w:r>
      <w:r>
        <w:rPr>
          <w:sz w:val="28"/>
        </w:rPr>
        <w:t>standards</w:t>
      </w:r>
      <w:r>
        <w:rPr>
          <w:spacing w:val="-11"/>
          <w:sz w:val="28"/>
        </w:rPr>
        <w:t> </w:t>
      </w:r>
      <w:r>
        <w:rPr>
          <w:sz w:val="28"/>
        </w:rPr>
        <w:t>for</w:t>
      </w:r>
      <w:r>
        <w:rPr>
          <w:spacing w:val="-10"/>
          <w:sz w:val="28"/>
        </w:rPr>
        <w:t> </w:t>
      </w:r>
      <w:r>
        <w:rPr>
          <w:sz w:val="28"/>
        </w:rPr>
        <w:t>equality</w:t>
      </w:r>
      <w:r>
        <w:rPr>
          <w:spacing w:val="-10"/>
          <w:sz w:val="28"/>
        </w:rPr>
        <w:t> </w:t>
      </w:r>
      <w:r>
        <w:rPr>
          <w:sz w:val="28"/>
        </w:rPr>
        <w:t>bodies.</w:t>
      </w:r>
      <w:r>
        <w:rPr>
          <w:sz w:val="28"/>
          <w:vertAlign w:val="superscript"/>
        </w:rPr>
        <w:t>174</w:t>
      </w:r>
      <w:r>
        <w:rPr>
          <w:spacing w:val="-2"/>
          <w:sz w:val="28"/>
          <w:vertAlign w:val="baseline"/>
        </w:rPr>
        <w:t> </w:t>
      </w:r>
      <w:r>
        <w:rPr>
          <w:sz w:val="28"/>
          <w:vertAlign w:val="baseline"/>
        </w:rPr>
        <w:t>The</w:t>
      </w:r>
      <w:r>
        <w:rPr>
          <w:spacing w:val="-10"/>
          <w:sz w:val="28"/>
          <w:vertAlign w:val="baseline"/>
        </w:rPr>
        <w:t> </w:t>
      </w:r>
      <w:r>
        <w:rPr>
          <w:sz w:val="28"/>
          <w:vertAlign w:val="baseline"/>
        </w:rPr>
        <w:t>directives</w:t>
      </w:r>
      <w:r>
        <w:rPr>
          <w:spacing w:val="-11"/>
          <w:sz w:val="28"/>
          <w:vertAlign w:val="baseline"/>
        </w:rPr>
        <w:t> </w:t>
      </w:r>
      <w:r>
        <w:rPr>
          <w:sz w:val="28"/>
          <w:vertAlign w:val="baseline"/>
        </w:rPr>
        <w:t>aim</w:t>
      </w:r>
      <w:r>
        <w:rPr>
          <w:spacing w:val="-10"/>
          <w:sz w:val="28"/>
          <w:vertAlign w:val="baseline"/>
        </w:rPr>
        <w:t> </w:t>
      </w:r>
      <w:r>
        <w:rPr>
          <w:sz w:val="28"/>
          <w:vertAlign w:val="baseline"/>
        </w:rPr>
        <w:t>to</w:t>
      </w:r>
      <w:r>
        <w:rPr>
          <w:spacing w:val="-11"/>
          <w:sz w:val="28"/>
          <w:vertAlign w:val="baseline"/>
        </w:rPr>
        <w:t> </w:t>
      </w:r>
      <w:r>
        <w:rPr>
          <w:sz w:val="28"/>
          <w:vertAlign w:val="baseline"/>
        </w:rPr>
        <w:t>strengthen equality bodies by setting minimum standards on how they operate in all grounds of discrimination and areas covered by EU equality rules.</w:t>
      </w:r>
      <w:r>
        <w:rPr>
          <w:sz w:val="28"/>
          <w:vertAlign w:val="superscript"/>
        </w:rPr>
        <w:t>175</w:t>
      </w:r>
    </w:p>
    <w:p>
      <w:pPr>
        <w:pStyle w:val="ListParagraph"/>
        <w:numPr>
          <w:ilvl w:val="1"/>
          <w:numId w:val="7"/>
        </w:numPr>
        <w:tabs>
          <w:tab w:pos="1853" w:val="left" w:leader="none"/>
        </w:tabs>
        <w:spacing w:line="218" w:lineRule="auto" w:before="305" w:after="0"/>
        <w:ind w:left="1853" w:right="1166" w:hanging="720"/>
        <w:jc w:val="left"/>
        <w:rPr>
          <w:sz w:val="28"/>
        </w:rPr>
      </w:pPr>
      <w:r>
        <w:rPr>
          <w:sz w:val="28"/>
        </w:rPr>
        <w:t>The aim of the directives is to create a strengthened framework for EU equality bodies to promote equal treatment and equal opportunities and combat discrimination on all grounds and in the fields set out by the EU equality directives. Together, they strengthen the role and independence of equality bodies by setting out standards that address their mandate, tasks, independence, structure, powers, accessibility and resources to engage in the prevention</w:t>
      </w:r>
      <w:r>
        <w:rPr>
          <w:spacing w:val="-2"/>
          <w:sz w:val="28"/>
        </w:rPr>
        <w:t> </w:t>
      </w:r>
      <w:r>
        <w:rPr>
          <w:sz w:val="28"/>
        </w:rPr>
        <w:t>of</w:t>
      </w:r>
      <w:r>
        <w:rPr>
          <w:spacing w:val="-2"/>
          <w:sz w:val="28"/>
        </w:rPr>
        <w:t> </w:t>
      </w:r>
      <w:r>
        <w:rPr>
          <w:sz w:val="28"/>
        </w:rPr>
        <w:t>discrimination,</w:t>
      </w:r>
      <w:r>
        <w:rPr>
          <w:spacing w:val="-1"/>
          <w:sz w:val="28"/>
        </w:rPr>
        <w:t> </w:t>
      </w:r>
      <w:r>
        <w:rPr>
          <w:sz w:val="28"/>
        </w:rPr>
        <w:t>promote</w:t>
      </w:r>
      <w:r>
        <w:rPr>
          <w:spacing w:val="-1"/>
          <w:sz w:val="28"/>
        </w:rPr>
        <w:t> </w:t>
      </w:r>
      <w:r>
        <w:rPr>
          <w:sz w:val="28"/>
        </w:rPr>
        <w:t>equal</w:t>
      </w:r>
      <w:r>
        <w:rPr>
          <w:spacing w:val="-2"/>
          <w:sz w:val="28"/>
        </w:rPr>
        <w:t> </w:t>
      </w:r>
      <w:r>
        <w:rPr>
          <w:sz w:val="28"/>
        </w:rPr>
        <w:t>treatment</w:t>
      </w:r>
      <w:r>
        <w:rPr>
          <w:spacing w:val="-1"/>
          <w:sz w:val="28"/>
        </w:rPr>
        <w:t> </w:t>
      </w:r>
      <w:r>
        <w:rPr>
          <w:sz w:val="28"/>
        </w:rPr>
        <w:t>and</w:t>
      </w:r>
      <w:r>
        <w:rPr>
          <w:spacing w:val="-2"/>
          <w:sz w:val="28"/>
        </w:rPr>
        <w:t> </w:t>
      </w:r>
      <w:r>
        <w:rPr>
          <w:sz w:val="28"/>
        </w:rPr>
        <w:t>awareness</w:t>
      </w:r>
      <w:r>
        <w:rPr>
          <w:spacing w:val="-2"/>
          <w:sz w:val="28"/>
        </w:rPr>
        <w:t> </w:t>
      </w:r>
      <w:r>
        <w:rPr>
          <w:sz w:val="28"/>
        </w:rPr>
        <w:t>raising activities and effectively assist victims of discrimination to access justice.</w:t>
      </w:r>
      <w:r>
        <w:rPr>
          <w:spacing w:val="40"/>
          <w:sz w:val="28"/>
        </w:rPr>
        <w:t> </w:t>
      </w:r>
      <w:r>
        <w:rPr>
          <w:sz w:val="28"/>
        </w:rPr>
        <w:t>This includes</w:t>
      </w:r>
      <w:r>
        <w:rPr>
          <w:spacing w:val="-6"/>
          <w:sz w:val="28"/>
        </w:rPr>
        <w:t> </w:t>
      </w:r>
      <w:r>
        <w:rPr>
          <w:sz w:val="28"/>
        </w:rPr>
        <w:t>extending</w:t>
      </w:r>
      <w:r>
        <w:rPr>
          <w:spacing w:val="-5"/>
          <w:sz w:val="28"/>
        </w:rPr>
        <w:t> </w:t>
      </w:r>
      <w:r>
        <w:rPr>
          <w:sz w:val="28"/>
        </w:rPr>
        <w:t>the</w:t>
      </w:r>
      <w:r>
        <w:rPr>
          <w:spacing w:val="-5"/>
          <w:sz w:val="28"/>
        </w:rPr>
        <w:t> </w:t>
      </w:r>
      <w:r>
        <w:rPr>
          <w:sz w:val="28"/>
        </w:rPr>
        <w:t>mandate</w:t>
      </w:r>
      <w:r>
        <w:rPr>
          <w:spacing w:val="-5"/>
          <w:sz w:val="28"/>
        </w:rPr>
        <w:t> </w:t>
      </w:r>
      <w:r>
        <w:rPr>
          <w:sz w:val="28"/>
        </w:rPr>
        <w:t>of</w:t>
      </w:r>
      <w:r>
        <w:rPr>
          <w:spacing w:val="-6"/>
          <w:sz w:val="28"/>
        </w:rPr>
        <w:t> </w:t>
      </w:r>
      <w:r>
        <w:rPr>
          <w:sz w:val="28"/>
        </w:rPr>
        <w:t>equality</w:t>
      </w:r>
      <w:r>
        <w:rPr>
          <w:spacing w:val="-5"/>
          <w:sz w:val="28"/>
        </w:rPr>
        <w:t> </w:t>
      </w:r>
      <w:r>
        <w:rPr>
          <w:sz w:val="28"/>
        </w:rPr>
        <w:t>bodies</w:t>
      </w:r>
      <w:r>
        <w:rPr>
          <w:spacing w:val="-6"/>
          <w:sz w:val="28"/>
        </w:rPr>
        <w:t> </w:t>
      </w:r>
      <w:r>
        <w:rPr>
          <w:sz w:val="28"/>
        </w:rPr>
        <w:t>to</w:t>
      </w:r>
      <w:r>
        <w:rPr>
          <w:spacing w:val="-6"/>
          <w:sz w:val="28"/>
        </w:rPr>
        <w:t> </w:t>
      </w:r>
      <w:r>
        <w:rPr>
          <w:sz w:val="28"/>
        </w:rPr>
        <w:t>those</w:t>
      </w:r>
      <w:r>
        <w:rPr>
          <w:spacing w:val="-5"/>
          <w:sz w:val="28"/>
        </w:rPr>
        <w:t> </w:t>
      </w:r>
      <w:r>
        <w:rPr>
          <w:sz w:val="28"/>
        </w:rPr>
        <w:t>equality</w:t>
      </w:r>
      <w:r>
        <w:rPr>
          <w:spacing w:val="-5"/>
          <w:sz w:val="28"/>
        </w:rPr>
        <w:t> </w:t>
      </w:r>
      <w:r>
        <w:rPr>
          <w:sz w:val="28"/>
        </w:rPr>
        <w:t>directives which previously did not have such provisions.</w:t>
      </w:r>
    </w:p>
    <w:p>
      <w:pPr>
        <w:pStyle w:val="BodyText"/>
        <w:spacing w:before="8"/>
        <w:rPr>
          <w:sz w:val="3"/>
        </w:rPr>
      </w:pPr>
      <w:r>
        <w:rPr/>
        <mc:AlternateContent>
          <mc:Choice Requires="wps">
            <w:drawing>
              <wp:anchor distT="0" distB="0" distL="0" distR="0" allowOverlap="1" layoutInCell="1" locked="0" behindDoc="1" simplePos="0" relativeHeight="487646208">
                <wp:simplePos x="0" y="0"/>
                <wp:positionH relativeFrom="page">
                  <wp:posOffset>719999</wp:posOffset>
                </wp:positionH>
                <wp:positionV relativeFrom="paragraph">
                  <wp:posOffset>43582</wp:posOffset>
                </wp:positionV>
                <wp:extent cx="6120130" cy="1270"/>
                <wp:effectExtent l="0" t="0" r="0" b="0"/>
                <wp:wrapTopAndBottom/>
                <wp:docPr id="212" name="Graphic 212"/>
                <wp:cNvGraphicFramePr>
                  <a:graphicFrameLocks/>
                </wp:cNvGraphicFramePr>
                <a:graphic>
                  <a:graphicData uri="http://schemas.microsoft.com/office/word/2010/wordprocessingShape">
                    <wps:wsp>
                      <wps:cNvPr id="212" name="Graphic 212"/>
                      <wps:cNvSpPr/>
                      <wps:spPr>
                        <a:xfrm>
                          <a:off x="0" y="0"/>
                          <a:ext cx="6120130" cy="1270"/>
                        </a:xfrm>
                        <a:custGeom>
                          <a:avLst/>
                          <a:gdLst/>
                          <a:ahLst/>
                          <a:cxnLst/>
                          <a:rect l="l" t="t" r="r" b="b"/>
                          <a:pathLst>
                            <a:path w="6120130" h="0">
                              <a:moveTo>
                                <a:pt x="0" y="0"/>
                              </a:moveTo>
                              <a:lnTo>
                                <a:pt x="6120003"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3.431659pt;width:481.9pt;height:.1pt;mso-position-horizontal-relative:page;mso-position-vertical-relative:paragraph;z-index:-15670272;mso-wrap-distance-left:0;mso-wrap-distance-right:0" id="docshape168" coordorigin="1134,69" coordsize="9638,0" path="m1134,69l10772,69e" filled="false" stroked="true" strokeweight="1pt" strokecolor="#393b7f">
                <v:path arrowok="t"/>
                <v:stroke dashstyle="solid"/>
                <w10:wrap type="topAndBottom"/>
              </v:shape>
            </w:pict>
          </mc:Fallback>
        </mc:AlternateContent>
      </w:r>
    </w:p>
    <w:p>
      <w:pPr>
        <w:pStyle w:val="ListParagraph"/>
        <w:numPr>
          <w:ilvl w:val="0"/>
          <w:numId w:val="3"/>
        </w:numPr>
        <w:tabs>
          <w:tab w:pos="1853" w:val="left" w:leader="none"/>
        </w:tabs>
        <w:spacing w:line="235" w:lineRule="auto" w:before="122" w:after="0"/>
        <w:ind w:left="1853" w:right="1171" w:hanging="720"/>
        <w:jc w:val="left"/>
        <w:rPr>
          <w:sz w:val="18"/>
        </w:rPr>
      </w:pPr>
      <w:r>
        <w:rPr>
          <w:sz w:val="18"/>
        </w:rPr>
        <w:t>EU</w:t>
      </w:r>
      <w:r>
        <w:rPr>
          <w:spacing w:val="-3"/>
          <w:sz w:val="18"/>
        </w:rPr>
        <w:t> </w:t>
      </w:r>
      <w:r>
        <w:rPr>
          <w:sz w:val="18"/>
        </w:rPr>
        <w:t>Commission,</w:t>
      </w:r>
      <w:r>
        <w:rPr>
          <w:spacing w:val="-3"/>
          <w:sz w:val="18"/>
        </w:rPr>
        <w:t> </w:t>
      </w:r>
      <w:r>
        <w:rPr>
          <w:sz w:val="18"/>
        </w:rPr>
        <w:t>’Proposal</w:t>
      </w:r>
      <w:r>
        <w:rPr>
          <w:spacing w:val="-4"/>
          <w:sz w:val="18"/>
        </w:rPr>
        <w:t> </w:t>
      </w:r>
      <w:r>
        <w:rPr>
          <w:sz w:val="18"/>
        </w:rPr>
        <w:t>for</w:t>
      </w:r>
      <w:r>
        <w:rPr>
          <w:spacing w:val="-3"/>
          <w:sz w:val="18"/>
        </w:rPr>
        <w:t> </w:t>
      </w:r>
      <w:r>
        <w:rPr>
          <w:sz w:val="18"/>
        </w:rPr>
        <w:t>a</w:t>
      </w:r>
      <w:r>
        <w:rPr>
          <w:spacing w:val="-4"/>
          <w:sz w:val="18"/>
        </w:rPr>
        <w:t> </w:t>
      </w:r>
      <w:r>
        <w:rPr>
          <w:sz w:val="18"/>
        </w:rPr>
        <w:t>Council</w:t>
      </w:r>
      <w:r>
        <w:rPr>
          <w:spacing w:val="-4"/>
          <w:sz w:val="18"/>
        </w:rPr>
        <w:t> </w:t>
      </w:r>
      <w:r>
        <w:rPr>
          <w:sz w:val="18"/>
        </w:rPr>
        <w:t>Directive</w:t>
      </w:r>
      <w:r>
        <w:rPr>
          <w:spacing w:val="-3"/>
          <w:sz w:val="18"/>
        </w:rPr>
        <w:t> </w:t>
      </w:r>
      <w:r>
        <w:rPr>
          <w:sz w:val="18"/>
        </w:rPr>
        <w:t>on</w:t>
      </w:r>
      <w:r>
        <w:rPr>
          <w:spacing w:val="-4"/>
          <w:sz w:val="18"/>
        </w:rPr>
        <w:t> </w:t>
      </w:r>
      <w:r>
        <w:rPr>
          <w:sz w:val="18"/>
        </w:rPr>
        <w:t>standards</w:t>
      </w:r>
      <w:r>
        <w:rPr>
          <w:spacing w:val="-4"/>
          <w:sz w:val="18"/>
        </w:rPr>
        <w:t> </w:t>
      </w:r>
      <w:r>
        <w:rPr>
          <w:sz w:val="18"/>
        </w:rPr>
        <w:t>for</w:t>
      </w:r>
      <w:r>
        <w:rPr>
          <w:spacing w:val="-3"/>
          <w:sz w:val="18"/>
        </w:rPr>
        <w:t> </w:t>
      </w:r>
      <w:r>
        <w:rPr>
          <w:sz w:val="18"/>
        </w:rPr>
        <w:t>equality</w:t>
      </w:r>
      <w:r>
        <w:rPr>
          <w:spacing w:val="-3"/>
          <w:sz w:val="18"/>
        </w:rPr>
        <w:t> </w:t>
      </w:r>
      <w:r>
        <w:rPr>
          <w:sz w:val="18"/>
        </w:rPr>
        <w:t>bodies</w:t>
      </w:r>
      <w:r>
        <w:rPr>
          <w:spacing w:val="-4"/>
          <w:sz w:val="18"/>
        </w:rPr>
        <w:t> </w:t>
      </w:r>
      <w:r>
        <w:rPr>
          <w:sz w:val="18"/>
        </w:rPr>
        <w:t>in</w:t>
      </w:r>
      <w:r>
        <w:rPr>
          <w:spacing w:val="-4"/>
          <w:sz w:val="18"/>
        </w:rPr>
        <w:t> </w:t>
      </w:r>
      <w:r>
        <w:rPr>
          <w:sz w:val="18"/>
        </w:rPr>
        <w:t>the</w:t>
      </w:r>
      <w:r>
        <w:rPr>
          <w:spacing w:val="-3"/>
          <w:sz w:val="18"/>
        </w:rPr>
        <w:t> </w:t>
      </w:r>
      <w:r>
        <w:rPr>
          <w:sz w:val="18"/>
        </w:rPr>
        <w:t>field</w:t>
      </w:r>
      <w:r>
        <w:rPr>
          <w:spacing w:val="-4"/>
          <w:sz w:val="18"/>
        </w:rPr>
        <w:t> </w:t>
      </w:r>
      <w:r>
        <w:rPr>
          <w:sz w:val="18"/>
        </w:rPr>
        <w:t>of</w:t>
      </w:r>
      <w:r>
        <w:rPr>
          <w:spacing w:val="-4"/>
          <w:sz w:val="18"/>
        </w:rPr>
        <w:t> </w:t>
      </w:r>
      <w:r>
        <w:rPr>
          <w:sz w:val="18"/>
        </w:rPr>
        <w:t>equal</w:t>
      </w:r>
      <w:r>
        <w:rPr>
          <w:spacing w:val="-4"/>
          <w:sz w:val="18"/>
        </w:rPr>
        <w:t> </w:t>
      </w:r>
      <w:r>
        <w:rPr>
          <w:sz w:val="18"/>
        </w:rPr>
        <w:t>treatment</w:t>
      </w:r>
      <w:r>
        <w:rPr>
          <w:spacing w:val="-3"/>
          <w:sz w:val="18"/>
        </w:rPr>
        <w:t> </w:t>
      </w:r>
      <w:r>
        <w:rPr>
          <w:sz w:val="18"/>
        </w:rPr>
        <w:t>between persons irrespective of their racial or ethnic origin, equal treatment in the field of employment and occupation between persons irrespective of their religion or belief, disability, age or sexual orientation, equal treatment between women and men</w:t>
      </w:r>
      <w:r>
        <w:rPr>
          <w:spacing w:val="-4"/>
          <w:sz w:val="18"/>
        </w:rPr>
        <w:t> </w:t>
      </w:r>
      <w:r>
        <w:rPr>
          <w:sz w:val="18"/>
        </w:rPr>
        <w:t>in</w:t>
      </w:r>
      <w:r>
        <w:rPr>
          <w:spacing w:val="-4"/>
          <w:sz w:val="18"/>
        </w:rPr>
        <w:t> </w:t>
      </w:r>
      <w:r>
        <w:rPr>
          <w:sz w:val="18"/>
        </w:rPr>
        <w:t>matters</w:t>
      </w:r>
      <w:r>
        <w:rPr>
          <w:spacing w:val="-4"/>
          <w:sz w:val="18"/>
        </w:rPr>
        <w:t> </w:t>
      </w:r>
      <w:r>
        <w:rPr>
          <w:sz w:val="18"/>
        </w:rPr>
        <w:t>of</w:t>
      </w:r>
      <w:r>
        <w:rPr>
          <w:spacing w:val="-4"/>
          <w:sz w:val="18"/>
        </w:rPr>
        <w:t> </w:t>
      </w:r>
      <w:r>
        <w:rPr>
          <w:sz w:val="18"/>
        </w:rPr>
        <w:t>social</w:t>
      </w:r>
      <w:r>
        <w:rPr>
          <w:spacing w:val="-4"/>
          <w:sz w:val="18"/>
        </w:rPr>
        <w:t> </w:t>
      </w:r>
      <w:r>
        <w:rPr>
          <w:sz w:val="18"/>
        </w:rPr>
        <w:t>security</w:t>
      </w:r>
      <w:r>
        <w:rPr>
          <w:spacing w:val="-4"/>
          <w:sz w:val="18"/>
        </w:rPr>
        <w:t> </w:t>
      </w:r>
      <w:r>
        <w:rPr>
          <w:sz w:val="18"/>
        </w:rPr>
        <w:t>and</w:t>
      </w:r>
      <w:r>
        <w:rPr>
          <w:spacing w:val="-4"/>
          <w:sz w:val="18"/>
        </w:rPr>
        <w:t> </w:t>
      </w:r>
      <w:r>
        <w:rPr>
          <w:sz w:val="18"/>
        </w:rPr>
        <w:t>in</w:t>
      </w:r>
      <w:r>
        <w:rPr>
          <w:spacing w:val="-4"/>
          <w:sz w:val="18"/>
        </w:rPr>
        <w:t> </w:t>
      </w:r>
      <w:r>
        <w:rPr>
          <w:sz w:val="18"/>
        </w:rPr>
        <w:t>the</w:t>
      </w:r>
      <w:r>
        <w:rPr>
          <w:spacing w:val="-4"/>
          <w:sz w:val="18"/>
        </w:rPr>
        <w:t> </w:t>
      </w:r>
      <w:r>
        <w:rPr>
          <w:sz w:val="18"/>
        </w:rPr>
        <w:t>access</w:t>
      </w:r>
      <w:r>
        <w:rPr>
          <w:spacing w:val="-4"/>
          <w:sz w:val="18"/>
        </w:rPr>
        <w:t> </w:t>
      </w:r>
      <w:r>
        <w:rPr>
          <w:sz w:val="18"/>
        </w:rPr>
        <w:t>to</w:t>
      </w:r>
      <w:r>
        <w:rPr>
          <w:spacing w:val="-4"/>
          <w:sz w:val="18"/>
        </w:rPr>
        <w:t> </w:t>
      </w:r>
      <w:r>
        <w:rPr>
          <w:sz w:val="18"/>
        </w:rPr>
        <w:t>and</w:t>
      </w:r>
      <w:r>
        <w:rPr>
          <w:spacing w:val="-4"/>
          <w:sz w:val="18"/>
        </w:rPr>
        <w:t> </w:t>
      </w:r>
      <w:r>
        <w:rPr>
          <w:sz w:val="18"/>
        </w:rPr>
        <w:t>supply</w:t>
      </w:r>
      <w:r>
        <w:rPr>
          <w:spacing w:val="-4"/>
          <w:sz w:val="18"/>
        </w:rPr>
        <w:t> </w:t>
      </w:r>
      <w:r>
        <w:rPr>
          <w:sz w:val="18"/>
        </w:rPr>
        <w:t>of</w:t>
      </w:r>
      <w:r>
        <w:rPr>
          <w:spacing w:val="-4"/>
          <w:sz w:val="18"/>
        </w:rPr>
        <w:t> </w:t>
      </w:r>
      <w:r>
        <w:rPr>
          <w:sz w:val="18"/>
        </w:rPr>
        <w:t>goods</w:t>
      </w:r>
      <w:r>
        <w:rPr>
          <w:spacing w:val="-4"/>
          <w:sz w:val="18"/>
        </w:rPr>
        <w:t> </w:t>
      </w:r>
      <w:r>
        <w:rPr>
          <w:sz w:val="18"/>
        </w:rPr>
        <w:t>and</w:t>
      </w:r>
      <w:r>
        <w:rPr>
          <w:spacing w:val="-4"/>
          <w:sz w:val="18"/>
        </w:rPr>
        <w:t> </w:t>
      </w:r>
      <w:r>
        <w:rPr>
          <w:sz w:val="18"/>
        </w:rPr>
        <w:t>services,</w:t>
      </w:r>
      <w:r>
        <w:rPr>
          <w:spacing w:val="-4"/>
          <w:sz w:val="18"/>
        </w:rPr>
        <w:t> </w:t>
      </w:r>
      <w:r>
        <w:rPr>
          <w:sz w:val="18"/>
        </w:rPr>
        <w:t>and</w:t>
      </w:r>
      <w:r>
        <w:rPr>
          <w:spacing w:val="-4"/>
          <w:sz w:val="18"/>
        </w:rPr>
        <w:t> </w:t>
      </w:r>
      <w:r>
        <w:rPr>
          <w:sz w:val="18"/>
        </w:rPr>
        <w:t>deleting</w:t>
      </w:r>
      <w:r>
        <w:rPr>
          <w:spacing w:val="-4"/>
          <w:sz w:val="18"/>
        </w:rPr>
        <w:t> </w:t>
      </w:r>
      <w:r>
        <w:rPr>
          <w:sz w:val="18"/>
        </w:rPr>
        <w:t>Article</w:t>
      </w:r>
      <w:r>
        <w:rPr>
          <w:spacing w:val="-4"/>
          <w:sz w:val="18"/>
        </w:rPr>
        <w:t> </w:t>
      </w:r>
      <w:r>
        <w:rPr>
          <w:sz w:val="18"/>
        </w:rPr>
        <w:t>13</w:t>
      </w:r>
      <w:r>
        <w:rPr>
          <w:spacing w:val="-4"/>
          <w:sz w:val="18"/>
        </w:rPr>
        <w:t> </w:t>
      </w:r>
      <w:r>
        <w:rPr>
          <w:sz w:val="18"/>
        </w:rPr>
        <w:t>of</w:t>
      </w:r>
      <w:r>
        <w:rPr>
          <w:spacing w:val="-4"/>
          <w:sz w:val="18"/>
        </w:rPr>
        <w:t> </w:t>
      </w:r>
      <w:r>
        <w:rPr>
          <w:sz w:val="18"/>
        </w:rPr>
        <w:t>Directive 2000/43/EC</w:t>
      </w:r>
      <w:r>
        <w:rPr>
          <w:spacing w:val="-4"/>
          <w:sz w:val="18"/>
        </w:rPr>
        <w:t> </w:t>
      </w:r>
      <w:r>
        <w:rPr>
          <w:sz w:val="18"/>
        </w:rPr>
        <w:t>and</w:t>
      </w:r>
      <w:r>
        <w:rPr>
          <w:spacing w:val="-4"/>
          <w:sz w:val="18"/>
        </w:rPr>
        <w:t> </w:t>
      </w:r>
      <w:r>
        <w:rPr>
          <w:sz w:val="18"/>
        </w:rPr>
        <w:t>Article</w:t>
      </w:r>
      <w:r>
        <w:rPr>
          <w:spacing w:val="-3"/>
          <w:sz w:val="18"/>
        </w:rPr>
        <w:t> </w:t>
      </w:r>
      <w:r>
        <w:rPr>
          <w:sz w:val="18"/>
        </w:rPr>
        <w:t>12</w:t>
      </w:r>
      <w:r>
        <w:rPr>
          <w:spacing w:val="-3"/>
          <w:sz w:val="18"/>
        </w:rPr>
        <w:t> </w:t>
      </w:r>
      <w:r>
        <w:rPr>
          <w:sz w:val="18"/>
        </w:rPr>
        <w:t>of</w:t>
      </w:r>
      <w:r>
        <w:rPr>
          <w:spacing w:val="-4"/>
          <w:sz w:val="18"/>
        </w:rPr>
        <w:t> </w:t>
      </w:r>
      <w:r>
        <w:rPr>
          <w:sz w:val="18"/>
        </w:rPr>
        <w:t>Directive</w:t>
      </w:r>
      <w:r>
        <w:rPr>
          <w:spacing w:val="-3"/>
          <w:sz w:val="18"/>
        </w:rPr>
        <w:t> </w:t>
      </w:r>
      <w:r>
        <w:rPr>
          <w:sz w:val="18"/>
        </w:rPr>
        <w:t>2004/113/EC‘</w:t>
      </w:r>
      <w:r>
        <w:rPr>
          <w:spacing w:val="-3"/>
          <w:sz w:val="18"/>
        </w:rPr>
        <w:t> </w:t>
      </w:r>
      <w:r>
        <w:rPr>
          <w:sz w:val="18"/>
        </w:rPr>
        <w:t>(EU</w:t>
      </w:r>
      <w:r>
        <w:rPr>
          <w:spacing w:val="-3"/>
          <w:sz w:val="18"/>
        </w:rPr>
        <w:t> </w:t>
      </w:r>
      <w:r>
        <w:rPr>
          <w:sz w:val="18"/>
        </w:rPr>
        <w:t>Commission,</w:t>
      </w:r>
      <w:r>
        <w:rPr>
          <w:spacing w:val="-3"/>
          <w:sz w:val="18"/>
        </w:rPr>
        <w:t> </w:t>
      </w:r>
      <w:r>
        <w:rPr>
          <w:sz w:val="18"/>
        </w:rPr>
        <w:t>2022);</w:t>
      </w:r>
      <w:r>
        <w:rPr>
          <w:spacing w:val="35"/>
          <w:sz w:val="18"/>
        </w:rPr>
        <w:t> </w:t>
      </w:r>
      <w:r>
        <w:rPr>
          <w:sz w:val="18"/>
        </w:rPr>
        <w:t>EU</w:t>
      </w:r>
      <w:r>
        <w:rPr>
          <w:spacing w:val="-3"/>
          <w:sz w:val="18"/>
        </w:rPr>
        <w:t> </w:t>
      </w:r>
      <w:r>
        <w:rPr>
          <w:sz w:val="18"/>
        </w:rPr>
        <w:t>Commission,</w:t>
      </w:r>
      <w:r>
        <w:rPr>
          <w:spacing w:val="-3"/>
          <w:sz w:val="18"/>
        </w:rPr>
        <w:t> </w:t>
      </w:r>
      <w:r>
        <w:rPr>
          <w:sz w:val="18"/>
        </w:rPr>
        <w:t>’Proposal</w:t>
      </w:r>
      <w:r>
        <w:rPr>
          <w:spacing w:val="-4"/>
          <w:sz w:val="18"/>
        </w:rPr>
        <w:t> </w:t>
      </w:r>
      <w:r>
        <w:rPr>
          <w:sz w:val="18"/>
        </w:rPr>
        <w:t>for</w:t>
      </w:r>
      <w:r>
        <w:rPr>
          <w:spacing w:val="-3"/>
          <w:sz w:val="18"/>
        </w:rPr>
        <w:t> </w:t>
      </w:r>
      <w:r>
        <w:rPr>
          <w:sz w:val="18"/>
        </w:rPr>
        <w:t>a</w:t>
      </w:r>
      <w:r>
        <w:rPr>
          <w:spacing w:val="-4"/>
          <w:sz w:val="18"/>
        </w:rPr>
        <w:t> </w:t>
      </w:r>
      <w:r>
        <w:rPr>
          <w:sz w:val="18"/>
        </w:rPr>
        <w:t>Directive</w:t>
      </w:r>
      <w:r>
        <w:rPr>
          <w:spacing w:val="-3"/>
          <w:sz w:val="18"/>
        </w:rPr>
        <w:t> </w:t>
      </w:r>
      <w:r>
        <w:rPr>
          <w:sz w:val="18"/>
        </w:rPr>
        <w:t>of the European Parliament and of the Council on standards for equality bodies in the field of equal treatment and equal opportunities between women and men in matters of employment and occupation, and deleting Article 20 of Directive 2006/54/EC and Article 11 of Directive 2010/41/EU’ (EU Commission, 2022).</w:t>
      </w:r>
    </w:p>
    <w:p>
      <w:pPr>
        <w:pStyle w:val="ListParagraph"/>
        <w:numPr>
          <w:ilvl w:val="0"/>
          <w:numId w:val="3"/>
        </w:numPr>
        <w:tabs>
          <w:tab w:pos="1853" w:val="left" w:leader="none"/>
        </w:tabs>
        <w:spacing w:line="235" w:lineRule="auto" w:before="5" w:after="0"/>
        <w:ind w:left="1853" w:right="1557" w:hanging="720"/>
        <w:jc w:val="left"/>
        <w:rPr>
          <w:sz w:val="18"/>
        </w:rPr>
      </w:pPr>
      <w:r>
        <w:rPr>
          <w:sz w:val="18"/>
        </w:rPr>
        <w:t>The</w:t>
      </w:r>
      <w:r>
        <w:rPr>
          <w:spacing w:val="-4"/>
          <w:sz w:val="18"/>
        </w:rPr>
        <w:t> </w:t>
      </w:r>
      <w:r>
        <w:rPr>
          <w:sz w:val="18"/>
        </w:rPr>
        <w:t>ECNI</w:t>
      </w:r>
      <w:r>
        <w:rPr>
          <w:spacing w:val="-4"/>
          <w:sz w:val="18"/>
        </w:rPr>
        <w:t> </w:t>
      </w:r>
      <w:r>
        <w:rPr>
          <w:sz w:val="18"/>
        </w:rPr>
        <w:t>have</w:t>
      </w:r>
      <w:r>
        <w:rPr>
          <w:spacing w:val="-4"/>
          <w:sz w:val="18"/>
        </w:rPr>
        <w:t> </w:t>
      </w:r>
      <w:r>
        <w:rPr>
          <w:sz w:val="18"/>
        </w:rPr>
        <w:t>previously</w:t>
      </w:r>
      <w:r>
        <w:rPr>
          <w:spacing w:val="-4"/>
          <w:sz w:val="18"/>
        </w:rPr>
        <w:t> </w:t>
      </w:r>
      <w:r>
        <w:rPr>
          <w:sz w:val="18"/>
        </w:rPr>
        <w:t>welcomed</w:t>
      </w:r>
      <w:r>
        <w:rPr>
          <w:spacing w:val="-5"/>
          <w:sz w:val="18"/>
        </w:rPr>
        <w:t> </w:t>
      </w:r>
      <w:r>
        <w:rPr>
          <w:sz w:val="18"/>
        </w:rPr>
        <w:t>the</w:t>
      </w:r>
      <w:r>
        <w:rPr>
          <w:spacing w:val="-4"/>
          <w:sz w:val="18"/>
        </w:rPr>
        <w:t> </w:t>
      </w:r>
      <w:r>
        <w:rPr>
          <w:sz w:val="18"/>
        </w:rPr>
        <w:t>EU</w:t>
      </w:r>
      <w:r>
        <w:rPr>
          <w:spacing w:val="-4"/>
          <w:sz w:val="18"/>
        </w:rPr>
        <w:t> </w:t>
      </w:r>
      <w:r>
        <w:rPr>
          <w:sz w:val="18"/>
        </w:rPr>
        <w:t>Commission’s</w:t>
      </w:r>
      <w:r>
        <w:rPr>
          <w:spacing w:val="-5"/>
          <w:sz w:val="18"/>
        </w:rPr>
        <w:t> </w:t>
      </w:r>
      <w:r>
        <w:rPr>
          <w:sz w:val="18"/>
        </w:rPr>
        <w:t>proposals</w:t>
      </w:r>
      <w:r>
        <w:rPr>
          <w:spacing w:val="-5"/>
          <w:sz w:val="18"/>
        </w:rPr>
        <w:t> </w:t>
      </w:r>
      <w:r>
        <w:rPr>
          <w:sz w:val="18"/>
        </w:rPr>
        <w:t>and</w:t>
      </w:r>
      <w:r>
        <w:rPr>
          <w:spacing w:val="-5"/>
          <w:sz w:val="18"/>
        </w:rPr>
        <w:t> </w:t>
      </w:r>
      <w:r>
        <w:rPr>
          <w:sz w:val="18"/>
        </w:rPr>
        <w:t>responded</w:t>
      </w:r>
      <w:r>
        <w:rPr>
          <w:spacing w:val="-5"/>
          <w:sz w:val="18"/>
        </w:rPr>
        <w:t> </w:t>
      </w:r>
      <w:r>
        <w:rPr>
          <w:sz w:val="18"/>
        </w:rPr>
        <w:t>to</w:t>
      </w:r>
      <w:r>
        <w:rPr>
          <w:spacing w:val="-5"/>
          <w:sz w:val="18"/>
        </w:rPr>
        <w:t> </w:t>
      </w:r>
      <w:r>
        <w:rPr>
          <w:sz w:val="18"/>
        </w:rPr>
        <w:t>their</w:t>
      </w:r>
      <w:r>
        <w:rPr>
          <w:spacing w:val="-4"/>
          <w:sz w:val="18"/>
        </w:rPr>
        <w:t> </w:t>
      </w:r>
      <w:r>
        <w:rPr>
          <w:sz w:val="18"/>
        </w:rPr>
        <w:t>calls</w:t>
      </w:r>
      <w:r>
        <w:rPr>
          <w:spacing w:val="-5"/>
          <w:sz w:val="18"/>
        </w:rPr>
        <w:t> </w:t>
      </w:r>
      <w:r>
        <w:rPr>
          <w:sz w:val="18"/>
        </w:rPr>
        <w:t>for</w:t>
      </w:r>
      <w:r>
        <w:rPr>
          <w:spacing w:val="-4"/>
          <w:sz w:val="18"/>
        </w:rPr>
        <w:t> </w:t>
      </w:r>
      <w:r>
        <w:rPr>
          <w:sz w:val="18"/>
        </w:rPr>
        <w:t>feedback</w:t>
      </w:r>
      <w:r>
        <w:rPr>
          <w:spacing w:val="-4"/>
          <w:sz w:val="18"/>
        </w:rPr>
        <w:t> </w:t>
      </w:r>
      <w:r>
        <w:rPr>
          <w:sz w:val="18"/>
        </w:rPr>
        <w:t>on</w:t>
      </w:r>
      <w:r>
        <w:rPr>
          <w:spacing w:val="-5"/>
          <w:sz w:val="18"/>
        </w:rPr>
        <w:t> </w:t>
      </w:r>
      <w:r>
        <w:rPr>
          <w:sz w:val="18"/>
        </w:rPr>
        <w:t>the binding standards Roadmap and to their public consultation on their proposed directives on Binding Standards</w:t>
      </w:r>
    </w:p>
    <w:p>
      <w:pPr>
        <w:spacing w:line="235" w:lineRule="auto" w:before="2"/>
        <w:ind w:left="1853" w:right="1301" w:firstLine="0"/>
        <w:jc w:val="left"/>
        <w:rPr>
          <w:sz w:val="18"/>
        </w:rPr>
      </w:pPr>
      <w:r>
        <w:rPr>
          <w:sz w:val="18"/>
        </w:rPr>
        <w:t>for Equality Bodies. See Equality Commission for NI, ‘Equality Commission for NI’s response to the European Commission’s public consultation on Binding standards for Equality Bodies’ (ECNI, 2022); Equality Commission for NI, ‘</w:t>
      </w:r>
      <w:hyperlink r:id="rId97">
        <w:r>
          <w:rPr>
            <w:sz w:val="18"/>
          </w:rPr>
          <w:t>Equality</w:t>
        </w:r>
        <w:r>
          <w:rPr>
            <w:spacing w:val="-5"/>
            <w:sz w:val="18"/>
          </w:rPr>
          <w:t> </w:t>
        </w:r>
        <w:r>
          <w:rPr>
            <w:sz w:val="18"/>
          </w:rPr>
          <w:t>Commission</w:t>
        </w:r>
        <w:r>
          <w:rPr>
            <w:spacing w:val="-6"/>
            <w:sz w:val="18"/>
          </w:rPr>
          <w:t> </w:t>
        </w:r>
        <w:r>
          <w:rPr>
            <w:sz w:val="18"/>
          </w:rPr>
          <w:t>for</w:t>
        </w:r>
        <w:r>
          <w:rPr>
            <w:spacing w:val="-5"/>
            <w:sz w:val="18"/>
          </w:rPr>
          <w:t> </w:t>
        </w:r>
        <w:r>
          <w:rPr>
            <w:sz w:val="18"/>
          </w:rPr>
          <w:t>Northern</w:t>
        </w:r>
        <w:r>
          <w:rPr>
            <w:spacing w:val="-6"/>
            <w:sz w:val="18"/>
          </w:rPr>
          <w:t> </w:t>
        </w:r>
        <w:r>
          <w:rPr>
            <w:sz w:val="18"/>
          </w:rPr>
          <w:t>Ireland</w:t>
        </w:r>
        <w:r>
          <w:rPr>
            <w:spacing w:val="-6"/>
            <w:sz w:val="18"/>
          </w:rPr>
          <w:t> </w:t>
        </w:r>
        <w:r>
          <w:rPr>
            <w:sz w:val="18"/>
          </w:rPr>
          <w:t>response</w:t>
        </w:r>
        <w:r>
          <w:rPr>
            <w:spacing w:val="-5"/>
            <w:sz w:val="18"/>
          </w:rPr>
          <w:t> </w:t>
        </w:r>
        <w:r>
          <w:rPr>
            <w:sz w:val="18"/>
          </w:rPr>
          <w:t>to</w:t>
        </w:r>
        <w:r>
          <w:rPr>
            <w:spacing w:val="-6"/>
            <w:sz w:val="18"/>
          </w:rPr>
          <w:t> </w:t>
        </w:r>
        <w:r>
          <w:rPr>
            <w:sz w:val="18"/>
          </w:rPr>
          <w:t>the</w:t>
        </w:r>
        <w:r>
          <w:rPr>
            <w:spacing w:val="-5"/>
            <w:sz w:val="18"/>
          </w:rPr>
          <w:t> </w:t>
        </w:r>
        <w:r>
          <w:rPr>
            <w:sz w:val="18"/>
          </w:rPr>
          <w:t>European</w:t>
        </w:r>
        <w:r>
          <w:rPr>
            <w:spacing w:val="-6"/>
            <w:sz w:val="18"/>
          </w:rPr>
          <w:t> </w:t>
        </w:r>
        <w:r>
          <w:rPr>
            <w:sz w:val="18"/>
          </w:rPr>
          <w:t>Commission’s</w:t>
        </w:r>
        <w:r>
          <w:rPr>
            <w:spacing w:val="-6"/>
            <w:sz w:val="18"/>
          </w:rPr>
          <w:t> </w:t>
        </w:r>
        <w:r>
          <w:rPr>
            <w:sz w:val="18"/>
          </w:rPr>
          <w:t>proposals</w:t>
        </w:r>
        <w:r>
          <w:rPr>
            <w:spacing w:val="-6"/>
            <w:sz w:val="18"/>
          </w:rPr>
          <w:t> </w:t>
        </w:r>
        <w:r>
          <w:rPr>
            <w:sz w:val="18"/>
          </w:rPr>
          <w:t>on</w:t>
        </w:r>
        <w:r>
          <w:rPr>
            <w:spacing w:val="-6"/>
            <w:sz w:val="18"/>
          </w:rPr>
          <w:t> </w:t>
        </w:r>
        <w:r>
          <w:rPr>
            <w:sz w:val="18"/>
          </w:rPr>
          <w:t>Binding</w:t>
        </w:r>
        <w:r>
          <w:rPr>
            <w:spacing w:val="-5"/>
            <w:sz w:val="18"/>
          </w:rPr>
          <w:t> </w:t>
        </w:r>
        <w:r>
          <w:rPr>
            <w:sz w:val="18"/>
          </w:rPr>
          <w:t>standards</w:t>
        </w:r>
        <w:r>
          <w:rPr>
            <w:spacing w:val="-6"/>
            <w:sz w:val="18"/>
          </w:rPr>
          <w:t> </w:t>
        </w:r>
        <w:r>
          <w:rPr>
            <w:sz w:val="18"/>
          </w:rPr>
          <w:t>for</w:t>
        </w:r>
      </w:hyperlink>
      <w:r>
        <w:rPr>
          <w:sz w:val="18"/>
        </w:rPr>
        <w:t> </w:t>
      </w:r>
      <w:hyperlink r:id="rId97">
        <w:r>
          <w:rPr>
            <w:sz w:val="18"/>
          </w:rPr>
          <w:t>Equality Bodies</w:t>
        </w:r>
      </w:hyperlink>
      <w:r>
        <w:rPr>
          <w:sz w:val="18"/>
        </w:rPr>
        <w:t>’ (ECNI, 2023).</w:t>
      </w:r>
    </w:p>
    <w:p>
      <w:pPr>
        <w:spacing w:after="0" w:line="235" w:lineRule="auto"/>
        <w:jc w:val="left"/>
        <w:rPr>
          <w:sz w:val="18"/>
        </w:rPr>
        <w:sectPr>
          <w:pgSz w:w="11910" w:h="16840"/>
          <w:pgMar w:header="496" w:footer="367" w:top="1220" w:bottom="560" w:left="0" w:right="0"/>
        </w:sectPr>
      </w:pPr>
    </w:p>
    <w:p>
      <w:pPr>
        <w:pStyle w:val="BodyText"/>
        <w:spacing w:before="198"/>
      </w:pPr>
    </w:p>
    <w:p>
      <w:pPr>
        <w:pStyle w:val="ListParagraph"/>
        <w:numPr>
          <w:ilvl w:val="1"/>
          <w:numId w:val="7"/>
        </w:numPr>
        <w:tabs>
          <w:tab w:pos="1853" w:val="left" w:leader="none"/>
        </w:tabs>
        <w:spacing w:line="225" w:lineRule="auto" w:before="0" w:after="0"/>
        <w:ind w:left="1853" w:right="1404" w:hanging="720"/>
        <w:jc w:val="left"/>
        <w:rPr>
          <w:sz w:val="28"/>
        </w:rPr>
      </w:pPr>
      <w:r>
        <w:rPr>
          <w:sz w:val="28"/>
        </w:rPr>
        <w:t>Four Annex 1 equality directives reference the minimum competencies of equality bodies in their respective field: the EU Racial Equality Directive;</w:t>
      </w:r>
      <w:r>
        <w:rPr>
          <w:sz w:val="28"/>
          <w:vertAlign w:val="superscript"/>
        </w:rPr>
        <w:t>176</w:t>
      </w:r>
      <w:r>
        <w:rPr>
          <w:sz w:val="28"/>
          <w:vertAlign w:val="baseline"/>
        </w:rPr>
        <w:t> the</w:t>
      </w:r>
      <w:r>
        <w:rPr>
          <w:spacing w:val="-5"/>
          <w:sz w:val="28"/>
          <w:vertAlign w:val="baseline"/>
        </w:rPr>
        <w:t> </w:t>
      </w:r>
      <w:r>
        <w:rPr>
          <w:sz w:val="28"/>
          <w:vertAlign w:val="baseline"/>
        </w:rPr>
        <w:t>EU</w:t>
      </w:r>
      <w:r>
        <w:rPr>
          <w:spacing w:val="-5"/>
          <w:sz w:val="28"/>
          <w:vertAlign w:val="baseline"/>
        </w:rPr>
        <w:t> </w:t>
      </w:r>
      <w:r>
        <w:rPr>
          <w:sz w:val="28"/>
          <w:vertAlign w:val="baseline"/>
        </w:rPr>
        <w:t>Gender</w:t>
      </w:r>
      <w:r>
        <w:rPr>
          <w:spacing w:val="-5"/>
          <w:sz w:val="28"/>
          <w:vertAlign w:val="baseline"/>
        </w:rPr>
        <w:t> </w:t>
      </w:r>
      <w:r>
        <w:rPr>
          <w:sz w:val="28"/>
          <w:vertAlign w:val="baseline"/>
        </w:rPr>
        <w:t>Equality</w:t>
      </w:r>
      <w:r>
        <w:rPr>
          <w:spacing w:val="-5"/>
          <w:sz w:val="28"/>
          <w:vertAlign w:val="baseline"/>
        </w:rPr>
        <w:t> </w:t>
      </w:r>
      <w:r>
        <w:rPr>
          <w:sz w:val="28"/>
          <w:vertAlign w:val="baseline"/>
        </w:rPr>
        <w:t>Directive</w:t>
      </w:r>
      <w:r>
        <w:rPr>
          <w:spacing w:val="-5"/>
          <w:sz w:val="28"/>
          <w:vertAlign w:val="baseline"/>
        </w:rPr>
        <w:t> </w:t>
      </w:r>
      <w:r>
        <w:rPr>
          <w:sz w:val="28"/>
          <w:vertAlign w:val="baseline"/>
        </w:rPr>
        <w:t>in</w:t>
      </w:r>
      <w:r>
        <w:rPr>
          <w:spacing w:val="-6"/>
          <w:sz w:val="28"/>
          <w:vertAlign w:val="baseline"/>
        </w:rPr>
        <w:t> </w:t>
      </w:r>
      <w:r>
        <w:rPr>
          <w:sz w:val="28"/>
          <w:vertAlign w:val="baseline"/>
        </w:rPr>
        <w:t>the</w:t>
      </w:r>
      <w:r>
        <w:rPr>
          <w:spacing w:val="-5"/>
          <w:sz w:val="28"/>
          <w:vertAlign w:val="baseline"/>
        </w:rPr>
        <w:t> </w:t>
      </w:r>
      <w:r>
        <w:rPr>
          <w:sz w:val="28"/>
          <w:vertAlign w:val="baseline"/>
        </w:rPr>
        <w:t>field</w:t>
      </w:r>
      <w:r>
        <w:rPr>
          <w:spacing w:val="-6"/>
          <w:sz w:val="28"/>
          <w:vertAlign w:val="baseline"/>
        </w:rPr>
        <w:t> </w:t>
      </w:r>
      <w:r>
        <w:rPr>
          <w:sz w:val="28"/>
          <w:vertAlign w:val="baseline"/>
        </w:rPr>
        <w:t>of</w:t>
      </w:r>
      <w:r>
        <w:rPr>
          <w:spacing w:val="-6"/>
          <w:sz w:val="28"/>
          <w:vertAlign w:val="baseline"/>
        </w:rPr>
        <w:t> </w:t>
      </w:r>
      <w:r>
        <w:rPr>
          <w:sz w:val="28"/>
          <w:vertAlign w:val="baseline"/>
        </w:rPr>
        <w:t>goods</w:t>
      </w:r>
      <w:r>
        <w:rPr>
          <w:spacing w:val="-6"/>
          <w:sz w:val="28"/>
          <w:vertAlign w:val="baseline"/>
        </w:rPr>
        <w:t> </w:t>
      </w:r>
      <w:r>
        <w:rPr>
          <w:sz w:val="28"/>
          <w:vertAlign w:val="baseline"/>
        </w:rPr>
        <w:t>and</w:t>
      </w:r>
      <w:r>
        <w:rPr>
          <w:spacing w:val="-6"/>
          <w:sz w:val="28"/>
          <w:vertAlign w:val="baseline"/>
        </w:rPr>
        <w:t> </w:t>
      </w:r>
      <w:r>
        <w:rPr>
          <w:sz w:val="28"/>
          <w:vertAlign w:val="baseline"/>
        </w:rPr>
        <w:t>services;</w:t>
      </w:r>
      <w:r>
        <w:rPr>
          <w:sz w:val="28"/>
          <w:vertAlign w:val="superscript"/>
        </w:rPr>
        <w:t>177</w:t>
      </w:r>
      <w:r>
        <w:rPr>
          <w:spacing w:val="-6"/>
          <w:sz w:val="28"/>
          <w:vertAlign w:val="baseline"/>
        </w:rPr>
        <w:t> </w:t>
      </w:r>
      <w:r>
        <w:rPr>
          <w:sz w:val="28"/>
          <w:vertAlign w:val="baseline"/>
        </w:rPr>
        <w:t>the</w:t>
      </w:r>
      <w:r>
        <w:rPr>
          <w:spacing w:val="-5"/>
          <w:sz w:val="28"/>
          <w:vertAlign w:val="baseline"/>
        </w:rPr>
        <w:t> </w:t>
      </w:r>
      <w:r>
        <w:rPr>
          <w:sz w:val="28"/>
          <w:vertAlign w:val="baseline"/>
        </w:rPr>
        <w:t>EU Gender Equality Directive in the field of employment;</w:t>
      </w:r>
      <w:r>
        <w:rPr>
          <w:sz w:val="28"/>
          <w:vertAlign w:val="superscript"/>
        </w:rPr>
        <w:t>178</w:t>
      </w:r>
      <w:r>
        <w:rPr>
          <w:sz w:val="28"/>
          <w:vertAlign w:val="baseline"/>
        </w:rPr>
        <w:t> and the EU Gender Equality Directive in the field of self-employment.</w:t>
      </w:r>
      <w:r>
        <w:rPr>
          <w:sz w:val="28"/>
          <w:vertAlign w:val="superscript"/>
        </w:rPr>
        <w:t>179</w:t>
      </w:r>
      <w:r>
        <w:rPr>
          <w:spacing w:val="40"/>
          <w:sz w:val="28"/>
          <w:vertAlign w:val="baseline"/>
        </w:rPr>
        <w:t> </w:t>
      </w:r>
      <w:r>
        <w:rPr>
          <w:sz w:val="28"/>
          <w:vertAlign w:val="baseline"/>
        </w:rPr>
        <w:t>As Annex 1 directives, these provisions are subject to the dynamic alignment or “keeping pace” obligation under the Windsor Framework.</w:t>
      </w:r>
      <w:r>
        <w:rPr>
          <w:sz w:val="28"/>
          <w:vertAlign w:val="superscript"/>
        </w:rPr>
        <w:t>180</w:t>
      </w:r>
    </w:p>
    <w:p>
      <w:pPr>
        <w:pStyle w:val="ListParagraph"/>
        <w:numPr>
          <w:ilvl w:val="1"/>
          <w:numId w:val="7"/>
        </w:numPr>
        <w:tabs>
          <w:tab w:pos="1853" w:val="left" w:leader="none"/>
        </w:tabs>
        <w:spacing w:line="225" w:lineRule="auto" w:before="311" w:after="0"/>
        <w:ind w:left="1853" w:right="1325" w:hanging="720"/>
        <w:jc w:val="left"/>
        <w:rPr>
          <w:sz w:val="28"/>
        </w:rPr>
      </w:pPr>
      <w:r>
        <w:rPr>
          <w:sz w:val="28"/>
        </w:rPr>
        <w:t>The Commissions consider that the proposed EU directives on binding standards for equality bodies, amend or replace the provisions of a number of the EU equality directives in Annex 1 of the Windsor Framework and engage the ‘keeping pace’ obligation under Windsor Framework Article 2.</w:t>
      </w:r>
      <w:r>
        <w:rPr>
          <w:spacing w:val="40"/>
          <w:sz w:val="28"/>
        </w:rPr>
        <w:t> </w:t>
      </w:r>
      <w:r>
        <w:rPr>
          <w:sz w:val="28"/>
        </w:rPr>
        <w:t>It is</w:t>
      </w:r>
      <w:r>
        <w:rPr>
          <w:spacing w:val="-7"/>
          <w:sz w:val="28"/>
        </w:rPr>
        <w:t> </w:t>
      </w:r>
      <w:r>
        <w:rPr>
          <w:sz w:val="28"/>
        </w:rPr>
        <w:t>therefore</w:t>
      </w:r>
      <w:r>
        <w:rPr>
          <w:spacing w:val="-6"/>
          <w:sz w:val="28"/>
        </w:rPr>
        <w:t> </w:t>
      </w:r>
      <w:r>
        <w:rPr>
          <w:sz w:val="28"/>
        </w:rPr>
        <w:t>important</w:t>
      </w:r>
      <w:r>
        <w:rPr>
          <w:spacing w:val="-6"/>
          <w:sz w:val="28"/>
        </w:rPr>
        <w:t> </w:t>
      </w:r>
      <w:r>
        <w:rPr>
          <w:sz w:val="28"/>
        </w:rPr>
        <w:t>that</w:t>
      </w:r>
      <w:r>
        <w:rPr>
          <w:spacing w:val="-6"/>
          <w:sz w:val="28"/>
        </w:rPr>
        <w:t> </w:t>
      </w:r>
      <w:r>
        <w:rPr>
          <w:sz w:val="28"/>
        </w:rPr>
        <w:t>NI</w:t>
      </w:r>
      <w:r>
        <w:rPr>
          <w:spacing w:val="-6"/>
          <w:sz w:val="28"/>
        </w:rPr>
        <w:t> </w:t>
      </w:r>
      <w:r>
        <w:rPr>
          <w:sz w:val="28"/>
        </w:rPr>
        <w:t>equality</w:t>
      </w:r>
      <w:r>
        <w:rPr>
          <w:spacing w:val="-6"/>
          <w:sz w:val="28"/>
        </w:rPr>
        <w:t> </w:t>
      </w:r>
      <w:r>
        <w:rPr>
          <w:sz w:val="28"/>
        </w:rPr>
        <w:t>law</w:t>
      </w:r>
      <w:r>
        <w:rPr>
          <w:spacing w:val="-6"/>
          <w:sz w:val="28"/>
        </w:rPr>
        <w:t> </w:t>
      </w:r>
      <w:r>
        <w:rPr>
          <w:sz w:val="28"/>
        </w:rPr>
        <w:t>is</w:t>
      </w:r>
      <w:r>
        <w:rPr>
          <w:spacing w:val="-7"/>
          <w:sz w:val="28"/>
        </w:rPr>
        <w:t> </w:t>
      </w:r>
      <w:r>
        <w:rPr>
          <w:sz w:val="28"/>
        </w:rPr>
        <w:t>amended</w:t>
      </w:r>
      <w:r>
        <w:rPr>
          <w:spacing w:val="-7"/>
          <w:sz w:val="28"/>
        </w:rPr>
        <w:t> </w:t>
      </w:r>
      <w:r>
        <w:rPr>
          <w:sz w:val="28"/>
        </w:rPr>
        <w:t>to</w:t>
      </w:r>
      <w:r>
        <w:rPr>
          <w:spacing w:val="-7"/>
          <w:sz w:val="28"/>
        </w:rPr>
        <w:t> </w:t>
      </w:r>
      <w:r>
        <w:rPr>
          <w:sz w:val="28"/>
        </w:rPr>
        <w:t>keep</w:t>
      </w:r>
      <w:r>
        <w:rPr>
          <w:spacing w:val="-7"/>
          <w:sz w:val="28"/>
        </w:rPr>
        <w:t> </w:t>
      </w:r>
      <w:r>
        <w:rPr>
          <w:sz w:val="28"/>
        </w:rPr>
        <w:t>pace</w:t>
      </w:r>
      <w:r>
        <w:rPr>
          <w:spacing w:val="-6"/>
          <w:sz w:val="28"/>
        </w:rPr>
        <w:t> </w:t>
      </w:r>
      <w:r>
        <w:rPr>
          <w:sz w:val="28"/>
        </w:rPr>
        <w:t>with</w:t>
      </w:r>
      <w:r>
        <w:rPr>
          <w:spacing w:val="-7"/>
          <w:sz w:val="28"/>
        </w:rPr>
        <w:t> </w:t>
      </w:r>
      <w:r>
        <w:rPr>
          <w:sz w:val="28"/>
        </w:rPr>
        <w:t>any changes to these equality directives, if these proposals are adopted.</w:t>
      </w:r>
    </w:p>
    <w:p>
      <w:pPr>
        <w:pStyle w:val="ListParagraph"/>
        <w:numPr>
          <w:ilvl w:val="1"/>
          <w:numId w:val="7"/>
        </w:numPr>
        <w:tabs>
          <w:tab w:pos="1853" w:val="left" w:leader="none"/>
        </w:tabs>
        <w:spacing w:line="225" w:lineRule="auto" w:before="313" w:after="0"/>
        <w:ind w:left="1853" w:right="1333" w:hanging="720"/>
        <w:jc w:val="left"/>
        <w:rPr>
          <w:sz w:val="28"/>
        </w:rPr>
      </w:pPr>
      <w:r>
        <w:rPr>
          <w:sz w:val="28"/>
        </w:rPr>
        <w:t>The Commissions welcome the UK Government’s recognition that these proposed</w:t>
      </w:r>
      <w:r>
        <w:rPr>
          <w:spacing w:val="-8"/>
          <w:sz w:val="28"/>
        </w:rPr>
        <w:t> </w:t>
      </w:r>
      <w:r>
        <w:rPr>
          <w:sz w:val="28"/>
        </w:rPr>
        <w:t>EU</w:t>
      </w:r>
      <w:r>
        <w:rPr>
          <w:spacing w:val="-7"/>
          <w:sz w:val="28"/>
        </w:rPr>
        <w:t> </w:t>
      </w:r>
      <w:r>
        <w:rPr>
          <w:sz w:val="28"/>
        </w:rPr>
        <w:t>directives,</w:t>
      </w:r>
      <w:r>
        <w:rPr>
          <w:spacing w:val="-7"/>
          <w:sz w:val="28"/>
        </w:rPr>
        <w:t> </w:t>
      </w:r>
      <w:r>
        <w:rPr>
          <w:sz w:val="28"/>
        </w:rPr>
        <w:t>as</w:t>
      </w:r>
      <w:r>
        <w:rPr>
          <w:spacing w:val="-8"/>
          <w:sz w:val="28"/>
        </w:rPr>
        <w:t> </w:t>
      </w:r>
      <w:r>
        <w:rPr>
          <w:sz w:val="28"/>
        </w:rPr>
        <w:t>currently</w:t>
      </w:r>
      <w:r>
        <w:rPr>
          <w:spacing w:val="-7"/>
          <w:sz w:val="28"/>
        </w:rPr>
        <w:t> </w:t>
      </w:r>
      <w:r>
        <w:rPr>
          <w:sz w:val="28"/>
        </w:rPr>
        <w:t>drafted,</w:t>
      </w:r>
      <w:r>
        <w:rPr>
          <w:spacing w:val="-7"/>
          <w:sz w:val="28"/>
        </w:rPr>
        <w:t> </w:t>
      </w:r>
      <w:r>
        <w:rPr>
          <w:sz w:val="28"/>
        </w:rPr>
        <w:t>fall</w:t>
      </w:r>
      <w:r>
        <w:rPr>
          <w:spacing w:val="-8"/>
          <w:sz w:val="28"/>
        </w:rPr>
        <w:t> </w:t>
      </w:r>
      <w:r>
        <w:rPr>
          <w:sz w:val="28"/>
        </w:rPr>
        <w:t>within</w:t>
      </w:r>
      <w:r>
        <w:rPr>
          <w:spacing w:val="-8"/>
          <w:sz w:val="28"/>
        </w:rPr>
        <w:t> </w:t>
      </w:r>
      <w:r>
        <w:rPr>
          <w:sz w:val="28"/>
        </w:rPr>
        <w:t>the</w:t>
      </w:r>
      <w:r>
        <w:rPr>
          <w:spacing w:val="-7"/>
          <w:sz w:val="28"/>
        </w:rPr>
        <w:t> </w:t>
      </w:r>
      <w:r>
        <w:rPr>
          <w:sz w:val="28"/>
        </w:rPr>
        <w:t>scope</w:t>
      </w:r>
      <w:r>
        <w:rPr>
          <w:spacing w:val="-7"/>
          <w:sz w:val="28"/>
        </w:rPr>
        <w:t> </w:t>
      </w:r>
      <w:r>
        <w:rPr>
          <w:sz w:val="28"/>
        </w:rPr>
        <w:t>of</w:t>
      </w:r>
      <w:r>
        <w:rPr>
          <w:spacing w:val="-8"/>
          <w:sz w:val="28"/>
        </w:rPr>
        <w:t> </w:t>
      </w:r>
      <w:r>
        <w:rPr>
          <w:sz w:val="28"/>
        </w:rPr>
        <w:t>Windsor Framework Article 2.</w:t>
      </w:r>
      <w:r>
        <w:rPr>
          <w:sz w:val="28"/>
          <w:vertAlign w:val="superscript"/>
        </w:rPr>
        <w:t>181</w:t>
      </w:r>
    </w:p>
    <w:p>
      <w:pPr>
        <w:pStyle w:val="ListParagraph"/>
        <w:numPr>
          <w:ilvl w:val="1"/>
          <w:numId w:val="7"/>
        </w:numPr>
        <w:tabs>
          <w:tab w:pos="1853" w:val="left" w:leader="none"/>
        </w:tabs>
        <w:spacing w:line="225" w:lineRule="auto" w:before="316" w:after="0"/>
        <w:ind w:left="1853" w:right="1932" w:hanging="720"/>
        <w:jc w:val="both"/>
        <w:rPr>
          <w:sz w:val="28"/>
        </w:rPr>
      </w:pPr>
      <w:r>
        <w:rPr>
          <w:sz w:val="28"/>
        </w:rPr>
        <w:t>The Commissions have recognised that the development and adoption of</w:t>
      </w:r>
      <w:r>
        <w:rPr>
          <w:spacing w:val="-6"/>
          <w:sz w:val="28"/>
        </w:rPr>
        <w:t> </w:t>
      </w:r>
      <w:r>
        <w:rPr>
          <w:sz w:val="28"/>
        </w:rPr>
        <w:t>EU</w:t>
      </w:r>
      <w:r>
        <w:rPr>
          <w:spacing w:val="-5"/>
          <w:sz w:val="28"/>
        </w:rPr>
        <w:t> </w:t>
      </w:r>
      <w:r>
        <w:rPr>
          <w:sz w:val="28"/>
        </w:rPr>
        <w:t>legislation</w:t>
      </w:r>
      <w:r>
        <w:rPr>
          <w:spacing w:val="-6"/>
          <w:sz w:val="28"/>
        </w:rPr>
        <w:t> </w:t>
      </w:r>
      <w:r>
        <w:rPr>
          <w:sz w:val="28"/>
        </w:rPr>
        <w:t>on</w:t>
      </w:r>
      <w:r>
        <w:rPr>
          <w:spacing w:val="-6"/>
          <w:sz w:val="28"/>
        </w:rPr>
        <w:t> </w:t>
      </w:r>
      <w:r>
        <w:rPr>
          <w:sz w:val="28"/>
        </w:rPr>
        <w:t>binding</w:t>
      </w:r>
      <w:r>
        <w:rPr>
          <w:spacing w:val="-5"/>
          <w:sz w:val="28"/>
        </w:rPr>
        <w:t> </w:t>
      </w:r>
      <w:r>
        <w:rPr>
          <w:sz w:val="28"/>
        </w:rPr>
        <w:t>standards</w:t>
      </w:r>
      <w:r>
        <w:rPr>
          <w:spacing w:val="-6"/>
          <w:sz w:val="28"/>
        </w:rPr>
        <w:t> </w:t>
      </w:r>
      <w:r>
        <w:rPr>
          <w:sz w:val="28"/>
        </w:rPr>
        <w:t>for</w:t>
      </w:r>
      <w:r>
        <w:rPr>
          <w:spacing w:val="-5"/>
          <w:sz w:val="28"/>
        </w:rPr>
        <w:t> </w:t>
      </w:r>
      <w:r>
        <w:rPr>
          <w:sz w:val="28"/>
        </w:rPr>
        <w:t>equality</w:t>
      </w:r>
      <w:r>
        <w:rPr>
          <w:spacing w:val="-5"/>
          <w:sz w:val="28"/>
        </w:rPr>
        <w:t> </w:t>
      </w:r>
      <w:r>
        <w:rPr>
          <w:sz w:val="28"/>
        </w:rPr>
        <w:t>bodies</w:t>
      </w:r>
      <w:r>
        <w:rPr>
          <w:spacing w:val="-6"/>
          <w:sz w:val="28"/>
        </w:rPr>
        <w:t> </w:t>
      </w:r>
      <w:r>
        <w:rPr>
          <w:sz w:val="28"/>
        </w:rPr>
        <w:t>is</w:t>
      </w:r>
      <w:r>
        <w:rPr>
          <w:spacing w:val="-6"/>
          <w:sz w:val="28"/>
        </w:rPr>
        <w:t> </w:t>
      </w:r>
      <w:r>
        <w:rPr>
          <w:sz w:val="28"/>
        </w:rPr>
        <w:t>a</w:t>
      </w:r>
      <w:r>
        <w:rPr>
          <w:spacing w:val="-6"/>
          <w:sz w:val="28"/>
        </w:rPr>
        <w:t> </w:t>
      </w:r>
      <w:r>
        <w:rPr>
          <w:sz w:val="28"/>
        </w:rPr>
        <w:t>significant</w:t>
      </w:r>
    </w:p>
    <w:p>
      <w:pPr>
        <w:pStyle w:val="BodyText"/>
        <w:spacing w:line="225" w:lineRule="auto"/>
        <w:ind w:left="1853" w:right="1608"/>
        <w:jc w:val="both"/>
      </w:pPr>
      <w:r>
        <w:rPr/>
        <w:t>and</w:t>
      </w:r>
      <w:r>
        <w:rPr>
          <w:spacing w:val="-4"/>
        </w:rPr>
        <w:t> </w:t>
      </w:r>
      <w:r>
        <w:rPr/>
        <w:t>important</w:t>
      </w:r>
      <w:r>
        <w:rPr>
          <w:spacing w:val="-3"/>
        </w:rPr>
        <w:t> </w:t>
      </w:r>
      <w:r>
        <w:rPr/>
        <w:t>step</w:t>
      </w:r>
      <w:r>
        <w:rPr>
          <w:spacing w:val="-4"/>
        </w:rPr>
        <w:t> </w:t>
      </w:r>
      <w:r>
        <w:rPr/>
        <w:t>to</w:t>
      </w:r>
      <w:r>
        <w:rPr>
          <w:spacing w:val="-4"/>
        </w:rPr>
        <w:t> </w:t>
      </w:r>
      <w:r>
        <w:rPr/>
        <w:t>ensure</w:t>
      </w:r>
      <w:r>
        <w:rPr>
          <w:spacing w:val="-3"/>
        </w:rPr>
        <w:t> </w:t>
      </w:r>
      <w:r>
        <w:rPr/>
        <w:t>that</w:t>
      </w:r>
      <w:r>
        <w:rPr>
          <w:spacing w:val="-3"/>
        </w:rPr>
        <w:t> </w:t>
      </w:r>
      <w:r>
        <w:rPr/>
        <w:t>EU</w:t>
      </w:r>
      <w:r>
        <w:rPr>
          <w:spacing w:val="-3"/>
        </w:rPr>
        <w:t> </w:t>
      </w:r>
      <w:r>
        <w:rPr/>
        <w:t>equality</w:t>
      </w:r>
      <w:r>
        <w:rPr>
          <w:spacing w:val="-3"/>
        </w:rPr>
        <w:t> </w:t>
      </w:r>
      <w:r>
        <w:rPr/>
        <w:t>legislation</w:t>
      </w:r>
      <w:r>
        <w:rPr>
          <w:spacing w:val="-4"/>
        </w:rPr>
        <w:t> </w:t>
      </w:r>
      <w:r>
        <w:rPr/>
        <w:t>is</w:t>
      </w:r>
      <w:r>
        <w:rPr>
          <w:spacing w:val="-4"/>
        </w:rPr>
        <w:t> </w:t>
      </w:r>
      <w:r>
        <w:rPr/>
        <w:t>better</w:t>
      </w:r>
      <w:r>
        <w:rPr>
          <w:spacing w:val="-3"/>
        </w:rPr>
        <w:t> </w:t>
      </w:r>
      <w:r>
        <w:rPr/>
        <w:t>applied, reducing</w:t>
      </w:r>
      <w:r>
        <w:rPr>
          <w:spacing w:val="-8"/>
        </w:rPr>
        <w:t> </w:t>
      </w:r>
      <w:r>
        <w:rPr/>
        <w:t>opportunities</w:t>
      </w:r>
      <w:r>
        <w:rPr>
          <w:spacing w:val="-9"/>
        </w:rPr>
        <w:t> </w:t>
      </w:r>
      <w:r>
        <w:rPr/>
        <w:t>for</w:t>
      </w:r>
      <w:r>
        <w:rPr>
          <w:spacing w:val="-8"/>
        </w:rPr>
        <w:t> </w:t>
      </w:r>
      <w:r>
        <w:rPr/>
        <w:t>any</w:t>
      </w:r>
      <w:r>
        <w:rPr>
          <w:spacing w:val="-8"/>
        </w:rPr>
        <w:t> </w:t>
      </w:r>
      <w:r>
        <w:rPr/>
        <w:t>divergence</w:t>
      </w:r>
      <w:r>
        <w:rPr>
          <w:spacing w:val="-8"/>
        </w:rPr>
        <w:t> </w:t>
      </w:r>
      <w:r>
        <w:rPr/>
        <w:t>of</w:t>
      </w:r>
      <w:r>
        <w:rPr>
          <w:spacing w:val="-9"/>
        </w:rPr>
        <w:t> </w:t>
      </w:r>
      <w:r>
        <w:rPr/>
        <w:t>rights</w:t>
      </w:r>
      <w:r>
        <w:rPr>
          <w:spacing w:val="-9"/>
        </w:rPr>
        <w:t> </w:t>
      </w:r>
      <w:r>
        <w:rPr/>
        <w:t>across</w:t>
      </w:r>
      <w:r>
        <w:rPr>
          <w:spacing w:val="-9"/>
        </w:rPr>
        <w:t> </w:t>
      </w:r>
      <w:r>
        <w:rPr/>
        <w:t>countries</w:t>
      </w:r>
      <w:r>
        <w:rPr>
          <w:spacing w:val="-9"/>
        </w:rPr>
        <w:t> </w:t>
      </w:r>
      <w:r>
        <w:rPr/>
        <w:t>where such legislation applies, including NI.</w:t>
      </w:r>
      <w:r>
        <w:rPr>
          <w:vertAlign w:val="superscript"/>
        </w:rPr>
        <w:t>182</w:t>
      </w:r>
    </w:p>
    <w:p>
      <w:pPr>
        <w:pStyle w:val="ListParagraph"/>
        <w:numPr>
          <w:ilvl w:val="1"/>
          <w:numId w:val="7"/>
        </w:numPr>
        <w:tabs>
          <w:tab w:pos="1853" w:val="left" w:leader="none"/>
        </w:tabs>
        <w:spacing w:line="225" w:lineRule="auto" w:before="313" w:after="0"/>
        <w:ind w:left="1853" w:right="1573" w:hanging="720"/>
        <w:jc w:val="left"/>
        <w:rPr>
          <w:sz w:val="28"/>
        </w:rPr>
      </w:pPr>
      <w:r>
        <w:rPr>
          <w:sz w:val="28"/>
        </w:rPr>
        <w:t>If</w:t>
      </w:r>
      <w:r>
        <w:rPr>
          <w:spacing w:val="-7"/>
          <w:sz w:val="28"/>
        </w:rPr>
        <w:t> </w:t>
      </w:r>
      <w:r>
        <w:rPr>
          <w:sz w:val="28"/>
        </w:rPr>
        <w:t>the</w:t>
      </w:r>
      <w:r>
        <w:rPr>
          <w:spacing w:val="-6"/>
          <w:sz w:val="28"/>
        </w:rPr>
        <w:t> </w:t>
      </w:r>
      <w:r>
        <w:rPr>
          <w:sz w:val="28"/>
        </w:rPr>
        <w:t>changes</w:t>
      </w:r>
      <w:r>
        <w:rPr>
          <w:spacing w:val="-7"/>
          <w:sz w:val="28"/>
        </w:rPr>
        <w:t> </w:t>
      </w:r>
      <w:r>
        <w:rPr>
          <w:sz w:val="28"/>
        </w:rPr>
        <w:t>in</w:t>
      </w:r>
      <w:r>
        <w:rPr>
          <w:spacing w:val="-7"/>
          <w:sz w:val="28"/>
        </w:rPr>
        <w:t> </w:t>
      </w:r>
      <w:r>
        <w:rPr>
          <w:sz w:val="28"/>
        </w:rPr>
        <w:t>the</w:t>
      </w:r>
      <w:r>
        <w:rPr>
          <w:spacing w:val="-6"/>
          <w:sz w:val="28"/>
        </w:rPr>
        <w:t> </w:t>
      </w:r>
      <w:r>
        <w:rPr>
          <w:sz w:val="28"/>
        </w:rPr>
        <w:t>proposed</w:t>
      </w:r>
      <w:r>
        <w:rPr>
          <w:spacing w:val="-7"/>
          <w:sz w:val="28"/>
        </w:rPr>
        <w:t> </w:t>
      </w:r>
      <w:r>
        <w:rPr>
          <w:sz w:val="28"/>
        </w:rPr>
        <w:t>directive/s</w:t>
      </w:r>
      <w:r>
        <w:rPr>
          <w:spacing w:val="-7"/>
          <w:sz w:val="28"/>
        </w:rPr>
        <w:t> </w:t>
      </w:r>
      <w:r>
        <w:rPr>
          <w:sz w:val="28"/>
        </w:rPr>
        <w:t>were</w:t>
      </w:r>
      <w:r>
        <w:rPr>
          <w:spacing w:val="-6"/>
          <w:sz w:val="28"/>
        </w:rPr>
        <w:t> </w:t>
      </w:r>
      <w:r>
        <w:rPr>
          <w:sz w:val="28"/>
        </w:rPr>
        <w:t>transposed</w:t>
      </w:r>
      <w:r>
        <w:rPr>
          <w:spacing w:val="-7"/>
          <w:sz w:val="28"/>
        </w:rPr>
        <w:t> </w:t>
      </w:r>
      <w:r>
        <w:rPr>
          <w:sz w:val="28"/>
        </w:rPr>
        <w:t>into</w:t>
      </w:r>
      <w:r>
        <w:rPr>
          <w:spacing w:val="-7"/>
          <w:sz w:val="28"/>
        </w:rPr>
        <w:t> </w:t>
      </w:r>
      <w:r>
        <w:rPr>
          <w:sz w:val="28"/>
        </w:rPr>
        <w:t>NI</w:t>
      </w:r>
      <w:r>
        <w:rPr>
          <w:spacing w:val="-6"/>
          <w:sz w:val="28"/>
        </w:rPr>
        <w:t> </w:t>
      </w:r>
      <w:r>
        <w:rPr>
          <w:sz w:val="28"/>
        </w:rPr>
        <w:t>equality law, they would be important, and of great value, not only to the ECNI in carrying</w:t>
      </w:r>
      <w:r>
        <w:rPr>
          <w:spacing w:val="-4"/>
          <w:sz w:val="28"/>
        </w:rPr>
        <w:t> </w:t>
      </w:r>
      <w:r>
        <w:rPr>
          <w:sz w:val="28"/>
        </w:rPr>
        <w:t>out</w:t>
      </w:r>
      <w:r>
        <w:rPr>
          <w:spacing w:val="-4"/>
          <w:sz w:val="28"/>
        </w:rPr>
        <w:t> </w:t>
      </w:r>
      <w:r>
        <w:rPr>
          <w:sz w:val="28"/>
        </w:rPr>
        <w:t>its</w:t>
      </w:r>
      <w:r>
        <w:rPr>
          <w:spacing w:val="-5"/>
          <w:sz w:val="28"/>
        </w:rPr>
        <w:t> </w:t>
      </w:r>
      <w:r>
        <w:rPr>
          <w:sz w:val="28"/>
        </w:rPr>
        <w:t>role</w:t>
      </w:r>
      <w:r>
        <w:rPr>
          <w:spacing w:val="-4"/>
          <w:sz w:val="28"/>
        </w:rPr>
        <w:t> </w:t>
      </w:r>
      <w:r>
        <w:rPr>
          <w:sz w:val="28"/>
        </w:rPr>
        <w:t>and</w:t>
      </w:r>
      <w:r>
        <w:rPr>
          <w:spacing w:val="-5"/>
          <w:sz w:val="28"/>
        </w:rPr>
        <w:t> </w:t>
      </w:r>
      <w:r>
        <w:rPr>
          <w:sz w:val="28"/>
        </w:rPr>
        <w:t>remit</w:t>
      </w:r>
      <w:r>
        <w:rPr>
          <w:spacing w:val="-4"/>
          <w:sz w:val="28"/>
        </w:rPr>
        <w:t> </w:t>
      </w:r>
      <w:r>
        <w:rPr>
          <w:sz w:val="28"/>
        </w:rPr>
        <w:t>as</w:t>
      </w:r>
      <w:r>
        <w:rPr>
          <w:spacing w:val="-5"/>
          <w:sz w:val="28"/>
        </w:rPr>
        <w:t> </w:t>
      </w:r>
      <w:r>
        <w:rPr>
          <w:sz w:val="28"/>
        </w:rPr>
        <w:t>the</w:t>
      </w:r>
      <w:r>
        <w:rPr>
          <w:spacing w:val="-4"/>
          <w:sz w:val="28"/>
        </w:rPr>
        <w:t> </w:t>
      </w:r>
      <w:r>
        <w:rPr>
          <w:sz w:val="28"/>
        </w:rPr>
        <w:t>designated</w:t>
      </w:r>
      <w:r>
        <w:rPr>
          <w:spacing w:val="-5"/>
          <w:sz w:val="28"/>
        </w:rPr>
        <w:t> </w:t>
      </w:r>
      <w:r>
        <w:rPr>
          <w:sz w:val="28"/>
        </w:rPr>
        <w:t>equality</w:t>
      </w:r>
      <w:r>
        <w:rPr>
          <w:spacing w:val="-4"/>
          <w:sz w:val="28"/>
        </w:rPr>
        <w:t> </w:t>
      </w:r>
      <w:r>
        <w:rPr>
          <w:sz w:val="28"/>
        </w:rPr>
        <w:t>body</w:t>
      </w:r>
      <w:r>
        <w:rPr>
          <w:spacing w:val="-4"/>
          <w:sz w:val="28"/>
        </w:rPr>
        <w:t> </w:t>
      </w:r>
      <w:r>
        <w:rPr>
          <w:sz w:val="28"/>
        </w:rPr>
        <w:t>for</w:t>
      </w:r>
      <w:r>
        <w:rPr>
          <w:spacing w:val="-4"/>
          <w:sz w:val="28"/>
        </w:rPr>
        <w:t> </w:t>
      </w:r>
      <w:r>
        <w:rPr>
          <w:sz w:val="28"/>
        </w:rPr>
        <w:t>NI</w:t>
      </w:r>
      <w:r>
        <w:rPr>
          <w:spacing w:val="-4"/>
          <w:sz w:val="28"/>
        </w:rPr>
        <w:t> </w:t>
      </w:r>
      <w:r>
        <w:rPr>
          <w:sz w:val="28"/>
        </w:rPr>
        <w:t>in</w:t>
      </w:r>
      <w:r>
        <w:rPr>
          <w:spacing w:val="-5"/>
          <w:sz w:val="28"/>
        </w:rPr>
        <w:t> </w:t>
      </w:r>
      <w:r>
        <w:rPr>
          <w:sz w:val="28"/>
        </w:rPr>
        <w:t>the areas</w:t>
      </w:r>
      <w:r>
        <w:rPr>
          <w:spacing w:val="-7"/>
          <w:sz w:val="28"/>
        </w:rPr>
        <w:t> </w:t>
      </w:r>
      <w:r>
        <w:rPr>
          <w:sz w:val="28"/>
        </w:rPr>
        <w:t>covered</w:t>
      </w:r>
      <w:r>
        <w:rPr>
          <w:spacing w:val="-7"/>
          <w:sz w:val="28"/>
        </w:rPr>
        <w:t> </w:t>
      </w:r>
      <w:r>
        <w:rPr>
          <w:sz w:val="28"/>
        </w:rPr>
        <w:t>by</w:t>
      </w:r>
      <w:r>
        <w:rPr>
          <w:spacing w:val="-6"/>
          <w:sz w:val="28"/>
        </w:rPr>
        <w:t> </w:t>
      </w:r>
      <w:r>
        <w:rPr>
          <w:sz w:val="28"/>
        </w:rPr>
        <w:t>the</w:t>
      </w:r>
      <w:r>
        <w:rPr>
          <w:spacing w:val="-6"/>
          <w:sz w:val="28"/>
        </w:rPr>
        <w:t> </w:t>
      </w:r>
      <w:r>
        <w:rPr>
          <w:sz w:val="28"/>
        </w:rPr>
        <w:t>relevant</w:t>
      </w:r>
      <w:r>
        <w:rPr>
          <w:spacing w:val="-6"/>
          <w:sz w:val="28"/>
        </w:rPr>
        <w:t> </w:t>
      </w:r>
      <w:r>
        <w:rPr>
          <w:sz w:val="28"/>
        </w:rPr>
        <w:t>Annex</w:t>
      </w:r>
      <w:r>
        <w:rPr>
          <w:spacing w:val="-7"/>
          <w:sz w:val="28"/>
        </w:rPr>
        <w:t> </w:t>
      </w:r>
      <w:r>
        <w:rPr>
          <w:sz w:val="28"/>
        </w:rPr>
        <w:t>1</w:t>
      </w:r>
      <w:r>
        <w:rPr>
          <w:spacing w:val="-6"/>
          <w:sz w:val="28"/>
        </w:rPr>
        <w:t> </w:t>
      </w:r>
      <w:r>
        <w:rPr>
          <w:sz w:val="28"/>
        </w:rPr>
        <w:t>equality</w:t>
      </w:r>
      <w:r>
        <w:rPr>
          <w:spacing w:val="-6"/>
          <w:sz w:val="28"/>
        </w:rPr>
        <w:t> </w:t>
      </w:r>
      <w:r>
        <w:rPr>
          <w:sz w:val="28"/>
        </w:rPr>
        <w:t>directives,</w:t>
      </w:r>
      <w:r>
        <w:rPr>
          <w:spacing w:val="-6"/>
          <w:sz w:val="28"/>
        </w:rPr>
        <w:t> </w:t>
      </w:r>
      <w:r>
        <w:rPr>
          <w:sz w:val="28"/>
        </w:rPr>
        <w:t>but,</w:t>
      </w:r>
      <w:r>
        <w:rPr>
          <w:spacing w:val="-6"/>
          <w:sz w:val="28"/>
        </w:rPr>
        <w:t> </w:t>
      </w:r>
      <w:r>
        <w:rPr>
          <w:sz w:val="28"/>
        </w:rPr>
        <w:t>in</w:t>
      </w:r>
      <w:r>
        <w:rPr>
          <w:spacing w:val="-7"/>
          <w:sz w:val="28"/>
        </w:rPr>
        <w:t> </w:t>
      </w:r>
      <w:r>
        <w:rPr>
          <w:sz w:val="28"/>
        </w:rPr>
        <w:t>turn,</w:t>
      </w:r>
      <w:r>
        <w:rPr>
          <w:spacing w:val="-6"/>
          <w:sz w:val="28"/>
        </w:rPr>
        <w:t> </w:t>
      </w:r>
      <w:r>
        <w:rPr>
          <w:sz w:val="28"/>
        </w:rPr>
        <w:t>also of value to individuals in NI seeking redress against discrimination in areas covered by these Annex 1 equality directives.</w:t>
      </w:r>
    </w:p>
    <w:p>
      <w:pPr>
        <w:pStyle w:val="BodyText"/>
        <w:rPr>
          <w:sz w:val="20"/>
        </w:rPr>
      </w:pPr>
    </w:p>
    <w:p>
      <w:pPr>
        <w:pStyle w:val="BodyText"/>
        <w:rPr>
          <w:sz w:val="20"/>
        </w:rPr>
      </w:pPr>
    </w:p>
    <w:p>
      <w:pPr>
        <w:pStyle w:val="BodyText"/>
        <w:spacing w:before="104"/>
        <w:rPr>
          <w:sz w:val="20"/>
        </w:rPr>
      </w:pPr>
      <w:r>
        <w:rPr/>
        <mc:AlternateContent>
          <mc:Choice Requires="wps">
            <w:drawing>
              <wp:anchor distT="0" distB="0" distL="0" distR="0" allowOverlap="1" layoutInCell="1" locked="0" behindDoc="1" simplePos="0" relativeHeight="487646720">
                <wp:simplePos x="0" y="0"/>
                <wp:positionH relativeFrom="page">
                  <wp:posOffset>719999</wp:posOffset>
                </wp:positionH>
                <wp:positionV relativeFrom="paragraph">
                  <wp:posOffset>236667</wp:posOffset>
                </wp:positionV>
                <wp:extent cx="6120130" cy="1270"/>
                <wp:effectExtent l="0" t="0" r="0" b="0"/>
                <wp:wrapTopAndBottom/>
                <wp:docPr id="213" name="Graphic 213"/>
                <wp:cNvGraphicFramePr>
                  <a:graphicFrameLocks/>
                </wp:cNvGraphicFramePr>
                <a:graphic>
                  <a:graphicData uri="http://schemas.microsoft.com/office/word/2010/wordprocessingShape">
                    <wps:wsp>
                      <wps:cNvPr id="213" name="Graphic 213"/>
                      <wps:cNvSpPr/>
                      <wps:spPr>
                        <a:xfrm>
                          <a:off x="0" y="0"/>
                          <a:ext cx="6120130" cy="1270"/>
                        </a:xfrm>
                        <a:custGeom>
                          <a:avLst/>
                          <a:gdLst/>
                          <a:ahLst/>
                          <a:cxnLst/>
                          <a:rect l="l" t="t" r="r" b="b"/>
                          <a:pathLst>
                            <a:path w="6120130" h="0">
                              <a:moveTo>
                                <a:pt x="0" y="0"/>
                              </a:moveTo>
                              <a:lnTo>
                                <a:pt x="6120003"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8.635260pt;width:481.9pt;height:.1pt;mso-position-horizontal-relative:page;mso-position-vertical-relative:paragraph;z-index:-15669760;mso-wrap-distance-left:0;mso-wrap-distance-right:0" id="docshape169" coordorigin="1134,373" coordsize="9638,0" path="m1134,373l10772,373e" filled="false" stroked="true" strokeweight="1pt" strokecolor="#393b7f">
                <v:path arrowok="t"/>
                <v:stroke dashstyle="solid"/>
                <w10:wrap type="topAndBottom"/>
              </v:shape>
            </w:pict>
          </mc:Fallback>
        </mc:AlternateContent>
      </w:r>
    </w:p>
    <w:p>
      <w:pPr>
        <w:pStyle w:val="ListParagraph"/>
        <w:numPr>
          <w:ilvl w:val="0"/>
          <w:numId w:val="3"/>
        </w:numPr>
        <w:tabs>
          <w:tab w:pos="1853" w:val="left" w:leader="none"/>
        </w:tabs>
        <w:spacing w:line="235" w:lineRule="auto" w:before="156" w:after="0"/>
        <w:ind w:left="1853" w:right="1312" w:hanging="720"/>
        <w:jc w:val="left"/>
        <w:rPr>
          <w:sz w:val="18"/>
        </w:rPr>
      </w:pPr>
      <w:r>
        <w:rPr>
          <w:sz w:val="18"/>
        </w:rPr>
        <w:t>Directive</w:t>
      </w:r>
      <w:r>
        <w:rPr>
          <w:spacing w:val="-6"/>
          <w:sz w:val="18"/>
        </w:rPr>
        <w:t> </w:t>
      </w:r>
      <w:hyperlink r:id="rId98">
        <w:r>
          <w:rPr>
            <w:sz w:val="18"/>
          </w:rPr>
          <w:t>2000/43/EC</w:t>
        </w:r>
      </w:hyperlink>
      <w:r>
        <w:rPr>
          <w:sz w:val="18"/>
        </w:rPr>
        <w:t>,</w:t>
      </w:r>
      <w:r>
        <w:rPr>
          <w:spacing w:val="-6"/>
          <w:sz w:val="18"/>
        </w:rPr>
        <w:t> </w:t>
      </w:r>
      <w:r>
        <w:rPr>
          <w:sz w:val="18"/>
        </w:rPr>
        <w:t>‘Council</w:t>
      </w:r>
      <w:r>
        <w:rPr>
          <w:spacing w:val="-6"/>
          <w:sz w:val="18"/>
        </w:rPr>
        <w:t> </w:t>
      </w:r>
      <w:r>
        <w:rPr>
          <w:sz w:val="18"/>
        </w:rPr>
        <w:t>Directive</w:t>
      </w:r>
      <w:r>
        <w:rPr>
          <w:spacing w:val="-5"/>
          <w:sz w:val="18"/>
        </w:rPr>
        <w:t> </w:t>
      </w:r>
      <w:r>
        <w:rPr>
          <w:sz w:val="18"/>
        </w:rPr>
        <w:t>implementing</w:t>
      </w:r>
      <w:r>
        <w:rPr>
          <w:spacing w:val="-5"/>
          <w:sz w:val="18"/>
        </w:rPr>
        <w:t> </w:t>
      </w:r>
      <w:r>
        <w:rPr>
          <w:sz w:val="18"/>
        </w:rPr>
        <w:t>the</w:t>
      </w:r>
      <w:r>
        <w:rPr>
          <w:spacing w:val="-5"/>
          <w:sz w:val="18"/>
        </w:rPr>
        <w:t> </w:t>
      </w:r>
      <w:r>
        <w:rPr>
          <w:sz w:val="18"/>
        </w:rPr>
        <w:t>principle</w:t>
      </w:r>
      <w:r>
        <w:rPr>
          <w:spacing w:val="-5"/>
          <w:sz w:val="18"/>
        </w:rPr>
        <w:t> </w:t>
      </w:r>
      <w:r>
        <w:rPr>
          <w:sz w:val="18"/>
        </w:rPr>
        <w:t>of</w:t>
      </w:r>
      <w:r>
        <w:rPr>
          <w:spacing w:val="-6"/>
          <w:sz w:val="18"/>
        </w:rPr>
        <w:t> </w:t>
      </w:r>
      <w:r>
        <w:rPr>
          <w:sz w:val="18"/>
        </w:rPr>
        <w:t>equal</w:t>
      </w:r>
      <w:r>
        <w:rPr>
          <w:spacing w:val="-6"/>
          <w:sz w:val="18"/>
        </w:rPr>
        <w:t> </w:t>
      </w:r>
      <w:r>
        <w:rPr>
          <w:sz w:val="18"/>
        </w:rPr>
        <w:t>treatment</w:t>
      </w:r>
      <w:r>
        <w:rPr>
          <w:spacing w:val="-5"/>
          <w:sz w:val="18"/>
        </w:rPr>
        <w:t> </w:t>
      </w:r>
      <w:r>
        <w:rPr>
          <w:sz w:val="18"/>
        </w:rPr>
        <w:t>between</w:t>
      </w:r>
      <w:r>
        <w:rPr>
          <w:spacing w:val="-6"/>
          <w:sz w:val="18"/>
        </w:rPr>
        <w:t> </w:t>
      </w:r>
      <w:r>
        <w:rPr>
          <w:sz w:val="18"/>
        </w:rPr>
        <w:t>persons</w:t>
      </w:r>
      <w:r>
        <w:rPr>
          <w:spacing w:val="-6"/>
          <w:sz w:val="18"/>
        </w:rPr>
        <w:t> </w:t>
      </w:r>
      <w:r>
        <w:rPr>
          <w:sz w:val="18"/>
        </w:rPr>
        <w:t>irrespective</w:t>
      </w:r>
      <w:r>
        <w:rPr>
          <w:spacing w:val="-5"/>
          <w:sz w:val="18"/>
        </w:rPr>
        <w:t> </w:t>
      </w:r>
      <w:r>
        <w:rPr>
          <w:sz w:val="18"/>
        </w:rPr>
        <w:t>of racial or ethnic origin’, 29 June 2000.</w:t>
      </w:r>
    </w:p>
    <w:p>
      <w:pPr>
        <w:pStyle w:val="ListParagraph"/>
        <w:numPr>
          <w:ilvl w:val="0"/>
          <w:numId w:val="3"/>
        </w:numPr>
        <w:tabs>
          <w:tab w:pos="1853" w:val="left" w:leader="none"/>
        </w:tabs>
        <w:spacing w:line="235" w:lineRule="auto" w:before="1" w:after="0"/>
        <w:ind w:left="1853" w:right="1190" w:hanging="720"/>
        <w:jc w:val="left"/>
        <w:rPr>
          <w:sz w:val="18"/>
        </w:rPr>
      </w:pPr>
      <w:r>
        <w:rPr>
          <w:sz w:val="18"/>
        </w:rPr>
        <w:t>Directive</w:t>
      </w:r>
      <w:r>
        <w:rPr>
          <w:spacing w:val="-5"/>
          <w:sz w:val="18"/>
        </w:rPr>
        <w:t> </w:t>
      </w:r>
      <w:r>
        <w:rPr>
          <w:sz w:val="18"/>
        </w:rPr>
        <w:t>2004/113/EC,</w:t>
      </w:r>
      <w:r>
        <w:rPr>
          <w:spacing w:val="-5"/>
          <w:sz w:val="18"/>
        </w:rPr>
        <w:t> </w:t>
      </w:r>
      <w:r>
        <w:rPr>
          <w:sz w:val="18"/>
        </w:rPr>
        <w:t>‘Council</w:t>
      </w:r>
      <w:r>
        <w:rPr>
          <w:spacing w:val="-6"/>
          <w:sz w:val="18"/>
        </w:rPr>
        <w:t> </w:t>
      </w:r>
      <w:r>
        <w:rPr>
          <w:sz w:val="18"/>
        </w:rPr>
        <w:t>Directive</w:t>
      </w:r>
      <w:r>
        <w:rPr>
          <w:spacing w:val="-5"/>
          <w:sz w:val="18"/>
        </w:rPr>
        <w:t> </w:t>
      </w:r>
      <w:r>
        <w:rPr>
          <w:sz w:val="18"/>
        </w:rPr>
        <w:t>on</w:t>
      </w:r>
      <w:r>
        <w:rPr>
          <w:spacing w:val="-6"/>
          <w:sz w:val="18"/>
        </w:rPr>
        <w:t> </w:t>
      </w:r>
      <w:r>
        <w:rPr>
          <w:sz w:val="18"/>
        </w:rPr>
        <w:t>Implementing</w:t>
      </w:r>
      <w:r>
        <w:rPr>
          <w:spacing w:val="-5"/>
          <w:sz w:val="18"/>
        </w:rPr>
        <w:t> </w:t>
      </w:r>
      <w:r>
        <w:rPr>
          <w:sz w:val="18"/>
        </w:rPr>
        <w:t>the</w:t>
      </w:r>
      <w:r>
        <w:rPr>
          <w:spacing w:val="-5"/>
          <w:sz w:val="18"/>
        </w:rPr>
        <w:t> </w:t>
      </w:r>
      <w:r>
        <w:rPr>
          <w:sz w:val="18"/>
        </w:rPr>
        <w:t>Principle</w:t>
      </w:r>
      <w:r>
        <w:rPr>
          <w:spacing w:val="-5"/>
          <w:sz w:val="18"/>
        </w:rPr>
        <w:t> </w:t>
      </w:r>
      <w:r>
        <w:rPr>
          <w:sz w:val="18"/>
        </w:rPr>
        <w:t>of</w:t>
      </w:r>
      <w:r>
        <w:rPr>
          <w:spacing w:val="-6"/>
          <w:sz w:val="18"/>
        </w:rPr>
        <w:t> </w:t>
      </w:r>
      <w:r>
        <w:rPr>
          <w:sz w:val="18"/>
        </w:rPr>
        <w:t>Equal</w:t>
      </w:r>
      <w:r>
        <w:rPr>
          <w:spacing w:val="-6"/>
          <w:sz w:val="18"/>
        </w:rPr>
        <w:t> </w:t>
      </w:r>
      <w:r>
        <w:rPr>
          <w:sz w:val="18"/>
        </w:rPr>
        <w:t>Treatment</w:t>
      </w:r>
      <w:r>
        <w:rPr>
          <w:spacing w:val="-5"/>
          <w:sz w:val="18"/>
        </w:rPr>
        <w:t> </w:t>
      </w:r>
      <w:r>
        <w:rPr>
          <w:sz w:val="18"/>
        </w:rPr>
        <w:t>between</w:t>
      </w:r>
      <w:r>
        <w:rPr>
          <w:spacing w:val="-6"/>
          <w:sz w:val="18"/>
        </w:rPr>
        <w:t> </w:t>
      </w:r>
      <w:r>
        <w:rPr>
          <w:sz w:val="18"/>
        </w:rPr>
        <w:t>Men</w:t>
      </w:r>
      <w:r>
        <w:rPr>
          <w:spacing w:val="-6"/>
          <w:sz w:val="18"/>
        </w:rPr>
        <w:t> </w:t>
      </w:r>
      <w:r>
        <w:rPr>
          <w:sz w:val="18"/>
        </w:rPr>
        <w:t>and</w:t>
      </w:r>
      <w:r>
        <w:rPr>
          <w:spacing w:val="-6"/>
          <w:sz w:val="18"/>
        </w:rPr>
        <w:t> </w:t>
      </w:r>
      <w:r>
        <w:rPr>
          <w:sz w:val="18"/>
        </w:rPr>
        <w:t>Women</w:t>
      </w:r>
      <w:r>
        <w:rPr>
          <w:spacing w:val="-6"/>
          <w:sz w:val="18"/>
        </w:rPr>
        <w:t> </w:t>
      </w:r>
      <w:r>
        <w:rPr>
          <w:sz w:val="18"/>
        </w:rPr>
        <w:t>in the access to and supply of goods and services’, 13 December 2004.</w:t>
      </w:r>
    </w:p>
    <w:p>
      <w:pPr>
        <w:pStyle w:val="ListParagraph"/>
        <w:numPr>
          <w:ilvl w:val="0"/>
          <w:numId w:val="3"/>
        </w:numPr>
        <w:tabs>
          <w:tab w:pos="1853" w:val="left" w:leader="none"/>
        </w:tabs>
        <w:spacing w:line="235" w:lineRule="auto" w:before="2" w:after="0"/>
        <w:ind w:left="1853" w:right="1170" w:hanging="720"/>
        <w:jc w:val="left"/>
        <w:rPr>
          <w:sz w:val="18"/>
        </w:rPr>
      </w:pPr>
      <w:r>
        <w:rPr>
          <w:sz w:val="18"/>
        </w:rPr>
        <w:t>Directive</w:t>
      </w:r>
      <w:r>
        <w:rPr>
          <w:spacing w:val="-5"/>
          <w:sz w:val="18"/>
        </w:rPr>
        <w:t> </w:t>
      </w:r>
      <w:r>
        <w:rPr>
          <w:sz w:val="18"/>
        </w:rPr>
        <w:t>2006/54/EC,</w:t>
      </w:r>
      <w:r>
        <w:rPr>
          <w:spacing w:val="-5"/>
          <w:sz w:val="18"/>
        </w:rPr>
        <w:t> </w:t>
      </w:r>
      <w:r>
        <w:rPr>
          <w:sz w:val="18"/>
        </w:rPr>
        <w:t>‘EU</w:t>
      </w:r>
      <w:r>
        <w:rPr>
          <w:spacing w:val="-5"/>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Directive</w:t>
      </w:r>
      <w:r>
        <w:rPr>
          <w:spacing w:val="-5"/>
          <w:sz w:val="18"/>
        </w:rPr>
        <w:t> </w:t>
      </w:r>
      <w:r>
        <w:rPr>
          <w:sz w:val="18"/>
        </w:rPr>
        <w:t>on</w:t>
      </w:r>
      <w:r>
        <w:rPr>
          <w:spacing w:val="-5"/>
          <w:sz w:val="18"/>
        </w:rPr>
        <w:t> </w:t>
      </w:r>
      <w:r>
        <w:rPr>
          <w:sz w:val="18"/>
        </w:rPr>
        <w:t>the</w:t>
      </w:r>
      <w:r>
        <w:rPr>
          <w:spacing w:val="-5"/>
          <w:sz w:val="18"/>
        </w:rPr>
        <w:t> </w:t>
      </w:r>
      <w:r>
        <w:rPr>
          <w:sz w:val="18"/>
        </w:rPr>
        <w:t>Implementation</w:t>
      </w:r>
      <w:r>
        <w:rPr>
          <w:spacing w:val="-5"/>
          <w:sz w:val="18"/>
        </w:rPr>
        <w:t> </w:t>
      </w:r>
      <w:r>
        <w:rPr>
          <w:sz w:val="18"/>
        </w:rPr>
        <w:t>of</w:t>
      </w:r>
      <w:r>
        <w:rPr>
          <w:spacing w:val="-5"/>
          <w:sz w:val="18"/>
        </w:rPr>
        <w:t> </w:t>
      </w:r>
      <w:r>
        <w:rPr>
          <w:sz w:val="18"/>
        </w:rPr>
        <w:t>the</w:t>
      </w:r>
      <w:r>
        <w:rPr>
          <w:spacing w:val="-5"/>
          <w:sz w:val="18"/>
        </w:rPr>
        <w:t> </w:t>
      </w:r>
      <w:r>
        <w:rPr>
          <w:sz w:val="18"/>
        </w:rPr>
        <w:t>Principle</w:t>
      </w:r>
      <w:r>
        <w:rPr>
          <w:spacing w:val="-5"/>
          <w:sz w:val="18"/>
        </w:rPr>
        <w:t> </w:t>
      </w:r>
      <w:r>
        <w:rPr>
          <w:sz w:val="18"/>
        </w:rPr>
        <w:t>of</w:t>
      </w:r>
      <w:r>
        <w:rPr>
          <w:spacing w:val="-5"/>
          <w:sz w:val="18"/>
        </w:rPr>
        <w:t> </w:t>
      </w:r>
      <w:r>
        <w:rPr>
          <w:sz w:val="18"/>
        </w:rPr>
        <w:t>Equal</w:t>
      </w:r>
      <w:r>
        <w:rPr>
          <w:spacing w:val="-5"/>
          <w:sz w:val="18"/>
        </w:rPr>
        <w:t> </w:t>
      </w:r>
      <w:r>
        <w:rPr>
          <w:sz w:val="18"/>
        </w:rPr>
        <w:t>Opportunities and Equal Treatment of Men and Women in Matters of Employment and Occupation (Recast)’, 5 July 2006.</w:t>
      </w:r>
    </w:p>
    <w:p>
      <w:pPr>
        <w:pStyle w:val="ListParagraph"/>
        <w:numPr>
          <w:ilvl w:val="0"/>
          <w:numId w:val="3"/>
        </w:numPr>
        <w:tabs>
          <w:tab w:pos="1853" w:val="left" w:leader="none"/>
        </w:tabs>
        <w:spacing w:line="235" w:lineRule="auto" w:before="1" w:after="0"/>
        <w:ind w:left="1853" w:right="1757" w:hanging="720"/>
        <w:jc w:val="left"/>
        <w:rPr>
          <w:sz w:val="18"/>
        </w:rPr>
      </w:pPr>
      <w:r>
        <w:rPr>
          <w:sz w:val="18"/>
        </w:rPr>
        <w:t>Directive</w:t>
      </w:r>
      <w:r>
        <w:rPr>
          <w:spacing w:val="-5"/>
          <w:sz w:val="18"/>
        </w:rPr>
        <w:t> </w:t>
      </w:r>
      <w:r>
        <w:rPr>
          <w:sz w:val="18"/>
        </w:rPr>
        <w:t>2010/41/EU,</w:t>
      </w:r>
      <w:r>
        <w:rPr>
          <w:spacing w:val="-5"/>
          <w:sz w:val="18"/>
        </w:rPr>
        <w:t> </w:t>
      </w:r>
      <w:r>
        <w:rPr>
          <w:sz w:val="18"/>
        </w:rPr>
        <w:t>‘EU</w:t>
      </w:r>
      <w:r>
        <w:rPr>
          <w:spacing w:val="-5"/>
          <w:sz w:val="18"/>
        </w:rPr>
        <w:t> </w:t>
      </w:r>
      <w:r>
        <w:rPr>
          <w:sz w:val="18"/>
        </w:rPr>
        <w:t>Parliament</w:t>
      </w:r>
      <w:r>
        <w:rPr>
          <w:spacing w:val="-5"/>
          <w:sz w:val="18"/>
        </w:rPr>
        <w:t> </w:t>
      </w:r>
      <w:r>
        <w:rPr>
          <w:sz w:val="18"/>
        </w:rPr>
        <w:t>and</w:t>
      </w:r>
      <w:r>
        <w:rPr>
          <w:spacing w:val="-6"/>
          <w:sz w:val="18"/>
        </w:rPr>
        <w:t> </w:t>
      </w:r>
      <w:r>
        <w:rPr>
          <w:sz w:val="18"/>
        </w:rPr>
        <w:t>Council</w:t>
      </w:r>
      <w:r>
        <w:rPr>
          <w:spacing w:val="-6"/>
          <w:sz w:val="18"/>
        </w:rPr>
        <w:t> </w:t>
      </w:r>
      <w:r>
        <w:rPr>
          <w:sz w:val="18"/>
        </w:rPr>
        <w:t>Directive</w:t>
      </w:r>
      <w:r>
        <w:rPr>
          <w:spacing w:val="-5"/>
          <w:sz w:val="18"/>
        </w:rPr>
        <w:t> </w:t>
      </w:r>
      <w:r>
        <w:rPr>
          <w:sz w:val="18"/>
        </w:rPr>
        <w:t>on</w:t>
      </w:r>
      <w:r>
        <w:rPr>
          <w:spacing w:val="-6"/>
          <w:sz w:val="18"/>
        </w:rPr>
        <w:t> </w:t>
      </w:r>
      <w:r>
        <w:rPr>
          <w:sz w:val="18"/>
        </w:rPr>
        <w:t>the</w:t>
      </w:r>
      <w:r>
        <w:rPr>
          <w:spacing w:val="-5"/>
          <w:sz w:val="18"/>
        </w:rPr>
        <w:t> </w:t>
      </w:r>
      <w:r>
        <w:rPr>
          <w:sz w:val="18"/>
        </w:rPr>
        <w:t>Application</w:t>
      </w:r>
      <w:r>
        <w:rPr>
          <w:spacing w:val="-6"/>
          <w:sz w:val="18"/>
        </w:rPr>
        <w:t> </w:t>
      </w:r>
      <w:r>
        <w:rPr>
          <w:sz w:val="18"/>
        </w:rPr>
        <w:t>of</w:t>
      </w:r>
      <w:r>
        <w:rPr>
          <w:spacing w:val="-6"/>
          <w:sz w:val="18"/>
        </w:rPr>
        <w:t> </w:t>
      </w:r>
      <w:r>
        <w:rPr>
          <w:sz w:val="18"/>
        </w:rPr>
        <w:t>the</w:t>
      </w:r>
      <w:r>
        <w:rPr>
          <w:spacing w:val="-5"/>
          <w:sz w:val="18"/>
        </w:rPr>
        <w:t> </w:t>
      </w:r>
      <w:r>
        <w:rPr>
          <w:sz w:val="18"/>
        </w:rPr>
        <w:t>Principle</w:t>
      </w:r>
      <w:r>
        <w:rPr>
          <w:spacing w:val="-5"/>
          <w:sz w:val="18"/>
        </w:rPr>
        <w:t> </w:t>
      </w:r>
      <w:r>
        <w:rPr>
          <w:sz w:val="18"/>
        </w:rPr>
        <w:t>of</w:t>
      </w:r>
      <w:r>
        <w:rPr>
          <w:spacing w:val="-6"/>
          <w:sz w:val="18"/>
        </w:rPr>
        <w:t> </w:t>
      </w:r>
      <w:r>
        <w:rPr>
          <w:sz w:val="18"/>
        </w:rPr>
        <w:t>Equal</w:t>
      </w:r>
      <w:r>
        <w:rPr>
          <w:spacing w:val="-6"/>
          <w:sz w:val="18"/>
        </w:rPr>
        <w:t> </w:t>
      </w:r>
      <w:r>
        <w:rPr>
          <w:sz w:val="18"/>
        </w:rPr>
        <w:t>Treatment between Men and Women Engaged in an Activity in a Self-employed Capacity’, 7 July 2010.</w:t>
      </w:r>
    </w:p>
    <w:p>
      <w:pPr>
        <w:pStyle w:val="ListParagraph"/>
        <w:numPr>
          <w:ilvl w:val="0"/>
          <w:numId w:val="3"/>
        </w:numPr>
        <w:tabs>
          <w:tab w:pos="1853" w:val="left" w:leader="none"/>
        </w:tabs>
        <w:spacing w:line="216" w:lineRule="exact" w:before="0" w:after="0"/>
        <w:ind w:left="1853" w:right="0" w:hanging="720"/>
        <w:jc w:val="left"/>
        <w:rPr>
          <w:sz w:val="18"/>
        </w:rPr>
      </w:pPr>
      <w:r>
        <w:rPr>
          <w:sz w:val="18"/>
        </w:rPr>
        <w:t>Article</w:t>
      </w:r>
      <w:r>
        <w:rPr>
          <w:spacing w:val="-2"/>
          <w:sz w:val="18"/>
        </w:rPr>
        <w:t> </w:t>
      </w:r>
      <w:r>
        <w:rPr>
          <w:sz w:val="18"/>
        </w:rPr>
        <w:t>13(3),</w:t>
      </w:r>
      <w:r>
        <w:rPr>
          <w:spacing w:val="-2"/>
          <w:sz w:val="18"/>
        </w:rPr>
        <w:t> </w:t>
      </w:r>
      <w:r>
        <w:rPr>
          <w:sz w:val="18"/>
        </w:rPr>
        <w:t>Windsor</w:t>
      </w:r>
      <w:r>
        <w:rPr>
          <w:spacing w:val="-1"/>
          <w:sz w:val="18"/>
        </w:rPr>
        <w:t> </w:t>
      </w:r>
      <w:r>
        <w:rPr>
          <w:spacing w:val="-2"/>
          <w:sz w:val="18"/>
        </w:rPr>
        <w:t>Framework.</w:t>
      </w:r>
    </w:p>
    <w:p>
      <w:pPr>
        <w:pStyle w:val="ListParagraph"/>
        <w:numPr>
          <w:ilvl w:val="0"/>
          <w:numId w:val="3"/>
        </w:numPr>
        <w:tabs>
          <w:tab w:pos="1853" w:val="left" w:leader="none"/>
        </w:tabs>
        <w:spacing w:line="235" w:lineRule="auto" w:before="2" w:after="0"/>
        <w:ind w:left="1853" w:right="1190" w:hanging="720"/>
        <w:jc w:val="left"/>
        <w:rPr>
          <w:sz w:val="18"/>
        </w:rPr>
      </w:pPr>
      <w:r>
        <w:rPr>
          <w:sz w:val="18"/>
        </w:rPr>
        <w:t>Letter</w:t>
      </w:r>
      <w:r>
        <w:rPr>
          <w:spacing w:val="-5"/>
          <w:sz w:val="18"/>
        </w:rPr>
        <w:t> </w:t>
      </w:r>
      <w:r>
        <w:rPr>
          <w:sz w:val="18"/>
        </w:rPr>
        <w:t>from</w:t>
      </w:r>
      <w:r>
        <w:rPr>
          <w:spacing w:val="-5"/>
          <w:sz w:val="18"/>
        </w:rPr>
        <w:t> </w:t>
      </w:r>
      <w:r>
        <w:rPr>
          <w:sz w:val="18"/>
        </w:rPr>
        <w:t>the</w:t>
      </w:r>
      <w:r>
        <w:rPr>
          <w:spacing w:val="-5"/>
          <w:sz w:val="18"/>
        </w:rPr>
        <w:t> </w:t>
      </w:r>
      <w:r>
        <w:rPr>
          <w:sz w:val="18"/>
        </w:rPr>
        <w:t>Minister</w:t>
      </w:r>
      <w:r>
        <w:rPr>
          <w:spacing w:val="-5"/>
          <w:sz w:val="18"/>
        </w:rPr>
        <w:t> </w:t>
      </w:r>
      <w:r>
        <w:rPr>
          <w:sz w:val="18"/>
        </w:rPr>
        <w:t>of</w:t>
      </w:r>
      <w:r>
        <w:rPr>
          <w:spacing w:val="-6"/>
          <w:sz w:val="18"/>
        </w:rPr>
        <w:t> </w:t>
      </w:r>
      <w:r>
        <w:rPr>
          <w:sz w:val="18"/>
        </w:rPr>
        <w:t>State</w:t>
      </w:r>
      <w:r>
        <w:rPr>
          <w:spacing w:val="-5"/>
          <w:sz w:val="18"/>
        </w:rPr>
        <w:t> </w:t>
      </w:r>
      <w:r>
        <w:rPr>
          <w:sz w:val="18"/>
        </w:rPr>
        <w:t>for</w:t>
      </w:r>
      <w:r>
        <w:rPr>
          <w:spacing w:val="-5"/>
          <w:sz w:val="18"/>
        </w:rPr>
        <w:t> </w:t>
      </w:r>
      <w:r>
        <w:rPr>
          <w:sz w:val="18"/>
        </w:rPr>
        <w:t>NI,</w:t>
      </w:r>
      <w:r>
        <w:rPr>
          <w:spacing w:val="-5"/>
          <w:sz w:val="18"/>
        </w:rPr>
        <w:t> </w:t>
      </w:r>
      <w:r>
        <w:rPr>
          <w:sz w:val="18"/>
        </w:rPr>
        <w:t>Steve</w:t>
      </w:r>
      <w:r>
        <w:rPr>
          <w:spacing w:val="-5"/>
          <w:sz w:val="18"/>
        </w:rPr>
        <w:t> </w:t>
      </w:r>
      <w:r>
        <w:rPr>
          <w:sz w:val="18"/>
        </w:rPr>
        <w:t>Baker</w:t>
      </w:r>
      <w:r>
        <w:rPr>
          <w:spacing w:val="-5"/>
          <w:sz w:val="18"/>
        </w:rPr>
        <w:t> </w:t>
      </w:r>
      <w:r>
        <w:rPr>
          <w:sz w:val="18"/>
        </w:rPr>
        <w:t>MP,</w:t>
      </w:r>
      <w:r>
        <w:rPr>
          <w:spacing w:val="-5"/>
          <w:sz w:val="18"/>
        </w:rPr>
        <w:t> </w:t>
      </w:r>
      <w:r>
        <w:rPr>
          <w:sz w:val="18"/>
        </w:rPr>
        <w:t>to</w:t>
      </w:r>
      <w:r>
        <w:rPr>
          <w:spacing w:val="-6"/>
          <w:sz w:val="18"/>
        </w:rPr>
        <w:t> </w:t>
      </w:r>
      <w:r>
        <w:rPr>
          <w:sz w:val="18"/>
        </w:rPr>
        <w:t>the</w:t>
      </w:r>
      <w:r>
        <w:rPr>
          <w:spacing w:val="-5"/>
          <w:sz w:val="18"/>
        </w:rPr>
        <w:t> </w:t>
      </w:r>
      <w:r>
        <w:rPr>
          <w:sz w:val="18"/>
        </w:rPr>
        <w:t>House</w:t>
      </w:r>
      <w:r>
        <w:rPr>
          <w:spacing w:val="-5"/>
          <w:sz w:val="18"/>
        </w:rPr>
        <w:t> </w:t>
      </w:r>
      <w:r>
        <w:rPr>
          <w:sz w:val="18"/>
        </w:rPr>
        <w:t>of</w:t>
      </w:r>
      <w:r>
        <w:rPr>
          <w:spacing w:val="-6"/>
          <w:sz w:val="18"/>
        </w:rPr>
        <w:t> </w:t>
      </w:r>
      <w:r>
        <w:rPr>
          <w:sz w:val="18"/>
        </w:rPr>
        <w:t>Lords</w:t>
      </w:r>
      <w:r>
        <w:rPr>
          <w:spacing w:val="-6"/>
          <w:sz w:val="18"/>
        </w:rPr>
        <w:t> </w:t>
      </w:r>
      <w:r>
        <w:rPr>
          <w:sz w:val="18"/>
        </w:rPr>
        <w:t>Sub</w:t>
      </w:r>
      <w:r>
        <w:rPr>
          <w:spacing w:val="-6"/>
          <w:sz w:val="18"/>
        </w:rPr>
        <w:t> </w:t>
      </w:r>
      <w:r>
        <w:rPr>
          <w:sz w:val="18"/>
        </w:rPr>
        <w:t>Committee</w:t>
      </w:r>
      <w:r>
        <w:rPr>
          <w:spacing w:val="-5"/>
          <w:sz w:val="18"/>
        </w:rPr>
        <w:t> </w:t>
      </w:r>
      <w:r>
        <w:rPr>
          <w:sz w:val="18"/>
        </w:rPr>
        <w:t>on</w:t>
      </w:r>
      <w:r>
        <w:rPr>
          <w:spacing w:val="-6"/>
          <w:sz w:val="18"/>
        </w:rPr>
        <w:t> </w:t>
      </w:r>
      <w:r>
        <w:rPr>
          <w:sz w:val="18"/>
        </w:rPr>
        <w:t>the</w:t>
      </w:r>
      <w:r>
        <w:rPr>
          <w:spacing w:val="-5"/>
          <w:sz w:val="18"/>
        </w:rPr>
        <w:t> </w:t>
      </w:r>
      <w:r>
        <w:rPr>
          <w:sz w:val="18"/>
        </w:rPr>
        <w:t>Protocol</w:t>
      </w:r>
      <w:r>
        <w:rPr>
          <w:spacing w:val="-6"/>
          <w:sz w:val="18"/>
        </w:rPr>
        <w:t> </w:t>
      </w:r>
      <w:r>
        <w:rPr>
          <w:sz w:val="18"/>
        </w:rPr>
        <w:t>on</w:t>
      </w:r>
      <w:r>
        <w:rPr>
          <w:spacing w:val="-6"/>
          <w:sz w:val="18"/>
        </w:rPr>
        <w:t> </w:t>
      </w:r>
      <w:r>
        <w:rPr>
          <w:sz w:val="18"/>
        </w:rPr>
        <w:t>Ireland/ Northern Ireland, 18 September 2022.</w:t>
      </w:r>
    </w:p>
    <w:p>
      <w:pPr>
        <w:pStyle w:val="ListParagraph"/>
        <w:numPr>
          <w:ilvl w:val="0"/>
          <w:numId w:val="3"/>
        </w:numPr>
        <w:tabs>
          <w:tab w:pos="1853" w:val="left" w:leader="none"/>
        </w:tabs>
        <w:spacing w:line="235" w:lineRule="auto" w:before="1" w:after="0"/>
        <w:ind w:left="1853" w:right="1233" w:hanging="720"/>
        <w:jc w:val="left"/>
        <w:rPr>
          <w:sz w:val="18"/>
        </w:rPr>
      </w:pPr>
      <w:r>
        <w:rPr>
          <w:sz w:val="18"/>
        </w:rPr>
        <w:t>Equality Commission for NI, NI Human Rights Commission and Irish Human Rights and Equality Commission, ‘</w:t>
      </w:r>
      <w:hyperlink r:id="rId76">
        <w:r>
          <w:rPr>
            <w:sz w:val="18"/>
          </w:rPr>
          <w:t>Policy</w:t>
        </w:r>
      </w:hyperlink>
      <w:r>
        <w:rPr>
          <w:sz w:val="18"/>
        </w:rPr>
        <w:t> </w:t>
      </w:r>
      <w:hyperlink r:id="rId76">
        <w:r>
          <w:rPr>
            <w:sz w:val="18"/>
          </w:rPr>
          <w:t>Recommendations:</w:t>
        </w:r>
        <w:r>
          <w:rPr>
            <w:spacing w:val="-4"/>
            <w:sz w:val="18"/>
          </w:rPr>
          <w:t> </w:t>
        </w:r>
        <w:r>
          <w:rPr>
            <w:sz w:val="18"/>
          </w:rPr>
          <w:t>European</w:t>
        </w:r>
        <w:r>
          <w:rPr>
            <w:spacing w:val="-5"/>
            <w:sz w:val="18"/>
          </w:rPr>
          <w:t> </w:t>
        </w:r>
        <w:r>
          <w:rPr>
            <w:sz w:val="18"/>
          </w:rPr>
          <w:t>Union</w:t>
        </w:r>
        <w:r>
          <w:rPr>
            <w:spacing w:val="-5"/>
            <w:sz w:val="18"/>
          </w:rPr>
          <w:t> </w:t>
        </w:r>
        <w:r>
          <w:rPr>
            <w:sz w:val="18"/>
          </w:rPr>
          <w:t>developments</w:t>
        </w:r>
        <w:r>
          <w:rPr>
            <w:spacing w:val="-5"/>
            <w:sz w:val="18"/>
          </w:rPr>
          <w:t> </w:t>
        </w:r>
        <w:r>
          <w:rPr>
            <w:sz w:val="18"/>
          </w:rPr>
          <w:t>in</w:t>
        </w:r>
        <w:r>
          <w:rPr>
            <w:spacing w:val="-5"/>
            <w:sz w:val="18"/>
          </w:rPr>
          <w:t> </w:t>
        </w:r>
        <w:r>
          <w:rPr>
            <w:sz w:val="18"/>
          </w:rPr>
          <w:t>Equality</w:t>
        </w:r>
        <w:r>
          <w:rPr>
            <w:spacing w:val="-4"/>
            <w:sz w:val="18"/>
          </w:rPr>
          <w:t> </w:t>
        </w:r>
        <w:r>
          <w:rPr>
            <w:sz w:val="18"/>
          </w:rPr>
          <w:t>and</w:t>
        </w:r>
        <w:r>
          <w:rPr>
            <w:spacing w:val="-5"/>
            <w:sz w:val="18"/>
          </w:rPr>
          <w:t> </w:t>
        </w:r>
        <w:r>
          <w:rPr>
            <w:sz w:val="18"/>
          </w:rPr>
          <w:t>Human</w:t>
        </w:r>
        <w:r>
          <w:rPr>
            <w:spacing w:val="-5"/>
            <w:sz w:val="18"/>
          </w:rPr>
          <w:t> </w:t>
        </w:r>
        <w:r>
          <w:rPr>
            <w:sz w:val="18"/>
          </w:rPr>
          <w:t>Rights: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the</w:t>
        </w:r>
        <w:r>
          <w:rPr>
            <w:spacing w:val="-4"/>
            <w:sz w:val="18"/>
          </w:rPr>
          <w:t> </w:t>
        </w:r>
        <w:r>
          <w:rPr>
            <w:sz w:val="18"/>
          </w:rPr>
          <w:t>divergence</w:t>
        </w:r>
      </w:hyperlink>
      <w:r>
        <w:rPr>
          <w:sz w:val="18"/>
        </w:rPr>
        <w:t> </w:t>
      </w:r>
      <w:hyperlink r:id="rId76">
        <w:r>
          <w:rPr>
            <w:sz w:val="18"/>
          </w:rPr>
          <w:t>of rights and best practice on the island of Ireland</w:t>
        </w:r>
      </w:hyperlink>
      <w:r>
        <w:rPr>
          <w:sz w:val="18"/>
        </w:rPr>
        <w:t>’ (ECNI, NIHRC and IHREC, 2023).</w:t>
      </w:r>
    </w:p>
    <w:p>
      <w:pPr>
        <w:spacing w:after="0" w:line="235" w:lineRule="auto"/>
        <w:jc w:val="left"/>
        <w:rPr>
          <w:sz w:val="18"/>
        </w:rPr>
        <w:sectPr>
          <w:pgSz w:w="11910" w:h="16840"/>
          <w:pgMar w:header="496" w:footer="367" w:top="1220" w:bottom="560" w:left="0" w:right="0"/>
        </w:sectPr>
      </w:pPr>
    </w:p>
    <w:p>
      <w:pPr>
        <w:pStyle w:val="BodyText"/>
        <w:spacing w:before="198"/>
      </w:pPr>
    </w:p>
    <w:p>
      <w:pPr>
        <w:pStyle w:val="ListParagraph"/>
        <w:numPr>
          <w:ilvl w:val="1"/>
          <w:numId w:val="7"/>
        </w:numPr>
        <w:tabs>
          <w:tab w:pos="1853" w:val="left" w:leader="none"/>
        </w:tabs>
        <w:spacing w:line="225" w:lineRule="auto" w:before="0" w:after="0"/>
        <w:ind w:left="1853" w:right="1533" w:hanging="720"/>
        <w:jc w:val="left"/>
        <w:rPr>
          <w:sz w:val="28"/>
        </w:rPr>
      </w:pPr>
      <w:bookmarkStart w:name="_bookmark18" w:id="41"/>
      <w:bookmarkEnd w:id="41"/>
      <w:r>
        <w:rPr/>
      </w:r>
      <w:r>
        <w:rPr>
          <w:sz w:val="28"/>
        </w:rPr>
        <w:t>It should be noted that the standards outlined in the draft EU directives</w:t>
      </w:r>
      <w:r>
        <w:rPr>
          <w:sz w:val="28"/>
        </w:rPr>
        <w:t> are minimum standards and the NI Executive could, as a matter of best practice,</w:t>
      </w:r>
      <w:r>
        <w:rPr>
          <w:spacing w:val="-8"/>
          <w:sz w:val="28"/>
        </w:rPr>
        <w:t> </w:t>
      </w:r>
      <w:r>
        <w:rPr>
          <w:sz w:val="28"/>
        </w:rPr>
        <w:t>introduce</w:t>
      </w:r>
      <w:r>
        <w:rPr>
          <w:spacing w:val="-8"/>
          <w:sz w:val="28"/>
        </w:rPr>
        <w:t> </w:t>
      </w:r>
      <w:r>
        <w:rPr>
          <w:sz w:val="28"/>
        </w:rPr>
        <w:t>legislation</w:t>
      </w:r>
      <w:r>
        <w:rPr>
          <w:spacing w:val="-9"/>
          <w:sz w:val="28"/>
        </w:rPr>
        <w:t> </w:t>
      </w:r>
      <w:r>
        <w:rPr>
          <w:sz w:val="28"/>
        </w:rPr>
        <w:t>that</w:t>
      </w:r>
      <w:r>
        <w:rPr>
          <w:spacing w:val="-8"/>
          <w:sz w:val="28"/>
        </w:rPr>
        <w:t> </w:t>
      </w:r>
      <w:r>
        <w:rPr>
          <w:sz w:val="28"/>
        </w:rPr>
        <w:t>goes</w:t>
      </w:r>
      <w:r>
        <w:rPr>
          <w:spacing w:val="-9"/>
          <w:sz w:val="28"/>
        </w:rPr>
        <w:t> </w:t>
      </w:r>
      <w:r>
        <w:rPr>
          <w:sz w:val="28"/>
        </w:rPr>
        <w:t>beyond</w:t>
      </w:r>
      <w:r>
        <w:rPr>
          <w:spacing w:val="-9"/>
          <w:sz w:val="28"/>
        </w:rPr>
        <w:t> </w:t>
      </w:r>
      <w:r>
        <w:rPr>
          <w:sz w:val="28"/>
        </w:rPr>
        <w:t>these</w:t>
      </w:r>
      <w:r>
        <w:rPr>
          <w:spacing w:val="-8"/>
          <w:sz w:val="28"/>
        </w:rPr>
        <w:t> </w:t>
      </w:r>
      <w:r>
        <w:rPr>
          <w:sz w:val="28"/>
        </w:rPr>
        <w:t>standards,</w:t>
      </w:r>
      <w:r>
        <w:rPr>
          <w:spacing w:val="-8"/>
          <w:sz w:val="28"/>
        </w:rPr>
        <w:t> </w:t>
      </w:r>
      <w:r>
        <w:rPr>
          <w:sz w:val="28"/>
        </w:rPr>
        <w:t>aligned</w:t>
      </w:r>
      <w:r>
        <w:rPr>
          <w:spacing w:val="-9"/>
          <w:sz w:val="28"/>
        </w:rPr>
        <w:t> </w:t>
      </w:r>
      <w:r>
        <w:rPr>
          <w:sz w:val="28"/>
        </w:rPr>
        <w:t>to international human rights standards and best practice.</w:t>
      </w:r>
    </w:p>
    <w:p>
      <w:pPr>
        <w:pStyle w:val="ListParagraph"/>
        <w:numPr>
          <w:ilvl w:val="1"/>
          <w:numId w:val="7"/>
        </w:numPr>
        <w:tabs>
          <w:tab w:pos="1853" w:val="left" w:leader="none"/>
        </w:tabs>
        <w:spacing w:line="225" w:lineRule="auto" w:before="315" w:after="0"/>
        <w:ind w:left="1853" w:right="1196" w:hanging="720"/>
        <w:jc w:val="left"/>
        <w:rPr>
          <w:sz w:val="28"/>
        </w:rPr>
      </w:pPr>
      <w:r>
        <w:rPr>
          <w:sz w:val="28"/>
        </w:rPr>
        <w:t>The EU Parliament has set a date in April 2024 for the approval of the first directive.</w:t>
      </w:r>
      <w:r>
        <w:rPr>
          <w:sz w:val="28"/>
          <w:vertAlign w:val="superscript"/>
        </w:rPr>
        <w:t>183</w:t>
      </w:r>
      <w:r>
        <w:rPr>
          <w:sz w:val="28"/>
          <w:vertAlign w:val="baseline"/>
        </w:rPr>
        <w:t> In February 2024, the Council agreed its approach on the second directive, which will be sent to the EU Parliament, together with a request to give its consent.</w:t>
      </w:r>
      <w:r>
        <w:rPr>
          <w:sz w:val="28"/>
          <w:vertAlign w:val="superscript"/>
        </w:rPr>
        <w:t>184</w:t>
      </w:r>
      <w:r>
        <w:rPr>
          <w:spacing w:val="40"/>
          <w:sz w:val="28"/>
          <w:vertAlign w:val="baseline"/>
        </w:rPr>
        <w:t> </w:t>
      </w:r>
      <w:r>
        <w:rPr>
          <w:sz w:val="28"/>
          <w:vertAlign w:val="baseline"/>
        </w:rPr>
        <w:t>Both draft directives are expected to be adopted in May 2024</w:t>
      </w:r>
      <w:r>
        <w:rPr>
          <w:spacing w:val="-6"/>
          <w:sz w:val="28"/>
          <w:vertAlign w:val="baseline"/>
        </w:rPr>
        <w:t> </w:t>
      </w:r>
      <w:r>
        <w:rPr>
          <w:sz w:val="28"/>
          <w:vertAlign w:val="baseline"/>
        </w:rPr>
        <w:t>and</w:t>
      </w:r>
      <w:r>
        <w:rPr>
          <w:spacing w:val="-7"/>
          <w:sz w:val="28"/>
          <w:vertAlign w:val="baseline"/>
        </w:rPr>
        <w:t> </w:t>
      </w:r>
      <w:r>
        <w:rPr>
          <w:sz w:val="28"/>
          <w:vertAlign w:val="baseline"/>
        </w:rPr>
        <w:t>Member</w:t>
      </w:r>
      <w:r>
        <w:rPr>
          <w:spacing w:val="-6"/>
          <w:sz w:val="28"/>
          <w:vertAlign w:val="baseline"/>
        </w:rPr>
        <w:t> </w:t>
      </w:r>
      <w:r>
        <w:rPr>
          <w:sz w:val="28"/>
          <w:vertAlign w:val="baseline"/>
        </w:rPr>
        <w:t>States</w:t>
      </w:r>
      <w:r>
        <w:rPr>
          <w:spacing w:val="-7"/>
          <w:sz w:val="28"/>
          <w:vertAlign w:val="baseline"/>
        </w:rPr>
        <w:t> </w:t>
      </w:r>
      <w:r>
        <w:rPr>
          <w:sz w:val="28"/>
          <w:vertAlign w:val="baseline"/>
        </w:rPr>
        <w:t>will</w:t>
      </w:r>
      <w:r>
        <w:rPr>
          <w:spacing w:val="-7"/>
          <w:sz w:val="28"/>
          <w:vertAlign w:val="baseline"/>
        </w:rPr>
        <w:t> </w:t>
      </w:r>
      <w:r>
        <w:rPr>
          <w:sz w:val="28"/>
          <w:vertAlign w:val="baseline"/>
        </w:rPr>
        <w:t>have</w:t>
      </w:r>
      <w:r>
        <w:rPr>
          <w:spacing w:val="-6"/>
          <w:sz w:val="28"/>
          <w:vertAlign w:val="baseline"/>
        </w:rPr>
        <w:t> </w:t>
      </w:r>
      <w:r>
        <w:rPr>
          <w:sz w:val="28"/>
          <w:vertAlign w:val="baseline"/>
        </w:rPr>
        <w:t>two</w:t>
      </w:r>
      <w:r>
        <w:rPr>
          <w:spacing w:val="-7"/>
          <w:sz w:val="28"/>
          <w:vertAlign w:val="baseline"/>
        </w:rPr>
        <w:t> </w:t>
      </w:r>
      <w:r>
        <w:rPr>
          <w:sz w:val="28"/>
          <w:vertAlign w:val="baseline"/>
        </w:rPr>
        <w:t>years</w:t>
      </w:r>
      <w:r>
        <w:rPr>
          <w:spacing w:val="-7"/>
          <w:sz w:val="28"/>
          <w:vertAlign w:val="baseline"/>
        </w:rPr>
        <w:t> </w:t>
      </w:r>
      <w:r>
        <w:rPr>
          <w:sz w:val="28"/>
          <w:vertAlign w:val="baseline"/>
        </w:rPr>
        <w:t>to</w:t>
      </w:r>
      <w:r>
        <w:rPr>
          <w:spacing w:val="-7"/>
          <w:sz w:val="28"/>
          <w:vertAlign w:val="baseline"/>
        </w:rPr>
        <w:t> </w:t>
      </w:r>
      <w:r>
        <w:rPr>
          <w:sz w:val="28"/>
          <w:vertAlign w:val="baseline"/>
        </w:rPr>
        <w:t>transpose</w:t>
      </w:r>
      <w:r>
        <w:rPr>
          <w:spacing w:val="-6"/>
          <w:sz w:val="28"/>
          <w:vertAlign w:val="baseline"/>
        </w:rPr>
        <w:t> </w:t>
      </w:r>
      <w:r>
        <w:rPr>
          <w:sz w:val="28"/>
          <w:vertAlign w:val="baseline"/>
        </w:rPr>
        <w:t>them</w:t>
      </w:r>
      <w:r>
        <w:rPr>
          <w:spacing w:val="-6"/>
          <w:sz w:val="28"/>
          <w:vertAlign w:val="baseline"/>
        </w:rPr>
        <w:t> </w:t>
      </w:r>
      <w:r>
        <w:rPr>
          <w:sz w:val="28"/>
          <w:vertAlign w:val="baseline"/>
        </w:rPr>
        <w:t>into</w:t>
      </w:r>
      <w:r>
        <w:rPr>
          <w:spacing w:val="-7"/>
          <w:sz w:val="28"/>
          <w:vertAlign w:val="baseline"/>
        </w:rPr>
        <w:t> </w:t>
      </w:r>
      <w:r>
        <w:rPr>
          <w:sz w:val="28"/>
          <w:vertAlign w:val="baseline"/>
        </w:rPr>
        <w:t>domestic </w:t>
      </w:r>
      <w:r>
        <w:rPr>
          <w:spacing w:val="-2"/>
          <w:sz w:val="28"/>
          <w:vertAlign w:val="baseline"/>
        </w:rPr>
        <w:t>law.</w:t>
      </w:r>
      <w:r>
        <w:rPr>
          <w:spacing w:val="-2"/>
          <w:sz w:val="28"/>
          <w:vertAlign w:val="superscript"/>
        </w:rPr>
        <w:t>185</w:t>
      </w:r>
    </w:p>
    <w:p>
      <w:pPr>
        <w:pStyle w:val="ListParagraph"/>
        <w:numPr>
          <w:ilvl w:val="1"/>
          <w:numId w:val="7"/>
        </w:numPr>
        <w:tabs>
          <w:tab w:pos="1853" w:val="left" w:leader="none"/>
        </w:tabs>
        <w:spacing w:line="225" w:lineRule="auto" w:before="313" w:after="0"/>
        <w:ind w:left="1853" w:right="1164" w:hanging="720"/>
        <w:jc w:val="left"/>
        <w:rPr>
          <w:sz w:val="28"/>
        </w:rPr>
      </w:pPr>
      <w:r>
        <w:rPr>
          <w:sz w:val="28"/>
        </w:rPr>
        <w:t>It is essential that the UK Government and NI Executive Office, tracks and monitors the passage of these draft directives to ensure that, if adopted, the law in NI is amended to keep pace with those changes that amend or replace an</w:t>
      </w:r>
      <w:r>
        <w:rPr>
          <w:spacing w:val="-8"/>
          <w:sz w:val="28"/>
        </w:rPr>
        <w:t> </w:t>
      </w:r>
      <w:r>
        <w:rPr>
          <w:sz w:val="28"/>
        </w:rPr>
        <w:t>Annex</w:t>
      </w:r>
      <w:r>
        <w:rPr>
          <w:spacing w:val="-8"/>
          <w:sz w:val="28"/>
        </w:rPr>
        <w:t> </w:t>
      </w:r>
      <w:r>
        <w:rPr>
          <w:sz w:val="28"/>
        </w:rPr>
        <w:t>1</w:t>
      </w:r>
      <w:r>
        <w:rPr>
          <w:spacing w:val="-7"/>
          <w:sz w:val="28"/>
        </w:rPr>
        <w:t> </w:t>
      </w:r>
      <w:r>
        <w:rPr>
          <w:sz w:val="28"/>
        </w:rPr>
        <w:t>directive/s</w:t>
      </w:r>
      <w:r>
        <w:rPr>
          <w:spacing w:val="-8"/>
          <w:sz w:val="28"/>
        </w:rPr>
        <w:t> </w:t>
      </w:r>
      <w:r>
        <w:rPr>
          <w:sz w:val="28"/>
        </w:rPr>
        <w:t>to</w:t>
      </w:r>
      <w:r>
        <w:rPr>
          <w:spacing w:val="-8"/>
          <w:sz w:val="28"/>
        </w:rPr>
        <w:t> </w:t>
      </w:r>
      <w:r>
        <w:rPr>
          <w:sz w:val="28"/>
        </w:rPr>
        <w:t>ensure</w:t>
      </w:r>
      <w:r>
        <w:rPr>
          <w:spacing w:val="-7"/>
          <w:sz w:val="28"/>
        </w:rPr>
        <w:t> </w:t>
      </w:r>
      <w:r>
        <w:rPr>
          <w:sz w:val="28"/>
        </w:rPr>
        <w:t>compliance</w:t>
      </w:r>
      <w:r>
        <w:rPr>
          <w:spacing w:val="-7"/>
          <w:sz w:val="28"/>
        </w:rPr>
        <w:t> </w:t>
      </w:r>
      <w:r>
        <w:rPr>
          <w:sz w:val="28"/>
        </w:rPr>
        <w:t>with</w:t>
      </w:r>
      <w:r>
        <w:rPr>
          <w:spacing w:val="-8"/>
          <w:sz w:val="28"/>
        </w:rPr>
        <w:t> </w:t>
      </w:r>
      <w:r>
        <w:rPr>
          <w:sz w:val="28"/>
        </w:rPr>
        <w:t>Windsor</w:t>
      </w:r>
      <w:r>
        <w:rPr>
          <w:spacing w:val="-7"/>
          <w:sz w:val="28"/>
        </w:rPr>
        <w:t> </w:t>
      </w:r>
      <w:r>
        <w:rPr>
          <w:sz w:val="28"/>
        </w:rPr>
        <w:t>Framework</w:t>
      </w:r>
      <w:r>
        <w:rPr>
          <w:spacing w:val="-7"/>
          <w:sz w:val="28"/>
        </w:rPr>
        <w:t> </w:t>
      </w:r>
      <w:r>
        <w:rPr>
          <w:sz w:val="28"/>
        </w:rPr>
        <w:t>Articles 2 and 13.</w:t>
      </w:r>
    </w:p>
    <w:p>
      <w:pPr>
        <w:pStyle w:val="BodyText"/>
        <w:spacing w:before="2"/>
        <w:rPr>
          <w:sz w:val="16"/>
        </w:rPr>
      </w:pPr>
      <w:r>
        <w:rPr/>
        <mc:AlternateContent>
          <mc:Choice Requires="wps">
            <w:drawing>
              <wp:anchor distT="0" distB="0" distL="0" distR="0" allowOverlap="1" layoutInCell="1" locked="0" behindDoc="1" simplePos="0" relativeHeight="487647232">
                <wp:simplePos x="0" y="0"/>
                <wp:positionH relativeFrom="page">
                  <wp:posOffset>720001</wp:posOffset>
                </wp:positionH>
                <wp:positionV relativeFrom="paragraph">
                  <wp:posOffset>141012</wp:posOffset>
                </wp:positionV>
                <wp:extent cx="6120130" cy="360045"/>
                <wp:effectExtent l="0" t="0" r="0" b="0"/>
                <wp:wrapTopAndBottom/>
                <wp:docPr id="214" name="Textbox 214"/>
                <wp:cNvGraphicFramePr>
                  <a:graphicFrameLocks/>
                </wp:cNvGraphicFramePr>
                <a:graphic>
                  <a:graphicData uri="http://schemas.microsoft.com/office/word/2010/wordprocessingShape">
                    <wps:wsp>
                      <wps:cNvPr id="214" name="Textbox 214"/>
                      <wps:cNvSpPr txBox="1"/>
                      <wps:spPr>
                        <a:xfrm>
                          <a:off x="0" y="0"/>
                          <a:ext cx="6120130" cy="360045"/>
                        </a:xfrm>
                        <a:prstGeom prst="rect">
                          <a:avLst/>
                        </a:prstGeom>
                        <a:solidFill>
                          <a:srgbClr val="393B80"/>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11.103359pt;width:481.9pt;height:28.35pt;mso-position-horizontal-relative:page;mso-position-vertical-relative:paragraph;z-index:-15669248;mso-wrap-distance-left:0;mso-wrap-distance-right:0" type="#_x0000_t202" id="docshape170" filled="true" fillcolor="#393b80"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208" w:after="0"/>
        <w:ind w:left="1853" w:right="1260" w:hanging="720"/>
        <w:jc w:val="left"/>
        <w:rPr>
          <w:b/>
          <w:color w:val="67287F"/>
          <w:sz w:val="28"/>
        </w:rPr>
      </w:pPr>
      <w:r>
        <w:rPr>
          <w:b/>
          <w:color w:val="67287F"/>
          <w:sz w:val="28"/>
        </w:rPr>
        <w:t>The</w:t>
      </w:r>
      <w:r>
        <w:rPr>
          <w:b/>
          <w:color w:val="67287F"/>
          <w:spacing w:val="-7"/>
          <w:sz w:val="28"/>
        </w:rPr>
        <w:t> </w:t>
      </w:r>
      <w:r>
        <w:rPr>
          <w:b/>
          <w:color w:val="67287F"/>
          <w:sz w:val="28"/>
        </w:rPr>
        <w:t>Commissions</w:t>
      </w:r>
      <w:r>
        <w:rPr>
          <w:b/>
          <w:color w:val="67287F"/>
          <w:spacing w:val="-6"/>
          <w:sz w:val="28"/>
        </w:rPr>
        <w:t> </w:t>
      </w:r>
      <w:r>
        <w:rPr>
          <w:b/>
          <w:color w:val="67287F"/>
          <w:sz w:val="28"/>
        </w:rPr>
        <w:t>advise</w:t>
      </w:r>
      <w:r>
        <w:rPr>
          <w:b/>
          <w:color w:val="67287F"/>
          <w:spacing w:val="-7"/>
          <w:sz w:val="28"/>
        </w:rPr>
        <w:t> </w:t>
      </w:r>
      <w:r>
        <w:rPr>
          <w:b/>
          <w:color w:val="67287F"/>
          <w:sz w:val="28"/>
        </w:rPr>
        <w:t>the</w:t>
      </w:r>
      <w:r>
        <w:rPr>
          <w:b/>
          <w:color w:val="67287F"/>
          <w:spacing w:val="-7"/>
          <w:sz w:val="28"/>
        </w:rPr>
        <w:t> </w:t>
      </w:r>
      <w:r>
        <w:rPr>
          <w:b/>
          <w:color w:val="67287F"/>
          <w:sz w:val="28"/>
        </w:rPr>
        <w:t>NI</w:t>
      </w:r>
      <w:r>
        <w:rPr>
          <w:b/>
          <w:color w:val="67287F"/>
          <w:spacing w:val="-6"/>
          <w:sz w:val="28"/>
        </w:rPr>
        <w:t> </w:t>
      </w:r>
      <w:r>
        <w:rPr>
          <w:b/>
          <w:color w:val="67287F"/>
          <w:sz w:val="28"/>
        </w:rPr>
        <w:t>Executive</w:t>
      </w:r>
      <w:r>
        <w:rPr>
          <w:b/>
          <w:color w:val="67287F"/>
          <w:spacing w:val="-7"/>
          <w:sz w:val="28"/>
        </w:rPr>
        <w:t> </w:t>
      </w:r>
      <w:r>
        <w:rPr>
          <w:b/>
          <w:color w:val="67287F"/>
          <w:sz w:val="28"/>
        </w:rPr>
        <w:t>and</w:t>
      </w:r>
      <w:r>
        <w:rPr>
          <w:b/>
          <w:color w:val="67287F"/>
          <w:spacing w:val="-6"/>
          <w:sz w:val="28"/>
        </w:rPr>
        <w:t> </w:t>
      </w:r>
      <w:r>
        <w:rPr>
          <w:b/>
          <w:color w:val="67287F"/>
          <w:sz w:val="28"/>
        </w:rPr>
        <w:t>relevant</w:t>
      </w:r>
      <w:r>
        <w:rPr>
          <w:b/>
          <w:color w:val="67287F"/>
          <w:spacing w:val="-6"/>
          <w:sz w:val="28"/>
        </w:rPr>
        <w:t> </w:t>
      </w:r>
      <w:r>
        <w:rPr>
          <w:b/>
          <w:color w:val="67287F"/>
          <w:sz w:val="28"/>
        </w:rPr>
        <w:t>NI</w:t>
      </w:r>
      <w:r>
        <w:rPr>
          <w:b/>
          <w:color w:val="67287F"/>
          <w:spacing w:val="-6"/>
          <w:sz w:val="28"/>
        </w:rPr>
        <w:t> </w:t>
      </w:r>
      <w:r>
        <w:rPr>
          <w:b/>
          <w:color w:val="67287F"/>
          <w:sz w:val="28"/>
        </w:rPr>
        <w:t>departments</w:t>
      </w:r>
      <w:r>
        <w:rPr>
          <w:b/>
          <w:color w:val="67287F"/>
          <w:spacing w:val="-6"/>
          <w:sz w:val="28"/>
        </w:rPr>
        <w:t> </w:t>
      </w:r>
      <w:r>
        <w:rPr>
          <w:b/>
          <w:color w:val="67287F"/>
          <w:sz w:val="28"/>
        </w:rPr>
        <w:t>that, pursuant to Articles 2 and 13 of the Windsor Framework, NI law should</w:t>
      </w:r>
    </w:p>
    <w:p>
      <w:pPr>
        <w:spacing w:line="225" w:lineRule="auto" w:before="0"/>
        <w:ind w:left="1853" w:right="1124" w:firstLine="0"/>
        <w:jc w:val="left"/>
        <w:rPr>
          <w:b/>
          <w:sz w:val="28"/>
        </w:rPr>
      </w:pPr>
      <w:r>
        <w:rPr>
          <w:b/>
          <w:color w:val="67287F"/>
          <w:sz w:val="28"/>
        </w:rPr>
        <w:t>be amended to keep pace with those provisions of the EU directives on standards</w:t>
      </w:r>
      <w:r>
        <w:rPr>
          <w:b/>
          <w:color w:val="67287F"/>
          <w:spacing w:val="-6"/>
          <w:sz w:val="28"/>
        </w:rPr>
        <w:t> </w:t>
      </w:r>
      <w:r>
        <w:rPr>
          <w:b/>
          <w:color w:val="67287F"/>
          <w:sz w:val="28"/>
        </w:rPr>
        <w:t>for</w:t>
      </w:r>
      <w:r>
        <w:rPr>
          <w:b/>
          <w:color w:val="67287F"/>
          <w:spacing w:val="-6"/>
          <w:sz w:val="28"/>
        </w:rPr>
        <w:t> </w:t>
      </w:r>
      <w:r>
        <w:rPr>
          <w:b/>
          <w:color w:val="67287F"/>
          <w:sz w:val="28"/>
        </w:rPr>
        <w:t>equality</w:t>
      </w:r>
      <w:r>
        <w:rPr>
          <w:b/>
          <w:color w:val="67287F"/>
          <w:spacing w:val="-7"/>
          <w:sz w:val="28"/>
        </w:rPr>
        <w:t> </w:t>
      </w:r>
      <w:r>
        <w:rPr>
          <w:b/>
          <w:color w:val="67287F"/>
          <w:sz w:val="28"/>
        </w:rPr>
        <w:t>bodies,</w:t>
      </w:r>
      <w:r>
        <w:rPr>
          <w:b/>
          <w:color w:val="67287F"/>
          <w:spacing w:val="-7"/>
          <w:sz w:val="28"/>
        </w:rPr>
        <w:t> </w:t>
      </w:r>
      <w:r>
        <w:rPr>
          <w:b/>
          <w:color w:val="67287F"/>
          <w:sz w:val="28"/>
        </w:rPr>
        <w:t>if</w:t>
      </w:r>
      <w:r>
        <w:rPr>
          <w:b/>
          <w:color w:val="67287F"/>
          <w:spacing w:val="-6"/>
          <w:sz w:val="28"/>
        </w:rPr>
        <w:t> </w:t>
      </w:r>
      <w:r>
        <w:rPr>
          <w:b/>
          <w:color w:val="67287F"/>
          <w:sz w:val="28"/>
        </w:rPr>
        <w:t>adopted,</w:t>
      </w:r>
      <w:r>
        <w:rPr>
          <w:b/>
          <w:color w:val="67287F"/>
          <w:spacing w:val="-7"/>
          <w:sz w:val="28"/>
        </w:rPr>
        <w:t> </w:t>
      </w:r>
      <w:r>
        <w:rPr>
          <w:b/>
          <w:color w:val="67287F"/>
          <w:sz w:val="28"/>
        </w:rPr>
        <w:t>which</w:t>
      </w:r>
      <w:r>
        <w:rPr>
          <w:b/>
          <w:color w:val="67287F"/>
          <w:spacing w:val="-7"/>
          <w:sz w:val="28"/>
        </w:rPr>
        <w:t> </w:t>
      </w:r>
      <w:r>
        <w:rPr>
          <w:b/>
          <w:color w:val="67287F"/>
          <w:sz w:val="28"/>
        </w:rPr>
        <w:t>amend</w:t>
      </w:r>
      <w:r>
        <w:rPr>
          <w:b/>
          <w:color w:val="67287F"/>
          <w:spacing w:val="-7"/>
          <w:sz w:val="28"/>
        </w:rPr>
        <w:t> </w:t>
      </w:r>
      <w:r>
        <w:rPr>
          <w:b/>
          <w:color w:val="67287F"/>
          <w:sz w:val="28"/>
        </w:rPr>
        <w:t>or</w:t>
      </w:r>
      <w:r>
        <w:rPr>
          <w:b/>
          <w:color w:val="67287F"/>
          <w:spacing w:val="-7"/>
          <w:sz w:val="28"/>
        </w:rPr>
        <w:t> </w:t>
      </w:r>
      <w:r>
        <w:rPr>
          <w:b/>
          <w:color w:val="67287F"/>
          <w:sz w:val="28"/>
        </w:rPr>
        <w:t>replace</w:t>
      </w:r>
      <w:r>
        <w:rPr>
          <w:b/>
          <w:color w:val="67287F"/>
          <w:spacing w:val="-7"/>
          <w:sz w:val="28"/>
        </w:rPr>
        <w:t> </w:t>
      </w:r>
      <w:r>
        <w:rPr>
          <w:b/>
          <w:color w:val="67287F"/>
          <w:sz w:val="28"/>
        </w:rPr>
        <w:t>any</w:t>
      </w:r>
      <w:r>
        <w:rPr>
          <w:b/>
          <w:color w:val="67287F"/>
          <w:spacing w:val="-6"/>
          <w:sz w:val="28"/>
        </w:rPr>
        <w:t> </w:t>
      </w:r>
      <w:r>
        <w:rPr>
          <w:b/>
          <w:color w:val="67287F"/>
          <w:sz w:val="28"/>
        </w:rPr>
        <w:t>Annex 1 equality directives. The implementation of these changes in NI law should align with the transposition deadline for Member States in relation to these directives, if adopted.</w:t>
      </w:r>
    </w:p>
    <w:p>
      <w:pPr>
        <w:pStyle w:val="Heading5"/>
        <w:spacing w:before="295"/>
        <w:ind w:left="1133" w:firstLine="0"/>
      </w:pPr>
      <w:bookmarkStart w:name="Age Discrimination" w:id="42"/>
      <w:bookmarkEnd w:id="42"/>
      <w:r>
        <w:rPr>
          <w:b w:val="0"/>
        </w:rPr>
      </w:r>
      <w:r>
        <w:rPr>
          <w:color w:val="393B80"/>
        </w:rPr>
        <w:t>Age</w:t>
      </w:r>
      <w:r>
        <w:rPr>
          <w:color w:val="393B80"/>
          <w:spacing w:val="-6"/>
        </w:rPr>
        <w:t> </w:t>
      </w:r>
      <w:r>
        <w:rPr>
          <w:color w:val="393B80"/>
          <w:spacing w:val="-2"/>
        </w:rPr>
        <w:t>Discrimination</w:t>
      </w:r>
    </w:p>
    <w:p>
      <w:pPr>
        <w:pStyle w:val="ListParagraph"/>
        <w:numPr>
          <w:ilvl w:val="1"/>
          <w:numId w:val="7"/>
        </w:numPr>
        <w:tabs>
          <w:tab w:pos="1853" w:val="left" w:leader="none"/>
        </w:tabs>
        <w:spacing w:line="225" w:lineRule="auto" w:before="331" w:after="0"/>
        <w:ind w:left="1853" w:right="1618" w:hanging="720"/>
        <w:jc w:val="left"/>
        <w:rPr>
          <w:sz w:val="28"/>
        </w:rPr>
      </w:pPr>
      <w:r>
        <w:rPr>
          <w:sz w:val="28"/>
        </w:rPr>
        <w:t>Windsor Framework Articles 2 and 13 require the law in NI to keep pace with any improvements to minimum standards of equality protection enshrined</w:t>
      </w:r>
      <w:r>
        <w:rPr>
          <w:spacing w:val="-6"/>
          <w:sz w:val="28"/>
        </w:rPr>
        <w:t> </w:t>
      </w:r>
      <w:r>
        <w:rPr>
          <w:sz w:val="28"/>
        </w:rPr>
        <w:t>in</w:t>
      </w:r>
      <w:r>
        <w:rPr>
          <w:spacing w:val="-6"/>
          <w:sz w:val="28"/>
        </w:rPr>
        <w:t> </w:t>
      </w:r>
      <w:r>
        <w:rPr>
          <w:sz w:val="28"/>
        </w:rPr>
        <w:t>six</w:t>
      </w:r>
      <w:r>
        <w:rPr>
          <w:spacing w:val="-6"/>
          <w:sz w:val="28"/>
        </w:rPr>
        <w:t> </w:t>
      </w:r>
      <w:r>
        <w:rPr>
          <w:sz w:val="28"/>
        </w:rPr>
        <w:t>EU</w:t>
      </w:r>
      <w:r>
        <w:rPr>
          <w:spacing w:val="-5"/>
          <w:sz w:val="28"/>
        </w:rPr>
        <w:t> </w:t>
      </w:r>
      <w:r>
        <w:rPr>
          <w:sz w:val="28"/>
        </w:rPr>
        <w:t>directives</w:t>
      </w:r>
      <w:r>
        <w:rPr>
          <w:spacing w:val="-6"/>
          <w:sz w:val="28"/>
        </w:rPr>
        <w:t> </w:t>
      </w:r>
      <w:r>
        <w:rPr>
          <w:sz w:val="28"/>
        </w:rPr>
        <w:t>listed</w:t>
      </w:r>
      <w:r>
        <w:rPr>
          <w:spacing w:val="-6"/>
          <w:sz w:val="28"/>
        </w:rPr>
        <w:t> </w:t>
      </w:r>
      <w:r>
        <w:rPr>
          <w:sz w:val="28"/>
        </w:rPr>
        <w:t>in</w:t>
      </w:r>
      <w:r>
        <w:rPr>
          <w:spacing w:val="-6"/>
          <w:sz w:val="28"/>
        </w:rPr>
        <w:t> </w:t>
      </w:r>
      <w:r>
        <w:rPr>
          <w:sz w:val="28"/>
        </w:rPr>
        <w:t>Annex</w:t>
      </w:r>
      <w:r>
        <w:rPr>
          <w:spacing w:val="-6"/>
          <w:sz w:val="28"/>
        </w:rPr>
        <w:t> </w:t>
      </w:r>
      <w:r>
        <w:rPr>
          <w:sz w:val="28"/>
        </w:rPr>
        <w:t>1</w:t>
      </w:r>
      <w:r>
        <w:rPr>
          <w:spacing w:val="-5"/>
          <w:sz w:val="28"/>
        </w:rPr>
        <w:t> </w:t>
      </w:r>
      <w:r>
        <w:rPr>
          <w:sz w:val="28"/>
        </w:rPr>
        <w:t>to</w:t>
      </w:r>
      <w:r>
        <w:rPr>
          <w:spacing w:val="-6"/>
          <w:sz w:val="28"/>
        </w:rPr>
        <w:t> </w:t>
      </w:r>
      <w:r>
        <w:rPr>
          <w:sz w:val="28"/>
        </w:rPr>
        <w:t>the</w:t>
      </w:r>
      <w:r>
        <w:rPr>
          <w:spacing w:val="-5"/>
          <w:sz w:val="28"/>
        </w:rPr>
        <w:t> </w:t>
      </w:r>
      <w:r>
        <w:rPr>
          <w:sz w:val="28"/>
        </w:rPr>
        <w:t>Windsor</w:t>
      </w:r>
      <w:r>
        <w:rPr>
          <w:spacing w:val="-5"/>
          <w:sz w:val="28"/>
        </w:rPr>
        <w:t> </w:t>
      </w:r>
      <w:r>
        <w:rPr>
          <w:sz w:val="28"/>
        </w:rPr>
        <w:t>Framework,</w:t>
      </w:r>
    </w:p>
    <w:p>
      <w:pPr>
        <w:spacing w:line="225" w:lineRule="auto" w:before="0"/>
        <w:ind w:left="1853" w:right="1171" w:firstLine="0"/>
        <w:jc w:val="left"/>
        <w:rPr>
          <w:sz w:val="28"/>
        </w:rPr>
      </w:pPr>
      <w:r>
        <w:rPr>
          <w:sz w:val="28"/>
        </w:rPr>
        <w:t>including</w:t>
      </w:r>
      <w:r>
        <w:rPr>
          <w:spacing w:val="-8"/>
          <w:sz w:val="28"/>
        </w:rPr>
        <w:t> </w:t>
      </w:r>
      <w:r>
        <w:rPr>
          <w:sz w:val="28"/>
        </w:rPr>
        <w:t>the</w:t>
      </w:r>
      <w:r>
        <w:rPr>
          <w:spacing w:val="-9"/>
          <w:sz w:val="28"/>
        </w:rPr>
        <w:t> </w:t>
      </w:r>
      <w:r>
        <w:rPr>
          <w:b/>
          <w:color w:val="393B7F"/>
          <w:sz w:val="28"/>
        </w:rPr>
        <w:t>EU</w:t>
      </w:r>
      <w:r>
        <w:rPr>
          <w:b/>
          <w:color w:val="393B7F"/>
          <w:spacing w:val="-9"/>
          <w:sz w:val="28"/>
        </w:rPr>
        <w:t> </w:t>
      </w:r>
      <w:r>
        <w:rPr>
          <w:b/>
          <w:color w:val="393B7F"/>
          <w:sz w:val="28"/>
        </w:rPr>
        <w:t>Employment</w:t>
      </w:r>
      <w:r>
        <w:rPr>
          <w:b/>
          <w:color w:val="393B7F"/>
          <w:spacing w:val="-8"/>
          <w:sz w:val="28"/>
        </w:rPr>
        <w:t> </w:t>
      </w:r>
      <w:r>
        <w:rPr>
          <w:b/>
          <w:color w:val="393B7F"/>
          <w:sz w:val="28"/>
        </w:rPr>
        <w:t>Equality</w:t>
      </w:r>
      <w:r>
        <w:rPr>
          <w:b/>
          <w:color w:val="393B7F"/>
          <w:spacing w:val="-8"/>
          <w:sz w:val="28"/>
        </w:rPr>
        <w:t> </w:t>
      </w:r>
      <w:r>
        <w:rPr>
          <w:b/>
          <w:color w:val="393B7F"/>
          <w:sz w:val="28"/>
        </w:rPr>
        <w:t>(Framework)</w:t>
      </w:r>
      <w:r>
        <w:rPr>
          <w:b/>
          <w:color w:val="393B7F"/>
          <w:spacing w:val="-8"/>
          <w:sz w:val="28"/>
        </w:rPr>
        <w:t> </w:t>
      </w:r>
      <w:r>
        <w:rPr>
          <w:b/>
          <w:color w:val="393B7F"/>
          <w:sz w:val="28"/>
        </w:rPr>
        <w:t>Directive</w:t>
      </w:r>
      <w:r>
        <w:rPr>
          <w:b/>
          <w:color w:val="393B7F"/>
          <w:spacing w:val="-9"/>
          <w:sz w:val="28"/>
        </w:rPr>
        <w:t> </w:t>
      </w:r>
      <w:r>
        <w:rPr>
          <w:sz w:val="28"/>
        </w:rPr>
        <w:t>which</w:t>
      </w:r>
      <w:r>
        <w:rPr>
          <w:spacing w:val="-9"/>
          <w:sz w:val="28"/>
        </w:rPr>
        <w:t> </w:t>
      </w:r>
      <w:r>
        <w:rPr>
          <w:sz w:val="28"/>
        </w:rPr>
        <w:t>protects against discrimination on the grounds of age in employment and vocational</w:t>
      </w:r>
    </w:p>
    <w:p>
      <w:pPr>
        <w:pStyle w:val="BodyText"/>
        <w:spacing w:before="11"/>
        <w:rPr>
          <w:sz w:val="12"/>
        </w:rPr>
      </w:pPr>
      <w:r>
        <w:rPr/>
        <mc:AlternateContent>
          <mc:Choice Requires="wps">
            <w:drawing>
              <wp:anchor distT="0" distB="0" distL="0" distR="0" allowOverlap="1" layoutInCell="1" locked="0" behindDoc="1" simplePos="0" relativeHeight="487647744">
                <wp:simplePos x="0" y="0"/>
                <wp:positionH relativeFrom="page">
                  <wp:posOffset>719996</wp:posOffset>
                </wp:positionH>
                <wp:positionV relativeFrom="paragraph">
                  <wp:posOffset>115433</wp:posOffset>
                </wp:positionV>
                <wp:extent cx="6120130" cy="1270"/>
                <wp:effectExtent l="0" t="0" r="0" b="0"/>
                <wp:wrapTopAndBottom/>
                <wp:docPr id="215" name="Graphic 215"/>
                <wp:cNvGraphicFramePr>
                  <a:graphicFrameLocks/>
                </wp:cNvGraphicFramePr>
                <a:graphic>
                  <a:graphicData uri="http://schemas.microsoft.com/office/word/2010/wordprocessingShape">
                    <wps:wsp>
                      <wps:cNvPr id="215" name="Graphic 21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9.089219pt;width:481.9pt;height:.1pt;mso-position-horizontal-relative:page;mso-position-vertical-relative:paragraph;z-index:-15668736;mso-wrap-distance-left:0;mso-wrap-distance-right:0" id="docshape171" coordorigin="1134,182" coordsize="9638,0" path="m10772,182l1134,182e" filled="false" stroked="true" strokeweight="1pt" strokecolor="#393b80">
                <v:path arrowok="t"/>
                <v:stroke dashstyle="solid"/>
                <w10:wrap type="topAndBottom"/>
              </v:shape>
            </w:pict>
          </mc:Fallback>
        </mc:AlternateContent>
      </w:r>
    </w:p>
    <w:p>
      <w:pPr>
        <w:pStyle w:val="ListParagraph"/>
        <w:numPr>
          <w:ilvl w:val="0"/>
          <w:numId w:val="3"/>
        </w:numPr>
        <w:tabs>
          <w:tab w:pos="1853" w:val="left" w:leader="none"/>
        </w:tabs>
        <w:spacing w:line="235" w:lineRule="auto" w:before="143" w:after="0"/>
        <w:ind w:left="1853" w:right="1267" w:hanging="720"/>
        <w:jc w:val="left"/>
        <w:rPr>
          <w:sz w:val="18"/>
        </w:rPr>
      </w:pPr>
      <w:r>
        <w:rPr>
          <w:sz w:val="18"/>
        </w:rPr>
        <w:t>EU</w:t>
      </w:r>
      <w:r>
        <w:rPr>
          <w:spacing w:val="-3"/>
          <w:sz w:val="18"/>
        </w:rPr>
        <w:t> </w:t>
      </w:r>
      <w:r>
        <w:rPr>
          <w:sz w:val="18"/>
        </w:rPr>
        <w:t>Commission,</w:t>
      </w:r>
      <w:r>
        <w:rPr>
          <w:spacing w:val="-3"/>
          <w:sz w:val="18"/>
        </w:rPr>
        <w:t> </w:t>
      </w:r>
      <w:r>
        <w:rPr>
          <w:sz w:val="18"/>
        </w:rPr>
        <w:t>‘Proposal</w:t>
      </w:r>
      <w:r>
        <w:rPr>
          <w:spacing w:val="-4"/>
          <w:sz w:val="18"/>
        </w:rPr>
        <w:t> </w:t>
      </w:r>
      <w:r>
        <w:rPr>
          <w:sz w:val="18"/>
        </w:rPr>
        <w:t>for</w:t>
      </w:r>
      <w:r>
        <w:rPr>
          <w:spacing w:val="-3"/>
          <w:sz w:val="18"/>
        </w:rPr>
        <w:t> </w:t>
      </w:r>
      <w:r>
        <w:rPr>
          <w:sz w:val="18"/>
        </w:rPr>
        <w:t>a</w:t>
      </w:r>
      <w:r>
        <w:rPr>
          <w:spacing w:val="-4"/>
          <w:sz w:val="18"/>
        </w:rPr>
        <w:t> </w:t>
      </w:r>
      <w:r>
        <w:rPr>
          <w:sz w:val="18"/>
        </w:rPr>
        <w:t>Directive</w:t>
      </w:r>
      <w:r>
        <w:rPr>
          <w:spacing w:val="-3"/>
          <w:sz w:val="18"/>
        </w:rPr>
        <w:t> </w:t>
      </w:r>
      <w:r>
        <w:rPr>
          <w:sz w:val="18"/>
        </w:rPr>
        <w:t>of</w:t>
      </w:r>
      <w:r>
        <w:rPr>
          <w:spacing w:val="-4"/>
          <w:sz w:val="18"/>
        </w:rPr>
        <w:t> </w:t>
      </w:r>
      <w:r>
        <w:rPr>
          <w:sz w:val="18"/>
        </w:rPr>
        <w:t>the</w:t>
      </w:r>
      <w:r>
        <w:rPr>
          <w:spacing w:val="-3"/>
          <w:sz w:val="18"/>
        </w:rPr>
        <w:t> </w:t>
      </w:r>
      <w:r>
        <w:rPr>
          <w:sz w:val="18"/>
        </w:rPr>
        <w:t>European</w:t>
      </w:r>
      <w:r>
        <w:rPr>
          <w:spacing w:val="-4"/>
          <w:sz w:val="18"/>
        </w:rPr>
        <w:t> </w:t>
      </w:r>
      <w:r>
        <w:rPr>
          <w:sz w:val="18"/>
        </w:rPr>
        <w:t>Parliament</w:t>
      </w:r>
      <w:r>
        <w:rPr>
          <w:spacing w:val="-3"/>
          <w:sz w:val="18"/>
        </w:rPr>
        <w:t> </w:t>
      </w:r>
      <w:r>
        <w:rPr>
          <w:sz w:val="18"/>
        </w:rPr>
        <w:t>and</w:t>
      </w:r>
      <w:r>
        <w:rPr>
          <w:spacing w:val="-4"/>
          <w:sz w:val="18"/>
        </w:rPr>
        <w:t> </w:t>
      </w:r>
      <w:r>
        <w:rPr>
          <w:sz w:val="18"/>
        </w:rPr>
        <w:t>of</w:t>
      </w:r>
      <w:r>
        <w:rPr>
          <w:spacing w:val="-4"/>
          <w:sz w:val="18"/>
        </w:rPr>
        <w:t> </w:t>
      </w:r>
      <w:r>
        <w:rPr>
          <w:sz w:val="18"/>
        </w:rPr>
        <w:t>the</w:t>
      </w:r>
      <w:r>
        <w:rPr>
          <w:spacing w:val="-3"/>
          <w:sz w:val="18"/>
        </w:rPr>
        <w:t> </w:t>
      </w:r>
      <w:r>
        <w:rPr>
          <w:sz w:val="18"/>
        </w:rPr>
        <w:t>Council</w:t>
      </w:r>
      <w:r>
        <w:rPr>
          <w:spacing w:val="-4"/>
          <w:sz w:val="18"/>
        </w:rPr>
        <w:t> </w:t>
      </w:r>
      <w:r>
        <w:rPr>
          <w:sz w:val="18"/>
        </w:rPr>
        <w:t>on</w:t>
      </w:r>
      <w:r>
        <w:rPr>
          <w:spacing w:val="-4"/>
          <w:sz w:val="18"/>
        </w:rPr>
        <w:t> </w:t>
      </w:r>
      <w:r>
        <w:rPr>
          <w:sz w:val="18"/>
        </w:rPr>
        <w:t>standards</w:t>
      </w:r>
      <w:r>
        <w:rPr>
          <w:spacing w:val="-4"/>
          <w:sz w:val="18"/>
        </w:rPr>
        <w:t> </w:t>
      </w:r>
      <w:r>
        <w:rPr>
          <w:sz w:val="18"/>
        </w:rPr>
        <w:t>for</w:t>
      </w:r>
      <w:r>
        <w:rPr>
          <w:spacing w:val="-3"/>
          <w:sz w:val="18"/>
        </w:rPr>
        <w:t> </w:t>
      </w:r>
      <w:r>
        <w:rPr>
          <w:sz w:val="18"/>
        </w:rPr>
        <w:t>equality</w:t>
      </w:r>
      <w:r>
        <w:rPr>
          <w:spacing w:val="-3"/>
          <w:sz w:val="18"/>
        </w:rPr>
        <w:t> </w:t>
      </w:r>
      <w:r>
        <w:rPr>
          <w:sz w:val="18"/>
        </w:rPr>
        <w:t>bodies in the field of equal treatment and equal opportunities between women and men in matters of employment and occupation, and deleting Article 20 of Directive 2006/54/EC and Article 11 of Directive 2010/41/EU’ (EU Commission, </w:t>
      </w:r>
      <w:r>
        <w:rPr>
          <w:spacing w:val="-2"/>
          <w:sz w:val="18"/>
        </w:rPr>
        <w:t>2022).</w:t>
      </w:r>
    </w:p>
    <w:p>
      <w:pPr>
        <w:pStyle w:val="ListParagraph"/>
        <w:numPr>
          <w:ilvl w:val="0"/>
          <w:numId w:val="3"/>
        </w:numPr>
        <w:tabs>
          <w:tab w:pos="1853" w:val="left" w:leader="none"/>
        </w:tabs>
        <w:spacing w:line="235" w:lineRule="auto" w:before="3" w:after="0"/>
        <w:ind w:left="1853" w:right="1184" w:hanging="720"/>
        <w:jc w:val="left"/>
        <w:rPr>
          <w:sz w:val="18"/>
        </w:rPr>
      </w:pPr>
      <w:r>
        <w:rPr>
          <w:sz w:val="18"/>
        </w:rPr>
        <w:t>EU</w:t>
      </w:r>
      <w:r>
        <w:rPr>
          <w:spacing w:val="-3"/>
          <w:sz w:val="18"/>
        </w:rPr>
        <w:t> </w:t>
      </w:r>
      <w:r>
        <w:rPr>
          <w:sz w:val="18"/>
        </w:rPr>
        <w:t>Commission,</w:t>
      </w:r>
      <w:r>
        <w:rPr>
          <w:spacing w:val="-3"/>
          <w:sz w:val="18"/>
        </w:rPr>
        <w:t> </w:t>
      </w:r>
      <w:r>
        <w:rPr>
          <w:sz w:val="18"/>
        </w:rPr>
        <w:t>‘Proposal</w:t>
      </w:r>
      <w:r>
        <w:rPr>
          <w:spacing w:val="-4"/>
          <w:sz w:val="18"/>
        </w:rPr>
        <w:t> </w:t>
      </w:r>
      <w:r>
        <w:rPr>
          <w:sz w:val="18"/>
        </w:rPr>
        <w:t>for</w:t>
      </w:r>
      <w:r>
        <w:rPr>
          <w:spacing w:val="-3"/>
          <w:sz w:val="18"/>
        </w:rPr>
        <w:t> </w:t>
      </w:r>
      <w:r>
        <w:rPr>
          <w:sz w:val="18"/>
        </w:rPr>
        <w:t>a</w:t>
      </w:r>
      <w:r>
        <w:rPr>
          <w:spacing w:val="-4"/>
          <w:sz w:val="18"/>
        </w:rPr>
        <w:t> </w:t>
      </w:r>
      <w:r>
        <w:rPr>
          <w:sz w:val="18"/>
        </w:rPr>
        <w:t>Council</w:t>
      </w:r>
      <w:r>
        <w:rPr>
          <w:spacing w:val="-4"/>
          <w:sz w:val="18"/>
        </w:rPr>
        <w:t> </w:t>
      </w:r>
      <w:r>
        <w:rPr>
          <w:sz w:val="18"/>
        </w:rPr>
        <w:t>Directive</w:t>
      </w:r>
      <w:r>
        <w:rPr>
          <w:spacing w:val="-3"/>
          <w:sz w:val="18"/>
        </w:rPr>
        <w:t> </w:t>
      </w:r>
      <w:r>
        <w:rPr>
          <w:sz w:val="18"/>
        </w:rPr>
        <w:t>on</w:t>
      </w:r>
      <w:r>
        <w:rPr>
          <w:spacing w:val="-4"/>
          <w:sz w:val="18"/>
        </w:rPr>
        <w:t> </w:t>
      </w:r>
      <w:r>
        <w:rPr>
          <w:sz w:val="18"/>
        </w:rPr>
        <w:t>standards</w:t>
      </w:r>
      <w:r>
        <w:rPr>
          <w:spacing w:val="-4"/>
          <w:sz w:val="18"/>
        </w:rPr>
        <w:t> </w:t>
      </w:r>
      <w:r>
        <w:rPr>
          <w:sz w:val="18"/>
        </w:rPr>
        <w:t>for</w:t>
      </w:r>
      <w:r>
        <w:rPr>
          <w:spacing w:val="-3"/>
          <w:sz w:val="18"/>
        </w:rPr>
        <w:t> </w:t>
      </w:r>
      <w:r>
        <w:rPr>
          <w:sz w:val="18"/>
        </w:rPr>
        <w:t>equality</w:t>
      </w:r>
      <w:r>
        <w:rPr>
          <w:spacing w:val="-3"/>
          <w:sz w:val="18"/>
        </w:rPr>
        <w:t> </w:t>
      </w:r>
      <w:r>
        <w:rPr>
          <w:sz w:val="18"/>
        </w:rPr>
        <w:t>bodies</w:t>
      </w:r>
      <w:r>
        <w:rPr>
          <w:spacing w:val="-4"/>
          <w:sz w:val="18"/>
        </w:rPr>
        <w:t> </w:t>
      </w:r>
      <w:r>
        <w:rPr>
          <w:sz w:val="18"/>
        </w:rPr>
        <w:t>in</w:t>
      </w:r>
      <w:r>
        <w:rPr>
          <w:spacing w:val="-4"/>
          <w:sz w:val="18"/>
        </w:rPr>
        <w:t> </w:t>
      </w:r>
      <w:r>
        <w:rPr>
          <w:sz w:val="18"/>
        </w:rPr>
        <w:t>the</w:t>
      </w:r>
      <w:r>
        <w:rPr>
          <w:spacing w:val="-3"/>
          <w:sz w:val="18"/>
        </w:rPr>
        <w:t> </w:t>
      </w:r>
      <w:r>
        <w:rPr>
          <w:sz w:val="18"/>
        </w:rPr>
        <w:t>field</w:t>
      </w:r>
      <w:r>
        <w:rPr>
          <w:spacing w:val="-4"/>
          <w:sz w:val="18"/>
        </w:rPr>
        <w:t> </w:t>
      </w:r>
      <w:r>
        <w:rPr>
          <w:sz w:val="18"/>
        </w:rPr>
        <w:t>of</w:t>
      </w:r>
      <w:r>
        <w:rPr>
          <w:spacing w:val="-4"/>
          <w:sz w:val="18"/>
        </w:rPr>
        <w:t> </w:t>
      </w:r>
      <w:r>
        <w:rPr>
          <w:sz w:val="18"/>
        </w:rPr>
        <w:t>equal</w:t>
      </w:r>
      <w:r>
        <w:rPr>
          <w:spacing w:val="-4"/>
          <w:sz w:val="18"/>
        </w:rPr>
        <w:t> </w:t>
      </w:r>
      <w:r>
        <w:rPr>
          <w:sz w:val="18"/>
        </w:rPr>
        <w:t>treatment</w:t>
      </w:r>
      <w:r>
        <w:rPr>
          <w:spacing w:val="-3"/>
          <w:sz w:val="18"/>
        </w:rPr>
        <w:t> </w:t>
      </w:r>
      <w:r>
        <w:rPr>
          <w:sz w:val="18"/>
        </w:rPr>
        <w:t>between persons irrespective of their racial or ethnic origin, equal treatment in the field of employment and occupation between persons irrespective of their religion or belief, disability, age or sexual orientation, equal treatment between women and men in matters of social security and in the access to and supply of goods and services - COM(2022) 689’, (EU</w:t>
      </w:r>
      <w:r>
        <w:rPr>
          <w:sz w:val="18"/>
        </w:rPr>
        <w:t> Commission, 2022).</w:t>
      </w:r>
    </w:p>
    <w:p>
      <w:pPr>
        <w:pStyle w:val="ListParagraph"/>
        <w:numPr>
          <w:ilvl w:val="0"/>
          <w:numId w:val="3"/>
        </w:numPr>
        <w:tabs>
          <w:tab w:pos="1853" w:val="left" w:leader="none"/>
        </w:tabs>
        <w:spacing w:line="235" w:lineRule="auto" w:before="3" w:after="0"/>
        <w:ind w:left="1853" w:right="1635" w:hanging="720"/>
        <w:jc w:val="left"/>
        <w:rPr>
          <w:sz w:val="18"/>
        </w:rPr>
      </w:pPr>
      <w:r>
        <w:rPr>
          <w:sz w:val="18"/>
        </w:rPr>
        <w:t>Council</w:t>
      </w:r>
      <w:r>
        <w:rPr>
          <w:spacing w:val="-5"/>
          <w:sz w:val="18"/>
        </w:rPr>
        <w:t> </w:t>
      </w:r>
      <w:r>
        <w:rPr>
          <w:sz w:val="18"/>
        </w:rPr>
        <w:t>of</w:t>
      </w:r>
      <w:r>
        <w:rPr>
          <w:spacing w:val="-5"/>
          <w:sz w:val="18"/>
        </w:rPr>
        <w:t> </w:t>
      </w:r>
      <w:r>
        <w:rPr>
          <w:sz w:val="18"/>
        </w:rPr>
        <w:t>EU,</w:t>
      </w:r>
      <w:r>
        <w:rPr>
          <w:spacing w:val="-4"/>
          <w:sz w:val="18"/>
        </w:rPr>
        <w:t> </w:t>
      </w:r>
      <w:r>
        <w:rPr>
          <w:sz w:val="18"/>
        </w:rPr>
        <w:t>’Press</w:t>
      </w:r>
      <w:r>
        <w:rPr>
          <w:spacing w:val="-5"/>
          <w:sz w:val="18"/>
        </w:rPr>
        <w:t> </w:t>
      </w:r>
      <w:r>
        <w:rPr>
          <w:sz w:val="18"/>
        </w:rPr>
        <w:t>release:</w:t>
      </w:r>
      <w:r>
        <w:rPr>
          <w:spacing w:val="-9"/>
          <w:sz w:val="18"/>
        </w:rPr>
        <w:t> </w:t>
      </w:r>
      <w:hyperlink r:id="rId99">
        <w:r>
          <w:rPr>
            <w:sz w:val="18"/>
          </w:rPr>
          <w:t>Equality</w:t>
        </w:r>
        <w:r>
          <w:rPr>
            <w:spacing w:val="-4"/>
            <w:sz w:val="18"/>
          </w:rPr>
          <w:t> </w:t>
        </w:r>
        <w:r>
          <w:rPr>
            <w:sz w:val="18"/>
          </w:rPr>
          <w:t>bodies:</w:t>
        </w:r>
        <w:r>
          <w:rPr>
            <w:spacing w:val="-4"/>
            <w:sz w:val="18"/>
          </w:rPr>
          <w:t> </w:t>
        </w:r>
        <w:r>
          <w:rPr>
            <w:sz w:val="18"/>
          </w:rPr>
          <w:t>Council</w:t>
        </w:r>
        <w:r>
          <w:rPr>
            <w:spacing w:val="-5"/>
            <w:sz w:val="18"/>
          </w:rPr>
          <w:t> </w:t>
        </w:r>
        <w:r>
          <w:rPr>
            <w:sz w:val="18"/>
          </w:rPr>
          <w:t>agrees</w:t>
        </w:r>
        <w:r>
          <w:rPr>
            <w:spacing w:val="-5"/>
            <w:sz w:val="18"/>
          </w:rPr>
          <w:t> </w:t>
        </w:r>
        <w:r>
          <w:rPr>
            <w:sz w:val="18"/>
          </w:rPr>
          <w:t>on</w:t>
        </w:r>
        <w:r>
          <w:rPr>
            <w:spacing w:val="-5"/>
            <w:sz w:val="18"/>
          </w:rPr>
          <w:t> </w:t>
        </w:r>
        <w:r>
          <w:rPr>
            <w:sz w:val="18"/>
          </w:rPr>
          <w:t>final</w:t>
        </w:r>
        <w:r>
          <w:rPr>
            <w:spacing w:val="-5"/>
            <w:sz w:val="18"/>
          </w:rPr>
          <w:t> </w:t>
        </w:r>
        <w:r>
          <w:rPr>
            <w:sz w:val="18"/>
          </w:rPr>
          <w:t>text</w:t>
        </w:r>
        <w:r>
          <w:rPr>
            <w:spacing w:val="-4"/>
            <w:sz w:val="18"/>
          </w:rPr>
          <w:t> </w:t>
        </w:r>
        <w:r>
          <w:rPr>
            <w:sz w:val="18"/>
          </w:rPr>
          <w:t>to</w:t>
        </w:r>
        <w:r>
          <w:rPr>
            <w:spacing w:val="-5"/>
            <w:sz w:val="18"/>
          </w:rPr>
          <w:t> </w:t>
        </w:r>
        <w:r>
          <w:rPr>
            <w:sz w:val="18"/>
          </w:rPr>
          <w:t>strengthen</w:t>
        </w:r>
        <w:r>
          <w:rPr>
            <w:spacing w:val="-5"/>
            <w:sz w:val="18"/>
          </w:rPr>
          <w:t> </w:t>
        </w:r>
        <w:r>
          <w:rPr>
            <w:sz w:val="18"/>
          </w:rPr>
          <w:t>their</w:t>
        </w:r>
        <w:r>
          <w:rPr>
            <w:spacing w:val="-4"/>
            <w:sz w:val="18"/>
          </w:rPr>
          <w:t> </w:t>
        </w:r>
        <w:r>
          <w:rPr>
            <w:sz w:val="18"/>
          </w:rPr>
          <w:t>role</w:t>
        </w:r>
        <w:r>
          <w:rPr>
            <w:spacing w:val="-4"/>
            <w:sz w:val="18"/>
          </w:rPr>
          <w:t> </w:t>
        </w:r>
        <w:r>
          <w:rPr>
            <w:sz w:val="18"/>
          </w:rPr>
          <w:t>across</w:t>
        </w:r>
        <w:r>
          <w:rPr>
            <w:spacing w:val="-5"/>
            <w:sz w:val="18"/>
          </w:rPr>
          <w:t> </w:t>
        </w:r>
        <w:r>
          <w:rPr>
            <w:sz w:val="18"/>
          </w:rPr>
          <w:t>the</w:t>
        </w:r>
        <w:r>
          <w:rPr>
            <w:spacing w:val="-4"/>
            <w:sz w:val="18"/>
          </w:rPr>
          <w:t> </w:t>
        </w:r>
        <w:r>
          <w:rPr>
            <w:sz w:val="18"/>
          </w:rPr>
          <w:t>EU’,</w:t>
        </w:r>
      </w:hyperlink>
      <w:r>
        <w:rPr>
          <w:spacing w:val="26"/>
          <w:sz w:val="18"/>
        </w:rPr>
        <w:t> </w:t>
      </w:r>
      <w:r>
        <w:rPr>
          <w:sz w:val="18"/>
        </w:rPr>
        <w:t>20 February 2024.</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pPr>
      <w:r>
        <w:rPr/>
        <w:t>training.</w:t>
      </w:r>
      <w:r>
        <w:rPr>
          <w:vertAlign w:val="superscript"/>
        </w:rPr>
        <w:t>186</w:t>
      </w:r>
      <w:r>
        <w:rPr>
          <w:spacing w:val="-11"/>
          <w:vertAlign w:val="baseline"/>
        </w:rPr>
        <w:t> </w:t>
      </w:r>
      <w:r>
        <w:rPr>
          <w:vertAlign w:val="baseline"/>
        </w:rPr>
        <w:t>The</w:t>
      </w:r>
      <w:r>
        <w:rPr>
          <w:spacing w:val="-10"/>
          <w:vertAlign w:val="baseline"/>
        </w:rPr>
        <w:t> </w:t>
      </w:r>
      <w:r>
        <w:rPr>
          <w:vertAlign w:val="baseline"/>
        </w:rPr>
        <w:t>obligation</w:t>
      </w:r>
      <w:r>
        <w:rPr>
          <w:spacing w:val="-11"/>
          <w:vertAlign w:val="baseline"/>
        </w:rPr>
        <w:t> </w:t>
      </w:r>
      <w:r>
        <w:rPr>
          <w:vertAlign w:val="baseline"/>
        </w:rPr>
        <w:t>also</w:t>
      </w:r>
      <w:r>
        <w:rPr>
          <w:spacing w:val="-11"/>
          <w:vertAlign w:val="baseline"/>
        </w:rPr>
        <w:t> </w:t>
      </w:r>
      <w:r>
        <w:rPr>
          <w:vertAlign w:val="baseline"/>
        </w:rPr>
        <w:t>requires</w:t>
      </w:r>
      <w:r>
        <w:rPr>
          <w:spacing w:val="-11"/>
          <w:vertAlign w:val="baseline"/>
        </w:rPr>
        <w:t> </w:t>
      </w:r>
      <w:r>
        <w:rPr>
          <w:vertAlign w:val="baseline"/>
        </w:rPr>
        <w:t>compliance</w:t>
      </w:r>
      <w:r>
        <w:rPr>
          <w:spacing w:val="-10"/>
          <w:vertAlign w:val="baseline"/>
        </w:rPr>
        <w:t> </w:t>
      </w:r>
      <w:r>
        <w:rPr>
          <w:vertAlign w:val="baseline"/>
        </w:rPr>
        <w:t>with</w:t>
      </w:r>
      <w:r>
        <w:rPr>
          <w:spacing w:val="-10"/>
          <w:vertAlign w:val="baseline"/>
        </w:rPr>
        <w:t> </w:t>
      </w:r>
      <w:r>
        <w:rPr>
          <w:vertAlign w:val="baseline"/>
        </w:rPr>
        <w:t>current</w:t>
      </w:r>
      <w:r>
        <w:rPr>
          <w:spacing w:val="-10"/>
          <w:vertAlign w:val="baseline"/>
        </w:rPr>
        <w:t> </w:t>
      </w:r>
      <w:r>
        <w:rPr>
          <w:vertAlign w:val="baseline"/>
        </w:rPr>
        <w:t>and</w:t>
      </w:r>
      <w:r>
        <w:rPr>
          <w:spacing w:val="-11"/>
          <w:vertAlign w:val="baseline"/>
        </w:rPr>
        <w:t> </w:t>
      </w:r>
      <w:r>
        <w:rPr>
          <w:vertAlign w:val="baseline"/>
        </w:rPr>
        <w:t>future CJEU case-law.</w:t>
      </w:r>
    </w:p>
    <w:p>
      <w:pPr>
        <w:pStyle w:val="ListParagraph"/>
        <w:numPr>
          <w:ilvl w:val="1"/>
          <w:numId w:val="7"/>
        </w:numPr>
        <w:tabs>
          <w:tab w:pos="1853" w:val="left" w:leader="none"/>
        </w:tabs>
        <w:spacing w:line="225" w:lineRule="auto" w:before="318" w:after="0"/>
        <w:ind w:left="1853" w:right="1130" w:hanging="720"/>
        <w:jc w:val="left"/>
        <w:rPr>
          <w:sz w:val="28"/>
        </w:rPr>
      </w:pPr>
      <w:r>
        <w:rPr>
          <w:sz w:val="28"/>
        </w:rPr>
        <w:t>While there is NI legislation prohibiting age discrimination in the areas of employment and occupation, further and higher education and vocational training,</w:t>
      </w:r>
      <w:r>
        <w:rPr>
          <w:sz w:val="28"/>
          <w:vertAlign w:val="superscript"/>
        </w:rPr>
        <w:t>187</w:t>
      </w:r>
      <w:r>
        <w:rPr>
          <w:sz w:val="28"/>
          <w:vertAlign w:val="baseline"/>
        </w:rPr>
        <w:t> there is currently no equality legislation</w:t>
      </w:r>
      <w:r>
        <w:rPr>
          <w:spacing w:val="40"/>
          <w:sz w:val="28"/>
          <w:vertAlign w:val="baseline"/>
        </w:rPr>
        <w:t> </w:t>
      </w:r>
      <w:r>
        <w:rPr>
          <w:sz w:val="28"/>
          <w:vertAlign w:val="baseline"/>
        </w:rPr>
        <w:t>prohibiting discrimination in</w:t>
      </w:r>
      <w:r>
        <w:rPr>
          <w:spacing w:val="-5"/>
          <w:sz w:val="28"/>
          <w:vertAlign w:val="baseline"/>
        </w:rPr>
        <w:t> </w:t>
      </w:r>
      <w:r>
        <w:rPr>
          <w:sz w:val="28"/>
          <w:vertAlign w:val="baseline"/>
        </w:rPr>
        <w:t>the</w:t>
      </w:r>
      <w:r>
        <w:rPr>
          <w:spacing w:val="-5"/>
          <w:sz w:val="28"/>
          <w:vertAlign w:val="baseline"/>
        </w:rPr>
        <w:t> </w:t>
      </w:r>
      <w:r>
        <w:rPr>
          <w:sz w:val="28"/>
          <w:vertAlign w:val="baseline"/>
        </w:rPr>
        <w:t>provision</w:t>
      </w:r>
      <w:r>
        <w:rPr>
          <w:spacing w:val="-5"/>
          <w:sz w:val="28"/>
          <w:vertAlign w:val="baseline"/>
        </w:rPr>
        <w:t> </w:t>
      </w:r>
      <w:r>
        <w:rPr>
          <w:sz w:val="28"/>
          <w:vertAlign w:val="baseline"/>
        </w:rPr>
        <w:t>of</w:t>
      </w:r>
      <w:r>
        <w:rPr>
          <w:spacing w:val="-5"/>
          <w:sz w:val="28"/>
          <w:vertAlign w:val="baseline"/>
        </w:rPr>
        <w:t> </w:t>
      </w:r>
      <w:r>
        <w:rPr>
          <w:sz w:val="28"/>
          <w:vertAlign w:val="baseline"/>
        </w:rPr>
        <w:t>goods,</w:t>
      </w:r>
      <w:r>
        <w:rPr>
          <w:spacing w:val="-5"/>
          <w:sz w:val="28"/>
          <w:vertAlign w:val="baseline"/>
        </w:rPr>
        <w:t> </w:t>
      </w:r>
      <w:r>
        <w:rPr>
          <w:sz w:val="28"/>
          <w:vertAlign w:val="baseline"/>
        </w:rPr>
        <w:t>facilities</w:t>
      </w:r>
      <w:r>
        <w:rPr>
          <w:spacing w:val="-5"/>
          <w:sz w:val="28"/>
          <w:vertAlign w:val="baseline"/>
        </w:rPr>
        <w:t> </w:t>
      </w:r>
      <w:r>
        <w:rPr>
          <w:sz w:val="28"/>
          <w:vertAlign w:val="baseline"/>
        </w:rPr>
        <w:t>and</w:t>
      </w:r>
      <w:r>
        <w:rPr>
          <w:spacing w:val="-5"/>
          <w:sz w:val="28"/>
          <w:vertAlign w:val="baseline"/>
        </w:rPr>
        <w:t> </w:t>
      </w:r>
      <w:r>
        <w:rPr>
          <w:sz w:val="28"/>
          <w:vertAlign w:val="baseline"/>
        </w:rPr>
        <w:t>services</w:t>
      </w:r>
      <w:r>
        <w:rPr>
          <w:spacing w:val="-5"/>
          <w:sz w:val="28"/>
          <w:vertAlign w:val="baseline"/>
        </w:rPr>
        <w:t> </w:t>
      </w:r>
      <w:r>
        <w:rPr>
          <w:sz w:val="28"/>
          <w:vertAlign w:val="baseline"/>
        </w:rPr>
        <w:t>in</w:t>
      </w:r>
      <w:r>
        <w:rPr>
          <w:spacing w:val="-5"/>
          <w:sz w:val="28"/>
          <w:vertAlign w:val="baseline"/>
        </w:rPr>
        <w:t> </w:t>
      </w:r>
      <w:r>
        <w:rPr>
          <w:sz w:val="28"/>
          <w:vertAlign w:val="baseline"/>
        </w:rPr>
        <w:t>NI</w:t>
      </w:r>
      <w:r>
        <w:rPr>
          <w:spacing w:val="-5"/>
          <w:sz w:val="28"/>
          <w:vertAlign w:val="baseline"/>
        </w:rPr>
        <w:t> </w:t>
      </w:r>
      <w:r>
        <w:rPr>
          <w:sz w:val="28"/>
          <w:vertAlign w:val="baseline"/>
        </w:rPr>
        <w:t>on</w:t>
      </w:r>
      <w:r>
        <w:rPr>
          <w:spacing w:val="-5"/>
          <w:sz w:val="28"/>
          <w:vertAlign w:val="baseline"/>
        </w:rPr>
        <w:t> </w:t>
      </w:r>
      <w:r>
        <w:rPr>
          <w:sz w:val="28"/>
          <w:vertAlign w:val="baseline"/>
        </w:rPr>
        <w:t>the</w:t>
      </w:r>
      <w:r>
        <w:rPr>
          <w:spacing w:val="-5"/>
          <w:sz w:val="28"/>
          <w:vertAlign w:val="baseline"/>
        </w:rPr>
        <w:t> </w:t>
      </w:r>
      <w:r>
        <w:rPr>
          <w:sz w:val="28"/>
          <w:vertAlign w:val="baseline"/>
        </w:rPr>
        <w:t>basis</w:t>
      </w:r>
      <w:r>
        <w:rPr>
          <w:spacing w:val="-5"/>
          <w:sz w:val="28"/>
          <w:vertAlign w:val="baseline"/>
        </w:rPr>
        <w:t> </w:t>
      </w:r>
      <w:r>
        <w:rPr>
          <w:sz w:val="28"/>
          <w:vertAlign w:val="baseline"/>
        </w:rPr>
        <w:t>of</w:t>
      </w:r>
      <w:r>
        <w:rPr>
          <w:spacing w:val="-5"/>
          <w:sz w:val="28"/>
          <w:vertAlign w:val="baseline"/>
        </w:rPr>
        <w:t> </w:t>
      </w:r>
      <w:r>
        <w:rPr>
          <w:sz w:val="28"/>
          <w:vertAlign w:val="baseline"/>
        </w:rPr>
        <w:t>age,</w:t>
      </w:r>
      <w:r>
        <w:rPr>
          <w:spacing w:val="-5"/>
          <w:sz w:val="28"/>
          <w:vertAlign w:val="baseline"/>
        </w:rPr>
        <w:t> </w:t>
      </w:r>
      <w:r>
        <w:rPr>
          <w:sz w:val="28"/>
          <w:vertAlign w:val="baseline"/>
        </w:rPr>
        <w:t>unlike in Great Britain and Ireland.</w:t>
      </w:r>
      <w:r>
        <w:rPr>
          <w:sz w:val="28"/>
          <w:vertAlign w:val="superscript"/>
        </w:rPr>
        <w:t>188</w:t>
      </w:r>
      <w:r>
        <w:rPr>
          <w:sz w:val="28"/>
          <w:vertAlign w:val="baseline"/>
        </w:rPr>
        <w:t> The Commissions have consistently called for the urgent reform of equality legislation in NI to strengthen protection for all ages and have made recommendations for change to the age discrimination legislation relating to the provision of goods, facilities, and services.</w:t>
      </w:r>
      <w:r>
        <w:rPr>
          <w:sz w:val="28"/>
          <w:vertAlign w:val="superscript"/>
        </w:rPr>
        <w:t>189</w:t>
      </w:r>
      <w:r>
        <w:rPr>
          <w:spacing w:val="40"/>
          <w:sz w:val="28"/>
          <w:vertAlign w:val="baseline"/>
        </w:rPr>
        <w:t> </w:t>
      </w:r>
      <w:r>
        <w:rPr>
          <w:sz w:val="28"/>
          <w:vertAlign w:val="baseline"/>
        </w:rPr>
        <w:t>As referenced in the Commissions’ research report on divergence of rights</w:t>
      </w:r>
      <w:r>
        <w:rPr>
          <w:sz w:val="28"/>
          <w:vertAlign w:val="superscript"/>
        </w:rPr>
        <w:t>190</w:t>
      </w:r>
      <w:r>
        <w:rPr>
          <w:sz w:val="28"/>
          <w:vertAlign w:val="baseline"/>
        </w:rPr>
        <w:t> and as set out in the Commissions’ policy recommendations,</w:t>
      </w:r>
      <w:r>
        <w:rPr>
          <w:sz w:val="28"/>
          <w:vertAlign w:val="superscript"/>
        </w:rPr>
        <w:t>191</w:t>
      </w:r>
      <w:r>
        <w:rPr>
          <w:sz w:val="28"/>
          <w:vertAlign w:val="baseline"/>
        </w:rPr>
        <w:t> this would avoid the continuing divergence of rights and ensure that NI law keeps pace with British, Irish and potentially future EU law in relation to age discrimination in the provision of goods, facilities and services.</w:t>
      </w:r>
      <w:r>
        <w:rPr>
          <w:sz w:val="28"/>
          <w:vertAlign w:val="superscript"/>
        </w:rPr>
        <w:t>192</w:t>
      </w:r>
    </w:p>
    <w:p>
      <w:pPr>
        <w:pStyle w:val="ListParagraph"/>
        <w:numPr>
          <w:ilvl w:val="1"/>
          <w:numId w:val="7"/>
        </w:numPr>
        <w:tabs>
          <w:tab w:pos="1853" w:val="left" w:leader="none"/>
        </w:tabs>
        <w:spacing w:line="225" w:lineRule="auto" w:before="303" w:after="0"/>
        <w:ind w:left="1853" w:right="1427" w:hanging="720"/>
        <w:jc w:val="left"/>
        <w:rPr>
          <w:sz w:val="28"/>
        </w:rPr>
      </w:pPr>
      <w:r>
        <w:rPr>
          <w:sz w:val="28"/>
        </w:rPr>
        <w:t>In 2015, the Office of the First Minister and Deputy First Minster (now the Executive</w:t>
      </w:r>
      <w:r>
        <w:rPr>
          <w:spacing w:val="-5"/>
          <w:sz w:val="28"/>
        </w:rPr>
        <w:t> </w:t>
      </w:r>
      <w:r>
        <w:rPr>
          <w:sz w:val="28"/>
        </w:rPr>
        <w:t>Office)</w:t>
      </w:r>
      <w:r>
        <w:rPr>
          <w:spacing w:val="-6"/>
          <w:sz w:val="28"/>
        </w:rPr>
        <w:t> </w:t>
      </w:r>
      <w:r>
        <w:rPr>
          <w:sz w:val="28"/>
        </w:rPr>
        <w:t>proposed</w:t>
      </w:r>
      <w:r>
        <w:rPr>
          <w:spacing w:val="-6"/>
          <w:sz w:val="28"/>
        </w:rPr>
        <w:t> </w:t>
      </w:r>
      <w:r>
        <w:rPr>
          <w:sz w:val="28"/>
        </w:rPr>
        <w:t>extending</w:t>
      </w:r>
      <w:r>
        <w:rPr>
          <w:spacing w:val="-5"/>
          <w:sz w:val="28"/>
        </w:rPr>
        <w:t> </w:t>
      </w:r>
      <w:r>
        <w:rPr>
          <w:sz w:val="28"/>
        </w:rPr>
        <w:t>age</w:t>
      </w:r>
      <w:r>
        <w:rPr>
          <w:spacing w:val="-5"/>
          <w:sz w:val="28"/>
        </w:rPr>
        <w:t> </w:t>
      </w:r>
      <w:r>
        <w:rPr>
          <w:sz w:val="28"/>
        </w:rPr>
        <w:t>discrimination</w:t>
      </w:r>
      <w:r>
        <w:rPr>
          <w:spacing w:val="-6"/>
          <w:sz w:val="28"/>
        </w:rPr>
        <w:t> </w:t>
      </w:r>
      <w:r>
        <w:rPr>
          <w:sz w:val="28"/>
        </w:rPr>
        <w:t>legislation</w:t>
      </w:r>
      <w:r>
        <w:rPr>
          <w:spacing w:val="-6"/>
          <w:sz w:val="28"/>
        </w:rPr>
        <w:t> </w:t>
      </w:r>
      <w:r>
        <w:rPr>
          <w:sz w:val="28"/>
        </w:rPr>
        <w:t>to</w:t>
      </w:r>
      <w:r>
        <w:rPr>
          <w:spacing w:val="-6"/>
          <w:sz w:val="28"/>
        </w:rPr>
        <w:t> </w:t>
      </w:r>
      <w:r>
        <w:rPr>
          <w:sz w:val="28"/>
        </w:rPr>
        <w:t>cover the provision of goods, facilities and services.</w:t>
      </w:r>
      <w:r>
        <w:rPr>
          <w:sz w:val="28"/>
          <w:vertAlign w:val="superscript"/>
        </w:rPr>
        <w:t>193</w:t>
      </w:r>
      <w:r>
        <w:rPr>
          <w:sz w:val="28"/>
          <w:vertAlign w:val="baseline"/>
        </w:rPr>
        <w:t> Prior to the suspension of the</w:t>
      </w:r>
      <w:r>
        <w:rPr>
          <w:spacing w:val="-11"/>
          <w:sz w:val="28"/>
          <w:vertAlign w:val="baseline"/>
        </w:rPr>
        <w:t> </w:t>
      </w:r>
      <w:r>
        <w:rPr>
          <w:sz w:val="28"/>
          <w:vertAlign w:val="baseline"/>
        </w:rPr>
        <w:t>NI</w:t>
      </w:r>
      <w:r>
        <w:rPr>
          <w:spacing w:val="-11"/>
          <w:sz w:val="28"/>
          <w:vertAlign w:val="baseline"/>
        </w:rPr>
        <w:t> </w:t>
      </w:r>
      <w:r>
        <w:rPr>
          <w:sz w:val="28"/>
          <w:vertAlign w:val="baseline"/>
        </w:rPr>
        <w:t>Executive</w:t>
      </w:r>
      <w:r>
        <w:rPr>
          <w:spacing w:val="-11"/>
          <w:sz w:val="28"/>
          <w:vertAlign w:val="baseline"/>
        </w:rPr>
        <w:t> </w:t>
      </w:r>
      <w:r>
        <w:rPr>
          <w:sz w:val="28"/>
          <w:vertAlign w:val="baseline"/>
        </w:rPr>
        <w:t>and</w:t>
      </w:r>
      <w:r>
        <w:rPr>
          <w:spacing w:val="-12"/>
          <w:sz w:val="28"/>
          <w:vertAlign w:val="baseline"/>
        </w:rPr>
        <w:t> </w:t>
      </w:r>
      <w:r>
        <w:rPr>
          <w:sz w:val="28"/>
          <w:vertAlign w:val="baseline"/>
        </w:rPr>
        <w:t>Assembly,</w:t>
      </w:r>
      <w:r>
        <w:rPr>
          <w:spacing w:val="-11"/>
          <w:sz w:val="28"/>
          <w:vertAlign w:val="baseline"/>
        </w:rPr>
        <w:t> </w:t>
      </w:r>
      <w:r>
        <w:rPr>
          <w:sz w:val="28"/>
          <w:vertAlign w:val="baseline"/>
        </w:rPr>
        <w:t>officials</w:t>
      </w:r>
      <w:r>
        <w:rPr>
          <w:spacing w:val="-12"/>
          <w:sz w:val="28"/>
          <w:vertAlign w:val="baseline"/>
        </w:rPr>
        <w:t> </w:t>
      </w:r>
      <w:r>
        <w:rPr>
          <w:sz w:val="28"/>
          <w:vertAlign w:val="baseline"/>
        </w:rPr>
        <w:t>were</w:t>
      </w:r>
      <w:r>
        <w:rPr>
          <w:spacing w:val="-11"/>
          <w:sz w:val="28"/>
          <w:vertAlign w:val="baseline"/>
        </w:rPr>
        <w:t> </w:t>
      </w:r>
      <w:r>
        <w:rPr>
          <w:sz w:val="28"/>
          <w:vertAlign w:val="baseline"/>
        </w:rPr>
        <w:t>considering</w:t>
      </w:r>
      <w:r>
        <w:rPr>
          <w:spacing w:val="-11"/>
          <w:sz w:val="28"/>
          <w:vertAlign w:val="baseline"/>
        </w:rPr>
        <w:t> </w:t>
      </w:r>
      <w:r>
        <w:rPr>
          <w:sz w:val="28"/>
          <w:vertAlign w:val="baseline"/>
        </w:rPr>
        <w:t>next</w:t>
      </w:r>
      <w:r>
        <w:rPr>
          <w:spacing w:val="-11"/>
          <w:sz w:val="28"/>
          <w:vertAlign w:val="baseline"/>
        </w:rPr>
        <w:t> </w:t>
      </w:r>
      <w:r>
        <w:rPr>
          <w:sz w:val="28"/>
          <w:vertAlign w:val="baseline"/>
        </w:rPr>
        <w:t>steps.</w:t>
      </w:r>
      <w:r>
        <w:rPr>
          <w:sz w:val="28"/>
          <w:vertAlign w:val="superscript"/>
        </w:rPr>
        <w:t>194</w:t>
      </w:r>
      <w:r>
        <w:rPr>
          <w:spacing w:val="-12"/>
          <w:sz w:val="28"/>
          <w:vertAlign w:val="baseline"/>
        </w:rPr>
        <w:t> </w:t>
      </w:r>
      <w:r>
        <w:rPr>
          <w:sz w:val="28"/>
          <w:vertAlign w:val="baseline"/>
        </w:rPr>
        <w:t>As</w:t>
      </w:r>
      <w:r>
        <w:rPr>
          <w:spacing w:val="-12"/>
          <w:sz w:val="28"/>
          <w:vertAlign w:val="baseline"/>
        </w:rPr>
        <w:t> </w:t>
      </w:r>
      <w:r>
        <w:rPr>
          <w:sz w:val="28"/>
          <w:vertAlign w:val="baseline"/>
        </w:rPr>
        <w:t>of March 2024, no further progress had been made.</w:t>
      </w:r>
      <w:r>
        <w:rPr>
          <w:sz w:val="28"/>
          <w:vertAlign w:val="superscript"/>
        </w:rPr>
        <w:t>195</w:t>
      </w:r>
    </w:p>
    <w:p>
      <w:pPr>
        <w:pStyle w:val="ListParagraph"/>
        <w:numPr>
          <w:ilvl w:val="1"/>
          <w:numId w:val="7"/>
        </w:numPr>
        <w:tabs>
          <w:tab w:pos="1853" w:val="left" w:leader="none"/>
        </w:tabs>
        <w:spacing w:line="225" w:lineRule="auto" w:before="314" w:after="0"/>
        <w:ind w:left="1853" w:right="1327" w:hanging="720"/>
        <w:jc w:val="left"/>
        <w:rPr>
          <w:sz w:val="28"/>
        </w:rPr>
      </w:pPr>
      <w:r>
        <w:rPr>
          <w:sz w:val="28"/>
        </w:rPr>
        <w:t>In June 2023, the UN CRC Committee found that there was “insufficient progress in ensuring protection of all children under 18 years of age against discrimination</w:t>
      </w:r>
      <w:r>
        <w:rPr>
          <w:spacing w:val="-14"/>
          <w:sz w:val="28"/>
        </w:rPr>
        <w:t> </w:t>
      </w:r>
      <w:r>
        <w:rPr>
          <w:sz w:val="28"/>
        </w:rPr>
        <w:t>on</w:t>
      </w:r>
      <w:r>
        <w:rPr>
          <w:spacing w:val="-14"/>
          <w:sz w:val="28"/>
        </w:rPr>
        <w:t> </w:t>
      </w:r>
      <w:r>
        <w:rPr>
          <w:sz w:val="28"/>
        </w:rPr>
        <w:t>the</w:t>
      </w:r>
      <w:r>
        <w:rPr>
          <w:spacing w:val="-13"/>
          <w:sz w:val="28"/>
        </w:rPr>
        <w:t> </w:t>
      </w:r>
      <w:r>
        <w:rPr>
          <w:sz w:val="28"/>
        </w:rPr>
        <w:t>grounds</w:t>
      </w:r>
      <w:r>
        <w:rPr>
          <w:spacing w:val="-14"/>
          <w:sz w:val="28"/>
        </w:rPr>
        <w:t> </w:t>
      </w:r>
      <w:r>
        <w:rPr>
          <w:sz w:val="28"/>
        </w:rPr>
        <w:t>of</w:t>
      </w:r>
      <w:r>
        <w:rPr>
          <w:spacing w:val="-14"/>
          <w:sz w:val="28"/>
        </w:rPr>
        <w:t> </w:t>
      </w:r>
      <w:r>
        <w:rPr>
          <w:sz w:val="28"/>
        </w:rPr>
        <w:t>their</w:t>
      </w:r>
      <w:r>
        <w:rPr>
          <w:spacing w:val="-13"/>
          <w:sz w:val="28"/>
        </w:rPr>
        <w:t> </w:t>
      </w:r>
      <w:r>
        <w:rPr>
          <w:sz w:val="28"/>
        </w:rPr>
        <w:t>age”.</w:t>
      </w:r>
      <w:r>
        <w:rPr>
          <w:sz w:val="28"/>
          <w:vertAlign w:val="superscript"/>
        </w:rPr>
        <w:t>196</w:t>
      </w:r>
      <w:r>
        <w:rPr>
          <w:spacing w:val="-14"/>
          <w:sz w:val="28"/>
          <w:vertAlign w:val="baseline"/>
        </w:rPr>
        <w:t> </w:t>
      </w:r>
      <w:r>
        <w:rPr>
          <w:sz w:val="28"/>
          <w:vertAlign w:val="baseline"/>
        </w:rPr>
        <w:t>The</w:t>
      </w:r>
      <w:r>
        <w:rPr>
          <w:spacing w:val="-13"/>
          <w:sz w:val="28"/>
          <w:vertAlign w:val="baseline"/>
        </w:rPr>
        <w:t> </w:t>
      </w:r>
      <w:r>
        <w:rPr>
          <w:sz w:val="28"/>
          <w:vertAlign w:val="baseline"/>
        </w:rPr>
        <w:t>Committee</w:t>
      </w:r>
      <w:r>
        <w:rPr>
          <w:spacing w:val="-13"/>
          <w:sz w:val="28"/>
          <w:vertAlign w:val="baseline"/>
        </w:rPr>
        <w:t> </w:t>
      </w:r>
      <w:r>
        <w:rPr>
          <w:sz w:val="28"/>
          <w:vertAlign w:val="baseline"/>
        </w:rPr>
        <w:t>recommended</w:t>
      </w:r>
    </w:p>
    <w:p>
      <w:pPr>
        <w:pStyle w:val="BodyText"/>
        <w:spacing w:before="2"/>
        <w:rPr>
          <w:sz w:val="9"/>
        </w:rPr>
      </w:pPr>
      <w:r>
        <w:rPr/>
        <mc:AlternateContent>
          <mc:Choice Requires="wps">
            <w:drawing>
              <wp:anchor distT="0" distB="0" distL="0" distR="0" allowOverlap="1" layoutInCell="1" locked="0" behindDoc="1" simplePos="0" relativeHeight="487648256">
                <wp:simplePos x="0" y="0"/>
                <wp:positionH relativeFrom="page">
                  <wp:posOffset>719996</wp:posOffset>
                </wp:positionH>
                <wp:positionV relativeFrom="paragraph">
                  <wp:posOffset>86425</wp:posOffset>
                </wp:positionV>
                <wp:extent cx="6120130" cy="1270"/>
                <wp:effectExtent l="0" t="0" r="0" b="0"/>
                <wp:wrapTopAndBottom/>
                <wp:docPr id="216" name="Graphic 216"/>
                <wp:cNvGraphicFramePr>
                  <a:graphicFrameLocks/>
                </wp:cNvGraphicFramePr>
                <a:graphic>
                  <a:graphicData uri="http://schemas.microsoft.com/office/word/2010/wordprocessingShape">
                    <wps:wsp>
                      <wps:cNvPr id="216" name="Graphic 216"/>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6.805134pt;width:481.9pt;height:.1pt;mso-position-horizontal-relative:page;mso-position-vertical-relative:paragraph;z-index:-15668224;mso-wrap-distance-left:0;mso-wrap-distance-right:0" id="docshape172" coordorigin="1134,136" coordsize="9638,0" path="m10772,136l1134,136e" filled="false" stroked="true" strokeweight="1pt" strokecolor="#393b80">
                <v:path arrowok="t"/>
                <v:stroke dashstyle="solid"/>
                <w10:wrap type="topAndBottom"/>
              </v:shape>
            </w:pict>
          </mc:Fallback>
        </mc:AlternateContent>
      </w:r>
    </w:p>
    <w:p>
      <w:pPr>
        <w:pStyle w:val="ListParagraph"/>
        <w:numPr>
          <w:ilvl w:val="0"/>
          <w:numId w:val="3"/>
        </w:numPr>
        <w:tabs>
          <w:tab w:pos="1853" w:val="left" w:leader="none"/>
        </w:tabs>
        <w:spacing w:line="218" w:lineRule="exact" w:before="105" w:after="0"/>
        <w:ind w:left="1853" w:right="0" w:hanging="720"/>
        <w:jc w:val="left"/>
        <w:rPr>
          <w:sz w:val="18"/>
        </w:rPr>
      </w:pPr>
      <w:r>
        <w:rPr>
          <w:sz w:val="18"/>
        </w:rPr>
        <w:t>Directive</w:t>
      </w:r>
      <w:r>
        <w:rPr>
          <w:spacing w:val="-7"/>
          <w:sz w:val="18"/>
        </w:rPr>
        <w:t> </w:t>
      </w:r>
      <w:r>
        <w:rPr>
          <w:sz w:val="18"/>
        </w:rPr>
        <w:t>2000/78/EC,</w:t>
      </w:r>
      <w:r>
        <w:rPr>
          <w:spacing w:val="-7"/>
          <w:sz w:val="18"/>
        </w:rPr>
        <w:t> </w:t>
      </w:r>
      <w:r>
        <w:rPr>
          <w:sz w:val="18"/>
        </w:rPr>
        <w:t>‘Council</w:t>
      </w:r>
      <w:r>
        <w:rPr>
          <w:spacing w:val="-7"/>
          <w:sz w:val="18"/>
        </w:rPr>
        <w:t> </w:t>
      </w:r>
      <w:r>
        <w:rPr>
          <w:sz w:val="18"/>
        </w:rPr>
        <w:t>Directive</w:t>
      </w:r>
      <w:r>
        <w:rPr>
          <w:spacing w:val="-7"/>
          <w:sz w:val="18"/>
        </w:rPr>
        <w:t> </w:t>
      </w:r>
      <w:r>
        <w:rPr>
          <w:sz w:val="18"/>
        </w:rPr>
        <w:t>on</w:t>
      </w:r>
      <w:r>
        <w:rPr>
          <w:spacing w:val="-8"/>
          <w:sz w:val="18"/>
        </w:rPr>
        <w:t> </w:t>
      </w:r>
      <w:r>
        <w:rPr>
          <w:sz w:val="18"/>
        </w:rPr>
        <w:t>Establishing</w:t>
      </w:r>
      <w:r>
        <w:rPr>
          <w:spacing w:val="-6"/>
          <w:sz w:val="18"/>
        </w:rPr>
        <w:t> </w:t>
      </w:r>
      <w:r>
        <w:rPr>
          <w:sz w:val="18"/>
        </w:rPr>
        <w:t>a</w:t>
      </w:r>
      <w:r>
        <w:rPr>
          <w:spacing w:val="-8"/>
          <w:sz w:val="18"/>
        </w:rPr>
        <w:t> </w:t>
      </w:r>
      <w:r>
        <w:rPr>
          <w:sz w:val="18"/>
        </w:rPr>
        <w:t>General</w:t>
      </w:r>
      <w:r>
        <w:rPr>
          <w:spacing w:val="-7"/>
          <w:sz w:val="18"/>
        </w:rPr>
        <w:t> </w:t>
      </w:r>
      <w:r>
        <w:rPr>
          <w:sz w:val="18"/>
        </w:rPr>
        <w:t>Framework</w:t>
      </w:r>
      <w:r>
        <w:rPr>
          <w:spacing w:val="-7"/>
          <w:sz w:val="18"/>
        </w:rPr>
        <w:t> </w:t>
      </w:r>
      <w:r>
        <w:rPr>
          <w:sz w:val="18"/>
        </w:rPr>
        <w:t>for</w:t>
      </w:r>
      <w:r>
        <w:rPr>
          <w:spacing w:val="-7"/>
          <w:sz w:val="18"/>
        </w:rPr>
        <w:t> </w:t>
      </w:r>
      <w:r>
        <w:rPr>
          <w:sz w:val="18"/>
        </w:rPr>
        <w:t>Equal</w:t>
      </w:r>
      <w:r>
        <w:rPr>
          <w:spacing w:val="-7"/>
          <w:sz w:val="18"/>
        </w:rPr>
        <w:t> </w:t>
      </w:r>
      <w:r>
        <w:rPr>
          <w:sz w:val="18"/>
        </w:rPr>
        <w:t>Treatment</w:t>
      </w:r>
      <w:r>
        <w:rPr>
          <w:spacing w:val="-7"/>
          <w:sz w:val="18"/>
        </w:rPr>
        <w:t> </w:t>
      </w:r>
      <w:r>
        <w:rPr>
          <w:sz w:val="18"/>
        </w:rPr>
        <w:t>in</w:t>
      </w:r>
      <w:r>
        <w:rPr>
          <w:spacing w:val="-7"/>
          <w:sz w:val="18"/>
        </w:rPr>
        <w:t> </w:t>
      </w:r>
      <w:r>
        <w:rPr>
          <w:spacing w:val="-2"/>
          <w:sz w:val="18"/>
        </w:rPr>
        <w:t>Employment</w:t>
      </w:r>
    </w:p>
    <w:p>
      <w:pPr>
        <w:spacing w:line="235" w:lineRule="auto" w:before="1"/>
        <w:ind w:left="1853" w:right="1171" w:firstLine="0"/>
        <w:jc w:val="left"/>
        <w:rPr>
          <w:sz w:val="18"/>
        </w:rPr>
      </w:pPr>
      <w:r>
        <w:rPr>
          <w:sz w:val="18"/>
        </w:rPr>
        <w:t>and Occupation’, 27 November 2000.</w:t>
      </w:r>
      <w:r>
        <w:rPr>
          <w:spacing w:val="40"/>
          <w:sz w:val="18"/>
        </w:rPr>
        <w:t> </w:t>
      </w:r>
      <w:r>
        <w:rPr>
          <w:sz w:val="18"/>
        </w:rPr>
        <w:t>Pursuant to Article 13, Windsor Framework, NI equality law must keep pace with any</w:t>
      </w:r>
      <w:r>
        <w:rPr>
          <w:spacing w:val="-3"/>
          <w:sz w:val="18"/>
        </w:rPr>
        <w:t> </w:t>
      </w:r>
      <w:r>
        <w:rPr>
          <w:sz w:val="18"/>
        </w:rPr>
        <w:t>enhancements</w:t>
      </w:r>
      <w:r>
        <w:rPr>
          <w:spacing w:val="-4"/>
          <w:sz w:val="18"/>
        </w:rPr>
        <w:t> </w:t>
      </w:r>
      <w:r>
        <w:rPr>
          <w:sz w:val="18"/>
        </w:rPr>
        <w:t>made</w:t>
      </w:r>
      <w:r>
        <w:rPr>
          <w:spacing w:val="-3"/>
          <w:sz w:val="18"/>
        </w:rPr>
        <w:t> </w:t>
      </w:r>
      <w:r>
        <w:rPr>
          <w:sz w:val="18"/>
        </w:rPr>
        <w:t>by</w:t>
      </w:r>
      <w:r>
        <w:rPr>
          <w:spacing w:val="-3"/>
          <w:sz w:val="18"/>
        </w:rPr>
        <w:t> </w:t>
      </w:r>
      <w:r>
        <w:rPr>
          <w:sz w:val="18"/>
        </w:rPr>
        <w:t>the</w:t>
      </w:r>
      <w:r>
        <w:rPr>
          <w:spacing w:val="-3"/>
          <w:sz w:val="18"/>
        </w:rPr>
        <w:t> </w:t>
      </w:r>
      <w:r>
        <w:rPr>
          <w:sz w:val="18"/>
        </w:rPr>
        <w:t>EU</w:t>
      </w:r>
      <w:r>
        <w:rPr>
          <w:spacing w:val="-3"/>
          <w:sz w:val="18"/>
        </w:rPr>
        <w:t> </w:t>
      </w:r>
      <w:r>
        <w:rPr>
          <w:sz w:val="18"/>
        </w:rPr>
        <w:t>to</w:t>
      </w:r>
      <w:r>
        <w:rPr>
          <w:spacing w:val="-4"/>
          <w:sz w:val="18"/>
        </w:rPr>
        <w:t> </w:t>
      </w:r>
      <w:r>
        <w:rPr>
          <w:sz w:val="18"/>
        </w:rPr>
        <w:t>the</w:t>
      </w:r>
      <w:r>
        <w:rPr>
          <w:spacing w:val="-3"/>
          <w:sz w:val="18"/>
        </w:rPr>
        <w:t> </w:t>
      </w:r>
      <w:r>
        <w:rPr>
          <w:sz w:val="18"/>
        </w:rPr>
        <w:t>six</w:t>
      </w:r>
      <w:r>
        <w:rPr>
          <w:spacing w:val="-4"/>
          <w:sz w:val="18"/>
        </w:rPr>
        <w:t> </w:t>
      </w:r>
      <w:r>
        <w:rPr>
          <w:sz w:val="18"/>
        </w:rPr>
        <w:t>Annex</w:t>
      </w:r>
      <w:r>
        <w:rPr>
          <w:spacing w:val="-4"/>
          <w:sz w:val="18"/>
        </w:rPr>
        <w:t> </w:t>
      </w:r>
      <w:r>
        <w:rPr>
          <w:sz w:val="18"/>
        </w:rPr>
        <w:t>1</w:t>
      </w:r>
      <w:r>
        <w:rPr>
          <w:spacing w:val="-3"/>
          <w:sz w:val="18"/>
        </w:rPr>
        <w:t> </w:t>
      </w:r>
      <w:r>
        <w:rPr>
          <w:sz w:val="18"/>
        </w:rPr>
        <w:t>directives,</w:t>
      </w:r>
      <w:r>
        <w:rPr>
          <w:spacing w:val="-3"/>
          <w:sz w:val="18"/>
        </w:rPr>
        <w:t> </w:t>
      </w:r>
      <w:r>
        <w:rPr>
          <w:sz w:val="18"/>
        </w:rPr>
        <w:t>on</w:t>
      </w:r>
      <w:r>
        <w:rPr>
          <w:spacing w:val="-4"/>
          <w:sz w:val="18"/>
        </w:rPr>
        <w:t> </w:t>
      </w:r>
      <w:r>
        <w:rPr>
          <w:sz w:val="18"/>
        </w:rPr>
        <w:t>or</w:t>
      </w:r>
      <w:r>
        <w:rPr>
          <w:spacing w:val="-3"/>
          <w:sz w:val="18"/>
        </w:rPr>
        <w:t> </w:t>
      </w:r>
      <w:r>
        <w:rPr>
          <w:sz w:val="18"/>
        </w:rPr>
        <w:t>after</w:t>
      </w:r>
      <w:r>
        <w:rPr>
          <w:spacing w:val="-3"/>
          <w:sz w:val="18"/>
        </w:rPr>
        <w:t> </w:t>
      </w:r>
      <w:r>
        <w:rPr>
          <w:sz w:val="18"/>
        </w:rPr>
        <w:t>1</w:t>
      </w:r>
      <w:r>
        <w:rPr>
          <w:spacing w:val="-3"/>
          <w:sz w:val="18"/>
        </w:rPr>
        <w:t> </w:t>
      </w:r>
      <w:r>
        <w:rPr>
          <w:sz w:val="18"/>
        </w:rPr>
        <w:t>January</w:t>
      </w:r>
      <w:r>
        <w:rPr>
          <w:spacing w:val="-3"/>
          <w:sz w:val="18"/>
        </w:rPr>
        <w:t> </w:t>
      </w:r>
      <w:r>
        <w:rPr>
          <w:sz w:val="18"/>
        </w:rPr>
        <w:t>2021,</w:t>
      </w:r>
      <w:r>
        <w:rPr>
          <w:spacing w:val="-3"/>
          <w:sz w:val="18"/>
        </w:rPr>
        <w:t> </w:t>
      </w:r>
      <w:r>
        <w:rPr>
          <w:sz w:val="18"/>
        </w:rPr>
        <w:t>including</w:t>
      </w:r>
      <w:r>
        <w:rPr>
          <w:spacing w:val="-3"/>
          <w:sz w:val="18"/>
        </w:rPr>
        <w:t> </w:t>
      </w:r>
      <w:r>
        <w:rPr>
          <w:sz w:val="18"/>
        </w:rPr>
        <w:t>monitoring</w:t>
      </w:r>
      <w:r>
        <w:rPr>
          <w:spacing w:val="-3"/>
          <w:sz w:val="18"/>
        </w:rPr>
        <w:t> </w:t>
      </w:r>
      <w:r>
        <w:rPr>
          <w:sz w:val="18"/>
        </w:rPr>
        <w:t>current and future CJEU case law.</w:t>
      </w:r>
    </w:p>
    <w:p>
      <w:pPr>
        <w:pStyle w:val="ListParagraph"/>
        <w:numPr>
          <w:ilvl w:val="0"/>
          <w:numId w:val="3"/>
        </w:numPr>
        <w:tabs>
          <w:tab w:pos="1853" w:val="left" w:leader="none"/>
        </w:tabs>
        <w:spacing w:line="216" w:lineRule="exact" w:before="0" w:after="0"/>
        <w:ind w:left="1853" w:right="0" w:hanging="720"/>
        <w:jc w:val="left"/>
        <w:rPr>
          <w:sz w:val="18"/>
        </w:rPr>
      </w:pPr>
      <w:r>
        <w:rPr>
          <w:sz w:val="18"/>
        </w:rPr>
        <w:t>The</w:t>
      </w:r>
      <w:r>
        <w:rPr>
          <w:spacing w:val="-6"/>
          <w:sz w:val="18"/>
        </w:rPr>
        <w:t> </w:t>
      </w:r>
      <w:r>
        <w:rPr>
          <w:sz w:val="18"/>
        </w:rPr>
        <w:t>Employment</w:t>
      </w:r>
      <w:r>
        <w:rPr>
          <w:spacing w:val="-5"/>
          <w:sz w:val="18"/>
        </w:rPr>
        <w:t> </w:t>
      </w:r>
      <w:r>
        <w:rPr>
          <w:sz w:val="18"/>
        </w:rPr>
        <w:t>Equality</w:t>
      </w:r>
      <w:r>
        <w:rPr>
          <w:spacing w:val="-5"/>
          <w:sz w:val="18"/>
        </w:rPr>
        <w:t> </w:t>
      </w:r>
      <w:r>
        <w:rPr>
          <w:sz w:val="18"/>
        </w:rPr>
        <w:t>(Age)</w:t>
      </w:r>
      <w:r>
        <w:rPr>
          <w:spacing w:val="-6"/>
          <w:sz w:val="18"/>
        </w:rPr>
        <w:t> </w:t>
      </w:r>
      <w:r>
        <w:rPr>
          <w:sz w:val="18"/>
        </w:rPr>
        <w:t>Regulations</w:t>
      </w:r>
      <w:r>
        <w:rPr>
          <w:spacing w:val="-6"/>
          <w:sz w:val="18"/>
        </w:rPr>
        <w:t> </w:t>
      </w:r>
      <w:r>
        <w:rPr>
          <w:sz w:val="18"/>
        </w:rPr>
        <w:t>(Northern</w:t>
      </w:r>
      <w:r>
        <w:rPr>
          <w:spacing w:val="-6"/>
          <w:sz w:val="18"/>
        </w:rPr>
        <w:t> </w:t>
      </w:r>
      <w:r>
        <w:rPr>
          <w:sz w:val="18"/>
        </w:rPr>
        <w:t>Ireland)</w:t>
      </w:r>
      <w:r>
        <w:rPr>
          <w:spacing w:val="-6"/>
          <w:sz w:val="18"/>
        </w:rPr>
        <w:t> </w:t>
      </w:r>
      <w:r>
        <w:rPr>
          <w:sz w:val="18"/>
        </w:rPr>
        <w:t>2006</w:t>
      </w:r>
      <w:r>
        <w:rPr>
          <w:spacing w:val="-5"/>
          <w:sz w:val="18"/>
        </w:rPr>
        <w:t> </w:t>
      </w:r>
      <w:r>
        <w:rPr>
          <w:sz w:val="18"/>
        </w:rPr>
        <w:t>(the</w:t>
      </w:r>
      <w:r>
        <w:rPr>
          <w:spacing w:val="-5"/>
          <w:sz w:val="18"/>
        </w:rPr>
        <w:t> </w:t>
      </w:r>
      <w:r>
        <w:rPr>
          <w:spacing w:val="-2"/>
          <w:sz w:val="18"/>
        </w:rPr>
        <w:t>Regulations).</w:t>
      </w:r>
    </w:p>
    <w:p>
      <w:pPr>
        <w:pStyle w:val="ListParagraph"/>
        <w:numPr>
          <w:ilvl w:val="0"/>
          <w:numId w:val="3"/>
        </w:numPr>
        <w:tabs>
          <w:tab w:pos="1853" w:val="left" w:leader="none"/>
        </w:tabs>
        <w:spacing w:line="216" w:lineRule="exact" w:before="0" w:after="0"/>
        <w:ind w:left="1853" w:right="0" w:hanging="720"/>
        <w:jc w:val="left"/>
        <w:rPr>
          <w:sz w:val="18"/>
        </w:rPr>
      </w:pPr>
      <w:r>
        <w:rPr>
          <w:sz w:val="18"/>
        </w:rPr>
        <w:t>Equality</w:t>
      </w:r>
      <w:r>
        <w:rPr>
          <w:spacing w:val="-6"/>
          <w:sz w:val="18"/>
        </w:rPr>
        <w:t> </w:t>
      </w:r>
      <w:r>
        <w:rPr>
          <w:sz w:val="18"/>
        </w:rPr>
        <w:t>Commission</w:t>
      </w:r>
      <w:r>
        <w:rPr>
          <w:spacing w:val="-5"/>
          <w:sz w:val="18"/>
        </w:rPr>
        <w:t> </w:t>
      </w:r>
      <w:r>
        <w:rPr>
          <w:sz w:val="18"/>
        </w:rPr>
        <w:t>for</w:t>
      </w:r>
      <w:r>
        <w:rPr>
          <w:spacing w:val="-4"/>
          <w:sz w:val="18"/>
        </w:rPr>
        <w:t> </w:t>
      </w:r>
      <w:r>
        <w:rPr>
          <w:sz w:val="18"/>
        </w:rPr>
        <w:t>NI,</w:t>
      </w:r>
      <w:r>
        <w:rPr>
          <w:spacing w:val="-3"/>
          <w:sz w:val="18"/>
        </w:rPr>
        <w:t> </w:t>
      </w:r>
      <w:r>
        <w:rPr>
          <w:sz w:val="18"/>
        </w:rPr>
        <w:t>‘Gaps</w:t>
      </w:r>
      <w:r>
        <w:rPr>
          <w:spacing w:val="-5"/>
          <w:sz w:val="18"/>
        </w:rPr>
        <w:t> </w:t>
      </w:r>
      <w:r>
        <w:rPr>
          <w:sz w:val="18"/>
        </w:rPr>
        <w:t>in</w:t>
      </w:r>
      <w:r>
        <w:rPr>
          <w:spacing w:val="-4"/>
          <w:sz w:val="18"/>
        </w:rPr>
        <w:t> </w:t>
      </w:r>
      <w:r>
        <w:rPr>
          <w:sz w:val="18"/>
        </w:rPr>
        <w:t>equality</w:t>
      </w:r>
      <w:r>
        <w:rPr>
          <w:spacing w:val="-4"/>
          <w:sz w:val="18"/>
        </w:rPr>
        <w:t> </w:t>
      </w:r>
      <w:r>
        <w:rPr>
          <w:sz w:val="18"/>
        </w:rPr>
        <w:t>law</w:t>
      </w:r>
      <w:r>
        <w:rPr>
          <w:spacing w:val="-4"/>
          <w:sz w:val="18"/>
        </w:rPr>
        <w:t> </w:t>
      </w:r>
      <w:r>
        <w:rPr>
          <w:sz w:val="18"/>
        </w:rPr>
        <w:t>between</w:t>
      </w:r>
      <w:r>
        <w:rPr>
          <w:spacing w:val="-5"/>
          <w:sz w:val="18"/>
        </w:rPr>
        <w:t> </w:t>
      </w:r>
      <w:r>
        <w:rPr>
          <w:sz w:val="18"/>
        </w:rPr>
        <w:t>Great</w:t>
      </w:r>
      <w:r>
        <w:rPr>
          <w:spacing w:val="-3"/>
          <w:sz w:val="18"/>
        </w:rPr>
        <w:t> </w:t>
      </w:r>
      <w:r>
        <w:rPr>
          <w:sz w:val="18"/>
        </w:rPr>
        <w:t>Britain</w:t>
      </w:r>
      <w:r>
        <w:rPr>
          <w:spacing w:val="-5"/>
          <w:sz w:val="18"/>
        </w:rPr>
        <w:t> </w:t>
      </w:r>
      <w:r>
        <w:rPr>
          <w:sz w:val="18"/>
        </w:rPr>
        <w:t>and</w:t>
      </w:r>
      <w:r>
        <w:rPr>
          <w:spacing w:val="-4"/>
          <w:sz w:val="18"/>
        </w:rPr>
        <w:t> </w:t>
      </w:r>
      <w:r>
        <w:rPr>
          <w:sz w:val="18"/>
        </w:rPr>
        <w:t>Northern</w:t>
      </w:r>
      <w:r>
        <w:rPr>
          <w:spacing w:val="-5"/>
          <w:sz w:val="18"/>
        </w:rPr>
        <w:t> </w:t>
      </w:r>
      <w:r>
        <w:rPr>
          <w:sz w:val="18"/>
        </w:rPr>
        <w:t>Ireland’</w:t>
      </w:r>
      <w:r>
        <w:rPr>
          <w:spacing w:val="-4"/>
          <w:sz w:val="18"/>
        </w:rPr>
        <w:t> </w:t>
      </w:r>
      <w:r>
        <w:rPr>
          <w:sz w:val="18"/>
        </w:rPr>
        <w:t>(ECNI,</w:t>
      </w:r>
      <w:r>
        <w:rPr>
          <w:spacing w:val="-3"/>
          <w:sz w:val="18"/>
        </w:rPr>
        <w:t> </w:t>
      </w:r>
      <w:r>
        <w:rPr>
          <w:spacing w:val="-2"/>
          <w:sz w:val="18"/>
        </w:rPr>
        <w:t>2014).</w:t>
      </w:r>
    </w:p>
    <w:p>
      <w:pPr>
        <w:pStyle w:val="ListParagraph"/>
        <w:numPr>
          <w:ilvl w:val="0"/>
          <w:numId w:val="3"/>
        </w:numPr>
        <w:tabs>
          <w:tab w:pos="1853" w:val="left" w:leader="none"/>
        </w:tabs>
        <w:spacing w:line="235" w:lineRule="auto" w:before="2" w:after="0"/>
        <w:ind w:left="1853" w:right="1221" w:hanging="720"/>
        <w:jc w:val="left"/>
        <w:rPr>
          <w:sz w:val="18"/>
        </w:rPr>
      </w:pPr>
      <w:r>
        <w:rPr>
          <w:sz w:val="18"/>
        </w:rPr>
        <w:t>Equality</w:t>
      </w:r>
      <w:r>
        <w:rPr>
          <w:spacing w:val="-5"/>
          <w:sz w:val="18"/>
        </w:rPr>
        <w:t> </w:t>
      </w:r>
      <w:r>
        <w:rPr>
          <w:sz w:val="18"/>
        </w:rPr>
        <w:t>Commission</w:t>
      </w:r>
      <w:r>
        <w:rPr>
          <w:spacing w:val="-5"/>
          <w:sz w:val="18"/>
        </w:rPr>
        <w:t> </w:t>
      </w:r>
      <w:r>
        <w:rPr>
          <w:sz w:val="18"/>
        </w:rPr>
        <w:t>for</w:t>
      </w:r>
      <w:r>
        <w:rPr>
          <w:spacing w:val="-5"/>
          <w:sz w:val="18"/>
        </w:rPr>
        <w:t> </w:t>
      </w:r>
      <w:r>
        <w:rPr>
          <w:sz w:val="18"/>
        </w:rPr>
        <w:t>NI,</w:t>
      </w:r>
      <w:r>
        <w:rPr>
          <w:spacing w:val="-5"/>
          <w:sz w:val="18"/>
        </w:rPr>
        <w:t> </w:t>
      </w:r>
      <w:r>
        <w:rPr>
          <w:sz w:val="18"/>
        </w:rPr>
        <w:t>‘Press</w:t>
      </w:r>
      <w:r>
        <w:rPr>
          <w:spacing w:val="-5"/>
          <w:sz w:val="18"/>
        </w:rPr>
        <w:t> </w:t>
      </w:r>
      <w:r>
        <w:rPr>
          <w:sz w:val="18"/>
        </w:rPr>
        <w:t>Release:</w:t>
      </w:r>
      <w:r>
        <w:rPr>
          <w:spacing w:val="-5"/>
          <w:sz w:val="18"/>
        </w:rPr>
        <w:t> </w:t>
      </w:r>
      <w:r>
        <w:rPr>
          <w:sz w:val="18"/>
        </w:rPr>
        <w:t>Age</w:t>
      </w:r>
      <w:r>
        <w:rPr>
          <w:spacing w:val="-5"/>
          <w:sz w:val="18"/>
        </w:rPr>
        <w:t> </w:t>
      </w:r>
      <w:r>
        <w:rPr>
          <w:sz w:val="18"/>
        </w:rPr>
        <w:t>discrimination</w:t>
      </w:r>
      <w:r>
        <w:rPr>
          <w:spacing w:val="-5"/>
          <w:sz w:val="18"/>
        </w:rPr>
        <w:t> </w:t>
      </w:r>
      <w:r>
        <w:rPr>
          <w:sz w:val="18"/>
        </w:rPr>
        <w:t>law</w:t>
      </w:r>
      <w:r>
        <w:rPr>
          <w:spacing w:val="-5"/>
          <w:sz w:val="18"/>
        </w:rPr>
        <w:t> </w:t>
      </w:r>
      <w:r>
        <w:rPr>
          <w:sz w:val="18"/>
        </w:rPr>
        <w:t>needs</w:t>
      </w:r>
      <w:r>
        <w:rPr>
          <w:spacing w:val="-5"/>
          <w:sz w:val="18"/>
        </w:rPr>
        <w:t> </w:t>
      </w:r>
      <w:r>
        <w:rPr>
          <w:sz w:val="18"/>
        </w:rPr>
        <w:t>strengthened</w:t>
      </w:r>
      <w:r>
        <w:rPr>
          <w:spacing w:val="-5"/>
          <w:sz w:val="18"/>
        </w:rPr>
        <w:t> </w:t>
      </w:r>
      <w:r>
        <w:rPr>
          <w:sz w:val="18"/>
        </w:rPr>
        <w:t>in</w:t>
      </w:r>
      <w:r>
        <w:rPr>
          <w:spacing w:val="-5"/>
          <w:sz w:val="18"/>
        </w:rPr>
        <w:t> </w:t>
      </w:r>
      <w:r>
        <w:rPr>
          <w:sz w:val="18"/>
        </w:rPr>
        <w:t>NI’,</w:t>
      </w:r>
      <w:r>
        <w:rPr>
          <w:spacing w:val="-5"/>
          <w:sz w:val="18"/>
        </w:rPr>
        <w:t> </w:t>
      </w:r>
      <w:r>
        <w:rPr>
          <w:sz w:val="18"/>
        </w:rPr>
        <w:t>3</w:t>
      </w:r>
      <w:r>
        <w:rPr>
          <w:spacing w:val="-5"/>
          <w:sz w:val="18"/>
        </w:rPr>
        <w:t> </w:t>
      </w:r>
      <w:r>
        <w:rPr>
          <w:sz w:val="18"/>
        </w:rPr>
        <w:t>February</w:t>
      </w:r>
      <w:r>
        <w:rPr>
          <w:spacing w:val="-5"/>
          <w:sz w:val="18"/>
        </w:rPr>
        <w:t> </w:t>
      </w:r>
      <w:r>
        <w:rPr>
          <w:sz w:val="18"/>
        </w:rPr>
        <w:t>2023.</w:t>
      </w:r>
      <w:r>
        <w:rPr>
          <w:spacing w:val="-5"/>
          <w:sz w:val="18"/>
        </w:rPr>
        <w:t> </w:t>
      </w:r>
      <w:r>
        <w:rPr>
          <w:sz w:val="18"/>
        </w:rPr>
        <w:t>NI</w:t>
      </w:r>
      <w:r>
        <w:rPr>
          <w:spacing w:val="-5"/>
          <w:sz w:val="18"/>
        </w:rPr>
        <w:t> </w:t>
      </w:r>
      <w:r>
        <w:rPr>
          <w:sz w:val="18"/>
        </w:rPr>
        <w:t>Human Rights Commission, ‘Response to Consultation on Proposals to Extend Age Discrimination Legislation (Age, Goods, Facilities and Services)’ (NIHRC, 2015).</w:t>
      </w:r>
    </w:p>
    <w:p>
      <w:pPr>
        <w:pStyle w:val="ListParagraph"/>
        <w:numPr>
          <w:ilvl w:val="0"/>
          <w:numId w:val="3"/>
        </w:numPr>
        <w:tabs>
          <w:tab w:pos="1853" w:val="left" w:leader="none"/>
        </w:tabs>
        <w:spacing w:line="235" w:lineRule="auto" w:before="2" w:after="0"/>
        <w:ind w:left="1853" w:right="1408" w:hanging="720"/>
        <w:jc w:val="both"/>
        <w:rPr>
          <w:sz w:val="18"/>
        </w:rPr>
      </w:pPr>
      <w:r>
        <w:rPr>
          <w:sz w:val="18"/>
        </w:rPr>
        <w:t>Sarah</w:t>
      </w:r>
      <w:r>
        <w:rPr>
          <w:spacing w:val="-7"/>
          <w:sz w:val="18"/>
        </w:rPr>
        <w:t> </w:t>
      </w:r>
      <w:r>
        <w:rPr>
          <w:sz w:val="18"/>
        </w:rPr>
        <w:t>Craig,</w:t>
      </w:r>
      <w:r>
        <w:rPr>
          <w:spacing w:val="-6"/>
          <w:sz w:val="18"/>
        </w:rPr>
        <w:t> </w:t>
      </w:r>
      <w:r>
        <w:rPr>
          <w:sz w:val="18"/>
        </w:rPr>
        <w:t>Anurag</w:t>
      </w:r>
      <w:r>
        <w:rPr>
          <w:spacing w:val="-6"/>
          <w:sz w:val="18"/>
        </w:rPr>
        <w:t> </w:t>
      </w:r>
      <w:r>
        <w:rPr>
          <w:sz w:val="18"/>
        </w:rPr>
        <w:t>Deb,</w:t>
      </w:r>
      <w:r>
        <w:rPr>
          <w:spacing w:val="-6"/>
          <w:sz w:val="18"/>
        </w:rPr>
        <w:t> </w:t>
      </w:r>
      <w:r>
        <w:rPr>
          <w:sz w:val="18"/>
        </w:rPr>
        <w:t>Eleni</w:t>
      </w:r>
      <w:r>
        <w:rPr>
          <w:spacing w:val="-7"/>
          <w:sz w:val="18"/>
        </w:rPr>
        <w:t> </w:t>
      </w:r>
      <w:r>
        <w:rPr>
          <w:sz w:val="18"/>
        </w:rPr>
        <w:t>Frantziou,</w:t>
      </w:r>
      <w:r>
        <w:rPr>
          <w:spacing w:val="-6"/>
          <w:sz w:val="18"/>
        </w:rPr>
        <w:t> </w:t>
      </w:r>
      <w:r>
        <w:rPr>
          <w:sz w:val="18"/>
        </w:rPr>
        <w:t>Alexander</w:t>
      </w:r>
      <w:r>
        <w:rPr>
          <w:spacing w:val="-6"/>
          <w:sz w:val="18"/>
        </w:rPr>
        <w:t> </w:t>
      </w:r>
      <w:r>
        <w:rPr>
          <w:sz w:val="18"/>
        </w:rPr>
        <w:t>Horne,</w:t>
      </w:r>
      <w:r>
        <w:rPr>
          <w:spacing w:val="-6"/>
          <w:sz w:val="18"/>
        </w:rPr>
        <w:t> </w:t>
      </w:r>
      <w:r>
        <w:rPr>
          <w:sz w:val="18"/>
        </w:rPr>
        <w:t>Colin</w:t>
      </w:r>
      <w:r>
        <w:rPr>
          <w:spacing w:val="-7"/>
          <w:sz w:val="18"/>
        </w:rPr>
        <w:t> </w:t>
      </w:r>
      <w:r>
        <w:rPr>
          <w:sz w:val="18"/>
        </w:rPr>
        <w:t>Murray,</w:t>
      </w:r>
      <w:r>
        <w:rPr>
          <w:spacing w:val="-6"/>
          <w:sz w:val="18"/>
        </w:rPr>
        <w:t> </w:t>
      </w:r>
      <w:r>
        <w:rPr>
          <w:sz w:val="18"/>
        </w:rPr>
        <w:t>Clare</w:t>
      </w:r>
      <w:r>
        <w:rPr>
          <w:spacing w:val="-6"/>
          <w:sz w:val="18"/>
        </w:rPr>
        <w:t> </w:t>
      </w:r>
      <w:r>
        <w:rPr>
          <w:sz w:val="18"/>
        </w:rPr>
        <w:t>Rice</w:t>
      </w:r>
      <w:r>
        <w:rPr>
          <w:spacing w:val="-6"/>
          <w:sz w:val="18"/>
        </w:rPr>
        <w:t> </w:t>
      </w:r>
      <w:r>
        <w:rPr>
          <w:sz w:val="18"/>
        </w:rPr>
        <w:t>and</w:t>
      </w:r>
      <w:r>
        <w:rPr>
          <w:spacing w:val="-7"/>
          <w:sz w:val="18"/>
        </w:rPr>
        <w:t> </w:t>
      </w:r>
      <w:r>
        <w:rPr>
          <w:sz w:val="18"/>
        </w:rPr>
        <w:t>Jane</w:t>
      </w:r>
      <w:r>
        <w:rPr>
          <w:spacing w:val="-6"/>
          <w:sz w:val="18"/>
        </w:rPr>
        <w:t> </w:t>
      </w:r>
      <w:r>
        <w:rPr>
          <w:sz w:val="18"/>
        </w:rPr>
        <w:t>Rooney,</w:t>
      </w:r>
      <w:r>
        <w:rPr>
          <w:spacing w:val="-6"/>
          <w:sz w:val="18"/>
        </w:rPr>
        <w:t> </w:t>
      </w:r>
      <w:r>
        <w:rPr>
          <w:sz w:val="18"/>
        </w:rPr>
        <w:t>‘European</w:t>
      </w:r>
      <w:r>
        <w:rPr>
          <w:spacing w:val="-7"/>
          <w:sz w:val="18"/>
        </w:rPr>
        <w:t> </w:t>
      </w:r>
      <w:r>
        <w:rPr>
          <w:sz w:val="18"/>
        </w:rPr>
        <w:t>Union developments</w:t>
      </w:r>
      <w:r>
        <w:rPr>
          <w:spacing w:val="-1"/>
          <w:sz w:val="18"/>
        </w:rPr>
        <w:t> </w:t>
      </w:r>
      <w:r>
        <w:rPr>
          <w:sz w:val="18"/>
        </w:rPr>
        <w:t>in</w:t>
      </w:r>
      <w:r>
        <w:rPr>
          <w:spacing w:val="-1"/>
          <w:sz w:val="18"/>
        </w:rPr>
        <w:t> </w:t>
      </w:r>
      <w:r>
        <w:rPr>
          <w:sz w:val="18"/>
        </w:rPr>
        <w:t>Equality and</w:t>
      </w:r>
      <w:r>
        <w:rPr>
          <w:spacing w:val="-1"/>
          <w:sz w:val="18"/>
        </w:rPr>
        <w:t> </w:t>
      </w:r>
      <w:r>
        <w:rPr>
          <w:sz w:val="18"/>
        </w:rPr>
        <w:t>Human</w:t>
      </w:r>
      <w:r>
        <w:rPr>
          <w:spacing w:val="-1"/>
          <w:sz w:val="18"/>
        </w:rPr>
        <w:t> </w:t>
      </w:r>
      <w:r>
        <w:rPr>
          <w:sz w:val="18"/>
        </w:rPr>
        <w:t>Rights: The Impact of</w:t>
      </w:r>
      <w:r>
        <w:rPr>
          <w:spacing w:val="-1"/>
          <w:sz w:val="18"/>
        </w:rPr>
        <w:t> </w:t>
      </w:r>
      <w:r>
        <w:rPr>
          <w:sz w:val="18"/>
        </w:rPr>
        <w:t>Brexit on</w:t>
      </w:r>
      <w:r>
        <w:rPr>
          <w:spacing w:val="-1"/>
          <w:sz w:val="18"/>
        </w:rPr>
        <w:t> </w:t>
      </w:r>
      <w:r>
        <w:rPr>
          <w:sz w:val="18"/>
        </w:rPr>
        <w:t>the divergence of</w:t>
      </w:r>
      <w:r>
        <w:rPr>
          <w:spacing w:val="-1"/>
          <w:sz w:val="18"/>
        </w:rPr>
        <w:t> </w:t>
      </w:r>
      <w:r>
        <w:rPr>
          <w:sz w:val="18"/>
        </w:rPr>
        <w:t>rights</w:t>
      </w:r>
      <w:r>
        <w:rPr>
          <w:spacing w:val="-1"/>
          <w:sz w:val="18"/>
        </w:rPr>
        <w:t> </w:t>
      </w:r>
      <w:r>
        <w:rPr>
          <w:sz w:val="18"/>
        </w:rPr>
        <w:t>and</w:t>
      </w:r>
      <w:r>
        <w:rPr>
          <w:spacing w:val="-1"/>
          <w:sz w:val="18"/>
        </w:rPr>
        <w:t> </w:t>
      </w:r>
      <w:r>
        <w:rPr>
          <w:sz w:val="18"/>
        </w:rPr>
        <w:t>best practice on</w:t>
      </w:r>
      <w:r>
        <w:rPr>
          <w:spacing w:val="-1"/>
          <w:sz w:val="18"/>
        </w:rPr>
        <w:t> </w:t>
      </w:r>
      <w:r>
        <w:rPr>
          <w:sz w:val="18"/>
        </w:rPr>
        <w:t>the island of Ireland’ (ECNI, NIHRC and IHREC, 2022).</w:t>
      </w:r>
    </w:p>
    <w:p>
      <w:pPr>
        <w:pStyle w:val="ListParagraph"/>
        <w:numPr>
          <w:ilvl w:val="0"/>
          <w:numId w:val="3"/>
        </w:numPr>
        <w:tabs>
          <w:tab w:pos="1853" w:val="left" w:leader="none"/>
        </w:tabs>
        <w:spacing w:line="235" w:lineRule="auto" w:before="2" w:after="0"/>
        <w:ind w:left="1853" w:right="1233" w:hanging="720"/>
        <w:jc w:val="left"/>
        <w:rPr>
          <w:sz w:val="18"/>
        </w:rPr>
      </w:pPr>
      <w:r>
        <w:rPr>
          <w:sz w:val="18"/>
        </w:rPr>
        <w:t>Equality Commission for NI, NI Human Rights Commission and Irish Human Rights and Equality Commission, ‘Policy Recommendations:</w:t>
      </w:r>
      <w:r>
        <w:rPr>
          <w:spacing w:val="-4"/>
          <w:sz w:val="18"/>
        </w:rPr>
        <w:t> </w:t>
      </w:r>
      <w:r>
        <w:rPr>
          <w:sz w:val="18"/>
        </w:rPr>
        <w:t>European</w:t>
      </w:r>
      <w:r>
        <w:rPr>
          <w:spacing w:val="-5"/>
          <w:sz w:val="18"/>
        </w:rPr>
        <w:t> </w:t>
      </w:r>
      <w:r>
        <w:rPr>
          <w:sz w:val="18"/>
        </w:rPr>
        <w:t>Union</w:t>
      </w:r>
      <w:r>
        <w:rPr>
          <w:spacing w:val="-5"/>
          <w:sz w:val="18"/>
        </w:rPr>
        <w:t> </w:t>
      </w:r>
      <w:r>
        <w:rPr>
          <w:sz w:val="18"/>
        </w:rPr>
        <w:t>developments</w:t>
      </w:r>
      <w:r>
        <w:rPr>
          <w:spacing w:val="-5"/>
          <w:sz w:val="18"/>
        </w:rPr>
        <w:t> </w:t>
      </w:r>
      <w:r>
        <w:rPr>
          <w:sz w:val="18"/>
        </w:rPr>
        <w:t>in</w:t>
      </w:r>
      <w:r>
        <w:rPr>
          <w:spacing w:val="-5"/>
          <w:sz w:val="18"/>
        </w:rPr>
        <w:t> </w:t>
      </w:r>
      <w:r>
        <w:rPr>
          <w:sz w:val="18"/>
        </w:rPr>
        <w:t>Equality</w:t>
      </w:r>
      <w:r>
        <w:rPr>
          <w:spacing w:val="-4"/>
          <w:sz w:val="18"/>
        </w:rPr>
        <w:t> </w:t>
      </w:r>
      <w:r>
        <w:rPr>
          <w:sz w:val="18"/>
        </w:rPr>
        <w:t>and</w:t>
      </w:r>
      <w:r>
        <w:rPr>
          <w:spacing w:val="-5"/>
          <w:sz w:val="18"/>
        </w:rPr>
        <w:t> </w:t>
      </w:r>
      <w:r>
        <w:rPr>
          <w:sz w:val="18"/>
        </w:rPr>
        <w:t>Human</w:t>
      </w:r>
      <w:r>
        <w:rPr>
          <w:spacing w:val="-5"/>
          <w:sz w:val="18"/>
        </w:rPr>
        <w:t> </w:t>
      </w:r>
      <w:r>
        <w:rPr>
          <w:sz w:val="18"/>
        </w:rPr>
        <w:t>Rights: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the</w:t>
      </w:r>
      <w:r>
        <w:rPr>
          <w:spacing w:val="-4"/>
          <w:sz w:val="18"/>
        </w:rPr>
        <w:t> </w:t>
      </w:r>
      <w:r>
        <w:rPr>
          <w:sz w:val="18"/>
        </w:rPr>
        <w:t>divergence of rights and best practice on the island of Ireland’ (ECNI, NIHRC and IHREC, 2023).</w:t>
      </w:r>
    </w:p>
    <w:p>
      <w:pPr>
        <w:pStyle w:val="ListParagraph"/>
        <w:numPr>
          <w:ilvl w:val="0"/>
          <w:numId w:val="3"/>
        </w:numPr>
        <w:tabs>
          <w:tab w:pos="1853" w:val="left" w:leader="none"/>
        </w:tabs>
        <w:spacing w:line="235" w:lineRule="auto" w:before="2" w:after="0"/>
        <w:ind w:left="1853" w:right="1578" w:hanging="720"/>
        <w:jc w:val="left"/>
        <w:rPr>
          <w:sz w:val="18"/>
        </w:rPr>
      </w:pPr>
      <w:r>
        <w:rPr>
          <w:sz w:val="18"/>
        </w:rPr>
        <w:t>See</w:t>
      </w:r>
      <w:r>
        <w:rPr>
          <w:spacing w:val="-4"/>
          <w:sz w:val="18"/>
        </w:rPr>
        <w:t> </w:t>
      </w:r>
      <w:r>
        <w:rPr>
          <w:sz w:val="18"/>
        </w:rPr>
        <w:t>for</w:t>
      </w:r>
      <w:r>
        <w:rPr>
          <w:spacing w:val="-4"/>
          <w:sz w:val="18"/>
        </w:rPr>
        <w:t> </w:t>
      </w:r>
      <w:r>
        <w:rPr>
          <w:sz w:val="18"/>
        </w:rPr>
        <w:t>example,</w:t>
      </w:r>
      <w:r>
        <w:rPr>
          <w:spacing w:val="-4"/>
          <w:sz w:val="18"/>
        </w:rPr>
        <w:t> </w:t>
      </w:r>
      <w:r>
        <w:rPr>
          <w:sz w:val="18"/>
        </w:rPr>
        <w:t>EU</w:t>
      </w:r>
      <w:r>
        <w:rPr>
          <w:spacing w:val="-4"/>
          <w:sz w:val="18"/>
        </w:rPr>
        <w:t> </w:t>
      </w:r>
      <w:r>
        <w:rPr>
          <w:sz w:val="18"/>
        </w:rPr>
        <w:t>Commission,</w:t>
      </w:r>
      <w:r>
        <w:rPr>
          <w:spacing w:val="-4"/>
          <w:sz w:val="18"/>
        </w:rPr>
        <w:t> </w:t>
      </w:r>
      <w:r>
        <w:rPr>
          <w:sz w:val="18"/>
        </w:rPr>
        <w:t>’Proposal</w:t>
      </w:r>
      <w:r>
        <w:rPr>
          <w:spacing w:val="-5"/>
          <w:sz w:val="18"/>
        </w:rPr>
        <w:t> </w:t>
      </w:r>
      <w:r>
        <w:rPr>
          <w:sz w:val="18"/>
        </w:rPr>
        <w:t>for</w:t>
      </w:r>
      <w:r>
        <w:rPr>
          <w:spacing w:val="-4"/>
          <w:sz w:val="18"/>
        </w:rPr>
        <w:t> </w:t>
      </w:r>
      <w:r>
        <w:rPr>
          <w:sz w:val="18"/>
        </w:rPr>
        <w:t>a</w:t>
      </w:r>
      <w:r>
        <w:rPr>
          <w:spacing w:val="-5"/>
          <w:sz w:val="18"/>
        </w:rPr>
        <w:t> </w:t>
      </w:r>
      <w:r>
        <w:rPr>
          <w:sz w:val="18"/>
        </w:rPr>
        <w:t>Council</w:t>
      </w:r>
      <w:r>
        <w:rPr>
          <w:spacing w:val="-5"/>
          <w:sz w:val="18"/>
        </w:rPr>
        <w:t> </w:t>
      </w:r>
      <w:r>
        <w:rPr>
          <w:sz w:val="18"/>
        </w:rPr>
        <w:t>Directive</w:t>
      </w:r>
      <w:r>
        <w:rPr>
          <w:spacing w:val="-4"/>
          <w:sz w:val="18"/>
        </w:rPr>
        <w:t> </w:t>
      </w:r>
      <w:r>
        <w:rPr>
          <w:sz w:val="18"/>
        </w:rPr>
        <w:t>on</w:t>
      </w:r>
      <w:r>
        <w:rPr>
          <w:spacing w:val="-5"/>
          <w:sz w:val="18"/>
        </w:rPr>
        <w:t> </w:t>
      </w:r>
      <w:r>
        <w:rPr>
          <w:sz w:val="18"/>
        </w:rPr>
        <w:t>implementing</w:t>
      </w:r>
      <w:r>
        <w:rPr>
          <w:spacing w:val="-4"/>
          <w:sz w:val="18"/>
        </w:rPr>
        <w:t> </w:t>
      </w:r>
      <w:r>
        <w:rPr>
          <w:sz w:val="18"/>
        </w:rPr>
        <w:t>the</w:t>
      </w:r>
      <w:r>
        <w:rPr>
          <w:spacing w:val="-4"/>
          <w:sz w:val="18"/>
        </w:rPr>
        <w:t> </w:t>
      </w:r>
      <w:r>
        <w:rPr>
          <w:sz w:val="18"/>
        </w:rPr>
        <w:t>principle</w:t>
      </w:r>
      <w:r>
        <w:rPr>
          <w:spacing w:val="-4"/>
          <w:sz w:val="18"/>
        </w:rPr>
        <w:t> </w:t>
      </w:r>
      <w:r>
        <w:rPr>
          <w:sz w:val="18"/>
        </w:rPr>
        <w:t>of</w:t>
      </w:r>
      <w:r>
        <w:rPr>
          <w:spacing w:val="-5"/>
          <w:sz w:val="18"/>
        </w:rPr>
        <w:t> </w:t>
      </w:r>
      <w:r>
        <w:rPr>
          <w:sz w:val="18"/>
        </w:rPr>
        <w:t>equal</w:t>
      </w:r>
      <w:r>
        <w:rPr>
          <w:spacing w:val="-5"/>
          <w:sz w:val="18"/>
        </w:rPr>
        <w:t> </w:t>
      </w:r>
      <w:r>
        <w:rPr>
          <w:sz w:val="18"/>
        </w:rPr>
        <w:t>treatment outside the labour market, irrespective of age, disability, sexual orientation or religious belief, COM(2008)0426</w:t>
      </w:r>
      <w:r>
        <w:rPr>
          <w:spacing w:val="40"/>
          <w:sz w:val="18"/>
        </w:rPr>
        <w:t> </w:t>
      </w:r>
      <w:r>
        <w:rPr>
          <w:sz w:val="18"/>
        </w:rPr>
        <w:t>- 2008/0140(CNS) (EU Commission, 2008).</w:t>
      </w:r>
    </w:p>
    <w:p>
      <w:pPr>
        <w:pStyle w:val="ListParagraph"/>
        <w:numPr>
          <w:ilvl w:val="0"/>
          <w:numId w:val="3"/>
        </w:numPr>
        <w:tabs>
          <w:tab w:pos="1853" w:val="left" w:leader="none"/>
        </w:tabs>
        <w:spacing w:line="235" w:lineRule="auto" w:before="2" w:after="0"/>
        <w:ind w:left="1853" w:right="1568" w:hanging="720"/>
        <w:jc w:val="left"/>
        <w:rPr>
          <w:sz w:val="18"/>
        </w:rPr>
      </w:pPr>
      <w:r>
        <w:rPr>
          <w:sz w:val="18"/>
        </w:rPr>
        <w:t>Office</w:t>
      </w:r>
      <w:r>
        <w:rPr>
          <w:spacing w:val="-5"/>
          <w:sz w:val="18"/>
        </w:rPr>
        <w:t> </w:t>
      </w:r>
      <w:r>
        <w:rPr>
          <w:sz w:val="18"/>
        </w:rPr>
        <w:t>of</w:t>
      </w:r>
      <w:r>
        <w:rPr>
          <w:spacing w:val="-6"/>
          <w:sz w:val="18"/>
        </w:rPr>
        <w:t> </w:t>
      </w:r>
      <w:r>
        <w:rPr>
          <w:sz w:val="18"/>
        </w:rPr>
        <w:t>the</w:t>
      </w:r>
      <w:r>
        <w:rPr>
          <w:spacing w:val="-5"/>
          <w:sz w:val="18"/>
        </w:rPr>
        <w:t> </w:t>
      </w:r>
      <w:r>
        <w:rPr>
          <w:sz w:val="18"/>
        </w:rPr>
        <w:t>First</w:t>
      </w:r>
      <w:r>
        <w:rPr>
          <w:spacing w:val="-5"/>
          <w:sz w:val="18"/>
        </w:rPr>
        <w:t> </w:t>
      </w:r>
      <w:r>
        <w:rPr>
          <w:sz w:val="18"/>
        </w:rPr>
        <w:t>Minister</w:t>
      </w:r>
      <w:r>
        <w:rPr>
          <w:spacing w:val="-5"/>
          <w:sz w:val="18"/>
        </w:rPr>
        <w:t> </w:t>
      </w:r>
      <w:r>
        <w:rPr>
          <w:sz w:val="18"/>
        </w:rPr>
        <w:t>and</w:t>
      </w:r>
      <w:r>
        <w:rPr>
          <w:spacing w:val="-6"/>
          <w:sz w:val="18"/>
        </w:rPr>
        <w:t> </w:t>
      </w:r>
      <w:r>
        <w:rPr>
          <w:sz w:val="18"/>
        </w:rPr>
        <w:t>Deputy</w:t>
      </w:r>
      <w:r>
        <w:rPr>
          <w:spacing w:val="-5"/>
          <w:sz w:val="18"/>
        </w:rPr>
        <w:t> </w:t>
      </w:r>
      <w:r>
        <w:rPr>
          <w:sz w:val="18"/>
        </w:rPr>
        <w:t>First</w:t>
      </w:r>
      <w:r>
        <w:rPr>
          <w:spacing w:val="-5"/>
          <w:sz w:val="18"/>
        </w:rPr>
        <w:t> </w:t>
      </w:r>
      <w:r>
        <w:rPr>
          <w:sz w:val="18"/>
        </w:rPr>
        <w:t>Minster,</w:t>
      </w:r>
      <w:r>
        <w:rPr>
          <w:spacing w:val="-5"/>
          <w:sz w:val="18"/>
        </w:rPr>
        <w:t> </w:t>
      </w:r>
      <w:r>
        <w:rPr>
          <w:sz w:val="18"/>
        </w:rPr>
        <w:t>‘Proposals</w:t>
      </w:r>
      <w:r>
        <w:rPr>
          <w:spacing w:val="-6"/>
          <w:sz w:val="18"/>
        </w:rPr>
        <w:t> </w:t>
      </w:r>
      <w:r>
        <w:rPr>
          <w:sz w:val="18"/>
        </w:rPr>
        <w:t>to</w:t>
      </w:r>
      <w:r>
        <w:rPr>
          <w:spacing w:val="-6"/>
          <w:sz w:val="18"/>
        </w:rPr>
        <w:t> </w:t>
      </w:r>
      <w:r>
        <w:rPr>
          <w:sz w:val="18"/>
        </w:rPr>
        <w:t>Extend</w:t>
      </w:r>
      <w:r>
        <w:rPr>
          <w:spacing w:val="-6"/>
          <w:sz w:val="18"/>
        </w:rPr>
        <w:t> </w:t>
      </w:r>
      <w:r>
        <w:rPr>
          <w:sz w:val="18"/>
        </w:rPr>
        <w:t>Age</w:t>
      </w:r>
      <w:r>
        <w:rPr>
          <w:spacing w:val="-5"/>
          <w:sz w:val="18"/>
        </w:rPr>
        <w:t> </w:t>
      </w:r>
      <w:r>
        <w:rPr>
          <w:sz w:val="18"/>
        </w:rPr>
        <w:t>Discrimination</w:t>
      </w:r>
      <w:r>
        <w:rPr>
          <w:spacing w:val="-6"/>
          <w:sz w:val="18"/>
        </w:rPr>
        <w:t> </w:t>
      </w:r>
      <w:r>
        <w:rPr>
          <w:sz w:val="18"/>
        </w:rPr>
        <w:t>Legislation</w:t>
      </w:r>
      <w:r>
        <w:rPr>
          <w:spacing w:val="-6"/>
          <w:sz w:val="18"/>
        </w:rPr>
        <w:t> </w:t>
      </w:r>
      <w:r>
        <w:rPr>
          <w:sz w:val="18"/>
        </w:rPr>
        <w:t>(Age</w:t>
      </w:r>
      <w:r>
        <w:rPr>
          <w:spacing w:val="-5"/>
          <w:sz w:val="18"/>
        </w:rPr>
        <w:t> </w:t>
      </w:r>
      <w:r>
        <w:rPr>
          <w:sz w:val="18"/>
        </w:rPr>
        <w:t>Goods, Facilities and Services) Consultation Document’ (OFMDFM, 2015).</w:t>
      </w:r>
    </w:p>
    <w:p>
      <w:pPr>
        <w:pStyle w:val="ListParagraph"/>
        <w:numPr>
          <w:ilvl w:val="0"/>
          <w:numId w:val="3"/>
        </w:numPr>
        <w:tabs>
          <w:tab w:pos="1853" w:val="left" w:leader="none"/>
        </w:tabs>
        <w:spacing w:line="235" w:lineRule="auto" w:before="1" w:after="0"/>
        <w:ind w:left="1853" w:right="1555" w:hanging="720"/>
        <w:jc w:val="left"/>
        <w:rPr>
          <w:sz w:val="18"/>
        </w:rPr>
      </w:pPr>
      <w:r>
        <w:rPr>
          <w:sz w:val="18"/>
        </w:rPr>
        <w:t>NI</w:t>
      </w:r>
      <w:r>
        <w:rPr>
          <w:spacing w:val="-5"/>
          <w:sz w:val="18"/>
        </w:rPr>
        <w:t> </w:t>
      </w:r>
      <w:r>
        <w:rPr>
          <w:sz w:val="18"/>
        </w:rPr>
        <w:t>Assembly</w:t>
      </w:r>
      <w:r>
        <w:rPr>
          <w:spacing w:val="-5"/>
          <w:sz w:val="18"/>
        </w:rPr>
        <w:t> </w:t>
      </w:r>
      <w:r>
        <w:rPr>
          <w:sz w:val="18"/>
        </w:rPr>
        <w:t>Hansard,</w:t>
      </w:r>
      <w:r>
        <w:rPr>
          <w:spacing w:val="-5"/>
          <w:sz w:val="18"/>
        </w:rPr>
        <w:t> </w:t>
      </w:r>
      <w:r>
        <w:rPr>
          <w:sz w:val="18"/>
        </w:rPr>
        <w:t>‘Written</w:t>
      </w:r>
      <w:r>
        <w:rPr>
          <w:spacing w:val="-6"/>
          <w:sz w:val="18"/>
        </w:rPr>
        <w:t> </w:t>
      </w:r>
      <w:r>
        <w:rPr>
          <w:sz w:val="18"/>
        </w:rPr>
        <w:t>Question:</w:t>
      </w:r>
      <w:r>
        <w:rPr>
          <w:spacing w:val="-5"/>
          <w:sz w:val="18"/>
        </w:rPr>
        <w:t> </w:t>
      </w:r>
      <w:r>
        <w:rPr>
          <w:sz w:val="18"/>
        </w:rPr>
        <w:t>Age</w:t>
      </w:r>
      <w:r>
        <w:rPr>
          <w:spacing w:val="-5"/>
          <w:sz w:val="18"/>
        </w:rPr>
        <w:t> </w:t>
      </w:r>
      <w:r>
        <w:rPr>
          <w:sz w:val="18"/>
        </w:rPr>
        <w:t>Discrimination</w:t>
      </w:r>
      <w:r>
        <w:rPr>
          <w:spacing w:val="-6"/>
          <w:sz w:val="18"/>
        </w:rPr>
        <w:t> </w:t>
      </w:r>
      <w:r>
        <w:rPr>
          <w:sz w:val="18"/>
        </w:rPr>
        <w:t>Legislation</w:t>
      </w:r>
      <w:r>
        <w:rPr>
          <w:spacing w:val="-6"/>
          <w:sz w:val="18"/>
        </w:rPr>
        <w:t> </w:t>
      </w:r>
      <w:r>
        <w:rPr>
          <w:sz w:val="18"/>
        </w:rPr>
        <w:t>-</w:t>
      </w:r>
      <w:r>
        <w:rPr>
          <w:spacing w:val="-6"/>
          <w:sz w:val="18"/>
        </w:rPr>
        <w:t> </w:t>
      </w:r>
      <w:r>
        <w:rPr>
          <w:sz w:val="18"/>
        </w:rPr>
        <w:t>Andrew</w:t>
      </w:r>
      <w:r>
        <w:rPr>
          <w:spacing w:val="-5"/>
          <w:sz w:val="18"/>
        </w:rPr>
        <w:t> </w:t>
      </w:r>
      <w:r>
        <w:rPr>
          <w:sz w:val="18"/>
        </w:rPr>
        <w:t>Muir</w:t>
      </w:r>
      <w:r>
        <w:rPr>
          <w:spacing w:val="-5"/>
          <w:sz w:val="18"/>
        </w:rPr>
        <w:t> </w:t>
      </w:r>
      <w:r>
        <w:rPr>
          <w:sz w:val="18"/>
        </w:rPr>
        <w:t>MLA</w:t>
      </w:r>
      <w:r>
        <w:rPr>
          <w:spacing w:val="-5"/>
          <w:sz w:val="18"/>
        </w:rPr>
        <w:t> </w:t>
      </w:r>
      <w:r>
        <w:rPr>
          <w:sz w:val="18"/>
        </w:rPr>
        <w:t>-</w:t>
      </w:r>
      <w:r>
        <w:rPr>
          <w:spacing w:val="-6"/>
          <w:sz w:val="18"/>
        </w:rPr>
        <w:t> </w:t>
      </w:r>
      <w:r>
        <w:rPr>
          <w:sz w:val="18"/>
        </w:rPr>
        <w:t>AQW</w:t>
      </w:r>
      <w:r>
        <w:rPr>
          <w:spacing w:val="-5"/>
          <w:sz w:val="18"/>
        </w:rPr>
        <w:t> </w:t>
      </w:r>
      <w:r>
        <w:rPr>
          <w:sz w:val="18"/>
        </w:rPr>
        <w:t>28071/17-22’,</w:t>
      </w:r>
      <w:r>
        <w:rPr>
          <w:spacing w:val="-5"/>
          <w:sz w:val="18"/>
        </w:rPr>
        <w:t> </w:t>
      </w:r>
      <w:r>
        <w:rPr>
          <w:sz w:val="18"/>
        </w:rPr>
        <w:t>26 January 2022.</w:t>
      </w:r>
    </w:p>
    <w:p>
      <w:pPr>
        <w:pStyle w:val="ListParagraph"/>
        <w:numPr>
          <w:ilvl w:val="0"/>
          <w:numId w:val="3"/>
        </w:numPr>
        <w:tabs>
          <w:tab w:pos="1853" w:val="left" w:leader="none"/>
        </w:tabs>
        <w:spacing w:line="235" w:lineRule="auto" w:before="1" w:after="0"/>
        <w:ind w:left="1853" w:right="1363" w:hanging="720"/>
        <w:jc w:val="left"/>
        <w:rPr>
          <w:sz w:val="18"/>
        </w:rPr>
      </w:pPr>
      <w:r>
        <w:rPr>
          <w:sz w:val="18"/>
        </w:rPr>
        <w:t>Email</w:t>
      </w:r>
      <w:r>
        <w:rPr>
          <w:spacing w:val="-5"/>
          <w:sz w:val="18"/>
        </w:rPr>
        <w:t> </w:t>
      </w:r>
      <w:r>
        <w:rPr>
          <w:sz w:val="18"/>
        </w:rPr>
        <w:t>correspondence</w:t>
      </w:r>
      <w:r>
        <w:rPr>
          <w:spacing w:val="-4"/>
          <w:sz w:val="18"/>
        </w:rPr>
        <w:t> </w:t>
      </w:r>
      <w:r>
        <w:rPr>
          <w:sz w:val="18"/>
        </w:rPr>
        <w:t>from</w:t>
      </w:r>
      <w:r>
        <w:rPr>
          <w:spacing w:val="-4"/>
          <w:sz w:val="18"/>
        </w:rPr>
        <w:t> </w:t>
      </w:r>
      <w:r>
        <w:rPr>
          <w:sz w:val="18"/>
        </w:rPr>
        <w:t>the</w:t>
      </w:r>
      <w:r>
        <w:rPr>
          <w:spacing w:val="-4"/>
          <w:sz w:val="18"/>
        </w:rPr>
        <w:t> </w:t>
      </w:r>
      <w:r>
        <w:rPr>
          <w:sz w:val="18"/>
        </w:rPr>
        <w:t>Executive</w:t>
      </w:r>
      <w:r>
        <w:rPr>
          <w:spacing w:val="-4"/>
          <w:sz w:val="18"/>
        </w:rPr>
        <w:t> </w:t>
      </w:r>
      <w:r>
        <w:rPr>
          <w:sz w:val="18"/>
        </w:rPr>
        <w:t>Office</w:t>
      </w:r>
      <w:r>
        <w:rPr>
          <w:spacing w:val="-4"/>
          <w:sz w:val="18"/>
        </w:rPr>
        <w:t> </w:t>
      </w:r>
      <w:r>
        <w:rPr>
          <w:sz w:val="18"/>
        </w:rPr>
        <w:t>to</w:t>
      </w:r>
      <w:r>
        <w:rPr>
          <w:spacing w:val="-5"/>
          <w:sz w:val="18"/>
        </w:rPr>
        <w:t> </w:t>
      </w: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27</w:t>
      </w:r>
      <w:r>
        <w:rPr>
          <w:spacing w:val="-4"/>
          <w:sz w:val="18"/>
        </w:rPr>
        <w:t> </w:t>
      </w:r>
      <w:r>
        <w:rPr>
          <w:sz w:val="18"/>
        </w:rPr>
        <w:t>March</w:t>
      </w:r>
      <w:r>
        <w:rPr>
          <w:spacing w:val="-5"/>
          <w:sz w:val="18"/>
        </w:rPr>
        <w:t> </w:t>
      </w:r>
      <w:r>
        <w:rPr>
          <w:sz w:val="18"/>
        </w:rPr>
        <w:t>2024;</w:t>
      </w:r>
      <w:r>
        <w:rPr>
          <w:spacing w:val="-4"/>
          <w:sz w:val="18"/>
        </w:rPr>
        <w:t> </w:t>
      </w:r>
      <w:r>
        <w:rPr>
          <w:sz w:val="18"/>
        </w:rPr>
        <w:t>Equality</w:t>
      </w:r>
      <w:r>
        <w:rPr>
          <w:spacing w:val="-4"/>
          <w:sz w:val="18"/>
        </w:rPr>
        <w:t> </w:t>
      </w:r>
      <w:r>
        <w:rPr>
          <w:sz w:val="18"/>
        </w:rPr>
        <w:t>Commission for NI, ‘Press Release: Age discrimination law needs strengthened in NI’, 3 February 2023.</w:t>
      </w:r>
    </w:p>
    <w:p>
      <w:pPr>
        <w:pStyle w:val="ListParagraph"/>
        <w:numPr>
          <w:ilvl w:val="0"/>
          <w:numId w:val="3"/>
        </w:numPr>
        <w:tabs>
          <w:tab w:pos="1853" w:val="left" w:leader="none"/>
        </w:tabs>
        <w:spacing w:line="218" w:lineRule="exact" w:before="0" w:after="0"/>
        <w:ind w:left="1853" w:right="0" w:hanging="720"/>
        <w:jc w:val="left"/>
        <w:rPr>
          <w:sz w:val="18"/>
        </w:rPr>
      </w:pPr>
      <w:r>
        <w:rPr>
          <w:sz w:val="18"/>
        </w:rPr>
        <w:t>CRC/C/GBR/CO/6-7,</w:t>
      </w:r>
      <w:r>
        <w:rPr>
          <w:spacing w:val="-5"/>
          <w:sz w:val="18"/>
        </w:rPr>
        <w:t> </w:t>
      </w:r>
      <w:r>
        <w:rPr>
          <w:sz w:val="18"/>
        </w:rPr>
        <w:t>‘UN</w:t>
      </w:r>
      <w:r>
        <w:rPr>
          <w:spacing w:val="-4"/>
          <w:sz w:val="18"/>
        </w:rPr>
        <w:t> </w:t>
      </w:r>
      <w:r>
        <w:rPr>
          <w:sz w:val="18"/>
        </w:rPr>
        <w:t>CRC</w:t>
      </w:r>
      <w:r>
        <w:rPr>
          <w:spacing w:val="-5"/>
          <w:sz w:val="18"/>
        </w:rPr>
        <w:t> </w:t>
      </w:r>
      <w:r>
        <w:rPr>
          <w:sz w:val="18"/>
        </w:rPr>
        <w:t>Committee</w:t>
      </w:r>
      <w:r>
        <w:rPr>
          <w:spacing w:val="-4"/>
          <w:sz w:val="18"/>
        </w:rPr>
        <w:t> </w:t>
      </w:r>
      <w:r>
        <w:rPr>
          <w:sz w:val="18"/>
        </w:rPr>
        <w:t>Concluding</w:t>
      </w:r>
      <w:r>
        <w:rPr>
          <w:spacing w:val="-4"/>
          <w:sz w:val="18"/>
        </w:rPr>
        <w:t> </w:t>
      </w:r>
      <w:r>
        <w:rPr>
          <w:sz w:val="18"/>
        </w:rPr>
        <w:t>Observations</w:t>
      </w:r>
      <w:r>
        <w:rPr>
          <w:spacing w:val="-5"/>
          <w:sz w:val="18"/>
        </w:rPr>
        <w:t> </w:t>
      </w:r>
      <w:r>
        <w:rPr>
          <w:sz w:val="18"/>
        </w:rPr>
        <w:t>on</w:t>
      </w:r>
      <w:r>
        <w:rPr>
          <w:spacing w:val="-5"/>
          <w:sz w:val="18"/>
        </w:rPr>
        <w:t> </w:t>
      </w:r>
      <w:r>
        <w:rPr>
          <w:sz w:val="18"/>
        </w:rPr>
        <w:t>the</w:t>
      </w:r>
      <w:r>
        <w:rPr>
          <w:spacing w:val="-4"/>
          <w:sz w:val="18"/>
        </w:rPr>
        <w:t> </w:t>
      </w:r>
      <w:r>
        <w:rPr>
          <w:sz w:val="18"/>
        </w:rPr>
        <w:t>Sixth</w:t>
      </w:r>
      <w:r>
        <w:rPr>
          <w:spacing w:val="-5"/>
          <w:sz w:val="18"/>
        </w:rPr>
        <w:t> </w:t>
      </w:r>
      <w:r>
        <w:rPr>
          <w:sz w:val="18"/>
        </w:rPr>
        <w:t>and</w:t>
      </w:r>
      <w:r>
        <w:rPr>
          <w:spacing w:val="-5"/>
          <w:sz w:val="18"/>
        </w:rPr>
        <w:t> </w:t>
      </w:r>
      <w:r>
        <w:rPr>
          <w:sz w:val="18"/>
        </w:rPr>
        <w:t>Seven</w:t>
      </w:r>
      <w:r>
        <w:rPr>
          <w:spacing w:val="-5"/>
          <w:sz w:val="18"/>
        </w:rPr>
        <w:t> </w:t>
      </w:r>
      <w:r>
        <w:rPr>
          <w:sz w:val="18"/>
        </w:rPr>
        <w:t>Periodic</w:t>
      </w:r>
      <w:r>
        <w:rPr>
          <w:spacing w:val="-4"/>
          <w:sz w:val="18"/>
        </w:rPr>
        <w:t> </w:t>
      </w:r>
      <w:r>
        <w:rPr>
          <w:sz w:val="18"/>
        </w:rPr>
        <w:t>Report</w:t>
      </w:r>
      <w:r>
        <w:rPr>
          <w:spacing w:val="-5"/>
          <w:sz w:val="18"/>
        </w:rPr>
        <w:t> </w:t>
      </w:r>
      <w:r>
        <w:rPr>
          <w:sz w:val="18"/>
        </w:rPr>
        <w:t>of</w:t>
      </w:r>
      <w:r>
        <w:rPr>
          <w:spacing w:val="-5"/>
          <w:sz w:val="18"/>
        </w:rPr>
        <w:t> </w:t>
      </w:r>
      <w:r>
        <w:rPr>
          <w:sz w:val="18"/>
        </w:rPr>
        <w:t>the</w:t>
      </w:r>
      <w:r>
        <w:rPr>
          <w:spacing w:val="-4"/>
          <w:sz w:val="18"/>
        </w:rPr>
        <w:t> </w:t>
      </w:r>
      <w:r>
        <w:rPr>
          <w:sz w:val="18"/>
        </w:rPr>
        <w:t>UK</w:t>
      </w:r>
      <w:r>
        <w:rPr>
          <w:spacing w:val="-4"/>
          <w:sz w:val="18"/>
        </w:rPr>
        <w:t> </w:t>
      </w:r>
      <w:r>
        <w:rPr>
          <w:spacing w:val="-5"/>
          <w:sz w:val="18"/>
        </w:rPr>
        <w:t>of</w:t>
      </w:r>
    </w:p>
    <w:p>
      <w:pPr>
        <w:spacing w:after="0" w:line="218" w:lineRule="exact"/>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pPr>
      <w:bookmarkStart w:name="_bookmark19" w:id="43"/>
      <w:bookmarkEnd w:id="43"/>
      <w:r>
        <w:rPr/>
      </w:r>
      <w:r>
        <w:rPr/>
        <w:t>that the UK Government and the NI Executive “take legislative and other measures</w:t>
      </w:r>
      <w:r>
        <w:rPr>
          <w:spacing w:val="-6"/>
        </w:rPr>
        <w:t> </w:t>
      </w:r>
      <w:r>
        <w:rPr/>
        <w:t>to</w:t>
      </w:r>
      <w:r>
        <w:rPr>
          <w:spacing w:val="-6"/>
        </w:rPr>
        <w:t> </w:t>
      </w:r>
      <w:r>
        <w:rPr/>
        <w:t>ensure</w:t>
      </w:r>
      <w:r>
        <w:rPr>
          <w:spacing w:val="-5"/>
        </w:rPr>
        <w:t> </w:t>
      </w:r>
      <w:r>
        <w:rPr/>
        <w:t>the</w:t>
      </w:r>
      <w:r>
        <w:rPr>
          <w:spacing w:val="-5"/>
        </w:rPr>
        <w:t> </w:t>
      </w:r>
      <w:r>
        <w:rPr/>
        <w:t>protection</w:t>
      </w:r>
      <w:r>
        <w:rPr>
          <w:spacing w:val="-6"/>
        </w:rPr>
        <w:t> </w:t>
      </w:r>
      <w:r>
        <w:rPr/>
        <w:t>of</w:t>
      </w:r>
      <w:r>
        <w:rPr>
          <w:spacing w:val="-6"/>
        </w:rPr>
        <w:t> </w:t>
      </w:r>
      <w:r>
        <w:rPr/>
        <w:t>all</w:t>
      </w:r>
      <w:r>
        <w:rPr>
          <w:spacing w:val="-6"/>
        </w:rPr>
        <w:t> </w:t>
      </w:r>
      <w:r>
        <w:rPr/>
        <w:t>children</w:t>
      </w:r>
      <w:r>
        <w:rPr>
          <w:spacing w:val="-6"/>
        </w:rPr>
        <w:t> </w:t>
      </w:r>
      <w:r>
        <w:rPr/>
        <w:t>below</w:t>
      </w:r>
      <w:r>
        <w:rPr>
          <w:spacing w:val="-5"/>
        </w:rPr>
        <w:t> </w:t>
      </w:r>
      <w:r>
        <w:rPr/>
        <w:t>18</w:t>
      </w:r>
      <w:r>
        <w:rPr>
          <w:spacing w:val="-5"/>
        </w:rPr>
        <w:t> </w:t>
      </w:r>
      <w:r>
        <w:rPr/>
        <w:t>years</w:t>
      </w:r>
      <w:r>
        <w:rPr>
          <w:spacing w:val="-6"/>
        </w:rPr>
        <w:t> </w:t>
      </w:r>
      <w:r>
        <w:rPr/>
        <w:t>of</w:t>
      </w:r>
      <w:r>
        <w:rPr>
          <w:spacing w:val="-6"/>
        </w:rPr>
        <w:t> </w:t>
      </w:r>
      <w:r>
        <w:rPr/>
        <w:t>age</w:t>
      </w:r>
      <w:r>
        <w:rPr>
          <w:spacing w:val="-5"/>
        </w:rPr>
        <w:t> </w:t>
      </w:r>
      <w:r>
        <w:rPr/>
        <w:t>from discrimination on the grounds of their age, particularly in… NI”.</w:t>
      </w:r>
      <w:r>
        <w:rPr>
          <w:vertAlign w:val="superscript"/>
        </w:rPr>
        <w:t>197</w:t>
      </w:r>
    </w:p>
    <w:p>
      <w:pPr>
        <w:pStyle w:val="ListParagraph"/>
        <w:numPr>
          <w:ilvl w:val="1"/>
          <w:numId w:val="7"/>
        </w:numPr>
        <w:tabs>
          <w:tab w:pos="1853" w:val="left" w:leader="none"/>
        </w:tabs>
        <w:spacing w:line="225" w:lineRule="auto" w:before="317" w:after="0"/>
        <w:ind w:left="1853" w:right="1312" w:hanging="720"/>
        <w:jc w:val="left"/>
        <w:rPr>
          <w:sz w:val="28"/>
        </w:rPr>
      </w:pPr>
      <w:r>
        <w:rPr>
          <w:sz w:val="28"/>
        </w:rPr>
        <w:t>As noted above, in 2022, EU Commission introduced proposals for two EU directives</w:t>
      </w:r>
      <w:r>
        <w:rPr>
          <w:spacing w:val="-10"/>
          <w:sz w:val="28"/>
        </w:rPr>
        <w:t> </w:t>
      </w:r>
      <w:r>
        <w:rPr>
          <w:sz w:val="28"/>
        </w:rPr>
        <w:t>on</w:t>
      </w:r>
      <w:r>
        <w:rPr>
          <w:spacing w:val="-10"/>
          <w:sz w:val="28"/>
        </w:rPr>
        <w:t> </w:t>
      </w:r>
      <w:r>
        <w:rPr>
          <w:sz w:val="28"/>
        </w:rPr>
        <w:t>standards</w:t>
      </w:r>
      <w:r>
        <w:rPr>
          <w:spacing w:val="-10"/>
          <w:sz w:val="28"/>
        </w:rPr>
        <w:t> </w:t>
      </w:r>
      <w:r>
        <w:rPr>
          <w:sz w:val="28"/>
        </w:rPr>
        <w:t>for</w:t>
      </w:r>
      <w:r>
        <w:rPr>
          <w:spacing w:val="-9"/>
          <w:sz w:val="28"/>
        </w:rPr>
        <w:t> </w:t>
      </w:r>
      <w:r>
        <w:rPr>
          <w:sz w:val="28"/>
        </w:rPr>
        <w:t>equality</w:t>
      </w:r>
      <w:r>
        <w:rPr>
          <w:spacing w:val="-9"/>
          <w:sz w:val="28"/>
        </w:rPr>
        <w:t> </w:t>
      </w:r>
      <w:r>
        <w:rPr>
          <w:sz w:val="28"/>
        </w:rPr>
        <w:t>bodies.</w:t>
      </w:r>
      <w:r>
        <w:rPr>
          <w:sz w:val="28"/>
          <w:vertAlign w:val="superscript"/>
        </w:rPr>
        <w:t>198</w:t>
      </w:r>
      <w:r>
        <w:rPr>
          <w:spacing w:val="-10"/>
          <w:sz w:val="28"/>
          <w:vertAlign w:val="baseline"/>
        </w:rPr>
        <w:t> </w:t>
      </w:r>
      <w:r>
        <w:rPr>
          <w:sz w:val="28"/>
          <w:vertAlign w:val="baseline"/>
        </w:rPr>
        <w:t>The</w:t>
      </w:r>
      <w:r>
        <w:rPr>
          <w:spacing w:val="-9"/>
          <w:sz w:val="28"/>
          <w:vertAlign w:val="baseline"/>
        </w:rPr>
        <w:t> </w:t>
      </w:r>
      <w:r>
        <w:rPr>
          <w:sz w:val="28"/>
          <w:vertAlign w:val="baseline"/>
        </w:rPr>
        <w:t>Commissions</w:t>
      </w:r>
      <w:r>
        <w:rPr>
          <w:spacing w:val="-10"/>
          <w:sz w:val="28"/>
          <w:vertAlign w:val="baseline"/>
        </w:rPr>
        <w:t> </w:t>
      </w:r>
      <w:r>
        <w:rPr>
          <w:sz w:val="28"/>
          <w:vertAlign w:val="baseline"/>
        </w:rPr>
        <w:t>consider</w:t>
      </w:r>
      <w:r>
        <w:rPr>
          <w:spacing w:val="-9"/>
          <w:sz w:val="28"/>
          <w:vertAlign w:val="baseline"/>
        </w:rPr>
        <w:t> </w:t>
      </w:r>
      <w:r>
        <w:rPr>
          <w:sz w:val="28"/>
          <w:vertAlign w:val="baseline"/>
        </w:rPr>
        <w:t>that these proposals amend provisions of EU Employment Equality (Framework) Directive which protects against discrimination on grounds of age in </w:t>
      </w:r>
      <w:r>
        <w:rPr>
          <w:spacing w:val="-2"/>
          <w:sz w:val="28"/>
          <w:vertAlign w:val="baseline"/>
        </w:rPr>
        <w:t>employment.</w:t>
      </w:r>
      <w:r>
        <w:rPr>
          <w:spacing w:val="-2"/>
          <w:sz w:val="28"/>
          <w:vertAlign w:val="superscript"/>
        </w:rPr>
        <w:t>199</w:t>
      </w:r>
    </w:p>
    <w:p>
      <w:pPr>
        <w:pStyle w:val="BodyText"/>
        <w:spacing w:before="2"/>
        <w:rPr>
          <w:sz w:val="16"/>
        </w:rPr>
      </w:pPr>
      <w:r>
        <w:rPr/>
        <mc:AlternateContent>
          <mc:Choice Requires="wps">
            <w:drawing>
              <wp:anchor distT="0" distB="0" distL="0" distR="0" allowOverlap="1" layoutInCell="1" locked="0" behindDoc="1" simplePos="0" relativeHeight="487648768">
                <wp:simplePos x="0" y="0"/>
                <wp:positionH relativeFrom="page">
                  <wp:posOffset>720001</wp:posOffset>
                </wp:positionH>
                <wp:positionV relativeFrom="paragraph">
                  <wp:posOffset>141052</wp:posOffset>
                </wp:positionV>
                <wp:extent cx="6120130" cy="360045"/>
                <wp:effectExtent l="0" t="0" r="0" b="0"/>
                <wp:wrapTopAndBottom/>
                <wp:docPr id="217" name="Textbox 217"/>
                <wp:cNvGraphicFramePr>
                  <a:graphicFrameLocks/>
                </wp:cNvGraphicFramePr>
                <a:graphic>
                  <a:graphicData uri="http://schemas.microsoft.com/office/word/2010/wordprocessingShape">
                    <wps:wsp>
                      <wps:cNvPr id="217" name="Textbox 217"/>
                      <wps:cNvSpPr txBox="1"/>
                      <wps:spPr>
                        <a:xfrm>
                          <a:off x="0" y="0"/>
                          <a:ext cx="6120130" cy="360045"/>
                        </a:xfrm>
                        <a:prstGeom prst="rect">
                          <a:avLst/>
                        </a:prstGeom>
                        <a:solidFill>
                          <a:srgbClr val="393B7F"/>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11.106531pt;width:481.9pt;height:28.35pt;mso-position-horizontal-relative:page;mso-position-vertical-relative:paragraph;z-index:-15667712;mso-wrap-distance-left:0;mso-wrap-distance-right:0" type="#_x0000_t202" id="docshape173" filled="true" fillcolor="#393b7f"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208" w:after="0"/>
        <w:ind w:left="1853" w:right="1302" w:hanging="720"/>
        <w:jc w:val="left"/>
        <w:rPr>
          <w:b/>
          <w:color w:val="67287F"/>
          <w:sz w:val="28"/>
        </w:rPr>
      </w:pPr>
      <w:r>
        <w:rPr>
          <w:b/>
          <w:color w:val="67287F"/>
          <w:sz w:val="28"/>
        </w:rPr>
        <w:t>The Commissions continue to recommend that the NI Executive and the Executive</w:t>
      </w:r>
      <w:r>
        <w:rPr>
          <w:b/>
          <w:color w:val="67287F"/>
          <w:spacing w:val="-14"/>
          <w:sz w:val="28"/>
        </w:rPr>
        <w:t> </w:t>
      </w:r>
      <w:r>
        <w:rPr>
          <w:b/>
          <w:color w:val="67287F"/>
          <w:sz w:val="28"/>
        </w:rPr>
        <w:t>Office</w:t>
      </w:r>
      <w:r>
        <w:rPr>
          <w:b/>
          <w:color w:val="67287F"/>
          <w:spacing w:val="-14"/>
          <w:sz w:val="28"/>
        </w:rPr>
        <w:t> </w:t>
      </w:r>
      <w:r>
        <w:rPr>
          <w:b/>
          <w:color w:val="67287F"/>
          <w:sz w:val="28"/>
        </w:rPr>
        <w:t>introduces</w:t>
      </w:r>
      <w:r>
        <w:rPr>
          <w:b/>
          <w:color w:val="67287F"/>
          <w:spacing w:val="-13"/>
          <w:sz w:val="28"/>
        </w:rPr>
        <w:t> </w:t>
      </w:r>
      <w:r>
        <w:rPr>
          <w:b/>
          <w:color w:val="67287F"/>
          <w:sz w:val="28"/>
        </w:rPr>
        <w:t>legislation</w:t>
      </w:r>
      <w:r>
        <w:rPr>
          <w:b/>
          <w:color w:val="67287F"/>
          <w:spacing w:val="-13"/>
          <w:sz w:val="28"/>
        </w:rPr>
        <w:t> </w:t>
      </w:r>
      <w:r>
        <w:rPr>
          <w:b/>
          <w:color w:val="67287F"/>
          <w:sz w:val="28"/>
        </w:rPr>
        <w:t>protecting</w:t>
      </w:r>
      <w:r>
        <w:rPr>
          <w:b/>
          <w:color w:val="67287F"/>
          <w:spacing w:val="-14"/>
          <w:sz w:val="28"/>
        </w:rPr>
        <w:t> </w:t>
      </w:r>
      <w:r>
        <w:rPr>
          <w:b/>
          <w:color w:val="67287F"/>
          <w:sz w:val="28"/>
        </w:rPr>
        <w:t>against</w:t>
      </w:r>
      <w:r>
        <w:rPr>
          <w:b/>
          <w:color w:val="67287F"/>
          <w:spacing w:val="-13"/>
          <w:sz w:val="28"/>
        </w:rPr>
        <w:t> </w:t>
      </w:r>
      <w:r>
        <w:rPr>
          <w:b/>
          <w:color w:val="67287F"/>
          <w:sz w:val="28"/>
        </w:rPr>
        <w:t>age</w:t>
      </w:r>
      <w:r>
        <w:rPr>
          <w:b/>
          <w:color w:val="67287F"/>
          <w:spacing w:val="-14"/>
          <w:sz w:val="28"/>
        </w:rPr>
        <w:t> </w:t>
      </w:r>
      <w:r>
        <w:rPr>
          <w:b/>
          <w:color w:val="67287F"/>
          <w:sz w:val="28"/>
        </w:rPr>
        <w:t>discrimination in the provision of goods, facilities and services.</w:t>
      </w:r>
    </w:p>
    <w:p>
      <w:pPr>
        <w:pStyle w:val="ListParagraph"/>
        <w:numPr>
          <w:ilvl w:val="1"/>
          <w:numId w:val="7"/>
        </w:numPr>
        <w:tabs>
          <w:tab w:pos="1853" w:val="left" w:leader="none"/>
        </w:tabs>
        <w:spacing w:line="225" w:lineRule="auto" w:before="317" w:after="0"/>
        <w:ind w:left="1853" w:right="1191" w:hanging="720"/>
        <w:jc w:val="left"/>
        <w:rPr>
          <w:b/>
          <w:color w:val="67287F"/>
          <w:sz w:val="28"/>
        </w:rPr>
      </w:pPr>
      <w:r>
        <w:rPr>
          <w:b/>
          <w:color w:val="67287F"/>
          <w:sz w:val="28"/>
        </w:rPr>
        <w:t>The Commissions advise the NI Executive and the Department for Communities</w:t>
      </w:r>
      <w:r>
        <w:rPr>
          <w:b/>
          <w:color w:val="67287F"/>
          <w:spacing w:val="-6"/>
          <w:sz w:val="28"/>
        </w:rPr>
        <w:t> </w:t>
      </w:r>
      <w:r>
        <w:rPr>
          <w:b/>
          <w:color w:val="67287F"/>
          <w:sz w:val="28"/>
        </w:rPr>
        <w:t>that,</w:t>
      </w:r>
      <w:r>
        <w:rPr>
          <w:b/>
          <w:color w:val="67287F"/>
          <w:spacing w:val="-6"/>
          <w:sz w:val="28"/>
        </w:rPr>
        <w:t> </w:t>
      </w:r>
      <w:r>
        <w:rPr>
          <w:b/>
          <w:color w:val="67287F"/>
          <w:sz w:val="28"/>
        </w:rPr>
        <w:t>pursuant</w:t>
      </w:r>
      <w:r>
        <w:rPr>
          <w:b/>
          <w:color w:val="67287F"/>
          <w:spacing w:val="-6"/>
          <w:sz w:val="28"/>
        </w:rPr>
        <w:t> </w:t>
      </w:r>
      <w:r>
        <w:rPr>
          <w:b/>
          <w:color w:val="67287F"/>
          <w:sz w:val="28"/>
        </w:rPr>
        <w:t>to</w:t>
      </w:r>
      <w:r>
        <w:rPr>
          <w:b/>
          <w:color w:val="67287F"/>
          <w:spacing w:val="-6"/>
          <w:sz w:val="28"/>
        </w:rPr>
        <w:t> </w:t>
      </w:r>
      <w:r>
        <w:rPr>
          <w:b/>
          <w:color w:val="67287F"/>
          <w:sz w:val="28"/>
        </w:rPr>
        <w:t>Articles</w:t>
      </w:r>
      <w:r>
        <w:rPr>
          <w:b/>
          <w:color w:val="67287F"/>
          <w:spacing w:val="-6"/>
          <w:sz w:val="28"/>
        </w:rPr>
        <w:t> </w:t>
      </w:r>
      <w:r>
        <w:rPr>
          <w:b/>
          <w:color w:val="67287F"/>
          <w:sz w:val="28"/>
        </w:rPr>
        <w:t>2</w:t>
      </w:r>
      <w:r>
        <w:rPr>
          <w:b/>
          <w:color w:val="67287F"/>
          <w:spacing w:val="-6"/>
          <w:sz w:val="28"/>
        </w:rPr>
        <w:t> </w:t>
      </w:r>
      <w:r>
        <w:rPr>
          <w:b/>
          <w:color w:val="67287F"/>
          <w:sz w:val="28"/>
        </w:rPr>
        <w:t>and</w:t>
      </w:r>
      <w:r>
        <w:rPr>
          <w:b/>
          <w:color w:val="67287F"/>
          <w:spacing w:val="-6"/>
          <w:sz w:val="28"/>
        </w:rPr>
        <w:t> </w:t>
      </w:r>
      <w:r>
        <w:rPr>
          <w:b/>
          <w:color w:val="67287F"/>
          <w:sz w:val="28"/>
        </w:rPr>
        <w:t>13</w:t>
      </w:r>
      <w:r>
        <w:rPr>
          <w:b/>
          <w:color w:val="67287F"/>
          <w:spacing w:val="-6"/>
          <w:sz w:val="28"/>
        </w:rPr>
        <w:t> </w:t>
      </w:r>
      <w:r>
        <w:rPr>
          <w:b/>
          <w:color w:val="67287F"/>
          <w:sz w:val="28"/>
        </w:rPr>
        <w:t>Windsor</w:t>
      </w:r>
      <w:r>
        <w:rPr>
          <w:b/>
          <w:color w:val="67287F"/>
          <w:spacing w:val="-7"/>
          <w:sz w:val="28"/>
        </w:rPr>
        <w:t> </w:t>
      </w:r>
      <w:r>
        <w:rPr>
          <w:b/>
          <w:color w:val="67287F"/>
          <w:sz w:val="28"/>
        </w:rPr>
        <w:t>Framework,</w:t>
      </w:r>
      <w:r>
        <w:rPr>
          <w:b/>
          <w:color w:val="67287F"/>
          <w:spacing w:val="-6"/>
          <w:sz w:val="28"/>
        </w:rPr>
        <w:t> </w:t>
      </w:r>
      <w:r>
        <w:rPr>
          <w:b/>
          <w:color w:val="67287F"/>
          <w:sz w:val="28"/>
        </w:rPr>
        <w:t>NI</w:t>
      </w:r>
      <w:r>
        <w:rPr>
          <w:b/>
          <w:color w:val="67287F"/>
          <w:spacing w:val="-6"/>
          <w:sz w:val="28"/>
        </w:rPr>
        <w:t> </w:t>
      </w:r>
      <w:r>
        <w:rPr>
          <w:b/>
          <w:color w:val="67287F"/>
          <w:sz w:val="28"/>
        </w:rPr>
        <w:t>law should be amended to keep pace with those provisions of the EU directives on</w:t>
      </w:r>
      <w:r>
        <w:rPr>
          <w:b/>
          <w:color w:val="67287F"/>
          <w:spacing w:val="-3"/>
          <w:sz w:val="28"/>
        </w:rPr>
        <w:t> </w:t>
      </w:r>
      <w:r>
        <w:rPr>
          <w:b/>
          <w:color w:val="67287F"/>
          <w:sz w:val="28"/>
        </w:rPr>
        <w:t>standards</w:t>
      </w:r>
      <w:r>
        <w:rPr>
          <w:b/>
          <w:color w:val="67287F"/>
          <w:spacing w:val="-3"/>
          <w:sz w:val="28"/>
        </w:rPr>
        <w:t> </w:t>
      </w:r>
      <w:r>
        <w:rPr>
          <w:b/>
          <w:color w:val="67287F"/>
          <w:sz w:val="28"/>
        </w:rPr>
        <w:t>for</w:t>
      </w:r>
      <w:r>
        <w:rPr>
          <w:b/>
          <w:color w:val="67287F"/>
          <w:spacing w:val="-4"/>
          <w:sz w:val="28"/>
        </w:rPr>
        <w:t> </w:t>
      </w:r>
      <w:r>
        <w:rPr>
          <w:b/>
          <w:color w:val="67287F"/>
          <w:sz w:val="28"/>
        </w:rPr>
        <w:t>equality</w:t>
      </w:r>
      <w:r>
        <w:rPr>
          <w:b/>
          <w:color w:val="67287F"/>
          <w:spacing w:val="-3"/>
          <w:sz w:val="28"/>
        </w:rPr>
        <w:t> </w:t>
      </w:r>
      <w:r>
        <w:rPr>
          <w:b/>
          <w:color w:val="67287F"/>
          <w:sz w:val="28"/>
        </w:rPr>
        <w:t>bodies,</w:t>
      </w:r>
      <w:r>
        <w:rPr>
          <w:b/>
          <w:color w:val="67287F"/>
          <w:spacing w:val="-3"/>
          <w:sz w:val="28"/>
        </w:rPr>
        <w:t> </w:t>
      </w:r>
      <w:r>
        <w:rPr>
          <w:b/>
          <w:color w:val="67287F"/>
          <w:sz w:val="28"/>
        </w:rPr>
        <w:t>if</w:t>
      </w:r>
      <w:r>
        <w:rPr>
          <w:b/>
          <w:color w:val="67287F"/>
          <w:spacing w:val="-4"/>
          <w:sz w:val="28"/>
        </w:rPr>
        <w:t> </w:t>
      </w:r>
      <w:r>
        <w:rPr>
          <w:b/>
          <w:color w:val="67287F"/>
          <w:sz w:val="28"/>
        </w:rPr>
        <w:t>adopted,</w:t>
      </w:r>
      <w:r>
        <w:rPr>
          <w:b/>
          <w:color w:val="67287F"/>
          <w:spacing w:val="-3"/>
          <w:sz w:val="28"/>
        </w:rPr>
        <w:t> </w:t>
      </w:r>
      <w:r>
        <w:rPr>
          <w:b/>
          <w:color w:val="67287F"/>
          <w:sz w:val="28"/>
        </w:rPr>
        <w:t>which</w:t>
      </w:r>
      <w:r>
        <w:rPr>
          <w:b/>
          <w:color w:val="67287F"/>
          <w:spacing w:val="-3"/>
          <w:sz w:val="28"/>
        </w:rPr>
        <w:t> </w:t>
      </w:r>
      <w:r>
        <w:rPr>
          <w:b/>
          <w:color w:val="67287F"/>
          <w:sz w:val="28"/>
        </w:rPr>
        <w:t>amend</w:t>
      </w:r>
      <w:r>
        <w:rPr>
          <w:b/>
          <w:color w:val="67287F"/>
          <w:spacing w:val="-3"/>
          <w:sz w:val="28"/>
        </w:rPr>
        <w:t> </w:t>
      </w:r>
      <w:r>
        <w:rPr>
          <w:b/>
          <w:color w:val="67287F"/>
          <w:sz w:val="28"/>
        </w:rPr>
        <w:t>or</w:t>
      </w:r>
      <w:r>
        <w:rPr>
          <w:b/>
          <w:color w:val="67287F"/>
          <w:spacing w:val="-4"/>
          <w:sz w:val="28"/>
        </w:rPr>
        <w:t> </w:t>
      </w:r>
      <w:r>
        <w:rPr>
          <w:b/>
          <w:color w:val="67287F"/>
          <w:sz w:val="28"/>
        </w:rPr>
        <w:t>replace</w:t>
      </w:r>
      <w:r>
        <w:rPr>
          <w:b/>
          <w:color w:val="67287F"/>
          <w:spacing w:val="-4"/>
          <w:sz w:val="28"/>
        </w:rPr>
        <w:t> </w:t>
      </w:r>
      <w:r>
        <w:rPr>
          <w:b/>
          <w:color w:val="67287F"/>
          <w:sz w:val="28"/>
        </w:rPr>
        <w:t>the</w:t>
      </w:r>
      <w:r>
        <w:rPr>
          <w:b/>
          <w:color w:val="67287F"/>
          <w:spacing w:val="-4"/>
          <w:sz w:val="28"/>
        </w:rPr>
        <w:t> </w:t>
      </w:r>
      <w:r>
        <w:rPr>
          <w:b/>
          <w:color w:val="67287F"/>
          <w:sz w:val="28"/>
        </w:rPr>
        <w:t>EU Employment Equality (Framework) Directive. The timing of implementing these changes in NI law should align with the transposition deadline for Member States in relation to these directives, if adopted.</w:t>
      </w:r>
    </w:p>
    <w:p>
      <w:pPr>
        <w:pStyle w:val="Heading5"/>
        <w:spacing w:before="294"/>
        <w:ind w:left="1133" w:firstLine="0"/>
      </w:pPr>
      <w:bookmarkStart w:name="Disability Equality" w:id="44"/>
      <w:bookmarkEnd w:id="44"/>
      <w:r>
        <w:rPr>
          <w:b w:val="0"/>
        </w:rPr>
      </w:r>
      <w:r>
        <w:rPr>
          <w:color w:val="393B7F"/>
        </w:rPr>
        <w:t>Disability </w:t>
      </w:r>
      <w:r>
        <w:rPr>
          <w:color w:val="393B7F"/>
          <w:spacing w:val="-2"/>
        </w:rPr>
        <w:t>Equality</w:t>
      </w:r>
    </w:p>
    <w:p>
      <w:pPr>
        <w:pStyle w:val="ListParagraph"/>
        <w:numPr>
          <w:ilvl w:val="1"/>
          <w:numId w:val="7"/>
        </w:numPr>
        <w:tabs>
          <w:tab w:pos="1853" w:val="left" w:leader="none"/>
        </w:tabs>
        <w:spacing w:line="225" w:lineRule="auto" w:before="331" w:after="0"/>
        <w:ind w:left="1853" w:right="1320" w:hanging="720"/>
        <w:jc w:val="left"/>
        <w:rPr>
          <w:sz w:val="28"/>
        </w:rPr>
      </w:pPr>
      <w:r>
        <w:rPr>
          <w:sz w:val="28"/>
        </w:rPr>
        <w:t>Windsor</w:t>
      </w:r>
      <w:r>
        <w:rPr>
          <w:spacing w:val="-5"/>
          <w:sz w:val="28"/>
        </w:rPr>
        <w:t> </w:t>
      </w:r>
      <w:r>
        <w:rPr>
          <w:sz w:val="28"/>
        </w:rPr>
        <w:t>Framework</w:t>
      </w:r>
      <w:r>
        <w:rPr>
          <w:spacing w:val="-5"/>
          <w:sz w:val="28"/>
        </w:rPr>
        <w:t> </w:t>
      </w:r>
      <w:r>
        <w:rPr>
          <w:sz w:val="28"/>
        </w:rPr>
        <w:t>Articles</w:t>
      </w:r>
      <w:r>
        <w:rPr>
          <w:spacing w:val="-6"/>
          <w:sz w:val="28"/>
        </w:rPr>
        <w:t> </w:t>
      </w:r>
      <w:r>
        <w:rPr>
          <w:sz w:val="28"/>
        </w:rPr>
        <w:t>2</w:t>
      </w:r>
      <w:r>
        <w:rPr>
          <w:spacing w:val="-5"/>
          <w:sz w:val="28"/>
        </w:rPr>
        <w:t> </w:t>
      </w:r>
      <w:r>
        <w:rPr>
          <w:sz w:val="28"/>
        </w:rPr>
        <w:t>and</w:t>
      </w:r>
      <w:r>
        <w:rPr>
          <w:spacing w:val="-6"/>
          <w:sz w:val="28"/>
        </w:rPr>
        <w:t> </w:t>
      </w:r>
      <w:r>
        <w:rPr>
          <w:sz w:val="28"/>
        </w:rPr>
        <w:t>13</w:t>
      </w:r>
      <w:r>
        <w:rPr>
          <w:spacing w:val="-5"/>
          <w:sz w:val="28"/>
        </w:rPr>
        <w:t> </w:t>
      </w:r>
      <w:r>
        <w:rPr>
          <w:sz w:val="28"/>
        </w:rPr>
        <w:t>require</w:t>
      </w:r>
      <w:r>
        <w:rPr>
          <w:spacing w:val="-5"/>
          <w:sz w:val="28"/>
        </w:rPr>
        <w:t> </w:t>
      </w:r>
      <w:r>
        <w:rPr>
          <w:sz w:val="28"/>
        </w:rPr>
        <w:t>the</w:t>
      </w:r>
      <w:r>
        <w:rPr>
          <w:spacing w:val="-5"/>
          <w:sz w:val="28"/>
        </w:rPr>
        <w:t> </w:t>
      </w:r>
      <w:r>
        <w:rPr>
          <w:sz w:val="28"/>
        </w:rPr>
        <w:t>law</w:t>
      </w:r>
      <w:r>
        <w:rPr>
          <w:spacing w:val="-5"/>
          <w:sz w:val="28"/>
        </w:rPr>
        <w:t> </w:t>
      </w:r>
      <w:r>
        <w:rPr>
          <w:sz w:val="28"/>
        </w:rPr>
        <w:t>in</w:t>
      </w:r>
      <w:r>
        <w:rPr>
          <w:spacing w:val="-6"/>
          <w:sz w:val="28"/>
        </w:rPr>
        <w:t> </w:t>
      </w:r>
      <w:r>
        <w:rPr>
          <w:sz w:val="28"/>
        </w:rPr>
        <w:t>NI</w:t>
      </w:r>
      <w:r>
        <w:rPr>
          <w:spacing w:val="-5"/>
          <w:sz w:val="28"/>
        </w:rPr>
        <w:t> </w:t>
      </w:r>
      <w:r>
        <w:rPr>
          <w:sz w:val="28"/>
        </w:rPr>
        <w:t>to</w:t>
      </w:r>
      <w:r>
        <w:rPr>
          <w:spacing w:val="-6"/>
          <w:sz w:val="28"/>
        </w:rPr>
        <w:t> </w:t>
      </w:r>
      <w:r>
        <w:rPr>
          <w:sz w:val="28"/>
        </w:rPr>
        <w:t>keep</w:t>
      </w:r>
      <w:r>
        <w:rPr>
          <w:spacing w:val="-6"/>
          <w:sz w:val="28"/>
        </w:rPr>
        <w:t> </w:t>
      </w:r>
      <w:r>
        <w:rPr>
          <w:sz w:val="28"/>
        </w:rPr>
        <w:t>pace</w:t>
      </w:r>
      <w:r>
        <w:rPr>
          <w:spacing w:val="-5"/>
          <w:sz w:val="28"/>
        </w:rPr>
        <w:t> </w:t>
      </w:r>
      <w:r>
        <w:rPr>
          <w:sz w:val="28"/>
        </w:rPr>
        <w:t>with any improvements to minimum standards of equality protection enshrined</w:t>
      </w:r>
      <w:r>
        <w:rPr>
          <w:sz w:val="28"/>
        </w:rPr>
        <w:t> in six EU directives listed in Annex 1 to the Windsor Framework, including the </w:t>
      </w:r>
      <w:r>
        <w:rPr>
          <w:b/>
          <w:color w:val="393B80"/>
          <w:sz w:val="28"/>
        </w:rPr>
        <w:t>EU Employment Equality (Framework) Directive </w:t>
      </w:r>
      <w:r>
        <w:rPr>
          <w:sz w:val="28"/>
        </w:rPr>
        <w:t>which protects against discrimination on the grounds of disability in employment and vocational</w:t>
      </w:r>
    </w:p>
    <w:p>
      <w:pPr>
        <w:pStyle w:val="BodyText"/>
        <w:rPr>
          <w:sz w:val="20"/>
        </w:rPr>
      </w:pPr>
    </w:p>
    <w:p>
      <w:pPr>
        <w:pStyle w:val="BodyText"/>
        <w:rPr>
          <w:sz w:val="20"/>
        </w:rPr>
      </w:pPr>
    </w:p>
    <w:p>
      <w:pPr>
        <w:pStyle w:val="BodyText"/>
        <w:spacing w:before="44"/>
        <w:rPr>
          <w:sz w:val="20"/>
        </w:rPr>
      </w:pPr>
      <w:r>
        <w:rPr/>
        <mc:AlternateContent>
          <mc:Choice Requires="wps">
            <w:drawing>
              <wp:anchor distT="0" distB="0" distL="0" distR="0" allowOverlap="1" layoutInCell="1" locked="0" behindDoc="1" simplePos="0" relativeHeight="487649280">
                <wp:simplePos x="0" y="0"/>
                <wp:positionH relativeFrom="page">
                  <wp:posOffset>719999</wp:posOffset>
                </wp:positionH>
                <wp:positionV relativeFrom="paragraph">
                  <wp:posOffset>198763</wp:posOffset>
                </wp:positionV>
                <wp:extent cx="6120130" cy="1270"/>
                <wp:effectExtent l="0" t="0" r="0" b="0"/>
                <wp:wrapTopAndBottom/>
                <wp:docPr id="218" name="Graphic 218"/>
                <wp:cNvGraphicFramePr>
                  <a:graphicFrameLocks/>
                </wp:cNvGraphicFramePr>
                <a:graphic>
                  <a:graphicData uri="http://schemas.microsoft.com/office/word/2010/wordprocessingShape">
                    <wps:wsp>
                      <wps:cNvPr id="218" name="Graphic 218"/>
                      <wps:cNvSpPr/>
                      <wps:spPr>
                        <a:xfrm>
                          <a:off x="0" y="0"/>
                          <a:ext cx="6120130" cy="1270"/>
                        </a:xfrm>
                        <a:custGeom>
                          <a:avLst/>
                          <a:gdLst/>
                          <a:ahLst/>
                          <a:cxnLst/>
                          <a:rect l="l" t="t" r="r" b="b"/>
                          <a:pathLst>
                            <a:path w="6120130" h="0">
                              <a:moveTo>
                                <a:pt x="0" y="0"/>
                              </a:moveTo>
                              <a:lnTo>
                                <a:pt x="6120003"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5.650697pt;width:481.9pt;height:.1pt;mso-position-horizontal-relative:page;mso-position-vertical-relative:paragraph;z-index:-15667200;mso-wrap-distance-left:0;mso-wrap-distance-right:0" id="docshape174" coordorigin="1134,313" coordsize="9638,0" path="m1134,313l10772,313e" filled="false" stroked="true" strokeweight="1pt" strokecolor="#393b80">
                <v:path arrowok="t"/>
                <v:stroke dashstyle="solid"/>
                <w10:wrap type="topAndBottom"/>
              </v:shape>
            </w:pict>
          </mc:Fallback>
        </mc:AlternateContent>
      </w:r>
    </w:p>
    <w:p>
      <w:pPr>
        <w:spacing w:line="218" w:lineRule="exact" w:before="153"/>
        <w:ind w:left="1853" w:right="0" w:firstLine="0"/>
        <w:jc w:val="left"/>
        <w:rPr>
          <w:sz w:val="18"/>
        </w:rPr>
      </w:pPr>
      <w:r>
        <w:rPr>
          <w:sz w:val="18"/>
        </w:rPr>
        <w:t>Great</w:t>
      </w:r>
      <w:r>
        <w:rPr>
          <w:spacing w:val="-4"/>
          <w:sz w:val="18"/>
        </w:rPr>
        <w:t> </w:t>
      </w:r>
      <w:r>
        <w:rPr>
          <w:sz w:val="18"/>
        </w:rPr>
        <w:t>Britain</w:t>
      </w:r>
      <w:r>
        <w:rPr>
          <w:spacing w:val="-5"/>
          <w:sz w:val="18"/>
        </w:rPr>
        <w:t> </w:t>
      </w:r>
      <w:r>
        <w:rPr>
          <w:sz w:val="18"/>
        </w:rPr>
        <w:t>and</w:t>
      </w:r>
      <w:r>
        <w:rPr>
          <w:spacing w:val="-4"/>
          <w:sz w:val="18"/>
        </w:rPr>
        <w:t> </w:t>
      </w:r>
      <w:r>
        <w:rPr>
          <w:sz w:val="18"/>
        </w:rPr>
        <w:t>NI’,</w:t>
      </w:r>
      <w:r>
        <w:rPr>
          <w:spacing w:val="-4"/>
          <w:sz w:val="18"/>
        </w:rPr>
        <w:t> </w:t>
      </w:r>
      <w:r>
        <w:rPr>
          <w:sz w:val="18"/>
        </w:rPr>
        <w:t>2</w:t>
      </w:r>
      <w:r>
        <w:rPr>
          <w:spacing w:val="-3"/>
          <w:sz w:val="18"/>
        </w:rPr>
        <w:t> </w:t>
      </w:r>
      <w:r>
        <w:rPr>
          <w:sz w:val="18"/>
        </w:rPr>
        <w:t>June</w:t>
      </w:r>
      <w:r>
        <w:rPr>
          <w:spacing w:val="-4"/>
          <w:sz w:val="18"/>
        </w:rPr>
        <w:t> </w:t>
      </w:r>
      <w:r>
        <w:rPr>
          <w:sz w:val="18"/>
        </w:rPr>
        <w:t>2023,</w:t>
      </w:r>
      <w:r>
        <w:rPr>
          <w:spacing w:val="-4"/>
          <w:sz w:val="18"/>
        </w:rPr>
        <w:t> </w:t>
      </w:r>
      <w:r>
        <w:rPr>
          <w:sz w:val="18"/>
        </w:rPr>
        <w:t>at</w:t>
      </w:r>
      <w:r>
        <w:rPr>
          <w:spacing w:val="-3"/>
          <w:sz w:val="18"/>
        </w:rPr>
        <w:t> </w:t>
      </w:r>
      <w:r>
        <w:rPr>
          <w:sz w:val="18"/>
        </w:rPr>
        <w:t>para</w:t>
      </w:r>
      <w:r>
        <w:rPr>
          <w:spacing w:val="-5"/>
          <w:sz w:val="18"/>
        </w:rPr>
        <w:t> </w:t>
      </w:r>
      <w:r>
        <w:rPr>
          <w:sz w:val="18"/>
        </w:rPr>
        <w:t>46</w:t>
      </w:r>
      <w:r>
        <w:rPr>
          <w:spacing w:val="-3"/>
          <w:sz w:val="18"/>
        </w:rPr>
        <w:t> </w:t>
      </w:r>
      <w:r>
        <w:rPr>
          <w:spacing w:val="-4"/>
          <w:sz w:val="18"/>
        </w:rPr>
        <w:t>(d).</w:t>
      </w:r>
    </w:p>
    <w:p>
      <w:pPr>
        <w:pStyle w:val="ListParagraph"/>
        <w:numPr>
          <w:ilvl w:val="0"/>
          <w:numId w:val="3"/>
        </w:numPr>
        <w:tabs>
          <w:tab w:pos="1853" w:val="left" w:leader="none"/>
        </w:tabs>
        <w:spacing w:line="216" w:lineRule="exact" w:before="0" w:after="0"/>
        <w:ind w:left="1853" w:right="0" w:hanging="720"/>
        <w:jc w:val="left"/>
        <w:rPr>
          <w:sz w:val="18"/>
        </w:rPr>
      </w:pPr>
      <w:r>
        <w:rPr>
          <w:sz w:val="18"/>
        </w:rPr>
        <w:t>Ibid,</w:t>
      </w:r>
      <w:r>
        <w:rPr>
          <w:spacing w:val="-2"/>
          <w:sz w:val="18"/>
        </w:rPr>
        <w:t> </w:t>
      </w:r>
      <w:r>
        <w:rPr>
          <w:sz w:val="18"/>
        </w:rPr>
        <w:t>at</w:t>
      </w:r>
      <w:r>
        <w:rPr>
          <w:spacing w:val="-2"/>
          <w:sz w:val="18"/>
        </w:rPr>
        <w:t> </w:t>
      </w:r>
      <w:r>
        <w:rPr>
          <w:sz w:val="18"/>
        </w:rPr>
        <w:t>para</w:t>
      </w:r>
      <w:r>
        <w:rPr>
          <w:spacing w:val="-2"/>
          <w:sz w:val="18"/>
        </w:rPr>
        <w:t> </w:t>
      </w:r>
      <w:r>
        <w:rPr>
          <w:sz w:val="18"/>
        </w:rPr>
        <w:t>20</w:t>
      </w:r>
      <w:r>
        <w:rPr>
          <w:spacing w:val="-1"/>
          <w:sz w:val="18"/>
        </w:rPr>
        <w:t> </w:t>
      </w:r>
      <w:r>
        <w:rPr>
          <w:spacing w:val="-4"/>
          <w:sz w:val="18"/>
        </w:rPr>
        <w:t>(f).</w:t>
      </w:r>
    </w:p>
    <w:p>
      <w:pPr>
        <w:pStyle w:val="ListParagraph"/>
        <w:numPr>
          <w:ilvl w:val="0"/>
          <w:numId w:val="3"/>
        </w:numPr>
        <w:tabs>
          <w:tab w:pos="1853" w:val="left" w:leader="none"/>
        </w:tabs>
        <w:spacing w:line="235" w:lineRule="auto" w:before="1" w:after="0"/>
        <w:ind w:left="1853" w:right="1834" w:hanging="720"/>
        <w:jc w:val="left"/>
        <w:rPr>
          <w:sz w:val="18"/>
        </w:rPr>
      </w:pPr>
      <w:r>
        <w:rPr>
          <w:sz w:val="18"/>
        </w:rPr>
        <w:t>See</w:t>
      </w:r>
      <w:r>
        <w:rPr>
          <w:spacing w:val="-4"/>
          <w:sz w:val="18"/>
        </w:rPr>
        <w:t> </w:t>
      </w:r>
      <w:r>
        <w:rPr>
          <w:sz w:val="18"/>
        </w:rPr>
        <w:t>section</w:t>
      </w:r>
      <w:r>
        <w:rPr>
          <w:spacing w:val="-5"/>
          <w:sz w:val="18"/>
        </w:rPr>
        <w:t> </w:t>
      </w:r>
      <w:r>
        <w:rPr>
          <w:sz w:val="18"/>
        </w:rPr>
        <w:t>on</w:t>
      </w:r>
      <w:r>
        <w:rPr>
          <w:spacing w:val="-5"/>
          <w:sz w:val="18"/>
        </w:rPr>
        <w:t> </w:t>
      </w:r>
      <w:r>
        <w:rPr>
          <w:sz w:val="18"/>
        </w:rPr>
        <w:t>Binding</w:t>
      </w:r>
      <w:r>
        <w:rPr>
          <w:spacing w:val="-4"/>
          <w:sz w:val="18"/>
        </w:rPr>
        <w:t> </w:t>
      </w:r>
      <w:r>
        <w:rPr>
          <w:sz w:val="18"/>
        </w:rPr>
        <w:t>Standards</w:t>
      </w:r>
      <w:r>
        <w:rPr>
          <w:spacing w:val="-5"/>
          <w:sz w:val="18"/>
        </w:rPr>
        <w:t> </w:t>
      </w:r>
      <w:r>
        <w:rPr>
          <w:sz w:val="18"/>
        </w:rPr>
        <w:t>for</w:t>
      </w:r>
      <w:r>
        <w:rPr>
          <w:spacing w:val="-4"/>
          <w:sz w:val="18"/>
        </w:rPr>
        <w:t> </w:t>
      </w:r>
      <w:r>
        <w:rPr>
          <w:sz w:val="18"/>
        </w:rPr>
        <w:t>Equality</w:t>
      </w:r>
      <w:r>
        <w:rPr>
          <w:spacing w:val="-4"/>
          <w:sz w:val="18"/>
        </w:rPr>
        <w:t> </w:t>
      </w:r>
      <w:r>
        <w:rPr>
          <w:sz w:val="18"/>
        </w:rPr>
        <w:t>Bodies</w:t>
      </w:r>
      <w:r>
        <w:rPr>
          <w:spacing w:val="-5"/>
          <w:sz w:val="18"/>
        </w:rPr>
        <w:t> </w:t>
      </w:r>
      <w:r>
        <w:rPr>
          <w:sz w:val="18"/>
        </w:rPr>
        <w:t>in</w:t>
      </w:r>
      <w:r>
        <w:rPr>
          <w:spacing w:val="-5"/>
          <w:sz w:val="18"/>
        </w:rPr>
        <w:t> </w:t>
      </w:r>
      <w:r>
        <w:rPr>
          <w:sz w:val="18"/>
        </w:rPr>
        <w:t>this</w:t>
      </w:r>
      <w:r>
        <w:rPr>
          <w:spacing w:val="-5"/>
          <w:sz w:val="18"/>
        </w:rPr>
        <w:t> </w:t>
      </w:r>
      <w:r>
        <w:rPr>
          <w:sz w:val="18"/>
        </w:rPr>
        <w:t>chapter.</w:t>
      </w:r>
      <w:r>
        <w:rPr>
          <w:spacing w:val="31"/>
          <w:sz w:val="18"/>
        </w:rPr>
        <w:t> </w:t>
      </w:r>
      <w:r>
        <w:rPr>
          <w:sz w:val="18"/>
        </w:rPr>
        <w:t>EU</w:t>
      </w:r>
      <w:r>
        <w:rPr>
          <w:spacing w:val="-4"/>
          <w:sz w:val="18"/>
        </w:rPr>
        <w:t> </w:t>
      </w:r>
      <w:r>
        <w:rPr>
          <w:sz w:val="18"/>
        </w:rPr>
        <w:t>Commission,</w:t>
      </w:r>
      <w:r>
        <w:rPr>
          <w:spacing w:val="-4"/>
          <w:sz w:val="18"/>
        </w:rPr>
        <w:t> </w:t>
      </w:r>
      <w:r>
        <w:rPr>
          <w:sz w:val="18"/>
        </w:rPr>
        <w:t>‘Proposal</w:t>
      </w:r>
      <w:r>
        <w:rPr>
          <w:spacing w:val="-5"/>
          <w:sz w:val="18"/>
        </w:rPr>
        <w:t> </w:t>
      </w:r>
      <w:r>
        <w:rPr>
          <w:sz w:val="18"/>
        </w:rPr>
        <w:t>for</w:t>
      </w:r>
      <w:r>
        <w:rPr>
          <w:spacing w:val="-4"/>
          <w:sz w:val="18"/>
        </w:rPr>
        <w:t> </w:t>
      </w:r>
      <w:r>
        <w:rPr>
          <w:sz w:val="18"/>
        </w:rPr>
        <w:t>a</w:t>
      </w:r>
      <w:r>
        <w:rPr>
          <w:spacing w:val="-5"/>
          <w:sz w:val="18"/>
        </w:rPr>
        <w:t> </w:t>
      </w:r>
      <w:r>
        <w:rPr>
          <w:sz w:val="18"/>
        </w:rPr>
        <w:t>Directive</w:t>
      </w:r>
      <w:r>
        <w:rPr>
          <w:spacing w:val="-4"/>
          <w:sz w:val="18"/>
        </w:rPr>
        <w:t> </w:t>
      </w:r>
      <w:r>
        <w:rPr>
          <w:sz w:val="18"/>
        </w:rPr>
        <w:t>on Standards for Equality Bodies in the Field of Equal Treatment and Equal Opportunities between Women and</w:t>
      </w:r>
      <w:r>
        <w:rPr>
          <w:sz w:val="18"/>
        </w:rPr>
        <w:t> Men in Matters of Employment and Occupation, and Deleting Article 20 of Directive 2006/54/EC and Article</w:t>
      </w:r>
    </w:p>
    <w:p>
      <w:pPr>
        <w:spacing w:line="235" w:lineRule="auto" w:before="2"/>
        <w:ind w:left="1853" w:right="1798" w:firstLine="0"/>
        <w:jc w:val="left"/>
        <w:rPr>
          <w:sz w:val="18"/>
        </w:rPr>
      </w:pPr>
      <w:r>
        <w:rPr>
          <w:sz w:val="18"/>
        </w:rPr>
        <w:t>11</w:t>
      </w:r>
      <w:r>
        <w:rPr>
          <w:spacing w:val="-3"/>
          <w:sz w:val="18"/>
        </w:rPr>
        <w:t> </w:t>
      </w:r>
      <w:r>
        <w:rPr>
          <w:sz w:val="18"/>
        </w:rPr>
        <w:t>of</w:t>
      </w:r>
      <w:r>
        <w:rPr>
          <w:spacing w:val="-4"/>
          <w:sz w:val="18"/>
        </w:rPr>
        <w:t> </w:t>
      </w:r>
      <w:r>
        <w:rPr>
          <w:sz w:val="18"/>
        </w:rPr>
        <w:t>Directive</w:t>
      </w:r>
      <w:r>
        <w:rPr>
          <w:spacing w:val="-3"/>
          <w:sz w:val="18"/>
        </w:rPr>
        <w:t> </w:t>
      </w:r>
      <w:r>
        <w:rPr>
          <w:sz w:val="18"/>
        </w:rPr>
        <w:t>2010/41/EU</w:t>
      </w:r>
      <w:r>
        <w:rPr>
          <w:spacing w:val="-3"/>
          <w:sz w:val="18"/>
        </w:rPr>
        <w:t> </w:t>
      </w:r>
      <w:r>
        <w:rPr>
          <w:sz w:val="18"/>
        </w:rPr>
        <w:t>-</w:t>
      </w:r>
      <w:r>
        <w:rPr>
          <w:spacing w:val="-4"/>
          <w:sz w:val="18"/>
        </w:rPr>
        <w:t> </w:t>
      </w:r>
      <w:r>
        <w:rPr>
          <w:sz w:val="18"/>
        </w:rPr>
        <w:t>COM(2022)</w:t>
      </w:r>
      <w:r>
        <w:rPr>
          <w:spacing w:val="-4"/>
          <w:sz w:val="18"/>
        </w:rPr>
        <w:t> </w:t>
      </w:r>
      <w:r>
        <w:rPr>
          <w:sz w:val="18"/>
        </w:rPr>
        <w:t>688’</w:t>
      </w:r>
      <w:r>
        <w:rPr>
          <w:spacing w:val="-3"/>
          <w:sz w:val="18"/>
        </w:rPr>
        <w:t> </w:t>
      </w:r>
      <w:r>
        <w:rPr>
          <w:sz w:val="18"/>
        </w:rPr>
        <w:t>(EU</w:t>
      </w:r>
      <w:r>
        <w:rPr>
          <w:spacing w:val="-3"/>
          <w:sz w:val="18"/>
        </w:rPr>
        <w:t> </w:t>
      </w:r>
      <w:r>
        <w:rPr>
          <w:sz w:val="18"/>
        </w:rPr>
        <w:t>Commission,</w:t>
      </w:r>
      <w:r>
        <w:rPr>
          <w:spacing w:val="-3"/>
          <w:sz w:val="18"/>
        </w:rPr>
        <w:t> </w:t>
      </w:r>
      <w:r>
        <w:rPr>
          <w:sz w:val="18"/>
        </w:rPr>
        <w:t>2022);</w:t>
      </w:r>
      <w:r>
        <w:rPr>
          <w:spacing w:val="-3"/>
          <w:sz w:val="18"/>
        </w:rPr>
        <w:t> </w:t>
      </w:r>
      <w:r>
        <w:rPr>
          <w:sz w:val="18"/>
        </w:rPr>
        <w:t>EU</w:t>
      </w:r>
      <w:r>
        <w:rPr>
          <w:spacing w:val="-3"/>
          <w:sz w:val="18"/>
        </w:rPr>
        <w:t> </w:t>
      </w:r>
      <w:r>
        <w:rPr>
          <w:sz w:val="18"/>
        </w:rPr>
        <w:t>Commission,</w:t>
      </w:r>
      <w:r>
        <w:rPr>
          <w:spacing w:val="-3"/>
          <w:sz w:val="18"/>
        </w:rPr>
        <w:t> </w:t>
      </w:r>
      <w:r>
        <w:rPr>
          <w:sz w:val="18"/>
        </w:rPr>
        <w:t>‘Proposal</w:t>
      </w:r>
      <w:r>
        <w:rPr>
          <w:spacing w:val="-4"/>
          <w:sz w:val="18"/>
        </w:rPr>
        <w:t> </w:t>
      </w:r>
      <w:r>
        <w:rPr>
          <w:sz w:val="18"/>
        </w:rPr>
        <w:t>for</w:t>
      </w:r>
      <w:r>
        <w:rPr>
          <w:spacing w:val="-3"/>
          <w:sz w:val="18"/>
        </w:rPr>
        <w:t> </w:t>
      </w:r>
      <w:r>
        <w:rPr>
          <w:sz w:val="18"/>
        </w:rPr>
        <w:t>a</w:t>
      </w:r>
      <w:r>
        <w:rPr>
          <w:spacing w:val="-4"/>
          <w:sz w:val="18"/>
        </w:rPr>
        <w:t> </w:t>
      </w:r>
      <w:r>
        <w:rPr>
          <w:sz w:val="18"/>
        </w:rPr>
        <w:t>Directive on</w:t>
      </w:r>
      <w:r>
        <w:rPr>
          <w:spacing w:val="-3"/>
          <w:sz w:val="18"/>
        </w:rPr>
        <w:t> </w:t>
      </w:r>
      <w:r>
        <w:rPr>
          <w:sz w:val="18"/>
        </w:rPr>
        <w:t>Standards</w:t>
      </w:r>
      <w:r>
        <w:rPr>
          <w:spacing w:val="-3"/>
          <w:sz w:val="18"/>
        </w:rPr>
        <w:t> </w:t>
      </w:r>
      <w:r>
        <w:rPr>
          <w:sz w:val="18"/>
        </w:rPr>
        <w:t>for</w:t>
      </w:r>
      <w:r>
        <w:rPr>
          <w:spacing w:val="-2"/>
          <w:sz w:val="18"/>
        </w:rPr>
        <w:t> </w:t>
      </w:r>
      <w:r>
        <w:rPr>
          <w:sz w:val="18"/>
        </w:rPr>
        <w:t>Equality</w:t>
      </w:r>
      <w:r>
        <w:rPr>
          <w:spacing w:val="-2"/>
          <w:sz w:val="18"/>
        </w:rPr>
        <w:t> </w:t>
      </w:r>
      <w:r>
        <w:rPr>
          <w:sz w:val="18"/>
        </w:rPr>
        <w:t>Bodies</w:t>
      </w:r>
      <w:r>
        <w:rPr>
          <w:spacing w:val="-3"/>
          <w:sz w:val="18"/>
        </w:rPr>
        <w:t> </w:t>
      </w:r>
      <w:r>
        <w:rPr>
          <w:sz w:val="18"/>
        </w:rPr>
        <w:t>in</w:t>
      </w:r>
      <w:r>
        <w:rPr>
          <w:spacing w:val="-3"/>
          <w:sz w:val="18"/>
        </w:rPr>
        <w:t> </w:t>
      </w:r>
      <w:r>
        <w:rPr>
          <w:sz w:val="18"/>
        </w:rPr>
        <w:t>the</w:t>
      </w:r>
      <w:r>
        <w:rPr>
          <w:spacing w:val="-2"/>
          <w:sz w:val="18"/>
        </w:rPr>
        <w:t> </w:t>
      </w:r>
      <w:r>
        <w:rPr>
          <w:sz w:val="18"/>
        </w:rPr>
        <w:t>Field</w:t>
      </w:r>
      <w:r>
        <w:rPr>
          <w:spacing w:val="-3"/>
          <w:sz w:val="18"/>
        </w:rPr>
        <w:t> </w:t>
      </w:r>
      <w:r>
        <w:rPr>
          <w:sz w:val="18"/>
        </w:rPr>
        <w:t>of</w:t>
      </w:r>
      <w:r>
        <w:rPr>
          <w:spacing w:val="-3"/>
          <w:sz w:val="18"/>
        </w:rPr>
        <w:t> </w:t>
      </w:r>
      <w:r>
        <w:rPr>
          <w:sz w:val="18"/>
        </w:rPr>
        <w:t>Equal</w:t>
      </w:r>
      <w:r>
        <w:rPr>
          <w:spacing w:val="-3"/>
          <w:sz w:val="18"/>
        </w:rPr>
        <w:t> </w:t>
      </w:r>
      <w:r>
        <w:rPr>
          <w:sz w:val="18"/>
        </w:rPr>
        <w:t>Treatment</w:t>
      </w:r>
      <w:r>
        <w:rPr>
          <w:spacing w:val="-2"/>
          <w:sz w:val="18"/>
        </w:rPr>
        <w:t> </w:t>
      </w:r>
      <w:r>
        <w:rPr>
          <w:sz w:val="18"/>
        </w:rPr>
        <w:t>between</w:t>
      </w:r>
      <w:r>
        <w:rPr>
          <w:spacing w:val="-3"/>
          <w:sz w:val="18"/>
        </w:rPr>
        <w:t> </w:t>
      </w:r>
      <w:r>
        <w:rPr>
          <w:sz w:val="18"/>
        </w:rPr>
        <w:t>Persons</w:t>
      </w:r>
      <w:r>
        <w:rPr>
          <w:spacing w:val="-3"/>
          <w:sz w:val="18"/>
        </w:rPr>
        <w:t> </w:t>
      </w:r>
      <w:r>
        <w:rPr>
          <w:sz w:val="18"/>
        </w:rPr>
        <w:t>Irrespective</w:t>
      </w:r>
      <w:r>
        <w:rPr>
          <w:spacing w:val="-2"/>
          <w:sz w:val="18"/>
        </w:rPr>
        <w:t> </w:t>
      </w:r>
      <w:r>
        <w:rPr>
          <w:sz w:val="18"/>
        </w:rPr>
        <w:t>of</w:t>
      </w:r>
      <w:r>
        <w:rPr>
          <w:spacing w:val="-3"/>
          <w:sz w:val="18"/>
        </w:rPr>
        <w:t> </w:t>
      </w:r>
      <w:r>
        <w:rPr>
          <w:sz w:val="18"/>
        </w:rPr>
        <w:t>their</w:t>
      </w:r>
      <w:r>
        <w:rPr>
          <w:spacing w:val="-2"/>
          <w:sz w:val="18"/>
        </w:rPr>
        <w:t> </w:t>
      </w:r>
      <w:r>
        <w:rPr>
          <w:sz w:val="18"/>
        </w:rPr>
        <w:t>Racial</w:t>
      </w:r>
      <w:r>
        <w:rPr>
          <w:spacing w:val="-3"/>
          <w:sz w:val="18"/>
        </w:rPr>
        <w:t> </w:t>
      </w:r>
      <w:r>
        <w:rPr>
          <w:sz w:val="18"/>
        </w:rPr>
        <w:t>or</w:t>
      </w:r>
    </w:p>
    <w:p>
      <w:pPr>
        <w:spacing w:line="235" w:lineRule="auto" w:before="1"/>
        <w:ind w:left="1853" w:right="1171" w:firstLine="0"/>
        <w:jc w:val="left"/>
        <w:rPr>
          <w:sz w:val="18"/>
        </w:rPr>
      </w:pPr>
      <w:r>
        <w:rPr>
          <w:sz w:val="18"/>
        </w:rPr>
        <w:t>Ethnic</w:t>
      </w:r>
      <w:r>
        <w:rPr>
          <w:spacing w:val="-5"/>
          <w:sz w:val="18"/>
        </w:rPr>
        <w:t> </w:t>
      </w:r>
      <w:r>
        <w:rPr>
          <w:sz w:val="18"/>
        </w:rPr>
        <w:t>Origin,</w:t>
      </w:r>
      <w:r>
        <w:rPr>
          <w:spacing w:val="-5"/>
          <w:sz w:val="18"/>
        </w:rPr>
        <w:t> </w:t>
      </w:r>
      <w:r>
        <w:rPr>
          <w:sz w:val="18"/>
        </w:rPr>
        <w:t>Equal</w:t>
      </w:r>
      <w:r>
        <w:rPr>
          <w:spacing w:val="-6"/>
          <w:sz w:val="18"/>
        </w:rPr>
        <w:t> </w:t>
      </w:r>
      <w:r>
        <w:rPr>
          <w:sz w:val="18"/>
        </w:rPr>
        <w:t>Treatment</w:t>
      </w:r>
      <w:r>
        <w:rPr>
          <w:spacing w:val="-5"/>
          <w:sz w:val="18"/>
        </w:rPr>
        <w:t> </w:t>
      </w:r>
      <w:r>
        <w:rPr>
          <w:sz w:val="18"/>
        </w:rPr>
        <w:t>in</w:t>
      </w:r>
      <w:r>
        <w:rPr>
          <w:spacing w:val="-6"/>
          <w:sz w:val="18"/>
        </w:rPr>
        <w:t> </w:t>
      </w:r>
      <w:r>
        <w:rPr>
          <w:sz w:val="18"/>
        </w:rPr>
        <w:t>the</w:t>
      </w:r>
      <w:r>
        <w:rPr>
          <w:spacing w:val="-5"/>
          <w:sz w:val="18"/>
        </w:rPr>
        <w:t> </w:t>
      </w:r>
      <w:r>
        <w:rPr>
          <w:sz w:val="18"/>
        </w:rPr>
        <w:t>Field</w:t>
      </w:r>
      <w:r>
        <w:rPr>
          <w:spacing w:val="-6"/>
          <w:sz w:val="18"/>
        </w:rPr>
        <w:t> </w:t>
      </w:r>
      <w:r>
        <w:rPr>
          <w:sz w:val="18"/>
        </w:rPr>
        <w:t>of</w:t>
      </w:r>
      <w:r>
        <w:rPr>
          <w:spacing w:val="-6"/>
          <w:sz w:val="18"/>
        </w:rPr>
        <w:t> </w:t>
      </w:r>
      <w:r>
        <w:rPr>
          <w:sz w:val="18"/>
        </w:rPr>
        <w:t>Employment</w:t>
      </w:r>
      <w:r>
        <w:rPr>
          <w:spacing w:val="-5"/>
          <w:sz w:val="18"/>
        </w:rPr>
        <w:t> </w:t>
      </w:r>
      <w:r>
        <w:rPr>
          <w:sz w:val="18"/>
        </w:rPr>
        <w:t>and</w:t>
      </w:r>
      <w:r>
        <w:rPr>
          <w:spacing w:val="-6"/>
          <w:sz w:val="18"/>
        </w:rPr>
        <w:t> </w:t>
      </w:r>
      <w:r>
        <w:rPr>
          <w:sz w:val="18"/>
        </w:rPr>
        <w:t>Occupation</w:t>
      </w:r>
      <w:r>
        <w:rPr>
          <w:spacing w:val="-6"/>
          <w:sz w:val="18"/>
        </w:rPr>
        <w:t> </w:t>
      </w:r>
      <w:r>
        <w:rPr>
          <w:sz w:val="18"/>
        </w:rPr>
        <w:t>Between</w:t>
      </w:r>
      <w:r>
        <w:rPr>
          <w:spacing w:val="-6"/>
          <w:sz w:val="18"/>
        </w:rPr>
        <w:t> </w:t>
      </w:r>
      <w:r>
        <w:rPr>
          <w:sz w:val="18"/>
        </w:rPr>
        <w:t>Persons</w:t>
      </w:r>
      <w:r>
        <w:rPr>
          <w:spacing w:val="-6"/>
          <w:sz w:val="18"/>
        </w:rPr>
        <w:t> </w:t>
      </w:r>
      <w:r>
        <w:rPr>
          <w:sz w:val="18"/>
        </w:rPr>
        <w:t>Irrespective</w:t>
      </w:r>
      <w:r>
        <w:rPr>
          <w:spacing w:val="-5"/>
          <w:sz w:val="18"/>
        </w:rPr>
        <w:t> </w:t>
      </w:r>
      <w:r>
        <w:rPr>
          <w:sz w:val="18"/>
        </w:rPr>
        <w:t>of</w:t>
      </w:r>
      <w:r>
        <w:rPr>
          <w:spacing w:val="-6"/>
          <w:sz w:val="18"/>
        </w:rPr>
        <w:t> </w:t>
      </w:r>
      <w:r>
        <w:rPr>
          <w:sz w:val="18"/>
        </w:rPr>
        <w:t>their</w:t>
      </w:r>
      <w:r>
        <w:rPr>
          <w:spacing w:val="-5"/>
          <w:sz w:val="18"/>
        </w:rPr>
        <w:t> </w:t>
      </w:r>
      <w:r>
        <w:rPr>
          <w:sz w:val="18"/>
        </w:rPr>
        <w:t>Religion or Belief, Disability, Age or Sexual Orientation, Equal Treatment Between Women and Men in Matters of Social</w:t>
      </w:r>
    </w:p>
    <w:p>
      <w:pPr>
        <w:spacing w:line="235" w:lineRule="auto" w:before="2"/>
        <w:ind w:left="1853" w:right="1798" w:firstLine="0"/>
        <w:jc w:val="left"/>
        <w:rPr>
          <w:sz w:val="18"/>
        </w:rPr>
      </w:pPr>
      <w:r>
        <w:rPr>
          <w:sz w:val="18"/>
        </w:rPr>
        <w:t>Security</w:t>
      </w:r>
      <w:r>
        <w:rPr>
          <w:spacing w:val="-2"/>
          <w:sz w:val="18"/>
        </w:rPr>
        <w:t> </w:t>
      </w:r>
      <w:r>
        <w:rPr>
          <w:sz w:val="18"/>
        </w:rPr>
        <w:t>and</w:t>
      </w:r>
      <w:r>
        <w:rPr>
          <w:spacing w:val="-3"/>
          <w:sz w:val="18"/>
        </w:rPr>
        <w:t> </w:t>
      </w:r>
      <w:r>
        <w:rPr>
          <w:sz w:val="18"/>
        </w:rPr>
        <w:t>in</w:t>
      </w:r>
      <w:r>
        <w:rPr>
          <w:spacing w:val="-3"/>
          <w:sz w:val="18"/>
        </w:rPr>
        <w:t> </w:t>
      </w:r>
      <w:r>
        <w:rPr>
          <w:sz w:val="18"/>
        </w:rPr>
        <w:t>the</w:t>
      </w:r>
      <w:r>
        <w:rPr>
          <w:spacing w:val="-2"/>
          <w:sz w:val="18"/>
        </w:rPr>
        <w:t> </w:t>
      </w:r>
      <w:r>
        <w:rPr>
          <w:sz w:val="18"/>
        </w:rPr>
        <w:t>Access</w:t>
      </w:r>
      <w:r>
        <w:rPr>
          <w:spacing w:val="-3"/>
          <w:sz w:val="18"/>
        </w:rPr>
        <w:t> </w:t>
      </w:r>
      <w:r>
        <w:rPr>
          <w:sz w:val="18"/>
        </w:rPr>
        <w:t>to</w:t>
      </w:r>
      <w:r>
        <w:rPr>
          <w:spacing w:val="-3"/>
          <w:sz w:val="18"/>
        </w:rPr>
        <w:t> </w:t>
      </w:r>
      <w:r>
        <w:rPr>
          <w:sz w:val="18"/>
        </w:rPr>
        <w:t>and</w:t>
      </w:r>
      <w:r>
        <w:rPr>
          <w:spacing w:val="-3"/>
          <w:sz w:val="18"/>
        </w:rPr>
        <w:t> </w:t>
      </w:r>
      <w:r>
        <w:rPr>
          <w:sz w:val="18"/>
        </w:rPr>
        <w:t>Supply</w:t>
      </w:r>
      <w:r>
        <w:rPr>
          <w:spacing w:val="-2"/>
          <w:sz w:val="18"/>
        </w:rPr>
        <w:t> </w:t>
      </w:r>
      <w:r>
        <w:rPr>
          <w:sz w:val="18"/>
        </w:rPr>
        <w:t>of</w:t>
      </w:r>
      <w:r>
        <w:rPr>
          <w:spacing w:val="-3"/>
          <w:sz w:val="18"/>
        </w:rPr>
        <w:t> </w:t>
      </w:r>
      <w:r>
        <w:rPr>
          <w:sz w:val="18"/>
        </w:rPr>
        <w:t>Goods</w:t>
      </w:r>
      <w:r>
        <w:rPr>
          <w:spacing w:val="-3"/>
          <w:sz w:val="18"/>
        </w:rPr>
        <w:t> </w:t>
      </w:r>
      <w:r>
        <w:rPr>
          <w:sz w:val="18"/>
        </w:rPr>
        <w:t>and</w:t>
      </w:r>
      <w:r>
        <w:rPr>
          <w:spacing w:val="-3"/>
          <w:sz w:val="18"/>
        </w:rPr>
        <w:t> </w:t>
      </w:r>
      <w:r>
        <w:rPr>
          <w:sz w:val="18"/>
        </w:rPr>
        <w:t>Services,</w:t>
      </w:r>
      <w:r>
        <w:rPr>
          <w:spacing w:val="-2"/>
          <w:sz w:val="18"/>
        </w:rPr>
        <w:t> </w:t>
      </w:r>
      <w:r>
        <w:rPr>
          <w:sz w:val="18"/>
        </w:rPr>
        <w:t>and</w:t>
      </w:r>
      <w:r>
        <w:rPr>
          <w:spacing w:val="-3"/>
          <w:sz w:val="18"/>
        </w:rPr>
        <w:t> </w:t>
      </w:r>
      <w:r>
        <w:rPr>
          <w:sz w:val="18"/>
        </w:rPr>
        <w:t>Deleting</w:t>
      </w:r>
      <w:r>
        <w:rPr>
          <w:spacing w:val="-2"/>
          <w:sz w:val="18"/>
        </w:rPr>
        <w:t> </w:t>
      </w:r>
      <w:r>
        <w:rPr>
          <w:sz w:val="18"/>
        </w:rPr>
        <w:t>Article</w:t>
      </w:r>
      <w:r>
        <w:rPr>
          <w:spacing w:val="-2"/>
          <w:sz w:val="18"/>
        </w:rPr>
        <w:t> </w:t>
      </w:r>
      <w:r>
        <w:rPr>
          <w:sz w:val="18"/>
        </w:rPr>
        <w:t>13</w:t>
      </w:r>
      <w:r>
        <w:rPr>
          <w:spacing w:val="-2"/>
          <w:sz w:val="18"/>
        </w:rPr>
        <w:t> </w:t>
      </w:r>
      <w:r>
        <w:rPr>
          <w:sz w:val="18"/>
        </w:rPr>
        <w:t>of</w:t>
      </w:r>
      <w:r>
        <w:rPr>
          <w:spacing w:val="-3"/>
          <w:sz w:val="18"/>
        </w:rPr>
        <w:t> </w:t>
      </w:r>
      <w:r>
        <w:rPr>
          <w:sz w:val="18"/>
        </w:rPr>
        <w:t>Directive</w:t>
      </w:r>
      <w:r>
        <w:rPr>
          <w:spacing w:val="-2"/>
          <w:sz w:val="18"/>
        </w:rPr>
        <w:t> </w:t>
      </w:r>
      <w:r>
        <w:rPr>
          <w:sz w:val="18"/>
        </w:rPr>
        <w:t>2000/43/EC and Article 12 of Directive 2004/113/EC - COM(2022) 689’ (EU Commission, 2022).</w:t>
      </w:r>
    </w:p>
    <w:p>
      <w:pPr>
        <w:pStyle w:val="ListParagraph"/>
        <w:numPr>
          <w:ilvl w:val="0"/>
          <w:numId w:val="3"/>
        </w:numPr>
        <w:tabs>
          <w:tab w:pos="1853" w:val="left" w:leader="none"/>
        </w:tabs>
        <w:spacing w:line="235" w:lineRule="auto" w:before="1" w:after="0"/>
        <w:ind w:left="1853" w:right="1395" w:hanging="720"/>
        <w:jc w:val="left"/>
        <w:rPr>
          <w:sz w:val="18"/>
        </w:rPr>
      </w:pPr>
      <w:r>
        <w:rPr>
          <w:sz w:val="18"/>
        </w:rPr>
        <w:t>Directive 2000/78/EC, ‘Council of the EU Directive on Establishing a General Framework for Equal Treatment in Employment</w:t>
      </w:r>
      <w:r>
        <w:rPr>
          <w:spacing w:val="-6"/>
          <w:sz w:val="18"/>
        </w:rPr>
        <w:t> </w:t>
      </w:r>
      <w:r>
        <w:rPr>
          <w:sz w:val="18"/>
        </w:rPr>
        <w:t>and</w:t>
      </w:r>
      <w:r>
        <w:rPr>
          <w:spacing w:val="-7"/>
          <w:sz w:val="18"/>
        </w:rPr>
        <w:t> </w:t>
      </w:r>
      <w:r>
        <w:rPr>
          <w:sz w:val="18"/>
        </w:rPr>
        <w:t>Occupation’,</w:t>
      </w:r>
      <w:r>
        <w:rPr>
          <w:spacing w:val="-6"/>
          <w:sz w:val="18"/>
        </w:rPr>
        <w:t> </w:t>
      </w:r>
      <w:r>
        <w:rPr>
          <w:sz w:val="18"/>
        </w:rPr>
        <w:t>27</w:t>
      </w:r>
      <w:r>
        <w:rPr>
          <w:spacing w:val="-6"/>
          <w:sz w:val="18"/>
        </w:rPr>
        <w:t> </w:t>
      </w:r>
      <w:r>
        <w:rPr>
          <w:sz w:val="18"/>
        </w:rPr>
        <w:t>November</w:t>
      </w:r>
      <w:r>
        <w:rPr>
          <w:spacing w:val="-6"/>
          <w:sz w:val="18"/>
        </w:rPr>
        <w:t> </w:t>
      </w:r>
      <w:r>
        <w:rPr>
          <w:sz w:val="18"/>
        </w:rPr>
        <w:t>2000.</w:t>
      </w:r>
      <w:r>
        <w:rPr>
          <w:spacing w:val="27"/>
          <w:sz w:val="18"/>
        </w:rPr>
        <w:t> </w:t>
      </w:r>
      <w:r>
        <w:rPr>
          <w:sz w:val="18"/>
        </w:rPr>
        <w:t>See</w:t>
      </w:r>
      <w:r>
        <w:rPr>
          <w:spacing w:val="-6"/>
          <w:sz w:val="18"/>
        </w:rPr>
        <w:t> </w:t>
      </w:r>
      <w:r>
        <w:rPr>
          <w:sz w:val="18"/>
        </w:rPr>
        <w:t>also</w:t>
      </w:r>
      <w:r>
        <w:rPr>
          <w:spacing w:val="-7"/>
          <w:sz w:val="18"/>
        </w:rPr>
        <w:t> </w:t>
      </w:r>
      <w:r>
        <w:rPr>
          <w:sz w:val="18"/>
        </w:rPr>
        <w:t>Letter</w:t>
      </w:r>
      <w:r>
        <w:rPr>
          <w:spacing w:val="-6"/>
          <w:sz w:val="18"/>
        </w:rPr>
        <w:t> </w:t>
      </w:r>
      <w:r>
        <w:rPr>
          <w:sz w:val="18"/>
        </w:rPr>
        <w:t>from</w:t>
      </w:r>
      <w:r>
        <w:rPr>
          <w:spacing w:val="-6"/>
          <w:sz w:val="18"/>
        </w:rPr>
        <w:t> </w:t>
      </w:r>
      <w:r>
        <w:rPr>
          <w:sz w:val="18"/>
        </w:rPr>
        <w:t>the</w:t>
      </w:r>
      <w:r>
        <w:rPr>
          <w:spacing w:val="-6"/>
          <w:sz w:val="18"/>
        </w:rPr>
        <w:t> </w:t>
      </w:r>
      <w:r>
        <w:rPr>
          <w:sz w:val="18"/>
        </w:rPr>
        <w:t>Minister</w:t>
      </w:r>
      <w:r>
        <w:rPr>
          <w:spacing w:val="-6"/>
          <w:sz w:val="18"/>
        </w:rPr>
        <w:t> </w:t>
      </w:r>
      <w:r>
        <w:rPr>
          <w:sz w:val="18"/>
        </w:rPr>
        <w:t>of</w:t>
      </w:r>
      <w:r>
        <w:rPr>
          <w:spacing w:val="-7"/>
          <w:sz w:val="18"/>
        </w:rPr>
        <w:t> </w:t>
      </w:r>
      <w:r>
        <w:rPr>
          <w:sz w:val="18"/>
        </w:rPr>
        <w:t>State</w:t>
      </w:r>
      <w:r>
        <w:rPr>
          <w:spacing w:val="-6"/>
          <w:sz w:val="18"/>
        </w:rPr>
        <w:t> </w:t>
      </w:r>
      <w:r>
        <w:rPr>
          <w:sz w:val="18"/>
        </w:rPr>
        <w:t>for</w:t>
      </w:r>
      <w:r>
        <w:rPr>
          <w:spacing w:val="-6"/>
          <w:sz w:val="18"/>
        </w:rPr>
        <w:t> </w:t>
      </w:r>
      <w:r>
        <w:rPr>
          <w:sz w:val="18"/>
        </w:rPr>
        <w:t>NI,</w:t>
      </w:r>
      <w:r>
        <w:rPr>
          <w:spacing w:val="-6"/>
          <w:sz w:val="18"/>
        </w:rPr>
        <w:t> </w:t>
      </w:r>
      <w:r>
        <w:rPr>
          <w:sz w:val="18"/>
        </w:rPr>
        <w:t>Steve</w:t>
      </w:r>
      <w:r>
        <w:rPr>
          <w:spacing w:val="-6"/>
          <w:sz w:val="18"/>
        </w:rPr>
        <w:t> </w:t>
      </w:r>
      <w:r>
        <w:rPr>
          <w:sz w:val="18"/>
        </w:rPr>
        <w:t>Baker</w:t>
      </w:r>
      <w:r>
        <w:rPr>
          <w:spacing w:val="-6"/>
          <w:sz w:val="18"/>
        </w:rPr>
        <w:t> </w:t>
      </w:r>
      <w:r>
        <w:rPr>
          <w:sz w:val="18"/>
        </w:rPr>
        <w:t>MP,</w:t>
      </w:r>
      <w:r>
        <w:rPr>
          <w:spacing w:val="-6"/>
          <w:sz w:val="18"/>
        </w:rPr>
        <w:t> </w:t>
      </w:r>
      <w:r>
        <w:rPr>
          <w:sz w:val="18"/>
        </w:rPr>
        <w:t>to the House of Lords Sub Committee on the Protocol on Ireland/Northern Ireland, 18 September 2022.</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hanging="1"/>
      </w:pPr>
      <w:r>
        <w:rPr/>
        <w:t>training.</w:t>
      </w:r>
      <w:r>
        <w:rPr>
          <w:vertAlign w:val="superscript"/>
        </w:rPr>
        <w:t>200</w:t>
      </w:r>
      <w:r>
        <w:rPr>
          <w:spacing w:val="-11"/>
          <w:vertAlign w:val="baseline"/>
        </w:rPr>
        <w:t> </w:t>
      </w:r>
      <w:r>
        <w:rPr>
          <w:vertAlign w:val="baseline"/>
        </w:rPr>
        <w:t>The</w:t>
      </w:r>
      <w:r>
        <w:rPr>
          <w:spacing w:val="-10"/>
          <w:vertAlign w:val="baseline"/>
        </w:rPr>
        <w:t> </w:t>
      </w:r>
      <w:r>
        <w:rPr>
          <w:vertAlign w:val="baseline"/>
        </w:rPr>
        <w:t>obligation</w:t>
      </w:r>
      <w:r>
        <w:rPr>
          <w:spacing w:val="-11"/>
          <w:vertAlign w:val="baseline"/>
        </w:rPr>
        <w:t> </w:t>
      </w:r>
      <w:r>
        <w:rPr>
          <w:vertAlign w:val="baseline"/>
        </w:rPr>
        <w:t>also</w:t>
      </w:r>
      <w:r>
        <w:rPr>
          <w:spacing w:val="-11"/>
          <w:vertAlign w:val="baseline"/>
        </w:rPr>
        <w:t> </w:t>
      </w:r>
      <w:r>
        <w:rPr>
          <w:vertAlign w:val="baseline"/>
        </w:rPr>
        <w:t>requires</w:t>
      </w:r>
      <w:r>
        <w:rPr>
          <w:spacing w:val="-11"/>
          <w:vertAlign w:val="baseline"/>
        </w:rPr>
        <w:t> </w:t>
      </w:r>
      <w:r>
        <w:rPr>
          <w:vertAlign w:val="baseline"/>
        </w:rPr>
        <w:t>compliance</w:t>
      </w:r>
      <w:r>
        <w:rPr>
          <w:spacing w:val="-10"/>
          <w:vertAlign w:val="baseline"/>
        </w:rPr>
        <w:t> </w:t>
      </w:r>
      <w:r>
        <w:rPr>
          <w:vertAlign w:val="baseline"/>
        </w:rPr>
        <w:t>with</w:t>
      </w:r>
      <w:r>
        <w:rPr>
          <w:spacing w:val="-10"/>
          <w:vertAlign w:val="baseline"/>
        </w:rPr>
        <w:t> </w:t>
      </w:r>
      <w:r>
        <w:rPr>
          <w:vertAlign w:val="baseline"/>
        </w:rPr>
        <w:t>current</w:t>
      </w:r>
      <w:r>
        <w:rPr>
          <w:spacing w:val="-10"/>
          <w:vertAlign w:val="baseline"/>
        </w:rPr>
        <w:t> </w:t>
      </w:r>
      <w:r>
        <w:rPr>
          <w:vertAlign w:val="baseline"/>
        </w:rPr>
        <w:t>and</w:t>
      </w:r>
      <w:r>
        <w:rPr>
          <w:spacing w:val="-11"/>
          <w:vertAlign w:val="baseline"/>
        </w:rPr>
        <w:t> </w:t>
      </w:r>
      <w:r>
        <w:rPr>
          <w:vertAlign w:val="baseline"/>
        </w:rPr>
        <w:t>future CJEU case-law.</w:t>
      </w:r>
    </w:p>
    <w:p>
      <w:pPr>
        <w:pStyle w:val="ListParagraph"/>
        <w:numPr>
          <w:ilvl w:val="1"/>
          <w:numId w:val="7"/>
        </w:numPr>
        <w:tabs>
          <w:tab w:pos="1853" w:val="left" w:leader="none"/>
        </w:tabs>
        <w:spacing w:line="225" w:lineRule="auto" w:before="318" w:after="0"/>
        <w:ind w:left="1853" w:right="1296" w:hanging="720"/>
        <w:jc w:val="left"/>
        <w:rPr>
          <w:sz w:val="28"/>
        </w:rPr>
      </w:pPr>
      <w:r>
        <w:rPr>
          <w:sz w:val="28"/>
        </w:rPr>
        <w:t>The UK Government has also recognised a non-exhaustive list of other measures which fall within the scope of the commitment in Windsor Framework Article 2, including specific measures which protect the rights of disabled people.</w:t>
      </w:r>
      <w:r>
        <w:rPr>
          <w:sz w:val="28"/>
          <w:vertAlign w:val="superscript"/>
        </w:rPr>
        <w:t>201</w:t>
      </w:r>
      <w:r>
        <w:rPr>
          <w:sz w:val="28"/>
          <w:vertAlign w:val="baseline"/>
        </w:rPr>
        <w:t> In 2022, the Commissions set out an initial view as to the EU</w:t>
      </w:r>
      <w:r>
        <w:rPr>
          <w:spacing w:val="-4"/>
          <w:sz w:val="28"/>
          <w:vertAlign w:val="baseline"/>
        </w:rPr>
        <w:t> </w:t>
      </w:r>
      <w:r>
        <w:rPr>
          <w:sz w:val="28"/>
          <w:vertAlign w:val="baseline"/>
        </w:rPr>
        <w:t>laws</w:t>
      </w:r>
      <w:r>
        <w:rPr>
          <w:spacing w:val="-5"/>
          <w:sz w:val="28"/>
          <w:vertAlign w:val="baseline"/>
        </w:rPr>
        <w:t> </w:t>
      </w:r>
      <w:r>
        <w:rPr>
          <w:sz w:val="28"/>
          <w:vertAlign w:val="baseline"/>
        </w:rPr>
        <w:t>related</w:t>
      </w:r>
      <w:r>
        <w:rPr>
          <w:spacing w:val="-5"/>
          <w:sz w:val="28"/>
          <w:vertAlign w:val="baseline"/>
        </w:rPr>
        <w:t> </w:t>
      </w:r>
      <w:r>
        <w:rPr>
          <w:sz w:val="28"/>
          <w:vertAlign w:val="baseline"/>
        </w:rPr>
        <w:t>to</w:t>
      </w:r>
      <w:r>
        <w:rPr>
          <w:spacing w:val="-5"/>
          <w:sz w:val="28"/>
          <w:vertAlign w:val="baseline"/>
        </w:rPr>
        <w:t> </w:t>
      </w:r>
      <w:r>
        <w:rPr>
          <w:sz w:val="28"/>
          <w:vertAlign w:val="baseline"/>
        </w:rPr>
        <w:t>the</w:t>
      </w:r>
      <w:r>
        <w:rPr>
          <w:spacing w:val="-4"/>
          <w:sz w:val="28"/>
          <w:vertAlign w:val="baseline"/>
        </w:rPr>
        <w:t> </w:t>
      </w:r>
      <w:r>
        <w:rPr>
          <w:sz w:val="28"/>
          <w:vertAlign w:val="baseline"/>
        </w:rPr>
        <w:t>rights</w:t>
      </w:r>
      <w:r>
        <w:rPr>
          <w:spacing w:val="-5"/>
          <w:sz w:val="28"/>
          <w:vertAlign w:val="baseline"/>
        </w:rPr>
        <w:t> </w:t>
      </w:r>
      <w:r>
        <w:rPr>
          <w:sz w:val="28"/>
          <w:vertAlign w:val="baseline"/>
        </w:rPr>
        <w:t>of</w:t>
      </w:r>
      <w:r>
        <w:rPr>
          <w:spacing w:val="-5"/>
          <w:sz w:val="28"/>
          <w:vertAlign w:val="baseline"/>
        </w:rPr>
        <w:t> </w:t>
      </w:r>
      <w:r>
        <w:rPr>
          <w:sz w:val="28"/>
          <w:vertAlign w:val="baseline"/>
        </w:rPr>
        <w:t>disabled</w:t>
      </w:r>
      <w:r>
        <w:rPr>
          <w:spacing w:val="-5"/>
          <w:sz w:val="28"/>
          <w:vertAlign w:val="baseline"/>
        </w:rPr>
        <w:t> </w:t>
      </w:r>
      <w:r>
        <w:rPr>
          <w:sz w:val="28"/>
          <w:vertAlign w:val="baseline"/>
        </w:rPr>
        <w:t>people</w:t>
      </w:r>
      <w:r>
        <w:rPr>
          <w:spacing w:val="-4"/>
          <w:sz w:val="28"/>
          <w:vertAlign w:val="baseline"/>
        </w:rPr>
        <w:t> </w:t>
      </w:r>
      <w:r>
        <w:rPr>
          <w:sz w:val="28"/>
          <w:vertAlign w:val="baseline"/>
        </w:rPr>
        <w:t>which</w:t>
      </w:r>
      <w:r>
        <w:rPr>
          <w:spacing w:val="-5"/>
          <w:sz w:val="28"/>
          <w:vertAlign w:val="baseline"/>
        </w:rPr>
        <w:t> </w:t>
      </w:r>
      <w:r>
        <w:rPr>
          <w:sz w:val="28"/>
          <w:vertAlign w:val="baseline"/>
        </w:rPr>
        <w:t>fall</w:t>
      </w:r>
      <w:r>
        <w:rPr>
          <w:spacing w:val="-5"/>
          <w:sz w:val="28"/>
          <w:vertAlign w:val="baseline"/>
        </w:rPr>
        <w:t> </w:t>
      </w:r>
      <w:r>
        <w:rPr>
          <w:sz w:val="28"/>
          <w:vertAlign w:val="baseline"/>
        </w:rPr>
        <w:t>within</w:t>
      </w:r>
      <w:r>
        <w:rPr>
          <w:spacing w:val="-5"/>
          <w:sz w:val="28"/>
          <w:vertAlign w:val="baseline"/>
        </w:rPr>
        <w:t> </w:t>
      </w:r>
      <w:r>
        <w:rPr>
          <w:sz w:val="28"/>
          <w:vertAlign w:val="baseline"/>
        </w:rPr>
        <w:t>the</w:t>
      </w:r>
      <w:r>
        <w:rPr>
          <w:spacing w:val="-4"/>
          <w:sz w:val="28"/>
          <w:vertAlign w:val="baseline"/>
        </w:rPr>
        <w:t> </w:t>
      </w:r>
      <w:r>
        <w:rPr>
          <w:sz w:val="28"/>
          <w:vertAlign w:val="baseline"/>
        </w:rPr>
        <w:t>scope</w:t>
      </w:r>
      <w:r>
        <w:rPr>
          <w:spacing w:val="-4"/>
          <w:sz w:val="28"/>
          <w:vertAlign w:val="baseline"/>
        </w:rPr>
        <w:t> </w:t>
      </w:r>
      <w:r>
        <w:rPr>
          <w:sz w:val="28"/>
          <w:vertAlign w:val="baseline"/>
        </w:rPr>
        <w:t>of Article 2.</w:t>
      </w:r>
      <w:r>
        <w:rPr>
          <w:sz w:val="28"/>
          <w:vertAlign w:val="superscript"/>
        </w:rPr>
        <w:t>202</w:t>
      </w:r>
    </w:p>
    <w:p>
      <w:pPr>
        <w:pStyle w:val="ListParagraph"/>
        <w:numPr>
          <w:ilvl w:val="1"/>
          <w:numId w:val="7"/>
        </w:numPr>
        <w:tabs>
          <w:tab w:pos="1853" w:val="left" w:leader="none"/>
        </w:tabs>
        <w:spacing w:line="225" w:lineRule="auto" w:before="312" w:after="0"/>
        <w:ind w:left="1853" w:right="1259" w:hanging="720"/>
        <w:jc w:val="left"/>
        <w:rPr>
          <w:sz w:val="28"/>
        </w:rPr>
      </w:pPr>
      <w:r>
        <w:rPr>
          <w:sz w:val="28"/>
        </w:rPr>
        <w:t>The Commissions have identified measures which fall within the scope of Windsor</w:t>
      </w:r>
      <w:r>
        <w:rPr>
          <w:spacing w:val="-6"/>
          <w:sz w:val="28"/>
        </w:rPr>
        <w:t> </w:t>
      </w:r>
      <w:r>
        <w:rPr>
          <w:sz w:val="28"/>
        </w:rPr>
        <w:t>Framework</w:t>
      </w:r>
      <w:r>
        <w:rPr>
          <w:spacing w:val="-6"/>
          <w:sz w:val="28"/>
        </w:rPr>
        <w:t> </w:t>
      </w:r>
      <w:r>
        <w:rPr>
          <w:sz w:val="28"/>
        </w:rPr>
        <w:t>Article</w:t>
      </w:r>
      <w:r>
        <w:rPr>
          <w:spacing w:val="-6"/>
          <w:sz w:val="28"/>
        </w:rPr>
        <w:t> </w:t>
      </w:r>
      <w:r>
        <w:rPr>
          <w:sz w:val="28"/>
        </w:rPr>
        <w:t>2,</w:t>
      </w:r>
      <w:r>
        <w:rPr>
          <w:sz w:val="28"/>
          <w:vertAlign w:val="superscript"/>
        </w:rPr>
        <w:t>203</w:t>
      </w:r>
      <w:r>
        <w:rPr>
          <w:spacing w:val="-7"/>
          <w:sz w:val="28"/>
          <w:vertAlign w:val="baseline"/>
        </w:rPr>
        <w:t> </w:t>
      </w:r>
      <w:r>
        <w:rPr>
          <w:sz w:val="28"/>
          <w:vertAlign w:val="baseline"/>
        </w:rPr>
        <w:t>which</w:t>
      </w:r>
      <w:r>
        <w:rPr>
          <w:spacing w:val="-7"/>
          <w:sz w:val="28"/>
          <w:vertAlign w:val="baseline"/>
        </w:rPr>
        <w:t> </w:t>
      </w:r>
      <w:r>
        <w:rPr>
          <w:sz w:val="28"/>
          <w:vertAlign w:val="baseline"/>
        </w:rPr>
        <w:t>are</w:t>
      </w:r>
      <w:r>
        <w:rPr>
          <w:spacing w:val="-6"/>
          <w:sz w:val="28"/>
          <w:vertAlign w:val="baseline"/>
        </w:rPr>
        <w:t> </w:t>
      </w:r>
      <w:r>
        <w:rPr>
          <w:sz w:val="28"/>
          <w:vertAlign w:val="baseline"/>
        </w:rPr>
        <w:t>to</w:t>
      </w:r>
      <w:r>
        <w:rPr>
          <w:spacing w:val="-7"/>
          <w:sz w:val="28"/>
          <w:vertAlign w:val="baseline"/>
        </w:rPr>
        <w:t> </w:t>
      </w:r>
      <w:r>
        <w:rPr>
          <w:sz w:val="28"/>
          <w:vertAlign w:val="baseline"/>
        </w:rPr>
        <w:t>be</w:t>
      </w:r>
      <w:r>
        <w:rPr>
          <w:spacing w:val="-6"/>
          <w:sz w:val="28"/>
          <w:vertAlign w:val="baseline"/>
        </w:rPr>
        <w:t> </w:t>
      </w:r>
      <w:r>
        <w:rPr>
          <w:sz w:val="28"/>
          <w:vertAlign w:val="baseline"/>
        </w:rPr>
        <w:t>subject</w:t>
      </w:r>
      <w:r>
        <w:rPr>
          <w:spacing w:val="-6"/>
          <w:sz w:val="28"/>
          <w:vertAlign w:val="baseline"/>
        </w:rPr>
        <w:t> </w:t>
      </w:r>
      <w:r>
        <w:rPr>
          <w:sz w:val="28"/>
          <w:vertAlign w:val="baseline"/>
        </w:rPr>
        <w:t>the</w:t>
      </w:r>
      <w:r>
        <w:rPr>
          <w:spacing w:val="-6"/>
          <w:sz w:val="28"/>
          <w:vertAlign w:val="baseline"/>
        </w:rPr>
        <w:t> </w:t>
      </w:r>
      <w:r>
        <w:rPr>
          <w:sz w:val="28"/>
          <w:vertAlign w:val="baseline"/>
        </w:rPr>
        <w:t>‘Stormont</w:t>
      </w:r>
      <w:r>
        <w:rPr>
          <w:spacing w:val="-6"/>
          <w:sz w:val="28"/>
          <w:vertAlign w:val="baseline"/>
        </w:rPr>
        <w:t> </w:t>
      </w:r>
      <w:r>
        <w:rPr>
          <w:sz w:val="28"/>
          <w:vertAlign w:val="baseline"/>
        </w:rPr>
        <w:t>brake’ mechanism.</w:t>
      </w:r>
      <w:r>
        <w:rPr>
          <w:sz w:val="28"/>
          <w:vertAlign w:val="superscript"/>
        </w:rPr>
        <w:t>204</w:t>
      </w:r>
      <w:r>
        <w:rPr>
          <w:sz w:val="28"/>
          <w:vertAlign w:val="baseline"/>
        </w:rPr>
        <w:t> These include measures that are relevant for disabled people in</w:t>
      </w:r>
      <w:r>
        <w:rPr>
          <w:spacing w:val="-4"/>
          <w:sz w:val="28"/>
          <w:vertAlign w:val="baseline"/>
        </w:rPr>
        <w:t> </w:t>
      </w:r>
      <w:r>
        <w:rPr>
          <w:sz w:val="28"/>
          <w:vertAlign w:val="baseline"/>
        </w:rPr>
        <w:t>terms</w:t>
      </w:r>
      <w:r>
        <w:rPr>
          <w:spacing w:val="-4"/>
          <w:sz w:val="28"/>
          <w:vertAlign w:val="baseline"/>
        </w:rPr>
        <w:t> </w:t>
      </w:r>
      <w:r>
        <w:rPr>
          <w:sz w:val="28"/>
          <w:vertAlign w:val="baseline"/>
        </w:rPr>
        <w:t>of</w:t>
      </w:r>
      <w:r>
        <w:rPr>
          <w:spacing w:val="-4"/>
          <w:sz w:val="28"/>
          <w:vertAlign w:val="baseline"/>
        </w:rPr>
        <w:t> </w:t>
      </w:r>
      <w:r>
        <w:rPr>
          <w:sz w:val="28"/>
          <w:vertAlign w:val="baseline"/>
        </w:rPr>
        <w:t>accessibility</w:t>
      </w:r>
      <w:r>
        <w:rPr>
          <w:spacing w:val="-3"/>
          <w:sz w:val="28"/>
          <w:vertAlign w:val="baseline"/>
        </w:rPr>
        <w:t> </w:t>
      </w:r>
      <w:r>
        <w:rPr>
          <w:sz w:val="28"/>
          <w:vertAlign w:val="baseline"/>
        </w:rPr>
        <w:t>standards.</w:t>
      </w:r>
      <w:r>
        <w:rPr>
          <w:spacing w:val="-4"/>
          <w:sz w:val="28"/>
          <w:vertAlign w:val="baseline"/>
        </w:rPr>
        <w:t> </w:t>
      </w:r>
      <w:r>
        <w:rPr>
          <w:sz w:val="28"/>
          <w:vertAlign w:val="baseline"/>
        </w:rPr>
        <w:t>For</w:t>
      </w:r>
      <w:r>
        <w:rPr>
          <w:spacing w:val="-3"/>
          <w:sz w:val="28"/>
          <w:vertAlign w:val="baseline"/>
        </w:rPr>
        <w:t> </w:t>
      </w:r>
      <w:r>
        <w:rPr>
          <w:sz w:val="28"/>
          <w:vertAlign w:val="baseline"/>
        </w:rPr>
        <w:t>example,</w:t>
      </w:r>
      <w:r>
        <w:rPr>
          <w:spacing w:val="-3"/>
          <w:sz w:val="28"/>
          <w:vertAlign w:val="baseline"/>
        </w:rPr>
        <w:t> </w:t>
      </w:r>
      <w:r>
        <w:rPr>
          <w:sz w:val="28"/>
          <w:vertAlign w:val="baseline"/>
        </w:rPr>
        <w:t>Article</w:t>
      </w:r>
      <w:r>
        <w:rPr>
          <w:spacing w:val="-3"/>
          <w:sz w:val="28"/>
          <w:vertAlign w:val="baseline"/>
        </w:rPr>
        <w:t> </w:t>
      </w:r>
      <w:r>
        <w:rPr>
          <w:sz w:val="28"/>
          <w:vertAlign w:val="baseline"/>
        </w:rPr>
        <w:t>24</w:t>
      </w:r>
      <w:r>
        <w:rPr>
          <w:spacing w:val="-3"/>
          <w:sz w:val="28"/>
          <w:vertAlign w:val="baseline"/>
        </w:rPr>
        <w:t> </w:t>
      </w:r>
      <w:r>
        <w:rPr>
          <w:sz w:val="28"/>
          <w:vertAlign w:val="baseline"/>
        </w:rPr>
        <w:t>of</w:t>
      </w:r>
      <w:r>
        <w:rPr>
          <w:spacing w:val="-4"/>
          <w:sz w:val="28"/>
          <w:vertAlign w:val="baseline"/>
        </w:rPr>
        <w:t> </w:t>
      </w:r>
      <w:r>
        <w:rPr>
          <w:sz w:val="28"/>
          <w:vertAlign w:val="baseline"/>
        </w:rPr>
        <w:t>the</w:t>
      </w:r>
      <w:r>
        <w:rPr>
          <w:spacing w:val="-3"/>
          <w:sz w:val="28"/>
          <w:vertAlign w:val="baseline"/>
        </w:rPr>
        <w:t> </w:t>
      </w:r>
      <w:r>
        <w:rPr>
          <w:sz w:val="28"/>
          <w:vertAlign w:val="baseline"/>
        </w:rPr>
        <w:t>EU</w:t>
      </w:r>
      <w:r>
        <w:rPr>
          <w:spacing w:val="-3"/>
          <w:sz w:val="28"/>
          <w:vertAlign w:val="baseline"/>
        </w:rPr>
        <w:t> </w:t>
      </w:r>
      <w:r>
        <w:rPr>
          <w:sz w:val="28"/>
          <w:vertAlign w:val="baseline"/>
        </w:rPr>
        <w:t>Directive on</w:t>
      </w:r>
      <w:r>
        <w:rPr>
          <w:spacing w:val="-4"/>
          <w:sz w:val="28"/>
          <w:vertAlign w:val="baseline"/>
        </w:rPr>
        <w:t> </w:t>
      </w:r>
      <w:r>
        <w:rPr>
          <w:sz w:val="28"/>
          <w:vertAlign w:val="baseline"/>
        </w:rPr>
        <w:t>Machinery</w:t>
      </w:r>
      <w:r>
        <w:rPr>
          <w:spacing w:val="-3"/>
          <w:sz w:val="28"/>
          <w:vertAlign w:val="baseline"/>
        </w:rPr>
        <w:t> </w:t>
      </w:r>
      <w:r>
        <w:rPr>
          <w:sz w:val="28"/>
          <w:vertAlign w:val="baseline"/>
        </w:rPr>
        <w:t>(Directive</w:t>
      </w:r>
      <w:r>
        <w:rPr>
          <w:spacing w:val="-3"/>
          <w:sz w:val="28"/>
          <w:vertAlign w:val="baseline"/>
        </w:rPr>
        <w:t> </w:t>
      </w:r>
      <w:r>
        <w:rPr>
          <w:sz w:val="28"/>
          <w:vertAlign w:val="baseline"/>
        </w:rPr>
        <w:t>2006/42/EC),</w:t>
      </w:r>
      <w:r>
        <w:rPr>
          <w:sz w:val="28"/>
          <w:vertAlign w:val="superscript"/>
        </w:rPr>
        <w:t>205</w:t>
      </w:r>
      <w:r>
        <w:rPr>
          <w:spacing w:val="-4"/>
          <w:sz w:val="28"/>
          <w:vertAlign w:val="baseline"/>
        </w:rPr>
        <w:t> </w:t>
      </w:r>
      <w:r>
        <w:rPr>
          <w:sz w:val="28"/>
          <w:vertAlign w:val="baseline"/>
        </w:rPr>
        <w:t>amends</w:t>
      </w:r>
      <w:r>
        <w:rPr>
          <w:spacing w:val="-4"/>
          <w:sz w:val="28"/>
          <w:vertAlign w:val="baseline"/>
        </w:rPr>
        <w:t> </w:t>
      </w:r>
      <w:r>
        <w:rPr>
          <w:sz w:val="28"/>
          <w:vertAlign w:val="baseline"/>
        </w:rPr>
        <w:t>the</w:t>
      </w:r>
      <w:r>
        <w:rPr>
          <w:spacing w:val="-3"/>
          <w:sz w:val="28"/>
          <w:vertAlign w:val="baseline"/>
        </w:rPr>
        <w:t> </w:t>
      </w:r>
      <w:r>
        <w:rPr>
          <w:sz w:val="28"/>
          <w:vertAlign w:val="baseline"/>
        </w:rPr>
        <w:t>law</w:t>
      </w:r>
      <w:r>
        <w:rPr>
          <w:spacing w:val="-3"/>
          <w:sz w:val="28"/>
          <w:vertAlign w:val="baseline"/>
        </w:rPr>
        <w:t> </w:t>
      </w:r>
      <w:r>
        <w:rPr>
          <w:sz w:val="28"/>
          <w:vertAlign w:val="baseline"/>
        </w:rPr>
        <w:t>on</w:t>
      </w:r>
      <w:r>
        <w:rPr>
          <w:spacing w:val="-4"/>
          <w:sz w:val="28"/>
          <w:vertAlign w:val="baseline"/>
        </w:rPr>
        <w:t> </w:t>
      </w:r>
      <w:r>
        <w:rPr>
          <w:sz w:val="28"/>
          <w:vertAlign w:val="baseline"/>
        </w:rPr>
        <w:t>the</w:t>
      </w:r>
      <w:r>
        <w:rPr>
          <w:spacing w:val="-3"/>
          <w:sz w:val="28"/>
          <w:vertAlign w:val="baseline"/>
        </w:rPr>
        <w:t> </w:t>
      </w:r>
      <w:r>
        <w:rPr>
          <w:sz w:val="28"/>
          <w:vertAlign w:val="baseline"/>
        </w:rPr>
        <w:t>manufacture of</w:t>
      </w:r>
      <w:r>
        <w:rPr>
          <w:spacing w:val="-4"/>
          <w:sz w:val="28"/>
          <w:vertAlign w:val="baseline"/>
        </w:rPr>
        <w:t> </w:t>
      </w:r>
      <w:r>
        <w:rPr>
          <w:sz w:val="28"/>
          <w:vertAlign w:val="baseline"/>
        </w:rPr>
        <w:t>lifts</w:t>
      </w:r>
      <w:r>
        <w:rPr>
          <w:spacing w:val="-4"/>
          <w:sz w:val="28"/>
          <w:vertAlign w:val="baseline"/>
        </w:rPr>
        <w:t> </w:t>
      </w:r>
      <w:r>
        <w:rPr>
          <w:sz w:val="28"/>
          <w:vertAlign w:val="baseline"/>
        </w:rPr>
        <w:t>in</w:t>
      </w:r>
      <w:r>
        <w:rPr>
          <w:spacing w:val="-4"/>
          <w:sz w:val="28"/>
          <w:vertAlign w:val="baseline"/>
        </w:rPr>
        <w:t> </w:t>
      </w:r>
      <w:r>
        <w:rPr>
          <w:sz w:val="28"/>
          <w:vertAlign w:val="baseline"/>
        </w:rPr>
        <w:t>relation</w:t>
      </w:r>
      <w:r>
        <w:rPr>
          <w:spacing w:val="-4"/>
          <w:sz w:val="28"/>
          <w:vertAlign w:val="baseline"/>
        </w:rPr>
        <w:t> </w:t>
      </w:r>
      <w:r>
        <w:rPr>
          <w:sz w:val="28"/>
          <w:vertAlign w:val="baseline"/>
        </w:rPr>
        <w:t>to</w:t>
      </w:r>
      <w:r>
        <w:rPr>
          <w:spacing w:val="-4"/>
          <w:sz w:val="28"/>
          <w:vertAlign w:val="baseline"/>
        </w:rPr>
        <w:t> </w:t>
      </w:r>
      <w:r>
        <w:rPr>
          <w:sz w:val="28"/>
          <w:vertAlign w:val="baseline"/>
        </w:rPr>
        <w:t>access</w:t>
      </w:r>
      <w:r>
        <w:rPr>
          <w:spacing w:val="-4"/>
          <w:sz w:val="28"/>
          <w:vertAlign w:val="baseline"/>
        </w:rPr>
        <w:t> </w:t>
      </w:r>
      <w:r>
        <w:rPr>
          <w:sz w:val="28"/>
          <w:vertAlign w:val="baseline"/>
        </w:rPr>
        <w:t>for,</w:t>
      </w:r>
      <w:r>
        <w:rPr>
          <w:spacing w:val="-3"/>
          <w:sz w:val="28"/>
          <w:vertAlign w:val="baseline"/>
        </w:rPr>
        <w:t> </w:t>
      </w:r>
      <w:r>
        <w:rPr>
          <w:sz w:val="28"/>
          <w:vertAlign w:val="baseline"/>
        </w:rPr>
        <w:t>and</w:t>
      </w:r>
      <w:r>
        <w:rPr>
          <w:spacing w:val="-4"/>
          <w:sz w:val="28"/>
          <w:vertAlign w:val="baseline"/>
        </w:rPr>
        <w:t> </w:t>
      </w:r>
      <w:r>
        <w:rPr>
          <w:sz w:val="28"/>
          <w:vertAlign w:val="baseline"/>
        </w:rPr>
        <w:t>use</w:t>
      </w:r>
      <w:r>
        <w:rPr>
          <w:spacing w:val="-3"/>
          <w:sz w:val="28"/>
          <w:vertAlign w:val="baseline"/>
        </w:rPr>
        <w:t> </w:t>
      </w:r>
      <w:r>
        <w:rPr>
          <w:sz w:val="28"/>
          <w:vertAlign w:val="baseline"/>
        </w:rPr>
        <w:t>by,</w:t>
      </w:r>
      <w:r>
        <w:rPr>
          <w:spacing w:val="-3"/>
          <w:sz w:val="28"/>
          <w:vertAlign w:val="baseline"/>
        </w:rPr>
        <w:t> </w:t>
      </w:r>
      <w:r>
        <w:rPr>
          <w:sz w:val="28"/>
          <w:vertAlign w:val="baseline"/>
        </w:rPr>
        <w:t>disabled</w:t>
      </w:r>
      <w:r>
        <w:rPr>
          <w:spacing w:val="-4"/>
          <w:sz w:val="28"/>
          <w:vertAlign w:val="baseline"/>
        </w:rPr>
        <w:t> </w:t>
      </w:r>
      <w:r>
        <w:rPr>
          <w:sz w:val="28"/>
          <w:vertAlign w:val="baseline"/>
        </w:rPr>
        <w:t>people,</w:t>
      </w:r>
      <w:r>
        <w:rPr>
          <w:spacing w:val="-3"/>
          <w:sz w:val="28"/>
          <w:vertAlign w:val="baseline"/>
        </w:rPr>
        <w:t> </w:t>
      </w:r>
      <w:r>
        <w:rPr>
          <w:sz w:val="28"/>
          <w:vertAlign w:val="baseline"/>
        </w:rPr>
        <w:t>which</w:t>
      </w:r>
      <w:r>
        <w:rPr>
          <w:spacing w:val="-4"/>
          <w:sz w:val="28"/>
          <w:vertAlign w:val="baseline"/>
        </w:rPr>
        <w:t> </w:t>
      </w:r>
      <w:r>
        <w:rPr>
          <w:sz w:val="28"/>
          <w:vertAlign w:val="baseline"/>
        </w:rPr>
        <w:t>is</w:t>
      </w:r>
      <w:r>
        <w:rPr>
          <w:spacing w:val="-4"/>
          <w:sz w:val="28"/>
          <w:vertAlign w:val="baseline"/>
        </w:rPr>
        <w:t> </w:t>
      </w:r>
      <w:r>
        <w:rPr>
          <w:sz w:val="28"/>
          <w:vertAlign w:val="baseline"/>
        </w:rPr>
        <w:t>included in Windsor Framework Annex 2. The ‘Stormont brake’ mechanism may therefore</w:t>
      </w:r>
      <w:r>
        <w:rPr>
          <w:spacing w:val="-9"/>
          <w:sz w:val="28"/>
          <w:vertAlign w:val="baseline"/>
        </w:rPr>
        <w:t> </w:t>
      </w:r>
      <w:r>
        <w:rPr>
          <w:sz w:val="28"/>
          <w:vertAlign w:val="baseline"/>
        </w:rPr>
        <w:t>have</w:t>
      </w:r>
      <w:r>
        <w:rPr>
          <w:spacing w:val="-9"/>
          <w:sz w:val="28"/>
          <w:vertAlign w:val="baseline"/>
        </w:rPr>
        <w:t> </w:t>
      </w:r>
      <w:r>
        <w:rPr>
          <w:sz w:val="28"/>
          <w:vertAlign w:val="baseline"/>
        </w:rPr>
        <w:t>potential</w:t>
      </w:r>
      <w:r>
        <w:rPr>
          <w:spacing w:val="-9"/>
          <w:sz w:val="28"/>
          <w:vertAlign w:val="baseline"/>
        </w:rPr>
        <w:t> </w:t>
      </w:r>
      <w:r>
        <w:rPr>
          <w:sz w:val="28"/>
          <w:vertAlign w:val="baseline"/>
        </w:rPr>
        <w:t>implications</w:t>
      </w:r>
      <w:r>
        <w:rPr>
          <w:spacing w:val="-9"/>
          <w:sz w:val="28"/>
          <w:vertAlign w:val="baseline"/>
        </w:rPr>
        <w:t> </w:t>
      </w:r>
      <w:r>
        <w:rPr>
          <w:sz w:val="28"/>
          <w:vertAlign w:val="baseline"/>
        </w:rPr>
        <w:t>for</w:t>
      </w:r>
      <w:r>
        <w:rPr>
          <w:spacing w:val="-9"/>
          <w:sz w:val="28"/>
          <w:vertAlign w:val="baseline"/>
        </w:rPr>
        <w:t> </w:t>
      </w:r>
      <w:r>
        <w:rPr>
          <w:sz w:val="28"/>
          <w:vertAlign w:val="baseline"/>
        </w:rPr>
        <w:t>equality</w:t>
      </w:r>
      <w:r>
        <w:rPr>
          <w:spacing w:val="-9"/>
          <w:sz w:val="28"/>
          <w:vertAlign w:val="baseline"/>
        </w:rPr>
        <w:t> </w:t>
      </w:r>
      <w:r>
        <w:rPr>
          <w:sz w:val="28"/>
          <w:vertAlign w:val="baseline"/>
        </w:rPr>
        <w:t>and</w:t>
      </w:r>
      <w:r>
        <w:rPr>
          <w:spacing w:val="-9"/>
          <w:sz w:val="28"/>
          <w:vertAlign w:val="baseline"/>
        </w:rPr>
        <w:t> </w:t>
      </w:r>
      <w:r>
        <w:rPr>
          <w:sz w:val="28"/>
          <w:vertAlign w:val="baseline"/>
        </w:rPr>
        <w:t>human</w:t>
      </w:r>
      <w:r>
        <w:rPr>
          <w:spacing w:val="-9"/>
          <w:sz w:val="28"/>
          <w:vertAlign w:val="baseline"/>
        </w:rPr>
        <w:t> </w:t>
      </w:r>
      <w:r>
        <w:rPr>
          <w:sz w:val="28"/>
          <w:vertAlign w:val="baseline"/>
        </w:rPr>
        <w:t>rights,</w:t>
      </w:r>
      <w:r>
        <w:rPr>
          <w:spacing w:val="-9"/>
          <w:sz w:val="28"/>
          <w:vertAlign w:val="baseline"/>
        </w:rPr>
        <w:t> </w:t>
      </w:r>
      <w:r>
        <w:rPr>
          <w:sz w:val="28"/>
          <w:vertAlign w:val="baseline"/>
        </w:rPr>
        <w:t>including those relating to disabled people in NI.</w:t>
      </w:r>
      <w:r>
        <w:rPr>
          <w:spacing w:val="40"/>
          <w:sz w:val="28"/>
          <w:vertAlign w:val="baseline"/>
        </w:rPr>
        <w:t> </w:t>
      </w:r>
      <w:r>
        <w:rPr>
          <w:sz w:val="28"/>
          <w:vertAlign w:val="baseline"/>
        </w:rPr>
        <w:t>The Commissions have called for equality and</w:t>
      </w:r>
      <w:r>
        <w:rPr>
          <w:spacing w:val="-1"/>
          <w:sz w:val="28"/>
          <w:vertAlign w:val="baseline"/>
        </w:rPr>
        <w:t> </w:t>
      </w:r>
      <w:r>
        <w:rPr>
          <w:sz w:val="28"/>
          <w:vertAlign w:val="baseline"/>
        </w:rPr>
        <w:t>human</w:t>
      </w:r>
      <w:r>
        <w:rPr>
          <w:spacing w:val="-1"/>
          <w:sz w:val="28"/>
          <w:vertAlign w:val="baseline"/>
        </w:rPr>
        <w:t> </w:t>
      </w:r>
      <w:r>
        <w:rPr>
          <w:sz w:val="28"/>
          <w:vertAlign w:val="baseline"/>
        </w:rPr>
        <w:t>rights</w:t>
      </w:r>
      <w:r>
        <w:rPr>
          <w:spacing w:val="-1"/>
          <w:sz w:val="28"/>
          <w:vertAlign w:val="baseline"/>
        </w:rPr>
        <w:t> </w:t>
      </w:r>
      <w:r>
        <w:rPr>
          <w:sz w:val="28"/>
          <w:vertAlign w:val="baseline"/>
        </w:rPr>
        <w:t>considerations</w:t>
      </w:r>
      <w:r>
        <w:rPr>
          <w:spacing w:val="-1"/>
          <w:sz w:val="28"/>
          <w:vertAlign w:val="baseline"/>
        </w:rPr>
        <w:t> </w:t>
      </w:r>
      <w:r>
        <w:rPr>
          <w:sz w:val="28"/>
          <w:vertAlign w:val="baseline"/>
        </w:rPr>
        <w:t>to</w:t>
      </w:r>
      <w:r>
        <w:rPr>
          <w:spacing w:val="-1"/>
          <w:sz w:val="28"/>
          <w:vertAlign w:val="baseline"/>
        </w:rPr>
        <w:t> </w:t>
      </w:r>
      <w:r>
        <w:rPr>
          <w:sz w:val="28"/>
          <w:vertAlign w:val="baseline"/>
        </w:rPr>
        <w:t>be built into</w:t>
      </w:r>
      <w:r>
        <w:rPr>
          <w:spacing w:val="-1"/>
          <w:sz w:val="28"/>
          <w:vertAlign w:val="baseline"/>
        </w:rPr>
        <w:t> </w:t>
      </w:r>
      <w:r>
        <w:rPr>
          <w:sz w:val="28"/>
          <w:vertAlign w:val="baseline"/>
        </w:rPr>
        <w:t>all</w:t>
      </w:r>
      <w:r>
        <w:rPr>
          <w:spacing w:val="-1"/>
          <w:sz w:val="28"/>
          <w:vertAlign w:val="baseline"/>
        </w:rPr>
        <w:t> </w:t>
      </w:r>
      <w:r>
        <w:rPr>
          <w:sz w:val="28"/>
          <w:vertAlign w:val="baseline"/>
        </w:rPr>
        <w:t>key stages</w:t>
      </w:r>
      <w:r>
        <w:rPr>
          <w:spacing w:val="-1"/>
          <w:sz w:val="28"/>
          <w:vertAlign w:val="baseline"/>
        </w:rPr>
        <w:t> </w:t>
      </w:r>
      <w:r>
        <w:rPr>
          <w:sz w:val="28"/>
          <w:vertAlign w:val="baseline"/>
        </w:rPr>
        <w:t>of</w:t>
      </w:r>
      <w:r>
        <w:rPr>
          <w:spacing w:val="-1"/>
          <w:sz w:val="28"/>
          <w:vertAlign w:val="baseline"/>
        </w:rPr>
        <w:t> </w:t>
      </w:r>
      <w:r>
        <w:rPr>
          <w:sz w:val="28"/>
          <w:vertAlign w:val="baseline"/>
        </w:rPr>
        <w:t>the ‘Stormont brake’ mechanism.</w:t>
      </w:r>
      <w:r>
        <w:rPr>
          <w:sz w:val="28"/>
          <w:vertAlign w:val="superscript"/>
        </w:rPr>
        <w:t>206</w:t>
      </w:r>
    </w:p>
    <w:p>
      <w:pPr>
        <w:pStyle w:val="Heading6"/>
        <w:spacing w:before="290"/>
        <w:rPr>
          <w:i/>
        </w:rPr>
      </w:pPr>
      <w:r>
        <w:rPr>
          <w:i/>
          <w:color w:val="67287F"/>
        </w:rPr>
        <w:t>UN</w:t>
      </w:r>
      <w:r>
        <w:rPr>
          <w:i/>
          <w:color w:val="67287F"/>
          <w:spacing w:val="-7"/>
        </w:rPr>
        <w:t> </w:t>
      </w:r>
      <w:r>
        <w:rPr>
          <w:i/>
          <w:color w:val="67287F"/>
        </w:rPr>
        <w:t>Convention</w:t>
      </w:r>
      <w:r>
        <w:rPr>
          <w:i/>
          <w:color w:val="67287F"/>
          <w:spacing w:val="-7"/>
        </w:rPr>
        <w:t> </w:t>
      </w:r>
      <w:r>
        <w:rPr>
          <w:i/>
          <w:color w:val="67287F"/>
        </w:rPr>
        <w:t>on</w:t>
      </w:r>
      <w:r>
        <w:rPr>
          <w:i/>
          <w:color w:val="67287F"/>
          <w:spacing w:val="-6"/>
        </w:rPr>
        <w:t> </w:t>
      </w:r>
      <w:r>
        <w:rPr>
          <w:i/>
          <w:color w:val="67287F"/>
        </w:rPr>
        <w:t>the</w:t>
      </w:r>
      <w:r>
        <w:rPr>
          <w:i/>
          <w:color w:val="67287F"/>
          <w:spacing w:val="-7"/>
        </w:rPr>
        <w:t> </w:t>
      </w:r>
      <w:r>
        <w:rPr>
          <w:i/>
          <w:color w:val="67287F"/>
        </w:rPr>
        <w:t>Rights</w:t>
      </w:r>
      <w:r>
        <w:rPr>
          <w:i/>
          <w:color w:val="67287F"/>
          <w:spacing w:val="-6"/>
        </w:rPr>
        <w:t> </w:t>
      </w:r>
      <w:r>
        <w:rPr>
          <w:i/>
          <w:color w:val="67287F"/>
        </w:rPr>
        <w:t>of</w:t>
      </w:r>
      <w:r>
        <w:rPr>
          <w:i/>
          <w:color w:val="67287F"/>
          <w:spacing w:val="-7"/>
        </w:rPr>
        <w:t> </w:t>
      </w:r>
      <w:r>
        <w:rPr>
          <w:i/>
          <w:color w:val="67287F"/>
        </w:rPr>
        <w:t>Persons</w:t>
      </w:r>
      <w:r>
        <w:rPr>
          <w:i/>
          <w:color w:val="67287F"/>
          <w:spacing w:val="-7"/>
        </w:rPr>
        <w:t> </w:t>
      </w:r>
      <w:r>
        <w:rPr>
          <w:i/>
          <w:color w:val="67287F"/>
        </w:rPr>
        <w:t>with</w:t>
      </w:r>
      <w:r>
        <w:rPr>
          <w:i/>
          <w:color w:val="67287F"/>
          <w:spacing w:val="-6"/>
        </w:rPr>
        <w:t> </w:t>
      </w:r>
      <w:r>
        <w:rPr>
          <w:i/>
          <w:color w:val="67287F"/>
          <w:spacing w:val="-2"/>
        </w:rPr>
        <w:t>Disabilities</w:t>
      </w:r>
    </w:p>
    <w:p>
      <w:pPr>
        <w:pStyle w:val="ListParagraph"/>
        <w:numPr>
          <w:ilvl w:val="1"/>
          <w:numId w:val="7"/>
        </w:numPr>
        <w:tabs>
          <w:tab w:pos="1853" w:val="left" w:leader="none"/>
        </w:tabs>
        <w:spacing w:line="225" w:lineRule="auto" w:before="5" w:after="0"/>
        <w:ind w:left="1853" w:right="1265" w:hanging="720"/>
        <w:jc w:val="left"/>
        <w:rPr>
          <w:sz w:val="28"/>
        </w:rPr>
      </w:pPr>
      <w:r>
        <w:rPr>
          <w:sz w:val="28"/>
        </w:rPr>
        <w:t>In accordance with Section 7A of the EU Withdrawal Act 2018, all the rights, obligations</w:t>
      </w:r>
      <w:r>
        <w:rPr>
          <w:spacing w:val="-9"/>
          <w:sz w:val="28"/>
        </w:rPr>
        <w:t> </w:t>
      </w:r>
      <w:r>
        <w:rPr>
          <w:sz w:val="28"/>
        </w:rPr>
        <w:t>and</w:t>
      </w:r>
      <w:r>
        <w:rPr>
          <w:spacing w:val="-9"/>
          <w:sz w:val="28"/>
        </w:rPr>
        <w:t> </w:t>
      </w:r>
      <w:r>
        <w:rPr>
          <w:sz w:val="28"/>
        </w:rPr>
        <w:t>remedies</w:t>
      </w:r>
      <w:r>
        <w:rPr>
          <w:spacing w:val="-9"/>
          <w:sz w:val="28"/>
        </w:rPr>
        <w:t> </w:t>
      </w:r>
      <w:r>
        <w:rPr>
          <w:sz w:val="28"/>
        </w:rPr>
        <w:t>arising</w:t>
      </w:r>
      <w:r>
        <w:rPr>
          <w:spacing w:val="-8"/>
          <w:sz w:val="28"/>
        </w:rPr>
        <w:t> </w:t>
      </w:r>
      <w:r>
        <w:rPr>
          <w:sz w:val="28"/>
        </w:rPr>
        <w:t>under</w:t>
      </w:r>
      <w:r>
        <w:rPr>
          <w:spacing w:val="-8"/>
          <w:sz w:val="28"/>
        </w:rPr>
        <w:t> </w:t>
      </w:r>
      <w:r>
        <w:rPr>
          <w:sz w:val="28"/>
        </w:rPr>
        <w:t>the</w:t>
      </w:r>
      <w:r>
        <w:rPr>
          <w:spacing w:val="-8"/>
          <w:sz w:val="28"/>
        </w:rPr>
        <w:t> </w:t>
      </w:r>
      <w:r>
        <w:rPr>
          <w:sz w:val="28"/>
        </w:rPr>
        <w:t>UK-EU</w:t>
      </w:r>
      <w:r>
        <w:rPr>
          <w:spacing w:val="-8"/>
          <w:sz w:val="28"/>
        </w:rPr>
        <w:t> </w:t>
      </w:r>
      <w:r>
        <w:rPr>
          <w:sz w:val="28"/>
        </w:rPr>
        <w:t>Withdrawal</w:t>
      </w:r>
      <w:r>
        <w:rPr>
          <w:spacing w:val="-9"/>
          <w:sz w:val="28"/>
        </w:rPr>
        <w:t> </w:t>
      </w:r>
      <w:r>
        <w:rPr>
          <w:sz w:val="28"/>
        </w:rPr>
        <w:t>Agreement</w:t>
      </w:r>
      <w:r>
        <w:rPr>
          <w:spacing w:val="-8"/>
          <w:sz w:val="28"/>
        </w:rPr>
        <w:t> </w:t>
      </w:r>
      <w:r>
        <w:rPr>
          <w:sz w:val="28"/>
        </w:rPr>
        <w:t>are part of UK law. The definition of EU law in the UK-EU Withdrawal Agreement encompasses those international agreements to which the EU is party, including the UN CRPD.</w:t>
      </w:r>
      <w:r>
        <w:rPr>
          <w:spacing w:val="40"/>
          <w:sz w:val="28"/>
        </w:rPr>
        <w:t> </w:t>
      </w:r>
      <w:r>
        <w:rPr>
          <w:sz w:val="28"/>
        </w:rPr>
        <w:t>As the EU acceded to the UN CRPD prior to UK withdrawal,</w:t>
      </w:r>
      <w:r>
        <w:rPr>
          <w:sz w:val="28"/>
          <w:vertAlign w:val="superscript"/>
        </w:rPr>
        <w:t>207</w:t>
      </w:r>
      <w:r>
        <w:rPr>
          <w:sz w:val="28"/>
          <w:vertAlign w:val="baseline"/>
        </w:rPr>
        <w:t> the overriding obligation to promote, protect and implement</w:t>
      </w:r>
    </w:p>
    <w:p>
      <w:pPr>
        <w:pStyle w:val="BodyText"/>
        <w:spacing w:before="8"/>
        <w:rPr>
          <w:sz w:val="17"/>
        </w:rPr>
      </w:pPr>
      <w:r>
        <w:rPr/>
        <mc:AlternateContent>
          <mc:Choice Requires="wps">
            <w:drawing>
              <wp:anchor distT="0" distB="0" distL="0" distR="0" allowOverlap="1" layoutInCell="1" locked="0" behindDoc="1" simplePos="0" relativeHeight="487649792">
                <wp:simplePos x="0" y="0"/>
                <wp:positionH relativeFrom="page">
                  <wp:posOffset>719999</wp:posOffset>
                </wp:positionH>
                <wp:positionV relativeFrom="paragraph">
                  <wp:posOffset>152623</wp:posOffset>
                </wp:positionV>
                <wp:extent cx="6120130" cy="1270"/>
                <wp:effectExtent l="0" t="0" r="0" b="0"/>
                <wp:wrapTopAndBottom/>
                <wp:docPr id="219" name="Graphic 219"/>
                <wp:cNvGraphicFramePr>
                  <a:graphicFrameLocks/>
                </wp:cNvGraphicFramePr>
                <a:graphic>
                  <a:graphicData uri="http://schemas.microsoft.com/office/word/2010/wordprocessingShape">
                    <wps:wsp>
                      <wps:cNvPr id="219" name="Graphic 219"/>
                      <wps:cNvSpPr/>
                      <wps:spPr>
                        <a:xfrm>
                          <a:off x="0" y="0"/>
                          <a:ext cx="6120130" cy="1270"/>
                        </a:xfrm>
                        <a:custGeom>
                          <a:avLst/>
                          <a:gdLst/>
                          <a:ahLst/>
                          <a:cxnLst/>
                          <a:rect l="l" t="t" r="r" b="b"/>
                          <a:pathLst>
                            <a:path w="6120130" h="0">
                              <a:moveTo>
                                <a:pt x="0" y="0"/>
                              </a:moveTo>
                              <a:lnTo>
                                <a:pt x="6120003"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2.017606pt;width:481.9pt;height:.1pt;mso-position-horizontal-relative:page;mso-position-vertical-relative:paragraph;z-index:-15666688;mso-wrap-distance-left:0;mso-wrap-distance-right:0" id="docshape175" coordorigin="1134,240" coordsize="9638,0" path="m1134,240l10772,240e" filled="false" stroked="true" strokeweight="1pt" strokecolor="#393b7f">
                <v:path arrowok="t"/>
                <v:stroke dashstyle="solid"/>
                <w10:wrap type="topAndBottom"/>
              </v:shape>
            </w:pict>
          </mc:Fallback>
        </mc:AlternateContent>
      </w:r>
    </w:p>
    <w:p>
      <w:pPr>
        <w:pStyle w:val="ListParagraph"/>
        <w:numPr>
          <w:ilvl w:val="0"/>
          <w:numId w:val="3"/>
        </w:numPr>
        <w:tabs>
          <w:tab w:pos="1853" w:val="left" w:leader="none"/>
        </w:tabs>
        <w:spacing w:line="235" w:lineRule="auto" w:before="120" w:after="0"/>
        <w:ind w:left="1853" w:right="1201" w:hanging="720"/>
        <w:jc w:val="left"/>
        <w:rPr>
          <w:sz w:val="18"/>
        </w:rPr>
      </w:pPr>
      <w:r>
        <w:rPr>
          <w:sz w:val="18"/>
        </w:rPr>
        <w:t>Directive 2000/78/EC, ‘EU Council Directive on Establishing a General Framework for Equal Treatment in Employment</w:t>
      </w:r>
      <w:r>
        <w:rPr>
          <w:sz w:val="18"/>
        </w:rPr>
        <w:t> and Occupation’, 27 November 2000.</w:t>
      </w:r>
      <w:r>
        <w:rPr>
          <w:spacing w:val="40"/>
          <w:sz w:val="18"/>
        </w:rPr>
        <w:t> </w:t>
      </w:r>
      <w:r>
        <w:rPr>
          <w:sz w:val="18"/>
        </w:rPr>
        <w:t>Pursuant to Article 13, Windsor Framework, NI equality law must keep pace with any</w:t>
      </w:r>
      <w:r>
        <w:rPr>
          <w:spacing w:val="-3"/>
          <w:sz w:val="18"/>
        </w:rPr>
        <w:t> </w:t>
      </w:r>
      <w:r>
        <w:rPr>
          <w:sz w:val="18"/>
        </w:rPr>
        <w:t>enhancements</w:t>
      </w:r>
      <w:r>
        <w:rPr>
          <w:spacing w:val="-4"/>
          <w:sz w:val="18"/>
        </w:rPr>
        <w:t> </w:t>
      </w:r>
      <w:r>
        <w:rPr>
          <w:sz w:val="18"/>
        </w:rPr>
        <w:t>made</w:t>
      </w:r>
      <w:r>
        <w:rPr>
          <w:spacing w:val="-3"/>
          <w:sz w:val="18"/>
        </w:rPr>
        <w:t> </w:t>
      </w:r>
      <w:r>
        <w:rPr>
          <w:sz w:val="18"/>
        </w:rPr>
        <w:t>by</w:t>
      </w:r>
      <w:r>
        <w:rPr>
          <w:spacing w:val="-3"/>
          <w:sz w:val="18"/>
        </w:rPr>
        <w:t> </w:t>
      </w:r>
      <w:r>
        <w:rPr>
          <w:sz w:val="18"/>
        </w:rPr>
        <w:t>the</w:t>
      </w:r>
      <w:r>
        <w:rPr>
          <w:spacing w:val="-3"/>
          <w:sz w:val="18"/>
        </w:rPr>
        <w:t> </w:t>
      </w:r>
      <w:r>
        <w:rPr>
          <w:sz w:val="18"/>
        </w:rPr>
        <w:t>EU</w:t>
      </w:r>
      <w:r>
        <w:rPr>
          <w:spacing w:val="-3"/>
          <w:sz w:val="18"/>
        </w:rPr>
        <w:t> </w:t>
      </w:r>
      <w:r>
        <w:rPr>
          <w:sz w:val="18"/>
        </w:rPr>
        <w:t>to</w:t>
      </w:r>
      <w:r>
        <w:rPr>
          <w:spacing w:val="-4"/>
          <w:sz w:val="18"/>
        </w:rPr>
        <w:t> </w:t>
      </w:r>
      <w:r>
        <w:rPr>
          <w:sz w:val="18"/>
        </w:rPr>
        <w:t>the</w:t>
      </w:r>
      <w:r>
        <w:rPr>
          <w:spacing w:val="-3"/>
          <w:sz w:val="18"/>
        </w:rPr>
        <w:t> </w:t>
      </w:r>
      <w:r>
        <w:rPr>
          <w:sz w:val="18"/>
        </w:rPr>
        <w:t>six</w:t>
      </w:r>
      <w:r>
        <w:rPr>
          <w:spacing w:val="-4"/>
          <w:sz w:val="18"/>
        </w:rPr>
        <w:t> </w:t>
      </w:r>
      <w:r>
        <w:rPr>
          <w:sz w:val="18"/>
        </w:rPr>
        <w:t>Annex</w:t>
      </w:r>
      <w:r>
        <w:rPr>
          <w:spacing w:val="-4"/>
          <w:sz w:val="18"/>
        </w:rPr>
        <w:t> </w:t>
      </w:r>
      <w:r>
        <w:rPr>
          <w:sz w:val="18"/>
        </w:rPr>
        <w:t>1</w:t>
      </w:r>
      <w:r>
        <w:rPr>
          <w:spacing w:val="-3"/>
          <w:sz w:val="18"/>
        </w:rPr>
        <w:t> </w:t>
      </w:r>
      <w:r>
        <w:rPr>
          <w:sz w:val="18"/>
        </w:rPr>
        <w:t>directives,</w:t>
      </w:r>
      <w:r>
        <w:rPr>
          <w:spacing w:val="-3"/>
          <w:sz w:val="18"/>
        </w:rPr>
        <w:t> </w:t>
      </w:r>
      <w:r>
        <w:rPr>
          <w:sz w:val="18"/>
        </w:rPr>
        <w:t>on</w:t>
      </w:r>
      <w:r>
        <w:rPr>
          <w:spacing w:val="-4"/>
          <w:sz w:val="18"/>
        </w:rPr>
        <w:t> </w:t>
      </w:r>
      <w:r>
        <w:rPr>
          <w:sz w:val="18"/>
        </w:rPr>
        <w:t>or</w:t>
      </w:r>
      <w:r>
        <w:rPr>
          <w:spacing w:val="-3"/>
          <w:sz w:val="18"/>
        </w:rPr>
        <w:t> </w:t>
      </w:r>
      <w:r>
        <w:rPr>
          <w:sz w:val="18"/>
        </w:rPr>
        <w:t>after</w:t>
      </w:r>
      <w:r>
        <w:rPr>
          <w:spacing w:val="-3"/>
          <w:sz w:val="18"/>
        </w:rPr>
        <w:t> </w:t>
      </w:r>
      <w:r>
        <w:rPr>
          <w:sz w:val="18"/>
        </w:rPr>
        <w:t>1</w:t>
      </w:r>
      <w:r>
        <w:rPr>
          <w:spacing w:val="-3"/>
          <w:sz w:val="18"/>
        </w:rPr>
        <w:t> </w:t>
      </w:r>
      <w:r>
        <w:rPr>
          <w:sz w:val="18"/>
        </w:rPr>
        <w:t>January</w:t>
      </w:r>
      <w:r>
        <w:rPr>
          <w:spacing w:val="-3"/>
          <w:sz w:val="18"/>
        </w:rPr>
        <w:t> </w:t>
      </w:r>
      <w:r>
        <w:rPr>
          <w:sz w:val="18"/>
        </w:rPr>
        <w:t>2021,</w:t>
      </w:r>
      <w:r>
        <w:rPr>
          <w:spacing w:val="-3"/>
          <w:sz w:val="18"/>
        </w:rPr>
        <w:t> </w:t>
      </w:r>
      <w:r>
        <w:rPr>
          <w:sz w:val="18"/>
        </w:rPr>
        <w:t>including</w:t>
      </w:r>
      <w:r>
        <w:rPr>
          <w:spacing w:val="-3"/>
          <w:sz w:val="18"/>
        </w:rPr>
        <w:t> </w:t>
      </w:r>
      <w:r>
        <w:rPr>
          <w:sz w:val="18"/>
        </w:rPr>
        <w:t>monitoring</w:t>
      </w:r>
      <w:r>
        <w:rPr>
          <w:spacing w:val="-3"/>
          <w:sz w:val="18"/>
        </w:rPr>
        <w:t> </w:t>
      </w:r>
      <w:r>
        <w:rPr>
          <w:sz w:val="18"/>
        </w:rPr>
        <w:t>current and future CJEU case law.</w:t>
      </w:r>
    </w:p>
    <w:p>
      <w:pPr>
        <w:pStyle w:val="ListParagraph"/>
        <w:numPr>
          <w:ilvl w:val="0"/>
          <w:numId w:val="3"/>
        </w:numPr>
        <w:tabs>
          <w:tab w:pos="1853" w:val="left" w:leader="none"/>
        </w:tabs>
        <w:spacing w:line="235" w:lineRule="auto" w:before="3" w:after="0"/>
        <w:ind w:left="1853" w:right="1838" w:hanging="720"/>
        <w:jc w:val="left"/>
        <w:rPr>
          <w:sz w:val="18"/>
        </w:rPr>
      </w:pPr>
      <w:r>
        <w:rPr>
          <w:sz w:val="18"/>
        </w:rPr>
        <w:t>NI</w:t>
      </w:r>
      <w:r>
        <w:rPr>
          <w:spacing w:val="-4"/>
          <w:sz w:val="18"/>
        </w:rPr>
        <w:t> </w:t>
      </w:r>
      <w:r>
        <w:rPr>
          <w:sz w:val="18"/>
        </w:rPr>
        <w:t>Office,</w:t>
      </w:r>
      <w:r>
        <w:rPr>
          <w:spacing w:val="-4"/>
          <w:sz w:val="18"/>
        </w:rPr>
        <w:t> </w:t>
      </w:r>
      <w:r>
        <w:rPr>
          <w:sz w:val="18"/>
        </w:rPr>
        <w:t>‘UK</w:t>
      </w:r>
      <w:r>
        <w:rPr>
          <w:spacing w:val="-4"/>
          <w:sz w:val="18"/>
        </w:rPr>
        <w:t> </w:t>
      </w:r>
      <w:r>
        <w:rPr>
          <w:sz w:val="18"/>
        </w:rPr>
        <w:t>Government</w:t>
      </w:r>
      <w:r>
        <w:rPr>
          <w:spacing w:val="-4"/>
          <w:sz w:val="18"/>
        </w:rPr>
        <w:t> </w:t>
      </w:r>
      <w:r>
        <w:rPr>
          <w:sz w:val="18"/>
        </w:rPr>
        <w:t>Commitment</w:t>
      </w:r>
      <w:r>
        <w:rPr>
          <w:spacing w:val="-4"/>
          <w:sz w:val="18"/>
        </w:rPr>
        <w:t> </w:t>
      </w:r>
      <w:r>
        <w:rPr>
          <w:sz w:val="18"/>
        </w:rPr>
        <w:t>to</w:t>
      </w:r>
      <w:r>
        <w:rPr>
          <w:spacing w:val="-4"/>
          <w:sz w:val="18"/>
        </w:rPr>
        <w:t> </w:t>
      </w:r>
      <w:r>
        <w:rPr>
          <w:sz w:val="18"/>
        </w:rPr>
        <w:t>“No</w:t>
      </w:r>
      <w:r>
        <w:rPr>
          <w:spacing w:val="-4"/>
          <w:sz w:val="18"/>
        </w:rPr>
        <w:t> </w:t>
      </w:r>
      <w:r>
        <w:rPr>
          <w:sz w:val="18"/>
        </w:rPr>
        <w:t>Diminution</w:t>
      </w:r>
      <w:r>
        <w:rPr>
          <w:spacing w:val="-4"/>
          <w:sz w:val="18"/>
        </w:rPr>
        <w:t> </w:t>
      </w:r>
      <w:r>
        <w:rPr>
          <w:sz w:val="18"/>
        </w:rPr>
        <w:t>of</w:t>
      </w:r>
      <w:r>
        <w:rPr>
          <w:spacing w:val="-4"/>
          <w:sz w:val="18"/>
        </w:rPr>
        <w:t> </w:t>
      </w:r>
      <w:r>
        <w:rPr>
          <w:sz w:val="18"/>
        </w:rPr>
        <w:t>Rights,</w:t>
      </w:r>
      <w:r>
        <w:rPr>
          <w:spacing w:val="-4"/>
          <w:sz w:val="18"/>
        </w:rPr>
        <w:t> </w:t>
      </w:r>
      <w:r>
        <w:rPr>
          <w:sz w:val="18"/>
        </w:rPr>
        <w:t>Safeguards</w:t>
      </w:r>
      <w:r>
        <w:rPr>
          <w:spacing w:val="-4"/>
          <w:sz w:val="18"/>
        </w:rPr>
        <w:t> </w:t>
      </w:r>
      <w:r>
        <w:rPr>
          <w:sz w:val="18"/>
        </w:rPr>
        <w:t>and</w:t>
      </w:r>
      <w:r>
        <w:rPr>
          <w:spacing w:val="-4"/>
          <w:sz w:val="18"/>
        </w:rPr>
        <w:t> </w:t>
      </w:r>
      <w:r>
        <w:rPr>
          <w:sz w:val="18"/>
        </w:rPr>
        <w:t>Equality</w:t>
      </w:r>
      <w:r>
        <w:rPr>
          <w:spacing w:val="-4"/>
          <w:sz w:val="18"/>
        </w:rPr>
        <w:t> </w:t>
      </w:r>
      <w:r>
        <w:rPr>
          <w:sz w:val="18"/>
        </w:rPr>
        <w:t>of</w:t>
      </w:r>
      <w:r>
        <w:rPr>
          <w:spacing w:val="-4"/>
          <w:sz w:val="18"/>
        </w:rPr>
        <w:t> </w:t>
      </w:r>
      <w:r>
        <w:rPr>
          <w:sz w:val="18"/>
        </w:rPr>
        <w:t>Opportunity”</w:t>
      </w:r>
      <w:r>
        <w:rPr>
          <w:spacing w:val="-4"/>
          <w:sz w:val="18"/>
        </w:rPr>
        <w:t> </w:t>
      </w:r>
      <w:r>
        <w:rPr>
          <w:sz w:val="18"/>
        </w:rPr>
        <w:t>in Northern Ireland: What does it Mean and How will it be Implemented?’ (NIO, 2020), at para 13.</w:t>
      </w:r>
    </w:p>
    <w:p>
      <w:pPr>
        <w:pStyle w:val="ListParagraph"/>
        <w:numPr>
          <w:ilvl w:val="0"/>
          <w:numId w:val="3"/>
        </w:numPr>
        <w:tabs>
          <w:tab w:pos="1853" w:val="left" w:leader="none"/>
        </w:tabs>
        <w:spacing w:line="235" w:lineRule="auto" w:before="1" w:after="0"/>
        <w:ind w:left="1853" w:right="1175" w:hanging="720"/>
        <w:jc w:val="left"/>
        <w:rPr>
          <w:sz w:val="18"/>
        </w:rPr>
      </w:pPr>
      <w:r>
        <w:rPr>
          <w:sz w:val="18"/>
        </w:rPr>
        <w:t>For</w:t>
      </w:r>
      <w:r>
        <w:rPr>
          <w:spacing w:val="-6"/>
          <w:sz w:val="18"/>
        </w:rPr>
        <w:t> </w:t>
      </w:r>
      <w:r>
        <w:rPr>
          <w:sz w:val="18"/>
        </w:rPr>
        <w:t>example,</w:t>
      </w:r>
      <w:r>
        <w:rPr>
          <w:spacing w:val="-6"/>
          <w:sz w:val="18"/>
        </w:rPr>
        <w:t> </w:t>
      </w:r>
      <w:r>
        <w:rPr>
          <w:sz w:val="18"/>
        </w:rPr>
        <w:t>Directive</w:t>
      </w:r>
      <w:r>
        <w:rPr>
          <w:spacing w:val="-6"/>
          <w:sz w:val="18"/>
        </w:rPr>
        <w:t> </w:t>
      </w:r>
      <w:r>
        <w:rPr>
          <w:sz w:val="18"/>
        </w:rPr>
        <w:t>2016/2102/EU</w:t>
      </w:r>
      <w:r>
        <w:rPr>
          <w:spacing w:val="-6"/>
          <w:sz w:val="18"/>
        </w:rPr>
        <w:t> </w:t>
      </w:r>
      <w:r>
        <w:rPr>
          <w:sz w:val="18"/>
        </w:rPr>
        <w:t>‘EU</w:t>
      </w:r>
      <w:r>
        <w:rPr>
          <w:spacing w:val="-6"/>
          <w:sz w:val="18"/>
        </w:rPr>
        <w:t> </w:t>
      </w:r>
      <w:r>
        <w:rPr>
          <w:sz w:val="18"/>
        </w:rPr>
        <w:t>Parliament</w:t>
      </w:r>
      <w:r>
        <w:rPr>
          <w:spacing w:val="-6"/>
          <w:sz w:val="18"/>
        </w:rPr>
        <w:t> </w:t>
      </w:r>
      <w:r>
        <w:rPr>
          <w:sz w:val="18"/>
        </w:rPr>
        <w:t>and</w:t>
      </w:r>
      <w:r>
        <w:rPr>
          <w:spacing w:val="-6"/>
          <w:sz w:val="18"/>
        </w:rPr>
        <w:t> </w:t>
      </w:r>
      <w:r>
        <w:rPr>
          <w:sz w:val="18"/>
        </w:rPr>
        <w:t>Council</w:t>
      </w:r>
      <w:r>
        <w:rPr>
          <w:spacing w:val="-6"/>
          <w:sz w:val="18"/>
        </w:rPr>
        <w:t> </w:t>
      </w:r>
      <w:r>
        <w:rPr>
          <w:sz w:val="18"/>
        </w:rPr>
        <w:t>Directive</w:t>
      </w:r>
      <w:r>
        <w:rPr>
          <w:spacing w:val="-6"/>
          <w:sz w:val="18"/>
        </w:rPr>
        <w:t> </w:t>
      </w:r>
      <w:r>
        <w:rPr>
          <w:sz w:val="18"/>
        </w:rPr>
        <w:t>on</w:t>
      </w:r>
      <w:r>
        <w:rPr>
          <w:spacing w:val="-6"/>
          <w:sz w:val="18"/>
        </w:rPr>
        <w:t> </w:t>
      </w:r>
      <w:r>
        <w:rPr>
          <w:sz w:val="18"/>
        </w:rPr>
        <w:t>the</w:t>
      </w:r>
      <w:r>
        <w:rPr>
          <w:spacing w:val="-6"/>
          <w:sz w:val="18"/>
        </w:rPr>
        <w:t> </w:t>
      </w:r>
      <w:r>
        <w:rPr>
          <w:sz w:val="18"/>
        </w:rPr>
        <w:t>accessibility</w:t>
      </w:r>
      <w:r>
        <w:rPr>
          <w:spacing w:val="-6"/>
          <w:sz w:val="18"/>
        </w:rPr>
        <w:t> </w:t>
      </w:r>
      <w:r>
        <w:rPr>
          <w:sz w:val="18"/>
        </w:rPr>
        <w:t>of</w:t>
      </w:r>
      <w:r>
        <w:rPr>
          <w:spacing w:val="-6"/>
          <w:sz w:val="18"/>
        </w:rPr>
        <w:t> </w:t>
      </w:r>
      <w:r>
        <w:rPr>
          <w:sz w:val="18"/>
        </w:rPr>
        <w:t>the</w:t>
      </w:r>
      <w:r>
        <w:rPr>
          <w:spacing w:val="-6"/>
          <w:sz w:val="18"/>
        </w:rPr>
        <w:t> </w:t>
      </w:r>
      <w:r>
        <w:rPr>
          <w:sz w:val="18"/>
        </w:rPr>
        <w:t>websites</w:t>
      </w:r>
      <w:r>
        <w:rPr>
          <w:spacing w:val="-6"/>
          <w:sz w:val="18"/>
        </w:rPr>
        <w:t> </w:t>
      </w:r>
      <w:r>
        <w:rPr>
          <w:sz w:val="18"/>
        </w:rPr>
        <w:t>and</w:t>
      </w:r>
      <w:r>
        <w:rPr>
          <w:spacing w:val="-6"/>
          <w:sz w:val="18"/>
        </w:rPr>
        <w:t> </w:t>
      </w:r>
      <w:r>
        <w:rPr>
          <w:sz w:val="18"/>
        </w:rPr>
        <w:t>mobile applications of public sector bodies’, 26 October 2016; and Regulation (EC) 1107/2006, ‘EU Parliament and Council Regulation concerning the rights of disabled persons and persons with reduced mobility when travelling by air’,</w:t>
      </w:r>
    </w:p>
    <w:p>
      <w:pPr>
        <w:spacing w:line="235" w:lineRule="auto" w:before="2"/>
        <w:ind w:left="1853" w:right="1171" w:firstLine="0"/>
        <w:jc w:val="left"/>
        <w:rPr>
          <w:sz w:val="18"/>
        </w:rPr>
      </w:pPr>
      <w:r>
        <w:rPr>
          <w:sz w:val="18"/>
        </w:rPr>
        <w:t>5</w:t>
      </w:r>
      <w:r>
        <w:rPr>
          <w:spacing w:val="-3"/>
          <w:sz w:val="18"/>
        </w:rPr>
        <w:t> </w:t>
      </w:r>
      <w:r>
        <w:rPr>
          <w:sz w:val="18"/>
        </w:rPr>
        <w:t>July</w:t>
      </w:r>
      <w:r>
        <w:rPr>
          <w:spacing w:val="-3"/>
          <w:sz w:val="18"/>
        </w:rPr>
        <w:t> </w:t>
      </w:r>
      <w:r>
        <w:rPr>
          <w:sz w:val="18"/>
        </w:rPr>
        <w:t>2006.</w:t>
      </w:r>
      <w:r>
        <w:rPr>
          <w:spacing w:val="-4"/>
          <w:sz w:val="18"/>
        </w:rPr>
        <w:t> </w:t>
      </w:r>
      <w:r>
        <w:rPr>
          <w:sz w:val="18"/>
        </w:rPr>
        <w:t>(See</w:t>
      </w:r>
      <w:r>
        <w:rPr>
          <w:spacing w:val="-3"/>
          <w:sz w:val="18"/>
        </w:rPr>
        <w:t> </w:t>
      </w:r>
      <w:r>
        <w:rPr>
          <w:sz w:val="18"/>
        </w:rPr>
        <w:t>table</w:t>
      </w:r>
      <w:r>
        <w:rPr>
          <w:spacing w:val="-3"/>
          <w:sz w:val="18"/>
        </w:rPr>
        <w:t> </w:t>
      </w:r>
      <w:r>
        <w:rPr>
          <w:sz w:val="18"/>
        </w:rPr>
        <w:t>of</w:t>
      </w:r>
      <w:r>
        <w:rPr>
          <w:spacing w:val="-4"/>
          <w:sz w:val="18"/>
        </w:rPr>
        <w:t> </w:t>
      </w:r>
      <w:r>
        <w:rPr>
          <w:sz w:val="18"/>
        </w:rPr>
        <w:t>EU</w:t>
      </w:r>
      <w:r>
        <w:rPr>
          <w:spacing w:val="-3"/>
          <w:sz w:val="18"/>
        </w:rPr>
        <w:t> </w:t>
      </w:r>
      <w:r>
        <w:rPr>
          <w:sz w:val="18"/>
        </w:rPr>
        <w:t>law</w:t>
      </w:r>
      <w:r>
        <w:rPr>
          <w:spacing w:val="-3"/>
          <w:sz w:val="18"/>
        </w:rPr>
        <w:t> </w:t>
      </w:r>
      <w:r>
        <w:rPr>
          <w:sz w:val="18"/>
        </w:rPr>
        <w:t>in</w:t>
      </w:r>
      <w:r>
        <w:rPr>
          <w:spacing w:val="-4"/>
          <w:sz w:val="18"/>
        </w:rPr>
        <w:t> </w:t>
      </w:r>
      <w:r>
        <w:rPr>
          <w:sz w:val="18"/>
        </w:rPr>
        <w:t>Appendix</w:t>
      </w:r>
      <w:r>
        <w:rPr>
          <w:spacing w:val="-4"/>
          <w:sz w:val="18"/>
        </w:rPr>
        <w:t> </w:t>
      </w:r>
      <w:r>
        <w:rPr>
          <w:sz w:val="18"/>
        </w:rPr>
        <w:t>to</w:t>
      </w:r>
      <w:r>
        <w:rPr>
          <w:spacing w:val="-4"/>
          <w:sz w:val="18"/>
        </w:rPr>
        <w:t> </w:t>
      </w: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and</w:t>
      </w:r>
      <w:r>
        <w:rPr>
          <w:spacing w:val="-4"/>
          <w:sz w:val="18"/>
        </w:rPr>
        <w:t> </w:t>
      </w:r>
      <w:r>
        <w:rPr>
          <w:sz w:val="18"/>
        </w:rPr>
        <w:t>Equality</w:t>
      </w:r>
      <w:r>
        <w:rPr>
          <w:spacing w:val="-3"/>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w:t>
      </w:r>
      <w:hyperlink r:id="rId100">
        <w:r>
          <w:rPr>
            <w:sz w:val="18"/>
          </w:rPr>
          <w:t>Working</w:t>
        </w:r>
      </w:hyperlink>
      <w:r>
        <w:rPr>
          <w:sz w:val="18"/>
        </w:rPr>
        <w:t> </w:t>
      </w:r>
      <w:hyperlink r:id="rId100">
        <w:r>
          <w:rPr>
            <w:sz w:val="18"/>
          </w:rPr>
          <w:t>Paper: The Scope of Article 2(1) of the Ireland/ Northern Ireland Protocol</w:t>
        </w:r>
      </w:hyperlink>
      <w:r>
        <w:rPr>
          <w:sz w:val="18"/>
        </w:rPr>
        <w:t>’ (NIHRC and ECNI, 2022)).</w:t>
      </w:r>
    </w:p>
    <w:p>
      <w:pPr>
        <w:pStyle w:val="ListParagraph"/>
        <w:numPr>
          <w:ilvl w:val="0"/>
          <w:numId w:val="3"/>
        </w:numPr>
        <w:tabs>
          <w:tab w:pos="1853" w:val="left" w:leader="none"/>
        </w:tabs>
        <w:spacing w:line="235" w:lineRule="auto" w:before="2" w:after="0"/>
        <w:ind w:left="1853" w:right="1455" w:hanging="720"/>
        <w:jc w:val="left"/>
        <w:rPr>
          <w:sz w:val="18"/>
        </w:rPr>
      </w:pPr>
      <w:r>
        <w:rPr>
          <w:sz w:val="18"/>
        </w:rPr>
        <w:t>See</w:t>
      </w:r>
      <w:r>
        <w:rPr>
          <w:spacing w:val="-3"/>
          <w:sz w:val="18"/>
        </w:rPr>
        <w:t> </w:t>
      </w:r>
      <w:r>
        <w:rPr>
          <w:sz w:val="18"/>
        </w:rPr>
        <w:t>table</w:t>
      </w:r>
      <w:r>
        <w:rPr>
          <w:spacing w:val="-3"/>
          <w:sz w:val="18"/>
        </w:rPr>
        <w:t> </w:t>
      </w:r>
      <w:r>
        <w:rPr>
          <w:sz w:val="18"/>
        </w:rPr>
        <w:t>of</w:t>
      </w:r>
      <w:r>
        <w:rPr>
          <w:spacing w:val="-4"/>
          <w:sz w:val="18"/>
        </w:rPr>
        <w:t> </w:t>
      </w:r>
      <w:r>
        <w:rPr>
          <w:sz w:val="18"/>
        </w:rPr>
        <w:t>EU</w:t>
      </w:r>
      <w:r>
        <w:rPr>
          <w:spacing w:val="-3"/>
          <w:sz w:val="18"/>
        </w:rPr>
        <w:t> </w:t>
      </w:r>
      <w:r>
        <w:rPr>
          <w:sz w:val="18"/>
        </w:rPr>
        <w:t>law</w:t>
      </w:r>
      <w:r>
        <w:rPr>
          <w:spacing w:val="-3"/>
          <w:sz w:val="18"/>
        </w:rPr>
        <w:t> </w:t>
      </w:r>
      <w:r>
        <w:rPr>
          <w:sz w:val="18"/>
        </w:rPr>
        <w:t>in</w:t>
      </w:r>
      <w:r>
        <w:rPr>
          <w:spacing w:val="-4"/>
          <w:sz w:val="18"/>
        </w:rPr>
        <w:t> </w:t>
      </w:r>
      <w:r>
        <w:rPr>
          <w:sz w:val="18"/>
        </w:rPr>
        <w:t>Appendix</w:t>
      </w:r>
      <w:r>
        <w:rPr>
          <w:spacing w:val="-4"/>
          <w:sz w:val="18"/>
        </w:rPr>
        <w:t> </w:t>
      </w:r>
      <w:r>
        <w:rPr>
          <w:sz w:val="18"/>
        </w:rPr>
        <w:t>to</w:t>
      </w:r>
      <w:r>
        <w:rPr>
          <w:spacing w:val="-4"/>
          <w:sz w:val="18"/>
        </w:rPr>
        <w:t> </w:t>
      </w: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and</w:t>
      </w:r>
      <w:r>
        <w:rPr>
          <w:spacing w:val="-4"/>
          <w:sz w:val="18"/>
        </w:rPr>
        <w:t> </w:t>
      </w:r>
      <w:r>
        <w:rPr>
          <w:sz w:val="18"/>
        </w:rPr>
        <w:t>Equality</w:t>
      </w:r>
      <w:r>
        <w:rPr>
          <w:spacing w:val="-3"/>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w:t>
      </w:r>
      <w:hyperlink r:id="rId100">
        <w:r>
          <w:rPr>
            <w:sz w:val="18"/>
          </w:rPr>
          <w:t>Working</w:t>
        </w:r>
        <w:r>
          <w:rPr>
            <w:spacing w:val="-3"/>
            <w:sz w:val="18"/>
          </w:rPr>
          <w:t> </w:t>
        </w:r>
        <w:r>
          <w:rPr>
            <w:sz w:val="18"/>
          </w:rPr>
          <w:t>Paper:</w:t>
        </w:r>
        <w:r>
          <w:rPr>
            <w:spacing w:val="-3"/>
            <w:sz w:val="18"/>
          </w:rPr>
          <w:t> </w:t>
        </w:r>
        <w:r>
          <w:rPr>
            <w:sz w:val="18"/>
          </w:rPr>
          <w:t>The</w:t>
        </w:r>
      </w:hyperlink>
      <w:r>
        <w:rPr>
          <w:sz w:val="18"/>
        </w:rPr>
        <w:t> </w:t>
      </w:r>
      <w:hyperlink r:id="rId100">
        <w:r>
          <w:rPr>
            <w:sz w:val="18"/>
          </w:rPr>
          <w:t>Scope of Article 2(1) of the Ireland/ Northern Ireland Protocol</w:t>
        </w:r>
      </w:hyperlink>
      <w:r>
        <w:rPr>
          <w:sz w:val="18"/>
        </w:rPr>
        <w:t>’ (NIHRC and ECNI, 2022).</w:t>
      </w:r>
    </w:p>
    <w:p>
      <w:pPr>
        <w:pStyle w:val="ListParagraph"/>
        <w:numPr>
          <w:ilvl w:val="0"/>
          <w:numId w:val="3"/>
        </w:numPr>
        <w:tabs>
          <w:tab w:pos="1853" w:val="left" w:leader="none"/>
        </w:tabs>
        <w:spacing w:line="216" w:lineRule="exact" w:before="0" w:after="0"/>
        <w:ind w:left="1853" w:right="0" w:hanging="720"/>
        <w:jc w:val="left"/>
        <w:rPr>
          <w:sz w:val="18"/>
        </w:rPr>
      </w:pPr>
      <w:r>
        <w:rPr>
          <w:sz w:val="18"/>
        </w:rPr>
        <w:t>For</w:t>
      </w:r>
      <w:r>
        <w:rPr>
          <w:spacing w:val="-5"/>
          <w:sz w:val="18"/>
        </w:rPr>
        <w:t> </w:t>
      </w:r>
      <w:r>
        <w:rPr>
          <w:sz w:val="18"/>
        </w:rPr>
        <w:t>further</w:t>
      </w:r>
      <w:r>
        <w:rPr>
          <w:spacing w:val="-5"/>
          <w:sz w:val="18"/>
        </w:rPr>
        <w:t> </w:t>
      </w:r>
      <w:r>
        <w:rPr>
          <w:sz w:val="18"/>
        </w:rPr>
        <w:t>discussion</w:t>
      </w:r>
      <w:r>
        <w:rPr>
          <w:spacing w:val="-6"/>
          <w:sz w:val="18"/>
        </w:rPr>
        <w:t> </w:t>
      </w:r>
      <w:r>
        <w:rPr>
          <w:sz w:val="18"/>
        </w:rPr>
        <w:t>on</w:t>
      </w:r>
      <w:r>
        <w:rPr>
          <w:spacing w:val="-5"/>
          <w:sz w:val="18"/>
        </w:rPr>
        <w:t> </w:t>
      </w:r>
      <w:r>
        <w:rPr>
          <w:sz w:val="18"/>
        </w:rPr>
        <w:t>the</w:t>
      </w:r>
      <w:r>
        <w:rPr>
          <w:spacing w:val="-5"/>
          <w:sz w:val="18"/>
        </w:rPr>
        <w:t> </w:t>
      </w:r>
      <w:r>
        <w:rPr>
          <w:sz w:val="18"/>
        </w:rPr>
        <w:t>Stormont</w:t>
      </w:r>
      <w:r>
        <w:rPr>
          <w:spacing w:val="-5"/>
          <w:sz w:val="18"/>
        </w:rPr>
        <w:t> </w:t>
      </w:r>
      <w:r>
        <w:rPr>
          <w:sz w:val="18"/>
        </w:rPr>
        <w:t>Brake</w:t>
      </w:r>
      <w:r>
        <w:rPr>
          <w:spacing w:val="-5"/>
          <w:sz w:val="18"/>
        </w:rPr>
        <w:t> </w:t>
      </w:r>
      <w:r>
        <w:rPr>
          <w:sz w:val="18"/>
        </w:rPr>
        <w:t>see</w:t>
      </w:r>
      <w:r>
        <w:rPr>
          <w:spacing w:val="-4"/>
          <w:sz w:val="18"/>
        </w:rPr>
        <w:t> </w:t>
      </w:r>
      <w:r>
        <w:rPr>
          <w:sz w:val="18"/>
        </w:rPr>
        <w:t>Legal</w:t>
      </w:r>
      <w:r>
        <w:rPr>
          <w:spacing w:val="-6"/>
          <w:sz w:val="18"/>
        </w:rPr>
        <w:t> </w:t>
      </w:r>
      <w:r>
        <w:rPr>
          <w:sz w:val="18"/>
        </w:rPr>
        <w:t>Framework</w:t>
      </w:r>
      <w:r>
        <w:rPr>
          <w:spacing w:val="-5"/>
          <w:sz w:val="18"/>
        </w:rPr>
        <w:t> </w:t>
      </w:r>
      <w:r>
        <w:rPr>
          <w:sz w:val="18"/>
        </w:rPr>
        <w:t>section</w:t>
      </w:r>
      <w:r>
        <w:rPr>
          <w:spacing w:val="-5"/>
          <w:sz w:val="18"/>
        </w:rPr>
        <w:t> </w:t>
      </w:r>
      <w:r>
        <w:rPr>
          <w:sz w:val="18"/>
        </w:rPr>
        <w:t>in</w:t>
      </w:r>
      <w:r>
        <w:rPr>
          <w:spacing w:val="-6"/>
          <w:sz w:val="18"/>
        </w:rPr>
        <w:t> </w:t>
      </w:r>
      <w:r>
        <w:rPr>
          <w:sz w:val="18"/>
        </w:rPr>
        <w:t>Chapter</w:t>
      </w:r>
      <w:r>
        <w:rPr>
          <w:spacing w:val="-5"/>
          <w:sz w:val="18"/>
        </w:rPr>
        <w:t> 2.</w:t>
      </w:r>
    </w:p>
    <w:p>
      <w:pPr>
        <w:pStyle w:val="ListParagraph"/>
        <w:numPr>
          <w:ilvl w:val="0"/>
          <w:numId w:val="3"/>
        </w:numPr>
        <w:tabs>
          <w:tab w:pos="1853" w:val="left" w:leader="none"/>
        </w:tabs>
        <w:spacing w:line="235" w:lineRule="auto" w:before="1" w:after="0"/>
        <w:ind w:left="1853" w:right="1504" w:hanging="720"/>
        <w:jc w:val="left"/>
        <w:rPr>
          <w:sz w:val="18"/>
        </w:rPr>
      </w:pPr>
      <w:r>
        <w:rPr>
          <w:sz w:val="18"/>
        </w:rPr>
        <w:t>Directive</w:t>
      </w:r>
      <w:r>
        <w:rPr>
          <w:spacing w:val="-7"/>
          <w:sz w:val="18"/>
        </w:rPr>
        <w:t> </w:t>
      </w:r>
      <w:r>
        <w:rPr>
          <w:sz w:val="18"/>
        </w:rPr>
        <w:t>2006/42/EC,</w:t>
      </w:r>
      <w:r>
        <w:rPr>
          <w:spacing w:val="-7"/>
          <w:sz w:val="18"/>
        </w:rPr>
        <w:t> </w:t>
      </w:r>
      <w:r>
        <w:rPr>
          <w:sz w:val="18"/>
        </w:rPr>
        <w:t>‘EU</w:t>
      </w:r>
      <w:r>
        <w:rPr>
          <w:spacing w:val="-7"/>
          <w:sz w:val="18"/>
        </w:rPr>
        <w:t> </w:t>
      </w:r>
      <w:r>
        <w:rPr>
          <w:sz w:val="18"/>
        </w:rPr>
        <w:t>Parliament</w:t>
      </w:r>
      <w:r>
        <w:rPr>
          <w:spacing w:val="-7"/>
          <w:sz w:val="18"/>
        </w:rPr>
        <w:t> </w:t>
      </w:r>
      <w:r>
        <w:rPr>
          <w:sz w:val="18"/>
        </w:rPr>
        <w:t>and</w:t>
      </w:r>
      <w:r>
        <w:rPr>
          <w:spacing w:val="-8"/>
          <w:sz w:val="18"/>
        </w:rPr>
        <w:t> </w:t>
      </w:r>
      <w:r>
        <w:rPr>
          <w:sz w:val="18"/>
        </w:rPr>
        <w:t>Council</w:t>
      </w:r>
      <w:r>
        <w:rPr>
          <w:spacing w:val="-8"/>
          <w:sz w:val="18"/>
        </w:rPr>
        <w:t> </w:t>
      </w:r>
      <w:r>
        <w:rPr>
          <w:sz w:val="18"/>
        </w:rPr>
        <w:t>Directive</w:t>
      </w:r>
      <w:r>
        <w:rPr>
          <w:spacing w:val="-7"/>
          <w:sz w:val="18"/>
        </w:rPr>
        <w:t> </w:t>
      </w:r>
      <w:r>
        <w:rPr>
          <w:sz w:val="18"/>
        </w:rPr>
        <w:t>on</w:t>
      </w:r>
      <w:r>
        <w:rPr>
          <w:spacing w:val="-8"/>
          <w:sz w:val="18"/>
        </w:rPr>
        <w:t> </w:t>
      </w:r>
      <w:r>
        <w:rPr>
          <w:sz w:val="18"/>
        </w:rPr>
        <w:t>machinery,</w:t>
      </w:r>
      <w:r>
        <w:rPr>
          <w:spacing w:val="-7"/>
          <w:sz w:val="18"/>
        </w:rPr>
        <w:t> </w:t>
      </w:r>
      <w:r>
        <w:rPr>
          <w:sz w:val="18"/>
        </w:rPr>
        <w:t>and</w:t>
      </w:r>
      <w:r>
        <w:rPr>
          <w:spacing w:val="-8"/>
          <w:sz w:val="18"/>
        </w:rPr>
        <w:t> </w:t>
      </w:r>
      <w:r>
        <w:rPr>
          <w:sz w:val="18"/>
        </w:rPr>
        <w:t>amending</w:t>
      </w:r>
      <w:r>
        <w:rPr>
          <w:spacing w:val="-7"/>
          <w:sz w:val="18"/>
        </w:rPr>
        <w:t> </w:t>
      </w:r>
      <w:r>
        <w:rPr>
          <w:sz w:val="18"/>
        </w:rPr>
        <w:t>Directive</w:t>
      </w:r>
      <w:r>
        <w:rPr>
          <w:spacing w:val="-7"/>
          <w:sz w:val="18"/>
        </w:rPr>
        <w:t> </w:t>
      </w:r>
      <w:r>
        <w:rPr>
          <w:sz w:val="18"/>
        </w:rPr>
        <w:t>95/16/EC</w:t>
      </w:r>
      <w:r>
        <w:rPr>
          <w:spacing w:val="-8"/>
          <w:sz w:val="18"/>
        </w:rPr>
        <w:t> </w:t>
      </w:r>
      <w:r>
        <w:rPr>
          <w:sz w:val="18"/>
        </w:rPr>
        <w:t>(recast)’, 17 May 2006.</w:t>
      </w:r>
    </w:p>
    <w:p>
      <w:pPr>
        <w:pStyle w:val="ListParagraph"/>
        <w:numPr>
          <w:ilvl w:val="0"/>
          <w:numId w:val="3"/>
        </w:numPr>
        <w:tabs>
          <w:tab w:pos="1853" w:val="left" w:leader="none"/>
        </w:tabs>
        <w:spacing w:line="235" w:lineRule="auto" w:before="2" w:after="0"/>
        <w:ind w:left="1853" w:right="1191" w:hanging="720"/>
        <w:jc w:val="left"/>
        <w:rPr>
          <w:sz w:val="18"/>
        </w:rPr>
      </w:pPr>
      <w:r>
        <w:rPr>
          <w:sz w:val="18"/>
        </w:rPr>
        <w:t>Equality Commission for NI and NI Human Rights Commission, ‘Submission of the NIHRC and ECNI to the House of Lords Sub-Committee</w:t>
      </w:r>
      <w:r>
        <w:rPr>
          <w:spacing w:val="-4"/>
          <w:sz w:val="18"/>
        </w:rPr>
        <w:t> </w:t>
      </w:r>
      <w:r>
        <w:rPr>
          <w:sz w:val="18"/>
        </w:rPr>
        <w:t>on</w:t>
      </w:r>
      <w:r>
        <w:rPr>
          <w:spacing w:val="-5"/>
          <w:sz w:val="18"/>
        </w:rPr>
        <w:t> </w:t>
      </w:r>
      <w:r>
        <w:rPr>
          <w:sz w:val="18"/>
        </w:rPr>
        <w:t>the</w:t>
      </w:r>
      <w:r>
        <w:rPr>
          <w:spacing w:val="-4"/>
          <w:sz w:val="18"/>
        </w:rPr>
        <w:t> </w:t>
      </w:r>
      <w:r>
        <w:rPr>
          <w:sz w:val="18"/>
        </w:rPr>
        <w:t>Protocol’s</w:t>
      </w:r>
      <w:r>
        <w:rPr>
          <w:spacing w:val="-5"/>
          <w:sz w:val="18"/>
        </w:rPr>
        <w:t> </w:t>
      </w:r>
      <w:r>
        <w:rPr>
          <w:sz w:val="18"/>
        </w:rPr>
        <w:t>call</w:t>
      </w:r>
      <w:r>
        <w:rPr>
          <w:spacing w:val="-5"/>
          <w:sz w:val="18"/>
        </w:rPr>
        <w:t> </w:t>
      </w:r>
      <w:r>
        <w:rPr>
          <w:sz w:val="18"/>
        </w:rPr>
        <w:t>for</w:t>
      </w:r>
      <w:r>
        <w:rPr>
          <w:spacing w:val="-4"/>
          <w:sz w:val="18"/>
        </w:rPr>
        <w:t> </w:t>
      </w:r>
      <w:r>
        <w:rPr>
          <w:sz w:val="18"/>
        </w:rPr>
        <w:t>evidence</w:t>
      </w:r>
      <w:r>
        <w:rPr>
          <w:spacing w:val="-4"/>
          <w:sz w:val="18"/>
        </w:rPr>
        <w:t> </w:t>
      </w:r>
      <w:r>
        <w:rPr>
          <w:sz w:val="18"/>
        </w:rPr>
        <w:t>for</w:t>
      </w:r>
      <w:r>
        <w:rPr>
          <w:spacing w:val="-4"/>
          <w:sz w:val="18"/>
        </w:rPr>
        <w:t> </w:t>
      </w:r>
      <w:r>
        <w:rPr>
          <w:sz w:val="18"/>
        </w:rPr>
        <w:t>its</w:t>
      </w:r>
      <w:r>
        <w:rPr>
          <w:spacing w:val="-5"/>
          <w:sz w:val="18"/>
        </w:rPr>
        <w:t> </w:t>
      </w:r>
      <w:r>
        <w:rPr>
          <w:sz w:val="18"/>
        </w:rPr>
        <w:t>inquiry</w:t>
      </w:r>
      <w:r>
        <w:rPr>
          <w:spacing w:val="-4"/>
          <w:sz w:val="18"/>
        </w:rPr>
        <w:t> </w:t>
      </w:r>
      <w:r>
        <w:rPr>
          <w:sz w:val="18"/>
        </w:rPr>
        <w:t>on</w:t>
      </w:r>
      <w:r>
        <w:rPr>
          <w:spacing w:val="-5"/>
          <w:sz w:val="18"/>
        </w:rPr>
        <w:t> </w:t>
      </w:r>
      <w:r>
        <w:rPr>
          <w:sz w:val="18"/>
        </w:rPr>
        <w:t>the</w:t>
      </w:r>
      <w:r>
        <w:rPr>
          <w:spacing w:val="-4"/>
          <w:sz w:val="18"/>
        </w:rPr>
        <w:t> </w:t>
      </w:r>
      <w:r>
        <w:rPr>
          <w:sz w:val="18"/>
        </w:rPr>
        <w:t>Windsor</w:t>
      </w:r>
      <w:r>
        <w:rPr>
          <w:spacing w:val="-4"/>
          <w:sz w:val="18"/>
        </w:rPr>
        <w:t> </w:t>
      </w:r>
      <w:r>
        <w:rPr>
          <w:sz w:val="18"/>
        </w:rPr>
        <w:t>Framework’</w:t>
      </w:r>
      <w:r>
        <w:rPr>
          <w:spacing w:val="-4"/>
          <w:sz w:val="18"/>
        </w:rPr>
        <w:t> </w:t>
      </w:r>
      <w:r>
        <w:rPr>
          <w:sz w:val="18"/>
        </w:rPr>
        <w:t>(ECNI</w:t>
      </w:r>
      <w:r>
        <w:rPr>
          <w:spacing w:val="-4"/>
          <w:sz w:val="18"/>
        </w:rPr>
        <w:t> </w:t>
      </w:r>
      <w:r>
        <w:rPr>
          <w:sz w:val="18"/>
        </w:rPr>
        <w:t>and</w:t>
      </w:r>
      <w:r>
        <w:rPr>
          <w:spacing w:val="-5"/>
          <w:sz w:val="18"/>
        </w:rPr>
        <w:t> </w:t>
      </w:r>
      <w:r>
        <w:rPr>
          <w:sz w:val="18"/>
        </w:rPr>
        <w:t>NIHRC,</w:t>
      </w:r>
      <w:r>
        <w:rPr>
          <w:spacing w:val="-4"/>
          <w:sz w:val="18"/>
        </w:rPr>
        <w:t> </w:t>
      </w:r>
      <w:r>
        <w:rPr>
          <w:sz w:val="18"/>
        </w:rPr>
        <w:t>2023).</w:t>
      </w:r>
      <w:r>
        <w:rPr>
          <w:spacing w:val="-5"/>
          <w:sz w:val="18"/>
        </w:rPr>
        <w:t> </w:t>
      </w:r>
      <w:r>
        <w:rPr>
          <w:sz w:val="18"/>
        </w:rPr>
        <w:t>See also discussion on the Stormont Brake in Legal Framework section in Chapter 2.</w:t>
      </w:r>
    </w:p>
    <w:p>
      <w:pPr>
        <w:pStyle w:val="ListParagraph"/>
        <w:numPr>
          <w:ilvl w:val="0"/>
          <w:numId w:val="3"/>
        </w:numPr>
        <w:tabs>
          <w:tab w:pos="1853" w:val="left" w:leader="none"/>
        </w:tabs>
        <w:spacing w:line="218" w:lineRule="exact" w:before="0" w:after="0"/>
        <w:ind w:left="1853" w:right="0" w:hanging="720"/>
        <w:jc w:val="left"/>
        <w:rPr>
          <w:sz w:val="18"/>
        </w:rPr>
      </w:pPr>
      <w:hyperlink r:id="rId101">
        <w:r>
          <w:rPr>
            <w:sz w:val="18"/>
          </w:rPr>
          <w:t>Council</w:t>
        </w:r>
        <w:r>
          <w:rPr>
            <w:spacing w:val="-6"/>
            <w:sz w:val="18"/>
          </w:rPr>
          <w:t> </w:t>
        </w:r>
        <w:r>
          <w:rPr>
            <w:sz w:val="18"/>
          </w:rPr>
          <w:t>Decision</w:t>
        </w:r>
        <w:r>
          <w:rPr>
            <w:spacing w:val="-5"/>
            <w:sz w:val="18"/>
          </w:rPr>
          <w:t> </w:t>
        </w:r>
        <w:r>
          <w:rPr>
            <w:sz w:val="18"/>
          </w:rPr>
          <w:t>2010/48/EC</w:t>
        </w:r>
      </w:hyperlink>
      <w:r>
        <w:rPr>
          <w:spacing w:val="-4"/>
          <w:sz w:val="18"/>
        </w:rPr>
        <w:t> </w:t>
      </w:r>
      <w:r>
        <w:rPr>
          <w:sz w:val="18"/>
        </w:rPr>
        <w:t>concerning</w:t>
      </w:r>
      <w:r>
        <w:rPr>
          <w:spacing w:val="-4"/>
          <w:sz w:val="18"/>
        </w:rPr>
        <w:t> </w:t>
      </w:r>
      <w:r>
        <w:rPr>
          <w:sz w:val="18"/>
        </w:rPr>
        <w:t>the</w:t>
      </w:r>
      <w:r>
        <w:rPr>
          <w:spacing w:val="-5"/>
          <w:sz w:val="18"/>
        </w:rPr>
        <w:t> </w:t>
      </w:r>
      <w:r>
        <w:rPr>
          <w:sz w:val="18"/>
        </w:rPr>
        <w:t>conclusion,</w:t>
      </w:r>
      <w:r>
        <w:rPr>
          <w:spacing w:val="-4"/>
          <w:sz w:val="18"/>
        </w:rPr>
        <w:t> </w:t>
      </w:r>
      <w:r>
        <w:rPr>
          <w:sz w:val="18"/>
        </w:rPr>
        <w:t>by</w:t>
      </w:r>
      <w:r>
        <w:rPr>
          <w:spacing w:val="-4"/>
          <w:sz w:val="18"/>
        </w:rPr>
        <w:t> </w:t>
      </w:r>
      <w:r>
        <w:rPr>
          <w:sz w:val="18"/>
        </w:rPr>
        <w:t>the</w:t>
      </w:r>
      <w:r>
        <w:rPr>
          <w:spacing w:val="-5"/>
          <w:sz w:val="18"/>
        </w:rPr>
        <w:t> </w:t>
      </w:r>
      <w:r>
        <w:rPr>
          <w:sz w:val="18"/>
        </w:rPr>
        <w:t>European</w:t>
      </w:r>
      <w:r>
        <w:rPr>
          <w:spacing w:val="-5"/>
          <w:sz w:val="18"/>
        </w:rPr>
        <w:t> </w:t>
      </w:r>
      <w:r>
        <w:rPr>
          <w:sz w:val="18"/>
        </w:rPr>
        <w:t>Community,</w:t>
      </w:r>
      <w:r>
        <w:rPr>
          <w:spacing w:val="-5"/>
          <w:sz w:val="18"/>
        </w:rPr>
        <w:t> </w:t>
      </w:r>
      <w:r>
        <w:rPr>
          <w:sz w:val="18"/>
        </w:rPr>
        <w:t>of</w:t>
      </w:r>
      <w:r>
        <w:rPr>
          <w:spacing w:val="-5"/>
          <w:sz w:val="18"/>
        </w:rPr>
        <w:t> </w:t>
      </w:r>
      <w:r>
        <w:rPr>
          <w:sz w:val="18"/>
        </w:rPr>
        <w:t>the</w:t>
      </w:r>
      <w:r>
        <w:rPr>
          <w:spacing w:val="-4"/>
          <w:sz w:val="18"/>
        </w:rPr>
        <w:t> </w:t>
      </w:r>
      <w:r>
        <w:rPr>
          <w:sz w:val="18"/>
        </w:rPr>
        <w:t>United</w:t>
      </w:r>
      <w:r>
        <w:rPr>
          <w:spacing w:val="-6"/>
          <w:sz w:val="18"/>
        </w:rPr>
        <w:t> </w:t>
      </w:r>
      <w:r>
        <w:rPr>
          <w:sz w:val="18"/>
        </w:rPr>
        <w:t>Nations</w:t>
      </w:r>
      <w:r>
        <w:rPr>
          <w:spacing w:val="-5"/>
          <w:sz w:val="18"/>
        </w:rPr>
        <w:t> </w:t>
      </w:r>
      <w:r>
        <w:rPr>
          <w:spacing w:val="-2"/>
          <w:sz w:val="18"/>
        </w:rPr>
        <w:t>Convention</w:t>
      </w:r>
    </w:p>
    <w:p>
      <w:pPr>
        <w:spacing w:after="0" w:line="218" w:lineRule="exact"/>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24"/>
      </w:pPr>
      <w:r>
        <w:rPr/>
        <w:t>the</w:t>
      </w:r>
      <w:r>
        <w:rPr>
          <w:spacing w:val="-5"/>
        </w:rPr>
        <w:t> </w:t>
      </w:r>
      <w:r>
        <w:rPr/>
        <w:t>UN</w:t>
      </w:r>
      <w:r>
        <w:rPr>
          <w:spacing w:val="-5"/>
        </w:rPr>
        <w:t> </w:t>
      </w:r>
      <w:r>
        <w:rPr/>
        <w:t>CRPD</w:t>
      </w:r>
      <w:r>
        <w:rPr>
          <w:spacing w:val="-6"/>
        </w:rPr>
        <w:t> </w:t>
      </w:r>
      <w:r>
        <w:rPr/>
        <w:t>through</w:t>
      </w:r>
      <w:r>
        <w:rPr>
          <w:spacing w:val="-6"/>
        </w:rPr>
        <w:t> </w:t>
      </w:r>
      <w:r>
        <w:rPr/>
        <w:t>EU</w:t>
      </w:r>
      <w:r>
        <w:rPr>
          <w:spacing w:val="-5"/>
        </w:rPr>
        <w:t> </w:t>
      </w:r>
      <w:r>
        <w:rPr/>
        <w:t>law</w:t>
      </w:r>
      <w:r>
        <w:rPr>
          <w:spacing w:val="-5"/>
        </w:rPr>
        <w:t> </w:t>
      </w:r>
      <w:r>
        <w:rPr/>
        <w:t>and</w:t>
      </w:r>
      <w:r>
        <w:rPr>
          <w:spacing w:val="-6"/>
        </w:rPr>
        <w:t> </w:t>
      </w:r>
      <w:r>
        <w:rPr/>
        <w:t>policy</w:t>
      </w:r>
      <w:r>
        <w:rPr>
          <w:spacing w:val="-5"/>
        </w:rPr>
        <w:t> </w:t>
      </w:r>
      <w:r>
        <w:rPr/>
        <w:t>is</w:t>
      </w:r>
      <w:r>
        <w:rPr>
          <w:spacing w:val="-6"/>
        </w:rPr>
        <w:t> </w:t>
      </w:r>
      <w:r>
        <w:rPr/>
        <w:t>relevant</w:t>
      </w:r>
      <w:r>
        <w:rPr>
          <w:spacing w:val="-5"/>
        </w:rPr>
        <w:t> </w:t>
      </w:r>
      <w:r>
        <w:rPr/>
        <w:t>to</w:t>
      </w:r>
      <w:r>
        <w:rPr>
          <w:spacing w:val="-6"/>
        </w:rPr>
        <w:t> </w:t>
      </w:r>
      <w:r>
        <w:rPr/>
        <w:t>the</w:t>
      </w:r>
      <w:r>
        <w:rPr>
          <w:spacing w:val="-5"/>
        </w:rPr>
        <w:t> </w:t>
      </w:r>
      <w:r>
        <w:rPr/>
        <w:t>interpretation</w:t>
      </w:r>
      <w:r>
        <w:rPr>
          <w:spacing w:val="-6"/>
        </w:rPr>
        <w:t> </w:t>
      </w:r>
      <w:r>
        <w:rPr/>
        <w:t>of</w:t>
      </w:r>
      <w:r>
        <w:rPr>
          <w:spacing w:val="-6"/>
        </w:rPr>
        <w:t> </w:t>
      </w:r>
      <w:r>
        <w:rPr/>
        <w:t>UK- EU Withdrawal Agreement 2020, including Windsor Framework Article 2, and to all EU measures referenced in that Agreement.</w:t>
      </w:r>
      <w:r>
        <w:rPr>
          <w:vertAlign w:val="superscript"/>
        </w:rPr>
        <w:t>208</w:t>
      </w:r>
    </w:p>
    <w:p>
      <w:pPr>
        <w:pStyle w:val="ListParagraph"/>
        <w:numPr>
          <w:ilvl w:val="1"/>
          <w:numId w:val="7"/>
        </w:numPr>
        <w:tabs>
          <w:tab w:pos="1853" w:val="left" w:leader="none"/>
        </w:tabs>
        <w:spacing w:line="225" w:lineRule="auto" w:before="317" w:after="0"/>
        <w:ind w:left="1853" w:right="1145" w:hanging="720"/>
        <w:jc w:val="left"/>
        <w:rPr>
          <w:sz w:val="28"/>
        </w:rPr>
      </w:pPr>
      <w:r>
        <w:rPr>
          <w:sz w:val="28"/>
        </w:rPr>
        <w:t>The UN CRPD is therefore part of NI domestic law to the extent that it was within EU competence prior to the UK leaving the EU and is relevant for the interpretation of the Annex 1 equality directives and the EU law underpinning rights within the scope of Windsor Framework Article 2.</w:t>
      </w:r>
      <w:r>
        <w:rPr>
          <w:sz w:val="28"/>
          <w:vertAlign w:val="superscript"/>
        </w:rPr>
        <w:t>209</w:t>
      </w:r>
      <w:r>
        <w:rPr>
          <w:sz w:val="28"/>
          <w:vertAlign w:val="baseline"/>
        </w:rPr>
        <w:t> In 2022, the ECNI published</w:t>
      </w:r>
      <w:r>
        <w:rPr>
          <w:spacing w:val="-8"/>
          <w:sz w:val="28"/>
          <w:vertAlign w:val="baseline"/>
        </w:rPr>
        <w:t> </w:t>
      </w:r>
      <w:r>
        <w:rPr>
          <w:sz w:val="28"/>
          <w:vertAlign w:val="baseline"/>
        </w:rPr>
        <w:t>research</w:t>
      </w:r>
      <w:r>
        <w:rPr>
          <w:spacing w:val="-8"/>
          <w:sz w:val="28"/>
          <w:vertAlign w:val="baseline"/>
        </w:rPr>
        <w:t> </w:t>
      </w:r>
      <w:r>
        <w:rPr>
          <w:sz w:val="28"/>
          <w:vertAlign w:val="baseline"/>
        </w:rPr>
        <w:t>which</w:t>
      </w:r>
      <w:r>
        <w:rPr>
          <w:spacing w:val="-8"/>
          <w:sz w:val="28"/>
          <w:vertAlign w:val="baseline"/>
        </w:rPr>
        <w:t> </w:t>
      </w:r>
      <w:r>
        <w:rPr>
          <w:sz w:val="28"/>
          <w:vertAlign w:val="baseline"/>
        </w:rPr>
        <w:t>highlighted</w:t>
      </w:r>
      <w:r>
        <w:rPr>
          <w:spacing w:val="-8"/>
          <w:sz w:val="28"/>
          <w:vertAlign w:val="baseline"/>
        </w:rPr>
        <w:t> </w:t>
      </w:r>
      <w:r>
        <w:rPr>
          <w:sz w:val="28"/>
          <w:vertAlign w:val="baseline"/>
        </w:rPr>
        <w:t>that</w:t>
      </w:r>
      <w:r>
        <w:rPr>
          <w:spacing w:val="-7"/>
          <w:sz w:val="28"/>
          <w:vertAlign w:val="baseline"/>
        </w:rPr>
        <w:t> </w:t>
      </w:r>
      <w:r>
        <w:rPr>
          <w:sz w:val="28"/>
          <w:vertAlign w:val="baseline"/>
        </w:rPr>
        <w:t>the</w:t>
      </w:r>
      <w:r>
        <w:rPr>
          <w:spacing w:val="-7"/>
          <w:sz w:val="28"/>
          <w:vertAlign w:val="baseline"/>
        </w:rPr>
        <w:t> </w:t>
      </w:r>
      <w:r>
        <w:rPr>
          <w:sz w:val="28"/>
          <w:vertAlign w:val="baseline"/>
        </w:rPr>
        <w:t>lack</w:t>
      </w:r>
      <w:r>
        <w:rPr>
          <w:spacing w:val="-7"/>
          <w:sz w:val="28"/>
          <w:vertAlign w:val="baseline"/>
        </w:rPr>
        <w:t> </w:t>
      </w:r>
      <w:r>
        <w:rPr>
          <w:sz w:val="28"/>
          <w:vertAlign w:val="baseline"/>
        </w:rPr>
        <w:t>of</w:t>
      </w:r>
      <w:r>
        <w:rPr>
          <w:spacing w:val="-8"/>
          <w:sz w:val="28"/>
          <w:vertAlign w:val="baseline"/>
        </w:rPr>
        <w:t> </w:t>
      </w:r>
      <w:r>
        <w:rPr>
          <w:sz w:val="28"/>
          <w:vertAlign w:val="baseline"/>
        </w:rPr>
        <w:t>progress</w:t>
      </w:r>
      <w:r>
        <w:rPr>
          <w:spacing w:val="-8"/>
          <w:sz w:val="28"/>
          <w:vertAlign w:val="baseline"/>
        </w:rPr>
        <w:t> </w:t>
      </w:r>
      <w:r>
        <w:rPr>
          <w:sz w:val="28"/>
          <w:vertAlign w:val="baseline"/>
        </w:rPr>
        <w:t>in</w:t>
      </w:r>
      <w:r>
        <w:rPr>
          <w:spacing w:val="-8"/>
          <w:sz w:val="28"/>
          <w:vertAlign w:val="baseline"/>
        </w:rPr>
        <w:t> </w:t>
      </w:r>
      <w:r>
        <w:rPr>
          <w:sz w:val="28"/>
          <w:vertAlign w:val="baseline"/>
        </w:rPr>
        <w:t>incorporating the UN CRPD into law has been linked to delays in disability strategies and</w:t>
      </w:r>
    </w:p>
    <w:p>
      <w:pPr>
        <w:pStyle w:val="BodyText"/>
        <w:spacing w:line="225" w:lineRule="auto"/>
        <w:ind w:left="1853" w:right="1171"/>
      </w:pPr>
      <w:r>
        <w:rPr/>
        <w:t>an</w:t>
      </w:r>
      <w:r>
        <w:rPr>
          <w:spacing w:val="-6"/>
        </w:rPr>
        <w:t> </w:t>
      </w:r>
      <w:r>
        <w:rPr/>
        <w:t>absence</w:t>
      </w:r>
      <w:r>
        <w:rPr>
          <w:spacing w:val="-5"/>
        </w:rPr>
        <w:t> </w:t>
      </w:r>
      <w:r>
        <w:rPr/>
        <w:t>of</w:t>
      </w:r>
      <w:r>
        <w:rPr>
          <w:spacing w:val="-6"/>
        </w:rPr>
        <w:t> </w:t>
      </w:r>
      <w:r>
        <w:rPr/>
        <w:t>progressive</w:t>
      </w:r>
      <w:r>
        <w:rPr>
          <w:spacing w:val="-5"/>
        </w:rPr>
        <w:t> </w:t>
      </w:r>
      <w:r>
        <w:rPr/>
        <w:t>change</w:t>
      </w:r>
      <w:r>
        <w:rPr>
          <w:spacing w:val="-5"/>
        </w:rPr>
        <w:t> </w:t>
      </w:r>
      <w:r>
        <w:rPr/>
        <w:t>to</w:t>
      </w:r>
      <w:r>
        <w:rPr>
          <w:spacing w:val="-6"/>
        </w:rPr>
        <w:t> </w:t>
      </w:r>
      <w:r>
        <w:rPr/>
        <w:t>improve</w:t>
      </w:r>
      <w:r>
        <w:rPr>
          <w:spacing w:val="-5"/>
        </w:rPr>
        <w:t> </w:t>
      </w:r>
      <w:r>
        <w:rPr/>
        <w:t>the</w:t>
      </w:r>
      <w:r>
        <w:rPr>
          <w:spacing w:val="-5"/>
        </w:rPr>
        <w:t> </w:t>
      </w:r>
      <w:r>
        <w:rPr/>
        <w:t>lives</w:t>
      </w:r>
      <w:r>
        <w:rPr>
          <w:spacing w:val="-6"/>
        </w:rPr>
        <w:t> </w:t>
      </w:r>
      <w:r>
        <w:rPr/>
        <w:t>of</w:t>
      </w:r>
      <w:r>
        <w:rPr>
          <w:spacing w:val="-6"/>
        </w:rPr>
        <w:t> </w:t>
      </w:r>
      <w:r>
        <w:rPr/>
        <w:t>deaf</w:t>
      </w:r>
      <w:r>
        <w:rPr>
          <w:spacing w:val="-6"/>
        </w:rPr>
        <w:t> </w:t>
      </w:r>
      <w:r>
        <w:rPr/>
        <w:t>and</w:t>
      </w:r>
      <w:r>
        <w:rPr>
          <w:spacing w:val="-6"/>
        </w:rPr>
        <w:t> </w:t>
      </w:r>
      <w:r>
        <w:rPr/>
        <w:t>disabled </w:t>
      </w:r>
      <w:r>
        <w:rPr>
          <w:spacing w:val="-2"/>
        </w:rPr>
        <w:t>people.</w:t>
      </w:r>
      <w:r>
        <w:rPr>
          <w:spacing w:val="-2"/>
          <w:vertAlign w:val="superscript"/>
        </w:rPr>
        <w:t>210</w:t>
      </w:r>
    </w:p>
    <w:p>
      <w:pPr>
        <w:pStyle w:val="ListParagraph"/>
        <w:numPr>
          <w:ilvl w:val="1"/>
          <w:numId w:val="7"/>
        </w:numPr>
        <w:tabs>
          <w:tab w:pos="1853" w:val="left" w:leader="none"/>
        </w:tabs>
        <w:spacing w:line="225" w:lineRule="auto" w:before="309" w:after="0"/>
        <w:ind w:left="1853" w:right="1187" w:hanging="720"/>
        <w:jc w:val="left"/>
        <w:rPr>
          <w:sz w:val="28"/>
        </w:rPr>
      </w:pPr>
      <w:r>
        <w:rPr>
          <w:sz w:val="28"/>
        </w:rPr>
        <w:t>The NI High Court has recognised that the UN CRPD is an integral part of the EU</w:t>
      </w:r>
      <w:r>
        <w:rPr>
          <w:spacing w:val="-8"/>
          <w:sz w:val="28"/>
        </w:rPr>
        <w:t> </w:t>
      </w:r>
      <w:r>
        <w:rPr>
          <w:sz w:val="28"/>
        </w:rPr>
        <w:t>legal</w:t>
      </w:r>
      <w:r>
        <w:rPr>
          <w:spacing w:val="-8"/>
          <w:sz w:val="28"/>
        </w:rPr>
        <w:t> </w:t>
      </w:r>
      <w:r>
        <w:rPr>
          <w:sz w:val="28"/>
        </w:rPr>
        <w:t>order</w:t>
      </w:r>
      <w:r>
        <w:rPr>
          <w:spacing w:val="-8"/>
          <w:sz w:val="28"/>
        </w:rPr>
        <w:t> </w:t>
      </w:r>
      <w:r>
        <w:rPr>
          <w:sz w:val="28"/>
        </w:rPr>
        <w:t>and</w:t>
      </w:r>
      <w:r>
        <w:rPr>
          <w:spacing w:val="-8"/>
          <w:sz w:val="28"/>
        </w:rPr>
        <w:t> </w:t>
      </w:r>
      <w:r>
        <w:rPr>
          <w:sz w:val="28"/>
        </w:rPr>
        <w:t>is</w:t>
      </w:r>
      <w:r>
        <w:rPr>
          <w:spacing w:val="-9"/>
          <w:sz w:val="28"/>
        </w:rPr>
        <w:t> </w:t>
      </w:r>
      <w:r>
        <w:rPr>
          <w:sz w:val="28"/>
        </w:rPr>
        <w:t>relevant</w:t>
      </w:r>
      <w:r>
        <w:rPr>
          <w:spacing w:val="-8"/>
          <w:sz w:val="28"/>
        </w:rPr>
        <w:t> </w:t>
      </w:r>
      <w:r>
        <w:rPr>
          <w:sz w:val="28"/>
        </w:rPr>
        <w:t>to</w:t>
      </w:r>
      <w:r>
        <w:rPr>
          <w:spacing w:val="-8"/>
          <w:sz w:val="28"/>
        </w:rPr>
        <w:t> </w:t>
      </w:r>
      <w:r>
        <w:rPr>
          <w:sz w:val="28"/>
        </w:rPr>
        <w:t>Windsor</w:t>
      </w:r>
      <w:r>
        <w:rPr>
          <w:spacing w:val="-8"/>
          <w:sz w:val="28"/>
        </w:rPr>
        <w:t> </w:t>
      </w:r>
      <w:r>
        <w:rPr>
          <w:sz w:val="28"/>
        </w:rPr>
        <w:t>Framework</w:t>
      </w:r>
      <w:r>
        <w:rPr>
          <w:spacing w:val="-8"/>
          <w:sz w:val="28"/>
        </w:rPr>
        <w:t> </w:t>
      </w:r>
      <w:r>
        <w:rPr>
          <w:sz w:val="28"/>
        </w:rPr>
        <w:t>Article</w:t>
      </w:r>
      <w:r>
        <w:rPr>
          <w:spacing w:val="-8"/>
          <w:sz w:val="28"/>
        </w:rPr>
        <w:t> </w:t>
      </w:r>
      <w:r>
        <w:rPr>
          <w:sz w:val="28"/>
        </w:rPr>
        <w:t>2.</w:t>
      </w:r>
      <w:r>
        <w:rPr>
          <w:sz w:val="28"/>
          <w:vertAlign w:val="superscript"/>
        </w:rPr>
        <w:t>211</w:t>
      </w:r>
      <w:r>
        <w:rPr>
          <w:spacing w:val="-8"/>
          <w:sz w:val="28"/>
          <w:vertAlign w:val="baseline"/>
        </w:rPr>
        <w:t> </w:t>
      </w:r>
      <w:r>
        <w:rPr>
          <w:sz w:val="28"/>
          <w:vertAlign w:val="baseline"/>
        </w:rPr>
        <w:t>In</w:t>
      </w:r>
      <w:r>
        <w:rPr>
          <w:spacing w:val="-9"/>
          <w:sz w:val="28"/>
          <w:vertAlign w:val="baseline"/>
        </w:rPr>
        <w:t> </w:t>
      </w:r>
      <w:r>
        <w:rPr>
          <w:sz w:val="28"/>
          <w:vertAlign w:val="baseline"/>
        </w:rPr>
        <w:t>May</w:t>
      </w:r>
      <w:r>
        <w:rPr>
          <w:spacing w:val="-8"/>
          <w:sz w:val="28"/>
          <w:vertAlign w:val="baseline"/>
        </w:rPr>
        <w:t> </w:t>
      </w:r>
      <w:r>
        <w:rPr>
          <w:sz w:val="28"/>
          <w:vertAlign w:val="baseline"/>
        </w:rPr>
        <w:t>2023, the Court of Appeal in NI confirmed that since UN CRPD was a part of the</w:t>
      </w:r>
    </w:p>
    <w:p>
      <w:pPr>
        <w:pStyle w:val="BodyText"/>
        <w:spacing w:line="225" w:lineRule="auto"/>
        <w:ind w:left="1853" w:right="1463"/>
        <w:jc w:val="both"/>
      </w:pPr>
      <w:r>
        <w:rPr/>
        <w:t>EU</w:t>
      </w:r>
      <w:r>
        <w:rPr>
          <w:spacing w:val="-6"/>
        </w:rPr>
        <w:t> </w:t>
      </w:r>
      <w:r>
        <w:rPr/>
        <w:t>legal</w:t>
      </w:r>
      <w:r>
        <w:rPr>
          <w:spacing w:val="-7"/>
        </w:rPr>
        <w:t> </w:t>
      </w:r>
      <w:r>
        <w:rPr/>
        <w:t>order</w:t>
      </w:r>
      <w:r>
        <w:rPr>
          <w:spacing w:val="-6"/>
        </w:rPr>
        <w:t> </w:t>
      </w:r>
      <w:r>
        <w:rPr/>
        <w:t>prior</w:t>
      </w:r>
      <w:r>
        <w:rPr>
          <w:spacing w:val="-6"/>
        </w:rPr>
        <w:t> </w:t>
      </w:r>
      <w:r>
        <w:rPr/>
        <w:t>to</w:t>
      </w:r>
      <w:r>
        <w:rPr>
          <w:spacing w:val="-7"/>
        </w:rPr>
        <w:t> </w:t>
      </w:r>
      <w:r>
        <w:rPr/>
        <w:t>UK</w:t>
      </w:r>
      <w:r>
        <w:rPr>
          <w:spacing w:val="-6"/>
        </w:rPr>
        <w:t> </w:t>
      </w:r>
      <w:r>
        <w:rPr/>
        <w:t>withdrawal,</w:t>
      </w:r>
      <w:r>
        <w:rPr>
          <w:spacing w:val="-6"/>
        </w:rPr>
        <w:t> </w:t>
      </w:r>
      <w:r>
        <w:rPr/>
        <w:t>the</w:t>
      </w:r>
      <w:r>
        <w:rPr>
          <w:spacing w:val="-6"/>
        </w:rPr>
        <w:t> </w:t>
      </w:r>
      <w:r>
        <w:rPr/>
        <w:t>NI</w:t>
      </w:r>
      <w:r>
        <w:rPr>
          <w:spacing w:val="-6"/>
        </w:rPr>
        <w:t> </w:t>
      </w:r>
      <w:r>
        <w:rPr/>
        <w:t>Assembly</w:t>
      </w:r>
      <w:r>
        <w:rPr>
          <w:spacing w:val="-6"/>
        </w:rPr>
        <w:t> </w:t>
      </w:r>
      <w:r>
        <w:rPr/>
        <w:t>was</w:t>
      </w:r>
      <w:r>
        <w:rPr>
          <w:spacing w:val="-7"/>
        </w:rPr>
        <w:t> </w:t>
      </w:r>
      <w:r>
        <w:rPr/>
        <w:t>prohibited</w:t>
      </w:r>
      <w:r>
        <w:rPr>
          <w:spacing w:val="-7"/>
        </w:rPr>
        <w:t> </w:t>
      </w:r>
      <w:r>
        <w:rPr/>
        <w:t>from legislating contrary to</w:t>
      </w:r>
      <w:r>
        <w:rPr>
          <w:spacing w:val="-1"/>
        </w:rPr>
        <w:t> </w:t>
      </w:r>
      <w:r>
        <w:rPr/>
        <w:t>the UN CRPD</w:t>
      </w:r>
      <w:r>
        <w:rPr>
          <w:spacing w:val="-1"/>
        </w:rPr>
        <w:t> </w:t>
      </w:r>
      <w:r>
        <w:rPr/>
        <w:t>as</w:t>
      </w:r>
      <w:r>
        <w:rPr>
          <w:spacing w:val="-1"/>
        </w:rPr>
        <w:t> </w:t>
      </w:r>
      <w:r>
        <w:rPr/>
        <w:t>EU law where matters</w:t>
      </w:r>
      <w:r>
        <w:rPr>
          <w:spacing w:val="-1"/>
        </w:rPr>
        <w:t> </w:t>
      </w:r>
      <w:r>
        <w:rPr/>
        <w:t>fell</w:t>
      </w:r>
      <w:r>
        <w:rPr>
          <w:spacing w:val="-1"/>
        </w:rPr>
        <w:t> </w:t>
      </w:r>
      <w:r>
        <w:rPr/>
        <w:t>within</w:t>
      </w:r>
      <w:r>
        <w:rPr>
          <w:spacing w:val="-1"/>
        </w:rPr>
        <w:t> </w:t>
      </w:r>
      <w:r>
        <w:rPr/>
        <w:t>the competence of the EU.</w:t>
      </w:r>
      <w:r>
        <w:rPr>
          <w:vertAlign w:val="superscript"/>
        </w:rPr>
        <w:t>212</w:t>
      </w:r>
    </w:p>
    <w:p>
      <w:pPr>
        <w:pStyle w:val="ListParagraph"/>
        <w:numPr>
          <w:ilvl w:val="1"/>
          <w:numId w:val="7"/>
        </w:numPr>
        <w:tabs>
          <w:tab w:pos="1853" w:val="left" w:leader="none"/>
        </w:tabs>
        <w:spacing w:line="225" w:lineRule="auto" w:before="312" w:after="0"/>
        <w:ind w:left="1853" w:right="1356" w:hanging="720"/>
        <w:jc w:val="left"/>
        <w:rPr>
          <w:sz w:val="28"/>
        </w:rPr>
      </w:pPr>
      <w:r>
        <w:rPr>
          <w:sz w:val="28"/>
        </w:rPr>
        <w:t>In 2023, the Commissions published research which highlighted EU policy developments</w:t>
      </w:r>
      <w:r>
        <w:rPr>
          <w:spacing w:val="-7"/>
          <w:sz w:val="28"/>
        </w:rPr>
        <w:t> </w:t>
      </w:r>
      <w:r>
        <w:rPr>
          <w:sz w:val="28"/>
        </w:rPr>
        <w:t>which</w:t>
      </w:r>
      <w:r>
        <w:rPr>
          <w:spacing w:val="-7"/>
          <w:sz w:val="28"/>
        </w:rPr>
        <w:t> </w:t>
      </w:r>
      <w:r>
        <w:rPr>
          <w:sz w:val="28"/>
        </w:rPr>
        <w:t>encourage</w:t>
      </w:r>
      <w:r>
        <w:rPr>
          <w:spacing w:val="-6"/>
          <w:sz w:val="28"/>
        </w:rPr>
        <w:t> </w:t>
      </w:r>
      <w:r>
        <w:rPr>
          <w:sz w:val="28"/>
        </w:rPr>
        <w:t>EU</w:t>
      </w:r>
      <w:r>
        <w:rPr>
          <w:spacing w:val="-6"/>
          <w:sz w:val="28"/>
        </w:rPr>
        <w:t> </w:t>
      </w:r>
      <w:r>
        <w:rPr>
          <w:sz w:val="28"/>
        </w:rPr>
        <w:t>Member</w:t>
      </w:r>
      <w:r>
        <w:rPr>
          <w:spacing w:val="-6"/>
          <w:sz w:val="28"/>
        </w:rPr>
        <w:t> </w:t>
      </w:r>
      <w:r>
        <w:rPr>
          <w:sz w:val="28"/>
        </w:rPr>
        <w:t>States</w:t>
      </w:r>
      <w:r>
        <w:rPr>
          <w:spacing w:val="-7"/>
          <w:sz w:val="28"/>
        </w:rPr>
        <w:t> </w:t>
      </w:r>
      <w:r>
        <w:rPr>
          <w:sz w:val="28"/>
        </w:rPr>
        <w:t>to</w:t>
      </w:r>
      <w:r>
        <w:rPr>
          <w:spacing w:val="-7"/>
          <w:sz w:val="28"/>
        </w:rPr>
        <w:t> </w:t>
      </w:r>
      <w:r>
        <w:rPr>
          <w:sz w:val="28"/>
        </w:rPr>
        <w:t>ensure</w:t>
      </w:r>
      <w:r>
        <w:rPr>
          <w:spacing w:val="-6"/>
          <w:sz w:val="28"/>
        </w:rPr>
        <w:t> </w:t>
      </w:r>
      <w:r>
        <w:rPr>
          <w:sz w:val="28"/>
        </w:rPr>
        <w:t>full</w:t>
      </w:r>
      <w:r>
        <w:rPr>
          <w:spacing w:val="-7"/>
          <w:sz w:val="28"/>
        </w:rPr>
        <w:t> </w:t>
      </w:r>
      <w:r>
        <w:rPr>
          <w:sz w:val="28"/>
        </w:rPr>
        <w:t>integration and compliance with the UN CRPD, as well as EU legislative proposals to protect the rights of people with disabilities, extending the protections afforded</w:t>
      </w:r>
      <w:r>
        <w:rPr>
          <w:spacing w:val="-16"/>
          <w:sz w:val="28"/>
        </w:rPr>
        <w:t> </w:t>
      </w:r>
      <w:r>
        <w:rPr>
          <w:sz w:val="28"/>
        </w:rPr>
        <w:t>by</w:t>
      </w:r>
      <w:r>
        <w:rPr>
          <w:spacing w:val="-15"/>
          <w:sz w:val="28"/>
        </w:rPr>
        <w:t> </w:t>
      </w:r>
      <w:r>
        <w:rPr>
          <w:sz w:val="28"/>
        </w:rPr>
        <w:t>the</w:t>
      </w:r>
      <w:r>
        <w:rPr>
          <w:spacing w:val="-15"/>
          <w:sz w:val="28"/>
        </w:rPr>
        <w:t> </w:t>
      </w:r>
      <w:r>
        <w:rPr>
          <w:sz w:val="28"/>
        </w:rPr>
        <w:t>EU</w:t>
      </w:r>
      <w:r>
        <w:rPr>
          <w:spacing w:val="-15"/>
          <w:sz w:val="28"/>
        </w:rPr>
        <w:t> </w:t>
      </w:r>
      <w:r>
        <w:rPr>
          <w:sz w:val="28"/>
        </w:rPr>
        <w:t>Employment</w:t>
      </w:r>
      <w:r>
        <w:rPr>
          <w:spacing w:val="-15"/>
          <w:sz w:val="28"/>
        </w:rPr>
        <w:t> </w:t>
      </w:r>
      <w:r>
        <w:rPr>
          <w:sz w:val="28"/>
        </w:rPr>
        <w:t>Equality</w:t>
      </w:r>
      <w:r>
        <w:rPr>
          <w:spacing w:val="-15"/>
          <w:sz w:val="28"/>
        </w:rPr>
        <w:t> </w:t>
      </w:r>
      <w:r>
        <w:rPr>
          <w:sz w:val="28"/>
        </w:rPr>
        <w:t>(Framework)</w:t>
      </w:r>
      <w:r>
        <w:rPr>
          <w:spacing w:val="-16"/>
          <w:sz w:val="28"/>
        </w:rPr>
        <w:t> </w:t>
      </w:r>
      <w:r>
        <w:rPr>
          <w:sz w:val="28"/>
        </w:rPr>
        <w:t>Directive.</w:t>
      </w:r>
      <w:r>
        <w:rPr>
          <w:sz w:val="28"/>
          <w:vertAlign w:val="superscript"/>
        </w:rPr>
        <w:t>213</w:t>
      </w:r>
      <w:r>
        <w:rPr>
          <w:spacing w:val="-16"/>
          <w:sz w:val="28"/>
          <w:vertAlign w:val="baseline"/>
        </w:rPr>
        <w:t> </w:t>
      </w:r>
      <w:r>
        <w:rPr>
          <w:sz w:val="28"/>
          <w:vertAlign w:val="baseline"/>
        </w:rPr>
        <w:t>Therefore incorporating</w:t>
      </w:r>
      <w:r>
        <w:rPr>
          <w:spacing w:val="-5"/>
          <w:sz w:val="28"/>
          <w:vertAlign w:val="baseline"/>
        </w:rPr>
        <w:t> </w:t>
      </w:r>
      <w:r>
        <w:rPr>
          <w:sz w:val="28"/>
          <w:vertAlign w:val="baseline"/>
        </w:rPr>
        <w:t>UN</w:t>
      </w:r>
      <w:r>
        <w:rPr>
          <w:spacing w:val="-5"/>
          <w:sz w:val="28"/>
          <w:vertAlign w:val="baseline"/>
        </w:rPr>
        <w:t> </w:t>
      </w:r>
      <w:r>
        <w:rPr>
          <w:sz w:val="28"/>
          <w:vertAlign w:val="baseline"/>
        </w:rPr>
        <w:t>CRPD</w:t>
      </w:r>
      <w:r>
        <w:rPr>
          <w:spacing w:val="-6"/>
          <w:sz w:val="28"/>
          <w:vertAlign w:val="baseline"/>
        </w:rPr>
        <w:t> </w:t>
      </w:r>
      <w:r>
        <w:rPr>
          <w:sz w:val="28"/>
          <w:vertAlign w:val="baseline"/>
        </w:rPr>
        <w:t>rights</w:t>
      </w:r>
      <w:r>
        <w:rPr>
          <w:spacing w:val="-6"/>
          <w:sz w:val="28"/>
          <w:vertAlign w:val="baseline"/>
        </w:rPr>
        <w:t> </w:t>
      </w:r>
      <w:r>
        <w:rPr>
          <w:sz w:val="28"/>
          <w:vertAlign w:val="baseline"/>
        </w:rPr>
        <w:t>into</w:t>
      </w:r>
      <w:r>
        <w:rPr>
          <w:spacing w:val="-6"/>
          <w:sz w:val="28"/>
          <w:vertAlign w:val="baseline"/>
        </w:rPr>
        <w:t> </w:t>
      </w:r>
      <w:r>
        <w:rPr>
          <w:sz w:val="28"/>
          <w:vertAlign w:val="baseline"/>
        </w:rPr>
        <w:t>NI</w:t>
      </w:r>
      <w:r>
        <w:rPr>
          <w:spacing w:val="-5"/>
          <w:sz w:val="28"/>
          <w:vertAlign w:val="baseline"/>
        </w:rPr>
        <w:t> </w:t>
      </w:r>
      <w:r>
        <w:rPr>
          <w:sz w:val="28"/>
          <w:vertAlign w:val="baseline"/>
        </w:rPr>
        <w:t>law</w:t>
      </w:r>
      <w:r>
        <w:rPr>
          <w:spacing w:val="-5"/>
          <w:sz w:val="28"/>
          <w:vertAlign w:val="baseline"/>
        </w:rPr>
        <w:t> </w:t>
      </w:r>
      <w:r>
        <w:rPr>
          <w:sz w:val="28"/>
          <w:vertAlign w:val="baseline"/>
        </w:rPr>
        <w:t>would</w:t>
      </w:r>
      <w:r>
        <w:rPr>
          <w:spacing w:val="-6"/>
          <w:sz w:val="28"/>
          <w:vertAlign w:val="baseline"/>
        </w:rPr>
        <w:t> </w:t>
      </w:r>
      <w:r>
        <w:rPr>
          <w:sz w:val="28"/>
          <w:vertAlign w:val="baseline"/>
        </w:rPr>
        <w:t>limit</w:t>
      </w:r>
      <w:r>
        <w:rPr>
          <w:spacing w:val="-5"/>
          <w:sz w:val="28"/>
          <w:vertAlign w:val="baseline"/>
        </w:rPr>
        <w:t> </w:t>
      </w:r>
      <w:r>
        <w:rPr>
          <w:sz w:val="28"/>
          <w:vertAlign w:val="baseline"/>
        </w:rPr>
        <w:t>any</w:t>
      </w:r>
      <w:r>
        <w:rPr>
          <w:spacing w:val="-5"/>
          <w:sz w:val="28"/>
          <w:vertAlign w:val="baseline"/>
        </w:rPr>
        <w:t> </w:t>
      </w:r>
      <w:r>
        <w:rPr>
          <w:sz w:val="28"/>
          <w:vertAlign w:val="baseline"/>
        </w:rPr>
        <w:t>potential</w:t>
      </w:r>
      <w:r>
        <w:rPr>
          <w:spacing w:val="-6"/>
          <w:sz w:val="28"/>
          <w:vertAlign w:val="baseline"/>
        </w:rPr>
        <w:t> </w:t>
      </w:r>
      <w:r>
        <w:rPr>
          <w:sz w:val="28"/>
          <w:vertAlign w:val="baseline"/>
        </w:rPr>
        <w:t>for</w:t>
      </w:r>
      <w:r>
        <w:rPr>
          <w:spacing w:val="-5"/>
          <w:sz w:val="28"/>
          <w:vertAlign w:val="baseline"/>
        </w:rPr>
        <w:t> </w:t>
      </w:r>
      <w:r>
        <w:rPr>
          <w:sz w:val="28"/>
          <w:vertAlign w:val="baseline"/>
        </w:rPr>
        <w:t>future divergence between NI and Ireland in the area of disability discrimination.</w:t>
      </w:r>
    </w:p>
    <w:p>
      <w:pPr>
        <w:pStyle w:val="ListParagraph"/>
        <w:numPr>
          <w:ilvl w:val="1"/>
          <w:numId w:val="7"/>
        </w:numPr>
        <w:tabs>
          <w:tab w:pos="1853" w:val="left" w:leader="none"/>
        </w:tabs>
        <w:spacing w:line="225" w:lineRule="auto" w:before="311" w:after="0"/>
        <w:ind w:left="1853" w:right="1365" w:hanging="720"/>
        <w:jc w:val="left"/>
        <w:rPr>
          <w:sz w:val="28"/>
        </w:rPr>
      </w:pPr>
      <w:r>
        <w:rPr>
          <w:sz w:val="28"/>
        </w:rPr>
        <w:t>In</w:t>
      </w:r>
      <w:r>
        <w:rPr>
          <w:spacing w:val="-5"/>
          <w:sz w:val="28"/>
        </w:rPr>
        <w:t> </w:t>
      </w:r>
      <w:r>
        <w:rPr>
          <w:sz w:val="28"/>
        </w:rPr>
        <w:t>August</w:t>
      </w:r>
      <w:r>
        <w:rPr>
          <w:spacing w:val="-4"/>
          <w:sz w:val="28"/>
        </w:rPr>
        <w:t> </w:t>
      </w:r>
      <w:r>
        <w:rPr>
          <w:sz w:val="28"/>
        </w:rPr>
        <w:t>2023,</w:t>
      </w:r>
      <w:r>
        <w:rPr>
          <w:spacing w:val="-4"/>
          <w:sz w:val="28"/>
        </w:rPr>
        <w:t> </w:t>
      </w:r>
      <w:r>
        <w:rPr>
          <w:sz w:val="28"/>
        </w:rPr>
        <w:t>the</w:t>
      </w:r>
      <w:r>
        <w:rPr>
          <w:spacing w:val="-4"/>
          <w:sz w:val="28"/>
        </w:rPr>
        <w:t> </w:t>
      </w:r>
      <w:r>
        <w:rPr>
          <w:sz w:val="28"/>
        </w:rPr>
        <w:t>Commissions,</w:t>
      </w:r>
      <w:r>
        <w:rPr>
          <w:spacing w:val="-4"/>
          <w:sz w:val="28"/>
        </w:rPr>
        <w:t> </w:t>
      </w:r>
      <w:r>
        <w:rPr>
          <w:sz w:val="28"/>
        </w:rPr>
        <w:t>as</w:t>
      </w:r>
      <w:r>
        <w:rPr>
          <w:spacing w:val="-5"/>
          <w:sz w:val="28"/>
        </w:rPr>
        <w:t> </w:t>
      </w:r>
      <w:r>
        <w:rPr>
          <w:sz w:val="28"/>
        </w:rPr>
        <w:t>part</w:t>
      </w:r>
      <w:r>
        <w:rPr>
          <w:spacing w:val="-4"/>
          <w:sz w:val="28"/>
        </w:rPr>
        <w:t> </w:t>
      </w:r>
      <w:r>
        <w:rPr>
          <w:sz w:val="28"/>
        </w:rPr>
        <w:t>of</w:t>
      </w:r>
      <w:r>
        <w:rPr>
          <w:spacing w:val="-5"/>
          <w:sz w:val="28"/>
        </w:rPr>
        <w:t> </w:t>
      </w:r>
      <w:r>
        <w:rPr>
          <w:sz w:val="28"/>
        </w:rPr>
        <w:t>the</w:t>
      </w:r>
      <w:r>
        <w:rPr>
          <w:spacing w:val="-4"/>
          <w:sz w:val="28"/>
        </w:rPr>
        <w:t> </w:t>
      </w:r>
      <w:r>
        <w:rPr>
          <w:sz w:val="28"/>
        </w:rPr>
        <w:t>UK</w:t>
      </w:r>
      <w:r>
        <w:rPr>
          <w:spacing w:val="-4"/>
          <w:sz w:val="28"/>
        </w:rPr>
        <w:t> </w:t>
      </w:r>
      <w:r>
        <w:rPr>
          <w:sz w:val="28"/>
        </w:rPr>
        <w:t>Independent</w:t>
      </w:r>
      <w:r>
        <w:rPr>
          <w:spacing w:val="-4"/>
          <w:sz w:val="28"/>
        </w:rPr>
        <w:t> </w:t>
      </w:r>
      <w:r>
        <w:rPr>
          <w:sz w:val="28"/>
        </w:rPr>
        <w:t>Monitoring Mechanism alongside the Equality and Human Rights Commission and the</w:t>
      </w:r>
    </w:p>
    <w:p>
      <w:pPr>
        <w:pStyle w:val="BodyText"/>
        <w:spacing w:before="5"/>
        <w:rPr>
          <w:sz w:val="7"/>
        </w:rPr>
      </w:pPr>
      <w:r>
        <w:rPr/>
        <mc:AlternateContent>
          <mc:Choice Requires="wps">
            <w:drawing>
              <wp:anchor distT="0" distB="0" distL="0" distR="0" allowOverlap="1" layoutInCell="1" locked="0" behindDoc="1" simplePos="0" relativeHeight="487650304">
                <wp:simplePos x="0" y="0"/>
                <wp:positionH relativeFrom="page">
                  <wp:posOffset>719996</wp:posOffset>
                </wp:positionH>
                <wp:positionV relativeFrom="paragraph">
                  <wp:posOffset>72980</wp:posOffset>
                </wp:positionV>
                <wp:extent cx="6120130" cy="1270"/>
                <wp:effectExtent l="0" t="0" r="0" b="0"/>
                <wp:wrapTopAndBottom/>
                <wp:docPr id="220" name="Graphic 220"/>
                <wp:cNvGraphicFramePr>
                  <a:graphicFrameLocks/>
                </wp:cNvGraphicFramePr>
                <a:graphic>
                  <a:graphicData uri="http://schemas.microsoft.com/office/word/2010/wordprocessingShape">
                    <wps:wsp>
                      <wps:cNvPr id="220" name="Graphic 22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5.746475pt;width:481.9pt;height:.1pt;mso-position-horizontal-relative:page;mso-position-vertical-relative:paragraph;z-index:-15666176;mso-wrap-distance-left:0;mso-wrap-distance-right:0" id="docshape176" coordorigin="1134,115" coordsize="9638,0" path="m10772,115l1134,115e" filled="false" stroked="true" strokeweight="1pt" strokecolor="#393b80">
                <v:path arrowok="t"/>
                <v:stroke dashstyle="solid"/>
                <w10:wrap type="topAndBottom"/>
              </v:shape>
            </w:pict>
          </mc:Fallback>
        </mc:AlternateContent>
      </w:r>
    </w:p>
    <w:p>
      <w:pPr>
        <w:spacing w:line="218" w:lineRule="exact" w:before="144"/>
        <w:ind w:left="1853" w:right="0" w:firstLine="0"/>
        <w:jc w:val="left"/>
        <w:rPr>
          <w:sz w:val="18"/>
        </w:rPr>
      </w:pPr>
      <w:r>
        <w:rPr>
          <w:sz w:val="18"/>
        </w:rPr>
        <w:t>on</w:t>
      </w:r>
      <w:r>
        <w:rPr>
          <w:spacing w:val="-5"/>
          <w:sz w:val="18"/>
        </w:rPr>
        <w:t> </w:t>
      </w:r>
      <w:r>
        <w:rPr>
          <w:sz w:val="18"/>
        </w:rPr>
        <w:t>the</w:t>
      </w:r>
      <w:r>
        <w:rPr>
          <w:spacing w:val="-4"/>
          <w:sz w:val="18"/>
        </w:rPr>
        <w:t> </w:t>
      </w:r>
      <w:r>
        <w:rPr>
          <w:sz w:val="18"/>
        </w:rPr>
        <w:t>Rights</w:t>
      </w:r>
      <w:r>
        <w:rPr>
          <w:spacing w:val="-5"/>
          <w:sz w:val="18"/>
        </w:rPr>
        <w:t> </w:t>
      </w:r>
      <w:r>
        <w:rPr>
          <w:sz w:val="18"/>
        </w:rPr>
        <w:t>of</w:t>
      </w:r>
      <w:r>
        <w:rPr>
          <w:spacing w:val="-5"/>
          <w:sz w:val="18"/>
        </w:rPr>
        <w:t> </w:t>
      </w:r>
      <w:r>
        <w:rPr>
          <w:sz w:val="18"/>
        </w:rPr>
        <w:t>Persons</w:t>
      </w:r>
      <w:r>
        <w:rPr>
          <w:spacing w:val="-4"/>
          <w:sz w:val="18"/>
        </w:rPr>
        <w:t> </w:t>
      </w:r>
      <w:r>
        <w:rPr>
          <w:sz w:val="18"/>
        </w:rPr>
        <w:t>with</w:t>
      </w:r>
      <w:r>
        <w:rPr>
          <w:spacing w:val="-5"/>
          <w:sz w:val="18"/>
        </w:rPr>
        <w:t> </w:t>
      </w:r>
      <w:r>
        <w:rPr>
          <w:sz w:val="18"/>
        </w:rPr>
        <w:t>Disabilities,</w:t>
      </w:r>
      <w:r>
        <w:rPr>
          <w:spacing w:val="-4"/>
          <w:sz w:val="18"/>
        </w:rPr>
        <w:t> </w:t>
      </w:r>
      <w:r>
        <w:rPr>
          <w:sz w:val="18"/>
        </w:rPr>
        <w:t>26</w:t>
      </w:r>
      <w:r>
        <w:rPr>
          <w:spacing w:val="-4"/>
          <w:sz w:val="18"/>
        </w:rPr>
        <w:t> </w:t>
      </w:r>
      <w:r>
        <w:rPr>
          <w:sz w:val="18"/>
        </w:rPr>
        <w:t>November</w:t>
      </w:r>
      <w:r>
        <w:rPr>
          <w:spacing w:val="-4"/>
          <w:sz w:val="18"/>
        </w:rPr>
        <w:t> </w:t>
      </w:r>
      <w:r>
        <w:rPr>
          <w:spacing w:val="-2"/>
          <w:sz w:val="18"/>
        </w:rPr>
        <w:t>2009.</w:t>
      </w:r>
    </w:p>
    <w:p>
      <w:pPr>
        <w:pStyle w:val="ListParagraph"/>
        <w:numPr>
          <w:ilvl w:val="0"/>
          <w:numId w:val="3"/>
        </w:numPr>
        <w:tabs>
          <w:tab w:pos="1853" w:val="left" w:leader="none"/>
        </w:tabs>
        <w:spacing w:line="216" w:lineRule="exact" w:before="0" w:after="0"/>
        <w:ind w:left="1853" w:right="0" w:hanging="720"/>
        <w:jc w:val="left"/>
        <w:rPr>
          <w:sz w:val="18"/>
        </w:rPr>
      </w:pPr>
      <w:r>
        <w:rPr>
          <w:sz w:val="18"/>
        </w:rPr>
        <w:t>Article</w:t>
      </w:r>
      <w:r>
        <w:rPr>
          <w:spacing w:val="-5"/>
          <w:sz w:val="18"/>
        </w:rPr>
        <w:t> </w:t>
      </w:r>
      <w:r>
        <w:rPr>
          <w:sz w:val="18"/>
        </w:rPr>
        <w:t>4,</w:t>
      </w:r>
      <w:r>
        <w:rPr>
          <w:spacing w:val="-5"/>
          <w:sz w:val="18"/>
        </w:rPr>
        <w:t> </w:t>
      </w:r>
      <w:r>
        <w:rPr>
          <w:sz w:val="18"/>
        </w:rPr>
        <w:t>UK-EU</w:t>
      </w:r>
      <w:r>
        <w:rPr>
          <w:spacing w:val="-5"/>
          <w:sz w:val="18"/>
        </w:rPr>
        <w:t> </w:t>
      </w:r>
      <w:r>
        <w:rPr>
          <w:sz w:val="18"/>
        </w:rPr>
        <w:t>Withdrawal</w:t>
      </w:r>
      <w:r>
        <w:rPr>
          <w:spacing w:val="-5"/>
          <w:sz w:val="18"/>
        </w:rPr>
        <w:t> </w:t>
      </w:r>
      <w:r>
        <w:rPr>
          <w:spacing w:val="-2"/>
          <w:sz w:val="18"/>
        </w:rPr>
        <w:t>Agreement.</w:t>
      </w:r>
    </w:p>
    <w:p>
      <w:pPr>
        <w:pStyle w:val="ListParagraph"/>
        <w:numPr>
          <w:ilvl w:val="0"/>
          <w:numId w:val="3"/>
        </w:numPr>
        <w:tabs>
          <w:tab w:pos="1853" w:val="left" w:leader="none"/>
        </w:tabs>
        <w:spacing w:line="235" w:lineRule="auto" w:before="1" w:after="0"/>
        <w:ind w:left="1853" w:right="1345" w:hanging="720"/>
        <w:jc w:val="left"/>
        <w:rPr>
          <w:sz w:val="18"/>
        </w:rPr>
      </w:pPr>
      <w:r>
        <w:rPr>
          <w:sz w:val="18"/>
        </w:rPr>
        <w:t>NI</w:t>
      </w:r>
      <w:r>
        <w:rPr>
          <w:spacing w:val="-1"/>
          <w:sz w:val="18"/>
        </w:rPr>
        <w:t> </w:t>
      </w:r>
      <w:r>
        <w:rPr>
          <w:sz w:val="18"/>
        </w:rPr>
        <w:t>Human</w:t>
      </w:r>
      <w:r>
        <w:rPr>
          <w:spacing w:val="-2"/>
          <w:sz w:val="18"/>
        </w:rPr>
        <w:t> </w:t>
      </w:r>
      <w:r>
        <w:rPr>
          <w:sz w:val="18"/>
        </w:rPr>
        <w:t>Rights</w:t>
      </w:r>
      <w:r>
        <w:rPr>
          <w:spacing w:val="-2"/>
          <w:sz w:val="18"/>
        </w:rPr>
        <w:t> </w:t>
      </w:r>
      <w:r>
        <w:rPr>
          <w:sz w:val="18"/>
        </w:rPr>
        <w:t>Commission</w:t>
      </w:r>
      <w:r>
        <w:rPr>
          <w:spacing w:val="-2"/>
          <w:sz w:val="18"/>
        </w:rPr>
        <w:t> </w:t>
      </w:r>
      <w:r>
        <w:rPr>
          <w:sz w:val="18"/>
        </w:rPr>
        <w:t>and</w:t>
      </w:r>
      <w:r>
        <w:rPr>
          <w:spacing w:val="-2"/>
          <w:sz w:val="18"/>
        </w:rPr>
        <w:t> </w:t>
      </w:r>
      <w:r>
        <w:rPr>
          <w:sz w:val="18"/>
        </w:rPr>
        <w:t>Equality</w:t>
      </w:r>
      <w:r>
        <w:rPr>
          <w:spacing w:val="-1"/>
          <w:sz w:val="18"/>
        </w:rPr>
        <w:t> </w:t>
      </w:r>
      <w:r>
        <w:rPr>
          <w:sz w:val="18"/>
        </w:rPr>
        <w:t>Commission</w:t>
      </w:r>
      <w:r>
        <w:rPr>
          <w:spacing w:val="-2"/>
          <w:sz w:val="18"/>
        </w:rPr>
        <w:t> </w:t>
      </w:r>
      <w:r>
        <w:rPr>
          <w:sz w:val="18"/>
        </w:rPr>
        <w:t>for</w:t>
      </w:r>
      <w:r>
        <w:rPr>
          <w:spacing w:val="-1"/>
          <w:sz w:val="18"/>
        </w:rPr>
        <w:t> </w:t>
      </w:r>
      <w:r>
        <w:rPr>
          <w:sz w:val="18"/>
        </w:rPr>
        <w:t>NI,</w:t>
      </w:r>
      <w:r>
        <w:rPr>
          <w:spacing w:val="-1"/>
          <w:sz w:val="18"/>
        </w:rPr>
        <w:t> </w:t>
      </w:r>
      <w:r>
        <w:rPr>
          <w:sz w:val="18"/>
        </w:rPr>
        <w:t>‘</w:t>
      </w:r>
      <w:hyperlink r:id="rId100">
        <w:r>
          <w:rPr>
            <w:sz w:val="18"/>
          </w:rPr>
          <w:t>Working</w:t>
        </w:r>
        <w:r>
          <w:rPr>
            <w:spacing w:val="-1"/>
            <w:sz w:val="18"/>
          </w:rPr>
          <w:t> </w:t>
        </w:r>
        <w:r>
          <w:rPr>
            <w:sz w:val="18"/>
          </w:rPr>
          <w:t>Paper:</w:t>
        </w:r>
        <w:r>
          <w:rPr>
            <w:spacing w:val="-1"/>
            <w:sz w:val="18"/>
          </w:rPr>
          <w:t> </w:t>
        </w:r>
        <w:r>
          <w:rPr>
            <w:sz w:val="18"/>
          </w:rPr>
          <w:t>The</w:t>
        </w:r>
        <w:r>
          <w:rPr>
            <w:spacing w:val="-1"/>
            <w:sz w:val="18"/>
          </w:rPr>
          <w:t> </w:t>
        </w:r>
        <w:r>
          <w:rPr>
            <w:sz w:val="18"/>
          </w:rPr>
          <w:t>Scope</w:t>
        </w:r>
        <w:r>
          <w:rPr>
            <w:spacing w:val="-1"/>
            <w:sz w:val="18"/>
          </w:rPr>
          <w:t> </w:t>
        </w:r>
        <w:r>
          <w:rPr>
            <w:sz w:val="18"/>
          </w:rPr>
          <w:t>of</w:t>
        </w:r>
        <w:r>
          <w:rPr>
            <w:spacing w:val="-2"/>
            <w:sz w:val="18"/>
          </w:rPr>
          <w:t> </w:t>
        </w:r>
        <w:r>
          <w:rPr>
            <w:sz w:val="18"/>
          </w:rPr>
          <w:t>Article</w:t>
        </w:r>
        <w:r>
          <w:rPr>
            <w:spacing w:val="-1"/>
            <w:sz w:val="18"/>
          </w:rPr>
          <w:t> </w:t>
        </w:r>
        <w:r>
          <w:rPr>
            <w:sz w:val="18"/>
          </w:rPr>
          <w:t>2(1)</w:t>
        </w:r>
        <w:r>
          <w:rPr>
            <w:spacing w:val="-2"/>
            <w:sz w:val="18"/>
          </w:rPr>
          <w:t> </w:t>
        </w:r>
        <w:r>
          <w:rPr>
            <w:sz w:val="18"/>
          </w:rPr>
          <w:t>of</w:t>
        </w:r>
        <w:r>
          <w:rPr>
            <w:spacing w:val="-2"/>
            <w:sz w:val="18"/>
          </w:rPr>
          <w:t> </w:t>
        </w:r>
        <w:r>
          <w:rPr>
            <w:sz w:val="18"/>
          </w:rPr>
          <w:t>the</w:t>
        </w:r>
        <w:r>
          <w:rPr>
            <w:spacing w:val="-1"/>
            <w:sz w:val="18"/>
          </w:rPr>
          <w:t> </w:t>
        </w:r>
        <w:r>
          <w:rPr>
            <w:sz w:val="18"/>
          </w:rPr>
          <w:t>Ireland/</w:t>
        </w:r>
      </w:hyperlink>
      <w:r>
        <w:rPr>
          <w:sz w:val="18"/>
        </w:rPr>
        <w:t> </w:t>
      </w:r>
      <w:hyperlink r:id="rId100">
        <w:r>
          <w:rPr>
            <w:sz w:val="18"/>
          </w:rPr>
          <w:t>Northern</w:t>
        </w:r>
        <w:r>
          <w:rPr>
            <w:spacing w:val="-5"/>
            <w:sz w:val="18"/>
          </w:rPr>
          <w:t> </w:t>
        </w:r>
        <w:r>
          <w:rPr>
            <w:sz w:val="18"/>
          </w:rPr>
          <w:t>Ireland</w:t>
        </w:r>
        <w:r>
          <w:rPr>
            <w:spacing w:val="-5"/>
            <w:sz w:val="18"/>
          </w:rPr>
          <w:t> </w:t>
        </w:r>
        <w:r>
          <w:rPr>
            <w:sz w:val="18"/>
          </w:rPr>
          <w:t>Protocol</w:t>
        </w:r>
      </w:hyperlink>
      <w:r>
        <w:rPr>
          <w:sz w:val="18"/>
        </w:rPr>
        <w:t>’</w:t>
      </w:r>
      <w:r>
        <w:rPr>
          <w:spacing w:val="-4"/>
          <w:sz w:val="18"/>
        </w:rPr>
        <w:t> </w:t>
      </w:r>
      <w:r>
        <w:rPr>
          <w:sz w:val="18"/>
        </w:rPr>
        <w:t>(NIHRC</w:t>
      </w:r>
      <w:r>
        <w:rPr>
          <w:spacing w:val="-5"/>
          <w:sz w:val="18"/>
        </w:rPr>
        <w:t> </w:t>
      </w:r>
      <w:r>
        <w:rPr>
          <w:sz w:val="18"/>
        </w:rPr>
        <w:t>and</w:t>
      </w:r>
      <w:r>
        <w:rPr>
          <w:spacing w:val="-5"/>
          <w:sz w:val="18"/>
        </w:rPr>
        <w:t> </w:t>
      </w:r>
      <w:r>
        <w:rPr>
          <w:sz w:val="18"/>
        </w:rPr>
        <w:t>ECNI,</w:t>
      </w:r>
      <w:r>
        <w:rPr>
          <w:spacing w:val="-4"/>
          <w:sz w:val="18"/>
        </w:rPr>
        <w:t> </w:t>
      </w:r>
      <w:r>
        <w:rPr>
          <w:sz w:val="18"/>
        </w:rPr>
        <w:t>2022).</w:t>
      </w:r>
      <w:r>
        <w:rPr>
          <w:spacing w:val="-5"/>
          <w:sz w:val="18"/>
        </w:rPr>
        <w:t> </w:t>
      </w:r>
      <w:r>
        <w:rPr>
          <w:sz w:val="18"/>
        </w:rPr>
        <w:t>See</w:t>
      </w:r>
      <w:r>
        <w:rPr>
          <w:spacing w:val="-4"/>
          <w:sz w:val="18"/>
        </w:rPr>
        <w:t> </w:t>
      </w:r>
      <w:r>
        <w:rPr>
          <w:sz w:val="18"/>
        </w:rPr>
        <w:t>also</w:t>
      </w:r>
      <w:r>
        <w:rPr>
          <w:spacing w:val="-5"/>
          <w:sz w:val="18"/>
        </w:rPr>
        <w:t> </w:t>
      </w:r>
      <w:r>
        <w:rPr>
          <w:sz w:val="18"/>
        </w:rPr>
        <w:t>Sarah</w:t>
      </w:r>
      <w:r>
        <w:rPr>
          <w:spacing w:val="-5"/>
          <w:sz w:val="18"/>
        </w:rPr>
        <w:t> </w:t>
      </w:r>
      <w:r>
        <w:rPr>
          <w:sz w:val="18"/>
        </w:rPr>
        <w:t>Craig,</w:t>
      </w:r>
      <w:r>
        <w:rPr>
          <w:spacing w:val="-4"/>
          <w:sz w:val="18"/>
        </w:rPr>
        <w:t> </w:t>
      </w:r>
      <w:r>
        <w:rPr>
          <w:sz w:val="18"/>
        </w:rPr>
        <w:t>Anurag</w:t>
      </w:r>
      <w:r>
        <w:rPr>
          <w:spacing w:val="-4"/>
          <w:sz w:val="18"/>
        </w:rPr>
        <w:t> </w:t>
      </w:r>
      <w:r>
        <w:rPr>
          <w:sz w:val="18"/>
        </w:rPr>
        <w:t>Deb,</w:t>
      </w:r>
      <w:r>
        <w:rPr>
          <w:spacing w:val="-4"/>
          <w:sz w:val="18"/>
        </w:rPr>
        <w:t> </w:t>
      </w:r>
      <w:r>
        <w:rPr>
          <w:sz w:val="18"/>
        </w:rPr>
        <w:t>Eleni</w:t>
      </w:r>
      <w:r>
        <w:rPr>
          <w:spacing w:val="-5"/>
          <w:sz w:val="18"/>
        </w:rPr>
        <w:t> </w:t>
      </w:r>
      <w:r>
        <w:rPr>
          <w:sz w:val="18"/>
        </w:rPr>
        <w:t>Frantziou,</w:t>
      </w:r>
      <w:r>
        <w:rPr>
          <w:spacing w:val="-4"/>
          <w:sz w:val="18"/>
        </w:rPr>
        <w:t> </w:t>
      </w:r>
      <w:r>
        <w:rPr>
          <w:sz w:val="18"/>
        </w:rPr>
        <w:t>Alexander</w:t>
      </w:r>
      <w:r>
        <w:rPr>
          <w:spacing w:val="-4"/>
          <w:sz w:val="18"/>
        </w:rPr>
        <w:t> </w:t>
      </w:r>
      <w:r>
        <w:rPr>
          <w:sz w:val="18"/>
        </w:rPr>
        <w:t>Horne,</w:t>
      </w:r>
    </w:p>
    <w:p>
      <w:pPr>
        <w:spacing w:line="235" w:lineRule="auto" w:before="2"/>
        <w:ind w:left="1853" w:right="1572" w:firstLine="0"/>
        <w:jc w:val="left"/>
        <w:rPr>
          <w:sz w:val="18"/>
        </w:rPr>
      </w:pPr>
      <w:r>
        <w:rPr>
          <w:sz w:val="18"/>
        </w:rPr>
        <w:t>Colin</w:t>
      </w:r>
      <w:r>
        <w:rPr>
          <w:spacing w:val="-6"/>
          <w:sz w:val="18"/>
        </w:rPr>
        <w:t> </w:t>
      </w:r>
      <w:r>
        <w:rPr>
          <w:sz w:val="18"/>
        </w:rPr>
        <w:t>Murray,</w:t>
      </w:r>
      <w:r>
        <w:rPr>
          <w:spacing w:val="-5"/>
          <w:sz w:val="18"/>
        </w:rPr>
        <w:t> </w:t>
      </w:r>
      <w:r>
        <w:rPr>
          <w:sz w:val="18"/>
        </w:rPr>
        <w:t>Clare</w:t>
      </w:r>
      <w:r>
        <w:rPr>
          <w:spacing w:val="-5"/>
          <w:sz w:val="18"/>
        </w:rPr>
        <w:t> </w:t>
      </w:r>
      <w:r>
        <w:rPr>
          <w:sz w:val="18"/>
        </w:rPr>
        <w:t>Rice</w:t>
      </w:r>
      <w:r>
        <w:rPr>
          <w:spacing w:val="-5"/>
          <w:sz w:val="18"/>
        </w:rPr>
        <w:t> </w:t>
      </w:r>
      <w:r>
        <w:rPr>
          <w:sz w:val="18"/>
        </w:rPr>
        <w:t>and</w:t>
      </w:r>
      <w:r>
        <w:rPr>
          <w:spacing w:val="-6"/>
          <w:sz w:val="18"/>
        </w:rPr>
        <w:t> </w:t>
      </w:r>
      <w:r>
        <w:rPr>
          <w:sz w:val="18"/>
        </w:rPr>
        <w:t>Jane</w:t>
      </w:r>
      <w:r>
        <w:rPr>
          <w:spacing w:val="-5"/>
          <w:sz w:val="18"/>
        </w:rPr>
        <w:t> </w:t>
      </w:r>
      <w:r>
        <w:rPr>
          <w:sz w:val="18"/>
        </w:rPr>
        <w:t>Rooney,</w:t>
      </w:r>
      <w:r>
        <w:rPr>
          <w:spacing w:val="-5"/>
          <w:sz w:val="18"/>
        </w:rPr>
        <w:t> </w:t>
      </w:r>
      <w:r>
        <w:rPr>
          <w:sz w:val="18"/>
        </w:rPr>
        <w:t>‘</w:t>
      </w:r>
      <w:hyperlink r:id="rId75">
        <w:r>
          <w:rPr>
            <w:sz w:val="18"/>
          </w:rPr>
          <w:t>European</w:t>
        </w:r>
        <w:r>
          <w:rPr>
            <w:spacing w:val="-6"/>
            <w:sz w:val="18"/>
          </w:rPr>
          <w:t> </w:t>
        </w:r>
        <w:r>
          <w:rPr>
            <w:sz w:val="18"/>
          </w:rPr>
          <w:t>Union</w:t>
        </w:r>
        <w:r>
          <w:rPr>
            <w:spacing w:val="-6"/>
            <w:sz w:val="18"/>
          </w:rPr>
          <w:t> </w:t>
        </w:r>
        <w:r>
          <w:rPr>
            <w:sz w:val="18"/>
          </w:rPr>
          <w:t>developments</w:t>
        </w:r>
        <w:r>
          <w:rPr>
            <w:spacing w:val="-6"/>
            <w:sz w:val="18"/>
          </w:rPr>
          <w:t> </w:t>
        </w:r>
        <w:r>
          <w:rPr>
            <w:sz w:val="18"/>
          </w:rPr>
          <w:t>in</w:t>
        </w:r>
        <w:r>
          <w:rPr>
            <w:spacing w:val="-6"/>
            <w:sz w:val="18"/>
          </w:rPr>
          <w:t> </w:t>
        </w:r>
        <w:r>
          <w:rPr>
            <w:sz w:val="18"/>
          </w:rPr>
          <w:t>Equality</w:t>
        </w:r>
        <w:r>
          <w:rPr>
            <w:spacing w:val="-5"/>
            <w:sz w:val="18"/>
          </w:rPr>
          <w:t> </w:t>
        </w:r>
        <w:r>
          <w:rPr>
            <w:sz w:val="18"/>
          </w:rPr>
          <w:t>and</w:t>
        </w:r>
        <w:r>
          <w:rPr>
            <w:spacing w:val="-6"/>
            <w:sz w:val="18"/>
          </w:rPr>
          <w:t> </w:t>
        </w:r>
        <w:r>
          <w:rPr>
            <w:sz w:val="18"/>
          </w:rPr>
          <w:t>Human</w:t>
        </w:r>
        <w:r>
          <w:rPr>
            <w:spacing w:val="-6"/>
            <w:sz w:val="18"/>
          </w:rPr>
          <w:t> </w:t>
        </w:r>
        <w:r>
          <w:rPr>
            <w:sz w:val="18"/>
          </w:rPr>
          <w:t>Rights:</w:t>
        </w:r>
        <w:r>
          <w:rPr>
            <w:spacing w:val="-5"/>
            <w:sz w:val="18"/>
          </w:rPr>
          <w:t> </w:t>
        </w:r>
        <w:r>
          <w:rPr>
            <w:sz w:val="18"/>
          </w:rPr>
          <w:t>The</w:t>
        </w:r>
        <w:r>
          <w:rPr>
            <w:spacing w:val="-5"/>
            <w:sz w:val="18"/>
          </w:rPr>
          <w:t> </w:t>
        </w:r>
        <w:r>
          <w:rPr>
            <w:sz w:val="18"/>
          </w:rPr>
          <w:t>Impact</w:t>
        </w:r>
      </w:hyperlink>
      <w:r>
        <w:rPr>
          <w:sz w:val="18"/>
        </w:rPr>
        <w:t> </w:t>
      </w:r>
      <w:hyperlink r:id="rId75">
        <w:r>
          <w:rPr>
            <w:sz w:val="18"/>
          </w:rPr>
          <w:t>of Brexit on the divergence of rights and best practice on the island of Ireland</w:t>
        </w:r>
      </w:hyperlink>
      <w:r>
        <w:rPr>
          <w:sz w:val="18"/>
        </w:rPr>
        <w:t>’ (ECNI, NIHRC and IHREC, 2022); and Equality Commission for NI, NI Human Rights Commission and Irish Human Rights and Equality Commission,</w:t>
      </w:r>
    </w:p>
    <w:p>
      <w:pPr>
        <w:spacing w:line="235" w:lineRule="auto" w:before="2"/>
        <w:ind w:left="1853" w:right="1667" w:firstLine="0"/>
        <w:jc w:val="left"/>
        <w:rPr>
          <w:sz w:val="18"/>
        </w:rPr>
      </w:pPr>
      <w:r>
        <w:rPr>
          <w:sz w:val="18"/>
        </w:rPr>
        <w:t>‘</w:t>
      </w:r>
      <w:hyperlink r:id="rId76">
        <w:r>
          <w:rPr>
            <w:sz w:val="18"/>
          </w:rPr>
          <w:t>Policy</w:t>
        </w:r>
        <w:r>
          <w:rPr>
            <w:spacing w:val="-4"/>
            <w:sz w:val="18"/>
          </w:rPr>
          <w:t> </w:t>
        </w:r>
        <w:r>
          <w:rPr>
            <w:sz w:val="18"/>
          </w:rPr>
          <w:t>Recommendations:</w:t>
        </w:r>
        <w:r>
          <w:rPr>
            <w:spacing w:val="-4"/>
            <w:sz w:val="18"/>
          </w:rPr>
          <w:t> </w:t>
        </w:r>
        <w:r>
          <w:rPr>
            <w:sz w:val="18"/>
          </w:rPr>
          <w:t>European</w:t>
        </w:r>
        <w:r>
          <w:rPr>
            <w:spacing w:val="-5"/>
            <w:sz w:val="18"/>
          </w:rPr>
          <w:t> </w:t>
        </w:r>
        <w:r>
          <w:rPr>
            <w:sz w:val="18"/>
          </w:rPr>
          <w:t>Union</w:t>
        </w:r>
        <w:r>
          <w:rPr>
            <w:spacing w:val="-5"/>
            <w:sz w:val="18"/>
          </w:rPr>
          <w:t> </w:t>
        </w:r>
        <w:r>
          <w:rPr>
            <w:sz w:val="18"/>
          </w:rPr>
          <w:t>developments</w:t>
        </w:r>
        <w:r>
          <w:rPr>
            <w:spacing w:val="-5"/>
            <w:sz w:val="18"/>
          </w:rPr>
          <w:t> </w:t>
        </w:r>
        <w:r>
          <w:rPr>
            <w:sz w:val="18"/>
          </w:rPr>
          <w:t>in</w:t>
        </w:r>
        <w:r>
          <w:rPr>
            <w:spacing w:val="-5"/>
            <w:sz w:val="18"/>
          </w:rPr>
          <w:t> </w:t>
        </w:r>
        <w:r>
          <w:rPr>
            <w:sz w:val="18"/>
          </w:rPr>
          <w:t>Equality</w:t>
        </w:r>
        <w:r>
          <w:rPr>
            <w:spacing w:val="-4"/>
            <w:sz w:val="18"/>
          </w:rPr>
          <w:t> </w:t>
        </w:r>
        <w:r>
          <w:rPr>
            <w:sz w:val="18"/>
          </w:rPr>
          <w:t>and</w:t>
        </w:r>
        <w:r>
          <w:rPr>
            <w:spacing w:val="-5"/>
            <w:sz w:val="18"/>
          </w:rPr>
          <w:t> </w:t>
        </w:r>
        <w:r>
          <w:rPr>
            <w:sz w:val="18"/>
          </w:rPr>
          <w:t>Human</w:t>
        </w:r>
        <w:r>
          <w:rPr>
            <w:spacing w:val="-5"/>
            <w:sz w:val="18"/>
          </w:rPr>
          <w:t> </w:t>
        </w:r>
        <w:r>
          <w:rPr>
            <w:sz w:val="18"/>
          </w:rPr>
          <w:t>Rights: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hyperlink>
      <w:r>
        <w:rPr>
          <w:sz w:val="18"/>
        </w:rPr>
        <w:t> </w:t>
      </w:r>
      <w:hyperlink r:id="rId76">
        <w:r>
          <w:rPr>
            <w:sz w:val="18"/>
          </w:rPr>
          <w:t>the divergence of rights and best practice on the island of Ireland</w:t>
        </w:r>
      </w:hyperlink>
      <w:r>
        <w:rPr>
          <w:sz w:val="18"/>
        </w:rPr>
        <w:t>’ (ECNI, NIHRC and IHREC, 2023).</w:t>
      </w:r>
    </w:p>
    <w:p>
      <w:pPr>
        <w:pStyle w:val="ListParagraph"/>
        <w:numPr>
          <w:ilvl w:val="0"/>
          <w:numId w:val="3"/>
        </w:numPr>
        <w:tabs>
          <w:tab w:pos="1853" w:val="left" w:leader="none"/>
        </w:tabs>
        <w:spacing w:line="235" w:lineRule="auto" w:before="1" w:after="0"/>
        <w:ind w:left="1853" w:right="1233" w:hanging="720"/>
        <w:jc w:val="left"/>
        <w:rPr>
          <w:sz w:val="18"/>
        </w:rPr>
      </w:pPr>
      <w:r>
        <w:rPr>
          <w:sz w:val="18"/>
        </w:rPr>
        <w:t>Nuala</w:t>
      </w:r>
      <w:r>
        <w:rPr>
          <w:spacing w:val="-11"/>
          <w:sz w:val="18"/>
        </w:rPr>
        <w:t> </w:t>
      </w:r>
      <w:r>
        <w:rPr>
          <w:sz w:val="18"/>
        </w:rPr>
        <w:t>Toman,</w:t>
      </w:r>
      <w:r>
        <w:rPr>
          <w:spacing w:val="-10"/>
          <w:sz w:val="18"/>
        </w:rPr>
        <w:t> </w:t>
      </w:r>
      <w:r>
        <w:rPr>
          <w:sz w:val="18"/>
        </w:rPr>
        <w:t>Tony</w:t>
      </w:r>
      <w:r>
        <w:rPr>
          <w:spacing w:val="-10"/>
          <w:sz w:val="18"/>
        </w:rPr>
        <w:t> </w:t>
      </w:r>
      <w:r>
        <w:rPr>
          <w:sz w:val="18"/>
        </w:rPr>
        <w:t>O’Reilly,</w:t>
      </w:r>
      <w:r>
        <w:rPr>
          <w:spacing w:val="-10"/>
          <w:sz w:val="18"/>
        </w:rPr>
        <w:t> </w:t>
      </w:r>
      <w:r>
        <w:rPr>
          <w:sz w:val="18"/>
        </w:rPr>
        <w:t>Michael</w:t>
      </w:r>
      <w:r>
        <w:rPr>
          <w:spacing w:val="-10"/>
          <w:sz w:val="18"/>
        </w:rPr>
        <w:t> </w:t>
      </w:r>
      <w:r>
        <w:rPr>
          <w:sz w:val="18"/>
        </w:rPr>
        <w:t>McConway,</w:t>
      </w:r>
      <w:r>
        <w:rPr>
          <w:spacing w:val="-11"/>
          <w:sz w:val="18"/>
        </w:rPr>
        <w:t> </w:t>
      </w:r>
      <w:r>
        <w:rPr>
          <w:sz w:val="18"/>
        </w:rPr>
        <w:t>Andrew</w:t>
      </w:r>
      <w:r>
        <w:rPr>
          <w:spacing w:val="-10"/>
          <w:sz w:val="18"/>
        </w:rPr>
        <w:t> </w:t>
      </w:r>
      <w:r>
        <w:rPr>
          <w:sz w:val="18"/>
        </w:rPr>
        <w:t>Hamilton,</w:t>
      </w:r>
      <w:r>
        <w:rPr>
          <w:spacing w:val="-10"/>
          <w:sz w:val="18"/>
        </w:rPr>
        <w:t> </w:t>
      </w:r>
      <w:r>
        <w:rPr>
          <w:sz w:val="18"/>
        </w:rPr>
        <w:t>Emma</w:t>
      </w:r>
      <w:r>
        <w:rPr>
          <w:spacing w:val="-10"/>
          <w:sz w:val="18"/>
        </w:rPr>
        <w:t> </w:t>
      </w:r>
      <w:r>
        <w:rPr>
          <w:sz w:val="18"/>
        </w:rPr>
        <w:t>O’Neill,</w:t>
      </w:r>
      <w:r>
        <w:rPr>
          <w:spacing w:val="-10"/>
          <w:sz w:val="18"/>
        </w:rPr>
        <w:t> </w:t>
      </w:r>
      <w:r>
        <w:rPr>
          <w:sz w:val="18"/>
        </w:rPr>
        <w:t>‘</w:t>
      </w:r>
      <w:hyperlink r:id="rId102">
        <w:r>
          <w:rPr>
            <w:sz w:val="18"/>
          </w:rPr>
          <w:t>Progress</w:t>
        </w:r>
        <w:r>
          <w:rPr>
            <w:spacing w:val="-10"/>
            <w:sz w:val="18"/>
          </w:rPr>
          <w:t> </w:t>
        </w:r>
        <w:r>
          <w:rPr>
            <w:sz w:val="18"/>
          </w:rPr>
          <w:t>Towards</w:t>
        </w:r>
        <w:r>
          <w:rPr>
            <w:spacing w:val="-11"/>
            <w:sz w:val="18"/>
          </w:rPr>
          <w:t> </w:t>
        </w:r>
        <w:r>
          <w:rPr>
            <w:sz w:val="18"/>
          </w:rPr>
          <w:t>the</w:t>
        </w:r>
        <w:r>
          <w:rPr>
            <w:spacing w:val="-10"/>
            <w:sz w:val="18"/>
          </w:rPr>
          <w:t> </w:t>
        </w:r>
        <w:r>
          <w:rPr>
            <w:sz w:val="18"/>
          </w:rPr>
          <w:t>Implementation</w:t>
        </w:r>
      </w:hyperlink>
      <w:r>
        <w:rPr>
          <w:sz w:val="18"/>
        </w:rPr>
        <w:t> </w:t>
      </w:r>
      <w:hyperlink r:id="rId102">
        <w:r>
          <w:rPr>
            <w:sz w:val="18"/>
          </w:rPr>
          <w:t>of the UN CRPD in Northern Ireland</w:t>
        </w:r>
      </w:hyperlink>
      <w:r>
        <w:rPr>
          <w:sz w:val="18"/>
        </w:rPr>
        <w:t>’ (ECNI, 2022), at 15.</w:t>
      </w:r>
    </w:p>
    <w:p>
      <w:pPr>
        <w:pStyle w:val="ListParagraph"/>
        <w:numPr>
          <w:ilvl w:val="0"/>
          <w:numId w:val="3"/>
        </w:numPr>
        <w:tabs>
          <w:tab w:pos="1853" w:val="left" w:leader="none"/>
        </w:tabs>
        <w:spacing w:line="216" w:lineRule="exact" w:before="0" w:after="0"/>
        <w:ind w:left="1853" w:right="0" w:hanging="720"/>
        <w:jc w:val="left"/>
        <w:rPr>
          <w:sz w:val="18"/>
        </w:rPr>
      </w:pPr>
      <w:r>
        <w:rPr>
          <w:i/>
          <w:sz w:val="18"/>
        </w:rPr>
        <w:t>Re</w:t>
      </w:r>
      <w:r>
        <w:rPr>
          <w:i/>
          <w:spacing w:val="-6"/>
          <w:sz w:val="18"/>
        </w:rPr>
        <w:t> </w:t>
      </w:r>
      <w:r>
        <w:rPr>
          <w:i/>
          <w:sz w:val="18"/>
        </w:rPr>
        <w:t>SPUC</w:t>
      </w:r>
      <w:r>
        <w:rPr>
          <w:i/>
          <w:spacing w:val="-4"/>
          <w:sz w:val="18"/>
        </w:rPr>
        <w:t> </w:t>
      </w:r>
      <w:r>
        <w:rPr>
          <w:i/>
          <w:sz w:val="18"/>
        </w:rPr>
        <w:t>Pro-Life</w:t>
      </w:r>
      <w:r>
        <w:rPr>
          <w:i/>
          <w:spacing w:val="-4"/>
          <w:sz w:val="18"/>
        </w:rPr>
        <w:t> </w:t>
      </w:r>
      <w:r>
        <w:rPr>
          <w:i/>
          <w:sz w:val="18"/>
        </w:rPr>
        <w:t>Limited</w:t>
      </w:r>
      <w:r>
        <w:rPr>
          <w:i/>
          <w:spacing w:val="-3"/>
          <w:sz w:val="18"/>
        </w:rPr>
        <w:t> </w:t>
      </w:r>
      <w:r>
        <w:rPr>
          <w:sz w:val="18"/>
        </w:rPr>
        <w:t>[2022]</w:t>
      </w:r>
      <w:r>
        <w:rPr>
          <w:spacing w:val="-4"/>
          <w:sz w:val="18"/>
        </w:rPr>
        <w:t> </w:t>
      </w:r>
      <w:r>
        <w:rPr>
          <w:sz w:val="18"/>
        </w:rPr>
        <w:t>NIQB</w:t>
      </w:r>
      <w:r>
        <w:rPr>
          <w:spacing w:val="-3"/>
          <w:sz w:val="18"/>
        </w:rPr>
        <w:t> </w:t>
      </w:r>
      <w:r>
        <w:rPr>
          <w:sz w:val="18"/>
        </w:rPr>
        <w:t>9,</w:t>
      </w:r>
      <w:r>
        <w:rPr>
          <w:spacing w:val="-4"/>
          <w:sz w:val="18"/>
        </w:rPr>
        <w:t> </w:t>
      </w:r>
      <w:r>
        <w:rPr>
          <w:sz w:val="18"/>
        </w:rPr>
        <w:t>at</w:t>
      </w:r>
      <w:r>
        <w:rPr>
          <w:spacing w:val="-3"/>
          <w:sz w:val="18"/>
        </w:rPr>
        <w:t> </w:t>
      </w:r>
      <w:r>
        <w:rPr>
          <w:sz w:val="18"/>
        </w:rPr>
        <w:t>paras</w:t>
      </w:r>
      <w:r>
        <w:rPr>
          <w:spacing w:val="-4"/>
          <w:sz w:val="18"/>
        </w:rPr>
        <w:t> </w:t>
      </w:r>
      <w:r>
        <w:rPr>
          <w:sz w:val="18"/>
        </w:rPr>
        <w:t>105-</w:t>
      </w:r>
      <w:r>
        <w:rPr>
          <w:spacing w:val="-4"/>
          <w:sz w:val="18"/>
        </w:rPr>
        <w:t>106.</w:t>
      </w:r>
    </w:p>
    <w:p>
      <w:pPr>
        <w:pStyle w:val="ListParagraph"/>
        <w:numPr>
          <w:ilvl w:val="0"/>
          <w:numId w:val="3"/>
        </w:numPr>
        <w:tabs>
          <w:tab w:pos="1853" w:val="left" w:leader="none"/>
        </w:tabs>
        <w:spacing w:line="216" w:lineRule="exact" w:before="0" w:after="0"/>
        <w:ind w:left="1853" w:right="0" w:hanging="720"/>
        <w:jc w:val="left"/>
        <w:rPr>
          <w:sz w:val="18"/>
        </w:rPr>
      </w:pPr>
      <w:r>
        <w:rPr>
          <w:i/>
          <w:sz w:val="18"/>
        </w:rPr>
        <w:t>Society</w:t>
      </w:r>
      <w:r>
        <w:rPr>
          <w:i/>
          <w:spacing w:val="-4"/>
          <w:sz w:val="18"/>
        </w:rPr>
        <w:t> </w:t>
      </w:r>
      <w:r>
        <w:rPr>
          <w:i/>
          <w:sz w:val="18"/>
        </w:rPr>
        <w:t>for</w:t>
      </w:r>
      <w:r>
        <w:rPr>
          <w:i/>
          <w:spacing w:val="-3"/>
          <w:sz w:val="18"/>
        </w:rPr>
        <w:t> </w:t>
      </w:r>
      <w:r>
        <w:rPr>
          <w:i/>
          <w:sz w:val="18"/>
        </w:rPr>
        <w:t>the</w:t>
      </w:r>
      <w:r>
        <w:rPr>
          <w:i/>
          <w:spacing w:val="-3"/>
          <w:sz w:val="18"/>
        </w:rPr>
        <w:t> </w:t>
      </w:r>
      <w:r>
        <w:rPr>
          <w:i/>
          <w:sz w:val="18"/>
        </w:rPr>
        <w:t>Protection</w:t>
      </w:r>
      <w:r>
        <w:rPr>
          <w:i/>
          <w:spacing w:val="-4"/>
          <w:sz w:val="18"/>
        </w:rPr>
        <w:t> </w:t>
      </w:r>
      <w:r>
        <w:rPr>
          <w:i/>
          <w:sz w:val="18"/>
        </w:rPr>
        <w:t>of</w:t>
      </w:r>
      <w:r>
        <w:rPr>
          <w:i/>
          <w:spacing w:val="-4"/>
          <w:sz w:val="18"/>
        </w:rPr>
        <w:t> </w:t>
      </w:r>
      <w:r>
        <w:rPr>
          <w:i/>
          <w:sz w:val="18"/>
        </w:rPr>
        <w:t>the</w:t>
      </w:r>
      <w:r>
        <w:rPr>
          <w:i/>
          <w:spacing w:val="-3"/>
          <w:sz w:val="18"/>
        </w:rPr>
        <w:t> </w:t>
      </w:r>
      <w:r>
        <w:rPr>
          <w:i/>
          <w:sz w:val="18"/>
        </w:rPr>
        <w:t>Unborn</w:t>
      </w:r>
      <w:r>
        <w:rPr>
          <w:i/>
          <w:spacing w:val="-4"/>
          <w:sz w:val="18"/>
        </w:rPr>
        <w:t> </w:t>
      </w:r>
      <w:r>
        <w:rPr>
          <w:i/>
          <w:sz w:val="18"/>
        </w:rPr>
        <w:t>Child</w:t>
      </w:r>
      <w:r>
        <w:rPr>
          <w:i/>
          <w:spacing w:val="-4"/>
          <w:sz w:val="18"/>
        </w:rPr>
        <w:t> </w:t>
      </w:r>
      <w:r>
        <w:rPr>
          <w:i/>
          <w:sz w:val="18"/>
        </w:rPr>
        <w:t>Pro-Life</w:t>
      </w:r>
      <w:r>
        <w:rPr>
          <w:i/>
          <w:spacing w:val="-2"/>
          <w:sz w:val="18"/>
        </w:rPr>
        <w:t> </w:t>
      </w:r>
      <w:r>
        <w:rPr>
          <w:i/>
          <w:sz w:val="18"/>
        </w:rPr>
        <w:t>Ltd</w:t>
      </w:r>
      <w:r>
        <w:rPr>
          <w:i/>
          <w:spacing w:val="-4"/>
          <w:sz w:val="18"/>
        </w:rPr>
        <w:t> </w:t>
      </w:r>
      <w:r>
        <w:rPr>
          <w:i/>
          <w:sz w:val="18"/>
        </w:rPr>
        <w:t>v</w:t>
      </w:r>
      <w:r>
        <w:rPr>
          <w:i/>
          <w:spacing w:val="-3"/>
          <w:sz w:val="18"/>
        </w:rPr>
        <w:t> </w:t>
      </w:r>
      <w:r>
        <w:rPr>
          <w:i/>
          <w:sz w:val="18"/>
        </w:rPr>
        <w:t>Secretary</w:t>
      </w:r>
      <w:r>
        <w:rPr>
          <w:i/>
          <w:spacing w:val="-4"/>
          <w:sz w:val="18"/>
        </w:rPr>
        <w:t> </w:t>
      </w:r>
      <w:r>
        <w:rPr>
          <w:i/>
          <w:sz w:val="18"/>
        </w:rPr>
        <w:t>of</w:t>
      </w:r>
      <w:r>
        <w:rPr>
          <w:i/>
          <w:spacing w:val="-4"/>
          <w:sz w:val="18"/>
        </w:rPr>
        <w:t> </w:t>
      </w:r>
      <w:r>
        <w:rPr>
          <w:i/>
          <w:sz w:val="18"/>
        </w:rPr>
        <w:t>State</w:t>
      </w:r>
      <w:r>
        <w:rPr>
          <w:i/>
          <w:spacing w:val="-3"/>
          <w:sz w:val="18"/>
        </w:rPr>
        <w:t> </w:t>
      </w:r>
      <w:r>
        <w:rPr>
          <w:i/>
          <w:sz w:val="18"/>
        </w:rPr>
        <w:t>for</w:t>
      </w:r>
      <w:r>
        <w:rPr>
          <w:i/>
          <w:spacing w:val="-3"/>
          <w:sz w:val="18"/>
        </w:rPr>
        <w:t> </w:t>
      </w:r>
      <w:r>
        <w:rPr>
          <w:i/>
          <w:sz w:val="18"/>
        </w:rPr>
        <w:t>NI</w:t>
      </w:r>
      <w:r>
        <w:rPr>
          <w:i/>
          <w:spacing w:val="-5"/>
          <w:sz w:val="18"/>
        </w:rPr>
        <w:t> </w:t>
      </w:r>
      <w:r>
        <w:rPr>
          <w:sz w:val="18"/>
        </w:rPr>
        <w:t>[2023]</w:t>
      </w:r>
      <w:r>
        <w:rPr>
          <w:spacing w:val="-3"/>
          <w:sz w:val="18"/>
        </w:rPr>
        <w:t> </w:t>
      </w:r>
      <w:r>
        <w:rPr>
          <w:sz w:val="18"/>
        </w:rPr>
        <w:t>NICA</w:t>
      </w:r>
      <w:r>
        <w:rPr>
          <w:spacing w:val="-2"/>
          <w:sz w:val="18"/>
        </w:rPr>
        <w:t> </w:t>
      </w:r>
      <w:r>
        <w:rPr>
          <w:sz w:val="18"/>
        </w:rPr>
        <w:t>35,</w:t>
      </w:r>
      <w:r>
        <w:rPr>
          <w:spacing w:val="-3"/>
          <w:sz w:val="18"/>
        </w:rPr>
        <w:t> </w:t>
      </w:r>
      <w:r>
        <w:rPr>
          <w:sz w:val="18"/>
        </w:rPr>
        <w:t>at</w:t>
      </w:r>
      <w:r>
        <w:rPr>
          <w:spacing w:val="-3"/>
          <w:sz w:val="18"/>
        </w:rPr>
        <w:t> </w:t>
      </w:r>
      <w:r>
        <w:rPr>
          <w:sz w:val="18"/>
        </w:rPr>
        <w:t>paras</w:t>
      </w:r>
      <w:r>
        <w:rPr>
          <w:spacing w:val="-4"/>
          <w:sz w:val="18"/>
        </w:rPr>
        <w:t> </w:t>
      </w:r>
      <w:r>
        <w:rPr>
          <w:sz w:val="18"/>
        </w:rPr>
        <w:t>57</w:t>
      </w:r>
      <w:r>
        <w:rPr>
          <w:spacing w:val="-3"/>
          <w:sz w:val="18"/>
        </w:rPr>
        <w:t> </w:t>
      </w:r>
      <w:r>
        <w:rPr>
          <w:sz w:val="18"/>
        </w:rPr>
        <w:t>and</w:t>
      </w:r>
      <w:r>
        <w:rPr>
          <w:spacing w:val="-4"/>
          <w:sz w:val="18"/>
        </w:rPr>
        <w:t> </w:t>
      </w:r>
      <w:r>
        <w:rPr>
          <w:spacing w:val="-5"/>
          <w:sz w:val="18"/>
        </w:rPr>
        <w:t>68.</w:t>
      </w:r>
    </w:p>
    <w:p>
      <w:pPr>
        <w:pStyle w:val="ListParagraph"/>
        <w:numPr>
          <w:ilvl w:val="0"/>
          <w:numId w:val="3"/>
        </w:numPr>
        <w:tabs>
          <w:tab w:pos="1853" w:val="left" w:leader="none"/>
        </w:tabs>
        <w:spacing w:line="235" w:lineRule="auto" w:before="2" w:after="0"/>
        <w:ind w:left="1853" w:right="1169" w:hanging="720"/>
        <w:jc w:val="left"/>
        <w:rPr>
          <w:sz w:val="18"/>
        </w:rPr>
      </w:pPr>
      <w:hyperlink r:id="rId103">
        <w:r>
          <w:rPr>
            <w:sz w:val="18"/>
          </w:rPr>
          <w:t>EU Parliament, ‘Resolution</w:t>
        </w:r>
      </w:hyperlink>
      <w:r>
        <w:rPr>
          <w:sz w:val="18"/>
        </w:rPr>
        <w:t> on the implementation of Council Directive </w:t>
      </w:r>
      <w:hyperlink r:id="rId104">
        <w:r>
          <w:rPr>
            <w:sz w:val="18"/>
          </w:rPr>
          <w:t>2000/78/EC</w:t>
        </w:r>
      </w:hyperlink>
      <w:r>
        <w:rPr>
          <w:sz w:val="18"/>
        </w:rPr>
        <w:t> establishing a general framework for equal treatment in employment and occupation in light of the UN CRPD’, 10 March 2021 (2021) OJ C 474/04</w:t>
      </w:r>
      <w:r>
        <w:rPr>
          <w:sz w:val="18"/>
          <w:u w:val="single" w:color="0562C1"/>
        </w:rPr>
        <w:t>;</w:t>
      </w:r>
      <w:r>
        <w:rPr>
          <w:sz w:val="18"/>
          <w:u w:val="none"/>
        </w:rPr>
        <w:t> Directive 2000/78/EC, ‘EU Council Directive on Establishing a General Framework for Equal Treatment in Employment and Occupation’,</w:t>
      </w:r>
      <w:r>
        <w:rPr>
          <w:spacing w:val="-1"/>
          <w:sz w:val="18"/>
          <w:u w:val="none"/>
        </w:rPr>
        <w:t> </w:t>
      </w:r>
      <w:r>
        <w:rPr>
          <w:sz w:val="18"/>
          <w:u w:val="none"/>
        </w:rPr>
        <w:t>27</w:t>
      </w:r>
      <w:r>
        <w:rPr>
          <w:spacing w:val="-1"/>
          <w:sz w:val="18"/>
          <w:u w:val="none"/>
        </w:rPr>
        <w:t> </w:t>
      </w:r>
      <w:r>
        <w:rPr>
          <w:sz w:val="18"/>
          <w:u w:val="none"/>
        </w:rPr>
        <w:t>November</w:t>
      </w:r>
      <w:r>
        <w:rPr>
          <w:spacing w:val="-1"/>
          <w:sz w:val="18"/>
          <w:u w:val="none"/>
        </w:rPr>
        <w:t> </w:t>
      </w:r>
      <w:r>
        <w:rPr>
          <w:sz w:val="18"/>
          <w:u w:val="none"/>
        </w:rPr>
        <w:t>2000.</w:t>
      </w:r>
      <w:r>
        <w:rPr>
          <w:spacing w:val="-2"/>
          <w:sz w:val="18"/>
          <w:u w:val="none"/>
        </w:rPr>
        <w:t> </w:t>
      </w:r>
      <w:r>
        <w:rPr>
          <w:sz w:val="18"/>
          <w:u w:val="none"/>
        </w:rPr>
        <w:t>See</w:t>
      </w:r>
      <w:r>
        <w:rPr>
          <w:spacing w:val="-1"/>
          <w:sz w:val="18"/>
          <w:u w:val="none"/>
        </w:rPr>
        <w:t> </w:t>
      </w:r>
      <w:r>
        <w:rPr>
          <w:sz w:val="18"/>
          <w:u w:val="none"/>
        </w:rPr>
        <w:t>Sarah</w:t>
      </w:r>
      <w:r>
        <w:rPr>
          <w:spacing w:val="-2"/>
          <w:sz w:val="18"/>
          <w:u w:val="none"/>
        </w:rPr>
        <w:t> </w:t>
      </w:r>
      <w:r>
        <w:rPr>
          <w:sz w:val="18"/>
          <w:u w:val="none"/>
        </w:rPr>
        <w:t>Craig,</w:t>
      </w:r>
      <w:r>
        <w:rPr>
          <w:spacing w:val="-1"/>
          <w:sz w:val="18"/>
          <w:u w:val="none"/>
        </w:rPr>
        <w:t> </w:t>
      </w:r>
      <w:r>
        <w:rPr>
          <w:sz w:val="18"/>
          <w:u w:val="none"/>
        </w:rPr>
        <w:t>Anurag</w:t>
      </w:r>
      <w:r>
        <w:rPr>
          <w:spacing w:val="-1"/>
          <w:sz w:val="18"/>
          <w:u w:val="none"/>
        </w:rPr>
        <w:t> </w:t>
      </w:r>
      <w:r>
        <w:rPr>
          <w:sz w:val="18"/>
          <w:u w:val="none"/>
        </w:rPr>
        <w:t>Deb,</w:t>
      </w:r>
      <w:r>
        <w:rPr>
          <w:spacing w:val="-1"/>
          <w:sz w:val="18"/>
          <w:u w:val="none"/>
        </w:rPr>
        <w:t> </w:t>
      </w:r>
      <w:r>
        <w:rPr>
          <w:sz w:val="18"/>
          <w:u w:val="none"/>
        </w:rPr>
        <w:t>Eleni</w:t>
      </w:r>
      <w:r>
        <w:rPr>
          <w:spacing w:val="-2"/>
          <w:sz w:val="18"/>
          <w:u w:val="none"/>
        </w:rPr>
        <w:t> </w:t>
      </w:r>
      <w:r>
        <w:rPr>
          <w:sz w:val="18"/>
          <w:u w:val="none"/>
        </w:rPr>
        <w:t>Frantziou,</w:t>
      </w:r>
      <w:r>
        <w:rPr>
          <w:spacing w:val="-1"/>
          <w:sz w:val="18"/>
          <w:u w:val="none"/>
        </w:rPr>
        <w:t> </w:t>
      </w:r>
      <w:r>
        <w:rPr>
          <w:sz w:val="18"/>
          <w:u w:val="none"/>
        </w:rPr>
        <w:t>Alexander</w:t>
      </w:r>
      <w:r>
        <w:rPr>
          <w:spacing w:val="-1"/>
          <w:sz w:val="18"/>
          <w:u w:val="none"/>
        </w:rPr>
        <w:t> </w:t>
      </w:r>
      <w:r>
        <w:rPr>
          <w:sz w:val="18"/>
          <w:u w:val="none"/>
        </w:rPr>
        <w:t>Horne,</w:t>
      </w:r>
      <w:r>
        <w:rPr>
          <w:spacing w:val="-1"/>
          <w:sz w:val="18"/>
          <w:u w:val="none"/>
        </w:rPr>
        <w:t> </w:t>
      </w:r>
      <w:r>
        <w:rPr>
          <w:sz w:val="18"/>
          <w:u w:val="none"/>
        </w:rPr>
        <w:t>Colin</w:t>
      </w:r>
      <w:r>
        <w:rPr>
          <w:spacing w:val="-2"/>
          <w:sz w:val="18"/>
          <w:u w:val="none"/>
        </w:rPr>
        <w:t> </w:t>
      </w:r>
      <w:r>
        <w:rPr>
          <w:sz w:val="18"/>
          <w:u w:val="none"/>
        </w:rPr>
        <w:t>Murray,</w:t>
      </w:r>
      <w:r>
        <w:rPr>
          <w:spacing w:val="-1"/>
          <w:sz w:val="18"/>
          <w:u w:val="none"/>
        </w:rPr>
        <w:t> </w:t>
      </w:r>
      <w:r>
        <w:rPr>
          <w:sz w:val="18"/>
          <w:u w:val="none"/>
        </w:rPr>
        <w:t>Clare</w:t>
      </w:r>
      <w:r>
        <w:rPr>
          <w:spacing w:val="-1"/>
          <w:sz w:val="18"/>
          <w:u w:val="none"/>
        </w:rPr>
        <w:t> </w:t>
      </w:r>
      <w:r>
        <w:rPr>
          <w:sz w:val="18"/>
          <w:u w:val="none"/>
        </w:rPr>
        <w:t>Rice and</w:t>
      </w:r>
      <w:r>
        <w:rPr>
          <w:spacing w:val="-6"/>
          <w:sz w:val="18"/>
          <w:u w:val="none"/>
        </w:rPr>
        <w:t> </w:t>
      </w:r>
      <w:r>
        <w:rPr>
          <w:sz w:val="18"/>
          <w:u w:val="none"/>
        </w:rPr>
        <w:t>Jane</w:t>
      </w:r>
      <w:r>
        <w:rPr>
          <w:spacing w:val="-6"/>
          <w:sz w:val="18"/>
          <w:u w:val="none"/>
        </w:rPr>
        <w:t> </w:t>
      </w:r>
      <w:r>
        <w:rPr>
          <w:sz w:val="18"/>
          <w:u w:val="none"/>
        </w:rPr>
        <w:t>Rooney,</w:t>
      </w:r>
      <w:r>
        <w:rPr>
          <w:spacing w:val="-6"/>
          <w:sz w:val="18"/>
          <w:u w:val="none"/>
        </w:rPr>
        <w:t> </w:t>
      </w:r>
      <w:r>
        <w:rPr>
          <w:sz w:val="18"/>
          <w:u w:val="none"/>
        </w:rPr>
        <w:t>‘</w:t>
      </w:r>
      <w:hyperlink r:id="rId75">
        <w:r>
          <w:rPr>
            <w:sz w:val="18"/>
            <w:u w:val="none"/>
          </w:rPr>
          <w:t>European</w:t>
        </w:r>
        <w:r>
          <w:rPr>
            <w:spacing w:val="-6"/>
            <w:sz w:val="18"/>
            <w:u w:val="none"/>
          </w:rPr>
          <w:t> </w:t>
        </w:r>
        <w:r>
          <w:rPr>
            <w:sz w:val="18"/>
            <w:u w:val="none"/>
          </w:rPr>
          <w:t>Union</w:t>
        </w:r>
        <w:r>
          <w:rPr>
            <w:spacing w:val="-6"/>
            <w:sz w:val="18"/>
            <w:u w:val="none"/>
          </w:rPr>
          <w:t> </w:t>
        </w:r>
        <w:r>
          <w:rPr>
            <w:sz w:val="18"/>
            <w:u w:val="none"/>
          </w:rPr>
          <w:t>developments</w:t>
        </w:r>
        <w:r>
          <w:rPr>
            <w:spacing w:val="-6"/>
            <w:sz w:val="18"/>
            <w:u w:val="none"/>
          </w:rPr>
          <w:t> </w:t>
        </w:r>
        <w:r>
          <w:rPr>
            <w:sz w:val="18"/>
            <w:u w:val="none"/>
          </w:rPr>
          <w:t>in</w:t>
        </w:r>
        <w:r>
          <w:rPr>
            <w:spacing w:val="-6"/>
            <w:sz w:val="18"/>
            <w:u w:val="none"/>
          </w:rPr>
          <w:t> </w:t>
        </w:r>
        <w:r>
          <w:rPr>
            <w:sz w:val="18"/>
            <w:u w:val="none"/>
          </w:rPr>
          <w:t>Equality</w:t>
        </w:r>
        <w:r>
          <w:rPr>
            <w:spacing w:val="-6"/>
            <w:sz w:val="18"/>
            <w:u w:val="none"/>
          </w:rPr>
          <w:t> </w:t>
        </w:r>
        <w:r>
          <w:rPr>
            <w:sz w:val="18"/>
            <w:u w:val="none"/>
          </w:rPr>
          <w:t>and</w:t>
        </w:r>
        <w:r>
          <w:rPr>
            <w:spacing w:val="-6"/>
            <w:sz w:val="18"/>
            <w:u w:val="none"/>
          </w:rPr>
          <w:t> </w:t>
        </w:r>
        <w:r>
          <w:rPr>
            <w:sz w:val="18"/>
            <w:u w:val="none"/>
          </w:rPr>
          <w:t>Human</w:t>
        </w:r>
        <w:r>
          <w:rPr>
            <w:spacing w:val="-6"/>
            <w:sz w:val="18"/>
            <w:u w:val="none"/>
          </w:rPr>
          <w:t> </w:t>
        </w:r>
        <w:r>
          <w:rPr>
            <w:sz w:val="18"/>
            <w:u w:val="none"/>
          </w:rPr>
          <w:t>Rights:</w:t>
        </w:r>
        <w:r>
          <w:rPr>
            <w:spacing w:val="-6"/>
            <w:sz w:val="18"/>
            <w:u w:val="none"/>
          </w:rPr>
          <w:t> </w:t>
        </w:r>
        <w:r>
          <w:rPr>
            <w:sz w:val="18"/>
            <w:u w:val="none"/>
          </w:rPr>
          <w:t>The</w:t>
        </w:r>
        <w:r>
          <w:rPr>
            <w:spacing w:val="-6"/>
            <w:sz w:val="18"/>
            <w:u w:val="none"/>
          </w:rPr>
          <w:t> </w:t>
        </w:r>
        <w:r>
          <w:rPr>
            <w:sz w:val="18"/>
            <w:u w:val="none"/>
          </w:rPr>
          <w:t>Impact</w:t>
        </w:r>
        <w:r>
          <w:rPr>
            <w:spacing w:val="-6"/>
            <w:sz w:val="18"/>
            <w:u w:val="none"/>
          </w:rPr>
          <w:t> </w:t>
        </w:r>
        <w:r>
          <w:rPr>
            <w:sz w:val="18"/>
            <w:u w:val="none"/>
          </w:rPr>
          <w:t>of</w:t>
        </w:r>
        <w:r>
          <w:rPr>
            <w:spacing w:val="-6"/>
            <w:sz w:val="18"/>
            <w:u w:val="none"/>
          </w:rPr>
          <w:t> </w:t>
        </w:r>
        <w:r>
          <w:rPr>
            <w:sz w:val="18"/>
            <w:u w:val="none"/>
          </w:rPr>
          <w:t>Brexit</w:t>
        </w:r>
        <w:r>
          <w:rPr>
            <w:spacing w:val="-6"/>
            <w:sz w:val="18"/>
            <w:u w:val="none"/>
          </w:rPr>
          <w:t> </w:t>
        </w:r>
        <w:r>
          <w:rPr>
            <w:sz w:val="18"/>
            <w:u w:val="none"/>
          </w:rPr>
          <w:t>on</w:t>
        </w:r>
        <w:r>
          <w:rPr>
            <w:spacing w:val="-6"/>
            <w:sz w:val="18"/>
            <w:u w:val="none"/>
          </w:rPr>
          <w:t> </w:t>
        </w:r>
        <w:r>
          <w:rPr>
            <w:sz w:val="18"/>
            <w:u w:val="none"/>
          </w:rPr>
          <w:t>the</w:t>
        </w:r>
        <w:r>
          <w:rPr>
            <w:spacing w:val="-6"/>
            <w:sz w:val="18"/>
            <w:u w:val="none"/>
          </w:rPr>
          <w:t> </w:t>
        </w:r>
        <w:r>
          <w:rPr>
            <w:sz w:val="18"/>
            <w:u w:val="none"/>
          </w:rPr>
          <w:t>divergence</w:t>
        </w:r>
        <w:r>
          <w:rPr>
            <w:spacing w:val="-6"/>
            <w:sz w:val="18"/>
            <w:u w:val="none"/>
          </w:rPr>
          <w:t> </w:t>
        </w:r>
        <w:r>
          <w:rPr>
            <w:sz w:val="18"/>
            <w:u w:val="none"/>
          </w:rPr>
          <w:t>of</w:t>
        </w:r>
      </w:hyperlink>
      <w:r>
        <w:rPr>
          <w:sz w:val="18"/>
          <w:u w:val="none"/>
        </w:rPr>
        <w:t> </w:t>
      </w:r>
      <w:hyperlink r:id="rId75">
        <w:r>
          <w:rPr>
            <w:sz w:val="18"/>
            <w:u w:val="none"/>
          </w:rPr>
          <w:t>rights and best practice on the island of Ireland</w:t>
        </w:r>
      </w:hyperlink>
      <w:r>
        <w:rPr>
          <w:sz w:val="18"/>
          <w:u w:val="none"/>
        </w:rPr>
        <w:t>’ (ECNI, NIHRC and IHREC, 2022).</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301"/>
      </w:pPr>
      <w:r>
        <w:rPr/>
        <w:t>Scottish Human Rights Commission,</w:t>
      </w:r>
      <w:r>
        <w:rPr>
          <w:vertAlign w:val="superscript"/>
        </w:rPr>
        <w:t>214</w:t>
      </w:r>
      <w:r>
        <w:rPr>
          <w:vertAlign w:val="baseline"/>
        </w:rPr>
        <w:t> made a submission to the UN CPRD Committee.</w:t>
      </w:r>
      <w:r>
        <w:rPr>
          <w:vertAlign w:val="superscript"/>
        </w:rPr>
        <w:t>215</w:t>
      </w:r>
      <w:r>
        <w:rPr>
          <w:spacing w:val="40"/>
          <w:vertAlign w:val="baseline"/>
        </w:rPr>
        <w:t> </w:t>
      </w:r>
      <w:r>
        <w:rPr>
          <w:vertAlign w:val="baseline"/>
        </w:rPr>
        <w:t>The report highlighted the continued relevance of the UN CRPD in relation to Windsor Framework Article 2 and implementation gaps and</w:t>
      </w:r>
      <w:r>
        <w:rPr>
          <w:spacing w:val="-7"/>
          <w:vertAlign w:val="baseline"/>
        </w:rPr>
        <w:t> </w:t>
      </w:r>
      <w:r>
        <w:rPr>
          <w:vertAlign w:val="baseline"/>
        </w:rPr>
        <w:t>key</w:t>
      </w:r>
      <w:r>
        <w:rPr>
          <w:spacing w:val="-6"/>
          <w:vertAlign w:val="baseline"/>
        </w:rPr>
        <w:t> </w:t>
      </w:r>
      <w:r>
        <w:rPr>
          <w:vertAlign w:val="baseline"/>
        </w:rPr>
        <w:t>issues</w:t>
      </w:r>
      <w:r>
        <w:rPr>
          <w:spacing w:val="-7"/>
          <w:vertAlign w:val="baseline"/>
        </w:rPr>
        <w:t> </w:t>
      </w:r>
      <w:r>
        <w:rPr>
          <w:vertAlign w:val="baseline"/>
        </w:rPr>
        <w:t>in</w:t>
      </w:r>
      <w:r>
        <w:rPr>
          <w:spacing w:val="-7"/>
          <w:vertAlign w:val="baseline"/>
        </w:rPr>
        <w:t> </w:t>
      </w:r>
      <w:r>
        <w:rPr>
          <w:vertAlign w:val="baseline"/>
        </w:rPr>
        <w:t>several</w:t>
      </w:r>
      <w:r>
        <w:rPr>
          <w:spacing w:val="-7"/>
          <w:vertAlign w:val="baseline"/>
        </w:rPr>
        <w:t> </w:t>
      </w:r>
      <w:r>
        <w:rPr>
          <w:vertAlign w:val="baseline"/>
        </w:rPr>
        <w:t>areas.</w:t>
      </w:r>
      <w:r>
        <w:rPr>
          <w:spacing w:val="-7"/>
          <w:vertAlign w:val="baseline"/>
        </w:rPr>
        <w:t> </w:t>
      </w:r>
      <w:r>
        <w:rPr>
          <w:vertAlign w:val="baseline"/>
        </w:rPr>
        <w:t>These</w:t>
      </w:r>
      <w:r>
        <w:rPr>
          <w:spacing w:val="-6"/>
          <w:vertAlign w:val="baseline"/>
        </w:rPr>
        <w:t> </w:t>
      </w:r>
      <w:r>
        <w:rPr>
          <w:vertAlign w:val="baseline"/>
        </w:rPr>
        <w:t>included</w:t>
      </w:r>
      <w:r>
        <w:rPr>
          <w:spacing w:val="-7"/>
          <w:vertAlign w:val="baseline"/>
        </w:rPr>
        <w:t> </w:t>
      </w:r>
      <w:r>
        <w:rPr>
          <w:vertAlign w:val="baseline"/>
        </w:rPr>
        <w:t>concerns</w:t>
      </w:r>
      <w:r>
        <w:rPr>
          <w:spacing w:val="-7"/>
          <w:vertAlign w:val="baseline"/>
        </w:rPr>
        <w:t> </w:t>
      </w:r>
      <w:r>
        <w:rPr>
          <w:vertAlign w:val="baseline"/>
        </w:rPr>
        <w:t>about</w:t>
      </w:r>
      <w:r>
        <w:rPr>
          <w:spacing w:val="-6"/>
          <w:vertAlign w:val="baseline"/>
        </w:rPr>
        <w:t> </w:t>
      </w:r>
      <w:r>
        <w:rPr>
          <w:vertAlign w:val="baseline"/>
        </w:rPr>
        <w:t>slow</w:t>
      </w:r>
      <w:r>
        <w:rPr>
          <w:spacing w:val="-6"/>
          <w:vertAlign w:val="baseline"/>
        </w:rPr>
        <w:t> </w:t>
      </w:r>
      <w:r>
        <w:rPr>
          <w:vertAlign w:val="baseline"/>
        </w:rPr>
        <w:t>progress implementing previous UN CRPD Committee recommendations; lack of meaningful engagement between governments and disabled people; and limited</w:t>
      </w:r>
      <w:r>
        <w:rPr>
          <w:spacing w:val="-4"/>
          <w:vertAlign w:val="baseline"/>
        </w:rPr>
        <w:t> </w:t>
      </w:r>
      <w:r>
        <w:rPr>
          <w:vertAlign w:val="baseline"/>
        </w:rPr>
        <w:t>availability</w:t>
      </w:r>
      <w:r>
        <w:rPr>
          <w:spacing w:val="-3"/>
          <w:vertAlign w:val="baseline"/>
        </w:rPr>
        <w:t> </w:t>
      </w:r>
      <w:r>
        <w:rPr>
          <w:vertAlign w:val="baseline"/>
        </w:rPr>
        <w:t>of</w:t>
      </w:r>
      <w:r>
        <w:rPr>
          <w:spacing w:val="-4"/>
          <w:vertAlign w:val="baseline"/>
        </w:rPr>
        <w:t> </w:t>
      </w:r>
      <w:r>
        <w:rPr>
          <w:vertAlign w:val="baseline"/>
        </w:rPr>
        <w:t>official</w:t>
      </w:r>
      <w:r>
        <w:rPr>
          <w:spacing w:val="-4"/>
          <w:vertAlign w:val="baseline"/>
        </w:rPr>
        <w:t> </w:t>
      </w:r>
      <w:r>
        <w:rPr>
          <w:vertAlign w:val="baseline"/>
        </w:rPr>
        <w:t>data</w:t>
      </w:r>
      <w:r>
        <w:rPr>
          <w:spacing w:val="-4"/>
          <w:vertAlign w:val="baseline"/>
        </w:rPr>
        <w:t> </w:t>
      </w:r>
      <w:r>
        <w:rPr>
          <w:vertAlign w:val="baseline"/>
        </w:rPr>
        <w:t>that</w:t>
      </w:r>
      <w:r>
        <w:rPr>
          <w:spacing w:val="-3"/>
          <w:vertAlign w:val="baseline"/>
        </w:rPr>
        <w:t> </w:t>
      </w:r>
      <w:r>
        <w:rPr>
          <w:vertAlign w:val="baseline"/>
        </w:rPr>
        <w:t>reflects</w:t>
      </w:r>
      <w:r>
        <w:rPr>
          <w:spacing w:val="-4"/>
          <w:vertAlign w:val="baseline"/>
        </w:rPr>
        <w:t> </w:t>
      </w:r>
      <w:r>
        <w:rPr>
          <w:vertAlign w:val="baseline"/>
        </w:rPr>
        <w:t>the</w:t>
      </w:r>
      <w:r>
        <w:rPr>
          <w:spacing w:val="-3"/>
          <w:vertAlign w:val="baseline"/>
        </w:rPr>
        <w:t> </w:t>
      </w:r>
      <w:r>
        <w:rPr>
          <w:vertAlign w:val="baseline"/>
        </w:rPr>
        <w:t>intersectional</w:t>
      </w:r>
      <w:r>
        <w:rPr>
          <w:spacing w:val="-4"/>
          <w:vertAlign w:val="baseline"/>
        </w:rPr>
        <w:t> </w:t>
      </w:r>
      <w:r>
        <w:rPr>
          <w:vertAlign w:val="baseline"/>
        </w:rPr>
        <w:t>experiences and outcomes for disabled people.</w:t>
      </w:r>
      <w:r>
        <w:rPr>
          <w:vertAlign w:val="superscript"/>
        </w:rPr>
        <w:t>216</w:t>
      </w:r>
    </w:p>
    <w:p>
      <w:pPr>
        <w:pStyle w:val="ListParagraph"/>
        <w:numPr>
          <w:ilvl w:val="1"/>
          <w:numId w:val="7"/>
        </w:numPr>
        <w:tabs>
          <w:tab w:pos="1853" w:val="left" w:leader="none"/>
        </w:tabs>
        <w:spacing w:line="225" w:lineRule="auto" w:before="310" w:after="0"/>
        <w:ind w:left="1853" w:right="1161" w:hanging="720"/>
        <w:jc w:val="left"/>
        <w:rPr>
          <w:sz w:val="28"/>
        </w:rPr>
      </w:pPr>
      <w:r>
        <w:rPr>
          <w:sz w:val="28"/>
        </w:rPr>
        <w:t>In</w:t>
      </w:r>
      <w:r>
        <w:rPr>
          <w:spacing w:val="-7"/>
          <w:sz w:val="28"/>
        </w:rPr>
        <w:t> </w:t>
      </w:r>
      <w:r>
        <w:rPr>
          <w:sz w:val="28"/>
        </w:rPr>
        <w:t>March</w:t>
      </w:r>
      <w:r>
        <w:rPr>
          <w:spacing w:val="-7"/>
          <w:sz w:val="28"/>
        </w:rPr>
        <w:t> </w:t>
      </w:r>
      <w:r>
        <w:rPr>
          <w:sz w:val="28"/>
        </w:rPr>
        <w:t>2024,</w:t>
      </w:r>
      <w:r>
        <w:rPr>
          <w:spacing w:val="-6"/>
          <w:sz w:val="28"/>
        </w:rPr>
        <w:t> </w:t>
      </w:r>
      <w:r>
        <w:rPr>
          <w:sz w:val="28"/>
        </w:rPr>
        <w:t>the</w:t>
      </w:r>
      <w:r>
        <w:rPr>
          <w:spacing w:val="-6"/>
          <w:sz w:val="28"/>
        </w:rPr>
        <w:t> </w:t>
      </w:r>
      <w:r>
        <w:rPr>
          <w:sz w:val="28"/>
        </w:rPr>
        <w:t>UK</w:t>
      </w:r>
      <w:r>
        <w:rPr>
          <w:spacing w:val="-6"/>
          <w:sz w:val="28"/>
        </w:rPr>
        <w:t> </w:t>
      </w:r>
      <w:r>
        <w:rPr>
          <w:sz w:val="28"/>
        </w:rPr>
        <w:t>Independent</w:t>
      </w:r>
      <w:r>
        <w:rPr>
          <w:spacing w:val="-6"/>
          <w:sz w:val="28"/>
        </w:rPr>
        <w:t> </w:t>
      </w:r>
      <w:r>
        <w:rPr>
          <w:sz w:val="28"/>
        </w:rPr>
        <w:t>Monitoring</w:t>
      </w:r>
      <w:r>
        <w:rPr>
          <w:spacing w:val="-6"/>
          <w:sz w:val="28"/>
        </w:rPr>
        <w:t> </w:t>
      </w:r>
      <w:r>
        <w:rPr>
          <w:sz w:val="28"/>
        </w:rPr>
        <w:t>Mechanism</w:t>
      </w:r>
      <w:r>
        <w:rPr>
          <w:spacing w:val="-6"/>
          <w:sz w:val="28"/>
        </w:rPr>
        <w:t> </w:t>
      </w:r>
      <w:r>
        <w:rPr>
          <w:sz w:val="28"/>
        </w:rPr>
        <w:t>submitted</w:t>
      </w:r>
      <w:r>
        <w:rPr>
          <w:spacing w:val="-7"/>
          <w:sz w:val="28"/>
        </w:rPr>
        <w:t> </w:t>
      </w:r>
      <w:r>
        <w:rPr>
          <w:sz w:val="28"/>
        </w:rPr>
        <w:t>further written evidence to the UN CRPD Committee to inform its inquiry review into the UK. The letter highlighted concerns that changes in the Data Protection and Digital Information Bill may result in a diminution of rights contrary to Windsor Framework Article 2 and that the use of automated decision-making within the social security system may impact on individuals’ human rights.</w:t>
      </w:r>
      <w:r>
        <w:rPr>
          <w:sz w:val="28"/>
          <w:vertAlign w:val="superscript"/>
        </w:rPr>
        <w:t>217</w:t>
      </w:r>
    </w:p>
    <w:p>
      <w:pPr>
        <w:pStyle w:val="Heading6"/>
        <w:spacing w:before="296"/>
        <w:rPr>
          <w:i/>
        </w:rPr>
      </w:pPr>
      <w:r>
        <w:rPr>
          <w:i/>
          <w:color w:val="67287F"/>
        </w:rPr>
        <w:t>Disability</w:t>
      </w:r>
      <w:r>
        <w:rPr>
          <w:i/>
          <w:color w:val="67287F"/>
          <w:spacing w:val="-10"/>
        </w:rPr>
        <w:t> </w:t>
      </w:r>
      <w:r>
        <w:rPr>
          <w:i/>
          <w:color w:val="67287F"/>
          <w:spacing w:val="-2"/>
        </w:rPr>
        <w:t>Strategy</w:t>
      </w:r>
    </w:p>
    <w:p>
      <w:pPr>
        <w:pStyle w:val="ListParagraph"/>
        <w:numPr>
          <w:ilvl w:val="1"/>
          <w:numId w:val="7"/>
        </w:numPr>
        <w:tabs>
          <w:tab w:pos="1853" w:val="left" w:leader="none"/>
        </w:tabs>
        <w:spacing w:line="225" w:lineRule="auto" w:before="5" w:after="0"/>
        <w:ind w:left="1853" w:right="1182" w:hanging="720"/>
        <w:jc w:val="left"/>
        <w:rPr>
          <w:sz w:val="28"/>
        </w:rPr>
      </w:pPr>
      <w:r>
        <w:rPr>
          <w:sz w:val="28"/>
        </w:rPr>
        <w:t>Following</w:t>
      </w:r>
      <w:r>
        <w:rPr>
          <w:spacing w:val="-6"/>
          <w:sz w:val="28"/>
        </w:rPr>
        <w:t> </w:t>
      </w:r>
      <w:r>
        <w:rPr>
          <w:sz w:val="28"/>
        </w:rPr>
        <w:t>the</w:t>
      </w:r>
      <w:r>
        <w:rPr>
          <w:spacing w:val="-6"/>
          <w:sz w:val="28"/>
        </w:rPr>
        <w:t> </w:t>
      </w:r>
      <w:r>
        <w:rPr>
          <w:sz w:val="28"/>
        </w:rPr>
        <w:t>New</w:t>
      </w:r>
      <w:r>
        <w:rPr>
          <w:spacing w:val="-6"/>
          <w:sz w:val="28"/>
        </w:rPr>
        <w:t> </w:t>
      </w:r>
      <w:r>
        <w:rPr>
          <w:sz w:val="28"/>
        </w:rPr>
        <w:t>Decade,</w:t>
      </w:r>
      <w:r>
        <w:rPr>
          <w:spacing w:val="-6"/>
          <w:sz w:val="28"/>
        </w:rPr>
        <w:t> </w:t>
      </w:r>
      <w:r>
        <w:rPr>
          <w:sz w:val="28"/>
        </w:rPr>
        <w:t>New</w:t>
      </w:r>
      <w:r>
        <w:rPr>
          <w:spacing w:val="-6"/>
          <w:sz w:val="28"/>
        </w:rPr>
        <w:t> </w:t>
      </w:r>
      <w:r>
        <w:rPr>
          <w:sz w:val="28"/>
        </w:rPr>
        <w:t>Approach</w:t>
      </w:r>
      <w:r>
        <w:rPr>
          <w:spacing w:val="-6"/>
          <w:sz w:val="28"/>
        </w:rPr>
        <w:t> </w:t>
      </w:r>
      <w:r>
        <w:rPr>
          <w:sz w:val="28"/>
        </w:rPr>
        <w:t>commitment</w:t>
      </w:r>
      <w:r>
        <w:rPr>
          <w:spacing w:val="-6"/>
          <w:sz w:val="28"/>
        </w:rPr>
        <w:t> </w:t>
      </w:r>
      <w:r>
        <w:rPr>
          <w:sz w:val="28"/>
        </w:rPr>
        <w:t>to</w:t>
      </w:r>
      <w:r>
        <w:rPr>
          <w:spacing w:val="-6"/>
          <w:sz w:val="28"/>
        </w:rPr>
        <w:t> </w:t>
      </w:r>
      <w:r>
        <w:rPr>
          <w:sz w:val="28"/>
        </w:rPr>
        <w:t>publish</w:t>
      </w:r>
      <w:r>
        <w:rPr>
          <w:spacing w:val="-6"/>
          <w:sz w:val="28"/>
        </w:rPr>
        <w:t> </w:t>
      </w:r>
      <w:r>
        <w:rPr>
          <w:sz w:val="28"/>
        </w:rPr>
        <w:t>a</w:t>
      </w:r>
      <w:r>
        <w:rPr>
          <w:spacing w:val="-6"/>
          <w:sz w:val="28"/>
        </w:rPr>
        <w:t> </w:t>
      </w:r>
      <w:r>
        <w:rPr>
          <w:sz w:val="28"/>
        </w:rPr>
        <w:t>Disability Strategy, the Department for Communities</w:t>
      </w:r>
      <w:r>
        <w:rPr>
          <w:spacing w:val="-1"/>
          <w:sz w:val="28"/>
        </w:rPr>
        <w:t> </w:t>
      </w:r>
      <w:r>
        <w:rPr>
          <w:sz w:val="28"/>
        </w:rPr>
        <w:t>has</w:t>
      </w:r>
      <w:r>
        <w:rPr>
          <w:spacing w:val="-1"/>
          <w:sz w:val="28"/>
        </w:rPr>
        <w:t> </w:t>
      </w:r>
      <w:r>
        <w:rPr>
          <w:sz w:val="28"/>
        </w:rPr>
        <w:t>adopted</w:t>
      </w:r>
      <w:r>
        <w:rPr>
          <w:spacing w:val="-1"/>
          <w:sz w:val="28"/>
        </w:rPr>
        <w:t> </w:t>
      </w:r>
      <w:r>
        <w:rPr>
          <w:sz w:val="28"/>
        </w:rPr>
        <w:t>a</w:t>
      </w:r>
      <w:r>
        <w:rPr>
          <w:spacing w:val="-1"/>
          <w:sz w:val="28"/>
        </w:rPr>
        <w:t> </w:t>
      </w:r>
      <w:r>
        <w:rPr>
          <w:sz w:val="28"/>
        </w:rPr>
        <w:t>co-design</w:t>
      </w:r>
      <w:r>
        <w:rPr>
          <w:spacing w:val="-1"/>
          <w:sz w:val="28"/>
        </w:rPr>
        <w:t> </w:t>
      </w:r>
      <w:r>
        <w:rPr>
          <w:sz w:val="28"/>
        </w:rPr>
        <w:t>approach to its development. The Commissions have highlighted, among other equality and human rights considerations, the need to embed consideration of Article 2 into the Strategy. The public consultation on the Disability Strategy was due to take place in early 2022, but this process has been delayed.</w:t>
      </w:r>
      <w:r>
        <w:rPr>
          <w:spacing w:val="40"/>
          <w:sz w:val="28"/>
        </w:rPr>
        <w:t> </w:t>
      </w:r>
      <w:r>
        <w:rPr>
          <w:sz w:val="28"/>
        </w:rPr>
        <w:t>In February 2024, the Minister was considering next steps on the development of the </w:t>
      </w:r>
      <w:r>
        <w:rPr>
          <w:spacing w:val="-2"/>
          <w:sz w:val="28"/>
        </w:rPr>
        <w:t>strategy.</w:t>
      </w:r>
      <w:r>
        <w:rPr>
          <w:spacing w:val="-2"/>
          <w:sz w:val="28"/>
          <w:vertAlign w:val="superscript"/>
        </w:rPr>
        <w:t>218</w:t>
      </w:r>
    </w:p>
    <w:p>
      <w:pPr>
        <w:pStyle w:val="Heading6"/>
        <w:spacing w:before="294"/>
        <w:rPr>
          <w:i/>
        </w:rPr>
      </w:pPr>
      <w:r>
        <w:rPr>
          <w:i/>
          <w:color w:val="67287F"/>
        </w:rPr>
        <w:t>CJEU</w:t>
      </w:r>
      <w:r>
        <w:rPr>
          <w:i/>
          <w:color w:val="67287F"/>
          <w:spacing w:val="-5"/>
        </w:rPr>
        <w:t> </w:t>
      </w:r>
      <w:r>
        <w:rPr>
          <w:i/>
          <w:color w:val="67287F"/>
        </w:rPr>
        <w:t>Developments</w:t>
      </w:r>
      <w:r>
        <w:rPr>
          <w:i/>
          <w:color w:val="67287F"/>
          <w:spacing w:val="-6"/>
        </w:rPr>
        <w:t> </w:t>
      </w:r>
      <w:r>
        <w:rPr>
          <w:i/>
          <w:color w:val="67287F"/>
        </w:rPr>
        <w:t>on</w:t>
      </w:r>
      <w:r>
        <w:rPr>
          <w:i/>
          <w:color w:val="67287F"/>
          <w:spacing w:val="-5"/>
        </w:rPr>
        <w:t> </w:t>
      </w:r>
      <w:r>
        <w:rPr>
          <w:i/>
          <w:color w:val="67287F"/>
          <w:spacing w:val="-2"/>
        </w:rPr>
        <w:t>Disability</w:t>
      </w:r>
    </w:p>
    <w:p>
      <w:pPr>
        <w:pStyle w:val="ListParagraph"/>
        <w:numPr>
          <w:ilvl w:val="1"/>
          <w:numId w:val="7"/>
        </w:numPr>
        <w:tabs>
          <w:tab w:pos="1853" w:val="left" w:leader="none"/>
        </w:tabs>
        <w:spacing w:line="225" w:lineRule="auto" w:before="5" w:after="0"/>
        <w:ind w:left="1853" w:right="1739" w:hanging="720"/>
        <w:jc w:val="left"/>
        <w:rPr>
          <w:sz w:val="28"/>
        </w:rPr>
      </w:pPr>
      <w:r>
        <w:rPr>
          <w:sz w:val="28"/>
        </w:rPr>
        <w:t>In 2022, the Commissions published research which highlighted areas where NI disability discrimination law needs to be updated to meet the Windsor Framework’s requirements of dynamic alignment, including in relation</w:t>
      </w:r>
      <w:r>
        <w:rPr>
          <w:spacing w:val="-6"/>
          <w:sz w:val="28"/>
        </w:rPr>
        <w:t> </w:t>
      </w:r>
      <w:r>
        <w:rPr>
          <w:sz w:val="28"/>
        </w:rPr>
        <w:t>to</w:t>
      </w:r>
      <w:r>
        <w:rPr>
          <w:spacing w:val="-6"/>
          <w:sz w:val="28"/>
        </w:rPr>
        <w:t> </w:t>
      </w:r>
      <w:r>
        <w:rPr>
          <w:sz w:val="28"/>
        </w:rPr>
        <w:t>evolving</w:t>
      </w:r>
      <w:r>
        <w:rPr>
          <w:spacing w:val="-5"/>
          <w:sz w:val="28"/>
        </w:rPr>
        <w:t> </w:t>
      </w:r>
      <w:r>
        <w:rPr>
          <w:sz w:val="28"/>
        </w:rPr>
        <w:t>CJEU</w:t>
      </w:r>
      <w:r>
        <w:rPr>
          <w:spacing w:val="-5"/>
          <w:sz w:val="28"/>
        </w:rPr>
        <w:t> </w:t>
      </w:r>
      <w:r>
        <w:rPr>
          <w:sz w:val="28"/>
        </w:rPr>
        <w:t>case</w:t>
      </w:r>
      <w:r>
        <w:rPr>
          <w:spacing w:val="-5"/>
          <w:sz w:val="28"/>
        </w:rPr>
        <w:t> </w:t>
      </w:r>
      <w:r>
        <w:rPr>
          <w:sz w:val="28"/>
        </w:rPr>
        <w:t>law</w:t>
      </w:r>
      <w:r>
        <w:rPr>
          <w:spacing w:val="-5"/>
          <w:sz w:val="28"/>
        </w:rPr>
        <w:t> </w:t>
      </w:r>
      <w:r>
        <w:rPr>
          <w:sz w:val="28"/>
        </w:rPr>
        <w:t>on</w:t>
      </w:r>
      <w:r>
        <w:rPr>
          <w:spacing w:val="-6"/>
          <w:sz w:val="28"/>
        </w:rPr>
        <w:t> </w:t>
      </w:r>
      <w:r>
        <w:rPr>
          <w:sz w:val="28"/>
        </w:rPr>
        <w:t>the</w:t>
      </w:r>
      <w:r>
        <w:rPr>
          <w:spacing w:val="-5"/>
          <w:sz w:val="28"/>
        </w:rPr>
        <w:t> </w:t>
      </w:r>
      <w:r>
        <w:rPr>
          <w:sz w:val="28"/>
        </w:rPr>
        <w:t>Annex</w:t>
      </w:r>
      <w:r>
        <w:rPr>
          <w:spacing w:val="-6"/>
          <w:sz w:val="28"/>
        </w:rPr>
        <w:t> </w:t>
      </w:r>
      <w:r>
        <w:rPr>
          <w:sz w:val="28"/>
        </w:rPr>
        <w:t>1</w:t>
      </w:r>
      <w:r>
        <w:rPr>
          <w:spacing w:val="-5"/>
          <w:sz w:val="28"/>
        </w:rPr>
        <w:t> </w:t>
      </w:r>
      <w:r>
        <w:rPr>
          <w:sz w:val="28"/>
        </w:rPr>
        <w:t>equality</w:t>
      </w:r>
      <w:r>
        <w:rPr>
          <w:spacing w:val="-5"/>
          <w:sz w:val="28"/>
        </w:rPr>
        <w:t> </w:t>
      </w:r>
      <w:r>
        <w:rPr>
          <w:sz w:val="28"/>
        </w:rPr>
        <w:t>directives</w:t>
      </w:r>
      <w:r>
        <w:rPr>
          <w:spacing w:val="-6"/>
          <w:sz w:val="28"/>
        </w:rPr>
        <w:t> </w:t>
      </w:r>
      <w:r>
        <w:rPr>
          <w:sz w:val="28"/>
        </w:rPr>
        <w:t>post</w:t>
      </w:r>
    </w:p>
    <w:p>
      <w:pPr>
        <w:pStyle w:val="BodyText"/>
        <w:spacing w:before="170"/>
        <w:rPr>
          <w:sz w:val="20"/>
        </w:rPr>
      </w:pPr>
      <w:r>
        <w:rPr/>
        <mc:AlternateContent>
          <mc:Choice Requires="wps">
            <w:drawing>
              <wp:anchor distT="0" distB="0" distL="0" distR="0" allowOverlap="1" layoutInCell="1" locked="0" behindDoc="1" simplePos="0" relativeHeight="487650816">
                <wp:simplePos x="0" y="0"/>
                <wp:positionH relativeFrom="page">
                  <wp:posOffset>719996</wp:posOffset>
                </wp:positionH>
                <wp:positionV relativeFrom="paragraph">
                  <wp:posOffset>278301</wp:posOffset>
                </wp:positionV>
                <wp:extent cx="6120130" cy="1270"/>
                <wp:effectExtent l="0" t="0" r="0" b="0"/>
                <wp:wrapTopAndBottom/>
                <wp:docPr id="221" name="Graphic 221"/>
                <wp:cNvGraphicFramePr>
                  <a:graphicFrameLocks/>
                </wp:cNvGraphicFramePr>
                <a:graphic>
                  <a:graphicData uri="http://schemas.microsoft.com/office/word/2010/wordprocessingShape">
                    <wps:wsp>
                      <wps:cNvPr id="221" name="Graphic 221"/>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1.91353pt;width:481.9pt;height:.1pt;mso-position-horizontal-relative:page;mso-position-vertical-relative:paragraph;z-index:-15665664;mso-wrap-distance-left:0;mso-wrap-distance-right:0" id="docshape177" coordorigin="1134,438" coordsize="9638,0" path="m10772,438l1134,438e" filled="false" stroked="true" strokeweight="1pt" strokecolor="#393b80">
                <v:path arrowok="t"/>
                <v:stroke dashstyle="solid"/>
                <w10:wrap type="topAndBottom"/>
              </v:shape>
            </w:pict>
          </mc:Fallback>
        </mc:AlternateContent>
      </w:r>
    </w:p>
    <w:p>
      <w:pPr>
        <w:pStyle w:val="ListParagraph"/>
        <w:numPr>
          <w:ilvl w:val="0"/>
          <w:numId w:val="3"/>
        </w:numPr>
        <w:tabs>
          <w:tab w:pos="1853" w:val="left" w:leader="none"/>
        </w:tabs>
        <w:spacing w:line="235" w:lineRule="auto" w:before="149" w:after="0"/>
        <w:ind w:left="1853" w:right="1529" w:hanging="720"/>
        <w:jc w:val="left"/>
        <w:rPr>
          <w:sz w:val="18"/>
        </w:rPr>
      </w:pPr>
      <w:r>
        <w:rPr>
          <w:sz w:val="18"/>
        </w:rPr>
        <w:t>In</w:t>
      </w:r>
      <w:r>
        <w:rPr>
          <w:spacing w:val="-5"/>
          <w:sz w:val="18"/>
        </w:rPr>
        <w:t> </w:t>
      </w:r>
      <w:r>
        <w:rPr>
          <w:sz w:val="18"/>
        </w:rPr>
        <w:t>accordance</w:t>
      </w:r>
      <w:r>
        <w:rPr>
          <w:spacing w:val="-4"/>
          <w:sz w:val="18"/>
        </w:rPr>
        <w:t> </w:t>
      </w:r>
      <w:r>
        <w:rPr>
          <w:sz w:val="18"/>
        </w:rPr>
        <w:t>with</w:t>
      </w:r>
      <w:r>
        <w:rPr>
          <w:spacing w:val="-5"/>
          <w:sz w:val="18"/>
        </w:rPr>
        <w:t> </w:t>
      </w:r>
      <w:r>
        <w:rPr>
          <w:sz w:val="18"/>
        </w:rPr>
        <w:t>Article</w:t>
      </w:r>
      <w:r>
        <w:rPr>
          <w:spacing w:val="-4"/>
          <w:sz w:val="18"/>
        </w:rPr>
        <w:t> </w:t>
      </w:r>
      <w:r>
        <w:rPr>
          <w:sz w:val="18"/>
        </w:rPr>
        <w:t>33(2),</w:t>
      </w:r>
      <w:r>
        <w:rPr>
          <w:spacing w:val="-4"/>
          <w:sz w:val="18"/>
        </w:rPr>
        <w:t> </w:t>
      </w:r>
      <w:r>
        <w:rPr>
          <w:sz w:val="18"/>
        </w:rPr>
        <w:t>UN</w:t>
      </w:r>
      <w:r>
        <w:rPr>
          <w:spacing w:val="-4"/>
          <w:sz w:val="18"/>
        </w:rPr>
        <w:t> </w:t>
      </w:r>
      <w:r>
        <w:rPr>
          <w:sz w:val="18"/>
        </w:rPr>
        <w:t>CPRD,</w:t>
      </w:r>
      <w:r>
        <w:rPr>
          <w:spacing w:val="-4"/>
          <w:sz w:val="18"/>
        </w:rPr>
        <w:t> </w:t>
      </w:r>
      <w:r>
        <w:rPr>
          <w:sz w:val="18"/>
        </w:rPr>
        <w:t>the</w:t>
      </w:r>
      <w:r>
        <w:rPr>
          <w:spacing w:val="-4"/>
          <w:sz w:val="18"/>
        </w:rPr>
        <w:t> </w:t>
      </w:r>
      <w:r>
        <w:rPr>
          <w:sz w:val="18"/>
        </w:rPr>
        <w:t>UK</w:t>
      </w:r>
      <w:r>
        <w:rPr>
          <w:spacing w:val="-4"/>
          <w:sz w:val="18"/>
        </w:rPr>
        <w:t> </w:t>
      </w:r>
      <w:r>
        <w:rPr>
          <w:sz w:val="18"/>
        </w:rPr>
        <w:t>Independent</w:t>
      </w:r>
      <w:r>
        <w:rPr>
          <w:spacing w:val="-4"/>
          <w:sz w:val="18"/>
        </w:rPr>
        <w:t> </w:t>
      </w:r>
      <w:r>
        <w:rPr>
          <w:sz w:val="18"/>
        </w:rPr>
        <w:t>Mechanism</w:t>
      </w:r>
      <w:r>
        <w:rPr>
          <w:spacing w:val="-4"/>
          <w:sz w:val="18"/>
        </w:rPr>
        <w:t> </w:t>
      </w:r>
      <w:r>
        <w:rPr>
          <w:sz w:val="18"/>
        </w:rPr>
        <w:t>is</w:t>
      </w:r>
      <w:r>
        <w:rPr>
          <w:spacing w:val="-5"/>
          <w:sz w:val="18"/>
        </w:rPr>
        <w:t> </w:t>
      </w:r>
      <w:r>
        <w:rPr>
          <w:sz w:val="18"/>
        </w:rPr>
        <w:t>tasked</w:t>
      </w:r>
      <w:r>
        <w:rPr>
          <w:spacing w:val="-5"/>
          <w:sz w:val="18"/>
        </w:rPr>
        <w:t> </w:t>
      </w:r>
      <w:r>
        <w:rPr>
          <w:sz w:val="18"/>
        </w:rPr>
        <w:t>with</w:t>
      </w:r>
      <w:r>
        <w:rPr>
          <w:spacing w:val="-5"/>
          <w:sz w:val="18"/>
        </w:rPr>
        <w:t> </w:t>
      </w:r>
      <w:r>
        <w:rPr>
          <w:sz w:val="18"/>
        </w:rPr>
        <w:t>promoting,</w:t>
      </w:r>
      <w:r>
        <w:rPr>
          <w:spacing w:val="-4"/>
          <w:sz w:val="18"/>
        </w:rPr>
        <w:t> </w:t>
      </w:r>
      <w:r>
        <w:rPr>
          <w:sz w:val="18"/>
        </w:rPr>
        <w:t>protecting</w:t>
      </w:r>
      <w:r>
        <w:rPr>
          <w:spacing w:val="-4"/>
          <w:sz w:val="18"/>
        </w:rPr>
        <w:t> </w:t>
      </w:r>
      <w:r>
        <w:rPr>
          <w:sz w:val="18"/>
        </w:rPr>
        <w:t>and monitoring implementation of the UN CRPD across the UK.</w:t>
      </w:r>
    </w:p>
    <w:p>
      <w:pPr>
        <w:pStyle w:val="ListParagraph"/>
        <w:numPr>
          <w:ilvl w:val="0"/>
          <w:numId w:val="3"/>
        </w:numPr>
        <w:tabs>
          <w:tab w:pos="1853" w:val="left" w:leader="none"/>
        </w:tabs>
        <w:spacing w:line="235" w:lineRule="auto" w:before="2" w:after="0"/>
        <w:ind w:left="1853" w:right="1308" w:hanging="720"/>
        <w:jc w:val="left"/>
        <w:rPr>
          <w:sz w:val="18"/>
        </w:rPr>
      </w:pPr>
      <w:r>
        <w:rPr>
          <w:sz w:val="18"/>
        </w:rPr>
        <w:t>UK</w:t>
      </w:r>
      <w:r>
        <w:rPr>
          <w:spacing w:val="-5"/>
          <w:sz w:val="18"/>
        </w:rPr>
        <w:t> </w:t>
      </w:r>
      <w:r>
        <w:rPr>
          <w:sz w:val="18"/>
        </w:rPr>
        <w:t>Independent</w:t>
      </w:r>
      <w:r>
        <w:rPr>
          <w:spacing w:val="-5"/>
          <w:sz w:val="18"/>
        </w:rPr>
        <w:t> </w:t>
      </w:r>
      <w:r>
        <w:rPr>
          <w:sz w:val="18"/>
        </w:rPr>
        <w:t>Mechanism,</w:t>
      </w:r>
      <w:r>
        <w:rPr>
          <w:spacing w:val="-5"/>
          <w:sz w:val="18"/>
        </w:rPr>
        <w:t> </w:t>
      </w:r>
      <w:r>
        <w:rPr>
          <w:sz w:val="18"/>
        </w:rPr>
        <w:t>‘Seven</w:t>
      </w:r>
      <w:r>
        <w:rPr>
          <w:spacing w:val="-6"/>
          <w:sz w:val="18"/>
        </w:rPr>
        <w:t> </w:t>
      </w:r>
      <w:r>
        <w:rPr>
          <w:sz w:val="18"/>
        </w:rPr>
        <w:t>Years</w:t>
      </w:r>
      <w:r>
        <w:rPr>
          <w:spacing w:val="-6"/>
          <w:sz w:val="18"/>
        </w:rPr>
        <w:t> </w:t>
      </w:r>
      <w:r>
        <w:rPr>
          <w:sz w:val="18"/>
        </w:rPr>
        <w:t>On:</w:t>
      </w:r>
      <w:r>
        <w:rPr>
          <w:spacing w:val="-5"/>
          <w:sz w:val="18"/>
        </w:rPr>
        <w:t> </w:t>
      </w:r>
      <w:r>
        <w:rPr>
          <w:sz w:val="18"/>
        </w:rPr>
        <w:t>disabled</w:t>
      </w:r>
      <w:r>
        <w:rPr>
          <w:spacing w:val="-6"/>
          <w:sz w:val="18"/>
        </w:rPr>
        <w:t> </w:t>
      </w:r>
      <w:r>
        <w:rPr>
          <w:sz w:val="18"/>
        </w:rPr>
        <w:t>people’s</w:t>
      </w:r>
      <w:r>
        <w:rPr>
          <w:spacing w:val="-6"/>
          <w:sz w:val="18"/>
        </w:rPr>
        <w:t> </w:t>
      </w:r>
      <w:r>
        <w:rPr>
          <w:sz w:val="18"/>
        </w:rPr>
        <w:t>rights</w:t>
      </w:r>
      <w:r>
        <w:rPr>
          <w:spacing w:val="-6"/>
          <w:sz w:val="18"/>
        </w:rPr>
        <w:t> </w:t>
      </w:r>
      <w:r>
        <w:rPr>
          <w:sz w:val="18"/>
        </w:rPr>
        <w:t>to</w:t>
      </w:r>
      <w:r>
        <w:rPr>
          <w:spacing w:val="-6"/>
          <w:sz w:val="18"/>
        </w:rPr>
        <w:t> </w:t>
      </w:r>
      <w:r>
        <w:rPr>
          <w:sz w:val="18"/>
        </w:rPr>
        <w:t>independent</w:t>
      </w:r>
      <w:r>
        <w:rPr>
          <w:spacing w:val="-5"/>
          <w:sz w:val="18"/>
        </w:rPr>
        <w:t> </w:t>
      </w:r>
      <w:r>
        <w:rPr>
          <w:sz w:val="18"/>
        </w:rPr>
        <w:t>living,</w:t>
      </w:r>
      <w:r>
        <w:rPr>
          <w:spacing w:val="-5"/>
          <w:sz w:val="18"/>
        </w:rPr>
        <w:t> </w:t>
      </w:r>
      <w:r>
        <w:rPr>
          <w:sz w:val="18"/>
        </w:rPr>
        <w:t>employment</w:t>
      </w:r>
      <w:r>
        <w:rPr>
          <w:spacing w:val="-5"/>
          <w:sz w:val="18"/>
        </w:rPr>
        <w:t> </w:t>
      </w:r>
      <w:r>
        <w:rPr>
          <w:sz w:val="18"/>
        </w:rPr>
        <w:t>and</w:t>
      </w:r>
      <w:r>
        <w:rPr>
          <w:spacing w:val="-6"/>
          <w:sz w:val="18"/>
        </w:rPr>
        <w:t> </w:t>
      </w:r>
      <w:r>
        <w:rPr>
          <w:sz w:val="18"/>
        </w:rPr>
        <w:t>standard of living in the UK’ (UKIM, 2023); Independent Mechanism for NI, ‘Jurisdictional ‘Parallel’ Submission on the implementation, in NI, of the recommendations by the Committee on the Rights of Persons with Disabilities in its 2016 report on an Inquiry, carried out under Article 6 of the Optional Protocol, into the UK’ (ECNI and NIHRC, 2023).</w:t>
      </w:r>
    </w:p>
    <w:p>
      <w:pPr>
        <w:pStyle w:val="ListParagraph"/>
        <w:numPr>
          <w:ilvl w:val="0"/>
          <w:numId w:val="3"/>
        </w:numPr>
        <w:tabs>
          <w:tab w:pos="1853" w:val="left" w:leader="none"/>
        </w:tabs>
        <w:spacing w:line="235" w:lineRule="auto" w:before="2" w:after="0"/>
        <w:ind w:left="1853" w:right="1308" w:hanging="720"/>
        <w:jc w:val="left"/>
        <w:rPr>
          <w:sz w:val="18"/>
        </w:rPr>
      </w:pPr>
      <w:r>
        <w:rPr>
          <w:sz w:val="18"/>
        </w:rPr>
        <w:t>UK</w:t>
      </w:r>
      <w:r>
        <w:rPr>
          <w:spacing w:val="-5"/>
          <w:sz w:val="18"/>
        </w:rPr>
        <w:t> </w:t>
      </w:r>
      <w:r>
        <w:rPr>
          <w:sz w:val="18"/>
        </w:rPr>
        <w:t>Independent</w:t>
      </w:r>
      <w:r>
        <w:rPr>
          <w:spacing w:val="-5"/>
          <w:sz w:val="18"/>
        </w:rPr>
        <w:t> </w:t>
      </w:r>
      <w:r>
        <w:rPr>
          <w:sz w:val="18"/>
        </w:rPr>
        <w:t>Mechanism,</w:t>
      </w:r>
      <w:r>
        <w:rPr>
          <w:spacing w:val="-5"/>
          <w:sz w:val="18"/>
        </w:rPr>
        <w:t> </w:t>
      </w:r>
      <w:r>
        <w:rPr>
          <w:sz w:val="18"/>
        </w:rPr>
        <w:t>‘Seven</w:t>
      </w:r>
      <w:r>
        <w:rPr>
          <w:spacing w:val="-6"/>
          <w:sz w:val="18"/>
        </w:rPr>
        <w:t> </w:t>
      </w:r>
      <w:r>
        <w:rPr>
          <w:sz w:val="18"/>
        </w:rPr>
        <w:t>Years</w:t>
      </w:r>
      <w:r>
        <w:rPr>
          <w:spacing w:val="-6"/>
          <w:sz w:val="18"/>
        </w:rPr>
        <w:t> </w:t>
      </w:r>
      <w:r>
        <w:rPr>
          <w:sz w:val="18"/>
        </w:rPr>
        <w:t>On:</w:t>
      </w:r>
      <w:r>
        <w:rPr>
          <w:spacing w:val="-5"/>
          <w:sz w:val="18"/>
        </w:rPr>
        <w:t> </w:t>
      </w:r>
      <w:r>
        <w:rPr>
          <w:sz w:val="18"/>
        </w:rPr>
        <w:t>disabled</w:t>
      </w:r>
      <w:r>
        <w:rPr>
          <w:spacing w:val="-6"/>
          <w:sz w:val="18"/>
        </w:rPr>
        <w:t> </w:t>
      </w:r>
      <w:r>
        <w:rPr>
          <w:sz w:val="18"/>
        </w:rPr>
        <w:t>people’s</w:t>
      </w:r>
      <w:r>
        <w:rPr>
          <w:spacing w:val="-6"/>
          <w:sz w:val="18"/>
        </w:rPr>
        <w:t> </w:t>
      </w:r>
      <w:r>
        <w:rPr>
          <w:sz w:val="18"/>
        </w:rPr>
        <w:t>rights</w:t>
      </w:r>
      <w:r>
        <w:rPr>
          <w:spacing w:val="-6"/>
          <w:sz w:val="18"/>
        </w:rPr>
        <w:t> </w:t>
      </w:r>
      <w:r>
        <w:rPr>
          <w:sz w:val="18"/>
        </w:rPr>
        <w:t>to</w:t>
      </w:r>
      <w:r>
        <w:rPr>
          <w:spacing w:val="-6"/>
          <w:sz w:val="18"/>
        </w:rPr>
        <w:t> </w:t>
      </w:r>
      <w:r>
        <w:rPr>
          <w:sz w:val="18"/>
        </w:rPr>
        <w:t>independent</w:t>
      </w:r>
      <w:r>
        <w:rPr>
          <w:spacing w:val="-5"/>
          <w:sz w:val="18"/>
        </w:rPr>
        <w:t> </w:t>
      </w:r>
      <w:r>
        <w:rPr>
          <w:sz w:val="18"/>
        </w:rPr>
        <w:t>living,</w:t>
      </w:r>
      <w:r>
        <w:rPr>
          <w:spacing w:val="-5"/>
          <w:sz w:val="18"/>
        </w:rPr>
        <w:t> </w:t>
      </w:r>
      <w:r>
        <w:rPr>
          <w:sz w:val="18"/>
        </w:rPr>
        <w:t>employment</w:t>
      </w:r>
      <w:r>
        <w:rPr>
          <w:spacing w:val="-5"/>
          <w:sz w:val="18"/>
        </w:rPr>
        <w:t> </w:t>
      </w:r>
      <w:r>
        <w:rPr>
          <w:sz w:val="18"/>
        </w:rPr>
        <w:t>and</w:t>
      </w:r>
      <w:r>
        <w:rPr>
          <w:spacing w:val="-6"/>
          <w:sz w:val="18"/>
        </w:rPr>
        <w:t> </w:t>
      </w:r>
      <w:r>
        <w:rPr>
          <w:sz w:val="18"/>
        </w:rPr>
        <w:t>standard of living in the UK’ (UKIM, 2023), at 7.</w:t>
      </w:r>
      <w:r>
        <w:rPr>
          <w:spacing w:val="40"/>
          <w:sz w:val="18"/>
        </w:rPr>
        <w:t> </w:t>
      </w:r>
      <w:r>
        <w:rPr>
          <w:sz w:val="18"/>
        </w:rPr>
        <w:t>The report further highlighted issues around the impact of the social security system organisation on disabled people, as well as the disproportionate effect the cost-of-living increases and the</w:t>
      </w:r>
    </w:p>
    <w:p>
      <w:pPr>
        <w:spacing w:line="235" w:lineRule="auto" w:before="2"/>
        <w:ind w:left="1853" w:right="1171" w:firstLine="0"/>
        <w:jc w:val="left"/>
        <w:rPr>
          <w:sz w:val="18"/>
        </w:rPr>
      </w:pPr>
      <w:r>
        <w:rPr>
          <w:sz w:val="18"/>
        </w:rPr>
        <w:t>Covid-19</w:t>
      </w:r>
      <w:r>
        <w:rPr>
          <w:spacing w:val="-3"/>
          <w:sz w:val="18"/>
        </w:rPr>
        <w:t> </w:t>
      </w:r>
      <w:r>
        <w:rPr>
          <w:sz w:val="18"/>
        </w:rPr>
        <w:t>pandemic</w:t>
      </w:r>
      <w:r>
        <w:rPr>
          <w:spacing w:val="-3"/>
          <w:sz w:val="18"/>
        </w:rPr>
        <w:t> </w:t>
      </w:r>
      <w:r>
        <w:rPr>
          <w:sz w:val="18"/>
        </w:rPr>
        <w:t>have</w:t>
      </w:r>
      <w:r>
        <w:rPr>
          <w:spacing w:val="-3"/>
          <w:sz w:val="18"/>
        </w:rPr>
        <w:t> </w:t>
      </w:r>
      <w:r>
        <w:rPr>
          <w:sz w:val="18"/>
        </w:rPr>
        <w:t>had</w:t>
      </w:r>
      <w:r>
        <w:rPr>
          <w:spacing w:val="-4"/>
          <w:sz w:val="18"/>
        </w:rPr>
        <w:t> </w:t>
      </w:r>
      <w:r>
        <w:rPr>
          <w:sz w:val="18"/>
        </w:rPr>
        <w:t>and</w:t>
      </w:r>
      <w:r>
        <w:rPr>
          <w:spacing w:val="-4"/>
          <w:sz w:val="18"/>
        </w:rPr>
        <w:t> </w:t>
      </w:r>
      <w:r>
        <w:rPr>
          <w:sz w:val="18"/>
        </w:rPr>
        <w:t>continue</w:t>
      </w:r>
      <w:r>
        <w:rPr>
          <w:spacing w:val="-3"/>
          <w:sz w:val="18"/>
        </w:rPr>
        <w:t> </w:t>
      </w:r>
      <w:r>
        <w:rPr>
          <w:sz w:val="18"/>
        </w:rPr>
        <w:t>to</w:t>
      </w:r>
      <w:r>
        <w:rPr>
          <w:spacing w:val="-4"/>
          <w:sz w:val="18"/>
        </w:rPr>
        <w:t> </w:t>
      </w:r>
      <w:r>
        <w:rPr>
          <w:sz w:val="18"/>
        </w:rPr>
        <w:t>have</w:t>
      </w:r>
      <w:r>
        <w:rPr>
          <w:spacing w:val="-3"/>
          <w:sz w:val="18"/>
        </w:rPr>
        <w:t> </w:t>
      </w:r>
      <w:r>
        <w:rPr>
          <w:sz w:val="18"/>
        </w:rPr>
        <w:t>on</w:t>
      </w:r>
      <w:r>
        <w:rPr>
          <w:spacing w:val="-4"/>
          <w:sz w:val="18"/>
        </w:rPr>
        <w:t> </w:t>
      </w:r>
      <w:r>
        <w:rPr>
          <w:sz w:val="18"/>
        </w:rPr>
        <w:t>disabled</w:t>
      </w:r>
      <w:r>
        <w:rPr>
          <w:spacing w:val="-4"/>
          <w:sz w:val="18"/>
        </w:rPr>
        <w:t> </w:t>
      </w:r>
      <w:r>
        <w:rPr>
          <w:sz w:val="18"/>
        </w:rPr>
        <w:t>people.</w:t>
      </w:r>
      <w:r>
        <w:rPr>
          <w:spacing w:val="-4"/>
          <w:sz w:val="18"/>
        </w:rPr>
        <w:t> </w:t>
      </w:r>
      <w:r>
        <w:rPr>
          <w:sz w:val="18"/>
        </w:rPr>
        <w:t>The</w:t>
      </w:r>
      <w:r>
        <w:rPr>
          <w:spacing w:val="-3"/>
          <w:sz w:val="18"/>
        </w:rPr>
        <w:t> </w:t>
      </w:r>
      <w:r>
        <w:rPr>
          <w:sz w:val="18"/>
        </w:rPr>
        <w:t>report</w:t>
      </w:r>
      <w:r>
        <w:rPr>
          <w:spacing w:val="-3"/>
          <w:sz w:val="18"/>
        </w:rPr>
        <w:t> </w:t>
      </w:r>
      <w:r>
        <w:rPr>
          <w:sz w:val="18"/>
        </w:rPr>
        <w:t>also</w:t>
      </w:r>
      <w:r>
        <w:rPr>
          <w:spacing w:val="-4"/>
          <w:sz w:val="18"/>
        </w:rPr>
        <w:t> </w:t>
      </w:r>
      <w:r>
        <w:rPr>
          <w:sz w:val="18"/>
        </w:rPr>
        <w:t>criticised</w:t>
      </w:r>
      <w:r>
        <w:rPr>
          <w:spacing w:val="-4"/>
          <w:sz w:val="18"/>
        </w:rPr>
        <w:t> </w:t>
      </w:r>
      <w:r>
        <w:rPr>
          <w:sz w:val="18"/>
        </w:rPr>
        <w:t>the</w:t>
      </w:r>
      <w:r>
        <w:rPr>
          <w:spacing w:val="-3"/>
          <w:sz w:val="18"/>
        </w:rPr>
        <w:t> </w:t>
      </w:r>
      <w:r>
        <w:rPr>
          <w:sz w:val="18"/>
        </w:rPr>
        <w:t>lack</w:t>
      </w:r>
      <w:r>
        <w:rPr>
          <w:spacing w:val="-3"/>
          <w:sz w:val="18"/>
        </w:rPr>
        <w:t> </w:t>
      </w:r>
      <w:r>
        <w:rPr>
          <w:sz w:val="18"/>
        </w:rPr>
        <w:t>of</w:t>
      </w:r>
      <w:r>
        <w:rPr>
          <w:spacing w:val="-4"/>
          <w:sz w:val="18"/>
        </w:rPr>
        <w:t> </w:t>
      </w:r>
      <w:r>
        <w:rPr>
          <w:sz w:val="18"/>
        </w:rPr>
        <w:t>social</w:t>
      </w:r>
      <w:r>
        <w:rPr>
          <w:spacing w:val="-4"/>
          <w:sz w:val="18"/>
        </w:rPr>
        <w:t> </w:t>
      </w:r>
      <w:r>
        <w:rPr>
          <w:sz w:val="18"/>
        </w:rPr>
        <w:t>care provision, which has led to acute violations of disabled people’s human rights.</w:t>
      </w:r>
    </w:p>
    <w:p>
      <w:pPr>
        <w:pStyle w:val="ListParagraph"/>
        <w:numPr>
          <w:ilvl w:val="0"/>
          <w:numId w:val="3"/>
        </w:numPr>
        <w:tabs>
          <w:tab w:pos="1853" w:val="left" w:leader="none"/>
        </w:tabs>
        <w:spacing w:line="235" w:lineRule="auto" w:before="2" w:after="0"/>
        <w:ind w:left="1853" w:right="1464" w:hanging="720"/>
        <w:jc w:val="left"/>
        <w:rPr>
          <w:sz w:val="18"/>
        </w:rPr>
      </w:pPr>
      <w:r>
        <w:rPr>
          <w:sz w:val="18"/>
        </w:rPr>
        <w:t>Letter from the NI Human Rights Commission, Equality Commission for NI, Scottish Human Rights Commission and Equality and Human Rights Commission to the UN CRPD Committee, 1 March 2024 providing additional information for</w:t>
      </w:r>
      <w:r>
        <w:rPr>
          <w:spacing w:val="-4"/>
          <w:sz w:val="18"/>
        </w:rPr>
        <w:t> </w:t>
      </w:r>
      <w:r>
        <w:rPr>
          <w:sz w:val="18"/>
        </w:rPr>
        <w:t>the</w:t>
      </w:r>
      <w:r>
        <w:rPr>
          <w:spacing w:val="-4"/>
          <w:sz w:val="18"/>
        </w:rPr>
        <w:t> </w:t>
      </w:r>
      <w:r>
        <w:rPr>
          <w:sz w:val="18"/>
        </w:rPr>
        <w:t>UN</w:t>
      </w:r>
      <w:r>
        <w:rPr>
          <w:spacing w:val="-4"/>
          <w:sz w:val="18"/>
        </w:rPr>
        <w:t> </w:t>
      </w:r>
      <w:r>
        <w:rPr>
          <w:sz w:val="18"/>
        </w:rPr>
        <w:t>CRPD</w:t>
      </w:r>
      <w:r>
        <w:rPr>
          <w:spacing w:val="-4"/>
          <w:sz w:val="18"/>
        </w:rPr>
        <w:t> </w:t>
      </w:r>
      <w:r>
        <w:rPr>
          <w:sz w:val="18"/>
        </w:rPr>
        <w:t>Committee</w:t>
      </w:r>
      <w:r>
        <w:rPr>
          <w:spacing w:val="-4"/>
          <w:sz w:val="18"/>
        </w:rPr>
        <w:t> </w:t>
      </w:r>
      <w:r>
        <w:rPr>
          <w:sz w:val="18"/>
        </w:rPr>
        <w:t>to</w:t>
      </w:r>
      <w:r>
        <w:rPr>
          <w:spacing w:val="-4"/>
          <w:sz w:val="18"/>
        </w:rPr>
        <w:t> </w:t>
      </w:r>
      <w:r>
        <w:rPr>
          <w:sz w:val="18"/>
        </w:rPr>
        <w:t>inform</w:t>
      </w:r>
      <w:r>
        <w:rPr>
          <w:spacing w:val="-4"/>
          <w:sz w:val="18"/>
        </w:rPr>
        <w:t> </w:t>
      </w:r>
      <w:r>
        <w:rPr>
          <w:sz w:val="18"/>
        </w:rPr>
        <w:t>its</w:t>
      </w:r>
      <w:r>
        <w:rPr>
          <w:spacing w:val="-4"/>
          <w:sz w:val="18"/>
        </w:rPr>
        <w:t> </w:t>
      </w:r>
      <w:r>
        <w:rPr>
          <w:sz w:val="18"/>
        </w:rPr>
        <w:t>inquiry</w:t>
      </w:r>
      <w:r>
        <w:rPr>
          <w:spacing w:val="-4"/>
          <w:sz w:val="18"/>
        </w:rPr>
        <w:t> </w:t>
      </w:r>
      <w:r>
        <w:rPr>
          <w:sz w:val="18"/>
        </w:rPr>
        <w:t>review</w:t>
      </w:r>
      <w:r>
        <w:rPr>
          <w:spacing w:val="-4"/>
          <w:sz w:val="18"/>
        </w:rPr>
        <w:t> </w:t>
      </w:r>
      <w:r>
        <w:rPr>
          <w:sz w:val="18"/>
        </w:rPr>
        <w:t>into</w:t>
      </w:r>
      <w:r>
        <w:rPr>
          <w:spacing w:val="-4"/>
          <w:sz w:val="18"/>
        </w:rPr>
        <w:t> </w:t>
      </w:r>
      <w:r>
        <w:rPr>
          <w:sz w:val="18"/>
        </w:rPr>
        <w:t>the</w:t>
      </w:r>
      <w:r>
        <w:rPr>
          <w:spacing w:val="-4"/>
          <w:sz w:val="18"/>
        </w:rPr>
        <w:t> </w:t>
      </w:r>
      <w:r>
        <w:rPr>
          <w:sz w:val="18"/>
        </w:rPr>
        <w:t>UK.</w:t>
      </w:r>
      <w:r>
        <w:rPr>
          <w:spacing w:val="-4"/>
          <w:sz w:val="18"/>
        </w:rPr>
        <w:t> </w:t>
      </w:r>
      <w:r>
        <w:rPr>
          <w:sz w:val="18"/>
        </w:rPr>
        <w:t>For</w:t>
      </w:r>
      <w:r>
        <w:rPr>
          <w:spacing w:val="-4"/>
          <w:sz w:val="18"/>
        </w:rPr>
        <w:t> </w:t>
      </w:r>
      <w:r>
        <w:rPr>
          <w:sz w:val="18"/>
        </w:rPr>
        <w:t>further</w:t>
      </w:r>
      <w:r>
        <w:rPr>
          <w:spacing w:val="-4"/>
          <w:sz w:val="18"/>
        </w:rPr>
        <w:t> </w:t>
      </w:r>
      <w:r>
        <w:rPr>
          <w:sz w:val="18"/>
        </w:rPr>
        <w:t>discussion</w:t>
      </w:r>
      <w:r>
        <w:rPr>
          <w:spacing w:val="-4"/>
          <w:sz w:val="18"/>
        </w:rPr>
        <w:t> </w:t>
      </w:r>
      <w:r>
        <w:rPr>
          <w:sz w:val="18"/>
        </w:rPr>
        <w:t>of</w:t>
      </w:r>
      <w:r>
        <w:rPr>
          <w:spacing w:val="-4"/>
          <w:sz w:val="18"/>
        </w:rPr>
        <w:t> </w:t>
      </w:r>
      <w:r>
        <w:rPr>
          <w:sz w:val="18"/>
        </w:rPr>
        <w:t>the</w:t>
      </w:r>
      <w:r>
        <w:rPr>
          <w:spacing w:val="-4"/>
          <w:sz w:val="18"/>
        </w:rPr>
        <w:t> </w:t>
      </w:r>
      <w:r>
        <w:rPr>
          <w:sz w:val="18"/>
        </w:rPr>
        <w:t>Data</w:t>
      </w:r>
      <w:r>
        <w:rPr>
          <w:spacing w:val="-4"/>
          <w:sz w:val="18"/>
        </w:rPr>
        <w:t> </w:t>
      </w:r>
      <w:r>
        <w:rPr>
          <w:sz w:val="18"/>
        </w:rPr>
        <w:t>Protection</w:t>
      </w:r>
      <w:r>
        <w:rPr>
          <w:spacing w:val="-4"/>
          <w:sz w:val="18"/>
        </w:rPr>
        <w:t> </w:t>
      </w:r>
      <w:r>
        <w:rPr>
          <w:sz w:val="18"/>
        </w:rPr>
        <w:t>and Digital Information Bill, see the Data Protection section of this Chapter.</w:t>
      </w:r>
    </w:p>
    <w:p>
      <w:pPr>
        <w:pStyle w:val="ListParagraph"/>
        <w:numPr>
          <w:ilvl w:val="0"/>
          <w:numId w:val="3"/>
        </w:numPr>
        <w:tabs>
          <w:tab w:pos="1853" w:val="left" w:leader="none"/>
        </w:tabs>
        <w:spacing w:line="219" w:lineRule="exact" w:before="0" w:after="0"/>
        <w:ind w:left="1853" w:right="0" w:hanging="720"/>
        <w:jc w:val="left"/>
        <w:rPr>
          <w:sz w:val="18"/>
        </w:rPr>
      </w:pPr>
      <w:r>
        <w:rPr>
          <w:sz w:val="18"/>
        </w:rPr>
        <w:t>NI</w:t>
      </w:r>
      <w:r>
        <w:rPr>
          <w:spacing w:val="-4"/>
          <w:sz w:val="18"/>
        </w:rPr>
        <w:t> </w:t>
      </w:r>
      <w:r>
        <w:rPr>
          <w:sz w:val="18"/>
        </w:rPr>
        <w:t>Assembly</w:t>
      </w:r>
      <w:r>
        <w:rPr>
          <w:spacing w:val="-3"/>
          <w:sz w:val="18"/>
        </w:rPr>
        <w:t> </w:t>
      </w:r>
      <w:r>
        <w:rPr>
          <w:sz w:val="18"/>
        </w:rPr>
        <w:t>Hansard,</w:t>
      </w:r>
      <w:r>
        <w:rPr>
          <w:spacing w:val="-3"/>
          <w:sz w:val="18"/>
        </w:rPr>
        <w:t> </w:t>
      </w:r>
      <w:r>
        <w:rPr>
          <w:sz w:val="18"/>
        </w:rPr>
        <w:t>‘Written</w:t>
      </w:r>
      <w:r>
        <w:rPr>
          <w:spacing w:val="-4"/>
          <w:sz w:val="18"/>
        </w:rPr>
        <w:t> </w:t>
      </w:r>
      <w:r>
        <w:rPr>
          <w:sz w:val="18"/>
        </w:rPr>
        <w:t>Question:</w:t>
      </w:r>
      <w:r>
        <w:rPr>
          <w:spacing w:val="-3"/>
          <w:sz w:val="18"/>
        </w:rPr>
        <w:t> </w:t>
      </w:r>
      <w:r>
        <w:rPr>
          <w:sz w:val="18"/>
        </w:rPr>
        <w:t>Disability</w:t>
      </w:r>
      <w:r>
        <w:rPr>
          <w:spacing w:val="-3"/>
          <w:sz w:val="18"/>
        </w:rPr>
        <w:t> </w:t>
      </w:r>
      <w:r>
        <w:rPr>
          <w:sz w:val="18"/>
        </w:rPr>
        <w:t>Strategy</w:t>
      </w:r>
      <w:r>
        <w:rPr>
          <w:spacing w:val="-3"/>
          <w:sz w:val="18"/>
        </w:rPr>
        <w:t> </w:t>
      </w:r>
      <w:r>
        <w:rPr>
          <w:sz w:val="18"/>
        </w:rPr>
        <w:t>–</w:t>
      </w:r>
      <w:r>
        <w:rPr>
          <w:spacing w:val="-5"/>
          <w:sz w:val="18"/>
        </w:rPr>
        <w:t> </w:t>
      </w:r>
      <w:r>
        <w:rPr>
          <w:sz w:val="18"/>
        </w:rPr>
        <w:t>Robbie</w:t>
      </w:r>
      <w:r>
        <w:rPr>
          <w:spacing w:val="-3"/>
          <w:sz w:val="18"/>
        </w:rPr>
        <w:t> </w:t>
      </w:r>
      <w:r>
        <w:rPr>
          <w:sz w:val="18"/>
        </w:rPr>
        <w:t>Butler</w:t>
      </w:r>
      <w:r>
        <w:rPr>
          <w:spacing w:val="-3"/>
          <w:sz w:val="18"/>
        </w:rPr>
        <w:t> </w:t>
      </w:r>
      <w:r>
        <w:rPr>
          <w:sz w:val="18"/>
        </w:rPr>
        <w:t>MLA</w:t>
      </w:r>
      <w:r>
        <w:rPr>
          <w:spacing w:val="-3"/>
          <w:sz w:val="18"/>
        </w:rPr>
        <w:t> </w:t>
      </w:r>
      <w:r>
        <w:rPr>
          <w:sz w:val="18"/>
        </w:rPr>
        <w:t>–</w:t>
      </w:r>
      <w:r>
        <w:rPr>
          <w:spacing w:val="-4"/>
          <w:sz w:val="18"/>
        </w:rPr>
        <w:t> </w:t>
      </w:r>
      <w:r>
        <w:rPr>
          <w:sz w:val="18"/>
        </w:rPr>
        <w:t>AQW</w:t>
      </w:r>
      <w:r>
        <w:rPr>
          <w:spacing w:val="-3"/>
          <w:sz w:val="18"/>
        </w:rPr>
        <w:t> </w:t>
      </w:r>
      <w:r>
        <w:rPr>
          <w:sz w:val="18"/>
        </w:rPr>
        <w:t>6680/22-27’</w:t>
      </w:r>
      <w:r>
        <w:rPr>
          <w:spacing w:val="-3"/>
          <w:sz w:val="18"/>
        </w:rPr>
        <w:t> </w:t>
      </w:r>
      <w:r>
        <w:rPr>
          <w:sz w:val="18"/>
        </w:rPr>
        <w:t>27</w:t>
      </w:r>
      <w:r>
        <w:rPr>
          <w:spacing w:val="-3"/>
          <w:sz w:val="18"/>
        </w:rPr>
        <w:t> </w:t>
      </w:r>
      <w:r>
        <w:rPr>
          <w:sz w:val="18"/>
        </w:rPr>
        <w:t>February</w:t>
      </w:r>
      <w:r>
        <w:rPr>
          <w:spacing w:val="-4"/>
          <w:sz w:val="18"/>
        </w:rPr>
        <w:t> </w:t>
      </w:r>
      <w:r>
        <w:rPr>
          <w:spacing w:val="-2"/>
          <w:sz w:val="18"/>
        </w:rPr>
        <w:t>2024.</w:t>
      </w:r>
    </w:p>
    <w:p>
      <w:pPr>
        <w:spacing w:after="0" w:line="219" w:lineRule="exact"/>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301"/>
      </w:pPr>
      <w:r>
        <w:rPr/>
        <w:t>31 December 2020.</w:t>
      </w:r>
      <w:r>
        <w:rPr>
          <w:vertAlign w:val="superscript"/>
        </w:rPr>
        <w:t>219</w:t>
      </w:r>
      <w:r>
        <w:rPr>
          <w:spacing w:val="40"/>
          <w:vertAlign w:val="baseline"/>
        </w:rPr>
        <w:t> </w:t>
      </w:r>
      <w:r>
        <w:rPr>
          <w:vertAlign w:val="baseline"/>
        </w:rPr>
        <w:t>For example, the CJEU ruling in the case of </w:t>
      </w:r>
      <w:r>
        <w:rPr>
          <w:i/>
          <w:vertAlign w:val="baseline"/>
        </w:rPr>
        <w:t>Szpital</w:t>
      </w:r>
      <w:r>
        <w:rPr>
          <w:i/>
          <w:vertAlign w:val="baseline"/>
        </w:rPr>
        <w:t> Kliniczny</w:t>
      </w:r>
      <w:r>
        <w:rPr>
          <w:vertAlign w:val="superscript"/>
        </w:rPr>
        <w:t>220</w:t>
      </w:r>
      <w:r>
        <w:rPr>
          <w:spacing w:val="-9"/>
          <w:vertAlign w:val="baseline"/>
        </w:rPr>
        <w:t> </w:t>
      </w:r>
      <w:r>
        <w:rPr>
          <w:vertAlign w:val="baseline"/>
        </w:rPr>
        <w:t>elaborated</w:t>
      </w:r>
      <w:r>
        <w:rPr>
          <w:spacing w:val="-9"/>
          <w:vertAlign w:val="baseline"/>
        </w:rPr>
        <w:t> </w:t>
      </w:r>
      <w:r>
        <w:rPr>
          <w:vertAlign w:val="baseline"/>
        </w:rPr>
        <w:t>on</w:t>
      </w:r>
      <w:r>
        <w:rPr>
          <w:spacing w:val="-9"/>
          <w:vertAlign w:val="baseline"/>
        </w:rPr>
        <w:t> </w:t>
      </w:r>
      <w:r>
        <w:rPr>
          <w:vertAlign w:val="baseline"/>
        </w:rPr>
        <w:t>the</w:t>
      </w:r>
      <w:r>
        <w:rPr>
          <w:spacing w:val="-9"/>
          <w:vertAlign w:val="baseline"/>
        </w:rPr>
        <w:t> </w:t>
      </w:r>
      <w:r>
        <w:rPr>
          <w:vertAlign w:val="baseline"/>
        </w:rPr>
        <w:t>concept</w:t>
      </w:r>
      <w:r>
        <w:rPr>
          <w:spacing w:val="-9"/>
          <w:vertAlign w:val="baseline"/>
        </w:rPr>
        <w:t> </w:t>
      </w:r>
      <w:r>
        <w:rPr>
          <w:vertAlign w:val="baseline"/>
        </w:rPr>
        <w:t>of</w:t>
      </w:r>
      <w:r>
        <w:rPr>
          <w:spacing w:val="-9"/>
          <w:vertAlign w:val="baseline"/>
        </w:rPr>
        <w:t> </w:t>
      </w:r>
      <w:r>
        <w:rPr>
          <w:vertAlign w:val="baseline"/>
        </w:rPr>
        <w:t>disability</w:t>
      </w:r>
      <w:r>
        <w:rPr>
          <w:spacing w:val="-9"/>
          <w:vertAlign w:val="baseline"/>
        </w:rPr>
        <w:t> </w:t>
      </w:r>
      <w:r>
        <w:rPr>
          <w:vertAlign w:val="baseline"/>
        </w:rPr>
        <w:t>within</w:t>
      </w:r>
      <w:r>
        <w:rPr>
          <w:spacing w:val="-9"/>
          <w:vertAlign w:val="baseline"/>
        </w:rPr>
        <w:t> </w:t>
      </w:r>
      <w:r>
        <w:rPr>
          <w:vertAlign w:val="baseline"/>
        </w:rPr>
        <w:t>the</w:t>
      </w:r>
      <w:r>
        <w:rPr>
          <w:spacing w:val="-9"/>
          <w:vertAlign w:val="baseline"/>
        </w:rPr>
        <w:t> </w:t>
      </w:r>
      <w:r>
        <w:rPr>
          <w:vertAlign w:val="baseline"/>
        </w:rPr>
        <w:t>EU</w:t>
      </w:r>
      <w:r>
        <w:rPr>
          <w:spacing w:val="-9"/>
          <w:vertAlign w:val="baseline"/>
        </w:rPr>
        <w:t> </w:t>
      </w:r>
      <w:r>
        <w:rPr>
          <w:vertAlign w:val="baseline"/>
        </w:rPr>
        <w:t>Framework Equality Directive.</w:t>
      </w:r>
      <w:r>
        <w:rPr>
          <w:vertAlign w:val="superscript"/>
        </w:rPr>
        <w:t>221</w:t>
      </w:r>
      <w:r>
        <w:rPr>
          <w:spacing w:val="40"/>
          <w:vertAlign w:val="baseline"/>
        </w:rPr>
        <w:t> </w:t>
      </w:r>
      <w:r>
        <w:rPr>
          <w:vertAlign w:val="baseline"/>
        </w:rPr>
        <w:t>In addition, </w:t>
      </w:r>
      <w:r>
        <w:rPr>
          <w:i/>
          <w:vertAlign w:val="baseline"/>
        </w:rPr>
        <w:t>Jurors</w:t>
      </w:r>
      <w:r>
        <w:rPr>
          <w:i/>
          <w:vertAlign w:val="superscript"/>
        </w:rPr>
        <w:t>222</w:t>
      </w:r>
      <w:r>
        <w:rPr>
          <w:i/>
          <w:vertAlign w:val="baseline"/>
        </w:rPr>
        <w:t> </w:t>
      </w:r>
      <w:r>
        <w:rPr>
          <w:vertAlign w:val="baseline"/>
        </w:rPr>
        <w:t>and </w:t>
      </w:r>
      <w:r>
        <w:rPr>
          <w:i/>
          <w:vertAlign w:val="baseline"/>
        </w:rPr>
        <w:t>Tartu Vangla</w:t>
      </w:r>
      <w:r>
        <w:rPr>
          <w:vertAlign w:val="superscript"/>
        </w:rPr>
        <w:t>223</w:t>
      </w:r>
      <w:r>
        <w:rPr>
          <w:vertAlign w:val="baseline"/>
        </w:rPr>
        <w:t> highlighted that justifications for the exclusion of persons with a disability from certain professional roles must be scrutinised closely.</w:t>
      </w:r>
    </w:p>
    <w:p>
      <w:pPr>
        <w:pStyle w:val="ListParagraph"/>
        <w:numPr>
          <w:ilvl w:val="1"/>
          <w:numId w:val="7"/>
        </w:numPr>
        <w:tabs>
          <w:tab w:pos="1853" w:val="left" w:leader="none"/>
        </w:tabs>
        <w:spacing w:line="225" w:lineRule="auto" w:before="314" w:after="0"/>
        <w:ind w:left="1853" w:right="1413" w:hanging="720"/>
        <w:jc w:val="left"/>
        <w:rPr>
          <w:sz w:val="28"/>
        </w:rPr>
      </w:pPr>
      <w:r>
        <w:rPr>
          <w:sz w:val="28"/>
        </w:rPr>
        <w:t>While some aspects of the Court’s findings are covered by the Disability Discrimination Act 1995, as amended, further reform of the 1995 Act is needed, particularly in relation to the definition of disability discrimination. The ECNI has previously called for disability-related discrimination to be replaced</w:t>
      </w:r>
      <w:r>
        <w:rPr>
          <w:spacing w:val="-9"/>
          <w:sz w:val="28"/>
        </w:rPr>
        <w:t> </w:t>
      </w:r>
      <w:r>
        <w:rPr>
          <w:sz w:val="28"/>
        </w:rPr>
        <w:t>by</w:t>
      </w:r>
      <w:r>
        <w:rPr>
          <w:spacing w:val="-9"/>
          <w:sz w:val="28"/>
        </w:rPr>
        <w:t> </w:t>
      </w:r>
      <w:r>
        <w:rPr>
          <w:sz w:val="28"/>
        </w:rPr>
        <w:t>provisions</w:t>
      </w:r>
      <w:r>
        <w:rPr>
          <w:spacing w:val="-9"/>
          <w:sz w:val="28"/>
        </w:rPr>
        <w:t> </w:t>
      </w:r>
      <w:r>
        <w:rPr>
          <w:sz w:val="28"/>
        </w:rPr>
        <w:t>prohibiting</w:t>
      </w:r>
      <w:r>
        <w:rPr>
          <w:spacing w:val="-9"/>
          <w:sz w:val="28"/>
        </w:rPr>
        <w:t> </w:t>
      </w:r>
      <w:r>
        <w:rPr>
          <w:sz w:val="28"/>
        </w:rPr>
        <w:t>indirect</w:t>
      </w:r>
      <w:r>
        <w:rPr>
          <w:spacing w:val="-9"/>
          <w:sz w:val="28"/>
        </w:rPr>
        <w:t> </w:t>
      </w:r>
      <w:r>
        <w:rPr>
          <w:sz w:val="28"/>
        </w:rPr>
        <w:t>discrimination</w:t>
      </w:r>
      <w:r>
        <w:rPr>
          <w:spacing w:val="-9"/>
          <w:sz w:val="28"/>
        </w:rPr>
        <w:t> </w:t>
      </w:r>
      <w:r>
        <w:rPr>
          <w:sz w:val="28"/>
        </w:rPr>
        <w:t>and</w:t>
      </w:r>
      <w:r>
        <w:rPr>
          <w:spacing w:val="-9"/>
          <w:sz w:val="28"/>
        </w:rPr>
        <w:t> </w:t>
      </w:r>
      <w:r>
        <w:rPr>
          <w:sz w:val="28"/>
        </w:rPr>
        <w:t>discrimination arising from disability, which will remove the requirement for a disabled person to compare his or her treatment with that of someone else.</w:t>
      </w:r>
      <w:r>
        <w:rPr>
          <w:sz w:val="28"/>
          <w:vertAlign w:val="superscript"/>
        </w:rPr>
        <w:t>224</w:t>
      </w:r>
    </w:p>
    <w:p>
      <w:pPr>
        <w:pStyle w:val="Heading6"/>
        <w:spacing w:line="240" w:lineRule="auto" w:before="335"/>
        <w:ind w:left="1853"/>
        <w:rPr>
          <w:i/>
        </w:rPr>
      </w:pPr>
      <w:r>
        <w:rPr>
          <w:i/>
          <w:color w:val="67287F"/>
        </w:rPr>
        <w:t>EU</w:t>
      </w:r>
      <w:r>
        <w:rPr>
          <w:i/>
          <w:color w:val="67287F"/>
          <w:spacing w:val="-9"/>
        </w:rPr>
        <w:t> </w:t>
      </w:r>
      <w:r>
        <w:rPr>
          <w:i/>
          <w:color w:val="67287F"/>
        </w:rPr>
        <w:t>Accessibility</w:t>
      </w:r>
      <w:r>
        <w:rPr>
          <w:i/>
          <w:color w:val="67287F"/>
          <w:spacing w:val="-8"/>
        </w:rPr>
        <w:t> </w:t>
      </w:r>
      <w:r>
        <w:rPr>
          <w:i/>
          <w:color w:val="67287F"/>
          <w:spacing w:val="-5"/>
        </w:rPr>
        <w:t>Act</w:t>
      </w:r>
    </w:p>
    <w:p>
      <w:pPr>
        <w:pStyle w:val="ListParagraph"/>
        <w:numPr>
          <w:ilvl w:val="1"/>
          <w:numId w:val="7"/>
        </w:numPr>
        <w:tabs>
          <w:tab w:pos="1853" w:val="left" w:leader="none"/>
        </w:tabs>
        <w:spacing w:line="225" w:lineRule="auto" w:before="34" w:after="0"/>
        <w:ind w:left="1853" w:right="1163" w:hanging="720"/>
        <w:jc w:val="left"/>
        <w:rPr>
          <w:sz w:val="28"/>
        </w:rPr>
      </w:pPr>
      <w:r>
        <w:rPr>
          <w:sz w:val="28"/>
        </w:rPr>
        <w:t>In 2022, the Commissions’ research highlighted that the implementation of the European Accessibility Act</w:t>
      </w:r>
      <w:r>
        <w:rPr>
          <w:sz w:val="28"/>
          <w:vertAlign w:val="superscript"/>
        </w:rPr>
        <w:t>225</w:t>
      </w:r>
      <w:r>
        <w:rPr>
          <w:sz w:val="28"/>
          <w:vertAlign w:val="baseline"/>
        </w:rPr>
        <w:t> in Ireland will create a potential divergence</w:t>
      </w:r>
      <w:r>
        <w:rPr>
          <w:sz w:val="28"/>
          <w:vertAlign w:val="baseline"/>
        </w:rPr>
        <w:t> of rights between Ireland and NI for people with disabilities and older people.</w:t>
      </w:r>
      <w:r>
        <w:rPr>
          <w:sz w:val="28"/>
          <w:vertAlign w:val="superscript"/>
        </w:rPr>
        <w:t>226</w:t>
      </w:r>
      <w:r>
        <w:rPr>
          <w:spacing w:val="-8"/>
          <w:sz w:val="28"/>
          <w:vertAlign w:val="baseline"/>
        </w:rPr>
        <w:t> </w:t>
      </w:r>
      <w:r>
        <w:rPr>
          <w:sz w:val="28"/>
          <w:vertAlign w:val="baseline"/>
        </w:rPr>
        <w:t>The</w:t>
      </w:r>
      <w:r>
        <w:rPr>
          <w:spacing w:val="-7"/>
          <w:sz w:val="28"/>
          <w:vertAlign w:val="baseline"/>
        </w:rPr>
        <w:t> </w:t>
      </w:r>
      <w:r>
        <w:rPr>
          <w:sz w:val="28"/>
          <w:vertAlign w:val="baseline"/>
        </w:rPr>
        <w:t>Act</w:t>
      </w:r>
      <w:r>
        <w:rPr>
          <w:spacing w:val="-7"/>
          <w:sz w:val="28"/>
          <w:vertAlign w:val="baseline"/>
        </w:rPr>
        <w:t> </w:t>
      </w:r>
      <w:r>
        <w:rPr>
          <w:sz w:val="28"/>
          <w:vertAlign w:val="baseline"/>
        </w:rPr>
        <w:t>provides</w:t>
      </w:r>
      <w:r>
        <w:rPr>
          <w:spacing w:val="-8"/>
          <w:sz w:val="28"/>
          <w:vertAlign w:val="baseline"/>
        </w:rPr>
        <w:t> </w:t>
      </w:r>
      <w:r>
        <w:rPr>
          <w:sz w:val="28"/>
          <w:vertAlign w:val="baseline"/>
        </w:rPr>
        <w:t>for</w:t>
      </w:r>
      <w:r>
        <w:rPr>
          <w:spacing w:val="-7"/>
          <w:sz w:val="28"/>
          <w:vertAlign w:val="baseline"/>
        </w:rPr>
        <w:t> </w:t>
      </w:r>
      <w:r>
        <w:rPr>
          <w:sz w:val="28"/>
          <w:vertAlign w:val="baseline"/>
        </w:rPr>
        <w:t>more</w:t>
      </w:r>
      <w:r>
        <w:rPr>
          <w:spacing w:val="-7"/>
          <w:sz w:val="28"/>
          <w:vertAlign w:val="baseline"/>
        </w:rPr>
        <w:t> </w:t>
      </w:r>
      <w:r>
        <w:rPr>
          <w:sz w:val="28"/>
          <w:vertAlign w:val="baseline"/>
        </w:rPr>
        <w:t>accessible</w:t>
      </w:r>
      <w:r>
        <w:rPr>
          <w:spacing w:val="-7"/>
          <w:sz w:val="28"/>
          <w:vertAlign w:val="baseline"/>
        </w:rPr>
        <w:t> </w:t>
      </w:r>
      <w:r>
        <w:rPr>
          <w:sz w:val="28"/>
          <w:vertAlign w:val="baseline"/>
        </w:rPr>
        <w:t>products</w:t>
      </w:r>
      <w:r>
        <w:rPr>
          <w:spacing w:val="-8"/>
          <w:sz w:val="28"/>
          <w:vertAlign w:val="baseline"/>
        </w:rPr>
        <w:t> </w:t>
      </w:r>
      <w:r>
        <w:rPr>
          <w:sz w:val="28"/>
          <w:vertAlign w:val="baseline"/>
        </w:rPr>
        <w:t>and</w:t>
      </w:r>
      <w:r>
        <w:rPr>
          <w:spacing w:val="-8"/>
          <w:sz w:val="28"/>
          <w:vertAlign w:val="baseline"/>
        </w:rPr>
        <w:t> </w:t>
      </w:r>
      <w:r>
        <w:rPr>
          <w:sz w:val="28"/>
          <w:vertAlign w:val="baseline"/>
        </w:rPr>
        <w:t>services,</w:t>
      </w:r>
      <w:r>
        <w:rPr>
          <w:spacing w:val="-7"/>
          <w:sz w:val="28"/>
          <w:vertAlign w:val="baseline"/>
        </w:rPr>
        <w:t> </w:t>
      </w:r>
      <w:r>
        <w:rPr>
          <w:sz w:val="28"/>
          <w:vertAlign w:val="baseline"/>
        </w:rPr>
        <w:t>at</w:t>
      </w:r>
      <w:r>
        <w:rPr>
          <w:spacing w:val="-7"/>
          <w:sz w:val="28"/>
          <w:vertAlign w:val="baseline"/>
        </w:rPr>
        <w:t> </w:t>
      </w:r>
      <w:r>
        <w:rPr>
          <w:sz w:val="28"/>
          <w:vertAlign w:val="baseline"/>
        </w:rPr>
        <w:t>more competitive</w:t>
      </w:r>
      <w:r>
        <w:rPr>
          <w:spacing w:val="-2"/>
          <w:sz w:val="28"/>
          <w:vertAlign w:val="baseline"/>
        </w:rPr>
        <w:t> </w:t>
      </w:r>
      <w:r>
        <w:rPr>
          <w:sz w:val="28"/>
          <w:vertAlign w:val="baseline"/>
        </w:rPr>
        <w:t>prices</w:t>
      </w:r>
      <w:r>
        <w:rPr>
          <w:spacing w:val="-3"/>
          <w:sz w:val="28"/>
          <w:vertAlign w:val="baseline"/>
        </w:rPr>
        <w:t> </w:t>
      </w:r>
      <w:r>
        <w:rPr>
          <w:sz w:val="28"/>
          <w:vertAlign w:val="baseline"/>
        </w:rPr>
        <w:t>and</w:t>
      </w:r>
      <w:r>
        <w:rPr>
          <w:spacing w:val="-3"/>
          <w:sz w:val="28"/>
          <w:vertAlign w:val="baseline"/>
        </w:rPr>
        <w:t> </w:t>
      </w:r>
      <w:r>
        <w:rPr>
          <w:sz w:val="28"/>
          <w:vertAlign w:val="baseline"/>
        </w:rPr>
        <w:t>fewer</w:t>
      </w:r>
      <w:r>
        <w:rPr>
          <w:spacing w:val="-2"/>
          <w:sz w:val="28"/>
          <w:vertAlign w:val="baseline"/>
        </w:rPr>
        <w:t> </w:t>
      </w:r>
      <w:r>
        <w:rPr>
          <w:sz w:val="28"/>
          <w:vertAlign w:val="baseline"/>
        </w:rPr>
        <w:t>barriers</w:t>
      </w:r>
      <w:r>
        <w:rPr>
          <w:spacing w:val="-3"/>
          <w:sz w:val="28"/>
          <w:vertAlign w:val="baseline"/>
        </w:rPr>
        <w:t> </w:t>
      </w:r>
      <w:r>
        <w:rPr>
          <w:sz w:val="28"/>
          <w:vertAlign w:val="baseline"/>
        </w:rPr>
        <w:t>to</w:t>
      </w:r>
      <w:r>
        <w:rPr>
          <w:spacing w:val="-3"/>
          <w:sz w:val="28"/>
          <w:vertAlign w:val="baseline"/>
        </w:rPr>
        <w:t> </w:t>
      </w:r>
      <w:r>
        <w:rPr>
          <w:sz w:val="28"/>
          <w:vertAlign w:val="baseline"/>
        </w:rPr>
        <w:t>accessing</w:t>
      </w:r>
      <w:r>
        <w:rPr>
          <w:spacing w:val="-2"/>
          <w:sz w:val="28"/>
          <w:vertAlign w:val="baseline"/>
        </w:rPr>
        <w:t> </w:t>
      </w:r>
      <w:r>
        <w:rPr>
          <w:sz w:val="28"/>
          <w:vertAlign w:val="baseline"/>
        </w:rPr>
        <w:t>transport</w:t>
      </w:r>
      <w:r>
        <w:rPr>
          <w:spacing w:val="-2"/>
          <w:sz w:val="28"/>
          <w:vertAlign w:val="baseline"/>
        </w:rPr>
        <w:t> </w:t>
      </w:r>
      <w:r>
        <w:rPr>
          <w:sz w:val="28"/>
          <w:vertAlign w:val="baseline"/>
        </w:rPr>
        <w:t>and</w:t>
      </w:r>
      <w:r>
        <w:rPr>
          <w:spacing w:val="-3"/>
          <w:sz w:val="28"/>
          <w:vertAlign w:val="baseline"/>
        </w:rPr>
        <w:t> </w:t>
      </w:r>
      <w:r>
        <w:rPr>
          <w:sz w:val="28"/>
          <w:vertAlign w:val="baseline"/>
        </w:rPr>
        <w:t>education.</w:t>
      </w:r>
      <w:r>
        <w:rPr>
          <w:sz w:val="28"/>
          <w:vertAlign w:val="superscript"/>
        </w:rPr>
        <w:t>227</w:t>
      </w:r>
    </w:p>
    <w:p>
      <w:pPr>
        <w:pStyle w:val="ListParagraph"/>
        <w:numPr>
          <w:ilvl w:val="1"/>
          <w:numId w:val="7"/>
        </w:numPr>
        <w:tabs>
          <w:tab w:pos="1853" w:val="left" w:leader="none"/>
        </w:tabs>
        <w:spacing w:line="225" w:lineRule="auto" w:before="314" w:after="0"/>
        <w:ind w:left="1853" w:right="1298" w:hanging="720"/>
        <w:jc w:val="left"/>
        <w:rPr>
          <w:sz w:val="28"/>
        </w:rPr>
      </w:pPr>
      <w:r>
        <w:rPr>
          <w:sz w:val="28"/>
        </w:rPr>
        <w:t>There</w:t>
      </w:r>
      <w:r>
        <w:rPr>
          <w:spacing w:val="-5"/>
          <w:sz w:val="28"/>
        </w:rPr>
        <w:t> </w:t>
      </w:r>
      <w:r>
        <w:rPr>
          <w:sz w:val="28"/>
        </w:rPr>
        <w:t>is</w:t>
      </w:r>
      <w:r>
        <w:rPr>
          <w:spacing w:val="-6"/>
          <w:sz w:val="28"/>
        </w:rPr>
        <w:t> </w:t>
      </w:r>
      <w:r>
        <w:rPr>
          <w:sz w:val="28"/>
        </w:rPr>
        <w:t>no</w:t>
      </w:r>
      <w:r>
        <w:rPr>
          <w:spacing w:val="-6"/>
          <w:sz w:val="28"/>
        </w:rPr>
        <w:t> </w:t>
      </w:r>
      <w:r>
        <w:rPr>
          <w:sz w:val="28"/>
        </w:rPr>
        <w:t>obligation</w:t>
      </w:r>
      <w:r>
        <w:rPr>
          <w:spacing w:val="-6"/>
          <w:sz w:val="28"/>
        </w:rPr>
        <w:t> </w:t>
      </w:r>
      <w:r>
        <w:rPr>
          <w:sz w:val="28"/>
        </w:rPr>
        <w:t>on</w:t>
      </w:r>
      <w:r>
        <w:rPr>
          <w:spacing w:val="-6"/>
          <w:sz w:val="28"/>
        </w:rPr>
        <w:t> </w:t>
      </w:r>
      <w:r>
        <w:rPr>
          <w:sz w:val="28"/>
        </w:rPr>
        <w:t>the</w:t>
      </w:r>
      <w:r>
        <w:rPr>
          <w:spacing w:val="-5"/>
          <w:sz w:val="28"/>
        </w:rPr>
        <w:t> </w:t>
      </w:r>
      <w:r>
        <w:rPr>
          <w:sz w:val="28"/>
        </w:rPr>
        <w:t>UK</w:t>
      </w:r>
      <w:r>
        <w:rPr>
          <w:spacing w:val="-5"/>
          <w:sz w:val="28"/>
        </w:rPr>
        <w:t> </w:t>
      </w:r>
      <w:r>
        <w:rPr>
          <w:sz w:val="28"/>
        </w:rPr>
        <w:t>Government</w:t>
      </w:r>
      <w:r>
        <w:rPr>
          <w:spacing w:val="-5"/>
          <w:sz w:val="28"/>
        </w:rPr>
        <w:t> </w:t>
      </w:r>
      <w:r>
        <w:rPr>
          <w:sz w:val="28"/>
        </w:rPr>
        <w:t>or</w:t>
      </w:r>
      <w:r>
        <w:rPr>
          <w:spacing w:val="-5"/>
          <w:sz w:val="28"/>
        </w:rPr>
        <w:t> </w:t>
      </w:r>
      <w:r>
        <w:rPr>
          <w:sz w:val="28"/>
        </w:rPr>
        <w:t>NI</w:t>
      </w:r>
      <w:r>
        <w:rPr>
          <w:spacing w:val="-5"/>
          <w:sz w:val="28"/>
        </w:rPr>
        <w:t> </w:t>
      </w:r>
      <w:r>
        <w:rPr>
          <w:sz w:val="28"/>
        </w:rPr>
        <w:t>Executive</w:t>
      </w:r>
      <w:r>
        <w:rPr>
          <w:spacing w:val="-5"/>
          <w:sz w:val="28"/>
        </w:rPr>
        <w:t> </w:t>
      </w:r>
      <w:r>
        <w:rPr>
          <w:sz w:val="28"/>
        </w:rPr>
        <w:t>to</w:t>
      </w:r>
      <w:r>
        <w:rPr>
          <w:spacing w:val="-6"/>
          <w:sz w:val="28"/>
        </w:rPr>
        <w:t> </w:t>
      </w:r>
      <w:r>
        <w:rPr>
          <w:sz w:val="28"/>
        </w:rPr>
        <w:t>adopt</w:t>
      </w:r>
      <w:r>
        <w:rPr>
          <w:spacing w:val="-5"/>
          <w:sz w:val="28"/>
        </w:rPr>
        <w:t> </w:t>
      </w:r>
      <w:r>
        <w:rPr>
          <w:sz w:val="28"/>
        </w:rPr>
        <w:t>the</w:t>
      </w:r>
      <w:r>
        <w:rPr>
          <w:spacing w:val="-5"/>
          <w:sz w:val="28"/>
        </w:rPr>
        <w:t> </w:t>
      </w:r>
      <w:r>
        <w:rPr>
          <w:sz w:val="28"/>
        </w:rPr>
        <w:t>EU Directive into UK law.</w:t>
      </w:r>
      <w:r>
        <w:rPr>
          <w:spacing w:val="40"/>
          <w:sz w:val="28"/>
        </w:rPr>
        <w:t> </w:t>
      </w:r>
      <w:r>
        <w:rPr>
          <w:sz w:val="28"/>
        </w:rPr>
        <w:t>The Commissions have called on the UK Government and NI Assembly, to keep pace with this EU accessibility legislation, on a voluntary</w:t>
      </w:r>
      <w:r>
        <w:rPr>
          <w:spacing w:val="-2"/>
          <w:sz w:val="28"/>
        </w:rPr>
        <w:t> </w:t>
      </w:r>
      <w:r>
        <w:rPr>
          <w:sz w:val="28"/>
        </w:rPr>
        <w:t>basis,</w:t>
      </w:r>
      <w:r>
        <w:rPr>
          <w:spacing w:val="-2"/>
          <w:sz w:val="28"/>
        </w:rPr>
        <w:t> </w:t>
      </w:r>
      <w:r>
        <w:rPr>
          <w:sz w:val="28"/>
        </w:rPr>
        <w:t>to</w:t>
      </w:r>
      <w:r>
        <w:rPr>
          <w:spacing w:val="-3"/>
          <w:sz w:val="28"/>
        </w:rPr>
        <w:t> </w:t>
      </w:r>
      <w:r>
        <w:rPr>
          <w:sz w:val="28"/>
        </w:rPr>
        <w:t>address</w:t>
      </w:r>
      <w:r>
        <w:rPr>
          <w:spacing w:val="-3"/>
          <w:sz w:val="28"/>
        </w:rPr>
        <w:t> </w:t>
      </w:r>
      <w:r>
        <w:rPr>
          <w:sz w:val="28"/>
        </w:rPr>
        <w:t>key</w:t>
      </w:r>
      <w:r>
        <w:rPr>
          <w:spacing w:val="-2"/>
          <w:sz w:val="28"/>
        </w:rPr>
        <w:t> </w:t>
      </w:r>
      <w:r>
        <w:rPr>
          <w:sz w:val="28"/>
        </w:rPr>
        <w:t>inequalities</w:t>
      </w:r>
      <w:r>
        <w:rPr>
          <w:spacing w:val="-3"/>
          <w:sz w:val="28"/>
        </w:rPr>
        <w:t> </w:t>
      </w:r>
      <w:r>
        <w:rPr>
          <w:sz w:val="28"/>
        </w:rPr>
        <w:t>that</w:t>
      </w:r>
      <w:r>
        <w:rPr>
          <w:spacing w:val="-2"/>
          <w:sz w:val="28"/>
        </w:rPr>
        <w:t> </w:t>
      </w:r>
      <w:r>
        <w:rPr>
          <w:sz w:val="28"/>
        </w:rPr>
        <w:t>exist</w:t>
      </w:r>
      <w:r>
        <w:rPr>
          <w:spacing w:val="-2"/>
          <w:sz w:val="28"/>
        </w:rPr>
        <w:t> </w:t>
      </w:r>
      <w:r>
        <w:rPr>
          <w:sz w:val="28"/>
        </w:rPr>
        <w:t>for</w:t>
      </w:r>
      <w:r>
        <w:rPr>
          <w:spacing w:val="-2"/>
          <w:sz w:val="28"/>
        </w:rPr>
        <w:t> </w:t>
      </w:r>
      <w:r>
        <w:rPr>
          <w:sz w:val="28"/>
        </w:rPr>
        <w:t>disabled</w:t>
      </w:r>
      <w:r>
        <w:rPr>
          <w:spacing w:val="-3"/>
          <w:sz w:val="28"/>
        </w:rPr>
        <w:t> </w:t>
      </w:r>
      <w:r>
        <w:rPr>
          <w:sz w:val="28"/>
        </w:rPr>
        <w:t>people</w:t>
      </w:r>
      <w:r>
        <w:rPr>
          <w:spacing w:val="-2"/>
          <w:sz w:val="28"/>
        </w:rPr>
        <w:t> </w:t>
      </w:r>
      <w:r>
        <w:rPr>
          <w:sz w:val="28"/>
        </w:rPr>
        <w:t>and older people in accessing goods and services, where rights are strengthened and where it aligns with international human rights standards and best</w:t>
      </w:r>
    </w:p>
    <w:p>
      <w:pPr>
        <w:pStyle w:val="BodyText"/>
        <w:spacing w:before="78"/>
        <w:rPr>
          <w:sz w:val="20"/>
        </w:rPr>
      </w:pPr>
      <w:r>
        <w:rPr/>
        <mc:AlternateContent>
          <mc:Choice Requires="wps">
            <w:drawing>
              <wp:anchor distT="0" distB="0" distL="0" distR="0" allowOverlap="1" layoutInCell="1" locked="0" behindDoc="1" simplePos="0" relativeHeight="487651328">
                <wp:simplePos x="0" y="0"/>
                <wp:positionH relativeFrom="page">
                  <wp:posOffset>719999</wp:posOffset>
                </wp:positionH>
                <wp:positionV relativeFrom="paragraph">
                  <wp:posOffset>220013</wp:posOffset>
                </wp:positionV>
                <wp:extent cx="6120130" cy="1270"/>
                <wp:effectExtent l="0" t="0" r="0" b="0"/>
                <wp:wrapTopAndBottom/>
                <wp:docPr id="235" name="Graphic 235"/>
                <wp:cNvGraphicFramePr>
                  <a:graphicFrameLocks/>
                </wp:cNvGraphicFramePr>
                <a:graphic>
                  <a:graphicData uri="http://schemas.microsoft.com/office/word/2010/wordprocessingShape">
                    <wps:wsp>
                      <wps:cNvPr id="235" name="Graphic 235"/>
                      <wps:cNvSpPr/>
                      <wps:spPr>
                        <a:xfrm>
                          <a:off x="0" y="0"/>
                          <a:ext cx="6120130" cy="1270"/>
                        </a:xfrm>
                        <a:custGeom>
                          <a:avLst/>
                          <a:gdLst/>
                          <a:ahLst/>
                          <a:cxnLst/>
                          <a:rect l="l" t="t" r="r" b="b"/>
                          <a:pathLst>
                            <a:path w="6120130" h="0">
                              <a:moveTo>
                                <a:pt x="0" y="0"/>
                              </a:moveTo>
                              <a:lnTo>
                                <a:pt x="6120003"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7.323891pt;width:481.9pt;height:.1pt;mso-position-horizontal-relative:page;mso-position-vertical-relative:paragraph;z-index:-15665152;mso-wrap-distance-left:0;mso-wrap-distance-right:0" id="docshape189" coordorigin="1134,346" coordsize="9638,0" path="m1134,346l10772,346e" filled="false" stroked="true" strokeweight="1pt" strokecolor="#393b7f">
                <v:path arrowok="t"/>
                <v:stroke dashstyle="solid"/>
                <w10:wrap type="topAndBottom"/>
              </v:shape>
            </w:pict>
          </mc:Fallback>
        </mc:AlternateContent>
      </w:r>
    </w:p>
    <w:p>
      <w:pPr>
        <w:pStyle w:val="ListParagraph"/>
        <w:numPr>
          <w:ilvl w:val="0"/>
          <w:numId w:val="3"/>
        </w:numPr>
        <w:tabs>
          <w:tab w:pos="1853" w:val="left" w:leader="none"/>
        </w:tabs>
        <w:spacing w:line="235" w:lineRule="auto" w:before="142" w:after="0"/>
        <w:ind w:left="1853" w:right="1412" w:hanging="720"/>
        <w:jc w:val="both"/>
        <w:rPr>
          <w:sz w:val="18"/>
        </w:rPr>
      </w:pPr>
      <w:r>
        <w:rPr>
          <w:sz w:val="18"/>
        </w:rPr>
        <w:t>Sarah</w:t>
      </w:r>
      <w:r>
        <w:rPr>
          <w:spacing w:val="-7"/>
          <w:sz w:val="18"/>
        </w:rPr>
        <w:t> </w:t>
      </w:r>
      <w:r>
        <w:rPr>
          <w:sz w:val="18"/>
        </w:rPr>
        <w:t>Craig,</w:t>
      </w:r>
      <w:r>
        <w:rPr>
          <w:spacing w:val="-6"/>
          <w:sz w:val="18"/>
        </w:rPr>
        <w:t> </w:t>
      </w:r>
      <w:r>
        <w:rPr>
          <w:sz w:val="18"/>
        </w:rPr>
        <w:t>Anurag</w:t>
      </w:r>
      <w:r>
        <w:rPr>
          <w:spacing w:val="-6"/>
          <w:sz w:val="18"/>
        </w:rPr>
        <w:t> </w:t>
      </w:r>
      <w:r>
        <w:rPr>
          <w:sz w:val="18"/>
        </w:rPr>
        <w:t>Deb,</w:t>
      </w:r>
      <w:r>
        <w:rPr>
          <w:spacing w:val="-6"/>
          <w:sz w:val="18"/>
        </w:rPr>
        <w:t> </w:t>
      </w:r>
      <w:r>
        <w:rPr>
          <w:sz w:val="18"/>
        </w:rPr>
        <w:t>Eleni</w:t>
      </w:r>
      <w:r>
        <w:rPr>
          <w:spacing w:val="-7"/>
          <w:sz w:val="18"/>
        </w:rPr>
        <w:t> </w:t>
      </w:r>
      <w:r>
        <w:rPr>
          <w:sz w:val="18"/>
        </w:rPr>
        <w:t>Frantziou,</w:t>
      </w:r>
      <w:r>
        <w:rPr>
          <w:spacing w:val="-6"/>
          <w:sz w:val="18"/>
        </w:rPr>
        <w:t> </w:t>
      </w:r>
      <w:r>
        <w:rPr>
          <w:sz w:val="18"/>
        </w:rPr>
        <w:t>Alexander</w:t>
      </w:r>
      <w:r>
        <w:rPr>
          <w:spacing w:val="-6"/>
          <w:sz w:val="18"/>
        </w:rPr>
        <w:t> </w:t>
      </w:r>
      <w:r>
        <w:rPr>
          <w:sz w:val="18"/>
        </w:rPr>
        <w:t>Horne,</w:t>
      </w:r>
      <w:r>
        <w:rPr>
          <w:spacing w:val="-6"/>
          <w:sz w:val="18"/>
        </w:rPr>
        <w:t> </w:t>
      </w:r>
      <w:r>
        <w:rPr>
          <w:sz w:val="18"/>
        </w:rPr>
        <w:t>Colin</w:t>
      </w:r>
      <w:r>
        <w:rPr>
          <w:spacing w:val="-7"/>
          <w:sz w:val="18"/>
        </w:rPr>
        <w:t> </w:t>
      </w:r>
      <w:r>
        <w:rPr>
          <w:sz w:val="18"/>
        </w:rPr>
        <w:t>Murray,</w:t>
      </w:r>
      <w:r>
        <w:rPr>
          <w:spacing w:val="-6"/>
          <w:sz w:val="18"/>
        </w:rPr>
        <w:t> </w:t>
      </w:r>
      <w:r>
        <w:rPr>
          <w:sz w:val="18"/>
        </w:rPr>
        <w:t>Clare</w:t>
      </w:r>
      <w:r>
        <w:rPr>
          <w:spacing w:val="-6"/>
          <w:sz w:val="18"/>
        </w:rPr>
        <w:t> </w:t>
      </w:r>
      <w:r>
        <w:rPr>
          <w:sz w:val="18"/>
        </w:rPr>
        <w:t>Rice</w:t>
      </w:r>
      <w:r>
        <w:rPr>
          <w:spacing w:val="-6"/>
          <w:sz w:val="18"/>
        </w:rPr>
        <w:t> </w:t>
      </w:r>
      <w:r>
        <w:rPr>
          <w:sz w:val="18"/>
        </w:rPr>
        <w:t>and</w:t>
      </w:r>
      <w:r>
        <w:rPr>
          <w:spacing w:val="-7"/>
          <w:sz w:val="18"/>
        </w:rPr>
        <w:t> </w:t>
      </w:r>
      <w:r>
        <w:rPr>
          <w:sz w:val="18"/>
        </w:rPr>
        <w:t>Jane</w:t>
      </w:r>
      <w:r>
        <w:rPr>
          <w:spacing w:val="-6"/>
          <w:sz w:val="18"/>
        </w:rPr>
        <w:t> </w:t>
      </w:r>
      <w:r>
        <w:rPr>
          <w:sz w:val="18"/>
        </w:rPr>
        <w:t>Rooney,</w:t>
      </w:r>
      <w:r>
        <w:rPr>
          <w:spacing w:val="-6"/>
          <w:sz w:val="18"/>
        </w:rPr>
        <w:t> </w:t>
      </w:r>
      <w:r>
        <w:rPr>
          <w:sz w:val="18"/>
        </w:rPr>
        <w:t>‘</w:t>
      </w:r>
      <w:hyperlink r:id="rId75">
        <w:r>
          <w:rPr>
            <w:sz w:val="18"/>
          </w:rPr>
          <w:t>European</w:t>
        </w:r>
        <w:r>
          <w:rPr>
            <w:spacing w:val="-7"/>
            <w:sz w:val="18"/>
          </w:rPr>
          <w:t> </w:t>
        </w:r>
        <w:r>
          <w:rPr>
            <w:sz w:val="18"/>
          </w:rPr>
          <w:t>Union</w:t>
        </w:r>
      </w:hyperlink>
      <w:r>
        <w:rPr>
          <w:sz w:val="18"/>
        </w:rPr>
        <w:t> </w:t>
      </w:r>
      <w:hyperlink r:id="rId75">
        <w:r>
          <w:rPr>
            <w:sz w:val="18"/>
          </w:rPr>
          <w:t>developments</w:t>
        </w:r>
        <w:r>
          <w:rPr>
            <w:spacing w:val="-2"/>
            <w:sz w:val="18"/>
          </w:rPr>
          <w:t> </w:t>
        </w:r>
        <w:r>
          <w:rPr>
            <w:sz w:val="18"/>
          </w:rPr>
          <w:t>in</w:t>
        </w:r>
        <w:r>
          <w:rPr>
            <w:spacing w:val="-2"/>
            <w:sz w:val="18"/>
          </w:rPr>
          <w:t> </w:t>
        </w:r>
        <w:r>
          <w:rPr>
            <w:sz w:val="18"/>
          </w:rPr>
          <w:t>Equality</w:t>
        </w:r>
        <w:r>
          <w:rPr>
            <w:spacing w:val="-1"/>
            <w:sz w:val="18"/>
          </w:rPr>
          <w:t> </w:t>
        </w:r>
        <w:r>
          <w:rPr>
            <w:sz w:val="18"/>
          </w:rPr>
          <w:t>and</w:t>
        </w:r>
        <w:r>
          <w:rPr>
            <w:spacing w:val="-2"/>
            <w:sz w:val="18"/>
          </w:rPr>
          <w:t> </w:t>
        </w:r>
        <w:r>
          <w:rPr>
            <w:sz w:val="18"/>
          </w:rPr>
          <w:t>Human</w:t>
        </w:r>
        <w:r>
          <w:rPr>
            <w:spacing w:val="-2"/>
            <w:sz w:val="18"/>
          </w:rPr>
          <w:t> </w:t>
        </w:r>
        <w:r>
          <w:rPr>
            <w:sz w:val="18"/>
          </w:rPr>
          <w:t>Rights:</w:t>
        </w:r>
        <w:r>
          <w:rPr>
            <w:spacing w:val="-1"/>
            <w:sz w:val="18"/>
          </w:rPr>
          <w:t> </w:t>
        </w:r>
        <w:r>
          <w:rPr>
            <w:sz w:val="18"/>
          </w:rPr>
          <w:t>The</w:t>
        </w:r>
        <w:r>
          <w:rPr>
            <w:spacing w:val="-1"/>
            <w:sz w:val="18"/>
          </w:rPr>
          <w:t> </w:t>
        </w:r>
        <w:r>
          <w:rPr>
            <w:sz w:val="18"/>
          </w:rPr>
          <w:t>Impact</w:t>
        </w:r>
        <w:r>
          <w:rPr>
            <w:spacing w:val="-1"/>
            <w:sz w:val="18"/>
          </w:rPr>
          <w:t> </w:t>
        </w:r>
        <w:r>
          <w:rPr>
            <w:sz w:val="18"/>
          </w:rPr>
          <w:t>of</w:t>
        </w:r>
        <w:r>
          <w:rPr>
            <w:spacing w:val="-2"/>
            <w:sz w:val="18"/>
          </w:rPr>
          <w:t> </w:t>
        </w:r>
        <w:r>
          <w:rPr>
            <w:sz w:val="18"/>
          </w:rPr>
          <w:t>Brexit</w:t>
        </w:r>
        <w:r>
          <w:rPr>
            <w:spacing w:val="-1"/>
            <w:sz w:val="18"/>
          </w:rPr>
          <w:t> </w:t>
        </w:r>
        <w:r>
          <w:rPr>
            <w:sz w:val="18"/>
          </w:rPr>
          <w:t>on</w:t>
        </w:r>
        <w:r>
          <w:rPr>
            <w:spacing w:val="-2"/>
            <w:sz w:val="18"/>
          </w:rPr>
          <w:t> </w:t>
        </w:r>
        <w:r>
          <w:rPr>
            <w:sz w:val="18"/>
          </w:rPr>
          <w:t>the</w:t>
        </w:r>
        <w:r>
          <w:rPr>
            <w:spacing w:val="-1"/>
            <w:sz w:val="18"/>
          </w:rPr>
          <w:t> </w:t>
        </w:r>
        <w:r>
          <w:rPr>
            <w:sz w:val="18"/>
          </w:rPr>
          <w:t>divergence</w:t>
        </w:r>
        <w:r>
          <w:rPr>
            <w:spacing w:val="-1"/>
            <w:sz w:val="18"/>
          </w:rPr>
          <w:t> </w:t>
        </w:r>
        <w:r>
          <w:rPr>
            <w:sz w:val="18"/>
          </w:rPr>
          <w:t>of</w:t>
        </w:r>
        <w:r>
          <w:rPr>
            <w:spacing w:val="-2"/>
            <w:sz w:val="18"/>
          </w:rPr>
          <w:t> </w:t>
        </w:r>
        <w:r>
          <w:rPr>
            <w:sz w:val="18"/>
          </w:rPr>
          <w:t>rights</w:t>
        </w:r>
        <w:r>
          <w:rPr>
            <w:spacing w:val="-2"/>
            <w:sz w:val="18"/>
          </w:rPr>
          <w:t> </w:t>
        </w:r>
        <w:r>
          <w:rPr>
            <w:sz w:val="18"/>
          </w:rPr>
          <w:t>and</w:t>
        </w:r>
        <w:r>
          <w:rPr>
            <w:spacing w:val="-2"/>
            <w:sz w:val="18"/>
          </w:rPr>
          <w:t> </w:t>
        </w:r>
        <w:r>
          <w:rPr>
            <w:sz w:val="18"/>
          </w:rPr>
          <w:t>best</w:t>
        </w:r>
        <w:r>
          <w:rPr>
            <w:spacing w:val="-1"/>
            <w:sz w:val="18"/>
          </w:rPr>
          <w:t> </w:t>
        </w:r>
        <w:r>
          <w:rPr>
            <w:sz w:val="18"/>
          </w:rPr>
          <w:t>practice</w:t>
        </w:r>
        <w:r>
          <w:rPr>
            <w:spacing w:val="-1"/>
            <w:sz w:val="18"/>
          </w:rPr>
          <w:t> </w:t>
        </w:r>
        <w:r>
          <w:rPr>
            <w:sz w:val="18"/>
          </w:rPr>
          <w:t>on</w:t>
        </w:r>
        <w:r>
          <w:rPr>
            <w:spacing w:val="-2"/>
            <w:sz w:val="18"/>
          </w:rPr>
          <w:t> </w:t>
        </w:r>
        <w:r>
          <w:rPr>
            <w:sz w:val="18"/>
          </w:rPr>
          <w:t>the</w:t>
        </w:r>
      </w:hyperlink>
      <w:r>
        <w:rPr>
          <w:sz w:val="18"/>
        </w:rPr>
        <w:t> </w:t>
      </w:r>
      <w:hyperlink r:id="rId75">
        <w:r>
          <w:rPr>
            <w:sz w:val="18"/>
          </w:rPr>
          <w:t>island of Ireland</w:t>
        </w:r>
      </w:hyperlink>
      <w:r>
        <w:rPr>
          <w:sz w:val="18"/>
        </w:rPr>
        <w:t>’ (ECNI, NIHRC and IHREC, 2022), at 9.</w:t>
      </w:r>
    </w:p>
    <w:p>
      <w:pPr>
        <w:pStyle w:val="ListParagraph"/>
        <w:numPr>
          <w:ilvl w:val="0"/>
          <w:numId w:val="3"/>
        </w:numPr>
        <w:tabs>
          <w:tab w:pos="1853" w:val="left" w:leader="none"/>
        </w:tabs>
        <w:spacing w:line="235" w:lineRule="auto" w:before="2" w:after="0"/>
        <w:ind w:left="1853" w:right="1390" w:hanging="720"/>
        <w:jc w:val="left"/>
        <w:rPr>
          <w:sz w:val="18"/>
        </w:rPr>
      </w:pPr>
      <w:r>
        <w:rPr>
          <w:i/>
          <w:sz w:val="18"/>
        </w:rPr>
        <w:t>Szpital Kliniczny im. dra J. Babińskiego Samodzielny Publiczny Zakład Opieki Zdrowotnej w Krakowi</w:t>
      </w:r>
      <w:r>
        <w:rPr>
          <w:sz w:val="18"/>
        </w:rPr>
        <w:t>e, Case C-16/19, 29 January 2021.</w:t>
      </w:r>
      <w:r>
        <w:rPr>
          <w:spacing w:val="40"/>
          <w:sz w:val="18"/>
        </w:rPr>
        <w:t> </w:t>
      </w:r>
      <w:r>
        <w:rPr>
          <w:sz w:val="18"/>
        </w:rPr>
        <w:t>The CJEU ruled that under Article 1 of the Framework Equality Directive the definition of ‘disability discrimination’</w:t>
      </w:r>
      <w:r>
        <w:rPr>
          <w:spacing w:val="-3"/>
          <w:sz w:val="18"/>
        </w:rPr>
        <w:t> </w:t>
      </w:r>
      <w:r>
        <w:rPr>
          <w:sz w:val="18"/>
        </w:rPr>
        <w:t>should</w:t>
      </w:r>
      <w:r>
        <w:rPr>
          <w:spacing w:val="-4"/>
          <w:sz w:val="18"/>
        </w:rPr>
        <w:t> </w:t>
      </w:r>
      <w:r>
        <w:rPr>
          <w:sz w:val="18"/>
        </w:rPr>
        <w:t>include</w:t>
      </w:r>
      <w:r>
        <w:rPr>
          <w:spacing w:val="-3"/>
          <w:sz w:val="18"/>
        </w:rPr>
        <w:t> </w:t>
      </w:r>
      <w:r>
        <w:rPr>
          <w:sz w:val="18"/>
        </w:rPr>
        <w:t>discrimination</w:t>
      </w:r>
      <w:r>
        <w:rPr>
          <w:spacing w:val="-4"/>
          <w:sz w:val="18"/>
        </w:rPr>
        <w:t> </w:t>
      </w:r>
      <w:r>
        <w:rPr>
          <w:sz w:val="18"/>
        </w:rPr>
        <w:t>between</w:t>
      </w:r>
      <w:r>
        <w:rPr>
          <w:spacing w:val="-4"/>
          <w:sz w:val="18"/>
        </w:rPr>
        <w:t> </w:t>
      </w:r>
      <w:r>
        <w:rPr>
          <w:sz w:val="18"/>
        </w:rPr>
        <w:t>persons</w:t>
      </w:r>
      <w:r>
        <w:rPr>
          <w:spacing w:val="-4"/>
          <w:sz w:val="18"/>
        </w:rPr>
        <w:t> </w:t>
      </w:r>
      <w:r>
        <w:rPr>
          <w:sz w:val="18"/>
        </w:rPr>
        <w:t>with</w:t>
      </w:r>
      <w:r>
        <w:rPr>
          <w:spacing w:val="-4"/>
          <w:sz w:val="18"/>
        </w:rPr>
        <w:t> </w:t>
      </w:r>
      <w:r>
        <w:rPr>
          <w:sz w:val="18"/>
        </w:rPr>
        <w:t>disabilities.</w:t>
      </w:r>
      <w:r>
        <w:rPr>
          <w:spacing w:val="-4"/>
          <w:sz w:val="18"/>
        </w:rPr>
        <w:t> </w:t>
      </w:r>
      <w:r>
        <w:rPr>
          <w:sz w:val="18"/>
        </w:rPr>
        <w:t>It</w:t>
      </w:r>
      <w:r>
        <w:rPr>
          <w:spacing w:val="-3"/>
          <w:sz w:val="18"/>
        </w:rPr>
        <w:t> </w:t>
      </w:r>
      <w:r>
        <w:rPr>
          <w:sz w:val="18"/>
        </w:rPr>
        <w:t>also</w:t>
      </w:r>
      <w:r>
        <w:rPr>
          <w:spacing w:val="-4"/>
          <w:sz w:val="18"/>
        </w:rPr>
        <w:t> </w:t>
      </w:r>
      <w:r>
        <w:rPr>
          <w:sz w:val="18"/>
        </w:rPr>
        <w:t>ruled</w:t>
      </w:r>
      <w:r>
        <w:rPr>
          <w:spacing w:val="-4"/>
          <w:sz w:val="18"/>
        </w:rPr>
        <w:t> </w:t>
      </w:r>
      <w:r>
        <w:rPr>
          <w:sz w:val="18"/>
        </w:rPr>
        <w:t>that</w:t>
      </w:r>
      <w:r>
        <w:rPr>
          <w:spacing w:val="-3"/>
          <w:sz w:val="18"/>
        </w:rPr>
        <w:t> </w:t>
      </w:r>
      <w:r>
        <w:rPr>
          <w:sz w:val="18"/>
        </w:rPr>
        <w:t>under</w:t>
      </w:r>
      <w:r>
        <w:rPr>
          <w:spacing w:val="-3"/>
          <w:sz w:val="18"/>
        </w:rPr>
        <w:t> </w:t>
      </w:r>
      <w:r>
        <w:rPr>
          <w:sz w:val="18"/>
        </w:rPr>
        <w:t>Article</w:t>
      </w:r>
      <w:r>
        <w:rPr>
          <w:spacing w:val="-3"/>
          <w:sz w:val="18"/>
        </w:rPr>
        <w:t> </w:t>
      </w:r>
      <w:r>
        <w:rPr>
          <w:sz w:val="18"/>
        </w:rPr>
        <w:t>2</w:t>
      </w:r>
      <w:r>
        <w:rPr>
          <w:spacing w:val="-3"/>
          <w:sz w:val="18"/>
        </w:rPr>
        <w:t> </w:t>
      </w:r>
      <w:r>
        <w:rPr>
          <w:sz w:val="18"/>
        </w:rPr>
        <w:t>of</w:t>
      </w:r>
      <w:r>
        <w:rPr>
          <w:spacing w:val="-4"/>
          <w:sz w:val="18"/>
        </w:rPr>
        <w:t> </w:t>
      </w:r>
      <w:r>
        <w:rPr>
          <w:sz w:val="18"/>
        </w:rPr>
        <w:t>this Directive any form of discrimination which is inextricably linked to a protected characteristic amounts to direct discrimination, rather than indirect discrimination.</w:t>
      </w:r>
    </w:p>
    <w:p>
      <w:pPr>
        <w:pStyle w:val="ListParagraph"/>
        <w:numPr>
          <w:ilvl w:val="0"/>
          <w:numId w:val="3"/>
        </w:numPr>
        <w:tabs>
          <w:tab w:pos="1853" w:val="left" w:leader="none"/>
        </w:tabs>
        <w:spacing w:line="235" w:lineRule="auto" w:before="3" w:after="0"/>
        <w:ind w:left="1853" w:right="1408" w:hanging="720"/>
        <w:jc w:val="both"/>
        <w:rPr>
          <w:sz w:val="18"/>
        </w:rPr>
      </w:pPr>
      <w:r>
        <w:rPr>
          <w:sz w:val="18"/>
        </w:rPr>
        <w:t>Sarah</w:t>
      </w:r>
      <w:r>
        <w:rPr>
          <w:spacing w:val="-7"/>
          <w:sz w:val="18"/>
        </w:rPr>
        <w:t> </w:t>
      </w:r>
      <w:r>
        <w:rPr>
          <w:sz w:val="18"/>
        </w:rPr>
        <w:t>Craig,</w:t>
      </w:r>
      <w:r>
        <w:rPr>
          <w:spacing w:val="-6"/>
          <w:sz w:val="18"/>
        </w:rPr>
        <w:t> </w:t>
      </w:r>
      <w:r>
        <w:rPr>
          <w:sz w:val="18"/>
        </w:rPr>
        <w:t>Anurag</w:t>
      </w:r>
      <w:r>
        <w:rPr>
          <w:spacing w:val="-6"/>
          <w:sz w:val="18"/>
        </w:rPr>
        <w:t> </w:t>
      </w:r>
      <w:r>
        <w:rPr>
          <w:sz w:val="18"/>
        </w:rPr>
        <w:t>Deb,</w:t>
      </w:r>
      <w:r>
        <w:rPr>
          <w:spacing w:val="-6"/>
          <w:sz w:val="18"/>
        </w:rPr>
        <w:t> </w:t>
      </w:r>
      <w:r>
        <w:rPr>
          <w:sz w:val="18"/>
        </w:rPr>
        <w:t>Eleni</w:t>
      </w:r>
      <w:r>
        <w:rPr>
          <w:spacing w:val="-7"/>
          <w:sz w:val="18"/>
        </w:rPr>
        <w:t> </w:t>
      </w:r>
      <w:r>
        <w:rPr>
          <w:sz w:val="18"/>
        </w:rPr>
        <w:t>Frantziou,</w:t>
      </w:r>
      <w:r>
        <w:rPr>
          <w:spacing w:val="-6"/>
          <w:sz w:val="18"/>
        </w:rPr>
        <w:t> </w:t>
      </w:r>
      <w:r>
        <w:rPr>
          <w:sz w:val="18"/>
        </w:rPr>
        <w:t>Alexander</w:t>
      </w:r>
      <w:r>
        <w:rPr>
          <w:spacing w:val="-6"/>
          <w:sz w:val="18"/>
        </w:rPr>
        <w:t> </w:t>
      </w:r>
      <w:r>
        <w:rPr>
          <w:sz w:val="18"/>
        </w:rPr>
        <w:t>Horne,</w:t>
      </w:r>
      <w:r>
        <w:rPr>
          <w:spacing w:val="-6"/>
          <w:sz w:val="18"/>
        </w:rPr>
        <w:t> </w:t>
      </w:r>
      <w:r>
        <w:rPr>
          <w:sz w:val="18"/>
        </w:rPr>
        <w:t>Colin</w:t>
      </w:r>
      <w:r>
        <w:rPr>
          <w:spacing w:val="-7"/>
          <w:sz w:val="18"/>
        </w:rPr>
        <w:t> </w:t>
      </w:r>
      <w:r>
        <w:rPr>
          <w:sz w:val="18"/>
        </w:rPr>
        <w:t>Murray,</w:t>
      </w:r>
      <w:r>
        <w:rPr>
          <w:spacing w:val="-6"/>
          <w:sz w:val="18"/>
        </w:rPr>
        <w:t> </w:t>
      </w:r>
      <w:r>
        <w:rPr>
          <w:sz w:val="18"/>
        </w:rPr>
        <w:t>Clare</w:t>
      </w:r>
      <w:r>
        <w:rPr>
          <w:spacing w:val="-6"/>
          <w:sz w:val="18"/>
        </w:rPr>
        <w:t> </w:t>
      </w:r>
      <w:r>
        <w:rPr>
          <w:sz w:val="18"/>
        </w:rPr>
        <w:t>Rice</w:t>
      </w:r>
      <w:r>
        <w:rPr>
          <w:spacing w:val="-6"/>
          <w:sz w:val="18"/>
        </w:rPr>
        <w:t> </w:t>
      </w:r>
      <w:r>
        <w:rPr>
          <w:sz w:val="18"/>
        </w:rPr>
        <w:t>and</w:t>
      </w:r>
      <w:r>
        <w:rPr>
          <w:spacing w:val="-7"/>
          <w:sz w:val="18"/>
        </w:rPr>
        <w:t> </w:t>
      </w:r>
      <w:r>
        <w:rPr>
          <w:sz w:val="18"/>
        </w:rPr>
        <w:t>Jane</w:t>
      </w:r>
      <w:r>
        <w:rPr>
          <w:spacing w:val="-6"/>
          <w:sz w:val="18"/>
        </w:rPr>
        <w:t> </w:t>
      </w:r>
      <w:r>
        <w:rPr>
          <w:sz w:val="18"/>
        </w:rPr>
        <w:t>Rooney,</w:t>
      </w:r>
      <w:r>
        <w:rPr>
          <w:spacing w:val="-6"/>
          <w:sz w:val="18"/>
        </w:rPr>
        <w:t> </w:t>
      </w:r>
      <w:r>
        <w:rPr>
          <w:sz w:val="18"/>
        </w:rPr>
        <w:t>‘European</w:t>
      </w:r>
      <w:r>
        <w:rPr>
          <w:spacing w:val="-7"/>
          <w:sz w:val="18"/>
        </w:rPr>
        <w:t> </w:t>
      </w:r>
      <w:r>
        <w:rPr>
          <w:sz w:val="18"/>
        </w:rPr>
        <w:t>Union developments</w:t>
      </w:r>
      <w:r>
        <w:rPr>
          <w:spacing w:val="-1"/>
          <w:sz w:val="18"/>
        </w:rPr>
        <w:t> </w:t>
      </w:r>
      <w:r>
        <w:rPr>
          <w:sz w:val="18"/>
        </w:rPr>
        <w:t>in</w:t>
      </w:r>
      <w:r>
        <w:rPr>
          <w:spacing w:val="-1"/>
          <w:sz w:val="18"/>
        </w:rPr>
        <w:t> </w:t>
      </w:r>
      <w:r>
        <w:rPr>
          <w:sz w:val="18"/>
        </w:rPr>
        <w:t>Equality and</w:t>
      </w:r>
      <w:r>
        <w:rPr>
          <w:spacing w:val="-1"/>
          <w:sz w:val="18"/>
        </w:rPr>
        <w:t> </w:t>
      </w:r>
      <w:r>
        <w:rPr>
          <w:sz w:val="18"/>
        </w:rPr>
        <w:t>Human</w:t>
      </w:r>
      <w:r>
        <w:rPr>
          <w:spacing w:val="-1"/>
          <w:sz w:val="18"/>
        </w:rPr>
        <w:t> </w:t>
      </w:r>
      <w:r>
        <w:rPr>
          <w:sz w:val="18"/>
        </w:rPr>
        <w:t>Rights: The Impact of</w:t>
      </w:r>
      <w:r>
        <w:rPr>
          <w:spacing w:val="-1"/>
          <w:sz w:val="18"/>
        </w:rPr>
        <w:t> </w:t>
      </w:r>
      <w:r>
        <w:rPr>
          <w:sz w:val="18"/>
        </w:rPr>
        <w:t>Brexit on</w:t>
      </w:r>
      <w:r>
        <w:rPr>
          <w:spacing w:val="-1"/>
          <w:sz w:val="18"/>
        </w:rPr>
        <w:t> </w:t>
      </w:r>
      <w:r>
        <w:rPr>
          <w:sz w:val="18"/>
        </w:rPr>
        <w:t>the divergence of</w:t>
      </w:r>
      <w:r>
        <w:rPr>
          <w:spacing w:val="-1"/>
          <w:sz w:val="18"/>
        </w:rPr>
        <w:t> </w:t>
      </w:r>
      <w:r>
        <w:rPr>
          <w:sz w:val="18"/>
        </w:rPr>
        <w:t>rights</w:t>
      </w:r>
      <w:r>
        <w:rPr>
          <w:spacing w:val="-1"/>
          <w:sz w:val="18"/>
        </w:rPr>
        <w:t> </w:t>
      </w:r>
      <w:r>
        <w:rPr>
          <w:sz w:val="18"/>
        </w:rPr>
        <w:t>and</w:t>
      </w:r>
      <w:r>
        <w:rPr>
          <w:spacing w:val="-1"/>
          <w:sz w:val="18"/>
        </w:rPr>
        <w:t> </w:t>
      </w:r>
      <w:r>
        <w:rPr>
          <w:sz w:val="18"/>
        </w:rPr>
        <w:t>best practice on</w:t>
      </w:r>
      <w:r>
        <w:rPr>
          <w:spacing w:val="-1"/>
          <w:sz w:val="18"/>
        </w:rPr>
        <w:t> </w:t>
      </w:r>
      <w:r>
        <w:rPr>
          <w:sz w:val="18"/>
        </w:rPr>
        <w:t>the island of Ireland</w:t>
      </w:r>
      <w:r>
        <w:rPr>
          <w:color w:val="0562C1"/>
          <w:sz w:val="18"/>
        </w:rPr>
        <w:t>’ </w:t>
      </w:r>
      <w:r>
        <w:rPr>
          <w:sz w:val="18"/>
        </w:rPr>
        <w:t>(ECNI, NIHRC and IHREC, 2022), at 69.</w:t>
      </w:r>
    </w:p>
    <w:p>
      <w:pPr>
        <w:pStyle w:val="ListParagraph"/>
        <w:numPr>
          <w:ilvl w:val="0"/>
          <w:numId w:val="3"/>
        </w:numPr>
        <w:tabs>
          <w:tab w:pos="1853" w:val="left" w:leader="none"/>
        </w:tabs>
        <w:spacing w:line="216" w:lineRule="exact" w:before="0" w:after="0"/>
        <w:ind w:left="1853" w:right="0" w:hanging="720"/>
        <w:jc w:val="left"/>
        <w:rPr>
          <w:sz w:val="18"/>
        </w:rPr>
      </w:pPr>
      <w:r>
        <w:rPr>
          <w:i/>
          <w:sz w:val="18"/>
        </w:rPr>
        <w:t>TC</w:t>
      </w:r>
      <w:r>
        <w:rPr>
          <w:i/>
          <w:spacing w:val="-6"/>
          <w:sz w:val="18"/>
        </w:rPr>
        <w:t> </w:t>
      </w:r>
      <w:r>
        <w:rPr>
          <w:i/>
          <w:sz w:val="18"/>
        </w:rPr>
        <w:t>and</w:t>
      </w:r>
      <w:r>
        <w:rPr>
          <w:i/>
          <w:spacing w:val="-5"/>
          <w:sz w:val="18"/>
        </w:rPr>
        <w:t> </w:t>
      </w:r>
      <w:r>
        <w:rPr>
          <w:i/>
          <w:sz w:val="18"/>
        </w:rPr>
        <w:t>UB</w:t>
      </w:r>
      <w:r>
        <w:rPr>
          <w:i/>
          <w:spacing w:val="-5"/>
          <w:sz w:val="18"/>
        </w:rPr>
        <w:t> </w:t>
      </w:r>
      <w:r>
        <w:rPr>
          <w:i/>
          <w:sz w:val="18"/>
        </w:rPr>
        <w:t>v</w:t>
      </w:r>
      <w:r>
        <w:rPr>
          <w:i/>
          <w:spacing w:val="-4"/>
          <w:sz w:val="18"/>
        </w:rPr>
        <w:t> </w:t>
      </w:r>
      <w:r>
        <w:rPr>
          <w:i/>
          <w:sz w:val="18"/>
        </w:rPr>
        <w:t>Komisia</w:t>
      </w:r>
      <w:r>
        <w:rPr>
          <w:i/>
          <w:spacing w:val="-6"/>
          <w:sz w:val="18"/>
        </w:rPr>
        <w:t> </w:t>
      </w:r>
      <w:r>
        <w:rPr>
          <w:i/>
          <w:sz w:val="18"/>
        </w:rPr>
        <w:t>za</w:t>
      </w:r>
      <w:r>
        <w:rPr>
          <w:i/>
          <w:spacing w:val="-5"/>
          <w:sz w:val="18"/>
        </w:rPr>
        <w:t> </w:t>
      </w:r>
      <w:r>
        <w:rPr>
          <w:i/>
          <w:sz w:val="18"/>
        </w:rPr>
        <w:t>zashtita</w:t>
      </w:r>
      <w:r>
        <w:rPr>
          <w:i/>
          <w:spacing w:val="-6"/>
          <w:sz w:val="18"/>
        </w:rPr>
        <w:t> </w:t>
      </w:r>
      <w:r>
        <w:rPr>
          <w:i/>
          <w:sz w:val="18"/>
        </w:rPr>
        <w:t>ot</w:t>
      </w:r>
      <w:r>
        <w:rPr>
          <w:i/>
          <w:spacing w:val="-4"/>
          <w:sz w:val="18"/>
        </w:rPr>
        <w:t> </w:t>
      </w:r>
      <w:r>
        <w:rPr>
          <w:i/>
          <w:sz w:val="18"/>
        </w:rPr>
        <w:t>diskriminatsia</w:t>
      </w:r>
      <w:r>
        <w:rPr>
          <w:i/>
          <w:spacing w:val="-6"/>
          <w:sz w:val="18"/>
        </w:rPr>
        <w:t> </w:t>
      </w:r>
      <w:r>
        <w:rPr>
          <w:i/>
          <w:sz w:val="18"/>
        </w:rPr>
        <w:t>and</w:t>
      </w:r>
      <w:r>
        <w:rPr>
          <w:i/>
          <w:spacing w:val="-5"/>
          <w:sz w:val="18"/>
        </w:rPr>
        <w:t> </w:t>
      </w:r>
      <w:r>
        <w:rPr>
          <w:i/>
          <w:sz w:val="18"/>
        </w:rPr>
        <w:t>VA</w:t>
      </w:r>
      <w:r>
        <w:rPr>
          <w:i/>
          <w:spacing w:val="-5"/>
          <w:sz w:val="18"/>
        </w:rPr>
        <w:t> </w:t>
      </w:r>
      <w:r>
        <w:rPr>
          <w:sz w:val="18"/>
        </w:rPr>
        <w:t>(‘Jurors’),</w:t>
      </w:r>
      <w:r>
        <w:rPr>
          <w:spacing w:val="-5"/>
          <w:sz w:val="18"/>
        </w:rPr>
        <w:t> </w:t>
      </w:r>
      <w:r>
        <w:rPr>
          <w:sz w:val="18"/>
        </w:rPr>
        <w:t>Case</w:t>
      </w:r>
      <w:r>
        <w:rPr>
          <w:spacing w:val="-5"/>
          <w:sz w:val="18"/>
        </w:rPr>
        <w:t> </w:t>
      </w:r>
      <w:r>
        <w:rPr>
          <w:sz w:val="18"/>
        </w:rPr>
        <w:t>C-824/19,</w:t>
      </w:r>
      <w:r>
        <w:rPr>
          <w:spacing w:val="-4"/>
          <w:sz w:val="18"/>
        </w:rPr>
        <w:t> </w:t>
      </w:r>
      <w:r>
        <w:rPr>
          <w:sz w:val="18"/>
        </w:rPr>
        <w:t>21</w:t>
      </w:r>
      <w:r>
        <w:rPr>
          <w:spacing w:val="-5"/>
          <w:sz w:val="18"/>
        </w:rPr>
        <w:t> </w:t>
      </w:r>
      <w:r>
        <w:rPr>
          <w:sz w:val="18"/>
        </w:rPr>
        <w:t>October</w:t>
      </w:r>
      <w:r>
        <w:rPr>
          <w:spacing w:val="-4"/>
          <w:sz w:val="18"/>
        </w:rPr>
        <w:t> </w:t>
      </w:r>
      <w:r>
        <w:rPr>
          <w:spacing w:val="-2"/>
          <w:sz w:val="18"/>
        </w:rPr>
        <w:t>2021.</w:t>
      </w:r>
    </w:p>
    <w:p>
      <w:pPr>
        <w:pStyle w:val="ListParagraph"/>
        <w:numPr>
          <w:ilvl w:val="0"/>
          <w:numId w:val="3"/>
        </w:numPr>
        <w:tabs>
          <w:tab w:pos="1853" w:val="left" w:leader="none"/>
        </w:tabs>
        <w:spacing w:line="216" w:lineRule="exact" w:before="0" w:after="0"/>
        <w:ind w:left="1853" w:right="0" w:hanging="720"/>
        <w:jc w:val="left"/>
        <w:rPr>
          <w:sz w:val="18"/>
        </w:rPr>
      </w:pPr>
      <w:r>
        <w:rPr>
          <w:i/>
          <w:sz w:val="18"/>
        </w:rPr>
        <w:t>XX</w:t>
      </w:r>
      <w:r>
        <w:rPr>
          <w:i/>
          <w:spacing w:val="-5"/>
          <w:sz w:val="18"/>
        </w:rPr>
        <w:t> </w:t>
      </w:r>
      <w:r>
        <w:rPr>
          <w:i/>
          <w:sz w:val="18"/>
        </w:rPr>
        <w:t>v</w:t>
      </w:r>
      <w:r>
        <w:rPr>
          <w:i/>
          <w:spacing w:val="-4"/>
          <w:sz w:val="18"/>
        </w:rPr>
        <w:t> </w:t>
      </w:r>
      <w:r>
        <w:rPr>
          <w:i/>
          <w:sz w:val="18"/>
        </w:rPr>
        <w:t>Tartu</w:t>
      </w:r>
      <w:r>
        <w:rPr>
          <w:i/>
          <w:spacing w:val="-5"/>
          <w:sz w:val="18"/>
        </w:rPr>
        <w:t> </w:t>
      </w:r>
      <w:r>
        <w:rPr>
          <w:i/>
          <w:sz w:val="18"/>
        </w:rPr>
        <w:t>Vangla</w:t>
      </w:r>
      <w:r>
        <w:rPr>
          <w:sz w:val="18"/>
        </w:rPr>
        <w:t>,</w:t>
      </w:r>
      <w:r>
        <w:rPr>
          <w:spacing w:val="-4"/>
          <w:sz w:val="18"/>
        </w:rPr>
        <w:t> </w:t>
      </w:r>
      <w:r>
        <w:rPr>
          <w:sz w:val="18"/>
        </w:rPr>
        <w:t>Case</w:t>
      </w:r>
      <w:r>
        <w:rPr>
          <w:spacing w:val="-4"/>
          <w:sz w:val="18"/>
        </w:rPr>
        <w:t> </w:t>
      </w:r>
      <w:r>
        <w:rPr>
          <w:sz w:val="18"/>
        </w:rPr>
        <w:t>C-795/19,</w:t>
      </w:r>
      <w:r>
        <w:rPr>
          <w:spacing w:val="-4"/>
          <w:sz w:val="18"/>
        </w:rPr>
        <w:t> </w:t>
      </w:r>
      <w:r>
        <w:rPr>
          <w:sz w:val="18"/>
        </w:rPr>
        <w:t>15</w:t>
      </w:r>
      <w:r>
        <w:rPr>
          <w:spacing w:val="-4"/>
          <w:sz w:val="18"/>
        </w:rPr>
        <w:t> </w:t>
      </w:r>
      <w:r>
        <w:rPr>
          <w:sz w:val="18"/>
        </w:rPr>
        <w:t>July</w:t>
      </w:r>
      <w:r>
        <w:rPr>
          <w:spacing w:val="-4"/>
          <w:sz w:val="18"/>
        </w:rPr>
        <w:t> </w:t>
      </w:r>
      <w:r>
        <w:rPr>
          <w:spacing w:val="-2"/>
          <w:sz w:val="18"/>
        </w:rPr>
        <w:t>2021.</w:t>
      </w:r>
    </w:p>
    <w:p>
      <w:pPr>
        <w:pStyle w:val="ListParagraph"/>
        <w:numPr>
          <w:ilvl w:val="0"/>
          <w:numId w:val="3"/>
        </w:numPr>
        <w:tabs>
          <w:tab w:pos="1853" w:val="left" w:leader="none"/>
        </w:tabs>
        <w:spacing w:line="235" w:lineRule="auto" w:before="2" w:after="0"/>
        <w:ind w:left="1853" w:right="1172" w:hanging="720"/>
        <w:jc w:val="left"/>
        <w:rPr>
          <w:sz w:val="18"/>
        </w:rPr>
      </w:pPr>
      <w:r>
        <w:rPr>
          <w:sz w:val="18"/>
        </w:rPr>
        <w:t>Equality</w:t>
      </w:r>
      <w:r>
        <w:rPr>
          <w:spacing w:val="-6"/>
          <w:sz w:val="18"/>
        </w:rPr>
        <w:t> </w:t>
      </w:r>
      <w:r>
        <w:rPr>
          <w:sz w:val="18"/>
        </w:rPr>
        <w:t>Commission</w:t>
      </w:r>
      <w:r>
        <w:rPr>
          <w:spacing w:val="-6"/>
          <w:sz w:val="18"/>
        </w:rPr>
        <w:t> </w:t>
      </w:r>
      <w:r>
        <w:rPr>
          <w:sz w:val="18"/>
        </w:rPr>
        <w:t>for</w:t>
      </w:r>
      <w:r>
        <w:rPr>
          <w:spacing w:val="-6"/>
          <w:sz w:val="18"/>
        </w:rPr>
        <w:t> </w:t>
      </w:r>
      <w:r>
        <w:rPr>
          <w:sz w:val="18"/>
        </w:rPr>
        <w:t>NI,</w:t>
      </w:r>
      <w:r>
        <w:rPr>
          <w:spacing w:val="-6"/>
          <w:sz w:val="18"/>
        </w:rPr>
        <w:t> </w:t>
      </w:r>
      <w:r>
        <w:rPr>
          <w:sz w:val="18"/>
        </w:rPr>
        <w:t>‘</w:t>
      </w:r>
      <w:hyperlink r:id="rId109">
        <w:r>
          <w:rPr>
            <w:sz w:val="18"/>
          </w:rPr>
          <w:t>Strengthening</w:t>
        </w:r>
        <w:r>
          <w:rPr>
            <w:spacing w:val="-6"/>
            <w:sz w:val="18"/>
          </w:rPr>
          <w:t> </w:t>
        </w:r>
        <w:r>
          <w:rPr>
            <w:sz w:val="18"/>
          </w:rPr>
          <w:t>Protection</w:t>
        </w:r>
        <w:r>
          <w:rPr>
            <w:spacing w:val="-6"/>
            <w:sz w:val="18"/>
          </w:rPr>
          <w:t> </w:t>
        </w:r>
        <w:r>
          <w:rPr>
            <w:sz w:val="18"/>
          </w:rPr>
          <w:t>for</w:t>
        </w:r>
        <w:r>
          <w:rPr>
            <w:spacing w:val="-6"/>
            <w:sz w:val="18"/>
          </w:rPr>
          <w:t> </w:t>
        </w:r>
        <w:r>
          <w:rPr>
            <w:sz w:val="18"/>
          </w:rPr>
          <w:t>Disabled</w:t>
        </w:r>
        <w:r>
          <w:rPr>
            <w:spacing w:val="-6"/>
            <w:sz w:val="18"/>
          </w:rPr>
          <w:t> </w:t>
        </w:r>
        <w:r>
          <w:rPr>
            <w:sz w:val="18"/>
          </w:rPr>
          <w:t>People</w:t>
        </w:r>
        <w:r>
          <w:rPr>
            <w:spacing w:val="-6"/>
            <w:sz w:val="18"/>
          </w:rPr>
          <w:t> </w:t>
        </w:r>
        <w:r>
          <w:rPr>
            <w:sz w:val="18"/>
          </w:rPr>
          <w:t>Proposals</w:t>
        </w:r>
        <w:r>
          <w:rPr>
            <w:spacing w:val="-6"/>
            <w:sz w:val="18"/>
          </w:rPr>
          <w:t> </w:t>
        </w:r>
        <w:r>
          <w:rPr>
            <w:sz w:val="18"/>
          </w:rPr>
          <w:t>for</w:t>
        </w:r>
        <w:r>
          <w:rPr>
            <w:spacing w:val="-6"/>
            <w:sz w:val="18"/>
          </w:rPr>
          <w:t> </w:t>
        </w:r>
        <w:r>
          <w:rPr>
            <w:sz w:val="18"/>
          </w:rPr>
          <w:t>Reform</w:t>
        </w:r>
      </w:hyperlink>
      <w:r>
        <w:rPr>
          <w:spacing w:val="-7"/>
          <w:sz w:val="18"/>
        </w:rPr>
        <w:t> </w:t>
      </w:r>
      <w:r>
        <w:rPr>
          <w:sz w:val="18"/>
        </w:rPr>
        <w:t>-</w:t>
      </w:r>
      <w:r>
        <w:rPr>
          <w:spacing w:val="-6"/>
          <w:sz w:val="18"/>
        </w:rPr>
        <w:t> </w:t>
      </w:r>
      <w:r>
        <w:rPr>
          <w:sz w:val="18"/>
        </w:rPr>
        <w:t>Full</w:t>
      </w:r>
      <w:r>
        <w:rPr>
          <w:spacing w:val="-6"/>
          <w:sz w:val="18"/>
        </w:rPr>
        <w:t> </w:t>
      </w:r>
      <w:r>
        <w:rPr>
          <w:sz w:val="18"/>
        </w:rPr>
        <w:t>report’</w:t>
      </w:r>
      <w:r>
        <w:rPr>
          <w:spacing w:val="-6"/>
          <w:sz w:val="18"/>
        </w:rPr>
        <w:t> </w:t>
      </w:r>
      <w:r>
        <w:rPr>
          <w:sz w:val="18"/>
        </w:rPr>
        <w:t>(ECNI,</w:t>
      </w:r>
      <w:r>
        <w:rPr>
          <w:spacing w:val="-6"/>
          <w:sz w:val="18"/>
        </w:rPr>
        <w:t> </w:t>
      </w:r>
      <w:r>
        <w:rPr>
          <w:sz w:val="18"/>
        </w:rPr>
        <w:t>2012), at 7-8.</w:t>
      </w:r>
    </w:p>
    <w:p>
      <w:pPr>
        <w:pStyle w:val="ListParagraph"/>
        <w:numPr>
          <w:ilvl w:val="0"/>
          <w:numId w:val="3"/>
        </w:numPr>
        <w:tabs>
          <w:tab w:pos="1853" w:val="left" w:leader="none"/>
        </w:tabs>
        <w:spacing w:line="235" w:lineRule="auto" w:before="1" w:after="0"/>
        <w:ind w:left="1853" w:right="1447" w:hanging="720"/>
        <w:jc w:val="left"/>
        <w:rPr>
          <w:sz w:val="18"/>
        </w:rPr>
      </w:pPr>
      <w:r>
        <w:rPr>
          <w:sz w:val="18"/>
        </w:rPr>
        <w:t>Directive</w:t>
      </w:r>
      <w:r>
        <w:rPr>
          <w:spacing w:val="-4"/>
          <w:sz w:val="18"/>
        </w:rPr>
        <w:t> </w:t>
      </w:r>
      <w:r>
        <w:rPr>
          <w:sz w:val="18"/>
        </w:rPr>
        <w:t>2019/882/EU,</w:t>
      </w:r>
      <w:r>
        <w:rPr>
          <w:spacing w:val="-4"/>
          <w:sz w:val="18"/>
        </w:rPr>
        <w:t> </w:t>
      </w:r>
      <w:r>
        <w:rPr>
          <w:sz w:val="18"/>
        </w:rPr>
        <w:t>‘Directive</w:t>
      </w:r>
      <w:r>
        <w:rPr>
          <w:spacing w:val="-4"/>
          <w:sz w:val="18"/>
        </w:rPr>
        <w:t> </w:t>
      </w:r>
      <w:r>
        <w:rPr>
          <w:sz w:val="18"/>
        </w:rPr>
        <w:t>of</w:t>
      </w:r>
      <w:r>
        <w:rPr>
          <w:spacing w:val="-5"/>
          <w:sz w:val="18"/>
        </w:rPr>
        <w:t> </w:t>
      </w:r>
      <w:r>
        <w:rPr>
          <w:sz w:val="18"/>
        </w:rPr>
        <w:t>the</w:t>
      </w:r>
      <w:r>
        <w:rPr>
          <w:spacing w:val="-4"/>
          <w:sz w:val="18"/>
        </w:rPr>
        <w:t> </w:t>
      </w:r>
      <w:r>
        <w:rPr>
          <w:sz w:val="18"/>
        </w:rPr>
        <w:t>EU</w:t>
      </w:r>
      <w:r>
        <w:rPr>
          <w:spacing w:val="-4"/>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on</w:t>
      </w:r>
      <w:r>
        <w:rPr>
          <w:spacing w:val="-5"/>
          <w:sz w:val="18"/>
        </w:rPr>
        <w:t> </w:t>
      </w:r>
      <w:r>
        <w:rPr>
          <w:sz w:val="18"/>
        </w:rPr>
        <w:t>the</w:t>
      </w:r>
      <w:r>
        <w:rPr>
          <w:spacing w:val="-4"/>
          <w:sz w:val="18"/>
        </w:rPr>
        <w:t> </w:t>
      </w:r>
      <w:r>
        <w:rPr>
          <w:sz w:val="18"/>
        </w:rPr>
        <w:t>accessibility</w:t>
      </w:r>
      <w:r>
        <w:rPr>
          <w:spacing w:val="-4"/>
          <w:sz w:val="18"/>
        </w:rPr>
        <w:t> </w:t>
      </w:r>
      <w:r>
        <w:rPr>
          <w:sz w:val="18"/>
        </w:rPr>
        <w:t>requirements</w:t>
      </w:r>
      <w:r>
        <w:rPr>
          <w:spacing w:val="-5"/>
          <w:sz w:val="18"/>
        </w:rPr>
        <w:t> </w:t>
      </w:r>
      <w:r>
        <w:rPr>
          <w:sz w:val="18"/>
        </w:rPr>
        <w:t>for</w:t>
      </w:r>
      <w:r>
        <w:rPr>
          <w:spacing w:val="-4"/>
          <w:sz w:val="18"/>
        </w:rPr>
        <w:t> </w:t>
      </w:r>
      <w:r>
        <w:rPr>
          <w:sz w:val="18"/>
        </w:rPr>
        <w:t>products</w:t>
      </w:r>
      <w:r>
        <w:rPr>
          <w:spacing w:val="-5"/>
          <w:sz w:val="18"/>
        </w:rPr>
        <w:t> </w:t>
      </w:r>
      <w:r>
        <w:rPr>
          <w:sz w:val="18"/>
        </w:rPr>
        <w:t>and services (European Accessibility Act)’, 17 April 2019.</w:t>
      </w:r>
    </w:p>
    <w:p>
      <w:pPr>
        <w:pStyle w:val="ListParagraph"/>
        <w:numPr>
          <w:ilvl w:val="0"/>
          <w:numId w:val="3"/>
        </w:numPr>
        <w:tabs>
          <w:tab w:pos="1853" w:val="left" w:leader="none"/>
        </w:tabs>
        <w:spacing w:line="235" w:lineRule="auto" w:before="1" w:after="0"/>
        <w:ind w:left="1853" w:right="1534" w:hanging="720"/>
        <w:jc w:val="left"/>
        <w:rPr>
          <w:sz w:val="18"/>
        </w:rPr>
      </w:pPr>
      <w:r>
        <w:rPr>
          <w:sz w:val="18"/>
        </w:rPr>
        <w:t>The</w:t>
      </w:r>
      <w:r>
        <w:rPr>
          <w:spacing w:val="-3"/>
          <w:sz w:val="18"/>
        </w:rPr>
        <w:t> </w:t>
      </w:r>
      <w:r>
        <w:rPr>
          <w:sz w:val="18"/>
        </w:rPr>
        <w:t>European</w:t>
      </w:r>
      <w:r>
        <w:rPr>
          <w:spacing w:val="-4"/>
          <w:sz w:val="18"/>
        </w:rPr>
        <w:t> </w:t>
      </w:r>
      <w:r>
        <w:rPr>
          <w:sz w:val="18"/>
        </w:rPr>
        <w:t>Accessibility</w:t>
      </w:r>
      <w:r>
        <w:rPr>
          <w:spacing w:val="-3"/>
          <w:sz w:val="18"/>
        </w:rPr>
        <w:t> </w:t>
      </w:r>
      <w:r>
        <w:rPr>
          <w:sz w:val="18"/>
        </w:rPr>
        <w:t>Act</w:t>
      </w:r>
      <w:r>
        <w:rPr>
          <w:spacing w:val="-3"/>
          <w:sz w:val="18"/>
        </w:rPr>
        <w:t> </w:t>
      </w:r>
      <w:r>
        <w:rPr>
          <w:sz w:val="18"/>
        </w:rPr>
        <w:t>does</w:t>
      </w:r>
      <w:r>
        <w:rPr>
          <w:spacing w:val="-4"/>
          <w:sz w:val="18"/>
        </w:rPr>
        <w:t> </w:t>
      </w:r>
      <w:r>
        <w:rPr>
          <w:sz w:val="18"/>
        </w:rPr>
        <w:t>not</w:t>
      </w:r>
      <w:r>
        <w:rPr>
          <w:spacing w:val="-3"/>
          <w:sz w:val="18"/>
        </w:rPr>
        <w:t> </w:t>
      </w:r>
      <w:r>
        <w:rPr>
          <w:sz w:val="18"/>
        </w:rPr>
        <w:t>fall</w:t>
      </w:r>
      <w:r>
        <w:rPr>
          <w:spacing w:val="-4"/>
          <w:sz w:val="18"/>
        </w:rPr>
        <w:t> </w:t>
      </w:r>
      <w:r>
        <w:rPr>
          <w:sz w:val="18"/>
        </w:rPr>
        <w:t>directly</w:t>
      </w:r>
      <w:r>
        <w:rPr>
          <w:spacing w:val="-3"/>
          <w:sz w:val="18"/>
        </w:rPr>
        <w:t> </w:t>
      </w:r>
      <w:r>
        <w:rPr>
          <w:sz w:val="18"/>
        </w:rPr>
        <w:t>under</w:t>
      </w:r>
      <w:r>
        <w:rPr>
          <w:spacing w:val="-3"/>
          <w:sz w:val="18"/>
        </w:rPr>
        <w:t> </w:t>
      </w:r>
      <w:r>
        <w:rPr>
          <w:sz w:val="18"/>
        </w:rPr>
        <w:t>the</w:t>
      </w:r>
      <w:r>
        <w:rPr>
          <w:spacing w:val="-3"/>
          <w:sz w:val="18"/>
        </w:rPr>
        <w:t> </w:t>
      </w:r>
      <w:r>
        <w:rPr>
          <w:sz w:val="18"/>
        </w:rPr>
        <w:t>Windsor</w:t>
      </w:r>
      <w:r>
        <w:rPr>
          <w:spacing w:val="-3"/>
          <w:sz w:val="18"/>
        </w:rPr>
        <w:t> </w:t>
      </w:r>
      <w:r>
        <w:rPr>
          <w:sz w:val="18"/>
        </w:rPr>
        <w:t>Framework</w:t>
      </w:r>
      <w:r>
        <w:rPr>
          <w:spacing w:val="-3"/>
          <w:sz w:val="18"/>
        </w:rPr>
        <w:t> </w:t>
      </w:r>
      <w:r>
        <w:rPr>
          <w:sz w:val="18"/>
        </w:rPr>
        <w:t>Article</w:t>
      </w:r>
      <w:r>
        <w:rPr>
          <w:spacing w:val="-3"/>
          <w:sz w:val="18"/>
        </w:rPr>
        <w:t> </w:t>
      </w:r>
      <w:r>
        <w:rPr>
          <w:sz w:val="18"/>
        </w:rPr>
        <w:t>2</w:t>
      </w:r>
      <w:r>
        <w:rPr>
          <w:spacing w:val="-3"/>
          <w:sz w:val="18"/>
        </w:rPr>
        <w:t> </w:t>
      </w:r>
      <w:r>
        <w:rPr>
          <w:sz w:val="18"/>
        </w:rPr>
        <w:t>commitment.</w:t>
      </w:r>
      <w:r>
        <w:rPr>
          <w:spacing w:val="33"/>
          <w:sz w:val="18"/>
        </w:rPr>
        <w:t> </w:t>
      </w:r>
      <w:r>
        <w:rPr>
          <w:sz w:val="18"/>
        </w:rPr>
        <w:t>See</w:t>
      </w:r>
      <w:r>
        <w:rPr>
          <w:spacing w:val="-3"/>
          <w:sz w:val="18"/>
        </w:rPr>
        <w:t> </w:t>
      </w:r>
      <w:r>
        <w:rPr>
          <w:sz w:val="18"/>
        </w:rPr>
        <w:t>Sarah Craig, Anurag Deb, Eleni Frantziou, Alexander Horne, Colin Murray, Clare Rice and Jane Rooney, ‘</w:t>
      </w:r>
      <w:hyperlink r:id="rId75">
        <w:r>
          <w:rPr>
            <w:sz w:val="18"/>
          </w:rPr>
          <w:t>European Union</w:t>
        </w:r>
      </w:hyperlink>
      <w:r>
        <w:rPr>
          <w:sz w:val="18"/>
        </w:rPr>
        <w:t> </w:t>
      </w:r>
      <w:hyperlink r:id="rId75">
        <w:r>
          <w:rPr>
            <w:sz w:val="18"/>
          </w:rPr>
          <w:t>developments in Equality and Human Rights: The Impact of Brexit on the divergence of rights and best practice</w:t>
        </w:r>
      </w:hyperlink>
    </w:p>
    <w:p>
      <w:pPr>
        <w:spacing w:line="216" w:lineRule="exact" w:before="0"/>
        <w:ind w:left="1853" w:right="0" w:firstLine="0"/>
        <w:jc w:val="left"/>
        <w:rPr>
          <w:sz w:val="18"/>
        </w:rPr>
      </w:pPr>
      <w:hyperlink r:id="rId75">
        <w:r>
          <w:rPr>
            <w:sz w:val="18"/>
          </w:rPr>
          <w:t>on</w:t>
        </w:r>
        <w:r>
          <w:rPr>
            <w:spacing w:val="-6"/>
            <w:sz w:val="18"/>
          </w:rPr>
          <w:t> </w:t>
        </w:r>
        <w:r>
          <w:rPr>
            <w:sz w:val="18"/>
          </w:rPr>
          <w:t>the</w:t>
        </w:r>
        <w:r>
          <w:rPr>
            <w:spacing w:val="-3"/>
            <w:sz w:val="18"/>
          </w:rPr>
          <w:t> </w:t>
        </w:r>
        <w:r>
          <w:rPr>
            <w:sz w:val="18"/>
          </w:rPr>
          <w:t>island</w:t>
        </w:r>
        <w:r>
          <w:rPr>
            <w:spacing w:val="-3"/>
            <w:sz w:val="18"/>
          </w:rPr>
          <w:t> </w:t>
        </w:r>
        <w:r>
          <w:rPr>
            <w:sz w:val="18"/>
          </w:rPr>
          <w:t>of</w:t>
        </w:r>
        <w:r>
          <w:rPr>
            <w:spacing w:val="-4"/>
            <w:sz w:val="18"/>
          </w:rPr>
          <w:t> </w:t>
        </w:r>
        <w:r>
          <w:rPr>
            <w:sz w:val="18"/>
          </w:rPr>
          <w:t>Ireland</w:t>
        </w:r>
      </w:hyperlink>
      <w:r>
        <w:rPr>
          <w:sz w:val="18"/>
        </w:rPr>
        <w:t>’</w:t>
      </w:r>
      <w:r>
        <w:rPr>
          <w:spacing w:val="-4"/>
          <w:sz w:val="18"/>
        </w:rPr>
        <w:t> </w:t>
      </w:r>
      <w:r>
        <w:rPr>
          <w:sz w:val="18"/>
        </w:rPr>
        <w:t>(ECNI,</w:t>
      </w:r>
      <w:r>
        <w:rPr>
          <w:spacing w:val="-2"/>
          <w:sz w:val="18"/>
        </w:rPr>
        <w:t> </w:t>
      </w:r>
      <w:r>
        <w:rPr>
          <w:sz w:val="18"/>
        </w:rPr>
        <w:t>NIHRC</w:t>
      </w:r>
      <w:r>
        <w:rPr>
          <w:spacing w:val="-4"/>
          <w:sz w:val="18"/>
        </w:rPr>
        <w:t> </w:t>
      </w:r>
      <w:r>
        <w:rPr>
          <w:sz w:val="18"/>
        </w:rPr>
        <w:t>and</w:t>
      </w:r>
      <w:r>
        <w:rPr>
          <w:spacing w:val="-3"/>
          <w:sz w:val="18"/>
        </w:rPr>
        <w:t> </w:t>
      </w:r>
      <w:r>
        <w:rPr>
          <w:sz w:val="18"/>
        </w:rPr>
        <w:t>IHREC,</w:t>
      </w:r>
      <w:r>
        <w:rPr>
          <w:spacing w:val="-3"/>
          <w:sz w:val="18"/>
        </w:rPr>
        <w:t> </w:t>
      </w:r>
      <w:r>
        <w:rPr>
          <w:sz w:val="18"/>
        </w:rPr>
        <w:t>2022),</w:t>
      </w:r>
      <w:r>
        <w:rPr>
          <w:spacing w:val="-3"/>
          <w:sz w:val="18"/>
        </w:rPr>
        <w:t> </w:t>
      </w:r>
      <w:r>
        <w:rPr>
          <w:sz w:val="18"/>
        </w:rPr>
        <w:t>at</w:t>
      </w:r>
      <w:r>
        <w:rPr>
          <w:spacing w:val="-2"/>
          <w:sz w:val="18"/>
        </w:rPr>
        <w:t> </w:t>
      </w:r>
      <w:r>
        <w:rPr>
          <w:spacing w:val="-4"/>
          <w:sz w:val="18"/>
        </w:rPr>
        <w:t>104.</w:t>
      </w:r>
    </w:p>
    <w:p>
      <w:pPr>
        <w:pStyle w:val="ListParagraph"/>
        <w:numPr>
          <w:ilvl w:val="0"/>
          <w:numId w:val="3"/>
        </w:numPr>
        <w:tabs>
          <w:tab w:pos="1853" w:val="left" w:leader="none"/>
        </w:tabs>
        <w:spacing w:line="218" w:lineRule="exact" w:before="0" w:after="0"/>
        <w:ind w:left="1853" w:right="0" w:hanging="720"/>
        <w:jc w:val="left"/>
        <w:rPr>
          <w:sz w:val="18"/>
        </w:rPr>
      </w:pPr>
      <w:r>
        <w:rPr>
          <w:sz w:val="18"/>
        </w:rPr>
        <w:t>EU</w:t>
      </w:r>
      <w:r>
        <w:rPr>
          <w:spacing w:val="-5"/>
          <w:sz w:val="18"/>
        </w:rPr>
        <w:t> </w:t>
      </w:r>
      <w:r>
        <w:rPr>
          <w:sz w:val="18"/>
        </w:rPr>
        <w:t>Commission,</w:t>
      </w:r>
      <w:r>
        <w:rPr>
          <w:spacing w:val="-5"/>
          <w:sz w:val="18"/>
        </w:rPr>
        <w:t> </w:t>
      </w:r>
      <w:hyperlink r:id="rId110">
        <w:r>
          <w:rPr>
            <w:sz w:val="18"/>
          </w:rPr>
          <w:t>‘Employment,</w:t>
        </w:r>
        <w:r>
          <w:rPr>
            <w:spacing w:val="-4"/>
            <w:sz w:val="18"/>
          </w:rPr>
          <w:t> </w:t>
        </w:r>
        <w:r>
          <w:rPr>
            <w:sz w:val="18"/>
          </w:rPr>
          <w:t>Social</w:t>
        </w:r>
        <w:r>
          <w:rPr>
            <w:spacing w:val="-6"/>
            <w:sz w:val="18"/>
          </w:rPr>
          <w:t> </w:t>
        </w:r>
        <w:r>
          <w:rPr>
            <w:sz w:val="18"/>
          </w:rPr>
          <w:t>Affairs</w:t>
        </w:r>
        <w:r>
          <w:rPr>
            <w:spacing w:val="-5"/>
            <w:sz w:val="18"/>
          </w:rPr>
          <w:t> </w:t>
        </w:r>
        <w:r>
          <w:rPr>
            <w:sz w:val="18"/>
          </w:rPr>
          <w:t>&amp;</w:t>
        </w:r>
        <w:r>
          <w:rPr>
            <w:spacing w:val="-5"/>
            <w:sz w:val="18"/>
          </w:rPr>
          <w:t> </w:t>
        </w:r>
        <w:r>
          <w:rPr>
            <w:sz w:val="18"/>
          </w:rPr>
          <w:t>Inclusion:</w:t>
        </w:r>
        <w:r>
          <w:rPr>
            <w:spacing w:val="-4"/>
            <w:sz w:val="18"/>
          </w:rPr>
          <w:t> </w:t>
        </w:r>
        <w:r>
          <w:rPr>
            <w:sz w:val="18"/>
          </w:rPr>
          <w:t>European</w:t>
        </w:r>
        <w:r>
          <w:rPr>
            <w:spacing w:val="-6"/>
            <w:sz w:val="18"/>
          </w:rPr>
          <w:t> </w:t>
        </w:r>
        <w:r>
          <w:rPr>
            <w:sz w:val="18"/>
          </w:rPr>
          <w:t>accessibility</w:t>
        </w:r>
        <w:r>
          <w:rPr>
            <w:spacing w:val="-4"/>
            <w:sz w:val="18"/>
          </w:rPr>
          <w:t> </w:t>
        </w:r>
        <w:r>
          <w:rPr>
            <w:spacing w:val="-2"/>
            <w:sz w:val="18"/>
          </w:rPr>
          <w:t>act’.</w:t>
        </w:r>
      </w:hyperlink>
    </w:p>
    <w:p>
      <w:pPr>
        <w:spacing w:after="0" w:line="218" w:lineRule="exact"/>
        <w:jc w:val="left"/>
        <w:rPr>
          <w:sz w:val="18"/>
        </w:rPr>
        <w:sectPr>
          <w:headerReference w:type="default" r:id="rId105"/>
          <w:headerReference w:type="even" r:id="rId106"/>
          <w:footerReference w:type="default" r:id="rId107"/>
          <w:footerReference w:type="even" r:id="rId108"/>
          <w:pgSz w:w="11910" w:h="16840"/>
          <w:pgMar w:header="496" w:footer="367" w:top="1220" w:bottom="560" w:left="0" w:right="0"/>
          <w:pgNumType w:start="53"/>
        </w:sectPr>
      </w:pPr>
    </w:p>
    <w:p>
      <w:pPr>
        <w:pStyle w:val="BodyText"/>
        <w:spacing w:before="198"/>
      </w:pPr>
    </w:p>
    <w:p>
      <w:pPr>
        <w:pStyle w:val="BodyText"/>
        <w:spacing w:line="225" w:lineRule="auto"/>
        <w:ind w:left="1853" w:right="1171"/>
      </w:pPr>
      <w:r>
        <w:rPr/>
        <w:t>practice.</w:t>
      </w:r>
      <w:r>
        <w:rPr>
          <w:vertAlign w:val="superscript"/>
        </w:rPr>
        <w:t>228</w:t>
      </w:r>
      <w:r>
        <w:rPr>
          <w:vertAlign w:val="baseline"/>
        </w:rPr>
        <w:t> The deadline for EU member states to transpose the Accessibility Act</w:t>
      </w:r>
      <w:r>
        <w:rPr>
          <w:spacing w:val="-4"/>
          <w:vertAlign w:val="baseline"/>
        </w:rPr>
        <w:t> </w:t>
      </w:r>
      <w:r>
        <w:rPr>
          <w:vertAlign w:val="baseline"/>
        </w:rPr>
        <w:t>into</w:t>
      </w:r>
      <w:r>
        <w:rPr>
          <w:spacing w:val="-5"/>
          <w:vertAlign w:val="baseline"/>
        </w:rPr>
        <w:t> </w:t>
      </w:r>
      <w:r>
        <w:rPr>
          <w:vertAlign w:val="baseline"/>
        </w:rPr>
        <w:t>national</w:t>
      </w:r>
      <w:r>
        <w:rPr>
          <w:spacing w:val="-5"/>
          <w:vertAlign w:val="baseline"/>
        </w:rPr>
        <w:t> </w:t>
      </w:r>
      <w:r>
        <w:rPr>
          <w:vertAlign w:val="baseline"/>
        </w:rPr>
        <w:t>law</w:t>
      </w:r>
      <w:r>
        <w:rPr>
          <w:spacing w:val="-4"/>
          <w:vertAlign w:val="baseline"/>
        </w:rPr>
        <w:t> </w:t>
      </w:r>
      <w:r>
        <w:rPr>
          <w:vertAlign w:val="baseline"/>
        </w:rPr>
        <w:t>was</w:t>
      </w:r>
      <w:r>
        <w:rPr>
          <w:spacing w:val="-5"/>
          <w:vertAlign w:val="baseline"/>
        </w:rPr>
        <w:t> </w:t>
      </w:r>
      <w:r>
        <w:rPr>
          <w:vertAlign w:val="baseline"/>
        </w:rPr>
        <w:t>June</w:t>
      </w:r>
      <w:r>
        <w:rPr>
          <w:spacing w:val="-4"/>
          <w:vertAlign w:val="baseline"/>
        </w:rPr>
        <w:t> </w:t>
      </w:r>
      <w:r>
        <w:rPr>
          <w:vertAlign w:val="baseline"/>
        </w:rPr>
        <w:t>2022.</w:t>
      </w:r>
      <w:r>
        <w:rPr>
          <w:spacing w:val="-5"/>
          <w:vertAlign w:val="baseline"/>
        </w:rPr>
        <w:t> </w:t>
      </w:r>
      <w:r>
        <w:rPr>
          <w:vertAlign w:val="baseline"/>
        </w:rPr>
        <w:t>As</w:t>
      </w:r>
      <w:r>
        <w:rPr>
          <w:spacing w:val="-5"/>
          <w:vertAlign w:val="baseline"/>
        </w:rPr>
        <w:t> </w:t>
      </w:r>
      <w:r>
        <w:rPr>
          <w:vertAlign w:val="baseline"/>
        </w:rPr>
        <w:t>of</w:t>
      </w:r>
      <w:r>
        <w:rPr>
          <w:spacing w:val="-5"/>
          <w:vertAlign w:val="baseline"/>
        </w:rPr>
        <w:t> </w:t>
      </w:r>
      <w:r>
        <w:rPr>
          <w:vertAlign w:val="baseline"/>
        </w:rPr>
        <w:t>June</w:t>
      </w:r>
      <w:r>
        <w:rPr>
          <w:spacing w:val="-4"/>
          <w:vertAlign w:val="baseline"/>
        </w:rPr>
        <w:t> </w:t>
      </w:r>
      <w:r>
        <w:rPr>
          <w:vertAlign w:val="baseline"/>
        </w:rPr>
        <w:t>2025,</w:t>
      </w:r>
      <w:r>
        <w:rPr>
          <w:spacing w:val="-4"/>
          <w:vertAlign w:val="baseline"/>
        </w:rPr>
        <w:t> </w:t>
      </w:r>
      <w:r>
        <w:rPr>
          <w:vertAlign w:val="baseline"/>
        </w:rPr>
        <w:t>companies</w:t>
      </w:r>
      <w:r>
        <w:rPr>
          <w:spacing w:val="-5"/>
          <w:vertAlign w:val="baseline"/>
        </w:rPr>
        <w:t> </w:t>
      </w:r>
      <w:r>
        <w:rPr>
          <w:vertAlign w:val="baseline"/>
        </w:rPr>
        <w:t>must</w:t>
      </w:r>
      <w:r>
        <w:rPr>
          <w:spacing w:val="-4"/>
          <w:vertAlign w:val="baseline"/>
        </w:rPr>
        <w:t> </w:t>
      </w:r>
      <w:r>
        <w:rPr>
          <w:vertAlign w:val="baseline"/>
        </w:rPr>
        <w:t>ensure that the products and services covered by the Act are accessible. Ireland has implemented the Act via the European Union (Accessibility Requirements of Products and Services) Regulations 2023.</w:t>
      </w:r>
      <w:r>
        <w:rPr>
          <w:vertAlign w:val="superscript"/>
        </w:rPr>
        <w:t>229</w:t>
      </w:r>
    </w:p>
    <w:p>
      <w:pPr>
        <w:pStyle w:val="Heading6"/>
        <w:spacing w:line="240" w:lineRule="auto" w:before="338"/>
        <w:ind w:left="1853"/>
        <w:rPr>
          <w:i/>
        </w:rPr>
      </w:pPr>
      <w:r>
        <w:rPr>
          <w:i/>
          <w:color w:val="67287F"/>
        </w:rPr>
        <w:t>Autism</w:t>
      </w:r>
      <w:r>
        <w:rPr>
          <w:i/>
          <w:color w:val="67287F"/>
          <w:spacing w:val="-9"/>
        </w:rPr>
        <w:t> </w:t>
      </w:r>
      <w:r>
        <w:rPr>
          <w:i/>
          <w:color w:val="67287F"/>
          <w:spacing w:val="-2"/>
        </w:rPr>
        <w:t>Strategy</w:t>
      </w:r>
    </w:p>
    <w:p>
      <w:pPr>
        <w:pStyle w:val="ListParagraph"/>
        <w:numPr>
          <w:ilvl w:val="1"/>
          <w:numId w:val="7"/>
        </w:numPr>
        <w:tabs>
          <w:tab w:pos="1853" w:val="left" w:leader="none"/>
        </w:tabs>
        <w:spacing w:line="225" w:lineRule="auto" w:before="34" w:after="0"/>
        <w:ind w:left="1853" w:right="1225" w:hanging="720"/>
        <w:jc w:val="left"/>
        <w:rPr>
          <w:sz w:val="28"/>
        </w:rPr>
      </w:pPr>
      <w:r>
        <w:rPr>
          <w:sz w:val="28"/>
        </w:rPr>
        <w:t>The Autism Act (NI) 2011 places a statutory responsibility on the Department of</w:t>
      </w:r>
      <w:r>
        <w:rPr>
          <w:spacing w:val="-6"/>
          <w:sz w:val="28"/>
        </w:rPr>
        <w:t> </w:t>
      </w:r>
      <w:r>
        <w:rPr>
          <w:sz w:val="28"/>
        </w:rPr>
        <w:t>Health</w:t>
      </w:r>
      <w:r>
        <w:rPr>
          <w:spacing w:val="-6"/>
          <w:sz w:val="28"/>
        </w:rPr>
        <w:t> </w:t>
      </w:r>
      <w:r>
        <w:rPr>
          <w:sz w:val="28"/>
        </w:rPr>
        <w:t>to</w:t>
      </w:r>
      <w:r>
        <w:rPr>
          <w:spacing w:val="-6"/>
          <w:sz w:val="28"/>
        </w:rPr>
        <w:t> </w:t>
      </w:r>
      <w:r>
        <w:rPr>
          <w:sz w:val="28"/>
        </w:rPr>
        <w:t>publish</w:t>
      </w:r>
      <w:r>
        <w:rPr>
          <w:spacing w:val="-6"/>
          <w:sz w:val="28"/>
        </w:rPr>
        <w:t> </w:t>
      </w:r>
      <w:r>
        <w:rPr>
          <w:sz w:val="28"/>
        </w:rPr>
        <w:t>an</w:t>
      </w:r>
      <w:r>
        <w:rPr>
          <w:spacing w:val="-6"/>
          <w:sz w:val="28"/>
        </w:rPr>
        <w:t> </w:t>
      </w:r>
      <w:r>
        <w:rPr>
          <w:sz w:val="28"/>
        </w:rPr>
        <w:t>autism</w:t>
      </w:r>
      <w:r>
        <w:rPr>
          <w:spacing w:val="-5"/>
          <w:sz w:val="28"/>
        </w:rPr>
        <w:t> </w:t>
      </w:r>
      <w:r>
        <w:rPr>
          <w:sz w:val="28"/>
        </w:rPr>
        <w:t>strategy</w:t>
      </w:r>
      <w:r>
        <w:rPr>
          <w:spacing w:val="-5"/>
          <w:sz w:val="28"/>
        </w:rPr>
        <w:t> </w:t>
      </w:r>
      <w:r>
        <w:rPr>
          <w:sz w:val="28"/>
        </w:rPr>
        <w:t>every</w:t>
      </w:r>
      <w:r>
        <w:rPr>
          <w:spacing w:val="-5"/>
          <w:sz w:val="28"/>
        </w:rPr>
        <w:t> </w:t>
      </w:r>
      <w:r>
        <w:rPr>
          <w:sz w:val="28"/>
        </w:rPr>
        <w:t>seven</w:t>
      </w:r>
      <w:r>
        <w:rPr>
          <w:spacing w:val="-6"/>
          <w:sz w:val="28"/>
        </w:rPr>
        <w:t> </w:t>
      </w:r>
      <w:r>
        <w:rPr>
          <w:sz w:val="28"/>
        </w:rPr>
        <w:t>years.</w:t>
      </w:r>
      <w:r>
        <w:rPr>
          <w:spacing w:val="40"/>
          <w:sz w:val="28"/>
        </w:rPr>
        <w:t> </w:t>
      </w:r>
      <w:r>
        <w:rPr>
          <w:sz w:val="28"/>
        </w:rPr>
        <w:t>In</w:t>
      </w:r>
      <w:r>
        <w:rPr>
          <w:spacing w:val="-6"/>
          <w:sz w:val="28"/>
        </w:rPr>
        <w:t> </w:t>
      </w:r>
      <w:r>
        <w:rPr>
          <w:sz w:val="28"/>
        </w:rPr>
        <w:t>March</w:t>
      </w:r>
      <w:r>
        <w:rPr>
          <w:spacing w:val="-6"/>
          <w:sz w:val="28"/>
        </w:rPr>
        <w:t> </w:t>
      </w:r>
      <w:r>
        <w:rPr>
          <w:sz w:val="28"/>
        </w:rPr>
        <w:t>2021,</w:t>
      </w:r>
      <w:r>
        <w:rPr>
          <w:spacing w:val="-5"/>
          <w:sz w:val="28"/>
        </w:rPr>
        <w:t> </w:t>
      </w:r>
      <w:r>
        <w:rPr>
          <w:sz w:val="28"/>
        </w:rPr>
        <w:t>the Department of Health published an ‘Autism Interim Strategy 2021-2022’.</w:t>
      </w:r>
      <w:r>
        <w:rPr>
          <w:sz w:val="28"/>
          <w:vertAlign w:val="superscript"/>
        </w:rPr>
        <w:t>230</w:t>
      </w:r>
      <w:r>
        <w:rPr>
          <w:sz w:val="28"/>
          <w:vertAlign w:val="baseline"/>
        </w:rPr>
        <w:t> The Autism (Amendment) Act NI 2022 provides for what should be included</w:t>
      </w:r>
      <w:r>
        <w:rPr>
          <w:sz w:val="28"/>
          <w:vertAlign w:val="baseline"/>
        </w:rPr>
        <w:t> in</w:t>
      </w:r>
      <w:r>
        <w:rPr>
          <w:spacing w:val="-7"/>
          <w:sz w:val="28"/>
          <w:vertAlign w:val="baseline"/>
        </w:rPr>
        <w:t> </w:t>
      </w:r>
      <w:r>
        <w:rPr>
          <w:sz w:val="28"/>
          <w:vertAlign w:val="baseline"/>
        </w:rPr>
        <w:t>a</w:t>
      </w:r>
      <w:r>
        <w:rPr>
          <w:spacing w:val="-7"/>
          <w:sz w:val="28"/>
          <w:vertAlign w:val="baseline"/>
        </w:rPr>
        <w:t> </w:t>
      </w:r>
      <w:r>
        <w:rPr>
          <w:sz w:val="28"/>
          <w:vertAlign w:val="baseline"/>
        </w:rPr>
        <w:t>regional</w:t>
      </w:r>
      <w:r>
        <w:rPr>
          <w:spacing w:val="-7"/>
          <w:sz w:val="28"/>
          <w:vertAlign w:val="baseline"/>
        </w:rPr>
        <w:t> </w:t>
      </w:r>
      <w:r>
        <w:rPr>
          <w:sz w:val="28"/>
          <w:vertAlign w:val="baseline"/>
        </w:rPr>
        <w:t>autism</w:t>
      </w:r>
      <w:r>
        <w:rPr>
          <w:spacing w:val="-6"/>
          <w:sz w:val="28"/>
          <w:vertAlign w:val="baseline"/>
        </w:rPr>
        <w:t> </w:t>
      </w:r>
      <w:r>
        <w:rPr>
          <w:sz w:val="28"/>
          <w:vertAlign w:val="baseline"/>
        </w:rPr>
        <w:t>strategy.</w:t>
      </w:r>
      <w:r>
        <w:rPr>
          <w:sz w:val="28"/>
          <w:vertAlign w:val="superscript"/>
        </w:rPr>
        <w:t>231</w:t>
      </w:r>
      <w:r>
        <w:rPr>
          <w:spacing w:val="40"/>
          <w:sz w:val="28"/>
          <w:vertAlign w:val="baseline"/>
        </w:rPr>
        <w:t> </w:t>
      </w:r>
      <w:r>
        <w:rPr>
          <w:sz w:val="28"/>
          <w:vertAlign w:val="baseline"/>
        </w:rPr>
        <w:t>In</w:t>
      </w:r>
      <w:r>
        <w:rPr>
          <w:spacing w:val="-7"/>
          <w:sz w:val="28"/>
          <w:vertAlign w:val="baseline"/>
        </w:rPr>
        <w:t> </w:t>
      </w:r>
      <w:r>
        <w:rPr>
          <w:sz w:val="28"/>
          <w:vertAlign w:val="baseline"/>
        </w:rPr>
        <w:t>December</w:t>
      </w:r>
      <w:r>
        <w:rPr>
          <w:spacing w:val="-7"/>
          <w:sz w:val="28"/>
          <w:vertAlign w:val="baseline"/>
        </w:rPr>
        <w:t> </w:t>
      </w:r>
      <w:r>
        <w:rPr>
          <w:sz w:val="28"/>
          <w:vertAlign w:val="baseline"/>
        </w:rPr>
        <w:t>2023,</w:t>
      </w:r>
      <w:r>
        <w:rPr>
          <w:spacing w:val="-6"/>
          <w:sz w:val="28"/>
          <w:vertAlign w:val="baseline"/>
        </w:rPr>
        <w:t> </w:t>
      </w:r>
      <w:r>
        <w:rPr>
          <w:sz w:val="28"/>
          <w:vertAlign w:val="baseline"/>
        </w:rPr>
        <w:t>the</w:t>
      </w:r>
      <w:r>
        <w:rPr>
          <w:spacing w:val="-6"/>
          <w:sz w:val="28"/>
          <w:vertAlign w:val="baseline"/>
        </w:rPr>
        <w:t> </w:t>
      </w:r>
      <w:r>
        <w:rPr>
          <w:sz w:val="28"/>
          <w:vertAlign w:val="baseline"/>
        </w:rPr>
        <w:t>Department</w:t>
      </w:r>
      <w:r>
        <w:rPr>
          <w:spacing w:val="-6"/>
          <w:sz w:val="28"/>
          <w:vertAlign w:val="baseline"/>
        </w:rPr>
        <w:t> </w:t>
      </w:r>
      <w:r>
        <w:rPr>
          <w:sz w:val="28"/>
          <w:vertAlign w:val="baseline"/>
        </w:rPr>
        <w:t>of</w:t>
      </w:r>
      <w:r>
        <w:rPr>
          <w:spacing w:val="-7"/>
          <w:sz w:val="28"/>
          <w:vertAlign w:val="baseline"/>
        </w:rPr>
        <w:t> </w:t>
      </w:r>
      <w:r>
        <w:rPr>
          <w:sz w:val="28"/>
          <w:vertAlign w:val="baseline"/>
        </w:rPr>
        <w:t>Health published the Autism Strategy 2023-2028 with an associated delivery plan</w:t>
      </w:r>
    </w:p>
    <w:p>
      <w:pPr>
        <w:pStyle w:val="BodyText"/>
        <w:spacing w:line="225" w:lineRule="auto"/>
        <w:ind w:left="1853" w:right="1215"/>
      </w:pPr>
      <w:r>
        <w:rPr/>
        <w:t>for 2023-2025.</w:t>
      </w:r>
      <w:r>
        <w:rPr>
          <w:vertAlign w:val="superscript"/>
        </w:rPr>
        <w:t>232</w:t>
      </w:r>
      <w:r>
        <w:rPr>
          <w:spacing w:val="40"/>
          <w:vertAlign w:val="baseline"/>
        </w:rPr>
        <w:t> </w:t>
      </w:r>
      <w:r>
        <w:rPr>
          <w:vertAlign w:val="baseline"/>
        </w:rPr>
        <w:t>In March 2024, the Department of Health confirmed that the</w:t>
      </w:r>
      <w:r>
        <w:rPr>
          <w:spacing w:val="-6"/>
          <w:vertAlign w:val="baseline"/>
        </w:rPr>
        <w:t> </w:t>
      </w:r>
      <w:r>
        <w:rPr>
          <w:vertAlign w:val="baseline"/>
        </w:rPr>
        <w:t>actions</w:t>
      </w:r>
      <w:r>
        <w:rPr>
          <w:spacing w:val="-7"/>
          <w:vertAlign w:val="baseline"/>
        </w:rPr>
        <w:t> </w:t>
      </w:r>
      <w:r>
        <w:rPr>
          <w:vertAlign w:val="baseline"/>
        </w:rPr>
        <w:t>set</w:t>
      </w:r>
      <w:r>
        <w:rPr>
          <w:spacing w:val="-6"/>
          <w:vertAlign w:val="baseline"/>
        </w:rPr>
        <w:t> </w:t>
      </w:r>
      <w:r>
        <w:rPr>
          <w:vertAlign w:val="baseline"/>
        </w:rPr>
        <w:t>out</w:t>
      </w:r>
      <w:r>
        <w:rPr>
          <w:spacing w:val="-6"/>
          <w:vertAlign w:val="baseline"/>
        </w:rPr>
        <w:t> </w:t>
      </w:r>
      <w:r>
        <w:rPr>
          <w:vertAlign w:val="baseline"/>
        </w:rPr>
        <w:t>in</w:t>
      </w:r>
      <w:r>
        <w:rPr>
          <w:spacing w:val="-7"/>
          <w:vertAlign w:val="baseline"/>
        </w:rPr>
        <w:t> </w:t>
      </w:r>
      <w:r>
        <w:rPr>
          <w:vertAlign w:val="baseline"/>
        </w:rPr>
        <w:t>the</w:t>
      </w:r>
      <w:r>
        <w:rPr>
          <w:spacing w:val="-6"/>
          <w:vertAlign w:val="baseline"/>
        </w:rPr>
        <w:t> </w:t>
      </w:r>
      <w:r>
        <w:rPr>
          <w:vertAlign w:val="baseline"/>
        </w:rPr>
        <w:t>delivery</w:t>
      </w:r>
      <w:r>
        <w:rPr>
          <w:spacing w:val="-6"/>
          <w:vertAlign w:val="baseline"/>
        </w:rPr>
        <w:t> </w:t>
      </w:r>
      <w:r>
        <w:rPr>
          <w:vertAlign w:val="baseline"/>
        </w:rPr>
        <w:t>plan</w:t>
      </w:r>
      <w:r>
        <w:rPr>
          <w:spacing w:val="-7"/>
          <w:vertAlign w:val="baseline"/>
        </w:rPr>
        <w:t> </w:t>
      </w:r>
      <w:r>
        <w:rPr>
          <w:vertAlign w:val="baseline"/>
        </w:rPr>
        <w:t>of</w:t>
      </w:r>
      <w:r>
        <w:rPr>
          <w:spacing w:val="-7"/>
          <w:vertAlign w:val="baseline"/>
        </w:rPr>
        <w:t> </w:t>
      </w:r>
      <w:r>
        <w:rPr>
          <w:vertAlign w:val="baseline"/>
        </w:rPr>
        <w:t>the</w:t>
      </w:r>
      <w:r>
        <w:rPr>
          <w:spacing w:val="-6"/>
          <w:vertAlign w:val="baseline"/>
        </w:rPr>
        <w:t> </w:t>
      </w:r>
      <w:r>
        <w:rPr>
          <w:vertAlign w:val="baseline"/>
        </w:rPr>
        <w:t>Strategy</w:t>
      </w:r>
      <w:r>
        <w:rPr>
          <w:spacing w:val="-6"/>
          <w:vertAlign w:val="baseline"/>
        </w:rPr>
        <w:t> </w:t>
      </w:r>
      <w:r>
        <w:rPr>
          <w:vertAlign w:val="baseline"/>
        </w:rPr>
        <w:t>are</w:t>
      </w:r>
      <w:r>
        <w:rPr>
          <w:spacing w:val="-6"/>
          <w:vertAlign w:val="baseline"/>
        </w:rPr>
        <w:t> </w:t>
      </w:r>
      <w:r>
        <w:rPr>
          <w:vertAlign w:val="baseline"/>
        </w:rPr>
        <w:t>underway,</w:t>
      </w:r>
      <w:r>
        <w:rPr>
          <w:spacing w:val="-6"/>
          <w:vertAlign w:val="baseline"/>
        </w:rPr>
        <w:t> </w:t>
      </w:r>
      <w:r>
        <w:rPr>
          <w:vertAlign w:val="baseline"/>
        </w:rPr>
        <w:t>and</w:t>
      </w:r>
      <w:r>
        <w:rPr>
          <w:spacing w:val="-7"/>
          <w:vertAlign w:val="baseline"/>
        </w:rPr>
        <w:t> </w:t>
      </w:r>
      <w:r>
        <w:rPr>
          <w:vertAlign w:val="baseline"/>
        </w:rPr>
        <w:t>that a monitoring and funding report will be produced, signed off by the Health Minister and published in the coming months.</w:t>
      </w:r>
      <w:r>
        <w:rPr>
          <w:vertAlign w:val="superscript"/>
        </w:rPr>
        <w:t>233</w:t>
      </w:r>
    </w:p>
    <w:p>
      <w:pPr>
        <w:pStyle w:val="Heading6"/>
        <w:spacing w:line="240" w:lineRule="auto" w:before="331"/>
        <w:ind w:left="1853"/>
        <w:rPr>
          <w:i/>
        </w:rPr>
      </w:pPr>
      <w:r>
        <w:rPr>
          <w:i/>
          <w:color w:val="67287F"/>
        </w:rPr>
        <w:t>Assistance</w:t>
      </w:r>
      <w:r>
        <w:rPr>
          <w:i/>
          <w:color w:val="67287F"/>
          <w:spacing w:val="-15"/>
        </w:rPr>
        <w:t> </w:t>
      </w:r>
      <w:r>
        <w:rPr>
          <w:i/>
          <w:color w:val="67287F"/>
          <w:spacing w:val="-4"/>
        </w:rPr>
        <w:t>Dogs</w:t>
      </w:r>
    </w:p>
    <w:p>
      <w:pPr>
        <w:pStyle w:val="ListParagraph"/>
        <w:numPr>
          <w:ilvl w:val="1"/>
          <w:numId w:val="7"/>
        </w:numPr>
        <w:tabs>
          <w:tab w:pos="1853" w:val="left" w:leader="none"/>
        </w:tabs>
        <w:spacing w:line="225" w:lineRule="auto" w:before="34" w:after="0"/>
        <w:ind w:left="1853" w:right="1164" w:hanging="720"/>
        <w:jc w:val="left"/>
        <w:rPr>
          <w:sz w:val="28"/>
        </w:rPr>
      </w:pPr>
      <w:r>
        <w:rPr>
          <w:sz w:val="28"/>
        </w:rPr>
        <w:t>In 2023, the UK and EU Commission reached a resolution on pet passports, which addressed concerns highlighted by the Commissions</w:t>
      </w:r>
      <w:r>
        <w:rPr>
          <w:sz w:val="28"/>
          <w:vertAlign w:val="superscript"/>
        </w:rPr>
        <w:t>234</w:t>
      </w:r>
      <w:r>
        <w:rPr>
          <w:sz w:val="28"/>
          <w:vertAlign w:val="baseline"/>
        </w:rPr>
        <w:t> regarding potential</w:t>
      </w:r>
      <w:r>
        <w:rPr>
          <w:spacing w:val="-6"/>
          <w:sz w:val="28"/>
          <w:vertAlign w:val="baseline"/>
        </w:rPr>
        <w:t> </w:t>
      </w:r>
      <w:r>
        <w:rPr>
          <w:sz w:val="28"/>
          <w:vertAlign w:val="baseline"/>
        </w:rPr>
        <w:t>equality</w:t>
      </w:r>
      <w:r>
        <w:rPr>
          <w:spacing w:val="-5"/>
          <w:sz w:val="28"/>
          <w:vertAlign w:val="baseline"/>
        </w:rPr>
        <w:t> </w:t>
      </w:r>
      <w:r>
        <w:rPr>
          <w:sz w:val="28"/>
          <w:vertAlign w:val="baseline"/>
        </w:rPr>
        <w:t>and</w:t>
      </w:r>
      <w:r>
        <w:rPr>
          <w:spacing w:val="-6"/>
          <w:sz w:val="28"/>
          <w:vertAlign w:val="baseline"/>
        </w:rPr>
        <w:t> </w:t>
      </w:r>
      <w:r>
        <w:rPr>
          <w:sz w:val="28"/>
          <w:vertAlign w:val="baseline"/>
        </w:rPr>
        <w:t>human</w:t>
      </w:r>
      <w:r>
        <w:rPr>
          <w:spacing w:val="-6"/>
          <w:sz w:val="28"/>
          <w:vertAlign w:val="baseline"/>
        </w:rPr>
        <w:t> </w:t>
      </w:r>
      <w:r>
        <w:rPr>
          <w:sz w:val="28"/>
          <w:vertAlign w:val="baseline"/>
        </w:rPr>
        <w:t>rights</w:t>
      </w:r>
      <w:r>
        <w:rPr>
          <w:spacing w:val="-6"/>
          <w:sz w:val="28"/>
          <w:vertAlign w:val="baseline"/>
        </w:rPr>
        <w:t> </w:t>
      </w:r>
      <w:r>
        <w:rPr>
          <w:sz w:val="28"/>
          <w:vertAlign w:val="baseline"/>
        </w:rPr>
        <w:t>implications</w:t>
      </w:r>
      <w:r>
        <w:rPr>
          <w:spacing w:val="-6"/>
          <w:sz w:val="28"/>
          <w:vertAlign w:val="baseline"/>
        </w:rPr>
        <w:t> </w:t>
      </w:r>
      <w:r>
        <w:rPr>
          <w:sz w:val="28"/>
          <w:vertAlign w:val="baseline"/>
        </w:rPr>
        <w:t>in</w:t>
      </w:r>
      <w:r>
        <w:rPr>
          <w:spacing w:val="-6"/>
          <w:sz w:val="28"/>
          <w:vertAlign w:val="baseline"/>
        </w:rPr>
        <w:t> </w:t>
      </w:r>
      <w:r>
        <w:rPr>
          <w:sz w:val="28"/>
          <w:vertAlign w:val="baseline"/>
        </w:rPr>
        <w:t>respect</w:t>
      </w:r>
      <w:r>
        <w:rPr>
          <w:spacing w:val="-5"/>
          <w:sz w:val="28"/>
          <w:vertAlign w:val="baseline"/>
        </w:rPr>
        <w:t> </w:t>
      </w:r>
      <w:r>
        <w:rPr>
          <w:sz w:val="28"/>
          <w:vertAlign w:val="baseline"/>
        </w:rPr>
        <w:t>of</w:t>
      </w:r>
      <w:r>
        <w:rPr>
          <w:spacing w:val="-6"/>
          <w:sz w:val="28"/>
          <w:vertAlign w:val="baseline"/>
        </w:rPr>
        <w:t> </w:t>
      </w:r>
      <w:r>
        <w:rPr>
          <w:sz w:val="28"/>
          <w:vertAlign w:val="baseline"/>
        </w:rPr>
        <w:t>changes</w:t>
      </w:r>
      <w:r>
        <w:rPr>
          <w:spacing w:val="-6"/>
          <w:sz w:val="28"/>
          <w:vertAlign w:val="baseline"/>
        </w:rPr>
        <w:t> </w:t>
      </w:r>
      <w:r>
        <w:rPr>
          <w:sz w:val="28"/>
          <w:vertAlign w:val="baseline"/>
        </w:rPr>
        <w:t>to</w:t>
      </w:r>
      <w:r>
        <w:rPr>
          <w:spacing w:val="-6"/>
          <w:sz w:val="28"/>
          <w:vertAlign w:val="baseline"/>
        </w:rPr>
        <w:t> </w:t>
      </w:r>
      <w:r>
        <w:rPr>
          <w:sz w:val="28"/>
          <w:vertAlign w:val="baseline"/>
        </w:rPr>
        <w:t>rules around taking pets, including assistance dogs, from Great Britain to NI.</w:t>
      </w:r>
      <w:r>
        <w:rPr>
          <w:sz w:val="28"/>
          <w:vertAlign w:val="superscript"/>
        </w:rPr>
        <w:t>235</w:t>
      </w:r>
      <w:r>
        <w:rPr>
          <w:sz w:val="28"/>
          <w:vertAlign w:val="baseline"/>
        </w:rPr>
        <w:t> The UK Government confirmed that “for Northern Ireland pet owners there will</w:t>
      </w:r>
    </w:p>
    <w:p>
      <w:pPr>
        <w:pStyle w:val="BodyText"/>
        <w:spacing w:line="225" w:lineRule="auto"/>
        <w:ind w:left="1853" w:right="1562"/>
        <w:jc w:val="both"/>
      </w:pPr>
      <w:r>
        <w:rPr/>
        <w:t>be</w:t>
      </w:r>
      <w:r>
        <w:rPr>
          <w:spacing w:val="-2"/>
        </w:rPr>
        <w:t> </w:t>
      </w:r>
      <w:r>
        <w:rPr/>
        <w:t>no</w:t>
      </w:r>
      <w:r>
        <w:rPr>
          <w:spacing w:val="-3"/>
        </w:rPr>
        <w:t> </w:t>
      </w:r>
      <w:r>
        <w:rPr/>
        <w:t>new</w:t>
      </w:r>
      <w:r>
        <w:rPr>
          <w:spacing w:val="-2"/>
        </w:rPr>
        <w:t> </w:t>
      </w:r>
      <w:r>
        <w:rPr/>
        <w:t>requirements</w:t>
      </w:r>
      <w:r>
        <w:rPr>
          <w:spacing w:val="-3"/>
        </w:rPr>
        <w:t> </w:t>
      </w:r>
      <w:r>
        <w:rPr/>
        <w:t>of</w:t>
      </w:r>
      <w:r>
        <w:rPr>
          <w:spacing w:val="-3"/>
        </w:rPr>
        <w:t> </w:t>
      </w:r>
      <w:r>
        <w:rPr/>
        <w:t>any</w:t>
      </w:r>
      <w:r>
        <w:rPr>
          <w:spacing w:val="-2"/>
        </w:rPr>
        <w:t> </w:t>
      </w:r>
      <w:r>
        <w:rPr/>
        <w:t>kind”</w:t>
      </w:r>
      <w:r>
        <w:rPr>
          <w:spacing w:val="-3"/>
        </w:rPr>
        <w:t> </w:t>
      </w:r>
      <w:r>
        <w:rPr/>
        <w:t>and</w:t>
      </w:r>
      <w:r>
        <w:rPr>
          <w:spacing w:val="-3"/>
        </w:rPr>
        <w:t> </w:t>
      </w:r>
      <w:r>
        <w:rPr/>
        <w:t>that</w:t>
      </w:r>
      <w:r>
        <w:rPr>
          <w:spacing w:val="-2"/>
        </w:rPr>
        <w:t> </w:t>
      </w:r>
      <w:r>
        <w:rPr/>
        <w:t>“pets</w:t>
      </w:r>
      <w:r>
        <w:rPr>
          <w:spacing w:val="-3"/>
        </w:rPr>
        <w:t> </w:t>
      </w:r>
      <w:r>
        <w:rPr/>
        <w:t>owners</w:t>
      </w:r>
      <w:r>
        <w:rPr>
          <w:spacing w:val="-3"/>
        </w:rPr>
        <w:t> </w:t>
      </w:r>
      <w:r>
        <w:rPr/>
        <w:t>can</w:t>
      </w:r>
      <w:r>
        <w:rPr>
          <w:spacing w:val="-3"/>
        </w:rPr>
        <w:t> </w:t>
      </w:r>
      <w:r>
        <w:rPr/>
        <w:t>come</w:t>
      </w:r>
      <w:r>
        <w:rPr>
          <w:spacing w:val="-2"/>
        </w:rPr>
        <w:t> </w:t>
      </w:r>
      <w:r>
        <w:rPr/>
        <w:t>and go</w:t>
      </w:r>
      <w:r>
        <w:rPr>
          <w:spacing w:val="-6"/>
        </w:rPr>
        <w:t> </w:t>
      </w:r>
      <w:r>
        <w:rPr/>
        <w:t>from</w:t>
      </w:r>
      <w:r>
        <w:rPr>
          <w:spacing w:val="-6"/>
        </w:rPr>
        <w:t> </w:t>
      </w:r>
      <w:r>
        <w:rPr/>
        <w:t>Great</w:t>
      </w:r>
      <w:r>
        <w:rPr>
          <w:spacing w:val="-6"/>
        </w:rPr>
        <w:t> </w:t>
      </w:r>
      <w:r>
        <w:rPr/>
        <w:t>Britain</w:t>
      </w:r>
      <w:r>
        <w:rPr>
          <w:spacing w:val="-6"/>
        </w:rPr>
        <w:t> </w:t>
      </w:r>
      <w:r>
        <w:rPr/>
        <w:t>without</w:t>
      </w:r>
      <w:r>
        <w:rPr>
          <w:spacing w:val="-6"/>
        </w:rPr>
        <w:t> </w:t>
      </w:r>
      <w:r>
        <w:rPr/>
        <w:t>ever</w:t>
      </w:r>
      <w:r>
        <w:rPr>
          <w:spacing w:val="-6"/>
        </w:rPr>
        <w:t> </w:t>
      </w:r>
      <w:r>
        <w:rPr/>
        <w:t>having</w:t>
      </w:r>
      <w:r>
        <w:rPr>
          <w:spacing w:val="-6"/>
        </w:rPr>
        <w:t> </w:t>
      </w:r>
      <w:r>
        <w:rPr/>
        <w:t>to</w:t>
      </w:r>
      <w:r>
        <w:rPr>
          <w:spacing w:val="-6"/>
        </w:rPr>
        <w:t> </w:t>
      </w:r>
      <w:r>
        <w:rPr/>
        <w:t>think</w:t>
      </w:r>
      <w:r>
        <w:rPr>
          <w:spacing w:val="-6"/>
        </w:rPr>
        <w:t> </w:t>
      </w:r>
      <w:r>
        <w:rPr/>
        <w:t>about</w:t>
      </w:r>
      <w:r>
        <w:rPr>
          <w:spacing w:val="-6"/>
        </w:rPr>
        <w:t> </w:t>
      </w:r>
      <w:r>
        <w:rPr/>
        <w:t>any</w:t>
      </w:r>
      <w:r>
        <w:rPr>
          <w:spacing w:val="-6"/>
        </w:rPr>
        <w:t> </w:t>
      </w:r>
      <w:r>
        <w:rPr/>
        <w:t>paperwork</w:t>
      </w:r>
      <w:r>
        <w:rPr>
          <w:spacing w:val="-6"/>
        </w:rPr>
        <w:t> </w:t>
      </w:r>
      <w:r>
        <w:rPr/>
        <w:t>or </w:t>
      </w:r>
      <w:r>
        <w:rPr>
          <w:spacing w:val="-2"/>
        </w:rPr>
        <w:t>process”.</w:t>
      </w:r>
      <w:r>
        <w:rPr>
          <w:spacing w:val="-2"/>
          <w:vertAlign w:val="superscript"/>
        </w:rPr>
        <w:t>236</w:t>
      </w:r>
    </w:p>
    <w:p>
      <w:pPr>
        <w:pStyle w:val="BodyText"/>
        <w:rPr>
          <w:sz w:val="20"/>
        </w:rPr>
      </w:pPr>
    </w:p>
    <w:p>
      <w:pPr>
        <w:pStyle w:val="BodyText"/>
        <w:spacing w:before="205"/>
        <w:rPr>
          <w:sz w:val="20"/>
        </w:rPr>
      </w:pPr>
      <w:r>
        <w:rPr/>
        <mc:AlternateContent>
          <mc:Choice Requires="wps">
            <w:drawing>
              <wp:anchor distT="0" distB="0" distL="0" distR="0" allowOverlap="1" layoutInCell="1" locked="0" behindDoc="1" simplePos="0" relativeHeight="487651840">
                <wp:simplePos x="0" y="0"/>
                <wp:positionH relativeFrom="page">
                  <wp:posOffset>719999</wp:posOffset>
                </wp:positionH>
                <wp:positionV relativeFrom="paragraph">
                  <wp:posOffset>301049</wp:posOffset>
                </wp:positionV>
                <wp:extent cx="6120130" cy="1270"/>
                <wp:effectExtent l="0" t="0" r="0" b="0"/>
                <wp:wrapTopAndBottom/>
                <wp:docPr id="236" name="Graphic 236"/>
                <wp:cNvGraphicFramePr>
                  <a:graphicFrameLocks/>
                </wp:cNvGraphicFramePr>
                <a:graphic>
                  <a:graphicData uri="http://schemas.microsoft.com/office/word/2010/wordprocessingShape">
                    <wps:wsp>
                      <wps:cNvPr id="236" name="Graphic 236"/>
                      <wps:cNvSpPr/>
                      <wps:spPr>
                        <a:xfrm>
                          <a:off x="0" y="0"/>
                          <a:ext cx="6120130" cy="1270"/>
                        </a:xfrm>
                        <a:custGeom>
                          <a:avLst/>
                          <a:gdLst/>
                          <a:ahLst/>
                          <a:cxnLst/>
                          <a:rect l="l" t="t" r="r" b="b"/>
                          <a:pathLst>
                            <a:path w="6120130" h="0">
                              <a:moveTo>
                                <a:pt x="0" y="0"/>
                              </a:moveTo>
                              <a:lnTo>
                                <a:pt x="6120003"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23.704716pt;width:481.9pt;height:.1pt;mso-position-horizontal-relative:page;mso-position-vertical-relative:paragraph;z-index:-15664640;mso-wrap-distance-left:0;mso-wrap-distance-right:0" id="docshape190" coordorigin="1134,474" coordsize="9638,0" path="m1134,474l10772,474e" filled="false" stroked="true" strokeweight="1pt" strokecolor="#393b7f">
                <v:path arrowok="t"/>
                <v:stroke dashstyle="solid"/>
                <w10:wrap type="topAndBottom"/>
              </v:shape>
            </w:pict>
          </mc:Fallback>
        </mc:AlternateContent>
      </w:r>
    </w:p>
    <w:p>
      <w:pPr>
        <w:pStyle w:val="ListParagraph"/>
        <w:numPr>
          <w:ilvl w:val="0"/>
          <w:numId w:val="3"/>
        </w:numPr>
        <w:tabs>
          <w:tab w:pos="1853" w:val="left" w:leader="none"/>
        </w:tabs>
        <w:spacing w:line="235" w:lineRule="auto" w:before="120" w:after="0"/>
        <w:ind w:left="1853" w:right="1233" w:hanging="720"/>
        <w:jc w:val="left"/>
        <w:rPr>
          <w:sz w:val="18"/>
        </w:rPr>
      </w:pPr>
      <w:r>
        <w:rPr>
          <w:sz w:val="18"/>
        </w:rPr>
        <w:t>Equality Commission for NI, NI Human Rights Commission and Irish Human Rights and Equality Commission, ’</w:t>
      </w:r>
      <w:hyperlink r:id="rId76">
        <w:r>
          <w:rPr>
            <w:sz w:val="18"/>
          </w:rPr>
          <w:t>Policy</w:t>
        </w:r>
      </w:hyperlink>
      <w:r>
        <w:rPr>
          <w:sz w:val="18"/>
        </w:rPr>
        <w:t> </w:t>
      </w:r>
      <w:hyperlink r:id="rId76">
        <w:r>
          <w:rPr>
            <w:sz w:val="18"/>
          </w:rPr>
          <w:t>Recommendations:</w:t>
        </w:r>
        <w:r>
          <w:rPr>
            <w:spacing w:val="-4"/>
            <w:sz w:val="18"/>
          </w:rPr>
          <w:t> </w:t>
        </w:r>
        <w:r>
          <w:rPr>
            <w:sz w:val="18"/>
          </w:rPr>
          <w:t>European</w:t>
        </w:r>
        <w:r>
          <w:rPr>
            <w:spacing w:val="-5"/>
            <w:sz w:val="18"/>
          </w:rPr>
          <w:t> </w:t>
        </w:r>
        <w:r>
          <w:rPr>
            <w:sz w:val="18"/>
          </w:rPr>
          <w:t>Union</w:t>
        </w:r>
        <w:r>
          <w:rPr>
            <w:spacing w:val="-5"/>
            <w:sz w:val="18"/>
          </w:rPr>
          <w:t> </w:t>
        </w:r>
        <w:r>
          <w:rPr>
            <w:sz w:val="18"/>
          </w:rPr>
          <w:t>developments</w:t>
        </w:r>
        <w:r>
          <w:rPr>
            <w:spacing w:val="-5"/>
            <w:sz w:val="18"/>
          </w:rPr>
          <w:t> </w:t>
        </w:r>
        <w:r>
          <w:rPr>
            <w:sz w:val="18"/>
          </w:rPr>
          <w:t>in</w:t>
        </w:r>
        <w:r>
          <w:rPr>
            <w:spacing w:val="-5"/>
            <w:sz w:val="18"/>
          </w:rPr>
          <w:t> </w:t>
        </w:r>
        <w:r>
          <w:rPr>
            <w:sz w:val="18"/>
          </w:rPr>
          <w:t>Equality</w:t>
        </w:r>
        <w:r>
          <w:rPr>
            <w:spacing w:val="-4"/>
            <w:sz w:val="18"/>
          </w:rPr>
          <w:t> </w:t>
        </w:r>
        <w:r>
          <w:rPr>
            <w:sz w:val="18"/>
          </w:rPr>
          <w:t>and</w:t>
        </w:r>
        <w:r>
          <w:rPr>
            <w:spacing w:val="-5"/>
            <w:sz w:val="18"/>
          </w:rPr>
          <w:t> </w:t>
        </w:r>
        <w:r>
          <w:rPr>
            <w:sz w:val="18"/>
          </w:rPr>
          <w:t>Human</w:t>
        </w:r>
        <w:r>
          <w:rPr>
            <w:spacing w:val="-5"/>
            <w:sz w:val="18"/>
          </w:rPr>
          <w:t> </w:t>
        </w:r>
        <w:r>
          <w:rPr>
            <w:sz w:val="18"/>
          </w:rPr>
          <w:t>Rights: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the</w:t>
        </w:r>
        <w:r>
          <w:rPr>
            <w:spacing w:val="-4"/>
            <w:sz w:val="18"/>
          </w:rPr>
          <w:t> </w:t>
        </w:r>
        <w:r>
          <w:rPr>
            <w:sz w:val="18"/>
          </w:rPr>
          <w:t>divergence</w:t>
        </w:r>
      </w:hyperlink>
      <w:r>
        <w:rPr>
          <w:sz w:val="18"/>
        </w:rPr>
        <w:t> </w:t>
      </w:r>
      <w:hyperlink r:id="rId76">
        <w:r>
          <w:rPr>
            <w:sz w:val="18"/>
          </w:rPr>
          <w:t>of rights and best practice on the island of Ireland</w:t>
        </w:r>
      </w:hyperlink>
      <w:r>
        <w:rPr>
          <w:sz w:val="18"/>
        </w:rPr>
        <w:t>’ (ECNI, NIHRC and IHREC, 2023</w:t>
      </w:r>
      <w:r>
        <w:rPr>
          <w:sz w:val="18"/>
          <w:u w:val="single" w:color="0562C1"/>
        </w:rPr>
        <w:t>).</w:t>
      </w:r>
    </w:p>
    <w:p>
      <w:pPr>
        <w:pStyle w:val="ListParagraph"/>
        <w:numPr>
          <w:ilvl w:val="0"/>
          <w:numId w:val="3"/>
        </w:numPr>
        <w:tabs>
          <w:tab w:pos="1853" w:val="left" w:leader="none"/>
        </w:tabs>
        <w:spacing w:line="216" w:lineRule="exact" w:before="0" w:after="0"/>
        <w:ind w:left="1853" w:right="0" w:hanging="720"/>
        <w:jc w:val="left"/>
        <w:rPr>
          <w:sz w:val="18"/>
        </w:rPr>
      </w:pPr>
      <w:hyperlink r:id="rId111">
        <w:r>
          <w:rPr>
            <w:sz w:val="18"/>
          </w:rPr>
          <w:t>European</w:t>
        </w:r>
        <w:r>
          <w:rPr>
            <w:spacing w:val="-6"/>
            <w:sz w:val="18"/>
          </w:rPr>
          <w:t> </w:t>
        </w:r>
        <w:r>
          <w:rPr>
            <w:sz w:val="18"/>
          </w:rPr>
          <w:t>Union</w:t>
        </w:r>
        <w:r>
          <w:rPr>
            <w:spacing w:val="-6"/>
            <w:sz w:val="18"/>
          </w:rPr>
          <w:t> </w:t>
        </w:r>
        <w:r>
          <w:rPr>
            <w:sz w:val="18"/>
          </w:rPr>
          <w:t>(Accessibility</w:t>
        </w:r>
        <w:r>
          <w:rPr>
            <w:spacing w:val="-4"/>
            <w:sz w:val="18"/>
          </w:rPr>
          <w:t> </w:t>
        </w:r>
        <w:r>
          <w:rPr>
            <w:sz w:val="18"/>
          </w:rPr>
          <w:t>Requirements</w:t>
        </w:r>
        <w:r>
          <w:rPr>
            <w:spacing w:val="-6"/>
            <w:sz w:val="18"/>
          </w:rPr>
          <w:t> </w:t>
        </w:r>
        <w:r>
          <w:rPr>
            <w:sz w:val="18"/>
          </w:rPr>
          <w:t>of</w:t>
        </w:r>
        <w:r>
          <w:rPr>
            <w:spacing w:val="-6"/>
            <w:sz w:val="18"/>
          </w:rPr>
          <w:t> </w:t>
        </w:r>
        <w:r>
          <w:rPr>
            <w:sz w:val="18"/>
          </w:rPr>
          <w:t>Products</w:t>
        </w:r>
        <w:r>
          <w:rPr>
            <w:spacing w:val="-5"/>
            <w:sz w:val="18"/>
          </w:rPr>
          <w:t> </w:t>
        </w:r>
        <w:r>
          <w:rPr>
            <w:sz w:val="18"/>
          </w:rPr>
          <w:t>and</w:t>
        </w:r>
        <w:r>
          <w:rPr>
            <w:spacing w:val="-6"/>
            <w:sz w:val="18"/>
          </w:rPr>
          <w:t> </w:t>
        </w:r>
        <w:r>
          <w:rPr>
            <w:sz w:val="18"/>
          </w:rPr>
          <w:t>Services)</w:t>
        </w:r>
        <w:r>
          <w:rPr>
            <w:spacing w:val="-5"/>
            <w:sz w:val="18"/>
          </w:rPr>
          <w:t> </w:t>
        </w:r>
        <w:r>
          <w:rPr>
            <w:sz w:val="18"/>
          </w:rPr>
          <w:t>Regulations</w:t>
        </w:r>
        <w:r>
          <w:rPr>
            <w:spacing w:val="-6"/>
            <w:sz w:val="18"/>
          </w:rPr>
          <w:t> </w:t>
        </w:r>
        <w:r>
          <w:rPr>
            <w:sz w:val="18"/>
          </w:rPr>
          <w:t>2023</w:t>
        </w:r>
      </w:hyperlink>
      <w:r>
        <w:rPr>
          <w:spacing w:val="-5"/>
          <w:sz w:val="18"/>
        </w:rPr>
        <w:t> </w:t>
      </w:r>
      <w:r>
        <w:rPr>
          <w:sz w:val="18"/>
        </w:rPr>
        <w:t>(SI</w:t>
      </w:r>
      <w:r>
        <w:rPr>
          <w:spacing w:val="-5"/>
          <w:sz w:val="18"/>
        </w:rPr>
        <w:t> </w:t>
      </w:r>
      <w:r>
        <w:rPr>
          <w:spacing w:val="-2"/>
          <w:sz w:val="18"/>
        </w:rPr>
        <w:t>636/2023).</w:t>
      </w:r>
    </w:p>
    <w:p>
      <w:pPr>
        <w:pStyle w:val="ListParagraph"/>
        <w:numPr>
          <w:ilvl w:val="0"/>
          <w:numId w:val="3"/>
        </w:numPr>
        <w:tabs>
          <w:tab w:pos="1853" w:val="left" w:leader="none"/>
        </w:tabs>
        <w:spacing w:line="216" w:lineRule="exact" w:before="0" w:after="0"/>
        <w:ind w:left="1853" w:right="0" w:hanging="720"/>
        <w:jc w:val="left"/>
        <w:rPr>
          <w:sz w:val="18"/>
        </w:rPr>
      </w:pPr>
      <w:r>
        <w:rPr>
          <w:sz w:val="18"/>
        </w:rPr>
        <w:t>Department</w:t>
      </w:r>
      <w:r>
        <w:rPr>
          <w:spacing w:val="-6"/>
          <w:sz w:val="18"/>
        </w:rPr>
        <w:t> </w:t>
      </w:r>
      <w:r>
        <w:rPr>
          <w:sz w:val="18"/>
        </w:rPr>
        <w:t>of</w:t>
      </w:r>
      <w:r>
        <w:rPr>
          <w:spacing w:val="-6"/>
          <w:sz w:val="18"/>
        </w:rPr>
        <w:t> </w:t>
      </w:r>
      <w:r>
        <w:rPr>
          <w:sz w:val="18"/>
        </w:rPr>
        <w:t>Health,</w:t>
      </w:r>
      <w:r>
        <w:rPr>
          <w:spacing w:val="-6"/>
          <w:sz w:val="18"/>
        </w:rPr>
        <w:t> </w:t>
      </w:r>
      <w:r>
        <w:rPr>
          <w:sz w:val="18"/>
        </w:rPr>
        <w:t>‘Autism</w:t>
      </w:r>
      <w:r>
        <w:rPr>
          <w:spacing w:val="-5"/>
          <w:sz w:val="18"/>
        </w:rPr>
        <w:t> </w:t>
      </w:r>
      <w:r>
        <w:rPr>
          <w:sz w:val="18"/>
        </w:rPr>
        <w:t>Interim</w:t>
      </w:r>
      <w:r>
        <w:rPr>
          <w:spacing w:val="-6"/>
          <w:sz w:val="18"/>
        </w:rPr>
        <w:t> </w:t>
      </w:r>
      <w:r>
        <w:rPr>
          <w:sz w:val="18"/>
        </w:rPr>
        <w:t>Strategy</w:t>
      </w:r>
      <w:r>
        <w:rPr>
          <w:spacing w:val="-6"/>
          <w:sz w:val="18"/>
        </w:rPr>
        <w:t> </w:t>
      </w:r>
      <w:r>
        <w:rPr>
          <w:sz w:val="18"/>
        </w:rPr>
        <w:t>2021-2022’</w:t>
      </w:r>
      <w:r>
        <w:rPr>
          <w:spacing w:val="-5"/>
          <w:sz w:val="18"/>
        </w:rPr>
        <w:t> </w:t>
      </w:r>
      <w:r>
        <w:rPr>
          <w:sz w:val="18"/>
        </w:rPr>
        <w:t>(DoH,</w:t>
      </w:r>
      <w:r>
        <w:rPr>
          <w:spacing w:val="-6"/>
          <w:sz w:val="18"/>
        </w:rPr>
        <w:t> </w:t>
      </w:r>
      <w:r>
        <w:rPr>
          <w:spacing w:val="-2"/>
          <w:sz w:val="18"/>
        </w:rPr>
        <w:t>2021).</w:t>
      </w:r>
    </w:p>
    <w:p>
      <w:pPr>
        <w:pStyle w:val="ListParagraph"/>
        <w:numPr>
          <w:ilvl w:val="0"/>
          <w:numId w:val="3"/>
        </w:numPr>
        <w:tabs>
          <w:tab w:pos="1853" w:val="left" w:leader="none"/>
        </w:tabs>
        <w:spacing w:line="235" w:lineRule="auto" w:before="2" w:after="0"/>
        <w:ind w:left="1853" w:right="1529" w:hanging="720"/>
        <w:jc w:val="left"/>
        <w:rPr>
          <w:sz w:val="18"/>
        </w:rPr>
      </w:pPr>
      <w:r>
        <w:rPr>
          <w:sz w:val="18"/>
        </w:rPr>
        <w:t>The</w:t>
      </w:r>
      <w:r>
        <w:rPr>
          <w:spacing w:val="-3"/>
          <w:sz w:val="18"/>
        </w:rPr>
        <w:t> </w:t>
      </w:r>
      <w:r>
        <w:rPr>
          <w:sz w:val="18"/>
        </w:rPr>
        <w:t>NIHRC</w:t>
      </w:r>
      <w:r>
        <w:rPr>
          <w:spacing w:val="-4"/>
          <w:sz w:val="18"/>
        </w:rPr>
        <w:t> </w:t>
      </w:r>
      <w:r>
        <w:rPr>
          <w:sz w:val="18"/>
        </w:rPr>
        <w:t>submitted</w:t>
      </w:r>
      <w:r>
        <w:rPr>
          <w:spacing w:val="-4"/>
          <w:sz w:val="18"/>
        </w:rPr>
        <w:t> </w:t>
      </w:r>
      <w:r>
        <w:rPr>
          <w:sz w:val="18"/>
        </w:rPr>
        <w:t>advice</w:t>
      </w:r>
      <w:r>
        <w:rPr>
          <w:spacing w:val="-3"/>
          <w:sz w:val="18"/>
        </w:rPr>
        <w:t> </w:t>
      </w:r>
      <w:r>
        <w:rPr>
          <w:sz w:val="18"/>
        </w:rPr>
        <w:t>to</w:t>
      </w:r>
      <w:r>
        <w:rPr>
          <w:spacing w:val="-4"/>
          <w:sz w:val="18"/>
        </w:rPr>
        <w:t> </w:t>
      </w:r>
      <w:r>
        <w:rPr>
          <w:sz w:val="18"/>
        </w:rPr>
        <w:t>the</w:t>
      </w:r>
      <w:r>
        <w:rPr>
          <w:spacing w:val="-3"/>
          <w:sz w:val="18"/>
        </w:rPr>
        <w:t> </w:t>
      </w:r>
      <w:r>
        <w:rPr>
          <w:sz w:val="18"/>
        </w:rPr>
        <w:t>Committee</w:t>
      </w:r>
      <w:r>
        <w:rPr>
          <w:spacing w:val="-3"/>
          <w:sz w:val="18"/>
        </w:rPr>
        <w:t> </w:t>
      </w:r>
      <w:r>
        <w:rPr>
          <w:sz w:val="18"/>
        </w:rPr>
        <w:t>for</w:t>
      </w:r>
      <w:r>
        <w:rPr>
          <w:spacing w:val="-3"/>
          <w:sz w:val="18"/>
        </w:rPr>
        <w:t> </w:t>
      </w:r>
      <w:r>
        <w:rPr>
          <w:sz w:val="18"/>
        </w:rPr>
        <w:t>Health</w:t>
      </w:r>
      <w:r>
        <w:rPr>
          <w:spacing w:val="-4"/>
          <w:sz w:val="18"/>
        </w:rPr>
        <w:t> </w:t>
      </w:r>
      <w:r>
        <w:rPr>
          <w:sz w:val="18"/>
        </w:rPr>
        <w:t>on</w:t>
      </w:r>
      <w:r>
        <w:rPr>
          <w:spacing w:val="-4"/>
          <w:sz w:val="18"/>
        </w:rPr>
        <w:t> </w:t>
      </w:r>
      <w:r>
        <w:rPr>
          <w:sz w:val="18"/>
        </w:rPr>
        <w:t>the</w:t>
      </w:r>
      <w:r>
        <w:rPr>
          <w:spacing w:val="-3"/>
          <w:sz w:val="18"/>
        </w:rPr>
        <w:t> </w:t>
      </w:r>
      <w:r>
        <w:rPr>
          <w:sz w:val="18"/>
        </w:rPr>
        <w:t>Bill.</w:t>
      </w:r>
      <w:r>
        <w:rPr>
          <w:spacing w:val="-4"/>
          <w:sz w:val="18"/>
        </w:rPr>
        <w:t> </w:t>
      </w:r>
      <w:r>
        <w:rPr>
          <w:sz w:val="18"/>
        </w:rPr>
        <w:t>See</w:t>
      </w:r>
      <w:r>
        <w:rPr>
          <w:spacing w:val="-3"/>
          <w:sz w:val="18"/>
        </w:rPr>
        <w:t> </w:t>
      </w: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3"/>
          <w:sz w:val="18"/>
        </w:rPr>
        <w:t> </w:t>
      </w:r>
      <w:r>
        <w:rPr>
          <w:sz w:val="18"/>
        </w:rPr>
        <w:t>‘Response</w:t>
      </w:r>
      <w:r>
        <w:rPr>
          <w:spacing w:val="-3"/>
          <w:sz w:val="18"/>
        </w:rPr>
        <w:t> </w:t>
      </w:r>
      <w:r>
        <w:rPr>
          <w:sz w:val="18"/>
        </w:rPr>
        <w:t>to Autism (Amendment) Bill’ (NIHRC, 2021).</w:t>
      </w:r>
    </w:p>
    <w:p>
      <w:pPr>
        <w:pStyle w:val="ListParagraph"/>
        <w:numPr>
          <w:ilvl w:val="0"/>
          <w:numId w:val="3"/>
        </w:numPr>
        <w:tabs>
          <w:tab w:pos="1853" w:val="left" w:leader="none"/>
        </w:tabs>
        <w:spacing w:line="235" w:lineRule="auto" w:before="1" w:after="0"/>
        <w:ind w:left="1853" w:right="1422" w:hanging="720"/>
        <w:jc w:val="left"/>
        <w:rPr>
          <w:sz w:val="18"/>
        </w:rPr>
      </w:pPr>
      <w:r>
        <w:rPr>
          <w:sz w:val="18"/>
        </w:rPr>
        <w:t>Department</w:t>
      </w:r>
      <w:r>
        <w:rPr>
          <w:spacing w:val="-6"/>
          <w:sz w:val="18"/>
        </w:rPr>
        <w:t> </w:t>
      </w:r>
      <w:r>
        <w:rPr>
          <w:sz w:val="18"/>
        </w:rPr>
        <w:t>of</w:t>
      </w:r>
      <w:r>
        <w:rPr>
          <w:spacing w:val="-7"/>
          <w:sz w:val="18"/>
        </w:rPr>
        <w:t> </w:t>
      </w:r>
      <w:r>
        <w:rPr>
          <w:sz w:val="18"/>
        </w:rPr>
        <w:t>Health,</w:t>
      </w:r>
      <w:r>
        <w:rPr>
          <w:spacing w:val="-6"/>
          <w:sz w:val="18"/>
        </w:rPr>
        <w:t> </w:t>
      </w:r>
      <w:r>
        <w:rPr>
          <w:sz w:val="18"/>
        </w:rPr>
        <w:t>‘Autism</w:t>
      </w:r>
      <w:r>
        <w:rPr>
          <w:spacing w:val="-6"/>
          <w:sz w:val="18"/>
        </w:rPr>
        <w:t> </w:t>
      </w:r>
      <w:r>
        <w:rPr>
          <w:sz w:val="18"/>
        </w:rPr>
        <w:t>Strategy</w:t>
      </w:r>
      <w:r>
        <w:rPr>
          <w:spacing w:val="-6"/>
          <w:sz w:val="18"/>
        </w:rPr>
        <w:t> </w:t>
      </w:r>
      <w:r>
        <w:rPr>
          <w:sz w:val="18"/>
        </w:rPr>
        <w:t>2023-2028’</w:t>
      </w:r>
      <w:r>
        <w:rPr>
          <w:spacing w:val="-6"/>
          <w:sz w:val="18"/>
        </w:rPr>
        <w:t> </w:t>
      </w:r>
      <w:r>
        <w:rPr>
          <w:sz w:val="18"/>
        </w:rPr>
        <w:t>(DoH,</w:t>
      </w:r>
      <w:r>
        <w:rPr>
          <w:spacing w:val="-6"/>
          <w:sz w:val="18"/>
        </w:rPr>
        <w:t> </w:t>
      </w:r>
      <w:r>
        <w:rPr>
          <w:sz w:val="18"/>
        </w:rPr>
        <w:t>2023);</w:t>
      </w:r>
      <w:r>
        <w:rPr>
          <w:spacing w:val="-6"/>
          <w:sz w:val="18"/>
        </w:rPr>
        <w:t> </w:t>
      </w:r>
      <w:r>
        <w:rPr>
          <w:sz w:val="18"/>
        </w:rPr>
        <w:t>Department</w:t>
      </w:r>
      <w:r>
        <w:rPr>
          <w:spacing w:val="-6"/>
          <w:sz w:val="18"/>
        </w:rPr>
        <w:t> </w:t>
      </w:r>
      <w:r>
        <w:rPr>
          <w:sz w:val="18"/>
        </w:rPr>
        <w:t>of</w:t>
      </w:r>
      <w:r>
        <w:rPr>
          <w:spacing w:val="-7"/>
          <w:sz w:val="18"/>
        </w:rPr>
        <w:t> </w:t>
      </w:r>
      <w:r>
        <w:rPr>
          <w:sz w:val="18"/>
        </w:rPr>
        <w:t>Health,</w:t>
      </w:r>
      <w:r>
        <w:rPr>
          <w:spacing w:val="-6"/>
          <w:sz w:val="18"/>
        </w:rPr>
        <w:t> </w:t>
      </w:r>
      <w:r>
        <w:rPr>
          <w:sz w:val="18"/>
        </w:rPr>
        <w:t>‘Autism</w:t>
      </w:r>
      <w:r>
        <w:rPr>
          <w:spacing w:val="-6"/>
          <w:sz w:val="18"/>
        </w:rPr>
        <w:t> </w:t>
      </w:r>
      <w:r>
        <w:rPr>
          <w:sz w:val="18"/>
        </w:rPr>
        <w:t>Strategy</w:t>
      </w:r>
      <w:r>
        <w:rPr>
          <w:spacing w:val="-6"/>
          <w:sz w:val="18"/>
        </w:rPr>
        <w:t> </w:t>
      </w:r>
      <w:r>
        <w:rPr>
          <w:sz w:val="18"/>
        </w:rPr>
        <w:t>Delivery</w:t>
      </w:r>
      <w:r>
        <w:rPr>
          <w:spacing w:val="-6"/>
          <w:sz w:val="18"/>
        </w:rPr>
        <w:t> </w:t>
      </w:r>
      <w:r>
        <w:rPr>
          <w:sz w:val="18"/>
        </w:rPr>
        <w:t>plan 2023-2028’ (DoH, 2023).</w:t>
      </w:r>
    </w:p>
    <w:p>
      <w:pPr>
        <w:pStyle w:val="ListParagraph"/>
        <w:numPr>
          <w:ilvl w:val="0"/>
          <w:numId w:val="3"/>
        </w:numPr>
        <w:tabs>
          <w:tab w:pos="1853" w:val="left" w:leader="none"/>
        </w:tabs>
        <w:spacing w:line="235" w:lineRule="auto" w:before="2" w:after="0"/>
        <w:ind w:left="1853" w:right="2049" w:hanging="720"/>
        <w:jc w:val="left"/>
        <w:rPr>
          <w:sz w:val="18"/>
        </w:rPr>
      </w:pPr>
      <w:r>
        <w:rPr>
          <w:sz w:val="18"/>
        </w:rPr>
        <w:t>Email</w:t>
      </w:r>
      <w:r>
        <w:rPr>
          <w:spacing w:val="-6"/>
          <w:sz w:val="18"/>
        </w:rPr>
        <w:t> </w:t>
      </w:r>
      <w:r>
        <w:rPr>
          <w:sz w:val="18"/>
        </w:rPr>
        <w:t>correspondence</w:t>
      </w:r>
      <w:r>
        <w:rPr>
          <w:spacing w:val="-5"/>
          <w:sz w:val="18"/>
        </w:rPr>
        <w:t> </w:t>
      </w:r>
      <w:r>
        <w:rPr>
          <w:sz w:val="18"/>
        </w:rPr>
        <w:t>from</w:t>
      </w:r>
      <w:r>
        <w:rPr>
          <w:spacing w:val="-5"/>
          <w:sz w:val="18"/>
        </w:rPr>
        <w:t> </w:t>
      </w:r>
      <w:r>
        <w:rPr>
          <w:sz w:val="18"/>
        </w:rPr>
        <w:t>the</w:t>
      </w:r>
      <w:r>
        <w:rPr>
          <w:spacing w:val="-5"/>
          <w:sz w:val="18"/>
        </w:rPr>
        <w:t> </w:t>
      </w:r>
      <w:r>
        <w:rPr>
          <w:sz w:val="18"/>
        </w:rPr>
        <w:t>Autism</w:t>
      </w:r>
      <w:r>
        <w:rPr>
          <w:spacing w:val="-5"/>
          <w:sz w:val="18"/>
        </w:rPr>
        <w:t> </w:t>
      </w:r>
      <w:r>
        <w:rPr>
          <w:sz w:val="18"/>
        </w:rPr>
        <w:t>Strategy</w:t>
      </w:r>
      <w:r>
        <w:rPr>
          <w:spacing w:val="-5"/>
          <w:sz w:val="18"/>
        </w:rPr>
        <w:t> </w:t>
      </w:r>
      <w:r>
        <w:rPr>
          <w:sz w:val="18"/>
        </w:rPr>
        <w:t>Delivery</w:t>
      </w:r>
      <w:r>
        <w:rPr>
          <w:spacing w:val="-5"/>
          <w:sz w:val="18"/>
        </w:rPr>
        <w:t> </w:t>
      </w:r>
      <w:r>
        <w:rPr>
          <w:sz w:val="18"/>
        </w:rPr>
        <w:t>Team,</w:t>
      </w:r>
      <w:r>
        <w:rPr>
          <w:spacing w:val="-5"/>
          <w:sz w:val="18"/>
        </w:rPr>
        <w:t> </w:t>
      </w:r>
      <w:r>
        <w:rPr>
          <w:sz w:val="18"/>
        </w:rPr>
        <w:t>Department</w:t>
      </w:r>
      <w:r>
        <w:rPr>
          <w:spacing w:val="-5"/>
          <w:sz w:val="18"/>
        </w:rPr>
        <w:t> </w:t>
      </w:r>
      <w:r>
        <w:rPr>
          <w:sz w:val="18"/>
        </w:rPr>
        <w:t>of</w:t>
      </w:r>
      <w:r>
        <w:rPr>
          <w:spacing w:val="-6"/>
          <w:sz w:val="18"/>
        </w:rPr>
        <w:t> </w:t>
      </w:r>
      <w:r>
        <w:rPr>
          <w:sz w:val="18"/>
        </w:rPr>
        <w:t>Health</w:t>
      </w:r>
      <w:r>
        <w:rPr>
          <w:spacing w:val="-6"/>
          <w:sz w:val="18"/>
        </w:rPr>
        <w:t> </w:t>
      </w:r>
      <w:r>
        <w:rPr>
          <w:sz w:val="18"/>
        </w:rPr>
        <w:t>to</w:t>
      </w:r>
      <w:r>
        <w:rPr>
          <w:spacing w:val="-6"/>
          <w:sz w:val="18"/>
        </w:rPr>
        <w:t> </w:t>
      </w:r>
      <w:r>
        <w:rPr>
          <w:sz w:val="18"/>
        </w:rPr>
        <w:t>the</w:t>
      </w:r>
      <w:r>
        <w:rPr>
          <w:spacing w:val="-5"/>
          <w:sz w:val="18"/>
        </w:rPr>
        <w:t> </w:t>
      </w:r>
      <w:r>
        <w:rPr>
          <w:sz w:val="18"/>
        </w:rPr>
        <w:t>NI</w:t>
      </w:r>
      <w:r>
        <w:rPr>
          <w:spacing w:val="-5"/>
          <w:sz w:val="18"/>
        </w:rPr>
        <w:t> </w:t>
      </w:r>
      <w:r>
        <w:rPr>
          <w:sz w:val="18"/>
        </w:rPr>
        <w:t>Human</w:t>
      </w:r>
      <w:r>
        <w:rPr>
          <w:spacing w:val="-6"/>
          <w:sz w:val="18"/>
        </w:rPr>
        <w:t> </w:t>
      </w:r>
      <w:r>
        <w:rPr>
          <w:sz w:val="18"/>
        </w:rPr>
        <w:t>Rights Commission, 26 March 2024.</w:t>
      </w:r>
    </w:p>
    <w:p>
      <w:pPr>
        <w:pStyle w:val="ListParagraph"/>
        <w:numPr>
          <w:ilvl w:val="0"/>
          <w:numId w:val="3"/>
        </w:numPr>
        <w:tabs>
          <w:tab w:pos="1853" w:val="left" w:leader="none"/>
        </w:tabs>
        <w:spacing w:line="235" w:lineRule="auto" w:before="1" w:after="0"/>
        <w:ind w:left="1853" w:right="1602" w:hanging="720"/>
        <w:jc w:val="left"/>
        <w:rPr>
          <w:sz w:val="18"/>
        </w:rPr>
      </w:pPr>
      <w:r>
        <w:rPr>
          <w:sz w:val="18"/>
        </w:rPr>
        <w:t>Letter</w:t>
      </w:r>
      <w:r>
        <w:rPr>
          <w:spacing w:val="-3"/>
          <w:sz w:val="18"/>
        </w:rPr>
        <w:t> </w:t>
      </w:r>
      <w:r>
        <w:rPr>
          <w:sz w:val="18"/>
        </w:rPr>
        <w:t>from</w:t>
      </w:r>
      <w:r>
        <w:rPr>
          <w:spacing w:val="-3"/>
          <w:sz w:val="18"/>
        </w:rPr>
        <w:t> </w:t>
      </w:r>
      <w:r>
        <w:rPr>
          <w:sz w:val="18"/>
        </w:rPr>
        <w:t>the</w:t>
      </w:r>
      <w:r>
        <w:rPr>
          <w:spacing w:val="-3"/>
          <w:sz w:val="18"/>
        </w:rPr>
        <w:t> </w:t>
      </w: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and</w:t>
      </w:r>
      <w:r>
        <w:rPr>
          <w:spacing w:val="-4"/>
          <w:sz w:val="18"/>
        </w:rPr>
        <w:t> </w:t>
      </w:r>
      <w:r>
        <w:rPr>
          <w:sz w:val="18"/>
        </w:rPr>
        <w:t>the</w:t>
      </w:r>
      <w:r>
        <w:rPr>
          <w:spacing w:val="-3"/>
          <w:sz w:val="18"/>
        </w:rPr>
        <w:t> </w:t>
      </w:r>
      <w:r>
        <w:rPr>
          <w:sz w:val="18"/>
        </w:rPr>
        <w:t>Equality</w:t>
      </w:r>
      <w:r>
        <w:rPr>
          <w:spacing w:val="-3"/>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to</w:t>
      </w:r>
      <w:r>
        <w:rPr>
          <w:spacing w:val="-4"/>
          <w:sz w:val="18"/>
        </w:rPr>
        <w:t> </w:t>
      </w:r>
      <w:r>
        <w:rPr>
          <w:sz w:val="18"/>
        </w:rPr>
        <w:t>the</w:t>
      </w:r>
      <w:r>
        <w:rPr>
          <w:spacing w:val="-3"/>
          <w:sz w:val="18"/>
        </w:rPr>
        <w:t> </w:t>
      </w:r>
      <w:r>
        <w:rPr>
          <w:sz w:val="18"/>
        </w:rPr>
        <w:t>Head</w:t>
      </w:r>
      <w:r>
        <w:rPr>
          <w:spacing w:val="-4"/>
          <w:sz w:val="18"/>
        </w:rPr>
        <w:t> </w:t>
      </w:r>
      <w:r>
        <w:rPr>
          <w:sz w:val="18"/>
        </w:rPr>
        <w:t>of</w:t>
      </w:r>
      <w:r>
        <w:rPr>
          <w:spacing w:val="-4"/>
          <w:sz w:val="18"/>
        </w:rPr>
        <w:t> </w:t>
      </w:r>
      <w:r>
        <w:rPr>
          <w:sz w:val="18"/>
        </w:rPr>
        <w:t>the</w:t>
      </w:r>
      <w:r>
        <w:rPr>
          <w:spacing w:val="-3"/>
          <w:sz w:val="18"/>
        </w:rPr>
        <w:t> </w:t>
      </w:r>
      <w:r>
        <w:rPr>
          <w:sz w:val="18"/>
        </w:rPr>
        <w:t>NI</w:t>
      </w:r>
      <w:r>
        <w:rPr>
          <w:spacing w:val="-3"/>
          <w:sz w:val="18"/>
        </w:rPr>
        <w:t> </w:t>
      </w:r>
      <w:r>
        <w:rPr>
          <w:sz w:val="18"/>
        </w:rPr>
        <w:t>Civil</w:t>
      </w:r>
      <w:r>
        <w:rPr>
          <w:spacing w:val="-4"/>
          <w:sz w:val="18"/>
        </w:rPr>
        <w:t> </w:t>
      </w:r>
      <w:r>
        <w:rPr>
          <w:sz w:val="18"/>
        </w:rPr>
        <w:t>Service, 10 June 2021. In 2022, the Commissions reiterated their call for the UK and the EU to find a long-term, sustainable solution to pet travel arrangements to the House of Lords Sub-Committee on the Protocol’s follow up Inquiry on</w:t>
      </w:r>
    </w:p>
    <w:p>
      <w:pPr>
        <w:spacing w:line="235" w:lineRule="auto" w:before="2"/>
        <w:ind w:left="1853" w:right="1572" w:firstLine="0"/>
        <w:jc w:val="left"/>
        <w:rPr>
          <w:sz w:val="18"/>
        </w:rPr>
      </w:pPr>
      <w:r>
        <w:rPr>
          <w:sz w:val="18"/>
        </w:rPr>
        <w:t>the</w:t>
      </w:r>
      <w:r>
        <w:rPr>
          <w:spacing w:val="-3"/>
          <w:sz w:val="18"/>
        </w:rPr>
        <w:t> </w:t>
      </w:r>
      <w:r>
        <w:rPr>
          <w:sz w:val="18"/>
        </w:rPr>
        <w:t>Impact</w:t>
      </w:r>
      <w:r>
        <w:rPr>
          <w:spacing w:val="-3"/>
          <w:sz w:val="18"/>
        </w:rPr>
        <w:t> </w:t>
      </w:r>
      <w:r>
        <w:rPr>
          <w:sz w:val="18"/>
        </w:rPr>
        <w:t>of</w:t>
      </w:r>
      <w:r>
        <w:rPr>
          <w:spacing w:val="-4"/>
          <w:sz w:val="18"/>
        </w:rPr>
        <w:t> </w:t>
      </w:r>
      <w:r>
        <w:rPr>
          <w:sz w:val="18"/>
        </w:rPr>
        <w:t>the</w:t>
      </w:r>
      <w:r>
        <w:rPr>
          <w:spacing w:val="-3"/>
          <w:sz w:val="18"/>
        </w:rPr>
        <w:t> </w:t>
      </w:r>
      <w:r>
        <w:rPr>
          <w:sz w:val="18"/>
        </w:rPr>
        <w:t>[original]</w:t>
      </w:r>
      <w:r>
        <w:rPr>
          <w:spacing w:val="-3"/>
          <w:sz w:val="18"/>
        </w:rPr>
        <w:t> </w:t>
      </w:r>
      <w:r>
        <w:rPr>
          <w:sz w:val="18"/>
        </w:rPr>
        <w:t>Protocol.</w:t>
      </w:r>
      <w:r>
        <w:rPr>
          <w:spacing w:val="-4"/>
          <w:sz w:val="18"/>
        </w:rPr>
        <w:t> </w:t>
      </w:r>
      <w:r>
        <w:rPr>
          <w:sz w:val="18"/>
        </w:rPr>
        <w:t>See</w:t>
      </w:r>
      <w:r>
        <w:rPr>
          <w:spacing w:val="-3"/>
          <w:sz w:val="18"/>
        </w:rPr>
        <w:t> </w:t>
      </w:r>
      <w:r>
        <w:rPr>
          <w:sz w:val="18"/>
        </w:rPr>
        <w:t>Equality</w:t>
      </w:r>
      <w:r>
        <w:rPr>
          <w:spacing w:val="-3"/>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and</w:t>
      </w:r>
      <w:r>
        <w:rPr>
          <w:spacing w:val="-4"/>
          <w:sz w:val="18"/>
        </w:rPr>
        <w:t> </w:t>
      </w: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3"/>
          <w:sz w:val="18"/>
        </w:rPr>
        <w:t> </w:t>
      </w:r>
      <w:r>
        <w:rPr>
          <w:sz w:val="18"/>
        </w:rPr>
        <w:t>‘</w:t>
      </w:r>
      <w:hyperlink r:id="rId112">
        <w:r>
          <w:rPr>
            <w:sz w:val="18"/>
          </w:rPr>
          <w:t>Submission</w:t>
        </w:r>
      </w:hyperlink>
      <w:r>
        <w:rPr>
          <w:sz w:val="18"/>
        </w:rPr>
        <w:t> </w:t>
      </w:r>
      <w:hyperlink r:id="rId112">
        <w:r>
          <w:rPr>
            <w:sz w:val="18"/>
          </w:rPr>
          <w:t>of the NIHRC and ECNI to the House of Lords Sub-Committee on the Protocol’s follow up Inquiry on the impact</w:t>
        </w:r>
      </w:hyperlink>
    </w:p>
    <w:p>
      <w:pPr>
        <w:spacing w:line="216" w:lineRule="exact" w:before="0"/>
        <w:ind w:left="1853" w:right="0" w:firstLine="0"/>
        <w:jc w:val="left"/>
        <w:rPr>
          <w:sz w:val="18"/>
        </w:rPr>
      </w:pPr>
      <w:hyperlink r:id="rId112">
        <w:r>
          <w:rPr>
            <w:sz w:val="18"/>
          </w:rPr>
          <w:t>of</w:t>
        </w:r>
        <w:r>
          <w:rPr>
            <w:spacing w:val="-4"/>
            <w:sz w:val="18"/>
          </w:rPr>
          <w:t> </w:t>
        </w:r>
        <w:r>
          <w:rPr>
            <w:sz w:val="18"/>
          </w:rPr>
          <w:t>the</w:t>
        </w:r>
        <w:r>
          <w:rPr>
            <w:spacing w:val="-3"/>
            <w:sz w:val="18"/>
          </w:rPr>
          <w:t> </w:t>
        </w:r>
        <w:r>
          <w:rPr>
            <w:sz w:val="18"/>
          </w:rPr>
          <w:t>Protocol</w:t>
        </w:r>
      </w:hyperlink>
      <w:r>
        <w:rPr>
          <w:sz w:val="18"/>
        </w:rPr>
        <w:t>’</w:t>
      </w:r>
      <w:r>
        <w:rPr>
          <w:spacing w:val="-4"/>
          <w:sz w:val="18"/>
        </w:rPr>
        <w:t> </w:t>
      </w:r>
      <w:r>
        <w:rPr>
          <w:sz w:val="18"/>
        </w:rPr>
        <w:t>(ECNI</w:t>
      </w:r>
      <w:r>
        <w:rPr>
          <w:spacing w:val="-3"/>
          <w:sz w:val="18"/>
        </w:rPr>
        <w:t> </w:t>
      </w:r>
      <w:r>
        <w:rPr>
          <w:sz w:val="18"/>
        </w:rPr>
        <w:t>and</w:t>
      </w:r>
      <w:r>
        <w:rPr>
          <w:spacing w:val="-4"/>
          <w:sz w:val="18"/>
        </w:rPr>
        <w:t> </w:t>
      </w:r>
      <w:r>
        <w:rPr>
          <w:sz w:val="18"/>
        </w:rPr>
        <w:t>NIHRC</w:t>
      </w:r>
      <w:r>
        <w:rPr>
          <w:spacing w:val="-3"/>
          <w:sz w:val="18"/>
        </w:rPr>
        <w:t> </w:t>
      </w:r>
      <w:r>
        <w:rPr>
          <w:spacing w:val="-2"/>
          <w:sz w:val="18"/>
        </w:rPr>
        <w:t>2022).</w:t>
      </w:r>
    </w:p>
    <w:p>
      <w:pPr>
        <w:pStyle w:val="ListParagraph"/>
        <w:numPr>
          <w:ilvl w:val="0"/>
          <w:numId w:val="3"/>
        </w:numPr>
        <w:tabs>
          <w:tab w:pos="1853" w:val="left" w:leader="none"/>
        </w:tabs>
        <w:spacing w:line="235" w:lineRule="auto" w:before="1" w:after="0"/>
        <w:ind w:left="1853" w:right="1570" w:hanging="720"/>
        <w:jc w:val="left"/>
        <w:rPr>
          <w:sz w:val="18"/>
        </w:rPr>
      </w:pPr>
      <w:r>
        <w:rPr>
          <w:sz w:val="18"/>
        </w:rPr>
        <w:t>UK</w:t>
      </w:r>
      <w:r>
        <w:rPr>
          <w:spacing w:val="-5"/>
          <w:sz w:val="18"/>
        </w:rPr>
        <w:t> </w:t>
      </w:r>
      <w:r>
        <w:rPr>
          <w:sz w:val="18"/>
        </w:rPr>
        <w:t>Government,</w:t>
      </w:r>
      <w:r>
        <w:rPr>
          <w:spacing w:val="-5"/>
          <w:sz w:val="18"/>
        </w:rPr>
        <w:t> </w:t>
      </w:r>
      <w:r>
        <w:rPr>
          <w:sz w:val="18"/>
        </w:rPr>
        <w:t>‘Political</w:t>
      </w:r>
      <w:r>
        <w:rPr>
          <w:spacing w:val="-6"/>
          <w:sz w:val="18"/>
        </w:rPr>
        <w:t> </w:t>
      </w:r>
      <w:r>
        <w:rPr>
          <w:sz w:val="18"/>
        </w:rPr>
        <w:t>Declaration</w:t>
      </w:r>
      <w:r>
        <w:rPr>
          <w:spacing w:val="-6"/>
          <w:sz w:val="18"/>
        </w:rPr>
        <w:t> </w:t>
      </w:r>
      <w:r>
        <w:rPr>
          <w:sz w:val="18"/>
        </w:rPr>
        <w:t>by</w:t>
      </w:r>
      <w:r>
        <w:rPr>
          <w:spacing w:val="-5"/>
          <w:sz w:val="18"/>
        </w:rPr>
        <w:t> </w:t>
      </w:r>
      <w:r>
        <w:rPr>
          <w:sz w:val="18"/>
        </w:rPr>
        <w:t>the</w:t>
      </w:r>
      <w:r>
        <w:rPr>
          <w:spacing w:val="-5"/>
          <w:sz w:val="18"/>
        </w:rPr>
        <w:t> </w:t>
      </w:r>
      <w:r>
        <w:rPr>
          <w:sz w:val="18"/>
        </w:rPr>
        <w:t>European</w:t>
      </w:r>
      <w:r>
        <w:rPr>
          <w:spacing w:val="-6"/>
          <w:sz w:val="18"/>
        </w:rPr>
        <w:t> </w:t>
      </w:r>
      <w:r>
        <w:rPr>
          <w:sz w:val="18"/>
        </w:rPr>
        <w:t>Commission</w:t>
      </w:r>
      <w:r>
        <w:rPr>
          <w:spacing w:val="-6"/>
          <w:sz w:val="18"/>
        </w:rPr>
        <w:t> </w:t>
      </w:r>
      <w:r>
        <w:rPr>
          <w:sz w:val="18"/>
        </w:rPr>
        <w:t>and</w:t>
      </w:r>
      <w:r>
        <w:rPr>
          <w:spacing w:val="-6"/>
          <w:sz w:val="18"/>
        </w:rPr>
        <w:t> </w:t>
      </w:r>
      <w:r>
        <w:rPr>
          <w:sz w:val="18"/>
        </w:rPr>
        <w:t>the</w:t>
      </w:r>
      <w:r>
        <w:rPr>
          <w:spacing w:val="-5"/>
          <w:sz w:val="18"/>
        </w:rPr>
        <w:t> </w:t>
      </w:r>
      <w:r>
        <w:rPr>
          <w:sz w:val="18"/>
        </w:rPr>
        <w:t>Government</w:t>
      </w:r>
      <w:r>
        <w:rPr>
          <w:spacing w:val="-5"/>
          <w:sz w:val="18"/>
        </w:rPr>
        <w:t> </w:t>
      </w:r>
      <w:r>
        <w:rPr>
          <w:sz w:val="18"/>
        </w:rPr>
        <w:t>of</w:t>
      </w:r>
      <w:r>
        <w:rPr>
          <w:spacing w:val="-6"/>
          <w:sz w:val="18"/>
        </w:rPr>
        <w:t> </w:t>
      </w:r>
      <w:r>
        <w:rPr>
          <w:sz w:val="18"/>
        </w:rPr>
        <w:t>the</w:t>
      </w:r>
      <w:r>
        <w:rPr>
          <w:spacing w:val="-5"/>
          <w:sz w:val="18"/>
        </w:rPr>
        <w:t> </w:t>
      </w:r>
      <w:r>
        <w:rPr>
          <w:sz w:val="18"/>
        </w:rPr>
        <w:t>United</w:t>
      </w:r>
      <w:r>
        <w:rPr>
          <w:spacing w:val="-6"/>
          <w:sz w:val="18"/>
        </w:rPr>
        <w:t> </w:t>
      </w:r>
      <w:r>
        <w:rPr>
          <w:sz w:val="18"/>
        </w:rPr>
        <w:t>Kingdom</w:t>
      </w:r>
      <w:r>
        <w:rPr>
          <w:color w:val="0562C1"/>
          <w:sz w:val="18"/>
        </w:rPr>
        <w:t>’,</w:t>
      </w:r>
      <w:r>
        <w:rPr>
          <w:color w:val="0562C1"/>
          <w:spacing w:val="-6"/>
          <w:sz w:val="18"/>
        </w:rPr>
        <w:t> </w:t>
      </w:r>
      <w:r>
        <w:rPr>
          <w:sz w:val="18"/>
        </w:rPr>
        <w:t>27 February 2023, at 2.</w:t>
      </w:r>
    </w:p>
    <w:p>
      <w:pPr>
        <w:pStyle w:val="ListParagraph"/>
        <w:numPr>
          <w:ilvl w:val="0"/>
          <w:numId w:val="3"/>
        </w:numPr>
        <w:tabs>
          <w:tab w:pos="1853" w:val="left" w:leader="none"/>
        </w:tabs>
        <w:spacing w:line="218" w:lineRule="exact" w:before="0" w:after="0"/>
        <w:ind w:left="1853" w:right="0" w:hanging="720"/>
        <w:jc w:val="left"/>
        <w:rPr>
          <w:sz w:val="18"/>
        </w:rPr>
      </w:pPr>
      <w:r>
        <w:rPr>
          <w:sz w:val="18"/>
        </w:rPr>
        <w:t>UK</w:t>
      </w:r>
      <w:r>
        <w:rPr>
          <w:spacing w:val="-5"/>
          <w:sz w:val="18"/>
        </w:rPr>
        <w:t> </w:t>
      </w:r>
      <w:r>
        <w:rPr>
          <w:sz w:val="18"/>
        </w:rPr>
        <w:t>Government,</w:t>
      </w:r>
      <w:r>
        <w:rPr>
          <w:spacing w:val="-3"/>
          <w:sz w:val="18"/>
        </w:rPr>
        <w:t> </w:t>
      </w:r>
      <w:r>
        <w:rPr>
          <w:sz w:val="18"/>
        </w:rPr>
        <w:t>‘The</w:t>
      </w:r>
      <w:r>
        <w:rPr>
          <w:spacing w:val="-3"/>
          <w:sz w:val="18"/>
        </w:rPr>
        <w:t> </w:t>
      </w:r>
      <w:r>
        <w:rPr>
          <w:sz w:val="18"/>
        </w:rPr>
        <w:t>Windsor</w:t>
      </w:r>
      <w:r>
        <w:rPr>
          <w:spacing w:val="-3"/>
          <w:sz w:val="18"/>
        </w:rPr>
        <w:t> </w:t>
      </w:r>
      <w:r>
        <w:rPr>
          <w:sz w:val="18"/>
        </w:rPr>
        <w:t>Framework:</w:t>
      </w:r>
      <w:r>
        <w:rPr>
          <w:spacing w:val="-3"/>
          <w:sz w:val="18"/>
        </w:rPr>
        <w:t> </w:t>
      </w:r>
      <w:r>
        <w:rPr>
          <w:sz w:val="18"/>
        </w:rPr>
        <w:t>a</w:t>
      </w:r>
      <w:r>
        <w:rPr>
          <w:spacing w:val="-4"/>
          <w:sz w:val="18"/>
        </w:rPr>
        <w:t> </w:t>
      </w:r>
      <w:r>
        <w:rPr>
          <w:sz w:val="18"/>
        </w:rPr>
        <w:t>new</w:t>
      </w:r>
      <w:r>
        <w:rPr>
          <w:spacing w:val="-3"/>
          <w:sz w:val="18"/>
        </w:rPr>
        <w:t> </w:t>
      </w:r>
      <w:r>
        <w:rPr>
          <w:sz w:val="18"/>
        </w:rPr>
        <w:t>way</w:t>
      </w:r>
      <w:r>
        <w:rPr>
          <w:spacing w:val="-3"/>
          <w:sz w:val="18"/>
        </w:rPr>
        <w:t> </w:t>
      </w:r>
      <w:r>
        <w:rPr>
          <w:sz w:val="18"/>
        </w:rPr>
        <w:t>forward</w:t>
      </w:r>
      <w:r>
        <w:rPr>
          <w:spacing w:val="-4"/>
          <w:sz w:val="18"/>
        </w:rPr>
        <w:t> </w:t>
      </w:r>
      <w:r>
        <w:rPr>
          <w:sz w:val="18"/>
        </w:rPr>
        <w:t>-</w:t>
      </w:r>
      <w:r>
        <w:rPr>
          <w:spacing w:val="-4"/>
          <w:sz w:val="18"/>
        </w:rPr>
        <w:t> </w:t>
      </w:r>
      <w:r>
        <w:rPr>
          <w:sz w:val="18"/>
        </w:rPr>
        <w:t>Command</w:t>
      </w:r>
      <w:r>
        <w:rPr>
          <w:spacing w:val="-4"/>
          <w:sz w:val="18"/>
        </w:rPr>
        <w:t> </w:t>
      </w:r>
      <w:r>
        <w:rPr>
          <w:sz w:val="18"/>
        </w:rPr>
        <w:t>806’</w:t>
      </w:r>
      <w:r>
        <w:rPr>
          <w:spacing w:val="-3"/>
          <w:sz w:val="18"/>
        </w:rPr>
        <w:t> </w:t>
      </w:r>
      <w:r>
        <w:rPr>
          <w:sz w:val="18"/>
        </w:rPr>
        <w:t>(UKG,</w:t>
      </w:r>
      <w:r>
        <w:rPr>
          <w:spacing w:val="-3"/>
          <w:sz w:val="18"/>
        </w:rPr>
        <w:t> </w:t>
      </w:r>
      <w:r>
        <w:rPr>
          <w:sz w:val="18"/>
        </w:rPr>
        <w:t>2023),</w:t>
      </w:r>
      <w:r>
        <w:rPr>
          <w:spacing w:val="-3"/>
          <w:sz w:val="18"/>
        </w:rPr>
        <w:t> </w:t>
      </w:r>
      <w:r>
        <w:rPr>
          <w:sz w:val="18"/>
        </w:rPr>
        <w:t>para</w:t>
      </w:r>
      <w:r>
        <w:rPr>
          <w:spacing w:val="-3"/>
          <w:sz w:val="18"/>
        </w:rPr>
        <w:t> </w:t>
      </w:r>
      <w:r>
        <w:rPr>
          <w:spacing w:val="-5"/>
          <w:sz w:val="18"/>
        </w:rPr>
        <w:t>45.</w:t>
      </w:r>
    </w:p>
    <w:p>
      <w:pPr>
        <w:spacing w:after="0" w:line="218" w:lineRule="exact"/>
        <w:jc w:val="left"/>
        <w:rPr>
          <w:sz w:val="18"/>
        </w:rPr>
        <w:sectPr>
          <w:pgSz w:w="11910" w:h="16840"/>
          <w:pgMar w:header="496" w:footer="367" w:top="1220" w:bottom="560" w:left="0" w:right="0"/>
        </w:sectPr>
      </w:pPr>
    </w:p>
    <w:p>
      <w:pPr>
        <w:pStyle w:val="BodyText"/>
        <w:spacing w:before="198"/>
      </w:pPr>
    </w:p>
    <w:p>
      <w:pPr>
        <w:pStyle w:val="ListParagraph"/>
        <w:numPr>
          <w:ilvl w:val="1"/>
          <w:numId w:val="7"/>
        </w:numPr>
        <w:tabs>
          <w:tab w:pos="1853" w:val="left" w:leader="none"/>
        </w:tabs>
        <w:spacing w:line="225" w:lineRule="auto" w:before="0" w:after="0"/>
        <w:ind w:left="1853" w:right="1876" w:hanging="720"/>
        <w:jc w:val="left"/>
        <w:rPr>
          <w:sz w:val="28"/>
        </w:rPr>
      </w:pPr>
      <w:r>
        <w:rPr>
          <w:sz w:val="28"/>
        </w:rPr>
        <w:t>The</w:t>
      </w:r>
      <w:r>
        <w:rPr>
          <w:spacing w:val="-7"/>
          <w:sz w:val="28"/>
        </w:rPr>
        <w:t> </w:t>
      </w:r>
      <w:r>
        <w:rPr>
          <w:sz w:val="28"/>
        </w:rPr>
        <w:t>Commissions</w:t>
      </w:r>
      <w:r>
        <w:rPr>
          <w:spacing w:val="-8"/>
          <w:sz w:val="28"/>
        </w:rPr>
        <w:t> </w:t>
      </w:r>
      <w:r>
        <w:rPr>
          <w:sz w:val="28"/>
        </w:rPr>
        <w:t>welcomed</w:t>
      </w:r>
      <w:r>
        <w:rPr>
          <w:spacing w:val="-8"/>
          <w:sz w:val="28"/>
        </w:rPr>
        <w:t> </w:t>
      </w:r>
      <w:r>
        <w:rPr>
          <w:sz w:val="28"/>
        </w:rPr>
        <w:t>the</w:t>
      </w:r>
      <w:r>
        <w:rPr>
          <w:spacing w:val="-7"/>
          <w:sz w:val="28"/>
        </w:rPr>
        <w:t> </w:t>
      </w:r>
      <w:r>
        <w:rPr>
          <w:sz w:val="28"/>
        </w:rPr>
        <w:t>developments</w:t>
      </w:r>
      <w:r>
        <w:rPr>
          <w:spacing w:val="-8"/>
          <w:sz w:val="28"/>
        </w:rPr>
        <w:t> </w:t>
      </w:r>
      <w:r>
        <w:rPr>
          <w:sz w:val="28"/>
        </w:rPr>
        <w:t>which</w:t>
      </w:r>
      <w:r>
        <w:rPr>
          <w:spacing w:val="-8"/>
          <w:sz w:val="28"/>
        </w:rPr>
        <w:t> </w:t>
      </w:r>
      <w:r>
        <w:rPr>
          <w:sz w:val="28"/>
        </w:rPr>
        <w:t>remove</w:t>
      </w:r>
      <w:r>
        <w:rPr>
          <w:spacing w:val="-7"/>
          <w:sz w:val="28"/>
        </w:rPr>
        <w:t> </w:t>
      </w:r>
      <w:r>
        <w:rPr>
          <w:sz w:val="28"/>
        </w:rPr>
        <w:t>or</w:t>
      </w:r>
      <w:r>
        <w:rPr>
          <w:spacing w:val="-7"/>
          <w:sz w:val="28"/>
        </w:rPr>
        <w:t> </w:t>
      </w:r>
      <w:r>
        <w:rPr>
          <w:sz w:val="28"/>
        </w:rPr>
        <w:t>reduce checks on assistance dog owners. The Commissions also welcomed the UK Government’s indication that it would work with ferry companies to</w:t>
      </w:r>
    </w:p>
    <w:p>
      <w:pPr>
        <w:pStyle w:val="BodyText"/>
        <w:spacing w:line="225" w:lineRule="auto"/>
        <w:ind w:left="1853" w:right="1171"/>
      </w:pPr>
      <w:r>
        <w:rPr/>
        <w:t>ensure</w:t>
      </w:r>
      <w:r>
        <w:rPr>
          <w:spacing w:val="-6"/>
        </w:rPr>
        <w:t> </w:t>
      </w:r>
      <w:r>
        <w:rPr/>
        <w:t>that</w:t>
      </w:r>
      <w:r>
        <w:rPr>
          <w:spacing w:val="-6"/>
        </w:rPr>
        <w:t> </w:t>
      </w:r>
      <w:r>
        <w:rPr/>
        <w:t>their</w:t>
      </w:r>
      <w:r>
        <w:rPr>
          <w:spacing w:val="-6"/>
        </w:rPr>
        <w:t> </w:t>
      </w:r>
      <w:r>
        <w:rPr/>
        <w:t>online</w:t>
      </w:r>
      <w:r>
        <w:rPr>
          <w:spacing w:val="-6"/>
        </w:rPr>
        <w:t> </w:t>
      </w:r>
      <w:r>
        <w:rPr/>
        <w:t>guidance</w:t>
      </w:r>
      <w:r>
        <w:rPr>
          <w:spacing w:val="-6"/>
        </w:rPr>
        <w:t> </w:t>
      </w:r>
      <w:r>
        <w:rPr/>
        <w:t>reflects</w:t>
      </w:r>
      <w:r>
        <w:rPr>
          <w:spacing w:val="-7"/>
        </w:rPr>
        <w:t> </w:t>
      </w:r>
      <w:r>
        <w:rPr/>
        <w:t>these</w:t>
      </w:r>
      <w:r>
        <w:rPr>
          <w:spacing w:val="-6"/>
        </w:rPr>
        <w:t> </w:t>
      </w:r>
      <w:r>
        <w:rPr/>
        <w:t>new</w:t>
      </w:r>
      <w:r>
        <w:rPr>
          <w:spacing w:val="-6"/>
        </w:rPr>
        <w:t> </w:t>
      </w:r>
      <w:r>
        <w:rPr/>
        <w:t>arrangements</w:t>
      </w:r>
      <w:r>
        <w:rPr>
          <w:spacing w:val="-7"/>
        </w:rPr>
        <w:t> </w:t>
      </w:r>
      <w:r>
        <w:rPr/>
        <w:t>and</w:t>
      </w:r>
      <w:r>
        <w:rPr>
          <w:spacing w:val="-7"/>
        </w:rPr>
        <w:t> </w:t>
      </w:r>
      <w:r>
        <w:rPr/>
        <w:t>gives travellers confidence to travel once again with their pets.</w:t>
      </w:r>
      <w:r>
        <w:rPr>
          <w:vertAlign w:val="superscript"/>
        </w:rPr>
        <w:t>237</w:t>
      </w:r>
    </w:p>
    <w:p>
      <w:pPr>
        <w:pStyle w:val="Heading6"/>
        <w:spacing w:line="240" w:lineRule="auto" w:before="338"/>
        <w:ind w:left="1853"/>
        <w:rPr>
          <w:i/>
        </w:rPr>
      </w:pPr>
      <w:r>
        <w:rPr>
          <w:i/>
          <w:color w:val="67287F"/>
          <w:spacing w:val="-2"/>
        </w:rPr>
        <w:t>Medicines</w:t>
      </w:r>
    </w:p>
    <w:p>
      <w:pPr>
        <w:pStyle w:val="ListParagraph"/>
        <w:numPr>
          <w:ilvl w:val="1"/>
          <w:numId w:val="7"/>
        </w:numPr>
        <w:tabs>
          <w:tab w:pos="1853" w:val="left" w:leader="none"/>
        </w:tabs>
        <w:spacing w:line="225" w:lineRule="auto" w:before="34" w:after="0"/>
        <w:ind w:left="1853" w:right="1175" w:hanging="720"/>
        <w:jc w:val="left"/>
        <w:rPr>
          <w:sz w:val="28"/>
        </w:rPr>
      </w:pPr>
      <w:r>
        <w:rPr>
          <w:sz w:val="28"/>
        </w:rPr>
        <w:t>Following concerns about access to medicines post UK withdrawal from the EU,</w:t>
      </w:r>
      <w:r>
        <w:rPr>
          <w:sz w:val="28"/>
          <w:vertAlign w:val="superscript"/>
        </w:rPr>
        <w:t>238</w:t>
      </w:r>
      <w:r>
        <w:rPr>
          <w:sz w:val="28"/>
          <w:vertAlign w:val="baseline"/>
        </w:rPr>
        <w:t> in 2023, the UK and EU announced that a permanent resolution had been</w:t>
      </w:r>
      <w:r>
        <w:rPr>
          <w:spacing w:val="-6"/>
          <w:sz w:val="28"/>
          <w:vertAlign w:val="baseline"/>
        </w:rPr>
        <w:t> </w:t>
      </w:r>
      <w:r>
        <w:rPr>
          <w:sz w:val="28"/>
          <w:vertAlign w:val="baseline"/>
        </w:rPr>
        <w:t>found</w:t>
      </w:r>
      <w:r>
        <w:rPr>
          <w:spacing w:val="-6"/>
          <w:sz w:val="28"/>
          <w:vertAlign w:val="baseline"/>
        </w:rPr>
        <w:t> </w:t>
      </w:r>
      <w:r>
        <w:rPr>
          <w:sz w:val="28"/>
          <w:vertAlign w:val="baseline"/>
        </w:rPr>
        <w:t>to</w:t>
      </w:r>
      <w:r>
        <w:rPr>
          <w:spacing w:val="-6"/>
          <w:sz w:val="28"/>
          <w:vertAlign w:val="baseline"/>
        </w:rPr>
        <w:t> </w:t>
      </w:r>
      <w:r>
        <w:rPr>
          <w:sz w:val="28"/>
          <w:vertAlign w:val="baseline"/>
        </w:rPr>
        <w:t>ensure</w:t>
      </w:r>
      <w:r>
        <w:rPr>
          <w:spacing w:val="-5"/>
          <w:sz w:val="28"/>
          <w:vertAlign w:val="baseline"/>
        </w:rPr>
        <w:t> </w:t>
      </w:r>
      <w:r>
        <w:rPr>
          <w:sz w:val="28"/>
          <w:vertAlign w:val="baseline"/>
        </w:rPr>
        <w:t>that</w:t>
      </w:r>
      <w:r>
        <w:rPr>
          <w:spacing w:val="-5"/>
          <w:sz w:val="28"/>
          <w:vertAlign w:val="baseline"/>
        </w:rPr>
        <w:t> </w:t>
      </w:r>
      <w:r>
        <w:rPr>
          <w:sz w:val="28"/>
          <w:vertAlign w:val="baseline"/>
        </w:rPr>
        <w:t>patients</w:t>
      </w:r>
      <w:r>
        <w:rPr>
          <w:spacing w:val="-6"/>
          <w:sz w:val="28"/>
          <w:vertAlign w:val="baseline"/>
        </w:rPr>
        <w:t> </w:t>
      </w:r>
      <w:r>
        <w:rPr>
          <w:sz w:val="28"/>
          <w:vertAlign w:val="baseline"/>
        </w:rPr>
        <w:t>in</w:t>
      </w:r>
      <w:r>
        <w:rPr>
          <w:spacing w:val="-6"/>
          <w:sz w:val="28"/>
          <w:vertAlign w:val="baseline"/>
        </w:rPr>
        <w:t> </w:t>
      </w:r>
      <w:r>
        <w:rPr>
          <w:sz w:val="28"/>
          <w:vertAlign w:val="baseline"/>
        </w:rPr>
        <w:t>NI</w:t>
      </w:r>
      <w:r>
        <w:rPr>
          <w:spacing w:val="-5"/>
          <w:sz w:val="28"/>
          <w:vertAlign w:val="baseline"/>
        </w:rPr>
        <w:t> </w:t>
      </w:r>
      <w:r>
        <w:rPr>
          <w:sz w:val="28"/>
          <w:vertAlign w:val="baseline"/>
        </w:rPr>
        <w:t>“will</w:t>
      </w:r>
      <w:r>
        <w:rPr>
          <w:spacing w:val="-6"/>
          <w:sz w:val="28"/>
          <w:vertAlign w:val="baseline"/>
        </w:rPr>
        <w:t> </w:t>
      </w:r>
      <w:r>
        <w:rPr>
          <w:sz w:val="28"/>
          <w:vertAlign w:val="baseline"/>
        </w:rPr>
        <w:t>have</w:t>
      </w:r>
      <w:r>
        <w:rPr>
          <w:spacing w:val="-5"/>
          <w:sz w:val="28"/>
          <w:vertAlign w:val="baseline"/>
        </w:rPr>
        <w:t> </w:t>
      </w:r>
      <w:r>
        <w:rPr>
          <w:sz w:val="28"/>
          <w:vertAlign w:val="baseline"/>
        </w:rPr>
        <w:t>access</w:t>
      </w:r>
      <w:r>
        <w:rPr>
          <w:spacing w:val="-6"/>
          <w:sz w:val="28"/>
          <w:vertAlign w:val="baseline"/>
        </w:rPr>
        <w:t> </w:t>
      </w:r>
      <w:r>
        <w:rPr>
          <w:sz w:val="28"/>
          <w:vertAlign w:val="baseline"/>
        </w:rPr>
        <w:t>to</w:t>
      </w:r>
      <w:r>
        <w:rPr>
          <w:spacing w:val="-6"/>
          <w:sz w:val="28"/>
          <w:vertAlign w:val="baseline"/>
        </w:rPr>
        <w:t> </w:t>
      </w:r>
      <w:r>
        <w:rPr>
          <w:sz w:val="28"/>
          <w:vertAlign w:val="baseline"/>
        </w:rPr>
        <w:t>new</w:t>
      </w:r>
      <w:r>
        <w:rPr>
          <w:spacing w:val="-5"/>
          <w:sz w:val="28"/>
          <w:vertAlign w:val="baseline"/>
        </w:rPr>
        <w:t> </w:t>
      </w:r>
      <w:r>
        <w:rPr>
          <w:sz w:val="28"/>
          <w:vertAlign w:val="baseline"/>
        </w:rPr>
        <w:t>medicines</w:t>
      </w:r>
      <w:r>
        <w:rPr>
          <w:spacing w:val="-6"/>
          <w:sz w:val="28"/>
          <w:vertAlign w:val="baseline"/>
        </w:rPr>
        <w:t> </w:t>
      </w:r>
      <w:r>
        <w:rPr>
          <w:sz w:val="28"/>
          <w:vertAlign w:val="baseline"/>
        </w:rPr>
        <w:t>at the same time and under the same conditions as Great Britain”, which would fully safeguard the supply of medicines from Great Britain into NI.</w:t>
      </w:r>
      <w:r>
        <w:rPr>
          <w:sz w:val="28"/>
          <w:vertAlign w:val="superscript"/>
        </w:rPr>
        <w:t>239</w:t>
      </w:r>
    </w:p>
    <w:p>
      <w:pPr>
        <w:pStyle w:val="ListParagraph"/>
        <w:numPr>
          <w:ilvl w:val="1"/>
          <w:numId w:val="7"/>
        </w:numPr>
        <w:tabs>
          <w:tab w:pos="1853" w:val="left" w:leader="none"/>
        </w:tabs>
        <w:spacing w:line="225" w:lineRule="auto" w:before="314" w:after="0"/>
        <w:ind w:left="1853" w:right="1127" w:hanging="720"/>
        <w:jc w:val="left"/>
        <w:rPr>
          <w:sz w:val="28"/>
        </w:rPr>
      </w:pPr>
      <w:r>
        <w:rPr>
          <w:sz w:val="28"/>
        </w:rPr>
        <w:t>The Commissions welcomed the announcements by the UK and EU which aim to address issues relating to the supply of medicines from Great Britain to NI. The Commissions continue to monitor the changes pursuant to the Windsor Framework</w:t>
      </w:r>
      <w:r>
        <w:rPr>
          <w:spacing w:val="-7"/>
          <w:sz w:val="28"/>
        </w:rPr>
        <w:t> </w:t>
      </w:r>
      <w:r>
        <w:rPr>
          <w:sz w:val="28"/>
        </w:rPr>
        <w:t>to</w:t>
      </w:r>
      <w:r>
        <w:rPr>
          <w:spacing w:val="-7"/>
          <w:sz w:val="28"/>
        </w:rPr>
        <w:t> </w:t>
      </w:r>
      <w:r>
        <w:rPr>
          <w:sz w:val="28"/>
        </w:rPr>
        <w:t>ensure</w:t>
      </w:r>
      <w:r>
        <w:rPr>
          <w:spacing w:val="-7"/>
          <w:sz w:val="28"/>
        </w:rPr>
        <w:t> </w:t>
      </w:r>
      <w:r>
        <w:rPr>
          <w:sz w:val="28"/>
        </w:rPr>
        <w:t>there</w:t>
      </w:r>
      <w:r>
        <w:rPr>
          <w:spacing w:val="-7"/>
          <w:sz w:val="28"/>
        </w:rPr>
        <w:t> </w:t>
      </w:r>
      <w:r>
        <w:rPr>
          <w:sz w:val="28"/>
        </w:rPr>
        <w:t>is</w:t>
      </w:r>
      <w:r>
        <w:rPr>
          <w:spacing w:val="-7"/>
          <w:sz w:val="28"/>
        </w:rPr>
        <w:t> </w:t>
      </w:r>
      <w:r>
        <w:rPr>
          <w:sz w:val="28"/>
        </w:rPr>
        <w:t>no</w:t>
      </w:r>
      <w:r>
        <w:rPr>
          <w:spacing w:val="-7"/>
          <w:sz w:val="28"/>
        </w:rPr>
        <w:t> </w:t>
      </w:r>
      <w:r>
        <w:rPr>
          <w:sz w:val="28"/>
        </w:rPr>
        <w:t>diminution</w:t>
      </w:r>
      <w:r>
        <w:rPr>
          <w:spacing w:val="-6"/>
          <w:sz w:val="28"/>
        </w:rPr>
        <w:t> </w:t>
      </w:r>
      <w:r>
        <w:rPr>
          <w:sz w:val="28"/>
        </w:rPr>
        <w:t>of</w:t>
      </w:r>
      <w:r>
        <w:rPr>
          <w:spacing w:val="-7"/>
          <w:sz w:val="28"/>
        </w:rPr>
        <w:t> </w:t>
      </w:r>
      <w:r>
        <w:rPr>
          <w:sz w:val="28"/>
        </w:rPr>
        <w:t>the</w:t>
      </w:r>
      <w:r>
        <w:rPr>
          <w:spacing w:val="-6"/>
          <w:sz w:val="28"/>
        </w:rPr>
        <w:t> </w:t>
      </w:r>
      <w:r>
        <w:rPr>
          <w:sz w:val="28"/>
        </w:rPr>
        <w:t>current</w:t>
      </w:r>
      <w:r>
        <w:rPr>
          <w:spacing w:val="-6"/>
          <w:sz w:val="28"/>
        </w:rPr>
        <w:t> </w:t>
      </w:r>
      <w:r>
        <w:rPr>
          <w:sz w:val="28"/>
        </w:rPr>
        <w:t>provision,</w:t>
      </w:r>
      <w:r>
        <w:rPr>
          <w:spacing w:val="-6"/>
          <w:sz w:val="28"/>
        </w:rPr>
        <w:t> </w:t>
      </w:r>
      <w:r>
        <w:rPr>
          <w:sz w:val="28"/>
        </w:rPr>
        <w:t>including for disabled people, and to protect the highest attainable standard of health.</w:t>
      </w:r>
    </w:p>
    <w:p>
      <w:pPr>
        <w:pStyle w:val="BodyText"/>
        <w:spacing w:before="2"/>
        <w:rPr>
          <w:sz w:val="17"/>
        </w:rPr>
      </w:pPr>
      <w:r>
        <w:rPr/>
        <mc:AlternateContent>
          <mc:Choice Requires="wps">
            <w:drawing>
              <wp:anchor distT="0" distB="0" distL="0" distR="0" allowOverlap="1" layoutInCell="1" locked="0" behindDoc="1" simplePos="0" relativeHeight="487652352">
                <wp:simplePos x="0" y="0"/>
                <wp:positionH relativeFrom="page">
                  <wp:posOffset>720001</wp:posOffset>
                </wp:positionH>
                <wp:positionV relativeFrom="paragraph">
                  <wp:posOffset>148558</wp:posOffset>
                </wp:positionV>
                <wp:extent cx="6120130" cy="360045"/>
                <wp:effectExtent l="0" t="0" r="0" b="0"/>
                <wp:wrapTopAndBottom/>
                <wp:docPr id="248" name="Textbox 248"/>
                <wp:cNvGraphicFramePr>
                  <a:graphicFrameLocks/>
                </wp:cNvGraphicFramePr>
                <a:graphic>
                  <a:graphicData uri="http://schemas.microsoft.com/office/word/2010/wordprocessingShape">
                    <wps:wsp>
                      <wps:cNvPr id="248" name="Textbox 248"/>
                      <wps:cNvSpPr txBox="1"/>
                      <wps:spPr>
                        <a:xfrm>
                          <a:off x="0" y="0"/>
                          <a:ext cx="6120130" cy="360045"/>
                        </a:xfrm>
                        <a:prstGeom prst="rect">
                          <a:avLst/>
                        </a:prstGeom>
                        <a:solidFill>
                          <a:srgbClr val="393B7F"/>
                        </a:solidFill>
                      </wps:spPr>
                      <wps:txbx>
                        <w:txbxContent>
                          <w:p>
                            <w:pPr>
                              <w:spacing w:before="103"/>
                              <w:ind w:left="783"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11.697515pt;width:481.9pt;height:28.35pt;mso-position-horizontal-relative:page;mso-position-vertical-relative:paragraph;z-index:-15664128;mso-wrap-distance-left:0;mso-wrap-distance-right:0" type="#_x0000_t202" id="docshape202" filled="true" fillcolor="#393b7f" stroked="false">
                <v:textbox inset="0,0,0,0">
                  <w:txbxContent>
                    <w:p>
                      <w:pPr>
                        <w:spacing w:before="103"/>
                        <w:ind w:left="783"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312" w:after="0"/>
        <w:ind w:left="1853" w:right="2337" w:hanging="720"/>
        <w:jc w:val="left"/>
        <w:rPr>
          <w:b/>
          <w:color w:val="67287F"/>
          <w:sz w:val="28"/>
        </w:rPr>
      </w:pPr>
      <w:r>
        <w:rPr>
          <w:b/>
          <w:color w:val="67287F"/>
          <w:sz w:val="28"/>
        </w:rPr>
        <w:t>The Commissions continue to recommend that the Department for</w:t>
      </w:r>
      <w:r>
        <w:rPr>
          <w:b/>
          <w:color w:val="67287F"/>
          <w:spacing w:val="-2"/>
          <w:sz w:val="28"/>
        </w:rPr>
        <w:t> </w:t>
      </w:r>
      <w:r>
        <w:rPr>
          <w:b/>
          <w:color w:val="67287F"/>
          <w:sz w:val="28"/>
        </w:rPr>
        <w:t>Communities</w:t>
      </w:r>
      <w:r>
        <w:rPr>
          <w:b/>
          <w:color w:val="67287F"/>
          <w:spacing w:val="-1"/>
          <w:sz w:val="28"/>
        </w:rPr>
        <w:t> </w:t>
      </w:r>
      <w:r>
        <w:rPr>
          <w:b/>
          <w:color w:val="67287F"/>
          <w:sz w:val="28"/>
        </w:rPr>
        <w:t>promptly</w:t>
      </w:r>
      <w:r>
        <w:rPr>
          <w:b/>
          <w:color w:val="67287F"/>
          <w:spacing w:val="-1"/>
          <w:sz w:val="28"/>
        </w:rPr>
        <w:t> </w:t>
      </w:r>
      <w:r>
        <w:rPr>
          <w:b/>
          <w:color w:val="67287F"/>
          <w:sz w:val="28"/>
        </w:rPr>
        <w:t>publishes</w:t>
      </w:r>
      <w:r>
        <w:rPr>
          <w:b/>
          <w:color w:val="67287F"/>
          <w:spacing w:val="-1"/>
          <w:sz w:val="28"/>
        </w:rPr>
        <w:t> </w:t>
      </w:r>
      <w:r>
        <w:rPr>
          <w:b/>
          <w:color w:val="67287F"/>
          <w:sz w:val="28"/>
        </w:rPr>
        <w:t>and</w:t>
      </w:r>
      <w:r>
        <w:rPr>
          <w:b/>
          <w:color w:val="67287F"/>
          <w:spacing w:val="-1"/>
          <w:sz w:val="28"/>
        </w:rPr>
        <w:t> </w:t>
      </w:r>
      <w:r>
        <w:rPr>
          <w:b/>
          <w:color w:val="67287F"/>
          <w:sz w:val="28"/>
        </w:rPr>
        <w:t>effectively</w:t>
      </w:r>
      <w:r>
        <w:rPr>
          <w:b/>
          <w:color w:val="67287F"/>
          <w:spacing w:val="-1"/>
          <w:sz w:val="28"/>
        </w:rPr>
        <w:t> </w:t>
      </w:r>
      <w:r>
        <w:rPr>
          <w:b/>
          <w:color w:val="67287F"/>
          <w:sz w:val="28"/>
        </w:rPr>
        <w:t>implements</w:t>
      </w:r>
      <w:r>
        <w:rPr>
          <w:b/>
          <w:color w:val="67287F"/>
          <w:spacing w:val="-1"/>
          <w:sz w:val="28"/>
        </w:rPr>
        <w:t> </w:t>
      </w:r>
      <w:r>
        <w:rPr>
          <w:b/>
          <w:color w:val="67287F"/>
          <w:sz w:val="28"/>
        </w:rPr>
        <w:t>a robust</w:t>
      </w:r>
      <w:r>
        <w:rPr>
          <w:b/>
          <w:color w:val="67287F"/>
          <w:spacing w:val="-12"/>
          <w:sz w:val="28"/>
        </w:rPr>
        <w:t> </w:t>
      </w:r>
      <w:r>
        <w:rPr>
          <w:b/>
          <w:color w:val="67287F"/>
          <w:sz w:val="28"/>
        </w:rPr>
        <w:t>Disability</w:t>
      </w:r>
      <w:r>
        <w:rPr>
          <w:b/>
          <w:color w:val="67287F"/>
          <w:spacing w:val="-12"/>
          <w:sz w:val="28"/>
        </w:rPr>
        <w:t> </w:t>
      </w:r>
      <w:r>
        <w:rPr>
          <w:b/>
          <w:color w:val="67287F"/>
          <w:sz w:val="28"/>
        </w:rPr>
        <w:t>Strategy,</w:t>
      </w:r>
      <w:r>
        <w:rPr>
          <w:b/>
          <w:color w:val="67287F"/>
          <w:spacing w:val="-12"/>
          <w:sz w:val="28"/>
        </w:rPr>
        <w:t> </w:t>
      </w:r>
      <w:r>
        <w:rPr>
          <w:b/>
          <w:color w:val="67287F"/>
          <w:sz w:val="28"/>
        </w:rPr>
        <w:t>which</w:t>
      </w:r>
      <w:r>
        <w:rPr>
          <w:b/>
          <w:color w:val="67287F"/>
          <w:spacing w:val="-12"/>
          <w:sz w:val="28"/>
        </w:rPr>
        <w:t> </w:t>
      </w:r>
      <w:r>
        <w:rPr>
          <w:b/>
          <w:color w:val="67287F"/>
          <w:sz w:val="28"/>
        </w:rPr>
        <w:t>embeds</w:t>
      </w:r>
      <w:r>
        <w:rPr>
          <w:b/>
          <w:color w:val="67287F"/>
          <w:spacing w:val="-12"/>
          <w:sz w:val="28"/>
        </w:rPr>
        <w:t> </w:t>
      </w:r>
      <w:r>
        <w:rPr>
          <w:b/>
          <w:color w:val="67287F"/>
          <w:sz w:val="28"/>
        </w:rPr>
        <w:t>consideration</w:t>
      </w:r>
      <w:r>
        <w:rPr>
          <w:b/>
          <w:color w:val="67287F"/>
          <w:spacing w:val="-12"/>
          <w:sz w:val="28"/>
        </w:rPr>
        <w:t> </w:t>
      </w:r>
      <w:r>
        <w:rPr>
          <w:b/>
          <w:color w:val="67287F"/>
          <w:sz w:val="28"/>
        </w:rPr>
        <w:t>of</w:t>
      </w:r>
      <w:r>
        <w:rPr>
          <w:b/>
          <w:color w:val="67287F"/>
          <w:spacing w:val="-13"/>
          <w:sz w:val="28"/>
        </w:rPr>
        <w:t> </w:t>
      </w:r>
      <w:r>
        <w:rPr>
          <w:b/>
          <w:color w:val="67287F"/>
          <w:sz w:val="28"/>
        </w:rPr>
        <w:t>Windsor Framework Article 2, and is accompanied by a measurable plan of</w:t>
      </w:r>
    </w:p>
    <w:p>
      <w:pPr>
        <w:spacing w:line="225" w:lineRule="auto" w:before="0"/>
        <w:ind w:left="1853" w:right="1595" w:firstLine="0"/>
        <w:jc w:val="left"/>
        <w:rPr>
          <w:b/>
          <w:sz w:val="28"/>
        </w:rPr>
      </w:pPr>
      <w:r>
        <w:rPr>
          <w:b/>
          <w:color w:val="67287F"/>
          <w:sz w:val="28"/>
        </w:rPr>
        <w:t>action</w:t>
      </w:r>
      <w:r>
        <w:rPr>
          <w:b/>
          <w:color w:val="67287F"/>
          <w:spacing w:val="-5"/>
          <w:sz w:val="28"/>
        </w:rPr>
        <w:t> </w:t>
      </w:r>
      <w:r>
        <w:rPr>
          <w:b/>
          <w:color w:val="67287F"/>
          <w:sz w:val="28"/>
        </w:rPr>
        <w:t>for</w:t>
      </w:r>
      <w:r>
        <w:rPr>
          <w:b/>
          <w:color w:val="67287F"/>
          <w:spacing w:val="-6"/>
          <w:sz w:val="28"/>
        </w:rPr>
        <w:t> </w:t>
      </w:r>
      <w:r>
        <w:rPr>
          <w:b/>
          <w:color w:val="67287F"/>
          <w:sz w:val="28"/>
        </w:rPr>
        <w:t>improving</w:t>
      </w:r>
      <w:r>
        <w:rPr>
          <w:b/>
          <w:color w:val="67287F"/>
          <w:spacing w:val="-6"/>
          <w:sz w:val="28"/>
        </w:rPr>
        <w:t> </w:t>
      </w:r>
      <w:r>
        <w:rPr>
          <w:b/>
          <w:color w:val="67287F"/>
          <w:sz w:val="28"/>
        </w:rPr>
        <w:t>the</w:t>
      </w:r>
      <w:r>
        <w:rPr>
          <w:b/>
          <w:color w:val="67287F"/>
          <w:spacing w:val="-6"/>
          <w:sz w:val="28"/>
        </w:rPr>
        <w:t> </w:t>
      </w:r>
      <w:r>
        <w:rPr>
          <w:b/>
          <w:color w:val="67287F"/>
          <w:sz w:val="28"/>
        </w:rPr>
        <w:t>living</w:t>
      </w:r>
      <w:r>
        <w:rPr>
          <w:b/>
          <w:color w:val="67287F"/>
          <w:spacing w:val="-6"/>
          <w:sz w:val="28"/>
        </w:rPr>
        <w:t> </w:t>
      </w:r>
      <w:r>
        <w:rPr>
          <w:b/>
          <w:color w:val="67287F"/>
          <w:sz w:val="28"/>
        </w:rPr>
        <w:t>conditions</w:t>
      </w:r>
      <w:r>
        <w:rPr>
          <w:b/>
          <w:color w:val="67287F"/>
          <w:spacing w:val="-5"/>
          <w:sz w:val="28"/>
        </w:rPr>
        <w:t> </w:t>
      </w:r>
      <w:r>
        <w:rPr>
          <w:b/>
          <w:color w:val="67287F"/>
          <w:sz w:val="28"/>
        </w:rPr>
        <w:t>of</w:t>
      </w:r>
      <w:r>
        <w:rPr>
          <w:b/>
          <w:color w:val="67287F"/>
          <w:spacing w:val="-6"/>
          <w:sz w:val="28"/>
        </w:rPr>
        <w:t> </w:t>
      </w:r>
      <w:r>
        <w:rPr>
          <w:b/>
          <w:color w:val="67287F"/>
          <w:sz w:val="28"/>
        </w:rPr>
        <w:t>all</w:t>
      </w:r>
      <w:r>
        <w:rPr>
          <w:b/>
          <w:color w:val="67287F"/>
          <w:spacing w:val="-5"/>
          <w:sz w:val="28"/>
        </w:rPr>
        <w:t> </w:t>
      </w:r>
      <w:r>
        <w:rPr>
          <w:b/>
          <w:color w:val="67287F"/>
          <w:sz w:val="28"/>
        </w:rPr>
        <w:t>persons</w:t>
      </w:r>
      <w:r>
        <w:rPr>
          <w:b/>
          <w:color w:val="67287F"/>
          <w:spacing w:val="-5"/>
          <w:sz w:val="28"/>
        </w:rPr>
        <w:t> </w:t>
      </w:r>
      <w:r>
        <w:rPr>
          <w:b/>
          <w:color w:val="67287F"/>
          <w:sz w:val="28"/>
        </w:rPr>
        <w:t>with</w:t>
      </w:r>
      <w:r>
        <w:rPr>
          <w:b/>
          <w:color w:val="67287F"/>
          <w:spacing w:val="-5"/>
          <w:sz w:val="28"/>
        </w:rPr>
        <w:t> </w:t>
      </w:r>
      <w:r>
        <w:rPr>
          <w:b/>
          <w:color w:val="67287F"/>
          <w:sz w:val="28"/>
        </w:rPr>
        <w:t>disabilities and effective monitoring arrangements.</w:t>
      </w:r>
    </w:p>
    <w:p>
      <w:pPr>
        <w:pStyle w:val="ListParagraph"/>
        <w:numPr>
          <w:ilvl w:val="1"/>
          <w:numId w:val="7"/>
        </w:numPr>
        <w:tabs>
          <w:tab w:pos="1853" w:val="left" w:leader="none"/>
        </w:tabs>
        <w:spacing w:line="225" w:lineRule="auto" w:before="313" w:after="0"/>
        <w:ind w:left="1853" w:right="1237" w:hanging="720"/>
        <w:jc w:val="left"/>
        <w:rPr>
          <w:b/>
          <w:color w:val="67287F"/>
          <w:sz w:val="28"/>
        </w:rPr>
      </w:pPr>
      <w:r>
        <w:rPr>
          <w:b/>
          <w:color w:val="67287F"/>
          <w:sz w:val="28"/>
        </w:rPr>
        <w:t>The Commissions advise the NI Executive and the Department for Communities</w:t>
      </w:r>
      <w:r>
        <w:rPr>
          <w:b/>
          <w:color w:val="67287F"/>
          <w:spacing w:val="-6"/>
          <w:sz w:val="28"/>
        </w:rPr>
        <w:t> </w:t>
      </w:r>
      <w:r>
        <w:rPr>
          <w:b/>
          <w:color w:val="67287F"/>
          <w:sz w:val="28"/>
        </w:rPr>
        <w:t>that,</w:t>
      </w:r>
      <w:r>
        <w:rPr>
          <w:b/>
          <w:color w:val="67287F"/>
          <w:spacing w:val="-6"/>
          <w:sz w:val="28"/>
        </w:rPr>
        <w:t> </w:t>
      </w:r>
      <w:r>
        <w:rPr>
          <w:b/>
          <w:color w:val="67287F"/>
          <w:sz w:val="28"/>
        </w:rPr>
        <w:t>pursuant</w:t>
      </w:r>
      <w:r>
        <w:rPr>
          <w:b/>
          <w:color w:val="67287F"/>
          <w:spacing w:val="-6"/>
          <w:sz w:val="28"/>
        </w:rPr>
        <w:t> </w:t>
      </w:r>
      <w:r>
        <w:rPr>
          <w:b/>
          <w:color w:val="67287F"/>
          <w:sz w:val="28"/>
        </w:rPr>
        <w:t>to</w:t>
      </w:r>
      <w:r>
        <w:rPr>
          <w:b/>
          <w:color w:val="67287F"/>
          <w:spacing w:val="-6"/>
          <w:sz w:val="28"/>
        </w:rPr>
        <w:t> </w:t>
      </w:r>
      <w:r>
        <w:rPr>
          <w:b/>
          <w:color w:val="67287F"/>
          <w:sz w:val="28"/>
        </w:rPr>
        <w:t>Articles</w:t>
      </w:r>
      <w:r>
        <w:rPr>
          <w:b/>
          <w:color w:val="67287F"/>
          <w:spacing w:val="-6"/>
          <w:sz w:val="28"/>
        </w:rPr>
        <w:t> </w:t>
      </w:r>
      <w:r>
        <w:rPr>
          <w:b/>
          <w:color w:val="67287F"/>
          <w:sz w:val="28"/>
        </w:rPr>
        <w:t>2</w:t>
      </w:r>
      <w:r>
        <w:rPr>
          <w:b/>
          <w:color w:val="67287F"/>
          <w:spacing w:val="-6"/>
          <w:sz w:val="28"/>
        </w:rPr>
        <w:t> </w:t>
      </w:r>
      <w:r>
        <w:rPr>
          <w:b/>
          <w:color w:val="67287F"/>
          <w:sz w:val="28"/>
        </w:rPr>
        <w:t>and</w:t>
      </w:r>
      <w:r>
        <w:rPr>
          <w:b/>
          <w:color w:val="67287F"/>
          <w:spacing w:val="-6"/>
          <w:sz w:val="28"/>
        </w:rPr>
        <w:t> </w:t>
      </w:r>
      <w:r>
        <w:rPr>
          <w:b/>
          <w:color w:val="67287F"/>
          <w:sz w:val="28"/>
        </w:rPr>
        <w:t>13</w:t>
      </w:r>
      <w:r>
        <w:rPr>
          <w:b/>
          <w:color w:val="67287F"/>
          <w:spacing w:val="-6"/>
          <w:sz w:val="28"/>
        </w:rPr>
        <w:t> </w:t>
      </w:r>
      <w:r>
        <w:rPr>
          <w:b/>
          <w:color w:val="67287F"/>
          <w:sz w:val="28"/>
        </w:rPr>
        <w:t>of</w:t>
      </w:r>
      <w:r>
        <w:rPr>
          <w:b/>
          <w:color w:val="67287F"/>
          <w:spacing w:val="-7"/>
          <w:sz w:val="28"/>
        </w:rPr>
        <w:t> </w:t>
      </w:r>
      <w:r>
        <w:rPr>
          <w:b/>
          <w:color w:val="67287F"/>
          <w:sz w:val="28"/>
        </w:rPr>
        <w:t>the</w:t>
      </w:r>
      <w:r>
        <w:rPr>
          <w:b/>
          <w:color w:val="67287F"/>
          <w:spacing w:val="-7"/>
          <w:sz w:val="28"/>
        </w:rPr>
        <w:t> </w:t>
      </w:r>
      <w:r>
        <w:rPr>
          <w:b/>
          <w:color w:val="67287F"/>
          <w:sz w:val="28"/>
        </w:rPr>
        <w:t>Windsor</w:t>
      </w:r>
      <w:r>
        <w:rPr>
          <w:b/>
          <w:color w:val="67287F"/>
          <w:spacing w:val="-7"/>
          <w:sz w:val="28"/>
        </w:rPr>
        <w:t> </w:t>
      </w:r>
      <w:r>
        <w:rPr>
          <w:b/>
          <w:color w:val="67287F"/>
          <w:sz w:val="28"/>
        </w:rPr>
        <w:t>Framework, NI law should be amended to keep pace with those provisions of the EU directives on standards for equality bodies, if adopted, which amend or replace the EU Employment Equality (Framework) Directive.</w:t>
      </w:r>
    </w:p>
    <w:p>
      <w:pPr>
        <w:pStyle w:val="BodyText"/>
        <w:rPr>
          <w:b/>
          <w:sz w:val="20"/>
        </w:rPr>
      </w:pPr>
    </w:p>
    <w:p>
      <w:pPr>
        <w:pStyle w:val="BodyText"/>
        <w:spacing w:before="149"/>
        <w:rPr>
          <w:b/>
          <w:sz w:val="20"/>
        </w:rPr>
      </w:pPr>
      <w:r>
        <w:rPr/>
        <mc:AlternateContent>
          <mc:Choice Requires="wps">
            <w:drawing>
              <wp:anchor distT="0" distB="0" distL="0" distR="0" allowOverlap="1" layoutInCell="1" locked="0" behindDoc="1" simplePos="0" relativeHeight="487652864">
                <wp:simplePos x="0" y="0"/>
                <wp:positionH relativeFrom="page">
                  <wp:posOffset>719996</wp:posOffset>
                </wp:positionH>
                <wp:positionV relativeFrom="paragraph">
                  <wp:posOffset>265358</wp:posOffset>
                </wp:positionV>
                <wp:extent cx="6120130" cy="1270"/>
                <wp:effectExtent l="0" t="0" r="0" b="0"/>
                <wp:wrapTopAndBottom/>
                <wp:docPr id="249" name="Graphic 249"/>
                <wp:cNvGraphicFramePr>
                  <a:graphicFrameLocks/>
                </wp:cNvGraphicFramePr>
                <a:graphic>
                  <a:graphicData uri="http://schemas.microsoft.com/office/word/2010/wordprocessingShape">
                    <wps:wsp>
                      <wps:cNvPr id="249" name="Graphic 24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0.894384pt;width:481.9pt;height:.1pt;mso-position-horizontal-relative:page;mso-position-vertical-relative:paragraph;z-index:-15663616;mso-wrap-distance-left:0;mso-wrap-distance-right:0" id="docshape203" coordorigin="1134,418" coordsize="9638,0" path="m10772,418l1134,418e" filled="false" stroked="true" strokeweight="1pt" strokecolor="#393b80">
                <v:path arrowok="t"/>
                <v:stroke dashstyle="solid"/>
                <w10:wrap type="topAndBottom"/>
              </v:shape>
            </w:pict>
          </mc:Fallback>
        </mc:AlternateContent>
      </w:r>
    </w:p>
    <w:p>
      <w:pPr>
        <w:pStyle w:val="ListParagraph"/>
        <w:numPr>
          <w:ilvl w:val="0"/>
          <w:numId w:val="3"/>
        </w:numPr>
        <w:tabs>
          <w:tab w:pos="1853" w:val="left" w:leader="none"/>
        </w:tabs>
        <w:spacing w:line="235" w:lineRule="auto" w:before="124" w:after="0"/>
        <w:ind w:left="1853" w:right="1467" w:hanging="720"/>
        <w:jc w:val="left"/>
        <w:rPr>
          <w:sz w:val="18"/>
        </w:rPr>
      </w:pP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and</w:t>
      </w:r>
      <w:r>
        <w:rPr>
          <w:spacing w:val="-5"/>
          <w:sz w:val="18"/>
        </w:rPr>
        <w:t> </w:t>
      </w:r>
      <w:r>
        <w:rPr>
          <w:sz w:val="18"/>
        </w:rPr>
        <w:t>NI</w:t>
      </w:r>
      <w:r>
        <w:rPr>
          <w:spacing w:val="-4"/>
          <w:sz w:val="18"/>
        </w:rPr>
        <w:t> </w:t>
      </w:r>
      <w:r>
        <w:rPr>
          <w:sz w:val="18"/>
        </w:rPr>
        <w:t>Human</w:t>
      </w:r>
      <w:r>
        <w:rPr>
          <w:spacing w:val="-5"/>
          <w:sz w:val="18"/>
        </w:rPr>
        <w:t> </w:t>
      </w:r>
      <w:r>
        <w:rPr>
          <w:sz w:val="18"/>
        </w:rPr>
        <w:t>Right</w:t>
      </w:r>
      <w:r>
        <w:rPr>
          <w:spacing w:val="-4"/>
          <w:sz w:val="18"/>
        </w:rPr>
        <w:t> </w:t>
      </w:r>
      <w:r>
        <w:rPr>
          <w:sz w:val="18"/>
        </w:rPr>
        <w:t>Commission,</w:t>
      </w:r>
      <w:r>
        <w:rPr>
          <w:spacing w:val="-4"/>
          <w:sz w:val="18"/>
        </w:rPr>
        <w:t> </w:t>
      </w:r>
      <w:r>
        <w:rPr>
          <w:sz w:val="18"/>
        </w:rPr>
        <w:t>‘Annual</w:t>
      </w:r>
      <w:r>
        <w:rPr>
          <w:spacing w:val="-5"/>
          <w:sz w:val="18"/>
        </w:rPr>
        <w:t> </w:t>
      </w:r>
      <w:r>
        <w:rPr>
          <w:sz w:val="18"/>
        </w:rPr>
        <w:t>Report</w:t>
      </w:r>
      <w:r>
        <w:rPr>
          <w:spacing w:val="-4"/>
          <w:sz w:val="18"/>
        </w:rPr>
        <w:t> </w:t>
      </w:r>
      <w:r>
        <w:rPr>
          <w:sz w:val="18"/>
        </w:rPr>
        <w:t>of</w:t>
      </w:r>
      <w:r>
        <w:rPr>
          <w:spacing w:val="-5"/>
          <w:sz w:val="18"/>
        </w:rPr>
        <w:t> </w:t>
      </w:r>
      <w:r>
        <w:rPr>
          <w:sz w:val="18"/>
        </w:rPr>
        <w:t>the</w:t>
      </w:r>
      <w:r>
        <w:rPr>
          <w:spacing w:val="-4"/>
          <w:sz w:val="18"/>
        </w:rPr>
        <w:t> </w:t>
      </w: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and</w:t>
      </w:r>
      <w:r>
        <w:rPr>
          <w:spacing w:val="-5"/>
          <w:sz w:val="18"/>
        </w:rPr>
        <w:t> </w:t>
      </w:r>
      <w:r>
        <w:rPr>
          <w:sz w:val="18"/>
        </w:rPr>
        <w:t>NI Human Right Commission on the implementation of Article 2 of the Windsor Framework 2022-2023 (ECNI and</w:t>
      </w:r>
    </w:p>
    <w:p>
      <w:pPr>
        <w:spacing w:line="216" w:lineRule="exact" w:before="0"/>
        <w:ind w:left="1853" w:right="0" w:firstLine="0"/>
        <w:jc w:val="left"/>
        <w:rPr>
          <w:sz w:val="18"/>
        </w:rPr>
      </w:pPr>
      <w:r>
        <w:rPr>
          <w:sz w:val="18"/>
        </w:rPr>
        <w:t>NIHRC,</w:t>
      </w:r>
      <w:r>
        <w:rPr>
          <w:spacing w:val="-3"/>
          <w:sz w:val="18"/>
        </w:rPr>
        <w:t> </w:t>
      </w:r>
      <w:r>
        <w:rPr>
          <w:spacing w:val="-2"/>
          <w:sz w:val="18"/>
        </w:rPr>
        <w:t>2023).</w:t>
      </w:r>
    </w:p>
    <w:p>
      <w:pPr>
        <w:pStyle w:val="ListParagraph"/>
        <w:numPr>
          <w:ilvl w:val="0"/>
          <w:numId w:val="3"/>
        </w:numPr>
        <w:tabs>
          <w:tab w:pos="1853" w:val="left" w:leader="none"/>
        </w:tabs>
        <w:spacing w:line="235" w:lineRule="auto" w:before="1" w:after="0"/>
        <w:ind w:left="1853" w:right="1383" w:hanging="720"/>
        <w:jc w:val="left"/>
        <w:rPr>
          <w:sz w:val="18"/>
        </w:rPr>
      </w:pPr>
      <w:r>
        <w:rPr>
          <w:sz w:val="18"/>
        </w:rPr>
        <w:t>Equality Commission for NI and NI Human Rights Commission, ‘Submission of the NIHRC and ECNI on the UK and EU proposals and the prospects for Agreement to the House of Lords Sub-Committee on the Protocol on Ireland/</w:t>
      </w:r>
      <w:r>
        <w:rPr>
          <w:sz w:val="18"/>
        </w:rPr>
        <w:t> Northern</w:t>
      </w:r>
      <w:r>
        <w:rPr>
          <w:spacing w:val="-5"/>
          <w:sz w:val="18"/>
        </w:rPr>
        <w:t> </w:t>
      </w:r>
      <w:r>
        <w:rPr>
          <w:sz w:val="18"/>
        </w:rPr>
        <w:t>Ireland’,</w:t>
      </w:r>
      <w:r>
        <w:rPr>
          <w:spacing w:val="-4"/>
          <w:sz w:val="18"/>
        </w:rPr>
        <w:t> </w:t>
      </w:r>
      <w:r>
        <w:rPr>
          <w:sz w:val="18"/>
        </w:rPr>
        <w:t>(ECNI</w:t>
      </w:r>
      <w:r>
        <w:rPr>
          <w:spacing w:val="-4"/>
          <w:sz w:val="18"/>
        </w:rPr>
        <w:t> </w:t>
      </w:r>
      <w:r>
        <w:rPr>
          <w:sz w:val="18"/>
        </w:rPr>
        <w:t>and</w:t>
      </w:r>
      <w:r>
        <w:rPr>
          <w:spacing w:val="-5"/>
          <w:sz w:val="18"/>
        </w:rPr>
        <w:t> </w:t>
      </w:r>
      <w:r>
        <w:rPr>
          <w:sz w:val="18"/>
        </w:rPr>
        <w:t>NIHRC</w:t>
      </w:r>
      <w:r>
        <w:rPr>
          <w:spacing w:val="-5"/>
          <w:sz w:val="18"/>
        </w:rPr>
        <w:t> </w:t>
      </w:r>
      <w:r>
        <w:rPr>
          <w:sz w:val="18"/>
        </w:rPr>
        <w:t>2021);</w:t>
      </w:r>
      <w:r>
        <w:rPr>
          <w:spacing w:val="34"/>
          <w:sz w:val="18"/>
        </w:rPr>
        <w:t> </w:t>
      </w:r>
      <w:r>
        <w:rPr>
          <w:sz w:val="18"/>
        </w:rPr>
        <w:t>Letter</w:t>
      </w:r>
      <w:r>
        <w:rPr>
          <w:spacing w:val="-4"/>
          <w:sz w:val="18"/>
        </w:rPr>
        <w:t> </w:t>
      </w:r>
      <w:r>
        <w:rPr>
          <w:sz w:val="18"/>
        </w:rPr>
        <w:t>from</w:t>
      </w:r>
      <w:r>
        <w:rPr>
          <w:spacing w:val="-4"/>
          <w:sz w:val="18"/>
        </w:rPr>
        <w:t> </w:t>
      </w:r>
      <w:r>
        <w:rPr>
          <w:sz w:val="18"/>
        </w:rPr>
        <w:t>Minister</w:t>
      </w:r>
      <w:r>
        <w:rPr>
          <w:spacing w:val="-4"/>
          <w:sz w:val="18"/>
        </w:rPr>
        <w:t> </w:t>
      </w:r>
      <w:r>
        <w:rPr>
          <w:sz w:val="18"/>
        </w:rPr>
        <w:t>of</w:t>
      </w:r>
      <w:r>
        <w:rPr>
          <w:spacing w:val="-5"/>
          <w:sz w:val="18"/>
        </w:rPr>
        <w:t> </w:t>
      </w:r>
      <w:r>
        <w:rPr>
          <w:sz w:val="18"/>
        </w:rPr>
        <w:t>State</w:t>
      </w:r>
      <w:r>
        <w:rPr>
          <w:spacing w:val="-4"/>
          <w:sz w:val="18"/>
        </w:rPr>
        <w:t> </w:t>
      </w:r>
      <w:r>
        <w:rPr>
          <w:sz w:val="18"/>
        </w:rPr>
        <w:t>for</w:t>
      </w:r>
      <w:r>
        <w:rPr>
          <w:spacing w:val="-4"/>
          <w:sz w:val="18"/>
        </w:rPr>
        <w:t> </w:t>
      </w:r>
      <w:r>
        <w:rPr>
          <w:sz w:val="18"/>
        </w:rPr>
        <w:t>NI,</w:t>
      </w:r>
      <w:r>
        <w:rPr>
          <w:spacing w:val="-4"/>
          <w:sz w:val="18"/>
        </w:rPr>
        <w:t> </w:t>
      </w:r>
      <w:r>
        <w:rPr>
          <w:sz w:val="18"/>
        </w:rPr>
        <w:t>Steve</w:t>
      </w:r>
      <w:r>
        <w:rPr>
          <w:spacing w:val="-4"/>
          <w:sz w:val="18"/>
        </w:rPr>
        <w:t> </w:t>
      </w:r>
      <w:r>
        <w:rPr>
          <w:sz w:val="18"/>
        </w:rPr>
        <w:t>Baker</w:t>
      </w:r>
      <w:r>
        <w:rPr>
          <w:spacing w:val="-4"/>
          <w:sz w:val="18"/>
        </w:rPr>
        <w:t> </w:t>
      </w:r>
      <w:r>
        <w:rPr>
          <w:sz w:val="18"/>
        </w:rPr>
        <w:t>MP,</w:t>
      </w:r>
      <w:r>
        <w:rPr>
          <w:spacing w:val="-4"/>
          <w:sz w:val="18"/>
        </w:rPr>
        <w:t> </w:t>
      </w:r>
      <w:r>
        <w:rPr>
          <w:sz w:val="18"/>
        </w:rPr>
        <w:t>to</w:t>
      </w:r>
      <w:r>
        <w:rPr>
          <w:spacing w:val="-5"/>
          <w:sz w:val="18"/>
        </w:rPr>
        <w:t> </w:t>
      </w:r>
      <w:r>
        <w:rPr>
          <w:sz w:val="18"/>
        </w:rPr>
        <w:t>Geraldine</w:t>
      </w:r>
      <w:r>
        <w:rPr>
          <w:spacing w:val="-4"/>
          <w:sz w:val="18"/>
        </w:rPr>
        <w:t> </w:t>
      </w:r>
      <w:r>
        <w:rPr>
          <w:sz w:val="18"/>
        </w:rPr>
        <w:t>McGahey (ECNI)</w:t>
      </w:r>
      <w:r>
        <w:rPr>
          <w:spacing w:val="-5"/>
          <w:sz w:val="18"/>
        </w:rPr>
        <w:t> </w:t>
      </w:r>
      <w:r>
        <w:rPr>
          <w:sz w:val="18"/>
        </w:rPr>
        <w:t>and</w:t>
      </w:r>
      <w:r>
        <w:rPr>
          <w:spacing w:val="-5"/>
          <w:sz w:val="18"/>
        </w:rPr>
        <w:t> </w:t>
      </w:r>
      <w:r>
        <w:rPr>
          <w:sz w:val="18"/>
        </w:rPr>
        <w:t>Alyson</w:t>
      </w:r>
      <w:r>
        <w:rPr>
          <w:spacing w:val="-5"/>
          <w:sz w:val="18"/>
        </w:rPr>
        <w:t> </w:t>
      </w:r>
      <w:r>
        <w:rPr>
          <w:sz w:val="18"/>
        </w:rPr>
        <w:t>Kilpatrick</w:t>
      </w:r>
      <w:r>
        <w:rPr>
          <w:spacing w:val="-4"/>
          <w:sz w:val="18"/>
        </w:rPr>
        <w:t> </w:t>
      </w:r>
      <w:r>
        <w:rPr>
          <w:sz w:val="18"/>
        </w:rPr>
        <w:t>(NIHRC)</w:t>
      </w:r>
      <w:r>
        <w:rPr>
          <w:spacing w:val="-5"/>
          <w:sz w:val="18"/>
        </w:rPr>
        <w:t> </w:t>
      </w:r>
      <w:r>
        <w:rPr>
          <w:sz w:val="18"/>
        </w:rPr>
        <w:t>on</w:t>
      </w:r>
      <w:r>
        <w:rPr>
          <w:spacing w:val="-5"/>
          <w:sz w:val="18"/>
        </w:rPr>
        <w:t> </w:t>
      </w:r>
      <w:r>
        <w:rPr>
          <w:sz w:val="18"/>
        </w:rPr>
        <w:t>Annual</w:t>
      </w:r>
      <w:r>
        <w:rPr>
          <w:spacing w:val="-5"/>
          <w:sz w:val="18"/>
        </w:rPr>
        <w:t> </w:t>
      </w:r>
      <w:r>
        <w:rPr>
          <w:sz w:val="18"/>
        </w:rPr>
        <w:t>Report</w:t>
      </w:r>
      <w:r>
        <w:rPr>
          <w:spacing w:val="-4"/>
          <w:sz w:val="18"/>
        </w:rPr>
        <w:t> </w:t>
      </w:r>
      <w:r>
        <w:rPr>
          <w:sz w:val="18"/>
        </w:rPr>
        <w:t>of</w:t>
      </w:r>
      <w:r>
        <w:rPr>
          <w:spacing w:val="-5"/>
          <w:sz w:val="18"/>
        </w:rPr>
        <w:t> </w:t>
      </w:r>
      <w:r>
        <w:rPr>
          <w:sz w:val="18"/>
        </w:rPr>
        <w:t>the</w:t>
      </w:r>
      <w:r>
        <w:rPr>
          <w:spacing w:val="-4"/>
          <w:sz w:val="18"/>
        </w:rPr>
        <w:t> </w:t>
      </w:r>
      <w:r>
        <w:rPr>
          <w:sz w:val="18"/>
        </w:rPr>
        <w:t>Dedicated</w:t>
      </w:r>
      <w:r>
        <w:rPr>
          <w:spacing w:val="-5"/>
          <w:sz w:val="18"/>
        </w:rPr>
        <w:t> </w:t>
      </w:r>
      <w:r>
        <w:rPr>
          <w:sz w:val="18"/>
        </w:rPr>
        <w:t>Mechanism</w:t>
      </w:r>
      <w:r>
        <w:rPr>
          <w:spacing w:val="-4"/>
          <w:sz w:val="18"/>
        </w:rPr>
        <w:t> </w:t>
      </w:r>
      <w:r>
        <w:rPr>
          <w:sz w:val="18"/>
        </w:rPr>
        <w:t>on</w:t>
      </w:r>
      <w:r>
        <w:rPr>
          <w:spacing w:val="-5"/>
          <w:sz w:val="18"/>
        </w:rPr>
        <w:t> </w:t>
      </w:r>
      <w:r>
        <w:rPr>
          <w:sz w:val="18"/>
        </w:rPr>
        <w:t>the</w:t>
      </w:r>
      <w:r>
        <w:rPr>
          <w:spacing w:val="-4"/>
          <w:sz w:val="18"/>
        </w:rPr>
        <w:t> </w:t>
      </w:r>
      <w:r>
        <w:rPr>
          <w:sz w:val="18"/>
        </w:rPr>
        <w:t>implementation</w:t>
      </w:r>
      <w:r>
        <w:rPr>
          <w:spacing w:val="-5"/>
          <w:sz w:val="18"/>
        </w:rPr>
        <w:t> </w:t>
      </w:r>
      <w:r>
        <w:rPr>
          <w:sz w:val="18"/>
        </w:rPr>
        <w:t>of</w:t>
      </w:r>
      <w:r>
        <w:rPr>
          <w:spacing w:val="-5"/>
          <w:sz w:val="18"/>
        </w:rPr>
        <w:t> </w:t>
      </w:r>
      <w:r>
        <w:rPr>
          <w:sz w:val="18"/>
        </w:rPr>
        <w:t>Protocol</w:t>
      </w:r>
    </w:p>
    <w:p>
      <w:pPr>
        <w:spacing w:line="235" w:lineRule="auto" w:before="3"/>
        <w:ind w:left="1853" w:right="1178" w:firstLine="0"/>
        <w:jc w:val="left"/>
        <w:rPr>
          <w:sz w:val="18"/>
        </w:rPr>
      </w:pPr>
      <w:r>
        <w:rPr>
          <w:sz w:val="18"/>
        </w:rPr>
        <w:t>Article</w:t>
      </w:r>
      <w:r>
        <w:rPr>
          <w:spacing w:val="-7"/>
          <w:sz w:val="18"/>
        </w:rPr>
        <w:t> </w:t>
      </w:r>
      <w:r>
        <w:rPr>
          <w:sz w:val="18"/>
        </w:rPr>
        <w:t>2</w:t>
      </w:r>
      <w:r>
        <w:rPr>
          <w:spacing w:val="-7"/>
          <w:sz w:val="18"/>
        </w:rPr>
        <w:t> </w:t>
      </w:r>
      <w:r>
        <w:rPr>
          <w:sz w:val="18"/>
        </w:rPr>
        <w:t>2021-2022,</w:t>
      </w:r>
      <w:r>
        <w:rPr>
          <w:spacing w:val="-7"/>
          <w:sz w:val="18"/>
        </w:rPr>
        <w:t> </w:t>
      </w:r>
      <w:r>
        <w:rPr>
          <w:sz w:val="18"/>
        </w:rPr>
        <w:t>1</w:t>
      </w:r>
      <w:r>
        <w:rPr>
          <w:spacing w:val="-7"/>
          <w:sz w:val="18"/>
        </w:rPr>
        <w:t> </w:t>
      </w:r>
      <w:r>
        <w:rPr>
          <w:sz w:val="18"/>
        </w:rPr>
        <w:t>December</w:t>
      </w:r>
      <w:r>
        <w:rPr>
          <w:spacing w:val="-7"/>
          <w:sz w:val="18"/>
        </w:rPr>
        <w:t> </w:t>
      </w:r>
      <w:r>
        <w:rPr>
          <w:sz w:val="18"/>
        </w:rPr>
        <w:t>2022;</w:t>
      </w:r>
      <w:r>
        <w:rPr>
          <w:spacing w:val="-7"/>
          <w:sz w:val="18"/>
        </w:rPr>
        <w:t> </w:t>
      </w:r>
      <w:r>
        <w:rPr>
          <w:sz w:val="18"/>
        </w:rPr>
        <w:t>and</w:t>
      </w:r>
      <w:r>
        <w:rPr>
          <w:spacing w:val="-7"/>
          <w:sz w:val="18"/>
        </w:rPr>
        <w:t> </w:t>
      </w:r>
      <w:r>
        <w:rPr>
          <w:sz w:val="18"/>
        </w:rPr>
        <w:t>Sub-Committee</w:t>
      </w:r>
      <w:r>
        <w:rPr>
          <w:spacing w:val="-7"/>
          <w:sz w:val="18"/>
        </w:rPr>
        <w:t> </w:t>
      </w:r>
      <w:r>
        <w:rPr>
          <w:sz w:val="18"/>
        </w:rPr>
        <w:t>on</w:t>
      </w:r>
      <w:r>
        <w:rPr>
          <w:spacing w:val="-7"/>
          <w:sz w:val="18"/>
        </w:rPr>
        <w:t> </w:t>
      </w:r>
      <w:r>
        <w:rPr>
          <w:sz w:val="18"/>
        </w:rPr>
        <w:t>the</w:t>
      </w:r>
      <w:r>
        <w:rPr>
          <w:spacing w:val="-7"/>
          <w:sz w:val="18"/>
        </w:rPr>
        <w:t> </w:t>
      </w:r>
      <w:r>
        <w:rPr>
          <w:sz w:val="18"/>
        </w:rPr>
        <w:t>Protocol</w:t>
      </w:r>
      <w:r>
        <w:rPr>
          <w:spacing w:val="-7"/>
          <w:sz w:val="18"/>
        </w:rPr>
        <w:t> </w:t>
      </w:r>
      <w:r>
        <w:rPr>
          <w:sz w:val="18"/>
        </w:rPr>
        <w:t>on</w:t>
      </w:r>
      <w:r>
        <w:rPr>
          <w:spacing w:val="-7"/>
          <w:sz w:val="18"/>
        </w:rPr>
        <w:t> </w:t>
      </w:r>
      <w:r>
        <w:rPr>
          <w:sz w:val="18"/>
        </w:rPr>
        <w:t>Ireland/Northern</w:t>
      </w:r>
      <w:r>
        <w:rPr>
          <w:spacing w:val="-7"/>
          <w:sz w:val="18"/>
        </w:rPr>
        <w:t> </w:t>
      </w:r>
      <w:r>
        <w:rPr>
          <w:sz w:val="18"/>
        </w:rPr>
        <w:t>Ireland,</w:t>
      </w:r>
      <w:r>
        <w:rPr>
          <w:spacing w:val="-7"/>
          <w:sz w:val="18"/>
        </w:rPr>
        <w:t> </w:t>
      </w:r>
      <w:r>
        <w:rPr>
          <w:sz w:val="18"/>
        </w:rPr>
        <w:t>‘Report</w:t>
      </w:r>
      <w:r>
        <w:rPr>
          <w:spacing w:val="-7"/>
          <w:sz w:val="18"/>
        </w:rPr>
        <w:t> </w:t>
      </w:r>
      <w:r>
        <w:rPr>
          <w:sz w:val="18"/>
        </w:rPr>
        <w:t>from</w:t>
      </w:r>
      <w:r>
        <w:rPr>
          <w:spacing w:val="-7"/>
          <w:sz w:val="18"/>
        </w:rPr>
        <w:t> </w:t>
      </w:r>
      <w:r>
        <w:rPr>
          <w:sz w:val="18"/>
        </w:rPr>
        <w:t>the Sub-Committee on the Protocol on Ireland/Northern Ireland: Follow-up report’ (HOL, 2022), at para 40.</w:t>
      </w:r>
    </w:p>
    <w:p>
      <w:pPr>
        <w:pStyle w:val="ListParagraph"/>
        <w:numPr>
          <w:ilvl w:val="0"/>
          <w:numId w:val="3"/>
        </w:numPr>
        <w:tabs>
          <w:tab w:pos="1853" w:val="left" w:leader="none"/>
        </w:tabs>
        <w:spacing w:line="235" w:lineRule="auto" w:before="1" w:after="0"/>
        <w:ind w:left="1853" w:right="1220" w:hanging="720"/>
        <w:jc w:val="left"/>
        <w:rPr>
          <w:sz w:val="18"/>
        </w:rPr>
      </w:pPr>
      <w:r>
        <w:rPr>
          <w:sz w:val="18"/>
        </w:rPr>
        <w:t>UK</w:t>
      </w:r>
      <w:r>
        <w:rPr>
          <w:spacing w:val="-4"/>
          <w:sz w:val="18"/>
        </w:rPr>
        <w:t> </w:t>
      </w:r>
      <w:r>
        <w:rPr>
          <w:sz w:val="18"/>
        </w:rPr>
        <w:t>Government</w:t>
      </w:r>
      <w:r>
        <w:rPr>
          <w:spacing w:val="-4"/>
          <w:sz w:val="18"/>
        </w:rPr>
        <w:t> </w:t>
      </w:r>
      <w:r>
        <w:rPr>
          <w:sz w:val="18"/>
        </w:rPr>
        <w:t>and</w:t>
      </w:r>
      <w:r>
        <w:rPr>
          <w:spacing w:val="-5"/>
          <w:sz w:val="18"/>
        </w:rPr>
        <w:t> </w:t>
      </w:r>
      <w:r>
        <w:rPr>
          <w:sz w:val="18"/>
        </w:rPr>
        <w:t>EU</w:t>
      </w:r>
      <w:r>
        <w:rPr>
          <w:spacing w:val="-4"/>
          <w:sz w:val="18"/>
        </w:rPr>
        <w:t> </w:t>
      </w:r>
      <w:r>
        <w:rPr>
          <w:sz w:val="18"/>
        </w:rPr>
        <w:t>Commission,</w:t>
      </w:r>
      <w:r>
        <w:rPr>
          <w:spacing w:val="-4"/>
          <w:sz w:val="18"/>
        </w:rPr>
        <w:t> </w:t>
      </w:r>
      <w:r>
        <w:rPr>
          <w:sz w:val="18"/>
        </w:rPr>
        <w:t>‘</w:t>
      </w:r>
      <w:hyperlink r:id="rId68">
        <w:r>
          <w:rPr>
            <w:sz w:val="18"/>
          </w:rPr>
          <w:t>Windsor</w:t>
        </w:r>
        <w:r>
          <w:rPr>
            <w:spacing w:val="-4"/>
            <w:sz w:val="18"/>
          </w:rPr>
          <w:t> </w:t>
        </w:r>
        <w:r>
          <w:rPr>
            <w:sz w:val="18"/>
          </w:rPr>
          <w:t>Political</w:t>
        </w:r>
        <w:r>
          <w:rPr>
            <w:spacing w:val="-5"/>
            <w:sz w:val="18"/>
          </w:rPr>
          <w:t> </w:t>
        </w:r>
        <w:r>
          <w:rPr>
            <w:sz w:val="18"/>
          </w:rPr>
          <w:t>Declaration</w:t>
        </w:r>
      </w:hyperlink>
      <w:r>
        <w:rPr>
          <w:spacing w:val="-6"/>
          <w:sz w:val="18"/>
        </w:rPr>
        <w:t> </w:t>
      </w:r>
      <w:r>
        <w:rPr>
          <w:sz w:val="18"/>
        </w:rPr>
        <w:t>by</w:t>
      </w:r>
      <w:r>
        <w:rPr>
          <w:spacing w:val="-4"/>
          <w:sz w:val="18"/>
        </w:rPr>
        <w:t> </w:t>
      </w:r>
      <w:r>
        <w:rPr>
          <w:sz w:val="18"/>
        </w:rPr>
        <w:t>the</w:t>
      </w:r>
      <w:r>
        <w:rPr>
          <w:spacing w:val="-4"/>
          <w:sz w:val="18"/>
        </w:rPr>
        <w:t> </w:t>
      </w:r>
      <w:r>
        <w:rPr>
          <w:sz w:val="18"/>
        </w:rPr>
        <w:t>European</w:t>
      </w:r>
      <w:r>
        <w:rPr>
          <w:spacing w:val="-5"/>
          <w:sz w:val="18"/>
        </w:rPr>
        <w:t> </w:t>
      </w:r>
      <w:r>
        <w:rPr>
          <w:sz w:val="18"/>
        </w:rPr>
        <w:t>Commission</w:t>
      </w:r>
      <w:r>
        <w:rPr>
          <w:spacing w:val="-5"/>
          <w:sz w:val="18"/>
        </w:rPr>
        <w:t> </w:t>
      </w:r>
      <w:r>
        <w:rPr>
          <w:sz w:val="18"/>
        </w:rPr>
        <w:t>and</w:t>
      </w:r>
      <w:r>
        <w:rPr>
          <w:spacing w:val="-5"/>
          <w:sz w:val="18"/>
        </w:rPr>
        <w:t> </w:t>
      </w:r>
      <w:r>
        <w:rPr>
          <w:sz w:val="18"/>
        </w:rPr>
        <w:t>the</w:t>
      </w:r>
      <w:r>
        <w:rPr>
          <w:spacing w:val="-4"/>
          <w:sz w:val="18"/>
        </w:rPr>
        <w:t> </w:t>
      </w:r>
      <w:r>
        <w:rPr>
          <w:sz w:val="18"/>
        </w:rPr>
        <w:t>Government</w:t>
      </w:r>
      <w:r>
        <w:rPr>
          <w:spacing w:val="-4"/>
          <w:sz w:val="18"/>
        </w:rPr>
        <w:t> </w:t>
      </w:r>
      <w:r>
        <w:rPr>
          <w:sz w:val="18"/>
        </w:rPr>
        <w:t>of the United Kingdom’, 27 February 2023.</w:t>
      </w:r>
    </w:p>
    <w:p>
      <w:pPr>
        <w:spacing w:after="0" w:line="235" w:lineRule="auto"/>
        <w:jc w:val="left"/>
        <w:rPr>
          <w:sz w:val="18"/>
        </w:rPr>
        <w:sectPr>
          <w:headerReference w:type="default" r:id="rId113"/>
          <w:headerReference w:type="even" r:id="rId114"/>
          <w:footerReference w:type="default" r:id="rId115"/>
          <w:footerReference w:type="even" r:id="rId116"/>
          <w:pgSz w:w="11910" w:h="16840"/>
          <w:pgMar w:header="496" w:footer="367" w:top="1220" w:bottom="560" w:left="0" w:right="0"/>
          <w:pgNumType w:start="55"/>
        </w:sectPr>
      </w:pPr>
    </w:p>
    <w:p>
      <w:pPr>
        <w:pStyle w:val="BodyText"/>
        <w:spacing w:before="198"/>
      </w:pPr>
    </w:p>
    <w:p>
      <w:pPr>
        <w:pStyle w:val="ListParagraph"/>
        <w:numPr>
          <w:ilvl w:val="1"/>
          <w:numId w:val="7"/>
        </w:numPr>
        <w:tabs>
          <w:tab w:pos="1853" w:val="left" w:leader="none"/>
        </w:tabs>
        <w:spacing w:line="225" w:lineRule="auto" w:before="0" w:after="0"/>
        <w:ind w:left="1853" w:right="1203" w:hanging="720"/>
        <w:jc w:val="left"/>
        <w:rPr>
          <w:b/>
          <w:color w:val="67287F"/>
          <w:sz w:val="28"/>
        </w:rPr>
      </w:pPr>
      <w:bookmarkStart w:name="_bookmark20" w:id="45"/>
      <w:bookmarkEnd w:id="45"/>
      <w:r>
        <w:rPr/>
      </w:r>
      <w:r>
        <w:rPr>
          <w:b/>
          <w:color w:val="67287F"/>
          <w:sz w:val="28"/>
        </w:rPr>
        <w:t>The Commissions continue to advise the NI Executive, and relevant NI departments,</w:t>
      </w:r>
      <w:r>
        <w:rPr>
          <w:b/>
          <w:color w:val="67287F"/>
          <w:spacing w:val="-6"/>
          <w:sz w:val="28"/>
        </w:rPr>
        <w:t> </w:t>
      </w:r>
      <w:r>
        <w:rPr>
          <w:b/>
          <w:color w:val="67287F"/>
          <w:sz w:val="28"/>
        </w:rPr>
        <w:t>that,</w:t>
      </w:r>
      <w:r>
        <w:rPr>
          <w:b/>
          <w:color w:val="67287F"/>
          <w:spacing w:val="-6"/>
          <w:sz w:val="28"/>
        </w:rPr>
        <w:t> </w:t>
      </w:r>
      <w:r>
        <w:rPr>
          <w:b/>
          <w:color w:val="67287F"/>
          <w:sz w:val="28"/>
        </w:rPr>
        <w:t>pursuant</w:t>
      </w:r>
      <w:r>
        <w:rPr>
          <w:b/>
          <w:color w:val="67287F"/>
          <w:spacing w:val="-6"/>
          <w:sz w:val="28"/>
        </w:rPr>
        <w:t> </w:t>
      </w:r>
      <w:r>
        <w:rPr>
          <w:b/>
          <w:color w:val="67287F"/>
          <w:sz w:val="28"/>
        </w:rPr>
        <w:t>to</w:t>
      </w:r>
      <w:r>
        <w:rPr>
          <w:b/>
          <w:color w:val="67287F"/>
          <w:spacing w:val="-6"/>
          <w:sz w:val="28"/>
        </w:rPr>
        <w:t> </w:t>
      </w:r>
      <w:r>
        <w:rPr>
          <w:b/>
          <w:color w:val="67287F"/>
          <w:sz w:val="28"/>
        </w:rPr>
        <w:t>Articles</w:t>
      </w:r>
      <w:r>
        <w:rPr>
          <w:b/>
          <w:color w:val="67287F"/>
          <w:spacing w:val="-6"/>
          <w:sz w:val="28"/>
        </w:rPr>
        <w:t> </w:t>
      </w:r>
      <w:r>
        <w:rPr>
          <w:b/>
          <w:color w:val="67287F"/>
          <w:sz w:val="28"/>
        </w:rPr>
        <w:t>2</w:t>
      </w:r>
      <w:r>
        <w:rPr>
          <w:b/>
          <w:color w:val="67287F"/>
          <w:spacing w:val="-6"/>
          <w:sz w:val="28"/>
        </w:rPr>
        <w:t> </w:t>
      </w:r>
      <w:r>
        <w:rPr>
          <w:b/>
          <w:color w:val="67287F"/>
          <w:sz w:val="28"/>
        </w:rPr>
        <w:t>and</w:t>
      </w:r>
      <w:r>
        <w:rPr>
          <w:b/>
          <w:color w:val="67287F"/>
          <w:spacing w:val="-6"/>
          <w:sz w:val="28"/>
        </w:rPr>
        <w:t> </w:t>
      </w:r>
      <w:r>
        <w:rPr>
          <w:b/>
          <w:color w:val="67287F"/>
          <w:sz w:val="28"/>
        </w:rPr>
        <w:t>13</w:t>
      </w:r>
      <w:r>
        <w:rPr>
          <w:b/>
          <w:color w:val="67287F"/>
          <w:spacing w:val="-6"/>
          <w:sz w:val="28"/>
        </w:rPr>
        <w:t> </w:t>
      </w:r>
      <w:r>
        <w:rPr>
          <w:b/>
          <w:color w:val="67287F"/>
          <w:sz w:val="28"/>
        </w:rPr>
        <w:t>of</w:t>
      </w:r>
      <w:r>
        <w:rPr>
          <w:b/>
          <w:color w:val="67287F"/>
          <w:spacing w:val="-7"/>
          <w:sz w:val="28"/>
        </w:rPr>
        <w:t> </w:t>
      </w:r>
      <w:r>
        <w:rPr>
          <w:b/>
          <w:color w:val="67287F"/>
          <w:sz w:val="28"/>
        </w:rPr>
        <w:t>the</w:t>
      </w:r>
      <w:r>
        <w:rPr>
          <w:b/>
          <w:color w:val="67287F"/>
          <w:spacing w:val="-7"/>
          <w:sz w:val="28"/>
        </w:rPr>
        <w:t> </w:t>
      </w:r>
      <w:r>
        <w:rPr>
          <w:b/>
          <w:color w:val="67287F"/>
          <w:sz w:val="28"/>
        </w:rPr>
        <w:t>Windsor</w:t>
      </w:r>
      <w:r>
        <w:rPr>
          <w:b/>
          <w:color w:val="67287F"/>
          <w:spacing w:val="-7"/>
          <w:sz w:val="28"/>
        </w:rPr>
        <w:t> </w:t>
      </w:r>
      <w:r>
        <w:rPr>
          <w:b/>
          <w:color w:val="67287F"/>
          <w:sz w:val="28"/>
        </w:rPr>
        <w:t>Framework, the</w:t>
      </w:r>
      <w:r>
        <w:rPr>
          <w:b/>
          <w:color w:val="67287F"/>
          <w:spacing w:val="-3"/>
          <w:sz w:val="28"/>
        </w:rPr>
        <w:t> </w:t>
      </w:r>
      <w:r>
        <w:rPr>
          <w:b/>
          <w:color w:val="67287F"/>
          <w:sz w:val="28"/>
        </w:rPr>
        <w:t>EU</w:t>
      </w:r>
      <w:r>
        <w:rPr>
          <w:b/>
          <w:color w:val="67287F"/>
          <w:spacing w:val="-2"/>
          <w:sz w:val="28"/>
        </w:rPr>
        <w:t> </w:t>
      </w:r>
      <w:r>
        <w:rPr>
          <w:b/>
          <w:color w:val="67287F"/>
          <w:sz w:val="28"/>
        </w:rPr>
        <w:t>Framework</w:t>
      </w:r>
      <w:r>
        <w:rPr>
          <w:b/>
          <w:color w:val="67287F"/>
          <w:spacing w:val="-3"/>
          <w:sz w:val="28"/>
        </w:rPr>
        <w:t> </w:t>
      </w:r>
      <w:r>
        <w:rPr>
          <w:b/>
          <w:color w:val="67287F"/>
          <w:sz w:val="28"/>
        </w:rPr>
        <w:t>Equality</w:t>
      </w:r>
      <w:r>
        <w:rPr>
          <w:b/>
          <w:color w:val="67287F"/>
          <w:spacing w:val="-2"/>
          <w:sz w:val="28"/>
        </w:rPr>
        <w:t> </w:t>
      </w:r>
      <w:r>
        <w:rPr>
          <w:b/>
          <w:color w:val="67287F"/>
          <w:sz w:val="28"/>
        </w:rPr>
        <w:t>Directive</w:t>
      </w:r>
      <w:r>
        <w:rPr>
          <w:b/>
          <w:color w:val="67287F"/>
          <w:spacing w:val="-3"/>
          <w:sz w:val="28"/>
        </w:rPr>
        <w:t> </w:t>
      </w:r>
      <w:r>
        <w:rPr>
          <w:b/>
          <w:color w:val="67287F"/>
          <w:sz w:val="28"/>
        </w:rPr>
        <w:t>and</w:t>
      </w:r>
      <w:r>
        <w:rPr>
          <w:b/>
          <w:color w:val="67287F"/>
          <w:spacing w:val="-2"/>
          <w:sz w:val="28"/>
        </w:rPr>
        <w:t> </w:t>
      </w:r>
      <w:r>
        <w:rPr>
          <w:b/>
          <w:color w:val="67287F"/>
          <w:sz w:val="28"/>
        </w:rPr>
        <w:t>domestic</w:t>
      </w:r>
      <w:r>
        <w:rPr>
          <w:b/>
          <w:color w:val="67287F"/>
          <w:spacing w:val="-3"/>
          <w:sz w:val="28"/>
        </w:rPr>
        <w:t> </w:t>
      </w:r>
      <w:r>
        <w:rPr>
          <w:b/>
          <w:color w:val="67287F"/>
          <w:sz w:val="28"/>
        </w:rPr>
        <w:t>law</w:t>
      </w:r>
      <w:r>
        <w:rPr>
          <w:b/>
          <w:color w:val="67287F"/>
          <w:spacing w:val="-3"/>
          <w:sz w:val="28"/>
        </w:rPr>
        <w:t> </w:t>
      </w:r>
      <w:r>
        <w:rPr>
          <w:b/>
          <w:color w:val="67287F"/>
          <w:sz w:val="28"/>
        </w:rPr>
        <w:t>which</w:t>
      </w:r>
      <w:r>
        <w:rPr>
          <w:b/>
          <w:color w:val="67287F"/>
          <w:spacing w:val="-2"/>
          <w:sz w:val="28"/>
        </w:rPr>
        <w:t> </w:t>
      </w:r>
      <w:r>
        <w:rPr>
          <w:b/>
          <w:color w:val="67287F"/>
          <w:sz w:val="28"/>
        </w:rPr>
        <w:t>gives</w:t>
      </w:r>
      <w:r>
        <w:rPr>
          <w:b/>
          <w:color w:val="67287F"/>
          <w:spacing w:val="-2"/>
          <w:sz w:val="28"/>
        </w:rPr>
        <w:t> </w:t>
      </w:r>
      <w:r>
        <w:rPr>
          <w:b/>
          <w:color w:val="67287F"/>
          <w:sz w:val="28"/>
        </w:rPr>
        <w:t>effect</w:t>
      </w:r>
      <w:r>
        <w:rPr>
          <w:b/>
          <w:color w:val="67287F"/>
          <w:spacing w:val="-2"/>
          <w:sz w:val="28"/>
        </w:rPr>
        <w:t> </w:t>
      </w:r>
      <w:r>
        <w:rPr>
          <w:b/>
          <w:color w:val="67287F"/>
          <w:sz w:val="28"/>
        </w:rPr>
        <w:t>to this Directive, should be interpreted in line with the decision of the CJEU in the </w:t>
      </w:r>
      <w:r>
        <w:rPr>
          <w:b/>
          <w:i/>
          <w:color w:val="67287F"/>
          <w:sz w:val="28"/>
        </w:rPr>
        <w:t>Szpital Kliniczny </w:t>
      </w:r>
      <w:r>
        <w:rPr>
          <w:b/>
          <w:color w:val="67287F"/>
          <w:sz w:val="28"/>
        </w:rPr>
        <w:t>case relating to disability discrimination.</w:t>
      </w:r>
    </w:p>
    <w:p>
      <w:pPr>
        <w:pStyle w:val="ListParagraph"/>
        <w:numPr>
          <w:ilvl w:val="1"/>
          <w:numId w:val="7"/>
        </w:numPr>
        <w:tabs>
          <w:tab w:pos="1853" w:val="left" w:leader="none"/>
        </w:tabs>
        <w:spacing w:line="225" w:lineRule="auto" w:before="314" w:after="0"/>
        <w:ind w:left="1853" w:right="1428" w:hanging="720"/>
        <w:jc w:val="left"/>
        <w:rPr>
          <w:b/>
          <w:color w:val="67287F"/>
          <w:sz w:val="28"/>
        </w:rPr>
      </w:pPr>
      <w:r>
        <w:rPr>
          <w:b/>
          <w:color w:val="67287F"/>
          <w:sz w:val="28"/>
        </w:rPr>
        <w:t>The Commissions continue to recommend that the Department for Communities bring forward proposals to reform disability equality legislation</w:t>
      </w:r>
      <w:r>
        <w:rPr>
          <w:b/>
          <w:color w:val="67287F"/>
          <w:spacing w:val="-5"/>
          <w:sz w:val="28"/>
        </w:rPr>
        <w:t> </w:t>
      </w:r>
      <w:r>
        <w:rPr>
          <w:b/>
          <w:color w:val="67287F"/>
          <w:sz w:val="28"/>
        </w:rPr>
        <w:t>so</w:t>
      </w:r>
      <w:r>
        <w:rPr>
          <w:b/>
          <w:color w:val="67287F"/>
          <w:spacing w:val="-5"/>
          <w:sz w:val="28"/>
        </w:rPr>
        <w:t> </w:t>
      </w:r>
      <w:r>
        <w:rPr>
          <w:b/>
          <w:color w:val="67287F"/>
          <w:sz w:val="28"/>
        </w:rPr>
        <w:t>as</w:t>
      </w:r>
      <w:r>
        <w:rPr>
          <w:b/>
          <w:color w:val="67287F"/>
          <w:spacing w:val="-5"/>
          <w:sz w:val="28"/>
        </w:rPr>
        <w:t> </w:t>
      </w:r>
      <w:r>
        <w:rPr>
          <w:b/>
          <w:color w:val="67287F"/>
          <w:sz w:val="28"/>
        </w:rPr>
        <w:t>to</w:t>
      </w:r>
      <w:r>
        <w:rPr>
          <w:b/>
          <w:color w:val="67287F"/>
          <w:spacing w:val="-5"/>
          <w:sz w:val="28"/>
        </w:rPr>
        <w:t> </w:t>
      </w:r>
      <w:r>
        <w:rPr>
          <w:b/>
          <w:color w:val="67287F"/>
          <w:sz w:val="28"/>
        </w:rPr>
        <w:t>ensure</w:t>
      </w:r>
      <w:r>
        <w:rPr>
          <w:b/>
          <w:color w:val="67287F"/>
          <w:spacing w:val="-6"/>
          <w:sz w:val="28"/>
        </w:rPr>
        <w:t> </w:t>
      </w:r>
      <w:r>
        <w:rPr>
          <w:b/>
          <w:color w:val="67287F"/>
          <w:sz w:val="28"/>
        </w:rPr>
        <w:t>that</w:t>
      </w:r>
      <w:r>
        <w:rPr>
          <w:b/>
          <w:color w:val="67287F"/>
          <w:spacing w:val="-5"/>
          <w:sz w:val="28"/>
        </w:rPr>
        <w:t> </w:t>
      </w:r>
      <w:r>
        <w:rPr>
          <w:b/>
          <w:color w:val="67287F"/>
          <w:sz w:val="28"/>
        </w:rPr>
        <w:t>disability-related</w:t>
      </w:r>
      <w:r>
        <w:rPr>
          <w:b/>
          <w:color w:val="67287F"/>
          <w:spacing w:val="-5"/>
          <w:sz w:val="28"/>
        </w:rPr>
        <w:t> </w:t>
      </w:r>
      <w:r>
        <w:rPr>
          <w:b/>
          <w:color w:val="67287F"/>
          <w:sz w:val="28"/>
        </w:rPr>
        <w:t>discrimination</w:t>
      </w:r>
      <w:r>
        <w:rPr>
          <w:b/>
          <w:color w:val="67287F"/>
          <w:spacing w:val="-5"/>
          <w:sz w:val="28"/>
        </w:rPr>
        <w:t> </w:t>
      </w:r>
      <w:r>
        <w:rPr>
          <w:b/>
          <w:color w:val="67287F"/>
          <w:sz w:val="28"/>
        </w:rPr>
        <w:t>is</w:t>
      </w:r>
      <w:r>
        <w:rPr>
          <w:b/>
          <w:color w:val="67287F"/>
          <w:spacing w:val="-5"/>
          <w:sz w:val="28"/>
        </w:rPr>
        <w:t> </w:t>
      </w:r>
      <w:r>
        <w:rPr>
          <w:b/>
          <w:color w:val="67287F"/>
          <w:sz w:val="28"/>
        </w:rPr>
        <w:t>replaced by</w:t>
      </w:r>
      <w:r>
        <w:rPr>
          <w:b/>
          <w:color w:val="67287F"/>
          <w:spacing w:val="-8"/>
          <w:sz w:val="28"/>
        </w:rPr>
        <w:t> </w:t>
      </w:r>
      <w:r>
        <w:rPr>
          <w:b/>
          <w:color w:val="67287F"/>
          <w:sz w:val="28"/>
        </w:rPr>
        <w:t>provisions</w:t>
      </w:r>
      <w:r>
        <w:rPr>
          <w:b/>
          <w:color w:val="67287F"/>
          <w:spacing w:val="-8"/>
          <w:sz w:val="28"/>
        </w:rPr>
        <w:t> </w:t>
      </w:r>
      <w:r>
        <w:rPr>
          <w:b/>
          <w:color w:val="67287F"/>
          <w:sz w:val="28"/>
        </w:rPr>
        <w:t>prohibiting</w:t>
      </w:r>
      <w:r>
        <w:rPr>
          <w:b/>
          <w:color w:val="67287F"/>
          <w:spacing w:val="-9"/>
          <w:sz w:val="28"/>
        </w:rPr>
        <w:t> </w:t>
      </w:r>
      <w:r>
        <w:rPr>
          <w:b/>
          <w:color w:val="67287F"/>
          <w:sz w:val="28"/>
        </w:rPr>
        <w:t>indirect</w:t>
      </w:r>
      <w:r>
        <w:rPr>
          <w:b/>
          <w:color w:val="67287F"/>
          <w:spacing w:val="-8"/>
          <w:sz w:val="28"/>
        </w:rPr>
        <w:t> </w:t>
      </w:r>
      <w:r>
        <w:rPr>
          <w:b/>
          <w:color w:val="67287F"/>
          <w:sz w:val="28"/>
        </w:rPr>
        <w:t>discrimination</w:t>
      </w:r>
      <w:r>
        <w:rPr>
          <w:b/>
          <w:color w:val="67287F"/>
          <w:spacing w:val="-8"/>
          <w:sz w:val="28"/>
        </w:rPr>
        <w:t> </w:t>
      </w:r>
      <w:r>
        <w:rPr>
          <w:b/>
          <w:color w:val="67287F"/>
          <w:sz w:val="28"/>
        </w:rPr>
        <w:t>and</w:t>
      </w:r>
      <w:r>
        <w:rPr>
          <w:b/>
          <w:color w:val="67287F"/>
          <w:spacing w:val="-8"/>
          <w:sz w:val="28"/>
        </w:rPr>
        <w:t> </w:t>
      </w:r>
      <w:r>
        <w:rPr>
          <w:b/>
          <w:color w:val="67287F"/>
          <w:sz w:val="28"/>
        </w:rPr>
        <w:t>discrimination</w:t>
      </w:r>
      <w:r>
        <w:rPr>
          <w:b/>
          <w:color w:val="67287F"/>
          <w:spacing w:val="-8"/>
          <w:sz w:val="28"/>
        </w:rPr>
        <w:t> </w:t>
      </w:r>
      <w:r>
        <w:rPr>
          <w:b/>
          <w:color w:val="67287F"/>
          <w:sz w:val="28"/>
        </w:rPr>
        <w:t>arising from disability.</w:t>
      </w:r>
    </w:p>
    <w:p>
      <w:pPr>
        <w:pStyle w:val="ListParagraph"/>
        <w:numPr>
          <w:ilvl w:val="1"/>
          <w:numId w:val="7"/>
        </w:numPr>
        <w:tabs>
          <w:tab w:pos="1853" w:val="left" w:leader="none"/>
        </w:tabs>
        <w:spacing w:line="225" w:lineRule="auto" w:before="314" w:after="0"/>
        <w:ind w:left="1853" w:right="1428" w:hanging="720"/>
        <w:jc w:val="left"/>
        <w:rPr>
          <w:b/>
          <w:color w:val="67287F"/>
          <w:sz w:val="28"/>
        </w:rPr>
      </w:pPr>
      <w:r>
        <w:rPr>
          <w:b/>
          <w:color w:val="67287F"/>
          <w:sz w:val="28"/>
        </w:rPr>
        <w:t>The</w:t>
      </w:r>
      <w:r>
        <w:rPr>
          <w:b/>
          <w:color w:val="67287F"/>
          <w:spacing w:val="-6"/>
          <w:sz w:val="28"/>
        </w:rPr>
        <w:t> </w:t>
      </w:r>
      <w:r>
        <w:rPr>
          <w:b/>
          <w:color w:val="67287F"/>
          <w:sz w:val="28"/>
        </w:rPr>
        <w:t>Commissions</w:t>
      </w:r>
      <w:r>
        <w:rPr>
          <w:b/>
          <w:color w:val="67287F"/>
          <w:spacing w:val="-5"/>
          <w:sz w:val="28"/>
        </w:rPr>
        <w:t> </w:t>
      </w:r>
      <w:r>
        <w:rPr>
          <w:b/>
          <w:color w:val="67287F"/>
          <w:sz w:val="28"/>
        </w:rPr>
        <w:t>continue</w:t>
      </w:r>
      <w:r>
        <w:rPr>
          <w:b/>
          <w:color w:val="67287F"/>
          <w:spacing w:val="-6"/>
          <w:sz w:val="28"/>
        </w:rPr>
        <w:t> </w:t>
      </w:r>
      <w:r>
        <w:rPr>
          <w:b/>
          <w:color w:val="67287F"/>
          <w:sz w:val="28"/>
        </w:rPr>
        <w:t>to</w:t>
      </w:r>
      <w:r>
        <w:rPr>
          <w:b/>
          <w:color w:val="67287F"/>
          <w:spacing w:val="-5"/>
          <w:sz w:val="28"/>
        </w:rPr>
        <w:t> </w:t>
      </w:r>
      <w:r>
        <w:rPr>
          <w:b/>
          <w:color w:val="67287F"/>
          <w:sz w:val="28"/>
        </w:rPr>
        <w:t>recommend</w:t>
      </w:r>
      <w:r>
        <w:rPr>
          <w:b/>
          <w:color w:val="67287F"/>
          <w:spacing w:val="-5"/>
          <w:sz w:val="28"/>
        </w:rPr>
        <w:t> </w:t>
      </w:r>
      <w:r>
        <w:rPr>
          <w:b/>
          <w:color w:val="67287F"/>
          <w:sz w:val="28"/>
        </w:rPr>
        <w:t>that</w:t>
      </w:r>
      <w:r>
        <w:rPr>
          <w:b/>
          <w:color w:val="67287F"/>
          <w:spacing w:val="-5"/>
          <w:sz w:val="28"/>
        </w:rPr>
        <w:t> </w:t>
      </w:r>
      <w:r>
        <w:rPr>
          <w:b/>
          <w:color w:val="67287F"/>
          <w:sz w:val="28"/>
        </w:rPr>
        <w:t>the</w:t>
      </w:r>
      <w:r>
        <w:rPr>
          <w:b/>
          <w:color w:val="67287F"/>
          <w:spacing w:val="-6"/>
          <w:sz w:val="28"/>
        </w:rPr>
        <w:t> </w:t>
      </w:r>
      <w:r>
        <w:rPr>
          <w:b/>
          <w:color w:val="67287F"/>
          <w:sz w:val="28"/>
        </w:rPr>
        <w:t>UK</w:t>
      </w:r>
      <w:r>
        <w:rPr>
          <w:b/>
          <w:color w:val="67287F"/>
          <w:spacing w:val="-5"/>
          <w:sz w:val="28"/>
        </w:rPr>
        <w:t> </w:t>
      </w:r>
      <w:r>
        <w:rPr>
          <w:b/>
          <w:color w:val="67287F"/>
          <w:sz w:val="28"/>
        </w:rPr>
        <w:t>Government</w:t>
      </w:r>
      <w:r>
        <w:rPr>
          <w:b/>
          <w:color w:val="67287F"/>
          <w:spacing w:val="-5"/>
          <w:sz w:val="28"/>
        </w:rPr>
        <w:t> </w:t>
      </w:r>
      <w:r>
        <w:rPr>
          <w:b/>
          <w:color w:val="67287F"/>
          <w:sz w:val="28"/>
        </w:rPr>
        <w:t>and</w:t>
      </w:r>
      <w:r>
        <w:rPr>
          <w:b/>
          <w:color w:val="67287F"/>
          <w:spacing w:val="-5"/>
          <w:sz w:val="28"/>
        </w:rPr>
        <w:t> </w:t>
      </w:r>
      <w:r>
        <w:rPr>
          <w:b/>
          <w:color w:val="67287F"/>
          <w:sz w:val="28"/>
        </w:rPr>
        <w:t>NI Executive give effect to the UN Convention on the Rights of Persons with Disabilities in domestic legislation.</w:t>
      </w:r>
    </w:p>
    <w:p>
      <w:pPr>
        <w:pStyle w:val="ListParagraph"/>
        <w:numPr>
          <w:ilvl w:val="1"/>
          <w:numId w:val="7"/>
        </w:numPr>
        <w:tabs>
          <w:tab w:pos="1853" w:val="left" w:leader="none"/>
        </w:tabs>
        <w:spacing w:line="225" w:lineRule="auto" w:before="316" w:after="0"/>
        <w:ind w:left="1853" w:right="1724" w:hanging="720"/>
        <w:jc w:val="left"/>
        <w:rPr>
          <w:b/>
          <w:color w:val="67287F"/>
          <w:sz w:val="28"/>
        </w:rPr>
      </w:pPr>
      <w:r>
        <w:rPr>
          <w:b/>
          <w:color w:val="67287F"/>
          <w:sz w:val="28"/>
        </w:rPr>
        <w:t>The Commissions continue to recommend that the NI Executive, and relevant NI departments, including the Department for Communities, Department for the Economy and the Executive Office ensure that NI law</w:t>
      </w:r>
      <w:r>
        <w:rPr>
          <w:b/>
          <w:color w:val="67287F"/>
          <w:spacing w:val="-5"/>
          <w:sz w:val="28"/>
        </w:rPr>
        <w:t> </w:t>
      </w:r>
      <w:r>
        <w:rPr>
          <w:b/>
          <w:color w:val="67287F"/>
          <w:sz w:val="28"/>
        </w:rPr>
        <w:t>aligns,</w:t>
      </w:r>
      <w:r>
        <w:rPr>
          <w:b/>
          <w:color w:val="67287F"/>
          <w:spacing w:val="-4"/>
          <w:sz w:val="28"/>
        </w:rPr>
        <w:t> </w:t>
      </w:r>
      <w:r>
        <w:rPr>
          <w:b/>
          <w:color w:val="67287F"/>
          <w:sz w:val="28"/>
        </w:rPr>
        <w:t>on</w:t>
      </w:r>
      <w:r>
        <w:rPr>
          <w:b/>
          <w:color w:val="67287F"/>
          <w:spacing w:val="-4"/>
          <w:sz w:val="28"/>
        </w:rPr>
        <w:t> </w:t>
      </w:r>
      <w:r>
        <w:rPr>
          <w:b/>
          <w:color w:val="67287F"/>
          <w:sz w:val="28"/>
        </w:rPr>
        <w:t>a</w:t>
      </w:r>
      <w:r>
        <w:rPr>
          <w:b/>
          <w:color w:val="67287F"/>
          <w:spacing w:val="-4"/>
          <w:sz w:val="28"/>
        </w:rPr>
        <w:t> </w:t>
      </w:r>
      <w:r>
        <w:rPr>
          <w:b/>
          <w:color w:val="67287F"/>
          <w:sz w:val="28"/>
        </w:rPr>
        <w:t>voluntary</w:t>
      </w:r>
      <w:r>
        <w:rPr>
          <w:b/>
          <w:color w:val="67287F"/>
          <w:spacing w:val="-4"/>
          <w:sz w:val="28"/>
        </w:rPr>
        <w:t> </w:t>
      </w:r>
      <w:r>
        <w:rPr>
          <w:b/>
          <w:color w:val="67287F"/>
          <w:sz w:val="28"/>
        </w:rPr>
        <w:t>basis,</w:t>
      </w:r>
      <w:r>
        <w:rPr>
          <w:b/>
          <w:color w:val="67287F"/>
          <w:spacing w:val="-4"/>
          <w:sz w:val="28"/>
        </w:rPr>
        <w:t> </w:t>
      </w:r>
      <w:r>
        <w:rPr>
          <w:b/>
          <w:color w:val="67287F"/>
          <w:sz w:val="28"/>
        </w:rPr>
        <w:t>with</w:t>
      </w:r>
      <w:r>
        <w:rPr>
          <w:b/>
          <w:color w:val="67287F"/>
          <w:spacing w:val="-4"/>
          <w:sz w:val="28"/>
        </w:rPr>
        <w:t> </w:t>
      </w:r>
      <w:r>
        <w:rPr>
          <w:b/>
          <w:color w:val="67287F"/>
          <w:sz w:val="28"/>
        </w:rPr>
        <w:t>the</w:t>
      </w:r>
      <w:r>
        <w:rPr>
          <w:b/>
          <w:color w:val="67287F"/>
          <w:spacing w:val="-5"/>
          <w:sz w:val="28"/>
        </w:rPr>
        <w:t> </w:t>
      </w:r>
      <w:r>
        <w:rPr>
          <w:b/>
          <w:color w:val="67287F"/>
          <w:sz w:val="28"/>
        </w:rPr>
        <w:t>EU</w:t>
      </w:r>
      <w:r>
        <w:rPr>
          <w:b/>
          <w:color w:val="67287F"/>
          <w:spacing w:val="-4"/>
          <w:sz w:val="28"/>
        </w:rPr>
        <w:t> </w:t>
      </w:r>
      <w:r>
        <w:rPr>
          <w:b/>
          <w:color w:val="67287F"/>
          <w:sz w:val="28"/>
        </w:rPr>
        <w:t>Accessibility</w:t>
      </w:r>
      <w:r>
        <w:rPr>
          <w:b/>
          <w:color w:val="67287F"/>
          <w:spacing w:val="-4"/>
          <w:sz w:val="28"/>
        </w:rPr>
        <w:t> </w:t>
      </w:r>
      <w:r>
        <w:rPr>
          <w:b/>
          <w:color w:val="67287F"/>
          <w:sz w:val="28"/>
        </w:rPr>
        <w:t>Act</w:t>
      </w:r>
      <w:r>
        <w:rPr>
          <w:b/>
          <w:color w:val="67287F"/>
          <w:spacing w:val="-4"/>
          <w:sz w:val="28"/>
        </w:rPr>
        <w:t> </w:t>
      </w:r>
      <w:r>
        <w:rPr>
          <w:b/>
          <w:color w:val="67287F"/>
          <w:sz w:val="28"/>
        </w:rPr>
        <w:t>where</w:t>
      </w:r>
      <w:r>
        <w:rPr>
          <w:b/>
          <w:color w:val="67287F"/>
          <w:spacing w:val="-5"/>
          <w:sz w:val="28"/>
        </w:rPr>
        <w:t> </w:t>
      </w:r>
      <w:r>
        <w:rPr>
          <w:b/>
          <w:color w:val="67287F"/>
          <w:sz w:val="28"/>
        </w:rPr>
        <w:t>this</w:t>
      </w:r>
    </w:p>
    <w:p>
      <w:pPr>
        <w:spacing w:line="225" w:lineRule="auto" w:before="0"/>
        <w:ind w:left="1853" w:right="1124" w:firstLine="0"/>
        <w:jc w:val="left"/>
        <w:rPr>
          <w:b/>
          <w:sz w:val="28"/>
        </w:rPr>
      </w:pPr>
      <w:r>
        <w:rPr>
          <w:b/>
          <w:color w:val="67287F"/>
          <w:sz w:val="28"/>
        </w:rPr>
        <w:t>enhances</w:t>
      </w:r>
      <w:r>
        <w:rPr>
          <w:b/>
          <w:color w:val="67287F"/>
          <w:spacing w:val="-6"/>
          <w:sz w:val="28"/>
        </w:rPr>
        <w:t> </w:t>
      </w:r>
      <w:r>
        <w:rPr>
          <w:b/>
          <w:color w:val="67287F"/>
          <w:sz w:val="28"/>
        </w:rPr>
        <w:t>protections</w:t>
      </w:r>
      <w:r>
        <w:rPr>
          <w:b/>
          <w:color w:val="67287F"/>
          <w:spacing w:val="-5"/>
          <w:sz w:val="28"/>
        </w:rPr>
        <w:t> </w:t>
      </w:r>
      <w:r>
        <w:rPr>
          <w:b/>
          <w:color w:val="67287F"/>
          <w:sz w:val="28"/>
        </w:rPr>
        <w:t>for</w:t>
      </w:r>
      <w:r>
        <w:rPr>
          <w:b/>
          <w:color w:val="67287F"/>
          <w:spacing w:val="-6"/>
          <w:sz w:val="28"/>
        </w:rPr>
        <w:t> </w:t>
      </w:r>
      <w:r>
        <w:rPr>
          <w:b/>
          <w:color w:val="67287F"/>
          <w:sz w:val="28"/>
        </w:rPr>
        <w:t>people</w:t>
      </w:r>
      <w:r>
        <w:rPr>
          <w:b/>
          <w:color w:val="67287F"/>
          <w:spacing w:val="-5"/>
          <w:sz w:val="28"/>
        </w:rPr>
        <w:t> </w:t>
      </w:r>
      <w:r>
        <w:rPr>
          <w:b/>
          <w:color w:val="67287F"/>
          <w:sz w:val="28"/>
        </w:rPr>
        <w:t>with</w:t>
      </w:r>
      <w:r>
        <w:rPr>
          <w:b/>
          <w:color w:val="67287F"/>
          <w:spacing w:val="-6"/>
          <w:sz w:val="28"/>
        </w:rPr>
        <w:t> </w:t>
      </w:r>
      <w:r>
        <w:rPr>
          <w:b/>
          <w:color w:val="67287F"/>
          <w:sz w:val="28"/>
        </w:rPr>
        <w:t>disabilities</w:t>
      </w:r>
      <w:r>
        <w:rPr>
          <w:b/>
          <w:color w:val="67287F"/>
          <w:spacing w:val="-6"/>
          <w:sz w:val="28"/>
        </w:rPr>
        <w:t> </w:t>
      </w:r>
      <w:r>
        <w:rPr>
          <w:b/>
          <w:color w:val="67287F"/>
          <w:sz w:val="28"/>
        </w:rPr>
        <w:t>and</w:t>
      </w:r>
      <w:r>
        <w:rPr>
          <w:b/>
          <w:color w:val="67287F"/>
          <w:spacing w:val="-6"/>
          <w:sz w:val="28"/>
        </w:rPr>
        <w:t> </w:t>
      </w:r>
      <w:r>
        <w:rPr>
          <w:b/>
          <w:color w:val="67287F"/>
          <w:sz w:val="28"/>
        </w:rPr>
        <w:t>older</w:t>
      </w:r>
      <w:r>
        <w:rPr>
          <w:b/>
          <w:color w:val="67287F"/>
          <w:spacing w:val="-5"/>
          <w:sz w:val="28"/>
        </w:rPr>
        <w:t> </w:t>
      </w:r>
      <w:r>
        <w:rPr>
          <w:b/>
          <w:color w:val="67287F"/>
          <w:sz w:val="28"/>
        </w:rPr>
        <w:t>people</w:t>
      </w:r>
      <w:r>
        <w:rPr>
          <w:b/>
          <w:color w:val="67287F"/>
          <w:spacing w:val="-5"/>
          <w:sz w:val="28"/>
        </w:rPr>
        <w:t> </w:t>
      </w:r>
      <w:r>
        <w:rPr>
          <w:b/>
          <w:color w:val="67287F"/>
          <w:sz w:val="28"/>
        </w:rPr>
        <w:t>and</w:t>
      </w:r>
      <w:r>
        <w:rPr>
          <w:b/>
          <w:color w:val="67287F"/>
          <w:spacing w:val="-6"/>
          <w:sz w:val="28"/>
        </w:rPr>
        <w:t> </w:t>
      </w:r>
      <w:r>
        <w:rPr>
          <w:b/>
          <w:color w:val="67287F"/>
          <w:sz w:val="28"/>
        </w:rPr>
        <w:t>aligns with international human rights standards and best practice.</w:t>
      </w:r>
    </w:p>
    <w:p>
      <w:pPr>
        <w:pStyle w:val="Heading5"/>
        <w:spacing w:before="296"/>
        <w:ind w:left="1133" w:firstLine="0"/>
      </w:pPr>
      <w:bookmarkStart w:name="Discrimination on Grounds of Sexual Orie" w:id="46"/>
      <w:bookmarkEnd w:id="46"/>
      <w:r>
        <w:rPr>
          <w:b w:val="0"/>
        </w:rPr>
      </w:r>
      <w:r>
        <w:rPr>
          <w:color w:val="393B7F"/>
        </w:rPr>
        <w:t>Discrimination</w:t>
      </w:r>
      <w:r>
        <w:rPr>
          <w:color w:val="393B7F"/>
          <w:spacing w:val="-5"/>
        </w:rPr>
        <w:t> </w:t>
      </w:r>
      <w:r>
        <w:rPr>
          <w:color w:val="393B7F"/>
        </w:rPr>
        <w:t>on</w:t>
      </w:r>
      <w:r>
        <w:rPr>
          <w:color w:val="393B7F"/>
          <w:spacing w:val="-5"/>
        </w:rPr>
        <w:t> </w:t>
      </w:r>
      <w:r>
        <w:rPr>
          <w:color w:val="393B7F"/>
        </w:rPr>
        <w:t>Grounds</w:t>
      </w:r>
      <w:r>
        <w:rPr>
          <w:color w:val="393B7F"/>
          <w:spacing w:val="-4"/>
        </w:rPr>
        <w:t> </w:t>
      </w:r>
      <w:r>
        <w:rPr>
          <w:color w:val="393B7F"/>
        </w:rPr>
        <w:t>of</w:t>
      </w:r>
      <w:r>
        <w:rPr>
          <w:color w:val="393B7F"/>
          <w:spacing w:val="-6"/>
        </w:rPr>
        <w:t> </w:t>
      </w:r>
      <w:r>
        <w:rPr>
          <w:color w:val="393B7F"/>
        </w:rPr>
        <w:t>Sexual</w:t>
      </w:r>
      <w:r>
        <w:rPr>
          <w:color w:val="393B7F"/>
          <w:spacing w:val="-4"/>
        </w:rPr>
        <w:t> </w:t>
      </w:r>
      <w:r>
        <w:rPr>
          <w:color w:val="393B7F"/>
          <w:spacing w:val="-2"/>
        </w:rPr>
        <w:t>Orientation</w:t>
      </w:r>
    </w:p>
    <w:p>
      <w:pPr>
        <w:pStyle w:val="ListParagraph"/>
        <w:numPr>
          <w:ilvl w:val="1"/>
          <w:numId w:val="7"/>
        </w:numPr>
        <w:tabs>
          <w:tab w:pos="1853" w:val="left" w:leader="none"/>
        </w:tabs>
        <w:spacing w:line="225" w:lineRule="auto" w:before="330" w:after="0"/>
        <w:ind w:left="1853" w:right="1320" w:hanging="720"/>
        <w:jc w:val="left"/>
        <w:rPr>
          <w:sz w:val="28"/>
        </w:rPr>
      </w:pPr>
      <w:r>
        <w:rPr>
          <w:sz w:val="28"/>
        </w:rPr>
        <w:t>Windsor</w:t>
      </w:r>
      <w:r>
        <w:rPr>
          <w:spacing w:val="-5"/>
          <w:sz w:val="28"/>
        </w:rPr>
        <w:t> </w:t>
      </w:r>
      <w:r>
        <w:rPr>
          <w:sz w:val="28"/>
        </w:rPr>
        <w:t>Framework</w:t>
      </w:r>
      <w:r>
        <w:rPr>
          <w:spacing w:val="-5"/>
          <w:sz w:val="28"/>
        </w:rPr>
        <w:t> </w:t>
      </w:r>
      <w:r>
        <w:rPr>
          <w:sz w:val="28"/>
        </w:rPr>
        <w:t>Articles</w:t>
      </w:r>
      <w:r>
        <w:rPr>
          <w:spacing w:val="-6"/>
          <w:sz w:val="28"/>
        </w:rPr>
        <w:t> </w:t>
      </w:r>
      <w:r>
        <w:rPr>
          <w:sz w:val="28"/>
        </w:rPr>
        <w:t>2</w:t>
      </w:r>
      <w:r>
        <w:rPr>
          <w:spacing w:val="-5"/>
          <w:sz w:val="28"/>
        </w:rPr>
        <w:t> </w:t>
      </w:r>
      <w:r>
        <w:rPr>
          <w:sz w:val="28"/>
        </w:rPr>
        <w:t>and</w:t>
      </w:r>
      <w:r>
        <w:rPr>
          <w:spacing w:val="-6"/>
          <w:sz w:val="28"/>
        </w:rPr>
        <w:t> </w:t>
      </w:r>
      <w:r>
        <w:rPr>
          <w:sz w:val="28"/>
        </w:rPr>
        <w:t>13</w:t>
      </w:r>
      <w:r>
        <w:rPr>
          <w:spacing w:val="-5"/>
          <w:sz w:val="28"/>
        </w:rPr>
        <w:t> </w:t>
      </w:r>
      <w:r>
        <w:rPr>
          <w:sz w:val="28"/>
        </w:rPr>
        <w:t>require</w:t>
      </w:r>
      <w:r>
        <w:rPr>
          <w:spacing w:val="-5"/>
          <w:sz w:val="28"/>
        </w:rPr>
        <w:t> </w:t>
      </w:r>
      <w:r>
        <w:rPr>
          <w:sz w:val="28"/>
        </w:rPr>
        <w:t>the</w:t>
      </w:r>
      <w:r>
        <w:rPr>
          <w:spacing w:val="-5"/>
          <w:sz w:val="28"/>
        </w:rPr>
        <w:t> </w:t>
      </w:r>
      <w:r>
        <w:rPr>
          <w:sz w:val="28"/>
        </w:rPr>
        <w:t>law</w:t>
      </w:r>
      <w:r>
        <w:rPr>
          <w:spacing w:val="-5"/>
          <w:sz w:val="28"/>
        </w:rPr>
        <w:t> </w:t>
      </w:r>
      <w:r>
        <w:rPr>
          <w:sz w:val="28"/>
        </w:rPr>
        <w:t>in</w:t>
      </w:r>
      <w:r>
        <w:rPr>
          <w:spacing w:val="-6"/>
          <w:sz w:val="28"/>
        </w:rPr>
        <w:t> </w:t>
      </w:r>
      <w:r>
        <w:rPr>
          <w:sz w:val="28"/>
        </w:rPr>
        <w:t>NI</w:t>
      </w:r>
      <w:r>
        <w:rPr>
          <w:spacing w:val="-5"/>
          <w:sz w:val="28"/>
        </w:rPr>
        <w:t> </w:t>
      </w:r>
      <w:r>
        <w:rPr>
          <w:sz w:val="28"/>
        </w:rPr>
        <w:t>to</w:t>
      </w:r>
      <w:r>
        <w:rPr>
          <w:spacing w:val="-6"/>
          <w:sz w:val="28"/>
        </w:rPr>
        <w:t> </w:t>
      </w:r>
      <w:r>
        <w:rPr>
          <w:sz w:val="28"/>
        </w:rPr>
        <w:t>keep</w:t>
      </w:r>
      <w:r>
        <w:rPr>
          <w:spacing w:val="-6"/>
          <w:sz w:val="28"/>
        </w:rPr>
        <w:t> </w:t>
      </w:r>
      <w:r>
        <w:rPr>
          <w:sz w:val="28"/>
        </w:rPr>
        <w:t>pace</w:t>
      </w:r>
      <w:r>
        <w:rPr>
          <w:spacing w:val="-5"/>
          <w:sz w:val="28"/>
        </w:rPr>
        <w:t> </w:t>
      </w:r>
      <w:r>
        <w:rPr>
          <w:sz w:val="28"/>
        </w:rPr>
        <w:t>with any improvements to minimum standards of equality protection enshrined</w:t>
      </w:r>
      <w:r>
        <w:rPr>
          <w:sz w:val="28"/>
        </w:rPr>
        <w:t> in six EU directives listed in Annex 1 to the Windsor Framework, including the </w:t>
      </w:r>
      <w:r>
        <w:rPr>
          <w:b/>
          <w:color w:val="393B7F"/>
          <w:sz w:val="28"/>
        </w:rPr>
        <w:t>EU Employment Equality (Framework) Directive </w:t>
      </w:r>
      <w:r>
        <w:rPr>
          <w:sz w:val="28"/>
        </w:rPr>
        <w:t>which protects against discrimination on the grounds of sexual orientation in employment and vocational training.</w:t>
      </w:r>
      <w:r>
        <w:rPr>
          <w:sz w:val="28"/>
          <w:vertAlign w:val="superscript"/>
        </w:rPr>
        <w:t>240</w:t>
      </w:r>
      <w:r>
        <w:rPr>
          <w:sz w:val="28"/>
          <w:vertAlign w:val="baseline"/>
        </w:rPr>
        <w:t> The obligation also requires compliance with current and future CJEU case-law.</w:t>
      </w:r>
    </w:p>
    <w:p>
      <w:pPr>
        <w:pStyle w:val="ListParagraph"/>
        <w:numPr>
          <w:ilvl w:val="1"/>
          <w:numId w:val="7"/>
        </w:numPr>
        <w:tabs>
          <w:tab w:pos="1853" w:val="left" w:leader="none"/>
        </w:tabs>
        <w:spacing w:line="225" w:lineRule="auto" w:before="311" w:after="0"/>
        <w:ind w:left="1853" w:right="1463" w:hanging="720"/>
        <w:jc w:val="left"/>
        <w:rPr>
          <w:sz w:val="28"/>
        </w:rPr>
      </w:pPr>
      <w:r>
        <w:rPr>
          <w:sz w:val="28"/>
        </w:rPr>
        <w:t>As noted above, in 2022, the EU Commission published proposals for two EU</w:t>
      </w:r>
      <w:r>
        <w:rPr>
          <w:spacing w:val="-9"/>
          <w:sz w:val="28"/>
        </w:rPr>
        <w:t> </w:t>
      </w:r>
      <w:r>
        <w:rPr>
          <w:sz w:val="28"/>
        </w:rPr>
        <w:t>directives</w:t>
      </w:r>
      <w:r>
        <w:rPr>
          <w:spacing w:val="-10"/>
          <w:sz w:val="28"/>
        </w:rPr>
        <w:t> </w:t>
      </w:r>
      <w:r>
        <w:rPr>
          <w:sz w:val="28"/>
        </w:rPr>
        <w:t>on</w:t>
      </w:r>
      <w:r>
        <w:rPr>
          <w:spacing w:val="-10"/>
          <w:sz w:val="28"/>
        </w:rPr>
        <w:t> </w:t>
      </w:r>
      <w:r>
        <w:rPr>
          <w:sz w:val="28"/>
        </w:rPr>
        <w:t>standards</w:t>
      </w:r>
      <w:r>
        <w:rPr>
          <w:spacing w:val="-10"/>
          <w:sz w:val="28"/>
        </w:rPr>
        <w:t> </w:t>
      </w:r>
      <w:r>
        <w:rPr>
          <w:sz w:val="28"/>
        </w:rPr>
        <w:t>for</w:t>
      </w:r>
      <w:r>
        <w:rPr>
          <w:spacing w:val="-9"/>
          <w:sz w:val="28"/>
        </w:rPr>
        <w:t> </w:t>
      </w:r>
      <w:r>
        <w:rPr>
          <w:sz w:val="28"/>
        </w:rPr>
        <w:t>equality</w:t>
      </w:r>
      <w:r>
        <w:rPr>
          <w:spacing w:val="-9"/>
          <w:sz w:val="28"/>
        </w:rPr>
        <w:t> </w:t>
      </w:r>
      <w:r>
        <w:rPr>
          <w:sz w:val="28"/>
        </w:rPr>
        <w:t>bodies.</w:t>
      </w:r>
      <w:r>
        <w:rPr>
          <w:sz w:val="28"/>
          <w:vertAlign w:val="superscript"/>
        </w:rPr>
        <w:t>241</w:t>
      </w:r>
      <w:r>
        <w:rPr>
          <w:spacing w:val="-10"/>
          <w:sz w:val="28"/>
          <w:vertAlign w:val="baseline"/>
        </w:rPr>
        <w:t> </w:t>
      </w:r>
      <w:r>
        <w:rPr>
          <w:sz w:val="28"/>
          <w:vertAlign w:val="baseline"/>
        </w:rPr>
        <w:t>The</w:t>
      </w:r>
      <w:r>
        <w:rPr>
          <w:spacing w:val="-9"/>
          <w:sz w:val="28"/>
          <w:vertAlign w:val="baseline"/>
        </w:rPr>
        <w:t> </w:t>
      </w:r>
      <w:r>
        <w:rPr>
          <w:sz w:val="28"/>
          <w:vertAlign w:val="baseline"/>
        </w:rPr>
        <w:t>Commissions</w:t>
      </w:r>
      <w:r>
        <w:rPr>
          <w:spacing w:val="-10"/>
          <w:sz w:val="28"/>
          <w:vertAlign w:val="baseline"/>
        </w:rPr>
        <w:t> </w:t>
      </w:r>
      <w:r>
        <w:rPr>
          <w:sz w:val="28"/>
          <w:vertAlign w:val="baseline"/>
        </w:rPr>
        <w:t>consider</w:t>
      </w:r>
    </w:p>
    <w:p>
      <w:pPr>
        <w:pStyle w:val="BodyText"/>
        <w:spacing w:before="8"/>
        <w:rPr>
          <w:sz w:val="16"/>
        </w:rPr>
      </w:pPr>
      <w:r>
        <w:rPr/>
        <mc:AlternateContent>
          <mc:Choice Requires="wps">
            <w:drawing>
              <wp:anchor distT="0" distB="0" distL="0" distR="0" allowOverlap="1" layoutInCell="1" locked="0" behindDoc="1" simplePos="0" relativeHeight="487653376">
                <wp:simplePos x="0" y="0"/>
                <wp:positionH relativeFrom="page">
                  <wp:posOffset>719996</wp:posOffset>
                </wp:positionH>
                <wp:positionV relativeFrom="paragraph">
                  <wp:posOffset>144579</wp:posOffset>
                </wp:positionV>
                <wp:extent cx="6120130" cy="1270"/>
                <wp:effectExtent l="0" t="0" r="0" b="0"/>
                <wp:wrapTopAndBottom/>
                <wp:docPr id="250" name="Graphic 250"/>
                <wp:cNvGraphicFramePr>
                  <a:graphicFrameLocks/>
                </wp:cNvGraphicFramePr>
                <a:graphic>
                  <a:graphicData uri="http://schemas.microsoft.com/office/word/2010/wordprocessingShape">
                    <wps:wsp>
                      <wps:cNvPr id="250" name="Graphic 25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1.384225pt;width:481.9pt;height:.1pt;mso-position-horizontal-relative:page;mso-position-vertical-relative:paragraph;z-index:-15663104;mso-wrap-distance-left:0;mso-wrap-distance-right:0" id="docshape204" coordorigin="1134,228" coordsize="9638,0" path="m10772,228l1134,228e" filled="false" stroked="true" strokeweight="1pt" strokecolor="#393b80">
                <v:path arrowok="t"/>
                <v:stroke dashstyle="solid"/>
                <w10:wrap type="topAndBottom"/>
              </v:shape>
            </w:pict>
          </mc:Fallback>
        </mc:AlternateContent>
      </w:r>
    </w:p>
    <w:p>
      <w:pPr>
        <w:pStyle w:val="ListParagraph"/>
        <w:numPr>
          <w:ilvl w:val="0"/>
          <w:numId w:val="3"/>
        </w:numPr>
        <w:tabs>
          <w:tab w:pos="1853" w:val="left" w:leader="none"/>
        </w:tabs>
        <w:spacing w:line="235" w:lineRule="auto" w:before="146" w:after="0"/>
        <w:ind w:left="1853" w:right="1201" w:hanging="720"/>
        <w:jc w:val="left"/>
        <w:rPr>
          <w:sz w:val="18"/>
        </w:rPr>
      </w:pPr>
      <w:r>
        <w:rPr>
          <w:sz w:val="18"/>
        </w:rPr>
        <w:t>Directive 2000/78/EC, ‘EU Council Directive on Establishing a General Framework for Equal Treatment in Employment</w:t>
      </w:r>
      <w:r>
        <w:rPr>
          <w:sz w:val="18"/>
        </w:rPr>
        <w:t> and Occupation’, 27 November 2000.</w:t>
      </w:r>
      <w:r>
        <w:rPr>
          <w:spacing w:val="40"/>
          <w:sz w:val="18"/>
        </w:rPr>
        <w:t> </w:t>
      </w:r>
      <w:r>
        <w:rPr>
          <w:sz w:val="18"/>
        </w:rPr>
        <w:t>Pursuant to Article 13, Windsor Framework, NI equality law must keep pace with any</w:t>
      </w:r>
      <w:r>
        <w:rPr>
          <w:spacing w:val="-3"/>
          <w:sz w:val="18"/>
        </w:rPr>
        <w:t> </w:t>
      </w:r>
      <w:r>
        <w:rPr>
          <w:sz w:val="18"/>
        </w:rPr>
        <w:t>enhancements</w:t>
      </w:r>
      <w:r>
        <w:rPr>
          <w:spacing w:val="-4"/>
          <w:sz w:val="18"/>
        </w:rPr>
        <w:t> </w:t>
      </w:r>
      <w:r>
        <w:rPr>
          <w:sz w:val="18"/>
        </w:rPr>
        <w:t>made</w:t>
      </w:r>
      <w:r>
        <w:rPr>
          <w:spacing w:val="-3"/>
          <w:sz w:val="18"/>
        </w:rPr>
        <w:t> </w:t>
      </w:r>
      <w:r>
        <w:rPr>
          <w:sz w:val="18"/>
        </w:rPr>
        <w:t>by</w:t>
      </w:r>
      <w:r>
        <w:rPr>
          <w:spacing w:val="-3"/>
          <w:sz w:val="18"/>
        </w:rPr>
        <w:t> </w:t>
      </w:r>
      <w:r>
        <w:rPr>
          <w:sz w:val="18"/>
        </w:rPr>
        <w:t>the</w:t>
      </w:r>
      <w:r>
        <w:rPr>
          <w:spacing w:val="-3"/>
          <w:sz w:val="18"/>
        </w:rPr>
        <w:t> </w:t>
      </w:r>
      <w:r>
        <w:rPr>
          <w:sz w:val="18"/>
        </w:rPr>
        <w:t>EU</w:t>
      </w:r>
      <w:r>
        <w:rPr>
          <w:spacing w:val="-3"/>
          <w:sz w:val="18"/>
        </w:rPr>
        <w:t> </w:t>
      </w:r>
      <w:r>
        <w:rPr>
          <w:sz w:val="18"/>
        </w:rPr>
        <w:t>to</w:t>
      </w:r>
      <w:r>
        <w:rPr>
          <w:spacing w:val="-4"/>
          <w:sz w:val="18"/>
        </w:rPr>
        <w:t> </w:t>
      </w:r>
      <w:r>
        <w:rPr>
          <w:sz w:val="18"/>
        </w:rPr>
        <w:t>the</w:t>
      </w:r>
      <w:r>
        <w:rPr>
          <w:spacing w:val="-3"/>
          <w:sz w:val="18"/>
        </w:rPr>
        <w:t> </w:t>
      </w:r>
      <w:r>
        <w:rPr>
          <w:sz w:val="18"/>
        </w:rPr>
        <w:t>six</w:t>
      </w:r>
      <w:r>
        <w:rPr>
          <w:spacing w:val="-4"/>
          <w:sz w:val="18"/>
        </w:rPr>
        <w:t> </w:t>
      </w:r>
      <w:r>
        <w:rPr>
          <w:sz w:val="18"/>
        </w:rPr>
        <w:t>Annex</w:t>
      </w:r>
      <w:r>
        <w:rPr>
          <w:spacing w:val="-4"/>
          <w:sz w:val="18"/>
        </w:rPr>
        <w:t> </w:t>
      </w:r>
      <w:r>
        <w:rPr>
          <w:sz w:val="18"/>
        </w:rPr>
        <w:t>1</w:t>
      </w:r>
      <w:r>
        <w:rPr>
          <w:spacing w:val="-3"/>
          <w:sz w:val="18"/>
        </w:rPr>
        <w:t> </w:t>
      </w:r>
      <w:r>
        <w:rPr>
          <w:sz w:val="18"/>
        </w:rPr>
        <w:t>directives,</w:t>
      </w:r>
      <w:r>
        <w:rPr>
          <w:spacing w:val="-3"/>
          <w:sz w:val="18"/>
        </w:rPr>
        <w:t> </w:t>
      </w:r>
      <w:r>
        <w:rPr>
          <w:sz w:val="18"/>
        </w:rPr>
        <w:t>on</w:t>
      </w:r>
      <w:r>
        <w:rPr>
          <w:spacing w:val="-4"/>
          <w:sz w:val="18"/>
        </w:rPr>
        <w:t> </w:t>
      </w:r>
      <w:r>
        <w:rPr>
          <w:sz w:val="18"/>
        </w:rPr>
        <w:t>or</w:t>
      </w:r>
      <w:r>
        <w:rPr>
          <w:spacing w:val="-3"/>
          <w:sz w:val="18"/>
        </w:rPr>
        <w:t> </w:t>
      </w:r>
      <w:r>
        <w:rPr>
          <w:sz w:val="18"/>
        </w:rPr>
        <w:t>after</w:t>
      </w:r>
      <w:r>
        <w:rPr>
          <w:spacing w:val="-3"/>
          <w:sz w:val="18"/>
        </w:rPr>
        <w:t> </w:t>
      </w:r>
      <w:r>
        <w:rPr>
          <w:sz w:val="18"/>
        </w:rPr>
        <w:t>1</w:t>
      </w:r>
      <w:r>
        <w:rPr>
          <w:spacing w:val="-3"/>
          <w:sz w:val="18"/>
        </w:rPr>
        <w:t> </w:t>
      </w:r>
      <w:r>
        <w:rPr>
          <w:sz w:val="18"/>
        </w:rPr>
        <w:t>January</w:t>
      </w:r>
      <w:r>
        <w:rPr>
          <w:spacing w:val="-3"/>
          <w:sz w:val="18"/>
        </w:rPr>
        <w:t> </w:t>
      </w:r>
      <w:r>
        <w:rPr>
          <w:sz w:val="18"/>
        </w:rPr>
        <w:t>2021,</w:t>
      </w:r>
      <w:r>
        <w:rPr>
          <w:spacing w:val="-3"/>
          <w:sz w:val="18"/>
        </w:rPr>
        <w:t> </w:t>
      </w:r>
      <w:r>
        <w:rPr>
          <w:sz w:val="18"/>
        </w:rPr>
        <w:t>including</w:t>
      </w:r>
      <w:r>
        <w:rPr>
          <w:spacing w:val="-3"/>
          <w:sz w:val="18"/>
        </w:rPr>
        <w:t> </w:t>
      </w:r>
      <w:r>
        <w:rPr>
          <w:sz w:val="18"/>
        </w:rPr>
        <w:t>monitoring</w:t>
      </w:r>
      <w:r>
        <w:rPr>
          <w:spacing w:val="-3"/>
          <w:sz w:val="18"/>
        </w:rPr>
        <w:t> </w:t>
      </w:r>
      <w:r>
        <w:rPr>
          <w:sz w:val="18"/>
        </w:rPr>
        <w:t>current and future CJEU case law.</w:t>
      </w:r>
    </w:p>
    <w:p>
      <w:pPr>
        <w:pStyle w:val="ListParagraph"/>
        <w:numPr>
          <w:ilvl w:val="0"/>
          <w:numId w:val="3"/>
        </w:numPr>
        <w:tabs>
          <w:tab w:pos="1853" w:val="left" w:leader="none"/>
        </w:tabs>
        <w:spacing w:line="235" w:lineRule="auto" w:before="3" w:after="0"/>
        <w:ind w:left="1853" w:right="1875" w:hanging="720"/>
        <w:jc w:val="left"/>
        <w:rPr>
          <w:sz w:val="18"/>
        </w:rPr>
      </w:pPr>
      <w:r>
        <w:rPr>
          <w:sz w:val="18"/>
        </w:rPr>
        <w:t>See</w:t>
      </w:r>
      <w:r>
        <w:rPr>
          <w:spacing w:val="-4"/>
          <w:sz w:val="18"/>
        </w:rPr>
        <w:t> </w:t>
      </w:r>
      <w:r>
        <w:rPr>
          <w:sz w:val="18"/>
        </w:rPr>
        <w:t>section</w:t>
      </w:r>
      <w:r>
        <w:rPr>
          <w:spacing w:val="-5"/>
          <w:sz w:val="18"/>
        </w:rPr>
        <w:t> </w:t>
      </w:r>
      <w:r>
        <w:rPr>
          <w:sz w:val="18"/>
        </w:rPr>
        <w:t>on</w:t>
      </w:r>
      <w:r>
        <w:rPr>
          <w:spacing w:val="-5"/>
          <w:sz w:val="18"/>
        </w:rPr>
        <w:t> </w:t>
      </w:r>
      <w:r>
        <w:rPr>
          <w:sz w:val="18"/>
        </w:rPr>
        <w:t>Binding</w:t>
      </w:r>
      <w:r>
        <w:rPr>
          <w:spacing w:val="-4"/>
          <w:sz w:val="18"/>
        </w:rPr>
        <w:t> </w:t>
      </w:r>
      <w:r>
        <w:rPr>
          <w:sz w:val="18"/>
        </w:rPr>
        <w:t>Standards</w:t>
      </w:r>
      <w:r>
        <w:rPr>
          <w:spacing w:val="-5"/>
          <w:sz w:val="18"/>
        </w:rPr>
        <w:t> </w:t>
      </w:r>
      <w:r>
        <w:rPr>
          <w:sz w:val="18"/>
        </w:rPr>
        <w:t>for</w:t>
      </w:r>
      <w:r>
        <w:rPr>
          <w:spacing w:val="-4"/>
          <w:sz w:val="18"/>
        </w:rPr>
        <w:t> </w:t>
      </w:r>
      <w:r>
        <w:rPr>
          <w:sz w:val="18"/>
        </w:rPr>
        <w:t>Equality</w:t>
      </w:r>
      <w:r>
        <w:rPr>
          <w:spacing w:val="-4"/>
          <w:sz w:val="18"/>
        </w:rPr>
        <w:t> </w:t>
      </w:r>
      <w:r>
        <w:rPr>
          <w:sz w:val="18"/>
        </w:rPr>
        <w:t>Bodies</w:t>
      </w:r>
      <w:r>
        <w:rPr>
          <w:spacing w:val="-5"/>
          <w:sz w:val="18"/>
        </w:rPr>
        <w:t> </w:t>
      </w:r>
      <w:r>
        <w:rPr>
          <w:sz w:val="18"/>
        </w:rPr>
        <w:t>in</w:t>
      </w:r>
      <w:r>
        <w:rPr>
          <w:spacing w:val="-5"/>
          <w:sz w:val="18"/>
        </w:rPr>
        <w:t> </w:t>
      </w:r>
      <w:r>
        <w:rPr>
          <w:sz w:val="18"/>
        </w:rPr>
        <w:t>this</w:t>
      </w:r>
      <w:r>
        <w:rPr>
          <w:spacing w:val="-5"/>
          <w:sz w:val="18"/>
        </w:rPr>
        <w:t> </w:t>
      </w:r>
      <w:r>
        <w:rPr>
          <w:sz w:val="18"/>
        </w:rPr>
        <w:t>chapter.</w:t>
      </w:r>
      <w:r>
        <w:rPr>
          <w:spacing w:val="-5"/>
          <w:sz w:val="18"/>
        </w:rPr>
        <w:t> </w:t>
      </w:r>
      <w:r>
        <w:rPr>
          <w:sz w:val="18"/>
        </w:rPr>
        <w:t>EU</w:t>
      </w:r>
      <w:r>
        <w:rPr>
          <w:spacing w:val="-4"/>
          <w:sz w:val="18"/>
        </w:rPr>
        <w:t> </w:t>
      </w:r>
      <w:r>
        <w:rPr>
          <w:sz w:val="18"/>
        </w:rPr>
        <w:t>Commission,</w:t>
      </w:r>
      <w:r>
        <w:rPr>
          <w:spacing w:val="-4"/>
          <w:sz w:val="18"/>
        </w:rPr>
        <w:t> </w:t>
      </w:r>
      <w:r>
        <w:rPr>
          <w:sz w:val="18"/>
        </w:rPr>
        <w:t>‘Proposal</w:t>
      </w:r>
      <w:r>
        <w:rPr>
          <w:spacing w:val="-5"/>
          <w:sz w:val="18"/>
        </w:rPr>
        <w:t> </w:t>
      </w:r>
      <w:r>
        <w:rPr>
          <w:sz w:val="18"/>
        </w:rPr>
        <w:t>for</w:t>
      </w:r>
      <w:r>
        <w:rPr>
          <w:spacing w:val="-4"/>
          <w:sz w:val="18"/>
        </w:rPr>
        <w:t> </w:t>
      </w:r>
      <w:r>
        <w:rPr>
          <w:sz w:val="18"/>
        </w:rPr>
        <w:t>a</w:t>
      </w:r>
      <w:r>
        <w:rPr>
          <w:spacing w:val="-5"/>
          <w:sz w:val="18"/>
        </w:rPr>
        <w:t> </w:t>
      </w:r>
      <w:r>
        <w:rPr>
          <w:sz w:val="18"/>
        </w:rPr>
        <w:t>Directive</w:t>
      </w:r>
      <w:r>
        <w:rPr>
          <w:spacing w:val="-4"/>
          <w:sz w:val="18"/>
        </w:rPr>
        <w:t> </w:t>
      </w:r>
      <w:r>
        <w:rPr>
          <w:sz w:val="18"/>
        </w:rPr>
        <w:t>on Standards for Equality Bodies in the Field of Equal Treatment and Equal Opportunities between Women and</w:t>
      </w:r>
      <w:r>
        <w:rPr>
          <w:sz w:val="18"/>
        </w:rPr>
        <w:t> Men in Matters of Employment and Occupation, and Deleting Article 20 of Directive 2006/54/EC and Article 11 of Directive 2010/41/EU - COM(2022) 688’ (EU Commission, 2022); EU Commission, ‘Proposal for a Directive</w:t>
      </w:r>
    </w:p>
    <w:p>
      <w:pPr>
        <w:spacing w:line="235" w:lineRule="auto" w:before="3"/>
        <w:ind w:left="1853" w:right="1667" w:firstLine="0"/>
        <w:jc w:val="left"/>
        <w:rPr>
          <w:sz w:val="18"/>
        </w:rPr>
      </w:pPr>
      <w:r>
        <w:rPr>
          <w:sz w:val="18"/>
        </w:rPr>
        <w:t>on Standards for Equality Bodies in the Field of Equal Treatment between Persons Irrespective of their Racial or Ethnic</w:t>
      </w:r>
      <w:r>
        <w:rPr>
          <w:spacing w:val="-5"/>
          <w:sz w:val="18"/>
        </w:rPr>
        <w:t> </w:t>
      </w:r>
      <w:r>
        <w:rPr>
          <w:sz w:val="18"/>
        </w:rPr>
        <w:t>Origin,</w:t>
      </w:r>
      <w:r>
        <w:rPr>
          <w:spacing w:val="-5"/>
          <w:sz w:val="18"/>
        </w:rPr>
        <w:t> </w:t>
      </w:r>
      <w:r>
        <w:rPr>
          <w:sz w:val="18"/>
        </w:rPr>
        <w:t>Equal</w:t>
      </w:r>
      <w:r>
        <w:rPr>
          <w:spacing w:val="-6"/>
          <w:sz w:val="18"/>
        </w:rPr>
        <w:t> </w:t>
      </w:r>
      <w:r>
        <w:rPr>
          <w:sz w:val="18"/>
        </w:rPr>
        <w:t>Treatment</w:t>
      </w:r>
      <w:r>
        <w:rPr>
          <w:spacing w:val="-5"/>
          <w:sz w:val="18"/>
        </w:rPr>
        <w:t> </w:t>
      </w:r>
      <w:r>
        <w:rPr>
          <w:sz w:val="18"/>
        </w:rPr>
        <w:t>in</w:t>
      </w:r>
      <w:r>
        <w:rPr>
          <w:spacing w:val="-6"/>
          <w:sz w:val="18"/>
        </w:rPr>
        <w:t> </w:t>
      </w:r>
      <w:r>
        <w:rPr>
          <w:sz w:val="18"/>
        </w:rPr>
        <w:t>the</w:t>
      </w:r>
      <w:r>
        <w:rPr>
          <w:spacing w:val="-5"/>
          <w:sz w:val="18"/>
        </w:rPr>
        <w:t> </w:t>
      </w:r>
      <w:r>
        <w:rPr>
          <w:sz w:val="18"/>
        </w:rPr>
        <w:t>Field</w:t>
      </w:r>
      <w:r>
        <w:rPr>
          <w:spacing w:val="-6"/>
          <w:sz w:val="18"/>
        </w:rPr>
        <w:t> </w:t>
      </w:r>
      <w:r>
        <w:rPr>
          <w:sz w:val="18"/>
        </w:rPr>
        <w:t>of</w:t>
      </w:r>
      <w:r>
        <w:rPr>
          <w:spacing w:val="-6"/>
          <w:sz w:val="18"/>
        </w:rPr>
        <w:t> </w:t>
      </w:r>
      <w:r>
        <w:rPr>
          <w:sz w:val="18"/>
        </w:rPr>
        <w:t>Employment</w:t>
      </w:r>
      <w:r>
        <w:rPr>
          <w:spacing w:val="-5"/>
          <w:sz w:val="18"/>
        </w:rPr>
        <w:t> </w:t>
      </w:r>
      <w:r>
        <w:rPr>
          <w:sz w:val="18"/>
        </w:rPr>
        <w:t>and</w:t>
      </w:r>
      <w:r>
        <w:rPr>
          <w:spacing w:val="-6"/>
          <w:sz w:val="18"/>
        </w:rPr>
        <w:t> </w:t>
      </w:r>
      <w:r>
        <w:rPr>
          <w:sz w:val="18"/>
        </w:rPr>
        <w:t>Occupation</w:t>
      </w:r>
      <w:r>
        <w:rPr>
          <w:spacing w:val="-6"/>
          <w:sz w:val="18"/>
        </w:rPr>
        <w:t> </w:t>
      </w:r>
      <w:r>
        <w:rPr>
          <w:sz w:val="18"/>
        </w:rPr>
        <w:t>Between</w:t>
      </w:r>
      <w:r>
        <w:rPr>
          <w:spacing w:val="-6"/>
          <w:sz w:val="18"/>
        </w:rPr>
        <w:t> </w:t>
      </w:r>
      <w:r>
        <w:rPr>
          <w:sz w:val="18"/>
        </w:rPr>
        <w:t>Persons</w:t>
      </w:r>
      <w:r>
        <w:rPr>
          <w:spacing w:val="-6"/>
          <w:sz w:val="18"/>
        </w:rPr>
        <w:t> </w:t>
      </w:r>
      <w:r>
        <w:rPr>
          <w:sz w:val="18"/>
        </w:rPr>
        <w:t>Irrespective</w:t>
      </w:r>
      <w:r>
        <w:rPr>
          <w:spacing w:val="-5"/>
          <w:sz w:val="18"/>
        </w:rPr>
        <w:t> </w:t>
      </w:r>
      <w:r>
        <w:rPr>
          <w:sz w:val="18"/>
        </w:rPr>
        <w:t>of</w:t>
      </w:r>
      <w:r>
        <w:rPr>
          <w:spacing w:val="-6"/>
          <w:sz w:val="18"/>
        </w:rPr>
        <w:t> </w:t>
      </w:r>
      <w:r>
        <w:rPr>
          <w:sz w:val="18"/>
        </w:rPr>
        <w:t>their</w:t>
      </w:r>
    </w:p>
    <w:p>
      <w:pPr>
        <w:spacing w:line="218" w:lineRule="exact" w:before="0"/>
        <w:ind w:left="1853" w:right="0" w:firstLine="0"/>
        <w:jc w:val="left"/>
        <w:rPr>
          <w:sz w:val="18"/>
        </w:rPr>
      </w:pPr>
      <w:r>
        <w:rPr>
          <w:sz w:val="18"/>
        </w:rPr>
        <w:t>Religion</w:t>
      </w:r>
      <w:r>
        <w:rPr>
          <w:spacing w:val="-9"/>
          <w:sz w:val="18"/>
        </w:rPr>
        <w:t> </w:t>
      </w:r>
      <w:r>
        <w:rPr>
          <w:sz w:val="18"/>
        </w:rPr>
        <w:t>or</w:t>
      </w:r>
      <w:r>
        <w:rPr>
          <w:spacing w:val="-7"/>
          <w:sz w:val="18"/>
        </w:rPr>
        <w:t> </w:t>
      </w:r>
      <w:r>
        <w:rPr>
          <w:sz w:val="18"/>
        </w:rPr>
        <w:t>Belief,</w:t>
      </w:r>
      <w:r>
        <w:rPr>
          <w:spacing w:val="-8"/>
          <w:sz w:val="18"/>
        </w:rPr>
        <w:t> </w:t>
      </w:r>
      <w:r>
        <w:rPr>
          <w:sz w:val="18"/>
        </w:rPr>
        <w:t>Disability,</w:t>
      </w:r>
      <w:r>
        <w:rPr>
          <w:spacing w:val="-7"/>
          <w:sz w:val="18"/>
        </w:rPr>
        <w:t> </w:t>
      </w:r>
      <w:r>
        <w:rPr>
          <w:sz w:val="18"/>
        </w:rPr>
        <w:t>Age</w:t>
      </w:r>
      <w:r>
        <w:rPr>
          <w:spacing w:val="-7"/>
          <w:sz w:val="18"/>
        </w:rPr>
        <w:t> </w:t>
      </w:r>
      <w:r>
        <w:rPr>
          <w:sz w:val="18"/>
        </w:rPr>
        <w:t>or</w:t>
      </w:r>
      <w:r>
        <w:rPr>
          <w:spacing w:val="-8"/>
          <w:sz w:val="18"/>
        </w:rPr>
        <w:t> </w:t>
      </w:r>
      <w:r>
        <w:rPr>
          <w:sz w:val="18"/>
        </w:rPr>
        <w:t>Sexual</w:t>
      </w:r>
      <w:r>
        <w:rPr>
          <w:spacing w:val="-8"/>
          <w:sz w:val="18"/>
        </w:rPr>
        <w:t> </w:t>
      </w:r>
      <w:r>
        <w:rPr>
          <w:sz w:val="18"/>
        </w:rPr>
        <w:t>Orientation,</w:t>
      </w:r>
      <w:r>
        <w:rPr>
          <w:spacing w:val="-8"/>
          <w:sz w:val="18"/>
        </w:rPr>
        <w:t> </w:t>
      </w:r>
      <w:r>
        <w:rPr>
          <w:sz w:val="18"/>
        </w:rPr>
        <w:t>Equal</w:t>
      </w:r>
      <w:r>
        <w:rPr>
          <w:spacing w:val="-8"/>
          <w:sz w:val="18"/>
        </w:rPr>
        <w:t> </w:t>
      </w:r>
      <w:r>
        <w:rPr>
          <w:sz w:val="18"/>
        </w:rPr>
        <w:t>Treatment</w:t>
      </w:r>
      <w:r>
        <w:rPr>
          <w:spacing w:val="-7"/>
          <w:sz w:val="18"/>
        </w:rPr>
        <w:t> </w:t>
      </w:r>
      <w:r>
        <w:rPr>
          <w:sz w:val="18"/>
        </w:rPr>
        <w:t>Between</w:t>
      </w:r>
      <w:r>
        <w:rPr>
          <w:spacing w:val="-9"/>
          <w:sz w:val="18"/>
        </w:rPr>
        <w:t> </w:t>
      </w:r>
      <w:r>
        <w:rPr>
          <w:sz w:val="18"/>
        </w:rPr>
        <w:t>Women</w:t>
      </w:r>
      <w:r>
        <w:rPr>
          <w:spacing w:val="-8"/>
          <w:sz w:val="18"/>
        </w:rPr>
        <w:t> </w:t>
      </w:r>
      <w:r>
        <w:rPr>
          <w:sz w:val="18"/>
        </w:rPr>
        <w:t>and</w:t>
      </w:r>
      <w:r>
        <w:rPr>
          <w:spacing w:val="-8"/>
          <w:sz w:val="18"/>
        </w:rPr>
        <w:t> </w:t>
      </w:r>
      <w:r>
        <w:rPr>
          <w:sz w:val="18"/>
        </w:rPr>
        <w:t>Men</w:t>
      </w:r>
      <w:r>
        <w:rPr>
          <w:spacing w:val="-8"/>
          <w:sz w:val="18"/>
        </w:rPr>
        <w:t> </w:t>
      </w:r>
      <w:r>
        <w:rPr>
          <w:sz w:val="18"/>
        </w:rPr>
        <w:t>in</w:t>
      </w:r>
      <w:r>
        <w:rPr>
          <w:spacing w:val="-9"/>
          <w:sz w:val="18"/>
        </w:rPr>
        <w:t> </w:t>
      </w:r>
      <w:r>
        <w:rPr>
          <w:sz w:val="18"/>
        </w:rPr>
        <w:t>Matters</w:t>
      </w:r>
      <w:r>
        <w:rPr>
          <w:spacing w:val="-8"/>
          <w:sz w:val="18"/>
        </w:rPr>
        <w:t> </w:t>
      </w:r>
      <w:r>
        <w:rPr>
          <w:sz w:val="18"/>
        </w:rPr>
        <w:t>of</w:t>
      </w:r>
      <w:r>
        <w:rPr>
          <w:spacing w:val="-8"/>
          <w:sz w:val="18"/>
        </w:rPr>
        <w:t> </w:t>
      </w:r>
      <w:r>
        <w:rPr>
          <w:spacing w:val="-2"/>
          <w:sz w:val="18"/>
        </w:rPr>
        <w:t>Social</w:t>
      </w:r>
    </w:p>
    <w:p>
      <w:pPr>
        <w:spacing w:after="0" w:line="218" w:lineRule="exact"/>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pPr>
      <w:r>
        <w:rPr/>
        <w:t>that these proposals amend provisions of the EU Employment Equality (Framework)</w:t>
      </w:r>
      <w:r>
        <w:rPr>
          <w:spacing w:val="-10"/>
        </w:rPr>
        <w:t> </w:t>
      </w:r>
      <w:r>
        <w:rPr/>
        <w:t>Directive,</w:t>
      </w:r>
      <w:r>
        <w:rPr>
          <w:spacing w:val="-9"/>
        </w:rPr>
        <w:t> </w:t>
      </w:r>
      <w:r>
        <w:rPr/>
        <w:t>which</w:t>
      </w:r>
      <w:r>
        <w:rPr>
          <w:spacing w:val="-10"/>
        </w:rPr>
        <w:t> </w:t>
      </w:r>
      <w:r>
        <w:rPr/>
        <w:t>protects</w:t>
      </w:r>
      <w:r>
        <w:rPr>
          <w:spacing w:val="-10"/>
        </w:rPr>
        <w:t> </w:t>
      </w:r>
      <w:r>
        <w:rPr/>
        <w:t>against</w:t>
      </w:r>
      <w:r>
        <w:rPr>
          <w:spacing w:val="-9"/>
        </w:rPr>
        <w:t> </w:t>
      </w:r>
      <w:r>
        <w:rPr/>
        <w:t>discrimination</w:t>
      </w:r>
      <w:r>
        <w:rPr>
          <w:spacing w:val="-10"/>
        </w:rPr>
        <w:t> </w:t>
      </w:r>
      <w:r>
        <w:rPr/>
        <w:t>on</w:t>
      </w:r>
      <w:r>
        <w:rPr>
          <w:spacing w:val="-10"/>
        </w:rPr>
        <w:t> </w:t>
      </w:r>
      <w:r>
        <w:rPr/>
        <w:t>grounds</w:t>
      </w:r>
      <w:r>
        <w:rPr>
          <w:spacing w:val="-10"/>
        </w:rPr>
        <w:t> </w:t>
      </w:r>
      <w:r>
        <w:rPr/>
        <w:t>of sexual orientation.</w:t>
      </w:r>
      <w:r>
        <w:rPr>
          <w:vertAlign w:val="superscript"/>
        </w:rPr>
        <w:t>242</w:t>
      </w:r>
    </w:p>
    <w:p>
      <w:pPr>
        <w:pStyle w:val="Heading6"/>
        <w:spacing w:before="301"/>
        <w:rPr>
          <w:i/>
        </w:rPr>
      </w:pPr>
      <w:r>
        <w:rPr>
          <w:i/>
          <w:color w:val="67287F"/>
          <w:spacing w:val="-2"/>
        </w:rPr>
        <w:t>LGBTQI+</w:t>
      </w:r>
      <w:r>
        <w:rPr>
          <w:i/>
          <w:color w:val="67287F"/>
          <w:spacing w:val="-13"/>
        </w:rPr>
        <w:t> </w:t>
      </w:r>
      <w:r>
        <w:rPr>
          <w:i/>
          <w:color w:val="67287F"/>
          <w:spacing w:val="-2"/>
        </w:rPr>
        <w:t>Strategy</w:t>
      </w:r>
    </w:p>
    <w:p>
      <w:pPr>
        <w:pStyle w:val="ListParagraph"/>
        <w:numPr>
          <w:ilvl w:val="1"/>
          <w:numId w:val="7"/>
        </w:numPr>
        <w:tabs>
          <w:tab w:pos="1853" w:val="left" w:leader="none"/>
        </w:tabs>
        <w:spacing w:line="225" w:lineRule="auto" w:before="5" w:after="0"/>
        <w:ind w:left="1853" w:right="1310" w:hanging="720"/>
        <w:jc w:val="left"/>
        <w:rPr>
          <w:sz w:val="28"/>
        </w:rPr>
      </w:pPr>
      <w:r>
        <w:rPr>
          <w:sz w:val="28"/>
        </w:rPr>
        <w:t>In</w:t>
      </w:r>
      <w:r>
        <w:rPr>
          <w:spacing w:val="-6"/>
          <w:sz w:val="28"/>
        </w:rPr>
        <w:t> </w:t>
      </w:r>
      <w:r>
        <w:rPr>
          <w:sz w:val="28"/>
        </w:rPr>
        <w:t>2020,</w:t>
      </w:r>
      <w:r>
        <w:rPr>
          <w:spacing w:val="-5"/>
          <w:sz w:val="28"/>
        </w:rPr>
        <w:t> </w:t>
      </w:r>
      <w:r>
        <w:rPr>
          <w:sz w:val="28"/>
        </w:rPr>
        <w:t>the</w:t>
      </w:r>
      <w:r>
        <w:rPr>
          <w:spacing w:val="-5"/>
          <w:sz w:val="28"/>
        </w:rPr>
        <w:t> </w:t>
      </w:r>
      <w:r>
        <w:rPr>
          <w:sz w:val="28"/>
        </w:rPr>
        <w:t>New</w:t>
      </w:r>
      <w:r>
        <w:rPr>
          <w:spacing w:val="-6"/>
          <w:sz w:val="28"/>
        </w:rPr>
        <w:t> </w:t>
      </w:r>
      <w:r>
        <w:rPr>
          <w:sz w:val="28"/>
        </w:rPr>
        <w:t>Decade,</w:t>
      </w:r>
      <w:r>
        <w:rPr>
          <w:spacing w:val="-5"/>
          <w:sz w:val="28"/>
        </w:rPr>
        <w:t> </w:t>
      </w:r>
      <w:r>
        <w:rPr>
          <w:sz w:val="28"/>
        </w:rPr>
        <w:t>New</w:t>
      </w:r>
      <w:r>
        <w:rPr>
          <w:spacing w:val="-5"/>
          <w:sz w:val="28"/>
        </w:rPr>
        <w:t> </w:t>
      </w:r>
      <w:r>
        <w:rPr>
          <w:sz w:val="28"/>
        </w:rPr>
        <w:t>Approach</w:t>
      </w:r>
      <w:r>
        <w:rPr>
          <w:spacing w:val="-6"/>
          <w:sz w:val="28"/>
        </w:rPr>
        <w:t> </w:t>
      </w:r>
      <w:r>
        <w:rPr>
          <w:sz w:val="28"/>
        </w:rPr>
        <w:t>agreement</w:t>
      </w:r>
      <w:r>
        <w:rPr>
          <w:spacing w:val="-5"/>
          <w:sz w:val="28"/>
        </w:rPr>
        <w:t> </w:t>
      </w:r>
      <w:r>
        <w:rPr>
          <w:sz w:val="28"/>
        </w:rPr>
        <w:t>included</w:t>
      </w:r>
      <w:r>
        <w:rPr>
          <w:spacing w:val="-6"/>
          <w:sz w:val="28"/>
        </w:rPr>
        <w:t> </w:t>
      </w:r>
      <w:r>
        <w:rPr>
          <w:sz w:val="28"/>
        </w:rPr>
        <w:t>a</w:t>
      </w:r>
      <w:r>
        <w:rPr>
          <w:spacing w:val="-6"/>
          <w:sz w:val="28"/>
        </w:rPr>
        <w:t> </w:t>
      </w:r>
      <w:r>
        <w:rPr>
          <w:sz w:val="28"/>
        </w:rPr>
        <w:t>commitment to publish a Sexual Orientation Strategy.</w:t>
      </w:r>
      <w:r>
        <w:rPr>
          <w:sz w:val="28"/>
          <w:vertAlign w:val="superscript"/>
        </w:rPr>
        <w:t>243</w:t>
      </w:r>
    </w:p>
    <w:p>
      <w:pPr>
        <w:pStyle w:val="ListParagraph"/>
        <w:numPr>
          <w:ilvl w:val="1"/>
          <w:numId w:val="7"/>
        </w:numPr>
        <w:tabs>
          <w:tab w:pos="1853" w:val="left" w:leader="none"/>
        </w:tabs>
        <w:spacing w:line="225" w:lineRule="auto" w:before="317" w:after="0"/>
        <w:ind w:left="1853" w:right="1314" w:hanging="720"/>
        <w:jc w:val="left"/>
        <w:rPr>
          <w:sz w:val="28"/>
        </w:rPr>
      </w:pPr>
      <w:r>
        <w:rPr>
          <w:sz w:val="28"/>
        </w:rPr>
        <w:t>In</w:t>
      </w:r>
      <w:r>
        <w:rPr>
          <w:spacing w:val="-6"/>
          <w:sz w:val="28"/>
        </w:rPr>
        <w:t> </w:t>
      </w:r>
      <w:r>
        <w:rPr>
          <w:sz w:val="28"/>
        </w:rPr>
        <w:t>March</w:t>
      </w:r>
      <w:r>
        <w:rPr>
          <w:spacing w:val="-6"/>
          <w:sz w:val="28"/>
        </w:rPr>
        <w:t> </w:t>
      </w:r>
      <w:r>
        <w:rPr>
          <w:sz w:val="28"/>
        </w:rPr>
        <w:t>2023,</w:t>
      </w:r>
      <w:r>
        <w:rPr>
          <w:spacing w:val="-6"/>
          <w:sz w:val="28"/>
        </w:rPr>
        <w:t> </w:t>
      </w:r>
      <w:r>
        <w:rPr>
          <w:sz w:val="28"/>
        </w:rPr>
        <w:t>the</w:t>
      </w:r>
      <w:r>
        <w:rPr>
          <w:spacing w:val="-6"/>
          <w:sz w:val="28"/>
        </w:rPr>
        <w:t> </w:t>
      </w:r>
      <w:r>
        <w:rPr>
          <w:sz w:val="28"/>
        </w:rPr>
        <w:t>NIHRC</w:t>
      </w:r>
      <w:r>
        <w:rPr>
          <w:spacing w:val="-6"/>
          <w:sz w:val="28"/>
        </w:rPr>
        <w:t> </w:t>
      </w:r>
      <w:r>
        <w:rPr>
          <w:sz w:val="28"/>
        </w:rPr>
        <w:t>provided</w:t>
      </w:r>
      <w:r>
        <w:rPr>
          <w:spacing w:val="-6"/>
          <w:sz w:val="28"/>
        </w:rPr>
        <w:t> </w:t>
      </w:r>
      <w:r>
        <w:rPr>
          <w:sz w:val="28"/>
        </w:rPr>
        <w:t>a</w:t>
      </w:r>
      <w:r>
        <w:rPr>
          <w:spacing w:val="-6"/>
          <w:sz w:val="28"/>
        </w:rPr>
        <w:t> </w:t>
      </w:r>
      <w:r>
        <w:rPr>
          <w:sz w:val="28"/>
        </w:rPr>
        <w:t>written</w:t>
      </w:r>
      <w:r>
        <w:rPr>
          <w:spacing w:val="-6"/>
          <w:sz w:val="28"/>
        </w:rPr>
        <w:t> </w:t>
      </w:r>
      <w:r>
        <w:rPr>
          <w:sz w:val="28"/>
        </w:rPr>
        <w:t>briefing</w:t>
      </w:r>
      <w:r>
        <w:rPr>
          <w:spacing w:val="-6"/>
          <w:sz w:val="28"/>
        </w:rPr>
        <w:t> </w:t>
      </w:r>
      <w:r>
        <w:rPr>
          <w:sz w:val="28"/>
        </w:rPr>
        <w:t>to</w:t>
      </w:r>
      <w:r>
        <w:rPr>
          <w:spacing w:val="-6"/>
          <w:sz w:val="28"/>
        </w:rPr>
        <w:t> </w:t>
      </w:r>
      <w:r>
        <w:rPr>
          <w:sz w:val="28"/>
        </w:rPr>
        <w:t>the</w:t>
      </w:r>
      <w:r>
        <w:rPr>
          <w:spacing w:val="-6"/>
          <w:sz w:val="28"/>
        </w:rPr>
        <w:t> </w:t>
      </w:r>
      <w:r>
        <w:rPr>
          <w:sz w:val="28"/>
        </w:rPr>
        <w:t>UN</w:t>
      </w:r>
      <w:r>
        <w:rPr>
          <w:spacing w:val="-6"/>
          <w:sz w:val="28"/>
        </w:rPr>
        <w:t> </w:t>
      </w:r>
      <w:r>
        <w:rPr>
          <w:sz w:val="28"/>
        </w:rPr>
        <w:t>Independent Expert on Sexual Orientation and Gender Identity in relation to LGBTQI+ rights</w:t>
      </w:r>
      <w:r>
        <w:rPr>
          <w:spacing w:val="-1"/>
          <w:sz w:val="28"/>
        </w:rPr>
        <w:t> </w:t>
      </w:r>
      <w:r>
        <w:rPr>
          <w:sz w:val="28"/>
        </w:rPr>
        <w:t>in</w:t>
      </w:r>
      <w:r>
        <w:rPr>
          <w:spacing w:val="-1"/>
          <w:sz w:val="28"/>
        </w:rPr>
        <w:t> </w:t>
      </w:r>
      <w:r>
        <w:rPr>
          <w:sz w:val="28"/>
        </w:rPr>
        <w:t>NI in</w:t>
      </w:r>
      <w:r>
        <w:rPr>
          <w:spacing w:val="-1"/>
          <w:sz w:val="28"/>
        </w:rPr>
        <w:t> </w:t>
      </w:r>
      <w:r>
        <w:rPr>
          <w:sz w:val="28"/>
        </w:rPr>
        <w:t>advance of</w:t>
      </w:r>
      <w:r>
        <w:rPr>
          <w:spacing w:val="-1"/>
          <w:sz w:val="28"/>
        </w:rPr>
        <w:t> </w:t>
      </w:r>
      <w:r>
        <w:rPr>
          <w:sz w:val="28"/>
        </w:rPr>
        <w:t>a</w:t>
      </w:r>
      <w:r>
        <w:rPr>
          <w:spacing w:val="-1"/>
          <w:sz w:val="28"/>
        </w:rPr>
        <w:t> </w:t>
      </w:r>
      <w:r>
        <w:rPr>
          <w:sz w:val="28"/>
        </w:rPr>
        <w:t>country visit to</w:t>
      </w:r>
      <w:r>
        <w:rPr>
          <w:spacing w:val="-1"/>
          <w:sz w:val="28"/>
        </w:rPr>
        <w:t> </w:t>
      </w:r>
      <w:r>
        <w:rPr>
          <w:sz w:val="28"/>
        </w:rPr>
        <w:t>the UK in</w:t>
      </w:r>
      <w:r>
        <w:rPr>
          <w:spacing w:val="-1"/>
          <w:sz w:val="28"/>
        </w:rPr>
        <w:t> </w:t>
      </w:r>
      <w:r>
        <w:rPr>
          <w:sz w:val="28"/>
        </w:rPr>
        <w:t>April</w:t>
      </w:r>
      <w:r>
        <w:rPr>
          <w:spacing w:val="-1"/>
          <w:sz w:val="28"/>
        </w:rPr>
        <w:t> </w:t>
      </w:r>
      <w:r>
        <w:rPr>
          <w:sz w:val="28"/>
        </w:rPr>
        <w:t>2023.</w:t>
      </w:r>
      <w:r>
        <w:rPr>
          <w:sz w:val="28"/>
          <w:vertAlign w:val="superscript"/>
        </w:rPr>
        <w:t>244</w:t>
      </w:r>
      <w:r>
        <w:rPr>
          <w:spacing w:val="-1"/>
          <w:sz w:val="28"/>
          <w:vertAlign w:val="baseline"/>
        </w:rPr>
        <w:t> </w:t>
      </w:r>
      <w:r>
        <w:rPr>
          <w:sz w:val="28"/>
          <w:vertAlign w:val="baseline"/>
        </w:rPr>
        <w:t>In</w:t>
      </w:r>
      <w:r>
        <w:rPr>
          <w:spacing w:val="-1"/>
          <w:sz w:val="28"/>
          <w:vertAlign w:val="baseline"/>
        </w:rPr>
        <w:t> </w:t>
      </w:r>
      <w:r>
        <w:rPr>
          <w:sz w:val="28"/>
          <w:vertAlign w:val="baseline"/>
        </w:rPr>
        <w:t>his</w:t>
      </w:r>
      <w:r>
        <w:rPr>
          <w:spacing w:val="-1"/>
          <w:sz w:val="28"/>
          <w:vertAlign w:val="baseline"/>
        </w:rPr>
        <w:t> </w:t>
      </w:r>
      <w:r>
        <w:rPr>
          <w:sz w:val="28"/>
          <w:vertAlign w:val="baseline"/>
        </w:rPr>
        <w:t>end- of-mission statement, Mr Madrigal-Borloz noted that “the absence of an Executive has</w:t>
      </w:r>
      <w:r>
        <w:rPr>
          <w:spacing w:val="-1"/>
          <w:sz w:val="28"/>
          <w:vertAlign w:val="baseline"/>
        </w:rPr>
        <w:t> </w:t>
      </w:r>
      <w:r>
        <w:rPr>
          <w:sz w:val="28"/>
          <w:vertAlign w:val="baseline"/>
        </w:rPr>
        <w:t>resulted</w:t>
      </w:r>
      <w:r>
        <w:rPr>
          <w:spacing w:val="-1"/>
          <w:sz w:val="28"/>
          <w:vertAlign w:val="baseline"/>
        </w:rPr>
        <w:t> </w:t>
      </w:r>
      <w:r>
        <w:rPr>
          <w:sz w:val="28"/>
          <w:vertAlign w:val="baseline"/>
        </w:rPr>
        <w:t>in</w:t>
      </w:r>
      <w:r>
        <w:rPr>
          <w:spacing w:val="-1"/>
          <w:sz w:val="28"/>
          <w:vertAlign w:val="baseline"/>
        </w:rPr>
        <w:t> </w:t>
      </w:r>
      <w:r>
        <w:rPr>
          <w:sz w:val="28"/>
          <w:vertAlign w:val="baseline"/>
        </w:rPr>
        <w:t>the failure to</w:t>
      </w:r>
      <w:r>
        <w:rPr>
          <w:spacing w:val="-1"/>
          <w:sz w:val="28"/>
          <w:vertAlign w:val="baseline"/>
        </w:rPr>
        <w:t> </w:t>
      </w:r>
      <w:r>
        <w:rPr>
          <w:sz w:val="28"/>
          <w:vertAlign w:val="baseline"/>
        </w:rPr>
        <w:t>deliver on</w:t>
      </w:r>
      <w:r>
        <w:rPr>
          <w:spacing w:val="-1"/>
          <w:sz w:val="28"/>
          <w:vertAlign w:val="baseline"/>
        </w:rPr>
        <w:t> </w:t>
      </w:r>
      <w:r>
        <w:rPr>
          <w:sz w:val="28"/>
          <w:vertAlign w:val="baseline"/>
        </w:rPr>
        <w:t>the ambitious</w:t>
      </w:r>
      <w:r>
        <w:rPr>
          <w:spacing w:val="-1"/>
          <w:sz w:val="28"/>
          <w:vertAlign w:val="baseline"/>
        </w:rPr>
        <w:t> </w:t>
      </w:r>
      <w:r>
        <w:rPr>
          <w:sz w:val="28"/>
          <w:vertAlign w:val="baseline"/>
        </w:rPr>
        <w:t>LGBT</w:t>
      </w:r>
      <w:r>
        <w:rPr>
          <w:spacing w:val="-1"/>
          <w:sz w:val="28"/>
          <w:vertAlign w:val="baseline"/>
        </w:rPr>
        <w:t> </w:t>
      </w:r>
      <w:r>
        <w:rPr>
          <w:sz w:val="28"/>
          <w:vertAlign w:val="baseline"/>
        </w:rPr>
        <w:t>human</w:t>
      </w:r>
    </w:p>
    <w:p>
      <w:pPr>
        <w:pStyle w:val="BodyText"/>
        <w:spacing w:line="225" w:lineRule="auto"/>
        <w:ind w:left="1853" w:right="1124"/>
      </w:pPr>
      <w:r>
        <w:rPr/>
        <w:t>rights</w:t>
      </w:r>
      <w:r>
        <w:rPr>
          <w:spacing w:val="-10"/>
        </w:rPr>
        <w:t> </w:t>
      </w:r>
      <w:r>
        <w:rPr/>
        <w:t>strategy”.</w:t>
      </w:r>
      <w:r>
        <w:rPr>
          <w:vertAlign w:val="superscript"/>
        </w:rPr>
        <w:t>245</w:t>
      </w:r>
      <w:r>
        <w:rPr>
          <w:spacing w:val="-10"/>
          <w:vertAlign w:val="baseline"/>
        </w:rPr>
        <w:t> </w:t>
      </w:r>
      <w:r>
        <w:rPr>
          <w:vertAlign w:val="baseline"/>
        </w:rPr>
        <w:t>The</w:t>
      </w:r>
      <w:r>
        <w:rPr>
          <w:spacing w:val="-9"/>
          <w:vertAlign w:val="baseline"/>
        </w:rPr>
        <w:t> </w:t>
      </w:r>
      <w:r>
        <w:rPr>
          <w:vertAlign w:val="baseline"/>
        </w:rPr>
        <w:t>independent</w:t>
      </w:r>
      <w:r>
        <w:rPr>
          <w:spacing w:val="-9"/>
          <w:vertAlign w:val="baseline"/>
        </w:rPr>
        <w:t> </w:t>
      </w:r>
      <w:r>
        <w:rPr>
          <w:vertAlign w:val="baseline"/>
        </w:rPr>
        <w:t>expert</w:t>
      </w:r>
      <w:r>
        <w:rPr>
          <w:spacing w:val="-9"/>
          <w:vertAlign w:val="baseline"/>
        </w:rPr>
        <w:t> </w:t>
      </w:r>
      <w:r>
        <w:rPr>
          <w:vertAlign w:val="baseline"/>
        </w:rPr>
        <w:t>will</w:t>
      </w:r>
      <w:r>
        <w:rPr>
          <w:spacing w:val="-10"/>
          <w:vertAlign w:val="baseline"/>
        </w:rPr>
        <w:t> </w:t>
      </w:r>
      <w:r>
        <w:rPr>
          <w:vertAlign w:val="baseline"/>
        </w:rPr>
        <w:t>present</w:t>
      </w:r>
      <w:r>
        <w:rPr>
          <w:spacing w:val="-9"/>
          <w:vertAlign w:val="baseline"/>
        </w:rPr>
        <w:t> </w:t>
      </w:r>
      <w:r>
        <w:rPr>
          <w:vertAlign w:val="baseline"/>
        </w:rPr>
        <w:t>a</w:t>
      </w:r>
      <w:r>
        <w:rPr>
          <w:spacing w:val="-10"/>
          <w:vertAlign w:val="baseline"/>
        </w:rPr>
        <w:t> </w:t>
      </w:r>
      <w:r>
        <w:rPr>
          <w:vertAlign w:val="baseline"/>
        </w:rPr>
        <w:t>full</w:t>
      </w:r>
      <w:r>
        <w:rPr>
          <w:spacing w:val="-10"/>
          <w:vertAlign w:val="baseline"/>
        </w:rPr>
        <w:t> </w:t>
      </w:r>
      <w:r>
        <w:rPr>
          <w:vertAlign w:val="baseline"/>
        </w:rPr>
        <w:t>report</w:t>
      </w:r>
      <w:r>
        <w:rPr>
          <w:spacing w:val="-9"/>
          <w:vertAlign w:val="baseline"/>
        </w:rPr>
        <w:t> </w:t>
      </w:r>
      <w:r>
        <w:rPr>
          <w:vertAlign w:val="baseline"/>
        </w:rPr>
        <w:t>on</w:t>
      </w:r>
      <w:r>
        <w:rPr>
          <w:spacing w:val="-10"/>
          <w:vertAlign w:val="baseline"/>
        </w:rPr>
        <w:t> </w:t>
      </w:r>
      <w:r>
        <w:rPr>
          <w:vertAlign w:val="baseline"/>
        </w:rPr>
        <w:t>his</w:t>
      </w:r>
      <w:r>
        <w:rPr>
          <w:spacing w:val="-10"/>
          <w:vertAlign w:val="baseline"/>
        </w:rPr>
        <w:t> </w:t>
      </w:r>
      <w:r>
        <w:rPr>
          <w:vertAlign w:val="baseline"/>
        </w:rPr>
        <w:t>visit to the Human Rights Council by June 2024.</w:t>
      </w:r>
      <w:r>
        <w:rPr>
          <w:vertAlign w:val="superscript"/>
        </w:rPr>
        <w:t>246</w:t>
      </w:r>
    </w:p>
    <w:p>
      <w:pPr>
        <w:pStyle w:val="ListParagraph"/>
        <w:numPr>
          <w:ilvl w:val="1"/>
          <w:numId w:val="7"/>
        </w:numPr>
        <w:tabs>
          <w:tab w:pos="1853" w:val="left" w:leader="none"/>
        </w:tabs>
        <w:spacing w:line="225" w:lineRule="auto" w:before="311" w:after="0"/>
        <w:ind w:left="1853" w:right="1129" w:hanging="720"/>
        <w:jc w:val="left"/>
        <w:rPr>
          <w:sz w:val="28"/>
        </w:rPr>
      </w:pPr>
      <w:r>
        <w:rPr>
          <w:sz w:val="28"/>
        </w:rPr>
        <w:t>Progress of the Lesbian, Gay, Bisexual, Transgender, Queer (or Questioning), Intersex+ Strategy in 2023, was hindered by the suspension of the NI Executive.</w:t>
      </w:r>
      <w:r>
        <w:rPr>
          <w:sz w:val="28"/>
          <w:vertAlign w:val="superscript"/>
        </w:rPr>
        <w:t>247</w:t>
      </w:r>
      <w:r>
        <w:rPr>
          <w:spacing w:val="40"/>
          <w:sz w:val="28"/>
          <w:vertAlign w:val="baseline"/>
        </w:rPr>
        <w:t> </w:t>
      </w:r>
      <w:r>
        <w:rPr>
          <w:sz w:val="28"/>
          <w:vertAlign w:val="baseline"/>
        </w:rPr>
        <w:t>In March 2024, the Department for Communities advised that the</w:t>
      </w:r>
      <w:r>
        <w:rPr>
          <w:spacing w:val="-6"/>
          <w:sz w:val="28"/>
          <w:vertAlign w:val="baseline"/>
        </w:rPr>
        <w:t> </w:t>
      </w:r>
      <w:r>
        <w:rPr>
          <w:sz w:val="28"/>
          <w:vertAlign w:val="baseline"/>
        </w:rPr>
        <w:t>Minister</w:t>
      </w:r>
      <w:r>
        <w:rPr>
          <w:spacing w:val="-6"/>
          <w:sz w:val="28"/>
          <w:vertAlign w:val="baseline"/>
        </w:rPr>
        <w:t> </w:t>
      </w:r>
      <w:r>
        <w:rPr>
          <w:sz w:val="28"/>
          <w:vertAlign w:val="baseline"/>
        </w:rPr>
        <w:t>was</w:t>
      </w:r>
      <w:r>
        <w:rPr>
          <w:spacing w:val="-7"/>
          <w:sz w:val="28"/>
          <w:vertAlign w:val="baseline"/>
        </w:rPr>
        <w:t> </w:t>
      </w:r>
      <w:r>
        <w:rPr>
          <w:sz w:val="28"/>
          <w:vertAlign w:val="baseline"/>
        </w:rPr>
        <w:t>considering</w:t>
      </w:r>
      <w:r>
        <w:rPr>
          <w:spacing w:val="-6"/>
          <w:sz w:val="28"/>
          <w:vertAlign w:val="baseline"/>
        </w:rPr>
        <w:t> </w:t>
      </w:r>
      <w:r>
        <w:rPr>
          <w:sz w:val="28"/>
          <w:vertAlign w:val="baseline"/>
        </w:rPr>
        <w:t>the</w:t>
      </w:r>
      <w:r>
        <w:rPr>
          <w:spacing w:val="-6"/>
          <w:sz w:val="28"/>
          <w:vertAlign w:val="baseline"/>
        </w:rPr>
        <w:t> </w:t>
      </w:r>
      <w:r>
        <w:rPr>
          <w:sz w:val="28"/>
          <w:vertAlign w:val="baseline"/>
        </w:rPr>
        <w:t>next</w:t>
      </w:r>
      <w:r>
        <w:rPr>
          <w:spacing w:val="-6"/>
          <w:sz w:val="28"/>
          <w:vertAlign w:val="baseline"/>
        </w:rPr>
        <w:t> </w:t>
      </w:r>
      <w:r>
        <w:rPr>
          <w:sz w:val="28"/>
          <w:vertAlign w:val="baseline"/>
        </w:rPr>
        <w:t>steps</w:t>
      </w:r>
      <w:r>
        <w:rPr>
          <w:spacing w:val="-7"/>
          <w:sz w:val="28"/>
          <w:vertAlign w:val="baseline"/>
        </w:rPr>
        <w:t> </w:t>
      </w:r>
      <w:r>
        <w:rPr>
          <w:sz w:val="28"/>
          <w:vertAlign w:val="baseline"/>
        </w:rPr>
        <w:t>and</w:t>
      </w:r>
      <w:r>
        <w:rPr>
          <w:spacing w:val="-6"/>
          <w:sz w:val="28"/>
          <w:vertAlign w:val="baseline"/>
        </w:rPr>
        <w:t> </w:t>
      </w:r>
      <w:r>
        <w:rPr>
          <w:sz w:val="28"/>
          <w:vertAlign w:val="baseline"/>
        </w:rPr>
        <w:t>that</w:t>
      </w:r>
      <w:r>
        <w:rPr>
          <w:spacing w:val="-6"/>
          <w:sz w:val="28"/>
          <w:vertAlign w:val="baseline"/>
        </w:rPr>
        <w:t> </w:t>
      </w:r>
      <w:r>
        <w:rPr>
          <w:sz w:val="28"/>
          <w:vertAlign w:val="baseline"/>
        </w:rPr>
        <w:t>final</w:t>
      </w:r>
      <w:r>
        <w:rPr>
          <w:spacing w:val="-6"/>
          <w:sz w:val="28"/>
          <w:vertAlign w:val="baseline"/>
        </w:rPr>
        <w:t> </w:t>
      </w:r>
      <w:r>
        <w:rPr>
          <w:sz w:val="28"/>
          <w:vertAlign w:val="baseline"/>
        </w:rPr>
        <w:t>decisions</w:t>
      </w:r>
      <w:r>
        <w:rPr>
          <w:spacing w:val="-6"/>
          <w:sz w:val="28"/>
          <w:vertAlign w:val="baseline"/>
        </w:rPr>
        <w:t> </w:t>
      </w:r>
      <w:r>
        <w:rPr>
          <w:sz w:val="28"/>
          <w:vertAlign w:val="baseline"/>
        </w:rPr>
        <w:t>on</w:t>
      </w:r>
      <w:r>
        <w:rPr>
          <w:spacing w:val="-6"/>
          <w:sz w:val="28"/>
          <w:vertAlign w:val="baseline"/>
        </w:rPr>
        <w:t> </w:t>
      </w:r>
      <w:r>
        <w:rPr>
          <w:sz w:val="28"/>
          <w:vertAlign w:val="baseline"/>
        </w:rPr>
        <w:t>content and timelines for implementation of the strategy will be subject to Executive </w:t>
      </w:r>
      <w:r>
        <w:rPr>
          <w:spacing w:val="-2"/>
          <w:sz w:val="28"/>
          <w:vertAlign w:val="baseline"/>
        </w:rPr>
        <w:t>agreement.</w:t>
      </w:r>
      <w:r>
        <w:rPr>
          <w:spacing w:val="-2"/>
          <w:sz w:val="28"/>
          <w:vertAlign w:val="superscript"/>
        </w:rPr>
        <w:t>248</w:t>
      </w:r>
    </w:p>
    <w:p>
      <w:pPr>
        <w:pStyle w:val="BodyText"/>
        <w:spacing w:before="10"/>
        <w:rPr>
          <w:sz w:val="13"/>
        </w:rPr>
      </w:pPr>
      <w:r>
        <w:rPr/>
        <mc:AlternateContent>
          <mc:Choice Requires="wps">
            <w:drawing>
              <wp:anchor distT="0" distB="0" distL="0" distR="0" allowOverlap="1" layoutInCell="1" locked="0" behindDoc="1" simplePos="0" relativeHeight="487653888">
                <wp:simplePos x="0" y="0"/>
                <wp:positionH relativeFrom="page">
                  <wp:posOffset>720001</wp:posOffset>
                </wp:positionH>
                <wp:positionV relativeFrom="paragraph">
                  <wp:posOffset>122568</wp:posOffset>
                </wp:positionV>
                <wp:extent cx="6120130" cy="360045"/>
                <wp:effectExtent l="0" t="0" r="0" b="0"/>
                <wp:wrapTopAndBottom/>
                <wp:docPr id="264" name="Textbox 264"/>
                <wp:cNvGraphicFramePr>
                  <a:graphicFrameLocks/>
                </wp:cNvGraphicFramePr>
                <a:graphic>
                  <a:graphicData uri="http://schemas.microsoft.com/office/word/2010/wordprocessingShape">
                    <wps:wsp>
                      <wps:cNvPr id="264" name="Textbox 264"/>
                      <wps:cNvSpPr txBox="1"/>
                      <wps:spPr>
                        <a:xfrm>
                          <a:off x="0" y="0"/>
                          <a:ext cx="6120130" cy="360045"/>
                        </a:xfrm>
                        <a:prstGeom prst="rect">
                          <a:avLst/>
                        </a:prstGeom>
                        <a:solidFill>
                          <a:srgbClr val="393B7F"/>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9.651078pt;width:481.9pt;height:28.35pt;mso-position-horizontal-relative:page;mso-position-vertical-relative:paragraph;z-index:-15662592;mso-wrap-distance-left:0;mso-wrap-distance-right:0" type="#_x0000_t202" id="docshape218" filled="true" fillcolor="#393b7f"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192" w:after="0"/>
        <w:ind w:left="1853" w:right="1494" w:hanging="720"/>
        <w:jc w:val="left"/>
        <w:rPr>
          <w:b/>
          <w:color w:val="67287F"/>
          <w:sz w:val="28"/>
        </w:rPr>
      </w:pPr>
      <w:r>
        <w:rPr>
          <w:b/>
          <w:color w:val="67287F"/>
          <w:sz w:val="28"/>
        </w:rPr>
        <w:t>The Commissions continue to recommend that the Department for Communities promptly publishes and implements a robust LGBTQI+ Strategy for NI, which takes a human rights-based approach in line with international human rights standards and Windsor Framework Article 2, including the keeping pace obligations relating to the EU Employment Equality</w:t>
      </w:r>
      <w:r>
        <w:rPr>
          <w:b/>
          <w:color w:val="67287F"/>
          <w:spacing w:val="-8"/>
          <w:sz w:val="28"/>
        </w:rPr>
        <w:t> </w:t>
      </w:r>
      <w:r>
        <w:rPr>
          <w:b/>
          <w:color w:val="67287F"/>
          <w:sz w:val="28"/>
        </w:rPr>
        <w:t>(Framework)</w:t>
      </w:r>
      <w:r>
        <w:rPr>
          <w:b/>
          <w:color w:val="67287F"/>
          <w:spacing w:val="-8"/>
          <w:sz w:val="28"/>
        </w:rPr>
        <w:t> </w:t>
      </w:r>
      <w:r>
        <w:rPr>
          <w:b/>
          <w:color w:val="67287F"/>
          <w:sz w:val="28"/>
        </w:rPr>
        <w:t>Directive.</w:t>
      </w:r>
      <w:r>
        <w:rPr>
          <w:b/>
          <w:color w:val="67287F"/>
          <w:spacing w:val="-9"/>
          <w:sz w:val="28"/>
        </w:rPr>
        <w:t> </w:t>
      </w:r>
      <w:r>
        <w:rPr>
          <w:b/>
          <w:color w:val="67287F"/>
          <w:sz w:val="28"/>
        </w:rPr>
        <w:t>This</w:t>
      </w:r>
      <w:r>
        <w:rPr>
          <w:b/>
          <w:color w:val="67287F"/>
          <w:spacing w:val="-8"/>
          <w:sz w:val="28"/>
        </w:rPr>
        <w:t> </w:t>
      </w:r>
      <w:r>
        <w:rPr>
          <w:b/>
          <w:color w:val="67287F"/>
          <w:sz w:val="28"/>
        </w:rPr>
        <w:t>strategy</w:t>
      </w:r>
      <w:r>
        <w:rPr>
          <w:b/>
          <w:color w:val="67287F"/>
          <w:spacing w:val="-8"/>
          <w:sz w:val="28"/>
        </w:rPr>
        <w:t> </w:t>
      </w:r>
      <w:r>
        <w:rPr>
          <w:b/>
          <w:color w:val="67287F"/>
          <w:sz w:val="28"/>
        </w:rPr>
        <w:t>should</w:t>
      </w:r>
      <w:r>
        <w:rPr>
          <w:b/>
          <w:color w:val="67287F"/>
          <w:spacing w:val="-8"/>
          <w:sz w:val="28"/>
        </w:rPr>
        <w:t> </w:t>
      </w:r>
      <w:r>
        <w:rPr>
          <w:b/>
          <w:color w:val="67287F"/>
          <w:sz w:val="28"/>
        </w:rPr>
        <w:t>be</w:t>
      </w:r>
      <w:r>
        <w:rPr>
          <w:b/>
          <w:color w:val="67287F"/>
          <w:spacing w:val="-9"/>
          <w:sz w:val="28"/>
        </w:rPr>
        <w:t> </w:t>
      </w:r>
      <w:r>
        <w:rPr>
          <w:b/>
          <w:color w:val="67287F"/>
          <w:sz w:val="28"/>
        </w:rPr>
        <w:t>accompanied</w:t>
      </w:r>
      <w:r>
        <w:rPr>
          <w:b/>
          <w:color w:val="67287F"/>
          <w:spacing w:val="-8"/>
          <w:sz w:val="28"/>
        </w:rPr>
        <w:t> </w:t>
      </w:r>
      <w:r>
        <w:rPr>
          <w:b/>
          <w:color w:val="67287F"/>
          <w:sz w:val="28"/>
        </w:rPr>
        <w:t>by</w:t>
      </w:r>
      <w:r>
        <w:rPr>
          <w:b/>
          <w:color w:val="67287F"/>
          <w:spacing w:val="-8"/>
          <w:sz w:val="28"/>
        </w:rPr>
        <w:t> </w:t>
      </w:r>
      <w:r>
        <w:rPr>
          <w:b/>
          <w:color w:val="67287F"/>
          <w:sz w:val="28"/>
        </w:rPr>
        <w:t>a measurable plan of action and effective monitoring mechanisms.</w:t>
      </w:r>
    </w:p>
    <w:p>
      <w:pPr>
        <w:pStyle w:val="BodyText"/>
        <w:spacing w:before="58"/>
        <w:rPr>
          <w:b/>
          <w:sz w:val="20"/>
        </w:rPr>
      </w:pPr>
      <w:r>
        <w:rPr/>
        <mc:AlternateContent>
          <mc:Choice Requires="wps">
            <w:drawing>
              <wp:anchor distT="0" distB="0" distL="0" distR="0" allowOverlap="1" layoutInCell="1" locked="0" behindDoc="1" simplePos="0" relativeHeight="487654400">
                <wp:simplePos x="0" y="0"/>
                <wp:positionH relativeFrom="page">
                  <wp:posOffset>719999</wp:posOffset>
                </wp:positionH>
                <wp:positionV relativeFrom="paragraph">
                  <wp:posOffset>207712</wp:posOffset>
                </wp:positionV>
                <wp:extent cx="6120130" cy="1270"/>
                <wp:effectExtent l="0" t="0" r="0" b="0"/>
                <wp:wrapTopAndBottom/>
                <wp:docPr id="265" name="Graphic 265"/>
                <wp:cNvGraphicFramePr>
                  <a:graphicFrameLocks/>
                </wp:cNvGraphicFramePr>
                <a:graphic>
                  <a:graphicData uri="http://schemas.microsoft.com/office/word/2010/wordprocessingShape">
                    <wps:wsp>
                      <wps:cNvPr id="265" name="Graphic 265"/>
                      <wps:cNvSpPr/>
                      <wps:spPr>
                        <a:xfrm>
                          <a:off x="0" y="0"/>
                          <a:ext cx="6120130" cy="1270"/>
                        </a:xfrm>
                        <a:custGeom>
                          <a:avLst/>
                          <a:gdLst/>
                          <a:ahLst/>
                          <a:cxnLst/>
                          <a:rect l="l" t="t" r="r" b="b"/>
                          <a:pathLst>
                            <a:path w="6120130" h="0">
                              <a:moveTo>
                                <a:pt x="0" y="0"/>
                              </a:moveTo>
                              <a:lnTo>
                                <a:pt x="6120003"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6.355328pt;width:481.9pt;height:.1pt;mso-position-horizontal-relative:page;mso-position-vertical-relative:paragraph;z-index:-15662080;mso-wrap-distance-left:0;mso-wrap-distance-right:0" id="docshape219" coordorigin="1134,327" coordsize="9638,0" path="m1134,327l10772,327e" filled="false" stroked="true" strokeweight="1pt" strokecolor="#393b7f">
                <v:path arrowok="t"/>
                <v:stroke dashstyle="solid"/>
                <w10:wrap type="topAndBottom"/>
              </v:shape>
            </w:pict>
          </mc:Fallback>
        </mc:AlternateContent>
      </w:r>
    </w:p>
    <w:p>
      <w:pPr>
        <w:spacing w:line="235" w:lineRule="auto" w:before="153"/>
        <w:ind w:left="1853" w:right="1798" w:firstLine="0"/>
        <w:jc w:val="left"/>
        <w:rPr>
          <w:sz w:val="18"/>
        </w:rPr>
      </w:pPr>
      <w:r>
        <w:rPr>
          <w:sz w:val="18"/>
        </w:rPr>
        <w:t>Security</w:t>
      </w:r>
      <w:r>
        <w:rPr>
          <w:spacing w:val="-2"/>
          <w:sz w:val="18"/>
        </w:rPr>
        <w:t> </w:t>
      </w:r>
      <w:r>
        <w:rPr>
          <w:sz w:val="18"/>
        </w:rPr>
        <w:t>and</w:t>
      </w:r>
      <w:r>
        <w:rPr>
          <w:spacing w:val="-3"/>
          <w:sz w:val="18"/>
        </w:rPr>
        <w:t> </w:t>
      </w:r>
      <w:r>
        <w:rPr>
          <w:sz w:val="18"/>
        </w:rPr>
        <w:t>in</w:t>
      </w:r>
      <w:r>
        <w:rPr>
          <w:spacing w:val="-3"/>
          <w:sz w:val="18"/>
        </w:rPr>
        <w:t> </w:t>
      </w:r>
      <w:r>
        <w:rPr>
          <w:sz w:val="18"/>
        </w:rPr>
        <w:t>the</w:t>
      </w:r>
      <w:r>
        <w:rPr>
          <w:spacing w:val="-2"/>
          <w:sz w:val="18"/>
        </w:rPr>
        <w:t> </w:t>
      </w:r>
      <w:r>
        <w:rPr>
          <w:sz w:val="18"/>
        </w:rPr>
        <w:t>Access</w:t>
      </w:r>
      <w:r>
        <w:rPr>
          <w:spacing w:val="-3"/>
          <w:sz w:val="18"/>
        </w:rPr>
        <w:t> </w:t>
      </w:r>
      <w:r>
        <w:rPr>
          <w:sz w:val="18"/>
        </w:rPr>
        <w:t>to</w:t>
      </w:r>
      <w:r>
        <w:rPr>
          <w:spacing w:val="-3"/>
          <w:sz w:val="18"/>
        </w:rPr>
        <w:t> </w:t>
      </w:r>
      <w:r>
        <w:rPr>
          <w:sz w:val="18"/>
        </w:rPr>
        <w:t>and</w:t>
      </w:r>
      <w:r>
        <w:rPr>
          <w:spacing w:val="-3"/>
          <w:sz w:val="18"/>
        </w:rPr>
        <w:t> </w:t>
      </w:r>
      <w:r>
        <w:rPr>
          <w:sz w:val="18"/>
        </w:rPr>
        <w:t>Supply</w:t>
      </w:r>
      <w:r>
        <w:rPr>
          <w:spacing w:val="-2"/>
          <w:sz w:val="18"/>
        </w:rPr>
        <w:t> </w:t>
      </w:r>
      <w:r>
        <w:rPr>
          <w:sz w:val="18"/>
        </w:rPr>
        <w:t>of</w:t>
      </w:r>
      <w:r>
        <w:rPr>
          <w:spacing w:val="-3"/>
          <w:sz w:val="18"/>
        </w:rPr>
        <w:t> </w:t>
      </w:r>
      <w:r>
        <w:rPr>
          <w:sz w:val="18"/>
        </w:rPr>
        <w:t>Goods</w:t>
      </w:r>
      <w:r>
        <w:rPr>
          <w:spacing w:val="-3"/>
          <w:sz w:val="18"/>
        </w:rPr>
        <w:t> </w:t>
      </w:r>
      <w:r>
        <w:rPr>
          <w:sz w:val="18"/>
        </w:rPr>
        <w:t>and</w:t>
      </w:r>
      <w:r>
        <w:rPr>
          <w:spacing w:val="-3"/>
          <w:sz w:val="18"/>
        </w:rPr>
        <w:t> </w:t>
      </w:r>
      <w:r>
        <w:rPr>
          <w:sz w:val="18"/>
        </w:rPr>
        <w:t>Services,</w:t>
      </w:r>
      <w:r>
        <w:rPr>
          <w:spacing w:val="-2"/>
          <w:sz w:val="18"/>
        </w:rPr>
        <w:t> </w:t>
      </w:r>
      <w:r>
        <w:rPr>
          <w:sz w:val="18"/>
        </w:rPr>
        <w:t>and</w:t>
      </w:r>
      <w:r>
        <w:rPr>
          <w:spacing w:val="-3"/>
          <w:sz w:val="18"/>
        </w:rPr>
        <w:t> </w:t>
      </w:r>
      <w:r>
        <w:rPr>
          <w:sz w:val="18"/>
        </w:rPr>
        <w:t>Deleting</w:t>
      </w:r>
      <w:r>
        <w:rPr>
          <w:spacing w:val="-2"/>
          <w:sz w:val="18"/>
        </w:rPr>
        <w:t> </w:t>
      </w:r>
      <w:r>
        <w:rPr>
          <w:sz w:val="18"/>
        </w:rPr>
        <w:t>Article</w:t>
      </w:r>
      <w:r>
        <w:rPr>
          <w:spacing w:val="-2"/>
          <w:sz w:val="18"/>
        </w:rPr>
        <w:t> </w:t>
      </w:r>
      <w:r>
        <w:rPr>
          <w:sz w:val="18"/>
        </w:rPr>
        <w:t>13</w:t>
      </w:r>
      <w:r>
        <w:rPr>
          <w:spacing w:val="-2"/>
          <w:sz w:val="18"/>
        </w:rPr>
        <w:t> </w:t>
      </w:r>
      <w:r>
        <w:rPr>
          <w:sz w:val="18"/>
        </w:rPr>
        <w:t>of</w:t>
      </w:r>
      <w:r>
        <w:rPr>
          <w:spacing w:val="-3"/>
          <w:sz w:val="18"/>
        </w:rPr>
        <w:t> </w:t>
      </w:r>
      <w:r>
        <w:rPr>
          <w:sz w:val="18"/>
        </w:rPr>
        <w:t>Directive</w:t>
      </w:r>
      <w:r>
        <w:rPr>
          <w:spacing w:val="-2"/>
          <w:sz w:val="18"/>
        </w:rPr>
        <w:t> </w:t>
      </w:r>
      <w:r>
        <w:rPr>
          <w:sz w:val="18"/>
        </w:rPr>
        <w:t>2000/43/EC and Article 12 of Directive 2004/113/EC - COM(2022) 689’ (EU Commission, 2022).</w:t>
      </w:r>
    </w:p>
    <w:p>
      <w:pPr>
        <w:pStyle w:val="ListParagraph"/>
        <w:numPr>
          <w:ilvl w:val="0"/>
          <w:numId w:val="3"/>
        </w:numPr>
        <w:tabs>
          <w:tab w:pos="1853" w:val="left" w:leader="none"/>
        </w:tabs>
        <w:spacing w:line="235" w:lineRule="auto" w:before="1" w:after="0"/>
        <w:ind w:left="1853" w:right="1395" w:hanging="720"/>
        <w:jc w:val="left"/>
        <w:rPr>
          <w:sz w:val="18"/>
        </w:rPr>
      </w:pPr>
      <w:r>
        <w:rPr>
          <w:sz w:val="18"/>
        </w:rPr>
        <w:t>Directive 2000/78/EC, ‘Council of the EU Directive on Establishing a General Framework for Equal Treatment in Employment</w:t>
      </w:r>
      <w:r>
        <w:rPr>
          <w:spacing w:val="-6"/>
          <w:sz w:val="18"/>
        </w:rPr>
        <w:t> </w:t>
      </w:r>
      <w:r>
        <w:rPr>
          <w:sz w:val="18"/>
        </w:rPr>
        <w:t>and</w:t>
      </w:r>
      <w:r>
        <w:rPr>
          <w:spacing w:val="-7"/>
          <w:sz w:val="18"/>
        </w:rPr>
        <w:t> </w:t>
      </w:r>
      <w:r>
        <w:rPr>
          <w:sz w:val="18"/>
        </w:rPr>
        <w:t>Occupation’,</w:t>
      </w:r>
      <w:r>
        <w:rPr>
          <w:spacing w:val="-6"/>
          <w:sz w:val="18"/>
        </w:rPr>
        <w:t> </w:t>
      </w:r>
      <w:r>
        <w:rPr>
          <w:sz w:val="18"/>
        </w:rPr>
        <w:t>27</w:t>
      </w:r>
      <w:r>
        <w:rPr>
          <w:spacing w:val="-6"/>
          <w:sz w:val="18"/>
        </w:rPr>
        <w:t> </w:t>
      </w:r>
      <w:r>
        <w:rPr>
          <w:sz w:val="18"/>
        </w:rPr>
        <w:t>November</w:t>
      </w:r>
      <w:r>
        <w:rPr>
          <w:spacing w:val="-6"/>
          <w:sz w:val="18"/>
        </w:rPr>
        <w:t> </w:t>
      </w:r>
      <w:r>
        <w:rPr>
          <w:sz w:val="18"/>
        </w:rPr>
        <w:t>2000.</w:t>
      </w:r>
      <w:r>
        <w:rPr>
          <w:spacing w:val="27"/>
          <w:sz w:val="18"/>
        </w:rPr>
        <w:t> </w:t>
      </w:r>
      <w:r>
        <w:rPr>
          <w:sz w:val="18"/>
        </w:rPr>
        <w:t>See</w:t>
      </w:r>
      <w:r>
        <w:rPr>
          <w:spacing w:val="-6"/>
          <w:sz w:val="18"/>
        </w:rPr>
        <w:t> </w:t>
      </w:r>
      <w:r>
        <w:rPr>
          <w:sz w:val="18"/>
        </w:rPr>
        <w:t>also</w:t>
      </w:r>
      <w:r>
        <w:rPr>
          <w:spacing w:val="-7"/>
          <w:sz w:val="18"/>
        </w:rPr>
        <w:t> </w:t>
      </w:r>
      <w:r>
        <w:rPr>
          <w:sz w:val="18"/>
        </w:rPr>
        <w:t>Letter</w:t>
      </w:r>
      <w:r>
        <w:rPr>
          <w:spacing w:val="-6"/>
          <w:sz w:val="18"/>
        </w:rPr>
        <w:t> </w:t>
      </w:r>
      <w:r>
        <w:rPr>
          <w:sz w:val="18"/>
        </w:rPr>
        <w:t>from</w:t>
      </w:r>
      <w:r>
        <w:rPr>
          <w:spacing w:val="-6"/>
          <w:sz w:val="18"/>
        </w:rPr>
        <w:t> </w:t>
      </w:r>
      <w:r>
        <w:rPr>
          <w:sz w:val="18"/>
        </w:rPr>
        <w:t>the</w:t>
      </w:r>
      <w:r>
        <w:rPr>
          <w:spacing w:val="-6"/>
          <w:sz w:val="18"/>
        </w:rPr>
        <w:t> </w:t>
      </w:r>
      <w:r>
        <w:rPr>
          <w:sz w:val="18"/>
        </w:rPr>
        <w:t>Minister</w:t>
      </w:r>
      <w:r>
        <w:rPr>
          <w:spacing w:val="-6"/>
          <w:sz w:val="18"/>
        </w:rPr>
        <w:t> </w:t>
      </w:r>
      <w:r>
        <w:rPr>
          <w:sz w:val="18"/>
        </w:rPr>
        <w:t>of</w:t>
      </w:r>
      <w:r>
        <w:rPr>
          <w:spacing w:val="-7"/>
          <w:sz w:val="18"/>
        </w:rPr>
        <w:t> </w:t>
      </w:r>
      <w:r>
        <w:rPr>
          <w:sz w:val="18"/>
        </w:rPr>
        <w:t>State</w:t>
      </w:r>
      <w:r>
        <w:rPr>
          <w:spacing w:val="-6"/>
          <w:sz w:val="18"/>
        </w:rPr>
        <w:t> </w:t>
      </w:r>
      <w:r>
        <w:rPr>
          <w:sz w:val="18"/>
        </w:rPr>
        <w:t>for</w:t>
      </w:r>
      <w:r>
        <w:rPr>
          <w:spacing w:val="-6"/>
          <w:sz w:val="18"/>
        </w:rPr>
        <w:t> </w:t>
      </w:r>
      <w:r>
        <w:rPr>
          <w:sz w:val="18"/>
        </w:rPr>
        <w:t>NI,</w:t>
      </w:r>
      <w:r>
        <w:rPr>
          <w:spacing w:val="-6"/>
          <w:sz w:val="18"/>
        </w:rPr>
        <w:t> </w:t>
      </w:r>
      <w:r>
        <w:rPr>
          <w:sz w:val="18"/>
        </w:rPr>
        <w:t>Steve</w:t>
      </w:r>
      <w:r>
        <w:rPr>
          <w:spacing w:val="-6"/>
          <w:sz w:val="18"/>
        </w:rPr>
        <w:t> </w:t>
      </w:r>
      <w:r>
        <w:rPr>
          <w:sz w:val="18"/>
        </w:rPr>
        <w:t>Baker</w:t>
      </w:r>
      <w:r>
        <w:rPr>
          <w:spacing w:val="-6"/>
          <w:sz w:val="18"/>
        </w:rPr>
        <w:t> </w:t>
      </w:r>
      <w:r>
        <w:rPr>
          <w:sz w:val="18"/>
        </w:rPr>
        <w:t>MP,</w:t>
      </w:r>
      <w:r>
        <w:rPr>
          <w:spacing w:val="-6"/>
          <w:sz w:val="18"/>
        </w:rPr>
        <w:t> </w:t>
      </w:r>
      <w:r>
        <w:rPr>
          <w:sz w:val="18"/>
        </w:rPr>
        <w:t>to the Chair of the House of Lords Sub Committee on the Protocol on Ireland/Northern Ireland, 18 September 2022.</w:t>
      </w:r>
    </w:p>
    <w:p>
      <w:pPr>
        <w:pStyle w:val="ListParagraph"/>
        <w:numPr>
          <w:ilvl w:val="0"/>
          <w:numId w:val="3"/>
        </w:numPr>
        <w:tabs>
          <w:tab w:pos="1853" w:val="left" w:leader="none"/>
        </w:tabs>
        <w:spacing w:line="216" w:lineRule="exact" w:before="0" w:after="0"/>
        <w:ind w:left="1853" w:right="0" w:hanging="720"/>
        <w:jc w:val="left"/>
        <w:rPr>
          <w:sz w:val="18"/>
        </w:rPr>
      </w:pPr>
      <w:r>
        <w:rPr>
          <w:sz w:val="18"/>
        </w:rPr>
        <w:t>NI</w:t>
      </w:r>
      <w:r>
        <w:rPr>
          <w:spacing w:val="-4"/>
          <w:sz w:val="18"/>
        </w:rPr>
        <w:t> </w:t>
      </w:r>
      <w:r>
        <w:rPr>
          <w:sz w:val="18"/>
        </w:rPr>
        <w:t>Office,</w:t>
      </w:r>
      <w:r>
        <w:rPr>
          <w:spacing w:val="-3"/>
          <w:sz w:val="18"/>
        </w:rPr>
        <w:t> </w:t>
      </w:r>
      <w:r>
        <w:rPr>
          <w:sz w:val="18"/>
        </w:rPr>
        <w:t>‘New</w:t>
      </w:r>
      <w:r>
        <w:rPr>
          <w:spacing w:val="-3"/>
          <w:sz w:val="18"/>
        </w:rPr>
        <w:t> </w:t>
      </w:r>
      <w:r>
        <w:rPr>
          <w:sz w:val="18"/>
        </w:rPr>
        <w:t>Decade,</w:t>
      </w:r>
      <w:r>
        <w:rPr>
          <w:spacing w:val="-3"/>
          <w:sz w:val="18"/>
        </w:rPr>
        <w:t> </w:t>
      </w:r>
      <w:r>
        <w:rPr>
          <w:sz w:val="18"/>
        </w:rPr>
        <w:t>New</w:t>
      </w:r>
      <w:r>
        <w:rPr>
          <w:spacing w:val="-3"/>
          <w:sz w:val="18"/>
        </w:rPr>
        <w:t> </w:t>
      </w:r>
      <w:r>
        <w:rPr>
          <w:sz w:val="18"/>
        </w:rPr>
        <w:t>Approach’</w:t>
      </w:r>
      <w:r>
        <w:rPr>
          <w:spacing w:val="-4"/>
          <w:sz w:val="18"/>
        </w:rPr>
        <w:t> </w:t>
      </w:r>
      <w:r>
        <w:rPr>
          <w:sz w:val="18"/>
        </w:rPr>
        <w:t>(NIO,</w:t>
      </w:r>
      <w:r>
        <w:rPr>
          <w:spacing w:val="-3"/>
          <w:sz w:val="18"/>
        </w:rPr>
        <w:t> </w:t>
      </w:r>
      <w:r>
        <w:rPr>
          <w:sz w:val="18"/>
        </w:rPr>
        <w:t>2020),</w:t>
      </w:r>
      <w:r>
        <w:rPr>
          <w:spacing w:val="-3"/>
          <w:sz w:val="18"/>
        </w:rPr>
        <w:t> </w:t>
      </w:r>
      <w:r>
        <w:rPr>
          <w:sz w:val="18"/>
        </w:rPr>
        <w:t>at</w:t>
      </w:r>
      <w:r>
        <w:rPr>
          <w:spacing w:val="-3"/>
          <w:sz w:val="18"/>
        </w:rPr>
        <w:t> </w:t>
      </w:r>
      <w:r>
        <w:rPr>
          <w:spacing w:val="-5"/>
          <w:sz w:val="18"/>
        </w:rPr>
        <w:t>27.</w:t>
      </w:r>
    </w:p>
    <w:p>
      <w:pPr>
        <w:pStyle w:val="ListParagraph"/>
        <w:numPr>
          <w:ilvl w:val="0"/>
          <w:numId w:val="3"/>
        </w:numPr>
        <w:tabs>
          <w:tab w:pos="1853" w:val="left" w:leader="none"/>
        </w:tabs>
        <w:spacing w:line="235" w:lineRule="auto" w:before="2" w:after="0"/>
        <w:ind w:left="1853" w:right="1362" w:hanging="720"/>
        <w:jc w:val="left"/>
        <w:rPr>
          <w:sz w:val="18"/>
        </w:rPr>
      </w:pP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‘Briefing</w:t>
      </w:r>
      <w:r>
        <w:rPr>
          <w:spacing w:val="-4"/>
          <w:sz w:val="18"/>
        </w:rPr>
        <w:t> </w:t>
      </w:r>
      <w:r>
        <w:rPr>
          <w:sz w:val="18"/>
        </w:rPr>
        <w:t>on</w:t>
      </w:r>
      <w:r>
        <w:rPr>
          <w:spacing w:val="-5"/>
          <w:sz w:val="18"/>
        </w:rPr>
        <w:t> </w:t>
      </w:r>
      <w:r>
        <w:rPr>
          <w:sz w:val="18"/>
        </w:rPr>
        <w:t>Article</w:t>
      </w:r>
      <w:r>
        <w:rPr>
          <w:spacing w:val="-4"/>
          <w:sz w:val="18"/>
        </w:rPr>
        <w:t> </w:t>
      </w:r>
      <w:r>
        <w:rPr>
          <w:sz w:val="18"/>
        </w:rPr>
        <w:t>2</w:t>
      </w:r>
      <w:r>
        <w:rPr>
          <w:spacing w:val="-4"/>
          <w:sz w:val="18"/>
        </w:rPr>
        <w:t> </w:t>
      </w:r>
      <w:r>
        <w:rPr>
          <w:sz w:val="18"/>
        </w:rPr>
        <w:t>of</w:t>
      </w:r>
      <w:r>
        <w:rPr>
          <w:spacing w:val="-5"/>
          <w:sz w:val="18"/>
        </w:rPr>
        <w:t> </w:t>
      </w:r>
      <w:r>
        <w:rPr>
          <w:sz w:val="18"/>
        </w:rPr>
        <w:t>the</w:t>
      </w:r>
      <w:r>
        <w:rPr>
          <w:spacing w:val="-4"/>
          <w:sz w:val="18"/>
        </w:rPr>
        <w:t> </w:t>
      </w:r>
      <w:r>
        <w:rPr>
          <w:sz w:val="18"/>
        </w:rPr>
        <w:t>Ireland/Northern</w:t>
      </w:r>
      <w:r>
        <w:rPr>
          <w:spacing w:val="-5"/>
          <w:sz w:val="18"/>
        </w:rPr>
        <w:t> </w:t>
      </w:r>
      <w:r>
        <w:rPr>
          <w:sz w:val="18"/>
        </w:rPr>
        <w:t>Ireland</w:t>
      </w:r>
      <w:r>
        <w:rPr>
          <w:spacing w:val="-5"/>
          <w:sz w:val="18"/>
        </w:rPr>
        <w:t> </w:t>
      </w:r>
      <w:r>
        <w:rPr>
          <w:sz w:val="18"/>
        </w:rPr>
        <w:t>Protocol</w:t>
      </w:r>
      <w:r>
        <w:rPr>
          <w:spacing w:val="-5"/>
          <w:sz w:val="18"/>
        </w:rPr>
        <w:t> </w:t>
      </w:r>
      <w:r>
        <w:rPr>
          <w:sz w:val="18"/>
        </w:rPr>
        <w:t>and</w:t>
      </w:r>
      <w:r>
        <w:rPr>
          <w:spacing w:val="-5"/>
          <w:sz w:val="18"/>
        </w:rPr>
        <w:t> </w:t>
      </w:r>
      <w:r>
        <w:rPr>
          <w:sz w:val="18"/>
        </w:rPr>
        <w:t>sexual</w:t>
      </w:r>
      <w:r>
        <w:rPr>
          <w:spacing w:val="-5"/>
          <w:sz w:val="18"/>
        </w:rPr>
        <w:t> </w:t>
      </w:r>
      <w:r>
        <w:rPr>
          <w:sz w:val="18"/>
        </w:rPr>
        <w:t>orientation</w:t>
      </w:r>
      <w:r>
        <w:rPr>
          <w:spacing w:val="-5"/>
          <w:sz w:val="18"/>
        </w:rPr>
        <w:t> </w:t>
      </w:r>
      <w:r>
        <w:rPr>
          <w:sz w:val="18"/>
        </w:rPr>
        <w:t>and gender identity’ (NIHRC, 2023).</w:t>
      </w:r>
    </w:p>
    <w:p>
      <w:pPr>
        <w:pStyle w:val="ListParagraph"/>
        <w:numPr>
          <w:ilvl w:val="0"/>
          <w:numId w:val="3"/>
        </w:numPr>
        <w:tabs>
          <w:tab w:pos="1853" w:val="left" w:leader="none"/>
        </w:tabs>
        <w:spacing w:line="235" w:lineRule="auto" w:before="1" w:after="0"/>
        <w:ind w:left="1853" w:right="1632" w:hanging="720"/>
        <w:jc w:val="both"/>
        <w:rPr>
          <w:sz w:val="18"/>
        </w:rPr>
      </w:pPr>
      <w:r>
        <w:rPr>
          <w:sz w:val="18"/>
        </w:rPr>
        <w:t>UN</w:t>
      </w:r>
      <w:r>
        <w:rPr>
          <w:spacing w:val="-4"/>
          <w:sz w:val="18"/>
        </w:rPr>
        <w:t> </w:t>
      </w:r>
      <w:r>
        <w:rPr>
          <w:sz w:val="18"/>
        </w:rPr>
        <w:t>Independent</w:t>
      </w:r>
      <w:r>
        <w:rPr>
          <w:spacing w:val="-4"/>
          <w:sz w:val="18"/>
        </w:rPr>
        <w:t> </w:t>
      </w:r>
      <w:r>
        <w:rPr>
          <w:sz w:val="18"/>
        </w:rPr>
        <w:t>Expert</w:t>
      </w:r>
      <w:r>
        <w:rPr>
          <w:spacing w:val="-4"/>
          <w:sz w:val="18"/>
        </w:rPr>
        <w:t> </w:t>
      </w:r>
      <w:r>
        <w:rPr>
          <w:sz w:val="18"/>
        </w:rPr>
        <w:t>on</w:t>
      </w:r>
      <w:r>
        <w:rPr>
          <w:spacing w:val="-5"/>
          <w:sz w:val="18"/>
        </w:rPr>
        <w:t> </w:t>
      </w:r>
      <w:r>
        <w:rPr>
          <w:sz w:val="18"/>
        </w:rPr>
        <w:t>Protection</w:t>
      </w:r>
      <w:r>
        <w:rPr>
          <w:spacing w:val="-5"/>
          <w:sz w:val="18"/>
        </w:rPr>
        <w:t> </w:t>
      </w:r>
      <w:r>
        <w:rPr>
          <w:sz w:val="18"/>
        </w:rPr>
        <w:t>Against</w:t>
      </w:r>
      <w:r>
        <w:rPr>
          <w:spacing w:val="-4"/>
          <w:sz w:val="18"/>
        </w:rPr>
        <w:t> </w:t>
      </w:r>
      <w:r>
        <w:rPr>
          <w:sz w:val="18"/>
        </w:rPr>
        <w:t>Violence</w:t>
      </w:r>
      <w:r>
        <w:rPr>
          <w:spacing w:val="-4"/>
          <w:sz w:val="18"/>
        </w:rPr>
        <w:t> </w:t>
      </w:r>
      <w:r>
        <w:rPr>
          <w:sz w:val="18"/>
        </w:rPr>
        <w:t>and</w:t>
      </w:r>
      <w:r>
        <w:rPr>
          <w:spacing w:val="-5"/>
          <w:sz w:val="18"/>
        </w:rPr>
        <w:t> </w:t>
      </w:r>
      <w:r>
        <w:rPr>
          <w:sz w:val="18"/>
        </w:rPr>
        <w:t>Discrimination</w:t>
      </w:r>
      <w:r>
        <w:rPr>
          <w:spacing w:val="-5"/>
          <w:sz w:val="18"/>
        </w:rPr>
        <w:t> </w:t>
      </w:r>
      <w:r>
        <w:rPr>
          <w:sz w:val="18"/>
        </w:rPr>
        <w:t>Based</w:t>
      </w:r>
      <w:r>
        <w:rPr>
          <w:spacing w:val="-5"/>
          <w:sz w:val="18"/>
        </w:rPr>
        <w:t> </w:t>
      </w:r>
      <w:r>
        <w:rPr>
          <w:sz w:val="18"/>
        </w:rPr>
        <w:t>on</w:t>
      </w:r>
      <w:r>
        <w:rPr>
          <w:spacing w:val="-5"/>
          <w:sz w:val="18"/>
        </w:rPr>
        <w:t> </w:t>
      </w:r>
      <w:r>
        <w:rPr>
          <w:sz w:val="18"/>
        </w:rPr>
        <w:t>Sexual</w:t>
      </w:r>
      <w:r>
        <w:rPr>
          <w:spacing w:val="-5"/>
          <w:sz w:val="18"/>
        </w:rPr>
        <w:t> </w:t>
      </w:r>
      <w:r>
        <w:rPr>
          <w:sz w:val="18"/>
        </w:rPr>
        <w:t>Orientation</w:t>
      </w:r>
      <w:r>
        <w:rPr>
          <w:spacing w:val="-5"/>
          <w:sz w:val="18"/>
        </w:rPr>
        <w:t> </w:t>
      </w:r>
      <w:r>
        <w:rPr>
          <w:sz w:val="18"/>
        </w:rPr>
        <w:t>and</w:t>
      </w:r>
      <w:r>
        <w:rPr>
          <w:spacing w:val="-5"/>
          <w:sz w:val="18"/>
        </w:rPr>
        <w:t> </w:t>
      </w:r>
      <w:r>
        <w:rPr>
          <w:sz w:val="18"/>
        </w:rPr>
        <w:t>Gender Identity,</w:t>
      </w:r>
      <w:r>
        <w:rPr>
          <w:spacing w:val="-2"/>
          <w:sz w:val="18"/>
        </w:rPr>
        <w:t> </w:t>
      </w:r>
      <w:r>
        <w:rPr>
          <w:sz w:val="18"/>
        </w:rPr>
        <w:t>’Country</w:t>
      </w:r>
      <w:r>
        <w:rPr>
          <w:spacing w:val="-2"/>
          <w:sz w:val="18"/>
        </w:rPr>
        <w:t> </w:t>
      </w:r>
      <w:r>
        <w:rPr>
          <w:sz w:val="18"/>
        </w:rPr>
        <w:t>visit</w:t>
      </w:r>
      <w:r>
        <w:rPr>
          <w:spacing w:val="-2"/>
          <w:sz w:val="18"/>
        </w:rPr>
        <w:t> </w:t>
      </w:r>
      <w:r>
        <w:rPr>
          <w:sz w:val="18"/>
        </w:rPr>
        <w:t>to</w:t>
      </w:r>
      <w:r>
        <w:rPr>
          <w:spacing w:val="-3"/>
          <w:sz w:val="18"/>
        </w:rPr>
        <w:t> </w:t>
      </w:r>
      <w:r>
        <w:rPr>
          <w:sz w:val="18"/>
        </w:rPr>
        <w:t>the</w:t>
      </w:r>
      <w:r>
        <w:rPr>
          <w:spacing w:val="-2"/>
          <w:sz w:val="18"/>
        </w:rPr>
        <w:t> </w:t>
      </w:r>
      <w:r>
        <w:rPr>
          <w:sz w:val="18"/>
        </w:rPr>
        <w:t>United</w:t>
      </w:r>
      <w:r>
        <w:rPr>
          <w:spacing w:val="-3"/>
          <w:sz w:val="18"/>
        </w:rPr>
        <w:t> </w:t>
      </w:r>
      <w:r>
        <w:rPr>
          <w:sz w:val="18"/>
        </w:rPr>
        <w:t>Kingdom</w:t>
      </w:r>
      <w:r>
        <w:rPr>
          <w:spacing w:val="-2"/>
          <w:sz w:val="18"/>
        </w:rPr>
        <w:t> </w:t>
      </w:r>
      <w:r>
        <w:rPr>
          <w:sz w:val="18"/>
        </w:rPr>
        <w:t>of</w:t>
      </w:r>
      <w:r>
        <w:rPr>
          <w:spacing w:val="-3"/>
          <w:sz w:val="18"/>
        </w:rPr>
        <w:t> </w:t>
      </w:r>
      <w:r>
        <w:rPr>
          <w:sz w:val="18"/>
        </w:rPr>
        <w:t>Great</w:t>
      </w:r>
      <w:r>
        <w:rPr>
          <w:spacing w:val="-2"/>
          <w:sz w:val="18"/>
        </w:rPr>
        <w:t> </w:t>
      </w:r>
      <w:r>
        <w:rPr>
          <w:sz w:val="18"/>
        </w:rPr>
        <w:t>Britain</w:t>
      </w:r>
      <w:r>
        <w:rPr>
          <w:spacing w:val="-3"/>
          <w:sz w:val="18"/>
        </w:rPr>
        <w:t> </w:t>
      </w:r>
      <w:r>
        <w:rPr>
          <w:sz w:val="18"/>
        </w:rPr>
        <w:t>and</w:t>
      </w:r>
      <w:r>
        <w:rPr>
          <w:spacing w:val="-3"/>
          <w:sz w:val="18"/>
        </w:rPr>
        <w:t> </w:t>
      </w:r>
      <w:r>
        <w:rPr>
          <w:sz w:val="18"/>
        </w:rPr>
        <w:t>Northern</w:t>
      </w:r>
      <w:r>
        <w:rPr>
          <w:spacing w:val="-3"/>
          <w:sz w:val="18"/>
        </w:rPr>
        <w:t> </w:t>
      </w:r>
      <w:r>
        <w:rPr>
          <w:sz w:val="18"/>
        </w:rPr>
        <w:t>Ireland</w:t>
      </w:r>
      <w:r>
        <w:rPr>
          <w:spacing w:val="-3"/>
          <w:sz w:val="18"/>
        </w:rPr>
        <w:t> </w:t>
      </w:r>
      <w:r>
        <w:rPr>
          <w:sz w:val="18"/>
        </w:rPr>
        <w:t>(24</w:t>
      </w:r>
      <w:r>
        <w:rPr>
          <w:spacing w:val="-2"/>
          <w:sz w:val="18"/>
        </w:rPr>
        <w:t> </w:t>
      </w:r>
      <w:r>
        <w:rPr>
          <w:sz w:val="18"/>
        </w:rPr>
        <w:t>April</w:t>
      </w:r>
      <w:r>
        <w:rPr>
          <w:spacing w:val="-3"/>
          <w:sz w:val="18"/>
        </w:rPr>
        <w:t> </w:t>
      </w:r>
      <w:r>
        <w:rPr>
          <w:sz w:val="18"/>
        </w:rPr>
        <w:t>–</w:t>
      </w:r>
      <w:r>
        <w:rPr>
          <w:spacing w:val="-3"/>
          <w:sz w:val="18"/>
        </w:rPr>
        <w:t> </w:t>
      </w:r>
      <w:r>
        <w:rPr>
          <w:sz w:val="18"/>
        </w:rPr>
        <w:t>5</w:t>
      </w:r>
      <w:r>
        <w:rPr>
          <w:spacing w:val="-2"/>
          <w:sz w:val="18"/>
        </w:rPr>
        <w:t> </w:t>
      </w:r>
      <w:r>
        <w:rPr>
          <w:sz w:val="18"/>
        </w:rPr>
        <w:t>May</w:t>
      </w:r>
      <w:r>
        <w:rPr>
          <w:spacing w:val="-2"/>
          <w:sz w:val="18"/>
        </w:rPr>
        <w:t> </w:t>
      </w:r>
      <w:r>
        <w:rPr>
          <w:sz w:val="18"/>
        </w:rPr>
        <w:t>2023)</w:t>
      </w:r>
      <w:r>
        <w:rPr>
          <w:spacing w:val="-3"/>
          <w:sz w:val="18"/>
        </w:rPr>
        <w:t> </w:t>
      </w:r>
      <w:r>
        <w:rPr>
          <w:sz w:val="18"/>
        </w:rPr>
        <w:t>-</w:t>
      </w:r>
      <w:r>
        <w:rPr>
          <w:spacing w:val="-3"/>
          <w:sz w:val="18"/>
        </w:rPr>
        <w:t> </w:t>
      </w:r>
      <w:r>
        <w:rPr>
          <w:sz w:val="18"/>
        </w:rPr>
        <w:t>End</w:t>
      </w:r>
      <w:r>
        <w:rPr>
          <w:spacing w:val="-3"/>
          <w:sz w:val="18"/>
        </w:rPr>
        <w:t> </w:t>
      </w:r>
      <w:r>
        <w:rPr>
          <w:sz w:val="18"/>
        </w:rPr>
        <w:t>of mission statement’ (OHRHR, 2023), at para 36.</w:t>
      </w:r>
    </w:p>
    <w:p>
      <w:pPr>
        <w:pStyle w:val="ListParagraph"/>
        <w:numPr>
          <w:ilvl w:val="0"/>
          <w:numId w:val="3"/>
        </w:numPr>
        <w:tabs>
          <w:tab w:pos="1853" w:val="left" w:leader="none"/>
        </w:tabs>
        <w:spacing w:line="235" w:lineRule="auto" w:before="2" w:after="0"/>
        <w:ind w:left="1853" w:right="1344" w:hanging="720"/>
        <w:jc w:val="both"/>
        <w:rPr>
          <w:sz w:val="18"/>
        </w:rPr>
      </w:pPr>
      <w:r>
        <w:rPr>
          <w:sz w:val="18"/>
        </w:rPr>
        <w:t>Office</w:t>
      </w:r>
      <w:r>
        <w:rPr>
          <w:spacing w:val="-5"/>
          <w:sz w:val="18"/>
        </w:rPr>
        <w:t> </w:t>
      </w:r>
      <w:r>
        <w:rPr>
          <w:sz w:val="18"/>
        </w:rPr>
        <w:t>of</w:t>
      </w:r>
      <w:r>
        <w:rPr>
          <w:spacing w:val="-6"/>
          <w:sz w:val="18"/>
        </w:rPr>
        <w:t> </w:t>
      </w:r>
      <w:r>
        <w:rPr>
          <w:sz w:val="18"/>
        </w:rPr>
        <w:t>the</w:t>
      </w:r>
      <w:r>
        <w:rPr>
          <w:spacing w:val="-5"/>
          <w:sz w:val="18"/>
        </w:rPr>
        <w:t> </w:t>
      </w:r>
      <w:r>
        <w:rPr>
          <w:sz w:val="18"/>
        </w:rPr>
        <w:t>High</w:t>
      </w:r>
      <w:r>
        <w:rPr>
          <w:spacing w:val="-6"/>
          <w:sz w:val="18"/>
        </w:rPr>
        <w:t> </w:t>
      </w:r>
      <w:r>
        <w:rPr>
          <w:sz w:val="18"/>
        </w:rPr>
        <w:t>Commissioner</w:t>
      </w:r>
      <w:r>
        <w:rPr>
          <w:spacing w:val="-5"/>
          <w:sz w:val="18"/>
        </w:rPr>
        <w:t> </w:t>
      </w:r>
      <w:r>
        <w:rPr>
          <w:sz w:val="18"/>
        </w:rPr>
        <w:t>on</w:t>
      </w:r>
      <w:r>
        <w:rPr>
          <w:spacing w:val="-6"/>
          <w:sz w:val="18"/>
        </w:rPr>
        <w:t> </w:t>
      </w:r>
      <w:r>
        <w:rPr>
          <w:sz w:val="18"/>
        </w:rPr>
        <w:t>Human</w:t>
      </w:r>
      <w:r>
        <w:rPr>
          <w:spacing w:val="-6"/>
          <w:sz w:val="18"/>
        </w:rPr>
        <w:t> </w:t>
      </w:r>
      <w:r>
        <w:rPr>
          <w:sz w:val="18"/>
        </w:rPr>
        <w:t>Rights,</w:t>
      </w:r>
      <w:r>
        <w:rPr>
          <w:spacing w:val="-5"/>
          <w:sz w:val="18"/>
        </w:rPr>
        <w:t> </w:t>
      </w:r>
      <w:r>
        <w:rPr>
          <w:sz w:val="18"/>
        </w:rPr>
        <w:t>‘Press</w:t>
      </w:r>
      <w:r>
        <w:rPr>
          <w:spacing w:val="-6"/>
          <w:sz w:val="18"/>
        </w:rPr>
        <w:t> </w:t>
      </w:r>
      <w:r>
        <w:rPr>
          <w:sz w:val="18"/>
        </w:rPr>
        <w:t>Release:</w:t>
      </w:r>
      <w:r>
        <w:rPr>
          <w:spacing w:val="-5"/>
          <w:sz w:val="18"/>
        </w:rPr>
        <w:t> </w:t>
      </w:r>
      <w:r>
        <w:rPr>
          <w:sz w:val="18"/>
        </w:rPr>
        <w:t>UK:</w:t>
      </w:r>
      <w:r>
        <w:rPr>
          <w:spacing w:val="-5"/>
          <w:sz w:val="18"/>
        </w:rPr>
        <w:t> </w:t>
      </w:r>
      <w:r>
        <w:rPr>
          <w:sz w:val="18"/>
        </w:rPr>
        <w:t>Keep</w:t>
      </w:r>
      <w:r>
        <w:rPr>
          <w:spacing w:val="-6"/>
          <w:sz w:val="18"/>
        </w:rPr>
        <w:t> </w:t>
      </w:r>
      <w:r>
        <w:rPr>
          <w:sz w:val="18"/>
        </w:rPr>
        <w:t>calm</w:t>
      </w:r>
      <w:r>
        <w:rPr>
          <w:spacing w:val="-5"/>
          <w:sz w:val="18"/>
        </w:rPr>
        <w:t> </w:t>
      </w:r>
      <w:r>
        <w:rPr>
          <w:sz w:val="18"/>
        </w:rPr>
        <w:t>and</w:t>
      </w:r>
      <w:r>
        <w:rPr>
          <w:spacing w:val="-6"/>
          <w:sz w:val="18"/>
        </w:rPr>
        <w:t> </w:t>
      </w:r>
      <w:r>
        <w:rPr>
          <w:sz w:val="18"/>
        </w:rPr>
        <w:t>respect</w:t>
      </w:r>
      <w:r>
        <w:rPr>
          <w:spacing w:val="-5"/>
          <w:sz w:val="18"/>
        </w:rPr>
        <w:t> </w:t>
      </w:r>
      <w:r>
        <w:rPr>
          <w:sz w:val="18"/>
        </w:rPr>
        <w:t>diversity,</w:t>
      </w:r>
      <w:r>
        <w:rPr>
          <w:spacing w:val="-5"/>
          <w:sz w:val="18"/>
        </w:rPr>
        <w:t> </w:t>
      </w:r>
      <w:r>
        <w:rPr>
          <w:sz w:val="18"/>
        </w:rPr>
        <w:t>says</w:t>
      </w:r>
      <w:r>
        <w:rPr>
          <w:spacing w:val="-6"/>
          <w:sz w:val="18"/>
        </w:rPr>
        <w:t> </w:t>
      </w:r>
      <w:r>
        <w:rPr>
          <w:sz w:val="18"/>
        </w:rPr>
        <w:t>UN</w:t>
      </w:r>
      <w:r>
        <w:rPr>
          <w:spacing w:val="-5"/>
          <w:sz w:val="18"/>
        </w:rPr>
        <w:t> </w:t>
      </w:r>
      <w:r>
        <w:rPr>
          <w:sz w:val="18"/>
        </w:rPr>
        <w:t>expert’, 11 May 2024.</w:t>
      </w:r>
    </w:p>
    <w:p>
      <w:pPr>
        <w:pStyle w:val="ListParagraph"/>
        <w:numPr>
          <w:ilvl w:val="0"/>
          <w:numId w:val="3"/>
        </w:numPr>
        <w:tabs>
          <w:tab w:pos="1853" w:val="left" w:leader="none"/>
        </w:tabs>
        <w:spacing w:line="218" w:lineRule="exact" w:before="0" w:after="0"/>
        <w:ind w:left="1853" w:right="0" w:hanging="720"/>
        <w:jc w:val="both"/>
        <w:rPr>
          <w:sz w:val="18"/>
        </w:rPr>
      </w:pPr>
      <w:r>
        <w:rPr>
          <w:sz w:val="18"/>
        </w:rPr>
        <w:t>Letter</w:t>
      </w:r>
      <w:r>
        <w:rPr>
          <w:spacing w:val="-5"/>
          <w:sz w:val="18"/>
        </w:rPr>
        <w:t> </w:t>
      </w:r>
      <w:r>
        <w:rPr>
          <w:sz w:val="18"/>
        </w:rPr>
        <w:t>from</w:t>
      </w:r>
      <w:r>
        <w:rPr>
          <w:spacing w:val="-5"/>
          <w:sz w:val="18"/>
        </w:rPr>
        <w:t> </w:t>
      </w:r>
      <w:r>
        <w:rPr>
          <w:sz w:val="18"/>
        </w:rPr>
        <w:t>Department</w:t>
      </w:r>
      <w:r>
        <w:rPr>
          <w:spacing w:val="-5"/>
          <w:sz w:val="18"/>
        </w:rPr>
        <w:t> </w:t>
      </w:r>
      <w:r>
        <w:rPr>
          <w:sz w:val="18"/>
        </w:rPr>
        <w:t>for</w:t>
      </w:r>
      <w:r>
        <w:rPr>
          <w:spacing w:val="-5"/>
          <w:sz w:val="18"/>
        </w:rPr>
        <w:t> </w:t>
      </w:r>
      <w:r>
        <w:rPr>
          <w:sz w:val="18"/>
        </w:rPr>
        <w:t>Communities</w:t>
      </w:r>
      <w:r>
        <w:rPr>
          <w:spacing w:val="-6"/>
          <w:sz w:val="18"/>
        </w:rPr>
        <w:t> </w:t>
      </w:r>
      <w:r>
        <w:rPr>
          <w:sz w:val="18"/>
        </w:rPr>
        <w:t>to</w:t>
      </w:r>
      <w:r>
        <w:rPr>
          <w:spacing w:val="-6"/>
          <w:sz w:val="18"/>
        </w:rPr>
        <w:t> </w:t>
      </w:r>
      <w:r>
        <w:rPr>
          <w:sz w:val="18"/>
        </w:rPr>
        <w:t>NI</w:t>
      </w:r>
      <w:r>
        <w:rPr>
          <w:spacing w:val="-5"/>
          <w:sz w:val="18"/>
        </w:rPr>
        <w:t> </w:t>
      </w:r>
      <w:r>
        <w:rPr>
          <w:sz w:val="18"/>
        </w:rPr>
        <w:t>Human</w:t>
      </w:r>
      <w:r>
        <w:rPr>
          <w:spacing w:val="-6"/>
          <w:sz w:val="18"/>
        </w:rPr>
        <w:t> </w:t>
      </w:r>
      <w:r>
        <w:rPr>
          <w:sz w:val="18"/>
        </w:rPr>
        <w:t>Rights</w:t>
      </w:r>
      <w:r>
        <w:rPr>
          <w:spacing w:val="-6"/>
          <w:sz w:val="18"/>
        </w:rPr>
        <w:t> </w:t>
      </w:r>
      <w:r>
        <w:rPr>
          <w:sz w:val="18"/>
        </w:rPr>
        <w:t>Commission,</w:t>
      </w:r>
      <w:r>
        <w:rPr>
          <w:spacing w:val="-5"/>
          <w:sz w:val="18"/>
        </w:rPr>
        <w:t> </w:t>
      </w:r>
      <w:r>
        <w:rPr>
          <w:sz w:val="18"/>
        </w:rPr>
        <w:t>16</w:t>
      </w:r>
      <w:r>
        <w:rPr>
          <w:spacing w:val="-4"/>
          <w:sz w:val="18"/>
        </w:rPr>
        <w:t> </w:t>
      </w:r>
      <w:r>
        <w:rPr>
          <w:sz w:val="18"/>
        </w:rPr>
        <w:t>June</w:t>
      </w:r>
      <w:r>
        <w:rPr>
          <w:spacing w:val="-5"/>
          <w:sz w:val="18"/>
        </w:rPr>
        <w:t> </w:t>
      </w:r>
      <w:r>
        <w:rPr>
          <w:spacing w:val="-2"/>
          <w:sz w:val="18"/>
        </w:rPr>
        <w:t>2023.</w:t>
      </w:r>
    </w:p>
    <w:p>
      <w:pPr>
        <w:spacing w:after="0" w:line="218" w:lineRule="exact"/>
        <w:jc w:val="both"/>
        <w:rPr>
          <w:sz w:val="18"/>
        </w:rPr>
        <w:sectPr>
          <w:headerReference w:type="default" r:id="rId117"/>
          <w:headerReference w:type="even" r:id="rId118"/>
          <w:footerReference w:type="default" r:id="rId119"/>
          <w:footerReference w:type="even" r:id="rId120"/>
          <w:pgSz w:w="11910" w:h="16840"/>
          <w:pgMar w:header="496" w:footer="1025" w:top="1220" w:bottom="1220" w:left="0" w:right="0"/>
          <w:pgNumType w:start="57"/>
        </w:sectPr>
      </w:pPr>
    </w:p>
    <w:p>
      <w:pPr>
        <w:pStyle w:val="BodyText"/>
        <w:spacing w:before="198"/>
      </w:pPr>
    </w:p>
    <w:p>
      <w:pPr>
        <w:pStyle w:val="ListParagraph"/>
        <w:numPr>
          <w:ilvl w:val="1"/>
          <w:numId w:val="7"/>
        </w:numPr>
        <w:tabs>
          <w:tab w:pos="1853" w:val="left" w:leader="none"/>
        </w:tabs>
        <w:spacing w:line="225" w:lineRule="auto" w:before="0" w:after="0"/>
        <w:ind w:left="1853" w:right="1237" w:hanging="720"/>
        <w:jc w:val="left"/>
        <w:rPr>
          <w:b/>
          <w:color w:val="67287F"/>
          <w:sz w:val="28"/>
        </w:rPr>
      </w:pPr>
      <w:bookmarkStart w:name="_bookmark21" w:id="47"/>
      <w:bookmarkEnd w:id="47"/>
      <w:r>
        <w:rPr/>
      </w:r>
      <w:r>
        <w:rPr>
          <w:b/>
          <w:color w:val="67287F"/>
          <w:sz w:val="28"/>
        </w:rPr>
        <w:t>The Commissions advise the NI Executive and the Department for Communities</w:t>
      </w:r>
      <w:r>
        <w:rPr>
          <w:b/>
          <w:color w:val="67287F"/>
          <w:spacing w:val="-6"/>
          <w:sz w:val="28"/>
        </w:rPr>
        <w:t> </w:t>
      </w:r>
      <w:r>
        <w:rPr>
          <w:b/>
          <w:color w:val="67287F"/>
          <w:sz w:val="28"/>
        </w:rPr>
        <w:t>that,</w:t>
      </w:r>
      <w:r>
        <w:rPr>
          <w:b/>
          <w:color w:val="67287F"/>
          <w:spacing w:val="-6"/>
          <w:sz w:val="28"/>
        </w:rPr>
        <w:t> </w:t>
      </w:r>
      <w:r>
        <w:rPr>
          <w:b/>
          <w:color w:val="67287F"/>
          <w:sz w:val="28"/>
        </w:rPr>
        <w:t>pursuant</w:t>
      </w:r>
      <w:r>
        <w:rPr>
          <w:b/>
          <w:color w:val="67287F"/>
          <w:spacing w:val="-6"/>
          <w:sz w:val="28"/>
        </w:rPr>
        <w:t> </w:t>
      </w:r>
      <w:r>
        <w:rPr>
          <w:b/>
          <w:color w:val="67287F"/>
          <w:sz w:val="28"/>
        </w:rPr>
        <w:t>to</w:t>
      </w:r>
      <w:r>
        <w:rPr>
          <w:b/>
          <w:color w:val="67287F"/>
          <w:spacing w:val="-6"/>
          <w:sz w:val="28"/>
        </w:rPr>
        <w:t> </w:t>
      </w:r>
      <w:r>
        <w:rPr>
          <w:b/>
          <w:color w:val="67287F"/>
          <w:sz w:val="28"/>
        </w:rPr>
        <w:t>Articles</w:t>
      </w:r>
      <w:r>
        <w:rPr>
          <w:b/>
          <w:color w:val="67287F"/>
          <w:spacing w:val="-6"/>
          <w:sz w:val="28"/>
        </w:rPr>
        <w:t> </w:t>
      </w:r>
      <w:r>
        <w:rPr>
          <w:b/>
          <w:color w:val="67287F"/>
          <w:sz w:val="28"/>
        </w:rPr>
        <w:t>2</w:t>
      </w:r>
      <w:r>
        <w:rPr>
          <w:b/>
          <w:color w:val="67287F"/>
          <w:spacing w:val="-6"/>
          <w:sz w:val="28"/>
        </w:rPr>
        <w:t> </w:t>
      </w:r>
      <w:r>
        <w:rPr>
          <w:b/>
          <w:color w:val="67287F"/>
          <w:sz w:val="28"/>
        </w:rPr>
        <w:t>and</w:t>
      </w:r>
      <w:r>
        <w:rPr>
          <w:b/>
          <w:color w:val="67287F"/>
          <w:spacing w:val="-6"/>
          <w:sz w:val="28"/>
        </w:rPr>
        <w:t> </w:t>
      </w:r>
      <w:r>
        <w:rPr>
          <w:b/>
          <w:color w:val="67287F"/>
          <w:sz w:val="28"/>
        </w:rPr>
        <w:t>13</w:t>
      </w:r>
      <w:r>
        <w:rPr>
          <w:b/>
          <w:color w:val="67287F"/>
          <w:spacing w:val="-6"/>
          <w:sz w:val="28"/>
        </w:rPr>
        <w:t> </w:t>
      </w:r>
      <w:r>
        <w:rPr>
          <w:b/>
          <w:color w:val="67287F"/>
          <w:sz w:val="28"/>
        </w:rPr>
        <w:t>of</w:t>
      </w:r>
      <w:r>
        <w:rPr>
          <w:b/>
          <w:color w:val="67287F"/>
          <w:spacing w:val="-7"/>
          <w:sz w:val="28"/>
        </w:rPr>
        <w:t> </w:t>
      </w:r>
      <w:r>
        <w:rPr>
          <w:b/>
          <w:color w:val="67287F"/>
          <w:sz w:val="28"/>
        </w:rPr>
        <w:t>the</w:t>
      </w:r>
      <w:r>
        <w:rPr>
          <w:b/>
          <w:color w:val="67287F"/>
          <w:spacing w:val="-7"/>
          <w:sz w:val="28"/>
        </w:rPr>
        <w:t> </w:t>
      </w:r>
      <w:r>
        <w:rPr>
          <w:b/>
          <w:color w:val="67287F"/>
          <w:sz w:val="28"/>
        </w:rPr>
        <w:t>Windsor</w:t>
      </w:r>
      <w:r>
        <w:rPr>
          <w:b/>
          <w:color w:val="67287F"/>
          <w:spacing w:val="-7"/>
          <w:sz w:val="28"/>
        </w:rPr>
        <w:t> </w:t>
      </w:r>
      <w:r>
        <w:rPr>
          <w:b/>
          <w:color w:val="67287F"/>
          <w:sz w:val="28"/>
        </w:rPr>
        <w:t>Framework, NI law should be amended to keep pace with those provisions of the EU directives on standards for equality bodies, if adopted, which amend or replace the EU Employment Equality (Framework) Directive.</w:t>
      </w:r>
    </w:p>
    <w:p>
      <w:pPr>
        <w:pStyle w:val="Heading5"/>
        <w:spacing w:before="298"/>
        <w:ind w:left="1133" w:firstLine="0"/>
      </w:pPr>
      <w:bookmarkStart w:name="Gender Equality" w:id="48"/>
      <w:bookmarkEnd w:id="48"/>
      <w:r>
        <w:rPr>
          <w:b w:val="0"/>
        </w:rPr>
      </w:r>
      <w:r>
        <w:rPr>
          <w:color w:val="393B80"/>
        </w:rPr>
        <w:t>Gender</w:t>
      </w:r>
      <w:r>
        <w:rPr>
          <w:color w:val="393B80"/>
          <w:spacing w:val="-8"/>
        </w:rPr>
        <w:t> </w:t>
      </w:r>
      <w:r>
        <w:rPr>
          <w:color w:val="393B80"/>
          <w:spacing w:val="-2"/>
        </w:rPr>
        <w:t>Equality</w:t>
      </w:r>
    </w:p>
    <w:p>
      <w:pPr>
        <w:pStyle w:val="ListParagraph"/>
        <w:numPr>
          <w:ilvl w:val="1"/>
          <w:numId w:val="7"/>
        </w:numPr>
        <w:tabs>
          <w:tab w:pos="1853" w:val="left" w:leader="none"/>
        </w:tabs>
        <w:spacing w:line="225" w:lineRule="auto" w:before="330" w:after="0"/>
        <w:ind w:left="1853" w:right="1150" w:hanging="720"/>
        <w:jc w:val="left"/>
        <w:rPr>
          <w:sz w:val="28"/>
        </w:rPr>
      </w:pPr>
      <w:r>
        <w:rPr>
          <w:sz w:val="28"/>
        </w:rPr>
        <w:t>Windsor Framework Articles 2 and 13 require the law in NI to keep pace with any improvements to minimum standards of equality protection enshrined in six EU directives listed in Annex 1 to the Windsor Framework.</w:t>
      </w:r>
      <w:r>
        <w:rPr>
          <w:spacing w:val="40"/>
          <w:sz w:val="28"/>
        </w:rPr>
        <w:t> </w:t>
      </w:r>
      <w:r>
        <w:rPr>
          <w:sz w:val="28"/>
        </w:rPr>
        <w:t>This includes the </w:t>
      </w:r>
      <w:r>
        <w:rPr>
          <w:b/>
          <w:color w:val="393B80"/>
          <w:sz w:val="28"/>
        </w:rPr>
        <w:t>EU equality directives which protect against gender discrimination </w:t>
      </w:r>
      <w:r>
        <w:rPr>
          <w:sz w:val="28"/>
        </w:rPr>
        <w:t>and which cover </w:t>
      </w:r>
      <w:r>
        <w:rPr>
          <w:b/>
          <w:color w:val="393B80"/>
          <w:sz w:val="28"/>
        </w:rPr>
        <w:t>employment and vocational training</w:t>
      </w:r>
      <w:r>
        <w:rPr>
          <w:color w:val="393B80"/>
          <w:sz w:val="28"/>
        </w:rPr>
        <w:t>,</w:t>
      </w:r>
      <w:r>
        <w:rPr>
          <w:sz w:val="28"/>
          <w:vertAlign w:val="superscript"/>
        </w:rPr>
        <w:t>249</w:t>
      </w:r>
      <w:r>
        <w:rPr>
          <w:sz w:val="28"/>
          <w:vertAlign w:val="baseline"/>
        </w:rPr>
        <w:t> </w:t>
      </w:r>
      <w:r>
        <w:rPr>
          <w:b/>
          <w:color w:val="393B80"/>
          <w:sz w:val="28"/>
          <w:vertAlign w:val="baseline"/>
        </w:rPr>
        <w:t>access to goods and services</w:t>
      </w:r>
      <w:r>
        <w:rPr>
          <w:color w:val="393B80"/>
          <w:sz w:val="28"/>
          <w:vertAlign w:val="baseline"/>
        </w:rPr>
        <w:t>,</w:t>
      </w:r>
      <w:r>
        <w:rPr>
          <w:sz w:val="28"/>
          <w:vertAlign w:val="superscript"/>
        </w:rPr>
        <w:t>250</w:t>
      </w:r>
      <w:r>
        <w:rPr>
          <w:spacing w:val="-12"/>
          <w:sz w:val="28"/>
          <w:vertAlign w:val="baseline"/>
        </w:rPr>
        <w:t> </w:t>
      </w:r>
      <w:r>
        <w:rPr>
          <w:b/>
          <w:color w:val="393B80"/>
          <w:sz w:val="28"/>
          <w:vertAlign w:val="baseline"/>
        </w:rPr>
        <w:t>and</w:t>
      </w:r>
      <w:r>
        <w:rPr>
          <w:b/>
          <w:color w:val="393B80"/>
          <w:spacing w:val="-11"/>
          <w:sz w:val="28"/>
          <w:vertAlign w:val="baseline"/>
        </w:rPr>
        <w:t> </w:t>
      </w:r>
      <w:r>
        <w:rPr>
          <w:b/>
          <w:color w:val="393B80"/>
          <w:sz w:val="28"/>
          <w:vertAlign w:val="baseline"/>
        </w:rPr>
        <w:t>social</w:t>
      </w:r>
      <w:r>
        <w:rPr>
          <w:b/>
          <w:color w:val="393B80"/>
          <w:spacing w:val="-11"/>
          <w:sz w:val="28"/>
          <w:vertAlign w:val="baseline"/>
        </w:rPr>
        <w:t> </w:t>
      </w:r>
      <w:r>
        <w:rPr>
          <w:b/>
          <w:color w:val="393B80"/>
          <w:sz w:val="28"/>
          <w:vertAlign w:val="baseline"/>
        </w:rPr>
        <w:t>security</w:t>
      </w:r>
      <w:r>
        <w:rPr>
          <w:color w:val="393B80"/>
          <w:sz w:val="28"/>
          <w:vertAlign w:val="baseline"/>
        </w:rPr>
        <w:t>.</w:t>
      </w:r>
      <w:r>
        <w:rPr>
          <w:sz w:val="28"/>
          <w:vertAlign w:val="superscript"/>
        </w:rPr>
        <w:t>251</w:t>
      </w:r>
      <w:r>
        <w:rPr>
          <w:spacing w:val="-12"/>
          <w:sz w:val="28"/>
          <w:vertAlign w:val="baseline"/>
        </w:rPr>
        <w:t> </w:t>
      </w:r>
      <w:r>
        <w:rPr>
          <w:sz w:val="28"/>
          <w:vertAlign w:val="baseline"/>
        </w:rPr>
        <w:t>The</w:t>
      </w:r>
      <w:r>
        <w:rPr>
          <w:spacing w:val="-11"/>
          <w:sz w:val="28"/>
          <w:vertAlign w:val="baseline"/>
        </w:rPr>
        <w:t> </w:t>
      </w:r>
      <w:r>
        <w:rPr>
          <w:sz w:val="28"/>
          <w:vertAlign w:val="baseline"/>
        </w:rPr>
        <w:t>obligation</w:t>
      </w:r>
      <w:r>
        <w:rPr>
          <w:spacing w:val="-12"/>
          <w:sz w:val="28"/>
          <w:vertAlign w:val="baseline"/>
        </w:rPr>
        <w:t> </w:t>
      </w:r>
      <w:r>
        <w:rPr>
          <w:sz w:val="28"/>
          <w:vertAlign w:val="baseline"/>
        </w:rPr>
        <w:t>also</w:t>
      </w:r>
      <w:r>
        <w:rPr>
          <w:spacing w:val="-12"/>
          <w:sz w:val="28"/>
          <w:vertAlign w:val="baseline"/>
        </w:rPr>
        <w:t> </w:t>
      </w:r>
      <w:r>
        <w:rPr>
          <w:sz w:val="28"/>
          <w:vertAlign w:val="baseline"/>
        </w:rPr>
        <w:t>requires</w:t>
      </w:r>
      <w:r>
        <w:rPr>
          <w:spacing w:val="-12"/>
          <w:sz w:val="28"/>
          <w:vertAlign w:val="baseline"/>
        </w:rPr>
        <w:t> </w:t>
      </w:r>
      <w:r>
        <w:rPr>
          <w:sz w:val="28"/>
          <w:vertAlign w:val="baseline"/>
        </w:rPr>
        <w:t>compliance</w:t>
      </w:r>
      <w:r>
        <w:rPr>
          <w:spacing w:val="-11"/>
          <w:sz w:val="28"/>
          <w:vertAlign w:val="baseline"/>
        </w:rPr>
        <w:t> </w:t>
      </w:r>
      <w:r>
        <w:rPr>
          <w:sz w:val="28"/>
          <w:vertAlign w:val="baseline"/>
        </w:rPr>
        <w:t>with current and future CJEU case-law.</w:t>
      </w:r>
    </w:p>
    <w:p>
      <w:pPr>
        <w:pStyle w:val="ListParagraph"/>
        <w:numPr>
          <w:ilvl w:val="1"/>
          <w:numId w:val="7"/>
        </w:numPr>
        <w:tabs>
          <w:tab w:pos="1853" w:val="left" w:leader="none"/>
        </w:tabs>
        <w:spacing w:line="225" w:lineRule="auto" w:before="311" w:after="0"/>
        <w:ind w:left="1853" w:right="1287" w:hanging="720"/>
        <w:jc w:val="left"/>
        <w:rPr>
          <w:sz w:val="28"/>
        </w:rPr>
      </w:pPr>
      <w:r>
        <w:rPr>
          <w:sz w:val="28"/>
        </w:rPr>
        <w:t>The rights, safeguards and equality of opportunity provisions set out in the relevant</w:t>
      </w:r>
      <w:r>
        <w:rPr>
          <w:spacing w:val="-4"/>
          <w:sz w:val="28"/>
        </w:rPr>
        <w:t> </w:t>
      </w:r>
      <w:r>
        <w:rPr>
          <w:sz w:val="28"/>
        </w:rPr>
        <w:t>chapter</w:t>
      </w:r>
      <w:r>
        <w:rPr>
          <w:spacing w:val="-4"/>
          <w:sz w:val="28"/>
        </w:rPr>
        <w:t> </w:t>
      </w:r>
      <w:r>
        <w:rPr>
          <w:sz w:val="28"/>
        </w:rPr>
        <w:t>of</w:t>
      </w:r>
      <w:r>
        <w:rPr>
          <w:spacing w:val="-5"/>
          <w:sz w:val="28"/>
        </w:rPr>
        <w:t> </w:t>
      </w:r>
      <w:r>
        <w:rPr>
          <w:sz w:val="28"/>
        </w:rPr>
        <w:t>the</w:t>
      </w:r>
      <w:r>
        <w:rPr>
          <w:spacing w:val="-4"/>
          <w:sz w:val="28"/>
        </w:rPr>
        <w:t> </w:t>
      </w:r>
      <w:r>
        <w:rPr>
          <w:sz w:val="28"/>
        </w:rPr>
        <w:t>Belfast</w:t>
      </w:r>
      <w:r>
        <w:rPr>
          <w:spacing w:val="-4"/>
          <w:sz w:val="28"/>
        </w:rPr>
        <w:t> </w:t>
      </w:r>
      <w:r>
        <w:rPr>
          <w:sz w:val="28"/>
        </w:rPr>
        <w:t>(Good</w:t>
      </w:r>
      <w:r>
        <w:rPr>
          <w:spacing w:val="-5"/>
          <w:sz w:val="28"/>
        </w:rPr>
        <w:t> </w:t>
      </w:r>
      <w:r>
        <w:rPr>
          <w:sz w:val="28"/>
        </w:rPr>
        <w:t>Friday)</w:t>
      </w:r>
      <w:r>
        <w:rPr>
          <w:spacing w:val="-5"/>
          <w:sz w:val="28"/>
        </w:rPr>
        <w:t> </w:t>
      </w:r>
      <w:r>
        <w:rPr>
          <w:sz w:val="28"/>
        </w:rPr>
        <w:t>Agreement</w:t>
      </w:r>
      <w:r>
        <w:rPr>
          <w:spacing w:val="-4"/>
          <w:sz w:val="28"/>
        </w:rPr>
        <w:t> </w:t>
      </w:r>
      <w:r>
        <w:rPr>
          <w:sz w:val="28"/>
        </w:rPr>
        <w:t>include</w:t>
      </w:r>
      <w:r>
        <w:rPr>
          <w:spacing w:val="-4"/>
          <w:sz w:val="28"/>
        </w:rPr>
        <w:t> </w:t>
      </w:r>
      <w:r>
        <w:rPr>
          <w:sz w:val="28"/>
        </w:rPr>
        <w:t>the</w:t>
      </w:r>
      <w:r>
        <w:rPr>
          <w:spacing w:val="-4"/>
          <w:sz w:val="28"/>
        </w:rPr>
        <w:t> </w:t>
      </w:r>
      <w:r>
        <w:rPr>
          <w:sz w:val="28"/>
        </w:rPr>
        <w:t>“right</w:t>
      </w:r>
      <w:r>
        <w:rPr>
          <w:spacing w:val="-4"/>
          <w:sz w:val="28"/>
        </w:rPr>
        <w:t> </w:t>
      </w:r>
      <w:r>
        <w:rPr>
          <w:sz w:val="28"/>
        </w:rPr>
        <w:t>to equal</w:t>
      </w:r>
      <w:r>
        <w:rPr>
          <w:spacing w:val="-8"/>
          <w:sz w:val="28"/>
        </w:rPr>
        <w:t> </w:t>
      </w:r>
      <w:r>
        <w:rPr>
          <w:sz w:val="28"/>
        </w:rPr>
        <w:t>opportunity</w:t>
      </w:r>
      <w:r>
        <w:rPr>
          <w:spacing w:val="-7"/>
          <w:sz w:val="28"/>
        </w:rPr>
        <w:t> </w:t>
      </w:r>
      <w:r>
        <w:rPr>
          <w:sz w:val="28"/>
        </w:rPr>
        <w:t>in</w:t>
      </w:r>
      <w:r>
        <w:rPr>
          <w:spacing w:val="-8"/>
          <w:sz w:val="28"/>
        </w:rPr>
        <w:t> </w:t>
      </w:r>
      <w:r>
        <w:rPr>
          <w:sz w:val="28"/>
        </w:rPr>
        <w:t>all</w:t>
      </w:r>
      <w:r>
        <w:rPr>
          <w:spacing w:val="-8"/>
          <w:sz w:val="28"/>
        </w:rPr>
        <w:t> </w:t>
      </w:r>
      <w:r>
        <w:rPr>
          <w:sz w:val="28"/>
        </w:rPr>
        <w:t>social</w:t>
      </w:r>
      <w:r>
        <w:rPr>
          <w:spacing w:val="-8"/>
          <w:sz w:val="28"/>
        </w:rPr>
        <w:t> </w:t>
      </w:r>
      <w:r>
        <w:rPr>
          <w:sz w:val="28"/>
        </w:rPr>
        <w:t>and</w:t>
      </w:r>
      <w:r>
        <w:rPr>
          <w:spacing w:val="-8"/>
          <w:sz w:val="28"/>
        </w:rPr>
        <w:t> </w:t>
      </w:r>
      <w:r>
        <w:rPr>
          <w:sz w:val="28"/>
        </w:rPr>
        <w:t>economic</w:t>
      </w:r>
      <w:r>
        <w:rPr>
          <w:spacing w:val="-7"/>
          <w:sz w:val="28"/>
        </w:rPr>
        <w:t> </w:t>
      </w:r>
      <w:r>
        <w:rPr>
          <w:sz w:val="28"/>
        </w:rPr>
        <w:t>activity,</w:t>
      </w:r>
      <w:r>
        <w:rPr>
          <w:spacing w:val="-7"/>
          <w:sz w:val="28"/>
        </w:rPr>
        <w:t> </w:t>
      </w:r>
      <w:r>
        <w:rPr>
          <w:sz w:val="28"/>
        </w:rPr>
        <w:t>regardless</w:t>
      </w:r>
      <w:r>
        <w:rPr>
          <w:spacing w:val="-8"/>
          <w:sz w:val="28"/>
        </w:rPr>
        <w:t> </w:t>
      </w:r>
      <w:r>
        <w:rPr>
          <w:sz w:val="28"/>
        </w:rPr>
        <w:t>of</w:t>
      </w:r>
      <w:r>
        <w:rPr>
          <w:spacing w:val="-8"/>
          <w:sz w:val="28"/>
        </w:rPr>
        <w:t> </w:t>
      </w:r>
      <w:r>
        <w:rPr>
          <w:sz w:val="28"/>
        </w:rPr>
        <w:t>…</w:t>
      </w:r>
      <w:r>
        <w:rPr>
          <w:spacing w:val="-8"/>
          <w:sz w:val="28"/>
        </w:rPr>
        <w:t> </w:t>
      </w:r>
      <w:r>
        <w:rPr>
          <w:sz w:val="28"/>
        </w:rPr>
        <w:t>gender”. To the extent that additional EU obligations fall within the scope of Windsor Framework Article 2, such as the EU Parental Leave Directive</w:t>
      </w:r>
      <w:r>
        <w:rPr>
          <w:sz w:val="28"/>
          <w:vertAlign w:val="superscript"/>
        </w:rPr>
        <w:t>252</w:t>
      </w:r>
      <w:r>
        <w:rPr>
          <w:sz w:val="28"/>
          <w:vertAlign w:val="baseline"/>
        </w:rPr>
        <w:t> and the EU Pregnant Worker’s Directive,</w:t>
      </w:r>
      <w:r>
        <w:rPr>
          <w:sz w:val="28"/>
          <w:vertAlign w:val="superscript"/>
        </w:rPr>
        <w:t>253</w:t>
      </w:r>
      <w:r>
        <w:rPr>
          <w:sz w:val="28"/>
          <w:vertAlign w:val="baseline"/>
        </w:rPr>
        <w:t> there should be no diminution of rights, safeguards</w:t>
      </w:r>
      <w:r>
        <w:rPr>
          <w:spacing w:val="-6"/>
          <w:sz w:val="28"/>
          <w:vertAlign w:val="baseline"/>
        </w:rPr>
        <w:t> </w:t>
      </w:r>
      <w:r>
        <w:rPr>
          <w:sz w:val="28"/>
          <w:vertAlign w:val="baseline"/>
        </w:rPr>
        <w:t>and</w:t>
      </w:r>
      <w:r>
        <w:rPr>
          <w:spacing w:val="-6"/>
          <w:sz w:val="28"/>
          <w:vertAlign w:val="baseline"/>
        </w:rPr>
        <w:t> </w:t>
      </w:r>
      <w:r>
        <w:rPr>
          <w:sz w:val="28"/>
          <w:vertAlign w:val="baseline"/>
        </w:rPr>
        <w:t>equality</w:t>
      </w:r>
      <w:r>
        <w:rPr>
          <w:spacing w:val="-5"/>
          <w:sz w:val="28"/>
          <w:vertAlign w:val="baseline"/>
        </w:rPr>
        <w:t> </w:t>
      </w:r>
      <w:r>
        <w:rPr>
          <w:sz w:val="28"/>
          <w:vertAlign w:val="baseline"/>
        </w:rPr>
        <w:t>of</w:t>
      </w:r>
      <w:r>
        <w:rPr>
          <w:spacing w:val="-6"/>
          <w:sz w:val="28"/>
          <w:vertAlign w:val="baseline"/>
        </w:rPr>
        <w:t> </w:t>
      </w:r>
      <w:r>
        <w:rPr>
          <w:sz w:val="28"/>
          <w:vertAlign w:val="baseline"/>
        </w:rPr>
        <w:t>opportunity</w:t>
      </w:r>
      <w:r>
        <w:rPr>
          <w:spacing w:val="-5"/>
          <w:sz w:val="28"/>
          <w:vertAlign w:val="baseline"/>
        </w:rPr>
        <w:t> </w:t>
      </w:r>
      <w:r>
        <w:rPr>
          <w:sz w:val="28"/>
          <w:vertAlign w:val="baseline"/>
        </w:rPr>
        <w:t>following</w:t>
      </w:r>
      <w:r>
        <w:rPr>
          <w:spacing w:val="-5"/>
          <w:sz w:val="28"/>
          <w:vertAlign w:val="baseline"/>
        </w:rPr>
        <w:t> </w:t>
      </w:r>
      <w:r>
        <w:rPr>
          <w:sz w:val="28"/>
          <w:vertAlign w:val="baseline"/>
        </w:rPr>
        <w:t>the</w:t>
      </w:r>
      <w:r>
        <w:rPr>
          <w:spacing w:val="-5"/>
          <w:sz w:val="28"/>
          <w:vertAlign w:val="baseline"/>
        </w:rPr>
        <w:t> </w:t>
      </w:r>
      <w:r>
        <w:rPr>
          <w:sz w:val="28"/>
          <w:vertAlign w:val="baseline"/>
        </w:rPr>
        <w:t>UK</w:t>
      </w:r>
      <w:r>
        <w:rPr>
          <w:spacing w:val="-5"/>
          <w:sz w:val="28"/>
          <w:vertAlign w:val="baseline"/>
        </w:rPr>
        <w:t> </w:t>
      </w:r>
      <w:r>
        <w:rPr>
          <w:sz w:val="28"/>
          <w:vertAlign w:val="baseline"/>
        </w:rPr>
        <w:t>withdrawal</w:t>
      </w:r>
      <w:r>
        <w:rPr>
          <w:spacing w:val="-6"/>
          <w:sz w:val="28"/>
          <w:vertAlign w:val="baseline"/>
        </w:rPr>
        <w:t> </w:t>
      </w:r>
      <w:r>
        <w:rPr>
          <w:sz w:val="28"/>
          <w:vertAlign w:val="baseline"/>
        </w:rPr>
        <w:t>from</w:t>
      </w:r>
      <w:r>
        <w:rPr>
          <w:spacing w:val="-5"/>
          <w:sz w:val="28"/>
          <w:vertAlign w:val="baseline"/>
        </w:rPr>
        <w:t> </w:t>
      </w:r>
      <w:r>
        <w:rPr>
          <w:sz w:val="28"/>
          <w:vertAlign w:val="baseline"/>
        </w:rPr>
        <w:t>the </w:t>
      </w:r>
      <w:r>
        <w:rPr>
          <w:spacing w:val="-4"/>
          <w:sz w:val="28"/>
          <w:vertAlign w:val="baseline"/>
        </w:rPr>
        <w:t>EU.</w:t>
      </w:r>
    </w:p>
    <w:p>
      <w:pPr>
        <w:pStyle w:val="ListParagraph"/>
        <w:numPr>
          <w:ilvl w:val="1"/>
          <w:numId w:val="7"/>
        </w:numPr>
        <w:tabs>
          <w:tab w:pos="1853" w:val="left" w:leader="none"/>
        </w:tabs>
        <w:spacing w:line="225" w:lineRule="auto" w:before="310" w:after="0"/>
        <w:ind w:left="1853" w:right="1151" w:hanging="720"/>
        <w:jc w:val="left"/>
        <w:rPr>
          <w:sz w:val="28"/>
        </w:rPr>
      </w:pPr>
      <w:r>
        <w:rPr>
          <w:sz w:val="28"/>
        </w:rPr>
        <w:t>As noted above, in December 2022, the EU Commission published proposals for two EU directives on standards for equality bodies.</w:t>
      </w:r>
      <w:r>
        <w:rPr>
          <w:sz w:val="28"/>
          <w:vertAlign w:val="superscript"/>
        </w:rPr>
        <w:t>254</w:t>
      </w:r>
      <w:r>
        <w:rPr>
          <w:sz w:val="28"/>
          <w:vertAlign w:val="baseline"/>
        </w:rPr>
        <w:t> The Commissions, consider</w:t>
      </w:r>
      <w:r>
        <w:rPr>
          <w:spacing w:val="-6"/>
          <w:sz w:val="28"/>
          <w:vertAlign w:val="baseline"/>
        </w:rPr>
        <w:t> </w:t>
      </w:r>
      <w:r>
        <w:rPr>
          <w:sz w:val="28"/>
          <w:vertAlign w:val="baseline"/>
        </w:rPr>
        <w:t>that</w:t>
      </w:r>
      <w:r>
        <w:rPr>
          <w:spacing w:val="-6"/>
          <w:sz w:val="28"/>
          <w:vertAlign w:val="baseline"/>
        </w:rPr>
        <w:t> </w:t>
      </w:r>
      <w:r>
        <w:rPr>
          <w:sz w:val="28"/>
          <w:vertAlign w:val="baseline"/>
        </w:rPr>
        <w:t>the</w:t>
      </w:r>
      <w:r>
        <w:rPr>
          <w:spacing w:val="-6"/>
          <w:sz w:val="28"/>
          <w:vertAlign w:val="baseline"/>
        </w:rPr>
        <w:t> </w:t>
      </w:r>
      <w:r>
        <w:rPr>
          <w:sz w:val="28"/>
          <w:vertAlign w:val="baseline"/>
        </w:rPr>
        <w:t>proposed</w:t>
      </w:r>
      <w:r>
        <w:rPr>
          <w:spacing w:val="-6"/>
          <w:sz w:val="28"/>
          <w:vertAlign w:val="baseline"/>
        </w:rPr>
        <w:t> </w:t>
      </w:r>
      <w:r>
        <w:rPr>
          <w:sz w:val="28"/>
          <w:vertAlign w:val="baseline"/>
        </w:rPr>
        <w:t>directives</w:t>
      </w:r>
      <w:r>
        <w:rPr>
          <w:spacing w:val="-6"/>
          <w:sz w:val="28"/>
          <w:vertAlign w:val="baseline"/>
        </w:rPr>
        <w:t> </w:t>
      </w:r>
      <w:r>
        <w:rPr>
          <w:sz w:val="28"/>
          <w:vertAlign w:val="baseline"/>
        </w:rPr>
        <w:t>amend</w:t>
      </w:r>
      <w:r>
        <w:rPr>
          <w:spacing w:val="-6"/>
          <w:sz w:val="28"/>
          <w:vertAlign w:val="baseline"/>
        </w:rPr>
        <w:t> </w:t>
      </w:r>
      <w:r>
        <w:rPr>
          <w:sz w:val="28"/>
          <w:vertAlign w:val="baseline"/>
        </w:rPr>
        <w:t>provisions</w:t>
      </w:r>
      <w:r>
        <w:rPr>
          <w:spacing w:val="-6"/>
          <w:sz w:val="28"/>
          <w:vertAlign w:val="baseline"/>
        </w:rPr>
        <w:t> </w:t>
      </w:r>
      <w:r>
        <w:rPr>
          <w:sz w:val="28"/>
          <w:vertAlign w:val="baseline"/>
        </w:rPr>
        <w:t>of</w:t>
      </w:r>
      <w:r>
        <w:rPr>
          <w:spacing w:val="-6"/>
          <w:sz w:val="28"/>
          <w:vertAlign w:val="baseline"/>
        </w:rPr>
        <w:t> </w:t>
      </w:r>
      <w:r>
        <w:rPr>
          <w:sz w:val="28"/>
          <w:vertAlign w:val="baseline"/>
        </w:rPr>
        <w:t>the</w:t>
      </w:r>
      <w:r>
        <w:rPr>
          <w:spacing w:val="-6"/>
          <w:sz w:val="28"/>
          <w:vertAlign w:val="baseline"/>
        </w:rPr>
        <w:t> </w:t>
      </w:r>
      <w:r>
        <w:rPr>
          <w:sz w:val="28"/>
          <w:vertAlign w:val="baseline"/>
        </w:rPr>
        <w:t>gender</w:t>
      </w:r>
      <w:r>
        <w:rPr>
          <w:spacing w:val="-6"/>
          <w:sz w:val="28"/>
          <w:vertAlign w:val="baseline"/>
        </w:rPr>
        <w:t> </w:t>
      </w:r>
      <w:r>
        <w:rPr>
          <w:sz w:val="28"/>
          <w:vertAlign w:val="baseline"/>
        </w:rPr>
        <w:t>equality</w:t>
      </w:r>
    </w:p>
    <w:p>
      <w:pPr>
        <w:pStyle w:val="BodyText"/>
        <w:spacing w:before="66"/>
        <w:rPr>
          <w:sz w:val="20"/>
        </w:rPr>
      </w:pPr>
      <w:r>
        <w:rPr/>
        <mc:AlternateContent>
          <mc:Choice Requires="wps">
            <w:drawing>
              <wp:anchor distT="0" distB="0" distL="0" distR="0" allowOverlap="1" layoutInCell="1" locked="0" behindDoc="1" simplePos="0" relativeHeight="487654912">
                <wp:simplePos x="0" y="0"/>
                <wp:positionH relativeFrom="page">
                  <wp:posOffset>719999</wp:posOffset>
                </wp:positionH>
                <wp:positionV relativeFrom="paragraph">
                  <wp:posOffset>212294</wp:posOffset>
                </wp:positionV>
                <wp:extent cx="6120130" cy="1270"/>
                <wp:effectExtent l="0" t="0" r="0" b="0"/>
                <wp:wrapTopAndBottom/>
                <wp:docPr id="266" name="Graphic 266"/>
                <wp:cNvGraphicFramePr>
                  <a:graphicFrameLocks/>
                </wp:cNvGraphicFramePr>
                <a:graphic>
                  <a:graphicData uri="http://schemas.microsoft.com/office/word/2010/wordprocessingShape">
                    <wps:wsp>
                      <wps:cNvPr id="266" name="Graphic 266"/>
                      <wps:cNvSpPr/>
                      <wps:spPr>
                        <a:xfrm>
                          <a:off x="0" y="0"/>
                          <a:ext cx="6120130" cy="1270"/>
                        </a:xfrm>
                        <a:custGeom>
                          <a:avLst/>
                          <a:gdLst/>
                          <a:ahLst/>
                          <a:cxnLst/>
                          <a:rect l="l" t="t" r="r" b="b"/>
                          <a:pathLst>
                            <a:path w="6120130" h="0">
                              <a:moveTo>
                                <a:pt x="0" y="0"/>
                              </a:moveTo>
                              <a:lnTo>
                                <a:pt x="6120003"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6.716091pt;width:481.9pt;height:.1pt;mso-position-horizontal-relative:page;mso-position-vertical-relative:paragraph;z-index:-15661568;mso-wrap-distance-left:0;mso-wrap-distance-right:0" id="docshape220" coordorigin="1134,334" coordsize="9638,0" path="m1134,334l10772,334e" filled="false" stroked="true" strokeweight="1pt" strokecolor="#393b7f">
                <v:path arrowok="t"/>
                <v:stroke dashstyle="solid"/>
                <w10:wrap type="topAndBottom"/>
              </v:shape>
            </w:pict>
          </mc:Fallback>
        </mc:AlternateContent>
      </w:r>
    </w:p>
    <w:p>
      <w:pPr>
        <w:pStyle w:val="ListParagraph"/>
        <w:numPr>
          <w:ilvl w:val="0"/>
          <w:numId w:val="8"/>
        </w:numPr>
        <w:tabs>
          <w:tab w:pos="1853" w:val="left" w:leader="none"/>
        </w:tabs>
        <w:spacing w:line="235" w:lineRule="auto" w:before="118" w:after="0"/>
        <w:ind w:left="1853" w:right="1562" w:hanging="720"/>
        <w:jc w:val="left"/>
        <w:rPr>
          <w:sz w:val="18"/>
        </w:rPr>
      </w:pPr>
      <w:r>
        <w:rPr>
          <w:sz w:val="18"/>
        </w:rPr>
        <w:t>Directive</w:t>
      </w:r>
      <w:r>
        <w:rPr>
          <w:spacing w:val="-4"/>
          <w:sz w:val="18"/>
        </w:rPr>
        <w:t> </w:t>
      </w:r>
      <w:r>
        <w:rPr>
          <w:sz w:val="18"/>
        </w:rPr>
        <w:t>2006/54/EC,</w:t>
      </w:r>
      <w:r>
        <w:rPr>
          <w:spacing w:val="-4"/>
          <w:sz w:val="18"/>
        </w:rPr>
        <w:t> </w:t>
      </w:r>
      <w:r>
        <w:rPr>
          <w:sz w:val="18"/>
        </w:rPr>
        <w:t>‘EU</w:t>
      </w:r>
      <w:r>
        <w:rPr>
          <w:spacing w:val="-4"/>
          <w:sz w:val="18"/>
        </w:rPr>
        <w:t> </w:t>
      </w:r>
      <w:r>
        <w:rPr>
          <w:sz w:val="18"/>
        </w:rPr>
        <w:t>Council</w:t>
      </w:r>
      <w:r>
        <w:rPr>
          <w:spacing w:val="-5"/>
          <w:sz w:val="18"/>
        </w:rPr>
        <w:t> </w:t>
      </w:r>
      <w:r>
        <w:rPr>
          <w:sz w:val="18"/>
        </w:rPr>
        <w:t>Directive</w:t>
      </w:r>
      <w:r>
        <w:rPr>
          <w:spacing w:val="-4"/>
          <w:sz w:val="18"/>
        </w:rPr>
        <w:t> </w:t>
      </w:r>
      <w:r>
        <w:rPr>
          <w:sz w:val="18"/>
        </w:rPr>
        <w:t>on</w:t>
      </w:r>
      <w:r>
        <w:rPr>
          <w:spacing w:val="-5"/>
          <w:sz w:val="18"/>
        </w:rPr>
        <w:t> </w:t>
      </w:r>
      <w:r>
        <w:rPr>
          <w:sz w:val="18"/>
        </w:rPr>
        <w:t>the</w:t>
      </w:r>
      <w:r>
        <w:rPr>
          <w:spacing w:val="-4"/>
          <w:sz w:val="18"/>
        </w:rPr>
        <w:t> </w:t>
      </w:r>
      <w:r>
        <w:rPr>
          <w:sz w:val="18"/>
        </w:rPr>
        <w:t>Implementation</w:t>
      </w:r>
      <w:r>
        <w:rPr>
          <w:spacing w:val="-5"/>
          <w:sz w:val="18"/>
        </w:rPr>
        <w:t> </w:t>
      </w:r>
      <w:r>
        <w:rPr>
          <w:sz w:val="18"/>
        </w:rPr>
        <w:t>of</w:t>
      </w:r>
      <w:r>
        <w:rPr>
          <w:spacing w:val="-5"/>
          <w:sz w:val="18"/>
        </w:rPr>
        <w:t> </w:t>
      </w:r>
      <w:r>
        <w:rPr>
          <w:sz w:val="18"/>
        </w:rPr>
        <w:t>the</w:t>
      </w:r>
      <w:r>
        <w:rPr>
          <w:spacing w:val="-4"/>
          <w:sz w:val="18"/>
        </w:rPr>
        <w:t> </w:t>
      </w:r>
      <w:r>
        <w:rPr>
          <w:sz w:val="18"/>
        </w:rPr>
        <w:t>Principle</w:t>
      </w:r>
      <w:r>
        <w:rPr>
          <w:spacing w:val="-4"/>
          <w:sz w:val="18"/>
        </w:rPr>
        <w:t> </w:t>
      </w:r>
      <w:r>
        <w:rPr>
          <w:sz w:val="18"/>
        </w:rPr>
        <w:t>of</w:t>
      </w:r>
      <w:r>
        <w:rPr>
          <w:spacing w:val="-5"/>
          <w:sz w:val="18"/>
        </w:rPr>
        <w:t> </w:t>
      </w:r>
      <w:r>
        <w:rPr>
          <w:sz w:val="18"/>
        </w:rPr>
        <w:t>Equal</w:t>
      </w:r>
      <w:r>
        <w:rPr>
          <w:spacing w:val="-5"/>
          <w:sz w:val="18"/>
        </w:rPr>
        <w:t> </w:t>
      </w:r>
      <w:r>
        <w:rPr>
          <w:sz w:val="18"/>
        </w:rPr>
        <w:t>Opportunities</w:t>
      </w:r>
      <w:r>
        <w:rPr>
          <w:spacing w:val="-5"/>
          <w:sz w:val="18"/>
        </w:rPr>
        <w:t> </w:t>
      </w:r>
      <w:r>
        <w:rPr>
          <w:sz w:val="18"/>
        </w:rPr>
        <w:t>and</w:t>
      </w:r>
      <w:r>
        <w:rPr>
          <w:spacing w:val="-5"/>
          <w:sz w:val="18"/>
        </w:rPr>
        <w:t> </w:t>
      </w:r>
      <w:r>
        <w:rPr>
          <w:sz w:val="18"/>
        </w:rPr>
        <w:t>Equal Treatment of Men and Women in Matters of Employment and Occupation’, 5 July 2006; Directive 2010/41/EU,</w:t>
      </w:r>
    </w:p>
    <w:p>
      <w:pPr>
        <w:spacing w:line="235" w:lineRule="auto" w:before="1"/>
        <w:ind w:left="1853" w:right="1171" w:firstLine="0"/>
        <w:jc w:val="left"/>
        <w:rPr>
          <w:sz w:val="18"/>
        </w:rPr>
      </w:pPr>
      <w:r>
        <w:rPr>
          <w:sz w:val="18"/>
        </w:rPr>
        <w:t>‘EU</w:t>
      </w:r>
      <w:r>
        <w:rPr>
          <w:spacing w:val="-4"/>
          <w:sz w:val="18"/>
        </w:rPr>
        <w:t> </w:t>
      </w:r>
      <w:r>
        <w:rPr>
          <w:sz w:val="18"/>
        </w:rPr>
        <w:t>Parliament</w:t>
      </w:r>
      <w:r>
        <w:rPr>
          <w:spacing w:val="-4"/>
          <w:sz w:val="18"/>
        </w:rPr>
        <w:t> </w:t>
      </w:r>
      <w:r>
        <w:rPr>
          <w:sz w:val="18"/>
        </w:rPr>
        <w:t>and</w:t>
      </w:r>
      <w:r>
        <w:rPr>
          <w:spacing w:val="-5"/>
          <w:sz w:val="18"/>
        </w:rPr>
        <w:t> </w:t>
      </w:r>
      <w:r>
        <w:rPr>
          <w:sz w:val="18"/>
        </w:rPr>
        <w:t>EU</w:t>
      </w:r>
      <w:r>
        <w:rPr>
          <w:spacing w:val="-4"/>
          <w:sz w:val="18"/>
        </w:rPr>
        <w:t> </w:t>
      </w:r>
      <w:r>
        <w:rPr>
          <w:sz w:val="18"/>
        </w:rPr>
        <w:t>Council</w:t>
      </w:r>
      <w:r>
        <w:rPr>
          <w:spacing w:val="-5"/>
          <w:sz w:val="18"/>
        </w:rPr>
        <w:t> </w:t>
      </w:r>
      <w:r>
        <w:rPr>
          <w:sz w:val="18"/>
        </w:rPr>
        <w:t>Directive</w:t>
      </w:r>
      <w:r>
        <w:rPr>
          <w:spacing w:val="-4"/>
          <w:sz w:val="18"/>
        </w:rPr>
        <w:t> </w:t>
      </w:r>
      <w:r>
        <w:rPr>
          <w:sz w:val="18"/>
        </w:rPr>
        <w:t>on</w:t>
      </w:r>
      <w:r>
        <w:rPr>
          <w:spacing w:val="-5"/>
          <w:sz w:val="18"/>
        </w:rPr>
        <w:t> </w:t>
      </w:r>
      <w:r>
        <w:rPr>
          <w:sz w:val="18"/>
        </w:rPr>
        <w:t>the</w:t>
      </w:r>
      <w:r>
        <w:rPr>
          <w:spacing w:val="-4"/>
          <w:sz w:val="18"/>
        </w:rPr>
        <w:t> </w:t>
      </w:r>
      <w:r>
        <w:rPr>
          <w:sz w:val="18"/>
        </w:rPr>
        <w:t>Application</w:t>
      </w:r>
      <w:r>
        <w:rPr>
          <w:spacing w:val="-5"/>
          <w:sz w:val="18"/>
        </w:rPr>
        <w:t> </w:t>
      </w:r>
      <w:r>
        <w:rPr>
          <w:sz w:val="18"/>
        </w:rPr>
        <w:t>of</w:t>
      </w:r>
      <w:r>
        <w:rPr>
          <w:spacing w:val="-5"/>
          <w:sz w:val="18"/>
        </w:rPr>
        <w:t> </w:t>
      </w:r>
      <w:r>
        <w:rPr>
          <w:sz w:val="18"/>
        </w:rPr>
        <w:t>the</w:t>
      </w:r>
      <w:r>
        <w:rPr>
          <w:spacing w:val="-4"/>
          <w:sz w:val="18"/>
        </w:rPr>
        <w:t> </w:t>
      </w:r>
      <w:r>
        <w:rPr>
          <w:sz w:val="18"/>
        </w:rPr>
        <w:t>Principle</w:t>
      </w:r>
      <w:r>
        <w:rPr>
          <w:spacing w:val="-4"/>
          <w:sz w:val="18"/>
        </w:rPr>
        <w:t> </w:t>
      </w:r>
      <w:r>
        <w:rPr>
          <w:sz w:val="18"/>
        </w:rPr>
        <w:t>of</w:t>
      </w:r>
      <w:r>
        <w:rPr>
          <w:spacing w:val="-5"/>
          <w:sz w:val="18"/>
        </w:rPr>
        <w:t> </w:t>
      </w:r>
      <w:r>
        <w:rPr>
          <w:sz w:val="18"/>
        </w:rPr>
        <w:t>Equal</w:t>
      </w:r>
      <w:r>
        <w:rPr>
          <w:spacing w:val="-5"/>
          <w:sz w:val="18"/>
        </w:rPr>
        <w:t> </w:t>
      </w:r>
      <w:r>
        <w:rPr>
          <w:sz w:val="18"/>
        </w:rPr>
        <w:t>Treatment</w:t>
      </w:r>
      <w:r>
        <w:rPr>
          <w:spacing w:val="-4"/>
          <w:sz w:val="18"/>
        </w:rPr>
        <w:t> </w:t>
      </w:r>
      <w:r>
        <w:rPr>
          <w:sz w:val="18"/>
        </w:rPr>
        <w:t>between</w:t>
      </w:r>
      <w:r>
        <w:rPr>
          <w:spacing w:val="-5"/>
          <w:sz w:val="18"/>
        </w:rPr>
        <w:t> </w:t>
      </w:r>
      <w:r>
        <w:rPr>
          <w:sz w:val="18"/>
        </w:rPr>
        <w:t>Men</w:t>
      </w:r>
      <w:r>
        <w:rPr>
          <w:spacing w:val="-5"/>
          <w:sz w:val="18"/>
        </w:rPr>
        <w:t> </w:t>
      </w:r>
      <w:r>
        <w:rPr>
          <w:sz w:val="18"/>
        </w:rPr>
        <w:t>and</w:t>
      </w:r>
      <w:r>
        <w:rPr>
          <w:spacing w:val="-5"/>
          <w:sz w:val="18"/>
        </w:rPr>
        <w:t> </w:t>
      </w:r>
      <w:r>
        <w:rPr>
          <w:sz w:val="18"/>
        </w:rPr>
        <w:t>Women Engaged in an Activity in a Self-employed Capacity’, 7 July 2010.</w:t>
      </w:r>
    </w:p>
    <w:p>
      <w:pPr>
        <w:pStyle w:val="ListParagraph"/>
        <w:numPr>
          <w:ilvl w:val="0"/>
          <w:numId w:val="8"/>
        </w:numPr>
        <w:tabs>
          <w:tab w:pos="1853" w:val="left" w:leader="none"/>
        </w:tabs>
        <w:spacing w:line="235" w:lineRule="auto" w:before="2" w:after="0"/>
        <w:ind w:left="1853" w:right="1738" w:hanging="720"/>
        <w:jc w:val="left"/>
        <w:rPr>
          <w:sz w:val="18"/>
        </w:rPr>
      </w:pPr>
      <w:r>
        <w:rPr>
          <w:sz w:val="18"/>
        </w:rPr>
        <w:t>Directive</w:t>
      </w:r>
      <w:r>
        <w:rPr>
          <w:spacing w:val="-5"/>
          <w:sz w:val="18"/>
        </w:rPr>
        <w:t> </w:t>
      </w:r>
      <w:r>
        <w:rPr>
          <w:sz w:val="18"/>
        </w:rPr>
        <w:t>2004/113/EC,</w:t>
      </w:r>
      <w:r>
        <w:rPr>
          <w:spacing w:val="-5"/>
          <w:sz w:val="18"/>
        </w:rPr>
        <w:t> </w:t>
      </w:r>
      <w:r>
        <w:rPr>
          <w:sz w:val="18"/>
        </w:rPr>
        <w:t>‘EU</w:t>
      </w:r>
      <w:r>
        <w:rPr>
          <w:spacing w:val="-5"/>
          <w:sz w:val="18"/>
        </w:rPr>
        <w:t> </w:t>
      </w:r>
      <w:r>
        <w:rPr>
          <w:sz w:val="18"/>
        </w:rPr>
        <w:t>Council</w:t>
      </w:r>
      <w:r>
        <w:rPr>
          <w:spacing w:val="-6"/>
          <w:sz w:val="18"/>
        </w:rPr>
        <w:t> </w:t>
      </w:r>
      <w:r>
        <w:rPr>
          <w:sz w:val="18"/>
        </w:rPr>
        <w:t>Directive</w:t>
      </w:r>
      <w:r>
        <w:rPr>
          <w:spacing w:val="-5"/>
          <w:sz w:val="18"/>
        </w:rPr>
        <w:t> </w:t>
      </w:r>
      <w:r>
        <w:rPr>
          <w:sz w:val="18"/>
        </w:rPr>
        <w:t>on</w:t>
      </w:r>
      <w:r>
        <w:rPr>
          <w:spacing w:val="-6"/>
          <w:sz w:val="18"/>
        </w:rPr>
        <w:t> </w:t>
      </w:r>
      <w:r>
        <w:rPr>
          <w:sz w:val="18"/>
        </w:rPr>
        <w:t>Implementing</w:t>
      </w:r>
      <w:r>
        <w:rPr>
          <w:spacing w:val="-5"/>
          <w:sz w:val="18"/>
        </w:rPr>
        <w:t> </w:t>
      </w:r>
      <w:r>
        <w:rPr>
          <w:sz w:val="18"/>
        </w:rPr>
        <w:t>the</w:t>
      </w:r>
      <w:r>
        <w:rPr>
          <w:spacing w:val="-5"/>
          <w:sz w:val="18"/>
        </w:rPr>
        <w:t> </w:t>
      </w:r>
      <w:r>
        <w:rPr>
          <w:sz w:val="18"/>
        </w:rPr>
        <w:t>Principle</w:t>
      </w:r>
      <w:r>
        <w:rPr>
          <w:spacing w:val="-5"/>
          <w:sz w:val="18"/>
        </w:rPr>
        <w:t> </w:t>
      </w:r>
      <w:r>
        <w:rPr>
          <w:sz w:val="18"/>
        </w:rPr>
        <w:t>of</w:t>
      </w:r>
      <w:r>
        <w:rPr>
          <w:spacing w:val="-6"/>
          <w:sz w:val="18"/>
        </w:rPr>
        <w:t> </w:t>
      </w:r>
      <w:r>
        <w:rPr>
          <w:sz w:val="18"/>
        </w:rPr>
        <w:t>Equal</w:t>
      </w:r>
      <w:r>
        <w:rPr>
          <w:spacing w:val="-6"/>
          <w:sz w:val="18"/>
        </w:rPr>
        <w:t> </w:t>
      </w:r>
      <w:r>
        <w:rPr>
          <w:sz w:val="18"/>
        </w:rPr>
        <w:t>Treatment</w:t>
      </w:r>
      <w:r>
        <w:rPr>
          <w:spacing w:val="-5"/>
          <w:sz w:val="18"/>
        </w:rPr>
        <w:t> </w:t>
      </w:r>
      <w:r>
        <w:rPr>
          <w:sz w:val="18"/>
        </w:rPr>
        <w:t>between</w:t>
      </w:r>
      <w:r>
        <w:rPr>
          <w:spacing w:val="-6"/>
          <w:sz w:val="18"/>
        </w:rPr>
        <w:t> </w:t>
      </w:r>
      <w:r>
        <w:rPr>
          <w:sz w:val="18"/>
        </w:rPr>
        <w:t>Men</w:t>
      </w:r>
      <w:r>
        <w:rPr>
          <w:spacing w:val="-6"/>
          <w:sz w:val="18"/>
        </w:rPr>
        <w:t> </w:t>
      </w:r>
      <w:r>
        <w:rPr>
          <w:sz w:val="18"/>
        </w:rPr>
        <w:t>and Women in the Access to and Supply of Goods and Services’, 13 December 2004.</w:t>
      </w:r>
    </w:p>
    <w:p>
      <w:pPr>
        <w:pStyle w:val="ListParagraph"/>
        <w:numPr>
          <w:ilvl w:val="0"/>
          <w:numId w:val="8"/>
        </w:numPr>
        <w:tabs>
          <w:tab w:pos="1853" w:val="left" w:leader="none"/>
        </w:tabs>
        <w:spacing w:line="235" w:lineRule="auto" w:before="1" w:after="0"/>
        <w:ind w:left="1853" w:right="1263" w:hanging="720"/>
        <w:jc w:val="left"/>
        <w:rPr>
          <w:sz w:val="18"/>
        </w:rPr>
      </w:pPr>
      <w:r>
        <w:rPr>
          <w:sz w:val="18"/>
        </w:rPr>
        <w:t>Directive</w:t>
      </w:r>
      <w:r>
        <w:rPr>
          <w:spacing w:val="-5"/>
          <w:sz w:val="18"/>
        </w:rPr>
        <w:t> </w:t>
      </w:r>
      <w:r>
        <w:rPr>
          <w:sz w:val="18"/>
        </w:rPr>
        <w:t>79/7/EEC,</w:t>
      </w:r>
      <w:r>
        <w:rPr>
          <w:spacing w:val="-5"/>
          <w:sz w:val="18"/>
        </w:rPr>
        <w:t> </w:t>
      </w:r>
      <w:r>
        <w:rPr>
          <w:sz w:val="18"/>
        </w:rPr>
        <w:t>‘EU</w:t>
      </w:r>
      <w:r>
        <w:rPr>
          <w:spacing w:val="-5"/>
          <w:sz w:val="18"/>
        </w:rPr>
        <w:t> </w:t>
      </w:r>
      <w:r>
        <w:rPr>
          <w:sz w:val="18"/>
        </w:rPr>
        <w:t>Council</w:t>
      </w:r>
      <w:r>
        <w:rPr>
          <w:spacing w:val="-6"/>
          <w:sz w:val="18"/>
        </w:rPr>
        <w:t> </w:t>
      </w:r>
      <w:r>
        <w:rPr>
          <w:sz w:val="18"/>
        </w:rPr>
        <w:t>Directive</w:t>
      </w:r>
      <w:r>
        <w:rPr>
          <w:spacing w:val="-5"/>
          <w:sz w:val="18"/>
        </w:rPr>
        <w:t> </w:t>
      </w:r>
      <w:r>
        <w:rPr>
          <w:sz w:val="18"/>
        </w:rPr>
        <w:t>on</w:t>
      </w:r>
      <w:r>
        <w:rPr>
          <w:spacing w:val="-6"/>
          <w:sz w:val="18"/>
        </w:rPr>
        <w:t> </w:t>
      </w:r>
      <w:r>
        <w:rPr>
          <w:sz w:val="18"/>
        </w:rPr>
        <w:t>the</w:t>
      </w:r>
      <w:r>
        <w:rPr>
          <w:spacing w:val="-5"/>
          <w:sz w:val="18"/>
        </w:rPr>
        <w:t> </w:t>
      </w:r>
      <w:r>
        <w:rPr>
          <w:sz w:val="18"/>
        </w:rPr>
        <w:t>Progressive</w:t>
      </w:r>
      <w:r>
        <w:rPr>
          <w:spacing w:val="-5"/>
          <w:sz w:val="18"/>
        </w:rPr>
        <w:t> </w:t>
      </w:r>
      <w:r>
        <w:rPr>
          <w:sz w:val="18"/>
        </w:rPr>
        <w:t>Implementation</w:t>
      </w:r>
      <w:r>
        <w:rPr>
          <w:spacing w:val="-6"/>
          <w:sz w:val="18"/>
        </w:rPr>
        <w:t> </w:t>
      </w:r>
      <w:r>
        <w:rPr>
          <w:sz w:val="18"/>
        </w:rPr>
        <w:t>of</w:t>
      </w:r>
      <w:r>
        <w:rPr>
          <w:spacing w:val="-6"/>
          <w:sz w:val="18"/>
        </w:rPr>
        <w:t> </w:t>
      </w:r>
      <w:r>
        <w:rPr>
          <w:sz w:val="18"/>
        </w:rPr>
        <w:t>the</w:t>
      </w:r>
      <w:r>
        <w:rPr>
          <w:spacing w:val="-5"/>
          <w:sz w:val="18"/>
        </w:rPr>
        <w:t> </w:t>
      </w:r>
      <w:r>
        <w:rPr>
          <w:sz w:val="18"/>
        </w:rPr>
        <w:t>Principle</w:t>
      </w:r>
      <w:r>
        <w:rPr>
          <w:spacing w:val="-5"/>
          <w:sz w:val="18"/>
        </w:rPr>
        <w:t> </w:t>
      </w:r>
      <w:r>
        <w:rPr>
          <w:sz w:val="18"/>
        </w:rPr>
        <w:t>of</w:t>
      </w:r>
      <w:r>
        <w:rPr>
          <w:spacing w:val="-6"/>
          <w:sz w:val="18"/>
        </w:rPr>
        <w:t> </w:t>
      </w:r>
      <w:r>
        <w:rPr>
          <w:sz w:val="18"/>
        </w:rPr>
        <w:t>Equal</w:t>
      </w:r>
      <w:r>
        <w:rPr>
          <w:spacing w:val="-6"/>
          <w:sz w:val="18"/>
        </w:rPr>
        <w:t> </w:t>
      </w:r>
      <w:r>
        <w:rPr>
          <w:sz w:val="18"/>
        </w:rPr>
        <w:t>Treatment</w:t>
      </w:r>
      <w:r>
        <w:rPr>
          <w:spacing w:val="-5"/>
          <w:sz w:val="18"/>
        </w:rPr>
        <w:t> </w:t>
      </w:r>
      <w:r>
        <w:rPr>
          <w:sz w:val="18"/>
        </w:rPr>
        <w:t>for</w:t>
      </w:r>
      <w:r>
        <w:rPr>
          <w:spacing w:val="-5"/>
          <w:sz w:val="18"/>
        </w:rPr>
        <w:t> </w:t>
      </w:r>
      <w:r>
        <w:rPr>
          <w:sz w:val="18"/>
        </w:rPr>
        <w:t>Men and Women in Matters of Social Security’, 19 December 1978.</w:t>
      </w:r>
    </w:p>
    <w:p>
      <w:pPr>
        <w:pStyle w:val="ListParagraph"/>
        <w:numPr>
          <w:ilvl w:val="0"/>
          <w:numId w:val="8"/>
        </w:numPr>
        <w:tabs>
          <w:tab w:pos="1853" w:val="left" w:leader="none"/>
        </w:tabs>
        <w:spacing w:line="235" w:lineRule="auto" w:before="1" w:after="0"/>
        <w:ind w:left="1853" w:right="2107" w:hanging="720"/>
        <w:jc w:val="left"/>
        <w:rPr>
          <w:sz w:val="18"/>
        </w:rPr>
      </w:pPr>
      <w:r>
        <w:rPr>
          <w:sz w:val="18"/>
        </w:rPr>
        <w:t>Directive</w:t>
      </w:r>
      <w:r>
        <w:rPr>
          <w:spacing w:val="-8"/>
          <w:sz w:val="18"/>
        </w:rPr>
        <w:t> </w:t>
      </w:r>
      <w:r>
        <w:rPr>
          <w:sz w:val="18"/>
        </w:rPr>
        <w:t>2010/18/EU,</w:t>
      </w:r>
      <w:r>
        <w:rPr>
          <w:spacing w:val="-8"/>
          <w:sz w:val="18"/>
        </w:rPr>
        <w:t> </w:t>
      </w:r>
      <w:r>
        <w:rPr>
          <w:sz w:val="18"/>
        </w:rPr>
        <w:t>‘Council</w:t>
      </w:r>
      <w:r>
        <w:rPr>
          <w:spacing w:val="-9"/>
          <w:sz w:val="18"/>
        </w:rPr>
        <w:t> </w:t>
      </w:r>
      <w:r>
        <w:rPr>
          <w:sz w:val="18"/>
        </w:rPr>
        <w:t>Directive</w:t>
      </w:r>
      <w:r>
        <w:rPr>
          <w:spacing w:val="-8"/>
          <w:sz w:val="18"/>
        </w:rPr>
        <w:t> </w:t>
      </w:r>
      <w:r>
        <w:rPr>
          <w:sz w:val="18"/>
        </w:rPr>
        <w:t>implementing</w:t>
      </w:r>
      <w:r>
        <w:rPr>
          <w:spacing w:val="-8"/>
          <w:sz w:val="18"/>
        </w:rPr>
        <w:t> </w:t>
      </w:r>
      <w:r>
        <w:rPr>
          <w:sz w:val="18"/>
        </w:rPr>
        <w:t>the</w:t>
      </w:r>
      <w:r>
        <w:rPr>
          <w:spacing w:val="-8"/>
          <w:sz w:val="18"/>
        </w:rPr>
        <w:t> </w:t>
      </w:r>
      <w:r>
        <w:rPr>
          <w:sz w:val="18"/>
        </w:rPr>
        <w:t>revised</w:t>
      </w:r>
      <w:r>
        <w:rPr>
          <w:spacing w:val="-9"/>
          <w:sz w:val="18"/>
        </w:rPr>
        <w:t> </w:t>
      </w:r>
      <w:r>
        <w:rPr>
          <w:sz w:val="18"/>
        </w:rPr>
        <w:t>Framework</w:t>
      </w:r>
      <w:r>
        <w:rPr>
          <w:spacing w:val="-8"/>
          <w:sz w:val="18"/>
        </w:rPr>
        <w:t> </w:t>
      </w:r>
      <w:r>
        <w:rPr>
          <w:sz w:val="18"/>
        </w:rPr>
        <w:t>Agreement</w:t>
      </w:r>
      <w:r>
        <w:rPr>
          <w:spacing w:val="-8"/>
          <w:sz w:val="18"/>
        </w:rPr>
        <w:t> </w:t>
      </w:r>
      <w:r>
        <w:rPr>
          <w:sz w:val="18"/>
        </w:rPr>
        <w:t>on</w:t>
      </w:r>
      <w:r>
        <w:rPr>
          <w:spacing w:val="-9"/>
          <w:sz w:val="18"/>
        </w:rPr>
        <w:t> </w:t>
      </w:r>
      <w:r>
        <w:rPr>
          <w:sz w:val="18"/>
        </w:rPr>
        <w:t>parental</w:t>
      </w:r>
      <w:r>
        <w:rPr>
          <w:spacing w:val="-9"/>
          <w:sz w:val="18"/>
        </w:rPr>
        <w:t> </w:t>
      </w:r>
      <w:r>
        <w:rPr>
          <w:sz w:val="18"/>
        </w:rPr>
        <w:t>leave’, 8 March 2010.</w:t>
      </w:r>
    </w:p>
    <w:p>
      <w:pPr>
        <w:pStyle w:val="ListParagraph"/>
        <w:numPr>
          <w:ilvl w:val="0"/>
          <w:numId w:val="8"/>
        </w:numPr>
        <w:tabs>
          <w:tab w:pos="1853" w:val="left" w:leader="none"/>
        </w:tabs>
        <w:spacing w:line="235" w:lineRule="auto" w:before="2" w:after="0"/>
        <w:ind w:left="1853" w:right="1267" w:hanging="720"/>
        <w:jc w:val="left"/>
        <w:rPr>
          <w:sz w:val="18"/>
        </w:rPr>
      </w:pPr>
      <w:r>
        <w:rPr>
          <w:sz w:val="18"/>
        </w:rPr>
        <w:t>Directive 92/85/EEC, ‘Council Directive on the Introduction of Measures to Encourage Improvements in the Safety and Health</w:t>
      </w:r>
      <w:r>
        <w:rPr>
          <w:spacing w:val="-8"/>
          <w:sz w:val="18"/>
        </w:rPr>
        <w:t> </w:t>
      </w:r>
      <w:r>
        <w:rPr>
          <w:sz w:val="18"/>
        </w:rPr>
        <w:t>at</w:t>
      </w:r>
      <w:r>
        <w:rPr>
          <w:spacing w:val="-7"/>
          <w:sz w:val="18"/>
        </w:rPr>
        <w:t> </w:t>
      </w:r>
      <w:r>
        <w:rPr>
          <w:sz w:val="18"/>
        </w:rPr>
        <w:t>Work</w:t>
      </w:r>
      <w:r>
        <w:rPr>
          <w:spacing w:val="-7"/>
          <w:sz w:val="18"/>
        </w:rPr>
        <w:t> </w:t>
      </w:r>
      <w:r>
        <w:rPr>
          <w:sz w:val="18"/>
        </w:rPr>
        <w:t>of</w:t>
      </w:r>
      <w:r>
        <w:rPr>
          <w:spacing w:val="-8"/>
          <w:sz w:val="18"/>
        </w:rPr>
        <w:t> </w:t>
      </w:r>
      <w:r>
        <w:rPr>
          <w:sz w:val="18"/>
        </w:rPr>
        <w:t>Pregnant</w:t>
      </w:r>
      <w:r>
        <w:rPr>
          <w:spacing w:val="-7"/>
          <w:sz w:val="18"/>
        </w:rPr>
        <w:t> </w:t>
      </w:r>
      <w:r>
        <w:rPr>
          <w:sz w:val="18"/>
        </w:rPr>
        <w:t>Workers</w:t>
      </w:r>
      <w:r>
        <w:rPr>
          <w:spacing w:val="-8"/>
          <w:sz w:val="18"/>
        </w:rPr>
        <w:t> </w:t>
      </w:r>
      <w:r>
        <w:rPr>
          <w:sz w:val="18"/>
        </w:rPr>
        <w:t>and</w:t>
      </w:r>
      <w:r>
        <w:rPr>
          <w:spacing w:val="-8"/>
          <w:sz w:val="18"/>
        </w:rPr>
        <w:t> </w:t>
      </w:r>
      <w:r>
        <w:rPr>
          <w:sz w:val="18"/>
        </w:rPr>
        <w:t>Workers</w:t>
      </w:r>
      <w:r>
        <w:rPr>
          <w:spacing w:val="-8"/>
          <w:sz w:val="18"/>
        </w:rPr>
        <w:t> </w:t>
      </w:r>
      <w:r>
        <w:rPr>
          <w:sz w:val="18"/>
        </w:rPr>
        <w:t>who</w:t>
      </w:r>
      <w:r>
        <w:rPr>
          <w:spacing w:val="-8"/>
          <w:sz w:val="18"/>
        </w:rPr>
        <w:t> </w:t>
      </w:r>
      <w:r>
        <w:rPr>
          <w:sz w:val="18"/>
        </w:rPr>
        <w:t>have</w:t>
      </w:r>
      <w:r>
        <w:rPr>
          <w:spacing w:val="-7"/>
          <w:sz w:val="18"/>
        </w:rPr>
        <w:t> </w:t>
      </w:r>
      <w:r>
        <w:rPr>
          <w:sz w:val="18"/>
        </w:rPr>
        <w:t>Recently</w:t>
      </w:r>
      <w:r>
        <w:rPr>
          <w:spacing w:val="-7"/>
          <w:sz w:val="18"/>
        </w:rPr>
        <w:t> </w:t>
      </w:r>
      <w:r>
        <w:rPr>
          <w:sz w:val="18"/>
        </w:rPr>
        <w:t>Given</w:t>
      </w:r>
      <w:r>
        <w:rPr>
          <w:spacing w:val="-8"/>
          <w:sz w:val="18"/>
        </w:rPr>
        <w:t> </w:t>
      </w:r>
      <w:r>
        <w:rPr>
          <w:sz w:val="18"/>
        </w:rPr>
        <w:t>Birth</w:t>
      </w:r>
      <w:r>
        <w:rPr>
          <w:spacing w:val="-8"/>
          <w:sz w:val="18"/>
        </w:rPr>
        <w:t> </w:t>
      </w:r>
      <w:r>
        <w:rPr>
          <w:sz w:val="18"/>
        </w:rPr>
        <w:t>or</w:t>
      </w:r>
      <w:r>
        <w:rPr>
          <w:spacing w:val="-7"/>
          <w:sz w:val="18"/>
        </w:rPr>
        <w:t> </w:t>
      </w:r>
      <w:r>
        <w:rPr>
          <w:sz w:val="18"/>
        </w:rPr>
        <w:t>are</w:t>
      </w:r>
      <w:r>
        <w:rPr>
          <w:spacing w:val="-7"/>
          <w:sz w:val="18"/>
        </w:rPr>
        <w:t> </w:t>
      </w:r>
      <w:r>
        <w:rPr>
          <w:sz w:val="18"/>
        </w:rPr>
        <w:t>Breastfeeding’,</w:t>
      </w:r>
      <w:r>
        <w:rPr>
          <w:spacing w:val="-7"/>
          <w:sz w:val="18"/>
        </w:rPr>
        <w:t> </w:t>
      </w:r>
      <w:r>
        <w:rPr>
          <w:sz w:val="18"/>
        </w:rPr>
        <w:t>19</w:t>
      </w:r>
      <w:r>
        <w:rPr>
          <w:spacing w:val="-7"/>
          <w:sz w:val="18"/>
        </w:rPr>
        <w:t> </w:t>
      </w:r>
      <w:r>
        <w:rPr>
          <w:sz w:val="18"/>
        </w:rPr>
        <w:t>October</w:t>
      </w:r>
      <w:r>
        <w:rPr>
          <w:spacing w:val="-7"/>
          <w:sz w:val="18"/>
        </w:rPr>
        <w:t> </w:t>
      </w:r>
      <w:r>
        <w:rPr>
          <w:sz w:val="18"/>
        </w:rPr>
        <w:t>1992.</w:t>
      </w:r>
    </w:p>
    <w:p>
      <w:pPr>
        <w:pStyle w:val="ListParagraph"/>
        <w:numPr>
          <w:ilvl w:val="0"/>
          <w:numId w:val="8"/>
        </w:numPr>
        <w:tabs>
          <w:tab w:pos="1853" w:val="left" w:leader="none"/>
        </w:tabs>
        <w:spacing w:line="235" w:lineRule="auto" w:before="1" w:after="0"/>
        <w:ind w:left="1853" w:right="1645" w:hanging="720"/>
        <w:jc w:val="left"/>
        <w:rPr>
          <w:sz w:val="18"/>
        </w:rPr>
      </w:pPr>
      <w:r>
        <w:rPr>
          <w:sz w:val="18"/>
        </w:rPr>
        <w:t>See section on Binding Standards for Equality Bodies in this chapter. EU Commission, ‘Proposal for a Directive on Standards</w:t>
      </w:r>
      <w:r>
        <w:rPr>
          <w:spacing w:val="-5"/>
          <w:sz w:val="18"/>
        </w:rPr>
        <w:t> </w:t>
      </w:r>
      <w:r>
        <w:rPr>
          <w:sz w:val="18"/>
        </w:rPr>
        <w:t>for</w:t>
      </w:r>
      <w:r>
        <w:rPr>
          <w:spacing w:val="-4"/>
          <w:sz w:val="18"/>
        </w:rPr>
        <w:t> </w:t>
      </w:r>
      <w:r>
        <w:rPr>
          <w:sz w:val="18"/>
        </w:rPr>
        <w:t>Equality</w:t>
      </w:r>
      <w:r>
        <w:rPr>
          <w:spacing w:val="-4"/>
          <w:sz w:val="18"/>
        </w:rPr>
        <w:t> </w:t>
      </w:r>
      <w:r>
        <w:rPr>
          <w:sz w:val="18"/>
        </w:rPr>
        <w:t>Bodies</w:t>
      </w:r>
      <w:r>
        <w:rPr>
          <w:spacing w:val="-5"/>
          <w:sz w:val="18"/>
        </w:rPr>
        <w:t> </w:t>
      </w:r>
      <w:r>
        <w:rPr>
          <w:sz w:val="18"/>
        </w:rPr>
        <w:t>in</w:t>
      </w:r>
      <w:r>
        <w:rPr>
          <w:spacing w:val="-5"/>
          <w:sz w:val="18"/>
        </w:rPr>
        <w:t> </w:t>
      </w:r>
      <w:r>
        <w:rPr>
          <w:sz w:val="18"/>
        </w:rPr>
        <w:t>the</w:t>
      </w:r>
      <w:r>
        <w:rPr>
          <w:spacing w:val="-4"/>
          <w:sz w:val="18"/>
        </w:rPr>
        <w:t> </w:t>
      </w:r>
      <w:r>
        <w:rPr>
          <w:sz w:val="18"/>
        </w:rPr>
        <w:t>Field</w:t>
      </w:r>
      <w:r>
        <w:rPr>
          <w:spacing w:val="-5"/>
          <w:sz w:val="18"/>
        </w:rPr>
        <w:t> </w:t>
      </w:r>
      <w:r>
        <w:rPr>
          <w:sz w:val="18"/>
        </w:rPr>
        <w:t>of</w:t>
      </w:r>
      <w:r>
        <w:rPr>
          <w:spacing w:val="-5"/>
          <w:sz w:val="18"/>
        </w:rPr>
        <w:t> </w:t>
      </w:r>
      <w:r>
        <w:rPr>
          <w:sz w:val="18"/>
        </w:rPr>
        <w:t>Equal</w:t>
      </w:r>
      <w:r>
        <w:rPr>
          <w:spacing w:val="-5"/>
          <w:sz w:val="18"/>
        </w:rPr>
        <w:t> </w:t>
      </w:r>
      <w:r>
        <w:rPr>
          <w:sz w:val="18"/>
        </w:rPr>
        <w:t>Treatment</w:t>
      </w:r>
      <w:r>
        <w:rPr>
          <w:spacing w:val="-4"/>
          <w:sz w:val="18"/>
        </w:rPr>
        <w:t> </w:t>
      </w:r>
      <w:r>
        <w:rPr>
          <w:sz w:val="18"/>
        </w:rPr>
        <w:t>and</w:t>
      </w:r>
      <w:r>
        <w:rPr>
          <w:spacing w:val="-5"/>
          <w:sz w:val="18"/>
        </w:rPr>
        <w:t> </w:t>
      </w:r>
      <w:r>
        <w:rPr>
          <w:sz w:val="18"/>
        </w:rPr>
        <w:t>Equal</w:t>
      </w:r>
      <w:r>
        <w:rPr>
          <w:spacing w:val="-5"/>
          <w:sz w:val="18"/>
        </w:rPr>
        <w:t> </w:t>
      </w:r>
      <w:r>
        <w:rPr>
          <w:sz w:val="18"/>
        </w:rPr>
        <w:t>Opportunities</w:t>
      </w:r>
      <w:r>
        <w:rPr>
          <w:spacing w:val="-5"/>
          <w:sz w:val="18"/>
        </w:rPr>
        <w:t> </w:t>
      </w:r>
      <w:r>
        <w:rPr>
          <w:sz w:val="18"/>
        </w:rPr>
        <w:t>between</w:t>
      </w:r>
      <w:r>
        <w:rPr>
          <w:spacing w:val="-5"/>
          <w:sz w:val="18"/>
        </w:rPr>
        <w:t> </w:t>
      </w:r>
      <w:r>
        <w:rPr>
          <w:sz w:val="18"/>
        </w:rPr>
        <w:t>Women</w:t>
      </w:r>
      <w:r>
        <w:rPr>
          <w:spacing w:val="-5"/>
          <w:sz w:val="18"/>
        </w:rPr>
        <w:t> </w:t>
      </w:r>
      <w:r>
        <w:rPr>
          <w:sz w:val="18"/>
        </w:rPr>
        <w:t>and</w:t>
      </w:r>
      <w:r>
        <w:rPr>
          <w:spacing w:val="-5"/>
          <w:sz w:val="18"/>
        </w:rPr>
        <w:t> </w:t>
      </w:r>
      <w:r>
        <w:rPr>
          <w:sz w:val="18"/>
        </w:rPr>
        <w:t>Men</w:t>
      </w:r>
      <w:r>
        <w:rPr>
          <w:spacing w:val="-5"/>
          <w:sz w:val="18"/>
        </w:rPr>
        <w:t> </w:t>
      </w:r>
      <w:r>
        <w:rPr>
          <w:sz w:val="18"/>
        </w:rPr>
        <w:t>in Matters of Employment and Occupation, and Deleting Article 20 of Directive 2006/54/EC and Article</w:t>
      </w:r>
    </w:p>
    <w:p>
      <w:pPr>
        <w:spacing w:line="235" w:lineRule="auto" w:before="2"/>
        <w:ind w:left="1853" w:right="1798" w:firstLine="0"/>
        <w:jc w:val="left"/>
        <w:rPr>
          <w:sz w:val="18"/>
        </w:rPr>
      </w:pPr>
      <w:r>
        <w:rPr>
          <w:sz w:val="18"/>
        </w:rPr>
        <w:t>11</w:t>
      </w:r>
      <w:r>
        <w:rPr>
          <w:spacing w:val="-5"/>
          <w:sz w:val="18"/>
        </w:rPr>
        <w:t> </w:t>
      </w:r>
      <w:r>
        <w:rPr>
          <w:sz w:val="18"/>
        </w:rPr>
        <w:t>of</w:t>
      </w:r>
      <w:r>
        <w:rPr>
          <w:spacing w:val="-5"/>
          <w:sz w:val="18"/>
        </w:rPr>
        <w:t> </w:t>
      </w:r>
      <w:r>
        <w:rPr>
          <w:sz w:val="18"/>
        </w:rPr>
        <w:t>Directive</w:t>
      </w:r>
      <w:r>
        <w:rPr>
          <w:spacing w:val="-5"/>
          <w:sz w:val="18"/>
        </w:rPr>
        <w:t> </w:t>
      </w:r>
      <w:r>
        <w:rPr>
          <w:sz w:val="18"/>
        </w:rPr>
        <w:t>2010/41/EU</w:t>
      </w:r>
      <w:r>
        <w:rPr>
          <w:spacing w:val="-5"/>
          <w:sz w:val="18"/>
        </w:rPr>
        <w:t> </w:t>
      </w:r>
      <w:r>
        <w:rPr>
          <w:sz w:val="18"/>
        </w:rPr>
        <w:t>-</w:t>
      </w:r>
      <w:r>
        <w:rPr>
          <w:spacing w:val="-5"/>
          <w:sz w:val="18"/>
        </w:rPr>
        <w:t> </w:t>
      </w:r>
      <w:r>
        <w:rPr>
          <w:sz w:val="18"/>
        </w:rPr>
        <w:t>COM(2022)</w:t>
      </w:r>
      <w:r>
        <w:rPr>
          <w:spacing w:val="-5"/>
          <w:sz w:val="18"/>
        </w:rPr>
        <w:t> </w:t>
      </w:r>
      <w:r>
        <w:rPr>
          <w:sz w:val="18"/>
        </w:rPr>
        <w:t>688’,</w:t>
      </w:r>
      <w:r>
        <w:rPr>
          <w:spacing w:val="-5"/>
          <w:sz w:val="18"/>
        </w:rPr>
        <w:t> </w:t>
      </w:r>
      <w:r>
        <w:rPr>
          <w:sz w:val="18"/>
        </w:rPr>
        <w:t>(EU</w:t>
      </w:r>
      <w:r>
        <w:rPr>
          <w:spacing w:val="-5"/>
          <w:sz w:val="18"/>
        </w:rPr>
        <w:t> </w:t>
      </w:r>
      <w:r>
        <w:rPr>
          <w:sz w:val="18"/>
        </w:rPr>
        <w:t>Commission,</w:t>
      </w:r>
      <w:r>
        <w:rPr>
          <w:spacing w:val="-5"/>
          <w:sz w:val="18"/>
        </w:rPr>
        <w:t> </w:t>
      </w:r>
      <w:r>
        <w:rPr>
          <w:sz w:val="18"/>
        </w:rPr>
        <w:t>2022);</w:t>
      </w:r>
      <w:r>
        <w:rPr>
          <w:spacing w:val="-5"/>
          <w:sz w:val="18"/>
        </w:rPr>
        <w:t> </w:t>
      </w:r>
      <w:r>
        <w:rPr>
          <w:sz w:val="18"/>
        </w:rPr>
        <w:t>EU</w:t>
      </w:r>
      <w:r>
        <w:rPr>
          <w:spacing w:val="-5"/>
          <w:sz w:val="18"/>
        </w:rPr>
        <w:t> </w:t>
      </w:r>
      <w:r>
        <w:rPr>
          <w:sz w:val="18"/>
        </w:rPr>
        <w:t>Commission,</w:t>
      </w:r>
      <w:r>
        <w:rPr>
          <w:spacing w:val="-5"/>
          <w:sz w:val="18"/>
        </w:rPr>
        <w:t> </w:t>
      </w:r>
      <w:r>
        <w:rPr>
          <w:sz w:val="18"/>
        </w:rPr>
        <w:t>‘Proposal</w:t>
      </w:r>
      <w:r>
        <w:rPr>
          <w:spacing w:val="-5"/>
          <w:sz w:val="18"/>
        </w:rPr>
        <w:t> </w:t>
      </w:r>
      <w:r>
        <w:rPr>
          <w:sz w:val="18"/>
        </w:rPr>
        <w:t>for</w:t>
      </w:r>
      <w:r>
        <w:rPr>
          <w:spacing w:val="-5"/>
          <w:sz w:val="18"/>
        </w:rPr>
        <w:t> </w:t>
      </w:r>
      <w:r>
        <w:rPr>
          <w:sz w:val="18"/>
        </w:rPr>
        <w:t>a</w:t>
      </w:r>
      <w:r>
        <w:rPr>
          <w:spacing w:val="-5"/>
          <w:sz w:val="18"/>
        </w:rPr>
        <w:t> </w:t>
      </w:r>
      <w:r>
        <w:rPr>
          <w:sz w:val="18"/>
        </w:rPr>
        <w:t>Directive on Standards for Equality Bodies in the Field of Equal Treatment between Persons Irrespective of their</w:t>
      </w:r>
    </w:p>
    <w:p>
      <w:pPr>
        <w:spacing w:line="235" w:lineRule="auto" w:before="1"/>
        <w:ind w:left="1853" w:right="1171" w:firstLine="0"/>
        <w:jc w:val="left"/>
        <w:rPr>
          <w:sz w:val="18"/>
        </w:rPr>
      </w:pPr>
      <w:r>
        <w:rPr>
          <w:sz w:val="18"/>
        </w:rPr>
        <w:t>Racial</w:t>
      </w:r>
      <w:r>
        <w:rPr>
          <w:spacing w:val="-5"/>
          <w:sz w:val="18"/>
        </w:rPr>
        <w:t> </w:t>
      </w:r>
      <w:r>
        <w:rPr>
          <w:sz w:val="18"/>
        </w:rPr>
        <w:t>or</w:t>
      </w:r>
      <w:r>
        <w:rPr>
          <w:spacing w:val="-4"/>
          <w:sz w:val="18"/>
        </w:rPr>
        <w:t> </w:t>
      </w:r>
      <w:r>
        <w:rPr>
          <w:sz w:val="18"/>
        </w:rPr>
        <w:t>Ethnic</w:t>
      </w:r>
      <w:r>
        <w:rPr>
          <w:spacing w:val="-4"/>
          <w:sz w:val="18"/>
        </w:rPr>
        <w:t> </w:t>
      </w:r>
      <w:r>
        <w:rPr>
          <w:sz w:val="18"/>
        </w:rPr>
        <w:t>Origin,</w:t>
      </w:r>
      <w:r>
        <w:rPr>
          <w:spacing w:val="-4"/>
          <w:sz w:val="18"/>
        </w:rPr>
        <w:t> </w:t>
      </w:r>
      <w:r>
        <w:rPr>
          <w:sz w:val="18"/>
        </w:rPr>
        <w:t>Equal</w:t>
      </w:r>
      <w:r>
        <w:rPr>
          <w:spacing w:val="-5"/>
          <w:sz w:val="18"/>
        </w:rPr>
        <w:t> </w:t>
      </w:r>
      <w:r>
        <w:rPr>
          <w:sz w:val="18"/>
        </w:rPr>
        <w:t>Treatment</w:t>
      </w:r>
      <w:r>
        <w:rPr>
          <w:spacing w:val="-4"/>
          <w:sz w:val="18"/>
        </w:rPr>
        <w:t> </w:t>
      </w:r>
      <w:r>
        <w:rPr>
          <w:sz w:val="18"/>
        </w:rPr>
        <w:t>in</w:t>
      </w:r>
      <w:r>
        <w:rPr>
          <w:spacing w:val="-5"/>
          <w:sz w:val="18"/>
        </w:rPr>
        <w:t> </w:t>
      </w:r>
      <w:r>
        <w:rPr>
          <w:sz w:val="18"/>
        </w:rPr>
        <w:t>the</w:t>
      </w:r>
      <w:r>
        <w:rPr>
          <w:spacing w:val="-4"/>
          <w:sz w:val="18"/>
        </w:rPr>
        <w:t> </w:t>
      </w:r>
      <w:r>
        <w:rPr>
          <w:sz w:val="18"/>
        </w:rPr>
        <w:t>Field</w:t>
      </w:r>
      <w:r>
        <w:rPr>
          <w:spacing w:val="-5"/>
          <w:sz w:val="18"/>
        </w:rPr>
        <w:t> </w:t>
      </w:r>
      <w:r>
        <w:rPr>
          <w:sz w:val="18"/>
        </w:rPr>
        <w:t>of</w:t>
      </w:r>
      <w:r>
        <w:rPr>
          <w:spacing w:val="-5"/>
          <w:sz w:val="18"/>
        </w:rPr>
        <w:t> </w:t>
      </w:r>
      <w:r>
        <w:rPr>
          <w:sz w:val="18"/>
        </w:rPr>
        <w:t>Employment</w:t>
      </w:r>
      <w:r>
        <w:rPr>
          <w:spacing w:val="-4"/>
          <w:sz w:val="18"/>
        </w:rPr>
        <w:t> </w:t>
      </w:r>
      <w:r>
        <w:rPr>
          <w:sz w:val="18"/>
        </w:rPr>
        <w:t>and</w:t>
      </w:r>
      <w:r>
        <w:rPr>
          <w:spacing w:val="-5"/>
          <w:sz w:val="18"/>
        </w:rPr>
        <w:t> </w:t>
      </w:r>
      <w:r>
        <w:rPr>
          <w:sz w:val="18"/>
        </w:rPr>
        <w:t>Occupation</w:t>
      </w:r>
      <w:r>
        <w:rPr>
          <w:spacing w:val="-5"/>
          <w:sz w:val="18"/>
        </w:rPr>
        <w:t> </w:t>
      </w:r>
      <w:r>
        <w:rPr>
          <w:sz w:val="18"/>
        </w:rPr>
        <w:t>Between</w:t>
      </w:r>
      <w:r>
        <w:rPr>
          <w:spacing w:val="-5"/>
          <w:sz w:val="18"/>
        </w:rPr>
        <w:t> </w:t>
      </w:r>
      <w:r>
        <w:rPr>
          <w:sz w:val="18"/>
        </w:rPr>
        <w:t>Persons</w:t>
      </w:r>
      <w:r>
        <w:rPr>
          <w:spacing w:val="-5"/>
          <w:sz w:val="18"/>
        </w:rPr>
        <w:t> </w:t>
      </w:r>
      <w:r>
        <w:rPr>
          <w:sz w:val="18"/>
        </w:rPr>
        <w:t>Irrespective</w:t>
      </w:r>
      <w:r>
        <w:rPr>
          <w:spacing w:val="-4"/>
          <w:sz w:val="18"/>
        </w:rPr>
        <w:t> </w:t>
      </w:r>
      <w:r>
        <w:rPr>
          <w:sz w:val="18"/>
        </w:rPr>
        <w:t>of</w:t>
      </w:r>
      <w:r>
        <w:rPr>
          <w:spacing w:val="-5"/>
          <w:sz w:val="18"/>
        </w:rPr>
        <w:t> </w:t>
      </w:r>
      <w:r>
        <w:rPr>
          <w:sz w:val="18"/>
        </w:rPr>
        <w:t>their Religion or Belief, Disability, Age or Sexual Orientation, Equal Treatment Between Women and Men in Matters of Social Security and in the Access to and Supply of Goods and Services, and Deleting Article 13 of Directive 2000/43/EC</w:t>
      </w:r>
    </w:p>
    <w:p>
      <w:pPr>
        <w:spacing w:line="218" w:lineRule="exact" w:before="0"/>
        <w:ind w:left="1853" w:right="0" w:firstLine="0"/>
        <w:jc w:val="left"/>
        <w:rPr>
          <w:sz w:val="18"/>
        </w:rPr>
      </w:pPr>
      <w:r>
        <w:rPr>
          <w:sz w:val="18"/>
        </w:rPr>
        <w:t>and</w:t>
      </w:r>
      <w:r>
        <w:rPr>
          <w:spacing w:val="-5"/>
          <w:sz w:val="18"/>
        </w:rPr>
        <w:t> </w:t>
      </w:r>
      <w:r>
        <w:rPr>
          <w:sz w:val="18"/>
        </w:rPr>
        <w:t>Article</w:t>
      </w:r>
      <w:r>
        <w:rPr>
          <w:spacing w:val="-3"/>
          <w:sz w:val="18"/>
        </w:rPr>
        <w:t> </w:t>
      </w:r>
      <w:r>
        <w:rPr>
          <w:sz w:val="18"/>
        </w:rPr>
        <w:t>12</w:t>
      </w:r>
      <w:r>
        <w:rPr>
          <w:spacing w:val="-4"/>
          <w:sz w:val="18"/>
        </w:rPr>
        <w:t> </w:t>
      </w:r>
      <w:r>
        <w:rPr>
          <w:sz w:val="18"/>
        </w:rPr>
        <w:t>of</w:t>
      </w:r>
      <w:r>
        <w:rPr>
          <w:spacing w:val="-4"/>
          <w:sz w:val="18"/>
        </w:rPr>
        <w:t> </w:t>
      </w:r>
      <w:r>
        <w:rPr>
          <w:sz w:val="18"/>
        </w:rPr>
        <w:t>Directive</w:t>
      </w:r>
      <w:r>
        <w:rPr>
          <w:spacing w:val="-3"/>
          <w:sz w:val="18"/>
        </w:rPr>
        <w:t> </w:t>
      </w:r>
      <w:r>
        <w:rPr>
          <w:sz w:val="18"/>
        </w:rPr>
        <w:t>2004/113/EC</w:t>
      </w:r>
      <w:r>
        <w:rPr>
          <w:spacing w:val="-5"/>
          <w:sz w:val="18"/>
        </w:rPr>
        <w:t> </w:t>
      </w:r>
      <w:r>
        <w:rPr>
          <w:sz w:val="18"/>
        </w:rPr>
        <w:t>-</w:t>
      </w:r>
      <w:r>
        <w:rPr>
          <w:spacing w:val="-4"/>
          <w:sz w:val="18"/>
        </w:rPr>
        <w:t> </w:t>
      </w:r>
      <w:r>
        <w:rPr>
          <w:sz w:val="18"/>
        </w:rPr>
        <w:t>COM(2022)</w:t>
      </w:r>
      <w:r>
        <w:rPr>
          <w:spacing w:val="-4"/>
          <w:sz w:val="18"/>
        </w:rPr>
        <w:t> </w:t>
      </w:r>
      <w:r>
        <w:rPr>
          <w:sz w:val="18"/>
        </w:rPr>
        <w:t>689’</w:t>
      </w:r>
      <w:r>
        <w:rPr>
          <w:spacing w:val="-4"/>
          <w:sz w:val="18"/>
        </w:rPr>
        <w:t> </w:t>
      </w:r>
      <w:r>
        <w:rPr>
          <w:sz w:val="18"/>
        </w:rPr>
        <w:t>(EU</w:t>
      </w:r>
      <w:r>
        <w:rPr>
          <w:spacing w:val="-3"/>
          <w:sz w:val="18"/>
        </w:rPr>
        <w:t> </w:t>
      </w:r>
      <w:r>
        <w:rPr>
          <w:sz w:val="18"/>
        </w:rPr>
        <w:t>Commission,</w:t>
      </w:r>
      <w:r>
        <w:rPr>
          <w:spacing w:val="-4"/>
          <w:sz w:val="18"/>
        </w:rPr>
        <w:t> </w:t>
      </w:r>
      <w:r>
        <w:rPr>
          <w:spacing w:val="-2"/>
          <w:sz w:val="18"/>
        </w:rPr>
        <w:t>2022).</w:t>
      </w:r>
    </w:p>
    <w:p>
      <w:pPr>
        <w:spacing w:after="0" w:line="218" w:lineRule="exact"/>
        <w:jc w:val="left"/>
        <w:rPr>
          <w:sz w:val="18"/>
        </w:rPr>
        <w:sectPr>
          <w:pgSz w:w="11910" w:h="16840"/>
          <w:pgMar w:header="496" w:footer="367" w:top="1220" w:bottom="560" w:left="0" w:right="0"/>
        </w:sectPr>
      </w:pPr>
    </w:p>
    <w:p>
      <w:pPr>
        <w:pStyle w:val="BodyText"/>
        <w:spacing w:before="182"/>
      </w:pPr>
    </w:p>
    <w:p>
      <w:pPr>
        <w:pStyle w:val="BodyText"/>
        <w:ind w:left="1853"/>
      </w:pPr>
      <w:r>
        <w:rPr/>
        <w:t>directives</w:t>
      </w:r>
      <w:r>
        <w:rPr>
          <w:spacing w:val="-6"/>
        </w:rPr>
        <w:t> </w:t>
      </w:r>
      <w:r>
        <w:rPr/>
        <w:t>specified</w:t>
      </w:r>
      <w:r>
        <w:rPr>
          <w:spacing w:val="-6"/>
        </w:rPr>
        <w:t> </w:t>
      </w:r>
      <w:r>
        <w:rPr/>
        <w:t>in</w:t>
      </w:r>
      <w:r>
        <w:rPr>
          <w:spacing w:val="-6"/>
        </w:rPr>
        <w:t> </w:t>
      </w:r>
      <w:r>
        <w:rPr/>
        <w:t>Annex</w:t>
      </w:r>
      <w:r>
        <w:rPr>
          <w:spacing w:val="-6"/>
        </w:rPr>
        <w:t> </w:t>
      </w:r>
      <w:r>
        <w:rPr/>
        <w:t>1</w:t>
      </w:r>
      <w:r>
        <w:rPr>
          <w:spacing w:val="-5"/>
        </w:rPr>
        <w:t> </w:t>
      </w:r>
      <w:r>
        <w:rPr/>
        <w:t>to</w:t>
      </w:r>
      <w:r>
        <w:rPr>
          <w:spacing w:val="-6"/>
        </w:rPr>
        <w:t> </w:t>
      </w:r>
      <w:r>
        <w:rPr/>
        <w:t>the</w:t>
      </w:r>
      <w:r>
        <w:rPr>
          <w:spacing w:val="-5"/>
        </w:rPr>
        <w:t> </w:t>
      </w:r>
      <w:r>
        <w:rPr/>
        <w:t>Windsor</w:t>
      </w:r>
      <w:r>
        <w:rPr>
          <w:spacing w:val="-5"/>
        </w:rPr>
        <w:t> </w:t>
      </w:r>
      <w:r>
        <w:rPr>
          <w:spacing w:val="-2"/>
        </w:rPr>
        <w:t>Framework.</w:t>
      </w:r>
      <w:r>
        <w:rPr>
          <w:spacing w:val="-2"/>
          <w:vertAlign w:val="superscript"/>
        </w:rPr>
        <w:t>255</w:t>
      </w:r>
    </w:p>
    <w:p>
      <w:pPr>
        <w:pStyle w:val="ListParagraph"/>
        <w:numPr>
          <w:ilvl w:val="1"/>
          <w:numId w:val="7"/>
        </w:numPr>
        <w:tabs>
          <w:tab w:pos="1853" w:val="left" w:leader="none"/>
        </w:tabs>
        <w:spacing w:line="225" w:lineRule="auto" w:before="315" w:after="0"/>
        <w:ind w:left="1853" w:right="1369" w:hanging="720"/>
        <w:jc w:val="left"/>
        <w:rPr>
          <w:sz w:val="28"/>
        </w:rPr>
      </w:pPr>
      <w:r>
        <w:rPr>
          <w:sz w:val="28"/>
        </w:rPr>
        <w:t>In addition, in June 2023, the EU Pay Transparency Directive came into force.</w:t>
      </w:r>
      <w:r>
        <w:rPr>
          <w:sz w:val="28"/>
          <w:vertAlign w:val="superscript"/>
        </w:rPr>
        <w:t>256</w:t>
      </w:r>
      <w:r>
        <w:rPr>
          <w:sz w:val="28"/>
          <w:vertAlign w:val="baseline"/>
        </w:rPr>
        <w:t> The Commissions consider that the provisions of the EU Pay Transparency Directive amend and/or replace provisions in the EU Gender Equality (Employment) Directive</w:t>
      </w:r>
      <w:r>
        <w:rPr>
          <w:sz w:val="28"/>
          <w:vertAlign w:val="superscript"/>
        </w:rPr>
        <w:t>257</w:t>
      </w:r>
      <w:r>
        <w:rPr>
          <w:sz w:val="28"/>
          <w:vertAlign w:val="baseline"/>
        </w:rPr>
        <w:t> which is listed in Annex 1 of the Windsor Framework.</w:t>
      </w:r>
      <w:r>
        <w:rPr>
          <w:sz w:val="28"/>
          <w:vertAlign w:val="superscript"/>
        </w:rPr>
        <w:t>258</w:t>
      </w:r>
      <w:r>
        <w:rPr>
          <w:spacing w:val="-2"/>
          <w:sz w:val="28"/>
          <w:vertAlign w:val="baseline"/>
        </w:rPr>
        <w:t> </w:t>
      </w:r>
      <w:r>
        <w:rPr>
          <w:sz w:val="28"/>
          <w:vertAlign w:val="baseline"/>
        </w:rPr>
        <w:t>Therefore,</w:t>
      </w:r>
      <w:r>
        <w:rPr>
          <w:spacing w:val="-1"/>
          <w:sz w:val="28"/>
          <w:vertAlign w:val="baseline"/>
        </w:rPr>
        <w:t> </w:t>
      </w:r>
      <w:r>
        <w:rPr>
          <w:sz w:val="28"/>
          <w:vertAlign w:val="baseline"/>
        </w:rPr>
        <w:t>they</w:t>
      </w:r>
      <w:r>
        <w:rPr>
          <w:spacing w:val="-1"/>
          <w:sz w:val="28"/>
          <w:vertAlign w:val="baseline"/>
        </w:rPr>
        <w:t> </w:t>
      </w:r>
      <w:r>
        <w:rPr>
          <w:sz w:val="28"/>
          <w:vertAlign w:val="baseline"/>
        </w:rPr>
        <w:t>consider</w:t>
      </w:r>
      <w:r>
        <w:rPr>
          <w:spacing w:val="-1"/>
          <w:sz w:val="28"/>
          <w:vertAlign w:val="baseline"/>
        </w:rPr>
        <w:t> </w:t>
      </w:r>
      <w:r>
        <w:rPr>
          <w:sz w:val="28"/>
          <w:vertAlign w:val="baseline"/>
        </w:rPr>
        <w:t>that</w:t>
      </w:r>
      <w:r>
        <w:rPr>
          <w:spacing w:val="-1"/>
          <w:sz w:val="28"/>
          <w:vertAlign w:val="baseline"/>
        </w:rPr>
        <w:t> </w:t>
      </w:r>
      <w:r>
        <w:rPr>
          <w:sz w:val="28"/>
          <w:vertAlign w:val="baseline"/>
        </w:rPr>
        <w:t>NI</w:t>
      </w:r>
      <w:r>
        <w:rPr>
          <w:spacing w:val="-1"/>
          <w:sz w:val="28"/>
          <w:vertAlign w:val="baseline"/>
        </w:rPr>
        <w:t> </w:t>
      </w:r>
      <w:r>
        <w:rPr>
          <w:sz w:val="28"/>
          <w:vertAlign w:val="baseline"/>
        </w:rPr>
        <w:t>equality</w:t>
      </w:r>
      <w:r>
        <w:rPr>
          <w:spacing w:val="-1"/>
          <w:sz w:val="28"/>
          <w:vertAlign w:val="baseline"/>
        </w:rPr>
        <w:t> </w:t>
      </w:r>
      <w:r>
        <w:rPr>
          <w:sz w:val="28"/>
          <w:vertAlign w:val="baseline"/>
        </w:rPr>
        <w:t>law</w:t>
      </w:r>
      <w:r>
        <w:rPr>
          <w:spacing w:val="-1"/>
          <w:sz w:val="28"/>
          <w:vertAlign w:val="baseline"/>
        </w:rPr>
        <w:t> </w:t>
      </w:r>
      <w:r>
        <w:rPr>
          <w:sz w:val="28"/>
          <w:vertAlign w:val="baseline"/>
        </w:rPr>
        <w:t>must</w:t>
      </w:r>
      <w:r>
        <w:rPr>
          <w:spacing w:val="-1"/>
          <w:sz w:val="28"/>
          <w:vertAlign w:val="baseline"/>
        </w:rPr>
        <w:t> </w:t>
      </w:r>
      <w:r>
        <w:rPr>
          <w:sz w:val="28"/>
          <w:vertAlign w:val="baseline"/>
        </w:rPr>
        <w:t>keep</w:t>
      </w:r>
      <w:r>
        <w:rPr>
          <w:spacing w:val="-2"/>
          <w:sz w:val="28"/>
          <w:vertAlign w:val="baseline"/>
        </w:rPr>
        <w:t> </w:t>
      </w:r>
      <w:r>
        <w:rPr>
          <w:sz w:val="28"/>
          <w:vertAlign w:val="baseline"/>
        </w:rPr>
        <w:t>pace with these changes, further to the UK Government’s dynamic alignment obligation</w:t>
      </w:r>
      <w:r>
        <w:rPr>
          <w:spacing w:val="-10"/>
          <w:sz w:val="28"/>
          <w:vertAlign w:val="baseline"/>
        </w:rPr>
        <w:t> </w:t>
      </w:r>
      <w:r>
        <w:rPr>
          <w:sz w:val="28"/>
          <w:vertAlign w:val="baseline"/>
        </w:rPr>
        <w:t>in</w:t>
      </w:r>
      <w:r>
        <w:rPr>
          <w:spacing w:val="-10"/>
          <w:sz w:val="28"/>
          <w:vertAlign w:val="baseline"/>
        </w:rPr>
        <w:t> </w:t>
      </w:r>
      <w:r>
        <w:rPr>
          <w:sz w:val="28"/>
          <w:vertAlign w:val="baseline"/>
        </w:rPr>
        <w:t>the</w:t>
      </w:r>
      <w:r>
        <w:rPr>
          <w:spacing w:val="-9"/>
          <w:sz w:val="28"/>
          <w:vertAlign w:val="baseline"/>
        </w:rPr>
        <w:t> </w:t>
      </w:r>
      <w:r>
        <w:rPr>
          <w:sz w:val="28"/>
          <w:vertAlign w:val="baseline"/>
        </w:rPr>
        <w:t>Windsor</w:t>
      </w:r>
      <w:r>
        <w:rPr>
          <w:spacing w:val="-9"/>
          <w:sz w:val="28"/>
          <w:vertAlign w:val="baseline"/>
        </w:rPr>
        <w:t> </w:t>
      </w:r>
      <w:r>
        <w:rPr>
          <w:sz w:val="28"/>
          <w:vertAlign w:val="baseline"/>
        </w:rPr>
        <w:t>Framework.</w:t>
      </w:r>
      <w:r>
        <w:rPr>
          <w:sz w:val="28"/>
          <w:vertAlign w:val="superscript"/>
        </w:rPr>
        <w:t>259</w:t>
      </w:r>
      <w:r>
        <w:rPr>
          <w:spacing w:val="-10"/>
          <w:sz w:val="28"/>
          <w:vertAlign w:val="baseline"/>
        </w:rPr>
        <w:t> </w:t>
      </w:r>
      <w:r>
        <w:rPr>
          <w:sz w:val="28"/>
          <w:vertAlign w:val="baseline"/>
        </w:rPr>
        <w:t>There</w:t>
      </w:r>
      <w:r>
        <w:rPr>
          <w:spacing w:val="-9"/>
          <w:sz w:val="28"/>
          <w:vertAlign w:val="baseline"/>
        </w:rPr>
        <w:t> </w:t>
      </w:r>
      <w:r>
        <w:rPr>
          <w:sz w:val="28"/>
          <w:vertAlign w:val="baseline"/>
        </w:rPr>
        <w:t>is</w:t>
      </w:r>
      <w:r>
        <w:rPr>
          <w:spacing w:val="-10"/>
          <w:sz w:val="28"/>
          <w:vertAlign w:val="baseline"/>
        </w:rPr>
        <w:t> </w:t>
      </w:r>
      <w:r>
        <w:rPr>
          <w:sz w:val="28"/>
          <w:vertAlign w:val="baseline"/>
        </w:rPr>
        <w:t>more</w:t>
      </w:r>
      <w:r>
        <w:rPr>
          <w:spacing w:val="-9"/>
          <w:sz w:val="28"/>
          <w:vertAlign w:val="baseline"/>
        </w:rPr>
        <w:t> </w:t>
      </w:r>
      <w:r>
        <w:rPr>
          <w:sz w:val="28"/>
          <w:vertAlign w:val="baseline"/>
        </w:rPr>
        <w:t>detailed</w:t>
      </w:r>
      <w:r>
        <w:rPr>
          <w:spacing w:val="-10"/>
          <w:sz w:val="28"/>
          <w:vertAlign w:val="baseline"/>
        </w:rPr>
        <w:t> </w:t>
      </w:r>
      <w:r>
        <w:rPr>
          <w:sz w:val="28"/>
          <w:vertAlign w:val="baseline"/>
        </w:rPr>
        <w:t>discussion</w:t>
      </w:r>
      <w:r>
        <w:rPr>
          <w:spacing w:val="-10"/>
          <w:sz w:val="28"/>
          <w:vertAlign w:val="baseline"/>
        </w:rPr>
        <w:t> </w:t>
      </w:r>
      <w:r>
        <w:rPr>
          <w:sz w:val="28"/>
          <w:vertAlign w:val="baseline"/>
        </w:rPr>
        <w:t>of the</w:t>
      </w:r>
      <w:r>
        <w:rPr>
          <w:spacing w:val="-8"/>
          <w:sz w:val="28"/>
          <w:vertAlign w:val="baseline"/>
        </w:rPr>
        <w:t> </w:t>
      </w:r>
      <w:r>
        <w:rPr>
          <w:sz w:val="28"/>
          <w:vertAlign w:val="baseline"/>
        </w:rPr>
        <w:t>EU</w:t>
      </w:r>
      <w:r>
        <w:rPr>
          <w:spacing w:val="-8"/>
          <w:sz w:val="28"/>
          <w:vertAlign w:val="baseline"/>
        </w:rPr>
        <w:t> </w:t>
      </w:r>
      <w:r>
        <w:rPr>
          <w:sz w:val="28"/>
          <w:vertAlign w:val="baseline"/>
        </w:rPr>
        <w:t>Pay</w:t>
      </w:r>
      <w:r>
        <w:rPr>
          <w:spacing w:val="-8"/>
          <w:sz w:val="28"/>
          <w:vertAlign w:val="baseline"/>
        </w:rPr>
        <w:t> </w:t>
      </w:r>
      <w:r>
        <w:rPr>
          <w:sz w:val="28"/>
          <w:vertAlign w:val="baseline"/>
        </w:rPr>
        <w:t>Transparency</w:t>
      </w:r>
      <w:r>
        <w:rPr>
          <w:spacing w:val="-8"/>
          <w:sz w:val="28"/>
          <w:vertAlign w:val="baseline"/>
        </w:rPr>
        <w:t> </w:t>
      </w:r>
      <w:r>
        <w:rPr>
          <w:sz w:val="28"/>
          <w:vertAlign w:val="baseline"/>
        </w:rPr>
        <w:t>Directive</w:t>
      </w:r>
      <w:r>
        <w:rPr>
          <w:spacing w:val="-8"/>
          <w:sz w:val="28"/>
          <w:vertAlign w:val="baseline"/>
        </w:rPr>
        <w:t> </w:t>
      </w:r>
      <w:r>
        <w:rPr>
          <w:sz w:val="28"/>
          <w:vertAlign w:val="baseline"/>
        </w:rPr>
        <w:t>in</w:t>
      </w:r>
      <w:r>
        <w:rPr>
          <w:spacing w:val="-9"/>
          <w:sz w:val="28"/>
          <w:vertAlign w:val="baseline"/>
        </w:rPr>
        <w:t> </w:t>
      </w:r>
      <w:r>
        <w:rPr>
          <w:sz w:val="28"/>
          <w:vertAlign w:val="baseline"/>
        </w:rPr>
        <w:t>the</w:t>
      </w:r>
      <w:r>
        <w:rPr>
          <w:spacing w:val="-8"/>
          <w:sz w:val="28"/>
          <w:vertAlign w:val="baseline"/>
        </w:rPr>
        <w:t> </w:t>
      </w:r>
      <w:r>
        <w:rPr>
          <w:sz w:val="28"/>
          <w:vertAlign w:val="baseline"/>
        </w:rPr>
        <w:t>Employment</w:t>
      </w:r>
      <w:r>
        <w:rPr>
          <w:spacing w:val="-8"/>
          <w:sz w:val="28"/>
          <w:vertAlign w:val="baseline"/>
        </w:rPr>
        <w:t> </w:t>
      </w:r>
      <w:r>
        <w:rPr>
          <w:sz w:val="28"/>
          <w:vertAlign w:val="baseline"/>
        </w:rPr>
        <w:t>Equality</w:t>
      </w:r>
      <w:r>
        <w:rPr>
          <w:spacing w:val="-8"/>
          <w:sz w:val="28"/>
          <w:vertAlign w:val="baseline"/>
        </w:rPr>
        <w:t> </w:t>
      </w:r>
      <w:r>
        <w:rPr>
          <w:sz w:val="28"/>
          <w:vertAlign w:val="baseline"/>
        </w:rPr>
        <w:t>(Employment Rights) section of this chapter.</w:t>
      </w:r>
    </w:p>
    <w:p>
      <w:pPr>
        <w:pStyle w:val="ListParagraph"/>
        <w:numPr>
          <w:ilvl w:val="1"/>
          <w:numId w:val="7"/>
        </w:numPr>
        <w:tabs>
          <w:tab w:pos="1853" w:val="left" w:leader="none"/>
        </w:tabs>
        <w:spacing w:line="225" w:lineRule="auto" w:before="308" w:after="0"/>
        <w:ind w:left="1853" w:right="1133" w:hanging="720"/>
        <w:jc w:val="left"/>
        <w:rPr>
          <w:sz w:val="28"/>
        </w:rPr>
      </w:pPr>
      <w:r>
        <w:rPr>
          <w:sz w:val="28"/>
        </w:rPr>
        <w:t>These directives set out minimum requirements and the Commissions would encourage the NI Executive to adopt an approach when implementing any EU changes</w:t>
      </w:r>
      <w:r>
        <w:rPr>
          <w:spacing w:val="-7"/>
          <w:sz w:val="28"/>
        </w:rPr>
        <w:t> </w:t>
      </w:r>
      <w:r>
        <w:rPr>
          <w:sz w:val="28"/>
        </w:rPr>
        <w:t>to</w:t>
      </w:r>
      <w:r>
        <w:rPr>
          <w:spacing w:val="-7"/>
          <w:sz w:val="28"/>
        </w:rPr>
        <w:t> </w:t>
      </w:r>
      <w:r>
        <w:rPr>
          <w:sz w:val="28"/>
        </w:rPr>
        <w:t>these</w:t>
      </w:r>
      <w:r>
        <w:rPr>
          <w:spacing w:val="-7"/>
          <w:sz w:val="28"/>
        </w:rPr>
        <w:t> </w:t>
      </w:r>
      <w:r>
        <w:rPr>
          <w:sz w:val="28"/>
        </w:rPr>
        <w:t>directives</w:t>
      </w:r>
      <w:r>
        <w:rPr>
          <w:spacing w:val="-7"/>
          <w:sz w:val="28"/>
        </w:rPr>
        <w:t> </w:t>
      </w:r>
      <w:r>
        <w:rPr>
          <w:sz w:val="28"/>
        </w:rPr>
        <w:t>that</w:t>
      </w:r>
      <w:r>
        <w:rPr>
          <w:spacing w:val="-7"/>
          <w:sz w:val="28"/>
        </w:rPr>
        <w:t> </w:t>
      </w:r>
      <w:r>
        <w:rPr>
          <w:sz w:val="28"/>
        </w:rPr>
        <w:t>goes</w:t>
      </w:r>
      <w:r>
        <w:rPr>
          <w:spacing w:val="-7"/>
          <w:sz w:val="28"/>
        </w:rPr>
        <w:t> </w:t>
      </w:r>
      <w:r>
        <w:rPr>
          <w:sz w:val="28"/>
        </w:rPr>
        <w:t>beyond</w:t>
      </w:r>
      <w:r>
        <w:rPr>
          <w:spacing w:val="-7"/>
          <w:sz w:val="28"/>
        </w:rPr>
        <w:t> </w:t>
      </w:r>
      <w:r>
        <w:rPr>
          <w:sz w:val="28"/>
        </w:rPr>
        <w:t>these</w:t>
      </w:r>
      <w:r>
        <w:rPr>
          <w:spacing w:val="-7"/>
          <w:sz w:val="28"/>
        </w:rPr>
        <w:t> </w:t>
      </w:r>
      <w:r>
        <w:rPr>
          <w:sz w:val="28"/>
        </w:rPr>
        <w:t>minimum</w:t>
      </w:r>
      <w:r>
        <w:rPr>
          <w:spacing w:val="-7"/>
          <w:sz w:val="28"/>
        </w:rPr>
        <w:t> </w:t>
      </w:r>
      <w:r>
        <w:rPr>
          <w:sz w:val="28"/>
        </w:rPr>
        <w:t>standards</w:t>
      </w:r>
      <w:r>
        <w:rPr>
          <w:spacing w:val="-7"/>
          <w:sz w:val="28"/>
        </w:rPr>
        <w:t> </w:t>
      </w:r>
      <w:r>
        <w:rPr>
          <w:sz w:val="28"/>
        </w:rPr>
        <w:t>where this reflects best practice, including international human rights best practice, and where it seeks to strengthen rights in this area.</w:t>
      </w:r>
    </w:p>
    <w:p>
      <w:pPr>
        <w:pStyle w:val="Heading6"/>
        <w:spacing w:before="298"/>
        <w:ind w:left="1853"/>
        <w:rPr>
          <w:i/>
        </w:rPr>
      </w:pPr>
      <w:r>
        <w:rPr>
          <w:i/>
          <w:color w:val="67287F"/>
        </w:rPr>
        <w:t>Gender</w:t>
      </w:r>
      <w:r>
        <w:rPr>
          <w:i/>
          <w:color w:val="67287F"/>
          <w:spacing w:val="-9"/>
        </w:rPr>
        <w:t> </w:t>
      </w:r>
      <w:r>
        <w:rPr>
          <w:i/>
          <w:color w:val="67287F"/>
        </w:rPr>
        <w:t>Equality</w:t>
      </w:r>
      <w:r>
        <w:rPr>
          <w:i/>
          <w:color w:val="67287F"/>
          <w:spacing w:val="-9"/>
        </w:rPr>
        <w:t> </w:t>
      </w:r>
      <w:r>
        <w:rPr>
          <w:i/>
          <w:color w:val="67287F"/>
          <w:spacing w:val="-2"/>
        </w:rPr>
        <w:t>Strategy</w:t>
      </w:r>
    </w:p>
    <w:p>
      <w:pPr>
        <w:pStyle w:val="ListParagraph"/>
        <w:numPr>
          <w:ilvl w:val="1"/>
          <w:numId w:val="7"/>
        </w:numPr>
        <w:tabs>
          <w:tab w:pos="1853" w:val="left" w:leader="none"/>
        </w:tabs>
        <w:spacing w:line="225" w:lineRule="auto" w:before="5" w:after="0"/>
        <w:ind w:left="1853" w:right="1310" w:hanging="720"/>
        <w:jc w:val="left"/>
        <w:rPr>
          <w:sz w:val="28"/>
        </w:rPr>
      </w:pPr>
      <w:r>
        <w:rPr>
          <w:sz w:val="28"/>
        </w:rPr>
        <w:t>In</w:t>
      </w:r>
      <w:r>
        <w:rPr>
          <w:spacing w:val="-6"/>
          <w:sz w:val="28"/>
        </w:rPr>
        <w:t> </w:t>
      </w:r>
      <w:r>
        <w:rPr>
          <w:sz w:val="28"/>
        </w:rPr>
        <w:t>2020,</w:t>
      </w:r>
      <w:r>
        <w:rPr>
          <w:spacing w:val="-5"/>
          <w:sz w:val="28"/>
        </w:rPr>
        <w:t> </w:t>
      </w:r>
      <w:r>
        <w:rPr>
          <w:sz w:val="28"/>
        </w:rPr>
        <w:t>the</w:t>
      </w:r>
      <w:r>
        <w:rPr>
          <w:spacing w:val="-5"/>
          <w:sz w:val="28"/>
        </w:rPr>
        <w:t> </w:t>
      </w:r>
      <w:r>
        <w:rPr>
          <w:sz w:val="28"/>
        </w:rPr>
        <w:t>New</w:t>
      </w:r>
      <w:r>
        <w:rPr>
          <w:spacing w:val="-6"/>
          <w:sz w:val="28"/>
        </w:rPr>
        <w:t> </w:t>
      </w:r>
      <w:r>
        <w:rPr>
          <w:sz w:val="28"/>
        </w:rPr>
        <w:t>Decade,</w:t>
      </w:r>
      <w:r>
        <w:rPr>
          <w:spacing w:val="-5"/>
          <w:sz w:val="28"/>
        </w:rPr>
        <w:t> </w:t>
      </w:r>
      <w:r>
        <w:rPr>
          <w:sz w:val="28"/>
        </w:rPr>
        <w:t>New</w:t>
      </w:r>
      <w:r>
        <w:rPr>
          <w:spacing w:val="-5"/>
          <w:sz w:val="28"/>
        </w:rPr>
        <w:t> </w:t>
      </w:r>
      <w:r>
        <w:rPr>
          <w:sz w:val="28"/>
        </w:rPr>
        <w:t>Approach</w:t>
      </w:r>
      <w:r>
        <w:rPr>
          <w:spacing w:val="-6"/>
          <w:sz w:val="28"/>
        </w:rPr>
        <w:t> </w:t>
      </w:r>
      <w:r>
        <w:rPr>
          <w:sz w:val="28"/>
        </w:rPr>
        <w:t>agreement</w:t>
      </w:r>
      <w:r>
        <w:rPr>
          <w:spacing w:val="-5"/>
          <w:sz w:val="28"/>
        </w:rPr>
        <w:t> </w:t>
      </w:r>
      <w:r>
        <w:rPr>
          <w:sz w:val="28"/>
        </w:rPr>
        <w:t>included</w:t>
      </w:r>
      <w:r>
        <w:rPr>
          <w:spacing w:val="-6"/>
          <w:sz w:val="28"/>
        </w:rPr>
        <w:t> </w:t>
      </w:r>
      <w:r>
        <w:rPr>
          <w:sz w:val="28"/>
        </w:rPr>
        <w:t>a</w:t>
      </w:r>
      <w:r>
        <w:rPr>
          <w:spacing w:val="-6"/>
          <w:sz w:val="28"/>
        </w:rPr>
        <w:t> </w:t>
      </w:r>
      <w:r>
        <w:rPr>
          <w:sz w:val="28"/>
        </w:rPr>
        <w:t>commitment to publish a new Gender Equality Strategy.</w:t>
      </w:r>
      <w:r>
        <w:rPr>
          <w:sz w:val="28"/>
          <w:vertAlign w:val="superscript"/>
        </w:rPr>
        <w:t>260</w:t>
      </w:r>
      <w:r>
        <w:rPr>
          <w:sz w:val="28"/>
          <w:vertAlign w:val="baseline"/>
        </w:rPr>
        <w:t> The Department for Communities has adopted a co-design approach to its development. In</w:t>
      </w:r>
    </w:p>
    <w:p>
      <w:pPr>
        <w:pStyle w:val="BodyText"/>
        <w:spacing w:line="225" w:lineRule="auto"/>
        <w:ind w:left="1853" w:right="1171"/>
      </w:pPr>
      <w:r>
        <w:rPr/>
        <w:t>2022, a public consultation on the Gender Equality Strategy was delayed.</w:t>
      </w:r>
      <w:r>
        <w:rPr>
          <w:spacing w:val="40"/>
        </w:rPr>
        <w:t> </w:t>
      </w:r>
      <w:r>
        <w:rPr/>
        <w:t>In March</w:t>
      </w:r>
      <w:r>
        <w:rPr>
          <w:spacing w:val="-7"/>
        </w:rPr>
        <w:t> </w:t>
      </w:r>
      <w:r>
        <w:rPr/>
        <w:t>2024,</w:t>
      </w:r>
      <w:r>
        <w:rPr>
          <w:spacing w:val="-6"/>
        </w:rPr>
        <w:t> </w:t>
      </w:r>
      <w:r>
        <w:rPr/>
        <w:t>the</w:t>
      </w:r>
      <w:r>
        <w:rPr>
          <w:spacing w:val="-6"/>
        </w:rPr>
        <w:t> </w:t>
      </w:r>
      <w:r>
        <w:rPr/>
        <w:t>Department</w:t>
      </w:r>
      <w:r>
        <w:rPr>
          <w:spacing w:val="-6"/>
        </w:rPr>
        <w:t> </w:t>
      </w:r>
      <w:r>
        <w:rPr/>
        <w:t>for</w:t>
      </w:r>
      <w:r>
        <w:rPr>
          <w:spacing w:val="-6"/>
        </w:rPr>
        <w:t> </w:t>
      </w:r>
      <w:r>
        <w:rPr/>
        <w:t>Communities</w:t>
      </w:r>
      <w:r>
        <w:rPr>
          <w:spacing w:val="-7"/>
        </w:rPr>
        <w:t> </w:t>
      </w:r>
      <w:r>
        <w:rPr/>
        <w:t>advised</w:t>
      </w:r>
      <w:r>
        <w:rPr>
          <w:spacing w:val="-7"/>
        </w:rPr>
        <w:t> </w:t>
      </w:r>
      <w:r>
        <w:rPr/>
        <w:t>that</w:t>
      </w:r>
      <w:r>
        <w:rPr>
          <w:spacing w:val="-6"/>
        </w:rPr>
        <w:t> </w:t>
      </w:r>
      <w:r>
        <w:rPr/>
        <w:t>the</w:t>
      </w:r>
      <w:r>
        <w:rPr>
          <w:spacing w:val="-6"/>
        </w:rPr>
        <w:t> </w:t>
      </w:r>
      <w:r>
        <w:rPr/>
        <w:t>Minister</w:t>
      </w:r>
      <w:r>
        <w:rPr>
          <w:spacing w:val="-6"/>
        </w:rPr>
        <w:t> </w:t>
      </w:r>
      <w:r>
        <w:rPr/>
        <w:t>was considering the next steps and that final decisions on content and timelines for</w:t>
      </w:r>
      <w:r>
        <w:rPr>
          <w:spacing w:val="-8"/>
        </w:rPr>
        <w:t> </w:t>
      </w:r>
      <w:r>
        <w:rPr/>
        <w:t>implementation</w:t>
      </w:r>
      <w:r>
        <w:rPr>
          <w:spacing w:val="-9"/>
        </w:rPr>
        <w:t> </w:t>
      </w:r>
      <w:r>
        <w:rPr/>
        <w:t>of</w:t>
      </w:r>
      <w:r>
        <w:rPr>
          <w:spacing w:val="-9"/>
        </w:rPr>
        <w:t> </w:t>
      </w:r>
      <w:r>
        <w:rPr/>
        <w:t>the</w:t>
      </w:r>
      <w:r>
        <w:rPr>
          <w:spacing w:val="-8"/>
        </w:rPr>
        <w:t> </w:t>
      </w:r>
      <w:r>
        <w:rPr/>
        <w:t>strategy</w:t>
      </w:r>
      <w:r>
        <w:rPr>
          <w:spacing w:val="-8"/>
        </w:rPr>
        <w:t> </w:t>
      </w:r>
      <w:r>
        <w:rPr/>
        <w:t>will</w:t>
      </w:r>
      <w:r>
        <w:rPr>
          <w:spacing w:val="-9"/>
        </w:rPr>
        <w:t> </w:t>
      </w:r>
      <w:r>
        <w:rPr/>
        <w:t>be</w:t>
      </w:r>
      <w:r>
        <w:rPr>
          <w:spacing w:val="-8"/>
        </w:rPr>
        <w:t> </w:t>
      </w:r>
      <w:r>
        <w:rPr/>
        <w:t>subject</w:t>
      </w:r>
      <w:r>
        <w:rPr>
          <w:spacing w:val="-8"/>
        </w:rPr>
        <w:t> </w:t>
      </w:r>
      <w:r>
        <w:rPr/>
        <w:t>to</w:t>
      </w:r>
      <w:r>
        <w:rPr>
          <w:spacing w:val="-9"/>
        </w:rPr>
        <w:t> </w:t>
      </w:r>
      <w:r>
        <w:rPr/>
        <w:t>Executive</w:t>
      </w:r>
      <w:r>
        <w:rPr>
          <w:spacing w:val="-8"/>
        </w:rPr>
        <w:t> </w:t>
      </w:r>
      <w:r>
        <w:rPr/>
        <w:t>agreement.</w:t>
      </w:r>
      <w:r>
        <w:rPr>
          <w:vertAlign w:val="superscript"/>
        </w:rPr>
        <w:t>261</w:t>
      </w:r>
    </w:p>
    <w:p>
      <w:pPr>
        <w:pStyle w:val="Heading6"/>
        <w:spacing w:before="295"/>
        <w:ind w:left="1853"/>
        <w:rPr>
          <w:i/>
        </w:rPr>
      </w:pPr>
      <w:r>
        <w:rPr>
          <w:i/>
          <w:color w:val="67287F"/>
        </w:rPr>
        <w:t>Participation</w:t>
      </w:r>
      <w:r>
        <w:rPr>
          <w:i/>
          <w:color w:val="67287F"/>
          <w:spacing w:val="-10"/>
        </w:rPr>
        <w:t> </w:t>
      </w:r>
      <w:r>
        <w:rPr>
          <w:i/>
          <w:color w:val="67287F"/>
        </w:rPr>
        <w:t>of</w:t>
      </w:r>
      <w:r>
        <w:rPr>
          <w:i/>
          <w:color w:val="67287F"/>
          <w:spacing w:val="-10"/>
        </w:rPr>
        <w:t> </w:t>
      </w:r>
      <w:r>
        <w:rPr>
          <w:i/>
          <w:color w:val="67287F"/>
        </w:rPr>
        <w:t>Women</w:t>
      </w:r>
      <w:r>
        <w:rPr>
          <w:i/>
          <w:color w:val="67287F"/>
          <w:spacing w:val="-10"/>
        </w:rPr>
        <w:t> </w:t>
      </w:r>
      <w:r>
        <w:rPr>
          <w:i/>
          <w:color w:val="67287F"/>
        </w:rPr>
        <w:t>in</w:t>
      </w:r>
      <w:r>
        <w:rPr>
          <w:i/>
          <w:color w:val="67287F"/>
          <w:spacing w:val="-10"/>
        </w:rPr>
        <w:t> </w:t>
      </w:r>
      <w:r>
        <w:rPr>
          <w:i/>
          <w:color w:val="67287F"/>
        </w:rPr>
        <w:t>Public</w:t>
      </w:r>
      <w:r>
        <w:rPr>
          <w:i/>
          <w:color w:val="67287F"/>
          <w:spacing w:val="-9"/>
        </w:rPr>
        <w:t> </w:t>
      </w:r>
      <w:r>
        <w:rPr>
          <w:i/>
          <w:color w:val="67287F"/>
          <w:spacing w:val="-4"/>
        </w:rPr>
        <w:t>Life</w:t>
      </w:r>
    </w:p>
    <w:p>
      <w:pPr>
        <w:pStyle w:val="ListParagraph"/>
        <w:numPr>
          <w:ilvl w:val="1"/>
          <w:numId w:val="7"/>
        </w:numPr>
        <w:tabs>
          <w:tab w:pos="1853" w:val="left" w:leader="none"/>
        </w:tabs>
        <w:spacing w:line="225" w:lineRule="auto" w:before="5" w:after="0"/>
        <w:ind w:left="1853" w:right="1256" w:hanging="720"/>
        <w:jc w:val="left"/>
        <w:rPr>
          <w:sz w:val="28"/>
        </w:rPr>
      </w:pPr>
      <w:r>
        <w:rPr>
          <w:sz w:val="28"/>
        </w:rPr>
        <w:t>In addition to the keeping pace obligation, the NI Executive as a matter of best</w:t>
      </w:r>
      <w:r>
        <w:rPr>
          <w:spacing w:val="-6"/>
          <w:sz w:val="28"/>
        </w:rPr>
        <w:t> </w:t>
      </w:r>
      <w:r>
        <w:rPr>
          <w:sz w:val="28"/>
        </w:rPr>
        <w:t>practice</w:t>
      </w:r>
      <w:r>
        <w:rPr>
          <w:spacing w:val="-6"/>
          <w:sz w:val="28"/>
        </w:rPr>
        <w:t> </w:t>
      </w:r>
      <w:r>
        <w:rPr>
          <w:sz w:val="28"/>
        </w:rPr>
        <w:t>can</w:t>
      </w:r>
      <w:r>
        <w:rPr>
          <w:spacing w:val="-7"/>
          <w:sz w:val="28"/>
        </w:rPr>
        <w:t> </w:t>
      </w:r>
      <w:r>
        <w:rPr>
          <w:sz w:val="28"/>
        </w:rPr>
        <w:t>voluntarily</w:t>
      </w:r>
      <w:r>
        <w:rPr>
          <w:spacing w:val="-6"/>
          <w:sz w:val="28"/>
        </w:rPr>
        <w:t> </w:t>
      </w:r>
      <w:r>
        <w:rPr>
          <w:sz w:val="28"/>
        </w:rPr>
        <w:t>align</w:t>
      </w:r>
      <w:r>
        <w:rPr>
          <w:spacing w:val="-7"/>
          <w:sz w:val="28"/>
        </w:rPr>
        <w:t> </w:t>
      </w:r>
      <w:r>
        <w:rPr>
          <w:sz w:val="28"/>
        </w:rPr>
        <w:t>with</w:t>
      </w:r>
      <w:r>
        <w:rPr>
          <w:spacing w:val="-7"/>
          <w:sz w:val="28"/>
        </w:rPr>
        <w:t> </w:t>
      </w:r>
      <w:r>
        <w:rPr>
          <w:sz w:val="28"/>
        </w:rPr>
        <w:t>EU</w:t>
      </w:r>
      <w:r>
        <w:rPr>
          <w:spacing w:val="-6"/>
          <w:sz w:val="28"/>
        </w:rPr>
        <w:t> </w:t>
      </w:r>
      <w:r>
        <w:rPr>
          <w:sz w:val="28"/>
        </w:rPr>
        <w:t>developments,</w:t>
      </w:r>
      <w:r>
        <w:rPr>
          <w:spacing w:val="-6"/>
          <w:sz w:val="28"/>
        </w:rPr>
        <w:t> </w:t>
      </w:r>
      <w:r>
        <w:rPr>
          <w:sz w:val="28"/>
        </w:rPr>
        <w:t>even</w:t>
      </w:r>
      <w:r>
        <w:rPr>
          <w:spacing w:val="-7"/>
          <w:sz w:val="28"/>
        </w:rPr>
        <w:t> </w:t>
      </w:r>
      <w:r>
        <w:rPr>
          <w:sz w:val="28"/>
        </w:rPr>
        <w:t>where</w:t>
      </w:r>
      <w:r>
        <w:rPr>
          <w:spacing w:val="-6"/>
          <w:sz w:val="28"/>
        </w:rPr>
        <w:t> </w:t>
      </w:r>
      <w:r>
        <w:rPr>
          <w:sz w:val="28"/>
        </w:rPr>
        <w:t>it</w:t>
      </w:r>
      <w:r>
        <w:rPr>
          <w:spacing w:val="-6"/>
          <w:sz w:val="28"/>
        </w:rPr>
        <w:t> </w:t>
      </w:r>
      <w:r>
        <w:rPr>
          <w:sz w:val="28"/>
        </w:rPr>
        <w:t>is</w:t>
      </w:r>
      <w:r>
        <w:rPr>
          <w:spacing w:val="-7"/>
          <w:sz w:val="28"/>
        </w:rPr>
        <w:t> </w:t>
      </w:r>
      <w:r>
        <w:rPr>
          <w:sz w:val="28"/>
        </w:rPr>
        <w:t>not required to do so under the Windsor Framework. Voluntary alignment</w:t>
      </w:r>
    </w:p>
    <w:p>
      <w:pPr>
        <w:pStyle w:val="BodyText"/>
        <w:spacing w:line="322" w:lineRule="exact"/>
        <w:ind w:left="1853"/>
      </w:pPr>
      <w:r>
        <w:rPr/>
        <mc:AlternateContent>
          <mc:Choice Requires="wps">
            <w:drawing>
              <wp:anchor distT="0" distB="0" distL="0" distR="0" allowOverlap="1" layoutInCell="1" locked="0" behindDoc="0" simplePos="0" relativeHeight="15796224">
                <wp:simplePos x="0" y="0"/>
                <wp:positionH relativeFrom="page">
                  <wp:posOffset>648004</wp:posOffset>
                </wp:positionH>
                <wp:positionV relativeFrom="paragraph">
                  <wp:posOffset>189161</wp:posOffset>
                </wp:positionV>
                <wp:extent cx="6192520" cy="111125"/>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6192520" cy="111125"/>
                          <a:chExt cx="6192520" cy="111125"/>
                        </a:xfrm>
                      </wpg:grpSpPr>
                      <wps:wsp>
                        <wps:cNvPr id="282" name="Graphic 282"/>
                        <wps:cNvSpPr/>
                        <wps:spPr>
                          <a:xfrm>
                            <a:off x="0" y="0"/>
                            <a:ext cx="3801745" cy="111125"/>
                          </a:xfrm>
                          <a:custGeom>
                            <a:avLst/>
                            <a:gdLst/>
                            <a:ahLst/>
                            <a:cxnLst/>
                            <a:rect l="l" t="t" r="r" b="b"/>
                            <a:pathLst>
                              <a:path w="3801745" h="111125">
                                <a:moveTo>
                                  <a:pt x="3801605" y="0"/>
                                </a:moveTo>
                                <a:lnTo>
                                  <a:pt x="0" y="0"/>
                                </a:lnTo>
                                <a:lnTo>
                                  <a:pt x="0" y="110998"/>
                                </a:lnTo>
                                <a:lnTo>
                                  <a:pt x="3801605" y="110998"/>
                                </a:lnTo>
                                <a:lnTo>
                                  <a:pt x="3801605" y="0"/>
                                </a:lnTo>
                                <a:close/>
                              </a:path>
                            </a:pathLst>
                          </a:custGeom>
                          <a:solidFill>
                            <a:srgbClr val="FFFFFF"/>
                          </a:solidFill>
                        </wps:spPr>
                        <wps:bodyPr wrap="square" lIns="0" tIns="0" rIns="0" bIns="0" rtlCol="0">
                          <a:prstTxWarp prst="textNoShape">
                            <a:avLst/>
                          </a:prstTxWarp>
                          <a:noAutofit/>
                        </wps:bodyPr>
                      </wps:wsp>
                      <wps:wsp>
                        <wps:cNvPr id="283" name="Graphic 283"/>
                        <wps:cNvSpPr/>
                        <wps:spPr>
                          <a:xfrm>
                            <a:off x="71991" y="57337"/>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1.023998pt;margin-top:14.894594pt;width:487.6pt;height:8.75pt;mso-position-horizontal-relative:page;mso-position-vertical-relative:paragraph;z-index:15796224" id="docshapegroup234" coordorigin="1020,298" coordsize="9752,175">
                <v:rect style="position:absolute;left:1020;top:297;width:5987;height:175" id="docshape235" filled="true" fillcolor="#ffffff" stroked="false">
                  <v:fill type="solid"/>
                </v:rect>
                <v:line style="position:absolute" from="10772,388" to="1134,388" stroked="true" strokeweight="1pt" strokecolor="#393b80">
                  <v:stroke dashstyle="solid"/>
                </v:line>
                <w10:wrap type="none"/>
              </v:group>
            </w:pict>
          </mc:Fallback>
        </mc:AlternateContent>
      </w:r>
      <w:r>
        <w:rPr/>
        <w:t>that</w:t>
      </w:r>
      <w:r>
        <w:rPr>
          <w:spacing w:val="-8"/>
        </w:rPr>
        <w:t> </w:t>
      </w:r>
      <w:r>
        <w:rPr/>
        <w:t>strengthens</w:t>
      </w:r>
      <w:r>
        <w:rPr>
          <w:spacing w:val="-8"/>
        </w:rPr>
        <w:t> </w:t>
      </w:r>
      <w:r>
        <w:rPr/>
        <w:t>rights</w:t>
      </w:r>
      <w:r>
        <w:rPr>
          <w:spacing w:val="-8"/>
        </w:rPr>
        <w:t> </w:t>
      </w:r>
      <w:r>
        <w:rPr/>
        <w:t>and</w:t>
      </w:r>
      <w:r>
        <w:rPr>
          <w:spacing w:val="-8"/>
        </w:rPr>
        <w:t> </w:t>
      </w:r>
      <w:r>
        <w:rPr/>
        <w:t>is</w:t>
      </w:r>
      <w:r>
        <w:rPr>
          <w:spacing w:val="-8"/>
        </w:rPr>
        <w:t> </w:t>
      </w:r>
      <w:r>
        <w:rPr/>
        <w:t>aligned</w:t>
      </w:r>
      <w:r>
        <w:rPr>
          <w:spacing w:val="-8"/>
        </w:rPr>
        <w:t> </w:t>
      </w:r>
      <w:r>
        <w:rPr/>
        <w:t>to</w:t>
      </w:r>
      <w:r>
        <w:rPr>
          <w:spacing w:val="-8"/>
        </w:rPr>
        <w:t> </w:t>
      </w:r>
      <w:r>
        <w:rPr/>
        <w:t>international</w:t>
      </w:r>
      <w:r>
        <w:rPr>
          <w:spacing w:val="-8"/>
        </w:rPr>
        <w:t> </w:t>
      </w:r>
      <w:r>
        <w:rPr/>
        <w:t>human</w:t>
      </w:r>
      <w:r>
        <w:rPr>
          <w:spacing w:val="-8"/>
        </w:rPr>
        <w:t> </w:t>
      </w:r>
      <w:r>
        <w:rPr/>
        <w:t>rights</w:t>
      </w:r>
      <w:r>
        <w:rPr>
          <w:spacing w:val="-8"/>
        </w:rPr>
        <w:t> </w:t>
      </w:r>
      <w:r>
        <w:rPr>
          <w:spacing w:val="-2"/>
        </w:rPr>
        <w:t>standards</w:t>
      </w:r>
    </w:p>
    <w:p>
      <w:pPr>
        <w:pStyle w:val="ListParagraph"/>
        <w:numPr>
          <w:ilvl w:val="0"/>
          <w:numId w:val="8"/>
        </w:numPr>
        <w:tabs>
          <w:tab w:pos="1853" w:val="left" w:leader="none"/>
        </w:tabs>
        <w:spacing w:line="210" w:lineRule="exact" w:before="153" w:after="0"/>
        <w:ind w:left="1853" w:right="0" w:hanging="720"/>
        <w:jc w:val="left"/>
        <w:rPr>
          <w:sz w:val="18"/>
        </w:rPr>
      </w:pPr>
      <w:r>
        <w:rPr>
          <w:sz w:val="18"/>
        </w:rPr>
        <w:t>Directive</w:t>
      </w:r>
      <w:r>
        <w:rPr>
          <w:spacing w:val="-6"/>
          <w:sz w:val="18"/>
        </w:rPr>
        <w:t> </w:t>
      </w:r>
      <w:r>
        <w:rPr>
          <w:sz w:val="18"/>
        </w:rPr>
        <w:t>2004/113/EC,</w:t>
      </w:r>
      <w:r>
        <w:rPr>
          <w:spacing w:val="-6"/>
          <w:sz w:val="18"/>
        </w:rPr>
        <w:t> </w:t>
      </w:r>
      <w:r>
        <w:rPr>
          <w:sz w:val="18"/>
        </w:rPr>
        <w:t>‘Council</w:t>
      </w:r>
      <w:r>
        <w:rPr>
          <w:spacing w:val="-6"/>
          <w:sz w:val="18"/>
        </w:rPr>
        <w:t> </w:t>
      </w:r>
      <w:r>
        <w:rPr>
          <w:sz w:val="18"/>
        </w:rPr>
        <w:t>of</w:t>
      </w:r>
      <w:r>
        <w:rPr>
          <w:spacing w:val="-7"/>
          <w:sz w:val="18"/>
        </w:rPr>
        <w:t> </w:t>
      </w:r>
      <w:r>
        <w:rPr>
          <w:sz w:val="18"/>
        </w:rPr>
        <w:t>the</w:t>
      </w:r>
      <w:r>
        <w:rPr>
          <w:spacing w:val="-5"/>
          <w:sz w:val="18"/>
        </w:rPr>
        <w:t> </w:t>
      </w:r>
      <w:r>
        <w:rPr>
          <w:sz w:val="18"/>
        </w:rPr>
        <w:t>EU</w:t>
      </w:r>
      <w:r>
        <w:rPr>
          <w:spacing w:val="-6"/>
          <w:sz w:val="18"/>
        </w:rPr>
        <w:t> </w:t>
      </w:r>
      <w:r>
        <w:rPr>
          <w:sz w:val="18"/>
        </w:rPr>
        <w:t>Directive</w:t>
      </w:r>
      <w:r>
        <w:rPr>
          <w:spacing w:val="-5"/>
          <w:sz w:val="18"/>
        </w:rPr>
        <w:t> </w:t>
      </w:r>
      <w:r>
        <w:rPr>
          <w:sz w:val="18"/>
        </w:rPr>
        <w:t>on</w:t>
      </w:r>
      <w:r>
        <w:rPr>
          <w:spacing w:val="-7"/>
          <w:sz w:val="18"/>
        </w:rPr>
        <w:t> </w:t>
      </w:r>
      <w:r>
        <w:rPr>
          <w:sz w:val="18"/>
        </w:rPr>
        <w:t>Implementing</w:t>
      </w:r>
      <w:r>
        <w:rPr>
          <w:spacing w:val="-5"/>
          <w:sz w:val="18"/>
        </w:rPr>
        <w:t> </w:t>
      </w:r>
      <w:r>
        <w:rPr>
          <w:sz w:val="18"/>
        </w:rPr>
        <w:t>the</w:t>
      </w:r>
      <w:r>
        <w:rPr>
          <w:spacing w:val="-6"/>
          <w:sz w:val="18"/>
        </w:rPr>
        <w:t> </w:t>
      </w:r>
      <w:r>
        <w:rPr>
          <w:sz w:val="18"/>
        </w:rPr>
        <w:t>Principle</w:t>
      </w:r>
      <w:r>
        <w:rPr>
          <w:spacing w:val="-5"/>
          <w:sz w:val="18"/>
        </w:rPr>
        <w:t> </w:t>
      </w:r>
      <w:r>
        <w:rPr>
          <w:sz w:val="18"/>
        </w:rPr>
        <w:t>of</w:t>
      </w:r>
      <w:r>
        <w:rPr>
          <w:spacing w:val="-7"/>
          <w:sz w:val="18"/>
        </w:rPr>
        <w:t> </w:t>
      </w:r>
      <w:r>
        <w:rPr>
          <w:sz w:val="18"/>
        </w:rPr>
        <w:t>Equal</w:t>
      </w:r>
      <w:r>
        <w:rPr>
          <w:spacing w:val="-6"/>
          <w:sz w:val="18"/>
        </w:rPr>
        <w:t> </w:t>
      </w:r>
      <w:r>
        <w:rPr>
          <w:sz w:val="18"/>
        </w:rPr>
        <w:t>Treatment</w:t>
      </w:r>
      <w:r>
        <w:rPr>
          <w:spacing w:val="-6"/>
          <w:sz w:val="18"/>
        </w:rPr>
        <w:t> </w:t>
      </w:r>
      <w:r>
        <w:rPr>
          <w:sz w:val="18"/>
        </w:rPr>
        <w:t>between</w:t>
      </w:r>
      <w:r>
        <w:rPr>
          <w:spacing w:val="-6"/>
          <w:sz w:val="18"/>
        </w:rPr>
        <w:t> </w:t>
      </w:r>
      <w:r>
        <w:rPr>
          <w:spacing w:val="-5"/>
          <w:sz w:val="18"/>
        </w:rPr>
        <w:t>Men</w:t>
      </w:r>
    </w:p>
    <w:p>
      <w:pPr>
        <w:spacing w:line="218" w:lineRule="auto" w:before="5"/>
        <w:ind w:left="1853" w:right="1171" w:firstLine="0"/>
        <w:jc w:val="left"/>
        <w:rPr>
          <w:sz w:val="18"/>
        </w:rPr>
      </w:pPr>
      <w:r>
        <w:rPr>
          <w:sz w:val="18"/>
        </w:rPr>
        <w:t>and</w:t>
      </w:r>
      <w:r>
        <w:rPr>
          <w:spacing w:val="-4"/>
          <w:sz w:val="18"/>
        </w:rPr>
        <w:t> </w:t>
      </w:r>
      <w:r>
        <w:rPr>
          <w:sz w:val="18"/>
        </w:rPr>
        <w:t>Women</w:t>
      </w:r>
      <w:r>
        <w:rPr>
          <w:spacing w:val="-4"/>
          <w:sz w:val="18"/>
        </w:rPr>
        <w:t> </w:t>
      </w:r>
      <w:r>
        <w:rPr>
          <w:sz w:val="18"/>
        </w:rPr>
        <w:t>in</w:t>
      </w:r>
      <w:r>
        <w:rPr>
          <w:spacing w:val="-4"/>
          <w:sz w:val="18"/>
        </w:rPr>
        <w:t> </w:t>
      </w:r>
      <w:r>
        <w:rPr>
          <w:sz w:val="18"/>
        </w:rPr>
        <w:t>the</w:t>
      </w:r>
      <w:r>
        <w:rPr>
          <w:spacing w:val="-3"/>
          <w:sz w:val="18"/>
        </w:rPr>
        <w:t> </w:t>
      </w:r>
      <w:r>
        <w:rPr>
          <w:sz w:val="18"/>
        </w:rPr>
        <w:t>Access</w:t>
      </w:r>
      <w:r>
        <w:rPr>
          <w:spacing w:val="-4"/>
          <w:sz w:val="18"/>
        </w:rPr>
        <w:t> </w:t>
      </w:r>
      <w:r>
        <w:rPr>
          <w:sz w:val="18"/>
        </w:rPr>
        <w:t>to</w:t>
      </w:r>
      <w:r>
        <w:rPr>
          <w:spacing w:val="-4"/>
          <w:sz w:val="18"/>
        </w:rPr>
        <w:t> </w:t>
      </w:r>
      <w:r>
        <w:rPr>
          <w:sz w:val="18"/>
        </w:rPr>
        <w:t>and</w:t>
      </w:r>
      <w:r>
        <w:rPr>
          <w:spacing w:val="-4"/>
          <w:sz w:val="18"/>
        </w:rPr>
        <w:t> </w:t>
      </w:r>
      <w:r>
        <w:rPr>
          <w:sz w:val="18"/>
        </w:rPr>
        <w:t>Supply</w:t>
      </w:r>
      <w:r>
        <w:rPr>
          <w:spacing w:val="-3"/>
          <w:sz w:val="18"/>
        </w:rPr>
        <w:t> </w:t>
      </w:r>
      <w:r>
        <w:rPr>
          <w:sz w:val="18"/>
        </w:rPr>
        <w:t>of</w:t>
      </w:r>
      <w:r>
        <w:rPr>
          <w:spacing w:val="-4"/>
          <w:sz w:val="18"/>
        </w:rPr>
        <w:t> </w:t>
      </w:r>
      <w:r>
        <w:rPr>
          <w:sz w:val="18"/>
        </w:rPr>
        <w:t>Goods</w:t>
      </w:r>
      <w:r>
        <w:rPr>
          <w:spacing w:val="-4"/>
          <w:sz w:val="18"/>
        </w:rPr>
        <w:t> </w:t>
      </w:r>
      <w:r>
        <w:rPr>
          <w:sz w:val="18"/>
        </w:rPr>
        <w:t>and</w:t>
      </w:r>
      <w:r>
        <w:rPr>
          <w:spacing w:val="-4"/>
          <w:sz w:val="18"/>
        </w:rPr>
        <w:t> </w:t>
      </w:r>
      <w:r>
        <w:rPr>
          <w:sz w:val="18"/>
        </w:rPr>
        <w:t>Services’,</w:t>
      </w:r>
      <w:r>
        <w:rPr>
          <w:spacing w:val="-3"/>
          <w:sz w:val="18"/>
        </w:rPr>
        <w:t> </w:t>
      </w:r>
      <w:r>
        <w:rPr>
          <w:sz w:val="18"/>
        </w:rPr>
        <w:t>13</w:t>
      </w:r>
      <w:r>
        <w:rPr>
          <w:spacing w:val="-3"/>
          <w:sz w:val="18"/>
        </w:rPr>
        <w:t> </w:t>
      </w:r>
      <w:r>
        <w:rPr>
          <w:sz w:val="18"/>
        </w:rPr>
        <w:t>December</w:t>
      </w:r>
      <w:r>
        <w:rPr>
          <w:spacing w:val="-3"/>
          <w:sz w:val="18"/>
        </w:rPr>
        <w:t> </w:t>
      </w:r>
      <w:r>
        <w:rPr>
          <w:sz w:val="18"/>
        </w:rPr>
        <w:t>2004;</w:t>
      </w:r>
      <w:r>
        <w:rPr>
          <w:spacing w:val="-3"/>
          <w:sz w:val="18"/>
        </w:rPr>
        <w:t> </w:t>
      </w:r>
      <w:r>
        <w:rPr>
          <w:sz w:val="18"/>
        </w:rPr>
        <w:t>Directive</w:t>
      </w:r>
      <w:r>
        <w:rPr>
          <w:spacing w:val="-3"/>
          <w:sz w:val="18"/>
        </w:rPr>
        <w:t> </w:t>
      </w:r>
      <w:r>
        <w:rPr>
          <w:sz w:val="18"/>
        </w:rPr>
        <w:t>2006/54/EC,</w:t>
      </w:r>
      <w:r>
        <w:rPr>
          <w:spacing w:val="-3"/>
          <w:sz w:val="18"/>
        </w:rPr>
        <w:t> </w:t>
      </w:r>
      <w:r>
        <w:rPr>
          <w:sz w:val="18"/>
        </w:rPr>
        <w:t>‘Council</w:t>
      </w:r>
      <w:r>
        <w:rPr>
          <w:spacing w:val="-4"/>
          <w:sz w:val="18"/>
        </w:rPr>
        <w:t> </w:t>
      </w:r>
      <w:r>
        <w:rPr>
          <w:sz w:val="18"/>
        </w:rPr>
        <w:t>of</w:t>
      </w:r>
      <w:r>
        <w:rPr>
          <w:spacing w:val="-4"/>
          <w:sz w:val="18"/>
        </w:rPr>
        <w:t> </w:t>
      </w:r>
      <w:r>
        <w:rPr>
          <w:sz w:val="18"/>
        </w:rPr>
        <w:t>the EU Directive on the Implementation of the Principle of Equal Opportunities and Equal Treatment of Men and Women in Matters of Employment and Occupation’, 5 July 2006; Directive 2010/41/EU, ‘EU Parliament and Council of the EU Directive on the Application of the Principle of Equal Treatment between Men and Women Engaged in an Activity in a</w:t>
      </w:r>
    </w:p>
    <w:p>
      <w:pPr>
        <w:spacing w:line="218" w:lineRule="auto" w:before="1"/>
        <w:ind w:left="1853" w:right="1171" w:firstLine="0"/>
        <w:jc w:val="left"/>
        <w:rPr>
          <w:sz w:val="18"/>
        </w:rPr>
      </w:pPr>
      <w:r>
        <w:rPr>
          <w:sz w:val="18"/>
        </w:rPr>
        <w:t>Self-employed</w:t>
      </w:r>
      <w:r>
        <w:rPr>
          <w:spacing w:val="-6"/>
          <w:sz w:val="18"/>
        </w:rPr>
        <w:t> </w:t>
      </w:r>
      <w:r>
        <w:rPr>
          <w:sz w:val="18"/>
        </w:rPr>
        <w:t>Capacity’,</w:t>
      </w:r>
      <w:r>
        <w:rPr>
          <w:spacing w:val="-5"/>
          <w:sz w:val="18"/>
        </w:rPr>
        <w:t> </w:t>
      </w:r>
      <w:r>
        <w:rPr>
          <w:sz w:val="18"/>
        </w:rPr>
        <w:t>7</w:t>
      </w:r>
      <w:r>
        <w:rPr>
          <w:spacing w:val="-5"/>
          <w:sz w:val="18"/>
        </w:rPr>
        <w:t> </w:t>
      </w:r>
      <w:r>
        <w:rPr>
          <w:sz w:val="18"/>
        </w:rPr>
        <w:t>July</w:t>
      </w:r>
      <w:r>
        <w:rPr>
          <w:spacing w:val="-5"/>
          <w:sz w:val="18"/>
        </w:rPr>
        <w:t> </w:t>
      </w:r>
      <w:r>
        <w:rPr>
          <w:sz w:val="18"/>
        </w:rPr>
        <w:t>2010.</w:t>
      </w:r>
      <w:r>
        <w:rPr>
          <w:spacing w:val="30"/>
          <w:sz w:val="18"/>
        </w:rPr>
        <w:t> </w:t>
      </w:r>
      <w:r>
        <w:rPr>
          <w:sz w:val="18"/>
        </w:rPr>
        <w:t>See</w:t>
      </w:r>
      <w:r>
        <w:rPr>
          <w:spacing w:val="-5"/>
          <w:sz w:val="18"/>
        </w:rPr>
        <w:t> </w:t>
      </w:r>
      <w:r>
        <w:rPr>
          <w:sz w:val="18"/>
        </w:rPr>
        <w:t>also</w:t>
      </w:r>
      <w:r>
        <w:rPr>
          <w:spacing w:val="-6"/>
          <w:sz w:val="18"/>
        </w:rPr>
        <w:t> </w:t>
      </w:r>
      <w:r>
        <w:rPr>
          <w:sz w:val="18"/>
        </w:rPr>
        <w:t>Letter</w:t>
      </w:r>
      <w:r>
        <w:rPr>
          <w:spacing w:val="-5"/>
          <w:sz w:val="18"/>
        </w:rPr>
        <w:t> </w:t>
      </w:r>
      <w:r>
        <w:rPr>
          <w:sz w:val="18"/>
        </w:rPr>
        <w:t>from</w:t>
      </w:r>
      <w:r>
        <w:rPr>
          <w:spacing w:val="-5"/>
          <w:sz w:val="18"/>
        </w:rPr>
        <w:t> </w:t>
      </w:r>
      <w:r>
        <w:rPr>
          <w:sz w:val="18"/>
        </w:rPr>
        <w:t>the</w:t>
      </w:r>
      <w:r>
        <w:rPr>
          <w:spacing w:val="-5"/>
          <w:sz w:val="18"/>
        </w:rPr>
        <w:t> </w:t>
      </w:r>
      <w:r>
        <w:rPr>
          <w:sz w:val="18"/>
        </w:rPr>
        <w:t>Minister</w:t>
      </w:r>
      <w:r>
        <w:rPr>
          <w:spacing w:val="-5"/>
          <w:sz w:val="18"/>
        </w:rPr>
        <w:t> </w:t>
      </w:r>
      <w:r>
        <w:rPr>
          <w:sz w:val="18"/>
        </w:rPr>
        <w:t>of</w:t>
      </w:r>
      <w:r>
        <w:rPr>
          <w:spacing w:val="-6"/>
          <w:sz w:val="18"/>
        </w:rPr>
        <w:t> </w:t>
      </w:r>
      <w:r>
        <w:rPr>
          <w:sz w:val="18"/>
        </w:rPr>
        <w:t>State</w:t>
      </w:r>
      <w:r>
        <w:rPr>
          <w:spacing w:val="-5"/>
          <w:sz w:val="18"/>
        </w:rPr>
        <w:t> </w:t>
      </w:r>
      <w:r>
        <w:rPr>
          <w:sz w:val="18"/>
        </w:rPr>
        <w:t>for</w:t>
      </w:r>
      <w:r>
        <w:rPr>
          <w:spacing w:val="-5"/>
          <w:sz w:val="18"/>
        </w:rPr>
        <w:t> </w:t>
      </w:r>
      <w:r>
        <w:rPr>
          <w:sz w:val="18"/>
        </w:rPr>
        <w:t>NI,</w:t>
      </w:r>
      <w:r>
        <w:rPr>
          <w:spacing w:val="-5"/>
          <w:sz w:val="18"/>
        </w:rPr>
        <w:t> </w:t>
      </w:r>
      <w:r>
        <w:rPr>
          <w:sz w:val="18"/>
        </w:rPr>
        <w:t>Steve</w:t>
      </w:r>
      <w:r>
        <w:rPr>
          <w:spacing w:val="-5"/>
          <w:sz w:val="18"/>
        </w:rPr>
        <w:t> </w:t>
      </w:r>
      <w:r>
        <w:rPr>
          <w:sz w:val="18"/>
        </w:rPr>
        <w:t>Baker</w:t>
      </w:r>
      <w:r>
        <w:rPr>
          <w:spacing w:val="-5"/>
          <w:sz w:val="18"/>
        </w:rPr>
        <w:t> </w:t>
      </w:r>
      <w:r>
        <w:rPr>
          <w:sz w:val="18"/>
        </w:rPr>
        <w:t>MP,</w:t>
      </w:r>
      <w:r>
        <w:rPr>
          <w:spacing w:val="-5"/>
          <w:sz w:val="18"/>
        </w:rPr>
        <w:t> </w:t>
      </w:r>
      <w:r>
        <w:rPr>
          <w:sz w:val="18"/>
        </w:rPr>
        <w:t>to</w:t>
      </w:r>
      <w:r>
        <w:rPr>
          <w:spacing w:val="-6"/>
          <w:sz w:val="18"/>
        </w:rPr>
        <w:t> </w:t>
      </w:r>
      <w:r>
        <w:rPr>
          <w:sz w:val="18"/>
        </w:rPr>
        <w:t>the</w:t>
      </w:r>
      <w:r>
        <w:rPr>
          <w:spacing w:val="-5"/>
          <w:sz w:val="18"/>
        </w:rPr>
        <w:t> </w:t>
      </w:r>
      <w:r>
        <w:rPr>
          <w:sz w:val="18"/>
        </w:rPr>
        <w:t>Chair</w:t>
      </w:r>
      <w:r>
        <w:rPr>
          <w:spacing w:val="-5"/>
          <w:sz w:val="18"/>
        </w:rPr>
        <w:t> </w:t>
      </w:r>
      <w:r>
        <w:rPr>
          <w:sz w:val="18"/>
        </w:rPr>
        <w:t>of</w:t>
      </w:r>
      <w:r>
        <w:rPr>
          <w:spacing w:val="-6"/>
          <w:sz w:val="18"/>
        </w:rPr>
        <w:t> </w:t>
      </w:r>
      <w:r>
        <w:rPr>
          <w:sz w:val="18"/>
        </w:rPr>
        <w:t>the House of Lords Sub Committee on the Protocol on Ireland/Northern Ireland, 18 September 2022.</w:t>
      </w:r>
    </w:p>
    <w:p>
      <w:pPr>
        <w:pStyle w:val="ListParagraph"/>
        <w:numPr>
          <w:ilvl w:val="0"/>
          <w:numId w:val="8"/>
        </w:numPr>
        <w:tabs>
          <w:tab w:pos="1853" w:val="left" w:leader="none"/>
        </w:tabs>
        <w:spacing w:line="235" w:lineRule="auto" w:before="4" w:after="0"/>
        <w:ind w:left="1853" w:right="1377" w:hanging="720"/>
        <w:jc w:val="left"/>
        <w:rPr>
          <w:sz w:val="18"/>
        </w:rPr>
      </w:pPr>
      <w:r>
        <w:rPr>
          <w:sz w:val="18"/>
        </w:rPr>
        <w:t>Directive</w:t>
      </w:r>
      <w:r>
        <w:rPr>
          <w:spacing w:val="-4"/>
          <w:sz w:val="18"/>
        </w:rPr>
        <w:t> </w:t>
      </w:r>
      <w:r>
        <w:rPr>
          <w:sz w:val="18"/>
        </w:rPr>
        <w:t>2023/970/EU,</w:t>
      </w:r>
      <w:r>
        <w:rPr>
          <w:spacing w:val="-4"/>
          <w:sz w:val="18"/>
        </w:rPr>
        <w:t> </w:t>
      </w:r>
      <w:r>
        <w:rPr>
          <w:sz w:val="18"/>
        </w:rPr>
        <w:t>‘EU</w:t>
      </w:r>
      <w:r>
        <w:rPr>
          <w:spacing w:val="-4"/>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Directive</w:t>
      </w:r>
      <w:r>
        <w:rPr>
          <w:spacing w:val="-4"/>
          <w:sz w:val="18"/>
        </w:rPr>
        <w:t> </w:t>
      </w:r>
      <w:r>
        <w:rPr>
          <w:sz w:val="18"/>
        </w:rPr>
        <w:t>to</w:t>
      </w:r>
      <w:r>
        <w:rPr>
          <w:spacing w:val="-5"/>
          <w:sz w:val="18"/>
        </w:rPr>
        <w:t> </w:t>
      </w:r>
      <w:r>
        <w:rPr>
          <w:sz w:val="18"/>
        </w:rPr>
        <w:t>strengthen</w:t>
      </w:r>
      <w:r>
        <w:rPr>
          <w:spacing w:val="-5"/>
          <w:sz w:val="18"/>
        </w:rPr>
        <w:t> </w:t>
      </w:r>
      <w:r>
        <w:rPr>
          <w:sz w:val="18"/>
        </w:rPr>
        <w:t>the</w:t>
      </w:r>
      <w:r>
        <w:rPr>
          <w:spacing w:val="-4"/>
          <w:sz w:val="18"/>
        </w:rPr>
        <w:t> </w:t>
      </w:r>
      <w:r>
        <w:rPr>
          <w:sz w:val="18"/>
        </w:rPr>
        <w:t>application</w:t>
      </w:r>
      <w:r>
        <w:rPr>
          <w:spacing w:val="-5"/>
          <w:sz w:val="18"/>
        </w:rPr>
        <w:t> </w:t>
      </w:r>
      <w:r>
        <w:rPr>
          <w:sz w:val="18"/>
        </w:rPr>
        <w:t>of</w:t>
      </w:r>
      <w:r>
        <w:rPr>
          <w:spacing w:val="-5"/>
          <w:sz w:val="18"/>
        </w:rPr>
        <w:t> </w:t>
      </w:r>
      <w:r>
        <w:rPr>
          <w:sz w:val="18"/>
        </w:rPr>
        <w:t>the</w:t>
      </w:r>
      <w:r>
        <w:rPr>
          <w:spacing w:val="-4"/>
          <w:sz w:val="18"/>
        </w:rPr>
        <w:t> </w:t>
      </w:r>
      <w:r>
        <w:rPr>
          <w:sz w:val="18"/>
        </w:rPr>
        <w:t>principle</w:t>
      </w:r>
      <w:r>
        <w:rPr>
          <w:spacing w:val="-4"/>
          <w:sz w:val="18"/>
        </w:rPr>
        <w:t> </w:t>
      </w:r>
      <w:r>
        <w:rPr>
          <w:sz w:val="18"/>
        </w:rPr>
        <w:t>of</w:t>
      </w:r>
      <w:r>
        <w:rPr>
          <w:spacing w:val="-5"/>
          <w:sz w:val="18"/>
        </w:rPr>
        <w:t> </w:t>
      </w:r>
      <w:r>
        <w:rPr>
          <w:sz w:val="18"/>
        </w:rPr>
        <w:t>equal</w:t>
      </w:r>
      <w:r>
        <w:rPr>
          <w:spacing w:val="-5"/>
          <w:sz w:val="18"/>
        </w:rPr>
        <w:t> </w:t>
      </w:r>
      <w:r>
        <w:rPr>
          <w:sz w:val="18"/>
        </w:rPr>
        <w:t>pay for equal work or work of equal value, between men and women through pay transparency and enforcement mechanisms’, 10 May 2023.</w:t>
      </w:r>
    </w:p>
    <w:p>
      <w:pPr>
        <w:pStyle w:val="ListParagraph"/>
        <w:numPr>
          <w:ilvl w:val="0"/>
          <w:numId w:val="8"/>
        </w:numPr>
        <w:tabs>
          <w:tab w:pos="1853" w:val="left" w:leader="none"/>
        </w:tabs>
        <w:spacing w:line="235" w:lineRule="auto" w:before="2" w:after="0"/>
        <w:ind w:left="1853" w:right="1170" w:hanging="720"/>
        <w:jc w:val="left"/>
        <w:rPr>
          <w:sz w:val="18"/>
        </w:rPr>
      </w:pPr>
      <w:r>
        <w:rPr>
          <w:sz w:val="18"/>
        </w:rPr>
        <w:t>Directive</w:t>
      </w:r>
      <w:r>
        <w:rPr>
          <w:spacing w:val="-5"/>
          <w:sz w:val="18"/>
        </w:rPr>
        <w:t> </w:t>
      </w:r>
      <w:r>
        <w:rPr>
          <w:sz w:val="18"/>
        </w:rPr>
        <w:t>2006/54/EC,</w:t>
      </w:r>
      <w:r>
        <w:rPr>
          <w:spacing w:val="-5"/>
          <w:sz w:val="18"/>
        </w:rPr>
        <w:t> </w:t>
      </w:r>
      <w:r>
        <w:rPr>
          <w:sz w:val="18"/>
        </w:rPr>
        <w:t>‘EU</w:t>
      </w:r>
      <w:r>
        <w:rPr>
          <w:spacing w:val="-5"/>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Directive</w:t>
      </w:r>
      <w:r>
        <w:rPr>
          <w:spacing w:val="-5"/>
          <w:sz w:val="18"/>
        </w:rPr>
        <w:t> </w:t>
      </w:r>
      <w:r>
        <w:rPr>
          <w:sz w:val="18"/>
        </w:rPr>
        <w:t>on</w:t>
      </w:r>
      <w:r>
        <w:rPr>
          <w:spacing w:val="-5"/>
          <w:sz w:val="18"/>
        </w:rPr>
        <w:t> </w:t>
      </w:r>
      <w:r>
        <w:rPr>
          <w:sz w:val="18"/>
        </w:rPr>
        <w:t>the</w:t>
      </w:r>
      <w:r>
        <w:rPr>
          <w:spacing w:val="-5"/>
          <w:sz w:val="18"/>
        </w:rPr>
        <w:t> </w:t>
      </w:r>
      <w:r>
        <w:rPr>
          <w:sz w:val="18"/>
        </w:rPr>
        <w:t>Implementation</w:t>
      </w:r>
      <w:r>
        <w:rPr>
          <w:spacing w:val="-5"/>
          <w:sz w:val="18"/>
        </w:rPr>
        <w:t> </w:t>
      </w:r>
      <w:r>
        <w:rPr>
          <w:sz w:val="18"/>
        </w:rPr>
        <w:t>of</w:t>
      </w:r>
      <w:r>
        <w:rPr>
          <w:spacing w:val="-5"/>
          <w:sz w:val="18"/>
        </w:rPr>
        <w:t> </w:t>
      </w:r>
      <w:r>
        <w:rPr>
          <w:sz w:val="18"/>
        </w:rPr>
        <w:t>the</w:t>
      </w:r>
      <w:r>
        <w:rPr>
          <w:spacing w:val="-5"/>
          <w:sz w:val="18"/>
        </w:rPr>
        <w:t> </w:t>
      </w:r>
      <w:r>
        <w:rPr>
          <w:sz w:val="18"/>
        </w:rPr>
        <w:t>Principle</w:t>
      </w:r>
      <w:r>
        <w:rPr>
          <w:spacing w:val="-5"/>
          <w:sz w:val="18"/>
        </w:rPr>
        <w:t> </w:t>
      </w:r>
      <w:r>
        <w:rPr>
          <w:sz w:val="18"/>
        </w:rPr>
        <w:t>of</w:t>
      </w:r>
      <w:r>
        <w:rPr>
          <w:spacing w:val="-5"/>
          <w:sz w:val="18"/>
        </w:rPr>
        <w:t> </w:t>
      </w:r>
      <w:r>
        <w:rPr>
          <w:sz w:val="18"/>
        </w:rPr>
        <w:t>Equal</w:t>
      </w:r>
      <w:r>
        <w:rPr>
          <w:spacing w:val="-5"/>
          <w:sz w:val="18"/>
        </w:rPr>
        <w:t> </w:t>
      </w:r>
      <w:r>
        <w:rPr>
          <w:sz w:val="18"/>
        </w:rPr>
        <w:t>Opportunities and Equal Treatment of Men and Women in Matters of Employment and Occupation (Recast)’, 5 July 2006.</w:t>
      </w:r>
    </w:p>
    <w:p>
      <w:pPr>
        <w:pStyle w:val="ListParagraph"/>
        <w:numPr>
          <w:ilvl w:val="0"/>
          <w:numId w:val="8"/>
        </w:numPr>
        <w:tabs>
          <w:tab w:pos="1853" w:val="left" w:leader="none"/>
        </w:tabs>
        <w:spacing w:line="235" w:lineRule="auto" w:before="1" w:after="0"/>
        <w:ind w:left="1853" w:right="1201" w:hanging="720"/>
        <w:jc w:val="left"/>
        <w:rPr>
          <w:sz w:val="18"/>
        </w:rPr>
      </w:pPr>
      <w:r>
        <w:rPr>
          <w:sz w:val="18"/>
        </w:rPr>
        <w:t>Equality</w:t>
      </w:r>
      <w:r>
        <w:rPr>
          <w:spacing w:val="-5"/>
          <w:sz w:val="18"/>
        </w:rPr>
        <w:t> </w:t>
      </w:r>
      <w:r>
        <w:rPr>
          <w:sz w:val="18"/>
        </w:rPr>
        <w:t>Commission</w:t>
      </w:r>
      <w:r>
        <w:rPr>
          <w:spacing w:val="-6"/>
          <w:sz w:val="18"/>
        </w:rPr>
        <w:t> </w:t>
      </w:r>
      <w:r>
        <w:rPr>
          <w:sz w:val="18"/>
        </w:rPr>
        <w:t>for</w:t>
      </w:r>
      <w:r>
        <w:rPr>
          <w:spacing w:val="-5"/>
          <w:sz w:val="18"/>
        </w:rPr>
        <w:t> </w:t>
      </w:r>
      <w:r>
        <w:rPr>
          <w:sz w:val="18"/>
        </w:rPr>
        <w:t>NI</w:t>
      </w:r>
      <w:r>
        <w:rPr>
          <w:spacing w:val="-5"/>
          <w:sz w:val="18"/>
        </w:rPr>
        <w:t> </w:t>
      </w:r>
      <w:r>
        <w:rPr>
          <w:sz w:val="18"/>
        </w:rPr>
        <w:t>and</w:t>
      </w:r>
      <w:r>
        <w:rPr>
          <w:spacing w:val="-6"/>
          <w:sz w:val="18"/>
        </w:rPr>
        <w:t> </w:t>
      </w:r>
      <w:r>
        <w:rPr>
          <w:sz w:val="18"/>
        </w:rPr>
        <w:t>NI</w:t>
      </w:r>
      <w:r>
        <w:rPr>
          <w:spacing w:val="-5"/>
          <w:sz w:val="18"/>
        </w:rPr>
        <w:t> </w:t>
      </w:r>
      <w:r>
        <w:rPr>
          <w:sz w:val="18"/>
        </w:rPr>
        <w:t>Human</w:t>
      </w:r>
      <w:r>
        <w:rPr>
          <w:spacing w:val="-6"/>
          <w:sz w:val="18"/>
        </w:rPr>
        <w:t> </w:t>
      </w:r>
      <w:r>
        <w:rPr>
          <w:sz w:val="18"/>
        </w:rPr>
        <w:t>Rights</w:t>
      </w:r>
      <w:r>
        <w:rPr>
          <w:spacing w:val="-6"/>
          <w:sz w:val="18"/>
        </w:rPr>
        <w:t> </w:t>
      </w:r>
      <w:r>
        <w:rPr>
          <w:sz w:val="18"/>
        </w:rPr>
        <w:t>Commission,</w:t>
      </w:r>
      <w:r>
        <w:rPr>
          <w:spacing w:val="-5"/>
          <w:sz w:val="18"/>
        </w:rPr>
        <w:t> </w:t>
      </w:r>
      <w:r>
        <w:rPr>
          <w:sz w:val="18"/>
        </w:rPr>
        <w:t>‘</w:t>
      </w:r>
      <w:hyperlink r:id="rId96">
        <w:r>
          <w:rPr>
            <w:sz w:val="18"/>
          </w:rPr>
          <w:t>Briefing</w:t>
        </w:r>
        <w:r>
          <w:rPr>
            <w:spacing w:val="-5"/>
            <w:sz w:val="18"/>
          </w:rPr>
          <w:t> </w:t>
        </w:r>
        <w:r>
          <w:rPr>
            <w:sz w:val="18"/>
          </w:rPr>
          <w:t>Paper:</w:t>
        </w:r>
        <w:r>
          <w:rPr>
            <w:spacing w:val="-5"/>
            <w:sz w:val="18"/>
          </w:rPr>
          <w:t> </w:t>
        </w:r>
        <w:r>
          <w:rPr>
            <w:sz w:val="18"/>
          </w:rPr>
          <w:t>The</w:t>
        </w:r>
        <w:r>
          <w:rPr>
            <w:spacing w:val="-5"/>
            <w:sz w:val="18"/>
          </w:rPr>
          <w:t> </w:t>
        </w:r>
        <w:r>
          <w:rPr>
            <w:sz w:val="18"/>
          </w:rPr>
          <w:t>EU</w:t>
        </w:r>
        <w:r>
          <w:rPr>
            <w:spacing w:val="-5"/>
            <w:sz w:val="18"/>
          </w:rPr>
          <w:t> </w:t>
        </w:r>
        <w:r>
          <w:rPr>
            <w:sz w:val="18"/>
          </w:rPr>
          <w:t>Pay</w:t>
        </w:r>
        <w:r>
          <w:rPr>
            <w:spacing w:val="-5"/>
            <w:sz w:val="18"/>
          </w:rPr>
          <w:t> </w:t>
        </w:r>
        <w:r>
          <w:rPr>
            <w:sz w:val="18"/>
          </w:rPr>
          <w:t>Transparency</w:t>
        </w:r>
        <w:r>
          <w:rPr>
            <w:spacing w:val="-5"/>
            <w:sz w:val="18"/>
          </w:rPr>
          <w:t> </w:t>
        </w:r>
        <w:r>
          <w:rPr>
            <w:sz w:val="18"/>
          </w:rPr>
          <w:t>Directive:</w:t>
        </w:r>
        <w:r>
          <w:rPr>
            <w:spacing w:val="-5"/>
            <w:sz w:val="18"/>
          </w:rPr>
          <w:t> </w:t>
        </w:r>
        <w:r>
          <w:rPr>
            <w:sz w:val="18"/>
          </w:rPr>
          <w:t>The</w:t>
        </w:r>
        <w:r>
          <w:rPr>
            <w:spacing w:val="-5"/>
            <w:sz w:val="18"/>
          </w:rPr>
          <w:t> </w:t>
        </w:r>
        <w:r>
          <w:rPr>
            <w:sz w:val="18"/>
          </w:rPr>
          <w:t>UK</w:t>
        </w:r>
      </w:hyperlink>
      <w:r>
        <w:rPr>
          <w:sz w:val="18"/>
        </w:rPr>
        <w:t> </w:t>
      </w:r>
      <w:hyperlink r:id="rId96">
        <w:r>
          <w:rPr>
            <w:sz w:val="18"/>
          </w:rPr>
          <w:t>Governments dynamic alignment obligations relating to Windsor Framework Article 2</w:t>
        </w:r>
      </w:hyperlink>
      <w:r>
        <w:rPr>
          <w:sz w:val="18"/>
        </w:rPr>
        <w:t>’ (ECNI and NIHRC, 2024).</w:t>
      </w:r>
    </w:p>
    <w:p>
      <w:pPr>
        <w:pStyle w:val="ListParagraph"/>
        <w:numPr>
          <w:ilvl w:val="0"/>
          <w:numId w:val="8"/>
        </w:numPr>
        <w:tabs>
          <w:tab w:pos="1853" w:val="left" w:leader="none"/>
        </w:tabs>
        <w:spacing w:line="216" w:lineRule="exact" w:before="0" w:after="0"/>
        <w:ind w:left="1853" w:right="0" w:hanging="720"/>
        <w:jc w:val="left"/>
        <w:rPr>
          <w:sz w:val="18"/>
        </w:rPr>
      </w:pPr>
      <w:r>
        <w:rPr>
          <w:sz w:val="18"/>
        </w:rPr>
        <w:t>Article</w:t>
      </w:r>
      <w:r>
        <w:rPr>
          <w:spacing w:val="-2"/>
          <w:sz w:val="18"/>
        </w:rPr>
        <w:t> </w:t>
      </w:r>
      <w:r>
        <w:rPr>
          <w:sz w:val="18"/>
        </w:rPr>
        <w:t>13(3),</w:t>
      </w:r>
      <w:r>
        <w:rPr>
          <w:spacing w:val="-2"/>
          <w:sz w:val="18"/>
        </w:rPr>
        <w:t> </w:t>
      </w:r>
      <w:r>
        <w:rPr>
          <w:sz w:val="18"/>
        </w:rPr>
        <w:t>Windsor</w:t>
      </w:r>
      <w:r>
        <w:rPr>
          <w:spacing w:val="-1"/>
          <w:sz w:val="18"/>
        </w:rPr>
        <w:t> </w:t>
      </w:r>
      <w:r>
        <w:rPr>
          <w:spacing w:val="-2"/>
          <w:sz w:val="18"/>
        </w:rPr>
        <w:t>Framework.</w:t>
      </w:r>
    </w:p>
    <w:p>
      <w:pPr>
        <w:pStyle w:val="ListParagraph"/>
        <w:numPr>
          <w:ilvl w:val="0"/>
          <w:numId w:val="8"/>
        </w:numPr>
        <w:tabs>
          <w:tab w:pos="1853" w:val="left" w:leader="none"/>
        </w:tabs>
        <w:spacing w:line="218" w:lineRule="exact" w:before="0" w:after="0"/>
        <w:ind w:left="1853" w:right="0" w:hanging="720"/>
        <w:jc w:val="left"/>
        <w:rPr>
          <w:sz w:val="18"/>
        </w:rPr>
      </w:pPr>
      <w:r>
        <w:rPr>
          <w:sz w:val="18"/>
        </w:rPr>
        <w:t>NI</w:t>
      </w:r>
      <w:r>
        <w:rPr>
          <w:spacing w:val="-4"/>
          <w:sz w:val="18"/>
        </w:rPr>
        <w:t> </w:t>
      </w:r>
      <w:r>
        <w:rPr>
          <w:sz w:val="18"/>
        </w:rPr>
        <w:t>Office,</w:t>
      </w:r>
      <w:r>
        <w:rPr>
          <w:spacing w:val="-4"/>
          <w:sz w:val="18"/>
        </w:rPr>
        <w:t> </w:t>
      </w:r>
      <w:r>
        <w:rPr>
          <w:sz w:val="18"/>
        </w:rPr>
        <w:t>‘New</w:t>
      </w:r>
      <w:r>
        <w:rPr>
          <w:spacing w:val="-4"/>
          <w:sz w:val="18"/>
        </w:rPr>
        <w:t> </w:t>
      </w:r>
      <w:r>
        <w:rPr>
          <w:sz w:val="18"/>
        </w:rPr>
        <w:t>Decade,</w:t>
      </w:r>
      <w:r>
        <w:rPr>
          <w:spacing w:val="-4"/>
          <w:sz w:val="18"/>
        </w:rPr>
        <w:t> </w:t>
      </w:r>
      <w:r>
        <w:rPr>
          <w:sz w:val="18"/>
        </w:rPr>
        <w:t>New</w:t>
      </w:r>
      <w:r>
        <w:rPr>
          <w:spacing w:val="-4"/>
          <w:sz w:val="18"/>
        </w:rPr>
        <w:t> </w:t>
      </w:r>
      <w:r>
        <w:rPr>
          <w:sz w:val="18"/>
        </w:rPr>
        <w:t>Approach’</w:t>
      </w:r>
      <w:r>
        <w:rPr>
          <w:spacing w:val="-3"/>
          <w:sz w:val="18"/>
        </w:rPr>
        <w:t> </w:t>
      </w:r>
      <w:r>
        <w:rPr>
          <w:sz w:val="18"/>
        </w:rPr>
        <w:t>(NIO,</w:t>
      </w:r>
      <w:r>
        <w:rPr>
          <w:spacing w:val="-4"/>
          <w:sz w:val="18"/>
        </w:rPr>
        <w:t> </w:t>
      </w:r>
      <w:r>
        <w:rPr>
          <w:spacing w:val="-2"/>
          <w:sz w:val="18"/>
        </w:rPr>
        <w:t>2020).</w:t>
      </w:r>
    </w:p>
    <w:p>
      <w:pPr>
        <w:spacing w:after="0" w:line="218" w:lineRule="exact"/>
        <w:jc w:val="left"/>
        <w:rPr>
          <w:sz w:val="18"/>
        </w:rPr>
        <w:sectPr>
          <w:headerReference w:type="default" r:id="rId121"/>
          <w:headerReference w:type="even" r:id="rId122"/>
          <w:footerReference w:type="default" r:id="rId123"/>
          <w:footerReference w:type="even" r:id="rId124"/>
          <w:pgSz w:w="11910" w:h="16840"/>
          <w:pgMar w:header="496" w:footer="1025" w:top="1220" w:bottom="1220" w:left="0" w:right="0"/>
          <w:pgNumType w:start="59"/>
        </w:sectPr>
      </w:pPr>
    </w:p>
    <w:p>
      <w:pPr>
        <w:pStyle w:val="BodyText"/>
        <w:spacing w:before="198"/>
      </w:pPr>
    </w:p>
    <w:p>
      <w:pPr>
        <w:pStyle w:val="BodyText"/>
        <w:spacing w:line="225" w:lineRule="auto"/>
        <w:ind w:left="1853" w:right="1171" w:hanging="1"/>
      </w:pPr>
      <w:r>
        <w:rPr/>
        <w:t>and</w:t>
      </w:r>
      <w:r>
        <w:rPr>
          <w:spacing w:val="-5"/>
        </w:rPr>
        <w:t> </w:t>
      </w:r>
      <w:r>
        <w:rPr/>
        <w:t>best</w:t>
      </w:r>
      <w:r>
        <w:rPr>
          <w:spacing w:val="-4"/>
        </w:rPr>
        <w:t> </w:t>
      </w:r>
      <w:r>
        <w:rPr/>
        <w:t>practice</w:t>
      </w:r>
      <w:r>
        <w:rPr>
          <w:spacing w:val="-4"/>
        </w:rPr>
        <w:t> </w:t>
      </w:r>
      <w:r>
        <w:rPr/>
        <w:t>could</w:t>
      </w:r>
      <w:r>
        <w:rPr>
          <w:spacing w:val="-5"/>
        </w:rPr>
        <w:t> </w:t>
      </w:r>
      <w:r>
        <w:rPr/>
        <w:t>help</w:t>
      </w:r>
      <w:r>
        <w:rPr>
          <w:spacing w:val="-5"/>
        </w:rPr>
        <w:t> </w:t>
      </w:r>
      <w:r>
        <w:rPr/>
        <w:t>ensure</w:t>
      </w:r>
      <w:r>
        <w:rPr>
          <w:spacing w:val="-4"/>
        </w:rPr>
        <w:t> </w:t>
      </w:r>
      <w:r>
        <w:rPr/>
        <w:t>equivalence</w:t>
      </w:r>
      <w:r>
        <w:rPr>
          <w:spacing w:val="-4"/>
        </w:rPr>
        <w:t> </w:t>
      </w:r>
      <w:r>
        <w:rPr/>
        <w:t>of</w:t>
      </w:r>
      <w:r>
        <w:rPr>
          <w:spacing w:val="-5"/>
        </w:rPr>
        <w:t> </w:t>
      </w:r>
      <w:r>
        <w:rPr/>
        <w:t>rights</w:t>
      </w:r>
      <w:r>
        <w:rPr>
          <w:spacing w:val="-5"/>
        </w:rPr>
        <w:t> </w:t>
      </w:r>
      <w:r>
        <w:rPr/>
        <w:t>on</w:t>
      </w:r>
      <w:r>
        <w:rPr>
          <w:spacing w:val="-5"/>
        </w:rPr>
        <w:t> </w:t>
      </w:r>
      <w:r>
        <w:rPr/>
        <w:t>the</w:t>
      </w:r>
      <w:r>
        <w:rPr>
          <w:spacing w:val="-4"/>
        </w:rPr>
        <w:t> </w:t>
      </w:r>
      <w:r>
        <w:rPr/>
        <w:t>island</w:t>
      </w:r>
      <w:r>
        <w:rPr>
          <w:spacing w:val="-5"/>
        </w:rPr>
        <w:t> </w:t>
      </w:r>
      <w:r>
        <w:rPr/>
        <w:t>of </w:t>
      </w:r>
      <w:r>
        <w:rPr>
          <w:spacing w:val="-2"/>
        </w:rPr>
        <w:t>Ireland.</w:t>
      </w:r>
      <w:r>
        <w:rPr>
          <w:spacing w:val="-2"/>
          <w:vertAlign w:val="superscript"/>
        </w:rPr>
        <w:t>262</w:t>
      </w:r>
    </w:p>
    <w:p>
      <w:pPr>
        <w:pStyle w:val="ListParagraph"/>
        <w:numPr>
          <w:ilvl w:val="1"/>
          <w:numId w:val="7"/>
        </w:numPr>
        <w:tabs>
          <w:tab w:pos="1853" w:val="left" w:leader="none"/>
        </w:tabs>
        <w:spacing w:line="225" w:lineRule="auto" w:before="318" w:after="0"/>
        <w:ind w:left="1853" w:right="1255" w:hanging="720"/>
        <w:jc w:val="left"/>
        <w:rPr>
          <w:sz w:val="28"/>
        </w:rPr>
      </w:pPr>
      <w:r>
        <w:rPr>
          <w:sz w:val="28"/>
        </w:rPr>
        <w:t>In 2022, the EU adopted a directive on gender balance in non-executive director roles (‘EU Gender Balance Directive’), whereby Member States are required to ensure that listed companies have at least 40% of non-executive director roles or 33% of all director positions to be of the underrepresented sex</w:t>
      </w:r>
      <w:r>
        <w:rPr>
          <w:spacing w:val="-5"/>
          <w:sz w:val="28"/>
        </w:rPr>
        <w:t> </w:t>
      </w:r>
      <w:r>
        <w:rPr>
          <w:sz w:val="28"/>
        </w:rPr>
        <w:t>by</w:t>
      </w:r>
      <w:r>
        <w:rPr>
          <w:spacing w:val="-4"/>
          <w:sz w:val="28"/>
        </w:rPr>
        <w:t> </w:t>
      </w:r>
      <w:r>
        <w:rPr>
          <w:sz w:val="28"/>
        </w:rPr>
        <w:t>June</w:t>
      </w:r>
      <w:r>
        <w:rPr>
          <w:spacing w:val="-4"/>
          <w:sz w:val="28"/>
        </w:rPr>
        <w:t> </w:t>
      </w:r>
      <w:r>
        <w:rPr>
          <w:sz w:val="28"/>
        </w:rPr>
        <w:t>2026.</w:t>
      </w:r>
      <w:r>
        <w:rPr>
          <w:sz w:val="28"/>
          <w:vertAlign w:val="superscript"/>
        </w:rPr>
        <w:t>263</w:t>
      </w:r>
      <w:r>
        <w:rPr>
          <w:spacing w:val="40"/>
          <w:sz w:val="28"/>
          <w:vertAlign w:val="baseline"/>
        </w:rPr>
        <w:t> </w:t>
      </w:r>
      <w:r>
        <w:rPr>
          <w:sz w:val="28"/>
          <w:vertAlign w:val="baseline"/>
        </w:rPr>
        <w:t>Ireland</w:t>
      </w:r>
      <w:r>
        <w:rPr>
          <w:spacing w:val="-5"/>
          <w:sz w:val="28"/>
          <w:vertAlign w:val="baseline"/>
        </w:rPr>
        <w:t> </w:t>
      </w:r>
      <w:r>
        <w:rPr>
          <w:sz w:val="28"/>
          <w:vertAlign w:val="baseline"/>
        </w:rPr>
        <w:t>is</w:t>
      </w:r>
      <w:r>
        <w:rPr>
          <w:spacing w:val="-5"/>
          <w:sz w:val="28"/>
          <w:vertAlign w:val="baseline"/>
        </w:rPr>
        <w:t> </w:t>
      </w:r>
      <w:r>
        <w:rPr>
          <w:sz w:val="28"/>
          <w:vertAlign w:val="baseline"/>
        </w:rPr>
        <w:t>obliged</w:t>
      </w:r>
      <w:r>
        <w:rPr>
          <w:spacing w:val="-5"/>
          <w:sz w:val="28"/>
          <w:vertAlign w:val="baseline"/>
        </w:rPr>
        <w:t> </w:t>
      </w:r>
      <w:r>
        <w:rPr>
          <w:sz w:val="28"/>
          <w:vertAlign w:val="baseline"/>
        </w:rPr>
        <w:t>under</w:t>
      </w:r>
      <w:r>
        <w:rPr>
          <w:spacing w:val="-4"/>
          <w:sz w:val="28"/>
          <w:vertAlign w:val="baseline"/>
        </w:rPr>
        <w:t> </w:t>
      </w:r>
      <w:r>
        <w:rPr>
          <w:sz w:val="28"/>
          <w:vertAlign w:val="baseline"/>
        </w:rPr>
        <w:t>EU</w:t>
      </w:r>
      <w:r>
        <w:rPr>
          <w:spacing w:val="-4"/>
          <w:sz w:val="28"/>
          <w:vertAlign w:val="baseline"/>
        </w:rPr>
        <w:t> </w:t>
      </w:r>
      <w:r>
        <w:rPr>
          <w:sz w:val="28"/>
          <w:vertAlign w:val="baseline"/>
        </w:rPr>
        <w:t>law</w:t>
      </w:r>
      <w:r>
        <w:rPr>
          <w:spacing w:val="-4"/>
          <w:sz w:val="28"/>
          <w:vertAlign w:val="baseline"/>
        </w:rPr>
        <w:t> </w:t>
      </w:r>
      <w:r>
        <w:rPr>
          <w:sz w:val="28"/>
          <w:vertAlign w:val="baseline"/>
        </w:rPr>
        <w:t>to</w:t>
      </w:r>
      <w:r>
        <w:rPr>
          <w:spacing w:val="-5"/>
          <w:sz w:val="28"/>
          <w:vertAlign w:val="baseline"/>
        </w:rPr>
        <w:t> </w:t>
      </w:r>
      <w:r>
        <w:rPr>
          <w:sz w:val="28"/>
          <w:vertAlign w:val="baseline"/>
        </w:rPr>
        <w:t>adopt</w:t>
      </w:r>
      <w:r>
        <w:rPr>
          <w:spacing w:val="-4"/>
          <w:sz w:val="28"/>
          <w:vertAlign w:val="baseline"/>
        </w:rPr>
        <w:t> </w:t>
      </w:r>
      <w:r>
        <w:rPr>
          <w:sz w:val="28"/>
          <w:vertAlign w:val="baseline"/>
        </w:rPr>
        <w:t>these</w:t>
      </w:r>
      <w:r>
        <w:rPr>
          <w:spacing w:val="-4"/>
          <w:sz w:val="28"/>
          <w:vertAlign w:val="baseline"/>
        </w:rPr>
        <w:t> </w:t>
      </w:r>
      <w:r>
        <w:rPr>
          <w:sz w:val="28"/>
          <w:vertAlign w:val="baseline"/>
        </w:rPr>
        <w:t>measures by that date. Such provisions may not be reflected in NI law and could potentially lead to a divergence of rights on the island of Ireland.</w:t>
      </w:r>
      <w:r>
        <w:rPr>
          <w:spacing w:val="40"/>
          <w:sz w:val="28"/>
          <w:vertAlign w:val="baseline"/>
        </w:rPr>
        <w:t> </w:t>
      </w:r>
      <w:r>
        <w:rPr>
          <w:sz w:val="28"/>
          <w:vertAlign w:val="baseline"/>
        </w:rPr>
        <w:t>The ECNI has</w:t>
      </w:r>
      <w:r>
        <w:rPr>
          <w:spacing w:val="-7"/>
          <w:sz w:val="28"/>
          <w:vertAlign w:val="baseline"/>
        </w:rPr>
        <w:t> </w:t>
      </w:r>
      <w:r>
        <w:rPr>
          <w:sz w:val="28"/>
          <w:vertAlign w:val="baseline"/>
        </w:rPr>
        <w:t>previously</w:t>
      </w:r>
      <w:r>
        <w:rPr>
          <w:spacing w:val="-6"/>
          <w:sz w:val="28"/>
          <w:vertAlign w:val="baseline"/>
        </w:rPr>
        <w:t> </w:t>
      </w:r>
      <w:r>
        <w:rPr>
          <w:sz w:val="28"/>
          <w:vertAlign w:val="baseline"/>
        </w:rPr>
        <w:t>noted</w:t>
      </w:r>
      <w:r>
        <w:rPr>
          <w:spacing w:val="-7"/>
          <w:sz w:val="28"/>
          <w:vertAlign w:val="baseline"/>
        </w:rPr>
        <w:t> </w:t>
      </w:r>
      <w:r>
        <w:rPr>
          <w:sz w:val="28"/>
          <w:vertAlign w:val="baseline"/>
        </w:rPr>
        <w:t>the</w:t>
      </w:r>
      <w:r>
        <w:rPr>
          <w:spacing w:val="-6"/>
          <w:sz w:val="28"/>
          <w:vertAlign w:val="baseline"/>
        </w:rPr>
        <w:t> </w:t>
      </w:r>
      <w:r>
        <w:rPr>
          <w:sz w:val="28"/>
          <w:vertAlign w:val="baseline"/>
        </w:rPr>
        <w:t>under-representation</w:t>
      </w:r>
      <w:r>
        <w:rPr>
          <w:spacing w:val="-7"/>
          <w:sz w:val="28"/>
          <w:vertAlign w:val="baseline"/>
        </w:rPr>
        <w:t> </w:t>
      </w:r>
      <w:r>
        <w:rPr>
          <w:sz w:val="28"/>
          <w:vertAlign w:val="baseline"/>
        </w:rPr>
        <w:t>of</w:t>
      </w:r>
      <w:r>
        <w:rPr>
          <w:spacing w:val="-7"/>
          <w:sz w:val="28"/>
          <w:vertAlign w:val="baseline"/>
        </w:rPr>
        <w:t> </w:t>
      </w:r>
      <w:r>
        <w:rPr>
          <w:sz w:val="28"/>
          <w:vertAlign w:val="baseline"/>
        </w:rPr>
        <w:t>women</w:t>
      </w:r>
      <w:r>
        <w:rPr>
          <w:spacing w:val="-7"/>
          <w:sz w:val="28"/>
          <w:vertAlign w:val="baseline"/>
        </w:rPr>
        <w:t> </w:t>
      </w:r>
      <w:r>
        <w:rPr>
          <w:sz w:val="28"/>
          <w:vertAlign w:val="baseline"/>
        </w:rPr>
        <w:t>on</w:t>
      </w:r>
      <w:r>
        <w:rPr>
          <w:spacing w:val="-7"/>
          <w:sz w:val="28"/>
          <w:vertAlign w:val="baseline"/>
        </w:rPr>
        <w:t> </w:t>
      </w:r>
      <w:r>
        <w:rPr>
          <w:sz w:val="28"/>
          <w:vertAlign w:val="baseline"/>
        </w:rPr>
        <w:t>boards</w:t>
      </w:r>
      <w:r>
        <w:rPr>
          <w:spacing w:val="-7"/>
          <w:sz w:val="28"/>
          <w:vertAlign w:val="baseline"/>
        </w:rPr>
        <w:t> </w:t>
      </w:r>
      <w:r>
        <w:rPr>
          <w:sz w:val="28"/>
          <w:vertAlign w:val="baseline"/>
        </w:rPr>
        <w:t>in</w:t>
      </w:r>
      <w:r>
        <w:rPr>
          <w:spacing w:val="-7"/>
          <w:sz w:val="28"/>
          <w:vertAlign w:val="baseline"/>
        </w:rPr>
        <w:t> </w:t>
      </w:r>
      <w:r>
        <w:rPr>
          <w:sz w:val="28"/>
          <w:vertAlign w:val="baseline"/>
        </w:rPr>
        <w:t>NI</w:t>
      </w:r>
      <w:r>
        <w:rPr>
          <w:spacing w:val="-6"/>
          <w:sz w:val="28"/>
          <w:vertAlign w:val="baseline"/>
        </w:rPr>
        <w:t> </w:t>
      </w:r>
      <w:r>
        <w:rPr>
          <w:sz w:val="28"/>
          <w:vertAlign w:val="baseline"/>
        </w:rPr>
        <w:t>and has</w:t>
      </w:r>
      <w:r>
        <w:rPr>
          <w:spacing w:val="-1"/>
          <w:sz w:val="28"/>
          <w:vertAlign w:val="baseline"/>
        </w:rPr>
        <w:t> </w:t>
      </w:r>
      <w:r>
        <w:rPr>
          <w:sz w:val="28"/>
          <w:vertAlign w:val="baseline"/>
        </w:rPr>
        <w:t>highlighted</w:t>
      </w:r>
      <w:r>
        <w:rPr>
          <w:spacing w:val="-1"/>
          <w:sz w:val="28"/>
          <w:vertAlign w:val="baseline"/>
        </w:rPr>
        <w:t> </w:t>
      </w:r>
      <w:r>
        <w:rPr>
          <w:sz w:val="28"/>
          <w:vertAlign w:val="baseline"/>
        </w:rPr>
        <w:t>the business</w:t>
      </w:r>
      <w:r>
        <w:rPr>
          <w:spacing w:val="-1"/>
          <w:sz w:val="28"/>
          <w:vertAlign w:val="baseline"/>
        </w:rPr>
        <w:t> </w:t>
      </w:r>
      <w:r>
        <w:rPr>
          <w:sz w:val="28"/>
          <w:vertAlign w:val="baseline"/>
        </w:rPr>
        <w:t>benefits</w:t>
      </w:r>
      <w:r>
        <w:rPr>
          <w:spacing w:val="-1"/>
          <w:sz w:val="28"/>
          <w:vertAlign w:val="baseline"/>
        </w:rPr>
        <w:t> </w:t>
      </w:r>
      <w:r>
        <w:rPr>
          <w:sz w:val="28"/>
          <w:vertAlign w:val="baseline"/>
        </w:rPr>
        <w:t>of</w:t>
      </w:r>
      <w:r>
        <w:rPr>
          <w:spacing w:val="-1"/>
          <w:sz w:val="28"/>
          <w:vertAlign w:val="baseline"/>
        </w:rPr>
        <w:t> </w:t>
      </w:r>
      <w:r>
        <w:rPr>
          <w:sz w:val="28"/>
          <w:vertAlign w:val="baseline"/>
        </w:rPr>
        <w:t>having gender diversity on</w:t>
      </w:r>
      <w:r>
        <w:rPr>
          <w:spacing w:val="-1"/>
          <w:sz w:val="28"/>
          <w:vertAlign w:val="baseline"/>
        </w:rPr>
        <w:t> </w:t>
      </w:r>
      <w:r>
        <w:rPr>
          <w:sz w:val="28"/>
          <w:vertAlign w:val="baseline"/>
        </w:rPr>
        <w:t>boards.</w:t>
      </w:r>
      <w:r>
        <w:rPr>
          <w:sz w:val="28"/>
          <w:vertAlign w:val="superscript"/>
        </w:rPr>
        <w:t>264</w:t>
      </w:r>
    </w:p>
    <w:p>
      <w:pPr>
        <w:pStyle w:val="ListParagraph"/>
        <w:numPr>
          <w:ilvl w:val="1"/>
          <w:numId w:val="7"/>
        </w:numPr>
        <w:tabs>
          <w:tab w:pos="1853" w:val="left" w:leader="none"/>
        </w:tabs>
        <w:spacing w:line="225" w:lineRule="auto" w:before="308" w:after="0"/>
        <w:ind w:left="1853" w:right="1667" w:hanging="720"/>
        <w:jc w:val="left"/>
        <w:rPr>
          <w:sz w:val="28"/>
        </w:rPr>
      </w:pPr>
      <w:r>
        <w:rPr>
          <w:sz w:val="28"/>
        </w:rPr>
        <w:t>In</w:t>
      </w:r>
      <w:r>
        <w:rPr>
          <w:spacing w:val="-8"/>
          <w:sz w:val="28"/>
        </w:rPr>
        <w:t> </w:t>
      </w:r>
      <w:r>
        <w:rPr>
          <w:sz w:val="28"/>
        </w:rPr>
        <w:t>March</w:t>
      </w:r>
      <w:r>
        <w:rPr>
          <w:spacing w:val="-8"/>
          <w:sz w:val="28"/>
        </w:rPr>
        <w:t> </w:t>
      </w:r>
      <w:r>
        <w:rPr>
          <w:sz w:val="28"/>
        </w:rPr>
        <w:t>2024,</w:t>
      </w:r>
      <w:r>
        <w:rPr>
          <w:spacing w:val="-7"/>
          <w:sz w:val="28"/>
        </w:rPr>
        <w:t> </w:t>
      </w:r>
      <w:r>
        <w:rPr>
          <w:sz w:val="28"/>
        </w:rPr>
        <w:t>the</w:t>
      </w:r>
      <w:r>
        <w:rPr>
          <w:spacing w:val="-7"/>
          <w:sz w:val="28"/>
        </w:rPr>
        <w:t> </w:t>
      </w:r>
      <w:r>
        <w:rPr>
          <w:sz w:val="28"/>
        </w:rPr>
        <w:t>ECNI</w:t>
      </w:r>
      <w:r>
        <w:rPr>
          <w:spacing w:val="-7"/>
          <w:sz w:val="28"/>
        </w:rPr>
        <w:t> </w:t>
      </w:r>
      <w:r>
        <w:rPr>
          <w:sz w:val="28"/>
        </w:rPr>
        <w:t>published</w:t>
      </w:r>
      <w:r>
        <w:rPr>
          <w:spacing w:val="-8"/>
          <w:sz w:val="28"/>
        </w:rPr>
        <w:t> </w:t>
      </w:r>
      <w:r>
        <w:rPr>
          <w:sz w:val="28"/>
        </w:rPr>
        <w:t>independently</w:t>
      </w:r>
      <w:r>
        <w:rPr>
          <w:spacing w:val="-7"/>
          <w:sz w:val="28"/>
        </w:rPr>
        <w:t> </w:t>
      </w:r>
      <w:r>
        <w:rPr>
          <w:sz w:val="28"/>
        </w:rPr>
        <w:t>commissioned</w:t>
      </w:r>
      <w:r>
        <w:rPr>
          <w:spacing w:val="-8"/>
          <w:sz w:val="28"/>
        </w:rPr>
        <w:t> </w:t>
      </w:r>
      <w:r>
        <w:rPr>
          <w:sz w:val="28"/>
        </w:rPr>
        <w:t>research on the impact of Brexit on women in NI.</w:t>
      </w:r>
      <w:r>
        <w:rPr>
          <w:sz w:val="28"/>
          <w:vertAlign w:val="superscript"/>
        </w:rPr>
        <w:t>265</w:t>
      </w:r>
      <w:r>
        <w:rPr>
          <w:sz w:val="28"/>
          <w:vertAlign w:val="baseline"/>
        </w:rPr>
        <w:t> This research found that</w:t>
      </w:r>
    </w:p>
    <w:p>
      <w:pPr>
        <w:pStyle w:val="BodyText"/>
        <w:spacing w:line="225" w:lineRule="auto"/>
        <w:ind w:left="1853" w:right="1171"/>
      </w:pPr>
      <w:r>
        <w:rPr/>
        <w:t>Brexit had been perceived by those who participated in the research as a gendered process, with women and women’s issues marginalised and under- represented including in UK-EU Brexit negotiations.</w:t>
      </w:r>
      <w:r>
        <w:rPr>
          <w:spacing w:val="40"/>
        </w:rPr>
        <w:t> </w:t>
      </w:r>
      <w:r>
        <w:rPr/>
        <w:t>It highlighted that a key obstacle</w:t>
      </w:r>
      <w:r>
        <w:rPr>
          <w:spacing w:val="-1"/>
        </w:rPr>
        <w:t> </w:t>
      </w:r>
      <w:r>
        <w:rPr/>
        <w:t>to</w:t>
      </w:r>
      <w:r>
        <w:rPr>
          <w:spacing w:val="-2"/>
        </w:rPr>
        <w:t> </w:t>
      </w:r>
      <w:r>
        <w:rPr/>
        <w:t>women’s</w:t>
      </w:r>
      <w:r>
        <w:rPr>
          <w:spacing w:val="-2"/>
        </w:rPr>
        <w:t> </w:t>
      </w:r>
      <w:r>
        <w:rPr/>
        <w:t>participation</w:t>
      </w:r>
      <w:r>
        <w:rPr>
          <w:spacing w:val="-2"/>
        </w:rPr>
        <w:t> </w:t>
      </w:r>
      <w:r>
        <w:rPr/>
        <w:t>in</w:t>
      </w:r>
      <w:r>
        <w:rPr>
          <w:spacing w:val="-2"/>
        </w:rPr>
        <w:t> </w:t>
      </w:r>
      <w:r>
        <w:rPr/>
        <w:t>Brexit</w:t>
      </w:r>
      <w:r>
        <w:rPr>
          <w:spacing w:val="-1"/>
        </w:rPr>
        <w:t> </w:t>
      </w:r>
      <w:r>
        <w:rPr/>
        <w:t>discussions</w:t>
      </w:r>
      <w:r>
        <w:rPr>
          <w:spacing w:val="-2"/>
        </w:rPr>
        <w:t> </w:t>
      </w:r>
      <w:r>
        <w:rPr/>
        <w:t>was</w:t>
      </w:r>
      <w:r>
        <w:rPr>
          <w:spacing w:val="-2"/>
        </w:rPr>
        <w:t> </w:t>
      </w:r>
      <w:r>
        <w:rPr/>
        <w:t>the</w:t>
      </w:r>
      <w:r>
        <w:rPr>
          <w:spacing w:val="-1"/>
        </w:rPr>
        <w:t> </w:t>
      </w:r>
      <w:r>
        <w:rPr/>
        <w:t>level</w:t>
      </w:r>
      <w:r>
        <w:rPr>
          <w:spacing w:val="-2"/>
        </w:rPr>
        <w:t> </w:t>
      </w:r>
      <w:r>
        <w:rPr/>
        <w:t>of</w:t>
      </w:r>
      <w:r>
        <w:rPr>
          <w:spacing w:val="-2"/>
        </w:rPr>
        <w:t> </w:t>
      </w:r>
      <w:r>
        <w:rPr/>
        <w:t>abuse and</w:t>
      </w:r>
      <w:r>
        <w:rPr>
          <w:spacing w:val="-7"/>
        </w:rPr>
        <w:t> </w:t>
      </w:r>
      <w:r>
        <w:rPr/>
        <w:t>intimidation</w:t>
      </w:r>
      <w:r>
        <w:rPr>
          <w:spacing w:val="-7"/>
        </w:rPr>
        <w:t> </w:t>
      </w:r>
      <w:r>
        <w:rPr/>
        <w:t>directed</w:t>
      </w:r>
      <w:r>
        <w:rPr>
          <w:spacing w:val="-7"/>
        </w:rPr>
        <w:t> </w:t>
      </w:r>
      <w:r>
        <w:rPr/>
        <w:t>towards</w:t>
      </w:r>
      <w:r>
        <w:rPr>
          <w:spacing w:val="-7"/>
        </w:rPr>
        <w:t> </w:t>
      </w:r>
      <w:r>
        <w:rPr/>
        <w:t>women</w:t>
      </w:r>
      <w:r>
        <w:rPr>
          <w:spacing w:val="-7"/>
        </w:rPr>
        <w:t> </w:t>
      </w:r>
      <w:r>
        <w:rPr/>
        <w:t>in</w:t>
      </w:r>
      <w:r>
        <w:rPr>
          <w:spacing w:val="-7"/>
        </w:rPr>
        <w:t> </w:t>
      </w:r>
      <w:r>
        <w:rPr/>
        <w:t>the</w:t>
      </w:r>
      <w:r>
        <w:rPr>
          <w:spacing w:val="-6"/>
        </w:rPr>
        <w:t> </w:t>
      </w:r>
      <w:r>
        <w:rPr/>
        <w:t>public</w:t>
      </w:r>
      <w:r>
        <w:rPr>
          <w:spacing w:val="-6"/>
        </w:rPr>
        <w:t> </w:t>
      </w:r>
      <w:r>
        <w:rPr/>
        <w:t>sphere</w:t>
      </w:r>
      <w:r>
        <w:rPr>
          <w:spacing w:val="-6"/>
        </w:rPr>
        <w:t> </w:t>
      </w:r>
      <w:r>
        <w:rPr/>
        <w:t>who</w:t>
      </w:r>
      <w:r>
        <w:rPr>
          <w:spacing w:val="-7"/>
        </w:rPr>
        <w:t> </w:t>
      </w:r>
      <w:r>
        <w:rPr/>
        <w:t>spoke</w:t>
      </w:r>
      <w:r>
        <w:rPr>
          <w:spacing w:val="-6"/>
        </w:rPr>
        <w:t> </w:t>
      </w:r>
      <w:r>
        <w:rPr/>
        <w:t>out on Brexit, including on social media.</w:t>
      </w:r>
      <w:r>
        <w:rPr>
          <w:vertAlign w:val="superscript"/>
        </w:rPr>
        <w:t>266</w:t>
      </w:r>
    </w:p>
    <w:p>
      <w:pPr>
        <w:pStyle w:val="ListParagraph"/>
        <w:numPr>
          <w:ilvl w:val="1"/>
          <w:numId w:val="7"/>
        </w:numPr>
        <w:tabs>
          <w:tab w:pos="1853" w:val="left" w:leader="none"/>
        </w:tabs>
        <w:spacing w:line="225" w:lineRule="auto" w:before="310" w:after="0"/>
        <w:ind w:left="1853" w:right="1360" w:hanging="720"/>
        <w:jc w:val="left"/>
        <w:rPr>
          <w:sz w:val="28"/>
        </w:rPr>
      </w:pPr>
      <w:r>
        <w:rPr>
          <w:sz w:val="28"/>
        </w:rPr>
        <w:t>The ECNI is currently considering the findings of this research and will be developing</w:t>
      </w:r>
      <w:r>
        <w:rPr>
          <w:spacing w:val="-8"/>
          <w:sz w:val="28"/>
        </w:rPr>
        <w:t> </w:t>
      </w:r>
      <w:r>
        <w:rPr>
          <w:sz w:val="28"/>
        </w:rPr>
        <w:t>policy</w:t>
      </w:r>
      <w:r>
        <w:rPr>
          <w:spacing w:val="-8"/>
          <w:sz w:val="28"/>
        </w:rPr>
        <w:t> </w:t>
      </w:r>
      <w:r>
        <w:rPr>
          <w:sz w:val="28"/>
        </w:rPr>
        <w:t>recommendations</w:t>
      </w:r>
      <w:r>
        <w:rPr>
          <w:spacing w:val="-9"/>
          <w:sz w:val="28"/>
        </w:rPr>
        <w:t> </w:t>
      </w:r>
      <w:r>
        <w:rPr>
          <w:sz w:val="28"/>
        </w:rPr>
        <w:t>in</w:t>
      </w:r>
      <w:r>
        <w:rPr>
          <w:spacing w:val="-9"/>
          <w:sz w:val="28"/>
        </w:rPr>
        <w:t> </w:t>
      </w:r>
      <w:r>
        <w:rPr>
          <w:sz w:val="28"/>
        </w:rPr>
        <w:t>response</w:t>
      </w:r>
      <w:r>
        <w:rPr>
          <w:spacing w:val="-8"/>
          <w:sz w:val="28"/>
        </w:rPr>
        <w:t> </w:t>
      </w:r>
      <w:r>
        <w:rPr>
          <w:sz w:val="28"/>
        </w:rPr>
        <w:t>to</w:t>
      </w:r>
      <w:r>
        <w:rPr>
          <w:spacing w:val="-9"/>
          <w:sz w:val="28"/>
        </w:rPr>
        <w:t> </w:t>
      </w:r>
      <w:r>
        <w:rPr>
          <w:sz w:val="28"/>
        </w:rPr>
        <w:t>these</w:t>
      </w:r>
      <w:r>
        <w:rPr>
          <w:spacing w:val="-8"/>
          <w:sz w:val="28"/>
        </w:rPr>
        <w:t> </w:t>
      </w:r>
      <w:r>
        <w:rPr>
          <w:sz w:val="28"/>
        </w:rPr>
        <w:t>issues.</w:t>
      </w:r>
      <w:r>
        <w:rPr>
          <w:sz w:val="28"/>
          <w:vertAlign w:val="superscript"/>
        </w:rPr>
        <w:t>267</w:t>
      </w:r>
      <w:r>
        <w:rPr>
          <w:spacing w:val="40"/>
          <w:sz w:val="28"/>
          <w:vertAlign w:val="baseline"/>
        </w:rPr>
        <w:t> </w:t>
      </w:r>
      <w:r>
        <w:rPr>
          <w:sz w:val="28"/>
          <w:vertAlign w:val="baseline"/>
        </w:rPr>
        <w:t>The</w:t>
      </w:r>
      <w:r>
        <w:rPr>
          <w:spacing w:val="-8"/>
          <w:sz w:val="28"/>
          <w:vertAlign w:val="baseline"/>
        </w:rPr>
        <w:t> </w:t>
      </w:r>
      <w:r>
        <w:rPr>
          <w:sz w:val="28"/>
          <w:vertAlign w:val="baseline"/>
        </w:rPr>
        <w:t>ECNI has previously called for action to increase the participation of women in political and public life and decision-making in NI.</w:t>
      </w:r>
      <w:r>
        <w:rPr>
          <w:sz w:val="28"/>
          <w:vertAlign w:val="superscript"/>
        </w:rPr>
        <w:t>268</w:t>
      </w:r>
    </w:p>
    <w:p>
      <w:pPr>
        <w:pStyle w:val="BodyText"/>
        <w:spacing w:before="4"/>
        <w:rPr>
          <w:sz w:val="16"/>
        </w:rPr>
      </w:pPr>
      <w:r>
        <w:rPr/>
        <mc:AlternateContent>
          <mc:Choice Requires="wps">
            <w:drawing>
              <wp:anchor distT="0" distB="0" distL="0" distR="0" allowOverlap="1" layoutInCell="1" locked="0" behindDoc="1" simplePos="0" relativeHeight="487655936">
                <wp:simplePos x="0" y="0"/>
                <wp:positionH relativeFrom="page">
                  <wp:posOffset>720001</wp:posOffset>
                </wp:positionH>
                <wp:positionV relativeFrom="paragraph">
                  <wp:posOffset>142109</wp:posOffset>
                </wp:positionV>
                <wp:extent cx="6120130" cy="360045"/>
                <wp:effectExtent l="0" t="0" r="0" b="0"/>
                <wp:wrapTopAndBottom/>
                <wp:docPr id="284" name="Textbox 284"/>
                <wp:cNvGraphicFramePr>
                  <a:graphicFrameLocks/>
                </wp:cNvGraphicFramePr>
                <a:graphic>
                  <a:graphicData uri="http://schemas.microsoft.com/office/word/2010/wordprocessingShape">
                    <wps:wsp>
                      <wps:cNvPr id="284" name="Textbox 284"/>
                      <wps:cNvSpPr txBox="1"/>
                      <wps:spPr>
                        <a:xfrm>
                          <a:off x="0" y="0"/>
                          <a:ext cx="6120130" cy="360045"/>
                        </a:xfrm>
                        <a:prstGeom prst="rect">
                          <a:avLst/>
                        </a:prstGeom>
                        <a:solidFill>
                          <a:srgbClr val="393B7F"/>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11.189734pt;width:481.9pt;height:28.35pt;mso-position-horizontal-relative:page;mso-position-vertical-relative:paragraph;z-index:-15660544;mso-wrap-distance-left:0;mso-wrap-distance-right:0" type="#_x0000_t202" id="docshape236" filled="true" fillcolor="#393b7f"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208" w:after="0"/>
        <w:ind w:left="1853" w:right="1317" w:hanging="720"/>
        <w:jc w:val="left"/>
        <w:rPr>
          <w:b/>
          <w:color w:val="67287F"/>
          <w:sz w:val="28"/>
        </w:rPr>
      </w:pPr>
      <w:r>
        <w:rPr>
          <w:b/>
          <w:color w:val="67287F"/>
          <w:sz w:val="28"/>
        </w:rPr>
        <w:t>The Commissions continue to recommend that the Department for Communities</w:t>
      </w:r>
      <w:r>
        <w:rPr>
          <w:b/>
          <w:color w:val="67287F"/>
          <w:spacing w:val="-7"/>
          <w:sz w:val="28"/>
        </w:rPr>
        <w:t> </w:t>
      </w:r>
      <w:r>
        <w:rPr>
          <w:b/>
          <w:color w:val="67287F"/>
          <w:sz w:val="28"/>
        </w:rPr>
        <w:t>promptly</w:t>
      </w:r>
      <w:r>
        <w:rPr>
          <w:b/>
          <w:color w:val="67287F"/>
          <w:spacing w:val="-7"/>
          <w:sz w:val="28"/>
        </w:rPr>
        <w:t> </w:t>
      </w:r>
      <w:r>
        <w:rPr>
          <w:b/>
          <w:color w:val="67287F"/>
          <w:sz w:val="28"/>
        </w:rPr>
        <w:t>publishes</w:t>
      </w:r>
      <w:r>
        <w:rPr>
          <w:b/>
          <w:color w:val="67287F"/>
          <w:spacing w:val="-7"/>
          <w:sz w:val="28"/>
        </w:rPr>
        <w:t> </w:t>
      </w:r>
      <w:r>
        <w:rPr>
          <w:b/>
          <w:color w:val="67287F"/>
          <w:sz w:val="28"/>
        </w:rPr>
        <w:t>and</w:t>
      </w:r>
      <w:r>
        <w:rPr>
          <w:b/>
          <w:color w:val="67287F"/>
          <w:spacing w:val="-7"/>
          <w:sz w:val="28"/>
        </w:rPr>
        <w:t> </w:t>
      </w:r>
      <w:r>
        <w:rPr>
          <w:b/>
          <w:color w:val="67287F"/>
          <w:sz w:val="28"/>
        </w:rPr>
        <w:t>implements</w:t>
      </w:r>
      <w:r>
        <w:rPr>
          <w:b/>
          <w:color w:val="67287F"/>
          <w:spacing w:val="-7"/>
          <w:sz w:val="28"/>
        </w:rPr>
        <w:t> </w:t>
      </w:r>
      <w:r>
        <w:rPr>
          <w:b/>
          <w:color w:val="67287F"/>
          <w:sz w:val="28"/>
        </w:rPr>
        <w:t>a</w:t>
      </w:r>
      <w:r>
        <w:rPr>
          <w:b/>
          <w:color w:val="67287F"/>
          <w:spacing w:val="-7"/>
          <w:sz w:val="28"/>
        </w:rPr>
        <w:t> </w:t>
      </w:r>
      <w:r>
        <w:rPr>
          <w:b/>
          <w:color w:val="67287F"/>
          <w:sz w:val="28"/>
        </w:rPr>
        <w:t>robust</w:t>
      </w:r>
      <w:r>
        <w:rPr>
          <w:b/>
          <w:color w:val="67287F"/>
          <w:spacing w:val="-7"/>
          <w:sz w:val="28"/>
        </w:rPr>
        <w:t> </w:t>
      </w:r>
      <w:r>
        <w:rPr>
          <w:b/>
          <w:color w:val="67287F"/>
          <w:sz w:val="28"/>
        </w:rPr>
        <w:t>Gender</w:t>
      </w:r>
      <w:r>
        <w:rPr>
          <w:b/>
          <w:color w:val="67287F"/>
          <w:spacing w:val="-8"/>
          <w:sz w:val="28"/>
        </w:rPr>
        <w:t> </w:t>
      </w:r>
      <w:r>
        <w:rPr>
          <w:b/>
          <w:color w:val="67287F"/>
          <w:sz w:val="28"/>
        </w:rPr>
        <w:t>Equality Strategy for NI, accompanied by a measurable plan of action, which takes into account its obligations under Windsor Framework Article 2, including the keeping pace obligations relating to the four gender equality directives in Annex 1.</w:t>
      </w:r>
    </w:p>
    <w:p>
      <w:pPr>
        <w:pStyle w:val="BodyText"/>
        <w:spacing w:before="5"/>
        <w:rPr>
          <w:b/>
          <w:sz w:val="13"/>
        </w:rPr>
      </w:pPr>
      <w:r>
        <w:rPr/>
        <mc:AlternateContent>
          <mc:Choice Requires="wps">
            <w:drawing>
              <wp:anchor distT="0" distB="0" distL="0" distR="0" allowOverlap="1" layoutInCell="1" locked="0" behindDoc="1" simplePos="0" relativeHeight="487656448">
                <wp:simplePos x="0" y="0"/>
                <wp:positionH relativeFrom="page">
                  <wp:posOffset>719996</wp:posOffset>
                </wp:positionH>
                <wp:positionV relativeFrom="paragraph">
                  <wp:posOffset>119795</wp:posOffset>
                </wp:positionV>
                <wp:extent cx="6120130" cy="1270"/>
                <wp:effectExtent l="0" t="0" r="0" b="0"/>
                <wp:wrapTopAndBottom/>
                <wp:docPr id="285" name="Graphic 285"/>
                <wp:cNvGraphicFramePr>
                  <a:graphicFrameLocks/>
                </wp:cNvGraphicFramePr>
                <a:graphic>
                  <a:graphicData uri="http://schemas.microsoft.com/office/word/2010/wordprocessingShape">
                    <wps:wsp>
                      <wps:cNvPr id="285" name="Graphic 28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9.432681pt;width:481.9pt;height:.1pt;mso-position-horizontal-relative:page;mso-position-vertical-relative:paragraph;z-index:-15660032;mso-wrap-distance-left:0;mso-wrap-distance-right:0" id="docshape237" coordorigin="1134,189" coordsize="9638,0" path="m10772,189l1134,189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35" w:lineRule="auto" w:before="152" w:after="0"/>
        <w:ind w:left="1853" w:right="1233" w:hanging="720"/>
        <w:jc w:val="left"/>
        <w:rPr>
          <w:sz w:val="18"/>
        </w:rPr>
      </w:pPr>
      <w:r>
        <w:rPr>
          <w:sz w:val="18"/>
        </w:rPr>
        <w:t>Equality Commission for NI, NI Human Rights Commission and Irish Human Rights and Equality Commission, ‘</w:t>
      </w:r>
      <w:hyperlink r:id="rId76">
        <w:r>
          <w:rPr>
            <w:sz w:val="18"/>
          </w:rPr>
          <w:t>Policy</w:t>
        </w:r>
      </w:hyperlink>
      <w:r>
        <w:rPr>
          <w:sz w:val="18"/>
        </w:rPr>
        <w:t> </w:t>
      </w:r>
      <w:hyperlink r:id="rId76">
        <w:r>
          <w:rPr>
            <w:sz w:val="18"/>
          </w:rPr>
          <w:t>Recommendations:</w:t>
        </w:r>
        <w:r>
          <w:rPr>
            <w:spacing w:val="-4"/>
            <w:sz w:val="18"/>
          </w:rPr>
          <w:t> </w:t>
        </w:r>
        <w:r>
          <w:rPr>
            <w:sz w:val="18"/>
          </w:rPr>
          <w:t>European</w:t>
        </w:r>
        <w:r>
          <w:rPr>
            <w:spacing w:val="-5"/>
            <w:sz w:val="18"/>
          </w:rPr>
          <w:t> </w:t>
        </w:r>
        <w:r>
          <w:rPr>
            <w:sz w:val="18"/>
          </w:rPr>
          <w:t>Union</w:t>
        </w:r>
        <w:r>
          <w:rPr>
            <w:spacing w:val="-5"/>
            <w:sz w:val="18"/>
          </w:rPr>
          <w:t> </w:t>
        </w:r>
        <w:r>
          <w:rPr>
            <w:sz w:val="18"/>
          </w:rPr>
          <w:t>developments</w:t>
        </w:r>
        <w:r>
          <w:rPr>
            <w:spacing w:val="-5"/>
            <w:sz w:val="18"/>
          </w:rPr>
          <w:t> </w:t>
        </w:r>
        <w:r>
          <w:rPr>
            <w:sz w:val="18"/>
          </w:rPr>
          <w:t>in</w:t>
        </w:r>
        <w:r>
          <w:rPr>
            <w:spacing w:val="-5"/>
            <w:sz w:val="18"/>
          </w:rPr>
          <w:t> </w:t>
        </w:r>
        <w:r>
          <w:rPr>
            <w:sz w:val="18"/>
          </w:rPr>
          <w:t>Equality</w:t>
        </w:r>
        <w:r>
          <w:rPr>
            <w:spacing w:val="-4"/>
            <w:sz w:val="18"/>
          </w:rPr>
          <w:t> </w:t>
        </w:r>
        <w:r>
          <w:rPr>
            <w:sz w:val="18"/>
          </w:rPr>
          <w:t>and</w:t>
        </w:r>
        <w:r>
          <w:rPr>
            <w:spacing w:val="-5"/>
            <w:sz w:val="18"/>
          </w:rPr>
          <w:t> </w:t>
        </w:r>
        <w:r>
          <w:rPr>
            <w:sz w:val="18"/>
          </w:rPr>
          <w:t>Human</w:t>
        </w:r>
        <w:r>
          <w:rPr>
            <w:spacing w:val="-5"/>
            <w:sz w:val="18"/>
          </w:rPr>
          <w:t> </w:t>
        </w:r>
        <w:r>
          <w:rPr>
            <w:sz w:val="18"/>
          </w:rPr>
          <w:t>Rights: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the</w:t>
        </w:r>
        <w:r>
          <w:rPr>
            <w:spacing w:val="-4"/>
            <w:sz w:val="18"/>
          </w:rPr>
          <w:t> </w:t>
        </w:r>
        <w:r>
          <w:rPr>
            <w:sz w:val="18"/>
          </w:rPr>
          <w:t>divergence</w:t>
        </w:r>
      </w:hyperlink>
      <w:r>
        <w:rPr>
          <w:sz w:val="18"/>
        </w:rPr>
        <w:t> </w:t>
      </w:r>
      <w:hyperlink r:id="rId76">
        <w:r>
          <w:rPr>
            <w:sz w:val="18"/>
          </w:rPr>
          <w:t>of rights and best practice on the island of Ireland</w:t>
        </w:r>
      </w:hyperlink>
      <w:r>
        <w:rPr>
          <w:sz w:val="18"/>
        </w:rPr>
        <w:t>’ (ECNI, NIHRC and IHREC, 2023)</w:t>
      </w:r>
    </w:p>
    <w:p>
      <w:pPr>
        <w:pStyle w:val="ListParagraph"/>
        <w:numPr>
          <w:ilvl w:val="0"/>
          <w:numId w:val="9"/>
        </w:numPr>
        <w:tabs>
          <w:tab w:pos="1853" w:val="left" w:leader="none"/>
        </w:tabs>
        <w:spacing w:line="235" w:lineRule="auto" w:before="2" w:after="0"/>
        <w:ind w:left="1853" w:right="1226" w:hanging="720"/>
        <w:jc w:val="left"/>
        <w:rPr>
          <w:sz w:val="18"/>
        </w:rPr>
      </w:pPr>
      <w:r>
        <w:rPr>
          <w:sz w:val="18"/>
        </w:rPr>
        <w:t>Directive</w:t>
      </w:r>
      <w:r>
        <w:rPr>
          <w:spacing w:val="-5"/>
          <w:sz w:val="18"/>
        </w:rPr>
        <w:t> </w:t>
      </w:r>
      <w:r>
        <w:rPr>
          <w:sz w:val="18"/>
        </w:rPr>
        <w:t>2022/2381/EU,</w:t>
      </w:r>
      <w:r>
        <w:rPr>
          <w:spacing w:val="-5"/>
          <w:sz w:val="18"/>
        </w:rPr>
        <w:t> </w:t>
      </w:r>
      <w:r>
        <w:rPr>
          <w:sz w:val="18"/>
        </w:rPr>
        <w:t>‘EU</w:t>
      </w:r>
      <w:r>
        <w:rPr>
          <w:spacing w:val="-5"/>
          <w:sz w:val="18"/>
        </w:rPr>
        <w:t> </w:t>
      </w:r>
      <w:r>
        <w:rPr>
          <w:sz w:val="18"/>
        </w:rPr>
        <w:t>Parliament</w:t>
      </w:r>
      <w:r>
        <w:rPr>
          <w:spacing w:val="-5"/>
          <w:sz w:val="18"/>
        </w:rPr>
        <w:t> </w:t>
      </w:r>
      <w:r>
        <w:rPr>
          <w:sz w:val="18"/>
        </w:rPr>
        <w:t>and</w:t>
      </w:r>
      <w:r>
        <w:rPr>
          <w:spacing w:val="-5"/>
          <w:sz w:val="18"/>
        </w:rPr>
        <w:t> </w:t>
      </w:r>
      <w:r>
        <w:rPr>
          <w:sz w:val="18"/>
        </w:rPr>
        <w:t>Council</w:t>
      </w:r>
      <w:r>
        <w:rPr>
          <w:spacing w:val="-5"/>
          <w:sz w:val="18"/>
        </w:rPr>
        <w:t> </w:t>
      </w:r>
      <w:r>
        <w:rPr>
          <w:sz w:val="18"/>
        </w:rPr>
        <w:t>Directive</w:t>
      </w:r>
      <w:r>
        <w:rPr>
          <w:spacing w:val="-5"/>
          <w:sz w:val="18"/>
        </w:rPr>
        <w:t> </w:t>
      </w:r>
      <w:r>
        <w:rPr>
          <w:sz w:val="18"/>
        </w:rPr>
        <w:t>on</w:t>
      </w:r>
      <w:r>
        <w:rPr>
          <w:spacing w:val="-5"/>
          <w:sz w:val="18"/>
        </w:rPr>
        <w:t> </w:t>
      </w:r>
      <w:r>
        <w:rPr>
          <w:sz w:val="18"/>
        </w:rPr>
        <w:t>improving</w:t>
      </w:r>
      <w:r>
        <w:rPr>
          <w:spacing w:val="-5"/>
          <w:sz w:val="18"/>
        </w:rPr>
        <w:t> </w:t>
      </w:r>
      <w:r>
        <w:rPr>
          <w:sz w:val="18"/>
        </w:rPr>
        <w:t>the</w:t>
      </w:r>
      <w:r>
        <w:rPr>
          <w:spacing w:val="-5"/>
          <w:sz w:val="18"/>
        </w:rPr>
        <w:t> </w:t>
      </w:r>
      <w:r>
        <w:rPr>
          <w:sz w:val="18"/>
        </w:rPr>
        <w:t>gender</w:t>
      </w:r>
      <w:r>
        <w:rPr>
          <w:spacing w:val="-5"/>
          <w:sz w:val="18"/>
        </w:rPr>
        <w:t> </w:t>
      </w:r>
      <w:r>
        <w:rPr>
          <w:sz w:val="18"/>
        </w:rPr>
        <w:t>balance</w:t>
      </w:r>
      <w:r>
        <w:rPr>
          <w:spacing w:val="-5"/>
          <w:sz w:val="18"/>
        </w:rPr>
        <w:t> </w:t>
      </w:r>
      <w:r>
        <w:rPr>
          <w:sz w:val="18"/>
        </w:rPr>
        <w:t>among</w:t>
      </w:r>
      <w:r>
        <w:rPr>
          <w:spacing w:val="-5"/>
          <w:sz w:val="18"/>
        </w:rPr>
        <w:t> </w:t>
      </w:r>
      <w:r>
        <w:rPr>
          <w:sz w:val="18"/>
        </w:rPr>
        <w:t>directors</w:t>
      </w:r>
      <w:r>
        <w:rPr>
          <w:spacing w:val="-5"/>
          <w:sz w:val="18"/>
        </w:rPr>
        <w:t> </w:t>
      </w:r>
      <w:r>
        <w:rPr>
          <w:sz w:val="18"/>
        </w:rPr>
        <w:t>of</w:t>
      </w:r>
      <w:r>
        <w:rPr>
          <w:spacing w:val="-5"/>
          <w:sz w:val="18"/>
        </w:rPr>
        <w:t> </w:t>
      </w:r>
      <w:r>
        <w:rPr>
          <w:sz w:val="18"/>
        </w:rPr>
        <w:t>listed companies and related measures’, 23 November 2022.</w:t>
      </w:r>
    </w:p>
    <w:p>
      <w:pPr>
        <w:pStyle w:val="ListParagraph"/>
        <w:numPr>
          <w:ilvl w:val="0"/>
          <w:numId w:val="9"/>
        </w:numPr>
        <w:tabs>
          <w:tab w:pos="1853" w:val="left" w:leader="none"/>
        </w:tabs>
        <w:spacing w:line="216" w:lineRule="exact" w:before="0" w:after="0"/>
        <w:ind w:left="1853" w:right="0" w:hanging="720"/>
        <w:jc w:val="left"/>
        <w:rPr>
          <w:sz w:val="18"/>
        </w:rPr>
      </w:pPr>
      <w:r>
        <w:rPr>
          <w:sz w:val="18"/>
        </w:rPr>
        <w:t>Equality</w:t>
      </w:r>
      <w:r>
        <w:rPr>
          <w:spacing w:val="-5"/>
          <w:sz w:val="18"/>
        </w:rPr>
        <w:t> </w:t>
      </w:r>
      <w:r>
        <w:rPr>
          <w:sz w:val="18"/>
        </w:rPr>
        <w:t>Commission</w:t>
      </w:r>
      <w:r>
        <w:rPr>
          <w:spacing w:val="-6"/>
          <w:sz w:val="18"/>
        </w:rPr>
        <w:t> </w:t>
      </w:r>
      <w:r>
        <w:rPr>
          <w:sz w:val="18"/>
        </w:rPr>
        <w:t>for</w:t>
      </w:r>
      <w:r>
        <w:rPr>
          <w:spacing w:val="-5"/>
          <w:sz w:val="18"/>
        </w:rPr>
        <w:t> </w:t>
      </w:r>
      <w:r>
        <w:rPr>
          <w:sz w:val="18"/>
        </w:rPr>
        <w:t>NI,</w:t>
      </w:r>
      <w:r>
        <w:rPr>
          <w:spacing w:val="-5"/>
          <w:sz w:val="18"/>
        </w:rPr>
        <w:t> </w:t>
      </w:r>
      <w:r>
        <w:rPr>
          <w:sz w:val="18"/>
        </w:rPr>
        <w:t>‘Gender</w:t>
      </w:r>
      <w:r>
        <w:rPr>
          <w:spacing w:val="-5"/>
          <w:sz w:val="18"/>
        </w:rPr>
        <w:t> </w:t>
      </w:r>
      <w:r>
        <w:rPr>
          <w:sz w:val="18"/>
        </w:rPr>
        <w:t>Equality:</w:t>
      </w:r>
      <w:r>
        <w:rPr>
          <w:spacing w:val="-5"/>
          <w:sz w:val="18"/>
        </w:rPr>
        <w:t> </w:t>
      </w:r>
      <w:r>
        <w:rPr>
          <w:sz w:val="18"/>
        </w:rPr>
        <w:t>Policy</w:t>
      </w:r>
      <w:r>
        <w:rPr>
          <w:spacing w:val="-5"/>
          <w:sz w:val="18"/>
        </w:rPr>
        <w:t> </w:t>
      </w:r>
      <w:r>
        <w:rPr>
          <w:sz w:val="18"/>
        </w:rPr>
        <w:t>Priorities</w:t>
      </w:r>
      <w:r>
        <w:rPr>
          <w:spacing w:val="-6"/>
          <w:sz w:val="18"/>
        </w:rPr>
        <w:t> </w:t>
      </w:r>
      <w:r>
        <w:rPr>
          <w:sz w:val="18"/>
        </w:rPr>
        <w:t>and</w:t>
      </w:r>
      <w:r>
        <w:rPr>
          <w:spacing w:val="-5"/>
          <w:sz w:val="18"/>
        </w:rPr>
        <w:t> </w:t>
      </w:r>
      <w:r>
        <w:rPr>
          <w:sz w:val="18"/>
        </w:rPr>
        <w:t>Recommendations’</w:t>
      </w:r>
      <w:r>
        <w:rPr>
          <w:spacing w:val="-5"/>
          <w:sz w:val="18"/>
        </w:rPr>
        <w:t> </w:t>
      </w:r>
      <w:r>
        <w:rPr>
          <w:sz w:val="18"/>
        </w:rPr>
        <w:t>(ECNI,</w:t>
      </w:r>
      <w:r>
        <w:rPr>
          <w:spacing w:val="-5"/>
          <w:sz w:val="18"/>
        </w:rPr>
        <w:t> </w:t>
      </w:r>
      <w:r>
        <w:rPr>
          <w:sz w:val="18"/>
        </w:rPr>
        <w:t>2016),</w:t>
      </w:r>
      <w:r>
        <w:rPr>
          <w:spacing w:val="-5"/>
          <w:sz w:val="18"/>
        </w:rPr>
        <w:t> </w:t>
      </w:r>
      <w:r>
        <w:rPr>
          <w:sz w:val="18"/>
        </w:rPr>
        <w:t>at</w:t>
      </w:r>
      <w:r>
        <w:rPr>
          <w:spacing w:val="-5"/>
          <w:sz w:val="18"/>
        </w:rPr>
        <w:t> </w:t>
      </w:r>
      <w:r>
        <w:rPr>
          <w:sz w:val="18"/>
        </w:rPr>
        <w:t>33-</w:t>
      </w:r>
      <w:r>
        <w:rPr>
          <w:spacing w:val="-5"/>
          <w:sz w:val="18"/>
        </w:rPr>
        <w:t>35.</w:t>
      </w:r>
    </w:p>
    <w:p>
      <w:pPr>
        <w:pStyle w:val="ListParagraph"/>
        <w:numPr>
          <w:ilvl w:val="0"/>
          <w:numId w:val="9"/>
        </w:numPr>
        <w:tabs>
          <w:tab w:pos="1853" w:val="left" w:leader="none"/>
        </w:tabs>
        <w:spacing w:line="235" w:lineRule="auto" w:before="2" w:after="0"/>
        <w:ind w:left="1853" w:right="1297" w:hanging="720"/>
        <w:jc w:val="left"/>
        <w:rPr>
          <w:sz w:val="18"/>
        </w:rPr>
      </w:pPr>
      <w:r>
        <w:rPr>
          <w:sz w:val="18"/>
        </w:rPr>
        <w:t>Katharine</w:t>
      </w:r>
      <w:r>
        <w:rPr>
          <w:spacing w:val="-4"/>
          <w:sz w:val="18"/>
        </w:rPr>
        <w:t> </w:t>
      </w:r>
      <w:r>
        <w:rPr>
          <w:sz w:val="18"/>
        </w:rPr>
        <w:t>Wright,</w:t>
      </w:r>
      <w:r>
        <w:rPr>
          <w:spacing w:val="-4"/>
          <w:sz w:val="18"/>
        </w:rPr>
        <w:t> </w:t>
      </w:r>
      <w:r>
        <w:rPr>
          <w:sz w:val="18"/>
        </w:rPr>
        <w:t>Ruth</w:t>
      </w:r>
      <w:r>
        <w:rPr>
          <w:spacing w:val="-5"/>
          <w:sz w:val="18"/>
        </w:rPr>
        <w:t> </w:t>
      </w:r>
      <w:r>
        <w:rPr>
          <w:sz w:val="18"/>
        </w:rPr>
        <w:t>McAreavey</w:t>
      </w:r>
      <w:r>
        <w:rPr>
          <w:spacing w:val="-4"/>
          <w:sz w:val="18"/>
        </w:rPr>
        <w:t> </w:t>
      </w:r>
      <w:r>
        <w:rPr>
          <w:sz w:val="18"/>
        </w:rPr>
        <w:t>and</w:t>
      </w:r>
      <w:r>
        <w:rPr>
          <w:spacing w:val="-5"/>
          <w:sz w:val="18"/>
        </w:rPr>
        <w:t> </w:t>
      </w:r>
      <w:r>
        <w:rPr>
          <w:sz w:val="18"/>
        </w:rPr>
        <w:t>Rebecca</w:t>
      </w:r>
      <w:r>
        <w:rPr>
          <w:spacing w:val="-5"/>
          <w:sz w:val="18"/>
        </w:rPr>
        <w:t> </w:t>
      </w:r>
      <w:r>
        <w:rPr>
          <w:sz w:val="18"/>
        </w:rPr>
        <w:t>Donaldson,</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Women</w:t>
      </w:r>
      <w:r>
        <w:rPr>
          <w:spacing w:val="-5"/>
          <w:sz w:val="18"/>
        </w:rPr>
        <w:t> </w:t>
      </w:r>
      <w:r>
        <w:rPr>
          <w:sz w:val="18"/>
        </w:rPr>
        <w:t>in</w:t>
      </w:r>
      <w:r>
        <w:rPr>
          <w:spacing w:val="-5"/>
          <w:sz w:val="18"/>
        </w:rPr>
        <w:t> </w:t>
      </w:r>
      <w:r>
        <w:rPr>
          <w:sz w:val="18"/>
        </w:rPr>
        <w:t>Northern</w:t>
      </w:r>
      <w:r>
        <w:rPr>
          <w:spacing w:val="-5"/>
          <w:sz w:val="18"/>
        </w:rPr>
        <w:t> </w:t>
      </w:r>
      <w:r>
        <w:rPr>
          <w:sz w:val="18"/>
        </w:rPr>
        <w:t>Ireland’</w:t>
      </w:r>
      <w:r>
        <w:rPr>
          <w:spacing w:val="-4"/>
          <w:sz w:val="18"/>
        </w:rPr>
        <w:t> </w:t>
      </w:r>
      <w:r>
        <w:rPr>
          <w:sz w:val="18"/>
        </w:rPr>
        <w:t>(ECNI, 2024), at 29.</w:t>
      </w:r>
    </w:p>
    <w:p>
      <w:pPr>
        <w:pStyle w:val="ListParagraph"/>
        <w:numPr>
          <w:ilvl w:val="0"/>
          <w:numId w:val="9"/>
        </w:numPr>
        <w:tabs>
          <w:tab w:pos="1853" w:val="left" w:leader="none"/>
        </w:tabs>
        <w:spacing w:line="216"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33-</w:t>
      </w:r>
      <w:r>
        <w:rPr>
          <w:spacing w:val="-5"/>
          <w:sz w:val="18"/>
        </w:rPr>
        <w:t>34.</w:t>
      </w:r>
    </w:p>
    <w:p>
      <w:pPr>
        <w:pStyle w:val="ListParagraph"/>
        <w:numPr>
          <w:ilvl w:val="0"/>
          <w:numId w:val="9"/>
        </w:numPr>
        <w:tabs>
          <w:tab w:pos="1853" w:val="left" w:leader="none"/>
        </w:tabs>
        <w:spacing w:line="216" w:lineRule="exact" w:before="0" w:after="0"/>
        <w:ind w:left="1853" w:right="0" w:hanging="720"/>
        <w:jc w:val="left"/>
        <w:rPr>
          <w:sz w:val="18"/>
        </w:rPr>
      </w:pPr>
      <w:r>
        <w:rPr>
          <w:sz w:val="18"/>
        </w:rPr>
        <w:t>Ibid,</w:t>
      </w:r>
      <w:r>
        <w:rPr>
          <w:spacing w:val="-1"/>
          <w:sz w:val="18"/>
        </w:rPr>
        <w:t> </w:t>
      </w:r>
      <w:r>
        <w:rPr>
          <w:sz w:val="18"/>
        </w:rPr>
        <w:t>at</w:t>
      </w:r>
      <w:r>
        <w:rPr>
          <w:spacing w:val="-1"/>
          <w:sz w:val="18"/>
        </w:rPr>
        <w:t> </w:t>
      </w:r>
      <w:r>
        <w:rPr>
          <w:spacing w:val="-5"/>
          <w:sz w:val="18"/>
        </w:rPr>
        <w:t>31.</w:t>
      </w:r>
    </w:p>
    <w:p>
      <w:pPr>
        <w:pStyle w:val="ListParagraph"/>
        <w:numPr>
          <w:ilvl w:val="0"/>
          <w:numId w:val="9"/>
        </w:numPr>
        <w:tabs>
          <w:tab w:pos="1853" w:val="left" w:leader="none"/>
        </w:tabs>
        <w:spacing w:line="218" w:lineRule="exact" w:before="0" w:after="0"/>
        <w:ind w:left="1853" w:right="0" w:hanging="720"/>
        <w:jc w:val="left"/>
        <w:rPr>
          <w:sz w:val="18"/>
        </w:rPr>
      </w:pPr>
      <w:r>
        <w:rPr>
          <w:sz w:val="18"/>
        </w:rPr>
        <w:t>Equality</w:t>
      </w:r>
      <w:r>
        <w:rPr>
          <w:spacing w:val="-5"/>
          <w:sz w:val="18"/>
        </w:rPr>
        <w:t> </w:t>
      </w:r>
      <w:r>
        <w:rPr>
          <w:sz w:val="18"/>
        </w:rPr>
        <w:t>Commission</w:t>
      </w:r>
      <w:r>
        <w:rPr>
          <w:spacing w:val="-6"/>
          <w:sz w:val="18"/>
        </w:rPr>
        <w:t> </w:t>
      </w:r>
      <w:r>
        <w:rPr>
          <w:sz w:val="18"/>
        </w:rPr>
        <w:t>for</w:t>
      </w:r>
      <w:r>
        <w:rPr>
          <w:spacing w:val="-4"/>
          <w:sz w:val="18"/>
        </w:rPr>
        <w:t> </w:t>
      </w:r>
      <w:r>
        <w:rPr>
          <w:sz w:val="18"/>
        </w:rPr>
        <w:t>NI,</w:t>
      </w:r>
      <w:r>
        <w:rPr>
          <w:spacing w:val="-5"/>
          <w:sz w:val="18"/>
        </w:rPr>
        <w:t> </w:t>
      </w:r>
      <w:r>
        <w:rPr>
          <w:sz w:val="18"/>
        </w:rPr>
        <w:t>‘</w:t>
      </w:r>
      <w:hyperlink r:id="rId125">
        <w:r>
          <w:rPr>
            <w:sz w:val="18"/>
          </w:rPr>
          <w:t>Gender</w:t>
        </w:r>
        <w:r>
          <w:rPr>
            <w:spacing w:val="-5"/>
            <w:sz w:val="18"/>
          </w:rPr>
          <w:t> </w:t>
        </w:r>
        <w:r>
          <w:rPr>
            <w:sz w:val="18"/>
          </w:rPr>
          <w:t>Policy</w:t>
        </w:r>
        <w:r>
          <w:rPr>
            <w:spacing w:val="-4"/>
            <w:sz w:val="18"/>
          </w:rPr>
          <w:t> </w:t>
        </w:r>
        <w:r>
          <w:rPr>
            <w:sz w:val="18"/>
          </w:rPr>
          <w:t>Priorities</w:t>
        </w:r>
      </w:hyperlink>
      <w:r>
        <w:rPr>
          <w:sz w:val="18"/>
        </w:rPr>
        <w:t>’</w:t>
      </w:r>
      <w:r>
        <w:rPr>
          <w:spacing w:val="-5"/>
          <w:sz w:val="18"/>
        </w:rPr>
        <w:t> </w:t>
      </w:r>
      <w:r>
        <w:rPr>
          <w:sz w:val="18"/>
        </w:rPr>
        <w:t>(ECNI,</w:t>
      </w:r>
      <w:r>
        <w:rPr>
          <w:spacing w:val="-5"/>
          <w:sz w:val="18"/>
        </w:rPr>
        <w:t> </w:t>
      </w:r>
      <w:r>
        <w:rPr>
          <w:sz w:val="18"/>
        </w:rPr>
        <w:t>2016),</w:t>
      </w:r>
      <w:r>
        <w:rPr>
          <w:spacing w:val="-4"/>
          <w:sz w:val="18"/>
        </w:rPr>
        <w:t> </w:t>
      </w:r>
      <w:r>
        <w:rPr>
          <w:sz w:val="18"/>
        </w:rPr>
        <w:t>at</w:t>
      </w:r>
      <w:r>
        <w:rPr>
          <w:spacing w:val="-5"/>
          <w:sz w:val="18"/>
        </w:rPr>
        <w:t> 31.</w:t>
      </w:r>
    </w:p>
    <w:p>
      <w:pPr>
        <w:spacing w:after="0" w:line="218" w:lineRule="exact"/>
        <w:jc w:val="left"/>
        <w:rPr>
          <w:sz w:val="18"/>
        </w:rPr>
        <w:sectPr>
          <w:pgSz w:w="11910" w:h="16840"/>
          <w:pgMar w:header="496" w:footer="367" w:top="1220" w:bottom="560" w:left="0" w:right="0"/>
        </w:sectPr>
      </w:pPr>
    </w:p>
    <w:p>
      <w:pPr>
        <w:pStyle w:val="BodyText"/>
        <w:spacing w:before="198"/>
      </w:pPr>
    </w:p>
    <w:p>
      <w:pPr>
        <w:pStyle w:val="ListParagraph"/>
        <w:numPr>
          <w:ilvl w:val="1"/>
          <w:numId w:val="7"/>
        </w:numPr>
        <w:tabs>
          <w:tab w:pos="1853" w:val="left" w:leader="none"/>
        </w:tabs>
        <w:spacing w:line="225" w:lineRule="auto" w:before="0" w:after="0"/>
        <w:ind w:left="1853" w:right="1337" w:hanging="720"/>
        <w:jc w:val="left"/>
        <w:rPr>
          <w:b/>
          <w:color w:val="67287F"/>
          <w:sz w:val="28"/>
        </w:rPr>
      </w:pPr>
      <w:bookmarkStart w:name="_bookmark22" w:id="49"/>
      <w:bookmarkEnd w:id="49"/>
      <w:r>
        <w:rPr/>
      </w:r>
      <w:r>
        <w:rPr>
          <w:b/>
          <w:color w:val="67287F"/>
          <w:sz w:val="28"/>
        </w:rPr>
        <w:t>The Commissions advise the NI Executive, and relevant NI departments, that, pursuant to Articles 2 and 13 of the Windsor Framework, NI law should</w:t>
      </w:r>
      <w:r>
        <w:rPr>
          <w:b/>
          <w:color w:val="67287F"/>
          <w:spacing w:val="-5"/>
          <w:sz w:val="28"/>
        </w:rPr>
        <w:t> </w:t>
      </w:r>
      <w:r>
        <w:rPr>
          <w:b/>
          <w:color w:val="67287F"/>
          <w:sz w:val="28"/>
        </w:rPr>
        <w:t>be</w:t>
      </w:r>
      <w:r>
        <w:rPr>
          <w:b/>
          <w:color w:val="67287F"/>
          <w:spacing w:val="-6"/>
          <w:sz w:val="28"/>
        </w:rPr>
        <w:t> </w:t>
      </w:r>
      <w:r>
        <w:rPr>
          <w:b/>
          <w:color w:val="67287F"/>
          <w:sz w:val="28"/>
        </w:rPr>
        <w:t>amended</w:t>
      </w:r>
      <w:r>
        <w:rPr>
          <w:b/>
          <w:color w:val="67287F"/>
          <w:spacing w:val="-5"/>
          <w:sz w:val="28"/>
        </w:rPr>
        <w:t> </w:t>
      </w:r>
      <w:r>
        <w:rPr>
          <w:b/>
          <w:color w:val="67287F"/>
          <w:sz w:val="28"/>
        </w:rPr>
        <w:t>to</w:t>
      </w:r>
      <w:r>
        <w:rPr>
          <w:b/>
          <w:color w:val="67287F"/>
          <w:spacing w:val="-5"/>
          <w:sz w:val="28"/>
        </w:rPr>
        <w:t> </w:t>
      </w:r>
      <w:r>
        <w:rPr>
          <w:b/>
          <w:color w:val="67287F"/>
          <w:sz w:val="28"/>
        </w:rPr>
        <w:t>keep</w:t>
      </w:r>
      <w:r>
        <w:rPr>
          <w:b/>
          <w:color w:val="67287F"/>
          <w:spacing w:val="-5"/>
          <w:sz w:val="28"/>
        </w:rPr>
        <w:t> </w:t>
      </w:r>
      <w:r>
        <w:rPr>
          <w:b/>
          <w:color w:val="67287F"/>
          <w:sz w:val="28"/>
        </w:rPr>
        <w:t>pace</w:t>
      </w:r>
      <w:r>
        <w:rPr>
          <w:b/>
          <w:color w:val="67287F"/>
          <w:spacing w:val="-6"/>
          <w:sz w:val="28"/>
        </w:rPr>
        <w:t> </w:t>
      </w:r>
      <w:r>
        <w:rPr>
          <w:b/>
          <w:color w:val="67287F"/>
          <w:sz w:val="28"/>
        </w:rPr>
        <w:t>with</w:t>
      </w:r>
      <w:r>
        <w:rPr>
          <w:b/>
          <w:color w:val="67287F"/>
          <w:spacing w:val="-5"/>
          <w:sz w:val="28"/>
        </w:rPr>
        <w:t> </w:t>
      </w:r>
      <w:r>
        <w:rPr>
          <w:b/>
          <w:color w:val="67287F"/>
          <w:sz w:val="28"/>
        </w:rPr>
        <w:t>those</w:t>
      </w:r>
      <w:r>
        <w:rPr>
          <w:b/>
          <w:color w:val="67287F"/>
          <w:spacing w:val="-6"/>
          <w:sz w:val="28"/>
        </w:rPr>
        <w:t> </w:t>
      </w:r>
      <w:r>
        <w:rPr>
          <w:b/>
          <w:color w:val="67287F"/>
          <w:sz w:val="28"/>
        </w:rPr>
        <w:t>provisions</w:t>
      </w:r>
      <w:r>
        <w:rPr>
          <w:b/>
          <w:color w:val="67287F"/>
          <w:spacing w:val="-5"/>
          <w:sz w:val="28"/>
        </w:rPr>
        <w:t> </w:t>
      </w:r>
      <w:r>
        <w:rPr>
          <w:b/>
          <w:color w:val="67287F"/>
          <w:sz w:val="28"/>
        </w:rPr>
        <w:t>of</w:t>
      </w:r>
      <w:r>
        <w:rPr>
          <w:b/>
          <w:color w:val="67287F"/>
          <w:spacing w:val="-6"/>
          <w:sz w:val="28"/>
        </w:rPr>
        <w:t> </w:t>
      </w:r>
      <w:r>
        <w:rPr>
          <w:b/>
          <w:color w:val="67287F"/>
          <w:sz w:val="28"/>
        </w:rPr>
        <w:t>the</w:t>
      </w:r>
      <w:r>
        <w:rPr>
          <w:b/>
          <w:color w:val="67287F"/>
          <w:spacing w:val="-6"/>
          <w:sz w:val="28"/>
        </w:rPr>
        <w:t> </w:t>
      </w:r>
      <w:r>
        <w:rPr>
          <w:b/>
          <w:color w:val="67287F"/>
          <w:sz w:val="28"/>
        </w:rPr>
        <w:t>EU</w:t>
      </w:r>
      <w:r>
        <w:rPr>
          <w:b/>
          <w:color w:val="67287F"/>
          <w:spacing w:val="-5"/>
          <w:sz w:val="28"/>
        </w:rPr>
        <w:t> </w:t>
      </w:r>
      <w:r>
        <w:rPr>
          <w:b/>
          <w:color w:val="67287F"/>
          <w:sz w:val="28"/>
        </w:rPr>
        <w:t>directives on standards for equality bodies, if adopted, which amend or replace</w:t>
      </w:r>
    </w:p>
    <w:p>
      <w:pPr>
        <w:spacing w:line="225" w:lineRule="auto" w:before="0"/>
        <w:ind w:left="1853" w:right="1847" w:firstLine="0"/>
        <w:jc w:val="both"/>
        <w:rPr>
          <w:b/>
          <w:sz w:val="28"/>
        </w:rPr>
      </w:pPr>
      <w:r>
        <w:rPr>
          <w:b/>
          <w:color w:val="67287F"/>
          <w:sz w:val="28"/>
        </w:rPr>
        <w:t>the</w:t>
      </w:r>
      <w:r>
        <w:rPr>
          <w:b/>
          <w:color w:val="67287F"/>
          <w:spacing w:val="-4"/>
          <w:sz w:val="28"/>
        </w:rPr>
        <w:t> </w:t>
      </w:r>
      <w:r>
        <w:rPr>
          <w:b/>
          <w:color w:val="67287F"/>
          <w:sz w:val="28"/>
        </w:rPr>
        <w:t>EU</w:t>
      </w:r>
      <w:r>
        <w:rPr>
          <w:b/>
          <w:color w:val="67287F"/>
          <w:spacing w:val="-3"/>
          <w:sz w:val="28"/>
        </w:rPr>
        <w:t> </w:t>
      </w:r>
      <w:r>
        <w:rPr>
          <w:b/>
          <w:color w:val="67287F"/>
          <w:sz w:val="28"/>
        </w:rPr>
        <w:t>Gender</w:t>
      </w:r>
      <w:r>
        <w:rPr>
          <w:b/>
          <w:color w:val="67287F"/>
          <w:spacing w:val="-4"/>
          <w:sz w:val="28"/>
        </w:rPr>
        <w:t> </w:t>
      </w:r>
      <w:r>
        <w:rPr>
          <w:b/>
          <w:color w:val="67287F"/>
          <w:sz w:val="28"/>
        </w:rPr>
        <w:t>(Goods</w:t>
      </w:r>
      <w:r>
        <w:rPr>
          <w:b/>
          <w:color w:val="67287F"/>
          <w:spacing w:val="-3"/>
          <w:sz w:val="28"/>
        </w:rPr>
        <w:t> </w:t>
      </w:r>
      <w:r>
        <w:rPr>
          <w:b/>
          <w:color w:val="67287F"/>
          <w:sz w:val="28"/>
        </w:rPr>
        <w:t>and</w:t>
      </w:r>
      <w:r>
        <w:rPr>
          <w:b/>
          <w:color w:val="67287F"/>
          <w:spacing w:val="-3"/>
          <w:sz w:val="28"/>
        </w:rPr>
        <w:t> </w:t>
      </w:r>
      <w:r>
        <w:rPr>
          <w:b/>
          <w:color w:val="67287F"/>
          <w:sz w:val="28"/>
        </w:rPr>
        <w:t>Services)</w:t>
      </w:r>
      <w:r>
        <w:rPr>
          <w:b/>
          <w:color w:val="67287F"/>
          <w:spacing w:val="-3"/>
          <w:sz w:val="28"/>
        </w:rPr>
        <w:t> </w:t>
      </w:r>
      <w:r>
        <w:rPr>
          <w:b/>
          <w:color w:val="67287F"/>
          <w:sz w:val="28"/>
        </w:rPr>
        <w:t>Directive,</w:t>
      </w:r>
      <w:r>
        <w:rPr>
          <w:b/>
          <w:color w:val="67287F"/>
          <w:spacing w:val="-3"/>
          <w:sz w:val="28"/>
        </w:rPr>
        <w:t> </w:t>
      </w:r>
      <w:r>
        <w:rPr>
          <w:b/>
          <w:color w:val="67287F"/>
          <w:sz w:val="28"/>
        </w:rPr>
        <w:t>the</w:t>
      </w:r>
      <w:r>
        <w:rPr>
          <w:b/>
          <w:color w:val="67287F"/>
          <w:spacing w:val="-4"/>
          <w:sz w:val="28"/>
        </w:rPr>
        <w:t> </w:t>
      </w:r>
      <w:r>
        <w:rPr>
          <w:b/>
          <w:color w:val="67287F"/>
          <w:sz w:val="28"/>
        </w:rPr>
        <w:t>EU</w:t>
      </w:r>
      <w:r>
        <w:rPr>
          <w:b/>
          <w:color w:val="67287F"/>
          <w:spacing w:val="-3"/>
          <w:sz w:val="28"/>
        </w:rPr>
        <w:t> </w:t>
      </w:r>
      <w:r>
        <w:rPr>
          <w:b/>
          <w:color w:val="67287F"/>
          <w:sz w:val="28"/>
        </w:rPr>
        <w:t>Equal</w:t>
      </w:r>
      <w:r>
        <w:rPr>
          <w:b/>
          <w:color w:val="67287F"/>
          <w:spacing w:val="-3"/>
          <w:sz w:val="28"/>
        </w:rPr>
        <w:t> </w:t>
      </w:r>
      <w:r>
        <w:rPr>
          <w:b/>
          <w:color w:val="67287F"/>
          <w:sz w:val="28"/>
        </w:rPr>
        <w:t>Treatment (Employment)</w:t>
      </w:r>
      <w:r>
        <w:rPr>
          <w:b/>
          <w:color w:val="67287F"/>
          <w:spacing w:val="-15"/>
          <w:sz w:val="28"/>
        </w:rPr>
        <w:t> </w:t>
      </w:r>
      <w:r>
        <w:rPr>
          <w:b/>
          <w:color w:val="67287F"/>
          <w:sz w:val="28"/>
        </w:rPr>
        <w:t>Directive</w:t>
      </w:r>
      <w:r>
        <w:rPr>
          <w:b/>
          <w:color w:val="67287F"/>
          <w:spacing w:val="-15"/>
          <w:sz w:val="28"/>
        </w:rPr>
        <w:t> </w:t>
      </w:r>
      <w:r>
        <w:rPr>
          <w:b/>
          <w:color w:val="67287F"/>
          <w:sz w:val="28"/>
        </w:rPr>
        <w:t>and/or</w:t>
      </w:r>
      <w:r>
        <w:rPr>
          <w:b/>
          <w:color w:val="67287F"/>
          <w:spacing w:val="-15"/>
          <w:sz w:val="28"/>
        </w:rPr>
        <w:t> </w:t>
      </w:r>
      <w:r>
        <w:rPr>
          <w:b/>
          <w:color w:val="67287F"/>
          <w:sz w:val="28"/>
        </w:rPr>
        <w:t>EU</w:t>
      </w:r>
      <w:r>
        <w:rPr>
          <w:b/>
          <w:color w:val="67287F"/>
          <w:spacing w:val="-15"/>
          <w:sz w:val="28"/>
        </w:rPr>
        <w:t> </w:t>
      </w:r>
      <w:r>
        <w:rPr>
          <w:b/>
          <w:color w:val="67287F"/>
          <w:sz w:val="28"/>
        </w:rPr>
        <w:t>Equal</w:t>
      </w:r>
      <w:r>
        <w:rPr>
          <w:b/>
          <w:color w:val="67287F"/>
          <w:spacing w:val="-15"/>
          <w:sz w:val="28"/>
        </w:rPr>
        <w:t> </w:t>
      </w:r>
      <w:r>
        <w:rPr>
          <w:b/>
          <w:color w:val="67287F"/>
          <w:sz w:val="28"/>
        </w:rPr>
        <w:t>Treatment</w:t>
      </w:r>
      <w:r>
        <w:rPr>
          <w:b/>
          <w:color w:val="67287F"/>
          <w:spacing w:val="-15"/>
          <w:sz w:val="28"/>
        </w:rPr>
        <w:t> </w:t>
      </w:r>
      <w:r>
        <w:rPr>
          <w:b/>
          <w:color w:val="67287F"/>
          <w:sz w:val="28"/>
        </w:rPr>
        <w:t>(Self-Employment) </w:t>
      </w:r>
      <w:r>
        <w:rPr>
          <w:b/>
          <w:color w:val="67287F"/>
          <w:spacing w:val="-2"/>
          <w:sz w:val="28"/>
        </w:rPr>
        <w:t>Directive.</w:t>
      </w:r>
    </w:p>
    <w:p>
      <w:pPr>
        <w:pStyle w:val="ListParagraph"/>
        <w:numPr>
          <w:ilvl w:val="1"/>
          <w:numId w:val="7"/>
        </w:numPr>
        <w:tabs>
          <w:tab w:pos="1853" w:val="left" w:leader="none"/>
        </w:tabs>
        <w:spacing w:line="225" w:lineRule="auto" w:before="311" w:after="0"/>
        <w:ind w:left="1853" w:right="1355" w:hanging="720"/>
        <w:jc w:val="left"/>
        <w:rPr>
          <w:b/>
          <w:color w:val="67287F"/>
          <w:sz w:val="28"/>
        </w:rPr>
      </w:pPr>
      <w:r>
        <w:rPr>
          <w:b/>
          <w:color w:val="67287F"/>
          <w:sz w:val="28"/>
        </w:rPr>
        <w:t>The Commissions advise the UK Government, the NI Executive, and the NI Department</w:t>
      </w:r>
      <w:r>
        <w:rPr>
          <w:b/>
          <w:color w:val="67287F"/>
          <w:spacing w:val="-5"/>
          <w:sz w:val="28"/>
        </w:rPr>
        <w:t> </w:t>
      </w:r>
      <w:r>
        <w:rPr>
          <w:b/>
          <w:color w:val="67287F"/>
          <w:sz w:val="28"/>
        </w:rPr>
        <w:t>for</w:t>
      </w:r>
      <w:r>
        <w:rPr>
          <w:b/>
          <w:color w:val="67287F"/>
          <w:spacing w:val="-6"/>
          <w:sz w:val="28"/>
        </w:rPr>
        <w:t> </w:t>
      </w:r>
      <w:r>
        <w:rPr>
          <w:b/>
          <w:color w:val="67287F"/>
          <w:sz w:val="28"/>
        </w:rPr>
        <w:t>Communities,</w:t>
      </w:r>
      <w:r>
        <w:rPr>
          <w:b/>
          <w:color w:val="67287F"/>
          <w:spacing w:val="-5"/>
          <w:sz w:val="28"/>
        </w:rPr>
        <w:t> </w:t>
      </w:r>
      <w:r>
        <w:rPr>
          <w:b/>
          <w:color w:val="67287F"/>
          <w:sz w:val="28"/>
        </w:rPr>
        <w:t>pursuant</w:t>
      </w:r>
      <w:r>
        <w:rPr>
          <w:b/>
          <w:color w:val="67287F"/>
          <w:spacing w:val="-5"/>
          <w:sz w:val="28"/>
        </w:rPr>
        <w:t> </w:t>
      </w:r>
      <w:r>
        <w:rPr>
          <w:b/>
          <w:color w:val="67287F"/>
          <w:sz w:val="28"/>
        </w:rPr>
        <w:t>to</w:t>
      </w:r>
      <w:r>
        <w:rPr>
          <w:b/>
          <w:color w:val="67287F"/>
          <w:spacing w:val="-5"/>
          <w:sz w:val="28"/>
        </w:rPr>
        <w:t> </w:t>
      </w:r>
      <w:r>
        <w:rPr>
          <w:b/>
          <w:color w:val="67287F"/>
          <w:sz w:val="28"/>
        </w:rPr>
        <w:t>Articles</w:t>
      </w:r>
      <w:r>
        <w:rPr>
          <w:b/>
          <w:color w:val="67287F"/>
          <w:spacing w:val="-5"/>
          <w:sz w:val="28"/>
        </w:rPr>
        <w:t> </w:t>
      </w:r>
      <w:r>
        <w:rPr>
          <w:b/>
          <w:color w:val="67287F"/>
          <w:sz w:val="28"/>
        </w:rPr>
        <w:t>2</w:t>
      </w:r>
      <w:r>
        <w:rPr>
          <w:b/>
          <w:color w:val="67287F"/>
          <w:spacing w:val="-5"/>
          <w:sz w:val="28"/>
        </w:rPr>
        <w:t> </w:t>
      </w:r>
      <w:r>
        <w:rPr>
          <w:b/>
          <w:color w:val="67287F"/>
          <w:sz w:val="28"/>
        </w:rPr>
        <w:t>and</w:t>
      </w:r>
      <w:r>
        <w:rPr>
          <w:b/>
          <w:color w:val="67287F"/>
          <w:spacing w:val="-5"/>
          <w:sz w:val="28"/>
        </w:rPr>
        <w:t> </w:t>
      </w:r>
      <w:r>
        <w:rPr>
          <w:b/>
          <w:color w:val="67287F"/>
          <w:sz w:val="28"/>
        </w:rPr>
        <w:t>13</w:t>
      </w:r>
      <w:r>
        <w:rPr>
          <w:b/>
          <w:color w:val="67287F"/>
          <w:spacing w:val="-5"/>
          <w:sz w:val="28"/>
        </w:rPr>
        <w:t> </w:t>
      </w:r>
      <w:r>
        <w:rPr>
          <w:b/>
          <w:color w:val="67287F"/>
          <w:sz w:val="28"/>
        </w:rPr>
        <w:t>of</w:t>
      </w:r>
      <w:r>
        <w:rPr>
          <w:b/>
          <w:color w:val="67287F"/>
          <w:spacing w:val="-6"/>
          <w:sz w:val="28"/>
        </w:rPr>
        <w:t> </w:t>
      </w:r>
      <w:r>
        <w:rPr>
          <w:b/>
          <w:color w:val="67287F"/>
          <w:sz w:val="28"/>
        </w:rPr>
        <w:t>the</w:t>
      </w:r>
      <w:r>
        <w:rPr>
          <w:b/>
          <w:color w:val="67287F"/>
          <w:spacing w:val="-6"/>
          <w:sz w:val="28"/>
        </w:rPr>
        <w:t> </w:t>
      </w:r>
      <w:r>
        <w:rPr>
          <w:b/>
          <w:color w:val="67287F"/>
          <w:sz w:val="28"/>
        </w:rPr>
        <w:t>Windsor Framework,</w:t>
      </w:r>
      <w:r>
        <w:rPr>
          <w:b/>
          <w:color w:val="67287F"/>
          <w:spacing w:val="-4"/>
          <w:sz w:val="28"/>
        </w:rPr>
        <w:t> </w:t>
      </w:r>
      <w:r>
        <w:rPr>
          <w:b/>
          <w:color w:val="67287F"/>
          <w:sz w:val="28"/>
        </w:rPr>
        <w:t>that</w:t>
      </w:r>
      <w:r>
        <w:rPr>
          <w:b/>
          <w:color w:val="67287F"/>
          <w:spacing w:val="-4"/>
          <w:sz w:val="28"/>
        </w:rPr>
        <w:t> </w:t>
      </w:r>
      <w:r>
        <w:rPr>
          <w:b/>
          <w:color w:val="67287F"/>
          <w:sz w:val="28"/>
        </w:rPr>
        <w:t>NI</w:t>
      </w:r>
      <w:r>
        <w:rPr>
          <w:b/>
          <w:color w:val="67287F"/>
          <w:spacing w:val="-4"/>
          <w:sz w:val="28"/>
        </w:rPr>
        <w:t> </w:t>
      </w:r>
      <w:r>
        <w:rPr>
          <w:b/>
          <w:color w:val="67287F"/>
          <w:sz w:val="28"/>
        </w:rPr>
        <w:t>equality</w:t>
      </w:r>
      <w:r>
        <w:rPr>
          <w:b/>
          <w:color w:val="67287F"/>
          <w:spacing w:val="-4"/>
          <w:sz w:val="28"/>
        </w:rPr>
        <w:t> </w:t>
      </w:r>
      <w:r>
        <w:rPr>
          <w:b/>
          <w:color w:val="67287F"/>
          <w:sz w:val="28"/>
        </w:rPr>
        <w:t>law</w:t>
      </w:r>
      <w:r>
        <w:rPr>
          <w:b/>
          <w:color w:val="67287F"/>
          <w:spacing w:val="-5"/>
          <w:sz w:val="28"/>
        </w:rPr>
        <w:t> </w:t>
      </w:r>
      <w:r>
        <w:rPr>
          <w:b/>
          <w:color w:val="67287F"/>
          <w:sz w:val="28"/>
        </w:rPr>
        <w:t>should</w:t>
      </w:r>
      <w:r>
        <w:rPr>
          <w:b/>
          <w:color w:val="67287F"/>
          <w:spacing w:val="-4"/>
          <w:sz w:val="28"/>
        </w:rPr>
        <w:t> </w:t>
      </w:r>
      <w:r>
        <w:rPr>
          <w:b/>
          <w:color w:val="67287F"/>
          <w:sz w:val="28"/>
        </w:rPr>
        <w:t>be</w:t>
      </w:r>
      <w:r>
        <w:rPr>
          <w:b/>
          <w:color w:val="67287F"/>
          <w:spacing w:val="-5"/>
          <w:sz w:val="28"/>
        </w:rPr>
        <w:t> </w:t>
      </w:r>
      <w:r>
        <w:rPr>
          <w:b/>
          <w:color w:val="67287F"/>
          <w:sz w:val="28"/>
        </w:rPr>
        <w:t>amended</w:t>
      </w:r>
      <w:r>
        <w:rPr>
          <w:b/>
          <w:color w:val="67287F"/>
          <w:spacing w:val="-4"/>
          <w:sz w:val="28"/>
        </w:rPr>
        <w:t> </w:t>
      </w:r>
      <w:r>
        <w:rPr>
          <w:b/>
          <w:color w:val="67287F"/>
          <w:sz w:val="28"/>
        </w:rPr>
        <w:t>to</w:t>
      </w:r>
      <w:r>
        <w:rPr>
          <w:b/>
          <w:color w:val="67287F"/>
          <w:spacing w:val="-4"/>
          <w:sz w:val="28"/>
        </w:rPr>
        <w:t> </w:t>
      </w:r>
      <w:r>
        <w:rPr>
          <w:b/>
          <w:color w:val="67287F"/>
          <w:sz w:val="28"/>
        </w:rPr>
        <w:t>keep</w:t>
      </w:r>
      <w:r>
        <w:rPr>
          <w:b/>
          <w:color w:val="67287F"/>
          <w:spacing w:val="-4"/>
          <w:sz w:val="28"/>
        </w:rPr>
        <w:t> </w:t>
      </w:r>
      <w:r>
        <w:rPr>
          <w:b/>
          <w:color w:val="67287F"/>
          <w:sz w:val="28"/>
        </w:rPr>
        <w:t>pace</w:t>
      </w:r>
      <w:r>
        <w:rPr>
          <w:b/>
          <w:color w:val="67287F"/>
          <w:spacing w:val="-5"/>
          <w:sz w:val="28"/>
        </w:rPr>
        <w:t> </w:t>
      </w:r>
      <w:r>
        <w:rPr>
          <w:b/>
          <w:color w:val="67287F"/>
          <w:sz w:val="28"/>
        </w:rPr>
        <w:t>with</w:t>
      </w:r>
      <w:r>
        <w:rPr>
          <w:b/>
          <w:color w:val="67287F"/>
          <w:spacing w:val="-4"/>
          <w:sz w:val="28"/>
        </w:rPr>
        <w:t> </w:t>
      </w:r>
      <w:r>
        <w:rPr>
          <w:b/>
          <w:color w:val="67287F"/>
          <w:sz w:val="28"/>
        </w:rPr>
        <w:t>the relevant provisions of the EU Pay Transparency Directive.</w:t>
      </w:r>
      <w:r>
        <w:rPr>
          <w:b/>
          <w:color w:val="67287F"/>
          <w:spacing w:val="40"/>
          <w:sz w:val="28"/>
        </w:rPr>
        <w:t> </w:t>
      </w:r>
      <w:r>
        <w:rPr>
          <w:b/>
          <w:color w:val="67287F"/>
          <w:sz w:val="28"/>
        </w:rPr>
        <w:t>The timeline for transposition of the relevant provisions of the Directive should align with the transposition deadline for Member States.</w:t>
      </w:r>
      <w:r>
        <w:rPr>
          <w:b/>
          <w:color w:val="67287F"/>
          <w:sz w:val="28"/>
          <w:vertAlign w:val="superscript"/>
        </w:rPr>
        <w:t>269</w:t>
      </w:r>
    </w:p>
    <w:p>
      <w:pPr>
        <w:pStyle w:val="ListParagraph"/>
        <w:numPr>
          <w:ilvl w:val="1"/>
          <w:numId w:val="7"/>
        </w:numPr>
        <w:tabs>
          <w:tab w:pos="1853" w:val="left" w:leader="none"/>
        </w:tabs>
        <w:spacing w:line="225" w:lineRule="auto" w:before="313" w:after="0"/>
        <w:ind w:left="1853" w:right="1887" w:hanging="720"/>
        <w:jc w:val="left"/>
        <w:rPr>
          <w:b/>
          <w:color w:val="67287F"/>
          <w:sz w:val="28"/>
        </w:rPr>
      </w:pPr>
      <w:r>
        <w:rPr>
          <w:b/>
          <w:color w:val="67287F"/>
          <w:sz w:val="28"/>
        </w:rPr>
        <w:t>The</w:t>
      </w:r>
      <w:r>
        <w:rPr>
          <w:b/>
          <w:color w:val="67287F"/>
          <w:spacing w:val="-7"/>
          <w:sz w:val="28"/>
        </w:rPr>
        <w:t> </w:t>
      </w:r>
      <w:r>
        <w:rPr>
          <w:b/>
          <w:color w:val="67287F"/>
          <w:sz w:val="28"/>
        </w:rPr>
        <w:t>Commissions</w:t>
      </w:r>
      <w:r>
        <w:rPr>
          <w:b/>
          <w:color w:val="67287F"/>
          <w:spacing w:val="-6"/>
          <w:sz w:val="28"/>
        </w:rPr>
        <w:t> </w:t>
      </w:r>
      <w:r>
        <w:rPr>
          <w:b/>
          <w:color w:val="67287F"/>
          <w:sz w:val="28"/>
        </w:rPr>
        <w:t>recommend</w:t>
      </w:r>
      <w:r>
        <w:rPr>
          <w:b/>
          <w:color w:val="67287F"/>
          <w:spacing w:val="-6"/>
          <w:sz w:val="28"/>
        </w:rPr>
        <w:t> </w:t>
      </w:r>
      <w:r>
        <w:rPr>
          <w:b/>
          <w:color w:val="67287F"/>
          <w:sz w:val="28"/>
        </w:rPr>
        <w:t>that</w:t>
      </w:r>
      <w:r>
        <w:rPr>
          <w:b/>
          <w:color w:val="67287F"/>
          <w:spacing w:val="-6"/>
          <w:sz w:val="28"/>
        </w:rPr>
        <w:t> </w:t>
      </w:r>
      <w:r>
        <w:rPr>
          <w:b/>
          <w:color w:val="67287F"/>
          <w:sz w:val="28"/>
        </w:rPr>
        <w:t>the</w:t>
      </w:r>
      <w:r>
        <w:rPr>
          <w:b/>
          <w:color w:val="67287F"/>
          <w:spacing w:val="-7"/>
          <w:sz w:val="28"/>
        </w:rPr>
        <w:t> </w:t>
      </w:r>
      <w:r>
        <w:rPr>
          <w:b/>
          <w:color w:val="67287F"/>
          <w:sz w:val="28"/>
        </w:rPr>
        <w:t>NI</w:t>
      </w:r>
      <w:r>
        <w:rPr>
          <w:b/>
          <w:color w:val="67287F"/>
          <w:spacing w:val="-6"/>
          <w:sz w:val="28"/>
        </w:rPr>
        <w:t> </w:t>
      </w:r>
      <w:r>
        <w:rPr>
          <w:b/>
          <w:color w:val="67287F"/>
          <w:sz w:val="28"/>
        </w:rPr>
        <w:t>Executive</w:t>
      </w:r>
      <w:r>
        <w:rPr>
          <w:b/>
          <w:color w:val="67287F"/>
          <w:spacing w:val="-7"/>
          <w:sz w:val="28"/>
        </w:rPr>
        <w:t> </w:t>
      </w:r>
      <w:r>
        <w:rPr>
          <w:b/>
          <w:color w:val="67287F"/>
          <w:sz w:val="28"/>
        </w:rPr>
        <w:t>ensure</w:t>
      </w:r>
      <w:r>
        <w:rPr>
          <w:b/>
          <w:color w:val="67287F"/>
          <w:spacing w:val="-7"/>
          <w:sz w:val="28"/>
        </w:rPr>
        <w:t> </w:t>
      </w:r>
      <w:r>
        <w:rPr>
          <w:b/>
          <w:color w:val="67287F"/>
          <w:sz w:val="28"/>
        </w:rPr>
        <w:t>that</w:t>
      </w:r>
      <w:r>
        <w:rPr>
          <w:b/>
          <w:color w:val="67287F"/>
          <w:spacing w:val="-6"/>
          <w:sz w:val="28"/>
        </w:rPr>
        <w:t> </w:t>
      </w:r>
      <w:r>
        <w:rPr>
          <w:b/>
          <w:color w:val="67287F"/>
          <w:sz w:val="28"/>
        </w:rPr>
        <w:t>NI</w:t>
      </w:r>
      <w:r>
        <w:rPr>
          <w:b/>
          <w:color w:val="67287F"/>
          <w:spacing w:val="-6"/>
          <w:sz w:val="28"/>
        </w:rPr>
        <w:t> </w:t>
      </w:r>
      <w:r>
        <w:rPr>
          <w:b/>
          <w:color w:val="67287F"/>
          <w:sz w:val="28"/>
        </w:rPr>
        <w:t>law voluntarily aligns with the EU Gender Balance Directive where this strengthens protections and aligns with international human rights standards and best practice.</w:t>
      </w:r>
      <w:r>
        <w:rPr>
          <w:b/>
          <w:color w:val="67287F"/>
          <w:sz w:val="28"/>
          <w:vertAlign w:val="superscript"/>
        </w:rPr>
        <w:t>270</w:t>
      </w:r>
    </w:p>
    <w:p>
      <w:pPr>
        <w:pStyle w:val="Heading5"/>
        <w:spacing w:before="298"/>
        <w:ind w:left="1133" w:firstLine="0"/>
      </w:pPr>
      <w:bookmarkStart w:name="Racial Equality" w:id="50"/>
      <w:bookmarkEnd w:id="50"/>
      <w:r>
        <w:rPr>
          <w:b w:val="0"/>
        </w:rPr>
      </w:r>
      <w:r>
        <w:rPr>
          <w:color w:val="393B80"/>
        </w:rPr>
        <w:t>Racial </w:t>
      </w:r>
      <w:r>
        <w:rPr>
          <w:color w:val="393B80"/>
          <w:spacing w:val="-2"/>
        </w:rPr>
        <w:t>Equality</w:t>
      </w:r>
    </w:p>
    <w:p>
      <w:pPr>
        <w:pStyle w:val="ListParagraph"/>
        <w:numPr>
          <w:ilvl w:val="1"/>
          <w:numId w:val="7"/>
        </w:numPr>
        <w:tabs>
          <w:tab w:pos="1853" w:val="left" w:leader="none"/>
        </w:tabs>
        <w:spacing w:line="225" w:lineRule="auto" w:before="331" w:after="0"/>
        <w:ind w:left="1853" w:right="1299" w:hanging="720"/>
        <w:jc w:val="left"/>
        <w:rPr>
          <w:sz w:val="28"/>
        </w:rPr>
      </w:pPr>
      <w:r>
        <w:rPr>
          <w:sz w:val="28"/>
        </w:rPr>
        <w:t>Windsor</w:t>
      </w:r>
      <w:r>
        <w:rPr>
          <w:spacing w:val="-3"/>
          <w:sz w:val="28"/>
        </w:rPr>
        <w:t> </w:t>
      </w:r>
      <w:r>
        <w:rPr>
          <w:sz w:val="28"/>
        </w:rPr>
        <w:t>Framework</w:t>
      </w:r>
      <w:r>
        <w:rPr>
          <w:spacing w:val="-3"/>
          <w:sz w:val="28"/>
        </w:rPr>
        <w:t> </w:t>
      </w:r>
      <w:r>
        <w:rPr>
          <w:sz w:val="28"/>
        </w:rPr>
        <w:t>Articles</w:t>
      </w:r>
      <w:r>
        <w:rPr>
          <w:spacing w:val="-4"/>
          <w:sz w:val="28"/>
        </w:rPr>
        <w:t> </w:t>
      </w:r>
      <w:r>
        <w:rPr>
          <w:sz w:val="28"/>
        </w:rPr>
        <w:t>2</w:t>
      </w:r>
      <w:r>
        <w:rPr>
          <w:spacing w:val="-3"/>
          <w:sz w:val="28"/>
        </w:rPr>
        <w:t> </w:t>
      </w:r>
      <w:r>
        <w:rPr>
          <w:sz w:val="28"/>
        </w:rPr>
        <w:t>and</w:t>
      </w:r>
      <w:r>
        <w:rPr>
          <w:spacing w:val="-4"/>
          <w:sz w:val="28"/>
        </w:rPr>
        <w:t> </w:t>
      </w:r>
      <w:r>
        <w:rPr>
          <w:sz w:val="28"/>
        </w:rPr>
        <w:t>13</w:t>
      </w:r>
      <w:r>
        <w:rPr>
          <w:spacing w:val="-3"/>
          <w:sz w:val="28"/>
        </w:rPr>
        <w:t> </w:t>
      </w:r>
      <w:r>
        <w:rPr>
          <w:sz w:val="28"/>
        </w:rPr>
        <w:t>require</w:t>
      </w:r>
      <w:r>
        <w:rPr>
          <w:spacing w:val="-3"/>
          <w:sz w:val="28"/>
        </w:rPr>
        <w:t> </w:t>
      </w:r>
      <w:r>
        <w:rPr>
          <w:sz w:val="28"/>
        </w:rPr>
        <w:t>the</w:t>
      </w:r>
      <w:r>
        <w:rPr>
          <w:spacing w:val="-3"/>
          <w:sz w:val="28"/>
        </w:rPr>
        <w:t> </w:t>
      </w:r>
      <w:r>
        <w:rPr>
          <w:sz w:val="28"/>
        </w:rPr>
        <w:t>law</w:t>
      </w:r>
      <w:r>
        <w:rPr>
          <w:spacing w:val="-3"/>
          <w:sz w:val="28"/>
        </w:rPr>
        <w:t> </w:t>
      </w:r>
      <w:r>
        <w:rPr>
          <w:sz w:val="28"/>
        </w:rPr>
        <w:t>in</w:t>
      </w:r>
      <w:r>
        <w:rPr>
          <w:spacing w:val="-4"/>
          <w:sz w:val="28"/>
        </w:rPr>
        <w:t> </w:t>
      </w:r>
      <w:r>
        <w:rPr>
          <w:sz w:val="28"/>
        </w:rPr>
        <w:t>NI</w:t>
      </w:r>
      <w:r>
        <w:rPr>
          <w:spacing w:val="-3"/>
          <w:sz w:val="28"/>
        </w:rPr>
        <w:t> </w:t>
      </w:r>
      <w:r>
        <w:rPr>
          <w:sz w:val="28"/>
        </w:rPr>
        <w:t>to</w:t>
      </w:r>
      <w:r>
        <w:rPr>
          <w:spacing w:val="-4"/>
          <w:sz w:val="28"/>
        </w:rPr>
        <w:t> </w:t>
      </w:r>
      <w:r>
        <w:rPr>
          <w:sz w:val="28"/>
        </w:rPr>
        <w:t>keep</w:t>
      </w:r>
      <w:r>
        <w:rPr>
          <w:spacing w:val="-4"/>
          <w:sz w:val="28"/>
        </w:rPr>
        <w:t> </w:t>
      </w:r>
      <w:r>
        <w:rPr>
          <w:sz w:val="28"/>
        </w:rPr>
        <w:t>pace</w:t>
      </w:r>
      <w:r>
        <w:rPr>
          <w:spacing w:val="-3"/>
          <w:sz w:val="28"/>
        </w:rPr>
        <w:t> </w:t>
      </w:r>
      <w:r>
        <w:rPr>
          <w:sz w:val="28"/>
        </w:rPr>
        <w:t>with any</w:t>
      </w:r>
      <w:r>
        <w:rPr>
          <w:spacing w:val="-8"/>
          <w:sz w:val="28"/>
        </w:rPr>
        <w:t> </w:t>
      </w:r>
      <w:r>
        <w:rPr>
          <w:sz w:val="28"/>
        </w:rPr>
        <w:t>improvements</w:t>
      </w:r>
      <w:r>
        <w:rPr>
          <w:spacing w:val="-9"/>
          <w:sz w:val="28"/>
        </w:rPr>
        <w:t> </w:t>
      </w:r>
      <w:r>
        <w:rPr>
          <w:sz w:val="28"/>
        </w:rPr>
        <w:t>to</w:t>
      </w:r>
      <w:r>
        <w:rPr>
          <w:spacing w:val="-9"/>
          <w:sz w:val="28"/>
        </w:rPr>
        <w:t> </w:t>
      </w:r>
      <w:r>
        <w:rPr>
          <w:sz w:val="28"/>
        </w:rPr>
        <w:t>minimum</w:t>
      </w:r>
      <w:r>
        <w:rPr>
          <w:spacing w:val="-8"/>
          <w:sz w:val="28"/>
        </w:rPr>
        <w:t> </w:t>
      </w:r>
      <w:r>
        <w:rPr>
          <w:sz w:val="28"/>
        </w:rPr>
        <w:t>standards</w:t>
      </w:r>
      <w:r>
        <w:rPr>
          <w:spacing w:val="-9"/>
          <w:sz w:val="28"/>
        </w:rPr>
        <w:t> </w:t>
      </w:r>
      <w:r>
        <w:rPr>
          <w:sz w:val="28"/>
        </w:rPr>
        <w:t>of</w:t>
      </w:r>
      <w:r>
        <w:rPr>
          <w:spacing w:val="-9"/>
          <w:sz w:val="28"/>
        </w:rPr>
        <w:t> </w:t>
      </w:r>
      <w:r>
        <w:rPr>
          <w:sz w:val="28"/>
        </w:rPr>
        <w:t>equality</w:t>
      </w:r>
      <w:r>
        <w:rPr>
          <w:spacing w:val="-8"/>
          <w:sz w:val="28"/>
        </w:rPr>
        <w:t> </w:t>
      </w:r>
      <w:r>
        <w:rPr>
          <w:sz w:val="28"/>
        </w:rPr>
        <w:t>protection</w:t>
      </w:r>
      <w:r>
        <w:rPr>
          <w:spacing w:val="-9"/>
          <w:sz w:val="28"/>
        </w:rPr>
        <w:t> </w:t>
      </w:r>
      <w:r>
        <w:rPr>
          <w:sz w:val="28"/>
        </w:rPr>
        <w:t>enshrined</w:t>
      </w:r>
      <w:r>
        <w:rPr>
          <w:spacing w:val="-9"/>
          <w:sz w:val="28"/>
        </w:rPr>
        <w:t> </w:t>
      </w:r>
      <w:r>
        <w:rPr>
          <w:sz w:val="28"/>
        </w:rPr>
        <w:t>in six EU directives listed in Annex 1 to the Windsor Framework, including the </w:t>
      </w:r>
      <w:r>
        <w:rPr>
          <w:b/>
          <w:color w:val="393B80"/>
          <w:sz w:val="28"/>
        </w:rPr>
        <w:t>EU</w:t>
      </w:r>
      <w:r>
        <w:rPr>
          <w:b/>
          <w:color w:val="393B80"/>
          <w:spacing w:val="-3"/>
          <w:sz w:val="28"/>
        </w:rPr>
        <w:t> </w:t>
      </w:r>
      <w:r>
        <w:rPr>
          <w:b/>
          <w:color w:val="393B80"/>
          <w:sz w:val="28"/>
        </w:rPr>
        <w:t>Racial</w:t>
      </w:r>
      <w:r>
        <w:rPr>
          <w:b/>
          <w:color w:val="393B80"/>
          <w:spacing w:val="-3"/>
          <w:sz w:val="28"/>
        </w:rPr>
        <w:t> </w:t>
      </w:r>
      <w:r>
        <w:rPr>
          <w:b/>
          <w:color w:val="393B80"/>
          <w:sz w:val="28"/>
        </w:rPr>
        <w:t>Equality</w:t>
      </w:r>
      <w:r>
        <w:rPr>
          <w:b/>
          <w:color w:val="393B80"/>
          <w:spacing w:val="-3"/>
          <w:sz w:val="28"/>
        </w:rPr>
        <w:t> </w:t>
      </w:r>
      <w:r>
        <w:rPr>
          <w:b/>
          <w:color w:val="393B80"/>
          <w:sz w:val="28"/>
        </w:rPr>
        <w:t>Directive</w:t>
      </w:r>
      <w:r>
        <w:rPr>
          <w:color w:val="393B80"/>
          <w:sz w:val="28"/>
        </w:rPr>
        <w:t>.</w:t>
      </w:r>
      <w:r>
        <w:rPr>
          <w:sz w:val="28"/>
          <w:vertAlign w:val="superscript"/>
        </w:rPr>
        <w:t>271</w:t>
      </w:r>
      <w:r>
        <w:rPr>
          <w:spacing w:val="40"/>
          <w:sz w:val="28"/>
          <w:vertAlign w:val="baseline"/>
        </w:rPr>
        <w:t> </w:t>
      </w:r>
      <w:r>
        <w:rPr>
          <w:sz w:val="28"/>
          <w:vertAlign w:val="baseline"/>
        </w:rPr>
        <w:t>The</w:t>
      </w:r>
      <w:r>
        <w:rPr>
          <w:spacing w:val="-3"/>
          <w:sz w:val="28"/>
          <w:vertAlign w:val="baseline"/>
        </w:rPr>
        <w:t> </w:t>
      </w:r>
      <w:r>
        <w:rPr>
          <w:sz w:val="28"/>
          <w:vertAlign w:val="baseline"/>
        </w:rPr>
        <w:t>obligation</w:t>
      </w:r>
      <w:r>
        <w:rPr>
          <w:spacing w:val="-3"/>
          <w:sz w:val="28"/>
          <w:vertAlign w:val="baseline"/>
        </w:rPr>
        <w:t> </w:t>
      </w:r>
      <w:r>
        <w:rPr>
          <w:sz w:val="28"/>
          <w:vertAlign w:val="baseline"/>
        </w:rPr>
        <w:t>also</w:t>
      </w:r>
      <w:r>
        <w:rPr>
          <w:spacing w:val="-4"/>
          <w:sz w:val="28"/>
          <w:vertAlign w:val="baseline"/>
        </w:rPr>
        <w:t> </w:t>
      </w:r>
      <w:r>
        <w:rPr>
          <w:sz w:val="28"/>
          <w:vertAlign w:val="baseline"/>
        </w:rPr>
        <w:t>requires</w:t>
      </w:r>
      <w:r>
        <w:rPr>
          <w:spacing w:val="-4"/>
          <w:sz w:val="28"/>
          <w:vertAlign w:val="baseline"/>
        </w:rPr>
        <w:t> </w:t>
      </w:r>
      <w:r>
        <w:rPr>
          <w:sz w:val="28"/>
          <w:vertAlign w:val="baseline"/>
        </w:rPr>
        <w:t>compliance</w:t>
      </w:r>
      <w:r>
        <w:rPr>
          <w:spacing w:val="-3"/>
          <w:sz w:val="28"/>
          <w:vertAlign w:val="baseline"/>
        </w:rPr>
        <w:t> </w:t>
      </w:r>
      <w:r>
        <w:rPr>
          <w:sz w:val="28"/>
          <w:vertAlign w:val="baseline"/>
        </w:rPr>
        <w:t>with current and future CJEU case-law.</w:t>
      </w:r>
    </w:p>
    <w:p>
      <w:pPr>
        <w:pStyle w:val="ListParagraph"/>
        <w:numPr>
          <w:ilvl w:val="1"/>
          <w:numId w:val="7"/>
        </w:numPr>
        <w:tabs>
          <w:tab w:pos="1853" w:val="left" w:leader="none"/>
        </w:tabs>
        <w:spacing w:line="225" w:lineRule="auto" w:before="313" w:after="0"/>
        <w:ind w:left="1853" w:right="1317" w:hanging="720"/>
        <w:jc w:val="left"/>
        <w:rPr>
          <w:sz w:val="28"/>
        </w:rPr>
      </w:pPr>
      <w:r>
        <w:rPr>
          <w:sz w:val="28"/>
        </w:rPr>
        <w:t>In 2016, the UN Convention on the Elimination of Racial Discrimination (UN CERD) Committee recommended that the UK Government and NI Executive promptly</w:t>
      </w:r>
      <w:r>
        <w:rPr>
          <w:spacing w:val="-10"/>
          <w:sz w:val="28"/>
        </w:rPr>
        <w:t> </w:t>
      </w:r>
      <w:r>
        <w:rPr>
          <w:sz w:val="28"/>
        </w:rPr>
        <w:t>adopt</w:t>
      </w:r>
      <w:r>
        <w:rPr>
          <w:spacing w:val="-10"/>
          <w:sz w:val="28"/>
        </w:rPr>
        <w:t> </w:t>
      </w:r>
      <w:r>
        <w:rPr>
          <w:sz w:val="28"/>
        </w:rPr>
        <w:t>comprehensive</w:t>
      </w:r>
      <w:r>
        <w:rPr>
          <w:spacing w:val="-10"/>
          <w:sz w:val="28"/>
        </w:rPr>
        <w:t> </w:t>
      </w:r>
      <w:r>
        <w:rPr>
          <w:sz w:val="28"/>
        </w:rPr>
        <w:t>legislation</w:t>
      </w:r>
      <w:r>
        <w:rPr>
          <w:spacing w:val="-11"/>
          <w:sz w:val="28"/>
        </w:rPr>
        <w:t> </w:t>
      </w:r>
      <w:r>
        <w:rPr>
          <w:sz w:val="28"/>
        </w:rPr>
        <w:t>prohibiting</w:t>
      </w:r>
      <w:r>
        <w:rPr>
          <w:spacing w:val="-10"/>
          <w:sz w:val="28"/>
        </w:rPr>
        <w:t> </w:t>
      </w:r>
      <w:r>
        <w:rPr>
          <w:sz w:val="28"/>
        </w:rPr>
        <w:t>racial</w:t>
      </w:r>
      <w:r>
        <w:rPr>
          <w:spacing w:val="-11"/>
          <w:sz w:val="28"/>
        </w:rPr>
        <w:t> </w:t>
      </w:r>
      <w:r>
        <w:rPr>
          <w:sz w:val="28"/>
        </w:rPr>
        <w:t>discrimination</w:t>
      </w:r>
      <w:r>
        <w:rPr>
          <w:spacing w:val="-11"/>
          <w:sz w:val="28"/>
        </w:rPr>
        <w:t> </w:t>
      </w:r>
      <w:r>
        <w:rPr>
          <w:sz w:val="28"/>
        </w:rPr>
        <w:t>in line with UN CERD.</w:t>
      </w:r>
      <w:r>
        <w:rPr>
          <w:sz w:val="28"/>
          <w:vertAlign w:val="superscript"/>
        </w:rPr>
        <w:t>272</w:t>
      </w:r>
    </w:p>
    <w:p>
      <w:pPr>
        <w:pStyle w:val="BodyText"/>
        <w:spacing w:before="52"/>
        <w:rPr>
          <w:sz w:val="20"/>
        </w:rPr>
      </w:pPr>
      <w:r>
        <w:rPr/>
        <mc:AlternateContent>
          <mc:Choice Requires="wps">
            <w:drawing>
              <wp:anchor distT="0" distB="0" distL="0" distR="0" allowOverlap="1" layoutInCell="1" locked="0" behindDoc="1" simplePos="0" relativeHeight="487656960">
                <wp:simplePos x="0" y="0"/>
                <wp:positionH relativeFrom="page">
                  <wp:posOffset>719999</wp:posOffset>
                </wp:positionH>
                <wp:positionV relativeFrom="paragraph">
                  <wp:posOffset>203657</wp:posOffset>
                </wp:positionV>
                <wp:extent cx="6120130" cy="1270"/>
                <wp:effectExtent l="0" t="0" r="0" b="0"/>
                <wp:wrapTopAndBottom/>
                <wp:docPr id="297" name="Graphic 297"/>
                <wp:cNvGraphicFramePr>
                  <a:graphicFrameLocks/>
                </wp:cNvGraphicFramePr>
                <a:graphic>
                  <a:graphicData uri="http://schemas.microsoft.com/office/word/2010/wordprocessingShape">
                    <wps:wsp>
                      <wps:cNvPr id="297" name="Graphic 297"/>
                      <wps:cNvSpPr/>
                      <wps:spPr>
                        <a:xfrm>
                          <a:off x="0" y="0"/>
                          <a:ext cx="6120130" cy="1270"/>
                        </a:xfrm>
                        <a:custGeom>
                          <a:avLst/>
                          <a:gdLst/>
                          <a:ahLst/>
                          <a:cxnLst/>
                          <a:rect l="l" t="t" r="r" b="b"/>
                          <a:pathLst>
                            <a:path w="6120130" h="0">
                              <a:moveTo>
                                <a:pt x="0" y="0"/>
                              </a:moveTo>
                              <a:lnTo>
                                <a:pt x="6120003"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6.036032pt;width:481.9pt;height:.1pt;mso-position-horizontal-relative:page;mso-position-vertical-relative:paragraph;z-index:-15659520;mso-wrap-distance-left:0;mso-wrap-distance-right:0" id="docshape249" coordorigin="1134,321" coordsize="9638,0" path="m1134,321l10772,321e" filled="false" stroked="true" strokeweight="1pt" strokecolor="#393b7f">
                <v:path arrowok="t"/>
                <v:stroke dashstyle="solid"/>
                <w10:wrap type="topAndBottom"/>
              </v:shape>
            </w:pict>
          </mc:Fallback>
        </mc:AlternateContent>
      </w:r>
    </w:p>
    <w:p>
      <w:pPr>
        <w:pStyle w:val="ListParagraph"/>
        <w:numPr>
          <w:ilvl w:val="0"/>
          <w:numId w:val="9"/>
        </w:numPr>
        <w:tabs>
          <w:tab w:pos="1853" w:val="left" w:leader="none"/>
        </w:tabs>
        <w:spacing w:line="235" w:lineRule="auto" w:before="147" w:after="0"/>
        <w:ind w:left="1853" w:right="1175" w:hanging="720"/>
        <w:jc w:val="left"/>
        <w:rPr>
          <w:sz w:val="18"/>
        </w:rPr>
      </w:pPr>
      <w:r>
        <w:rPr>
          <w:sz w:val="18"/>
        </w:rPr>
        <w:t>In</w:t>
      </w:r>
      <w:r>
        <w:rPr>
          <w:spacing w:val="-6"/>
          <w:sz w:val="18"/>
        </w:rPr>
        <w:t> </w:t>
      </w:r>
      <w:r>
        <w:rPr>
          <w:sz w:val="18"/>
        </w:rPr>
        <w:t>particular,</w:t>
      </w:r>
      <w:r>
        <w:rPr>
          <w:spacing w:val="-5"/>
          <w:sz w:val="18"/>
        </w:rPr>
        <w:t> </w:t>
      </w:r>
      <w:r>
        <w:rPr>
          <w:sz w:val="18"/>
        </w:rPr>
        <w:t>the</w:t>
      </w:r>
      <w:r>
        <w:rPr>
          <w:spacing w:val="-5"/>
          <w:sz w:val="18"/>
        </w:rPr>
        <w:t> </w:t>
      </w:r>
      <w:r>
        <w:rPr>
          <w:sz w:val="18"/>
        </w:rPr>
        <w:t>Commissions</w:t>
      </w:r>
      <w:r>
        <w:rPr>
          <w:spacing w:val="-6"/>
          <w:sz w:val="18"/>
        </w:rPr>
        <w:t> </w:t>
      </w:r>
      <w:r>
        <w:rPr>
          <w:sz w:val="18"/>
        </w:rPr>
        <w:t>advise</w:t>
      </w:r>
      <w:r>
        <w:rPr>
          <w:spacing w:val="-5"/>
          <w:sz w:val="18"/>
        </w:rPr>
        <w:t> </w:t>
      </w:r>
      <w:r>
        <w:rPr>
          <w:sz w:val="18"/>
        </w:rPr>
        <w:t>that,</w:t>
      </w:r>
      <w:r>
        <w:rPr>
          <w:spacing w:val="-5"/>
          <w:sz w:val="18"/>
        </w:rPr>
        <w:t> </w:t>
      </w:r>
      <w:r>
        <w:rPr>
          <w:sz w:val="18"/>
        </w:rPr>
        <w:t>apart</w:t>
      </w:r>
      <w:r>
        <w:rPr>
          <w:spacing w:val="-5"/>
          <w:sz w:val="18"/>
        </w:rPr>
        <w:t> </w:t>
      </w:r>
      <w:r>
        <w:rPr>
          <w:sz w:val="18"/>
        </w:rPr>
        <w:t>from</w:t>
      </w:r>
      <w:r>
        <w:rPr>
          <w:spacing w:val="-5"/>
          <w:sz w:val="18"/>
        </w:rPr>
        <w:t> </w:t>
      </w:r>
      <w:r>
        <w:rPr>
          <w:sz w:val="18"/>
        </w:rPr>
        <w:t>a</w:t>
      </w:r>
      <w:r>
        <w:rPr>
          <w:spacing w:val="-6"/>
          <w:sz w:val="18"/>
        </w:rPr>
        <w:t> </w:t>
      </w:r>
      <w:r>
        <w:rPr>
          <w:sz w:val="18"/>
        </w:rPr>
        <w:t>small</w:t>
      </w:r>
      <w:r>
        <w:rPr>
          <w:spacing w:val="-6"/>
          <w:sz w:val="18"/>
        </w:rPr>
        <w:t> </w:t>
      </w:r>
      <w:r>
        <w:rPr>
          <w:sz w:val="18"/>
        </w:rPr>
        <w:t>number</w:t>
      </w:r>
      <w:r>
        <w:rPr>
          <w:spacing w:val="-5"/>
          <w:sz w:val="18"/>
        </w:rPr>
        <w:t> </w:t>
      </w:r>
      <w:r>
        <w:rPr>
          <w:sz w:val="18"/>
        </w:rPr>
        <w:t>of</w:t>
      </w:r>
      <w:r>
        <w:rPr>
          <w:spacing w:val="-6"/>
          <w:sz w:val="18"/>
        </w:rPr>
        <w:t> </w:t>
      </w:r>
      <w:r>
        <w:rPr>
          <w:sz w:val="18"/>
        </w:rPr>
        <w:t>provisions</w:t>
      </w:r>
      <w:r>
        <w:rPr>
          <w:spacing w:val="-6"/>
          <w:sz w:val="18"/>
        </w:rPr>
        <w:t> </w:t>
      </w:r>
      <w:r>
        <w:rPr>
          <w:sz w:val="18"/>
        </w:rPr>
        <w:t>of</w:t>
      </w:r>
      <w:r>
        <w:rPr>
          <w:spacing w:val="-6"/>
          <w:sz w:val="18"/>
        </w:rPr>
        <w:t> </w:t>
      </w:r>
      <w:r>
        <w:rPr>
          <w:sz w:val="18"/>
        </w:rPr>
        <w:t>the</w:t>
      </w:r>
      <w:r>
        <w:rPr>
          <w:spacing w:val="-5"/>
          <w:sz w:val="18"/>
        </w:rPr>
        <w:t> </w:t>
      </w:r>
      <w:r>
        <w:rPr>
          <w:sz w:val="18"/>
        </w:rPr>
        <w:t>Pay</w:t>
      </w:r>
      <w:r>
        <w:rPr>
          <w:spacing w:val="-5"/>
          <w:sz w:val="18"/>
        </w:rPr>
        <w:t> </w:t>
      </w:r>
      <w:r>
        <w:rPr>
          <w:sz w:val="18"/>
        </w:rPr>
        <w:t>Transparency</w:t>
      </w:r>
      <w:r>
        <w:rPr>
          <w:spacing w:val="-5"/>
          <w:sz w:val="18"/>
        </w:rPr>
        <w:t> </w:t>
      </w:r>
      <w:r>
        <w:rPr>
          <w:sz w:val="18"/>
        </w:rPr>
        <w:t>Directive</w:t>
      </w:r>
      <w:r>
        <w:rPr>
          <w:spacing w:val="-5"/>
          <w:sz w:val="18"/>
        </w:rPr>
        <w:t> </w:t>
      </w:r>
      <w:r>
        <w:rPr>
          <w:sz w:val="18"/>
        </w:rPr>
        <w:t>that are no longer relevant now that the UK has left the EU, all other provisions of the Pay Transparency Directive are transposed into NI law by 7 June 2026.</w:t>
      </w:r>
    </w:p>
    <w:p>
      <w:pPr>
        <w:pStyle w:val="ListParagraph"/>
        <w:numPr>
          <w:ilvl w:val="0"/>
          <w:numId w:val="9"/>
        </w:numPr>
        <w:tabs>
          <w:tab w:pos="1853" w:val="left" w:leader="none"/>
        </w:tabs>
        <w:spacing w:line="235" w:lineRule="auto" w:before="2" w:after="0"/>
        <w:ind w:left="1853" w:right="1233" w:hanging="720"/>
        <w:jc w:val="left"/>
        <w:rPr>
          <w:sz w:val="18"/>
        </w:rPr>
      </w:pPr>
      <w:r>
        <w:rPr>
          <w:sz w:val="18"/>
        </w:rPr>
        <w:t>Equality Commission for NI, NI Human Rights Commission and Irish Human Rights and Equality Commission, ‘Policy Recommendations:</w:t>
      </w:r>
      <w:r>
        <w:rPr>
          <w:spacing w:val="-4"/>
          <w:sz w:val="18"/>
        </w:rPr>
        <w:t> </w:t>
      </w:r>
      <w:r>
        <w:rPr>
          <w:sz w:val="18"/>
        </w:rPr>
        <w:t>European</w:t>
      </w:r>
      <w:r>
        <w:rPr>
          <w:spacing w:val="-5"/>
          <w:sz w:val="18"/>
        </w:rPr>
        <w:t> </w:t>
      </w:r>
      <w:r>
        <w:rPr>
          <w:sz w:val="18"/>
        </w:rPr>
        <w:t>Union</w:t>
      </w:r>
      <w:r>
        <w:rPr>
          <w:spacing w:val="-5"/>
          <w:sz w:val="18"/>
        </w:rPr>
        <w:t> </w:t>
      </w:r>
      <w:r>
        <w:rPr>
          <w:sz w:val="18"/>
        </w:rPr>
        <w:t>developments</w:t>
      </w:r>
      <w:r>
        <w:rPr>
          <w:spacing w:val="-5"/>
          <w:sz w:val="18"/>
        </w:rPr>
        <w:t> </w:t>
      </w:r>
      <w:r>
        <w:rPr>
          <w:sz w:val="18"/>
        </w:rPr>
        <w:t>in</w:t>
      </w:r>
      <w:r>
        <w:rPr>
          <w:spacing w:val="-5"/>
          <w:sz w:val="18"/>
        </w:rPr>
        <w:t> </w:t>
      </w:r>
      <w:r>
        <w:rPr>
          <w:sz w:val="18"/>
        </w:rPr>
        <w:t>Equality</w:t>
      </w:r>
      <w:r>
        <w:rPr>
          <w:spacing w:val="-4"/>
          <w:sz w:val="18"/>
        </w:rPr>
        <w:t> </w:t>
      </w:r>
      <w:r>
        <w:rPr>
          <w:sz w:val="18"/>
        </w:rPr>
        <w:t>and</w:t>
      </w:r>
      <w:r>
        <w:rPr>
          <w:spacing w:val="-5"/>
          <w:sz w:val="18"/>
        </w:rPr>
        <w:t> </w:t>
      </w:r>
      <w:r>
        <w:rPr>
          <w:sz w:val="18"/>
        </w:rPr>
        <w:t>Human</w:t>
      </w:r>
      <w:r>
        <w:rPr>
          <w:spacing w:val="-5"/>
          <w:sz w:val="18"/>
        </w:rPr>
        <w:t> </w:t>
      </w:r>
      <w:r>
        <w:rPr>
          <w:sz w:val="18"/>
        </w:rPr>
        <w:t>Rights: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the</w:t>
      </w:r>
      <w:r>
        <w:rPr>
          <w:spacing w:val="-4"/>
          <w:sz w:val="18"/>
        </w:rPr>
        <w:t> </w:t>
      </w:r>
      <w:r>
        <w:rPr>
          <w:sz w:val="18"/>
        </w:rPr>
        <w:t>divergence of rights and best practice on the island of Ireland’ (ECNI, NIHRC and IHREC, 2023).</w:t>
      </w:r>
    </w:p>
    <w:p>
      <w:pPr>
        <w:pStyle w:val="ListParagraph"/>
        <w:numPr>
          <w:ilvl w:val="0"/>
          <w:numId w:val="9"/>
        </w:numPr>
        <w:tabs>
          <w:tab w:pos="1853" w:val="left" w:leader="none"/>
        </w:tabs>
        <w:spacing w:line="235" w:lineRule="auto" w:before="2" w:after="0"/>
        <w:ind w:left="1853" w:right="1410" w:hanging="720"/>
        <w:jc w:val="left"/>
        <w:rPr>
          <w:sz w:val="18"/>
        </w:rPr>
      </w:pPr>
      <w:r>
        <w:rPr>
          <w:sz w:val="18"/>
        </w:rPr>
        <w:t>Directive 2000/43/EC, ‘EU Council Directive on Implementing the Principle of Equal Treatment between Persons Irrespective</w:t>
      </w:r>
      <w:r>
        <w:rPr>
          <w:spacing w:val="-4"/>
          <w:sz w:val="18"/>
        </w:rPr>
        <w:t> </w:t>
      </w:r>
      <w:r>
        <w:rPr>
          <w:sz w:val="18"/>
        </w:rPr>
        <w:t>of</w:t>
      </w:r>
      <w:r>
        <w:rPr>
          <w:spacing w:val="-5"/>
          <w:sz w:val="18"/>
        </w:rPr>
        <w:t> </w:t>
      </w:r>
      <w:r>
        <w:rPr>
          <w:sz w:val="18"/>
        </w:rPr>
        <w:t>Racial</w:t>
      </w:r>
      <w:r>
        <w:rPr>
          <w:spacing w:val="-5"/>
          <w:sz w:val="18"/>
        </w:rPr>
        <w:t> </w:t>
      </w:r>
      <w:r>
        <w:rPr>
          <w:sz w:val="18"/>
        </w:rPr>
        <w:t>or</w:t>
      </w:r>
      <w:r>
        <w:rPr>
          <w:spacing w:val="-4"/>
          <w:sz w:val="18"/>
        </w:rPr>
        <w:t> </w:t>
      </w:r>
      <w:r>
        <w:rPr>
          <w:sz w:val="18"/>
        </w:rPr>
        <w:t>Ethnic</w:t>
      </w:r>
      <w:r>
        <w:rPr>
          <w:spacing w:val="-4"/>
          <w:sz w:val="18"/>
        </w:rPr>
        <w:t> </w:t>
      </w:r>
      <w:r>
        <w:rPr>
          <w:sz w:val="18"/>
        </w:rPr>
        <w:t>Origin’,</w:t>
      </w:r>
      <w:r>
        <w:rPr>
          <w:spacing w:val="-4"/>
          <w:sz w:val="18"/>
        </w:rPr>
        <w:t> </w:t>
      </w:r>
      <w:r>
        <w:rPr>
          <w:sz w:val="18"/>
        </w:rPr>
        <w:t>29</w:t>
      </w:r>
      <w:r>
        <w:rPr>
          <w:spacing w:val="-4"/>
          <w:sz w:val="18"/>
        </w:rPr>
        <w:t> </w:t>
      </w:r>
      <w:r>
        <w:rPr>
          <w:sz w:val="18"/>
        </w:rPr>
        <w:t>June</w:t>
      </w:r>
      <w:r>
        <w:rPr>
          <w:spacing w:val="-4"/>
          <w:sz w:val="18"/>
        </w:rPr>
        <w:t> </w:t>
      </w:r>
      <w:r>
        <w:rPr>
          <w:sz w:val="18"/>
        </w:rPr>
        <w:t>2000.</w:t>
      </w:r>
      <w:r>
        <w:rPr>
          <w:spacing w:val="32"/>
          <w:sz w:val="18"/>
        </w:rPr>
        <w:t> </w:t>
      </w:r>
      <w:r>
        <w:rPr>
          <w:sz w:val="18"/>
        </w:rPr>
        <w:t>Pursuant</w:t>
      </w:r>
      <w:r>
        <w:rPr>
          <w:spacing w:val="-4"/>
          <w:sz w:val="18"/>
        </w:rPr>
        <w:t> </w:t>
      </w:r>
      <w:r>
        <w:rPr>
          <w:sz w:val="18"/>
        </w:rPr>
        <w:t>to</w:t>
      </w:r>
      <w:r>
        <w:rPr>
          <w:spacing w:val="-5"/>
          <w:sz w:val="18"/>
        </w:rPr>
        <w:t> </w:t>
      </w:r>
      <w:r>
        <w:rPr>
          <w:sz w:val="18"/>
        </w:rPr>
        <w:t>Article</w:t>
      </w:r>
      <w:r>
        <w:rPr>
          <w:spacing w:val="-4"/>
          <w:sz w:val="18"/>
        </w:rPr>
        <w:t> </w:t>
      </w:r>
      <w:r>
        <w:rPr>
          <w:sz w:val="18"/>
        </w:rPr>
        <w:t>13,</w:t>
      </w:r>
      <w:r>
        <w:rPr>
          <w:spacing w:val="-4"/>
          <w:sz w:val="18"/>
        </w:rPr>
        <w:t> </w:t>
      </w:r>
      <w:r>
        <w:rPr>
          <w:sz w:val="18"/>
        </w:rPr>
        <w:t>Windsor</w:t>
      </w:r>
      <w:r>
        <w:rPr>
          <w:spacing w:val="-4"/>
          <w:sz w:val="18"/>
        </w:rPr>
        <w:t> </w:t>
      </w:r>
      <w:r>
        <w:rPr>
          <w:sz w:val="18"/>
        </w:rPr>
        <w:t>Framework,</w:t>
      </w:r>
      <w:r>
        <w:rPr>
          <w:spacing w:val="-4"/>
          <w:sz w:val="18"/>
        </w:rPr>
        <w:t> </w:t>
      </w:r>
      <w:r>
        <w:rPr>
          <w:sz w:val="18"/>
        </w:rPr>
        <w:t>NI</w:t>
      </w:r>
      <w:r>
        <w:rPr>
          <w:spacing w:val="-4"/>
          <w:sz w:val="18"/>
        </w:rPr>
        <w:t> </w:t>
      </w:r>
      <w:r>
        <w:rPr>
          <w:sz w:val="18"/>
        </w:rPr>
        <w:t>equality</w:t>
      </w:r>
      <w:r>
        <w:rPr>
          <w:spacing w:val="-4"/>
          <w:sz w:val="18"/>
        </w:rPr>
        <w:t> </w:t>
      </w:r>
      <w:r>
        <w:rPr>
          <w:sz w:val="18"/>
        </w:rPr>
        <w:t>law</w:t>
      </w:r>
      <w:r>
        <w:rPr>
          <w:spacing w:val="-4"/>
          <w:sz w:val="18"/>
        </w:rPr>
        <w:t> </w:t>
      </w:r>
      <w:r>
        <w:rPr>
          <w:sz w:val="18"/>
        </w:rPr>
        <w:t>must keep pace with any enhancements made by the EU to the six Annex 1 directives, on or after 1 January 2021, including monitoring current and future CJEU case law.</w:t>
      </w:r>
    </w:p>
    <w:p>
      <w:pPr>
        <w:pStyle w:val="ListParagraph"/>
        <w:numPr>
          <w:ilvl w:val="0"/>
          <w:numId w:val="9"/>
        </w:numPr>
        <w:tabs>
          <w:tab w:pos="1853" w:val="left" w:leader="none"/>
        </w:tabs>
        <w:spacing w:line="235" w:lineRule="auto" w:before="2" w:after="0"/>
        <w:ind w:left="1853" w:right="1289" w:hanging="720"/>
        <w:jc w:val="left"/>
        <w:rPr>
          <w:sz w:val="18"/>
        </w:rPr>
      </w:pPr>
      <w:r>
        <w:rPr>
          <w:sz w:val="18"/>
        </w:rPr>
        <w:t>CERD/C/GBR/CO/21-23, ‘Concluding Observations on the Twenty-first to Twenty-third Periodic Reports of United Kingdom’,</w:t>
      </w:r>
      <w:r>
        <w:rPr>
          <w:spacing w:val="-5"/>
          <w:sz w:val="18"/>
        </w:rPr>
        <w:t> </w:t>
      </w:r>
      <w:r>
        <w:rPr>
          <w:sz w:val="18"/>
        </w:rPr>
        <w:t>26</w:t>
      </w:r>
      <w:r>
        <w:rPr>
          <w:spacing w:val="-5"/>
          <w:sz w:val="18"/>
        </w:rPr>
        <w:t> </w:t>
      </w:r>
      <w:r>
        <w:rPr>
          <w:sz w:val="18"/>
        </w:rPr>
        <w:t>August</w:t>
      </w:r>
      <w:r>
        <w:rPr>
          <w:spacing w:val="-5"/>
          <w:sz w:val="18"/>
        </w:rPr>
        <w:t> </w:t>
      </w:r>
      <w:r>
        <w:rPr>
          <w:sz w:val="18"/>
        </w:rPr>
        <w:t>2016,</w:t>
      </w:r>
      <w:r>
        <w:rPr>
          <w:spacing w:val="-5"/>
          <w:sz w:val="18"/>
        </w:rPr>
        <w:t> </w:t>
      </w:r>
      <w:r>
        <w:rPr>
          <w:sz w:val="18"/>
        </w:rPr>
        <w:t>at</w:t>
      </w:r>
      <w:r>
        <w:rPr>
          <w:spacing w:val="-5"/>
          <w:sz w:val="18"/>
        </w:rPr>
        <w:t> </w:t>
      </w:r>
      <w:r>
        <w:rPr>
          <w:sz w:val="18"/>
        </w:rPr>
        <w:t>para</w:t>
      </w:r>
      <w:r>
        <w:rPr>
          <w:spacing w:val="-6"/>
          <w:sz w:val="18"/>
        </w:rPr>
        <w:t> </w:t>
      </w:r>
      <w:r>
        <w:rPr>
          <w:sz w:val="18"/>
        </w:rPr>
        <w:t>8(c).</w:t>
      </w:r>
      <w:r>
        <w:rPr>
          <w:spacing w:val="30"/>
          <w:sz w:val="18"/>
        </w:rPr>
        <w:t> </w:t>
      </w:r>
      <w:r>
        <w:rPr>
          <w:sz w:val="18"/>
        </w:rPr>
        <w:t>This</w:t>
      </w:r>
      <w:r>
        <w:rPr>
          <w:spacing w:val="-6"/>
          <w:sz w:val="18"/>
        </w:rPr>
        <w:t> </w:t>
      </w:r>
      <w:r>
        <w:rPr>
          <w:sz w:val="18"/>
        </w:rPr>
        <w:t>was</w:t>
      </w:r>
      <w:r>
        <w:rPr>
          <w:spacing w:val="-6"/>
          <w:sz w:val="18"/>
        </w:rPr>
        <w:t> </w:t>
      </w:r>
      <w:r>
        <w:rPr>
          <w:sz w:val="18"/>
        </w:rPr>
        <w:t>reiterated</w:t>
      </w:r>
      <w:r>
        <w:rPr>
          <w:spacing w:val="-6"/>
          <w:sz w:val="18"/>
        </w:rPr>
        <w:t> </w:t>
      </w:r>
      <w:r>
        <w:rPr>
          <w:sz w:val="18"/>
        </w:rPr>
        <w:t>by</w:t>
      </w:r>
      <w:r>
        <w:rPr>
          <w:spacing w:val="-5"/>
          <w:sz w:val="18"/>
        </w:rPr>
        <w:t> </w:t>
      </w:r>
      <w:r>
        <w:rPr>
          <w:sz w:val="18"/>
        </w:rPr>
        <w:t>UN</w:t>
      </w:r>
      <w:r>
        <w:rPr>
          <w:spacing w:val="-5"/>
          <w:sz w:val="18"/>
        </w:rPr>
        <w:t> </w:t>
      </w:r>
      <w:r>
        <w:rPr>
          <w:sz w:val="18"/>
        </w:rPr>
        <w:t>Special</w:t>
      </w:r>
      <w:r>
        <w:rPr>
          <w:spacing w:val="-6"/>
          <w:sz w:val="18"/>
        </w:rPr>
        <w:t> </w:t>
      </w:r>
      <w:r>
        <w:rPr>
          <w:sz w:val="18"/>
        </w:rPr>
        <w:t>Rapporteur</w:t>
      </w:r>
      <w:r>
        <w:rPr>
          <w:spacing w:val="-5"/>
          <w:sz w:val="18"/>
        </w:rPr>
        <w:t> </w:t>
      </w:r>
      <w:r>
        <w:rPr>
          <w:sz w:val="18"/>
        </w:rPr>
        <w:t>on</w:t>
      </w:r>
      <w:r>
        <w:rPr>
          <w:spacing w:val="-6"/>
          <w:sz w:val="18"/>
        </w:rPr>
        <w:t> </w:t>
      </w:r>
      <w:r>
        <w:rPr>
          <w:sz w:val="18"/>
        </w:rPr>
        <w:t>contemporary</w:t>
      </w:r>
      <w:r>
        <w:rPr>
          <w:spacing w:val="-5"/>
          <w:sz w:val="18"/>
        </w:rPr>
        <w:t> </w:t>
      </w:r>
      <w:r>
        <w:rPr>
          <w:sz w:val="18"/>
        </w:rPr>
        <w:t>forms</w:t>
      </w:r>
      <w:r>
        <w:rPr>
          <w:spacing w:val="-6"/>
          <w:sz w:val="18"/>
        </w:rPr>
        <w:t> </w:t>
      </w:r>
      <w:r>
        <w:rPr>
          <w:sz w:val="18"/>
        </w:rPr>
        <w:t>of</w:t>
      </w:r>
      <w:r>
        <w:rPr>
          <w:spacing w:val="-6"/>
          <w:sz w:val="18"/>
        </w:rPr>
        <w:t> </w:t>
      </w:r>
      <w:r>
        <w:rPr>
          <w:sz w:val="18"/>
        </w:rPr>
        <w:t>racism, E Tendayi Achiume when she visited in NI in 2018 (A/HRC/41/54/Add.2, ‘Report of the Special Rapporteur on Contemporary Forms of Racism, Racial Discrimination, Xenophobia and Related Intolerance: Visit to the UK of</w:t>
      </w:r>
    </w:p>
    <w:p>
      <w:pPr>
        <w:spacing w:line="219" w:lineRule="exact" w:before="0"/>
        <w:ind w:left="1853" w:right="0" w:firstLine="0"/>
        <w:jc w:val="left"/>
        <w:rPr>
          <w:sz w:val="18"/>
        </w:rPr>
      </w:pPr>
      <w:r>
        <w:rPr>
          <w:sz w:val="18"/>
        </w:rPr>
        <w:t>Great</w:t>
      </w:r>
      <w:r>
        <w:rPr>
          <w:spacing w:val="-7"/>
          <w:sz w:val="18"/>
        </w:rPr>
        <w:t> </w:t>
      </w:r>
      <w:r>
        <w:rPr>
          <w:sz w:val="18"/>
        </w:rPr>
        <w:t>Britain</w:t>
      </w:r>
      <w:r>
        <w:rPr>
          <w:spacing w:val="-5"/>
          <w:sz w:val="18"/>
        </w:rPr>
        <w:t> </w:t>
      </w:r>
      <w:r>
        <w:rPr>
          <w:sz w:val="18"/>
        </w:rPr>
        <w:t>and</w:t>
      </w:r>
      <w:r>
        <w:rPr>
          <w:spacing w:val="-6"/>
          <w:sz w:val="18"/>
        </w:rPr>
        <w:t> </w:t>
      </w:r>
      <w:r>
        <w:rPr>
          <w:sz w:val="18"/>
        </w:rPr>
        <w:t>NI’,</w:t>
      </w:r>
      <w:r>
        <w:rPr>
          <w:spacing w:val="-4"/>
          <w:sz w:val="18"/>
        </w:rPr>
        <w:t> </w:t>
      </w:r>
      <w:r>
        <w:rPr>
          <w:sz w:val="18"/>
        </w:rPr>
        <w:t>27</w:t>
      </w:r>
      <w:r>
        <w:rPr>
          <w:spacing w:val="-5"/>
          <w:sz w:val="18"/>
        </w:rPr>
        <w:t> </w:t>
      </w:r>
      <w:r>
        <w:rPr>
          <w:sz w:val="18"/>
        </w:rPr>
        <w:t>May</w:t>
      </w:r>
      <w:r>
        <w:rPr>
          <w:spacing w:val="-4"/>
          <w:sz w:val="18"/>
        </w:rPr>
        <w:t> </w:t>
      </w:r>
      <w:r>
        <w:rPr>
          <w:sz w:val="18"/>
        </w:rPr>
        <w:t>2019,</w:t>
      </w:r>
      <w:r>
        <w:rPr>
          <w:spacing w:val="-5"/>
          <w:sz w:val="18"/>
        </w:rPr>
        <w:t> </w:t>
      </w:r>
      <w:r>
        <w:rPr>
          <w:sz w:val="18"/>
        </w:rPr>
        <w:t>at</w:t>
      </w:r>
      <w:r>
        <w:rPr>
          <w:spacing w:val="-4"/>
          <w:sz w:val="18"/>
        </w:rPr>
        <w:t> </w:t>
      </w:r>
      <w:r>
        <w:rPr>
          <w:sz w:val="18"/>
        </w:rPr>
        <w:t>para</w:t>
      </w:r>
      <w:r>
        <w:rPr>
          <w:spacing w:val="-5"/>
          <w:sz w:val="18"/>
        </w:rPr>
        <w:t> </w:t>
      </w:r>
      <w:r>
        <w:rPr>
          <w:spacing w:val="-2"/>
          <w:sz w:val="18"/>
        </w:rPr>
        <w:t>74(f)).</w:t>
      </w:r>
    </w:p>
    <w:p>
      <w:pPr>
        <w:spacing w:after="0" w:line="219" w:lineRule="exact"/>
        <w:jc w:val="left"/>
        <w:rPr>
          <w:sz w:val="18"/>
        </w:rPr>
        <w:sectPr>
          <w:headerReference w:type="default" r:id="rId126"/>
          <w:headerReference w:type="even" r:id="rId127"/>
          <w:footerReference w:type="default" r:id="rId128"/>
          <w:footerReference w:type="even" r:id="rId129"/>
          <w:pgSz w:w="11910" w:h="16840"/>
          <w:pgMar w:header="496" w:footer="367" w:top="1220" w:bottom="560" w:left="0" w:right="0"/>
          <w:pgNumType w:start="61"/>
        </w:sectPr>
      </w:pPr>
    </w:p>
    <w:p>
      <w:pPr>
        <w:pStyle w:val="BodyText"/>
        <w:spacing w:before="198"/>
      </w:pPr>
    </w:p>
    <w:p>
      <w:pPr>
        <w:pStyle w:val="ListParagraph"/>
        <w:numPr>
          <w:ilvl w:val="1"/>
          <w:numId w:val="7"/>
        </w:numPr>
        <w:tabs>
          <w:tab w:pos="1853" w:val="left" w:leader="none"/>
        </w:tabs>
        <w:spacing w:line="225" w:lineRule="auto" w:before="0" w:after="0"/>
        <w:ind w:left="1853" w:right="1378" w:hanging="720"/>
        <w:jc w:val="left"/>
        <w:rPr>
          <w:sz w:val="28"/>
        </w:rPr>
      </w:pPr>
      <w:r>
        <w:rPr>
          <w:sz w:val="28"/>
        </w:rPr>
        <w:t>In</w:t>
      </w:r>
      <w:r>
        <w:rPr>
          <w:spacing w:val="-7"/>
          <w:sz w:val="28"/>
        </w:rPr>
        <w:t> </w:t>
      </w:r>
      <w:r>
        <w:rPr>
          <w:sz w:val="28"/>
        </w:rPr>
        <w:t>March</w:t>
      </w:r>
      <w:r>
        <w:rPr>
          <w:spacing w:val="-7"/>
          <w:sz w:val="28"/>
        </w:rPr>
        <w:t> </w:t>
      </w:r>
      <w:r>
        <w:rPr>
          <w:sz w:val="28"/>
        </w:rPr>
        <w:t>2023</w:t>
      </w:r>
      <w:r>
        <w:rPr>
          <w:spacing w:val="-6"/>
          <w:sz w:val="28"/>
        </w:rPr>
        <w:t> </w:t>
      </w:r>
      <w:r>
        <w:rPr>
          <w:sz w:val="28"/>
        </w:rPr>
        <w:t>the</w:t>
      </w:r>
      <w:r>
        <w:rPr>
          <w:spacing w:val="-6"/>
          <w:sz w:val="28"/>
        </w:rPr>
        <w:t> </w:t>
      </w:r>
      <w:r>
        <w:rPr>
          <w:sz w:val="28"/>
        </w:rPr>
        <w:t>ECNI</w:t>
      </w:r>
      <w:r>
        <w:rPr>
          <w:spacing w:val="-6"/>
          <w:sz w:val="28"/>
        </w:rPr>
        <w:t> </w:t>
      </w:r>
      <w:r>
        <w:rPr>
          <w:sz w:val="28"/>
        </w:rPr>
        <w:t>published</w:t>
      </w:r>
      <w:r>
        <w:rPr>
          <w:spacing w:val="-7"/>
          <w:sz w:val="28"/>
        </w:rPr>
        <w:t> </w:t>
      </w:r>
      <w:r>
        <w:rPr>
          <w:sz w:val="28"/>
        </w:rPr>
        <w:t>independently</w:t>
      </w:r>
      <w:r>
        <w:rPr>
          <w:spacing w:val="-6"/>
          <w:sz w:val="28"/>
        </w:rPr>
        <w:t> </w:t>
      </w:r>
      <w:r>
        <w:rPr>
          <w:sz w:val="28"/>
        </w:rPr>
        <w:t>commissioned</w:t>
      </w:r>
      <w:r>
        <w:rPr>
          <w:spacing w:val="-5"/>
          <w:sz w:val="28"/>
        </w:rPr>
        <w:t> </w:t>
      </w:r>
      <w:r>
        <w:rPr>
          <w:sz w:val="28"/>
        </w:rPr>
        <w:t>research</w:t>
      </w:r>
      <w:r>
        <w:rPr>
          <w:spacing w:val="-7"/>
          <w:sz w:val="28"/>
        </w:rPr>
        <w:t> </w:t>
      </w:r>
      <w:r>
        <w:rPr>
          <w:sz w:val="28"/>
        </w:rPr>
        <w:t>on the Impact of Brexit on Minority Ethnic and Migrant People.</w:t>
      </w:r>
      <w:r>
        <w:rPr>
          <w:sz w:val="28"/>
          <w:vertAlign w:val="superscript"/>
        </w:rPr>
        <w:t>273</w:t>
      </w:r>
      <w:r>
        <w:rPr>
          <w:sz w:val="28"/>
          <w:vertAlign w:val="baseline"/>
        </w:rPr>
        <w:t> Based on the research findings, and taking into account the views of stakeholders, policy recommendations were published by the ECNI in 2024.</w:t>
      </w:r>
      <w:r>
        <w:rPr>
          <w:sz w:val="28"/>
          <w:vertAlign w:val="superscript"/>
        </w:rPr>
        <w:t>274</w:t>
      </w:r>
    </w:p>
    <w:p>
      <w:pPr>
        <w:pStyle w:val="ListParagraph"/>
        <w:numPr>
          <w:ilvl w:val="1"/>
          <w:numId w:val="7"/>
        </w:numPr>
        <w:tabs>
          <w:tab w:pos="1853" w:val="left" w:leader="none"/>
        </w:tabs>
        <w:spacing w:line="225" w:lineRule="auto" w:before="315" w:after="0"/>
        <w:ind w:left="1853" w:right="1257" w:hanging="720"/>
        <w:jc w:val="left"/>
        <w:rPr>
          <w:sz w:val="28"/>
        </w:rPr>
      </w:pPr>
      <w:r>
        <w:rPr>
          <w:sz w:val="28"/>
        </w:rPr>
        <w:t>In</w:t>
      </w:r>
      <w:r>
        <w:rPr>
          <w:spacing w:val="-7"/>
          <w:sz w:val="28"/>
        </w:rPr>
        <w:t> </w:t>
      </w:r>
      <w:r>
        <w:rPr>
          <w:sz w:val="28"/>
        </w:rPr>
        <w:t>June</w:t>
      </w:r>
      <w:r>
        <w:rPr>
          <w:spacing w:val="-6"/>
          <w:sz w:val="28"/>
        </w:rPr>
        <w:t> </w:t>
      </w:r>
      <w:r>
        <w:rPr>
          <w:sz w:val="28"/>
        </w:rPr>
        <w:t>2023,</w:t>
      </w:r>
      <w:r>
        <w:rPr>
          <w:spacing w:val="-6"/>
          <w:sz w:val="28"/>
        </w:rPr>
        <w:t> </w:t>
      </w:r>
      <w:r>
        <w:rPr>
          <w:sz w:val="28"/>
        </w:rPr>
        <w:t>the</w:t>
      </w:r>
      <w:r>
        <w:rPr>
          <w:spacing w:val="-6"/>
          <w:sz w:val="28"/>
        </w:rPr>
        <w:t> </w:t>
      </w:r>
      <w:r>
        <w:rPr>
          <w:sz w:val="28"/>
        </w:rPr>
        <w:t>UN</w:t>
      </w:r>
      <w:r>
        <w:rPr>
          <w:spacing w:val="-6"/>
          <w:sz w:val="28"/>
        </w:rPr>
        <w:t> </w:t>
      </w:r>
      <w:r>
        <w:rPr>
          <w:sz w:val="28"/>
        </w:rPr>
        <w:t>CRC</w:t>
      </w:r>
      <w:r>
        <w:rPr>
          <w:spacing w:val="-7"/>
          <w:sz w:val="28"/>
        </w:rPr>
        <w:t> </w:t>
      </w:r>
      <w:r>
        <w:rPr>
          <w:sz w:val="28"/>
        </w:rPr>
        <w:t>Committee</w:t>
      </w:r>
      <w:r>
        <w:rPr>
          <w:spacing w:val="-6"/>
          <w:sz w:val="28"/>
        </w:rPr>
        <w:t> </w:t>
      </w:r>
      <w:r>
        <w:rPr>
          <w:sz w:val="28"/>
        </w:rPr>
        <w:t>recommended</w:t>
      </w:r>
      <w:r>
        <w:rPr>
          <w:spacing w:val="-7"/>
          <w:sz w:val="28"/>
        </w:rPr>
        <w:t> </w:t>
      </w:r>
      <w:r>
        <w:rPr>
          <w:sz w:val="28"/>
        </w:rPr>
        <w:t>that</w:t>
      </w:r>
      <w:r>
        <w:rPr>
          <w:spacing w:val="-6"/>
          <w:sz w:val="28"/>
        </w:rPr>
        <w:t> </w:t>
      </w:r>
      <w:r>
        <w:rPr>
          <w:sz w:val="28"/>
        </w:rPr>
        <w:t>the</w:t>
      </w:r>
      <w:r>
        <w:rPr>
          <w:spacing w:val="-6"/>
          <w:sz w:val="28"/>
        </w:rPr>
        <w:t> </w:t>
      </w:r>
      <w:r>
        <w:rPr>
          <w:sz w:val="28"/>
        </w:rPr>
        <w:t>UK</w:t>
      </w:r>
      <w:r>
        <w:rPr>
          <w:spacing w:val="-6"/>
          <w:sz w:val="28"/>
        </w:rPr>
        <w:t> </w:t>
      </w:r>
      <w:r>
        <w:rPr>
          <w:sz w:val="28"/>
        </w:rPr>
        <w:t>Government and NI Executive “address the overrepresentation of children belonging</w:t>
      </w:r>
    </w:p>
    <w:p>
      <w:pPr>
        <w:pStyle w:val="BodyText"/>
        <w:spacing w:line="225" w:lineRule="auto"/>
        <w:ind w:left="1853" w:right="1595"/>
      </w:pPr>
      <w:r>
        <w:rPr/>
        <w:t>to minority groups in detention and develop measures, in consultation with</w:t>
      </w:r>
      <w:r>
        <w:rPr>
          <w:spacing w:val="-9"/>
        </w:rPr>
        <w:t> </w:t>
      </w:r>
      <w:r>
        <w:rPr/>
        <w:t>affected</w:t>
      </w:r>
      <w:r>
        <w:rPr>
          <w:spacing w:val="-9"/>
        </w:rPr>
        <w:t> </w:t>
      </w:r>
      <w:r>
        <w:rPr/>
        <w:t>children</w:t>
      </w:r>
      <w:r>
        <w:rPr>
          <w:spacing w:val="-9"/>
        </w:rPr>
        <w:t> </w:t>
      </w:r>
      <w:r>
        <w:rPr/>
        <w:t>and</w:t>
      </w:r>
      <w:r>
        <w:rPr>
          <w:spacing w:val="-9"/>
        </w:rPr>
        <w:t> </w:t>
      </w:r>
      <w:r>
        <w:rPr/>
        <w:t>their</w:t>
      </w:r>
      <w:r>
        <w:rPr>
          <w:spacing w:val="-8"/>
        </w:rPr>
        <w:t> </w:t>
      </w:r>
      <w:r>
        <w:rPr/>
        <w:t>families,</w:t>
      </w:r>
      <w:r>
        <w:rPr>
          <w:spacing w:val="-8"/>
        </w:rPr>
        <w:t> </w:t>
      </w:r>
      <w:r>
        <w:rPr/>
        <w:t>to</w:t>
      </w:r>
      <w:r>
        <w:rPr>
          <w:spacing w:val="-9"/>
        </w:rPr>
        <w:t> </w:t>
      </w:r>
      <w:r>
        <w:rPr/>
        <w:t>prevent</w:t>
      </w:r>
      <w:r>
        <w:rPr>
          <w:spacing w:val="-8"/>
        </w:rPr>
        <w:t> </w:t>
      </w:r>
      <w:r>
        <w:rPr/>
        <w:t>racial</w:t>
      </w:r>
      <w:r>
        <w:rPr>
          <w:spacing w:val="-9"/>
        </w:rPr>
        <w:t> </w:t>
      </w:r>
      <w:r>
        <w:rPr/>
        <w:t>profiling</w:t>
      </w:r>
      <w:r>
        <w:rPr>
          <w:spacing w:val="-8"/>
        </w:rPr>
        <w:t> </w:t>
      </w:r>
      <w:r>
        <w:rPr/>
        <w:t>by</w:t>
      </w:r>
      <w:r>
        <w:rPr>
          <w:spacing w:val="-8"/>
        </w:rPr>
        <w:t> </w:t>
      </w:r>
      <w:r>
        <w:rPr/>
        <w:t>law enforcement authorities”.</w:t>
      </w:r>
      <w:r>
        <w:rPr>
          <w:vertAlign w:val="superscript"/>
        </w:rPr>
        <w:t>275</w:t>
      </w:r>
    </w:p>
    <w:p>
      <w:pPr>
        <w:pStyle w:val="ListParagraph"/>
        <w:numPr>
          <w:ilvl w:val="1"/>
          <w:numId w:val="7"/>
        </w:numPr>
        <w:tabs>
          <w:tab w:pos="1853" w:val="left" w:leader="none"/>
        </w:tabs>
        <w:spacing w:line="225" w:lineRule="auto" w:before="314" w:after="0"/>
        <w:ind w:left="1853" w:right="1739" w:hanging="720"/>
        <w:jc w:val="left"/>
        <w:rPr>
          <w:sz w:val="28"/>
        </w:rPr>
      </w:pPr>
      <w:r>
        <w:rPr>
          <w:sz w:val="28"/>
        </w:rPr>
        <w:t>In</w:t>
      </w:r>
      <w:r>
        <w:rPr>
          <w:spacing w:val="-5"/>
          <w:sz w:val="28"/>
        </w:rPr>
        <w:t> </w:t>
      </w:r>
      <w:r>
        <w:rPr>
          <w:sz w:val="28"/>
        </w:rPr>
        <w:t>May</w:t>
      </w:r>
      <w:r>
        <w:rPr>
          <w:spacing w:val="-4"/>
          <w:sz w:val="28"/>
        </w:rPr>
        <w:t> </w:t>
      </w:r>
      <w:r>
        <w:rPr>
          <w:sz w:val="28"/>
        </w:rPr>
        <w:t>2023,</w:t>
      </w:r>
      <w:r>
        <w:rPr>
          <w:spacing w:val="-4"/>
          <w:sz w:val="28"/>
        </w:rPr>
        <w:t> </w:t>
      </w:r>
      <w:r>
        <w:rPr>
          <w:sz w:val="28"/>
        </w:rPr>
        <w:t>both</w:t>
      </w:r>
      <w:r>
        <w:rPr>
          <w:spacing w:val="-5"/>
          <w:sz w:val="28"/>
        </w:rPr>
        <w:t> </w:t>
      </w:r>
      <w:r>
        <w:rPr>
          <w:sz w:val="28"/>
        </w:rPr>
        <w:t>Commissions</w:t>
      </w:r>
      <w:r>
        <w:rPr>
          <w:spacing w:val="-5"/>
          <w:sz w:val="28"/>
        </w:rPr>
        <w:t> </w:t>
      </w:r>
      <w:r>
        <w:rPr>
          <w:sz w:val="28"/>
        </w:rPr>
        <w:t>submitted</w:t>
      </w:r>
      <w:r>
        <w:rPr>
          <w:spacing w:val="-5"/>
          <w:sz w:val="28"/>
        </w:rPr>
        <w:t> </w:t>
      </w:r>
      <w:r>
        <w:rPr>
          <w:sz w:val="28"/>
        </w:rPr>
        <w:t>parallel</w:t>
      </w:r>
      <w:r>
        <w:rPr>
          <w:spacing w:val="-5"/>
          <w:sz w:val="28"/>
        </w:rPr>
        <w:t> </w:t>
      </w:r>
      <w:r>
        <w:rPr>
          <w:sz w:val="28"/>
        </w:rPr>
        <w:t>reports</w:t>
      </w:r>
      <w:r>
        <w:rPr>
          <w:spacing w:val="-5"/>
          <w:sz w:val="28"/>
        </w:rPr>
        <w:t> </w:t>
      </w:r>
      <w:r>
        <w:rPr>
          <w:sz w:val="28"/>
        </w:rPr>
        <w:t>to</w:t>
      </w:r>
      <w:r>
        <w:rPr>
          <w:spacing w:val="-5"/>
          <w:sz w:val="28"/>
        </w:rPr>
        <w:t> </w:t>
      </w:r>
      <w:r>
        <w:rPr>
          <w:sz w:val="28"/>
        </w:rPr>
        <w:t>the</w:t>
      </w:r>
      <w:r>
        <w:rPr>
          <w:spacing w:val="-4"/>
          <w:sz w:val="28"/>
        </w:rPr>
        <w:t> </w:t>
      </w:r>
      <w:r>
        <w:rPr>
          <w:sz w:val="28"/>
        </w:rPr>
        <w:t>Council of</w:t>
      </w:r>
      <w:r>
        <w:rPr>
          <w:spacing w:val="-7"/>
          <w:sz w:val="28"/>
        </w:rPr>
        <w:t> </w:t>
      </w:r>
      <w:r>
        <w:rPr>
          <w:sz w:val="28"/>
        </w:rPr>
        <w:t>Europe</w:t>
      </w:r>
      <w:r>
        <w:rPr>
          <w:spacing w:val="-7"/>
          <w:sz w:val="28"/>
        </w:rPr>
        <w:t> </w:t>
      </w:r>
      <w:r>
        <w:rPr>
          <w:sz w:val="28"/>
        </w:rPr>
        <w:t>(CoE)</w:t>
      </w:r>
      <w:r>
        <w:rPr>
          <w:spacing w:val="-7"/>
          <w:sz w:val="28"/>
        </w:rPr>
        <w:t> </w:t>
      </w:r>
      <w:r>
        <w:rPr>
          <w:sz w:val="28"/>
        </w:rPr>
        <w:t>European</w:t>
      </w:r>
      <w:r>
        <w:rPr>
          <w:spacing w:val="-7"/>
          <w:sz w:val="28"/>
        </w:rPr>
        <w:t> </w:t>
      </w:r>
      <w:r>
        <w:rPr>
          <w:sz w:val="28"/>
        </w:rPr>
        <w:t>Commission</w:t>
      </w:r>
      <w:r>
        <w:rPr>
          <w:spacing w:val="-7"/>
          <w:sz w:val="28"/>
        </w:rPr>
        <w:t> </w:t>
      </w:r>
      <w:r>
        <w:rPr>
          <w:sz w:val="28"/>
        </w:rPr>
        <w:t>against</w:t>
      </w:r>
      <w:r>
        <w:rPr>
          <w:spacing w:val="-7"/>
          <w:sz w:val="28"/>
        </w:rPr>
        <w:t> </w:t>
      </w:r>
      <w:r>
        <w:rPr>
          <w:sz w:val="28"/>
        </w:rPr>
        <w:t>Racism</w:t>
      </w:r>
      <w:r>
        <w:rPr>
          <w:spacing w:val="-7"/>
          <w:sz w:val="28"/>
        </w:rPr>
        <w:t> </w:t>
      </w:r>
      <w:r>
        <w:rPr>
          <w:sz w:val="28"/>
        </w:rPr>
        <w:t>and</w:t>
      </w:r>
      <w:r>
        <w:rPr>
          <w:spacing w:val="-7"/>
          <w:sz w:val="28"/>
        </w:rPr>
        <w:t> </w:t>
      </w:r>
      <w:r>
        <w:rPr>
          <w:sz w:val="28"/>
        </w:rPr>
        <w:t>Intolerance.</w:t>
      </w:r>
      <w:r>
        <w:rPr>
          <w:spacing w:val="-7"/>
          <w:sz w:val="28"/>
        </w:rPr>
        <w:t> </w:t>
      </w:r>
      <w:r>
        <w:rPr>
          <w:sz w:val="28"/>
        </w:rPr>
        <w:t>In</w:t>
      </w:r>
    </w:p>
    <w:p>
      <w:pPr>
        <w:pStyle w:val="BodyText"/>
        <w:spacing w:line="225" w:lineRule="auto"/>
        <w:ind w:left="1853" w:right="1171"/>
      </w:pPr>
      <w:r>
        <w:rPr/>
        <w:t>November</w:t>
      </w:r>
      <w:r>
        <w:rPr>
          <w:spacing w:val="-3"/>
        </w:rPr>
        <w:t> </w:t>
      </w:r>
      <w:r>
        <w:rPr/>
        <w:t>2023,</w:t>
      </w:r>
      <w:r>
        <w:rPr>
          <w:spacing w:val="-3"/>
        </w:rPr>
        <w:t> </w:t>
      </w:r>
      <w:r>
        <w:rPr/>
        <w:t>both</w:t>
      </w:r>
      <w:r>
        <w:rPr>
          <w:spacing w:val="-4"/>
        </w:rPr>
        <w:t> </w:t>
      </w:r>
      <w:r>
        <w:rPr/>
        <w:t>Commissions</w:t>
      </w:r>
      <w:r>
        <w:rPr>
          <w:spacing w:val="-4"/>
        </w:rPr>
        <w:t> </w:t>
      </w:r>
      <w:r>
        <w:rPr/>
        <w:t>met</w:t>
      </w:r>
      <w:r>
        <w:rPr>
          <w:spacing w:val="-3"/>
        </w:rPr>
        <w:t> </w:t>
      </w:r>
      <w:r>
        <w:rPr/>
        <w:t>with</w:t>
      </w:r>
      <w:r>
        <w:rPr>
          <w:spacing w:val="-4"/>
        </w:rPr>
        <w:t> </w:t>
      </w:r>
      <w:r>
        <w:rPr/>
        <w:t>the</w:t>
      </w:r>
      <w:r>
        <w:rPr>
          <w:spacing w:val="-3"/>
        </w:rPr>
        <w:t> </w:t>
      </w:r>
      <w:r>
        <w:rPr/>
        <w:t>CoE</w:t>
      </w:r>
      <w:r>
        <w:rPr>
          <w:spacing w:val="-4"/>
        </w:rPr>
        <w:t> </w:t>
      </w:r>
      <w:r>
        <w:rPr/>
        <w:t>Commission</w:t>
      </w:r>
      <w:r>
        <w:rPr>
          <w:spacing w:val="-4"/>
        </w:rPr>
        <w:t> </w:t>
      </w:r>
      <w:r>
        <w:rPr/>
        <w:t>as</w:t>
      </w:r>
      <w:r>
        <w:rPr>
          <w:spacing w:val="-4"/>
        </w:rPr>
        <w:t> </w:t>
      </w:r>
      <w:r>
        <w:rPr/>
        <w:t>part</w:t>
      </w:r>
      <w:r>
        <w:rPr>
          <w:spacing w:val="-3"/>
        </w:rPr>
        <w:t> </w:t>
      </w:r>
      <w:r>
        <w:rPr/>
        <w:t>of its country visit. The NIHRC identified the relevance of Windsor Framework Article 2 and raised concerns across a number of areas including inclusive education, migration, modern slavery and hate crime.</w:t>
      </w:r>
      <w:r>
        <w:rPr>
          <w:vertAlign w:val="superscript"/>
        </w:rPr>
        <w:t>276</w:t>
      </w:r>
      <w:r>
        <w:rPr>
          <w:vertAlign w:val="baseline"/>
        </w:rPr>
        <w:t> ECNI reiterated</w:t>
      </w:r>
    </w:p>
    <w:p>
      <w:pPr>
        <w:pStyle w:val="BodyText"/>
        <w:spacing w:line="225" w:lineRule="auto"/>
        <w:ind w:left="1853" w:right="1171"/>
      </w:pPr>
      <w:r>
        <w:rPr/>
        <w:t>the</w:t>
      </w:r>
      <w:r>
        <w:rPr>
          <w:spacing w:val="-7"/>
        </w:rPr>
        <w:t> </w:t>
      </w:r>
      <w:r>
        <w:rPr/>
        <w:t>continued</w:t>
      </w:r>
      <w:r>
        <w:rPr>
          <w:spacing w:val="-7"/>
        </w:rPr>
        <w:t> </w:t>
      </w:r>
      <w:r>
        <w:rPr/>
        <w:t>relevance</w:t>
      </w:r>
      <w:r>
        <w:rPr>
          <w:spacing w:val="-7"/>
        </w:rPr>
        <w:t> </w:t>
      </w:r>
      <w:r>
        <w:rPr/>
        <w:t>of</w:t>
      </w:r>
      <w:r>
        <w:rPr>
          <w:spacing w:val="-7"/>
        </w:rPr>
        <w:t> </w:t>
      </w:r>
      <w:r>
        <w:rPr/>
        <w:t>EU</w:t>
      </w:r>
      <w:r>
        <w:rPr>
          <w:spacing w:val="-7"/>
        </w:rPr>
        <w:t> </w:t>
      </w:r>
      <w:r>
        <w:rPr/>
        <w:t>legislative</w:t>
      </w:r>
      <w:r>
        <w:rPr>
          <w:spacing w:val="-7"/>
        </w:rPr>
        <w:t> </w:t>
      </w:r>
      <w:r>
        <w:rPr/>
        <w:t>developments</w:t>
      </w:r>
      <w:r>
        <w:rPr>
          <w:spacing w:val="-7"/>
        </w:rPr>
        <w:t> </w:t>
      </w:r>
      <w:r>
        <w:rPr/>
        <w:t>in</w:t>
      </w:r>
      <w:r>
        <w:rPr>
          <w:spacing w:val="-7"/>
        </w:rPr>
        <w:t> </w:t>
      </w:r>
      <w:r>
        <w:rPr/>
        <w:t>the</w:t>
      </w:r>
      <w:r>
        <w:rPr>
          <w:spacing w:val="-7"/>
        </w:rPr>
        <w:t> </w:t>
      </w:r>
      <w:r>
        <w:rPr/>
        <w:t>area</w:t>
      </w:r>
      <w:r>
        <w:rPr>
          <w:spacing w:val="-7"/>
        </w:rPr>
        <w:t> </w:t>
      </w:r>
      <w:r>
        <w:rPr/>
        <w:t>of</w:t>
      </w:r>
      <w:r>
        <w:rPr>
          <w:spacing w:val="-7"/>
        </w:rPr>
        <w:t> </w:t>
      </w:r>
      <w:r>
        <w:rPr/>
        <w:t>racial equality for NI under Article 2 commitments, as well as the findings of its commissioned research into the Impact of Brexit on Minority Ethnic and Migrant People in NI.</w:t>
      </w:r>
      <w:r>
        <w:rPr>
          <w:vertAlign w:val="superscript"/>
        </w:rPr>
        <w:t>277</w:t>
      </w:r>
    </w:p>
    <w:p>
      <w:pPr>
        <w:pStyle w:val="ListParagraph"/>
        <w:numPr>
          <w:ilvl w:val="1"/>
          <w:numId w:val="7"/>
        </w:numPr>
        <w:tabs>
          <w:tab w:pos="1853" w:val="left" w:leader="none"/>
        </w:tabs>
        <w:spacing w:line="225" w:lineRule="auto" w:before="307" w:after="0"/>
        <w:ind w:left="1853" w:right="1139" w:hanging="720"/>
        <w:jc w:val="left"/>
        <w:rPr>
          <w:sz w:val="28"/>
        </w:rPr>
      </w:pPr>
      <w:r>
        <w:rPr>
          <w:sz w:val="28"/>
        </w:rPr>
        <w:t>In November 2023, the NIHRC published research on the rights of refugees, asylum-seekers</w:t>
      </w:r>
      <w:r>
        <w:rPr>
          <w:spacing w:val="-14"/>
          <w:sz w:val="28"/>
        </w:rPr>
        <w:t> </w:t>
      </w:r>
      <w:r>
        <w:rPr>
          <w:sz w:val="28"/>
        </w:rPr>
        <w:t>and</w:t>
      </w:r>
      <w:r>
        <w:rPr>
          <w:spacing w:val="-14"/>
          <w:sz w:val="28"/>
        </w:rPr>
        <w:t> </w:t>
      </w:r>
      <w:r>
        <w:rPr>
          <w:sz w:val="28"/>
        </w:rPr>
        <w:t>migrants</w:t>
      </w:r>
      <w:r>
        <w:rPr>
          <w:spacing w:val="-14"/>
          <w:sz w:val="28"/>
        </w:rPr>
        <w:t> </w:t>
      </w:r>
      <w:r>
        <w:rPr>
          <w:sz w:val="28"/>
        </w:rPr>
        <w:t>post-Brexit.</w:t>
      </w:r>
      <w:r>
        <w:rPr>
          <w:sz w:val="28"/>
          <w:vertAlign w:val="superscript"/>
        </w:rPr>
        <w:t>278</w:t>
      </w:r>
      <w:r>
        <w:rPr>
          <w:spacing w:val="-14"/>
          <w:sz w:val="28"/>
          <w:vertAlign w:val="baseline"/>
        </w:rPr>
        <w:t> </w:t>
      </w:r>
      <w:r>
        <w:rPr>
          <w:sz w:val="28"/>
          <w:vertAlign w:val="baseline"/>
        </w:rPr>
        <w:t>The</w:t>
      </w:r>
      <w:r>
        <w:rPr>
          <w:spacing w:val="-13"/>
          <w:sz w:val="28"/>
          <w:vertAlign w:val="baseline"/>
        </w:rPr>
        <w:t> </w:t>
      </w:r>
      <w:r>
        <w:rPr>
          <w:sz w:val="28"/>
          <w:vertAlign w:val="baseline"/>
        </w:rPr>
        <w:t>paper</w:t>
      </w:r>
      <w:r>
        <w:rPr>
          <w:spacing w:val="-13"/>
          <w:sz w:val="28"/>
          <w:vertAlign w:val="baseline"/>
        </w:rPr>
        <w:t> </w:t>
      </w:r>
      <w:r>
        <w:rPr>
          <w:sz w:val="28"/>
          <w:vertAlign w:val="baseline"/>
        </w:rPr>
        <w:t>found</w:t>
      </w:r>
      <w:r>
        <w:rPr>
          <w:spacing w:val="-14"/>
          <w:sz w:val="28"/>
          <w:vertAlign w:val="baseline"/>
        </w:rPr>
        <w:t> </w:t>
      </w:r>
      <w:r>
        <w:rPr>
          <w:sz w:val="28"/>
          <w:vertAlign w:val="baseline"/>
        </w:rPr>
        <w:t>that</w:t>
      </w:r>
      <w:r>
        <w:rPr>
          <w:spacing w:val="-13"/>
          <w:sz w:val="28"/>
          <w:vertAlign w:val="baseline"/>
        </w:rPr>
        <w:t> </w:t>
      </w:r>
      <w:r>
        <w:rPr>
          <w:sz w:val="28"/>
          <w:vertAlign w:val="baseline"/>
        </w:rPr>
        <w:t>refugees</w:t>
      </w:r>
      <w:r>
        <w:rPr>
          <w:spacing w:val="-14"/>
          <w:sz w:val="28"/>
          <w:vertAlign w:val="baseline"/>
        </w:rPr>
        <w:t> </w:t>
      </w:r>
      <w:r>
        <w:rPr>
          <w:sz w:val="28"/>
          <w:vertAlign w:val="baseline"/>
        </w:rPr>
        <w:t>and asylum seekers are protected by Windsor Framework Article 2 and identified relevant EU law which underpins the non-diminution commitment. It also</w:t>
      </w:r>
      <w:r>
        <w:rPr>
          <w:sz w:val="28"/>
          <w:vertAlign w:val="baseline"/>
        </w:rPr>
        <w:t> used the Nationality and Borders Act 2022 and the Illegal Migration Act 2023 to</w:t>
      </w:r>
      <w:r>
        <w:rPr>
          <w:spacing w:val="-2"/>
          <w:sz w:val="28"/>
          <w:vertAlign w:val="baseline"/>
        </w:rPr>
        <w:t> </w:t>
      </w:r>
      <w:r>
        <w:rPr>
          <w:sz w:val="28"/>
          <w:vertAlign w:val="baseline"/>
        </w:rPr>
        <w:t>illustrate</w:t>
      </w:r>
      <w:r>
        <w:rPr>
          <w:spacing w:val="-1"/>
          <w:sz w:val="28"/>
          <w:vertAlign w:val="baseline"/>
        </w:rPr>
        <w:t> </w:t>
      </w:r>
      <w:r>
        <w:rPr>
          <w:sz w:val="28"/>
          <w:vertAlign w:val="baseline"/>
        </w:rPr>
        <w:t>the</w:t>
      </w:r>
      <w:r>
        <w:rPr>
          <w:spacing w:val="-1"/>
          <w:sz w:val="28"/>
          <w:vertAlign w:val="baseline"/>
        </w:rPr>
        <w:t> </w:t>
      </w:r>
      <w:r>
        <w:rPr>
          <w:sz w:val="28"/>
          <w:vertAlign w:val="baseline"/>
        </w:rPr>
        <w:t>factors</w:t>
      </w:r>
      <w:r>
        <w:rPr>
          <w:spacing w:val="-2"/>
          <w:sz w:val="28"/>
          <w:vertAlign w:val="baseline"/>
        </w:rPr>
        <w:t> </w:t>
      </w:r>
      <w:r>
        <w:rPr>
          <w:sz w:val="28"/>
          <w:vertAlign w:val="baseline"/>
        </w:rPr>
        <w:t>that</w:t>
      </w:r>
      <w:r>
        <w:rPr>
          <w:spacing w:val="-1"/>
          <w:sz w:val="28"/>
          <w:vertAlign w:val="baseline"/>
        </w:rPr>
        <w:t> </w:t>
      </w:r>
      <w:r>
        <w:rPr>
          <w:sz w:val="28"/>
          <w:vertAlign w:val="baseline"/>
        </w:rPr>
        <w:t>must</w:t>
      </w:r>
      <w:r>
        <w:rPr>
          <w:spacing w:val="-1"/>
          <w:sz w:val="28"/>
          <w:vertAlign w:val="baseline"/>
        </w:rPr>
        <w:t> </w:t>
      </w:r>
      <w:r>
        <w:rPr>
          <w:sz w:val="28"/>
          <w:vertAlign w:val="baseline"/>
        </w:rPr>
        <w:t>be</w:t>
      </w:r>
      <w:r>
        <w:rPr>
          <w:spacing w:val="-1"/>
          <w:sz w:val="28"/>
          <w:vertAlign w:val="baseline"/>
        </w:rPr>
        <w:t> </w:t>
      </w:r>
      <w:r>
        <w:rPr>
          <w:sz w:val="28"/>
          <w:vertAlign w:val="baseline"/>
        </w:rPr>
        <w:t>taken</w:t>
      </w:r>
      <w:r>
        <w:rPr>
          <w:spacing w:val="-2"/>
          <w:sz w:val="28"/>
          <w:vertAlign w:val="baseline"/>
        </w:rPr>
        <w:t> </w:t>
      </w:r>
      <w:r>
        <w:rPr>
          <w:sz w:val="28"/>
          <w:vertAlign w:val="baseline"/>
        </w:rPr>
        <w:t>into</w:t>
      </w:r>
      <w:r>
        <w:rPr>
          <w:spacing w:val="-2"/>
          <w:sz w:val="28"/>
          <w:vertAlign w:val="baseline"/>
        </w:rPr>
        <w:t> </w:t>
      </w:r>
      <w:r>
        <w:rPr>
          <w:sz w:val="28"/>
          <w:vertAlign w:val="baseline"/>
        </w:rPr>
        <w:t>consideration</w:t>
      </w:r>
      <w:r>
        <w:rPr>
          <w:spacing w:val="-2"/>
          <w:sz w:val="28"/>
          <w:vertAlign w:val="baseline"/>
        </w:rPr>
        <w:t> </w:t>
      </w:r>
      <w:r>
        <w:rPr>
          <w:sz w:val="28"/>
          <w:vertAlign w:val="baseline"/>
        </w:rPr>
        <w:t>when</w:t>
      </w:r>
      <w:r>
        <w:rPr>
          <w:spacing w:val="-2"/>
          <w:sz w:val="28"/>
          <w:vertAlign w:val="baseline"/>
        </w:rPr>
        <w:t> </w:t>
      </w:r>
      <w:r>
        <w:rPr>
          <w:sz w:val="28"/>
          <w:vertAlign w:val="baseline"/>
        </w:rPr>
        <w:t>seeking</w:t>
      </w:r>
      <w:r>
        <w:rPr>
          <w:spacing w:val="-1"/>
          <w:sz w:val="28"/>
          <w:vertAlign w:val="baseline"/>
        </w:rPr>
        <w:t> </w:t>
      </w:r>
      <w:r>
        <w:rPr>
          <w:sz w:val="28"/>
          <w:vertAlign w:val="baseline"/>
        </w:rPr>
        <w:t>to determine whether there has been a diminution of rights contrary to</w:t>
      </w:r>
    </w:p>
    <w:p>
      <w:pPr>
        <w:pStyle w:val="BodyText"/>
        <w:spacing w:line="317" w:lineRule="exact"/>
        <w:ind w:left="1853"/>
      </w:pPr>
      <w:r>
        <w:rPr/>
        <w:t>Article</w:t>
      </w:r>
      <w:r>
        <w:rPr>
          <w:spacing w:val="-8"/>
        </w:rPr>
        <w:t> </w:t>
      </w:r>
      <w:r>
        <w:rPr>
          <w:spacing w:val="-4"/>
        </w:rPr>
        <w:t>2.</w:t>
      </w:r>
      <w:r>
        <w:rPr>
          <w:spacing w:val="-4"/>
          <w:vertAlign w:val="superscript"/>
        </w:rPr>
        <w:t>279</w:t>
      </w:r>
    </w:p>
    <w:p>
      <w:pPr>
        <w:pStyle w:val="ListParagraph"/>
        <w:numPr>
          <w:ilvl w:val="1"/>
          <w:numId w:val="7"/>
        </w:numPr>
        <w:tabs>
          <w:tab w:pos="1853" w:val="left" w:leader="none"/>
        </w:tabs>
        <w:spacing w:line="225" w:lineRule="auto" w:before="314" w:after="0"/>
        <w:ind w:left="1853" w:right="1256" w:hanging="720"/>
        <w:jc w:val="left"/>
        <w:rPr>
          <w:sz w:val="28"/>
        </w:rPr>
      </w:pPr>
      <w:r>
        <w:rPr>
          <w:sz w:val="28"/>
        </w:rPr>
        <w:t>In November 2023, the NIHRC also published a legal analysis of immigration or related rights and equality protections in NI after Brexit, which explored which migration or related rights, if any, will be covered by potential future developments</w:t>
      </w:r>
      <w:r>
        <w:rPr>
          <w:spacing w:val="-6"/>
          <w:sz w:val="28"/>
        </w:rPr>
        <w:t> </w:t>
      </w:r>
      <w:r>
        <w:rPr>
          <w:sz w:val="28"/>
        </w:rPr>
        <w:t>of</w:t>
      </w:r>
      <w:r>
        <w:rPr>
          <w:spacing w:val="-6"/>
          <w:sz w:val="28"/>
        </w:rPr>
        <w:t> </w:t>
      </w:r>
      <w:r>
        <w:rPr>
          <w:sz w:val="28"/>
        </w:rPr>
        <w:t>the</w:t>
      </w:r>
      <w:r>
        <w:rPr>
          <w:spacing w:val="-5"/>
          <w:sz w:val="28"/>
        </w:rPr>
        <w:t> </w:t>
      </w:r>
      <w:r>
        <w:rPr>
          <w:sz w:val="28"/>
        </w:rPr>
        <w:t>six</w:t>
      </w:r>
      <w:r>
        <w:rPr>
          <w:spacing w:val="-6"/>
          <w:sz w:val="28"/>
        </w:rPr>
        <w:t> </w:t>
      </w:r>
      <w:r>
        <w:rPr>
          <w:sz w:val="28"/>
        </w:rPr>
        <w:t>EU</w:t>
      </w:r>
      <w:r>
        <w:rPr>
          <w:spacing w:val="-5"/>
          <w:sz w:val="28"/>
        </w:rPr>
        <w:t> </w:t>
      </w:r>
      <w:r>
        <w:rPr>
          <w:sz w:val="28"/>
        </w:rPr>
        <w:t>Annex</w:t>
      </w:r>
      <w:r>
        <w:rPr>
          <w:spacing w:val="-6"/>
          <w:sz w:val="28"/>
        </w:rPr>
        <w:t> </w:t>
      </w:r>
      <w:r>
        <w:rPr>
          <w:sz w:val="28"/>
        </w:rPr>
        <w:t>1</w:t>
      </w:r>
      <w:r>
        <w:rPr>
          <w:spacing w:val="-5"/>
          <w:sz w:val="28"/>
        </w:rPr>
        <w:t> </w:t>
      </w:r>
      <w:r>
        <w:rPr>
          <w:sz w:val="28"/>
        </w:rPr>
        <w:t>equality</w:t>
      </w:r>
      <w:r>
        <w:rPr>
          <w:spacing w:val="-5"/>
          <w:sz w:val="28"/>
        </w:rPr>
        <w:t> </w:t>
      </w:r>
      <w:r>
        <w:rPr>
          <w:sz w:val="28"/>
        </w:rPr>
        <w:t>directives.</w:t>
      </w:r>
      <w:r>
        <w:rPr>
          <w:spacing w:val="-6"/>
          <w:sz w:val="28"/>
        </w:rPr>
        <w:t> </w:t>
      </w:r>
      <w:r>
        <w:rPr>
          <w:sz w:val="28"/>
        </w:rPr>
        <w:t>This</w:t>
      </w:r>
      <w:r>
        <w:rPr>
          <w:spacing w:val="-6"/>
          <w:sz w:val="28"/>
        </w:rPr>
        <w:t> </w:t>
      </w:r>
      <w:r>
        <w:rPr>
          <w:sz w:val="28"/>
        </w:rPr>
        <w:t>analysis</w:t>
      </w:r>
      <w:r>
        <w:rPr>
          <w:spacing w:val="-6"/>
          <w:sz w:val="28"/>
        </w:rPr>
        <w:t> </w:t>
      </w:r>
      <w:r>
        <w:rPr>
          <w:sz w:val="28"/>
        </w:rPr>
        <w:t>included</w:t>
      </w:r>
    </w:p>
    <w:p>
      <w:pPr>
        <w:pStyle w:val="BodyText"/>
        <w:spacing w:before="199"/>
        <w:rPr>
          <w:sz w:val="20"/>
        </w:rPr>
      </w:pPr>
      <w:r>
        <w:rPr/>
        <mc:AlternateContent>
          <mc:Choice Requires="wps">
            <w:drawing>
              <wp:anchor distT="0" distB="0" distL="0" distR="0" allowOverlap="1" layoutInCell="1" locked="0" behindDoc="1" simplePos="0" relativeHeight="487657472">
                <wp:simplePos x="0" y="0"/>
                <wp:positionH relativeFrom="page">
                  <wp:posOffset>719999</wp:posOffset>
                </wp:positionH>
                <wp:positionV relativeFrom="paragraph">
                  <wp:posOffset>297124</wp:posOffset>
                </wp:positionV>
                <wp:extent cx="6120130" cy="1270"/>
                <wp:effectExtent l="0" t="0" r="0" b="0"/>
                <wp:wrapTopAndBottom/>
                <wp:docPr id="298" name="Graphic 298"/>
                <wp:cNvGraphicFramePr>
                  <a:graphicFrameLocks/>
                </wp:cNvGraphicFramePr>
                <a:graphic>
                  <a:graphicData uri="http://schemas.microsoft.com/office/word/2010/wordprocessingShape">
                    <wps:wsp>
                      <wps:cNvPr id="298" name="Graphic 298"/>
                      <wps:cNvSpPr/>
                      <wps:spPr>
                        <a:xfrm>
                          <a:off x="0" y="0"/>
                          <a:ext cx="6120130" cy="1270"/>
                        </a:xfrm>
                        <a:custGeom>
                          <a:avLst/>
                          <a:gdLst/>
                          <a:ahLst/>
                          <a:cxnLst/>
                          <a:rect l="l" t="t" r="r" b="b"/>
                          <a:pathLst>
                            <a:path w="6120130" h="0">
                              <a:moveTo>
                                <a:pt x="0" y="0"/>
                              </a:moveTo>
                              <a:lnTo>
                                <a:pt x="6120003"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23.395596pt;width:481.9pt;height:.1pt;mso-position-horizontal-relative:page;mso-position-vertical-relative:paragraph;z-index:-15659008;mso-wrap-distance-left:0;mso-wrap-distance-right:0" id="docshape250" coordorigin="1134,468" coordsize="9638,0" path="m1134,468l10772,468e" filled="false" stroked="true" strokeweight="1pt" strokecolor="#393b7f">
                <v:path arrowok="t"/>
                <v:stroke dashstyle="solid"/>
                <w10:wrap type="topAndBottom"/>
              </v:shape>
            </w:pict>
          </mc:Fallback>
        </mc:AlternateContent>
      </w:r>
    </w:p>
    <w:p>
      <w:pPr>
        <w:pStyle w:val="ListParagraph"/>
        <w:numPr>
          <w:ilvl w:val="0"/>
          <w:numId w:val="9"/>
        </w:numPr>
        <w:tabs>
          <w:tab w:pos="1853" w:val="left" w:leader="none"/>
        </w:tabs>
        <w:spacing w:line="218" w:lineRule="exact" w:before="132" w:after="0"/>
        <w:ind w:left="1853" w:right="0" w:hanging="720"/>
        <w:jc w:val="left"/>
        <w:rPr>
          <w:sz w:val="18"/>
        </w:rPr>
      </w:pPr>
      <w:r>
        <w:rPr>
          <w:sz w:val="18"/>
        </w:rPr>
        <w:t>Pivotal,</w:t>
      </w:r>
      <w:r>
        <w:rPr>
          <w:spacing w:val="-6"/>
          <w:sz w:val="18"/>
        </w:rPr>
        <w:t> </w:t>
      </w:r>
      <w:r>
        <w:rPr>
          <w:sz w:val="18"/>
        </w:rPr>
        <w:t>‘</w:t>
      </w:r>
      <w:hyperlink r:id="rId130">
        <w:r>
          <w:rPr>
            <w:sz w:val="18"/>
          </w:rPr>
          <w:t>Impact</w:t>
        </w:r>
        <w:r>
          <w:rPr>
            <w:spacing w:val="-3"/>
            <w:sz w:val="18"/>
          </w:rPr>
          <w:t> </w:t>
        </w:r>
        <w:r>
          <w:rPr>
            <w:sz w:val="18"/>
          </w:rPr>
          <w:t>of</w:t>
        </w:r>
        <w:r>
          <w:rPr>
            <w:spacing w:val="-4"/>
            <w:sz w:val="18"/>
          </w:rPr>
          <w:t> </w:t>
        </w:r>
        <w:r>
          <w:rPr>
            <w:sz w:val="18"/>
          </w:rPr>
          <w:t>Brexit</w:t>
        </w:r>
        <w:r>
          <w:rPr>
            <w:spacing w:val="-3"/>
            <w:sz w:val="18"/>
          </w:rPr>
          <w:t> </w:t>
        </w:r>
        <w:r>
          <w:rPr>
            <w:sz w:val="18"/>
          </w:rPr>
          <w:t>on</w:t>
        </w:r>
        <w:r>
          <w:rPr>
            <w:spacing w:val="-5"/>
            <w:sz w:val="18"/>
          </w:rPr>
          <w:t> </w:t>
        </w:r>
        <w:r>
          <w:rPr>
            <w:sz w:val="18"/>
          </w:rPr>
          <w:t>minority</w:t>
        </w:r>
        <w:r>
          <w:rPr>
            <w:spacing w:val="-3"/>
            <w:sz w:val="18"/>
          </w:rPr>
          <w:t> </w:t>
        </w:r>
        <w:r>
          <w:rPr>
            <w:sz w:val="18"/>
          </w:rPr>
          <w:t>ethnic</w:t>
        </w:r>
        <w:r>
          <w:rPr>
            <w:spacing w:val="-3"/>
            <w:sz w:val="18"/>
          </w:rPr>
          <w:t> </w:t>
        </w:r>
        <w:r>
          <w:rPr>
            <w:sz w:val="18"/>
          </w:rPr>
          <w:t>and</w:t>
        </w:r>
        <w:r>
          <w:rPr>
            <w:spacing w:val="-4"/>
            <w:sz w:val="18"/>
          </w:rPr>
          <w:t> </w:t>
        </w:r>
        <w:r>
          <w:rPr>
            <w:sz w:val="18"/>
          </w:rPr>
          <w:t>migrant</w:t>
        </w:r>
        <w:r>
          <w:rPr>
            <w:spacing w:val="-3"/>
            <w:sz w:val="18"/>
          </w:rPr>
          <w:t> </w:t>
        </w:r>
        <w:r>
          <w:rPr>
            <w:sz w:val="18"/>
          </w:rPr>
          <w:t>people</w:t>
        </w:r>
        <w:r>
          <w:rPr>
            <w:spacing w:val="-4"/>
            <w:sz w:val="18"/>
          </w:rPr>
          <w:t> </w:t>
        </w:r>
        <w:r>
          <w:rPr>
            <w:sz w:val="18"/>
          </w:rPr>
          <w:t>in</w:t>
        </w:r>
        <w:r>
          <w:rPr>
            <w:spacing w:val="-4"/>
            <w:sz w:val="18"/>
          </w:rPr>
          <w:t> </w:t>
        </w:r>
        <w:r>
          <w:rPr>
            <w:sz w:val="18"/>
          </w:rPr>
          <w:t>Northern</w:t>
        </w:r>
        <w:r>
          <w:rPr>
            <w:spacing w:val="-4"/>
            <w:sz w:val="18"/>
          </w:rPr>
          <w:t> </w:t>
        </w:r>
        <w:r>
          <w:rPr>
            <w:sz w:val="18"/>
          </w:rPr>
          <w:t>Ireland</w:t>
        </w:r>
      </w:hyperlink>
      <w:r>
        <w:rPr>
          <w:sz w:val="18"/>
        </w:rPr>
        <w:t>’</w:t>
      </w:r>
      <w:r>
        <w:rPr>
          <w:spacing w:val="-4"/>
          <w:sz w:val="18"/>
        </w:rPr>
        <w:t> </w:t>
      </w:r>
      <w:r>
        <w:rPr>
          <w:sz w:val="18"/>
        </w:rPr>
        <w:t>(ECNI,</w:t>
      </w:r>
      <w:r>
        <w:rPr>
          <w:spacing w:val="-3"/>
          <w:sz w:val="18"/>
        </w:rPr>
        <w:t> </w:t>
      </w:r>
      <w:r>
        <w:rPr>
          <w:spacing w:val="-2"/>
          <w:sz w:val="18"/>
        </w:rPr>
        <w:t>2023).</w:t>
      </w:r>
    </w:p>
    <w:p>
      <w:pPr>
        <w:pStyle w:val="ListParagraph"/>
        <w:numPr>
          <w:ilvl w:val="0"/>
          <w:numId w:val="9"/>
        </w:numPr>
        <w:tabs>
          <w:tab w:pos="1853" w:val="left" w:leader="none"/>
        </w:tabs>
        <w:spacing w:line="235" w:lineRule="auto" w:before="2" w:after="0"/>
        <w:ind w:left="1853" w:right="1259" w:hanging="720"/>
        <w:jc w:val="left"/>
        <w:rPr>
          <w:sz w:val="18"/>
        </w:rPr>
      </w:pP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‘Policy</w:t>
      </w:r>
      <w:r>
        <w:rPr>
          <w:spacing w:val="-4"/>
          <w:sz w:val="18"/>
        </w:rPr>
        <w:t> </w:t>
      </w:r>
      <w:r>
        <w:rPr>
          <w:sz w:val="18"/>
        </w:rPr>
        <w:t>Recommendations: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Minority</w:t>
      </w:r>
      <w:r>
        <w:rPr>
          <w:spacing w:val="-4"/>
          <w:sz w:val="18"/>
        </w:rPr>
        <w:t> </w:t>
      </w:r>
      <w:r>
        <w:rPr>
          <w:sz w:val="18"/>
        </w:rPr>
        <w:t>Ethnic</w:t>
      </w:r>
      <w:r>
        <w:rPr>
          <w:spacing w:val="-4"/>
          <w:sz w:val="18"/>
        </w:rPr>
        <w:t> </w:t>
      </w:r>
      <w:r>
        <w:rPr>
          <w:sz w:val="18"/>
        </w:rPr>
        <w:t>and</w:t>
      </w:r>
      <w:r>
        <w:rPr>
          <w:spacing w:val="-5"/>
          <w:sz w:val="18"/>
        </w:rPr>
        <w:t> </w:t>
      </w:r>
      <w:r>
        <w:rPr>
          <w:sz w:val="18"/>
        </w:rPr>
        <w:t>Migrant</w:t>
      </w:r>
      <w:r>
        <w:rPr>
          <w:spacing w:val="-4"/>
          <w:sz w:val="18"/>
        </w:rPr>
        <w:t> </w:t>
      </w:r>
      <w:r>
        <w:rPr>
          <w:sz w:val="18"/>
        </w:rPr>
        <w:t>People</w:t>
      </w:r>
      <w:r>
        <w:rPr>
          <w:spacing w:val="-4"/>
          <w:sz w:val="18"/>
        </w:rPr>
        <w:t> </w:t>
      </w:r>
      <w:r>
        <w:rPr>
          <w:sz w:val="18"/>
        </w:rPr>
        <w:t>in</w:t>
      </w:r>
      <w:r>
        <w:rPr>
          <w:spacing w:val="-5"/>
          <w:sz w:val="18"/>
        </w:rPr>
        <w:t> </w:t>
      </w:r>
      <w:r>
        <w:rPr>
          <w:sz w:val="18"/>
        </w:rPr>
        <w:t>NI’ (ECNI, 2024).</w:t>
      </w:r>
    </w:p>
    <w:p>
      <w:pPr>
        <w:pStyle w:val="ListParagraph"/>
        <w:numPr>
          <w:ilvl w:val="0"/>
          <w:numId w:val="9"/>
        </w:numPr>
        <w:tabs>
          <w:tab w:pos="1853" w:val="left" w:leader="none"/>
        </w:tabs>
        <w:spacing w:line="235" w:lineRule="auto" w:before="1" w:after="0"/>
        <w:ind w:left="1853" w:right="1172" w:hanging="720"/>
        <w:jc w:val="left"/>
        <w:rPr>
          <w:sz w:val="18"/>
        </w:rPr>
      </w:pPr>
      <w:r>
        <w:rPr>
          <w:sz w:val="18"/>
        </w:rPr>
        <w:t>CRC/C/GBR/CO/6-7,</w:t>
      </w:r>
      <w:r>
        <w:rPr>
          <w:spacing w:val="-6"/>
          <w:sz w:val="18"/>
        </w:rPr>
        <w:t> </w:t>
      </w:r>
      <w:r>
        <w:rPr>
          <w:sz w:val="18"/>
        </w:rPr>
        <w:t>‘UN</w:t>
      </w:r>
      <w:r>
        <w:rPr>
          <w:spacing w:val="-6"/>
          <w:sz w:val="18"/>
        </w:rPr>
        <w:t> </w:t>
      </w:r>
      <w:r>
        <w:rPr>
          <w:sz w:val="18"/>
        </w:rPr>
        <w:t>CRC</w:t>
      </w:r>
      <w:r>
        <w:rPr>
          <w:spacing w:val="-6"/>
          <w:sz w:val="18"/>
        </w:rPr>
        <w:t> </w:t>
      </w:r>
      <w:r>
        <w:rPr>
          <w:sz w:val="18"/>
        </w:rPr>
        <w:t>Committee</w:t>
      </w:r>
      <w:r>
        <w:rPr>
          <w:spacing w:val="-6"/>
          <w:sz w:val="18"/>
        </w:rPr>
        <w:t> </w:t>
      </w:r>
      <w:r>
        <w:rPr>
          <w:sz w:val="18"/>
        </w:rPr>
        <w:t>Concluding</w:t>
      </w:r>
      <w:r>
        <w:rPr>
          <w:spacing w:val="-6"/>
          <w:sz w:val="18"/>
        </w:rPr>
        <w:t> </w:t>
      </w:r>
      <w:r>
        <w:rPr>
          <w:sz w:val="18"/>
        </w:rPr>
        <w:t>Observations</w:t>
      </w:r>
      <w:r>
        <w:rPr>
          <w:spacing w:val="-6"/>
          <w:sz w:val="18"/>
        </w:rPr>
        <w:t> </w:t>
      </w:r>
      <w:r>
        <w:rPr>
          <w:sz w:val="18"/>
        </w:rPr>
        <w:t>on</w:t>
      </w:r>
      <w:r>
        <w:rPr>
          <w:spacing w:val="-6"/>
          <w:sz w:val="18"/>
        </w:rPr>
        <w:t> </w:t>
      </w:r>
      <w:r>
        <w:rPr>
          <w:sz w:val="18"/>
        </w:rPr>
        <w:t>the</w:t>
      </w:r>
      <w:r>
        <w:rPr>
          <w:spacing w:val="-6"/>
          <w:sz w:val="18"/>
        </w:rPr>
        <w:t> </w:t>
      </w:r>
      <w:r>
        <w:rPr>
          <w:sz w:val="18"/>
        </w:rPr>
        <w:t>Combined</w:t>
      </w:r>
      <w:r>
        <w:rPr>
          <w:spacing w:val="-6"/>
          <w:sz w:val="18"/>
        </w:rPr>
        <w:t> </w:t>
      </w:r>
      <w:r>
        <w:rPr>
          <w:sz w:val="18"/>
        </w:rPr>
        <w:t>Sixth</w:t>
      </w:r>
      <w:r>
        <w:rPr>
          <w:spacing w:val="-6"/>
          <w:sz w:val="18"/>
        </w:rPr>
        <w:t> </w:t>
      </w:r>
      <w:r>
        <w:rPr>
          <w:sz w:val="18"/>
        </w:rPr>
        <w:t>and</w:t>
      </w:r>
      <w:r>
        <w:rPr>
          <w:spacing w:val="-6"/>
          <w:sz w:val="18"/>
        </w:rPr>
        <w:t> </w:t>
      </w:r>
      <w:r>
        <w:rPr>
          <w:sz w:val="18"/>
        </w:rPr>
        <w:t>Seventh</w:t>
      </w:r>
      <w:r>
        <w:rPr>
          <w:spacing w:val="-6"/>
          <w:sz w:val="18"/>
        </w:rPr>
        <w:t> </w:t>
      </w:r>
      <w:r>
        <w:rPr>
          <w:sz w:val="18"/>
        </w:rPr>
        <w:t>Periodic</w:t>
      </w:r>
      <w:r>
        <w:rPr>
          <w:spacing w:val="-6"/>
          <w:sz w:val="18"/>
        </w:rPr>
        <w:t> </w:t>
      </w:r>
      <w:r>
        <w:rPr>
          <w:sz w:val="18"/>
        </w:rPr>
        <w:t>Reports</w:t>
      </w:r>
      <w:r>
        <w:rPr>
          <w:spacing w:val="-6"/>
          <w:sz w:val="18"/>
        </w:rPr>
        <w:t> </w:t>
      </w:r>
      <w:r>
        <w:rPr>
          <w:sz w:val="18"/>
        </w:rPr>
        <w:t>of the UK of Great Britain and NI’, 22 June 2023, at para 54(g).</w:t>
      </w:r>
    </w:p>
    <w:p>
      <w:pPr>
        <w:pStyle w:val="ListParagraph"/>
        <w:numPr>
          <w:ilvl w:val="0"/>
          <w:numId w:val="9"/>
        </w:numPr>
        <w:tabs>
          <w:tab w:pos="1853" w:val="left" w:leader="none"/>
        </w:tabs>
        <w:spacing w:line="235" w:lineRule="auto" w:before="1" w:after="0"/>
        <w:ind w:left="1853" w:right="1473" w:hanging="720"/>
        <w:jc w:val="left"/>
        <w:rPr>
          <w:sz w:val="18"/>
        </w:rPr>
      </w:pP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‘Submission</w:t>
      </w:r>
      <w:r>
        <w:rPr>
          <w:spacing w:val="-5"/>
          <w:sz w:val="18"/>
        </w:rPr>
        <w:t> </w:t>
      </w:r>
      <w:r>
        <w:rPr>
          <w:sz w:val="18"/>
        </w:rPr>
        <w:t>to</w:t>
      </w:r>
      <w:r>
        <w:rPr>
          <w:spacing w:val="-5"/>
          <w:sz w:val="18"/>
        </w:rPr>
        <w:t> </w:t>
      </w:r>
      <w:r>
        <w:rPr>
          <w:sz w:val="18"/>
        </w:rPr>
        <w:t>the</w:t>
      </w:r>
      <w:r>
        <w:rPr>
          <w:spacing w:val="-4"/>
          <w:sz w:val="18"/>
        </w:rPr>
        <w:t> </w:t>
      </w:r>
      <w:r>
        <w:rPr>
          <w:sz w:val="18"/>
        </w:rPr>
        <w:t>CoE</w:t>
      </w:r>
      <w:r>
        <w:rPr>
          <w:spacing w:val="-5"/>
          <w:sz w:val="18"/>
        </w:rPr>
        <w:t> </w:t>
      </w:r>
      <w:r>
        <w:rPr>
          <w:sz w:val="18"/>
        </w:rPr>
        <w:t>European</w:t>
      </w:r>
      <w:r>
        <w:rPr>
          <w:spacing w:val="-5"/>
          <w:sz w:val="18"/>
        </w:rPr>
        <w:t> </w:t>
      </w:r>
      <w:r>
        <w:rPr>
          <w:sz w:val="18"/>
        </w:rPr>
        <w:t>Commission</w:t>
      </w:r>
      <w:r>
        <w:rPr>
          <w:spacing w:val="-5"/>
          <w:sz w:val="18"/>
        </w:rPr>
        <w:t> </w:t>
      </w:r>
      <w:r>
        <w:rPr>
          <w:sz w:val="18"/>
        </w:rPr>
        <w:t>Against</w:t>
      </w:r>
      <w:r>
        <w:rPr>
          <w:spacing w:val="-4"/>
          <w:sz w:val="18"/>
        </w:rPr>
        <w:t> </w:t>
      </w:r>
      <w:r>
        <w:rPr>
          <w:sz w:val="18"/>
        </w:rPr>
        <w:t>Racism</w:t>
      </w:r>
      <w:r>
        <w:rPr>
          <w:spacing w:val="-4"/>
          <w:sz w:val="18"/>
        </w:rPr>
        <w:t> </w:t>
      </w:r>
      <w:r>
        <w:rPr>
          <w:sz w:val="18"/>
        </w:rPr>
        <w:t>and</w:t>
      </w:r>
      <w:r>
        <w:rPr>
          <w:spacing w:val="-5"/>
          <w:sz w:val="18"/>
        </w:rPr>
        <w:t> </w:t>
      </w:r>
      <w:r>
        <w:rPr>
          <w:sz w:val="18"/>
        </w:rPr>
        <w:t>Intolerance</w:t>
      </w:r>
      <w:r>
        <w:rPr>
          <w:spacing w:val="-4"/>
          <w:sz w:val="18"/>
        </w:rPr>
        <w:t> </w:t>
      </w:r>
      <w:r>
        <w:rPr>
          <w:sz w:val="18"/>
        </w:rPr>
        <w:t>-</w:t>
      </w:r>
      <w:r>
        <w:rPr>
          <w:spacing w:val="-5"/>
          <w:sz w:val="18"/>
        </w:rPr>
        <w:t> </w:t>
      </w:r>
      <w:r>
        <w:rPr>
          <w:sz w:val="18"/>
        </w:rPr>
        <w:t>Parallel Report for the Sixth Cycle in Monitoring the United Kingdom’ (NIHRC, 2023).</w:t>
      </w:r>
    </w:p>
    <w:p>
      <w:pPr>
        <w:pStyle w:val="ListParagraph"/>
        <w:numPr>
          <w:ilvl w:val="0"/>
          <w:numId w:val="9"/>
        </w:numPr>
        <w:tabs>
          <w:tab w:pos="1853" w:val="left" w:leader="none"/>
        </w:tabs>
        <w:spacing w:line="216" w:lineRule="exact" w:before="0" w:after="0"/>
        <w:ind w:left="1853" w:right="0" w:hanging="720"/>
        <w:jc w:val="left"/>
        <w:rPr>
          <w:sz w:val="18"/>
        </w:rPr>
      </w:pPr>
      <w:r>
        <w:rPr>
          <w:sz w:val="18"/>
        </w:rPr>
        <w:t>Pivotal,</w:t>
      </w:r>
      <w:r>
        <w:rPr>
          <w:spacing w:val="-6"/>
          <w:sz w:val="18"/>
        </w:rPr>
        <w:t> </w:t>
      </w:r>
      <w:r>
        <w:rPr>
          <w:sz w:val="18"/>
        </w:rPr>
        <w:t>‘Impact</w:t>
      </w:r>
      <w:r>
        <w:rPr>
          <w:spacing w:val="-3"/>
          <w:sz w:val="18"/>
        </w:rPr>
        <w:t> </w:t>
      </w:r>
      <w:r>
        <w:rPr>
          <w:sz w:val="18"/>
        </w:rPr>
        <w:t>of</w:t>
      </w:r>
      <w:r>
        <w:rPr>
          <w:spacing w:val="-3"/>
          <w:sz w:val="18"/>
        </w:rPr>
        <w:t> </w:t>
      </w:r>
      <w:r>
        <w:rPr>
          <w:sz w:val="18"/>
        </w:rPr>
        <w:t>Brexit</w:t>
      </w:r>
      <w:r>
        <w:rPr>
          <w:spacing w:val="-4"/>
          <w:sz w:val="18"/>
        </w:rPr>
        <w:t> </w:t>
      </w:r>
      <w:r>
        <w:rPr>
          <w:sz w:val="18"/>
        </w:rPr>
        <w:t>on</w:t>
      </w:r>
      <w:r>
        <w:rPr>
          <w:spacing w:val="-3"/>
          <w:sz w:val="18"/>
        </w:rPr>
        <w:t> </w:t>
      </w:r>
      <w:r>
        <w:rPr>
          <w:sz w:val="18"/>
        </w:rPr>
        <w:t>Minority</w:t>
      </w:r>
      <w:r>
        <w:rPr>
          <w:spacing w:val="-4"/>
          <w:sz w:val="18"/>
        </w:rPr>
        <w:t> </w:t>
      </w:r>
      <w:r>
        <w:rPr>
          <w:sz w:val="18"/>
        </w:rPr>
        <w:t>Ethnic</w:t>
      </w:r>
      <w:r>
        <w:rPr>
          <w:spacing w:val="-3"/>
          <w:sz w:val="18"/>
        </w:rPr>
        <w:t> </w:t>
      </w:r>
      <w:r>
        <w:rPr>
          <w:sz w:val="18"/>
        </w:rPr>
        <w:t>and</w:t>
      </w:r>
      <w:r>
        <w:rPr>
          <w:spacing w:val="-3"/>
          <w:sz w:val="18"/>
        </w:rPr>
        <w:t> </w:t>
      </w:r>
      <w:r>
        <w:rPr>
          <w:sz w:val="18"/>
        </w:rPr>
        <w:t>Migrant</w:t>
      </w:r>
      <w:r>
        <w:rPr>
          <w:spacing w:val="-4"/>
          <w:sz w:val="18"/>
        </w:rPr>
        <w:t> </w:t>
      </w:r>
      <w:r>
        <w:rPr>
          <w:sz w:val="18"/>
        </w:rPr>
        <w:t>People</w:t>
      </w:r>
      <w:r>
        <w:rPr>
          <w:spacing w:val="-3"/>
          <w:sz w:val="18"/>
        </w:rPr>
        <w:t> </w:t>
      </w:r>
      <w:r>
        <w:rPr>
          <w:sz w:val="18"/>
        </w:rPr>
        <w:t>in</w:t>
      </w:r>
      <w:r>
        <w:rPr>
          <w:spacing w:val="-3"/>
          <w:sz w:val="18"/>
        </w:rPr>
        <w:t> </w:t>
      </w:r>
      <w:r>
        <w:rPr>
          <w:sz w:val="18"/>
        </w:rPr>
        <w:t>Northern</w:t>
      </w:r>
      <w:r>
        <w:rPr>
          <w:spacing w:val="-4"/>
          <w:sz w:val="18"/>
        </w:rPr>
        <w:t> </w:t>
      </w:r>
      <w:r>
        <w:rPr>
          <w:sz w:val="18"/>
        </w:rPr>
        <w:t>Ireland’</w:t>
      </w:r>
      <w:r>
        <w:rPr>
          <w:spacing w:val="-3"/>
          <w:sz w:val="18"/>
        </w:rPr>
        <w:t> </w:t>
      </w:r>
      <w:r>
        <w:rPr>
          <w:sz w:val="18"/>
        </w:rPr>
        <w:t>(ECNI,</w:t>
      </w:r>
      <w:r>
        <w:rPr>
          <w:spacing w:val="-3"/>
          <w:sz w:val="18"/>
        </w:rPr>
        <w:t> </w:t>
      </w:r>
      <w:r>
        <w:rPr>
          <w:spacing w:val="-2"/>
          <w:sz w:val="18"/>
        </w:rPr>
        <w:t>2023).</w:t>
      </w:r>
    </w:p>
    <w:p>
      <w:pPr>
        <w:pStyle w:val="ListParagraph"/>
        <w:numPr>
          <w:ilvl w:val="0"/>
          <w:numId w:val="9"/>
        </w:numPr>
        <w:tabs>
          <w:tab w:pos="1853" w:val="left" w:leader="none"/>
        </w:tabs>
        <w:spacing w:line="216" w:lineRule="exact" w:before="0" w:after="0"/>
        <w:ind w:left="1853" w:right="0" w:hanging="720"/>
        <w:jc w:val="left"/>
        <w:rPr>
          <w:sz w:val="18"/>
        </w:rPr>
      </w:pPr>
      <w:r>
        <w:rPr>
          <w:sz w:val="18"/>
        </w:rPr>
        <w:t>Alison</w:t>
      </w:r>
      <w:r>
        <w:rPr>
          <w:spacing w:val="-6"/>
          <w:sz w:val="18"/>
        </w:rPr>
        <w:t> </w:t>
      </w:r>
      <w:r>
        <w:rPr>
          <w:sz w:val="18"/>
        </w:rPr>
        <w:t>Harvey,</w:t>
      </w:r>
      <w:r>
        <w:rPr>
          <w:spacing w:val="-5"/>
          <w:sz w:val="18"/>
        </w:rPr>
        <w:t> </w:t>
      </w:r>
      <w:r>
        <w:rPr>
          <w:sz w:val="18"/>
        </w:rPr>
        <w:t>‘Article</w:t>
      </w:r>
      <w:r>
        <w:rPr>
          <w:spacing w:val="-5"/>
          <w:sz w:val="18"/>
        </w:rPr>
        <w:t> </w:t>
      </w:r>
      <w:r>
        <w:rPr>
          <w:sz w:val="18"/>
        </w:rPr>
        <w:t>2</w:t>
      </w:r>
      <w:r>
        <w:rPr>
          <w:spacing w:val="-4"/>
          <w:sz w:val="18"/>
        </w:rPr>
        <w:t> </w:t>
      </w:r>
      <w:r>
        <w:rPr>
          <w:sz w:val="18"/>
        </w:rPr>
        <w:t>of</w:t>
      </w:r>
      <w:r>
        <w:rPr>
          <w:spacing w:val="-6"/>
          <w:sz w:val="18"/>
        </w:rPr>
        <w:t> </w:t>
      </w:r>
      <w:r>
        <w:rPr>
          <w:sz w:val="18"/>
        </w:rPr>
        <w:t>the</w:t>
      </w:r>
      <w:r>
        <w:rPr>
          <w:spacing w:val="-5"/>
          <w:sz w:val="18"/>
        </w:rPr>
        <w:t> </w:t>
      </w:r>
      <w:r>
        <w:rPr>
          <w:sz w:val="18"/>
        </w:rPr>
        <w:t>Windsor</w:t>
      </w:r>
      <w:r>
        <w:rPr>
          <w:spacing w:val="-5"/>
          <w:sz w:val="18"/>
        </w:rPr>
        <w:t> </w:t>
      </w:r>
      <w:r>
        <w:rPr>
          <w:sz w:val="18"/>
        </w:rPr>
        <w:t>Framework</w:t>
      </w:r>
      <w:r>
        <w:rPr>
          <w:spacing w:val="-4"/>
          <w:sz w:val="18"/>
        </w:rPr>
        <w:t> </w:t>
      </w:r>
      <w:r>
        <w:rPr>
          <w:sz w:val="18"/>
        </w:rPr>
        <w:t>and</w:t>
      </w:r>
      <w:r>
        <w:rPr>
          <w:spacing w:val="-6"/>
          <w:sz w:val="18"/>
        </w:rPr>
        <w:t> </w:t>
      </w:r>
      <w:r>
        <w:rPr>
          <w:sz w:val="18"/>
        </w:rPr>
        <w:t>the</w:t>
      </w:r>
      <w:r>
        <w:rPr>
          <w:spacing w:val="-5"/>
          <w:sz w:val="18"/>
        </w:rPr>
        <w:t> </w:t>
      </w:r>
      <w:r>
        <w:rPr>
          <w:sz w:val="18"/>
        </w:rPr>
        <w:t>rights</w:t>
      </w:r>
      <w:r>
        <w:rPr>
          <w:spacing w:val="-5"/>
          <w:sz w:val="18"/>
        </w:rPr>
        <w:t> </w:t>
      </w:r>
      <w:r>
        <w:rPr>
          <w:sz w:val="18"/>
        </w:rPr>
        <w:t>of</w:t>
      </w:r>
      <w:r>
        <w:rPr>
          <w:spacing w:val="-6"/>
          <w:sz w:val="18"/>
        </w:rPr>
        <w:t> </w:t>
      </w:r>
      <w:r>
        <w:rPr>
          <w:sz w:val="18"/>
        </w:rPr>
        <w:t>refugees</w:t>
      </w:r>
      <w:r>
        <w:rPr>
          <w:spacing w:val="-6"/>
          <w:sz w:val="18"/>
        </w:rPr>
        <w:t> </w:t>
      </w:r>
      <w:r>
        <w:rPr>
          <w:sz w:val="18"/>
        </w:rPr>
        <w:t>and</w:t>
      </w:r>
      <w:r>
        <w:rPr>
          <w:spacing w:val="-5"/>
          <w:sz w:val="18"/>
        </w:rPr>
        <w:t> </w:t>
      </w:r>
      <w:r>
        <w:rPr>
          <w:sz w:val="18"/>
        </w:rPr>
        <w:t>persons</w:t>
      </w:r>
      <w:r>
        <w:rPr>
          <w:spacing w:val="-6"/>
          <w:sz w:val="18"/>
        </w:rPr>
        <w:t> </w:t>
      </w:r>
      <w:r>
        <w:rPr>
          <w:sz w:val="18"/>
        </w:rPr>
        <w:t>seeking</w:t>
      </w:r>
      <w:r>
        <w:rPr>
          <w:spacing w:val="-5"/>
          <w:sz w:val="18"/>
        </w:rPr>
        <w:t> </w:t>
      </w:r>
      <w:r>
        <w:rPr>
          <w:sz w:val="18"/>
        </w:rPr>
        <w:t>asylum’</w:t>
      </w:r>
      <w:r>
        <w:rPr>
          <w:spacing w:val="-4"/>
          <w:sz w:val="18"/>
        </w:rPr>
        <w:t> </w:t>
      </w:r>
      <w:r>
        <w:rPr>
          <w:sz w:val="18"/>
        </w:rPr>
        <w:t>(NIHRC,</w:t>
      </w:r>
      <w:r>
        <w:rPr>
          <w:spacing w:val="-5"/>
          <w:sz w:val="18"/>
        </w:rPr>
        <w:t> </w:t>
      </w:r>
      <w:r>
        <w:rPr>
          <w:spacing w:val="-2"/>
          <w:sz w:val="18"/>
        </w:rPr>
        <w:t>2023).</w:t>
      </w:r>
    </w:p>
    <w:p>
      <w:pPr>
        <w:pStyle w:val="ListParagraph"/>
        <w:numPr>
          <w:ilvl w:val="0"/>
          <w:numId w:val="9"/>
        </w:numPr>
        <w:tabs>
          <w:tab w:pos="1853" w:val="left" w:leader="none"/>
        </w:tabs>
        <w:spacing w:line="218" w:lineRule="exact" w:before="0" w:after="0"/>
        <w:ind w:left="1853" w:right="0" w:hanging="720"/>
        <w:jc w:val="left"/>
        <w:rPr>
          <w:sz w:val="18"/>
        </w:rPr>
      </w:pPr>
      <w:r>
        <w:rPr>
          <w:spacing w:val="-4"/>
          <w:sz w:val="18"/>
        </w:rPr>
        <w:t>Ibid.</w:t>
      </w:r>
    </w:p>
    <w:p>
      <w:pPr>
        <w:spacing w:after="0" w:line="218" w:lineRule="exact"/>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hanging="1"/>
      </w:pPr>
      <w:r>
        <w:rPr/>
        <w:t>a</w:t>
      </w:r>
      <w:r>
        <w:rPr>
          <w:spacing w:val="-7"/>
        </w:rPr>
        <w:t> </w:t>
      </w:r>
      <w:r>
        <w:rPr/>
        <w:t>section</w:t>
      </w:r>
      <w:r>
        <w:rPr>
          <w:spacing w:val="-7"/>
        </w:rPr>
        <w:t> </w:t>
      </w:r>
      <w:r>
        <w:rPr/>
        <w:t>on</w:t>
      </w:r>
      <w:r>
        <w:rPr>
          <w:spacing w:val="-7"/>
        </w:rPr>
        <w:t> </w:t>
      </w:r>
      <w:r>
        <w:rPr/>
        <w:t>nationality</w:t>
      </w:r>
      <w:r>
        <w:rPr>
          <w:spacing w:val="-6"/>
        </w:rPr>
        <w:t> </w:t>
      </w:r>
      <w:r>
        <w:rPr/>
        <w:t>discrimination</w:t>
      </w:r>
      <w:r>
        <w:rPr>
          <w:spacing w:val="-7"/>
        </w:rPr>
        <w:t> </w:t>
      </w:r>
      <w:r>
        <w:rPr/>
        <w:t>and</w:t>
      </w:r>
      <w:r>
        <w:rPr>
          <w:spacing w:val="-7"/>
        </w:rPr>
        <w:t> </w:t>
      </w:r>
      <w:r>
        <w:rPr/>
        <w:t>the</w:t>
      </w:r>
      <w:r>
        <w:rPr>
          <w:spacing w:val="-6"/>
        </w:rPr>
        <w:t> </w:t>
      </w:r>
      <w:r>
        <w:rPr/>
        <w:t>interaction</w:t>
      </w:r>
      <w:r>
        <w:rPr>
          <w:spacing w:val="-7"/>
        </w:rPr>
        <w:t> </w:t>
      </w:r>
      <w:r>
        <w:rPr/>
        <w:t>between</w:t>
      </w:r>
      <w:r>
        <w:rPr>
          <w:spacing w:val="-7"/>
        </w:rPr>
        <w:t> </w:t>
      </w:r>
      <w:r>
        <w:rPr/>
        <w:t>the</w:t>
      </w:r>
      <w:r>
        <w:rPr>
          <w:spacing w:val="-6"/>
        </w:rPr>
        <w:t> </w:t>
      </w:r>
      <w:r>
        <w:rPr/>
        <w:t>EU Racial Equality Directive and discrimination in the immigration context.</w:t>
      </w:r>
      <w:r>
        <w:rPr>
          <w:vertAlign w:val="superscript"/>
        </w:rPr>
        <w:t>280</w:t>
      </w:r>
    </w:p>
    <w:p>
      <w:pPr>
        <w:pStyle w:val="Heading6"/>
        <w:spacing w:before="302"/>
        <w:rPr>
          <w:i/>
        </w:rPr>
      </w:pPr>
      <w:r>
        <w:rPr>
          <w:i/>
          <w:color w:val="67287F"/>
        </w:rPr>
        <w:t>EU</w:t>
      </w:r>
      <w:r>
        <w:rPr>
          <w:i/>
          <w:color w:val="67287F"/>
          <w:spacing w:val="-5"/>
        </w:rPr>
        <w:t> </w:t>
      </w:r>
      <w:r>
        <w:rPr>
          <w:i/>
          <w:color w:val="67287F"/>
        </w:rPr>
        <w:t>Racial</w:t>
      </w:r>
      <w:r>
        <w:rPr>
          <w:i/>
          <w:color w:val="67287F"/>
          <w:spacing w:val="-4"/>
        </w:rPr>
        <w:t> </w:t>
      </w:r>
      <w:r>
        <w:rPr>
          <w:i/>
          <w:color w:val="67287F"/>
        </w:rPr>
        <w:t>Equality</w:t>
      </w:r>
      <w:r>
        <w:rPr>
          <w:i/>
          <w:color w:val="67287F"/>
          <w:spacing w:val="-4"/>
        </w:rPr>
        <w:t> </w:t>
      </w:r>
      <w:r>
        <w:rPr>
          <w:i/>
          <w:color w:val="67287F"/>
          <w:spacing w:val="-2"/>
        </w:rPr>
        <w:t>Directive</w:t>
      </w:r>
    </w:p>
    <w:p>
      <w:pPr>
        <w:pStyle w:val="ListParagraph"/>
        <w:numPr>
          <w:ilvl w:val="1"/>
          <w:numId w:val="7"/>
        </w:numPr>
        <w:tabs>
          <w:tab w:pos="1853" w:val="left" w:leader="none"/>
        </w:tabs>
        <w:spacing w:line="225" w:lineRule="auto" w:before="5" w:after="0"/>
        <w:ind w:left="1853" w:right="1406" w:hanging="720"/>
        <w:jc w:val="left"/>
        <w:rPr>
          <w:sz w:val="28"/>
        </w:rPr>
      </w:pPr>
      <w:r>
        <w:rPr>
          <w:sz w:val="28"/>
        </w:rPr>
        <w:t>The EU Racial Equality Directive protects against discrimination on the grounds</w:t>
      </w:r>
      <w:r>
        <w:rPr>
          <w:spacing w:val="-7"/>
          <w:sz w:val="28"/>
        </w:rPr>
        <w:t> </w:t>
      </w:r>
      <w:r>
        <w:rPr>
          <w:sz w:val="28"/>
        </w:rPr>
        <w:t>of</w:t>
      </w:r>
      <w:r>
        <w:rPr>
          <w:spacing w:val="-7"/>
          <w:sz w:val="28"/>
        </w:rPr>
        <w:t> </w:t>
      </w:r>
      <w:r>
        <w:rPr>
          <w:sz w:val="28"/>
        </w:rPr>
        <w:t>race</w:t>
      </w:r>
      <w:r>
        <w:rPr>
          <w:spacing w:val="-6"/>
          <w:sz w:val="28"/>
        </w:rPr>
        <w:t> </w:t>
      </w:r>
      <w:r>
        <w:rPr>
          <w:sz w:val="28"/>
        </w:rPr>
        <w:t>and</w:t>
      </w:r>
      <w:r>
        <w:rPr>
          <w:spacing w:val="-7"/>
          <w:sz w:val="28"/>
        </w:rPr>
        <w:t> </w:t>
      </w:r>
      <w:r>
        <w:rPr>
          <w:sz w:val="28"/>
        </w:rPr>
        <w:t>ethnicity</w:t>
      </w:r>
      <w:r>
        <w:rPr>
          <w:spacing w:val="-6"/>
          <w:sz w:val="28"/>
        </w:rPr>
        <w:t> </w:t>
      </w:r>
      <w:r>
        <w:rPr>
          <w:sz w:val="28"/>
        </w:rPr>
        <w:t>across</w:t>
      </w:r>
      <w:r>
        <w:rPr>
          <w:spacing w:val="-7"/>
          <w:sz w:val="28"/>
        </w:rPr>
        <w:t> </w:t>
      </w:r>
      <w:r>
        <w:rPr>
          <w:sz w:val="28"/>
        </w:rPr>
        <w:t>a</w:t>
      </w:r>
      <w:r>
        <w:rPr>
          <w:spacing w:val="-7"/>
          <w:sz w:val="28"/>
        </w:rPr>
        <w:t> </w:t>
      </w:r>
      <w:r>
        <w:rPr>
          <w:sz w:val="28"/>
        </w:rPr>
        <w:t>range</w:t>
      </w:r>
      <w:r>
        <w:rPr>
          <w:spacing w:val="-6"/>
          <w:sz w:val="28"/>
        </w:rPr>
        <w:t> </w:t>
      </w:r>
      <w:r>
        <w:rPr>
          <w:sz w:val="28"/>
        </w:rPr>
        <w:t>of</w:t>
      </w:r>
      <w:r>
        <w:rPr>
          <w:spacing w:val="-7"/>
          <w:sz w:val="28"/>
        </w:rPr>
        <w:t> </w:t>
      </w:r>
      <w:r>
        <w:rPr>
          <w:sz w:val="28"/>
        </w:rPr>
        <w:t>areas,</w:t>
      </w:r>
      <w:r>
        <w:rPr>
          <w:spacing w:val="-6"/>
          <w:sz w:val="28"/>
        </w:rPr>
        <w:t> </w:t>
      </w:r>
      <w:r>
        <w:rPr>
          <w:sz w:val="28"/>
        </w:rPr>
        <w:t>including</w:t>
      </w:r>
      <w:r>
        <w:rPr>
          <w:spacing w:val="-6"/>
          <w:sz w:val="28"/>
        </w:rPr>
        <w:t> </w:t>
      </w:r>
      <w:r>
        <w:rPr>
          <w:sz w:val="28"/>
        </w:rPr>
        <w:t>employment and vocational training, access to goods and services, education and social </w:t>
      </w:r>
      <w:r>
        <w:rPr>
          <w:spacing w:val="-2"/>
          <w:sz w:val="28"/>
        </w:rPr>
        <w:t>security.</w:t>
      </w:r>
      <w:r>
        <w:rPr>
          <w:spacing w:val="-2"/>
          <w:sz w:val="28"/>
          <w:vertAlign w:val="superscript"/>
        </w:rPr>
        <w:t>281</w:t>
      </w:r>
    </w:p>
    <w:p>
      <w:pPr>
        <w:pStyle w:val="ListParagraph"/>
        <w:numPr>
          <w:ilvl w:val="1"/>
          <w:numId w:val="7"/>
        </w:numPr>
        <w:tabs>
          <w:tab w:pos="1853" w:val="left" w:leader="none"/>
        </w:tabs>
        <w:spacing w:line="225" w:lineRule="auto" w:before="315" w:after="0"/>
        <w:ind w:left="1853" w:right="1869" w:hanging="720"/>
        <w:jc w:val="left"/>
        <w:rPr>
          <w:sz w:val="28"/>
        </w:rPr>
      </w:pPr>
      <w:r>
        <w:rPr>
          <w:sz w:val="28"/>
        </w:rPr>
        <w:t>In 2022, the Commissions responded separately to a consultation by</w:t>
      </w:r>
      <w:r>
        <w:rPr>
          <w:spacing w:val="40"/>
          <w:sz w:val="28"/>
        </w:rPr>
        <w:t> </w:t>
      </w:r>
      <w:r>
        <w:rPr>
          <w:sz w:val="28"/>
        </w:rPr>
        <w:t>the</w:t>
      </w:r>
      <w:r>
        <w:rPr>
          <w:spacing w:val="-6"/>
          <w:sz w:val="28"/>
        </w:rPr>
        <w:t> </w:t>
      </w:r>
      <w:r>
        <w:rPr>
          <w:sz w:val="28"/>
        </w:rPr>
        <w:t>EU</w:t>
      </w:r>
      <w:r>
        <w:rPr>
          <w:spacing w:val="-6"/>
          <w:sz w:val="28"/>
        </w:rPr>
        <w:t> </w:t>
      </w:r>
      <w:r>
        <w:rPr>
          <w:sz w:val="28"/>
        </w:rPr>
        <w:t>Commission</w:t>
      </w:r>
      <w:r>
        <w:rPr>
          <w:spacing w:val="-7"/>
          <w:sz w:val="28"/>
        </w:rPr>
        <w:t> </w:t>
      </w:r>
      <w:r>
        <w:rPr>
          <w:sz w:val="28"/>
        </w:rPr>
        <w:t>on</w:t>
      </w:r>
      <w:r>
        <w:rPr>
          <w:spacing w:val="-7"/>
          <w:sz w:val="28"/>
        </w:rPr>
        <w:t> </w:t>
      </w:r>
      <w:r>
        <w:rPr>
          <w:sz w:val="28"/>
        </w:rPr>
        <w:t>gaps</w:t>
      </w:r>
      <w:r>
        <w:rPr>
          <w:spacing w:val="-7"/>
          <w:sz w:val="28"/>
        </w:rPr>
        <w:t> </w:t>
      </w:r>
      <w:r>
        <w:rPr>
          <w:sz w:val="28"/>
        </w:rPr>
        <w:t>in</w:t>
      </w:r>
      <w:r>
        <w:rPr>
          <w:spacing w:val="-7"/>
          <w:sz w:val="28"/>
        </w:rPr>
        <w:t> </w:t>
      </w:r>
      <w:r>
        <w:rPr>
          <w:sz w:val="28"/>
        </w:rPr>
        <w:t>the</w:t>
      </w:r>
      <w:r>
        <w:rPr>
          <w:spacing w:val="-6"/>
          <w:sz w:val="28"/>
        </w:rPr>
        <w:t> </w:t>
      </w:r>
      <w:r>
        <w:rPr>
          <w:sz w:val="28"/>
        </w:rPr>
        <w:t>EU</w:t>
      </w:r>
      <w:r>
        <w:rPr>
          <w:spacing w:val="-6"/>
          <w:sz w:val="28"/>
        </w:rPr>
        <w:t> </w:t>
      </w:r>
      <w:r>
        <w:rPr>
          <w:sz w:val="28"/>
        </w:rPr>
        <w:t>Racial</w:t>
      </w:r>
      <w:r>
        <w:rPr>
          <w:spacing w:val="-7"/>
          <w:sz w:val="28"/>
        </w:rPr>
        <w:t> </w:t>
      </w:r>
      <w:r>
        <w:rPr>
          <w:sz w:val="28"/>
        </w:rPr>
        <w:t>Equality</w:t>
      </w:r>
      <w:r>
        <w:rPr>
          <w:spacing w:val="-6"/>
          <w:sz w:val="28"/>
        </w:rPr>
        <w:t> </w:t>
      </w:r>
      <w:r>
        <w:rPr>
          <w:sz w:val="28"/>
        </w:rPr>
        <w:t>Directive,</w:t>
      </w:r>
      <w:r>
        <w:rPr>
          <w:sz w:val="28"/>
          <w:vertAlign w:val="superscript"/>
        </w:rPr>
        <w:t>282</w:t>
      </w:r>
      <w:r>
        <w:rPr>
          <w:spacing w:val="-7"/>
          <w:sz w:val="28"/>
          <w:vertAlign w:val="baseline"/>
        </w:rPr>
        <w:t> </w:t>
      </w:r>
      <w:r>
        <w:rPr>
          <w:sz w:val="28"/>
          <w:vertAlign w:val="baseline"/>
        </w:rPr>
        <w:t>as</w:t>
      </w:r>
      <w:r>
        <w:rPr>
          <w:spacing w:val="-7"/>
          <w:sz w:val="28"/>
          <w:vertAlign w:val="baseline"/>
        </w:rPr>
        <w:t> </w:t>
      </w:r>
      <w:r>
        <w:rPr>
          <w:sz w:val="28"/>
          <w:vertAlign w:val="baseline"/>
        </w:rPr>
        <w:t>part of their respective mandates to monitor the alignment of NI law with any enhancements to rights or safeguards under the EU Racial Equality </w:t>
      </w:r>
      <w:r>
        <w:rPr>
          <w:spacing w:val="-2"/>
          <w:sz w:val="28"/>
          <w:vertAlign w:val="baseline"/>
        </w:rPr>
        <w:t>Directive.</w:t>
      </w:r>
      <w:r>
        <w:rPr>
          <w:spacing w:val="-2"/>
          <w:sz w:val="28"/>
          <w:vertAlign w:val="superscript"/>
        </w:rPr>
        <w:t>283</w:t>
      </w:r>
    </w:p>
    <w:p>
      <w:pPr>
        <w:pStyle w:val="ListParagraph"/>
        <w:numPr>
          <w:ilvl w:val="1"/>
          <w:numId w:val="7"/>
        </w:numPr>
        <w:tabs>
          <w:tab w:pos="1853" w:val="left" w:leader="none"/>
        </w:tabs>
        <w:spacing w:line="225" w:lineRule="auto" w:before="313" w:after="0"/>
        <w:ind w:left="1853" w:right="1383" w:hanging="720"/>
        <w:jc w:val="left"/>
        <w:rPr>
          <w:sz w:val="28"/>
        </w:rPr>
      </w:pPr>
      <w:r>
        <w:rPr>
          <w:sz w:val="28"/>
        </w:rPr>
        <w:t>Both Commissions highlighted the importance of the requirement that the law in NI ‘keep pace’ with any changes to the EU Racial Equality Directive that</w:t>
      </w:r>
      <w:r>
        <w:rPr>
          <w:spacing w:val="-13"/>
          <w:sz w:val="28"/>
        </w:rPr>
        <w:t> </w:t>
      </w:r>
      <w:r>
        <w:rPr>
          <w:sz w:val="28"/>
        </w:rPr>
        <w:t>strengthen</w:t>
      </w:r>
      <w:r>
        <w:rPr>
          <w:spacing w:val="-14"/>
          <w:sz w:val="28"/>
        </w:rPr>
        <w:t> </w:t>
      </w:r>
      <w:r>
        <w:rPr>
          <w:sz w:val="28"/>
        </w:rPr>
        <w:t>rights.</w:t>
      </w:r>
      <w:r>
        <w:rPr>
          <w:sz w:val="28"/>
          <w:vertAlign w:val="superscript"/>
        </w:rPr>
        <w:t>284</w:t>
      </w:r>
      <w:r>
        <w:rPr>
          <w:spacing w:val="-14"/>
          <w:sz w:val="28"/>
          <w:vertAlign w:val="baseline"/>
        </w:rPr>
        <w:t> </w:t>
      </w:r>
      <w:r>
        <w:rPr>
          <w:sz w:val="28"/>
          <w:vertAlign w:val="baseline"/>
        </w:rPr>
        <w:t>NIHRC</w:t>
      </w:r>
      <w:r>
        <w:rPr>
          <w:spacing w:val="-14"/>
          <w:sz w:val="28"/>
          <w:vertAlign w:val="baseline"/>
        </w:rPr>
        <w:t> </w:t>
      </w:r>
      <w:r>
        <w:rPr>
          <w:sz w:val="28"/>
          <w:vertAlign w:val="baseline"/>
        </w:rPr>
        <w:t>recommended</w:t>
      </w:r>
      <w:r>
        <w:rPr>
          <w:spacing w:val="-14"/>
          <w:sz w:val="28"/>
          <w:vertAlign w:val="baseline"/>
        </w:rPr>
        <w:t> </w:t>
      </w:r>
      <w:r>
        <w:rPr>
          <w:sz w:val="28"/>
          <w:vertAlign w:val="baseline"/>
        </w:rPr>
        <w:t>specific</w:t>
      </w:r>
      <w:r>
        <w:rPr>
          <w:spacing w:val="-13"/>
          <w:sz w:val="28"/>
          <w:vertAlign w:val="baseline"/>
        </w:rPr>
        <w:t> </w:t>
      </w:r>
      <w:r>
        <w:rPr>
          <w:sz w:val="28"/>
          <w:vertAlign w:val="baseline"/>
        </w:rPr>
        <w:t>acknowledgement</w:t>
      </w:r>
      <w:r>
        <w:rPr>
          <w:spacing w:val="-13"/>
          <w:sz w:val="28"/>
          <w:vertAlign w:val="baseline"/>
        </w:rPr>
        <w:t> </w:t>
      </w:r>
      <w:r>
        <w:rPr>
          <w:sz w:val="28"/>
          <w:vertAlign w:val="baseline"/>
        </w:rPr>
        <w:t>of Windsor Framework Article 2 in the text of the EU Directive.</w:t>
      </w:r>
      <w:r>
        <w:rPr>
          <w:sz w:val="28"/>
          <w:vertAlign w:val="superscript"/>
        </w:rPr>
        <w:t>285</w:t>
      </w:r>
    </w:p>
    <w:p>
      <w:pPr>
        <w:pStyle w:val="ListParagraph"/>
        <w:numPr>
          <w:ilvl w:val="1"/>
          <w:numId w:val="7"/>
        </w:numPr>
        <w:tabs>
          <w:tab w:pos="1853" w:val="left" w:leader="none"/>
        </w:tabs>
        <w:spacing w:line="225" w:lineRule="auto" w:before="315" w:after="0"/>
        <w:ind w:left="1853" w:right="1286" w:hanging="720"/>
        <w:jc w:val="left"/>
        <w:rPr>
          <w:sz w:val="28"/>
        </w:rPr>
      </w:pPr>
      <w:r>
        <w:rPr>
          <w:sz w:val="28"/>
        </w:rPr>
        <w:t>The ECNI also highlighted several areas of importance when identifying gaps in</w:t>
      </w:r>
      <w:r>
        <w:rPr>
          <w:spacing w:val="-2"/>
          <w:sz w:val="28"/>
        </w:rPr>
        <w:t> </w:t>
      </w:r>
      <w:r>
        <w:rPr>
          <w:sz w:val="28"/>
        </w:rPr>
        <w:t>the</w:t>
      </w:r>
      <w:r>
        <w:rPr>
          <w:spacing w:val="-1"/>
          <w:sz w:val="28"/>
        </w:rPr>
        <w:t> </w:t>
      </w:r>
      <w:r>
        <w:rPr>
          <w:sz w:val="28"/>
        </w:rPr>
        <w:t>EU</w:t>
      </w:r>
      <w:r>
        <w:rPr>
          <w:spacing w:val="-1"/>
          <w:sz w:val="28"/>
        </w:rPr>
        <w:t> </w:t>
      </w:r>
      <w:r>
        <w:rPr>
          <w:sz w:val="28"/>
        </w:rPr>
        <w:t>Racial</w:t>
      </w:r>
      <w:r>
        <w:rPr>
          <w:spacing w:val="-2"/>
          <w:sz w:val="28"/>
        </w:rPr>
        <w:t> </w:t>
      </w:r>
      <w:r>
        <w:rPr>
          <w:sz w:val="28"/>
        </w:rPr>
        <w:t>Equality</w:t>
      </w:r>
      <w:r>
        <w:rPr>
          <w:spacing w:val="-1"/>
          <w:sz w:val="28"/>
        </w:rPr>
        <w:t> </w:t>
      </w:r>
      <w:r>
        <w:rPr>
          <w:sz w:val="28"/>
        </w:rPr>
        <w:t>Directive</w:t>
      </w:r>
      <w:r>
        <w:rPr>
          <w:spacing w:val="-1"/>
          <w:sz w:val="28"/>
        </w:rPr>
        <w:t> </w:t>
      </w:r>
      <w:r>
        <w:rPr>
          <w:sz w:val="28"/>
        </w:rPr>
        <w:t>including</w:t>
      </w:r>
      <w:r>
        <w:rPr>
          <w:spacing w:val="-1"/>
          <w:sz w:val="28"/>
        </w:rPr>
        <w:t> </w:t>
      </w:r>
      <w:r>
        <w:rPr>
          <w:sz w:val="28"/>
        </w:rPr>
        <w:t>protection</w:t>
      </w:r>
      <w:r>
        <w:rPr>
          <w:spacing w:val="-2"/>
          <w:sz w:val="28"/>
        </w:rPr>
        <w:t> </w:t>
      </w:r>
      <w:r>
        <w:rPr>
          <w:sz w:val="28"/>
        </w:rPr>
        <w:t>against</w:t>
      </w:r>
      <w:r>
        <w:rPr>
          <w:spacing w:val="-1"/>
          <w:sz w:val="28"/>
        </w:rPr>
        <w:t> </w:t>
      </w:r>
      <w:r>
        <w:rPr>
          <w:sz w:val="28"/>
        </w:rPr>
        <w:t>discrimination on the grounds of colour and nationality, and in relation to public functions, multiple</w:t>
      </w:r>
      <w:r>
        <w:rPr>
          <w:spacing w:val="-10"/>
          <w:sz w:val="28"/>
        </w:rPr>
        <w:t> </w:t>
      </w:r>
      <w:r>
        <w:rPr>
          <w:sz w:val="28"/>
        </w:rPr>
        <w:t>discrimination,</w:t>
      </w:r>
      <w:r>
        <w:rPr>
          <w:spacing w:val="-10"/>
          <w:sz w:val="28"/>
        </w:rPr>
        <w:t> </w:t>
      </w:r>
      <w:r>
        <w:rPr>
          <w:sz w:val="28"/>
        </w:rPr>
        <w:t>third</w:t>
      </w:r>
      <w:r>
        <w:rPr>
          <w:spacing w:val="-11"/>
          <w:sz w:val="28"/>
        </w:rPr>
        <w:t> </w:t>
      </w:r>
      <w:r>
        <w:rPr>
          <w:sz w:val="28"/>
        </w:rPr>
        <w:t>party</w:t>
      </w:r>
      <w:r>
        <w:rPr>
          <w:spacing w:val="-10"/>
          <w:sz w:val="28"/>
        </w:rPr>
        <w:t> </w:t>
      </w:r>
      <w:r>
        <w:rPr>
          <w:sz w:val="28"/>
        </w:rPr>
        <w:t>harassment,</w:t>
      </w:r>
      <w:r>
        <w:rPr>
          <w:spacing w:val="-10"/>
          <w:sz w:val="28"/>
        </w:rPr>
        <w:t> </w:t>
      </w:r>
      <w:r>
        <w:rPr>
          <w:sz w:val="28"/>
        </w:rPr>
        <w:t>increasing</w:t>
      </w:r>
      <w:r>
        <w:rPr>
          <w:spacing w:val="-10"/>
          <w:sz w:val="28"/>
        </w:rPr>
        <w:t> </w:t>
      </w:r>
      <w:r>
        <w:rPr>
          <w:sz w:val="28"/>
        </w:rPr>
        <w:t>protection</w:t>
      </w:r>
      <w:r>
        <w:rPr>
          <w:spacing w:val="-11"/>
          <w:sz w:val="28"/>
        </w:rPr>
        <w:t> </w:t>
      </w:r>
      <w:r>
        <w:rPr>
          <w:sz w:val="28"/>
        </w:rPr>
        <w:t>against victimisation and equality data and monitoring.</w:t>
      </w:r>
      <w:r>
        <w:rPr>
          <w:sz w:val="28"/>
          <w:vertAlign w:val="superscript"/>
        </w:rPr>
        <w:t>286</w:t>
      </w:r>
    </w:p>
    <w:p>
      <w:pPr>
        <w:pStyle w:val="ListParagraph"/>
        <w:numPr>
          <w:ilvl w:val="1"/>
          <w:numId w:val="7"/>
        </w:numPr>
        <w:tabs>
          <w:tab w:pos="1853" w:val="left" w:leader="none"/>
        </w:tabs>
        <w:spacing w:line="225" w:lineRule="auto" w:before="314" w:after="0"/>
        <w:ind w:left="1853" w:right="1481" w:hanging="720"/>
        <w:jc w:val="left"/>
        <w:rPr>
          <w:sz w:val="28"/>
        </w:rPr>
      </w:pPr>
      <w:r>
        <w:rPr>
          <w:sz w:val="28"/>
        </w:rPr>
        <w:t>The NIHRC also outlined the need to enhance the scope of discrimination and</w:t>
      </w:r>
      <w:r>
        <w:rPr>
          <w:spacing w:val="-6"/>
          <w:sz w:val="28"/>
        </w:rPr>
        <w:t> </w:t>
      </w:r>
      <w:r>
        <w:rPr>
          <w:sz w:val="28"/>
        </w:rPr>
        <w:t>compliance</w:t>
      </w:r>
      <w:r>
        <w:rPr>
          <w:spacing w:val="-5"/>
          <w:sz w:val="28"/>
        </w:rPr>
        <w:t> </w:t>
      </w:r>
      <w:r>
        <w:rPr>
          <w:sz w:val="28"/>
        </w:rPr>
        <w:t>under</w:t>
      </w:r>
      <w:r>
        <w:rPr>
          <w:spacing w:val="-5"/>
          <w:sz w:val="28"/>
        </w:rPr>
        <w:t> </w:t>
      </w:r>
      <w:r>
        <w:rPr>
          <w:sz w:val="28"/>
        </w:rPr>
        <w:t>the</w:t>
      </w:r>
      <w:r>
        <w:rPr>
          <w:spacing w:val="-5"/>
          <w:sz w:val="28"/>
        </w:rPr>
        <w:t> </w:t>
      </w:r>
      <w:r>
        <w:rPr>
          <w:sz w:val="28"/>
        </w:rPr>
        <w:t>EU</w:t>
      </w:r>
      <w:r>
        <w:rPr>
          <w:spacing w:val="-5"/>
          <w:sz w:val="28"/>
        </w:rPr>
        <w:t> </w:t>
      </w:r>
      <w:r>
        <w:rPr>
          <w:sz w:val="28"/>
        </w:rPr>
        <w:t>Directive</w:t>
      </w:r>
      <w:r>
        <w:rPr>
          <w:spacing w:val="-5"/>
          <w:sz w:val="28"/>
        </w:rPr>
        <w:t> </w:t>
      </w:r>
      <w:r>
        <w:rPr>
          <w:sz w:val="28"/>
        </w:rPr>
        <w:t>and</w:t>
      </w:r>
      <w:r>
        <w:rPr>
          <w:spacing w:val="-6"/>
          <w:sz w:val="28"/>
        </w:rPr>
        <w:t> </w:t>
      </w:r>
      <w:r>
        <w:rPr>
          <w:sz w:val="28"/>
        </w:rPr>
        <w:t>highlighted</w:t>
      </w:r>
      <w:r>
        <w:rPr>
          <w:spacing w:val="-6"/>
          <w:sz w:val="28"/>
        </w:rPr>
        <w:t> </w:t>
      </w:r>
      <w:r>
        <w:rPr>
          <w:sz w:val="28"/>
        </w:rPr>
        <w:t>the</w:t>
      </w:r>
      <w:r>
        <w:rPr>
          <w:spacing w:val="-5"/>
          <w:sz w:val="28"/>
        </w:rPr>
        <w:t> </w:t>
      </w:r>
      <w:r>
        <w:rPr>
          <w:sz w:val="28"/>
        </w:rPr>
        <w:t>need</w:t>
      </w:r>
      <w:r>
        <w:rPr>
          <w:spacing w:val="-6"/>
          <w:sz w:val="28"/>
        </w:rPr>
        <w:t> </w:t>
      </w:r>
      <w:r>
        <w:rPr>
          <w:sz w:val="28"/>
        </w:rPr>
        <w:t>to</w:t>
      </w:r>
      <w:r>
        <w:rPr>
          <w:spacing w:val="-6"/>
          <w:sz w:val="28"/>
        </w:rPr>
        <w:t> </w:t>
      </w:r>
      <w:r>
        <w:rPr>
          <w:sz w:val="28"/>
        </w:rPr>
        <w:t>identify discrimination arising from algorithms and data-driven technology.</w:t>
      </w:r>
      <w:r>
        <w:rPr>
          <w:sz w:val="28"/>
          <w:vertAlign w:val="superscript"/>
        </w:rPr>
        <w:t>287</w:t>
      </w:r>
      <w:r>
        <w:rPr>
          <w:sz w:val="28"/>
          <w:vertAlign w:val="baseline"/>
        </w:rPr>
        <w:t> Furthermore,</w:t>
      </w:r>
      <w:r>
        <w:rPr>
          <w:spacing w:val="-5"/>
          <w:sz w:val="28"/>
          <w:vertAlign w:val="baseline"/>
        </w:rPr>
        <w:t> </w:t>
      </w:r>
      <w:r>
        <w:rPr>
          <w:sz w:val="28"/>
          <w:vertAlign w:val="baseline"/>
        </w:rPr>
        <w:t>the</w:t>
      </w:r>
      <w:r>
        <w:rPr>
          <w:spacing w:val="-5"/>
          <w:sz w:val="28"/>
          <w:vertAlign w:val="baseline"/>
        </w:rPr>
        <w:t> </w:t>
      </w:r>
      <w:r>
        <w:rPr>
          <w:sz w:val="28"/>
          <w:vertAlign w:val="baseline"/>
        </w:rPr>
        <w:t>NIHRC</w:t>
      </w:r>
      <w:r>
        <w:rPr>
          <w:spacing w:val="-6"/>
          <w:sz w:val="28"/>
          <w:vertAlign w:val="baseline"/>
        </w:rPr>
        <w:t> </w:t>
      </w:r>
      <w:r>
        <w:rPr>
          <w:sz w:val="28"/>
          <w:vertAlign w:val="baseline"/>
        </w:rPr>
        <w:t>noted</w:t>
      </w:r>
      <w:r>
        <w:rPr>
          <w:spacing w:val="-6"/>
          <w:sz w:val="28"/>
          <w:vertAlign w:val="baseline"/>
        </w:rPr>
        <w:t> </w:t>
      </w:r>
      <w:r>
        <w:rPr>
          <w:sz w:val="28"/>
          <w:vertAlign w:val="baseline"/>
        </w:rPr>
        <w:t>that</w:t>
      </w:r>
      <w:r>
        <w:rPr>
          <w:spacing w:val="-5"/>
          <w:sz w:val="28"/>
          <w:vertAlign w:val="baseline"/>
        </w:rPr>
        <w:t> </w:t>
      </w:r>
      <w:r>
        <w:rPr>
          <w:sz w:val="28"/>
          <w:vertAlign w:val="baseline"/>
        </w:rPr>
        <w:t>the</w:t>
      </w:r>
      <w:r>
        <w:rPr>
          <w:spacing w:val="-5"/>
          <w:sz w:val="28"/>
          <w:vertAlign w:val="baseline"/>
        </w:rPr>
        <w:t> </w:t>
      </w:r>
      <w:r>
        <w:rPr>
          <w:sz w:val="28"/>
          <w:vertAlign w:val="baseline"/>
        </w:rPr>
        <w:t>review</w:t>
      </w:r>
      <w:r>
        <w:rPr>
          <w:spacing w:val="-5"/>
          <w:sz w:val="28"/>
          <w:vertAlign w:val="baseline"/>
        </w:rPr>
        <w:t> </w:t>
      </w:r>
      <w:r>
        <w:rPr>
          <w:sz w:val="28"/>
          <w:vertAlign w:val="baseline"/>
        </w:rPr>
        <w:t>of</w:t>
      </w:r>
      <w:r>
        <w:rPr>
          <w:spacing w:val="-6"/>
          <w:sz w:val="28"/>
          <w:vertAlign w:val="baseline"/>
        </w:rPr>
        <w:t> </w:t>
      </w:r>
      <w:r>
        <w:rPr>
          <w:sz w:val="28"/>
          <w:vertAlign w:val="baseline"/>
        </w:rPr>
        <w:t>the</w:t>
      </w:r>
      <w:r>
        <w:rPr>
          <w:spacing w:val="-5"/>
          <w:sz w:val="28"/>
          <w:vertAlign w:val="baseline"/>
        </w:rPr>
        <w:t> </w:t>
      </w:r>
      <w:r>
        <w:rPr>
          <w:sz w:val="28"/>
          <w:vertAlign w:val="baseline"/>
        </w:rPr>
        <w:t>EU</w:t>
      </w:r>
      <w:r>
        <w:rPr>
          <w:spacing w:val="-5"/>
          <w:sz w:val="28"/>
          <w:vertAlign w:val="baseline"/>
        </w:rPr>
        <w:t> </w:t>
      </w:r>
      <w:r>
        <w:rPr>
          <w:sz w:val="28"/>
          <w:vertAlign w:val="baseline"/>
        </w:rPr>
        <w:t>Directive</w:t>
      </w:r>
      <w:r>
        <w:rPr>
          <w:spacing w:val="-5"/>
          <w:sz w:val="28"/>
          <w:vertAlign w:val="baseline"/>
        </w:rPr>
        <w:t> </w:t>
      </w:r>
      <w:r>
        <w:rPr>
          <w:sz w:val="28"/>
          <w:vertAlign w:val="baseline"/>
        </w:rPr>
        <w:t>provided a welcome opportunity to address local gaps, including protections against</w:t>
      </w:r>
    </w:p>
    <w:p>
      <w:pPr>
        <w:pStyle w:val="BodyText"/>
        <w:spacing w:line="225" w:lineRule="auto"/>
        <w:ind w:left="1853" w:right="1171"/>
      </w:pPr>
      <w:r>
        <w:rPr/>
        <mc:AlternateContent>
          <mc:Choice Requires="wps">
            <w:drawing>
              <wp:anchor distT="0" distB="0" distL="0" distR="0" allowOverlap="1" layoutInCell="1" locked="0" behindDoc="1" simplePos="0" relativeHeight="487657984">
                <wp:simplePos x="0" y="0"/>
                <wp:positionH relativeFrom="page">
                  <wp:posOffset>719996</wp:posOffset>
                </wp:positionH>
                <wp:positionV relativeFrom="paragraph">
                  <wp:posOffset>442851</wp:posOffset>
                </wp:positionV>
                <wp:extent cx="6120130" cy="1270"/>
                <wp:effectExtent l="0" t="0" r="0" b="0"/>
                <wp:wrapTopAndBottom/>
                <wp:docPr id="310" name="Graphic 310"/>
                <wp:cNvGraphicFramePr>
                  <a:graphicFrameLocks/>
                </wp:cNvGraphicFramePr>
                <a:graphic>
                  <a:graphicData uri="http://schemas.microsoft.com/office/word/2010/wordprocessingShape">
                    <wps:wsp>
                      <wps:cNvPr id="310" name="Graphic 31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34.870205pt;width:481.9pt;height:.1pt;mso-position-horizontal-relative:page;mso-position-vertical-relative:paragraph;z-index:-15658496;mso-wrap-distance-left:0;mso-wrap-distance-right:0" id="docshape262" coordorigin="1134,697" coordsize="9638,0" path="m10772,697l1134,697e" filled="false" stroked="true" strokeweight="1pt" strokecolor="#393b80">
                <v:path arrowok="t"/>
                <v:stroke dashstyle="solid"/>
                <w10:wrap type="topAndBottom"/>
              </v:shape>
            </w:pict>
          </mc:Fallback>
        </mc:AlternateContent>
      </w:r>
      <w:r>
        <w:rPr/>
        <w:t>intersectional</w:t>
      </w:r>
      <w:r>
        <w:rPr>
          <w:spacing w:val="-6"/>
        </w:rPr>
        <w:t> </w:t>
      </w:r>
      <w:r>
        <w:rPr/>
        <w:t>and</w:t>
      </w:r>
      <w:r>
        <w:rPr>
          <w:spacing w:val="-6"/>
        </w:rPr>
        <w:t> </w:t>
      </w:r>
      <w:r>
        <w:rPr/>
        <w:t>multiple</w:t>
      </w:r>
      <w:r>
        <w:rPr>
          <w:spacing w:val="-5"/>
        </w:rPr>
        <w:t> </w:t>
      </w:r>
      <w:r>
        <w:rPr/>
        <w:t>discrimination</w:t>
      </w:r>
      <w:r>
        <w:rPr>
          <w:spacing w:val="-6"/>
        </w:rPr>
        <w:t> </w:t>
      </w:r>
      <w:r>
        <w:rPr/>
        <w:t>in</w:t>
      </w:r>
      <w:r>
        <w:rPr>
          <w:spacing w:val="-6"/>
        </w:rPr>
        <w:t> </w:t>
      </w:r>
      <w:r>
        <w:rPr/>
        <w:t>NI</w:t>
      </w:r>
      <w:r>
        <w:rPr>
          <w:spacing w:val="-5"/>
        </w:rPr>
        <w:t> </w:t>
      </w:r>
      <w:r>
        <w:rPr/>
        <w:t>and</w:t>
      </w:r>
      <w:r>
        <w:rPr>
          <w:spacing w:val="-6"/>
        </w:rPr>
        <w:t> </w:t>
      </w:r>
      <w:r>
        <w:rPr/>
        <w:t>providing</w:t>
      </w:r>
      <w:r>
        <w:rPr>
          <w:spacing w:val="-5"/>
        </w:rPr>
        <w:t> </w:t>
      </w:r>
      <w:r>
        <w:rPr/>
        <w:t>for</w:t>
      </w:r>
      <w:r>
        <w:rPr>
          <w:spacing w:val="-5"/>
        </w:rPr>
        <w:t> </w:t>
      </w:r>
      <w:r>
        <w:rPr/>
        <w:t>a</w:t>
      </w:r>
      <w:r>
        <w:rPr>
          <w:spacing w:val="-6"/>
        </w:rPr>
        <w:t> </w:t>
      </w:r>
      <w:r>
        <w:rPr/>
        <w:t>duty</w:t>
      </w:r>
      <w:r>
        <w:rPr>
          <w:spacing w:val="-5"/>
        </w:rPr>
        <w:t> </w:t>
      </w:r>
      <w:r>
        <w:rPr/>
        <w:t>on</w:t>
      </w:r>
      <w:r>
        <w:rPr>
          <w:spacing w:val="-6"/>
        </w:rPr>
        <w:t> </w:t>
      </w:r>
      <w:r>
        <w:rPr/>
        <w:t>all public authorities to collect, analyse and monitor equality data.</w:t>
      </w:r>
      <w:r>
        <w:rPr>
          <w:vertAlign w:val="superscript"/>
        </w:rPr>
        <w:t>288</w:t>
      </w:r>
    </w:p>
    <w:p>
      <w:pPr>
        <w:pStyle w:val="ListParagraph"/>
        <w:numPr>
          <w:ilvl w:val="0"/>
          <w:numId w:val="9"/>
        </w:numPr>
        <w:tabs>
          <w:tab w:pos="1853" w:val="left" w:leader="none"/>
        </w:tabs>
        <w:spacing w:line="218" w:lineRule="exact" w:before="101" w:after="0"/>
        <w:ind w:left="1853" w:right="0" w:hanging="720"/>
        <w:jc w:val="left"/>
        <w:rPr>
          <w:sz w:val="18"/>
        </w:rPr>
      </w:pPr>
      <w:r>
        <w:rPr>
          <w:sz w:val="18"/>
        </w:rPr>
        <w:t>Alison</w:t>
      </w:r>
      <w:r>
        <w:rPr>
          <w:spacing w:val="-7"/>
          <w:sz w:val="18"/>
        </w:rPr>
        <w:t> </w:t>
      </w:r>
      <w:r>
        <w:rPr>
          <w:sz w:val="18"/>
        </w:rPr>
        <w:t>Harvey,</w:t>
      </w:r>
      <w:r>
        <w:rPr>
          <w:spacing w:val="-5"/>
          <w:sz w:val="18"/>
        </w:rPr>
        <w:t> </w:t>
      </w:r>
      <w:r>
        <w:rPr>
          <w:sz w:val="18"/>
        </w:rPr>
        <w:t>‘Legal</w:t>
      </w:r>
      <w:r>
        <w:rPr>
          <w:spacing w:val="-6"/>
          <w:sz w:val="18"/>
        </w:rPr>
        <w:t> </w:t>
      </w:r>
      <w:r>
        <w:rPr>
          <w:sz w:val="18"/>
        </w:rPr>
        <w:t>analysis</w:t>
      </w:r>
      <w:r>
        <w:rPr>
          <w:spacing w:val="-6"/>
          <w:sz w:val="18"/>
        </w:rPr>
        <w:t> </w:t>
      </w:r>
      <w:r>
        <w:rPr>
          <w:sz w:val="18"/>
        </w:rPr>
        <w:t>of</w:t>
      </w:r>
      <w:r>
        <w:rPr>
          <w:spacing w:val="-6"/>
          <w:sz w:val="18"/>
        </w:rPr>
        <w:t> </w:t>
      </w:r>
      <w:r>
        <w:rPr>
          <w:sz w:val="18"/>
        </w:rPr>
        <w:t>immigration</w:t>
      </w:r>
      <w:r>
        <w:rPr>
          <w:spacing w:val="-6"/>
          <w:sz w:val="18"/>
        </w:rPr>
        <w:t> </w:t>
      </w:r>
      <w:r>
        <w:rPr>
          <w:sz w:val="18"/>
        </w:rPr>
        <w:t>or</w:t>
      </w:r>
      <w:r>
        <w:rPr>
          <w:spacing w:val="-5"/>
          <w:sz w:val="18"/>
        </w:rPr>
        <w:t> </w:t>
      </w:r>
      <w:r>
        <w:rPr>
          <w:sz w:val="18"/>
        </w:rPr>
        <w:t>related</w:t>
      </w:r>
      <w:r>
        <w:rPr>
          <w:spacing w:val="-6"/>
          <w:sz w:val="18"/>
        </w:rPr>
        <w:t> </w:t>
      </w:r>
      <w:r>
        <w:rPr>
          <w:sz w:val="18"/>
        </w:rPr>
        <w:t>rights</w:t>
      </w:r>
      <w:r>
        <w:rPr>
          <w:spacing w:val="-6"/>
          <w:sz w:val="18"/>
        </w:rPr>
        <w:t> </w:t>
      </w:r>
      <w:r>
        <w:rPr>
          <w:sz w:val="18"/>
        </w:rPr>
        <w:t>and</w:t>
      </w:r>
      <w:r>
        <w:rPr>
          <w:spacing w:val="-6"/>
          <w:sz w:val="18"/>
        </w:rPr>
        <w:t> </w:t>
      </w:r>
      <w:r>
        <w:rPr>
          <w:sz w:val="18"/>
        </w:rPr>
        <w:t>equality</w:t>
      </w:r>
      <w:r>
        <w:rPr>
          <w:spacing w:val="-5"/>
          <w:sz w:val="18"/>
        </w:rPr>
        <w:t> </w:t>
      </w:r>
      <w:r>
        <w:rPr>
          <w:sz w:val="18"/>
        </w:rPr>
        <w:t>protections</w:t>
      </w:r>
      <w:r>
        <w:rPr>
          <w:spacing w:val="-7"/>
          <w:sz w:val="18"/>
        </w:rPr>
        <w:t> </w:t>
      </w:r>
      <w:r>
        <w:rPr>
          <w:sz w:val="18"/>
        </w:rPr>
        <w:t>in</w:t>
      </w:r>
      <w:r>
        <w:rPr>
          <w:spacing w:val="-6"/>
          <w:sz w:val="18"/>
        </w:rPr>
        <w:t> </w:t>
      </w:r>
      <w:r>
        <w:rPr>
          <w:sz w:val="18"/>
        </w:rPr>
        <w:t>NI</w:t>
      </w:r>
      <w:r>
        <w:rPr>
          <w:spacing w:val="-5"/>
          <w:sz w:val="18"/>
        </w:rPr>
        <w:t> </w:t>
      </w:r>
      <w:r>
        <w:rPr>
          <w:sz w:val="18"/>
        </w:rPr>
        <w:t>after</w:t>
      </w:r>
      <w:r>
        <w:rPr>
          <w:spacing w:val="-5"/>
          <w:sz w:val="18"/>
        </w:rPr>
        <w:t> </w:t>
      </w:r>
      <w:r>
        <w:rPr>
          <w:sz w:val="18"/>
        </w:rPr>
        <w:t>Brexit’</w:t>
      </w:r>
      <w:r>
        <w:rPr>
          <w:spacing w:val="-5"/>
          <w:sz w:val="18"/>
        </w:rPr>
        <w:t> </w:t>
      </w:r>
      <w:r>
        <w:rPr>
          <w:sz w:val="18"/>
        </w:rPr>
        <w:t>(NIHRC,</w:t>
      </w:r>
      <w:r>
        <w:rPr>
          <w:spacing w:val="-5"/>
          <w:sz w:val="18"/>
        </w:rPr>
        <w:t> </w:t>
      </w:r>
      <w:r>
        <w:rPr>
          <w:spacing w:val="-2"/>
          <w:sz w:val="18"/>
        </w:rPr>
        <w:t>2023).</w:t>
      </w:r>
    </w:p>
    <w:p>
      <w:pPr>
        <w:pStyle w:val="ListParagraph"/>
        <w:numPr>
          <w:ilvl w:val="0"/>
          <w:numId w:val="9"/>
        </w:numPr>
        <w:tabs>
          <w:tab w:pos="1853" w:val="left" w:leader="none"/>
        </w:tabs>
        <w:spacing w:line="235" w:lineRule="auto" w:before="1" w:after="0"/>
        <w:ind w:left="1853" w:right="1914" w:hanging="720"/>
        <w:jc w:val="left"/>
        <w:rPr>
          <w:sz w:val="18"/>
        </w:rPr>
      </w:pPr>
      <w:r>
        <w:rPr>
          <w:sz w:val="18"/>
        </w:rPr>
        <w:t>Directive</w:t>
      </w:r>
      <w:r>
        <w:rPr>
          <w:spacing w:val="-6"/>
          <w:sz w:val="18"/>
        </w:rPr>
        <w:t> </w:t>
      </w:r>
      <w:r>
        <w:rPr>
          <w:sz w:val="18"/>
        </w:rPr>
        <w:t>2000/43/EC,</w:t>
      </w:r>
      <w:r>
        <w:rPr>
          <w:spacing w:val="-6"/>
          <w:sz w:val="18"/>
        </w:rPr>
        <w:t> </w:t>
      </w:r>
      <w:r>
        <w:rPr>
          <w:sz w:val="18"/>
        </w:rPr>
        <w:t>‘EU</w:t>
      </w:r>
      <w:r>
        <w:rPr>
          <w:spacing w:val="-6"/>
          <w:sz w:val="18"/>
        </w:rPr>
        <w:t> </w:t>
      </w:r>
      <w:r>
        <w:rPr>
          <w:sz w:val="18"/>
        </w:rPr>
        <w:t>Council</w:t>
      </w:r>
      <w:r>
        <w:rPr>
          <w:spacing w:val="-7"/>
          <w:sz w:val="18"/>
        </w:rPr>
        <w:t> </w:t>
      </w:r>
      <w:r>
        <w:rPr>
          <w:sz w:val="18"/>
        </w:rPr>
        <w:t>Directive</w:t>
      </w:r>
      <w:r>
        <w:rPr>
          <w:spacing w:val="-6"/>
          <w:sz w:val="18"/>
        </w:rPr>
        <w:t> </w:t>
      </w:r>
      <w:r>
        <w:rPr>
          <w:sz w:val="18"/>
        </w:rPr>
        <w:t>on</w:t>
      </w:r>
      <w:r>
        <w:rPr>
          <w:spacing w:val="-7"/>
          <w:sz w:val="18"/>
        </w:rPr>
        <w:t> </w:t>
      </w:r>
      <w:r>
        <w:rPr>
          <w:sz w:val="18"/>
        </w:rPr>
        <w:t>Implementing</w:t>
      </w:r>
      <w:r>
        <w:rPr>
          <w:spacing w:val="-6"/>
          <w:sz w:val="18"/>
        </w:rPr>
        <w:t> </w:t>
      </w:r>
      <w:r>
        <w:rPr>
          <w:sz w:val="18"/>
        </w:rPr>
        <w:t>the</w:t>
      </w:r>
      <w:r>
        <w:rPr>
          <w:spacing w:val="-6"/>
          <w:sz w:val="18"/>
        </w:rPr>
        <w:t> </w:t>
      </w:r>
      <w:r>
        <w:rPr>
          <w:sz w:val="18"/>
        </w:rPr>
        <w:t>Principle</w:t>
      </w:r>
      <w:r>
        <w:rPr>
          <w:spacing w:val="-6"/>
          <w:sz w:val="18"/>
        </w:rPr>
        <w:t> </w:t>
      </w:r>
      <w:r>
        <w:rPr>
          <w:sz w:val="18"/>
        </w:rPr>
        <w:t>of</w:t>
      </w:r>
      <w:r>
        <w:rPr>
          <w:spacing w:val="-7"/>
          <w:sz w:val="18"/>
        </w:rPr>
        <w:t> </w:t>
      </w:r>
      <w:r>
        <w:rPr>
          <w:sz w:val="18"/>
        </w:rPr>
        <w:t>Equal</w:t>
      </w:r>
      <w:r>
        <w:rPr>
          <w:spacing w:val="-7"/>
          <w:sz w:val="18"/>
        </w:rPr>
        <w:t> </w:t>
      </w:r>
      <w:r>
        <w:rPr>
          <w:sz w:val="18"/>
        </w:rPr>
        <w:t>Treatment</w:t>
      </w:r>
      <w:r>
        <w:rPr>
          <w:spacing w:val="-6"/>
          <w:sz w:val="18"/>
        </w:rPr>
        <w:t> </w:t>
      </w:r>
      <w:r>
        <w:rPr>
          <w:sz w:val="18"/>
        </w:rPr>
        <w:t>between</w:t>
      </w:r>
      <w:r>
        <w:rPr>
          <w:spacing w:val="-7"/>
          <w:sz w:val="18"/>
        </w:rPr>
        <w:t> </w:t>
      </w:r>
      <w:r>
        <w:rPr>
          <w:sz w:val="18"/>
        </w:rPr>
        <w:t>Persons Irrespective of Racial or Ethnic Origin’, 29 June 2000.</w:t>
      </w:r>
    </w:p>
    <w:p>
      <w:pPr>
        <w:pStyle w:val="ListParagraph"/>
        <w:numPr>
          <w:ilvl w:val="0"/>
          <w:numId w:val="9"/>
        </w:numPr>
        <w:tabs>
          <w:tab w:pos="1853" w:val="left" w:leader="none"/>
        </w:tabs>
        <w:spacing w:line="216" w:lineRule="exact" w:before="0" w:after="0"/>
        <w:ind w:left="1853" w:right="0" w:hanging="720"/>
        <w:jc w:val="left"/>
        <w:rPr>
          <w:sz w:val="18"/>
        </w:rPr>
      </w:pPr>
      <w:r>
        <w:rPr>
          <w:sz w:val="18"/>
        </w:rPr>
        <w:t>EU</w:t>
      </w:r>
      <w:r>
        <w:rPr>
          <w:spacing w:val="-4"/>
          <w:sz w:val="18"/>
        </w:rPr>
        <w:t> </w:t>
      </w:r>
      <w:r>
        <w:rPr>
          <w:sz w:val="18"/>
        </w:rPr>
        <w:t>Commission,</w:t>
      </w:r>
      <w:r>
        <w:rPr>
          <w:spacing w:val="-4"/>
          <w:sz w:val="18"/>
        </w:rPr>
        <w:t> </w:t>
      </w:r>
      <w:r>
        <w:rPr>
          <w:sz w:val="18"/>
        </w:rPr>
        <w:t>‘Addressing</w:t>
      </w:r>
      <w:r>
        <w:rPr>
          <w:spacing w:val="-3"/>
          <w:sz w:val="18"/>
        </w:rPr>
        <w:t> </w:t>
      </w:r>
      <w:r>
        <w:rPr>
          <w:sz w:val="18"/>
        </w:rPr>
        <w:t>possible</w:t>
      </w:r>
      <w:r>
        <w:rPr>
          <w:spacing w:val="-4"/>
          <w:sz w:val="18"/>
        </w:rPr>
        <w:t> </w:t>
      </w:r>
      <w:r>
        <w:rPr>
          <w:sz w:val="18"/>
        </w:rPr>
        <w:t>gaps</w:t>
      </w:r>
      <w:r>
        <w:rPr>
          <w:spacing w:val="-4"/>
          <w:sz w:val="18"/>
        </w:rPr>
        <w:t> </w:t>
      </w:r>
      <w:r>
        <w:rPr>
          <w:sz w:val="18"/>
        </w:rPr>
        <w:t>in</w:t>
      </w:r>
      <w:r>
        <w:rPr>
          <w:spacing w:val="-5"/>
          <w:sz w:val="18"/>
        </w:rPr>
        <w:t> </w:t>
      </w:r>
      <w:r>
        <w:rPr>
          <w:sz w:val="18"/>
        </w:rPr>
        <w:t>the</w:t>
      </w:r>
      <w:r>
        <w:rPr>
          <w:spacing w:val="-3"/>
          <w:sz w:val="18"/>
        </w:rPr>
        <w:t> </w:t>
      </w:r>
      <w:r>
        <w:rPr>
          <w:sz w:val="18"/>
        </w:rPr>
        <w:t>Racial</w:t>
      </w:r>
      <w:r>
        <w:rPr>
          <w:spacing w:val="-5"/>
          <w:sz w:val="18"/>
        </w:rPr>
        <w:t> </w:t>
      </w:r>
      <w:r>
        <w:rPr>
          <w:sz w:val="18"/>
        </w:rPr>
        <w:t>Equality</w:t>
      </w:r>
      <w:r>
        <w:rPr>
          <w:spacing w:val="-3"/>
          <w:sz w:val="18"/>
        </w:rPr>
        <w:t> </w:t>
      </w:r>
      <w:r>
        <w:rPr>
          <w:sz w:val="18"/>
        </w:rPr>
        <w:t>Directive</w:t>
      </w:r>
      <w:r>
        <w:rPr>
          <w:spacing w:val="-4"/>
          <w:sz w:val="18"/>
        </w:rPr>
        <w:t> </w:t>
      </w:r>
      <w:r>
        <w:rPr>
          <w:sz w:val="18"/>
        </w:rPr>
        <w:t>–</w:t>
      </w:r>
      <w:r>
        <w:rPr>
          <w:spacing w:val="-5"/>
          <w:sz w:val="18"/>
        </w:rPr>
        <w:t> </w:t>
      </w:r>
      <w:r>
        <w:rPr>
          <w:sz w:val="18"/>
        </w:rPr>
        <w:t>Public</w:t>
      </w:r>
      <w:r>
        <w:rPr>
          <w:spacing w:val="-3"/>
          <w:sz w:val="18"/>
        </w:rPr>
        <w:t> </w:t>
      </w:r>
      <w:r>
        <w:rPr>
          <w:sz w:val="18"/>
        </w:rPr>
        <w:t>Consultation’</w:t>
      </w:r>
      <w:r>
        <w:rPr>
          <w:spacing w:val="-4"/>
          <w:sz w:val="18"/>
        </w:rPr>
        <w:t> </w:t>
      </w:r>
      <w:r>
        <w:rPr>
          <w:sz w:val="18"/>
        </w:rPr>
        <w:t>(EU,</w:t>
      </w:r>
      <w:r>
        <w:rPr>
          <w:spacing w:val="-3"/>
          <w:sz w:val="18"/>
        </w:rPr>
        <w:t> </w:t>
      </w:r>
      <w:r>
        <w:rPr>
          <w:spacing w:val="-2"/>
          <w:sz w:val="18"/>
        </w:rPr>
        <w:t>2022).</w:t>
      </w:r>
    </w:p>
    <w:p>
      <w:pPr>
        <w:pStyle w:val="ListParagraph"/>
        <w:numPr>
          <w:ilvl w:val="0"/>
          <w:numId w:val="9"/>
        </w:numPr>
        <w:tabs>
          <w:tab w:pos="1853" w:val="left" w:leader="none"/>
        </w:tabs>
        <w:spacing w:line="216" w:lineRule="exact" w:before="0" w:after="0"/>
        <w:ind w:left="1853" w:right="0" w:hanging="720"/>
        <w:jc w:val="left"/>
        <w:rPr>
          <w:sz w:val="18"/>
        </w:rPr>
      </w:pPr>
      <w:r>
        <w:rPr>
          <w:sz w:val="18"/>
        </w:rPr>
        <w:t>Section</w:t>
      </w:r>
      <w:r>
        <w:rPr>
          <w:spacing w:val="-5"/>
          <w:sz w:val="18"/>
        </w:rPr>
        <w:t> </w:t>
      </w:r>
      <w:r>
        <w:rPr>
          <w:sz w:val="18"/>
        </w:rPr>
        <w:t>78A(1),</w:t>
      </w:r>
      <w:r>
        <w:rPr>
          <w:spacing w:val="-4"/>
          <w:sz w:val="18"/>
        </w:rPr>
        <w:t> </w:t>
      </w:r>
      <w:r>
        <w:rPr>
          <w:sz w:val="18"/>
        </w:rPr>
        <w:t>Northern</w:t>
      </w:r>
      <w:r>
        <w:rPr>
          <w:spacing w:val="-4"/>
          <w:sz w:val="18"/>
        </w:rPr>
        <w:t> </w:t>
      </w:r>
      <w:r>
        <w:rPr>
          <w:sz w:val="18"/>
        </w:rPr>
        <w:t>Ireland</w:t>
      </w:r>
      <w:r>
        <w:rPr>
          <w:spacing w:val="-4"/>
          <w:sz w:val="18"/>
        </w:rPr>
        <w:t> </w:t>
      </w:r>
      <w:r>
        <w:rPr>
          <w:sz w:val="18"/>
        </w:rPr>
        <w:t>Act</w:t>
      </w:r>
      <w:r>
        <w:rPr>
          <w:spacing w:val="-4"/>
          <w:sz w:val="18"/>
        </w:rPr>
        <w:t> </w:t>
      </w:r>
      <w:r>
        <w:rPr>
          <w:sz w:val="18"/>
        </w:rPr>
        <w:t>1998;</w:t>
      </w:r>
      <w:r>
        <w:rPr>
          <w:spacing w:val="-4"/>
          <w:sz w:val="18"/>
        </w:rPr>
        <w:t> </w:t>
      </w:r>
      <w:r>
        <w:rPr>
          <w:sz w:val="18"/>
        </w:rPr>
        <w:t>Articles</w:t>
      </w:r>
      <w:r>
        <w:rPr>
          <w:spacing w:val="-4"/>
          <w:sz w:val="18"/>
        </w:rPr>
        <w:t> </w:t>
      </w:r>
      <w:r>
        <w:rPr>
          <w:sz w:val="18"/>
        </w:rPr>
        <w:t>2</w:t>
      </w:r>
      <w:r>
        <w:rPr>
          <w:spacing w:val="-4"/>
          <w:sz w:val="18"/>
        </w:rPr>
        <w:t> </w:t>
      </w:r>
      <w:r>
        <w:rPr>
          <w:sz w:val="18"/>
        </w:rPr>
        <w:t>and</w:t>
      </w:r>
      <w:r>
        <w:rPr>
          <w:spacing w:val="-4"/>
          <w:sz w:val="18"/>
        </w:rPr>
        <w:t> </w:t>
      </w:r>
      <w:r>
        <w:rPr>
          <w:sz w:val="18"/>
        </w:rPr>
        <w:t>13,</w:t>
      </w:r>
      <w:r>
        <w:rPr>
          <w:spacing w:val="-4"/>
          <w:sz w:val="18"/>
        </w:rPr>
        <w:t> </w:t>
      </w:r>
      <w:r>
        <w:rPr>
          <w:sz w:val="18"/>
        </w:rPr>
        <w:t>Windsor</w:t>
      </w:r>
      <w:r>
        <w:rPr>
          <w:spacing w:val="-3"/>
          <w:sz w:val="18"/>
        </w:rPr>
        <w:t> </w:t>
      </w:r>
      <w:r>
        <w:rPr>
          <w:sz w:val="18"/>
        </w:rPr>
        <w:t>Framework</w:t>
      </w:r>
      <w:r>
        <w:rPr>
          <w:spacing w:val="-4"/>
          <w:sz w:val="18"/>
        </w:rPr>
        <w:t> </w:t>
      </w:r>
      <w:r>
        <w:rPr>
          <w:sz w:val="18"/>
        </w:rPr>
        <w:t>and</w:t>
      </w:r>
      <w:r>
        <w:rPr>
          <w:spacing w:val="-4"/>
          <w:sz w:val="18"/>
        </w:rPr>
        <w:t> </w:t>
      </w:r>
      <w:r>
        <w:rPr>
          <w:sz w:val="18"/>
        </w:rPr>
        <w:t>s7A</w:t>
      </w:r>
      <w:r>
        <w:rPr>
          <w:spacing w:val="-4"/>
          <w:sz w:val="18"/>
        </w:rPr>
        <w:t> </w:t>
      </w:r>
      <w:r>
        <w:rPr>
          <w:sz w:val="18"/>
        </w:rPr>
        <w:t>EU</w:t>
      </w:r>
      <w:r>
        <w:rPr>
          <w:spacing w:val="-3"/>
          <w:sz w:val="18"/>
        </w:rPr>
        <w:t> </w:t>
      </w:r>
      <w:r>
        <w:rPr>
          <w:sz w:val="18"/>
        </w:rPr>
        <w:t>(Withdrawal)</w:t>
      </w:r>
      <w:r>
        <w:rPr>
          <w:spacing w:val="-5"/>
          <w:sz w:val="18"/>
        </w:rPr>
        <w:t> </w:t>
      </w:r>
      <w:r>
        <w:rPr>
          <w:sz w:val="18"/>
        </w:rPr>
        <w:t>Act</w:t>
      </w:r>
      <w:r>
        <w:rPr>
          <w:spacing w:val="-3"/>
          <w:sz w:val="18"/>
        </w:rPr>
        <w:t> </w:t>
      </w:r>
      <w:r>
        <w:rPr>
          <w:spacing w:val="-2"/>
          <w:sz w:val="18"/>
        </w:rPr>
        <w:t>2018.</w:t>
      </w:r>
    </w:p>
    <w:p>
      <w:pPr>
        <w:pStyle w:val="ListParagraph"/>
        <w:numPr>
          <w:ilvl w:val="0"/>
          <w:numId w:val="9"/>
        </w:numPr>
        <w:tabs>
          <w:tab w:pos="1853" w:val="left" w:leader="none"/>
        </w:tabs>
        <w:spacing w:line="235" w:lineRule="auto" w:before="2" w:after="0"/>
        <w:ind w:left="1853" w:right="1575" w:hanging="720"/>
        <w:jc w:val="left"/>
        <w:rPr>
          <w:sz w:val="18"/>
        </w:rPr>
      </w:pPr>
      <w:r>
        <w:rPr>
          <w:sz w:val="18"/>
        </w:rPr>
        <w:t>NI Human Rights Commission, ‘</w:t>
      </w:r>
      <w:hyperlink r:id="rId135">
        <w:r>
          <w:rPr>
            <w:sz w:val="18"/>
          </w:rPr>
          <w:t>Response to the European Commission Consultation on the Racial Equality Directive</w:t>
        </w:r>
      </w:hyperlink>
      <w:r>
        <w:rPr>
          <w:sz w:val="18"/>
        </w:rPr>
        <w:t> </w:t>
      </w:r>
      <w:hyperlink r:id="rId135">
        <w:r>
          <w:rPr>
            <w:sz w:val="18"/>
          </w:rPr>
          <w:t>(Directive</w:t>
        </w:r>
        <w:r>
          <w:rPr>
            <w:spacing w:val="-5"/>
            <w:sz w:val="18"/>
          </w:rPr>
          <w:t> </w:t>
        </w:r>
        <w:r>
          <w:rPr>
            <w:sz w:val="18"/>
          </w:rPr>
          <w:t>2000/43/EC)</w:t>
        </w:r>
      </w:hyperlink>
      <w:r>
        <w:rPr>
          <w:sz w:val="18"/>
        </w:rPr>
        <w:t>’</w:t>
      </w:r>
      <w:r>
        <w:rPr>
          <w:spacing w:val="-5"/>
          <w:sz w:val="18"/>
        </w:rPr>
        <w:t> </w:t>
      </w:r>
      <w:r>
        <w:rPr>
          <w:sz w:val="18"/>
        </w:rPr>
        <w:t>(NIHRC,</w:t>
      </w:r>
      <w:r>
        <w:rPr>
          <w:spacing w:val="-5"/>
          <w:sz w:val="18"/>
        </w:rPr>
        <w:t> </w:t>
      </w:r>
      <w:r>
        <w:rPr>
          <w:sz w:val="18"/>
        </w:rPr>
        <w:t>2022);</w:t>
      </w:r>
      <w:r>
        <w:rPr>
          <w:spacing w:val="-5"/>
          <w:sz w:val="18"/>
        </w:rPr>
        <w:t> </w:t>
      </w:r>
      <w:r>
        <w:rPr>
          <w:sz w:val="18"/>
        </w:rPr>
        <w:t>Equality</w:t>
      </w:r>
      <w:r>
        <w:rPr>
          <w:spacing w:val="-5"/>
          <w:sz w:val="18"/>
        </w:rPr>
        <w:t> </w:t>
      </w:r>
      <w:r>
        <w:rPr>
          <w:sz w:val="18"/>
        </w:rPr>
        <w:t>Commission</w:t>
      </w:r>
      <w:r>
        <w:rPr>
          <w:spacing w:val="-5"/>
          <w:sz w:val="18"/>
        </w:rPr>
        <w:t> </w:t>
      </w:r>
      <w:r>
        <w:rPr>
          <w:sz w:val="18"/>
        </w:rPr>
        <w:t>for</w:t>
      </w:r>
      <w:r>
        <w:rPr>
          <w:spacing w:val="-5"/>
          <w:sz w:val="18"/>
        </w:rPr>
        <w:t> </w:t>
      </w:r>
      <w:r>
        <w:rPr>
          <w:sz w:val="18"/>
        </w:rPr>
        <w:t>NI,</w:t>
      </w:r>
      <w:r>
        <w:rPr>
          <w:spacing w:val="-5"/>
          <w:sz w:val="18"/>
        </w:rPr>
        <w:t> </w:t>
      </w:r>
      <w:r>
        <w:rPr>
          <w:sz w:val="18"/>
        </w:rPr>
        <w:t>‘Response</w:t>
      </w:r>
      <w:r>
        <w:rPr>
          <w:spacing w:val="-5"/>
          <w:sz w:val="18"/>
        </w:rPr>
        <w:t> </w:t>
      </w:r>
      <w:r>
        <w:rPr>
          <w:sz w:val="18"/>
        </w:rPr>
        <w:t>to</w:t>
      </w:r>
      <w:r>
        <w:rPr>
          <w:spacing w:val="-5"/>
          <w:sz w:val="18"/>
        </w:rPr>
        <w:t> </w:t>
      </w:r>
      <w:r>
        <w:rPr>
          <w:sz w:val="18"/>
        </w:rPr>
        <w:t>European</w:t>
      </w:r>
      <w:r>
        <w:rPr>
          <w:spacing w:val="-5"/>
          <w:sz w:val="18"/>
        </w:rPr>
        <w:t> </w:t>
      </w:r>
      <w:r>
        <w:rPr>
          <w:sz w:val="18"/>
        </w:rPr>
        <w:t>Commission</w:t>
      </w:r>
      <w:r>
        <w:rPr>
          <w:spacing w:val="-5"/>
          <w:sz w:val="18"/>
        </w:rPr>
        <w:t> </w:t>
      </w:r>
      <w:r>
        <w:rPr>
          <w:sz w:val="18"/>
        </w:rPr>
        <w:t>-</w:t>
      </w:r>
      <w:r>
        <w:rPr>
          <w:spacing w:val="-5"/>
          <w:sz w:val="18"/>
        </w:rPr>
        <w:t> </w:t>
      </w:r>
      <w:r>
        <w:rPr>
          <w:sz w:val="18"/>
        </w:rPr>
        <w:t>Addressing possible gaps in the Racial Equality Directive’ (ECNI, 2022).</w:t>
      </w:r>
    </w:p>
    <w:p>
      <w:pPr>
        <w:pStyle w:val="ListParagraph"/>
        <w:numPr>
          <w:ilvl w:val="0"/>
          <w:numId w:val="9"/>
        </w:numPr>
        <w:tabs>
          <w:tab w:pos="1853" w:val="left" w:leader="none"/>
        </w:tabs>
        <w:spacing w:line="235" w:lineRule="auto" w:before="2" w:after="0"/>
        <w:ind w:left="1853" w:right="1646" w:hanging="720"/>
        <w:jc w:val="left"/>
        <w:rPr>
          <w:sz w:val="18"/>
        </w:rPr>
      </w:pP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‘Response</w:t>
      </w:r>
      <w:r>
        <w:rPr>
          <w:spacing w:val="-4"/>
          <w:sz w:val="18"/>
        </w:rPr>
        <w:t> </w:t>
      </w:r>
      <w:r>
        <w:rPr>
          <w:sz w:val="18"/>
        </w:rPr>
        <w:t>to</w:t>
      </w:r>
      <w:r>
        <w:rPr>
          <w:spacing w:val="-5"/>
          <w:sz w:val="18"/>
        </w:rPr>
        <w:t> </w:t>
      </w:r>
      <w:r>
        <w:rPr>
          <w:sz w:val="18"/>
        </w:rPr>
        <w:t>the</w:t>
      </w:r>
      <w:r>
        <w:rPr>
          <w:spacing w:val="-4"/>
          <w:sz w:val="18"/>
        </w:rPr>
        <w:t> </w:t>
      </w:r>
      <w:r>
        <w:rPr>
          <w:sz w:val="18"/>
        </w:rPr>
        <w:t>European</w:t>
      </w:r>
      <w:r>
        <w:rPr>
          <w:spacing w:val="-5"/>
          <w:sz w:val="18"/>
        </w:rPr>
        <w:t> </w:t>
      </w:r>
      <w:r>
        <w:rPr>
          <w:sz w:val="18"/>
        </w:rPr>
        <w:t>Commission</w:t>
      </w:r>
      <w:r>
        <w:rPr>
          <w:spacing w:val="-5"/>
          <w:sz w:val="18"/>
        </w:rPr>
        <w:t> </w:t>
      </w:r>
      <w:r>
        <w:rPr>
          <w:sz w:val="18"/>
        </w:rPr>
        <w:t>Consultation</w:t>
      </w:r>
      <w:r>
        <w:rPr>
          <w:spacing w:val="-5"/>
          <w:sz w:val="18"/>
        </w:rPr>
        <w:t> </w:t>
      </w:r>
      <w:r>
        <w:rPr>
          <w:sz w:val="18"/>
        </w:rPr>
        <w:t>on</w:t>
      </w:r>
      <w:r>
        <w:rPr>
          <w:spacing w:val="-5"/>
          <w:sz w:val="18"/>
        </w:rPr>
        <w:t> </w:t>
      </w:r>
      <w:r>
        <w:rPr>
          <w:sz w:val="18"/>
        </w:rPr>
        <w:t>the</w:t>
      </w:r>
      <w:r>
        <w:rPr>
          <w:spacing w:val="-4"/>
          <w:sz w:val="18"/>
        </w:rPr>
        <w:t> </w:t>
      </w:r>
      <w:r>
        <w:rPr>
          <w:sz w:val="18"/>
        </w:rPr>
        <w:t>Racial</w:t>
      </w:r>
      <w:r>
        <w:rPr>
          <w:spacing w:val="-5"/>
          <w:sz w:val="18"/>
        </w:rPr>
        <w:t> </w:t>
      </w:r>
      <w:r>
        <w:rPr>
          <w:sz w:val="18"/>
        </w:rPr>
        <w:t>Equality</w:t>
      </w:r>
      <w:r>
        <w:rPr>
          <w:spacing w:val="-4"/>
          <w:sz w:val="18"/>
        </w:rPr>
        <w:t> </w:t>
      </w:r>
      <w:r>
        <w:rPr>
          <w:sz w:val="18"/>
        </w:rPr>
        <w:t>Directive (Directive 2000/43/EC)’ (NIHRC, 2022).</w:t>
      </w:r>
    </w:p>
    <w:p>
      <w:pPr>
        <w:pStyle w:val="ListParagraph"/>
        <w:numPr>
          <w:ilvl w:val="0"/>
          <w:numId w:val="9"/>
        </w:numPr>
        <w:tabs>
          <w:tab w:pos="1853" w:val="left" w:leader="none"/>
        </w:tabs>
        <w:spacing w:line="235" w:lineRule="auto" w:before="1" w:after="0"/>
        <w:ind w:left="1853" w:right="1165" w:hanging="720"/>
        <w:jc w:val="left"/>
        <w:rPr>
          <w:sz w:val="18"/>
        </w:rPr>
      </w:pPr>
      <w:r>
        <w:rPr>
          <w:sz w:val="18"/>
        </w:rPr>
        <w:t>Equality</w:t>
      </w:r>
      <w:r>
        <w:rPr>
          <w:spacing w:val="-6"/>
          <w:sz w:val="18"/>
        </w:rPr>
        <w:t> </w:t>
      </w:r>
      <w:r>
        <w:rPr>
          <w:sz w:val="18"/>
        </w:rPr>
        <w:t>Commission</w:t>
      </w:r>
      <w:r>
        <w:rPr>
          <w:spacing w:val="-6"/>
          <w:sz w:val="18"/>
        </w:rPr>
        <w:t> </w:t>
      </w:r>
      <w:r>
        <w:rPr>
          <w:sz w:val="18"/>
        </w:rPr>
        <w:t>for</w:t>
      </w:r>
      <w:r>
        <w:rPr>
          <w:spacing w:val="-6"/>
          <w:sz w:val="18"/>
        </w:rPr>
        <w:t> </w:t>
      </w:r>
      <w:r>
        <w:rPr>
          <w:sz w:val="18"/>
        </w:rPr>
        <w:t>NI,</w:t>
      </w:r>
      <w:r>
        <w:rPr>
          <w:spacing w:val="-6"/>
          <w:sz w:val="18"/>
        </w:rPr>
        <w:t> </w:t>
      </w:r>
      <w:r>
        <w:rPr>
          <w:sz w:val="18"/>
        </w:rPr>
        <w:t>‘Response</w:t>
      </w:r>
      <w:r>
        <w:rPr>
          <w:spacing w:val="-6"/>
          <w:sz w:val="18"/>
        </w:rPr>
        <w:t> </w:t>
      </w:r>
      <w:r>
        <w:rPr>
          <w:sz w:val="18"/>
        </w:rPr>
        <w:t>to</w:t>
      </w:r>
      <w:r>
        <w:rPr>
          <w:spacing w:val="-6"/>
          <w:sz w:val="18"/>
        </w:rPr>
        <w:t> </w:t>
      </w:r>
      <w:r>
        <w:rPr>
          <w:sz w:val="18"/>
        </w:rPr>
        <w:t>European</w:t>
      </w:r>
      <w:r>
        <w:rPr>
          <w:spacing w:val="-6"/>
          <w:sz w:val="18"/>
        </w:rPr>
        <w:t> </w:t>
      </w:r>
      <w:r>
        <w:rPr>
          <w:sz w:val="18"/>
        </w:rPr>
        <w:t>Commission</w:t>
      </w:r>
      <w:r>
        <w:rPr>
          <w:spacing w:val="-6"/>
          <w:sz w:val="18"/>
        </w:rPr>
        <w:t> </w:t>
      </w:r>
      <w:r>
        <w:rPr>
          <w:sz w:val="18"/>
        </w:rPr>
        <w:t>-</w:t>
      </w:r>
      <w:r>
        <w:rPr>
          <w:spacing w:val="-6"/>
          <w:sz w:val="18"/>
        </w:rPr>
        <w:t> </w:t>
      </w:r>
      <w:r>
        <w:rPr>
          <w:sz w:val="18"/>
        </w:rPr>
        <w:t>Addressing</w:t>
      </w:r>
      <w:r>
        <w:rPr>
          <w:spacing w:val="-6"/>
          <w:sz w:val="18"/>
        </w:rPr>
        <w:t> </w:t>
      </w:r>
      <w:r>
        <w:rPr>
          <w:sz w:val="18"/>
        </w:rPr>
        <w:t>possible</w:t>
      </w:r>
      <w:r>
        <w:rPr>
          <w:spacing w:val="-6"/>
          <w:sz w:val="18"/>
        </w:rPr>
        <w:t> </w:t>
      </w:r>
      <w:r>
        <w:rPr>
          <w:sz w:val="18"/>
        </w:rPr>
        <w:t>gaps</w:t>
      </w:r>
      <w:r>
        <w:rPr>
          <w:spacing w:val="-6"/>
          <w:sz w:val="18"/>
        </w:rPr>
        <w:t> </w:t>
      </w:r>
      <w:r>
        <w:rPr>
          <w:sz w:val="18"/>
        </w:rPr>
        <w:t>in</w:t>
      </w:r>
      <w:r>
        <w:rPr>
          <w:spacing w:val="-6"/>
          <w:sz w:val="18"/>
        </w:rPr>
        <w:t> </w:t>
      </w:r>
      <w:r>
        <w:rPr>
          <w:sz w:val="18"/>
        </w:rPr>
        <w:t>the</w:t>
      </w:r>
      <w:r>
        <w:rPr>
          <w:spacing w:val="-6"/>
          <w:sz w:val="18"/>
        </w:rPr>
        <w:t> </w:t>
      </w:r>
      <w:r>
        <w:rPr>
          <w:sz w:val="18"/>
        </w:rPr>
        <w:t>Racial</w:t>
      </w:r>
      <w:r>
        <w:rPr>
          <w:spacing w:val="-6"/>
          <w:sz w:val="18"/>
        </w:rPr>
        <w:t> </w:t>
      </w:r>
      <w:r>
        <w:rPr>
          <w:sz w:val="18"/>
        </w:rPr>
        <w:t>Equality</w:t>
      </w:r>
      <w:r>
        <w:rPr>
          <w:spacing w:val="-6"/>
          <w:sz w:val="18"/>
        </w:rPr>
        <w:t> </w:t>
      </w:r>
      <w:r>
        <w:rPr>
          <w:sz w:val="18"/>
        </w:rPr>
        <w:t>Directive’ (ECNI, 2022).</w:t>
      </w:r>
    </w:p>
    <w:p>
      <w:pPr>
        <w:pStyle w:val="ListParagraph"/>
        <w:numPr>
          <w:ilvl w:val="0"/>
          <w:numId w:val="9"/>
        </w:numPr>
        <w:tabs>
          <w:tab w:pos="1853" w:val="left" w:leader="none"/>
        </w:tabs>
        <w:spacing w:line="235" w:lineRule="auto" w:before="2" w:after="0"/>
        <w:ind w:left="1853" w:right="1647" w:hanging="720"/>
        <w:jc w:val="left"/>
        <w:rPr>
          <w:sz w:val="18"/>
        </w:rPr>
      </w:pP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w:t>
      </w:r>
      <w:hyperlink r:id="rId135">
        <w:r>
          <w:rPr>
            <w:sz w:val="18"/>
          </w:rPr>
          <w:t>Response</w:t>
        </w:r>
        <w:r>
          <w:rPr>
            <w:spacing w:val="-4"/>
            <w:sz w:val="18"/>
          </w:rPr>
          <w:t> </w:t>
        </w:r>
        <w:r>
          <w:rPr>
            <w:sz w:val="18"/>
          </w:rPr>
          <w:t>to</w:t>
        </w:r>
        <w:r>
          <w:rPr>
            <w:spacing w:val="-5"/>
            <w:sz w:val="18"/>
          </w:rPr>
          <w:t> </w:t>
        </w:r>
        <w:r>
          <w:rPr>
            <w:sz w:val="18"/>
          </w:rPr>
          <w:t>the</w:t>
        </w:r>
        <w:r>
          <w:rPr>
            <w:spacing w:val="-4"/>
            <w:sz w:val="18"/>
          </w:rPr>
          <w:t> </w:t>
        </w:r>
        <w:r>
          <w:rPr>
            <w:sz w:val="18"/>
          </w:rPr>
          <w:t>European</w:t>
        </w:r>
        <w:r>
          <w:rPr>
            <w:spacing w:val="-5"/>
            <w:sz w:val="18"/>
          </w:rPr>
          <w:t> </w:t>
        </w:r>
        <w:r>
          <w:rPr>
            <w:sz w:val="18"/>
          </w:rPr>
          <w:t>Commission</w:t>
        </w:r>
        <w:r>
          <w:rPr>
            <w:spacing w:val="-5"/>
            <w:sz w:val="18"/>
          </w:rPr>
          <w:t> </w:t>
        </w:r>
        <w:r>
          <w:rPr>
            <w:sz w:val="18"/>
          </w:rPr>
          <w:t>Consultation</w:t>
        </w:r>
        <w:r>
          <w:rPr>
            <w:spacing w:val="-5"/>
            <w:sz w:val="18"/>
          </w:rPr>
          <w:t> </w:t>
        </w:r>
        <w:r>
          <w:rPr>
            <w:sz w:val="18"/>
          </w:rPr>
          <w:t>on</w:t>
        </w:r>
        <w:r>
          <w:rPr>
            <w:spacing w:val="-5"/>
            <w:sz w:val="18"/>
          </w:rPr>
          <w:t> </w:t>
        </w:r>
        <w:r>
          <w:rPr>
            <w:sz w:val="18"/>
          </w:rPr>
          <w:t>the</w:t>
        </w:r>
        <w:r>
          <w:rPr>
            <w:spacing w:val="-4"/>
            <w:sz w:val="18"/>
          </w:rPr>
          <w:t> </w:t>
        </w:r>
        <w:r>
          <w:rPr>
            <w:sz w:val="18"/>
          </w:rPr>
          <w:t>Racial</w:t>
        </w:r>
        <w:r>
          <w:rPr>
            <w:spacing w:val="-5"/>
            <w:sz w:val="18"/>
          </w:rPr>
          <w:t> </w:t>
        </w:r>
        <w:r>
          <w:rPr>
            <w:sz w:val="18"/>
          </w:rPr>
          <w:t>Equality</w:t>
        </w:r>
        <w:r>
          <w:rPr>
            <w:spacing w:val="-4"/>
            <w:sz w:val="18"/>
          </w:rPr>
          <w:t> </w:t>
        </w:r>
        <w:r>
          <w:rPr>
            <w:sz w:val="18"/>
          </w:rPr>
          <w:t>Directive</w:t>
        </w:r>
      </w:hyperlink>
      <w:r>
        <w:rPr>
          <w:sz w:val="18"/>
        </w:rPr>
        <w:t> </w:t>
      </w:r>
      <w:hyperlink r:id="rId135">
        <w:r>
          <w:rPr>
            <w:sz w:val="18"/>
          </w:rPr>
          <w:t>(Directive 2000/43/EC)</w:t>
        </w:r>
      </w:hyperlink>
      <w:r>
        <w:rPr>
          <w:sz w:val="18"/>
        </w:rPr>
        <w:t>’ (NIHRC, 2022).</w:t>
      </w:r>
    </w:p>
    <w:p>
      <w:pPr>
        <w:pStyle w:val="ListParagraph"/>
        <w:numPr>
          <w:ilvl w:val="0"/>
          <w:numId w:val="9"/>
        </w:numPr>
        <w:tabs>
          <w:tab w:pos="1853" w:val="left" w:leader="none"/>
        </w:tabs>
        <w:spacing w:line="218" w:lineRule="exact" w:before="0" w:after="0"/>
        <w:ind w:left="1853" w:right="0" w:hanging="720"/>
        <w:jc w:val="left"/>
        <w:rPr>
          <w:sz w:val="18"/>
        </w:rPr>
      </w:pPr>
      <w:r>
        <w:rPr>
          <w:spacing w:val="-4"/>
          <w:sz w:val="18"/>
        </w:rPr>
        <w:t>Ibid.</w:t>
      </w:r>
    </w:p>
    <w:p>
      <w:pPr>
        <w:spacing w:after="0" w:line="218" w:lineRule="exact"/>
        <w:jc w:val="left"/>
        <w:rPr>
          <w:sz w:val="18"/>
        </w:rPr>
        <w:sectPr>
          <w:headerReference w:type="default" r:id="rId131"/>
          <w:headerReference w:type="even" r:id="rId132"/>
          <w:footerReference w:type="default" r:id="rId133"/>
          <w:footerReference w:type="even" r:id="rId134"/>
          <w:pgSz w:w="11910" w:h="16840"/>
          <w:pgMar w:header="496" w:footer="367" w:top="1220" w:bottom="560" w:left="0" w:right="0"/>
          <w:pgNumType w:start="63"/>
        </w:sectPr>
      </w:pPr>
    </w:p>
    <w:p>
      <w:pPr>
        <w:pStyle w:val="BodyText"/>
        <w:spacing w:before="198"/>
      </w:pPr>
    </w:p>
    <w:p>
      <w:pPr>
        <w:pStyle w:val="ListParagraph"/>
        <w:numPr>
          <w:ilvl w:val="1"/>
          <w:numId w:val="7"/>
        </w:numPr>
        <w:tabs>
          <w:tab w:pos="1853" w:val="left" w:leader="none"/>
        </w:tabs>
        <w:spacing w:line="225" w:lineRule="auto" w:before="0" w:after="0"/>
        <w:ind w:left="1853" w:right="1774" w:hanging="720"/>
        <w:jc w:val="left"/>
        <w:rPr>
          <w:sz w:val="28"/>
        </w:rPr>
      </w:pPr>
      <w:r>
        <w:rPr>
          <w:sz w:val="28"/>
        </w:rPr>
        <w:t>In 2022, the EU Commission published proposals for two EU directives</w:t>
      </w:r>
      <w:r>
        <w:rPr>
          <w:sz w:val="28"/>
        </w:rPr>
        <w:t> on</w:t>
      </w:r>
      <w:r>
        <w:rPr>
          <w:spacing w:val="-9"/>
          <w:sz w:val="28"/>
        </w:rPr>
        <w:t> </w:t>
      </w:r>
      <w:r>
        <w:rPr>
          <w:sz w:val="28"/>
        </w:rPr>
        <w:t>standards</w:t>
      </w:r>
      <w:r>
        <w:rPr>
          <w:spacing w:val="-9"/>
          <w:sz w:val="28"/>
        </w:rPr>
        <w:t> </w:t>
      </w:r>
      <w:r>
        <w:rPr>
          <w:sz w:val="28"/>
        </w:rPr>
        <w:t>for</w:t>
      </w:r>
      <w:r>
        <w:rPr>
          <w:spacing w:val="-9"/>
          <w:sz w:val="28"/>
        </w:rPr>
        <w:t> </w:t>
      </w:r>
      <w:r>
        <w:rPr>
          <w:sz w:val="28"/>
        </w:rPr>
        <w:t>equality</w:t>
      </w:r>
      <w:r>
        <w:rPr>
          <w:spacing w:val="-9"/>
          <w:sz w:val="28"/>
        </w:rPr>
        <w:t> </w:t>
      </w:r>
      <w:r>
        <w:rPr>
          <w:sz w:val="28"/>
        </w:rPr>
        <w:t>bodies.</w:t>
      </w:r>
      <w:r>
        <w:rPr>
          <w:sz w:val="28"/>
          <w:vertAlign w:val="superscript"/>
        </w:rPr>
        <w:t>289</w:t>
      </w:r>
      <w:r>
        <w:rPr>
          <w:spacing w:val="-9"/>
          <w:sz w:val="28"/>
          <w:vertAlign w:val="baseline"/>
        </w:rPr>
        <w:t> </w:t>
      </w:r>
      <w:r>
        <w:rPr>
          <w:sz w:val="28"/>
          <w:vertAlign w:val="baseline"/>
        </w:rPr>
        <w:t>The</w:t>
      </w:r>
      <w:r>
        <w:rPr>
          <w:spacing w:val="-9"/>
          <w:sz w:val="28"/>
          <w:vertAlign w:val="baseline"/>
        </w:rPr>
        <w:t> </w:t>
      </w:r>
      <w:r>
        <w:rPr>
          <w:sz w:val="28"/>
          <w:vertAlign w:val="baseline"/>
        </w:rPr>
        <w:t>Commissions</w:t>
      </w:r>
      <w:r>
        <w:rPr>
          <w:spacing w:val="-9"/>
          <w:sz w:val="28"/>
          <w:vertAlign w:val="baseline"/>
        </w:rPr>
        <w:t> </w:t>
      </w:r>
      <w:r>
        <w:rPr>
          <w:sz w:val="28"/>
          <w:vertAlign w:val="baseline"/>
        </w:rPr>
        <w:t>consider</w:t>
      </w:r>
      <w:r>
        <w:rPr>
          <w:spacing w:val="-9"/>
          <w:sz w:val="28"/>
          <w:vertAlign w:val="baseline"/>
        </w:rPr>
        <w:t> </w:t>
      </w:r>
      <w:r>
        <w:rPr>
          <w:sz w:val="28"/>
          <w:vertAlign w:val="baseline"/>
        </w:rPr>
        <w:t>that</w:t>
      </w:r>
      <w:r>
        <w:rPr>
          <w:spacing w:val="-9"/>
          <w:sz w:val="28"/>
          <w:vertAlign w:val="baseline"/>
        </w:rPr>
        <w:t> </w:t>
      </w:r>
      <w:r>
        <w:rPr>
          <w:sz w:val="28"/>
          <w:vertAlign w:val="baseline"/>
        </w:rPr>
        <w:t>these</w:t>
      </w:r>
    </w:p>
    <w:p>
      <w:pPr>
        <w:pStyle w:val="BodyText"/>
        <w:spacing w:line="323" w:lineRule="exact"/>
        <w:ind w:left="1853"/>
      </w:pPr>
      <w:r>
        <w:rPr/>
        <w:t>proposals,</w:t>
      </w:r>
      <w:r>
        <w:rPr>
          <w:spacing w:val="-6"/>
        </w:rPr>
        <w:t> </w:t>
      </w:r>
      <w:r>
        <w:rPr/>
        <w:t>if</w:t>
      </w:r>
      <w:r>
        <w:rPr>
          <w:spacing w:val="-5"/>
        </w:rPr>
        <w:t> </w:t>
      </w:r>
      <w:r>
        <w:rPr/>
        <w:t>adopted,</w:t>
      </w:r>
      <w:r>
        <w:rPr>
          <w:spacing w:val="-3"/>
        </w:rPr>
        <w:t> </w:t>
      </w:r>
      <w:r>
        <w:rPr/>
        <w:t>amend</w:t>
      </w:r>
      <w:r>
        <w:rPr>
          <w:spacing w:val="-5"/>
        </w:rPr>
        <w:t> </w:t>
      </w:r>
      <w:r>
        <w:rPr/>
        <w:t>provisions</w:t>
      </w:r>
      <w:r>
        <w:rPr>
          <w:spacing w:val="-4"/>
        </w:rPr>
        <w:t> </w:t>
      </w:r>
      <w:r>
        <w:rPr/>
        <w:t>of</w:t>
      </w:r>
      <w:r>
        <w:rPr>
          <w:spacing w:val="-5"/>
        </w:rPr>
        <w:t> </w:t>
      </w:r>
      <w:r>
        <w:rPr/>
        <w:t>the</w:t>
      </w:r>
      <w:r>
        <w:rPr>
          <w:spacing w:val="-4"/>
        </w:rPr>
        <w:t> </w:t>
      </w:r>
      <w:r>
        <w:rPr/>
        <w:t>EU</w:t>
      </w:r>
      <w:r>
        <w:rPr>
          <w:spacing w:val="-3"/>
        </w:rPr>
        <w:t> </w:t>
      </w:r>
      <w:r>
        <w:rPr/>
        <w:t>Race</w:t>
      </w:r>
      <w:r>
        <w:rPr>
          <w:spacing w:val="-4"/>
        </w:rPr>
        <w:t> </w:t>
      </w:r>
      <w:r>
        <w:rPr/>
        <w:t>Equality</w:t>
      </w:r>
      <w:r>
        <w:rPr>
          <w:spacing w:val="-3"/>
        </w:rPr>
        <w:t> </w:t>
      </w:r>
      <w:r>
        <w:rPr>
          <w:spacing w:val="-2"/>
        </w:rPr>
        <w:t>Directive.</w:t>
      </w:r>
      <w:r>
        <w:rPr>
          <w:spacing w:val="-2"/>
          <w:vertAlign w:val="superscript"/>
        </w:rPr>
        <w:t>290</w:t>
      </w:r>
    </w:p>
    <w:p>
      <w:pPr>
        <w:pStyle w:val="ListParagraph"/>
        <w:numPr>
          <w:ilvl w:val="1"/>
          <w:numId w:val="7"/>
        </w:numPr>
        <w:tabs>
          <w:tab w:pos="1853" w:val="left" w:leader="none"/>
        </w:tabs>
        <w:spacing w:line="225" w:lineRule="auto" w:before="315" w:after="0"/>
        <w:ind w:left="1853" w:right="1681" w:hanging="720"/>
        <w:jc w:val="left"/>
        <w:rPr>
          <w:sz w:val="28"/>
        </w:rPr>
      </w:pPr>
      <w:r>
        <w:rPr>
          <w:sz w:val="28"/>
        </w:rPr>
        <w:t>A</w:t>
      </w:r>
      <w:r>
        <w:rPr>
          <w:spacing w:val="-4"/>
          <w:sz w:val="28"/>
        </w:rPr>
        <w:t> </w:t>
      </w:r>
      <w:r>
        <w:rPr>
          <w:sz w:val="28"/>
        </w:rPr>
        <w:t>response</w:t>
      </w:r>
      <w:r>
        <w:rPr>
          <w:spacing w:val="-4"/>
          <w:sz w:val="28"/>
        </w:rPr>
        <w:t> </w:t>
      </w:r>
      <w:r>
        <w:rPr>
          <w:sz w:val="28"/>
        </w:rPr>
        <w:t>by</w:t>
      </w:r>
      <w:r>
        <w:rPr>
          <w:spacing w:val="-4"/>
          <w:sz w:val="28"/>
        </w:rPr>
        <w:t> </w:t>
      </w:r>
      <w:r>
        <w:rPr>
          <w:sz w:val="28"/>
        </w:rPr>
        <w:t>the</w:t>
      </w:r>
      <w:r>
        <w:rPr>
          <w:spacing w:val="-4"/>
          <w:sz w:val="28"/>
        </w:rPr>
        <w:t> </w:t>
      </w:r>
      <w:r>
        <w:rPr>
          <w:sz w:val="28"/>
        </w:rPr>
        <w:t>EU</w:t>
      </w:r>
      <w:r>
        <w:rPr>
          <w:spacing w:val="-4"/>
          <w:sz w:val="28"/>
        </w:rPr>
        <w:t> </w:t>
      </w:r>
      <w:r>
        <w:rPr>
          <w:sz w:val="28"/>
        </w:rPr>
        <w:t>Commission</w:t>
      </w:r>
      <w:r>
        <w:rPr>
          <w:spacing w:val="-5"/>
          <w:sz w:val="28"/>
        </w:rPr>
        <w:t> </w:t>
      </w:r>
      <w:r>
        <w:rPr>
          <w:sz w:val="28"/>
        </w:rPr>
        <w:t>in</w:t>
      </w:r>
      <w:r>
        <w:rPr>
          <w:spacing w:val="-5"/>
          <w:sz w:val="28"/>
        </w:rPr>
        <w:t> </w:t>
      </w:r>
      <w:r>
        <w:rPr>
          <w:sz w:val="28"/>
        </w:rPr>
        <w:t>relation</w:t>
      </w:r>
      <w:r>
        <w:rPr>
          <w:spacing w:val="-5"/>
          <w:sz w:val="28"/>
        </w:rPr>
        <w:t> </w:t>
      </w:r>
      <w:r>
        <w:rPr>
          <w:sz w:val="28"/>
        </w:rPr>
        <w:t>to</w:t>
      </w:r>
      <w:r>
        <w:rPr>
          <w:spacing w:val="-5"/>
          <w:sz w:val="28"/>
        </w:rPr>
        <w:t> </w:t>
      </w:r>
      <w:r>
        <w:rPr>
          <w:sz w:val="28"/>
        </w:rPr>
        <w:t>its</w:t>
      </w:r>
      <w:r>
        <w:rPr>
          <w:spacing w:val="-5"/>
          <w:sz w:val="28"/>
        </w:rPr>
        <w:t> </w:t>
      </w:r>
      <w:r>
        <w:rPr>
          <w:sz w:val="28"/>
        </w:rPr>
        <w:t>consultation</w:t>
      </w:r>
      <w:r>
        <w:rPr>
          <w:spacing w:val="-5"/>
          <w:sz w:val="28"/>
        </w:rPr>
        <w:t> </w:t>
      </w:r>
      <w:r>
        <w:rPr>
          <w:sz w:val="28"/>
        </w:rPr>
        <w:t>on</w:t>
      </w:r>
      <w:r>
        <w:rPr>
          <w:spacing w:val="-5"/>
          <w:sz w:val="28"/>
        </w:rPr>
        <w:t> </w:t>
      </w:r>
      <w:r>
        <w:rPr>
          <w:sz w:val="28"/>
        </w:rPr>
        <w:t>the</w:t>
      </w:r>
      <w:r>
        <w:rPr>
          <w:spacing w:val="-4"/>
          <w:sz w:val="28"/>
        </w:rPr>
        <w:t> </w:t>
      </w:r>
      <w:r>
        <w:rPr>
          <w:sz w:val="28"/>
        </w:rPr>
        <w:t>EU Racial Equality Directive is awaited.</w:t>
      </w:r>
    </w:p>
    <w:p>
      <w:pPr>
        <w:pStyle w:val="Heading6"/>
        <w:spacing w:before="301"/>
        <w:rPr>
          <w:i/>
        </w:rPr>
      </w:pPr>
      <w:r>
        <w:rPr>
          <w:i/>
          <w:color w:val="67287F"/>
        </w:rPr>
        <w:t>Race</w:t>
      </w:r>
      <w:r>
        <w:rPr>
          <w:i/>
          <w:color w:val="67287F"/>
          <w:spacing w:val="-4"/>
        </w:rPr>
        <w:t> </w:t>
      </w:r>
      <w:r>
        <w:rPr>
          <w:i/>
          <w:color w:val="67287F"/>
        </w:rPr>
        <w:t>Law</w:t>
      </w:r>
      <w:r>
        <w:rPr>
          <w:i/>
          <w:color w:val="67287F"/>
          <w:spacing w:val="-3"/>
        </w:rPr>
        <w:t> </w:t>
      </w:r>
      <w:r>
        <w:rPr>
          <w:i/>
          <w:color w:val="67287F"/>
          <w:spacing w:val="-2"/>
        </w:rPr>
        <w:t>Reform</w:t>
      </w:r>
    </w:p>
    <w:p>
      <w:pPr>
        <w:pStyle w:val="ListParagraph"/>
        <w:numPr>
          <w:ilvl w:val="1"/>
          <w:numId w:val="7"/>
        </w:numPr>
        <w:tabs>
          <w:tab w:pos="1853" w:val="left" w:leader="none"/>
        </w:tabs>
        <w:spacing w:line="225" w:lineRule="auto" w:before="5" w:after="0"/>
        <w:ind w:left="1853" w:right="1405" w:hanging="720"/>
        <w:jc w:val="left"/>
        <w:rPr>
          <w:sz w:val="28"/>
        </w:rPr>
      </w:pPr>
      <w:r>
        <w:rPr>
          <w:sz w:val="28"/>
        </w:rPr>
        <w:t>In</w:t>
      </w:r>
      <w:r>
        <w:rPr>
          <w:spacing w:val="-9"/>
          <w:sz w:val="28"/>
        </w:rPr>
        <w:t> </w:t>
      </w:r>
      <w:r>
        <w:rPr>
          <w:sz w:val="28"/>
        </w:rPr>
        <w:t>2015,</w:t>
      </w:r>
      <w:r>
        <w:rPr>
          <w:spacing w:val="-8"/>
          <w:sz w:val="28"/>
        </w:rPr>
        <w:t> </w:t>
      </w:r>
      <w:r>
        <w:rPr>
          <w:sz w:val="28"/>
        </w:rPr>
        <w:t>the</w:t>
      </w:r>
      <w:r>
        <w:rPr>
          <w:spacing w:val="-8"/>
          <w:sz w:val="28"/>
        </w:rPr>
        <w:t> </w:t>
      </w:r>
      <w:r>
        <w:rPr>
          <w:sz w:val="28"/>
        </w:rPr>
        <w:t>Executive</w:t>
      </w:r>
      <w:r>
        <w:rPr>
          <w:spacing w:val="-8"/>
          <w:sz w:val="28"/>
        </w:rPr>
        <w:t> </w:t>
      </w:r>
      <w:r>
        <w:rPr>
          <w:sz w:val="28"/>
        </w:rPr>
        <w:t>Office</w:t>
      </w:r>
      <w:r>
        <w:rPr>
          <w:spacing w:val="-8"/>
          <w:sz w:val="28"/>
        </w:rPr>
        <w:t> </w:t>
      </w:r>
      <w:r>
        <w:rPr>
          <w:sz w:val="28"/>
        </w:rPr>
        <w:t>committed</w:t>
      </w:r>
      <w:r>
        <w:rPr>
          <w:spacing w:val="-9"/>
          <w:sz w:val="28"/>
        </w:rPr>
        <w:t> </w:t>
      </w:r>
      <w:r>
        <w:rPr>
          <w:sz w:val="28"/>
        </w:rPr>
        <w:t>to</w:t>
      </w:r>
      <w:r>
        <w:rPr>
          <w:spacing w:val="-9"/>
          <w:sz w:val="28"/>
        </w:rPr>
        <w:t> </w:t>
      </w:r>
      <w:r>
        <w:rPr>
          <w:sz w:val="28"/>
        </w:rPr>
        <w:t>reviewing</w:t>
      </w:r>
      <w:r>
        <w:rPr>
          <w:spacing w:val="-8"/>
          <w:sz w:val="28"/>
        </w:rPr>
        <w:t> </w:t>
      </w:r>
      <w:r>
        <w:rPr>
          <w:sz w:val="28"/>
        </w:rPr>
        <w:t>the</w:t>
      </w:r>
      <w:r>
        <w:rPr>
          <w:spacing w:val="-8"/>
          <w:sz w:val="28"/>
        </w:rPr>
        <w:t> </w:t>
      </w:r>
      <w:r>
        <w:rPr>
          <w:sz w:val="28"/>
        </w:rPr>
        <w:t>Race</w:t>
      </w:r>
      <w:r>
        <w:rPr>
          <w:spacing w:val="-8"/>
          <w:sz w:val="28"/>
        </w:rPr>
        <w:t> </w:t>
      </w:r>
      <w:r>
        <w:rPr>
          <w:sz w:val="28"/>
        </w:rPr>
        <w:t>Relations</w:t>
      </w:r>
      <w:r>
        <w:rPr>
          <w:spacing w:val="-9"/>
          <w:sz w:val="28"/>
        </w:rPr>
        <w:t> </w:t>
      </w:r>
      <w:r>
        <w:rPr>
          <w:sz w:val="28"/>
        </w:rPr>
        <w:t>(NI) Order 1997.</w:t>
      </w:r>
      <w:r>
        <w:rPr>
          <w:sz w:val="28"/>
          <w:vertAlign w:val="superscript"/>
        </w:rPr>
        <w:t>291</w:t>
      </w:r>
    </w:p>
    <w:p>
      <w:pPr>
        <w:pStyle w:val="ListParagraph"/>
        <w:numPr>
          <w:ilvl w:val="1"/>
          <w:numId w:val="7"/>
        </w:numPr>
        <w:tabs>
          <w:tab w:pos="1853" w:val="left" w:leader="none"/>
        </w:tabs>
        <w:spacing w:line="225" w:lineRule="auto" w:before="318" w:after="0"/>
        <w:ind w:left="1853" w:right="1369" w:hanging="720"/>
        <w:jc w:val="left"/>
        <w:rPr>
          <w:sz w:val="28"/>
        </w:rPr>
      </w:pPr>
      <w:r>
        <w:rPr>
          <w:sz w:val="28"/>
        </w:rPr>
        <w:t>In March 2023, the TEO launched a consultation on legislative reform of the Race Relations (NI) Order which ran until June 2023.</w:t>
      </w:r>
      <w:r>
        <w:rPr>
          <w:spacing w:val="40"/>
          <w:sz w:val="28"/>
        </w:rPr>
        <w:t> </w:t>
      </w:r>
      <w:r>
        <w:rPr>
          <w:sz w:val="28"/>
        </w:rPr>
        <w:t>The review consulted on several proposals, including provision of goods and services, education and</w:t>
      </w:r>
      <w:r>
        <w:rPr>
          <w:spacing w:val="-9"/>
          <w:sz w:val="28"/>
        </w:rPr>
        <w:t> </w:t>
      </w:r>
      <w:r>
        <w:rPr>
          <w:sz w:val="28"/>
        </w:rPr>
        <w:t>employment.</w:t>
      </w:r>
      <w:r>
        <w:rPr>
          <w:sz w:val="28"/>
          <w:vertAlign w:val="superscript"/>
        </w:rPr>
        <w:t>292</w:t>
      </w:r>
      <w:r>
        <w:rPr>
          <w:spacing w:val="-9"/>
          <w:sz w:val="28"/>
          <w:vertAlign w:val="baseline"/>
        </w:rPr>
        <w:t> </w:t>
      </w:r>
      <w:r>
        <w:rPr>
          <w:sz w:val="28"/>
          <w:vertAlign w:val="baseline"/>
        </w:rPr>
        <w:t>It</w:t>
      </w:r>
      <w:r>
        <w:rPr>
          <w:spacing w:val="-8"/>
          <w:sz w:val="28"/>
          <w:vertAlign w:val="baseline"/>
        </w:rPr>
        <w:t> </w:t>
      </w:r>
      <w:r>
        <w:rPr>
          <w:sz w:val="28"/>
          <w:vertAlign w:val="baseline"/>
        </w:rPr>
        <w:t>also</w:t>
      </w:r>
      <w:r>
        <w:rPr>
          <w:spacing w:val="-9"/>
          <w:sz w:val="28"/>
          <w:vertAlign w:val="baseline"/>
        </w:rPr>
        <w:t> </w:t>
      </w:r>
      <w:r>
        <w:rPr>
          <w:sz w:val="28"/>
          <w:vertAlign w:val="baseline"/>
        </w:rPr>
        <w:t>proposed</w:t>
      </w:r>
      <w:r>
        <w:rPr>
          <w:spacing w:val="-9"/>
          <w:sz w:val="28"/>
          <w:vertAlign w:val="baseline"/>
        </w:rPr>
        <w:t> </w:t>
      </w:r>
      <w:r>
        <w:rPr>
          <w:sz w:val="28"/>
          <w:vertAlign w:val="baseline"/>
        </w:rPr>
        <w:t>to</w:t>
      </w:r>
      <w:r>
        <w:rPr>
          <w:spacing w:val="-9"/>
          <w:sz w:val="28"/>
          <w:vertAlign w:val="baseline"/>
        </w:rPr>
        <w:t> </w:t>
      </w:r>
      <w:r>
        <w:rPr>
          <w:sz w:val="28"/>
          <w:vertAlign w:val="baseline"/>
        </w:rPr>
        <w:t>introduce</w:t>
      </w:r>
      <w:r>
        <w:rPr>
          <w:spacing w:val="-8"/>
          <w:sz w:val="28"/>
          <w:vertAlign w:val="baseline"/>
        </w:rPr>
        <w:t> </w:t>
      </w:r>
      <w:r>
        <w:rPr>
          <w:sz w:val="28"/>
          <w:vertAlign w:val="baseline"/>
        </w:rPr>
        <w:t>a</w:t>
      </w:r>
      <w:r>
        <w:rPr>
          <w:spacing w:val="-9"/>
          <w:sz w:val="28"/>
          <w:vertAlign w:val="baseline"/>
        </w:rPr>
        <w:t> </w:t>
      </w:r>
      <w:r>
        <w:rPr>
          <w:sz w:val="28"/>
          <w:vertAlign w:val="baseline"/>
        </w:rPr>
        <w:t>provision</w:t>
      </w:r>
      <w:r>
        <w:rPr>
          <w:spacing w:val="-9"/>
          <w:sz w:val="28"/>
          <w:vertAlign w:val="baseline"/>
        </w:rPr>
        <w:t> </w:t>
      </w:r>
      <w:r>
        <w:rPr>
          <w:sz w:val="28"/>
          <w:vertAlign w:val="baseline"/>
        </w:rPr>
        <w:t>to</w:t>
      </w:r>
      <w:r>
        <w:rPr>
          <w:spacing w:val="-9"/>
          <w:sz w:val="28"/>
          <w:vertAlign w:val="baseline"/>
        </w:rPr>
        <w:t> </w:t>
      </w:r>
      <w:r>
        <w:rPr>
          <w:sz w:val="28"/>
          <w:vertAlign w:val="baseline"/>
        </w:rPr>
        <w:t>enact</w:t>
      </w:r>
      <w:r>
        <w:rPr>
          <w:spacing w:val="-8"/>
          <w:sz w:val="28"/>
          <w:vertAlign w:val="baseline"/>
        </w:rPr>
        <w:t> </w:t>
      </w:r>
      <w:r>
        <w:rPr>
          <w:sz w:val="28"/>
          <w:vertAlign w:val="baseline"/>
        </w:rPr>
        <w:t>Ethnic</w:t>
      </w:r>
    </w:p>
    <w:p>
      <w:pPr>
        <w:pStyle w:val="BodyText"/>
        <w:spacing w:line="225" w:lineRule="auto"/>
        <w:ind w:left="1853" w:right="1124"/>
      </w:pPr>
      <w:r>
        <w:rPr/>
        <w:t>Equality</w:t>
      </w:r>
      <w:r>
        <w:rPr>
          <w:spacing w:val="-8"/>
        </w:rPr>
        <w:t> </w:t>
      </w:r>
      <w:r>
        <w:rPr/>
        <w:t>Monitoring</w:t>
      </w:r>
      <w:r>
        <w:rPr>
          <w:spacing w:val="-8"/>
        </w:rPr>
        <w:t> </w:t>
      </w:r>
      <w:r>
        <w:rPr/>
        <w:t>through</w:t>
      </w:r>
      <w:r>
        <w:rPr>
          <w:spacing w:val="-9"/>
        </w:rPr>
        <w:t> </w:t>
      </w:r>
      <w:r>
        <w:rPr/>
        <w:t>secondary</w:t>
      </w:r>
      <w:r>
        <w:rPr>
          <w:spacing w:val="-8"/>
        </w:rPr>
        <w:t> </w:t>
      </w:r>
      <w:r>
        <w:rPr/>
        <w:t>legislation</w:t>
      </w:r>
      <w:r>
        <w:rPr>
          <w:spacing w:val="-9"/>
        </w:rPr>
        <w:t> </w:t>
      </w:r>
      <w:r>
        <w:rPr/>
        <w:t>after</w:t>
      </w:r>
      <w:r>
        <w:rPr>
          <w:spacing w:val="-8"/>
        </w:rPr>
        <w:t> </w:t>
      </w:r>
      <w:r>
        <w:rPr/>
        <w:t>it</w:t>
      </w:r>
      <w:r>
        <w:rPr>
          <w:spacing w:val="-8"/>
        </w:rPr>
        <w:t> </w:t>
      </w:r>
      <w:r>
        <w:rPr/>
        <w:t>pushes</w:t>
      </w:r>
      <w:r>
        <w:rPr>
          <w:spacing w:val="-9"/>
        </w:rPr>
        <w:t> </w:t>
      </w:r>
      <w:r>
        <w:rPr/>
        <w:t>forward</w:t>
      </w:r>
      <w:r>
        <w:rPr>
          <w:spacing w:val="-9"/>
        </w:rPr>
        <w:t> </w:t>
      </w:r>
      <w:r>
        <w:rPr/>
        <w:t>with Public Sector Ethnic Equality Monitoring.</w:t>
      </w:r>
      <w:r>
        <w:rPr>
          <w:vertAlign w:val="superscript"/>
        </w:rPr>
        <w:t>293</w:t>
      </w:r>
    </w:p>
    <w:p>
      <w:pPr>
        <w:pStyle w:val="ListParagraph"/>
        <w:numPr>
          <w:ilvl w:val="1"/>
          <w:numId w:val="7"/>
        </w:numPr>
        <w:tabs>
          <w:tab w:pos="1853" w:val="left" w:leader="none"/>
        </w:tabs>
        <w:spacing w:line="225" w:lineRule="auto" w:before="312" w:after="0"/>
        <w:ind w:left="1853" w:right="1821" w:hanging="720"/>
        <w:jc w:val="both"/>
        <w:rPr>
          <w:sz w:val="28"/>
        </w:rPr>
      </w:pPr>
      <w:r>
        <w:rPr>
          <w:sz w:val="28"/>
        </w:rPr>
        <w:t>In June 2023, in response to the consultation, the ECNI welcomed that, following significant engagement with the Executive Office, many of its proposals aligned with ECNI advice, but expressed disappointment that the</w:t>
      </w:r>
      <w:r>
        <w:rPr>
          <w:spacing w:val="-7"/>
          <w:sz w:val="28"/>
        </w:rPr>
        <w:t> </w:t>
      </w:r>
      <w:r>
        <w:rPr>
          <w:sz w:val="28"/>
        </w:rPr>
        <w:t>consultation</w:t>
      </w:r>
      <w:r>
        <w:rPr>
          <w:spacing w:val="-8"/>
          <w:sz w:val="28"/>
        </w:rPr>
        <w:t> </w:t>
      </w:r>
      <w:r>
        <w:rPr>
          <w:sz w:val="28"/>
        </w:rPr>
        <w:t>did</w:t>
      </w:r>
      <w:r>
        <w:rPr>
          <w:spacing w:val="-8"/>
          <w:sz w:val="28"/>
        </w:rPr>
        <w:t> </w:t>
      </w:r>
      <w:r>
        <w:rPr>
          <w:sz w:val="28"/>
        </w:rPr>
        <w:t>not</w:t>
      </w:r>
      <w:r>
        <w:rPr>
          <w:spacing w:val="-7"/>
          <w:sz w:val="28"/>
        </w:rPr>
        <w:t> </w:t>
      </w:r>
      <w:r>
        <w:rPr>
          <w:sz w:val="28"/>
        </w:rPr>
        <w:t>address</w:t>
      </w:r>
      <w:r>
        <w:rPr>
          <w:spacing w:val="-8"/>
          <w:sz w:val="28"/>
        </w:rPr>
        <w:t> </w:t>
      </w:r>
      <w:r>
        <w:rPr>
          <w:sz w:val="28"/>
        </w:rPr>
        <w:t>all</w:t>
      </w:r>
      <w:r>
        <w:rPr>
          <w:spacing w:val="-8"/>
          <w:sz w:val="28"/>
        </w:rPr>
        <w:t> </w:t>
      </w:r>
      <w:r>
        <w:rPr>
          <w:sz w:val="28"/>
        </w:rPr>
        <w:t>ECNI</w:t>
      </w:r>
      <w:r>
        <w:rPr>
          <w:spacing w:val="-7"/>
          <w:sz w:val="28"/>
        </w:rPr>
        <w:t> </w:t>
      </w:r>
      <w:r>
        <w:rPr>
          <w:sz w:val="28"/>
        </w:rPr>
        <w:t>recommendations,</w:t>
      </w:r>
      <w:r>
        <w:rPr>
          <w:spacing w:val="-7"/>
          <w:sz w:val="28"/>
        </w:rPr>
        <w:t> </w:t>
      </w:r>
      <w:r>
        <w:rPr>
          <w:sz w:val="28"/>
        </w:rPr>
        <w:t>in</w:t>
      </w:r>
      <w:r>
        <w:rPr>
          <w:spacing w:val="-8"/>
          <w:sz w:val="28"/>
        </w:rPr>
        <w:t> </w:t>
      </w:r>
      <w:r>
        <w:rPr>
          <w:sz w:val="28"/>
        </w:rPr>
        <w:t>particular</w:t>
      </w:r>
    </w:p>
    <w:p>
      <w:pPr>
        <w:pStyle w:val="BodyText"/>
        <w:spacing w:line="321" w:lineRule="exact"/>
        <w:ind w:left="1853"/>
        <w:jc w:val="both"/>
      </w:pPr>
      <w:r>
        <w:rPr/>
        <w:t>combined</w:t>
      </w:r>
      <w:r>
        <w:rPr>
          <w:spacing w:val="-7"/>
        </w:rPr>
        <w:t> </w:t>
      </w:r>
      <w:r>
        <w:rPr/>
        <w:t>discrimination,</w:t>
      </w:r>
      <w:r>
        <w:rPr>
          <w:spacing w:val="-6"/>
        </w:rPr>
        <w:t> </w:t>
      </w:r>
      <w:r>
        <w:rPr/>
        <w:t>which</w:t>
      </w:r>
      <w:r>
        <w:rPr>
          <w:spacing w:val="-7"/>
        </w:rPr>
        <w:t> </w:t>
      </w:r>
      <w:r>
        <w:rPr/>
        <w:t>ECNI</w:t>
      </w:r>
      <w:r>
        <w:rPr>
          <w:spacing w:val="-7"/>
        </w:rPr>
        <w:t> </w:t>
      </w:r>
      <w:r>
        <w:rPr/>
        <w:t>identified</w:t>
      </w:r>
      <w:r>
        <w:rPr>
          <w:spacing w:val="-7"/>
        </w:rPr>
        <w:t> </w:t>
      </w:r>
      <w:r>
        <w:rPr/>
        <w:t>as</w:t>
      </w:r>
      <w:r>
        <w:rPr>
          <w:spacing w:val="-7"/>
        </w:rPr>
        <w:t> </w:t>
      </w:r>
      <w:r>
        <w:rPr/>
        <w:t>a</w:t>
      </w:r>
      <w:r>
        <w:rPr>
          <w:spacing w:val="-8"/>
        </w:rPr>
        <w:t> </w:t>
      </w:r>
      <w:r>
        <w:rPr/>
        <w:t>priority</w:t>
      </w:r>
      <w:r>
        <w:rPr>
          <w:spacing w:val="-6"/>
        </w:rPr>
        <w:t> </w:t>
      </w:r>
      <w:r>
        <w:rPr/>
        <w:t>area</w:t>
      </w:r>
      <w:r>
        <w:rPr>
          <w:spacing w:val="-7"/>
        </w:rPr>
        <w:t> </w:t>
      </w:r>
      <w:r>
        <w:rPr/>
        <w:t>for</w:t>
      </w:r>
      <w:r>
        <w:rPr>
          <w:spacing w:val="-7"/>
        </w:rPr>
        <w:t> </w:t>
      </w:r>
      <w:r>
        <w:rPr>
          <w:spacing w:val="-2"/>
        </w:rPr>
        <w:t>change.</w:t>
      </w:r>
      <w:r>
        <w:rPr>
          <w:spacing w:val="-2"/>
          <w:vertAlign w:val="superscript"/>
        </w:rPr>
        <w:t>294</w:t>
      </w:r>
    </w:p>
    <w:p>
      <w:pPr>
        <w:pStyle w:val="ListParagraph"/>
        <w:numPr>
          <w:ilvl w:val="1"/>
          <w:numId w:val="7"/>
        </w:numPr>
        <w:tabs>
          <w:tab w:pos="1853" w:val="left" w:leader="none"/>
        </w:tabs>
        <w:spacing w:line="225" w:lineRule="auto" w:before="314" w:after="0"/>
        <w:ind w:left="1853" w:right="1445" w:hanging="720"/>
        <w:jc w:val="left"/>
        <w:rPr>
          <w:sz w:val="28"/>
        </w:rPr>
      </w:pPr>
      <w:r>
        <w:rPr>
          <w:sz w:val="28"/>
        </w:rPr>
        <w:t>Both Commissions also highlighted the importance of compliance with Windsor Framework Article 2, including the dynamic alignment obligations in</w:t>
      </w:r>
      <w:r>
        <w:rPr>
          <w:spacing w:val="-7"/>
          <w:sz w:val="28"/>
        </w:rPr>
        <w:t> </w:t>
      </w:r>
      <w:r>
        <w:rPr>
          <w:sz w:val="28"/>
        </w:rPr>
        <w:t>relation</w:t>
      </w:r>
      <w:r>
        <w:rPr>
          <w:spacing w:val="-7"/>
          <w:sz w:val="28"/>
        </w:rPr>
        <w:t> </w:t>
      </w:r>
      <w:r>
        <w:rPr>
          <w:sz w:val="28"/>
        </w:rPr>
        <w:t>to</w:t>
      </w:r>
      <w:r>
        <w:rPr>
          <w:spacing w:val="-7"/>
          <w:sz w:val="28"/>
        </w:rPr>
        <w:t> </w:t>
      </w:r>
      <w:r>
        <w:rPr>
          <w:sz w:val="28"/>
        </w:rPr>
        <w:t>the</w:t>
      </w:r>
      <w:r>
        <w:rPr>
          <w:spacing w:val="-6"/>
          <w:sz w:val="28"/>
        </w:rPr>
        <w:t> </w:t>
      </w:r>
      <w:r>
        <w:rPr>
          <w:sz w:val="28"/>
        </w:rPr>
        <w:t>EU</w:t>
      </w:r>
      <w:r>
        <w:rPr>
          <w:spacing w:val="-6"/>
          <w:sz w:val="28"/>
        </w:rPr>
        <w:t> </w:t>
      </w:r>
      <w:r>
        <w:rPr>
          <w:sz w:val="28"/>
        </w:rPr>
        <w:t>Racial</w:t>
      </w:r>
      <w:r>
        <w:rPr>
          <w:spacing w:val="-7"/>
          <w:sz w:val="28"/>
        </w:rPr>
        <w:t> </w:t>
      </w:r>
      <w:r>
        <w:rPr>
          <w:sz w:val="28"/>
        </w:rPr>
        <w:t>Equality</w:t>
      </w:r>
      <w:r>
        <w:rPr>
          <w:spacing w:val="-6"/>
          <w:sz w:val="28"/>
        </w:rPr>
        <w:t> </w:t>
      </w:r>
      <w:r>
        <w:rPr>
          <w:sz w:val="28"/>
        </w:rPr>
        <w:t>Directive,</w:t>
      </w:r>
      <w:r>
        <w:rPr>
          <w:spacing w:val="-6"/>
          <w:sz w:val="28"/>
        </w:rPr>
        <w:t> </w:t>
      </w:r>
      <w:r>
        <w:rPr>
          <w:sz w:val="28"/>
        </w:rPr>
        <w:t>the</w:t>
      </w:r>
      <w:r>
        <w:rPr>
          <w:spacing w:val="-6"/>
          <w:sz w:val="28"/>
        </w:rPr>
        <w:t> </w:t>
      </w:r>
      <w:r>
        <w:rPr>
          <w:sz w:val="28"/>
        </w:rPr>
        <w:t>proposed</w:t>
      </w:r>
      <w:r>
        <w:rPr>
          <w:spacing w:val="-7"/>
          <w:sz w:val="28"/>
        </w:rPr>
        <w:t> </w:t>
      </w:r>
      <w:r>
        <w:rPr>
          <w:sz w:val="28"/>
        </w:rPr>
        <w:t>EU</w:t>
      </w:r>
      <w:r>
        <w:rPr>
          <w:spacing w:val="-6"/>
          <w:sz w:val="28"/>
        </w:rPr>
        <w:t> </w:t>
      </w:r>
      <w:r>
        <w:rPr>
          <w:sz w:val="28"/>
        </w:rPr>
        <w:t>directives</w:t>
      </w:r>
      <w:r>
        <w:rPr>
          <w:spacing w:val="-7"/>
          <w:sz w:val="28"/>
        </w:rPr>
        <w:t> </w:t>
      </w:r>
      <w:r>
        <w:rPr>
          <w:sz w:val="28"/>
        </w:rPr>
        <w:t>on binding standards for equality bodies and CJEU case law.</w:t>
      </w:r>
      <w:r>
        <w:rPr>
          <w:sz w:val="28"/>
          <w:vertAlign w:val="superscript"/>
        </w:rPr>
        <w:t>295</w:t>
      </w:r>
      <w:r>
        <w:rPr>
          <w:sz w:val="28"/>
          <w:vertAlign w:val="baseline"/>
        </w:rPr>
        <w:t> In its response, ECNI</w:t>
      </w:r>
      <w:r>
        <w:rPr>
          <w:spacing w:val="-5"/>
          <w:sz w:val="28"/>
          <w:vertAlign w:val="baseline"/>
        </w:rPr>
        <w:t> </w:t>
      </w:r>
      <w:r>
        <w:rPr>
          <w:sz w:val="28"/>
          <w:vertAlign w:val="baseline"/>
        </w:rPr>
        <w:t>encouraged</w:t>
      </w:r>
      <w:r>
        <w:rPr>
          <w:spacing w:val="-6"/>
          <w:sz w:val="28"/>
          <w:vertAlign w:val="baseline"/>
        </w:rPr>
        <w:t> </w:t>
      </w:r>
      <w:r>
        <w:rPr>
          <w:sz w:val="28"/>
          <w:vertAlign w:val="baseline"/>
        </w:rPr>
        <w:t>steps</w:t>
      </w:r>
      <w:r>
        <w:rPr>
          <w:spacing w:val="-6"/>
          <w:sz w:val="28"/>
          <w:vertAlign w:val="baseline"/>
        </w:rPr>
        <w:t> </w:t>
      </w:r>
      <w:r>
        <w:rPr>
          <w:sz w:val="28"/>
          <w:vertAlign w:val="baseline"/>
        </w:rPr>
        <w:t>to</w:t>
      </w:r>
      <w:r>
        <w:rPr>
          <w:spacing w:val="-6"/>
          <w:sz w:val="28"/>
          <w:vertAlign w:val="baseline"/>
        </w:rPr>
        <w:t> </w:t>
      </w:r>
      <w:r>
        <w:rPr>
          <w:sz w:val="28"/>
          <w:vertAlign w:val="baseline"/>
        </w:rPr>
        <w:t>be</w:t>
      </w:r>
      <w:r>
        <w:rPr>
          <w:spacing w:val="-5"/>
          <w:sz w:val="28"/>
          <w:vertAlign w:val="baseline"/>
        </w:rPr>
        <w:t> </w:t>
      </w:r>
      <w:r>
        <w:rPr>
          <w:sz w:val="28"/>
          <w:vertAlign w:val="baseline"/>
        </w:rPr>
        <w:t>taken</w:t>
      </w:r>
      <w:r>
        <w:rPr>
          <w:spacing w:val="-6"/>
          <w:sz w:val="28"/>
          <w:vertAlign w:val="baseline"/>
        </w:rPr>
        <w:t> </w:t>
      </w:r>
      <w:r>
        <w:rPr>
          <w:sz w:val="28"/>
          <w:vertAlign w:val="baseline"/>
        </w:rPr>
        <w:t>voluntarily</w:t>
      </w:r>
      <w:r>
        <w:rPr>
          <w:spacing w:val="-5"/>
          <w:sz w:val="28"/>
          <w:vertAlign w:val="baseline"/>
        </w:rPr>
        <w:t> </w:t>
      </w:r>
      <w:r>
        <w:rPr>
          <w:sz w:val="28"/>
          <w:vertAlign w:val="baseline"/>
        </w:rPr>
        <w:t>by</w:t>
      </w:r>
      <w:r>
        <w:rPr>
          <w:spacing w:val="-5"/>
          <w:sz w:val="28"/>
          <w:vertAlign w:val="baseline"/>
        </w:rPr>
        <w:t> </w:t>
      </w:r>
      <w:r>
        <w:rPr>
          <w:sz w:val="28"/>
          <w:vertAlign w:val="baseline"/>
        </w:rPr>
        <w:t>TEO,</w:t>
      </w:r>
      <w:r>
        <w:rPr>
          <w:spacing w:val="-5"/>
          <w:sz w:val="28"/>
          <w:vertAlign w:val="baseline"/>
        </w:rPr>
        <w:t> </w:t>
      </w:r>
      <w:r>
        <w:rPr>
          <w:sz w:val="28"/>
          <w:vertAlign w:val="baseline"/>
        </w:rPr>
        <w:t>to</w:t>
      </w:r>
      <w:r>
        <w:rPr>
          <w:spacing w:val="-6"/>
          <w:sz w:val="28"/>
          <w:vertAlign w:val="baseline"/>
        </w:rPr>
        <w:t> </w:t>
      </w:r>
      <w:r>
        <w:rPr>
          <w:sz w:val="28"/>
          <w:vertAlign w:val="baseline"/>
        </w:rPr>
        <w:t>ensure</w:t>
      </w:r>
      <w:r>
        <w:rPr>
          <w:spacing w:val="-5"/>
          <w:sz w:val="28"/>
          <w:vertAlign w:val="baseline"/>
        </w:rPr>
        <w:t> </w:t>
      </w:r>
      <w:r>
        <w:rPr>
          <w:sz w:val="28"/>
          <w:vertAlign w:val="baseline"/>
        </w:rPr>
        <w:t>that</w:t>
      </w:r>
      <w:r>
        <w:rPr>
          <w:spacing w:val="-5"/>
          <w:sz w:val="28"/>
          <w:vertAlign w:val="baseline"/>
        </w:rPr>
        <w:t> </w:t>
      </w:r>
      <w:r>
        <w:rPr>
          <w:sz w:val="28"/>
          <w:vertAlign w:val="baseline"/>
        </w:rPr>
        <w:t>NI</w:t>
      </w:r>
      <w:r>
        <w:rPr>
          <w:spacing w:val="-5"/>
          <w:sz w:val="28"/>
          <w:vertAlign w:val="baseline"/>
        </w:rPr>
        <w:t> </w:t>
      </w:r>
      <w:r>
        <w:rPr>
          <w:sz w:val="28"/>
          <w:vertAlign w:val="baseline"/>
        </w:rPr>
        <w:t>law</w:t>
      </w:r>
    </w:p>
    <w:p>
      <w:pPr>
        <w:pStyle w:val="BodyText"/>
        <w:spacing w:before="5"/>
        <w:rPr>
          <w:sz w:val="15"/>
        </w:rPr>
      </w:pPr>
      <w:r>
        <w:rPr/>
        <mc:AlternateContent>
          <mc:Choice Requires="wps">
            <w:drawing>
              <wp:anchor distT="0" distB="0" distL="0" distR="0" allowOverlap="1" layoutInCell="1" locked="0" behindDoc="1" simplePos="0" relativeHeight="487658496">
                <wp:simplePos x="0" y="0"/>
                <wp:positionH relativeFrom="page">
                  <wp:posOffset>719996</wp:posOffset>
                </wp:positionH>
                <wp:positionV relativeFrom="paragraph">
                  <wp:posOffset>134735</wp:posOffset>
                </wp:positionV>
                <wp:extent cx="6120130" cy="1270"/>
                <wp:effectExtent l="0" t="0" r="0" b="0"/>
                <wp:wrapTopAndBottom/>
                <wp:docPr id="311" name="Graphic 311"/>
                <wp:cNvGraphicFramePr>
                  <a:graphicFrameLocks/>
                </wp:cNvGraphicFramePr>
                <a:graphic>
                  <a:graphicData uri="http://schemas.microsoft.com/office/word/2010/wordprocessingShape">
                    <wps:wsp>
                      <wps:cNvPr id="311" name="Graphic 311"/>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0.609059pt;width:481.9pt;height:.1pt;mso-position-horizontal-relative:page;mso-position-vertical-relative:paragraph;z-index:-15657984;mso-wrap-distance-left:0;mso-wrap-distance-right:0" id="docshape263" coordorigin="1134,212" coordsize="9638,0" path="m10772,212l1134,212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35" w:lineRule="auto" w:before="150" w:after="0"/>
        <w:ind w:left="1853" w:right="1645" w:hanging="720"/>
        <w:jc w:val="left"/>
        <w:rPr>
          <w:sz w:val="18"/>
        </w:rPr>
      </w:pPr>
      <w:r>
        <w:rPr>
          <w:sz w:val="18"/>
        </w:rPr>
        <w:t>See section on Binding Standards for Equality Bodies in this chapter. EU Commission, ‘Proposal for a Directive on Standards</w:t>
      </w:r>
      <w:r>
        <w:rPr>
          <w:spacing w:val="-5"/>
          <w:sz w:val="18"/>
        </w:rPr>
        <w:t> </w:t>
      </w:r>
      <w:r>
        <w:rPr>
          <w:sz w:val="18"/>
        </w:rPr>
        <w:t>for</w:t>
      </w:r>
      <w:r>
        <w:rPr>
          <w:spacing w:val="-4"/>
          <w:sz w:val="18"/>
        </w:rPr>
        <w:t> </w:t>
      </w:r>
      <w:r>
        <w:rPr>
          <w:sz w:val="18"/>
        </w:rPr>
        <w:t>Equality</w:t>
      </w:r>
      <w:r>
        <w:rPr>
          <w:spacing w:val="-4"/>
          <w:sz w:val="18"/>
        </w:rPr>
        <w:t> </w:t>
      </w:r>
      <w:r>
        <w:rPr>
          <w:sz w:val="18"/>
        </w:rPr>
        <w:t>Bodies</w:t>
      </w:r>
      <w:r>
        <w:rPr>
          <w:spacing w:val="-5"/>
          <w:sz w:val="18"/>
        </w:rPr>
        <w:t> </w:t>
      </w:r>
      <w:r>
        <w:rPr>
          <w:sz w:val="18"/>
        </w:rPr>
        <w:t>in</w:t>
      </w:r>
      <w:r>
        <w:rPr>
          <w:spacing w:val="-5"/>
          <w:sz w:val="18"/>
        </w:rPr>
        <w:t> </w:t>
      </w:r>
      <w:r>
        <w:rPr>
          <w:sz w:val="18"/>
        </w:rPr>
        <w:t>the</w:t>
      </w:r>
      <w:r>
        <w:rPr>
          <w:spacing w:val="-4"/>
          <w:sz w:val="18"/>
        </w:rPr>
        <w:t> </w:t>
      </w:r>
      <w:r>
        <w:rPr>
          <w:sz w:val="18"/>
        </w:rPr>
        <w:t>Field</w:t>
      </w:r>
      <w:r>
        <w:rPr>
          <w:spacing w:val="-5"/>
          <w:sz w:val="18"/>
        </w:rPr>
        <w:t> </w:t>
      </w:r>
      <w:r>
        <w:rPr>
          <w:sz w:val="18"/>
        </w:rPr>
        <w:t>of</w:t>
      </w:r>
      <w:r>
        <w:rPr>
          <w:spacing w:val="-5"/>
          <w:sz w:val="18"/>
        </w:rPr>
        <w:t> </w:t>
      </w:r>
      <w:r>
        <w:rPr>
          <w:sz w:val="18"/>
        </w:rPr>
        <w:t>Equal</w:t>
      </w:r>
      <w:r>
        <w:rPr>
          <w:spacing w:val="-5"/>
          <w:sz w:val="18"/>
        </w:rPr>
        <w:t> </w:t>
      </w:r>
      <w:r>
        <w:rPr>
          <w:sz w:val="18"/>
        </w:rPr>
        <w:t>Treatment</w:t>
      </w:r>
      <w:r>
        <w:rPr>
          <w:spacing w:val="-4"/>
          <w:sz w:val="18"/>
        </w:rPr>
        <w:t> </w:t>
      </w:r>
      <w:r>
        <w:rPr>
          <w:sz w:val="18"/>
        </w:rPr>
        <w:t>and</w:t>
      </w:r>
      <w:r>
        <w:rPr>
          <w:spacing w:val="-5"/>
          <w:sz w:val="18"/>
        </w:rPr>
        <w:t> </w:t>
      </w:r>
      <w:r>
        <w:rPr>
          <w:sz w:val="18"/>
        </w:rPr>
        <w:t>Equal</w:t>
      </w:r>
      <w:r>
        <w:rPr>
          <w:spacing w:val="-5"/>
          <w:sz w:val="18"/>
        </w:rPr>
        <w:t> </w:t>
      </w:r>
      <w:r>
        <w:rPr>
          <w:sz w:val="18"/>
        </w:rPr>
        <w:t>Opportunities</w:t>
      </w:r>
      <w:r>
        <w:rPr>
          <w:spacing w:val="-5"/>
          <w:sz w:val="18"/>
        </w:rPr>
        <w:t> </w:t>
      </w:r>
      <w:r>
        <w:rPr>
          <w:sz w:val="18"/>
        </w:rPr>
        <w:t>between</w:t>
      </w:r>
      <w:r>
        <w:rPr>
          <w:spacing w:val="-5"/>
          <w:sz w:val="18"/>
        </w:rPr>
        <w:t> </w:t>
      </w:r>
      <w:r>
        <w:rPr>
          <w:sz w:val="18"/>
        </w:rPr>
        <w:t>Women</w:t>
      </w:r>
      <w:r>
        <w:rPr>
          <w:spacing w:val="-5"/>
          <w:sz w:val="18"/>
        </w:rPr>
        <w:t> </w:t>
      </w:r>
      <w:r>
        <w:rPr>
          <w:sz w:val="18"/>
        </w:rPr>
        <w:t>and</w:t>
      </w:r>
      <w:r>
        <w:rPr>
          <w:spacing w:val="-5"/>
          <w:sz w:val="18"/>
        </w:rPr>
        <w:t> </w:t>
      </w:r>
      <w:r>
        <w:rPr>
          <w:sz w:val="18"/>
        </w:rPr>
        <w:t>Men</w:t>
      </w:r>
      <w:r>
        <w:rPr>
          <w:spacing w:val="-5"/>
          <w:sz w:val="18"/>
        </w:rPr>
        <w:t> </w:t>
      </w:r>
      <w:r>
        <w:rPr>
          <w:sz w:val="18"/>
        </w:rPr>
        <w:t>in Matters of Employment and Occupation, and Deleting Article 20 of Directive 2006/54/EC and Article</w:t>
      </w:r>
    </w:p>
    <w:p>
      <w:pPr>
        <w:spacing w:line="235" w:lineRule="auto" w:before="2"/>
        <w:ind w:left="1853" w:right="1798" w:firstLine="0"/>
        <w:jc w:val="left"/>
        <w:rPr>
          <w:sz w:val="18"/>
        </w:rPr>
      </w:pPr>
      <w:r>
        <w:rPr>
          <w:sz w:val="18"/>
        </w:rPr>
        <w:t>11</w:t>
      </w:r>
      <w:r>
        <w:rPr>
          <w:spacing w:val="-3"/>
          <w:sz w:val="18"/>
        </w:rPr>
        <w:t> </w:t>
      </w:r>
      <w:r>
        <w:rPr>
          <w:sz w:val="18"/>
        </w:rPr>
        <w:t>of</w:t>
      </w:r>
      <w:r>
        <w:rPr>
          <w:spacing w:val="-4"/>
          <w:sz w:val="18"/>
        </w:rPr>
        <w:t> </w:t>
      </w:r>
      <w:r>
        <w:rPr>
          <w:sz w:val="18"/>
        </w:rPr>
        <w:t>Directive</w:t>
      </w:r>
      <w:r>
        <w:rPr>
          <w:spacing w:val="-3"/>
          <w:sz w:val="18"/>
        </w:rPr>
        <w:t> </w:t>
      </w:r>
      <w:r>
        <w:rPr>
          <w:sz w:val="18"/>
        </w:rPr>
        <w:t>2010/41/EU</w:t>
      </w:r>
      <w:r>
        <w:rPr>
          <w:spacing w:val="-3"/>
          <w:sz w:val="18"/>
        </w:rPr>
        <w:t> </w:t>
      </w:r>
      <w:r>
        <w:rPr>
          <w:sz w:val="18"/>
        </w:rPr>
        <w:t>-</w:t>
      </w:r>
      <w:r>
        <w:rPr>
          <w:spacing w:val="-4"/>
          <w:sz w:val="18"/>
        </w:rPr>
        <w:t> </w:t>
      </w:r>
      <w:r>
        <w:rPr>
          <w:sz w:val="18"/>
        </w:rPr>
        <w:t>COM(2022)</w:t>
      </w:r>
      <w:r>
        <w:rPr>
          <w:spacing w:val="-4"/>
          <w:sz w:val="18"/>
        </w:rPr>
        <w:t> </w:t>
      </w:r>
      <w:r>
        <w:rPr>
          <w:sz w:val="18"/>
        </w:rPr>
        <w:t>688’</w:t>
      </w:r>
      <w:r>
        <w:rPr>
          <w:spacing w:val="-3"/>
          <w:sz w:val="18"/>
        </w:rPr>
        <w:t> </w:t>
      </w:r>
      <w:r>
        <w:rPr>
          <w:sz w:val="18"/>
        </w:rPr>
        <w:t>(EU</w:t>
      </w:r>
      <w:r>
        <w:rPr>
          <w:spacing w:val="-3"/>
          <w:sz w:val="18"/>
        </w:rPr>
        <w:t> </w:t>
      </w:r>
      <w:r>
        <w:rPr>
          <w:sz w:val="18"/>
        </w:rPr>
        <w:t>Commission,</w:t>
      </w:r>
      <w:r>
        <w:rPr>
          <w:spacing w:val="-3"/>
          <w:sz w:val="18"/>
        </w:rPr>
        <w:t> </w:t>
      </w:r>
      <w:r>
        <w:rPr>
          <w:sz w:val="18"/>
        </w:rPr>
        <w:t>2022);</w:t>
      </w:r>
      <w:r>
        <w:rPr>
          <w:spacing w:val="-3"/>
          <w:sz w:val="18"/>
        </w:rPr>
        <w:t> </w:t>
      </w:r>
      <w:r>
        <w:rPr>
          <w:sz w:val="18"/>
        </w:rPr>
        <w:t>EU</w:t>
      </w:r>
      <w:r>
        <w:rPr>
          <w:spacing w:val="-3"/>
          <w:sz w:val="18"/>
        </w:rPr>
        <w:t> </w:t>
      </w:r>
      <w:r>
        <w:rPr>
          <w:sz w:val="18"/>
        </w:rPr>
        <w:t>Commission,</w:t>
      </w:r>
      <w:r>
        <w:rPr>
          <w:spacing w:val="-3"/>
          <w:sz w:val="18"/>
        </w:rPr>
        <w:t> </w:t>
      </w:r>
      <w:r>
        <w:rPr>
          <w:sz w:val="18"/>
        </w:rPr>
        <w:t>‘Proposal</w:t>
      </w:r>
      <w:r>
        <w:rPr>
          <w:spacing w:val="-4"/>
          <w:sz w:val="18"/>
        </w:rPr>
        <w:t> </w:t>
      </w:r>
      <w:r>
        <w:rPr>
          <w:sz w:val="18"/>
        </w:rPr>
        <w:t>for</w:t>
      </w:r>
      <w:r>
        <w:rPr>
          <w:spacing w:val="-3"/>
          <w:sz w:val="18"/>
        </w:rPr>
        <w:t> </w:t>
      </w:r>
      <w:r>
        <w:rPr>
          <w:sz w:val="18"/>
        </w:rPr>
        <w:t>a</w:t>
      </w:r>
      <w:r>
        <w:rPr>
          <w:spacing w:val="-4"/>
          <w:sz w:val="18"/>
        </w:rPr>
        <w:t> </w:t>
      </w:r>
      <w:r>
        <w:rPr>
          <w:sz w:val="18"/>
        </w:rPr>
        <w:t>Directive on Standards for Equality Bodies in the Field of Equal Treatment between Persons Irrespective of their</w:t>
      </w:r>
    </w:p>
    <w:p>
      <w:pPr>
        <w:spacing w:line="235" w:lineRule="auto" w:before="1"/>
        <w:ind w:left="1853" w:right="1171" w:firstLine="0"/>
        <w:jc w:val="left"/>
        <w:rPr>
          <w:sz w:val="18"/>
        </w:rPr>
      </w:pPr>
      <w:r>
        <w:rPr>
          <w:sz w:val="18"/>
        </w:rPr>
        <w:t>Racial</w:t>
      </w:r>
      <w:r>
        <w:rPr>
          <w:spacing w:val="-5"/>
          <w:sz w:val="18"/>
        </w:rPr>
        <w:t> </w:t>
      </w:r>
      <w:r>
        <w:rPr>
          <w:sz w:val="18"/>
        </w:rPr>
        <w:t>or</w:t>
      </w:r>
      <w:r>
        <w:rPr>
          <w:spacing w:val="-4"/>
          <w:sz w:val="18"/>
        </w:rPr>
        <w:t> </w:t>
      </w:r>
      <w:r>
        <w:rPr>
          <w:sz w:val="18"/>
        </w:rPr>
        <w:t>Ethnic</w:t>
      </w:r>
      <w:r>
        <w:rPr>
          <w:spacing w:val="-4"/>
          <w:sz w:val="18"/>
        </w:rPr>
        <w:t> </w:t>
      </w:r>
      <w:r>
        <w:rPr>
          <w:sz w:val="18"/>
        </w:rPr>
        <w:t>Origin,</w:t>
      </w:r>
      <w:r>
        <w:rPr>
          <w:spacing w:val="-4"/>
          <w:sz w:val="18"/>
        </w:rPr>
        <w:t> </w:t>
      </w:r>
      <w:r>
        <w:rPr>
          <w:sz w:val="18"/>
        </w:rPr>
        <w:t>Equal</w:t>
      </w:r>
      <w:r>
        <w:rPr>
          <w:spacing w:val="-5"/>
          <w:sz w:val="18"/>
        </w:rPr>
        <w:t> </w:t>
      </w:r>
      <w:r>
        <w:rPr>
          <w:sz w:val="18"/>
        </w:rPr>
        <w:t>Treatment</w:t>
      </w:r>
      <w:r>
        <w:rPr>
          <w:spacing w:val="-4"/>
          <w:sz w:val="18"/>
        </w:rPr>
        <w:t> </w:t>
      </w:r>
      <w:r>
        <w:rPr>
          <w:sz w:val="18"/>
        </w:rPr>
        <w:t>in</w:t>
      </w:r>
      <w:r>
        <w:rPr>
          <w:spacing w:val="-5"/>
          <w:sz w:val="18"/>
        </w:rPr>
        <w:t> </w:t>
      </w:r>
      <w:r>
        <w:rPr>
          <w:sz w:val="18"/>
        </w:rPr>
        <w:t>the</w:t>
      </w:r>
      <w:r>
        <w:rPr>
          <w:spacing w:val="-4"/>
          <w:sz w:val="18"/>
        </w:rPr>
        <w:t> </w:t>
      </w:r>
      <w:r>
        <w:rPr>
          <w:sz w:val="18"/>
        </w:rPr>
        <w:t>Field</w:t>
      </w:r>
      <w:r>
        <w:rPr>
          <w:spacing w:val="-5"/>
          <w:sz w:val="18"/>
        </w:rPr>
        <w:t> </w:t>
      </w:r>
      <w:r>
        <w:rPr>
          <w:sz w:val="18"/>
        </w:rPr>
        <w:t>of</w:t>
      </w:r>
      <w:r>
        <w:rPr>
          <w:spacing w:val="-5"/>
          <w:sz w:val="18"/>
        </w:rPr>
        <w:t> </w:t>
      </w:r>
      <w:r>
        <w:rPr>
          <w:sz w:val="18"/>
        </w:rPr>
        <w:t>Employment</w:t>
      </w:r>
      <w:r>
        <w:rPr>
          <w:spacing w:val="-4"/>
          <w:sz w:val="18"/>
        </w:rPr>
        <w:t> </w:t>
      </w:r>
      <w:r>
        <w:rPr>
          <w:sz w:val="18"/>
        </w:rPr>
        <w:t>and</w:t>
      </w:r>
      <w:r>
        <w:rPr>
          <w:spacing w:val="-5"/>
          <w:sz w:val="18"/>
        </w:rPr>
        <w:t> </w:t>
      </w:r>
      <w:r>
        <w:rPr>
          <w:sz w:val="18"/>
        </w:rPr>
        <w:t>Occupation</w:t>
      </w:r>
      <w:r>
        <w:rPr>
          <w:spacing w:val="-5"/>
          <w:sz w:val="18"/>
        </w:rPr>
        <w:t> </w:t>
      </w:r>
      <w:r>
        <w:rPr>
          <w:sz w:val="18"/>
        </w:rPr>
        <w:t>Between</w:t>
      </w:r>
      <w:r>
        <w:rPr>
          <w:spacing w:val="-5"/>
          <w:sz w:val="18"/>
        </w:rPr>
        <w:t> </w:t>
      </w:r>
      <w:r>
        <w:rPr>
          <w:sz w:val="18"/>
        </w:rPr>
        <w:t>Persons</w:t>
      </w:r>
      <w:r>
        <w:rPr>
          <w:spacing w:val="-5"/>
          <w:sz w:val="18"/>
        </w:rPr>
        <w:t> </w:t>
      </w:r>
      <w:r>
        <w:rPr>
          <w:sz w:val="18"/>
        </w:rPr>
        <w:t>Irrespective</w:t>
      </w:r>
      <w:r>
        <w:rPr>
          <w:spacing w:val="-4"/>
          <w:sz w:val="18"/>
        </w:rPr>
        <w:t> </w:t>
      </w:r>
      <w:r>
        <w:rPr>
          <w:sz w:val="18"/>
        </w:rPr>
        <w:t>of</w:t>
      </w:r>
      <w:r>
        <w:rPr>
          <w:spacing w:val="-5"/>
          <w:sz w:val="18"/>
        </w:rPr>
        <w:t> </w:t>
      </w:r>
      <w:r>
        <w:rPr>
          <w:sz w:val="18"/>
        </w:rPr>
        <w:t>their Religion or Belief, Disability, Age or Sexual Orientation, Equal Treatment Between Women and Men in Matters of Social Security and in the Access to and Supply of Goods and Services, and Deleting Article 13 of Directive 2000/43/EC</w:t>
      </w:r>
    </w:p>
    <w:p>
      <w:pPr>
        <w:spacing w:line="216" w:lineRule="exact" w:before="0"/>
        <w:ind w:left="1853" w:right="0" w:firstLine="0"/>
        <w:jc w:val="left"/>
        <w:rPr>
          <w:sz w:val="18"/>
        </w:rPr>
      </w:pPr>
      <w:r>
        <w:rPr>
          <w:sz w:val="18"/>
        </w:rPr>
        <w:t>and</w:t>
      </w:r>
      <w:r>
        <w:rPr>
          <w:spacing w:val="-5"/>
          <w:sz w:val="18"/>
        </w:rPr>
        <w:t> </w:t>
      </w:r>
      <w:r>
        <w:rPr>
          <w:sz w:val="18"/>
        </w:rPr>
        <w:t>Article</w:t>
      </w:r>
      <w:r>
        <w:rPr>
          <w:spacing w:val="-3"/>
          <w:sz w:val="18"/>
        </w:rPr>
        <w:t> </w:t>
      </w:r>
      <w:r>
        <w:rPr>
          <w:sz w:val="18"/>
        </w:rPr>
        <w:t>12</w:t>
      </w:r>
      <w:r>
        <w:rPr>
          <w:spacing w:val="-4"/>
          <w:sz w:val="18"/>
        </w:rPr>
        <w:t> </w:t>
      </w:r>
      <w:r>
        <w:rPr>
          <w:sz w:val="18"/>
        </w:rPr>
        <w:t>of</w:t>
      </w:r>
      <w:r>
        <w:rPr>
          <w:spacing w:val="-4"/>
          <w:sz w:val="18"/>
        </w:rPr>
        <w:t> </w:t>
      </w:r>
      <w:r>
        <w:rPr>
          <w:sz w:val="18"/>
        </w:rPr>
        <w:t>Directive</w:t>
      </w:r>
      <w:r>
        <w:rPr>
          <w:spacing w:val="-3"/>
          <w:sz w:val="18"/>
        </w:rPr>
        <w:t> </w:t>
      </w:r>
      <w:r>
        <w:rPr>
          <w:sz w:val="18"/>
        </w:rPr>
        <w:t>2004/113/EC</w:t>
      </w:r>
      <w:r>
        <w:rPr>
          <w:spacing w:val="-5"/>
          <w:sz w:val="18"/>
        </w:rPr>
        <w:t> </w:t>
      </w:r>
      <w:r>
        <w:rPr>
          <w:sz w:val="18"/>
        </w:rPr>
        <w:t>-</w:t>
      </w:r>
      <w:r>
        <w:rPr>
          <w:spacing w:val="-4"/>
          <w:sz w:val="18"/>
        </w:rPr>
        <w:t> </w:t>
      </w:r>
      <w:r>
        <w:rPr>
          <w:sz w:val="18"/>
        </w:rPr>
        <w:t>COM(2022)</w:t>
      </w:r>
      <w:r>
        <w:rPr>
          <w:spacing w:val="-4"/>
          <w:sz w:val="18"/>
        </w:rPr>
        <w:t> </w:t>
      </w:r>
      <w:r>
        <w:rPr>
          <w:sz w:val="18"/>
        </w:rPr>
        <w:t>689’</w:t>
      </w:r>
      <w:r>
        <w:rPr>
          <w:spacing w:val="-4"/>
          <w:sz w:val="18"/>
        </w:rPr>
        <w:t> </w:t>
      </w:r>
      <w:r>
        <w:rPr>
          <w:sz w:val="18"/>
        </w:rPr>
        <w:t>(EU</w:t>
      </w:r>
      <w:r>
        <w:rPr>
          <w:spacing w:val="-3"/>
          <w:sz w:val="18"/>
        </w:rPr>
        <w:t> </w:t>
      </w:r>
      <w:r>
        <w:rPr>
          <w:sz w:val="18"/>
        </w:rPr>
        <w:t>Commission,</w:t>
      </w:r>
      <w:r>
        <w:rPr>
          <w:spacing w:val="-4"/>
          <w:sz w:val="18"/>
        </w:rPr>
        <w:t> </w:t>
      </w:r>
      <w:r>
        <w:rPr>
          <w:spacing w:val="-2"/>
          <w:sz w:val="18"/>
        </w:rPr>
        <w:t>2022).</w:t>
      </w:r>
    </w:p>
    <w:p>
      <w:pPr>
        <w:pStyle w:val="ListParagraph"/>
        <w:numPr>
          <w:ilvl w:val="0"/>
          <w:numId w:val="9"/>
        </w:numPr>
        <w:tabs>
          <w:tab w:pos="1853" w:val="left" w:leader="none"/>
        </w:tabs>
        <w:spacing w:line="235" w:lineRule="auto" w:before="2" w:after="0"/>
        <w:ind w:left="1853" w:right="1413" w:hanging="720"/>
        <w:jc w:val="left"/>
        <w:rPr>
          <w:sz w:val="18"/>
        </w:rPr>
      </w:pPr>
      <w:r>
        <w:rPr>
          <w:sz w:val="18"/>
        </w:rPr>
        <w:t>Article</w:t>
      </w:r>
      <w:r>
        <w:rPr>
          <w:spacing w:val="-4"/>
          <w:sz w:val="18"/>
        </w:rPr>
        <w:t> </w:t>
      </w:r>
      <w:r>
        <w:rPr>
          <w:sz w:val="18"/>
        </w:rPr>
        <w:t>13(3),</w:t>
      </w:r>
      <w:r>
        <w:rPr>
          <w:spacing w:val="-4"/>
          <w:sz w:val="18"/>
        </w:rPr>
        <w:t> </w:t>
      </w:r>
      <w:r>
        <w:rPr>
          <w:sz w:val="18"/>
        </w:rPr>
        <w:t>Windsor</w:t>
      </w:r>
      <w:r>
        <w:rPr>
          <w:spacing w:val="-4"/>
          <w:sz w:val="18"/>
        </w:rPr>
        <w:t> </w:t>
      </w:r>
      <w:r>
        <w:rPr>
          <w:sz w:val="18"/>
        </w:rPr>
        <w:t>Framework;</w:t>
      </w:r>
      <w:r>
        <w:rPr>
          <w:spacing w:val="-4"/>
          <w:sz w:val="18"/>
        </w:rPr>
        <w:t> </w:t>
      </w:r>
      <w:r>
        <w:rPr>
          <w:sz w:val="18"/>
        </w:rPr>
        <w:t>Directive</w:t>
      </w:r>
      <w:r>
        <w:rPr>
          <w:spacing w:val="-4"/>
          <w:sz w:val="18"/>
        </w:rPr>
        <w:t> </w:t>
      </w:r>
      <w:r>
        <w:rPr>
          <w:sz w:val="18"/>
        </w:rPr>
        <w:t>2000/43/EC,</w:t>
      </w:r>
      <w:r>
        <w:rPr>
          <w:spacing w:val="-4"/>
          <w:sz w:val="18"/>
        </w:rPr>
        <w:t> </w:t>
      </w:r>
      <w:r>
        <w:rPr>
          <w:sz w:val="18"/>
        </w:rPr>
        <w:t>‘Council</w:t>
      </w:r>
      <w:r>
        <w:rPr>
          <w:spacing w:val="-5"/>
          <w:sz w:val="18"/>
        </w:rPr>
        <w:t> </w:t>
      </w:r>
      <w:r>
        <w:rPr>
          <w:sz w:val="18"/>
        </w:rPr>
        <w:t>of</w:t>
      </w:r>
      <w:r>
        <w:rPr>
          <w:spacing w:val="-5"/>
          <w:sz w:val="18"/>
        </w:rPr>
        <w:t> </w:t>
      </w:r>
      <w:r>
        <w:rPr>
          <w:sz w:val="18"/>
        </w:rPr>
        <w:t>the</w:t>
      </w:r>
      <w:r>
        <w:rPr>
          <w:spacing w:val="-4"/>
          <w:sz w:val="18"/>
        </w:rPr>
        <w:t> </w:t>
      </w:r>
      <w:r>
        <w:rPr>
          <w:sz w:val="18"/>
        </w:rPr>
        <w:t>EU</w:t>
      </w:r>
      <w:r>
        <w:rPr>
          <w:spacing w:val="-4"/>
          <w:sz w:val="18"/>
        </w:rPr>
        <w:t> </w:t>
      </w:r>
      <w:r>
        <w:rPr>
          <w:sz w:val="18"/>
        </w:rPr>
        <w:t>Directive</w:t>
      </w:r>
      <w:r>
        <w:rPr>
          <w:spacing w:val="-4"/>
          <w:sz w:val="18"/>
        </w:rPr>
        <w:t> </w:t>
      </w:r>
      <w:r>
        <w:rPr>
          <w:sz w:val="18"/>
        </w:rPr>
        <w:t>on</w:t>
      </w:r>
      <w:r>
        <w:rPr>
          <w:spacing w:val="-5"/>
          <w:sz w:val="18"/>
        </w:rPr>
        <w:t> </w:t>
      </w:r>
      <w:r>
        <w:rPr>
          <w:sz w:val="18"/>
        </w:rPr>
        <w:t>Implementing</w:t>
      </w:r>
      <w:r>
        <w:rPr>
          <w:spacing w:val="-4"/>
          <w:sz w:val="18"/>
        </w:rPr>
        <w:t> </w:t>
      </w:r>
      <w:r>
        <w:rPr>
          <w:sz w:val="18"/>
        </w:rPr>
        <w:t>the</w:t>
      </w:r>
      <w:r>
        <w:rPr>
          <w:spacing w:val="-4"/>
          <w:sz w:val="18"/>
        </w:rPr>
        <w:t> </w:t>
      </w:r>
      <w:r>
        <w:rPr>
          <w:sz w:val="18"/>
        </w:rPr>
        <w:t>Principle</w:t>
      </w:r>
      <w:r>
        <w:rPr>
          <w:spacing w:val="-4"/>
          <w:sz w:val="18"/>
        </w:rPr>
        <w:t> </w:t>
      </w:r>
      <w:r>
        <w:rPr>
          <w:sz w:val="18"/>
        </w:rPr>
        <w:t>of Equal Treatment Between Persons Irrespective of Racial or Ethnic Origin’, 29 June 2000.</w:t>
      </w:r>
    </w:p>
    <w:p>
      <w:pPr>
        <w:pStyle w:val="ListParagraph"/>
        <w:numPr>
          <w:ilvl w:val="0"/>
          <w:numId w:val="9"/>
        </w:numPr>
        <w:tabs>
          <w:tab w:pos="1853" w:val="left" w:leader="none"/>
        </w:tabs>
        <w:spacing w:line="216" w:lineRule="exact" w:before="0" w:after="0"/>
        <w:ind w:left="1853" w:right="0" w:hanging="720"/>
        <w:jc w:val="left"/>
        <w:rPr>
          <w:sz w:val="18"/>
        </w:rPr>
      </w:pPr>
      <w:r>
        <w:rPr>
          <w:sz w:val="18"/>
        </w:rPr>
        <w:t>The</w:t>
      </w:r>
      <w:r>
        <w:rPr>
          <w:spacing w:val="-7"/>
          <w:sz w:val="18"/>
        </w:rPr>
        <w:t> </w:t>
      </w:r>
      <w:r>
        <w:rPr>
          <w:sz w:val="18"/>
        </w:rPr>
        <w:t>Executive</w:t>
      </w:r>
      <w:r>
        <w:rPr>
          <w:spacing w:val="-6"/>
          <w:sz w:val="18"/>
        </w:rPr>
        <w:t> </w:t>
      </w:r>
      <w:r>
        <w:rPr>
          <w:sz w:val="18"/>
        </w:rPr>
        <w:t>Office,</w:t>
      </w:r>
      <w:r>
        <w:rPr>
          <w:spacing w:val="-6"/>
          <w:sz w:val="18"/>
        </w:rPr>
        <w:t> </w:t>
      </w:r>
      <w:r>
        <w:rPr>
          <w:sz w:val="18"/>
        </w:rPr>
        <w:t>‘Racial</w:t>
      </w:r>
      <w:r>
        <w:rPr>
          <w:spacing w:val="-7"/>
          <w:sz w:val="18"/>
        </w:rPr>
        <w:t> </w:t>
      </w:r>
      <w:r>
        <w:rPr>
          <w:sz w:val="18"/>
        </w:rPr>
        <w:t>Equality</w:t>
      </w:r>
      <w:r>
        <w:rPr>
          <w:spacing w:val="-7"/>
          <w:sz w:val="18"/>
        </w:rPr>
        <w:t> </w:t>
      </w:r>
      <w:r>
        <w:rPr>
          <w:sz w:val="18"/>
        </w:rPr>
        <w:t>Strategy</w:t>
      </w:r>
      <w:r>
        <w:rPr>
          <w:spacing w:val="-6"/>
          <w:sz w:val="18"/>
        </w:rPr>
        <w:t> </w:t>
      </w:r>
      <w:r>
        <w:rPr>
          <w:sz w:val="18"/>
        </w:rPr>
        <w:t>2015-2025’</w:t>
      </w:r>
      <w:r>
        <w:rPr>
          <w:spacing w:val="-6"/>
          <w:sz w:val="18"/>
        </w:rPr>
        <w:t> </w:t>
      </w:r>
      <w:r>
        <w:rPr>
          <w:sz w:val="18"/>
        </w:rPr>
        <w:t>(TEO,</w:t>
      </w:r>
      <w:r>
        <w:rPr>
          <w:spacing w:val="-7"/>
          <w:sz w:val="18"/>
        </w:rPr>
        <w:t> </w:t>
      </w:r>
      <w:r>
        <w:rPr>
          <w:spacing w:val="-2"/>
          <w:sz w:val="18"/>
        </w:rPr>
        <w:t>2015).</w:t>
      </w:r>
    </w:p>
    <w:p>
      <w:pPr>
        <w:pStyle w:val="ListParagraph"/>
        <w:numPr>
          <w:ilvl w:val="0"/>
          <w:numId w:val="9"/>
        </w:numPr>
        <w:tabs>
          <w:tab w:pos="1853" w:val="left" w:leader="none"/>
        </w:tabs>
        <w:spacing w:line="216" w:lineRule="exact" w:before="0" w:after="0"/>
        <w:ind w:left="1853" w:right="0" w:hanging="720"/>
        <w:jc w:val="left"/>
        <w:rPr>
          <w:sz w:val="18"/>
        </w:rPr>
      </w:pPr>
      <w:r>
        <w:rPr>
          <w:sz w:val="18"/>
        </w:rPr>
        <w:t>The</w:t>
      </w:r>
      <w:r>
        <w:rPr>
          <w:spacing w:val="-6"/>
          <w:sz w:val="18"/>
        </w:rPr>
        <w:t> </w:t>
      </w:r>
      <w:r>
        <w:rPr>
          <w:sz w:val="18"/>
        </w:rPr>
        <w:t>Executive</w:t>
      </w:r>
      <w:r>
        <w:rPr>
          <w:spacing w:val="-5"/>
          <w:sz w:val="18"/>
        </w:rPr>
        <w:t> </w:t>
      </w:r>
      <w:r>
        <w:rPr>
          <w:sz w:val="18"/>
        </w:rPr>
        <w:t>Office,</w:t>
      </w:r>
      <w:r>
        <w:rPr>
          <w:spacing w:val="-5"/>
          <w:sz w:val="18"/>
        </w:rPr>
        <w:t> </w:t>
      </w:r>
      <w:r>
        <w:rPr>
          <w:sz w:val="18"/>
        </w:rPr>
        <w:t>‘Review</w:t>
      </w:r>
      <w:r>
        <w:rPr>
          <w:spacing w:val="-5"/>
          <w:sz w:val="18"/>
        </w:rPr>
        <w:t> </w:t>
      </w:r>
      <w:r>
        <w:rPr>
          <w:sz w:val="18"/>
        </w:rPr>
        <w:t>of</w:t>
      </w:r>
      <w:r>
        <w:rPr>
          <w:spacing w:val="-6"/>
          <w:sz w:val="18"/>
        </w:rPr>
        <w:t> </w:t>
      </w:r>
      <w:r>
        <w:rPr>
          <w:sz w:val="18"/>
        </w:rPr>
        <w:t>the</w:t>
      </w:r>
      <w:r>
        <w:rPr>
          <w:spacing w:val="-5"/>
          <w:sz w:val="18"/>
        </w:rPr>
        <w:t> </w:t>
      </w:r>
      <w:r>
        <w:rPr>
          <w:sz w:val="18"/>
        </w:rPr>
        <w:t>Race</w:t>
      </w:r>
      <w:r>
        <w:rPr>
          <w:spacing w:val="-5"/>
          <w:sz w:val="18"/>
        </w:rPr>
        <w:t> </w:t>
      </w:r>
      <w:r>
        <w:rPr>
          <w:sz w:val="18"/>
        </w:rPr>
        <w:t>Relations</w:t>
      </w:r>
      <w:r>
        <w:rPr>
          <w:spacing w:val="-6"/>
          <w:sz w:val="18"/>
        </w:rPr>
        <w:t> </w:t>
      </w:r>
      <w:r>
        <w:rPr>
          <w:sz w:val="18"/>
        </w:rPr>
        <w:t>(NI)</w:t>
      </w:r>
      <w:r>
        <w:rPr>
          <w:spacing w:val="-6"/>
          <w:sz w:val="18"/>
        </w:rPr>
        <w:t> </w:t>
      </w:r>
      <w:r>
        <w:rPr>
          <w:sz w:val="18"/>
        </w:rPr>
        <w:t>Order</w:t>
      </w:r>
      <w:r>
        <w:rPr>
          <w:spacing w:val="-6"/>
          <w:sz w:val="18"/>
        </w:rPr>
        <w:t> </w:t>
      </w:r>
      <w:r>
        <w:rPr>
          <w:sz w:val="18"/>
        </w:rPr>
        <w:t>1997:</w:t>
      </w:r>
      <w:r>
        <w:rPr>
          <w:spacing w:val="-5"/>
          <w:sz w:val="18"/>
        </w:rPr>
        <w:t> </w:t>
      </w:r>
      <w:r>
        <w:rPr>
          <w:sz w:val="18"/>
        </w:rPr>
        <w:t>Consultation</w:t>
      </w:r>
      <w:r>
        <w:rPr>
          <w:spacing w:val="-6"/>
          <w:sz w:val="18"/>
        </w:rPr>
        <w:t> </w:t>
      </w:r>
      <w:r>
        <w:rPr>
          <w:sz w:val="18"/>
        </w:rPr>
        <w:t>Document’</w:t>
      </w:r>
      <w:r>
        <w:rPr>
          <w:spacing w:val="-5"/>
          <w:sz w:val="18"/>
        </w:rPr>
        <w:t> </w:t>
      </w:r>
      <w:r>
        <w:rPr>
          <w:sz w:val="18"/>
        </w:rPr>
        <w:t>(TEO,</w:t>
      </w:r>
      <w:r>
        <w:rPr>
          <w:spacing w:val="-5"/>
          <w:sz w:val="18"/>
        </w:rPr>
        <w:t> </w:t>
      </w:r>
      <w:r>
        <w:rPr>
          <w:spacing w:val="-2"/>
          <w:sz w:val="18"/>
        </w:rPr>
        <w:t>2023).</w:t>
      </w:r>
    </w:p>
    <w:p>
      <w:pPr>
        <w:pStyle w:val="ListParagraph"/>
        <w:numPr>
          <w:ilvl w:val="0"/>
          <w:numId w:val="9"/>
        </w:numPr>
        <w:tabs>
          <w:tab w:pos="1853" w:val="left" w:leader="none"/>
        </w:tabs>
        <w:spacing w:line="216" w:lineRule="exact" w:before="0" w:after="0"/>
        <w:ind w:left="1853" w:right="0" w:hanging="720"/>
        <w:jc w:val="left"/>
        <w:rPr>
          <w:sz w:val="18"/>
        </w:rPr>
      </w:pPr>
      <w:r>
        <w:rPr>
          <w:spacing w:val="-4"/>
          <w:sz w:val="18"/>
        </w:rPr>
        <w:t>Ibid.</w:t>
      </w:r>
    </w:p>
    <w:p>
      <w:pPr>
        <w:pStyle w:val="ListParagraph"/>
        <w:numPr>
          <w:ilvl w:val="0"/>
          <w:numId w:val="9"/>
        </w:numPr>
        <w:tabs>
          <w:tab w:pos="1853" w:val="left" w:leader="none"/>
        </w:tabs>
        <w:spacing w:line="235" w:lineRule="auto" w:before="1" w:after="0"/>
        <w:ind w:left="1853" w:right="1762" w:hanging="720"/>
        <w:jc w:val="left"/>
        <w:rPr>
          <w:sz w:val="18"/>
        </w:rPr>
      </w:pPr>
      <w:r>
        <w:rPr>
          <w:sz w:val="18"/>
        </w:rPr>
        <w:t>Equality</w:t>
      </w:r>
      <w:r>
        <w:rPr>
          <w:spacing w:val="-5"/>
          <w:sz w:val="18"/>
        </w:rPr>
        <w:t> </w:t>
      </w:r>
      <w:r>
        <w:rPr>
          <w:sz w:val="18"/>
        </w:rPr>
        <w:t>Commission</w:t>
      </w:r>
      <w:r>
        <w:rPr>
          <w:spacing w:val="-6"/>
          <w:sz w:val="18"/>
        </w:rPr>
        <w:t> </w:t>
      </w:r>
      <w:r>
        <w:rPr>
          <w:sz w:val="18"/>
        </w:rPr>
        <w:t>for</w:t>
      </w:r>
      <w:r>
        <w:rPr>
          <w:spacing w:val="-5"/>
          <w:sz w:val="18"/>
        </w:rPr>
        <w:t> </w:t>
      </w:r>
      <w:r>
        <w:rPr>
          <w:sz w:val="18"/>
        </w:rPr>
        <w:t>NI,</w:t>
      </w:r>
      <w:r>
        <w:rPr>
          <w:spacing w:val="-5"/>
          <w:sz w:val="18"/>
        </w:rPr>
        <w:t> </w:t>
      </w:r>
      <w:r>
        <w:rPr>
          <w:sz w:val="18"/>
        </w:rPr>
        <w:t>‘Consultation</w:t>
      </w:r>
      <w:r>
        <w:rPr>
          <w:spacing w:val="-6"/>
          <w:sz w:val="18"/>
        </w:rPr>
        <w:t> </w:t>
      </w:r>
      <w:r>
        <w:rPr>
          <w:sz w:val="18"/>
        </w:rPr>
        <w:t>Response:</w:t>
      </w:r>
      <w:r>
        <w:rPr>
          <w:spacing w:val="-5"/>
          <w:sz w:val="18"/>
        </w:rPr>
        <w:t> </w:t>
      </w:r>
      <w:r>
        <w:rPr>
          <w:sz w:val="18"/>
        </w:rPr>
        <w:t>The</w:t>
      </w:r>
      <w:r>
        <w:rPr>
          <w:spacing w:val="-5"/>
          <w:sz w:val="18"/>
        </w:rPr>
        <w:t> </w:t>
      </w:r>
      <w:r>
        <w:rPr>
          <w:sz w:val="18"/>
        </w:rPr>
        <w:t>Executive</w:t>
      </w:r>
      <w:r>
        <w:rPr>
          <w:spacing w:val="-5"/>
          <w:sz w:val="18"/>
        </w:rPr>
        <w:t> </w:t>
      </w:r>
      <w:r>
        <w:rPr>
          <w:sz w:val="18"/>
        </w:rPr>
        <w:t>Office:</w:t>
      </w:r>
      <w:r>
        <w:rPr>
          <w:spacing w:val="-5"/>
          <w:sz w:val="18"/>
        </w:rPr>
        <w:t> </w:t>
      </w:r>
      <w:r>
        <w:rPr>
          <w:sz w:val="18"/>
        </w:rPr>
        <w:t>Consultation</w:t>
      </w:r>
      <w:r>
        <w:rPr>
          <w:spacing w:val="-6"/>
          <w:sz w:val="18"/>
        </w:rPr>
        <w:t> </w:t>
      </w:r>
      <w:r>
        <w:rPr>
          <w:sz w:val="18"/>
        </w:rPr>
        <w:t>on</w:t>
      </w:r>
      <w:r>
        <w:rPr>
          <w:spacing w:val="-6"/>
          <w:sz w:val="18"/>
        </w:rPr>
        <w:t> </w:t>
      </w:r>
      <w:r>
        <w:rPr>
          <w:sz w:val="18"/>
        </w:rPr>
        <w:t>the</w:t>
      </w:r>
      <w:r>
        <w:rPr>
          <w:spacing w:val="-5"/>
          <w:sz w:val="18"/>
        </w:rPr>
        <w:t> </w:t>
      </w:r>
      <w:r>
        <w:rPr>
          <w:sz w:val="18"/>
        </w:rPr>
        <w:t>Review</w:t>
      </w:r>
      <w:r>
        <w:rPr>
          <w:spacing w:val="-5"/>
          <w:sz w:val="18"/>
        </w:rPr>
        <w:t> </w:t>
      </w:r>
      <w:r>
        <w:rPr>
          <w:sz w:val="18"/>
        </w:rPr>
        <w:t>of</w:t>
      </w:r>
      <w:r>
        <w:rPr>
          <w:spacing w:val="-6"/>
          <w:sz w:val="18"/>
        </w:rPr>
        <w:t> </w:t>
      </w:r>
      <w:r>
        <w:rPr>
          <w:sz w:val="18"/>
        </w:rPr>
        <w:t>the</w:t>
      </w:r>
      <w:r>
        <w:rPr>
          <w:spacing w:val="-5"/>
          <w:sz w:val="18"/>
        </w:rPr>
        <w:t> </w:t>
      </w:r>
      <w:r>
        <w:rPr>
          <w:sz w:val="18"/>
        </w:rPr>
        <w:t>Race Relations (NI) Order 1997’ (ECNI, 2023).</w:t>
      </w:r>
    </w:p>
    <w:p>
      <w:pPr>
        <w:pStyle w:val="ListParagraph"/>
        <w:numPr>
          <w:ilvl w:val="0"/>
          <w:numId w:val="9"/>
        </w:numPr>
        <w:tabs>
          <w:tab w:pos="1853" w:val="left" w:leader="none"/>
        </w:tabs>
        <w:spacing w:line="235" w:lineRule="auto" w:before="2" w:after="0"/>
        <w:ind w:left="1853" w:right="1173" w:hanging="720"/>
        <w:jc w:val="left"/>
        <w:rPr>
          <w:sz w:val="18"/>
        </w:rPr>
      </w:pPr>
      <w:r>
        <w:rPr>
          <w:sz w:val="18"/>
        </w:rPr>
        <w:t>For further discussion of these directives see section on Binding Standards for Equality Bodies in this chapter. NI Human Rights</w:t>
      </w:r>
      <w:r>
        <w:rPr>
          <w:spacing w:val="-6"/>
          <w:sz w:val="18"/>
        </w:rPr>
        <w:t> </w:t>
      </w:r>
      <w:r>
        <w:rPr>
          <w:sz w:val="18"/>
        </w:rPr>
        <w:t>Commission,</w:t>
      </w:r>
      <w:r>
        <w:rPr>
          <w:spacing w:val="-5"/>
          <w:sz w:val="18"/>
        </w:rPr>
        <w:t> </w:t>
      </w:r>
      <w:r>
        <w:rPr>
          <w:sz w:val="18"/>
        </w:rPr>
        <w:t>‘Response</w:t>
      </w:r>
      <w:r>
        <w:rPr>
          <w:spacing w:val="-5"/>
          <w:sz w:val="18"/>
        </w:rPr>
        <w:t> </w:t>
      </w:r>
      <w:r>
        <w:rPr>
          <w:sz w:val="18"/>
        </w:rPr>
        <w:t>to</w:t>
      </w:r>
      <w:r>
        <w:rPr>
          <w:spacing w:val="-6"/>
          <w:sz w:val="18"/>
        </w:rPr>
        <w:t> </w:t>
      </w:r>
      <w:r>
        <w:rPr>
          <w:sz w:val="18"/>
        </w:rPr>
        <w:t>The</w:t>
      </w:r>
      <w:r>
        <w:rPr>
          <w:spacing w:val="-5"/>
          <w:sz w:val="18"/>
        </w:rPr>
        <w:t> </w:t>
      </w:r>
      <w:r>
        <w:rPr>
          <w:sz w:val="18"/>
        </w:rPr>
        <w:t>Executive</w:t>
      </w:r>
      <w:r>
        <w:rPr>
          <w:spacing w:val="-5"/>
          <w:sz w:val="18"/>
        </w:rPr>
        <w:t> </w:t>
      </w:r>
      <w:r>
        <w:rPr>
          <w:sz w:val="18"/>
        </w:rPr>
        <w:t>Office’s</w:t>
      </w:r>
      <w:r>
        <w:rPr>
          <w:spacing w:val="-6"/>
          <w:sz w:val="18"/>
        </w:rPr>
        <w:t> </w:t>
      </w:r>
      <w:r>
        <w:rPr>
          <w:sz w:val="18"/>
        </w:rPr>
        <w:t>Consultation</w:t>
      </w:r>
      <w:r>
        <w:rPr>
          <w:spacing w:val="-6"/>
          <w:sz w:val="18"/>
        </w:rPr>
        <w:t> </w:t>
      </w:r>
      <w:r>
        <w:rPr>
          <w:sz w:val="18"/>
        </w:rPr>
        <w:t>on</w:t>
      </w:r>
      <w:r>
        <w:rPr>
          <w:spacing w:val="-6"/>
          <w:sz w:val="18"/>
        </w:rPr>
        <w:t> </w:t>
      </w:r>
      <w:r>
        <w:rPr>
          <w:sz w:val="18"/>
        </w:rPr>
        <w:t>the</w:t>
      </w:r>
      <w:r>
        <w:rPr>
          <w:spacing w:val="-5"/>
          <w:sz w:val="18"/>
        </w:rPr>
        <w:t> </w:t>
      </w:r>
      <w:r>
        <w:rPr>
          <w:sz w:val="18"/>
        </w:rPr>
        <w:t>Review</w:t>
      </w:r>
      <w:r>
        <w:rPr>
          <w:spacing w:val="-5"/>
          <w:sz w:val="18"/>
        </w:rPr>
        <w:t> </w:t>
      </w:r>
      <w:r>
        <w:rPr>
          <w:sz w:val="18"/>
        </w:rPr>
        <w:t>of</w:t>
      </w:r>
      <w:r>
        <w:rPr>
          <w:spacing w:val="-6"/>
          <w:sz w:val="18"/>
        </w:rPr>
        <w:t> </w:t>
      </w:r>
      <w:r>
        <w:rPr>
          <w:sz w:val="18"/>
        </w:rPr>
        <w:t>the</w:t>
      </w:r>
      <w:r>
        <w:rPr>
          <w:spacing w:val="-5"/>
          <w:sz w:val="18"/>
        </w:rPr>
        <w:t> </w:t>
      </w:r>
      <w:r>
        <w:rPr>
          <w:sz w:val="18"/>
        </w:rPr>
        <w:t>Race</w:t>
      </w:r>
      <w:r>
        <w:rPr>
          <w:spacing w:val="-5"/>
          <w:sz w:val="18"/>
        </w:rPr>
        <w:t> </w:t>
      </w:r>
      <w:r>
        <w:rPr>
          <w:sz w:val="18"/>
        </w:rPr>
        <w:t>Relations</w:t>
      </w:r>
      <w:r>
        <w:rPr>
          <w:spacing w:val="-6"/>
          <w:sz w:val="18"/>
        </w:rPr>
        <w:t> </w:t>
      </w:r>
      <w:r>
        <w:rPr>
          <w:sz w:val="18"/>
        </w:rPr>
        <w:t>(NI)</w:t>
      </w:r>
      <w:r>
        <w:rPr>
          <w:spacing w:val="-6"/>
          <w:sz w:val="18"/>
        </w:rPr>
        <w:t> </w:t>
      </w:r>
      <w:r>
        <w:rPr>
          <w:sz w:val="18"/>
        </w:rPr>
        <w:t>Order</w:t>
      </w:r>
      <w:r>
        <w:rPr>
          <w:spacing w:val="-5"/>
          <w:sz w:val="18"/>
        </w:rPr>
        <w:t> </w:t>
      </w:r>
      <w:r>
        <w:rPr>
          <w:sz w:val="18"/>
        </w:rPr>
        <w:t>1997’ (NIHRC, 2023); Equality Commission for NI, ‘Consultation Response: The Executive Office: Consultation on the Review of the Race Relations (NI) Order 1997’ (ECNI, 2023).</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24"/>
      </w:pPr>
      <w:r>
        <w:rPr/>
        <w:t>aligns with changes to EU laws or directives, where they have the potential to strengthen</w:t>
      </w:r>
      <w:r>
        <w:rPr>
          <w:spacing w:val="-14"/>
        </w:rPr>
        <w:t> </w:t>
      </w:r>
      <w:r>
        <w:rPr/>
        <w:t>equality</w:t>
      </w:r>
      <w:r>
        <w:rPr>
          <w:spacing w:val="-13"/>
        </w:rPr>
        <w:t> </w:t>
      </w:r>
      <w:r>
        <w:rPr/>
        <w:t>and</w:t>
      </w:r>
      <w:r>
        <w:rPr>
          <w:spacing w:val="-13"/>
        </w:rPr>
        <w:t> </w:t>
      </w:r>
      <w:r>
        <w:rPr/>
        <w:t>human</w:t>
      </w:r>
      <w:r>
        <w:rPr>
          <w:spacing w:val="-13"/>
        </w:rPr>
        <w:t> </w:t>
      </w:r>
      <w:r>
        <w:rPr/>
        <w:t>rights</w:t>
      </w:r>
      <w:r>
        <w:rPr>
          <w:spacing w:val="-14"/>
        </w:rPr>
        <w:t> </w:t>
      </w:r>
      <w:r>
        <w:rPr/>
        <w:t>protections,</w:t>
      </w:r>
      <w:r>
        <w:rPr>
          <w:spacing w:val="-13"/>
        </w:rPr>
        <w:t> </w:t>
      </w:r>
      <w:r>
        <w:rPr/>
        <w:t>standards</w:t>
      </w:r>
      <w:r>
        <w:rPr>
          <w:spacing w:val="-14"/>
        </w:rPr>
        <w:t> </w:t>
      </w:r>
      <w:r>
        <w:rPr/>
        <w:t>or</w:t>
      </w:r>
      <w:r>
        <w:rPr>
          <w:spacing w:val="-13"/>
        </w:rPr>
        <w:t> </w:t>
      </w:r>
      <w:r>
        <w:rPr/>
        <w:t>frameworks.</w:t>
      </w:r>
      <w:r>
        <w:rPr>
          <w:vertAlign w:val="superscript"/>
        </w:rPr>
        <w:t>296</w:t>
      </w:r>
    </w:p>
    <w:p>
      <w:pPr>
        <w:pStyle w:val="ListParagraph"/>
        <w:numPr>
          <w:ilvl w:val="1"/>
          <w:numId w:val="7"/>
        </w:numPr>
        <w:tabs>
          <w:tab w:pos="1853" w:val="left" w:leader="none"/>
        </w:tabs>
        <w:spacing w:line="225" w:lineRule="auto" w:before="318" w:after="0"/>
        <w:ind w:left="1853" w:right="1500" w:hanging="720"/>
        <w:jc w:val="left"/>
        <w:rPr>
          <w:sz w:val="28"/>
        </w:rPr>
      </w:pPr>
      <w:r>
        <w:rPr>
          <w:sz w:val="28"/>
        </w:rPr>
        <w:t>The NIHRC response to the consultation, also noted the importance of a human rights-based approach and welcomed the commitment within the proposals</w:t>
      </w:r>
      <w:r>
        <w:rPr>
          <w:spacing w:val="-1"/>
          <w:sz w:val="28"/>
        </w:rPr>
        <w:t> </w:t>
      </w:r>
      <w:r>
        <w:rPr>
          <w:sz w:val="28"/>
        </w:rPr>
        <w:t>to</w:t>
      </w:r>
      <w:r>
        <w:rPr>
          <w:spacing w:val="-1"/>
          <w:sz w:val="28"/>
        </w:rPr>
        <w:t> </w:t>
      </w:r>
      <w:r>
        <w:rPr>
          <w:sz w:val="28"/>
        </w:rPr>
        <w:t>ensure that the Race Relations</w:t>
      </w:r>
      <w:r>
        <w:rPr>
          <w:spacing w:val="-1"/>
          <w:sz w:val="28"/>
        </w:rPr>
        <w:t> </w:t>
      </w:r>
      <w:r>
        <w:rPr>
          <w:sz w:val="28"/>
        </w:rPr>
        <w:t>(NI)</w:t>
      </w:r>
      <w:r>
        <w:rPr>
          <w:spacing w:val="-1"/>
          <w:sz w:val="28"/>
        </w:rPr>
        <w:t> </w:t>
      </w:r>
      <w:r>
        <w:rPr>
          <w:sz w:val="28"/>
        </w:rPr>
        <w:t>Order 1997, or equivalent, imposes a duty on specified public authorities to collect data on racial equality</w:t>
      </w:r>
      <w:r>
        <w:rPr>
          <w:spacing w:val="-5"/>
          <w:sz w:val="28"/>
        </w:rPr>
        <w:t> </w:t>
      </w:r>
      <w:r>
        <w:rPr>
          <w:sz w:val="28"/>
        </w:rPr>
        <w:t>and</w:t>
      </w:r>
      <w:r>
        <w:rPr>
          <w:spacing w:val="-6"/>
          <w:sz w:val="28"/>
        </w:rPr>
        <w:t> </w:t>
      </w:r>
      <w:r>
        <w:rPr>
          <w:sz w:val="28"/>
        </w:rPr>
        <w:t>set</w:t>
      </w:r>
      <w:r>
        <w:rPr>
          <w:spacing w:val="-5"/>
          <w:sz w:val="28"/>
        </w:rPr>
        <w:t> </w:t>
      </w:r>
      <w:r>
        <w:rPr>
          <w:sz w:val="28"/>
        </w:rPr>
        <w:t>racial</w:t>
      </w:r>
      <w:r>
        <w:rPr>
          <w:spacing w:val="-6"/>
          <w:sz w:val="28"/>
        </w:rPr>
        <w:t> </w:t>
      </w:r>
      <w:r>
        <w:rPr>
          <w:sz w:val="28"/>
        </w:rPr>
        <w:t>equality</w:t>
      </w:r>
      <w:r>
        <w:rPr>
          <w:spacing w:val="-5"/>
          <w:sz w:val="28"/>
        </w:rPr>
        <w:t> </w:t>
      </w:r>
      <w:r>
        <w:rPr>
          <w:sz w:val="28"/>
        </w:rPr>
        <w:t>objectives.</w:t>
      </w:r>
      <w:r>
        <w:rPr>
          <w:spacing w:val="-6"/>
          <w:sz w:val="28"/>
        </w:rPr>
        <w:t> </w:t>
      </w:r>
      <w:r>
        <w:rPr>
          <w:sz w:val="28"/>
        </w:rPr>
        <w:t>The</w:t>
      </w:r>
      <w:r>
        <w:rPr>
          <w:spacing w:val="-5"/>
          <w:sz w:val="28"/>
        </w:rPr>
        <w:t> </w:t>
      </w:r>
      <w:r>
        <w:rPr>
          <w:sz w:val="28"/>
        </w:rPr>
        <w:t>NIHRC</w:t>
      </w:r>
      <w:r>
        <w:rPr>
          <w:spacing w:val="-6"/>
          <w:sz w:val="28"/>
        </w:rPr>
        <w:t> </w:t>
      </w:r>
      <w:r>
        <w:rPr>
          <w:sz w:val="28"/>
        </w:rPr>
        <w:t>also</w:t>
      </w:r>
      <w:r>
        <w:rPr>
          <w:spacing w:val="-6"/>
          <w:sz w:val="28"/>
        </w:rPr>
        <w:t> </w:t>
      </w:r>
      <w:r>
        <w:rPr>
          <w:sz w:val="28"/>
        </w:rPr>
        <w:t>stressed</w:t>
      </w:r>
      <w:r>
        <w:rPr>
          <w:spacing w:val="-6"/>
          <w:sz w:val="28"/>
        </w:rPr>
        <w:t> </w:t>
      </w:r>
      <w:r>
        <w:rPr>
          <w:sz w:val="28"/>
        </w:rPr>
        <w:t>that</w:t>
      </w:r>
      <w:r>
        <w:rPr>
          <w:spacing w:val="-5"/>
          <w:sz w:val="28"/>
        </w:rPr>
        <w:t> </w:t>
      </w:r>
      <w:r>
        <w:rPr>
          <w:sz w:val="28"/>
        </w:rPr>
        <w:t>this commitment should be delivered as quickly as possible in its entirety.</w:t>
      </w:r>
      <w:r>
        <w:rPr>
          <w:sz w:val="28"/>
          <w:vertAlign w:val="superscript"/>
        </w:rPr>
        <w:t>297</w:t>
      </w:r>
    </w:p>
    <w:p>
      <w:pPr>
        <w:pStyle w:val="ListParagraph"/>
        <w:numPr>
          <w:ilvl w:val="1"/>
          <w:numId w:val="7"/>
        </w:numPr>
        <w:tabs>
          <w:tab w:pos="1853" w:val="left" w:leader="none"/>
        </w:tabs>
        <w:spacing w:line="225" w:lineRule="auto" w:before="312" w:after="0"/>
        <w:ind w:left="1853" w:right="1170" w:hanging="720"/>
        <w:jc w:val="left"/>
        <w:rPr>
          <w:sz w:val="28"/>
        </w:rPr>
      </w:pPr>
      <w:r>
        <w:rPr>
          <w:sz w:val="28"/>
        </w:rPr>
        <w:t>In 2022, the ECNI published a paper on “Race Law Reform: Priorities and Recommendations”, outlining that in the absence of harmonised single equality legislation, urgent changes are required to strengthen racial equality legislation in NI. The ECNI’s paper highlighted five priorities for action in relation to race equality laws including harmonising and expanding the scope of racial grounds;</w:t>
      </w:r>
      <w:r>
        <w:rPr>
          <w:sz w:val="28"/>
          <w:vertAlign w:val="superscript"/>
        </w:rPr>
        <w:t>298</w:t>
      </w:r>
      <w:r>
        <w:rPr>
          <w:sz w:val="28"/>
          <w:vertAlign w:val="baseline"/>
        </w:rPr>
        <w:t> ensuring broader protection against racial discrimination and harassment by public bodies when carrying out their public functions; introducing protections against combined or multiple discrimination; greater protection</w:t>
      </w:r>
      <w:r>
        <w:rPr>
          <w:spacing w:val="-10"/>
          <w:sz w:val="28"/>
          <w:vertAlign w:val="baseline"/>
        </w:rPr>
        <w:t> </w:t>
      </w:r>
      <w:r>
        <w:rPr>
          <w:sz w:val="28"/>
          <w:vertAlign w:val="baseline"/>
        </w:rPr>
        <w:t>for</w:t>
      </w:r>
      <w:r>
        <w:rPr>
          <w:spacing w:val="-9"/>
          <w:sz w:val="28"/>
          <w:vertAlign w:val="baseline"/>
        </w:rPr>
        <w:t> </w:t>
      </w:r>
      <w:r>
        <w:rPr>
          <w:sz w:val="28"/>
          <w:vertAlign w:val="baseline"/>
        </w:rPr>
        <w:t>employees</w:t>
      </w:r>
      <w:r>
        <w:rPr>
          <w:spacing w:val="-10"/>
          <w:sz w:val="28"/>
          <w:vertAlign w:val="baseline"/>
        </w:rPr>
        <w:t> </w:t>
      </w:r>
      <w:r>
        <w:rPr>
          <w:sz w:val="28"/>
          <w:vertAlign w:val="baseline"/>
        </w:rPr>
        <w:t>against</w:t>
      </w:r>
      <w:r>
        <w:rPr>
          <w:spacing w:val="-9"/>
          <w:sz w:val="28"/>
          <w:vertAlign w:val="baseline"/>
        </w:rPr>
        <w:t> </w:t>
      </w:r>
      <w:r>
        <w:rPr>
          <w:sz w:val="28"/>
          <w:vertAlign w:val="baseline"/>
        </w:rPr>
        <w:t>third</w:t>
      </w:r>
      <w:r>
        <w:rPr>
          <w:spacing w:val="-10"/>
          <w:sz w:val="28"/>
          <w:vertAlign w:val="baseline"/>
        </w:rPr>
        <w:t> </w:t>
      </w:r>
      <w:r>
        <w:rPr>
          <w:sz w:val="28"/>
          <w:vertAlign w:val="baseline"/>
        </w:rPr>
        <w:t>party</w:t>
      </w:r>
      <w:r>
        <w:rPr>
          <w:spacing w:val="-9"/>
          <w:sz w:val="28"/>
          <w:vertAlign w:val="baseline"/>
        </w:rPr>
        <w:t> </w:t>
      </w:r>
      <w:r>
        <w:rPr>
          <w:sz w:val="28"/>
          <w:vertAlign w:val="baseline"/>
        </w:rPr>
        <w:t>racial</w:t>
      </w:r>
      <w:r>
        <w:rPr>
          <w:spacing w:val="-10"/>
          <w:sz w:val="28"/>
          <w:vertAlign w:val="baseline"/>
        </w:rPr>
        <w:t> </w:t>
      </w:r>
      <w:r>
        <w:rPr>
          <w:sz w:val="28"/>
          <w:vertAlign w:val="baseline"/>
        </w:rPr>
        <w:t>harassment;</w:t>
      </w:r>
      <w:r>
        <w:rPr>
          <w:spacing w:val="-9"/>
          <w:sz w:val="28"/>
          <w:vertAlign w:val="baseline"/>
        </w:rPr>
        <w:t> </w:t>
      </w:r>
      <w:r>
        <w:rPr>
          <w:sz w:val="28"/>
          <w:vertAlign w:val="baseline"/>
        </w:rPr>
        <w:t>and</w:t>
      </w:r>
      <w:r>
        <w:rPr>
          <w:spacing w:val="-10"/>
          <w:sz w:val="28"/>
          <w:vertAlign w:val="baseline"/>
        </w:rPr>
        <w:t> </w:t>
      </w:r>
      <w:r>
        <w:rPr>
          <w:sz w:val="28"/>
          <w:vertAlign w:val="baseline"/>
        </w:rPr>
        <w:t>expanding the scope of positive action measures.</w:t>
      </w:r>
    </w:p>
    <w:p>
      <w:pPr>
        <w:pStyle w:val="ListParagraph"/>
        <w:numPr>
          <w:ilvl w:val="1"/>
          <w:numId w:val="7"/>
        </w:numPr>
        <w:tabs>
          <w:tab w:pos="1853" w:val="left" w:leader="none"/>
        </w:tabs>
        <w:spacing w:line="225" w:lineRule="auto" w:before="307" w:after="0"/>
        <w:ind w:left="1853" w:right="1393" w:hanging="720"/>
        <w:jc w:val="left"/>
        <w:rPr>
          <w:sz w:val="28"/>
        </w:rPr>
      </w:pPr>
      <w:r>
        <w:rPr>
          <w:sz w:val="28"/>
        </w:rPr>
        <w:t>The ECNI also reiterated the need to improve workforce monitoring on</w:t>
      </w:r>
      <w:r>
        <w:rPr>
          <w:sz w:val="28"/>
        </w:rPr>
        <w:t> racial equality grounds, limit exceptions to racial equality law and improve enforcement and remedies.</w:t>
      </w:r>
      <w:r>
        <w:rPr>
          <w:sz w:val="28"/>
          <w:vertAlign w:val="superscript"/>
        </w:rPr>
        <w:t>299</w:t>
      </w:r>
      <w:r>
        <w:rPr>
          <w:sz w:val="28"/>
          <w:vertAlign w:val="baseline"/>
        </w:rPr>
        <w:t> The ECNI further highlighted the UK Government’s commitment under Windsor Framework Article 2 to ensure there is no diminution of rights, safeguards and equality of opportunity protections and provisions, including those underpinned by the EU Racial Equality</w:t>
      </w:r>
      <w:r>
        <w:rPr>
          <w:spacing w:val="-5"/>
          <w:sz w:val="28"/>
          <w:vertAlign w:val="baseline"/>
        </w:rPr>
        <w:t> </w:t>
      </w:r>
      <w:r>
        <w:rPr>
          <w:sz w:val="28"/>
          <w:vertAlign w:val="baseline"/>
        </w:rPr>
        <w:t>Directive,</w:t>
      </w:r>
      <w:r>
        <w:rPr>
          <w:spacing w:val="-5"/>
          <w:sz w:val="28"/>
          <w:vertAlign w:val="baseline"/>
        </w:rPr>
        <w:t> </w:t>
      </w:r>
      <w:r>
        <w:rPr>
          <w:sz w:val="28"/>
          <w:vertAlign w:val="baseline"/>
        </w:rPr>
        <w:t>as</w:t>
      </w:r>
      <w:r>
        <w:rPr>
          <w:spacing w:val="-6"/>
          <w:sz w:val="28"/>
          <w:vertAlign w:val="baseline"/>
        </w:rPr>
        <w:t> </w:t>
      </w:r>
      <w:r>
        <w:rPr>
          <w:sz w:val="28"/>
          <w:vertAlign w:val="baseline"/>
        </w:rPr>
        <w:t>set</w:t>
      </w:r>
      <w:r>
        <w:rPr>
          <w:spacing w:val="-5"/>
          <w:sz w:val="28"/>
          <w:vertAlign w:val="baseline"/>
        </w:rPr>
        <w:t> </w:t>
      </w:r>
      <w:r>
        <w:rPr>
          <w:sz w:val="28"/>
          <w:vertAlign w:val="baseline"/>
        </w:rPr>
        <w:t>out</w:t>
      </w:r>
      <w:r>
        <w:rPr>
          <w:spacing w:val="-5"/>
          <w:sz w:val="28"/>
          <w:vertAlign w:val="baseline"/>
        </w:rPr>
        <w:t> </w:t>
      </w:r>
      <w:r>
        <w:rPr>
          <w:sz w:val="28"/>
          <w:vertAlign w:val="baseline"/>
        </w:rPr>
        <w:t>in</w:t>
      </w:r>
      <w:r>
        <w:rPr>
          <w:spacing w:val="-6"/>
          <w:sz w:val="28"/>
          <w:vertAlign w:val="baseline"/>
        </w:rPr>
        <w:t> </w:t>
      </w:r>
      <w:r>
        <w:rPr>
          <w:sz w:val="28"/>
          <w:vertAlign w:val="baseline"/>
        </w:rPr>
        <w:t>the</w:t>
      </w:r>
      <w:r>
        <w:rPr>
          <w:spacing w:val="-5"/>
          <w:sz w:val="28"/>
          <w:vertAlign w:val="baseline"/>
        </w:rPr>
        <w:t> </w:t>
      </w:r>
      <w:r>
        <w:rPr>
          <w:sz w:val="28"/>
          <w:vertAlign w:val="baseline"/>
        </w:rPr>
        <w:t>relevant</w:t>
      </w:r>
      <w:r>
        <w:rPr>
          <w:spacing w:val="-5"/>
          <w:sz w:val="28"/>
          <w:vertAlign w:val="baseline"/>
        </w:rPr>
        <w:t> </w:t>
      </w:r>
      <w:r>
        <w:rPr>
          <w:sz w:val="28"/>
          <w:vertAlign w:val="baseline"/>
        </w:rPr>
        <w:t>part</w:t>
      </w:r>
      <w:r>
        <w:rPr>
          <w:spacing w:val="-5"/>
          <w:sz w:val="28"/>
          <w:vertAlign w:val="baseline"/>
        </w:rPr>
        <w:t> </w:t>
      </w:r>
      <w:r>
        <w:rPr>
          <w:sz w:val="28"/>
          <w:vertAlign w:val="baseline"/>
        </w:rPr>
        <w:t>of</w:t>
      </w:r>
      <w:r>
        <w:rPr>
          <w:spacing w:val="-6"/>
          <w:sz w:val="28"/>
          <w:vertAlign w:val="baseline"/>
        </w:rPr>
        <w:t> </w:t>
      </w:r>
      <w:r>
        <w:rPr>
          <w:sz w:val="28"/>
          <w:vertAlign w:val="baseline"/>
        </w:rPr>
        <w:t>the</w:t>
      </w:r>
      <w:r>
        <w:rPr>
          <w:spacing w:val="-5"/>
          <w:sz w:val="28"/>
          <w:vertAlign w:val="baseline"/>
        </w:rPr>
        <w:t> </w:t>
      </w:r>
      <w:r>
        <w:rPr>
          <w:sz w:val="28"/>
          <w:vertAlign w:val="baseline"/>
        </w:rPr>
        <w:t>Belfast</w:t>
      </w:r>
      <w:r>
        <w:rPr>
          <w:spacing w:val="-5"/>
          <w:sz w:val="28"/>
          <w:vertAlign w:val="baseline"/>
        </w:rPr>
        <w:t> </w:t>
      </w:r>
      <w:r>
        <w:rPr>
          <w:sz w:val="28"/>
          <w:vertAlign w:val="baseline"/>
        </w:rPr>
        <w:t>(Good</w:t>
      </w:r>
      <w:r>
        <w:rPr>
          <w:spacing w:val="-6"/>
          <w:sz w:val="28"/>
          <w:vertAlign w:val="baseline"/>
        </w:rPr>
        <w:t> </w:t>
      </w:r>
      <w:r>
        <w:rPr>
          <w:sz w:val="28"/>
          <w:vertAlign w:val="baseline"/>
        </w:rPr>
        <w:t>Friday) Agreement.</w:t>
      </w:r>
      <w:r>
        <w:rPr>
          <w:spacing w:val="40"/>
          <w:sz w:val="28"/>
          <w:vertAlign w:val="baseline"/>
        </w:rPr>
        <w:t> </w:t>
      </w:r>
      <w:r>
        <w:rPr>
          <w:sz w:val="28"/>
          <w:vertAlign w:val="baseline"/>
        </w:rPr>
        <w:t>It</w:t>
      </w:r>
      <w:r>
        <w:rPr>
          <w:spacing w:val="-7"/>
          <w:sz w:val="28"/>
          <w:vertAlign w:val="baseline"/>
        </w:rPr>
        <w:t> </w:t>
      </w:r>
      <w:r>
        <w:rPr>
          <w:sz w:val="28"/>
          <w:vertAlign w:val="baseline"/>
        </w:rPr>
        <w:t>also</w:t>
      </w:r>
      <w:r>
        <w:rPr>
          <w:spacing w:val="-8"/>
          <w:sz w:val="28"/>
          <w:vertAlign w:val="baseline"/>
        </w:rPr>
        <w:t> </w:t>
      </w:r>
      <w:r>
        <w:rPr>
          <w:sz w:val="28"/>
          <w:vertAlign w:val="baseline"/>
        </w:rPr>
        <w:t>highlighted</w:t>
      </w:r>
      <w:r>
        <w:rPr>
          <w:spacing w:val="-8"/>
          <w:sz w:val="28"/>
          <w:vertAlign w:val="baseline"/>
        </w:rPr>
        <w:t> </w:t>
      </w:r>
      <w:r>
        <w:rPr>
          <w:sz w:val="28"/>
          <w:vertAlign w:val="baseline"/>
        </w:rPr>
        <w:t>the</w:t>
      </w:r>
      <w:r>
        <w:rPr>
          <w:spacing w:val="-7"/>
          <w:sz w:val="28"/>
          <w:vertAlign w:val="baseline"/>
        </w:rPr>
        <w:t> </w:t>
      </w:r>
      <w:r>
        <w:rPr>
          <w:sz w:val="28"/>
          <w:vertAlign w:val="baseline"/>
        </w:rPr>
        <w:t>UK</w:t>
      </w:r>
      <w:r>
        <w:rPr>
          <w:spacing w:val="-7"/>
          <w:sz w:val="28"/>
          <w:vertAlign w:val="baseline"/>
        </w:rPr>
        <w:t> </w:t>
      </w:r>
      <w:r>
        <w:rPr>
          <w:sz w:val="28"/>
          <w:vertAlign w:val="baseline"/>
        </w:rPr>
        <w:t>Government’s</w:t>
      </w:r>
      <w:r>
        <w:rPr>
          <w:spacing w:val="-8"/>
          <w:sz w:val="28"/>
          <w:vertAlign w:val="baseline"/>
        </w:rPr>
        <w:t> </w:t>
      </w:r>
      <w:r>
        <w:rPr>
          <w:sz w:val="28"/>
          <w:vertAlign w:val="baseline"/>
        </w:rPr>
        <w:t>commitment</w:t>
      </w:r>
      <w:r>
        <w:rPr>
          <w:spacing w:val="-7"/>
          <w:sz w:val="28"/>
          <w:vertAlign w:val="baseline"/>
        </w:rPr>
        <w:t> </w:t>
      </w:r>
      <w:r>
        <w:rPr>
          <w:sz w:val="28"/>
          <w:vertAlign w:val="baseline"/>
        </w:rPr>
        <w:t>to</w:t>
      </w:r>
      <w:r>
        <w:rPr>
          <w:spacing w:val="-8"/>
          <w:sz w:val="28"/>
          <w:vertAlign w:val="baseline"/>
        </w:rPr>
        <w:t> </w:t>
      </w:r>
      <w:r>
        <w:rPr>
          <w:sz w:val="28"/>
          <w:vertAlign w:val="baseline"/>
        </w:rPr>
        <w:t>ensure</w:t>
      </w:r>
    </w:p>
    <w:p>
      <w:pPr>
        <w:pStyle w:val="BodyText"/>
        <w:spacing w:line="225" w:lineRule="auto"/>
        <w:ind w:left="1853" w:right="1301"/>
      </w:pPr>
      <w:r>
        <w:rPr/>
        <w:t>NI’s</w:t>
      </w:r>
      <w:r>
        <w:rPr>
          <w:spacing w:val="-7"/>
        </w:rPr>
        <w:t> </w:t>
      </w:r>
      <w:r>
        <w:rPr/>
        <w:t>equality</w:t>
      </w:r>
      <w:r>
        <w:rPr>
          <w:spacing w:val="-6"/>
        </w:rPr>
        <w:t> </w:t>
      </w:r>
      <w:r>
        <w:rPr/>
        <w:t>laws</w:t>
      </w:r>
      <w:r>
        <w:rPr>
          <w:spacing w:val="-7"/>
        </w:rPr>
        <w:t> </w:t>
      </w:r>
      <w:r>
        <w:rPr/>
        <w:t>keep</w:t>
      </w:r>
      <w:r>
        <w:rPr>
          <w:spacing w:val="-7"/>
        </w:rPr>
        <w:t> </w:t>
      </w:r>
      <w:r>
        <w:rPr/>
        <w:t>pace</w:t>
      </w:r>
      <w:r>
        <w:rPr>
          <w:spacing w:val="-6"/>
        </w:rPr>
        <w:t> </w:t>
      </w:r>
      <w:r>
        <w:rPr/>
        <w:t>with</w:t>
      </w:r>
      <w:r>
        <w:rPr>
          <w:spacing w:val="-7"/>
        </w:rPr>
        <w:t> </w:t>
      </w:r>
      <w:r>
        <w:rPr/>
        <w:t>any</w:t>
      </w:r>
      <w:r>
        <w:rPr>
          <w:spacing w:val="-6"/>
        </w:rPr>
        <w:t> </w:t>
      </w:r>
      <w:r>
        <w:rPr/>
        <w:t>changes</w:t>
      </w:r>
      <w:r>
        <w:rPr>
          <w:spacing w:val="-7"/>
        </w:rPr>
        <w:t> </w:t>
      </w:r>
      <w:r>
        <w:rPr/>
        <w:t>the</w:t>
      </w:r>
      <w:r>
        <w:rPr>
          <w:spacing w:val="-6"/>
        </w:rPr>
        <w:t> </w:t>
      </w:r>
      <w:r>
        <w:rPr/>
        <w:t>EU</w:t>
      </w:r>
      <w:r>
        <w:rPr>
          <w:spacing w:val="-6"/>
        </w:rPr>
        <w:t> </w:t>
      </w:r>
      <w:r>
        <w:rPr/>
        <w:t>may</w:t>
      </w:r>
      <w:r>
        <w:rPr>
          <w:spacing w:val="-6"/>
        </w:rPr>
        <w:t> </w:t>
      </w:r>
      <w:r>
        <w:rPr/>
        <w:t>make</w:t>
      </w:r>
      <w:r>
        <w:rPr>
          <w:spacing w:val="-6"/>
        </w:rPr>
        <w:t> </w:t>
      </w:r>
      <w:r>
        <w:rPr/>
        <w:t>to</w:t>
      </w:r>
      <w:r>
        <w:rPr>
          <w:spacing w:val="-7"/>
        </w:rPr>
        <w:t> </w:t>
      </w:r>
      <w:r>
        <w:rPr/>
        <w:t>amend</w:t>
      </w:r>
      <w:r>
        <w:rPr>
          <w:spacing w:val="-7"/>
        </w:rPr>
        <w:t> </w:t>
      </w:r>
      <w:r>
        <w:rPr/>
        <w:t>or replace the Annex 1 equality directives that enhance protections, including the EU Racial Equality Directive.</w:t>
      </w:r>
      <w:r>
        <w:rPr>
          <w:vertAlign w:val="superscript"/>
        </w:rPr>
        <w:t>300</w:t>
      </w:r>
    </w:p>
    <w:p>
      <w:pPr>
        <w:pStyle w:val="ListParagraph"/>
        <w:numPr>
          <w:ilvl w:val="1"/>
          <w:numId w:val="7"/>
        </w:numPr>
        <w:tabs>
          <w:tab w:pos="1853" w:val="left" w:leader="none"/>
        </w:tabs>
        <w:spacing w:line="225" w:lineRule="auto" w:before="306" w:after="0"/>
        <w:ind w:left="1853" w:right="1796" w:hanging="720"/>
        <w:jc w:val="both"/>
        <w:rPr>
          <w:sz w:val="28"/>
        </w:rPr>
      </w:pPr>
      <w:r>
        <w:rPr>
          <w:sz w:val="28"/>
        </w:rPr>
        <w:t>In</w:t>
      </w:r>
      <w:r>
        <w:rPr>
          <w:spacing w:val="-2"/>
          <w:sz w:val="28"/>
        </w:rPr>
        <w:t> </w:t>
      </w:r>
      <w:r>
        <w:rPr>
          <w:sz w:val="28"/>
        </w:rPr>
        <w:t>March</w:t>
      </w:r>
      <w:r>
        <w:rPr>
          <w:spacing w:val="-2"/>
          <w:sz w:val="28"/>
        </w:rPr>
        <w:t> </w:t>
      </w:r>
      <w:r>
        <w:rPr>
          <w:sz w:val="28"/>
        </w:rPr>
        <w:t>2024,</w:t>
      </w:r>
      <w:r>
        <w:rPr>
          <w:spacing w:val="-1"/>
          <w:sz w:val="28"/>
        </w:rPr>
        <w:t> </w:t>
      </w:r>
      <w:r>
        <w:rPr>
          <w:sz w:val="28"/>
        </w:rPr>
        <w:t>the</w:t>
      </w:r>
      <w:r>
        <w:rPr>
          <w:spacing w:val="-1"/>
          <w:sz w:val="28"/>
        </w:rPr>
        <w:t> </w:t>
      </w:r>
      <w:r>
        <w:rPr>
          <w:sz w:val="28"/>
        </w:rPr>
        <w:t>Executive</w:t>
      </w:r>
      <w:r>
        <w:rPr>
          <w:spacing w:val="-1"/>
          <w:sz w:val="28"/>
        </w:rPr>
        <w:t> </w:t>
      </w:r>
      <w:r>
        <w:rPr>
          <w:sz w:val="28"/>
        </w:rPr>
        <w:t>Office</w:t>
      </w:r>
      <w:r>
        <w:rPr>
          <w:spacing w:val="-1"/>
          <w:sz w:val="28"/>
        </w:rPr>
        <w:t> </w:t>
      </w:r>
      <w:r>
        <w:rPr>
          <w:sz w:val="28"/>
        </w:rPr>
        <w:t>confirmed</w:t>
      </w:r>
      <w:r>
        <w:rPr>
          <w:spacing w:val="-2"/>
          <w:sz w:val="28"/>
        </w:rPr>
        <w:t> </w:t>
      </w:r>
      <w:r>
        <w:rPr>
          <w:sz w:val="28"/>
        </w:rPr>
        <w:t>that</w:t>
      </w:r>
      <w:r>
        <w:rPr>
          <w:spacing w:val="-1"/>
          <w:sz w:val="28"/>
        </w:rPr>
        <w:t> </w:t>
      </w:r>
      <w:r>
        <w:rPr>
          <w:sz w:val="28"/>
        </w:rPr>
        <w:t>a</w:t>
      </w:r>
      <w:r>
        <w:rPr>
          <w:spacing w:val="-2"/>
          <w:sz w:val="28"/>
        </w:rPr>
        <w:t> </w:t>
      </w:r>
      <w:r>
        <w:rPr>
          <w:sz w:val="28"/>
        </w:rPr>
        <w:t>draft</w:t>
      </w:r>
      <w:r>
        <w:rPr>
          <w:spacing w:val="-1"/>
          <w:sz w:val="28"/>
        </w:rPr>
        <w:t> </w:t>
      </w:r>
      <w:r>
        <w:rPr>
          <w:sz w:val="28"/>
        </w:rPr>
        <w:t>report</w:t>
      </w:r>
      <w:r>
        <w:rPr>
          <w:spacing w:val="-1"/>
          <w:sz w:val="28"/>
        </w:rPr>
        <w:t> </w:t>
      </w:r>
      <w:r>
        <w:rPr>
          <w:sz w:val="28"/>
        </w:rPr>
        <w:t>on</w:t>
      </w:r>
      <w:r>
        <w:rPr>
          <w:spacing w:val="-2"/>
          <w:sz w:val="28"/>
        </w:rPr>
        <w:t> </w:t>
      </w:r>
      <w:r>
        <w:rPr>
          <w:sz w:val="28"/>
        </w:rPr>
        <w:t>the findings</w:t>
      </w:r>
      <w:r>
        <w:rPr>
          <w:spacing w:val="-7"/>
          <w:sz w:val="28"/>
        </w:rPr>
        <w:t> </w:t>
      </w:r>
      <w:r>
        <w:rPr>
          <w:sz w:val="28"/>
        </w:rPr>
        <w:t>of</w:t>
      </w:r>
      <w:r>
        <w:rPr>
          <w:spacing w:val="-7"/>
          <w:sz w:val="28"/>
        </w:rPr>
        <w:t> </w:t>
      </w:r>
      <w:r>
        <w:rPr>
          <w:sz w:val="28"/>
        </w:rPr>
        <w:t>the</w:t>
      </w:r>
      <w:r>
        <w:rPr>
          <w:spacing w:val="-6"/>
          <w:sz w:val="28"/>
        </w:rPr>
        <w:t> </w:t>
      </w:r>
      <w:r>
        <w:rPr>
          <w:sz w:val="28"/>
        </w:rPr>
        <w:t>consultation</w:t>
      </w:r>
      <w:r>
        <w:rPr>
          <w:spacing w:val="-7"/>
          <w:sz w:val="28"/>
        </w:rPr>
        <w:t> </w:t>
      </w:r>
      <w:r>
        <w:rPr>
          <w:sz w:val="28"/>
        </w:rPr>
        <w:t>on</w:t>
      </w:r>
      <w:r>
        <w:rPr>
          <w:spacing w:val="-7"/>
          <w:sz w:val="28"/>
        </w:rPr>
        <w:t> </w:t>
      </w:r>
      <w:r>
        <w:rPr>
          <w:sz w:val="28"/>
        </w:rPr>
        <w:t>reforming</w:t>
      </w:r>
      <w:r>
        <w:rPr>
          <w:spacing w:val="-6"/>
          <w:sz w:val="28"/>
        </w:rPr>
        <w:t> </w:t>
      </w:r>
      <w:r>
        <w:rPr>
          <w:sz w:val="28"/>
        </w:rPr>
        <w:t>the</w:t>
      </w:r>
      <w:r>
        <w:rPr>
          <w:spacing w:val="-6"/>
          <w:sz w:val="28"/>
        </w:rPr>
        <w:t> </w:t>
      </w:r>
      <w:r>
        <w:rPr>
          <w:sz w:val="28"/>
        </w:rPr>
        <w:t>Race</w:t>
      </w:r>
      <w:r>
        <w:rPr>
          <w:spacing w:val="-6"/>
          <w:sz w:val="28"/>
        </w:rPr>
        <w:t> </w:t>
      </w:r>
      <w:r>
        <w:rPr>
          <w:sz w:val="28"/>
        </w:rPr>
        <w:t>Relations</w:t>
      </w:r>
      <w:r>
        <w:rPr>
          <w:spacing w:val="-7"/>
          <w:sz w:val="28"/>
        </w:rPr>
        <w:t> </w:t>
      </w:r>
      <w:r>
        <w:rPr>
          <w:sz w:val="28"/>
        </w:rPr>
        <w:t>(NI)</w:t>
      </w:r>
      <w:r>
        <w:rPr>
          <w:spacing w:val="-7"/>
          <w:sz w:val="28"/>
        </w:rPr>
        <w:t> </w:t>
      </w:r>
      <w:r>
        <w:rPr>
          <w:sz w:val="28"/>
        </w:rPr>
        <w:t>Order</w:t>
      </w:r>
      <w:r>
        <w:rPr>
          <w:spacing w:val="-6"/>
          <w:sz w:val="28"/>
        </w:rPr>
        <w:t> </w:t>
      </w:r>
      <w:r>
        <w:rPr>
          <w:sz w:val="28"/>
        </w:rPr>
        <w:t>is currently with Ministers for consideration.</w:t>
      </w:r>
      <w:r>
        <w:rPr>
          <w:sz w:val="28"/>
          <w:vertAlign w:val="superscript"/>
        </w:rPr>
        <w:t>301</w:t>
      </w:r>
    </w:p>
    <w:p>
      <w:pPr>
        <w:pStyle w:val="BodyText"/>
        <w:rPr>
          <w:sz w:val="20"/>
        </w:rPr>
      </w:pPr>
    </w:p>
    <w:p>
      <w:pPr>
        <w:pStyle w:val="BodyText"/>
        <w:spacing w:before="62"/>
        <w:rPr>
          <w:sz w:val="20"/>
        </w:rPr>
      </w:pPr>
      <w:r>
        <w:rPr/>
        <mc:AlternateContent>
          <mc:Choice Requires="wps">
            <w:drawing>
              <wp:anchor distT="0" distB="0" distL="0" distR="0" allowOverlap="1" layoutInCell="1" locked="0" behindDoc="1" simplePos="0" relativeHeight="487659008">
                <wp:simplePos x="0" y="0"/>
                <wp:positionH relativeFrom="page">
                  <wp:posOffset>719999</wp:posOffset>
                </wp:positionH>
                <wp:positionV relativeFrom="paragraph">
                  <wp:posOffset>209654</wp:posOffset>
                </wp:positionV>
                <wp:extent cx="6120130" cy="1270"/>
                <wp:effectExtent l="0" t="0" r="0" b="0"/>
                <wp:wrapTopAndBottom/>
                <wp:docPr id="312" name="Graphic 312"/>
                <wp:cNvGraphicFramePr>
                  <a:graphicFrameLocks/>
                </wp:cNvGraphicFramePr>
                <a:graphic>
                  <a:graphicData uri="http://schemas.microsoft.com/office/word/2010/wordprocessingShape">
                    <wps:wsp>
                      <wps:cNvPr id="312" name="Graphic 312"/>
                      <wps:cNvSpPr/>
                      <wps:spPr>
                        <a:xfrm>
                          <a:off x="0" y="0"/>
                          <a:ext cx="6120130" cy="1270"/>
                        </a:xfrm>
                        <a:custGeom>
                          <a:avLst/>
                          <a:gdLst/>
                          <a:ahLst/>
                          <a:cxnLst/>
                          <a:rect l="l" t="t" r="r" b="b"/>
                          <a:pathLst>
                            <a:path w="6120130" h="0">
                              <a:moveTo>
                                <a:pt x="0" y="0"/>
                              </a:moveTo>
                              <a:lnTo>
                                <a:pt x="6120003"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6.508224pt;width:481.9pt;height:.1pt;mso-position-horizontal-relative:page;mso-position-vertical-relative:paragraph;z-index:-15657472;mso-wrap-distance-left:0;mso-wrap-distance-right:0" id="docshape264" coordorigin="1134,330" coordsize="9638,0" path="m1134,330l10772,330e" filled="false" stroked="true" strokeweight="1pt" strokecolor="#393b7f">
                <v:path arrowok="t"/>
                <v:stroke dashstyle="solid"/>
                <w10:wrap type="topAndBottom"/>
              </v:shape>
            </w:pict>
          </mc:Fallback>
        </mc:AlternateContent>
      </w:r>
    </w:p>
    <w:p>
      <w:pPr>
        <w:pStyle w:val="ListParagraph"/>
        <w:numPr>
          <w:ilvl w:val="0"/>
          <w:numId w:val="9"/>
        </w:numPr>
        <w:tabs>
          <w:tab w:pos="1853" w:val="left" w:leader="none"/>
        </w:tabs>
        <w:spacing w:line="235" w:lineRule="auto" w:before="142" w:after="0"/>
        <w:ind w:left="1853" w:right="1762" w:hanging="720"/>
        <w:jc w:val="left"/>
        <w:rPr>
          <w:sz w:val="18"/>
        </w:rPr>
      </w:pPr>
      <w:r>
        <w:rPr>
          <w:sz w:val="18"/>
        </w:rPr>
        <w:t>Equality</w:t>
      </w:r>
      <w:r>
        <w:rPr>
          <w:spacing w:val="-5"/>
          <w:sz w:val="18"/>
        </w:rPr>
        <w:t> </w:t>
      </w:r>
      <w:r>
        <w:rPr>
          <w:sz w:val="18"/>
        </w:rPr>
        <w:t>Commission</w:t>
      </w:r>
      <w:r>
        <w:rPr>
          <w:spacing w:val="-6"/>
          <w:sz w:val="18"/>
        </w:rPr>
        <w:t> </w:t>
      </w:r>
      <w:r>
        <w:rPr>
          <w:sz w:val="18"/>
        </w:rPr>
        <w:t>for</w:t>
      </w:r>
      <w:r>
        <w:rPr>
          <w:spacing w:val="-5"/>
          <w:sz w:val="18"/>
        </w:rPr>
        <w:t> </w:t>
      </w:r>
      <w:r>
        <w:rPr>
          <w:sz w:val="18"/>
        </w:rPr>
        <w:t>NI,</w:t>
      </w:r>
      <w:r>
        <w:rPr>
          <w:spacing w:val="-5"/>
          <w:sz w:val="18"/>
        </w:rPr>
        <w:t> </w:t>
      </w:r>
      <w:r>
        <w:rPr>
          <w:sz w:val="18"/>
        </w:rPr>
        <w:t>‘Consultation</w:t>
      </w:r>
      <w:r>
        <w:rPr>
          <w:spacing w:val="-6"/>
          <w:sz w:val="18"/>
        </w:rPr>
        <w:t> </w:t>
      </w:r>
      <w:r>
        <w:rPr>
          <w:sz w:val="18"/>
        </w:rPr>
        <w:t>Response:</w:t>
      </w:r>
      <w:r>
        <w:rPr>
          <w:spacing w:val="-5"/>
          <w:sz w:val="18"/>
        </w:rPr>
        <w:t> </w:t>
      </w:r>
      <w:r>
        <w:rPr>
          <w:sz w:val="18"/>
        </w:rPr>
        <w:t>The</w:t>
      </w:r>
      <w:r>
        <w:rPr>
          <w:spacing w:val="-5"/>
          <w:sz w:val="18"/>
        </w:rPr>
        <w:t> </w:t>
      </w:r>
      <w:r>
        <w:rPr>
          <w:sz w:val="18"/>
        </w:rPr>
        <w:t>Executive</w:t>
      </w:r>
      <w:r>
        <w:rPr>
          <w:spacing w:val="-5"/>
          <w:sz w:val="18"/>
        </w:rPr>
        <w:t> </w:t>
      </w:r>
      <w:r>
        <w:rPr>
          <w:sz w:val="18"/>
        </w:rPr>
        <w:t>Office:</w:t>
      </w:r>
      <w:r>
        <w:rPr>
          <w:spacing w:val="-5"/>
          <w:sz w:val="18"/>
        </w:rPr>
        <w:t> </w:t>
      </w:r>
      <w:r>
        <w:rPr>
          <w:sz w:val="18"/>
        </w:rPr>
        <w:t>Consultation</w:t>
      </w:r>
      <w:r>
        <w:rPr>
          <w:spacing w:val="-6"/>
          <w:sz w:val="18"/>
        </w:rPr>
        <w:t> </w:t>
      </w:r>
      <w:r>
        <w:rPr>
          <w:sz w:val="18"/>
        </w:rPr>
        <w:t>on</w:t>
      </w:r>
      <w:r>
        <w:rPr>
          <w:spacing w:val="-6"/>
          <w:sz w:val="18"/>
        </w:rPr>
        <w:t> </w:t>
      </w:r>
      <w:r>
        <w:rPr>
          <w:sz w:val="18"/>
        </w:rPr>
        <w:t>the</w:t>
      </w:r>
      <w:r>
        <w:rPr>
          <w:spacing w:val="-5"/>
          <w:sz w:val="18"/>
        </w:rPr>
        <w:t> </w:t>
      </w:r>
      <w:r>
        <w:rPr>
          <w:sz w:val="18"/>
        </w:rPr>
        <w:t>Review</w:t>
      </w:r>
      <w:r>
        <w:rPr>
          <w:spacing w:val="-5"/>
          <w:sz w:val="18"/>
        </w:rPr>
        <w:t> </w:t>
      </w:r>
      <w:r>
        <w:rPr>
          <w:sz w:val="18"/>
        </w:rPr>
        <w:t>of</w:t>
      </w:r>
      <w:r>
        <w:rPr>
          <w:spacing w:val="-6"/>
          <w:sz w:val="18"/>
        </w:rPr>
        <w:t> </w:t>
      </w:r>
      <w:r>
        <w:rPr>
          <w:sz w:val="18"/>
        </w:rPr>
        <w:t>the</w:t>
      </w:r>
      <w:r>
        <w:rPr>
          <w:spacing w:val="-5"/>
          <w:sz w:val="18"/>
        </w:rPr>
        <w:t> </w:t>
      </w:r>
      <w:r>
        <w:rPr>
          <w:sz w:val="18"/>
        </w:rPr>
        <w:t>Race Relations (NI) Order 1997’ (ECNI, 2023).</w:t>
      </w:r>
    </w:p>
    <w:p>
      <w:pPr>
        <w:pStyle w:val="ListParagraph"/>
        <w:numPr>
          <w:ilvl w:val="0"/>
          <w:numId w:val="9"/>
        </w:numPr>
        <w:tabs>
          <w:tab w:pos="1853" w:val="left" w:leader="none"/>
        </w:tabs>
        <w:spacing w:line="235" w:lineRule="auto" w:before="2" w:after="0"/>
        <w:ind w:left="1853" w:right="1318" w:hanging="720"/>
        <w:jc w:val="left"/>
        <w:rPr>
          <w:sz w:val="18"/>
        </w:rPr>
      </w:pPr>
      <w:r>
        <w:rPr>
          <w:sz w:val="18"/>
        </w:rPr>
        <w:t>NI</w:t>
      </w:r>
      <w:r>
        <w:rPr>
          <w:spacing w:val="-5"/>
          <w:sz w:val="18"/>
        </w:rPr>
        <w:t> </w:t>
      </w:r>
      <w:r>
        <w:rPr>
          <w:sz w:val="18"/>
        </w:rPr>
        <w:t>Human</w:t>
      </w:r>
      <w:r>
        <w:rPr>
          <w:spacing w:val="-5"/>
          <w:sz w:val="18"/>
        </w:rPr>
        <w:t> </w:t>
      </w:r>
      <w:r>
        <w:rPr>
          <w:sz w:val="18"/>
        </w:rPr>
        <w:t>Rights</w:t>
      </w:r>
      <w:r>
        <w:rPr>
          <w:spacing w:val="-6"/>
          <w:sz w:val="18"/>
        </w:rPr>
        <w:t> </w:t>
      </w:r>
      <w:r>
        <w:rPr>
          <w:sz w:val="18"/>
        </w:rPr>
        <w:t>Commission,</w:t>
      </w:r>
      <w:r>
        <w:rPr>
          <w:spacing w:val="-5"/>
          <w:sz w:val="18"/>
        </w:rPr>
        <w:t> </w:t>
      </w:r>
      <w:r>
        <w:rPr>
          <w:sz w:val="18"/>
        </w:rPr>
        <w:t>‘Response</w:t>
      </w:r>
      <w:r>
        <w:rPr>
          <w:spacing w:val="-5"/>
          <w:sz w:val="18"/>
        </w:rPr>
        <w:t> </w:t>
      </w:r>
      <w:r>
        <w:rPr>
          <w:sz w:val="18"/>
        </w:rPr>
        <w:t>to</w:t>
      </w:r>
      <w:r>
        <w:rPr>
          <w:spacing w:val="-5"/>
          <w:sz w:val="18"/>
        </w:rPr>
        <w:t> </w:t>
      </w:r>
      <w:r>
        <w:rPr>
          <w:sz w:val="18"/>
        </w:rPr>
        <w:t>The</w:t>
      </w:r>
      <w:r>
        <w:rPr>
          <w:spacing w:val="-5"/>
          <w:sz w:val="18"/>
        </w:rPr>
        <w:t> </w:t>
      </w:r>
      <w:r>
        <w:rPr>
          <w:sz w:val="18"/>
        </w:rPr>
        <w:t>Executive</w:t>
      </w:r>
      <w:r>
        <w:rPr>
          <w:spacing w:val="-5"/>
          <w:sz w:val="18"/>
        </w:rPr>
        <w:t> </w:t>
      </w:r>
      <w:r>
        <w:rPr>
          <w:sz w:val="18"/>
        </w:rPr>
        <w:t>Office’s</w:t>
      </w:r>
      <w:r>
        <w:rPr>
          <w:spacing w:val="-5"/>
          <w:sz w:val="18"/>
        </w:rPr>
        <w:t> </w:t>
      </w:r>
      <w:r>
        <w:rPr>
          <w:sz w:val="18"/>
        </w:rPr>
        <w:t>Consultation</w:t>
      </w:r>
      <w:r>
        <w:rPr>
          <w:spacing w:val="-6"/>
          <w:sz w:val="18"/>
        </w:rPr>
        <w:t> </w:t>
      </w:r>
      <w:r>
        <w:rPr>
          <w:sz w:val="18"/>
        </w:rPr>
        <w:t>on</w:t>
      </w:r>
      <w:r>
        <w:rPr>
          <w:spacing w:val="-5"/>
          <w:sz w:val="18"/>
        </w:rPr>
        <w:t> </w:t>
      </w:r>
      <w:r>
        <w:rPr>
          <w:sz w:val="18"/>
        </w:rPr>
        <w:t>the</w:t>
      </w:r>
      <w:r>
        <w:rPr>
          <w:spacing w:val="-5"/>
          <w:sz w:val="18"/>
        </w:rPr>
        <w:t> </w:t>
      </w:r>
      <w:r>
        <w:rPr>
          <w:sz w:val="18"/>
        </w:rPr>
        <w:t>Review</w:t>
      </w:r>
      <w:r>
        <w:rPr>
          <w:spacing w:val="-5"/>
          <w:sz w:val="18"/>
        </w:rPr>
        <w:t> </w:t>
      </w:r>
      <w:r>
        <w:rPr>
          <w:sz w:val="18"/>
        </w:rPr>
        <w:t>of</w:t>
      </w:r>
      <w:r>
        <w:rPr>
          <w:spacing w:val="-5"/>
          <w:sz w:val="18"/>
        </w:rPr>
        <w:t> </w:t>
      </w:r>
      <w:r>
        <w:rPr>
          <w:sz w:val="18"/>
        </w:rPr>
        <w:t>the</w:t>
      </w:r>
      <w:r>
        <w:rPr>
          <w:spacing w:val="-5"/>
          <w:sz w:val="18"/>
        </w:rPr>
        <w:t> </w:t>
      </w:r>
      <w:r>
        <w:rPr>
          <w:sz w:val="18"/>
        </w:rPr>
        <w:t>Race</w:t>
      </w:r>
      <w:r>
        <w:rPr>
          <w:spacing w:val="-5"/>
          <w:sz w:val="18"/>
        </w:rPr>
        <w:t> </w:t>
      </w:r>
      <w:r>
        <w:rPr>
          <w:sz w:val="18"/>
        </w:rPr>
        <w:t>Relations</w:t>
      </w:r>
      <w:r>
        <w:rPr>
          <w:spacing w:val="-5"/>
          <w:sz w:val="18"/>
        </w:rPr>
        <w:t> </w:t>
      </w:r>
      <w:r>
        <w:rPr>
          <w:sz w:val="18"/>
        </w:rPr>
        <w:t>(NI) Order 1997’ (NIHRC, 2023).</w:t>
      </w:r>
    </w:p>
    <w:p>
      <w:pPr>
        <w:pStyle w:val="ListParagraph"/>
        <w:numPr>
          <w:ilvl w:val="0"/>
          <w:numId w:val="9"/>
        </w:numPr>
        <w:tabs>
          <w:tab w:pos="1853" w:val="left" w:leader="none"/>
        </w:tabs>
        <w:spacing w:line="216" w:lineRule="exact" w:before="0" w:after="0"/>
        <w:ind w:left="1853" w:right="0" w:hanging="720"/>
        <w:jc w:val="left"/>
        <w:rPr>
          <w:sz w:val="18"/>
        </w:rPr>
      </w:pPr>
      <w:r>
        <w:rPr>
          <w:sz w:val="18"/>
        </w:rPr>
        <w:t>Including</w:t>
      </w:r>
      <w:r>
        <w:rPr>
          <w:spacing w:val="-3"/>
          <w:sz w:val="18"/>
        </w:rPr>
        <w:t> </w:t>
      </w:r>
      <w:r>
        <w:rPr>
          <w:sz w:val="18"/>
        </w:rPr>
        <w:t>on</w:t>
      </w:r>
      <w:r>
        <w:rPr>
          <w:spacing w:val="-3"/>
          <w:sz w:val="18"/>
        </w:rPr>
        <w:t> </w:t>
      </w:r>
      <w:r>
        <w:rPr>
          <w:sz w:val="18"/>
        </w:rPr>
        <w:t>grounds</w:t>
      </w:r>
      <w:r>
        <w:rPr>
          <w:spacing w:val="-3"/>
          <w:sz w:val="18"/>
        </w:rPr>
        <w:t> </w:t>
      </w:r>
      <w:r>
        <w:rPr>
          <w:sz w:val="18"/>
        </w:rPr>
        <w:t>of</w:t>
      </w:r>
      <w:r>
        <w:rPr>
          <w:spacing w:val="-3"/>
          <w:sz w:val="18"/>
        </w:rPr>
        <w:t> </w:t>
      </w:r>
      <w:r>
        <w:rPr>
          <w:sz w:val="18"/>
        </w:rPr>
        <w:t>colour</w:t>
      </w:r>
      <w:r>
        <w:rPr>
          <w:spacing w:val="-2"/>
          <w:sz w:val="18"/>
        </w:rPr>
        <w:t> </w:t>
      </w:r>
      <w:r>
        <w:rPr>
          <w:sz w:val="18"/>
        </w:rPr>
        <w:t>and</w:t>
      </w:r>
      <w:r>
        <w:rPr>
          <w:spacing w:val="-3"/>
          <w:sz w:val="18"/>
        </w:rPr>
        <w:t> </w:t>
      </w:r>
      <w:r>
        <w:rPr>
          <w:spacing w:val="-2"/>
          <w:sz w:val="18"/>
        </w:rPr>
        <w:t>nationality.</w:t>
      </w:r>
    </w:p>
    <w:p>
      <w:pPr>
        <w:pStyle w:val="ListParagraph"/>
        <w:numPr>
          <w:ilvl w:val="0"/>
          <w:numId w:val="9"/>
        </w:numPr>
        <w:tabs>
          <w:tab w:pos="1853" w:val="left" w:leader="none"/>
        </w:tabs>
        <w:spacing w:line="216" w:lineRule="exact" w:before="0" w:after="0"/>
        <w:ind w:left="1853" w:right="0" w:hanging="720"/>
        <w:jc w:val="left"/>
        <w:rPr>
          <w:sz w:val="18"/>
        </w:rPr>
      </w:pPr>
      <w:r>
        <w:rPr>
          <w:sz w:val="18"/>
        </w:rPr>
        <w:t>Equality</w:t>
      </w:r>
      <w:r>
        <w:rPr>
          <w:spacing w:val="-6"/>
          <w:sz w:val="18"/>
        </w:rPr>
        <w:t> </w:t>
      </w:r>
      <w:r>
        <w:rPr>
          <w:sz w:val="18"/>
        </w:rPr>
        <w:t>Commission</w:t>
      </w:r>
      <w:r>
        <w:rPr>
          <w:spacing w:val="-7"/>
          <w:sz w:val="18"/>
        </w:rPr>
        <w:t> </w:t>
      </w:r>
      <w:r>
        <w:rPr>
          <w:sz w:val="18"/>
        </w:rPr>
        <w:t>for</w:t>
      </w:r>
      <w:r>
        <w:rPr>
          <w:spacing w:val="-5"/>
          <w:sz w:val="18"/>
        </w:rPr>
        <w:t> </w:t>
      </w:r>
      <w:r>
        <w:rPr>
          <w:sz w:val="18"/>
        </w:rPr>
        <w:t>NI,</w:t>
      </w:r>
      <w:r>
        <w:rPr>
          <w:spacing w:val="-6"/>
          <w:sz w:val="18"/>
        </w:rPr>
        <w:t> </w:t>
      </w:r>
      <w:r>
        <w:rPr>
          <w:sz w:val="18"/>
        </w:rPr>
        <w:t>‘</w:t>
      </w:r>
      <w:hyperlink r:id="rId136">
        <w:r>
          <w:rPr>
            <w:sz w:val="18"/>
          </w:rPr>
          <w:t>Race</w:t>
        </w:r>
        <w:r>
          <w:rPr>
            <w:spacing w:val="-6"/>
            <w:sz w:val="18"/>
          </w:rPr>
          <w:t> </w:t>
        </w:r>
        <w:r>
          <w:rPr>
            <w:sz w:val="18"/>
          </w:rPr>
          <w:t>Law</w:t>
        </w:r>
        <w:r>
          <w:rPr>
            <w:spacing w:val="-5"/>
            <w:sz w:val="18"/>
          </w:rPr>
          <w:t> </w:t>
        </w:r>
        <w:r>
          <w:rPr>
            <w:sz w:val="18"/>
          </w:rPr>
          <w:t>Reform:</w:t>
        </w:r>
        <w:r>
          <w:rPr>
            <w:spacing w:val="-6"/>
            <w:sz w:val="18"/>
          </w:rPr>
          <w:t> </w:t>
        </w:r>
        <w:r>
          <w:rPr>
            <w:sz w:val="18"/>
          </w:rPr>
          <w:t>Priorities</w:t>
        </w:r>
        <w:r>
          <w:rPr>
            <w:spacing w:val="-6"/>
            <w:sz w:val="18"/>
          </w:rPr>
          <w:t> </w:t>
        </w:r>
        <w:r>
          <w:rPr>
            <w:sz w:val="18"/>
          </w:rPr>
          <w:t>and</w:t>
        </w:r>
        <w:r>
          <w:rPr>
            <w:spacing w:val="-7"/>
            <w:sz w:val="18"/>
          </w:rPr>
          <w:t> </w:t>
        </w:r>
        <w:r>
          <w:rPr>
            <w:sz w:val="18"/>
          </w:rPr>
          <w:t>Recommendations’</w:t>
        </w:r>
        <w:r>
          <w:rPr>
            <w:spacing w:val="-5"/>
            <w:sz w:val="18"/>
          </w:rPr>
          <w:t> </w:t>
        </w:r>
        <w:r>
          <w:rPr>
            <w:sz w:val="18"/>
          </w:rPr>
          <w:t>(ECNI,</w:t>
        </w:r>
        <w:r>
          <w:rPr>
            <w:spacing w:val="-6"/>
            <w:sz w:val="18"/>
          </w:rPr>
          <w:t> </w:t>
        </w:r>
        <w:r>
          <w:rPr>
            <w:spacing w:val="-2"/>
            <w:sz w:val="18"/>
          </w:rPr>
          <w:t>2022).</w:t>
        </w:r>
      </w:hyperlink>
    </w:p>
    <w:p>
      <w:pPr>
        <w:pStyle w:val="ListParagraph"/>
        <w:numPr>
          <w:ilvl w:val="0"/>
          <w:numId w:val="9"/>
        </w:numPr>
        <w:tabs>
          <w:tab w:pos="1853" w:val="left" w:leader="none"/>
        </w:tabs>
        <w:spacing w:line="216" w:lineRule="exact" w:before="0" w:after="0"/>
        <w:ind w:left="1853" w:right="0" w:hanging="720"/>
        <w:jc w:val="left"/>
        <w:rPr>
          <w:sz w:val="18"/>
        </w:rPr>
      </w:pPr>
      <w:r>
        <w:rPr>
          <w:sz w:val="18"/>
        </w:rPr>
        <w:t>Articles</w:t>
      </w:r>
      <w:r>
        <w:rPr>
          <w:spacing w:val="-4"/>
          <w:sz w:val="18"/>
        </w:rPr>
        <w:t> </w:t>
      </w:r>
      <w:r>
        <w:rPr>
          <w:sz w:val="18"/>
        </w:rPr>
        <w:t>2</w:t>
      </w:r>
      <w:r>
        <w:rPr>
          <w:spacing w:val="-3"/>
          <w:sz w:val="18"/>
        </w:rPr>
        <w:t> </w:t>
      </w:r>
      <w:r>
        <w:rPr>
          <w:sz w:val="18"/>
        </w:rPr>
        <w:t>and</w:t>
      </w:r>
      <w:r>
        <w:rPr>
          <w:spacing w:val="-4"/>
          <w:sz w:val="18"/>
        </w:rPr>
        <w:t> </w:t>
      </w:r>
      <w:r>
        <w:rPr>
          <w:sz w:val="18"/>
        </w:rPr>
        <w:t>13,</w:t>
      </w:r>
      <w:r>
        <w:rPr>
          <w:spacing w:val="-3"/>
          <w:sz w:val="18"/>
        </w:rPr>
        <w:t> </w:t>
      </w:r>
      <w:r>
        <w:rPr>
          <w:sz w:val="18"/>
        </w:rPr>
        <w:t>Windsor</w:t>
      </w:r>
      <w:r>
        <w:rPr>
          <w:spacing w:val="-3"/>
          <w:sz w:val="18"/>
        </w:rPr>
        <w:t> </w:t>
      </w:r>
      <w:r>
        <w:rPr>
          <w:spacing w:val="-2"/>
          <w:sz w:val="18"/>
        </w:rPr>
        <w:t>Framework.</w:t>
      </w:r>
    </w:p>
    <w:p>
      <w:pPr>
        <w:pStyle w:val="ListParagraph"/>
        <w:numPr>
          <w:ilvl w:val="0"/>
          <w:numId w:val="9"/>
        </w:numPr>
        <w:tabs>
          <w:tab w:pos="1853" w:val="left" w:leader="none"/>
        </w:tabs>
        <w:spacing w:line="218" w:lineRule="exact" w:before="0" w:after="0"/>
        <w:ind w:left="1853" w:right="0" w:hanging="720"/>
        <w:jc w:val="left"/>
        <w:rPr>
          <w:sz w:val="18"/>
        </w:rPr>
      </w:pPr>
      <w:r>
        <w:rPr>
          <w:sz w:val="18"/>
        </w:rPr>
        <w:t>Email</w:t>
      </w:r>
      <w:r>
        <w:rPr>
          <w:spacing w:val="-5"/>
          <w:sz w:val="18"/>
        </w:rPr>
        <w:t> </w:t>
      </w:r>
      <w:r>
        <w:rPr>
          <w:sz w:val="18"/>
        </w:rPr>
        <w:t>correspondence</w:t>
      </w:r>
      <w:r>
        <w:rPr>
          <w:spacing w:val="-4"/>
          <w:sz w:val="18"/>
        </w:rPr>
        <w:t> </w:t>
      </w:r>
      <w:r>
        <w:rPr>
          <w:sz w:val="18"/>
        </w:rPr>
        <w:t>from</w:t>
      </w:r>
      <w:r>
        <w:rPr>
          <w:spacing w:val="-4"/>
          <w:sz w:val="18"/>
        </w:rPr>
        <w:t> </w:t>
      </w:r>
      <w:r>
        <w:rPr>
          <w:sz w:val="18"/>
        </w:rPr>
        <w:t>the</w:t>
      </w:r>
      <w:r>
        <w:rPr>
          <w:spacing w:val="-4"/>
          <w:sz w:val="18"/>
        </w:rPr>
        <w:t> </w:t>
      </w:r>
      <w:r>
        <w:rPr>
          <w:sz w:val="18"/>
        </w:rPr>
        <w:t>Executive</w:t>
      </w:r>
      <w:r>
        <w:rPr>
          <w:spacing w:val="-3"/>
          <w:sz w:val="18"/>
        </w:rPr>
        <w:t> </w:t>
      </w:r>
      <w:r>
        <w:rPr>
          <w:sz w:val="18"/>
        </w:rPr>
        <w:t>Office</w:t>
      </w:r>
      <w:r>
        <w:rPr>
          <w:spacing w:val="-4"/>
          <w:sz w:val="18"/>
        </w:rPr>
        <w:t> </w:t>
      </w:r>
      <w:r>
        <w:rPr>
          <w:sz w:val="18"/>
        </w:rPr>
        <w:t>to</w:t>
      </w:r>
      <w:r>
        <w:rPr>
          <w:spacing w:val="-5"/>
          <w:sz w:val="18"/>
        </w:rPr>
        <w:t> </w:t>
      </w:r>
      <w:r>
        <w:rPr>
          <w:sz w:val="18"/>
        </w:rPr>
        <w:t>NI</w:t>
      </w:r>
      <w:r>
        <w:rPr>
          <w:spacing w:val="-4"/>
          <w:sz w:val="18"/>
        </w:rPr>
        <w:t> </w:t>
      </w:r>
      <w:r>
        <w:rPr>
          <w:sz w:val="18"/>
        </w:rPr>
        <w:t>Human</w:t>
      </w:r>
      <w:r>
        <w:rPr>
          <w:spacing w:val="-5"/>
          <w:sz w:val="18"/>
        </w:rPr>
        <w:t> </w:t>
      </w:r>
      <w:r>
        <w:rPr>
          <w:sz w:val="18"/>
        </w:rPr>
        <w:t>Rights</w:t>
      </w:r>
      <w:r>
        <w:rPr>
          <w:spacing w:val="-4"/>
          <w:sz w:val="18"/>
        </w:rPr>
        <w:t> </w:t>
      </w:r>
      <w:r>
        <w:rPr>
          <w:sz w:val="18"/>
        </w:rPr>
        <w:t>Commission,</w:t>
      </w:r>
      <w:r>
        <w:rPr>
          <w:spacing w:val="-4"/>
          <w:sz w:val="18"/>
        </w:rPr>
        <w:t> </w:t>
      </w:r>
      <w:r>
        <w:rPr>
          <w:sz w:val="18"/>
        </w:rPr>
        <w:t>25</w:t>
      </w:r>
      <w:r>
        <w:rPr>
          <w:spacing w:val="-4"/>
          <w:sz w:val="18"/>
        </w:rPr>
        <w:t> </w:t>
      </w:r>
      <w:r>
        <w:rPr>
          <w:sz w:val="18"/>
        </w:rPr>
        <w:t>March</w:t>
      </w:r>
      <w:r>
        <w:rPr>
          <w:spacing w:val="-5"/>
          <w:sz w:val="18"/>
        </w:rPr>
        <w:t> </w:t>
      </w:r>
      <w:r>
        <w:rPr>
          <w:spacing w:val="-2"/>
          <w:sz w:val="18"/>
        </w:rPr>
        <w:t>2024.</w:t>
      </w:r>
    </w:p>
    <w:p>
      <w:pPr>
        <w:spacing w:after="0" w:line="218" w:lineRule="exact"/>
        <w:jc w:val="left"/>
        <w:rPr>
          <w:sz w:val="18"/>
        </w:rPr>
        <w:sectPr>
          <w:pgSz w:w="11910" w:h="16840"/>
          <w:pgMar w:header="496" w:footer="367" w:top="1220" w:bottom="560" w:left="0" w:right="0"/>
        </w:sectPr>
      </w:pPr>
    </w:p>
    <w:p>
      <w:pPr>
        <w:pStyle w:val="BodyText"/>
        <w:spacing w:before="182"/>
      </w:pPr>
    </w:p>
    <w:p>
      <w:pPr>
        <w:pStyle w:val="Heading6"/>
        <w:rPr>
          <w:i/>
        </w:rPr>
      </w:pPr>
      <w:r>
        <w:rPr>
          <w:i/>
          <w:color w:val="67287F"/>
        </w:rPr>
        <w:t>Racial</w:t>
      </w:r>
      <w:r>
        <w:rPr>
          <w:i/>
          <w:color w:val="67287F"/>
          <w:spacing w:val="-7"/>
        </w:rPr>
        <w:t> </w:t>
      </w:r>
      <w:r>
        <w:rPr>
          <w:i/>
          <w:color w:val="67287F"/>
        </w:rPr>
        <w:t>Equality</w:t>
      </w:r>
      <w:r>
        <w:rPr>
          <w:i/>
          <w:color w:val="67287F"/>
          <w:spacing w:val="-6"/>
        </w:rPr>
        <w:t> </w:t>
      </w:r>
      <w:r>
        <w:rPr>
          <w:i/>
          <w:color w:val="67287F"/>
          <w:spacing w:val="-2"/>
        </w:rPr>
        <w:t>Strategy</w:t>
      </w:r>
    </w:p>
    <w:p>
      <w:pPr>
        <w:pStyle w:val="ListParagraph"/>
        <w:numPr>
          <w:ilvl w:val="1"/>
          <w:numId w:val="7"/>
        </w:numPr>
        <w:tabs>
          <w:tab w:pos="1853" w:val="left" w:leader="none"/>
        </w:tabs>
        <w:spacing w:line="225" w:lineRule="auto" w:before="5" w:after="0"/>
        <w:ind w:left="1853" w:right="1359" w:hanging="720"/>
        <w:jc w:val="left"/>
        <w:rPr>
          <w:sz w:val="28"/>
        </w:rPr>
      </w:pPr>
      <w:r>
        <w:rPr>
          <w:sz w:val="28"/>
        </w:rPr>
        <w:t>In August 2023, the Executive Office commissioned an Independent Review of progress on the implementation of the Racial Equality Strategy 2015- 2025.</w:t>
      </w:r>
      <w:r>
        <w:rPr>
          <w:sz w:val="28"/>
          <w:vertAlign w:val="superscript"/>
        </w:rPr>
        <w:t>302</w:t>
      </w:r>
      <w:r>
        <w:rPr>
          <w:sz w:val="28"/>
          <w:vertAlign w:val="baseline"/>
        </w:rPr>
        <w:t> In November 2023, the NIHRC met with the Independent Review team</w:t>
      </w:r>
      <w:r>
        <w:rPr>
          <w:spacing w:val="-6"/>
          <w:sz w:val="28"/>
          <w:vertAlign w:val="baseline"/>
        </w:rPr>
        <w:t> </w:t>
      </w:r>
      <w:r>
        <w:rPr>
          <w:sz w:val="28"/>
          <w:vertAlign w:val="baseline"/>
        </w:rPr>
        <w:t>and</w:t>
      </w:r>
      <w:r>
        <w:rPr>
          <w:spacing w:val="-7"/>
          <w:sz w:val="28"/>
          <w:vertAlign w:val="baseline"/>
        </w:rPr>
        <w:t> </w:t>
      </w:r>
      <w:r>
        <w:rPr>
          <w:sz w:val="28"/>
          <w:vertAlign w:val="baseline"/>
        </w:rPr>
        <w:t>raised</w:t>
      </w:r>
      <w:r>
        <w:rPr>
          <w:spacing w:val="-7"/>
          <w:sz w:val="28"/>
          <w:vertAlign w:val="baseline"/>
        </w:rPr>
        <w:t> </w:t>
      </w:r>
      <w:r>
        <w:rPr>
          <w:sz w:val="28"/>
          <w:vertAlign w:val="baseline"/>
        </w:rPr>
        <w:t>several</w:t>
      </w:r>
      <w:r>
        <w:rPr>
          <w:spacing w:val="-7"/>
          <w:sz w:val="28"/>
          <w:vertAlign w:val="baseline"/>
        </w:rPr>
        <w:t> </w:t>
      </w:r>
      <w:r>
        <w:rPr>
          <w:sz w:val="28"/>
          <w:vertAlign w:val="baseline"/>
        </w:rPr>
        <w:t>issues</w:t>
      </w:r>
      <w:r>
        <w:rPr>
          <w:spacing w:val="-7"/>
          <w:sz w:val="28"/>
          <w:vertAlign w:val="baseline"/>
        </w:rPr>
        <w:t> </w:t>
      </w:r>
      <w:r>
        <w:rPr>
          <w:sz w:val="28"/>
          <w:vertAlign w:val="baseline"/>
        </w:rPr>
        <w:t>including</w:t>
      </w:r>
      <w:r>
        <w:rPr>
          <w:spacing w:val="-6"/>
          <w:sz w:val="28"/>
          <w:vertAlign w:val="baseline"/>
        </w:rPr>
        <w:t> </w:t>
      </w:r>
      <w:r>
        <w:rPr>
          <w:sz w:val="28"/>
          <w:vertAlign w:val="baseline"/>
        </w:rPr>
        <w:t>ethnic</w:t>
      </w:r>
      <w:r>
        <w:rPr>
          <w:spacing w:val="-6"/>
          <w:sz w:val="28"/>
          <w:vertAlign w:val="baseline"/>
        </w:rPr>
        <w:t> </w:t>
      </w:r>
      <w:r>
        <w:rPr>
          <w:sz w:val="28"/>
          <w:vertAlign w:val="baseline"/>
        </w:rPr>
        <w:t>equality</w:t>
      </w:r>
      <w:r>
        <w:rPr>
          <w:spacing w:val="-6"/>
          <w:sz w:val="28"/>
          <w:vertAlign w:val="baseline"/>
        </w:rPr>
        <w:t> </w:t>
      </w:r>
      <w:r>
        <w:rPr>
          <w:sz w:val="28"/>
          <w:vertAlign w:val="baseline"/>
        </w:rPr>
        <w:t>monitoring,</w:t>
      </w:r>
      <w:r>
        <w:rPr>
          <w:spacing w:val="-6"/>
          <w:sz w:val="28"/>
          <w:vertAlign w:val="baseline"/>
        </w:rPr>
        <w:t> </w:t>
      </w:r>
      <w:r>
        <w:rPr>
          <w:sz w:val="28"/>
          <w:vertAlign w:val="baseline"/>
        </w:rPr>
        <w:t>multiple intersectional discrimination, racial profiling and the UK Government and NI Executive’s commitment under Windsor Framework Article 2, particularly</w:t>
      </w:r>
    </w:p>
    <w:p>
      <w:pPr>
        <w:pStyle w:val="BodyText"/>
        <w:spacing w:line="225" w:lineRule="auto"/>
        <w:ind w:left="1853" w:right="1171"/>
      </w:pPr>
      <w:r>
        <w:rPr/>
        <w:t>in</w:t>
      </w:r>
      <w:r>
        <w:rPr>
          <w:spacing w:val="-6"/>
        </w:rPr>
        <w:t> </w:t>
      </w:r>
      <w:r>
        <w:rPr/>
        <w:t>relation</w:t>
      </w:r>
      <w:r>
        <w:rPr>
          <w:spacing w:val="-6"/>
        </w:rPr>
        <w:t> </w:t>
      </w:r>
      <w:r>
        <w:rPr/>
        <w:t>to</w:t>
      </w:r>
      <w:r>
        <w:rPr>
          <w:spacing w:val="-6"/>
        </w:rPr>
        <w:t> </w:t>
      </w:r>
      <w:r>
        <w:rPr/>
        <w:t>the</w:t>
      </w:r>
      <w:r>
        <w:rPr>
          <w:spacing w:val="-5"/>
        </w:rPr>
        <w:t> </w:t>
      </w:r>
      <w:r>
        <w:rPr/>
        <w:t>obligation</w:t>
      </w:r>
      <w:r>
        <w:rPr>
          <w:spacing w:val="-6"/>
        </w:rPr>
        <w:t> </w:t>
      </w:r>
      <w:r>
        <w:rPr/>
        <w:t>to</w:t>
      </w:r>
      <w:r>
        <w:rPr>
          <w:spacing w:val="-6"/>
        </w:rPr>
        <w:t> </w:t>
      </w:r>
      <w:r>
        <w:rPr/>
        <w:t>‘keep</w:t>
      </w:r>
      <w:r>
        <w:rPr>
          <w:spacing w:val="-6"/>
        </w:rPr>
        <w:t> </w:t>
      </w:r>
      <w:r>
        <w:rPr/>
        <w:t>pace’</w:t>
      </w:r>
      <w:r>
        <w:rPr>
          <w:spacing w:val="-5"/>
        </w:rPr>
        <w:t> </w:t>
      </w:r>
      <w:r>
        <w:rPr/>
        <w:t>with</w:t>
      </w:r>
      <w:r>
        <w:rPr>
          <w:spacing w:val="-6"/>
        </w:rPr>
        <w:t> </w:t>
      </w:r>
      <w:r>
        <w:rPr/>
        <w:t>the</w:t>
      </w:r>
      <w:r>
        <w:rPr>
          <w:spacing w:val="-5"/>
        </w:rPr>
        <w:t> </w:t>
      </w:r>
      <w:r>
        <w:rPr/>
        <w:t>EU</w:t>
      </w:r>
      <w:r>
        <w:rPr>
          <w:spacing w:val="-5"/>
        </w:rPr>
        <w:t> </w:t>
      </w:r>
      <w:r>
        <w:rPr/>
        <w:t>Racial</w:t>
      </w:r>
      <w:r>
        <w:rPr>
          <w:spacing w:val="-6"/>
        </w:rPr>
        <w:t> </w:t>
      </w:r>
      <w:r>
        <w:rPr/>
        <w:t>Equality </w:t>
      </w:r>
      <w:r>
        <w:rPr>
          <w:spacing w:val="-2"/>
        </w:rPr>
        <w:t>Directive.</w:t>
      </w:r>
      <w:r>
        <w:rPr>
          <w:spacing w:val="-2"/>
          <w:vertAlign w:val="superscript"/>
        </w:rPr>
        <w:t>303</w:t>
      </w:r>
    </w:p>
    <w:p>
      <w:pPr>
        <w:pStyle w:val="ListParagraph"/>
        <w:numPr>
          <w:ilvl w:val="1"/>
          <w:numId w:val="7"/>
        </w:numPr>
        <w:tabs>
          <w:tab w:pos="1853" w:val="left" w:leader="none"/>
        </w:tabs>
        <w:spacing w:line="225" w:lineRule="auto" w:before="310" w:after="0"/>
        <w:ind w:left="1853" w:right="1156" w:hanging="720"/>
        <w:jc w:val="left"/>
        <w:rPr>
          <w:sz w:val="28"/>
        </w:rPr>
      </w:pPr>
      <w:r>
        <w:rPr>
          <w:sz w:val="28"/>
        </w:rPr>
        <w:t>The</w:t>
      </w:r>
      <w:r>
        <w:rPr>
          <w:spacing w:val="-7"/>
          <w:sz w:val="28"/>
        </w:rPr>
        <w:t> </w:t>
      </w:r>
      <w:r>
        <w:rPr>
          <w:sz w:val="28"/>
        </w:rPr>
        <w:t>ECNI’s</w:t>
      </w:r>
      <w:r>
        <w:rPr>
          <w:spacing w:val="-7"/>
          <w:sz w:val="28"/>
        </w:rPr>
        <w:t> </w:t>
      </w:r>
      <w:r>
        <w:rPr>
          <w:sz w:val="28"/>
        </w:rPr>
        <w:t>policy</w:t>
      </w:r>
      <w:r>
        <w:rPr>
          <w:spacing w:val="-7"/>
          <w:sz w:val="28"/>
        </w:rPr>
        <w:t> </w:t>
      </w:r>
      <w:r>
        <w:rPr>
          <w:sz w:val="28"/>
        </w:rPr>
        <w:t>recommendations</w:t>
      </w:r>
      <w:r>
        <w:rPr>
          <w:spacing w:val="-7"/>
          <w:sz w:val="28"/>
        </w:rPr>
        <w:t> </w:t>
      </w:r>
      <w:r>
        <w:rPr>
          <w:sz w:val="28"/>
        </w:rPr>
        <w:t>on</w:t>
      </w:r>
      <w:r>
        <w:rPr>
          <w:spacing w:val="-7"/>
          <w:sz w:val="28"/>
        </w:rPr>
        <w:t> </w:t>
      </w:r>
      <w:r>
        <w:rPr>
          <w:sz w:val="28"/>
        </w:rPr>
        <w:t>the</w:t>
      </w:r>
      <w:r>
        <w:rPr>
          <w:spacing w:val="-7"/>
          <w:sz w:val="28"/>
        </w:rPr>
        <w:t> </w:t>
      </w:r>
      <w:r>
        <w:rPr>
          <w:sz w:val="28"/>
        </w:rPr>
        <w:t>Impact</w:t>
      </w:r>
      <w:r>
        <w:rPr>
          <w:spacing w:val="-7"/>
          <w:sz w:val="28"/>
        </w:rPr>
        <w:t> </w:t>
      </w:r>
      <w:r>
        <w:rPr>
          <w:sz w:val="28"/>
        </w:rPr>
        <w:t>of</w:t>
      </w:r>
      <w:r>
        <w:rPr>
          <w:spacing w:val="-7"/>
          <w:sz w:val="28"/>
        </w:rPr>
        <w:t> </w:t>
      </w:r>
      <w:r>
        <w:rPr>
          <w:sz w:val="28"/>
        </w:rPr>
        <w:t>Brexit</w:t>
      </w:r>
      <w:r>
        <w:rPr>
          <w:spacing w:val="-7"/>
          <w:sz w:val="28"/>
        </w:rPr>
        <w:t> </w:t>
      </w:r>
      <w:r>
        <w:rPr>
          <w:sz w:val="28"/>
        </w:rPr>
        <w:t>on</w:t>
      </w:r>
      <w:r>
        <w:rPr>
          <w:spacing w:val="-7"/>
          <w:sz w:val="28"/>
        </w:rPr>
        <w:t> </w:t>
      </w:r>
      <w:r>
        <w:rPr>
          <w:sz w:val="28"/>
        </w:rPr>
        <w:t>Minority</w:t>
      </w:r>
      <w:r>
        <w:rPr>
          <w:spacing w:val="-7"/>
          <w:sz w:val="28"/>
        </w:rPr>
        <w:t> </w:t>
      </w:r>
      <w:r>
        <w:rPr>
          <w:sz w:val="28"/>
        </w:rPr>
        <w:t>Ethnic and Migrant People in NI noted that the current Racial Equality Strategy, as</w:t>
      </w:r>
    </w:p>
    <w:p>
      <w:pPr>
        <w:pStyle w:val="BodyText"/>
        <w:spacing w:line="225" w:lineRule="auto"/>
        <w:ind w:left="1853" w:right="1171"/>
      </w:pPr>
      <w:r>
        <w:rPr/>
        <w:t>it</w:t>
      </w:r>
      <w:r>
        <w:rPr>
          <w:spacing w:val="-6"/>
        </w:rPr>
        <w:t> </w:t>
      </w:r>
      <w:r>
        <w:rPr/>
        <w:t>predates</w:t>
      </w:r>
      <w:r>
        <w:rPr>
          <w:spacing w:val="-7"/>
        </w:rPr>
        <w:t> </w:t>
      </w:r>
      <w:r>
        <w:rPr/>
        <w:t>Brexit,</w:t>
      </w:r>
      <w:r>
        <w:rPr>
          <w:spacing w:val="-6"/>
        </w:rPr>
        <w:t> </w:t>
      </w:r>
      <w:r>
        <w:rPr/>
        <w:t>did</w:t>
      </w:r>
      <w:r>
        <w:rPr>
          <w:spacing w:val="-7"/>
        </w:rPr>
        <w:t> </w:t>
      </w:r>
      <w:r>
        <w:rPr/>
        <w:t>not</w:t>
      </w:r>
      <w:r>
        <w:rPr>
          <w:spacing w:val="-6"/>
        </w:rPr>
        <w:t> </w:t>
      </w:r>
      <w:r>
        <w:rPr/>
        <w:t>take</w:t>
      </w:r>
      <w:r>
        <w:rPr>
          <w:spacing w:val="-6"/>
        </w:rPr>
        <w:t> </w:t>
      </w:r>
      <w:r>
        <w:rPr/>
        <w:t>account</w:t>
      </w:r>
      <w:r>
        <w:rPr>
          <w:spacing w:val="-6"/>
        </w:rPr>
        <w:t> </w:t>
      </w:r>
      <w:r>
        <w:rPr/>
        <w:t>of</w:t>
      </w:r>
      <w:r>
        <w:rPr>
          <w:spacing w:val="-7"/>
        </w:rPr>
        <w:t> </w:t>
      </w:r>
      <w:r>
        <w:rPr/>
        <w:t>the</w:t>
      </w:r>
      <w:r>
        <w:rPr>
          <w:spacing w:val="-6"/>
        </w:rPr>
        <w:t> </w:t>
      </w:r>
      <w:r>
        <w:rPr/>
        <w:t>impact</w:t>
      </w:r>
      <w:r>
        <w:rPr>
          <w:spacing w:val="-6"/>
        </w:rPr>
        <w:t> </w:t>
      </w:r>
      <w:r>
        <w:rPr/>
        <w:t>of</w:t>
      </w:r>
      <w:r>
        <w:rPr>
          <w:spacing w:val="-7"/>
        </w:rPr>
        <w:t> </w:t>
      </w:r>
      <w:r>
        <w:rPr/>
        <w:t>Brexit</w:t>
      </w:r>
      <w:r>
        <w:rPr>
          <w:spacing w:val="-6"/>
        </w:rPr>
        <w:t> </w:t>
      </w:r>
      <w:r>
        <w:rPr/>
        <w:t>on</w:t>
      </w:r>
      <w:r>
        <w:rPr>
          <w:spacing w:val="-7"/>
        </w:rPr>
        <w:t> </w:t>
      </w:r>
      <w:r>
        <w:rPr/>
        <w:t>minority ethnic and migrant people in NI.</w:t>
      </w:r>
      <w:r>
        <w:rPr>
          <w:vertAlign w:val="superscript"/>
        </w:rPr>
        <w:t>304</w:t>
      </w:r>
    </w:p>
    <w:p>
      <w:pPr>
        <w:pStyle w:val="ListParagraph"/>
        <w:numPr>
          <w:ilvl w:val="1"/>
          <w:numId w:val="7"/>
        </w:numPr>
        <w:tabs>
          <w:tab w:pos="1853" w:val="left" w:leader="none"/>
        </w:tabs>
        <w:spacing w:line="225" w:lineRule="auto" w:before="315" w:after="0"/>
        <w:ind w:left="1853" w:right="2168" w:hanging="720"/>
        <w:jc w:val="left"/>
        <w:rPr>
          <w:sz w:val="28"/>
        </w:rPr>
      </w:pPr>
      <w:r>
        <w:rPr>
          <w:sz w:val="28"/>
        </w:rPr>
        <w:t>The</w:t>
      </w:r>
      <w:r>
        <w:rPr>
          <w:spacing w:val="-6"/>
          <w:sz w:val="28"/>
        </w:rPr>
        <w:t> </w:t>
      </w:r>
      <w:r>
        <w:rPr>
          <w:sz w:val="28"/>
        </w:rPr>
        <w:t>ECNI</w:t>
      </w:r>
      <w:r>
        <w:rPr>
          <w:spacing w:val="-6"/>
          <w:sz w:val="28"/>
        </w:rPr>
        <w:t> </w:t>
      </w:r>
      <w:r>
        <w:rPr>
          <w:sz w:val="28"/>
        </w:rPr>
        <w:t>has</w:t>
      </w:r>
      <w:r>
        <w:rPr>
          <w:spacing w:val="-7"/>
          <w:sz w:val="28"/>
        </w:rPr>
        <w:t> </w:t>
      </w:r>
      <w:r>
        <w:rPr>
          <w:sz w:val="28"/>
        </w:rPr>
        <w:t>highlighted</w:t>
      </w:r>
      <w:r>
        <w:rPr>
          <w:spacing w:val="-7"/>
          <w:sz w:val="28"/>
        </w:rPr>
        <w:t> </w:t>
      </w:r>
      <w:r>
        <w:rPr>
          <w:sz w:val="28"/>
        </w:rPr>
        <w:t>that</w:t>
      </w:r>
      <w:r>
        <w:rPr>
          <w:spacing w:val="-6"/>
          <w:sz w:val="28"/>
        </w:rPr>
        <w:t> </w:t>
      </w:r>
      <w:r>
        <w:rPr>
          <w:sz w:val="28"/>
        </w:rPr>
        <w:t>it</w:t>
      </w:r>
      <w:r>
        <w:rPr>
          <w:spacing w:val="-6"/>
          <w:sz w:val="28"/>
        </w:rPr>
        <w:t> </w:t>
      </w:r>
      <w:r>
        <w:rPr>
          <w:sz w:val="28"/>
        </w:rPr>
        <w:t>is</w:t>
      </w:r>
      <w:r>
        <w:rPr>
          <w:spacing w:val="-7"/>
          <w:sz w:val="28"/>
        </w:rPr>
        <w:t> </w:t>
      </w:r>
      <w:r>
        <w:rPr>
          <w:sz w:val="28"/>
        </w:rPr>
        <w:t>vital</w:t>
      </w:r>
      <w:r>
        <w:rPr>
          <w:spacing w:val="-7"/>
          <w:sz w:val="28"/>
        </w:rPr>
        <w:t> </w:t>
      </w:r>
      <w:r>
        <w:rPr>
          <w:sz w:val="28"/>
        </w:rPr>
        <w:t>that</w:t>
      </w:r>
      <w:r>
        <w:rPr>
          <w:spacing w:val="-6"/>
          <w:sz w:val="28"/>
        </w:rPr>
        <w:t> </w:t>
      </w:r>
      <w:r>
        <w:rPr>
          <w:sz w:val="28"/>
        </w:rPr>
        <w:t>the</w:t>
      </w:r>
      <w:r>
        <w:rPr>
          <w:spacing w:val="-6"/>
          <w:sz w:val="28"/>
        </w:rPr>
        <w:t> </w:t>
      </w:r>
      <w:r>
        <w:rPr>
          <w:sz w:val="28"/>
        </w:rPr>
        <w:t>review</w:t>
      </w:r>
      <w:r>
        <w:rPr>
          <w:spacing w:val="-6"/>
          <w:sz w:val="28"/>
        </w:rPr>
        <w:t> </w:t>
      </w:r>
      <w:r>
        <w:rPr>
          <w:sz w:val="28"/>
        </w:rPr>
        <w:t>and</w:t>
      </w:r>
      <w:r>
        <w:rPr>
          <w:spacing w:val="-7"/>
          <w:sz w:val="28"/>
        </w:rPr>
        <w:t> </w:t>
      </w:r>
      <w:r>
        <w:rPr>
          <w:sz w:val="28"/>
        </w:rPr>
        <w:t>evaluation of</w:t>
      </w:r>
      <w:r>
        <w:rPr>
          <w:spacing w:val="-7"/>
          <w:sz w:val="28"/>
        </w:rPr>
        <w:t> </w:t>
      </w:r>
      <w:r>
        <w:rPr>
          <w:sz w:val="28"/>
        </w:rPr>
        <w:t>the</w:t>
      </w:r>
      <w:r>
        <w:rPr>
          <w:spacing w:val="-6"/>
          <w:sz w:val="28"/>
        </w:rPr>
        <w:t> </w:t>
      </w:r>
      <w:r>
        <w:rPr>
          <w:sz w:val="28"/>
        </w:rPr>
        <w:t>current</w:t>
      </w:r>
      <w:r>
        <w:rPr>
          <w:spacing w:val="-6"/>
          <w:sz w:val="28"/>
        </w:rPr>
        <w:t> </w:t>
      </w:r>
      <w:r>
        <w:rPr>
          <w:sz w:val="28"/>
        </w:rPr>
        <w:t>Racial</w:t>
      </w:r>
      <w:r>
        <w:rPr>
          <w:spacing w:val="-7"/>
          <w:sz w:val="28"/>
        </w:rPr>
        <w:t> </w:t>
      </w:r>
      <w:r>
        <w:rPr>
          <w:sz w:val="28"/>
        </w:rPr>
        <w:t>Equality</w:t>
      </w:r>
      <w:r>
        <w:rPr>
          <w:spacing w:val="-6"/>
          <w:sz w:val="28"/>
        </w:rPr>
        <w:t> </w:t>
      </w:r>
      <w:r>
        <w:rPr>
          <w:sz w:val="28"/>
        </w:rPr>
        <w:t>Strategy,</w:t>
      </w:r>
      <w:r>
        <w:rPr>
          <w:spacing w:val="-6"/>
          <w:sz w:val="28"/>
        </w:rPr>
        <w:t> </w:t>
      </w:r>
      <w:r>
        <w:rPr>
          <w:sz w:val="28"/>
        </w:rPr>
        <w:t>and</w:t>
      </w:r>
      <w:r>
        <w:rPr>
          <w:spacing w:val="-7"/>
          <w:sz w:val="28"/>
        </w:rPr>
        <w:t> </w:t>
      </w:r>
      <w:r>
        <w:rPr>
          <w:sz w:val="28"/>
        </w:rPr>
        <w:t>that</w:t>
      </w:r>
      <w:r>
        <w:rPr>
          <w:spacing w:val="-6"/>
          <w:sz w:val="28"/>
        </w:rPr>
        <w:t> </w:t>
      </w:r>
      <w:r>
        <w:rPr>
          <w:sz w:val="28"/>
        </w:rPr>
        <w:t>the</w:t>
      </w:r>
      <w:r>
        <w:rPr>
          <w:spacing w:val="-6"/>
          <w:sz w:val="28"/>
        </w:rPr>
        <w:t> </w:t>
      </w:r>
      <w:r>
        <w:rPr>
          <w:sz w:val="28"/>
        </w:rPr>
        <w:t>development</w:t>
      </w:r>
      <w:r>
        <w:rPr>
          <w:spacing w:val="-6"/>
          <w:sz w:val="28"/>
        </w:rPr>
        <w:t> </w:t>
      </w:r>
      <w:r>
        <w:rPr>
          <w:sz w:val="28"/>
        </w:rPr>
        <w:t>and</w:t>
      </w:r>
    </w:p>
    <w:p>
      <w:pPr>
        <w:pStyle w:val="BodyText"/>
        <w:spacing w:line="225" w:lineRule="auto"/>
        <w:ind w:left="1853" w:right="1171"/>
      </w:pPr>
      <w:r>
        <w:rPr/>
        <w:t>implementation</w:t>
      </w:r>
      <w:r>
        <w:rPr>
          <w:spacing w:val="-9"/>
        </w:rPr>
        <w:t> </w:t>
      </w:r>
      <w:r>
        <w:rPr/>
        <w:t>of</w:t>
      </w:r>
      <w:r>
        <w:rPr>
          <w:spacing w:val="-9"/>
        </w:rPr>
        <w:t> </w:t>
      </w:r>
      <w:r>
        <w:rPr/>
        <w:t>a</w:t>
      </w:r>
      <w:r>
        <w:rPr>
          <w:spacing w:val="-9"/>
        </w:rPr>
        <w:t> </w:t>
      </w:r>
      <w:r>
        <w:rPr/>
        <w:t>revised</w:t>
      </w:r>
      <w:r>
        <w:rPr>
          <w:spacing w:val="-9"/>
        </w:rPr>
        <w:t> </w:t>
      </w:r>
      <w:r>
        <w:rPr/>
        <w:t>Strategy</w:t>
      </w:r>
      <w:r>
        <w:rPr>
          <w:spacing w:val="-8"/>
        </w:rPr>
        <w:t> </w:t>
      </w:r>
      <w:r>
        <w:rPr/>
        <w:t>and</w:t>
      </w:r>
      <w:r>
        <w:rPr>
          <w:spacing w:val="-9"/>
        </w:rPr>
        <w:t> </w:t>
      </w:r>
      <w:r>
        <w:rPr/>
        <w:t>action</w:t>
      </w:r>
      <w:r>
        <w:rPr>
          <w:spacing w:val="-9"/>
        </w:rPr>
        <w:t> </w:t>
      </w:r>
      <w:r>
        <w:rPr/>
        <w:t>plan,</w:t>
      </w:r>
      <w:r>
        <w:rPr>
          <w:spacing w:val="-8"/>
        </w:rPr>
        <w:t> </w:t>
      </w:r>
      <w:r>
        <w:rPr/>
        <w:t>following</w:t>
      </w:r>
      <w:r>
        <w:rPr>
          <w:spacing w:val="-8"/>
        </w:rPr>
        <w:t> </w:t>
      </w:r>
      <w:r>
        <w:rPr/>
        <w:t>its</w:t>
      </w:r>
      <w:r>
        <w:rPr>
          <w:spacing w:val="-9"/>
        </w:rPr>
        <w:t> </w:t>
      </w:r>
      <w:r>
        <w:rPr/>
        <w:t>expiration at the end of 2025, should address the ECNI’s recommendations relating to the impact of Brexit on minority ethnic and migrant people, as well as the ECNI’s non-Brexit related recommendations and concerns regarding the </w:t>
      </w:r>
      <w:r>
        <w:rPr>
          <w:spacing w:val="-2"/>
        </w:rPr>
        <w:t>Strategy.</w:t>
      </w:r>
      <w:r>
        <w:rPr>
          <w:spacing w:val="-2"/>
          <w:vertAlign w:val="superscript"/>
        </w:rPr>
        <w:t>305</w:t>
      </w:r>
    </w:p>
    <w:p>
      <w:pPr>
        <w:pStyle w:val="ListParagraph"/>
        <w:numPr>
          <w:ilvl w:val="1"/>
          <w:numId w:val="7"/>
        </w:numPr>
        <w:tabs>
          <w:tab w:pos="1853" w:val="left" w:leader="none"/>
        </w:tabs>
        <w:spacing w:line="225" w:lineRule="auto" w:before="311" w:after="0"/>
        <w:ind w:left="1853" w:right="1464" w:hanging="720"/>
        <w:jc w:val="left"/>
        <w:rPr>
          <w:sz w:val="28"/>
        </w:rPr>
      </w:pPr>
      <w:r>
        <w:rPr>
          <w:sz w:val="28"/>
        </w:rPr>
        <w:t>The ECNI has set out a framework for action, which is aimed at ensuring an effective</w:t>
      </w:r>
      <w:r>
        <w:rPr>
          <w:spacing w:val="-2"/>
          <w:sz w:val="28"/>
        </w:rPr>
        <w:t> </w:t>
      </w:r>
      <w:r>
        <w:rPr>
          <w:sz w:val="28"/>
        </w:rPr>
        <w:t>approach</w:t>
      </w:r>
      <w:r>
        <w:rPr>
          <w:spacing w:val="-3"/>
          <w:sz w:val="28"/>
        </w:rPr>
        <w:t> </w:t>
      </w:r>
      <w:r>
        <w:rPr>
          <w:sz w:val="28"/>
        </w:rPr>
        <w:t>to</w:t>
      </w:r>
      <w:r>
        <w:rPr>
          <w:spacing w:val="-3"/>
          <w:sz w:val="28"/>
        </w:rPr>
        <w:t> </w:t>
      </w:r>
      <w:r>
        <w:rPr>
          <w:sz w:val="28"/>
        </w:rPr>
        <w:t>addressing</w:t>
      </w:r>
      <w:r>
        <w:rPr>
          <w:spacing w:val="-2"/>
          <w:sz w:val="28"/>
        </w:rPr>
        <w:t> </w:t>
      </w:r>
      <w:r>
        <w:rPr>
          <w:sz w:val="28"/>
        </w:rPr>
        <w:t>its</w:t>
      </w:r>
      <w:r>
        <w:rPr>
          <w:spacing w:val="-3"/>
          <w:sz w:val="28"/>
        </w:rPr>
        <w:t> </w:t>
      </w:r>
      <w:r>
        <w:rPr>
          <w:sz w:val="28"/>
        </w:rPr>
        <w:t>recommendations</w:t>
      </w:r>
      <w:r>
        <w:rPr>
          <w:spacing w:val="-3"/>
          <w:sz w:val="28"/>
        </w:rPr>
        <w:t> </w:t>
      </w:r>
      <w:r>
        <w:rPr>
          <w:sz w:val="28"/>
        </w:rPr>
        <w:t>and</w:t>
      </w:r>
      <w:r>
        <w:rPr>
          <w:spacing w:val="-3"/>
          <w:sz w:val="28"/>
        </w:rPr>
        <w:t> </w:t>
      </w:r>
      <w:r>
        <w:rPr>
          <w:sz w:val="28"/>
        </w:rPr>
        <w:t>to</w:t>
      </w:r>
      <w:r>
        <w:rPr>
          <w:spacing w:val="-3"/>
          <w:sz w:val="28"/>
        </w:rPr>
        <w:t> </w:t>
      </w:r>
      <w:r>
        <w:rPr>
          <w:sz w:val="28"/>
        </w:rPr>
        <w:t>ensuring</w:t>
      </w:r>
      <w:r>
        <w:rPr>
          <w:spacing w:val="-2"/>
          <w:sz w:val="28"/>
        </w:rPr>
        <w:t> </w:t>
      </w:r>
      <w:r>
        <w:rPr>
          <w:sz w:val="28"/>
        </w:rPr>
        <w:t>that promoting racial equality post Brexit is, and continues to be, a priority for Government.</w:t>
      </w:r>
      <w:r>
        <w:rPr>
          <w:spacing w:val="40"/>
          <w:sz w:val="28"/>
        </w:rPr>
        <w:t> </w:t>
      </w:r>
      <w:r>
        <w:rPr>
          <w:sz w:val="28"/>
        </w:rPr>
        <w:t>This</w:t>
      </w:r>
      <w:r>
        <w:rPr>
          <w:spacing w:val="-9"/>
          <w:sz w:val="28"/>
        </w:rPr>
        <w:t> </w:t>
      </w:r>
      <w:r>
        <w:rPr>
          <w:sz w:val="28"/>
        </w:rPr>
        <w:t>includes</w:t>
      </w:r>
      <w:r>
        <w:rPr>
          <w:spacing w:val="-9"/>
          <w:sz w:val="28"/>
        </w:rPr>
        <w:t> </w:t>
      </w:r>
      <w:r>
        <w:rPr>
          <w:sz w:val="28"/>
        </w:rPr>
        <w:t>overarching</w:t>
      </w:r>
      <w:r>
        <w:rPr>
          <w:spacing w:val="-8"/>
          <w:sz w:val="28"/>
        </w:rPr>
        <w:t> </w:t>
      </w:r>
      <w:r>
        <w:rPr>
          <w:sz w:val="28"/>
        </w:rPr>
        <w:t>recommendations</w:t>
      </w:r>
      <w:r>
        <w:rPr>
          <w:spacing w:val="-9"/>
          <w:sz w:val="28"/>
        </w:rPr>
        <w:t> </w:t>
      </w:r>
      <w:r>
        <w:rPr>
          <w:sz w:val="28"/>
        </w:rPr>
        <w:t>in</w:t>
      </w:r>
      <w:r>
        <w:rPr>
          <w:spacing w:val="-9"/>
          <w:sz w:val="28"/>
        </w:rPr>
        <w:t> </w:t>
      </w:r>
      <w:r>
        <w:rPr>
          <w:sz w:val="28"/>
        </w:rPr>
        <w:t>relation</w:t>
      </w:r>
      <w:r>
        <w:rPr>
          <w:spacing w:val="-9"/>
          <w:sz w:val="28"/>
        </w:rPr>
        <w:t> </w:t>
      </w:r>
      <w:r>
        <w:rPr>
          <w:sz w:val="28"/>
        </w:rPr>
        <w:t>to</w:t>
      </w:r>
      <w:r>
        <w:rPr>
          <w:spacing w:val="-9"/>
          <w:sz w:val="28"/>
        </w:rPr>
        <w:t> </w:t>
      </w:r>
      <w:r>
        <w:rPr>
          <w:sz w:val="28"/>
        </w:rPr>
        <w:t>the need for collaborative working, commitment and leadership; engagement with NI stakeholders; resourcing and equality mainstreaming.</w:t>
      </w:r>
      <w:r>
        <w:rPr>
          <w:sz w:val="28"/>
          <w:vertAlign w:val="superscript"/>
        </w:rPr>
        <w:t>306</w:t>
      </w:r>
    </w:p>
    <w:p>
      <w:pPr>
        <w:pStyle w:val="Heading6"/>
        <w:spacing w:line="240" w:lineRule="auto" w:before="336"/>
        <w:ind w:left="1853"/>
        <w:rPr>
          <w:i/>
        </w:rPr>
      </w:pPr>
      <w:r>
        <w:rPr>
          <w:i/>
          <w:color w:val="67287F"/>
        </w:rPr>
        <w:t>Minority</w:t>
      </w:r>
      <w:r>
        <w:rPr>
          <w:i/>
          <w:color w:val="67287F"/>
          <w:spacing w:val="-8"/>
        </w:rPr>
        <w:t> </w:t>
      </w:r>
      <w:r>
        <w:rPr>
          <w:i/>
          <w:color w:val="67287F"/>
        </w:rPr>
        <w:t>Ethnic</w:t>
      </w:r>
      <w:r>
        <w:rPr>
          <w:i/>
          <w:color w:val="67287F"/>
          <w:spacing w:val="-8"/>
        </w:rPr>
        <w:t> </w:t>
      </w:r>
      <w:r>
        <w:rPr>
          <w:i/>
          <w:color w:val="67287F"/>
        </w:rPr>
        <w:t>Groups/Faith</w:t>
      </w:r>
      <w:r>
        <w:rPr>
          <w:i/>
          <w:color w:val="67287F"/>
          <w:spacing w:val="-7"/>
        </w:rPr>
        <w:t> </w:t>
      </w:r>
      <w:r>
        <w:rPr>
          <w:i/>
          <w:color w:val="67287F"/>
          <w:spacing w:val="-2"/>
        </w:rPr>
        <w:t>Communities</w:t>
      </w:r>
    </w:p>
    <w:p>
      <w:pPr>
        <w:pStyle w:val="ListParagraph"/>
        <w:numPr>
          <w:ilvl w:val="1"/>
          <w:numId w:val="7"/>
        </w:numPr>
        <w:tabs>
          <w:tab w:pos="1853" w:val="left" w:leader="none"/>
        </w:tabs>
        <w:spacing w:line="225" w:lineRule="auto" w:before="34" w:after="0"/>
        <w:ind w:left="1853" w:right="1402" w:hanging="720"/>
        <w:jc w:val="left"/>
        <w:rPr>
          <w:sz w:val="28"/>
        </w:rPr>
      </w:pPr>
      <w:r>
        <w:rPr>
          <w:sz w:val="28"/>
        </w:rPr>
        <w:t>Since</w:t>
      </w:r>
      <w:r>
        <w:rPr>
          <w:spacing w:val="-4"/>
          <w:sz w:val="28"/>
        </w:rPr>
        <w:t> </w:t>
      </w:r>
      <w:r>
        <w:rPr>
          <w:sz w:val="28"/>
        </w:rPr>
        <w:t>2021</w:t>
      </w:r>
      <w:r>
        <w:rPr>
          <w:spacing w:val="-4"/>
          <w:sz w:val="28"/>
        </w:rPr>
        <w:t> </w:t>
      </w:r>
      <w:r>
        <w:rPr>
          <w:sz w:val="28"/>
        </w:rPr>
        <w:t>the</w:t>
      </w:r>
      <w:r>
        <w:rPr>
          <w:spacing w:val="-4"/>
          <w:sz w:val="28"/>
        </w:rPr>
        <w:t> </w:t>
      </w:r>
      <w:r>
        <w:rPr>
          <w:sz w:val="28"/>
        </w:rPr>
        <w:t>Commissions</w:t>
      </w:r>
      <w:r>
        <w:rPr>
          <w:spacing w:val="-5"/>
          <w:sz w:val="28"/>
        </w:rPr>
        <w:t> </w:t>
      </w:r>
      <w:r>
        <w:rPr>
          <w:sz w:val="28"/>
        </w:rPr>
        <w:t>have</w:t>
      </w:r>
      <w:r>
        <w:rPr>
          <w:spacing w:val="-4"/>
          <w:sz w:val="28"/>
        </w:rPr>
        <w:t> </w:t>
      </w:r>
      <w:r>
        <w:rPr>
          <w:sz w:val="28"/>
        </w:rPr>
        <w:t>been</w:t>
      </w:r>
      <w:r>
        <w:rPr>
          <w:spacing w:val="-5"/>
          <w:sz w:val="28"/>
        </w:rPr>
        <w:t> </w:t>
      </w:r>
      <w:r>
        <w:rPr>
          <w:sz w:val="28"/>
        </w:rPr>
        <w:t>raising</w:t>
      </w:r>
      <w:r>
        <w:rPr>
          <w:spacing w:val="-4"/>
          <w:sz w:val="28"/>
        </w:rPr>
        <w:t> </w:t>
      </w:r>
      <w:r>
        <w:rPr>
          <w:sz w:val="28"/>
        </w:rPr>
        <w:t>the</w:t>
      </w:r>
      <w:r>
        <w:rPr>
          <w:spacing w:val="-4"/>
          <w:sz w:val="28"/>
        </w:rPr>
        <w:t> </w:t>
      </w:r>
      <w:r>
        <w:rPr>
          <w:sz w:val="28"/>
        </w:rPr>
        <w:t>issue</w:t>
      </w:r>
      <w:r>
        <w:rPr>
          <w:spacing w:val="-4"/>
          <w:sz w:val="28"/>
        </w:rPr>
        <w:t> </w:t>
      </w:r>
      <w:r>
        <w:rPr>
          <w:sz w:val="28"/>
        </w:rPr>
        <w:t>of</w:t>
      </w:r>
      <w:r>
        <w:rPr>
          <w:spacing w:val="-5"/>
          <w:sz w:val="28"/>
        </w:rPr>
        <w:t> </w:t>
      </w:r>
      <w:r>
        <w:rPr>
          <w:sz w:val="28"/>
        </w:rPr>
        <w:t>access</w:t>
      </w:r>
      <w:r>
        <w:rPr>
          <w:spacing w:val="-5"/>
          <w:sz w:val="28"/>
        </w:rPr>
        <w:t> </w:t>
      </w:r>
      <w:r>
        <w:rPr>
          <w:sz w:val="28"/>
        </w:rPr>
        <w:t>to,</w:t>
      </w:r>
      <w:r>
        <w:rPr>
          <w:spacing w:val="-4"/>
          <w:sz w:val="28"/>
        </w:rPr>
        <w:t> </w:t>
      </w:r>
      <w:r>
        <w:rPr>
          <w:sz w:val="28"/>
        </w:rPr>
        <w:t>as</w:t>
      </w:r>
      <w:r>
        <w:rPr>
          <w:spacing w:val="-5"/>
          <w:sz w:val="28"/>
        </w:rPr>
        <w:t> </w:t>
      </w:r>
      <w:r>
        <w:rPr>
          <w:sz w:val="28"/>
        </w:rPr>
        <w:t>well as cost and availability of, halal and kosher food and ritual items and the impact on certain ethnic minority groups/faith communities in NI.</w:t>
      </w:r>
      <w:r>
        <w:rPr>
          <w:sz w:val="28"/>
          <w:vertAlign w:val="superscript"/>
        </w:rPr>
        <w:t>307</w:t>
      </w:r>
      <w:r>
        <w:rPr>
          <w:sz w:val="28"/>
          <w:vertAlign w:val="baseline"/>
        </w:rPr>
        <w:t> These issues arose in relation to the movement of goods from Great Britain to NI following the UK’s withdrawal from the EU.</w:t>
      </w:r>
      <w:r>
        <w:rPr>
          <w:sz w:val="28"/>
          <w:vertAlign w:val="superscript"/>
        </w:rPr>
        <w:t>308</w:t>
      </w:r>
    </w:p>
    <w:p>
      <w:pPr>
        <w:pStyle w:val="BodyText"/>
        <w:spacing w:before="3"/>
        <w:rPr>
          <w:sz w:val="4"/>
        </w:rPr>
      </w:pPr>
      <w:r>
        <w:rPr/>
        <mc:AlternateContent>
          <mc:Choice Requires="wps">
            <w:drawing>
              <wp:anchor distT="0" distB="0" distL="0" distR="0" allowOverlap="1" layoutInCell="1" locked="0" behindDoc="1" simplePos="0" relativeHeight="487659520">
                <wp:simplePos x="0" y="0"/>
                <wp:positionH relativeFrom="page">
                  <wp:posOffset>719999</wp:posOffset>
                </wp:positionH>
                <wp:positionV relativeFrom="paragraph">
                  <wp:posOffset>48543</wp:posOffset>
                </wp:positionV>
                <wp:extent cx="6120130" cy="1270"/>
                <wp:effectExtent l="0" t="0" r="0" b="0"/>
                <wp:wrapTopAndBottom/>
                <wp:docPr id="313" name="Graphic 313"/>
                <wp:cNvGraphicFramePr>
                  <a:graphicFrameLocks/>
                </wp:cNvGraphicFramePr>
                <a:graphic>
                  <a:graphicData uri="http://schemas.microsoft.com/office/word/2010/wordprocessingShape">
                    <wps:wsp>
                      <wps:cNvPr id="313" name="Graphic 313"/>
                      <wps:cNvSpPr/>
                      <wps:spPr>
                        <a:xfrm>
                          <a:off x="0" y="0"/>
                          <a:ext cx="6120130" cy="1270"/>
                        </a:xfrm>
                        <a:custGeom>
                          <a:avLst/>
                          <a:gdLst/>
                          <a:ahLst/>
                          <a:cxnLst/>
                          <a:rect l="l" t="t" r="r" b="b"/>
                          <a:pathLst>
                            <a:path w="6120130" h="0">
                              <a:moveTo>
                                <a:pt x="0" y="0"/>
                              </a:moveTo>
                              <a:lnTo>
                                <a:pt x="6120003"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3.822297pt;width:481.9pt;height:.1pt;mso-position-horizontal-relative:page;mso-position-vertical-relative:paragraph;z-index:-15656960;mso-wrap-distance-left:0;mso-wrap-distance-right:0" id="docshape265" coordorigin="1134,76" coordsize="9638,0" path="m1134,76l10772,76e" filled="false" stroked="true" strokeweight="1pt" strokecolor="#393b7f">
                <v:path arrowok="t"/>
                <v:stroke dashstyle="solid"/>
                <w10:wrap type="topAndBottom"/>
              </v:shape>
            </w:pict>
          </mc:Fallback>
        </mc:AlternateContent>
      </w:r>
    </w:p>
    <w:p>
      <w:pPr>
        <w:pStyle w:val="ListParagraph"/>
        <w:numPr>
          <w:ilvl w:val="0"/>
          <w:numId w:val="9"/>
        </w:numPr>
        <w:tabs>
          <w:tab w:pos="1853" w:val="left" w:leader="none"/>
        </w:tabs>
        <w:spacing w:line="218" w:lineRule="exact" w:before="123" w:after="0"/>
        <w:ind w:left="1853" w:right="0" w:hanging="720"/>
        <w:jc w:val="left"/>
        <w:rPr>
          <w:sz w:val="18"/>
        </w:rPr>
      </w:pPr>
      <w:r>
        <w:rPr>
          <w:sz w:val="18"/>
        </w:rPr>
        <w:t>The</w:t>
      </w:r>
      <w:r>
        <w:rPr>
          <w:spacing w:val="-8"/>
          <w:sz w:val="18"/>
        </w:rPr>
        <w:t> </w:t>
      </w:r>
      <w:r>
        <w:rPr>
          <w:sz w:val="18"/>
        </w:rPr>
        <w:t>Executive</w:t>
      </w:r>
      <w:r>
        <w:rPr>
          <w:spacing w:val="-7"/>
          <w:sz w:val="18"/>
        </w:rPr>
        <w:t> </w:t>
      </w:r>
      <w:r>
        <w:rPr>
          <w:sz w:val="18"/>
        </w:rPr>
        <w:t>Office,</w:t>
      </w:r>
      <w:r>
        <w:rPr>
          <w:spacing w:val="-8"/>
          <w:sz w:val="18"/>
        </w:rPr>
        <w:t> </w:t>
      </w:r>
      <w:hyperlink r:id="rId137">
        <w:r>
          <w:rPr>
            <w:sz w:val="18"/>
          </w:rPr>
          <w:t>‘Racial</w:t>
        </w:r>
        <w:r>
          <w:rPr>
            <w:spacing w:val="-8"/>
            <w:sz w:val="18"/>
          </w:rPr>
          <w:t> </w:t>
        </w:r>
        <w:r>
          <w:rPr>
            <w:spacing w:val="-2"/>
            <w:sz w:val="18"/>
          </w:rPr>
          <w:t>Equality’.</w:t>
        </w:r>
      </w:hyperlink>
    </w:p>
    <w:p>
      <w:pPr>
        <w:pStyle w:val="ListParagraph"/>
        <w:numPr>
          <w:ilvl w:val="0"/>
          <w:numId w:val="9"/>
        </w:numPr>
        <w:tabs>
          <w:tab w:pos="1853" w:val="left" w:leader="none"/>
        </w:tabs>
        <w:spacing w:line="235" w:lineRule="auto" w:before="1" w:after="0"/>
        <w:ind w:left="1853" w:right="1354" w:hanging="720"/>
        <w:jc w:val="left"/>
        <w:rPr>
          <w:sz w:val="18"/>
        </w:rPr>
      </w:pPr>
      <w:r>
        <w:rPr>
          <w:sz w:val="18"/>
        </w:rPr>
        <w:t>Meeting</w:t>
      </w:r>
      <w:r>
        <w:rPr>
          <w:spacing w:val="-4"/>
          <w:sz w:val="18"/>
        </w:rPr>
        <w:t> </w:t>
      </w:r>
      <w:r>
        <w:rPr>
          <w:sz w:val="18"/>
        </w:rPr>
        <w:t>between</w:t>
      </w:r>
      <w:r>
        <w:rPr>
          <w:spacing w:val="-4"/>
          <w:sz w:val="18"/>
        </w:rPr>
        <w:t> </w:t>
      </w:r>
      <w:r>
        <w:rPr>
          <w:sz w:val="18"/>
        </w:rPr>
        <w:t>NI</w:t>
      </w:r>
      <w:r>
        <w:rPr>
          <w:spacing w:val="-4"/>
          <w:sz w:val="18"/>
        </w:rPr>
        <w:t> </w:t>
      </w:r>
      <w:r>
        <w:rPr>
          <w:sz w:val="18"/>
        </w:rPr>
        <w:t>Human</w:t>
      </w:r>
      <w:r>
        <w:rPr>
          <w:spacing w:val="-4"/>
          <w:sz w:val="18"/>
        </w:rPr>
        <w:t> </w:t>
      </w:r>
      <w:r>
        <w:rPr>
          <w:sz w:val="18"/>
        </w:rPr>
        <w:t>Rights</w:t>
      </w:r>
      <w:r>
        <w:rPr>
          <w:spacing w:val="-5"/>
          <w:sz w:val="18"/>
        </w:rPr>
        <w:t> </w:t>
      </w:r>
      <w:r>
        <w:rPr>
          <w:sz w:val="18"/>
        </w:rPr>
        <w:t>Commission</w:t>
      </w:r>
      <w:r>
        <w:rPr>
          <w:spacing w:val="-4"/>
          <w:sz w:val="18"/>
        </w:rPr>
        <w:t> </w:t>
      </w:r>
      <w:r>
        <w:rPr>
          <w:sz w:val="18"/>
        </w:rPr>
        <w:t>and</w:t>
      </w:r>
      <w:r>
        <w:rPr>
          <w:spacing w:val="-5"/>
          <w:sz w:val="18"/>
        </w:rPr>
        <w:t> </w:t>
      </w:r>
      <w:r>
        <w:rPr>
          <w:sz w:val="18"/>
        </w:rPr>
        <w:t>the</w:t>
      </w:r>
      <w:r>
        <w:rPr>
          <w:spacing w:val="-4"/>
          <w:sz w:val="18"/>
        </w:rPr>
        <w:t> </w:t>
      </w:r>
      <w:r>
        <w:rPr>
          <w:sz w:val="18"/>
        </w:rPr>
        <w:t>Independent</w:t>
      </w:r>
      <w:r>
        <w:rPr>
          <w:spacing w:val="-4"/>
          <w:sz w:val="18"/>
        </w:rPr>
        <w:t> </w:t>
      </w:r>
      <w:r>
        <w:rPr>
          <w:sz w:val="18"/>
        </w:rPr>
        <w:t>Review</w:t>
      </w:r>
      <w:r>
        <w:rPr>
          <w:spacing w:val="-4"/>
          <w:sz w:val="18"/>
        </w:rPr>
        <w:t> </w:t>
      </w:r>
      <w:r>
        <w:rPr>
          <w:sz w:val="18"/>
        </w:rPr>
        <w:t>of</w:t>
      </w:r>
      <w:r>
        <w:rPr>
          <w:spacing w:val="-4"/>
          <w:sz w:val="18"/>
        </w:rPr>
        <w:t> </w:t>
      </w:r>
      <w:r>
        <w:rPr>
          <w:sz w:val="18"/>
        </w:rPr>
        <w:t>Progress</w:t>
      </w:r>
      <w:r>
        <w:rPr>
          <w:spacing w:val="-5"/>
          <w:sz w:val="18"/>
        </w:rPr>
        <w:t> </w:t>
      </w:r>
      <w:r>
        <w:rPr>
          <w:sz w:val="18"/>
        </w:rPr>
        <w:t>on</w:t>
      </w:r>
      <w:r>
        <w:rPr>
          <w:spacing w:val="-4"/>
          <w:sz w:val="18"/>
        </w:rPr>
        <w:t> </w:t>
      </w:r>
      <w:r>
        <w:rPr>
          <w:sz w:val="18"/>
        </w:rPr>
        <w:t>the</w:t>
      </w:r>
      <w:r>
        <w:rPr>
          <w:spacing w:val="-4"/>
          <w:sz w:val="18"/>
        </w:rPr>
        <w:t> </w:t>
      </w:r>
      <w:r>
        <w:rPr>
          <w:sz w:val="18"/>
        </w:rPr>
        <w:t>Implementation</w:t>
      </w:r>
      <w:r>
        <w:rPr>
          <w:spacing w:val="-4"/>
          <w:sz w:val="18"/>
        </w:rPr>
        <w:t> </w:t>
      </w:r>
      <w:r>
        <w:rPr>
          <w:sz w:val="18"/>
        </w:rPr>
        <w:t>of</w:t>
      </w:r>
      <w:r>
        <w:rPr>
          <w:spacing w:val="-5"/>
          <w:sz w:val="18"/>
        </w:rPr>
        <w:t> </w:t>
      </w:r>
      <w:r>
        <w:rPr>
          <w:sz w:val="18"/>
        </w:rPr>
        <w:t>the Racial Equality Strategy 2015-2025, 3 November 2023.</w:t>
      </w:r>
    </w:p>
    <w:p>
      <w:pPr>
        <w:pStyle w:val="ListParagraph"/>
        <w:numPr>
          <w:ilvl w:val="0"/>
          <w:numId w:val="9"/>
        </w:numPr>
        <w:tabs>
          <w:tab w:pos="1853" w:val="left" w:leader="none"/>
        </w:tabs>
        <w:spacing w:line="235" w:lineRule="auto" w:before="1" w:after="0"/>
        <w:ind w:left="1853" w:right="1259" w:hanging="720"/>
        <w:jc w:val="left"/>
        <w:rPr>
          <w:sz w:val="18"/>
        </w:rPr>
      </w:pP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‘Policy</w:t>
      </w:r>
      <w:r>
        <w:rPr>
          <w:spacing w:val="-4"/>
          <w:sz w:val="18"/>
        </w:rPr>
        <w:t> </w:t>
      </w:r>
      <w:r>
        <w:rPr>
          <w:sz w:val="18"/>
        </w:rPr>
        <w:t>Recommendations: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Minority</w:t>
      </w:r>
      <w:r>
        <w:rPr>
          <w:spacing w:val="-4"/>
          <w:sz w:val="18"/>
        </w:rPr>
        <w:t> </w:t>
      </w:r>
      <w:r>
        <w:rPr>
          <w:sz w:val="18"/>
        </w:rPr>
        <w:t>Ethnic</w:t>
      </w:r>
      <w:r>
        <w:rPr>
          <w:spacing w:val="-4"/>
          <w:sz w:val="18"/>
        </w:rPr>
        <w:t> </w:t>
      </w:r>
      <w:r>
        <w:rPr>
          <w:sz w:val="18"/>
        </w:rPr>
        <w:t>and</w:t>
      </w:r>
      <w:r>
        <w:rPr>
          <w:spacing w:val="-5"/>
          <w:sz w:val="18"/>
        </w:rPr>
        <w:t> </w:t>
      </w:r>
      <w:r>
        <w:rPr>
          <w:sz w:val="18"/>
        </w:rPr>
        <w:t>Migrant</w:t>
      </w:r>
      <w:r>
        <w:rPr>
          <w:spacing w:val="-4"/>
          <w:sz w:val="18"/>
        </w:rPr>
        <w:t> </w:t>
      </w:r>
      <w:r>
        <w:rPr>
          <w:sz w:val="18"/>
        </w:rPr>
        <w:t>People</w:t>
      </w:r>
      <w:r>
        <w:rPr>
          <w:spacing w:val="-4"/>
          <w:sz w:val="18"/>
        </w:rPr>
        <w:t> </w:t>
      </w:r>
      <w:r>
        <w:rPr>
          <w:sz w:val="18"/>
        </w:rPr>
        <w:t>in</w:t>
      </w:r>
      <w:r>
        <w:rPr>
          <w:spacing w:val="-5"/>
          <w:sz w:val="18"/>
        </w:rPr>
        <w:t> </w:t>
      </w:r>
      <w:r>
        <w:rPr>
          <w:sz w:val="18"/>
        </w:rPr>
        <w:t>NI’ (ECNI, 2024).</w:t>
      </w:r>
    </w:p>
    <w:p>
      <w:pPr>
        <w:pStyle w:val="ListParagraph"/>
        <w:numPr>
          <w:ilvl w:val="0"/>
          <w:numId w:val="9"/>
        </w:numPr>
        <w:tabs>
          <w:tab w:pos="1853" w:val="left" w:leader="none"/>
        </w:tabs>
        <w:spacing w:line="216" w:lineRule="exact" w:before="0" w:after="0"/>
        <w:ind w:left="1853" w:right="0" w:hanging="720"/>
        <w:jc w:val="left"/>
        <w:rPr>
          <w:sz w:val="18"/>
        </w:rPr>
      </w:pPr>
      <w:r>
        <w:rPr>
          <w:spacing w:val="-4"/>
          <w:sz w:val="18"/>
        </w:rPr>
        <w:t>Ibid.</w:t>
      </w:r>
    </w:p>
    <w:p>
      <w:pPr>
        <w:pStyle w:val="ListParagraph"/>
        <w:numPr>
          <w:ilvl w:val="0"/>
          <w:numId w:val="9"/>
        </w:numPr>
        <w:tabs>
          <w:tab w:pos="1853" w:val="left" w:leader="none"/>
        </w:tabs>
        <w:spacing w:line="216" w:lineRule="exact" w:before="0" w:after="0"/>
        <w:ind w:left="1853" w:right="0" w:hanging="720"/>
        <w:jc w:val="left"/>
        <w:rPr>
          <w:sz w:val="18"/>
        </w:rPr>
      </w:pPr>
      <w:r>
        <w:rPr>
          <w:spacing w:val="-4"/>
          <w:sz w:val="18"/>
        </w:rPr>
        <w:t>Ibid.</w:t>
      </w:r>
    </w:p>
    <w:p>
      <w:pPr>
        <w:pStyle w:val="ListParagraph"/>
        <w:numPr>
          <w:ilvl w:val="0"/>
          <w:numId w:val="9"/>
        </w:numPr>
        <w:tabs>
          <w:tab w:pos="1853" w:val="left" w:leader="none"/>
        </w:tabs>
        <w:spacing w:line="235" w:lineRule="auto" w:before="2" w:after="0"/>
        <w:ind w:left="1853" w:right="1167" w:hanging="720"/>
        <w:jc w:val="left"/>
        <w:rPr>
          <w:sz w:val="18"/>
        </w:rPr>
      </w:pPr>
      <w:r>
        <w:rPr>
          <w:sz w:val="18"/>
        </w:rPr>
        <w:t>NI Human Rights Commission and Equality Commission for NI, </w:t>
      </w:r>
      <w:hyperlink r:id="rId112">
        <w:r>
          <w:rPr>
            <w:sz w:val="18"/>
          </w:rPr>
          <w:t>‘Submission of the NIHRC and ECNI to the House of Lords</w:t>
        </w:r>
      </w:hyperlink>
      <w:r>
        <w:rPr>
          <w:sz w:val="18"/>
        </w:rPr>
        <w:t> </w:t>
      </w:r>
      <w:hyperlink r:id="rId112">
        <w:r>
          <w:rPr>
            <w:sz w:val="18"/>
          </w:rPr>
          <w:t>Sub-Committee</w:t>
        </w:r>
        <w:r>
          <w:rPr>
            <w:spacing w:val="-4"/>
            <w:sz w:val="18"/>
          </w:rPr>
          <w:t> </w:t>
        </w:r>
        <w:r>
          <w:rPr>
            <w:sz w:val="18"/>
          </w:rPr>
          <w:t>on</w:t>
        </w:r>
        <w:r>
          <w:rPr>
            <w:spacing w:val="-5"/>
            <w:sz w:val="18"/>
          </w:rPr>
          <w:t> </w:t>
        </w:r>
        <w:r>
          <w:rPr>
            <w:sz w:val="18"/>
          </w:rPr>
          <w:t>the</w:t>
        </w:r>
        <w:r>
          <w:rPr>
            <w:spacing w:val="-4"/>
            <w:sz w:val="18"/>
          </w:rPr>
          <w:t> </w:t>
        </w:r>
        <w:r>
          <w:rPr>
            <w:sz w:val="18"/>
          </w:rPr>
          <w:t>Protocol’s</w:t>
        </w:r>
        <w:r>
          <w:rPr>
            <w:spacing w:val="-5"/>
            <w:sz w:val="18"/>
          </w:rPr>
          <w:t> </w:t>
        </w:r>
        <w:r>
          <w:rPr>
            <w:sz w:val="18"/>
          </w:rPr>
          <w:t>follow</w:t>
        </w:r>
        <w:r>
          <w:rPr>
            <w:spacing w:val="-4"/>
            <w:sz w:val="18"/>
          </w:rPr>
          <w:t> </w:t>
        </w:r>
        <w:r>
          <w:rPr>
            <w:sz w:val="18"/>
          </w:rPr>
          <w:t>up</w:t>
        </w:r>
        <w:r>
          <w:rPr>
            <w:spacing w:val="-5"/>
            <w:sz w:val="18"/>
          </w:rPr>
          <w:t> </w:t>
        </w:r>
        <w:r>
          <w:rPr>
            <w:sz w:val="18"/>
          </w:rPr>
          <w:t>Inquiry</w:t>
        </w:r>
        <w:r>
          <w:rPr>
            <w:spacing w:val="-4"/>
            <w:sz w:val="18"/>
          </w:rPr>
          <w:t> </w:t>
        </w:r>
        <w:r>
          <w:rPr>
            <w:sz w:val="18"/>
          </w:rPr>
          <w:t>on</w:t>
        </w:r>
        <w:r>
          <w:rPr>
            <w:spacing w:val="-5"/>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the</w:t>
        </w:r>
        <w:r>
          <w:rPr>
            <w:spacing w:val="-4"/>
            <w:sz w:val="18"/>
          </w:rPr>
          <w:t> </w:t>
        </w:r>
        <w:r>
          <w:rPr>
            <w:sz w:val="18"/>
          </w:rPr>
          <w:t>Protocol’</w:t>
        </w:r>
      </w:hyperlink>
      <w:r>
        <w:rPr>
          <w:spacing w:val="-6"/>
          <w:sz w:val="18"/>
        </w:rPr>
        <w:t> </w:t>
      </w:r>
      <w:r>
        <w:rPr>
          <w:sz w:val="18"/>
        </w:rPr>
        <w:t>(NIHRC</w:t>
      </w:r>
      <w:r>
        <w:rPr>
          <w:spacing w:val="-5"/>
          <w:sz w:val="18"/>
        </w:rPr>
        <w:t> </w:t>
      </w:r>
      <w:r>
        <w:rPr>
          <w:sz w:val="18"/>
        </w:rPr>
        <w:t>and</w:t>
      </w:r>
      <w:r>
        <w:rPr>
          <w:spacing w:val="-5"/>
          <w:sz w:val="18"/>
        </w:rPr>
        <w:t> </w:t>
      </w:r>
      <w:r>
        <w:rPr>
          <w:sz w:val="18"/>
        </w:rPr>
        <w:t>ECNI,</w:t>
      </w:r>
      <w:r>
        <w:rPr>
          <w:spacing w:val="-5"/>
          <w:sz w:val="18"/>
        </w:rPr>
        <w:t> </w:t>
      </w:r>
      <w:r>
        <w:rPr>
          <w:sz w:val="18"/>
        </w:rPr>
        <w:t>2021),</w:t>
      </w:r>
      <w:r>
        <w:rPr>
          <w:spacing w:val="-4"/>
          <w:sz w:val="18"/>
        </w:rPr>
        <w:t> </w:t>
      </w:r>
      <w:r>
        <w:rPr>
          <w:sz w:val="18"/>
        </w:rPr>
        <w:t>paras</w:t>
      </w:r>
      <w:r>
        <w:rPr>
          <w:spacing w:val="-5"/>
          <w:sz w:val="18"/>
        </w:rPr>
        <w:t> </w:t>
      </w:r>
      <w:r>
        <w:rPr>
          <w:sz w:val="18"/>
        </w:rPr>
        <w:t>2.3</w:t>
      </w:r>
      <w:r>
        <w:rPr>
          <w:spacing w:val="-4"/>
          <w:sz w:val="18"/>
        </w:rPr>
        <w:t> </w:t>
      </w:r>
      <w:r>
        <w:rPr>
          <w:sz w:val="18"/>
        </w:rPr>
        <w:t>–</w:t>
      </w:r>
      <w:r>
        <w:rPr>
          <w:spacing w:val="-5"/>
          <w:sz w:val="18"/>
        </w:rPr>
        <w:t> </w:t>
      </w:r>
      <w:r>
        <w:rPr>
          <w:sz w:val="18"/>
        </w:rPr>
        <w:t>2.7.</w:t>
      </w:r>
    </w:p>
    <w:p>
      <w:pPr>
        <w:pStyle w:val="ListParagraph"/>
        <w:numPr>
          <w:ilvl w:val="0"/>
          <w:numId w:val="9"/>
        </w:numPr>
        <w:tabs>
          <w:tab w:pos="1853" w:val="left" w:leader="none"/>
        </w:tabs>
        <w:spacing w:line="218" w:lineRule="exact" w:before="0" w:after="0"/>
        <w:ind w:left="1853" w:right="0" w:hanging="720"/>
        <w:jc w:val="left"/>
        <w:rPr>
          <w:sz w:val="18"/>
        </w:rPr>
      </w:pPr>
      <w:r>
        <w:rPr>
          <w:sz w:val="18"/>
        </w:rPr>
        <w:t>Equality</w:t>
      </w:r>
      <w:r>
        <w:rPr>
          <w:spacing w:val="-5"/>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and</w:t>
      </w:r>
      <w:r>
        <w:rPr>
          <w:spacing w:val="-4"/>
          <w:sz w:val="18"/>
        </w:rPr>
        <w:t> </w:t>
      </w: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hyperlink r:id="rId75">
        <w:r>
          <w:rPr>
            <w:sz w:val="18"/>
          </w:rPr>
          <w:t>,</w:t>
        </w:r>
        <w:r>
          <w:rPr>
            <w:spacing w:val="-3"/>
            <w:sz w:val="18"/>
          </w:rPr>
          <w:t> </w:t>
        </w:r>
        <w:r>
          <w:rPr>
            <w:sz w:val="18"/>
          </w:rPr>
          <w:t>Annual</w:t>
        </w:r>
        <w:r>
          <w:rPr>
            <w:spacing w:val="-4"/>
            <w:sz w:val="18"/>
          </w:rPr>
          <w:t> </w:t>
        </w:r>
        <w:r>
          <w:rPr>
            <w:sz w:val="18"/>
          </w:rPr>
          <w:t>Report</w:t>
        </w:r>
        <w:r>
          <w:rPr>
            <w:spacing w:val="-3"/>
            <w:sz w:val="18"/>
          </w:rPr>
          <w:t> </w:t>
        </w:r>
        <w:r>
          <w:rPr>
            <w:sz w:val="18"/>
          </w:rPr>
          <w:t>of</w:t>
        </w:r>
        <w:r>
          <w:rPr>
            <w:spacing w:val="-4"/>
            <w:sz w:val="18"/>
          </w:rPr>
          <w:t> </w:t>
        </w:r>
        <w:r>
          <w:rPr>
            <w:sz w:val="18"/>
          </w:rPr>
          <w:t>the</w:t>
        </w:r>
        <w:r>
          <w:rPr>
            <w:spacing w:val="-3"/>
            <w:sz w:val="18"/>
          </w:rPr>
          <w:t> </w:t>
        </w:r>
        <w:r>
          <w:rPr>
            <w:sz w:val="18"/>
          </w:rPr>
          <w:t>NIHRC</w:t>
        </w:r>
        <w:r>
          <w:rPr>
            <w:spacing w:val="-4"/>
            <w:sz w:val="18"/>
          </w:rPr>
          <w:t> </w:t>
        </w:r>
        <w:r>
          <w:rPr>
            <w:sz w:val="18"/>
          </w:rPr>
          <w:t>and</w:t>
        </w:r>
        <w:r>
          <w:rPr>
            <w:spacing w:val="-4"/>
            <w:sz w:val="18"/>
          </w:rPr>
          <w:t> </w:t>
        </w:r>
        <w:r>
          <w:rPr>
            <w:sz w:val="18"/>
          </w:rPr>
          <w:t>the</w:t>
        </w:r>
        <w:r>
          <w:rPr>
            <w:spacing w:val="-3"/>
            <w:sz w:val="18"/>
          </w:rPr>
          <w:t> </w:t>
        </w:r>
        <w:r>
          <w:rPr>
            <w:sz w:val="18"/>
          </w:rPr>
          <w:t>ECNI</w:t>
        </w:r>
        <w:r>
          <w:rPr>
            <w:spacing w:val="-3"/>
            <w:sz w:val="18"/>
          </w:rPr>
          <w:t> </w:t>
        </w:r>
        <w:r>
          <w:rPr>
            <w:sz w:val="18"/>
          </w:rPr>
          <w:t>on</w:t>
        </w:r>
        <w:r>
          <w:rPr>
            <w:spacing w:val="-3"/>
            <w:sz w:val="18"/>
          </w:rPr>
          <w:t> </w:t>
        </w:r>
        <w:r>
          <w:rPr>
            <w:spacing w:val="-5"/>
            <w:sz w:val="18"/>
          </w:rPr>
          <w:t>the</w:t>
        </w:r>
      </w:hyperlink>
    </w:p>
    <w:p>
      <w:pPr>
        <w:spacing w:after="0" w:line="218" w:lineRule="exact"/>
        <w:jc w:val="left"/>
        <w:rPr>
          <w:sz w:val="18"/>
        </w:rPr>
        <w:sectPr>
          <w:pgSz w:w="11910" w:h="16840"/>
          <w:pgMar w:header="496" w:footer="367" w:top="1220" w:bottom="560" w:left="0" w:right="0"/>
        </w:sectPr>
      </w:pPr>
    </w:p>
    <w:p>
      <w:pPr>
        <w:pStyle w:val="BodyText"/>
        <w:spacing w:before="198"/>
      </w:pPr>
    </w:p>
    <w:p>
      <w:pPr>
        <w:pStyle w:val="ListParagraph"/>
        <w:numPr>
          <w:ilvl w:val="1"/>
          <w:numId w:val="7"/>
        </w:numPr>
        <w:tabs>
          <w:tab w:pos="1853" w:val="left" w:leader="none"/>
        </w:tabs>
        <w:spacing w:line="225" w:lineRule="auto" w:before="0" w:after="0"/>
        <w:ind w:left="1853" w:right="1267" w:hanging="720"/>
        <w:jc w:val="left"/>
        <w:rPr>
          <w:sz w:val="28"/>
        </w:rPr>
      </w:pPr>
      <w:r>
        <w:rPr>
          <w:sz w:val="28"/>
        </w:rPr>
        <w:t>In</w:t>
      </w:r>
      <w:r>
        <w:rPr>
          <w:spacing w:val="-6"/>
          <w:sz w:val="28"/>
        </w:rPr>
        <w:t> </w:t>
      </w:r>
      <w:r>
        <w:rPr>
          <w:sz w:val="28"/>
        </w:rPr>
        <w:t>February</w:t>
      </w:r>
      <w:r>
        <w:rPr>
          <w:spacing w:val="-5"/>
          <w:sz w:val="28"/>
        </w:rPr>
        <w:t> </w:t>
      </w:r>
      <w:r>
        <w:rPr>
          <w:sz w:val="28"/>
        </w:rPr>
        <w:t>2023,</w:t>
      </w:r>
      <w:r>
        <w:rPr>
          <w:spacing w:val="-5"/>
          <w:sz w:val="28"/>
        </w:rPr>
        <w:t> </w:t>
      </w:r>
      <w:r>
        <w:rPr>
          <w:sz w:val="28"/>
        </w:rPr>
        <w:t>the</w:t>
      </w:r>
      <w:r>
        <w:rPr>
          <w:spacing w:val="-5"/>
          <w:sz w:val="28"/>
        </w:rPr>
        <w:t> </w:t>
      </w:r>
      <w:r>
        <w:rPr>
          <w:sz w:val="28"/>
        </w:rPr>
        <w:t>UK</w:t>
      </w:r>
      <w:r>
        <w:rPr>
          <w:spacing w:val="-5"/>
          <w:sz w:val="28"/>
        </w:rPr>
        <w:t> </w:t>
      </w:r>
      <w:r>
        <w:rPr>
          <w:sz w:val="28"/>
        </w:rPr>
        <w:t>Government</w:t>
      </w:r>
      <w:r>
        <w:rPr>
          <w:spacing w:val="-5"/>
          <w:sz w:val="28"/>
        </w:rPr>
        <w:t> </w:t>
      </w:r>
      <w:r>
        <w:rPr>
          <w:sz w:val="28"/>
        </w:rPr>
        <w:t>and</w:t>
      </w:r>
      <w:r>
        <w:rPr>
          <w:spacing w:val="-6"/>
          <w:sz w:val="28"/>
        </w:rPr>
        <w:t> </w:t>
      </w:r>
      <w:r>
        <w:rPr>
          <w:sz w:val="28"/>
        </w:rPr>
        <w:t>EU</w:t>
      </w:r>
      <w:r>
        <w:rPr>
          <w:spacing w:val="-5"/>
          <w:sz w:val="28"/>
        </w:rPr>
        <w:t> </w:t>
      </w:r>
      <w:r>
        <w:rPr>
          <w:sz w:val="28"/>
        </w:rPr>
        <w:t>Commission</w:t>
      </w:r>
      <w:r>
        <w:rPr>
          <w:spacing w:val="-6"/>
          <w:sz w:val="28"/>
        </w:rPr>
        <w:t> </w:t>
      </w:r>
      <w:r>
        <w:rPr>
          <w:sz w:val="28"/>
        </w:rPr>
        <w:t>reached</w:t>
      </w:r>
      <w:r>
        <w:rPr>
          <w:spacing w:val="-6"/>
          <w:sz w:val="28"/>
        </w:rPr>
        <w:t> </w:t>
      </w:r>
      <w:r>
        <w:rPr>
          <w:sz w:val="28"/>
        </w:rPr>
        <w:t>a</w:t>
      </w:r>
      <w:r>
        <w:rPr>
          <w:spacing w:val="-6"/>
          <w:sz w:val="28"/>
        </w:rPr>
        <w:t> </w:t>
      </w:r>
      <w:r>
        <w:rPr>
          <w:sz w:val="28"/>
        </w:rPr>
        <w:t>political agreement in principle in relation to the trading arrangements under the Windsor Framework aimed at improving the flow of goods between Great Britain and NI.</w:t>
      </w:r>
      <w:r>
        <w:rPr>
          <w:sz w:val="28"/>
          <w:vertAlign w:val="superscript"/>
        </w:rPr>
        <w:t>309</w:t>
      </w:r>
      <w:r>
        <w:rPr>
          <w:sz w:val="28"/>
          <w:vertAlign w:val="baseline"/>
        </w:rPr>
        <w:t> The Commissions continue to monitor the impact of the developments in the Windsor Framework, in terms of the ability of these communities to access these food products and ritual items.</w:t>
      </w:r>
    </w:p>
    <w:p>
      <w:pPr>
        <w:pStyle w:val="Heading6"/>
        <w:spacing w:before="297"/>
        <w:rPr>
          <w:i/>
        </w:rPr>
      </w:pPr>
      <w:r>
        <w:rPr>
          <w:i/>
          <w:color w:val="67287F"/>
        </w:rPr>
        <w:t>Funding</w:t>
      </w:r>
      <w:r>
        <w:rPr>
          <w:i/>
          <w:color w:val="67287F"/>
          <w:spacing w:val="-6"/>
        </w:rPr>
        <w:t> </w:t>
      </w:r>
      <w:r>
        <w:rPr>
          <w:i/>
          <w:color w:val="67287F"/>
        </w:rPr>
        <w:t>of</w:t>
      </w:r>
      <w:r>
        <w:rPr>
          <w:i/>
          <w:color w:val="67287F"/>
          <w:spacing w:val="-5"/>
        </w:rPr>
        <w:t> </w:t>
      </w:r>
      <w:r>
        <w:rPr>
          <w:i/>
          <w:color w:val="67287F"/>
        </w:rPr>
        <w:t>Services</w:t>
      </w:r>
      <w:r>
        <w:rPr>
          <w:i/>
          <w:color w:val="67287F"/>
          <w:spacing w:val="-5"/>
        </w:rPr>
        <w:t> </w:t>
      </w:r>
      <w:r>
        <w:rPr>
          <w:i/>
          <w:color w:val="67287F"/>
        </w:rPr>
        <w:t>for</w:t>
      </w:r>
      <w:r>
        <w:rPr>
          <w:i/>
          <w:color w:val="67287F"/>
          <w:spacing w:val="-5"/>
        </w:rPr>
        <w:t> </w:t>
      </w:r>
      <w:r>
        <w:rPr>
          <w:i/>
          <w:color w:val="67287F"/>
        </w:rPr>
        <w:t>Minority</w:t>
      </w:r>
      <w:r>
        <w:rPr>
          <w:i/>
          <w:color w:val="67287F"/>
          <w:spacing w:val="-5"/>
        </w:rPr>
        <w:t> </w:t>
      </w:r>
      <w:r>
        <w:rPr>
          <w:i/>
          <w:color w:val="67287F"/>
        </w:rPr>
        <w:t>Ethnic</w:t>
      </w:r>
      <w:r>
        <w:rPr>
          <w:i/>
          <w:color w:val="67287F"/>
          <w:spacing w:val="-4"/>
        </w:rPr>
        <w:t> </w:t>
      </w:r>
      <w:r>
        <w:rPr>
          <w:i/>
          <w:color w:val="67287F"/>
        </w:rPr>
        <w:t>and</w:t>
      </w:r>
      <w:r>
        <w:rPr>
          <w:i/>
          <w:color w:val="67287F"/>
          <w:spacing w:val="-4"/>
        </w:rPr>
        <w:t> </w:t>
      </w:r>
      <w:r>
        <w:rPr>
          <w:i/>
          <w:color w:val="67287F"/>
        </w:rPr>
        <w:t>Migrant</w:t>
      </w:r>
      <w:r>
        <w:rPr>
          <w:i/>
          <w:color w:val="67287F"/>
          <w:spacing w:val="-3"/>
        </w:rPr>
        <w:t> </w:t>
      </w:r>
      <w:r>
        <w:rPr>
          <w:i/>
          <w:color w:val="67287F"/>
          <w:spacing w:val="-2"/>
        </w:rPr>
        <w:t>People</w:t>
      </w:r>
    </w:p>
    <w:p>
      <w:pPr>
        <w:pStyle w:val="ListParagraph"/>
        <w:numPr>
          <w:ilvl w:val="1"/>
          <w:numId w:val="7"/>
        </w:numPr>
        <w:tabs>
          <w:tab w:pos="1853" w:val="left" w:leader="none"/>
        </w:tabs>
        <w:spacing w:line="225" w:lineRule="auto" w:before="5" w:after="0"/>
        <w:ind w:left="1853" w:right="1216" w:hanging="720"/>
        <w:jc w:val="left"/>
        <w:rPr>
          <w:sz w:val="28"/>
        </w:rPr>
      </w:pPr>
      <w:r>
        <w:rPr>
          <w:sz w:val="28"/>
        </w:rPr>
        <w:t>The ECNI’s policy recommendations on the Impact of Brexit on Minority Ethnic</w:t>
      </w:r>
      <w:r>
        <w:rPr>
          <w:spacing w:val="-8"/>
          <w:sz w:val="28"/>
        </w:rPr>
        <w:t> </w:t>
      </w:r>
      <w:r>
        <w:rPr>
          <w:sz w:val="28"/>
        </w:rPr>
        <w:t>and</w:t>
      </w:r>
      <w:r>
        <w:rPr>
          <w:spacing w:val="-9"/>
          <w:sz w:val="28"/>
        </w:rPr>
        <w:t> </w:t>
      </w:r>
      <w:r>
        <w:rPr>
          <w:sz w:val="28"/>
        </w:rPr>
        <w:t>Migrant</w:t>
      </w:r>
      <w:r>
        <w:rPr>
          <w:spacing w:val="-8"/>
          <w:sz w:val="28"/>
        </w:rPr>
        <w:t> </w:t>
      </w:r>
      <w:r>
        <w:rPr>
          <w:sz w:val="28"/>
        </w:rPr>
        <w:t>People</w:t>
      </w:r>
      <w:r>
        <w:rPr>
          <w:spacing w:val="-8"/>
          <w:sz w:val="28"/>
        </w:rPr>
        <w:t> </w:t>
      </w:r>
      <w:r>
        <w:rPr>
          <w:sz w:val="28"/>
        </w:rPr>
        <w:t>highlighted</w:t>
      </w:r>
      <w:r>
        <w:rPr>
          <w:spacing w:val="-9"/>
          <w:sz w:val="28"/>
        </w:rPr>
        <w:t> </w:t>
      </w:r>
      <w:r>
        <w:rPr>
          <w:sz w:val="28"/>
        </w:rPr>
        <w:t>that</w:t>
      </w:r>
      <w:r>
        <w:rPr>
          <w:spacing w:val="-8"/>
          <w:sz w:val="28"/>
        </w:rPr>
        <w:t> </w:t>
      </w:r>
      <w:r>
        <w:rPr>
          <w:sz w:val="28"/>
        </w:rPr>
        <w:t>research</w:t>
      </w:r>
      <w:r>
        <w:rPr>
          <w:spacing w:val="-9"/>
          <w:sz w:val="28"/>
        </w:rPr>
        <w:t> </w:t>
      </w:r>
      <w:r>
        <w:rPr>
          <w:sz w:val="28"/>
        </w:rPr>
        <w:t>participants</w:t>
      </w:r>
      <w:r>
        <w:rPr>
          <w:spacing w:val="-9"/>
          <w:sz w:val="28"/>
        </w:rPr>
        <w:t> </w:t>
      </w:r>
      <w:r>
        <w:rPr>
          <w:sz w:val="28"/>
        </w:rPr>
        <w:t>and</w:t>
      </w:r>
      <w:r>
        <w:rPr>
          <w:spacing w:val="-9"/>
          <w:sz w:val="28"/>
        </w:rPr>
        <w:t> </w:t>
      </w:r>
      <w:r>
        <w:rPr>
          <w:sz w:val="28"/>
        </w:rPr>
        <w:t>minority ethnic and migrant participants at Commission engagement events felt that there</w:t>
      </w:r>
      <w:r>
        <w:rPr>
          <w:spacing w:val="-3"/>
          <w:sz w:val="28"/>
        </w:rPr>
        <w:t> </w:t>
      </w:r>
      <w:r>
        <w:rPr>
          <w:sz w:val="28"/>
        </w:rPr>
        <w:t>was</w:t>
      </w:r>
      <w:r>
        <w:rPr>
          <w:spacing w:val="-4"/>
          <w:sz w:val="28"/>
        </w:rPr>
        <w:t> </w:t>
      </w:r>
      <w:r>
        <w:rPr>
          <w:sz w:val="28"/>
        </w:rPr>
        <w:t>a</w:t>
      </w:r>
      <w:r>
        <w:rPr>
          <w:spacing w:val="-4"/>
          <w:sz w:val="28"/>
        </w:rPr>
        <w:t> </w:t>
      </w:r>
      <w:r>
        <w:rPr>
          <w:sz w:val="28"/>
        </w:rPr>
        <w:t>lack</w:t>
      </w:r>
      <w:r>
        <w:rPr>
          <w:spacing w:val="-3"/>
          <w:sz w:val="28"/>
        </w:rPr>
        <w:t> </w:t>
      </w:r>
      <w:r>
        <w:rPr>
          <w:sz w:val="28"/>
        </w:rPr>
        <w:t>of</w:t>
      </w:r>
      <w:r>
        <w:rPr>
          <w:spacing w:val="-4"/>
          <w:sz w:val="28"/>
        </w:rPr>
        <w:t> </w:t>
      </w:r>
      <w:r>
        <w:rPr>
          <w:sz w:val="28"/>
        </w:rPr>
        <w:t>financial</w:t>
      </w:r>
      <w:r>
        <w:rPr>
          <w:spacing w:val="-4"/>
          <w:sz w:val="28"/>
        </w:rPr>
        <w:t> </w:t>
      </w:r>
      <w:r>
        <w:rPr>
          <w:sz w:val="28"/>
        </w:rPr>
        <w:t>support</w:t>
      </w:r>
      <w:r>
        <w:rPr>
          <w:spacing w:val="-3"/>
          <w:sz w:val="28"/>
        </w:rPr>
        <w:t> </w:t>
      </w:r>
      <w:r>
        <w:rPr>
          <w:sz w:val="28"/>
        </w:rPr>
        <w:t>for</w:t>
      </w:r>
      <w:r>
        <w:rPr>
          <w:spacing w:val="-3"/>
          <w:sz w:val="28"/>
        </w:rPr>
        <w:t> </w:t>
      </w:r>
      <w:r>
        <w:rPr>
          <w:sz w:val="28"/>
        </w:rPr>
        <w:t>organisations</w:t>
      </w:r>
      <w:r>
        <w:rPr>
          <w:spacing w:val="-4"/>
          <w:sz w:val="28"/>
        </w:rPr>
        <w:t> </w:t>
      </w:r>
      <w:r>
        <w:rPr>
          <w:sz w:val="28"/>
        </w:rPr>
        <w:t>that</w:t>
      </w:r>
      <w:r>
        <w:rPr>
          <w:spacing w:val="-3"/>
          <w:sz w:val="28"/>
        </w:rPr>
        <w:t> </w:t>
      </w:r>
      <w:r>
        <w:rPr>
          <w:sz w:val="28"/>
        </w:rPr>
        <w:t>provide</w:t>
      </w:r>
      <w:r>
        <w:rPr>
          <w:spacing w:val="-3"/>
          <w:sz w:val="28"/>
        </w:rPr>
        <w:t> </w:t>
      </w:r>
      <w:r>
        <w:rPr>
          <w:sz w:val="28"/>
        </w:rPr>
        <w:t>advice</w:t>
      </w:r>
      <w:r>
        <w:rPr>
          <w:spacing w:val="-3"/>
          <w:sz w:val="28"/>
        </w:rPr>
        <w:t> </w:t>
      </w:r>
      <w:r>
        <w:rPr>
          <w:sz w:val="28"/>
        </w:rPr>
        <w:t>and support to minority ethnic and migrant groups, whether relating to the EUSS or other issues such as housing, social security, healthcare or education.</w:t>
      </w:r>
      <w:r>
        <w:rPr>
          <w:sz w:val="28"/>
          <w:vertAlign w:val="superscript"/>
        </w:rPr>
        <w:t>310</w:t>
      </w:r>
    </w:p>
    <w:p>
      <w:pPr>
        <w:pStyle w:val="ListParagraph"/>
        <w:numPr>
          <w:ilvl w:val="1"/>
          <w:numId w:val="7"/>
        </w:numPr>
        <w:tabs>
          <w:tab w:pos="1853" w:val="left" w:leader="none"/>
        </w:tabs>
        <w:spacing w:line="225" w:lineRule="auto" w:before="312" w:after="0"/>
        <w:ind w:left="1853" w:right="1240" w:hanging="720"/>
        <w:jc w:val="left"/>
        <w:rPr>
          <w:sz w:val="28"/>
        </w:rPr>
      </w:pPr>
      <w:r>
        <w:rPr>
          <w:sz w:val="28"/>
        </w:rPr>
        <w:t>The ECNI is aware of the concerns held by many in the community and voluntary sector regarding the implications of the loss of EU funding and the outworking of the UK Shared Prosperity Fund. For example, for organisations that provide services for equality groups, including minority ethnic and migrant</w:t>
      </w:r>
      <w:r>
        <w:rPr>
          <w:spacing w:val="-4"/>
          <w:sz w:val="28"/>
        </w:rPr>
        <w:t> </w:t>
      </w:r>
      <w:r>
        <w:rPr>
          <w:sz w:val="28"/>
        </w:rPr>
        <w:t>people,</w:t>
      </w:r>
      <w:r>
        <w:rPr>
          <w:spacing w:val="-4"/>
          <w:sz w:val="28"/>
        </w:rPr>
        <w:t> </w:t>
      </w:r>
      <w:r>
        <w:rPr>
          <w:sz w:val="28"/>
        </w:rPr>
        <w:t>these</w:t>
      </w:r>
      <w:r>
        <w:rPr>
          <w:spacing w:val="-4"/>
          <w:sz w:val="28"/>
        </w:rPr>
        <w:t> </w:t>
      </w:r>
      <w:r>
        <w:rPr>
          <w:sz w:val="28"/>
        </w:rPr>
        <w:t>losses</w:t>
      </w:r>
      <w:r>
        <w:rPr>
          <w:spacing w:val="-5"/>
          <w:sz w:val="28"/>
        </w:rPr>
        <w:t> </w:t>
      </w:r>
      <w:r>
        <w:rPr>
          <w:sz w:val="28"/>
        </w:rPr>
        <w:t>have</w:t>
      </w:r>
      <w:r>
        <w:rPr>
          <w:spacing w:val="-4"/>
          <w:sz w:val="28"/>
        </w:rPr>
        <w:t> </w:t>
      </w:r>
      <w:r>
        <w:rPr>
          <w:sz w:val="28"/>
        </w:rPr>
        <w:t>been</w:t>
      </w:r>
      <w:r>
        <w:rPr>
          <w:spacing w:val="-5"/>
          <w:sz w:val="28"/>
        </w:rPr>
        <w:t> </w:t>
      </w:r>
      <w:r>
        <w:rPr>
          <w:sz w:val="28"/>
        </w:rPr>
        <w:t>severely</w:t>
      </w:r>
      <w:r>
        <w:rPr>
          <w:spacing w:val="-4"/>
          <w:sz w:val="28"/>
        </w:rPr>
        <w:t> </w:t>
      </w:r>
      <w:r>
        <w:rPr>
          <w:sz w:val="28"/>
        </w:rPr>
        <w:t>compounded</w:t>
      </w:r>
      <w:r>
        <w:rPr>
          <w:spacing w:val="-5"/>
          <w:sz w:val="28"/>
        </w:rPr>
        <w:t> </w:t>
      </w:r>
      <w:r>
        <w:rPr>
          <w:sz w:val="28"/>
        </w:rPr>
        <w:t>by</w:t>
      </w:r>
      <w:r>
        <w:rPr>
          <w:spacing w:val="-4"/>
          <w:sz w:val="28"/>
        </w:rPr>
        <w:t> </w:t>
      </w:r>
      <w:r>
        <w:rPr>
          <w:sz w:val="28"/>
        </w:rPr>
        <w:t>budget</w:t>
      </w:r>
      <w:r>
        <w:rPr>
          <w:spacing w:val="-4"/>
          <w:sz w:val="28"/>
        </w:rPr>
        <w:t> </w:t>
      </w:r>
      <w:r>
        <w:rPr>
          <w:sz w:val="28"/>
        </w:rPr>
        <w:t>cuts by</w:t>
      </w:r>
      <w:r>
        <w:rPr>
          <w:spacing w:val="-7"/>
          <w:sz w:val="28"/>
        </w:rPr>
        <w:t> </w:t>
      </w:r>
      <w:r>
        <w:rPr>
          <w:sz w:val="28"/>
        </w:rPr>
        <w:t>NI</w:t>
      </w:r>
      <w:r>
        <w:rPr>
          <w:spacing w:val="-7"/>
          <w:sz w:val="28"/>
        </w:rPr>
        <w:t> </w:t>
      </w:r>
      <w:r>
        <w:rPr>
          <w:sz w:val="28"/>
        </w:rPr>
        <w:t>departments,</w:t>
      </w:r>
      <w:r>
        <w:rPr>
          <w:spacing w:val="-7"/>
          <w:sz w:val="28"/>
        </w:rPr>
        <w:t> </w:t>
      </w:r>
      <w:r>
        <w:rPr>
          <w:sz w:val="28"/>
        </w:rPr>
        <w:t>and</w:t>
      </w:r>
      <w:r>
        <w:rPr>
          <w:spacing w:val="-8"/>
          <w:sz w:val="28"/>
        </w:rPr>
        <w:t> </w:t>
      </w:r>
      <w:r>
        <w:rPr>
          <w:sz w:val="28"/>
        </w:rPr>
        <w:t>the</w:t>
      </w:r>
      <w:r>
        <w:rPr>
          <w:spacing w:val="-7"/>
          <w:sz w:val="28"/>
        </w:rPr>
        <w:t> </w:t>
      </w:r>
      <w:r>
        <w:rPr>
          <w:sz w:val="28"/>
        </w:rPr>
        <w:t>Commission</w:t>
      </w:r>
      <w:r>
        <w:rPr>
          <w:spacing w:val="-8"/>
          <w:sz w:val="28"/>
        </w:rPr>
        <w:t> </w:t>
      </w:r>
      <w:r>
        <w:rPr>
          <w:sz w:val="28"/>
        </w:rPr>
        <w:t>shares</w:t>
      </w:r>
      <w:r>
        <w:rPr>
          <w:spacing w:val="-8"/>
          <w:sz w:val="28"/>
        </w:rPr>
        <w:t> </w:t>
      </w:r>
      <w:r>
        <w:rPr>
          <w:sz w:val="28"/>
        </w:rPr>
        <w:t>those</w:t>
      </w:r>
      <w:r>
        <w:rPr>
          <w:spacing w:val="-7"/>
          <w:sz w:val="28"/>
        </w:rPr>
        <w:t> </w:t>
      </w:r>
      <w:r>
        <w:rPr>
          <w:sz w:val="28"/>
        </w:rPr>
        <w:t>concerns.</w:t>
      </w:r>
      <w:r>
        <w:rPr>
          <w:sz w:val="28"/>
          <w:vertAlign w:val="superscript"/>
        </w:rPr>
        <w:t>311</w:t>
      </w:r>
      <w:r>
        <w:rPr>
          <w:spacing w:val="-8"/>
          <w:sz w:val="28"/>
          <w:vertAlign w:val="baseline"/>
        </w:rPr>
        <w:t> </w:t>
      </w:r>
      <w:r>
        <w:rPr>
          <w:sz w:val="28"/>
          <w:vertAlign w:val="baseline"/>
        </w:rPr>
        <w:t>The</w:t>
      </w:r>
      <w:r>
        <w:rPr>
          <w:spacing w:val="-7"/>
          <w:sz w:val="28"/>
          <w:vertAlign w:val="baseline"/>
        </w:rPr>
        <w:t> </w:t>
      </w:r>
      <w:r>
        <w:rPr>
          <w:sz w:val="28"/>
          <w:vertAlign w:val="baseline"/>
        </w:rPr>
        <w:t>impact of loss of EU funding on equality groups is further discussed in the EU Loss of Funding section in Chapter 4.</w:t>
      </w:r>
    </w:p>
    <w:p>
      <w:pPr>
        <w:pStyle w:val="BodyText"/>
        <w:spacing w:before="7"/>
        <w:rPr>
          <w:sz w:val="13"/>
        </w:rPr>
      </w:pPr>
      <w:r>
        <w:rPr/>
        <mc:AlternateContent>
          <mc:Choice Requires="wps">
            <w:drawing>
              <wp:anchor distT="0" distB="0" distL="0" distR="0" allowOverlap="1" layoutInCell="1" locked="0" behindDoc="1" simplePos="0" relativeHeight="487660032">
                <wp:simplePos x="0" y="0"/>
                <wp:positionH relativeFrom="page">
                  <wp:posOffset>720001</wp:posOffset>
                </wp:positionH>
                <wp:positionV relativeFrom="paragraph">
                  <wp:posOffset>120906</wp:posOffset>
                </wp:positionV>
                <wp:extent cx="6120130" cy="360045"/>
                <wp:effectExtent l="0" t="0" r="0" b="0"/>
                <wp:wrapTopAndBottom/>
                <wp:docPr id="314" name="Textbox 314"/>
                <wp:cNvGraphicFramePr>
                  <a:graphicFrameLocks/>
                </wp:cNvGraphicFramePr>
                <a:graphic>
                  <a:graphicData uri="http://schemas.microsoft.com/office/word/2010/wordprocessingShape">
                    <wps:wsp>
                      <wps:cNvPr id="314" name="Textbox 314"/>
                      <wps:cNvSpPr txBox="1"/>
                      <wps:spPr>
                        <a:xfrm>
                          <a:off x="0" y="0"/>
                          <a:ext cx="6120130" cy="360045"/>
                        </a:xfrm>
                        <a:prstGeom prst="rect">
                          <a:avLst/>
                        </a:prstGeom>
                        <a:solidFill>
                          <a:srgbClr val="393B80"/>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9.520172pt;width:481.9pt;height:28.35pt;mso-position-horizontal-relative:page;mso-position-vertical-relative:paragraph;z-index:-15656448;mso-wrap-distance-left:0;mso-wrap-distance-right:0" type="#_x0000_t202" id="docshape266" filled="true" fillcolor="#393b80"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208" w:after="0"/>
        <w:ind w:left="1853" w:right="1421" w:hanging="720"/>
        <w:jc w:val="left"/>
        <w:rPr>
          <w:b/>
          <w:color w:val="67287F"/>
          <w:sz w:val="28"/>
        </w:rPr>
      </w:pPr>
      <w:r>
        <w:rPr>
          <w:b/>
          <w:color w:val="67287F"/>
          <w:sz w:val="28"/>
        </w:rPr>
        <w:t>The</w:t>
      </w:r>
      <w:r>
        <w:rPr>
          <w:b/>
          <w:color w:val="67287F"/>
          <w:spacing w:val="-8"/>
          <w:sz w:val="28"/>
        </w:rPr>
        <w:t> </w:t>
      </w:r>
      <w:r>
        <w:rPr>
          <w:b/>
          <w:color w:val="67287F"/>
          <w:sz w:val="28"/>
        </w:rPr>
        <w:t>Commissions</w:t>
      </w:r>
      <w:r>
        <w:rPr>
          <w:b/>
          <w:color w:val="67287F"/>
          <w:spacing w:val="-7"/>
          <w:sz w:val="28"/>
        </w:rPr>
        <w:t> </w:t>
      </w:r>
      <w:r>
        <w:rPr>
          <w:b/>
          <w:color w:val="67287F"/>
          <w:sz w:val="28"/>
        </w:rPr>
        <w:t>continue</w:t>
      </w:r>
      <w:r>
        <w:rPr>
          <w:b/>
          <w:color w:val="67287F"/>
          <w:spacing w:val="-8"/>
          <w:sz w:val="28"/>
        </w:rPr>
        <w:t> </w:t>
      </w:r>
      <w:r>
        <w:rPr>
          <w:b/>
          <w:color w:val="67287F"/>
          <w:sz w:val="28"/>
        </w:rPr>
        <w:t>to</w:t>
      </w:r>
      <w:r>
        <w:rPr>
          <w:b/>
          <w:color w:val="67287F"/>
          <w:spacing w:val="-7"/>
          <w:sz w:val="28"/>
        </w:rPr>
        <w:t> </w:t>
      </w:r>
      <w:r>
        <w:rPr>
          <w:b/>
          <w:color w:val="67287F"/>
          <w:sz w:val="28"/>
        </w:rPr>
        <w:t>advise</w:t>
      </w:r>
      <w:r>
        <w:rPr>
          <w:b/>
          <w:color w:val="67287F"/>
          <w:spacing w:val="-8"/>
          <w:sz w:val="28"/>
        </w:rPr>
        <w:t> </w:t>
      </w:r>
      <w:r>
        <w:rPr>
          <w:b/>
          <w:color w:val="67287F"/>
          <w:sz w:val="28"/>
        </w:rPr>
        <w:t>that</w:t>
      </w:r>
      <w:r>
        <w:rPr>
          <w:b/>
          <w:color w:val="67287F"/>
          <w:spacing w:val="-7"/>
          <w:sz w:val="28"/>
        </w:rPr>
        <w:t> </w:t>
      </w:r>
      <w:r>
        <w:rPr>
          <w:b/>
          <w:color w:val="67287F"/>
          <w:sz w:val="28"/>
        </w:rPr>
        <w:t>the</w:t>
      </w:r>
      <w:r>
        <w:rPr>
          <w:b/>
          <w:color w:val="67287F"/>
          <w:spacing w:val="-8"/>
          <w:sz w:val="28"/>
        </w:rPr>
        <w:t> </w:t>
      </w:r>
      <w:r>
        <w:rPr>
          <w:b/>
          <w:color w:val="67287F"/>
          <w:sz w:val="28"/>
        </w:rPr>
        <w:t>Executive</w:t>
      </w:r>
      <w:r>
        <w:rPr>
          <w:b/>
          <w:color w:val="67287F"/>
          <w:spacing w:val="-8"/>
          <w:sz w:val="28"/>
        </w:rPr>
        <w:t> </w:t>
      </w:r>
      <w:r>
        <w:rPr>
          <w:b/>
          <w:color w:val="67287F"/>
          <w:sz w:val="28"/>
        </w:rPr>
        <w:t>Office</w:t>
      </w:r>
      <w:r>
        <w:rPr>
          <w:b/>
          <w:color w:val="67287F"/>
          <w:spacing w:val="-8"/>
          <w:sz w:val="28"/>
        </w:rPr>
        <w:t> </w:t>
      </w:r>
      <w:r>
        <w:rPr>
          <w:b/>
          <w:color w:val="67287F"/>
          <w:sz w:val="28"/>
        </w:rPr>
        <w:t>monitor</w:t>
      </w:r>
      <w:r>
        <w:rPr>
          <w:b/>
          <w:color w:val="67287F"/>
          <w:spacing w:val="-8"/>
          <w:sz w:val="28"/>
        </w:rPr>
        <w:t> </w:t>
      </w:r>
      <w:r>
        <w:rPr>
          <w:b/>
          <w:color w:val="67287F"/>
          <w:sz w:val="28"/>
        </w:rPr>
        <w:t>and comply with any proposed changes by the EU to the six Annex 1 equality directives, including relevant case law of the CJEU and pays particular attention to the ongoing consultation by the EU on the Racial Equality </w:t>
      </w:r>
      <w:r>
        <w:rPr>
          <w:b/>
          <w:color w:val="67287F"/>
          <w:spacing w:val="-2"/>
          <w:sz w:val="28"/>
        </w:rPr>
        <w:t>Directive.</w:t>
      </w:r>
    </w:p>
    <w:p>
      <w:pPr>
        <w:pStyle w:val="ListParagraph"/>
        <w:numPr>
          <w:ilvl w:val="1"/>
          <w:numId w:val="7"/>
        </w:numPr>
        <w:tabs>
          <w:tab w:pos="1853" w:val="left" w:leader="none"/>
        </w:tabs>
        <w:spacing w:line="225" w:lineRule="auto" w:before="314" w:after="0"/>
        <w:ind w:left="1853" w:right="1244" w:hanging="720"/>
        <w:jc w:val="left"/>
        <w:rPr>
          <w:b/>
          <w:color w:val="67287F"/>
          <w:sz w:val="28"/>
        </w:rPr>
      </w:pPr>
      <w:r>
        <w:rPr>
          <w:b/>
          <w:color w:val="67287F"/>
          <w:sz w:val="28"/>
        </w:rPr>
        <w:t>The Commissions continue to recommend that the NI Executive and Executive Office introduce strengthened racial equality legislation in NI and that</w:t>
      </w:r>
      <w:r>
        <w:rPr>
          <w:b/>
          <w:color w:val="67287F"/>
          <w:spacing w:val="-6"/>
          <w:sz w:val="28"/>
        </w:rPr>
        <w:t> </w:t>
      </w:r>
      <w:r>
        <w:rPr>
          <w:b/>
          <w:color w:val="67287F"/>
          <w:sz w:val="28"/>
        </w:rPr>
        <w:t>developments</w:t>
      </w:r>
      <w:r>
        <w:rPr>
          <w:b/>
          <w:color w:val="67287F"/>
          <w:spacing w:val="-6"/>
          <w:sz w:val="28"/>
        </w:rPr>
        <w:t> </w:t>
      </w:r>
      <w:r>
        <w:rPr>
          <w:b/>
          <w:color w:val="67287F"/>
          <w:sz w:val="28"/>
        </w:rPr>
        <w:t>on</w:t>
      </w:r>
      <w:r>
        <w:rPr>
          <w:b/>
          <w:color w:val="67287F"/>
          <w:spacing w:val="-6"/>
          <w:sz w:val="28"/>
        </w:rPr>
        <w:t> </w:t>
      </w:r>
      <w:r>
        <w:rPr>
          <w:b/>
          <w:color w:val="67287F"/>
          <w:sz w:val="28"/>
        </w:rPr>
        <w:t>race</w:t>
      </w:r>
      <w:r>
        <w:rPr>
          <w:b/>
          <w:color w:val="67287F"/>
          <w:spacing w:val="-7"/>
          <w:sz w:val="28"/>
        </w:rPr>
        <w:t> </w:t>
      </w:r>
      <w:r>
        <w:rPr>
          <w:b/>
          <w:color w:val="67287F"/>
          <w:sz w:val="28"/>
        </w:rPr>
        <w:t>law</w:t>
      </w:r>
      <w:r>
        <w:rPr>
          <w:b/>
          <w:color w:val="67287F"/>
          <w:spacing w:val="-7"/>
          <w:sz w:val="28"/>
        </w:rPr>
        <w:t> </w:t>
      </w:r>
      <w:r>
        <w:rPr>
          <w:b/>
          <w:color w:val="67287F"/>
          <w:sz w:val="28"/>
        </w:rPr>
        <w:t>reform</w:t>
      </w:r>
      <w:r>
        <w:rPr>
          <w:b/>
          <w:color w:val="67287F"/>
          <w:spacing w:val="-7"/>
          <w:sz w:val="28"/>
        </w:rPr>
        <w:t> </w:t>
      </w:r>
      <w:r>
        <w:rPr>
          <w:b/>
          <w:color w:val="67287F"/>
          <w:sz w:val="28"/>
        </w:rPr>
        <w:t>in</w:t>
      </w:r>
      <w:r>
        <w:rPr>
          <w:b/>
          <w:color w:val="67287F"/>
          <w:spacing w:val="-6"/>
          <w:sz w:val="28"/>
        </w:rPr>
        <w:t> </w:t>
      </w:r>
      <w:r>
        <w:rPr>
          <w:b/>
          <w:color w:val="67287F"/>
          <w:sz w:val="28"/>
        </w:rPr>
        <w:t>NI</w:t>
      </w:r>
      <w:r>
        <w:rPr>
          <w:b/>
          <w:color w:val="67287F"/>
          <w:spacing w:val="-6"/>
          <w:sz w:val="28"/>
        </w:rPr>
        <w:t> </w:t>
      </w:r>
      <w:r>
        <w:rPr>
          <w:b/>
          <w:color w:val="67287F"/>
          <w:sz w:val="28"/>
        </w:rPr>
        <w:t>are</w:t>
      </w:r>
      <w:r>
        <w:rPr>
          <w:b/>
          <w:color w:val="67287F"/>
          <w:spacing w:val="-7"/>
          <w:sz w:val="28"/>
        </w:rPr>
        <w:t> </w:t>
      </w:r>
      <w:r>
        <w:rPr>
          <w:b/>
          <w:color w:val="67287F"/>
          <w:sz w:val="28"/>
        </w:rPr>
        <w:t>in</w:t>
      </w:r>
      <w:r>
        <w:rPr>
          <w:b/>
          <w:color w:val="67287F"/>
          <w:spacing w:val="-6"/>
          <w:sz w:val="28"/>
        </w:rPr>
        <w:t> </w:t>
      </w:r>
      <w:r>
        <w:rPr>
          <w:b/>
          <w:color w:val="67287F"/>
          <w:sz w:val="28"/>
        </w:rPr>
        <w:t>compliance</w:t>
      </w:r>
      <w:r>
        <w:rPr>
          <w:b/>
          <w:color w:val="67287F"/>
          <w:spacing w:val="-7"/>
          <w:sz w:val="28"/>
        </w:rPr>
        <w:t> </w:t>
      </w:r>
      <w:r>
        <w:rPr>
          <w:b/>
          <w:color w:val="67287F"/>
          <w:sz w:val="28"/>
        </w:rPr>
        <w:t>with</w:t>
      </w:r>
      <w:r>
        <w:rPr>
          <w:b/>
          <w:color w:val="67287F"/>
          <w:spacing w:val="-6"/>
          <w:sz w:val="28"/>
        </w:rPr>
        <w:t> </w:t>
      </w:r>
      <w:r>
        <w:rPr>
          <w:b/>
          <w:color w:val="67287F"/>
          <w:sz w:val="28"/>
        </w:rPr>
        <w:t>Windsor Framework Article 2, including the keeping pace obligations relating to the EU Racial Equality Directive.</w:t>
      </w:r>
    </w:p>
    <w:p>
      <w:pPr>
        <w:pStyle w:val="BodyText"/>
        <w:spacing w:before="1"/>
        <w:rPr>
          <w:b/>
          <w:sz w:val="4"/>
        </w:rPr>
      </w:pPr>
      <w:r>
        <w:rPr/>
        <mc:AlternateContent>
          <mc:Choice Requires="wps">
            <w:drawing>
              <wp:anchor distT="0" distB="0" distL="0" distR="0" allowOverlap="1" layoutInCell="1" locked="0" behindDoc="1" simplePos="0" relativeHeight="487660544">
                <wp:simplePos x="0" y="0"/>
                <wp:positionH relativeFrom="page">
                  <wp:posOffset>719996</wp:posOffset>
                </wp:positionH>
                <wp:positionV relativeFrom="paragraph">
                  <wp:posOffset>46914</wp:posOffset>
                </wp:positionV>
                <wp:extent cx="6120130" cy="1270"/>
                <wp:effectExtent l="0" t="0" r="0" b="0"/>
                <wp:wrapTopAndBottom/>
                <wp:docPr id="315" name="Graphic 315"/>
                <wp:cNvGraphicFramePr>
                  <a:graphicFrameLocks/>
                </wp:cNvGraphicFramePr>
                <a:graphic>
                  <a:graphicData uri="http://schemas.microsoft.com/office/word/2010/wordprocessingShape">
                    <wps:wsp>
                      <wps:cNvPr id="315" name="Graphic 31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3.694069pt;width:481.9pt;height:.1pt;mso-position-horizontal-relative:page;mso-position-vertical-relative:paragraph;z-index:-15655936;mso-wrap-distance-left:0;mso-wrap-distance-right:0" id="docshape267" coordorigin="1134,74" coordsize="9638,0" path="m10772,74l1134,74e" filled="false" stroked="true" strokeweight="1pt" strokecolor="#393b80">
                <v:path arrowok="t"/>
                <v:stroke dashstyle="solid"/>
                <w10:wrap type="topAndBottom"/>
              </v:shape>
            </w:pict>
          </mc:Fallback>
        </mc:AlternateContent>
      </w:r>
    </w:p>
    <w:p>
      <w:pPr>
        <w:spacing w:line="218" w:lineRule="exact" w:before="85"/>
        <w:ind w:left="1853" w:right="0" w:firstLine="0"/>
        <w:jc w:val="both"/>
        <w:rPr>
          <w:sz w:val="18"/>
        </w:rPr>
      </w:pPr>
      <w:hyperlink r:id="rId75">
        <w:r>
          <w:rPr>
            <w:sz w:val="18"/>
          </w:rPr>
          <w:t>implementation</w:t>
        </w:r>
        <w:r>
          <w:rPr>
            <w:spacing w:val="-5"/>
            <w:sz w:val="18"/>
          </w:rPr>
          <w:t> </w:t>
        </w:r>
        <w:r>
          <w:rPr>
            <w:sz w:val="18"/>
          </w:rPr>
          <w:t>of</w:t>
        </w:r>
        <w:r>
          <w:rPr>
            <w:spacing w:val="-4"/>
            <w:sz w:val="18"/>
          </w:rPr>
          <w:t> </w:t>
        </w:r>
        <w:r>
          <w:rPr>
            <w:sz w:val="18"/>
          </w:rPr>
          <w:t>Protocol</w:t>
        </w:r>
        <w:r>
          <w:rPr>
            <w:spacing w:val="-5"/>
            <w:sz w:val="18"/>
          </w:rPr>
          <w:t> </w:t>
        </w:r>
        <w:r>
          <w:rPr>
            <w:sz w:val="18"/>
          </w:rPr>
          <w:t>Article</w:t>
        </w:r>
        <w:r>
          <w:rPr>
            <w:spacing w:val="-3"/>
            <w:sz w:val="18"/>
          </w:rPr>
          <w:t> </w:t>
        </w:r>
        <w:r>
          <w:rPr>
            <w:sz w:val="18"/>
          </w:rPr>
          <w:t>2</w:t>
        </w:r>
        <w:r>
          <w:rPr>
            <w:spacing w:val="-4"/>
            <w:sz w:val="18"/>
          </w:rPr>
          <w:t> </w:t>
        </w:r>
        <w:r>
          <w:rPr>
            <w:sz w:val="18"/>
          </w:rPr>
          <w:t>2021</w:t>
        </w:r>
        <w:r>
          <w:rPr>
            <w:spacing w:val="-3"/>
            <w:sz w:val="18"/>
          </w:rPr>
          <w:t> </w:t>
        </w:r>
        <w:r>
          <w:rPr>
            <w:sz w:val="18"/>
          </w:rPr>
          <w:t>–</w:t>
        </w:r>
        <w:r>
          <w:rPr>
            <w:spacing w:val="-4"/>
            <w:sz w:val="18"/>
          </w:rPr>
          <w:t> </w:t>
        </w:r>
        <w:r>
          <w:rPr>
            <w:sz w:val="18"/>
          </w:rPr>
          <w:t>2022</w:t>
        </w:r>
      </w:hyperlink>
      <w:r>
        <w:rPr>
          <w:spacing w:val="-5"/>
          <w:sz w:val="18"/>
        </w:rPr>
        <w:t> </w:t>
      </w:r>
      <w:r>
        <w:rPr>
          <w:sz w:val="18"/>
        </w:rPr>
        <w:t>(ECNI</w:t>
      </w:r>
      <w:r>
        <w:rPr>
          <w:spacing w:val="-3"/>
          <w:sz w:val="18"/>
        </w:rPr>
        <w:t> </w:t>
      </w:r>
      <w:r>
        <w:rPr>
          <w:sz w:val="18"/>
        </w:rPr>
        <w:t>and</w:t>
      </w:r>
      <w:r>
        <w:rPr>
          <w:spacing w:val="-5"/>
          <w:sz w:val="18"/>
        </w:rPr>
        <w:t> </w:t>
      </w:r>
      <w:r>
        <w:rPr>
          <w:sz w:val="18"/>
        </w:rPr>
        <w:t>NIHRC,</w:t>
      </w:r>
      <w:r>
        <w:rPr>
          <w:spacing w:val="-3"/>
          <w:sz w:val="18"/>
        </w:rPr>
        <w:t> </w:t>
      </w:r>
      <w:r>
        <w:rPr>
          <w:sz w:val="18"/>
        </w:rPr>
        <w:t>2022),</w:t>
      </w:r>
      <w:r>
        <w:rPr>
          <w:spacing w:val="-4"/>
          <w:sz w:val="18"/>
        </w:rPr>
        <w:t> </w:t>
      </w:r>
      <w:r>
        <w:rPr>
          <w:sz w:val="18"/>
        </w:rPr>
        <w:t>at</w:t>
      </w:r>
      <w:r>
        <w:rPr>
          <w:spacing w:val="-3"/>
          <w:sz w:val="18"/>
        </w:rPr>
        <w:t> </w:t>
      </w:r>
      <w:r>
        <w:rPr>
          <w:sz w:val="18"/>
        </w:rPr>
        <w:t>41-</w:t>
      </w:r>
      <w:r>
        <w:rPr>
          <w:spacing w:val="-5"/>
          <w:sz w:val="18"/>
        </w:rPr>
        <w:t>42</w:t>
      </w:r>
    </w:p>
    <w:p>
      <w:pPr>
        <w:pStyle w:val="ListParagraph"/>
        <w:numPr>
          <w:ilvl w:val="0"/>
          <w:numId w:val="9"/>
        </w:numPr>
        <w:tabs>
          <w:tab w:pos="1853" w:val="left" w:leader="none"/>
        </w:tabs>
        <w:spacing w:line="235" w:lineRule="auto" w:before="1" w:after="0"/>
        <w:ind w:left="1853" w:right="1374" w:hanging="720"/>
        <w:jc w:val="both"/>
        <w:rPr>
          <w:sz w:val="18"/>
        </w:rPr>
      </w:pPr>
      <w:r>
        <w:rPr>
          <w:sz w:val="18"/>
        </w:rPr>
        <w:t>Decision</w:t>
      </w:r>
      <w:r>
        <w:rPr>
          <w:spacing w:val="-4"/>
          <w:sz w:val="18"/>
        </w:rPr>
        <w:t> </w:t>
      </w:r>
      <w:r>
        <w:rPr>
          <w:sz w:val="18"/>
        </w:rPr>
        <w:t>No</w:t>
      </w:r>
      <w:r>
        <w:rPr>
          <w:spacing w:val="-4"/>
          <w:sz w:val="18"/>
        </w:rPr>
        <w:t> </w:t>
      </w:r>
      <w:r>
        <w:rPr>
          <w:sz w:val="18"/>
        </w:rPr>
        <w:t>1/2023</w:t>
      </w:r>
      <w:r>
        <w:rPr>
          <w:spacing w:val="-3"/>
          <w:sz w:val="18"/>
        </w:rPr>
        <w:t> </w:t>
      </w:r>
      <w:r>
        <w:rPr>
          <w:sz w:val="18"/>
        </w:rPr>
        <w:t>of</w:t>
      </w:r>
      <w:r>
        <w:rPr>
          <w:spacing w:val="-4"/>
          <w:sz w:val="18"/>
        </w:rPr>
        <w:t> </w:t>
      </w:r>
      <w:r>
        <w:rPr>
          <w:sz w:val="18"/>
        </w:rPr>
        <w:t>the</w:t>
      </w:r>
      <w:r>
        <w:rPr>
          <w:spacing w:val="-3"/>
          <w:sz w:val="18"/>
        </w:rPr>
        <w:t> </w:t>
      </w:r>
      <w:r>
        <w:rPr>
          <w:sz w:val="18"/>
        </w:rPr>
        <w:t>Joint</w:t>
      </w:r>
      <w:r>
        <w:rPr>
          <w:spacing w:val="-3"/>
          <w:sz w:val="18"/>
        </w:rPr>
        <w:t> </w:t>
      </w:r>
      <w:r>
        <w:rPr>
          <w:sz w:val="18"/>
        </w:rPr>
        <w:t>Committee</w:t>
      </w:r>
      <w:r>
        <w:rPr>
          <w:spacing w:val="-3"/>
          <w:sz w:val="18"/>
        </w:rPr>
        <w:t> </w:t>
      </w:r>
      <w:r>
        <w:rPr>
          <w:sz w:val="18"/>
        </w:rPr>
        <w:t>established</w:t>
      </w:r>
      <w:r>
        <w:rPr>
          <w:spacing w:val="-4"/>
          <w:sz w:val="18"/>
        </w:rPr>
        <w:t> </w:t>
      </w:r>
      <w:r>
        <w:rPr>
          <w:sz w:val="18"/>
        </w:rPr>
        <w:t>by</w:t>
      </w:r>
      <w:r>
        <w:rPr>
          <w:spacing w:val="-3"/>
          <w:sz w:val="18"/>
        </w:rPr>
        <w:t> </w:t>
      </w:r>
      <w:r>
        <w:rPr>
          <w:sz w:val="18"/>
        </w:rPr>
        <w:t>the</w:t>
      </w:r>
      <w:r>
        <w:rPr>
          <w:spacing w:val="-3"/>
          <w:sz w:val="18"/>
        </w:rPr>
        <w:t> </w:t>
      </w:r>
      <w:r>
        <w:rPr>
          <w:sz w:val="18"/>
        </w:rPr>
        <w:t>Agreement</w:t>
      </w:r>
      <w:r>
        <w:rPr>
          <w:spacing w:val="-3"/>
          <w:sz w:val="18"/>
        </w:rPr>
        <w:t> </w:t>
      </w:r>
      <w:r>
        <w:rPr>
          <w:sz w:val="18"/>
        </w:rPr>
        <w:t>on</w:t>
      </w:r>
      <w:r>
        <w:rPr>
          <w:spacing w:val="-4"/>
          <w:sz w:val="18"/>
        </w:rPr>
        <w:t> </w:t>
      </w:r>
      <w:r>
        <w:rPr>
          <w:sz w:val="18"/>
        </w:rPr>
        <w:t>the</w:t>
      </w:r>
      <w:r>
        <w:rPr>
          <w:spacing w:val="-3"/>
          <w:sz w:val="18"/>
        </w:rPr>
        <w:t> </w:t>
      </w:r>
      <w:r>
        <w:rPr>
          <w:sz w:val="18"/>
        </w:rPr>
        <w:t>Withdrawal</w:t>
      </w:r>
      <w:r>
        <w:rPr>
          <w:spacing w:val="-4"/>
          <w:sz w:val="18"/>
        </w:rPr>
        <w:t> </w:t>
      </w:r>
      <w:r>
        <w:rPr>
          <w:sz w:val="18"/>
        </w:rPr>
        <w:t>of</w:t>
      </w:r>
      <w:r>
        <w:rPr>
          <w:spacing w:val="-4"/>
          <w:sz w:val="18"/>
        </w:rPr>
        <w:t> </w:t>
      </w:r>
      <w:r>
        <w:rPr>
          <w:sz w:val="18"/>
        </w:rPr>
        <w:t>the</w:t>
      </w:r>
      <w:r>
        <w:rPr>
          <w:spacing w:val="-3"/>
          <w:sz w:val="18"/>
        </w:rPr>
        <w:t> </w:t>
      </w:r>
      <w:r>
        <w:rPr>
          <w:sz w:val="18"/>
        </w:rPr>
        <w:t>United</w:t>
      </w:r>
      <w:r>
        <w:rPr>
          <w:spacing w:val="-4"/>
          <w:sz w:val="18"/>
        </w:rPr>
        <w:t> </w:t>
      </w:r>
      <w:r>
        <w:rPr>
          <w:sz w:val="18"/>
        </w:rPr>
        <w:t>Kingdom</w:t>
      </w:r>
      <w:r>
        <w:rPr>
          <w:spacing w:val="-3"/>
          <w:sz w:val="18"/>
        </w:rPr>
        <w:t> </w:t>
      </w:r>
      <w:r>
        <w:rPr>
          <w:sz w:val="18"/>
        </w:rPr>
        <w:t>of Great</w:t>
      </w:r>
      <w:r>
        <w:rPr>
          <w:spacing w:val="-4"/>
          <w:sz w:val="18"/>
        </w:rPr>
        <w:t> </w:t>
      </w:r>
      <w:r>
        <w:rPr>
          <w:sz w:val="18"/>
        </w:rPr>
        <w:t>Britain</w:t>
      </w:r>
      <w:r>
        <w:rPr>
          <w:spacing w:val="-4"/>
          <w:sz w:val="18"/>
        </w:rPr>
        <w:t> </w:t>
      </w:r>
      <w:r>
        <w:rPr>
          <w:sz w:val="18"/>
        </w:rPr>
        <w:t>and</w:t>
      </w:r>
      <w:r>
        <w:rPr>
          <w:spacing w:val="-5"/>
          <w:sz w:val="18"/>
        </w:rPr>
        <w:t> </w:t>
      </w:r>
      <w:r>
        <w:rPr>
          <w:sz w:val="18"/>
        </w:rPr>
        <w:t>Northern</w:t>
      </w:r>
      <w:r>
        <w:rPr>
          <w:spacing w:val="-4"/>
          <w:sz w:val="18"/>
        </w:rPr>
        <w:t> </w:t>
      </w:r>
      <w:r>
        <w:rPr>
          <w:sz w:val="18"/>
        </w:rPr>
        <w:t>Ireland</w:t>
      </w:r>
      <w:r>
        <w:rPr>
          <w:spacing w:val="-5"/>
          <w:sz w:val="18"/>
        </w:rPr>
        <w:t> </w:t>
      </w:r>
      <w:r>
        <w:rPr>
          <w:sz w:val="18"/>
        </w:rPr>
        <w:t>from</w:t>
      </w:r>
      <w:r>
        <w:rPr>
          <w:spacing w:val="-4"/>
          <w:sz w:val="18"/>
        </w:rPr>
        <w:t> </w:t>
      </w:r>
      <w:r>
        <w:rPr>
          <w:sz w:val="18"/>
        </w:rPr>
        <w:t>the</w:t>
      </w:r>
      <w:r>
        <w:rPr>
          <w:spacing w:val="-4"/>
          <w:sz w:val="18"/>
        </w:rPr>
        <w:t> </w:t>
      </w:r>
      <w:r>
        <w:rPr>
          <w:sz w:val="18"/>
        </w:rPr>
        <w:t>European</w:t>
      </w:r>
      <w:r>
        <w:rPr>
          <w:spacing w:val="-4"/>
          <w:sz w:val="18"/>
        </w:rPr>
        <w:t> </w:t>
      </w:r>
      <w:r>
        <w:rPr>
          <w:sz w:val="18"/>
        </w:rPr>
        <w:t>Union</w:t>
      </w:r>
      <w:r>
        <w:rPr>
          <w:spacing w:val="-5"/>
          <w:sz w:val="18"/>
        </w:rPr>
        <w:t> </w:t>
      </w:r>
      <w:r>
        <w:rPr>
          <w:sz w:val="18"/>
        </w:rPr>
        <w:t>and</w:t>
      </w:r>
      <w:r>
        <w:rPr>
          <w:spacing w:val="-4"/>
          <w:sz w:val="18"/>
        </w:rPr>
        <w:t> </w:t>
      </w:r>
      <w:r>
        <w:rPr>
          <w:sz w:val="18"/>
        </w:rPr>
        <w:t>the</w:t>
      </w:r>
      <w:r>
        <w:rPr>
          <w:spacing w:val="-4"/>
          <w:sz w:val="18"/>
        </w:rPr>
        <w:t> </w:t>
      </w:r>
      <w:r>
        <w:rPr>
          <w:sz w:val="18"/>
        </w:rPr>
        <w:t>European</w:t>
      </w:r>
      <w:r>
        <w:rPr>
          <w:spacing w:val="-4"/>
          <w:sz w:val="18"/>
        </w:rPr>
        <w:t> </w:t>
      </w:r>
      <w:r>
        <w:rPr>
          <w:sz w:val="18"/>
        </w:rPr>
        <w:t>Atomic</w:t>
      </w:r>
      <w:r>
        <w:rPr>
          <w:spacing w:val="-4"/>
          <w:sz w:val="18"/>
        </w:rPr>
        <w:t> </w:t>
      </w:r>
      <w:r>
        <w:rPr>
          <w:sz w:val="18"/>
        </w:rPr>
        <w:t>Energy</w:t>
      </w:r>
      <w:r>
        <w:rPr>
          <w:spacing w:val="-4"/>
          <w:sz w:val="18"/>
        </w:rPr>
        <w:t> </w:t>
      </w:r>
      <w:r>
        <w:rPr>
          <w:sz w:val="18"/>
        </w:rPr>
        <w:t>Community</w:t>
      </w:r>
      <w:r>
        <w:rPr>
          <w:spacing w:val="-4"/>
          <w:sz w:val="18"/>
        </w:rPr>
        <w:t> </w:t>
      </w:r>
      <w:r>
        <w:rPr>
          <w:sz w:val="18"/>
        </w:rPr>
        <w:t>of</w:t>
      </w:r>
      <w:r>
        <w:rPr>
          <w:spacing w:val="-4"/>
          <w:sz w:val="18"/>
        </w:rPr>
        <w:t> </w:t>
      </w:r>
      <w:r>
        <w:rPr>
          <w:sz w:val="18"/>
        </w:rPr>
        <w:t>24</w:t>
      </w:r>
      <w:r>
        <w:rPr>
          <w:spacing w:val="-4"/>
          <w:sz w:val="18"/>
        </w:rPr>
        <w:t> </w:t>
      </w:r>
      <w:r>
        <w:rPr>
          <w:sz w:val="18"/>
        </w:rPr>
        <w:t>March 2023 laying down arrangements relating to the Windsor Framework.</w:t>
      </w:r>
    </w:p>
    <w:p>
      <w:pPr>
        <w:pStyle w:val="ListParagraph"/>
        <w:numPr>
          <w:ilvl w:val="0"/>
          <w:numId w:val="9"/>
        </w:numPr>
        <w:tabs>
          <w:tab w:pos="1853" w:val="left" w:leader="none"/>
        </w:tabs>
        <w:spacing w:line="235" w:lineRule="auto" w:before="2" w:after="0"/>
        <w:ind w:left="1853" w:right="1512" w:hanging="720"/>
        <w:jc w:val="left"/>
        <w:rPr>
          <w:sz w:val="18"/>
        </w:rPr>
      </w:pPr>
      <w:r>
        <w:rPr>
          <w:sz w:val="18"/>
        </w:rPr>
        <w:t>Equality</w:t>
      </w:r>
      <w:r>
        <w:rPr>
          <w:spacing w:val="-5"/>
          <w:sz w:val="18"/>
        </w:rPr>
        <w:t> </w:t>
      </w:r>
      <w:r>
        <w:rPr>
          <w:sz w:val="18"/>
        </w:rPr>
        <w:t>Commission</w:t>
      </w:r>
      <w:r>
        <w:rPr>
          <w:spacing w:val="-5"/>
          <w:sz w:val="18"/>
        </w:rPr>
        <w:t> </w:t>
      </w:r>
      <w:r>
        <w:rPr>
          <w:sz w:val="18"/>
        </w:rPr>
        <w:t>for</w:t>
      </w:r>
      <w:r>
        <w:rPr>
          <w:spacing w:val="-5"/>
          <w:sz w:val="18"/>
        </w:rPr>
        <w:t> </w:t>
      </w:r>
      <w:r>
        <w:rPr>
          <w:sz w:val="18"/>
        </w:rPr>
        <w:t>NI,</w:t>
      </w:r>
      <w:r>
        <w:rPr>
          <w:spacing w:val="-5"/>
          <w:sz w:val="18"/>
        </w:rPr>
        <w:t> </w:t>
      </w:r>
      <w:r>
        <w:rPr>
          <w:sz w:val="18"/>
        </w:rPr>
        <w:t>‘Policy</w:t>
      </w:r>
      <w:r>
        <w:rPr>
          <w:spacing w:val="-5"/>
          <w:sz w:val="18"/>
        </w:rPr>
        <w:t> </w:t>
      </w:r>
      <w:r>
        <w:rPr>
          <w:sz w:val="18"/>
        </w:rPr>
        <w:t>Recommendations:</w:t>
      </w:r>
      <w:r>
        <w:rPr>
          <w:spacing w:val="-5"/>
          <w:sz w:val="18"/>
        </w:rPr>
        <w:t> </w:t>
      </w:r>
      <w:r>
        <w:rPr>
          <w:sz w:val="18"/>
        </w:rPr>
        <w:t>Impact</w:t>
      </w:r>
      <w:r>
        <w:rPr>
          <w:spacing w:val="-5"/>
          <w:sz w:val="18"/>
        </w:rPr>
        <w:t> </w:t>
      </w:r>
      <w:r>
        <w:rPr>
          <w:sz w:val="18"/>
        </w:rPr>
        <w:t>of</w:t>
      </w:r>
      <w:r>
        <w:rPr>
          <w:spacing w:val="-5"/>
          <w:sz w:val="18"/>
        </w:rPr>
        <w:t> </w:t>
      </w:r>
      <w:r>
        <w:rPr>
          <w:sz w:val="18"/>
        </w:rPr>
        <w:t>Brexit</w:t>
      </w:r>
      <w:r>
        <w:rPr>
          <w:spacing w:val="-5"/>
          <w:sz w:val="18"/>
        </w:rPr>
        <w:t> </w:t>
      </w:r>
      <w:r>
        <w:rPr>
          <w:sz w:val="18"/>
        </w:rPr>
        <w:t>on</w:t>
      </w:r>
      <w:r>
        <w:rPr>
          <w:spacing w:val="-5"/>
          <w:sz w:val="18"/>
        </w:rPr>
        <w:t> </w:t>
      </w:r>
      <w:r>
        <w:rPr>
          <w:sz w:val="18"/>
        </w:rPr>
        <w:t>Minority</w:t>
      </w:r>
      <w:r>
        <w:rPr>
          <w:spacing w:val="-5"/>
          <w:sz w:val="18"/>
        </w:rPr>
        <w:t> </w:t>
      </w:r>
      <w:r>
        <w:rPr>
          <w:sz w:val="18"/>
        </w:rPr>
        <w:t>Ethnic</w:t>
      </w:r>
      <w:r>
        <w:rPr>
          <w:spacing w:val="-5"/>
          <w:sz w:val="18"/>
        </w:rPr>
        <w:t> </w:t>
      </w:r>
      <w:r>
        <w:rPr>
          <w:sz w:val="18"/>
        </w:rPr>
        <w:t>and</w:t>
      </w:r>
      <w:r>
        <w:rPr>
          <w:spacing w:val="-5"/>
          <w:sz w:val="18"/>
        </w:rPr>
        <w:t> </w:t>
      </w:r>
      <w:r>
        <w:rPr>
          <w:sz w:val="18"/>
        </w:rPr>
        <w:t>Migrant</w:t>
      </w:r>
      <w:r>
        <w:rPr>
          <w:spacing w:val="-5"/>
          <w:sz w:val="18"/>
        </w:rPr>
        <w:t> </w:t>
      </w:r>
      <w:r>
        <w:rPr>
          <w:sz w:val="18"/>
        </w:rPr>
        <w:t>People’</w:t>
      </w:r>
      <w:r>
        <w:rPr>
          <w:spacing w:val="-5"/>
          <w:sz w:val="18"/>
        </w:rPr>
        <w:t> </w:t>
      </w:r>
      <w:r>
        <w:rPr>
          <w:sz w:val="18"/>
        </w:rPr>
        <w:t>(ECNI </w:t>
      </w:r>
      <w:r>
        <w:rPr>
          <w:spacing w:val="-2"/>
          <w:sz w:val="18"/>
        </w:rPr>
        <w:t>2024).</w:t>
      </w:r>
    </w:p>
    <w:p>
      <w:pPr>
        <w:pStyle w:val="ListParagraph"/>
        <w:numPr>
          <w:ilvl w:val="0"/>
          <w:numId w:val="9"/>
        </w:numPr>
        <w:tabs>
          <w:tab w:pos="1853" w:val="left" w:leader="none"/>
        </w:tabs>
        <w:spacing w:line="235" w:lineRule="auto" w:before="1" w:after="0"/>
        <w:ind w:left="1853" w:right="1324" w:hanging="720"/>
        <w:jc w:val="left"/>
        <w:rPr>
          <w:sz w:val="18"/>
        </w:rPr>
      </w:pPr>
      <w:r>
        <w:rPr>
          <w:sz w:val="18"/>
        </w:rPr>
        <w:t>Equality Commission for NI and NI Council for Voluntary Action, ‘J</w:t>
      </w:r>
      <w:hyperlink r:id="rId138">
        <w:r>
          <w:rPr>
            <w:sz w:val="18"/>
          </w:rPr>
          <w:t>oint statement on Budget cuts and inequality in</w:t>
        </w:r>
      </w:hyperlink>
      <w:r>
        <w:rPr>
          <w:sz w:val="18"/>
        </w:rPr>
        <w:t> </w:t>
      </w:r>
      <w:hyperlink r:id="rId138">
        <w:r>
          <w:rPr>
            <w:sz w:val="18"/>
          </w:rPr>
          <w:t>Northern</w:t>
        </w:r>
        <w:r>
          <w:rPr>
            <w:spacing w:val="-4"/>
            <w:sz w:val="18"/>
          </w:rPr>
          <w:t> </w:t>
        </w:r>
        <w:r>
          <w:rPr>
            <w:sz w:val="18"/>
          </w:rPr>
          <w:t>Ireland</w:t>
        </w:r>
      </w:hyperlink>
      <w:r>
        <w:rPr>
          <w:sz w:val="18"/>
        </w:rPr>
        <w:t>’</w:t>
      </w:r>
      <w:r>
        <w:rPr>
          <w:spacing w:val="-3"/>
          <w:sz w:val="18"/>
        </w:rPr>
        <w:t> </w:t>
      </w:r>
      <w:r>
        <w:rPr>
          <w:sz w:val="18"/>
        </w:rPr>
        <w:t>(ECNI</w:t>
      </w:r>
      <w:r>
        <w:rPr>
          <w:spacing w:val="-3"/>
          <w:sz w:val="18"/>
        </w:rPr>
        <w:t> </w:t>
      </w:r>
      <w:r>
        <w:rPr>
          <w:sz w:val="18"/>
        </w:rPr>
        <w:t>and</w:t>
      </w:r>
      <w:r>
        <w:rPr>
          <w:spacing w:val="-4"/>
          <w:sz w:val="18"/>
        </w:rPr>
        <w:t> </w:t>
      </w:r>
      <w:r>
        <w:rPr>
          <w:sz w:val="18"/>
        </w:rPr>
        <w:t>NICVA,</w:t>
      </w:r>
      <w:r>
        <w:rPr>
          <w:spacing w:val="-3"/>
          <w:sz w:val="18"/>
        </w:rPr>
        <w:t> </w:t>
      </w:r>
      <w:r>
        <w:rPr>
          <w:sz w:val="18"/>
        </w:rPr>
        <w:t>2023).</w:t>
      </w:r>
      <w:r>
        <w:rPr>
          <w:spacing w:val="-4"/>
          <w:sz w:val="18"/>
        </w:rPr>
        <w:t> </w:t>
      </w:r>
      <w:r>
        <w:rPr>
          <w:sz w:val="18"/>
        </w:rPr>
        <w:t>For</w:t>
      </w:r>
      <w:r>
        <w:rPr>
          <w:spacing w:val="-3"/>
          <w:sz w:val="18"/>
        </w:rPr>
        <w:t> </w:t>
      </w:r>
      <w:r>
        <w:rPr>
          <w:sz w:val="18"/>
        </w:rPr>
        <w:t>further</w:t>
      </w:r>
      <w:r>
        <w:rPr>
          <w:spacing w:val="-3"/>
          <w:sz w:val="18"/>
        </w:rPr>
        <w:t> </w:t>
      </w:r>
      <w:r>
        <w:rPr>
          <w:sz w:val="18"/>
        </w:rPr>
        <w:t>discussion</w:t>
      </w:r>
      <w:r>
        <w:rPr>
          <w:spacing w:val="-4"/>
          <w:sz w:val="18"/>
        </w:rPr>
        <w:t> </w:t>
      </w:r>
      <w:r>
        <w:rPr>
          <w:sz w:val="18"/>
        </w:rPr>
        <w:t>on</w:t>
      </w:r>
      <w:r>
        <w:rPr>
          <w:spacing w:val="-4"/>
          <w:sz w:val="18"/>
        </w:rPr>
        <w:t> </w:t>
      </w:r>
      <w:r>
        <w:rPr>
          <w:sz w:val="18"/>
        </w:rPr>
        <w:t>the</w:t>
      </w:r>
      <w:r>
        <w:rPr>
          <w:spacing w:val="-3"/>
          <w:sz w:val="18"/>
        </w:rPr>
        <w:t> </w:t>
      </w:r>
      <w:r>
        <w:rPr>
          <w:sz w:val="18"/>
        </w:rPr>
        <w:t>impact</w:t>
      </w:r>
      <w:r>
        <w:rPr>
          <w:spacing w:val="-3"/>
          <w:sz w:val="18"/>
        </w:rPr>
        <w:t> </w:t>
      </w:r>
      <w:r>
        <w:rPr>
          <w:sz w:val="18"/>
        </w:rPr>
        <w:t>of</w:t>
      </w:r>
      <w:r>
        <w:rPr>
          <w:spacing w:val="-4"/>
          <w:sz w:val="18"/>
        </w:rPr>
        <w:t> </w:t>
      </w:r>
      <w:r>
        <w:rPr>
          <w:sz w:val="18"/>
        </w:rPr>
        <w:t>the</w:t>
      </w:r>
      <w:r>
        <w:rPr>
          <w:spacing w:val="-3"/>
          <w:sz w:val="18"/>
        </w:rPr>
        <w:t> </w:t>
      </w:r>
      <w:r>
        <w:rPr>
          <w:sz w:val="18"/>
        </w:rPr>
        <w:t>loss</w:t>
      </w:r>
      <w:r>
        <w:rPr>
          <w:spacing w:val="-4"/>
          <w:sz w:val="18"/>
        </w:rPr>
        <w:t> </w:t>
      </w:r>
      <w:r>
        <w:rPr>
          <w:sz w:val="18"/>
        </w:rPr>
        <w:t>of</w:t>
      </w:r>
      <w:r>
        <w:rPr>
          <w:spacing w:val="-4"/>
          <w:sz w:val="18"/>
        </w:rPr>
        <w:t> </w:t>
      </w:r>
      <w:r>
        <w:rPr>
          <w:sz w:val="18"/>
        </w:rPr>
        <w:t>EU</w:t>
      </w:r>
      <w:r>
        <w:rPr>
          <w:spacing w:val="-3"/>
          <w:sz w:val="18"/>
        </w:rPr>
        <w:t> </w:t>
      </w:r>
      <w:r>
        <w:rPr>
          <w:sz w:val="18"/>
        </w:rPr>
        <w:t>funding</w:t>
      </w:r>
      <w:r>
        <w:rPr>
          <w:spacing w:val="-3"/>
          <w:sz w:val="18"/>
        </w:rPr>
        <w:t> </w:t>
      </w:r>
      <w:r>
        <w:rPr>
          <w:sz w:val="18"/>
        </w:rPr>
        <w:t>see</w:t>
      </w:r>
      <w:r>
        <w:rPr>
          <w:spacing w:val="-3"/>
          <w:sz w:val="18"/>
        </w:rPr>
        <w:t> </w:t>
      </w:r>
      <w:r>
        <w:rPr>
          <w:sz w:val="18"/>
        </w:rPr>
        <w:t>the</w:t>
      </w:r>
      <w:r>
        <w:rPr>
          <w:spacing w:val="-3"/>
          <w:sz w:val="18"/>
        </w:rPr>
        <w:t> </w:t>
      </w:r>
      <w:r>
        <w:rPr>
          <w:sz w:val="18"/>
        </w:rPr>
        <w:t>related Section in Chapter 4.</w:t>
      </w:r>
    </w:p>
    <w:p>
      <w:pPr>
        <w:spacing w:after="0" w:line="235" w:lineRule="auto"/>
        <w:jc w:val="left"/>
        <w:rPr>
          <w:sz w:val="18"/>
        </w:rPr>
        <w:sectPr>
          <w:pgSz w:w="11910" w:h="16840"/>
          <w:pgMar w:header="496" w:footer="367" w:top="1220" w:bottom="560" w:left="0" w:right="0"/>
        </w:sectPr>
      </w:pPr>
    </w:p>
    <w:p>
      <w:pPr>
        <w:pStyle w:val="BodyText"/>
        <w:spacing w:before="198"/>
      </w:pPr>
    </w:p>
    <w:p>
      <w:pPr>
        <w:pStyle w:val="ListParagraph"/>
        <w:numPr>
          <w:ilvl w:val="1"/>
          <w:numId w:val="7"/>
        </w:numPr>
        <w:tabs>
          <w:tab w:pos="1853" w:val="left" w:leader="none"/>
        </w:tabs>
        <w:spacing w:line="225" w:lineRule="auto" w:before="0" w:after="0"/>
        <w:ind w:left="1853" w:right="1308" w:hanging="720"/>
        <w:jc w:val="left"/>
        <w:rPr>
          <w:b/>
          <w:color w:val="67287F"/>
          <w:sz w:val="28"/>
        </w:rPr>
      </w:pPr>
      <w:bookmarkStart w:name="_bookmark23" w:id="51"/>
      <w:bookmarkEnd w:id="51"/>
      <w:r>
        <w:rPr/>
      </w:r>
      <w:r>
        <w:rPr>
          <w:b/>
          <w:color w:val="67287F"/>
          <w:sz w:val="28"/>
        </w:rPr>
        <w:t>The Commissions advise the Executive Office that, pursuant to Articles 2 and</w:t>
      </w:r>
      <w:r>
        <w:rPr>
          <w:b/>
          <w:color w:val="67287F"/>
          <w:spacing w:val="-4"/>
          <w:sz w:val="28"/>
        </w:rPr>
        <w:t> </w:t>
      </w:r>
      <w:r>
        <w:rPr>
          <w:b/>
          <w:color w:val="67287F"/>
          <w:sz w:val="28"/>
        </w:rPr>
        <w:t>13</w:t>
      </w:r>
      <w:r>
        <w:rPr>
          <w:b/>
          <w:color w:val="67287F"/>
          <w:spacing w:val="-4"/>
          <w:sz w:val="28"/>
        </w:rPr>
        <w:t> </w:t>
      </w:r>
      <w:r>
        <w:rPr>
          <w:b/>
          <w:color w:val="67287F"/>
          <w:sz w:val="28"/>
        </w:rPr>
        <w:t>of</w:t>
      </w:r>
      <w:r>
        <w:rPr>
          <w:b/>
          <w:color w:val="67287F"/>
          <w:spacing w:val="-5"/>
          <w:sz w:val="28"/>
        </w:rPr>
        <w:t> </w:t>
      </w:r>
      <w:r>
        <w:rPr>
          <w:b/>
          <w:color w:val="67287F"/>
          <w:sz w:val="28"/>
        </w:rPr>
        <w:t>the</w:t>
      </w:r>
      <w:r>
        <w:rPr>
          <w:b/>
          <w:color w:val="67287F"/>
          <w:spacing w:val="-5"/>
          <w:sz w:val="28"/>
        </w:rPr>
        <w:t> </w:t>
      </w:r>
      <w:r>
        <w:rPr>
          <w:b/>
          <w:color w:val="67287F"/>
          <w:sz w:val="28"/>
        </w:rPr>
        <w:t>Windsor</w:t>
      </w:r>
      <w:r>
        <w:rPr>
          <w:b/>
          <w:color w:val="67287F"/>
          <w:spacing w:val="-5"/>
          <w:sz w:val="28"/>
        </w:rPr>
        <w:t> </w:t>
      </w:r>
      <w:r>
        <w:rPr>
          <w:b/>
          <w:color w:val="67287F"/>
          <w:sz w:val="28"/>
        </w:rPr>
        <w:t>Framework,</w:t>
      </w:r>
      <w:r>
        <w:rPr>
          <w:b/>
          <w:color w:val="67287F"/>
          <w:spacing w:val="-4"/>
          <w:sz w:val="28"/>
        </w:rPr>
        <w:t> </w:t>
      </w:r>
      <w:r>
        <w:rPr>
          <w:b/>
          <w:color w:val="67287F"/>
          <w:sz w:val="28"/>
        </w:rPr>
        <w:t>NI</w:t>
      </w:r>
      <w:r>
        <w:rPr>
          <w:b/>
          <w:color w:val="67287F"/>
          <w:spacing w:val="-4"/>
          <w:sz w:val="28"/>
        </w:rPr>
        <w:t> </w:t>
      </w:r>
      <w:r>
        <w:rPr>
          <w:b/>
          <w:color w:val="67287F"/>
          <w:sz w:val="28"/>
        </w:rPr>
        <w:t>law</w:t>
      </w:r>
      <w:r>
        <w:rPr>
          <w:b/>
          <w:color w:val="67287F"/>
          <w:spacing w:val="-5"/>
          <w:sz w:val="28"/>
        </w:rPr>
        <w:t> </w:t>
      </w:r>
      <w:r>
        <w:rPr>
          <w:b/>
          <w:color w:val="67287F"/>
          <w:sz w:val="28"/>
        </w:rPr>
        <w:t>should</w:t>
      </w:r>
      <w:r>
        <w:rPr>
          <w:b/>
          <w:color w:val="67287F"/>
          <w:spacing w:val="-4"/>
          <w:sz w:val="28"/>
        </w:rPr>
        <w:t> </w:t>
      </w:r>
      <w:r>
        <w:rPr>
          <w:b/>
          <w:color w:val="67287F"/>
          <w:sz w:val="28"/>
        </w:rPr>
        <w:t>be</w:t>
      </w:r>
      <w:r>
        <w:rPr>
          <w:b/>
          <w:color w:val="67287F"/>
          <w:spacing w:val="-5"/>
          <w:sz w:val="28"/>
        </w:rPr>
        <w:t> </w:t>
      </w:r>
      <w:r>
        <w:rPr>
          <w:b/>
          <w:color w:val="67287F"/>
          <w:sz w:val="28"/>
        </w:rPr>
        <w:t>amended</w:t>
      </w:r>
      <w:r>
        <w:rPr>
          <w:b/>
          <w:color w:val="67287F"/>
          <w:spacing w:val="-4"/>
          <w:sz w:val="28"/>
        </w:rPr>
        <w:t> </w:t>
      </w:r>
      <w:r>
        <w:rPr>
          <w:b/>
          <w:color w:val="67287F"/>
          <w:sz w:val="28"/>
        </w:rPr>
        <w:t>to</w:t>
      </w:r>
      <w:r>
        <w:rPr>
          <w:b/>
          <w:color w:val="67287F"/>
          <w:spacing w:val="-4"/>
          <w:sz w:val="28"/>
        </w:rPr>
        <w:t> </w:t>
      </w:r>
      <w:r>
        <w:rPr>
          <w:b/>
          <w:color w:val="67287F"/>
          <w:sz w:val="28"/>
        </w:rPr>
        <w:t>keep</w:t>
      </w:r>
      <w:r>
        <w:rPr>
          <w:b/>
          <w:color w:val="67287F"/>
          <w:spacing w:val="-4"/>
          <w:sz w:val="28"/>
        </w:rPr>
        <w:t> </w:t>
      </w:r>
      <w:r>
        <w:rPr>
          <w:b/>
          <w:color w:val="67287F"/>
          <w:sz w:val="28"/>
        </w:rPr>
        <w:t>pace</w:t>
      </w:r>
    </w:p>
    <w:p>
      <w:pPr>
        <w:spacing w:line="225" w:lineRule="auto" w:before="0"/>
        <w:ind w:left="1853" w:right="1124" w:firstLine="0"/>
        <w:jc w:val="left"/>
        <w:rPr>
          <w:b/>
          <w:sz w:val="28"/>
        </w:rPr>
      </w:pPr>
      <w:r>
        <w:rPr>
          <w:b/>
          <w:color w:val="67287F"/>
          <w:sz w:val="28"/>
        </w:rPr>
        <w:t>with</w:t>
      </w:r>
      <w:r>
        <w:rPr>
          <w:b/>
          <w:color w:val="67287F"/>
          <w:spacing w:val="-5"/>
          <w:sz w:val="28"/>
        </w:rPr>
        <w:t> </w:t>
      </w:r>
      <w:r>
        <w:rPr>
          <w:b/>
          <w:color w:val="67287F"/>
          <w:sz w:val="28"/>
        </w:rPr>
        <w:t>those</w:t>
      </w:r>
      <w:r>
        <w:rPr>
          <w:b/>
          <w:color w:val="67287F"/>
          <w:spacing w:val="-6"/>
          <w:sz w:val="28"/>
        </w:rPr>
        <w:t> </w:t>
      </w:r>
      <w:r>
        <w:rPr>
          <w:b/>
          <w:color w:val="67287F"/>
          <w:sz w:val="28"/>
        </w:rPr>
        <w:t>provisions</w:t>
      </w:r>
      <w:r>
        <w:rPr>
          <w:b/>
          <w:color w:val="67287F"/>
          <w:spacing w:val="-5"/>
          <w:sz w:val="28"/>
        </w:rPr>
        <w:t> </w:t>
      </w:r>
      <w:r>
        <w:rPr>
          <w:b/>
          <w:color w:val="67287F"/>
          <w:sz w:val="28"/>
        </w:rPr>
        <w:t>of</w:t>
      </w:r>
      <w:r>
        <w:rPr>
          <w:b/>
          <w:color w:val="67287F"/>
          <w:spacing w:val="-6"/>
          <w:sz w:val="28"/>
        </w:rPr>
        <w:t> </w:t>
      </w:r>
      <w:r>
        <w:rPr>
          <w:b/>
          <w:color w:val="67287F"/>
          <w:sz w:val="28"/>
        </w:rPr>
        <w:t>the</w:t>
      </w:r>
      <w:r>
        <w:rPr>
          <w:b/>
          <w:color w:val="67287F"/>
          <w:spacing w:val="-6"/>
          <w:sz w:val="28"/>
        </w:rPr>
        <w:t> </w:t>
      </w:r>
      <w:r>
        <w:rPr>
          <w:b/>
          <w:color w:val="67287F"/>
          <w:sz w:val="28"/>
        </w:rPr>
        <w:t>EU</w:t>
      </w:r>
      <w:r>
        <w:rPr>
          <w:b/>
          <w:color w:val="67287F"/>
          <w:spacing w:val="-5"/>
          <w:sz w:val="28"/>
        </w:rPr>
        <w:t> </w:t>
      </w:r>
      <w:r>
        <w:rPr>
          <w:b/>
          <w:color w:val="67287F"/>
          <w:sz w:val="28"/>
        </w:rPr>
        <w:t>directives</w:t>
      </w:r>
      <w:r>
        <w:rPr>
          <w:b/>
          <w:color w:val="67287F"/>
          <w:spacing w:val="-5"/>
          <w:sz w:val="28"/>
        </w:rPr>
        <w:t> </w:t>
      </w:r>
      <w:r>
        <w:rPr>
          <w:b/>
          <w:color w:val="67287F"/>
          <w:sz w:val="28"/>
        </w:rPr>
        <w:t>on</w:t>
      </w:r>
      <w:r>
        <w:rPr>
          <w:b/>
          <w:color w:val="67287F"/>
          <w:spacing w:val="-5"/>
          <w:sz w:val="28"/>
        </w:rPr>
        <w:t> </w:t>
      </w:r>
      <w:r>
        <w:rPr>
          <w:b/>
          <w:color w:val="67287F"/>
          <w:sz w:val="28"/>
        </w:rPr>
        <w:t>standards</w:t>
      </w:r>
      <w:r>
        <w:rPr>
          <w:b/>
          <w:color w:val="67287F"/>
          <w:spacing w:val="-5"/>
          <w:sz w:val="28"/>
        </w:rPr>
        <w:t> </w:t>
      </w:r>
      <w:r>
        <w:rPr>
          <w:b/>
          <w:color w:val="67287F"/>
          <w:sz w:val="28"/>
        </w:rPr>
        <w:t>for</w:t>
      </w:r>
      <w:r>
        <w:rPr>
          <w:b/>
          <w:color w:val="67287F"/>
          <w:spacing w:val="-6"/>
          <w:sz w:val="28"/>
        </w:rPr>
        <w:t> </w:t>
      </w:r>
      <w:r>
        <w:rPr>
          <w:b/>
          <w:color w:val="67287F"/>
          <w:sz w:val="28"/>
        </w:rPr>
        <w:t>equality</w:t>
      </w:r>
      <w:r>
        <w:rPr>
          <w:b/>
          <w:color w:val="67287F"/>
          <w:spacing w:val="-5"/>
          <w:sz w:val="28"/>
        </w:rPr>
        <w:t> </w:t>
      </w:r>
      <w:r>
        <w:rPr>
          <w:b/>
          <w:color w:val="67287F"/>
          <w:sz w:val="28"/>
        </w:rPr>
        <w:t>bodies,</w:t>
      </w:r>
      <w:r>
        <w:rPr>
          <w:b/>
          <w:color w:val="67287F"/>
          <w:spacing w:val="-5"/>
          <w:sz w:val="28"/>
        </w:rPr>
        <w:t> </w:t>
      </w:r>
      <w:r>
        <w:rPr>
          <w:b/>
          <w:color w:val="67287F"/>
          <w:sz w:val="28"/>
        </w:rPr>
        <w:t>if adopted, which amend or replace the EU Racial Equality Directive.</w:t>
      </w:r>
    </w:p>
    <w:p>
      <w:pPr>
        <w:pStyle w:val="ListParagraph"/>
        <w:numPr>
          <w:ilvl w:val="1"/>
          <w:numId w:val="7"/>
        </w:numPr>
        <w:tabs>
          <w:tab w:pos="1853" w:val="left" w:leader="none"/>
        </w:tabs>
        <w:spacing w:line="225" w:lineRule="auto" w:before="315" w:after="0"/>
        <w:ind w:left="1853" w:right="1400" w:hanging="720"/>
        <w:jc w:val="left"/>
        <w:rPr>
          <w:b/>
          <w:color w:val="67287F"/>
          <w:sz w:val="28"/>
        </w:rPr>
      </w:pPr>
      <w:r>
        <w:rPr>
          <w:b/>
          <w:color w:val="67287F"/>
          <w:sz w:val="28"/>
        </w:rPr>
        <w:t>The NIHRC recommends that the EU Racial Equality Directive is amended to include a specific acknowledgement of the significance of Windsor Framework</w:t>
      </w:r>
      <w:r>
        <w:rPr>
          <w:b/>
          <w:color w:val="67287F"/>
          <w:spacing w:val="-7"/>
          <w:sz w:val="28"/>
        </w:rPr>
        <w:t> </w:t>
      </w:r>
      <w:r>
        <w:rPr>
          <w:b/>
          <w:color w:val="67287F"/>
          <w:sz w:val="28"/>
        </w:rPr>
        <w:t>Article</w:t>
      </w:r>
      <w:r>
        <w:rPr>
          <w:b/>
          <w:color w:val="67287F"/>
          <w:spacing w:val="-7"/>
          <w:sz w:val="28"/>
        </w:rPr>
        <w:t> </w:t>
      </w:r>
      <w:r>
        <w:rPr>
          <w:b/>
          <w:color w:val="67287F"/>
          <w:sz w:val="28"/>
        </w:rPr>
        <w:t>2</w:t>
      </w:r>
      <w:r>
        <w:rPr>
          <w:b/>
          <w:color w:val="67287F"/>
          <w:spacing w:val="-6"/>
          <w:sz w:val="28"/>
        </w:rPr>
        <w:t> </w:t>
      </w:r>
      <w:r>
        <w:rPr>
          <w:b/>
          <w:color w:val="67287F"/>
          <w:sz w:val="28"/>
        </w:rPr>
        <w:t>and</w:t>
      </w:r>
      <w:r>
        <w:rPr>
          <w:b/>
          <w:color w:val="67287F"/>
          <w:spacing w:val="-6"/>
          <w:sz w:val="28"/>
        </w:rPr>
        <w:t> </w:t>
      </w:r>
      <w:r>
        <w:rPr>
          <w:b/>
          <w:color w:val="67287F"/>
          <w:sz w:val="28"/>
        </w:rPr>
        <w:t>the</w:t>
      </w:r>
      <w:r>
        <w:rPr>
          <w:b/>
          <w:color w:val="67287F"/>
          <w:spacing w:val="-7"/>
          <w:sz w:val="28"/>
        </w:rPr>
        <w:t> </w:t>
      </w:r>
      <w:r>
        <w:rPr>
          <w:b/>
          <w:color w:val="67287F"/>
          <w:sz w:val="28"/>
        </w:rPr>
        <w:t>keep</w:t>
      </w:r>
      <w:r>
        <w:rPr>
          <w:b/>
          <w:color w:val="67287F"/>
          <w:spacing w:val="-6"/>
          <w:sz w:val="28"/>
        </w:rPr>
        <w:t> </w:t>
      </w:r>
      <w:r>
        <w:rPr>
          <w:b/>
          <w:color w:val="67287F"/>
          <w:sz w:val="28"/>
        </w:rPr>
        <w:t>pace</w:t>
      </w:r>
      <w:r>
        <w:rPr>
          <w:b/>
          <w:color w:val="67287F"/>
          <w:spacing w:val="-7"/>
          <w:sz w:val="28"/>
        </w:rPr>
        <w:t> </w:t>
      </w:r>
      <w:r>
        <w:rPr>
          <w:b/>
          <w:color w:val="67287F"/>
          <w:sz w:val="28"/>
        </w:rPr>
        <w:t>obligations</w:t>
      </w:r>
      <w:r>
        <w:rPr>
          <w:b/>
          <w:color w:val="67287F"/>
          <w:spacing w:val="-6"/>
          <w:sz w:val="28"/>
        </w:rPr>
        <w:t> </w:t>
      </w:r>
      <w:r>
        <w:rPr>
          <w:b/>
          <w:color w:val="67287F"/>
          <w:sz w:val="28"/>
        </w:rPr>
        <w:t>for</w:t>
      </w:r>
      <w:r>
        <w:rPr>
          <w:b/>
          <w:color w:val="67287F"/>
          <w:spacing w:val="-7"/>
          <w:sz w:val="28"/>
        </w:rPr>
        <w:t> </w:t>
      </w:r>
      <w:r>
        <w:rPr>
          <w:b/>
          <w:color w:val="67287F"/>
          <w:sz w:val="28"/>
        </w:rPr>
        <w:t>racial</w:t>
      </w:r>
      <w:r>
        <w:rPr>
          <w:b/>
          <w:color w:val="67287F"/>
          <w:spacing w:val="-6"/>
          <w:sz w:val="28"/>
        </w:rPr>
        <w:t> </w:t>
      </w:r>
      <w:r>
        <w:rPr>
          <w:b/>
          <w:color w:val="67287F"/>
          <w:sz w:val="28"/>
        </w:rPr>
        <w:t>equality</w:t>
      </w:r>
      <w:r>
        <w:rPr>
          <w:b/>
          <w:color w:val="67287F"/>
          <w:spacing w:val="-6"/>
          <w:sz w:val="28"/>
        </w:rPr>
        <w:t> </w:t>
      </w:r>
      <w:r>
        <w:rPr>
          <w:b/>
          <w:color w:val="67287F"/>
          <w:sz w:val="28"/>
        </w:rPr>
        <w:t>in</w:t>
      </w:r>
      <w:r>
        <w:rPr>
          <w:b/>
          <w:color w:val="67287F"/>
          <w:spacing w:val="-6"/>
          <w:sz w:val="28"/>
        </w:rPr>
        <w:t> </w:t>
      </w:r>
      <w:r>
        <w:rPr>
          <w:b/>
          <w:color w:val="67287F"/>
          <w:sz w:val="28"/>
        </w:rPr>
        <w:t>NI.</w:t>
      </w:r>
    </w:p>
    <w:p>
      <w:pPr>
        <w:pStyle w:val="ListParagraph"/>
        <w:numPr>
          <w:ilvl w:val="1"/>
          <w:numId w:val="7"/>
        </w:numPr>
        <w:tabs>
          <w:tab w:pos="1853" w:val="left" w:leader="none"/>
        </w:tabs>
        <w:spacing w:line="225" w:lineRule="auto" w:before="316" w:after="0"/>
        <w:ind w:left="1853" w:right="1264" w:hanging="720"/>
        <w:jc w:val="left"/>
        <w:rPr>
          <w:b/>
          <w:color w:val="67287F"/>
          <w:sz w:val="28"/>
        </w:rPr>
      </w:pPr>
      <w:r>
        <w:rPr>
          <w:b/>
          <w:color w:val="67287F"/>
          <w:sz w:val="28"/>
        </w:rPr>
        <w:t>The NIHRC recommends that the Executive Office takes effective steps to ensure its data collection on racial equality is consistent, extensive and disaggregated.</w:t>
      </w:r>
      <w:r>
        <w:rPr>
          <w:b/>
          <w:color w:val="67287F"/>
          <w:spacing w:val="-7"/>
          <w:sz w:val="28"/>
        </w:rPr>
        <w:t> </w:t>
      </w:r>
      <w:r>
        <w:rPr>
          <w:b/>
          <w:color w:val="67287F"/>
          <w:sz w:val="28"/>
        </w:rPr>
        <w:t>This</w:t>
      </w:r>
      <w:r>
        <w:rPr>
          <w:b/>
          <w:color w:val="67287F"/>
          <w:spacing w:val="-6"/>
          <w:sz w:val="28"/>
        </w:rPr>
        <w:t> </w:t>
      </w:r>
      <w:r>
        <w:rPr>
          <w:b/>
          <w:color w:val="67287F"/>
          <w:sz w:val="28"/>
        </w:rPr>
        <w:t>includes</w:t>
      </w:r>
      <w:r>
        <w:rPr>
          <w:b/>
          <w:color w:val="67287F"/>
          <w:spacing w:val="-6"/>
          <w:sz w:val="28"/>
        </w:rPr>
        <w:t> </w:t>
      </w:r>
      <w:r>
        <w:rPr>
          <w:b/>
          <w:color w:val="67287F"/>
          <w:sz w:val="28"/>
        </w:rPr>
        <w:t>working</w:t>
      </w:r>
      <w:r>
        <w:rPr>
          <w:b/>
          <w:color w:val="67287F"/>
          <w:spacing w:val="-7"/>
          <w:sz w:val="28"/>
        </w:rPr>
        <w:t> </w:t>
      </w:r>
      <w:r>
        <w:rPr>
          <w:b/>
          <w:color w:val="67287F"/>
          <w:sz w:val="28"/>
        </w:rPr>
        <w:t>with</w:t>
      </w:r>
      <w:r>
        <w:rPr>
          <w:b/>
          <w:color w:val="67287F"/>
          <w:spacing w:val="-6"/>
          <w:sz w:val="28"/>
        </w:rPr>
        <w:t> </w:t>
      </w:r>
      <w:r>
        <w:rPr>
          <w:b/>
          <w:color w:val="67287F"/>
          <w:sz w:val="28"/>
        </w:rPr>
        <w:t>the</w:t>
      </w:r>
      <w:r>
        <w:rPr>
          <w:b/>
          <w:color w:val="67287F"/>
          <w:spacing w:val="-7"/>
          <w:sz w:val="28"/>
        </w:rPr>
        <w:t> </w:t>
      </w:r>
      <w:r>
        <w:rPr>
          <w:b/>
          <w:color w:val="67287F"/>
          <w:sz w:val="28"/>
        </w:rPr>
        <w:t>NI</w:t>
      </w:r>
      <w:r>
        <w:rPr>
          <w:b/>
          <w:color w:val="67287F"/>
          <w:spacing w:val="-6"/>
          <w:sz w:val="28"/>
        </w:rPr>
        <w:t> </w:t>
      </w:r>
      <w:r>
        <w:rPr>
          <w:b/>
          <w:color w:val="67287F"/>
          <w:sz w:val="28"/>
        </w:rPr>
        <w:t>Executive</w:t>
      </w:r>
      <w:r>
        <w:rPr>
          <w:b/>
          <w:color w:val="67287F"/>
          <w:spacing w:val="-7"/>
          <w:sz w:val="28"/>
        </w:rPr>
        <w:t> </w:t>
      </w:r>
      <w:r>
        <w:rPr>
          <w:b/>
          <w:color w:val="67287F"/>
          <w:sz w:val="28"/>
        </w:rPr>
        <w:t>and</w:t>
      </w:r>
      <w:r>
        <w:rPr>
          <w:b/>
          <w:color w:val="67287F"/>
          <w:spacing w:val="-6"/>
          <w:sz w:val="28"/>
        </w:rPr>
        <w:t> </w:t>
      </w:r>
      <w:r>
        <w:rPr>
          <w:b/>
          <w:color w:val="67287F"/>
          <w:sz w:val="28"/>
        </w:rPr>
        <w:t>NI</w:t>
      </w:r>
      <w:r>
        <w:rPr>
          <w:b/>
          <w:color w:val="67287F"/>
          <w:spacing w:val="-6"/>
          <w:sz w:val="28"/>
        </w:rPr>
        <w:t> </w:t>
      </w:r>
      <w:r>
        <w:rPr>
          <w:b/>
          <w:color w:val="67287F"/>
          <w:sz w:val="28"/>
        </w:rPr>
        <w:t>Assembly to promptly amend the Race Relations (NI) Order 1997 so that it imposes a duty</w:t>
      </w:r>
      <w:r>
        <w:rPr>
          <w:b/>
          <w:color w:val="67287F"/>
          <w:spacing w:val="-5"/>
          <w:sz w:val="28"/>
        </w:rPr>
        <w:t> </w:t>
      </w:r>
      <w:r>
        <w:rPr>
          <w:b/>
          <w:color w:val="67287F"/>
          <w:sz w:val="28"/>
        </w:rPr>
        <w:t>on</w:t>
      </w:r>
      <w:r>
        <w:rPr>
          <w:b/>
          <w:color w:val="67287F"/>
          <w:spacing w:val="-5"/>
          <w:sz w:val="28"/>
        </w:rPr>
        <w:t> </w:t>
      </w:r>
      <w:r>
        <w:rPr>
          <w:b/>
          <w:color w:val="67287F"/>
          <w:sz w:val="28"/>
        </w:rPr>
        <w:t>specified</w:t>
      </w:r>
      <w:r>
        <w:rPr>
          <w:b/>
          <w:color w:val="67287F"/>
          <w:spacing w:val="-5"/>
          <w:sz w:val="28"/>
        </w:rPr>
        <w:t> </w:t>
      </w:r>
      <w:r>
        <w:rPr>
          <w:b/>
          <w:color w:val="67287F"/>
          <w:sz w:val="28"/>
        </w:rPr>
        <w:t>public</w:t>
      </w:r>
      <w:r>
        <w:rPr>
          <w:b/>
          <w:color w:val="67287F"/>
          <w:spacing w:val="-6"/>
          <w:sz w:val="28"/>
        </w:rPr>
        <w:t> </w:t>
      </w:r>
      <w:r>
        <w:rPr>
          <w:b/>
          <w:color w:val="67287F"/>
          <w:sz w:val="28"/>
        </w:rPr>
        <w:t>authorities</w:t>
      </w:r>
      <w:r>
        <w:rPr>
          <w:b/>
          <w:color w:val="67287F"/>
          <w:spacing w:val="-5"/>
          <w:sz w:val="28"/>
        </w:rPr>
        <w:t> </w:t>
      </w:r>
      <w:r>
        <w:rPr>
          <w:b/>
          <w:color w:val="67287F"/>
          <w:sz w:val="28"/>
        </w:rPr>
        <w:t>to</w:t>
      </w:r>
      <w:r>
        <w:rPr>
          <w:b/>
          <w:color w:val="67287F"/>
          <w:spacing w:val="-5"/>
          <w:sz w:val="28"/>
        </w:rPr>
        <w:t> </w:t>
      </w:r>
      <w:r>
        <w:rPr>
          <w:b/>
          <w:color w:val="67287F"/>
          <w:sz w:val="28"/>
        </w:rPr>
        <w:t>collect</w:t>
      </w:r>
      <w:r>
        <w:rPr>
          <w:b/>
          <w:color w:val="67287F"/>
          <w:spacing w:val="-5"/>
          <w:sz w:val="28"/>
        </w:rPr>
        <w:t> </w:t>
      </w:r>
      <w:r>
        <w:rPr>
          <w:b/>
          <w:color w:val="67287F"/>
          <w:sz w:val="28"/>
        </w:rPr>
        <w:t>data</w:t>
      </w:r>
      <w:r>
        <w:rPr>
          <w:b/>
          <w:color w:val="67287F"/>
          <w:spacing w:val="-5"/>
          <w:sz w:val="28"/>
        </w:rPr>
        <w:t> </w:t>
      </w:r>
      <w:r>
        <w:rPr>
          <w:b/>
          <w:color w:val="67287F"/>
          <w:sz w:val="28"/>
        </w:rPr>
        <w:t>on</w:t>
      </w:r>
      <w:r>
        <w:rPr>
          <w:b/>
          <w:color w:val="67287F"/>
          <w:spacing w:val="-5"/>
          <w:sz w:val="28"/>
        </w:rPr>
        <w:t> </w:t>
      </w:r>
      <w:r>
        <w:rPr>
          <w:b/>
          <w:color w:val="67287F"/>
          <w:sz w:val="28"/>
        </w:rPr>
        <w:t>racial</w:t>
      </w:r>
      <w:r>
        <w:rPr>
          <w:b/>
          <w:color w:val="67287F"/>
          <w:spacing w:val="-5"/>
          <w:sz w:val="28"/>
        </w:rPr>
        <w:t> </w:t>
      </w:r>
      <w:r>
        <w:rPr>
          <w:b/>
          <w:color w:val="67287F"/>
          <w:sz w:val="28"/>
        </w:rPr>
        <w:t>equality</w:t>
      </w:r>
      <w:r>
        <w:rPr>
          <w:b/>
          <w:color w:val="67287F"/>
          <w:spacing w:val="-5"/>
          <w:sz w:val="28"/>
        </w:rPr>
        <w:t> </w:t>
      </w:r>
      <w:r>
        <w:rPr>
          <w:b/>
          <w:color w:val="67287F"/>
          <w:sz w:val="28"/>
        </w:rPr>
        <w:t>and</w:t>
      </w:r>
      <w:r>
        <w:rPr>
          <w:b/>
          <w:color w:val="67287F"/>
          <w:spacing w:val="-5"/>
          <w:sz w:val="28"/>
        </w:rPr>
        <w:t> </w:t>
      </w:r>
      <w:r>
        <w:rPr>
          <w:b/>
          <w:color w:val="67287F"/>
          <w:sz w:val="28"/>
        </w:rPr>
        <w:t>set racial equality objectives.</w:t>
      </w:r>
    </w:p>
    <w:p>
      <w:pPr>
        <w:pStyle w:val="ListParagraph"/>
        <w:numPr>
          <w:ilvl w:val="1"/>
          <w:numId w:val="7"/>
        </w:numPr>
        <w:tabs>
          <w:tab w:pos="1853" w:val="left" w:leader="none"/>
        </w:tabs>
        <w:spacing w:line="225" w:lineRule="auto" w:before="313" w:after="0"/>
        <w:ind w:left="1853" w:right="1585" w:hanging="720"/>
        <w:jc w:val="left"/>
        <w:rPr>
          <w:b/>
          <w:color w:val="67287F"/>
          <w:sz w:val="28"/>
        </w:rPr>
      </w:pPr>
      <w:r>
        <w:rPr>
          <w:b/>
          <w:color w:val="67287F"/>
          <w:sz w:val="28"/>
        </w:rPr>
        <w:t>The ECNI recommends that the Racial Equality Strategy and action plan address</w:t>
      </w:r>
      <w:r>
        <w:rPr>
          <w:b/>
          <w:color w:val="67287F"/>
          <w:spacing w:val="-6"/>
          <w:sz w:val="28"/>
        </w:rPr>
        <w:t> </w:t>
      </w:r>
      <w:r>
        <w:rPr>
          <w:b/>
          <w:color w:val="67287F"/>
          <w:sz w:val="28"/>
        </w:rPr>
        <w:t>its</w:t>
      </w:r>
      <w:r>
        <w:rPr>
          <w:b/>
          <w:color w:val="67287F"/>
          <w:spacing w:val="-6"/>
          <w:sz w:val="28"/>
        </w:rPr>
        <w:t> </w:t>
      </w:r>
      <w:r>
        <w:rPr>
          <w:b/>
          <w:color w:val="67287F"/>
          <w:sz w:val="28"/>
        </w:rPr>
        <w:t>recommendations</w:t>
      </w:r>
      <w:r>
        <w:rPr>
          <w:b/>
          <w:color w:val="67287F"/>
          <w:spacing w:val="-6"/>
          <w:sz w:val="28"/>
        </w:rPr>
        <w:t> </w:t>
      </w:r>
      <w:r>
        <w:rPr>
          <w:b/>
          <w:color w:val="67287F"/>
          <w:sz w:val="28"/>
        </w:rPr>
        <w:t>relating</w:t>
      </w:r>
      <w:r>
        <w:rPr>
          <w:b/>
          <w:color w:val="67287F"/>
          <w:spacing w:val="-7"/>
          <w:sz w:val="28"/>
        </w:rPr>
        <w:t> </w:t>
      </w:r>
      <w:r>
        <w:rPr>
          <w:b/>
          <w:color w:val="67287F"/>
          <w:sz w:val="28"/>
        </w:rPr>
        <w:t>to</w:t>
      </w:r>
      <w:r>
        <w:rPr>
          <w:b/>
          <w:color w:val="67287F"/>
          <w:spacing w:val="-6"/>
          <w:sz w:val="28"/>
        </w:rPr>
        <w:t> </w:t>
      </w:r>
      <w:r>
        <w:rPr>
          <w:b/>
          <w:color w:val="67287F"/>
          <w:sz w:val="28"/>
        </w:rPr>
        <w:t>the</w:t>
      </w:r>
      <w:r>
        <w:rPr>
          <w:b/>
          <w:color w:val="67287F"/>
          <w:spacing w:val="-7"/>
          <w:sz w:val="28"/>
        </w:rPr>
        <w:t> </w:t>
      </w:r>
      <w:r>
        <w:rPr>
          <w:b/>
          <w:color w:val="67287F"/>
          <w:sz w:val="28"/>
        </w:rPr>
        <w:t>impact</w:t>
      </w:r>
      <w:r>
        <w:rPr>
          <w:b/>
          <w:color w:val="67287F"/>
          <w:spacing w:val="-6"/>
          <w:sz w:val="28"/>
        </w:rPr>
        <w:t> </w:t>
      </w:r>
      <w:r>
        <w:rPr>
          <w:b/>
          <w:color w:val="67287F"/>
          <w:sz w:val="28"/>
        </w:rPr>
        <w:t>of</w:t>
      </w:r>
      <w:r>
        <w:rPr>
          <w:b/>
          <w:color w:val="67287F"/>
          <w:spacing w:val="-7"/>
          <w:sz w:val="28"/>
        </w:rPr>
        <w:t> </w:t>
      </w:r>
      <w:r>
        <w:rPr>
          <w:b/>
          <w:color w:val="67287F"/>
          <w:sz w:val="28"/>
        </w:rPr>
        <w:t>Brexit</w:t>
      </w:r>
      <w:r>
        <w:rPr>
          <w:b/>
          <w:color w:val="67287F"/>
          <w:spacing w:val="-6"/>
          <w:sz w:val="28"/>
        </w:rPr>
        <w:t> </w:t>
      </w:r>
      <w:r>
        <w:rPr>
          <w:b/>
          <w:color w:val="67287F"/>
          <w:sz w:val="28"/>
        </w:rPr>
        <w:t>on</w:t>
      </w:r>
      <w:r>
        <w:rPr>
          <w:b/>
          <w:color w:val="67287F"/>
          <w:spacing w:val="-6"/>
          <w:sz w:val="28"/>
        </w:rPr>
        <w:t> </w:t>
      </w:r>
      <w:r>
        <w:rPr>
          <w:b/>
          <w:color w:val="67287F"/>
          <w:sz w:val="28"/>
        </w:rPr>
        <w:t>minority ethnic and migrant people, as well as the ECNI’s non-Brexit related recommendations and concerns regarding the Strategy.</w:t>
      </w:r>
    </w:p>
    <w:p>
      <w:pPr>
        <w:pStyle w:val="ListParagraph"/>
        <w:numPr>
          <w:ilvl w:val="1"/>
          <w:numId w:val="7"/>
        </w:numPr>
        <w:tabs>
          <w:tab w:pos="1853" w:val="left" w:leader="none"/>
        </w:tabs>
        <w:spacing w:line="225" w:lineRule="auto" w:before="314" w:after="0"/>
        <w:ind w:left="1853" w:right="1131" w:hanging="720"/>
        <w:jc w:val="left"/>
        <w:rPr>
          <w:b/>
          <w:color w:val="67287F"/>
          <w:sz w:val="28"/>
        </w:rPr>
      </w:pPr>
      <w:r>
        <w:rPr>
          <w:b/>
          <w:color w:val="67287F"/>
          <w:sz w:val="28"/>
        </w:rPr>
        <w:t>The ECNI recommends that the NI Executive, and relevant NI departments, should</w:t>
      </w:r>
      <w:r>
        <w:rPr>
          <w:b/>
          <w:color w:val="67287F"/>
          <w:spacing w:val="-11"/>
          <w:sz w:val="28"/>
        </w:rPr>
        <w:t> </w:t>
      </w:r>
      <w:r>
        <w:rPr>
          <w:b/>
          <w:color w:val="67287F"/>
          <w:sz w:val="28"/>
        </w:rPr>
        <w:t>review,</w:t>
      </w:r>
      <w:r>
        <w:rPr>
          <w:b/>
          <w:color w:val="67287F"/>
          <w:spacing w:val="-10"/>
          <w:sz w:val="28"/>
        </w:rPr>
        <w:t> </w:t>
      </w:r>
      <w:r>
        <w:rPr>
          <w:b/>
          <w:color w:val="67287F"/>
          <w:sz w:val="28"/>
        </w:rPr>
        <w:t>on</w:t>
      </w:r>
      <w:r>
        <w:rPr>
          <w:b/>
          <w:color w:val="67287F"/>
          <w:spacing w:val="-10"/>
          <w:sz w:val="28"/>
        </w:rPr>
        <w:t> </w:t>
      </w:r>
      <w:r>
        <w:rPr>
          <w:b/>
          <w:color w:val="67287F"/>
          <w:sz w:val="28"/>
        </w:rPr>
        <w:t>an</w:t>
      </w:r>
      <w:r>
        <w:rPr>
          <w:b/>
          <w:color w:val="67287F"/>
          <w:spacing w:val="-10"/>
          <w:sz w:val="28"/>
        </w:rPr>
        <w:t> </w:t>
      </w:r>
      <w:r>
        <w:rPr>
          <w:b/>
          <w:color w:val="67287F"/>
          <w:sz w:val="28"/>
        </w:rPr>
        <w:t>ongoing</w:t>
      </w:r>
      <w:r>
        <w:rPr>
          <w:b/>
          <w:color w:val="67287F"/>
          <w:spacing w:val="-10"/>
          <w:sz w:val="28"/>
        </w:rPr>
        <w:t> </w:t>
      </w:r>
      <w:r>
        <w:rPr>
          <w:b/>
          <w:color w:val="67287F"/>
          <w:sz w:val="28"/>
        </w:rPr>
        <w:t>basis,</w:t>
      </w:r>
      <w:r>
        <w:rPr>
          <w:b/>
          <w:color w:val="67287F"/>
          <w:spacing w:val="-10"/>
          <w:sz w:val="28"/>
        </w:rPr>
        <w:t> </w:t>
      </w:r>
      <w:r>
        <w:rPr>
          <w:b/>
          <w:color w:val="67287F"/>
          <w:sz w:val="28"/>
        </w:rPr>
        <w:t>the</w:t>
      </w:r>
      <w:r>
        <w:rPr>
          <w:b/>
          <w:color w:val="67287F"/>
          <w:spacing w:val="-10"/>
          <w:sz w:val="28"/>
        </w:rPr>
        <w:t> </w:t>
      </w:r>
      <w:r>
        <w:rPr>
          <w:b/>
          <w:color w:val="67287F"/>
          <w:sz w:val="28"/>
        </w:rPr>
        <w:t>funding</w:t>
      </w:r>
      <w:r>
        <w:rPr>
          <w:b/>
          <w:color w:val="67287F"/>
          <w:spacing w:val="-10"/>
          <w:sz w:val="28"/>
        </w:rPr>
        <w:t> </w:t>
      </w:r>
      <w:r>
        <w:rPr>
          <w:b/>
          <w:color w:val="67287F"/>
          <w:sz w:val="28"/>
        </w:rPr>
        <w:t>for</w:t>
      </w:r>
      <w:r>
        <w:rPr>
          <w:b/>
          <w:color w:val="67287F"/>
          <w:spacing w:val="-10"/>
          <w:sz w:val="28"/>
        </w:rPr>
        <w:t> </w:t>
      </w:r>
      <w:r>
        <w:rPr>
          <w:b/>
          <w:color w:val="67287F"/>
          <w:sz w:val="28"/>
        </w:rPr>
        <w:t>third</w:t>
      </w:r>
      <w:r>
        <w:rPr>
          <w:b/>
          <w:color w:val="67287F"/>
          <w:spacing w:val="-9"/>
          <w:sz w:val="28"/>
        </w:rPr>
        <w:t> </w:t>
      </w:r>
      <w:r>
        <w:rPr>
          <w:b/>
          <w:color w:val="67287F"/>
          <w:sz w:val="28"/>
        </w:rPr>
        <w:t>sector</w:t>
      </w:r>
      <w:r>
        <w:rPr>
          <w:b/>
          <w:color w:val="67287F"/>
          <w:spacing w:val="-10"/>
          <w:sz w:val="28"/>
        </w:rPr>
        <w:t> </w:t>
      </w:r>
      <w:r>
        <w:rPr>
          <w:b/>
          <w:color w:val="67287F"/>
          <w:sz w:val="28"/>
        </w:rPr>
        <w:t>organisations who provide advice and support to minority ethnic and migrant groups, including representative organisations, as well as organisations that provide specialist</w:t>
      </w:r>
      <w:r>
        <w:rPr>
          <w:b/>
          <w:color w:val="67287F"/>
          <w:spacing w:val="-5"/>
          <w:sz w:val="28"/>
        </w:rPr>
        <w:t> </w:t>
      </w:r>
      <w:r>
        <w:rPr>
          <w:b/>
          <w:color w:val="67287F"/>
          <w:sz w:val="28"/>
        </w:rPr>
        <w:t>advice.</w:t>
      </w:r>
      <w:r>
        <w:rPr>
          <w:b/>
          <w:color w:val="67287F"/>
          <w:spacing w:val="-6"/>
          <w:sz w:val="28"/>
        </w:rPr>
        <w:t> </w:t>
      </w:r>
      <w:r>
        <w:rPr>
          <w:b/>
          <w:color w:val="67287F"/>
          <w:sz w:val="28"/>
        </w:rPr>
        <w:t>Such</w:t>
      </w:r>
      <w:r>
        <w:rPr>
          <w:b/>
          <w:color w:val="67287F"/>
          <w:spacing w:val="-5"/>
          <w:sz w:val="28"/>
        </w:rPr>
        <w:t> </w:t>
      </w:r>
      <w:r>
        <w:rPr>
          <w:b/>
          <w:color w:val="67287F"/>
          <w:sz w:val="28"/>
        </w:rPr>
        <w:t>funding</w:t>
      </w:r>
      <w:r>
        <w:rPr>
          <w:b/>
          <w:color w:val="67287F"/>
          <w:spacing w:val="-6"/>
          <w:sz w:val="28"/>
        </w:rPr>
        <w:t> </w:t>
      </w:r>
      <w:r>
        <w:rPr>
          <w:b/>
          <w:color w:val="67287F"/>
          <w:sz w:val="28"/>
        </w:rPr>
        <w:t>should</w:t>
      </w:r>
      <w:r>
        <w:rPr>
          <w:b/>
          <w:color w:val="67287F"/>
          <w:spacing w:val="-5"/>
          <w:sz w:val="28"/>
        </w:rPr>
        <w:t> </w:t>
      </w:r>
      <w:r>
        <w:rPr>
          <w:b/>
          <w:color w:val="67287F"/>
          <w:sz w:val="28"/>
        </w:rPr>
        <w:t>be</w:t>
      </w:r>
      <w:r>
        <w:rPr>
          <w:b/>
          <w:color w:val="67287F"/>
          <w:spacing w:val="-6"/>
          <w:sz w:val="28"/>
        </w:rPr>
        <w:t> </w:t>
      </w:r>
      <w:r>
        <w:rPr>
          <w:b/>
          <w:color w:val="67287F"/>
          <w:sz w:val="28"/>
        </w:rPr>
        <w:t>adequate</w:t>
      </w:r>
      <w:r>
        <w:rPr>
          <w:b/>
          <w:color w:val="67287F"/>
          <w:spacing w:val="-6"/>
          <w:sz w:val="28"/>
        </w:rPr>
        <w:t> </w:t>
      </w:r>
      <w:r>
        <w:rPr>
          <w:b/>
          <w:color w:val="67287F"/>
          <w:sz w:val="28"/>
        </w:rPr>
        <w:t>to</w:t>
      </w:r>
      <w:r>
        <w:rPr>
          <w:b/>
          <w:color w:val="67287F"/>
          <w:spacing w:val="-5"/>
          <w:sz w:val="28"/>
        </w:rPr>
        <w:t> </w:t>
      </w:r>
      <w:r>
        <w:rPr>
          <w:b/>
          <w:color w:val="67287F"/>
          <w:sz w:val="28"/>
        </w:rPr>
        <w:t>meet</w:t>
      </w:r>
      <w:r>
        <w:rPr>
          <w:b/>
          <w:color w:val="67287F"/>
          <w:spacing w:val="-5"/>
          <w:sz w:val="28"/>
        </w:rPr>
        <w:t> </w:t>
      </w:r>
      <w:r>
        <w:rPr>
          <w:b/>
          <w:color w:val="67287F"/>
          <w:sz w:val="28"/>
        </w:rPr>
        <w:t>additional</w:t>
      </w:r>
      <w:r>
        <w:rPr>
          <w:b/>
          <w:color w:val="67287F"/>
          <w:spacing w:val="-5"/>
          <w:sz w:val="28"/>
        </w:rPr>
        <w:t> </w:t>
      </w:r>
      <w:r>
        <w:rPr>
          <w:b/>
          <w:color w:val="67287F"/>
          <w:sz w:val="28"/>
        </w:rPr>
        <w:t>advice and support needs for EU nationals and frontier workers and address gaps</w:t>
      </w:r>
    </w:p>
    <w:p>
      <w:pPr>
        <w:spacing w:line="225" w:lineRule="auto" w:before="0"/>
        <w:ind w:left="1853" w:right="1171" w:firstLine="0"/>
        <w:jc w:val="left"/>
        <w:rPr>
          <w:b/>
          <w:sz w:val="28"/>
        </w:rPr>
      </w:pPr>
      <w:r>
        <w:rPr>
          <w:b/>
          <w:color w:val="67287F"/>
          <w:sz w:val="28"/>
        </w:rPr>
        <w:t>in</w:t>
      </w:r>
      <w:r>
        <w:rPr>
          <w:b/>
          <w:color w:val="67287F"/>
          <w:spacing w:val="-6"/>
          <w:sz w:val="28"/>
        </w:rPr>
        <w:t> </w:t>
      </w:r>
      <w:r>
        <w:rPr>
          <w:b/>
          <w:color w:val="67287F"/>
          <w:sz w:val="28"/>
        </w:rPr>
        <w:t>support</w:t>
      </w:r>
      <w:r>
        <w:rPr>
          <w:b/>
          <w:color w:val="67287F"/>
          <w:spacing w:val="-6"/>
          <w:sz w:val="28"/>
        </w:rPr>
        <w:t> </w:t>
      </w:r>
      <w:r>
        <w:rPr>
          <w:b/>
          <w:color w:val="67287F"/>
          <w:sz w:val="28"/>
        </w:rPr>
        <w:t>and</w:t>
      </w:r>
      <w:r>
        <w:rPr>
          <w:b/>
          <w:color w:val="67287F"/>
          <w:spacing w:val="-6"/>
          <w:sz w:val="28"/>
        </w:rPr>
        <w:t> </w:t>
      </w:r>
      <w:r>
        <w:rPr>
          <w:b/>
          <w:color w:val="67287F"/>
          <w:sz w:val="28"/>
        </w:rPr>
        <w:t>funding</w:t>
      </w:r>
      <w:r>
        <w:rPr>
          <w:b/>
          <w:color w:val="67287F"/>
          <w:spacing w:val="-7"/>
          <w:sz w:val="28"/>
        </w:rPr>
        <w:t> </w:t>
      </w:r>
      <w:r>
        <w:rPr>
          <w:b/>
          <w:color w:val="67287F"/>
          <w:sz w:val="28"/>
        </w:rPr>
        <w:t>shortfalls</w:t>
      </w:r>
      <w:r>
        <w:rPr>
          <w:b/>
          <w:color w:val="67287F"/>
          <w:spacing w:val="-6"/>
          <w:sz w:val="28"/>
        </w:rPr>
        <w:t> </w:t>
      </w:r>
      <w:r>
        <w:rPr>
          <w:b/>
          <w:color w:val="67287F"/>
          <w:sz w:val="28"/>
        </w:rPr>
        <w:t>in</w:t>
      </w:r>
      <w:r>
        <w:rPr>
          <w:b/>
          <w:color w:val="67287F"/>
          <w:spacing w:val="-6"/>
          <w:sz w:val="28"/>
        </w:rPr>
        <w:t> </w:t>
      </w:r>
      <w:r>
        <w:rPr>
          <w:b/>
          <w:color w:val="67287F"/>
          <w:sz w:val="28"/>
        </w:rPr>
        <w:t>services</w:t>
      </w:r>
      <w:r>
        <w:rPr>
          <w:b/>
          <w:color w:val="67287F"/>
          <w:spacing w:val="-6"/>
          <w:sz w:val="28"/>
        </w:rPr>
        <w:t> </w:t>
      </w:r>
      <w:r>
        <w:rPr>
          <w:b/>
          <w:color w:val="67287F"/>
          <w:sz w:val="28"/>
        </w:rPr>
        <w:t>for</w:t>
      </w:r>
      <w:r>
        <w:rPr>
          <w:b/>
          <w:color w:val="67287F"/>
          <w:spacing w:val="-7"/>
          <w:sz w:val="28"/>
        </w:rPr>
        <w:t> </w:t>
      </w:r>
      <w:r>
        <w:rPr>
          <w:b/>
          <w:color w:val="67287F"/>
          <w:sz w:val="28"/>
        </w:rPr>
        <w:t>minority</w:t>
      </w:r>
      <w:r>
        <w:rPr>
          <w:b/>
          <w:color w:val="67287F"/>
          <w:spacing w:val="-6"/>
          <w:sz w:val="28"/>
        </w:rPr>
        <w:t> </w:t>
      </w:r>
      <w:r>
        <w:rPr>
          <w:b/>
          <w:color w:val="67287F"/>
          <w:sz w:val="28"/>
        </w:rPr>
        <w:t>ethnic</w:t>
      </w:r>
      <w:r>
        <w:rPr>
          <w:b/>
          <w:color w:val="67287F"/>
          <w:spacing w:val="-7"/>
          <w:sz w:val="28"/>
        </w:rPr>
        <w:t> </w:t>
      </w:r>
      <w:r>
        <w:rPr>
          <w:b/>
          <w:color w:val="67287F"/>
          <w:sz w:val="28"/>
        </w:rPr>
        <w:t>and</w:t>
      </w:r>
      <w:r>
        <w:rPr>
          <w:b/>
          <w:color w:val="67287F"/>
          <w:spacing w:val="-6"/>
          <w:sz w:val="28"/>
        </w:rPr>
        <w:t> </w:t>
      </w:r>
      <w:r>
        <w:rPr>
          <w:b/>
          <w:color w:val="67287F"/>
          <w:sz w:val="28"/>
        </w:rPr>
        <w:t>migrant people, that have occurred as a result of Brexit.</w:t>
      </w:r>
    </w:p>
    <w:p>
      <w:pPr>
        <w:spacing w:before="294"/>
        <w:ind w:left="1133" w:right="0" w:firstLine="0"/>
        <w:jc w:val="left"/>
        <w:rPr>
          <w:b/>
          <w:sz w:val="28"/>
        </w:rPr>
      </w:pPr>
      <w:bookmarkStart w:name="Sectarianism " w:id="52"/>
      <w:bookmarkEnd w:id="52"/>
      <w:r>
        <w:rPr/>
      </w:r>
      <w:r>
        <w:rPr>
          <w:b/>
          <w:color w:val="393B7F"/>
          <w:spacing w:val="-2"/>
          <w:sz w:val="28"/>
        </w:rPr>
        <w:t>Sectarianism</w:t>
      </w:r>
      <w:r>
        <w:rPr>
          <w:b/>
          <w:color w:val="393B7F"/>
          <w:spacing w:val="-2"/>
          <w:sz w:val="28"/>
          <w:vertAlign w:val="superscript"/>
        </w:rPr>
        <w:t>312</w:t>
      </w:r>
    </w:p>
    <w:p>
      <w:pPr>
        <w:pStyle w:val="ListParagraph"/>
        <w:numPr>
          <w:ilvl w:val="1"/>
          <w:numId w:val="7"/>
        </w:numPr>
        <w:tabs>
          <w:tab w:pos="1853" w:val="left" w:leader="none"/>
        </w:tabs>
        <w:spacing w:line="225" w:lineRule="auto" w:before="330" w:after="0"/>
        <w:ind w:left="1853" w:right="1957" w:hanging="720"/>
        <w:jc w:val="both"/>
        <w:rPr>
          <w:sz w:val="28"/>
        </w:rPr>
      </w:pPr>
      <w:r>
        <w:rPr>
          <w:sz w:val="28"/>
        </w:rPr>
        <w:t>In 2022/2023, 1,125 sectarian incidents and 792 sectarian crimes were recorded.</w:t>
      </w:r>
      <w:r>
        <w:rPr>
          <w:sz w:val="28"/>
          <w:vertAlign w:val="superscript"/>
        </w:rPr>
        <w:t>313</w:t>
      </w:r>
      <w:r>
        <w:rPr>
          <w:spacing w:val="-14"/>
          <w:sz w:val="28"/>
          <w:vertAlign w:val="baseline"/>
        </w:rPr>
        <w:t> </w:t>
      </w:r>
      <w:r>
        <w:rPr>
          <w:sz w:val="28"/>
          <w:vertAlign w:val="baseline"/>
        </w:rPr>
        <w:t>This</w:t>
      </w:r>
      <w:r>
        <w:rPr>
          <w:spacing w:val="-14"/>
          <w:sz w:val="28"/>
          <w:vertAlign w:val="baseline"/>
        </w:rPr>
        <w:t> </w:t>
      </w:r>
      <w:r>
        <w:rPr>
          <w:sz w:val="28"/>
          <w:vertAlign w:val="baseline"/>
        </w:rPr>
        <w:t>represented</w:t>
      </w:r>
      <w:r>
        <w:rPr>
          <w:spacing w:val="-14"/>
          <w:sz w:val="28"/>
          <w:vertAlign w:val="baseline"/>
        </w:rPr>
        <w:t> </w:t>
      </w:r>
      <w:r>
        <w:rPr>
          <w:sz w:val="28"/>
          <w:vertAlign w:val="baseline"/>
        </w:rPr>
        <w:t>a</w:t>
      </w:r>
      <w:r>
        <w:rPr>
          <w:spacing w:val="-14"/>
          <w:sz w:val="28"/>
          <w:vertAlign w:val="baseline"/>
        </w:rPr>
        <w:t> </w:t>
      </w:r>
      <w:r>
        <w:rPr>
          <w:sz w:val="28"/>
          <w:vertAlign w:val="baseline"/>
        </w:rPr>
        <w:t>decrease</w:t>
      </w:r>
      <w:r>
        <w:rPr>
          <w:spacing w:val="-13"/>
          <w:sz w:val="28"/>
          <w:vertAlign w:val="baseline"/>
        </w:rPr>
        <w:t> </w:t>
      </w:r>
      <w:r>
        <w:rPr>
          <w:sz w:val="28"/>
          <w:vertAlign w:val="baseline"/>
        </w:rPr>
        <w:t>from</w:t>
      </w:r>
      <w:r>
        <w:rPr>
          <w:spacing w:val="-13"/>
          <w:sz w:val="28"/>
          <w:vertAlign w:val="baseline"/>
        </w:rPr>
        <w:t> </w:t>
      </w:r>
      <w:r>
        <w:rPr>
          <w:sz w:val="28"/>
          <w:vertAlign w:val="baseline"/>
        </w:rPr>
        <w:t>1,192</w:t>
      </w:r>
      <w:r>
        <w:rPr>
          <w:spacing w:val="-13"/>
          <w:sz w:val="28"/>
          <w:vertAlign w:val="baseline"/>
        </w:rPr>
        <w:t> </w:t>
      </w:r>
      <w:r>
        <w:rPr>
          <w:sz w:val="28"/>
          <w:vertAlign w:val="baseline"/>
        </w:rPr>
        <w:t>recorded</w:t>
      </w:r>
      <w:r>
        <w:rPr>
          <w:spacing w:val="-14"/>
          <w:sz w:val="28"/>
          <w:vertAlign w:val="baseline"/>
        </w:rPr>
        <w:t> </w:t>
      </w:r>
      <w:r>
        <w:rPr>
          <w:sz w:val="28"/>
          <w:vertAlign w:val="baseline"/>
        </w:rPr>
        <w:t>sectarian incidents and 864 recorded sectarian crimes in 2021/2022.</w:t>
      </w:r>
      <w:r>
        <w:rPr>
          <w:sz w:val="28"/>
          <w:vertAlign w:val="superscript"/>
        </w:rPr>
        <w:t>314</w:t>
      </w:r>
    </w:p>
    <w:p>
      <w:pPr>
        <w:pStyle w:val="ListParagraph"/>
        <w:numPr>
          <w:ilvl w:val="1"/>
          <w:numId w:val="7"/>
        </w:numPr>
        <w:tabs>
          <w:tab w:pos="1853" w:val="left" w:leader="none"/>
        </w:tabs>
        <w:spacing w:line="225" w:lineRule="auto" w:before="317" w:after="0"/>
        <w:ind w:left="1853" w:right="1178" w:hanging="720"/>
        <w:jc w:val="left"/>
        <w:rPr>
          <w:sz w:val="28"/>
        </w:rPr>
      </w:pPr>
      <w:r>
        <w:rPr>
          <w:sz w:val="28"/>
        </w:rPr>
        <w:t>The rights, safeguards and equality of opportunity provisions set out in the relevant</w:t>
      </w:r>
      <w:r>
        <w:rPr>
          <w:spacing w:val="-7"/>
          <w:sz w:val="28"/>
        </w:rPr>
        <w:t> </w:t>
      </w:r>
      <w:r>
        <w:rPr>
          <w:sz w:val="28"/>
        </w:rPr>
        <w:t>chapter</w:t>
      </w:r>
      <w:r>
        <w:rPr>
          <w:spacing w:val="-7"/>
          <w:sz w:val="28"/>
        </w:rPr>
        <w:t> </w:t>
      </w:r>
      <w:r>
        <w:rPr>
          <w:sz w:val="28"/>
        </w:rPr>
        <w:t>of</w:t>
      </w:r>
      <w:r>
        <w:rPr>
          <w:spacing w:val="-8"/>
          <w:sz w:val="28"/>
        </w:rPr>
        <w:t> </w:t>
      </w:r>
      <w:r>
        <w:rPr>
          <w:sz w:val="28"/>
        </w:rPr>
        <w:t>the</w:t>
      </w:r>
      <w:r>
        <w:rPr>
          <w:spacing w:val="-7"/>
          <w:sz w:val="28"/>
        </w:rPr>
        <w:t> </w:t>
      </w:r>
      <w:r>
        <w:rPr>
          <w:sz w:val="28"/>
        </w:rPr>
        <w:t>Belfast</w:t>
      </w:r>
      <w:r>
        <w:rPr>
          <w:spacing w:val="-7"/>
          <w:sz w:val="28"/>
        </w:rPr>
        <w:t> </w:t>
      </w:r>
      <w:r>
        <w:rPr>
          <w:sz w:val="28"/>
        </w:rPr>
        <w:t>(Good</w:t>
      </w:r>
      <w:r>
        <w:rPr>
          <w:spacing w:val="-8"/>
          <w:sz w:val="28"/>
        </w:rPr>
        <w:t> </w:t>
      </w:r>
      <w:r>
        <w:rPr>
          <w:sz w:val="28"/>
        </w:rPr>
        <w:t>Friday)</w:t>
      </w:r>
      <w:r>
        <w:rPr>
          <w:spacing w:val="-8"/>
          <w:sz w:val="28"/>
        </w:rPr>
        <w:t> </w:t>
      </w:r>
      <w:r>
        <w:rPr>
          <w:sz w:val="28"/>
        </w:rPr>
        <w:t>Agreement</w:t>
      </w:r>
      <w:r>
        <w:rPr>
          <w:spacing w:val="-7"/>
          <w:sz w:val="28"/>
        </w:rPr>
        <w:t> </w:t>
      </w:r>
      <w:r>
        <w:rPr>
          <w:sz w:val="28"/>
        </w:rPr>
        <w:t>include</w:t>
      </w:r>
      <w:r>
        <w:rPr>
          <w:spacing w:val="-7"/>
          <w:sz w:val="28"/>
        </w:rPr>
        <w:t> </w:t>
      </w:r>
      <w:r>
        <w:rPr>
          <w:sz w:val="28"/>
        </w:rPr>
        <w:t>the</w:t>
      </w:r>
      <w:r>
        <w:rPr>
          <w:spacing w:val="-7"/>
          <w:sz w:val="28"/>
        </w:rPr>
        <w:t> </w:t>
      </w:r>
      <w:r>
        <w:rPr>
          <w:sz w:val="28"/>
        </w:rPr>
        <w:t>“the</w:t>
      </w:r>
      <w:r>
        <w:rPr>
          <w:spacing w:val="-7"/>
          <w:sz w:val="28"/>
        </w:rPr>
        <w:t> </w:t>
      </w:r>
      <w:r>
        <w:rPr>
          <w:sz w:val="28"/>
        </w:rPr>
        <w:t>right to freedom from sectarian harassment”.</w:t>
      </w:r>
      <w:r>
        <w:rPr>
          <w:sz w:val="28"/>
          <w:vertAlign w:val="superscript"/>
        </w:rPr>
        <w:t>315</w:t>
      </w:r>
      <w:r>
        <w:rPr>
          <w:sz w:val="28"/>
          <w:vertAlign w:val="baseline"/>
        </w:rPr>
        <w:t> The Commissions advise that EU</w:t>
      </w:r>
    </w:p>
    <w:p>
      <w:pPr>
        <w:pStyle w:val="BodyText"/>
        <w:spacing w:before="6"/>
        <w:rPr>
          <w:sz w:val="16"/>
        </w:rPr>
      </w:pPr>
      <w:r>
        <w:rPr/>
        <mc:AlternateContent>
          <mc:Choice Requires="wps">
            <w:drawing>
              <wp:anchor distT="0" distB="0" distL="0" distR="0" allowOverlap="1" layoutInCell="1" locked="0" behindDoc="1" simplePos="0" relativeHeight="487661056">
                <wp:simplePos x="0" y="0"/>
                <wp:positionH relativeFrom="page">
                  <wp:posOffset>719996</wp:posOffset>
                </wp:positionH>
                <wp:positionV relativeFrom="paragraph">
                  <wp:posOffset>143595</wp:posOffset>
                </wp:positionV>
                <wp:extent cx="6120130" cy="1270"/>
                <wp:effectExtent l="0" t="0" r="0" b="0"/>
                <wp:wrapTopAndBottom/>
                <wp:docPr id="316" name="Graphic 316"/>
                <wp:cNvGraphicFramePr>
                  <a:graphicFrameLocks/>
                </wp:cNvGraphicFramePr>
                <a:graphic>
                  <a:graphicData uri="http://schemas.microsoft.com/office/word/2010/wordprocessingShape">
                    <wps:wsp>
                      <wps:cNvPr id="316" name="Graphic 316"/>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1.306766pt;width:481.9pt;height:.1pt;mso-position-horizontal-relative:page;mso-position-vertical-relative:paragraph;z-index:-15655424;mso-wrap-distance-left:0;mso-wrap-distance-right:0" id="docshape268" coordorigin="1134,226" coordsize="9638,0" path="m10772,226l1134,226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18" w:lineRule="exact" w:before="158" w:after="0"/>
        <w:ind w:left="1853" w:right="0" w:hanging="720"/>
        <w:jc w:val="left"/>
        <w:rPr>
          <w:sz w:val="18"/>
        </w:rPr>
      </w:pPr>
      <w:r>
        <w:rPr>
          <w:sz w:val="18"/>
        </w:rPr>
        <w:t>This</w:t>
      </w:r>
      <w:r>
        <w:rPr>
          <w:spacing w:val="-6"/>
          <w:sz w:val="18"/>
        </w:rPr>
        <w:t> </w:t>
      </w:r>
      <w:r>
        <w:rPr>
          <w:sz w:val="18"/>
        </w:rPr>
        <w:t>section</w:t>
      </w:r>
      <w:r>
        <w:rPr>
          <w:spacing w:val="-5"/>
          <w:sz w:val="18"/>
        </w:rPr>
        <w:t> </w:t>
      </w:r>
      <w:r>
        <w:rPr>
          <w:sz w:val="18"/>
        </w:rPr>
        <w:t>should</w:t>
      </w:r>
      <w:r>
        <w:rPr>
          <w:spacing w:val="-5"/>
          <w:sz w:val="18"/>
        </w:rPr>
        <w:t> </w:t>
      </w:r>
      <w:r>
        <w:rPr>
          <w:sz w:val="18"/>
        </w:rPr>
        <w:t>be</w:t>
      </w:r>
      <w:r>
        <w:rPr>
          <w:spacing w:val="-5"/>
          <w:sz w:val="18"/>
        </w:rPr>
        <w:t> </w:t>
      </w:r>
      <w:r>
        <w:rPr>
          <w:sz w:val="18"/>
        </w:rPr>
        <w:t>read</w:t>
      </w:r>
      <w:r>
        <w:rPr>
          <w:spacing w:val="-5"/>
          <w:sz w:val="18"/>
        </w:rPr>
        <w:t> </w:t>
      </w:r>
      <w:r>
        <w:rPr>
          <w:sz w:val="18"/>
        </w:rPr>
        <w:t>in</w:t>
      </w:r>
      <w:r>
        <w:rPr>
          <w:spacing w:val="-5"/>
          <w:sz w:val="18"/>
        </w:rPr>
        <w:t> </w:t>
      </w:r>
      <w:r>
        <w:rPr>
          <w:sz w:val="18"/>
        </w:rPr>
        <w:t>conjunction</w:t>
      </w:r>
      <w:r>
        <w:rPr>
          <w:spacing w:val="-5"/>
          <w:sz w:val="18"/>
        </w:rPr>
        <w:t> </w:t>
      </w:r>
      <w:r>
        <w:rPr>
          <w:sz w:val="18"/>
        </w:rPr>
        <w:t>with</w:t>
      </w:r>
      <w:r>
        <w:rPr>
          <w:spacing w:val="-6"/>
          <w:sz w:val="18"/>
        </w:rPr>
        <w:t> </w:t>
      </w:r>
      <w:r>
        <w:rPr>
          <w:sz w:val="18"/>
        </w:rPr>
        <w:t>the</w:t>
      </w:r>
      <w:r>
        <w:rPr>
          <w:spacing w:val="-4"/>
          <w:sz w:val="18"/>
        </w:rPr>
        <w:t> </w:t>
      </w:r>
      <w:r>
        <w:rPr>
          <w:sz w:val="18"/>
        </w:rPr>
        <w:t>section</w:t>
      </w:r>
      <w:r>
        <w:rPr>
          <w:spacing w:val="-5"/>
          <w:sz w:val="18"/>
        </w:rPr>
        <w:t> </w:t>
      </w:r>
      <w:r>
        <w:rPr>
          <w:sz w:val="18"/>
        </w:rPr>
        <w:t>on</w:t>
      </w:r>
      <w:r>
        <w:rPr>
          <w:spacing w:val="-6"/>
          <w:sz w:val="18"/>
        </w:rPr>
        <w:t> </w:t>
      </w:r>
      <w:r>
        <w:rPr>
          <w:sz w:val="18"/>
        </w:rPr>
        <w:t>Victims’</w:t>
      </w:r>
      <w:r>
        <w:rPr>
          <w:spacing w:val="-4"/>
          <w:sz w:val="18"/>
        </w:rPr>
        <w:t> </w:t>
      </w:r>
      <w:r>
        <w:rPr>
          <w:sz w:val="18"/>
        </w:rPr>
        <w:t>Rights</w:t>
      </w:r>
      <w:r>
        <w:rPr>
          <w:spacing w:val="-5"/>
          <w:sz w:val="18"/>
        </w:rPr>
        <w:t> </w:t>
      </w:r>
      <w:r>
        <w:rPr>
          <w:sz w:val="18"/>
        </w:rPr>
        <w:t>–</w:t>
      </w:r>
      <w:r>
        <w:rPr>
          <w:spacing w:val="-5"/>
          <w:sz w:val="18"/>
        </w:rPr>
        <w:t> </w:t>
      </w:r>
      <w:r>
        <w:rPr>
          <w:sz w:val="18"/>
        </w:rPr>
        <w:t>Hate</w:t>
      </w:r>
      <w:r>
        <w:rPr>
          <w:spacing w:val="-5"/>
          <w:sz w:val="18"/>
        </w:rPr>
        <w:t> </w:t>
      </w:r>
      <w:r>
        <w:rPr>
          <w:sz w:val="18"/>
        </w:rPr>
        <w:t>Crime</w:t>
      </w:r>
      <w:r>
        <w:rPr>
          <w:spacing w:val="-4"/>
          <w:sz w:val="18"/>
        </w:rPr>
        <w:t> </w:t>
      </w:r>
      <w:r>
        <w:rPr>
          <w:sz w:val="18"/>
        </w:rPr>
        <w:t>in</w:t>
      </w:r>
      <w:r>
        <w:rPr>
          <w:spacing w:val="-5"/>
          <w:sz w:val="18"/>
        </w:rPr>
        <w:t> </w:t>
      </w:r>
      <w:r>
        <w:rPr>
          <w:sz w:val="18"/>
        </w:rPr>
        <w:t>this</w:t>
      </w:r>
      <w:r>
        <w:rPr>
          <w:spacing w:val="-6"/>
          <w:sz w:val="18"/>
        </w:rPr>
        <w:t> </w:t>
      </w:r>
      <w:r>
        <w:rPr>
          <w:spacing w:val="-2"/>
          <w:sz w:val="18"/>
        </w:rPr>
        <w:t>Chapter.</w:t>
      </w:r>
    </w:p>
    <w:p>
      <w:pPr>
        <w:pStyle w:val="ListParagraph"/>
        <w:numPr>
          <w:ilvl w:val="0"/>
          <w:numId w:val="9"/>
        </w:numPr>
        <w:tabs>
          <w:tab w:pos="1853" w:val="left" w:leader="none"/>
        </w:tabs>
        <w:spacing w:line="235" w:lineRule="auto" w:before="2" w:after="0"/>
        <w:ind w:left="1853" w:right="2310" w:hanging="720"/>
        <w:jc w:val="left"/>
        <w:rPr>
          <w:sz w:val="18"/>
        </w:rPr>
      </w:pPr>
      <w:r>
        <w:rPr>
          <w:spacing w:val="-2"/>
          <w:sz w:val="18"/>
        </w:rPr>
        <w:t>Police</w:t>
      </w:r>
      <w:r>
        <w:rPr>
          <w:spacing w:val="-9"/>
          <w:sz w:val="18"/>
        </w:rPr>
        <w:t> </w:t>
      </w:r>
      <w:r>
        <w:rPr>
          <w:spacing w:val="-2"/>
          <w:sz w:val="18"/>
        </w:rPr>
        <w:t>Service</w:t>
      </w:r>
      <w:r>
        <w:rPr>
          <w:spacing w:val="-8"/>
          <w:sz w:val="18"/>
        </w:rPr>
        <w:t> </w:t>
      </w:r>
      <w:r>
        <w:rPr>
          <w:spacing w:val="-2"/>
          <w:sz w:val="18"/>
        </w:rPr>
        <w:t>of</w:t>
      </w:r>
      <w:r>
        <w:rPr>
          <w:spacing w:val="-8"/>
          <w:sz w:val="18"/>
        </w:rPr>
        <w:t> </w:t>
      </w:r>
      <w:r>
        <w:rPr>
          <w:spacing w:val="-2"/>
          <w:sz w:val="18"/>
        </w:rPr>
        <w:t>NI,</w:t>
      </w:r>
      <w:r>
        <w:rPr>
          <w:spacing w:val="-8"/>
          <w:sz w:val="18"/>
        </w:rPr>
        <w:t> </w:t>
      </w:r>
      <w:r>
        <w:rPr>
          <w:spacing w:val="-2"/>
          <w:sz w:val="18"/>
        </w:rPr>
        <w:t>‘Incidents</w:t>
      </w:r>
      <w:r>
        <w:rPr>
          <w:spacing w:val="-7"/>
          <w:sz w:val="18"/>
        </w:rPr>
        <w:t> </w:t>
      </w:r>
      <w:r>
        <w:rPr>
          <w:spacing w:val="-2"/>
          <w:sz w:val="18"/>
        </w:rPr>
        <w:t>and</w:t>
      </w:r>
      <w:r>
        <w:rPr>
          <w:spacing w:val="-6"/>
          <w:sz w:val="18"/>
        </w:rPr>
        <w:t> </w:t>
      </w:r>
      <w:r>
        <w:rPr>
          <w:spacing w:val="-2"/>
          <w:sz w:val="18"/>
        </w:rPr>
        <w:t>Crimes</w:t>
      </w:r>
      <w:r>
        <w:rPr>
          <w:spacing w:val="-5"/>
          <w:sz w:val="18"/>
        </w:rPr>
        <w:t> </w:t>
      </w:r>
      <w:r>
        <w:rPr>
          <w:spacing w:val="-2"/>
          <w:sz w:val="18"/>
        </w:rPr>
        <w:t>with</w:t>
      </w:r>
      <w:r>
        <w:rPr>
          <w:spacing w:val="-6"/>
          <w:sz w:val="18"/>
        </w:rPr>
        <w:t> </w:t>
      </w:r>
      <w:r>
        <w:rPr>
          <w:spacing w:val="-2"/>
          <w:sz w:val="18"/>
        </w:rPr>
        <w:t>a</w:t>
      </w:r>
      <w:r>
        <w:rPr>
          <w:spacing w:val="-5"/>
          <w:sz w:val="18"/>
        </w:rPr>
        <w:t> </w:t>
      </w:r>
      <w:r>
        <w:rPr>
          <w:spacing w:val="-2"/>
          <w:sz w:val="18"/>
        </w:rPr>
        <w:t>Hate</w:t>
      </w:r>
      <w:r>
        <w:rPr>
          <w:spacing w:val="-5"/>
          <w:sz w:val="18"/>
        </w:rPr>
        <w:t> </w:t>
      </w:r>
      <w:r>
        <w:rPr>
          <w:spacing w:val="-2"/>
          <w:sz w:val="18"/>
        </w:rPr>
        <w:t>Motivation</w:t>
      </w:r>
      <w:r>
        <w:rPr>
          <w:spacing w:val="-6"/>
          <w:sz w:val="18"/>
        </w:rPr>
        <w:t> </w:t>
      </w:r>
      <w:r>
        <w:rPr>
          <w:spacing w:val="-2"/>
          <w:sz w:val="18"/>
        </w:rPr>
        <w:t>Recorded</w:t>
      </w:r>
      <w:r>
        <w:rPr>
          <w:spacing w:val="-6"/>
          <w:sz w:val="18"/>
        </w:rPr>
        <w:t> </w:t>
      </w:r>
      <w:r>
        <w:rPr>
          <w:spacing w:val="-2"/>
          <w:sz w:val="18"/>
        </w:rPr>
        <w:t>by</w:t>
      </w:r>
      <w:r>
        <w:rPr>
          <w:spacing w:val="-5"/>
          <w:sz w:val="18"/>
        </w:rPr>
        <w:t> </w:t>
      </w:r>
      <w:r>
        <w:rPr>
          <w:spacing w:val="-2"/>
          <w:sz w:val="18"/>
        </w:rPr>
        <w:t>the</w:t>
      </w:r>
      <w:r>
        <w:rPr>
          <w:spacing w:val="-5"/>
          <w:sz w:val="18"/>
        </w:rPr>
        <w:t> </w:t>
      </w:r>
      <w:r>
        <w:rPr>
          <w:spacing w:val="-2"/>
          <w:sz w:val="18"/>
        </w:rPr>
        <w:t>Police</w:t>
      </w:r>
      <w:r>
        <w:rPr>
          <w:spacing w:val="-5"/>
          <w:sz w:val="18"/>
        </w:rPr>
        <w:t> </w:t>
      </w:r>
      <w:r>
        <w:rPr>
          <w:spacing w:val="-2"/>
          <w:sz w:val="18"/>
        </w:rPr>
        <w:t>in</w:t>
      </w:r>
      <w:r>
        <w:rPr>
          <w:spacing w:val="-6"/>
          <w:sz w:val="18"/>
        </w:rPr>
        <w:t> </w:t>
      </w:r>
      <w:r>
        <w:rPr>
          <w:spacing w:val="-2"/>
          <w:sz w:val="18"/>
        </w:rPr>
        <w:t>Northern</w:t>
      </w:r>
      <w:r>
        <w:rPr>
          <w:spacing w:val="-6"/>
          <w:sz w:val="18"/>
        </w:rPr>
        <w:t> </w:t>
      </w:r>
      <w:r>
        <w:rPr>
          <w:spacing w:val="-2"/>
          <w:sz w:val="18"/>
        </w:rPr>
        <w:t>Ireland:</w:t>
      </w:r>
      <w:r>
        <w:rPr>
          <w:sz w:val="18"/>
        </w:rPr>
        <w:t> Update to 30th September 2023’ (PSNI, 2023), at 5.</w:t>
      </w:r>
    </w:p>
    <w:p>
      <w:pPr>
        <w:pStyle w:val="ListParagraph"/>
        <w:numPr>
          <w:ilvl w:val="0"/>
          <w:numId w:val="9"/>
        </w:numPr>
        <w:tabs>
          <w:tab w:pos="1853" w:val="left" w:leader="none"/>
        </w:tabs>
        <w:spacing w:line="216" w:lineRule="exact" w:before="0" w:after="0"/>
        <w:ind w:left="1853" w:right="0" w:hanging="720"/>
        <w:jc w:val="left"/>
        <w:rPr>
          <w:sz w:val="18"/>
        </w:rPr>
      </w:pPr>
      <w:r>
        <w:rPr>
          <w:spacing w:val="-4"/>
          <w:sz w:val="18"/>
        </w:rPr>
        <w:t>Ibid.</w:t>
      </w:r>
    </w:p>
    <w:p>
      <w:pPr>
        <w:pStyle w:val="ListParagraph"/>
        <w:numPr>
          <w:ilvl w:val="0"/>
          <w:numId w:val="9"/>
        </w:numPr>
        <w:tabs>
          <w:tab w:pos="1853" w:val="left" w:leader="none"/>
        </w:tabs>
        <w:spacing w:line="218" w:lineRule="exact" w:before="0" w:after="0"/>
        <w:ind w:left="1853" w:right="0" w:hanging="720"/>
        <w:jc w:val="left"/>
        <w:rPr>
          <w:sz w:val="18"/>
        </w:rPr>
      </w:pPr>
      <w:r>
        <w:rPr>
          <w:sz w:val="18"/>
        </w:rPr>
        <w:t>Belfast</w:t>
      </w:r>
      <w:r>
        <w:rPr>
          <w:spacing w:val="-6"/>
          <w:sz w:val="18"/>
        </w:rPr>
        <w:t> </w:t>
      </w:r>
      <w:r>
        <w:rPr>
          <w:sz w:val="18"/>
        </w:rPr>
        <w:t>(Good</w:t>
      </w:r>
      <w:r>
        <w:rPr>
          <w:spacing w:val="-5"/>
          <w:sz w:val="18"/>
        </w:rPr>
        <w:t> </w:t>
      </w:r>
      <w:r>
        <w:rPr>
          <w:sz w:val="18"/>
        </w:rPr>
        <w:t>Friday)</w:t>
      </w:r>
      <w:r>
        <w:rPr>
          <w:spacing w:val="-4"/>
          <w:sz w:val="18"/>
        </w:rPr>
        <w:t> </w:t>
      </w:r>
      <w:r>
        <w:rPr>
          <w:sz w:val="18"/>
        </w:rPr>
        <w:t>Agreement,</w:t>
      </w:r>
      <w:r>
        <w:rPr>
          <w:spacing w:val="-4"/>
          <w:sz w:val="18"/>
        </w:rPr>
        <w:t> </w:t>
      </w:r>
      <w:r>
        <w:rPr>
          <w:sz w:val="18"/>
        </w:rPr>
        <w:t>10</w:t>
      </w:r>
      <w:r>
        <w:rPr>
          <w:spacing w:val="-3"/>
          <w:sz w:val="18"/>
        </w:rPr>
        <w:t> </w:t>
      </w:r>
      <w:r>
        <w:rPr>
          <w:sz w:val="18"/>
        </w:rPr>
        <w:t>April</w:t>
      </w:r>
      <w:r>
        <w:rPr>
          <w:spacing w:val="-5"/>
          <w:sz w:val="18"/>
        </w:rPr>
        <w:t> </w:t>
      </w:r>
      <w:r>
        <w:rPr>
          <w:sz w:val="18"/>
        </w:rPr>
        <w:t>1998,</w:t>
      </w:r>
      <w:r>
        <w:rPr>
          <w:spacing w:val="-4"/>
          <w:sz w:val="18"/>
        </w:rPr>
        <w:t> </w:t>
      </w:r>
      <w:r>
        <w:rPr>
          <w:sz w:val="18"/>
        </w:rPr>
        <w:t>at</w:t>
      </w:r>
      <w:r>
        <w:rPr>
          <w:spacing w:val="-3"/>
          <w:sz w:val="18"/>
        </w:rPr>
        <w:t> </w:t>
      </w:r>
      <w:r>
        <w:rPr>
          <w:sz w:val="18"/>
        </w:rPr>
        <w:t>Part</w:t>
      </w:r>
      <w:r>
        <w:rPr>
          <w:spacing w:val="-4"/>
          <w:sz w:val="18"/>
        </w:rPr>
        <w:t> </w:t>
      </w:r>
      <w:r>
        <w:rPr>
          <w:sz w:val="18"/>
        </w:rPr>
        <w:t>6</w:t>
      </w:r>
      <w:r>
        <w:rPr>
          <w:spacing w:val="-3"/>
          <w:sz w:val="18"/>
        </w:rPr>
        <w:t> </w:t>
      </w:r>
      <w:r>
        <w:rPr>
          <w:sz w:val="18"/>
        </w:rPr>
        <w:t>on</w:t>
      </w:r>
      <w:r>
        <w:rPr>
          <w:spacing w:val="-5"/>
          <w:sz w:val="18"/>
        </w:rPr>
        <w:t> </w:t>
      </w:r>
      <w:r>
        <w:rPr>
          <w:sz w:val="18"/>
        </w:rPr>
        <w:t>Rights,</w:t>
      </w:r>
      <w:r>
        <w:rPr>
          <w:spacing w:val="-4"/>
          <w:sz w:val="18"/>
        </w:rPr>
        <w:t> </w:t>
      </w:r>
      <w:r>
        <w:rPr>
          <w:sz w:val="18"/>
        </w:rPr>
        <w:t>Safeguards</w:t>
      </w:r>
      <w:r>
        <w:rPr>
          <w:spacing w:val="-4"/>
          <w:sz w:val="18"/>
        </w:rPr>
        <w:t> </w:t>
      </w:r>
      <w:r>
        <w:rPr>
          <w:sz w:val="18"/>
        </w:rPr>
        <w:t>and</w:t>
      </w:r>
      <w:r>
        <w:rPr>
          <w:spacing w:val="-5"/>
          <w:sz w:val="18"/>
        </w:rPr>
        <w:t> </w:t>
      </w:r>
      <w:r>
        <w:rPr>
          <w:sz w:val="18"/>
        </w:rPr>
        <w:t>Equality</w:t>
      </w:r>
      <w:r>
        <w:rPr>
          <w:spacing w:val="-3"/>
          <w:sz w:val="18"/>
        </w:rPr>
        <w:t> </w:t>
      </w:r>
      <w:r>
        <w:rPr>
          <w:sz w:val="18"/>
        </w:rPr>
        <w:t>of</w:t>
      </w:r>
      <w:r>
        <w:rPr>
          <w:spacing w:val="-5"/>
          <w:sz w:val="18"/>
        </w:rPr>
        <w:t> </w:t>
      </w:r>
      <w:r>
        <w:rPr>
          <w:sz w:val="18"/>
        </w:rPr>
        <w:t>Opportunity</w:t>
      </w:r>
      <w:r>
        <w:rPr>
          <w:spacing w:val="-3"/>
          <w:sz w:val="18"/>
        </w:rPr>
        <w:t> </w:t>
      </w:r>
      <w:r>
        <w:rPr>
          <w:spacing w:val="-10"/>
          <w:sz w:val="18"/>
        </w:rPr>
        <w:t>–</w:t>
      </w:r>
    </w:p>
    <w:p>
      <w:pPr>
        <w:spacing w:after="0" w:line="218" w:lineRule="exact"/>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pPr>
      <w:r>
        <w:rPr/>
        <w:t>obligations</w:t>
      </w:r>
      <w:r>
        <w:rPr>
          <w:spacing w:val="-5"/>
        </w:rPr>
        <w:t> </w:t>
      </w:r>
      <w:r>
        <w:rPr/>
        <w:t>underpinning</w:t>
      </w:r>
      <w:r>
        <w:rPr>
          <w:spacing w:val="-5"/>
        </w:rPr>
        <w:t> </w:t>
      </w:r>
      <w:r>
        <w:rPr/>
        <w:t>the</w:t>
      </w:r>
      <w:r>
        <w:rPr>
          <w:spacing w:val="-5"/>
        </w:rPr>
        <w:t> </w:t>
      </w:r>
      <w:r>
        <w:rPr/>
        <w:t>rights</w:t>
      </w:r>
      <w:r>
        <w:rPr>
          <w:spacing w:val="-5"/>
        </w:rPr>
        <w:t> </w:t>
      </w:r>
      <w:r>
        <w:rPr/>
        <w:t>of</w:t>
      </w:r>
      <w:r>
        <w:rPr>
          <w:spacing w:val="-5"/>
        </w:rPr>
        <w:t> </w:t>
      </w:r>
      <w:r>
        <w:rPr/>
        <w:t>victims</w:t>
      </w:r>
      <w:r>
        <w:rPr>
          <w:spacing w:val="-5"/>
        </w:rPr>
        <w:t> </w:t>
      </w:r>
      <w:r>
        <w:rPr/>
        <w:t>fall</w:t>
      </w:r>
      <w:r>
        <w:rPr>
          <w:spacing w:val="-5"/>
        </w:rPr>
        <w:t> </w:t>
      </w:r>
      <w:r>
        <w:rPr/>
        <w:t>within</w:t>
      </w:r>
      <w:r>
        <w:rPr>
          <w:spacing w:val="-5"/>
        </w:rPr>
        <w:t> </w:t>
      </w:r>
      <w:r>
        <w:rPr/>
        <w:t>the</w:t>
      </w:r>
      <w:r>
        <w:rPr>
          <w:spacing w:val="-5"/>
        </w:rPr>
        <w:t> </w:t>
      </w:r>
      <w:r>
        <w:rPr/>
        <w:t>scope</w:t>
      </w:r>
      <w:r>
        <w:rPr>
          <w:spacing w:val="-5"/>
        </w:rPr>
        <w:t> </w:t>
      </w:r>
      <w:r>
        <w:rPr/>
        <w:t>of</w:t>
      </w:r>
      <w:r>
        <w:rPr>
          <w:spacing w:val="-5"/>
        </w:rPr>
        <w:t> </w:t>
      </w:r>
      <w:r>
        <w:rPr/>
        <w:t>Windsor Framework Article 2,</w:t>
      </w:r>
      <w:r>
        <w:rPr>
          <w:vertAlign w:val="superscript"/>
        </w:rPr>
        <w:t>316</w:t>
      </w:r>
      <w:r>
        <w:rPr>
          <w:vertAlign w:val="baseline"/>
        </w:rPr>
        <w:t> including the EU Victims’ Directive</w:t>
      </w:r>
      <w:r>
        <w:rPr>
          <w:vertAlign w:val="superscript"/>
        </w:rPr>
        <w:t>317</w:t>
      </w:r>
      <w:r>
        <w:rPr>
          <w:vertAlign w:val="baseline"/>
        </w:rPr>
        <w:t> as well as other relevant EU laws which support victims.</w:t>
      </w:r>
      <w:r>
        <w:rPr>
          <w:vertAlign w:val="superscript"/>
        </w:rPr>
        <w:t>318</w:t>
      </w:r>
    </w:p>
    <w:p>
      <w:pPr>
        <w:pStyle w:val="ListParagraph"/>
        <w:numPr>
          <w:ilvl w:val="1"/>
          <w:numId w:val="7"/>
        </w:numPr>
        <w:tabs>
          <w:tab w:pos="1853" w:val="left" w:leader="none"/>
        </w:tabs>
        <w:spacing w:line="225" w:lineRule="auto" w:before="317" w:after="0"/>
        <w:ind w:left="1853" w:right="1395" w:hanging="720"/>
        <w:jc w:val="left"/>
        <w:rPr>
          <w:sz w:val="28"/>
        </w:rPr>
      </w:pPr>
      <w:r>
        <w:rPr>
          <w:sz w:val="28"/>
        </w:rPr>
        <w:t>After</w:t>
      </w:r>
      <w:r>
        <w:rPr>
          <w:spacing w:val="-8"/>
          <w:sz w:val="28"/>
        </w:rPr>
        <w:t> </w:t>
      </w:r>
      <w:r>
        <w:rPr>
          <w:sz w:val="28"/>
        </w:rPr>
        <w:t>the</w:t>
      </w:r>
      <w:r>
        <w:rPr>
          <w:spacing w:val="-8"/>
          <w:sz w:val="28"/>
        </w:rPr>
        <w:t> </w:t>
      </w:r>
      <w:r>
        <w:rPr>
          <w:sz w:val="28"/>
        </w:rPr>
        <w:t>Independent</w:t>
      </w:r>
      <w:r>
        <w:rPr>
          <w:spacing w:val="-8"/>
          <w:sz w:val="28"/>
        </w:rPr>
        <w:t> </w:t>
      </w:r>
      <w:r>
        <w:rPr>
          <w:sz w:val="28"/>
        </w:rPr>
        <w:t>Hate</w:t>
      </w:r>
      <w:r>
        <w:rPr>
          <w:spacing w:val="-8"/>
          <w:sz w:val="28"/>
        </w:rPr>
        <w:t> </w:t>
      </w:r>
      <w:r>
        <w:rPr>
          <w:sz w:val="28"/>
        </w:rPr>
        <w:t>Crime</w:t>
      </w:r>
      <w:r>
        <w:rPr>
          <w:spacing w:val="-8"/>
          <w:sz w:val="28"/>
        </w:rPr>
        <w:t> </w:t>
      </w:r>
      <w:r>
        <w:rPr>
          <w:sz w:val="28"/>
        </w:rPr>
        <w:t>Review</w:t>
      </w:r>
      <w:r>
        <w:rPr>
          <w:spacing w:val="-8"/>
          <w:sz w:val="28"/>
        </w:rPr>
        <w:t> </w:t>
      </w:r>
      <w:r>
        <w:rPr>
          <w:sz w:val="28"/>
        </w:rPr>
        <w:t>in</w:t>
      </w:r>
      <w:r>
        <w:rPr>
          <w:spacing w:val="-9"/>
          <w:sz w:val="28"/>
        </w:rPr>
        <w:t> </w:t>
      </w:r>
      <w:r>
        <w:rPr>
          <w:sz w:val="28"/>
        </w:rPr>
        <w:t>2020,</w:t>
      </w:r>
      <w:r>
        <w:rPr>
          <w:sz w:val="28"/>
          <w:vertAlign w:val="superscript"/>
        </w:rPr>
        <w:t>319</w:t>
      </w:r>
      <w:r>
        <w:rPr>
          <w:spacing w:val="-9"/>
          <w:sz w:val="28"/>
          <w:vertAlign w:val="baseline"/>
        </w:rPr>
        <w:t> </w:t>
      </w:r>
      <w:r>
        <w:rPr>
          <w:sz w:val="28"/>
          <w:vertAlign w:val="baseline"/>
        </w:rPr>
        <w:t>and</w:t>
      </w:r>
      <w:r>
        <w:rPr>
          <w:spacing w:val="-9"/>
          <w:sz w:val="28"/>
          <w:vertAlign w:val="baseline"/>
        </w:rPr>
        <w:t> </w:t>
      </w:r>
      <w:r>
        <w:rPr>
          <w:sz w:val="28"/>
          <w:vertAlign w:val="baseline"/>
        </w:rPr>
        <w:t>the</w:t>
      </w:r>
      <w:r>
        <w:rPr>
          <w:spacing w:val="-8"/>
          <w:sz w:val="28"/>
          <w:vertAlign w:val="baseline"/>
        </w:rPr>
        <w:t> </w:t>
      </w:r>
      <w:r>
        <w:rPr>
          <w:sz w:val="28"/>
          <w:vertAlign w:val="baseline"/>
        </w:rPr>
        <w:t>Department</w:t>
      </w:r>
      <w:r>
        <w:rPr>
          <w:spacing w:val="-8"/>
          <w:sz w:val="28"/>
          <w:vertAlign w:val="baseline"/>
        </w:rPr>
        <w:t> </w:t>
      </w:r>
      <w:r>
        <w:rPr>
          <w:sz w:val="28"/>
          <w:vertAlign w:val="baseline"/>
        </w:rPr>
        <w:t>of Justice</w:t>
      </w:r>
      <w:r>
        <w:rPr>
          <w:spacing w:val="-8"/>
          <w:sz w:val="28"/>
          <w:vertAlign w:val="baseline"/>
        </w:rPr>
        <w:t> </w:t>
      </w:r>
      <w:r>
        <w:rPr>
          <w:sz w:val="28"/>
          <w:vertAlign w:val="baseline"/>
        </w:rPr>
        <w:t>response,</w:t>
      </w:r>
      <w:r>
        <w:rPr>
          <w:sz w:val="28"/>
          <w:vertAlign w:val="superscript"/>
        </w:rPr>
        <w:t>320</w:t>
      </w:r>
      <w:r>
        <w:rPr>
          <w:spacing w:val="-9"/>
          <w:sz w:val="28"/>
          <w:vertAlign w:val="baseline"/>
        </w:rPr>
        <w:t> </w:t>
      </w:r>
      <w:r>
        <w:rPr>
          <w:sz w:val="28"/>
          <w:vertAlign w:val="baseline"/>
        </w:rPr>
        <w:t>the</w:t>
      </w:r>
      <w:r>
        <w:rPr>
          <w:spacing w:val="-8"/>
          <w:sz w:val="28"/>
          <w:vertAlign w:val="baseline"/>
        </w:rPr>
        <w:t> </w:t>
      </w:r>
      <w:r>
        <w:rPr>
          <w:sz w:val="28"/>
          <w:vertAlign w:val="baseline"/>
        </w:rPr>
        <w:t>first</w:t>
      </w:r>
      <w:r>
        <w:rPr>
          <w:spacing w:val="-8"/>
          <w:sz w:val="28"/>
          <w:vertAlign w:val="baseline"/>
        </w:rPr>
        <w:t> </w:t>
      </w:r>
      <w:r>
        <w:rPr>
          <w:sz w:val="28"/>
          <w:vertAlign w:val="baseline"/>
        </w:rPr>
        <w:t>of</w:t>
      </w:r>
      <w:r>
        <w:rPr>
          <w:spacing w:val="-9"/>
          <w:sz w:val="28"/>
          <w:vertAlign w:val="baseline"/>
        </w:rPr>
        <w:t> </w:t>
      </w:r>
      <w:r>
        <w:rPr>
          <w:sz w:val="28"/>
          <w:vertAlign w:val="baseline"/>
        </w:rPr>
        <w:t>a</w:t>
      </w:r>
      <w:r>
        <w:rPr>
          <w:spacing w:val="-9"/>
          <w:sz w:val="28"/>
          <w:vertAlign w:val="baseline"/>
        </w:rPr>
        <w:t> </w:t>
      </w:r>
      <w:r>
        <w:rPr>
          <w:sz w:val="28"/>
          <w:vertAlign w:val="baseline"/>
        </w:rPr>
        <w:t>two-stage</w:t>
      </w:r>
      <w:r>
        <w:rPr>
          <w:spacing w:val="-8"/>
          <w:sz w:val="28"/>
          <w:vertAlign w:val="baseline"/>
        </w:rPr>
        <w:t> </w:t>
      </w:r>
      <w:r>
        <w:rPr>
          <w:sz w:val="28"/>
          <w:vertAlign w:val="baseline"/>
        </w:rPr>
        <w:t>public</w:t>
      </w:r>
      <w:r>
        <w:rPr>
          <w:spacing w:val="-8"/>
          <w:sz w:val="28"/>
          <w:vertAlign w:val="baseline"/>
        </w:rPr>
        <w:t> </w:t>
      </w:r>
      <w:r>
        <w:rPr>
          <w:sz w:val="28"/>
          <w:vertAlign w:val="baseline"/>
        </w:rPr>
        <w:t>consultation</w:t>
      </w:r>
      <w:r>
        <w:rPr>
          <w:spacing w:val="-9"/>
          <w:sz w:val="28"/>
          <w:vertAlign w:val="baseline"/>
        </w:rPr>
        <w:t> </w:t>
      </w:r>
      <w:r>
        <w:rPr>
          <w:sz w:val="28"/>
          <w:vertAlign w:val="baseline"/>
        </w:rPr>
        <w:t>was</w:t>
      </w:r>
      <w:r>
        <w:rPr>
          <w:spacing w:val="-9"/>
          <w:sz w:val="28"/>
          <w:vertAlign w:val="baseline"/>
        </w:rPr>
        <w:t> </w:t>
      </w:r>
      <w:r>
        <w:rPr>
          <w:sz w:val="28"/>
          <w:vertAlign w:val="baseline"/>
        </w:rPr>
        <w:t>launched in 2022 seeking responses on improving the effectiveness of NI hate crime legislation.</w:t>
      </w:r>
      <w:r>
        <w:rPr>
          <w:sz w:val="28"/>
          <w:vertAlign w:val="superscript"/>
        </w:rPr>
        <w:t>321</w:t>
      </w:r>
      <w:r>
        <w:rPr>
          <w:sz w:val="28"/>
          <w:vertAlign w:val="baseline"/>
        </w:rPr>
        <w:t> Both Commissions responded separately to stage one of the consultation process, in line with their respective remits.</w:t>
      </w:r>
    </w:p>
    <w:p>
      <w:pPr>
        <w:pStyle w:val="ListParagraph"/>
        <w:numPr>
          <w:ilvl w:val="1"/>
          <w:numId w:val="7"/>
        </w:numPr>
        <w:tabs>
          <w:tab w:pos="1853" w:val="left" w:leader="none"/>
        </w:tabs>
        <w:spacing w:line="225" w:lineRule="auto" w:before="313" w:after="0"/>
        <w:ind w:left="1853" w:right="1664" w:hanging="720"/>
        <w:jc w:val="left"/>
        <w:rPr>
          <w:sz w:val="28"/>
        </w:rPr>
      </w:pPr>
      <w:r>
        <w:rPr>
          <w:sz w:val="28"/>
        </w:rPr>
        <w:t>The NIHRC supported the introduction of a sectarian offence definition and</w:t>
      </w:r>
      <w:r>
        <w:rPr>
          <w:spacing w:val="-11"/>
          <w:sz w:val="28"/>
        </w:rPr>
        <w:t> </w:t>
      </w:r>
      <w:r>
        <w:rPr>
          <w:sz w:val="28"/>
        </w:rPr>
        <w:t>a</w:t>
      </w:r>
      <w:r>
        <w:rPr>
          <w:spacing w:val="-11"/>
          <w:sz w:val="28"/>
        </w:rPr>
        <w:t> </w:t>
      </w:r>
      <w:r>
        <w:rPr>
          <w:sz w:val="28"/>
        </w:rPr>
        <w:t>new</w:t>
      </w:r>
      <w:r>
        <w:rPr>
          <w:spacing w:val="-10"/>
          <w:sz w:val="28"/>
        </w:rPr>
        <w:t> </w:t>
      </w:r>
      <w:r>
        <w:rPr>
          <w:sz w:val="28"/>
        </w:rPr>
        <w:t>statutory</w:t>
      </w:r>
      <w:r>
        <w:rPr>
          <w:spacing w:val="-10"/>
          <w:sz w:val="28"/>
        </w:rPr>
        <w:t> </w:t>
      </w:r>
      <w:r>
        <w:rPr>
          <w:sz w:val="28"/>
        </w:rPr>
        <w:t>aggravation</w:t>
      </w:r>
      <w:r>
        <w:rPr>
          <w:spacing w:val="-11"/>
          <w:sz w:val="28"/>
        </w:rPr>
        <w:t> </w:t>
      </w:r>
      <w:r>
        <w:rPr>
          <w:sz w:val="28"/>
        </w:rPr>
        <w:t>for</w:t>
      </w:r>
      <w:r>
        <w:rPr>
          <w:spacing w:val="-10"/>
          <w:sz w:val="28"/>
        </w:rPr>
        <w:t> </w:t>
      </w:r>
      <w:r>
        <w:rPr>
          <w:sz w:val="28"/>
        </w:rPr>
        <w:t>sectarian</w:t>
      </w:r>
      <w:r>
        <w:rPr>
          <w:spacing w:val="-11"/>
          <w:sz w:val="28"/>
        </w:rPr>
        <w:t> </w:t>
      </w:r>
      <w:r>
        <w:rPr>
          <w:sz w:val="28"/>
        </w:rPr>
        <w:t>prejudice.</w:t>
      </w:r>
      <w:r>
        <w:rPr>
          <w:sz w:val="28"/>
          <w:vertAlign w:val="superscript"/>
        </w:rPr>
        <w:t>322</w:t>
      </w:r>
      <w:r>
        <w:rPr>
          <w:spacing w:val="-11"/>
          <w:sz w:val="28"/>
          <w:vertAlign w:val="baseline"/>
        </w:rPr>
        <w:t> </w:t>
      </w:r>
      <w:r>
        <w:rPr>
          <w:sz w:val="28"/>
          <w:vertAlign w:val="baseline"/>
        </w:rPr>
        <w:t>The</w:t>
      </w:r>
      <w:r>
        <w:rPr>
          <w:spacing w:val="-10"/>
          <w:sz w:val="28"/>
          <w:vertAlign w:val="baseline"/>
        </w:rPr>
        <w:t> </w:t>
      </w:r>
      <w:r>
        <w:rPr>
          <w:sz w:val="28"/>
          <w:vertAlign w:val="baseline"/>
        </w:rPr>
        <w:t>NIHRC</w:t>
      </w:r>
      <w:r>
        <w:rPr>
          <w:spacing w:val="-11"/>
          <w:sz w:val="28"/>
          <w:vertAlign w:val="baseline"/>
        </w:rPr>
        <w:t> </w:t>
      </w:r>
      <w:r>
        <w:rPr>
          <w:sz w:val="28"/>
          <w:vertAlign w:val="baseline"/>
        </w:rPr>
        <w:t>also recommended that the legislation is future-proofed to accommodate the</w:t>
      </w:r>
    </w:p>
    <w:p>
      <w:pPr>
        <w:pStyle w:val="BodyText"/>
        <w:spacing w:line="225" w:lineRule="auto"/>
        <w:ind w:left="1853"/>
      </w:pPr>
      <w:r>
        <w:rPr/>
        <w:t>inclusion</w:t>
      </w:r>
      <w:r>
        <w:rPr>
          <w:spacing w:val="-8"/>
        </w:rPr>
        <w:t> </w:t>
      </w:r>
      <w:r>
        <w:rPr/>
        <w:t>of</w:t>
      </w:r>
      <w:r>
        <w:rPr>
          <w:spacing w:val="-8"/>
        </w:rPr>
        <w:t> </w:t>
      </w:r>
      <w:r>
        <w:rPr/>
        <w:t>sectarianism</w:t>
      </w:r>
      <w:r>
        <w:rPr>
          <w:spacing w:val="-7"/>
        </w:rPr>
        <w:t> </w:t>
      </w:r>
      <w:r>
        <w:rPr/>
        <w:t>against</w:t>
      </w:r>
      <w:r>
        <w:rPr>
          <w:spacing w:val="-7"/>
        </w:rPr>
        <w:t> </w:t>
      </w:r>
      <w:r>
        <w:rPr/>
        <w:t>a</w:t>
      </w:r>
      <w:r>
        <w:rPr>
          <w:spacing w:val="-8"/>
        </w:rPr>
        <w:t> </w:t>
      </w:r>
      <w:r>
        <w:rPr/>
        <w:t>broader</w:t>
      </w:r>
      <w:r>
        <w:rPr>
          <w:spacing w:val="-7"/>
        </w:rPr>
        <w:t> </w:t>
      </w:r>
      <w:r>
        <w:rPr/>
        <w:t>range</w:t>
      </w:r>
      <w:r>
        <w:rPr>
          <w:spacing w:val="-7"/>
        </w:rPr>
        <w:t> </w:t>
      </w:r>
      <w:r>
        <w:rPr/>
        <w:t>of</w:t>
      </w:r>
      <w:r>
        <w:rPr>
          <w:spacing w:val="-8"/>
        </w:rPr>
        <w:t> </w:t>
      </w:r>
      <w:r>
        <w:rPr/>
        <w:t>religious</w:t>
      </w:r>
      <w:r>
        <w:rPr>
          <w:spacing w:val="-8"/>
        </w:rPr>
        <w:t> </w:t>
      </w:r>
      <w:r>
        <w:rPr/>
        <w:t>beliefs,</w:t>
      </w:r>
      <w:r>
        <w:rPr>
          <w:spacing w:val="-7"/>
        </w:rPr>
        <w:t> </w:t>
      </w:r>
      <w:r>
        <w:rPr/>
        <w:t>descent, nationalities or citizenship.</w:t>
      </w:r>
      <w:r>
        <w:rPr>
          <w:vertAlign w:val="superscript"/>
        </w:rPr>
        <w:t>323</w:t>
      </w:r>
    </w:p>
    <w:p>
      <w:pPr>
        <w:pStyle w:val="ListParagraph"/>
        <w:numPr>
          <w:ilvl w:val="1"/>
          <w:numId w:val="7"/>
        </w:numPr>
        <w:tabs>
          <w:tab w:pos="1853" w:val="left" w:leader="none"/>
        </w:tabs>
        <w:spacing w:line="225" w:lineRule="auto" w:before="314" w:after="0"/>
        <w:ind w:left="1853" w:right="1326" w:hanging="720"/>
        <w:jc w:val="left"/>
        <w:rPr>
          <w:sz w:val="28"/>
        </w:rPr>
      </w:pPr>
      <w:r>
        <w:rPr>
          <w:sz w:val="28"/>
        </w:rPr>
        <w:t>The ECNI, welcomed a specific reference to sectarianism in hate crime legislation. The ECNI also recommended that indicators of sectarianism should be expanded to include religious belief, national identity, nationality and citizenship to address gaps in protection, and that the Government should</w:t>
      </w:r>
      <w:r>
        <w:rPr>
          <w:spacing w:val="-8"/>
          <w:sz w:val="28"/>
        </w:rPr>
        <w:t> </w:t>
      </w:r>
      <w:r>
        <w:rPr>
          <w:sz w:val="28"/>
        </w:rPr>
        <w:t>ensure</w:t>
      </w:r>
      <w:r>
        <w:rPr>
          <w:spacing w:val="-7"/>
          <w:sz w:val="28"/>
        </w:rPr>
        <w:t> </w:t>
      </w:r>
      <w:r>
        <w:rPr>
          <w:sz w:val="28"/>
        </w:rPr>
        <w:t>that</w:t>
      </w:r>
      <w:r>
        <w:rPr>
          <w:spacing w:val="-7"/>
          <w:sz w:val="28"/>
        </w:rPr>
        <w:t> </w:t>
      </w:r>
      <w:r>
        <w:rPr>
          <w:sz w:val="28"/>
        </w:rPr>
        <w:t>any</w:t>
      </w:r>
      <w:r>
        <w:rPr>
          <w:spacing w:val="-7"/>
          <w:sz w:val="28"/>
        </w:rPr>
        <w:t> </w:t>
      </w:r>
      <w:r>
        <w:rPr>
          <w:sz w:val="28"/>
        </w:rPr>
        <w:t>proposed</w:t>
      </w:r>
      <w:r>
        <w:rPr>
          <w:spacing w:val="-8"/>
          <w:sz w:val="28"/>
        </w:rPr>
        <w:t> </w:t>
      </w:r>
      <w:r>
        <w:rPr>
          <w:sz w:val="28"/>
        </w:rPr>
        <w:t>provisions</w:t>
      </w:r>
      <w:r>
        <w:rPr>
          <w:spacing w:val="-8"/>
          <w:sz w:val="28"/>
        </w:rPr>
        <w:t> </w:t>
      </w:r>
      <w:r>
        <w:rPr>
          <w:sz w:val="28"/>
        </w:rPr>
        <w:t>are</w:t>
      </w:r>
      <w:r>
        <w:rPr>
          <w:spacing w:val="-7"/>
          <w:sz w:val="28"/>
        </w:rPr>
        <w:t> </w:t>
      </w:r>
      <w:r>
        <w:rPr>
          <w:sz w:val="28"/>
        </w:rPr>
        <w:t>compliant</w:t>
      </w:r>
      <w:r>
        <w:rPr>
          <w:spacing w:val="-7"/>
          <w:sz w:val="28"/>
        </w:rPr>
        <w:t> </w:t>
      </w:r>
      <w:r>
        <w:rPr>
          <w:sz w:val="28"/>
        </w:rPr>
        <w:t>with</w:t>
      </w:r>
      <w:r>
        <w:rPr>
          <w:spacing w:val="-8"/>
          <w:sz w:val="28"/>
        </w:rPr>
        <w:t> </w:t>
      </w:r>
      <w:r>
        <w:rPr>
          <w:sz w:val="28"/>
        </w:rPr>
        <w:t>human</w:t>
      </w:r>
      <w:r>
        <w:rPr>
          <w:spacing w:val="-8"/>
          <w:sz w:val="28"/>
        </w:rPr>
        <w:t> </w:t>
      </w:r>
      <w:r>
        <w:rPr>
          <w:sz w:val="28"/>
        </w:rPr>
        <w:t>rights </w:t>
      </w:r>
      <w:r>
        <w:rPr>
          <w:spacing w:val="-2"/>
          <w:sz w:val="28"/>
        </w:rPr>
        <w:t>legislation.</w:t>
      </w:r>
      <w:r>
        <w:rPr>
          <w:spacing w:val="-2"/>
          <w:sz w:val="28"/>
          <w:vertAlign w:val="superscript"/>
        </w:rPr>
        <w:t>324</w:t>
      </w:r>
    </w:p>
    <w:p>
      <w:pPr>
        <w:pStyle w:val="ListParagraph"/>
        <w:numPr>
          <w:ilvl w:val="1"/>
          <w:numId w:val="7"/>
        </w:numPr>
        <w:tabs>
          <w:tab w:pos="1853" w:val="left" w:leader="none"/>
        </w:tabs>
        <w:spacing w:line="225" w:lineRule="auto" w:before="312" w:after="0"/>
        <w:ind w:left="1853" w:right="1213" w:hanging="720"/>
        <w:jc w:val="left"/>
        <w:rPr>
          <w:sz w:val="28"/>
        </w:rPr>
      </w:pPr>
      <w:r>
        <w:rPr>
          <w:sz w:val="28"/>
        </w:rPr>
        <w:t>In</w:t>
      </w:r>
      <w:r>
        <w:rPr>
          <w:spacing w:val="-6"/>
          <w:sz w:val="28"/>
        </w:rPr>
        <w:t> </w:t>
      </w:r>
      <w:r>
        <w:rPr>
          <w:sz w:val="28"/>
        </w:rPr>
        <w:t>2024,</w:t>
      </w:r>
      <w:r>
        <w:rPr>
          <w:spacing w:val="-5"/>
          <w:sz w:val="28"/>
        </w:rPr>
        <w:t> </w:t>
      </w:r>
      <w:r>
        <w:rPr>
          <w:sz w:val="28"/>
        </w:rPr>
        <w:t>the</w:t>
      </w:r>
      <w:r>
        <w:rPr>
          <w:spacing w:val="-5"/>
          <w:sz w:val="28"/>
        </w:rPr>
        <w:t> </w:t>
      </w:r>
      <w:r>
        <w:rPr>
          <w:sz w:val="28"/>
        </w:rPr>
        <w:t>Department</w:t>
      </w:r>
      <w:r>
        <w:rPr>
          <w:spacing w:val="-5"/>
          <w:sz w:val="28"/>
        </w:rPr>
        <w:t> </w:t>
      </w:r>
      <w:r>
        <w:rPr>
          <w:sz w:val="28"/>
        </w:rPr>
        <w:t>of</w:t>
      </w:r>
      <w:r>
        <w:rPr>
          <w:spacing w:val="-6"/>
          <w:sz w:val="28"/>
        </w:rPr>
        <w:t> </w:t>
      </w:r>
      <w:r>
        <w:rPr>
          <w:sz w:val="28"/>
        </w:rPr>
        <w:t>Justice</w:t>
      </w:r>
      <w:r>
        <w:rPr>
          <w:spacing w:val="-5"/>
          <w:sz w:val="28"/>
        </w:rPr>
        <w:t> </w:t>
      </w:r>
      <w:r>
        <w:rPr>
          <w:sz w:val="28"/>
        </w:rPr>
        <w:t>confirmed</w:t>
      </w:r>
      <w:r>
        <w:rPr>
          <w:spacing w:val="-6"/>
          <w:sz w:val="28"/>
        </w:rPr>
        <w:t> </w:t>
      </w:r>
      <w:r>
        <w:rPr>
          <w:sz w:val="28"/>
        </w:rPr>
        <w:t>that</w:t>
      </w:r>
      <w:r>
        <w:rPr>
          <w:spacing w:val="-5"/>
          <w:sz w:val="28"/>
        </w:rPr>
        <w:t> </w:t>
      </w:r>
      <w:r>
        <w:rPr>
          <w:sz w:val="28"/>
        </w:rPr>
        <w:t>Phase</w:t>
      </w:r>
      <w:r>
        <w:rPr>
          <w:spacing w:val="-5"/>
          <w:sz w:val="28"/>
        </w:rPr>
        <w:t> </w:t>
      </w:r>
      <w:r>
        <w:rPr>
          <w:sz w:val="28"/>
        </w:rPr>
        <w:t>2</w:t>
      </w:r>
      <w:r>
        <w:rPr>
          <w:spacing w:val="-5"/>
          <w:sz w:val="28"/>
        </w:rPr>
        <w:t> </w:t>
      </w:r>
      <w:r>
        <w:rPr>
          <w:sz w:val="28"/>
        </w:rPr>
        <w:t>of</w:t>
      </w:r>
      <w:r>
        <w:rPr>
          <w:spacing w:val="-6"/>
          <w:sz w:val="28"/>
        </w:rPr>
        <w:t> </w:t>
      </w:r>
      <w:r>
        <w:rPr>
          <w:sz w:val="28"/>
        </w:rPr>
        <w:t>the</w:t>
      </w:r>
      <w:r>
        <w:rPr>
          <w:spacing w:val="-5"/>
          <w:sz w:val="28"/>
        </w:rPr>
        <w:t> </w:t>
      </w:r>
      <w:r>
        <w:rPr>
          <w:sz w:val="28"/>
        </w:rPr>
        <w:t>consultation on Hate Crime Legislation is planned for Autumn 2024 and that the Minister has committed to introducing a foundational Hate Crime Bill in this mandate. It is scheduled to be introduced in 2026.</w:t>
      </w:r>
      <w:r>
        <w:rPr>
          <w:sz w:val="28"/>
          <w:vertAlign w:val="superscript"/>
        </w:rPr>
        <w:t>325</w:t>
      </w:r>
    </w:p>
    <w:p>
      <w:pPr>
        <w:pStyle w:val="BodyText"/>
        <w:rPr>
          <w:sz w:val="20"/>
        </w:rPr>
      </w:pPr>
    </w:p>
    <w:p>
      <w:pPr>
        <w:pStyle w:val="BodyText"/>
        <w:rPr>
          <w:sz w:val="20"/>
        </w:rPr>
      </w:pPr>
    </w:p>
    <w:p>
      <w:pPr>
        <w:pStyle w:val="BodyText"/>
        <w:spacing w:before="116"/>
        <w:rPr>
          <w:sz w:val="20"/>
        </w:rPr>
      </w:pPr>
      <w:r>
        <w:rPr/>
        <mc:AlternateContent>
          <mc:Choice Requires="wps">
            <w:drawing>
              <wp:anchor distT="0" distB="0" distL="0" distR="0" allowOverlap="1" layoutInCell="1" locked="0" behindDoc="1" simplePos="0" relativeHeight="487661568">
                <wp:simplePos x="0" y="0"/>
                <wp:positionH relativeFrom="page">
                  <wp:posOffset>719999</wp:posOffset>
                </wp:positionH>
                <wp:positionV relativeFrom="paragraph">
                  <wp:posOffset>244535</wp:posOffset>
                </wp:positionV>
                <wp:extent cx="6120130" cy="1270"/>
                <wp:effectExtent l="0" t="0" r="0" b="0"/>
                <wp:wrapTopAndBottom/>
                <wp:docPr id="317" name="Graphic 317"/>
                <wp:cNvGraphicFramePr>
                  <a:graphicFrameLocks/>
                </wp:cNvGraphicFramePr>
                <a:graphic>
                  <a:graphicData uri="http://schemas.microsoft.com/office/word/2010/wordprocessingShape">
                    <wps:wsp>
                      <wps:cNvPr id="317" name="Graphic 317"/>
                      <wps:cNvSpPr/>
                      <wps:spPr>
                        <a:xfrm>
                          <a:off x="0" y="0"/>
                          <a:ext cx="6120130" cy="1270"/>
                        </a:xfrm>
                        <a:custGeom>
                          <a:avLst/>
                          <a:gdLst/>
                          <a:ahLst/>
                          <a:cxnLst/>
                          <a:rect l="l" t="t" r="r" b="b"/>
                          <a:pathLst>
                            <a:path w="6120130" h="0">
                              <a:moveTo>
                                <a:pt x="0" y="0"/>
                              </a:moveTo>
                              <a:lnTo>
                                <a:pt x="6120003"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9.254772pt;width:481.9pt;height:.1pt;mso-position-horizontal-relative:page;mso-position-vertical-relative:paragraph;z-index:-15654912;mso-wrap-distance-left:0;mso-wrap-distance-right:0" id="docshape269" coordorigin="1134,385" coordsize="9638,0" path="m1134,385l10772,385e" filled="false" stroked="true" strokeweight="1pt" strokecolor="#393b7f">
                <v:path arrowok="t"/>
                <v:stroke dashstyle="solid"/>
                <w10:wrap type="topAndBottom"/>
              </v:shape>
            </w:pict>
          </mc:Fallback>
        </mc:AlternateContent>
      </w:r>
    </w:p>
    <w:p>
      <w:pPr>
        <w:spacing w:line="218" w:lineRule="exact" w:before="126"/>
        <w:ind w:left="1853" w:right="0" w:firstLine="0"/>
        <w:jc w:val="left"/>
        <w:rPr>
          <w:sz w:val="18"/>
        </w:rPr>
      </w:pPr>
      <w:r>
        <w:rPr>
          <w:sz w:val="18"/>
        </w:rPr>
        <w:t>Human</w:t>
      </w:r>
      <w:r>
        <w:rPr>
          <w:spacing w:val="-5"/>
          <w:sz w:val="18"/>
        </w:rPr>
        <w:t> </w:t>
      </w:r>
      <w:r>
        <w:rPr>
          <w:spacing w:val="-2"/>
          <w:sz w:val="18"/>
        </w:rPr>
        <w:t>Rights.</w:t>
      </w:r>
    </w:p>
    <w:p>
      <w:pPr>
        <w:pStyle w:val="ListParagraph"/>
        <w:numPr>
          <w:ilvl w:val="0"/>
          <w:numId w:val="9"/>
        </w:numPr>
        <w:tabs>
          <w:tab w:pos="1853" w:val="left" w:leader="none"/>
        </w:tabs>
        <w:spacing w:line="235" w:lineRule="auto" w:before="2" w:after="0"/>
        <w:ind w:left="1853" w:right="1388" w:hanging="720"/>
        <w:jc w:val="left"/>
        <w:rPr>
          <w:sz w:val="18"/>
        </w:rPr>
      </w:pP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and</w:t>
      </w:r>
      <w:r>
        <w:rPr>
          <w:spacing w:val="-4"/>
          <w:sz w:val="18"/>
        </w:rPr>
        <w:t> </w:t>
      </w:r>
      <w:r>
        <w:rPr>
          <w:sz w:val="18"/>
        </w:rPr>
        <w:t>Equality</w:t>
      </w:r>
      <w:r>
        <w:rPr>
          <w:spacing w:val="-3"/>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w:t>
      </w:r>
      <w:hyperlink r:id="rId100">
        <w:r>
          <w:rPr>
            <w:sz w:val="18"/>
          </w:rPr>
          <w:t>Working</w:t>
        </w:r>
        <w:r>
          <w:rPr>
            <w:spacing w:val="-3"/>
            <w:sz w:val="18"/>
          </w:rPr>
          <w:t> </w:t>
        </w:r>
        <w:r>
          <w:rPr>
            <w:sz w:val="18"/>
          </w:rPr>
          <w:t>Paper:</w:t>
        </w:r>
        <w:r>
          <w:rPr>
            <w:spacing w:val="-3"/>
            <w:sz w:val="18"/>
          </w:rPr>
          <w:t> </w:t>
        </w:r>
        <w:r>
          <w:rPr>
            <w:sz w:val="18"/>
          </w:rPr>
          <w:t>The</w:t>
        </w:r>
        <w:r>
          <w:rPr>
            <w:spacing w:val="-3"/>
            <w:sz w:val="18"/>
          </w:rPr>
          <w:t> </w:t>
        </w:r>
        <w:r>
          <w:rPr>
            <w:sz w:val="18"/>
          </w:rPr>
          <w:t>Scope</w:t>
        </w:r>
        <w:r>
          <w:rPr>
            <w:spacing w:val="-3"/>
            <w:sz w:val="18"/>
          </w:rPr>
          <w:t> </w:t>
        </w:r>
        <w:r>
          <w:rPr>
            <w:sz w:val="18"/>
          </w:rPr>
          <w:t>of</w:t>
        </w:r>
        <w:r>
          <w:rPr>
            <w:spacing w:val="-4"/>
            <w:sz w:val="18"/>
          </w:rPr>
          <w:t> </w:t>
        </w:r>
        <w:r>
          <w:rPr>
            <w:sz w:val="18"/>
          </w:rPr>
          <w:t>Article</w:t>
        </w:r>
        <w:r>
          <w:rPr>
            <w:spacing w:val="-3"/>
            <w:sz w:val="18"/>
          </w:rPr>
          <w:t> </w:t>
        </w:r>
        <w:r>
          <w:rPr>
            <w:sz w:val="18"/>
          </w:rPr>
          <w:t>2(1)</w:t>
        </w:r>
        <w:r>
          <w:rPr>
            <w:spacing w:val="-4"/>
            <w:sz w:val="18"/>
          </w:rPr>
          <w:t> </w:t>
        </w:r>
        <w:r>
          <w:rPr>
            <w:sz w:val="18"/>
          </w:rPr>
          <w:t>of</w:t>
        </w:r>
        <w:r>
          <w:rPr>
            <w:spacing w:val="-4"/>
            <w:sz w:val="18"/>
          </w:rPr>
          <w:t> </w:t>
        </w:r>
        <w:r>
          <w:rPr>
            <w:sz w:val="18"/>
          </w:rPr>
          <w:t>the</w:t>
        </w:r>
        <w:r>
          <w:rPr>
            <w:spacing w:val="-3"/>
            <w:sz w:val="18"/>
          </w:rPr>
          <w:t> </w:t>
        </w:r>
        <w:r>
          <w:rPr>
            <w:sz w:val="18"/>
          </w:rPr>
          <w:t>Ireland/</w:t>
        </w:r>
      </w:hyperlink>
      <w:r>
        <w:rPr>
          <w:sz w:val="18"/>
        </w:rPr>
        <w:t> </w:t>
      </w:r>
      <w:hyperlink r:id="rId100">
        <w:r>
          <w:rPr>
            <w:sz w:val="18"/>
          </w:rPr>
          <w:t>Northern Ireland Protocol</w:t>
        </w:r>
      </w:hyperlink>
      <w:r>
        <w:rPr>
          <w:sz w:val="18"/>
        </w:rPr>
        <w:t>’ (NIHRC and ECNI, 2022).</w:t>
      </w:r>
    </w:p>
    <w:p>
      <w:pPr>
        <w:pStyle w:val="ListParagraph"/>
        <w:numPr>
          <w:ilvl w:val="0"/>
          <w:numId w:val="9"/>
        </w:numPr>
        <w:tabs>
          <w:tab w:pos="1853" w:val="left" w:leader="none"/>
        </w:tabs>
        <w:spacing w:line="235" w:lineRule="auto" w:before="1" w:after="0"/>
        <w:ind w:left="1853" w:right="1303" w:hanging="720"/>
        <w:jc w:val="left"/>
        <w:rPr>
          <w:sz w:val="18"/>
        </w:rPr>
      </w:pPr>
      <w:r>
        <w:rPr>
          <w:sz w:val="18"/>
        </w:rPr>
        <w:t>Directive</w:t>
      </w:r>
      <w:r>
        <w:rPr>
          <w:spacing w:val="-4"/>
          <w:sz w:val="18"/>
        </w:rPr>
        <w:t> </w:t>
      </w:r>
      <w:r>
        <w:rPr>
          <w:sz w:val="18"/>
        </w:rPr>
        <w:t>2012/29/EU,</w:t>
      </w:r>
      <w:r>
        <w:rPr>
          <w:spacing w:val="-4"/>
          <w:sz w:val="18"/>
        </w:rPr>
        <w:t> </w:t>
      </w:r>
      <w:r>
        <w:rPr>
          <w:sz w:val="18"/>
        </w:rPr>
        <w:t>‘EU</w:t>
      </w:r>
      <w:r>
        <w:rPr>
          <w:spacing w:val="-4"/>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Directive</w:t>
      </w:r>
      <w:r>
        <w:rPr>
          <w:spacing w:val="-4"/>
          <w:sz w:val="18"/>
        </w:rPr>
        <w:t> </w:t>
      </w:r>
      <w:r>
        <w:rPr>
          <w:sz w:val="18"/>
        </w:rPr>
        <w:t>Establishing</w:t>
      </w:r>
      <w:r>
        <w:rPr>
          <w:spacing w:val="-4"/>
          <w:sz w:val="18"/>
        </w:rPr>
        <w:t> </w:t>
      </w:r>
      <w:r>
        <w:rPr>
          <w:sz w:val="18"/>
        </w:rPr>
        <w:t>Minimum</w:t>
      </w:r>
      <w:r>
        <w:rPr>
          <w:spacing w:val="-4"/>
          <w:sz w:val="18"/>
        </w:rPr>
        <w:t> </w:t>
      </w:r>
      <w:r>
        <w:rPr>
          <w:sz w:val="18"/>
        </w:rPr>
        <w:t>Standards</w:t>
      </w:r>
      <w:r>
        <w:rPr>
          <w:spacing w:val="-5"/>
          <w:sz w:val="18"/>
        </w:rPr>
        <w:t> </w:t>
      </w:r>
      <w:r>
        <w:rPr>
          <w:sz w:val="18"/>
        </w:rPr>
        <w:t>on</w:t>
      </w:r>
      <w:r>
        <w:rPr>
          <w:spacing w:val="-5"/>
          <w:sz w:val="18"/>
        </w:rPr>
        <w:t> </w:t>
      </w:r>
      <w:r>
        <w:rPr>
          <w:sz w:val="18"/>
        </w:rPr>
        <w:t>the</w:t>
      </w:r>
      <w:r>
        <w:rPr>
          <w:spacing w:val="-4"/>
          <w:sz w:val="18"/>
        </w:rPr>
        <w:t> </w:t>
      </w:r>
      <w:r>
        <w:rPr>
          <w:sz w:val="18"/>
        </w:rPr>
        <w:t>Rights,</w:t>
      </w:r>
      <w:r>
        <w:rPr>
          <w:spacing w:val="-4"/>
          <w:sz w:val="18"/>
        </w:rPr>
        <w:t> </w:t>
      </w:r>
      <w:r>
        <w:rPr>
          <w:sz w:val="18"/>
        </w:rPr>
        <w:t>Support</w:t>
      </w:r>
      <w:r>
        <w:rPr>
          <w:spacing w:val="-4"/>
          <w:sz w:val="18"/>
        </w:rPr>
        <w:t> </w:t>
      </w:r>
      <w:r>
        <w:rPr>
          <w:sz w:val="18"/>
        </w:rPr>
        <w:t>and Protection of Victims of Crime’, 25 October 2012.</w:t>
      </w:r>
    </w:p>
    <w:p>
      <w:pPr>
        <w:pStyle w:val="ListParagraph"/>
        <w:numPr>
          <w:ilvl w:val="0"/>
          <w:numId w:val="9"/>
        </w:numPr>
        <w:tabs>
          <w:tab w:pos="1853" w:val="left" w:leader="none"/>
        </w:tabs>
        <w:spacing w:line="235" w:lineRule="auto" w:before="2" w:after="0"/>
        <w:ind w:left="1853" w:right="1349" w:hanging="720"/>
        <w:jc w:val="left"/>
        <w:rPr>
          <w:sz w:val="18"/>
        </w:rPr>
      </w:pPr>
      <w:r>
        <w:rPr>
          <w:sz w:val="18"/>
        </w:rPr>
        <w:t>See Directive 2011/36/EU, ‘Council Directive on Preventing and Combating Trafficking in Human Beings and Protecting its Victims’, 5 April 2011; Directive 2011/92/EU, ‘Parliament and Council Directive on Combating the Sexual Abuse and Sexual Exploitation of Children and Child Pornography’, 13 December 2011; Directive 2012/29/EU, ‘EU Parliament and Council</w:t>
      </w:r>
      <w:r>
        <w:rPr>
          <w:spacing w:val="-6"/>
          <w:sz w:val="18"/>
        </w:rPr>
        <w:t> </w:t>
      </w:r>
      <w:r>
        <w:rPr>
          <w:sz w:val="18"/>
        </w:rPr>
        <w:t>Directive</w:t>
      </w:r>
      <w:r>
        <w:rPr>
          <w:spacing w:val="-5"/>
          <w:sz w:val="18"/>
        </w:rPr>
        <w:t> </w:t>
      </w:r>
      <w:r>
        <w:rPr>
          <w:sz w:val="18"/>
        </w:rPr>
        <w:t>establishing</w:t>
      </w:r>
      <w:r>
        <w:rPr>
          <w:spacing w:val="-5"/>
          <w:sz w:val="18"/>
        </w:rPr>
        <w:t> </w:t>
      </w:r>
      <w:r>
        <w:rPr>
          <w:sz w:val="18"/>
        </w:rPr>
        <w:t>minimum</w:t>
      </w:r>
      <w:r>
        <w:rPr>
          <w:spacing w:val="-5"/>
          <w:sz w:val="18"/>
        </w:rPr>
        <w:t> </w:t>
      </w:r>
      <w:r>
        <w:rPr>
          <w:sz w:val="18"/>
        </w:rPr>
        <w:t>standards</w:t>
      </w:r>
      <w:r>
        <w:rPr>
          <w:spacing w:val="-6"/>
          <w:sz w:val="18"/>
        </w:rPr>
        <w:t> </w:t>
      </w:r>
      <w:r>
        <w:rPr>
          <w:sz w:val="18"/>
        </w:rPr>
        <w:t>on</w:t>
      </w:r>
      <w:r>
        <w:rPr>
          <w:spacing w:val="-6"/>
          <w:sz w:val="18"/>
        </w:rPr>
        <w:t> </w:t>
      </w:r>
      <w:r>
        <w:rPr>
          <w:sz w:val="18"/>
        </w:rPr>
        <w:t>the</w:t>
      </w:r>
      <w:r>
        <w:rPr>
          <w:spacing w:val="-5"/>
          <w:sz w:val="18"/>
        </w:rPr>
        <w:t> </w:t>
      </w:r>
      <w:r>
        <w:rPr>
          <w:sz w:val="18"/>
        </w:rPr>
        <w:t>rights,</w:t>
      </w:r>
      <w:r>
        <w:rPr>
          <w:spacing w:val="-5"/>
          <w:sz w:val="18"/>
        </w:rPr>
        <w:t> </w:t>
      </w:r>
      <w:r>
        <w:rPr>
          <w:sz w:val="18"/>
        </w:rPr>
        <w:t>support</w:t>
      </w:r>
      <w:r>
        <w:rPr>
          <w:spacing w:val="-5"/>
          <w:sz w:val="18"/>
        </w:rPr>
        <w:t> </w:t>
      </w:r>
      <w:r>
        <w:rPr>
          <w:sz w:val="18"/>
        </w:rPr>
        <w:t>and</w:t>
      </w:r>
      <w:r>
        <w:rPr>
          <w:spacing w:val="-6"/>
          <w:sz w:val="18"/>
        </w:rPr>
        <w:t> </w:t>
      </w:r>
      <w:r>
        <w:rPr>
          <w:sz w:val="18"/>
        </w:rPr>
        <w:t>protection</w:t>
      </w:r>
      <w:r>
        <w:rPr>
          <w:spacing w:val="-6"/>
          <w:sz w:val="18"/>
        </w:rPr>
        <w:t> </w:t>
      </w:r>
      <w:r>
        <w:rPr>
          <w:sz w:val="18"/>
        </w:rPr>
        <w:t>of</w:t>
      </w:r>
      <w:r>
        <w:rPr>
          <w:spacing w:val="-6"/>
          <w:sz w:val="18"/>
        </w:rPr>
        <w:t> </w:t>
      </w:r>
      <w:r>
        <w:rPr>
          <w:sz w:val="18"/>
        </w:rPr>
        <w:t>victims</w:t>
      </w:r>
      <w:r>
        <w:rPr>
          <w:spacing w:val="-6"/>
          <w:sz w:val="18"/>
        </w:rPr>
        <w:t> </w:t>
      </w:r>
      <w:r>
        <w:rPr>
          <w:sz w:val="18"/>
        </w:rPr>
        <w:t>of</w:t>
      </w:r>
      <w:r>
        <w:rPr>
          <w:spacing w:val="-6"/>
          <w:sz w:val="18"/>
        </w:rPr>
        <w:t> </w:t>
      </w:r>
      <w:r>
        <w:rPr>
          <w:sz w:val="18"/>
        </w:rPr>
        <w:t>crime’,</w:t>
      </w:r>
      <w:r>
        <w:rPr>
          <w:spacing w:val="-5"/>
          <w:sz w:val="18"/>
        </w:rPr>
        <w:t> </w:t>
      </w:r>
      <w:r>
        <w:rPr>
          <w:sz w:val="18"/>
        </w:rPr>
        <w:t>25</w:t>
      </w:r>
      <w:r>
        <w:rPr>
          <w:spacing w:val="-5"/>
          <w:sz w:val="18"/>
        </w:rPr>
        <w:t> </w:t>
      </w:r>
      <w:r>
        <w:rPr>
          <w:sz w:val="18"/>
        </w:rPr>
        <w:t>October </w:t>
      </w:r>
      <w:r>
        <w:rPr>
          <w:spacing w:val="-2"/>
          <w:sz w:val="18"/>
        </w:rPr>
        <w:t>2012.</w:t>
      </w:r>
    </w:p>
    <w:p>
      <w:pPr>
        <w:pStyle w:val="ListParagraph"/>
        <w:numPr>
          <w:ilvl w:val="0"/>
          <w:numId w:val="9"/>
        </w:numPr>
        <w:tabs>
          <w:tab w:pos="1853" w:val="left" w:leader="none"/>
        </w:tabs>
        <w:spacing w:line="218" w:lineRule="exact" w:before="0" w:after="0"/>
        <w:ind w:left="1853" w:right="0" w:hanging="720"/>
        <w:jc w:val="left"/>
        <w:rPr>
          <w:sz w:val="18"/>
        </w:rPr>
      </w:pPr>
      <w:r>
        <w:rPr>
          <w:sz w:val="18"/>
        </w:rPr>
        <w:t>Independent</w:t>
      </w:r>
      <w:r>
        <w:rPr>
          <w:spacing w:val="-6"/>
          <w:sz w:val="18"/>
        </w:rPr>
        <w:t> </w:t>
      </w:r>
      <w:r>
        <w:rPr>
          <w:sz w:val="18"/>
        </w:rPr>
        <w:t>Hate</w:t>
      </w:r>
      <w:r>
        <w:rPr>
          <w:spacing w:val="-5"/>
          <w:sz w:val="18"/>
        </w:rPr>
        <w:t> </w:t>
      </w:r>
      <w:r>
        <w:rPr>
          <w:sz w:val="18"/>
        </w:rPr>
        <w:t>Crime</w:t>
      </w:r>
      <w:r>
        <w:rPr>
          <w:spacing w:val="-5"/>
          <w:sz w:val="18"/>
        </w:rPr>
        <w:t> </w:t>
      </w:r>
      <w:r>
        <w:rPr>
          <w:sz w:val="18"/>
        </w:rPr>
        <w:t>Review</w:t>
      </w:r>
      <w:r>
        <w:rPr>
          <w:spacing w:val="-5"/>
          <w:sz w:val="18"/>
        </w:rPr>
        <w:t> </w:t>
      </w:r>
      <w:r>
        <w:rPr>
          <w:sz w:val="18"/>
        </w:rPr>
        <w:t>Team,</w:t>
      </w:r>
      <w:r>
        <w:rPr>
          <w:spacing w:val="-5"/>
          <w:sz w:val="18"/>
        </w:rPr>
        <w:t> </w:t>
      </w:r>
      <w:r>
        <w:rPr>
          <w:sz w:val="18"/>
        </w:rPr>
        <w:t>‘Hate</w:t>
      </w:r>
      <w:r>
        <w:rPr>
          <w:spacing w:val="-5"/>
          <w:sz w:val="18"/>
        </w:rPr>
        <w:t> </w:t>
      </w:r>
      <w:r>
        <w:rPr>
          <w:sz w:val="18"/>
        </w:rPr>
        <w:t>Crime</w:t>
      </w:r>
      <w:r>
        <w:rPr>
          <w:spacing w:val="-5"/>
          <w:sz w:val="18"/>
        </w:rPr>
        <w:t> </w:t>
      </w:r>
      <w:r>
        <w:rPr>
          <w:sz w:val="18"/>
        </w:rPr>
        <w:t>Legislation</w:t>
      </w:r>
      <w:r>
        <w:rPr>
          <w:spacing w:val="-5"/>
          <w:sz w:val="18"/>
        </w:rPr>
        <w:t> </w:t>
      </w:r>
      <w:r>
        <w:rPr>
          <w:sz w:val="18"/>
        </w:rPr>
        <w:t>in</w:t>
      </w:r>
      <w:r>
        <w:rPr>
          <w:spacing w:val="-6"/>
          <w:sz w:val="18"/>
        </w:rPr>
        <w:t> </w:t>
      </w:r>
      <w:r>
        <w:rPr>
          <w:sz w:val="18"/>
        </w:rPr>
        <w:t>NI:</w:t>
      </w:r>
      <w:r>
        <w:rPr>
          <w:spacing w:val="-5"/>
          <w:sz w:val="18"/>
        </w:rPr>
        <w:t> </w:t>
      </w:r>
      <w:r>
        <w:rPr>
          <w:sz w:val="18"/>
        </w:rPr>
        <w:t>Independent</w:t>
      </w:r>
      <w:r>
        <w:rPr>
          <w:spacing w:val="-5"/>
          <w:sz w:val="18"/>
        </w:rPr>
        <w:t> </w:t>
      </w:r>
      <w:r>
        <w:rPr>
          <w:sz w:val="18"/>
        </w:rPr>
        <w:t>Review’</w:t>
      </w:r>
      <w:r>
        <w:rPr>
          <w:spacing w:val="-5"/>
          <w:sz w:val="18"/>
        </w:rPr>
        <w:t> </w:t>
      </w:r>
      <w:r>
        <w:rPr>
          <w:sz w:val="18"/>
        </w:rPr>
        <w:t>(DoJ,</w:t>
      </w:r>
      <w:r>
        <w:rPr>
          <w:spacing w:val="-5"/>
          <w:sz w:val="18"/>
        </w:rPr>
        <w:t> </w:t>
      </w:r>
      <w:r>
        <w:rPr>
          <w:spacing w:val="-2"/>
          <w:sz w:val="18"/>
        </w:rPr>
        <w:t>2020).</w:t>
      </w:r>
    </w:p>
    <w:p>
      <w:pPr>
        <w:pStyle w:val="ListParagraph"/>
        <w:numPr>
          <w:ilvl w:val="0"/>
          <w:numId w:val="9"/>
        </w:numPr>
        <w:tabs>
          <w:tab w:pos="1853" w:val="left" w:leader="none"/>
        </w:tabs>
        <w:spacing w:line="216" w:lineRule="exact" w:before="0" w:after="0"/>
        <w:ind w:left="1853" w:right="0" w:hanging="720"/>
        <w:jc w:val="left"/>
        <w:rPr>
          <w:sz w:val="18"/>
        </w:rPr>
      </w:pPr>
      <w:r>
        <w:rPr>
          <w:sz w:val="18"/>
        </w:rPr>
        <w:t>Department</w:t>
      </w:r>
      <w:r>
        <w:rPr>
          <w:spacing w:val="-5"/>
          <w:sz w:val="18"/>
        </w:rPr>
        <w:t> </w:t>
      </w:r>
      <w:r>
        <w:rPr>
          <w:sz w:val="18"/>
        </w:rPr>
        <w:t>of</w:t>
      </w:r>
      <w:r>
        <w:rPr>
          <w:spacing w:val="-6"/>
          <w:sz w:val="18"/>
        </w:rPr>
        <w:t> </w:t>
      </w:r>
      <w:r>
        <w:rPr>
          <w:sz w:val="18"/>
        </w:rPr>
        <w:t>Justice,</w:t>
      </w:r>
      <w:r>
        <w:rPr>
          <w:spacing w:val="-5"/>
          <w:sz w:val="18"/>
        </w:rPr>
        <w:t> </w:t>
      </w:r>
      <w:r>
        <w:rPr>
          <w:sz w:val="18"/>
        </w:rPr>
        <w:t>‘Review</w:t>
      </w:r>
      <w:r>
        <w:rPr>
          <w:spacing w:val="-5"/>
          <w:sz w:val="18"/>
        </w:rPr>
        <w:t> </w:t>
      </w:r>
      <w:r>
        <w:rPr>
          <w:sz w:val="18"/>
        </w:rPr>
        <w:t>of</w:t>
      </w:r>
      <w:r>
        <w:rPr>
          <w:spacing w:val="-6"/>
          <w:sz w:val="18"/>
        </w:rPr>
        <w:t> </w:t>
      </w:r>
      <w:r>
        <w:rPr>
          <w:sz w:val="18"/>
        </w:rPr>
        <w:t>Hate</w:t>
      </w:r>
      <w:r>
        <w:rPr>
          <w:spacing w:val="-5"/>
          <w:sz w:val="18"/>
        </w:rPr>
        <w:t> </w:t>
      </w:r>
      <w:r>
        <w:rPr>
          <w:sz w:val="18"/>
        </w:rPr>
        <w:t>Crime</w:t>
      </w:r>
      <w:r>
        <w:rPr>
          <w:spacing w:val="-5"/>
          <w:sz w:val="18"/>
        </w:rPr>
        <w:t> </w:t>
      </w:r>
      <w:r>
        <w:rPr>
          <w:sz w:val="18"/>
        </w:rPr>
        <w:t>Legislation</w:t>
      </w:r>
      <w:r>
        <w:rPr>
          <w:spacing w:val="-6"/>
          <w:sz w:val="18"/>
        </w:rPr>
        <w:t> </w:t>
      </w:r>
      <w:r>
        <w:rPr>
          <w:sz w:val="18"/>
        </w:rPr>
        <w:t>in</w:t>
      </w:r>
      <w:r>
        <w:rPr>
          <w:spacing w:val="-5"/>
          <w:sz w:val="18"/>
        </w:rPr>
        <w:t> </w:t>
      </w:r>
      <w:r>
        <w:rPr>
          <w:sz w:val="18"/>
        </w:rPr>
        <w:t>Northern</w:t>
      </w:r>
      <w:r>
        <w:rPr>
          <w:spacing w:val="-6"/>
          <w:sz w:val="18"/>
        </w:rPr>
        <w:t> </w:t>
      </w:r>
      <w:r>
        <w:rPr>
          <w:sz w:val="18"/>
        </w:rPr>
        <w:t>Ireland</w:t>
      </w:r>
      <w:r>
        <w:rPr>
          <w:spacing w:val="-6"/>
          <w:sz w:val="18"/>
        </w:rPr>
        <w:t> </w:t>
      </w:r>
      <w:r>
        <w:rPr>
          <w:sz w:val="18"/>
        </w:rPr>
        <w:t>-</w:t>
      </w:r>
      <w:r>
        <w:rPr>
          <w:spacing w:val="-6"/>
          <w:sz w:val="18"/>
        </w:rPr>
        <w:t> </w:t>
      </w:r>
      <w:r>
        <w:rPr>
          <w:sz w:val="18"/>
        </w:rPr>
        <w:t>Departmental</w:t>
      </w:r>
      <w:r>
        <w:rPr>
          <w:spacing w:val="-6"/>
          <w:sz w:val="18"/>
        </w:rPr>
        <w:t> </w:t>
      </w:r>
      <w:r>
        <w:rPr>
          <w:sz w:val="18"/>
        </w:rPr>
        <w:t>Response’</w:t>
      </w:r>
      <w:r>
        <w:rPr>
          <w:spacing w:val="-5"/>
          <w:sz w:val="18"/>
        </w:rPr>
        <w:t> </w:t>
      </w:r>
      <w:r>
        <w:rPr>
          <w:sz w:val="18"/>
        </w:rPr>
        <w:t>(DoJ,</w:t>
      </w:r>
      <w:r>
        <w:rPr>
          <w:spacing w:val="-5"/>
          <w:sz w:val="18"/>
        </w:rPr>
        <w:t> </w:t>
      </w:r>
      <w:r>
        <w:rPr>
          <w:spacing w:val="-2"/>
          <w:sz w:val="18"/>
        </w:rPr>
        <w:t>2021).</w:t>
      </w:r>
    </w:p>
    <w:p>
      <w:pPr>
        <w:pStyle w:val="ListParagraph"/>
        <w:numPr>
          <w:ilvl w:val="0"/>
          <w:numId w:val="9"/>
        </w:numPr>
        <w:tabs>
          <w:tab w:pos="1853" w:val="left" w:leader="none"/>
        </w:tabs>
        <w:spacing w:line="235" w:lineRule="auto" w:before="1" w:after="0"/>
        <w:ind w:left="1853" w:right="1544" w:hanging="720"/>
        <w:jc w:val="left"/>
        <w:rPr>
          <w:sz w:val="18"/>
        </w:rPr>
      </w:pPr>
      <w:r>
        <w:rPr>
          <w:sz w:val="18"/>
        </w:rPr>
        <w:t>Department</w:t>
      </w:r>
      <w:r>
        <w:rPr>
          <w:spacing w:val="-4"/>
          <w:sz w:val="18"/>
        </w:rPr>
        <w:t> </w:t>
      </w:r>
      <w:r>
        <w:rPr>
          <w:sz w:val="18"/>
        </w:rPr>
        <w:t>of</w:t>
      </w:r>
      <w:r>
        <w:rPr>
          <w:spacing w:val="-5"/>
          <w:sz w:val="18"/>
        </w:rPr>
        <w:t> </w:t>
      </w:r>
      <w:r>
        <w:rPr>
          <w:sz w:val="18"/>
        </w:rPr>
        <w:t>Justice,</w:t>
      </w:r>
      <w:r>
        <w:rPr>
          <w:spacing w:val="-4"/>
          <w:sz w:val="18"/>
        </w:rPr>
        <w:t> </w:t>
      </w:r>
      <w:r>
        <w:rPr>
          <w:sz w:val="18"/>
        </w:rPr>
        <w:t>‘Improving</w:t>
      </w:r>
      <w:r>
        <w:rPr>
          <w:spacing w:val="-4"/>
          <w:sz w:val="18"/>
        </w:rPr>
        <w:t> </w:t>
      </w:r>
      <w:r>
        <w:rPr>
          <w:sz w:val="18"/>
        </w:rPr>
        <w:t>the</w:t>
      </w:r>
      <w:r>
        <w:rPr>
          <w:spacing w:val="-4"/>
          <w:sz w:val="18"/>
        </w:rPr>
        <w:t> </w:t>
      </w:r>
      <w:r>
        <w:rPr>
          <w:sz w:val="18"/>
        </w:rPr>
        <w:t>Effectiveness</w:t>
      </w:r>
      <w:r>
        <w:rPr>
          <w:spacing w:val="-5"/>
          <w:sz w:val="18"/>
        </w:rPr>
        <w:t> </w:t>
      </w:r>
      <w:r>
        <w:rPr>
          <w:sz w:val="18"/>
        </w:rPr>
        <w:t>of</w:t>
      </w:r>
      <w:r>
        <w:rPr>
          <w:spacing w:val="-5"/>
          <w:sz w:val="18"/>
        </w:rPr>
        <w:t> </w:t>
      </w:r>
      <w:r>
        <w:rPr>
          <w:sz w:val="18"/>
        </w:rPr>
        <w:t>Hate</w:t>
      </w:r>
      <w:r>
        <w:rPr>
          <w:spacing w:val="-4"/>
          <w:sz w:val="18"/>
        </w:rPr>
        <w:t> </w:t>
      </w:r>
      <w:r>
        <w:rPr>
          <w:sz w:val="18"/>
        </w:rPr>
        <w:t>Crime</w:t>
      </w:r>
      <w:r>
        <w:rPr>
          <w:spacing w:val="-4"/>
          <w:sz w:val="18"/>
        </w:rPr>
        <w:t> </w:t>
      </w:r>
      <w:r>
        <w:rPr>
          <w:sz w:val="18"/>
        </w:rPr>
        <w:t>Legislation</w:t>
      </w:r>
      <w:r>
        <w:rPr>
          <w:spacing w:val="-5"/>
          <w:sz w:val="18"/>
        </w:rPr>
        <w:t> </w:t>
      </w:r>
      <w:r>
        <w:rPr>
          <w:sz w:val="18"/>
        </w:rPr>
        <w:t>in</w:t>
      </w:r>
      <w:r>
        <w:rPr>
          <w:spacing w:val="-5"/>
          <w:sz w:val="18"/>
        </w:rPr>
        <w:t> </w:t>
      </w:r>
      <w:r>
        <w:rPr>
          <w:sz w:val="18"/>
        </w:rPr>
        <w:t>NI:</w:t>
      </w:r>
      <w:r>
        <w:rPr>
          <w:spacing w:val="-4"/>
          <w:sz w:val="18"/>
        </w:rPr>
        <w:t> </w:t>
      </w:r>
      <w:r>
        <w:rPr>
          <w:sz w:val="18"/>
        </w:rPr>
        <w:t>A</w:t>
      </w:r>
      <w:r>
        <w:rPr>
          <w:spacing w:val="-4"/>
          <w:sz w:val="18"/>
        </w:rPr>
        <w:t> </w:t>
      </w:r>
      <w:r>
        <w:rPr>
          <w:sz w:val="18"/>
        </w:rPr>
        <w:t>Public</w:t>
      </w:r>
      <w:r>
        <w:rPr>
          <w:spacing w:val="-4"/>
          <w:sz w:val="18"/>
        </w:rPr>
        <w:t> </w:t>
      </w:r>
      <w:r>
        <w:rPr>
          <w:sz w:val="18"/>
        </w:rPr>
        <w:t>Consultation</w:t>
      </w:r>
      <w:r>
        <w:rPr>
          <w:spacing w:val="-5"/>
          <w:sz w:val="18"/>
        </w:rPr>
        <w:t> </w:t>
      </w:r>
      <w:r>
        <w:rPr>
          <w:sz w:val="18"/>
        </w:rPr>
        <w:t>and</w:t>
      </w:r>
      <w:r>
        <w:rPr>
          <w:spacing w:val="-5"/>
          <w:sz w:val="18"/>
        </w:rPr>
        <w:t> </w:t>
      </w:r>
      <w:r>
        <w:rPr>
          <w:sz w:val="18"/>
        </w:rPr>
        <w:t>Call</w:t>
      </w:r>
      <w:r>
        <w:rPr>
          <w:spacing w:val="-5"/>
          <w:sz w:val="18"/>
        </w:rPr>
        <w:t> </w:t>
      </w:r>
      <w:r>
        <w:rPr>
          <w:sz w:val="18"/>
        </w:rPr>
        <w:t>for Views’ (DoJ, 2022).</w:t>
      </w:r>
    </w:p>
    <w:p>
      <w:pPr>
        <w:pStyle w:val="ListParagraph"/>
        <w:numPr>
          <w:ilvl w:val="0"/>
          <w:numId w:val="9"/>
        </w:numPr>
        <w:tabs>
          <w:tab w:pos="1853" w:val="left" w:leader="none"/>
        </w:tabs>
        <w:spacing w:line="235" w:lineRule="auto" w:before="1" w:after="0"/>
        <w:ind w:left="1853" w:right="1276" w:hanging="720"/>
        <w:jc w:val="left"/>
        <w:rPr>
          <w:sz w:val="18"/>
        </w:rPr>
      </w:pPr>
      <w:r>
        <w:rPr>
          <w:sz w:val="18"/>
        </w:rPr>
        <w:t>NI</w:t>
      </w:r>
      <w:r>
        <w:rPr>
          <w:spacing w:val="-5"/>
          <w:sz w:val="18"/>
        </w:rPr>
        <w:t> </w:t>
      </w:r>
      <w:r>
        <w:rPr>
          <w:sz w:val="18"/>
        </w:rPr>
        <w:t>Human</w:t>
      </w:r>
      <w:r>
        <w:rPr>
          <w:spacing w:val="-6"/>
          <w:sz w:val="18"/>
        </w:rPr>
        <w:t> </w:t>
      </w:r>
      <w:r>
        <w:rPr>
          <w:sz w:val="18"/>
        </w:rPr>
        <w:t>Rights</w:t>
      </w:r>
      <w:r>
        <w:rPr>
          <w:spacing w:val="-6"/>
          <w:sz w:val="18"/>
        </w:rPr>
        <w:t> </w:t>
      </w:r>
      <w:r>
        <w:rPr>
          <w:sz w:val="18"/>
        </w:rPr>
        <w:t>Commission,</w:t>
      </w:r>
      <w:r>
        <w:rPr>
          <w:spacing w:val="-5"/>
          <w:sz w:val="18"/>
        </w:rPr>
        <w:t> </w:t>
      </w:r>
      <w:r>
        <w:rPr>
          <w:sz w:val="18"/>
        </w:rPr>
        <w:t>‘Response</w:t>
      </w:r>
      <w:r>
        <w:rPr>
          <w:spacing w:val="-5"/>
          <w:sz w:val="18"/>
        </w:rPr>
        <w:t> </w:t>
      </w:r>
      <w:r>
        <w:rPr>
          <w:sz w:val="18"/>
        </w:rPr>
        <w:t>to</w:t>
      </w:r>
      <w:r>
        <w:rPr>
          <w:spacing w:val="-6"/>
          <w:sz w:val="18"/>
        </w:rPr>
        <w:t> </w:t>
      </w:r>
      <w:r>
        <w:rPr>
          <w:sz w:val="18"/>
        </w:rPr>
        <w:t>Public</w:t>
      </w:r>
      <w:r>
        <w:rPr>
          <w:spacing w:val="-5"/>
          <w:sz w:val="18"/>
        </w:rPr>
        <w:t> </w:t>
      </w:r>
      <w:r>
        <w:rPr>
          <w:sz w:val="18"/>
        </w:rPr>
        <w:t>Consultation</w:t>
      </w:r>
      <w:r>
        <w:rPr>
          <w:spacing w:val="-6"/>
          <w:sz w:val="18"/>
        </w:rPr>
        <w:t> </w:t>
      </w:r>
      <w:r>
        <w:rPr>
          <w:sz w:val="18"/>
        </w:rPr>
        <w:t>on</w:t>
      </w:r>
      <w:r>
        <w:rPr>
          <w:spacing w:val="-6"/>
          <w:sz w:val="18"/>
        </w:rPr>
        <w:t> </w:t>
      </w:r>
      <w:r>
        <w:rPr>
          <w:sz w:val="18"/>
        </w:rPr>
        <w:t>Improving</w:t>
      </w:r>
      <w:r>
        <w:rPr>
          <w:spacing w:val="-5"/>
          <w:sz w:val="18"/>
        </w:rPr>
        <w:t> </w:t>
      </w:r>
      <w:r>
        <w:rPr>
          <w:sz w:val="18"/>
        </w:rPr>
        <w:t>the</w:t>
      </w:r>
      <w:r>
        <w:rPr>
          <w:spacing w:val="-5"/>
          <w:sz w:val="18"/>
        </w:rPr>
        <w:t> </w:t>
      </w:r>
      <w:r>
        <w:rPr>
          <w:sz w:val="18"/>
        </w:rPr>
        <w:t>Effectiveness</w:t>
      </w:r>
      <w:r>
        <w:rPr>
          <w:spacing w:val="-6"/>
          <w:sz w:val="18"/>
        </w:rPr>
        <w:t> </w:t>
      </w:r>
      <w:r>
        <w:rPr>
          <w:sz w:val="18"/>
        </w:rPr>
        <w:t>of</w:t>
      </w:r>
      <w:r>
        <w:rPr>
          <w:spacing w:val="-6"/>
          <w:sz w:val="18"/>
        </w:rPr>
        <w:t> </w:t>
      </w:r>
      <w:r>
        <w:rPr>
          <w:sz w:val="18"/>
        </w:rPr>
        <w:t>Hate</w:t>
      </w:r>
      <w:r>
        <w:rPr>
          <w:spacing w:val="-5"/>
          <w:sz w:val="18"/>
        </w:rPr>
        <w:t> </w:t>
      </w:r>
      <w:r>
        <w:rPr>
          <w:sz w:val="18"/>
        </w:rPr>
        <w:t>Crime</w:t>
      </w:r>
      <w:r>
        <w:rPr>
          <w:spacing w:val="-5"/>
          <w:sz w:val="18"/>
        </w:rPr>
        <w:t> </w:t>
      </w:r>
      <w:r>
        <w:rPr>
          <w:sz w:val="18"/>
        </w:rPr>
        <w:t>Legislation in NI’ (NIHRC, 2022).</w:t>
      </w:r>
    </w:p>
    <w:p>
      <w:pPr>
        <w:pStyle w:val="ListParagraph"/>
        <w:numPr>
          <w:ilvl w:val="0"/>
          <w:numId w:val="9"/>
        </w:numPr>
        <w:tabs>
          <w:tab w:pos="1853" w:val="left" w:leader="none"/>
        </w:tabs>
        <w:spacing w:line="216" w:lineRule="exact" w:before="0" w:after="0"/>
        <w:ind w:left="1853" w:right="0" w:hanging="720"/>
        <w:jc w:val="left"/>
        <w:rPr>
          <w:sz w:val="18"/>
        </w:rPr>
      </w:pPr>
      <w:r>
        <w:rPr>
          <w:spacing w:val="-4"/>
          <w:sz w:val="18"/>
        </w:rPr>
        <w:t>Ibid.</w:t>
      </w:r>
    </w:p>
    <w:p>
      <w:pPr>
        <w:pStyle w:val="ListParagraph"/>
        <w:numPr>
          <w:ilvl w:val="0"/>
          <w:numId w:val="9"/>
        </w:numPr>
        <w:tabs>
          <w:tab w:pos="1853" w:val="left" w:leader="none"/>
        </w:tabs>
        <w:spacing w:line="235" w:lineRule="auto" w:before="2" w:after="0"/>
        <w:ind w:left="1853" w:right="2275" w:hanging="720"/>
        <w:jc w:val="left"/>
        <w:rPr>
          <w:sz w:val="18"/>
        </w:rPr>
      </w:pPr>
      <w:r>
        <w:rPr>
          <w:sz w:val="18"/>
        </w:rPr>
        <w:t>Equality</w:t>
      </w:r>
      <w:r>
        <w:rPr>
          <w:spacing w:val="-6"/>
          <w:sz w:val="18"/>
        </w:rPr>
        <w:t> </w:t>
      </w:r>
      <w:r>
        <w:rPr>
          <w:sz w:val="18"/>
        </w:rPr>
        <w:t>Commission</w:t>
      </w:r>
      <w:r>
        <w:rPr>
          <w:spacing w:val="-7"/>
          <w:sz w:val="18"/>
        </w:rPr>
        <w:t> </w:t>
      </w:r>
      <w:r>
        <w:rPr>
          <w:sz w:val="18"/>
        </w:rPr>
        <w:t>for</w:t>
      </w:r>
      <w:r>
        <w:rPr>
          <w:spacing w:val="-6"/>
          <w:sz w:val="18"/>
        </w:rPr>
        <w:t> </w:t>
      </w:r>
      <w:r>
        <w:rPr>
          <w:sz w:val="18"/>
        </w:rPr>
        <w:t>NI,</w:t>
      </w:r>
      <w:r>
        <w:rPr>
          <w:spacing w:val="-7"/>
          <w:sz w:val="18"/>
        </w:rPr>
        <w:t> </w:t>
      </w:r>
      <w:hyperlink r:id="rId139">
        <w:r>
          <w:rPr>
            <w:sz w:val="18"/>
          </w:rPr>
          <w:t>Response</w:t>
        </w:r>
        <w:r>
          <w:rPr>
            <w:spacing w:val="-6"/>
            <w:sz w:val="18"/>
          </w:rPr>
          <w:t> </w:t>
        </w:r>
        <w:r>
          <w:rPr>
            <w:sz w:val="18"/>
          </w:rPr>
          <w:t>to</w:t>
        </w:r>
        <w:r>
          <w:rPr>
            <w:spacing w:val="-7"/>
            <w:sz w:val="18"/>
          </w:rPr>
          <w:t> </w:t>
        </w:r>
        <w:r>
          <w:rPr>
            <w:sz w:val="18"/>
          </w:rPr>
          <w:t>consultation:</w:t>
        </w:r>
        <w:r>
          <w:rPr>
            <w:spacing w:val="-6"/>
            <w:sz w:val="18"/>
          </w:rPr>
          <w:t> </w:t>
        </w:r>
        <w:r>
          <w:rPr>
            <w:sz w:val="18"/>
          </w:rPr>
          <w:t>Department</w:t>
        </w:r>
        <w:r>
          <w:rPr>
            <w:spacing w:val="-6"/>
            <w:sz w:val="18"/>
          </w:rPr>
          <w:t> </w:t>
        </w:r>
        <w:r>
          <w:rPr>
            <w:sz w:val="18"/>
          </w:rPr>
          <w:t>of</w:t>
        </w:r>
        <w:r>
          <w:rPr>
            <w:spacing w:val="-7"/>
            <w:sz w:val="18"/>
          </w:rPr>
          <w:t> </w:t>
        </w:r>
        <w:r>
          <w:rPr>
            <w:sz w:val="18"/>
          </w:rPr>
          <w:t>Justice</w:t>
        </w:r>
        <w:r>
          <w:rPr>
            <w:spacing w:val="-6"/>
            <w:sz w:val="18"/>
          </w:rPr>
          <w:t> </w:t>
        </w:r>
        <w:r>
          <w:rPr>
            <w:sz w:val="18"/>
          </w:rPr>
          <w:t>–</w:t>
        </w:r>
        <w:r>
          <w:rPr>
            <w:spacing w:val="-7"/>
            <w:sz w:val="18"/>
          </w:rPr>
          <w:t> </w:t>
        </w:r>
        <w:r>
          <w:rPr>
            <w:sz w:val="18"/>
          </w:rPr>
          <w:t>Improving</w:t>
        </w:r>
        <w:r>
          <w:rPr>
            <w:spacing w:val="-6"/>
            <w:sz w:val="18"/>
          </w:rPr>
          <w:t> </w:t>
        </w:r>
        <w:r>
          <w:rPr>
            <w:sz w:val="18"/>
          </w:rPr>
          <w:t>the</w:t>
        </w:r>
        <w:r>
          <w:rPr>
            <w:spacing w:val="-6"/>
            <w:sz w:val="18"/>
          </w:rPr>
          <w:t> </w:t>
        </w:r>
        <w:r>
          <w:rPr>
            <w:sz w:val="18"/>
          </w:rPr>
          <w:t>effectiveness</w:t>
        </w:r>
      </w:hyperlink>
      <w:r>
        <w:rPr>
          <w:sz w:val="18"/>
        </w:rPr>
        <w:t> </w:t>
      </w:r>
      <w:hyperlink r:id="rId139">
        <w:r>
          <w:rPr>
            <w:sz w:val="18"/>
          </w:rPr>
          <w:t>of Hate Crime Legislation in Northern Ireland</w:t>
        </w:r>
      </w:hyperlink>
      <w:r>
        <w:rPr>
          <w:sz w:val="18"/>
        </w:rPr>
        <w:t> (ECNI, 2022)</w:t>
      </w:r>
    </w:p>
    <w:p>
      <w:pPr>
        <w:pStyle w:val="ListParagraph"/>
        <w:numPr>
          <w:ilvl w:val="0"/>
          <w:numId w:val="9"/>
        </w:numPr>
        <w:tabs>
          <w:tab w:pos="1853" w:val="left" w:leader="none"/>
        </w:tabs>
        <w:spacing w:line="218" w:lineRule="exact" w:before="0" w:after="0"/>
        <w:ind w:left="1853" w:right="0" w:hanging="720"/>
        <w:jc w:val="left"/>
        <w:rPr>
          <w:sz w:val="18"/>
        </w:rPr>
      </w:pPr>
      <w:r>
        <w:rPr>
          <w:sz w:val="18"/>
        </w:rPr>
        <w:t>Email</w:t>
      </w:r>
      <w:r>
        <w:rPr>
          <w:spacing w:val="-4"/>
          <w:sz w:val="18"/>
        </w:rPr>
        <w:t> </w:t>
      </w:r>
      <w:r>
        <w:rPr>
          <w:sz w:val="18"/>
        </w:rPr>
        <w:t>Correspondence</w:t>
      </w:r>
      <w:r>
        <w:rPr>
          <w:spacing w:val="-3"/>
          <w:sz w:val="18"/>
        </w:rPr>
        <w:t> </w:t>
      </w:r>
      <w:r>
        <w:rPr>
          <w:sz w:val="18"/>
        </w:rPr>
        <w:t>from</w:t>
      </w:r>
      <w:r>
        <w:rPr>
          <w:spacing w:val="-3"/>
          <w:sz w:val="18"/>
        </w:rPr>
        <w:t> </w:t>
      </w:r>
      <w:r>
        <w:rPr>
          <w:sz w:val="18"/>
        </w:rPr>
        <w:t>the</w:t>
      </w:r>
      <w:r>
        <w:rPr>
          <w:spacing w:val="-3"/>
          <w:sz w:val="18"/>
        </w:rPr>
        <w:t> </w:t>
      </w:r>
      <w:r>
        <w:rPr>
          <w:sz w:val="18"/>
        </w:rPr>
        <w:t>Department</w:t>
      </w:r>
      <w:r>
        <w:rPr>
          <w:spacing w:val="-3"/>
          <w:sz w:val="18"/>
        </w:rPr>
        <w:t> </w:t>
      </w:r>
      <w:r>
        <w:rPr>
          <w:sz w:val="18"/>
        </w:rPr>
        <w:t>of</w:t>
      </w:r>
      <w:r>
        <w:rPr>
          <w:spacing w:val="-4"/>
          <w:sz w:val="18"/>
        </w:rPr>
        <w:t> </w:t>
      </w:r>
      <w:r>
        <w:rPr>
          <w:sz w:val="18"/>
        </w:rPr>
        <w:t>Justice</w:t>
      </w:r>
      <w:r>
        <w:rPr>
          <w:spacing w:val="-3"/>
          <w:sz w:val="18"/>
        </w:rPr>
        <w:t> </w:t>
      </w:r>
      <w:r>
        <w:rPr>
          <w:sz w:val="18"/>
        </w:rPr>
        <w:t>to</w:t>
      </w:r>
      <w:r>
        <w:rPr>
          <w:spacing w:val="-4"/>
          <w:sz w:val="18"/>
        </w:rPr>
        <w:t> </w:t>
      </w:r>
      <w:r>
        <w:rPr>
          <w:sz w:val="18"/>
        </w:rPr>
        <w:t>the</w:t>
      </w:r>
      <w:r>
        <w:rPr>
          <w:spacing w:val="-3"/>
          <w:sz w:val="18"/>
        </w:rPr>
        <w:t> </w:t>
      </w:r>
      <w:r>
        <w:rPr>
          <w:sz w:val="18"/>
        </w:rPr>
        <w:t>NI</w:t>
      </w:r>
      <w:r>
        <w:rPr>
          <w:spacing w:val="-3"/>
          <w:sz w:val="18"/>
        </w:rPr>
        <w:t> </w:t>
      </w:r>
      <w:r>
        <w:rPr>
          <w:sz w:val="18"/>
        </w:rPr>
        <w:t>Human</w:t>
      </w:r>
      <w:r>
        <w:rPr>
          <w:spacing w:val="-4"/>
          <w:sz w:val="18"/>
        </w:rPr>
        <w:t> </w:t>
      </w:r>
      <w:r>
        <w:rPr>
          <w:sz w:val="18"/>
        </w:rPr>
        <w:t>Rights</w:t>
      </w:r>
      <w:r>
        <w:rPr>
          <w:spacing w:val="-3"/>
          <w:sz w:val="18"/>
        </w:rPr>
        <w:t> </w:t>
      </w:r>
      <w:r>
        <w:rPr>
          <w:sz w:val="18"/>
        </w:rPr>
        <w:t>Commission,</w:t>
      </w:r>
      <w:r>
        <w:rPr>
          <w:spacing w:val="-3"/>
          <w:sz w:val="18"/>
        </w:rPr>
        <w:t> </w:t>
      </w:r>
      <w:r>
        <w:rPr>
          <w:sz w:val="18"/>
        </w:rPr>
        <w:t>5</w:t>
      </w:r>
      <w:r>
        <w:rPr>
          <w:spacing w:val="-3"/>
          <w:sz w:val="18"/>
        </w:rPr>
        <w:t> </w:t>
      </w:r>
      <w:r>
        <w:rPr>
          <w:sz w:val="18"/>
        </w:rPr>
        <w:t>April</w:t>
      </w:r>
      <w:r>
        <w:rPr>
          <w:spacing w:val="-4"/>
          <w:sz w:val="18"/>
        </w:rPr>
        <w:t> </w:t>
      </w:r>
      <w:r>
        <w:rPr>
          <w:spacing w:val="-2"/>
          <w:sz w:val="18"/>
        </w:rPr>
        <w:t>2024.</w:t>
      </w:r>
    </w:p>
    <w:p>
      <w:pPr>
        <w:spacing w:after="0" w:line="218" w:lineRule="exact"/>
        <w:jc w:val="left"/>
        <w:rPr>
          <w:sz w:val="18"/>
        </w:rPr>
        <w:sectPr>
          <w:pgSz w:w="11910" w:h="16840"/>
          <w:pgMar w:header="496" w:footer="367" w:top="1220" w:bottom="560" w:left="0" w:right="0"/>
        </w:sectPr>
      </w:pPr>
    </w:p>
    <w:p>
      <w:pPr>
        <w:pStyle w:val="BodyText"/>
        <w:spacing w:before="182"/>
      </w:pPr>
    </w:p>
    <w:p>
      <w:pPr>
        <w:pStyle w:val="Heading6"/>
        <w:rPr>
          <w:i/>
        </w:rPr>
      </w:pPr>
      <w:bookmarkStart w:name="_bookmark24" w:id="53"/>
      <w:bookmarkEnd w:id="53"/>
      <w:r>
        <w:rPr>
          <w:b w:val="0"/>
          <w:i w:val="0"/>
        </w:rPr>
      </w:r>
      <w:r>
        <w:rPr>
          <w:i/>
          <w:color w:val="67287F"/>
        </w:rPr>
        <w:t>EU</w:t>
      </w:r>
      <w:r>
        <w:rPr>
          <w:i/>
          <w:color w:val="67287F"/>
          <w:spacing w:val="-5"/>
        </w:rPr>
        <w:t> </w:t>
      </w:r>
      <w:r>
        <w:rPr>
          <w:i/>
          <w:color w:val="67287F"/>
        </w:rPr>
        <w:t>Racial</w:t>
      </w:r>
      <w:r>
        <w:rPr>
          <w:i/>
          <w:color w:val="67287F"/>
          <w:spacing w:val="-4"/>
        </w:rPr>
        <w:t> </w:t>
      </w:r>
      <w:r>
        <w:rPr>
          <w:i/>
          <w:color w:val="67287F"/>
        </w:rPr>
        <w:t>Equality</w:t>
      </w:r>
      <w:r>
        <w:rPr>
          <w:i/>
          <w:color w:val="67287F"/>
          <w:spacing w:val="-4"/>
        </w:rPr>
        <w:t> </w:t>
      </w:r>
      <w:r>
        <w:rPr>
          <w:i/>
          <w:color w:val="67287F"/>
          <w:spacing w:val="-2"/>
        </w:rPr>
        <w:t>Directive</w:t>
      </w:r>
    </w:p>
    <w:p>
      <w:pPr>
        <w:pStyle w:val="ListParagraph"/>
        <w:numPr>
          <w:ilvl w:val="1"/>
          <w:numId w:val="7"/>
        </w:numPr>
        <w:tabs>
          <w:tab w:pos="1853" w:val="left" w:leader="none"/>
        </w:tabs>
        <w:spacing w:line="225" w:lineRule="auto" w:before="5" w:after="0"/>
        <w:ind w:left="1853" w:right="1130" w:hanging="720"/>
        <w:jc w:val="left"/>
        <w:rPr>
          <w:sz w:val="28"/>
        </w:rPr>
      </w:pPr>
      <w:r>
        <w:rPr>
          <w:sz w:val="28"/>
        </w:rPr>
        <w:t>In 2022, the EU Commission launched a public consultation to pinpoint potential</w:t>
      </w:r>
      <w:r>
        <w:rPr>
          <w:spacing w:val="-7"/>
          <w:sz w:val="28"/>
        </w:rPr>
        <w:t> </w:t>
      </w:r>
      <w:r>
        <w:rPr>
          <w:sz w:val="28"/>
        </w:rPr>
        <w:t>gaps</w:t>
      </w:r>
      <w:r>
        <w:rPr>
          <w:spacing w:val="-7"/>
          <w:sz w:val="28"/>
        </w:rPr>
        <w:t> </w:t>
      </w:r>
      <w:r>
        <w:rPr>
          <w:sz w:val="28"/>
        </w:rPr>
        <w:t>in</w:t>
      </w:r>
      <w:r>
        <w:rPr>
          <w:spacing w:val="-7"/>
          <w:sz w:val="28"/>
        </w:rPr>
        <w:t> </w:t>
      </w:r>
      <w:r>
        <w:rPr>
          <w:sz w:val="28"/>
        </w:rPr>
        <w:t>the</w:t>
      </w:r>
      <w:r>
        <w:rPr>
          <w:spacing w:val="-7"/>
          <w:sz w:val="28"/>
        </w:rPr>
        <w:t> </w:t>
      </w:r>
      <w:r>
        <w:rPr>
          <w:sz w:val="28"/>
        </w:rPr>
        <w:t>Racial</w:t>
      </w:r>
      <w:r>
        <w:rPr>
          <w:spacing w:val="-7"/>
          <w:sz w:val="28"/>
        </w:rPr>
        <w:t> </w:t>
      </w:r>
      <w:r>
        <w:rPr>
          <w:sz w:val="28"/>
        </w:rPr>
        <w:t>Equality</w:t>
      </w:r>
      <w:r>
        <w:rPr>
          <w:spacing w:val="-6"/>
          <w:sz w:val="28"/>
        </w:rPr>
        <w:t> </w:t>
      </w:r>
      <w:r>
        <w:rPr>
          <w:sz w:val="28"/>
        </w:rPr>
        <w:t>Directive</w:t>
      </w:r>
      <w:r>
        <w:rPr>
          <w:spacing w:val="-7"/>
          <w:sz w:val="28"/>
        </w:rPr>
        <w:t> </w:t>
      </w:r>
      <w:r>
        <w:rPr>
          <w:sz w:val="28"/>
        </w:rPr>
        <w:t>and</w:t>
      </w:r>
      <w:r>
        <w:rPr>
          <w:spacing w:val="-7"/>
          <w:sz w:val="28"/>
        </w:rPr>
        <w:t> </w:t>
      </w:r>
      <w:r>
        <w:rPr>
          <w:sz w:val="28"/>
        </w:rPr>
        <w:t>identify</w:t>
      </w:r>
      <w:r>
        <w:rPr>
          <w:spacing w:val="-7"/>
          <w:sz w:val="28"/>
        </w:rPr>
        <w:t> </w:t>
      </w:r>
      <w:r>
        <w:rPr>
          <w:sz w:val="28"/>
        </w:rPr>
        <w:t>measures</w:t>
      </w:r>
      <w:r>
        <w:rPr>
          <w:spacing w:val="-7"/>
          <w:sz w:val="28"/>
        </w:rPr>
        <w:t> </w:t>
      </w:r>
      <w:r>
        <w:rPr>
          <w:sz w:val="28"/>
        </w:rPr>
        <w:t>to</w:t>
      </w:r>
      <w:r>
        <w:rPr>
          <w:spacing w:val="-7"/>
          <w:sz w:val="28"/>
        </w:rPr>
        <w:t> </w:t>
      </w:r>
      <w:r>
        <w:rPr>
          <w:sz w:val="28"/>
        </w:rPr>
        <w:t>address these gaps.</w:t>
      </w:r>
      <w:r>
        <w:rPr>
          <w:sz w:val="28"/>
          <w:vertAlign w:val="superscript"/>
        </w:rPr>
        <w:t>326</w:t>
      </w:r>
      <w:r>
        <w:rPr>
          <w:sz w:val="28"/>
          <w:vertAlign w:val="baseline"/>
        </w:rPr>
        <w:t> In its response, the NIHRC reiterated its position that, given</w:t>
      </w:r>
    </w:p>
    <w:p>
      <w:pPr>
        <w:pStyle w:val="BodyText"/>
        <w:spacing w:line="225" w:lineRule="auto"/>
        <w:ind w:left="1853" w:right="1301"/>
      </w:pPr>
      <w:r>
        <w:rPr/>
        <w:t>the</w:t>
      </w:r>
      <w:r>
        <w:rPr>
          <w:spacing w:val="-9"/>
        </w:rPr>
        <w:t> </w:t>
      </w:r>
      <w:r>
        <w:rPr/>
        <w:t>complex</w:t>
      </w:r>
      <w:r>
        <w:rPr>
          <w:spacing w:val="-10"/>
        </w:rPr>
        <w:t> </w:t>
      </w:r>
      <w:r>
        <w:rPr/>
        <w:t>interplay</w:t>
      </w:r>
      <w:r>
        <w:rPr>
          <w:spacing w:val="-9"/>
        </w:rPr>
        <w:t> </w:t>
      </w:r>
      <w:r>
        <w:rPr/>
        <w:t>between</w:t>
      </w:r>
      <w:r>
        <w:rPr>
          <w:spacing w:val="-10"/>
        </w:rPr>
        <w:t> </w:t>
      </w:r>
      <w:r>
        <w:rPr/>
        <w:t>ethnicity,</w:t>
      </w:r>
      <w:r>
        <w:rPr>
          <w:spacing w:val="-9"/>
        </w:rPr>
        <w:t> </w:t>
      </w:r>
      <w:r>
        <w:rPr/>
        <w:t>nationality</w:t>
      </w:r>
      <w:r>
        <w:rPr>
          <w:spacing w:val="-9"/>
        </w:rPr>
        <w:t> </w:t>
      </w:r>
      <w:r>
        <w:rPr/>
        <w:t>and</w:t>
      </w:r>
      <w:r>
        <w:rPr>
          <w:spacing w:val="-10"/>
        </w:rPr>
        <w:t> </w:t>
      </w:r>
      <w:r>
        <w:rPr/>
        <w:t>sectarianism</w:t>
      </w:r>
      <w:r>
        <w:rPr>
          <w:spacing w:val="-9"/>
        </w:rPr>
        <w:t> </w:t>
      </w:r>
      <w:r>
        <w:rPr/>
        <w:t>in</w:t>
      </w:r>
      <w:r>
        <w:rPr>
          <w:spacing w:val="-10"/>
        </w:rPr>
        <w:t> </w:t>
      </w:r>
      <w:r>
        <w:rPr/>
        <w:t>NI, sectarianism should be recognised as a type of racial discrimination within the EU Directive. This would allow for greater alignment with international standards and guidance on protecting against racial discrimination.</w:t>
      </w:r>
      <w:r>
        <w:rPr>
          <w:vertAlign w:val="superscript"/>
        </w:rPr>
        <w:t>327</w:t>
      </w:r>
    </w:p>
    <w:p>
      <w:pPr>
        <w:pStyle w:val="BodyText"/>
        <w:rPr>
          <w:sz w:val="17"/>
        </w:rPr>
      </w:pPr>
      <w:r>
        <w:rPr/>
        <mc:AlternateContent>
          <mc:Choice Requires="wps">
            <w:drawing>
              <wp:anchor distT="0" distB="0" distL="0" distR="0" allowOverlap="1" layoutInCell="1" locked="0" behindDoc="1" simplePos="0" relativeHeight="487662080">
                <wp:simplePos x="0" y="0"/>
                <wp:positionH relativeFrom="page">
                  <wp:posOffset>720001</wp:posOffset>
                </wp:positionH>
                <wp:positionV relativeFrom="paragraph">
                  <wp:posOffset>147422</wp:posOffset>
                </wp:positionV>
                <wp:extent cx="6120130" cy="360045"/>
                <wp:effectExtent l="0" t="0" r="0" b="0"/>
                <wp:wrapTopAndBottom/>
                <wp:docPr id="318" name="Textbox 318"/>
                <wp:cNvGraphicFramePr>
                  <a:graphicFrameLocks/>
                </wp:cNvGraphicFramePr>
                <a:graphic>
                  <a:graphicData uri="http://schemas.microsoft.com/office/word/2010/wordprocessingShape">
                    <wps:wsp>
                      <wps:cNvPr id="318" name="Textbox 318"/>
                      <wps:cNvSpPr txBox="1"/>
                      <wps:spPr>
                        <a:xfrm>
                          <a:off x="0" y="0"/>
                          <a:ext cx="6120130" cy="360045"/>
                        </a:xfrm>
                        <a:prstGeom prst="rect">
                          <a:avLst/>
                        </a:prstGeom>
                        <a:solidFill>
                          <a:srgbClr val="393B7F"/>
                        </a:solidFill>
                      </wps:spPr>
                      <wps:txbx>
                        <w:txbxContent>
                          <w:p>
                            <w:pPr>
                              <w:spacing w:before="103"/>
                              <w:ind w:left="783"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11.608063pt;width:481.9pt;height:28.35pt;mso-position-horizontal-relative:page;mso-position-vertical-relative:paragraph;z-index:-15654400;mso-wrap-distance-left:0;mso-wrap-distance-right:0" type="#_x0000_t202" id="docshape270" filled="true" fillcolor="#393b7f" stroked="false">
                <v:textbox inset="0,0,0,0">
                  <w:txbxContent>
                    <w:p>
                      <w:pPr>
                        <w:spacing w:before="103"/>
                        <w:ind w:left="783"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312" w:after="0"/>
        <w:ind w:left="1853" w:right="1292" w:hanging="720"/>
        <w:jc w:val="left"/>
        <w:rPr>
          <w:b/>
          <w:color w:val="67287F"/>
          <w:sz w:val="28"/>
        </w:rPr>
      </w:pPr>
      <w:r>
        <w:rPr>
          <w:b/>
          <w:color w:val="67287F"/>
          <w:sz w:val="28"/>
        </w:rPr>
        <w:t>The Commissions continue to recommend that the Department of Justice ensures</w:t>
      </w:r>
      <w:r>
        <w:rPr>
          <w:b/>
          <w:color w:val="67287F"/>
          <w:spacing w:val="-6"/>
          <w:sz w:val="28"/>
        </w:rPr>
        <w:t> </w:t>
      </w:r>
      <w:r>
        <w:rPr>
          <w:b/>
          <w:color w:val="67287F"/>
          <w:sz w:val="28"/>
        </w:rPr>
        <w:t>compliance</w:t>
      </w:r>
      <w:r>
        <w:rPr>
          <w:b/>
          <w:color w:val="67287F"/>
          <w:spacing w:val="-7"/>
          <w:sz w:val="28"/>
        </w:rPr>
        <w:t> </w:t>
      </w:r>
      <w:r>
        <w:rPr>
          <w:b/>
          <w:color w:val="67287F"/>
          <w:sz w:val="28"/>
        </w:rPr>
        <w:t>with</w:t>
      </w:r>
      <w:r>
        <w:rPr>
          <w:b/>
          <w:color w:val="67287F"/>
          <w:spacing w:val="-6"/>
          <w:sz w:val="28"/>
        </w:rPr>
        <w:t> </w:t>
      </w:r>
      <w:r>
        <w:rPr>
          <w:b/>
          <w:color w:val="67287F"/>
          <w:sz w:val="28"/>
        </w:rPr>
        <w:t>Windsor</w:t>
      </w:r>
      <w:r>
        <w:rPr>
          <w:b/>
          <w:color w:val="67287F"/>
          <w:spacing w:val="-7"/>
          <w:sz w:val="28"/>
        </w:rPr>
        <w:t> </w:t>
      </w:r>
      <w:r>
        <w:rPr>
          <w:b/>
          <w:color w:val="67287F"/>
          <w:sz w:val="28"/>
        </w:rPr>
        <w:t>Framework</w:t>
      </w:r>
      <w:r>
        <w:rPr>
          <w:b/>
          <w:color w:val="67287F"/>
          <w:spacing w:val="-7"/>
          <w:sz w:val="28"/>
        </w:rPr>
        <w:t> </w:t>
      </w:r>
      <w:r>
        <w:rPr>
          <w:b/>
          <w:color w:val="67287F"/>
          <w:sz w:val="28"/>
        </w:rPr>
        <w:t>Article</w:t>
      </w:r>
      <w:r>
        <w:rPr>
          <w:b/>
          <w:color w:val="67287F"/>
          <w:spacing w:val="-7"/>
          <w:sz w:val="28"/>
        </w:rPr>
        <w:t> </w:t>
      </w:r>
      <w:r>
        <w:rPr>
          <w:b/>
          <w:color w:val="67287F"/>
          <w:sz w:val="28"/>
        </w:rPr>
        <w:t>2</w:t>
      </w:r>
      <w:r>
        <w:rPr>
          <w:b/>
          <w:color w:val="67287F"/>
          <w:spacing w:val="-6"/>
          <w:sz w:val="28"/>
        </w:rPr>
        <w:t> </w:t>
      </w:r>
      <w:r>
        <w:rPr>
          <w:b/>
          <w:color w:val="67287F"/>
          <w:sz w:val="28"/>
        </w:rPr>
        <w:t>in</w:t>
      </w:r>
      <w:r>
        <w:rPr>
          <w:b/>
          <w:color w:val="67287F"/>
          <w:spacing w:val="-6"/>
          <w:sz w:val="28"/>
        </w:rPr>
        <w:t> </w:t>
      </w:r>
      <w:r>
        <w:rPr>
          <w:b/>
          <w:color w:val="67287F"/>
          <w:sz w:val="28"/>
        </w:rPr>
        <w:t>the</w:t>
      </w:r>
      <w:r>
        <w:rPr>
          <w:b/>
          <w:color w:val="67287F"/>
          <w:spacing w:val="-7"/>
          <w:sz w:val="28"/>
        </w:rPr>
        <w:t> </w:t>
      </w:r>
      <w:r>
        <w:rPr>
          <w:b/>
          <w:color w:val="67287F"/>
          <w:sz w:val="28"/>
        </w:rPr>
        <w:t>context</w:t>
      </w:r>
      <w:r>
        <w:rPr>
          <w:b/>
          <w:color w:val="67287F"/>
          <w:spacing w:val="-6"/>
          <w:sz w:val="28"/>
        </w:rPr>
        <w:t> </w:t>
      </w:r>
      <w:r>
        <w:rPr>
          <w:b/>
          <w:color w:val="67287F"/>
          <w:sz w:val="28"/>
        </w:rPr>
        <w:t>of</w:t>
      </w:r>
      <w:r>
        <w:rPr>
          <w:b/>
          <w:color w:val="67287F"/>
          <w:spacing w:val="-7"/>
          <w:sz w:val="28"/>
        </w:rPr>
        <w:t> </w:t>
      </w:r>
      <w:r>
        <w:rPr>
          <w:b/>
          <w:color w:val="67287F"/>
          <w:sz w:val="28"/>
        </w:rPr>
        <w:t>the EU Victims’ Directive, when developing hate crime legislation, including as regards sectarian hate crime.</w:t>
      </w:r>
    </w:p>
    <w:p>
      <w:pPr>
        <w:pStyle w:val="ListParagraph"/>
        <w:numPr>
          <w:ilvl w:val="1"/>
          <w:numId w:val="7"/>
        </w:numPr>
        <w:tabs>
          <w:tab w:pos="1853" w:val="left" w:leader="none"/>
        </w:tabs>
        <w:spacing w:line="225" w:lineRule="auto" w:before="315" w:after="0"/>
        <w:ind w:left="1853" w:right="1144" w:hanging="720"/>
        <w:jc w:val="left"/>
        <w:rPr>
          <w:b/>
          <w:color w:val="67287F"/>
          <w:sz w:val="28"/>
        </w:rPr>
      </w:pPr>
      <w:r>
        <w:rPr>
          <w:b/>
          <w:color w:val="67287F"/>
          <w:sz w:val="28"/>
        </w:rPr>
        <w:t>In line with the ‘keeping pace’ obligations under Windsor Framework Article 2, the Commissions continue to advise the Department of Justice to monitor and</w:t>
      </w:r>
      <w:r>
        <w:rPr>
          <w:b/>
          <w:color w:val="67287F"/>
          <w:spacing w:val="-4"/>
          <w:sz w:val="28"/>
        </w:rPr>
        <w:t> </w:t>
      </w:r>
      <w:r>
        <w:rPr>
          <w:b/>
          <w:color w:val="67287F"/>
          <w:sz w:val="28"/>
        </w:rPr>
        <w:t>comply</w:t>
      </w:r>
      <w:r>
        <w:rPr>
          <w:b/>
          <w:color w:val="67287F"/>
          <w:spacing w:val="-4"/>
          <w:sz w:val="28"/>
        </w:rPr>
        <w:t> </w:t>
      </w:r>
      <w:r>
        <w:rPr>
          <w:b/>
          <w:color w:val="67287F"/>
          <w:sz w:val="28"/>
        </w:rPr>
        <w:t>with</w:t>
      </w:r>
      <w:r>
        <w:rPr>
          <w:b/>
          <w:color w:val="67287F"/>
          <w:spacing w:val="-4"/>
          <w:sz w:val="28"/>
        </w:rPr>
        <w:t> </w:t>
      </w:r>
      <w:r>
        <w:rPr>
          <w:b/>
          <w:color w:val="67287F"/>
          <w:sz w:val="28"/>
        </w:rPr>
        <w:t>any</w:t>
      </w:r>
      <w:r>
        <w:rPr>
          <w:b/>
          <w:color w:val="67287F"/>
          <w:spacing w:val="-4"/>
          <w:sz w:val="28"/>
        </w:rPr>
        <w:t> </w:t>
      </w:r>
      <w:r>
        <w:rPr>
          <w:b/>
          <w:color w:val="67287F"/>
          <w:sz w:val="28"/>
        </w:rPr>
        <w:t>proposed</w:t>
      </w:r>
      <w:r>
        <w:rPr>
          <w:b/>
          <w:color w:val="67287F"/>
          <w:spacing w:val="-4"/>
          <w:sz w:val="28"/>
        </w:rPr>
        <w:t> </w:t>
      </w:r>
      <w:r>
        <w:rPr>
          <w:b/>
          <w:color w:val="67287F"/>
          <w:sz w:val="28"/>
        </w:rPr>
        <w:t>changes</w:t>
      </w:r>
      <w:r>
        <w:rPr>
          <w:b/>
          <w:color w:val="67287F"/>
          <w:spacing w:val="-4"/>
          <w:sz w:val="28"/>
        </w:rPr>
        <w:t> </w:t>
      </w:r>
      <w:r>
        <w:rPr>
          <w:b/>
          <w:color w:val="67287F"/>
          <w:sz w:val="28"/>
        </w:rPr>
        <w:t>by</w:t>
      </w:r>
      <w:r>
        <w:rPr>
          <w:b/>
          <w:color w:val="67287F"/>
          <w:spacing w:val="-4"/>
          <w:sz w:val="28"/>
        </w:rPr>
        <w:t> </w:t>
      </w:r>
      <w:r>
        <w:rPr>
          <w:b/>
          <w:color w:val="67287F"/>
          <w:sz w:val="28"/>
        </w:rPr>
        <w:t>the</w:t>
      </w:r>
      <w:r>
        <w:rPr>
          <w:b/>
          <w:color w:val="67287F"/>
          <w:spacing w:val="-5"/>
          <w:sz w:val="28"/>
        </w:rPr>
        <w:t> </w:t>
      </w:r>
      <w:r>
        <w:rPr>
          <w:b/>
          <w:color w:val="67287F"/>
          <w:sz w:val="28"/>
        </w:rPr>
        <w:t>EU</w:t>
      </w:r>
      <w:r>
        <w:rPr>
          <w:b/>
          <w:color w:val="67287F"/>
          <w:spacing w:val="-4"/>
          <w:sz w:val="28"/>
        </w:rPr>
        <w:t> </w:t>
      </w:r>
      <w:r>
        <w:rPr>
          <w:b/>
          <w:color w:val="67287F"/>
          <w:sz w:val="28"/>
        </w:rPr>
        <w:t>to</w:t>
      </w:r>
      <w:r>
        <w:rPr>
          <w:b/>
          <w:color w:val="67287F"/>
          <w:spacing w:val="-4"/>
          <w:sz w:val="28"/>
        </w:rPr>
        <w:t> </w:t>
      </w:r>
      <w:r>
        <w:rPr>
          <w:b/>
          <w:color w:val="67287F"/>
          <w:sz w:val="28"/>
        </w:rPr>
        <w:t>the</w:t>
      </w:r>
      <w:r>
        <w:rPr>
          <w:b/>
          <w:color w:val="67287F"/>
          <w:spacing w:val="-5"/>
          <w:sz w:val="28"/>
        </w:rPr>
        <w:t> </w:t>
      </w:r>
      <w:r>
        <w:rPr>
          <w:b/>
          <w:color w:val="67287F"/>
          <w:sz w:val="28"/>
        </w:rPr>
        <w:t>six</w:t>
      </w:r>
      <w:r>
        <w:rPr>
          <w:b/>
          <w:color w:val="67287F"/>
          <w:spacing w:val="-5"/>
          <w:sz w:val="28"/>
        </w:rPr>
        <w:t> </w:t>
      </w:r>
      <w:r>
        <w:rPr>
          <w:b/>
          <w:color w:val="67287F"/>
          <w:sz w:val="28"/>
        </w:rPr>
        <w:t>Annex</w:t>
      </w:r>
      <w:r>
        <w:rPr>
          <w:b/>
          <w:color w:val="67287F"/>
          <w:spacing w:val="-5"/>
          <w:sz w:val="28"/>
        </w:rPr>
        <w:t> </w:t>
      </w:r>
      <w:r>
        <w:rPr>
          <w:b/>
          <w:color w:val="67287F"/>
          <w:sz w:val="28"/>
        </w:rPr>
        <w:t>1</w:t>
      </w:r>
      <w:r>
        <w:rPr>
          <w:b/>
          <w:color w:val="67287F"/>
          <w:spacing w:val="-4"/>
          <w:sz w:val="28"/>
        </w:rPr>
        <w:t> </w:t>
      </w:r>
      <w:r>
        <w:rPr>
          <w:b/>
          <w:color w:val="67287F"/>
          <w:sz w:val="28"/>
        </w:rPr>
        <w:t>equality directives, including relevant case law of the CJEU and pay particular attention to the ongoing consultation by the EU on the Racial Equality </w:t>
      </w:r>
      <w:r>
        <w:rPr>
          <w:b/>
          <w:color w:val="67287F"/>
          <w:spacing w:val="-2"/>
          <w:sz w:val="28"/>
        </w:rPr>
        <w:t>Directive.</w:t>
      </w:r>
    </w:p>
    <w:p>
      <w:pPr>
        <w:pStyle w:val="ListParagraph"/>
        <w:numPr>
          <w:ilvl w:val="1"/>
          <w:numId w:val="7"/>
        </w:numPr>
        <w:tabs>
          <w:tab w:pos="1853" w:val="left" w:leader="none"/>
        </w:tabs>
        <w:spacing w:line="225" w:lineRule="auto" w:before="312" w:after="0"/>
        <w:ind w:left="1853" w:right="1662" w:hanging="720"/>
        <w:jc w:val="left"/>
        <w:rPr>
          <w:b/>
          <w:color w:val="67287F"/>
          <w:sz w:val="28"/>
        </w:rPr>
      </w:pPr>
      <w:r>
        <w:rPr>
          <w:b/>
          <w:color w:val="67287F"/>
          <w:sz w:val="28"/>
        </w:rPr>
        <w:t>In line with UN and Council of Europe standards and recommendations, the</w:t>
      </w:r>
      <w:r>
        <w:rPr>
          <w:b/>
          <w:color w:val="67287F"/>
          <w:spacing w:val="-7"/>
          <w:sz w:val="28"/>
        </w:rPr>
        <w:t> </w:t>
      </w:r>
      <w:r>
        <w:rPr>
          <w:b/>
          <w:color w:val="67287F"/>
          <w:sz w:val="28"/>
        </w:rPr>
        <w:t>NIHRC</w:t>
      </w:r>
      <w:r>
        <w:rPr>
          <w:b/>
          <w:color w:val="67287F"/>
          <w:spacing w:val="-7"/>
          <w:sz w:val="28"/>
        </w:rPr>
        <w:t> </w:t>
      </w:r>
      <w:r>
        <w:rPr>
          <w:b/>
          <w:color w:val="67287F"/>
          <w:sz w:val="28"/>
        </w:rPr>
        <w:t>continues</w:t>
      </w:r>
      <w:r>
        <w:rPr>
          <w:b/>
          <w:color w:val="67287F"/>
          <w:spacing w:val="-6"/>
          <w:sz w:val="28"/>
        </w:rPr>
        <w:t> </w:t>
      </w:r>
      <w:r>
        <w:rPr>
          <w:b/>
          <w:color w:val="67287F"/>
          <w:sz w:val="28"/>
        </w:rPr>
        <w:t>to</w:t>
      </w:r>
      <w:r>
        <w:rPr>
          <w:b/>
          <w:color w:val="67287F"/>
          <w:spacing w:val="-6"/>
          <w:sz w:val="28"/>
        </w:rPr>
        <w:t> </w:t>
      </w:r>
      <w:r>
        <w:rPr>
          <w:b/>
          <w:color w:val="67287F"/>
          <w:sz w:val="28"/>
        </w:rPr>
        <w:t>recommend</w:t>
      </w:r>
      <w:r>
        <w:rPr>
          <w:b/>
          <w:color w:val="67287F"/>
          <w:spacing w:val="-6"/>
          <w:sz w:val="28"/>
        </w:rPr>
        <w:t> </w:t>
      </w:r>
      <w:r>
        <w:rPr>
          <w:b/>
          <w:color w:val="67287F"/>
          <w:sz w:val="28"/>
        </w:rPr>
        <w:t>that</w:t>
      </w:r>
      <w:r>
        <w:rPr>
          <w:b/>
          <w:color w:val="67287F"/>
          <w:spacing w:val="-6"/>
          <w:sz w:val="28"/>
        </w:rPr>
        <w:t> </w:t>
      </w:r>
      <w:r>
        <w:rPr>
          <w:b/>
          <w:color w:val="67287F"/>
          <w:sz w:val="28"/>
        </w:rPr>
        <w:t>the</w:t>
      </w:r>
      <w:r>
        <w:rPr>
          <w:b/>
          <w:color w:val="67287F"/>
          <w:spacing w:val="-7"/>
          <w:sz w:val="28"/>
        </w:rPr>
        <w:t> </w:t>
      </w:r>
      <w:r>
        <w:rPr>
          <w:b/>
          <w:color w:val="67287F"/>
          <w:sz w:val="28"/>
        </w:rPr>
        <w:t>EU</w:t>
      </w:r>
      <w:r>
        <w:rPr>
          <w:b/>
          <w:color w:val="67287F"/>
          <w:spacing w:val="-6"/>
          <w:sz w:val="28"/>
        </w:rPr>
        <w:t> </w:t>
      </w:r>
      <w:r>
        <w:rPr>
          <w:b/>
          <w:color w:val="67287F"/>
          <w:sz w:val="28"/>
        </w:rPr>
        <w:t>Racial</w:t>
      </w:r>
      <w:r>
        <w:rPr>
          <w:b/>
          <w:color w:val="67287F"/>
          <w:spacing w:val="-6"/>
          <w:sz w:val="28"/>
        </w:rPr>
        <w:t> </w:t>
      </w:r>
      <w:r>
        <w:rPr>
          <w:b/>
          <w:color w:val="67287F"/>
          <w:sz w:val="28"/>
        </w:rPr>
        <w:t>Equality</w:t>
      </w:r>
      <w:r>
        <w:rPr>
          <w:b/>
          <w:color w:val="67287F"/>
          <w:spacing w:val="-6"/>
          <w:sz w:val="28"/>
        </w:rPr>
        <w:t> </w:t>
      </w:r>
      <w:r>
        <w:rPr>
          <w:b/>
          <w:color w:val="67287F"/>
          <w:sz w:val="28"/>
        </w:rPr>
        <w:t>Directive be amended to include a recognition of sectarianism as a form of racial </w:t>
      </w:r>
      <w:r>
        <w:rPr>
          <w:b/>
          <w:color w:val="67287F"/>
          <w:spacing w:val="-2"/>
          <w:sz w:val="28"/>
        </w:rPr>
        <w:t>discrimination.</w:t>
      </w:r>
    </w:p>
    <w:p>
      <w:pPr>
        <w:pStyle w:val="Heading5"/>
        <w:spacing w:before="299"/>
        <w:ind w:left="1133" w:firstLine="0"/>
      </w:pPr>
      <w:bookmarkStart w:name="Trans Equality" w:id="54"/>
      <w:bookmarkEnd w:id="54"/>
      <w:r>
        <w:rPr>
          <w:b w:val="0"/>
        </w:rPr>
      </w:r>
      <w:r>
        <w:rPr>
          <w:color w:val="393B80"/>
          <w:spacing w:val="-2"/>
        </w:rPr>
        <w:t>Trans</w:t>
      </w:r>
      <w:r>
        <w:rPr>
          <w:color w:val="393B80"/>
          <w:spacing w:val="-12"/>
        </w:rPr>
        <w:t> </w:t>
      </w:r>
      <w:r>
        <w:rPr>
          <w:color w:val="393B80"/>
          <w:spacing w:val="-2"/>
        </w:rPr>
        <w:t>Equality</w:t>
      </w:r>
    </w:p>
    <w:p>
      <w:pPr>
        <w:pStyle w:val="ListParagraph"/>
        <w:numPr>
          <w:ilvl w:val="1"/>
          <w:numId w:val="7"/>
        </w:numPr>
        <w:tabs>
          <w:tab w:pos="1853" w:val="left" w:leader="none"/>
        </w:tabs>
        <w:spacing w:line="225" w:lineRule="auto" w:before="331" w:after="0"/>
        <w:ind w:left="1853" w:right="1299" w:hanging="720"/>
        <w:jc w:val="left"/>
        <w:rPr>
          <w:sz w:val="28"/>
        </w:rPr>
      </w:pPr>
      <w:r>
        <w:rPr/>
        <mc:AlternateContent>
          <mc:Choice Requires="wps">
            <w:drawing>
              <wp:anchor distT="0" distB="0" distL="0" distR="0" allowOverlap="1" layoutInCell="1" locked="0" behindDoc="1" simplePos="0" relativeHeight="487662592">
                <wp:simplePos x="0" y="0"/>
                <wp:positionH relativeFrom="page">
                  <wp:posOffset>719999</wp:posOffset>
                </wp:positionH>
                <wp:positionV relativeFrom="paragraph">
                  <wp:posOffset>1450437</wp:posOffset>
                </wp:positionV>
                <wp:extent cx="6120130" cy="1270"/>
                <wp:effectExtent l="0" t="0" r="0" b="0"/>
                <wp:wrapTopAndBottom/>
                <wp:docPr id="319" name="Graphic 319"/>
                <wp:cNvGraphicFramePr>
                  <a:graphicFrameLocks/>
                </wp:cNvGraphicFramePr>
                <a:graphic>
                  <a:graphicData uri="http://schemas.microsoft.com/office/word/2010/wordprocessingShape">
                    <wps:wsp>
                      <wps:cNvPr id="319" name="Graphic 319"/>
                      <wps:cNvSpPr/>
                      <wps:spPr>
                        <a:xfrm>
                          <a:off x="0" y="0"/>
                          <a:ext cx="6120130" cy="1270"/>
                        </a:xfrm>
                        <a:custGeom>
                          <a:avLst/>
                          <a:gdLst/>
                          <a:ahLst/>
                          <a:cxnLst/>
                          <a:rect l="l" t="t" r="r" b="b"/>
                          <a:pathLst>
                            <a:path w="6120130" h="0">
                              <a:moveTo>
                                <a:pt x="0" y="0"/>
                              </a:moveTo>
                              <a:lnTo>
                                <a:pt x="6120003"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14.20771pt;width:481.9pt;height:.1pt;mso-position-horizontal-relative:page;mso-position-vertical-relative:paragraph;z-index:-15653888;mso-wrap-distance-left:0;mso-wrap-distance-right:0" id="docshape271" coordorigin="1134,2284" coordsize="9638,0" path="m1134,2284l10772,2284e" filled="false" stroked="true" strokeweight="1pt" strokecolor="#393b7f">
                <v:path arrowok="t"/>
                <v:stroke dashstyle="solid"/>
                <w10:wrap type="topAndBottom"/>
              </v:shape>
            </w:pict>
          </mc:Fallback>
        </mc:AlternateContent>
      </w:r>
      <w:r>
        <w:rPr>
          <w:sz w:val="28"/>
        </w:rPr>
        <w:t>Windsor</w:t>
      </w:r>
      <w:r>
        <w:rPr>
          <w:spacing w:val="-3"/>
          <w:sz w:val="28"/>
        </w:rPr>
        <w:t> </w:t>
      </w:r>
      <w:r>
        <w:rPr>
          <w:sz w:val="28"/>
        </w:rPr>
        <w:t>Framework</w:t>
      </w:r>
      <w:r>
        <w:rPr>
          <w:spacing w:val="-3"/>
          <w:sz w:val="28"/>
        </w:rPr>
        <w:t> </w:t>
      </w:r>
      <w:r>
        <w:rPr>
          <w:sz w:val="28"/>
        </w:rPr>
        <w:t>Articles</w:t>
      </w:r>
      <w:r>
        <w:rPr>
          <w:spacing w:val="-4"/>
          <w:sz w:val="28"/>
        </w:rPr>
        <w:t> </w:t>
      </w:r>
      <w:r>
        <w:rPr>
          <w:sz w:val="28"/>
        </w:rPr>
        <w:t>2</w:t>
      </w:r>
      <w:r>
        <w:rPr>
          <w:spacing w:val="-3"/>
          <w:sz w:val="28"/>
        </w:rPr>
        <w:t> </w:t>
      </w:r>
      <w:r>
        <w:rPr>
          <w:sz w:val="28"/>
        </w:rPr>
        <w:t>and</w:t>
      </w:r>
      <w:r>
        <w:rPr>
          <w:spacing w:val="-4"/>
          <w:sz w:val="28"/>
        </w:rPr>
        <w:t> </w:t>
      </w:r>
      <w:r>
        <w:rPr>
          <w:sz w:val="28"/>
        </w:rPr>
        <w:t>13</w:t>
      </w:r>
      <w:r>
        <w:rPr>
          <w:spacing w:val="-3"/>
          <w:sz w:val="28"/>
        </w:rPr>
        <w:t> </w:t>
      </w:r>
      <w:r>
        <w:rPr>
          <w:sz w:val="28"/>
        </w:rPr>
        <w:t>require</w:t>
      </w:r>
      <w:r>
        <w:rPr>
          <w:spacing w:val="-3"/>
          <w:sz w:val="28"/>
        </w:rPr>
        <w:t> </w:t>
      </w:r>
      <w:r>
        <w:rPr>
          <w:sz w:val="28"/>
        </w:rPr>
        <w:t>the</w:t>
      </w:r>
      <w:r>
        <w:rPr>
          <w:spacing w:val="-3"/>
          <w:sz w:val="28"/>
        </w:rPr>
        <w:t> </w:t>
      </w:r>
      <w:r>
        <w:rPr>
          <w:sz w:val="28"/>
        </w:rPr>
        <w:t>law</w:t>
      </w:r>
      <w:r>
        <w:rPr>
          <w:spacing w:val="-3"/>
          <w:sz w:val="28"/>
        </w:rPr>
        <w:t> </w:t>
      </w:r>
      <w:r>
        <w:rPr>
          <w:sz w:val="28"/>
        </w:rPr>
        <w:t>in</w:t>
      </w:r>
      <w:r>
        <w:rPr>
          <w:spacing w:val="-4"/>
          <w:sz w:val="28"/>
        </w:rPr>
        <w:t> </w:t>
      </w:r>
      <w:r>
        <w:rPr>
          <w:sz w:val="28"/>
        </w:rPr>
        <w:t>NI</w:t>
      </w:r>
      <w:r>
        <w:rPr>
          <w:spacing w:val="-3"/>
          <w:sz w:val="28"/>
        </w:rPr>
        <w:t> </w:t>
      </w:r>
      <w:r>
        <w:rPr>
          <w:sz w:val="28"/>
        </w:rPr>
        <w:t>to</w:t>
      </w:r>
      <w:r>
        <w:rPr>
          <w:spacing w:val="-4"/>
          <w:sz w:val="28"/>
        </w:rPr>
        <w:t> </w:t>
      </w:r>
      <w:r>
        <w:rPr>
          <w:sz w:val="28"/>
        </w:rPr>
        <w:t>keep</w:t>
      </w:r>
      <w:r>
        <w:rPr>
          <w:spacing w:val="-4"/>
          <w:sz w:val="28"/>
        </w:rPr>
        <w:t> </w:t>
      </w:r>
      <w:r>
        <w:rPr>
          <w:sz w:val="28"/>
        </w:rPr>
        <w:t>pace</w:t>
      </w:r>
      <w:r>
        <w:rPr>
          <w:spacing w:val="-3"/>
          <w:sz w:val="28"/>
        </w:rPr>
        <w:t> </w:t>
      </w:r>
      <w:r>
        <w:rPr>
          <w:sz w:val="28"/>
        </w:rPr>
        <w:t>with any</w:t>
      </w:r>
      <w:r>
        <w:rPr>
          <w:spacing w:val="-8"/>
          <w:sz w:val="28"/>
        </w:rPr>
        <w:t> </w:t>
      </w:r>
      <w:r>
        <w:rPr>
          <w:sz w:val="28"/>
        </w:rPr>
        <w:t>improvements</w:t>
      </w:r>
      <w:r>
        <w:rPr>
          <w:spacing w:val="-9"/>
          <w:sz w:val="28"/>
        </w:rPr>
        <w:t> </w:t>
      </w:r>
      <w:r>
        <w:rPr>
          <w:sz w:val="28"/>
        </w:rPr>
        <w:t>to</w:t>
      </w:r>
      <w:r>
        <w:rPr>
          <w:spacing w:val="-9"/>
          <w:sz w:val="28"/>
        </w:rPr>
        <w:t> </w:t>
      </w:r>
      <w:r>
        <w:rPr>
          <w:sz w:val="28"/>
        </w:rPr>
        <w:t>minimum</w:t>
      </w:r>
      <w:r>
        <w:rPr>
          <w:spacing w:val="-8"/>
          <w:sz w:val="28"/>
        </w:rPr>
        <w:t> </w:t>
      </w:r>
      <w:r>
        <w:rPr>
          <w:sz w:val="28"/>
        </w:rPr>
        <w:t>standards</w:t>
      </w:r>
      <w:r>
        <w:rPr>
          <w:spacing w:val="-9"/>
          <w:sz w:val="28"/>
        </w:rPr>
        <w:t> </w:t>
      </w:r>
      <w:r>
        <w:rPr>
          <w:sz w:val="28"/>
        </w:rPr>
        <w:t>of</w:t>
      </w:r>
      <w:r>
        <w:rPr>
          <w:spacing w:val="-9"/>
          <w:sz w:val="28"/>
        </w:rPr>
        <w:t> </w:t>
      </w:r>
      <w:r>
        <w:rPr>
          <w:sz w:val="28"/>
        </w:rPr>
        <w:t>equality</w:t>
      </w:r>
      <w:r>
        <w:rPr>
          <w:spacing w:val="-8"/>
          <w:sz w:val="28"/>
        </w:rPr>
        <w:t> </w:t>
      </w:r>
      <w:r>
        <w:rPr>
          <w:sz w:val="28"/>
        </w:rPr>
        <w:t>protection</w:t>
      </w:r>
      <w:r>
        <w:rPr>
          <w:spacing w:val="-9"/>
          <w:sz w:val="28"/>
        </w:rPr>
        <w:t> </w:t>
      </w:r>
      <w:r>
        <w:rPr>
          <w:sz w:val="28"/>
        </w:rPr>
        <w:t>enshrined</w:t>
      </w:r>
      <w:r>
        <w:rPr>
          <w:spacing w:val="-9"/>
          <w:sz w:val="28"/>
        </w:rPr>
        <w:t> </w:t>
      </w:r>
      <w:r>
        <w:rPr>
          <w:sz w:val="28"/>
        </w:rPr>
        <w:t>in six EU directives listed in Annex 1 to the Windsor Framework.</w:t>
      </w:r>
      <w:r>
        <w:rPr>
          <w:spacing w:val="40"/>
          <w:sz w:val="28"/>
        </w:rPr>
        <w:t> </w:t>
      </w:r>
      <w:r>
        <w:rPr>
          <w:sz w:val="28"/>
        </w:rPr>
        <w:t>This includes the </w:t>
      </w:r>
      <w:r>
        <w:rPr>
          <w:b/>
          <w:color w:val="393B80"/>
          <w:sz w:val="28"/>
        </w:rPr>
        <w:t>EU equality directives which protect against gender discrimination </w:t>
      </w:r>
      <w:r>
        <w:rPr>
          <w:sz w:val="28"/>
        </w:rPr>
        <w:t>and which cover </w:t>
      </w:r>
      <w:r>
        <w:rPr>
          <w:b/>
          <w:color w:val="393B80"/>
          <w:sz w:val="28"/>
        </w:rPr>
        <w:t>employment and vocational training</w:t>
      </w:r>
      <w:r>
        <w:rPr>
          <w:color w:val="393B80"/>
          <w:sz w:val="28"/>
        </w:rPr>
        <w:t>,</w:t>
      </w:r>
      <w:r>
        <w:rPr>
          <w:sz w:val="28"/>
          <w:vertAlign w:val="superscript"/>
        </w:rPr>
        <w:t>328</w:t>
      </w:r>
      <w:r>
        <w:rPr>
          <w:sz w:val="28"/>
          <w:vertAlign w:val="baseline"/>
        </w:rPr>
        <w:t> </w:t>
      </w:r>
      <w:r>
        <w:rPr>
          <w:b/>
          <w:color w:val="393B80"/>
          <w:sz w:val="28"/>
          <w:vertAlign w:val="baseline"/>
        </w:rPr>
        <w:t>access to goods and </w:t>
      </w:r>
      <w:r>
        <w:rPr>
          <w:b/>
          <w:color w:val="393B7F"/>
          <w:sz w:val="28"/>
          <w:vertAlign w:val="baseline"/>
        </w:rPr>
        <w:t>services</w:t>
      </w:r>
      <w:r>
        <w:rPr>
          <w:color w:val="393B7F"/>
          <w:sz w:val="28"/>
          <w:vertAlign w:val="baseline"/>
        </w:rPr>
        <w:t>,</w:t>
      </w:r>
      <w:r>
        <w:rPr>
          <w:sz w:val="28"/>
          <w:vertAlign w:val="superscript"/>
        </w:rPr>
        <w:t>329</w:t>
      </w:r>
      <w:r>
        <w:rPr>
          <w:sz w:val="28"/>
          <w:vertAlign w:val="baseline"/>
        </w:rPr>
        <w:t> </w:t>
      </w:r>
      <w:r>
        <w:rPr>
          <w:b/>
          <w:color w:val="393B7F"/>
          <w:sz w:val="28"/>
          <w:vertAlign w:val="baseline"/>
        </w:rPr>
        <w:t>and social security</w:t>
      </w:r>
      <w:r>
        <w:rPr>
          <w:sz w:val="28"/>
          <w:vertAlign w:val="superscript"/>
        </w:rPr>
        <w:t>330</w:t>
      </w:r>
      <w:r>
        <w:rPr>
          <w:sz w:val="28"/>
          <w:vertAlign w:val="baseline"/>
        </w:rPr>
        <w:t> and protect against gender discrimination,</w:t>
      </w:r>
    </w:p>
    <w:p>
      <w:pPr>
        <w:pStyle w:val="ListParagraph"/>
        <w:numPr>
          <w:ilvl w:val="0"/>
          <w:numId w:val="9"/>
        </w:numPr>
        <w:tabs>
          <w:tab w:pos="1853" w:val="left" w:leader="none"/>
        </w:tabs>
        <w:spacing w:line="218" w:lineRule="exact" w:before="75" w:after="0"/>
        <w:ind w:left="1853" w:right="0" w:hanging="720"/>
        <w:jc w:val="left"/>
        <w:rPr>
          <w:sz w:val="18"/>
        </w:rPr>
      </w:pPr>
      <w:r>
        <w:rPr>
          <w:sz w:val="18"/>
        </w:rPr>
        <w:t>EU</w:t>
      </w:r>
      <w:r>
        <w:rPr>
          <w:spacing w:val="-4"/>
          <w:sz w:val="18"/>
        </w:rPr>
        <w:t> </w:t>
      </w:r>
      <w:r>
        <w:rPr>
          <w:sz w:val="18"/>
        </w:rPr>
        <w:t>Commission,</w:t>
      </w:r>
      <w:r>
        <w:rPr>
          <w:spacing w:val="-3"/>
          <w:sz w:val="18"/>
        </w:rPr>
        <w:t> </w:t>
      </w:r>
      <w:r>
        <w:rPr>
          <w:sz w:val="18"/>
        </w:rPr>
        <w:t>‘Addressing</w:t>
      </w:r>
      <w:r>
        <w:rPr>
          <w:spacing w:val="-3"/>
          <w:sz w:val="18"/>
        </w:rPr>
        <w:t> </w:t>
      </w:r>
      <w:r>
        <w:rPr>
          <w:sz w:val="18"/>
        </w:rPr>
        <w:t>possible</w:t>
      </w:r>
      <w:r>
        <w:rPr>
          <w:spacing w:val="-3"/>
          <w:sz w:val="18"/>
        </w:rPr>
        <w:t> </w:t>
      </w:r>
      <w:r>
        <w:rPr>
          <w:sz w:val="18"/>
        </w:rPr>
        <w:t>gaps</w:t>
      </w:r>
      <w:r>
        <w:rPr>
          <w:spacing w:val="-4"/>
          <w:sz w:val="18"/>
        </w:rPr>
        <w:t> </w:t>
      </w:r>
      <w:r>
        <w:rPr>
          <w:sz w:val="18"/>
        </w:rPr>
        <w:t>in</w:t>
      </w:r>
      <w:r>
        <w:rPr>
          <w:spacing w:val="-4"/>
          <w:sz w:val="18"/>
        </w:rPr>
        <w:t> </w:t>
      </w:r>
      <w:r>
        <w:rPr>
          <w:sz w:val="18"/>
        </w:rPr>
        <w:t>the</w:t>
      </w:r>
      <w:r>
        <w:rPr>
          <w:spacing w:val="-3"/>
          <w:sz w:val="18"/>
        </w:rPr>
        <w:t> </w:t>
      </w:r>
      <w:r>
        <w:rPr>
          <w:sz w:val="18"/>
        </w:rPr>
        <w:t>Racial</w:t>
      </w:r>
      <w:r>
        <w:rPr>
          <w:spacing w:val="-4"/>
          <w:sz w:val="18"/>
        </w:rPr>
        <w:t> </w:t>
      </w:r>
      <w:r>
        <w:rPr>
          <w:sz w:val="18"/>
        </w:rPr>
        <w:t>Equality</w:t>
      </w:r>
      <w:r>
        <w:rPr>
          <w:spacing w:val="-4"/>
          <w:sz w:val="18"/>
        </w:rPr>
        <w:t> </w:t>
      </w:r>
      <w:r>
        <w:rPr>
          <w:sz w:val="18"/>
        </w:rPr>
        <w:t>Directive</w:t>
      </w:r>
      <w:r>
        <w:rPr>
          <w:spacing w:val="-3"/>
          <w:sz w:val="18"/>
        </w:rPr>
        <w:t> </w:t>
      </w:r>
      <w:r>
        <w:rPr>
          <w:sz w:val="18"/>
        </w:rPr>
        <w:t>–</w:t>
      </w:r>
      <w:r>
        <w:rPr>
          <w:spacing w:val="-4"/>
          <w:sz w:val="18"/>
        </w:rPr>
        <w:t> </w:t>
      </w:r>
      <w:r>
        <w:rPr>
          <w:sz w:val="18"/>
        </w:rPr>
        <w:t>Public</w:t>
      </w:r>
      <w:r>
        <w:rPr>
          <w:spacing w:val="-3"/>
          <w:sz w:val="18"/>
        </w:rPr>
        <w:t> </w:t>
      </w:r>
      <w:r>
        <w:rPr>
          <w:sz w:val="18"/>
        </w:rPr>
        <w:t>Consultation’</w:t>
      </w:r>
      <w:r>
        <w:rPr>
          <w:spacing w:val="-3"/>
          <w:sz w:val="18"/>
        </w:rPr>
        <w:t> </w:t>
      </w:r>
      <w:r>
        <w:rPr>
          <w:sz w:val="18"/>
        </w:rPr>
        <w:t>(EU</w:t>
      </w:r>
      <w:r>
        <w:rPr>
          <w:spacing w:val="-3"/>
          <w:sz w:val="18"/>
        </w:rPr>
        <w:t> </w:t>
      </w:r>
      <w:r>
        <w:rPr>
          <w:sz w:val="18"/>
        </w:rPr>
        <w:t>Commission,</w:t>
      </w:r>
      <w:r>
        <w:rPr>
          <w:spacing w:val="-3"/>
          <w:sz w:val="18"/>
        </w:rPr>
        <w:t> </w:t>
      </w:r>
      <w:r>
        <w:rPr>
          <w:spacing w:val="-2"/>
          <w:sz w:val="18"/>
        </w:rPr>
        <w:t>2022).</w:t>
      </w:r>
    </w:p>
    <w:p>
      <w:pPr>
        <w:pStyle w:val="ListParagraph"/>
        <w:numPr>
          <w:ilvl w:val="0"/>
          <w:numId w:val="9"/>
        </w:numPr>
        <w:tabs>
          <w:tab w:pos="1853" w:val="left" w:leader="none"/>
        </w:tabs>
        <w:spacing w:line="235" w:lineRule="auto" w:before="2" w:after="0"/>
        <w:ind w:left="1853" w:right="1171" w:hanging="720"/>
        <w:jc w:val="left"/>
        <w:rPr>
          <w:sz w:val="18"/>
        </w:rPr>
      </w:pPr>
      <w:r>
        <w:rPr>
          <w:spacing w:val="-2"/>
          <w:sz w:val="18"/>
        </w:rPr>
        <w:t>NI</w:t>
      </w:r>
      <w:r>
        <w:rPr>
          <w:spacing w:val="-8"/>
          <w:sz w:val="18"/>
        </w:rPr>
        <w:t> </w:t>
      </w:r>
      <w:r>
        <w:rPr>
          <w:spacing w:val="-2"/>
          <w:sz w:val="18"/>
        </w:rPr>
        <w:t>Human</w:t>
      </w:r>
      <w:r>
        <w:rPr>
          <w:spacing w:val="-8"/>
          <w:sz w:val="18"/>
        </w:rPr>
        <w:t> </w:t>
      </w:r>
      <w:r>
        <w:rPr>
          <w:spacing w:val="-2"/>
          <w:sz w:val="18"/>
        </w:rPr>
        <w:t>Rights</w:t>
      </w:r>
      <w:r>
        <w:rPr>
          <w:spacing w:val="-8"/>
          <w:sz w:val="18"/>
        </w:rPr>
        <w:t> </w:t>
      </w:r>
      <w:r>
        <w:rPr>
          <w:spacing w:val="-2"/>
          <w:sz w:val="18"/>
        </w:rPr>
        <w:t>Commission,</w:t>
      </w:r>
      <w:r>
        <w:rPr>
          <w:spacing w:val="-8"/>
          <w:sz w:val="18"/>
        </w:rPr>
        <w:t> </w:t>
      </w:r>
      <w:r>
        <w:rPr>
          <w:spacing w:val="-2"/>
          <w:sz w:val="18"/>
        </w:rPr>
        <w:t>‘Response</w:t>
      </w:r>
      <w:r>
        <w:rPr>
          <w:spacing w:val="-8"/>
          <w:sz w:val="18"/>
        </w:rPr>
        <w:t> </w:t>
      </w:r>
      <w:r>
        <w:rPr>
          <w:spacing w:val="-2"/>
          <w:sz w:val="18"/>
        </w:rPr>
        <w:t>to</w:t>
      </w:r>
      <w:r>
        <w:rPr>
          <w:spacing w:val="-8"/>
          <w:sz w:val="18"/>
        </w:rPr>
        <w:t> </w:t>
      </w:r>
      <w:r>
        <w:rPr>
          <w:spacing w:val="-2"/>
          <w:sz w:val="18"/>
        </w:rPr>
        <w:t>the</w:t>
      </w:r>
      <w:r>
        <w:rPr>
          <w:spacing w:val="-8"/>
          <w:sz w:val="18"/>
        </w:rPr>
        <w:t> </w:t>
      </w:r>
      <w:r>
        <w:rPr>
          <w:spacing w:val="-2"/>
          <w:sz w:val="18"/>
        </w:rPr>
        <w:t>European</w:t>
      </w:r>
      <w:r>
        <w:rPr>
          <w:spacing w:val="-8"/>
          <w:sz w:val="18"/>
        </w:rPr>
        <w:t> </w:t>
      </w:r>
      <w:r>
        <w:rPr>
          <w:spacing w:val="-2"/>
          <w:sz w:val="18"/>
        </w:rPr>
        <w:t>Commission</w:t>
      </w:r>
      <w:r>
        <w:rPr>
          <w:spacing w:val="-8"/>
          <w:sz w:val="18"/>
        </w:rPr>
        <w:t> </w:t>
      </w:r>
      <w:r>
        <w:rPr>
          <w:spacing w:val="-2"/>
          <w:sz w:val="18"/>
        </w:rPr>
        <w:t>Consultation</w:t>
      </w:r>
      <w:r>
        <w:rPr>
          <w:spacing w:val="-8"/>
          <w:sz w:val="18"/>
        </w:rPr>
        <w:t> </w:t>
      </w:r>
      <w:r>
        <w:rPr>
          <w:spacing w:val="-2"/>
          <w:sz w:val="18"/>
        </w:rPr>
        <w:t>on</w:t>
      </w:r>
      <w:r>
        <w:rPr>
          <w:spacing w:val="-8"/>
          <w:sz w:val="18"/>
        </w:rPr>
        <w:t> </w:t>
      </w:r>
      <w:r>
        <w:rPr>
          <w:spacing w:val="-2"/>
          <w:sz w:val="18"/>
        </w:rPr>
        <w:t>the</w:t>
      </w:r>
      <w:r>
        <w:rPr>
          <w:spacing w:val="-8"/>
          <w:sz w:val="18"/>
        </w:rPr>
        <w:t> </w:t>
      </w:r>
      <w:r>
        <w:rPr>
          <w:spacing w:val="-2"/>
          <w:sz w:val="18"/>
        </w:rPr>
        <w:t>Racial</w:t>
      </w:r>
      <w:r>
        <w:rPr>
          <w:spacing w:val="-8"/>
          <w:sz w:val="18"/>
        </w:rPr>
        <w:t> </w:t>
      </w:r>
      <w:r>
        <w:rPr>
          <w:spacing w:val="-2"/>
          <w:sz w:val="18"/>
        </w:rPr>
        <w:t>Equality</w:t>
      </w:r>
      <w:r>
        <w:rPr>
          <w:spacing w:val="-8"/>
          <w:sz w:val="18"/>
        </w:rPr>
        <w:t> </w:t>
      </w:r>
      <w:r>
        <w:rPr>
          <w:spacing w:val="-2"/>
          <w:sz w:val="18"/>
        </w:rPr>
        <w:t>Directive</w:t>
      </w:r>
      <w:r>
        <w:rPr>
          <w:spacing w:val="-6"/>
          <w:sz w:val="18"/>
        </w:rPr>
        <w:t> </w:t>
      </w:r>
      <w:r>
        <w:rPr>
          <w:spacing w:val="-2"/>
          <w:sz w:val="18"/>
        </w:rPr>
        <w:t>(Directive</w:t>
      </w:r>
      <w:r>
        <w:rPr>
          <w:sz w:val="18"/>
        </w:rPr>
        <w:t> 2000/43/EC)’ (NIHRC, 2022).</w:t>
      </w:r>
    </w:p>
    <w:p>
      <w:pPr>
        <w:pStyle w:val="ListParagraph"/>
        <w:numPr>
          <w:ilvl w:val="0"/>
          <w:numId w:val="9"/>
        </w:numPr>
        <w:tabs>
          <w:tab w:pos="1853" w:val="left" w:leader="none"/>
        </w:tabs>
        <w:spacing w:line="216" w:lineRule="exact" w:before="0" w:after="0"/>
        <w:ind w:left="1853" w:right="0" w:hanging="720"/>
        <w:jc w:val="left"/>
        <w:rPr>
          <w:sz w:val="18"/>
        </w:rPr>
      </w:pPr>
      <w:r>
        <w:rPr>
          <w:sz w:val="18"/>
        </w:rPr>
        <w:t>Directive</w:t>
      </w:r>
      <w:r>
        <w:rPr>
          <w:spacing w:val="-7"/>
          <w:sz w:val="18"/>
        </w:rPr>
        <w:t> </w:t>
      </w:r>
      <w:r>
        <w:rPr>
          <w:sz w:val="18"/>
        </w:rPr>
        <w:t>2006/54/EC,</w:t>
      </w:r>
      <w:r>
        <w:rPr>
          <w:spacing w:val="-6"/>
          <w:sz w:val="18"/>
        </w:rPr>
        <w:t> </w:t>
      </w:r>
      <w:r>
        <w:rPr>
          <w:sz w:val="18"/>
        </w:rPr>
        <w:t>‘EU</w:t>
      </w:r>
      <w:r>
        <w:rPr>
          <w:spacing w:val="-6"/>
          <w:sz w:val="18"/>
        </w:rPr>
        <w:t> </w:t>
      </w:r>
      <w:r>
        <w:rPr>
          <w:sz w:val="18"/>
        </w:rPr>
        <w:t>Council</w:t>
      </w:r>
      <w:r>
        <w:rPr>
          <w:spacing w:val="-7"/>
          <w:sz w:val="18"/>
        </w:rPr>
        <w:t> </w:t>
      </w:r>
      <w:r>
        <w:rPr>
          <w:sz w:val="18"/>
        </w:rPr>
        <w:t>Directive</w:t>
      </w:r>
      <w:r>
        <w:rPr>
          <w:spacing w:val="-6"/>
          <w:sz w:val="18"/>
        </w:rPr>
        <w:t> </w:t>
      </w:r>
      <w:r>
        <w:rPr>
          <w:sz w:val="18"/>
        </w:rPr>
        <w:t>on</w:t>
      </w:r>
      <w:r>
        <w:rPr>
          <w:spacing w:val="-7"/>
          <w:sz w:val="18"/>
        </w:rPr>
        <w:t> </w:t>
      </w:r>
      <w:r>
        <w:rPr>
          <w:sz w:val="18"/>
        </w:rPr>
        <w:t>the</w:t>
      </w:r>
      <w:r>
        <w:rPr>
          <w:spacing w:val="-6"/>
          <w:sz w:val="18"/>
        </w:rPr>
        <w:t> </w:t>
      </w:r>
      <w:r>
        <w:rPr>
          <w:sz w:val="18"/>
        </w:rPr>
        <w:t>Implementation</w:t>
      </w:r>
      <w:r>
        <w:rPr>
          <w:spacing w:val="-7"/>
          <w:sz w:val="18"/>
        </w:rPr>
        <w:t> </w:t>
      </w:r>
      <w:r>
        <w:rPr>
          <w:sz w:val="18"/>
        </w:rPr>
        <w:t>of</w:t>
      </w:r>
      <w:r>
        <w:rPr>
          <w:spacing w:val="-7"/>
          <w:sz w:val="18"/>
        </w:rPr>
        <w:t> </w:t>
      </w:r>
      <w:r>
        <w:rPr>
          <w:sz w:val="18"/>
        </w:rPr>
        <w:t>the</w:t>
      </w:r>
      <w:r>
        <w:rPr>
          <w:spacing w:val="-6"/>
          <w:sz w:val="18"/>
        </w:rPr>
        <w:t> </w:t>
      </w:r>
      <w:r>
        <w:rPr>
          <w:sz w:val="18"/>
        </w:rPr>
        <w:t>Principle</w:t>
      </w:r>
      <w:r>
        <w:rPr>
          <w:spacing w:val="-7"/>
          <w:sz w:val="18"/>
        </w:rPr>
        <w:t> </w:t>
      </w:r>
      <w:r>
        <w:rPr>
          <w:sz w:val="18"/>
        </w:rPr>
        <w:t>of</w:t>
      </w:r>
      <w:r>
        <w:rPr>
          <w:spacing w:val="-7"/>
          <w:sz w:val="18"/>
        </w:rPr>
        <w:t> </w:t>
      </w:r>
      <w:r>
        <w:rPr>
          <w:sz w:val="18"/>
        </w:rPr>
        <w:t>Equal</w:t>
      </w:r>
      <w:r>
        <w:rPr>
          <w:spacing w:val="-7"/>
          <w:sz w:val="18"/>
        </w:rPr>
        <w:t> </w:t>
      </w:r>
      <w:r>
        <w:rPr>
          <w:sz w:val="18"/>
        </w:rPr>
        <w:t>Opportunities</w:t>
      </w:r>
      <w:r>
        <w:rPr>
          <w:spacing w:val="-7"/>
          <w:sz w:val="18"/>
        </w:rPr>
        <w:t> </w:t>
      </w:r>
      <w:r>
        <w:rPr>
          <w:spacing w:val="-5"/>
          <w:sz w:val="18"/>
        </w:rPr>
        <w:t>and</w:t>
      </w:r>
    </w:p>
    <w:p>
      <w:pPr>
        <w:spacing w:line="235" w:lineRule="auto" w:before="1"/>
        <w:ind w:left="1853" w:right="1171" w:firstLine="0"/>
        <w:jc w:val="left"/>
        <w:rPr>
          <w:sz w:val="18"/>
        </w:rPr>
      </w:pPr>
      <w:r>
        <w:rPr>
          <w:sz w:val="18"/>
        </w:rPr>
        <w:t>Equal</w:t>
      </w:r>
      <w:r>
        <w:rPr>
          <w:spacing w:val="-7"/>
          <w:sz w:val="18"/>
        </w:rPr>
        <w:t> </w:t>
      </w:r>
      <w:r>
        <w:rPr>
          <w:sz w:val="18"/>
        </w:rPr>
        <w:t>Treatment</w:t>
      </w:r>
      <w:r>
        <w:rPr>
          <w:spacing w:val="-6"/>
          <w:sz w:val="18"/>
        </w:rPr>
        <w:t> </w:t>
      </w:r>
      <w:r>
        <w:rPr>
          <w:sz w:val="18"/>
        </w:rPr>
        <w:t>of</w:t>
      </w:r>
      <w:r>
        <w:rPr>
          <w:spacing w:val="-7"/>
          <w:sz w:val="18"/>
        </w:rPr>
        <w:t> </w:t>
      </w:r>
      <w:r>
        <w:rPr>
          <w:sz w:val="18"/>
        </w:rPr>
        <w:t>Men</w:t>
      </w:r>
      <w:r>
        <w:rPr>
          <w:spacing w:val="-7"/>
          <w:sz w:val="18"/>
        </w:rPr>
        <w:t> </w:t>
      </w:r>
      <w:r>
        <w:rPr>
          <w:sz w:val="18"/>
        </w:rPr>
        <w:t>and</w:t>
      </w:r>
      <w:r>
        <w:rPr>
          <w:spacing w:val="-7"/>
          <w:sz w:val="18"/>
        </w:rPr>
        <w:t> </w:t>
      </w:r>
      <w:r>
        <w:rPr>
          <w:sz w:val="18"/>
        </w:rPr>
        <w:t>Women</w:t>
      </w:r>
      <w:r>
        <w:rPr>
          <w:spacing w:val="-7"/>
          <w:sz w:val="18"/>
        </w:rPr>
        <w:t> </w:t>
      </w:r>
      <w:r>
        <w:rPr>
          <w:sz w:val="18"/>
        </w:rPr>
        <w:t>in</w:t>
      </w:r>
      <w:r>
        <w:rPr>
          <w:spacing w:val="-7"/>
          <w:sz w:val="18"/>
        </w:rPr>
        <w:t> </w:t>
      </w:r>
      <w:r>
        <w:rPr>
          <w:sz w:val="18"/>
        </w:rPr>
        <w:t>Matters</w:t>
      </w:r>
      <w:r>
        <w:rPr>
          <w:spacing w:val="-7"/>
          <w:sz w:val="18"/>
        </w:rPr>
        <w:t> </w:t>
      </w:r>
      <w:r>
        <w:rPr>
          <w:sz w:val="18"/>
        </w:rPr>
        <w:t>of</w:t>
      </w:r>
      <w:r>
        <w:rPr>
          <w:spacing w:val="-7"/>
          <w:sz w:val="18"/>
        </w:rPr>
        <w:t> </w:t>
      </w:r>
      <w:r>
        <w:rPr>
          <w:sz w:val="18"/>
        </w:rPr>
        <w:t>Employment</w:t>
      </w:r>
      <w:r>
        <w:rPr>
          <w:spacing w:val="-6"/>
          <w:sz w:val="18"/>
        </w:rPr>
        <w:t> </w:t>
      </w:r>
      <w:r>
        <w:rPr>
          <w:sz w:val="18"/>
        </w:rPr>
        <w:t>and</w:t>
      </w:r>
      <w:r>
        <w:rPr>
          <w:spacing w:val="-7"/>
          <w:sz w:val="18"/>
        </w:rPr>
        <w:t> </w:t>
      </w:r>
      <w:r>
        <w:rPr>
          <w:sz w:val="18"/>
        </w:rPr>
        <w:t>Occupation’,</w:t>
      </w:r>
      <w:r>
        <w:rPr>
          <w:spacing w:val="-6"/>
          <w:sz w:val="18"/>
        </w:rPr>
        <w:t> </w:t>
      </w:r>
      <w:r>
        <w:rPr>
          <w:sz w:val="18"/>
        </w:rPr>
        <w:t>5</w:t>
      </w:r>
      <w:r>
        <w:rPr>
          <w:spacing w:val="-6"/>
          <w:sz w:val="18"/>
        </w:rPr>
        <w:t> </w:t>
      </w:r>
      <w:r>
        <w:rPr>
          <w:sz w:val="18"/>
        </w:rPr>
        <w:t>July</w:t>
      </w:r>
      <w:r>
        <w:rPr>
          <w:spacing w:val="-6"/>
          <w:sz w:val="18"/>
        </w:rPr>
        <w:t> </w:t>
      </w:r>
      <w:r>
        <w:rPr>
          <w:sz w:val="18"/>
        </w:rPr>
        <w:t>2006;</w:t>
      </w:r>
      <w:r>
        <w:rPr>
          <w:spacing w:val="-6"/>
          <w:sz w:val="18"/>
        </w:rPr>
        <w:t> </w:t>
      </w:r>
      <w:r>
        <w:rPr>
          <w:sz w:val="18"/>
        </w:rPr>
        <w:t>Directive</w:t>
      </w:r>
      <w:r>
        <w:rPr>
          <w:spacing w:val="-6"/>
          <w:sz w:val="18"/>
        </w:rPr>
        <w:t> </w:t>
      </w:r>
      <w:r>
        <w:rPr>
          <w:sz w:val="18"/>
        </w:rPr>
        <w:t>2010/41/EU,</w:t>
      </w:r>
      <w:r>
        <w:rPr>
          <w:spacing w:val="-6"/>
          <w:sz w:val="18"/>
        </w:rPr>
        <w:t> </w:t>
      </w:r>
      <w:r>
        <w:rPr>
          <w:sz w:val="18"/>
        </w:rPr>
        <w:t>‘EU Parliament and EU Council Directive on the Application of the Principle of Equal Treatment between Men and Women Engaged in an Activity in a Self-employed Capacity’, 7 July 2010.</w:t>
      </w:r>
    </w:p>
    <w:p>
      <w:pPr>
        <w:pStyle w:val="ListParagraph"/>
        <w:numPr>
          <w:ilvl w:val="0"/>
          <w:numId w:val="9"/>
        </w:numPr>
        <w:tabs>
          <w:tab w:pos="1853" w:val="left" w:leader="none"/>
        </w:tabs>
        <w:spacing w:line="235" w:lineRule="auto" w:before="2" w:after="0"/>
        <w:ind w:left="1853" w:right="1738" w:hanging="720"/>
        <w:jc w:val="left"/>
        <w:rPr>
          <w:sz w:val="18"/>
        </w:rPr>
      </w:pPr>
      <w:r>
        <w:rPr>
          <w:sz w:val="18"/>
        </w:rPr>
        <w:t>Directive</w:t>
      </w:r>
      <w:r>
        <w:rPr>
          <w:spacing w:val="-5"/>
          <w:sz w:val="18"/>
        </w:rPr>
        <w:t> </w:t>
      </w:r>
      <w:r>
        <w:rPr>
          <w:sz w:val="18"/>
        </w:rPr>
        <w:t>2004/113/EC,</w:t>
      </w:r>
      <w:r>
        <w:rPr>
          <w:spacing w:val="-5"/>
          <w:sz w:val="18"/>
        </w:rPr>
        <w:t> </w:t>
      </w:r>
      <w:r>
        <w:rPr>
          <w:sz w:val="18"/>
        </w:rPr>
        <w:t>‘EU</w:t>
      </w:r>
      <w:r>
        <w:rPr>
          <w:spacing w:val="-5"/>
          <w:sz w:val="18"/>
        </w:rPr>
        <w:t> </w:t>
      </w:r>
      <w:r>
        <w:rPr>
          <w:sz w:val="18"/>
        </w:rPr>
        <w:t>Council</w:t>
      </w:r>
      <w:r>
        <w:rPr>
          <w:spacing w:val="-6"/>
          <w:sz w:val="18"/>
        </w:rPr>
        <w:t> </w:t>
      </w:r>
      <w:r>
        <w:rPr>
          <w:sz w:val="18"/>
        </w:rPr>
        <w:t>Directive</w:t>
      </w:r>
      <w:r>
        <w:rPr>
          <w:spacing w:val="-5"/>
          <w:sz w:val="18"/>
        </w:rPr>
        <w:t> </w:t>
      </w:r>
      <w:r>
        <w:rPr>
          <w:sz w:val="18"/>
        </w:rPr>
        <w:t>on</w:t>
      </w:r>
      <w:r>
        <w:rPr>
          <w:spacing w:val="-6"/>
          <w:sz w:val="18"/>
        </w:rPr>
        <w:t> </w:t>
      </w:r>
      <w:r>
        <w:rPr>
          <w:sz w:val="18"/>
        </w:rPr>
        <w:t>Implementing</w:t>
      </w:r>
      <w:r>
        <w:rPr>
          <w:spacing w:val="-5"/>
          <w:sz w:val="18"/>
        </w:rPr>
        <w:t> </w:t>
      </w:r>
      <w:r>
        <w:rPr>
          <w:sz w:val="18"/>
        </w:rPr>
        <w:t>the</w:t>
      </w:r>
      <w:r>
        <w:rPr>
          <w:spacing w:val="-5"/>
          <w:sz w:val="18"/>
        </w:rPr>
        <w:t> </w:t>
      </w:r>
      <w:r>
        <w:rPr>
          <w:sz w:val="18"/>
        </w:rPr>
        <w:t>Principle</w:t>
      </w:r>
      <w:r>
        <w:rPr>
          <w:spacing w:val="-5"/>
          <w:sz w:val="18"/>
        </w:rPr>
        <w:t> </w:t>
      </w:r>
      <w:r>
        <w:rPr>
          <w:sz w:val="18"/>
        </w:rPr>
        <w:t>of</w:t>
      </w:r>
      <w:r>
        <w:rPr>
          <w:spacing w:val="-6"/>
          <w:sz w:val="18"/>
        </w:rPr>
        <w:t> </w:t>
      </w:r>
      <w:r>
        <w:rPr>
          <w:sz w:val="18"/>
        </w:rPr>
        <w:t>Equal</w:t>
      </w:r>
      <w:r>
        <w:rPr>
          <w:spacing w:val="-6"/>
          <w:sz w:val="18"/>
        </w:rPr>
        <w:t> </w:t>
      </w:r>
      <w:r>
        <w:rPr>
          <w:sz w:val="18"/>
        </w:rPr>
        <w:t>Treatment</w:t>
      </w:r>
      <w:r>
        <w:rPr>
          <w:spacing w:val="-5"/>
          <w:sz w:val="18"/>
        </w:rPr>
        <w:t> </w:t>
      </w:r>
      <w:r>
        <w:rPr>
          <w:sz w:val="18"/>
        </w:rPr>
        <w:t>between</w:t>
      </w:r>
      <w:r>
        <w:rPr>
          <w:spacing w:val="-6"/>
          <w:sz w:val="18"/>
        </w:rPr>
        <w:t> </w:t>
      </w:r>
      <w:r>
        <w:rPr>
          <w:sz w:val="18"/>
        </w:rPr>
        <w:t>Men</w:t>
      </w:r>
      <w:r>
        <w:rPr>
          <w:spacing w:val="-6"/>
          <w:sz w:val="18"/>
        </w:rPr>
        <w:t> </w:t>
      </w:r>
      <w:r>
        <w:rPr>
          <w:sz w:val="18"/>
        </w:rPr>
        <w:t>and Women in the Access to and Supply of Goods and Services’, 13 December 2004.</w:t>
      </w:r>
    </w:p>
    <w:p>
      <w:pPr>
        <w:pStyle w:val="ListParagraph"/>
        <w:numPr>
          <w:ilvl w:val="0"/>
          <w:numId w:val="9"/>
        </w:numPr>
        <w:tabs>
          <w:tab w:pos="1853" w:val="left" w:leader="none"/>
        </w:tabs>
        <w:spacing w:line="218" w:lineRule="exact" w:before="0" w:after="0"/>
        <w:ind w:left="1853" w:right="0" w:hanging="720"/>
        <w:jc w:val="left"/>
        <w:rPr>
          <w:sz w:val="18"/>
        </w:rPr>
      </w:pPr>
      <w:r>
        <w:rPr>
          <w:sz w:val="18"/>
        </w:rPr>
        <w:t>Directive</w:t>
      </w:r>
      <w:r>
        <w:rPr>
          <w:spacing w:val="-6"/>
          <w:sz w:val="18"/>
        </w:rPr>
        <w:t> </w:t>
      </w:r>
      <w:r>
        <w:rPr>
          <w:sz w:val="18"/>
        </w:rPr>
        <w:t>79/7/EEC,</w:t>
      </w:r>
      <w:r>
        <w:rPr>
          <w:spacing w:val="-6"/>
          <w:sz w:val="18"/>
        </w:rPr>
        <w:t> </w:t>
      </w:r>
      <w:r>
        <w:rPr>
          <w:sz w:val="18"/>
        </w:rPr>
        <w:t>‘EU</w:t>
      </w:r>
      <w:r>
        <w:rPr>
          <w:spacing w:val="-6"/>
          <w:sz w:val="18"/>
        </w:rPr>
        <w:t> </w:t>
      </w:r>
      <w:r>
        <w:rPr>
          <w:sz w:val="18"/>
        </w:rPr>
        <w:t>Council</w:t>
      </w:r>
      <w:r>
        <w:rPr>
          <w:spacing w:val="-7"/>
          <w:sz w:val="18"/>
        </w:rPr>
        <w:t> </w:t>
      </w:r>
      <w:r>
        <w:rPr>
          <w:sz w:val="18"/>
        </w:rPr>
        <w:t>Directive</w:t>
      </w:r>
      <w:r>
        <w:rPr>
          <w:spacing w:val="-6"/>
          <w:sz w:val="18"/>
        </w:rPr>
        <w:t> </w:t>
      </w:r>
      <w:r>
        <w:rPr>
          <w:sz w:val="18"/>
        </w:rPr>
        <w:t>on</w:t>
      </w:r>
      <w:r>
        <w:rPr>
          <w:spacing w:val="-7"/>
          <w:sz w:val="18"/>
        </w:rPr>
        <w:t> </w:t>
      </w:r>
      <w:r>
        <w:rPr>
          <w:sz w:val="18"/>
        </w:rPr>
        <w:t>the</w:t>
      </w:r>
      <w:r>
        <w:rPr>
          <w:spacing w:val="-6"/>
          <w:sz w:val="18"/>
        </w:rPr>
        <w:t> </w:t>
      </w:r>
      <w:r>
        <w:rPr>
          <w:sz w:val="18"/>
        </w:rPr>
        <w:t>Progressive</w:t>
      </w:r>
      <w:r>
        <w:rPr>
          <w:spacing w:val="-6"/>
          <w:sz w:val="18"/>
        </w:rPr>
        <w:t> </w:t>
      </w:r>
      <w:r>
        <w:rPr>
          <w:sz w:val="18"/>
        </w:rPr>
        <w:t>Implementation</w:t>
      </w:r>
      <w:r>
        <w:rPr>
          <w:spacing w:val="-7"/>
          <w:sz w:val="18"/>
        </w:rPr>
        <w:t> </w:t>
      </w:r>
      <w:r>
        <w:rPr>
          <w:sz w:val="18"/>
        </w:rPr>
        <w:t>of</w:t>
      </w:r>
      <w:r>
        <w:rPr>
          <w:spacing w:val="-7"/>
          <w:sz w:val="18"/>
        </w:rPr>
        <w:t> </w:t>
      </w:r>
      <w:r>
        <w:rPr>
          <w:sz w:val="18"/>
        </w:rPr>
        <w:t>the</w:t>
      </w:r>
      <w:r>
        <w:rPr>
          <w:spacing w:val="-6"/>
          <w:sz w:val="18"/>
        </w:rPr>
        <w:t> </w:t>
      </w:r>
      <w:r>
        <w:rPr>
          <w:sz w:val="18"/>
        </w:rPr>
        <w:t>Principle</w:t>
      </w:r>
      <w:r>
        <w:rPr>
          <w:spacing w:val="-6"/>
          <w:sz w:val="18"/>
        </w:rPr>
        <w:t> </w:t>
      </w:r>
      <w:r>
        <w:rPr>
          <w:sz w:val="18"/>
        </w:rPr>
        <w:t>of</w:t>
      </w:r>
      <w:r>
        <w:rPr>
          <w:spacing w:val="-7"/>
          <w:sz w:val="18"/>
        </w:rPr>
        <w:t> </w:t>
      </w:r>
      <w:r>
        <w:rPr>
          <w:sz w:val="18"/>
        </w:rPr>
        <w:t>Equal</w:t>
      </w:r>
      <w:r>
        <w:rPr>
          <w:spacing w:val="-6"/>
          <w:sz w:val="18"/>
        </w:rPr>
        <w:t> </w:t>
      </w:r>
      <w:r>
        <w:rPr>
          <w:sz w:val="18"/>
        </w:rPr>
        <w:t>Treatment</w:t>
      </w:r>
      <w:r>
        <w:rPr>
          <w:spacing w:val="-6"/>
          <w:sz w:val="18"/>
        </w:rPr>
        <w:t> </w:t>
      </w:r>
      <w:r>
        <w:rPr>
          <w:sz w:val="18"/>
        </w:rPr>
        <w:t>for</w:t>
      </w:r>
      <w:r>
        <w:rPr>
          <w:spacing w:val="-6"/>
          <w:sz w:val="18"/>
        </w:rPr>
        <w:t> </w:t>
      </w:r>
      <w:r>
        <w:rPr>
          <w:spacing w:val="-5"/>
          <w:sz w:val="18"/>
        </w:rPr>
        <w:t>Men</w:t>
      </w:r>
    </w:p>
    <w:p>
      <w:pPr>
        <w:spacing w:after="0" w:line="218" w:lineRule="exact"/>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pPr>
      <w:r>
        <w:rPr/>
        <w:t>including transgender people. The obligation also requires compliance with current</w:t>
      </w:r>
      <w:r>
        <w:rPr>
          <w:spacing w:val="-6"/>
        </w:rPr>
        <w:t> </w:t>
      </w:r>
      <w:r>
        <w:rPr/>
        <w:t>and</w:t>
      </w:r>
      <w:r>
        <w:rPr>
          <w:spacing w:val="-7"/>
        </w:rPr>
        <w:t> </w:t>
      </w:r>
      <w:r>
        <w:rPr/>
        <w:t>future</w:t>
      </w:r>
      <w:r>
        <w:rPr>
          <w:spacing w:val="-6"/>
        </w:rPr>
        <w:t> </w:t>
      </w:r>
      <w:r>
        <w:rPr/>
        <w:t>CJEU</w:t>
      </w:r>
      <w:r>
        <w:rPr>
          <w:spacing w:val="-6"/>
        </w:rPr>
        <w:t> </w:t>
      </w:r>
      <w:r>
        <w:rPr/>
        <w:t>case-law.</w:t>
      </w:r>
      <w:r>
        <w:rPr>
          <w:spacing w:val="40"/>
        </w:rPr>
        <w:t> </w:t>
      </w:r>
      <w:r>
        <w:rPr/>
        <w:t>The</w:t>
      </w:r>
      <w:r>
        <w:rPr>
          <w:spacing w:val="-6"/>
        </w:rPr>
        <w:t> </w:t>
      </w:r>
      <w:r>
        <w:rPr/>
        <w:t>CJEU</w:t>
      </w:r>
      <w:r>
        <w:rPr>
          <w:spacing w:val="-6"/>
        </w:rPr>
        <w:t> </w:t>
      </w:r>
      <w:r>
        <w:rPr/>
        <w:t>has</w:t>
      </w:r>
      <w:r>
        <w:rPr>
          <w:spacing w:val="-7"/>
        </w:rPr>
        <w:t> </w:t>
      </w:r>
      <w:r>
        <w:rPr/>
        <w:t>made</w:t>
      </w:r>
      <w:r>
        <w:rPr>
          <w:spacing w:val="-6"/>
        </w:rPr>
        <w:t> </w:t>
      </w:r>
      <w:r>
        <w:rPr/>
        <w:t>it</w:t>
      </w:r>
      <w:r>
        <w:rPr>
          <w:spacing w:val="-6"/>
        </w:rPr>
        <w:t> </w:t>
      </w:r>
      <w:r>
        <w:rPr/>
        <w:t>clear</w:t>
      </w:r>
      <w:r>
        <w:rPr>
          <w:spacing w:val="-6"/>
        </w:rPr>
        <w:t> </w:t>
      </w:r>
      <w:r>
        <w:rPr/>
        <w:t>that</w:t>
      </w:r>
      <w:r>
        <w:rPr>
          <w:spacing w:val="-6"/>
        </w:rPr>
        <w:t> </w:t>
      </w:r>
      <w:r>
        <w:rPr/>
        <w:t>“to</w:t>
      </w:r>
      <w:r>
        <w:rPr>
          <w:spacing w:val="-7"/>
        </w:rPr>
        <w:t> </w:t>
      </w:r>
      <w:r>
        <w:rPr/>
        <w:t>tolerate such discrimination would be tantamount, as regards such a person, to a failure to respect the dignity and freedom to which he or she is entitled, and which the Court has a duty to safeguard”.</w:t>
      </w:r>
      <w:r>
        <w:rPr>
          <w:vertAlign w:val="superscript"/>
        </w:rPr>
        <w:t>331</w:t>
      </w:r>
      <w:r>
        <w:rPr>
          <w:vertAlign w:val="baseline"/>
        </w:rPr>
        <w:t> Pursuant to Article 13 of the Windsor Framework, NI equality law must keep pace with any enhancements made by the EU to the six Annex 1 directives, on or after 1 January 2021, including monitoring current and future CJEU case law.</w:t>
      </w:r>
    </w:p>
    <w:p>
      <w:pPr>
        <w:pStyle w:val="ListParagraph"/>
        <w:numPr>
          <w:ilvl w:val="1"/>
          <w:numId w:val="7"/>
        </w:numPr>
        <w:tabs>
          <w:tab w:pos="1853" w:val="left" w:leader="none"/>
        </w:tabs>
        <w:spacing w:line="225" w:lineRule="auto" w:before="310" w:after="0"/>
        <w:ind w:left="1853" w:right="1177" w:hanging="720"/>
        <w:jc w:val="left"/>
        <w:rPr>
          <w:sz w:val="28"/>
        </w:rPr>
      </w:pPr>
      <w:r>
        <w:rPr>
          <w:sz w:val="28"/>
        </w:rPr>
        <w:t>In</w:t>
      </w:r>
      <w:r>
        <w:rPr>
          <w:spacing w:val="-3"/>
          <w:sz w:val="28"/>
        </w:rPr>
        <w:t> </w:t>
      </w:r>
      <w:r>
        <w:rPr>
          <w:sz w:val="28"/>
        </w:rPr>
        <w:t>March</w:t>
      </w:r>
      <w:r>
        <w:rPr>
          <w:spacing w:val="-3"/>
          <w:sz w:val="28"/>
        </w:rPr>
        <w:t> </w:t>
      </w:r>
      <w:r>
        <w:rPr>
          <w:sz w:val="28"/>
        </w:rPr>
        <w:t>2023,</w:t>
      </w:r>
      <w:r>
        <w:rPr>
          <w:spacing w:val="-2"/>
          <w:sz w:val="28"/>
        </w:rPr>
        <w:t> </w:t>
      </w:r>
      <w:r>
        <w:rPr>
          <w:sz w:val="28"/>
        </w:rPr>
        <w:t>the</w:t>
      </w:r>
      <w:r>
        <w:rPr>
          <w:spacing w:val="-2"/>
          <w:sz w:val="28"/>
        </w:rPr>
        <w:t> </w:t>
      </w:r>
      <w:r>
        <w:rPr>
          <w:sz w:val="28"/>
        </w:rPr>
        <w:t>NIHRC</w:t>
      </w:r>
      <w:r>
        <w:rPr>
          <w:spacing w:val="-3"/>
          <w:sz w:val="28"/>
        </w:rPr>
        <w:t> </w:t>
      </w:r>
      <w:r>
        <w:rPr>
          <w:sz w:val="28"/>
        </w:rPr>
        <w:t>provided</w:t>
      </w:r>
      <w:r>
        <w:rPr>
          <w:spacing w:val="-3"/>
          <w:sz w:val="28"/>
        </w:rPr>
        <w:t> </w:t>
      </w:r>
      <w:r>
        <w:rPr>
          <w:sz w:val="28"/>
        </w:rPr>
        <w:t>a</w:t>
      </w:r>
      <w:r>
        <w:rPr>
          <w:spacing w:val="-3"/>
          <w:sz w:val="28"/>
        </w:rPr>
        <w:t> </w:t>
      </w:r>
      <w:r>
        <w:rPr>
          <w:sz w:val="28"/>
        </w:rPr>
        <w:t>written</w:t>
      </w:r>
      <w:r>
        <w:rPr>
          <w:spacing w:val="-3"/>
          <w:sz w:val="28"/>
        </w:rPr>
        <w:t> </w:t>
      </w:r>
      <w:r>
        <w:rPr>
          <w:sz w:val="28"/>
        </w:rPr>
        <w:t>briefing</w:t>
      </w:r>
      <w:r>
        <w:rPr>
          <w:spacing w:val="-2"/>
          <w:sz w:val="28"/>
        </w:rPr>
        <w:t> </w:t>
      </w:r>
      <w:r>
        <w:rPr>
          <w:sz w:val="28"/>
        </w:rPr>
        <w:t>to</w:t>
      </w:r>
      <w:r>
        <w:rPr>
          <w:spacing w:val="-3"/>
          <w:sz w:val="28"/>
        </w:rPr>
        <w:t> </w:t>
      </w:r>
      <w:r>
        <w:rPr>
          <w:sz w:val="28"/>
        </w:rPr>
        <w:t>inform</w:t>
      </w:r>
      <w:r>
        <w:rPr>
          <w:spacing w:val="-2"/>
          <w:sz w:val="28"/>
        </w:rPr>
        <w:t> </w:t>
      </w:r>
      <w:r>
        <w:rPr>
          <w:sz w:val="28"/>
        </w:rPr>
        <w:t>a</w:t>
      </w:r>
      <w:r>
        <w:rPr>
          <w:spacing w:val="-3"/>
          <w:sz w:val="28"/>
        </w:rPr>
        <w:t> </w:t>
      </w:r>
      <w:r>
        <w:rPr>
          <w:sz w:val="28"/>
        </w:rPr>
        <w:t>country</w:t>
      </w:r>
      <w:r>
        <w:rPr>
          <w:spacing w:val="-2"/>
          <w:sz w:val="28"/>
        </w:rPr>
        <w:t> </w:t>
      </w:r>
      <w:r>
        <w:rPr>
          <w:sz w:val="28"/>
        </w:rPr>
        <w:t>visit to the UK in April 2023 by the UN Independent Expert on Sexual Orientation and</w:t>
      </w:r>
      <w:r>
        <w:rPr>
          <w:spacing w:val="-7"/>
          <w:sz w:val="28"/>
        </w:rPr>
        <w:t> </w:t>
      </w:r>
      <w:r>
        <w:rPr>
          <w:sz w:val="28"/>
        </w:rPr>
        <w:t>Gender</w:t>
      </w:r>
      <w:r>
        <w:rPr>
          <w:spacing w:val="-6"/>
          <w:sz w:val="28"/>
        </w:rPr>
        <w:t> </w:t>
      </w:r>
      <w:r>
        <w:rPr>
          <w:sz w:val="28"/>
        </w:rPr>
        <w:t>Identity.</w:t>
      </w:r>
      <w:r>
        <w:rPr>
          <w:spacing w:val="-7"/>
          <w:sz w:val="28"/>
        </w:rPr>
        <w:t> </w:t>
      </w:r>
      <w:r>
        <w:rPr>
          <w:sz w:val="28"/>
        </w:rPr>
        <w:t>The</w:t>
      </w:r>
      <w:r>
        <w:rPr>
          <w:spacing w:val="-6"/>
          <w:sz w:val="28"/>
        </w:rPr>
        <w:t> </w:t>
      </w:r>
      <w:r>
        <w:rPr>
          <w:sz w:val="28"/>
        </w:rPr>
        <w:t>briefing</w:t>
      </w:r>
      <w:r>
        <w:rPr>
          <w:spacing w:val="-6"/>
          <w:sz w:val="28"/>
        </w:rPr>
        <w:t> </w:t>
      </w:r>
      <w:r>
        <w:rPr>
          <w:sz w:val="28"/>
        </w:rPr>
        <w:t>outlined</w:t>
      </w:r>
      <w:r>
        <w:rPr>
          <w:spacing w:val="-7"/>
          <w:sz w:val="28"/>
        </w:rPr>
        <w:t> </w:t>
      </w:r>
      <w:r>
        <w:rPr>
          <w:sz w:val="28"/>
        </w:rPr>
        <w:t>the</w:t>
      </w:r>
      <w:r>
        <w:rPr>
          <w:spacing w:val="-6"/>
          <w:sz w:val="28"/>
        </w:rPr>
        <w:t> </w:t>
      </w:r>
      <w:r>
        <w:rPr>
          <w:sz w:val="28"/>
        </w:rPr>
        <w:t>ongoing</w:t>
      </w:r>
      <w:r>
        <w:rPr>
          <w:spacing w:val="-6"/>
          <w:sz w:val="28"/>
        </w:rPr>
        <w:t> </w:t>
      </w:r>
      <w:r>
        <w:rPr>
          <w:sz w:val="28"/>
        </w:rPr>
        <w:t>relevance</w:t>
      </w:r>
      <w:r>
        <w:rPr>
          <w:spacing w:val="-6"/>
          <w:sz w:val="28"/>
        </w:rPr>
        <w:t> </w:t>
      </w:r>
      <w:r>
        <w:rPr>
          <w:sz w:val="28"/>
        </w:rPr>
        <w:t>of</w:t>
      </w:r>
      <w:r>
        <w:rPr>
          <w:spacing w:val="-7"/>
          <w:sz w:val="28"/>
        </w:rPr>
        <w:t> </w:t>
      </w:r>
      <w:r>
        <w:rPr>
          <w:sz w:val="28"/>
        </w:rPr>
        <w:t>the</w:t>
      </w:r>
      <w:r>
        <w:rPr>
          <w:spacing w:val="-6"/>
          <w:sz w:val="28"/>
        </w:rPr>
        <w:t> </w:t>
      </w:r>
      <w:r>
        <w:rPr>
          <w:sz w:val="28"/>
        </w:rPr>
        <w:t>Annex 1 gender equality directives in respect of trans rights and the requirement that</w:t>
      </w:r>
      <w:r>
        <w:rPr>
          <w:spacing w:val="-5"/>
          <w:sz w:val="28"/>
        </w:rPr>
        <w:t> </w:t>
      </w:r>
      <w:r>
        <w:rPr>
          <w:sz w:val="28"/>
        </w:rPr>
        <w:t>NI</w:t>
      </w:r>
      <w:r>
        <w:rPr>
          <w:spacing w:val="-5"/>
          <w:sz w:val="28"/>
        </w:rPr>
        <w:t> </w:t>
      </w:r>
      <w:r>
        <w:rPr>
          <w:sz w:val="28"/>
        </w:rPr>
        <w:t>law</w:t>
      </w:r>
      <w:r>
        <w:rPr>
          <w:spacing w:val="-5"/>
          <w:sz w:val="28"/>
        </w:rPr>
        <w:t> </w:t>
      </w:r>
      <w:r>
        <w:rPr>
          <w:sz w:val="28"/>
        </w:rPr>
        <w:t>keep</w:t>
      </w:r>
      <w:r>
        <w:rPr>
          <w:spacing w:val="-6"/>
          <w:sz w:val="28"/>
        </w:rPr>
        <w:t> </w:t>
      </w:r>
      <w:r>
        <w:rPr>
          <w:sz w:val="28"/>
        </w:rPr>
        <w:t>pace</w:t>
      </w:r>
      <w:r>
        <w:rPr>
          <w:spacing w:val="-5"/>
          <w:sz w:val="28"/>
        </w:rPr>
        <w:t> </w:t>
      </w:r>
      <w:r>
        <w:rPr>
          <w:sz w:val="28"/>
        </w:rPr>
        <w:t>with</w:t>
      </w:r>
      <w:r>
        <w:rPr>
          <w:spacing w:val="-6"/>
          <w:sz w:val="28"/>
        </w:rPr>
        <w:t> </w:t>
      </w:r>
      <w:r>
        <w:rPr>
          <w:sz w:val="28"/>
        </w:rPr>
        <w:t>any</w:t>
      </w:r>
      <w:r>
        <w:rPr>
          <w:spacing w:val="-5"/>
          <w:sz w:val="28"/>
        </w:rPr>
        <w:t> </w:t>
      </w:r>
      <w:r>
        <w:rPr>
          <w:sz w:val="28"/>
        </w:rPr>
        <w:t>changes</w:t>
      </w:r>
      <w:r>
        <w:rPr>
          <w:spacing w:val="-6"/>
          <w:sz w:val="28"/>
        </w:rPr>
        <w:t> </w:t>
      </w:r>
      <w:r>
        <w:rPr>
          <w:sz w:val="28"/>
        </w:rPr>
        <w:t>to</w:t>
      </w:r>
      <w:r>
        <w:rPr>
          <w:spacing w:val="-6"/>
          <w:sz w:val="28"/>
        </w:rPr>
        <w:t> </w:t>
      </w:r>
      <w:r>
        <w:rPr>
          <w:sz w:val="28"/>
        </w:rPr>
        <w:t>EU</w:t>
      </w:r>
      <w:r>
        <w:rPr>
          <w:spacing w:val="-5"/>
          <w:sz w:val="28"/>
        </w:rPr>
        <w:t> </w:t>
      </w:r>
      <w:r>
        <w:rPr>
          <w:sz w:val="28"/>
        </w:rPr>
        <w:t>law</w:t>
      </w:r>
      <w:r>
        <w:rPr>
          <w:spacing w:val="-5"/>
          <w:sz w:val="28"/>
        </w:rPr>
        <w:t> </w:t>
      </w:r>
      <w:r>
        <w:rPr>
          <w:sz w:val="28"/>
        </w:rPr>
        <w:t>which</w:t>
      </w:r>
      <w:r>
        <w:rPr>
          <w:spacing w:val="-6"/>
          <w:sz w:val="28"/>
        </w:rPr>
        <w:t> </w:t>
      </w:r>
      <w:r>
        <w:rPr>
          <w:sz w:val="28"/>
        </w:rPr>
        <w:t>improve</w:t>
      </w:r>
      <w:r>
        <w:rPr>
          <w:spacing w:val="-5"/>
          <w:sz w:val="28"/>
        </w:rPr>
        <w:t> </w:t>
      </w:r>
      <w:r>
        <w:rPr>
          <w:sz w:val="28"/>
        </w:rPr>
        <w:t>on</w:t>
      </w:r>
      <w:r>
        <w:rPr>
          <w:spacing w:val="-6"/>
          <w:sz w:val="28"/>
        </w:rPr>
        <w:t> </w:t>
      </w:r>
      <w:r>
        <w:rPr>
          <w:sz w:val="28"/>
        </w:rPr>
        <w:t>minimum levels of protection.</w:t>
      </w:r>
      <w:r>
        <w:rPr>
          <w:spacing w:val="40"/>
          <w:sz w:val="28"/>
        </w:rPr>
        <w:t> </w:t>
      </w:r>
      <w:r>
        <w:rPr>
          <w:sz w:val="28"/>
        </w:rPr>
        <w:t>In his end-of-mission statement, Mr Madrigal-Borloz noted that “the absence of an Executive has resulted in the failure to deliver on</w:t>
      </w:r>
      <w:r>
        <w:rPr>
          <w:spacing w:val="-4"/>
          <w:sz w:val="28"/>
        </w:rPr>
        <w:t> </w:t>
      </w:r>
      <w:r>
        <w:rPr>
          <w:sz w:val="28"/>
        </w:rPr>
        <w:t>the</w:t>
      </w:r>
      <w:r>
        <w:rPr>
          <w:spacing w:val="-3"/>
          <w:sz w:val="28"/>
        </w:rPr>
        <w:t> </w:t>
      </w:r>
      <w:r>
        <w:rPr>
          <w:sz w:val="28"/>
        </w:rPr>
        <w:t>ambitious</w:t>
      </w:r>
      <w:r>
        <w:rPr>
          <w:spacing w:val="-4"/>
          <w:sz w:val="28"/>
        </w:rPr>
        <w:t> </w:t>
      </w:r>
      <w:r>
        <w:rPr>
          <w:sz w:val="28"/>
        </w:rPr>
        <w:t>LGBT</w:t>
      </w:r>
      <w:r>
        <w:rPr>
          <w:spacing w:val="-4"/>
          <w:sz w:val="28"/>
        </w:rPr>
        <w:t> </w:t>
      </w:r>
      <w:r>
        <w:rPr>
          <w:sz w:val="28"/>
        </w:rPr>
        <w:t>human</w:t>
      </w:r>
      <w:r>
        <w:rPr>
          <w:spacing w:val="-4"/>
          <w:sz w:val="28"/>
        </w:rPr>
        <w:t> </w:t>
      </w:r>
      <w:r>
        <w:rPr>
          <w:sz w:val="28"/>
        </w:rPr>
        <w:t>rights</w:t>
      </w:r>
      <w:r>
        <w:rPr>
          <w:spacing w:val="-4"/>
          <w:sz w:val="28"/>
        </w:rPr>
        <w:t> </w:t>
      </w:r>
      <w:r>
        <w:rPr>
          <w:sz w:val="28"/>
        </w:rPr>
        <w:t>strategy”.</w:t>
      </w:r>
      <w:r>
        <w:rPr>
          <w:sz w:val="28"/>
          <w:vertAlign w:val="superscript"/>
        </w:rPr>
        <w:t>332</w:t>
      </w:r>
      <w:r>
        <w:rPr>
          <w:spacing w:val="-4"/>
          <w:sz w:val="28"/>
          <w:vertAlign w:val="baseline"/>
        </w:rPr>
        <w:t> </w:t>
      </w:r>
      <w:r>
        <w:rPr>
          <w:sz w:val="28"/>
          <w:vertAlign w:val="baseline"/>
        </w:rPr>
        <w:t>The</w:t>
      </w:r>
      <w:r>
        <w:rPr>
          <w:spacing w:val="-3"/>
          <w:sz w:val="28"/>
          <w:vertAlign w:val="baseline"/>
        </w:rPr>
        <w:t> </w:t>
      </w:r>
      <w:r>
        <w:rPr>
          <w:sz w:val="28"/>
          <w:vertAlign w:val="baseline"/>
        </w:rPr>
        <w:t>independent</w:t>
      </w:r>
      <w:r>
        <w:rPr>
          <w:spacing w:val="-3"/>
          <w:sz w:val="28"/>
          <w:vertAlign w:val="baseline"/>
        </w:rPr>
        <w:t> </w:t>
      </w:r>
      <w:r>
        <w:rPr>
          <w:sz w:val="28"/>
          <w:vertAlign w:val="baseline"/>
        </w:rPr>
        <w:t>expert</w:t>
      </w:r>
      <w:r>
        <w:rPr>
          <w:spacing w:val="-3"/>
          <w:sz w:val="28"/>
          <w:vertAlign w:val="baseline"/>
        </w:rPr>
        <w:t> </w:t>
      </w:r>
      <w:r>
        <w:rPr>
          <w:sz w:val="28"/>
          <w:vertAlign w:val="baseline"/>
        </w:rPr>
        <w:t>will present a full report on his visit to the Human Rights Council by June 2024.</w:t>
      </w:r>
      <w:r>
        <w:rPr>
          <w:sz w:val="28"/>
          <w:vertAlign w:val="superscript"/>
        </w:rPr>
        <w:t>333</w:t>
      </w:r>
    </w:p>
    <w:p>
      <w:pPr>
        <w:pStyle w:val="ListParagraph"/>
        <w:numPr>
          <w:ilvl w:val="1"/>
          <w:numId w:val="7"/>
        </w:numPr>
        <w:tabs>
          <w:tab w:pos="1853" w:val="left" w:leader="none"/>
        </w:tabs>
        <w:spacing w:line="225" w:lineRule="auto" w:before="308" w:after="0"/>
        <w:ind w:left="1853" w:right="1151" w:hanging="720"/>
        <w:jc w:val="left"/>
        <w:rPr>
          <w:sz w:val="28"/>
        </w:rPr>
      </w:pPr>
      <w:r>
        <w:rPr>
          <w:sz w:val="28"/>
        </w:rPr>
        <w:t>As noted above, in December 2022, the EU Commission published proposals for two EU directives on standards for equality bodies.</w:t>
      </w:r>
      <w:r>
        <w:rPr>
          <w:sz w:val="28"/>
          <w:vertAlign w:val="superscript"/>
        </w:rPr>
        <w:t>334</w:t>
      </w:r>
      <w:r>
        <w:rPr>
          <w:sz w:val="28"/>
          <w:vertAlign w:val="baseline"/>
        </w:rPr>
        <w:t> The Commissions, consider</w:t>
      </w:r>
      <w:r>
        <w:rPr>
          <w:spacing w:val="-6"/>
          <w:sz w:val="28"/>
          <w:vertAlign w:val="baseline"/>
        </w:rPr>
        <w:t> </w:t>
      </w:r>
      <w:r>
        <w:rPr>
          <w:sz w:val="28"/>
          <w:vertAlign w:val="baseline"/>
        </w:rPr>
        <w:t>that</w:t>
      </w:r>
      <w:r>
        <w:rPr>
          <w:spacing w:val="-6"/>
          <w:sz w:val="28"/>
          <w:vertAlign w:val="baseline"/>
        </w:rPr>
        <w:t> </w:t>
      </w:r>
      <w:r>
        <w:rPr>
          <w:sz w:val="28"/>
          <w:vertAlign w:val="baseline"/>
        </w:rPr>
        <w:t>the</w:t>
      </w:r>
      <w:r>
        <w:rPr>
          <w:spacing w:val="-6"/>
          <w:sz w:val="28"/>
          <w:vertAlign w:val="baseline"/>
        </w:rPr>
        <w:t> </w:t>
      </w:r>
      <w:r>
        <w:rPr>
          <w:sz w:val="28"/>
          <w:vertAlign w:val="baseline"/>
        </w:rPr>
        <w:t>proposed</w:t>
      </w:r>
      <w:r>
        <w:rPr>
          <w:spacing w:val="-6"/>
          <w:sz w:val="28"/>
          <w:vertAlign w:val="baseline"/>
        </w:rPr>
        <w:t> </w:t>
      </w:r>
      <w:r>
        <w:rPr>
          <w:sz w:val="28"/>
          <w:vertAlign w:val="baseline"/>
        </w:rPr>
        <w:t>directives</w:t>
      </w:r>
      <w:r>
        <w:rPr>
          <w:spacing w:val="-6"/>
          <w:sz w:val="28"/>
          <w:vertAlign w:val="baseline"/>
        </w:rPr>
        <w:t> </w:t>
      </w:r>
      <w:r>
        <w:rPr>
          <w:sz w:val="28"/>
          <w:vertAlign w:val="baseline"/>
        </w:rPr>
        <w:t>amend</w:t>
      </w:r>
      <w:r>
        <w:rPr>
          <w:spacing w:val="-6"/>
          <w:sz w:val="28"/>
          <w:vertAlign w:val="baseline"/>
        </w:rPr>
        <w:t> </w:t>
      </w:r>
      <w:r>
        <w:rPr>
          <w:sz w:val="28"/>
          <w:vertAlign w:val="baseline"/>
        </w:rPr>
        <w:t>provisions</w:t>
      </w:r>
      <w:r>
        <w:rPr>
          <w:spacing w:val="-6"/>
          <w:sz w:val="28"/>
          <w:vertAlign w:val="baseline"/>
        </w:rPr>
        <w:t> </w:t>
      </w:r>
      <w:r>
        <w:rPr>
          <w:sz w:val="28"/>
          <w:vertAlign w:val="baseline"/>
        </w:rPr>
        <w:t>of</w:t>
      </w:r>
      <w:r>
        <w:rPr>
          <w:spacing w:val="-6"/>
          <w:sz w:val="28"/>
          <w:vertAlign w:val="baseline"/>
        </w:rPr>
        <w:t> </w:t>
      </w:r>
      <w:r>
        <w:rPr>
          <w:sz w:val="28"/>
          <w:vertAlign w:val="baseline"/>
        </w:rPr>
        <w:t>the</w:t>
      </w:r>
      <w:r>
        <w:rPr>
          <w:spacing w:val="-6"/>
          <w:sz w:val="28"/>
          <w:vertAlign w:val="baseline"/>
        </w:rPr>
        <w:t> </w:t>
      </w:r>
      <w:r>
        <w:rPr>
          <w:sz w:val="28"/>
          <w:vertAlign w:val="baseline"/>
        </w:rPr>
        <w:t>gender</w:t>
      </w:r>
      <w:r>
        <w:rPr>
          <w:spacing w:val="-6"/>
          <w:sz w:val="28"/>
          <w:vertAlign w:val="baseline"/>
        </w:rPr>
        <w:t> </w:t>
      </w:r>
      <w:r>
        <w:rPr>
          <w:sz w:val="28"/>
          <w:vertAlign w:val="baseline"/>
        </w:rPr>
        <w:t>equality directives specified in Annex 1 to the Windsor Framework.</w:t>
      </w:r>
      <w:r>
        <w:rPr>
          <w:sz w:val="28"/>
          <w:vertAlign w:val="superscript"/>
        </w:rPr>
        <w:t>335</w:t>
      </w:r>
    </w:p>
    <w:p>
      <w:pPr>
        <w:pStyle w:val="Heading6"/>
        <w:spacing w:before="299"/>
        <w:rPr>
          <w:i/>
        </w:rPr>
      </w:pPr>
      <w:r>
        <w:rPr>
          <w:i/>
          <w:color w:val="67287F"/>
          <w:spacing w:val="-2"/>
        </w:rPr>
        <w:t>LGBTQI+</w:t>
      </w:r>
      <w:r>
        <w:rPr>
          <w:i/>
          <w:color w:val="67287F"/>
          <w:spacing w:val="-13"/>
        </w:rPr>
        <w:t> </w:t>
      </w:r>
      <w:r>
        <w:rPr>
          <w:i/>
          <w:color w:val="67287F"/>
          <w:spacing w:val="-2"/>
        </w:rPr>
        <w:t>Strategy</w:t>
      </w:r>
    </w:p>
    <w:p>
      <w:pPr>
        <w:pStyle w:val="ListParagraph"/>
        <w:numPr>
          <w:ilvl w:val="1"/>
          <w:numId w:val="7"/>
        </w:numPr>
        <w:tabs>
          <w:tab w:pos="1853" w:val="left" w:leader="none"/>
        </w:tabs>
        <w:spacing w:line="225" w:lineRule="auto" w:before="5" w:after="0"/>
        <w:ind w:left="1853" w:right="1551" w:hanging="720"/>
        <w:jc w:val="left"/>
        <w:rPr>
          <w:sz w:val="28"/>
        </w:rPr>
      </w:pPr>
      <w:r>
        <w:rPr>
          <w:sz w:val="28"/>
        </w:rPr>
        <w:t>As</w:t>
      </w:r>
      <w:r>
        <w:rPr>
          <w:spacing w:val="-7"/>
          <w:sz w:val="28"/>
        </w:rPr>
        <w:t> </w:t>
      </w:r>
      <w:r>
        <w:rPr>
          <w:sz w:val="28"/>
        </w:rPr>
        <w:t>noted</w:t>
      </w:r>
      <w:r>
        <w:rPr>
          <w:spacing w:val="-7"/>
          <w:sz w:val="28"/>
        </w:rPr>
        <w:t> </w:t>
      </w:r>
      <w:r>
        <w:rPr>
          <w:sz w:val="28"/>
        </w:rPr>
        <w:t>above,</w:t>
      </w:r>
      <w:r>
        <w:rPr>
          <w:spacing w:val="-6"/>
          <w:sz w:val="28"/>
        </w:rPr>
        <w:t> </w:t>
      </w:r>
      <w:r>
        <w:rPr>
          <w:sz w:val="28"/>
        </w:rPr>
        <w:t>the</w:t>
      </w:r>
      <w:r>
        <w:rPr>
          <w:spacing w:val="-6"/>
          <w:sz w:val="28"/>
        </w:rPr>
        <w:t> </w:t>
      </w:r>
      <w:r>
        <w:rPr>
          <w:sz w:val="28"/>
        </w:rPr>
        <w:t>Department</w:t>
      </w:r>
      <w:r>
        <w:rPr>
          <w:spacing w:val="-6"/>
          <w:sz w:val="28"/>
        </w:rPr>
        <w:t> </w:t>
      </w:r>
      <w:r>
        <w:rPr>
          <w:sz w:val="28"/>
        </w:rPr>
        <w:t>for</w:t>
      </w:r>
      <w:r>
        <w:rPr>
          <w:spacing w:val="-6"/>
          <w:sz w:val="28"/>
        </w:rPr>
        <w:t> </w:t>
      </w:r>
      <w:r>
        <w:rPr>
          <w:sz w:val="28"/>
        </w:rPr>
        <w:t>Communities</w:t>
      </w:r>
      <w:r>
        <w:rPr>
          <w:spacing w:val="-7"/>
          <w:sz w:val="28"/>
        </w:rPr>
        <w:t> </w:t>
      </w:r>
      <w:r>
        <w:rPr>
          <w:sz w:val="28"/>
        </w:rPr>
        <w:t>has</w:t>
      </w:r>
      <w:r>
        <w:rPr>
          <w:spacing w:val="-7"/>
          <w:sz w:val="28"/>
        </w:rPr>
        <w:t> </w:t>
      </w:r>
      <w:r>
        <w:rPr>
          <w:sz w:val="28"/>
        </w:rPr>
        <w:t>adopted</w:t>
      </w:r>
      <w:r>
        <w:rPr>
          <w:spacing w:val="-7"/>
          <w:sz w:val="28"/>
        </w:rPr>
        <w:t> </w:t>
      </w:r>
      <w:r>
        <w:rPr>
          <w:sz w:val="28"/>
        </w:rPr>
        <w:t>a</w:t>
      </w:r>
      <w:r>
        <w:rPr>
          <w:spacing w:val="-7"/>
          <w:sz w:val="28"/>
        </w:rPr>
        <w:t> </w:t>
      </w:r>
      <w:r>
        <w:rPr>
          <w:sz w:val="28"/>
        </w:rPr>
        <w:t>co-design approach to developing the Lesbian, Gay, Bisexual, Transgender, Queer</w:t>
      </w:r>
    </w:p>
    <w:p>
      <w:pPr>
        <w:pStyle w:val="BodyText"/>
        <w:spacing w:before="11"/>
        <w:rPr>
          <w:sz w:val="15"/>
        </w:rPr>
      </w:pPr>
      <w:r>
        <w:rPr/>
        <mc:AlternateContent>
          <mc:Choice Requires="wps">
            <w:drawing>
              <wp:anchor distT="0" distB="0" distL="0" distR="0" allowOverlap="1" layoutInCell="1" locked="0" behindDoc="1" simplePos="0" relativeHeight="487663104">
                <wp:simplePos x="0" y="0"/>
                <wp:positionH relativeFrom="page">
                  <wp:posOffset>719996</wp:posOffset>
                </wp:positionH>
                <wp:positionV relativeFrom="paragraph">
                  <wp:posOffset>138860</wp:posOffset>
                </wp:positionV>
                <wp:extent cx="6120130" cy="1270"/>
                <wp:effectExtent l="0" t="0" r="0" b="0"/>
                <wp:wrapTopAndBottom/>
                <wp:docPr id="320" name="Graphic 320"/>
                <wp:cNvGraphicFramePr>
                  <a:graphicFrameLocks/>
                </wp:cNvGraphicFramePr>
                <a:graphic>
                  <a:graphicData uri="http://schemas.microsoft.com/office/word/2010/wordprocessingShape">
                    <wps:wsp>
                      <wps:cNvPr id="320" name="Graphic 32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0.933912pt;width:481.9pt;height:.1pt;mso-position-horizontal-relative:page;mso-position-vertical-relative:paragraph;z-index:-15653376;mso-wrap-distance-left:0;mso-wrap-distance-right:0" id="docshape272" coordorigin="1134,219" coordsize="9638,0" path="m10772,219l1134,219e" filled="false" stroked="true" strokeweight="1pt" strokecolor="#393b80">
                <v:path arrowok="t"/>
                <v:stroke dashstyle="solid"/>
                <w10:wrap type="topAndBottom"/>
              </v:shape>
            </w:pict>
          </mc:Fallback>
        </mc:AlternateContent>
      </w:r>
    </w:p>
    <w:p>
      <w:pPr>
        <w:spacing w:line="218" w:lineRule="exact" w:before="136"/>
        <w:ind w:left="1853" w:right="0" w:firstLine="0"/>
        <w:jc w:val="both"/>
        <w:rPr>
          <w:sz w:val="18"/>
        </w:rPr>
      </w:pPr>
      <w:r>
        <w:rPr>
          <w:sz w:val="18"/>
        </w:rPr>
        <w:t>and</w:t>
      </w:r>
      <w:r>
        <w:rPr>
          <w:spacing w:val="-7"/>
          <w:sz w:val="18"/>
        </w:rPr>
        <w:t> </w:t>
      </w:r>
      <w:r>
        <w:rPr>
          <w:sz w:val="18"/>
        </w:rPr>
        <w:t>Women</w:t>
      </w:r>
      <w:r>
        <w:rPr>
          <w:spacing w:val="-6"/>
          <w:sz w:val="18"/>
        </w:rPr>
        <w:t> </w:t>
      </w:r>
      <w:r>
        <w:rPr>
          <w:sz w:val="18"/>
        </w:rPr>
        <w:t>in</w:t>
      </w:r>
      <w:r>
        <w:rPr>
          <w:spacing w:val="-6"/>
          <w:sz w:val="18"/>
        </w:rPr>
        <w:t> </w:t>
      </w:r>
      <w:r>
        <w:rPr>
          <w:sz w:val="18"/>
        </w:rPr>
        <w:t>Matters</w:t>
      </w:r>
      <w:r>
        <w:rPr>
          <w:spacing w:val="-7"/>
          <w:sz w:val="18"/>
        </w:rPr>
        <w:t> </w:t>
      </w:r>
      <w:r>
        <w:rPr>
          <w:sz w:val="18"/>
        </w:rPr>
        <w:t>of</w:t>
      </w:r>
      <w:r>
        <w:rPr>
          <w:spacing w:val="-6"/>
          <w:sz w:val="18"/>
        </w:rPr>
        <w:t> </w:t>
      </w:r>
      <w:r>
        <w:rPr>
          <w:sz w:val="18"/>
        </w:rPr>
        <w:t>Social</w:t>
      </w:r>
      <w:r>
        <w:rPr>
          <w:spacing w:val="-6"/>
          <w:sz w:val="18"/>
        </w:rPr>
        <w:t> </w:t>
      </w:r>
      <w:r>
        <w:rPr>
          <w:sz w:val="18"/>
        </w:rPr>
        <w:t>Security’,</w:t>
      </w:r>
      <w:r>
        <w:rPr>
          <w:spacing w:val="-6"/>
          <w:sz w:val="18"/>
        </w:rPr>
        <w:t> </w:t>
      </w:r>
      <w:r>
        <w:rPr>
          <w:sz w:val="18"/>
        </w:rPr>
        <w:t>19</w:t>
      </w:r>
      <w:r>
        <w:rPr>
          <w:spacing w:val="-5"/>
          <w:sz w:val="18"/>
        </w:rPr>
        <w:t> </w:t>
      </w:r>
      <w:r>
        <w:rPr>
          <w:sz w:val="18"/>
        </w:rPr>
        <w:t>December</w:t>
      </w:r>
      <w:r>
        <w:rPr>
          <w:spacing w:val="-6"/>
          <w:sz w:val="18"/>
        </w:rPr>
        <w:t> </w:t>
      </w:r>
      <w:r>
        <w:rPr>
          <w:spacing w:val="-2"/>
          <w:sz w:val="18"/>
        </w:rPr>
        <w:t>1978.</w:t>
      </w:r>
    </w:p>
    <w:p>
      <w:pPr>
        <w:pStyle w:val="ListParagraph"/>
        <w:numPr>
          <w:ilvl w:val="0"/>
          <w:numId w:val="9"/>
        </w:numPr>
        <w:tabs>
          <w:tab w:pos="1853" w:val="left" w:leader="none"/>
        </w:tabs>
        <w:spacing w:line="216" w:lineRule="exact" w:before="0" w:after="0"/>
        <w:ind w:left="1853" w:right="0" w:hanging="720"/>
        <w:jc w:val="both"/>
        <w:rPr>
          <w:sz w:val="18"/>
        </w:rPr>
      </w:pPr>
      <w:r>
        <w:rPr>
          <w:i/>
          <w:sz w:val="18"/>
        </w:rPr>
        <w:t>P</w:t>
      </w:r>
      <w:r>
        <w:rPr>
          <w:i/>
          <w:spacing w:val="-3"/>
          <w:sz w:val="18"/>
        </w:rPr>
        <w:t> </w:t>
      </w:r>
      <w:r>
        <w:rPr>
          <w:i/>
          <w:sz w:val="18"/>
        </w:rPr>
        <w:t>v</w:t>
      </w:r>
      <w:r>
        <w:rPr>
          <w:i/>
          <w:spacing w:val="-2"/>
          <w:sz w:val="18"/>
        </w:rPr>
        <w:t> </w:t>
      </w:r>
      <w:r>
        <w:rPr>
          <w:i/>
          <w:sz w:val="18"/>
        </w:rPr>
        <w:t>S</w:t>
      </w:r>
      <w:r>
        <w:rPr>
          <w:i/>
          <w:spacing w:val="-3"/>
          <w:sz w:val="18"/>
        </w:rPr>
        <w:t> </w:t>
      </w:r>
      <w:r>
        <w:rPr>
          <w:i/>
          <w:sz w:val="18"/>
        </w:rPr>
        <w:t>and</w:t>
      </w:r>
      <w:r>
        <w:rPr>
          <w:i/>
          <w:spacing w:val="-4"/>
          <w:sz w:val="18"/>
        </w:rPr>
        <w:t> </w:t>
      </w:r>
      <w:r>
        <w:rPr>
          <w:i/>
          <w:sz w:val="18"/>
        </w:rPr>
        <w:t>Cornwall</w:t>
      </w:r>
      <w:r>
        <w:rPr>
          <w:i/>
          <w:spacing w:val="-3"/>
          <w:sz w:val="18"/>
        </w:rPr>
        <w:t> </w:t>
      </w:r>
      <w:r>
        <w:rPr>
          <w:i/>
          <w:sz w:val="18"/>
        </w:rPr>
        <w:t>County</w:t>
      </w:r>
      <w:r>
        <w:rPr>
          <w:i/>
          <w:spacing w:val="-3"/>
          <w:sz w:val="18"/>
        </w:rPr>
        <w:t> </w:t>
      </w:r>
      <w:r>
        <w:rPr>
          <w:i/>
          <w:sz w:val="18"/>
        </w:rPr>
        <w:t>Council</w:t>
      </w:r>
      <w:r>
        <w:rPr>
          <w:sz w:val="18"/>
        </w:rPr>
        <w:t>,</w:t>
      </w:r>
      <w:r>
        <w:rPr>
          <w:spacing w:val="-2"/>
          <w:sz w:val="18"/>
        </w:rPr>
        <w:t> </w:t>
      </w:r>
      <w:r>
        <w:rPr>
          <w:sz w:val="18"/>
        </w:rPr>
        <w:t>Case</w:t>
      </w:r>
      <w:r>
        <w:rPr>
          <w:spacing w:val="-3"/>
          <w:sz w:val="18"/>
        </w:rPr>
        <w:t> </w:t>
      </w:r>
      <w:r>
        <w:rPr>
          <w:sz w:val="18"/>
        </w:rPr>
        <w:t>C-13/94,</w:t>
      </w:r>
      <w:r>
        <w:rPr>
          <w:spacing w:val="-2"/>
          <w:sz w:val="18"/>
        </w:rPr>
        <w:t> </w:t>
      </w:r>
      <w:r>
        <w:rPr>
          <w:sz w:val="18"/>
        </w:rPr>
        <w:t>30</w:t>
      </w:r>
      <w:r>
        <w:rPr>
          <w:spacing w:val="-2"/>
          <w:sz w:val="18"/>
        </w:rPr>
        <w:t> </w:t>
      </w:r>
      <w:r>
        <w:rPr>
          <w:sz w:val="18"/>
        </w:rPr>
        <w:t>April</w:t>
      </w:r>
      <w:r>
        <w:rPr>
          <w:spacing w:val="-4"/>
          <w:sz w:val="18"/>
        </w:rPr>
        <w:t> </w:t>
      </w:r>
      <w:r>
        <w:rPr>
          <w:sz w:val="18"/>
        </w:rPr>
        <w:t>1996,</w:t>
      </w:r>
      <w:r>
        <w:rPr>
          <w:spacing w:val="-2"/>
          <w:sz w:val="18"/>
        </w:rPr>
        <w:t> </w:t>
      </w:r>
      <w:r>
        <w:rPr>
          <w:sz w:val="18"/>
        </w:rPr>
        <w:t>at</w:t>
      </w:r>
      <w:r>
        <w:rPr>
          <w:spacing w:val="-2"/>
          <w:sz w:val="18"/>
        </w:rPr>
        <w:t> </w:t>
      </w:r>
      <w:r>
        <w:rPr>
          <w:sz w:val="18"/>
        </w:rPr>
        <w:t>para</w:t>
      </w:r>
      <w:r>
        <w:rPr>
          <w:spacing w:val="-3"/>
          <w:sz w:val="18"/>
        </w:rPr>
        <w:t> </w:t>
      </w:r>
      <w:r>
        <w:rPr>
          <w:spacing w:val="-5"/>
          <w:sz w:val="18"/>
        </w:rPr>
        <w:t>22.</w:t>
      </w:r>
    </w:p>
    <w:p>
      <w:pPr>
        <w:pStyle w:val="ListParagraph"/>
        <w:numPr>
          <w:ilvl w:val="0"/>
          <w:numId w:val="9"/>
        </w:numPr>
        <w:tabs>
          <w:tab w:pos="1853" w:val="left" w:leader="none"/>
        </w:tabs>
        <w:spacing w:line="235" w:lineRule="auto" w:before="2" w:after="0"/>
        <w:ind w:left="1853" w:right="1632" w:hanging="720"/>
        <w:jc w:val="both"/>
        <w:rPr>
          <w:sz w:val="18"/>
        </w:rPr>
      </w:pPr>
      <w:r>
        <w:rPr>
          <w:sz w:val="18"/>
        </w:rPr>
        <w:t>UN</w:t>
      </w:r>
      <w:r>
        <w:rPr>
          <w:spacing w:val="-4"/>
          <w:sz w:val="18"/>
        </w:rPr>
        <w:t> </w:t>
      </w:r>
      <w:r>
        <w:rPr>
          <w:sz w:val="18"/>
        </w:rPr>
        <w:t>Independent</w:t>
      </w:r>
      <w:r>
        <w:rPr>
          <w:spacing w:val="-4"/>
          <w:sz w:val="18"/>
        </w:rPr>
        <w:t> </w:t>
      </w:r>
      <w:r>
        <w:rPr>
          <w:sz w:val="18"/>
        </w:rPr>
        <w:t>Expert</w:t>
      </w:r>
      <w:r>
        <w:rPr>
          <w:spacing w:val="-4"/>
          <w:sz w:val="18"/>
        </w:rPr>
        <w:t> </w:t>
      </w:r>
      <w:r>
        <w:rPr>
          <w:sz w:val="18"/>
        </w:rPr>
        <w:t>on</w:t>
      </w:r>
      <w:r>
        <w:rPr>
          <w:spacing w:val="-5"/>
          <w:sz w:val="18"/>
        </w:rPr>
        <w:t> </w:t>
      </w:r>
      <w:r>
        <w:rPr>
          <w:sz w:val="18"/>
        </w:rPr>
        <w:t>Protection</w:t>
      </w:r>
      <w:r>
        <w:rPr>
          <w:spacing w:val="-5"/>
          <w:sz w:val="18"/>
        </w:rPr>
        <w:t> </w:t>
      </w:r>
      <w:r>
        <w:rPr>
          <w:sz w:val="18"/>
        </w:rPr>
        <w:t>Against</w:t>
      </w:r>
      <w:r>
        <w:rPr>
          <w:spacing w:val="-4"/>
          <w:sz w:val="18"/>
        </w:rPr>
        <w:t> </w:t>
      </w:r>
      <w:r>
        <w:rPr>
          <w:sz w:val="18"/>
        </w:rPr>
        <w:t>Violence</w:t>
      </w:r>
      <w:r>
        <w:rPr>
          <w:spacing w:val="-4"/>
          <w:sz w:val="18"/>
        </w:rPr>
        <w:t> </w:t>
      </w:r>
      <w:r>
        <w:rPr>
          <w:sz w:val="18"/>
        </w:rPr>
        <w:t>and</w:t>
      </w:r>
      <w:r>
        <w:rPr>
          <w:spacing w:val="-5"/>
          <w:sz w:val="18"/>
        </w:rPr>
        <w:t> </w:t>
      </w:r>
      <w:r>
        <w:rPr>
          <w:sz w:val="18"/>
        </w:rPr>
        <w:t>Discrimination</w:t>
      </w:r>
      <w:r>
        <w:rPr>
          <w:spacing w:val="-5"/>
          <w:sz w:val="18"/>
        </w:rPr>
        <w:t> </w:t>
      </w:r>
      <w:r>
        <w:rPr>
          <w:sz w:val="18"/>
        </w:rPr>
        <w:t>Based</w:t>
      </w:r>
      <w:r>
        <w:rPr>
          <w:spacing w:val="-5"/>
          <w:sz w:val="18"/>
        </w:rPr>
        <w:t> </w:t>
      </w:r>
      <w:r>
        <w:rPr>
          <w:sz w:val="18"/>
        </w:rPr>
        <w:t>on</w:t>
      </w:r>
      <w:r>
        <w:rPr>
          <w:spacing w:val="-5"/>
          <w:sz w:val="18"/>
        </w:rPr>
        <w:t> </w:t>
      </w:r>
      <w:r>
        <w:rPr>
          <w:sz w:val="18"/>
        </w:rPr>
        <w:t>Sexual</w:t>
      </w:r>
      <w:r>
        <w:rPr>
          <w:spacing w:val="-5"/>
          <w:sz w:val="18"/>
        </w:rPr>
        <w:t> </w:t>
      </w:r>
      <w:r>
        <w:rPr>
          <w:sz w:val="18"/>
        </w:rPr>
        <w:t>Orientation</w:t>
      </w:r>
      <w:r>
        <w:rPr>
          <w:spacing w:val="-5"/>
          <w:sz w:val="18"/>
        </w:rPr>
        <w:t> </w:t>
      </w:r>
      <w:r>
        <w:rPr>
          <w:sz w:val="18"/>
        </w:rPr>
        <w:t>and</w:t>
      </w:r>
      <w:r>
        <w:rPr>
          <w:spacing w:val="-5"/>
          <w:sz w:val="18"/>
        </w:rPr>
        <w:t> </w:t>
      </w:r>
      <w:r>
        <w:rPr>
          <w:sz w:val="18"/>
        </w:rPr>
        <w:t>Gender Identity,</w:t>
      </w:r>
      <w:r>
        <w:rPr>
          <w:spacing w:val="-2"/>
          <w:sz w:val="18"/>
        </w:rPr>
        <w:t> </w:t>
      </w:r>
      <w:r>
        <w:rPr>
          <w:sz w:val="18"/>
        </w:rPr>
        <w:t>‘Country</w:t>
      </w:r>
      <w:r>
        <w:rPr>
          <w:spacing w:val="-2"/>
          <w:sz w:val="18"/>
        </w:rPr>
        <w:t> </w:t>
      </w:r>
      <w:r>
        <w:rPr>
          <w:sz w:val="18"/>
        </w:rPr>
        <w:t>visit</w:t>
      </w:r>
      <w:r>
        <w:rPr>
          <w:spacing w:val="-2"/>
          <w:sz w:val="18"/>
        </w:rPr>
        <w:t> </w:t>
      </w:r>
      <w:r>
        <w:rPr>
          <w:sz w:val="18"/>
        </w:rPr>
        <w:t>to</w:t>
      </w:r>
      <w:r>
        <w:rPr>
          <w:spacing w:val="-3"/>
          <w:sz w:val="18"/>
        </w:rPr>
        <w:t> </w:t>
      </w:r>
      <w:r>
        <w:rPr>
          <w:sz w:val="18"/>
        </w:rPr>
        <w:t>the</w:t>
      </w:r>
      <w:r>
        <w:rPr>
          <w:spacing w:val="-2"/>
          <w:sz w:val="18"/>
        </w:rPr>
        <w:t> </w:t>
      </w:r>
      <w:r>
        <w:rPr>
          <w:sz w:val="18"/>
        </w:rPr>
        <w:t>United</w:t>
      </w:r>
      <w:r>
        <w:rPr>
          <w:spacing w:val="-3"/>
          <w:sz w:val="18"/>
        </w:rPr>
        <w:t> </w:t>
      </w:r>
      <w:r>
        <w:rPr>
          <w:sz w:val="18"/>
        </w:rPr>
        <w:t>Kingdom</w:t>
      </w:r>
      <w:r>
        <w:rPr>
          <w:spacing w:val="-2"/>
          <w:sz w:val="18"/>
        </w:rPr>
        <w:t> </w:t>
      </w:r>
      <w:r>
        <w:rPr>
          <w:sz w:val="18"/>
        </w:rPr>
        <w:t>of</w:t>
      </w:r>
      <w:r>
        <w:rPr>
          <w:spacing w:val="-3"/>
          <w:sz w:val="18"/>
        </w:rPr>
        <w:t> </w:t>
      </w:r>
      <w:r>
        <w:rPr>
          <w:sz w:val="18"/>
        </w:rPr>
        <w:t>Great</w:t>
      </w:r>
      <w:r>
        <w:rPr>
          <w:spacing w:val="-2"/>
          <w:sz w:val="18"/>
        </w:rPr>
        <w:t> </w:t>
      </w:r>
      <w:r>
        <w:rPr>
          <w:sz w:val="18"/>
        </w:rPr>
        <w:t>Britain</w:t>
      </w:r>
      <w:r>
        <w:rPr>
          <w:spacing w:val="-3"/>
          <w:sz w:val="18"/>
        </w:rPr>
        <w:t> </w:t>
      </w:r>
      <w:r>
        <w:rPr>
          <w:sz w:val="18"/>
        </w:rPr>
        <w:t>and</w:t>
      </w:r>
      <w:r>
        <w:rPr>
          <w:spacing w:val="-3"/>
          <w:sz w:val="18"/>
        </w:rPr>
        <w:t> </w:t>
      </w:r>
      <w:r>
        <w:rPr>
          <w:sz w:val="18"/>
        </w:rPr>
        <w:t>Northern</w:t>
      </w:r>
      <w:r>
        <w:rPr>
          <w:spacing w:val="-3"/>
          <w:sz w:val="18"/>
        </w:rPr>
        <w:t> </w:t>
      </w:r>
      <w:r>
        <w:rPr>
          <w:sz w:val="18"/>
        </w:rPr>
        <w:t>Ireland</w:t>
      </w:r>
      <w:r>
        <w:rPr>
          <w:spacing w:val="-3"/>
          <w:sz w:val="18"/>
        </w:rPr>
        <w:t> </w:t>
      </w:r>
      <w:r>
        <w:rPr>
          <w:sz w:val="18"/>
        </w:rPr>
        <w:t>(24</w:t>
      </w:r>
      <w:r>
        <w:rPr>
          <w:spacing w:val="-2"/>
          <w:sz w:val="18"/>
        </w:rPr>
        <w:t> </w:t>
      </w:r>
      <w:r>
        <w:rPr>
          <w:sz w:val="18"/>
        </w:rPr>
        <w:t>April</w:t>
      </w:r>
      <w:r>
        <w:rPr>
          <w:spacing w:val="-3"/>
          <w:sz w:val="18"/>
        </w:rPr>
        <w:t> </w:t>
      </w:r>
      <w:r>
        <w:rPr>
          <w:sz w:val="18"/>
        </w:rPr>
        <w:t>–</w:t>
      </w:r>
      <w:r>
        <w:rPr>
          <w:spacing w:val="-3"/>
          <w:sz w:val="18"/>
        </w:rPr>
        <w:t> </w:t>
      </w:r>
      <w:r>
        <w:rPr>
          <w:sz w:val="18"/>
        </w:rPr>
        <w:t>5</w:t>
      </w:r>
      <w:r>
        <w:rPr>
          <w:spacing w:val="-2"/>
          <w:sz w:val="18"/>
        </w:rPr>
        <w:t> </w:t>
      </w:r>
      <w:r>
        <w:rPr>
          <w:sz w:val="18"/>
        </w:rPr>
        <w:t>May</w:t>
      </w:r>
      <w:r>
        <w:rPr>
          <w:spacing w:val="-2"/>
          <w:sz w:val="18"/>
        </w:rPr>
        <w:t> </w:t>
      </w:r>
      <w:r>
        <w:rPr>
          <w:sz w:val="18"/>
        </w:rPr>
        <w:t>2023)</w:t>
      </w:r>
      <w:r>
        <w:rPr>
          <w:spacing w:val="-3"/>
          <w:sz w:val="18"/>
        </w:rPr>
        <w:t> </w:t>
      </w:r>
      <w:r>
        <w:rPr>
          <w:sz w:val="18"/>
        </w:rPr>
        <w:t>-</w:t>
      </w:r>
      <w:r>
        <w:rPr>
          <w:spacing w:val="-3"/>
          <w:sz w:val="18"/>
        </w:rPr>
        <w:t> </w:t>
      </w:r>
      <w:r>
        <w:rPr>
          <w:sz w:val="18"/>
        </w:rPr>
        <w:t>End</w:t>
      </w:r>
      <w:r>
        <w:rPr>
          <w:spacing w:val="-3"/>
          <w:sz w:val="18"/>
        </w:rPr>
        <w:t> </w:t>
      </w:r>
      <w:r>
        <w:rPr>
          <w:sz w:val="18"/>
        </w:rPr>
        <w:t>of mission statement’ (OHRHR, 2023), at para 36.</w:t>
      </w:r>
    </w:p>
    <w:p>
      <w:pPr>
        <w:pStyle w:val="ListParagraph"/>
        <w:numPr>
          <w:ilvl w:val="0"/>
          <w:numId w:val="9"/>
        </w:numPr>
        <w:tabs>
          <w:tab w:pos="1853" w:val="left" w:leader="none"/>
        </w:tabs>
        <w:spacing w:line="235" w:lineRule="auto" w:before="2" w:after="0"/>
        <w:ind w:left="1853" w:right="1344" w:hanging="720"/>
        <w:jc w:val="left"/>
        <w:rPr>
          <w:sz w:val="18"/>
        </w:rPr>
      </w:pPr>
      <w:r>
        <w:rPr>
          <w:sz w:val="18"/>
        </w:rPr>
        <w:t>Office</w:t>
      </w:r>
      <w:r>
        <w:rPr>
          <w:spacing w:val="-5"/>
          <w:sz w:val="18"/>
        </w:rPr>
        <w:t> </w:t>
      </w:r>
      <w:r>
        <w:rPr>
          <w:sz w:val="18"/>
        </w:rPr>
        <w:t>of</w:t>
      </w:r>
      <w:r>
        <w:rPr>
          <w:spacing w:val="-6"/>
          <w:sz w:val="18"/>
        </w:rPr>
        <w:t> </w:t>
      </w:r>
      <w:r>
        <w:rPr>
          <w:sz w:val="18"/>
        </w:rPr>
        <w:t>the</w:t>
      </w:r>
      <w:r>
        <w:rPr>
          <w:spacing w:val="-5"/>
          <w:sz w:val="18"/>
        </w:rPr>
        <w:t> </w:t>
      </w:r>
      <w:r>
        <w:rPr>
          <w:sz w:val="18"/>
        </w:rPr>
        <w:t>High</w:t>
      </w:r>
      <w:r>
        <w:rPr>
          <w:spacing w:val="-6"/>
          <w:sz w:val="18"/>
        </w:rPr>
        <w:t> </w:t>
      </w:r>
      <w:r>
        <w:rPr>
          <w:sz w:val="18"/>
        </w:rPr>
        <w:t>Commissioner</w:t>
      </w:r>
      <w:r>
        <w:rPr>
          <w:spacing w:val="-5"/>
          <w:sz w:val="18"/>
        </w:rPr>
        <w:t> </w:t>
      </w:r>
      <w:r>
        <w:rPr>
          <w:sz w:val="18"/>
        </w:rPr>
        <w:t>on</w:t>
      </w:r>
      <w:r>
        <w:rPr>
          <w:spacing w:val="-6"/>
          <w:sz w:val="18"/>
        </w:rPr>
        <w:t> </w:t>
      </w:r>
      <w:r>
        <w:rPr>
          <w:sz w:val="18"/>
        </w:rPr>
        <w:t>Human</w:t>
      </w:r>
      <w:r>
        <w:rPr>
          <w:spacing w:val="-6"/>
          <w:sz w:val="18"/>
        </w:rPr>
        <w:t> </w:t>
      </w:r>
      <w:r>
        <w:rPr>
          <w:sz w:val="18"/>
        </w:rPr>
        <w:t>Rights,</w:t>
      </w:r>
      <w:r>
        <w:rPr>
          <w:spacing w:val="-5"/>
          <w:sz w:val="18"/>
        </w:rPr>
        <w:t> </w:t>
      </w:r>
      <w:r>
        <w:rPr>
          <w:sz w:val="18"/>
        </w:rPr>
        <w:t>‘Press</w:t>
      </w:r>
      <w:r>
        <w:rPr>
          <w:spacing w:val="-6"/>
          <w:sz w:val="18"/>
        </w:rPr>
        <w:t> </w:t>
      </w:r>
      <w:r>
        <w:rPr>
          <w:sz w:val="18"/>
        </w:rPr>
        <w:t>Release:</w:t>
      </w:r>
      <w:r>
        <w:rPr>
          <w:spacing w:val="-5"/>
          <w:sz w:val="18"/>
        </w:rPr>
        <w:t> </w:t>
      </w:r>
      <w:r>
        <w:rPr>
          <w:sz w:val="18"/>
        </w:rPr>
        <w:t>UK:</w:t>
      </w:r>
      <w:r>
        <w:rPr>
          <w:spacing w:val="-5"/>
          <w:sz w:val="18"/>
        </w:rPr>
        <w:t> </w:t>
      </w:r>
      <w:r>
        <w:rPr>
          <w:sz w:val="18"/>
        </w:rPr>
        <w:t>Keep</w:t>
      </w:r>
      <w:r>
        <w:rPr>
          <w:spacing w:val="-6"/>
          <w:sz w:val="18"/>
        </w:rPr>
        <w:t> </w:t>
      </w:r>
      <w:r>
        <w:rPr>
          <w:sz w:val="18"/>
        </w:rPr>
        <w:t>calm</w:t>
      </w:r>
      <w:r>
        <w:rPr>
          <w:spacing w:val="-5"/>
          <w:sz w:val="18"/>
        </w:rPr>
        <w:t> </w:t>
      </w:r>
      <w:r>
        <w:rPr>
          <w:sz w:val="18"/>
        </w:rPr>
        <w:t>and</w:t>
      </w:r>
      <w:r>
        <w:rPr>
          <w:spacing w:val="-6"/>
          <w:sz w:val="18"/>
        </w:rPr>
        <w:t> </w:t>
      </w:r>
      <w:r>
        <w:rPr>
          <w:sz w:val="18"/>
        </w:rPr>
        <w:t>respect</w:t>
      </w:r>
      <w:r>
        <w:rPr>
          <w:spacing w:val="-5"/>
          <w:sz w:val="18"/>
        </w:rPr>
        <w:t> </w:t>
      </w:r>
      <w:r>
        <w:rPr>
          <w:sz w:val="18"/>
        </w:rPr>
        <w:t>diversity,</w:t>
      </w:r>
      <w:r>
        <w:rPr>
          <w:spacing w:val="-5"/>
          <w:sz w:val="18"/>
        </w:rPr>
        <w:t> </w:t>
      </w:r>
      <w:r>
        <w:rPr>
          <w:sz w:val="18"/>
        </w:rPr>
        <w:t>says</w:t>
      </w:r>
      <w:r>
        <w:rPr>
          <w:spacing w:val="-6"/>
          <w:sz w:val="18"/>
        </w:rPr>
        <w:t> </w:t>
      </w:r>
      <w:r>
        <w:rPr>
          <w:sz w:val="18"/>
        </w:rPr>
        <w:t>UN</w:t>
      </w:r>
      <w:r>
        <w:rPr>
          <w:spacing w:val="-5"/>
          <w:sz w:val="18"/>
        </w:rPr>
        <w:t> </w:t>
      </w:r>
      <w:r>
        <w:rPr>
          <w:sz w:val="18"/>
        </w:rPr>
        <w:t>expert’, 11 May 2023.</w:t>
      </w:r>
    </w:p>
    <w:p>
      <w:pPr>
        <w:pStyle w:val="ListParagraph"/>
        <w:numPr>
          <w:ilvl w:val="0"/>
          <w:numId w:val="9"/>
        </w:numPr>
        <w:tabs>
          <w:tab w:pos="1853" w:val="left" w:leader="none"/>
        </w:tabs>
        <w:spacing w:line="235" w:lineRule="auto" w:before="1" w:after="0"/>
        <w:ind w:left="1853" w:right="1645" w:hanging="720"/>
        <w:jc w:val="left"/>
        <w:rPr>
          <w:sz w:val="18"/>
        </w:rPr>
      </w:pPr>
      <w:r>
        <w:rPr>
          <w:sz w:val="18"/>
        </w:rPr>
        <w:t>See section on Binding Standards for Equality Bodies in this chapter.</w:t>
      </w:r>
      <w:r>
        <w:rPr>
          <w:spacing w:val="40"/>
          <w:sz w:val="18"/>
        </w:rPr>
        <w:t> </w:t>
      </w:r>
      <w:r>
        <w:rPr>
          <w:sz w:val="18"/>
        </w:rPr>
        <w:t>EU Commission, ‘Proposal for a Directive on Standards</w:t>
      </w:r>
      <w:r>
        <w:rPr>
          <w:spacing w:val="-5"/>
          <w:sz w:val="18"/>
        </w:rPr>
        <w:t> </w:t>
      </w:r>
      <w:r>
        <w:rPr>
          <w:sz w:val="18"/>
        </w:rPr>
        <w:t>for</w:t>
      </w:r>
      <w:r>
        <w:rPr>
          <w:spacing w:val="-4"/>
          <w:sz w:val="18"/>
        </w:rPr>
        <w:t> </w:t>
      </w:r>
      <w:r>
        <w:rPr>
          <w:sz w:val="18"/>
        </w:rPr>
        <w:t>Equality</w:t>
      </w:r>
      <w:r>
        <w:rPr>
          <w:spacing w:val="-4"/>
          <w:sz w:val="18"/>
        </w:rPr>
        <w:t> </w:t>
      </w:r>
      <w:r>
        <w:rPr>
          <w:sz w:val="18"/>
        </w:rPr>
        <w:t>Bodies</w:t>
      </w:r>
      <w:r>
        <w:rPr>
          <w:spacing w:val="-5"/>
          <w:sz w:val="18"/>
        </w:rPr>
        <w:t> </w:t>
      </w:r>
      <w:r>
        <w:rPr>
          <w:sz w:val="18"/>
        </w:rPr>
        <w:t>in</w:t>
      </w:r>
      <w:r>
        <w:rPr>
          <w:spacing w:val="-5"/>
          <w:sz w:val="18"/>
        </w:rPr>
        <w:t> </w:t>
      </w:r>
      <w:r>
        <w:rPr>
          <w:sz w:val="18"/>
        </w:rPr>
        <w:t>the</w:t>
      </w:r>
      <w:r>
        <w:rPr>
          <w:spacing w:val="-4"/>
          <w:sz w:val="18"/>
        </w:rPr>
        <w:t> </w:t>
      </w:r>
      <w:r>
        <w:rPr>
          <w:sz w:val="18"/>
        </w:rPr>
        <w:t>Field</w:t>
      </w:r>
      <w:r>
        <w:rPr>
          <w:spacing w:val="-5"/>
          <w:sz w:val="18"/>
        </w:rPr>
        <w:t> </w:t>
      </w:r>
      <w:r>
        <w:rPr>
          <w:sz w:val="18"/>
        </w:rPr>
        <w:t>of</w:t>
      </w:r>
      <w:r>
        <w:rPr>
          <w:spacing w:val="-5"/>
          <w:sz w:val="18"/>
        </w:rPr>
        <w:t> </w:t>
      </w:r>
      <w:r>
        <w:rPr>
          <w:sz w:val="18"/>
        </w:rPr>
        <w:t>Equal</w:t>
      </w:r>
      <w:r>
        <w:rPr>
          <w:spacing w:val="-5"/>
          <w:sz w:val="18"/>
        </w:rPr>
        <w:t> </w:t>
      </w:r>
      <w:r>
        <w:rPr>
          <w:sz w:val="18"/>
        </w:rPr>
        <w:t>Treatment</w:t>
      </w:r>
      <w:r>
        <w:rPr>
          <w:spacing w:val="-4"/>
          <w:sz w:val="18"/>
        </w:rPr>
        <w:t> </w:t>
      </w:r>
      <w:r>
        <w:rPr>
          <w:sz w:val="18"/>
        </w:rPr>
        <w:t>and</w:t>
      </w:r>
      <w:r>
        <w:rPr>
          <w:spacing w:val="-5"/>
          <w:sz w:val="18"/>
        </w:rPr>
        <w:t> </w:t>
      </w:r>
      <w:r>
        <w:rPr>
          <w:sz w:val="18"/>
        </w:rPr>
        <w:t>Equal</w:t>
      </w:r>
      <w:r>
        <w:rPr>
          <w:spacing w:val="-5"/>
          <w:sz w:val="18"/>
        </w:rPr>
        <w:t> </w:t>
      </w:r>
      <w:r>
        <w:rPr>
          <w:sz w:val="18"/>
        </w:rPr>
        <w:t>Opportunities</w:t>
      </w:r>
      <w:r>
        <w:rPr>
          <w:spacing w:val="-5"/>
          <w:sz w:val="18"/>
        </w:rPr>
        <w:t> </w:t>
      </w:r>
      <w:r>
        <w:rPr>
          <w:sz w:val="18"/>
        </w:rPr>
        <w:t>between</w:t>
      </w:r>
      <w:r>
        <w:rPr>
          <w:spacing w:val="-5"/>
          <w:sz w:val="18"/>
        </w:rPr>
        <w:t> </w:t>
      </w:r>
      <w:r>
        <w:rPr>
          <w:sz w:val="18"/>
        </w:rPr>
        <w:t>Women</w:t>
      </w:r>
      <w:r>
        <w:rPr>
          <w:spacing w:val="-5"/>
          <w:sz w:val="18"/>
        </w:rPr>
        <w:t> </w:t>
      </w:r>
      <w:r>
        <w:rPr>
          <w:sz w:val="18"/>
        </w:rPr>
        <w:t>and</w:t>
      </w:r>
      <w:r>
        <w:rPr>
          <w:spacing w:val="-5"/>
          <w:sz w:val="18"/>
        </w:rPr>
        <w:t> </w:t>
      </w:r>
      <w:r>
        <w:rPr>
          <w:sz w:val="18"/>
        </w:rPr>
        <w:t>Men</w:t>
      </w:r>
      <w:r>
        <w:rPr>
          <w:spacing w:val="-5"/>
          <w:sz w:val="18"/>
        </w:rPr>
        <w:t> </w:t>
      </w:r>
      <w:r>
        <w:rPr>
          <w:sz w:val="18"/>
        </w:rPr>
        <w:t>in Matters of Employment and Occupation, and Deleting Article 20 of Directive 2006/54/EC and Article</w:t>
      </w:r>
    </w:p>
    <w:p>
      <w:pPr>
        <w:spacing w:line="235" w:lineRule="auto" w:before="2"/>
        <w:ind w:left="1853" w:right="1798" w:firstLine="0"/>
        <w:jc w:val="left"/>
        <w:rPr>
          <w:sz w:val="18"/>
        </w:rPr>
      </w:pPr>
      <w:r>
        <w:rPr>
          <w:sz w:val="18"/>
        </w:rPr>
        <w:t>11</w:t>
      </w:r>
      <w:r>
        <w:rPr>
          <w:spacing w:val="-5"/>
          <w:sz w:val="18"/>
        </w:rPr>
        <w:t> </w:t>
      </w:r>
      <w:r>
        <w:rPr>
          <w:sz w:val="18"/>
        </w:rPr>
        <w:t>of</w:t>
      </w:r>
      <w:r>
        <w:rPr>
          <w:spacing w:val="-5"/>
          <w:sz w:val="18"/>
        </w:rPr>
        <w:t> </w:t>
      </w:r>
      <w:r>
        <w:rPr>
          <w:sz w:val="18"/>
        </w:rPr>
        <w:t>Directive</w:t>
      </w:r>
      <w:r>
        <w:rPr>
          <w:spacing w:val="-5"/>
          <w:sz w:val="18"/>
        </w:rPr>
        <w:t> </w:t>
      </w:r>
      <w:r>
        <w:rPr>
          <w:sz w:val="18"/>
        </w:rPr>
        <w:t>2010/41/EU</w:t>
      </w:r>
      <w:r>
        <w:rPr>
          <w:spacing w:val="-5"/>
          <w:sz w:val="18"/>
        </w:rPr>
        <w:t> </w:t>
      </w:r>
      <w:r>
        <w:rPr>
          <w:sz w:val="18"/>
        </w:rPr>
        <w:t>-</w:t>
      </w:r>
      <w:r>
        <w:rPr>
          <w:spacing w:val="-5"/>
          <w:sz w:val="18"/>
        </w:rPr>
        <w:t> </w:t>
      </w:r>
      <w:r>
        <w:rPr>
          <w:sz w:val="18"/>
        </w:rPr>
        <w:t>COM(2022)</w:t>
      </w:r>
      <w:r>
        <w:rPr>
          <w:spacing w:val="-5"/>
          <w:sz w:val="18"/>
        </w:rPr>
        <w:t> </w:t>
      </w:r>
      <w:r>
        <w:rPr>
          <w:sz w:val="18"/>
        </w:rPr>
        <w:t>688’,</w:t>
      </w:r>
      <w:r>
        <w:rPr>
          <w:spacing w:val="-5"/>
          <w:sz w:val="18"/>
        </w:rPr>
        <w:t> </w:t>
      </w:r>
      <w:r>
        <w:rPr>
          <w:sz w:val="18"/>
        </w:rPr>
        <w:t>(EU</w:t>
      </w:r>
      <w:r>
        <w:rPr>
          <w:spacing w:val="-5"/>
          <w:sz w:val="18"/>
        </w:rPr>
        <w:t> </w:t>
      </w:r>
      <w:r>
        <w:rPr>
          <w:sz w:val="18"/>
        </w:rPr>
        <w:t>Commission,</w:t>
      </w:r>
      <w:r>
        <w:rPr>
          <w:spacing w:val="-5"/>
          <w:sz w:val="18"/>
        </w:rPr>
        <w:t> </w:t>
      </w:r>
      <w:r>
        <w:rPr>
          <w:sz w:val="18"/>
        </w:rPr>
        <w:t>2022);</w:t>
      </w:r>
      <w:r>
        <w:rPr>
          <w:spacing w:val="-5"/>
          <w:sz w:val="18"/>
        </w:rPr>
        <w:t> </w:t>
      </w:r>
      <w:r>
        <w:rPr>
          <w:sz w:val="18"/>
        </w:rPr>
        <w:t>EU</w:t>
      </w:r>
      <w:r>
        <w:rPr>
          <w:spacing w:val="-5"/>
          <w:sz w:val="18"/>
        </w:rPr>
        <w:t> </w:t>
      </w:r>
      <w:r>
        <w:rPr>
          <w:sz w:val="18"/>
        </w:rPr>
        <w:t>Commission,</w:t>
      </w:r>
      <w:r>
        <w:rPr>
          <w:spacing w:val="-5"/>
          <w:sz w:val="18"/>
        </w:rPr>
        <w:t> </w:t>
      </w:r>
      <w:r>
        <w:rPr>
          <w:sz w:val="18"/>
        </w:rPr>
        <w:t>‘Proposal</w:t>
      </w:r>
      <w:r>
        <w:rPr>
          <w:spacing w:val="-5"/>
          <w:sz w:val="18"/>
        </w:rPr>
        <w:t> </w:t>
      </w:r>
      <w:r>
        <w:rPr>
          <w:sz w:val="18"/>
        </w:rPr>
        <w:t>for</w:t>
      </w:r>
      <w:r>
        <w:rPr>
          <w:spacing w:val="-5"/>
          <w:sz w:val="18"/>
        </w:rPr>
        <w:t> </w:t>
      </w:r>
      <w:r>
        <w:rPr>
          <w:sz w:val="18"/>
        </w:rPr>
        <w:t>a</w:t>
      </w:r>
      <w:r>
        <w:rPr>
          <w:spacing w:val="-5"/>
          <w:sz w:val="18"/>
        </w:rPr>
        <w:t> </w:t>
      </w:r>
      <w:r>
        <w:rPr>
          <w:sz w:val="18"/>
        </w:rPr>
        <w:t>Directive on</w:t>
      </w:r>
      <w:r>
        <w:rPr>
          <w:spacing w:val="-2"/>
          <w:sz w:val="18"/>
        </w:rPr>
        <w:t> </w:t>
      </w:r>
      <w:r>
        <w:rPr>
          <w:sz w:val="18"/>
        </w:rPr>
        <w:t>Standards</w:t>
      </w:r>
      <w:r>
        <w:rPr>
          <w:spacing w:val="-2"/>
          <w:sz w:val="18"/>
        </w:rPr>
        <w:t> </w:t>
      </w:r>
      <w:r>
        <w:rPr>
          <w:sz w:val="18"/>
        </w:rPr>
        <w:t>for</w:t>
      </w:r>
      <w:r>
        <w:rPr>
          <w:spacing w:val="-1"/>
          <w:sz w:val="18"/>
        </w:rPr>
        <w:t> </w:t>
      </w:r>
      <w:r>
        <w:rPr>
          <w:sz w:val="18"/>
        </w:rPr>
        <w:t>Equality</w:t>
      </w:r>
      <w:r>
        <w:rPr>
          <w:spacing w:val="-1"/>
          <w:sz w:val="18"/>
        </w:rPr>
        <w:t> </w:t>
      </w:r>
      <w:r>
        <w:rPr>
          <w:sz w:val="18"/>
        </w:rPr>
        <w:t>Bodies</w:t>
      </w:r>
      <w:r>
        <w:rPr>
          <w:spacing w:val="-2"/>
          <w:sz w:val="18"/>
        </w:rPr>
        <w:t> </w:t>
      </w:r>
      <w:r>
        <w:rPr>
          <w:sz w:val="18"/>
        </w:rPr>
        <w:t>in</w:t>
      </w:r>
      <w:r>
        <w:rPr>
          <w:spacing w:val="-2"/>
          <w:sz w:val="18"/>
        </w:rPr>
        <w:t> </w:t>
      </w:r>
      <w:r>
        <w:rPr>
          <w:sz w:val="18"/>
        </w:rPr>
        <w:t>the</w:t>
      </w:r>
      <w:r>
        <w:rPr>
          <w:spacing w:val="-1"/>
          <w:sz w:val="18"/>
        </w:rPr>
        <w:t> </w:t>
      </w:r>
      <w:r>
        <w:rPr>
          <w:sz w:val="18"/>
        </w:rPr>
        <w:t>Field</w:t>
      </w:r>
      <w:r>
        <w:rPr>
          <w:spacing w:val="-2"/>
          <w:sz w:val="18"/>
        </w:rPr>
        <w:t> </w:t>
      </w:r>
      <w:r>
        <w:rPr>
          <w:sz w:val="18"/>
        </w:rPr>
        <w:t>of</w:t>
      </w:r>
      <w:r>
        <w:rPr>
          <w:spacing w:val="-2"/>
          <w:sz w:val="18"/>
        </w:rPr>
        <w:t> </w:t>
      </w:r>
      <w:r>
        <w:rPr>
          <w:sz w:val="18"/>
        </w:rPr>
        <w:t>Equal</w:t>
      </w:r>
      <w:r>
        <w:rPr>
          <w:spacing w:val="-2"/>
          <w:sz w:val="18"/>
        </w:rPr>
        <w:t> </w:t>
      </w:r>
      <w:r>
        <w:rPr>
          <w:sz w:val="18"/>
        </w:rPr>
        <w:t>Treatment</w:t>
      </w:r>
      <w:r>
        <w:rPr>
          <w:spacing w:val="-1"/>
          <w:sz w:val="18"/>
        </w:rPr>
        <w:t> </w:t>
      </w:r>
      <w:r>
        <w:rPr>
          <w:sz w:val="18"/>
        </w:rPr>
        <w:t>between</w:t>
      </w:r>
      <w:r>
        <w:rPr>
          <w:spacing w:val="-2"/>
          <w:sz w:val="18"/>
        </w:rPr>
        <w:t> </w:t>
      </w:r>
      <w:r>
        <w:rPr>
          <w:sz w:val="18"/>
        </w:rPr>
        <w:t>Persons</w:t>
      </w:r>
      <w:r>
        <w:rPr>
          <w:spacing w:val="-2"/>
          <w:sz w:val="18"/>
        </w:rPr>
        <w:t> </w:t>
      </w:r>
      <w:r>
        <w:rPr>
          <w:sz w:val="18"/>
        </w:rPr>
        <w:t>Irrespective</w:t>
      </w:r>
      <w:r>
        <w:rPr>
          <w:spacing w:val="-1"/>
          <w:sz w:val="18"/>
        </w:rPr>
        <w:t> </w:t>
      </w:r>
      <w:r>
        <w:rPr>
          <w:sz w:val="18"/>
        </w:rPr>
        <w:t>of</w:t>
      </w:r>
      <w:r>
        <w:rPr>
          <w:spacing w:val="-2"/>
          <w:sz w:val="18"/>
        </w:rPr>
        <w:t> </w:t>
      </w:r>
      <w:r>
        <w:rPr>
          <w:sz w:val="18"/>
        </w:rPr>
        <w:t>their</w:t>
      </w:r>
      <w:r>
        <w:rPr>
          <w:spacing w:val="-1"/>
          <w:sz w:val="18"/>
        </w:rPr>
        <w:t> </w:t>
      </w:r>
      <w:r>
        <w:rPr>
          <w:sz w:val="18"/>
        </w:rPr>
        <w:t>Racial</w:t>
      </w:r>
      <w:r>
        <w:rPr>
          <w:spacing w:val="-2"/>
          <w:sz w:val="18"/>
        </w:rPr>
        <w:t> </w:t>
      </w:r>
      <w:r>
        <w:rPr>
          <w:sz w:val="18"/>
        </w:rPr>
        <w:t>or Ethnic Origin, Equal Treatment in the Field of Employment and Occupation Between Persons Irrespective of</w:t>
      </w:r>
    </w:p>
    <w:p>
      <w:pPr>
        <w:spacing w:line="235" w:lineRule="auto" w:before="2"/>
        <w:ind w:left="1853" w:right="1461" w:firstLine="0"/>
        <w:jc w:val="both"/>
        <w:rPr>
          <w:sz w:val="18"/>
        </w:rPr>
      </w:pPr>
      <w:r>
        <w:rPr>
          <w:sz w:val="18"/>
        </w:rPr>
        <w:t>their</w:t>
      </w:r>
      <w:r>
        <w:rPr>
          <w:spacing w:val="-6"/>
          <w:sz w:val="18"/>
        </w:rPr>
        <w:t> </w:t>
      </w:r>
      <w:r>
        <w:rPr>
          <w:sz w:val="18"/>
        </w:rPr>
        <w:t>Religion</w:t>
      </w:r>
      <w:r>
        <w:rPr>
          <w:spacing w:val="-6"/>
          <w:sz w:val="18"/>
        </w:rPr>
        <w:t> </w:t>
      </w:r>
      <w:r>
        <w:rPr>
          <w:sz w:val="18"/>
        </w:rPr>
        <w:t>or</w:t>
      </w:r>
      <w:r>
        <w:rPr>
          <w:spacing w:val="-6"/>
          <w:sz w:val="18"/>
        </w:rPr>
        <w:t> </w:t>
      </w:r>
      <w:r>
        <w:rPr>
          <w:sz w:val="18"/>
        </w:rPr>
        <w:t>Belief,</w:t>
      </w:r>
      <w:r>
        <w:rPr>
          <w:spacing w:val="-6"/>
          <w:sz w:val="18"/>
        </w:rPr>
        <w:t> </w:t>
      </w:r>
      <w:r>
        <w:rPr>
          <w:sz w:val="18"/>
        </w:rPr>
        <w:t>Disability,</w:t>
      </w:r>
      <w:r>
        <w:rPr>
          <w:spacing w:val="-6"/>
          <w:sz w:val="18"/>
        </w:rPr>
        <w:t> </w:t>
      </w:r>
      <w:r>
        <w:rPr>
          <w:sz w:val="18"/>
        </w:rPr>
        <w:t>Age</w:t>
      </w:r>
      <w:r>
        <w:rPr>
          <w:spacing w:val="-6"/>
          <w:sz w:val="18"/>
        </w:rPr>
        <w:t> </w:t>
      </w:r>
      <w:r>
        <w:rPr>
          <w:sz w:val="18"/>
        </w:rPr>
        <w:t>or</w:t>
      </w:r>
      <w:r>
        <w:rPr>
          <w:spacing w:val="-6"/>
          <w:sz w:val="18"/>
        </w:rPr>
        <w:t> </w:t>
      </w:r>
      <w:r>
        <w:rPr>
          <w:sz w:val="18"/>
        </w:rPr>
        <w:t>Sexual</w:t>
      </w:r>
      <w:r>
        <w:rPr>
          <w:spacing w:val="-6"/>
          <w:sz w:val="18"/>
        </w:rPr>
        <w:t> </w:t>
      </w:r>
      <w:r>
        <w:rPr>
          <w:sz w:val="18"/>
        </w:rPr>
        <w:t>Orientation,</w:t>
      </w:r>
      <w:r>
        <w:rPr>
          <w:spacing w:val="-6"/>
          <w:sz w:val="18"/>
        </w:rPr>
        <w:t> </w:t>
      </w:r>
      <w:r>
        <w:rPr>
          <w:sz w:val="18"/>
        </w:rPr>
        <w:t>Equal</w:t>
      </w:r>
      <w:r>
        <w:rPr>
          <w:spacing w:val="-6"/>
          <w:sz w:val="18"/>
        </w:rPr>
        <w:t> </w:t>
      </w:r>
      <w:r>
        <w:rPr>
          <w:sz w:val="18"/>
        </w:rPr>
        <w:t>Treatment</w:t>
      </w:r>
      <w:r>
        <w:rPr>
          <w:spacing w:val="-6"/>
          <w:sz w:val="18"/>
        </w:rPr>
        <w:t> </w:t>
      </w:r>
      <w:r>
        <w:rPr>
          <w:sz w:val="18"/>
        </w:rPr>
        <w:t>Between</w:t>
      </w:r>
      <w:r>
        <w:rPr>
          <w:spacing w:val="-6"/>
          <w:sz w:val="18"/>
        </w:rPr>
        <w:t> </w:t>
      </w:r>
      <w:r>
        <w:rPr>
          <w:sz w:val="18"/>
        </w:rPr>
        <w:t>Women</w:t>
      </w:r>
      <w:r>
        <w:rPr>
          <w:spacing w:val="-6"/>
          <w:sz w:val="18"/>
        </w:rPr>
        <w:t> </w:t>
      </w:r>
      <w:r>
        <w:rPr>
          <w:sz w:val="18"/>
        </w:rPr>
        <w:t>and</w:t>
      </w:r>
      <w:r>
        <w:rPr>
          <w:spacing w:val="-6"/>
          <w:sz w:val="18"/>
        </w:rPr>
        <w:t> </w:t>
      </w:r>
      <w:r>
        <w:rPr>
          <w:sz w:val="18"/>
        </w:rPr>
        <w:t>Men</w:t>
      </w:r>
      <w:r>
        <w:rPr>
          <w:spacing w:val="-6"/>
          <w:sz w:val="18"/>
        </w:rPr>
        <w:t> </w:t>
      </w:r>
      <w:r>
        <w:rPr>
          <w:sz w:val="18"/>
        </w:rPr>
        <w:t>in</w:t>
      </w:r>
      <w:r>
        <w:rPr>
          <w:spacing w:val="-6"/>
          <w:sz w:val="18"/>
        </w:rPr>
        <w:t> </w:t>
      </w:r>
      <w:r>
        <w:rPr>
          <w:sz w:val="18"/>
        </w:rPr>
        <w:t>Matters</w:t>
      </w:r>
      <w:r>
        <w:rPr>
          <w:spacing w:val="-6"/>
          <w:sz w:val="18"/>
        </w:rPr>
        <w:t> </w:t>
      </w:r>
      <w:r>
        <w:rPr>
          <w:sz w:val="18"/>
        </w:rPr>
        <w:t>of Social</w:t>
      </w:r>
      <w:r>
        <w:rPr>
          <w:spacing w:val="-3"/>
          <w:sz w:val="18"/>
        </w:rPr>
        <w:t> </w:t>
      </w:r>
      <w:r>
        <w:rPr>
          <w:sz w:val="18"/>
        </w:rPr>
        <w:t>Security</w:t>
      </w:r>
      <w:r>
        <w:rPr>
          <w:spacing w:val="-2"/>
          <w:sz w:val="18"/>
        </w:rPr>
        <w:t> </w:t>
      </w:r>
      <w:r>
        <w:rPr>
          <w:sz w:val="18"/>
        </w:rPr>
        <w:t>and</w:t>
      </w:r>
      <w:r>
        <w:rPr>
          <w:spacing w:val="-3"/>
          <w:sz w:val="18"/>
        </w:rPr>
        <w:t> </w:t>
      </w:r>
      <w:r>
        <w:rPr>
          <w:sz w:val="18"/>
        </w:rPr>
        <w:t>in</w:t>
      </w:r>
      <w:r>
        <w:rPr>
          <w:spacing w:val="-3"/>
          <w:sz w:val="18"/>
        </w:rPr>
        <w:t> </w:t>
      </w:r>
      <w:r>
        <w:rPr>
          <w:sz w:val="18"/>
        </w:rPr>
        <w:t>the</w:t>
      </w:r>
      <w:r>
        <w:rPr>
          <w:spacing w:val="-2"/>
          <w:sz w:val="18"/>
        </w:rPr>
        <w:t> </w:t>
      </w:r>
      <w:r>
        <w:rPr>
          <w:sz w:val="18"/>
        </w:rPr>
        <w:t>Access</w:t>
      </w:r>
      <w:r>
        <w:rPr>
          <w:spacing w:val="-3"/>
          <w:sz w:val="18"/>
        </w:rPr>
        <w:t> </w:t>
      </w:r>
      <w:r>
        <w:rPr>
          <w:sz w:val="18"/>
        </w:rPr>
        <w:t>to</w:t>
      </w:r>
      <w:r>
        <w:rPr>
          <w:spacing w:val="-3"/>
          <w:sz w:val="18"/>
        </w:rPr>
        <w:t> </w:t>
      </w:r>
      <w:r>
        <w:rPr>
          <w:sz w:val="18"/>
        </w:rPr>
        <w:t>and</w:t>
      </w:r>
      <w:r>
        <w:rPr>
          <w:spacing w:val="-3"/>
          <w:sz w:val="18"/>
        </w:rPr>
        <w:t> </w:t>
      </w:r>
      <w:r>
        <w:rPr>
          <w:sz w:val="18"/>
        </w:rPr>
        <w:t>Supply</w:t>
      </w:r>
      <w:r>
        <w:rPr>
          <w:spacing w:val="-2"/>
          <w:sz w:val="18"/>
        </w:rPr>
        <w:t> </w:t>
      </w:r>
      <w:r>
        <w:rPr>
          <w:sz w:val="18"/>
        </w:rPr>
        <w:t>of</w:t>
      </w:r>
      <w:r>
        <w:rPr>
          <w:spacing w:val="-3"/>
          <w:sz w:val="18"/>
        </w:rPr>
        <w:t> </w:t>
      </w:r>
      <w:r>
        <w:rPr>
          <w:sz w:val="18"/>
        </w:rPr>
        <w:t>Goods</w:t>
      </w:r>
      <w:r>
        <w:rPr>
          <w:spacing w:val="-3"/>
          <w:sz w:val="18"/>
        </w:rPr>
        <w:t> </w:t>
      </w:r>
      <w:r>
        <w:rPr>
          <w:sz w:val="18"/>
        </w:rPr>
        <w:t>and</w:t>
      </w:r>
      <w:r>
        <w:rPr>
          <w:spacing w:val="-3"/>
          <w:sz w:val="18"/>
        </w:rPr>
        <w:t> </w:t>
      </w:r>
      <w:r>
        <w:rPr>
          <w:sz w:val="18"/>
        </w:rPr>
        <w:t>Services,</w:t>
      </w:r>
      <w:r>
        <w:rPr>
          <w:spacing w:val="-2"/>
          <w:sz w:val="18"/>
        </w:rPr>
        <w:t> </w:t>
      </w:r>
      <w:r>
        <w:rPr>
          <w:sz w:val="18"/>
        </w:rPr>
        <w:t>and</w:t>
      </w:r>
      <w:r>
        <w:rPr>
          <w:spacing w:val="-3"/>
          <w:sz w:val="18"/>
        </w:rPr>
        <w:t> </w:t>
      </w:r>
      <w:r>
        <w:rPr>
          <w:sz w:val="18"/>
        </w:rPr>
        <w:t>Deleting</w:t>
      </w:r>
      <w:r>
        <w:rPr>
          <w:spacing w:val="-2"/>
          <w:sz w:val="18"/>
        </w:rPr>
        <w:t> </w:t>
      </w:r>
      <w:r>
        <w:rPr>
          <w:sz w:val="18"/>
        </w:rPr>
        <w:t>Article</w:t>
      </w:r>
      <w:r>
        <w:rPr>
          <w:spacing w:val="-2"/>
          <w:sz w:val="18"/>
        </w:rPr>
        <w:t> </w:t>
      </w:r>
      <w:r>
        <w:rPr>
          <w:sz w:val="18"/>
        </w:rPr>
        <w:t>13</w:t>
      </w:r>
      <w:r>
        <w:rPr>
          <w:spacing w:val="-2"/>
          <w:sz w:val="18"/>
        </w:rPr>
        <w:t> </w:t>
      </w:r>
      <w:r>
        <w:rPr>
          <w:sz w:val="18"/>
        </w:rPr>
        <w:t>of</w:t>
      </w:r>
      <w:r>
        <w:rPr>
          <w:spacing w:val="-3"/>
          <w:sz w:val="18"/>
        </w:rPr>
        <w:t> </w:t>
      </w:r>
      <w:r>
        <w:rPr>
          <w:sz w:val="18"/>
        </w:rPr>
        <w:t>Directive</w:t>
      </w:r>
      <w:r>
        <w:rPr>
          <w:spacing w:val="-2"/>
          <w:sz w:val="18"/>
        </w:rPr>
        <w:t> </w:t>
      </w:r>
      <w:r>
        <w:rPr>
          <w:sz w:val="18"/>
        </w:rPr>
        <w:t>2000/43/EC and Article 12 of Directive 2004/113/EC - COM(2022) 689’ (EU Commission, 2022).</w:t>
      </w:r>
    </w:p>
    <w:p>
      <w:pPr>
        <w:pStyle w:val="ListParagraph"/>
        <w:numPr>
          <w:ilvl w:val="0"/>
          <w:numId w:val="9"/>
        </w:numPr>
        <w:tabs>
          <w:tab w:pos="1853" w:val="left" w:leader="none"/>
        </w:tabs>
        <w:spacing w:line="235" w:lineRule="auto" w:before="2" w:after="0"/>
        <w:ind w:left="1853" w:right="1596" w:hanging="720"/>
        <w:jc w:val="left"/>
        <w:rPr>
          <w:sz w:val="18"/>
        </w:rPr>
      </w:pPr>
      <w:r>
        <w:rPr>
          <w:sz w:val="18"/>
        </w:rPr>
        <w:t>Directive 2004/113/EC, ‘EU Council Directive on Implementing the Principle of Equal Treatment between Men and Women in the Access to and Supply of Goods and Services’, 13 December 2004; Directive 2006/54/EC, ‘Council Directive</w:t>
      </w:r>
      <w:r>
        <w:rPr>
          <w:spacing w:val="-4"/>
          <w:sz w:val="18"/>
        </w:rPr>
        <w:t> </w:t>
      </w:r>
      <w:r>
        <w:rPr>
          <w:sz w:val="18"/>
        </w:rPr>
        <w:t>on</w:t>
      </w:r>
      <w:r>
        <w:rPr>
          <w:spacing w:val="-5"/>
          <w:sz w:val="18"/>
        </w:rPr>
        <w:t> </w:t>
      </w:r>
      <w:r>
        <w:rPr>
          <w:sz w:val="18"/>
        </w:rPr>
        <w:t>the</w:t>
      </w:r>
      <w:r>
        <w:rPr>
          <w:spacing w:val="-4"/>
          <w:sz w:val="18"/>
        </w:rPr>
        <w:t> </w:t>
      </w:r>
      <w:r>
        <w:rPr>
          <w:sz w:val="18"/>
        </w:rPr>
        <w:t>Implementation</w:t>
      </w:r>
      <w:r>
        <w:rPr>
          <w:spacing w:val="-5"/>
          <w:sz w:val="18"/>
        </w:rPr>
        <w:t> </w:t>
      </w:r>
      <w:r>
        <w:rPr>
          <w:sz w:val="18"/>
        </w:rPr>
        <w:t>of</w:t>
      </w:r>
      <w:r>
        <w:rPr>
          <w:spacing w:val="-5"/>
          <w:sz w:val="18"/>
        </w:rPr>
        <w:t> </w:t>
      </w:r>
      <w:r>
        <w:rPr>
          <w:sz w:val="18"/>
        </w:rPr>
        <w:t>the</w:t>
      </w:r>
      <w:r>
        <w:rPr>
          <w:spacing w:val="-4"/>
          <w:sz w:val="18"/>
        </w:rPr>
        <w:t> </w:t>
      </w:r>
      <w:r>
        <w:rPr>
          <w:sz w:val="18"/>
        </w:rPr>
        <w:t>Principle</w:t>
      </w:r>
      <w:r>
        <w:rPr>
          <w:spacing w:val="-4"/>
          <w:sz w:val="18"/>
        </w:rPr>
        <w:t> </w:t>
      </w:r>
      <w:r>
        <w:rPr>
          <w:sz w:val="18"/>
        </w:rPr>
        <w:t>of</w:t>
      </w:r>
      <w:r>
        <w:rPr>
          <w:spacing w:val="-5"/>
          <w:sz w:val="18"/>
        </w:rPr>
        <w:t> </w:t>
      </w:r>
      <w:r>
        <w:rPr>
          <w:sz w:val="18"/>
        </w:rPr>
        <w:t>Equal</w:t>
      </w:r>
      <w:r>
        <w:rPr>
          <w:spacing w:val="-5"/>
          <w:sz w:val="18"/>
        </w:rPr>
        <w:t> </w:t>
      </w:r>
      <w:r>
        <w:rPr>
          <w:sz w:val="18"/>
        </w:rPr>
        <w:t>Opportunities</w:t>
      </w:r>
      <w:r>
        <w:rPr>
          <w:spacing w:val="-5"/>
          <w:sz w:val="18"/>
        </w:rPr>
        <w:t> </w:t>
      </w:r>
      <w:r>
        <w:rPr>
          <w:sz w:val="18"/>
        </w:rPr>
        <w:t>and</w:t>
      </w:r>
      <w:r>
        <w:rPr>
          <w:spacing w:val="-5"/>
          <w:sz w:val="18"/>
        </w:rPr>
        <w:t> </w:t>
      </w:r>
      <w:r>
        <w:rPr>
          <w:sz w:val="18"/>
        </w:rPr>
        <w:t>Equal</w:t>
      </w:r>
      <w:r>
        <w:rPr>
          <w:spacing w:val="-5"/>
          <w:sz w:val="18"/>
        </w:rPr>
        <w:t> </w:t>
      </w:r>
      <w:r>
        <w:rPr>
          <w:sz w:val="18"/>
        </w:rPr>
        <w:t>Treatment</w:t>
      </w:r>
      <w:r>
        <w:rPr>
          <w:spacing w:val="-4"/>
          <w:sz w:val="18"/>
        </w:rPr>
        <w:t> </w:t>
      </w:r>
      <w:r>
        <w:rPr>
          <w:sz w:val="18"/>
        </w:rPr>
        <w:t>of</w:t>
      </w:r>
      <w:r>
        <w:rPr>
          <w:spacing w:val="-5"/>
          <w:sz w:val="18"/>
        </w:rPr>
        <w:t> </w:t>
      </w:r>
      <w:r>
        <w:rPr>
          <w:sz w:val="18"/>
        </w:rPr>
        <w:t>Men</w:t>
      </w:r>
      <w:r>
        <w:rPr>
          <w:spacing w:val="-5"/>
          <w:sz w:val="18"/>
        </w:rPr>
        <w:t> </w:t>
      </w:r>
      <w:r>
        <w:rPr>
          <w:sz w:val="18"/>
        </w:rPr>
        <w:t>and</w:t>
      </w:r>
      <w:r>
        <w:rPr>
          <w:spacing w:val="-5"/>
          <w:sz w:val="18"/>
        </w:rPr>
        <w:t> </w:t>
      </w:r>
      <w:r>
        <w:rPr>
          <w:sz w:val="18"/>
        </w:rPr>
        <w:t>Women</w:t>
      </w:r>
      <w:r>
        <w:rPr>
          <w:spacing w:val="-5"/>
          <w:sz w:val="18"/>
        </w:rPr>
        <w:t> </w:t>
      </w:r>
      <w:r>
        <w:rPr>
          <w:sz w:val="18"/>
        </w:rPr>
        <w:t>in Matters of Employment and Occupation’, 5 July 2006; Directive 2010/41/EU, ‘EU Parliament and Council of the</w:t>
      </w:r>
    </w:p>
    <w:p>
      <w:pPr>
        <w:spacing w:line="217" w:lineRule="exact" w:before="0"/>
        <w:ind w:left="1853" w:right="0" w:firstLine="0"/>
        <w:jc w:val="left"/>
        <w:rPr>
          <w:sz w:val="18"/>
        </w:rPr>
      </w:pPr>
      <w:r>
        <w:rPr>
          <w:sz w:val="18"/>
        </w:rPr>
        <w:t>EU</w:t>
      </w:r>
      <w:r>
        <w:rPr>
          <w:spacing w:val="-5"/>
          <w:sz w:val="18"/>
        </w:rPr>
        <w:t> </w:t>
      </w:r>
      <w:r>
        <w:rPr>
          <w:sz w:val="18"/>
        </w:rPr>
        <w:t>Directive</w:t>
      </w:r>
      <w:r>
        <w:rPr>
          <w:spacing w:val="-4"/>
          <w:sz w:val="18"/>
        </w:rPr>
        <w:t> </w:t>
      </w:r>
      <w:r>
        <w:rPr>
          <w:sz w:val="18"/>
        </w:rPr>
        <w:t>on</w:t>
      </w:r>
      <w:r>
        <w:rPr>
          <w:spacing w:val="-5"/>
          <w:sz w:val="18"/>
        </w:rPr>
        <w:t> </w:t>
      </w:r>
      <w:r>
        <w:rPr>
          <w:sz w:val="18"/>
        </w:rPr>
        <w:t>the</w:t>
      </w:r>
      <w:r>
        <w:rPr>
          <w:spacing w:val="-5"/>
          <w:sz w:val="18"/>
        </w:rPr>
        <w:t> </w:t>
      </w:r>
      <w:r>
        <w:rPr>
          <w:sz w:val="18"/>
        </w:rPr>
        <w:t>Application</w:t>
      </w:r>
      <w:r>
        <w:rPr>
          <w:spacing w:val="-5"/>
          <w:sz w:val="18"/>
        </w:rPr>
        <w:t> </w:t>
      </w:r>
      <w:r>
        <w:rPr>
          <w:sz w:val="18"/>
        </w:rPr>
        <w:t>of</w:t>
      </w:r>
      <w:r>
        <w:rPr>
          <w:spacing w:val="-5"/>
          <w:sz w:val="18"/>
        </w:rPr>
        <w:t> </w:t>
      </w:r>
      <w:r>
        <w:rPr>
          <w:sz w:val="18"/>
        </w:rPr>
        <w:t>the</w:t>
      </w:r>
      <w:r>
        <w:rPr>
          <w:spacing w:val="-5"/>
          <w:sz w:val="18"/>
        </w:rPr>
        <w:t> </w:t>
      </w:r>
      <w:r>
        <w:rPr>
          <w:sz w:val="18"/>
        </w:rPr>
        <w:t>Principle</w:t>
      </w:r>
      <w:r>
        <w:rPr>
          <w:spacing w:val="-4"/>
          <w:sz w:val="18"/>
        </w:rPr>
        <w:t> </w:t>
      </w:r>
      <w:r>
        <w:rPr>
          <w:sz w:val="18"/>
        </w:rPr>
        <w:t>of</w:t>
      </w:r>
      <w:r>
        <w:rPr>
          <w:spacing w:val="-5"/>
          <w:sz w:val="18"/>
        </w:rPr>
        <w:t> </w:t>
      </w:r>
      <w:r>
        <w:rPr>
          <w:sz w:val="18"/>
        </w:rPr>
        <w:t>Equal</w:t>
      </w:r>
      <w:r>
        <w:rPr>
          <w:spacing w:val="-6"/>
          <w:sz w:val="18"/>
        </w:rPr>
        <w:t> </w:t>
      </w:r>
      <w:r>
        <w:rPr>
          <w:sz w:val="18"/>
        </w:rPr>
        <w:t>Treatment</w:t>
      </w:r>
      <w:r>
        <w:rPr>
          <w:spacing w:val="-4"/>
          <w:sz w:val="18"/>
        </w:rPr>
        <w:t> </w:t>
      </w:r>
      <w:r>
        <w:rPr>
          <w:sz w:val="18"/>
        </w:rPr>
        <w:t>between</w:t>
      </w:r>
      <w:r>
        <w:rPr>
          <w:spacing w:val="-5"/>
          <w:sz w:val="18"/>
        </w:rPr>
        <w:t> </w:t>
      </w:r>
      <w:r>
        <w:rPr>
          <w:sz w:val="18"/>
        </w:rPr>
        <w:t>Men</w:t>
      </w:r>
      <w:r>
        <w:rPr>
          <w:spacing w:val="-6"/>
          <w:sz w:val="18"/>
        </w:rPr>
        <w:t> </w:t>
      </w:r>
      <w:r>
        <w:rPr>
          <w:sz w:val="18"/>
        </w:rPr>
        <w:t>and</w:t>
      </w:r>
      <w:r>
        <w:rPr>
          <w:spacing w:val="-5"/>
          <w:sz w:val="18"/>
        </w:rPr>
        <w:t> </w:t>
      </w:r>
      <w:r>
        <w:rPr>
          <w:sz w:val="18"/>
        </w:rPr>
        <w:t>Women</w:t>
      </w:r>
      <w:r>
        <w:rPr>
          <w:spacing w:val="-5"/>
          <w:sz w:val="18"/>
        </w:rPr>
        <w:t> </w:t>
      </w:r>
      <w:r>
        <w:rPr>
          <w:sz w:val="18"/>
        </w:rPr>
        <w:t>Engaged</w:t>
      </w:r>
      <w:r>
        <w:rPr>
          <w:spacing w:val="-5"/>
          <w:sz w:val="18"/>
        </w:rPr>
        <w:t> </w:t>
      </w:r>
      <w:r>
        <w:rPr>
          <w:sz w:val="18"/>
        </w:rPr>
        <w:t>in</w:t>
      </w:r>
      <w:r>
        <w:rPr>
          <w:spacing w:val="-6"/>
          <w:sz w:val="18"/>
        </w:rPr>
        <w:t> </w:t>
      </w:r>
      <w:r>
        <w:rPr>
          <w:sz w:val="18"/>
        </w:rPr>
        <w:t>an</w:t>
      </w:r>
      <w:r>
        <w:rPr>
          <w:spacing w:val="-5"/>
          <w:sz w:val="18"/>
        </w:rPr>
        <w:t> </w:t>
      </w:r>
      <w:r>
        <w:rPr>
          <w:spacing w:val="-2"/>
          <w:sz w:val="18"/>
        </w:rPr>
        <w:t>Activity</w:t>
      </w:r>
    </w:p>
    <w:p>
      <w:pPr>
        <w:spacing w:line="235" w:lineRule="auto" w:before="2"/>
        <w:ind w:left="1853" w:right="1301" w:firstLine="0"/>
        <w:jc w:val="left"/>
        <w:rPr>
          <w:sz w:val="18"/>
        </w:rPr>
      </w:pPr>
      <w:r>
        <w:rPr>
          <w:sz w:val="18"/>
        </w:rPr>
        <w:t>in</w:t>
      </w:r>
      <w:r>
        <w:rPr>
          <w:spacing w:val="-6"/>
          <w:sz w:val="18"/>
        </w:rPr>
        <w:t> </w:t>
      </w:r>
      <w:r>
        <w:rPr>
          <w:sz w:val="18"/>
        </w:rPr>
        <w:t>a</w:t>
      </w:r>
      <w:r>
        <w:rPr>
          <w:spacing w:val="-6"/>
          <w:sz w:val="18"/>
        </w:rPr>
        <w:t> </w:t>
      </w:r>
      <w:r>
        <w:rPr>
          <w:sz w:val="18"/>
        </w:rPr>
        <w:t>Self-employed</w:t>
      </w:r>
      <w:r>
        <w:rPr>
          <w:spacing w:val="39"/>
          <w:sz w:val="18"/>
        </w:rPr>
        <w:t> </w:t>
      </w:r>
      <w:r>
        <w:rPr>
          <w:sz w:val="18"/>
        </w:rPr>
        <w:t>Capacity’,</w:t>
      </w:r>
      <w:r>
        <w:rPr>
          <w:spacing w:val="-5"/>
          <w:sz w:val="18"/>
        </w:rPr>
        <w:t> </w:t>
      </w:r>
      <w:r>
        <w:rPr>
          <w:sz w:val="18"/>
        </w:rPr>
        <w:t>7</w:t>
      </w:r>
      <w:r>
        <w:rPr>
          <w:spacing w:val="-5"/>
          <w:sz w:val="18"/>
        </w:rPr>
        <w:t> </w:t>
      </w:r>
      <w:r>
        <w:rPr>
          <w:sz w:val="18"/>
        </w:rPr>
        <w:t>July</w:t>
      </w:r>
      <w:r>
        <w:rPr>
          <w:spacing w:val="-5"/>
          <w:sz w:val="18"/>
        </w:rPr>
        <w:t> </w:t>
      </w:r>
      <w:r>
        <w:rPr>
          <w:sz w:val="18"/>
        </w:rPr>
        <w:t>2010.</w:t>
      </w:r>
      <w:r>
        <w:rPr>
          <w:spacing w:val="-6"/>
          <w:sz w:val="18"/>
        </w:rPr>
        <w:t> </w:t>
      </w:r>
      <w:r>
        <w:rPr>
          <w:sz w:val="18"/>
        </w:rPr>
        <w:t>See</w:t>
      </w:r>
      <w:r>
        <w:rPr>
          <w:spacing w:val="-5"/>
          <w:sz w:val="18"/>
        </w:rPr>
        <w:t> </w:t>
      </w:r>
      <w:r>
        <w:rPr>
          <w:sz w:val="18"/>
        </w:rPr>
        <w:t>also</w:t>
      </w:r>
      <w:r>
        <w:rPr>
          <w:spacing w:val="-6"/>
          <w:sz w:val="18"/>
        </w:rPr>
        <w:t> </w:t>
      </w:r>
      <w:r>
        <w:rPr>
          <w:sz w:val="18"/>
        </w:rPr>
        <w:t>Letter</w:t>
      </w:r>
      <w:r>
        <w:rPr>
          <w:spacing w:val="-5"/>
          <w:sz w:val="18"/>
        </w:rPr>
        <w:t> </w:t>
      </w:r>
      <w:r>
        <w:rPr>
          <w:sz w:val="18"/>
        </w:rPr>
        <w:t>from</w:t>
      </w:r>
      <w:r>
        <w:rPr>
          <w:spacing w:val="-5"/>
          <w:sz w:val="18"/>
        </w:rPr>
        <w:t> </w:t>
      </w:r>
      <w:r>
        <w:rPr>
          <w:sz w:val="18"/>
        </w:rPr>
        <w:t>the</w:t>
      </w:r>
      <w:r>
        <w:rPr>
          <w:spacing w:val="-5"/>
          <w:sz w:val="18"/>
        </w:rPr>
        <w:t> </w:t>
      </w:r>
      <w:r>
        <w:rPr>
          <w:sz w:val="18"/>
        </w:rPr>
        <w:t>Minister</w:t>
      </w:r>
      <w:r>
        <w:rPr>
          <w:spacing w:val="-5"/>
          <w:sz w:val="18"/>
        </w:rPr>
        <w:t> </w:t>
      </w:r>
      <w:r>
        <w:rPr>
          <w:sz w:val="18"/>
        </w:rPr>
        <w:t>of</w:t>
      </w:r>
      <w:r>
        <w:rPr>
          <w:spacing w:val="-6"/>
          <w:sz w:val="18"/>
        </w:rPr>
        <w:t> </w:t>
      </w:r>
      <w:r>
        <w:rPr>
          <w:sz w:val="18"/>
        </w:rPr>
        <w:t>State</w:t>
      </w:r>
      <w:r>
        <w:rPr>
          <w:spacing w:val="-5"/>
          <w:sz w:val="18"/>
        </w:rPr>
        <w:t> </w:t>
      </w:r>
      <w:r>
        <w:rPr>
          <w:sz w:val="18"/>
        </w:rPr>
        <w:t>for</w:t>
      </w:r>
      <w:r>
        <w:rPr>
          <w:spacing w:val="-5"/>
          <w:sz w:val="18"/>
        </w:rPr>
        <w:t> </w:t>
      </w:r>
      <w:r>
        <w:rPr>
          <w:sz w:val="18"/>
        </w:rPr>
        <w:t>NI,</w:t>
      </w:r>
      <w:r>
        <w:rPr>
          <w:spacing w:val="-5"/>
          <w:sz w:val="18"/>
        </w:rPr>
        <w:t> </w:t>
      </w:r>
      <w:r>
        <w:rPr>
          <w:sz w:val="18"/>
        </w:rPr>
        <w:t>Steve</w:t>
      </w:r>
      <w:r>
        <w:rPr>
          <w:spacing w:val="-5"/>
          <w:sz w:val="18"/>
        </w:rPr>
        <w:t> </w:t>
      </w:r>
      <w:r>
        <w:rPr>
          <w:sz w:val="18"/>
        </w:rPr>
        <w:t>Baker</w:t>
      </w:r>
      <w:r>
        <w:rPr>
          <w:spacing w:val="-5"/>
          <w:sz w:val="18"/>
        </w:rPr>
        <w:t> </w:t>
      </w:r>
      <w:r>
        <w:rPr>
          <w:sz w:val="18"/>
        </w:rPr>
        <w:t>MP,</w:t>
      </w:r>
      <w:r>
        <w:rPr>
          <w:spacing w:val="-5"/>
          <w:sz w:val="18"/>
        </w:rPr>
        <w:t> </w:t>
      </w:r>
      <w:r>
        <w:rPr>
          <w:sz w:val="18"/>
        </w:rPr>
        <w:t>to</w:t>
      </w:r>
      <w:r>
        <w:rPr>
          <w:spacing w:val="-6"/>
          <w:sz w:val="18"/>
        </w:rPr>
        <w:t> </w:t>
      </w:r>
      <w:r>
        <w:rPr>
          <w:sz w:val="18"/>
        </w:rPr>
        <w:t>the</w:t>
      </w:r>
      <w:r>
        <w:rPr>
          <w:spacing w:val="-5"/>
          <w:sz w:val="18"/>
        </w:rPr>
        <w:t> </w:t>
      </w:r>
      <w:r>
        <w:rPr>
          <w:sz w:val="18"/>
        </w:rPr>
        <w:t>Chair of the House of Lords Sub Committee on the Protocol on Ireland/Northern Ireland, 18 September 2022.</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301"/>
      </w:pPr>
      <w:bookmarkStart w:name="_bookmark25" w:id="55"/>
      <w:bookmarkEnd w:id="55"/>
      <w:r>
        <w:rPr/>
      </w:r>
      <w:r>
        <w:rPr/>
        <w:t>(or Questioning), Intersex+ Strategy. A public consultation on the strategy was due to take place in early 2022, but this process has been delayed. In 2023, progress on the Strategy was hindered by the suspension of the NI Executive.</w:t>
      </w:r>
      <w:r>
        <w:rPr>
          <w:vertAlign w:val="superscript"/>
        </w:rPr>
        <w:t>336</w:t>
      </w:r>
      <w:r>
        <w:rPr>
          <w:spacing w:val="-11"/>
          <w:vertAlign w:val="baseline"/>
        </w:rPr>
        <w:t> </w:t>
      </w:r>
      <w:r>
        <w:rPr>
          <w:vertAlign w:val="baseline"/>
        </w:rPr>
        <w:t>In</w:t>
      </w:r>
      <w:r>
        <w:rPr>
          <w:spacing w:val="-11"/>
          <w:vertAlign w:val="baseline"/>
        </w:rPr>
        <w:t> </w:t>
      </w:r>
      <w:r>
        <w:rPr>
          <w:vertAlign w:val="baseline"/>
        </w:rPr>
        <w:t>March</w:t>
      </w:r>
      <w:r>
        <w:rPr>
          <w:spacing w:val="-11"/>
          <w:vertAlign w:val="baseline"/>
        </w:rPr>
        <w:t> </w:t>
      </w:r>
      <w:r>
        <w:rPr>
          <w:vertAlign w:val="baseline"/>
        </w:rPr>
        <w:t>2024,</w:t>
      </w:r>
      <w:r>
        <w:rPr>
          <w:spacing w:val="-10"/>
          <w:vertAlign w:val="baseline"/>
        </w:rPr>
        <w:t> </w:t>
      </w:r>
      <w:r>
        <w:rPr>
          <w:vertAlign w:val="baseline"/>
        </w:rPr>
        <w:t>the</w:t>
      </w:r>
      <w:r>
        <w:rPr>
          <w:spacing w:val="-10"/>
          <w:vertAlign w:val="baseline"/>
        </w:rPr>
        <w:t> </w:t>
      </w:r>
      <w:r>
        <w:rPr>
          <w:vertAlign w:val="baseline"/>
        </w:rPr>
        <w:t>Department</w:t>
      </w:r>
      <w:r>
        <w:rPr>
          <w:spacing w:val="-10"/>
          <w:vertAlign w:val="baseline"/>
        </w:rPr>
        <w:t> </w:t>
      </w:r>
      <w:r>
        <w:rPr>
          <w:vertAlign w:val="baseline"/>
        </w:rPr>
        <w:t>for</w:t>
      </w:r>
      <w:r>
        <w:rPr>
          <w:spacing w:val="-10"/>
          <w:vertAlign w:val="baseline"/>
        </w:rPr>
        <w:t> </w:t>
      </w:r>
      <w:r>
        <w:rPr>
          <w:vertAlign w:val="baseline"/>
        </w:rPr>
        <w:t>Communities</w:t>
      </w:r>
      <w:r>
        <w:rPr>
          <w:spacing w:val="-11"/>
          <w:vertAlign w:val="baseline"/>
        </w:rPr>
        <w:t> </w:t>
      </w:r>
      <w:r>
        <w:rPr>
          <w:vertAlign w:val="baseline"/>
        </w:rPr>
        <w:t>advised</w:t>
      </w:r>
      <w:r>
        <w:rPr>
          <w:spacing w:val="-11"/>
          <w:vertAlign w:val="baseline"/>
        </w:rPr>
        <w:t> </w:t>
      </w:r>
      <w:r>
        <w:rPr>
          <w:vertAlign w:val="baseline"/>
        </w:rPr>
        <w:t>that</w:t>
      </w:r>
    </w:p>
    <w:p>
      <w:pPr>
        <w:pStyle w:val="BodyText"/>
        <w:spacing w:line="225" w:lineRule="auto"/>
        <w:ind w:left="1853" w:right="1124"/>
      </w:pPr>
      <w:r>
        <w:rPr/>
        <w:t>the</w:t>
      </w:r>
      <w:r>
        <w:rPr>
          <w:spacing w:val="-6"/>
        </w:rPr>
        <w:t> </w:t>
      </w:r>
      <w:r>
        <w:rPr/>
        <w:t>Minister</w:t>
      </w:r>
      <w:r>
        <w:rPr>
          <w:spacing w:val="-6"/>
        </w:rPr>
        <w:t> </w:t>
      </w:r>
      <w:r>
        <w:rPr/>
        <w:t>was</w:t>
      </w:r>
      <w:r>
        <w:rPr>
          <w:spacing w:val="-7"/>
        </w:rPr>
        <w:t> </w:t>
      </w:r>
      <w:r>
        <w:rPr/>
        <w:t>considering</w:t>
      </w:r>
      <w:r>
        <w:rPr>
          <w:spacing w:val="-6"/>
        </w:rPr>
        <w:t> </w:t>
      </w:r>
      <w:r>
        <w:rPr/>
        <w:t>the</w:t>
      </w:r>
      <w:r>
        <w:rPr>
          <w:spacing w:val="-6"/>
        </w:rPr>
        <w:t> </w:t>
      </w:r>
      <w:r>
        <w:rPr/>
        <w:t>next</w:t>
      </w:r>
      <w:r>
        <w:rPr>
          <w:spacing w:val="-6"/>
        </w:rPr>
        <w:t> </w:t>
      </w:r>
      <w:r>
        <w:rPr/>
        <w:t>steps</w:t>
      </w:r>
      <w:r>
        <w:rPr>
          <w:spacing w:val="-7"/>
        </w:rPr>
        <w:t> </w:t>
      </w:r>
      <w:r>
        <w:rPr/>
        <w:t>and</w:t>
      </w:r>
      <w:r>
        <w:rPr>
          <w:spacing w:val="-6"/>
        </w:rPr>
        <w:t> </w:t>
      </w:r>
      <w:r>
        <w:rPr/>
        <w:t>that</w:t>
      </w:r>
      <w:r>
        <w:rPr>
          <w:spacing w:val="-6"/>
        </w:rPr>
        <w:t> </w:t>
      </w:r>
      <w:r>
        <w:rPr/>
        <w:t>final</w:t>
      </w:r>
      <w:r>
        <w:rPr>
          <w:spacing w:val="-6"/>
        </w:rPr>
        <w:t> </w:t>
      </w:r>
      <w:r>
        <w:rPr/>
        <w:t>decisions</w:t>
      </w:r>
      <w:r>
        <w:rPr>
          <w:spacing w:val="-6"/>
        </w:rPr>
        <w:t> </w:t>
      </w:r>
      <w:r>
        <w:rPr/>
        <w:t>on</w:t>
      </w:r>
      <w:r>
        <w:rPr>
          <w:spacing w:val="-6"/>
        </w:rPr>
        <w:t> </w:t>
      </w:r>
      <w:r>
        <w:rPr/>
        <w:t>content and timelines for implementation of the strategy will be subject to Executive </w:t>
      </w:r>
      <w:r>
        <w:rPr>
          <w:spacing w:val="-2"/>
        </w:rPr>
        <w:t>agreement.</w:t>
      </w:r>
      <w:r>
        <w:rPr>
          <w:spacing w:val="-2"/>
          <w:vertAlign w:val="superscript"/>
        </w:rPr>
        <w:t>337</w:t>
      </w:r>
    </w:p>
    <w:p>
      <w:pPr>
        <w:pStyle w:val="BodyText"/>
        <w:spacing w:before="2"/>
        <w:rPr>
          <w:sz w:val="15"/>
        </w:rPr>
      </w:pPr>
      <w:r>
        <w:rPr/>
        <mc:AlternateContent>
          <mc:Choice Requires="wps">
            <w:drawing>
              <wp:anchor distT="0" distB="0" distL="0" distR="0" allowOverlap="1" layoutInCell="1" locked="0" behindDoc="1" simplePos="0" relativeHeight="487663616">
                <wp:simplePos x="0" y="0"/>
                <wp:positionH relativeFrom="page">
                  <wp:posOffset>720001</wp:posOffset>
                </wp:positionH>
                <wp:positionV relativeFrom="paragraph">
                  <wp:posOffset>132778</wp:posOffset>
                </wp:positionV>
                <wp:extent cx="6120130" cy="360045"/>
                <wp:effectExtent l="0" t="0" r="0" b="0"/>
                <wp:wrapTopAndBottom/>
                <wp:docPr id="333" name="Textbox 333"/>
                <wp:cNvGraphicFramePr>
                  <a:graphicFrameLocks/>
                </wp:cNvGraphicFramePr>
                <a:graphic>
                  <a:graphicData uri="http://schemas.microsoft.com/office/word/2010/wordprocessingShape">
                    <wps:wsp>
                      <wps:cNvPr id="333" name="Textbox 333"/>
                      <wps:cNvSpPr txBox="1"/>
                      <wps:spPr>
                        <a:xfrm>
                          <a:off x="0" y="0"/>
                          <a:ext cx="6120130" cy="360045"/>
                        </a:xfrm>
                        <a:prstGeom prst="rect">
                          <a:avLst/>
                        </a:prstGeom>
                        <a:solidFill>
                          <a:srgbClr val="393B7F"/>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10.454985pt;width:481.9pt;height:28.35pt;mso-position-horizontal-relative:page;mso-position-vertical-relative:paragraph;z-index:-15652864;mso-wrap-distance-left:0;mso-wrap-distance-right:0" type="#_x0000_t202" id="docshape284" filled="true" fillcolor="#393b7f"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208" w:after="0"/>
        <w:ind w:left="1853" w:right="1444" w:hanging="720"/>
        <w:jc w:val="left"/>
        <w:rPr>
          <w:b/>
          <w:color w:val="67287F"/>
          <w:sz w:val="28"/>
        </w:rPr>
      </w:pPr>
      <w:r>
        <w:rPr>
          <w:b/>
          <w:color w:val="67287F"/>
          <w:sz w:val="28"/>
        </w:rPr>
        <w:t>The Commissions continue to recommend that the Department for Communities promptly publishes and effectively implements a robust LGBTQI+ Strategy for NI, accompanied by a measurable plan of action, including effective monitoring arrangements, which takes into account its obligations</w:t>
      </w:r>
      <w:r>
        <w:rPr>
          <w:b/>
          <w:color w:val="67287F"/>
          <w:spacing w:val="-6"/>
          <w:sz w:val="28"/>
        </w:rPr>
        <w:t> </w:t>
      </w:r>
      <w:r>
        <w:rPr>
          <w:b/>
          <w:color w:val="67287F"/>
          <w:sz w:val="28"/>
        </w:rPr>
        <w:t>under</w:t>
      </w:r>
      <w:r>
        <w:rPr>
          <w:b/>
          <w:color w:val="67287F"/>
          <w:spacing w:val="-7"/>
          <w:sz w:val="28"/>
        </w:rPr>
        <w:t> </w:t>
      </w:r>
      <w:r>
        <w:rPr>
          <w:b/>
          <w:color w:val="67287F"/>
          <w:sz w:val="28"/>
        </w:rPr>
        <w:t>Windsor</w:t>
      </w:r>
      <w:r>
        <w:rPr>
          <w:b/>
          <w:color w:val="67287F"/>
          <w:spacing w:val="-7"/>
          <w:sz w:val="28"/>
        </w:rPr>
        <w:t> </w:t>
      </w:r>
      <w:r>
        <w:rPr>
          <w:b/>
          <w:color w:val="67287F"/>
          <w:sz w:val="28"/>
        </w:rPr>
        <w:t>Framework</w:t>
      </w:r>
      <w:r>
        <w:rPr>
          <w:b/>
          <w:color w:val="67287F"/>
          <w:spacing w:val="-7"/>
          <w:sz w:val="28"/>
        </w:rPr>
        <w:t> </w:t>
      </w:r>
      <w:r>
        <w:rPr>
          <w:b/>
          <w:color w:val="67287F"/>
          <w:sz w:val="28"/>
        </w:rPr>
        <w:t>Article</w:t>
      </w:r>
      <w:r>
        <w:rPr>
          <w:b/>
          <w:color w:val="67287F"/>
          <w:spacing w:val="-7"/>
          <w:sz w:val="28"/>
        </w:rPr>
        <w:t> </w:t>
      </w:r>
      <w:r>
        <w:rPr>
          <w:b/>
          <w:color w:val="67287F"/>
          <w:sz w:val="28"/>
        </w:rPr>
        <w:t>2.</w:t>
      </w:r>
      <w:r>
        <w:rPr>
          <w:b/>
          <w:color w:val="67287F"/>
          <w:spacing w:val="40"/>
          <w:sz w:val="28"/>
        </w:rPr>
        <w:t> </w:t>
      </w:r>
      <w:r>
        <w:rPr>
          <w:b/>
          <w:color w:val="67287F"/>
          <w:sz w:val="28"/>
        </w:rPr>
        <w:t>This</w:t>
      </w:r>
      <w:r>
        <w:rPr>
          <w:b/>
          <w:color w:val="67287F"/>
          <w:spacing w:val="-6"/>
          <w:sz w:val="28"/>
        </w:rPr>
        <w:t> </w:t>
      </w:r>
      <w:r>
        <w:rPr>
          <w:b/>
          <w:color w:val="67287F"/>
          <w:sz w:val="28"/>
        </w:rPr>
        <w:t>includes</w:t>
      </w:r>
      <w:r>
        <w:rPr>
          <w:b/>
          <w:color w:val="67287F"/>
          <w:spacing w:val="-6"/>
          <w:sz w:val="28"/>
        </w:rPr>
        <w:t> </w:t>
      </w:r>
      <w:r>
        <w:rPr>
          <w:b/>
          <w:color w:val="67287F"/>
          <w:sz w:val="28"/>
        </w:rPr>
        <w:t>the</w:t>
      </w:r>
      <w:r>
        <w:rPr>
          <w:b/>
          <w:color w:val="67287F"/>
          <w:spacing w:val="-7"/>
          <w:sz w:val="28"/>
        </w:rPr>
        <w:t> </w:t>
      </w:r>
      <w:r>
        <w:rPr>
          <w:b/>
          <w:color w:val="67287F"/>
          <w:sz w:val="28"/>
        </w:rPr>
        <w:t>keeping pace obligations relating to the four gender equality directives listed in Annex 1.</w:t>
      </w:r>
    </w:p>
    <w:p>
      <w:pPr>
        <w:pStyle w:val="ListParagraph"/>
        <w:numPr>
          <w:ilvl w:val="1"/>
          <w:numId w:val="7"/>
        </w:numPr>
        <w:tabs>
          <w:tab w:pos="1853" w:val="left" w:leader="none"/>
        </w:tabs>
        <w:spacing w:line="225" w:lineRule="auto" w:before="311" w:after="0"/>
        <w:ind w:left="1853" w:right="1237" w:hanging="720"/>
        <w:jc w:val="left"/>
        <w:rPr>
          <w:b/>
          <w:color w:val="67287F"/>
          <w:sz w:val="28"/>
        </w:rPr>
      </w:pPr>
      <w:r>
        <w:rPr>
          <w:b/>
          <w:color w:val="67287F"/>
          <w:sz w:val="28"/>
        </w:rPr>
        <w:t>The Commissions advise the NI Executive and the Department for Communities</w:t>
      </w:r>
      <w:r>
        <w:rPr>
          <w:b/>
          <w:color w:val="67287F"/>
          <w:spacing w:val="-6"/>
          <w:sz w:val="28"/>
        </w:rPr>
        <w:t> </w:t>
      </w:r>
      <w:r>
        <w:rPr>
          <w:b/>
          <w:color w:val="67287F"/>
          <w:sz w:val="28"/>
        </w:rPr>
        <w:t>that,</w:t>
      </w:r>
      <w:r>
        <w:rPr>
          <w:b/>
          <w:color w:val="67287F"/>
          <w:spacing w:val="-6"/>
          <w:sz w:val="28"/>
        </w:rPr>
        <w:t> </w:t>
      </w:r>
      <w:r>
        <w:rPr>
          <w:b/>
          <w:color w:val="67287F"/>
          <w:sz w:val="28"/>
        </w:rPr>
        <w:t>pursuant</w:t>
      </w:r>
      <w:r>
        <w:rPr>
          <w:b/>
          <w:color w:val="67287F"/>
          <w:spacing w:val="-6"/>
          <w:sz w:val="28"/>
        </w:rPr>
        <w:t> </w:t>
      </w:r>
      <w:r>
        <w:rPr>
          <w:b/>
          <w:color w:val="67287F"/>
          <w:sz w:val="28"/>
        </w:rPr>
        <w:t>to</w:t>
      </w:r>
      <w:r>
        <w:rPr>
          <w:b/>
          <w:color w:val="67287F"/>
          <w:spacing w:val="-6"/>
          <w:sz w:val="28"/>
        </w:rPr>
        <w:t> </w:t>
      </w:r>
      <w:r>
        <w:rPr>
          <w:b/>
          <w:color w:val="67287F"/>
          <w:sz w:val="28"/>
        </w:rPr>
        <w:t>Articles</w:t>
      </w:r>
      <w:r>
        <w:rPr>
          <w:b/>
          <w:color w:val="67287F"/>
          <w:spacing w:val="-6"/>
          <w:sz w:val="28"/>
        </w:rPr>
        <w:t> </w:t>
      </w:r>
      <w:r>
        <w:rPr>
          <w:b/>
          <w:color w:val="67287F"/>
          <w:sz w:val="28"/>
        </w:rPr>
        <w:t>2</w:t>
      </w:r>
      <w:r>
        <w:rPr>
          <w:b/>
          <w:color w:val="67287F"/>
          <w:spacing w:val="-6"/>
          <w:sz w:val="28"/>
        </w:rPr>
        <w:t> </w:t>
      </w:r>
      <w:r>
        <w:rPr>
          <w:b/>
          <w:color w:val="67287F"/>
          <w:sz w:val="28"/>
        </w:rPr>
        <w:t>and</w:t>
      </w:r>
      <w:r>
        <w:rPr>
          <w:b/>
          <w:color w:val="67287F"/>
          <w:spacing w:val="-6"/>
          <w:sz w:val="28"/>
        </w:rPr>
        <w:t> </w:t>
      </w:r>
      <w:r>
        <w:rPr>
          <w:b/>
          <w:color w:val="67287F"/>
          <w:sz w:val="28"/>
        </w:rPr>
        <w:t>13</w:t>
      </w:r>
      <w:r>
        <w:rPr>
          <w:b/>
          <w:color w:val="67287F"/>
          <w:spacing w:val="-6"/>
          <w:sz w:val="28"/>
        </w:rPr>
        <w:t> </w:t>
      </w:r>
      <w:r>
        <w:rPr>
          <w:b/>
          <w:color w:val="67287F"/>
          <w:sz w:val="28"/>
        </w:rPr>
        <w:t>of</w:t>
      </w:r>
      <w:r>
        <w:rPr>
          <w:b/>
          <w:color w:val="67287F"/>
          <w:spacing w:val="-7"/>
          <w:sz w:val="28"/>
        </w:rPr>
        <w:t> </w:t>
      </w:r>
      <w:r>
        <w:rPr>
          <w:b/>
          <w:color w:val="67287F"/>
          <w:sz w:val="28"/>
        </w:rPr>
        <w:t>the</w:t>
      </w:r>
      <w:r>
        <w:rPr>
          <w:b/>
          <w:color w:val="67287F"/>
          <w:spacing w:val="-7"/>
          <w:sz w:val="28"/>
        </w:rPr>
        <w:t> </w:t>
      </w:r>
      <w:r>
        <w:rPr>
          <w:b/>
          <w:color w:val="67287F"/>
          <w:sz w:val="28"/>
        </w:rPr>
        <w:t>Windsor</w:t>
      </w:r>
      <w:r>
        <w:rPr>
          <w:b/>
          <w:color w:val="67287F"/>
          <w:spacing w:val="-7"/>
          <w:sz w:val="28"/>
        </w:rPr>
        <w:t> </w:t>
      </w:r>
      <w:r>
        <w:rPr>
          <w:b/>
          <w:color w:val="67287F"/>
          <w:sz w:val="28"/>
        </w:rPr>
        <w:t>Framework, NI law should be amended to keep pace with those provisions of the EU directives on standards for equality bodies, if adopted, which amend</w:t>
      </w:r>
    </w:p>
    <w:p>
      <w:pPr>
        <w:spacing w:line="225" w:lineRule="auto" w:before="0"/>
        <w:ind w:left="1853" w:right="1171" w:firstLine="0"/>
        <w:jc w:val="left"/>
        <w:rPr>
          <w:b/>
          <w:sz w:val="28"/>
        </w:rPr>
      </w:pPr>
      <w:r>
        <w:rPr>
          <w:b/>
          <w:color w:val="67287F"/>
          <w:sz w:val="28"/>
        </w:rPr>
        <w:t>or</w:t>
      </w:r>
      <w:r>
        <w:rPr>
          <w:b/>
          <w:color w:val="67287F"/>
          <w:spacing w:val="-5"/>
          <w:sz w:val="28"/>
        </w:rPr>
        <w:t> </w:t>
      </w:r>
      <w:r>
        <w:rPr>
          <w:b/>
          <w:color w:val="67287F"/>
          <w:sz w:val="28"/>
        </w:rPr>
        <w:t>replace</w:t>
      </w:r>
      <w:r>
        <w:rPr>
          <w:b/>
          <w:color w:val="67287F"/>
          <w:spacing w:val="-5"/>
          <w:sz w:val="28"/>
        </w:rPr>
        <w:t> </w:t>
      </w:r>
      <w:r>
        <w:rPr>
          <w:b/>
          <w:color w:val="67287F"/>
          <w:sz w:val="28"/>
        </w:rPr>
        <w:t>the</w:t>
      </w:r>
      <w:r>
        <w:rPr>
          <w:b/>
          <w:color w:val="67287F"/>
          <w:spacing w:val="-5"/>
          <w:sz w:val="28"/>
        </w:rPr>
        <w:t> </w:t>
      </w:r>
      <w:r>
        <w:rPr>
          <w:b/>
          <w:color w:val="67287F"/>
          <w:sz w:val="28"/>
        </w:rPr>
        <w:t>EU</w:t>
      </w:r>
      <w:r>
        <w:rPr>
          <w:b/>
          <w:color w:val="67287F"/>
          <w:spacing w:val="-4"/>
          <w:sz w:val="28"/>
        </w:rPr>
        <w:t> </w:t>
      </w:r>
      <w:r>
        <w:rPr>
          <w:b/>
          <w:color w:val="67287F"/>
          <w:sz w:val="28"/>
        </w:rPr>
        <w:t>Gender</w:t>
      </w:r>
      <w:r>
        <w:rPr>
          <w:b/>
          <w:color w:val="67287F"/>
          <w:spacing w:val="-5"/>
          <w:sz w:val="28"/>
        </w:rPr>
        <w:t> </w:t>
      </w:r>
      <w:r>
        <w:rPr>
          <w:b/>
          <w:color w:val="67287F"/>
          <w:sz w:val="28"/>
        </w:rPr>
        <w:t>(Goods</w:t>
      </w:r>
      <w:r>
        <w:rPr>
          <w:b/>
          <w:color w:val="67287F"/>
          <w:spacing w:val="-4"/>
          <w:sz w:val="28"/>
        </w:rPr>
        <w:t> </w:t>
      </w:r>
      <w:r>
        <w:rPr>
          <w:b/>
          <w:color w:val="67287F"/>
          <w:sz w:val="28"/>
        </w:rPr>
        <w:t>and</w:t>
      </w:r>
      <w:r>
        <w:rPr>
          <w:b/>
          <w:color w:val="67287F"/>
          <w:spacing w:val="-4"/>
          <w:sz w:val="28"/>
        </w:rPr>
        <w:t> </w:t>
      </w:r>
      <w:r>
        <w:rPr>
          <w:b/>
          <w:color w:val="67287F"/>
          <w:sz w:val="28"/>
        </w:rPr>
        <w:t>Services)</w:t>
      </w:r>
      <w:r>
        <w:rPr>
          <w:b/>
          <w:color w:val="67287F"/>
          <w:spacing w:val="-4"/>
          <w:sz w:val="28"/>
        </w:rPr>
        <w:t> </w:t>
      </w:r>
      <w:r>
        <w:rPr>
          <w:b/>
          <w:color w:val="67287F"/>
          <w:sz w:val="28"/>
        </w:rPr>
        <w:t>Directive,</w:t>
      </w:r>
      <w:r>
        <w:rPr>
          <w:b/>
          <w:color w:val="67287F"/>
          <w:spacing w:val="-4"/>
          <w:sz w:val="28"/>
        </w:rPr>
        <w:t> </w:t>
      </w:r>
      <w:r>
        <w:rPr>
          <w:b/>
          <w:color w:val="67287F"/>
          <w:sz w:val="28"/>
        </w:rPr>
        <w:t>the</w:t>
      </w:r>
      <w:r>
        <w:rPr>
          <w:b/>
          <w:color w:val="67287F"/>
          <w:spacing w:val="-5"/>
          <w:sz w:val="28"/>
        </w:rPr>
        <w:t> </w:t>
      </w:r>
      <w:r>
        <w:rPr>
          <w:b/>
          <w:color w:val="67287F"/>
          <w:sz w:val="28"/>
        </w:rPr>
        <w:t>EU</w:t>
      </w:r>
      <w:r>
        <w:rPr>
          <w:b/>
          <w:color w:val="67287F"/>
          <w:spacing w:val="-4"/>
          <w:sz w:val="28"/>
        </w:rPr>
        <w:t> </w:t>
      </w:r>
      <w:r>
        <w:rPr>
          <w:b/>
          <w:color w:val="67287F"/>
          <w:sz w:val="28"/>
        </w:rPr>
        <w:t>Equal Treatment (Employment) Directive and EU Equal Treatment (Self- Employment) Directive.</w:t>
      </w:r>
    </w:p>
    <w:p>
      <w:pPr>
        <w:pStyle w:val="Heading3"/>
        <w:spacing w:before="339"/>
      </w:pPr>
      <w:bookmarkStart w:name="Victims’ Rights and Freedom from Slavery" w:id="56"/>
      <w:bookmarkEnd w:id="56"/>
      <w:r>
        <w:rPr>
          <w:b w:val="0"/>
        </w:rPr>
      </w:r>
      <w:r>
        <w:rPr>
          <w:color w:val="67287F"/>
        </w:rPr>
        <w:t>Victims’</w:t>
      </w:r>
      <w:r>
        <w:rPr>
          <w:color w:val="67287F"/>
          <w:spacing w:val="-7"/>
        </w:rPr>
        <w:t> </w:t>
      </w:r>
      <w:r>
        <w:rPr>
          <w:color w:val="67287F"/>
        </w:rPr>
        <w:t>Rights</w:t>
      </w:r>
      <w:r>
        <w:rPr>
          <w:color w:val="67287F"/>
          <w:spacing w:val="-7"/>
        </w:rPr>
        <w:t> </w:t>
      </w:r>
      <w:r>
        <w:rPr>
          <w:color w:val="67287F"/>
        </w:rPr>
        <w:t>and</w:t>
      </w:r>
      <w:r>
        <w:rPr>
          <w:color w:val="67287F"/>
          <w:spacing w:val="-6"/>
        </w:rPr>
        <w:t> </w:t>
      </w:r>
      <w:r>
        <w:rPr>
          <w:color w:val="67287F"/>
        </w:rPr>
        <w:t>Freedom</w:t>
      </w:r>
      <w:r>
        <w:rPr>
          <w:color w:val="67287F"/>
          <w:spacing w:val="-8"/>
        </w:rPr>
        <w:t> </w:t>
      </w:r>
      <w:r>
        <w:rPr>
          <w:color w:val="67287F"/>
        </w:rPr>
        <w:t>from</w:t>
      </w:r>
      <w:r>
        <w:rPr>
          <w:color w:val="67287F"/>
          <w:spacing w:val="-7"/>
        </w:rPr>
        <w:t> </w:t>
      </w:r>
      <w:r>
        <w:rPr>
          <w:color w:val="67287F"/>
          <w:spacing w:val="-2"/>
        </w:rPr>
        <w:t>Slavery</w:t>
      </w:r>
    </w:p>
    <w:p>
      <w:pPr>
        <w:pStyle w:val="BodyText"/>
        <w:spacing w:before="4"/>
        <w:rPr>
          <w:b/>
          <w:sz w:val="5"/>
        </w:rPr>
      </w:pPr>
      <w:r>
        <w:rPr/>
        <mc:AlternateContent>
          <mc:Choice Requires="wps">
            <w:drawing>
              <wp:anchor distT="0" distB="0" distL="0" distR="0" allowOverlap="1" layoutInCell="1" locked="0" behindDoc="1" simplePos="0" relativeHeight="487664128">
                <wp:simplePos x="0" y="0"/>
                <wp:positionH relativeFrom="page">
                  <wp:posOffset>719997</wp:posOffset>
                </wp:positionH>
                <wp:positionV relativeFrom="paragraph">
                  <wp:posOffset>56977</wp:posOffset>
                </wp:positionV>
                <wp:extent cx="6120130" cy="1270"/>
                <wp:effectExtent l="0" t="0" r="0" b="0"/>
                <wp:wrapTopAndBottom/>
                <wp:docPr id="334" name="Graphic 334"/>
                <wp:cNvGraphicFramePr>
                  <a:graphicFrameLocks/>
                </wp:cNvGraphicFramePr>
                <a:graphic>
                  <a:graphicData uri="http://schemas.microsoft.com/office/word/2010/wordprocessingShape">
                    <wps:wsp>
                      <wps:cNvPr id="334" name="Graphic 334"/>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4.4864pt;width:481.9pt;height:.1pt;mso-position-horizontal-relative:page;mso-position-vertical-relative:paragraph;z-index:-15652352;mso-wrap-distance-left:0;mso-wrap-distance-right:0" id="docshape285" coordorigin="1134,90" coordsize="9638,0" path="m10772,90l1134,90e" filled="false" stroked="true" strokeweight="1pt" strokecolor="#67287f">
                <v:path arrowok="t"/>
                <v:stroke dashstyle="solid"/>
                <w10:wrap type="topAndBottom"/>
              </v:shape>
            </w:pict>
          </mc:Fallback>
        </mc:AlternateContent>
      </w:r>
    </w:p>
    <w:p>
      <w:pPr>
        <w:pStyle w:val="ListParagraph"/>
        <w:numPr>
          <w:ilvl w:val="1"/>
          <w:numId w:val="7"/>
        </w:numPr>
        <w:tabs>
          <w:tab w:pos="1853" w:val="left" w:leader="none"/>
        </w:tabs>
        <w:spacing w:line="225" w:lineRule="auto" w:before="335" w:after="0"/>
        <w:ind w:left="1853" w:right="1609" w:hanging="720"/>
        <w:jc w:val="left"/>
        <w:rPr>
          <w:sz w:val="28"/>
        </w:rPr>
      </w:pPr>
      <w:r>
        <w:rPr>
          <w:sz w:val="28"/>
        </w:rPr>
        <w:t>In the rights, safeguards and equality of opportunity section of the Belfast (Good</w:t>
      </w:r>
      <w:r>
        <w:rPr>
          <w:spacing w:val="-9"/>
          <w:sz w:val="28"/>
        </w:rPr>
        <w:t> </w:t>
      </w:r>
      <w:r>
        <w:rPr>
          <w:sz w:val="28"/>
        </w:rPr>
        <w:t>Friday)</w:t>
      </w:r>
      <w:r>
        <w:rPr>
          <w:spacing w:val="-9"/>
          <w:sz w:val="28"/>
        </w:rPr>
        <w:t> </w:t>
      </w:r>
      <w:r>
        <w:rPr>
          <w:sz w:val="28"/>
        </w:rPr>
        <w:t>Agreement</w:t>
      </w:r>
      <w:r>
        <w:rPr>
          <w:spacing w:val="-8"/>
          <w:sz w:val="28"/>
        </w:rPr>
        <w:t> </w:t>
      </w:r>
      <w:r>
        <w:rPr>
          <w:sz w:val="28"/>
        </w:rPr>
        <w:t>the</w:t>
      </w:r>
      <w:r>
        <w:rPr>
          <w:spacing w:val="-8"/>
          <w:sz w:val="28"/>
        </w:rPr>
        <w:t> </w:t>
      </w:r>
      <w:r>
        <w:rPr>
          <w:sz w:val="28"/>
        </w:rPr>
        <w:t>parties</w:t>
      </w:r>
      <w:r>
        <w:rPr>
          <w:spacing w:val="-9"/>
          <w:sz w:val="28"/>
        </w:rPr>
        <w:t> </w:t>
      </w:r>
      <w:r>
        <w:rPr>
          <w:sz w:val="28"/>
        </w:rPr>
        <w:t>affirmed</w:t>
      </w:r>
      <w:r>
        <w:rPr>
          <w:spacing w:val="-9"/>
          <w:sz w:val="28"/>
        </w:rPr>
        <w:t> </w:t>
      </w:r>
      <w:r>
        <w:rPr>
          <w:sz w:val="28"/>
        </w:rPr>
        <w:t>their</w:t>
      </w:r>
      <w:r>
        <w:rPr>
          <w:spacing w:val="-8"/>
          <w:sz w:val="28"/>
        </w:rPr>
        <w:t> </w:t>
      </w:r>
      <w:r>
        <w:rPr>
          <w:sz w:val="28"/>
        </w:rPr>
        <w:t>“commitment</w:t>
      </w:r>
      <w:r>
        <w:rPr>
          <w:spacing w:val="-8"/>
          <w:sz w:val="28"/>
        </w:rPr>
        <w:t> </w:t>
      </w:r>
      <w:r>
        <w:rPr>
          <w:sz w:val="28"/>
        </w:rPr>
        <w:t>to</w:t>
      </w:r>
      <w:r>
        <w:rPr>
          <w:spacing w:val="-9"/>
          <w:sz w:val="28"/>
        </w:rPr>
        <w:t> </w:t>
      </w:r>
      <w:r>
        <w:rPr>
          <w:sz w:val="28"/>
        </w:rPr>
        <w:t>…</w:t>
      </w:r>
      <w:r>
        <w:rPr>
          <w:spacing w:val="-9"/>
          <w:sz w:val="28"/>
        </w:rPr>
        <w:t> </w:t>
      </w:r>
      <w:r>
        <w:rPr>
          <w:sz w:val="28"/>
        </w:rPr>
        <w:t>the civil rights and religious liberties of everyone in the community” before affirming “in particular” a non-exhaustive list of rights and safeguards.</w:t>
      </w:r>
      <w:r>
        <w:rPr>
          <w:sz w:val="28"/>
          <w:vertAlign w:val="superscript"/>
        </w:rPr>
        <w:t>338</w:t>
      </w:r>
      <w:r>
        <w:rPr>
          <w:sz w:val="28"/>
          <w:vertAlign w:val="baseline"/>
        </w:rPr>
        <w:t> This section is headed ‘Human Rights’ and includes the UK Government’s</w:t>
      </w:r>
    </w:p>
    <w:p>
      <w:pPr>
        <w:pStyle w:val="BodyText"/>
        <w:spacing w:line="225" w:lineRule="auto"/>
        <w:ind w:left="1853" w:right="1213"/>
        <w:jc w:val="both"/>
      </w:pPr>
      <w:r>
        <w:rPr/>
        <w:t>commitment</w:t>
      </w:r>
      <w:r>
        <w:rPr>
          <w:spacing w:val="-5"/>
        </w:rPr>
        <w:t> </w:t>
      </w:r>
      <w:r>
        <w:rPr/>
        <w:t>to</w:t>
      </w:r>
      <w:r>
        <w:rPr>
          <w:spacing w:val="-6"/>
        </w:rPr>
        <w:t> </w:t>
      </w:r>
      <w:r>
        <w:rPr/>
        <w:t>the</w:t>
      </w:r>
      <w:r>
        <w:rPr>
          <w:spacing w:val="-5"/>
        </w:rPr>
        <w:t> </w:t>
      </w:r>
      <w:r>
        <w:rPr/>
        <w:t>incorporation</w:t>
      </w:r>
      <w:r>
        <w:rPr>
          <w:spacing w:val="-6"/>
        </w:rPr>
        <w:t> </w:t>
      </w:r>
      <w:r>
        <w:rPr/>
        <w:t>of</w:t>
      </w:r>
      <w:r>
        <w:rPr>
          <w:spacing w:val="-6"/>
        </w:rPr>
        <w:t> </w:t>
      </w:r>
      <w:r>
        <w:rPr/>
        <w:t>the</w:t>
      </w:r>
      <w:r>
        <w:rPr>
          <w:spacing w:val="-5"/>
        </w:rPr>
        <w:t> </w:t>
      </w:r>
      <w:r>
        <w:rPr/>
        <w:t>ECHR</w:t>
      </w:r>
      <w:r>
        <w:rPr>
          <w:spacing w:val="-6"/>
        </w:rPr>
        <w:t> </w:t>
      </w:r>
      <w:r>
        <w:rPr/>
        <w:t>with</w:t>
      </w:r>
      <w:r>
        <w:rPr>
          <w:spacing w:val="-6"/>
        </w:rPr>
        <w:t> </w:t>
      </w:r>
      <w:r>
        <w:rPr/>
        <w:t>direct</w:t>
      </w:r>
      <w:r>
        <w:rPr>
          <w:spacing w:val="-5"/>
        </w:rPr>
        <w:t> </w:t>
      </w:r>
      <w:r>
        <w:rPr/>
        <w:t>access</w:t>
      </w:r>
      <w:r>
        <w:rPr>
          <w:spacing w:val="-6"/>
        </w:rPr>
        <w:t> </w:t>
      </w:r>
      <w:r>
        <w:rPr/>
        <w:t>to</w:t>
      </w:r>
      <w:r>
        <w:rPr>
          <w:spacing w:val="-6"/>
        </w:rPr>
        <w:t> </w:t>
      </w:r>
      <w:r>
        <w:rPr/>
        <w:t>the</w:t>
      </w:r>
      <w:r>
        <w:rPr>
          <w:spacing w:val="-5"/>
        </w:rPr>
        <w:t> </w:t>
      </w:r>
      <w:r>
        <w:rPr/>
        <w:t>courts and</w:t>
      </w:r>
      <w:r>
        <w:rPr>
          <w:spacing w:val="-2"/>
        </w:rPr>
        <w:t> </w:t>
      </w:r>
      <w:r>
        <w:rPr/>
        <w:t>remedies</w:t>
      </w:r>
      <w:r>
        <w:rPr>
          <w:spacing w:val="-2"/>
        </w:rPr>
        <w:t> </w:t>
      </w:r>
      <w:r>
        <w:rPr/>
        <w:t>for</w:t>
      </w:r>
      <w:r>
        <w:rPr>
          <w:spacing w:val="-1"/>
        </w:rPr>
        <w:t> </w:t>
      </w:r>
      <w:r>
        <w:rPr/>
        <w:t>breach.</w:t>
      </w:r>
      <w:r>
        <w:rPr>
          <w:vertAlign w:val="superscript"/>
        </w:rPr>
        <w:t>339</w:t>
      </w:r>
      <w:r>
        <w:rPr>
          <w:spacing w:val="-2"/>
          <w:vertAlign w:val="baseline"/>
        </w:rPr>
        <w:t> </w:t>
      </w:r>
      <w:r>
        <w:rPr>
          <w:vertAlign w:val="baseline"/>
        </w:rPr>
        <w:t>The</w:t>
      </w:r>
      <w:r>
        <w:rPr>
          <w:spacing w:val="-1"/>
          <w:vertAlign w:val="baseline"/>
        </w:rPr>
        <w:t> </w:t>
      </w:r>
      <w:r>
        <w:rPr>
          <w:vertAlign w:val="baseline"/>
        </w:rPr>
        <w:t>chapter</w:t>
      </w:r>
      <w:r>
        <w:rPr>
          <w:spacing w:val="-1"/>
          <w:vertAlign w:val="baseline"/>
        </w:rPr>
        <w:t> </w:t>
      </w:r>
      <w:r>
        <w:rPr>
          <w:vertAlign w:val="baseline"/>
        </w:rPr>
        <w:t>also</w:t>
      </w:r>
      <w:r>
        <w:rPr>
          <w:spacing w:val="-2"/>
          <w:vertAlign w:val="baseline"/>
        </w:rPr>
        <w:t> </w:t>
      </w:r>
      <w:r>
        <w:rPr>
          <w:vertAlign w:val="baseline"/>
        </w:rPr>
        <w:t>includes</w:t>
      </w:r>
      <w:r>
        <w:rPr>
          <w:spacing w:val="-2"/>
          <w:vertAlign w:val="baseline"/>
        </w:rPr>
        <w:t> </w:t>
      </w:r>
      <w:r>
        <w:rPr>
          <w:vertAlign w:val="baseline"/>
        </w:rPr>
        <w:t>“the</w:t>
      </w:r>
      <w:r>
        <w:rPr>
          <w:spacing w:val="-1"/>
          <w:vertAlign w:val="baseline"/>
        </w:rPr>
        <w:t> </w:t>
      </w:r>
      <w:r>
        <w:rPr>
          <w:vertAlign w:val="baseline"/>
        </w:rPr>
        <w:t>rights</w:t>
      </w:r>
      <w:r>
        <w:rPr>
          <w:spacing w:val="-2"/>
          <w:vertAlign w:val="baseline"/>
        </w:rPr>
        <w:t> </w:t>
      </w:r>
      <w:r>
        <w:rPr>
          <w:vertAlign w:val="baseline"/>
        </w:rPr>
        <w:t>of</w:t>
      </w:r>
      <w:r>
        <w:rPr>
          <w:spacing w:val="-2"/>
          <w:vertAlign w:val="baseline"/>
        </w:rPr>
        <w:t> </w:t>
      </w:r>
      <w:r>
        <w:rPr>
          <w:vertAlign w:val="baseline"/>
        </w:rPr>
        <w:t>victims</w:t>
      </w:r>
      <w:r>
        <w:rPr>
          <w:spacing w:val="-2"/>
          <w:vertAlign w:val="baseline"/>
        </w:rPr>
        <w:t> </w:t>
      </w:r>
      <w:r>
        <w:rPr>
          <w:vertAlign w:val="baseline"/>
        </w:rPr>
        <w:t>to remember as well as to contribute to a changed society”.</w:t>
      </w:r>
      <w:r>
        <w:rPr>
          <w:vertAlign w:val="superscript"/>
        </w:rPr>
        <w:t>340</w:t>
      </w:r>
    </w:p>
    <w:p>
      <w:pPr>
        <w:pStyle w:val="BodyText"/>
        <w:spacing w:before="4"/>
        <w:rPr>
          <w:sz w:val="20"/>
        </w:rPr>
      </w:pPr>
      <w:r>
        <w:rPr/>
        <mc:AlternateContent>
          <mc:Choice Requires="wps">
            <w:drawing>
              <wp:anchor distT="0" distB="0" distL="0" distR="0" allowOverlap="1" layoutInCell="1" locked="0" behindDoc="1" simplePos="0" relativeHeight="487664640">
                <wp:simplePos x="0" y="0"/>
                <wp:positionH relativeFrom="page">
                  <wp:posOffset>719996</wp:posOffset>
                </wp:positionH>
                <wp:positionV relativeFrom="paragraph">
                  <wp:posOffset>173303</wp:posOffset>
                </wp:positionV>
                <wp:extent cx="6120130" cy="1270"/>
                <wp:effectExtent l="0" t="0" r="0" b="0"/>
                <wp:wrapTopAndBottom/>
                <wp:docPr id="335" name="Graphic 335"/>
                <wp:cNvGraphicFramePr>
                  <a:graphicFrameLocks/>
                </wp:cNvGraphicFramePr>
                <a:graphic>
                  <a:graphicData uri="http://schemas.microsoft.com/office/word/2010/wordprocessingShape">
                    <wps:wsp>
                      <wps:cNvPr id="335" name="Graphic 33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3.645975pt;width:481.9pt;height:.1pt;mso-position-horizontal-relative:page;mso-position-vertical-relative:paragraph;z-index:-15651840;mso-wrap-distance-left:0;mso-wrap-distance-right:0" id="docshape286" coordorigin="1134,273" coordsize="9638,0" path="m10772,273l1134,273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18" w:lineRule="exact" w:before="139" w:after="0"/>
        <w:ind w:left="1853" w:right="0" w:hanging="720"/>
        <w:jc w:val="left"/>
        <w:rPr>
          <w:sz w:val="18"/>
        </w:rPr>
      </w:pPr>
      <w:r>
        <w:rPr>
          <w:sz w:val="18"/>
        </w:rPr>
        <w:t>Letter</w:t>
      </w:r>
      <w:r>
        <w:rPr>
          <w:spacing w:val="-5"/>
          <w:sz w:val="18"/>
        </w:rPr>
        <w:t> </w:t>
      </w:r>
      <w:r>
        <w:rPr>
          <w:sz w:val="18"/>
        </w:rPr>
        <w:t>from</w:t>
      </w:r>
      <w:r>
        <w:rPr>
          <w:spacing w:val="-5"/>
          <w:sz w:val="18"/>
        </w:rPr>
        <w:t> </w:t>
      </w:r>
      <w:r>
        <w:rPr>
          <w:sz w:val="18"/>
        </w:rPr>
        <w:t>Department</w:t>
      </w:r>
      <w:r>
        <w:rPr>
          <w:spacing w:val="-5"/>
          <w:sz w:val="18"/>
        </w:rPr>
        <w:t> </w:t>
      </w:r>
      <w:r>
        <w:rPr>
          <w:sz w:val="18"/>
        </w:rPr>
        <w:t>for</w:t>
      </w:r>
      <w:r>
        <w:rPr>
          <w:spacing w:val="-5"/>
          <w:sz w:val="18"/>
        </w:rPr>
        <w:t> </w:t>
      </w:r>
      <w:r>
        <w:rPr>
          <w:sz w:val="18"/>
        </w:rPr>
        <w:t>Communities</w:t>
      </w:r>
      <w:r>
        <w:rPr>
          <w:spacing w:val="-6"/>
          <w:sz w:val="18"/>
        </w:rPr>
        <w:t> </w:t>
      </w:r>
      <w:r>
        <w:rPr>
          <w:sz w:val="18"/>
        </w:rPr>
        <w:t>to</w:t>
      </w:r>
      <w:r>
        <w:rPr>
          <w:spacing w:val="-6"/>
          <w:sz w:val="18"/>
        </w:rPr>
        <w:t> </w:t>
      </w:r>
      <w:r>
        <w:rPr>
          <w:sz w:val="18"/>
        </w:rPr>
        <w:t>NI</w:t>
      </w:r>
      <w:r>
        <w:rPr>
          <w:spacing w:val="-5"/>
          <w:sz w:val="18"/>
        </w:rPr>
        <w:t> </w:t>
      </w:r>
      <w:r>
        <w:rPr>
          <w:sz w:val="18"/>
        </w:rPr>
        <w:t>Human</w:t>
      </w:r>
      <w:r>
        <w:rPr>
          <w:spacing w:val="-6"/>
          <w:sz w:val="18"/>
        </w:rPr>
        <w:t> </w:t>
      </w:r>
      <w:r>
        <w:rPr>
          <w:sz w:val="18"/>
        </w:rPr>
        <w:t>Rights</w:t>
      </w:r>
      <w:r>
        <w:rPr>
          <w:spacing w:val="-6"/>
          <w:sz w:val="18"/>
        </w:rPr>
        <w:t> </w:t>
      </w:r>
      <w:r>
        <w:rPr>
          <w:sz w:val="18"/>
        </w:rPr>
        <w:t>Commission,</w:t>
      </w:r>
      <w:r>
        <w:rPr>
          <w:spacing w:val="-5"/>
          <w:sz w:val="18"/>
        </w:rPr>
        <w:t> </w:t>
      </w:r>
      <w:r>
        <w:rPr>
          <w:sz w:val="18"/>
        </w:rPr>
        <w:t>16</w:t>
      </w:r>
      <w:r>
        <w:rPr>
          <w:spacing w:val="-4"/>
          <w:sz w:val="18"/>
        </w:rPr>
        <w:t> </w:t>
      </w:r>
      <w:r>
        <w:rPr>
          <w:sz w:val="18"/>
        </w:rPr>
        <w:t>June</w:t>
      </w:r>
      <w:r>
        <w:rPr>
          <w:spacing w:val="-5"/>
          <w:sz w:val="18"/>
        </w:rPr>
        <w:t> </w:t>
      </w:r>
      <w:r>
        <w:rPr>
          <w:spacing w:val="-2"/>
          <w:sz w:val="18"/>
        </w:rPr>
        <w:t>2023.</w:t>
      </w:r>
    </w:p>
    <w:p>
      <w:pPr>
        <w:pStyle w:val="ListParagraph"/>
        <w:numPr>
          <w:ilvl w:val="0"/>
          <w:numId w:val="9"/>
        </w:numPr>
        <w:tabs>
          <w:tab w:pos="1853" w:val="left" w:leader="none"/>
        </w:tabs>
        <w:spacing w:line="216" w:lineRule="exact" w:before="0" w:after="0"/>
        <w:ind w:left="1853" w:right="0" w:hanging="720"/>
        <w:jc w:val="left"/>
        <w:rPr>
          <w:sz w:val="18"/>
        </w:rPr>
      </w:pPr>
      <w:r>
        <w:rPr>
          <w:sz w:val="18"/>
        </w:rPr>
        <w:t>Email</w:t>
      </w:r>
      <w:r>
        <w:rPr>
          <w:spacing w:val="-6"/>
          <w:sz w:val="18"/>
        </w:rPr>
        <w:t> </w:t>
      </w:r>
      <w:r>
        <w:rPr>
          <w:sz w:val="18"/>
        </w:rPr>
        <w:t>correspondence</w:t>
      </w:r>
      <w:r>
        <w:rPr>
          <w:spacing w:val="-5"/>
          <w:sz w:val="18"/>
        </w:rPr>
        <w:t> </w:t>
      </w:r>
      <w:r>
        <w:rPr>
          <w:sz w:val="18"/>
        </w:rPr>
        <w:t>from</w:t>
      </w:r>
      <w:r>
        <w:rPr>
          <w:spacing w:val="-5"/>
          <w:sz w:val="18"/>
        </w:rPr>
        <w:t> </w:t>
      </w:r>
      <w:r>
        <w:rPr>
          <w:sz w:val="18"/>
        </w:rPr>
        <w:t>Department</w:t>
      </w:r>
      <w:r>
        <w:rPr>
          <w:spacing w:val="-5"/>
          <w:sz w:val="18"/>
        </w:rPr>
        <w:t> </w:t>
      </w:r>
      <w:r>
        <w:rPr>
          <w:sz w:val="18"/>
        </w:rPr>
        <w:t>for</w:t>
      </w:r>
      <w:r>
        <w:rPr>
          <w:spacing w:val="-4"/>
          <w:sz w:val="18"/>
        </w:rPr>
        <w:t> </w:t>
      </w:r>
      <w:r>
        <w:rPr>
          <w:sz w:val="18"/>
        </w:rPr>
        <w:t>Communities</w:t>
      </w:r>
      <w:r>
        <w:rPr>
          <w:spacing w:val="-6"/>
          <w:sz w:val="18"/>
        </w:rPr>
        <w:t> </w:t>
      </w:r>
      <w:r>
        <w:rPr>
          <w:sz w:val="18"/>
        </w:rPr>
        <w:t>to</w:t>
      </w:r>
      <w:r>
        <w:rPr>
          <w:spacing w:val="-6"/>
          <w:sz w:val="18"/>
        </w:rPr>
        <w:t> </w:t>
      </w:r>
      <w:r>
        <w:rPr>
          <w:sz w:val="18"/>
        </w:rPr>
        <w:t>NI</w:t>
      </w:r>
      <w:r>
        <w:rPr>
          <w:spacing w:val="-5"/>
          <w:sz w:val="18"/>
        </w:rPr>
        <w:t> </w:t>
      </w:r>
      <w:r>
        <w:rPr>
          <w:sz w:val="18"/>
        </w:rPr>
        <w:t>Human</w:t>
      </w:r>
      <w:r>
        <w:rPr>
          <w:spacing w:val="-5"/>
          <w:sz w:val="18"/>
        </w:rPr>
        <w:t> </w:t>
      </w:r>
      <w:r>
        <w:rPr>
          <w:sz w:val="18"/>
        </w:rPr>
        <w:t>Rights</w:t>
      </w:r>
      <w:r>
        <w:rPr>
          <w:spacing w:val="-6"/>
          <w:sz w:val="18"/>
        </w:rPr>
        <w:t> </w:t>
      </w:r>
      <w:r>
        <w:rPr>
          <w:sz w:val="18"/>
        </w:rPr>
        <w:t>Commission,</w:t>
      </w:r>
      <w:r>
        <w:rPr>
          <w:spacing w:val="-5"/>
          <w:sz w:val="18"/>
        </w:rPr>
        <w:t> </w:t>
      </w:r>
      <w:r>
        <w:rPr>
          <w:sz w:val="18"/>
        </w:rPr>
        <w:t>25</w:t>
      </w:r>
      <w:r>
        <w:rPr>
          <w:spacing w:val="-5"/>
          <w:sz w:val="18"/>
        </w:rPr>
        <w:t> </w:t>
      </w:r>
      <w:r>
        <w:rPr>
          <w:sz w:val="18"/>
        </w:rPr>
        <w:t>March</w:t>
      </w:r>
      <w:r>
        <w:rPr>
          <w:spacing w:val="-5"/>
          <w:sz w:val="18"/>
        </w:rPr>
        <w:t> </w:t>
      </w:r>
      <w:r>
        <w:rPr>
          <w:spacing w:val="-2"/>
          <w:sz w:val="18"/>
        </w:rPr>
        <w:t>2024.</w:t>
      </w:r>
    </w:p>
    <w:p>
      <w:pPr>
        <w:pStyle w:val="ListParagraph"/>
        <w:numPr>
          <w:ilvl w:val="0"/>
          <w:numId w:val="9"/>
        </w:numPr>
        <w:tabs>
          <w:tab w:pos="1853" w:val="left" w:leader="none"/>
        </w:tabs>
        <w:spacing w:line="235" w:lineRule="auto" w:before="1" w:after="0"/>
        <w:ind w:left="1853" w:right="1493" w:hanging="720"/>
        <w:jc w:val="left"/>
        <w:rPr>
          <w:i/>
          <w:sz w:val="18"/>
        </w:rPr>
      </w:pPr>
      <w:r>
        <w:rPr>
          <w:sz w:val="18"/>
        </w:rPr>
        <w:t>Belfast (Good Friday) Agreement, 10 April 1998, at Part 6 on Rights, Safeguards and Equality of Opportunity-Human Rights.</w:t>
      </w:r>
      <w:r>
        <w:rPr>
          <w:spacing w:val="-5"/>
          <w:sz w:val="18"/>
        </w:rPr>
        <w:t> </w:t>
      </w:r>
      <w:r>
        <w:rPr>
          <w:sz w:val="18"/>
        </w:rPr>
        <w:t>See</w:t>
      </w:r>
      <w:r>
        <w:rPr>
          <w:spacing w:val="-4"/>
          <w:sz w:val="18"/>
        </w:rPr>
        <w:t> </w:t>
      </w:r>
      <w:r>
        <w:rPr>
          <w:sz w:val="18"/>
        </w:rPr>
        <w:t>also</w:t>
      </w:r>
      <w:r>
        <w:rPr>
          <w:spacing w:val="-5"/>
          <w:sz w:val="18"/>
        </w:rPr>
        <w:t> </w:t>
      </w:r>
      <w:r>
        <w:rPr>
          <w:sz w:val="18"/>
        </w:rPr>
        <w:t>UK</w:t>
      </w:r>
      <w:r>
        <w:rPr>
          <w:spacing w:val="-4"/>
          <w:sz w:val="18"/>
        </w:rPr>
        <w:t> </w:t>
      </w:r>
      <w:r>
        <w:rPr>
          <w:sz w:val="18"/>
        </w:rPr>
        <w:t>Government,</w:t>
      </w:r>
      <w:r>
        <w:rPr>
          <w:spacing w:val="-4"/>
          <w:sz w:val="18"/>
        </w:rPr>
        <w:t> </w:t>
      </w:r>
      <w:r>
        <w:rPr>
          <w:sz w:val="18"/>
        </w:rPr>
        <w:t>‘UK</w:t>
      </w:r>
      <w:r>
        <w:rPr>
          <w:spacing w:val="-4"/>
          <w:sz w:val="18"/>
        </w:rPr>
        <w:t> </w:t>
      </w:r>
      <w:r>
        <w:rPr>
          <w:sz w:val="18"/>
        </w:rPr>
        <w:t>Government</w:t>
      </w:r>
      <w:r>
        <w:rPr>
          <w:spacing w:val="-4"/>
          <w:sz w:val="18"/>
        </w:rPr>
        <w:t> </w:t>
      </w:r>
      <w:r>
        <w:rPr>
          <w:sz w:val="18"/>
        </w:rPr>
        <w:t>commitment</w:t>
      </w:r>
      <w:r>
        <w:rPr>
          <w:spacing w:val="-4"/>
          <w:sz w:val="18"/>
        </w:rPr>
        <w:t> </w:t>
      </w:r>
      <w:r>
        <w:rPr>
          <w:sz w:val="18"/>
        </w:rPr>
        <w:t>to</w:t>
      </w:r>
      <w:r>
        <w:rPr>
          <w:spacing w:val="-5"/>
          <w:sz w:val="18"/>
        </w:rPr>
        <w:t> </w:t>
      </w:r>
      <w:r>
        <w:rPr>
          <w:sz w:val="18"/>
        </w:rPr>
        <w:t>no-diminution</w:t>
      </w:r>
      <w:r>
        <w:rPr>
          <w:spacing w:val="-5"/>
          <w:sz w:val="18"/>
        </w:rPr>
        <w:t> </w:t>
      </w:r>
      <w:r>
        <w:rPr>
          <w:sz w:val="18"/>
        </w:rPr>
        <w:t>of</w:t>
      </w:r>
      <w:r>
        <w:rPr>
          <w:spacing w:val="-5"/>
          <w:sz w:val="18"/>
        </w:rPr>
        <w:t> </w:t>
      </w:r>
      <w:r>
        <w:rPr>
          <w:sz w:val="18"/>
        </w:rPr>
        <w:t>rights,</w:t>
      </w:r>
      <w:r>
        <w:rPr>
          <w:spacing w:val="-4"/>
          <w:sz w:val="18"/>
        </w:rPr>
        <w:t> </w:t>
      </w:r>
      <w:r>
        <w:rPr>
          <w:sz w:val="18"/>
        </w:rPr>
        <w:t>safeguards</w:t>
      </w:r>
      <w:r>
        <w:rPr>
          <w:spacing w:val="-5"/>
          <w:sz w:val="18"/>
        </w:rPr>
        <w:t> </w:t>
      </w:r>
      <w:r>
        <w:rPr>
          <w:sz w:val="18"/>
        </w:rPr>
        <w:t>and</w:t>
      </w:r>
      <w:r>
        <w:rPr>
          <w:spacing w:val="-5"/>
          <w:sz w:val="18"/>
        </w:rPr>
        <w:t> </w:t>
      </w:r>
      <w:r>
        <w:rPr>
          <w:sz w:val="18"/>
        </w:rPr>
        <w:t>equality</w:t>
      </w:r>
      <w:r>
        <w:rPr>
          <w:spacing w:val="-4"/>
          <w:sz w:val="18"/>
        </w:rPr>
        <w:t> </w:t>
      </w:r>
      <w:r>
        <w:rPr>
          <w:sz w:val="18"/>
        </w:rPr>
        <w:t>of opportunity in Northern Ireland’ (NIO, 2020); </w:t>
      </w:r>
      <w:r>
        <w:rPr>
          <w:i/>
          <w:sz w:val="18"/>
        </w:rPr>
        <w:t>In the matter of an application by Martina Dillon and others for</w:t>
      </w:r>
    </w:p>
    <w:p>
      <w:pPr>
        <w:spacing w:line="216" w:lineRule="exact" w:before="0"/>
        <w:ind w:left="1853" w:right="0" w:firstLine="0"/>
        <w:jc w:val="left"/>
        <w:rPr>
          <w:sz w:val="18"/>
        </w:rPr>
      </w:pPr>
      <w:r>
        <w:rPr>
          <w:i/>
          <w:sz w:val="18"/>
        </w:rPr>
        <w:t>Judicial</w:t>
      </w:r>
      <w:r>
        <w:rPr>
          <w:i/>
          <w:spacing w:val="-4"/>
          <w:sz w:val="18"/>
        </w:rPr>
        <w:t> </w:t>
      </w:r>
      <w:r>
        <w:rPr>
          <w:i/>
          <w:sz w:val="18"/>
        </w:rPr>
        <w:t>Review</w:t>
      </w:r>
      <w:r>
        <w:rPr>
          <w:i/>
          <w:spacing w:val="-3"/>
          <w:sz w:val="18"/>
        </w:rPr>
        <w:t> </w:t>
      </w:r>
      <w:r>
        <w:rPr>
          <w:sz w:val="18"/>
        </w:rPr>
        <w:t>[2024]</w:t>
      </w:r>
      <w:r>
        <w:rPr>
          <w:spacing w:val="-3"/>
          <w:sz w:val="18"/>
        </w:rPr>
        <w:t> </w:t>
      </w:r>
      <w:r>
        <w:rPr>
          <w:sz w:val="18"/>
        </w:rPr>
        <w:t>NIKB</w:t>
      </w:r>
      <w:r>
        <w:rPr>
          <w:spacing w:val="-4"/>
          <w:sz w:val="18"/>
        </w:rPr>
        <w:t> </w:t>
      </w:r>
      <w:r>
        <w:rPr>
          <w:sz w:val="18"/>
        </w:rPr>
        <w:t>11,</w:t>
      </w:r>
      <w:r>
        <w:rPr>
          <w:spacing w:val="-3"/>
          <w:sz w:val="18"/>
        </w:rPr>
        <w:t> </w:t>
      </w:r>
      <w:r>
        <w:rPr>
          <w:sz w:val="18"/>
        </w:rPr>
        <w:t>at</w:t>
      </w:r>
      <w:r>
        <w:rPr>
          <w:spacing w:val="-3"/>
          <w:sz w:val="18"/>
        </w:rPr>
        <w:t> </w:t>
      </w:r>
      <w:r>
        <w:rPr>
          <w:sz w:val="18"/>
        </w:rPr>
        <w:t>para</w:t>
      </w:r>
      <w:r>
        <w:rPr>
          <w:spacing w:val="-3"/>
          <w:sz w:val="18"/>
        </w:rPr>
        <w:t> </w:t>
      </w:r>
      <w:r>
        <w:rPr>
          <w:spacing w:val="-4"/>
          <w:sz w:val="18"/>
        </w:rPr>
        <w:t>540</w:t>
      </w:r>
      <w:r>
        <w:rPr>
          <w:color w:val="0562C1"/>
          <w:spacing w:val="-4"/>
          <w:sz w:val="18"/>
        </w:rPr>
        <w:t>.</w:t>
      </w:r>
    </w:p>
    <w:p>
      <w:pPr>
        <w:pStyle w:val="ListParagraph"/>
        <w:numPr>
          <w:ilvl w:val="0"/>
          <w:numId w:val="9"/>
        </w:numPr>
        <w:tabs>
          <w:tab w:pos="1853" w:val="left" w:leader="none"/>
        </w:tabs>
        <w:spacing w:line="216" w:lineRule="exact" w:before="0" w:after="0"/>
        <w:ind w:left="1853" w:right="0" w:hanging="720"/>
        <w:jc w:val="left"/>
        <w:rPr>
          <w:sz w:val="18"/>
        </w:rPr>
      </w:pPr>
      <w:r>
        <w:rPr>
          <w:sz w:val="18"/>
        </w:rPr>
        <w:t>Belfast</w:t>
      </w:r>
      <w:r>
        <w:rPr>
          <w:spacing w:val="-6"/>
          <w:sz w:val="18"/>
        </w:rPr>
        <w:t> </w:t>
      </w:r>
      <w:r>
        <w:rPr>
          <w:sz w:val="18"/>
        </w:rPr>
        <w:t>(Good</w:t>
      </w:r>
      <w:r>
        <w:rPr>
          <w:spacing w:val="-5"/>
          <w:sz w:val="18"/>
        </w:rPr>
        <w:t> </w:t>
      </w:r>
      <w:r>
        <w:rPr>
          <w:sz w:val="18"/>
        </w:rPr>
        <w:t>Friday)</w:t>
      </w:r>
      <w:r>
        <w:rPr>
          <w:spacing w:val="-4"/>
          <w:sz w:val="18"/>
        </w:rPr>
        <w:t> </w:t>
      </w:r>
      <w:r>
        <w:rPr>
          <w:sz w:val="18"/>
        </w:rPr>
        <w:t>Agreement,</w:t>
      </w:r>
      <w:r>
        <w:rPr>
          <w:spacing w:val="-4"/>
          <w:sz w:val="18"/>
        </w:rPr>
        <w:t> </w:t>
      </w:r>
      <w:r>
        <w:rPr>
          <w:sz w:val="18"/>
        </w:rPr>
        <w:t>10</w:t>
      </w:r>
      <w:r>
        <w:rPr>
          <w:spacing w:val="-3"/>
          <w:sz w:val="18"/>
        </w:rPr>
        <w:t> </w:t>
      </w:r>
      <w:r>
        <w:rPr>
          <w:sz w:val="18"/>
        </w:rPr>
        <w:t>April</w:t>
      </w:r>
      <w:r>
        <w:rPr>
          <w:spacing w:val="-5"/>
          <w:sz w:val="18"/>
        </w:rPr>
        <w:t> </w:t>
      </w:r>
      <w:r>
        <w:rPr>
          <w:sz w:val="18"/>
        </w:rPr>
        <w:t>1998,</w:t>
      </w:r>
      <w:r>
        <w:rPr>
          <w:spacing w:val="-3"/>
          <w:sz w:val="18"/>
        </w:rPr>
        <w:t> </w:t>
      </w:r>
      <w:r>
        <w:rPr>
          <w:sz w:val="18"/>
        </w:rPr>
        <w:t>Part</w:t>
      </w:r>
      <w:r>
        <w:rPr>
          <w:spacing w:val="-4"/>
          <w:sz w:val="18"/>
        </w:rPr>
        <w:t> </w:t>
      </w:r>
      <w:r>
        <w:rPr>
          <w:sz w:val="18"/>
        </w:rPr>
        <w:t>6</w:t>
      </w:r>
      <w:r>
        <w:rPr>
          <w:spacing w:val="-4"/>
          <w:sz w:val="18"/>
        </w:rPr>
        <w:t> </w:t>
      </w:r>
      <w:r>
        <w:rPr>
          <w:sz w:val="18"/>
        </w:rPr>
        <w:t>on</w:t>
      </w:r>
      <w:r>
        <w:rPr>
          <w:spacing w:val="-4"/>
          <w:sz w:val="18"/>
        </w:rPr>
        <w:t> </w:t>
      </w:r>
      <w:r>
        <w:rPr>
          <w:sz w:val="18"/>
        </w:rPr>
        <w:t>Rights,</w:t>
      </w:r>
      <w:r>
        <w:rPr>
          <w:spacing w:val="-4"/>
          <w:sz w:val="18"/>
        </w:rPr>
        <w:t> </w:t>
      </w:r>
      <w:r>
        <w:rPr>
          <w:sz w:val="18"/>
        </w:rPr>
        <w:t>Safeguards</w:t>
      </w:r>
      <w:r>
        <w:rPr>
          <w:spacing w:val="-4"/>
          <w:sz w:val="18"/>
        </w:rPr>
        <w:t> </w:t>
      </w:r>
      <w:r>
        <w:rPr>
          <w:sz w:val="18"/>
        </w:rPr>
        <w:t>and</w:t>
      </w:r>
      <w:r>
        <w:rPr>
          <w:spacing w:val="-5"/>
          <w:sz w:val="18"/>
        </w:rPr>
        <w:t> </w:t>
      </w:r>
      <w:r>
        <w:rPr>
          <w:sz w:val="18"/>
        </w:rPr>
        <w:t>Equality</w:t>
      </w:r>
      <w:r>
        <w:rPr>
          <w:spacing w:val="-3"/>
          <w:sz w:val="18"/>
        </w:rPr>
        <w:t> </w:t>
      </w:r>
      <w:r>
        <w:rPr>
          <w:sz w:val="18"/>
        </w:rPr>
        <w:t>of</w:t>
      </w:r>
      <w:r>
        <w:rPr>
          <w:spacing w:val="-5"/>
          <w:sz w:val="18"/>
        </w:rPr>
        <w:t> </w:t>
      </w:r>
      <w:r>
        <w:rPr>
          <w:sz w:val="18"/>
        </w:rPr>
        <w:t>Opportunity</w:t>
      </w:r>
      <w:r>
        <w:rPr>
          <w:spacing w:val="-3"/>
          <w:sz w:val="18"/>
        </w:rPr>
        <w:t> </w:t>
      </w:r>
      <w:r>
        <w:rPr>
          <w:sz w:val="18"/>
        </w:rPr>
        <w:t>–</w:t>
      </w:r>
      <w:r>
        <w:rPr>
          <w:spacing w:val="-5"/>
          <w:sz w:val="18"/>
        </w:rPr>
        <w:t> </w:t>
      </w:r>
      <w:r>
        <w:rPr>
          <w:sz w:val="18"/>
        </w:rPr>
        <w:t>Human</w:t>
      </w:r>
      <w:r>
        <w:rPr>
          <w:spacing w:val="-4"/>
          <w:sz w:val="18"/>
        </w:rPr>
        <w:t> </w:t>
      </w:r>
      <w:r>
        <w:rPr>
          <w:spacing w:val="-2"/>
          <w:sz w:val="18"/>
        </w:rPr>
        <w:t>Rights.</w:t>
      </w:r>
    </w:p>
    <w:p>
      <w:pPr>
        <w:pStyle w:val="ListParagraph"/>
        <w:numPr>
          <w:ilvl w:val="0"/>
          <w:numId w:val="9"/>
        </w:numPr>
        <w:tabs>
          <w:tab w:pos="1853" w:val="left" w:leader="none"/>
        </w:tabs>
        <w:spacing w:line="218" w:lineRule="exact" w:before="0" w:after="0"/>
        <w:ind w:left="1853" w:right="0" w:hanging="720"/>
        <w:jc w:val="left"/>
        <w:rPr>
          <w:sz w:val="18"/>
        </w:rPr>
      </w:pPr>
      <w:r>
        <w:rPr>
          <w:spacing w:val="-4"/>
          <w:sz w:val="18"/>
        </w:rPr>
        <w:t>Ibid.</w:t>
      </w:r>
    </w:p>
    <w:p>
      <w:pPr>
        <w:spacing w:after="0" w:line="218" w:lineRule="exact"/>
        <w:jc w:val="left"/>
        <w:rPr>
          <w:sz w:val="18"/>
        </w:rPr>
        <w:sectPr>
          <w:headerReference w:type="even" r:id="rId140"/>
          <w:headerReference w:type="default" r:id="rId141"/>
          <w:footerReference w:type="even" r:id="rId142"/>
          <w:footerReference w:type="default" r:id="rId143"/>
          <w:pgSz w:w="11910" w:h="16840"/>
          <w:pgMar w:header="496" w:footer="367" w:top="1220" w:bottom="560" w:left="0" w:right="0"/>
          <w:pgNumType w:start="72"/>
        </w:sectPr>
      </w:pPr>
    </w:p>
    <w:p>
      <w:pPr>
        <w:pStyle w:val="BodyText"/>
        <w:spacing w:before="198"/>
      </w:pPr>
    </w:p>
    <w:p>
      <w:pPr>
        <w:pStyle w:val="BodyText"/>
        <w:spacing w:line="225" w:lineRule="auto"/>
        <w:ind w:left="1853" w:right="1171" w:hanging="1"/>
      </w:pPr>
      <w:r>
        <w:rPr/>
        <w:t>The</w:t>
      </w:r>
      <w:r>
        <w:rPr>
          <w:spacing w:val="-6"/>
        </w:rPr>
        <w:t> </w:t>
      </w:r>
      <w:r>
        <w:rPr/>
        <w:t>UK</w:t>
      </w:r>
      <w:r>
        <w:rPr>
          <w:spacing w:val="-6"/>
        </w:rPr>
        <w:t> </w:t>
      </w:r>
      <w:r>
        <w:rPr/>
        <w:t>Government</w:t>
      </w:r>
      <w:r>
        <w:rPr>
          <w:spacing w:val="-6"/>
        </w:rPr>
        <w:t> </w:t>
      </w:r>
      <w:r>
        <w:rPr/>
        <w:t>has</w:t>
      </w:r>
      <w:r>
        <w:rPr>
          <w:spacing w:val="-7"/>
        </w:rPr>
        <w:t> </w:t>
      </w:r>
      <w:r>
        <w:rPr/>
        <w:t>recognised</w:t>
      </w:r>
      <w:r>
        <w:rPr>
          <w:spacing w:val="-7"/>
        </w:rPr>
        <w:t> </w:t>
      </w:r>
      <w:r>
        <w:rPr/>
        <w:t>that</w:t>
      </w:r>
      <w:r>
        <w:rPr>
          <w:spacing w:val="-6"/>
        </w:rPr>
        <w:t> </w:t>
      </w:r>
      <w:r>
        <w:rPr/>
        <w:t>the</w:t>
      </w:r>
      <w:r>
        <w:rPr>
          <w:spacing w:val="-6"/>
        </w:rPr>
        <w:t> </w:t>
      </w:r>
      <w:r>
        <w:rPr/>
        <w:t>EU</w:t>
      </w:r>
      <w:r>
        <w:rPr>
          <w:spacing w:val="-6"/>
        </w:rPr>
        <w:t> </w:t>
      </w:r>
      <w:r>
        <w:rPr/>
        <w:t>Victims’</w:t>
      </w:r>
      <w:r>
        <w:rPr>
          <w:spacing w:val="-6"/>
        </w:rPr>
        <w:t> </w:t>
      </w:r>
      <w:r>
        <w:rPr/>
        <w:t>Directive</w:t>
      </w:r>
      <w:r>
        <w:rPr>
          <w:spacing w:val="-6"/>
        </w:rPr>
        <w:t> </w:t>
      </w:r>
      <w:r>
        <w:rPr/>
        <w:t>falls</w:t>
      </w:r>
      <w:r>
        <w:rPr>
          <w:spacing w:val="-7"/>
        </w:rPr>
        <w:t> </w:t>
      </w:r>
      <w:r>
        <w:rPr/>
        <w:t>within the scope of Windsor Framework Article 2.</w:t>
      </w:r>
      <w:r>
        <w:rPr>
          <w:vertAlign w:val="superscript"/>
        </w:rPr>
        <w:t>341</w:t>
      </w:r>
    </w:p>
    <w:p>
      <w:pPr>
        <w:pStyle w:val="ListParagraph"/>
        <w:numPr>
          <w:ilvl w:val="1"/>
          <w:numId w:val="7"/>
        </w:numPr>
        <w:tabs>
          <w:tab w:pos="1853" w:val="left" w:leader="none"/>
        </w:tabs>
        <w:spacing w:line="225" w:lineRule="auto" w:before="318" w:after="0"/>
        <w:ind w:left="1853" w:right="1150" w:hanging="720"/>
        <w:jc w:val="left"/>
        <w:rPr>
          <w:sz w:val="28"/>
        </w:rPr>
      </w:pPr>
      <w:r>
        <w:rPr>
          <w:sz w:val="28"/>
        </w:rPr>
        <w:t>The Commissions consider that the commitment to civil rights in the relevant chapter</w:t>
      </w:r>
      <w:r>
        <w:rPr>
          <w:spacing w:val="-6"/>
          <w:sz w:val="28"/>
        </w:rPr>
        <w:t> </w:t>
      </w:r>
      <w:r>
        <w:rPr>
          <w:sz w:val="28"/>
        </w:rPr>
        <w:t>embraces</w:t>
      </w:r>
      <w:r>
        <w:rPr>
          <w:spacing w:val="-7"/>
          <w:sz w:val="28"/>
        </w:rPr>
        <w:t> </w:t>
      </w:r>
      <w:r>
        <w:rPr>
          <w:sz w:val="28"/>
        </w:rPr>
        <w:t>a</w:t>
      </w:r>
      <w:r>
        <w:rPr>
          <w:spacing w:val="-7"/>
          <w:sz w:val="28"/>
        </w:rPr>
        <w:t> </w:t>
      </w:r>
      <w:r>
        <w:rPr>
          <w:sz w:val="28"/>
        </w:rPr>
        <w:t>range</w:t>
      </w:r>
      <w:r>
        <w:rPr>
          <w:spacing w:val="-6"/>
          <w:sz w:val="28"/>
        </w:rPr>
        <w:t> </w:t>
      </w:r>
      <w:r>
        <w:rPr>
          <w:sz w:val="28"/>
        </w:rPr>
        <w:t>of</w:t>
      </w:r>
      <w:r>
        <w:rPr>
          <w:spacing w:val="-7"/>
          <w:sz w:val="28"/>
        </w:rPr>
        <w:t> </w:t>
      </w:r>
      <w:r>
        <w:rPr>
          <w:sz w:val="28"/>
        </w:rPr>
        <w:t>civil,</w:t>
      </w:r>
      <w:r>
        <w:rPr>
          <w:spacing w:val="-6"/>
          <w:sz w:val="28"/>
        </w:rPr>
        <w:t> </w:t>
      </w:r>
      <w:r>
        <w:rPr>
          <w:sz w:val="28"/>
        </w:rPr>
        <w:t>political,</w:t>
      </w:r>
      <w:r>
        <w:rPr>
          <w:spacing w:val="-6"/>
          <w:sz w:val="28"/>
        </w:rPr>
        <w:t> </w:t>
      </w:r>
      <w:r>
        <w:rPr>
          <w:sz w:val="28"/>
        </w:rPr>
        <w:t>economic,</w:t>
      </w:r>
      <w:r>
        <w:rPr>
          <w:spacing w:val="-6"/>
          <w:sz w:val="28"/>
        </w:rPr>
        <w:t> </w:t>
      </w:r>
      <w:r>
        <w:rPr>
          <w:sz w:val="28"/>
        </w:rPr>
        <w:t>social</w:t>
      </w:r>
      <w:r>
        <w:rPr>
          <w:spacing w:val="-7"/>
          <w:sz w:val="28"/>
        </w:rPr>
        <w:t> </w:t>
      </w:r>
      <w:r>
        <w:rPr>
          <w:sz w:val="28"/>
        </w:rPr>
        <w:t>and</w:t>
      </w:r>
      <w:r>
        <w:rPr>
          <w:spacing w:val="-7"/>
          <w:sz w:val="28"/>
        </w:rPr>
        <w:t> </w:t>
      </w:r>
      <w:r>
        <w:rPr>
          <w:sz w:val="28"/>
        </w:rPr>
        <w:t>cultural</w:t>
      </w:r>
      <w:r>
        <w:rPr>
          <w:spacing w:val="-7"/>
          <w:sz w:val="28"/>
        </w:rPr>
        <w:t> </w:t>
      </w:r>
      <w:r>
        <w:rPr>
          <w:sz w:val="28"/>
        </w:rPr>
        <w:t>rights and equality of opportunity.</w:t>
      </w:r>
      <w:r>
        <w:rPr>
          <w:sz w:val="28"/>
          <w:vertAlign w:val="superscript"/>
        </w:rPr>
        <w:t>342</w:t>
      </w:r>
      <w:r>
        <w:rPr>
          <w:spacing w:val="40"/>
          <w:sz w:val="28"/>
          <w:vertAlign w:val="baseline"/>
        </w:rPr>
        <w:t> </w:t>
      </w:r>
      <w:r>
        <w:rPr>
          <w:sz w:val="28"/>
          <w:vertAlign w:val="baseline"/>
        </w:rPr>
        <w:t>In particular, the Commissions consider that the full range of rights in the ECHR, to the extent that they are underpinned</w:t>
      </w:r>
      <w:r>
        <w:rPr>
          <w:spacing w:val="40"/>
          <w:sz w:val="28"/>
          <w:vertAlign w:val="baseline"/>
        </w:rPr>
        <w:t> </w:t>
      </w:r>
      <w:r>
        <w:rPr>
          <w:sz w:val="28"/>
          <w:vertAlign w:val="baseline"/>
        </w:rPr>
        <w:t>by EU law in force in NI on or before 31 December 2020, fall within the</w:t>
      </w:r>
    </w:p>
    <w:p>
      <w:pPr>
        <w:pStyle w:val="BodyText"/>
        <w:spacing w:line="308" w:lineRule="exact"/>
        <w:ind w:left="1853"/>
      </w:pPr>
      <w:r>
        <w:rPr/>
        <w:t>scope</w:t>
      </w:r>
      <w:r>
        <w:rPr>
          <w:spacing w:val="-8"/>
        </w:rPr>
        <w:t> </w:t>
      </w:r>
      <w:r>
        <w:rPr/>
        <w:t>of</w:t>
      </w:r>
      <w:r>
        <w:rPr>
          <w:spacing w:val="-8"/>
        </w:rPr>
        <w:t> </w:t>
      </w:r>
      <w:r>
        <w:rPr/>
        <w:t>the</w:t>
      </w:r>
      <w:r>
        <w:rPr>
          <w:spacing w:val="-7"/>
        </w:rPr>
        <w:t> </w:t>
      </w:r>
      <w:r>
        <w:rPr/>
        <w:t>non-diminution</w:t>
      </w:r>
      <w:r>
        <w:rPr>
          <w:spacing w:val="-8"/>
        </w:rPr>
        <w:t> </w:t>
      </w:r>
      <w:r>
        <w:rPr/>
        <w:t>commitment</w:t>
      </w:r>
      <w:r>
        <w:rPr>
          <w:spacing w:val="-8"/>
        </w:rPr>
        <w:t> </w:t>
      </w:r>
      <w:r>
        <w:rPr/>
        <w:t>in</w:t>
      </w:r>
      <w:r>
        <w:rPr>
          <w:spacing w:val="-8"/>
        </w:rPr>
        <w:t> </w:t>
      </w:r>
      <w:r>
        <w:rPr/>
        <w:t>Windsor</w:t>
      </w:r>
      <w:r>
        <w:rPr>
          <w:spacing w:val="-7"/>
        </w:rPr>
        <w:t> </w:t>
      </w:r>
      <w:r>
        <w:rPr/>
        <w:t>Framework</w:t>
      </w:r>
      <w:r>
        <w:rPr>
          <w:spacing w:val="-7"/>
        </w:rPr>
        <w:t> </w:t>
      </w:r>
      <w:r>
        <w:rPr>
          <w:spacing w:val="-2"/>
        </w:rPr>
        <w:t>Article</w:t>
      </w:r>
    </w:p>
    <w:p>
      <w:pPr>
        <w:pStyle w:val="BodyText"/>
        <w:spacing w:line="225" w:lineRule="auto" w:before="5"/>
        <w:ind w:left="1853" w:right="1301"/>
      </w:pPr>
      <w:r>
        <w:rPr/>
        <w:t>2.</w:t>
      </w:r>
      <w:r>
        <w:rPr>
          <w:spacing w:val="40"/>
        </w:rPr>
        <w:t> </w:t>
      </w:r>
      <w:r>
        <w:rPr/>
        <w:t>In February 2024, the NI High Court adopted a ‘generous and purposive’ approach to the interpretation of the relevant chapter of the Belfast (Good Friday) Agreement.</w:t>
      </w:r>
      <w:r>
        <w:rPr>
          <w:vertAlign w:val="superscript"/>
        </w:rPr>
        <w:t>343</w:t>
      </w:r>
      <w:r>
        <w:rPr>
          <w:spacing w:val="40"/>
          <w:vertAlign w:val="baseline"/>
        </w:rPr>
        <w:t> </w:t>
      </w:r>
      <w:r>
        <w:rPr>
          <w:vertAlign w:val="baseline"/>
        </w:rPr>
        <w:t>The High Court held that “a narrow interpretation of ‘civil</w:t>
      </w:r>
      <w:r>
        <w:rPr>
          <w:spacing w:val="-5"/>
          <w:vertAlign w:val="baseline"/>
        </w:rPr>
        <w:t> </w:t>
      </w:r>
      <w:r>
        <w:rPr>
          <w:vertAlign w:val="baseline"/>
        </w:rPr>
        <w:t>rights’</w:t>
      </w:r>
      <w:r>
        <w:rPr>
          <w:spacing w:val="-4"/>
          <w:vertAlign w:val="baseline"/>
        </w:rPr>
        <w:t> </w:t>
      </w:r>
      <w:r>
        <w:rPr>
          <w:vertAlign w:val="baseline"/>
        </w:rPr>
        <w:t>undermines</w:t>
      </w:r>
      <w:r>
        <w:rPr>
          <w:spacing w:val="-5"/>
          <w:vertAlign w:val="baseline"/>
        </w:rPr>
        <w:t> </w:t>
      </w:r>
      <w:r>
        <w:rPr>
          <w:vertAlign w:val="baseline"/>
        </w:rPr>
        <w:t>the</w:t>
      </w:r>
      <w:r>
        <w:rPr>
          <w:spacing w:val="-4"/>
          <w:vertAlign w:val="baseline"/>
        </w:rPr>
        <w:t> </w:t>
      </w:r>
      <w:r>
        <w:rPr>
          <w:vertAlign w:val="baseline"/>
        </w:rPr>
        <w:t>forward-facing</w:t>
      </w:r>
      <w:r>
        <w:rPr>
          <w:spacing w:val="-4"/>
          <w:vertAlign w:val="baseline"/>
        </w:rPr>
        <w:t> </w:t>
      </w:r>
      <w:r>
        <w:rPr>
          <w:vertAlign w:val="baseline"/>
        </w:rPr>
        <w:t>dimension</w:t>
      </w:r>
      <w:r>
        <w:rPr>
          <w:spacing w:val="-5"/>
          <w:vertAlign w:val="baseline"/>
        </w:rPr>
        <w:t> </w:t>
      </w:r>
      <w:r>
        <w:rPr>
          <w:vertAlign w:val="baseline"/>
        </w:rPr>
        <w:t>of</w:t>
      </w:r>
      <w:r>
        <w:rPr>
          <w:spacing w:val="-5"/>
          <w:vertAlign w:val="baseline"/>
        </w:rPr>
        <w:t> </w:t>
      </w:r>
      <w:r>
        <w:rPr>
          <w:vertAlign w:val="baseline"/>
        </w:rPr>
        <w:t>the</w:t>
      </w:r>
      <w:r>
        <w:rPr>
          <w:spacing w:val="-4"/>
          <w:vertAlign w:val="baseline"/>
        </w:rPr>
        <w:t> </w:t>
      </w:r>
      <w:r>
        <w:rPr>
          <w:vertAlign w:val="baseline"/>
        </w:rPr>
        <w:t>non-diminution commitment in article 2(1)”.</w:t>
      </w:r>
      <w:r>
        <w:rPr>
          <w:vertAlign w:val="superscript"/>
        </w:rPr>
        <w:t>344</w:t>
      </w:r>
      <w:r>
        <w:rPr>
          <w:vertAlign w:val="baseline"/>
        </w:rPr>
        <w:t> The Court has further confirmed that the rights of victims of crime are within the scope of the relevant chapter in the Belfast (Good Friday) Agreement, are within the competence of EU law, and are underpinned by EU law in the form of the EU Victims’ Directive and the EU</w:t>
      </w:r>
      <w:r>
        <w:rPr>
          <w:spacing w:val="-5"/>
          <w:vertAlign w:val="baseline"/>
        </w:rPr>
        <w:t> </w:t>
      </w:r>
      <w:r>
        <w:rPr>
          <w:vertAlign w:val="baseline"/>
        </w:rPr>
        <w:t>Charter</w:t>
      </w:r>
      <w:r>
        <w:rPr>
          <w:spacing w:val="-5"/>
          <w:vertAlign w:val="baseline"/>
        </w:rPr>
        <w:t> </w:t>
      </w:r>
      <w:r>
        <w:rPr>
          <w:vertAlign w:val="baseline"/>
        </w:rPr>
        <w:t>of</w:t>
      </w:r>
      <w:r>
        <w:rPr>
          <w:spacing w:val="-6"/>
          <w:vertAlign w:val="baseline"/>
        </w:rPr>
        <w:t> </w:t>
      </w:r>
      <w:r>
        <w:rPr>
          <w:vertAlign w:val="baseline"/>
        </w:rPr>
        <w:t>Fundamental</w:t>
      </w:r>
      <w:r>
        <w:rPr>
          <w:spacing w:val="-6"/>
          <w:vertAlign w:val="baseline"/>
        </w:rPr>
        <w:t> </w:t>
      </w:r>
      <w:r>
        <w:rPr>
          <w:vertAlign w:val="baseline"/>
        </w:rPr>
        <w:t>Rights.</w:t>
      </w:r>
      <w:r>
        <w:rPr>
          <w:vertAlign w:val="superscript"/>
        </w:rPr>
        <w:t>345</w:t>
      </w:r>
      <w:r>
        <w:rPr>
          <w:spacing w:val="40"/>
          <w:vertAlign w:val="baseline"/>
        </w:rPr>
        <w:t> </w:t>
      </w:r>
      <w:r>
        <w:rPr>
          <w:vertAlign w:val="baseline"/>
        </w:rPr>
        <w:t>The</w:t>
      </w:r>
      <w:r>
        <w:rPr>
          <w:spacing w:val="-5"/>
          <w:vertAlign w:val="baseline"/>
        </w:rPr>
        <w:t> </w:t>
      </w:r>
      <w:r>
        <w:rPr>
          <w:vertAlign w:val="baseline"/>
        </w:rPr>
        <w:t>decision</w:t>
      </w:r>
      <w:r>
        <w:rPr>
          <w:spacing w:val="-6"/>
          <w:vertAlign w:val="baseline"/>
        </w:rPr>
        <w:t> </w:t>
      </w:r>
      <w:r>
        <w:rPr>
          <w:vertAlign w:val="baseline"/>
        </w:rPr>
        <w:t>of</w:t>
      </w:r>
      <w:r>
        <w:rPr>
          <w:spacing w:val="-6"/>
          <w:vertAlign w:val="baseline"/>
        </w:rPr>
        <w:t> </w:t>
      </w:r>
      <w:r>
        <w:rPr>
          <w:vertAlign w:val="baseline"/>
        </w:rPr>
        <w:t>the</w:t>
      </w:r>
      <w:r>
        <w:rPr>
          <w:spacing w:val="-5"/>
          <w:vertAlign w:val="baseline"/>
        </w:rPr>
        <w:t> </w:t>
      </w:r>
      <w:r>
        <w:rPr>
          <w:vertAlign w:val="baseline"/>
        </w:rPr>
        <w:t>High</w:t>
      </w:r>
      <w:r>
        <w:rPr>
          <w:spacing w:val="-6"/>
          <w:vertAlign w:val="baseline"/>
        </w:rPr>
        <w:t> </w:t>
      </w:r>
      <w:r>
        <w:rPr>
          <w:vertAlign w:val="baseline"/>
        </w:rPr>
        <w:t>Court</w:t>
      </w:r>
      <w:r>
        <w:rPr>
          <w:spacing w:val="-5"/>
          <w:vertAlign w:val="baseline"/>
        </w:rPr>
        <w:t> </w:t>
      </w:r>
      <w:r>
        <w:rPr>
          <w:vertAlign w:val="baseline"/>
        </w:rPr>
        <w:t>is</w:t>
      </w:r>
      <w:r>
        <w:rPr>
          <w:spacing w:val="-6"/>
          <w:vertAlign w:val="baseline"/>
        </w:rPr>
        <w:t> </w:t>
      </w:r>
      <w:r>
        <w:rPr>
          <w:vertAlign w:val="baseline"/>
        </w:rPr>
        <w:t>under </w:t>
      </w:r>
      <w:r>
        <w:rPr>
          <w:spacing w:val="-2"/>
          <w:vertAlign w:val="baseline"/>
        </w:rPr>
        <w:t>appeal.</w:t>
      </w:r>
    </w:p>
    <w:p>
      <w:pPr>
        <w:pStyle w:val="ListParagraph"/>
        <w:numPr>
          <w:ilvl w:val="1"/>
          <w:numId w:val="7"/>
        </w:numPr>
        <w:tabs>
          <w:tab w:pos="1853" w:val="left" w:leader="none"/>
        </w:tabs>
        <w:spacing w:line="225" w:lineRule="auto" w:before="307" w:after="0"/>
        <w:ind w:left="1853" w:right="1189" w:hanging="720"/>
        <w:jc w:val="left"/>
        <w:rPr>
          <w:sz w:val="28"/>
        </w:rPr>
      </w:pPr>
      <w:r>
        <w:rPr>
          <w:sz w:val="28"/>
        </w:rPr>
        <w:t>In addition, the Commissions have identified other relevant EU laws which support victims, including the EU Trafficking Directive</w:t>
      </w:r>
      <w:r>
        <w:rPr>
          <w:sz w:val="28"/>
          <w:vertAlign w:val="superscript"/>
        </w:rPr>
        <w:t>346</w:t>
      </w:r>
      <w:r>
        <w:rPr>
          <w:sz w:val="28"/>
          <w:vertAlign w:val="baseline"/>
        </w:rPr>
        <w:t> and the EU Child Sexual Exploitation Directive.</w:t>
      </w:r>
      <w:r>
        <w:rPr>
          <w:sz w:val="28"/>
          <w:vertAlign w:val="superscript"/>
        </w:rPr>
        <w:t>347</w:t>
      </w:r>
      <w:r>
        <w:rPr>
          <w:sz w:val="28"/>
          <w:vertAlign w:val="baseline"/>
        </w:rPr>
        <w:t> The Commissions consider these directives</w:t>
      </w:r>
      <w:r>
        <w:rPr>
          <w:sz w:val="28"/>
          <w:vertAlign w:val="baseline"/>
        </w:rPr>
        <w:t> are</w:t>
      </w:r>
      <w:r>
        <w:rPr>
          <w:spacing w:val="-4"/>
          <w:sz w:val="28"/>
          <w:vertAlign w:val="baseline"/>
        </w:rPr>
        <w:t> </w:t>
      </w:r>
      <w:r>
        <w:rPr>
          <w:sz w:val="28"/>
          <w:vertAlign w:val="baseline"/>
        </w:rPr>
        <w:t>within</w:t>
      </w:r>
      <w:r>
        <w:rPr>
          <w:spacing w:val="-5"/>
          <w:sz w:val="28"/>
          <w:vertAlign w:val="baseline"/>
        </w:rPr>
        <w:t> </w:t>
      </w:r>
      <w:r>
        <w:rPr>
          <w:sz w:val="28"/>
          <w:vertAlign w:val="baseline"/>
        </w:rPr>
        <w:t>the</w:t>
      </w:r>
      <w:r>
        <w:rPr>
          <w:spacing w:val="-4"/>
          <w:sz w:val="28"/>
          <w:vertAlign w:val="baseline"/>
        </w:rPr>
        <w:t> </w:t>
      </w:r>
      <w:r>
        <w:rPr>
          <w:sz w:val="28"/>
          <w:vertAlign w:val="baseline"/>
        </w:rPr>
        <w:t>scope</w:t>
      </w:r>
      <w:r>
        <w:rPr>
          <w:spacing w:val="-4"/>
          <w:sz w:val="28"/>
          <w:vertAlign w:val="baseline"/>
        </w:rPr>
        <w:t> </w:t>
      </w:r>
      <w:r>
        <w:rPr>
          <w:sz w:val="28"/>
          <w:vertAlign w:val="baseline"/>
        </w:rPr>
        <w:t>of</w:t>
      </w:r>
      <w:r>
        <w:rPr>
          <w:spacing w:val="-5"/>
          <w:sz w:val="28"/>
          <w:vertAlign w:val="baseline"/>
        </w:rPr>
        <w:t> </w:t>
      </w:r>
      <w:r>
        <w:rPr>
          <w:sz w:val="28"/>
          <w:vertAlign w:val="baseline"/>
        </w:rPr>
        <w:t>Windsor</w:t>
      </w:r>
      <w:r>
        <w:rPr>
          <w:spacing w:val="-4"/>
          <w:sz w:val="28"/>
          <w:vertAlign w:val="baseline"/>
        </w:rPr>
        <w:t> </w:t>
      </w:r>
      <w:r>
        <w:rPr>
          <w:sz w:val="28"/>
          <w:vertAlign w:val="baseline"/>
        </w:rPr>
        <w:t>Framework</w:t>
      </w:r>
      <w:r>
        <w:rPr>
          <w:spacing w:val="-7"/>
          <w:sz w:val="28"/>
          <w:vertAlign w:val="baseline"/>
        </w:rPr>
        <w:t> </w:t>
      </w:r>
      <w:r>
        <w:rPr>
          <w:sz w:val="28"/>
          <w:vertAlign w:val="baseline"/>
        </w:rPr>
        <w:t>Article</w:t>
      </w:r>
      <w:r>
        <w:rPr>
          <w:spacing w:val="-4"/>
          <w:sz w:val="28"/>
          <w:vertAlign w:val="baseline"/>
        </w:rPr>
        <w:t> </w:t>
      </w:r>
      <w:r>
        <w:rPr>
          <w:sz w:val="28"/>
          <w:vertAlign w:val="baseline"/>
        </w:rPr>
        <w:t>2</w:t>
      </w:r>
      <w:r>
        <w:rPr>
          <w:spacing w:val="-4"/>
          <w:sz w:val="28"/>
          <w:vertAlign w:val="baseline"/>
        </w:rPr>
        <w:t> </w:t>
      </w:r>
      <w:r>
        <w:rPr>
          <w:sz w:val="28"/>
          <w:vertAlign w:val="baseline"/>
        </w:rPr>
        <w:t>for</w:t>
      </w:r>
      <w:r>
        <w:rPr>
          <w:spacing w:val="-4"/>
          <w:sz w:val="28"/>
          <w:vertAlign w:val="baseline"/>
        </w:rPr>
        <w:t> </w:t>
      </w:r>
      <w:r>
        <w:rPr>
          <w:sz w:val="28"/>
          <w:vertAlign w:val="baseline"/>
        </w:rPr>
        <w:t>a</w:t>
      </w:r>
      <w:r>
        <w:rPr>
          <w:spacing w:val="-5"/>
          <w:sz w:val="28"/>
          <w:vertAlign w:val="baseline"/>
        </w:rPr>
        <w:t> </w:t>
      </w:r>
      <w:r>
        <w:rPr>
          <w:sz w:val="28"/>
          <w:vertAlign w:val="baseline"/>
        </w:rPr>
        <w:t>number</w:t>
      </w:r>
      <w:r>
        <w:rPr>
          <w:spacing w:val="-4"/>
          <w:sz w:val="28"/>
          <w:vertAlign w:val="baseline"/>
        </w:rPr>
        <w:t> </w:t>
      </w:r>
      <w:r>
        <w:rPr>
          <w:sz w:val="28"/>
          <w:vertAlign w:val="baseline"/>
        </w:rPr>
        <w:t>of</w:t>
      </w:r>
      <w:r>
        <w:rPr>
          <w:spacing w:val="-5"/>
          <w:sz w:val="28"/>
          <w:vertAlign w:val="baseline"/>
        </w:rPr>
        <w:t> </w:t>
      </w:r>
      <w:r>
        <w:rPr>
          <w:sz w:val="28"/>
          <w:vertAlign w:val="baseline"/>
        </w:rPr>
        <w:t>reasons: firstly, on the basis that these directives underpin ECHR rights;</w:t>
      </w:r>
      <w:r>
        <w:rPr>
          <w:sz w:val="28"/>
          <w:vertAlign w:val="superscript"/>
        </w:rPr>
        <w:t>348</w:t>
      </w:r>
      <w:r>
        <w:rPr>
          <w:sz w:val="28"/>
          <w:vertAlign w:val="baseline"/>
        </w:rPr>
        <w:t> secondly since these are sub-categories of victims and victims’ rights are recognised in</w:t>
      </w:r>
    </w:p>
    <w:p>
      <w:pPr>
        <w:pStyle w:val="BodyText"/>
        <w:spacing w:line="225" w:lineRule="auto"/>
        <w:ind w:left="1853" w:right="1132"/>
        <w:jc w:val="both"/>
      </w:pPr>
      <w:r>
        <w:rPr/>
        <w:t>the</w:t>
      </w:r>
      <w:r>
        <w:rPr>
          <w:spacing w:val="-6"/>
        </w:rPr>
        <w:t> </w:t>
      </w:r>
      <w:r>
        <w:rPr/>
        <w:t>relevant</w:t>
      </w:r>
      <w:r>
        <w:rPr>
          <w:spacing w:val="-6"/>
        </w:rPr>
        <w:t> </w:t>
      </w:r>
      <w:r>
        <w:rPr/>
        <w:t>chapter</w:t>
      </w:r>
      <w:r>
        <w:rPr>
          <w:spacing w:val="-6"/>
        </w:rPr>
        <w:t> </w:t>
      </w:r>
      <w:r>
        <w:rPr/>
        <w:t>of</w:t>
      </w:r>
      <w:r>
        <w:rPr>
          <w:spacing w:val="-7"/>
        </w:rPr>
        <w:t> </w:t>
      </w:r>
      <w:r>
        <w:rPr/>
        <w:t>the</w:t>
      </w:r>
      <w:r>
        <w:rPr>
          <w:spacing w:val="-6"/>
        </w:rPr>
        <w:t> </w:t>
      </w:r>
      <w:r>
        <w:rPr/>
        <w:t>Belfast</w:t>
      </w:r>
      <w:r>
        <w:rPr>
          <w:spacing w:val="-6"/>
        </w:rPr>
        <w:t> </w:t>
      </w:r>
      <w:r>
        <w:rPr/>
        <w:t>(Good</w:t>
      </w:r>
      <w:r>
        <w:rPr>
          <w:spacing w:val="-7"/>
        </w:rPr>
        <w:t> </w:t>
      </w:r>
      <w:r>
        <w:rPr/>
        <w:t>Friday)</w:t>
      </w:r>
      <w:r>
        <w:rPr>
          <w:spacing w:val="-7"/>
        </w:rPr>
        <w:t> </w:t>
      </w:r>
      <w:r>
        <w:rPr/>
        <w:t>Agreement</w:t>
      </w:r>
      <w:r>
        <w:rPr>
          <w:spacing w:val="-6"/>
        </w:rPr>
        <w:t> </w:t>
      </w:r>
      <w:r>
        <w:rPr/>
        <w:t>and</w:t>
      </w:r>
      <w:r>
        <w:rPr>
          <w:spacing w:val="-7"/>
        </w:rPr>
        <w:t> </w:t>
      </w:r>
      <w:r>
        <w:rPr/>
        <w:t>thirdly</w:t>
      </w:r>
      <w:r>
        <w:rPr>
          <w:spacing w:val="-6"/>
        </w:rPr>
        <w:t> </w:t>
      </w:r>
      <w:r>
        <w:rPr/>
        <w:t>on</w:t>
      </w:r>
      <w:r>
        <w:rPr>
          <w:spacing w:val="-7"/>
        </w:rPr>
        <w:t> </w:t>
      </w:r>
      <w:r>
        <w:rPr/>
        <w:t>the basis</w:t>
      </w:r>
      <w:r>
        <w:rPr>
          <w:spacing w:val="-6"/>
        </w:rPr>
        <w:t> </w:t>
      </w:r>
      <w:r>
        <w:rPr/>
        <w:t>of</w:t>
      </w:r>
      <w:r>
        <w:rPr>
          <w:spacing w:val="-6"/>
        </w:rPr>
        <w:t> </w:t>
      </w:r>
      <w:r>
        <w:rPr/>
        <w:t>the</w:t>
      </w:r>
      <w:r>
        <w:rPr>
          <w:spacing w:val="-5"/>
        </w:rPr>
        <w:t> </w:t>
      </w:r>
      <w:r>
        <w:rPr/>
        <w:t>equality</w:t>
      </w:r>
      <w:r>
        <w:rPr>
          <w:spacing w:val="-5"/>
        </w:rPr>
        <w:t> </w:t>
      </w:r>
      <w:r>
        <w:rPr/>
        <w:t>commitments</w:t>
      </w:r>
      <w:r>
        <w:rPr>
          <w:spacing w:val="-6"/>
        </w:rPr>
        <w:t> </w:t>
      </w:r>
      <w:r>
        <w:rPr/>
        <w:t>in</w:t>
      </w:r>
      <w:r>
        <w:rPr>
          <w:spacing w:val="-6"/>
        </w:rPr>
        <w:t> </w:t>
      </w:r>
      <w:r>
        <w:rPr/>
        <w:t>the</w:t>
      </w:r>
      <w:r>
        <w:rPr>
          <w:spacing w:val="-5"/>
        </w:rPr>
        <w:t> </w:t>
      </w:r>
      <w:r>
        <w:rPr/>
        <w:t>relevant</w:t>
      </w:r>
      <w:r>
        <w:rPr>
          <w:spacing w:val="-5"/>
        </w:rPr>
        <w:t> </w:t>
      </w:r>
      <w:r>
        <w:rPr/>
        <w:t>chapter</w:t>
      </w:r>
      <w:r>
        <w:rPr>
          <w:spacing w:val="-5"/>
        </w:rPr>
        <w:t> </w:t>
      </w:r>
      <w:r>
        <w:rPr/>
        <w:t>of</w:t>
      </w:r>
      <w:r>
        <w:rPr>
          <w:spacing w:val="-6"/>
        </w:rPr>
        <w:t> </w:t>
      </w:r>
      <w:r>
        <w:rPr/>
        <w:t>the</w:t>
      </w:r>
      <w:r>
        <w:rPr>
          <w:spacing w:val="-5"/>
        </w:rPr>
        <w:t> </w:t>
      </w:r>
      <w:r>
        <w:rPr/>
        <w:t>Belfast</w:t>
      </w:r>
      <w:r>
        <w:rPr>
          <w:spacing w:val="-5"/>
        </w:rPr>
        <w:t> </w:t>
      </w:r>
      <w:r>
        <w:rPr/>
        <w:t>(Good Friday) Agreement.</w:t>
      </w:r>
    </w:p>
    <w:p>
      <w:pPr>
        <w:pStyle w:val="ListParagraph"/>
        <w:numPr>
          <w:ilvl w:val="1"/>
          <w:numId w:val="7"/>
        </w:numPr>
        <w:tabs>
          <w:tab w:pos="1853" w:val="left" w:leader="none"/>
        </w:tabs>
        <w:spacing w:line="225" w:lineRule="auto" w:before="308" w:after="0"/>
        <w:ind w:left="1853" w:right="1372" w:hanging="720"/>
        <w:jc w:val="left"/>
        <w:rPr>
          <w:sz w:val="28"/>
        </w:rPr>
      </w:pPr>
      <w:r>
        <w:rPr>
          <w:sz w:val="28"/>
        </w:rPr>
        <w:t>This</w:t>
      </w:r>
      <w:r>
        <w:rPr>
          <w:spacing w:val="-6"/>
          <w:sz w:val="28"/>
        </w:rPr>
        <w:t> </w:t>
      </w:r>
      <w:r>
        <w:rPr>
          <w:sz w:val="28"/>
        </w:rPr>
        <w:t>section</w:t>
      </w:r>
      <w:r>
        <w:rPr>
          <w:spacing w:val="-6"/>
          <w:sz w:val="28"/>
        </w:rPr>
        <w:t> </w:t>
      </w:r>
      <w:r>
        <w:rPr>
          <w:sz w:val="28"/>
        </w:rPr>
        <w:t>of</w:t>
      </w:r>
      <w:r>
        <w:rPr>
          <w:spacing w:val="-6"/>
          <w:sz w:val="28"/>
        </w:rPr>
        <w:t> </w:t>
      </w:r>
      <w:r>
        <w:rPr>
          <w:sz w:val="28"/>
        </w:rPr>
        <w:t>the</w:t>
      </w:r>
      <w:r>
        <w:rPr>
          <w:spacing w:val="-5"/>
          <w:sz w:val="28"/>
        </w:rPr>
        <w:t> </w:t>
      </w:r>
      <w:r>
        <w:rPr>
          <w:sz w:val="28"/>
        </w:rPr>
        <w:t>report</w:t>
      </w:r>
      <w:r>
        <w:rPr>
          <w:spacing w:val="-5"/>
          <w:sz w:val="28"/>
        </w:rPr>
        <w:t> </w:t>
      </w:r>
      <w:r>
        <w:rPr>
          <w:sz w:val="28"/>
        </w:rPr>
        <w:t>sets</w:t>
      </w:r>
      <w:r>
        <w:rPr>
          <w:spacing w:val="-6"/>
          <w:sz w:val="28"/>
        </w:rPr>
        <w:t> </w:t>
      </w:r>
      <w:r>
        <w:rPr>
          <w:sz w:val="28"/>
        </w:rPr>
        <w:t>out</w:t>
      </w:r>
      <w:r>
        <w:rPr>
          <w:spacing w:val="-5"/>
          <w:sz w:val="28"/>
        </w:rPr>
        <w:t> </w:t>
      </w:r>
      <w:r>
        <w:rPr>
          <w:sz w:val="28"/>
        </w:rPr>
        <w:t>a</w:t>
      </w:r>
      <w:r>
        <w:rPr>
          <w:spacing w:val="-6"/>
          <w:sz w:val="28"/>
        </w:rPr>
        <w:t> </w:t>
      </w:r>
      <w:r>
        <w:rPr>
          <w:sz w:val="28"/>
        </w:rPr>
        <w:t>range</w:t>
      </w:r>
      <w:r>
        <w:rPr>
          <w:spacing w:val="-5"/>
          <w:sz w:val="28"/>
        </w:rPr>
        <w:t> </w:t>
      </w:r>
      <w:r>
        <w:rPr>
          <w:sz w:val="28"/>
        </w:rPr>
        <w:t>of</w:t>
      </w:r>
      <w:r>
        <w:rPr>
          <w:spacing w:val="-6"/>
          <w:sz w:val="28"/>
        </w:rPr>
        <w:t> </w:t>
      </w:r>
      <w:r>
        <w:rPr>
          <w:sz w:val="28"/>
        </w:rPr>
        <w:t>areas</w:t>
      </w:r>
      <w:r>
        <w:rPr>
          <w:spacing w:val="-6"/>
          <w:sz w:val="28"/>
        </w:rPr>
        <w:t> </w:t>
      </w:r>
      <w:r>
        <w:rPr>
          <w:sz w:val="28"/>
        </w:rPr>
        <w:t>for</w:t>
      </w:r>
      <w:r>
        <w:rPr>
          <w:spacing w:val="-5"/>
          <w:sz w:val="28"/>
        </w:rPr>
        <w:t> </w:t>
      </w:r>
      <w:r>
        <w:rPr>
          <w:sz w:val="28"/>
        </w:rPr>
        <w:t>which</w:t>
      </w:r>
      <w:r>
        <w:rPr>
          <w:spacing w:val="-6"/>
          <w:sz w:val="28"/>
        </w:rPr>
        <w:t> </w:t>
      </w:r>
      <w:r>
        <w:rPr>
          <w:sz w:val="28"/>
        </w:rPr>
        <w:t>these</w:t>
      </w:r>
      <w:r>
        <w:rPr>
          <w:spacing w:val="-5"/>
          <w:sz w:val="28"/>
        </w:rPr>
        <w:t> </w:t>
      </w:r>
      <w:r>
        <w:rPr>
          <w:sz w:val="28"/>
        </w:rPr>
        <w:t>directives have implications. This includes many areas within the responsibility of NI</w:t>
      </w:r>
    </w:p>
    <w:p>
      <w:pPr>
        <w:pStyle w:val="BodyText"/>
        <w:spacing w:before="85"/>
        <w:rPr>
          <w:sz w:val="20"/>
        </w:rPr>
      </w:pPr>
      <w:r>
        <w:rPr/>
        <mc:AlternateContent>
          <mc:Choice Requires="wps">
            <w:drawing>
              <wp:anchor distT="0" distB="0" distL="0" distR="0" allowOverlap="1" layoutInCell="1" locked="0" behindDoc="1" simplePos="0" relativeHeight="487665152">
                <wp:simplePos x="0" y="0"/>
                <wp:positionH relativeFrom="page">
                  <wp:posOffset>719996</wp:posOffset>
                </wp:positionH>
                <wp:positionV relativeFrom="paragraph">
                  <wp:posOffset>224557</wp:posOffset>
                </wp:positionV>
                <wp:extent cx="6120130" cy="1270"/>
                <wp:effectExtent l="0" t="0" r="0" b="0"/>
                <wp:wrapTopAndBottom/>
                <wp:docPr id="336" name="Graphic 336"/>
                <wp:cNvGraphicFramePr>
                  <a:graphicFrameLocks/>
                </wp:cNvGraphicFramePr>
                <a:graphic>
                  <a:graphicData uri="http://schemas.microsoft.com/office/word/2010/wordprocessingShape">
                    <wps:wsp>
                      <wps:cNvPr id="336" name="Graphic 336"/>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7.681717pt;width:481.9pt;height:.1pt;mso-position-horizontal-relative:page;mso-position-vertical-relative:paragraph;z-index:-15651328;mso-wrap-distance-left:0;mso-wrap-distance-right:0" id="docshape287" coordorigin="1134,354" coordsize="9638,0" path="m10772,354l1134,354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35" w:lineRule="auto" w:before="133" w:after="0"/>
        <w:ind w:left="1853" w:right="1374" w:hanging="720"/>
        <w:jc w:val="left"/>
        <w:rPr>
          <w:sz w:val="18"/>
        </w:rPr>
      </w:pPr>
      <w:r>
        <w:rPr>
          <w:sz w:val="18"/>
        </w:rPr>
        <w:t>Directive</w:t>
      </w:r>
      <w:r>
        <w:rPr>
          <w:spacing w:val="-5"/>
          <w:sz w:val="18"/>
        </w:rPr>
        <w:t> </w:t>
      </w:r>
      <w:r>
        <w:rPr>
          <w:sz w:val="18"/>
        </w:rPr>
        <w:t>2012/29/EU,</w:t>
      </w:r>
      <w:r>
        <w:rPr>
          <w:spacing w:val="-5"/>
          <w:sz w:val="18"/>
        </w:rPr>
        <w:t> </w:t>
      </w:r>
      <w:r>
        <w:rPr>
          <w:sz w:val="18"/>
        </w:rPr>
        <w:t>‘EU</w:t>
      </w:r>
      <w:r>
        <w:rPr>
          <w:spacing w:val="-5"/>
          <w:sz w:val="18"/>
        </w:rPr>
        <w:t> </w:t>
      </w:r>
      <w:r>
        <w:rPr>
          <w:sz w:val="18"/>
        </w:rPr>
        <w:t>Parliament</w:t>
      </w:r>
      <w:r>
        <w:rPr>
          <w:spacing w:val="-5"/>
          <w:sz w:val="18"/>
        </w:rPr>
        <w:t> </w:t>
      </w:r>
      <w:r>
        <w:rPr>
          <w:sz w:val="18"/>
        </w:rPr>
        <w:t>and</w:t>
      </w:r>
      <w:r>
        <w:rPr>
          <w:spacing w:val="-6"/>
          <w:sz w:val="18"/>
        </w:rPr>
        <w:t> </w:t>
      </w:r>
      <w:r>
        <w:rPr>
          <w:sz w:val="18"/>
        </w:rPr>
        <w:t>Council</w:t>
      </w:r>
      <w:r>
        <w:rPr>
          <w:spacing w:val="-6"/>
          <w:sz w:val="18"/>
        </w:rPr>
        <w:t> </w:t>
      </w:r>
      <w:r>
        <w:rPr>
          <w:sz w:val="18"/>
        </w:rPr>
        <w:t>Directive</w:t>
      </w:r>
      <w:r>
        <w:rPr>
          <w:spacing w:val="-5"/>
          <w:sz w:val="18"/>
        </w:rPr>
        <w:t> </w:t>
      </w:r>
      <w:r>
        <w:rPr>
          <w:sz w:val="18"/>
        </w:rPr>
        <w:t>establishing</w:t>
      </w:r>
      <w:r>
        <w:rPr>
          <w:spacing w:val="-5"/>
          <w:sz w:val="18"/>
        </w:rPr>
        <w:t> </w:t>
      </w:r>
      <w:r>
        <w:rPr>
          <w:sz w:val="18"/>
        </w:rPr>
        <w:t>minimum</w:t>
      </w:r>
      <w:r>
        <w:rPr>
          <w:spacing w:val="-5"/>
          <w:sz w:val="18"/>
        </w:rPr>
        <w:t> </w:t>
      </w:r>
      <w:r>
        <w:rPr>
          <w:sz w:val="18"/>
        </w:rPr>
        <w:t>standards</w:t>
      </w:r>
      <w:r>
        <w:rPr>
          <w:spacing w:val="-6"/>
          <w:sz w:val="18"/>
        </w:rPr>
        <w:t> </w:t>
      </w:r>
      <w:r>
        <w:rPr>
          <w:sz w:val="18"/>
        </w:rPr>
        <w:t>on</w:t>
      </w:r>
      <w:r>
        <w:rPr>
          <w:spacing w:val="-6"/>
          <w:sz w:val="18"/>
        </w:rPr>
        <w:t> </w:t>
      </w:r>
      <w:r>
        <w:rPr>
          <w:sz w:val="18"/>
        </w:rPr>
        <w:t>the</w:t>
      </w:r>
      <w:r>
        <w:rPr>
          <w:spacing w:val="-5"/>
          <w:sz w:val="18"/>
        </w:rPr>
        <w:t> </w:t>
      </w:r>
      <w:r>
        <w:rPr>
          <w:sz w:val="18"/>
        </w:rPr>
        <w:t>rights,</w:t>
      </w:r>
      <w:r>
        <w:rPr>
          <w:spacing w:val="-5"/>
          <w:sz w:val="18"/>
        </w:rPr>
        <w:t> </w:t>
      </w:r>
      <w:r>
        <w:rPr>
          <w:sz w:val="18"/>
        </w:rPr>
        <w:t>support</w:t>
      </w:r>
      <w:r>
        <w:rPr>
          <w:spacing w:val="-5"/>
          <w:sz w:val="18"/>
        </w:rPr>
        <w:t> </w:t>
      </w:r>
      <w:r>
        <w:rPr>
          <w:sz w:val="18"/>
        </w:rPr>
        <w:t>and protection of victims of crime’, 25 October 2012.</w:t>
      </w:r>
    </w:p>
    <w:p>
      <w:pPr>
        <w:pStyle w:val="ListParagraph"/>
        <w:numPr>
          <w:ilvl w:val="0"/>
          <w:numId w:val="9"/>
        </w:numPr>
        <w:tabs>
          <w:tab w:pos="1853" w:val="left" w:leader="none"/>
        </w:tabs>
        <w:spacing w:line="235" w:lineRule="auto" w:before="1" w:after="0"/>
        <w:ind w:left="1853" w:right="1388" w:hanging="720"/>
        <w:jc w:val="left"/>
        <w:rPr>
          <w:sz w:val="18"/>
        </w:rPr>
      </w:pP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and</w:t>
      </w:r>
      <w:r>
        <w:rPr>
          <w:spacing w:val="-4"/>
          <w:sz w:val="18"/>
        </w:rPr>
        <w:t> </w:t>
      </w:r>
      <w:r>
        <w:rPr>
          <w:sz w:val="18"/>
        </w:rPr>
        <w:t>Equality</w:t>
      </w:r>
      <w:r>
        <w:rPr>
          <w:spacing w:val="-3"/>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‘Working</w:t>
      </w:r>
      <w:r>
        <w:rPr>
          <w:spacing w:val="-3"/>
          <w:sz w:val="18"/>
        </w:rPr>
        <w:t> </w:t>
      </w:r>
      <w:r>
        <w:rPr>
          <w:sz w:val="18"/>
        </w:rPr>
        <w:t>Paper:</w:t>
      </w:r>
      <w:r>
        <w:rPr>
          <w:spacing w:val="-3"/>
          <w:sz w:val="18"/>
        </w:rPr>
        <w:t> </w:t>
      </w:r>
      <w:r>
        <w:rPr>
          <w:sz w:val="18"/>
        </w:rPr>
        <w:t>The</w:t>
      </w:r>
      <w:r>
        <w:rPr>
          <w:spacing w:val="-3"/>
          <w:sz w:val="18"/>
        </w:rPr>
        <w:t> </w:t>
      </w:r>
      <w:r>
        <w:rPr>
          <w:sz w:val="18"/>
        </w:rPr>
        <w:t>Scope</w:t>
      </w:r>
      <w:r>
        <w:rPr>
          <w:spacing w:val="-3"/>
          <w:sz w:val="18"/>
        </w:rPr>
        <w:t> </w:t>
      </w:r>
      <w:r>
        <w:rPr>
          <w:sz w:val="18"/>
        </w:rPr>
        <w:t>of</w:t>
      </w:r>
      <w:r>
        <w:rPr>
          <w:spacing w:val="-4"/>
          <w:sz w:val="18"/>
        </w:rPr>
        <w:t> </w:t>
      </w:r>
      <w:r>
        <w:rPr>
          <w:sz w:val="18"/>
        </w:rPr>
        <w:t>Article</w:t>
      </w:r>
      <w:r>
        <w:rPr>
          <w:spacing w:val="-3"/>
          <w:sz w:val="18"/>
        </w:rPr>
        <w:t> </w:t>
      </w:r>
      <w:r>
        <w:rPr>
          <w:sz w:val="18"/>
        </w:rPr>
        <w:t>2(1)</w:t>
      </w:r>
      <w:r>
        <w:rPr>
          <w:spacing w:val="-4"/>
          <w:sz w:val="18"/>
        </w:rPr>
        <w:t> </w:t>
      </w:r>
      <w:r>
        <w:rPr>
          <w:sz w:val="18"/>
        </w:rPr>
        <w:t>of</w:t>
      </w:r>
      <w:r>
        <w:rPr>
          <w:spacing w:val="-4"/>
          <w:sz w:val="18"/>
        </w:rPr>
        <w:t> </w:t>
      </w:r>
      <w:r>
        <w:rPr>
          <w:sz w:val="18"/>
        </w:rPr>
        <w:t>the</w:t>
      </w:r>
      <w:r>
        <w:rPr>
          <w:spacing w:val="-3"/>
          <w:sz w:val="18"/>
        </w:rPr>
        <w:t> </w:t>
      </w:r>
      <w:r>
        <w:rPr>
          <w:sz w:val="18"/>
        </w:rPr>
        <w:t>Ireland/ Northern Ireland Protocol’ (NIHRC and ECNI, 2022).</w:t>
      </w:r>
    </w:p>
    <w:p>
      <w:pPr>
        <w:pStyle w:val="ListParagraph"/>
        <w:numPr>
          <w:ilvl w:val="0"/>
          <w:numId w:val="9"/>
        </w:numPr>
        <w:tabs>
          <w:tab w:pos="1853" w:val="left" w:leader="none"/>
        </w:tabs>
        <w:spacing w:line="216" w:lineRule="exact" w:before="0" w:after="0"/>
        <w:ind w:left="1853" w:right="0" w:hanging="720"/>
        <w:jc w:val="left"/>
        <w:rPr>
          <w:sz w:val="18"/>
        </w:rPr>
      </w:pPr>
      <w:r>
        <w:rPr>
          <w:i/>
          <w:sz w:val="18"/>
        </w:rPr>
        <w:t>In</w:t>
      </w:r>
      <w:r>
        <w:rPr>
          <w:i/>
          <w:spacing w:val="-5"/>
          <w:sz w:val="18"/>
        </w:rPr>
        <w:t> </w:t>
      </w:r>
      <w:r>
        <w:rPr>
          <w:i/>
          <w:sz w:val="18"/>
        </w:rPr>
        <w:t>the</w:t>
      </w:r>
      <w:r>
        <w:rPr>
          <w:i/>
          <w:spacing w:val="-4"/>
          <w:sz w:val="18"/>
        </w:rPr>
        <w:t> </w:t>
      </w:r>
      <w:r>
        <w:rPr>
          <w:i/>
          <w:sz w:val="18"/>
        </w:rPr>
        <w:t>Matter</w:t>
      </w:r>
      <w:r>
        <w:rPr>
          <w:i/>
          <w:spacing w:val="-4"/>
          <w:sz w:val="18"/>
        </w:rPr>
        <w:t> </w:t>
      </w:r>
      <w:r>
        <w:rPr>
          <w:i/>
          <w:sz w:val="18"/>
        </w:rPr>
        <w:t>of</w:t>
      </w:r>
      <w:r>
        <w:rPr>
          <w:i/>
          <w:spacing w:val="-5"/>
          <w:sz w:val="18"/>
        </w:rPr>
        <w:t> </w:t>
      </w:r>
      <w:r>
        <w:rPr>
          <w:i/>
          <w:sz w:val="18"/>
        </w:rPr>
        <w:t>an</w:t>
      </w:r>
      <w:r>
        <w:rPr>
          <w:i/>
          <w:spacing w:val="-4"/>
          <w:sz w:val="18"/>
        </w:rPr>
        <w:t> </w:t>
      </w:r>
      <w:r>
        <w:rPr>
          <w:i/>
          <w:sz w:val="18"/>
        </w:rPr>
        <w:t>Application</w:t>
      </w:r>
      <w:r>
        <w:rPr>
          <w:i/>
          <w:spacing w:val="-5"/>
          <w:sz w:val="18"/>
        </w:rPr>
        <w:t> </w:t>
      </w:r>
      <w:r>
        <w:rPr>
          <w:i/>
          <w:sz w:val="18"/>
        </w:rPr>
        <w:t>by</w:t>
      </w:r>
      <w:r>
        <w:rPr>
          <w:i/>
          <w:spacing w:val="-5"/>
          <w:sz w:val="18"/>
        </w:rPr>
        <w:t> </w:t>
      </w:r>
      <w:r>
        <w:rPr>
          <w:i/>
          <w:sz w:val="18"/>
        </w:rPr>
        <w:t>Martina</w:t>
      </w:r>
      <w:r>
        <w:rPr>
          <w:i/>
          <w:spacing w:val="-4"/>
          <w:sz w:val="18"/>
        </w:rPr>
        <w:t> </w:t>
      </w:r>
      <w:r>
        <w:rPr>
          <w:i/>
          <w:sz w:val="18"/>
        </w:rPr>
        <w:t>Dillon</w:t>
      </w:r>
      <w:r>
        <w:rPr>
          <w:i/>
          <w:spacing w:val="-5"/>
          <w:sz w:val="18"/>
        </w:rPr>
        <w:t> </w:t>
      </w:r>
      <w:r>
        <w:rPr>
          <w:i/>
          <w:sz w:val="18"/>
        </w:rPr>
        <w:t>and</w:t>
      </w:r>
      <w:r>
        <w:rPr>
          <w:i/>
          <w:spacing w:val="-5"/>
          <w:sz w:val="18"/>
        </w:rPr>
        <w:t> </w:t>
      </w:r>
      <w:r>
        <w:rPr>
          <w:i/>
          <w:sz w:val="18"/>
        </w:rPr>
        <w:t>Others</w:t>
      </w:r>
      <w:r>
        <w:rPr>
          <w:i/>
          <w:spacing w:val="-4"/>
          <w:sz w:val="18"/>
        </w:rPr>
        <w:t> </w:t>
      </w:r>
      <w:r>
        <w:rPr>
          <w:i/>
          <w:sz w:val="18"/>
        </w:rPr>
        <w:t>for</w:t>
      </w:r>
      <w:r>
        <w:rPr>
          <w:i/>
          <w:spacing w:val="-4"/>
          <w:sz w:val="18"/>
        </w:rPr>
        <w:t> </w:t>
      </w:r>
      <w:r>
        <w:rPr>
          <w:i/>
          <w:sz w:val="18"/>
        </w:rPr>
        <w:t>Judicial</w:t>
      </w:r>
      <w:r>
        <w:rPr>
          <w:i/>
          <w:spacing w:val="-5"/>
          <w:sz w:val="18"/>
        </w:rPr>
        <w:t> </w:t>
      </w:r>
      <w:r>
        <w:rPr>
          <w:i/>
          <w:sz w:val="18"/>
        </w:rPr>
        <w:t>Review</w:t>
      </w:r>
      <w:r>
        <w:rPr>
          <w:i/>
          <w:spacing w:val="-5"/>
          <w:sz w:val="18"/>
        </w:rPr>
        <w:t> </w:t>
      </w:r>
      <w:r>
        <w:rPr>
          <w:sz w:val="18"/>
        </w:rPr>
        <w:t>[2024]</w:t>
      </w:r>
      <w:r>
        <w:rPr>
          <w:spacing w:val="-3"/>
          <w:sz w:val="18"/>
        </w:rPr>
        <w:t> </w:t>
      </w:r>
      <w:r>
        <w:rPr>
          <w:sz w:val="18"/>
        </w:rPr>
        <w:t>NIKB</w:t>
      </w:r>
      <w:r>
        <w:rPr>
          <w:spacing w:val="-4"/>
          <w:sz w:val="18"/>
        </w:rPr>
        <w:t> </w:t>
      </w:r>
      <w:r>
        <w:rPr>
          <w:sz w:val="18"/>
        </w:rPr>
        <w:t>11,</w:t>
      </w:r>
      <w:r>
        <w:rPr>
          <w:spacing w:val="-4"/>
          <w:sz w:val="18"/>
        </w:rPr>
        <w:t> </w:t>
      </w:r>
      <w:r>
        <w:rPr>
          <w:sz w:val="18"/>
        </w:rPr>
        <w:t>at</w:t>
      </w:r>
      <w:r>
        <w:rPr>
          <w:spacing w:val="-4"/>
          <w:sz w:val="18"/>
        </w:rPr>
        <w:t> </w:t>
      </w:r>
      <w:r>
        <w:rPr>
          <w:sz w:val="18"/>
        </w:rPr>
        <w:t>para</w:t>
      </w:r>
      <w:r>
        <w:rPr>
          <w:spacing w:val="-5"/>
          <w:sz w:val="18"/>
        </w:rPr>
        <w:t> </w:t>
      </w:r>
      <w:r>
        <w:rPr>
          <w:spacing w:val="-4"/>
          <w:sz w:val="18"/>
        </w:rPr>
        <w:t>547.</w:t>
      </w:r>
    </w:p>
    <w:p>
      <w:pPr>
        <w:pStyle w:val="ListParagraph"/>
        <w:numPr>
          <w:ilvl w:val="0"/>
          <w:numId w:val="9"/>
        </w:numPr>
        <w:tabs>
          <w:tab w:pos="1853" w:val="left" w:leader="none"/>
        </w:tabs>
        <w:spacing w:line="216"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para</w:t>
      </w:r>
      <w:r>
        <w:rPr>
          <w:spacing w:val="-2"/>
          <w:sz w:val="18"/>
        </w:rPr>
        <w:t> </w:t>
      </w:r>
      <w:r>
        <w:rPr>
          <w:spacing w:val="-4"/>
          <w:sz w:val="18"/>
        </w:rPr>
        <w:t>554.</w:t>
      </w:r>
    </w:p>
    <w:p>
      <w:pPr>
        <w:pStyle w:val="ListParagraph"/>
        <w:numPr>
          <w:ilvl w:val="0"/>
          <w:numId w:val="9"/>
        </w:numPr>
        <w:tabs>
          <w:tab w:pos="1853" w:val="left" w:leader="none"/>
        </w:tabs>
        <w:spacing w:line="216"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para</w:t>
      </w:r>
      <w:r>
        <w:rPr>
          <w:spacing w:val="-2"/>
          <w:sz w:val="18"/>
        </w:rPr>
        <w:t> </w:t>
      </w:r>
      <w:r>
        <w:rPr>
          <w:spacing w:val="-4"/>
          <w:sz w:val="18"/>
        </w:rPr>
        <w:t>582.</w:t>
      </w:r>
    </w:p>
    <w:p>
      <w:pPr>
        <w:pStyle w:val="ListParagraph"/>
        <w:numPr>
          <w:ilvl w:val="0"/>
          <w:numId w:val="9"/>
        </w:numPr>
        <w:tabs>
          <w:tab w:pos="1853" w:val="left" w:leader="none"/>
        </w:tabs>
        <w:spacing w:line="235" w:lineRule="auto" w:before="2" w:after="0"/>
        <w:ind w:left="1853" w:right="1536" w:hanging="720"/>
        <w:jc w:val="left"/>
        <w:rPr>
          <w:sz w:val="18"/>
        </w:rPr>
      </w:pPr>
      <w:r>
        <w:rPr>
          <w:sz w:val="18"/>
        </w:rPr>
        <w:t>Directive</w:t>
      </w:r>
      <w:r>
        <w:rPr>
          <w:spacing w:val="-6"/>
          <w:sz w:val="18"/>
        </w:rPr>
        <w:t> </w:t>
      </w:r>
      <w:r>
        <w:rPr>
          <w:sz w:val="18"/>
        </w:rPr>
        <w:t>2011/36/EU,</w:t>
      </w:r>
      <w:r>
        <w:rPr>
          <w:spacing w:val="-6"/>
          <w:sz w:val="18"/>
        </w:rPr>
        <w:t> </w:t>
      </w:r>
      <w:r>
        <w:rPr>
          <w:sz w:val="18"/>
        </w:rPr>
        <w:t>‘Council</w:t>
      </w:r>
      <w:r>
        <w:rPr>
          <w:spacing w:val="-7"/>
          <w:sz w:val="18"/>
        </w:rPr>
        <w:t> </w:t>
      </w:r>
      <w:r>
        <w:rPr>
          <w:sz w:val="18"/>
        </w:rPr>
        <w:t>Directive</w:t>
      </w:r>
      <w:r>
        <w:rPr>
          <w:spacing w:val="-6"/>
          <w:sz w:val="18"/>
        </w:rPr>
        <w:t> </w:t>
      </w:r>
      <w:r>
        <w:rPr>
          <w:sz w:val="18"/>
        </w:rPr>
        <w:t>on</w:t>
      </w:r>
      <w:r>
        <w:rPr>
          <w:spacing w:val="-7"/>
          <w:sz w:val="18"/>
        </w:rPr>
        <w:t> </w:t>
      </w:r>
      <w:r>
        <w:rPr>
          <w:sz w:val="18"/>
        </w:rPr>
        <w:t>Preventing</w:t>
      </w:r>
      <w:r>
        <w:rPr>
          <w:spacing w:val="-6"/>
          <w:sz w:val="18"/>
        </w:rPr>
        <w:t> </w:t>
      </w:r>
      <w:r>
        <w:rPr>
          <w:sz w:val="18"/>
        </w:rPr>
        <w:t>and</w:t>
      </w:r>
      <w:r>
        <w:rPr>
          <w:spacing w:val="-7"/>
          <w:sz w:val="18"/>
        </w:rPr>
        <w:t> </w:t>
      </w:r>
      <w:r>
        <w:rPr>
          <w:sz w:val="18"/>
        </w:rPr>
        <w:t>Combating</w:t>
      </w:r>
      <w:r>
        <w:rPr>
          <w:spacing w:val="-6"/>
          <w:sz w:val="18"/>
        </w:rPr>
        <w:t> </w:t>
      </w:r>
      <w:r>
        <w:rPr>
          <w:sz w:val="18"/>
        </w:rPr>
        <w:t>Trafficking</w:t>
      </w:r>
      <w:r>
        <w:rPr>
          <w:spacing w:val="-6"/>
          <w:sz w:val="18"/>
        </w:rPr>
        <w:t> </w:t>
      </w:r>
      <w:r>
        <w:rPr>
          <w:sz w:val="18"/>
        </w:rPr>
        <w:t>in</w:t>
      </w:r>
      <w:r>
        <w:rPr>
          <w:spacing w:val="-7"/>
          <w:sz w:val="18"/>
        </w:rPr>
        <w:t> </w:t>
      </w:r>
      <w:r>
        <w:rPr>
          <w:sz w:val="18"/>
        </w:rPr>
        <w:t>Human</w:t>
      </w:r>
      <w:r>
        <w:rPr>
          <w:spacing w:val="-7"/>
          <w:sz w:val="18"/>
        </w:rPr>
        <w:t> </w:t>
      </w:r>
      <w:r>
        <w:rPr>
          <w:sz w:val="18"/>
        </w:rPr>
        <w:t>Beings</w:t>
      </w:r>
      <w:r>
        <w:rPr>
          <w:spacing w:val="-7"/>
          <w:sz w:val="18"/>
        </w:rPr>
        <w:t> </w:t>
      </w:r>
      <w:r>
        <w:rPr>
          <w:sz w:val="18"/>
        </w:rPr>
        <w:t>and</w:t>
      </w:r>
      <w:r>
        <w:rPr>
          <w:spacing w:val="-7"/>
          <w:sz w:val="18"/>
        </w:rPr>
        <w:t> </w:t>
      </w:r>
      <w:r>
        <w:rPr>
          <w:sz w:val="18"/>
        </w:rPr>
        <w:t>Protecting</w:t>
      </w:r>
      <w:r>
        <w:rPr>
          <w:spacing w:val="-6"/>
          <w:sz w:val="18"/>
        </w:rPr>
        <w:t> </w:t>
      </w:r>
      <w:r>
        <w:rPr>
          <w:sz w:val="18"/>
        </w:rPr>
        <w:t>its Victims’, 5 April 2011.</w:t>
      </w:r>
    </w:p>
    <w:p>
      <w:pPr>
        <w:pStyle w:val="ListParagraph"/>
        <w:numPr>
          <w:ilvl w:val="0"/>
          <w:numId w:val="9"/>
        </w:numPr>
        <w:tabs>
          <w:tab w:pos="1853" w:val="left" w:leader="none"/>
        </w:tabs>
        <w:spacing w:line="235" w:lineRule="auto" w:before="1" w:after="0"/>
        <w:ind w:left="1853" w:right="1303" w:hanging="720"/>
        <w:jc w:val="left"/>
        <w:rPr>
          <w:sz w:val="18"/>
        </w:rPr>
      </w:pPr>
      <w:r>
        <w:rPr>
          <w:sz w:val="18"/>
        </w:rPr>
        <w:t>Directive</w:t>
      </w:r>
      <w:r>
        <w:rPr>
          <w:spacing w:val="-4"/>
          <w:sz w:val="18"/>
        </w:rPr>
        <w:t> </w:t>
      </w:r>
      <w:r>
        <w:rPr>
          <w:sz w:val="18"/>
        </w:rPr>
        <w:t>2012/29/EU,</w:t>
      </w:r>
      <w:r>
        <w:rPr>
          <w:spacing w:val="-4"/>
          <w:sz w:val="18"/>
        </w:rPr>
        <w:t> </w:t>
      </w:r>
      <w:r>
        <w:rPr>
          <w:sz w:val="18"/>
        </w:rPr>
        <w:t>‘EU</w:t>
      </w:r>
      <w:r>
        <w:rPr>
          <w:spacing w:val="-4"/>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Directive</w:t>
      </w:r>
      <w:r>
        <w:rPr>
          <w:spacing w:val="-4"/>
          <w:sz w:val="18"/>
        </w:rPr>
        <w:t> </w:t>
      </w:r>
      <w:r>
        <w:rPr>
          <w:sz w:val="18"/>
        </w:rPr>
        <w:t>Establishing</w:t>
      </w:r>
      <w:r>
        <w:rPr>
          <w:spacing w:val="-4"/>
          <w:sz w:val="18"/>
        </w:rPr>
        <w:t> </w:t>
      </w:r>
      <w:r>
        <w:rPr>
          <w:sz w:val="18"/>
        </w:rPr>
        <w:t>Minimum</w:t>
      </w:r>
      <w:r>
        <w:rPr>
          <w:spacing w:val="-4"/>
          <w:sz w:val="18"/>
        </w:rPr>
        <w:t> </w:t>
      </w:r>
      <w:r>
        <w:rPr>
          <w:sz w:val="18"/>
        </w:rPr>
        <w:t>Standards</w:t>
      </w:r>
      <w:r>
        <w:rPr>
          <w:spacing w:val="-5"/>
          <w:sz w:val="18"/>
        </w:rPr>
        <w:t> </w:t>
      </w:r>
      <w:r>
        <w:rPr>
          <w:sz w:val="18"/>
        </w:rPr>
        <w:t>on</w:t>
      </w:r>
      <w:r>
        <w:rPr>
          <w:spacing w:val="-5"/>
          <w:sz w:val="18"/>
        </w:rPr>
        <w:t> </w:t>
      </w:r>
      <w:r>
        <w:rPr>
          <w:sz w:val="18"/>
        </w:rPr>
        <w:t>the</w:t>
      </w:r>
      <w:r>
        <w:rPr>
          <w:spacing w:val="-4"/>
          <w:sz w:val="18"/>
        </w:rPr>
        <w:t> </w:t>
      </w:r>
      <w:r>
        <w:rPr>
          <w:sz w:val="18"/>
        </w:rPr>
        <w:t>Rights,</w:t>
      </w:r>
      <w:r>
        <w:rPr>
          <w:spacing w:val="-4"/>
          <w:sz w:val="18"/>
        </w:rPr>
        <w:t> </w:t>
      </w:r>
      <w:r>
        <w:rPr>
          <w:sz w:val="18"/>
        </w:rPr>
        <w:t>Support</w:t>
      </w:r>
      <w:r>
        <w:rPr>
          <w:spacing w:val="-4"/>
          <w:sz w:val="18"/>
        </w:rPr>
        <w:t> </w:t>
      </w:r>
      <w:r>
        <w:rPr>
          <w:sz w:val="18"/>
        </w:rPr>
        <w:t>and Protection of Victims of Crime’, 25 October 2012; Directive 2011/36/EU, ‘Council Directive on Preventing and</w:t>
      </w:r>
      <w:r>
        <w:rPr>
          <w:sz w:val="18"/>
        </w:rPr>
        <w:t> Combating</w:t>
      </w:r>
      <w:r>
        <w:rPr>
          <w:spacing w:val="-6"/>
          <w:sz w:val="18"/>
        </w:rPr>
        <w:t> </w:t>
      </w:r>
      <w:r>
        <w:rPr>
          <w:sz w:val="18"/>
        </w:rPr>
        <w:t>Trafficking</w:t>
      </w:r>
      <w:r>
        <w:rPr>
          <w:spacing w:val="-6"/>
          <w:sz w:val="18"/>
        </w:rPr>
        <w:t> </w:t>
      </w:r>
      <w:r>
        <w:rPr>
          <w:sz w:val="18"/>
        </w:rPr>
        <w:t>in</w:t>
      </w:r>
      <w:r>
        <w:rPr>
          <w:spacing w:val="-7"/>
          <w:sz w:val="18"/>
        </w:rPr>
        <w:t> </w:t>
      </w:r>
      <w:r>
        <w:rPr>
          <w:sz w:val="18"/>
        </w:rPr>
        <w:t>Human</w:t>
      </w:r>
      <w:r>
        <w:rPr>
          <w:spacing w:val="-7"/>
          <w:sz w:val="18"/>
        </w:rPr>
        <w:t> </w:t>
      </w:r>
      <w:r>
        <w:rPr>
          <w:sz w:val="18"/>
        </w:rPr>
        <w:t>Beings</w:t>
      </w:r>
      <w:r>
        <w:rPr>
          <w:spacing w:val="-7"/>
          <w:sz w:val="18"/>
        </w:rPr>
        <w:t> </w:t>
      </w:r>
      <w:r>
        <w:rPr>
          <w:sz w:val="18"/>
        </w:rPr>
        <w:t>and</w:t>
      </w:r>
      <w:r>
        <w:rPr>
          <w:spacing w:val="-7"/>
          <w:sz w:val="18"/>
        </w:rPr>
        <w:t> </w:t>
      </w:r>
      <w:r>
        <w:rPr>
          <w:sz w:val="18"/>
        </w:rPr>
        <w:t>Protecting</w:t>
      </w:r>
      <w:r>
        <w:rPr>
          <w:spacing w:val="-6"/>
          <w:sz w:val="18"/>
        </w:rPr>
        <w:t> </w:t>
      </w:r>
      <w:r>
        <w:rPr>
          <w:sz w:val="18"/>
        </w:rPr>
        <w:t>its</w:t>
      </w:r>
      <w:r>
        <w:rPr>
          <w:spacing w:val="-7"/>
          <w:sz w:val="18"/>
        </w:rPr>
        <w:t> </w:t>
      </w:r>
      <w:r>
        <w:rPr>
          <w:sz w:val="18"/>
        </w:rPr>
        <w:t>Victims’,</w:t>
      </w:r>
      <w:r>
        <w:rPr>
          <w:spacing w:val="-6"/>
          <w:sz w:val="18"/>
        </w:rPr>
        <w:t> </w:t>
      </w:r>
      <w:r>
        <w:rPr>
          <w:sz w:val="18"/>
        </w:rPr>
        <w:t>5</w:t>
      </w:r>
      <w:r>
        <w:rPr>
          <w:spacing w:val="-6"/>
          <w:sz w:val="18"/>
        </w:rPr>
        <w:t> </w:t>
      </w:r>
      <w:r>
        <w:rPr>
          <w:sz w:val="18"/>
        </w:rPr>
        <w:t>April</w:t>
      </w:r>
      <w:r>
        <w:rPr>
          <w:spacing w:val="-7"/>
          <w:sz w:val="18"/>
        </w:rPr>
        <w:t> </w:t>
      </w:r>
      <w:r>
        <w:rPr>
          <w:sz w:val="18"/>
        </w:rPr>
        <w:t>2011;</w:t>
      </w:r>
      <w:r>
        <w:rPr>
          <w:spacing w:val="-6"/>
          <w:sz w:val="18"/>
        </w:rPr>
        <w:t> </w:t>
      </w:r>
      <w:r>
        <w:rPr>
          <w:sz w:val="18"/>
        </w:rPr>
        <w:t>Directive</w:t>
      </w:r>
      <w:r>
        <w:rPr>
          <w:spacing w:val="-6"/>
          <w:sz w:val="18"/>
        </w:rPr>
        <w:t> </w:t>
      </w:r>
      <w:r>
        <w:rPr>
          <w:sz w:val="18"/>
        </w:rPr>
        <w:t>2004/80/EC,</w:t>
      </w:r>
      <w:r>
        <w:rPr>
          <w:spacing w:val="-6"/>
          <w:sz w:val="18"/>
        </w:rPr>
        <w:t> </w:t>
      </w:r>
      <w:r>
        <w:rPr>
          <w:sz w:val="18"/>
        </w:rPr>
        <w:t>‘Council</w:t>
      </w:r>
      <w:r>
        <w:rPr>
          <w:spacing w:val="-7"/>
          <w:sz w:val="18"/>
        </w:rPr>
        <w:t> </w:t>
      </w:r>
      <w:r>
        <w:rPr>
          <w:sz w:val="18"/>
        </w:rPr>
        <w:t>Directive relating to the Compensation to Crime Victims’, 29 April 2004.</w:t>
      </w:r>
    </w:p>
    <w:p>
      <w:pPr>
        <w:pStyle w:val="ListParagraph"/>
        <w:numPr>
          <w:ilvl w:val="0"/>
          <w:numId w:val="9"/>
        </w:numPr>
        <w:tabs>
          <w:tab w:pos="1853" w:val="left" w:leader="none"/>
        </w:tabs>
        <w:spacing w:line="235" w:lineRule="auto" w:before="3" w:after="0"/>
        <w:ind w:left="1853" w:right="1388" w:hanging="720"/>
        <w:jc w:val="left"/>
        <w:rPr>
          <w:sz w:val="18"/>
        </w:rPr>
      </w:pPr>
      <w:r>
        <w:rPr/>
        <mc:AlternateContent>
          <mc:Choice Requires="wps">
            <w:drawing>
              <wp:anchor distT="0" distB="0" distL="0" distR="0" allowOverlap="1" layoutInCell="1" locked="0" behindDoc="0" simplePos="0" relativeHeight="15806464">
                <wp:simplePos x="0" y="0"/>
                <wp:positionH relativeFrom="page">
                  <wp:posOffset>2371656</wp:posOffset>
                </wp:positionH>
                <wp:positionV relativeFrom="paragraph">
                  <wp:posOffset>258558</wp:posOffset>
                </wp:positionV>
                <wp:extent cx="28575" cy="1270"/>
                <wp:effectExtent l="0" t="0" r="0" b="0"/>
                <wp:wrapNone/>
                <wp:docPr id="337" name="Graphic 337"/>
                <wp:cNvGraphicFramePr>
                  <a:graphicFrameLocks/>
                </wp:cNvGraphicFramePr>
                <a:graphic>
                  <a:graphicData uri="http://schemas.microsoft.com/office/word/2010/wordprocessingShape">
                    <wps:wsp>
                      <wps:cNvPr id="337" name="Graphic 337"/>
                      <wps:cNvSpPr/>
                      <wps:spPr>
                        <a:xfrm>
                          <a:off x="0" y="0"/>
                          <a:ext cx="28575" cy="1270"/>
                        </a:xfrm>
                        <a:custGeom>
                          <a:avLst/>
                          <a:gdLst/>
                          <a:ahLst/>
                          <a:cxnLst/>
                          <a:rect l="l" t="t" r="r" b="b"/>
                          <a:pathLst>
                            <a:path w="28575" h="0">
                              <a:moveTo>
                                <a:pt x="0" y="0"/>
                              </a:moveTo>
                              <a:lnTo>
                                <a:pt x="28524" y="0"/>
                              </a:lnTo>
                            </a:path>
                          </a:pathLst>
                        </a:custGeom>
                        <a:ln w="7480">
                          <a:solidFill>
                            <a:srgbClr val="0562C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6464" from="186.744598pt,20.358912pt" to="188.990598pt,20.358912pt" stroked="true" strokeweight=".589pt" strokecolor="#0562c1">
                <v:stroke dashstyle="solid"/>
                <w10:wrap type="none"/>
              </v:line>
            </w:pict>
          </mc:Fallback>
        </mc:AlternateContent>
      </w: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and</w:t>
      </w:r>
      <w:r>
        <w:rPr>
          <w:spacing w:val="-4"/>
          <w:sz w:val="18"/>
        </w:rPr>
        <w:t> </w:t>
      </w:r>
      <w:r>
        <w:rPr>
          <w:sz w:val="18"/>
        </w:rPr>
        <w:t>Equality</w:t>
      </w:r>
      <w:r>
        <w:rPr>
          <w:spacing w:val="-3"/>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‘Working</w:t>
      </w:r>
      <w:r>
        <w:rPr>
          <w:spacing w:val="-3"/>
          <w:sz w:val="18"/>
        </w:rPr>
        <w:t> </w:t>
      </w:r>
      <w:r>
        <w:rPr>
          <w:sz w:val="18"/>
        </w:rPr>
        <w:t>Paper:</w:t>
      </w:r>
      <w:r>
        <w:rPr>
          <w:spacing w:val="-3"/>
          <w:sz w:val="18"/>
        </w:rPr>
        <w:t> </w:t>
      </w:r>
      <w:r>
        <w:rPr>
          <w:sz w:val="18"/>
        </w:rPr>
        <w:t>The</w:t>
      </w:r>
      <w:r>
        <w:rPr>
          <w:spacing w:val="-3"/>
          <w:sz w:val="18"/>
        </w:rPr>
        <w:t> </w:t>
      </w:r>
      <w:r>
        <w:rPr>
          <w:sz w:val="18"/>
        </w:rPr>
        <w:t>Scope</w:t>
      </w:r>
      <w:r>
        <w:rPr>
          <w:spacing w:val="-3"/>
          <w:sz w:val="18"/>
        </w:rPr>
        <w:t> </w:t>
      </w:r>
      <w:r>
        <w:rPr>
          <w:sz w:val="18"/>
        </w:rPr>
        <w:t>of</w:t>
      </w:r>
      <w:r>
        <w:rPr>
          <w:spacing w:val="-4"/>
          <w:sz w:val="18"/>
        </w:rPr>
        <w:t> </w:t>
      </w:r>
      <w:r>
        <w:rPr>
          <w:sz w:val="18"/>
        </w:rPr>
        <w:t>Article</w:t>
      </w:r>
      <w:r>
        <w:rPr>
          <w:spacing w:val="-3"/>
          <w:sz w:val="18"/>
        </w:rPr>
        <w:t> </w:t>
      </w:r>
      <w:r>
        <w:rPr>
          <w:sz w:val="18"/>
        </w:rPr>
        <w:t>2(1)</w:t>
      </w:r>
      <w:r>
        <w:rPr>
          <w:spacing w:val="-4"/>
          <w:sz w:val="18"/>
        </w:rPr>
        <w:t> </w:t>
      </w:r>
      <w:r>
        <w:rPr>
          <w:sz w:val="18"/>
        </w:rPr>
        <w:t>of</w:t>
      </w:r>
      <w:r>
        <w:rPr>
          <w:spacing w:val="-4"/>
          <w:sz w:val="18"/>
        </w:rPr>
        <w:t> </w:t>
      </w:r>
      <w:r>
        <w:rPr>
          <w:sz w:val="18"/>
        </w:rPr>
        <w:t>the</w:t>
      </w:r>
      <w:r>
        <w:rPr>
          <w:spacing w:val="-3"/>
          <w:sz w:val="18"/>
        </w:rPr>
        <w:t> </w:t>
      </w:r>
      <w:r>
        <w:rPr>
          <w:sz w:val="18"/>
        </w:rPr>
        <w:t>Ireland/ Northern Ireland Protocol</w:t>
      </w:r>
      <w:r>
        <w:rPr>
          <w:color w:val="0562C1"/>
          <w:sz w:val="18"/>
        </w:rPr>
        <w:t>’ </w:t>
      </w:r>
      <w:r>
        <w:rPr>
          <w:sz w:val="18"/>
        </w:rPr>
        <w:t>(NIHRC and ECNI, 2022).</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215"/>
      </w:pPr>
      <w:bookmarkStart w:name="_bookmark26" w:id="57"/>
      <w:bookmarkEnd w:id="57"/>
      <w:r>
        <w:rPr/>
      </w:r>
      <w:r>
        <w:rPr/>
        <w:t>departments, such as: hate crime; domestic and sexual violence; legacy; modern slavery and human trafficking; child and forced marriage; female genital mutilation; and child sexual exploitation. In addition, this section covers areas where law and policy are reserved or excepted, such as in relation to immigration and terrorism offences, or in other areas where the UK</w:t>
      </w:r>
      <w:r>
        <w:rPr>
          <w:spacing w:val="-5"/>
        </w:rPr>
        <w:t> </w:t>
      </w:r>
      <w:r>
        <w:rPr/>
        <w:t>Government</w:t>
      </w:r>
      <w:r>
        <w:rPr>
          <w:spacing w:val="-5"/>
        </w:rPr>
        <w:t> </w:t>
      </w:r>
      <w:r>
        <w:rPr/>
        <w:t>and</w:t>
      </w:r>
      <w:r>
        <w:rPr>
          <w:spacing w:val="-6"/>
        </w:rPr>
        <w:t> </w:t>
      </w:r>
      <w:r>
        <w:rPr/>
        <w:t>Parliament</w:t>
      </w:r>
      <w:r>
        <w:rPr>
          <w:spacing w:val="-5"/>
        </w:rPr>
        <w:t> </w:t>
      </w:r>
      <w:r>
        <w:rPr/>
        <w:t>is</w:t>
      </w:r>
      <w:r>
        <w:rPr>
          <w:spacing w:val="-6"/>
        </w:rPr>
        <w:t> </w:t>
      </w:r>
      <w:r>
        <w:rPr/>
        <w:t>responsible</w:t>
      </w:r>
      <w:r>
        <w:rPr>
          <w:spacing w:val="-5"/>
        </w:rPr>
        <w:t> </w:t>
      </w:r>
      <w:r>
        <w:rPr/>
        <w:t>for</w:t>
      </w:r>
      <w:r>
        <w:rPr>
          <w:spacing w:val="-5"/>
        </w:rPr>
        <w:t> </w:t>
      </w:r>
      <w:r>
        <w:rPr/>
        <w:t>law</w:t>
      </w:r>
      <w:r>
        <w:rPr>
          <w:spacing w:val="-5"/>
        </w:rPr>
        <w:t> </w:t>
      </w:r>
      <w:r>
        <w:rPr/>
        <w:t>and</w:t>
      </w:r>
      <w:r>
        <w:rPr>
          <w:spacing w:val="-6"/>
        </w:rPr>
        <w:t> </w:t>
      </w:r>
      <w:r>
        <w:rPr/>
        <w:t>policy</w:t>
      </w:r>
      <w:r>
        <w:rPr>
          <w:spacing w:val="-5"/>
        </w:rPr>
        <w:t> </w:t>
      </w:r>
      <w:r>
        <w:rPr/>
        <w:t>in</w:t>
      </w:r>
      <w:r>
        <w:rPr>
          <w:spacing w:val="-6"/>
        </w:rPr>
        <w:t> </w:t>
      </w:r>
      <w:r>
        <w:rPr/>
        <w:t>NI.</w:t>
      </w:r>
      <w:r>
        <w:rPr>
          <w:spacing w:val="-6"/>
        </w:rPr>
        <w:t> </w:t>
      </w:r>
      <w:r>
        <w:rPr/>
        <w:t>In</w:t>
      </w:r>
      <w:r>
        <w:rPr>
          <w:spacing w:val="-6"/>
        </w:rPr>
        <w:t> </w:t>
      </w:r>
      <w:r>
        <w:rPr/>
        <w:t>each area, due consideration should be given to Windsor Framework Article 2.</w:t>
      </w:r>
    </w:p>
    <w:p>
      <w:pPr>
        <w:pStyle w:val="Heading5"/>
        <w:spacing w:before="295"/>
        <w:ind w:left="1133" w:firstLine="0"/>
      </w:pPr>
      <w:bookmarkStart w:name="Child, Early and Forced Marriage" w:id="58"/>
      <w:bookmarkEnd w:id="58"/>
      <w:r>
        <w:rPr>
          <w:b w:val="0"/>
        </w:rPr>
      </w:r>
      <w:r>
        <w:rPr>
          <w:color w:val="393B80"/>
        </w:rPr>
        <w:t>Child,</w:t>
      </w:r>
      <w:r>
        <w:rPr>
          <w:color w:val="393B80"/>
          <w:spacing w:val="-4"/>
        </w:rPr>
        <w:t> </w:t>
      </w:r>
      <w:r>
        <w:rPr>
          <w:color w:val="393B80"/>
        </w:rPr>
        <w:t>Early</w:t>
      </w:r>
      <w:r>
        <w:rPr>
          <w:color w:val="393B80"/>
          <w:spacing w:val="-4"/>
        </w:rPr>
        <w:t> </w:t>
      </w:r>
      <w:r>
        <w:rPr>
          <w:color w:val="393B80"/>
        </w:rPr>
        <w:t>and</w:t>
      </w:r>
      <w:r>
        <w:rPr>
          <w:color w:val="393B80"/>
          <w:spacing w:val="-4"/>
        </w:rPr>
        <w:t> </w:t>
      </w:r>
      <w:r>
        <w:rPr>
          <w:color w:val="393B80"/>
        </w:rPr>
        <w:t>Forced</w:t>
      </w:r>
      <w:r>
        <w:rPr>
          <w:color w:val="393B80"/>
          <w:spacing w:val="-3"/>
        </w:rPr>
        <w:t> </w:t>
      </w:r>
      <w:r>
        <w:rPr>
          <w:color w:val="393B80"/>
          <w:spacing w:val="-2"/>
        </w:rPr>
        <w:t>Marriage</w:t>
      </w:r>
    </w:p>
    <w:p>
      <w:pPr>
        <w:pStyle w:val="ListParagraph"/>
        <w:numPr>
          <w:ilvl w:val="1"/>
          <w:numId w:val="7"/>
        </w:numPr>
        <w:tabs>
          <w:tab w:pos="1853" w:val="left" w:leader="none"/>
        </w:tabs>
        <w:spacing w:line="225" w:lineRule="auto" w:before="331" w:after="0"/>
        <w:ind w:left="1853" w:right="1504" w:hanging="720"/>
        <w:jc w:val="left"/>
        <w:rPr>
          <w:sz w:val="28"/>
        </w:rPr>
      </w:pPr>
      <w:r>
        <w:rPr>
          <w:sz w:val="28"/>
        </w:rPr>
        <w:t>The</w:t>
      </w:r>
      <w:r>
        <w:rPr>
          <w:spacing w:val="-3"/>
          <w:sz w:val="28"/>
        </w:rPr>
        <w:t> </w:t>
      </w:r>
      <w:r>
        <w:rPr>
          <w:sz w:val="28"/>
        </w:rPr>
        <w:t>Marriage</w:t>
      </w:r>
      <w:r>
        <w:rPr>
          <w:spacing w:val="-3"/>
          <w:sz w:val="28"/>
        </w:rPr>
        <w:t> </w:t>
      </w:r>
      <w:r>
        <w:rPr>
          <w:sz w:val="28"/>
        </w:rPr>
        <w:t>(NI)</w:t>
      </w:r>
      <w:r>
        <w:rPr>
          <w:spacing w:val="-4"/>
          <w:sz w:val="28"/>
        </w:rPr>
        <w:t> </w:t>
      </w:r>
      <w:r>
        <w:rPr>
          <w:sz w:val="28"/>
        </w:rPr>
        <w:t>Order</w:t>
      </w:r>
      <w:r>
        <w:rPr>
          <w:spacing w:val="-3"/>
          <w:sz w:val="28"/>
        </w:rPr>
        <w:t> </w:t>
      </w:r>
      <w:r>
        <w:rPr>
          <w:sz w:val="28"/>
        </w:rPr>
        <w:t>2003</w:t>
      </w:r>
      <w:r>
        <w:rPr>
          <w:spacing w:val="-3"/>
          <w:sz w:val="28"/>
        </w:rPr>
        <w:t> </w:t>
      </w:r>
      <w:r>
        <w:rPr>
          <w:sz w:val="28"/>
        </w:rPr>
        <w:t>permits</w:t>
      </w:r>
      <w:r>
        <w:rPr>
          <w:spacing w:val="-4"/>
          <w:sz w:val="28"/>
        </w:rPr>
        <w:t> </w:t>
      </w:r>
      <w:r>
        <w:rPr>
          <w:sz w:val="28"/>
        </w:rPr>
        <w:t>the</w:t>
      </w:r>
      <w:r>
        <w:rPr>
          <w:spacing w:val="-3"/>
          <w:sz w:val="28"/>
        </w:rPr>
        <w:t> </w:t>
      </w:r>
      <w:r>
        <w:rPr>
          <w:sz w:val="28"/>
        </w:rPr>
        <w:t>marriage</w:t>
      </w:r>
      <w:r>
        <w:rPr>
          <w:spacing w:val="-3"/>
          <w:sz w:val="28"/>
        </w:rPr>
        <w:t> </w:t>
      </w:r>
      <w:r>
        <w:rPr>
          <w:sz w:val="28"/>
        </w:rPr>
        <w:t>of</w:t>
      </w:r>
      <w:r>
        <w:rPr>
          <w:spacing w:val="-4"/>
          <w:sz w:val="28"/>
        </w:rPr>
        <w:t> </w:t>
      </w:r>
      <w:r>
        <w:rPr>
          <w:sz w:val="28"/>
        </w:rPr>
        <w:t>a</w:t>
      </w:r>
      <w:r>
        <w:rPr>
          <w:spacing w:val="-4"/>
          <w:sz w:val="28"/>
        </w:rPr>
        <w:t> </w:t>
      </w:r>
      <w:r>
        <w:rPr>
          <w:sz w:val="28"/>
        </w:rPr>
        <w:t>child</w:t>
      </w:r>
      <w:r>
        <w:rPr>
          <w:spacing w:val="-4"/>
          <w:sz w:val="28"/>
        </w:rPr>
        <w:t> </w:t>
      </w:r>
      <w:r>
        <w:rPr>
          <w:sz w:val="28"/>
        </w:rPr>
        <w:t>aged</w:t>
      </w:r>
      <w:r>
        <w:rPr>
          <w:spacing w:val="-4"/>
          <w:sz w:val="28"/>
        </w:rPr>
        <w:t> </w:t>
      </w:r>
      <w:r>
        <w:rPr>
          <w:sz w:val="28"/>
        </w:rPr>
        <w:t>16</w:t>
      </w:r>
      <w:r>
        <w:rPr>
          <w:spacing w:val="-3"/>
          <w:sz w:val="28"/>
        </w:rPr>
        <w:t> </w:t>
      </w:r>
      <w:r>
        <w:rPr>
          <w:sz w:val="28"/>
        </w:rPr>
        <w:t>or</w:t>
      </w:r>
      <w:r>
        <w:rPr>
          <w:spacing w:val="-3"/>
          <w:sz w:val="28"/>
        </w:rPr>
        <w:t> </w:t>
      </w:r>
      <w:r>
        <w:rPr>
          <w:sz w:val="28"/>
        </w:rPr>
        <w:t>17 years, with the consent of their parents or legal guardians or the courts.</w:t>
      </w:r>
    </w:p>
    <w:p>
      <w:pPr>
        <w:pStyle w:val="ListParagraph"/>
        <w:numPr>
          <w:ilvl w:val="1"/>
          <w:numId w:val="7"/>
        </w:numPr>
        <w:tabs>
          <w:tab w:pos="1853" w:val="left" w:leader="none"/>
        </w:tabs>
        <w:spacing w:line="225" w:lineRule="auto" w:before="317" w:after="0"/>
        <w:ind w:left="1853" w:right="1348" w:hanging="720"/>
        <w:jc w:val="left"/>
        <w:rPr>
          <w:sz w:val="28"/>
        </w:rPr>
      </w:pPr>
      <w:r>
        <w:rPr>
          <w:sz w:val="28"/>
        </w:rPr>
        <w:t>International human rights oversight bodies have consistently called on the UK Government and the NI Executive to raise the minimum age of marriage to</w:t>
      </w:r>
      <w:r>
        <w:rPr>
          <w:spacing w:val="-1"/>
          <w:sz w:val="28"/>
        </w:rPr>
        <w:t> </w:t>
      </w:r>
      <w:r>
        <w:rPr>
          <w:sz w:val="28"/>
        </w:rPr>
        <w:t>18 years.</w:t>
      </w:r>
      <w:r>
        <w:rPr>
          <w:sz w:val="28"/>
          <w:vertAlign w:val="superscript"/>
        </w:rPr>
        <w:t>349</w:t>
      </w:r>
      <w:r>
        <w:rPr>
          <w:spacing w:val="40"/>
          <w:sz w:val="28"/>
          <w:vertAlign w:val="baseline"/>
        </w:rPr>
        <w:t> </w:t>
      </w:r>
      <w:r>
        <w:rPr>
          <w:sz w:val="28"/>
          <w:vertAlign w:val="baseline"/>
        </w:rPr>
        <w:t>In</w:t>
      </w:r>
      <w:r>
        <w:rPr>
          <w:spacing w:val="-1"/>
          <w:sz w:val="28"/>
          <w:vertAlign w:val="baseline"/>
        </w:rPr>
        <w:t> </w:t>
      </w:r>
      <w:r>
        <w:rPr>
          <w:sz w:val="28"/>
          <w:vertAlign w:val="baseline"/>
        </w:rPr>
        <w:t>June 2023, the UN CRC</w:t>
      </w:r>
      <w:r>
        <w:rPr>
          <w:spacing w:val="-1"/>
          <w:sz w:val="28"/>
          <w:vertAlign w:val="baseline"/>
        </w:rPr>
        <w:t> </w:t>
      </w:r>
      <w:r>
        <w:rPr>
          <w:sz w:val="28"/>
          <w:vertAlign w:val="baseline"/>
        </w:rPr>
        <w:t>Committee recommended</w:t>
      </w:r>
      <w:r>
        <w:rPr>
          <w:spacing w:val="-1"/>
          <w:sz w:val="28"/>
          <w:vertAlign w:val="baseline"/>
        </w:rPr>
        <w:t> </w:t>
      </w:r>
      <w:r>
        <w:rPr>
          <w:sz w:val="28"/>
          <w:vertAlign w:val="baseline"/>
        </w:rPr>
        <w:t>that the UK Government and the NI Executive “prohibit all marriages under 18 years of age, without exception, in… NI”.</w:t>
      </w:r>
      <w:r>
        <w:rPr>
          <w:sz w:val="28"/>
          <w:vertAlign w:val="superscript"/>
        </w:rPr>
        <w:t>350</w:t>
      </w:r>
      <w:r>
        <w:rPr>
          <w:sz w:val="28"/>
          <w:vertAlign w:val="baseline"/>
        </w:rPr>
        <w:t> The UN CRC Committee also called for the</w:t>
      </w:r>
      <w:r>
        <w:rPr>
          <w:spacing w:val="-10"/>
          <w:sz w:val="28"/>
          <w:vertAlign w:val="baseline"/>
        </w:rPr>
        <w:t> </w:t>
      </w:r>
      <w:r>
        <w:rPr>
          <w:sz w:val="28"/>
          <w:vertAlign w:val="baseline"/>
        </w:rPr>
        <w:t>state</w:t>
      </w:r>
      <w:r>
        <w:rPr>
          <w:spacing w:val="-10"/>
          <w:sz w:val="28"/>
          <w:vertAlign w:val="baseline"/>
        </w:rPr>
        <w:t> </w:t>
      </w:r>
      <w:r>
        <w:rPr>
          <w:sz w:val="28"/>
          <w:vertAlign w:val="baseline"/>
        </w:rPr>
        <w:t>to</w:t>
      </w:r>
      <w:r>
        <w:rPr>
          <w:spacing w:val="-11"/>
          <w:sz w:val="28"/>
          <w:vertAlign w:val="baseline"/>
        </w:rPr>
        <w:t> </w:t>
      </w:r>
      <w:r>
        <w:rPr>
          <w:sz w:val="28"/>
          <w:vertAlign w:val="baseline"/>
        </w:rPr>
        <w:t>“develop</w:t>
      </w:r>
      <w:r>
        <w:rPr>
          <w:spacing w:val="-11"/>
          <w:sz w:val="28"/>
          <w:vertAlign w:val="baseline"/>
        </w:rPr>
        <w:t> </w:t>
      </w:r>
      <w:r>
        <w:rPr>
          <w:sz w:val="28"/>
          <w:vertAlign w:val="baseline"/>
        </w:rPr>
        <w:t>national</w:t>
      </w:r>
      <w:r>
        <w:rPr>
          <w:spacing w:val="-11"/>
          <w:sz w:val="28"/>
          <w:vertAlign w:val="baseline"/>
        </w:rPr>
        <w:t> </w:t>
      </w:r>
      <w:r>
        <w:rPr>
          <w:sz w:val="28"/>
          <w:vertAlign w:val="baseline"/>
        </w:rPr>
        <w:t>strategies</w:t>
      </w:r>
      <w:r>
        <w:rPr>
          <w:spacing w:val="-11"/>
          <w:sz w:val="28"/>
          <w:vertAlign w:val="baseline"/>
        </w:rPr>
        <w:t> </w:t>
      </w:r>
      <w:r>
        <w:rPr>
          <w:sz w:val="28"/>
          <w:vertAlign w:val="baseline"/>
        </w:rPr>
        <w:t>aimed</w:t>
      </w:r>
      <w:r>
        <w:rPr>
          <w:spacing w:val="-11"/>
          <w:sz w:val="28"/>
          <w:vertAlign w:val="baseline"/>
        </w:rPr>
        <w:t> </w:t>
      </w:r>
      <w:r>
        <w:rPr>
          <w:sz w:val="28"/>
          <w:vertAlign w:val="baseline"/>
        </w:rPr>
        <w:t>at</w:t>
      </w:r>
      <w:r>
        <w:rPr>
          <w:spacing w:val="-10"/>
          <w:sz w:val="28"/>
          <w:vertAlign w:val="baseline"/>
        </w:rPr>
        <w:t> </w:t>
      </w:r>
      <w:r>
        <w:rPr>
          <w:sz w:val="28"/>
          <w:vertAlign w:val="baseline"/>
        </w:rPr>
        <w:t>eliminating</w:t>
      </w:r>
      <w:r>
        <w:rPr>
          <w:spacing w:val="-10"/>
          <w:sz w:val="28"/>
          <w:vertAlign w:val="baseline"/>
        </w:rPr>
        <w:t> </w:t>
      </w:r>
      <w:r>
        <w:rPr>
          <w:sz w:val="28"/>
          <w:vertAlign w:val="baseline"/>
        </w:rPr>
        <w:t>and</w:t>
      </w:r>
      <w:r>
        <w:rPr>
          <w:spacing w:val="-11"/>
          <w:sz w:val="28"/>
          <w:vertAlign w:val="baseline"/>
        </w:rPr>
        <w:t> </w:t>
      </w:r>
      <w:r>
        <w:rPr>
          <w:sz w:val="28"/>
          <w:vertAlign w:val="baseline"/>
        </w:rPr>
        <w:t>preventing harmful practices affecting children, including child marriage”.</w:t>
      </w:r>
      <w:r>
        <w:rPr>
          <w:sz w:val="28"/>
          <w:vertAlign w:val="superscript"/>
        </w:rPr>
        <w:t>351</w:t>
      </w:r>
      <w:r>
        <w:rPr>
          <w:spacing w:val="40"/>
          <w:sz w:val="28"/>
          <w:vertAlign w:val="baseline"/>
        </w:rPr>
        <w:t> </w:t>
      </w:r>
      <w:r>
        <w:rPr>
          <w:sz w:val="28"/>
          <w:vertAlign w:val="baseline"/>
        </w:rPr>
        <w:t>The UN Convention on the Elimination of Discrimination against Women (CEDAW) Committee</w:t>
      </w:r>
      <w:r>
        <w:rPr>
          <w:spacing w:val="-6"/>
          <w:sz w:val="28"/>
          <w:vertAlign w:val="baseline"/>
        </w:rPr>
        <w:t> </w:t>
      </w:r>
      <w:r>
        <w:rPr>
          <w:sz w:val="28"/>
          <w:vertAlign w:val="baseline"/>
        </w:rPr>
        <w:t>and</w:t>
      </w:r>
      <w:r>
        <w:rPr>
          <w:spacing w:val="-7"/>
          <w:sz w:val="28"/>
          <w:vertAlign w:val="baseline"/>
        </w:rPr>
        <w:t> </w:t>
      </w:r>
      <w:r>
        <w:rPr>
          <w:sz w:val="28"/>
          <w:vertAlign w:val="baseline"/>
        </w:rPr>
        <w:t>UN</w:t>
      </w:r>
      <w:r>
        <w:rPr>
          <w:spacing w:val="-6"/>
          <w:sz w:val="28"/>
          <w:vertAlign w:val="baseline"/>
        </w:rPr>
        <w:t> </w:t>
      </w:r>
      <w:r>
        <w:rPr>
          <w:sz w:val="28"/>
          <w:vertAlign w:val="baseline"/>
        </w:rPr>
        <w:t>CRC</w:t>
      </w:r>
      <w:r>
        <w:rPr>
          <w:spacing w:val="-7"/>
          <w:sz w:val="28"/>
          <w:vertAlign w:val="baseline"/>
        </w:rPr>
        <w:t> </w:t>
      </w:r>
      <w:r>
        <w:rPr>
          <w:sz w:val="28"/>
          <w:vertAlign w:val="baseline"/>
        </w:rPr>
        <w:t>Committee</w:t>
      </w:r>
      <w:r>
        <w:rPr>
          <w:spacing w:val="-6"/>
          <w:sz w:val="28"/>
          <w:vertAlign w:val="baseline"/>
        </w:rPr>
        <w:t> </w:t>
      </w:r>
      <w:r>
        <w:rPr>
          <w:sz w:val="28"/>
          <w:vertAlign w:val="baseline"/>
        </w:rPr>
        <w:t>advise</w:t>
      </w:r>
      <w:r>
        <w:rPr>
          <w:spacing w:val="-6"/>
          <w:sz w:val="28"/>
          <w:vertAlign w:val="baseline"/>
        </w:rPr>
        <w:t> </w:t>
      </w:r>
      <w:r>
        <w:rPr>
          <w:sz w:val="28"/>
          <w:vertAlign w:val="baseline"/>
        </w:rPr>
        <w:t>that</w:t>
      </w:r>
      <w:r>
        <w:rPr>
          <w:spacing w:val="-6"/>
          <w:sz w:val="28"/>
          <w:vertAlign w:val="baseline"/>
        </w:rPr>
        <w:t> </w:t>
      </w:r>
      <w:r>
        <w:rPr>
          <w:sz w:val="28"/>
          <w:vertAlign w:val="baseline"/>
        </w:rPr>
        <w:t>“child</w:t>
      </w:r>
      <w:r>
        <w:rPr>
          <w:spacing w:val="-7"/>
          <w:sz w:val="28"/>
          <w:vertAlign w:val="baseline"/>
        </w:rPr>
        <w:t> </w:t>
      </w:r>
      <w:r>
        <w:rPr>
          <w:sz w:val="28"/>
          <w:vertAlign w:val="baseline"/>
        </w:rPr>
        <w:t>marriage</w:t>
      </w:r>
      <w:r>
        <w:rPr>
          <w:spacing w:val="-6"/>
          <w:sz w:val="28"/>
          <w:vertAlign w:val="baseline"/>
        </w:rPr>
        <w:t> </w:t>
      </w:r>
      <w:r>
        <w:rPr>
          <w:sz w:val="28"/>
          <w:vertAlign w:val="baseline"/>
        </w:rPr>
        <w:t>is</w:t>
      </w:r>
      <w:r>
        <w:rPr>
          <w:spacing w:val="-7"/>
          <w:sz w:val="28"/>
          <w:vertAlign w:val="baseline"/>
        </w:rPr>
        <w:t> </w:t>
      </w:r>
      <w:r>
        <w:rPr>
          <w:sz w:val="28"/>
          <w:vertAlign w:val="baseline"/>
        </w:rPr>
        <w:t>considered to be a form of forced marriage, given that one or both parties have not expressed full, free and informed consent”.</w:t>
      </w:r>
      <w:r>
        <w:rPr>
          <w:sz w:val="28"/>
          <w:vertAlign w:val="superscript"/>
        </w:rPr>
        <w:t>352</w:t>
      </w:r>
    </w:p>
    <w:p>
      <w:pPr>
        <w:pStyle w:val="ListParagraph"/>
        <w:numPr>
          <w:ilvl w:val="1"/>
          <w:numId w:val="7"/>
        </w:numPr>
        <w:tabs>
          <w:tab w:pos="1853" w:val="left" w:leader="none"/>
        </w:tabs>
        <w:spacing w:line="225" w:lineRule="auto" w:before="306" w:after="0"/>
        <w:ind w:left="1853" w:right="1204" w:hanging="720"/>
        <w:jc w:val="left"/>
        <w:rPr>
          <w:sz w:val="28"/>
        </w:rPr>
      </w:pPr>
      <w:r>
        <w:rPr>
          <w:sz w:val="28"/>
        </w:rPr>
        <w:t>In</w:t>
      </w:r>
      <w:r>
        <w:rPr>
          <w:spacing w:val="-6"/>
          <w:sz w:val="28"/>
        </w:rPr>
        <w:t> </w:t>
      </w:r>
      <w:r>
        <w:rPr>
          <w:sz w:val="28"/>
        </w:rPr>
        <w:t>2022,</w:t>
      </w:r>
      <w:r>
        <w:rPr>
          <w:spacing w:val="-5"/>
          <w:sz w:val="28"/>
        </w:rPr>
        <w:t> </w:t>
      </w:r>
      <w:r>
        <w:rPr>
          <w:sz w:val="28"/>
        </w:rPr>
        <w:t>36</w:t>
      </w:r>
      <w:r>
        <w:rPr>
          <w:spacing w:val="-5"/>
          <w:sz w:val="28"/>
        </w:rPr>
        <w:t> </w:t>
      </w:r>
      <w:r>
        <w:rPr>
          <w:sz w:val="28"/>
        </w:rPr>
        <w:t>girls</w:t>
      </w:r>
      <w:r>
        <w:rPr>
          <w:spacing w:val="-6"/>
          <w:sz w:val="28"/>
        </w:rPr>
        <w:t> </w:t>
      </w:r>
      <w:r>
        <w:rPr>
          <w:sz w:val="28"/>
        </w:rPr>
        <w:t>and</w:t>
      </w:r>
      <w:r>
        <w:rPr>
          <w:spacing w:val="-6"/>
          <w:sz w:val="28"/>
        </w:rPr>
        <w:t> </w:t>
      </w:r>
      <w:r>
        <w:rPr>
          <w:sz w:val="28"/>
        </w:rPr>
        <w:t>9</w:t>
      </w:r>
      <w:r>
        <w:rPr>
          <w:spacing w:val="-5"/>
          <w:sz w:val="28"/>
        </w:rPr>
        <w:t> </w:t>
      </w:r>
      <w:r>
        <w:rPr>
          <w:sz w:val="28"/>
        </w:rPr>
        <w:t>boys</w:t>
      </w:r>
      <w:r>
        <w:rPr>
          <w:spacing w:val="-6"/>
          <w:sz w:val="28"/>
        </w:rPr>
        <w:t> </w:t>
      </w:r>
      <w:r>
        <w:rPr>
          <w:sz w:val="28"/>
        </w:rPr>
        <w:t>were</w:t>
      </w:r>
      <w:r>
        <w:rPr>
          <w:spacing w:val="-5"/>
          <w:sz w:val="28"/>
        </w:rPr>
        <w:t> </w:t>
      </w:r>
      <w:r>
        <w:rPr>
          <w:sz w:val="28"/>
        </w:rPr>
        <w:t>married</w:t>
      </w:r>
      <w:r>
        <w:rPr>
          <w:spacing w:val="-6"/>
          <w:sz w:val="28"/>
        </w:rPr>
        <w:t> </w:t>
      </w:r>
      <w:r>
        <w:rPr>
          <w:sz w:val="28"/>
        </w:rPr>
        <w:t>in</w:t>
      </w:r>
      <w:r>
        <w:rPr>
          <w:spacing w:val="-6"/>
          <w:sz w:val="28"/>
        </w:rPr>
        <w:t> </w:t>
      </w:r>
      <w:r>
        <w:rPr>
          <w:sz w:val="28"/>
        </w:rPr>
        <w:t>NI.</w:t>
      </w:r>
      <w:r>
        <w:rPr>
          <w:sz w:val="28"/>
          <w:vertAlign w:val="superscript"/>
        </w:rPr>
        <w:t>353</w:t>
      </w:r>
      <w:r>
        <w:rPr>
          <w:spacing w:val="-6"/>
          <w:sz w:val="28"/>
          <w:vertAlign w:val="baseline"/>
        </w:rPr>
        <w:t> </w:t>
      </w:r>
      <w:r>
        <w:rPr>
          <w:sz w:val="28"/>
          <w:vertAlign w:val="baseline"/>
        </w:rPr>
        <w:t>This</w:t>
      </w:r>
      <w:r>
        <w:rPr>
          <w:spacing w:val="-6"/>
          <w:sz w:val="28"/>
          <w:vertAlign w:val="baseline"/>
        </w:rPr>
        <w:t> </w:t>
      </w:r>
      <w:r>
        <w:rPr>
          <w:sz w:val="28"/>
          <w:vertAlign w:val="baseline"/>
        </w:rPr>
        <w:t>is</w:t>
      </w:r>
      <w:r>
        <w:rPr>
          <w:spacing w:val="-6"/>
          <w:sz w:val="28"/>
          <w:vertAlign w:val="baseline"/>
        </w:rPr>
        <w:t> </w:t>
      </w:r>
      <w:r>
        <w:rPr>
          <w:sz w:val="28"/>
          <w:vertAlign w:val="baseline"/>
        </w:rPr>
        <w:t>a</w:t>
      </w:r>
      <w:r>
        <w:rPr>
          <w:spacing w:val="-6"/>
          <w:sz w:val="28"/>
          <w:vertAlign w:val="baseline"/>
        </w:rPr>
        <w:t> </w:t>
      </w:r>
      <w:r>
        <w:rPr>
          <w:sz w:val="28"/>
          <w:vertAlign w:val="baseline"/>
        </w:rPr>
        <w:t>decrease</w:t>
      </w:r>
      <w:r>
        <w:rPr>
          <w:spacing w:val="-5"/>
          <w:sz w:val="28"/>
          <w:vertAlign w:val="baseline"/>
        </w:rPr>
        <w:t> </w:t>
      </w:r>
      <w:r>
        <w:rPr>
          <w:sz w:val="28"/>
          <w:vertAlign w:val="baseline"/>
        </w:rPr>
        <w:t>compared to 2021, when 39 girls and 15 boys were married in NI.</w:t>
      </w:r>
      <w:r>
        <w:rPr>
          <w:sz w:val="28"/>
          <w:vertAlign w:val="superscript"/>
        </w:rPr>
        <w:t>354</w:t>
      </w:r>
    </w:p>
    <w:p>
      <w:pPr>
        <w:pStyle w:val="ListParagraph"/>
        <w:numPr>
          <w:ilvl w:val="1"/>
          <w:numId w:val="7"/>
        </w:numPr>
        <w:tabs>
          <w:tab w:pos="1853" w:val="left" w:leader="none"/>
        </w:tabs>
        <w:spacing w:line="225" w:lineRule="auto" w:before="317" w:after="0"/>
        <w:ind w:left="1853" w:right="1510" w:hanging="720"/>
        <w:jc w:val="left"/>
        <w:rPr>
          <w:sz w:val="28"/>
        </w:rPr>
      </w:pPr>
      <w:r>
        <w:rPr>
          <w:sz w:val="28"/>
        </w:rPr>
        <w:t>In</w:t>
      </w:r>
      <w:r>
        <w:rPr>
          <w:spacing w:val="-6"/>
          <w:sz w:val="28"/>
        </w:rPr>
        <w:t> </w:t>
      </w:r>
      <w:r>
        <w:rPr>
          <w:sz w:val="28"/>
        </w:rPr>
        <w:t>2022,</w:t>
      </w:r>
      <w:r>
        <w:rPr>
          <w:spacing w:val="-5"/>
          <w:sz w:val="28"/>
        </w:rPr>
        <w:t> </w:t>
      </w:r>
      <w:r>
        <w:rPr>
          <w:sz w:val="28"/>
        </w:rPr>
        <w:t>in</w:t>
      </w:r>
      <w:r>
        <w:rPr>
          <w:spacing w:val="-6"/>
          <w:sz w:val="28"/>
        </w:rPr>
        <w:t> </w:t>
      </w:r>
      <w:r>
        <w:rPr>
          <w:sz w:val="28"/>
        </w:rPr>
        <w:t>response</w:t>
      </w:r>
      <w:r>
        <w:rPr>
          <w:spacing w:val="-5"/>
          <w:sz w:val="28"/>
        </w:rPr>
        <w:t> </w:t>
      </w:r>
      <w:r>
        <w:rPr>
          <w:sz w:val="28"/>
        </w:rPr>
        <w:t>to</w:t>
      </w:r>
      <w:r>
        <w:rPr>
          <w:spacing w:val="-6"/>
          <w:sz w:val="28"/>
        </w:rPr>
        <w:t> </w:t>
      </w:r>
      <w:r>
        <w:rPr>
          <w:sz w:val="28"/>
        </w:rPr>
        <w:t>the</w:t>
      </w:r>
      <w:r>
        <w:rPr>
          <w:spacing w:val="-5"/>
          <w:sz w:val="28"/>
        </w:rPr>
        <w:t> </w:t>
      </w:r>
      <w:r>
        <w:rPr>
          <w:sz w:val="28"/>
        </w:rPr>
        <w:t>Department</w:t>
      </w:r>
      <w:r>
        <w:rPr>
          <w:spacing w:val="-5"/>
          <w:sz w:val="28"/>
        </w:rPr>
        <w:t> </w:t>
      </w:r>
      <w:r>
        <w:rPr>
          <w:sz w:val="28"/>
        </w:rPr>
        <w:t>of</w:t>
      </w:r>
      <w:r>
        <w:rPr>
          <w:spacing w:val="-6"/>
          <w:sz w:val="28"/>
        </w:rPr>
        <w:t> </w:t>
      </w:r>
      <w:r>
        <w:rPr>
          <w:sz w:val="28"/>
        </w:rPr>
        <w:t>Finance</w:t>
      </w:r>
      <w:r>
        <w:rPr>
          <w:spacing w:val="-5"/>
          <w:sz w:val="28"/>
        </w:rPr>
        <w:t> </w:t>
      </w:r>
      <w:r>
        <w:rPr>
          <w:sz w:val="28"/>
        </w:rPr>
        <w:t>consultation</w:t>
      </w:r>
      <w:r>
        <w:rPr>
          <w:spacing w:val="-6"/>
          <w:sz w:val="28"/>
        </w:rPr>
        <w:t> </w:t>
      </w:r>
      <w:r>
        <w:rPr>
          <w:sz w:val="28"/>
        </w:rPr>
        <w:t>on</w:t>
      </w:r>
      <w:r>
        <w:rPr>
          <w:spacing w:val="-6"/>
          <w:sz w:val="28"/>
        </w:rPr>
        <w:t> </w:t>
      </w:r>
      <w:r>
        <w:rPr>
          <w:sz w:val="28"/>
        </w:rPr>
        <w:t>changes to Marriage Law in NI,</w:t>
      </w:r>
      <w:r>
        <w:rPr>
          <w:sz w:val="28"/>
          <w:vertAlign w:val="superscript"/>
        </w:rPr>
        <w:t>355</w:t>
      </w:r>
      <w:r>
        <w:rPr>
          <w:sz w:val="28"/>
          <w:vertAlign w:val="baseline"/>
        </w:rPr>
        <w:t> the NIHRC noted that international human rights</w:t>
      </w:r>
    </w:p>
    <w:p>
      <w:pPr>
        <w:pStyle w:val="BodyText"/>
        <w:spacing w:before="24"/>
        <w:rPr>
          <w:sz w:val="20"/>
        </w:rPr>
      </w:pPr>
      <w:r>
        <w:rPr/>
        <mc:AlternateContent>
          <mc:Choice Requires="wps">
            <w:drawing>
              <wp:anchor distT="0" distB="0" distL="0" distR="0" allowOverlap="1" layoutInCell="1" locked="0" behindDoc="1" simplePos="0" relativeHeight="487666176">
                <wp:simplePos x="0" y="0"/>
                <wp:positionH relativeFrom="page">
                  <wp:posOffset>719996</wp:posOffset>
                </wp:positionH>
                <wp:positionV relativeFrom="paragraph">
                  <wp:posOffset>185678</wp:posOffset>
                </wp:positionV>
                <wp:extent cx="6120130" cy="1270"/>
                <wp:effectExtent l="0" t="0" r="0" b="0"/>
                <wp:wrapTopAndBottom/>
                <wp:docPr id="349" name="Graphic 349"/>
                <wp:cNvGraphicFramePr>
                  <a:graphicFrameLocks/>
                </wp:cNvGraphicFramePr>
                <a:graphic>
                  <a:graphicData uri="http://schemas.microsoft.com/office/word/2010/wordprocessingShape">
                    <wps:wsp>
                      <wps:cNvPr id="349" name="Graphic 34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4.620337pt;width:481.9pt;height:.1pt;mso-position-horizontal-relative:page;mso-position-vertical-relative:paragraph;z-index:-15650304;mso-wrap-distance-left:0;mso-wrap-distance-right:0" id="docshape299" coordorigin="1134,292" coordsize="9638,0" path="m10772,292l1134,292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35" w:lineRule="auto" w:before="170" w:after="0"/>
        <w:ind w:left="1853" w:right="1744" w:hanging="720"/>
        <w:jc w:val="left"/>
        <w:rPr>
          <w:sz w:val="18"/>
        </w:rPr>
      </w:pPr>
      <w:r>
        <w:rPr>
          <w:sz w:val="18"/>
        </w:rPr>
        <w:t>CRC/GC/2003/4,</w:t>
      </w:r>
      <w:r>
        <w:rPr>
          <w:spacing w:val="-4"/>
          <w:sz w:val="18"/>
        </w:rPr>
        <w:t> </w:t>
      </w:r>
      <w:r>
        <w:rPr>
          <w:sz w:val="18"/>
        </w:rPr>
        <w:t>‘UN</w:t>
      </w:r>
      <w:r>
        <w:rPr>
          <w:spacing w:val="-4"/>
          <w:sz w:val="18"/>
        </w:rPr>
        <w:t> </w:t>
      </w:r>
      <w:r>
        <w:rPr>
          <w:sz w:val="18"/>
        </w:rPr>
        <w:t>CRC</w:t>
      </w:r>
      <w:r>
        <w:rPr>
          <w:spacing w:val="-5"/>
          <w:sz w:val="18"/>
        </w:rPr>
        <w:t> </w:t>
      </w:r>
      <w:r>
        <w:rPr>
          <w:sz w:val="18"/>
        </w:rPr>
        <w:t>Committee</w:t>
      </w:r>
      <w:r>
        <w:rPr>
          <w:spacing w:val="-4"/>
          <w:sz w:val="18"/>
        </w:rPr>
        <w:t> </w:t>
      </w:r>
      <w:r>
        <w:rPr>
          <w:sz w:val="18"/>
        </w:rPr>
        <w:t>General</w:t>
      </w:r>
      <w:r>
        <w:rPr>
          <w:spacing w:val="-5"/>
          <w:sz w:val="18"/>
        </w:rPr>
        <w:t> </w:t>
      </w:r>
      <w:r>
        <w:rPr>
          <w:sz w:val="18"/>
        </w:rPr>
        <w:t>Comment</w:t>
      </w:r>
      <w:r>
        <w:rPr>
          <w:spacing w:val="-4"/>
          <w:sz w:val="18"/>
        </w:rPr>
        <w:t> </w:t>
      </w:r>
      <w:r>
        <w:rPr>
          <w:sz w:val="18"/>
        </w:rPr>
        <w:t>No</w:t>
      </w:r>
      <w:r>
        <w:rPr>
          <w:spacing w:val="-5"/>
          <w:sz w:val="18"/>
        </w:rPr>
        <w:t> </w:t>
      </w:r>
      <w:r>
        <w:rPr>
          <w:sz w:val="18"/>
        </w:rPr>
        <w:t>4:</w:t>
      </w:r>
      <w:r>
        <w:rPr>
          <w:spacing w:val="-4"/>
          <w:sz w:val="18"/>
        </w:rPr>
        <w:t> </w:t>
      </w:r>
      <w:r>
        <w:rPr>
          <w:sz w:val="18"/>
        </w:rPr>
        <w:t>Adolescent</w:t>
      </w:r>
      <w:r>
        <w:rPr>
          <w:spacing w:val="-4"/>
          <w:sz w:val="18"/>
        </w:rPr>
        <w:t> </w:t>
      </w:r>
      <w:r>
        <w:rPr>
          <w:sz w:val="18"/>
        </w:rPr>
        <w:t>Health</w:t>
      </w:r>
      <w:r>
        <w:rPr>
          <w:spacing w:val="-5"/>
          <w:sz w:val="18"/>
        </w:rPr>
        <w:t> </w:t>
      </w:r>
      <w:r>
        <w:rPr>
          <w:sz w:val="18"/>
        </w:rPr>
        <w:t>and</w:t>
      </w:r>
      <w:r>
        <w:rPr>
          <w:spacing w:val="-5"/>
          <w:sz w:val="18"/>
        </w:rPr>
        <w:t> </w:t>
      </w:r>
      <w:r>
        <w:rPr>
          <w:sz w:val="18"/>
        </w:rPr>
        <w:t>Development</w:t>
      </w:r>
      <w:r>
        <w:rPr>
          <w:spacing w:val="-4"/>
          <w:sz w:val="18"/>
        </w:rPr>
        <w:t> </w:t>
      </w:r>
      <w:r>
        <w:rPr>
          <w:sz w:val="18"/>
        </w:rPr>
        <w:t>in</w:t>
      </w:r>
      <w:r>
        <w:rPr>
          <w:spacing w:val="-5"/>
          <w:sz w:val="18"/>
        </w:rPr>
        <w:t> </w:t>
      </w:r>
      <w:r>
        <w:rPr>
          <w:sz w:val="18"/>
        </w:rPr>
        <w:t>the</w:t>
      </w:r>
      <w:r>
        <w:rPr>
          <w:spacing w:val="-4"/>
          <w:sz w:val="18"/>
        </w:rPr>
        <w:t> </w:t>
      </w:r>
      <w:r>
        <w:rPr>
          <w:sz w:val="18"/>
        </w:rPr>
        <w:t>Context of the Convention on the Rights of the Child’, 1 July 2003; CRC/C/GC/20, ‘UN CRC Committee General Comment</w:t>
      </w:r>
    </w:p>
    <w:p>
      <w:pPr>
        <w:spacing w:line="235" w:lineRule="auto" w:before="1"/>
        <w:ind w:left="1853" w:right="1171" w:firstLine="0"/>
        <w:jc w:val="left"/>
        <w:rPr>
          <w:sz w:val="18"/>
        </w:rPr>
      </w:pPr>
      <w:r>
        <w:rPr>
          <w:sz w:val="18"/>
        </w:rPr>
        <w:t>No.</w:t>
      </w:r>
      <w:r>
        <w:rPr>
          <w:spacing w:val="-5"/>
          <w:sz w:val="18"/>
        </w:rPr>
        <w:t> </w:t>
      </w:r>
      <w:r>
        <w:rPr>
          <w:sz w:val="18"/>
        </w:rPr>
        <w:t>20</w:t>
      </w:r>
      <w:r>
        <w:rPr>
          <w:spacing w:val="-4"/>
          <w:sz w:val="18"/>
        </w:rPr>
        <w:t> </w:t>
      </w:r>
      <w:r>
        <w:rPr>
          <w:sz w:val="18"/>
        </w:rPr>
        <w:t>on</w:t>
      </w:r>
      <w:r>
        <w:rPr>
          <w:spacing w:val="-5"/>
          <w:sz w:val="18"/>
        </w:rPr>
        <w:t> </w:t>
      </w:r>
      <w:r>
        <w:rPr>
          <w:sz w:val="18"/>
        </w:rPr>
        <w:t>the</w:t>
      </w:r>
      <w:r>
        <w:rPr>
          <w:spacing w:val="-4"/>
          <w:sz w:val="18"/>
        </w:rPr>
        <w:t> </w:t>
      </w:r>
      <w:r>
        <w:rPr>
          <w:sz w:val="18"/>
        </w:rPr>
        <w:t>Implementation</w:t>
      </w:r>
      <w:r>
        <w:rPr>
          <w:spacing w:val="-5"/>
          <w:sz w:val="18"/>
        </w:rPr>
        <w:t> </w:t>
      </w:r>
      <w:r>
        <w:rPr>
          <w:sz w:val="18"/>
        </w:rPr>
        <w:t>of</w:t>
      </w:r>
      <w:r>
        <w:rPr>
          <w:spacing w:val="-5"/>
          <w:sz w:val="18"/>
        </w:rPr>
        <w:t> </w:t>
      </w:r>
      <w:r>
        <w:rPr>
          <w:sz w:val="18"/>
        </w:rPr>
        <w:t>the</w:t>
      </w:r>
      <w:r>
        <w:rPr>
          <w:spacing w:val="-4"/>
          <w:sz w:val="18"/>
        </w:rPr>
        <w:t> </w:t>
      </w:r>
      <w:r>
        <w:rPr>
          <w:sz w:val="18"/>
        </w:rPr>
        <w:t>Rights</w:t>
      </w:r>
      <w:r>
        <w:rPr>
          <w:spacing w:val="-5"/>
          <w:sz w:val="18"/>
        </w:rPr>
        <w:t> </w:t>
      </w:r>
      <w:r>
        <w:rPr>
          <w:sz w:val="18"/>
        </w:rPr>
        <w:t>of</w:t>
      </w:r>
      <w:r>
        <w:rPr>
          <w:spacing w:val="-5"/>
          <w:sz w:val="18"/>
        </w:rPr>
        <w:t> </w:t>
      </w:r>
      <w:r>
        <w:rPr>
          <w:sz w:val="18"/>
        </w:rPr>
        <w:t>the</w:t>
      </w:r>
      <w:r>
        <w:rPr>
          <w:spacing w:val="-4"/>
          <w:sz w:val="18"/>
        </w:rPr>
        <w:t> </w:t>
      </w:r>
      <w:r>
        <w:rPr>
          <w:sz w:val="18"/>
        </w:rPr>
        <w:t>Child</w:t>
      </w:r>
      <w:r>
        <w:rPr>
          <w:spacing w:val="-5"/>
          <w:sz w:val="18"/>
        </w:rPr>
        <w:t> </w:t>
      </w:r>
      <w:r>
        <w:rPr>
          <w:sz w:val="18"/>
        </w:rPr>
        <w:t>during</w:t>
      </w:r>
      <w:r>
        <w:rPr>
          <w:spacing w:val="-4"/>
          <w:sz w:val="18"/>
        </w:rPr>
        <w:t> </w:t>
      </w:r>
      <w:r>
        <w:rPr>
          <w:sz w:val="18"/>
        </w:rPr>
        <w:t>Adolescence’,</w:t>
      </w:r>
      <w:r>
        <w:rPr>
          <w:spacing w:val="-4"/>
          <w:sz w:val="18"/>
        </w:rPr>
        <w:t> </w:t>
      </w:r>
      <w:r>
        <w:rPr>
          <w:sz w:val="18"/>
        </w:rPr>
        <w:t>6</w:t>
      </w:r>
      <w:r>
        <w:rPr>
          <w:spacing w:val="-4"/>
          <w:sz w:val="18"/>
        </w:rPr>
        <w:t> </w:t>
      </w:r>
      <w:r>
        <w:rPr>
          <w:sz w:val="18"/>
        </w:rPr>
        <w:t>December</w:t>
      </w:r>
      <w:r>
        <w:rPr>
          <w:spacing w:val="-4"/>
          <w:sz w:val="18"/>
        </w:rPr>
        <w:t> </w:t>
      </w:r>
      <w:r>
        <w:rPr>
          <w:sz w:val="18"/>
        </w:rPr>
        <w:t>2016;</w:t>
      </w:r>
      <w:r>
        <w:rPr>
          <w:spacing w:val="-4"/>
          <w:sz w:val="18"/>
        </w:rPr>
        <w:t> </w:t>
      </w:r>
      <w:r>
        <w:rPr>
          <w:sz w:val="18"/>
        </w:rPr>
        <w:t>CRC/C/GBR/CO/6-7,</w:t>
      </w:r>
      <w:r>
        <w:rPr>
          <w:spacing w:val="-4"/>
          <w:sz w:val="18"/>
        </w:rPr>
        <w:t> </w:t>
      </w:r>
      <w:r>
        <w:rPr>
          <w:sz w:val="18"/>
        </w:rPr>
        <w:t>‘UN CRC</w:t>
      </w:r>
      <w:r>
        <w:rPr>
          <w:spacing w:val="-2"/>
          <w:sz w:val="18"/>
        </w:rPr>
        <w:t> </w:t>
      </w:r>
      <w:r>
        <w:rPr>
          <w:sz w:val="18"/>
        </w:rPr>
        <w:t>Committee</w:t>
      </w:r>
      <w:r>
        <w:rPr>
          <w:spacing w:val="-1"/>
          <w:sz w:val="18"/>
        </w:rPr>
        <w:t> </w:t>
      </w:r>
      <w:r>
        <w:rPr>
          <w:sz w:val="18"/>
        </w:rPr>
        <w:t>Concluding</w:t>
      </w:r>
      <w:r>
        <w:rPr>
          <w:spacing w:val="-1"/>
          <w:sz w:val="18"/>
        </w:rPr>
        <w:t> </w:t>
      </w:r>
      <w:r>
        <w:rPr>
          <w:sz w:val="18"/>
        </w:rPr>
        <w:t>Observations</w:t>
      </w:r>
      <w:r>
        <w:rPr>
          <w:spacing w:val="-2"/>
          <w:sz w:val="18"/>
        </w:rPr>
        <w:t> </w:t>
      </w:r>
      <w:r>
        <w:rPr>
          <w:sz w:val="18"/>
        </w:rPr>
        <w:t>on</w:t>
      </w:r>
      <w:r>
        <w:rPr>
          <w:spacing w:val="-2"/>
          <w:sz w:val="18"/>
        </w:rPr>
        <w:t> </w:t>
      </w:r>
      <w:r>
        <w:rPr>
          <w:sz w:val="18"/>
        </w:rPr>
        <w:t>the</w:t>
      </w:r>
      <w:r>
        <w:rPr>
          <w:spacing w:val="-1"/>
          <w:sz w:val="18"/>
        </w:rPr>
        <w:t> </w:t>
      </w:r>
      <w:r>
        <w:rPr>
          <w:sz w:val="18"/>
        </w:rPr>
        <w:t>Combined</w:t>
      </w:r>
      <w:r>
        <w:rPr>
          <w:spacing w:val="-2"/>
          <w:sz w:val="18"/>
        </w:rPr>
        <w:t> </w:t>
      </w:r>
      <w:r>
        <w:rPr>
          <w:sz w:val="18"/>
        </w:rPr>
        <w:t>Sixth</w:t>
      </w:r>
      <w:r>
        <w:rPr>
          <w:spacing w:val="-2"/>
          <w:sz w:val="18"/>
        </w:rPr>
        <w:t> </w:t>
      </w:r>
      <w:r>
        <w:rPr>
          <w:sz w:val="18"/>
        </w:rPr>
        <w:t>and</w:t>
      </w:r>
      <w:r>
        <w:rPr>
          <w:spacing w:val="-2"/>
          <w:sz w:val="18"/>
        </w:rPr>
        <w:t> </w:t>
      </w:r>
      <w:r>
        <w:rPr>
          <w:sz w:val="18"/>
        </w:rPr>
        <w:t>Seventh</w:t>
      </w:r>
      <w:r>
        <w:rPr>
          <w:spacing w:val="-2"/>
          <w:sz w:val="18"/>
        </w:rPr>
        <w:t> </w:t>
      </w:r>
      <w:r>
        <w:rPr>
          <w:sz w:val="18"/>
        </w:rPr>
        <w:t>Periodic</w:t>
      </w:r>
      <w:r>
        <w:rPr>
          <w:spacing w:val="-1"/>
          <w:sz w:val="18"/>
        </w:rPr>
        <w:t> </w:t>
      </w:r>
      <w:r>
        <w:rPr>
          <w:sz w:val="18"/>
        </w:rPr>
        <w:t>Reports</w:t>
      </w:r>
      <w:r>
        <w:rPr>
          <w:spacing w:val="-2"/>
          <w:sz w:val="18"/>
        </w:rPr>
        <w:t> </w:t>
      </w:r>
      <w:r>
        <w:rPr>
          <w:sz w:val="18"/>
        </w:rPr>
        <w:t>of</w:t>
      </w:r>
      <w:r>
        <w:rPr>
          <w:spacing w:val="-2"/>
          <w:sz w:val="18"/>
        </w:rPr>
        <w:t> </w:t>
      </w:r>
      <w:r>
        <w:rPr>
          <w:sz w:val="18"/>
        </w:rPr>
        <w:t>the</w:t>
      </w:r>
      <w:r>
        <w:rPr>
          <w:spacing w:val="-1"/>
          <w:sz w:val="18"/>
        </w:rPr>
        <w:t> </w:t>
      </w:r>
      <w:r>
        <w:rPr>
          <w:sz w:val="18"/>
        </w:rPr>
        <w:t>UK</w:t>
      </w:r>
      <w:r>
        <w:rPr>
          <w:spacing w:val="-1"/>
          <w:sz w:val="18"/>
        </w:rPr>
        <w:t> </w:t>
      </w:r>
      <w:r>
        <w:rPr>
          <w:sz w:val="18"/>
        </w:rPr>
        <w:t>of</w:t>
      </w:r>
      <w:r>
        <w:rPr>
          <w:spacing w:val="-2"/>
          <w:sz w:val="18"/>
        </w:rPr>
        <w:t> </w:t>
      </w:r>
      <w:r>
        <w:rPr>
          <w:sz w:val="18"/>
        </w:rPr>
        <w:t>Great</w:t>
      </w:r>
      <w:r>
        <w:rPr>
          <w:spacing w:val="-1"/>
          <w:sz w:val="18"/>
        </w:rPr>
        <w:t> </w:t>
      </w:r>
      <w:r>
        <w:rPr>
          <w:sz w:val="18"/>
        </w:rPr>
        <w:t>Britain and</w:t>
      </w:r>
      <w:r>
        <w:rPr>
          <w:spacing w:val="-5"/>
          <w:sz w:val="18"/>
        </w:rPr>
        <w:t> </w:t>
      </w:r>
      <w:r>
        <w:rPr>
          <w:sz w:val="18"/>
        </w:rPr>
        <w:t>NI’,</w:t>
      </w:r>
      <w:r>
        <w:rPr>
          <w:spacing w:val="-4"/>
          <w:sz w:val="18"/>
        </w:rPr>
        <w:t> </w:t>
      </w:r>
      <w:r>
        <w:rPr>
          <w:sz w:val="18"/>
        </w:rPr>
        <w:t>2</w:t>
      </w:r>
      <w:r>
        <w:rPr>
          <w:spacing w:val="-4"/>
          <w:sz w:val="18"/>
        </w:rPr>
        <w:t> </w:t>
      </w:r>
      <w:r>
        <w:rPr>
          <w:sz w:val="18"/>
        </w:rPr>
        <w:t>June</w:t>
      </w:r>
      <w:r>
        <w:rPr>
          <w:spacing w:val="-4"/>
          <w:sz w:val="18"/>
        </w:rPr>
        <w:t> </w:t>
      </w:r>
      <w:r>
        <w:rPr>
          <w:sz w:val="18"/>
        </w:rPr>
        <w:t>2023,</w:t>
      </w:r>
      <w:r>
        <w:rPr>
          <w:spacing w:val="-4"/>
          <w:sz w:val="18"/>
        </w:rPr>
        <w:t> </w:t>
      </w:r>
      <w:r>
        <w:rPr>
          <w:sz w:val="18"/>
        </w:rPr>
        <w:t>at</w:t>
      </w:r>
      <w:r>
        <w:rPr>
          <w:spacing w:val="-5"/>
          <w:sz w:val="18"/>
        </w:rPr>
        <w:t> </w:t>
      </w:r>
      <w:r>
        <w:rPr>
          <w:sz w:val="18"/>
        </w:rPr>
        <w:t>para</w:t>
      </w:r>
      <w:r>
        <w:rPr>
          <w:spacing w:val="-5"/>
          <w:sz w:val="18"/>
        </w:rPr>
        <w:t> </w:t>
      </w:r>
      <w:r>
        <w:rPr>
          <w:sz w:val="18"/>
        </w:rPr>
        <w:t>18(b);</w:t>
      </w:r>
      <w:r>
        <w:rPr>
          <w:spacing w:val="-4"/>
          <w:sz w:val="18"/>
        </w:rPr>
        <w:t> </w:t>
      </w:r>
      <w:r>
        <w:rPr>
          <w:sz w:val="18"/>
        </w:rPr>
        <w:t>CEDAW/C/GBR/CO/8,</w:t>
      </w:r>
      <w:r>
        <w:rPr>
          <w:spacing w:val="-4"/>
          <w:sz w:val="18"/>
        </w:rPr>
        <w:t> </w:t>
      </w:r>
      <w:r>
        <w:rPr>
          <w:sz w:val="18"/>
        </w:rPr>
        <w:t>‘UN</w:t>
      </w:r>
      <w:r>
        <w:rPr>
          <w:spacing w:val="-4"/>
          <w:sz w:val="18"/>
        </w:rPr>
        <w:t> </w:t>
      </w:r>
      <w:r>
        <w:rPr>
          <w:sz w:val="18"/>
        </w:rPr>
        <w:t>CEDAW</w:t>
      </w:r>
      <w:r>
        <w:rPr>
          <w:spacing w:val="-4"/>
          <w:sz w:val="18"/>
        </w:rPr>
        <w:t> </w:t>
      </w:r>
      <w:r>
        <w:rPr>
          <w:sz w:val="18"/>
        </w:rPr>
        <w:t>Committee</w:t>
      </w:r>
      <w:r>
        <w:rPr>
          <w:spacing w:val="-5"/>
          <w:sz w:val="18"/>
        </w:rPr>
        <w:t> </w:t>
      </w:r>
      <w:r>
        <w:rPr>
          <w:sz w:val="18"/>
        </w:rPr>
        <w:t>Concluding</w:t>
      </w:r>
      <w:r>
        <w:rPr>
          <w:spacing w:val="-4"/>
          <w:sz w:val="18"/>
        </w:rPr>
        <w:t> </w:t>
      </w:r>
      <w:r>
        <w:rPr>
          <w:sz w:val="18"/>
        </w:rPr>
        <w:t>Observations</w:t>
      </w:r>
      <w:r>
        <w:rPr>
          <w:spacing w:val="-5"/>
          <w:sz w:val="18"/>
        </w:rPr>
        <w:t> </w:t>
      </w:r>
      <w:r>
        <w:rPr>
          <w:sz w:val="18"/>
        </w:rPr>
        <w:t>on</w:t>
      </w:r>
      <w:r>
        <w:rPr>
          <w:spacing w:val="-5"/>
          <w:sz w:val="18"/>
        </w:rPr>
        <w:t> </w:t>
      </w:r>
      <w:r>
        <w:rPr>
          <w:sz w:val="18"/>
        </w:rPr>
        <w:t>the</w:t>
      </w:r>
      <w:r>
        <w:rPr>
          <w:spacing w:val="-4"/>
          <w:sz w:val="18"/>
        </w:rPr>
        <w:t> </w:t>
      </w:r>
      <w:r>
        <w:rPr>
          <w:sz w:val="18"/>
        </w:rPr>
        <w:t>Eighth Periodic Report of the UK of Great Britain and NI’, 14 March 2019, at para 59(b); CAT/C/GBR/CO/6, ‘UN CAT Committee Concluding Observations on the Sixth Periodic Report of the UK of Great Britain and NI’, 7 June 2019, at para 57(f).</w:t>
      </w:r>
    </w:p>
    <w:p>
      <w:pPr>
        <w:pStyle w:val="ListParagraph"/>
        <w:numPr>
          <w:ilvl w:val="0"/>
          <w:numId w:val="9"/>
        </w:numPr>
        <w:tabs>
          <w:tab w:pos="1853" w:val="left" w:leader="none"/>
        </w:tabs>
        <w:spacing w:line="235" w:lineRule="auto" w:before="3" w:after="0"/>
        <w:ind w:left="1853" w:right="1172" w:hanging="720"/>
        <w:jc w:val="left"/>
        <w:rPr>
          <w:sz w:val="18"/>
        </w:rPr>
      </w:pPr>
      <w:r>
        <w:rPr>
          <w:sz w:val="18"/>
        </w:rPr>
        <w:t>CRC/C/GBR/CO/6-7,</w:t>
      </w:r>
      <w:r>
        <w:rPr>
          <w:spacing w:val="-6"/>
          <w:sz w:val="18"/>
        </w:rPr>
        <w:t> </w:t>
      </w:r>
      <w:r>
        <w:rPr>
          <w:sz w:val="18"/>
        </w:rPr>
        <w:t>‘UN</w:t>
      </w:r>
      <w:r>
        <w:rPr>
          <w:spacing w:val="-6"/>
          <w:sz w:val="18"/>
        </w:rPr>
        <w:t> </w:t>
      </w:r>
      <w:r>
        <w:rPr>
          <w:sz w:val="18"/>
        </w:rPr>
        <w:t>CRC</w:t>
      </w:r>
      <w:r>
        <w:rPr>
          <w:spacing w:val="-6"/>
          <w:sz w:val="18"/>
        </w:rPr>
        <w:t> </w:t>
      </w:r>
      <w:r>
        <w:rPr>
          <w:sz w:val="18"/>
        </w:rPr>
        <w:t>Committee</w:t>
      </w:r>
      <w:r>
        <w:rPr>
          <w:spacing w:val="-6"/>
          <w:sz w:val="18"/>
        </w:rPr>
        <w:t> </w:t>
      </w:r>
      <w:r>
        <w:rPr>
          <w:sz w:val="18"/>
        </w:rPr>
        <w:t>Concluding</w:t>
      </w:r>
      <w:r>
        <w:rPr>
          <w:spacing w:val="-6"/>
          <w:sz w:val="18"/>
        </w:rPr>
        <w:t> </w:t>
      </w:r>
      <w:r>
        <w:rPr>
          <w:sz w:val="18"/>
        </w:rPr>
        <w:t>Observations</w:t>
      </w:r>
      <w:r>
        <w:rPr>
          <w:spacing w:val="-6"/>
          <w:sz w:val="18"/>
        </w:rPr>
        <w:t> </w:t>
      </w:r>
      <w:r>
        <w:rPr>
          <w:sz w:val="18"/>
        </w:rPr>
        <w:t>on</w:t>
      </w:r>
      <w:r>
        <w:rPr>
          <w:spacing w:val="-6"/>
          <w:sz w:val="18"/>
        </w:rPr>
        <w:t> </w:t>
      </w:r>
      <w:r>
        <w:rPr>
          <w:sz w:val="18"/>
        </w:rPr>
        <w:t>the</w:t>
      </w:r>
      <w:r>
        <w:rPr>
          <w:spacing w:val="-6"/>
          <w:sz w:val="18"/>
        </w:rPr>
        <w:t> </w:t>
      </w:r>
      <w:r>
        <w:rPr>
          <w:sz w:val="18"/>
        </w:rPr>
        <w:t>Combined</w:t>
      </w:r>
      <w:r>
        <w:rPr>
          <w:spacing w:val="-6"/>
          <w:sz w:val="18"/>
        </w:rPr>
        <w:t> </w:t>
      </w:r>
      <w:r>
        <w:rPr>
          <w:sz w:val="18"/>
        </w:rPr>
        <w:t>Sixth</w:t>
      </w:r>
      <w:r>
        <w:rPr>
          <w:spacing w:val="-6"/>
          <w:sz w:val="18"/>
        </w:rPr>
        <w:t> </w:t>
      </w:r>
      <w:r>
        <w:rPr>
          <w:sz w:val="18"/>
        </w:rPr>
        <w:t>and</w:t>
      </w:r>
      <w:r>
        <w:rPr>
          <w:spacing w:val="-6"/>
          <w:sz w:val="18"/>
        </w:rPr>
        <w:t> </w:t>
      </w:r>
      <w:r>
        <w:rPr>
          <w:sz w:val="18"/>
        </w:rPr>
        <w:t>Seventh</w:t>
      </w:r>
      <w:r>
        <w:rPr>
          <w:spacing w:val="-6"/>
          <w:sz w:val="18"/>
        </w:rPr>
        <w:t> </w:t>
      </w:r>
      <w:r>
        <w:rPr>
          <w:sz w:val="18"/>
        </w:rPr>
        <w:t>Periodic</w:t>
      </w:r>
      <w:r>
        <w:rPr>
          <w:spacing w:val="-6"/>
          <w:sz w:val="18"/>
        </w:rPr>
        <w:t> </w:t>
      </w:r>
      <w:r>
        <w:rPr>
          <w:sz w:val="18"/>
        </w:rPr>
        <w:t>Reports</w:t>
      </w:r>
      <w:r>
        <w:rPr>
          <w:spacing w:val="-6"/>
          <w:sz w:val="18"/>
        </w:rPr>
        <w:t> </w:t>
      </w:r>
      <w:r>
        <w:rPr>
          <w:sz w:val="18"/>
        </w:rPr>
        <w:t>of the UK of Great Britain and NI’, 2 June 2023, at para 18(b).</w:t>
      </w:r>
    </w:p>
    <w:p>
      <w:pPr>
        <w:pStyle w:val="ListParagraph"/>
        <w:numPr>
          <w:ilvl w:val="0"/>
          <w:numId w:val="9"/>
        </w:numPr>
        <w:tabs>
          <w:tab w:pos="1853" w:val="left" w:leader="none"/>
        </w:tabs>
        <w:spacing w:line="216"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para</w:t>
      </w:r>
      <w:r>
        <w:rPr>
          <w:spacing w:val="-2"/>
          <w:sz w:val="18"/>
        </w:rPr>
        <w:t> 35(a).</w:t>
      </w:r>
    </w:p>
    <w:p>
      <w:pPr>
        <w:pStyle w:val="ListParagraph"/>
        <w:numPr>
          <w:ilvl w:val="0"/>
          <w:numId w:val="9"/>
        </w:numPr>
        <w:tabs>
          <w:tab w:pos="1853" w:val="left" w:leader="none"/>
        </w:tabs>
        <w:spacing w:line="235" w:lineRule="auto" w:before="2" w:after="0"/>
        <w:ind w:left="1853" w:right="1174" w:hanging="720"/>
        <w:jc w:val="left"/>
        <w:rPr>
          <w:sz w:val="18"/>
        </w:rPr>
      </w:pPr>
      <w:r>
        <w:rPr>
          <w:sz w:val="18"/>
        </w:rPr>
        <w:t>CEDAW/C/GC/31/Rev.1–CRC/C/GC/18/Rev.1, ‘Joint General Recommendation 31 of the UN CEDAW Committee/General Comment</w:t>
      </w:r>
      <w:r>
        <w:rPr>
          <w:spacing w:val="-5"/>
          <w:sz w:val="18"/>
        </w:rPr>
        <w:t> </w:t>
      </w:r>
      <w:r>
        <w:rPr>
          <w:sz w:val="18"/>
        </w:rPr>
        <w:t>18</w:t>
      </w:r>
      <w:r>
        <w:rPr>
          <w:spacing w:val="-5"/>
          <w:sz w:val="18"/>
        </w:rPr>
        <w:t> </w:t>
      </w:r>
      <w:r>
        <w:rPr>
          <w:sz w:val="18"/>
        </w:rPr>
        <w:t>of</w:t>
      </w:r>
      <w:r>
        <w:rPr>
          <w:spacing w:val="-5"/>
          <w:sz w:val="18"/>
        </w:rPr>
        <w:t> </w:t>
      </w:r>
      <w:r>
        <w:rPr>
          <w:sz w:val="18"/>
        </w:rPr>
        <w:t>and</w:t>
      </w:r>
      <w:r>
        <w:rPr>
          <w:spacing w:val="-5"/>
          <w:sz w:val="18"/>
        </w:rPr>
        <w:t> </w:t>
      </w:r>
      <w:r>
        <w:rPr>
          <w:sz w:val="18"/>
        </w:rPr>
        <w:t>UN</w:t>
      </w:r>
      <w:r>
        <w:rPr>
          <w:spacing w:val="-5"/>
          <w:sz w:val="18"/>
        </w:rPr>
        <w:t> </w:t>
      </w:r>
      <w:r>
        <w:rPr>
          <w:sz w:val="18"/>
        </w:rPr>
        <w:t>CRC</w:t>
      </w:r>
      <w:r>
        <w:rPr>
          <w:spacing w:val="-5"/>
          <w:sz w:val="18"/>
        </w:rPr>
        <w:t> </w:t>
      </w:r>
      <w:r>
        <w:rPr>
          <w:sz w:val="18"/>
        </w:rPr>
        <w:t>Committee</w:t>
      </w:r>
      <w:r>
        <w:rPr>
          <w:spacing w:val="-5"/>
          <w:sz w:val="18"/>
        </w:rPr>
        <w:t> </w:t>
      </w:r>
      <w:r>
        <w:rPr>
          <w:sz w:val="18"/>
        </w:rPr>
        <w:t>on</w:t>
      </w:r>
      <w:r>
        <w:rPr>
          <w:spacing w:val="-5"/>
          <w:sz w:val="18"/>
        </w:rPr>
        <w:t> </w:t>
      </w:r>
      <w:r>
        <w:rPr>
          <w:sz w:val="18"/>
        </w:rPr>
        <w:t>harmful</w:t>
      </w:r>
      <w:r>
        <w:rPr>
          <w:spacing w:val="-5"/>
          <w:sz w:val="18"/>
        </w:rPr>
        <w:t> </w:t>
      </w:r>
      <w:r>
        <w:rPr>
          <w:sz w:val="18"/>
        </w:rPr>
        <w:t>practices’,</w:t>
      </w:r>
      <w:r>
        <w:rPr>
          <w:spacing w:val="-5"/>
          <w:sz w:val="18"/>
        </w:rPr>
        <w:t> </w:t>
      </w:r>
      <w:r>
        <w:rPr>
          <w:sz w:val="18"/>
        </w:rPr>
        <w:t>14</w:t>
      </w:r>
      <w:r>
        <w:rPr>
          <w:spacing w:val="-5"/>
          <w:sz w:val="18"/>
        </w:rPr>
        <w:t> </w:t>
      </w:r>
      <w:r>
        <w:rPr>
          <w:sz w:val="18"/>
        </w:rPr>
        <w:t>November</w:t>
      </w:r>
      <w:r>
        <w:rPr>
          <w:spacing w:val="-5"/>
          <w:sz w:val="18"/>
        </w:rPr>
        <w:t> </w:t>
      </w:r>
      <w:r>
        <w:rPr>
          <w:sz w:val="18"/>
        </w:rPr>
        <w:t>2014,</w:t>
      </w:r>
      <w:r>
        <w:rPr>
          <w:spacing w:val="-5"/>
          <w:sz w:val="18"/>
        </w:rPr>
        <w:t> </w:t>
      </w:r>
      <w:r>
        <w:rPr>
          <w:sz w:val="18"/>
        </w:rPr>
        <w:t>at</w:t>
      </w:r>
      <w:r>
        <w:rPr>
          <w:spacing w:val="-5"/>
          <w:sz w:val="18"/>
        </w:rPr>
        <w:t> </w:t>
      </w:r>
      <w:r>
        <w:rPr>
          <w:sz w:val="18"/>
        </w:rPr>
        <w:t>para.</w:t>
      </w:r>
      <w:r>
        <w:rPr>
          <w:spacing w:val="-5"/>
          <w:sz w:val="18"/>
        </w:rPr>
        <w:t> </w:t>
      </w:r>
      <w:r>
        <w:rPr>
          <w:sz w:val="18"/>
        </w:rPr>
        <w:t>20.</w:t>
      </w:r>
      <w:r>
        <w:rPr>
          <w:spacing w:val="-5"/>
          <w:sz w:val="18"/>
        </w:rPr>
        <w:t> </w:t>
      </w:r>
      <w:r>
        <w:rPr>
          <w:sz w:val="18"/>
        </w:rPr>
        <w:t>See</w:t>
      </w:r>
      <w:r>
        <w:rPr>
          <w:spacing w:val="-5"/>
          <w:sz w:val="18"/>
        </w:rPr>
        <w:t> </w:t>
      </w:r>
      <w:r>
        <w:rPr>
          <w:sz w:val="18"/>
        </w:rPr>
        <w:t>also</w:t>
      </w:r>
      <w:r>
        <w:rPr>
          <w:spacing w:val="-5"/>
          <w:sz w:val="18"/>
        </w:rPr>
        <w:t> </w:t>
      </w:r>
      <w:r>
        <w:rPr>
          <w:sz w:val="18"/>
        </w:rPr>
        <w:t>CRC/C/GC/13,</w:t>
      </w:r>
      <w:r>
        <w:rPr>
          <w:spacing w:val="-5"/>
          <w:sz w:val="18"/>
        </w:rPr>
        <w:t> </w:t>
      </w:r>
      <w:r>
        <w:rPr>
          <w:sz w:val="18"/>
        </w:rPr>
        <w:t>‘UN CRC Committee General Comment No.13: The right of the child to freedom from all forms of violence’, 18 April 2011, at para</w:t>
      </w:r>
      <w:r>
        <w:rPr>
          <w:spacing w:val="-2"/>
          <w:sz w:val="18"/>
        </w:rPr>
        <w:t> </w:t>
      </w:r>
      <w:r>
        <w:rPr>
          <w:sz w:val="18"/>
        </w:rPr>
        <w:t>29.</w:t>
      </w:r>
    </w:p>
    <w:p>
      <w:pPr>
        <w:pStyle w:val="ListParagraph"/>
        <w:numPr>
          <w:ilvl w:val="0"/>
          <w:numId w:val="9"/>
        </w:numPr>
        <w:tabs>
          <w:tab w:pos="1853" w:val="left" w:leader="none"/>
        </w:tabs>
        <w:spacing w:line="217" w:lineRule="exact" w:before="0" w:after="0"/>
        <w:ind w:left="1853" w:right="0" w:hanging="720"/>
        <w:jc w:val="left"/>
        <w:rPr>
          <w:sz w:val="18"/>
        </w:rPr>
      </w:pPr>
      <w:r>
        <w:rPr>
          <w:sz w:val="18"/>
        </w:rPr>
        <w:t>Email</w:t>
      </w:r>
      <w:r>
        <w:rPr>
          <w:spacing w:val="-5"/>
          <w:sz w:val="18"/>
        </w:rPr>
        <w:t> </w:t>
      </w:r>
      <w:r>
        <w:rPr>
          <w:sz w:val="18"/>
        </w:rPr>
        <w:t>correspondence</w:t>
      </w:r>
      <w:r>
        <w:rPr>
          <w:spacing w:val="-3"/>
          <w:sz w:val="18"/>
        </w:rPr>
        <w:t> </w:t>
      </w:r>
      <w:r>
        <w:rPr>
          <w:sz w:val="18"/>
        </w:rPr>
        <w:t>from</w:t>
      </w:r>
      <w:r>
        <w:rPr>
          <w:spacing w:val="-4"/>
          <w:sz w:val="18"/>
        </w:rPr>
        <w:t> </w:t>
      </w:r>
      <w:r>
        <w:rPr>
          <w:sz w:val="18"/>
        </w:rPr>
        <w:t>NI</w:t>
      </w:r>
      <w:r>
        <w:rPr>
          <w:spacing w:val="-3"/>
          <w:sz w:val="18"/>
        </w:rPr>
        <w:t> </w:t>
      </w:r>
      <w:r>
        <w:rPr>
          <w:sz w:val="18"/>
        </w:rPr>
        <w:t>Statistics</w:t>
      </w:r>
      <w:r>
        <w:rPr>
          <w:spacing w:val="-5"/>
          <w:sz w:val="18"/>
        </w:rPr>
        <w:t> </w:t>
      </w:r>
      <w:r>
        <w:rPr>
          <w:sz w:val="18"/>
        </w:rPr>
        <w:t>and</w:t>
      </w:r>
      <w:r>
        <w:rPr>
          <w:spacing w:val="-4"/>
          <w:sz w:val="18"/>
        </w:rPr>
        <w:t> </w:t>
      </w:r>
      <w:r>
        <w:rPr>
          <w:sz w:val="18"/>
        </w:rPr>
        <w:t>Research</w:t>
      </w:r>
      <w:r>
        <w:rPr>
          <w:spacing w:val="-4"/>
          <w:sz w:val="18"/>
        </w:rPr>
        <w:t> </w:t>
      </w:r>
      <w:r>
        <w:rPr>
          <w:sz w:val="18"/>
        </w:rPr>
        <w:t>Agency</w:t>
      </w:r>
      <w:r>
        <w:rPr>
          <w:spacing w:val="-4"/>
          <w:sz w:val="18"/>
        </w:rPr>
        <w:t> </w:t>
      </w:r>
      <w:r>
        <w:rPr>
          <w:sz w:val="18"/>
        </w:rPr>
        <w:t>to</w:t>
      </w:r>
      <w:r>
        <w:rPr>
          <w:spacing w:val="-4"/>
          <w:sz w:val="18"/>
        </w:rPr>
        <w:t> </w:t>
      </w:r>
      <w:r>
        <w:rPr>
          <w:sz w:val="18"/>
        </w:rPr>
        <w:t>NI</w:t>
      </w:r>
      <w:r>
        <w:rPr>
          <w:spacing w:val="-4"/>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21</w:t>
      </w:r>
      <w:r>
        <w:rPr>
          <w:spacing w:val="-3"/>
          <w:sz w:val="18"/>
        </w:rPr>
        <w:t> </w:t>
      </w:r>
      <w:r>
        <w:rPr>
          <w:sz w:val="18"/>
        </w:rPr>
        <w:t>June</w:t>
      </w:r>
      <w:r>
        <w:rPr>
          <w:spacing w:val="-4"/>
          <w:sz w:val="18"/>
        </w:rPr>
        <w:t> </w:t>
      </w:r>
      <w:r>
        <w:rPr>
          <w:spacing w:val="-2"/>
          <w:sz w:val="18"/>
        </w:rPr>
        <w:t>2023.</w:t>
      </w:r>
    </w:p>
    <w:p>
      <w:pPr>
        <w:pStyle w:val="ListParagraph"/>
        <w:numPr>
          <w:ilvl w:val="0"/>
          <w:numId w:val="9"/>
        </w:numPr>
        <w:tabs>
          <w:tab w:pos="1853" w:val="left" w:leader="none"/>
        </w:tabs>
        <w:spacing w:line="216" w:lineRule="exact" w:before="0" w:after="0"/>
        <w:ind w:left="1853" w:right="0" w:hanging="720"/>
        <w:jc w:val="left"/>
        <w:rPr>
          <w:sz w:val="18"/>
        </w:rPr>
      </w:pPr>
      <w:r>
        <w:rPr>
          <w:spacing w:val="-4"/>
          <w:sz w:val="18"/>
        </w:rPr>
        <w:t>Ibid.</w:t>
      </w:r>
    </w:p>
    <w:p>
      <w:pPr>
        <w:pStyle w:val="ListParagraph"/>
        <w:numPr>
          <w:ilvl w:val="0"/>
          <w:numId w:val="9"/>
        </w:numPr>
        <w:tabs>
          <w:tab w:pos="1853" w:val="left" w:leader="none"/>
        </w:tabs>
        <w:spacing w:line="235" w:lineRule="auto" w:before="1" w:after="0"/>
        <w:ind w:left="1853" w:right="1265" w:hanging="720"/>
        <w:jc w:val="left"/>
        <w:rPr>
          <w:sz w:val="18"/>
        </w:rPr>
      </w:pPr>
      <w:r>
        <w:rPr>
          <w:sz w:val="18"/>
        </w:rPr>
        <w:t>Department</w:t>
      </w:r>
      <w:r>
        <w:rPr>
          <w:spacing w:val="-4"/>
          <w:sz w:val="18"/>
        </w:rPr>
        <w:t> </w:t>
      </w:r>
      <w:r>
        <w:rPr>
          <w:sz w:val="18"/>
        </w:rPr>
        <w:t>of</w:t>
      </w:r>
      <w:r>
        <w:rPr>
          <w:spacing w:val="-5"/>
          <w:sz w:val="18"/>
        </w:rPr>
        <w:t> </w:t>
      </w:r>
      <w:r>
        <w:rPr>
          <w:sz w:val="18"/>
        </w:rPr>
        <w:t>Finance,</w:t>
      </w:r>
      <w:r>
        <w:rPr>
          <w:spacing w:val="-4"/>
          <w:sz w:val="18"/>
        </w:rPr>
        <w:t> </w:t>
      </w:r>
      <w:r>
        <w:rPr>
          <w:sz w:val="18"/>
        </w:rPr>
        <w:t>‘Belief</w:t>
      </w:r>
      <w:r>
        <w:rPr>
          <w:spacing w:val="-5"/>
          <w:sz w:val="18"/>
        </w:rPr>
        <w:t> </w:t>
      </w:r>
      <w:r>
        <w:rPr>
          <w:sz w:val="18"/>
        </w:rPr>
        <w:t>marriage</w:t>
      </w:r>
      <w:r>
        <w:rPr>
          <w:spacing w:val="-4"/>
          <w:sz w:val="18"/>
        </w:rPr>
        <w:t> </w:t>
      </w:r>
      <w:r>
        <w:rPr>
          <w:sz w:val="18"/>
        </w:rPr>
        <w:t>and</w:t>
      </w:r>
      <w:r>
        <w:rPr>
          <w:spacing w:val="-5"/>
          <w:sz w:val="18"/>
        </w:rPr>
        <w:t> </w:t>
      </w:r>
      <w:r>
        <w:rPr>
          <w:sz w:val="18"/>
        </w:rPr>
        <w:t>minimum</w:t>
      </w:r>
      <w:r>
        <w:rPr>
          <w:spacing w:val="-4"/>
          <w:sz w:val="18"/>
        </w:rPr>
        <w:t> </w:t>
      </w:r>
      <w:r>
        <w:rPr>
          <w:sz w:val="18"/>
        </w:rPr>
        <w:t>age</w:t>
      </w:r>
      <w:r>
        <w:rPr>
          <w:spacing w:val="-4"/>
          <w:sz w:val="18"/>
        </w:rPr>
        <w:t> </w:t>
      </w:r>
      <w:r>
        <w:rPr>
          <w:sz w:val="18"/>
        </w:rPr>
        <w:t>for</w:t>
      </w:r>
      <w:r>
        <w:rPr>
          <w:spacing w:val="-4"/>
          <w:sz w:val="18"/>
        </w:rPr>
        <w:t> </w:t>
      </w:r>
      <w:r>
        <w:rPr>
          <w:sz w:val="18"/>
        </w:rPr>
        <w:t>marriage</w:t>
      </w:r>
      <w:r>
        <w:rPr>
          <w:spacing w:val="-4"/>
          <w:sz w:val="18"/>
        </w:rPr>
        <w:t> </w:t>
      </w:r>
      <w:r>
        <w:rPr>
          <w:sz w:val="18"/>
        </w:rPr>
        <w:t>or</w:t>
      </w:r>
      <w:r>
        <w:rPr>
          <w:spacing w:val="-4"/>
          <w:sz w:val="18"/>
        </w:rPr>
        <w:t> </w:t>
      </w:r>
      <w:r>
        <w:rPr>
          <w:sz w:val="18"/>
        </w:rPr>
        <w:t>civil</w:t>
      </w:r>
      <w:r>
        <w:rPr>
          <w:spacing w:val="-5"/>
          <w:sz w:val="18"/>
        </w:rPr>
        <w:t> </w:t>
      </w:r>
      <w:r>
        <w:rPr>
          <w:sz w:val="18"/>
        </w:rPr>
        <w:t>partnership</w:t>
      </w:r>
      <w:r>
        <w:rPr>
          <w:spacing w:val="-5"/>
          <w:sz w:val="18"/>
        </w:rPr>
        <w:t> </w:t>
      </w:r>
      <w:r>
        <w:rPr>
          <w:sz w:val="18"/>
        </w:rPr>
        <w:t>–</w:t>
      </w:r>
      <w:r>
        <w:rPr>
          <w:spacing w:val="-5"/>
          <w:sz w:val="18"/>
        </w:rPr>
        <w:t> </w:t>
      </w:r>
      <w:r>
        <w:rPr>
          <w:sz w:val="18"/>
        </w:rPr>
        <w:t>a</w:t>
      </w:r>
      <w:r>
        <w:rPr>
          <w:spacing w:val="-5"/>
          <w:sz w:val="18"/>
        </w:rPr>
        <w:t> </w:t>
      </w:r>
      <w:r>
        <w:rPr>
          <w:sz w:val="18"/>
        </w:rPr>
        <w:t>public</w:t>
      </w:r>
      <w:r>
        <w:rPr>
          <w:spacing w:val="-4"/>
          <w:sz w:val="18"/>
        </w:rPr>
        <w:t> </w:t>
      </w:r>
      <w:r>
        <w:rPr>
          <w:sz w:val="18"/>
        </w:rPr>
        <w:t>consultation’</w:t>
      </w:r>
      <w:r>
        <w:rPr>
          <w:spacing w:val="-4"/>
          <w:sz w:val="18"/>
        </w:rPr>
        <w:t> </w:t>
      </w:r>
      <w:r>
        <w:rPr>
          <w:sz w:val="18"/>
        </w:rPr>
        <w:t>(DoF, </w:t>
      </w:r>
      <w:r>
        <w:rPr>
          <w:spacing w:val="-2"/>
          <w:sz w:val="18"/>
        </w:rPr>
        <w:t>2021).</w:t>
      </w:r>
    </w:p>
    <w:p>
      <w:pPr>
        <w:spacing w:after="0" w:line="235" w:lineRule="auto"/>
        <w:jc w:val="left"/>
        <w:rPr>
          <w:sz w:val="18"/>
        </w:rPr>
        <w:sectPr>
          <w:headerReference w:type="even" r:id="rId144"/>
          <w:headerReference w:type="default" r:id="rId145"/>
          <w:footerReference w:type="even" r:id="rId146"/>
          <w:footerReference w:type="default" r:id="rId147"/>
          <w:pgSz w:w="11910" w:h="16840"/>
          <w:pgMar w:header="496" w:footer="367" w:top="1220" w:bottom="560" w:left="0" w:right="0"/>
          <w:pgNumType w:start="74"/>
        </w:sectPr>
      </w:pPr>
    </w:p>
    <w:p>
      <w:pPr>
        <w:pStyle w:val="BodyText"/>
        <w:spacing w:before="198"/>
      </w:pPr>
    </w:p>
    <w:p>
      <w:pPr>
        <w:pStyle w:val="BodyText"/>
        <w:spacing w:line="225" w:lineRule="auto"/>
        <w:ind w:left="1853" w:right="1383"/>
      </w:pPr>
      <w:bookmarkStart w:name="_bookmark27" w:id="59"/>
      <w:bookmarkEnd w:id="59"/>
      <w:r>
        <w:rPr/>
      </w:r>
      <w:r>
        <w:rPr/>
        <w:t>standards consider child marriage to be a form of forced marriage and the EU</w:t>
      </w:r>
      <w:r>
        <w:rPr>
          <w:spacing w:val="-8"/>
        </w:rPr>
        <w:t> </w:t>
      </w:r>
      <w:r>
        <w:rPr/>
        <w:t>Victims’</w:t>
      </w:r>
      <w:r>
        <w:rPr>
          <w:spacing w:val="-8"/>
        </w:rPr>
        <w:t> </w:t>
      </w:r>
      <w:r>
        <w:rPr/>
        <w:t>Directive</w:t>
      </w:r>
      <w:r>
        <w:rPr>
          <w:spacing w:val="-8"/>
        </w:rPr>
        <w:t> </w:t>
      </w:r>
      <w:r>
        <w:rPr/>
        <w:t>recognises</w:t>
      </w:r>
      <w:r>
        <w:rPr>
          <w:spacing w:val="-9"/>
        </w:rPr>
        <w:t> </w:t>
      </w:r>
      <w:r>
        <w:rPr/>
        <w:t>forced</w:t>
      </w:r>
      <w:r>
        <w:rPr>
          <w:spacing w:val="-9"/>
        </w:rPr>
        <w:t> </w:t>
      </w:r>
      <w:r>
        <w:rPr/>
        <w:t>marriage</w:t>
      </w:r>
      <w:r>
        <w:rPr>
          <w:spacing w:val="-8"/>
        </w:rPr>
        <w:t> </w:t>
      </w:r>
      <w:r>
        <w:rPr/>
        <w:t>as</w:t>
      </w:r>
      <w:r>
        <w:rPr>
          <w:spacing w:val="-9"/>
        </w:rPr>
        <w:t> </w:t>
      </w:r>
      <w:r>
        <w:rPr/>
        <w:t>a</w:t>
      </w:r>
      <w:r>
        <w:rPr>
          <w:spacing w:val="-9"/>
        </w:rPr>
        <w:t> </w:t>
      </w:r>
      <w:r>
        <w:rPr/>
        <w:t>form</w:t>
      </w:r>
      <w:r>
        <w:rPr>
          <w:spacing w:val="-8"/>
        </w:rPr>
        <w:t> </w:t>
      </w:r>
      <w:r>
        <w:rPr/>
        <w:t>of</w:t>
      </w:r>
      <w:r>
        <w:rPr>
          <w:spacing w:val="-9"/>
        </w:rPr>
        <w:t> </w:t>
      </w:r>
      <w:r>
        <w:rPr/>
        <w:t>gender-based violence.</w:t>
      </w:r>
      <w:r>
        <w:rPr>
          <w:vertAlign w:val="superscript"/>
        </w:rPr>
        <w:t>356</w:t>
      </w:r>
      <w:r>
        <w:rPr>
          <w:vertAlign w:val="baseline"/>
        </w:rPr>
        <w:t> The NIHRC advised that it considers that certain provisions on marriage law engage Windsor Framework Article 2.</w:t>
      </w:r>
      <w:r>
        <w:rPr>
          <w:vertAlign w:val="superscript"/>
        </w:rPr>
        <w:t>357</w:t>
      </w:r>
    </w:p>
    <w:p>
      <w:pPr>
        <w:pStyle w:val="ListParagraph"/>
        <w:numPr>
          <w:ilvl w:val="1"/>
          <w:numId w:val="7"/>
        </w:numPr>
        <w:tabs>
          <w:tab w:pos="1853" w:val="left" w:leader="none"/>
        </w:tabs>
        <w:spacing w:line="225" w:lineRule="auto" w:before="315" w:after="0"/>
        <w:ind w:left="1853" w:right="1247" w:hanging="720"/>
        <w:jc w:val="left"/>
        <w:rPr>
          <w:sz w:val="28"/>
        </w:rPr>
      </w:pPr>
      <w:r>
        <w:rPr>
          <w:sz w:val="28"/>
        </w:rPr>
        <w:t>In July 2022, the Department of Finance published its consultation analysis report, which revealed near unanimous support among respondents for increasing</w:t>
      </w:r>
      <w:r>
        <w:rPr>
          <w:spacing w:val="-8"/>
          <w:sz w:val="28"/>
        </w:rPr>
        <w:t> </w:t>
      </w:r>
      <w:r>
        <w:rPr>
          <w:sz w:val="28"/>
        </w:rPr>
        <w:t>the</w:t>
      </w:r>
      <w:r>
        <w:rPr>
          <w:spacing w:val="-8"/>
          <w:sz w:val="28"/>
        </w:rPr>
        <w:t> </w:t>
      </w:r>
      <w:r>
        <w:rPr>
          <w:sz w:val="28"/>
        </w:rPr>
        <w:t>minimum</w:t>
      </w:r>
      <w:r>
        <w:rPr>
          <w:spacing w:val="-8"/>
          <w:sz w:val="28"/>
        </w:rPr>
        <w:t> </w:t>
      </w:r>
      <w:r>
        <w:rPr>
          <w:sz w:val="28"/>
        </w:rPr>
        <w:t>age</w:t>
      </w:r>
      <w:r>
        <w:rPr>
          <w:spacing w:val="-8"/>
          <w:sz w:val="28"/>
        </w:rPr>
        <w:t> </w:t>
      </w:r>
      <w:r>
        <w:rPr>
          <w:sz w:val="28"/>
        </w:rPr>
        <w:t>for</w:t>
      </w:r>
      <w:r>
        <w:rPr>
          <w:spacing w:val="-8"/>
          <w:sz w:val="28"/>
        </w:rPr>
        <w:t> </w:t>
      </w:r>
      <w:r>
        <w:rPr>
          <w:sz w:val="28"/>
        </w:rPr>
        <w:t>marriage</w:t>
      </w:r>
      <w:r>
        <w:rPr>
          <w:spacing w:val="-8"/>
          <w:sz w:val="28"/>
        </w:rPr>
        <w:t> </w:t>
      </w:r>
      <w:r>
        <w:rPr>
          <w:sz w:val="28"/>
        </w:rPr>
        <w:t>and</w:t>
      </w:r>
      <w:r>
        <w:rPr>
          <w:spacing w:val="-9"/>
          <w:sz w:val="28"/>
        </w:rPr>
        <w:t> </w:t>
      </w:r>
      <w:r>
        <w:rPr>
          <w:sz w:val="28"/>
        </w:rPr>
        <w:t>civil</w:t>
      </w:r>
      <w:r>
        <w:rPr>
          <w:spacing w:val="-9"/>
          <w:sz w:val="28"/>
        </w:rPr>
        <w:t> </w:t>
      </w:r>
      <w:r>
        <w:rPr>
          <w:sz w:val="28"/>
        </w:rPr>
        <w:t>partnerships</w:t>
      </w:r>
      <w:r>
        <w:rPr>
          <w:spacing w:val="-9"/>
          <w:sz w:val="28"/>
        </w:rPr>
        <w:t> </w:t>
      </w:r>
      <w:r>
        <w:rPr>
          <w:sz w:val="28"/>
        </w:rPr>
        <w:t>to</w:t>
      </w:r>
      <w:r>
        <w:rPr>
          <w:spacing w:val="-9"/>
          <w:sz w:val="28"/>
        </w:rPr>
        <w:t> </w:t>
      </w:r>
      <w:r>
        <w:rPr>
          <w:sz w:val="28"/>
        </w:rPr>
        <w:t>18</w:t>
      </w:r>
      <w:r>
        <w:rPr>
          <w:spacing w:val="-8"/>
          <w:sz w:val="28"/>
        </w:rPr>
        <w:t> </w:t>
      </w:r>
      <w:r>
        <w:rPr>
          <w:sz w:val="28"/>
        </w:rPr>
        <w:t>years.</w:t>
      </w:r>
      <w:r>
        <w:rPr>
          <w:sz w:val="28"/>
          <w:vertAlign w:val="superscript"/>
        </w:rPr>
        <w:t>358</w:t>
      </w:r>
      <w:r>
        <w:rPr>
          <w:sz w:val="28"/>
          <w:vertAlign w:val="baseline"/>
        </w:rPr>
        <w:t> The then Minister for Finance, Conor Murphy MLA, responded signalling his intention to prepare legislation to raise the minimum age for marriage to 18 years</w:t>
      </w:r>
      <w:r>
        <w:rPr>
          <w:spacing w:val="-2"/>
          <w:sz w:val="28"/>
          <w:vertAlign w:val="baseline"/>
        </w:rPr>
        <w:t> </w:t>
      </w:r>
      <w:r>
        <w:rPr>
          <w:sz w:val="28"/>
          <w:vertAlign w:val="baseline"/>
        </w:rPr>
        <w:t>old.</w:t>
      </w:r>
      <w:r>
        <w:rPr>
          <w:sz w:val="28"/>
          <w:vertAlign w:val="superscript"/>
        </w:rPr>
        <w:t>359</w:t>
      </w:r>
      <w:r>
        <w:rPr>
          <w:spacing w:val="-2"/>
          <w:sz w:val="28"/>
          <w:vertAlign w:val="baseline"/>
        </w:rPr>
        <w:t> </w:t>
      </w:r>
      <w:r>
        <w:rPr>
          <w:sz w:val="28"/>
          <w:vertAlign w:val="baseline"/>
        </w:rPr>
        <w:t>Such</w:t>
      </w:r>
      <w:r>
        <w:rPr>
          <w:spacing w:val="-2"/>
          <w:sz w:val="28"/>
          <w:vertAlign w:val="baseline"/>
        </w:rPr>
        <w:t> </w:t>
      </w:r>
      <w:r>
        <w:rPr>
          <w:sz w:val="28"/>
          <w:vertAlign w:val="baseline"/>
        </w:rPr>
        <w:t>legislation</w:t>
      </w:r>
      <w:r>
        <w:rPr>
          <w:spacing w:val="-2"/>
          <w:sz w:val="28"/>
          <w:vertAlign w:val="baseline"/>
        </w:rPr>
        <w:t> </w:t>
      </w:r>
      <w:r>
        <w:rPr>
          <w:sz w:val="28"/>
          <w:vertAlign w:val="baseline"/>
        </w:rPr>
        <w:t>could</w:t>
      </w:r>
      <w:r>
        <w:rPr>
          <w:spacing w:val="-2"/>
          <w:sz w:val="28"/>
          <w:vertAlign w:val="baseline"/>
        </w:rPr>
        <w:t> </w:t>
      </w:r>
      <w:r>
        <w:rPr>
          <w:sz w:val="28"/>
          <w:vertAlign w:val="baseline"/>
        </w:rPr>
        <w:t>not</w:t>
      </w:r>
      <w:r>
        <w:rPr>
          <w:spacing w:val="-1"/>
          <w:sz w:val="28"/>
          <w:vertAlign w:val="baseline"/>
        </w:rPr>
        <w:t> </w:t>
      </w:r>
      <w:r>
        <w:rPr>
          <w:sz w:val="28"/>
          <w:vertAlign w:val="baseline"/>
        </w:rPr>
        <w:t>progress</w:t>
      </w:r>
      <w:r>
        <w:rPr>
          <w:spacing w:val="-2"/>
          <w:sz w:val="28"/>
          <w:vertAlign w:val="baseline"/>
        </w:rPr>
        <w:t> </w:t>
      </w:r>
      <w:r>
        <w:rPr>
          <w:sz w:val="28"/>
          <w:vertAlign w:val="baseline"/>
        </w:rPr>
        <w:t>while</w:t>
      </w:r>
      <w:r>
        <w:rPr>
          <w:spacing w:val="-1"/>
          <w:sz w:val="28"/>
          <w:vertAlign w:val="baseline"/>
        </w:rPr>
        <w:t> </w:t>
      </w:r>
      <w:r>
        <w:rPr>
          <w:sz w:val="28"/>
          <w:vertAlign w:val="baseline"/>
        </w:rPr>
        <w:t>the</w:t>
      </w:r>
      <w:r>
        <w:rPr>
          <w:spacing w:val="-1"/>
          <w:sz w:val="28"/>
          <w:vertAlign w:val="baseline"/>
        </w:rPr>
        <w:t> </w:t>
      </w:r>
      <w:r>
        <w:rPr>
          <w:sz w:val="28"/>
          <w:vertAlign w:val="baseline"/>
        </w:rPr>
        <w:t>NI</w:t>
      </w:r>
      <w:r>
        <w:rPr>
          <w:spacing w:val="-1"/>
          <w:sz w:val="28"/>
          <w:vertAlign w:val="baseline"/>
        </w:rPr>
        <w:t> </w:t>
      </w:r>
      <w:r>
        <w:rPr>
          <w:sz w:val="28"/>
          <w:vertAlign w:val="baseline"/>
        </w:rPr>
        <w:t>Executive</w:t>
      </w:r>
      <w:r>
        <w:rPr>
          <w:spacing w:val="-1"/>
          <w:sz w:val="28"/>
          <w:vertAlign w:val="baseline"/>
        </w:rPr>
        <w:t> </w:t>
      </w:r>
      <w:r>
        <w:rPr>
          <w:sz w:val="28"/>
          <w:vertAlign w:val="baseline"/>
        </w:rPr>
        <w:t>and</w:t>
      </w:r>
      <w:r>
        <w:rPr>
          <w:spacing w:val="-2"/>
          <w:sz w:val="28"/>
          <w:vertAlign w:val="baseline"/>
        </w:rPr>
        <w:t> </w:t>
      </w:r>
      <w:r>
        <w:rPr>
          <w:sz w:val="28"/>
          <w:vertAlign w:val="baseline"/>
        </w:rPr>
        <w:t>NI Assembly were suspended. The Department has indicated that the Minister hopes to brings forward amends to law on marriage and civil partnership, including raising the minimum age to 18 before the end of the current Assembly mandate.</w:t>
      </w:r>
      <w:r>
        <w:rPr>
          <w:sz w:val="28"/>
          <w:vertAlign w:val="superscript"/>
        </w:rPr>
        <w:t>360</w:t>
      </w:r>
    </w:p>
    <w:p>
      <w:pPr>
        <w:pStyle w:val="BodyText"/>
        <w:spacing w:before="5"/>
        <w:rPr>
          <w:sz w:val="13"/>
        </w:rPr>
      </w:pPr>
      <w:r>
        <w:rPr/>
        <mc:AlternateContent>
          <mc:Choice Requires="wps">
            <w:drawing>
              <wp:anchor distT="0" distB="0" distL="0" distR="0" allowOverlap="1" layoutInCell="1" locked="0" behindDoc="1" simplePos="0" relativeHeight="487666688">
                <wp:simplePos x="0" y="0"/>
                <wp:positionH relativeFrom="page">
                  <wp:posOffset>720001</wp:posOffset>
                </wp:positionH>
                <wp:positionV relativeFrom="paragraph">
                  <wp:posOffset>119403</wp:posOffset>
                </wp:positionV>
                <wp:extent cx="6120130" cy="360045"/>
                <wp:effectExtent l="0" t="0" r="0" b="0"/>
                <wp:wrapTopAndBottom/>
                <wp:docPr id="350" name="Textbox 350"/>
                <wp:cNvGraphicFramePr>
                  <a:graphicFrameLocks/>
                </wp:cNvGraphicFramePr>
                <a:graphic>
                  <a:graphicData uri="http://schemas.microsoft.com/office/word/2010/wordprocessingShape">
                    <wps:wsp>
                      <wps:cNvPr id="350" name="Textbox 350"/>
                      <wps:cNvSpPr txBox="1"/>
                      <wps:spPr>
                        <a:xfrm>
                          <a:off x="0" y="0"/>
                          <a:ext cx="6120130" cy="360045"/>
                        </a:xfrm>
                        <a:prstGeom prst="rect">
                          <a:avLst/>
                        </a:prstGeom>
                        <a:solidFill>
                          <a:srgbClr val="393B7F"/>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9.401813pt;width:481.9pt;height:28.35pt;mso-position-horizontal-relative:page;mso-position-vertical-relative:paragraph;z-index:-15649792;mso-wrap-distance-left:0;mso-wrap-distance-right:0" type="#_x0000_t202" id="docshape300" filled="true" fillcolor="#393b7f"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208" w:after="0"/>
        <w:ind w:left="1853" w:right="1151" w:hanging="720"/>
        <w:jc w:val="left"/>
        <w:rPr>
          <w:b/>
          <w:color w:val="67287F"/>
          <w:sz w:val="28"/>
        </w:rPr>
      </w:pPr>
      <w:r>
        <w:rPr>
          <w:b/>
          <w:color w:val="67287F"/>
          <w:sz w:val="28"/>
        </w:rPr>
        <w:t>The</w:t>
      </w:r>
      <w:r>
        <w:rPr>
          <w:b/>
          <w:color w:val="67287F"/>
          <w:spacing w:val="-7"/>
          <w:sz w:val="28"/>
        </w:rPr>
        <w:t> </w:t>
      </w:r>
      <w:r>
        <w:rPr>
          <w:b/>
          <w:color w:val="67287F"/>
          <w:sz w:val="28"/>
        </w:rPr>
        <w:t>NIHRC</w:t>
      </w:r>
      <w:r>
        <w:rPr>
          <w:b/>
          <w:color w:val="67287F"/>
          <w:spacing w:val="-7"/>
          <w:sz w:val="28"/>
        </w:rPr>
        <w:t> </w:t>
      </w:r>
      <w:r>
        <w:rPr>
          <w:b/>
          <w:color w:val="67287F"/>
          <w:sz w:val="28"/>
        </w:rPr>
        <w:t>continues</w:t>
      </w:r>
      <w:r>
        <w:rPr>
          <w:b/>
          <w:color w:val="67287F"/>
          <w:spacing w:val="-6"/>
          <w:sz w:val="28"/>
        </w:rPr>
        <w:t> </w:t>
      </w:r>
      <w:r>
        <w:rPr>
          <w:b/>
          <w:color w:val="67287F"/>
          <w:sz w:val="28"/>
        </w:rPr>
        <w:t>to</w:t>
      </w:r>
      <w:r>
        <w:rPr>
          <w:b/>
          <w:color w:val="67287F"/>
          <w:spacing w:val="-6"/>
          <w:sz w:val="28"/>
        </w:rPr>
        <w:t> </w:t>
      </w:r>
      <w:r>
        <w:rPr>
          <w:b/>
          <w:color w:val="67287F"/>
          <w:sz w:val="28"/>
        </w:rPr>
        <w:t>recommend</w:t>
      </w:r>
      <w:r>
        <w:rPr>
          <w:b/>
          <w:color w:val="67287F"/>
          <w:spacing w:val="-6"/>
          <w:sz w:val="28"/>
        </w:rPr>
        <w:t> </w:t>
      </w:r>
      <w:r>
        <w:rPr>
          <w:b/>
          <w:color w:val="67287F"/>
          <w:sz w:val="28"/>
        </w:rPr>
        <w:t>that</w:t>
      </w:r>
      <w:r>
        <w:rPr>
          <w:b/>
          <w:color w:val="67287F"/>
          <w:spacing w:val="-6"/>
          <w:sz w:val="28"/>
        </w:rPr>
        <w:t> </w:t>
      </w:r>
      <w:r>
        <w:rPr>
          <w:b/>
          <w:color w:val="67287F"/>
          <w:sz w:val="28"/>
        </w:rPr>
        <w:t>the</w:t>
      </w:r>
      <w:r>
        <w:rPr>
          <w:b/>
          <w:color w:val="67287F"/>
          <w:spacing w:val="-7"/>
          <w:sz w:val="28"/>
        </w:rPr>
        <w:t> </w:t>
      </w:r>
      <w:r>
        <w:rPr>
          <w:b/>
          <w:color w:val="67287F"/>
          <w:sz w:val="28"/>
        </w:rPr>
        <w:t>Department</w:t>
      </w:r>
      <w:r>
        <w:rPr>
          <w:b/>
          <w:color w:val="67287F"/>
          <w:spacing w:val="-6"/>
          <w:sz w:val="28"/>
        </w:rPr>
        <w:t> </w:t>
      </w:r>
      <w:r>
        <w:rPr>
          <w:b/>
          <w:color w:val="67287F"/>
          <w:sz w:val="28"/>
        </w:rPr>
        <w:t>of</w:t>
      </w:r>
      <w:r>
        <w:rPr>
          <w:b/>
          <w:color w:val="67287F"/>
          <w:spacing w:val="-7"/>
          <w:sz w:val="28"/>
        </w:rPr>
        <w:t> </w:t>
      </w:r>
      <w:r>
        <w:rPr>
          <w:b/>
          <w:color w:val="67287F"/>
          <w:sz w:val="28"/>
        </w:rPr>
        <w:t>Finance</w:t>
      </w:r>
      <w:r>
        <w:rPr>
          <w:b/>
          <w:color w:val="67287F"/>
          <w:spacing w:val="-7"/>
          <w:sz w:val="28"/>
        </w:rPr>
        <w:t> </w:t>
      </w:r>
      <w:r>
        <w:rPr>
          <w:b/>
          <w:color w:val="67287F"/>
          <w:sz w:val="28"/>
        </w:rPr>
        <w:t>ensures that Windsor Framework Article 2, including the EU Victims’ Directive, is considered</w:t>
      </w:r>
      <w:r>
        <w:rPr>
          <w:b/>
          <w:color w:val="67287F"/>
          <w:spacing w:val="-1"/>
          <w:sz w:val="28"/>
        </w:rPr>
        <w:t> </w:t>
      </w:r>
      <w:r>
        <w:rPr>
          <w:b/>
          <w:color w:val="67287F"/>
          <w:sz w:val="28"/>
        </w:rPr>
        <w:t>and</w:t>
      </w:r>
      <w:r>
        <w:rPr>
          <w:b/>
          <w:color w:val="67287F"/>
          <w:spacing w:val="-1"/>
          <w:sz w:val="28"/>
        </w:rPr>
        <w:t> </w:t>
      </w:r>
      <w:r>
        <w:rPr>
          <w:b/>
          <w:color w:val="67287F"/>
          <w:sz w:val="28"/>
        </w:rPr>
        <w:t>complied</w:t>
      </w:r>
      <w:r>
        <w:rPr>
          <w:b/>
          <w:color w:val="67287F"/>
          <w:spacing w:val="-1"/>
          <w:sz w:val="28"/>
        </w:rPr>
        <w:t> </w:t>
      </w:r>
      <w:r>
        <w:rPr>
          <w:b/>
          <w:color w:val="67287F"/>
          <w:sz w:val="28"/>
        </w:rPr>
        <w:t>with</w:t>
      </w:r>
      <w:r>
        <w:rPr>
          <w:b/>
          <w:color w:val="67287F"/>
          <w:spacing w:val="-1"/>
          <w:sz w:val="28"/>
        </w:rPr>
        <w:t> </w:t>
      </w:r>
      <w:r>
        <w:rPr>
          <w:b/>
          <w:color w:val="67287F"/>
          <w:sz w:val="28"/>
        </w:rPr>
        <w:t>in</w:t>
      </w:r>
      <w:r>
        <w:rPr>
          <w:b/>
          <w:color w:val="67287F"/>
          <w:spacing w:val="-1"/>
          <w:sz w:val="28"/>
        </w:rPr>
        <w:t> </w:t>
      </w:r>
      <w:r>
        <w:rPr>
          <w:b/>
          <w:color w:val="67287F"/>
          <w:sz w:val="28"/>
        </w:rPr>
        <w:t>the</w:t>
      </w:r>
      <w:r>
        <w:rPr>
          <w:b/>
          <w:color w:val="67287F"/>
          <w:spacing w:val="-2"/>
          <w:sz w:val="28"/>
        </w:rPr>
        <w:t> </w:t>
      </w:r>
      <w:r>
        <w:rPr>
          <w:b/>
          <w:color w:val="67287F"/>
          <w:sz w:val="28"/>
        </w:rPr>
        <w:t>development</w:t>
      </w:r>
      <w:r>
        <w:rPr>
          <w:b/>
          <w:color w:val="67287F"/>
          <w:spacing w:val="-1"/>
          <w:sz w:val="28"/>
        </w:rPr>
        <w:t> </w:t>
      </w:r>
      <w:r>
        <w:rPr>
          <w:b/>
          <w:color w:val="67287F"/>
          <w:sz w:val="28"/>
        </w:rPr>
        <w:t>of</w:t>
      </w:r>
      <w:r>
        <w:rPr>
          <w:b/>
          <w:color w:val="67287F"/>
          <w:spacing w:val="-2"/>
          <w:sz w:val="28"/>
        </w:rPr>
        <w:t> </w:t>
      </w:r>
      <w:r>
        <w:rPr>
          <w:b/>
          <w:color w:val="67287F"/>
          <w:sz w:val="28"/>
        </w:rPr>
        <w:t>legislation</w:t>
      </w:r>
      <w:r>
        <w:rPr>
          <w:b/>
          <w:color w:val="67287F"/>
          <w:spacing w:val="-1"/>
          <w:sz w:val="28"/>
        </w:rPr>
        <w:t> </w:t>
      </w:r>
      <w:r>
        <w:rPr>
          <w:b/>
          <w:color w:val="67287F"/>
          <w:sz w:val="28"/>
        </w:rPr>
        <w:t>to</w:t>
      </w:r>
      <w:r>
        <w:rPr>
          <w:b/>
          <w:color w:val="67287F"/>
          <w:spacing w:val="-1"/>
          <w:sz w:val="28"/>
        </w:rPr>
        <w:t> </w:t>
      </w:r>
      <w:r>
        <w:rPr>
          <w:b/>
          <w:color w:val="67287F"/>
          <w:sz w:val="28"/>
        </w:rPr>
        <w:t>repeal</w:t>
      </w:r>
      <w:r>
        <w:rPr>
          <w:b/>
          <w:color w:val="67287F"/>
          <w:spacing w:val="-1"/>
          <w:sz w:val="28"/>
        </w:rPr>
        <w:t> </w:t>
      </w:r>
      <w:r>
        <w:rPr>
          <w:b/>
          <w:color w:val="67287F"/>
          <w:sz w:val="28"/>
        </w:rPr>
        <w:t>all legal provisions permitting the marriage of children in NI.</w:t>
      </w:r>
    </w:p>
    <w:p>
      <w:pPr>
        <w:pStyle w:val="Heading5"/>
        <w:spacing w:before="299"/>
        <w:ind w:left="1133" w:firstLine="0"/>
      </w:pPr>
      <w:bookmarkStart w:name="Child Sexual Exploitation" w:id="60"/>
      <w:bookmarkEnd w:id="60"/>
      <w:r>
        <w:rPr>
          <w:b w:val="0"/>
        </w:rPr>
      </w:r>
      <w:r>
        <w:rPr>
          <w:color w:val="393B7F"/>
        </w:rPr>
        <w:t>Child</w:t>
      </w:r>
      <w:r>
        <w:rPr>
          <w:color w:val="393B7F"/>
          <w:spacing w:val="-5"/>
        </w:rPr>
        <w:t> </w:t>
      </w:r>
      <w:r>
        <w:rPr>
          <w:color w:val="393B7F"/>
        </w:rPr>
        <w:t>Sexual</w:t>
      </w:r>
      <w:r>
        <w:rPr>
          <w:color w:val="393B7F"/>
          <w:spacing w:val="-4"/>
        </w:rPr>
        <w:t> </w:t>
      </w:r>
      <w:r>
        <w:rPr>
          <w:color w:val="393B7F"/>
          <w:spacing w:val="-2"/>
        </w:rPr>
        <w:t>Exploitation</w:t>
      </w:r>
    </w:p>
    <w:p>
      <w:pPr>
        <w:pStyle w:val="ListParagraph"/>
        <w:numPr>
          <w:ilvl w:val="1"/>
          <w:numId w:val="7"/>
        </w:numPr>
        <w:tabs>
          <w:tab w:pos="1853" w:val="left" w:leader="none"/>
        </w:tabs>
        <w:spacing w:line="225" w:lineRule="auto" w:before="330" w:after="0"/>
        <w:ind w:left="1853" w:right="1880" w:hanging="720"/>
        <w:jc w:val="left"/>
        <w:rPr>
          <w:sz w:val="28"/>
        </w:rPr>
      </w:pPr>
      <w:r>
        <w:rPr>
          <w:sz w:val="28"/>
        </w:rPr>
        <w:t>EU obligations underpinning the rights of child victims under Windsor Framework</w:t>
      </w:r>
      <w:r>
        <w:rPr>
          <w:spacing w:val="-11"/>
          <w:sz w:val="28"/>
        </w:rPr>
        <w:t> </w:t>
      </w:r>
      <w:r>
        <w:rPr>
          <w:sz w:val="28"/>
        </w:rPr>
        <w:t>Article</w:t>
      </w:r>
      <w:r>
        <w:rPr>
          <w:spacing w:val="-11"/>
          <w:sz w:val="28"/>
        </w:rPr>
        <w:t> </w:t>
      </w:r>
      <w:r>
        <w:rPr>
          <w:sz w:val="28"/>
        </w:rPr>
        <w:t>2</w:t>
      </w:r>
      <w:r>
        <w:rPr>
          <w:spacing w:val="-11"/>
          <w:sz w:val="28"/>
        </w:rPr>
        <w:t> </w:t>
      </w:r>
      <w:r>
        <w:rPr>
          <w:sz w:val="28"/>
        </w:rPr>
        <w:t>include</w:t>
      </w:r>
      <w:r>
        <w:rPr>
          <w:spacing w:val="-11"/>
          <w:sz w:val="28"/>
        </w:rPr>
        <w:t> </w:t>
      </w:r>
      <w:r>
        <w:rPr>
          <w:sz w:val="28"/>
        </w:rPr>
        <w:t>the</w:t>
      </w:r>
      <w:r>
        <w:rPr>
          <w:spacing w:val="-11"/>
          <w:sz w:val="28"/>
        </w:rPr>
        <w:t> </w:t>
      </w:r>
      <w:r>
        <w:rPr>
          <w:sz w:val="28"/>
        </w:rPr>
        <w:t>EU</w:t>
      </w:r>
      <w:r>
        <w:rPr>
          <w:spacing w:val="-11"/>
          <w:sz w:val="28"/>
        </w:rPr>
        <w:t> </w:t>
      </w:r>
      <w:r>
        <w:rPr>
          <w:sz w:val="28"/>
        </w:rPr>
        <w:t>Child</w:t>
      </w:r>
      <w:r>
        <w:rPr>
          <w:spacing w:val="-11"/>
          <w:sz w:val="28"/>
        </w:rPr>
        <w:t> </w:t>
      </w:r>
      <w:r>
        <w:rPr>
          <w:sz w:val="28"/>
        </w:rPr>
        <w:t>Sexual</w:t>
      </w:r>
      <w:r>
        <w:rPr>
          <w:spacing w:val="-11"/>
          <w:sz w:val="28"/>
        </w:rPr>
        <w:t> </w:t>
      </w:r>
      <w:r>
        <w:rPr>
          <w:sz w:val="28"/>
        </w:rPr>
        <w:t>Exploitation</w:t>
      </w:r>
      <w:r>
        <w:rPr>
          <w:spacing w:val="-11"/>
          <w:sz w:val="28"/>
        </w:rPr>
        <w:t> </w:t>
      </w:r>
      <w:r>
        <w:rPr>
          <w:sz w:val="28"/>
        </w:rPr>
        <w:t>Directive</w:t>
      </w:r>
      <w:r>
        <w:rPr>
          <w:sz w:val="28"/>
          <w:vertAlign w:val="superscript"/>
        </w:rPr>
        <w:t>361</w:t>
      </w:r>
      <w:r>
        <w:rPr>
          <w:sz w:val="28"/>
          <w:vertAlign w:val="baseline"/>
        </w:rPr>
        <w:t> as well as other relevant EU laws which support victims.</w:t>
      </w:r>
      <w:r>
        <w:rPr>
          <w:sz w:val="28"/>
          <w:vertAlign w:val="superscript"/>
        </w:rPr>
        <w:t>362</w:t>
      </w:r>
    </w:p>
    <w:p>
      <w:pPr>
        <w:pStyle w:val="ListParagraph"/>
        <w:numPr>
          <w:ilvl w:val="1"/>
          <w:numId w:val="7"/>
        </w:numPr>
        <w:tabs>
          <w:tab w:pos="1853" w:val="left" w:leader="none"/>
        </w:tabs>
        <w:spacing w:line="225" w:lineRule="auto" w:before="317" w:after="0"/>
        <w:ind w:left="1853" w:right="1202" w:hanging="720"/>
        <w:jc w:val="left"/>
        <w:rPr>
          <w:sz w:val="28"/>
        </w:rPr>
      </w:pPr>
      <w:r>
        <w:rPr>
          <w:sz w:val="28"/>
        </w:rPr>
        <w:t>The EU Directive recognises that the best interests of the child is a primary consideration for child victims, in line with the EU Charter of Fundamental Rights</w:t>
      </w:r>
      <w:r>
        <w:rPr>
          <w:spacing w:val="-8"/>
          <w:sz w:val="28"/>
        </w:rPr>
        <w:t> </w:t>
      </w:r>
      <w:r>
        <w:rPr>
          <w:sz w:val="28"/>
        </w:rPr>
        <w:t>and</w:t>
      </w:r>
      <w:r>
        <w:rPr>
          <w:spacing w:val="-8"/>
          <w:sz w:val="28"/>
        </w:rPr>
        <w:t> </w:t>
      </w:r>
      <w:r>
        <w:rPr>
          <w:sz w:val="28"/>
        </w:rPr>
        <w:t>UN</w:t>
      </w:r>
      <w:r>
        <w:rPr>
          <w:spacing w:val="-8"/>
          <w:sz w:val="28"/>
        </w:rPr>
        <w:t> </w:t>
      </w:r>
      <w:r>
        <w:rPr>
          <w:sz w:val="28"/>
        </w:rPr>
        <w:t>CRC.</w:t>
      </w:r>
      <w:r>
        <w:rPr>
          <w:sz w:val="28"/>
          <w:vertAlign w:val="superscript"/>
        </w:rPr>
        <w:t>363</w:t>
      </w:r>
      <w:r>
        <w:rPr>
          <w:spacing w:val="-8"/>
          <w:sz w:val="28"/>
          <w:vertAlign w:val="baseline"/>
        </w:rPr>
        <w:t> </w:t>
      </w:r>
      <w:r>
        <w:rPr>
          <w:sz w:val="28"/>
          <w:vertAlign w:val="baseline"/>
        </w:rPr>
        <w:t>It</w:t>
      </w:r>
      <w:r>
        <w:rPr>
          <w:spacing w:val="-8"/>
          <w:sz w:val="28"/>
          <w:vertAlign w:val="baseline"/>
        </w:rPr>
        <w:t> </w:t>
      </w:r>
      <w:r>
        <w:rPr>
          <w:sz w:val="28"/>
          <w:vertAlign w:val="baseline"/>
        </w:rPr>
        <w:t>also</w:t>
      </w:r>
      <w:r>
        <w:rPr>
          <w:spacing w:val="-8"/>
          <w:sz w:val="28"/>
          <w:vertAlign w:val="baseline"/>
        </w:rPr>
        <w:t> </w:t>
      </w:r>
      <w:r>
        <w:rPr>
          <w:sz w:val="28"/>
          <w:vertAlign w:val="baseline"/>
        </w:rPr>
        <w:t>recognises</w:t>
      </w:r>
      <w:r>
        <w:rPr>
          <w:spacing w:val="-8"/>
          <w:sz w:val="28"/>
          <w:vertAlign w:val="baseline"/>
        </w:rPr>
        <w:t> </w:t>
      </w:r>
      <w:r>
        <w:rPr>
          <w:sz w:val="28"/>
          <w:vertAlign w:val="baseline"/>
        </w:rPr>
        <w:t>the</w:t>
      </w:r>
      <w:r>
        <w:rPr>
          <w:spacing w:val="-8"/>
          <w:sz w:val="28"/>
          <w:vertAlign w:val="baseline"/>
        </w:rPr>
        <w:t> </w:t>
      </w:r>
      <w:r>
        <w:rPr>
          <w:sz w:val="28"/>
          <w:vertAlign w:val="baseline"/>
        </w:rPr>
        <w:t>need</w:t>
      </w:r>
      <w:r>
        <w:rPr>
          <w:spacing w:val="-8"/>
          <w:sz w:val="28"/>
          <w:vertAlign w:val="baseline"/>
        </w:rPr>
        <w:t> </w:t>
      </w:r>
      <w:r>
        <w:rPr>
          <w:sz w:val="28"/>
          <w:vertAlign w:val="baseline"/>
        </w:rPr>
        <w:t>for</w:t>
      </w:r>
      <w:r>
        <w:rPr>
          <w:spacing w:val="-8"/>
          <w:sz w:val="28"/>
          <w:vertAlign w:val="baseline"/>
        </w:rPr>
        <w:t> </w:t>
      </w:r>
      <w:r>
        <w:rPr>
          <w:sz w:val="28"/>
          <w:vertAlign w:val="baseline"/>
        </w:rPr>
        <w:t>enhanced</w:t>
      </w:r>
      <w:r>
        <w:rPr>
          <w:spacing w:val="-8"/>
          <w:sz w:val="28"/>
          <w:vertAlign w:val="baseline"/>
        </w:rPr>
        <w:t> </w:t>
      </w:r>
      <w:r>
        <w:rPr>
          <w:sz w:val="28"/>
          <w:vertAlign w:val="baseline"/>
        </w:rPr>
        <w:t>protections</w:t>
      </w:r>
      <w:r>
        <w:rPr>
          <w:spacing w:val="-8"/>
          <w:sz w:val="28"/>
          <w:vertAlign w:val="baseline"/>
        </w:rPr>
        <w:t> </w:t>
      </w:r>
      <w:r>
        <w:rPr>
          <w:sz w:val="28"/>
          <w:vertAlign w:val="baseline"/>
        </w:rPr>
        <w:t>for</w:t>
      </w:r>
    </w:p>
    <w:p>
      <w:pPr>
        <w:pStyle w:val="BodyText"/>
        <w:spacing w:before="17"/>
        <w:rPr>
          <w:sz w:val="20"/>
        </w:rPr>
      </w:pPr>
      <w:r>
        <w:rPr/>
        <mc:AlternateContent>
          <mc:Choice Requires="wps">
            <w:drawing>
              <wp:anchor distT="0" distB="0" distL="0" distR="0" allowOverlap="1" layoutInCell="1" locked="0" behindDoc="1" simplePos="0" relativeHeight="487667200">
                <wp:simplePos x="0" y="0"/>
                <wp:positionH relativeFrom="page">
                  <wp:posOffset>719996</wp:posOffset>
                </wp:positionH>
                <wp:positionV relativeFrom="paragraph">
                  <wp:posOffset>181153</wp:posOffset>
                </wp:positionV>
                <wp:extent cx="6120130" cy="1270"/>
                <wp:effectExtent l="0" t="0" r="0" b="0"/>
                <wp:wrapTopAndBottom/>
                <wp:docPr id="351" name="Graphic 351"/>
                <wp:cNvGraphicFramePr>
                  <a:graphicFrameLocks/>
                </wp:cNvGraphicFramePr>
                <a:graphic>
                  <a:graphicData uri="http://schemas.microsoft.com/office/word/2010/wordprocessingShape">
                    <wps:wsp>
                      <wps:cNvPr id="351" name="Graphic 351"/>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4.264025pt;width:481.9pt;height:.1pt;mso-position-horizontal-relative:page;mso-position-vertical-relative:paragraph;z-index:-15649280;mso-wrap-distance-left:0;mso-wrap-distance-right:0" id="docshape301" coordorigin="1134,285" coordsize="9638,0" path="m10772,285l1134,285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35" w:lineRule="auto" w:before="167" w:after="0"/>
        <w:ind w:left="1853" w:right="1506" w:hanging="720"/>
        <w:jc w:val="left"/>
        <w:rPr>
          <w:sz w:val="18"/>
        </w:rPr>
      </w:pPr>
      <w:r>
        <w:rPr>
          <w:sz w:val="18"/>
        </w:rPr>
        <w:t>Recital</w:t>
      </w:r>
      <w:r>
        <w:rPr>
          <w:spacing w:val="-6"/>
          <w:sz w:val="18"/>
        </w:rPr>
        <w:t> </w:t>
      </w:r>
      <w:r>
        <w:rPr>
          <w:sz w:val="18"/>
        </w:rPr>
        <w:t>17,</w:t>
      </w:r>
      <w:r>
        <w:rPr>
          <w:spacing w:val="-5"/>
          <w:sz w:val="18"/>
        </w:rPr>
        <w:t> </w:t>
      </w:r>
      <w:r>
        <w:rPr>
          <w:sz w:val="18"/>
        </w:rPr>
        <w:t>Directive</w:t>
      </w:r>
      <w:r>
        <w:rPr>
          <w:spacing w:val="-5"/>
          <w:sz w:val="18"/>
        </w:rPr>
        <w:t> </w:t>
      </w:r>
      <w:r>
        <w:rPr>
          <w:sz w:val="18"/>
        </w:rPr>
        <w:t>2012/29/EU,</w:t>
      </w:r>
      <w:r>
        <w:rPr>
          <w:spacing w:val="-5"/>
          <w:sz w:val="18"/>
        </w:rPr>
        <w:t> </w:t>
      </w:r>
      <w:r>
        <w:rPr>
          <w:sz w:val="18"/>
        </w:rPr>
        <w:t>‘EU</w:t>
      </w:r>
      <w:r>
        <w:rPr>
          <w:spacing w:val="-5"/>
          <w:sz w:val="18"/>
        </w:rPr>
        <w:t> </w:t>
      </w:r>
      <w:r>
        <w:rPr>
          <w:sz w:val="18"/>
        </w:rPr>
        <w:t>Parliament</w:t>
      </w:r>
      <w:r>
        <w:rPr>
          <w:spacing w:val="-5"/>
          <w:sz w:val="18"/>
        </w:rPr>
        <w:t> </w:t>
      </w:r>
      <w:r>
        <w:rPr>
          <w:sz w:val="18"/>
        </w:rPr>
        <w:t>and</w:t>
      </w:r>
      <w:r>
        <w:rPr>
          <w:spacing w:val="-6"/>
          <w:sz w:val="18"/>
        </w:rPr>
        <w:t> </w:t>
      </w:r>
      <w:r>
        <w:rPr>
          <w:sz w:val="18"/>
        </w:rPr>
        <w:t>Council</w:t>
      </w:r>
      <w:r>
        <w:rPr>
          <w:spacing w:val="-6"/>
          <w:sz w:val="18"/>
        </w:rPr>
        <w:t> </w:t>
      </w:r>
      <w:r>
        <w:rPr>
          <w:sz w:val="18"/>
        </w:rPr>
        <w:t>Directive</w:t>
      </w:r>
      <w:r>
        <w:rPr>
          <w:spacing w:val="-5"/>
          <w:sz w:val="18"/>
        </w:rPr>
        <w:t> </w:t>
      </w:r>
      <w:r>
        <w:rPr>
          <w:sz w:val="18"/>
        </w:rPr>
        <w:t>establishing</w:t>
      </w:r>
      <w:r>
        <w:rPr>
          <w:spacing w:val="-5"/>
          <w:sz w:val="18"/>
        </w:rPr>
        <w:t> </w:t>
      </w:r>
      <w:r>
        <w:rPr>
          <w:sz w:val="18"/>
        </w:rPr>
        <w:t>minimum</w:t>
      </w:r>
      <w:r>
        <w:rPr>
          <w:spacing w:val="-5"/>
          <w:sz w:val="18"/>
        </w:rPr>
        <w:t> </w:t>
      </w:r>
      <w:r>
        <w:rPr>
          <w:sz w:val="18"/>
        </w:rPr>
        <w:t>standards</w:t>
      </w:r>
      <w:r>
        <w:rPr>
          <w:spacing w:val="-6"/>
          <w:sz w:val="18"/>
        </w:rPr>
        <w:t> </w:t>
      </w:r>
      <w:r>
        <w:rPr>
          <w:sz w:val="18"/>
        </w:rPr>
        <w:t>on</w:t>
      </w:r>
      <w:r>
        <w:rPr>
          <w:spacing w:val="-6"/>
          <w:sz w:val="18"/>
        </w:rPr>
        <w:t> </w:t>
      </w:r>
      <w:r>
        <w:rPr>
          <w:sz w:val="18"/>
        </w:rPr>
        <w:t>the</w:t>
      </w:r>
      <w:r>
        <w:rPr>
          <w:spacing w:val="-5"/>
          <w:sz w:val="18"/>
        </w:rPr>
        <w:t> </w:t>
      </w:r>
      <w:r>
        <w:rPr>
          <w:sz w:val="18"/>
        </w:rPr>
        <w:t>rights, support and protection of victims of crime’, 25 October 2012.</w:t>
      </w:r>
    </w:p>
    <w:p>
      <w:pPr>
        <w:pStyle w:val="ListParagraph"/>
        <w:numPr>
          <w:ilvl w:val="0"/>
          <w:numId w:val="9"/>
        </w:numPr>
        <w:tabs>
          <w:tab w:pos="1853" w:val="left" w:leader="none"/>
        </w:tabs>
        <w:spacing w:line="216" w:lineRule="exact" w:before="0" w:after="0"/>
        <w:ind w:left="1853" w:right="0" w:hanging="720"/>
        <w:jc w:val="left"/>
        <w:rPr>
          <w:sz w:val="18"/>
        </w:rPr>
      </w:pPr>
      <w:r>
        <w:rPr>
          <w:sz w:val="18"/>
        </w:rPr>
        <w:t>NI</w:t>
      </w:r>
      <w:r>
        <w:rPr>
          <w:spacing w:val="-4"/>
          <w:sz w:val="18"/>
        </w:rPr>
        <w:t> </w:t>
      </w:r>
      <w:r>
        <w:rPr>
          <w:sz w:val="18"/>
        </w:rPr>
        <w:t>Human</w:t>
      </w:r>
      <w:r>
        <w:rPr>
          <w:spacing w:val="-4"/>
          <w:sz w:val="18"/>
        </w:rPr>
        <w:t> </w:t>
      </w:r>
      <w:r>
        <w:rPr>
          <w:sz w:val="18"/>
        </w:rPr>
        <w:t>Rights</w:t>
      </w:r>
      <w:r>
        <w:rPr>
          <w:spacing w:val="-4"/>
          <w:sz w:val="18"/>
        </w:rPr>
        <w:t> </w:t>
      </w:r>
      <w:r>
        <w:rPr>
          <w:sz w:val="18"/>
        </w:rPr>
        <w:t>Commission,</w:t>
      </w:r>
      <w:r>
        <w:rPr>
          <w:spacing w:val="-3"/>
          <w:sz w:val="18"/>
        </w:rPr>
        <w:t> </w:t>
      </w:r>
      <w:r>
        <w:rPr>
          <w:sz w:val="18"/>
        </w:rPr>
        <w:t>‘Submission</w:t>
      </w:r>
      <w:r>
        <w:rPr>
          <w:spacing w:val="-4"/>
          <w:sz w:val="18"/>
        </w:rPr>
        <w:t> </w:t>
      </w:r>
      <w:r>
        <w:rPr>
          <w:sz w:val="18"/>
        </w:rPr>
        <w:t>to</w:t>
      </w:r>
      <w:r>
        <w:rPr>
          <w:spacing w:val="-4"/>
          <w:sz w:val="18"/>
        </w:rPr>
        <w:t> </w:t>
      </w:r>
      <w:r>
        <w:rPr>
          <w:sz w:val="18"/>
        </w:rPr>
        <w:t>the</w:t>
      </w:r>
      <w:r>
        <w:rPr>
          <w:spacing w:val="-3"/>
          <w:sz w:val="18"/>
        </w:rPr>
        <w:t> </w:t>
      </w:r>
      <w:r>
        <w:rPr>
          <w:sz w:val="18"/>
        </w:rPr>
        <w:t>Department</w:t>
      </w:r>
      <w:r>
        <w:rPr>
          <w:spacing w:val="-3"/>
          <w:sz w:val="18"/>
        </w:rPr>
        <w:t> </w:t>
      </w:r>
      <w:r>
        <w:rPr>
          <w:sz w:val="18"/>
        </w:rPr>
        <w:t>of</w:t>
      </w:r>
      <w:r>
        <w:rPr>
          <w:spacing w:val="-5"/>
          <w:sz w:val="18"/>
        </w:rPr>
        <w:t> </w:t>
      </w:r>
      <w:r>
        <w:rPr>
          <w:sz w:val="18"/>
        </w:rPr>
        <w:t>Finance</w:t>
      </w:r>
      <w:r>
        <w:rPr>
          <w:spacing w:val="-3"/>
          <w:sz w:val="18"/>
        </w:rPr>
        <w:t> </w:t>
      </w:r>
      <w:r>
        <w:rPr>
          <w:sz w:val="18"/>
        </w:rPr>
        <w:t>consultation</w:t>
      </w:r>
      <w:r>
        <w:rPr>
          <w:spacing w:val="-4"/>
          <w:sz w:val="18"/>
        </w:rPr>
        <w:t> </w:t>
      </w:r>
      <w:r>
        <w:rPr>
          <w:sz w:val="18"/>
        </w:rPr>
        <w:t>on</w:t>
      </w:r>
      <w:r>
        <w:rPr>
          <w:spacing w:val="-4"/>
          <w:sz w:val="18"/>
        </w:rPr>
        <w:t> </w:t>
      </w:r>
      <w:r>
        <w:rPr>
          <w:sz w:val="18"/>
        </w:rPr>
        <w:t>marriage</w:t>
      </w:r>
      <w:r>
        <w:rPr>
          <w:spacing w:val="-3"/>
          <w:sz w:val="18"/>
        </w:rPr>
        <w:t> </w:t>
      </w:r>
      <w:r>
        <w:rPr>
          <w:sz w:val="18"/>
        </w:rPr>
        <w:t>law’</w:t>
      </w:r>
      <w:r>
        <w:rPr>
          <w:spacing w:val="-3"/>
          <w:sz w:val="18"/>
        </w:rPr>
        <w:t> </w:t>
      </w:r>
      <w:r>
        <w:rPr>
          <w:sz w:val="18"/>
        </w:rPr>
        <w:t>(NIHRC,</w:t>
      </w:r>
      <w:r>
        <w:rPr>
          <w:spacing w:val="-3"/>
          <w:sz w:val="18"/>
        </w:rPr>
        <w:t> </w:t>
      </w:r>
      <w:r>
        <w:rPr>
          <w:spacing w:val="-2"/>
          <w:sz w:val="18"/>
        </w:rPr>
        <w:t>2022).</w:t>
      </w:r>
    </w:p>
    <w:p>
      <w:pPr>
        <w:pStyle w:val="ListParagraph"/>
        <w:numPr>
          <w:ilvl w:val="0"/>
          <w:numId w:val="9"/>
        </w:numPr>
        <w:tabs>
          <w:tab w:pos="1853" w:val="left" w:leader="none"/>
        </w:tabs>
        <w:spacing w:line="216" w:lineRule="exact" w:before="0" w:after="0"/>
        <w:ind w:left="1853" w:right="0" w:hanging="720"/>
        <w:jc w:val="left"/>
        <w:rPr>
          <w:sz w:val="18"/>
        </w:rPr>
      </w:pPr>
      <w:r>
        <w:rPr>
          <w:sz w:val="18"/>
        </w:rPr>
        <w:t>Department</w:t>
      </w:r>
      <w:r>
        <w:rPr>
          <w:spacing w:val="-6"/>
          <w:sz w:val="18"/>
        </w:rPr>
        <w:t> </w:t>
      </w:r>
      <w:r>
        <w:rPr>
          <w:sz w:val="18"/>
        </w:rPr>
        <w:t>of</w:t>
      </w:r>
      <w:r>
        <w:rPr>
          <w:spacing w:val="-7"/>
          <w:sz w:val="18"/>
        </w:rPr>
        <w:t> </w:t>
      </w:r>
      <w:r>
        <w:rPr>
          <w:sz w:val="18"/>
        </w:rPr>
        <w:t>Finance,</w:t>
      </w:r>
      <w:r>
        <w:rPr>
          <w:spacing w:val="-5"/>
          <w:sz w:val="18"/>
        </w:rPr>
        <w:t> </w:t>
      </w:r>
      <w:r>
        <w:rPr>
          <w:sz w:val="18"/>
        </w:rPr>
        <w:t>‘Marriage</w:t>
      </w:r>
      <w:r>
        <w:rPr>
          <w:spacing w:val="-6"/>
          <w:sz w:val="18"/>
        </w:rPr>
        <w:t> </w:t>
      </w:r>
      <w:r>
        <w:rPr>
          <w:sz w:val="18"/>
        </w:rPr>
        <w:t>Law</w:t>
      </w:r>
      <w:r>
        <w:rPr>
          <w:spacing w:val="-6"/>
          <w:sz w:val="18"/>
        </w:rPr>
        <w:t> </w:t>
      </w:r>
      <w:r>
        <w:rPr>
          <w:sz w:val="18"/>
        </w:rPr>
        <w:t>Consultation:</w:t>
      </w:r>
      <w:r>
        <w:rPr>
          <w:spacing w:val="-5"/>
          <w:sz w:val="18"/>
        </w:rPr>
        <w:t> </w:t>
      </w:r>
      <w:r>
        <w:rPr>
          <w:sz w:val="18"/>
        </w:rPr>
        <w:t>Results</w:t>
      </w:r>
      <w:r>
        <w:rPr>
          <w:spacing w:val="-7"/>
          <w:sz w:val="18"/>
        </w:rPr>
        <w:t> </w:t>
      </w:r>
      <w:r>
        <w:rPr>
          <w:sz w:val="18"/>
        </w:rPr>
        <w:t>and</w:t>
      </w:r>
      <w:r>
        <w:rPr>
          <w:spacing w:val="-7"/>
          <w:sz w:val="18"/>
        </w:rPr>
        <w:t> </w:t>
      </w:r>
      <w:r>
        <w:rPr>
          <w:sz w:val="18"/>
        </w:rPr>
        <w:t>Analysis’</w:t>
      </w:r>
      <w:r>
        <w:rPr>
          <w:spacing w:val="-5"/>
          <w:sz w:val="18"/>
        </w:rPr>
        <w:t> </w:t>
      </w:r>
      <w:r>
        <w:rPr>
          <w:sz w:val="18"/>
        </w:rPr>
        <w:t>(DoF,</w:t>
      </w:r>
      <w:r>
        <w:rPr>
          <w:spacing w:val="-6"/>
          <w:sz w:val="18"/>
        </w:rPr>
        <w:t> </w:t>
      </w:r>
      <w:r>
        <w:rPr>
          <w:spacing w:val="-2"/>
          <w:sz w:val="18"/>
        </w:rPr>
        <w:t>2022).</w:t>
      </w:r>
    </w:p>
    <w:p>
      <w:pPr>
        <w:pStyle w:val="ListParagraph"/>
        <w:numPr>
          <w:ilvl w:val="0"/>
          <w:numId w:val="9"/>
        </w:numPr>
        <w:tabs>
          <w:tab w:pos="1853" w:val="left" w:leader="none"/>
        </w:tabs>
        <w:spacing w:line="235" w:lineRule="auto" w:before="1" w:after="0"/>
        <w:ind w:left="1853" w:right="1399" w:hanging="720"/>
        <w:jc w:val="left"/>
        <w:rPr>
          <w:sz w:val="18"/>
        </w:rPr>
      </w:pPr>
      <w:r>
        <w:rPr>
          <w:sz w:val="18"/>
        </w:rPr>
        <w:t>Department</w:t>
      </w:r>
      <w:r>
        <w:rPr>
          <w:spacing w:val="-6"/>
          <w:sz w:val="18"/>
        </w:rPr>
        <w:t> </w:t>
      </w:r>
      <w:r>
        <w:rPr>
          <w:sz w:val="18"/>
        </w:rPr>
        <w:t>of</w:t>
      </w:r>
      <w:r>
        <w:rPr>
          <w:spacing w:val="-6"/>
          <w:sz w:val="18"/>
        </w:rPr>
        <w:t> </w:t>
      </w:r>
      <w:r>
        <w:rPr>
          <w:sz w:val="18"/>
        </w:rPr>
        <w:t>Finance,</w:t>
      </w:r>
      <w:r>
        <w:rPr>
          <w:spacing w:val="-6"/>
          <w:sz w:val="18"/>
        </w:rPr>
        <w:t> </w:t>
      </w:r>
      <w:r>
        <w:rPr>
          <w:sz w:val="18"/>
        </w:rPr>
        <w:t>‘Marriage</w:t>
      </w:r>
      <w:r>
        <w:rPr>
          <w:spacing w:val="-6"/>
          <w:sz w:val="18"/>
        </w:rPr>
        <w:t> </w:t>
      </w:r>
      <w:r>
        <w:rPr>
          <w:sz w:val="18"/>
        </w:rPr>
        <w:t>Law:</w:t>
      </w:r>
      <w:r>
        <w:rPr>
          <w:spacing w:val="-6"/>
          <w:sz w:val="18"/>
        </w:rPr>
        <w:t> </w:t>
      </w:r>
      <w:r>
        <w:rPr>
          <w:sz w:val="18"/>
        </w:rPr>
        <w:t>Written</w:t>
      </w:r>
      <w:r>
        <w:rPr>
          <w:spacing w:val="-6"/>
          <w:sz w:val="18"/>
        </w:rPr>
        <w:t> </w:t>
      </w:r>
      <w:r>
        <w:rPr>
          <w:sz w:val="18"/>
        </w:rPr>
        <w:t>Ministerial</w:t>
      </w:r>
      <w:r>
        <w:rPr>
          <w:spacing w:val="-6"/>
          <w:sz w:val="18"/>
        </w:rPr>
        <w:t> </w:t>
      </w:r>
      <w:r>
        <w:rPr>
          <w:sz w:val="18"/>
        </w:rPr>
        <w:t>Statement</w:t>
      </w:r>
      <w:r>
        <w:rPr>
          <w:spacing w:val="-6"/>
          <w:sz w:val="18"/>
        </w:rPr>
        <w:t> </w:t>
      </w:r>
      <w:r>
        <w:rPr>
          <w:sz w:val="18"/>
        </w:rPr>
        <w:t>-</w:t>
      </w:r>
      <w:r>
        <w:rPr>
          <w:spacing w:val="-6"/>
          <w:sz w:val="18"/>
        </w:rPr>
        <w:t> </w:t>
      </w:r>
      <w:r>
        <w:rPr>
          <w:sz w:val="18"/>
        </w:rPr>
        <w:t>Conor</w:t>
      </w:r>
      <w:r>
        <w:rPr>
          <w:spacing w:val="-6"/>
          <w:sz w:val="18"/>
        </w:rPr>
        <w:t> </w:t>
      </w:r>
      <w:r>
        <w:rPr>
          <w:sz w:val="18"/>
        </w:rPr>
        <w:t>Murphy</w:t>
      </w:r>
      <w:r>
        <w:rPr>
          <w:spacing w:val="-6"/>
          <w:sz w:val="18"/>
        </w:rPr>
        <w:t> </w:t>
      </w:r>
      <w:r>
        <w:rPr>
          <w:sz w:val="18"/>
        </w:rPr>
        <w:t>MLA</w:t>
      </w:r>
      <w:r>
        <w:rPr>
          <w:spacing w:val="-6"/>
          <w:sz w:val="18"/>
        </w:rPr>
        <w:t> </w:t>
      </w:r>
      <w:r>
        <w:rPr>
          <w:sz w:val="18"/>
        </w:rPr>
        <w:t>-</w:t>
      </w:r>
      <w:r>
        <w:rPr>
          <w:spacing w:val="-6"/>
          <w:sz w:val="18"/>
        </w:rPr>
        <w:t> </w:t>
      </w:r>
      <w:r>
        <w:rPr>
          <w:sz w:val="18"/>
        </w:rPr>
        <w:t>Minister</w:t>
      </w:r>
      <w:r>
        <w:rPr>
          <w:spacing w:val="-6"/>
          <w:sz w:val="18"/>
        </w:rPr>
        <w:t> </w:t>
      </w:r>
      <w:r>
        <w:rPr>
          <w:sz w:val="18"/>
        </w:rPr>
        <w:t>of</w:t>
      </w:r>
      <w:r>
        <w:rPr>
          <w:spacing w:val="-6"/>
          <w:sz w:val="18"/>
        </w:rPr>
        <w:t> </w:t>
      </w:r>
      <w:r>
        <w:rPr>
          <w:sz w:val="18"/>
        </w:rPr>
        <w:t>Finance’</w:t>
      </w:r>
      <w:r>
        <w:rPr>
          <w:spacing w:val="-6"/>
          <w:sz w:val="18"/>
        </w:rPr>
        <w:t> </w:t>
      </w:r>
      <w:r>
        <w:rPr>
          <w:sz w:val="18"/>
        </w:rPr>
        <w:t>(DoF, </w:t>
      </w:r>
      <w:r>
        <w:rPr>
          <w:spacing w:val="-2"/>
          <w:sz w:val="18"/>
        </w:rPr>
        <w:t>2022).</w:t>
      </w:r>
    </w:p>
    <w:p>
      <w:pPr>
        <w:pStyle w:val="ListParagraph"/>
        <w:numPr>
          <w:ilvl w:val="0"/>
          <w:numId w:val="9"/>
        </w:numPr>
        <w:tabs>
          <w:tab w:pos="1853" w:val="left" w:leader="none"/>
        </w:tabs>
        <w:spacing w:line="216" w:lineRule="exact" w:before="0" w:after="0"/>
        <w:ind w:left="1853" w:right="0" w:hanging="720"/>
        <w:jc w:val="left"/>
        <w:rPr>
          <w:sz w:val="18"/>
        </w:rPr>
      </w:pPr>
      <w:r>
        <w:rPr>
          <w:sz w:val="18"/>
        </w:rPr>
        <w:t>Email</w:t>
      </w:r>
      <w:r>
        <w:rPr>
          <w:spacing w:val="-6"/>
          <w:sz w:val="18"/>
        </w:rPr>
        <w:t> </w:t>
      </w:r>
      <w:r>
        <w:rPr>
          <w:sz w:val="18"/>
        </w:rPr>
        <w:t>correspondence</w:t>
      </w:r>
      <w:r>
        <w:rPr>
          <w:spacing w:val="-3"/>
          <w:sz w:val="18"/>
        </w:rPr>
        <w:t> </w:t>
      </w:r>
      <w:r>
        <w:rPr>
          <w:sz w:val="18"/>
        </w:rPr>
        <w:t>from</w:t>
      </w:r>
      <w:r>
        <w:rPr>
          <w:spacing w:val="-2"/>
          <w:sz w:val="18"/>
        </w:rPr>
        <w:t> </w:t>
      </w:r>
      <w:r>
        <w:rPr>
          <w:sz w:val="18"/>
        </w:rPr>
        <w:t>the</w:t>
      </w:r>
      <w:r>
        <w:rPr>
          <w:spacing w:val="-3"/>
          <w:sz w:val="18"/>
        </w:rPr>
        <w:t> </w:t>
      </w:r>
      <w:r>
        <w:rPr>
          <w:sz w:val="18"/>
        </w:rPr>
        <w:t>Department</w:t>
      </w:r>
      <w:r>
        <w:rPr>
          <w:spacing w:val="-3"/>
          <w:sz w:val="18"/>
        </w:rPr>
        <w:t> </w:t>
      </w:r>
      <w:r>
        <w:rPr>
          <w:sz w:val="18"/>
        </w:rPr>
        <w:t>of</w:t>
      </w:r>
      <w:r>
        <w:rPr>
          <w:spacing w:val="-3"/>
          <w:sz w:val="18"/>
        </w:rPr>
        <w:t> </w:t>
      </w:r>
      <w:r>
        <w:rPr>
          <w:sz w:val="18"/>
        </w:rPr>
        <w:t>Finance</w:t>
      </w:r>
      <w:r>
        <w:rPr>
          <w:spacing w:val="-3"/>
          <w:sz w:val="18"/>
        </w:rPr>
        <w:t> </w:t>
      </w:r>
      <w:r>
        <w:rPr>
          <w:sz w:val="18"/>
        </w:rPr>
        <w:t>to</w:t>
      </w:r>
      <w:r>
        <w:rPr>
          <w:spacing w:val="-3"/>
          <w:sz w:val="18"/>
        </w:rPr>
        <w:t> </w:t>
      </w:r>
      <w:r>
        <w:rPr>
          <w:sz w:val="18"/>
        </w:rPr>
        <w:t>the</w:t>
      </w:r>
      <w:r>
        <w:rPr>
          <w:spacing w:val="-3"/>
          <w:sz w:val="18"/>
        </w:rPr>
        <w:t> </w:t>
      </w:r>
      <w:r>
        <w:rPr>
          <w:sz w:val="18"/>
        </w:rPr>
        <w:t>NI</w:t>
      </w:r>
      <w:r>
        <w:rPr>
          <w:spacing w:val="-3"/>
          <w:sz w:val="18"/>
        </w:rPr>
        <w:t> </w:t>
      </w:r>
      <w:r>
        <w:rPr>
          <w:sz w:val="18"/>
        </w:rPr>
        <w:t>Human</w:t>
      </w:r>
      <w:r>
        <w:rPr>
          <w:spacing w:val="-3"/>
          <w:sz w:val="18"/>
        </w:rPr>
        <w:t> </w:t>
      </w:r>
      <w:r>
        <w:rPr>
          <w:sz w:val="18"/>
        </w:rPr>
        <w:t>Rights</w:t>
      </w:r>
      <w:r>
        <w:rPr>
          <w:spacing w:val="-4"/>
          <w:sz w:val="18"/>
        </w:rPr>
        <w:t> </w:t>
      </w:r>
      <w:r>
        <w:rPr>
          <w:sz w:val="18"/>
        </w:rPr>
        <w:t>Commission,</w:t>
      </w:r>
      <w:r>
        <w:rPr>
          <w:spacing w:val="-2"/>
          <w:sz w:val="18"/>
        </w:rPr>
        <w:t> </w:t>
      </w:r>
      <w:r>
        <w:rPr>
          <w:sz w:val="18"/>
        </w:rPr>
        <w:t>27</w:t>
      </w:r>
      <w:r>
        <w:rPr>
          <w:spacing w:val="-3"/>
          <w:sz w:val="18"/>
        </w:rPr>
        <w:t> </w:t>
      </w:r>
      <w:r>
        <w:rPr>
          <w:sz w:val="18"/>
        </w:rPr>
        <w:t>March</w:t>
      </w:r>
      <w:r>
        <w:rPr>
          <w:spacing w:val="-3"/>
          <w:sz w:val="18"/>
        </w:rPr>
        <w:t> </w:t>
      </w:r>
      <w:r>
        <w:rPr>
          <w:spacing w:val="-2"/>
          <w:sz w:val="18"/>
        </w:rPr>
        <w:t>2024.</w:t>
      </w:r>
    </w:p>
    <w:p>
      <w:pPr>
        <w:pStyle w:val="ListParagraph"/>
        <w:numPr>
          <w:ilvl w:val="0"/>
          <w:numId w:val="9"/>
        </w:numPr>
        <w:tabs>
          <w:tab w:pos="1853" w:val="left" w:leader="none"/>
        </w:tabs>
        <w:spacing w:line="235" w:lineRule="auto" w:before="2" w:after="0"/>
        <w:ind w:left="1853" w:right="1686" w:hanging="720"/>
        <w:jc w:val="left"/>
        <w:rPr>
          <w:sz w:val="18"/>
        </w:rPr>
      </w:pPr>
      <w:r>
        <w:rPr>
          <w:sz w:val="18"/>
        </w:rPr>
        <w:t>Directive</w:t>
      </w:r>
      <w:r>
        <w:rPr>
          <w:spacing w:val="-5"/>
          <w:sz w:val="18"/>
        </w:rPr>
        <w:t> </w:t>
      </w:r>
      <w:r>
        <w:rPr>
          <w:sz w:val="18"/>
        </w:rPr>
        <w:t>2011/92/EU,</w:t>
      </w:r>
      <w:r>
        <w:rPr>
          <w:spacing w:val="-5"/>
          <w:sz w:val="18"/>
        </w:rPr>
        <w:t> </w:t>
      </w:r>
      <w:r>
        <w:rPr>
          <w:sz w:val="18"/>
        </w:rPr>
        <w:t>‘Parliament</w:t>
      </w:r>
      <w:r>
        <w:rPr>
          <w:spacing w:val="-5"/>
          <w:sz w:val="18"/>
        </w:rPr>
        <w:t> </w:t>
      </w:r>
      <w:r>
        <w:rPr>
          <w:sz w:val="18"/>
        </w:rPr>
        <w:t>and</w:t>
      </w:r>
      <w:r>
        <w:rPr>
          <w:spacing w:val="-6"/>
          <w:sz w:val="18"/>
        </w:rPr>
        <w:t> </w:t>
      </w:r>
      <w:r>
        <w:rPr>
          <w:sz w:val="18"/>
        </w:rPr>
        <w:t>Council</w:t>
      </w:r>
      <w:r>
        <w:rPr>
          <w:spacing w:val="-6"/>
          <w:sz w:val="18"/>
        </w:rPr>
        <w:t> </w:t>
      </w:r>
      <w:r>
        <w:rPr>
          <w:sz w:val="18"/>
        </w:rPr>
        <w:t>Directive</w:t>
      </w:r>
      <w:r>
        <w:rPr>
          <w:spacing w:val="-5"/>
          <w:sz w:val="18"/>
        </w:rPr>
        <w:t> </w:t>
      </w:r>
      <w:r>
        <w:rPr>
          <w:sz w:val="18"/>
        </w:rPr>
        <w:t>on</w:t>
      </w:r>
      <w:r>
        <w:rPr>
          <w:spacing w:val="-6"/>
          <w:sz w:val="18"/>
        </w:rPr>
        <w:t> </w:t>
      </w:r>
      <w:r>
        <w:rPr>
          <w:sz w:val="18"/>
        </w:rPr>
        <w:t>Combating</w:t>
      </w:r>
      <w:r>
        <w:rPr>
          <w:spacing w:val="-5"/>
          <w:sz w:val="18"/>
        </w:rPr>
        <w:t> </w:t>
      </w:r>
      <w:r>
        <w:rPr>
          <w:sz w:val="18"/>
        </w:rPr>
        <w:t>the</w:t>
      </w:r>
      <w:r>
        <w:rPr>
          <w:spacing w:val="-5"/>
          <w:sz w:val="18"/>
        </w:rPr>
        <w:t> </w:t>
      </w:r>
      <w:r>
        <w:rPr>
          <w:sz w:val="18"/>
        </w:rPr>
        <w:t>Sexual</w:t>
      </w:r>
      <w:r>
        <w:rPr>
          <w:spacing w:val="-6"/>
          <w:sz w:val="18"/>
        </w:rPr>
        <w:t> </w:t>
      </w:r>
      <w:r>
        <w:rPr>
          <w:sz w:val="18"/>
        </w:rPr>
        <w:t>Abuse</w:t>
      </w:r>
      <w:r>
        <w:rPr>
          <w:spacing w:val="-5"/>
          <w:sz w:val="18"/>
        </w:rPr>
        <w:t> </w:t>
      </w:r>
      <w:r>
        <w:rPr>
          <w:sz w:val="18"/>
        </w:rPr>
        <w:t>and</w:t>
      </w:r>
      <w:r>
        <w:rPr>
          <w:spacing w:val="-6"/>
          <w:sz w:val="18"/>
        </w:rPr>
        <w:t> </w:t>
      </w:r>
      <w:r>
        <w:rPr>
          <w:sz w:val="18"/>
        </w:rPr>
        <w:t>Sexual</w:t>
      </w:r>
      <w:r>
        <w:rPr>
          <w:spacing w:val="-6"/>
          <w:sz w:val="18"/>
        </w:rPr>
        <w:t> </w:t>
      </w:r>
      <w:r>
        <w:rPr>
          <w:sz w:val="18"/>
        </w:rPr>
        <w:t>Exploitation</w:t>
      </w:r>
      <w:r>
        <w:rPr>
          <w:spacing w:val="-6"/>
          <w:sz w:val="18"/>
        </w:rPr>
        <w:t> </w:t>
      </w:r>
      <w:r>
        <w:rPr>
          <w:sz w:val="18"/>
        </w:rPr>
        <w:t>of Children and Child Pornography’, 13 December 2011.</w:t>
      </w:r>
    </w:p>
    <w:p>
      <w:pPr>
        <w:pStyle w:val="ListParagraph"/>
        <w:numPr>
          <w:ilvl w:val="0"/>
          <w:numId w:val="9"/>
        </w:numPr>
        <w:tabs>
          <w:tab w:pos="1853" w:val="left" w:leader="none"/>
        </w:tabs>
        <w:spacing w:line="235" w:lineRule="auto" w:before="1" w:after="0"/>
        <w:ind w:left="1853" w:right="1303" w:hanging="720"/>
        <w:jc w:val="left"/>
        <w:rPr>
          <w:sz w:val="18"/>
        </w:rPr>
      </w:pPr>
      <w:r>
        <w:rPr>
          <w:sz w:val="18"/>
        </w:rPr>
        <w:t>Directive</w:t>
      </w:r>
      <w:r>
        <w:rPr>
          <w:spacing w:val="-4"/>
          <w:sz w:val="18"/>
        </w:rPr>
        <w:t> </w:t>
      </w:r>
      <w:r>
        <w:rPr>
          <w:sz w:val="18"/>
        </w:rPr>
        <w:t>2012/29/EU,</w:t>
      </w:r>
      <w:r>
        <w:rPr>
          <w:spacing w:val="-4"/>
          <w:sz w:val="18"/>
        </w:rPr>
        <w:t> </w:t>
      </w:r>
      <w:r>
        <w:rPr>
          <w:sz w:val="18"/>
        </w:rPr>
        <w:t>‘EU</w:t>
      </w:r>
      <w:r>
        <w:rPr>
          <w:spacing w:val="-4"/>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Directive</w:t>
      </w:r>
      <w:r>
        <w:rPr>
          <w:spacing w:val="-4"/>
          <w:sz w:val="18"/>
        </w:rPr>
        <w:t> </w:t>
      </w:r>
      <w:r>
        <w:rPr>
          <w:sz w:val="18"/>
        </w:rPr>
        <w:t>Establishing</w:t>
      </w:r>
      <w:r>
        <w:rPr>
          <w:spacing w:val="-4"/>
          <w:sz w:val="18"/>
        </w:rPr>
        <w:t> </w:t>
      </w:r>
      <w:r>
        <w:rPr>
          <w:sz w:val="18"/>
        </w:rPr>
        <w:t>Minimum</w:t>
      </w:r>
      <w:r>
        <w:rPr>
          <w:spacing w:val="-4"/>
          <w:sz w:val="18"/>
        </w:rPr>
        <w:t> </w:t>
      </w:r>
      <w:r>
        <w:rPr>
          <w:sz w:val="18"/>
        </w:rPr>
        <w:t>Standards</w:t>
      </w:r>
      <w:r>
        <w:rPr>
          <w:spacing w:val="-5"/>
          <w:sz w:val="18"/>
        </w:rPr>
        <w:t> </w:t>
      </w:r>
      <w:r>
        <w:rPr>
          <w:sz w:val="18"/>
        </w:rPr>
        <w:t>on</w:t>
      </w:r>
      <w:r>
        <w:rPr>
          <w:spacing w:val="-5"/>
          <w:sz w:val="18"/>
        </w:rPr>
        <w:t> </w:t>
      </w:r>
      <w:r>
        <w:rPr>
          <w:sz w:val="18"/>
        </w:rPr>
        <w:t>the</w:t>
      </w:r>
      <w:r>
        <w:rPr>
          <w:spacing w:val="-4"/>
          <w:sz w:val="18"/>
        </w:rPr>
        <w:t> </w:t>
      </w:r>
      <w:r>
        <w:rPr>
          <w:sz w:val="18"/>
        </w:rPr>
        <w:t>Rights,</w:t>
      </w:r>
      <w:r>
        <w:rPr>
          <w:spacing w:val="-4"/>
          <w:sz w:val="18"/>
        </w:rPr>
        <w:t> </w:t>
      </w:r>
      <w:r>
        <w:rPr>
          <w:sz w:val="18"/>
        </w:rPr>
        <w:t>Support</w:t>
      </w:r>
      <w:r>
        <w:rPr>
          <w:spacing w:val="-4"/>
          <w:sz w:val="18"/>
        </w:rPr>
        <w:t> </w:t>
      </w:r>
      <w:r>
        <w:rPr>
          <w:sz w:val="18"/>
        </w:rPr>
        <w:t>and Protection of Victims of Crime’, 25 October 2012; Directive 2011/36/EU, ‘Council Directive on Preventing and</w:t>
      </w:r>
      <w:r>
        <w:rPr>
          <w:sz w:val="18"/>
        </w:rPr>
        <w:t> Combating</w:t>
      </w:r>
      <w:r>
        <w:rPr>
          <w:spacing w:val="-6"/>
          <w:sz w:val="18"/>
        </w:rPr>
        <w:t> </w:t>
      </w:r>
      <w:r>
        <w:rPr>
          <w:sz w:val="18"/>
        </w:rPr>
        <w:t>Trafficking</w:t>
      </w:r>
      <w:r>
        <w:rPr>
          <w:spacing w:val="-6"/>
          <w:sz w:val="18"/>
        </w:rPr>
        <w:t> </w:t>
      </w:r>
      <w:r>
        <w:rPr>
          <w:sz w:val="18"/>
        </w:rPr>
        <w:t>in</w:t>
      </w:r>
      <w:r>
        <w:rPr>
          <w:spacing w:val="-7"/>
          <w:sz w:val="18"/>
        </w:rPr>
        <w:t> </w:t>
      </w:r>
      <w:r>
        <w:rPr>
          <w:sz w:val="18"/>
        </w:rPr>
        <w:t>Human</w:t>
      </w:r>
      <w:r>
        <w:rPr>
          <w:spacing w:val="-7"/>
          <w:sz w:val="18"/>
        </w:rPr>
        <w:t> </w:t>
      </w:r>
      <w:r>
        <w:rPr>
          <w:sz w:val="18"/>
        </w:rPr>
        <w:t>Beings</w:t>
      </w:r>
      <w:r>
        <w:rPr>
          <w:spacing w:val="-7"/>
          <w:sz w:val="18"/>
        </w:rPr>
        <w:t> </w:t>
      </w:r>
      <w:r>
        <w:rPr>
          <w:sz w:val="18"/>
        </w:rPr>
        <w:t>and</w:t>
      </w:r>
      <w:r>
        <w:rPr>
          <w:spacing w:val="-7"/>
          <w:sz w:val="18"/>
        </w:rPr>
        <w:t> </w:t>
      </w:r>
      <w:r>
        <w:rPr>
          <w:sz w:val="18"/>
        </w:rPr>
        <w:t>Protecting</w:t>
      </w:r>
      <w:r>
        <w:rPr>
          <w:spacing w:val="-6"/>
          <w:sz w:val="18"/>
        </w:rPr>
        <w:t> </w:t>
      </w:r>
      <w:r>
        <w:rPr>
          <w:sz w:val="18"/>
        </w:rPr>
        <w:t>its</w:t>
      </w:r>
      <w:r>
        <w:rPr>
          <w:spacing w:val="-7"/>
          <w:sz w:val="18"/>
        </w:rPr>
        <w:t> </w:t>
      </w:r>
      <w:r>
        <w:rPr>
          <w:sz w:val="18"/>
        </w:rPr>
        <w:t>Victims’,</w:t>
      </w:r>
      <w:r>
        <w:rPr>
          <w:spacing w:val="-6"/>
          <w:sz w:val="18"/>
        </w:rPr>
        <w:t> </w:t>
      </w:r>
      <w:r>
        <w:rPr>
          <w:sz w:val="18"/>
        </w:rPr>
        <w:t>5</w:t>
      </w:r>
      <w:r>
        <w:rPr>
          <w:spacing w:val="-6"/>
          <w:sz w:val="18"/>
        </w:rPr>
        <w:t> </w:t>
      </w:r>
      <w:r>
        <w:rPr>
          <w:sz w:val="18"/>
        </w:rPr>
        <w:t>April</w:t>
      </w:r>
      <w:r>
        <w:rPr>
          <w:spacing w:val="-7"/>
          <w:sz w:val="18"/>
        </w:rPr>
        <w:t> </w:t>
      </w:r>
      <w:r>
        <w:rPr>
          <w:sz w:val="18"/>
        </w:rPr>
        <w:t>2011;</w:t>
      </w:r>
      <w:r>
        <w:rPr>
          <w:spacing w:val="-6"/>
          <w:sz w:val="18"/>
        </w:rPr>
        <w:t> </w:t>
      </w:r>
      <w:r>
        <w:rPr>
          <w:sz w:val="18"/>
        </w:rPr>
        <w:t>Directive</w:t>
      </w:r>
      <w:r>
        <w:rPr>
          <w:spacing w:val="-6"/>
          <w:sz w:val="18"/>
        </w:rPr>
        <w:t> </w:t>
      </w:r>
      <w:r>
        <w:rPr>
          <w:sz w:val="18"/>
        </w:rPr>
        <w:t>2004/80/EC,</w:t>
      </w:r>
      <w:r>
        <w:rPr>
          <w:spacing w:val="-6"/>
          <w:sz w:val="18"/>
        </w:rPr>
        <w:t> </w:t>
      </w:r>
      <w:r>
        <w:rPr>
          <w:sz w:val="18"/>
        </w:rPr>
        <w:t>‘Council</w:t>
      </w:r>
      <w:r>
        <w:rPr>
          <w:spacing w:val="-7"/>
          <w:sz w:val="18"/>
        </w:rPr>
        <w:t> </w:t>
      </w:r>
      <w:r>
        <w:rPr>
          <w:sz w:val="18"/>
        </w:rPr>
        <w:t>Directive relating to the Compensation to Crime Victims’, 29 April 2004.</w:t>
      </w:r>
    </w:p>
    <w:p>
      <w:pPr>
        <w:pStyle w:val="ListParagraph"/>
        <w:numPr>
          <w:ilvl w:val="0"/>
          <w:numId w:val="9"/>
        </w:numPr>
        <w:tabs>
          <w:tab w:pos="1853" w:val="left" w:leader="none"/>
        </w:tabs>
        <w:spacing w:line="235" w:lineRule="auto" w:before="3" w:after="0"/>
        <w:ind w:left="1853" w:right="1839" w:hanging="720"/>
        <w:jc w:val="left"/>
        <w:rPr>
          <w:sz w:val="18"/>
        </w:rPr>
      </w:pPr>
      <w:r>
        <w:rPr>
          <w:sz w:val="18"/>
        </w:rPr>
        <w:t>Recital</w:t>
      </w:r>
      <w:r>
        <w:rPr>
          <w:spacing w:val="-5"/>
          <w:sz w:val="18"/>
        </w:rPr>
        <w:t> </w:t>
      </w:r>
      <w:r>
        <w:rPr>
          <w:sz w:val="18"/>
        </w:rPr>
        <w:t>6,</w:t>
      </w:r>
      <w:r>
        <w:rPr>
          <w:spacing w:val="-5"/>
          <w:sz w:val="18"/>
        </w:rPr>
        <w:t> </w:t>
      </w:r>
      <w:r>
        <w:rPr>
          <w:sz w:val="18"/>
        </w:rPr>
        <w:t>Directive</w:t>
      </w:r>
      <w:r>
        <w:rPr>
          <w:spacing w:val="-5"/>
          <w:sz w:val="18"/>
        </w:rPr>
        <w:t> </w:t>
      </w:r>
      <w:r>
        <w:rPr>
          <w:sz w:val="18"/>
        </w:rPr>
        <w:t>2011/93/EU,</w:t>
      </w:r>
      <w:r>
        <w:rPr>
          <w:spacing w:val="-5"/>
          <w:sz w:val="18"/>
        </w:rPr>
        <w:t> </w:t>
      </w:r>
      <w:r>
        <w:rPr>
          <w:sz w:val="18"/>
        </w:rPr>
        <w:t>‘EU</w:t>
      </w:r>
      <w:r>
        <w:rPr>
          <w:spacing w:val="-5"/>
          <w:sz w:val="18"/>
        </w:rPr>
        <w:t> </w:t>
      </w:r>
      <w:r>
        <w:rPr>
          <w:sz w:val="18"/>
        </w:rPr>
        <w:t>Parliament</w:t>
      </w:r>
      <w:r>
        <w:rPr>
          <w:spacing w:val="-5"/>
          <w:sz w:val="18"/>
        </w:rPr>
        <w:t> </w:t>
      </w:r>
      <w:r>
        <w:rPr>
          <w:sz w:val="18"/>
        </w:rPr>
        <w:t>and</w:t>
      </w:r>
      <w:r>
        <w:rPr>
          <w:spacing w:val="-5"/>
          <w:sz w:val="18"/>
        </w:rPr>
        <w:t> </w:t>
      </w:r>
      <w:r>
        <w:rPr>
          <w:sz w:val="18"/>
        </w:rPr>
        <w:t>Council</w:t>
      </w:r>
      <w:r>
        <w:rPr>
          <w:spacing w:val="-5"/>
          <w:sz w:val="18"/>
        </w:rPr>
        <w:t> </w:t>
      </w:r>
      <w:r>
        <w:rPr>
          <w:sz w:val="18"/>
        </w:rPr>
        <w:t>Directive</w:t>
      </w:r>
      <w:r>
        <w:rPr>
          <w:spacing w:val="-5"/>
          <w:sz w:val="18"/>
        </w:rPr>
        <w:t> </w:t>
      </w:r>
      <w:r>
        <w:rPr>
          <w:sz w:val="18"/>
        </w:rPr>
        <w:t>on</w:t>
      </w:r>
      <w:r>
        <w:rPr>
          <w:spacing w:val="-5"/>
          <w:sz w:val="18"/>
        </w:rPr>
        <w:t> </w:t>
      </w:r>
      <w:r>
        <w:rPr>
          <w:sz w:val="18"/>
        </w:rPr>
        <w:t>Combating</w:t>
      </w:r>
      <w:r>
        <w:rPr>
          <w:spacing w:val="-5"/>
          <w:sz w:val="18"/>
        </w:rPr>
        <w:t> </w:t>
      </w:r>
      <w:r>
        <w:rPr>
          <w:sz w:val="18"/>
        </w:rPr>
        <w:t>the</w:t>
      </w:r>
      <w:r>
        <w:rPr>
          <w:spacing w:val="-5"/>
          <w:sz w:val="18"/>
        </w:rPr>
        <w:t> </w:t>
      </w:r>
      <w:r>
        <w:rPr>
          <w:sz w:val="18"/>
        </w:rPr>
        <w:t>Sexual</w:t>
      </w:r>
      <w:r>
        <w:rPr>
          <w:spacing w:val="-5"/>
          <w:sz w:val="18"/>
        </w:rPr>
        <w:t> </w:t>
      </w:r>
      <w:r>
        <w:rPr>
          <w:sz w:val="18"/>
        </w:rPr>
        <w:t>Abuse</w:t>
      </w:r>
      <w:r>
        <w:rPr>
          <w:spacing w:val="-5"/>
          <w:sz w:val="18"/>
        </w:rPr>
        <w:t> </w:t>
      </w:r>
      <w:r>
        <w:rPr>
          <w:sz w:val="18"/>
        </w:rPr>
        <w:t>and</w:t>
      </w:r>
      <w:r>
        <w:rPr>
          <w:spacing w:val="-5"/>
          <w:sz w:val="18"/>
        </w:rPr>
        <w:t> </w:t>
      </w:r>
      <w:r>
        <w:rPr>
          <w:sz w:val="18"/>
        </w:rPr>
        <w:t>Sexual Exploitation of Children and Child Pornography’, 13 December 2011.</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pPr>
      <w:r>
        <w:rPr/>
        <w:t>victims, including, in recognition of the harm caused by these offences, that assistance</w:t>
      </w:r>
      <w:r>
        <w:rPr>
          <w:spacing w:val="-7"/>
        </w:rPr>
        <w:t> </w:t>
      </w:r>
      <w:r>
        <w:rPr/>
        <w:t>should</w:t>
      </w:r>
      <w:r>
        <w:rPr>
          <w:spacing w:val="-8"/>
        </w:rPr>
        <w:t> </w:t>
      </w:r>
      <w:r>
        <w:rPr/>
        <w:t>be</w:t>
      </w:r>
      <w:r>
        <w:rPr>
          <w:spacing w:val="-7"/>
        </w:rPr>
        <w:t> </w:t>
      </w:r>
      <w:r>
        <w:rPr/>
        <w:t>provided</w:t>
      </w:r>
      <w:r>
        <w:rPr>
          <w:spacing w:val="-8"/>
        </w:rPr>
        <w:t> </w:t>
      </w:r>
      <w:r>
        <w:rPr/>
        <w:t>for</w:t>
      </w:r>
      <w:r>
        <w:rPr>
          <w:spacing w:val="-7"/>
        </w:rPr>
        <w:t> </w:t>
      </w:r>
      <w:r>
        <w:rPr/>
        <w:t>as</w:t>
      </w:r>
      <w:r>
        <w:rPr>
          <w:spacing w:val="-8"/>
        </w:rPr>
        <w:t> </w:t>
      </w:r>
      <w:r>
        <w:rPr/>
        <w:t>long</w:t>
      </w:r>
      <w:r>
        <w:rPr>
          <w:spacing w:val="-7"/>
        </w:rPr>
        <w:t> </w:t>
      </w:r>
      <w:r>
        <w:rPr/>
        <w:t>as</w:t>
      </w:r>
      <w:r>
        <w:rPr>
          <w:spacing w:val="-8"/>
        </w:rPr>
        <w:t> </w:t>
      </w:r>
      <w:r>
        <w:rPr/>
        <w:t>necessary</w:t>
      </w:r>
      <w:r>
        <w:rPr>
          <w:spacing w:val="-7"/>
        </w:rPr>
        <w:t> </w:t>
      </w:r>
      <w:r>
        <w:rPr/>
        <w:t>for</w:t>
      </w:r>
      <w:r>
        <w:rPr>
          <w:spacing w:val="-7"/>
        </w:rPr>
        <w:t> </w:t>
      </w:r>
      <w:r>
        <w:rPr/>
        <w:t>the</w:t>
      </w:r>
      <w:r>
        <w:rPr>
          <w:spacing w:val="-7"/>
        </w:rPr>
        <w:t> </w:t>
      </w:r>
      <w:r>
        <w:rPr/>
        <w:t>child’s</w:t>
      </w:r>
      <w:r>
        <w:rPr>
          <w:spacing w:val="-8"/>
        </w:rPr>
        <w:t> </w:t>
      </w:r>
      <w:r>
        <w:rPr/>
        <w:t>physical and psychological recovery, including into adulthood.</w:t>
      </w:r>
      <w:r>
        <w:rPr>
          <w:vertAlign w:val="superscript"/>
        </w:rPr>
        <w:t>364</w:t>
      </w:r>
    </w:p>
    <w:p>
      <w:pPr>
        <w:pStyle w:val="ListParagraph"/>
        <w:numPr>
          <w:ilvl w:val="1"/>
          <w:numId w:val="7"/>
        </w:numPr>
        <w:tabs>
          <w:tab w:pos="1853" w:val="left" w:leader="none"/>
        </w:tabs>
        <w:spacing w:line="225" w:lineRule="auto" w:before="317" w:after="0"/>
        <w:ind w:left="1853" w:right="1403" w:hanging="720"/>
        <w:jc w:val="left"/>
        <w:rPr>
          <w:sz w:val="28"/>
        </w:rPr>
      </w:pPr>
      <w:r>
        <w:rPr>
          <w:sz w:val="28"/>
        </w:rPr>
        <w:t>In</w:t>
      </w:r>
      <w:r>
        <w:rPr>
          <w:spacing w:val="-5"/>
          <w:sz w:val="28"/>
        </w:rPr>
        <w:t> </w:t>
      </w:r>
      <w:r>
        <w:rPr>
          <w:sz w:val="28"/>
        </w:rPr>
        <w:t>June</w:t>
      </w:r>
      <w:r>
        <w:rPr>
          <w:spacing w:val="-4"/>
          <w:sz w:val="28"/>
        </w:rPr>
        <w:t> </w:t>
      </w:r>
      <w:r>
        <w:rPr>
          <w:sz w:val="28"/>
        </w:rPr>
        <w:t>2023,</w:t>
      </w:r>
      <w:r>
        <w:rPr>
          <w:spacing w:val="-4"/>
          <w:sz w:val="28"/>
        </w:rPr>
        <w:t> </w:t>
      </w:r>
      <w:r>
        <w:rPr>
          <w:sz w:val="28"/>
        </w:rPr>
        <w:t>the</w:t>
      </w:r>
      <w:r>
        <w:rPr>
          <w:spacing w:val="-4"/>
          <w:sz w:val="28"/>
        </w:rPr>
        <w:t> </w:t>
      </w:r>
      <w:r>
        <w:rPr>
          <w:sz w:val="28"/>
        </w:rPr>
        <w:t>UN</w:t>
      </w:r>
      <w:r>
        <w:rPr>
          <w:spacing w:val="-4"/>
          <w:sz w:val="28"/>
        </w:rPr>
        <w:t> </w:t>
      </w:r>
      <w:r>
        <w:rPr>
          <w:sz w:val="28"/>
        </w:rPr>
        <w:t>CRC</w:t>
      </w:r>
      <w:r>
        <w:rPr>
          <w:spacing w:val="-5"/>
          <w:sz w:val="28"/>
        </w:rPr>
        <w:t> </w:t>
      </w:r>
      <w:r>
        <w:rPr>
          <w:sz w:val="28"/>
        </w:rPr>
        <w:t>Committee</w:t>
      </w:r>
      <w:r>
        <w:rPr>
          <w:spacing w:val="-4"/>
          <w:sz w:val="28"/>
        </w:rPr>
        <w:t> </w:t>
      </w:r>
      <w:r>
        <w:rPr>
          <w:sz w:val="28"/>
        </w:rPr>
        <w:t>recommended</w:t>
      </w:r>
      <w:r>
        <w:rPr>
          <w:spacing w:val="-5"/>
          <w:sz w:val="28"/>
        </w:rPr>
        <w:t> </w:t>
      </w:r>
      <w:r>
        <w:rPr>
          <w:sz w:val="28"/>
        </w:rPr>
        <w:t>“that</w:t>
      </w:r>
      <w:r>
        <w:rPr>
          <w:spacing w:val="-5"/>
          <w:sz w:val="28"/>
        </w:rPr>
        <w:t> </w:t>
      </w:r>
      <w:r>
        <w:rPr>
          <w:sz w:val="28"/>
        </w:rPr>
        <w:t>all</w:t>
      </w:r>
      <w:r>
        <w:rPr>
          <w:spacing w:val="-5"/>
          <w:sz w:val="28"/>
        </w:rPr>
        <w:t> </w:t>
      </w:r>
      <w:r>
        <w:rPr>
          <w:sz w:val="28"/>
        </w:rPr>
        <w:t>children</w:t>
      </w:r>
      <w:r>
        <w:rPr>
          <w:spacing w:val="-5"/>
          <w:sz w:val="28"/>
        </w:rPr>
        <w:t> </w:t>
      </w:r>
      <w:r>
        <w:rPr>
          <w:sz w:val="28"/>
        </w:rPr>
        <w:t>under 18</w:t>
      </w:r>
      <w:r>
        <w:rPr>
          <w:spacing w:val="-6"/>
          <w:sz w:val="28"/>
        </w:rPr>
        <w:t> </w:t>
      </w:r>
      <w:r>
        <w:rPr>
          <w:sz w:val="28"/>
        </w:rPr>
        <w:t>years</w:t>
      </w:r>
      <w:r>
        <w:rPr>
          <w:spacing w:val="-7"/>
          <w:sz w:val="28"/>
        </w:rPr>
        <w:t> </w:t>
      </w:r>
      <w:r>
        <w:rPr>
          <w:sz w:val="28"/>
        </w:rPr>
        <w:t>of</w:t>
      </w:r>
      <w:r>
        <w:rPr>
          <w:spacing w:val="-7"/>
          <w:sz w:val="28"/>
        </w:rPr>
        <w:t> </w:t>
      </w:r>
      <w:r>
        <w:rPr>
          <w:sz w:val="28"/>
        </w:rPr>
        <w:t>age,</w:t>
      </w:r>
      <w:r>
        <w:rPr>
          <w:spacing w:val="-6"/>
          <w:sz w:val="28"/>
        </w:rPr>
        <w:t> </w:t>
      </w:r>
      <w:r>
        <w:rPr>
          <w:sz w:val="28"/>
        </w:rPr>
        <w:t>including</w:t>
      </w:r>
      <w:r>
        <w:rPr>
          <w:spacing w:val="-6"/>
          <w:sz w:val="28"/>
        </w:rPr>
        <w:t> </w:t>
      </w:r>
      <w:r>
        <w:rPr>
          <w:sz w:val="28"/>
        </w:rPr>
        <w:t>16-and-17-year</w:t>
      </w:r>
      <w:r>
        <w:rPr>
          <w:spacing w:val="-6"/>
          <w:sz w:val="28"/>
        </w:rPr>
        <w:t> </w:t>
      </w:r>
      <w:r>
        <w:rPr>
          <w:sz w:val="28"/>
        </w:rPr>
        <w:t>olds,</w:t>
      </w:r>
      <w:r>
        <w:rPr>
          <w:spacing w:val="-6"/>
          <w:sz w:val="28"/>
        </w:rPr>
        <w:t> </w:t>
      </w:r>
      <w:r>
        <w:rPr>
          <w:sz w:val="28"/>
        </w:rPr>
        <w:t>who</w:t>
      </w:r>
      <w:r>
        <w:rPr>
          <w:spacing w:val="-7"/>
          <w:sz w:val="28"/>
        </w:rPr>
        <w:t> </w:t>
      </w:r>
      <w:r>
        <w:rPr>
          <w:sz w:val="28"/>
        </w:rPr>
        <w:t>are</w:t>
      </w:r>
      <w:r>
        <w:rPr>
          <w:spacing w:val="-6"/>
          <w:sz w:val="28"/>
        </w:rPr>
        <w:t> </w:t>
      </w:r>
      <w:r>
        <w:rPr>
          <w:sz w:val="28"/>
        </w:rPr>
        <w:t>victims</w:t>
      </w:r>
      <w:r>
        <w:rPr>
          <w:spacing w:val="-7"/>
          <w:sz w:val="28"/>
        </w:rPr>
        <w:t> </w:t>
      </w:r>
      <w:r>
        <w:rPr>
          <w:sz w:val="28"/>
        </w:rPr>
        <w:t>of</w:t>
      </w:r>
      <w:r>
        <w:rPr>
          <w:spacing w:val="-7"/>
          <w:sz w:val="28"/>
        </w:rPr>
        <w:t> </w:t>
      </w:r>
      <w:r>
        <w:rPr>
          <w:sz w:val="28"/>
        </w:rPr>
        <w:t>offences… including sexual exploitation, sexual abuse material and sexual exploitation in prostitution, are treated as victims, receive adequate protection under the</w:t>
      </w:r>
      <w:r>
        <w:rPr>
          <w:spacing w:val="-9"/>
          <w:sz w:val="28"/>
        </w:rPr>
        <w:t> </w:t>
      </w:r>
      <w:r>
        <w:rPr>
          <w:sz w:val="28"/>
        </w:rPr>
        <w:t>law</w:t>
      </w:r>
      <w:r>
        <w:rPr>
          <w:spacing w:val="-9"/>
          <w:sz w:val="28"/>
        </w:rPr>
        <w:t> </w:t>
      </w:r>
      <w:r>
        <w:rPr>
          <w:sz w:val="28"/>
        </w:rPr>
        <w:t>and</w:t>
      </w:r>
      <w:r>
        <w:rPr>
          <w:spacing w:val="-10"/>
          <w:sz w:val="28"/>
        </w:rPr>
        <w:t> </w:t>
      </w:r>
      <w:r>
        <w:rPr>
          <w:sz w:val="28"/>
        </w:rPr>
        <w:t>have</w:t>
      </w:r>
      <w:r>
        <w:rPr>
          <w:spacing w:val="-9"/>
          <w:sz w:val="28"/>
        </w:rPr>
        <w:t> </w:t>
      </w:r>
      <w:r>
        <w:rPr>
          <w:sz w:val="28"/>
        </w:rPr>
        <w:t>access</w:t>
      </w:r>
      <w:r>
        <w:rPr>
          <w:spacing w:val="-10"/>
          <w:sz w:val="28"/>
        </w:rPr>
        <w:t> </w:t>
      </w:r>
      <w:r>
        <w:rPr>
          <w:sz w:val="28"/>
        </w:rPr>
        <w:t>to</w:t>
      </w:r>
      <w:r>
        <w:rPr>
          <w:spacing w:val="-10"/>
          <w:sz w:val="28"/>
        </w:rPr>
        <w:t> </w:t>
      </w:r>
      <w:r>
        <w:rPr>
          <w:sz w:val="28"/>
        </w:rPr>
        <w:t>remedies”.</w:t>
      </w:r>
      <w:r>
        <w:rPr>
          <w:sz w:val="28"/>
          <w:vertAlign w:val="superscript"/>
        </w:rPr>
        <w:t>365</w:t>
      </w:r>
      <w:r>
        <w:rPr>
          <w:spacing w:val="-10"/>
          <w:sz w:val="28"/>
          <w:vertAlign w:val="baseline"/>
        </w:rPr>
        <w:t> </w:t>
      </w:r>
      <w:r>
        <w:rPr>
          <w:sz w:val="28"/>
          <w:vertAlign w:val="baseline"/>
        </w:rPr>
        <w:t>The</w:t>
      </w:r>
      <w:r>
        <w:rPr>
          <w:spacing w:val="-9"/>
          <w:sz w:val="28"/>
          <w:vertAlign w:val="baseline"/>
        </w:rPr>
        <w:t> </w:t>
      </w:r>
      <w:r>
        <w:rPr>
          <w:sz w:val="28"/>
          <w:vertAlign w:val="baseline"/>
        </w:rPr>
        <w:t>Committee</w:t>
      </w:r>
      <w:r>
        <w:rPr>
          <w:spacing w:val="-9"/>
          <w:sz w:val="28"/>
          <w:vertAlign w:val="baseline"/>
        </w:rPr>
        <w:t> </w:t>
      </w:r>
      <w:r>
        <w:rPr>
          <w:sz w:val="28"/>
          <w:vertAlign w:val="baseline"/>
        </w:rPr>
        <w:t>also</w:t>
      </w:r>
      <w:r>
        <w:rPr>
          <w:spacing w:val="-10"/>
          <w:sz w:val="28"/>
          <w:vertAlign w:val="baseline"/>
        </w:rPr>
        <w:t> </w:t>
      </w:r>
      <w:r>
        <w:rPr>
          <w:sz w:val="28"/>
          <w:vertAlign w:val="baseline"/>
        </w:rPr>
        <w:t>recommended that all cases of sexual exploitation of children are promptly and effectively investigated; that data is systematically collected and analysed to inform strategies on child sexual abuse; and that training for professionals working</w:t>
      </w:r>
    </w:p>
    <w:p>
      <w:pPr>
        <w:pStyle w:val="BodyText"/>
        <w:spacing w:line="225" w:lineRule="auto"/>
        <w:ind w:left="1853" w:right="1171"/>
      </w:pPr>
      <w:r>
        <w:rPr/>
        <w:t>with</w:t>
      </w:r>
      <w:r>
        <w:rPr>
          <w:spacing w:val="-7"/>
        </w:rPr>
        <w:t> </w:t>
      </w:r>
      <w:r>
        <w:rPr/>
        <w:t>children,</w:t>
      </w:r>
      <w:r>
        <w:rPr>
          <w:spacing w:val="-6"/>
        </w:rPr>
        <w:t> </w:t>
      </w:r>
      <w:r>
        <w:rPr/>
        <w:t>including</w:t>
      </w:r>
      <w:r>
        <w:rPr>
          <w:spacing w:val="-6"/>
        </w:rPr>
        <w:t> </w:t>
      </w:r>
      <w:r>
        <w:rPr/>
        <w:t>in</w:t>
      </w:r>
      <w:r>
        <w:rPr>
          <w:spacing w:val="-7"/>
        </w:rPr>
        <w:t> </w:t>
      </w:r>
      <w:r>
        <w:rPr/>
        <w:t>the</w:t>
      </w:r>
      <w:r>
        <w:rPr>
          <w:spacing w:val="-6"/>
        </w:rPr>
        <w:t> </w:t>
      </w:r>
      <w:r>
        <w:rPr/>
        <w:t>criminal</w:t>
      </w:r>
      <w:r>
        <w:rPr>
          <w:spacing w:val="-7"/>
        </w:rPr>
        <w:t> </w:t>
      </w:r>
      <w:r>
        <w:rPr/>
        <w:t>justice</w:t>
      </w:r>
      <w:r>
        <w:rPr>
          <w:spacing w:val="-6"/>
        </w:rPr>
        <w:t> </w:t>
      </w:r>
      <w:r>
        <w:rPr/>
        <w:t>system,</w:t>
      </w:r>
      <w:r>
        <w:rPr>
          <w:spacing w:val="-6"/>
        </w:rPr>
        <w:t> </w:t>
      </w:r>
      <w:r>
        <w:rPr/>
        <w:t>is</w:t>
      </w:r>
      <w:r>
        <w:rPr>
          <w:spacing w:val="-7"/>
        </w:rPr>
        <w:t> </w:t>
      </w:r>
      <w:r>
        <w:rPr/>
        <w:t>improved</w:t>
      </w:r>
      <w:r>
        <w:rPr>
          <w:spacing w:val="-7"/>
        </w:rPr>
        <w:t> </w:t>
      </w:r>
      <w:r>
        <w:rPr/>
        <w:t>to</w:t>
      </w:r>
      <w:r>
        <w:rPr>
          <w:spacing w:val="-7"/>
        </w:rPr>
        <w:t> </w:t>
      </w:r>
      <w:r>
        <w:rPr/>
        <w:t>“identify and effectively respond” to sexual exploitation.</w:t>
      </w:r>
      <w:r>
        <w:rPr>
          <w:spacing w:val="-20"/>
        </w:rPr>
        <w:t> </w:t>
      </w:r>
      <w:r>
        <w:rPr>
          <w:vertAlign w:val="superscript"/>
        </w:rPr>
        <w:t>366</w:t>
      </w:r>
    </w:p>
    <w:p>
      <w:pPr>
        <w:pStyle w:val="ListParagraph"/>
        <w:numPr>
          <w:ilvl w:val="1"/>
          <w:numId w:val="7"/>
        </w:numPr>
        <w:tabs>
          <w:tab w:pos="1853" w:val="left" w:leader="none"/>
        </w:tabs>
        <w:spacing w:line="225" w:lineRule="auto" w:before="307" w:after="0"/>
        <w:ind w:left="1853" w:right="1280" w:hanging="720"/>
        <w:jc w:val="left"/>
        <w:rPr>
          <w:sz w:val="28"/>
        </w:rPr>
      </w:pPr>
      <w:r>
        <w:rPr>
          <w:sz w:val="28"/>
        </w:rPr>
        <w:t>In 2020, the Criminal Justice Inspection NI found that Public Prosecution Service NI staff needed instructions specific to child sexual abuse and exploitation</w:t>
      </w:r>
      <w:r>
        <w:rPr>
          <w:spacing w:val="-8"/>
          <w:sz w:val="28"/>
        </w:rPr>
        <w:t> </w:t>
      </w:r>
      <w:r>
        <w:rPr>
          <w:sz w:val="28"/>
        </w:rPr>
        <w:t>and</w:t>
      </w:r>
      <w:r>
        <w:rPr>
          <w:spacing w:val="-8"/>
          <w:sz w:val="28"/>
        </w:rPr>
        <w:t> </w:t>
      </w:r>
      <w:r>
        <w:rPr>
          <w:sz w:val="28"/>
        </w:rPr>
        <w:t>that</w:t>
      </w:r>
      <w:r>
        <w:rPr>
          <w:spacing w:val="-7"/>
          <w:sz w:val="28"/>
        </w:rPr>
        <w:t> </w:t>
      </w:r>
      <w:r>
        <w:rPr>
          <w:sz w:val="28"/>
        </w:rPr>
        <w:t>“where</w:t>
      </w:r>
      <w:r>
        <w:rPr>
          <w:spacing w:val="-7"/>
          <w:sz w:val="28"/>
        </w:rPr>
        <w:t> </w:t>
      </w:r>
      <w:r>
        <w:rPr>
          <w:sz w:val="28"/>
        </w:rPr>
        <w:t>cases</w:t>
      </w:r>
      <w:r>
        <w:rPr>
          <w:spacing w:val="-8"/>
          <w:sz w:val="28"/>
        </w:rPr>
        <w:t> </w:t>
      </w:r>
      <w:r>
        <w:rPr>
          <w:sz w:val="28"/>
        </w:rPr>
        <w:t>did</w:t>
      </w:r>
      <w:r>
        <w:rPr>
          <w:spacing w:val="-8"/>
          <w:sz w:val="28"/>
        </w:rPr>
        <w:t> </w:t>
      </w:r>
      <w:r>
        <w:rPr>
          <w:sz w:val="28"/>
        </w:rPr>
        <w:t>progress</w:t>
      </w:r>
      <w:r>
        <w:rPr>
          <w:spacing w:val="-8"/>
          <w:sz w:val="28"/>
        </w:rPr>
        <w:t> </w:t>
      </w:r>
      <w:r>
        <w:rPr>
          <w:sz w:val="28"/>
        </w:rPr>
        <w:t>to</w:t>
      </w:r>
      <w:r>
        <w:rPr>
          <w:spacing w:val="-8"/>
          <w:sz w:val="28"/>
        </w:rPr>
        <w:t> </w:t>
      </w:r>
      <w:r>
        <w:rPr>
          <w:sz w:val="28"/>
        </w:rPr>
        <w:t>court,</w:t>
      </w:r>
      <w:r>
        <w:rPr>
          <w:spacing w:val="-7"/>
          <w:sz w:val="28"/>
        </w:rPr>
        <w:t> </w:t>
      </w:r>
      <w:r>
        <w:rPr>
          <w:sz w:val="28"/>
        </w:rPr>
        <w:t>support</w:t>
      </w:r>
      <w:r>
        <w:rPr>
          <w:spacing w:val="-7"/>
          <w:sz w:val="28"/>
        </w:rPr>
        <w:t> </w:t>
      </w:r>
      <w:r>
        <w:rPr>
          <w:sz w:val="28"/>
        </w:rPr>
        <w:t>for</w:t>
      </w:r>
      <w:r>
        <w:rPr>
          <w:spacing w:val="-7"/>
          <w:sz w:val="28"/>
        </w:rPr>
        <w:t> </w:t>
      </w:r>
      <w:r>
        <w:rPr>
          <w:sz w:val="28"/>
        </w:rPr>
        <w:t>children was</w:t>
      </w:r>
      <w:r>
        <w:rPr>
          <w:spacing w:val="-12"/>
          <w:sz w:val="28"/>
        </w:rPr>
        <w:t> </w:t>
      </w:r>
      <w:r>
        <w:rPr>
          <w:sz w:val="28"/>
        </w:rPr>
        <w:t>required”.</w:t>
      </w:r>
      <w:r>
        <w:rPr>
          <w:sz w:val="28"/>
          <w:vertAlign w:val="superscript"/>
        </w:rPr>
        <w:t>367</w:t>
      </w:r>
      <w:r>
        <w:rPr>
          <w:spacing w:val="-12"/>
          <w:sz w:val="28"/>
          <w:vertAlign w:val="baseline"/>
        </w:rPr>
        <w:t> </w:t>
      </w:r>
      <w:r>
        <w:rPr>
          <w:sz w:val="28"/>
          <w:vertAlign w:val="baseline"/>
        </w:rPr>
        <w:t>The</w:t>
      </w:r>
      <w:r>
        <w:rPr>
          <w:spacing w:val="-11"/>
          <w:sz w:val="28"/>
          <w:vertAlign w:val="baseline"/>
        </w:rPr>
        <w:t> </w:t>
      </w:r>
      <w:r>
        <w:rPr>
          <w:sz w:val="28"/>
          <w:vertAlign w:val="baseline"/>
        </w:rPr>
        <w:t>Barnahus</w:t>
      </w:r>
      <w:r>
        <w:rPr>
          <w:spacing w:val="-12"/>
          <w:sz w:val="28"/>
          <w:vertAlign w:val="baseline"/>
        </w:rPr>
        <w:t> </w:t>
      </w:r>
      <w:r>
        <w:rPr>
          <w:sz w:val="28"/>
          <w:vertAlign w:val="baseline"/>
        </w:rPr>
        <w:t>(children’s</w:t>
      </w:r>
      <w:r>
        <w:rPr>
          <w:spacing w:val="-12"/>
          <w:sz w:val="28"/>
          <w:vertAlign w:val="baseline"/>
        </w:rPr>
        <w:t> </w:t>
      </w:r>
      <w:r>
        <w:rPr>
          <w:sz w:val="28"/>
          <w:vertAlign w:val="baseline"/>
        </w:rPr>
        <w:t>house)</w:t>
      </w:r>
      <w:r>
        <w:rPr>
          <w:spacing w:val="-12"/>
          <w:sz w:val="28"/>
          <w:vertAlign w:val="baseline"/>
        </w:rPr>
        <w:t> </w:t>
      </w:r>
      <w:r>
        <w:rPr>
          <w:sz w:val="28"/>
          <w:vertAlign w:val="baseline"/>
        </w:rPr>
        <w:t>model</w:t>
      </w:r>
      <w:r>
        <w:rPr>
          <w:spacing w:val="-12"/>
          <w:sz w:val="28"/>
          <w:vertAlign w:val="baseline"/>
        </w:rPr>
        <w:t> </w:t>
      </w:r>
      <w:r>
        <w:rPr>
          <w:sz w:val="28"/>
          <w:vertAlign w:val="baseline"/>
        </w:rPr>
        <w:t>was</w:t>
      </w:r>
      <w:r>
        <w:rPr>
          <w:spacing w:val="-12"/>
          <w:sz w:val="28"/>
          <w:vertAlign w:val="baseline"/>
        </w:rPr>
        <w:t> </w:t>
      </w:r>
      <w:r>
        <w:rPr>
          <w:sz w:val="28"/>
          <w:vertAlign w:val="baseline"/>
        </w:rPr>
        <w:t>proposed</w:t>
      </w:r>
      <w:r>
        <w:rPr>
          <w:spacing w:val="-12"/>
          <w:sz w:val="28"/>
          <w:vertAlign w:val="baseline"/>
        </w:rPr>
        <w:t> </w:t>
      </w:r>
      <w:r>
        <w:rPr>
          <w:sz w:val="28"/>
          <w:vertAlign w:val="baseline"/>
        </w:rPr>
        <w:t>as</w:t>
      </w:r>
      <w:r>
        <w:rPr>
          <w:spacing w:val="-12"/>
          <w:sz w:val="28"/>
          <w:vertAlign w:val="baseline"/>
        </w:rPr>
        <w:t> </w:t>
      </w:r>
      <w:r>
        <w:rPr>
          <w:sz w:val="28"/>
          <w:vertAlign w:val="baseline"/>
        </w:rPr>
        <w:t>the preferred approach.</w:t>
      </w:r>
      <w:r>
        <w:rPr>
          <w:sz w:val="28"/>
          <w:vertAlign w:val="superscript"/>
        </w:rPr>
        <w:t>368</w:t>
      </w:r>
    </w:p>
    <w:p>
      <w:pPr>
        <w:pStyle w:val="ListParagraph"/>
        <w:numPr>
          <w:ilvl w:val="1"/>
          <w:numId w:val="7"/>
        </w:numPr>
        <w:tabs>
          <w:tab w:pos="1853" w:val="left" w:leader="none"/>
        </w:tabs>
        <w:spacing w:line="225" w:lineRule="auto" w:before="313" w:after="0"/>
        <w:ind w:left="1853" w:right="1615" w:hanging="720"/>
        <w:jc w:val="left"/>
        <w:rPr>
          <w:sz w:val="28"/>
        </w:rPr>
      </w:pPr>
      <w:r>
        <w:rPr>
          <w:sz w:val="28"/>
        </w:rPr>
        <w:t>In 2022/2023, there were 2,324 recorded child sexual abuse offences in NI, the highest figure recorded since the beginning of the data series in 2007/2008.</w:t>
      </w:r>
      <w:r>
        <w:rPr>
          <w:sz w:val="28"/>
          <w:vertAlign w:val="superscript"/>
        </w:rPr>
        <w:t>369</w:t>
      </w:r>
      <w:r>
        <w:rPr>
          <w:spacing w:val="-10"/>
          <w:sz w:val="28"/>
          <w:vertAlign w:val="baseline"/>
        </w:rPr>
        <w:t> </w:t>
      </w:r>
      <w:r>
        <w:rPr>
          <w:sz w:val="28"/>
          <w:vertAlign w:val="baseline"/>
        </w:rPr>
        <w:t>Female</w:t>
      </w:r>
      <w:r>
        <w:rPr>
          <w:spacing w:val="-9"/>
          <w:sz w:val="28"/>
          <w:vertAlign w:val="baseline"/>
        </w:rPr>
        <w:t> </w:t>
      </w:r>
      <w:r>
        <w:rPr>
          <w:sz w:val="28"/>
          <w:vertAlign w:val="baseline"/>
        </w:rPr>
        <w:t>victims</w:t>
      </w:r>
      <w:r>
        <w:rPr>
          <w:spacing w:val="-10"/>
          <w:sz w:val="28"/>
          <w:vertAlign w:val="baseline"/>
        </w:rPr>
        <w:t> </w:t>
      </w:r>
      <w:r>
        <w:rPr>
          <w:sz w:val="28"/>
          <w:vertAlign w:val="baseline"/>
        </w:rPr>
        <w:t>represented</w:t>
      </w:r>
      <w:r>
        <w:rPr>
          <w:spacing w:val="-10"/>
          <w:sz w:val="28"/>
          <w:vertAlign w:val="baseline"/>
        </w:rPr>
        <w:t> </w:t>
      </w:r>
      <w:r>
        <w:rPr>
          <w:sz w:val="28"/>
          <w:vertAlign w:val="baseline"/>
        </w:rPr>
        <w:t>71</w:t>
      </w:r>
      <w:r>
        <w:rPr>
          <w:spacing w:val="-9"/>
          <w:sz w:val="28"/>
          <w:vertAlign w:val="baseline"/>
        </w:rPr>
        <w:t> </w:t>
      </w:r>
      <w:r>
        <w:rPr>
          <w:sz w:val="28"/>
          <w:vertAlign w:val="baseline"/>
        </w:rPr>
        <w:t>per</w:t>
      </w:r>
      <w:r>
        <w:rPr>
          <w:spacing w:val="-9"/>
          <w:sz w:val="28"/>
          <w:vertAlign w:val="baseline"/>
        </w:rPr>
        <w:t> </w:t>
      </w:r>
      <w:r>
        <w:rPr>
          <w:sz w:val="28"/>
          <w:vertAlign w:val="baseline"/>
        </w:rPr>
        <w:t>cent</w:t>
      </w:r>
      <w:r>
        <w:rPr>
          <w:spacing w:val="-9"/>
          <w:sz w:val="28"/>
          <w:vertAlign w:val="baseline"/>
        </w:rPr>
        <w:t> </w:t>
      </w:r>
      <w:r>
        <w:rPr>
          <w:sz w:val="28"/>
          <w:vertAlign w:val="baseline"/>
        </w:rPr>
        <w:t>of</w:t>
      </w:r>
      <w:r>
        <w:rPr>
          <w:spacing w:val="-10"/>
          <w:sz w:val="28"/>
          <w:vertAlign w:val="baseline"/>
        </w:rPr>
        <w:t> </w:t>
      </w:r>
      <w:r>
        <w:rPr>
          <w:sz w:val="28"/>
          <w:vertAlign w:val="baseline"/>
        </w:rPr>
        <w:t>all</w:t>
      </w:r>
      <w:r>
        <w:rPr>
          <w:spacing w:val="-9"/>
          <w:sz w:val="28"/>
          <w:vertAlign w:val="baseline"/>
        </w:rPr>
        <w:t> </w:t>
      </w:r>
      <w:r>
        <w:rPr>
          <w:sz w:val="28"/>
          <w:vertAlign w:val="baseline"/>
        </w:rPr>
        <w:t>sexual</w:t>
      </w:r>
      <w:r>
        <w:rPr>
          <w:spacing w:val="-10"/>
          <w:sz w:val="28"/>
          <w:vertAlign w:val="baseline"/>
        </w:rPr>
        <w:t> </w:t>
      </w:r>
      <w:r>
        <w:rPr>
          <w:sz w:val="28"/>
          <w:vertAlign w:val="baseline"/>
        </w:rPr>
        <w:t>offence victims</w:t>
      </w:r>
      <w:r>
        <w:rPr>
          <w:spacing w:val="-6"/>
          <w:sz w:val="28"/>
          <w:vertAlign w:val="baseline"/>
        </w:rPr>
        <w:t> </w:t>
      </w:r>
      <w:r>
        <w:rPr>
          <w:sz w:val="28"/>
          <w:vertAlign w:val="baseline"/>
        </w:rPr>
        <w:t>under</w:t>
      </w:r>
      <w:r>
        <w:rPr>
          <w:spacing w:val="-5"/>
          <w:sz w:val="28"/>
          <w:vertAlign w:val="baseline"/>
        </w:rPr>
        <w:t> </w:t>
      </w:r>
      <w:r>
        <w:rPr>
          <w:sz w:val="28"/>
          <w:vertAlign w:val="baseline"/>
        </w:rPr>
        <w:t>18</w:t>
      </w:r>
      <w:r>
        <w:rPr>
          <w:spacing w:val="-5"/>
          <w:sz w:val="28"/>
          <w:vertAlign w:val="baseline"/>
        </w:rPr>
        <w:t> </w:t>
      </w:r>
      <w:r>
        <w:rPr>
          <w:sz w:val="28"/>
          <w:vertAlign w:val="baseline"/>
        </w:rPr>
        <w:t>years</w:t>
      </w:r>
      <w:r>
        <w:rPr>
          <w:spacing w:val="-6"/>
          <w:sz w:val="28"/>
          <w:vertAlign w:val="baseline"/>
        </w:rPr>
        <w:t> </w:t>
      </w:r>
      <w:r>
        <w:rPr>
          <w:sz w:val="28"/>
          <w:vertAlign w:val="baseline"/>
        </w:rPr>
        <w:t>old.</w:t>
      </w:r>
      <w:r>
        <w:rPr>
          <w:sz w:val="28"/>
          <w:vertAlign w:val="superscript"/>
        </w:rPr>
        <w:t>370</w:t>
      </w:r>
      <w:r>
        <w:rPr>
          <w:spacing w:val="40"/>
          <w:sz w:val="28"/>
          <w:vertAlign w:val="baseline"/>
        </w:rPr>
        <w:t> </w:t>
      </w:r>
      <w:r>
        <w:rPr>
          <w:sz w:val="28"/>
          <w:vertAlign w:val="baseline"/>
        </w:rPr>
        <w:t>In</w:t>
      </w:r>
      <w:r>
        <w:rPr>
          <w:spacing w:val="-6"/>
          <w:sz w:val="28"/>
          <w:vertAlign w:val="baseline"/>
        </w:rPr>
        <w:t> </w:t>
      </w:r>
      <w:r>
        <w:rPr>
          <w:sz w:val="28"/>
          <w:vertAlign w:val="baseline"/>
        </w:rPr>
        <w:t>July</w:t>
      </w:r>
      <w:r>
        <w:rPr>
          <w:spacing w:val="-6"/>
          <w:sz w:val="28"/>
          <w:vertAlign w:val="baseline"/>
        </w:rPr>
        <w:t> </w:t>
      </w:r>
      <w:r>
        <w:rPr>
          <w:sz w:val="28"/>
          <w:vertAlign w:val="baseline"/>
        </w:rPr>
        <w:t>2023,</w:t>
      </w:r>
      <w:r>
        <w:rPr>
          <w:spacing w:val="-5"/>
          <w:sz w:val="28"/>
          <w:vertAlign w:val="baseline"/>
        </w:rPr>
        <w:t> </w:t>
      </w:r>
      <w:r>
        <w:rPr>
          <w:sz w:val="28"/>
          <w:vertAlign w:val="baseline"/>
        </w:rPr>
        <w:t>the</w:t>
      </w:r>
      <w:r>
        <w:rPr>
          <w:spacing w:val="-5"/>
          <w:sz w:val="28"/>
          <w:vertAlign w:val="baseline"/>
        </w:rPr>
        <w:t> </w:t>
      </w:r>
      <w:r>
        <w:rPr>
          <w:sz w:val="28"/>
          <w:vertAlign w:val="baseline"/>
        </w:rPr>
        <w:t>Police</w:t>
      </w:r>
      <w:r>
        <w:rPr>
          <w:spacing w:val="-5"/>
          <w:sz w:val="28"/>
          <w:vertAlign w:val="baseline"/>
        </w:rPr>
        <w:t> </w:t>
      </w:r>
      <w:r>
        <w:rPr>
          <w:sz w:val="28"/>
          <w:vertAlign w:val="baseline"/>
        </w:rPr>
        <w:t>Service</w:t>
      </w:r>
      <w:r>
        <w:rPr>
          <w:spacing w:val="-5"/>
          <w:sz w:val="28"/>
          <w:vertAlign w:val="baseline"/>
        </w:rPr>
        <w:t> </w:t>
      </w:r>
      <w:r>
        <w:rPr>
          <w:sz w:val="28"/>
          <w:vertAlign w:val="baseline"/>
        </w:rPr>
        <w:t>of</w:t>
      </w:r>
      <w:r>
        <w:rPr>
          <w:spacing w:val="-6"/>
          <w:sz w:val="28"/>
          <w:vertAlign w:val="baseline"/>
        </w:rPr>
        <w:t> </w:t>
      </w:r>
      <w:r>
        <w:rPr>
          <w:sz w:val="28"/>
          <w:vertAlign w:val="baseline"/>
        </w:rPr>
        <w:t>NI</w:t>
      </w:r>
      <w:r>
        <w:rPr>
          <w:spacing w:val="-5"/>
          <w:sz w:val="28"/>
          <w:vertAlign w:val="baseline"/>
        </w:rPr>
        <w:t> </w:t>
      </w:r>
      <w:r>
        <w:rPr>
          <w:sz w:val="28"/>
          <w:vertAlign w:val="baseline"/>
        </w:rPr>
        <w:t>and</w:t>
      </w:r>
      <w:r>
        <w:rPr>
          <w:spacing w:val="-6"/>
          <w:sz w:val="28"/>
          <w:vertAlign w:val="baseline"/>
        </w:rPr>
        <w:t> </w:t>
      </w:r>
      <w:r>
        <w:rPr>
          <w:sz w:val="28"/>
          <w:vertAlign w:val="baseline"/>
        </w:rPr>
        <w:t>the</w:t>
      </w:r>
    </w:p>
    <w:p>
      <w:pPr>
        <w:pStyle w:val="BodyText"/>
        <w:spacing w:line="225" w:lineRule="auto"/>
        <w:ind w:left="1853" w:right="1301"/>
      </w:pPr>
      <w:r>
        <w:rPr/>
        <w:t>Health and Social Care Trusts launched a new Interface Protocol on children missing</w:t>
      </w:r>
      <w:r>
        <w:rPr>
          <w:spacing w:val="-6"/>
        </w:rPr>
        <w:t> </w:t>
      </w:r>
      <w:r>
        <w:rPr/>
        <w:t>from</w:t>
      </w:r>
      <w:r>
        <w:rPr>
          <w:spacing w:val="-6"/>
        </w:rPr>
        <w:t> </w:t>
      </w:r>
      <w:r>
        <w:rPr/>
        <w:t>care</w:t>
      </w:r>
      <w:r>
        <w:rPr>
          <w:spacing w:val="-8"/>
        </w:rPr>
        <w:t> </w:t>
      </w:r>
      <w:r>
        <w:rPr/>
        <w:t>that</w:t>
      </w:r>
      <w:r>
        <w:rPr>
          <w:spacing w:val="-7"/>
        </w:rPr>
        <w:t> </w:t>
      </w:r>
      <w:r>
        <w:rPr/>
        <w:t>includes</w:t>
      </w:r>
      <w:r>
        <w:rPr>
          <w:spacing w:val="-7"/>
        </w:rPr>
        <w:t> </w:t>
      </w:r>
      <w:r>
        <w:rPr/>
        <w:t>specific</w:t>
      </w:r>
      <w:r>
        <w:rPr>
          <w:spacing w:val="-6"/>
        </w:rPr>
        <w:t> </w:t>
      </w:r>
      <w:r>
        <w:rPr/>
        <w:t>measures</w:t>
      </w:r>
      <w:r>
        <w:rPr>
          <w:spacing w:val="-7"/>
        </w:rPr>
        <w:t> </w:t>
      </w:r>
      <w:r>
        <w:rPr/>
        <w:t>targeted</w:t>
      </w:r>
      <w:r>
        <w:rPr>
          <w:spacing w:val="-7"/>
        </w:rPr>
        <w:t> </w:t>
      </w:r>
      <w:r>
        <w:rPr/>
        <w:t>at</w:t>
      </w:r>
      <w:r>
        <w:rPr>
          <w:spacing w:val="-6"/>
        </w:rPr>
        <w:t> </w:t>
      </w:r>
      <w:r>
        <w:rPr/>
        <w:t>children</w:t>
      </w:r>
      <w:r>
        <w:rPr>
          <w:spacing w:val="-7"/>
        </w:rPr>
        <w:t> </w:t>
      </w:r>
      <w:r>
        <w:rPr/>
        <w:t>at</w:t>
      </w:r>
      <w:r>
        <w:rPr>
          <w:spacing w:val="-6"/>
        </w:rPr>
        <w:t> </w:t>
      </w:r>
      <w:r>
        <w:rPr/>
        <w:t>risk of sexual exploitation.</w:t>
      </w:r>
      <w:r>
        <w:rPr>
          <w:vertAlign w:val="superscript"/>
        </w:rPr>
        <w:t>371</w:t>
      </w:r>
    </w:p>
    <w:p>
      <w:pPr>
        <w:pStyle w:val="BodyText"/>
        <w:rPr>
          <w:sz w:val="20"/>
        </w:rPr>
      </w:pPr>
    </w:p>
    <w:p>
      <w:pPr>
        <w:pStyle w:val="BodyText"/>
        <w:rPr>
          <w:sz w:val="20"/>
        </w:rPr>
      </w:pPr>
    </w:p>
    <w:p>
      <w:pPr>
        <w:pStyle w:val="BodyText"/>
        <w:spacing w:before="198"/>
        <w:rPr>
          <w:sz w:val="20"/>
        </w:rPr>
      </w:pPr>
      <w:r>
        <w:rPr/>
        <mc:AlternateContent>
          <mc:Choice Requires="wps">
            <w:drawing>
              <wp:anchor distT="0" distB="0" distL="0" distR="0" allowOverlap="1" layoutInCell="1" locked="0" behindDoc="1" simplePos="0" relativeHeight="487667712">
                <wp:simplePos x="0" y="0"/>
                <wp:positionH relativeFrom="page">
                  <wp:posOffset>719996</wp:posOffset>
                </wp:positionH>
                <wp:positionV relativeFrom="paragraph">
                  <wp:posOffset>296357</wp:posOffset>
                </wp:positionV>
                <wp:extent cx="6120130" cy="1270"/>
                <wp:effectExtent l="0" t="0" r="0" b="0"/>
                <wp:wrapTopAndBottom/>
                <wp:docPr id="352" name="Graphic 352"/>
                <wp:cNvGraphicFramePr>
                  <a:graphicFrameLocks/>
                </wp:cNvGraphicFramePr>
                <a:graphic>
                  <a:graphicData uri="http://schemas.microsoft.com/office/word/2010/wordprocessingShape">
                    <wps:wsp>
                      <wps:cNvPr id="352" name="Graphic 352"/>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3.335266pt;width:481.9pt;height:.1pt;mso-position-horizontal-relative:page;mso-position-vertical-relative:paragraph;z-index:-15648768;mso-wrap-distance-left:0;mso-wrap-distance-right:0" id="docshape302" coordorigin="1134,467" coordsize="9638,0" path="m10772,467l1134,467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35" w:lineRule="auto" w:before="157" w:after="0"/>
        <w:ind w:left="1853" w:right="1748" w:hanging="720"/>
        <w:jc w:val="left"/>
        <w:rPr>
          <w:sz w:val="18"/>
        </w:rPr>
      </w:pPr>
      <w:r>
        <w:rPr>
          <w:sz w:val="18"/>
        </w:rPr>
        <w:t>Recital</w:t>
      </w:r>
      <w:r>
        <w:rPr>
          <w:spacing w:val="-6"/>
          <w:sz w:val="18"/>
        </w:rPr>
        <w:t> </w:t>
      </w:r>
      <w:r>
        <w:rPr>
          <w:sz w:val="18"/>
        </w:rPr>
        <w:t>31,</w:t>
      </w:r>
      <w:r>
        <w:rPr>
          <w:spacing w:val="-5"/>
          <w:sz w:val="18"/>
        </w:rPr>
        <w:t> </w:t>
      </w:r>
      <w:r>
        <w:rPr>
          <w:sz w:val="18"/>
        </w:rPr>
        <w:t>Directive</w:t>
      </w:r>
      <w:r>
        <w:rPr>
          <w:spacing w:val="-5"/>
          <w:sz w:val="18"/>
        </w:rPr>
        <w:t> </w:t>
      </w:r>
      <w:r>
        <w:rPr>
          <w:sz w:val="18"/>
        </w:rPr>
        <w:t>2011/93/EU,</w:t>
      </w:r>
      <w:r>
        <w:rPr>
          <w:spacing w:val="-5"/>
          <w:sz w:val="18"/>
        </w:rPr>
        <w:t> </w:t>
      </w:r>
      <w:r>
        <w:rPr>
          <w:sz w:val="18"/>
        </w:rPr>
        <w:t>‘EU</w:t>
      </w:r>
      <w:r>
        <w:rPr>
          <w:spacing w:val="-5"/>
          <w:sz w:val="18"/>
        </w:rPr>
        <w:t> </w:t>
      </w:r>
      <w:r>
        <w:rPr>
          <w:sz w:val="18"/>
        </w:rPr>
        <w:t>Parliament</w:t>
      </w:r>
      <w:r>
        <w:rPr>
          <w:spacing w:val="-5"/>
          <w:sz w:val="18"/>
        </w:rPr>
        <w:t> </w:t>
      </w:r>
      <w:r>
        <w:rPr>
          <w:sz w:val="18"/>
        </w:rPr>
        <w:t>and</w:t>
      </w:r>
      <w:r>
        <w:rPr>
          <w:spacing w:val="-6"/>
          <w:sz w:val="18"/>
        </w:rPr>
        <w:t> </w:t>
      </w:r>
      <w:r>
        <w:rPr>
          <w:sz w:val="18"/>
        </w:rPr>
        <w:t>Council</w:t>
      </w:r>
      <w:r>
        <w:rPr>
          <w:spacing w:val="-6"/>
          <w:sz w:val="18"/>
        </w:rPr>
        <w:t> </w:t>
      </w:r>
      <w:r>
        <w:rPr>
          <w:sz w:val="18"/>
        </w:rPr>
        <w:t>Directive</w:t>
      </w:r>
      <w:r>
        <w:rPr>
          <w:spacing w:val="-5"/>
          <w:sz w:val="18"/>
        </w:rPr>
        <w:t> </w:t>
      </w:r>
      <w:r>
        <w:rPr>
          <w:sz w:val="18"/>
        </w:rPr>
        <w:t>on</w:t>
      </w:r>
      <w:r>
        <w:rPr>
          <w:spacing w:val="-6"/>
          <w:sz w:val="18"/>
        </w:rPr>
        <w:t> </w:t>
      </w:r>
      <w:r>
        <w:rPr>
          <w:sz w:val="18"/>
        </w:rPr>
        <w:t>Combating</w:t>
      </w:r>
      <w:r>
        <w:rPr>
          <w:spacing w:val="-5"/>
          <w:sz w:val="18"/>
        </w:rPr>
        <w:t> </w:t>
      </w:r>
      <w:r>
        <w:rPr>
          <w:sz w:val="18"/>
        </w:rPr>
        <w:t>the</w:t>
      </w:r>
      <w:r>
        <w:rPr>
          <w:spacing w:val="-5"/>
          <w:sz w:val="18"/>
        </w:rPr>
        <w:t> </w:t>
      </w:r>
      <w:r>
        <w:rPr>
          <w:sz w:val="18"/>
        </w:rPr>
        <w:t>Sexual</w:t>
      </w:r>
      <w:r>
        <w:rPr>
          <w:spacing w:val="-6"/>
          <w:sz w:val="18"/>
        </w:rPr>
        <w:t> </w:t>
      </w:r>
      <w:r>
        <w:rPr>
          <w:sz w:val="18"/>
        </w:rPr>
        <w:t>Abuse</w:t>
      </w:r>
      <w:r>
        <w:rPr>
          <w:spacing w:val="-5"/>
          <w:sz w:val="18"/>
        </w:rPr>
        <w:t> </w:t>
      </w:r>
      <w:r>
        <w:rPr>
          <w:sz w:val="18"/>
        </w:rPr>
        <w:t>and</w:t>
      </w:r>
      <w:r>
        <w:rPr>
          <w:spacing w:val="-6"/>
          <w:sz w:val="18"/>
        </w:rPr>
        <w:t> </w:t>
      </w:r>
      <w:r>
        <w:rPr>
          <w:sz w:val="18"/>
        </w:rPr>
        <w:t>Sexual Exploitation of Children and Child Pornography’, 13 December 2011.</w:t>
      </w:r>
    </w:p>
    <w:p>
      <w:pPr>
        <w:pStyle w:val="ListParagraph"/>
        <w:numPr>
          <w:ilvl w:val="0"/>
          <w:numId w:val="9"/>
        </w:numPr>
        <w:tabs>
          <w:tab w:pos="1853" w:val="left" w:leader="none"/>
        </w:tabs>
        <w:spacing w:line="235" w:lineRule="auto" w:before="1" w:after="0"/>
        <w:ind w:left="1853" w:right="1246" w:hanging="720"/>
        <w:jc w:val="left"/>
        <w:rPr>
          <w:sz w:val="18"/>
        </w:rPr>
      </w:pPr>
      <w:r>
        <w:rPr>
          <w:sz w:val="18"/>
        </w:rPr>
        <w:t>CRC/C/GBR/CO/6-7,</w:t>
      </w:r>
      <w:r>
        <w:rPr>
          <w:spacing w:val="-4"/>
          <w:sz w:val="18"/>
        </w:rPr>
        <w:t> </w:t>
      </w:r>
      <w:r>
        <w:rPr>
          <w:sz w:val="18"/>
        </w:rPr>
        <w:t>‘UN</w:t>
      </w:r>
      <w:r>
        <w:rPr>
          <w:spacing w:val="-4"/>
          <w:sz w:val="18"/>
        </w:rPr>
        <w:t> </w:t>
      </w:r>
      <w:r>
        <w:rPr>
          <w:sz w:val="18"/>
        </w:rPr>
        <w:t>CRC</w:t>
      </w:r>
      <w:r>
        <w:rPr>
          <w:spacing w:val="-5"/>
          <w:sz w:val="18"/>
        </w:rPr>
        <w:t> </w:t>
      </w:r>
      <w:r>
        <w:rPr>
          <w:sz w:val="18"/>
        </w:rPr>
        <w:t>Committee</w:t>
      </w:r>
      <w:r>
        <w:rPr>
          <w:spacing w:val="-4"/>
          <w:sz w:val="18"/>
        </w:rPr>
        <w:t> </w:t>
      </w:r>
      <w:r>
        <w:rPr>
          <w:sz w:val="18"/>
        </w:rPr>
        <w:t>Concluding</w:t>
      </w:r>
      <w:r>
        <w:rPr>
          <w:spacing w:val="-4"/>
          <w:sz w:val="18"/>
        </w:rPr>
        <w:t> </w:t>
      </w:r>
      <w:r>
        <w:rPr>
          <w:sz w:val="18"/>
        </w:rPr>
        <w:t>Observations</w:t>
      </w:r>
      <w:r>
        <w:rPr>
          <w:spacing w:val="-5"/>
          <w:sz w:val="18"/>
        </w:rPr>
        <w:t> </w:t>
      </w:r>
      <w:r>
        <w:rPr>
          <w:sz w:val="18"/>
        </w:rPr>
        <w:t>on</w:t>
      </w:r>
      <w:r>
        <w:rPr>
          <w:spacing w:val="-5"/>
          <w:sz w:val="18"/>
        </w:rPr>
        <w:t> </w:t>
      </w:r>
      <w:r>
        <w:rPr>
          <w:sz w:val="18"/>
        </w:rPr>
        <w:t>the</w:t>
      </w:r>
      <w:r>
        <w:rPr>
          <w:spacing w:val="-4"/>
          <w:sz w:val="18"/>
        </w:rPr>
        <w:t> </w:t>
      </w:r>
      <w:r>
        <w:rPr>
          <w:sz w:val="18"/>
        </w:rPr>
        <w:t>Combined</w:t>
      </w:r>
      <w:r>
        <w:rPr>
          <w:spacing w:val="-5"/>
          <w:sz w:val="18"/>
        </w:rPr>
        <w:t> </w:t>
      </w:r>
      <w:r>
        <w:rPr>
          <w:sz w:val="18"/>
        </w:rPr>
        <w:t>Sixth</w:t>
      </w:r>
      <w:r>
        <w:rPr>
          <w:spacing w:val="-5"/>
          <w:sz w:val="18"/>
        </w:rPr>
        <w:t> </w:t>
      </w:r>
      <w:r>
        <w:rPr>
          <w:sz w:val="18"/>
        </w:rPr>
        <w:t>and</w:t>
      </w:r>
      <w:r>
        <w:rPr>
          <w:spacing w:val="-5"/>
          <w:sz w:val="18"/>
        </w:rPr>
        <w:t> </w:t>
      </w:r>
      <w:r>
        <w:rPr>
          <w:sz w:val="18"/>
        </w:rPr>
        <w:t>Seventh</w:t>
      </w:r>
      <w:r>
        <w:rPr>
          <w:spacing w:val="-5"/>
          <w:sz w:val="18"/>
        </w:rPr>
        <w:t> </w:t>
      </w:r>
      <w:r>
        <w:rPr>
          <w:sz w:val="18"/>
        </w:rPr>
        <w:t>Reports</w:t>
      </w:r>
      <w:r>
        <w:rPr>
          <w:spacing w:val="-5"/>
          <w:sz w:val="18"/>
        </w:rPr>
        <w:t> </w:t>
      </w:r>
      <w:r>
        <w:rPr>
          <w:sz w:val="18"/>
        </w:rPr>
        <w:t>of</w:t>
      </w:r>
      <w:r>
        <w:rPr>
          <w:spacing w:val="-5"/>
          <w:sz w:val="18"/>
        </w:rPr>
        <w:t> </w:t>
      </w:r>
      <w:r>
        <w:rPr>
          <w:sz w:val="18"/>
        </w:rPr>
        <w:t>the</w:t>
      </w:r>
      <w:r>
        <w:rPr>
          <w:spacing w:val="-4"/>
          <w:sz w:val="18"/>
        </w:rPr>
        <w:t> </w:t>
      </w:r>
      <w:r>
        <w:rPr>
          <w:sz w:val="18"/>
        </w:rPr>
        <w:t>UK of Great Britain and NI’, 2 June 2023, at para 55(a).</w:t>
      </w:r>
    </w:p>
    <w:p>
      <w:pPr>
        <w:pStyle w:val="ListParagraph"/>
        <w:numPr>
          <w:ilvl w:val="0"/>
          <w:numId w:val="9"/>
        </w:numPr>
        <w:tabs>
          <w:tab w:pos="1853" w:val="left" w:leader="none"/>
        </w:tabs>
        <w:spacing w:line="216"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paras</w:t>
      </w:r>
      <w:r>
        <w:rPr>
          <w:spacing w:val="-3"/>
          <w:sz w:val="18"/>
        </w:rPr>
        <w:t> </w:t>
      </w:r>
      <w:r>
        <w:rPr>
          <w:sz w:val="18"/>
        </w:rPr>
        <w:t>33(c),</w:t>
      </w:r>
      <w:r>
        <w:rPr>
          <w:spacing w:val="-2"/>
          <w:sz w:val="18"/>
        </w:rPr>
        <w:t> </w:t>
      </w:r>
      <w:r>
        <w:rPr>
          <w:sz w:val="18"/>
        </w:rPr>
        <w:t>33(i)</w:t>
      </w:r>
      <w:r>
        <w:rPr>
          <w:spacing w:val="-3"/>
          <w:sz w:val="18"/>
        </w:rPr>
        <w:t> </w:t>
      </w:r>
      <w:r>
        <w:rPr>
          <w:sz w:val="18"/>
        </w:rPr>
        <w:t>and</w:t>
      </w:r>
      <w:r>
        <w:rPr>
          <w:spacing w:val="-3"/>
          <w:sz w:val="18"/>
        </w:rPr>
        <w:t> </w:t>
      </w:r>
      <w:r>
        <w:rPr>
          <w:spacing w:val="-2"/>
          <w:sz w:val="18"/>
        </w:rPr>
        <w:t>33(k).</w:t>
      </w:r>
    </w:p>
    <w:p>
      <w:pPr>
        <w:pStyle w:val="ListParagraph"/>
        <w:numPr>
          <w:ilvl w:val="0"/>
          <w:numId w:val="9"/>
        </w:numPr>
        <w:tabs>
          <w:tab w:pos="1853" w:val="left" w:leader="none"/>
        </w:tabs>
        <w:spacing w:line="235" w:lineRule="auto" w:before="1" w:after="0"/>
        <w:ind w:left="1853" w:right="1426" w:hanging="720"/>
        <w:jc w:val="left"/>
        <w:rPr>
          <w:sz w:val="18"/>
        </w:rPr>
      </w:pPr>
      <w:r>
        <w:rPr>
          <w:sz w:val="18"/>
        </w:rPr>
        <w:t>Criminal</w:t>
      </w:r>
      <w:r>
        <w:rPr>
          <w:spacing w:val="-5"/>
          <w:sz w:val="18"/>
        </w:rPr>
        <w:t> </w:t>
      </w:r>
      <w:r>
        <w:rPr>
          <w:sz w:val="18"/>
        </w:rPr>
        <w:t>Justice</w:t>
      </w:r>
      <w:r>
        <w:rPr>
          <w:spacing w:val="-4"/>
          <w:sz w:val="18"/>
        </w:rPr>
        <w:t> </w:t>
      </w:r>
      <w:r>
        <w:rPr>
          <w:sz w:val="18"/>
        </w:rPr>
        <w:t>Inspection</w:t>
      </w:r>
      <w:r>
        <w:rPr>
          <w:spacing w:val="-5"/>
          <w:sz w:val="18"/>
        </w:rPr>
        <w:t> </w:t>
      </w:r>
      <w:r>
        <w:rPr>
          <w:sz w:val="18"/>
        </w:rPr>
        <w:t>NI,</w:t>
      </w:r>
      <w:r>
        <w:rPr>
          <w:spacing w:val="-4"/>
          <w:sz w:val="18"/>
        </w:rPr>
        <w:t> </w:t>
      </w:r>
      <w:r>
        <w:rPr>
          <w:sz w:val="18"/>
        </w:rPr>
        <w:t>‘Child</w:t>
      </w:r>
      <w:r>
        <w:rPr>
          <w:spacing w:val="-5"/>
          <w:sz w:val="18"/>
        </w:rPr>
        <w:t> </w:t>
      </w:r>
      <w:r>
        <w:rPr>
          <w:sz w:val="18"/>
        </w:rPr>
        <w:t>Sexual</w:t>
      </w:r>
      <w:r>
        <w:rPr>
          <w:spacing w:val="-5"/>
          <w:sz w:val="18"/>
        </w:rPr>
        <w:t> </w:t>
      </w:r>
      <w:r>
        <w:rPr>
          <w:sz w:val="18"/>
        </w:rPr>
        <w:t>Exploitation</w:t>
      </w:r>
      <w:r>
        <w:rPr>
          <w:spacing w:val="-5"/>
          <w:sz w:val="18"/>
        </w:rPr>
        <w:t> </w:t>
      </w:r>
      <w:r>
        <w:rPr>
          <w:sz w:val="18"/>
        </w:rPr>
        <w:t>in</w:t>
      </w:r>
      <w:r>
        <w:rPr>
          <w:spacing w:val="-5"/>
          <w:sz w:val="18"/>
        </w:rPr>
        <w:t> </w:t>
      </w:r>
      <w:r>
        <w:rPr>
          <w:sz w:val="18"/>
        </w:rPr>
        <w:t>NI:</w:t>
      </w:r>
      <w:r>
        <w:rPr>
          <w:spacing w:val="-4"/>
          <w:sz w:val="18"/>
        </w:rPr>
        <w:t> </w:t>
      </w:r>
      <w:r>
        <w:rPr>
          <w:sz w:val="18"/>
        </w:rPr>
        <w:t>An</w:t>
      </w:r>
      <w:r>
        <w:rPr>
          <w:spacing w:val="-5"/>
          <w:sz w:val="18"/>
        </w:rPr>
        <w:t> </w:t>
      </w:r>
      <w:r>
        <w:rPr>
          <w:sz w:val="18"/>
        </w:rPr>
        <w:t>Inspection</w:t>
      </w:r>
      <w:r>
        <w:rPr>
          <w:spacing w:val="-5"/>
          <w:sz w:val="18"/>
        </w:rPr>
        <w:t> </w:t>
      </w:r>
      <w:r>
        <w:rPr>
          <w:sz w:val="18"/>
        </w:rPr>
        <w:t>of</w:t>
      </w:r>
      <w:r>
        <w:rPr>
          <w:spacing w:val="-5"/>
          <w:sz w:val="18"/>
        </w:rPr>
        <w:t> </w:t>
      </w:r>
      <w:r>
        <w:rPr>
          <w:sz w:val="18"/>
        </w:rPr>
        <w:t>the</w:t>
      </w:r>
      <w:r>
        <w:rPr>
          <w:spacing w:val="-4"/>
          <w:sz w:val="18"/>
        </w:rPr>
        <w:t> </w:t>
      </w:r>
      <w:r>
        <w:rPr>
          <w:sz w:val="18"/>
        </w:rPr>
        <w:t>Criminal</w:t>
      </w:r>
      <w:r>
        <w:rPr>
          <w:spacing w:val="-5"/>
          <w:sz w:val="18"/>
        </w:rPr>
        <w:t> </w:t>
      </w:r>
      <w:r>
        <w:rPr>
          <w:sz w:val="18"/>
        </w:rPr>
        <w:t>Justice</w:t>
      </w:r>
      <w:r>
        <w:rPr>
          <w:spacing w:val="-4"/>
          <w:sz w:val="18"/>
        </w:rPr>
        <w:t> </w:t>
      </w:r>
      <w:r>
        <w:rPr>
          <w:sz w:val="18"/>
        </w:rPr>
        <w:t>System’s</w:t>
      </w:r>
      <w:r>
        <w:rPr>
          <w:spacing w:val="-5"/>
          <w:sz w:val="18"/>
        </w:rPr>
        <w:t> </w:t>
      </w:r>
      <w:r>
        <w:rPr>
          <w:sz w:val="18"/>
        </w:rPr>
        <w:t>Response’ (CJINI, 2020).</w:t>
      </w:r>
    </w:p>
    <w:p>
      <w:pPr>
        <w:pStyle w:val="ListParagraph"/>
        <w:numPr>
          <w:ilvl w:val="0"/>
          <w:numId w:val="9"/>
        </w:numPr>
        <w:tabs>
          <w:tab w:pos="1853" w:val="left" w:leader="none"/>
        </w:tabs>
        <w:spacing w:line="216" w:lineRule="exact" w:before="0" w:after="0"/>
        <w:ind w:left="1853" w:right="0" w:hanging="720"/>
        <w:jc w:val="left"/>
        <w:rPr>
          <w:sz w:val="18"/>
        </w:rPr>
      </w:pPr>
      <w:r>
        <w:rPr>
          <w:spacing w:val="-4"/>
          <w:sz w:val="18"/>
        </w:rPr>
        <w:t>Ibid.</w:t>
      </w:r>
    </w:p>
    <w:p>
      <w:pPr>
        <w:pStyle w:val="ListParagraph"/>
        <w:numPr>
          <w:ilvl w:val="0"/>
          <w:numId w:val="9"/>
        </w:numPr>
        <w:tabs>
          <w:tab w:pos="1853" w:val="left" w:leader="none"/>
        </w:tabs>
        <w:spacing w:line="235" w:lineRule="auto" w:before="2" w:after="0"/>
        <w:ind w:left="1853" w:right="1314" w:hanging="720"/>
        <w:jc w:val="left"/>
        <w:rPr>
          <w:sz w:val="18"/>
        </w:rPr>
      </w:pPr>
      <w:r>
        <w:rPr>
          <w:sz w:val="18"/>
        </w:rPr>
        <w:t>For each of the main sexual offence classifications of rape, sexual assault and sexual activity, there have been generally increasing trends between 2007/2008 and 2022/2023 where the victim was under 18 at the time the offence was committed. Rape recorded the highest number of offences in 2021/22 at 519 and sexual assaults reached the highest level</w:t>
      </w:r>
      <w:r>
        <w:rPr>
          <w:spacing w:val="-4"/>
          <w:sz w:val="18"/>
        </w:rPr>
        <w:t> </w:t>
      </w:r>
      <w:r>
        <w:rPr>
          <w:sz w:val="18"/>
        </w:rPr>
        <w:t>in</w:t>
      </w:r>
      <w:r>
        <w:rPr>
          <w:spacing w:val="-4"/>
          <w:sz w:val="18"/>
        </w:rPr>
        <w:t> </w:t>
      </w:r>
      <w:r>
        <w:rPr>
          <w:sz w:val="18"/>
        </w:rPr>
        <w:t>2022/2023</w:t>
      </w:r>
      <w:r>
        <w:rPr>
          <w:spacing w:val="-3"/>
          <w:sz w:val="18"/>
        </w:rPr>
        <w:t> </w:t>
      </w:r>
      <w:r>
        <w:rPr>
          <w:sz w:val="18"/>
        </w:rPr>
        <w:t>at</w:t>
      </w:r>
      <w:r>
        <w:rPr>
          <w:spacing w:val="-3"/>
          <w:sz w:val="18"/>
        </w:rPr>
        <w:t> </w:t>
      </w:r>
      <w:r>
        <w:rPr>
          <w:sz w:val="18"/>
        </w:rPr>
        <w:t>1,087.</w:t>
      </w:r>
      <w:r>
        <w:rPr>
          <w:spacing w:val="-4"/>
          <w:sz w:val="18"/>
        </w:rPr>
        <w:t> </w:t>
      </w:r>
      <w:r>
        <w:rPr>
          <w:sz w:val="18"/>
        </w:rPr>
        <w:t>See</w:t>
      </w:r>
      <w:r>
        <w:rPr>
          <w:spacing w:val="-3"/>
          <w:sz w:val="18"/>
        </w:rPr>
        <w:t> </w:t>
      </w:r>
      <w:r>
        <w:rPr>
          <w:sz w:val="18"/>
        </w:rPr>
        <w:t>Police</w:t>
      </w:r>
      <w:r>
        <w:rPr>
          <w:spacing w:val="-3"/>
          <w:sz w:val="18"/>
        </w:rPr>
        <w:t> </w:t>
      </w:r>
      <w:r>
        <w:rPr>
          <w:sz w:val="18"/>
        </w:rPr>
        <w:t>Service</w:t>
      </w:r>
      <w:r>
        <w:rPr>
          <w:spacing w:val="-3"/>
          <w:sz w:val="18"/>
        </w:rPr>
        <w:t> </w:t>
      </w:r>
      <w:r>
        <w:rPr>
          <w:sz w:val="18"/>
        </w:rPr>
        <w:t>of</w:t>
      </w:r>
      <w:r>
        <w:rPr>
          <w:spacing w:val="-4"/>
          <w:sz w:val="18"/>
        </w:rPr>
        <w:t> </w:t>
      </w:r>
      <w:r>
        <w:rPr>
          <w:sz w:val="18"/>
        </w:rPr>
        <w:t>NI,</w:t>
      </w:r>
      <w:r>
        <w:rPr>
          <w:spacing w:val="-3"/>
          <w:sz w:val="18"/>
        </w:rPr>
        <w:t> </w:t>
      </w:r>
      <w:r>
        <w:rPr>
          <w:sz w:val="18"/>
        </w:rPr>
        <w:t>‘Trends</w:t>
      </w:r>
      <w:r>
        <w:rPr>
          <w:spacing w:val="-4"/>
          <w:sz w:val="18"/>
        </w:rPr>
        <w:t> </w:t>
      </w:r>
      <w:r>
        <w:rPr>
          <w:sz w:val="18"/>
        </w:rPr>
        <w:t>in</w:t>
      </w:r>
      <w:r>
        <w:rPr>
          <w:spacing w:val="-4"/>
          <w:sz w:val="18"/>
        </w:rPr>
        <w:t> </w:t>
      </w:r>
      <w:r>
        <w:rPr>
          <w:sz w:val="18"/>
        </w:rPr>
        <w:t>Police</w:t>
      </w:r>
      <w:r>
        <w:rPr>
          <w:spacing w:val="-3"/>
          <w:sz w:val="18"/>
        </w:rPr>
        <w:t> </w:t>
      </w:r>
      <w:r>
        <w:rPr>
          <w:sz w:val="18"/>
        </w:rPr>
        <w:t>Recorded</w:t>
      </w:r>
      <w:r>
        <w:rPr>
          <w:spacing w:val="-4"/>
          <w:sz w:val="18"/>
        </w:rPr>
        <w:t> </w:t>
      </w:r>
      <w:r>
        <w:rPr>
          <w:sz w:val="18"/>
        </w:rPr>
        <w:t>Crime</w:t>
      </w:r>
      <w:r>
        <w:rPr>
          <w:spacing w:val="-3"/>
          <w:sz w:val="18"/>
        </w:rPr>
        <w:t> </w:t>
      </w:r>
      <w:r>
        <w:rPr>
          <w:sz w:val="18"/>
        </w:rPr>
        <w:t>in</w:t>
      </w:r>
      <w:r>
        <w:rPr>
          <w:spacing w:val="-4"/>
          <w:sz w:val="18"/>
        </w:rPr>
        <w:t> </w:t>
      </w:r>
      <w:r>
        <w:rPr>
          <w:sz w:val="18"/>
        </w:rPr>
        <w:t>Northern</w:t>
      </w:r>
      <w:r>
        <w:rPr>
          <w:spacing w:val="-4"/>
          <w:sz w:val="18"/>
        </w:rPr>
        <w:t> </w:t>
      </w:r>
      <w:r>
        <w:rPr>
          <w:sz w:val="18"/>
        </w:rPr>
        <w:t>Ireland</w:t>
      </w:r>
      <w:r>
        <w:rPr>
          <w:spacing w:val="-4"/>
          <w:sz w:val="18"/>
        </w:rPr>
        <w:t> </w:t>
      </w:r>
      <w:r>
        <w:rPr>
          <w:sz w:val="18"/>
        </w:rPr>
        <w:t>1998/1999</w:t>
      </w:r>
      <w:r>
        <w:rPr>
          <w:spacing w:val="-3"/>
          <w:sz w:val="18"/>
        </w:rPr>
        <w:t> </w:t>
      </w:r>
      <w:r>
        <w:rPr>
          <w:sz w:val="18"/>
        </w:rPr>
        <w:t>to 2022/2023’ (PSNI, 2023).</w:t>
      </w:r>
    </w:p>
    <w:p>
      <w:pPr>
        <w:pStyle w:val="ListParagraph"/>
        <w:numPr>
          <w:ilvl w:val="0"/>
          <w:numId w:val="9"/>
        </w:numPr>
        <w:tabs>
          <w:tab w:pos="1853" w:val="left" w:leader="none"/>
        </w:tabs>
        <w:spacing w:line="235" w:lineRule="auto" w:before="3" w:after="0"/>
        <w:ind w:left="1853" w:right="1457" w:hanging="720"/>
        <w:jc w:val="left"/>
        <w:rPr>
          <w:sz w:val="18"/>
        </w:rPr>
      </w:pPr>
      <w:r>
        <w:rPr>
          <w:sz w:val="18"/>
        </w:rPr>
        <w:t>In</w:t>
      </w:r>
      <w:r>
        <w:rPr>
          <w:spacing w:val="-4"/>
          <w:sz w:val="18"/>
        </w:rPr>
        <w:t> </w:t>
      </w:r>
      <w:r>
        <w:rPr>
          <w:sz w:val="18"/>
        </w:rPr>
        <w:t>2022/2023</w:t>
      </w:r>
      <w:r>
        <w:rPr>
          <w:spacing w:val="-3"/>
          <w:sz w:val="18"/>
        </w:rPr>
        <w:t> </w:t>
      </w:r>
      <w:r>
        <w:rPr>
          <w:sz w:val="18"/>
        </w:rPr>
        <w:t>there</w:t>
      </w:r>
      <w:r>
        <w:rPr>
          <w:spacing w:val="-3"/>
          <w:sz w:val="18"/>
        </w:rPr>
        <w:t> </w:t>
      </w:r>
      <w:r>
        <w:rPr>
          <w:sz w:val="18"/>
        </w:rPr>
        <w:t>were</w:t>
      </w:r>
      <w:r>
        <w:rPr>
          <w:spacing w:val="-3"/>
          <w:sz w:val="18"/>
        </w:rPr>
        <w:t> </w:t>
      </w:r>
      <w:r>
        <w:rPr>
          <w:sz w:val="18"/>
        </w:rPr>
        <w:t>four</w:t>
      </w:r>
      <w:r>
        <w:rPr>
          <w:spacing w:val="-3"/>
          <w:sz w:val="18"/>
        </w:rPr>
        <w:t> </w:t>
      </w:r>
      <w:r>
        <w:rPr>
          <w:sz w:val="18"/>
        </w:rPr>
        <w:t>female</w:t>
      </w:r>
      <w:r>
        <w:rPr>
          <w:spacing w:val="-3"/>
          <w:sz w:val="18"/>
        </w:rPr>
        <w:t> </w:t>
      </w:r>
      <w:r>
        <w:rPr>
          <w:sz w:val="18"/>
        </w:rPr>
        <w:t>victims</w:t>
      </w:r>
      <w:r>
        <w:rPr>
          <w:spacing w:val="-4"/>
          <w:sz w:val="18"/>
        </w:rPr>
        <w:t> </w:t>
      </w:r>
      <w:r>
        <w:rPr>
          <w:sz w:val="18"/>
        </w:rPr>
        <w:t>per</w:t>
      </w:r>
      <w:r>
        <w:rPr>
          <w:spacing w:val="-3"/>
          <w:sz w:val="18"/>
        </w:rPr>
        <w:t> </w:t>
      </w:r>
      <w:r>
        <w:rPr>
          <w:sz w:val="18"/>
        </w:rPr>
        <w:t>1,000</w:t>
      </w:r>
      <w:r>
        <w:rPr>
          <w:spacing w:val="-3"/>
          <w:sz w:val="18"/>
        </w:rPr>
        <w:t> </w:t>
      </w:r>
      <w:r>
        <w:rPr>
          <w:sz w:val="18"/>
        </w:rPr>
        <w:t>of</w:t>
      </w:r>
      <w:r>
        <w:rPr>
          <w:spacing w:val="-4"/>
          <w:sz w:val="18"/>
        </w:rPr>
        <w:t> </w:t>
      </w:r>
      <w:r>
        <w:rPr>
          <w:sz w:val="18"/>
        </w:rPr>
        <w:t>the</w:t>
      </w:r>
      <w:r>
        <w:rPr>
          <w:spacing w:val="-3"/>
          <w:sz w:val="18"/>
        </w:rPr>
        <w:t> </w:t>
      </w:r>
      <w:r>
        <w:rPr>
          <w:sz w:val="18"/>
        </w:rPr>
        <w:t>population</w:t>
      </w:r>
      <w:r>
        <w:rPr>
          <w:spacing w:val="-4"/>
          <w:sz w:val="18"/>
        </w:rPr>
        <w:t> </w:t>
      </w:r>
      <w:r>
        <w:rPr>
          <w:sz w:val="18"/>
        </w:rPr>
        <w:t>under</w:t>
      </w:r>
      <w:r>
        <w:rPr>
          <w:spacing w:val="-3"/>
          <w:sz w:val="18"/>
        </w:rPr>
        <w:t> </w:t>
      </w:r>
      <w:r>
        <w:rPr>
          <w:sz w:val="18"/>
        </w:rPr>
        <w:t>18.</w:t>
      </w:r>
      <w:r>
        <w:rPr>
          <w:spacing w:val="-4"/>
          <w:sz w:val="18"/>
        </w:rPr>
        <w:t> </w:t>
      </w:r>
      <w:r>
        <w:rPr>
          <w:sz w:val="18"/>
        </w:rPr>
        <w:t>See</w:t>
      </w:r>
      <w:r>
        <w:rPr>
          <w:spacing w:val="-3"/>
          <w:sz w:val="18"/>
        </w:rPr>
        <w:t> </w:t>
      </w:r>
      <w:r>
        <w:rPr>
          <w:sz w:val="18"/>
        </w:rPr>
        <w:t>Police</w:t>
      </w:r>
      <w:r>
        <w:rPr>
          <w:spacing w:val="-3"/>
          <w:sz w:val="18"/>
        </w:rPr>
        <w:t> </w:t>
      </w:r>
      <w:r>
        <w:rPr>
          <w:sz w:val="18"/>
        </w:rPr>
        <w:t>Service</w:t>
      </w:r>
      <w:r>
        <w:rPr>
          <w:spacing w:val="-3"/>
          <w:sz w:val="18"/>
        </w:rPr>
        <w:t> </w:t>
      </w:r>
      <w:r>
        <w:rPr>
          <w:sz w:val="18"/>
        </w:rPr>
        <w:t>of</w:t>
      </w:r>
      <w:r>
        <w:rPr>
          <w:spacing w:val="-4"/>
          <w:sz w:val="18"/>
        </w:rPr>
        <w:t> </w:t>
      </w:r>
      <w:r>
        <w:rPr>
          <w:sz w:val="18"/>
        </w:rPr>
        <w:t>NI,</w:t>
      </w:r>
      <w:r>
        <w:rPr>
          <w:spacing w:val="-3"/>
          <w:sz w:val="18"/>
        </w:rPr>
        <w:t> </w:t>
      </w:r>
      <w:r>
        <w:rPr>
          <w:sz w:val="18"/>
        </w:rPr>
        <w:t>‘Trends</w:t>
      </w:r>
      <w:r>
        <w:rPr>
          <w:spacing w:val="-4"/>
          <w:sz w:val="18"/>
        </w:rPr>
        <w:t> </w:t>
      </w:r>
      <w:r>
        <w:rPr>
          <w:sz w:val="18"/>
        </w:rPr>
        <w:t>in Police Recorded Crime in Northern Ireland 1998/1999 to 2022/2023’ (PSNI, 2023).</w:t>
      </w:r>
    </w:p>
    <w:p>
      <w:pPr>
        <w:pStyle w:val="ListParagraph"/>
        <w:numPr>
          <w:ilvl w:val="0"/>
          <w:numId w:val="9"/>
        </w:numPr>
        <w:tabs>
          <w:tab w:pos="1853" w:val="left" w:leader="none"/>
        </w:tabs>
        <w:spacing w:line="235" w:lineRule="auto" w:before="2" w:after="0"/>
        <w:ind w:left="1853" w:right="1383" w:hanging="720"/>
        <w:jc w:val="left"/>
        <w:rPr>
          <w:sz w:val="18"/>
        </w:rPr>
      </w:pPr>
      <w:r>
        <w:rPr>
          <w:sz w:val="18"/>
        </w:rPr>
        <w:t>Police Service of NI and Department of Health, ‘Interface Protocol Between Health and Social Care Trusts and Police Service</w:t>
      </w:r>
      <w:r>
        <w:rPr>
          <w:spacing w:val="-4"/>
          <w:sz w:val="18"/>
        </w:rPr>
        <w:t> </w:t>
      </w:r>
      <w:r>
        <w:rPr>
          <w:sz w:val="18"/>
        </w:rPr>
        <w:t>of</w:t>
      </w:r>
      <w:r>
        <w:rPr>
          <w:spacing w:val="-5"/>
          <w:sz w:val="18"/>
        </w:rPr>
        <w:t> </w:t>
      </w:r>
      <w:r>
        <w:rPr>
          <w:sz w:val="18"/>
        </w:rPr>
        <w:t>NI:</w:t>
      </w:r>
      <w:r>
        <w:rPr>
          <w:spacing w:val="-4"/>
          <w:sz w:val="18"/>
        </w:rPr>
        <w:t> </w:t>
      </w:r>
      <w:r>
        <w:rPr>
          <w:sz w:val="18"/>
        </w:rPr>
        <w:t>Where</w:t>
      </w:r>
      <w:r>
        <w:rPr>
          <w:spacing w:val="-4"/>
          <w:sz w:val="18"/>
        </w:rPr>
        <w:t> </w:t>
      </w:r>
      <w:r>
        <w:rPr>
          <w:sz w:val="18"/>
        </w:rPr>
        <w:t>a</w:t>
      </w:r>
      <w:r>
        <w:rPr>
          <w:spacing w:val="-5"/>
          <w:sz w:val="18"/>
        </w:rPr>
        <w:t> </w:t>
      </w:r>
      <w:r>
        <w:rPr>
          <w:sz w:val="18"/>
        </w:rPr>
        <w:t>Child</w:t>
      </w:r>
      <w:r>
        <w:rPr>
          <w:spacing w:val="-5"/>
          <w:sz w:val="18"/>
        </w:rPr>
        <w:t> </w:t>
      </w:r>
      <w:r>
        <w:rPr>
          <w:sz w:val="18"/>
        </w:rPr>
        <w:t>is</w:t>
      </w:r>
      <w:r>
        <w:rPr>
          <w:spacing w:val="-5"/>
          <w:sz w:val="18"/>
        </w:rPr>
        <w:t> </w:t>
      </w:r>
      <w:r>
        <w:rPr>
          <w:sz w:val="18"/>
        </w:rPr>
        <w:t>Reported</w:t>
      </w:r>
      <w:r>
        <w:rPr>
          <w:spacing w:val="-5"/>
          <w:sz w:val="18"/>
        </w:rPr>
        <w:t> </w:t>
      </w:r>
      <w:r>
        <w:rPr>
          <w:sz w:val="18"/>
        </w:rPr>
        <w:t>Missing</w:t>
      </w:r>
      <w:r>
        <w:rPr>
          <w:spacing w:val="-4"/>
          <w:sz w:val="18"/>
        </w:rPr>
        <w:t> </w:t>
      </w:r>
      <w:r>
        <w:rPr>
          <w:sz w:val="18"/>
        </w:rPr>
        <w:t>and</w:t>
      </w:r>
      <w:r>
        <w:rPr>
          <w:spacing w:val="-5"/>
          <w:sz w:val="18"/>
        </w:rPr>
        <w:t> </w:t>
      </w:r>
      <w:r>
        <w:rPr>
          <w:sz w:val="18"/>
        </w:rPr>
        <w:t>Other</w:t>
      </w:r>
      <w:r>
        <w:rPr>
          <w:spacing w:val="-4"/>
          <w:sz w:val="18"/>
        </w:rPr>
        <w:t> </w:t>
      </w:r>
      <w:r>
        <w:rPr>
          <w:sz w:val="18"/>
        </w:rPr>
        <w:t>Police</w:t>
      </w:r>
      <w:r>
        <w:rPr>
          <w:spacing w:val="-4"/>
          <w:sz w:val="18"/>
        </w:rPr>
        <w:t> </w:t>
      </w:r>
      <w:r>
        <w:rPr>
          <w:sz w:val="18"/>
        </w:rPr>
        <w:t>Interactions</w:t>
      </w:r>
      <w:r>
        <w:rPr>
          <w:spacing w:val="-5"/>
          <w:sz w:val="18"/>
        </w:rPr>
        <w:t> </w:t>
      </w:r>
      <w:r>
        <w:rPr>
          <w:sz w:val="18"/>
        </w:rPr>
        <w:t>with</w:t>
      </w:r>
      <w:r>
        <w:rPr>
          <w:spacing w:val="-5"/>
          <w:sz w:val="18"/>
        </w:rPr>
        <w:t> </w:t>
      </w:r>
      <w:r>
        <w:rPr>
          <w:sz w:val="18"/>
        </w:rPr>
        <w:t>Residential</w:t>
      </w:r>
      <w:r>
        <w:rPr>
          <w:spacing w:val="-5"/>
          <w:sz w:val="18"/>
        </w:rPr>
        <w:t> </w:t>
      </w:r>
      <w:r>
        <w:rPr>
          <w:sz w:val="18"/>
        </w:rPr>
        <w:t>Children’s</w:t>
      </w:r>
      <w:r>
        <w:rPr>
          <w:spacing w:val="-5"/>
          <w:sz w:val="18"/>
        </w:rPr>
        <w:t> </w:t>
      </w:r>
      <w:r>
        <w:rPr>
          <w:sz w:val="18"/>
        </w:rPr>
        <w:t>Homes’</w:t>
      </w:r>
      <w:r>
        <w:rPr>
          <w:spacing w:val="-4"/>
          <w:sz w:val="18"/>
        </w:rPr>
        <w:t> </w:t>
      </w:r>
      <w:r>
        <w:rPr>
          <w:sz w:val="18"/>
        </w:rPr>
        <w:t>(PSNI and DoH, 2023), at para 14.</w:t>
      </w:r>
    </w:p>
    <w:p>
      <w:pPr>
        <w:spacing w:after="0" w:line="235" w:lineRule="auto"/>
        <w:jc w:val="left"/>
        <w:rPr>
          <w:sz w:val="18"/>
        </w:rPr>
        <w:sectPr>
          <w:pgSz w:w="11910" w:h="16840"/>
          <w:pgMar w:header="496" w:footer="367" w:top="1220" w:bottom="560" w:left="0" w:right="0"/>
        </w:sectPr>
      </w:pPr>
    </w:p>
    <w:p>
      <w:pPr>
        <w:pStyle w:val="BodyText"/>
        <w:spacing w:before="198"/>
      </w:pPr>
    </w:p>
    <w:p>
      <w:pPr>
        <w:pStyle w:val="ListParagraph"/>
        <w:numPr>
          <w:ilvl w:val="1"/>
          <w:numId w:val="7"/>
        </w:numPr>
        <w:tabs>
          <w:tab w:pos="1853" w:val="left" w:leader="none"/>
        </w:tabs>
        <w:spacing w:line="225" w:lineRule="auto" w:before="0" w:after="0"/>
        <w:ind w:left="1853" w:right="1757" w:hanging="720"/>
        <w:jc w:val="left"/>
        <w:rPr>
          <w:sz w:val="28"/>
        </w:rPr>
      </w:pPr>
      <w:r>
        <w:rPr>
          <w:sz w:val="28"/>
        </w:rPr>
        <w:t>The Justice (Sexual Offences and Trafficking Victims) Act (NI) 2022 aims</w:t>
      </w:r>
      <w:r>
        <w:rPr>
          <w:sz w:val="28"/>
        </w:rPr>
        <w:t> to</w:t>
      </w:r>
      <w:r>
        <w:rPr>
          <w:spacing w:val="-13"/>
          <w:sz w:val="28"/>
        </w:rPr>
        <w:t> </w:t>
      </w:r>
      <w:r>
        <w:rPr>
          <w:sz w:val="28"/>
        </w:rPr>
        <w:t>implement</w:t>
      </w:r>
      <w:r>
        <w:rPr>
          <w:spacing w:val="-12"/>
          <w:sz w:val="28"/>
        </w:rPr>
        <w:t> </w:t>
      </w:r>
      <w:r>
        <w:rPr>
          <w:sz w:val="28"/>
        </w:rPr>
        <w:t>certain</w:t>
      </w:r>
      <w:r>
        <w:rPr>
          <w:spacing w:val="-13"/>
          <w:sz w:val="28"/>
        </w:rPr>
        <w:t> </w:t>
      </w:r>
      <w:r>
        <w:rPr>
          <w:sz w:val="28"/>
        </w:rPr>
        <w:t>Gillen</w:t>
      </w:r>
      <w:r>
        <w:rPr>
          <w:spacing w:val="-13"/>
          <w:sz w:val="28"/>
        </w:rPr>
        <w:t> </w:t>
      </w:r>
      <w:r>
        <w:rPr>
          <w:sz w:val="28"/>
        </w:rPr>
        <w:t>Review</w:t>
      </w:r>
      <w:r>
        <w:rPr>
          <w:spacing w:val="-12"/>
          <w:sz w:val="28"/>
        </w:rPr>
        <w:t> </w:t>
      </w:r>
      <w:r>
        <w:rPr>
          <w:sz w:val="28"/>
        </w:rPr>
        <w:t>Recommendations,</w:t>
      </w:r>
      <w:r>
        <w:rPr>
          <w:sz w:val="28"/>
          <w:vertAlign w:val="superscript"/>
        </w:rPr>
        <w:t>372</w:t>
      </w:r>
      <w:r>
        <w:rPr>
          <w:spacing w:val="-13"/>
          <w:sz w:val="28"/>
          <w:vertAlign w:val="baseline"/>
        </w:rPr>
        <w:t> </w:t>
      </w:r>
      <w:r>
        <w:rPr>
          <w:sz w:val="28"/>
          <w:vertAlign w:val="baseline"/>
        </w:rPr>
        <w:t>and</w:t>
      </w:r>
      <w:r>
        <w:rPr>
          <w:spacing w:val="-13"/>
          <w:sz w:val="28"/>
          <w:vertAlign w:val="baseline"/>
        </w:rPr>
        <w:t> </w:t>
      </w:r>
      <w:r>
        <w:rPr>
          <w:sz w:val="28"/>
          <w:vertAlign w:val="baseline"/>
        </w:rPr>
        <w:t>to</w:t>
      </w:r>
      <w:r>
        <w:rPr>
          <w:spacing w:val="-13"/>
          <w:sz w:val="28"/>
          <w:vertAlign w:val="baseline"/>
        </w:rPr>
        <w:t> </w:t>
      </w:r>
      <w:r>
        <w:rPr>
          <w:sz w:val="28"/>
          <w:vertAlign w:val="baseline"/>
        </w:rPr>
        <w:t>improve services for victims of trafficking and exploitation. It removes potentially</w:t>
      </w:r>
    </w:p>
    <w:p>
      <w:pPr>
        <w:pStyle w:val="BodyText"/>
        <w:spacing w:line="225" w:lineRule="auto"/>
        <w:ind w:left="1853" w:right="1171"/>
      </w:pPr>
      <w:r>
        <w:rPr/>
        <w:t>harmful</w:t>
      </w:r>
      <w:r>
        <w:rPr>
          <w:spacing w:val="-9"/>
        </w:rPr>
        <w:t> </w:t>
      </w:r>
      <w:r>
        <w:rPr/>
        <w:t>terms</w:t>
      </w:r>
      <w:r>
        <w:rPr>
          <w:spacing w:val="-9"/>
        </w:rPr>
        <w:t> </w:t>
      </w:r>
      <w:r>
        <w:rPr/>
        <w:t>such</w:t>
      </w:r>
      <w:r>
        <w:rPr>
          <w:spacing w:val="-9"/>
        </w:rPr>
        <w:t> </w:t>
      </w:r>
      <w:r>
        <w:rPr/>
        <w:t>as</w:t>
      </w:r>
      <w:r>
        <w:rPr>
          <w:spacing w:val="-9"/>
        </w:rPr>
        <w:t> </w:t>
      </w:r>
      <w:r>
        <w:rPr/>
        <w:t>‘child</w:t>
      </w:r>
      <w:r>
        <w:rPr>
          <w:spacing w:val="-9"/>
        </w:rPr>
        <w:t> </w:t>
      </w:r>
      <w:r>
        <w:rPr/>
        <w:t>prostitution’</w:t>
      </w:r>
      <w:r>
        <w:rPr>
          <w:spacing w:val="-8"/>
        </w:rPr>
        <w:t> </w:t>
      </w:r>
      <w:r>
        <w:rPr/>
        <w:t>and</w:t>
      </w:r>
      <w:r>
        <w:rPr>
          <w:spacing w:val="-9"/>
        </w:rPr>
        <w:t> </w:t>
      </w:r>
      <w:r>
        <w:rPr/>
        <w:t>‘child</w:t>
      </w:r>
      <w:r>
        <w:rPr>
          <w:spacing w:val="-9"/>
        </w:rPr>
        <w:t> </w:t>
      </w:r>
      <w:r>
        <w:rPr/>
        <w:t>pornography’</w:t>
      </w:r>
      <w:r>
        <w:rPr>
          <w:spacing w:val="-8"/>
        </w:rPr>
        <w:t> </w:t>
      </w:r>
      <w:r>
        <w:rPr/>
        <w:t>and</w:t>
      </w:r>
      <w:r>
        <w:rPr>
          <w:spacing w:val="-9"/>
        </w:rPr>
        <w:t> </w:t>
      </w:r>
      <w:r>
        <w:rPr/>
        <w:t>extends the scope of offences to include the abuse of positions of trust to sport and faith sector.</w:t>
      </w:r>
      <w:r>
        <w:rPr>
          <w:vertAlign w:val="superscript"/>
        </w:rPr>
        <w:t>373</w:t>
      </w:r>
    </w:p>
    <w:p>
      <w:pPr>
        <w:pStyle w:val="ListParagraph"/>
        <w:numPr>
          <w:ilvl w:val="1"/>
          <w:numId w:val="7"/>
        </w:numPr>
        <w:tabs>
          <w:tab w:pos="1853" w:val="left" w:leader="none"/>
        </w:tabs>
        <w:spacing w:line="225" w:lineRule="auto" w:before="313" w:after="0"/>
        <w:ind w:left="1853" w:right="1135" w:hanging="720"/>
        <w:jc w:val="left"/>
        <w:rPr>
          <w:sz w:val="28"/>
        </w:rPr>
      </w:pPr>
      <w:r>
        <w:rPr>
          <w:sz w:val="28"/>
        </w:rPr>
        <w:t>In December 2023, the NIHRC made a submission to the Lanzarote</w:t>
      </w:r>
      <w:r>
        <w:rPr>
          <w:sz w:val="28"/>
        </w:rPr>
        <w:t> Committee, who monitor the implementation of the CoE Convention on the Protection</w:t>
      </w:r>
      <w:r>
        <w:rPr>
          <w:spacing w:val="-7"/>
          <w:sz w:val="28"/>
        </w:rPr>
        <w:t> </w:t>
      </w:r>
      <w:r>
        <w:rPr>
          <w:sz w:val="28"/>
        </w:rPr>
        <w:t>of</w:t>
      </w:r>
      <w:r>
        <w:rPr>
          <w:spacing w:val="-7"/>
          <w:sz w:val="28"/>
        </w:rPr>
        <w:t> </w:t>
      </w:r>
      <w:r>
        <w:rPr>
          <w:sz w:val="28"/>
        </w:rPr>
        <w:t>Children</w:t>
      </w:r>
      <w:r>
        <w:rPr>
          <w:spacing w:val="-7"/>
          <w:sz w:val="28"/>
        </w:rPr>
        <w:t> </w:t>
      </w:r>
      <w:r>
        <w:rPr>
          <w:sz w:val="28"/>
        </w:rPr>
        <w:t>against</w:t>
      </w:r>
      <w:r>
        <w:rPr>
          <w:spacing w:val="-6"/>
          <w:sz w:val="28"/>
        </w:rPr>
        <w:t> </w:t>
      </w:r>
      <w:r>
        <w:rPr>
          <w:sz w:val="28"/>
        </w:rPr>
        <w:t>Sexual</w:t>
      </w:r>
      <w:r>
        <w:rPr>
          <w:spacing w:val="-7"/>
          <w:sz w:val="28"/>
        </w:rPr>
        <w:t> </w:t>
      </w:r>
      <w:r>
        <w:rPr>
          <w:sz w:val="28"/>
        </w:rPr>
        <w:t>Exploitation</w:t>
      </w:r>
      <w:r>
        <w:rPr>
          <w:spacing w:val="-7"/>
          <w:sz w:val="28"/>
        </w:rPr>
        <w:t> </w:t>
      </w:r>
      <w:r>
        <w:rPr>
          <w:sz w:val="28"/>
        </w:rPr>
        <w:t>and</w:t>
      </w:r>
      <w:r>
        <w:rPr>
          <w:spacing w:val="-7"/>
          <w:sz w:val="28"/>
        </w:rPr>
        <w:t> </w:t>
      </w:r>
      <w:r>
        <w:rPr>
          <w:sz w:val="28"/>
        </w:rPr>
        <w:t>Sexual</w:t>
      </w:r>
      <w:r>
        <w:rPr>
          <w:spacing w:val="-7"/>
          <w:sz w:val="28"/>
        </w:rPr>
        <w:t> </w:t>
      </w:r>
      <w:r>
        <w:rPr>
          <w:sz w:val="28"/>
        </w:rPr>
        <w:t>Abuse</w:t>
      </w:r>
      <w:r>
        <w:rPr>
          <w:spacing w:val="-6"/>
          <w:sz w:val="28"/>
        </w:rPr>
        <w:t> </w:t>
      </w:r>
      <w:r>
        <w:rPr>
          <w:sz w:val="28"/>
        </w:rPr>
        <w:t>(Lanzarote Convention), in respect of their thematic monitoring round on the protection of children against sexual exploitation and sexual abuse in the circle of trust. The submission highlighted the continued relevance of the EU Child Sexual Exploitation Directive in respect of NI, which requires member states to take the necessary measures to ensure that an abuse of a recognised position of trust,</w:t>
      </w:r>
      <w:r>
        <w:rPr>
          <w:spacing w:val="-2"/>
          <w:sz w:val="28"/>
        </w:rPr>
        <w:t> </w:t>
      </w:r>
      <w:r>
        <w:rPr>
          <w:sz w:val="28"/>
        </w:rPr>
        <w:t>authority</w:t>
      </w:r>
      <w:r>
        <w:rPr>
          <w:spacing w:val="-2"/>
          <w:sz w:val="28"/>
        </w:rPr>
        <w:t> </w:t>
      </w:r>
      <w:r>
        <w:rPr>
          <w:sz w:val="28"/>
        </w:rPr>
        <w:t>or</w:t>
      </w:r>
      <w:r>
        <w:rPr>
          <w:spacing w:val="-2"/>
          <w:sz w:val="28"/>
        </w:rPr>
        <w:t> </w:t>
      </w:r>
      <w:r>
        <w:rPr>
          <w:sz w:val="28"/>
        </w:rPr>
        <w:t>influence</w:t>
      </w:r>
      <w:r>
        <w:rPr>
          <w:spacing w:val="-2"/>
          <w:sz w:val="28"/>
        </w:rPr>
        <w:t> </w:t>
      </w:r>
      <w:r>
        <w:rPr>
          <w:sz w:val="28"/>
        </w:rPr>
        <w:t>over</w:t>
      </w:r>
      <w:r>
        <w:rPr>
          <w:spacing w:val="-2"/>
          <w:sz w:val="28"/>
        </w:rPr>
        <w:t> </w:t>
      </w:r>
      <w:r>
        <w:rPr>
          <w:sz w:val="28"/>
        </w:rPr>
        <w:t>the</w:t>
      </w:r>
      <w:r>
        <w:rPr>
          <w:spacing w:val="-2"/>
          <w:sz w:val="28"/>
        </w:rPr>
        <w:t> </w:t>
      </w:r>
      <w:r>
        <w:rPr>
          <w:sz w:val="28"/>
        </w:rPr>
        <w:t>child,</w:t>
      </w:r>
      <w:r>
        <w:rPr>
          <w:spacing w:val="-2"/>
          <w:sz w:val="28"/>
        </w:rPr>
        <w:t> </w:t>
      </w:r>
      <w:r>
        <w:rPr>
          <w:sz w:val="28"/>
        </w:rPr>
        <w:t>is</w:t>
      </w:r>
      <w:r>
        <w:rPr>
          <w:spacing w:val="-3"/>
          <w:sz w:val="28"/>
        </w:rPr>
        <w:t> </w:t>
      </w:r>
      <w:r>
        <w:rPr>
          <w:sz w:val="28"/>
        </w:rPr>
        <w:t>punishable</w:t>
      </w:r>
      <w:r>
        <w:rPr>
          <w:spacing w:val="-2"/>
          <w:sz w:val="28"/>
        </w:rPr>
        <w:t> </w:t>
      </w:r>
      <w:r>
        <w:rPr>
          <w:sz w:val="28"/>
        </w:rPr>
        <w:t>by</w:t>
      </w:r>
      <w:r>
        <w:rPr>
          <w:spacing w:val="-2"/>
          <w:sz w:val="28"/>
        </w:rPr>
        <w:t> </w:t>
      </w:r>
      <w:r>
        <w:rPr>
          <w:sz w:val="28"/>
        </w:rPr>
        <w:t>a</w:t>
      </w:r>
      <w:r>
        <w:rPr>
          <w:spacing w:val="-3"/>
          <w:sz w:val="28"/>
        </w:rPr>
        <w:t> </w:t>
      </w:r>
      <w:r>
        <w:rPr>
          <w:sz w:val="28"/>
        </w:rPr>
        <w:t>maximum</w:t>
      </w:r>
      <w:r>
        <w:rPr>
          <w:spacing w:val="-2"/>
          <w:sz w:val="28"/>
        </w:rPr>
        <w:t> </w:t>
      </w:r>
      <w:r>
        <w:rPr>
          <w:sz w:val="28"/>
        </w:rPr>
        <w:t>prison term and that abuse of trust is considered an aggravating factor in an offence. That</w:t>
      </w:r>
      <w:r>
        <w:rPr>
          <w:spacing w:val="-7"/>
          <w:sz w:val="28"/>
        </w:rPr>
        <w:t> </w:t>
      </w:r>
      <w:r>
        <w:rPr>
          <w:sz w:val="28"/>
        </w:rPr>
        <w:t>Directive</w:t>
      </w:r>
      <w:r>
        <w:rPr>
          <w:spacing w:val="-7"/>
          <w:sz w:val="28"/>
        </w:rPr>
        <w:t> </w:t>
      </w:r>
      <w:r>
        <w:rPr>
          <w:sz w:val="28"/>
        </w:rPr>
        <w:t>also</w:t>
      </w:r>
      <w:r>
        <w:rPr>
          <w:spacing w:val="-7"/>
          <w:sz w:val="28"/>
        </w:rPr>
        <w:t> </w:t>
      </w:r>
      <w:r>
        <w:rPr>
          <w:sz w:val="28"/>
        </w:rPr>
        <w:t>recognises</w:t>
      </w:r>
      <w:r>
        <w:rPr>
          <w:spacing w:val="-7"/>
          <w:sz w:val="28"/>
        </w:rPr>
        <w:t> </w:t>
      </w:r>
      <w:r>
        <w:rPr>
          <w:sz w:val="28"/>
        </w:rPr>
        <w:t>the</w:t>
      </w:r>
      <w:r>
        <w:rPr>
          <w:spacing w:val="-7"/>
          <w:sz w:val="28"/>
        </w:rPr>
        <w:t> </w:t>
      </w:r>
      <w:r>
        <w:rPr>
          <w:sz w:val="28"/>
        </w:rPr>
        <w:t>Lanzarote</w:t>
      </w:r>
      <w:r>
        <w:rPr>
          <w:spacing w:val="-7"/>
          <w:sz w:val="28"/>
        </w:rPr>
        <w:t> </w:t>
      </w:r>
      <w:r>
        <w:rPr>
          <w:sz w:val="28"/>
        </w:rPr>
        <w:t>Convention</w:t>
      </w:r>
      <w:r>
        <w:rPr>
          <w:spacing w:val="-7"/>
          <w:sz w:val="28"/>
        </w:rPr>
        <w:t> </w:t>
      </w:r>
      <w:r>
        <w:rPr>
          <w:sz w:val="28"/>
        </w:rPr>
        <w:t>as</w:t>
      </w:r>
      <w:r>
        <w:rPr>
          <w:spacing w:val="-7"/>
          <w:sz w:val="28"/>
        </w:rPr>
        <w:t> </w:t>
      </w:r>
      <w:r>
        <w:rPr>
          <w:sz w:val="28"/>
        </w:rPr>
        <w:t>a</w:t>
      </w:r>
      <w:r>
        <w:rPr>
          <w:spacing w:val="-7"/>
          <w:sz w:val="28"/>
        </w:rPr>
        <w:t> </w:t>
      </w:r>
      <w:r>
        <w:rPr>
          <w:sz w:val="28"/>
        </w:rPr>
        <w:t>crucial</w:t>
      </w:r>
      <w:r>
        <w:rPr>
          <w:spacing w:val="-7"/>
          <w:sz w:val="28"/>
        </w:rPr>
        <w:t> </w:t>
      </w:r>
      <w:r>
        <w:rPr>
          <w:sz w:val="28"/>
        </w:rPr>
        <w:t>step</w:t>
      </w:r>
      <w:r>
        <w:rPr>
          <w:spacing w:val="-7"/>
          <w:sz w:val="28"/>
        </w:rPr>
        <w:t> </w:t>
      </w:r>
      <w:r>
        <w:rPr>
          <w:sz w:val="28"/>
        </w:rPr>
        <w:t>in</w:t>
      </w:r>
      <w:r>
        <w:rPr>
          <w:spacing w:val="-7"/>
          <w:sz w:val="28"/>
        </w:rPr>
        <w:t> </w:t>
      </w:r>
      <w:r>
        <w:rPr>
          <w:sz w:val="28"/>
        </w:rPr>
        <w:t>the process of enhancing international cooperation to protect children from all forms of sexual exploitation and abuse and that the best interests of the child must be a primary consideration.</w:t>
      </w:r>
      <w:r>
        <w:rPr>
          <w:sz w:val="28"/>
          <w:vertAlign w:val="superscript"/>
        </w:rPr>
        <w:t>374</w:t>
      </w:r>
    </w:p>
    <w:p>
      <w:pPr>
        <w:pStyle w:val="ListParagraph"/>
        <w:numPr>
          <w:ilvl w:val="1"/>
          <w:numId w:val="7"/>
        </w:numPr>
        <w:tabs>
          <w:tab w:pos="1853" w:val="left" w:leader="none"/>
        </w:tabs>
        <w:spacing w:line="225" w:lineRule="auto" w:before="302" w:after="0"/>
        <w:ind w:left="1853" w:right="1393" w:hanging="720"/>
        <w:jc w:val="left"/>
        <w:rPr>
          <w:sz w:val="28"/>
        </w:rPr>
      </w:pPr>
      <w:r>
        <w:rPr>
          <w:sz w:val="28"/>
        </w:rPr>
        <w:t>The NIHRC further highlighted that the definition of position of trust in legislation, which extended the abuse of position of trust offence to sport and</w:t>
      </w:r>
      <w:r>
        <w:rPr>
          <w:spacing w:val="-8"/>
          <w:sz w:val="28"/>
        </w:rPr>
        <w:t> </w:t>
      </w:r>
      <w:r>
        <w:rPr>
          <w:sz w:val="28"/>
        </w:rPr>
        <w:t>faith</w:t>
      </w:r>
      <w:r>
        <w:rPr>
          <w:spacing w:val="-8"/>
          <w:sz w:val="28"/>
        </w:rPr>
        <w:t> </w:t>
      </w:r>
      <w:r>
        <w:rPr>
          <w:sz w:val="28"/>
        </w:rPr>
        <w:t>sectors,</w:t>
      </w:r>
      <w:r>
        <w:rPr>
          <w:spacing w:val="-7"/>
          <w:sz w:val="28"/>
        </w:rPr>
        <w:t> </w:t>
      </w:r>
      <w:r>
        <w:rPr>
          <w:sz w:val="28"/>
        </w:rPr>
        <w:t>was</w:t>
      </w:r>
      <w:r>
        <w:rPr>
          <w:spacing w:val="-8"/>
          <w:sz w:val="28"/>
        </w:rPr>
        <w:t> </w:t>
      </w:r>
      <w:r>
        <w:rPr>
          <w:sz w:val="28"/>
        </w:rPr>
        <w:t>not</w:t>
      </w:r>
      <w:r>
        <w:rPr>
          <w:spacing w:val="-7"/>
          <w:sz w:val="28"/>
        </w:rPr>
        <w:t> </w:t>
      </w:r>
      <w:r>
        <w:rPr>
          <w:sz w:val="28"/>
        </w:rPr>
        <w:t>consistent</w:t>
      </w:r>
      <w:r>
        <w:rPr>
          <w:spacing w:val="-7"/>
          <w:sz w:val="28"/>
        </w:rPr>
        <w:t> </w:t>
      </w:r>
      <w:r>
        <w:rPr>
          <w:sz w:val="28"/>
        </w:rPr>
        <w:t>with</w:t>
      </w:r>
      <w:r>
        <w:rPr>
          <w:spacing w:val="-8"/>
          <w:sz w:val="28"/>
        </w:rPr>
        <w:t> </w:t>
      </w:r>
      <w:r>
        <w:rPr>
          <w:sz w:val="28"/>
        </w:rPr>
        <w:t>the</w:t>
      </w:r>
      <w:r>
        <w:rPr>
          <w:spacing w:val="-7"/>
          <w:sz w:val="28"/>
        </w:rPr>
        <w:t> </w:t>
      </w:r>
      <w:r>
        <w:rPr>
          <w:sz w:val="28"/>
        </w:rPr>
        <w:t>requirements</w:t>
      </w:r>
      <w:r>
        <w:rPr>
          <w:spacing w:val="-8"/>
          <w:sz w:val="28"/>
        </w:rPr>
        <w:t> </w:t>
      </w:r>
      <w:r>
        <w:rPr>
          <w:sz w:val="28"/>
        </w:rPr>
        <w:t>of</w:t>
      </w:r>
      <w:r>
        <w:rPr>
          <w:spacing w:val="-8"/>
          <w:sz w:val="28"/>
        </w:rPr>
        <w:t> </w:t>
      </w:r>
      <w:r>
        <w:rPr>
          <w:sz w:val="28"/>
        </w:rPr>
        <w:t>the</w:t>
      </w:r>
      <w:r>
        <w:rPr>
          <w:spacing w:val="-7"/>
          <w:sz w:val="28"/>
        </w:rPr>
        <w:t> </w:t>
      </w:r>
      <w:r>
        <w:rPr>
          <w:sz w:val="28"/>
        </w:rPr>
        <w:t>Lanzarote Convention.</w:t>
      </w:r>
      <w:r>
        <w:rPr>
          <w:sz w:val="28"/>
          <w:vertAlign w:val="superscript"/>
        </w:rPr>
        <w:t>375</w:t>
      </w:r>
      <w:r>
        <w:rPr>
          <w:sz w:val="28"/>
          <w:vertAlign w:val="baseline"/>
        </w:rPr>
        <w:t> The Convention requires an “open-ended enumeration”</w:t>
      </w:r>
    </w:p>
    <w:p>
      <w:pPr>
        <w:pStyle w:val="BodyText"/>
        <w:spacing w:line="225" w:lineRule="auto"/>
        <w:ind w:left="1853" w:right="1667"/>
      </w:pPr>
      <w:r>
        <w:rPr/>
        <w:t>of situations involving abuse of trust to ensure there is enough flexibility to</w:t>
      </w:r>
      <w:r>
        <w:rPr>
          <w:spacing w:val="-8"/>
        </w:rPr>
        <w:t> </w:t>
      </w:r>
      <w:r>
        <w:rPr/>
        <w:t>determine</w:t>
      </w:r>
      <w:r>
        <w:rPr>
          <w:spacing w:val="-7"/>
        </w:rPr>
        <w:t> </w:t>
      </w:r>
      <w:r>
        <w:rPr/>
        <w:t>on</w:t>
      </w:r>
      <w:r>
        <w:rPr>
          <w:spacing w:val="-8"/>
        </w:rPr>
        <w:t> </w:t>
      </w:r>
      <w:r>
        <w:rPr/>
        <w:t>a</w:t>
      </w:r>
      <w:r>
        <w:rPr>
          <w:spacing w:val="-8"/>
        </w:rPr>
        <w:t> </w:t>
      </w:r>
      <w:r>
        <w:rPr/>
        <w:t>case-by-case</w:t>
      </w:r>
      <w:r>
        <w:rPr>
          <w:spacing w:val="-7"/>
        </w:rPr>
        <w:t> </w:t>
      </w:r>
      <w:r>
        <w:rPr/>
        <w:t>basis</w:t>
      </w:r>
      <w:r>
        <w:rPr>
          <w:spacing w:val="-8"/>
        </w:rPr>
        <w:t> </w:t>
      </w:r>
      <w:r>
        <w:rPr/>
        <w:t>whether</w:t>
      </w:r>
      <w:r>
        <w:rPr>
          <w:spacing w:val="-7"/>
        </w:rPr>
        <w:t> </w:t>
      </w:r>
      <w:r>
        <w:rPr/>
        <w:t>there</w:t>
      </w:r>
      <w:r>
        <w:rPr>
          <w:spacing w:val="-7"/>
        </w:rPr>
        <w:t> </w:t>
      </w:r>
      <w:r>
        <w:rPr/>
        <w:t>is</w:t>
      </w:r>
      <w:r>
        <w:rPr>
          <w:spacing w:val="-8"/>
        </w:rPr>
        <w:t> </w:t>
      </w:r>
      <w:r>
        <w:rPr/>
        <w:t>abuse</w:t>
      </w:r>
      <w:r>
        <w:rPr>
          <w:spacing w:val="-7"/>
        </w:rPr>
        <w:t> </w:t>
      </w:r>
      <w:r>
        <w:rPr/>
        <w:t>of</w:t>
      </w:r>
      <w:r>
        <w:rPr>
          <w:spacing w:val="-8"/>
        </w:rPr>
        <w:t> </w:t>
      </w:r>
      <w:r>
        <w:rPr/>
        <w:t>authority, influence or trust.</w:t>
      </w:r>
      <w:r>
        <w:rPr>
          <w:vertAlign w:val="superscript"/>
        </w:rPr>
        <w:t>376</w:t>
      </w:r>
    </w:p>
    <w:p>
      <w:pPr>
        <w:pStyle w:val="Heading6"/>
        <w:spacing w:before="295"/>
        <w:rPr>
          <w:i/>
        </w:rPr>
      </w:pPr>
      <w:r>
        <w:rPr>
          <w:i/>
          <w:color w:val="67287F"/>
        </w:rPr>
        <w:t>Human</w:t>
      </w:r>
      <w:r>
        <w:rPr>
          <w:i/>
          <w:color w:val="67287F"/>
          <w:spacing w:val="-14"/>
        </w:rPr>
        <w:t> </w:t>
      </w:r>
      <w:r>
        <w:rPr>
          <w:i/>
          <w:color w:val="67287F"/>
        </w:rPr>
        <w:t>Trafficking</w:t>
      </w:r>
      <w:r>
        <w:rPr>
          <w:i/>
          <w:color w:val="67287F"/>
          <w:spacing w:val="-12"/>
        </w:rPr>
        <w:t> </w:t>
      </w:r>
      <w:r>
        <w:rPr>
          <w:i/>
          <w:color w:val="67287F"/>
        </w:rPr>
        <w:t>of</w:t>
      </w:r>
      <w:r>
        <w:rPr>
          <w:i/>
          <w:color w:val="67287F"/>
          <w:spacing w:val="-14"/>
        </w:rPr>
        <w:t> </w:t>
      </w:r>
      <w:r>
        <w:rPr>
          <w:i/>
          <w:color w:val="67287F"/>
          <w:spacing w:val="-2"/>
        </w:rPr>
        <w:t>Children</w:t>
      </w:r>
    </w:p>
    <w:p>
      <w:pPr>
        <w:pStyle w:val="ListParagraph"/>
        <w:numPr>
          <w:ilvl w:val="1"/>
          <w:numId w:val="7"/>
        </w:numPr>
        <w:tabs>
          <w:tab w:pos="1853" w:val="left" w:leader="none"/>
        </w:tabs>
        <w:spacing w:line="225" w:lineRule="auto" w:before="5" w:after="0"/>
        <w:ind w:left="1853" w:right="1311" w:hanging="720"/>
        <w:jc w:val="left"/>
        <w:rPr>
          <w:sz w:val="28"/>
        </w:rPr>
      </w:pPr>
      <w:r>
        <w:rPr>
          <w:sz w:val="28"/>
        </w:rPr>
        <w:t>In 2023, the Commissions separately responded to the Department of</w:t>
      </w:r>
      <w:r>
        <w:rPr>
          <w:spacing w:val="40"/>
          <w:sz w:val="28"/>
        </w:rPr>
        <w:t> </w:t>
      </w:r>
      <w:r>
        <w:rPr>
          <w:sz w:val="28"/>
        </w:rPr>
        <w:t>Justice</w:t>
      </w:r>
      <w:r>
        <w:rPr>
          <w:spacing w:val="-8"/>
          <w:sz w:val="28"/>
        </w:rPr>
        <w:t> </w:t>
      </w:r>
      <w:r>
        <w:rPr>
          <w:sz w:val="28"/>
        </w:rPr>
        <w:t>consultation</w:t>
      </w:r>
      <w:r>
        <w:rPr>
          <w:spacing w:val="-9"/>
          <w:sz w:val="28"/>
        </w:rPr>
        <w:t> </w:t>
      </w:r>
      <w:r>
        <w:rPr>
          <w:sz w:val="28"/>
        </w:rPr>
        <w:t>on</w:t>
      </w:r>
      <w:r>
        <w:rPr>
          <w:spacing w:val="-9"/>
          <w:sz w:val="28"/>
        </w:rPr>
        <w:t> </w:t>
      </w:r>
      <w:r>
        <w:rPr>
          <w:sz w:val="28"/>
        </w:rPr>
        <w:t>its</w:t>
      </w:r>
      <w:r>
        <w:rPr>
          <w:spacing w:val="-9"/>
          <w:sz w:val="28"/>
        </w:rPr>
        <w:t> </w:t>
      </w:r>
      <w:r>
        <w:rPr>
          <w:sz w:val="28"/>
        </w:rPr>
        <w:t>three-year</w:t>
      </w:r>
      <w:r>
        <w:rPr>
          <w:spacing w:val="-8"/>
          <w:sz w:val="28"/>
        </w:rPr>
        <w:t> </w:t>
      </w:r>
      <w:r>
        <w:rPr>
          <w:sz w:val="28"/>
        </w:rPr>
        <w:t>strategy</w:t>
      </w:r>
      <w:r>
        <w:rPr>
          <w:spacing w:val="-8"/>
          <w:sz w:val="28"/>
        </w:rPr>
        <w:t> </w:t>
      </w:r>
      <w:r>
        <w:rPr>
          <w:sz w:val="28"/>
        </w:rPr>
        <w:t>on</w:t>
      </w:r>
      <w:r>
        <w:rPr>
          <w:spacing w:val="-9"/>
          <w:sz w:val="28"/>
        </w:rPr>
        <w:t> </w:t>
      </w:r>
      <w:r>
        <w:rPr>
          <w:sz w:val="28"/>
        </w:rPr>
        <w:t>Modern</w:t>
      </w:r>
      <w:r>
        <w:rPr>
          <w:spacing w:val="-9"/>
          <w:sz w:val="28"/>
        </w:rPr>
        <w:t> </w:t>
      </w:r>
      <w:r>
        <w:rPr>
          <w:sz w:val="28"/>
        </w:rPr>
        <w:t>Slavery</w:t>
      </w:r>
      <w:r>
        <w:rPr>
          <w:spacing w:val="-8"/>
          <w:sz w:val="28"/>
        </w:rPr>
        <w:t> </w:t>
      </w:r>
      <w:r>
        <w:rPr>
          <w:sz w:val="28"/>
        </w:rPr>
        <w:t>and</w:t>
      </w:r>
      <w:r>
        <w:rPr>
          <w:spacing w:val="-9"/>
          <w:sz w:val="28"/>
        </w:rPr>
        <w:t> </w:t>
      </w:r>
      <w:r>
        <w:rPr>
          <w:sz w:val="28"/>
        </w:rPr>
        <w:t>Human</w:t>
      </w:r>
    </w:p>
    <w:p>
      <w:pPr>
        <w:pStyle w:val="BodyText"/>
        <w:spacing w:line="323" w:lineRule="exact"/>
        <w:ind w:left="1853"/>
      </w:pPr>
      <w:r>
        <w:rPr/>
        <w:t>Trafficking.</w:t>
      </w:r>
      <w:r>
        <w:rPr>
          <w:vertAlign w:val="superscript"/>
        </w:rPr>
        <w:t>377</w:t>
      </w:r>
      <w:r>
        <w:rPr>
          <w:spacing w:val="-14"/>
          <w:vertAlign w:val="baseline"/>
        </w:rPr>
        <w:t> </w:t>
      </w:r>
      <w:r>
        <w:rPr>
          <w:vertAlign w:val="baseline"/>
        </w:rPr>
        <w:t>Both</w:t>
      </w:r>
      <w:r>
        <w:rPr>
          <w:spacing w:val="-13"/>
          <w:vertAlign w:val="baseline"/>
        </w:rPr>
        <w:t> </w:t>
      </w:r>
      <w:r>
        <w:rPr>
          <w:vertAlign w:val="baseline"/>
        </w:rPr>
        <w:t>Commissions</w:t>
      </w:r>
      <w:r>
        <w:rPr>
          <w:spacing w:val="-13"/>
          <w:vertAlign w:val="baseline"/>
        </w:rPr>
        <w:t> </w:t>
      </w:r>
      <w:r>
        <w:rPr>
          <w:vertAlign w:val="baseline"/>
        </w:rPr>
        <w:t>highlighted</w:t>
      </w:r>
      <w:r>
        <w:rPr>
          <w:spacing w:val="-14"/>
          <w:vertAlign w:val="baseline"/>
        </w:rPr>
        <w:t> </w:t>
      </w:r>
      <w:r>
        <w:rPr>
          <w:vertAlign w:val="baseline"/>
        </w:rPr>
        <w:t>the</w:t>
      </w:r>
      <w:r>
        <w:rPr>
          <w:spacing w:val="-12"/>
          <w:vertAlign w:val="baseline"/>
        </w:rPr>
        <w:t> </w:t>
      </w:r>
      <w:r>
        <w:rPr>
          <w:vertAlign w:val="baseline"/>
        </w:rPr>
        <w:t>need</w:t>
      </w:r>
      <w:r>
        <w:rPr>
          <w:spacing w:val="-14"/>
          <w:vertAlign w:val="baseline"/>
        </w:rPr>
        <w:t> </w:t>
      </w:r>
      <w:r>
        <w:rPr>
          <w:vertAlign w:val="baseline"/>
        </w:rPr>
        <w:t>to</w:t>
      </w:r>
      <w:r>
        <w:rPr>
          <w:spacing w:val="-13"/>
          <w:vertAlign w:val="baseline"/>
        </w:rPr>
        <w:t> </w:t>
      </w:r>
      <w:r>
        <w:rPr>
          <w:vertAlign w:val="baseline"/>
        </w:rPr>
        <w:t>build</w:t>
      </w:r>
      <w:r>
        <w:rPr>
          <w:spacing w:val="-14"/>
          <w:vertAlign w:val="baseline"/>
        </w:rPr>
        <w:t> </w:t>
      </w:r>
      <w:r>
        <w:rPr>
          <w:vertAlign w:val="baseline"/>
        </w:rPr>
        <w:t>in</w:t>
      </w:r>
      <w:r>
        <w:rPr>
          <w:spacing w:val="-13"/>
          <w:vertAlign w:val="baseline"/>
        </w:rPr>
        <w:t> </w:t>
      </w:r>
      <w:r>
        <w:rPr>
          <w:spacing w:val="-2"/>
          <w:vertAlign w:val="baseline"/>
        </w:rPr>
        <w:t>consideration</w:t>
      </w:r>
    </w:p>
    <w:p>
      <w:pPr>
        <w:pStyle w:val="BodyText"/>
        <w:spacing w:before="87"/>
        <w:rPr>
          <w:sz w:val="20"/>
        </w:rPr>
      </w:pPr>
      <w:r>
        <w:rPr/>
        <mc:AlternateContent>
          <mc:Choice Requires="wps">
            <w:drawing>
              <wp:anchor distT="0" distB="0" distL="0" distR="0" allowOverlap="1" layoutInCell="1" locked="0" behindDoc="1" simplePos="0" relativeHeight="487668224">
                <wp:simplePos x="0" y="0"/>
                <wp:positionH relativeFrom="page">
                  <wp:posOffset>719996</wp:posOffset>
                </wp:positionH>
                <wp:positionV relativeFrom="paragraph">
                  <wp:posOffset>225945</wp:posOffset>
                </wp:positionV>
                <wp:extent cx="6120130" cy="1270"/>
                <wp:effectExtent l="0" t="0" r="0" b="0"/>
                <wp:wrapTopAndBottom/>
                <wp:docPr id="353" name="Graphic 353"/>
                <wp:cNvGraphicFramePr>
                  <a:graphicFrameLocks/>
                </wp:cNvGraphicFramePr>
                <a:graphic>
                  <a:graphicData uri="http://schemas.microsoft.com/office/word/2010/wordprocessingShape">
                    <wps:wsp>
                      <wps:cNvPr id="353" name="Graphic 353"/>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7.790968pt;width:481.9pt;height:.1pt;mso-position-horizontal-relative:page;mso-position-vertical-relative:paragraph;z-index:-15648256;mso-wrap-distance-left:0;mso-wrap-distance-right:0" id="docshape303" coordorigin="1134,356" coordsize="9638,0" path="m10772,356l1134,356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18" w:lineRule="exact" w:before="131" w:after="0"/>
        <w:ind w:left="1853" w:right="0" w:hanging="720"/>
        <w:jc w:val="left"/>
        <w:rPr>
          <w:sz w:val="18"/>
        </w:rPr>
      </w:pPr>
      <w:r>
        <w:rPr>
          <w:sz w:val="18"/>
        </w:rPr>
        <w:t>Sir</w:t>
      </w:r>
      <w:r>
        <w:rPr>
          <w:spacing w:val="-5"/>
          <w:sz w:val="18"/>
        </w:rPr>
        <w:t> </w:t>
      </w:r>
      <w:r>
        <w:rPr>
          <w:sz w:val="18"/>
        </w:rPr>
        <w:t>John</w:t>
      </w:r>
      <w:r>
        <w:rPr>
          <w:spacing w:val="-5"/>
          <w:sz w:val="18"/>
        </w:rPr>
        <w:t> </w:t>
      </w:r>
      <w:r>
        <w:rPr>
          <w:sz w:val="18"/>
        </w:rPr>
        <w:t>Gillen,</w:t>
      </w:r>
      <w:r>
        <w:rPr>
          <w:spacing w:val="-4"/>
          <w:sz w:val="18"/>
        </w:rPr>
        <w:t> </w:t>
      </w:r>
      <w:r>
        <w:rPr>
          <w:sz w:val="18"/>
        </w:rPr>
        <w:t>‘Report</w:t>
      </w:r>
      <w:r>
        <w:rPr>
          <w:spacing w:val="-4"/>
          <w:sz w:val="18"/>
        </w:rPr>
        <w:t> </w:t>
      </w:r>
      <w:r>
        <w:rPr>
          <w:sz w:val="18"/>
        </w:rPr>
        <w:t>into</w:t>
      </w:r>
      <w:r>
        <w:rPr>
          <w:spacing w:val="-5"/>
          <w:sz w:val="18"/>
        </w:rPr>
        <w:t> </w:t>
      </w:r>
      <w:r>
        <w:rPr>
          <w:sz w:val="18"/>
        </w:rPr>
        <w:t>the</w:t>
      </w:r>
      <w:r>
        <w:rPr>
          <w:spacing w:val="-4"/>
          <w:sz w:val="18"/>
        </w:rPr>
        <w:t> </w:t>
      </w:r>
      <w:r>
        <w:rPr>
          <w:sz w:val="18"/>
        </w:rPr>
        <w:t>Law</w:t>
      </w:r>
      <w:r>
        <w:rPr>
          <w:spacing w:val="-4"/>
          <w:sz w:val="18"/>
        </w:rPr>
        <w:t> </w:t>
      </w:r>
      <w:r>
        <w:rPr>
          <w:sz w:val="18"/>
        </w:rPr>
        <w:t>and</w:t>
      </w:r>
      <w:r>
        <w:rPr>
          <w:spacing w:val="-6"/>
          <w:sz w:val="18"/>
        </w:rPr>
        <w:t> </w:t>
      </w:r>
      <w:r>
        <w:rPr>
          <w:sz w:val="18"/>
        </w:rPr>
        <w:t>Procedures</w:t>
      </w:r>
      <w:r>
        <w:rPr>
          <w:spacing w:val="-5"/>
          <w:sz w:val="18"/>
        </w:rPr>
        <w:t> </w:t>
      </w:r>
      <w:r>
        <w:rPr>
          <w:sz w:val="18"/>
        </w:rPr>
        <w:t>in</w:t>
      </w:r>
      <w:r>
        <w:rPr>
          <w:spacing w:val="-5"/>
          <w:sz w:val="18"/>
        </w:rPr>
        <w:t> </w:t>
      </w:r>
      <w:r>
        <w:rPr>
          <w:sz w:val="18"/>
        </w:rPr>
        <w:t>Serious</w:t>
      </w:r>
      <w:r>
        <w:rPr>
          <w:spacing w:val="-5"/>
          <w:sz w:val="18"/>
        </w:rPr>
        <w:t> </w:t>
      </w:r>
      <w:r>
        <w:rPr>
          <w:sz w:val="18"/>
        </w:rPr>
        <w:t>Sexual</w:t>
      </w:r>
      <w:r>
        <w:rPr>
          <w:spacing w:val="-5"/>
          <w:sz w:val="18"/>
        </w:rPr>
        <w:t> </w:t>
      </w:r>
      <w:r>
        <w:rPr>
          <w:sz w:val="18"/>
        </w:rPr>
        <w:t>Offences</w:t>
      </w:r>
      <w:r>
        <w:rPr>
          <w:spacing w:val="-5"/>
          <w:sz w:val="18"/>
        </w:rPr>
        <w:t> </w:t>
      </w:r>
      <w:r>
        <w:rPr>
          <w:sz w:val="18"/>
        </w:rPr>
        <w:t>in</w:t>
      </w:r>
      <w:r>
        <w:rPr>
          <w:spacing w:val="-5"/>
          <w:sz w:val="18"/>
        </w:rPr>
        <w:t> </w:t>
      </w:r>
      <w:r>
        <w:rPr>
          <w:sz w:val="18"/>
        </w:rPr>
        <w:t>NI:</w:t>
      </w:r>
      <w:r>
        <w:rPr>
          <w:spacing w:val="-4"/>
          <w:sz w:val="18"/>
        </w:rPr>
        <w:t> </w:t>
      </w:r>
      <w:r>
        <w:rPr>
          <w:sz w:val="18"/>
        </w:rPr>
        <w:t>Recommendations’</w:t>
      </w:r>
      <w:r>
        <w:rPr>
          <w:spacing w:val="-4"/>
          <w:sz w:val="18"/>
        </w:rPr>
        <w:t> </w:t>
      </w:r>
      <w:r>
        <w:rPr>
          <w:sz w:val="18"/>
        </w:rPr>
        <w:t>(DoJ,</w:t>
      </w:r>
      <w:r>
        <w:rPr>
          <w:spacing w:val="-4"/>
          <w:sz w:val="18"/>
        </w:rPr>
        <w:t> </w:t>
      </w:r>
      <w:r>
        <w:rPr>
          <w:spacing w:val="-2"/>
          <w:sz w:val="18"/>
        </w:rPr>
        <w:t>2019).</w:t>
      </w:r>
    </w:p>
    <w:p>
      <w:pPr>
        <w:pStyle w:val="ListParagraph"/>
        <w:numPr>
          <w:ilvl w:val="0"/>
          <w:numId w:val="9"/>
        </w:numPr>
        <w:tabs>
          <w:tab w:pos="1853" w:val="left" w:leader="none"/>
        </w:tabs>
        <w:spacing w:line="235" w:lineRule="auto" w:before="2" w:after="0"/>
        <w:ind w:left="1853" w:right="1225" w:hanging="720"/>
        <w:jc w:val="left"/>
        <w:rPr>
          <w:sz w:val="18"/>
        </w:rPr>
      </w:pPr>
      <w:r>
        <w:rPr>
          <w:sz w:val="18"/>
        </w:rPr>
        <w:t>Justice</w:t>
      </w:r>
      <w:r>
        <w:rPr>
          <w:spacing w:val="-6"/>
          <w:sz w:val="18"/>
        </w:rPr>
        <w:t> </w:t>
      </w:r>
      <w:r>
        <w:rPr>
          <w:sz w:val="18"/>
        </w:rPr>
        <w:t>(Sexual</w:t>
      </w:r>
      <w:r>
        <w:rPr>
          <w:spacing w:val="-7"/>
          <w:sz w:val="18"/>
        </w:rPr>
        <w:t> </w:t>
      </w:r>
      <w:r>
        <w:rPr>
          <w:sz w:val="18"/>
        </w:rPr>
        <w:t>Offences</w:t>
      </w:r>
      <w:r>
        <w:rPr>
          <w:spacing w:val="-7"/>
          <w:sz w:val="18"/>
        </w:rPr>
        <w:t> </w:t>
      </w:r>
      <w:r>
        <w:rPr>
          <w:sz w:val="18"/>
        </w:rPr>
        <w:t>and</w:t>
      </w:r>
      <w:r>
        <w:rPr>
          <w:spacing w:val="-7"/>
          <w:sz w:val="18"/>
        </w:rPr>
        <w:t> </w:t>
      </w:r>
      <w:r>
        <w:rPr>
          <w:sz w:val="18"/>
        </w:rPr>
        <w:t>Trafficking</w:t>
      </w:r>
      <w:r>
        <w:rPr>
          <w:spacing w:val="-6"/>
          <w:sz w:val="18"/>
        </w:rPr>
        <w:t> </w:t>
      </w:r>
      <w:r>
        <w:rPr>
          <w:sz w:val="18"/>
        </w:rPr>
        <w:t>Victims)</w:t>
      </w:r>
      <w:r>
        <w:rPr>
          <w:spacing w:val="-7"/>
          <w:sz w:val="18"/>
        </w:rPr>
        <w:t> </w:t>
      </w:r>
      <w:r>
        <w:rPr>
          <w:sz w:val="18"/>
        </w:rPr>
        <w:t>Act</w:t>
      </w:r>
      <w:r>
        <w:rPr>
          <w:spacing w:val="-6"/>
          <w:sz w:val="18"/>
        </w:rPr>
        <w:t> </w:t>
      </w:r>
      <w:r>
        <w:rPr>
          <w:sz w:val="18"/>
        </w:rPr>
        <w:t>(NI)</w:t>
      </w:r>
      <w:r>
        <w:rPr>
          <w:spacing w:val="-7"/>
          <w:sz w:val="18"/>
        </w:rPr>
        <w:t> </w:t>
      </w:r>
      <w:r>
        <w:rPr>
          <w:sz w:val="18"/>
        </w:rPr>
        <w:t>2022.</w:t>
      </w:r>
      <w:r>
        <w:rPr>
          <w:spacing w:val="-7"/>
          <w:sz w:val="18"/>
        </w:rPr>
        <w:t> </w:t>
      </w:r>
      <w:r>
        <w:rPr>
          <w:sz w:val="18"/>
        </w:rPr>
        <w:t>NI</w:t>
      </w:r>
      <w:r>
        <w:rPr>
          <w:spacing w:val="-6"/>
          <w:sz w:val="18"/>
        </w:rPr>
        <w:t> </w:t>
      </w:r>
      <w:r>
        <w:rPr>
          <w:sz w:val="18"/>
        </w:rPr>
        <w:t>Human</w:t>
      </w:r>
      <w:r>
        <w:rPr>
          <w:spacing w:val="-7"/>
          <w:sz w:val="18"/>
        </w:rPr>
        <w:t> </w:t>
      </w:r>
      <w:r>
        <w:rPr>
          <w:sz w:val="18"/>
        </w:rPr>
        <w:t>Rights</w:t>
      </w:r>
      <w:r>
        <w:rPr>
          <w:spacing w:val="-7"/>
          <w:sz w:val="18"/>
        </w:rPr>
        <w:t> </w:t>
      </w:r>
      <w:r>
        <w:rPr>
          <w:sz w:val="18"/>
        </w:rPr>
        <w:t>Commission,</w:t>
      </w:r>
      <w:r>
        <w:rPr>
          <w:spacing w:val="-6"/>
          <w:sz w:val="18"/>
        </w:rPr>
        <w:t> </w:t>
      </w:r>
      <w:r>
        <w:rPr>
          <w:sz w:val="18"/>
        </w:rPr>
        <w:t>‘Response</w:t>
      </w:r>
      <w:r>
        <w:rPr>
          <w:spacing w:val="-6"/>
          <w:sz w:val="18"/>
        </w:rPr>
        <w:t> </w:t>
      </w:r>
      <w:r>
        <w:rPr>
          <w:sz w:val="18"/>
        </w:rPr>
        <w:t>to</w:t>
      </w:r>
      <w:r>
        <w:rPr>
          <w:spacing w:val="-7"/>
          <w:sz w:val="18"/>
        </w:rPr>
        <w:t> </w:t>
      </w:r>
      <w:r>
        <w:rPr>
          <w:sz w:val="18"/>
        </w:rPr>
        <w:t>Committee</w:t>
      </w:r>
      <w:r>
        <w:rPr>
          <w:spacing w:val="-6"/>
          <w:sz w:val="18"/>
        </w:rPr>
        <w:t> </w:t>
      </w:r>
      <w:r>
        <w:rPr>
          <w:sz w:val="18"/>
        </w:rPr>
        <w:t>for Justice Call for Evidence on the Justice (Sexual Offences and Trafficking Victims) Bill’ (NIHRC, 2021).</w:t>
      </w:r>
    </w:p>
    <w:p>
      <w:pPr>
        <w:pStyle w:val="ListParagraph"/>
        <w:numPr>
          <w:ilvl w:val="0"/>
          <w:numId w:val="9"/>
        </w:numPr>
        <w:tabs>
          <w:tab w:pos="1853" w:val="left" w:leader="none"/>
        </w:tabs>
        <w:spacing w:line="235" w:lineRule="auto" w:before="1" w:after="0"/>
        <w:ind w:left="1853" w:right="1420" w:hanging="720"/>
        <w:jc w:val="left"/>
        <w:rPr>
          <w:sz w:val="18"/>
        </w:rPr>
      </w:pPr>
      <w:r>
        <w:rPr>
          <w:sz w:val="18"/>
        </w:rPr>
        <w:t>Letter</w:t>
      </w:r>
      <w:r>
        <w:rPr>
          <w:spacing w:val="-4"/>
          <w:sz w:val="18"/>
        </w:rPr>
        <w:t> </w:t>
      </w:r>
      <w:r>
        <w:rPr>
          <w:sz w:val="18"/>
        </w:rPr>
        <w:t>from</w:t>
      </w:r>
      <w:r>
        <w:rPr>
          <w:spacing w:val="-4"/>
          <w:sz w:val="18"/>
        </w:rPr>
        <w:t> </w:t>
      </w:r>
      <w:r>
        <w:rPr>
          <w:sz w:val="18"/>
        </w:rPr>
        <w:t>the</w:t>
      </w:r>
      <w:r>
        <w:rPr>
          <w:spacing w:val="-4"/>
          <w:sz w:val="18"/>
        </w:rPr>
        <w:t> </w:t>
      </w: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5"/>
          <w:sz w:val="18"/>
        </w:rPr>
        <w:t> </w:t>
      </w:r>
      <w:r>
        <w:rPr>
          <w:sz w:val="18"/>
        </w:rPr>
        <w:t>to</w:t>
      </w:r>
      <w:r>
        <w:rPr>
          <w:spacing w:val="-5"/>
          <w:sz w:val="18"/>
        </w:rPr>
        <w:t> </w:t>
      </w:r>
      <w:r>
        <w:rPr>
          <w:sz w:val="18"/>
        </w:rPr>
        <w:t>the</w:t>
      </w:r>
      <w:r>
        <w:rPr>
          <w:spacing w:val="-4"/>
          <w:sz w:val="18"/>
        </w:rPr>
        <w:t> </w:t>
      </w:r>
      <w:r>
        <w:rPr>
          <w:sz w:val="18"/>
        </w:rPr>
        <w:t>Secretariat</w:t>
      </w:r>
      <w:r>
        <w:rPr>
          <w:spacing w:val="-4"/>
          <w:sz w:val="18"/>
        </w:rPr>
        <w:t> </w:t>
      </w:r>
      <w:r>
        <w:rPr>
          <w:sz w:val="18"/>
        </w:rPr>
        <w:t>of</w:t>
      </w:r>
      <w:r>
        <w:rPr>
          <w:spacing w:val="-5"/>
          <w:sz w:val="18"/>
        </w:rPr>
        <w:t> </w:t>
      </w:r>
      <w:r>
        <w:rPr>
          <w:sz w:val="18"/>
        </w:rPr>
        <w:t>the</w:t>
      </w:r>
      <w:r>
        <w:rPr>
          <w:spacing w:val="-4"/>
          <w:sz w:val="18"/>
        </w:rPr>
        <w:t> </w:t>
      </w:r>
      <w:r>
        <w:rPr>
          <w:sz w:val="18"/>
        </w:rPr>
        <w:t>CoE</w:t>
      </w:r>
      <w:r>
        <w:rPr>
          <w:spacing w:val="-5"/>
          <w:sz w:val="18"/>
        </w:rPr>
        <w:t> </w:t>
      </w:r>
      <w:r>
        <w:rPr>
          <w:sz w:val="18"/>
        </w:rPr>
        <w:t>Committee</w:t>
      </w:r>
      <w:r>
        <w:rPr>
          <w:spacing w:val="-4"/>
          <w:sz w:val="18"/>
        </w:rPr>
        <w:t> </w:t>
      </w:r>
      <w:r>
        <w:rPr>
          <w:sz w:val="18"/>
        </w:rPr>
        <w:t>of</w:t>
      </w:r>
      <w:r>
        <w:rPr>
          <w:spacing w:val="-5"/>
          <w:sz w:val="18"/>
        </w:rPr>
        <w:t> </w:t>
      </w:r>
      <w:r>
        <w:rPr>
          <w:sz w:val="18"/>
        </w:rPr>
        <w:t>the</w:t>
      </w:r>
      <w:r>
        <w:rPr>
          <w:spacing w:val="-4"/>
          <w:sz w:val="18"/>
        </w:rPr>
        <w:t> </w:t>
      </w:r>
      <w:r>
        <w:rPr>
          <w:sz w:val="18"/>
        </w:rPr>
        <w:t>Parties</w:t>
      </w:r>
      <w:r>
        <w:rPr>
          <w:spacing w:val="-5"/>
          <w:sz w:val="18"/>
        </w:rPr>
        <w:t> </w:t>
      </w:r>
      <w:r>
        <w:rPr>
          <w:sz w:val="18"/>
        </w:rPr>
        <w:t>to</w:t>
      </w:r>
      <w:r>
        <w:rPr>
          <w:spacing w:val="-5"/>
          <w:sz w:val="18"/>
        </w:rPr>
        <w:t> </w:t>
      </w:r>
      <w:r>
        <w:rPr>
          <w:sz w:val="18"/>
        </w:rPr>
        <w:t>the</w:t>
      </w:r>
      <w:r>
        <w:rPr>
          <w:spacing w:val="-4"/>
          <w:sz w:val="18"/>
        </w:rPr>
        <w:t> </w:t>
      </w:r>
      <w:r>
        <w:rPr>
          <w:sz w:val="18"/>
        </w:rPr>
        <w:t>Convention on the Protection of Children against Sexual Exploitation and Sexual Abuse on the thematic monitoring round on the protection of children against sexual exploitation and sexual abuse in the circle of trust, 6 December 2023.</w:t>
      </w:r>
    </w:p>
    <w:p>
      <w:pPr>
        <w:pStyle w:val="ListParagraph"/>
        <w:numPr>
          <w:ilvl w:val="0"/>
          <w:numId w:val="9"/>
        </w:numPr>
        <w:tabs>
          <w:tab w:pos="1853" w:val="left" w:leader="none"/>
        </w:tabs>
        <w:spacing w:line="235" w:lineRule="auto" w:before="2" w:after="0"/>
        <w:ind w:left="1853" w:right="1679" w:hanging="720"/>
        <w:jc w:val="left"/>
        <w:rPr>
          <w:sz w:val="18"/>
        </w:rPr>
      </w:pPr>
      <w:r>
        <w:rPr>
          <w:sz w:val="18"/>
        </w:rPr>
        <w:t>NI</w:t>
      </w:r>
      <w:r>
        <w:rPr>
          <w:spacing w:val="-5"/>
          <w:sz w:val="18"/>
        </w:rPr>
        <w:t> </w:t>
      </w:r>
      <w:r>
        <w:rPr>
          <w:sz w:val="18"/>
        </w:rPr>
        <w:t>Human</w:t>
      </w:r>
      <w:r>
        <w:rPr>
          <w:spacing w:val="-6"/>
          <w:sz w:val="18"/>
        </w:rPr>
        <w:t> </w:t>
      </w:r>
      <w:r>
        <w:rPr>
          <w:sz w:val="18"/>
        </w:rPr>
        <w:t>Rights</w:t>
      </w:r>
      <w:r>
        <w:rPr>
          <w:spacing w:val="-6"/>
          <w:sz w:val="18"/>
        </w:rPr>
        <w:t> </w:t>
      </w:r>
      <w:r>
        <w:rPr>
          <w:sz w:val="18"/>
        </w:rPr>
        <w:t>Commission,</w:t>
      </w:r>
      <w:r>
        <w:rPr>
          <w:spacing w:val="-5"/>
          <w:sz w:val="18"/>
        </w:rPr>
        <w:t> </w:t>
      </w:r>
      <w:r>
        <w:rPr>
          <w:sz w:val="18"/>
        </w:rPr>
        <w:t>‘Response</w:t>
      </w:r>
      <w:r>
        <w:rPr>
          <w:spacing w:val="-5"/>
          <w:sz w:val="18"/>
        </w:rPr>
        <w:t> </w:t>
      </w:r>
      <w:r>
        <w:rPr>
          <w:sz w:val="18"/>
        </w:rPr>
        <w:t>to</w:t>
      </w:r>
      <w:r>
        <w:rPr>
          <w:spacing w:val="-6"/>
          <w:sz w:val="18"/>
        </w:rPr>
        <w:t> </w:t>
      </w:r>
      <w:r>
        <w:rPr>
          <w:sz w:val="18"/>
        </w:rPr>
        <w:t>Committee</w:t>
      </w:r>
      <w:r>
        <w:rPr>
          <w:spacing w:val="-5"/>
          <w:sz w:val="18"/>
        </w:rPr>
        <w:t> </w:t>
      </w:r>
      <w:r>
        <w:rPr>
          <w:sz w:val="18"/>
        </w:rPr>
        <w:t>for</w:t>
      </w:r>
      <w:r>
        <w:rPr>
          <w:spacing w:val="-5"/>
          <w:sz w:val="18"/>
        </w:rPr>
        <w:t> </w:t>
      </w:r>
      <w:r>
        <w:rPr>
          <w:sz w:val="18"/>
        </w:rPr>
        <w:t>Justice</w:t>
      </w:r>
      <w:r>
        <w:rPr>
          <w:spacing w:val="-5"/>
          <w:sz w:val="18"/>
        </w:rPr>
        <w:t> </w:t>
      </w:r>
      <w:r>
        <w:rPr>
          <w:sz w:val="18"/>
        </w:rPr>
        <w:t>Call</w:t>
      </w:r>
      <w:r>
        <w:rPr>
          <w:spacing w:val="-6"/>
          <w:sz w:val="18"/>
        </w:rPr>
        <w:t> </w:t>
      </w:r>
      <w:r>
        <w:rPr>
          <w:sz w:val="18"/>
        </w:rPr>
        <w:t>for</w:t>
      </w:r>
      <w:r>
        <w:rPr>
          <w:spacing w:val="-5"/>
          <w:sz w:val="18"/>
        </w:rPr>
        <w:t> </w:t>
      </w:r>
      <w:r>
        <w:rPr>
          <w:sz w:val="18"/>
        </w:rPr>
        <w:t>Evidence</w:t>
      </w:r>
      <w:r>
        <w:rPr>
          <w:spacing w:val="-5"/>
          <w:sz w:val="18"/>
        </w:rPr>
        <w:t> </w:t>
      </w:r>
      <w:r>
        <w:rPr>
          <w:sz w:val="18"/>
        </w:rPr>
        <w:t>on</w:t>
      </w:r>
      <w:r>
        <w:rPr>
          <w:spacing w:val="-6"/>
          <w:sz w:val="18"/>
        </w:rPr>
        <w:t> </w:t>
      </w:r>
      <w:r>
        <w:rPr>
          <w:sz w:val="18"/>
        </w:rPr>
        <w:t>Justice</w:t>
      </w:r>
      <w:r>
        <w:rPr>
          <w:spacing w:val="-5"/>
          <w:sz w:val="18"/>
        </w:rPr>
        <w:t> </w:t>
      </w:r>
      <w:r>
        <w:rPr>
          <w:sz w:val="18"/>
        </w:rPr>
        <w:t>(Sexual</w:t>
      </w:r>
      <w:r>
        <w:rPr>
          <w:spacing w:val="-6"/>
          <w:sz w:val="18"/>
        </w:rPr>
        <w:t> </w:t>
      </w:r>
      <w:r>
        <w:rPr>
          <w:sz w:val="18"/>
        </w:rPr>
        <w:t>Offences</w:t>
      </w:r>
      <w:r>
        <w:rPr>
          <w:spacing w:val="-6"/>
          <w:sz w:val="18"/>
        </w:rPr>
        <w:t> </w:t>
      </w:r>
      <w:r>
        <w:rPr>
          <w:sz w:val="18"/>
        </w:rPr>
        <w:t>and Trafficking Victims) Bill’ (NIHRC, 2021).</w:t>
      </w:r>
    </w:p>
    <w:p>
      <w:pPr>
        <w:pStyle w:val="ListParagraph"/>
        <w:numPr>
          <w:ilvl w:val="0"/>
          <w:numId w:val="9"/>
        </w:numPr>
        <w:tabs>
          <w:tab w:pos="1853" w:val="left" w:leader="none"/>
        </w:tabs>
        <w:spacing w:line="235" w:lineRule="auto" w:before="1" w:after="0"/>
        <w:ind w:left="1853" w:right="1449" w:hanging="720"/>
        <w:jc w:val="left"/>
        <w:rPr>
          <w:sz w:val="18"/>
        </w:rPr>
      </w:pPr>
      <w:r>
        <w:rPr>
          <w:sz w:val="18"/>
        </w:rPr>
        <w:t>Committee of the Parties to the Council of Europe Convention on the protection of children against sexual</w:t>
      </w:r>
      <w:r>
        <w:rPr>
          <w:sz w:val="18"/>
        </w:rPr>
        <w:t> exploitation</w:t>
      </w:r>
      <w:r>
        <w:rPr>
          <w:spacing w:val="-6"/>
          <w:sz w:val="18"/>
        </w:rPr>
        <w:t> </w:t>
      </w:r>
      <w:r>
        <w:rPr>
          <w:sz w:val="18"/>
        </w:rPr>
        <w:t>and</w:t>
      </w:r>
      <w:r>
        <w:rPr>
          <w:spacing w:val="-6"/>
          <w:sz w:val="18"/>
        </w:rPr>
        <w:t> </w:t>
      </w:r>
      <w:r>
        <w:rPr>
          <w:sz w:val="18"/>
        </w:rPr>
        <w:t>sexual</w:t>
      </w:r>
      <w:r>
        <w:rPr>
          <w:spacing w:val="-6"/>
          <w:sz w:val="18"/>
        </w:rPr>
        <w:t> </w:t>
      </w:r>
      <w:r>
        <w:rPr>
          <w:sz w:val="18"/>
        </w:rPr>
        <w:t>abuse,</w:t>
      </w:r>
      <w:r>
        <w:rPr>
          <w:spacing w:val="-5"/>
          <w:sz w:val="18"/>
        </w:rPr>
        <w:t> </w:t>
      </w:r>
      <w:r>
        <w:rPr>
          <w:sz w:val="18"/>
        </w:rPr>
        <w:t>‘First</w:t>
      </w:r>
      <w:r>
        <w:rPr>
          <w:spacing w:val="-5"/>
          <w:sz w:val="18"/>
        </w:rPr>
        <w:t> </w:t>
      </w:r>
      <w:r>
        <w:rPr>
          <w:sz w:val="18"/>
        </w:rPr>
        <w:t>implementation</w:t>
      </w:r>
      <w:r>
        <w:rPr>
          <w:spacing w:val="-6"/>
          <w:sz w:val="18"/>
        </w:rPr>
        <w:t> </w:t>
      </w:r>
      <w:r>
        <w:rPr>
          <w:sz w:val="18"/>
        </w:rPr>
        <w:t>report:</w:t>
      </w:r>
      <w:r>
        <w:rPr>
          <w:spacing w:val="-5"/>
          <w:sz w:val="18"/>
        </w:rPr>
        <w:t> </w:t>
      </w:r>
      <w:r>
        <w:rPr>
          <w:sz w:val="18"/>
        </w:rPr>
        <w:t>protection</w:t>
      </w:r>
      <w:r>
        <w:rPr>
          <w:spacing w:val="-6"/>
          <w:sz w:val="18"/>
        </w:rPr>
        <w:t> </w:t>
      </w:r>
      <w:r>
        <w:rPr>
          <w:sz w:val="18"/>
        </w:rPr>
        <w:t>of</w:t>
      </w:r>
      <w:r>
        <w:rPr>
          <w:spacing w:val="-6"/>
          <w:sz w:val="18"/>
        </w:rPr>
        <w:t> </w:t>
      </w:r>
      <w:r>
        <w:rPr>
          <w:sz w:val="18"/>
        </w:rPr>
        <w:t>children</w:t>
      </w:r>
      <w:r>
        <w:rPr>
          <w:spacing w:val="-6"/>
          <w:sz w:val="18"/>
        </w:rPr>
        <w:t> </w:t>
      </w:r>
      <w:r>
        <w:rPr>
          <w:sz w:val="18"/>
        </w:rPr>
        <w:t>against</w:t>
      </w:r>
      <w:r>
        <w:rPr>
          <w:spacing w:val="-5"/>
          <w:sz w:val="18"/>
        </w:rPr>
        <w:t> </w:t>
      </w:r>
      <w:r>
        <w:rPr>
          <w:sz w:val="18"/>
        </w:rPr>
        <w:t>sexual</w:t>
      </w:r>
      <w:r>
        <w:rPr>
          <w:spacing w:val="-6"/>
          <w:sz w:val="18"/>
        </w:rPr>
        <w:t> </w:t>
      </w:r>
      <w:r>
        <w:rPr>
          <w:sz w:val="18"/>
        </w:rPr>
        <w:t>abuse</w:t>
      </w:r>
      <w:r>
        <w:rPr>
          <w:spacing w:val="-5"/>
          <w:sz w:val="18"/>
        </w:rPr>
        <w:t> </w:t>
      </w:r>
      <w:r>
        <w:rPr>
          <w:sz w:val="18"/>
        </w:rPr>
        <w:t>in</w:t>
      </w:r>
      <w:r>
        <w:rPr>
          <w:spacing w:val="-6"/>
          <w:sz w:val="18"/>
        </w:rPr>
        <w:t> </w:t>
      </w:r>
      <w:r>
        <w:rPr>
          <w:sz w:val="18"/>
        </w:rPr>
        <w:t>the</w:t>
      </w:r>
      <w:r>
        <w:rPr>
          <w:spacing w:val="-5"/>
          <w:sz w:val="18"/>
        </w:rPr>
        <w:t> </w:t>
      </w:r>
      <w:r>
        <w:rPr>
          <w:sz w:val="18"/>
        </w:rPr>
        <w:t>circle</w:t>
      </w:r>
      <w:r>
        <w:rPr>
          <w:spacing w:val="-5"/>
          <w:sz w:val="18"/>
        </w:rPr>
        <w:t> </w:t>
      </w:r>
      <w:r>
        <w:rPr>
          <w:sz w:val="18"/>
        </w:rPr>
        <w:t>of trust’, 8 January 2016, at para 19.</w:t>
      </w:r>
    </w:p>
    <w:p>
      <w:pPr>
        <w:pStyle w:val="ListParagraph"/>
        <w:numPr>
          <w:ilvl w:val="0"/>
          <w:numId w:val="9"/>
        </w:numPr>
        <w:tabs>
          <w:tab w:pos="1853" w:val="left" w:leader="none"/>
        </w:tabs>
        <w:spacing w:line="218" w:lineRule="exact" w:before="0" w:after="0"/>
        <w:ind w:left="1853" w:right="0" w:hanging="720"/>
        <w:jc w:val="left"/>
        <w:rPr>
          <w:sz w:val="18"/>
        </w:rPr>
      </w:pPr>
      <w:r>
        <w:rPr>
          <w:sz w:val="18"/>
        </w:rPr>
        <w:t>Department</w:t>
      </w:r>
      <w:r>
        <w:rPr>
          <w:spacing w:val="-8"/>
          <w:sz w:val="18"/>
        </w:rPr>
        <w:t> </w:t>
      </w:r>
      <w:r>
        <w:rPr>
          <w:sz w:val="18"/>
        </w:rPr>
        <w:t>of</w:t>
      </w:r>
      <w:r>
        <w:rPr>
          <w:spacing w:val="-8"/>
          <w:sz w:val="18"/>
        </w:rPr>
        <w:t> </w:t>
      </w:r>
      <w:r>
        <w:rPr>
          <w:sz w:val="18"/>
        </w:rPr>
        <w:t>Justice,</w:t>
      </w:r>
      <w:r>
        <w:rPr>
          <w:spacing w:val="-7"/>
          <w:sz w:val="18"/>
        </w:rPr>
        <w:t> </w:t>
      </w:r>
      <w:r>
        <w:rPr>
          <w:sz w:val="18"/>
        </w:rPr>
        <w:t>‘NI</w:t>
      </w:r>
      <w:r>
        <w:rPr>
          <w:spacing w:val="-7"/>
          <w:sz w:val="18"/>
        </w:rPr>
        <w:t> </w:t>
      </w:r>
      <w:r>
        <w:rPr>
          <w:sz w:val="18"/>
        </w:rPr>
        <w:t>Draft</w:t>
      </w:r>
      <w:r>
        <w:rPr>
          <w:spacing w:val="-7"/>
          <w:sz w:val="18"/>
        </w:rPr>
        <w:t> </w:t>
      </w:r>
      <w:r>
        <w:rPr>
          <w:sz w:val="18"/>
        </w:rPr>
        <w:t>Modern</w:t>
      </w:r>
      <w:r>
        <w:rPr>
          <w:spacing w:val="-8"/>
          <w:sz w:val="18"/>
        </w:rPr>
        <w:t> </w:t>
      </w:r>
      <w:r>
        <w:rPr>
          <w:sz w:val="18"/>
        </w:rPr>
        <w:t>Slavery</w:t>
      </w:r>
      <w:r>
        <w:rPr>
          <w:spacing w:val="-7"/>
          <w:sz w:val="18"/>
        </w:rPr>
        <w:t> </w:t>
      </w:r>
      <w:r>
        <w:rPr>
          <w:sz w:val="18"/>
        </w:rPr>
        <w:t>and</w:t>
      </w:r>
      <w:r>
        <w:rPr>
          <w:spacing w:val="-8"/>
          <w:sz w:val="18"/>
        </w:rPr>
        <w:t> </w:t>
      </w:r>
      <w:r>
        <w:rPr>
          <w:sz w:val="18"/>
        </w:rPr>
        <w:t>Human</w:t>
      </w:r>
      <w:r>
        <w:rPr>
          <w:spacing w:val="-8"/>
          <w:sz w:val="18"/>
        </w:rPr>
        <w:t> </w:t>
      </w:r>
      <w:r>
        <w:rPr>
          <w:sz w:val="18"/>
        </w:rPr>
        <w:t>Trafficking</w:t>
      </w:r>
      <w:r>
        <w:rPr>
          <w:spacing w:val="-7"/>
          <w:sz w:val="18"/>
        </w:rPr>
        <w:t> </w:t>
      </w:r>
      <w:r>
        <w:rPr>
          <w:sz w:val="18"/>
        </w:rPr>
        <w:t>Strategy:</w:t>
      </w:r>
      <w:r>
        <w:rPr>
          <w:spacing w:val="-7"/>
          <w:sz w:val="18"/>
        </w:rPr>
        <w:t> </w:t>
      </w:r>
      <w:r>
        <w:rPr>
          <w:sz w:val="18"/>
        </w:rPr>
        <w:t>Consultation’</w:t>
      </w:r>
      <w:r>
        <w:rPr>
          <w:spacing w:val="-7"/>
          <w:sz w:val="18"/>
        </w:rPr>
        <w:t> </w:t>
      </w:r>
      <w:r>
        <w:rPr>
          <w:sz w:val="18"/>
        </w:rPr>
        <w:t>(DoJ,</w:t>
      </w:r>
      <w:r>
        <w:rPr>
          <w:spacing w:val="-7"/>
          <w:sz w:val="18"/>
        </w:rPr>
        <w:t> </w:t>
      </w:r>
      <w:r>
        <w:rPr>
          <w:spacing w:val="-2"/>
          <w:sz w:val="18"/>
        </w:rPr>
        <w:t>2022).</w:t>
      </w:r>
    </w:p>
    <w:p>
      <w:pPr>
        <w:spacing w:after="0" w:line="218" w:lineRule="exact"/>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215"/>
      </w:pPr>
      <w:r>
        <w:rPr/>
        <w:t>of</w:t>
      </w:r>
      <w:r>
        <w:rPr>
          <w:spacing w:val="-8"/>
        </w:rPr>
        <w:t> </w:t>
      </w:r>
      <w:r>
        <w:rPr/>
        <w:t>Windsor</w:t>
      </w:r>
      <w:r>
        <w:rPr>
          <w:spacing w:val="-7"/>
        </w:rPr>
        <w:t> </w:t>
      </w:r>
      <w:r>
        <w:rPr/>
        <w:t>Framework</w:t>
      </w:r>
      <w:r>
        <w:rPr>
          <w:spacing w:val="-7"/>
        </w:rPr>
        <w:t> </w:t>
      </w:r>
      <w:r>
        <w:rPr/>
        <w:t>Article</w:t>
      </w:r>
      <w:r>
        <w:rPr>
          <w:spacing w:val="-7"/>
        </w:rPr>
        <w:t> </w:t>
      </w:r>
      <w:r>
        <w:rPr/>
        <w:t>2</w:t>
      </w:r>
      <w:r>
        <w:rPr>
          <w:spacing w:val="-7"/>
        </w:rPr>
        <w:t> </w:t>
      </w:r>
      <w:r>
        <w:rPr/>
        <w:t>during</w:t>
      </w:r>
      <w:r>
        <w:rPr>
          <w:spacing w:val="-7"/>
        </w:rPr>
        <w:t> </w:t>
      </w:r>
      <w:r>
        <w:rPr/>
        <w:t>the</w:t>
      </w:r>
      <w:r>
        <w:rPr>
          <w:spacing w:val="-7"/>
        </w:rPr>
        <w:t> </w:t>
      </w:r>
      <w:r>
        <w:rPr/>
        <w:t>development</w:t>
      </w:r>
      <w:r>
        <w:rPr>
          <w:spacing w:val="-7"/>
        </w:rPr>
        <w:t> </w:t>
      </w:r>
      <w:r>
        <w:rPr/>
        <w:t>and</w:t>
      </w:r>
      <w:r>
        <w:rPr>
          <w:spacing w:val="-8"/>
        </w:rPr>
        <w:t> </w:t>
      </w:r>
      <w:r>
        <w:rPr/>
        <w:t>implementation of policy and legislation on modern slavery and human trafficking, with particular attention paid to the EU Child Sexual Exploitation Directive</w:t>
      </w:r>
      <w:r>
        <w:rPr>
          <w:vertAlign w:val="superscript"/>
        </w:rPr>
        <w:t>378</w:t>
      </w:r>
      <w:r>
        <w:rPr>
          <w:vertAlign w:val="baseline"/>
        </w:rPr>
        <w:t> and the EU Trafficking Directive.</w:t>
      </w:r>
      <w:r>
        <w:rPr>
          <w:vertAlign w:val="superscript"/>
        </w:rPr>
        <w:t>379</w:t>
      </w:r>
      <w:r>
        <w:rPr>
          <w:vertAlign w:val="baseline"/>
        </w:rPr>
        <w:t> The NIHRC also welcomed the inclusion of more child specific measures in the new strategy and highlighted the links</w:t>
      </w:r>
    </w:p>
    <w:p>
      <w:pPr>
        <w:pStyle w:val="BodyText"/>
        <w:spacing w:line="225" w:lineRule="auto"/>
        <w:ind w:left="1853" w:right="1124"/>
      </w:pPr>
      <w:r>
        <w:rPr/>
        <w:t>between</w:t>
      </w:r>
      <w:r>
        <w:rPr>
          <w:spacing w:val="-9"/>
        </w:rPr>
        <w:t> </w:t>
      </w:r>
      <w:r>
        <w:rPr/>
        <w:t>child</w:t>
      </w:r>
      <w:r>
        <w:rPr>
          <w:spacing w:val="-9"/>
        </w:rPr>
        <w:t> </w:t>
      </w:r>
      <w:r>
        <w:rPr/>
        <w:t>sexual</w:t>
      </w:r>
      <w:r>
        <w:rPr>
          <w:spacing w:val="-9"/>
        </w:rPr>
        <w:t> </w:t>
      </w:r>
      <w:r>
        <w:rPr/>
        <w:t>exploitation,</w:t>
      </w:r>
      <w:r>
        <w:rPr>
          <w:spacing w:val="-8"/>
        </w:rPr>
        <w:t> </w:t>
      </w:r>
      <w:r>
        <w:rPr/>
        <w:t>missing</w:t>
      </w:r>
      <w:r>
        <w:rPr>
          <w:spacing w:val="-8"/>
        </w:rPr>
        <w:t> </w:t>
      </w:r>
      <w:r>
        <w:rPr/>
        <w:t>children,</w:t>
      </w:r>
      <w:r>
        <w:rPr>
          <w:spacing w:val="-8"/>
        </w:rPr>
        <w:t> </w:t>
      </w:r>
      <w:r>
        <w:rPr/>
        <w:t>child</w:t>
      </w:r>
      <w:r>
        <w:rPr>
          <w:spacing w:val="-9"/>
        </w:rPr>
        <w:t> </w:t>
      </w:r>
      <w:r>
        <w:rPr/>
        <w:t>criminal</w:t>
      </w:r>
      <w:r>
        <w:rPr>
          <w:spacing w:val="-9"/>
        </w:rPr>
        <w:t> </w:t>
      </w:r>
      <w:r>
        <w:rPr/>
        <w:t>exploitation, online exploitation, forced marriage, forced labour and domestic servitude.</w:t>
      </w:r>
      <w:r>
        <w:rPr>
          <w:vertAlign w:val="superscript"/>
        </w:rPr>
        <w:t>380</w:t>
      </w:r>
      <w:r>
        <w:rPr>
          <w:vertAlign w:val="baseline"/>
        </w:rPr>
        <w:t> The ECNI highlighted that those providing advice and resources to victims/ potential victims of modern slavery/human trafficking should make clear</w:t>
      </w:r>
    </w:p>
    <w:p>
      <w:pPr>
        <w:pStyle w:val="BodyText"/>
        <w:spacing w:line="225" w:lineRule="auto"/>
        <w:ind w:left="1853" w:right="1171"/>
      </w:pPr>
      <w:r>
        <w:rPr/>
        <w:t>to</w:t>
      </w:r>
      <w:r>
        <w:rPr>
          <w:spacing w:val="-5"/>
        </w:rPr>
        <w:t> </w:t>
      </w:r>
      <w:r>
        <w:rPr/>
        <w:t>recipients</w:t>
      </w:r>
      <w:r>
        <w:rPr>
          <w:spacing w:val="-5"/>
        </w:rPr>
        <w:t> </w:t>
      </w:r>
      <w:r>
        <w:rPr/>
        <w:t>the</w:t>
      </w:r>
      <w:r>
        <w:rPr>
          <w:spacing w:val="-4"/>
        </w:rPr>
        <w:t> </w:t>
      </w:r>
      <w:r>
        <w:rPr/>
        <w:t>rights</w:t>
      </w:r>
      <w:r>
        <w:rPr>
          <w:spacing w:val="-5"/>
        </w:rPr>
        <w:t> </w:t>
      </w:r>
      <w:r>
        <w:rPr/>
        <w:t>of</w:t>
      </w:r>
      <w:r>
        <w:rPr>
          <w:spacing w:val="-5"/>
        </w:rPr>
        <w:t> </w:t>
      </w:r>
      <w:r>
        <w:rPr/>
        <w:t>individuals</w:t>
      </w:r>
      <w:r>
        <w:rPr>
          <w:spacing w:val="-5"/>
        </w:rPr>
        <w:t> </w:t>
      </w:r>
      <w:r>
        <w:rPr/>
        <w:t>under</w:t>
      </w:r>
      <w:r>
        <w:rPr>
          <w:spacing w:val="-4"/>
        </w:rPr>
        <w:t> </w:t>
      </w:r>
      <w:r>
        <w:rPr/>
        <w:t>both</w:t>
      </w:r>
      <w:r>
        <w:rPr>
          <w:spacing w:val="-5"/>
        </w:rPr>
        <w:t> </w:t>
      </w:r>
      <w:r>
        <w:rPr/>
        <w:t>equality</w:t>
      </w:r>
      <w:r>
        <w:rPr>
          <w:spacing w:val="-4"/>
        </w:rPr>
        <w:t> </w:t>
      </w:r>
      <w:r>
        <w:rPr/>
        <w:t>legislation</w:t>
      </w:r>
      <w:r>
        <w:rPr>
          <w:spacing w:val="-5"/>
        </w:rPr>
        <w:t> </w:t>
      </w:r>
      <w:r>
        <w:rPr/>
        <w:t>and</w:t>
      </w:r>
      <w:r>
        <w:rPr>
          <w:spacing w:val="-5"/>
        </w:rPr>
        <w:t> </w:t>
      </w:r>
      <w:r>
        <w:rPr/>
        <w:t>in relation to alleging a breach of Windsor Framework Article 2.</w:t>
      </w:r>
      <w:r>
        <w:rPr>
          <w:vertAlign w:val="superscript"/>
        </w:rPr>
        <w:t>381</w:t>
      </w:r>
    </w:p>
    <w:p>
      <w:pPr>
        <w:pStyle w:val="Heading6"/>
        <w:spacing w:before="290"/>
        <w:rPr>
          <w:i/>
        </w:rPr>
      </w:pPr>
      <w:r>
        <w:rPr>
          <w:i/>
          <w:color w:val="67287F"/>
        </w:rPr>
        <w:t>Illegal</w:t>
      </w:r>
      <w:r>
        <w:rPr>
          <w:i/>
          <w:color w:val="67287F"/>
          <w:spacing w:val="-7"/>
        </w:rPr>
        <w:t> </w:t>
      </w:r>
      <w:r>
        <w:rPr>
          <w:i/>
          <w:color w:val="67287F"/>
        </w:rPr>
        <w:t>Migration</w:t>
      </w:r>
      <w:r>
        <w:rPr>
          <w:i/>
          <w:color w:val="67287F"/>
          <w:spacing w:val="-8"/>
        </w:rPr>
        <w:t> </w:t>
      </w:r>
      <w:r>
        <w:rPr>
          <w:i/>
          <w:color w:val="67287F"/>
        </w:rPr>
        <w:t>Act</w:t>
      </w:r>
      <w:r>
        <w:rPr>
          <w:i/>
          <w:color w:val="67287F"/>
          <w:spacing w:val="-6"/>
        </w:rPr>
        <w:t> </w:t>
      </w:r>
      <w:r>
        <w:rPr>
          <w:i/>
          <w:color w:val="67287F"/>
          <w:spacing w:val="-4"/>
        </w:rPr>
        <w:t>2023</w:t>
      </w:r>
    </w:p>
    <w:p>
      <w:pPr>
        <w:pStyle w:val="ListParagraph"/>
        <w:numPr>
          <w:ilvl w:val="1"/>
          <w:numId w:val="7"/>
        </w:numPr>
        <w:tabs>
          <w:tab w:pos="1853" w:val="left" w:leader="none"/>
        </w:tabs>
        <w:spacing w:line="223" w:lineRule="auto" w:before="8" w:after="0"/>
        <w:ind w:left="1853" w:right="1137" w:hanging="720"/>
        <w:jc w:val="left"/>
        <w:rPr>
          <w:sz w:val="28"/>
        </w:rPr>
      </w:pPr>
      <w:r>
        <w:rPr>
          <w:sz w:val="28"/>
        </w:rPr>
        <w:t>The Illegal Migration Act 2023 was introduced to Parliament in March 2023 and received royal assent in July 2023. The Commissions raised concerns that the</w:t>
      </w:r>
      <w:r>
        <w:rPr>
          <w:spacing w:val="-7"/>
          <w:sz w:val="28"/>
        </w:rPr>
        <w:t> </w:t>
      </w:r>
      <w:r>
        <w:rPr>
          <w:sz w:val="28"/>
        </w:rPr>
        <w:t>Act</w:t>
      </w:r>
      <w:r>
        <w:rPr>
          <w:spacing w:val="-7"/>
          <w:sz w:val="28"/>
        </w:rPr>
        <w:t> </w:t>
      </w:r>
      <w:r>
        <w:rPr>
          <w:sz w:val="28"/>
        </w:rPr>
        <w:t>denies</w:t>
      </w:r>
      <w:r>
        <w:rPr>
          <w:spacing w:val="-8"/>
          <w:sz w:val="28"/>
        </w:rPr>
        <w:t> </w:t>
      </w:r>
      <w:r>
        <w:rPr>
          <w:sz w:val="28"/>
        </w:rPr>
        <w:t>victims</w:t>
      </w:r>
      <w:r>
        <w:rPr>
          <w:spacing w:val="-8"/>
          <w:sz w:val="28"/>
        </w:rPr>
        <w:t> </w:t>
      </w:r>
      <w:r>
        <w:rPr>
          <w:sz w:val="28"/>
        </w:rPr>
        <w:t>of</w:t>
      </w:r>
      <w:r>
        <w:rPr>
          <w:spacing w:val="-8"/>
          <w:sz w:val="28"/>
        </w:rPr>
        <w:t> </w:t>
      </w:r>
      <w:r>
        <w:rPr>
          <w:sz w:val="28"/>
        </w:rPr>
        <w:t>modern</w:t>
      </w:r>
      <w:r>
        <w:rPr>
          <w:spacing w:val="-8"/>
          <w:sz w:val="28"/>
        </w:rPr>
        <w:t> </w:t>
      </w:r>
      <w:r>
        <w:rPr>
          <w:sz w:val="28"/>
        </w:rPr>
        <w:t>slavery,</w:t>
      </w:r>
      <w:r>
        <w:rPr>
          <w:spacing w:val="-7"/>
          <w:sz w:val="28"/>
        </w:rPr>
        <w:t> </w:t>
      </w:r>
      <w:r>
        <w:rPr>
          <w:sz w:val="28"/>
        </w:rPr>
        <w:t>especially</w:t>
      </w:r>
      <w:r>
        <w:rPr>
          <w:spacing w:val="-7"/>
          <w:sz w:val="28"/>
        </w:rPr>
        <w:t> </w:t>
      </w:r>
      <w:r>
        <w:rPr>
          <w:sz w:val="28"/>
        </w:rPr>
        <w:t>children,</w:t>
      </w:r>
      <w:r>
        <w:rPr>
          <w:spacing w:val="-7"/>
          <w:sz w:val="28"/>
        </w:rPr>
        <w:t> </w:t>
      </w:r>
      <w:r>
        <w:rPr>
          <w:sz w:val="28"/>
        </w:rPr>
        <w:t>who</w:t>
      </w:r>
      <w:r>
        <w:rPr>
          <w:spacing w:val="-8"/>
          <w:sz w:val="28"/>
        </w:rPr>
        <w:t> </w:t>
      </w:r>
      <w:r>
        <w:rPr>
          <w:sz w:val="28"/>
        </w:rPr>
        <w:t>have</w:t>
      </w:r>
      <w:r>
        <w:rPr>
          <w:spacing w:val="-7"/>
          <w:sz w:val="28"/>
        </w:rPr>
        <w:t> </w:t>
      </w:r>
      <w:r>
        <w:rPr>
          <w:sz w:val="28"/>
        </w:rPr>
        <w:t>arrived in the UK irregularly, access to existing support.</w:t>
      </w:r>
      <w:r>
        <w:rPr>
          <w:sz w:val="28"/>
          <w:vertAlign w:val="superscript"/>
        </w:rPr>
        <w:t>382</w:t>
      </w:r>
      <w:r>
        <w:rPr>
          <w:sz w:val="28"/>
          <w:vertAlign w:val="baseline"/>
        </w:rPr>
        <w:t> In its briefings, the NIHRC noted</w:t>
      </w:r>
      <w:r>
        <w:rPr>
          <w:spacing w:val="-5"/>
          <w:sz w:val="28"/>
          <w:vertAlign w:val="baseline"/>
        </w:rPr>
        <w:t> </w:t>
      </w:r>
      <w:r>
        <w:rPr>
          <w:sz w:val="28"/>
          <w:vertAlign w:val="baseline"/>
        </w:rPr>
        <w:t>that</w:t>
      </w:r>
      <w:r>
        <w:rPr>
          <w:spacing w:val="-4"/>
          <w:sz w:val="28"/>
          <w:vertAlign w:val="baseline"/>
        </w:rPr>
        <w:t> </w:t>
      </w:r>
      <w:r>
        <w:rPr>
          <w:sz w:val="28"/>
          <w:vertAlign w:val="baseline"/>
        </w:rPr>
        <w:t>the</w:t>
      </w:r>
      <w:r>
        <w:rPr>
          <w:spacing w:val="-4"/>
          <w:sz w:val="28"/>
          <w:vertAlign w:val="baseline"/>
        </w:rPr>
        <w:t> </w:t>
      </w:r>
      <w:r>
        <w:rPr>
          <w:sz w:val="28"/>
          <w:vertAlign w:val="baseline"/>
        </w:rPr>
        <w:t>EU</w:t>
      </w:r>
      <w:r>
        <w:rPr>
          <w:spacing w:val="-4"/>
          <w:sz w:val="28"/>
          <w:vertAlign w:val="baseline"/>
        </w:rPr>
        <w:t> </w:t>
      </w:r>
      <w:r>
        <w:rPr>
          <w:sz w:val="28"/>
          <w:vertAlign w:val="baseline"/>
        </w:rPr>
        <w:t>Trafficking</w:t>
      </w:r>
      <w:r>
        <w:rPr>
          <w:spacing w:val="-4"/>
          <w:sz w:val="28"/>
          <w:vertAlign w:val="baseline"/>
        </w:rPr>
        <w:t> </w:t>
      </w:r>
      <w:r>
        <w:rPr>
          <w:sz w:val="28"/>
          <w:vertAlign w:val="baseline"/>
        </w:rPr>
        <w:t>Directive</w:t>
      </w:r>
      <w:r>
        <w:rPr>
          <w:sz w:val="28"/>
          <w:vertAlign w:val="superscript"/>
        </w:rPr>
        <w:t>383</w:t>
      </w:r>
      <w:r>
        <w:rPr>
          <w:spacing w:val="-5"/>
          <w:sz w:val="28"/>
          <w:vertAlign w:val="baseline"/>
        </w:rPr>
        <w:t> </w:t>
      </w:r>
      <w:r>
        <w:rPr>
          <w:sz w:val="28"/>
          <w:vertAlign w:val="baseline"/>
        </w:rPr>
        <w:t>remains</w:t>
      </w:r>
      <w:r>
        <w:rPr>
          <w:spacing w:val="-5"/>
          <w:sz w:val="28"/>
          <w:vertAlign w:val="baseline"/>
        </w:rPr>
        <w:t> </w:t>
      </w:r>
      <w:r>
        <w:rPr>
          <w:sz w:val="28"/>
          <w:vertAlign w:val="baseline"/>
        </w:rPr>
        <w:t>relevant</w:t>
      </w:r>
      <w:r>
        <w:rPr>
          <w:spacing w:val="-4"/>
          <w:sz w:val="28"/>
          <w:vertAlign w:val="baseline"/>
        </w:rPr>
        <w:t> </w:t>
      </w:r>
      <w:r>
        <w:rPr>
          <w:sz w:val="28"/>
          <w:vertAlign w:val="baseline"/>
        </w:rPr>
        <w:t>for</w:t>
      </w:r>
      <w:r>
        <w:rPr>
          <w:spacing w:val="-4"/>
          <w:sz w:val="28"/>
          <w:vertAlign w:val="baseline"/>
        </w:rPr>
        <w:t> </w:t>
      </w:r>
      <w:r>
        <w:rPr>
          <w:sz w:val="28"/>
          <w:vertAlign w:val="baseline"/>
        </w:rPr>
        <w:t>determining</w:t>
      </w:r>
      <w:r>
        <w:rPr>
          <w:spacing w:val="-4"/>
          <w:sz w:val="28"/>
          <w:vertAlign w:val="baseline"/>
        </w:rPr>
        <w:t> </w:t>
      </w:r>
      <w:r>
        <w:rPr>
          <w:sz w:val="28"/>
          <w:vertAlign w:val="baseline"/>
        </w:rPr>
        <w:t>the minimum standards for protecting victims of human trafficking in NI under Windsor Framework Article 2.</w:t>
      </w:r>
      <w:r>
        <w:rPr>
          <w:sz w:val="28"/>
          <w:vertAlign w:val="superscript"/>
        </w:rPr>
        <w:t>384</w:t>
      </w:r>
      <w:r>
        <w:rPr>
          <w:sz w:val="28"/>
          <w:vertAlign w:val="baseline"/>
        </w:rPr>
        <w:t> The NIHRC further noted that a systematic denial of support and assistance to potential victims of human trafficking, without</w:t>
      </w:r>
      <w:r>
        <w:rPr>
          <w:spacing w:val="-3"/>
          <w:sz w:val="28"/>
          <w:vertAlign w:val="baseline"/>
        </w:rPr>
        <w:t> </w:t>
      </w:r>
      <w:r>
        <w:rPr>
          <w:sz w:val="28"/>
          <w:vertAlign w:val="baseline"/>
        </w:rPr>
        <w:t>individual</w:t>
      </w:r>
      <w:r>
        <w:rPr>
          <w:spacing w:val="-4"/>
          <w:sz w:val="28"/>
          <w:vertAlign w:val="baseline"/>
        </w:rPr>
        <w:t> </w:t>
      </w:r>
      <w:r>
        <w:rPr>
          <w:sz w:val="28"/>
          <w:vertAlign w:val="baseline"/>
        </w:rPr>
        <w:t>consideration,</w:t>
      </w:r>
      <w:r>
        <w:rPr>
          <w:spacing w:val="-3"/>
          <w:sz w:val="28"/>
          <w:vertAlign w:val="baseline"/>
        </w:rPr>
        <w:t> </w:t>
      </w:r>
      <w:r>
        <w:rPr>
          <w:sz w:val="28"/>
          <w:vertAlign w:val="baseline"/>
        </w:rPr>
        <w:t>does</w:t>
      </w:r>
      <w:r>
        <w:rPr>
          <w:spacing w:val="-4"/>
          <w:sz w:val="28"/>
          <w:vertAlign w:val="baseline"/>
        </w:rPr>
        <w:t> </w:t>
      </w:r>
      <w:r>
        <w:rPr>
          <w:sz w:val="28"/>
          <w:vertAlign w:val="baseline"/>
        </w:rPr>
        <w:t>not</w:t>
      </w:r>
      <w:r>
        <w:rPr>
          <w:spacing w:val="-3"/>
          <w:sz w:val="28"/>
          <w:vertAlign w:val="baseline"/>
        </w:rPr>
        <w:t> </w:t>
      </w:r>
      <w:r>
        <w:rPr>
          <w:sz w:val="28"/>
          <w:vertAlign w:val="baseline"/>
        </w:rPr>
        <w:t>appear</w:t>
      </w:r>
      <w:r>
        <w:rPr>
          <w:spacing w:val="-3"/>
          <w:sz w:val="28"/>
          <w:vertAlign w:val="baseline"/>
        </w:rPr>
        <w:t> </w:t>
      </w:r>
      <w:r>
        <w:rPr>
          <w:sz w:val="28"/>
          <w:vertAlign w:val="baseline"/>
        </w:rPr>
        <w:t>to</w:t>
      </w:r>
      <w:r>
        <w:rPr>
          <w:spacing w:val="-4"/>
          <w:sz w:val="28"/>
          <w:vertAlign w:val="baseline"/>
        </w:rPr>
        <w:t> </w:t>
      </w:r>
      <w:r>
        <w:rPr>
          <w:sz w:val="28"/>
          <w:vertAlign w:val="baseline"/>
        </w:rPr>
        <w:t>be</w:t>
      </w:r>
      <w:r>
        <w:rPr>
          <w:spacing w:val="-3"/>
          <w:sz w:val="28"/>
          <w:vertAlign w:val="baseline"/>
        </w:rPr>
        <w:t> </w:t>
      </w:r>
      <w:r>
        <w:rPr>
          <w:sz w:val="28"/>
          <w:vertAlign w:val="baseline"/>
        </w:rPr>
        <w:t>compliant</w:t>
      </w:r>
      <w:r>
        <w:rPr>
          <w:spacing w:val="-3"/>
          <w:sz w:val="28"/>
          <w:vertAlign w:val="baseline"/>
        </w:rPr>
        <w:t> </w:t>
      </w:r>
      <w:r>
        <w:rPr>
          <w:sz w:val="28"/>
          <w:vertAlign w:val="baseline"/>
        </w:rPr>
        <w:t>with</w:t>
      </w:r>
      <w:r>
        <w:rPr>
          <w:spacing w:val="-4"/>
          <w:sz w:val="28"/>
          <w:vertAlign w:val="baseline"/>
        </w:rPr>
        <w:t> </w:t>
      </w:r>
      <w:r>
        <w:rPr>
          <w:sz w:val="28"/>
          <w:vertAlign w:val="baseline"/>
        </w:rPr>
        <w:t>Article </w:t>
      </w:r>
      <w:r>
        <w:rPr>
          <w:spacing w:val="-2"/>
          <w:position w:val="-8"/>
          <w:sz w:val="28"/>
          <w:vertAlign w:val="baseline"/>
        </w:rPr>
        <w:t>2.</w:t>
      </w:r>
      <w:r>
        <w:rPr>
          <w:spacing w:val="-2"/>
          <w:sz w:val="16"/>
          <w:vertAlign w:val="baseline"/>
        </w:rPr>
        <w:t>385</w:t>
      </w:r>
    </w:p>
    <w:p>
      <w:pPr>
        <w:pStyle w:val="ListParagraph"/>
        <w:numPr>
          <w:ilvl w:val="1"/>
          <w:numId w:val="7"/>
        </w:numPr>
        <w:tabs>
          <w:tab w:pos="1853" w:val="left" w:leader="none"/>
        </w:tabs>
        <w:spacing w:line="225" w:lineRule="auto" w:before="339" w:after="0"/>
        <w:ind w:left="1853" w:right="1131" w:hanging="720"/>
        <w:jc w:val="left"/>
        <w:rPr>
          <w:sz w:val="28"/>
        </w:rPr>
      </w:pPr>
      <w:r>
        <w:rPr>
          <w:sz w:val="28"/>
        </w:rPr>
        <w:t>In its submission to the House of Lords, the ECNI raised concerns that the Act will</w:t>
      </w:r>
      <w:r>
        <w:rPr>
          <w:spacing w:val="-8"/>
          <w:sz w:val="28"/>
        </w:rPr>
        <w:t> </w:t>
      </w:r>
      <w:r>
        <w:rPr>
          <w:sz w:val="28"/>
        </w:rPr>
        <w:t>reduce</w:t>
      </w:r>
      <w:r>
        <w:rPr>
          <w:spacing w:val="-8"/>
          <w:sz w:val="28"/>
        </w:rPr>
        <w:t> </w:t>
      </w:r>
      <w:r>
        <w:rPr>
          <w:sz w:val="28"/>
        </w:rPr>
        <w:t>existing</w:t>
      </w:r>
      <w:r>
        <w:rPr>
          <w:spacing w:val="-8"/>
          <w:sz w:val="28"/>
        </w:rPr>
        <w:t> </w:t>
      </w:r>
      <w:r>
        <w:rPr>
          <w:sz w:val="28"/>
        </w:rPr>
        <w:t>rights</w:t>
      </w:r>
      <w:r>
        <w:rPr>
          <w:spacing w:val="-8"/>
          <w:sz w:val="28"/>
        </w:rPr>
        <w:t> </w:t>
      </w:r>
      <w:r>
        <w:rPr>
          <w:sz w:val="28"/>
        </w:rPr>
        <w:t>and</w:t>
      </w:r>
      <w:r>
        <w:rPr>
          <w:spacing w:val="-8"/>
          <w:sz w:val="28"/>
        </w:rPr>
        <w:t> </w:t>
      </w:r>
      <w:r>
        <w:rPr>
          <w:sz w:val="28"/>
        </w:rPr>
        <w:t>protections</w:t>
      </w:r>
      <w:r>
        <w:rPr>
          <w:spacing w:val="-8"/>
          <w:sz w:val="28"/>
        </w:rPr>
        <w:t> </w:t>
      </w:r>
      <w:r>
        <w:rPr>
          <w:sz w:val="28"/>
        </w:rPr>
        <w:t>for</w:t>
      </w:r>
      <w:r>
        <w:rPr>
          <w:spacing w:val="-8"/>
          <w:sz w:val="28"/>
        </w:rPr>
        <w:t> </w:t>
      </w:r>
      <w:r>
        <w:rPr>
          <w:sz w:val="28"/>
        </w:rPr>
        <w:t>victims</w:t>
      </w:r>
      <w:r>
        <w:rPr>
          <w:spacing w:val="-8"/>
          <w:sz w:val="28"/>
        </w:rPr>
        <w:t> </w:t>
      </w:r>
      <w:r>
        <w:rPr>
          <w:sz w:val="28"/>
        </w:rPr>
        <w:t>of</w:t>
      </w:r>
      <w:r>
        <w:rPr>
          <w:spacing w:val="-8"/>
          <w:sz w:val="28"/>
        </w:rPr>
        <w:t> </w:t>
      </w:r>
      <w:r>
        <w:rPr>
          <w:sz w:val="28"/>
        </w:rPr>
        <w:t>trafficking</w:t>
      </w:r>
      <w:r>
        <w:rPr>
          <w:spacing w:val="-8"/>
          <w:sz w:val="28"/>
        </w:rPr>
        <w:t> </w:t>
      </w:r>
      <w:r>
        <w:rPr>
          <w:sz w:val="28"/>
        </w:rPr>
        <w:t>and</w:t>
      </w:r>
      <w:r>
        <w:rPr>
          <w:spacing w:val="-8"/>
          <w:sz w:val="28"/>
        </w:rPr>
        <w:t> </w:t>
      </w:r>
      <w:r>
        <w:rPr>
          <w:sz w:val="28"/>
        </w:rPr>
        <w:t>modern slavery, including for children, women and girls, and risks re-traumatising vulnerable</w:t>
      </w:r>
      <w:r>
        <w:rPr>
          <w:spacing w:val="-2"/>
          <w:sz w:val="28"/>
        </w:rPr>
        <w:t> </w:t>
      </w:r>
      <w:r>
        <w:rPr>
          <w:sz w:val="28"/>
        </w:rPr>
        <w:t>individuals.</w:t>
      </w:r>
      <w:r>
        <w:rPr>
          <w:sz w:val="28"/>
          <w:vertAlign w:val="superscript"/>
        </w:rPr>
        <w:t>386</w:t>
      </w:r>
      <w:r>
        <w:rPr>
          <w:spacing w:val="-3"/>
          <w:sz w:val="28"/>
          <w:vertAlign w:val="baseline"/>
        </w:rPr>
        <w:t> </w:t>
      </w:r>
      <w:r>
        <w:rPr>
          <w:sz w:val="28"/>
          <w:vertAlign w:val="baseline"/>
        </w:rPr>
        <w:t>The</w:t>
      </w:r>
      <w:r>
        <w:rPr>
          <w:spacing w:val="-2"/>
          <w:sz w:val="28"/>
          <w:vertAlign w:val="baseline"/>
        </w:rPr>
        <w:t> </w:t>
      </w:r>
      <w:r>
        <w:rPr>
          <w:sz w:val="28"/>
          <w:vertAlign w:val="baseline"/>
        </w:rPr>
        <w:t>ECNI</w:t>
      </w:r>
      <w:r>
        <w:rPr>
          <w:spacing w:val="-2"/>
          <w:sz w:val="28"/>
          <w:vertAlign w:val="baseline"/>
        </w:rPr>
        <w:t> </w:t>
      </w:r>
      <w:r>
        <w:rPr>
          <w:sz w:val="28"/>
          <w:vertAlign w:val="baseline"/>
        </w:rPr>
        <w:t>highlighted</w:t>
      </w:r>
      <w:r>
        <w:rPr>
          <w:spacing w:val="-3"/>
          <w:sz w:val="28"/>
          <w:vertAlign w:val="baseline"/>
        </w:rPr>
        <w:t> </w:t>
      </w:r>
      <w:r>
        <w:rPr>
          <w:sz w:val="28"/>
          <w:vertAlign w:val="baseline"/>
        </w:rPr>
        <w:t>that</w:t>
      </w:r>
      <w:r>
        <w:rPr>
          <w:spacing w:val="-2"/>
          <w:sz w:val="28"/>
          <w:vertAlign w:val="baseline"/>
        </w:rPr>
        <w:t> </w:t>
      </w:r>
      <w:r>
        <w:rPr>
          <w:sz w:val="28"/>
          <w:vertAlign w:val="baseline"/>
        </w:rPr>
        <w:t>it</w:t>
      </w:r>
      <w:r>
        <w:rPr>
          <w:spacing w:val="-2"/>
          <w:sz w:val="28"/>
          <w:vertAlign w:val="baseline"/>
        </w:rPr>
        <w:t> </w:t>
      </w:r>
      <w:r>
        <w:rPr>
          <w:sz w:val="28"/>
          <w:vertAlign w:val="baseline"/>
        </w:rPr>
        <w:t>is</w:t>
      </w:r>
      <w:r>
        <w:rPr>
          <w:spacing w:val="-3"/>
          <w:sz w:val="28"/>
          <w:vertAlign w:val="baseline"/>
        </w:rPr>
        <w:t> </w:t>
      </w:r>
      <w:r>
        <w:rPr>
          <w:sz w:val="28"/>
          <w:vertAlign w:val="baseline"/>
        </w:rPr>
        <w:t>essential</w:t>
      </w:r>
      <w:r>
        <w:rPr>
          <w:spacing w:val="-3"/>
          <w:sz w:val="28"/>
          <w:vertAlign w:val="baseline"/>
        </w:rPr>
        <w:t> </w:t>
      </w:r>
      <w:r>
        <w:rPr>
          <w:sz w:val="28"/>
          <w:vertAlign w:val="baseline"/>
        </w:rPr>
        <w:t>that</w:t>
      </w:r>
      <w:r>
        <w:rPr>
          <w:spacing w:val="-2"/>
          <w:sz w:val="28"/>
          <w:vertAlign w:val="baseline"/>
        </w:rPr>
        <w:t> </w:t>
      </w:r>
      <w:r>
        <w:rPr>
          <w:sz w:val="28"/>
          <w:vertAlign w:val="baseline"/>
        </w:rPr>
        <w:t>the</w:t>
      </w:r>
      <w:r>
        <w:rPr>
          <w:spacing w:val="-2"/>
          <w:sz w:val="28"/>
          <w:vertAlign w:val="baseline"/>
        </w:rPr>
        <w:t> </w:t>
      </w:r>
      <w:r>
        <w:rPr>
          <w:sz w:val="28"/>
          <w:vertAlign w:val="baseline"/>
        </w:rPr>
        <w:t>Act’s provisions do not reduce the rights of victims of trafficking or modern slavery</w:t>
      </w:r>
    </w:p>
    <w:p>
      <w:pPr>
        <w:pStyle w:val="BodyText"/>
        <w:rPr>
          <w:sz w:val="20"/>
        </w:rPr>
      </w:pPr>
    </w:p>
    <w:p>
      <w:pPr>
        <w:pStyle w:val="BodyText"/>
        <w:spacing w:before="144"/>
        <w:rPr>
          <w:sz w:val="20"/>
        </w:rPr>
      </w:pPr>
      <w:r>
        <w:rPr/>
        <mc:AlternateContent>
          <mc:Choice Requires="wps">
            <w:drawing>
              <wp:anchor distT="0" distB="0" distL="0" distR="0" allowOverlap="1" layoutInCell="1" locked="0" behindDoc="1" simplePos="0" relativeHeight="487668736">
                <wp:simplePos x="0" y="0"/>
                <wp:positionH relativeFrom="page">
                  <wp:posOffset>719996</wp:posOffset>
                </wp:positionH>
                <wp:positionV relativeFrom="paragraph">
                  <wp:posOffset>262152</wp:posOffset>
                </wp:positionV>
                <wp:extent cx="6120130" cy="1270"/>
                <wp:effectExtent l="0" t="0" r="0" b="0"/>
                <wp:wrapTopAndBottom/>
                <wp:docPr id="354" name="Graphic 354"/>
                <wp:cNvGraphicFramePr>
                  <a:graphicFrameLocks/>
                </wp:cNvGraphicFramePr>
                <a:graphic>
                  <a:graphicData uri="http://schemas.microsoft.com/office/word/2010/wordprocessingShape">
                    <wps:wsp>
                      <wps:cNvPr id="354" name="Graphic 354"/>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0.641907pt;width:481.9pt;height:.1pt;mso-position-horizontal-relative:page;mso-position-vertical-relative:paragraph;z-index:-15647744;mso-wrap-distance-left:0;mso-wrap-distance-right:0" id="docshape304" coordorigin="1134,413" coordsize="9638,0" path="m10772,413l1134,413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35" w:lineRule="auto" w:before="137" w:after="0"/>
        <w:ind w:left="1853" w:right="1442" w:hanging="720"/>
        <w:jc w:val="left"/>
        <w:rPr>
          <w:sz w:val="18"/>
        </w:rPr>
      </w:pPr>
      <w:r>
        <w:rPr>
          <w:sz w:val="18"/>
        </w:rPr>
        <w:t>Directive</w:t>
      </w:r>
      <w:r>
        <w:rPr>
          <w:spacing w:val="-5"/>
          <w:sz w:val="18"/>
        </w:rPr>
        <w:t> </w:t>
      </w:r>
      <w:r>
        <w:rPr>
          <w:sz w:val="18"/>
        </w:rPr>
        <w:t>2011/92/EU,</w:t>
      </w:r>
      <w:r>
        <w:rPr>
          <w:spacing w:val="-5"/>
          <w:sz w:val="18"/>
        </w:rPr>
        <w:t> </w:t>
      </w:r>
      <w:r>
        <w:rPr>
          <w:sz w:val="18"/>
        </w:rPr>
        <w:t>‘EU</w:t>
      </w:r>
      <w:r>
        <w:rPr>
          <w:spacing w:val="-5"/>
          <w:sz w:val="18"/>
        </w:rPr>
        <w:t> </w:t>
      </w:r>
      <w:r>
        <w:rPr>
          <w:sz w:val="18"/>
        </w:rPr>
        <w:t>Parliament</w:t>
      </w:r>
      <w:r>
        <w:rPr>
          <w:spacing w:val="-5"/>
          <w:sz w:val="18"/>
        </w:rPr>
        <w:t> </w:t>
      </w:r>
      <w:r>
        <w:rPr>
          <w:sz w:val="18"/>
        </w:rPr>
        <w:t>and</w:t>
      </w:r>
      <w:r>
        <w:rPr>
          <w:spacing w:val="-5"/>
          <w:sz w:val="18"/>
        </w:rPr>
        <w:t> </w:t>
      </w:r>
      <w:r>
        <w:rPr>
          <w:sz w:val="18"/>
        </w:rPr>
        <w:t>Council</w:t>
      </w:r>
      <w:r>
        <w:rPr>
          <w:spacing w:val="-5"/>
          <w:sz w:val="18"/>
        </w:rPr>
        <w:t> </w:t>
      </w:r>
      <w:r>
        <w:rPr>
          <w:sz w:val="18"/>
        </w:rPr>
        <w:t>Directive</w:t>
      </w:r>
      <w:r>
        <w:rPr>
          <w:spacing w:val="-5"/>
          <w:sz w:val="18"/>
        </w:rPr>
        <w:t> </w:t>
      </w:r>
      <w:r>
        <w:rPr>
          <w:sz w:val="18"/>
        </w:rPr>
        <w:t>on</w:t>
      </w:r>
      <w:r>
        <w:rPr>
          <w:spacing w:val="-5"/>
          <w:sz w:val="18"/>
        </w:rPr>
        <w:t> </w:t>
      </w:r>
      <w:r>
        <w:rPr>
          <w:sz w:val="18"/>
        </w:rPr>
        <w:t>Combating</w:t>
      </w:r>
      <w:r>
        <w:rPr>
          <w:spacing w:val="-5"/>
          <w:sz w:val="18"/>
        </w:rPr>
        <w:t> </w:t>
      </w:r>
      <w:r>
        <w:rPr>
          <w:sz w:val="18"/>
        </w:rPr>
        <w:t>the</w:t>
      </w:r>
      <w:r>
        <w:rPr>
          <w:spacing w:val="-5"/>
          <w:sz w:val="18"/>
        </w:rPr>
        <w:t> </w:t>
      </w:r>
      <w:r>
        <w:rPr>
          <w:sz w:val="18"/>
        </w:rPr>
        <w:t>Sexual</w:t>
      </w:r>
      <w:r>
        <w:rPr>
          <w:spacing w:val="-5"/>
          <w:sz w:val="18"/>
        </w:rPr>
        <w:t> </w:t>
      </w:r>
      <w:r>
        <w:rPr>
          <w:sz w:val="18"/>
        </w:rPr>
        <w:t>Abuse</w:t>
      </w:r>
      <w:r>
        <w:rPr>
          <w:spacing w:val="-5"/>
          <w:sz w:val="18"/>
        </w:rPr>
        <w:t> </w:t>
      </w:r>
      <w:r>
        <w:rPr>
          <w:sz w:val="18"/>
        </w:rPr>
        <w:t>and</w:t>
      </w:r>
      <w:r>
        <w:rPr>
          <w:spacing w:val="-5"/>
          <w:sz w:val="18"/>
        </w:rPr>
        <w:t> </w:t>
      </w:r>
      <w:r>
        <w:rPr>
          <w:sz w:val="18"/>
        </w:rPr>
        <w:t>Sexual</w:t>
      </w:r>
      <w:r>
        <w:rPr>
          <w:spacing w:val="-5"/>
          <w:sz w:val="18"/>
        </w:rPr>
        <w:t> </w:t>
      </w:r>
      <w:r>
        <w:rPr>
          <w:sz w:val="18"/>
        </w:rPr>
        <w:t>Exploitation</w:t>
      </w:r>
      <w:r>
        <w:rPr>
          <w:spacing w:val="-5"/>
          <w:sz w:val="18"/>
        </w:rPr>
        <w:t> </w:t>
      </w:r>
      <w:r>
        <w:rPr>
          <w:sz w:val="18"/>
        </w:rPr>
        <w:t>of Children and Child Pornography’, 13 December 2011.</w:t>
      </w:r>
    </w:p>
    <w:p>
      <w:pPr>
        <w:pStyle w:val="ListParagraph"/>
        <w:numPr>
          <w:ilvl w:val="0"/>
          <w:numId w:val="9"/>
        </w:numPr>
        <w:tabs>
          <w:tab w:pos="1853" w:val="left" w:leader="none"/>
        </w:tabs>
        <w:spacing w:line="235" w:lineRule="auto" w:before="1" w:after="0"/>
        <w:ind w:left="1853" w:right="1864" w:hanging="720"/>
        <w:jc w:val="left"/>
        <w:rPr>
          <w:sz w:val="18"/>
        </w:rPr>
      </w:pPr>
      <w:r>
        <w:rPr>
          <w:sz w:val="18"/>
        </w:rPr>
        <w:t>Directive</w:t>
      </w:r>
      <w:r>
        <w:rPr>
          <w:spacing w:val="-5"/>
          <w:sz w:val="18"/>
        </w:rPr>
        <w:t> </w:t>
      </w:r>
      <w:r>
        <w:rPr>
          <w:sz w:val="18"/>
        </w:rPr>
        <w:t>2011/36/EU</w:t>
      </w:r>
      <w:r>
        <w:rPr>
          <w:spacing w:val="-5"/>
          <w:sz w:val="18"/>
        </w:rPr>
        <w:t> </w:t>
      </w:r>
      <w:r>
        <w:rPr>
          <w:sz w:val="18"/>
        </w:rPr>
        <w:t>‘Council</w:t>
      </w:r>
      <w:r>
        <w:rPr>
          <w:spacing w:val="-6"/>
          <w:sz w:val="18"/>
        </w:rPr>
        <w:t> </w:t>
      </w:r>
      <w:r>
        <w:rPr>
          <w:sz w:val="18"/>
        </w:rPr>
        <w:t>of</w:t>
      </w:r>
      <w:r>
        <w:rPr>
          <w:spacing w:val="-6"/>
          <w:sz w:val="18"/>
        </w:rPr>
        <w:t> </w:t>
      </w:r>
      <w:r>
        <w:rPr>
          <w:sz w:val="18"/>
        </w:rPr>
        <w:t>the</w:t>
      </w:r>
      <w:r>
        <w:rPr>
          <w:spacing w:val="-5"/>
          <w:sz w:val="18"/>
        </w:rPr>
        <w:t> </w:t>
      </w:r>
      <w:r>
        <w:rPr>
          <w:sz w:val="18"/>
        </w:rPr>
        <w:t>EU</w:t>
      </w:r>
      <w:r>
        <w:rPr>
          <w:spacing w:val="-5"/>
          <w:sz w:val="18"/>
        </w:rPr>
        <w:t> </w:t>
      </w:r>
      <w:r>
        <w:rPr>
          <w:sz w:val="18"/>
        </w:rPr>
        <w:t>Directive</w:t>
      </w:r>
      <w:r>
        <w:rPr>
          <w:spacing w:val="-5"/>
          <w:sz w:val="18"/>
        </w:rPr>
        <w:t> </w:t>
      </w:r>
      <w:r>
        <w:rPr>
          <w:sz w:val="18"/>
        </w:rPr>
        <w:t>on</w:t>
      </w:r>
      <w:r>
        <w:rPr>
          <w:spacing w:val="-6"/>
          <w:sz w:val="18"/>
        </w:rPr>
        <w:t> </w:t>
      </w:r>
      <w:r>
        <w:rPr>
          <w:sz w:val="18"/>
        </w:rPr>
        <w:t>Preventing</w:t>
      </w:r>
      <w:r>
        <w:rPr>
          <w:spacing w:val="-5"/>
          <w:sz w:val="18"/>
        </w:rPr>
        <w:t> </w:t>
      </w:r>
      <w:r>
        <w:rPr>
          <w:sz w:val="18"/>
        </w:rPr>
        <w:t>and</w:t>
      </w:r>
      <w:r>
        <w:rPr>
          <w:spacing w:val="-6"/>
          <w:sz w:val="18"/>
        </w:rPr>
        <w:t> </w:t>
      </w:r>
      <w:r>
        <w:rPr>
          <w:sz w:val="18"/>
        </w:rPr>
        <w:t>Combating</w:t>
      </w:r>
      <w:r>
        <w:rPr>
          <w:spacing w:val="-5"/>
          <w:sz w:val="18"/>
        </w:rPr>
        <w:t> </w:t>
      </w:r>
      <w:r>
        <w:rPr>
          <w:sz w:val="18"/>
        </w:rPr>
        <w:t>Trafficking</w:t>
      </w:r>
      <w:r>
        <w:rPr>
          <w:spacing w:val="-5"/>
          <w:sz w:val="18"/>
        </w:rPr>
        <w:t> </w:t>
      </w:r>
      <w:r>
        <w:rPr>
          <w:sz w:val="18"/>
        </w:rPr>
        <w:t>in</w:t>
      </w:r>
      <w:r>
        <w:rPr>
          <w:spacing w:val="-6"/>
          <w:sz w:val="18"/>
        </w:rPr>
        <w:t> </w:t>
      </w:r>
      <w:r>
        <w:rPr>
          <w:sz w:val="18"/>
        </w:rPr>
        <w:t>Human</w:t>
      </w:r>
      <w:r>
        <w:rPr>
          <w:spacing w:val="-6"/>
          <w:sz w:val="18"/>
        </w:rPr>
        <w:t> </w:t>
      </w:r>
      <w:r>
        <w:rPr>
          <w:sz w:val="18"/>
        </w:rPr>
        <w:t>Beings</w:t>
      </w:r>
      <w:r>
        <w:rPr>
          <w:spacing w:val="-6"/>
          <w:sz w:val="18"/>
        </w:rPr>
        <w:t> </w:t>
      </w:r>
      <w:r>
        <w:rPr>
          <w:sz w:val="18"/>
        </w:rPr>
        <w:t>and Protecting its Victims’, 5 April 2011.</w:t>
      </w:r>
    </w:p>
    <w:p>
      <w:pPr>
        <w:pStyle w:val="ListParagraph"/>
        <w:numPr>
          <w:ilvl w:val="0"/>
          <w:numId w:val="9"/>
        </w:numPr>
        <w:tabs>
          <w:tab w:pos="1853" w:val="left" w:leader="none"/>
        </w:tabs>
        <w:spacing w:line="235" w:lineRule="auto" w:before="1" w:after="0"/>
        <w:ind w:left="1853" w:right="1697" w:hanging="720"/>
        <w:jc w:val="left"/>
        <w:rPr>
          <w:sz w:val="18"/>
        </w:rPr>
      </w:pP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‘Submission</w:t>
      </w:r>
      <w:r>
        <w:rPr>
          <w:spacing w:val="-5"/>
          <w:sz w:val="18"/>
        </w:rPr>
        <w:t> </w:t>
      </w:r>
      <w:r>
        <w:rPr>
          <w:sz w:val="18"/>
        </w:rPr>
        <w:t>to</w:t>
      </w:r>
      <w:r>
        <w:rPr>
          <w:spacing w:val="-5"/>
          <w:sz w:val="18"/>
        </w:rPr>
        <w:t> </w:t>
      </w:r>
      <w:r>
        <w:rPr>
          <w:sz w:val="18"/>
        </w:rPr>
        <w:t>Department</w:t>
      </w:r>
      <w:r>
        <w:rPr>
          <w:spacing w:val="-4"/>
          <w:sz w:val="18"/>
        </w:rPr>
        <w:t> </w:t>
      </w:r>
      <w:r>
        <w:rPr>
          <w:sz w:val="18"/>
        </w:rPr>
        <w:t>of</w:t>
      </w:r>
      <w:r>
        <w:rPr>
          <w:spacing w:val="-5"/>
          <w:sz w:val="18"/>
        </w:rPr>
        <w:t> </w:t>
      </w:r>
      <w:r>
        <w:rPr>
          <w:sz w:val="18"/>
        </w:rPr>
        <w:t>Justice</w:t>
      </w:r>
      <w:r>
        <w:rPr>
          <w:spacing w:val="-4"/>
          <w:sz w:val="18"/>
        </w:rPr>
        <w:t> </w:t>
      </w:r>
      <w:r>
        <w:rPr>
          <w:sz w:val="18"/>
        </w:rPr>
        <w:t>Consultation</w:t>
      </w:r>
      <w:r>
        <w:rPr>
          <w:spacing w:val="-5"/>
          <w:sz w:val="18"/>
        </w:rPr>
        <w:t> </w:t>
      </w:r>
      <w:r>
        <w:rPr>
          <w:sz w:val="18"/>
        </w:rPr>
        <w:t>on</w:t>
      </w:r>
      <w:r>
        <w:rPr>
          <w:spacing w:val="-5"/>
          <w:sz w:val="18"/>
        </w:rPr>
        <w:t> </w:t>
      </w:r>
      <w:r>
        <w:rPr>
          <w:sz w:val="18"/>
        </w:rPr>
        <w:t>the</w:t>
      </w:r>
      <w:r>
        <w:rPr>
          <w:spacing w:val="-4"/>
          <w:sz w:val="18"/>
        </w:rPr>
        <w:t> </w:t>
      </w:r>
      <w:r>
        <w:rPr>
          <w:sz w:val="18"/>
        </w:rPr>
        <w:t>Draft</w:t>
      </w:r>
      <w:r>
        <w:rPr>
          <w:spacing w:val="-4"/>
          <w:sz w:val="18"/>
        </w:rPr>
        <w:t> </w:t>
      </w:r>
      <w:r>
        <w:rPr>
          <w:sz w:val="18"/>
        </w:rPr>
        <w:t>Modern</w:t>
      </w:r>
      <w:r>
        <w:rPr>
          <w:spacing w:val="-5"/>
          <w:sz w:val="18"/>
        </w:rPr>
        <w:t> </w:t>
      </w:r>
      <w:r>
        <w:rPr>
          <w:sz w:val="18"/>
        </w:rPr>
        <w:t>Slavery</w:t>
      </w:r>
      <w:r>
        <w:rPr>
          <w:spacing w:val="-4"/>
          <w:sz w:val="18"/>
        </w:rPr>
        <w:t> </w:t>
      </w:r>
      <w:r>
        <w:rPr>
          <w:sz w:val="18"/>
        </w:rPr>
        <w:t>and Human Trafficking Strategy’ (NIHRC, 2023).</w:t>
      </w:r>
    </w:p>
    <w:p>
      <w:pPr>
        <w:pStyle w:val="ListParagraph"/>
        <w:numPr>
          <w:ilvl w:val="0"/>
          <w:numId w:val="9"/>
        </w:numPr>
        <w:tabs>
          <w:tab w:pos="1853" w:val="left" w:leader="none"/>
        </w:tabs>
        <w:spacing w:line="235" w:lineRule="auto" w:before="2" w:after="0"/>
        <w:ind w:left="1853" w:right="1592" w:hanging="720"/>
        <w:jc w:val="left"/>
        <w:rPr>
          <w:sz w:val="18"/>
        </w:rPr>
      </w:pP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w:t>
      </w:r>
      <w:hyperlink r:id="rId148">
        <w:r>
          <w:rPr>
            <w:sz w:val="18"/>
          </w:rPr>
          <w:t>Response</w:t>
        </w:r>
        <w:r>
          <w:rPr>
            <w:spacing w:val="-4"/>
            <w:sz w:val="18"/>
          </w:rPr>
          <w:t> </w:t>
        </w:r>
        <w:r>
          <w:rPr>
            <w:sz w:val="18"/>
          </w:rPr>
          <w:t>to</w:t>
        </w:r>
        <w:r>
          <w:rPr>
            <w:spacing w:val="-5"/>
            <w:sz w:val="18"/>
          </w:rPr>
          <w:t> </w:t>
        </w:r>
        <w:r>
          <w:rPr>
            <w:sz w:val="18"/>
          </w:rPr>
          <w:t>the</w:t>
        </w:r>
        <w:r>
          <w:rPr>
            <w:spacing w:val="-4"/>
            <w:sz w:val="18"/>
          </w:rPr>
          <w:t> </w:t>
        </w:r>
        <w:r>
          <w:rPr>
            <w:sz w:val="18"/>
          </w:rPr>
          <w:t>Department</w:t>
        </w:r>
        <w:r>
          <w:rPr>
            <w:spacing w:val="-4"/>
            <w:sz w:val="18"/>
          </w:rPr>
          <w:t> </w:t>
        </w:r>
        <w:r>
          <w:rPr>
            <w:sz w:val="18"/>
          </w:rPr>
          <w:t>of</w:t>
        </w:r>
        <w:r>
          <w:rPr>
            <w:spacing w:val="-5"/>
            <w:sz w:val="18"/>
          </w:rPr>
          <w:t> </w:t>
        </w:r>
        <w:r>
          <w:rPr>
            <w:sz w:val="18"/>
          </w:rPr>
          <w:t>Justice’s</w:t>
        </w:r>
        <w:r>
          <w:rPr>
            <w:spacing w:val="-5"/>
            <w:sz w:val="18"/>
          </w:rPr>
          <w:t> </w:t>
        </w:r>
        <w:r>
          <w:rPr>
            <w:sz w:val="18"/>
          </w:rPr>
          <w:t>Public</w:t>
        </w:r>
        <w:r>
          <w:rPr>
            <w:spacing w:val="-4"/>
            <w:sz w:val="18"/>
          </w:rPr>
          <w:t> </w:t>
        </w:r>
        <w:r>
          <w:rPr>
            <w:sz w:val="18"/>
          </w:rPr>
          <w:t>Consultation</w:t>
        </w:r>
        <w:r>
          <w:rPr>
            <w:spacing w:val="-5"/>
            <w:sz w:val="18"/>
          </w:rPr>
          <w:t> </w:t>
        </w:r>
        <w:r>
          <w:rPr>
            <w:sz w:val="18"/>
          </w:rPr>
          <w:t>on</w:t>
        </w:r>
        <w:r>
          <w:rPr>
            <w:spacing w:val="-5"/>
            <w:sz w:val="18"/>
          </w:rPr>
          <w:t> </w:t>
        </w:r>
        <w:r>
          <w:rPr>
            <w:sz w:val="18"/>
          </w:rPr>
          <w:t>the</w:t>
        </w:r>
        <w:r>
          <w:rPr>
            <w:spacing w:val="-4"/>
            <w:sz w:val="18"/>
          </w:rPr>
          <w:t> </w:t>
        </w:r>
        <w:r>
          <w:rPr>
            <w:sz w:val="18"/>
          </w:rPr>
          <w:t>Modern</w:t>
        </w:r>
        <w:r>
          <w:rPr>
            <w:spacing w:val="-5"/>
            <w:sz w:val="18"/>
          </w:rPr>
          <w:t> </w:t>
        </w:r>
        <w:r>
          <w:rPr>
            <w:sz w:val="18"/>
          </w:rPr>
          <w:t>Slavery</w:t>
        </w:r>
        <w:r>
          <w:rPr>
            <w:spacing w:val="-4"/>
            <w:sz w:val="18"/>
          </w:rPr>
          <w:t> </w:t>
        </w:r>
        <w:r>
          <w:rPr>
            <w:sz w:val="18"/>
          </w:rPr>
          <w:t>and</w:t>
        </w:r>
      </w:hyperlink>
      <w:r>
        <w:rPr>
          <w:sz w:val="18"/>
        </w:rPr>
        <w:t> </w:t>
      </w:r>
      <w:hyperlink r:id="rId148">
        <w:r>
          <w:rPr>
            <w:sz w:val="18"/>
          </w:rPr>
          <w:t>Human Trafficking Strategy 2022</w:t>
        </w:r>
      </w:hyperlink>
      <w:r>
        <w:rPr>
          <w:sz w:val="18"/>
        </w:rPr>
        <w:t>’ (ECNI, 2023).</w:t>
      </w:r>
    </w:p>
    <w:p>
      <w:pPr>
        <w:pStyle w:val="ListParagraph"/>
        <w:numPr>
          <w:ilvl w:val="0"/>
          <w:numId w:val="9"/>
        </w:numPr>
        <w:tabs>
          <w:tab w:pos="1853" w:val="left" w:leader="none"/>
        </w:tabs>
        <w:spacing w:line="235" w:lineRule="auto" w:before="1" w:after="0"/>
        <w:ind w:left="1853" w:right="1463" w:hanging="720"/>
        <w:jc w:val="left"/>
        <w:rPr>
          <w:sz w:val="18"/>
        </w:rPr>
      </w:pPr>
      <w:r>
        <w:rPr>
          <w:sz w:val="18"/>
        </w:rPr>
        <w:t>Sections 22-29, Illegal Migration Act 2023; NI Human Rights Commission, ‘Submission to Joint Committee on Human Rights</w:t>
      </w:r>
      <w:r>
        <w:rPr>
          <w:spacing w:val="-4"/>
          <w:sz w:val="18"/>
        </w:rPr>
        <w:t> </w:t>
      </w:r>
      <w:r>
        <w:rPr>
          <w:sz w:val="18"/>
        </w:rPr>
        <w:t>Inquiry</w:t>
      </w:r>
      <w:r>
        <w:rPr>
          <w:spacing w:val="-3"/>
          <w:sz w:val="18"/>
        </w:rPr>
        <w:t> </w:t>
      </w:r>
      <w:r>
        <w:rPr>
          <w:sz w:val="18"/>
        </w:rPr>
        <w:t>on</w:t>
      </w:r>
      <w:r>
        <w:rPr>
          <w:spacing w:val="-4"/>
          <w:sz w:val="18"/>
        </w:rPr>
        <w:t> </w:t>
      </w:r>
      <w:r>
        <w:rPr>
          <w:sz w:val="18"/>
        </w:rPr>
        <w:t>Illegal</w:t>
      </w:r>
      <w:r>
        <w:rPr>
          <w:spacing w:val="-4"/>
          <w:sz w:val="18"/>
        </w:rPr>
        <w:t> </w:t>
      </w:r>
      <w:r>
        <w:rPr>
          <w:sz w:val="18"/>
        </w:rPr>
        <w:t>Migration</w:t>
      </w:r>
      <w:r>
        <w:rPr>
          <w:spacing w:val="-4"/>
          <w:sz w:val="18"/>
        </w:rPr>
        <w:t> </w:t>
      </w:r>
      <w:r>
        <w:rPr>
          <w:sz w:val="18"/>
        </w:rPr>
        <w:t>Bill’</w:t>
      </w:r>
      <w:r>
        <w:rPr>
          <w:spacing w:val="-3"/>
          <w:sz w:val="18"/>
        </w:rPr>
        <w:t> </w:t>
      </w:r>
      <w:r>
        <w:rPr>
          <w:sz w:val="18"/>
        </w:rPr>
        <w:t>(NIHRC,</w:t>
      </w:r>
      <w:r>
        <w:rPr>
          <w:spacing w:val="-3"/>
          <w:sz w:val="18"/>
        </w:rPr>
        <w:t> </w:t>
      </w:r>
      <w:r>
        <w:rPr>
          <w:sz w:val="18"/>
        </w:rPr>
        <w:t>2023);</w:t>
      </w:r>
      <w:r>
        <w:rPr>
          <w:spacing w:val="-3"/>
          <w:sz w:val="18"/>
        </w:rPr>
        <w:t> </w:t>
      </w: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3"/>
          <w:sz w:val="18"/>
        </w:rPr>
        <w:t> </w:t>
      </w:r>
      <w:r>
        <w:rPr>
          <w:sz w:val="18"/>
        </w:rPr>
        <w:t>‘Submission</w:t>
      </w:r>
      <w:r>
        <w:rPr>
          <w:spacing w:val="-4"/>
          <w:sz w:val="18"/>
        </w:rPr>
        <w:t> </w:t>
      </w:r>
      <w:r>
        <w:rPr>
          <w:sz w:val="18"/>
        </w:rPr>
        <w:t>to</w:t>
      </w:r>
      <w:r>
        <w:rPr>
          <w:spacing w:val="-4"/>
          <w:sz w:val="18"/>
        </w:rPr>
        <w:t> </w:t>
      </w:r>
      <w:r>
        <w:rPr>
          <w:sz w:val="18"/>
        </w:rPr>
        <w:t>House</w:t>
      </w:r>
      <w:r>
        <w:rPr>
          <w:spacing w:val="-3"/>
          <w:sz w:val="18"/>
        </w:rPr>
        <w:t> </w:t>
      </w:r>
      <w:r>
        <w:rPr>
          <w:sz w:val="18"/>
        </w:rPr>
        <w:t>of</w:t>
      </w:r>
      <w:r>
        <w:rPr>
          <w:spacing w:val="-4"/>
          <w:sz w:val="18"/>
        </w:rPr>
        <w:t> </w:t>
      </w:r>
      <w:r>
        <w:rPr>
          <w:sz w:val="18"/>
        </w:rPr>
        <w:t>Lords</w:t>
      </w:r>
      <w:r>
        <w:rPr>
          <w:spacing w:val="-4"/>
          <w:sz w:val="18"/>
        </w:rPr>
        <w:t> </w:t>
      </w:r>
      <w:r>
        <w:rPr>
          <w:sz w:val="18"/>
        </w:rPr>
        <w:t>on the Illegal Migration Bill’ (NIHRC, 2023); Equality Commission for NI, ‘</w:t>
      </w:r>
      <w:hyperlink r:id="rId149">
        <w:r>
          <w:rPr>
            <w:sz w:val="18"/>
          </w:rPr>
          <w:t>Submission to the House of Lords on the</w:t>
        </w:r>
      </w:hyperlink>
    </w:p>
    <w:p>
      <w:pPr>
        <w:spacing w:line="216" w:lineRule="exact" w:before="0"/>
        <w:ind w:left="1853" w:right="0" w:firstLine="0"/>
        <w:jc w:val="left"/>
        <w:rPr>
          <w:sz w:val="18"/>
        </w:rPr>
      </w:pPr>
      <w:hyperlink r:id="rId149">
        <w:r>
          <w:rPr>
            <w:sz w:val="18"/>
          </w:rPr>
          <w:t>Illegal</w:t>
        </w:r>
        <w:r>
          <w:rPr>
            <w:spacing w:val="-7"/>
            <w:sz w:val="18"/>
          </w:rPr>
          <w:t> </w:t>
        </w:r>
        <w:r>
          <w:rPr>
            <w:sz w:val="18"/>
          </w:rPr>
          <w:t>Migration</w:t>
        </w:r>
        <w:r>
          <w:rPr>
            <w:spacing w:val="-7"/>
            <w:sz w:val="18"/>
          </w:rPr>
          <w:t> </w:t>
        </w:r>
        <w:r>
          <w:rPr>
            <w:sz w:val="18"/>
          </w:rPr>
          <w:t>Bill</w:t>
        </w:r>
      </w:hyperlink>
      <w:r>
        <w:rPr>
          <w:sz w:val="18"/>
        </w:rPr>
        <w:t>’</w:t>
      </w:r>
      <w:r>
        <w:rPr>
          <w:spacing w:val="-6"/>
          <w:sz w:val="18"/>
        </w:rPr>
        <w:t> </w:t>
      </w:r>
      <w:r>
        <w:rPr>
          <w:sz w:val="18"/>
        </w:rPr>
        <w:t>(ECNI,</w:t>
      </w:r>
      <w:r>
        <w:rPr>
          <w:spacing w:val="-6"/>
          <w:sz w:val="18"/>
        </w:rPr>
        <w:t> </w:t>
      </w:r>
      <w:r>
        <w:rPr>
          <w:spacing w:val="-2"/>
          <w:sz w:val="18"/>
        </w:rPr>
        <w:t>2023).</w:t>
      </w:r>
    </w:p>
    <w:p>
      <w:pPr>
        <w:pStyle w:val="ListParagraph"/>
        <w:numPr>
          <w:ilvl w:val="0"/>
          <w:numId w:val="9"/>
        </w:numPr>
        <w:tabs>
          <w:tab w:pos="1853" w:val="left" w:leader="none"/>
        </w:tabs>
        <w:spacing w:line="235" w:lineRule="auto" w:before="1" w:after="0"/>
        <w:ind w:left="1853" w:right="1822" w:hanging="720"/>
        <w:jc w:val="left"/>
        <w:rPr>
          <w:sz w:val="18"/>
        </w:rPr>
      </w:pPr>
      <w:r>
        <w:rPr>
          <w:sz w:val="18"/>
        </w:rPr>
        <w:t>Directive</w:t>
      </w:r>
      <w:r>
        <w:rPr>
          <w:spacing w:val="-5"/>
          <w:sz w:val="18"/>
        </w:rPr>
        <w:t> </w:t>
      </w:r>
      <w:r>
        <w:rPr>
          <w:sz w:val="18"/>
        </w:rPr>
        <w:t>2011/36/EU,</w:t>
      </w:r>
      <w:r>
        <w:rPr>
          <w:spacing w:val="-5"/>
          <w:sz w:val="18"/>
        </w:rPr>
        <w:t> </w:t>
      </w:r>
      <w:r>
        <w:rPr>
          <w:sz w:val="18"/>
        </w:rPr>
        <w:t>‘Council</w:t>
      </w:r>
      <w:r>
        <w:rPr>
          <w:spacing w:val="-6"/>
          <w:sz w:val="18"/>
        </w:rPr>
        <w:t> </w:t>
      </w:r>
      <w:r>
        <w:rPr>
          <w:sz w:val="18"/>
        </w:rPr>
        <w:t>of</w:t>
      </w:r>
      <w:r>
        <w:rPr>
          <w:spacing w:val="-6"/>
          <w:sz w:val="18"/>
        </w:rPr>
        <w:t> </w:t>
      </w:r>
      <w:r>
        <w:rPr>
          <w:sz w:val="18"/>
        </w:rPr>
        <w:t>the</w:t>
      </w:r>
      <w:r>
        <w:rPr>
          <w:spacing w:val="-5"/>
          <w:sz w:val="18"/>
        </w:rPr>
        <w:t> </w:t>
      </w:r>
      <w:r>
        <w:rPr>
          <w:sz w:val="18"/>
        </w:rPr>
        <w:t>EU</w:t>
      </w:r>
      <w:r>
        <w:rPr>
          <w:spacing w:val="-5"/>
          <w:sz w:val="18"/>
        </w:rPr>
        <w:t> </w:t>
      </w:r>
      <w:r>
        <w:rPr>
          <w:sz w:val="18"/>
        </w:rPr>
        <w:t>Directive</w:t>
      </w:r>
      <w:r>
        <w:rPr>
          <w:spacing w:val="-5"/>
          <w:sz w:val="18"/>
        </w:rPr>
        <w:t> </w:t>
      </w:r>
      <w:r>
        <w:rPr>
          <w:sz w:val="18"/>
        </w:rPr>
        <w:t>on</w:t>
      </w:r>
      <w:r>
        <w:rPr>
          <w:spacing w:val="-6"/>
          <w:sz w:val="18"/>
        </w:rPr>
        <w:t> </w:t>
      </w:r>
      <w:r>
        <w:rPr>
          <w:sz w:val="18"/>
        </w:rPr>
        <w:t>Preventing</w:t>
      </w:r>
      <w:r>
        <w:rPr>
          <w:spacing w:val="-5"/>
          <w:sz w:val="18"/>
        </w:rPr>
        <w:t> </w:t>
      </w:r>
      <w:r>
        <w:rPr>
          <w:sz w:val="18"/>
        </w:rPr>
        <w:t>and</w:t>
      </w:r>
      <w:r>
        <w:rPr>
          <w:spacing w:val="-6"/>
          <w:sz w:val="18"/>
        </w:rPr>
        <w:t> </w:t>
      </w:r>
      <w:r>
        <w:rPr>
          <w:sz w:val="18"/>
        </w:rPr>
        <w:t>Combating</w:t>
      </w:r>
      <w:r>
        <w:rPr>
          <w:spacing w:val="-5"/>
          <w:sz w:val="18"/>
        </w:rPr>
        <w:t> </w:t>
      </w:r>
      <w:r>
        <w:rPr>
          <w:sz w:val="18"/>
        </w:rPr>
        <w:t>Trafficking</w:t>
      </w:r>
      <w:r>
        <w:rPr>
          <w:spacing w:val="-5"/>
          <w:sz w:val="18"/>
        </w:rPr>
        <w:t> </w:t>
      </w:r>
      <w:r>
        <w:rPr>
          <w:sz w:val="18"/>
        </w:rPr>
        <w:t>in</w:t>
      </w:r>
      <w:r>
        <w:rPr>
          <w:spacing w:val="-6"/>
          <w:sz w:val="18"/>
        </w:rPr>
        <w:t> </w:t>
      </w:r>
      <w:r>
        <w:rPr>
          <w:sz w:val="18"/>
        </w:rPr>
        <w:t>Human</w:t>
      </w:r>
      <w:r>
        <w:rPr>
          <w:spacing w:val="-6"/>
          <w:sz w:val="18"/>
        </w:rPr>
        <w:t> </w:t>
      </w:r>
      <w:r>
        <w:rPr>
          <w:sz w:val="18"/>
        </w:rPr>
        <w:t>Beings</w:t>
      </w:r>
      <w:r>
        <w:rPr>
          <w:spacing w:val="-6"/>
          <w:sz w:val="18"/>
        </w:rPr>
        <w:t> </w:t>
      </w:r>
      <w:r>
        <w:rPr>
          <w:sz w:val="18"/>
        </w:rPr>
        <w:t>and Protecting its Victims’, 5 April 2011.</w:t>
      </w:r>
    </w:p>
    <w:p>
      <w:pPr>
        <w:pStyle w:val="ListParagraph"/>
        <w:numPr>
          <w:ilvl w:val="0"/>
          <w:numId w:val="9"/>
        </w:numPr>
        <w:tabs>
          <w:tab w:pos="1853" w:val="left" w:leader="none"/>
        </w:tabs>
        <w:spacing w:line="235" w:lineRule="auto" w:before="2" w:after="0"/>
        <w:ind w:left="1853" w:right="1291" w:hanging="720"/>
        <w:jc w:val="left"/>
        <w:rPr>
          <w:sz w:val="18"/>
        </w:rPr>
      </w:pPr>
      <w:r>
        <w:rPr>
          <w:sz w:val="18"/>
        </w:rPr>
        <w:t>NI</w:t>
      </w:r>
      <w:r>
        <w:rPr>
          <w:spacing w:val="-4"/>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‘Submission</w:t>
      </w:r>
      <w:r>
        <w:rPr>
          <w:spacing w:val="-4"/>
          <w:sz w:val="18"/>
        </w:rPr>
        <w:t> </w:t>
      </w:r>
      <w:r>
        <w:rPr>
          <w:sz w:val="18"/>
        </w:rPr>
        <w:t>to</w:t>
      </w:r>
      <w:r>
        <w:rPr>
          <w:spacing w:val="-4"/>
          <w:sz w:val="18"/>
        </w:rPr>
        <w:t> </w:t>
      </w:r>
      <w:r>
        <w:rPr>
          <w:sz w:val="18"/>
        </w:rPr>
        <w:t>Joint</w:t>
      </w:r>
      <w:r>
        <w:rPr>
          <w:spacing w:val="-4"/>
          <w:sz w:val="18"/>
        </w:rPr>
        <w:t> </w:t>
      </w:r>
      <w:r>
        <w:rPr>
          <w:sz w:val="18"/>
        </w:rPr>
        <w:t>Committee</w:t>
      </w:r>
      <w:r>
        <w:rPr>
          <w:spacing w:val="-4"/>
          <w:sz w:val="18"/>
        </w:rPr>
        <w:t> </w:t>
      </w:r>
      <w:r>
        <w:rPr>
          <w:sz w:val="18"/>
        </w:rPr>
        <w:t>on</w:t>
      </w:r>
      <w:r>
        <w:rPr>
          <w:spacing w:val="-4"/>
          <w:sz w:val="18"/>
        </w:rPr>
        <w:t> </w:t>
      </w:r>
      <w:r>
        <w:rPr>
          <w:sz w:val="18"/>
        </w:rPr>
        <w:t>Human</w:t>
      </w:r>
      <w:r>
        <w:rPr>
          <w:spacing w:val="-4"/>
          <w:sz w:val="18"/>
        </w:rPr>
        <w:t> </w:t>
      </w:r>
      <w:r>
        <w:rPr>
          <w:sz w:val="18"/>
        </w:rPr>
        <w:t>Rights</w:t>
      </w:r>
      <w:r>
        <w:rPr>
          <w:spacing w:val="-4"/>
          <w:sz w:val="18"/>
        </w:rPr>
        <w:t> </w:t>
      </w:r>
      <w:r>
        <w:rPr>
          <w:sz w:val="18"/>
        </w:rPr>
        <w:t>Inquiry</w:t>
      </w:r>
      <w:r>
        <w:rPr>
          <w:spacing w:val="-4"/>
          <w:sz w:val="18"/>
        </w:rPr>
        <w:t> </w:t>
      </w:r>
      <w:r>
        <w:rPr>
          <w:sz w:val="18"/>
        </w:rPr>
        <w:t>on</w:t>
      </w:r>
      <w:r>
        <w:rPr>
          <w:spacing w:val="-4"/>
          <w:sz w:val="18"/>
        </w:rPr>
        <w:t> </w:t>
      </w:r>
      <w:r>
        <w:rPr>
          <w:sz w:val="18"/>
        </w:rPr>
        <w:t>Illegal</w:t>
      </w:r>
      <w:r>
        <w:rPr>
          <w:spacing w:val="-4"/>
          <w:sz w:val="18"/>
        </w:rPr>
        <w:t> </w:t>
      </w:r>
      <w:r>
        <w:rPr>
          <w:sz w:val="18"/>
        </w:rPr>
        <w:t>Migration</w:t>
      </w:r>
      <w:r>
        <w:rPr>
          <w:spacing w:val="-4"/>
          <w:sz w:val="18"/>
        </w:rPr>
        <w:t> </w:t>
      </w:r>
      <w:r>
        <w:rPr>
          <w:sz w:val="18"/>
        </w:rPr>
        <w:t>Bill’</w:t>
      </w:r>
      <w:r>
        <w:rPr>
          <w:spacing w:val="-4"/>
          <w:sz w:val="18"/>
        </w:rPr>
        <w:t> </w:t>
      </w:r>
      <w:r>
        <w:rPr>
          <w:sz w:val="18"/>
        </w:rPr>
        <w:t>(NIHRC, 2023); NI Human Rights Commission, ‘Submission to House of Lords on the Illegal Migration Bill’ (NIHRC, 2023).</w:t>
      </w:r>
    </w:p>
    <w:p>
      <w:pPr>
        <w:pStyle w:val="ListParagraph"/>
        <w:numPr>
          <w:ilvl w:val="0"/>
          <w:numId w:val="9"/>
        </w:numPr>
        <w:tabs>
          <w:tab w:pos="1853" w:val="left" w:leader="none"/>
        </w:tabs>
        <w:spacing w:line="216" w:lineRule="exact" w:before="0" w:after="0"/>
        <w:ind w:left="1853" w:right="0" w:hanging="720"/>
        <w:jc w:val="left"/>
        <w:rPr>
          <w:sz w:val="18"/>
        </w:rPr>
      </w:pP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3"/>
          <w:sz w:val="18"/>
        </w:rPr>
        <w:t> </w:t>
      </w:r>
      <w:r>
        <w:rPr>
          <w:sz w:val="18"/>
        </w:rPr>
        <w:t>‘Submission</w:t>
      </w:r>
      <w:r>
        <w:rPr>
          <w:spacing w:val="-4"/>
          <w:sz w:val="18"/>
        </w:rPr>
        <w:t> </w:t>
      </w:r>
      <w:r>
        <w:rPr>
          <w:sz w:val="18"/>
        </w:rPr>
        <w:t>to</w:t>
      </w:r>
      <w:r>
        <w:rPr>
          <w:spacing w:val="-4"/>
          <w:sz w:val="18"/>
        </w:rPr>
        <w:t> </w:t>
      </w:r>
      <w:r>
        <w:rPr>
          <w:sz w:val="18"/>
        </w:rPr>
        <w:t>House</w:t>
      </w:r>
      <w:r>
        <w:rPr>
          <w:spacing w:val="-3"/>
          <w:sz w:val="18"/>
        </w:rPr>
        <w:t> </w:t>
      </w:r>
      <w:r>
        <w:rPr>
          <w:sz w:val="18"/>
        </w:rPr>
        <w:t>of</w:t>
      </w:r>
      <w:r>
        <w:rPr>
          <w:spacing w:val="-4"/>
          <w:sz w:val="18"/>
        </w:rPr>
        <w:t> </w:t>
      </w:r>
      <w:r>
        <w:rPr>
          <w:sz w:val="18"/>
        </w:rPr>
        <w:t>Lords</w:t>
      </w:r>
      <w:r>
        <w:rPr>
          <w:spacing w:val="-3"/>
          <w:sz w:val="18"/>
        </w:rPr>
        <w:t> </w:t>
      </w:r>
      <w:r>
        <w:rPr>
          <w:sz w:val="18"/>
        </w:rPr>
        <w:t>on</w:t>
      </w:r>
      <w:r>
        <w:rPr>
          <w:spacing w:val="-4"/>
          <w:sz w:val="18"/>
        </w:rPr>
        <w:t> </w:t>
      </w:r>
      <w:r>
        <w:rPr>
          <w:sz w:val="18"/>
        </w:rPr>
        <w:t>the</w:t>
      </w:r>
      <w:r>
        <w:rPr>
          <w:spacing w:val="-3"/>
          <w:sz w:val="18"/>
        </w:rPr>
        <w:t> </w:t>
      </w:r>
      <w:r>
        <w:rPr>
          <w:sz w:val="18"/>
        </w:rPr>
        <w:t>Illegal</w:t>
      </w:r>
      <w:r>
        <w:rPr>
          <w:spacing w:val="-4"/>
          <w:sz w:val="18"/>
        </w:rPr>
        <w:t> </w:t>
      </w:r>
      <w:r>
        <w:rPr>
          <w:sz w:val="18"/>
        </w:rPr>
        <w:t>Migration</w:t>
      </w:r>
      <w:r>
        <w:rPr>
          <w:spacing w:val="-4"/>
          <w:sz w:val="18"/>
        </w:rPr>
        <w:t> </w:t>
      </w:r>
      <w:r>
        <w:rPr>
          <w:sz w:val="18"/>
        </w:rPr>
        <w:t>Bill’</w:t>
      </w:r>
      <w:r>
        <w:rPr>
          <w:spacing w:val="-3"/>
          <w:sz w:val="18"/>
        </w:rPr>
        <w:t> </w:t>
      </w:r>
      <w:r>
        <w:rPr>
          <w:sz w:val="18"/>
        </w:rPr>
        <w:t>(NIHRC,</w:t>
      </w:r>
      <w:r>
        <w:rPr>
          <w:spacing w:val="-3"/>
          <w:sz w:val="18"/>
        </w:rPr>
        <w:t> </w:t>
      </w:r>
      <w:r>
        <w:rPr>
          <w:sz w:val="18"/>
        </w:rPr>
        <w:t>2023),</w:t>
      </w:r>
      <w:r>
        <w:rPr>
          <w:spacing w:val="-3"/>
          <w:sz w:val="18"/>
        </w:rPr>
        <w:t> </w:t>
      </w:r>
      <w:r>
        <w:rPr>
          <w:sz w:val="18"/>
        </w:rPr>
        <w:t>at</w:t>
      </w:r>
      <w:r>
        <w:rPr>
          <w:spacing w:val="-3"/>
          <w:sz w:val="18"/>
        </w:rPr>
        <w:t> </w:t>
      </w:r>
      <w:r>
        <w:rPr>
          <w:sz w:val="18"/>
        </w:rPr>
        <w:t>para</w:t>
      </w:r>
      <w:r>
        <w:rPr>
          <w:spacing w:val="-3"/>
          <w:sz w:val="18"/>
        </w:rPr>
        <w:t> </w:t>
      </w:r>
      <w:r>
        <w:rPr>
          <w:spacing w:val="-2"/>
          <w:sz w:val="18"/>
        </w:rPr>
        <w:t>6.10.</w:t>
      </w:r>
    </w:p>
    <w:p>
      <w:pPr>
        <w:pStyle w:val="ListParagraph"/>
        <w:numPr>
          <w:ilvl w:val="0"/>
          <w:numId w:val="9"/>
        </w:numPr>
        <w:tabs>
          <w:tab w:pos="1853" w:val="left" w:leader="none"/>
        </w:tabs>
        <w:spacing w:line="218" w:lineRule="exact" w:before="0" w:after="0"/>
        <w:ind w:left="1853" w:right="0" w:hanging="720"/>
        <w:jc w:val="left"/>
        <w:rPr>
          <w:sz w:val="18"/>
        </w:rPr>
      </w:pPr>
      <w:r>
        <w:rPr>
          <w:sz w:val="18"/>
        </w:rPr>
        <w:t>Equality</w:t>
      </w:r>
      <w:r>
        <w:rPr>
          <w:spacing w:val="-4"/>
          <w:sz w:val="18"/>
        </w:rPr>
        <w:t> </w:t>
      </w:r>
      <w:r>
        <w:rPr>
          <w:sz w:val="18"/>
        </w:rPr>
        <w:t>Commission</w:t>
      </w:r>
      <w:r>
        <w:rPr>
          <w:spacing w:val="-4"/>
          <w:sz w:val="18"/>
        </w:rPr>
        <w:t> </w:t>
      </w:r>
      <w:r>
        <w:rPr>
          <w:sz w:val="18"/>
        </w:rPr>
        <w:t>for</w:t>
      </w:r>
      <w:r>
        <w:rPr>
          <w:spacing w:val="-3"/>
          <w:sz w:val="18"/>
        </w:rPr>
        <w:t> </w:t>
      </w:r>
      <w:r>
        <w:rPr>
          <w:sz w:val="18"/>
        </w:rPr>
        <w:t>NI,</w:t>
      </w:r>
      <w:r>
        <w:rPr>
          <w:spacing w:val="-4"/>
          <w:sz w:val="18"/>
        </w:rPr>
        <w:t> </w:t>
      </w:r>
      <w:r>
        <w:rPr>
          <w:sz w:val="18"/>
        </w:rPr>
        <w:t>‘Submission</w:t>
      </w:r>
      <w:r>
        <w:rPr>
          <w:spacing w:val="-4"/>
          <w:sz w:val="18"/>
        </w:rPr>
        <w:t> </w:t>
      </w:r>
      <w:r>
        <w:rPr>
          <w:sz w:val="18"/>
        </w:rPr>
        <w:t>to</w:t>
      </w:r>
      <w:r>
        <w:rPr>
          <w:spacing w:val="-4"/>
          <w:sz w:val="18"/>
        </w:rPr>
        <w:t> </w:t>
      </w:r>
      <w:r>
        <w:rPr>
          <w:sz w:val="18"/>
        </w:rPr>
        <w:t>the</w:t>
      </w:r>
      <w:r>
        <w:rPr>
          <w:spacing w:val="-4"/>
          <w:sz w:val="18"/>
        </w:rPr>
        <w:t> </w:t>
      </w:r>
      <w:r>
        <w:rPr>
          <w:sz w:val="18"/>
        </w:rPr>
        <w:t>House</w:t>
      </w:r>
      <w:r>
        <w:rPr>
          <w:spacing w:val="-3"/>
          <w:sz w:val="18"/>
        </w:rPr>
        <w:t> </w:t>
      </w:r>
      <w:r>
        <w:rPr>
          <w:sz w:val="18"/>
        </w:rPr>
        <w:t>of</w:t>
      </w:r>
      <w:r>
        <w:rPr>
          <w:spacing w:val="-4"/>
          <w:sz w:val="18"/>
        </w:rPr>
        <w:t> </w:t>
      </w:r>
      <w:r>
        <w:rPr>
          <w:sz w:val="18"/>
        </w:rPr>
        <w:t>Lords</w:t>
      </w:r>
      <w:r>
        <w:rPr>
          <w:spacing w:val="-5"/>
          <w:sz w:val="18"/>
        </w:rPr>
        <w:t> </w:t>
      </w:r>
      <w:r>
        <w:rPr>
          <w:sz w:val="18"/>
        </w:rPr>
        <w:t>on</w:t>
      </w:r>
      <w:r>
        <w:rPr>
          <w:spacing w:val="-4"/>
          <w:sz w:val="18"/>
        </w:rPr>
        <w:t> </w:t>
      </w:r>
      <w:r>
        <w:rPr>
          <w:sz w:val="18"/>
        </w:rPr>
        <w:t>the</w:t>
      </w:r>
      <w:r>
        <w:rPr>
          <w:spacing w:val="-3"/>
          <w:sz w:val="18"/>
        </w:rPr>
        <w:t> </w:t>
      </w:r>
      <w:r>
        <w:rPr>
          <w:sz w:val="18"/>
        </w:rPr>
        <w:t>Illegal</w:t>
      </w:r>
      <w:r>
        <w:rPr>
          <w:spacing w:val="-4"/>
          <w:sz w:val="18"/>
        </w:rPr>
        <w:t> </w:t>
      </w:r>
      <w:r>
        <w:rPr>
          <w:sz w:val="18"/>
        </w:rPr>
        <w:t>Migration</w:t>
      </w:r>
      <w:r>
        <w:rPr>
          <w:spacing w:val="-5"/>
          <w:sz w:val="18"/>
        </w:rPr>
        <w:t> </w:t>
      </w:r>
      <w:r>
        <w:rPr>
          <w:sz w:val="18"/>
        </w:rPr>
        <w:t>Bill’</w:t>
      </w:r>
      <w:r>
        <w:rPr>
          <w:spacing w:val="-3"/>
          <w:sz w:val="18"/>
        </w:rPr>
        <w:t> </w:t>
      </w:r>
      <w:r>
        <w:rPr>
          <w:sz w:val="18"/>
        </w:rPr>
        <w:t>(ECNI,</w:t>
      </w:r>
      <w:r>
        <w:rPr>
          <w:spacing w:val="-3"/>
          <w:sz w:val="18"/>
        </w:rPr>
        <w:t> </w:t>
      </w:r>
      <w:r>
        <w:rPr>
          <w:spacing w:val="-2"/>
          <w:sz w:val="18"/>
        </w:rPr>
        <w:t>2023).</w:t>
      </w:r>
    </w:p>
    <w:p>
      <w:pPr>
        <w:spacing w:after="0" w:line="218" w:lineRule="exact"/>
        <w:jc w:val="left"/>
        <w:rPr>
          <w:sz w:val="18"/>
        </w:rPr>
        <w:sectPr>
          <w:pgSz w:w="11910" w:h="16840"/>
          <w:pgMar w:header="496" w:footer="367" w:top="1220" w:bottom="560" w:left="0" w:right="0"/>
        </w:sectPr>
      </w:pPr>
    </w:p>
    <w:p>
      <w:pPr>
        <w:pStyle w:val="BodyText"/>
        <w:spacing w:before="181"/>
      </w:pPr>
    </w:p>
    <w:p>
      <w:pPr>
        <w:pStyle w:val="BodyText"/>
        <w:spacing w:line="225" w:lineRule="auto"/>
        <w:ind w:left="1853" w:right="1171" w:hanging="1"/>
      </w:pPr>
      <w:bookmarkStart w:name="_bookmark28" w:id="61"/>
      <w:bookmarkEnd w:id="61"/>
      <w:r>
        <w:rPr/>
      </w:r>
      <w:r>
        <w:rPr/>
        <w:t>under</w:t>
      </w:r>
      <w:r>
        <w:rPr>
          <w:spacing w:val="-9"/>
        </w:rPr>
        <w:t> </w:t>
      </w:r>
      <w:r>
        <w:rPr/>
        <w:t>those</w:t>
      </w:r>
      <w:r>
        <w:rPr>
          <w:spacing w:val="-9"/>
        </w:rPr>
        <w:t> </w:t>
      </w:r>
      <w:r>
        <w:rPr/>
        <w:t>directives</w:t>
      </w:r>
      <w:r>
        <w:rPr>
          <w:vertAlign w:val="superscript"/>
        </w:rPr>
        <w:t>387</w:t>
      </w:r>
      <w:r>
        <w:rPr>
          <w:spacing w:val="-9"/>
          <w:vertAlign w:val="baseline"/>
        </w:rPr>
        <w:t> </w:t>
      </w:r>
      <w:r>
        <w:rPr>
          <w:vertAlign w:val="baseline"/>
        </w:rPr>
        <w:t>that</w:t>
      </w:r>
      <w:r>
        <w:rPr>
          <w:spacing w:val="-9"/>
          <w:vertAlign w:val="baseline"/>
        </w:rPr>
        <w:t> </w:t>
      </w:r>
      <w:r>
        <w:rPr>
          <w:vertAlign w:val="baseline"/>
        </w:rPr>
        <w:t>fall</w:t>
      </w:r>
      <w:r>
        <w:rPr>
          <w:spacing w:val="-9"/>
          <w:vertAlign w:val="baseline"/>
        </w:rPr>
        <w:t> </w:t>
      </w:r>
      <w:r>
        <w:rPr>
          <w:vertAlign w:val="baseline"/>
        </w:rPr>
        <w:t>within</w:t>
      </w:r>
      <w:r>
        <w:rPr>
          <w:spacing w:val="-9"/>
          <w:vertAlign w:val="baseline"/>
        </w:rPr>
        <w:t> </w:t>
      </w:r>
      <w:r>
        <w:rPr>
          <w:vertAlign w:val="baseline"/>
        </w:rPr>
        <w:t>the</w:t>
      </w:r>
      <w:r>
        <w:rPr>
          <w:spacing w:val="-9"/>
          <w:vertAlign w:val="baseline"/>
        </w:rPr>
        <w:t> </w:t>
      </w:r>
      <w:r>
        <w:rPr>
          <w:vertAlign w:val="baseline"/>
        </w:rPr>
        <w:t>scope</w:t>
      </w:r>
      <w:r>
        <w:rPr>
          <w:spacing w:val="-9"/>
          <w:vertAlign w:val="baseline"/>
        </w:rPr>
        <w:t> </w:t>
      </w:r>
      <w:r>
        <w:rPr>
          <w:vertAlign w:val="baseline"/>
        </w:rPr>
        <w:t>of</w:t>
      </w:r>
      <w:r>
        <w:rPr>
          <w:spacing w:val="-9"/>
          <w:vertAlign w:val="baseline"/>
        </w:rPr>
        <w:t> </w:t>
      </w:r>
      <w:r>
        <w:rPr>
          <w:vertAlign w:val="baseline"/>
        </w:rPr>
        <w:t>Windsor</w:t>
      </w:r>
      <w:r>
        <w:rPr>
          <w:spacing w:val="-9"/>
          <w:vertAlign w:val="baseline"/>
        </w:rPr>
        <w:t> </w:t>
      </w:r>
      <w:r>
        <w:rPr>
          <w:vertAlign w:val="baseline"/>
        </w:rPr>
        <w:t>Framework Article 2.</w:t>
      </w:r>
      <w:r>
        <w:rPr>
          <w:vertAlign w:val="superscript"/>
        </w:rPr>
        <w:t>388</w:t>
      </w:r>
    </w:p>
    <w:p>
      <w:pPr>
        <w:pStyle w:val="ListParagraph"/>
        <w:numPr>
          <w:ilvl w:val="1"/>
          <w:numId w:val="7"/>
        </w:numPr>
        <w:tabs>
          <w:tab w:pos="1853" w:val="left" w:leader="none"/>
        </w:tabs>
        <w:spacing w:line="225" w:lineRule="auto" w:before="318" w:after="0"/>
        <w:ind w:left="1853" w:right="1711" w:hanging="720"/>
        <w:jc w:val="left"/>
        <w:rPr>
          <w:sz w:val="28"/>
        </w:rPr>
      </w:pPr>
      <w:r>
        <w:rPr>
          <w:sz w:val="28"/>
        </w:rPr>
        <w:t>In September 2023, the NIHRC brought a legal challenge to the Illegal Migration</w:t>
      </w:r>
      <w:r>
        <w:rPr>
          <w:spacing w:val="-5"/>
          <w:sz w:val="28"/>
        </w:rPr>
        <w:t> </w:t>
      </w:r>
      <w:r>
        <w:rPr>
          <w:sz w:val="28"/>
        </w:rPr>
        <w:t>Act</w:t>
      </w:r>
      <w:r>
        <w:rPr>
          <w:spacing w:val="-4"/>
          <w:sz w:val="28"/>
        </w:rPr>
        <w:t> </w:t>
      </w:r>
      <w:r>
        <w:rPr>
          <w:sz w:val="28"/>
        </w:rPr>
        <w:t>2023</w:t>
      </w:r>
      <w:r>
        <w:rPr>
          <w:spacing w:val="-4"/>
          <w:sz w:val="28"/>
        </w:rPr>
        <w:t> </w:t>
      </w:r>
      <w:r>
        <w:rPr>
          <w:sz w:val="28"/>
        </w:rPr>
        <w:t>on</w:t>
      </w:r>
      <w:r>
        <w:rPr>
          <w:spacing w:val="-5"/>
          <w:sz w:val="28"/>
        </w:rPr>
        <w:t> </w:t>
      </w:r>
      <w:r>
        <w:rPr>
          <w:sz w:val="28"/>
        </w:rPr>
        <w:t>grounds</w:t>
      </w:r>
      <w:r>
        <w:rPr>
          <w:spacing w:val="-5"/>
          <w:sz w:val="28"/>
        </w:rPr>
        <w:t> </w:t>
      </w:r>
      <w:r>
        <w:rPr>
          <w:sz w:val="28"/>
        </w:rPr>
        <w:t>that</w:t>
      </w:r>
      <w:r>
        <w:rPr>
          <w:spacing w:val="-4"/>
          <w:sz w:val="28"/>
        </w:rPr>
        <w:t> </w:t>
      </w:r>
      <w:r>
        <w:rPr>
          <w:sz w:val="28"/>
        </w:rPr>
        <w:t>it</w:t>
      </w:r>
      <w:r>
        <w:rPr>
          <w:spacing w:val="-4"/>
          <w:sz w:val="28"/>
        </w:rPr>
        <w:t> </w:t>
      </w:r>
      <w:r>
        <w:rPr>
          <w:sz w:val="28"/>
        </w:rPr>
        <w:t>is</w:t>
      </w:r>
      <w:r>
        <w:rPr>
          <w:spacing w:val="-5"/>
          <w:sz w:val="28"/>
        </w:rPr>
        <w:t> </w:t>
      </w:r>
      <w:r>
        <w:rPr>
          <w:sz w:val="28"/>
        </w:rPr>
        <w:t>not</w:t>
      </w:r>
      <w:r>
        <w:rPr>
          <w:spacing w:val="-4"/>
          <w:sz w:val="28"/>
        </w:rPr>
        <w:t> </w:t>
      </w:r>
      <w:r>
        <w:rPr>
          <w:sz w:val="28"/>
        </w:rPr>
        <w:t>compliant</w:t>
      </w:r>
      <w:r>
        <w:rPr>
          <w:spacing w:val="-4"/>
          <w:sz w:val="28"/>
        </w:rPr>
        <w:t> </w:t>
      </w:r>
      <w:r>
        <w:rPr>
          <w:sz w:val="28"/>
        </w:rPr>
        <w:t>with</w:t>
      </w:r>
      <w:r>
        <w:rPr>
          <w:spacing w:val="-5"/>
          <w:sz w:val="28"/>
        </w:rPr>
        <w:t> </w:t>
      </w:r>
      <w:r>
        <w:rPr>
          <w:sz w:val="28"/>
        </w:rPr>
        <w:t>the</w:t>
      </w:r>
      <w:r>
        <w:rPr>
          <w:spacing w:val="-4"/>
          <w:sz w:val="28"/>
        </w:rPr>
        <w:t> </w:t>
      </w:r>
      <w:r>
        <w:rPr>
          <w:sz w:val="28"/>
        </w:rPr>
        <w:t>ECHR</w:t>
      </w:r>
      <w:r>
        <w:rPr>
          <w:spacing w:val="-5"/>
          <w:sz w:val="28"/>
        </w:rPr>
        <w:t> </w:t>
      </w:r>
      <w:r>
        <w:rPr>
          <w:sz w:val="28"/>
        </w:rPr>
        <w:t>and Windsor Framework Article 2. The case was heard in January 2024 and a judgment was awaited as of 31 March 2024.</w:t>
      </w:r>
    </w:p>
    <w:p>
      <w:pPr>
        <w:pStyle w:val="BodyText"/>
        <w:rPr>
          <w:sz w:val="14"/>
        </w:rPr>
      </w:pPr>
      <w:r>
        <w:rPr/>
        <mc:AlternateContent>
          <mc:Choice Requires="wps">
            <w:drawing>
              <wp:anchor distT="0" distB="0" distL="0" distR="0" allowOverlap="1" layoutInCell="1" locked="0" behindDoc="1" simplePos="0" relativeHeight="487669248">
                <wp:simplePos x="0" y="0"/>
                <wp:positionH relativeFrom="page">
                  <wp:posOffset>720001</wp:posOffset>
                </wp:positionH>
                <wp:positionV relativeFrom="paragraph">
                  <wp:posOffset>124084</wp:posOffset>
                </wp:positionV>
                <wp:extent cx="6120130" cy="360045"/>
                <wp:effectExtent l="0" t="0" r="0" b="0"/>
                <wp:wrapTopAndBottom/>
                <wp:docPr id="355" name="Textbox 355"/>
                <wp:cNvGraphicFramePr>
                  <a:graphicFrameLocks/>
                </wp:cNvGraphicFramePr>
                <a:graphic>
                  <a:graphicData uri="http://schemas.microsoft.com/office/word/2010/wordprocessingShape">
                    <wps:wsp>
                      <wps:cNvPr id="355" name="Textbox 355"/>
                      <wps:cNvSpPr txBox="1"/>
                      <wps:spPr>
                        <a:xfrm>
                          <a:off x="0" y="0"/>
                          <a:ext cx="6120130" cy="360045"/>
                        </a:xfrm>
                        <a:prstGeom prst="rect">
                          <a:avLst/>
                        </a:prstGeom>
                        <a:solidFill>
                          <a:srgbClr val="393B7F"/>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9.770437pt;width:481.9pt;height:28.35pt;mso-position-horizontal-relative:page;mso-position-vertical-relative:paragraph;z-index:-15647232;mso-wrap-distance-left:0;mso-wrap-distance-right:0" type="#_x0000_t202" id="docshape305" filled="true" fillcolor="#393b7f"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192" w:after="0"/>
        <w:ind w:left="1853" w:right="1284" w:hanging="720"/>
        <w:jc w:val="left"/>
        <w:rPr>
          <w:b/>
          <w:color w:val="67287F"/>
          <w:sz w:val="28"/>
        </w:rPr>
      </w:pPr>
      <w:r>
        <w:rPr>
          <w:b/>
          <w:color w:val="67287F"/>
          <w:sz w:val="28"/>
        </w:rPr>
        <w:t>The Commissions continue to recommend that the Department of Justice, the Home Office and other relevant departments and bodies, ensure that policy and legislation on child sexual exploitation and on modern slavery and</w:t>
      </w:r>
      <w:r>
        <w:rPr>
          <w:b/>
          <w:color w:val="67287F"/>
          <w:spacing w:val="-8"/>
          <w:sz w:val="28"/>
        </w:rPr>
        <w:t> </w:t>
      </w:r>
      <w:r>
        <w:rPr>
          <w:b/>
          <w:color w:val="67287F"/>
          <w:sz w:val="28"/>
        </w:rPr>
        <w:t>human</w:t>
      </w:r>
      <w:r>
        <w:rPr>
          <w:b/>
          <w:color w:val="67287F"/>
          <w:spacing w:val="-8"/>
          <w:sz w:val="28"/>
        </w:rPr>
        <w:t> </w:t>
      </w:r>
      <w:r>
        <w:rPr>
          <w:b/>
          <w:color w:val="67287F"/>
          <w:sz w:val="28"/>
        </w:rPr>
        <w:t>trafficking</w:t>
      </w:r>
      <w:r>
        <w:rPr>
          <w:b/>
          <w:color w:val="67287F"/>
          <w:spacing w:val="-9"/>
          <w:sz w:val="28"/>
        </w:rPr>
        <w:t> </w:t>
      </w:r>
      <w:r>
        <w:rPr>
          <w:b/>
          <w:color w:val="67287F"/>
          <w:sz w:val="28"/>
        </w:rPr>
        <w:t>is</w:t>
      </w:r>
      <w:r>
        <w:rPr>
          <w:b/>
          <w:color w:val="67287F"/>
          <w:spacing w:val="-8"/>
          <w:sz w:val="28"/>
        </w:rPr>
        <w:t> </w:t>
      </w:r>
      <w:r>
        <w:rPr>
          <w:b/>
          <w:color w:val="67287F"/>
          <w:sz w:val="28"/>
        </w:rPr>
        <w:t>developed</w:t>
      </w:r>
      <w:r>
        <w:rPr>
          <w:b/>
          <w:color w:val="67287F"/>
          <w:spacing w:val="-8"/>
          <w:sz w:val="28"/>
        </w:rPr>
        <w:t> </w:t>
      </w:r>
      <w:r>
        <w:rPr>
          <w:b/>
          <w:color w:val="67287F"/>
          <w:sz w:val="28"/>
        </w:rPr>
        <w:t>in</w:t>
      </w:r>
      <w:r>
        <w:rPr>
          <w:b/>
          <w:color w:val="67287F"/>
          <w:spacing w:val="-8"/>
          <w:sz w:val="28"/>
        </w:rPr>
        <w:t> </w:t>
      </w:r>
      <w:r>
        <w:rPr>
          <w:b/>
          <w:color w:val="67287F"/>
          <w:sz w:val="28"/>
        </w:rPr>
        <w:t>compliance</w:t>
      </w:r>
      <w:r>
        <w:rPr>
          <w:b/>
          <w:color w:val="67287F"/>
          <w:spacing w:val="-9"/>
          <w:sz w:val="28"/>
        </w:rPr>
        <w:t> </w:t>
      </w:r>
      <w:r>
        <w:rPr>
          <w:b/>
          <w:color w:val="67287F"/>
          <w:sz w:val="28"/>
        </w:rPr>
        <w:t>with</w:t>
      </w:r>
      <w:r>
        <w:rPr>
          <w:b/>
          <w:color w:val="67287F"/>
          <w:spacing w:val="-8"/>
          <w:sz w:val="28"/>
        </w:rPr>
        <w:t> </w:t>
      </w:r>
      <w:r>
        <w:rPr>
          <w:b/>
          <w:color w:val="67287F"/>
          <w:sz w:val="28"/>
        </w:rPr>
        <w:t>Windsor</w:t>
      </w:r>
      <w:r>
        <w:rPr>
          <w:b/>
          <w:color w:val="67287F"/>
          <w:spacing w:val="-9"/>
          <w:sz w:val="28"/>
        </w:rPr>
        <w:t> </w:t>
      </w:r>
      <w:r>
        <w:rPr>
          <w:b/>
          <w:color w:val="67287F"/>
          <w:sz w:val="28"/>
        </w:rPr>
        <w:t>Framework Article 2 including the requirements of the EU Child Sexual Exploitation Directive, EU Victims’ Directive, and the EU Trafficking Directive which require that the child’s best interests be a primary consideration in their </w:t>
      </w:r>
      <w:r>
        <w:rPr>
          <w:b/>
          <w:color w:val="67287F"/>
          <w:spacing w:val="-2"/>
          <w:sz w:val="28"/>
        </w:rPr>
        <w:t>implementation.</w:t>
      </w:r>
    </w:p>
    <w:p>
      <w:pPr>
        <w:pStyle w:val="ListParagraph"/>
        <w:numPr>
          <w:ilvl w:val="1"/>
          <w:numId w:val="7"/>
        </w:numPr>
        <w:tabs>
          <w:tab w:pos="1853" w:val="left" w:leader="none"/>
        </w:tabs>
        <w:spacing w:line="225" w:lineRule="auto" w:before="310" w:after="0"/>
        <w:ind w:left="1853" w:right="1471" w:hanging="720"/>
        <w:jc w:val="left"/>
        <w:rPr>
          <w:b/>
          <w:color w:val="67287F"/>
          <w:sz w:val="28"/>
        </w:rPr>
      </w:pPr>
      <w:r>
        <w:rPr>
          <w:b/>
          <w:color w:val="67287F"/>
          <w:sz w:val="28"/>
        </w:rPr>
        <w:t>The NIHRC continues to recommend that, in line with best international practice and the requirements of the EU Trafficking Directive, the Department</w:t>
      </w:r>
      <w:r>
        <w:rPr>
          <w:b/>
          <w:color w:val="67287F"/>
          <w:spacing w:val="-8"/>
          <w:sz w:val="28"/>
        </w:rPr>
        <w:t> </w:t>
      </w:r>
      <w:r>
        <w:rPr>
          <w:b/>
          <w:color w:val="67287F"/>
          <w:sz w:val="28"/>
        </w:rPr>
        <w:t>of</w:t>
      </w:r>
      <w:r>
        <w:rPr>
          <w:b/>
          <w:color w:val="67287F"/>
          <w:spacing w:val="-9"/>
          <w:sz w:val="28"/>
        </w:rPr>
        <w:t> </w:t>
      </w:r>
      <w:r>
        <w:rPr>
          <w:b/>
          <w:color w:val="67287F"/>
          <w:sz w:val="28"/>
        </w:rPr>
        <w:t>Justice</w:t>
      </w:r>
      <w:r>
        <w:rPr>
          <w:b/>
          <w:color w:val="67287F"/>
          <w:spacing w:val="-9"/>
          <w:sz w:val="28"/>
        </w:rPr>
        <w:t> </w:t>
      </w:r>
      <w:r>
        <w:rPr>
          <w:b/>
          <w:color w:val="67287F"/>
          <w:sz w:val="28"/>
        </w:rPr>
        <w:t>ensures</w:t>
      </w:r>
      <w:r>
        <w:rPr>
          <w:b/>
          <w:color w:val="67287F"/>
          <w:spacing w:val="-8"/>
          <w:sz w:val="28"/>
        </w:rPr>
        <w:t> </w:t>
      </w:r>
      <w:r>
        <w:rPr>
          <w:b/>
          <w:color w:val="67287F"/>
          <w:sz w:val="28"/>
        </w:rPr>
        <w:t>specialised</w:t>
      </w:r>
      <w:r>
        <w:rPr>
          <w:b/>
          <w:color w:val="67287F"/>
          <w:spacing w:val="-8"/>
          <w:sz w:val="28"/>
        </w:rPr>
        <w:t> </w:t>
      </w:r>
      <w:r>
        <w:rPr>
          <w:b/>
          <w:color w:val="67287F"/>
          <w:sz w:val="28"/>
        </w:rPr>
        <w:t>training</w:t>
      </w:r>
      <w:r>
        <w:rPr>
          <w:b/>
          <w:color w:val="67287F"/>
          <w:spacing w:val="-9"/>
          <w:sz w:val="28"/>
        </w:rPr>
        <w:t> </w:t>
      </w:r>
      <w:r>
        <w:rPr>
          <w:b/>
          <w:color w:val="67287F"/>
          <w:sz w:val="28"/>
        </w:rPr>
        <w:t>is</w:t>
      </w:r>
      <w:r>
        <w:rPr>
          <w:b/>
          <w:color w:val="67287F"/>
          <w:spacing w:val="-8"/>
          <w:sz w:val="28"/>
        </w:rPr>
        <w:t> </w:t>
      </w:r>
      <w:r>
        <w:rPr>
          <w:b/>
          <w:color w:val="67287F"/>
          <w:sz w:val="28"/>
        </w:rPr>
        <w:t>provided</w:t>
      </w:r>
      <w:r>
        <w:rPr>
          <w:b/>
          <w:color w:val="67287F"/>
          <w:spacing w:val="-8"/>
          <w:sz w:val="28"/>
        </w:rPr>
        <w:t> </w:t>
      </w:r>
      <w:r>
        <w:rPr>
          <w:b/>
          <w:color w:val="67287F"/>
          <w:sz w:val="28"/>
        </w:rPr>
        <w:t>for</w:t>
      </w:r>
      <w:r>
        <w:rPr>
          <w:b/>
          <w:color w:val="67287F"/>
          <w:spacing w:val="-9"/>
          <w:sz w:val="28"/>
        </w:rPr>
        <w:t> </w:t>
      </w:r>
      <w:r>
        <w:rPr>
          <w:b/>
          <w:color w:val="67287F"/>
          <w:sz w:val="28"/>
        </w:rPr>
        <w:t>relevant professionals</w:t>
      </w:r>
      <w:r>
        <w:rPr>
          <w:b/>
          <w:color w:val="67287F"/>
          <w:spacing w:val="-6"/>
          <w:sz w:val="28"/>
        </w:rPr>
        <w:t> </w:t>
      </w:r>
      <w:r>
        <w:rPr>
          <w:b/>
          <w:color w:val="67287F"/>
          <w:sz w:val="28"/>
        </w:rPr>
        <w:t>and</w:t>
      </w:r>
      <w:r>
        <w:rPr>
          <w:b/>
          <w:color w:val="67287F"/>
          <w:spacing w:val="-6"/>
          <w:sz w:val="28"/>
        </w:rPr>
        <w:t> </w:t>
      </w:r>
      <w:r>
        <w:rPr>
          <w:b/>
          <w:color w:val="67287F"/>
          <w:sz w:val="28"/>
        </w:rPr>
        <w:t>measures</w:t>
      </w:r>
      <w:r>
        <w:rPr>
          <w:b/>
          <w:color w:val="67287F"/>
          <w:spacing w:val="-6"/>
          <w:sz w:val="28"/>
        </w:rPr>
        <w:t> </w:t>
      </w:r>
      <w:r>
        <w:rPr>
          <w:b/>
          <w:color w:val="67287F"/>
          <w:sz w:val="28"/>
        </w:rPr>
        <w:t>reflective</w:t>
      </w:r>
      <w:r>
        <w:rPr>
          <w:b/>
          <w:color w:val="67287F"/>
          <w:spacing w:val="-7"/>
          <w:sz w:val="28"/>
        </w:rPr>
        <w:t> </w:t>
      </w:r>
      <w:r>
        <w:rPr>
          <w:b/>
          <w:color w:val="67287F"/>
          <w:sz w:val="28"/>
        </w:rPr>
        <w:t>of</w:t>
      </w:r>
      <w:r>
        <w:rPr>
          <w:b/>
          <w:color w:val="67287F"/>
          <w:spacing w:val="-7"/>
          <w:sz w:val="28"/>
        </w:rPr>
        <w:t> </w:t>
      </w:r>
      <w:r>
        <w:rPr>
          <w:b/>
          <w:color w:val="67287F"/>
          <w:sz w:val="28"/>
        </w:rPr>
        <w:t>the</w:t>
      </w:r>
      <w:r>
        <w:rPr>
          <w:b/>
          <w:color w:val="67287F"/>
          <w:spacing w:val="-7"/>
          <w:sz w:val="28"/>
        </w:rPr>
        <w:t> </w:t>
      </w:r>
      <w:r>
        <w:rPr>
          <w:b/>
          <w:color w:val="67287F"/>
          <w:sz w:val="28"/>
        </w:rPr>
        <w:t>Barnahus</w:t>
      </w:r>
      <w:r>
        <w:rPr>
          <w:b/>
          <w:color w:val="67287F"/>
          <w:spacing w:val="-6"/>
          <w:sz w:val="28"/>
        </w:rPr>
        <w:t> </w:t>
      </w:r>
      <w:r>
        <w:rPr>
          <w:b/>
          <w:color w:val="67287F"/>
          <w:sz w:val="28"/>
        </w:rPr>
        <w:t>Model</w:t>
      </w:r>
      <w:r>
        <w:rPr>
          <w:b/>
          <w:color w:val="67287F"/>
          <w:spacing w:val="-6"/>
          <w:sz w:val="28"/>
        </w:rPr>
        <w:t> </w:t>
      </w:r>
      <w:r>
        <w:rPr>
          <w:b/>
          <w:color w:val="67287F"/>
          <w:sz w:val="28"/>
        </w:rPr>
        <w:t>are</w:t>
      </w:r>
      <w:r>
        <w:rPr>
          <w:b/>
          <w:color w:val="67287F"/>
          <w:spacing w:val="-7"/>
          <w:sz w:val="28"/>
        </w:rPr>
        <w:t> </w:t>
      </w:r>
      <w:r>
        <w:rPr>
          <w:b/>
          <w:color w:val="67287F"/>
          <w:sz w:val="28"/>
        </w:rPr>
        <w:t>adopted throughout the criminal justice system.</w:t>
      </w:r>
    </w:p>
    <w:p>
      <w:pPr>
        <w:pStyle w:val="ListParagraph"/>
        <w:numPr>
          <w:ilvl w:val="1"/>
          <w:numId w:val="7"/>
        </w:numPr>
        <w:tabs>
          <w:tab w:pos="1853" w:val="left" w:leader="none"/>
        </w:tabs>
        <w:spacing w:line="225" w:lineRule="auto" w:before="314" w:after="0"/>
        <w:ind w:left="1853" w:right="1154" w:hanging="720"/>
        <w:jc w:val="left"/>
        <w:rPr>
          <w:b/>
          <w:color w:val="67287F"/>
          <w:sz w:val="28"/>
        </w:rPr>
      </w:pPr>
      <w:r>
        <w:rPr>
          <w:b/>
          <w:color w:val="67287F"/>
          <w:sz w:val="28"/>
        </w:rPr>
        <w:t>The Commissions recommend that the Home Office takes immediate steps to amend the Illegal Migration Act 2023 to ensure human rights compliant support and assistance is provided to potential child victims of human trafficking</w:t>
      </w:r>
      <w:r>
        <w:rPr>
          <w:b/>
          <w:color w:val="67287F"/>
          <w:spacing w:val="-9"/>
          <w:sz w:val="28"/>
        </w:rPr>
        <w:t> </w:t>
      </w:r>
      <w:r>
        <w:rPr>
          <w:b/>
          <w:color w:val="67287F"/>
          <w:sz w:val="28"/>
        </w:rPr>
        <w:t>and</w:t>
      </w:r>
      <w:r>
        <w:rPr>
          <w:b/>
          <w:color w:val="67287F"/>
          <w:spacing w:val="-8"/>
          <w:sz w:val="28"/>
        </w:rPr>
        <w:t> </w:t>
      </w:r>
      <w:r>
        <w:rPr>
          <w:b/>
          <w:color w:val="67287F"/>
          <w:sz w:val="28"/>
        </w:rPr>
        <w:t>to</w:t>
      </w:r>
      <w:r>
        <w:rPr>
          <w:b/>
          <w:color w:val="67287F"/>
          <w:spacing w:val="-8"/>
          <w:sz w:val="28"/>
        </w:rPr>
        <w:t> </w:t>
      </w:r>
      <w:r>
        <w:rPr>
          <w:b/>
          <w:color w:val="67287F"/>
          <w:sz w:val="28"/>
        </w:rPr>
        <w:t>protect</w:t>
      </w:r>
      <w:r>
        <w:rPr>
          <w:b/>
          <w:color w:val="67287F"/>
          <w:spacing w:val="-8"/>
          <w:sz w:val="28"/>
        </w:rPr>
        <w:t> </w:t>
      </w:r>
      <w:r>
        <w:rPr>
          <w:b/>
          <w:color w:val="67287F"/>
          <w:sz w:val="28"/>
        </w:rPr>
        <w:t>against</w:t>
      </w:r>
      <w:r>
        <w:rPr>
          <w:b/>
          <w:color w:val="67287F"/>
          <w:spacing w:val="-8"/>
          <w:sz w:val="28"/>
        </w:rPr>
        <w:t> </w:t>
      </w:r>
      <w:r>
        <w:rPr>
          <w:b/>
          <w:color w:val="67287F"/>
          <w:sz w:val="28"/>
        </w:rPr>
        <w:t>any</w:t>
      </w:r>
      <w:r>
        <w:rPr>
          <w:b/>
          <w:color w:val="67287F"/>
          <w:spacing w:val="-8"/>
          <w:sz w:val="28"/>
        </w:rPr>
        <w:t> </w:t>
      </w:r>
      <w:r>
        <w:rPr>
          <w:b/>
          <w:color w:val="67287F"/>
          <w:sz w:val="28"/>
        </w:rPr>
        <w:t>diminution</w:t>
      </w:r>
      <w:r>
        <w:rPr>
          <w:b/>
          <w:color w:val="67287F"/>
          <w:spacing w:val="-8"/>
          <w:sz w:val="28"/>
        </w:rPr>
        <w:t> </w:t>
      </w:r>
      <w:r>
        <w:rPr>
          <w:b/>
          <w:color w:val="67287F"/>
          <w:sz w:val="28"/>
        </w:rPr>
        <w:t>of</w:t>
      </w:r>
      <w:r>
        <w:rPr>
          <w:b/>
          <w:color w:val="67287F"/>
          <w:spacing w:val="-9"/>
          <w:sz w:val="28"/>
        </w:rPr>
        <w:t> </w:t>
      </w:r>
      <w:r>
        <w:rPr>
          <w:b/>
          <w:color w:val="67287F"/>
          <w:sz w:val="28"/>
        </w:rPr>
        <w:t>rights</w:t>
      </w:r>
      <w:r>
        <w:rPr>
          <w:b/>
          <w:color w:val="67287F"/>
          <w:spacing w:val="-8"/>
          <w:sz w:val="28"/>
        </w:rPr>
        <w:t> </w:t>
      </w:r>
      <w:r>
        <w:rPr>
          <w:b/>
          <w:color w:val="67287F"/>
          <w:sz w:val="28"/>
        </w:rPr>
        <w:t>in</w:t>
      </w:r>
      <w:r>
        <w:rPr>
          <w:b/>
          <w:color w:val="67287F"/>
          <w:spacing w:val="-8"/>
          <w:sz w:val="28"/>
        </w:rPr>
        <w:t> </w:t>
      </w:r>
      <w:r>
        <w:rPr>
          <w:b/>
          <w:color w:val="67287F"/>
          <w:sz w:val="28"/>
        </w:rPr>
        <w:t>NI</w:t>
      </w:r>
      <w:r>
        <w:rPr>
          <w:b/>
          <w:color w:val="67287F"/>
          <w:spacing w:val="-8"/>
          <w:sz w:val="28"/>
        </w:rPr>
        <w:t> </w:t>
      </w:r>
      <w:r>
        <w:rPr>
          <w:b/>
          <w:color w:val="67287F"/>
          <w:sz w:val="28"/>
        </w:rPr>
        <w:t>law,</w:t>
      </w:r>
      <w:r>
        <w:rPr>
          <w:b/>
          <w:color w:val="67287F"/>
          <w:spacing w:val="-8"/>
          <w:sz w:val="28"/>
        </w:rPr>
        <w:t> </w:t>
      </w:r>
      <w:r>
        <w:rPr>
          <w:b/>
          <w:color w:val="67287F"/>
          <w:sz w:val="28"/>
        </w:rPr>
        <w:t>in</w:t>
      </w:r>
      <w:r>
        <w:rPr>
          <w:b/>
          <w:color w:val="67287F"/>
          <w:spacing w:val="-8"/>
          <w:sz w:val="28"/>
        </w:rPr>
        <w:t> </w:t>
      </w:r>
      <w:r>
        <w:rPr>
          <w:b/>
          <w:color w:val="67287F"/>
          <w:sz w:val="28"/>
        </w:rPr>
        <w:t>breach of Windsor Framework Article 2.</w:t>
      </w:r>
    </w:p>
    <w:p>
      <w:pPr>
        <w:pStyle w:val="Heading5"/>
        <w:spacing w:before="297"/>
        <w:ind w:left="1133" w:firstLine="0"/>
      </w:pPr>
      <w:bookmarkStart w:name="Domestic and Sexual Violence and Abuse" w:id="62"/>
      <w:bookmarkEnd w:id="62"/>
      <w:r>
        <w:rPr>
          <w:b w:val="0"/>
        </w:rPr>
      </w:r>
      <w:r>
        <w:rPr>
          <w:color w:val="393B7F"/>
        </w:rPr>
        <w:t>Domestic</w:t>
      </w:r>
      <w:r>
        <w:rPr>
          <w:color w:val="393B7F"/>
          <w:spacing w:val="-6"/>
        </w:rPr>
        <w:t> </w:t>
      </w:r>
      <w:r>
        <w:rPr>
          <w:color w:val="393B7F"/>
        </w:rPr>
        <w:t>and</w:t>
      </w:r>
      <w:r>
        <w:rPr>
          <w:color w:val="393B7F"/>
          <w:spacing w:val="-5"/>
        </w:rPr>
        <w:t> </w:t>
      </w:r>
      <w:r>
        <w:rPr>
          <w:color w:val="393B7F"/>
        </w:rPr>
        <w:t>Sexual</w:t>
      </w:r>
      <w:r>
        <w:rPr>
          <w:color w:val="393B7F"/>
          <w:spacing w:val="-5"/>
        </w:rPr>
        <w:t> </w:t>
      </w:r>
      <w:r>
        <w:rPr>
          <w:color w:val="393B7F"/>
        </w:rPr>
        <w:t>Violence</w:t>
      </w:r>
      <w:r>
        <w:rPr>
          <w:color w:val="393B7F"/>
          <w:spacing w:val="-6"/>
        </w:rPr>
        <w:t> </w:t>
      </w:r>
      <w:r>
        <w:rPr>
          <w:color w:val="393B7F"/>
        </w:rPr>
        <w:t>and</w:t>
      </w:r>
      <w:r>
        <w:rPr>
          <w:color w:val="393B7F"/>
          <w:spacing w:val="-4"/>
        </w:rPr>
        <w:t> </w:t>
      </w:r>
      <w:r>
        <w:rPr>
          <w:color w:val="393B7F"/>
          <w:spacing w:val="-2"/>
        </w:rPr>
        <w:t>Abuse</w:t>
      </w:r>
    </w:p>
    <w:p>
      <w:pPr>
        <w:pStyle w:val="ListParagraph"/>
        <w:numPr>
          <w:ilvl w:val="1"/>
          <w:numId w:val="7"/>
        </w:numPr>
        <w:tabs>
          <w:tab w:pos="1853" w:val="left" w:leader="none"/>
        </w:tabs>
        <w:spacing w:line="225" w:lineRule="auto" w:before="330" w:after="0"/>
        <w:ind w:left="1853" w:right="1337" w:hanging="720"/>
        <w:jc w:val="both"/>
        <w:rPr>
          <w:sz w:val="28"/>
        </w:rPr>
      </w:pPr>
      <w:r>
        <w:rPr>
          <w:sz w:val="28"/>
        </w:rPr>
        <w:t>EU obligations underpinning the rights of victims under Windsor Framework Article</w:t>
      </w:r>
      <w:r>
        <w:rPr>
          <w:spacing w:val="-7"/>
          <w:sz w:val="28"/>
        </w:rPr>
        <w:t> </w:t>
      </w:r>
      <w:r>
        <w:rPr>
          <w:sz w:val="28"/>
        </w:rPr>
        <w:t>2</w:t>
      </w:r>
      <w:r>
        <w:rPr>
          <w:spacing w:val="-7"/>
          <w:sz w:val="28"/>
        </w:rPr>
        <w:t> </w:t>
      </w:r>
      <w:r>
        <w:rPr>
          <w:sz w:val="28"/>
        </w:rPr>
        <w:t>include</w:t>
      </w:r>
      <w:r>
        <w:rPr>
          <w:spacing w:val="-7"/>
          <w:sz w:val="28"/>
        </w:rPr>
        <w:t> </w:t>
      </w:r>
      <w:r>
        <w:rPr>
          <w:sz w:val="28"/>
        </w:rPr>
        <w:t>the</w:t>
      </w:r>
      <w:r>
        <w:rPr>
          <w:spacing w:val="-7"/>
          <w:sz w:val="28"/>
        </w:rPr>
        <w:t> </w:t>
      </w:r>
      <w:r>
        <w:rPr>
          <w:sz w:val="28"/>
        </w:rPr>
        <w:t>EU</w:t>
      </w:r>
      <w:r>
        <w:rPr>
          <w:spacing w:val="-7"/>
          <w:sz w:val="28"/>
        </w:rPr>
        <w:t> </w:t>
      </w:r>
      <w:r>
        <w:rPr>
          <w:sz w:val="28"/>
        </w:rPr>
        <w:t>Victims’</w:t>
      </w:r>
      <w:r>
        <w:rPr>
          <w:spacing w:val="-7"/>
          <w:sz w:val="28"/>
        </w:rPr>
        <w:t> </w:t>
      </w:r>
      <w:r>
        <w:rPr>
          <w:sz w:val="28"/>
        </w:rPr>
        <w:t>Directive</w:t>
      </w:r>
      <w:r>
        <w:rPr>
          <w:sz w:val="28"/>
          <w:vertAlign w:val="superscript"/>
        </w:rPr>
        <w:t>389</w:t>
      </w:r>
      <w:r>
        <w:rPr>
          <w:spacing w:val="-8"/>
          <w:sz w:val="28"/>
          <w:vertAlign w:val="baseline"/>
        </w:rPr>
        <w:t> </w:t>
      </w:r>
      <w:r>
        <w:rPr>
          <w:sz w:val="28"/>
          <w:vertAlign w:val="baseline"/>
        </w:rPr>
        <w:t>as</w:t>
      </w:r>
      <w:r>
        <w:rPr>
          <w:spacing w:val="-8"/>
          <w:sz w:val="28"/>
          <w:vertAlign w:val="baseline"/>
        </w:rPr>
        <w:t> </w:t>
      </w:r>
      <w:r>
        <w:rPr>
          <w:sz w:val="28"/>
          <w:vertAlign w:val="baseline"/>
        </w:rPr>
        <w:t>well</w:t>
      </w:r>
      <w:r>
        <w:rPr>
          <w:spacing w:val="-8"/>
          <w:sz w:val="28"/>
          <w:vertAlign w:val="baseline"/>
        </w:rPr>
        <w:t> </w:t>
      </w:r>
      <w:r>
        <w:rPr>
          <w:sz w:val="28"/>
          <w:vertAlign w:val="baseline"/>
        </w:rPr>
        <w:t>as</w:t>
      </w:r>
      <w:r>
        <w:rPr>
          <w:spacing w:val="-8"/>
          <w:sz w:val="28"/>
          <w:vertAlign w:val="baseline"/>
        </w:rPr>
        <w:t> </w:t>
      </w:r>
      <w:r>
        <w:rPr>
          <w:sz w:val="28"/>
          <w:vertAlign w:val="baseline"/>
        </w:rPr>
        <w:t>other</w:t>
      </w:r>
      <w:r>
        <w:rPr>
          <w:spacing w:val="-7"/>
          <w:sz w:val="28"/>
          <w:vertAlign w:val="baseline"/>
        </w:rPr>
        <w:t> </w:t>
      </w:r>
      <w:r>
        <w:rPr>
          <w:sz w:val="28"/>
          <w:vertAlign w:val="baseline"/>
        </w:rPr>
        <w:t>relevant</w:t>
      </w:r>
      <w:r>
        <w:rPr>
          <w:spacing w:val="-7"/>
          <w:sz w:val="28"/>
          <w:vertAlign w:val="baseline"/>
        </w:rPr>
        <w:t> </w:t>
      </w:r>
      <w:r>
        <w:rPr>
          <w:sz w:val="28"/>
          <w:vertAlign w:val="baseline"/>
        </w:rPr>
        <w:t>EU</w:t>
      </w:r>
      <w:r>
        <w:rPr>
          <w:spacing w:val="-7"/>
          <w:sz w:val="28"/>
          <w:vertAlign w:val="baseline"/>
        </w:rPr>
        <w:t> </w:t>
      </w:r>
      <w:r>
        <w:rPr>
          <w:sz w:val="28"/>
          <w:vertAlign w:val="baseline"/>
        </w:rPr>
        <w:t>laws which support victims.</w:t>
      </w:r>
      <w:r>
        <w:rPr>
          <w:sz w:val="28"/>
          <w:vertAlign w:val="superscript"/>
        </w:rPr>
        <w:t>390</w:t>
      </w:r>
      <w:r>
        <w:rPr>
          <w:spacing w:val="40"/>
          <w:sz w:val="28"/>
          <w:vertAlign w:val="baseline"/>
        </w:rPr>
        <w:t> </w:t>
      </w:r>
      <w:r>
        <w:rPr>
          <w:sz w:val="28"/>
          <w:vertAlign w:val="baseline"/>
        </w:rPr>
        <w:t>The EU Victims’ Directive recognises that where</w:t>
      </w:r>
    </w:p>
    <w:p>
      <w:pPr>
        <w:pStyle w:val="BodyText"/>
        <w:spacing w:before="6"/>
        <w:rPr>
          <w:sz w:val="4"/>
        </w:rPr>
      </w:pPr>
      <w:r>
        <w:rPr/>
        <mc:AlternateContent>
          <mc:Choice Requires="wps">
            <w:drawing>
              <wp:anchor distT="0" distB="0" distL="0" distR="0" allowOverlap="1" layoutInCell="1" locked="0" behindDoc="1" simplePos="0" relativeHeight="487669760">
                <wp:simplePos x="0" y="0"/>
                <wp:positionH relativeFrom="page">
                  <wp:posOffset>719996</wp:posOffset>
                </wp:positionH>
                <wp:positionV relativeFrom="paragraph">
                  <wp:posOffset>50542</wp:posOffset>
                </wp:positionV>
                <wp:extent cx="6120130" cy="1270"/>
                <wp:effectExtent l="0" t="0" r="0" b="0"/>
                <wp:wrapTopAndBottom/>
                <wp:docPr id="356" name="Graphic 356"/>
                <wp:cNvGraphicFramePr>
                  <a:graphicFrameLocks/>
                </wp:cNvGraphicFramePr>
                <a:graphic>
                  <a:graphicData uri="http://schemas.microsoft.com/office/word/2010/wordprocessingShape">
                    <wps:wsp>
                      <wps:cNvPr id="356" name="Graphic 356"/>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3.979741pt;width:481.9pt;height:.1pt;mso-position-horizontal-relative:page;mso-position-vertical-relative:paragraph;z-index:-15646720;mso-wrap-distance-left:0;mso-wrap-distance-right:0" id="docshape306" coordorigin="1134,80" coordsize="9638,0" path="m10772,80l1134,80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18" w:lineRule="auto" w:before="129" w:after="0"/>
        <w:ind w:left="1853" w:right="1306" w:hanging="720"/>
        <w:jc w:val="left"/>
        <w:rPr>
          <w:sz w:val="18"/>
        </w:rPr>
      </w:pPr>
      <w:r>
        <w:rPr>
          <w:sz w:val="18"/>
        </w:rPr>
        <w:t>Including Directive 2012/29/EU, ‘EU Parliament and Council Directive establishing minimum standards on the rights, support</w:t>
      </w:r>
      <w:r>
        <w:rPr>
          <w:spacing w:val="-5"/>
          <w:sz w:val="18"/>
        </w:rPr>
        <w:t> </w:t>
      </w:r>
      <w:r>
        <w:rPr>
          <w:sz w:val="18"/>
        </w:rPr>
        <w:t>and</w:t>
      </w:r>
      <w:r>
        <w:rPr>
          <w:spacing w:val="-6"/>
          <w:sz w:val="18"/>
        </w:rPr>
        <w:t> </w:t>
      </w:r>
      <w:r>
        <w:rPr>
          <w:sz w:val="18"/>
        </w:rPr>
        <w:t>protection</w:t>
      </w:r>
      <w:r>
        <w:rPr>
          <w:spacing w:val="-6"/>
          <w:sz w:val="18"/>
        </w:rPr>
        <w:t> </w:t>
      </w:r>
      <w:r>
        <w:rPr>
          <w:sz w:val="18"/>
        </w:rPr>
        <w:t>of</w:t>
      </w:r>
      <w:r>
        <w:rPr>
          <w:spacing w:val="-6"/>
          <w:sz w:val="18"/>
        </w:rPr>
        <w:t> </w:t>
      </w:r>
      <w:r>
        <w:rPr>
          <w:sz w:val="18"/>
        </w:rPr>
        <w:t>victims</w:t>
      </w:r>
      <w:r>
        <w:rPr>
          <w:spacing w:val="-6"/>
          <w:sz w:val="18"/>
        </w:rPr>
        <w:t> </w:t>
      </w:r>
      <w:r>
        <w:rPr>
          <w:sz w:val="18"/>
        </w:rPr>
        <w:t>of</w:t>
      </w:r>
      <w:r>
        <w:rPr>
          <w:spacing w:val="-6"/>
          <w:sz w:val="18"/>
        </w:rPr>
        <w:t> </w:t>
      </w:r>
      <w:r>
        <w:rPr>
          <w:sz w:val="18"/>
        </w:rPr>
        <w:t>crime’,</w:t>
      </w:r>
      <w:r>
        <w:rPr>
          <w:spacing w:val="-5"/>
          <w:sz w:val="18"/>
        </w:rPr>
        <w:t> </w:t>
      </w:r>
      <w:r>
        <w:rPr>
          <w:sz w:val="18"/>
        </w:rPr>
        <w:t>25</w:t>
      </w:r>
      <w:r>
        <w:rPr>
          <w:spacing w:val="-5"/>
          <w:sz w:val="18"/>
        </w:rPr>
        <w:t> </w:t>
      </w:r>
      <w:r>
        <w:rPr>
          <w:sz w:val="18"/>
        </w:rPr>
        <w:t>October</w:t>
      </w:r>
      <w:r>
        <w:rPr>
          <w:spacing w:val="-5"/>
          <w:sz w:val="18"/>
        </w:rPr>
        <w:t> </w:t>
      </w:r>
      <w:r>
        <w:rPr>
          <w:sz w:val="18"/>
        </w:rPr>
        <w:t>2012;</w:t>
      </w:r>
      <w:r>
        <w:rPr>
          <w:spacing w:val="-5"/>
          <w:sz w:val="18"/>
        </w:rPr>
        <w:t> </w:t>
      </w:r>
      <w:r>
        <w:rPr>
          <w:sz w:val="18"/>
        </w:rPr>
        <w:t>Directive</w:t>
      </w:r>
      <w:r>
        <w:rPr>
          <w:spacing w:val="-5"/>
          <w:sz w:val="18"/>
        </w:rPr>
        <w:t> </w:t>
      </w:r>
      <w:r>
        <w:rPr>
          <w:sz w:val="18"/>
        </w:rPr>
        <w:t>2011/36/EU,</w:t>
      </w:r>
      <w:r>
        <w:rPr>
          <w:spacing w:val="-5"/>
          <w:sz w:val="18"/>
        </w:rPr>
        <w:t> </w:t>
      </w:r>
      <w:r>
        <w:rPr>
          <w:sz w:val="18"/>
        </w:rPr>
        <w:t>‘EU</w:t>
      </w:r>
      <w:r>
        <w:rPr>
          <w:spacing w:val="-5"/>
          <w:sz w:val="18"/>
        </w:rPr>
        <w:t> </w:t>
      </w:r>
      <w:r>
        <w:rPr>
          <w:sz w:val="18"/>
        </w:rPr>
        <w:t>Council</w:t>
      </w:r>
      <w:r>
        <w:rPr>
          <w:spacing w:val="-6"/>
          <w:sz w:val="18"/>
        </w:rPr>
        <w:t> </w:t>
      </w:r>
      <w:r>
        <w:rPr>
          <w:sz w:val="18"/>
        </w:rPr>
        <w:t>Directive</w:t>
      </w:r>
      <w:r>
        <w:rPr>
          <w:spacing w:val="-5"/>
          <w:sz w:val="18"/>
        </w:rPr>
        <w:t> </w:t>
      </w:r>
      <w:r>
        <w:rPr>
          <w:sz w:val="18"/>
        </w:rPr>
        <w:t>on</w:t>
      </w:r>
      <w:r>
        <w:rPr>
          <w:spacing w:val="-6"/>
          <w:sz w:val="18"/>
        </w:rPr>
        <w:t> </w:t>
      </w:r>
      <w:r>
        <w:rPr>
          <w:sz w:val="18"/>
        </w:rPr>
        <w:t>preventing and combating trafficking in human beings and protecting its victims’, 5 April 2011 and Directive 2003/9/EC,</w:t>
      </w:r>
    </w:p>
    <w:p>
      <w:pPr>
        <w:spacing w:line="203" w:lineRule="exact" w:before="0"/>
        <w:ind w:left="1853" w:right="0" w:firstLine="0"/>
        <w:jc w:val="left"/>
        <w:rPr>
          <w:sz w:val="18"/>
        </w:rPr>
      </w:pPr>
      <w:r>
        <w:rPr>
          <w:sz w:val="18"/>
        </w:rPr>
        <w:t>‘Council</w:t>
      </w:r>
      <w:r>
        <w:rPr>
          <w:spacing w:val="-7"/>
          <w:sz w:val="18"/>
        </w:rPr>
        <w:t> </w:t>
      </w:r>
      <w:r>
        <w:rPr>
          <w:sz w:val="18"/>
        </w:rPr>
        <w:t>Directive</w:t>
      </w:r>
      <w:r>
        <w:rPr>
          <w:spacing w:val="-6"/>
          <w:sz w:val="18"/>
        </w:rPr>
        <w:t> </w:t>
      </w:r>
      <w:r>
        <w:rPr>
          <w:sz w:val="18"/>
        </w:rPr>
        <w:t>laying</w:t>
      </w:r>
      <w:r>
        <w:rPr>
          <w:spacing w:val="-6"/>
          <w:sz w:val="18"/>
        </w:rPr>
        <w:t> </w:t>
      </w:r>
      <w:r>
        <w:rPr>
          <w:sz w:val="18"/>
        </w:rPr>
        <w:t>down</w:t>
      </w:r>
      <w:r>
        <w:rPr>
          <w:spacing w:val="-6"/>
          <w:sz w:val="18"/>
        </w:rPr>
        <w:t> </w:t>
      </w:r>
      <w:r>
        <w:rPr>
          <w:sz w:val="18"/>
        </w:rPr>
        <w:t>minimum</w:t>
      </w:r>
      <w:r>
        <w:rPr>
          <w:spacing w:val="-6"/>
          <w:sz w:val="18"/>
        </w:rPr>
        <w:t> </w:t>
      </w:r>
      <w:r>
        <w:rPr>
          <w:sz w:val="18"/>
        </w:rPr>
        <w:t>standards</w:t>
      </w:r>
      <w:r>
        <w:rPr>
          <w:spacing w:val="-7"/>
          <w:sz w:val="18"/>
        </w:rPr>
        <w:t> </w:t>
      </w:r>
      <w:r>
        <w:rPr>
          <w:sz w:val="18"/>
        </w:rPr>
        <w:t>for</w:t>
      </w:r>
      <w:r>
        <w:rPr>
          <w:spacing w:val="-6"/>
          <w:sz w:val="18"/>
        </w:rPr>
        <w:t> </w:t>
      </w:r>
      <w:r>
        <w:rPr>
          <w:sz w:val="18"/>
        </w:rPr>
        <w:t>the</w:t>
      </w:r>
      <w:r>
        <w:rPr>
          <w:spacing w:val="-5"/>
          <w:sz w:val="18"/>
        </w:rPr>
        <w:t> </w:t>
      </w:r>
      <w:r>
        <w:rPr>
          <w:sz w:val="18"/>
        </w:rPr>
        <w:t>reception</w:t>
      </w:r>
      <w:r>
        <w:rPr>
          <w:spacing w:val="-7"/>
          <w:sz w:val="18"/>
        </w:rPr>
        <w:t> </w:t>
      </w:r>
      <w:r>
        <w:rPr>
          <w:sz w:val="18"/>
        </w:rPr>
        <w:t>of</w:t>
      </w:r>
      <w:r>
        <w:rPr>
          <w:spacing w:val="-7"/>
          <w:sz w:val="18"/>
        </w:rPr>
        <w:t> </w:t>
      </w:r>
      <w:r>
        <w:rPr>
          <w:sz w:val="18"/>
        </w:rPr>
        <w:t>asylum</w:t>
      </w:r>
      <w:r>
        <w:rPr>
          <w:spacing w:val="-6"/>
          <w:sz w:val="18"/>
        </w:rPr>
        <w:t> </w:t>
      </w:r>
      <w:r>
        <w:rPr>
          <w:sz w:val="18"/>
        </w:rPr>
        <w:t>seekers’,</w:t>
      </w:r>
      <w:r>
        <w:rPr>
          <w:spacing w:val="-5"/>
          <w:sz w:val="18"/>
        </w:rPr>
        <w:t> </w:t>
      </w:r>
      <w:r>
        <w:rPr>
          <w:sz w:val="18"/>
        </w:rPr>
        <w:t>27</w:t>
      </w:r>
      <w:r>
        <w:rPr>
          <w:spacing w:val="-6"/>
          <w:sz w:val="18"/>
        </w:rPr>
        <w:t> </w:t>
      </w:r>
      <w:r>
        <w:rPr>
          <w:sz w:val="18"/>
        </w:rPr>
        <w:t>January</w:t>
      </w:r>
      <w:r>
        <w:rPr>
          <w:spacing w:val="-6"/>
          <w:sz w:val="18"/>
        </w:rPr>
        <w:t> </w:t>
      </w:r>
      <w:r>
        <w:rPr>
          <w:spacing w:val="-2"/>
          <w:sz w:val="18"/>
        </w:rPr>
        <w:t>2003.</w:t>
      </w:r>
    </w:p>
    <w:p>
      <w:pPr>
        <w:pStyle w:val="ListParagraph"/>
        <w:numPr>
          <w:ilvl w:val="0"/>
          <w:numId w:val="9"/>
        </w:numPr>
        <w:tabs>
          <w:tab w:pos="1853" w:val="left" w:leader="none"/>
        </w:tabs>
        <w:spacing w:line="208" w:lineRule="exact" w:before="0" w:after="0"/>
        <w:ind w:left="1853" w:right="0" w:hanging="720"/>
        <w:jc w:val="left"/>
        <w:rPr>
          <w:sz w:val="18"/>
        </w:rPr>
      </w:pPr>
      <w:r>
        <w:rPr>
          <w:sz w:val="18"/>
        </w:rPr>
        <w:t>Equality</w:t>
      </w:r>
      <w:r>
        <w:rPr>
          <w:spacing w:val="-4"/>
          <w:sz w:val="18"/>
        </w:rPr>
        <w:t> </w:t>
      </w:r>
      <w:r>
        <w:rPr>
          <w:sz w:val="18"/>
        </w:rPr>
        <w:t>Commission</w:t>
      </w:r>
      <w:r>
        <w:rPr>
          <w:spacing w:val="-4"/>
          <w:sz w:val="18"/>
        </w:rPr>
        <w:t> </w:t>
      </w:r>
      <w:r>
        <w:rPr>
          <w:sz w:val="18"/>
        </w:rPr>
        <w:t>for</w:t>
      </w:r>
      <w:r>
        <w:rPr>
          <w:spacing w:val="-3"/>
          <w:sz w:val="18"/>
        </w:rPr>
        <w:t> </w:t>
      </w:r>
      <w:r>
        <w:rPr>
          <w:sz w:val="18"/>
        </w:rPr>
        <w:t>NI,</w:t>
      </w:r>
      <w:r>
        <w:rPr>
          <w:spacing w:val="-4"/>
          <w:sz w:val="18"/>
        </w:rPr>
        <w:t> </w:t>
      </w:r>
      <w:r>
        <w:rPr>
          <w:sz w:val="18"/>
        </w:rPr>
        <w:t>‘Submission</w:t>
      </w:r>
      <w:r>
        <w:rPr>
          <w:spacing w:val="-4"/>
          <w:sz w:val="18"/>
        </w:rPr>
        <w:t> </w:t>
      </w:r>
      <w:r>
        <w:rPr>
          <w:sz w:val="18"/>
        </w:rPr>
        <w:t>to</w:t>
      </w:r>
      <w:r>
        <w:rPr>
          <w:spacing w:val="-4"/>
          <w:sz w:val="18"/>
        </w:rPr>
        <w:t> </w:t>
      </w:r>
      <w:r>
        <w:rPr>
          <w:sz w:val="18"/>
        </w:rPr>
        <w:t>the</w:t>
      </w:r>
      <w:r>
        <w:rPr>
          <w:spacing w:val="-4"/>
          <w:sz w:val="18"/>
        </w:rPr>
        <w:t> </w:t>
      </w:r>
      <w:r>
        <w:rPr>
          <w:sz w:val="18"/>
        </w:rPr>
        <w:t>House</w:t>
      </w:r>
      <w:r>
        <w:rPr>
          <w:spacing w:val="-3"/>
          <w:sz w:val="18"/>
        </w:rPr>
        <w:t> </w:t>
      </w:r>
      <w:r>
        <w:rPr>
          <w:sz w:val="18"/>
        </w:rPr>
        <w:t>of</w:t>
      </w:r>
      <w:r>
        <w:rPr>
          <w:spacing w:val="-4"/>
          <w:sz w:val="18"/>
        </w:rPr>
        <w:t> </w:t>
      </w:r>
      <w:r>
        <w:rPr>
          <w:sz w:val="18"/>
        </w:rPr>
        <w:t>Lords</w:t>
      </w:r>
      <w:r>
        <w:rPr>
          <w:spacing w:val="-5"/>
          <w:sz w:val="18"/>
        </w:rPr>
        <w:t> </w:t>
      </w:r>
      <w:r>
        <w:rPr>
          <w:sz w:val="18"/>
        </w:rPr>
        <w:t>on</w:t>
      </w:r>
      <w:r>
        <w:rPr>
          <w:spacing w:val="-4"/>
          <w:sz w:val="18"/>
        </w:rPr>
        <w:t> </w:t>
      </w:r>
      <w:r>
        <w:rPr>
          <w:sz w:val="18"/>
        </w:rPr>
        <w:t>the</w:t>
      </w:r>
      <w:r>
        <w:rPr>
          <w:spacing w:val="-3"/>
          <w:sz w:val="18"/>
        </w:rPr>
        <w:t> </w:t>
      </w:r>
      <w:r>
        <w:rPr>
          <w:sz w:val="18"/>
        </w:rPr>
        <w:t>Illegal</w:t>
      </w:r>
      <w:r>
        <w:rPr>
          <w:spacing w:val="-4"/>
          <w:sz w:val="18"/>
        </w:rPr>
        <w:t> </w:t>
      </w:r>
      <w:r>
        <w:rPr>
          <w:sz w:val="18"/>
        </w:rPr>
        <w:t>Migration</w:t>
      </w:r>
      <w:r>
        <w:rPr>
          <w:spacing w:val="-5"/>
          <w:sz w:val="18"/>
        </w:rPr>
        <w:t> </w:t>
      </w:r>
      <w:r>
        <w:rPr>
          <w:sz w:val="18"/>
        </w:rPr>
        <w:t>Bill’</w:t>
      </w:r>
      <w:r>
        <w:rPr>
          <w:spacing w:val="-3"/>
          <w:sz w:val="18"/>
        </w:rPr>
        <w:t> </w:t>
      </w:r>
      <w:r>
        <w:rPr>
          <w:sz w:val="18"/>
        </w:rPr>
        <w:t>(ECNI,</w:t>
      </w:r>
      <w:r>
        <w:rPr>
          <w:spacing w:val="-3"/>
          <w:sz w:val="18"/>
        </w:rPr>
        <w:t> </w:t>
      </w:r>
      <w:r>
        <w:rPr>
          <w:spacing w:val="-2"/>
          <w:sz w:val="18"/>
        </w:rPr>
        <w:t>2023).</w:t>
      </w:r>
    </w:p>
    <w:p>
      <w:pPr>
        <w:pStyle w:val="ListParagraph"/>
        <w:numPr>
          <w:ilvl w:val="0"/>
          <w:numId w:val="9"/>
        </w:numPr>
        <w:tabs>
          <w:tab w:pos="1853" w:val="left" w:leader="none"/>
        </w:tabs>
        <w:spacing w:line="218" w:lineRule="auto" w:before="6" w:after="0"/>
        <w:ind w:left="1853" w:right="1303" w:hanging="720"/>
        <w:jc w:val="left"/>
        <w:rPr>
          <w:sz w:val="18"/>
        </w:rPr>
      </w:pPr>
      <w:r>
        <w:rPr>
          <w:sz w:val="18"/>
        </w:rPr>
        <w:t>Directive</w:t>
      </w:r>
      <w:r>
        <w:rPr>
          <w:spacing w:val="-4"/>
          <w:sz w:val="18"/>
        </w:rPr>
        <w:t> </w:t>
      </w:r>
      <w:r>
        <w:rPr>
          <w:sz w:val="18"/>
        </w:rPr>
        <w:t>2012/29/EU,</w:t>
      </w:r>
      <w:r>
        <w:rPr>
          <w:spacing w:val="-4"/>
          <w:sz w:val="18"/>
        </w:rPr>
        <w:t> </w:t>
      </w:r>
      <w:r>
        <w:rPr>
          <w:sz w:val="18"/>
        </w:rPr>
        <w:t>‘EU</w:t>
      </w:r>
      <w:r>
        <w:rPr>
          <w:spacing w:val="-4"/>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Directive</w:t>
      </w:r>
      <w:r>
        <w:rPr>
          <w:spacing w:val="-4"/>
          <w:sz w:val="18"/>
        </w:rPr>
        <w:t> </w:t>
      </w:r>
      <w:r>
        <w:rPr>
          <w:sz w:val="18"/>
        </w:rPr>
        <w:t>Establishing</w:t>
      </w:r>
      <w:r>
        <w:rPr>
          <w:spacing w:val="-4"/>
          <w:sz w:val="18"/>
        </w:rPr>
        <w:t> </w:t>
      </w:r>
      <w:r>
        <w:rPr>
          <w:sz w:val="18"/>
        </w:rPr>
        <w:t>Minimum</w:t>
      </w:r>
      <w:r>
        <w:rPr>
          <w:spacing w:val="-4"/>
          <w:sz w:val="18"/>
        </w:rPr>
        <w:t> </w:t>
      </w:r>
      <w:r>
        <w:rPr>
          <w:sz w:val="18"/>
        </w:rPr>
        <w:t>Standards</w:t>
      </w:r>
      <w:r>
        <w:rPr>
          <w:spacing w:val="-5"/>
          <w:sz w:val="18"/>
        </w:rPr>
        <w:t> </w:t>
      </w:r>
      <w:r>
        <w:rPr>
          <w:sz w:val="18"/>
        </w:rPr>
        <w:t>on</w:t>
      </w:r>
      <w:r>
        <w:rPr>
          <w:spacing w:val="-5"/>
          <w:sz w:val="18"/>
        </w:rPr>
        <w:t> </w:t>
      </w:r>
      <w:r>
        <w:rPr>
          <w:sz w:val="18"/>
        </w:rPr>
        <w:t>the</w:t>
      </w:r>
      <w:r>
        <w:rPr>
          <w:spacing w:val="-4"/>
          <w:sz w:val="18"/>
        </w:rPr>
        <w:t> </w:t>
      </w:r>
      <w:r>
        <w:rPr>
          <w:sz w:val="18"/>
        </w:rPr>
        <w:t>Rights,</w:t>
      </w:r>
      <w:r>
        <w:rPr>
          <w:spacing w:val="-4"/>
          <w:sz w:val="18"/>
        </w:rPr>
        <w:t> </w:t>
      </w:r>
      <w:r>
        <w:rPr>
          <w:sz w:val="18"/>
        </w:rPr>
        <w:t>Support</w:t>
      </w:r>
      <w:r>
        <w:rPr>
          <w:spacing w:val="-4"/>
          <w:sz w:val="18"/>
        </w:rPr>
        <w:t> </w:t>
      </w:r>
      <w:r>
        <w:rPr>
          <w:sz w:val="18"/>
        </w:rPr>
        <w:t>and Protection of Victims of Crime’, 25 October 2012.</w:t>
      </w:r>
    </w:p>
    <w:p>
      <w:pPr>
        <w:pStyle w:val="ListParagraph"/>
        <w:numPr>
          <w:ilvl w:val="0"/>
          <w:numId w:val="9"/>
        </w:numPr>
        <w:tabs>
          <w:tab w:pos="1853" w:val="left" w:leader="none"/>
        </w:tabs>
        <w:spacing w:line="195" w:lineRule="exact" w:before="0" w:after="0"/>
        <w:ind w:left="1853" w:right="0" w:hanging="720"/>
        <w:jc w:val="left"/>
        <w:rPr>
          <w:sz w:val="18"/>
        </w:rPr>
      </w:pPr>
      <w:r>
        <w:rPr>
          <w:sz w:val="18"/>
        </w:rPr>
        <w:t>Directive</w:t>
      </w:r>
      <w:r>
        <w:rPr>
          <w:spacing w:val="-7"/>
          <w:sz w:val="18"/>
        </w:rPr>
        <w:t> </w:t>
      </w:r>
      <w:r>
        <w:rPr>
          <w:sz w:val="18"/>
        </w:rPr>
        <w:t>2011/36/EU</w:t>
      </w:r>
      <w:r>
        <w:rPr>
          <w:spacing w:val="-7"/>
          <w:sz w:val="18"/>
        </w:rPr>
        <w:t> </w:t>
      </w:r>
      <w:r>
        <w:rPr>
          <w:sz w:val="18"/>
        </w:rPr>
        <w:t>‘Council</w:t>
      </w:r>
      <w:r>
        <w:rPr>
          <w:spacing w:val="-7"/>
          <w:sz w:val="18"/>
        </w:rPr>
        <w:t> </w:t>
      </w:r>
      <w:r>
        <w:rPr>
          <w:sz w:val="18"/>
        </w:rPr>
        <w:t>Directive</w:t>
      </w:r>
      <w:r>
        <w:rPr>
          <w:spacing w:val="-7"/>
          <w:sz w:val="18"/>
        </w:rPr>
        <w:t> </w:t>
      </w:r>
      <w:r>
        <w:rPr>
          <w:sz w:val="18"/>
        </w:rPr>
        <w:t>on</w:t>
      </w:r>
      <w:r>
        <w:rPr>
          <w:spacing w:val="-7"/>
          <w:sz w:val="18"/>
        </w:rPr>
        <w:t> </w:t>
      </w:r>
      <w:r>
        <w:rPr>
          <w:sz w:val="18"/>
        </w:rPr>
        <w:t>Preventing</w:t>
      </w:r>
      <w:r>
        <w:rPr>
          <w:spacing w:val="-7"/>
          <w:sz w:val="18"/>
        </w:rPr>
        <w:t> </w:t>
      </w:r>
      <w:r>
        <w:rPr>
          <w:sz w:val="18"/>
        </w:rPr>
        <w:t>and</w:t>
      </w:r>
      <w:r>
        <w:rPr>
          <w:spacing w:val="-7"/>
          <w:sz w:val="18"/>
        </w:rPr>
        <w:t> </w:t>
      </w:r>
      <w:r>
        <w:rPr>
          <w:sz w:val="18"/>
        </w:rPr>
        <w:t>Combating</w:t>
      </w:r>
      <w:r>
        <w:rPr>
          <w:spacing w:val="-7"/>
          <w:sz w:val="18"/>
        </w:rPr>
        <w:t> </w:t>
      </w:r>
      <w:r>
        <w:rPr>
          <w:sz w:val="18"/>
        </w:rPr>
        <w:t>Trafficking</w:t>
      </w:r>
      <w:r>
        <w:rPr>
          <w:spacing w:val="-6"/>
          <w:sz w:val="18"/>
        </w:rPr>
        <w:t> </w:t>
      </w:r>
      <w:r>
        <w:rPr>
          <w:sz w:val="18"/>
        </w:rPr>
        <w:t>in</w:t>
      </w:r>
      <w:r>
        <w:rPr>
          <w:spacing w:val="-7"/>
          <w:sz w:val="18"/>
        </w:rPr>
        <w:t> </w:t>
      </w:r>
      <w:r>
        <w:rPr>
          <w:sz w:val="18"/>
        </w:rPr>
        <w:t>Human</w:t>
      </w:r>
      <w:r>
        <w:rPr>
          <w:spacing w:val="-8"/>
          <w:sz w:val="18"/>
        </w:rPr>
        <w:t> </w:t>
      </w:r>
      <w:r>
        <w:rPr>
          <w:sz w:val="18"/>
        </w:rPr>
        <w:t>Beings</w:t>
      </w:r>
      <w:r>
        <w:rPr>
          <w:spacing w:val="-7"/>
          <w:sz w:val="18"/>
        </w:rPr>
        <w:t> </w:t>
      </w:r>
      <w:r>
        <w:rPr>
          <w:sz w:val="18"/>
        </w:rPr>
        <w:t>and</w:t>
      </w:r>
      <w:r>
        <w:rPr>
          <w:spacing w:val="-8"/>
          <w:sz w:val="18"/>
        </w:rPr>
        <w:t> </w:t>
      </w:r>
      <w:r>
        <w:rPr>
          <w:spacing w:val="-2"/>
          <w:sz w:val="18"/>
        </w:rPr>
        <w:t>Protecting</w:t>
      </w:r>
    </w:p>
    <w:p>
      <w:pPr>
        <w:spacing w:line="218" w:lineRule="auto" w:before="5"/>
        <w:ind w:left="1853" w:right="1171" w:firstLine="0"/>
        <w:jc w:val="left"/>
        <w:rPr>
          <w:sz w:val="18"/>
        </w:rPr>
      </w:pPr>
      <w:r>
        <w:rPr>
          <w:sz w:val="18"/>
        </w:rPr>
        <w:t>its</w:t>
      </w:r>
      <w:r>
        <w:rPr>
          <w:spacing w:val="-6"/>
          <w:sz w:val="18"/>
        </w:rPr>
        <w:t> </w:t>
      </w:r>
      <w:r>
        <w:rPr>
          <w:sz w:val="18"/>
        </w:rPr>
        <w:t>Victims’,</w:t>
      </w:r>
      <w:r>
        <w:rPr>
          <w:spacing w:val="-5"/>
          <w:sz w:val="18"/>
        </w:rPr>
        <w:t> </w:t>
      </w:r>
      <w:r>
        <w:rPr>
          <w:sz w:val="18"/>
        </w:rPr>
        <w:t>5</w:t>
      </w:r>
      <w:r>
        <w:rPr>
          <w:spacing w:val="-5"/>
          <w:sz w:val="18"/>
        </w:rPr>
        <w:t> </w:t>
      </w:r>
      <w:r>
        <w:rPr>
          <w:sz w:val="18"/>
        </w:rPr>
        <w:t>April</w:t>
      </w:r>
      <w:r>
        <w:rPr>
          <w:spacing w:val="-6"/>
          <w:sz w:val="18"/>
        </w:rPr>
        <w:t> </w:t>
      </w:r>
      <w:r>
        <w:rPr>
          <w:sz w:val="18"/>
        </w:rPr>
        <w:t>2011;</w:t>
      </w:r>
      <w:r>
        <w:rPr>
          <w:spacing w:val="-5"/>
          <w:sz w:val="18"/>
        </w:rPr>
        <w:t> </w:t>
      </w:r>
      <w:r>
        <w:rPr>
          <w:sz w:val="18"/>
        </w:rPr>
        <w:t>Directive</w:t>
      </w:r>
      <w:r>
        <w:rPr>
          <w:spacing w:val="-5"/>
          <w:sz w:val="18"/>
        </w:rPr>
        <w:t> </w:t>
      </w:r>
      <w:r>
        <w:rPr>
          <w:sz w:val="18"/>
        </w:rPr>
        <w:t>2011/92/EU,</w:t>
      </w:r>
      <w:r>
        <w:rPr>
          <w:spacing w:val="-5"/>
          <w:sz w:val="18"/>
        </w:rPr>
        <w:t> </w:t>
      </w:r>
      <w:r>
        <w:rPr>
          <w:sz w:val="18"/>
        </w:rPr>
        <w:t>‘Parliament</w:t>
      </w:r>
      <w:r>
        <w:rPr>
          <w:spacing w:val="-5"/>
          <w:sz w:val="18"/>
        </w:rPr>
        <w:t> </w:t>
      </w:r>
      <w:r>
        <w:rPr>
          <w:sz w:val="18"/>
        </w:rPr>
        <w:t>and</w:t>
      </w:r>
      <w:r>
        <w:rPr>
          <w:spacing w:val="-6"/>
          <w:sz w:val="18"/>
        </w:rPr>
        <w:t> </w:t>
      </w:r>
      <w:r>
        <w:rPr>
          <w:sz w:val="18"/>
        </w:rPr>
        <w:t>Council</w:t>
      </w:r>
      <w:r>
        <w:rPr>
          <w:spacing w:val="-6"/>
          <w:sz w:val="18"/>
        </w:rPr>
        <w:t> </w:t>
      </w:r>
      <w:r>
        <w:rPr>
          <w:sz w:val="18"/>
        </w:rPr>
        <w:t>Directive</w:t>
      </w:r>
      <w:r>
        <w:rPr>
          <w:spacing w:val="-5"/>
          <w:sz w:val="18"/>
        </w:rPr>
        <w:t> </w:t>
      </w:r>
      <w:r>
        <w:rPr>
          <w:sz w:val="18"/>
        </w:rPr>
        <w:t>on</w:t>
      </w:r>
      <w:r>
        <w:rPr>
          <w:spacing w:val="-6"/>
          <w:sz w:val="18"/>
        </w:rPr>
        <w:t> </w:t>
      </w:r>
      <w:r>
        <w:rPr>
          <w:sz w:val="18"/>
        </w:rPr>
        <w:t>Combating</w:t>
      </w:r>
      <w:r>
        <w:rPr>
          <w:spacing w:val="-5"/>
          <w:sz w:val="18"/>
        </w:rPr>
        <w:t> </w:t>
      </w:r>
      <w:r>
        <w:rPr>
          <w:sz w:val="18"/>
        </w:rPr>
        <w:t>the</w:t>
      </w:r>
      <w:r>
        <w:rPr>
          <w:spacing w:val="-5"/>
          <w:sz w:val="18"/>
        </w:rPr>
        <w:t> </w:t>
      </w:r>
      <w:r>
        <w:rPr>
          <w:sz w:val="18"/>
        </w:rPr>
        <w:t>Sexual</w:t>
      </w:r>
      <w:r>
        <w:rPr>
          <w:spacing w:val="-6"/>
          <w:sz w:val="18"/>
        </w:rPr>
        <w:t> </w:t>
      </w:r>
      <w:r>
        <w:rPr>
          <w:sz w:val="18"/>
        </w:rPr>
        <w:t>Abuse</w:t>
      </w:r>
      <w:r>
        <w:rPr>
          <w:spacing w:val="-5"/>
          <w:sz w:val="18"/>
        </w:rPr>
        <w:t> </w:t>
      </w:r>
      <w:r>
        <w:rPr>
          <w:sz w:val="18"/>
        </w:rPr>
        <w:t>and Sexual Exploitation of Children and Child Pornography’, 13 December 2011; Directive 2004/80/EC, ‘Council Directive Relating to the Compensation to Crime Victims’, 29 April 2004.</w:t>
      </w:r>
    </w:p>
    <w:p>
      <w:pPr>
        <w:spacing w:after="0" w:line="218"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24"/>
      </w:pPr>
      <w:r>
        <w:rPr/>
        <w:t>physical, sexual, psychological or economic violence is committed in a close relationship,</w:t>
      </w:r>
      <w:r>
        <w:rPr>
          <w:spacing w:val="-7"/>
        </w:rPr>
        <w:t> </w:t>
      </w:r>
      <w:r>
        <w:rPr/>
        <w:t>this</w:t>
      </w:r>
      <w:r>
        <w:rPr>
          <w:spacing w:val="-8"/>
        </w:rPr>
        <w:t> </w:t>
      </w:r>
      <w:r>
        <w:rPr/>
        <w:t>can</w:t>
      </w:r>
      <w:r>
        <w:rPr>
          <w:spacing w:val="-8"/>
        </w:rPr>
        <w:t> </w:t>
      </w:r>
      <w:r>
        <w:rPr/>
        <w:t>cause</w:t>
      </w:r>
      <w:r>
        <w:rPr>
          <w:spacing w:val="-8"/>
        </w:rPr>
        <w:t> </w:t>
      </w:r>
      <w:r>
        <w:rPr/>
        <w:t>psychological</w:t>
      </w:r>
      <w:r>
        <w:rPr>
          <w:spacing w:val="-8"/>
        </w:rPr>
        <w:t> </w:t>
      </w:r>
      <w:r>
        <w:rPr/>
        <w:t>and</w:t>
      </w:r>
      <w:r>
        <w:rPr>
          <w:spacing w:val="-8"/>
        </w:rPr>
        <w:t> </w:t>
      </w:r>
      <w:r>
        <w:rPr/>
        <w:t>physical</w:t>
      </w:r>
      <w:r>
        <w:rPr>
          <w:spacing w:val="-8"/>
        </w:rPr>
        <w:t> </w:t>
      </w:r>
      <w:r>
        <w:rPr/>
        <w:t>trauma</w:t>
      </w:r>
      <w:r>
        <w:rPr>
          <w:spacing w:val="-8"/>
        </w:rPr>
        <w:t> </w:t>
      </w:r>
      <w:r>
        <w:rPr/>
        <w:t>and</w:t>
      </w:r>
      <w:r>
        <w:rPr>
          <w:spacing w:val="-8"/>
        </w:rPr>
        <w:t> </w:t>
      </w:r>
      <w:r>
        <w:rPr/>
        <w:t>such</w:t>
      </w:r>
      <w:r>
        <w:rPr>
          <w:spacing w:val="-8"/>
        </w:rPr>
        <w:t> </w:t>
      </w:r>
      <w:r>
        <w:rPr/>
        <w:t>victims are therefore in need of special protection measures. The Directive further recognises that women are disproportionately impacted by this harm.</w:t>
      </w:r>
      <w:r>
        <w:rPr>
          <w:vertAlign w:val="superscript"/>
        </w:rPr>
        <w:t>391</w:t>
      </w:r>
    </w:p>
    <w:p>
      <w:pPr>
        <w:pStyle w:val="Heading6"/>
        <w:spacing w:before="299"/>
        <w:rPr>
          <w:i/>
        </w:rPr>
      </w:pPr>
      <w:r>
        <w:rPr>
          <w:i/>
          <w:color w:val="67287F"/>
        </w:rPr>
        <w:t>EU</w:t>
      </w:r>
      <w:r>
        <w:rPr>
          <w:i/>
          <w:color w:val="67287F"/>
          <w:spacing w:val="-8"/>
        </w:rPr>
        <w:t> </w:t>
      </w:r>
      <w:r>
        <w:rPr>
          <w:i/>
          <w:color w:val="67287F"/>
        </w:rPr>
        <w:t>Combatting</w:t>
      </w:r>
      <w:r>
        <w:rPr>
          <w:i/>
          <w:color w:val="67287F"/>
          <w:spacing w:val="-8"/>
        </w:rPr>
        <w:t> </w:t>
      </w:r>
      <w:r>
        <w:rPr>
          <w:i/>
          <w:color w:val="67287F"/>
        </w:rPr>
        <w:t>Violence</w:t>
      </w:r>
      <w:r>
        <w:rPr>
          <w:i/>
          <w:color w:val="67287F"/>
          <w:spacing w:val="-9"/>
        </w:rPr>
        <w:t> </w:t>
      </w:r>
      <w:r>
        <w:rPr>
          <w:i/>
          <w:color w:val="67287F"/>
        </w:rPr>
        <w:t>Against</w:t>
      </w:r>
      <w:r>
        <w:rPr>
          <w:i/>
          <w:color w:val="67287F"/>
          <w:spacing w:val="-8"/>
        </w:rPr>
        <w:t> </w:t>
      </w:r>
      <w:r>
        <w:rPr>
          <w:i/>
          <w:color w:val="67287F"/>
        </w:rPr>
        <w:t>Women</w:t>
      </w:r>
      <w:r>
        <w:rPr>
          <w:i/>
          <w:color w:val="67287F"/>
          <w:spacing w:val="-9"/>
        </w:rPr>
        <w:t> </w:t>
      </w:r>
      <w:r>
        <w:rPr>
          <w:i/>
          <w:color w:val="67287F"/>
          <w:spacing w:val="-2"/>
        </w:rPr>
        <w:t>Directive</w:t>
      </w:r>
    </w:p>
    <w:p>
      <w:pPr>
        <w:pStyle w:val="ListParagraph"/>
        <w:numPr>
          <w:ilvl w:val="1"/>
          <w:numId w:val="7"/>
        </w:numPr>
        <w:tabs>
          <w:tab w:pos="1853" w:val="left" w:leader="none"/>
        </w:tabs>
        <w:spacing w:line="225" w:lineRule="auto" w:before="5" w:after="0"/>
        <w:ind w:left="1853" w:right="1235" w:hanging="720"/>
        <w:jc w:val="left"/>
        <w:rPr>
          <w:sz w:val="28"/>
        </w:rPr>
      </w:pPr>
      <w:r>
        <w:rPr>
          <w:sz w:val="28"/>
        </w:rPr>
        <w:t>In</w:t>
      </w:r>
      <w:r>
        <w:rPr>
          <w:spacing w:val="-7"/>
          <w:sz w:val="28"/>
        </w:rPr>
        <w:t> </w:t>
      </w:r>
      <w:r>
        <w:rPr>
          <w:sz w:val="28"/>
        </w:rPr>
        <w:t>2022,</w:t>
      </w:r>
      <w:r>
        <w:rPr>
          <w:spacing w:val="-6"/>
          <w:sz w:val="28"/>
        </w:rPr>
        <w:t> </w:t>
      </w:r>
      <w:r>
        <w:rPr>
          <w:sz w:val="28"/>
        </w:rPr>
        <w:t>the</w:t>
      </w:r>
      <w:r>
        <w:rPr>
          <w:spacing w:val="-6"/>
          <w:sz w:val="28"/>
        </w:rPr>
        <w:t> </w:t>
      </w:r>
      <w:r>
        <w:rPr>
          <w:sz w:val="28"/>
        </w:rPr>
        <w:t>EU</w:t>
      </w:r>
      <w:r>
        <w:rPr>
          <w:spacing w:val="-6"/>
          <w:sz w:val="28"/>
        </w:rPr>
        <w:t> </w:t>
      </w:r>
      <w:r>
        <w:rPr>
          <w:sz w:val="28"/>
        </w:rPr>
        <w:t>Commission</w:t>
      </w:r>
      <w:r>
        <w:rPr>
          <w:spacing w:val="-7"/>
          <w:sz w:val="28"/>
        </w:rPr>
        <w:t> </w:t>
      </w:r>
      <w:r>
        <w:rPr>
          <w:sz w:val="28"/>
        </w:rPr>
        <w:t>consulted</w:t>
      </w:r>
      <w:r>
        <w:rPr>
          <w:spacing w:val="-7"/>
          <w:sz w:val="28"/>
        </w:rPr>
        <w:t> </w:t>
      </w:r>
      <w:r>
        <w:rPr>
          <w:sz w:val="28"/>
        </w:rPr>
        <w:t>on</w:t>
      </w:r>
      <w:r>
        <w:rPr>
          <w:spacing w:val="-7"/>
          <w:sz w:val="28"/>
        </w:rPr>
        <w:t> </w:t>
      </w:r>
      <w:r>
        <w:rPr>
          <w:sz w:val="28"/>
        </w:rPr>
        <w:t>a</w:t>
      </w:r>
      <w:r>
        <w:rPr>
          <w:spacing w:val="-7"/>
          <w:sz w:val="28"/>
        </w:rPr>
        <w:t> </w:t>
      </w:r>
      <w:r>
        <w:rPr>
          <w:sz w:val="28"/>
        </w:rPr>
        <w:t>proposed</w:t>
      </w:r>
      <w:r>
        <w:rPr>
          <w:spacing w:val="-7"/>
          <w:sz w:val="28"/>
        </w:rPr>
        <w:t> </w:t>
      </w:r>
      <w:r>
        <w:rPr>
          <w:sz w:val="28"/>
        </w:rPr>
        <w:t>directive</w:t>
      </w:r>
      <w:r>
        <w:rPr>
          <w:spacing w:val="-6"/>
          <w:sz w:val="28"/>
        </w:rPr>
        <w:t> </w:t>
      </w:r>
      <w:r>
        <w:rPr>
          <w:sz w:val="28"/>
        </w:rPr>
        <w:t>on</w:t>
      </w:r>
      <w:r>
        <w:rPr>
          <w:spacing w:val="-7"/>
          <w:sz w:val="28"/>
        </w:rPr>
        <w:t> </w:t>
      </w:r>
      <w:r>
        <w:rPr>
          <w:sz w:val="28"/>
        </w:rPr>
        <w:t>combatting violence against women which aims to ensure a minimum level of protection across the EU against such violence.</w:t>
      </w:r>
      <w:r>
        <w:rPr>
          <w:sz w:val="28"/>
          <w:vertAlign w:val="superscript"/>
        </w:rPr>
        <w:t>392</w:t>
      </w:r>
      <w:r>
        <w:rPr>
          <w:sz w:val="28"/>
          <w:vertAlign w:val="baseline"/>
        </w:rPr>
        <w:t> The proposal takes into account cyber violence perpetrated against women which includes non-consensual sharing of intimate images; cyber stalking; cyber harassment; and cyber incitement</w:t>
      </w:r>
      <w:r>
        <w:rPr>
          <w:spacing w:val="40"/>
          <w:sz w:val="28"/>
          <w:vertAlign w:val="baseline"/>
        </w:rPr>
        <w:t> </w:t>
      </w:r>
      <w:r>
        <w:rPr>
          <w:sz w:val="28"/>
          <w:vertAlign w:val="baseline"/>
        </w:rPr>
        <w:t>to violence or hatred. The proposed directive includes provisions aimed at supporting victims of sexual harassment in the workplace.</w:t>
      </w:r>
      <w:r>
        <w:rPr>
          <w:sz w:val="28"/>
          <w:vertAlign w:val="superscript"/>
        </w:rPr>
        <w:t>393</w:t>
      </w:r>
    </w:p>
    <w:p>
      <w:pPr>
        <w:pStyle w:val="ListParagraph"/>
        <w:numPr>
          <w:ilvl w:val="1"/>
          <w:numId w:val="7"/>
        </w:numPr>
        <w:tabs>
          <w:tab w:pos="1853" w:val="left" w:leader="none"/>
        </w:tabs>
        <w:spacing w:line="225" w:lineRule="auto" w:before="311" w:after="0"/>
        <w:ind w:left="1853" w:right="1201" w:hanging="720"/>
        <w:jc w:val="left"/>
        <w:rPr>
          <w:sz w:val="28"/>
        </w:rPr>
      </w:pPr>
      <w:r>
        <w:rPr>
          <w:sz w:val="28"/>
        </w:rPr>
        <w:t>In its response, the ECNI welcomed the EU Commission’s commitment to effectively</w:t>
      </w:r>
      <w:r>
        <w:rPr>
          <w:spacing w:val="-10"/>
          <w:sz w:val="28"/>
        </w:rPr>
        <w:t> </w:t>
      </w:r>
      <w:r>
        <w:rPr>
          <w:sz w:val="28"/>
        </w:rPr>
        <w:t>combat</w:t>
      </w:r>
      <w:r>
        <w:rPr>
          <w:spacing w:val="-10"/>
          <w:sz w:val="28"/>
        </w:rPr>
        <w:t> </w:t>
      </w:r>
      <w:r>
        <w:rPr>
          <w:sz w:val="28"/>
        </w:rPr>
        <w:t>violence</w:t>
      </w:r>
      <w:r>
        <w:rPr>
          <w:spacing w:val="-10"/>
          <w:sz w:val="28"/>
        </w:rPr>
        <w:t> </w:t>
      </w:r>
      <w:r>
        <w:rPr>
          <w:sz w:val="28"/>
        </w:rPr>
        <w:t>against</w:t>
      </w:r>
      <w:r>
        <w:rPr>
          <w:spacing w:val="-10"/>
          <w:sz w:val="28"/>
        </w:rPr>
        <w:t> </w:t>
      </w:r>
      <w:r>
        <w:rPr>
          <w:sz w:val="28"/>
        </w:rPr>
        <w:t>women</w:t>
      </w:r>
      <w:r>
        <w:rPr>
          <w:spacing w:val="-11"/>
          <w:sz w:val="28"/>
        </w:rPr>
        <w:t> </w:t>
      </w:r>
      <w:r>
        <w:rPr>
          <w:sz w:val="28"/>
        </w:rPr>
        <w:t>and</w:t>
      </w:r>
      <w:r>
        <w:rPr>
          <w:spacing w:val="-11"/>
          <w:sz w:val="28"/>
        </w:rPr>
        <w:t> </w:t>
      </w:r>
      <w:r>
        <w:rPr>
          <w:sz w:val="28"/>
        </w:rPr>
        <w:t>domestic</w:t>
      </w:r>
      <w:r>
        <w:rPr>
          <w:spacing w:val="-10"/>
          <w:sz w:val="28"/>
        </w:rPr>
        <w:t> </w:t>
      </w:r>
      <w:r>
        <w:rPr>
          <w:sz w:val="28"/>
        </w:rPr>
        <w:t>violence</w:t>
      </w:r>
      <w:r>
        <w:rPr>
          <w:spacing w:val="-10"/>
          <w:sz w:val="28"/>
        </w:rPr>
        <w:t> </w:t>
      </w:r>
      <w:r>
        <w:rPr>
          <w:sz w:val="28"/>
        </w:rPr>
        <w:t>throughout the EU. It recommended the inclusion of a targeted approach to tackling</w:t>
      </w:r>
    </w:p>
    <w:p>
      <w:pPr>
        <w:pStyle w:val="BodyText"/>
        <w:spacing w:line="225" w:lineRule="auto"/>
        <w:ind w:left="1853" w:right="1171"/>
      </w:pPr>
      <w:r>
        <w:rPr/>
        <w:t>the specific nature and impact of violence against women and domestic violence as well as the meaningful involvement of affected individuals and their</w:t>
      </w:r>
      <w:r>
        <w:rPr>
          <w:spacing w:val="-12"/>
        </w:rPr>
        <w:t> </w:t>
      </w:r>
      <w:r>
        <w:rPr/>
        <w:t>representative</w:t>
      </w:r>
      <w:r>
        <w:rPr>
          <w:spacing w:val="-12"/>
        </w:rPr>
        <w:t> </w:t>
      </w:r>
      <w:r>
        <w:rPr/>
        <w:t>organisations</w:t>
      </w:r>
      <w:r>
        <w:rPr>
          <w:spacing w:val="-13"/>
        </w:rPr>
        <w:t> </w:t>
      </w:r>
      <w:r>
        <w:rPr/>
        <w:t>and</w:t>
      </w:r>
      <w:r>
        <w:rPr>
          <w:spacing w:val="-13"/>
        </w:rPr>
        <w:t> </w:t>
      </w:r>
      <w:r>
        <w:rPr/>
        <w:t>effective</w:t>
      </w:r>
      <w:r>
        <w:rPr>
          <w:spacing w:val="-12"/>
        </w:rPr>
        <w:t> </w:t>
      </w:r>
      <w:r>
        <w:rPr/>
        <w:t>equality</w:t>
      </w:r>
      <w:r>
        <w:rPr>
          <w:spacing w:val="-12"/>
        </w:rPr>
        <w:t> </w:t>
      </w:r>
      <w:r>
        <w:rPr/>
        <w:t>data</w:t>
      </w:r>
      <w:r>
        <w:rPr>
          <w:spacing w:val="-13"/>
        </w:rPr>
        <w:t> </w:t>
      </w:r>
      <w:r>
        <w:rPr/>
        <w:t>collection</w:t>
      </w:r>
      <w:r>
        <w:rPr>
          <w:spacing w:val="-13"/>
        </w:rPr>
        <w:t> </w:t>
      </w:r>
      <w:r>
        <w:rPr/>
        <w:t>and </w:t>
      </w:r>
      <w:r>
        <w:rPr>
          <w:spacing w:val="-2"/>
        </w:rPr>
        <w:t>monitoring.</w:t>
      </w:r>
      <w:r>
        <w:rPr>
          <w:spacing w:val="-2"/>
          <w:vertAlign w:val="superscript"/>
        </w:rPr>
        <w:t>394</w:t>
      </w:r>
    </w:p>
    <w:p>
      <w:pPr>
        <w:pStyle w:val="ListParagraph"/>
        <w:numPr>
          <w:ilvl w:val="1"/>
          <w:numId w:val="7"/>
        </w:numPr>
        <w:tabs>
          <w:tab w:pos="1853" w:val="left" w:leader="none"/>
        </w:tabs>
        <w:spacing w:line="225" w:lineRule="auto" w:before="311" w:after="0"/>
        <w:ind w:left="1853" w:right="1221" w:hanging="720"/>
        <w:jc w:val="left"/>
        <w:rPr>
          <w:sz w:val="28"/>
        </w:rPr>
      </w:pPr>
      <w:r>
        <w:rPr>
          <w:sz w:val="28"/>
        </w:rPr>
        <w:t>The adoption of the proposed EU directive on combating violence against women</w:t>
      </w:r>
      <w:r>
        <w:rPr>
          <w:spacing w:val="-6"/>
          <w:sz w:val="28"/>
        </w:rPr>
        <w:t> </w:t>
      </w:r>
      <w:r>
        <w:rPr>
          <w:sz w:val="28"/>
        </w:rPr>
        <w:t>and</w:t>
      </w:r>
      <w:r>
        <w:rPr>
          <w:spacing w:val="-6"/>
          <w:sz w:val="28"/>
        </w:rPr>
        <w:t> </w:t>
      </w:r>
      <w:r>
        <w:rPr>
          <w:sz w:val="28"/>
        </w:rPr>
        <w:t>domestic</w:t>
      </w:r>
      <w:r>
        <w:rPr>
          <w:spacing w:val="-5"/>
          <w:sz w:val="28"/>
        </w:rPr>
        <w:t> </w:t>
      </w:r>
      <w:r>
        <w:rPr>
          <w:sz w:val="28"/>
        </w:rPr>
        <w:t>violence</w:t>
      </w:r>
      <w:r>
        <w:rPr>
          <w:spacing w:val="-5"/>
          <w:sz w:val="28"/>
        </w:rPr>
        <w:t> </w:t>
      </w:r>
      <w:r>
        <w:rPr>
          <w:sz w:val="28"/>
        </w:rPr>
        <w:t>by</w:t>
      </w:r>
      <w:r>
        <w:rPr>
          <w:spacing w:val="-5"/>
          <w:sz w:val="28"/>
        </w:rPr>
        <w:t> </w:t>
      </w:r>
      <w:r>
        <w:rPr>
          <w:sz w:val="28"/>
        </w:rPr>
        <w:t>the</w:t>
      </w:r>
      <w:r>
        <w:rPr>
          <w:spacing w:val="-5"/>
          <w:sz w:val="28"/>
        </w:rPr>
        <w:t> </w:t>
      </w:r>
      <w:r>
        <w:rPr>
          <w:sz w:val="28"/>
        </w:rPr>
        <w:t>EU</w:t>
      </w:r>
      <w:r>
        <w:rPr>
          <w:spacing w:val="-5"/>
          <w:sz w:val="28"/>
        </w:rPr>
        <w:t> </w:t>
      </w:r>
      <w:r>
        <w:rPr>
          <w:sz w:val="28"/>
        </w:rPr>
        <w:t>Parliament</w:t>
      </w:r>
      <w:r>
        <w:rPr>
          <w:spacing w:val="-5"/>
          <w:sz w:val="28"/>
        </w:rPr>
        <w:t> </w:t>
      </w:r>
      <w:r>
        <w:rPr>
          <w:sz w:val="28"/>
        </w:rPr>
        <w:t>is</w:t>
      </w:r>
      <w:r>
        <w:rPr>
          <w:spacing w:val="-6"/>
          <w:sz w:val="28"/>
        </w:rPr>
        <w:t> </w:t>
      </w:r>
      <w:r>
        <w:rPr>
          <w:sz w:val="28"/>
        </w:rPr>
        <w:t>expected</w:t>
      </w:r>
      <w:r>
        <w:rPr>
          <w:spacing w:val="-6"/>
          <w:sz w:val="28"/>
        </w:rPr>
        <w:t> </w:t>
      </w:r>
      <w:r>
        <w:rPr>
          <w:sz w:val="28"/>
        </w:rPr>
        <w:t>in</w:t>
      </w:r>
      <w:r>
        <w:rPr>
          <w:spacing w:val="-6"/>
          <w:sz w:val="28"/>
        </w:rPr>
        <w:t> </w:t>
      </w:r>
      <w:r>
        <w:rPr>
          <w:sz w:val="28"/>
        </w:rPr>
        <w:t>April</w:t>
      </w:r>
      <w:r>
        <w:rPr>
          <w:spacing w:val="-6"/>
          <w:sz w:val="28"/>
        </w:rPr>
        <w:t> </w:t>
      </w:r>
      <w:r>
        <w:rPr>
          <w:sz w:val="28"/>
        </w:rPr>
        <w:t>2024.</w:t>
      </w:r>
    </w:p>
    <w:p>
      <w:pPr>
        <w:pStyle w:val="Heading6"/>
        <w:spacing w:line="225" w:lineRule="auto" w:before="318"/>
        <w:ind w:right="1301"/>
      </w:pPr>
      <w:r>
        <w:rPr>
          <w:i/>
          <w:color w:val="67287F"/>
        </w:rPr>
        <w:t>Domestic</w:t>
      </w:r>
      <w:r>
        <w:rPr>
          <w:i/>
          <w:color w:val="67287F"/>
          <w:spacing w:val="-7"/>
        </w:rPr>
        <w:t> </w:t>
      </w:r>
      <w:r>
        <w:rPr>
          <w:i/>
          <w:color w:val="67287F"/>
        </w:rPr>
        <w:t>and</w:t>
      </w:r>
      <w:r>
        <w:rPr>
          <w:i/>
          <w:color w:val="67287F"/>
          <w:spacing w:val="-7"/>
        </w:rPr>
        <w:t> </w:t>
      </w:r>
      <w:r>
        <w:rPr>
          <w:i/>
          <w:color w:val="67287F"/>
        </w:rPr>
        <w:t>Sexual</w:t>
      </w:r>
      <w:r>
        <w:rPr>
          <w:i/>
          <w:color w:val="67287F"/>
          <w:spacing w:val="-7"/>
        </w:rPr>
        <w:t> </w:t>
      </w:r>
      <w:r>
        <w:rPr>
          <w:i/>
          <w:color w:val="67287F"/>
        </w:rPr>
        <w:t>Abuse</w:t>
      </w:r>
      <w:r>
        <w:rPr>
          <w:i/>
          <w:color w:val="67287F"/>
          <w:spacing w:val="-8"/>
        </w:rPr>
        <w:t> </w:t>
      </w:r>
      <w:r>
        <w:rPr>
          <w:i/>
          <w:color w:val="67287F"/>
        </w:rPr>
        <w:t>and</w:t>
      </w:r>
      <w:r>
        <w:rPr>
          <w:i/>
          <w:color w:val="67287F"/>
          <w:spacing w:val="-7"/>
        </w:rPr>
        <w:t> </w:t>
      </w:r>
      <w:r>
        <w:rPr>
          <w:i/>
          <w:color w:val="67287F"/>
        </w:rPr>
        <w:t>Violence</w:t>
      </w:r>
      <w:r>
        <w:rPr>
          <w:i/>
          <w:color w:val="67287F"/>
          <w:spacing w:val="-8"/>
        </w:rPr>
        <w:t> </w:t>
      </w:r>
      <w:r>
        <w:rPr>
          <w:i/>
          <w:color w:val="67287F"/>
        </w:rPr>
        <w:t>Against</w:t>
      </w:r>
      <w:r>
        <w:rPr>
          <w:i/>
          <w:color w:val="67287F"/>
          <w:spacing w:val="-7"/>
        </w:rPr>
        <w:t> </w:t>
      </w:r>
      <w:r>
        <w:rPr>
          <w:i/>
          <w:color w:val="67287F"/>
        </w:rPr>
        <w:t>Women</w:t>
      </w:r>
      <w:r>
        <w:rPr>
          <w:i/>
          <w:color w:val="67287F"/>
          <w:spacing w:val="-8"/>
        </w:rPr>
        <w:t> </w:t>
      </w:r>
      <w:r>
        <w:rPr>
          <w:i/>
          <w:color w:val="67287F"/>
        </w:rPr>
        <w:t>and</w:t>
      </w:r>
      <w:r>
        <w:rPr>
          <w:i/>
          <w:color w:val="67287F"/>
          <w:spacing w:val="-7"/>
        </w:rPr>
        <w:t> </w:t>
      </w:r>
      <w:r>
        <w:rPr>
          <w:i/>
          <w:color w:val="67287F"/>
        </w:rPr>
        <w:t>Girls</w:t>
      </w:r>
      <w:r>
        <w:rPr>
          <w:color w:val="67287F"/>
        </w:rPr>
        <w:t> </w:t>
      </w:r>
      <w:r>
        <w:rPr>
          <w:color w:val="67287F"/>
          <w:spacing w:val="-2"/>
        </w:rPr>
        <w:t>Strategies</w:t>
      </w:r>
    </w:p>
    <w:p>
      <w:pPr>
        <w:pStyle w:val="ListParagraph"/>
        <w:numPr>
          <w:ilvl w:val="1"/>
          <w:numId w:val="7"/>
        </w:numPr>
        <w:tabs>
          <w:tab w:pos="1853" w:val="left" w:leader="none"/>
        </w:tabs>
        <w:spacing w:line="225" w:lineRule="auto" w:before="0" w:after="0"/>
        <w:ind w:left="1853" w:right="1449" w:hanging="720"/>
        <w:jc w:val="left"/>
        <w:rPr>
          <w:sz w:val="28"/>
        </w:rPr>
      </w:pPr>
      <w:r>
        <w:rPr>
          <w:sz w:val="28"/>
        </w:rPr>
        <w:t>In May 2023, both Commissions separately responded to the Department</w:t>
      </w:r>
      <w:r>
        <w:rPr>
          <w:sz w:val="28"/>
        </w:rPr>
        <w:t> of</w:t>
      </w:r>
      <w:r>
        <w:rPr>
          <w:spacing w:val="-7"/>
          <w:sz w:val="28"/>
        </w:rPr>
        <w:t> </w:t>
      </w:r>
      <w:r>
        <w:rPr>
          <w:sz w:val="28"/>
        </w:rPr>
        <w:t>Health</w:t>
      </w:r>
      <w:r>
        <w:rPr>
          <w:spacing w:val="-7"/>
          <w:sz w:val="28"/>
        </w:rPr>
        <w:t> </w:t>
      </w:r>
      <w:r>
        <w:rPr>
          <w:sz w:val="28"/>
        </w:rPr>
        <w:t>and</w:t>
      </w:r>
      <w:r>
        <w:rPr>
          <w:spacing w:val="-7"/>
          <w:sz w:val="28"/>
        </w:rPr>
        <w:t> </w:t>
      </w:r>
      <w:r>
        <w:rPr>
          <w:sz w:val="28"/>
        </w:rPr>
        <w:t>Department</w:t>
      </w:r>
      <w:r>
        <w:rPr>
          <w:spacing w:val="-6"/>
          <w:sz w:val="28"/>
        </w:rPr>
        <w:t> </w:t>
      </w:r>
      <w:r>
        <w:rPr>
          <w:sz w:val="28"/>
        </w:rPr>
        <w:t>of</w:t>
      </w:r>
      <w:r>
        <w:rPr>
          <w:spacing w:val="-7"/>
          <w:sz w:val="28"/>
        </w:rPr>
        <w:t> </w:t>
      </w:r>
      <w:r>
        <w:rPr>
          <w:sz w:val="28"/>
        </w:rPr>
        <w:t>Justice</w:t>
      </w:r>
      <w:r>
        <w:rPr>
          <w:spacing w:val="-6"/>
          <w:sz w:val="28"/>
        </w:rPr>
        <w:t> </w:t>
      </w:r>
      <w:r>
        <w:rPr>
          <w:sz w:val="28"/>
        </w:rPr>
        <w:t>consultation</w:t>
      </w:r>
      <w:r>
        <w:rPr>
          <w:spacing w:val="-7"/>
          <w:sz w:val="28"/>
        </w:rPr>
        <w:t> </w:t>
      </w:r>
      <w:r>
        <w:rPr>
          <w:sz w:val="28"/>
        </w:rPr>
        <w:t>on</w:t>
      </w:r>
      <w:r>
        <w:rPr>
          <w:spacing w:val="-7"/>
          <w:sz w:val="28"/>
        </w:rPr>
        <w:t> </w:t>
      </w:r>
      <w:r>
        <w:rPr>
          <w:sz w:val="28"/>
        </w:rPr>
        <w:t>the</w:t>
      </w:r>
      <w:r>
        <w:rPr>
          <w:spacing w:val="-6"/>
          <w:sz w:val="28"/>
        </w:rPr>
        <w:t> </w:t>
      </w:r>
      <w:r>
        <w:rPr>
          <w:sz w:val="28"/>
        </w:rPr>
        <w:t>draft</w:t>
      </w:r>
      <w:r>
        <w:rPr>
          <w:spacing w:val="-6"/>
          <w:sz w:val="28"/>
        </w:rPr>
        <w:t> </w:t>
      </w:r>
      <w:r>
        <w:rPr>
          <w:sz w:val="28"/>
        </w:rPr>
        <w:t>Domestic</w:t>
      </w:r>
      <w:r>
        <w:rPr>
          <w:spacing w:val="-6"/>
          <w:sz w:val="28"/>
        </w:rPr>
        <w:t> </w:t>
      </w:r>
      <w:r>
        <w:rPr>
          <w:sz w:val="28"/>
        </w:rPr>
        <w:t>and Sexual Abuse Strategy, highlighting the relevance of Windsor Framework Article 2.</w:t>
      </w:r>
      <w:r>
        <w:rPr>
          <w:sz w:val="28"/>
          <w:vertAlign w:val="superscript"/>
        </w:rPr>
        <w:t>395</w:t>
      </w:r>
      <w:r>
        <w:rPr>
          <w:sz w:val="28"/>
          <w:vertAlign w:val="baseline"/>
        </w:rPr>
        <w:t> The NIHRC welcomed the acknowledgement of the EU Victims’</w:t>
      </w:r>
    </w:p>
    <w:p>
      <w:pPr>
        <w:pStyle w:val="BodyText"/>
        <w:spacing w:line="225" w:lineRule="auto"/>
        <w:ind w:left="1853" w:right="1124"/>
      </w:pPr>
      <w:r>
        <w:rPr/>
        <w:t>Directive</w:t>
      </w:r>
      <w:r>
        <w:rPr>
          <w:vertAlign w:val="superscript"/>
        </w:rPr>
        <w:t>396</w:t>
      </w:r>
      <w:r>
        <w:rPr>
          <w:vertAlign w:val="baseline"/>
        </w:rPr>
        <w:t> and urged the departments to take a human rights-based approach</w:t>
      </w:r>
      <w:r>
        <w:rPr>
          <w:spacing w:val="-10"/>
          <w:vertAlign w:val="baseline"/>
        </w:rPr>
        <w:t> </w:t>
      </w:r>
      <w:r>
        <w:rPr>
          <w:vertAlign w:val="baseline"/>
        </w:rPr>
        <w:t>to</w:t>
      </w:r>
      <w:r>
        <w:rPr>
          <w:spacing w:val="-10"/>
          <w:vertAlign w:val="baseline"/>
        </w:rPr>
        <w:t> </w:t>
      </w:r>
      <w:r>
        <w:rPr>
          <w:vertAlign w:val="baseline"/>
        </w:rPr>
        <w:t>the</w:t>
      </w:r>
      <w:r>
        <w:rPr>
          <w:spacing w:val="-9"/>
          <w:vertAlign w:val="baseline"/>
        </w:rPr>
        <w:t> </w:t>
      </w:r>
      <w:r>
        <w:rPr>
          <w:vertAlign w:val="baseline"/>
        </w:rPr>
        <w:t>strategy,</w:t>
      </w:r>
      <w:r>
        <w:rPr>
          <w:spacing w:val="-9"/>
          <w:vertAlign w:val="baseline"/>
        </w:rPr>
        <w:t> </w:t>
      </w:r>
      <w:r>
        <w:rPr>
          <w:vertAlign w:val="baseline"/>
        </w:rPr>
        <w:t>which</w:t>
      </w:r>
      <w:r>
        <w:rPr>
          <w:spacing w:val="-10"/>
          <w:vertAlign w:val="baseline"/>
        </w:rPr>
        <w:t> </w:t>
      </w:r>
      <w:r>
        <w:rPr>
          <w:vertAlign w:val="baseline"/>
        </w:rPr>
        <w:t>includes</w:t>
      </w:r>
      <w:r>
        <w:rPr>
          <w:spacing w:val="-10"/>
          <w:vertAlign w:val="baseline"/>
        </w:rPr>
        <w:t> </w:t>
      </w:r>
      <w:r>
        <w:rPr>
          <w:vertAlign w:val="baseline"/>
        </w:rPr>
        <w:t>compliance</w:t>
      </w:r>
      <w:r>
        <w:rPr>
          <w:spacing w:val="-9"/>
          <w:vertAlign w:val="baseline"/>
        </w:rPr>
        <w:t> </w:t>
      </w:r>
      <w:r>
        <w:rPr>
          <w:vertAlign w:val="baseline"/>
        </w:rPr>
        <w:t>with</w:t>
      </w:r>
      <w:r>
        <w:rPr>
          <w:spacing w:val="-10"/>
          <w:vertAlign w:val="baseline"/>
        </w:rPr>
        <w:t> </w:t>
      </w:r>
      <w:r>
        <w:rPr>
          <w:vertAlign w:val="baseline"/>
        </w:rPr>
        <w:t>Windsor</w:t>
      </w:r>
      <w:r>
        <w:rPr>
          <w:spacing w:val="-9"/>
          <w:vertAlign w:val="baseline"/>
        </w:rPr>
        <w:t> </w:t>
      </w:r>
      <w:r>
        <w:rPr>
          <w:vertAlign w:val="baseline"/>
        </w:rPr>
        <w:t>Framework Article 2.</w:t>
      </w:r>
      <w:r>
        <w:rPr>
          <w:vertAlign w:val="superscript"/>
        </w:rPr>
        <w:t>397</w:t>
      </w:r>
    </w:p>
    <w:p>
      <w:pPr>
        <w:pStyle w:val="BodyText"/>
        <w:spacing w:before="7"/>
        <w:rPr>
          <w:sz w:val="8"/>
        </w:rPr>
      </w:pPr>
      <w:r>
        <w:rPr/>
        <mc:AlternateContent>
          <mc:Choice Requires="wps">
            <w:drawing>
              <wp:anchor distT="0" distB="0" distL="0" distR="0" allowOverlap="1" layoutInCell="1" locked="0" behindDoc="1" simplePos="0" relativeHeight="487670272">
                <wp:simplePos x="0" y="0"/>
                <wp:positionH relativeFrom="page">
                  <wp:posOffset>719996</wp:posOffset>
                </wp:positionH>
                <wp:positionV relativeFrom="paragraph">
                  <wp:posOffset>81978</wp:posOffset>
                </wp:positionV>
                <wp:extent cx="6120130" cy="1270"/>
                <wp:effectExtent l="0" t="0" r="0" b="0"/>
                <wp:wrapTopAndBottom/>
                <wp:docPr id="357" name="Graphic 357"/>
                <wp:cNvGraphicFramePr>
                  <a:graphicFrameLocks/>
                </wp:cNvGraphicFramePr>
                <a:graphic>
                  <a:graphicData uri="http://schemas.microsoft.com/office/word/2010/wordprocessingShape">
                    <wps:wsp>
                      <wps:cNvPr id="357" name="Graphic 357"/>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6.454994pt;width:481.9pt;height:.1pt;mso-position-horizontal-relative:page;mso-position-vertical-relative:paragraph;z-index:-15646208;mso-wrap-distance-left:0;mso-wrap-distance-right:0" id="docshape307" coordorigin="1134,129" coordsize="9638,0" path="m10772,129l1134,129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35" w:lineRule="auto" w:before="139" w:after="0"/>
        <w:ind w:left="1853" w:right="1448" w:hanging="720"/>
        <w:jc w:val="left"/>
        <w:rPr>
          <w:sz w:val="18"/>
        </w:rPr>
      </w:pPr>
      <w:r>
        <w:rPr>
          <w:sz w:val="18"/>
        </w:rPr>
        <w:t>Recital</w:t>
      </w:r>
      <w:r>
        <w:rPr>
          <w:spacing w:val="-6"/>
          <w:sz w:val="18"/>
        </w:rPr>
        <w:t> </w:t>
      </w:r>
      <w:r>
        <w:rPr>
          <w:sz w:val="18"/>
        </w:rPr>
        <w:t>18,</w:t>
      </w:r>
      <w:r>
        <w:rPr>
          <w:spacing w:val="-5"/>
          <w:sz w:val="18"/>
        </w:rPr>
        <w:t> </w:t>
      </w:r>
      <w:r>
        <w:rPr>
          <w:sz w:val="18"/>
        </w:rPr>
        <w:t>Directive</w:t>
      </w:r>
      <w:r>
        <w:rPr>
          <w:spacing w:val="-5"/>
          <w:sz w:val="18"/>
        </w:rPr>
        <w:t> </w:t>
      </w:r>
      <w:r>
        <w:rPr>
          <w:sz w:val="18"/>
        </w:rPr>
        <w:t>2012/29/EU,</w:t>
      </w:r>
      <w:r>
        <w:rPr>
          <w:spacing w:val="-5"/>
          <w:sz w:val="18"/>
        </w:rPr>
        <w:t> </w:t>
      </w:r>
      <w:r>
        <w:rPr>
          <w:sz w:val="18"/>
        </w:rPr>
        <w:t>‘EU</w:t>
      </w:r>
      <w:r>
        <w:rPr>
          <w:spacing w:val="-5"/>
          <w:sz w:val="18"/>
        </w:rPr>
        <w:t> </w:t>
      </w:r>
      <w:r>
        <w:rPr>
          <w:sz w:val="18"/>
        </w:rPr>
        <w:t>Parliament</w:t>
      </w:r>
      <w:r>
        <w:rPr>
          <w:spacing w:val="-5"/>
          <w:sz w:val="18"/>
        </w:rPr>
        <w:t> </w:t>
      </w:r>
      <w:r>
        <w:rPr>
          <w:sz w:val="18"/>
        </w:rPr>
        <w:t>and</w:t>
      </w:r>
      <w:r>
        <w:rPr>
          <w:spacing w:val="-6"/>
          <w:sz w:val="18"/>
        </w:rPr>
        <w:t> </w:t>
      </w:r>
      <w:r>
        <w:rPr>
          <w:sz w:val="18"/>
        </w:rPr>
        <w:t>Council</w:t>
      </w:r>
      <w:r>
        <w:rPr>
          <w:spacing w:val="-6"/>
          <w:sz w:val="18"/>
        </w:rPr>
        <w:t> </w:t>
      </w:r>
      <w:r>
        <w:rPr>
          <w:sz w:val="18"/>
        </w:rPr>
        <w:t>Directive</w:t>
      </w:r>
      <w:r>
        <w:rPr>
          <w:spacing w:val="-5"/>
          <w:sz w:val="18"/>
        </w:rPr>
        <w:t> </w:t>
      </w:r>
      <w:r>
        <w:rPr>
          <w:sz w:val="18"/>
        </w:rPr>
        <w:t>Establishing</w:t>
      </w:r>
      <w:r>
        <w:rPr>
          <w:spacing w:val="-5"/>
          <w:sz w:val="18"/>
        </w:rPr>
        <w:t> </w:t>
      </w:r>
      <w:r>
        <w:rPr>
          <w:sz w:val="18"/>
        </w:rPr>
        <w:t>Minimum</w:t>
      </w:r>
      <w:r>
        <w:rPr>
          <w:spacing w:val="-5"/>
          <w:sz w:val="18"/>
        </w:rPr>
        <w:t> </w:t>
      </w:r>
      <w:r>
        <w:rPr>
          <w:sz w:val="18"/>
        </w:rPr>
        <w:t>Standards</w:t>
      </w:r>
      <w:r>
        <w:rPr>
          <w:spacing w:val="-6"/>
          <w:sz w:val="18"/>
        </w:rPr>
        <w:t> </w:t>
      </w:r>
      <w:r>
        <w:rPr>
          <w:sz w:val="18"/>
        </w:rPr>
        <w:t>on</w:t>
      </w:r>
      <w:r>
        <w:rPr>
          <w:spacing w:val="-6"/>
          <w:sz w:val="18"/>
        </w:rPr>
        <w:t> </w:t>
      </w:r>
      <w:r>
        <w:rPr>
          <w:sz w:val="18"/>
        </w:rPr>
        <w:t>the</w:t>
      </w:r>
      <w:r>
        <w:rPr>
          <w:spacing w:val="-5"/>
          <w:sz w:val="18"/>
        </w:rPr>
        <w:t> </w:t>
      </w:r>
      <w:r>
        <w:rPr>
          <w:sz w:val="18"/>
        </w:rPr>
        <w:t>Rights, Support and Protection of Victims of Crime’, 25 October 2012.</w:t>
      </w:r>
    </w:p>
    <w:p>
      <w:pPr>
        <w:pStyle w:val="ListParagraph"/>
        <w:numPr>
          <w:ilvl w:val="0"/>
          <w:numId w:val="9"/>
        </w:numPr>
        <w:tabs>
          <w:tab w:pos="1853" w:val="left" w:leader="none"/>
        </w:tabs>
        <w:spacing w:line="235" w:lineRule="auto" w:before="2" w:after="0"/>
        <w:ind w:left="1853" w:right="1203" w:hanging="720"/>
        <w:jc w:val="left"/>
        <w:rPr>
          <w:sz w:val="18"/>
        </w:rPr>
      </w:pPr>
      <w:r>
        <w:rPr>
          <w:sz w:val="18"/>
        </w:rPr>
        <w:t>EU</w:t>
      </w:r>
      <w:r>
        <w:rPr>
          <w:spacing w:val="-4"/>
          <w:sz w:val="18"/>
        </w:rPr>
        <w:t> </w:t>
      </w:r>
      <w:r>
        <w:rPr>
          <w:sz w:val="18"/>
        </w:rPr>
        <w:t>Commission,</w:t>
      </w:r>
      <w:r>
        <w:rPr>
          <w:spacing w:val="-4"/>
          <w:sz w:val="18"/>
        </w:rPr>
        <w:t> </w:t>
      </w:r>
      <w:r>
        <w:rPr>
          <w:sz w:val="18"/>
        </w:rPr>
        <w:t>‘Proposal</w:t>
      </w:r>
      <w:r>
        <w:rPr>
          <w:spacing w:val="-5"/>
          <w:sz w:val="18"/>
        </w:rPr>
        <w:t> </w:t>
      </w:r>
      <w:r>
        <w:rPr>
          <w:sz w:val="18"/>
        </w:rPr>
        <w:t>for</w:t>
      </w:r>
      <w:r>
        <w:rPr>
          <w:spacing w:val="-4"/>
          <w:sz w:val="18"/>
        </w:rPr>
        <w:t> </w:t>
      </w:r>
      <w:r>
        <w:rPr>
          <w:sz w:val="18"/>
        </w:rPr>
        <w:t>a</w:t>
      </w:r>
      <w:r>
        <w:rPr>
          <w:spacing w:val="-5"/>
          <w:sz w:val="18"/>
        </w:rPr>
        <w:t> </w:t>
      </w:r>
      <w:r>
        <w:rPr>
          <w:sz w:val="18"/>
        </w:rPr>
        <w:t>Directive</w:t>
      </w:r>
      <w:r>
        <w:rPr>
          <w:spacing w:val="-4"/>
          <w:sz w:val="18"/>
        </w:rPr>
        <w:t> </w:t>
      </w:r>
      <w:r>
        <w:rPr>
          <w:sz w:val="18"/>
        </w:rPr>
        <w:t>on</w:t>
      </w:r>
      <w:r>
        <w:rPr>
          <w:spacing w:val="-5"/>
          <w:sz w:val="18"/>
        </w:rPr>
        <w:t> </w:t>
      </w:r>
      <w:r>
        <w:rPr>
          <w:sz w:val="18"/>
        </w:rPr>
        <w:t>combating</w:t>
      </w:r>
      <w:r>
        <w:rPr>
          <w:spacing w:val="-4"/>
          <w:sz w:val="18"/>
        </w:rPr>
        <w:t> </w:t>
      </w:r>
      <w:r>
        <w:rPr>
          <w:sz w:val="18"/>
        </w:rPr>
        <w:t>violence</w:t>
      </w:r>
      <w:r>
        <w:rPr>
          <w:spacing w:val="-4"/>
          <w:sz w:val="18"/>
        </w:rPr>
        <w:t> </w:t>
      </w:r>
      <w:r>
        <w:rPr>
          <w:sz w:val="18"/>
        </w:rPr>
        <w:t>against</w:t>
      </w:r>
      <w:r>
        <w:rPr>
          <w:spacing w:val="-4"/>
          <w:sz w:val="18"/>
        </w:rPr>
        <w:t> </w:t>
      </w:r>
      <w:r>
        <w:rPr>
          <w:sz w:val="18"/>
        </w:rPr>
        <w:t>women</w:t>
      </w:r>
      <w:r>
        <w:rPr>
          <w:spacing w:val="-5"/>
          <w:sz w:val="18"/>
        </w:rPr>
        <w:t> </w:t>
      </w:r>
      <w:r>
        <w:rPr>
          <w:sz w:val="18"/>
        </w:rPr>
        <w:t>and</w:t>
      </w:r>
      <w:r>
        <w:rPr>
          <w:spacing w:val="-5"/>
          <w:sz w:val="18"/>
        </w:rPr>
        <w:t> </w:t>
      </w:r>
      <w:r>
        <w:rPr>
          <w:sz w:val="18"/>
        </w:rPr>
        <w:t>domestic</w:t>
      </w:r>
      <w:r>
        <w:rPr>
          <w:spacing w:val="-4"/>
          <w:sz w:val="18"/>
        </w:rPr>
        <w:t> </w:t>
      </w:r>
      <w:r>
        <w:rPr>
          <w:sz w:val="18"/>
        </w:rPr>
        <w:t>violence</w:t>
      </w:r>
      <w:r>
        <w:rPr>
          <w:spacing w:val="-4"/>
          <w:sz w:val="18"/>
        </w:rPr>
        <w:t> </w:t>
      </w:r>
      <w:r>
        <w:rPr>
          <w:sz w:val="18"/>
        </w:rPr>
        <w:t>–</w:t>
      </w:r>
      <w:r>
        <w:rPr>
          <w:spacing w:val="-5"/>
          <w:sz w:val="18"/>
        </w:rPr>
        <w:t> </w:t>
      </w:r>
      <w:r>
        <w:rPr>
          <w:sz w:val="18"/>
        </w:rPr>
        <w:t>COM/2022/105’ (EU Commission, 2022).</w:t>
      </w:r>
    </w:p>
    <w:p>
      <w:pPr>
        <w:pStyle w:val="ListParagraph"/>
        <w:numPr>
          <w:ilvl w:val="0"/>
          <w:numId w:val="9"/>
        </w:numPr>
        <w:tabs>
          <w:tab w:pos="1853" w:val="left" w:leader="none"/>
        </w:tabs>
        <w:spacing w:line="235" w:lineRule="auto" w:before="1" w:after="0"/>
        <w:ind w:left="1853" w:right="1203" w:hanging="720"/>
        <w:jc w:val="left"/>
        <w:rPr>
          <w:sz w:val="18"/>
        </w:rPr>
      </w:pPr>
      <w:r>
        <w:rPr>
          <w:sz w:val="18"/>
        </w:rPr>
        <w:t>EU</w:t>
      </w:r>
      <w:r>
        <w:rPr>
          <w:spacing w:val="-4"/>
          <w:sz w:val="18"/>
        </w:rPr>
        <w:t> </w:t>
      </w:r>
      <w:r>
        <w:rPr>
          <w:sz w:val="18"/>
        </w:rPr>
        <w:t>Commission,</w:t>
      </w:r>
      <w:r>
        <w:rPr>
          <w:spacing w:val="-4"/>
          <w:sz w:val="18"/>
        </w:rPr>
        <w:t> </w:t>
      </w:r>
      <w:r>
        <w:rPr>
          <w:sz w:val="18"/>
        </w:rPr>
        <w:t>‘Proposal</w:t>
      </w:r>
      <w:r>
        <w:rPr>
          <w:spacing w:val="-5"/>
          <w:sz w:val="18"/>
        </w:rPr>
        <w:t> </w:t>
      </w:r>
      <w:r>
        <w:rPr>
          <w:sz w:val="18"/>
        </w:rPr>
        <w:t>for</w:t>
      </w:r>
      <w:r>
        <w:rPr>
          <w:spacing w:val="-4"/>
          <w:sz w:val="18"/>
        </w:rPr>
        <w:t> </w:t>
      </w:r>
      <w:r>
        <w:rPr>
          <w:sz w:val="18"/>
        </w:rPr>
        <w:t>a</w:t>
      </w:r>
      <w:r>
        <w:rPr>
          <w:spacing w:val="-5"/>
          <w:sz w:val="18"/>
        </w:rPr>
        <w:t> </w:t>
      </w:r>
      <w:r>
        <w:rPr>
          <w:sz w:val="18"/>
        </w:rPr>
        <w:t>Directive</w:t>
      </w:r>
      <w:r>
        <w:rPr>
          <w:spacing w:val="-4"/>
          <w:sz w:val="18"/>
        </w:rPr>
        <w:t> </w:t>
      </w:r>
      <w:r>
        <w:rPr>
          <w:sz w:val="18"/>
        </w:rPr>
        <w:t>on</w:t>
      </w:r>
      <w:r>
        <w:rPr>
          <w:spacing w:val="-5"/>
          <w:sz w:val="18"/>
        </w:rPr>
        <w:t> </w:t>
      </w:r>
      <w:r>
        <w:rPr>
          <w:sz w:val="18"/>
        </w:rPr>
        <w:t>combating</w:t>
      </w:r>
      <w:r>
        <w:rPr>
          <w:spacing w:val="-4"/>
          <w:sz w:val="18"/>
        </w:rPr>
        <w:t> </w:t>
      </w:r>
      <w:r>
        <w:rPr>
          <w:sz w:val="18"/>
        </w:rPr>
        <w:t>violence</w:t>
      </w:r>
      <w:r>
        <w:rPr>
          <w:spacing w:val="-4"/>
          <w:sz w:val="18"/>
        </w:rPr>
        <w:t> </w:t>
      </w:r>
      <w:r>
        <w:rPr>
          <w:sz w:val="18"/>
        </w:rPr>
        <w:t>against</w:t>
      </w:r>
      <w:r>
        <w:rPr>
          <w:spacing w:val="-4"/>
          <w:sz w:val="18"/>
        </w:rPr>
        <w:t> </w:t>
      </w:r>
      <w:r>
        <w:rPr>
          <w:sz w:val="18"/>
        </w:rPr>
        <w:t>women</w:t>
      </w:r>
      <w:r>
        <w:rPr>
          <w:spacing w:val="-5"/>
          <w:sz w:val="18"/>
        </w:rPr>
        <w:t> </w:t>
      </w:r>
      <w:r>
        <w:rPr>
          <w:sz w:val="18"/>
        </w:rPr>
        <w:t>and</w:t>
      </w:r>
      <w:r>
        <w:rPr>
          <w:spacing w:val="-5"/>
          <w:sz w:val="18"/>
        </w:rPr>
        <w:t> </w:t>
      </w:r>
      <w:r>
        <w:rPr>
          <w:sz w:val="18"/>
        </w:rPr>
        <w:t>domestic</w:t>
      </w:r>
      <w:r>
        <w:rPr>
          <w:spacing w:val="-4"/>
          <w:sz w:val="18"/>
        </w:rPr>
        <w:t> </w:t>
      </w:r>
      <w:r>
        <w:rPr>
          <w:sz w:val="18"/>
        </w:rPr>
        <w:t>violence</w:t>
      </w:r>
      <w:r>
        <w:rPr>
          <w:spacing w:val="-4"/>
          <w:sz w:val="18"/>
        </w:rPr>
        <w:t> </w:t>
      </w:r>
      <w:r>
        <w:rPr>
          <w:sz w:val="18"/>
        </w:rPr>
        <w:t>–</w:t>
      </w:r>
      <w:r>
        <w:rPr>
          <w:spacing w:val="-5"/>
          <w:sz w:val="18"/>
        </w:rPr>
        <w:t> </w:t>
      </w:r>
      <w:r>
        <w:rPr>
          <w:sz w:val="18"/>
        </w:rPr>
        <w:t>COM/2022/105’ (EU Commission, 2022).</w:t>
      </w:r>
    </w:p>
    <w:p>
      <w:pPr>
        <w:pStyle w:val="ListParagraph"/>
        <w:numPr>
          <w:ilvl w:val="0"/>
          <w:numId w:val="9"/>
        </w:numPr>
        <w:tabs>
          <w:tab w:pos="1853" w:val="left" w:leader="none"/>
        </w:tabs>
        <w:spacing w:line="235" w:lineRule="auto" w:before="1" w:after="0"/>
        <w:ind w:left="1853" w:right="1191" w:hanging="720"/>
        <w:jc w:val="left"/>
        <w:rPr>
          <w:sz w:val="18"/>
        </w:rPr>
      </w:pPr>
      <w:r>
        <w:rPr>
          <w:sz w:val="18"/>
        </w:rPr>
        <w:t>Equality</w:t>
      </w:r>
      <w:r>
        <w:rPr>
          <w:spacing w:val="-5"/>
          <w:sz w:val="18"/>
        </w:rPr>
        <w:t> </w:t>
      </w:r>
      <w:r>
        <w:rPr>
          <w:sz w:val="18"/>
        </w:rPr>
        <w:t>Commission</w:t>
      </w:r>
      <w:r>
        <w:rPr>
          <w:spacing w:val="-6"/>
          <w:sz w:val="18"/>
        </w:rPr>
        <w:t> </w:t>
      </w:r>
      <w:r>
        <w:rPr>
          <w:sz w:val="18"/>
        </w:rPr>
        <w:t>for</w:t>
      </w:r>
      <w:r>
        <w:rPr>
          <w:spacing w:val="-5"/>
          <w:sz w:val="18"/>
        </w:rPr>
        <w:t> </w:t>
      </w:r>
      <w:r>
        <w:rPr>
          <w:sz w:val="18"/>
        </w:rPr>
        <w:t>NI,</w:t>
      </w:r>
      <w:r>
        <w:rPr>
          <w:spacing w:val="-5"/>
          <w:sz w:val="18"/>
        </w:rPr>
        <w:t> </w:t>
      </w:r>
      <w:r>
        <w:rPr>
          <w:sz w:val="18"/>
        </w:rPr>
        <w:t>‘</w:t>
      </w:r>
      <w:hyperlink r:id="rId150">
        <w:r>
          <w:rPr>
            <w:sz w:val="18"/>
          </w:rPr>
          <w:t>Response</w:t>
        </w:r>
        <w:r>
          <w:rPr>
            <w:spacing w:val="-5"/>
            <w:sz w:val="18"/>
          </w:rPr>
          <w:t> </w:t>
        </w:r>
        <w:r>
          <w:rPr>
            <w:sz w:val="18"/>
          </w:rPr>
          <w:t>to</w:t>
        </w:r>
        <w:r>
          <w:rPr>
            <w:spacing w:val="-6"/>
            <w:sz w:val="18"/>
          </w:rPr>
          <w:t> </w:t>
        </w:r>
        <w:r>
          <w:rPr>
            <w:sz w:val="18"/>
          </w:rPr>
          <w:t>consultation:</w:t>
        </w:r>
        <w:r>
          <w:rPr>
            <w:spacing w:val="-5"/>
            <w:sz w:val="18"/>
          </w:rPr>
          <w:t> </w:t>
        </w:r>
        <w:r>
          <w:rPr>
            <w:sz w:val="18"/>
          </w:rPr>
          <w:t>European</w:t>
        </w:r>
        <w:r>
          <w:rPr>
            <w:spacing w:val="-6"/>
            <w:sz w:val="18"/>
          </w:rPr>
          <w:t> </w:t>
        </w:r>
        <w:r>
          <w:rPr>
            <w:sz w:val="18"/>
          </w:rPr>
          <w:t>Commission</w:t>
        </w:r>
        <w:r>
          <w:rPr>
            <w:spacing w:val="-6"/>
            <w:sz w:val="18"/>
          </w:rPr>
          <w:t> </w:t>
        </w:r>
        <w:r>
          <w:rPr>
            <w:sz w:val="18"/>
          </w:rPr>
          <w:t>–</w:t>
        </w:r>
        <w:r>
          <w:rPr>
            <w:spacing w:val="-6"/>
            <w:sz w:val="18"/>
          </w:rPr>
          <w:t> </w:t>
        </w:r>
        <w:r>
          <w:rPr>
            <w:sz w:val="18"/>
          </w:rPr>
          <w:t>Combatting</w:t>
        </w:r>
        <w:r>
          <w:rPr>
            <w:spacing w:val="-5"/>
            <w:sz w:val="18"/>
          </w:rPr>
          <w:t> </w:t>
        </w:r>
        <w:r>
          <w:rPr>
            <w:sz w:val="18"/>
          </w:rPr>
          <w:t>Violence</w:t>
        </w:r>
        <w:r>
          <w:rPr>
            <w:spacing w:val="-5"/>
            <w:sz w:val="18"/>
          </w:rPr>
          <w:t> </w:t>
        </w:r>
        <w:r>
          <w:rPr>
            <w:sz w:val="18"/>
          </w:rPr>
          <w:t>Against</w:t>
        </w:r>
        <w:r>
          <w:rPr>
            <w:spacing w:val="-5"/>
            <w:sz w:val="18"/>
          </w:rPr>
          <w:t> </w:t>
        </w:r>
        <w:r>
          <w:rPr>
            <w:sz w:val="18"/>
          </w:rPr>
          <w:t>Women</w:t>
        </w:r>
        <w:r>
          <w:rPr>
            <w:spacing w:val="-6"/>
            <w:sz w:val="18"/>
          </w:rPr>
          <w:t> </w:t>
        </w:r>
        <w:r>
          <w:rPr>
            <w:sz w:val="18"/>
          </w:rPr>
          <w:t>and</w:t>
        </w:r>
      </w:hyperlink>
      <w:r>
        <w:rPr>
          <w:sz w:val="18"/>
        </w:rPr>
        <w:t> </w:t>
      </w:r>
      <w:hyperlink r:id="rId150">
        <w:r>
          <w:rPr>
            <w:sz w:val="18"/>
          </w:rPr>
          <w:t>Domestic Violence Directive</w:t>
        </w:r>
      </w:hyperlink>
      <w:r>
        <w:rPr>
          <w:sz w:val="18"/>
        </w:rPr>
        <w:t>’ (ECNI, 2022).</w:t>
      </w:r>
    </w:p>
    <w:p>
      <w:pPr>
        <w:pStyle w:val="ListParagraph"/>
        <w:numPr>
          <w:ilvl w:val="0"/>
          <w:numId w:val="9"/>
        </w:numPr>
        <w:tabs>
          <w:tab w:pos="1853" w:val="left" w:leader="none"/>
        </w:tabs>
        <w:spacing w:line="235" w:lineRule="auto" w:before="2" w:after="0"/>
        <w:ind w:left="1853" w:right="1303" w:hanging="720"/>
        <w:jc w:val="left"/>
        <w:rPr>
          <w:sz w:val="18"/>
        </w:rPr>
      </w:pPr>
      <w:r>
        <w:rPr>
          <w:sz w:val="18"/>
        </w:rPr>
        <w:t>Department</w:t>
      </w:r>
      <w:r>
        <w:rPr>
          <w:spacing w:val="-4"/>
          <w:sz w:val="18"/>
        </w:rPr>
        <w:t> </w:t>
      </w:r>
      <w:r>
        <w:rPr>
          <w:sz w:val="18"/>
        </w:rPr>
        <w:t>of</w:t>
      </w:r>
      <w:r>
        <w:rPr>
          <w:spacing w:val="-5"/>
          <w:sz w:val="18"/>
        </w:rPr>
        <w:t> </w:t>
      </w:r>
      <w:r>
        <w:rPr>
          <w:sz w:val="18"/>
        </w:rPr>
        <w:t>Health</w:t>
      </w:r>
      <w:r>
        <w:rPr>
          <w:spacing w:val="-5"/>
          <w:sz w:val="18"/>
        </w:rPr>
        <w:t> </w:t>
      </w:r>
      <w:r>
        <w:rPr>
          <w:sz w:val="18"/>
        </w:rPr>
        <w:t>and</w:t>
      </w:r>
      <w:r>
        <w:rPr>
          <w:spacing w:val="-5"/>
          <w:sz w:val="18"/>
        </w:rPr>
        <w:t> </w:t>
      </w:r>
      <w:r>
        <w:rPr>
          <w:sz w:val="18"/>
        </w:rPr>
        <w:t>Department</w:t>
      </w:r>
      <w:r>
        <w:rPr>
          <w:spacing w:val="-4"/>
          <w:sz w:val="18"/>
        </w:rPr>
        <w:t> </w:t>
      </w:r>
      <w:r>
        <w:rPr>
          <w:sz w:val="18"/>
        </w:rPr>
        <w:t>of</w:t>
      </w:r>
      <w:r>
        <w:rPr>
          <w:spacing w:val="-5"/>
          <w:sz w:val="18"/>
        </w:rPr>
        <w:t> </w:t>
      </w:r>
      <w:r>
        <w:rPr>
          <w:sz w:val="18"/>
        </w:rPr>
        <w:t>Justice,</w:t>
      </w:r>
      <w:r>
        <w:rPr>
          <w:spacing w:val="-4"/>
          <w:sz w:val="18"/>
        </w:rPr>
        <w:t> </w:t>
      </w:r>
      <w:r>
        <w:rPr>
          <w:sz w:val="18"/>
        </w:rPr>
        <w:t>‘Draft</w:t>
      </w:r>
      <w:r>
        <w:rPr>
          <w:spacing w:val="-4"/>
          <w:sz w:val="18"/>
        </w:rPr>
        <w:t> </w:t>
      </w:r>
      <w:r>
        <w:rPr>
          <w:sz w:val="18"/>
        </w:rPr>
        <w:t>Domestic</w:t>
      </w:r>
      <w:r>
        <w:rPr>
          <w:spacing w:val="-4"/>
          <w:sz w:val="18"/>
        </w:rPr>
        <w:t> </w:t>
      </w:r>
      <w:r>
        <w:rPr>
          <w:sz w:val="18"/>
        </w:rPr>
        <w:t>and</w:t>
      </w:r>
      <w:r>
        <w:rPr>
          <w:spacing w:val="-5"/>
          <w:sz w:val="18"/>
        </w:rPr>
        <w:t> </w:t>
      </w:r>
      <w:r>
        <w:rPr>
          <w:sz w:val="18"/>
        </w:rPr>
        <w:t>Sexual</w:t>
      </w:r>
      <w:r>
        <w:rPr>
          <w:spacing w:val="-5"/>
          <w:sz w:val="18"/>
        </w:rPr>
        <w:t> </w:t>
      </w:r>
      <w:r>
        <w:rPr>
          <w:sz w:val="18"/>
        </w:rPr>
        <w:t>Abuse</w:t>
      </w:r>
      <w:r>
        <w:rPr>
          <w:spacing w:val="-4"/>
          <w:sz w:val="18"/>
        </w:rPr>
        <w:t> </w:t>
      </w:r>
      <w:r>
        <w:rPr>
          <w:sz w:val="18"/>
        </w:rPr>
        <w:t>Strategy:</w:t>
      </w:r>
      <w:r>
        <w:rPr>
          <w:spacing w:val="-4"/>
          <w:sz w:val="18"/>
        </w:rPr>
        <w:t> </w:t>
      </w:r>
      <w:r>
        <w:rPr>
          <w:sz w:val="18"/>
        </w:rPr>
        <w:t>2023-2030’</w:t>
      </w:r>
      <w:r>
        <w:rPr>
          <w:spacing w:val="-4"/>
          <w:sz w:val="18"/>
        </w:rPr>
        <w:t> </w:t>
      </w:r>
      <w:r>
        <w:rPr>
          <w:sz w:val="18"/>
        </w:rPr>
        <w:t>(DoH</w:t>
      </w:r>
      <w:r>
        <w:rPr>
          <w:spacing w:val="-5"/>
          <w:sz w:val="18"/>
        </w:rPr>
        <w:t> </w:t>
      </w:r>
      <w:r>
        <w:rPr>
          <w:sz w:val="18"/>
        </w:rPr>
        <w:t>and</w:t>
      </w:r>
      <w:r>
        <w:rPr>
          <w:spacing w:val="-5"/>
          <w:sz w:val="18"/>
        </w:rPr>
        <w:t> </w:t>
      </w:r>
      <w:r>
        <w:rPr>
          <w:sz w:val="18"/>
        </w:rPr>
        <w:t>DoJ, </w:t>
      </w:r>
      <w:r>
        <w:rPr>
          <w:spacing w:val="-2"/>
          <w:sz w:val="18"/>
        </w:rPr>
        <w:t>2023).</w:t>
      </w:r>
    </w:p>
    <w:p>
      <w:pPr>
        <w:pStyle w:val="ListParagraph"/>
        <w:numPr>
          <w:ilvl w:val="0"/>
          <w:numId w:val="9"/>
        </w:numPr>
        <w:tabs>
          <w:tab w:pos="1853" w:val="left" w:leader="none"/>
        </w:tabs>
        <w:spacing w:line="235" w:lineRule="auto" w:before="1" w:after="0"/>
        <w:ind w:left="1853" w:right="1303" w:hanging="720"/>
        <w:jc w:val="left"/>
        <w:rPr>
          <w:sz w:val="18"/>
        </w:rPr>
      </w:pPr>
      <w:r>
        <w:rPr>
          <w:sz w:val="18"/>
        </w:rPr>
        <w:t>Directive</w:t>
      </w:r>
      <w:r>
        <w:rPr>
          <w:spacing w:val="-4"/>
          <w:sz w:val="18"/>
        </w:rPr>
        <w:t> </w:t>
      </w:r>
      <w:r>
        <w:rPr>
          <w:sz w:val="18"/>
        </w:rPr>
        <w:t>2012/29/EU,</w:t>
      </w:r>
      <w:r>
        <w:rPr>
          <w:spacing w:val="-4"/>
          <w:sz w:val="18"/>
        </w:rPr>
        <w:t> </w:t>
      </w:r>
      <w:r>
        <w:rPr>
          <w:sz w:val="18"/>
        </w:rPr>
        <w:t>‘EU</w:t>
      </w:r>
      <w:r>
        <w:rPr>
          <w:spacing w:val="-4"/>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Directive</w:t>
      </w:r>
      <w:r>
        <w:rPr>
          <w:spacing w:val="-4"/>
          <w:sz w:val="18"/>
        </w:rPr>
        <w:t> </w:t>
      </w:r>
      <w:r>
        <w:rPr>
          <w:sz w:val="18"/>
        </w:rPr>
        <w:t>Establishing</w:t>
      </w:r>
      <w:r>
        <w:rPr>
          <w:spacing w:val="-4"/>
          <w:sz w:val="18"/>
        </w:rPr>
        <w:t> </w:t>
      </w:r>
      <w:r>
        <w:rPr>
          <w:sz w:val="18"/>
        </w:rPr>
        <w:t>Minimum</w:t>
      </w:r>
      <w:r>
        <w:rPr>
          <w:spacing w:val="-4"/>
          <w:sz w:val="18"/>
        </w:rPr>
        <w:t> </w:t>
      </w:r>
      <w:r>
        <w:rPr>
          <w:sz w:val="18"/>
        </w:rPr>
        <w:t>Standards</w:t>
      </w:r>
      <w:r>
        <w:rPr>
          <w:spacing w:val="-5"/>
          <w:sz w:val="18"/>
        </w:rPr>
        <w:t> </w:t>
      </w:r>
      <w:r>
        <w:rPr>
          <w:sz w:val="18"/>
        </w:rPr>
        <w:t>on</w:t>
      </w:r>
      <w:r>
        <w:rPr>
          <w:spacing w:val="-5"/>
          <w:sz w:val="18"/>
        </w:rPr>
        <w:t> </w:t>
      </w:r>
      <w:r>
        <w:rPr>
          <w:sz w:val="18"/>
        </w:rPr>
        <w:t>the</w:t>
      </w:r>
      <w:r>
        <w:rPr>
          <w:spacing w:val="-4"/>
          <w:sz w:val="18"/>
        </w:rPr>
        <w:t> </w:t>
      </w:r>
      <w:r>
        <w:rPr>
          <w:sz w:val="18"/>
        </w:rPr>
        <w:t>Rights,</w:t>
      </w:r>
      <w:r>
        <w:rPr>
          <w:spacing w:val="-4"/>
          <w:sz w:val="18"/>
        </w:rPr>
        <w:t> </w:t>
      </w:r>
      <w:r>
        <w:rPr>
          <w:sz w:val="18"/>
        </w:rPr>
        <w:t>Support</w:t>
      </w:r>
      <w:r>
        <w:rPr>
          <w:spacing w:val="-4"/>
          <w:sz w:val="18"/>
        </w:rPr>
        <w:t> </w:t>
      </w:r>
      <w:r>
        <w:rPr>
          <w:sz w:val="18"/>
        </w:rPr>
        <w:t>and Protection of Victims of Crime’, 25 October 2012.</w:t>
      </w:r>
    </w:p>
    <w:p>
      <w:pPr>
        <w:pStyle w:val="ListParagraph"/>
        <w:numPr>
          <w:ilvl w:val="0"/>
          <w:numId w:val="9"/>
        </w:numPr>
        <w:tabs>
          <w:tab w:pos="1853" w:val="left" w:leader="none"/>
        </w:tabs>
        <w:spacing w:line="218" w:lineRule="exact" w:before="0" w:after="0"/>
        <w:ind w:left="1853" w:right="0" w:hanging="720"/>
        <w:jc w:val="left"/>
        <w:rPr>
          <w:sz w:val="18"/>
        </w:rPr>
      </w:pPr>
      <w:r>
        <w:rPr>
          <w:spacing w:val="-4"/>
          <w:sz w:val="18"/>
        </w:rPr>
        <w:t>NI</w:t>
      </w:r>
      <w:r>
        <w:rPr>
          <w:spacing w:val="1"/>
          <w:sz w:val="18"/>
        </w:rPr>
        <w:t> </w:t>
      </w:r>
      <w:r>
        <w:rPr>
          <w:spacing w:val="-4"/>
          <w:sz w:val="18"/>
        </w:rPr>
        <w:t>Human</w:t>
      </w:r>
      <w:r>
        <w:rPr>
          <w:spacing w:val="1"/>
          <w:sz w:val="18"/>
        </w:rPr>
        <w:t> </w:t>
      </w:r>
      <w:r>
        <w:rPr>
          <w:spacing w:val="-4"/>
          <w:sz w:val="18"/>
        </w:rPr>
        <w:t>Rights</w:t>
      </w:r>
      <w:r>
        <w:rPr>
          <w:spacing w:val="1"/>
          <w:sz w:val="18"/>
        </w:rPr>
        <w:t> </w:t>
      </w:r>
      <w:r>
        <w:rPr>
          <w:spacing w:val="-4"/>
          <w:sz w:val="18"/>
        </w:rPr>
        <w:t>Commission,</w:t>
      </w:r>
      <w:r>
        <w:rPr>
          <w:spacing w:val="1"/>
          <w:sz w:val="18"/>
        </w:rPr>
        <w:t> </w:t>
      </w:r>
      <w:r>
        <w:rPr>
          <w:spacing w:val="-4"/>
          <w:sz w:val="18"/>
        </w:rPr>
        <w:t>‘Consultation</w:t>
      </w:r>
      <w:r>
        <w:rPr>
          <w:spacing w:val="1"/>
          <w:sz w:val="18"/>
        </w:rPr>
        <w:t> </w:t>
      </w:r>
      <w:r>
        <w:rPr>
          <w:spacing w:val="-4"/>
          <w:sz w:val="18"/>
        </w:rPr>
        <w:t>Response</w:t>
      </w:r>
      <w:r>
        <w:rPr>
          <w:spacing w:val="1"/>
          <w:sz w:val="18"/>
        </w:rPr>
        <w:t> </w:t>
      </w:r>
      <w:r>
        <w:rPr>
          <w:spacing w:val="-4"/>
          <w:sz w:val="18"/>
        </w:rPr>
        <w:t>to</w:t>
      </w:r>
      <w:r>
        <w:rPr>
          <w:spacing w:val="1"/>
          <w:sz w:val="18"/>
        </w:rPr>
        <w:t> </w:t>
      </w:r>
      <w:r>
        <w:rPr>
          <w:spacing w:val="-4"/>
          <w:sz w:val="18"/>
        </w:rPr>
        <w:t>the</w:t>
      </w:r>
      <w:r>
        <w:rPr>
          <w:spacing w:val="1"/>
          <w:sz w:val="18"/>
        </w:rPr>
        <w:t> </w:t>
      </w:r>
      <w:r>
        <w:rPr>
          <w:spacing w:val="-4"/>
          <w:sz w:val="18"/>
        </w:rPr>
        <w:t>Draft</w:t>
      </w:r>
      <w:r>
        <w:rPr>
          <w:spacing w:val="1"/>
          <w:sz w:val="18"/>
        </w:rPr>
        <w:t> </w:t>
      </w:r>
      <w:r>
        <w:rPr>
          <w:spacing w:val="-4"/>
          <w:sz w:val="18"/>
        </w:rPr>
        <w:t>Domestic</w:t>
      </w:r>
      <w:r>
        <w:rPr>
          <w:spacing w:val="1"/>
          <w:sz w:val="18"/>
        </w:rPr>
        <w:t> </w:t>
      </w:r>
      <w:r>
        <w:rPr>
          <w:spacing w:val="-4"/>
          <w:sz w:val="18"/>
        </w:rPr>
        <w:t>and</w:t>
      </w:r>
      <w:r>
        <w:rPr>
          <w:spacing w:val="1"/>
          <w:sz w:val="18"/>
        </w:rPr>
        <w:t> </w:t>
      </w:r>
      <w:r>
        <w:rPr>
          <w:spacing w:val="-4"/>
          <w:sz w:val="18"/>
        </w:rPr>
        <w:t>Sexual</w:t>
      </w:r>
      <w:r>
        <w:rPr>
          <w:spacing w:val="1"/>
          <w:sz w:val="18"/>
        </w:rPr>
        <w:t> </w:t>
      </w:r>
      <w:r>
        <w:rPr>
          <w:spacing w:val="-4"/>
          <w:sz w:val="18"/>
        </w:rPr>
        <w:t>Abuse</w:t>
      </w:r>
      <w:r>
        <w:rPr>
          <w:spacing w:val="1"/>
          <w:sz w:val="18"/>
        </w:rPr>
        <w:t> </w:t>
      </w:r>
      <w:r>
        <w:rPr>
          <w:spacing w:val="-4"/>
          <w:sz w:val="18"/>
        </w:rPr>
        <w:t>Strategy’</w:t>
      </w:r>
      <w:r>
        <w:rPr>
          <w:spacing w:val="1"/>
          <w:sz w:val="18"/>
        </w:rPr>
        <w:t> </w:t>
      </w:r>
      <w:r>
        <w:rPr>
          <w:spacing w:val="-4"/>
          <w:sz w:val="18"/>
        </w:rPr>
        <w:t>(NIHRC,</w:t>
      </w:r>
      <w:r>
        <w:rPr>
          <w:spacing w:val="1"/>
          <w:sz w:val="18"/>
        </w:rPr>
        <w:t> </w:t>
      </w:r>
      <w:r>
        <w:rPr>
          <w:spacing w:val="-4"/>
          <w:sz w:val="18"/>
        </w:rPr>
        <w:t>2023),</w:t>
      </w:r>
      <w:r>
        <w:rPr>
          <w:spacing w:val="1"/>
          <w:sz w:val="18"/>
        </w:rPr>
        <w:t> </w:t>
      </w:r>
      <w:r>
        <w:rPr>
          <w:spacing w:val="-4"/>
          <w:sz w:val="18"/>
        </w:rPr>
        <w:t>at</w:t>
      </w:r>
      <w:r>
        <w:rPr>
          <w:spacing w:val="1"/>
          <w:sz w:val="18"/>
        </w:rPr>
        <w:t> </w:t>
      </w:r>
      <w:r>
        <w:rPr>
          <w:spacing w:val="-5"/>
          <w:sz w:val="18"/>
        </w:rPr>
        <w:t>11.</w:t>
      </w:r>
    </w:p>
    <w:p>
      <w:pPr>
        <w:spacing w:after="0" w:line="218" w:lineRule="exact"/>
        <w:jc w:val="left"/>
        <w:rPr>
          <w:sz w:val="18"/>
        </w:rPr>
        <w:sectPr>
          <w:pgSz w:w="11910" w:h="16840"/>
          <w:pgMar w:header="496" w:footer="367" w:top="1220" w:bottom="560" w:left="0" w:right="0"/>
        </w:sectPr>
      </w:pPr>
    </w:p>
    <w:p>
      <w:pPr>
        <w:pStyle w:val="BodyText"/>
        <w:spacing w:before="198"/>
      </w:pPr>
    </w:p>
    <w:p>
      <w:pPr>
        <w:pStyle w:val="ListParagraph"/>
        <w:numPr>
          <w:ilvl w:val="1"/>
          <w:numId w:val="7"/>
        </w:numPr>
        <w:tabs>
          <w:tab w:pos="1853" w:val="left" w:leader="none"/>
        </w:tabs>
        <w:spacing w:line="225" w:lineRule="auto" w:before="0" w:after="0"/>
        <w:ind w:left="1853" w:right="1420" w:hanging="720"/>
        <w:jc w:val="left"/>
        <w:rPr>
          <w:sz w:val="28"/>
        </w:rPr>
      </w:pPr>
      <w:r>
        <w:rPr>
          <w:sz w:val="28"/>
        </w:rPr>
        <w:t>The EU Victims’ Directive recognises that women are disproportionately impacted by domestic abuse, and recognises it as a form of gender-based violence</w:t>
      </w:r>
      <w:r>
        <w:rPr>
          <w:spacing w:val="-4"/>
          <w:sz w:val="28"/>
        </w:rPr>
        <w:t> </w:t>
      </w:r>
      <w:r>
        <w:rPr>
          <w:sz w:val="28"/>
        </w:rPr>
        <w:t>and</w:t>
      </w:r>
      <w:r>
        <w:rPr>
          <w:spacing w:val="-5"/>
          <w:sz w:val="28"/>
        </w:rPr>
        <w:t> </w:t>
      </w:r>
      <w:r>
        <w:rPr>
          <w:sz w:val="28"/>
        </w:rPr>
        <w:t>the</w:t>
      </w:r>
      <w:r>
        <w:rPr>
          <w:spacing w:val="-4"/>
          <w:sz w:val="28"/>
        </w:rPr>
        <w:t> </w:t>
      </w:r>
      <w:r>
        <w:rPr>
          <w:sz w:val="28"/>
        </w:rPr>
        <w:t>particular</w:t>
      </w:r>
      <w:r>
        <w:rPr>
          <w:spacing w:val="-4"/>
          <w:sz w:val="28"/>
        </w:rPr>
        <w:t> </w:t>
      </w:r>
      <w:r>
        <w:rPr>
          <w:sz w:val="28"/>
        </w:rPr>
        <w:t>psychological</w:t>
      </w:r>
      <w:r>
        <w:rPr>
          <w:spacing w:val="-5"/>
          <w:sz w:val="28"/>
        </w:rPr>
        <w:t> </w:t>
      </w:r>
      <w:r>
        <w:rPr>
          <w:sz w:val="28"/>
        </w:rPr>
        <w:t>and</w:t>
      </w:r>
      <w:r>
        <w:rPr>
          <w:spacing w:val="-5"/>
          <w:sz w:val="28"/>
        </w:rPr>
        <w:t> </w:t>
      </w:r>
      <w:r>
        <w:rPr>
          <w:sz w:val="28"/>
        </w:rPr>
        <w:t>physical</w:t>
      </w:r>
      <w:r>
        <w:rPr>
          <w:spacing w:val="-5"/>
          <w:sz w:val="28"/>
        </w:rPr>
        <w:t> </w:t>
      </w:r>
      <w:r>
        <w:rPr>
          <w:sz w:val="28"/>
        </w:rPr>
        <w:t>trauma</w:t>
      </w:r>
      <w:r>
        <w:rPr>
          <w:spacing w:val="-5"/>
          <w:sz w:val="28"/>
        </w:rPr>
        <w:t> </w:t>
      </w:r>
      <w:r>
        <w:rPr>
          <w:sz w:val="28"/>
        </w:rPr>
        <w:t>caused</w:t>
      </w:r>
      <w:r>
        <w:rPr>
          <w:spacing w:val="-5"/>
          <w:sz w:val="28"/>
        </w:rPr>
        <w:t> </w:t>
      </w:r>
      <w:r>
        <w:rPr>
          <w:sz w:val="28"/>
        </w:rPr>
        <w:t>where physical, sexual, psychological or economic violence is committed in a close relationship.</w:t>
      </w:r>
      <w:r>
        <w:rPr>
          <w:sz w:val="28"/>
          <w:vertAlign w:val="superscript"/>
        </w:rPr>
        <w:t>398</w:t>
      </w:r>
      <w:r>
        <w:rPr>
          <w:spacing w:val="-12"/>
          <w:sz w:val="28"/>
          <w:vertAlign w:val="baseline"/>
        </w:rPr>
        <w:t> </w:t>
      </w:r>
      <w:r>
        <w:rPr>
          <w:sz w:val="28"/>
          <w:vertAlign w:val="baseline"/>
        </w:rPr>
        <w:t>The</w:t>
      </w:r>
      <w:r>
        <w:rPr>
          <w:spacing w:val="-11"/>
          <w:sz w:val="28"/>
          <w:vertAlign w:val="baseline"/>
        </w:rPr>
        <w:t> </w:t>
      </w:r>
      <w:r>
        <w:rPr>
          <w:sz w:val="28"/>
          <w:vertAlign w:val="baseline"/>
        </w:rPr>
        <w:t>Directive</w:t>
      </w:r>
      <w:r>
        <w:rPr>
          <w:spacing w:val="-11"/>
          <w:sz w:val="28"/>
          <w:vertAlign w:val="baseline"/>
        </w:rPr>
        <w:t> </w:t>
      </w:r>
      <w:r>
        <w:rPr>
          <w:sz w:val="28"/>
          <w:vertAlign w:val="baseline"/>
        </w:rPr>
        <w:t>requires</w:t>
      </w:r>
      <w:r>
        <w:rPr>
          <w:spacing w:val="-12"/>
          <w:sz w:val="28"/>
          <w:vertAlign w:val="baseline"/>
        </w:rPr>
        <w:t> </w:t>
      </w:r>
      <w:r>
        <w:rPr>
          <w:sz w:val="28"/>
          <w:vertAlign w:val="baseline"/>
        </w:rPr>
        <w:t>Member</w:t>
      </w:r>
      <w:r>
        <w:rPr>
          <w:spacing w:val="-11"/>
          <w:sz w:val="28"/>
          <w:vertAlign w:val="baseline"/>
        </w:rPr>
        <w:t> </w:t>
      </w:r>
      <w:r>
        <w:rPr>
          <w:sz w:val="28"/>
          <w:vertAlign w:val="baseline"/>
        </w:rPr>
        <w:t>States</w:t>
      </w:r>
      <w:r>
        <w:rPr>
          <w:spacing w:val="-12"/>
          <w:sz w:val="28"/>
          <w:vertAlign w:val="baseline"/>
        </w:rPr>
        <w:t> </w:t>
      </w:r>
      <w:r>
        <w:rPr>
          <w:sz w:val="28"/>
          <w:vertAlign w:val="baseline"/>
        </w:rPr>
        <w:t>to</w:t>
      </w:r>
      <w:r>
        <w:rPr>
          <w:spacing w:val="-12"/>
          <w:sz w:val="28"/>
          <w:vertAlign w:val="baseline"/>
        </w:rPr>
        <w:t> </w:t>
      </w:r>
      <w:r>
        <w:rPr>
          <w:sz w:val="28"/>
          <w:vertAlign w:val="baseline"/>
        </w:rPr>
        <w:t>ensure</w:t>
      </w:r>
      <w:r>
        <w:rPr>
          <w:spacing w:val="-11"/>
          <w:sz w:val="28"/>
          <w:vertAlign w:val="baseline"/>
        </w:rPr>
        <w:t> </w:t>
      </w:r>
      <w:r>
        <w:rPr>
          <w:sz w:val="28"/>
          <w:vertAlign w:val="baseline"/>
        </w:rPr>
        <w:t>that</w:t>
      </w:r>
      <w:r>
        <w:rPr>
          <w:spacing w:val="-11"/>
          <w:sz w:val="28"/>
          <w:vertAlign w:val="baseline"/>
        </w:rPr>
        <w:t> </w:t>
      </w:r>
      <w:r>
        <w:rPr>
          <w:sz w:val="28"/>
          <w:vertAlign w:val="baseline"/>
        </w:rPr>
        <w:t>victims’ access</w:t>
      </w:r>
      <w:r>
        <w:rPr>
          <w:spacing w:val="-3"/>
          <w:sz w:val="28"/>
          <w:vertAlign w:val="baseline"/>
        </w:rPr>
        <w:t> </w:t>
      </w:r>
      <w:r>
        <w:rPr>
          <w:sz w:val="28"/>
          <w:vertAlign w:val="baseline"/>
        </w:rPr>
        <w:t>to</w:t>
      </w:r>
      <w:r>
        <w:rPr>
          <w:spacing w:val="-3"/>
          <w:sz w:val="28"/>
          <w:vertAlign w:val="baseline"/>
        </w:rPr>
        <w:t> </w:t>
      </w:r>
      <w:r>
        <w:rPr>
          <w:sz w:val="28"/>
          <w:vertAlign w:val="baseline"/>
        </w:rPr>
        <w:t>rights</w:t>
      </w:r>
      <w:r>
        <w:rPr>
          <w:spacing w:val="-3"/>
          <w:sz w:val="28"/>
          <w:vertAlign w:val="baseline"/>
        </w:rPr>
        <w:t> </w:t>
      </w:r>
      <w:r>
        <w:rPr>
          <w:sz w:val="28"/>
          <w:vertAlign w:val="baseline"/>
        </w:rPr>
        <w:t>are</w:t>
      </w:r>
      <w:r>
        <w:rPr>
          <w:spacing w:val="-2"/>
          <w:sz w:val="28"/>
          <w:vertAlign w:val="baseline"/>
        </w:rPr>
        <w:t> </w:t>
      </w:r>
      <w:r>
        <w:rPr>
          <w:sz w:val="28"/>
          <w:vertAlign w:val="baseline"/>
        </w:rPr>
        <w:t>not</w:t>
      </w:r>
      <w:r>
        <w:rPr>
          <w:spacing w:val="-2"/>
          <w:sz w:val="28"/>
          <w:vertAlign w:val="baseline"/>
        </w:rPr>
        <w:t> </w:t>
      </w:r>
      <w:r>
        <w:rPr>
          <w:sz w:val="28"/>
          <w:vertAlign w:val="baseline"/>
        </w:rPr>
        <w:t>conditional</w:t>
      </w:r>
      <w:r>
        <w:rPr>
          <w:spacing w:val="-3"/>
          <w:sz w:val="28"/>
          <w:vertAlign w:val="baseline"/>
        </w:rPr>
        <w:t> </w:t>
      </w:r>
      <w:r>
        <w:rPr>
          <w:sz w:val="28"/>
          <w:vertAlign w:val="baseline"/>
        </w:rPr>
        <w:t>on</w:t>
      </w:r>
      <w:r>
        <w:rPr>
          <w:spacing w:val="-3"/>
          <w:sz w:val="28"/>
          <w:vertAlign w:val="baseline"/>
        </w:rPr>
        <w:t> </w:t>
      </w:r>
      <w:r>
        <w:rPr>
          <w:sz w:val="28"/>
          <w:vertAlign w:val="baseline"/>
        </w:rPr>
        <w:t>the</w:t>
      </w:r>
      <w:r>
        <w:rPr>
          <w:spacing w:val="-2"/>
          <w:sz w:val="28"/>
          <w:vertAlign w:val="baseline"/>
        </w:rPr>
        <w:t> </w:t>
      </w:r>
      <w:r>
        <w:rPr>
          <w:sz w:val="28"/>
          <w:vertAlign w:val="baseline"/>
        </w:rPr>
        <w:t>victim’s</w:t>
      </w:r>
      <w:r>
        <w:rPr>
          <w:spacing w:val="-3"/>
          <w:sz w:val="28"/>
          <w:vertAlign w:val="baseline"/>
        </w:rPr>
        <w:t> </w:t>
      </w:r>
      <w:r>
        <w:rPr>
          <w:sz w:val="28"/>
          <w:vertAlign w:val="baseline"/>
        </w:rPr>
        <w:t>residence</w:t>
      </w:r>
      <w:r>
        <w:rPr>
          <w:spacing w:val="-2"/>
          <w:sz w:val="28"/>
          <w:vertAlign w:val="baseline"/>
        </w:rPr>
        <w:t> </w:t>
      </w:r>
      <w:r>
        <w:rPr>
          <w:sz w:val="28"/>
          <w:vertAlign w:val="baseline"/>
        </w:rPr>
        <w:t>status</w:t>
      </w:r>
      <w:r>
        <w:rPr>
          <w:spacing w:val="-3"/>
          <w:sz w:val="28"/>
          <w:vertAlign w:val="baseline"/>
        </w:rPr>
        <w:t> </w:t>
      </w:r>
      <w:r>
        <w:rPr>
          <w:sz w:val="28"/>
          <w:vertAlign w:val="baseline"/>
        </w:rPr>
        <w:t>and</w:t>
      </w:r>
      <w:r>
        <w:rPr>
          <w:spacing w:val="-3"/>
          <w:sz w:val="28"/>
          <w:vertAlign w:val="baseline"/>
        </w:rPr>
        <w:t> </w:t>
      </w:r>
      <w:r>
        <w:rPr>
          <w:sz w:val="28"/>
          <w:vertAlign w:val="baseline"/>
        </w:rPr>
        <w:t>also notes</w:t>
      </w:r>
      <w:r>
        <w:rPr>
          <w:spacing w:val="-2"/>
          <w:sz w:val="28"/>
          <w:vertAlign w:val="baseline"/>
        </w:rPr>
        <w:t> </w:t>
      </w:r>
      <w:r>
        <w:rPr>
          <w:sz w:val="28"/>
          <w:vertAlign w:val="baseline"/>
        </w:rPr>
        <w:t>that</w:t>
      </w:r>
      <w:r>
        <w:rPr>
          <w:spacing w:val="-1"/>
          <w:sz w:val="28"/>
          <w:vertAlign w:val="baseline"/>
        </w:rPr>
        <w:t> </w:t>
      </w:r>
      <w:r>
        <w:rPr>
          <w:sz w:val="28"/>
          <w:vertAlign w:val="baseline"/>
        </w:rPr>
        <w:t>this</w:t>
      </w:r>
      <w:r>
        <w:rPr>
          <w:spacing w:val="-2"/>
          <w:sz w:val="28"/>
          <w:vertAlign w:val="baseline"/>
        </w:rPr>
        <w:t> </w:t>
      </w:r>
      <w:r>
        <w:rPr>
          <w:sz w:val="28"/>
          <w:vertAlign w:val="baseline"/>
        </w:rPr>
        <w:t>harm</w:t>
      </w:r>
      <w:r>
        <w:rPr>
          <w:spacing w:val="-1"/>
          <w:sz w:val="28"/>
          <w:vertAlign w:val="baseline"/>
        </w:rPr>
        <w:t> </w:t>
      </w:r>
      <w:r>
        <w:rPr>
          <w:sz w:val="28"/>
          <w:vertAlign w:val="baseline"/>
        </w:rPr>
        <w:t>is</w:t>
      </w:r>
      <w:r>
        <w:rPr>
          <w:spacing w:val="-2"/>
          <w:sz w:val="28"/>
          <w:vertAlign w:val="baseline"/>
        </w:rPr>
        <w:t> </w:t>
      </w:r>
      <w:r>
        <w:rPr>
          <w:sz w:val="28"/>
          <w:vertAlign w:val="baseline"/>
        </w:rPr>
        <w:t>aggravated</w:t>
      </w:r>
      <w:r>
        <w:rPr>
          <w:spacing w:val="-2"/>
          <w:sz w:val="28"/>
          <w:vertAlign w:val="baseline"/>
        </w:rPr>
        <w:t> </w:t>
      </w:r>
      <w:r>
        <w:rPr>
          <w:sz w:val="28"/>
          <w:vertAlign w:val="baseline"/>
        </w:rPr>
        <w:t>if</w:t>
      </w:r>
      <w:r>
        <w:rPr>
          <w:spacing w:val="-2"/>
          <w:sz w:val="28"/>
          <w:vertAlign w:val="baseline"/>
        </w:rPr>
        <w:t> </w:t>
      </w:r>
      <w:r>
        <w:rPr>
          <w:sz w:val="28"/>
          <w:vertAlign w:val="baseline"/>
        </w:rPr>
        <w:t>a</w:t>
      </w:r>
      <w:r>
        <w:rPr>
          <w:spacing w:val="-2"/>
          <w:sz w:val="28"/>
          <w:vertAlign w:val="baseline"/>
        </w:rPr>
        <w:t> </w:t>
      </w:r>
      <w:r>
        <w:rPr>
          <w:sz w:val="28"/>
          <w:vertAlign w:val="baseline"/>
        </w:rPr>
        <w:t>woman</w:t>
      </w:r>
      <w:r>
        <w:rPr>
          <w:spacing w:val="-2"/>
          <w:sz w:val="28"/>
          <w:vertAlign w:val="baseline"/>
        </w:rPr>
        <w:t> </w:t>
      </w:r>
      <w:r>
        <w:rPr>
          <w:sz w:val="28"/>
          <w:vertAlign w:val="baseline"/>
        </w:rPr>
        <w:t>is</w:t>
      </w:r>
      <w:r>
        <w:rPr>
          <w:spacing w:val="-2"/>
          <w:sz w:val="28"/>
          <w:vertAlign w:val="baseline"/>
        </w:rPr>
        <w:t> </w:t>
      </w:r>
      <w:r>
        <w:rPr>
          <w:sz w:val="28"/>
          <w:vertAlign w:val="baseline"/>
        </w:rPr>
        <w:t>dependent</w:t>
      </w:r>
      <w:r>
        <w:rPr>
          <w:spacing w:val="-1"/>
          <w:sz w:val="28"/>
          <w:vertAlign w:val="baseline"/>
        </w:rPr>
        <w:t> </w:t>
      </w:r>
      <w:r>
        <w:rPr>
          <w:sz w:val="28"/>
          <w:vertAlign w:val="baseline"/>
        </w:rPr>
        <w:t>on</w:t>
      </w:r>
      <w:r>
        <w:rPr>
          <w:spacing w:val="-2"/>
          <w:sz w:val="28"/>
          <w:vertAlign w:val="baseline"/>
        </w:rPr>
        <w:t> </w:t>
      </w:r>
      <w:r>
        <w:rPr>
          <w:sz w:val="28"/>
          <w:vertAlign w:val="baseline"/>
        </w:rPr>
        <w:t>the</w:t>
      </w:r>
      <w:r>
        <w:rPr>
          <w:spacing w:val="-1"/>
          <w:sz w:val="28"/>
          <w:vertAlign w:val="baseline"/>
        </w:rPr>
        <w:t> </w:t>
      </w:r>
      <w:r>
        <w:rPr>
          <w:sz w:val="28"/>
          <w:vertAlign w:val="baseline"/>
        </w:rPr>
        <w:t>offender for residence status.</w:t>
      </w:r>
    </w:p>
    <w:p>
      <w:pPr>
        <w:pStyle w:val="ListParagraph"/>
        <w:numPr>
          <w:ilvl w:val="1"/>
          <w:numId w:val="7"/>
        </w:numPr>
        <w:tabs>
          <w:tab w:pos="1853" w:val="left" w:leader="none"/>
        </w:tabs>
        <w:spacing w:line="225" w:lineRule="auto" w:before="310" w:after="0"/>
        <w:ind w:left="1853" w:right="1381" w:hanging="720"/>
        <w:jc w:val="left"/>
        <w:rPr>
          <w:sz w:val="28"/>
        </w:rPr>
      </w:pPr>
      <w:r>
        <w:rPr>
          <w:sz w:val="28"/>
        </w:rPr>
        <w:t>In its response, the ECNI highlighted the need to address the nature and impact of domestic and sexual violence and abuse on women and men in a gender specific context and that the strategy should place lived experience at the heart of delivery.</w:t>
      </w:r>
      <w:r>
        <w:rPr>
          <w:sz w:val="28"/>
          <w:vertAlign w:val="superscript"/>
        </w:rPr>
        <w:t>399</w:t>
      </w:r>
      <w:r>
        <w:rPr>
          <w:sz w:val="28"/>
          <w:vertAlign w:val="baseline"/>
        </w:rPr>
        <w:t> The ECNI noted the relevance of a number of EU directives</w:t>
      </w:r>
      <w:r>
        <w:rPr>
          <w:spacing w:val="-10"/>
          <w:sz w:val="28"/>
          <w:vertAlign w:val="baseline"/>
        </w:rPr>
        <w:t> </w:t>
      </w:r>
      <w:r>
        <w:rPr>
          <w:sz w:val="28"/>
          <w:vertAlign w:val="baseline"/>
        </w:rPr>
        <w:t>to</w:t>
      </w:r>
      <w:r>
        <w:rPr>
          <w:spacing w:val="-10"/>
          <w:sz w:val="28"/>
          <w:vertAlign w:val="baseline"/>
        </w:rPr>
        <w:t> </w:t>
      </w:r>
      <w:r>
        <w:rPr>
          <w:sz w:val="28"/>
          <w:vertAlign w:val="baseline"/>
        </w:rPr>
        <w:t>the</w:t>
      </w:r>
      <w:r>
        <w:rPr>
          <w:spacing w:val="-9"/>
          <w:sz w:val="28"/>
          <w:vertAlign w:val="baseline"/>
        </w:rPr>
        <w:t> </w:t>
      </w:r>
      <w:r>
        <w:rPr>
          <w:sz w:val="28"/>
          <w:vertAlign w:val="baseline"/>
        </w:rPr>
        <w:t>strategy</w:t>
      </w:r>
      <w:r>
        <w:rPr>
          <w:spacing w:val="-9"/>
          <w:sz w:val="28"/>
          <w:vertAlign w:val="baseline"/>
        </w:rPr>
        <w:t> </w:t>
      </w:r>
      <w:r>
        <w:rPr>
          <w:sz w:val="28"/>
          <w:vertAlign w:val="baseline"/>
        </w:rPr>
        <w:t>in</w:t>
      </w:r>
      <w:r>
        <w:rPr>
          <w:spacing w:val="-10"/>
          <w:sz w:val="28"/>
          <w:vertAlign w:val="baseline"/>
        </w:rPr>
        <w:t> </w:t>
      </w:r>
      <w:r>
        <w:rPr>
          <w:sz w:val="28"/>
          <w:vertAlign w:val="baseline"/>
        </w:rPr>
        <w:t>the</w:t>
      </w:r>
      <w:r>
        <w:rPr>
          <w:spacing w:val="-9"/>
          <w:sz w:val="28"/>
          <w:vertAlign w:val="baseline"/>
        </w:rPr>
        <w:t> </w:t>
      </w:r>
      <w:r>
        <w:rPr>
          <w:sz w:val="28"/>
          <w:vertAlign w:val="baseline"/>
        </w:rPr>
        <w:t>context</w:t>
      </w:r>
      <w:r>
        <w:rPr>
          <w:spacing w:val="-9"/>
          <w:sz w:val="28"/>
          <w:vertAlign w:val="baseline"/>
        </w:rPr>
        <w:t> </w:t>
      </w:r>
      <w:r>
        <w:rPr>
          <w:sz w:val="28"/>
          <w:vertAlign w:val="baseline"/>
        </w:rPr>
        <w:t>of</w:t>
      </w:r>
      <w:r>
        <w:rPr>
          <w:spacing w:val="-10"/>
          <w:sz w:val="28"/>
          <w:vertAlign w:val="baseline"/>
        </w:rPr>
        <w:t> </w:t>
      </w:r>
      <w:r>
        <w:rPr>
          <w:sz w:val="28"/>
          <w:vertAlign w:val="baseline"/>
        </w:rPr>
        <w:t>Windsor</w:t>
      </w:r>
      <w:r>
        <w:rPr>
          <w:spacing w:val="-9"/>
          <w:sz w:val="28"/>
          <w:vertAlign w:val="baseline"/>
        </w:rPr>
        <w:t> </w:t>
      </w:r>
      <w:r>
        <w:rPr>
          <w:sz w:val="28"/>
          <w:vertAlign w:val="baseline"/>
        </w:rPr>
        <w:t>Framework</w:t>
      </w:r>
      <w:r>
        <w:rPr>
          <w:spacing w:val="-9"/>
          <w:sz w:val="28"/>
          <w:vertAlign w:val="baseline"/>
        </w:rPr>
        <w:t> </w:t>
      </w:r>
      <w:r>
        <w:rPr>
          <w:sz w:val="28"/>
          <w:vertAlign w:val="baseline"/>
        </w:rPr>
        <w:t>Article</w:t>
      </w:r>
      <w:r>
        <w:rPr>
          <w:spacing w:val="-9"/>
          <w:sz w:val="28"/>
          <w:vertAlign w:val="baseline"/>
        </w:rPr>
        <w:t> </w:t>
      </w:r>
      <w:r>
        <w:rPr>
          <w:sz w:val="28"/>
          <w:vertAlign w:val="baseline"/>
        </w:rPr>
        <w:t>2.</w:t>
      </w:r>
      <w:r>
        <w:rPr>
          <w:sz w:val="28"/>
          <w:vertAlign w:val="superscript"/>
        </w:rPr>
        <w:t>400</w:t>
      </w:r>
      <w:r>
        <w:rPr>
          <w:spacing w:val="-10"/>
          <w:sz w:val="28"/>
          <w:vertAlign w:val="baseline"/>
        </w:rPr>
        <w:t> </w:t>
      </w:r>
      <w:r>
        <w:rPr>
          <w:sz w:val="28"/>
          <w:vertAlign w:val="baseline"/>
        </w:rPr>
        <w:t>It also highlighted the importance of the proposed EU Directive on combating violence against women and domestic violence</w:t>
      </w:r>
      <w:r>
        <w:rPr>
          <w:sz w:val="28"/>
          <w:vertAlign w:val="superscript"/>
        </w:rPr>
        <w:t>401</w:t>
      </w:r>
      <w:r>
        <w:rPr>
          <w:sz w:val="28"/>
          <w:vertAlign w:val="baseline"/>
        </w:rPr>
        <w:t> to the development of</w:t>
      </w:r>
      <w:r>
        <w:rPr>
          <w:sz w:val="28"/>
          <w:vertAlign w:val="baseline"/>
        </w:rPr>
        <w:t> this strategy including in relation to the dynamic alignment obligation in the Windsor Framework.</w:t>
      </w:r>
      <w:r>
        <w:rPr>
          <w:sz w:val="28"/>
          <w:vertAlign w:val="superscript"/>
        </w:rPr>
        <w:t>402</w:t>
      </w:r>
    </w:p>
    <w:p>
      <w:pPr>
        <w:pStyle w:val="ListParagraph"/>
        <w:numPr>
          <w:ilvl w:val="1"/>
          <w:numId w:val="7"/>
        </w:numPr>
        <w:tabs>
          <w:tab w:pos="1853" w:val="left" w:leader="none"/>
        </w:tabs>
        <w:spacing w:line="225" w:lineRule="auto" w:before="308" w:after="0"/>
        <w:ind w:left="1853" w:right="1470" w:hanging="720"/>
        <w:jc w:val="left"/>
        <w:rPr>
          <w:sz w:val="28"/>
        </w:rPr>
      </w:pPr>
      <w:r>
        <w:rPr>
          <w:sz w:val="28"/>
        </w:rPr>
        <w:t>In July 2023, the Executive Office consulted on a strategic framework and action plan for ending violence against women and girls.</w:t>
      </w:r>
      <w:r>
        <w:rPr>
          <w:sz w:val="28"/>
          <w:vertAlign w:val="superscript"/>
        </w:rPr>
        <w:t>403</w:t>
      </w:r>
      <w:r>
        <w:rPr>
          <w:sz w:val="28"/>
          <w:vertAlign w:val="baseline"/>
        </w:rPr>
        <w:t> In October</w:t>
      </w:r>
      <w:r>
        <w:rPr>
          <w:sz w:val="28"/>
          <w:vertAlign w:val="baseline"/>
        </w:rPr>
        <w:t> 2023, the NIHRC provided a response welcoming the proposed framework and action plan. However, the NIHRC called for the adoption of the Barnahus</w:t>
      </w:r>
      <w:r>
        <w:rPr>
          <w:spacing w:val="-7"/>
          <w:sz w:val="28"/>
          <w:vertAlign w:val="baseline"/>
        </w:rPr>
        <w:t> </w:t>
      </w:r>
      <w:r>
        <w:rPr>
          <w:sz w:val="28"/>
          <w:vertAlign w:val="baseline"/>
        </w:rPr>
        <w:t>model</w:t>
      </w:r>
      <w:r>
        <w:rPr>
          <w:spacing w:val="-7"/>
          <w:sz w:val="28"/>
          <w:vertAlign w:val="baseline"/>
        </w:rPr>
        <w:t> </w:t>
      </w:r>
      <w:r>
        <w:rPr>
          <w:sz w:val="28"/>
          <w:vertAlign w:val="baseline"/>
        </w:rPr>
        <w:t>and</w:t>
      </w:r>
      <w:r>
        <w:rPr>
          <w:spacing w:val="-7"/>
          <w:sz w:val="28"/>
          <w:vertAlign w:val="baseline"/>
        </w:rPr>
        <w:t> </w:t>
      </w:r>
      <w:r>
        <w:rPr>
          <w:sz w:val="28"/>
          <w:vertAlign w:val="baseline"/>
        </w:rPr>
        <w:t>for</w:t>
      </w:r>
      <w:r>
        <w:rPr>
          <w:spacing w:val="-6"/>
          <w:sz w:val="28"/>
          <w:vertAlign w:val="baseline"/>
        </w:rPr>
        <w:t> </w:t>
      </w:r>
      <w:r>
        <w:rPr>
          <w:sz w:val="28"/>
          <w:vertAlign w:val="baseline"/>
        </w:rPr>
        <w:t>there</w:t>
      </w:r>
      <w:r>
        <w:rPr>
          <w:spacing w:val="-6"/>
          <w:sz w:val="28"/>
          <w:vertAlign w:val="baseline"/>
        </w:rPr>
        <w:t> </w:t>
      </w:r>
      <w:r>
        <w:rPr>
          <w:sz w:val="28"/>
          <w:vertAlign w:val="baseline"/>
        </w:rPr>
        <w:t>to</w:t>
      </w:r>
      <w:r>
        <w:rPr>
          <w:spacing w:val="-7"/>
          <w:sz w:val="28"/>
          <w:vertAlign w:val="baseline"/>
        </w:rPr>
        <w:t> </w:t>
      </w:r>
      <w:r>
        <w:rPr>
          <w:sz w:val="28"/>
          <w:vertAlign w:val="baseline"/>
        </w:rPr>
        <w:t>be</w:t>
      </w:r>
      <w:r>
        <w:rPr>
          <w:spacing w:val="-6"/>
          <w:sz w:val="28"/>
          <w:vertAlign w:val="baseline"/>
        </w:rPr>
        <w:t> </w:t>
      </w:r>
      <w:r>
        <w:rPr>
          <w:sz w:val="28"/>
          <w:vertAlign w:val="baseline"/>
        </w:rPr>
        <w:t>greater</w:t>
      </w:r>
      <w:r>
        <w:rPr>
          <w:spacing w:val="-6"/>
          <w:sz w:val="28"/>
          <w:vertAlign w:val="baseline"/>
        </w:rPr>
        <w:t> </w:t>
      </w:r>
      <w:r>
        <w:rPr>
          <w:sz w:val="28"/>
          <w:vertAlign w:val="baseline"/>
        </w:rPr>
        <w:t>consideration</w:t>
      </w:r>
      <w:r>
        <w:rPr>
          <w:spacing w:val="-7"/>
          <w:sz w:val="28"/>
          <w:vertAlign w:val="baseline"/>
        </w:rPr>
        <w:t> </w:t>
      </w:r>
      <w:r>
        <w:rPr>
          <w:sz w:val="28"/>
          <w:vertAlign w:val="baseline"/>
        </w:rPr>
        <w:t>of</w:t>
      </w:r>
      <w:r>
        <w:rPr>
          <w:spacing w:val="-7"/>
          <w:sz w:val="28"/>
          <w:vertAlign w:val="baseline"/>
        </w:rPr>
        <w:t> </w:t>
      </w:r>
      <w:r>
        <w:rPr>
          <w:sz w:val="28"/>
          <w:vertAlign w:val="baseline"/>
        </w:rPr>
        <w:t>specific</w:t>
      </w:r>
      <w:r>
        <w:rPr>
          <w:spacing w:val="-6"/>
          <w:sz w:val="28"/>
          <w:vertAlign w:val="baseline"/>
        </w:rPr>
        <w:t> </w:t>
      </w:r>
      <w:r>
        <w:rPr>
          <w:sz w:val="28"/>
          <w:vertAlign w:val="baseline"/>
        </w:rPr>
        <w:t>needs, disaggregated data and adequate funding.</w:t>
      </w:r>
      <w:r>
        <w:rPr>
          <w:sz w:val="28"/>
          <w:vertAlign w:val="superscript"/>
        </w:rPr>
        <w:t>404</w:t>
      </w:r>
      <w:r>
        <w:rPr>
          <w:sz w:val="28"/>
          <w:vertAlign w:val="baseline"/>
        </w:rPr>
        <w:t> The NIHRC also welcomed</w:t>
      </w:r>
    </w:p>
    <w:p>
      <w:pPr>
        <w:pStyle w:val="BodyText"/>
        <w:spacing w:line="225" w:lineRule="auto"/>
        <w:ind w:left="1853" w:right="1383"/>
      </w:pPr>
      <w:r>
        <w:rPr/>
        <w:t>the inclusion of a Windsor Framework Impact Assessment regarding the proposed strategic framework. However, the NIHRC was concerned that in its draft Impact Assessment, the Executive Office interpreted victims’ rights in the Belfast (Good Friday) Agreement as limited to victims’ of violence related</w:t>
      </w:r>
      <w:r>
        <w:rPr>
          <w:spacing w:val="-9"/>
        </w:rPr>
        <w:t> </w:t>
      </w:r>
      <w:r>
        <w:rPr/>
        <w:t>to</w:t>
      </w:r>
      <w:r>
        <w:rPr>
          <w:spacing w:val="-9"/>
        </w:rPr>
        <w:t> </w:t>
      </w:r>
      <w:r>
        <w:rPr/>
        <w:t>the</w:t>
      </w:r>
      <w:r>
        <w:rPr>
          <w:spacing w:val="-8"/>
        </w:rPr>
        <w:t> </w:t>
      </w:r>
      <w:r>
        <w:rPr/>
        <w:t>troubles,</w:t>
      </w:r>
      <w:r>
        <w:rPr>
          <w:spacing w:val="-8"/>
        </w:rPr>
        <w:t> </w:t>
      </w:r>
      <w:r>
        <w:rPr/>
        <w:t>and</w:t>
      </w:r>
      <w:r>
        <w:rPr>
          <w:spacing w:val="-9"/>
        </w:rPr>
        <w:t> </w:t>
      </w:r>
      <w:r>
        <w:rPr/>
        <w:t>therefore,</w:t>
      </w:r>
      <w:r>
        <w:rPr>
          <w:spacing w:val="-8"/>
        </w:rPr>
        <w:t> </w:t>
      </w:r>
      <w:r>
        <w:rPr/>
        <w:t>had</w:t>
      </w:r>
      <w:r>
        <w:rPr>
          <w:spacing w:val="-9"/>
        </w:rPr>
        <w:t> </w:t>
      </w:r>
      <w:r>
        <w:rPr/>
        <w:t>excluded</w:t>
      </w:r>
      <w:r>
        <w:rPr>
          <w:spacing w:val="-9"/>
        </w:rPr>
        <w:t> </w:t>
      </w:r>
      <w:r>
        <w:rPr/>
        <w:t>consideration</w:t>
      </w:r>
      <w:r>
        <w:rPr>
          <w:spacing w:val="-9"/>
        </w:rPr>
        <w:t> </w:t>
      </w:r>
      <w:r>
        <w:rPr/>
        <w:t>of</w:t>
      </w:r>
      <w:r>
        <w:rPr>
          <w:spacing w:val="-9"/>
        </w:rPr>
        <w:t> </w:t>
      </w:r>
      <w:r>
        <w:rPr/>
        <w:t>the</w:t>
      </w:r>
      <w:r>
        <w:rPr>
          <w:spacing w:val="-8"/>
        </w:rPr>
        <w:t> </w:t>
      </w:r>
      <w:r>
        <w:rPr/>
        <w:t>EU</w:t>
      </w:r>
    </w:p>
    <w:p>
      <w:pPr>
        <w:pStyle w:val="BodyText"/>
        <w:spacing w:before="10"/>
        <w:rPr>
          <w:sz w:val="8"/>
        </w:rPr>
      </w:pPr>
      <w:r>
        <w:rPr/>
        <mc:AlternateContent>
          <mc:Choice Requires="wps">
            <w:drawing>
              <wp:anchor distT="0" distB="0" distL="0" distR="0" allowOverlap="1" layoutInCell="1" locked="0" behindDoc="1" simplePos="0" relativeHeight="487670784">
                <wp:simplePos x="0" y="0"/>
                <wp:positionH relativeFrom="page">
                  <wp:posOffset>719996</wp:posOffset>
                </wp:positionH>
                <wp:positionV relativeFrom="paragraph">
                  <wp:posOffset>83626</wp:posOffset>
                </wp:positionV>
                <wp:extent cx="6120130" cy="1270"/>
                <wp:effectExtent l="0" t="0" r="0" b="0"/>
                <wp:wrapTopAndBottom/>
                <wp:docPr id="358" name="Graphic 358"/>
                <wp:cNvGraphicFramePr>
                  <a:graphicFrameLocks/>
                </wp:cNvGraphicFramePr>
                <a:graphic>
                  <a:graphicData uri="http://schemas.microsoft.com/office/word/2010/wordprocessingShape">
                    <wps:wsp>
                      <wps:cNvPr id="358" name="Graphic 358"/>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6.584769pt;width:481.9pt;height:.1pt;mso-position-horizontal-relative:page;mso-position-vertical-relative:paragraph;z-index:-15645696;mso-wrap-distance-left:0;mso-wrap-distance-right:0" id="docshape308" coordorigin="1134,132" coordsize="9638,0" path="m10772,132l1134,132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35" w:lineRule="auto" w:before="119" w:after="0"/>
        <w:ind w:left="1853" w:right="1370" w:hanging="720"/>
        <w:jc w:val="left"/>
        <w:rPr>
          <w:sz w:val="18"/>
        </w:rPr>
      </w:pPr>
      <w:r>
        <w:rPr>
          <w:sz w:val="18"/>
        </w:rPr>
        <w:t>Recitals</w:t>
      </w:r>
      <w:r>
        <w:rPr>
          <w:spacing w:val="-5"/>
          <w:sz w:val="18"/>
        </w:rPr>
        <w:t> </w:t>
      </w:r>
      <w:r>
        <w:rPr>
          <w:sz w:val="18"/>
        </w:rPr>
        <w:t>17</w:t>
      </w:r>
      <w:r>
        <w:rPr>
          <w:spacing w:val="-4"/>
          <w:sz w:val="18"/>
        </w:rPr>
        <w:t> </w:t>
      </w:r>
      <w:r>
        <w:rPr>
          <w:sz w:val="18"/>
        </w:rPr>
        <w:t>and</w:t>
      </w:r>
      <w:r>
        <w:rPr>
          <w:spacing w:val="-5"/>
          <w:sz w:val="18"/>
        </w:rPr>
        <w:t> </w:t>
      </w:r>
      <w:r>
        <w:rPr>
          <w:sz w:val="18"/>
        </w:rPr>
        <w:t>18,</w:t>
      </w:r>
      <w:r>
        <w:rPr>
          <w:spacing w:val="-4"/>
          <w:sz w:val="18"/>
        </w:rPr>
        <w:t> </w:t>
      </w:r>
      <w:r>
        <w:rPr>
          <w:sz w:val="18"/>
        </w:rPr>
        <w:t>Directive</w:t>
      </w:r>
      <w:r>
        <w:rPr>
          <w:spacing w:val="-4"/>
          <w:sz w:val="18"/>
        </w:rPr>
        <w:t> </w:t>
      </w:r>
      <w:r>
        <w:rPr>
          <w:sz w:val="18"/>
        </w:rPr>
        <w:t>2012/29/EU,</w:t>
      </w:r>
      <w:r>
        <w:rPr>
          <w:spacing w:val="-4"/>
          <w:sz w:val="18"/>
        </w:rPr>
        <w:t> </w:t>
      </w:r>
      <w:r>
        <w:rPr>
          <w:sz w:val="18"/>
        </w:rPr>
        <w:t>‘EU</w:t>
      </w:r>
      <w:r>
        <w:rPr>
          <w:spacing w:val="-4"/>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Directive</w:t>
      </w:r>
      <w:r>
        <w:rPr>
          <w:spacing w:val="-4"/>
          <w:sz w:val="18"/>
        </w:rPr>
        <w:t> </w:t>
      </w:r>
      <w:r>
        <w:rPr>
          <w:sz w:val="18"/>
        </w:rPr>
        <w:t>establishing</w:t>
      </w:r>
      <w:r>
        <w:rPr>
          <w:spacing w:val="-4"/>
          <w:sz w:val="18"/>
        </w:rPr>
        <w:t> </w:t>
      </w:r>
      <w:r>
        <w:rPr>
          <w:sz w:val="18"/>
        </w:rPr>
        <w:t>Minimum</w:t>
      </w:r>
      <w:r>
        <w:rPr>
          <w:spacing w:val="-4"/>
          <w:sz w:val="18"/>
        </w:rPr>
        <w:t> </w:t>
      </w:r>
      <w:r>
        <w:rPr>
          <w:sz w:val="18"/>
        </w:rPr>
        <w:t>Standards</w:t>
      </w:r>
      <w:r>
        <w:rPr>
          <w:spacing w:val="-5"/>
          <w:sz w:val="18"/>
        </w:rPr>
        <w:t> </w:t>
      </w:r>
      <w:r>
        <w:rPr>
          <w:sz w:val="18"/>
        </w:rPr>
        <w:t>on</w:t>
      </w:r>
      <w:r>
        <w:rPr>
          <w:spacing w:val="-5"/>
          <w:sz w:val="18"/>
        </w:rPr>
        <w:t> </w:t>
      </w:r>
      <w:r>
        <w:rPr>
          <w:sz w:val="18"/>
        </w:rPr>
        <w:t>the Rights, Support and Protection of Victims of Crime’, 25 October 2012.</w:t>
      </w:r>
    </w:p>
    <w:p>
      <w:pPr>
        <w:pStyle w:val="ListParagraph"/>
        <w:numPr>
          <w:ilvl w:val="0"/>
          <w:numId w:val="9"/>
        </w:numPr>
        <w:tabs>
          <w:tab w:pos="1853" w:val="left" w:leader="none"/>
        </w:tabs>
        <w:spacing w:line="235" w:lineRule="auto" w:before="1" w:after="0"/>
        <w:ind w:left="1853" w:right="1247" w:hanging="720"/>
        <w:jc w:val="left"/>
        <w:rPr>
          <w:sz w:val="18"/>
        </w:rPr>
      </w:pPr>
      <w:r>
        <w:rPr>
          <w:sz w:val="18"/>
        </w:rPr>
        <w:t>Equality</w:t>
      </w:r>
      <w:r>
        <w:rPr>
          <w:spacing w:val="-5"/>
          <w:sz w:val="18"/>
        </w:rPr>
        <w:t> </w:t>
      </w:r>
      <w:r>
        <w:rPr>
          <w:sz w:val="18"/>
        </w:rPr>
        <w:t>Commission</w:t>
      </w:r>
      <w:r>
        <w:rPr>
          <w:spacing w:val="-6"/>
          <w:sz w:val="18"/>
        </w:rPr>
        <w:t> </w:t>
      </w:r>
      <w:r>
        <w:rPr>
          <w:sz w:val="18"/>
        </w:rPr>
        <w:t>for</w:t>
      </w:r>
      <w:r>
        <w:rPr>
          <w:spacing w:val="-5"/>
          <w:sz w:val="18"/>
        </w:rPr>
        <w:t> </w:t>
      </w:r>
      <w:r>
        <w:rPr>
          <w:sz w:val="18"/>
        </w:rPr>
        <w:t>NI,</w:t>
      </w:r>
      <w:r>
        <w:rPr>
          <w:spacing w:val="-5"/>
          <w:sz w:val="18"/>
        </w:rPr>
        <w:t> </w:t>
      </w:r>
      <w:r>
        <w:rPr>
          <w:sz w:val="18"/>
        </w:rPr>
        <w:t>‘</w:t>
      </w:r>
      <w:hyperlink r:id="rId151">
        <w:r>
          <w:rPr>
            <w:sz w:val="18"/>
          </w:rPr>
          <w:t>Equality</w:t>
        </w:r>
        <w:r>
          <w:rPr>
            <w:spacing w:val="-5"/>
            <w:sz w:val="18"/>
          </w:rPr>
          <w:t> </w:t>
        </w:r>
        <w:r>
          <w:rPr>
            <w:sz w:val="18"/>
          </w:rPr>
          <w:t>Commission</w:t>
        </w:r>
        <w:r>
          <w:rPr>
            <w:spacing w:val="-6"/>
            <w:sz w:val="18"/>
          </w:rPr>
          <w:t> </w:t>
        </w:r>
        <w:r>
          <w:rPr>
            <w:sz w:val="18"/>
          </w:rPr>
          <w:t>consultation</w:t>
        </w:r>
        <w:r>
          <w:rPr>
            <w:spacing w:val="-6"/>
            <w:sz w:val="18"/>
          </w:rPr>
          <w:t> </w:t>
        </w:r>
        <w:r>
          <w:rPr>
            <w:sz w:val="18"/>
          </w:rPr>
          <w:t>response</w:t>
        </w:r>
        <w:r>
          <w:rPr>
            <w:spacing w:val="-5"/>
            <w:sz w:val="18"/>
          </w:rPr>
          <w:t> </w:t>
        </w:r>
        <w:r>
          <w:rPr>
            <w:sz w:val="18"/>
          </w:rPr>
          <w:t>on</w:t>
        </w:r>
        <w:r>
          <w:rPr>
            <w:spacing w:val="-6"/>
            <w:sz w:val="18"/>
          </w:rPr>
          <w:t> </w:t>
        </w:r>
        <w:r>
          <w:rPr>
            <w:sz w:val="18"/>
          </w:rPr>
          <w:t>Strategic</w:t>
        </w:r>
        <w:r>
          <w:rPr>
            <w:spacing w:val="-5"/>
            <w:sz w:val="18"/>
          </w:rPr>
          <w:t> </w:t>
        </w:r>
        <w:r>
          <w:rPr>
            <w:sz w:val="18"/>
          </w:rPr>
          <w:t>Framework</w:t>
        </w:r>
        <w:r>
          <w:rPr>
            <w:spacing w:val="-5"/>
            <w:sz w:val="18"/>
          </w:rPr>
          <w:t> </w:t>
        </w:r>
        <w:r>
          <w:rPr>
            <w:sz w:val="18"/>
          </w:rPr>
          <w:t>to</w:t>
        </w:r>
        <w:r>
          <w:rPr>
            <w:spacing w:val="-6"/>
            <w:sz w:val="18"/>
          </w:rPr>
          <w:t> </w:t>
        </w:r>
        <w:r>
          <w:rPr>
            <w:sz w:val="18"/>
          </w:rPr>
          <w:t>End</w:t>
        </w:r>
        <w:r>
          <w:rPr>
            <w:spacing w:val="-6"/>
            <w:sz w:val="18"/>
          </w:rPr>
          <w:t> </w:t>
        </w:r>
        <w:r>
          <w:rPr>
            <w:sz w:val="18"/>
          </w:rPr>
          <w:t>Violence</w:t>
        </w:r>
        <w:r>
          <w:rPr>
            <w:spacing w:val="-5"/>
            <w:sz w:val="18"/>
          </w:rPr>
          <w:t> </w:t>
        </w:r>
        <w:r>
          <w:rPr>
            <w:sz w:val="18"/>
          </w:rPr>
          <w:t>Against</w:t>
        </w:r>
      </w:hyperlink>
      <w:r>
        <w:rPr>
          <w:sz w:val="18"/>
        </w:rPr>
        <w:t> </w:t>
      </w:r>
      <w:hyperlink r:id="rId151">
        <w:r>
          <w:rPr>
            <w:sz w:val="18"/>
          </w:rPr>
          <w:t>Women and Girls’ (ECNI, 2023)</w:t>
        </w:r>
      </w:hyperlink>
      <w:r>
        <w:rPr>
          <w:sz w:val="18"/>
        </w:rPr>
        <w:t>.</w:t>
      </w:r>
    </w:p>
    <w:p>
      <w:pPr>
        <w:pStyle w:val="ListParagraph"/>
        <w:numPr>
          <w:ilvl w:val="0"/>
          <w:numId w:val="9"/>
        </w:numPr>
        <w:tabs>
          <w:tab w:pos="1853" w:val="left" w:leader="none"/>
        </w:tabs>
        <w:spacing w:line="235" w:lineRule="auto" w:before="2" w:after="0"/>
        <w:ind w:left="1853" w:right="1365" w:hanging="720"/>
        <w:jc w:val="left"/>
        <w:rPr>
          <w:sz w:val="18"/>
        </w:rPr>
      </w:pPr>
      <w:r>
        <w:rPr>
          <w:sz w:val="18"/>
        </w:rPr>
        <w:t>Directive 2011/92/EU, ‘Parliament and Council Directive on Combating the Sexual Abuse and Sexual Exploitation of Children and Child Pornography’, 13 December 2011; Directive 2012/29/EU, ‘EU Parliament and Council Directive Establishing</w:t>
      </w:r>
      <w:r>
        <w:rPr>
          <w:spacing w:val="-5"/>
          <w:sz w:val="18"/>
        </w:rPr>
        <w:t> </w:t>
      </w:r>
      <w:r>
        <w:rPr>
          <w:sz w:val="18"/>
        </w:rPr>
        <w:t>Minimum</w:t>
      </w:r>
      <w:r>
        <w:rPr>
          <w:spacing w:val="-5"/>
          <w:sz w:val="18"/>
        </w:rPr>
        <w:t> </w:t>
      </w:r>
      <w:r>
        <w:rPr>
          <w:sz w:val="18"/>
        </w:rPr>
        <w:t>Standards</w:t>
      </w:r>
      <w:r>
        <w:rPr>
          <w:spacing w:val="-5"/>
          <w:sz w:val="18"/>
        </w:rPr>
        <w:t> </w:t>
      </w:r>
      <w:r>
        <w:rPr>
          <w:sz w:val="18"/>
        </w:rPr>
        <w:t>on</w:t>
      </w:r>
      <w:r>
        <w:rPr>
          <w:spacing w:val="-5"/>
          <w:sz w:val="18"/>
        </w:rPr>
        <w:t> </w:t>
      </w:r>
      <w:r>
        <w:rPr>
          <w:sz w:val="18"/>
        </w:rPr>
        <w:t>the</w:t>
      </w:r>
      <w:r>
        <w:rPr>
          <w:spacing w:val="-5"/>
          <w:sz w:val="18"/>
        </w:rPr>
        <w:t> </w:t>
      </w:r>
      <w:r>
        <w:rPr>
          <w:sz w:val="18"/>
        </w:rPr>
        <w:t>Rights,</w:t>
      </w:r>
      <w:r>
        <w:rPr>
          <w:spacing w:val="-5"/>
          <w:sz w:val="18"/>
        </w:rPr>
        <w:t> </w:t>
      </w:r>
      <w:r>
        <w:rPr>
          <w:sz w:val="18"/>
        </w:rPr>
        <w:t>Support</w:t>
      </w:r>
      <w:r>
        <w:rPr>
          <w:spacing w:val="-5"/>
          <w:sz w:val="18"/>
        </w:rPr>
        <w:t> </w:t>
      </w:r>
      <w:r>
        <w:rPr>
          <w:sz w:val="18"/>
        </w:rPr>
        <w:t>and</w:t>
      </w:r>
      <w:r>
        <w:rPr>
          <w:spacing w:val="-5"/>
          <w:sz w:val="18"/>
        </w:rPr>
        <w:t> </w:t>
      </w:r>
      <w:r>
        <w:rPr>
          <w:sz w:val="18"/>
        </w:rPr>
        <w:t>Protection</w:t>
      </w:r>
      <w:r>
        <w:rPr>
          <w:spacing w:val="-5"/>
          <w:sz w:val="18"/>
        </w:rPr>
        <w:t> </w:t>
      </w:r>
      <w:r>
        <w:rPr>
          <w:sz w:val="18"/>
        </w:rPr>
        <w:t>of</w:t>
      </w:r>
      <w:r>
        <w:rPr>
          <w:spacing w:val="-5"/>
          <w:sz w:val="18"/>
        </w:rPr>
        <w:t> </w:t>
      </w:r>
      <w:r>
        <w:rPr>
          <w:sz w:val="18"/>
        </w:rPr>
        <w:t>Victims</w:t>
      </w:r>
      <w:r>
        <w:rPr>
          <w:spacing w:val="-5"/>
          <w:sz w:val="18"/>
        </w:rPr>
        <w:t> </w:t>
      </w:r>
      <w:r>
        <w:rPr>
          <w:sz w:val="18"/>
        </w:rPr>
        <w:t>of</w:t>
      </w:r>
      <w:r>
        <w:rPr>
          <w:spacing w:val="-5"/>
          <w:sz w:val="18"/>
        </w:rPr>
        <w:t> </w:t>
      </w:r>
      <w:r>
        <w:rPr>
          <w:sz w:val="18"/>
        </w:rPr>
        <w:t>Crime’,</w:t>
      </w:r>
      <w:r>
        <w:rPr>
          <w:spacing w:val="-5"/>
          <w:sz w:val="18"/>
        </w:rPr>
        <w:t> </w:t>
      </w:r>
      <w:r>
        <w:rPr>
          <w:sz w:val="18"/>
        </w:rPr>
        <w:t>25</w:t>
      </w:r>
      <w:r>
        <w:rPr>
          <w:spacing w:val="-5"/>
          <w:sz w:val="18"/>
        </w:rPr>
        <w:t> </w:t>
      </w:r>
      <w:r>
        <w:rPr>
          <w:sz w:val="18"/>
        </w:rPr>
        <w:t>October</w:t>
      </w:r>
      <w:r>
        <w:rPr>
          <w:spacing w:val="-5"/>
          <w:sz w:val="18"/>
        </w:rPr>
        <w:t> </w:t>
      </w:r>
      <w:r>
        <w:rPr>
          <w:sz w:val="18"/>
        </w:rPr>
        <w:t>2012;</w:t>
      </w:r>
      <w:r>
        <w:rPr>
          <w:spacing w:val="-5"/>
          <w:sz w:val="18"/>
        </w:rPr>
        <w:t> </w:t>
      </w:r>
      <w:r>
        <w:rPr>
          <w:sz w:val="18"/>
        </w:rPr>
        <w:t>Directive 2011/36/EU ‘Council Directive on Preventing and Combating Trafficking in Human Beings and Protecting its Victims’, 5 April</w:t>
      </w:r>
      <w:r>
        <w:rPr>
          <w:spacing w:val="-2"/>
          <w:sz w:val="18"/>
        </w:rPr>
        <w:t> </w:t>
      </w:r>
      <w:r>
        <w:rPr>
          <w:sz w:val="18"/>
        </w:rPr>
        <w:t>2011.</w:t>
      </w:r>
    </w:p>
    <w:p>
      <w:pPr>
        <w:pStyle w:val="ListParagraph"/>
        <w:numPr>
          <w:ilvl w:val="0"/>
          <w:numId w:val="9"/>
        </w:numPr>
        <w:tabs>
          <w:tab w:pos="1853" w:val="left" w:leader="none"/>
        </w:tabs>
        <w:spacing w:line="235" w:lineRule="auto" w:before="3" w:after="0"/>
        <w:ind w:left="1853" w:right="1406" w:hanging="720"/>
        <w:jc w:val="both"/>
        <w:rPr>
          <w:sz w:val="18"/>
        </w:rPr>
      </w:pPr>
      <w:r>
        <w:rPr>
          <w:sz w:val="18"/>
        </w:rPr>
        <w:t>EU</w:t>
      </w:r>
      <w:r>
        <w:rPr>
          <w:spacing w:val="-4"/>
          <w:sz w:val="18"/>
        </w:rPr>
        <w:t> </w:t>
      </w:r>
      <w:r>
        <w:rPr>
          <w:sz w:val="18"/>
        </w:rPr>
        <w:t>Commission,</w:t>
      </w:r>
      <w:r>
        <w:rPr>
          <w:spacing w:val="-4"/>
          <w:sz w:val="18"/>
        </w:rPr>
        <w:t> </w:t>
      </w:r>
      <w:r>
        <w:rPr>
          <w:sz w:val="18"/>
        </w:rPr>
        <w:t>‘Proposal</w:t>
      </w:r>
      <w:r>
        <w:rPr>
          <w:spacing w:val="-5"/>
          <w:sz w:val="18"/>
        </w:rPr>
        <w:t> </w:t>
      </w:r>
      <w:r>
        <w:rPr>
          <w:sz w:val="18"/>
        </w:rPr>
        <w:t>for</w:t>
      </w:r>
      <w:r>
        <w:rPr>
          <w:spacing w:val="-4"/>
          <w:sz w:val="18"/>
        </w:rPr>
        <w:t> </w:t>
      </w:r>
      <w:r>
        <w:rPr>
          <w:sz w:val="18"/>
        </w:rPr>
        <w:t>a</w:t>
      </w:r>
      <w:r>
        <w:rPr>
          <w:spacing w:val="-5"/>
          <w:sz w:val="18"/>
        </w:rPr>
        <w:t> </w:t>
      </w:r>
      <w:r>
        <w:rPr>
          <w:sz w:val="18"/>
        </w:rPr>
        <w:t>Directive</w:t>
      </w:r>
      <w:r>
        <w:rPr>
          <w:spacing w:val="-4"/>
          <w:sz w:val="18"/>
        </w:rPr>
        <w:t> </w:t>
      </w:r>
      <w:r>
        <w:rPr>
          <w:sz w:val="18"/>
        </w:rPr>
        <w:t>of</w:t>
      </w:r>
      <w:r>
        <w:rPr>
          <w:spacing w:val="-5"/>
          <w:sz w:val="18"/>
        </w:rPr>
        <w:t> </w:t>
      </w:r>
      <w:r>
        <w:rPr>
          <w:sz w:val="18"/>
        </w:rPr>
        <w:t>the</w:t>
      </w:r>
      <w:r>
        <w:rPr>
          <w:spacing w:val="-4"/>
          <w:sz w:val="18"/>
        </w:rPr>
        <w:t> </w:t>
      </w:r>
      <w:r>
        <w:rPr>
          <w:sz w:val="18"/>
        </w:rPr>
        <w:t>European</w:t>
      </w:r>
      <w:r>
        <w:rPr>
          <w:spacing w:val="-5"/>
          <w:sz w:val="18"/>
        </w:rPr>
        <w:t> </w:t>
      </w:r>
      <w:r>
        <w:rPr>
          <w:sz w:val="18"/>
        </w:rPr>
        <w:t>Parliament</w:t>
      </w:r>
      <w:r>
        <w:rPr>
          <w:spacing w:val="-4"/>
          <w:sz w:val="18"/>
        </w:rPr>
        <w:t> </w:t>
      </w:r>
      <w:r>
        <w:rPr>
          <w:sz w:val="18"/>
        </w:rPr>
        <w:t>and</w:t>
      </w:r>
      <w:r>
        <w:rPr>
          <w:spacing w:val="-5"/>
          <w:sz w:val="18"/>
        </w:rPr>
        <w:t> </w:t>
      </w:r>
      <w:r>
        <w:rPr>
          <w:sz w:val="18"/>
        </w:rPr>
        <w:t>of</w:t>
      </w:r>
      <w:r>
        <w:rPr>
          <w:spacing w:val="-5"/>
          <w:sz w:val="18"/>
        </w:rPr>
        <w:t> </w:t>
      </w:r>
      <w:r>
        <w:rPr>
          <w:sz w:val="18"/>
        </w:rPr>
        <w:t>the</w:t>
      </w:r>
      <w:r>
        <w:rPr>
          <w:spacing w:val="-4"/>
          <w:sz w:val="18"/>
        </w:rPr>
        <w:t> </w:t>
      </w:r>
      <w:r>
        <w:rPr>
          <w:sz w:val="18"/>
        </w:rPr>
        <w:t>Council</w:t>
      </w:r>
      <w:r>
        <w:rPr>
          <w:spacing w:val="-5"/>
          <w:sz w:val="18"/>
        </w:rPr>
        <w:t> </w:t>
      </w:r>
      <w:r>
        <w:rPr>
          <w:sz w:val="18"/>
        </w:rPr>
        <w:t>on</w:t>
      </w:r>
      <w:r>
        <w:rPr>
          <w:spacing w:val="-5"/>
          <w:sz w:val="18"/>
        </w:rPr>
        <w:t> </w:t>
      </w:r>
      <w:r>
        <w:rPr>
          <w:sz w:val="18"/>
        </w:rPr>
        <w:t>combating</w:t>
      </w:r>
      <w:r>
        <w:rPr>
          <w:spacing w:val="-4"/>
          <w:sz w:val="18"/>
        </w:rPr>
        <w:t> </w:t>
      </w:r>
      <w:r>
        <w:rPr>
          <w:sz w:val="18"/>
        </w:rPr>
        <w:t>violence</w:t>
      </w:r>
      <w:r>
        <w:rPr>
          <w:spacing w:val="-4"/>
          <w:sz w:val="18"/>
        </w:rPr>
        <w:t> </w:t>
      </w:r>
      <w:r>
        <w:rPr>
          <w:sz w:val="18"/>
        </w:rPr>
        <w:t>against women</w:t>
      </w:r>
      <w:r>
        <w:rPr>
          <w:spacing w:val="-1"/>
          <w:sz w:val="18"/>
        </w:rPr>
        <w:t> </w:t>
      </w:r>
      <w:r>
        <w:rPr>
          <w:sz w:val="18"/>
        </w:rPr>
        <w:t>and</w:t>
      </w:r>
      <w:r>
        <w:rPr>
          <w:spacing w:val="-1"/>
          <w:sz w:val="18"/>
        </w:rPr>
        <w:t> </w:t>
      </w:r>
      <w:r>
        <w:rPr>
          <w:sz w:val="18"/>
        </w:rPr>
        <w:t>domestic violence, Strasbourg -</w:t>
      </w:r>
      <w:r>
        <w:rPr>
          <w:spacing w:val="-1"/>
          <w:sz w:val="18"/>
        </w:rPr>
        <w:t> </w:t>
      </w:r>
      <w:r>
        <w:rPr>
          <w:sz w:val="18"/>
        </w:rPr>
        <w:t>COM(2022)</w:t>
      </w:r>
      <w:r>
        <w:rPr>
          <w:spacing w:val="-1"/>
          <w:sz w:val="18"/>
        </w:rPr>
        <w:t> </w:t>
      </w:r>
      <w:r>
        <w:rPr>
          <w:sz w:val="18"/>
        </w:rPr>
        <w:t>105 final‘ (EU Commission, 2022).</w:t>
      </w:r>
      <w:r>
        <w:rPr>
          <w:spacing w:val="39"/>
          <w:sz w:val="18"/>
        </w:rPr>
        <w:t> </w:t>
      </w:r>
      <w:r>
        <w:rPr>
          <w:sz w:val="18"/>
        </w:rPr>
        <w:t>The proposed</w:t>
      </w:r>
      <w:r>
        <w:rPr>
          <w:spacing w:val="-1"/>
          <w:sz w:val="18"/>
        </w:rPr>
        <w:t> </w:t>
      </w:r>
      <w:r>
        <w:rPr>
          <w:sz w:val="18"/>
        </w:rPr>
        <w:t>EU Directive on combating violence against women and domestic violence was adopted on 24 April 2024 by the EU Parliament.</w:t>
      </w:r>
    </w:p>
    <w:p>
      <w:pPr>
        <w:spacing w:line="235" w:lineRule="auto" w:before="2"/>
        <w:ind w:left="1853" w:right="1467" w:firstLine="0"/>
        <w:jc w:val="both"/>
        <w:rPr>
          <w:sz w:val="18"/>
        </w:rPr>
      </w:pPr>
      <w:r>
        <w:rPr>
          <w:sz w:val="18"/>
        </w:rPr>
        <w:t>The</w:t>
      </w:r>
      <w:r>
        <w:rPr>
          <w:spacing w:val="-5"/>
          <w:sz w:val="18"/>
        </w:rPr>
        <w:t> </w:t>
      </w:r>
      <w:r>
        <w:rPr>
          <w:sz w:val="18"/>
        </w:rPr>
        <w:t>Directive</w:t>
      </w:r>
      <w:r>
        <w:rPr>
          <w:spacing w:val="-5"/>
          <w:sz w:val="18"/>
        </w:rPr>
        <w:t> </w:t>
      </w:r>
      <w:r>
        <w:rPr>
          <w:sz w:val="18"/>
        </w:rPr>
        <w:t>will</w:t>
      </w:r>
      <w:r>
        <w:rPr>
          <w:spacing w:val="-5"/>
          <w:sz w:val="18"/>
        </w:rPr>
        <w:t> </w:t>
      </w:r>
      <w:r>
        <w:rPr>
          <w:sz w:val="18"/>
        </w:rPr>
        <w:t>come</w:t>
      </w:r>
      <w:r>
        <w:rPr>
          <w:spacing w:val="-5"/>
          <w:sz w:val="18"/>
        </w:rPr>
        <w:t> </w:t>
      </w:r>
      <w:r>
        <w:rPr>
          <w:sz w:val="18"/>
        </w:rPr>
        <w:t>into</w:t>
      </w:r>
      <w:r>
        <w:rPr>
          <w:spacing w:val="-5"/>
          <w:sz w:val="18"/>
        </w:rPr>
        <w:t> </w:t>
      </w:r>
      <w:r>
        <w:rPr>
          <w:sz w:val="18"/>
        </w:rPr>
        <w:t>force</w:t>
      </w:r>
      <w:r>
        <w:rPr>
          <w:spacing w:val="-5"/>
          <w:sz w:val="18"/>
        </w:rPr>
        <w:t> </w:t>
      </w:r>
      <w:r>
        <w:rPr>
          <w:sz w:val="18"/>
        </w:rPr>
        <w:t>twenty</w:t>
      </w:r>
      <w:r>
        <w:rPr>
          <w:spacing w:val="-5"/>
          <w:sz w:val="18"/>
        </w:rPr>
        <w:t> </w:t>
      </w:r>
      <w:r>
        <w:rPr>
          <w:sz w:val="18"/>
        </w:rPr>
        <w:t>days</w:t>
      </w:r>
      <w:r>
        <w:rPr>
          <w:spacing w:val="-5"/>
          <w:sz w:val="18"/>
        </w:rPr>
        <w:t> </w:t>
      </w:r>
      <w:r>
        <w:rPr>
          <w:sz w:val="18"/>
        </w:rPr>
        <w:t>after</w:t>
      </w:r>
      <w:r>
        <w:rPr>
          <w:spacing w:val="-5"/>
          <w:sz w:val="18"/>
        </w:rPr>
        <w:t> </w:t>
      </w:r>
      <w:r>
        <w:rPr>
          <w:sz w:val="18"/>
        </w:rPr>
        <w:t>publication</w:t>
      </w:r>
      <w:r>
        <w:rPr>
          <w:spacing w:val="-5"/>
          <w:sz w:val="18"/>
        </w:rPr>
        <w:t> </w:t>
      </w:r>
      <w:r>
        <w:rPr>
          <w:sz w:val="18"/>
        </w:rPr>
        <w:t>in</w:t>
      </w:r>
      <w:r>
        <w:rPr>
          <w:spacing w:val="-5"/>
          <w:sz w:val="18"/>
        </w:rPr>
        <w:t> </w:t>
      </w:r>
      <w:r>
        <w:rPr>
          <w:sz w:val="18"/>
        </w:rPr>
        <w:t>the</w:t>
      </w:r>
      <w:r>
        <w:rPr>
          <w:spacing w:val="-5"/>
          <w:sz w:val="18"/>
        </w:rPr>
        <w:t> </w:t>
      </w:r>
      <w:r>
        <w:rPr>
          <w:sz w:val="18"/>
        </w:rPr>
        <w:t>EU</w:t>
      </w:r>
      <w:r>
        <w:rPr>
          <w:spacing w:val="-5"/>
          <w:sz w:val="18"/>
        </w:rPr>
        <w:t> </w:t>
      </w:r>
      <w:r>
        <w:rPr>
          <w:sz w:val="18"/>
        </w:rPr>
        <w:t>Official</w:t>
      </w:r>
      <w:r>
        <w:rPr>
          <w:spacing w:val="-5"/>
          <w:sz w:val="18"/>
        </w:rPr>
        <w:t> </w:t>
      </w:r>
      <w:r>
        <w:rPr>
          <w:sz w:val="18"/>
        </w:rPr>
        <w:t>Journal</w:t>
      </w:r>
      <w:r>
        <w:rPr>
          <w:spacing w:val="-5"/>
          <w:sz w:val="18"/>
        </w:rPr>
        <w:t> </w:t>
      </w:r>
      <w:r>
        <w:rPr>
          <w:sz w:val="18"/>
        </w:rPr>
        <w:t>with</w:t>
      </w:r>
      <w:r>
        <w:rPr>
          <w:spacing w:val="-5"/>
          <w:sz w:val="18"/>
        </w:rPr>
        <w:t> </w:t>
      </w:r>
      <w:r>
        <w:rPr>
          <w:sz w:val="18"/>
        </w:rPr>
        <w:t>three</w:t>
      </w:r>
      <w:r>
        <w:rPr>
          <w:spacing w:val="-5"/>
          <w:sz w:val="18"/>
        </w:rPr>
        <w:t> </w:t>
      </w:r>
      <w:r>
        <w:rPr>
          <w:sz w:val="18"/>
        </w:rPr>
        <w:t>years</w:t>
      </w:r>
      <w:r>
        <w:rPr>
          <w:spacing w:val="-5"/>
          <w:sz w:val="18"/>
        </w:rPr>
        <w:t> </w:t>
      </w:r>
      <w:r>
        <w:rPr>
          <w:sz w:val="18"/>
        </w:rPr>
        <w:t>for</w:t>
      </w:r>
      <w:r>
        <w:rPr>
          <w:spacing w:val="-5"/>
          <w:sz w:val="18"/>
        </w:rPr>
        <w:t> </w:t>
      </w:r>
      <w:r>
        <w:rPr>
          <w:sz w:val="18"/>
        </w:rPr>
        <w:t>Member States to implement the provisions.</w:t>
      </w:r>
    </w:p>
    <w:p>
      <w:pPr>
        <w:pStyle w:val="ListParagraph"/>
        <w:numPr>
          <w:ilvl w:val="0"/>
          <w:numId w:val="9"/>
        </w:numPr>
        <w:tabs>
          <w:tab w:pos="1853" w:val="left" w:leader="none"/>
        </w:tabs>
        <w:spacing w:line="235" w:lineRule="auto" w:before="1" w:after="0"/>
        <w:ind w:left="1853" w:right="1247" w:hanging="720"/>
        <w:jc w:val="both"/>
        <w:rPr>
          <w:sz w:val="18"/>
        </w:rPr>
      </w:pPr>
      <w:r>
        <w:rPr>
          <w:sz w:val="18"/>
        </w:rPr>
        <w:t>Equality</w:t>
      </w:r>
      <w:r>
        <w:rPr>
          <w:spacing w:val="-5"/>
          <w:sz w:val="18"/>
        </w:rPr>
        <w:t> </w:t>
      </w:r>
      <w:r>
        <w:rPr>
          <w:sz w:val="18"/>
        </w:rPr>
        <w:t>Commission</w:t>
      </w:r>
      <w:r>
        <w:rPr>
          <w:spacing w:val="-6"/>
          <w:sz w:val="18"/>
        </w:rPr>
        <w:t> </w:t>
      </w:r>
      <w:r>
        <w:rPr>
          <w:sz w:val="18"/>
        </w:rPr>
        <w:t>for</w:t>
      </w:r>
      <w:r>
        <w:rPr>
          <w:spacing w:val="-5"/>
          <w:sz w:val="18"/>
        </w:rPr>
        <w:t> </w:t>
      </w:r>
      <w:r>
        <w:rPr>
          <w:sz w:val="18"/>
        </w:rPr>
        <w:t>NI,</w:t>
      </w:r>
      <w:r>
        <w:rPr>
          <w:spacing w:val="-5"/>
          <w:sz w:val="18"/>
        </w:rPr>
        <w:t> </w:t>
      </w:r>
      <w:r>
        <w:rPr>
          <w:sz w:val="18"/>
        </w:rPr>
        <w:t>‘</w:t>
      </w:r>
      <w:hyperlink r:id="rId151">
        <w:r>
          <w:rPr>
            <w:sz w:val="18"/>
          </w:rPr>
          <w:t>Equality</w:t>
        </w:r>
        <w:r>
          <w:rPr>
            <w:spacing w:val="-5"/>
            <w:sz w:val="18"/>
          </w:rPr>
          <w:t> </w:t>
        </w:r>
        <w:r>
          <w:rPr>
            <w:sz w:val="18"/>
          </w:rPr>
          <w:t>Commission</w:t>
        </w:r>
        <w:r>
          <w:rPr>
            <w:spacing w:val="-6"/>
            <w:sz w:val="18"/>
          </w:rPr>
          <w:t> </w:t>
        </w:r>
        <w:r>
          <w:rPr>
            <w:sz w:val="18"/>
          </w:rPr>
          <w:t>consultation</w:t>
        </w:r>
        <w:r>
          <w:rPr>
            <w:spacing w:val="-6"/>
            <w:sz w:val="18"/>
          </w:rPr>
          <w:t> </w:t>
        </w:r>
        <w:r>
          <w:rPr>
            <w:sz w:val="18"/>
          </w:rPr>
          <w:t>response</w:t>
        </w:r>
        <w:r>
          <w:rPr>
            <w:spacing w:val="-5"/>
            <w:sz w:val="18"/>
          </w:rPr>
          <w:t> </w:t>
        </w:r>
        <w:r>
          <w:rPr>
            <w:sz w:val="18"/>
          </w:rPr>
          <w:t>on</w:t>
        </w:r>
        <w:r>
          <w:rPr>
            <w:spacing w:val="-6"/>
            <w:sz w:val="18"/>
          </w:rPr>
          <w:t> </w:t>
        </w:r>
        <w:r>
          <w:rPr>
            <w:sz w:val="18"/>
          </w:rPr>
          <w:t>Strategic</w:t>
        </w:r>
        <w:r>
          <w:rPr>
            <w:spacing w:val="-5"/>
            <w:sz w:val="18"/>
          </w:rPr>
          <w:t> </w:t>
        </w:r>
        <w:r>
          <w:rPr>
            <w:sz w:val="18"/>
          </w:rPr>
          <w:t>Framework</w:t>
        </w:r>
        <w:r>
          <w:rPr>
            <w:spacing w:val="-5"/>
            <w:sz w:val="18"/>
          </w:rPr>
          <w:t> </w:t>
        </w:r>
        <w:r>
          <w:rPr>
            <w:sz w:val="18"/>
          </w:rPr>
          <w:t>to</w:t>
        </w:r>
        <w:r>
          <w:rPr>
            <w:spacing w:val="-6"/>
            <w:sz w:val="18"/>
          </w:rPr>
          <w:t> </w:t>
        </w:r>
        <w:r>
          <w:rPr>
            <w:sz w:val="18"/>
          </w:rPr>
          <w:t>End</w:t>
        </w:r>
        <w:r>
          <w:rPr>
            <w:spacing w:val="-6"/>
            <w:sz w:val="18"/>
          </w:rPr>
          <w:t> </w:t>
        </w:r>
        <w:r>
          <w:rPr>
            <w:sz w:val="18"/>
          </w:rPr>
          <w:t>Violence</w:t>
        </w:r>
        <w:r>
          <w:rPr>
            <w:spacing w:val="-5"/>
            <w:sz w:val="18"/>
          </w:rPr>
          <w:t> </w:t>
        </w:r>
        <w:r>
          <w:rPr>
            <w:sz w:val="18"/>
          </w:rPr>
          <w:t>Against</w:t>
        </w:r>
      </w:hyperlink>
      <w:r>
        <w:rPr>
          <w:sz w:val="18"/>
        </w:rPr>
        <w:t> </w:t>
      </w:r>
      <w:hyperlink r:id="rId151">
        <w:r>
          <w:rPr>
            <w:sz w:val="18"/>
          </w:rPr>
          <w:t>Women and Girls’ (ECNI, 2023)</w:t>
        </w:r>
      </w:hyperlink>
      <w:r>
        <w:rPr>
          <w:sz w:val="18"/>
        </w:rPr>
        <w:t>.</w:t>
      </w:r>
    </w:p>
    <w:p>
      <w:pPr>
        <w:pStyle w:val="ListParagraph"/>
        <w:numPr>
          <w:ilvl w:val="0"/>
          <w:numId w:val="9"/>
        </w:numPr>
        <w:tabs>
          <w:tab w:pos="1853" w:val="left" w:leader="none"/>
        </w:tabs>
        <w:spacing w:line="216" w:lineRule="exact" w:before="0" w:after="0"/>
        <w:ind w:left="1853" w:right="0" w:hanging="720"/>
        <w:jc w:val="both"/>
        <w:rPr>
          <w:sz w:val="18"/>
        </w:rPr>
      </w:pPr>
      <w:r>
        <w:rPr>
          <w:sz w:val="18"/>
        </w:rPr>
        <w:t>The</w:t>
      </w:r>
      <w:r>
        <w:rPr>
          <w:spacing w:val="-6"/>
          <w:sz w:val="18"/>
        </w:rPr>
        <w:t> </w:t>
      </w:r>
      <w:r>
        <w:rPr>
          <w:sz w:val="18"/>
        </w:rPr>
        <w:t>Executive</w:t>
      </w:r>
      <w:r>
        <w:rPr>
          <w:spacing w:val="-6"/>
          <w:sz w:val="18"/>
        </w:rPr>
        <w:t> </w:t>
      </w:r>
      <w:r>
        <w:rPr>
          <w:sz w:val="18"/>
        </w:rPr>
        <w:t>Office,</w:t>
      </w:r>
      <w:r>
        <w:rPr>
          <w:spacing w:val="-5"/>
          <w:sz w:val="18"/>
        </w:rPr>
        <w:t> </w:t>
      </w:r>
      <w:r>
        <w:rPr>
          <w:sz w:val="18"/>
        </w:rPr>
        <w:t>‘Strategic</w:t>
      </w:r>
      <w:r>
        <w:rPr>
          <w:spacing w:val="-6"/>
          <w:sz w:val="18"/>
        </w:rPr>
        <w:t> </w:t>
      </w:r>
      <w:r>
        <w:rPr>
          <w:sz w:val="18"/>
        </w:rPr>
        <w:t>Framework</w:t>
      </w:r>
      <w:r>
        <w:rPr>
          <w:spacing w:val="-5"/>
          <w:sz w:val="18"/>
        </w:rPr>
        <w:t> </w:t>
      </w:r>
      <w:r>
        <w:rPr>
          <w:sz w:val="18"/>
        </w:rPr>
        <w:t>to</w:t>
      </w:r>
      <w:r>
        <w:rPr>
          <w:spacing w:val="-7"/>
          <w:sz w:val="18"/>
        </w:rPr>
        <w:t> </w:t>
      </w:r>
      <w:r>
        <w:rPr>
          <w:sz w:val="18"/>
        </w:rPr>
        <w:t>End</w:t>
      </w:r>
      <w:r>
        <w:rPr>
          <w:spacing w:val="-6"/>
          <w:sz w:val="18"/>
        </w:rPr>
        <w:t> </w:t>
      </w:r>
      <w:r>
        <w:rPr>
          <w:sz w:val="18"/>
        </w:rPr>
        <w:t>Violence</w:t>
      </w:r>
      <w:r>
        <w:rPr>
          <w:spacing w:val="-6"/>
          <w:sz w:val="18"/>
        </w:rPr>
        <w:t> </w:t>
      </w:r>
      <w:r>
        <w:rPr>
          <w:sz w:val="18"/>
        </w:rPr>
        <w:t>Against</w:t>
      </w:r>
      <w:r>
        <w:rPr>
          <w:spacing w:val="-5"/>
          <w:sz w:val="18"/>
        </w:rPr>
        <w:t> </w:t>
      </w:r>
      <w:r>
        <w:rPr>
          <w:sz w:val="18"/>
        </w:rPr>
        <w:t>Women</w:t>
      </w:r>
      <w:r>
        <w:rPr>
          <w:spacing w:val="-7"/>
          <w:sz w:val="18"/>
        </w:rPr>
        <w:t> </w:t>
      </w:r>
      <w:r>
        <w:rPr>
          <w:sz w:val="18"/>
        </w:rPr>
        <w:t>and</w:t>
      </w:r>
      <w:r>
        <w:rPr>
          <w:spacing w:val="-6"/>
          <w:sz w:val="18"/>
        </w:rPr>
        <w:t> </w:t>
      </w:r>
      <w:r>
        <w:rPr>
          <w:sz w:val="18"/>
        </w:rPr>
        <w:t>Girls’</w:t>
      </w:r>
      <w:r>
        <w:rPr>
          <w:spacing w:val="-6"/>
          <w:sz w:val="18"/>
        </w:rPr>
        <w:t> </w:t>
      </w:r>
      <w:r>
        <w:rPr>
          <w:sz w:val="18"/>
        </w:rPr>
        <w:t>(TEO,</w:t>
      </w:r>
      <w:r>
        <w:rPr>
          <w:spacing w:val="-6"/>
          <w:sz w:val="18"/>
        </w:rPr>
        <w:t> </w:t>
      </w:r>
      <w:r>
        <w:rPr>
          <w:spacing w:val="-2"/>
          <w:sz w:val="18"/>
        </w:rPr>
        <w:t>2023).</w:t>
      </w:r>
    </w:p>
    <w:p>
      <w:pPr>
        <w:pStyle w:val="ListParagraph"/>
        <w:numPr>
          <w:ilvl w:val="0"/>
          <w:numId w:val="9"/>
        </w:numPr>
        <w:tabs>
          <w:tab w:pos="1853" w:val="left" w:leader="none"/>
        </w:tabs>
        <w:spacing w:line="235" w:lineRule="auto" w:before="2" w:after="0"/>
        <w:ind w:left="1853" w:right="1266" w:hanging="720"/>
        <w:jc w:val="both"/>
        <w:rPr>
          <w:sz w:val="18"/>
        </w:rPr>
      </w:pPr>
      <w:r>
        <w:rPr>
          <w:sz w:val="18"/>
        </w:rPr>
        <w:t>NI</w:t>
      </w:r>
      <w:r>
        <w:rPr>
          <w:spacing w:val="-5"/>
          <w:sz w:val="18"/>
        </w:rPr>
        <w:t> </w:t>
      </w:r>
      <w:r>
        <w:rPr>
          <w:sz w:val="18"/>
        </w:rPr>
        <w:t>Human</w:t>
      </w:r>
      <w:r>
        <w:rPr>
          <w:spacing w:val="-6"/>
          <w:sz w:val="18"/>
        </w:rPr>
        <w:t> </w:t>
      </w:r>
      <w:r>
        <w:rPr>
          <w:sz w:val="18"/>
        </w:rPr>
        <w:t>Rights</w:t>
      </w:r>
      <w:r>
        <w:rPr>
          <w:spacing w:val="-6"/>
          <w:sz w:val="18"/>
        </w:rPr>
        <w:t> </w:t>
      </w:r>
      <w:r>
        <w:rPr>
          <w:sz w:val="18"/>
        </w:rPr>
        <w:t>Commission,</w:t>
      </w:r>
      <w:r>
        <w:rPr>
          <w:spacing w:val="-5"/>
          <w:sz w:val="18"/>
        </w:rPr>
        <w:t> </w:t>
      </w:r>
      <w:r>
        <w:rPr>
          <w:sz w:val="18"/>
        </w:rPr>
        <w:t>‘Submission</w:t>
      </w:r>
      <w:r>
        <w:rPr>
          <w:spacing w:val="-6"/>
          <w:sz w:val="18"/>
        </w:rPr>
        <w:t> </w:t>
      </w:r>
      <w:r>
        <w:rPr>
          <w:sz w:val="18"/>
        </w:rPr>
        <w:t>to</w:t>
      </w:r>
      <w:r>
        <w:rPr>
          <w:spacing w:val="-6"/>
          <w:sz w:val="18"/>
        </w:rPr>
        <w:t> </w:t>
      </w:r>
      <w:r>
        <w:rPr>
          <w:sz w:val="18"/>
        </w:rPr>
        <w:t>the</w:t>
      </w:r>
      <w:r>
        <w:rPr>
          <w:spacing w:val="-5"/>
          <w:sz w:val="18"/>
        </w:rPr>
        <w:t> </w:t>
      </w:r>
      <w:r>
        <w:rPr>
          <w:sz w:val="18"/>
        </w:rPr>
        <w:t>Executive</w:t>
      </w:r>
      <w:r>
        <w:rPr>
          <w:spacing w:val="-5"/>
          <w:sz w:val="18"/>
        </w:rPr>
        <w:t> </w:t>
      </w:r>
      <w:r>
        <w:rPr>
          <w:sz w:val="18"/>
        </w:rPr>
        <w:t>Office’s</w:t>
      </w:r>
      <w:r>
        <w:rPr>
          <w:spacing w:val="-6"/>
          <w:sz w:val="18"/>
        </w:rPr>
        <w:t> </w:t>
      </w:r>
      <w:r>
        <w:rPr>
          <w:sz w:val="18"/>
        </w:rPr>
        <w:t>Consultation</w:t>
      </w:r>
      <w:r>
        <w:rPr>
          <w:spacing w:val="-6"/>
          <w:sz w:val="18"/>
        </w:rPr>
        <w:t> </w:t>
      </w:r>
      <w:r>
        <w:rPr>
          <w:sz w:val="18"/>
        </w:rPr>
        <w:t>on</w:t>
      </w:r>
      <w:r>
        <w:rPr>
          <w:spacing w:val="-6"/>
          <w:sz w:val="18"/>
        </w:rPr>
        <w:t> </w:t>
      </w:r>
      <w:r>
        <w:rPr>
          <w:sz w:val="18"/>
        </w:rPr>
        <w:t>the</w:t>
      </w:r>
      <w:r>
        <w:rPr>
          <w:spacing w:val="-5"/>
          <w:sz w:val="18"/>
        </w:rPr>
        <w:t> </w:t>
      </w:r>
      <w:r>
        <w:rPr>
          <w:sz w:val="18"/>
        </w:rPr>
        <w:t>Ending</w:t>
      </w:r>
      <w:r>
        <w:rPr>
          <w:spacing w:val="-5"/>
          <w:sz w:val="18"/>
        </w:rPr>
        <w:t> </w:t>
      </w:r>
      <w:r>
        <w:rPr>
          <w:sz w:val="18"/>
        </w:rPr>
        <w:t>Violence</w:t>
      </w:r>
      <w:r>
        <w:rPr>
          <w:spacing w:val="-5"/>
          <w:sz w:val="18"/>
        </w:rPr>
        <w:t> </w:t>
      </w:r>
      <w:r>
        <w:rPr>
          <w:sz w:val="18"/>
        </w:rPr>
        <w:t>Against</w:t>
      </w:r>
      <w:r>
        <w:rPr>
          <w:spacing w:val="-5"/>
          <w:sz w:val="18"/>
        </w:rPr>
        <w:t> </w:t>
      </w:r>
      <w:r>
        <w:rPr>
          <w:sz w:val="18"/>
        </w:rPr>
        <w:t>Women and Girls Strategic Framework’ (NIHRC, 2023).</w:t>
      </w:r>
    </w:p>
    <w:p>
      <w:pPr>
        <w:spacing w:after="0" w:line="235" w:lineRule="auto"/>
        <w:jc w:val="both"/>
        <w:rPr>
          <w:sz w:val="18"/>
        </w:rPr>
        <w:sectPr>
          <w:pgSz w:w="11910" w:h="16840"/>
          <w:pgMar w:header="496" w:footer="367" w:top="1220" w:bottom="560" w:left="0" w:right="0"/>
        </w:sectPr>
      </w:pPr>
    </w:p>
    <w:p>
      <w:pPr>
        <w:pStyle w:val="BodyText"/>
        <w:spacing w:before="198"/>
      </w:pPr>
    </w:p>
    <w:p>
      <w:pPr>
        <w:pStyle w:val="BodyText"/>
        <w:spacing w:line="225" w:lineRule="auto"/>
        <w:ind w:left="1853" w:right="1348"/>
      </w:pPr>
      <w:r>
        <w:rPr/>
        <w:t>Victims’ Directive.</w:t>
      </w:r>
      <w:r>
        <w:rPr>
          <w:vertAlign w:val="superscript"/>
        </w:rPr>
        <w:t>405</w:t>
      </w:r>
      <w:r>
        <w:rPr>
          <w:vertAlign w:val="baseline"/>
        </w:rPr>
        <w:t> In its response, the NIHRC advised that NI’s status as a post-conflict</w:t>
      </w:r>
      <w:r>
        <w:rPr>
          <w:spacing w:val="-11"/>
          <w:vertAlign w:val="baseline"/>
        </w:rPr>
        <w:t> </w:t>
      </w:r>
      <w:r>
        <w:rPr>
          <w:vertAlign w:val="baseline"/>
        </w:rPr>
        <w:t>society</w:t>
      </w:r>
      <w:r>
        <w:rPr>
          <w:spacing w:val="-11"/>
          <w:vertAlign w:val="baseline"/>
        </w:rPr>
        <w:t> </w:t>
      </w:r>
      <w:r>
        <w:rPr>
          <w:vertAlign w:val="baseline"/>
        </w:rPr>
        <w:t>is</w:t>
      </w:r>
      <w:r>
        <w:rPr>
          <w:spacing w:val="-12"/>
          <w:vertAlign w:val="baseline"/>
        </w:rPr>
        <w:t> </w:t>
      </w:r>
      <w:r>
        <w:rPr>
          <w:vertAlign w:val="baseline"/>
        </w:rPr>
        <w:t>contextually</w:t>
      </w:r>
      <w:r>
        <w:rPr>
          <w:spacing w:val="-11"/>
          <w:vertAlign w:val="baseline"/>
        </w:rPr>
        <w:t> </w:t>
      </w:r>
      <w:r>
        <w:rPr>
          <w:vertAlign w:val="baseline"/>
        </w:rPr>
        <w:t>relevant</w:t>
      </w:r>
      <w:r>
        <w:rPr>
          <w:spacing w:val="-11"/>
          <w:vertAlign w:val="baseline"/>
        </w:rPr>
        <w:t> </w:t>
      </w:r>
      <w:r>
        <w:rPr>
          <w:vertAlign w:val="baseline"/>
        </w:rPr>
        <w:t>to</w:t>
      </w:r>
      <w:r>
        <w:rPr>
          <w:spacing w:val="-12"/>
          <w:vertAlign w:val="baseline"/>
        </w:rPr>
        <w:t> </w:t>
      </w:r>
      <w:r>
        <w:rPr>
          <w:vertAlign w:val="baseline"/>
        </w:rPr>
        <w:t>any</w:t>
      </w:r>
      <w:r>
        <w:rPr>
          <w:spacing w:val="-11"/>
          <w:vertAlign w:val="baseline"/>
        </w:rPr>
        <w:t> </w:t>
      </w:r>
      <w:r>
        <w:rPr>
          <w:vertAlign w:val="baseline"/>
        </w:rPr>
        <w:t>framework</w:t>
      </w:r>
      <w:r>
        <w:rPr>
          <w:spacing w:val="-11"/>
          <w:vertAlign w:val="baseline"/>
        </w:rPr>
        <w:t> </w:t>
      </w:r>
      <w:r>
        <w:rPr>
          <w:vertAlign w:val="baseline"/>
        </w:rPr>
        <w:t>for</w:t>
      </w:r>
      <w:r>
        <w:rPr>
          <w:spacing w:val="-11"/>
          <w:vertAlign w:val="baseline"/>
        </w:rPr>
        <w:t> </w:t>
      </w:r>
      <w:r>
        <w:rPr>
          <w:vertAlign w:val="baseline"/>
        </w:rPr>
        <w:t>addressing violence against women and girls and that it is difficult to discern who is</w:t>
      </w:r>
    </w:p>
    <w:p>
      <w:pPr>
        <w:pStyle w:val="BodyText"/>
        <w:spacing w:line="225" w:lineRule="auto"/>
        <w:ind w:left="1853" w:right="1510"/>
      </w:pPr>
      <w:r>
        <w:rPr/>
        <w:t>and who is not a victim of the conflict in NI, especially pertaining to victims of</w:t>
      </w:r>
      <w:r>
        <w:rPr>
          <w:spacing w:val="-15"/>
        </w:rPr>
        <w:t> </w:t>
      </w:r>
      <w:r>
        <w:rPr/>
        <w:t>gender-based</w:t>
      </w:r>
      <w:r>
        <w:rPr>
          <w:spacing w:val="-15"/>
        </w:rPr>
        <w:t> </w:t>
      </w:r>
      <w:r>
        <w:rPr/>
        <w:t>violence.</w:t>
      </w:r>
      <w:r>
        <w:rPr>
          <w:vertAlign w:val="superscript"/>
        </w:rPr>
        <w:t>406</w:t>
      </w:r>
      <w:r>
        <w:rPr>
          <w:spacing w:val="-15"/>
          <w:vertAlign w:val="baseline"/>
        </w:rPr>
        <w:t> </w:t>
      </w:r>
      <w:r>
        <w:rPr>
          <w:vertAlign w:val="baseline"/>
        </w:rPr>
        <w:t>Moreover,</w:t>
      </w:r>
      <w:r>
        <w:rPr>
          <w:spacing w:val="-14"/>
          <w:vertAlign w:val="baseline"/>
        </w:rPr>
        <w:t> </w:t>
      </w:r>
      <w:r>
        <w:rPr>
          <w:vertAlign w:val="baseline"/>
        </w:rPr>
        <w:t>the</w:t>
      </w:r>
      <w:r>
        <w:rPr>
          <w:spacing w:val="-14"/>
          <w:vertAlign w:val="baseline"/>
        </w:rPr>
        <w:t> </w:t>
      </w:r>
      <w:r>
        <w:rPr>
          <w:vertAlign w:val="baseline"/>
        </w:rPr>
        <w:t>EU</w:t>
      </w:r>
      <w:r>
        <w:rPr>
          <w:spacing w:val="-15"/>
          <w:vertAlign w:val="baseline"/>
        </w:rPr>
        <w:t> </w:t>
      </w:r>
      <w:r>
        <w:rPr>
          <w:vertAlign w:val="baseline"/>
        </w:rPr>
        <w:t>Victims’</w:t>
      </w:r>
      <w:r>
        <w:rPr>
          <w:spacing w:val="-14"/>
          <w:vertAlign w:val="baseline"/>
        </w:rPr>
        <w:t> </w:t>
      </w:r>
      <w:r>
        <w:rPr>
          <w:vertAlign w:val="baseline"/>
        </w:rPr>
        <w:t>Directive</w:t>
      </w:r>
      <w:r>
        <w:rPr>
          <w:spacing w:val="-14"/>
          <w:vertAlign w:val="baseline"/>
        </w:rPr>
        <w:t> </w:t>
      </w:r>
      <w:r>
        <w:rPr>
          <w:vertAlign w:val="baseline"/>
        </w:rPr>
        <w:t>recognises gender-based violence as a form of discrimination and underpins relevant ECHR rights and is therefore relevant in the context of the draft Strategic </w:t>
      </w:r>
      <w:r>
        <w:rPr>
          <w:spacing w:val="-2"/>
          <w:vertAlign w:val="baseline"/>
        </w:rPr>
        <w:t>Framework.</w:t>
      </w:r>
      <w:r>
        <w:rPr>
          <w:spacing w:val="-2"/>
          <w:vertAlign w:val="superscript"/>
        </w:rPr>
        <w:t>407</w:t>
      </w:r>
    </w:p>
    <w:p>
      <w:pPr>
        <w:pStyle w:val="ListParagraph"/>
        <w:numPr>
          <w:ilvl w:val="1"/>
          <w:numId w:val="7"/>
        </w:numPr>
        <w:tabs>
          <w:tab w:pos="1853" w:val="left" w:leader="none"/>
        </w:tabs>
        <w:spacing w:line="225" w:lineRule="auto" w:before="310" w:after="0"/>
        <w:ind w:left="1853" w:right="1306" w:hanging="720"/>
        <w:jc w:val="left"/>
        <w:rPr>
          <w:sz w:val="28"/>
        </w:rPr>
      </w:pPr>
      <w:r>
        <w:rPr>
          <w:sz w:val="28"/>
        </w:rPr>
        <w:t>The NIHRC’s response further identified the relevance of the Annex 1 directives, specifically the gender equality directives</w:t>
      </w:r>
      <w:r>
        <w:rPr>
          <w:sz w:val="28"/>
          <w:vertAlign w:val="superscript"/>
        </w:rPr>
        <w:t>408</w:t>
      </w:r>
      <w:r>
        <w:rPr>
          <w:sz w:val="28"/>
          <w:vertAlign w:val="baseline"/>
        </w:rPr>
        <w:t> and the need to monitor the proposed EU Directive on combatting violence against women</w:t>
      </w:r>
      <w:r>
        <w:rPr>
          <w:sz w:val="28"/>
          <w:vertAlign w:val="baseline"/>
        </w:rPr>
        <w:t> as it intends to set minimum standards “on support and access to justice of victims</w:t>
      </w:r>
      <w:r>
        <w:rPr>
          <w:spacing w:val="-9"/>
          <w:sz w:val="28"/>
          <w:vertAlign w:val="baseline"/>
        </w:rPr>
        <w:t> </w:t>
      </w:r>
      <w:r>
        <w:rPr>
          <w:sz w:val="28"/>
          <w:vertAlign w:val="baseline"/>
        </w:rPr>
        <w:t>of</w:t>
      </w:r>
      <w:r>
        <w:rPr>
          <w:spacing w:val="-9"/>
          <w:sz w:val="28"/>
          <w:vertAlign w:val="baseline"/>
        </w:rPr>
        <w:t> </w:t>
      </w:r>
      <w:r>
        <w:rPr>
          <w:sz w:val="28"/>
          <w:vertAlign w:val="baseline"/>
        </w:rPr>
        <w:t>such</w:t>
      </w:r>
      <w:r>
        <w:rPr>
          <w:spacing w:val="-9"/>
          <w:sz w:val="28"/>
          <w:vertAlign w:val="baseline"/>
        </w:rPr>
        <w:t> </w:t>
      </w:r>
      <w:r>
        <w:rPr>
          <w:sz w:val="28"/>
          <w:vertAlign w:val="baseline"/>
        </w:rPr>
        <w:t>harassment”.</w:t>
      </w:r>
      <w:r>
        <w:rPr>
          <w:sz w:val="28"/>
          <w:vertAlign w:val="superscript"/>
        </w:rPr>
        <w:t>409</w:t>
      </w:r>
      <w:r>
        <w:rPr>
          <w:spacing w:val="-9"/>
          <w:sz w:val="28"/>
          <w:vertAlign w:val="baseline"/>
        </w:rPr>
        <w:t> </w:t>
      </w:r>
      <w:r>
        <w:rPr>
          <w:sz w:val="28"/>
          <w:vertAlign w:val="baseline"/>
        </w:rPr>
        <w:t>The</w:t>
      </w:r>
      <w:r>
        <w:rPr>
          <w:spacing w:val="-8"/>
          <w:sz w:val="28"/>
          <w:vertAlign w:val="baseline"/>
        </w:rPr>
        <w:t> </w:t>
      </w:r>
      <w:r>
        <w:rPr>
          <w:sz w:val="28"/>
          <w:vertAlign w:val="baseline"/>
        </w:rPr>
        <w:t>NIHRC</w:t>
      </w:r>
      <w:r>
        <w:rPr>
          <w:spacing w:val="-9"/>
          <w:sz w:val="28"/>
          <w:vertAlign w:val="baseline"/>
        </w:rPr>
        <w:t> </w:t>
      </w:r>
      <w:r>
        <w:rPr>
          <w:sz w:val="28"/>
          <w:vertAlign w:val="baseline"/>
        </w:rPr>
        <w:t>also</w:t>
      </w:r>
      <w:r>
        <w:rPr>
          <w:spacing w:val="-9"/>
          <w:sz w:val="28"/>
          <w:vertAlign w:val="baseline"/>
        </w:rPr>
        <w:t> </w:t>
      </w:r>
      <w:r>
        <w:rPr>
          <w:sz w:val="28"/>
          <w:vertAlign w:val="baseline"/>
        </w:rPr>
        <w:t>noted</w:t>
      </w:r>
      <w:r>
        <w:rPr>
          <w:spacing w:val="-9"/>
          <w:sz w:val="28"/>
          <w:vertAlign w:val="baseline"/>
        </w:rPr>
        <w:t> </w:t>
      </w:r>
      <w:r>
        <w:rPr>
          <w:sz w:val="28"/>
          <w:vertAlign w:val="baseline"/>
        </w:rPr>
        <w:t>the</w:t>
      </w:r>
      <w:r>
        <w:rPr>
          <w:spacing w:val="-8"/>
          <w:sz w:val="28"/>
          <w:vertAlign w:val="baseline"/>
        </w:rPr>
        <w:t> </w:t>
      </w:r>
      <w:r>
        <w:rPr>
          <w:sz w:val="28"/>
          <w:vertAlign w:val="baseline"/>
        </w:rPr>
        <w:t>relevance</w:t>
      </w:r>
      <w:r>
        <w:rPr>
          <w:spacing w:val="-8"/>
          <w:sz w:val="28"/>
          <w:vertAlign w:val="baseline"/>
        </w:rPr>
        <w:t> </w:t>
      </w:r>
      <w:r>
        <w:rPr>
          <w:sz w:val="28"/>
          <w:vertAlign w:val="baseline"/>
        </w:rPr>
        <w:t>of</w:t>
      </w:r>
      <w:r>
        <w:rPr>
          <w:spacing w:val="-9"/>
          <w:sz w:val="28"/>
          <w:vertAlign w:val="baseline"/>
        </w:rPr>
        <w:t> </w:t>
      </w:r>
      <w:r>
        <w:rPr>
          <w:sz w:val="28"/>
          <w:vertAlign w:val="baseline"/>
        </w:rPr>
        <w:t>the</w:t>
      </w:r>
      <w:r>
        <w:rPr>
          <w:spacing w:val="-8"/>
          <w:sz w:val="28"/>
          <w:vertAlign w:val="baseline"/>
        </w:rPr>
        <w:t> </w:t>
      </w:r>
      <w:r>
        <w:rPr>
          <w:sz w:val="28"/>
          <w:vertAlign w:val="baseline"/>
        </w:rPr>
        <w:t>EU Child Sexual Exploitation Directive</w:t>
      </w:r>
      <w:r>
        <w:rPr>
          <w:sz w:val="28"/>
          <w:vertAlign w:val="superscript"/>
        </w:rPr>
        <w:t>410</w:t>
      </w:r>
      <w:r>
        <w:rPr>
          <w:sz w:val="28"/>
          <w:vertAlign w:val="baseline"/>
        </w:rPr>
        <w:t> and the EU Trafficking Directive to the draft Strategic Framework.</w:t>
      </w:r>
      <w:r>
        <w:rPr>
          <w:sz w:val="28"/>
          <w:vertAlign w:val="superscript"/>
        </w:rPr>
        <w:t>411</w:t>
      </w:r>
    </w:p>
    <w:p>
      <w:pPr>
        <w:pStyle w:val="ListParagraph"/>
        <w:numPr>
          <w:ilvl w:val="1"/>
          <w:numId w:val="7"/>
        </w:numPr>
        <w:tabs>
          <w:tab w:pos="1853" w:val="left" w:leader="none"/>
        </w:tabs>
        <w:spacing w:line="225" w:lineRule="auto" w:before="311" w:after="0"/>
        <w:ind w:left="1853" w:right="1131" w:hanging="720"/>
        <w:jc w:val="left"/>
        <w:rPr>
          <w:sz w:val="28"/>
        </w:rPr>
      </w:pPr>
      <w:r>
        <w:rPr>
          <w:sz w:val="28"/>
        </w:rPr>
        <w:t>In its response, the ECNI reiterated the need for action to tackle the nature and specific impact of gender-based violence, including for those with</w:t>
      </w:r>
      <w:r>
        <w:rPr>
          <w:spacing w:val="40"/>
          <w:sz w:val="28"/>
        </w:rPr>
        <w:t> </w:t>
      </w:r>
      <w:r>
        <w:rPr>
          <w:sz w:val="28"/>
        </w:rPr>
        <w:t>multiple identities, and the importance of measures to address gendered stereotyping and prejudicial attitudes.</w:t>
      </w:r>
      <w:r>
        <w:rPr>
          <w:spacing w:val="40"/>
          <w:sz w:val="28"/>
        </w:rPr>
        <w:t> </w:t>
      </w:r>
      <w:r>
        <w:rPr>
          <w:sz w:val="28"/>
        </w:rPr>
        <w:t>It highlighted the importance of the broader impact of Brexit within the strategy, noting a number of issues and concerns</w:t>
      </w:r>
      <w:r>
        <w:rPr>
          <w:spacing w:val="-9"/>
          <w:sz w:val="28"/>
        </w:rPr>
        <w:t> </w:t>
      </w:r>
      <w:r>
        <w:rPr>
          <w:sz w:val="28"/>
        </w:rPr>
        <w:t>raised</w:t>
      </w:r>
      <w:r>
        <w:rPr>
          <w:spacing w:val="-9"/>
          <w:sz w:val="28"/>
        </w:rPr>
        <w:t> </w:t>
      </w:r>
      <w:r>
        <w:rPr>
          <w:sz w:val="28"/>
        </w:rPr>
        <w:t>in</w:t>
      </w:r>
      <w:r>
        <w:rPr>
          <w:spacing w:val="-9"/>
          <w:sz w:val="28"/>
        </w:rPr>
        <w:t> </w:t>
      </w:r>
      <w:r>
        <w:rPr>
          <w:sz w:val="28"/>
        </w:rPr>
        <w:t>the</w:t>
      </w:r>
      <w:r>
        <w:rPr>
          <w:spacing w:val="-8"/>
          <w:sz w:val="28"/>
        </w:rPr>
        <w:t> </w:t>
      </w:r>
      <w:r>
        <w:rPr>
          <w:sz w:val="28"/>
        </w:rPr>
        <w:t>ECNI’s</w:t>
      </w:r>
      <w:r>
        <w:rPr>
          <w:spacing w:val="-9"/>
          <w:sz w:val="28"/>
        </w:rPr>
        <w:t> </w:t>
      </w:r>
      <w:r>
        <w:rPr>
          <w:sz w:val="28"/>
        </w:rPr>
        <w:t>commissioned</w:t>
      </w:r>
      <w:r>
        <w:rPr>
          <w:spacing w:val="-9"/>
          <w:sz w:val="28"/>
        </w:rPr>
        <w:t> </w:t>
      </w:r>
      <w:r>
        <w:rPr>
          <w:sz w:val="28"/>
        </w:rPr>
        <w:t>research</w:t>
      </w:r>
      <w:r>
        <w:rPr>
          <w:sz w:val="28"/>
          <w:vertAlign w:val="superscript"/>
        </w:rPr>
        <w:t>412</w:t>
      </w:r>
      <w:r>
        <w:rPr>
          <w:spacing w:val="-9"/>
          <w:sz w:val="28"/>
          <w:vertAlign w:val="baseline"/>
        </w:rPr>
        <w:t> </w:t>
      </w:r>
      <w:r>
        <w:rPr>
          <w:sz w:val="28"/>
          <w:vertAlign w:val="baseline"/>
        </w:rPr>
        <w:t>on</w:t>
      </w:r>
      <w:r>
        <w:rPr>
          <w:spacing w:val="-9"/>
          <w:sz w:val="28"/>
          <w:vertAlign w:val="baseline"/>
        </w:rPr>
        <w:t> </w:t>
      </w:r>
      <w:r>
        <w:rPr>
          <w:sz w:val="28"/>
          <w:vertAlign w:val="baseline"/>
        </w:rPr>
        <w:t>the</w:t>
      </w:r>
      <w:r>
        <w:rPr>
          <w:spacing w:val="-8"/>
          <w:sz w:val="28"/>
          <w:vertAlign w:val="baseline"/>
        </w:rPr>
        <w:t> </w:t>
      </w:r>
      <w:r>
        <w:rPr>
          <w:sz w:val="28"/>
          <w:vertAlign w:val="baseline"/>
        </w:rPr>
        <w:t>impact</w:t>
      </w:r>
      <w:r>
        <w:rPr>
          <w:spacing w:val="-8"/>
          <w:sz w:val="28"/>
          <w:vertAlign w:val="baseline"/>
        </w:rPr>
        <w:t> </w:t>
      </w:r>
      <w:r>
        <w:rPr>
          <w:sz w:val="28"/>
          <w:vertAlign w:val="baseline"/>
        </w:rPr>
        <w:t>of</w:t>
      </w:r>
      <w:r>
        <w:rPr>
          <w:spacing w:val="-9"/>
          <w:sz w:val="28"/>
          <w:vertAlign w:val="baseline"/>
        </w:rPr>
        <w:t> </w:t>
      </w:r>
      <w:r>
        <w:rPr>
          <w:sz w:val="28"/>
          <w:vertAlign w:val="baseline"/>
        </w:rPr>
        <w:t>Brexit on</w:t>
      </w:r>
      <w:r>
        <w:rPr>
          <w:spacing w:val="-6"/>
          <w:sz w:val="28"/>
          <w:vertAlign w:val="baseline"/>
        </w:rPr>
        <w:t> </w:t>
      </w:r>
      <w:r>
        <w:rPr>
          <w:sz w:val="28"/>
          <w:vertAlign w:val="baseline"/>
        </w:rPr>
        <w:t>minority</w:t>
      </w:r>
      <w:r>
        <w:rPr>
          <w:spacing w:val="-6"/>
          <w:sz w:val="28"/>
          <w:vertAlign w:val="baseline"/>
        </w:rPr>
        <w:t> </w:t>
      </w:r>
      <w:r>
        <w:rPr>
          <w:sz w:val="28"/>
          <w:vertAlign w:val="baseline"/>
        </w:rPr>
        <w:t>ethnic</w:t>
      </w:r>
      <w:r>
        <w:rPr>
          <w:spacing w:val="-6"/>
          <w:sz w:val="28"/>
          <w:vertAlign w:val="baseline"/>
        </w:rPr>
        <w:t> </w:t>
      </w:r>
      <w:r>
        <w:rPr>
          <w:sz w:val="28"/>
          <w:vertAlign w:val="baseline"/>
        </w:rPr>
        <w:t>women</w:t>
      </w:r>
      <w:r>
        <w:rPr>
          <w:spacing w:val="-6"/>
          <w:sz w:val="28"/>
          <w:vertAlign w:val="baseline"/>
        </w:rPr>
        <w:t> </w:t>
      </w:r>
      <w:r>
        <w:rPr>
          <w:sz w:val="28"/>
          <w:vertAlign w:val="baseline"/>
        </w:rPr>
        <w:t>and</w:t>
      </w:r>
      <w:r>
        <w:rPr>
          <w:spacing w:val="-6"/>
          <w:sz w:val="28"/>
          <w:vertAlign w:val="baseline"/>
        </w:rPr>
        <w:t> </w:t>
      </w:r>
      <w:r>
        <w:rPr>
          <w:sz w:val="28"/>
          <w:vertAlign w:val="baseline"/>
        </w:rPr>
        <w:t>migrant</w:t>
      </w:r>
      <w:r>
        <w:rPr>
          <w:spacing w:val="-6"/>
          <w:sz w:val="28"/>
          <w:vertAlign w:val="baseline"/>
        </w:rPr>
        <w:t> </w:t>
      </w:r>
      <w:r>
        <w:rPr>
          <w:sz w:val="28"/>
          <w:vertAlign w:val="baseline"/>
        </w:rPr>
        <w:t>women</w:t>
      </w:r>
      <w:r>
        <w:rPr>
          <w:spacing w:val="-6"/>
          <w:sz w:val="28"/>
          <w:vertAlign w:val="baseline"/>
        </w:rPr>
        <w:t> </w:t>
      </w:r>
      <w:r>
        <w:rPr>
          <w:sz w:val="28"/>
          <w:vertAlign w:val="baseline"/>
        </w:rPr>
        <w:t>here</w:t>
      </w:r>
      <w:r>
        <w:rPr>
          <w:spacing w:val="-6"/>
          <w:sz w:val="28"/>
          <w:vertAlign w:val="baseline"/>
        </w:rPr>
        <w:t> </w:t>
      </w:r>
      <w:r>
        <w:rPr>
          <w:sz w:val="28"/>
          <w:vertAlign w:val="baseline"/>
        </w:rPr>
        <w:t>who</w:t>
      </w:r>
      <w:r>
        <w:rPr>
          <w:spacing w:val="-6"/>
          <w:sz w:val="28"/>
          <w:vertAlign w:val="baseline"/>
        </w:rPr>
        <w:t> </w:t>
      </w:r>
      <w:r>
        <w:rPr>
          <w:sz w:val="28"/>
          <w:vertAlign w:val="baseline"/>
        </w:rPr>
        <w:t>have</w:t>
      </w:r>
      <w:r>
        <w:rPr>
          <w:spacing w:val="-6"/>
          <w:sz w:val="28"/>
          <w:vertAlign w:val="baseline"/>
        </w:rPr>
        <w:t> </w:t>
      </w:r>
      <w:r>
        <w:rPr>
          <w:sz w:val="28"/>
          <w:vertAlign w:val="baseline"/>
        </w:rPr>
        <w:t>been</w:t>
      </w:r>
      <w:r>
        <w:rPr>
          <w:spacing w:val="-6"/>
          <w:sz w:val="28"/>
          <w:vertAlign w:val="baseline"/>
        </w:rPr>
        <w:t> </w:t>
      </w:r>
      <w:r>
        <w:rPr>
          <w:sz w:val="28"/>
          <w:vertAlign w:val="baseline"/>
        </w:rPr>
        <w:t>subjected to</w:t>
      </w:r>
      <w:r>
        <w:rPr>
          <w:spacing w:val="-1"/>
          <w:sz w:val="28"/>
          <w:vertAlign w:val="baseline"/>
        </w:rPr>
        <w:t> </w:t>
      </w:r>
      <w:r>
        <w:rPr>
          <w:sz w:val="28"/>
          <w:vertAlign w:val="baseline"/>
        </w:rPr>
        <w:t>domestic violence, including the vulnerability of</w:t>
      </w:r>
      <w:r>
        <w:rPr>
          <w:spacing w:val="-1"/>
          <w:sz w:val="28"/>
          <w:vertAlign w:val="baseline"/>
        </w:rPr>
        <w:t> </w:t>
      </w:r>
      <w:r>
        <w:rPr>
          <w:sz w:val="28"/>
          <w:vertAlign w:val="baseline"/>
        </w:rPr>
        <w:t>those who</w:t>
      </w:r>
      <w:r>
        <w:rPr>
          <w:spacing w:val="-1"/>
          <w:sz w:val="28"/>
          <w:vertAlign w:val="baseline"/>
        </w:rPr>
        <w:t> </w:t>
      </w:r>
      <w:r>
        <w:rPr>
          <w:sz w:val="28"/>
          <w:vertAlign w:val="baseline"/>
        </w:rPr>
        <w:t>rely on</w:t>
      </w:r>
      <w:r>
        <w:rPr>
          <w:spacing w:val="-1"/>
          <w:sz w:val="28"/>
          <w:vertAlign w:val="baseline"/>
        </w:rPr>
        <w:t> </w:t>
      </w:r>
      <w:r>
        <w:rPr>
          <w:sz w:val="28"/>
          <w:vertAlign w:val="baseline"/>
        </w:rPr>
        <w:t>partners to help them secure their legal immigration status.</w:t>
      </w:r>
      <w:r>
        <w:rPr>
          <w:sz w:val="28"/>
          <w:vertAlign w:val="superscript"/>
        </w:rPr>
        <w:t>413</w:t>
      </w:r>
    </w:p>
    <w:p>
      <w:pPr>
        <w:pStyle w:val="BodyText"/>
        <w:rPr>
          <w:sz w:val="20"/>
        </w:rPr>
      </w:pPr>
    </w:p>
    <w:p>
      <w:pPr>
        <w:pStyle w:val="BodyText"/>
        <w:rPr>
          <w:sz w:val="20"/>
        </w:rPr>
      </w:pPr>
    </w:p>
    <w:p>
      <w:pPr>
        <w:pStyle w:val="BodyText"/>
        <w:spacing w:before="203"/>
        <w:rPr>
          <w:sz w:val="20"/>
        </w:rPr>
      </w:pPr>
      <w:r>
        <w:rPr/>
        <mc:AlternateContent>
          <mc:Choice Requires="wps">
            <w:drawing>
              <wp:anchor distT="0" distB="0" distL="0" distR="0" allowOverlap="1" layoutInCell="1" locked="0" behindDoc="1" simplePos="0" relativeHeight="487671296">
                <wp:simplePos x="0" y="0"/>
                <wp:positionH relativeFrom="page">
                  <wp:posOffset>719996</wp:posOffset>
                </wp:positionH>
                <wp:positionV relativeFrom="paragraph">
                  <wp:posOffset>299736</wp:posOffset>
                </wp:positionV>
                <wp:extent cx="6120130" cy="1270"/>
                <wp:effectExtent l="0" t="0" r="0" b="0"/>
                <wp:wrapTopAndBottom/>
                <wp:docPr id="359" name="Graphic 359"/>
                <wp:cNvGraphicFramePr>
                  <a:graphicFrameLocks/>
                </wp:cNvGraphicFramePr>
                <a:graphic>
                  <a:graphicData uri="http://schemas.microsoft.com/office/word/2010/wordprocessingShape">
                    <wps:wsp>
                      <wps:cNvPr id="359" name="Graphic 35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3.601318pt;width:481.9pt;height:.1pt;mso-position-horizontal-relative:page;mso-position-vertical-relative:paragraph;z-index:-15645184;mso-wrap-distance-left:0;mso-wrap-distance-right:0" id="docshape309" coordorigin="1134,472" coordsize="9638,0" path="m10772,472l1134,472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35" w:lineRule="auto" w:before="141" w:after="0"/>
        <w:ind w:left="1853" w:right="1255" w:hanging="720"/>
        <w:jc w:val="left"/>
        <w:rPr>
          <w:sz w:val="18"/>
        </w:rPr>
      </w:pPr>
      <w:r>
        <w:rPr>
          <w:sz w:val="18"/>
        </w:rPr>
        <w:t>The</w:t>
      </w:r>
      <w:r>
        <w:rPr>
          <w:spacing w:val="-6"/>
          <w:sz w:val="18"/>
        </w:rPr>
        <w:t> </w:t>
      </w:r>
      <w:r>
        <w:rPr>
          <w:sz w:val="18"/>
        </w:rPr>
        <w:t>Executive</w:t>
      </w:r>
      <w:r>
        <w:rPr>
          <w:spacing w:val="-6"/>
          <w:sz w:val="18"/>
        </w:rPr>
        <w:t> </w:t>
      </w:r>
      <w:r>
        <w:rPr>
          <w:sz w:val="18"/>
        </w:rPr>
        <w:t>Office,</w:t>
      </w:r>
      <w:r>
        <w:rPr>
          <w:spacing w:val="-6"/>
          <w:sz w:val="18"/>
        </w:rPr>
        <w:t> </w:t>
      </w:r>
      <w:r>
        <w:rPr>
          <w:sz w:val="18"/>
        </w:rPr>
        <w:t>‘Draft</w:t>
      </w:r>
      <w:r>
        <w:rPr>
          <w:spacing w:val="-6"/>
          <w:sz w:val="18"/>
        </w:rPr>
        <w:t> </w:t>
      </w:r>
      <w:r>
        <w:rPr>
          <w:sz w:val="18"/>
        </w:rPr>
        <w:t>Article</w:t>
      </w:r>
      <w:r>
        <w:rPr>
          <w:spacing w:val="-6"/>
          <w:sz w:val="18"/>
        </w:rPr>
        <w:t> </w:t>
      </w:r>
      <w:r>
        <w:rPr>
          <w:sz w:val="18"/>
        </w:rPr>
        <w:t>2(1)</w:t>
      </w:r>
      <w:r>
        <w:rPr>
          <w:spacing w:val="-7"/>
          <w:sz w:val="18"/>
        </w:rPr>
        <w:t> </w:t>
      </w:r>
      <w:r>
        <w:rPr>
          <w:sz w:val="18"/>
        </w:rPr>
        <w:t>Windsor</w:t>
      </w:r>
      <w:r>
        <w:rPr>
          <w:spacing w:val="-6"/>
          <w:sz w:val="18"/>
        </w:rPr>
        <w:t> </w:t>
      </w:r>
      <w:r>
        <w:rPr>
          <w:sz w:val="18"/>
        </w:rPr>
        <w:t>Framework</w:t>
      </w:r>
      <w:r>
        <w:rPr>
          <w:spacing w:val="-6"/>
          <w:sz w:val="18"/>
        </w:rPr>
        <w:t> </w:t>
      </w:r>
      <w:r>
        <w:rPr>
          <w:sz w:val="18"/>
        </w:rPr>
        <w:t>Impact</w:t>
      </w:r>
      <w:r>
        <w:rPr>
          <w:spacing w:val="-6"/>
          <w:sz w:val="18"/>
        </w:rPr>
        <w:t> </w:t>
      </w:r>
      <w:r>
        <w:rPr>
          <w:sz w:val="18"/>
        </w:rPr>
        <w:t>Assessment</w:t>
      </w:r>
      <w:r>
        <w:rPr>
          <w:spacing w:val="-6"/>
          <w:sz w:val="18"/>
        </w:rPr>
        <w:t> </w:t>
      </w:r>
      <w:r>
        <w:rPr>
          <w:sz w:val="18"/>
        </w:rPr>
        <w:t>for</w:t>
      </w:r>
      <w:r>
        <w:rPr>
          <w:spacing w:val="-6"/>
          <w:sz w:val="18"/>
        </w:rPr>
        <w:t> </w:t>
      </w:r>
      <w:r>
        <w:rPr>
          <w:sz w:val="18"/>
        </w:rPr>
        <w:t>the</w:t>
      </w:r>
      <w:r>
        <w:rPr>
          <w:spacing w:val="-6"/>
          <w:sz w:val="18"/>
        </w:rPr>
        <w:t> </w:t>
      </w:r>
      <w:r>
        <w:rPr>
          <w:sz w:val="18"/>
        </w:rPr>
        <w:t>Draft</w:t>
      </w:r>
      <w:r>
        <w:rPr>
          <w:spacing w:val="-6"/>
          <w:sz w:val="18"/>
        </w:rPr>
        <w:t> </w:t>
      </w:r>
      <w:r>
        <w:rPr>
          <w:sz w:val="18"/>
        </w:rPr>
        <w:t>Strategic</w:t>
      </w:r>
      <w:r>
        <w:rPr>
          <w:spacing w:val="-6"/>
          <w:sz w:val="18"/>
        </w:rPr>
        <w:t> </w:t>
      </w:r>
      <w:r>
        <w:rPr>
          <w:sz w:val="18"/>
        </w:rPr>
        <w:t>Framework</w:t>
      </w:r>
      <w:r>
        <w:rPr>
          <w:spacing w:val="-6"/>
          <w:sz w:val="18"/>
        </w:rPr>
        <w:t> </w:t>
      </w:r>
      <w:r>
        <w:rPr>
          <w:sz w:val="18"/>
        </w:rPr>
        <w:t>to</w:t>
      </w:r>
      <w:r>
        <w:rPr>
          <w:spacing w:val="-7"/>
          <w:sz w:val="18"/>
        </w:rPr>
        <w:t> </w:t>
      </w:r>
      <w:r>
        <w:rPr>
          <w:sz w:val="18"/>
        </w:rPr>
        <w:t>End Violence Against Women and Girls’ (TEO, 2023).</w:t>
      </w:r>
    </w:p>
    <w:p>
      <w:pPr>
        <w:pStyle w:val="ListParagraph"/>
        <w:numPr>
          <w:ilvl w:val="0"/>
          <w:numId w:val="9"/>
        </w:numPr>
        <w:tabs>
          <w:tab w:pos="1853" w:val="left" w:leader="none"/>
        </w:tabs>
        <w:spacing w:line="235" w:lineRule="auto" w:before="1" w:after="0"/>
        <w:ind w:left="1853" w:right="1181" w:hanging="720"/>
        <w:jc w:val="left"/>
        <w:rPr>
          <w:sz w:val="18"/>
        </w:rPr>
      </w:pPr>
      <w:r>
        <w:rPr>
          <w:sz w:val="18"/>
        </w:rPr>
        <w:t>CEDAW/C/GC/30,</w:t>
      </w:r>
      <w:r>
        <w:rPr>
          <w:spacing w:val="-6"/>
          <w:sz w:val="18"/>
        </w:rPr>
        <w:t> </w:t>
      </w:r>
      <w:r>
        <w:rPr>
          <w:sz w:val="18"/>
        </w:rPr>
        <w:t>‘UN</w:t>
      </w:r>
      <w:r>
        <w:rPr>
          <w:spacing w:val="-6"/>
          <w:sz w:val="18"/>
        </w:rPr>
        <w:t> </w:t>
      </w:r>
      <w:r>
        <w:rPr>
          <w:sz w:val="18"/>
        </w:rPr>
        <w:t>CEDAW</w:t>
      </w:r>
      <w:r>
        <w:rPr>
          <w:spacing w:val="-6"/>
          <w:sz w:val="18"/>
        </w:rPr>
        <w:t> </w:t>
      </w:r>
      <w:r>
        <w:rPr>
          <w:sz w:val="18"/>
        </w:rPr>
        <w:t>Committee</w:t>
      </w:r>
      <w:r>
        <w:rPr>
          <w:spacing w:val="-6"/>
          <w:sz w:val="18"/>
        </w:rPr>
        <w:t> </w:t>
      </w:r>
      <w:r>
        <w:rPr>
          <w:sz w:val="18"/>
        </w:rPr>
        <w:t>General</w:t>
      </w:r>
      <w:r>
        <w:rPr>
          <w:spacing w:val="-7"/>
          <w:sz w:val="18"/>
        </w:rPr>
        <w:t> </w:t>
      </w:r>
      <w:r>
        <w:rPr>
          <w:sz w:val="18"/>
        </w:rPr>
        <w:t>Recommendation</w:t>
      </w:r>
      <w:r>
        <w:rPr>
          <w:spacing w:val="-7"/>
          <w:sz w:val="18"/>
        </w:rPr>
        <w:t> </w:t>
      </w:r>
      <w:r>
        <w:rPr>
          <w:sz w:val="18"/>
        </w:rPr>
        <w:t>No.</w:t>
      </w:r>
      <w:r>
        <w:rPr>
          <w:spacing w:val="-7"/>
          <w:sz w:val="18"/>
        </w:rPr>
        <w:t> </w:t>
      </w:r>
      <w:r>
        <w:rPr>
          <w:sz w:val="18"/>
        </w:rPr>
        <w:t>30</w:t>
      </w:r>
      <w:r>
        <w:rPr>
          <w:spacing w:val="-6"/>
          <w:sz w:val="18"/>
        </w:rPr>
        <w:t> </w:t>
      </w:r>
      <w:r>
        <w:rPr>
          <w:sz w:val="18"/>
        </w:rPr>
        <w:t>on</w:t>
      </w:r>
      <w:r>
        <w:rPr>
          <w:spacing w:val="-7"/>
          <w:sz w:val="18"/>
        </w:rPr>
        <w:t> </w:t>
      </w:r>
      <w:r>
        <w:rPr>
          <w:sz w:val="18"/>
        </w:rPr>
        <w:t>women</w:t>
      </w:r>
      <w:r>
        <w:rPr>
          <w:spacing w:val="-7"/>
          <w:sz w:val="18"/>
        </w:rPr>
        <w:t> </w:t>
      </w:r>
      <w:r>
        <w:rPr>
          <w:sz w:val="18"/>
        </w:rPr>
        <w:t>in</w:t>
      </w:r>
      <w:r>
        <w:rPr>
          <w:spacing w:val="-7"/>
          <w:sz w:val="18"/>
        </w:rPr>
        <w:t> </w:t>
      </w:r>
      <w:r>
        <w:rPr>
          <w:sz w:val="18"/>
        </w:rPr>
        <w:t>conflict</w:t>
      </w:r>
      <w:r>
        <w:rPr>
          <w:spacing w:val="-6"/>
          <w:sz w:val="18"/>
        </w:rPr>
        <w:t> </w:t>
      </w:r>
      <w:r>
        <w:rPr>
          <w:sz w:val="18"/>
        </w:rPr>
        <w:t>prevention,</w:t>
      </w:r>
      <w:r>
        <w:rPr>
          <w:spacing w:val="-6"/>
          <w:sz w:val="18"/>
        </w:rPr>
        <w:t> </w:t>
      </w:r>
      <w:r>
        <w:rPr>
          <w:sz w:val="18"/>
        </w:rPr>
        <w:t>conflict</w:t>
      </w:r>
      <w:r>
        <w:rPr>
          <w:spacing w:val="-6"/>
          <w:sz w:val="18"/>
        </w:rPr>
        <w:t> </w:t>
      </w:r>
      <w:r>
        <w:rPr>
          <w:sz w:val="18"/>
        </w:rPr>
        <w:t>and post-conflict situations’, 18 October 2013, at para 34 and 38.</w:t>
      </w:r>
    </w:p>
    <w:p>
      <w:pPr>
        <w:pStyle w:val="ListParagraph"/>
        <w:numPr>
          <w:ilvl w:val="0"/>
          <w:numId w:val="9"/>
        </w:numPr>
        <w:tabs>
          <w:tab w:pos="1853" w:val="left" w:leader="none"/>
        </w:tabs>
        <w:spacing w:line="235" w:lineRule="auto" w:before="1" w:after="0"/>
        <w:ind w:left="1853" w:right="1266" w:hanging="720"/>
        <w:jc w:val="left"/>
        <w:rPr>
          <w:sz w:val="18"/>
        </w:rPr>
      </w:pPr>
      <w:r>
        <w:rPr>
          <w:sz w:val="18"/>
        </w:rPr>
        <w:t>NI</w:t>
      </w:r>
      <w:r>
        <w:rPr>
          <w:spacing w:val="-5"/>
          <w:sz w:val="18"/>
        </w:rPr>
        <w:t> </w:t>
      </w:r>
      <w:r>
        <w:rPr>
          <w:sz w:val="18"/>
        </w:rPr>
        <w:t>Human</w:t>
      </w:r>
      <w:r>
        <w:rPr>
          <w:spacing w:val="-6"/>
          <w:sz w:val="18"/>
        </w:rPr>
        <w:t> </w:t>
      </w:r>
      <w:r>
        <w:rPr>
          <w:sz w:val="18"/>
        </w:rPr>
        <w:t>Rights</w:t>
      </w:r>
      <w:r>
        <w:rPr>
          <w:spacing w:val="-6"/>
          <w:sz w:val="18"/>
        </w:rPr>
        <w:t> </w:t>
      </w:r>
      <w:r>
        <w:rPr>
          <w:sz w:val="18"/>
        </w:rPr>
        <w:t>Commission,</w:t>
      </w:r>
      <w:r>
        <w:rPr>
          <w:spacing w:val="-5"/>
          <w:sz w:val="18"/>
        </w:rPr>
        <w:t> </w:t>
      </w:r>
      <w:r>
        <w:rPr>
          <w:sz w:val="18"/>
        </w:rPr>
        <w:t>‘Submission</w:t>
      </w:r>
      <w:r>
        <w:rPr>
          <w:spacing w:val="-6"/>
          <w:sz w:val="18"/>
        </w:rPr>
        <w:t> </w:t>
      </w:r>
      <w:r>
        <w:rPr>
          <w:sz w:val="18"/>
        </w:rPr>
        <w:t>to</w:t>
      </w:r>
      <w:r>
        <w:rPr>
          <w:spacing w:val="-6"/>
          <w:sz w:val="18"/>
        </w:rPr>
        <w:t> </w:t>
      </w:r>
      <w:r>
        <w:rPr>
          <w:sz w:val="18"/>
        </w:rPr>
        <w:t>the</w:t>
      </w:r>
      <w:r>
        <w:rPr>
          <w:spacing w:val="-5"/>
          <w:sz w:val="18"/>
        </w:rPr>
        <w:t> </w:t>
      </w:r>
      <w:r>
        <w:rPr>
          <w:sz w:val="18"/>
        </w:rPr>
        <w:t>Executive</w:t>
      </w:r>
      <w:r>
        <w:rPr>
          <w:spacing w:val="-5"/>
          <w:sz w:val="18"/>
        </w:rPr>
        <w:t> </w:t>
      </w:r>
      <w:r>
        <w:rPr>
          <w:sz w:val="18"/>
        </w:rPr>
        <w:t>Office’s</w:t>
      </w:r>
      <w:r>
        <w:rPr>
          <w:spacing w:val="-6"/>
          <w:sz w:val="18"/>
        </w:rPr>
        <w:t> </w:t>
      </w:r>
      <w:r>
        <w:rPr>
          <w:sz w:val="18"/>
        </w:rPr>
        <w:t>Consultation</w:t>
      </w:r>
      <w:r>
        <w:rPr>
          <w:spacing w:val="-6"/>
          <w:sz w:val="18"/>
        </w:rPr>
        <w:t> </w:t>
      </w:r>
      <w:r>
        <w:rPr>
          <w:sz w:val="18"/>
        </w:rPr>
        <w:t>on</w:t>
      </w:r>
      <w:r>
        <w:rPr>
          <w:spacing w:val="-6"/>
          <w:sz w:val="18"/>
        </w:rPr>
        <w:t> </w:t>
      </w:r>
      <w:r>
        <w:rPr>
          <w:sz w:val="18"/>
        </w:rPr>
        <w:t>the</w:t>
      </w:r>
      <w:r>
        <w:rPr>
          <w:spacing w:val="-5"/>
          <w:sz w:val="18"/>
        </w:rPr>
        <w:t> </w:t>
      </w:r>
      <w:r>
        <w:rPr>
          <w:sz w:val="18"/>
        </w:rPr>
        <w:t>Ending</w:t>
      </w:r>
      <w:r>
        <w:rPr>
          <w:spacing w:val="-5"/>
          <w:sz w:val="18"/>
        </w:rPr>
        <w:t> </w:t>
      </w:r>
      <w:r>
        <w:rPr>
          <w:sz w:val="18"/>
        </w:rPr>
        <w:t>Violence</w:t>
      </w:r>
      <w:r>
        <w:rPr>
          <w:spacing w:val="-5"/>
          <w:sz w:val="18"/>
        </w:rPr>
        <w:t> </w:t>
      </w:r>
      <w:r>
        <w:rPr>
          <w:sz w:val="18"/>
        </w:rPr>
        <w:t>Against</w:t>
      </w:r>
      <w:r>
        <w:rPr>
          <w:spacing w:val="-5"/>
          <w:sz w:val="18"/>
        </w:rPr>
        <w:t> </w:t>
      </w:r>
      <w:r>
        <w:rPr>
          <w:sz w:val="18"/>
        </w:rPr>
        <w:t>Women and Girls Strategic Framework’ (NIHRC, 2023), at 29-31.</w:t>
      </w:r>
    </w:p>
    <w:p>
      <w:pPr>
        <w:pStyle w:val="ListParagraph"/>
        <w:numPr>
          <w:ilvl w:val="0"/>
          <w:numId w:val="9"/>
        </w:numPr>
        <w:tabs>
          <w:tab w:pos="1853" w:val="left" w:leader="none"/>
        </w:tabs>
        <w:spacing w:line="235" w:lineRule="auto" w:before="2" w:after="0"/>
        <w:ind w:left="1853" w:right="1190" w:hanging="720"/>
        <w:jc w:val="left"/>
        <w:rPr>
          <w:sz w:val="18"/>
        </w:rPr>
      </w:pPr>
      <w:r>
        <w:rPr>
          <w:sz w:val="18"/>
        </w:rPr>
        <w:t>Directive</w:t>
      </w:r>
      <w:r>
        <w:rPr>
          <w:spacing w:val="-5"/>
          <w:sz w:val="18"/>
        </w:rPr>
        <w:t> </w:t>
      </w:r>
      <w:r>
        <w:rPr>
          <w:sz w:val="18"/>
        </w:rPr>
        <w:t>2004/113/EC,</w:t>
      </w:r>
      <w:r>
        <w:rPr>
          <w:spacing w:val="-5"/>
          <w:sz w:val="18"/>
        </w:rPr>
        <w:t> </w:t>
      </w:r>
      <w:r>
        <w:rPr>
          <w:sz w:val="18"/>
        </w:rPr>
        <w:t>‘Council</w:t>
      </w:r>
      <w:r>
        <w:rPr>
          <w:spacing w:val="-6"/>
          <w:sz w:val="18"/>
        </w:rPr>
        <w:t> </w:t>
      </w:r>
      <w:r>
        <w:rPr>
          <w:sz w:val="18"/>
        </w:rPr>
        <w:t>Directive</w:t>
      </w:r>
      <w:r>
        <w:rPr>
          <w:spacing w:val="-5"/>
          <w:sz w:val="18"/>
        </w:rPr>
        <w:t> </w:t>
      </w:r>
      <w:r>
        <w:rPr>
          <w:sz w:val="18"/>
        </w:rPr>
        <w:t>on</w:t>
      </w:r>
      <w:r>
        <w:rPr>
          <w:spacing w:val="-6"/>
          <w:sz w:val="18"/>
        </w:rPr>
        <w:t> </w:t>
      </w:r>
      <w:r>
        <w:rPr>
          <w:sz w:val="18"/>
        </w:rPr>
        <w:t>Implementing</w:t>
      </w:r>
      <w:r>
        <w:rPr>
          <w:spacing w:val="-5"/>
          <w:sz w:val="18"/>
        </w:rPr>
        <w:t> </w:t>
      </w:r>
      <w:r>
        <w:rPr>
          <w:sz w:val="18"/>
        </w:rPr>
        <w:t>the</w:t>
      </w:r>
      <w:r>
        <w:rPr>
          <w:spacing w:val="-5"/>
          <w:sz w:val="18"/>
        </w:rPr>
        <w:t> </w:t>
      </w:r>
      <w:r>
        <w:rPr>
          <w:sz w:val="18"/>
        </w:rPr>
        <w:t>Principle</w:t>
      </w:r>
      <w:r>
        <w:rPr>
          <w:spacing w:val="-5"/>
          <w:sz w:val="18"/>
        </w:rPr>
        <w:t> </w:t>
      </w:r>
      <w:r>
        <w:rPr>
          <w:sz w:val="18"/>
        </w:rPr>
        <w:t>of</w:t>
      </w:r>
      <w:r>
        <w:rPr>
          <w:spacing w:val="-6"/>
          <w:sz w:val="18"/>
        </w:rPr>
        <w:t> </w:t>
      </w:r>
      <w:r>
        <w:rPr>
          <w:sz w:val="18"/>
        </w:rPr>
        <w:t>Equal</w:t>
      </w:r>
      <w:r>
        <w:rPr>
          <w:spacing w:val="-6"/>
          <w:sz w:val="18"/>
        </w:rPr>
        <w:t> </w:t>
      </w:r>
      <w:r>
        <w:rPr>
          <w:sz w:val="18"/>
        </w:rPr>
        <w:t>Treatment</w:t>
      </w:r>
      <w:r>
        <w:rPr>
          <w:spacing w:val="-5"/>
          <w:sz w:val="18"/>
        </w:rPr>
        <w:t> </w:t>
      </w:r>
      <w:r>
        <w:rPr>
          <w:sz w:val="18"/>
        </w:rPr>
        <w:t>between</w:t>
      </w:r>
      <w:r>
        <w:rPr>
          <w:spacing w:val="-6"/>
          <w:sz w:val="18"/>
        </w:rPr>
        <w:t> </w:t>
      </w:r>
      <w:r>
        <w:rPr>
          <w:sz w:val="18"/>
        </w:rPr>
        <w:t>Men</w:t>
      </w:r>
      <w:r>
        <w:rPr>
          <w:spacing w:val="-6"/>
          <w:sz w:val="18"/>
        </w:rPr>
        <w:t> </w:t>
      </w:r>
      <w:r>
        <w:rPr>
          <w:sz w:val="18"/>
        </w:rPr>
        <w:t>and</w:t>
      </w:r>
      <w:r>
        <w:rPr>
          <w:spacing w:val="-6"/>
          <w:sz w:val="18"/>
        </w:rPr>
        <w:t> </w:t>
      </w:r>
      <w:r>
        <w:rPr>
          <w:sz w:val="18"/>
        </w:rPr>
        <w:t>Women</w:t>
      </w:r>
      <w:r>
        <w:rPr>
          <w:spacing w:val="-6"/>
          <w:sz w:val="18"/>
        </w:rPr>
        <w:t> </w:t>
      </w:r>
      <w:r>
        <w:rPr>
          <w:sz w:val="18"/>
        </w:rPr>
        <w:t>in the access to and supply of goods and Services’, 13 December 2004; Directive 2006/54/EC, ‘EU Parliament and Council Directive on the Implementation of the Principle of Equal Opportunities and Equal Treatment of Men and Women in Matters of Employment and Occupation (Recast)’, 5 July 2006; Directive 2010/41/EU, ‘EU Parliament and Council</w:t>
      </w:r>
    </w:p>
    <w:p>
      <w:pPr>
        <w:spacing w:line="235" w:lineRule="auto" w:before="2"/>
        <w:ind w:left="1853" w:right="1124" w:firstLine="0"/>
        <w:jc w:val="left"/>
        <w:rPr>
          <w:sz w:val="18"/>
        </w:rPr>
      </w:pPr>
      <w:r>
        <w:rPr>
          <w:sz w:val="18"/>
        </w:rPr>
        <w:t>Directive</w:t>
      </w:r>
      <w:r>
        <w:rPr>
          <w:spacing w:val="-4"/>
          <w:sz w:val="18"/>
        </w:rPr>
        <w:t> </w:t>
      </w:r>
      <w:r>
        <w:rPr>
          <w:sz w:val="18"/>
        </w:rPr>
        <w:t>on</w:t>
      </w:r>
      <w:r>
        <w:rPr>
          <w:spacing w:val="-5"/>
          <w:sz w:val="18"/>
        </w:rPr>
        <w:t> </w:t>
      </w:r>
      <w:r>
        <w:rPr>
          <w:sz w:val="18"/>
        </w:rPr>
        <w:t>the</w:t>
      </w:r>
      <w:r>
        <w:rPr>
          <w:spacing w:val="-4"/>
          <w:sz w:val="18"/>
        </w:rPr>
        <w:t> </w:t>
      </w:r>
      <w:r>
        <w:rPr>
          <w:sz w:val="18"/>
        </w:rPr>
        <w:t>Application</w:t>
      </w:r>
      <w:r>
        <w:rPr>
          <w:spacing w:val="-5"/>
          <w:sz w:val="18"/>
        </w:rPr>
        <w:t> </w:t>
      </w:r>
      <w:r>
        <w:rPr>
          <w:sz w:val="18"/>
        </w:rPr>
        <w:t>of</w:t>
      </w:r>
      <w:r>
        <w:rPr>
          <w:spacing w:val="-5"/>
          <w:sz w:val="18"/>
        </w:rPr>
        <w:t> </w:t>
      </w:r>
      <w:r>
        <w:rPr>
          <w:sz w:val="18"/>
        </w:rPr>
        <w:t>the</w:t>
      </w:r>
      <w:r>
        <w:rPr>
          <w:spacing w:val="-4"/>
          <w:sz w:val="18"/>
        </w:rPr>
        <w:t> </w:t>
      </w:r>
      <w:r>
        <w:rPr>
          <w:sz w:val="18"/>
        </w:rPr>
        <w:t>Principle</w:t>
      </w:r>
      <w:r>
        <w:rPr>
          <w:spacing w:val="-4"/>
          <w:sz w:val="18"/>
        </w:rPr>
        <w:t> </w:t>
      </w:r>
      <w:r>
        <w:rPr>
          <w:sz w:val="18"/>
        </w:rPr>
        <w:t>of</w:t>
      </w:r>
      <w:r>
        <w:rPr>
          <w:spacing w:val="-5"/>
          <w:sz w:val="18"/>
        </w:rPr>
        <w:t> </w:t>
      </w:r>
      <w:r>
        <w:rPr>
          <w:sz w:val="18"/>
        </w:rPr>
        <w:t>Equal</w:t>
      </w:r>
      <w:r>
        <w:rPr>
          <w:spacing w:val="-5"/>
          <w:sz w:val="18"/>
        </w:rPr>
        <w:t> </w:t>
      </w:r>
      <w:r>
        <w:rPr>
          <w:sz w:val="18"/>
        </w:rPr>
        <w:t>Treatment</w:t>
      </w:r>
      <w:r>
        <w:rPr>
          <w:spacing w:val="-4"/>
          <w:sz w:val="18"/>
        </w:rPr>
        <w:t> </w:t>
      </w:r>
      <w:r>
        <w:rPr>
          <w:sz w:val="18"/>
        </w:rPr>
        <w:t>between</w:t>
      </w:r>
      <w:r>
        <w:rPr>
          <w:spacing w:val="-5"/>
          <w:sz w:val="18"/>
        </w:rPr>
        <w:t> </w:t>
      </w:r>
      <w:r>
        <w:rPr>
          <w:sz w:val="18"/>
        </w:rPr>
        <w:t>Men</w:t>
      </w:r>
      <w:r>
        <w:rPr>
          <w:spacing w:val="-5"/>
          <w:sz w:val="18"/>
        </w:rPr>
        <w:t> </w:t>
      </w:r>
      <w:r>
        <w:rPr>
          <w:sz w:val="18"/>
        </w:rPr>
        <w:t>and</w:t>
      </w:r>
      <w:r>
        <w:rPr>
          <w:spacing w:val="-5"/>
          <w:sz w:val="18"/>
        </w:rPr>
        <w:t> </w:t>
      </w:r>
      <w:r>
        <w:rPr>
          <w:sz w:val="18"/>
        </w:rPr>
        <w:t>Women</w:t>
      </w:r>
      <w:r>
        <w:rPr>
          <w:spacing w:val="-5"/>
          <w:sz w:val="18"/>
        </w:rPr>
        <w:t> </w:t>
      </w:r>
      <w:r>
        <w:rPr>
          <w:sz w:val="18"/>
        </w:rPr>
        <w:t>Engaged</w:t>
      </w:r>
      <w:r>
        <w:rPr>
          <w:spacing w:val="-5"/>
          <w:sz w:val="18"/>
        </w:rPr>
        <w:t> </w:t>
      </w:r>
      <w:r>
        <w:rPr>
          <w:sz w:val="18"/>
        </w:rPr>
        <w:t>in</w:t>
      </w:r>
      <w:r>
        <w:rPr>
          <w:spacing w:val="-5"/>
          <w:sz w:val="18"/>
        </w:rPr>
        <w:t> </w:t>
      </w:r>
      <w:r>
        <w:rPr>
          <w:sz w:val="18"/>
        </w:rPr>
        <w:t>an</w:t>
      </w:r>
      <w:r>
        <w:rPr>
          <w:spacing w:val="-5"/>
          <w:sz w:val="18"/>
        </w:rPr>
        <w:t> </w:t>
      </w:r>
      <w:r>
        <w:rPr>
          <w:sz w:val="18"/>
        </w:rPr>
        <w:t>Activity</w:t>
      </w:r>
      <w:r>
        <w:rPr>
          <w:spacing w:val="-4"/>
          <w:sz w:val="18"/>
        </w:rPr>
        <w:t> </w:t>
      </w:r>
      <w:r>
        <w:rPr>
          <w:sz w:val="18"/>
        </w:rPr>
        <w:t>in</w:t>
      </w:r>
      <w:r>
        <w:rPr>
          <w:spacing w:val="-5"/>
          <w:sz w:val="18"/>
        </w:rPr>
        <w:t> </w:t>
      </w:r>
      <w:r>
        <w:rPr>
          <w:sz w:val="18"/>
        </w:rPr>
        <w:t>a</w:t>
      </w:r>
      <w:r>
        <w:rPr>
          <w:spacing w:val="-5"/>
          <w:sz w:val="18"/>
        </w:rPr>
        <w:t> </w:t>
      </w:r>
      <w:r>
        <w:rPr>
          <w:sz w:val="18"/>
        </w:rPr>
        <w:t>Self- employed Capacity’, 7 July 2010.</w:t>
      </w:r>
    </w:p>
    <w:p>
      <w:pPr>
        <w:pStyle w:val="ListParagraph"/>
        <w:numPr>
          <w:ilvl w:val="0"/>
          <w:numId w:val="9"/>
        </w:numPr>
        <w:tabs>
          <w:tab w:pos="1853" w:val="left" w:leader="none"/>
        </w:tabs>
        <w:spacing w:line="235" w:lineRule="auto" w:before="2" w:after="0"/>
        <w:ind w:left="1853" w:right="1192" w:hanging="720"/>
        <w:jc w:val="left"/>
        <w:rPr>
          <w:sz w:val="18"/>
        </w:rPr>
      </w:pPr>
      <w:r>
        <w:rPr>
          <w:sz w:val="18"/>
        </w:rPr>
        <w:t>EU</w:t>
      </w:r>
      <w:r>
        <w:rPr>
          <w:spacing w:val="-4"/>
          <w:sz w:val="18"/>
        </w:rPr>
        <w:t> </w:t>
      </w:r>
      <w:r>
        <w:rPr>
          <w:sz w:val="18"/>
        </w:rPr>
        <w:t>Commission,</w:t>
      </w:r>
      <w:r>
        <w:rPr>
          <w:spacing w:val="-4"/>
          <w:sz w:val="18"/>
        </w:rPr>
        <w:t> </w:t>
      </w:r>
      <w:r>
        <w:rPr>
          <w:sz w:val="18"/>
        </w:rPr>
        <w:t>‘Proposal</w:t>
      </w:r>
      <w:r>
        <w:rPr>
          <w:spacing w:val="-5"/>
          <w:sz w:val="18"/>
        </w:rPr>
        <w:t> </w:t>
      </w:r>
      <w:r>
        <w:rPr>
          <w:sz w:val="18"/>
        </w:rPr>
        <w:t>for</w:t>
      </w:r>
      <w:r>
        <w:rPr>
          <w:spacing w:val="-4"/>
          <w:sz w:val="18"/>
        </w:rPr>
        <w:t> </w:t>
      </w:r>
      <w:r>
        <w:rPr>
          <w:sz w:val="18"/>
        </w:rPr>
        <w:t>a</w:t>
      </w:r>
      <w:r>
        <w:rPr>
          <w:spacing w:val="-5"/>
          <w:sz w:val="18"/>
        </w:rPr>
        <w:t> </w:t>
      </w:r>
      <w:r>
        <w:rPr>
          <w:sz w:val="18"/>
        </w:rPr>
        <w:t>Directive</w:t>
      </w:r>
      <w:r>
        <w:rPr>
          <w:spacing w:val="-4"/>
          <w:sz w:val="18"/>
        </w:rPr>
        <w:t> </w:t>
      </w:r>
      <w:r>
        <w:rPr>
          <w:sz w:val="18"/>
        </w:rPr>
        <w:t>of</w:t>
      </w:r>
      <w:r>
        <w:rPr>
          <w:spacing w:val="-5"/>
          <w:sz w:val="18"/>
        </w:rPr>
        <w:t> </w:t>
      </w:r>
      <w:r>
        <w:rPr>
          <w:sz w:val="18"/>
        </w:rPr>
        <w:t>the</w:t>
      </w:r>
      <w:r>
        <w:rPr>
          <w:spacing w:val="-4"/>
          <w:sz w:val="18"/>
        </w:rPr>
        <w:t> </w:t>
      </w:r>
      <w:r>
        <w:rPr>
          <w:sz w:val="18"/>
        </w:rPr>
        <w:t>EU</w:t>
      </w:r>
      <w:r>
        <w:rPr>
          <w:spacing w:val="-4"/>
          <w:sz w:val="18"/>
        </w:rPr>
        <w:t> </w:t>
      </w:r>
      <w:r>
        <w:rPr>
          <w:sz w:val="18"/>
        </w:rPr>
        <w:t>Parliament</w:t>
      </w:r>
      <w:r>
        <w:rPr>
          <w:spacing w:val="-4"/>
          <w:sz w:val="18"/>
        </w:rPr>
        <w:t> </w:t>
      </w:r>
      <w:r>
        <w:rPr>
          <w:sz w:val="18"/>
        </w:rPr>
        <w:t>and</w:t>
      </w:r>
      <w:r>
        <w:rPr>
          <w:spacing w:val="-5"/>
          <w:sz w:val="18"/>
        </w:rPr>
        <w:t> </w:t>
      </w:r>
      <w:r>
        <w:rPr>
          <w:sz w:val="18"/>
        </w:rPr>
        <w:t>of</w:t>
      </w:r>
      <w:r>
        <w:rPr>
          <w:spacing w:val="-5"/>
          <w:sz w:val="18"/>
        </w:rPr>
        <w:t> </w:t>
      </w:r>
      <w:r>
        <w:rPr>
          <w:sz w:val="18"/>
        </w:rPr>
        <w:t>the</w:t>
      </w:r>
      <w:r>
        <w:rPr>
          <w:spacing w:val="-4"/>
          <w:sz w:val="18"/>
        </w:rPr>
        <w:t> </w:t>
      </w:r>
      <w:r>
        <w:rPr>
          <w:sz w:val="18"/>
        </w:rPr>
        <w:t>Council</w:t>
      </w:r>
      <w:r>
        <w:rPr>
          <w:spacing w:val="-5"/>
          <w:sz w:val="18"/>
        </w:rPr>
        <w:t> </w:t>
      </w:r>
      <w:r>
        <w:rPr>
          <w:sz w:val="18"/>
        </w:rPr>
        <w:t>on</w:t>
      </w:r>
      <w:r>
        <w:rPr>
          <w:spacing w:val="-5"/>
          <w:sz w:val="18"/>
        </w:rPr>
        <w:t> </w:t>
      </w:r>
      <w:r>
        <w:rPr>
          <w:sz w:val="18"/>
        </w:rPr>
        <w:t>Combatting</w:t>
      </w:r>
      <w:r>
        <w:rPr>
          <w:spacing w:val="-4"/>
          <w:sz w:val="18"/>
        </w:rPr>
        <w:t> </w:t>
      </w:r>
      <w:r>
        <w:rPr>
          <w:sz w:val="18"/>
        </w:rPr>
        <w:t>Violence</w:t>
      </w:r>
      <w:r>
        <w:rPr>
          <w:spacing w:val="-4"/>
          <w:sz w:val="18"/>
        </w:rPr>
        <w:t> </w:t>
      </w:r>
      <w:r>
        <w:rPr>
          <w:sz w:val="18"/>
        </w:rPr>
        <w:t>against</w:t>
      </w:r>
      <w:r>
        <w:rPr>
          <w:spacing w:val="-4"/>
          <w:sz w:val="18"/>
        </w:rPr>
        <w:t> </w:t>
      </w:r>
      <w:r>
        <w:rPr>
          <w:sz w:val="18"/>
        </w:rPr>
        <w:t>Women and Domestic Violence-COM(2022)’ (EU Commission, 2022).</w:t>
      </w:r>
    </w:p>
    <w:p>
      <w:pPr>
        <w:pStyle w:val="ListParagraph"/>
        <w:numPr>
          <w:ilvl w:val="0"/>
          <w:numId w:val="9"/>
        </w:numPr>
        <w:tabs>
          <w:tab w:pos="1853" w:val="left" w:leader="none"/>
        </w:tabs>
        <w:spacing w:line="235" w:lineRule="auto" w:before="1" w:after="0"/>
        <w:ind w:left="1853" w:right="1388" w:hanging="720"/>
        <w:jc w:val="left"/>
        <w:rPr>
          <w:sz w:val="18"/>
        </w:rPr>
      </w:pPr>
      <w:r>
        <w:rPr>
          <w:sz w:val="18"/>
        </w:rPr>
        <w:t>Directive</w:t>
      </w:r>
      <w:r>
        <w:rPr>
          <w:spacing w:val="-5"/>
          <w:sz w:val="18"/>
        </w:rPr>
        <w:t> </w:t>
      </w:r>
      <w:r>
        <w:rPr>
          <w:sz w:val="18"/>
        </w:rPr>
        <w:t>2011/92/EU,</w:t>
      </w:r>
      <w:r>
        <w:rPr>
          <w:spacing w:val="-5"/>
          <w:sz w:val="18"/>
        </w:rPr>
        <w:t> </w:t>
      </w:r>
      <w:r>
        <w:rPr>
          <w:sz w:val="18"/>
        </w:rPr>
        <w:t>‘EU</w:t>
      </w:r>
      <w:r>
        <w:rPr>
          <w:spacing w:val="-5"/>
          <w:sz w:val="18"/>
        </w:rPr>
        <w:t> </w:t>
      </w:r>
      <w:r>
        <w:rPr>
          <w:sz w:val="18"/>
        </w:rPr>
        <w:t>Parliament</w:t>
      </w:r>
      <w:r>
        <w:rPr>
          <w:spacing w:val="-5"/>
          <w:sz w:val="18"/>
        </w:rPr>
        <w:t> </w:t>
      </w:r>
      <w:r>
        <w:rPr>
          <w:sz w:val="18"/>
        </w:rPr>
        <w:t>and</w:t>
      </w:r>
      <w:r>
        <w:rPr>
          <w:spacing w:val="-6"/>
          <w:sz w:val="18"/>
        </w:rPr>
        <w:t> </w:t>
      </w:r>
      <w:r>
        <w:rPr>
          <w:sz w:val="18"/>
        </w:rPr>
        <w:t>Council</w:t>
      </w:r>
      <w:r>
        <w:rPr>
          <w:spacing w:val="-6"/>
          <w:sz w:val="18"/>
        </w:rPr>
        <w:t> </w:t>
      </w:r>
      <w:r>
        <w:rPr>
          <w:sz w:val="18"/>
        </w:rPr>
        <w:t>Directive</w:t>
      </w:r>
      <w:r>
        <w:rPr>
          <w:spacing w:val="-5"/>
          <w:sz w:val="18"/>
        </w:rPr>
        <w:t> </w:t>
      </w:r>
      <w:r>
        <w:rPr>
          <w:sz w:val="18"/>
        </w:rPr>
        <w:t>on</w:t>
      </w:r>
      <w:r>
        <w:rPr>
          <w:spacing w:val="-6"/>
          <w:sz w:val="18"/>
        </w:rPr>
        <w:t> </w:t>
      </w:r>
      <w:r>
        <w:rPr>
          <w:sz w:val="18"/>
        </w:rPr>
        <w:t>Combatting</w:t>
      </w:r>
      <w:r>
        <w:rPr>
          <w:spacing w:val="-5"/>
          <w:sz w:val="18"/>
        </w:rPr>
        <w:t> </w:t>
      </w:r>
      <w:r>
        <w:rPr>
          <w:sz w:val="18"/>
        </w:rPr>
        <w:t>the</w:t>
      </w:r>
      <w:r>
        <w:rPr>
          <w:spacing w:val="-5"/>
          <w:sz w:val="18"/>
        </w:rPr>
        <w:t> </w:t>
      </w:r>
      <w:r>
        <w:rPr>
          <w:sz w:val="18"/>
        </w:rPr>
        <w:t>Sexual</w:t>
      </w:r>
      <w:r>
        <w:rPr>
          <w:spacing w:val="-6"/>
          <w:sz w:val="18"/>
        </w:rPr>
        <w:t> </w:t>
      </w:r>
      <w:r>
        <w:rPr>
          <w:sz w:val="18"/>
        </w:rPr>
        <w:t>Abuse</w:t>
      </w:r>
      <w:r>
        <w:rPr>
          <w:spacing w:val="-5"/>
          <w:sz w:val="18"/>
        </w:rPr>
        <w:t> </w:t>
      </w:r>
      <w:r>
        <w:rPr>
          <w:sz w:val="18"/>
        </w:rPr>
        <w:t>and</w:t>
      </w:r>
      <w:r>
        <w:rPr>
          <w:spacing w:val="-6"/>
          <w:sz w:val="18"/>
        </w:rPr>
        <w:t> </w:t>
      </w:r>
      <w:r>
        <w:rPr>
          <w:sz w:val="18"/>
        </w:rPr>
        <w:t>Sexual</w:t>
      </w:r>
      <w:r>
        <w:rPr>
          <w:spacing w:val="-6"/>
          <w:sz w:val="18"/>
        </w:rPr>
        <w:t> </w:t>
      </w:r>
      <w:r>
        <w:rPr>
          <w:sz w:val="18"/>
        </w:rPr>
        <w:t>Exploitation</w:t>
      </w:r>
      <w:r>
        <w:rPr>
          <w:spacing w:val="-6"/>
          <w:sz w:val="18"/>
        </w:rPr>
        <w:t> </w:t>
      </w:r>
      <w:r>
        <w:rPr>
          <w:sz w:val="18"/>
        </w:rPr>
        <w:t>of Children and Child Pornography and Replacing Council Framework Decision 2004/68/JHA’, 13 December 2011.</w:t>
      </w:r>
    </w:p>
    <w:p>
      <w:pPr>
        <w:pStyle w:val="ListParagraph"/>
        <w:numPr>
          <w:ilvl w:val="0"/>
          <w:numId w:val="9"/>
        </w:numPr>
        <w:tabs>
          <w:tab w:pos="1853" w:val="left" w:leader="none"/>
        </w:tabs>
        <w:spacing w:line="235" w:lineRule="auto" w:before="1" w:after="0"/>
        <w:ind w:left="1853" w:right="1822" w:hanging="720"/>
        <w:jc w:val="left"/>
        <w:rPr>
          <w:sz w:val="18"/>
        </w:rPr>
      </w:pPr>
      <w:r>
        <w:rPr>
          <w:sz w:val="18"/>
        </w:rPr>
        <w:t>Directive</w:t>
      </w:r>
      <w:r>
        <w:rPr>
          <w:spacing w:val="-5"/>
          <w:sz w:val="18"/>
        </w:rPr>
        <w:t> </w:t>
      </w:r>
      <w:r>
        <w:rPr>
          <w:sz w:val="18"/>
        </w:rPr>
        <w:t>2011/36/EU,</w:t>
      </w:r>
      <w:r>
        <w:rPr>
          <w:spacing w:val="-5"/>
          <w:sz w:val="18"/>
        </w:rPr>
        <w:t> </w:t>
      </w:r>
      <w:r>
        <w:rPr>
          <w:sz w:val="18"/>
        </w:rPr>
        <w:t>‘Council</w:t>
      </w:r>
      <w:r>
        <w:rPr>
          <w:spacing w:val="-6"/>
          <w:sz w:val="18"/>
        </w:rPr>
        <w:t> </w:t>
      </w:r>
      <w:r>
        <w:rPr>
          <w:sz w:val="18"/>
        </w:rPr>
        <w:t>of</w:t>
      </w:r>
      <w:r>
        <w:rPr>
          <w:spacing w:val="-6"/>
          <w:sz w:val="18"/>
        </w:rPr>
        <w:t> </w:t>
      </w:r>
      <w:r>
        <w:rPr>
          <w:sz w:val="18"/>
        </w:rPr>
        <w:t>the</w:t>
      </w:r>
      <w:r>
        <w:rPr>
          <w:spacing w:val="-5"/>
          <w:sz w:val="18"/>
        </w:rPr>
        <w:t> </w:t>
      </w:r>
      <w:r>
        <w:rPr>
          <w:sz w:val="18"/>
        </w:rPr>
        <w:t>EU</w:t>
      </w:r>
      <w:r>
        <w:rPr>
          <w:spacing w:val="-5"/>
          <w:sz w:val="18"/>
        </w:rPr>
        <w:t> </w:t>
      </w:r>
      <w:r>
        <w:rPr>
          <w:sz w:val="18"/>
        </w:rPr>
        <w:t>Directive</w:t>
      </w:r>
      <w:r>
        <w:rPr>
          <w:spacing w:val="-5"/>
          <w:sz w:val="18"/>
        </w:rPr>
        <w:t> </w:t>
      </w:r>
      <w:r>
        <w:rPr>
          <w:sz w:val="18"/>
        </w:rPr>
        <w:t>on</w:t>
      </w:r>
      <w:r>
        <w:rPr>
          <w:spacing w:val="-6"/>
          <w:sz w:val="18"/>
        </w:rPr>
        <w:t> </w:t>
      </w:r>
      <w:r>
        <w:rPr>
          <w:sz w:val="18"/>
        </w:rPr>
        <w:t>Preventing</w:t>
      </w:r>
      <w:r>
        <w:rPr>
          <w:spacing w:val="-5"/>
          <w:sz w:val="18"/>
        </w:rPr>
        <w:t> </w:t>
      </w:r>
      <w:r>
        <w:rPr>
          <w:sz w:val="18"/>
        </w:rPr>
        <w:t>and</w:t>
      </w:r>
      <w:r>
        <w:rPr>
          <w:spacing w:val="-6"/>
          <w:sz w:val="18"/>
        </w:rPr>
        <w:t> </w:t>
      </w:r>
      <w:r>
        <w:rPr>
          <w:sz w:val="18"/>
        </w:rPr>
        <w:t>Combating</w:t>
      </w:r>
      <w:r>
        <w:rPr>
          <w:spacing w:val="-5"/>
          <w:sz w:val="18"/>
        </w:rPr>
        <w:t> </w:t>
      </w:r>
      <w:r>
        <w:rPr>
          <w:sz w:val="18"/>
        </w:rPr>
        <w:t>Trafficking</w:t>
      </w:r>
      <w:r>
        <w:rPr>
          <w:spacing w:val="-5"/>
          <w:sz w:val="18"/>
        </w:rPr>
        <w:t> </w:t>
      </w:r>
      <w:r>
        <w:rPr>
          <w:sz w:val="18"/>
        </w:rPr>
        <w:t>in</w:t>
      </w:r>
      <w:r>
        <w:rPr>
          <w:spacing w:val="-6"/>
          <w:sz w:val="18"/>
        </w:rPr>
        <w:t> </w:t>
      </w:r>
      <w:r>
        <w:rPr>
          <w:sz w:val="18"/>
        </w:rPr>
        <w:t>Human</w:t>
      </w:r>
      <w:r>
        <w:rPr>
          <w:spacing w:val="-6"/>
          <w:sz w:val="18"/>
        </w:rPr>
        <w:t> </w:t>
      </w:r>
      <w:r>
        <w:rPr>
          <w:sz w:val="18"/>
        </w:rPr>
        <w:t>Beings</w:t>
      </w:r>
      <w:r>
        <w:rPr>
          <w:spacing w:val="-6"/>
          <w:sz w:val="18"/>
        </w:rPr>
        <w:t> </w:t>
      </w:r>
      <w:r>
        <w:rPr>
          <w:sz w:val="18"/>
        </w:rPr>
        <w:t>and Protecting Its Victims’, 5 April 2011.</w:t>
      </w:r>
    </w:p>
    <w:p>
      <w:pPr>
        <w:pStyle w:val="ListParagraph"/>
        <w:numPr>
          <w:ilvl w:val="0"/>
          <w:numId w:val="9"/>
        </w:numPr>
        <w:tabs>
          <w:tab w:pos="1853" w:val="left" w:leader="none"/>
        </w:tabs>
        <w:spacing w:line="216" w:lineRule="exact" w:before="0" w:after="0"/>
        <w:ind w:left="1853" w:right="0" w:hanging="720"/>
        <w:jc w:val="left"/>
        <w:rPr>
          <w:sz w:val="18"/>
        </w:rPr>
      </w:pPr>
      <w:r>
        <w:rPr>
          <w:sz w:val="18"/>
        </w:rPr>
        <w:t>Pivotal,</w:t>
      </w:r>
      <w:r>
        <w:rPr>
          <w:spacing w:val="-3"/>
          <w:sz w:val="18"/>
        </w:rPr>
        <w:t> </w:t>
      </w:r>
      <w:r>
        <w:rPr>
          <w:sz w:val="18"/>
        </w:rPr>
        <w:t>‘</w:t>
      </w:r>
      <w:hyperlink r:id="rId130">
        <w:r>
          <w:rPr>
            <w:sz w:val="18"/>
          </w:rPr>
          <w:t>Impact</w:t>
        </w:r>
        <w:r>
          <w:rPr>
            <w:spacing w:val="-3"/>
            <w:sz w:val="18"/>
          </w:rPr>
          <w:t> </w:t>
        </w:r>
        <w:r>
          <w:rPr>
            <w:sz w:val="18"/>
          </w:rPr>
          <w:t>of</w:t>
        </w:r>
        <w:r>
          <w:rPr>
            <w:spacing w:val="-4"/>
            <w:sz w:val="18"/>
          </w:rPr>
          <w:t> </w:t>
        </w:r>
        <w:r>
          <w:rPr>
            <w:sz w:val="18"/>
          </w:rPr>
          <w:t>Brexit</w:t>
        </w:r>
        <w:r>
          <w:rPr>
            <w:spacing w:val="-2"/>
            <w:sz w:val="18"/>
          </w:rPr>
          <w:t> </w:t>
        </w:r>
        <w:r>
          <w:rPr>
            <w:sz w:val="18"/>
          </w:rPr>
          <w:t>on</w:t>
        </w:r>
        <w:r>
          <w:rPr>
            <w:spacing w:val="-4"/>
            <w:sz w:val="18"/>
          </w:rPr>
          <w:t> </w:t>
        </w:r>
        <w:r>
          <w:rPr>
            <w:sz w:val="18"/>
          </w:rPr>
          <w:t>minority</w:t>
        </w:r>
        <w:r>
          <w:rPr>
            <w:spacing w:val="-3"/>
            <w:sz w:val="18"/>
          </w:rPr>
          <w:t> </w:t>
        </w:r>
        <w:r>
          <w:rPr>
            <w:sz w:val="18"/>
          </w:rPr>
          <w:t>ethnic</w:t>
        </w:r>
        <w:r>
          <w:rPr>
            <w:spacing w:val="-3"/>
            <w:sz w:val="18"/>
          </w:rPr>
          <w:t> </w:t>
        </w:r>
        <w:r>
          <w:rPr>
            <w:sz w:val="18"/>
          </w:rPr>
          <w:t>and</w:t>
        </w:r>
        <w:r>
          <w:rPr>
            <w:spacing w:val="-3"/>
            <w:sz w:val="18"/>
          </w:rPr>
          <w:t> </w:t>
        </w:r>
        <w:r>
          <w:rPr>
            <w:sz w:val="18"/>
          </w:rPr>
          <w:t>migrant</w:t>
        </w:r>
        <w:r>
          <w:rPr>
            <w:spacing w:val="-3"/>
            <w:sz w:val="18"/>
          </w:rPr>
          <w:t> </w:t>
        </w:r>
        <w:r>
          <w:rPr>
            <w:sz w:val="18"/>
          </w:rPr>
          <w:t>people</w:t>
        </w:r>
        <w:r>
          <w:rPr>
            <w:spacing w:val="-3"/>
            <w:sz w:val="18"/>
          </w:rPr>
          <w:t> </w:t>
        </w:r>
        <w:r>
          <w:rPr>
            <w:sz w:val="18"/>
          </w:rPr>
          <w:t>in</w:t>
        </w:r>
        <w:r>
          <w:rPr>
            <w:spacing w:val="-3"/>
            <w:sz w:val="18"/>
          </w:rPr>
          <w:t> </w:t>
        </w:r>
        <w:r>
          <w:rPr>
            <w:sz w:val="18"/>
          </w:rPr>
          <w:t>Northern</w:t>
        </w:r>
        <w:r>
          <w:rPr>
            <w:spacing w:val="-4"/>
            <w:sz w:val="18"/>
          </w:rPr>
          <w:t> </w:t>
        </w:r>
        <w:r>
          <w:rPr>
            <w:sz w:val="18"/>
          </w:rPr>
          <w:t>Ireland’</w:t>
        </w:r>
        <w:r>
          <w:rPr>
            <w:spacing w:val="-3"/>
            <w:sz w:val="18"/>
          </w:rPr>
          <w:t> </w:t>
        </w:r>
        <w:r>
          <w:rPr>
            <w:sz w:val="18"/>
          </w:rPr>
          <w:t>(ECNI,</w:t>
        </w:r>
        <w:r>
          <w:rPr>
            <w:spacing w:val="-2"/>
            <w:sz w:val="18"/>
          </w:rPr>
          <w:t> 2023)</w:t>
        </w:r>
      </w:hyperlink>
      <w:r>
        <w:rPr>
          <w:spacing w:val="-2"/>
          <w:sz w:val="18"/>
        </w:rPr>
        <w:t>.</w:t>
      </w:r>
    </w:p>
    <w:p>
      <w:pPr>
        <w:pStyle w:val="ListParagraph"/>
        <w:numPr>
          <w:ilvl w:val="0"/>
          <w:numId w:val="9"/>
        </w:numPr>
        <w:tabs>
          <w:tab w:pos="1853" w:val="left" w:leader="none"/>
        </w:tabs>
        <w:spacing w:line="235" w:lineRule="auto" w:before="2" w:after="0"/>
        <w:ind w:left="1853" w:right="1247" w:hanging="720"/>
        <w:jc w:val="left"/>
        <w:rPr>
          <w:sz w:val="18"/>
        </w:rPr>
      </w:pPr>
      <w:r>
        <w:rPr>
          <w:sz w:val="18"/>
        </w:rPr>
        <w:t>Equality</w:t>
      </w:r>
      <w:r>
        <w:rPr>
          <w:spacing w:val="-5"/>
          <w:sz w:val="18"/>
        </w:rPr>
        <w:t> </w:t>
      </w:r>
      <w:r>
        <w:rPr>
          <w:sz w:val="18"/>
        </w:rPr>
        <w:t>Commission</w:t>
      </w:r>
      <w:r>
        <w:rPr>
          <w:spacing w:val="-6"/>
          <w:sz w:val="18"/>
        </w:rPr>
        <w:t> </w:t>
      </w:r>
      <w:r>
        <w:rPr>
          <w:sz w:val="18"/>
        </w:rPr>
        <w:t>for</w:t>
      </w:r>
      <w:r>
        <w:rPr>
          <w:spacing w:val="-5"/>
          <w:sz w:val="18"/>
        </w:rPr>
        <w:t> </w:t>
      </w:r>
      <w:r>
        <w:rPr>
          <w:sz w:val="18"/>
        </w:rPr>
        <w:t>NI,</w:t>
      </w:r>
      <w:r>
        <w:rPr>
          <w:spacing w:val="-5"/>
          <w:sz w:val="18"/>
        </w:rPr>
        <w:t> </w:t>
      </w:r>
      <w:r>
        <w:rPr>
          <w:sz w:val="18"/>
        </w:rPr>
        <w:t>‘</w:t>
      </w:r>
      <w:hyperlink r:id="rId151">
        <w:r>
          <w:rPr>
            <w:sz w:val="18"/>
          </w:rPr>
          <w:t>Equality</w:t>
        </w:r>
        <w:r>
          <w:rPr>
            <w:spacing w:val="-5"/>
            <w:sz w:val="18"/>
          </w:rPr>
          <w:t> </w:t>
        </w:r>
        <w:r>
          <w:rPr>
            <w:sz w:val="18"/>
          </w:rPr>
          <w:t>Commission</w:t>
        </w:r>
        <w:r>
          <w:rPr>
            <w:spacing w:val="-6"/>
            <w:sz w:val="18"/>
          </w:rPr>
          <w:t> </w:t>
        </w:r>
        <w:r>
          <w:rPr>
            <w:sz w:val="18"/>
          </w:rPr>
          <w:t>consultation</w:t>
        </w:r>
        <w:r>
          <w:rPr>
            <w:spacing w:val="-6"/>
            <w:sz w:val="18"/>
          </w:rPr>
          <w:t> </w:t>
        </w:r>
        <w:r>
          <w:rPr>
            <w:sz w:val="18"/>
          </w:rPr>
          <w:t>response</w:t>
        </w:r>
        <w:r>
          <w:rPr>
            <w:spacing w:val="-5"/>
            <w:sz w:val="18"/>
          </w:rPr>
          <w:t> </w:t>
        </w:r>
        <w:r>
          <w:rPr>
            <w:sz w:val="18"/>
          </w:rPr>
          <w:t>on</w:t>
        </w:r>
        <w:r>
          <w:rPr>
            <w:spacing w:val="-6"/>
            <w:sz w:val="18"/>
          </w:rPr>
          <w:t> </w:t>
        </w:r>
        <w:r>
          <w:rPr>
            <w:sz w:val="18"/>
          </w:rPr>
          <w:t>Strategic</w:t>
        </w:r>
        <w:r>
          <w:rPr>
            <w:spacing w:val="-5"/>
            <w:sz w:val="18"/>
          </w:rPr>
          <w:t> </w:t>
        </w:r>
        <w:r>
          <w:rPr>
            <w:sz w:val="18"/>
          </w:rPr>
          <w:t>Framework</w:t>
        </w:r>
        <w:r>
          <w:rPr>
            <w:spacing w:val="-5"/>
            <w:sz w:val="18"/>
          </w:rPr>
          <w:t> </w:t>
        </w:r>
        <w:r>
          <w:rPr>
            <w:sz w:val="18"/>
          </w:rPr>
          <w:t>to</w:t>
        </w:r>
        <w:r>
          <w:rPr>
            <w:spacing w:val="-6"/>
            <w:sz w:val="18"/>
          </w:rPr>
          <w:t> </w:t>
        </w:r>
        <w:r>
          <w:rPr>
            <w:sz w:val="18"/>
          </w:rPr>
          <w:t>End</w:t>
        </w:r>
        <w:r>
          <w:rPr>
            <w:spacing w:val="-6"/>
            <w:sz w:val="18"/>
          </w:rPr>
          <w:t> </w:t>
        </w:r>
        <w:r>
          <w:rPr>
            <w:sz w:val="18"/>
          </w:rPr>
          <w:t>Violence</w:t>
        </w:r>
        <w:r>
          <w:rPr>
            <w:spacing w:val="-5"/>
            <w:sz w:val="18"/>
          </w:rPr>
          <w:t> </w:t>
        </w:r>
        <w:r>
          <w:rPr>
            <w:sz w:val="18"/>
          </w:rPr>
          <w:t>Against</w:t>
        </w:r>
      </w:hyperlink>
      <w:r>
        <w:rPr>
          <w:sz w:val="18"/>
        </w:rPr>
        <w:t> </w:t>
      </w:r>
      <w:hyperlink r:id="rId151">
        <w:r>
          <w:rPr>
            <w:sz w:val="18"/>
          </w:rPr>
          <w:t>Women and Girls’, (ECNI, 2023)</w:t>
        </w:r>
      </w:hyperlink>
      <w:r>
        <w:rPr>
          <w:sz w:val="18"/>
        </w:rPr>
        <w:t>.</w:t>
      </w:r>
    </w:p>
    <w:p>
      <w:pPr>
        <w:spacing w:after="0" w:line="235" w:lineRule="auto"/>
        <w:jc w:val="left"/>
        <w:rPr>
          <w:sz w:val="18"/>
        </w:rPr>
        <w:sectPr>
          <w:pgSz w:w="11910" w:h="16840"/>
          <w:pgMar w:header="496" w:footer="367" w:top="1220" w:bottom="560" w:left="0" w:right="0"/>
        </w:sectPr>
      </w:pPr>
    </w:p>
    <w:p>
      <w:pPr>
        <w:pStyle w:val="BodyText"/>
        <w:spacing w:before="198"/>
      </w:pPr>
    </w:p>
    <w:p>
      <w:pPr>
        <w:pStyle w:val="ListParagraph"/>
        <w:numPr>
          <w:ilvl w:val="1"/>
          <w:numId w:val="7"/>
        </w:numPr>
        <w:tabs>
          <w:tab w:pos="1853" w:val="left" w:leader="none"/>
        </w:tabs>
        <w:spacing w:line="225" w:lineRule="auto" w:before="0" w:after="0"/>
        <w:ind w:left="1853" w:right="1273" w:hanging="720"/>
        <w:jc w:val="left"/>
        <w:rPr>
          <w:sz w:val="28"/>
        </w:rPr>
      </w:pPr>
      <w:r>
        <w:rPr>
          <w:sz w:val="28"/>
        </w:rPr>
        <w:t>The ECNI also noted the importance of adopting a systematic approach to disaggregated data on violence against women and girls, in the context of</w:t>
      </w:r>
      <w:r>
        <w:rPr>
          <w:spacing w:val="40"/>
          <w:sz w:val="28"/>
        </w:rPr>
        <w:t> </w:t>
      </w:r>
      <w:r>
        <w:rPr>
          <w:sz w:val="28"/>
        </w:rPr>
        <w:t>the</w:t>
      </w:r>
      <w:r>
        <w:rPr>
          <w:spacing w:val="-6"/>
          <w:sz w:val="28"/>
        </w:rPr>
        <w:t> </w:t>
      </w:r>
      <w:r>
        <w:rPr>
          <w:sz w:val="28"/>
        </w:rPr>
        <w:t>loss</w:t>
      </w:r>
      <w:r>
        <w:rPr>
          <w:spacing w:val="-7"/>
          <w:sz w:val="28"/>
        </w:rPr>
        <w:t> </w:t>
      </w:r>
      <w:r>
        <w:rPr>
          <w:sz w:val="28"/>
        </w:rPr>
        <w:t>of</w:t>
      </w:r>
      <w:r>
        <w:rPr>
          <w:spacing w:val="-7"/>
          <w:sz w:val="28"/>
        </w:rPr>
        <w:t> </w:t>
      </w:r>
      <w:r>
        <w:rPr>
          <w:sz w:val="28"/>
        </w:rPr>
        <w:t>the</w:t>
      </w:r>
      <w:r>
        <w:rPr>
          <w:spacing w:val="-6"/>
          <w:sz w:val="28"/>
        </w:rPr>
        <w:t> </w:t>
      </w:r>
      <w:r>
        <w:rPr>
          <w:sz w:val="28"/>
        </w:rPr>
        <w:t>ability,</w:t>
      </w:r>
      <w:r>
        <w:rPr>
          <w:spacing w:val="-6"/>
          <w:sz w:val="28"/>
        </w:rPr>
        <w:t> </w:t>
      </w:r>
      <w:r>
        <w:rPr>
          <w:sz w:val="28"/>
        </w:rPr>
        <w:t>post</w:t>
      </w:r>
      <w:r>
        <w:rPr>
          <w:spacing w:val="-6"/>
          <w:sz w:val="28"/>
        </w:rPr>
        <w:t> </w:t>
      </w:r>
      <w:r>
        <w:rPr>
          <w:sz w:val="28"/>
        </w:rPr>
        <w:t>Brexit,</w:t>
      </w:r>
      <w:r>
        <w:rPr>
          <w:spacing w:val="-6"/>
          <w:sz w:val="28"/>
        </w:rPr>
        <w:t> </w:t>
      </w:r>
      <w:r>
        <w:rPr>
          <w:sz w:val="28"/>
        </w:rPr>
        <w:t>to</w:t>
      </w:r>
      <w:r>
        <w:rPr>
          <w:spacing w:val="-7"/>
          <w:sz w:val="28"/>
        </w:rPr>
        <w:t> </w:t>
      </w:r>
      <w:r>
        <w:rPr>
          <w:sz w:val="28"/>
        </w:rPr>
        <w:t>benchmark</w:t>
      </w:r>
      <w:r>
        <w:rPr>
          <w:spacing w:val="-6"/>
          <w:sz w:val="28"/>
        </w:rPr>
        <w:t> </w:t>
      </w:r>
      <w:r>
        <w:rPr>
          <w:sz w:val="28"/>
        </w:rPr>
        <w:t>against</w:t>
      </w:r>
      <w:r>
        <w:rPr>
          <w:spacing w:val="-6"/>
          <w:sz w:val="28"/>
        </w:rPr>
        <w:t> </w:t>
      </w:r>
      <w:r>
        <w:rPr>
          <w:sz w:val="28"/>
        </w:rPr>
        <w:t>EU</w:t>
      </w:r>
      <w:r>
        <w:rPr>
          <w:spacing w:val="-6"/>
          <w:sz w:val="28"/>
        </w:rPr>
        <w:t> </w:t>
      </w:r>
      <w:r>
        <w:rPr>
          <w:sz w:val="28"/>
        </w:rPr>
        <w:t>Member</w:t>
      </w:r>
      <w:r>
        <w:rPr>
          <w:spacing w:val="-6"/>
          <w:sz w:val="28"/>
        </w:rPr>
        <w:t> </w:t>
      </w:r>
      <w:r>
        <w:rPr>
          <w:sz w:val="28"/>
        </w:rPr>
        <w:t>States.</w:t>
      </w:r>
      <w:r>
        <w:rPr>
          <w:spacing w:val="-7"/>
          <w:sz w:val="28"/>
        </w:rPr>
        <w:t> </w:t>
      </w:r>
      <w:r>
        <w:rPr>
          <w:sz w:val="28"/>
        </w:rPr>
        <w:t>It encouraged</w:t>
      </w:r>
      <w:r>
        <w:rPr>
          <w:spacing w:val="-7"/>
          <w:sz w:val="28"/>
        </w:rPr>
        <w:t> </w:t>
      </w:r>
      <w:r>
        <w:rPr>
          <w:sz w:val="28"/>
        </w:rPr>
        <w:t>the</w:t>
      </w:r>
      <w:r>
        <w:rPr>
          <w:spacing w:val="-6"/>
          <w:sz w:val="28"/>
        </w:rPr>
        <w:t> </w:t>
      </w:r>
      <w:r>
        <w:rPr>
          <w:sz w:val="28"/>
        </w:rPr>
        <w:t>Executive</w:t>
      </w:r>
      <w:r>
        <w:rPr>
          <w:spacing w:val="-6"/>
          <w:sz w:val="28"/>
        </w:rPr>
        <w:t> </w:t>
      </w:r>
      <w:r>
        <w:rPr>
          <w:sz w:val="28"/>
        </w:rPr>
        <w:t>Office</w:t>
      </w:r>
      <w:r>
        <w:rPr>
          <w:spacing w:val="-6"/>
          <w:sz w:val="28"/>
        </w:rPr>
        <w:t> </w:t>
      </w:r>
      <w:r>
        <w:rPr>
          <w:sz w:val="28"/>
        </w:rPr>
        <w:t>to</w:t>
      </w:r>
      <w:r>
        <w:rPr>
          <w:spacing w:val="-7"/>
          <w:sz w:val="28"/>
        </w:rPr>
        <w:t> </w:t>
      </w:r>
      <w:r>
        <w:rPr>
          <w:sz w:val="28"/>
        </w:rPr>
        <w:t>consider</w:t>
      </w:r>
      <w:r>
        <w:rPr>
          <w:spacing w:val="-6"/>
          <w:sz w:val="28"/>
        </w:rPr>
        <w:t> </w:t>
      </w:r>
      <w:r>
        <w:rPr>
          <w:sz w:val="28"/>
        </w:rPr>
        <w:t>provisions</w:t>
      </w:r>
      <w:r>
        <w:rPr>
          <w:spacing w:val="-7"/>
          <w:sz w:val="28"/>
        </w:rPr>
        <w:t> </w:t>
      </w:r>
      <w:r>
        <w:rPr>
          <w:sz w:val="28"/>
        </w:rPr>
        <w:t>of</w:t>
      </w:r>
      <w:r>
        <w:rPr>
          <w:spacing w:val="-7"/>
          <w:sz w:val="28"/>
        </w:rPr>
        <w:t> </w:t>
      </w:r>
      <w:r>
        <w:rPr>
          <w:sz w:val="28"/>
        </w:rPr>
        <w:t>the</w:t>
      </w:r>
      <w:r>
        <w:rPr>
          <w:spacing w:val="-6"/>
          <w:sz w:val="28"/>
        </w:rPr>
        <w:t> </w:t>
      </w:r>
      <w:r>
        <w:rPr>
          <w:sz w:val="28"/>
        </w:rPr>
        <w:t>EU</w:t>
      </w:r>
      <w:r>
        <w:rPr>
          <w:spacing w:val="-6"/>
          <w:sz w:val="28"/>
        </w:rPr>
        <w:t> </w:t>
      </w:r>
      <w:r>
        <w:rPr>
          <w:sz w:val="28"/>
        </w:rPr>
        <w:t>Directive</w:t>
      </w:r>
      <w:r>
        <w:rPr>
          <w:spacing w:val="-6"/>
          <w:sz w:val="28"/>
        </w:rPr>
        <w:t> </w:t>
      </w:r>
      <w:r>
        <w:rPr>
          <w:sz w:val="28"/>
        </w:rPr>
        <w:t>on</w:t>
      </w:r>
    </w:p>
    <w:p>
      <w:pPr>
        <w:pStyle w:val="BodyText"/>
        <w:spacing w:line="225" w:lineRule="auto"/>
        <w:ind w:left="1853" w:right="1171"/>
      </w:pPr>
      <w:r>
        <w:rPr/>
        <w:t>combating</w:t>
      </w:r>
      <w:r>
        <w:rPr>
          <w:spacing w:val="-7"/>
        </w:rPr>
        <w:t> </w:t>
      </w:r>
      <w:r>
        <w:rPr/>
        <w:t>violence</w:t>
      </w:r>
      <w:r>
        <w:rPr>
          <w:spacing w:val="-7"/>
        </w:rPr>
        <w:t> </w:t>
      </w:r>
      <w:r>
        <w:rPr/>
        <w:t>against</w:t>
      </w:r>
      <w:r>
        <w:rPr>
          <w:spacing w:val="-7"/>
        </w:rPr>
        <w:t> </w:t>
      </w:r>
      <w:r>
        <w:rPr/>
        <w:t>women</w:t>
      </w:r>
      <w:r>
        <w:rPr>
          <w:spacing w:val="-8"/>
        </w:rPr>
        <w:t> </w:t>
      </w:r>
      <w:r>
        <w:rPr/>
        <w:t>and</w:t>
      </w:r>
      <w:r>
        <w:rPr>
          <w:spacing w:val="-8"/>
        </w:rPr>
        <w:t> </w:t>
      </w:r>
      <w:r>
        <w:rPr/>
        <w:t>domestic</w:t>
      </w:r>
      <w:r>
        <w:rPr>
          <w:spacing w:val="-7"/>
        </w:rPr>
        <w:t> </w:t>
      </w:r>
      <w:r>
        <w:rPr/>
        <w:t>violence</w:t>
      </w:r>
      <w:r>
        <w:rPr>
          <w:spacing w:val="-7"/>
        </w:rPr>
        <w:t> </w:t>
      </w:r>
      <w:r>
        <w:rPr/>
        <w:t>aimed</w:t>
      </w:r>
      <w:r>
        <w:rPr>
          <w:spacing w:val="-8"/>
        </w:rPr>
        <w:t> </w:t>
      </w:r>
      <w:r>
        <w:rPr/>
        <w:t>at</w:t>
      </w:r>
      <w:r>
        <w:rPr>
          <w:spacing w:val="-7"/>
        </w:rPr>
        <w:t> </w:t>
      </w:r>
      <w:r>
        <w:rPr/>
        <w:t>improving data collection across Member States.</w:t>
      </w:r>
      <w:r>
        <w:rPr>
          <w:vertAlign w:val="superscript"/>
        </w:rPr>
        <w:t>414</w:t>
      </w:r>
    </w:p>
    <w:p>
      <w:pPr>
        <w:pStyle w:val="ListParagraph"/>
        <w:numPr>
          <w:ilvl w:val="1"/>
          <w:numId w:val="7"/>
        </w:numPr>
        <w:tabs>
          <w:tab w:pos="1853" w:val="left" w:leader="none"/>
        </w:tabs>
        <w:spacing w:line="225" w:lineRule="auto" w:before="313" w:after="0"/>
        <w:ind w:left="1853" w:right="1145" w:hanging="720"/>
        <w:jc w:val="left"/>
        <w:rPr>
          <w:sz w:val="28"/>
        </w:rPr>
      </w:pPr>
      <w:r>
        <w:rPr>
          <w:sz w:val="28"/>
        </w:rPr>
        <w:t>Both Commissions welcomed the first full impact assessment of Windsor Framework Article 2 compliance by the Executive Office.</w:t>
      </w:r>
      <w:r>
        <w:rPr>
          <w:sz w:val="28"/>
          <w:vertAlign w:val="superscript"/>
        </w:rPr>
        <w:t>415</w:t>
      </w:r>
      <w:r>
        <w:rPr>
          <w:sz w:val="28"/>
          <w:vertAlign w:val="baseline"/>
        </w:rPr>
        <w:t> The Commissions emphasised</w:t>
      </w:r>
      <w:r>
        <w:rPr>
          <w:spacing w:val="-9"/>
          <w:sz w:val="28"/>
          <w:vertAlign w:val="baseline"/>
        </w:rPr>
        <w:t> </w:t>
      </w:r>
      <w:r>
        <w:rPr>
          <w:sz w:val="28"/>
          <w:vertAlign w:val="baseline"/>
        </w:rPr>
        <w:t>that</w:t>
      </w:r>
      <w:r>
        <w:rPr>
          <w:spacing w:val="-8"/>
          <w:sz w:val="28"/>
          <w:vertAlign w:val="baseline"/>
        </w:rPr>
        <w:t> </w:t>
      </w:r>
      <w:r>
        <w:rPr>
          <w:sz w:val="28"/>
          <w:vertAlign w:val="baseline"/>
        </w:rPr>
        <w:t>the</w:t>
      </w:r>
      <w:r>
        <w:rPr>
          <w:spacing w:val="-8"/>
          <w:sz w:val="28"/>
          <w:vertAlign w:val="baseline"/>
        </w:rPr>
        <w:t> </w:t>
      </w:r>
      <w:r>
        <w:rPr>
          <w:sz w:val="28"/>
          <w:vertAlign w:val="baseline"/>
        </w:rPr>
        <w:t>impact</w:t>
      </w:r>
      <w:r>
        <w:rPr>
          <w:spacing w:val="-8"/>
          <w:sz w:val="28"/>
          <w:vertAlign w:val="baseline"/>
        </w:rPr>
        <w:t> </w:t>
      </w:r>
      <w:r>
        <w:rPr>
          <w:sz w:val="28"/>
          <w:vertAlign w:val="baseline"/>
        </w:rPr>
        <w:t>assessment</w:t>
      </w:r>
      <w:r>
        <w:rPr>
          <w:spacing w:val="-8"/>
          <w:sz w:val="28"/>
          <w:vertAlign w:val="baseline"/>
        </w:rPr>
        <w:t> </w:t>
      </w:r>
      <w:r>
        <w:rPr>
          <w:sz w:val="28"/>
          <w:vertAlign w:val="baseline"/>
        </w:rPr>
        <w:t>should</w:t>
      </w:r>
      <w:r>
        <w:rPr>
          <w:spacing w:val="-9"/>
          <w:sz w:val="28"/>
          <w:vertAlign w:val="baseline"/>
        </w:rPr>
        <w:t> </w:t>
      </w:r>
      <w:r>
        <w:rPr>
          <w:sz w:val="28"/>
          <w:vertAlign w:val="baseline"/>
        </w:rPr>
        <w:t>provide</w:t>
      </w:r>
      <w:r>
        <w:rPr>
          <w:spacing w:val="-8"/>
          <w:sz w:val="28"/>
          <w:vertAlign w:val="baseline"/>
        </w:rPr>
        <w:t> </w:t>
      </w:r>
      <w:r>
        <w:rPr>
          <w:sz w:val="28"/>
          <w:vertAlign w:val="baseline"/>
        </w:rPr>
        <w:t>detailed</w:t>
      </w:r>
      <w:r>
        <w:rPr>
          <w:spacing w:val="-9"/>
          <w:sz w:val="28"/>
          <w:vertAlign w:val="baseline"/>
        </w:rPr>
        <w:t> </w:t>
      </w:r>
      <w:r>
        <w:rPr>
          <w:sz w:val="28"/>
          <w:vertAlign w:val="baseline"/>
        </w:rPr>
        <w:t>consideration of Windsor Framework Article 2, including all relevant provisions of EU law.</w:t>
      </w:r>
      <w:r>
        <w:rPr>
          <w:sz w:val="28"/>
          <w:vertAlign w:val="superscript"/>
        </w:rPr>
        <w:t>416</w:t>
      </w:r>
    </w:p>
    <w:p>
      <w:pPr>
        <w:pStyle w:val="Heading6"/>
        <w:spacing w:before="299"/>
        <w:rPr>
          <w:i/>
        </w:rPr>
      </w:pPr>
      <w:r>
        <w:rPr>
          <w:i/>
          <w:color w:val="67287F"/>
        </w:rPr>
        <w:t>Istanbul</w:t>
      </w:r>
      <w:r>
        <w:rPr>
          <w:i/>
          <w:color w:val="67287F"/>
          <w:spacing w:val="-9"/>
        </w:rPr>
        <w:t> </w:t>
      </w:r>
      <w:r>
        <w:rPr>
          <w:i/>
          <w:color w:val="67287F"/>
          <w:spacing w:val="-2"/>
        </w:rPr>
        <w:t>Convention</w:t>
      </w:r>
    </w:p>
    <w:p>
      <w:pPr>
        <w:pStyle w:val="ListParagraph"/>
        <w:numPr>
          <w:ilvl w:val="1"/>
          <w:numId w:val="7"/>
        </w:numPr>
        <w:tabs>
          <w:tab w:pos="1853" w:val="left" w:leader="none"/>
        </w:tabs>
        <w:spacing w:line="225" w:lineRule="auto" w:before="5" w:after="0"/>
        <w:ind w:left="1853" w:right="1297" w:hanging="720"/>
        <w:jc w:val="left"/>
        <w:rPr>
          <w:sz w:val="28"/>
        </w:rPr>
      </w:pPr>
      <w:r>
        <w:rPr>
          <w:sz w:val="28"/>
        </w:rPr>
        <w:t>In 2022, the CoE Convention on Preventing and Combating Violence against Women and Domestic Violence (Istanbul Convention) came into force in the UK.</w:t>
      </w:r>
      <w:r>
        <w:rPr>
          <w:spacing w:val="-9"/>
          <w:sz w:val="28"/>
        </w:rPr>
        <w:t> </w:t>
      </w:r>
      <w:r>
        <w:rPr>
          <w:sz w:val="28"/>
        </w:rPr>
        <w:t>However,</w:t>
      </w:r>
      <w:r>
        <w:rPr>
          <w:spacing w:val="-8"/>
          <w:sz w:val="28"/>
        </w:rPr>
        <w:t> </w:t>
      </w:r>
      <w:r>
        <w:rPr>
          <w:sz w:val="28"/>
        </w:rPr>
        <w:t>the</w:t>
      </w:r>
      <w:r>
        <w:rPr>
          <w:spacing w:val="-8"/>
          <w:sz w:val="28"/>
        </w:rPr>
        <w:t> </w:t>
      </w:r>
      <w:r>
        <w:rPr>
          <w:sz w:val="28"/>
        </w:rPr>
        <w:t>UK</w:t>
      </w:r>
      <w:r>
        <w:rPr>
          <w:spacing w:val="-8"/>
          <w:sz w:val="28"/>
        </w:rPr>
        <w:t> </w:t>
      </w:r>
      <w:r>
        <w:rPr>
          <w:sz w:val="28"/>
        </w:rPr>
        <w:t>Government</w:t>
      </w:r>
      <w:r>
        <w:rPr>
          <w:spacing w:val="-8"/>
          <w:sz w:val="28"/>
        </w:rPr>
        <w:t> </w:t>
      </w:r>
      <w:r>
        <w:rPr>
          <w:sz w:val="28"/>
        </w:rPr>
        <w:t>has</w:t>
      </w:r>
      <w:r>
        <w:rPr>
          <w:spacing w:val="-9"/>
          <w:sz w:val="28"/>
        </w:rPr>
        <w:t> </w:t>
      </w:r>
      <w:r>
        <w:rPr>
          <w:sz w:val="28"/>
        </w:rPr>
        <w:t>placed</w:t>
      </w:r>
      <w:r>
        <w:rPr>
          <w:spacing w:val="-9"/>
          <w:sz w:val="28"/>
        </w:rPr>
        <w:t> </w:t>
      </w:r>
      <w:r>
        <w:rPr>
          <w:sz w:val="28"/>
        </w:rPr>
        <w:t>a</w:t>
      </w:r>
      <w:r>
        <w:rPr>
          <w:spacing w:val="-9"/>
          <w:sz w:val="28"/>
        </w:rPr>
        <w:t> </w:t>
      </w:r>
      <w:r>
        <w:rPr>
          <w:sz w:val="28"/>
        </w:rPr>
        <w:t>reservation</w:t>
      </w:r>
      <w:r>
        <w:rPr>
          <w:spacing w:val="-9"/>
          <w:sz w:val="28"/>
        </w:rPr>
        <w:t> </w:t>
      </w:r>
      <w:r>
        <w:rPr>
          <w:sz w:val="28"/>
        </w:rPr>
        <w:t>against</w:t>
      </w:r>
      <w:r>
        <w:rPr>
          <w:spacing w:val="-8"/>
          <w:sz w:val="28"/>
        </w:rPr>
        <w:t> </w:t>
      </w:r>
      <w:r>
        <w:rPr>
          <w:sz w:val="28"/>
        </w:rPr>
        <w:t>Article</w:t>
      </w:r>
      <w:r>
        <w:rPr>
          <w:spacing w:val="-8"/>
          <w:sz w:val="28"/>
        </w:rPr>
        <w:t> </w:t>
      </w:r>
      <w:r>
        <w:rPr>
          <w:sz w:val="28"/>
        </w:rPr>
        <w:t>59, which requires States to grant residence to victims of domestic abuse whose immigration status depends on an abusive partner, excluding many migrant women from the protections contained within the Convention.</w:t>
      </w:r>
    </w:p>
    <w:p>
      <w:pPr>
        <w:pStyle w:val="ListParagraph"/>
        <w:numPr>
          <w:ilvl w:val="1"/>
          <w:numId w:val="7"/>
        </w:numPr>
        <w:tabs>
          <w:tab w:pos="1853" w:val="left" w:leader="none"/>
        </w:tabs>
        <w:spacing w:line="225" w:lineRule="auto" w:before="312" w:after="0"/>
        <w:ind w:left="1853" w:right="1139" w:hanging="720"/>
        <w:jc w:val="left"/>
        <w:rPr>
          <w:sz w:val="28"/>
        </w:rPr>
      </w:pPr>
      <w:r>
        <w:rPr>
          <w:sz w:val="28"/>
        </w:rPr>
        <w:t>In December 2023, the NIHRC submitted a briefing to the CoE Group of Experts on Action against Violence against Women and Domestic Violence (Grevio Committee) as part of its baseline evaluation in respect of the UK.</w:t>
      </w:r>
      <w:r>
        <w:rPr>
          <w:sz w:val="28"/>
          <w:vertAlign w:val="superscript"/>
        </w:rPr>
        <w:t>417</w:t>
      </w:r>
      <w:r>
        <w:rPr>
          <w:sz w:val="28"/>
          <w:vertAlign w:val="baseline"/>
        </w:rPr>
        <w:t> The</w:t>
      </w:r>
      <w:r>
        <w:rPr>
          <w:spacing w:val="-4"/>
          <w:sz w:val="28"/>
          <w:vertAlign w:val="baseline"/>
        </w:rPr>
        <w:t> </w:t>
      </w:r>
      <w:r>
        <w:rPr>
          <w:sz w:val="28"/>
          <w:vertAlign w:val="baseline"/>
        </w:rPr>
        <w:t>NIHRC</w:t>
      </w:r>
      <w:r>
        <w:rPr>
          <w:spacing w:val="-5"/>
          <w:sz w:val="28"/>
          <w:vertAlign w:val="baseline"/>
        </w:rPr>
        <w:t> </w:t>
      </w:r>
      <w:r>
        <w:rPr>
          <w:sz w:val="28"/>
          <w:vertAlign w:val="baseline"/>
        </w:rPr>
        <w:t>advised</w:t>
      </w:r>
      <w:r>
        <w:rPr>
          <w:spacing w:val="-5"/>
          <w:sz w:val="28"/>
          <w:vertAlign w:val="baseline"/>
        </w:rPr>
        <w:t> </w:t>
      </w:r>
      <w:r>
        <w:rPr>
          <w:sz w:val="28"/>
          <w:vertAlign w:val="baseline"/>
        </w:rPr>
        <w:t>of</w:t>
      </w:r>
      <w:r>
        <w:rPr>
          <w:spacing w:val="-5"/>
          <w:sz w:val="28"/>
          <w:vertAlign w:val="baseline"/>
        </w:rPr>
        <w:t> </w:t>
      </w:r>
      <w:r>
        <w:rPr>
          <w:sz w:val="28"/>
          <w:vertAlign w:val="baseline"/>
        </w:rPr>
        <w:t>the</w:t>
      </w:r>
      <w:r>
        <w:rPr>
          <w:spacing w:val="-4"/>
          <w:sz w:val="28"/>
          <w:vertAlign w:val="baseline"/>
        </w:rPr>
        <w:t> </w:t>
      </w:r>
      <w:r>
        <w:rPr>
          <w:sz w:val="28"/>
          <w:vertAlign w:val="baseline"/>
        </w:rPr>
        <w:t>relevance</w:t>
      </w:r>
      <w:r>
        <w:rPr>
          <w:spacing w:val="-4"/>
          <w:sz w:val="28"/>
          <w:vertAlign w:val="baseline"/>
        </w:rPr>
        <w:t> </w:t>
      </w:r>
      <w:r>
        <w:rPr>
          <w:sz w:val="28"/>
          <w:vertAlign w:val="baseline"/>
        </w:rPr>
        <w:t>of</w:t>
      </w:r>
      <w:r>
        <w:rPr>
          <w:spacing w:val="-5"/>
          <w:sz w:val="28"/>
          <w:vertAlign w:val="baseline"/>
        </w:rPr>
        <w:t> </w:t>
      </w:r>
      <w:r>
        <w:rPr>
          <w:sz w:val="28"/>
          <w:vertAlign w:val="baseline"/>
        </w:rPr>
        <w:t>Windsor</w:t>
      </w:r>
      <w:r>
        <w:rPr>
          <w:spacing w:val="-4"/>
          <w:sz w:val="28"/>
          <w:vertAlign w:val="baseline"/>
        </w:rPr>
        <w:t> </w:t>
      </w:r>
      <w:r>
        <w:rPr>
          <w:sz w:val="28"/>
          <w:vertAlign w:val="baseline"/>
        </w:rPr>
        <w:t>Framework</w:t>
      </w:r>
      <w:r>
        <w:rPr>
          <w:spacing w:val="-4"/>
          <w:sz w:val="28"/>
          <w:vertAlign w:val="baseline"/>
        </w:rPr>
        <w:t> </w:t>
      </w:r>
      <w:r>
        <w:rPr>
          <w:sz w:val="28"/>
          <w:vertAlign w:val="baseline"/>
        </w:rPr>
        <w:t>Article</w:t>
      </w:r>
      <w:r>
        <w:rPr>
          <w:spacing w:val="-4"/>
          <w:sz w:val="28"/>
          <w:vertAlign w:val="baseline"/>
        </w:rPr>
        <w:t> </w:t>
      </w:r>
      <w:r>
        <w:rPr>
          <w:sz w:val="28"/>
          <w:vertAlign w:val="baseline"/>
        </w:rPr>
        <w:t>2</w:t>
      </w:r>
      <w:r>
        <w:rPr>
          <w:spacing w:val="-4"/>
          <w:sz w:val="28"/>
          <w:vertAlign w:val="baseline"/>
        </w:rPr>
        <w:t> </w:t>
      </w:r>
      <w:r>
        <w:rPr>
          <w:sz w:val="28"/>
          <w:vertAlign w:val="baseline"/>
        </w:rPr>
        <w:t>in</w:t>
      </w:r>
      <w:r>
        <w:rPr>
          <w:spacing w:val="-5"/>
          <w:sz w:val="28"/>
          <w:vertAlign w:val="baseline"/>
        </w:rPr>
        <w:t> </w:t>
      </w:r>
      <w:r>
        <w:rPr>
          <w:sz w:val="28"/>
          <w:vertAlign w:val="baseline"/>
        </w:rPr>
        <w:t>respect of equality and non-discrimination, including gender pay gap reporting, support</w:t>
      </w:r>
      <w:r>
        <w:rPr>
          <w:spacing w:val="-8"/>
          <w:sz w:val="28"/>
          <w:vertAlign w:val="baseline"/>
        </w:rPr>
        <w:t> </w:t>
      </w:r>
      <w:r>
        <w:rPr>
          <w:sz w:val="28"/>
          <w:vertAlign w:val="baseline"/>
        </w:rPr>
        <w:t>for</w:t>
      </w:r>
      <w:r>
        <w:rPr>
          <w:spacing w:val="-8"/>
          <w:sz w:val="28"/>
          <w:vertAlign w:val="baseline"/>
        </w:rPr>
        <w:t> </w:t>
      </w:r>
      <w:r>
        <w:rPr>
          <w:sz w:val="28"/>
          <w:vertAlign w:val="baseline"/>
        </w:rPr>
        <w:t>victims</w:t>
      </w:r>
      <w:r>
        <w:rPr>
          <w:spacing w:val="-9"/>
          <w:sz w:val="28"/>
          <w:vertAlign w:val="baseline"/>
        </w:rPr>
        <w:t> </w:t>
      </w:r>
      <w:r>
        <w:rPr>
          <w:sz w:val="28"/>
          <w:vertAlign w:val="baseline"/>
        </w:rPr>
        <w:t>of</w:t>
      </w:r>
      <w:r>
        <w:rPr>
          <w:spacing w:val="-9"/>
          <w:sz w:val="28"/>
          <w:vertAlign w:val="baseline"/>
        </w:rPr>
        <w:t> </w:t>
      </w:r>
      <w:r>
        <w:rPr>
          <w:sz w:val="28"/>
          <w:vertAlign w:val="baseline"/>
        </w:rPr>
        <w:t>trafficking</w:t>
      </w:r>
      <w:r>
        <w:rPr>
          <w:spacing w:val="-8"/>
          <w:sz w:val="28"/>
          <w:vertAlign w:val="baseline"/>
        </w:rPr>
        <w:t> </w:t>
      </w:r>
      <w:r>
        <w:rPr>
          <w:sz w:val="28"/>
          <w:vertAlign w:val="baseline"/>
        </w:rPr>
        <w:t>and</w:t>
      </w:r>
      <w:r>
        <w:rPr>
          <w:spacing w:val="-9"/>
          <w:sz w:val="28"/>
          <w:vertAlign w:val="baseline"/>
        </w:rPr>
        <w:t> </w:t>
      </w:r>
      <w:r>
        <w:rPr>
          <w:sz w:val="28"/>
          <w:vertAlign w:val="baseline"/>
        </w:rPr>
        <w:t>gender</w:t>
      </w:r>
      <w:r>
        <w:rPr>
          <w:spacing w:val="-8"/>
          <w:sz w:val="28"/>
          <w:vertAlign w:val="baseline"/>
        </w:rPr>
        <w:t> </w:t>
      </w:r>
      <w:r>
        <w:rPr>
          <w:sz w:val="28"/>
          <w:vertAlign w:val="baseline"/>
        </w:rPr>
        <w:t>based</w:t>
      </w:r>
      <w:r>
        <w:rPr>
          <w:spacing w:val="-9"/>
          <w:sz w:val="28"/>
          <w:vertAlign w:val="baseline"/>
        </w:rPr>
        <w:t> </w:t>
      </w:r>
      <w:r>
        <w:rPr>
          <w:sz w:val="28"/>
          <w:vertAlign w:val="baseline"/>
        </w:rPr>
        <w:t>asylum</w:t>
      </w:r>
      <w:r>
        <w:rPr>
          <w:spacing w:val="-8"/>
          <w:sz w:val="28"/>
          <w:vertAlign w:val="baseline"/>
        </w:rPr>
        <w:t> </w:t>
      </w:r>
      <w:r>
        <w:rPr>
          <w:sz w:val="28"/>
          <w:vertAlign w:val="baseline"/>
        </w:rPr>
        <w:t>claims.</w:t>
      </w:r>
      <w:r>
        <w:rPr>
          <w:sz w:val="28"/>
          <w:vertAlign w:val="superscript"/>
        </w:rPr>
        <w:t>418</w:t>
      </w:r>
      <w:r>
        <w:rPr>
          <w:spacing w:val="-9"/>
          <w:sz w:val="28"/>
          <w:vertAlign w:val="baseline"/>
        </w:rPr>
        <w:t> </w:t>
      </w:r>
      <w:r>
        <w:rPr>
          <w:sz w:val="28"/>
          <w:vertAlign w:val="baseline"/>
        </w:rPr>
        <w:t>In</w:t>
      </w:r>
      <w:r>
        <w:rPr>
          <w:spacing w:val="-9"/>
          <w:sz w:val="28"/>
          <w:vertAlign w:val="baseline"/>
        </w:rPr>
        <w:t> </w:t>
      </w:r>
      <w:r>
        <w:rPr>
          <w:sz w:val="28"/>
          <w:vertAlign w:val="baseline"/>
        </w:rPr>
        <w:t>January 2024,</w:t>
      </w:r>
      <w:r>
        <w:rPr>
          <w:spacing w:val="-4"/>
          <w:sz w:val="28"/>
          <w:vertAlign w:val="baseline"/>
        </w:rPr>
        <w:t> </w:t>
      </w:r>
      <w:r>
        <w:rPr>
          <w:sz w:val="28"/>
          <w:vertAlign w:val="baseline"/>
        </w:rPr>
        <w:t>the</w:t>
      </w:r>
      <w:r>
        <w:rPr>
          <w:spacing w:val="-4"/>
          <w:sz w:val="28"/>
          <w:vertAlign w:val="baseline"/>
        </w:rPr>
        <w:t> </w:t>
      </w:r>
      <w:r>
        <w:rPr>
          <w:sz w:val="28"/>
          <w:vertAlign w:val="baseline"/>
        </w:rPr>
        <w:t>NIHRC</w:t>
      </w:r>
      <w:r>
        <w:rPr>
          <w:spacing w:val="-5"/>
          <w:sz w:val="28"/>
          <w:vertAlign w:val="baseline"/>
        </w:rPr>
        <w:t> </w:t>
      </w:r>
      <w:r>
        <w:rPr>
          <w:sz w:val="28"/>
          <w:vertAlign w:val="baseline"/>
        </w:rPr>
        <w:t>met</w:t>
      </w:r>
      <w:r>
        <w:rPr>
          <w:spacing w:val="-4"/>
          <w:sz w:val="28"/>
          <w:vertAlign w:val="baseline"/>
        </w:rPr>
        <w:t> </w:t>
      </w:r>
      <w:r>
        <w:rPr>
          <w:sz w:val="28"/>
          <w:vertAlign w:val="baseline"/>
        </w:rPr>
        <w:t>with</w:t>
      </w:r>
      <w:r>
        <w:rPr>
          <w:spacing w:val="-5"/>
          <w:sz w:val="28"/>
          <w:vertAlign w:val="baseline"/>
        </w:rPr>
        <w:t> </w:t>
      </w:r>
      <w:r>
        <w:rPr>
          <w:sz w:val="28"/>
          <w:vertAlign w:val="baseline"/>
        </w:rPr>
        <w:t>Grevio</w:t>
      </w:r>
      <w:r>
        <w:rPr>
          <w:spacing w:val="-5"/>
          <w:sz w:val="28"/>
          <w:vertAlign w:val="baseline"/>
        </w:rPr>
        <w:t> </w:t>
      </w:r>
      <w:r>
        <w:rPr>
          <w:sz w:val="28"/>
          <w:vertAlign w:val="baseline"/>
        </w:rPr>
        <w:t>Committee</w:t>
      </w:r>
      <w:r>
        <w:rPr>
          <w:spacing w:val="-4"/>
          <w:sz w:val="28"/>
          <w:vertAlign w:val="baseline"/>
        </w:rPr>
        <w:t> </w:t>
      </w:r>
      <w:r>
        <w:rPr>
          <w:sz w:val="28"/>
          <w:vertAlign w:val="baseline"/>
        </w:rPr>
        <w:t>members</w:t>
      </w:r>
      <w:r>
        <w:rPr>
          <w:spacing w:val="-5"/>
          <w:sz w:val="28"/>
          <w:vertAlign w:val="baseline"/>
        </w:rPr>
        <w:t> </w:t>
      </w:r>
      <w:r>
        <w:rPr>
          <w:sz w:val="28"/>
          <w:vertAlign w:val="baseline"/>
        </w:rPr>
        <w:t>during</w:t>
      </w:r>
      <w:r>
        <w:rPr>
          <w:spacing w:val="-4"/>
          <w:sz w:val="28"/>
          <w:vertAlign w:val="baseline"/>
        </w:rPr>
        <w:t> </w:t>
      </w:r>
      <w:r>
        <w:rPr>
          <w:sz w:val="28"/>
          <w:vertAlign w:val="baseline"/>
        </w:rPr>
        <w:t>their</w:t>
      </w:r>
      <w:r>
        <w:rPr>
          <w:spacing w:val="-4"/>
          <w:sz w:val="28"/>
          <w:vertAlign w:val="baseline"/>
        </w:rPr>
        <w:t> </w:t>
      </w:r>
      <w:r>
        <w:rPr>
          <w:sz w:val="28"/>
          <w:vertAlign w:val="baseline"/>
        </w:rPr>
        <w:t>visit</w:t>
      </w:r>
      <w:r>
        <w:rPr>
          <w:spacing w:val="-4"/>
          <w:sz w:val="28"/>
          <w:vertAlign w:val="baseline"/>
        </w:rPr>
        <w:t> </w:t>
      </w:r>
      <w:r>
        <w:rPr>
          <w:sz w:val="28"/>
          <w:vertAlign w:val="baseline"/>
        </w:rPr>
        <w:t>to</w:t>
      </w:r>
      <w:r>
        <w:rPr>
          <w:spacing w:val="-5"/>
          <w:sz w:val="28"/>
          <w:vertAlign w:val="baseline"/>
        </w:rPr>
        <w:t> </w:t>
      </w:r>
      <w:r>
        <w:rPr>
          <w:sz w:val="28"/>
          <w:vertAlign w:val="baseline"/>
        </w:rPr>
        <w:t>the </w:t>
      </w:r>
      <w:r>
        <w:rPr>
          <w:spacing w:val="-4"/>
          <w:sz w:val="28"/>
          <w:vertAlign w:val="baseline"/>
        </w:rPr>
        <w:t>UK.</w:t>
      </w:r>
    </w:p>
    <w:p>
      <w:pPr>
        <w:pStyle w:val="Heading6"/>
        <w:spacing w:before="294"/>
        <w:rPr>
          <w:i/>
        </w:rPr>
      </w:pPr>
      <w:r>
        <w:rPr>
          <w:i/>
          <w:color w:val="67287F"/>
        </w:rPr>
        <w:t>UN</w:t>
      </w:r>
      <w:r>
        <w:rPr>
          <w:i/>
          <w:color w:val="67287F"/>
          <w:spacing w:val="-7"/>
        </w:rPr>
        <w:t> </w:t>
      </w:r>
      <w:r>
        <w:rPr>
          <w:i/>
          <w:color w:val="67287F"/>
        </w:rPr>
        <w:t>Special</w:t>
      </w:r>
      <w:r>
        <w:rPr>
          <w:i/>
          <w:color w:val="67287F"/>
          <w:spacing w:val="-5"/>
        </w:rPr>
        <w:t> </w:t>
      </w:r>
      <w:r>
        <w:rPr>
          <w:i/>
          <w:color w:val="67287F"/>
        </w:rPr>
        <w:t>Rapporteur</w:t>
      </w:r>
      <w:r>
        <w:rPr>
          <w:i/>
          <w:color w:val="67287F"/>
          <w:spacing w:val="-4"/>
        </w:rPr>
        <w:t> </w:t>
      </w:r>
      <w:r>
        <w:rPr>
          <w:i/>
          <w:color w:val="67287F"/>
        </w:rPr>
        <w:t>on</w:t>
      </w:r>
      <w:r>
        <w:rPr>
          <w:i/>
          <w:color w:val="67287F"/>
          <w:spacing w:val="-5"/>
        </w:rPr>
        <w:t> </w:t>
      </w:r>
      <w:r>
        <w:rPr>
          <w:i/>
          <w:color w:val="67287F"/>
        </w:rPr>
        <w:t>Violence</w:t>
      </w:r>
      <w:r>
        <w:rPr>
          <w:i/>
          <w:color w:val="67287F"/>
          <w:spacing w:val="-5"/>
        </w:rPr>
        <w:t> </w:t>
      </w:r>
      <w:r>
        <w:rPr>
          <w:i/>
          <w:color w:val="67287F"/>
        </w:rPr>
        <w:t>Against</w:t>
      </w:r>
      <w:r>
        <w:rPr>
          <w:i/>
          <w:color w:val="67287F"/>
          <w:spacing w:val="-4"/>
        </w:rPr>
        <w:t> </w:t>
      </w:r>
      <w:r>
        <w:rPr>
          <w:i/>
          <w:color w:val="67287F"/>
        </w:rPr>
        <w:t>Women</w:t>
      </w:r>
      <w:r>
        <w:rPr>
          <w:i/>
          <w:color w:val="67287F"/>
          <w:spacing w:val="-5"/>
        </w:rPr>
        <w:t> </w:t>
      </w:r>
      <w:r>
        <w:rPr>
          <w:i/>
          <w:color w:val="67287F"/>
        </w:rPr>
        <w:t>and</w:t>
      </w:r>
      <w:r>
        <w:rPr>
          <w:i/>
          <w:color w:val="67287F"/>
          <w:spacing w:val="-4"/>
        </w:rPr>
        <w:t> </w:t>
      </w:r>
      <w:r>
        <w:rPr>
          <w:i/>
          <w:color w:val="67287F"/>
          <w:spacing w:val="-2"/>
        </w:rPr>
        <w:t>Girls</w:t>
      </w:r>
    </w:p>
    <w:p>
      <w:pPr>
        <w:pStyle w:val="ListParagraph"/>
        <w:numPr>
          <w:ilvl w:val="1"/>
          <w:numId w:val="7"/>
        </w:numPr>
        <w:tabs>
          <w:tab w:pos="1853" w:val="left" w:leader="none"/>
        </w:tabs>
        <w:spacing w:line="225" w:lineRule="auto" w:before="5" w:after="0"/>
        <w:ind w:left="1853" w:right="1301" w:hanging="720"/>
        <w:jc w:val="left"/>
        <w:rPr>
          <w:sz w:val="28"/>
        </w:rPr>
      </w:pPr>
      <w:r>
        <w:rPr>
          <w:sz w:val="28"/>
        </w:rPr>
        <w:t>In February 2024, both Commissions provided briefings to the UN Special Rapporteur</w:t>
      </w:r>
      <w:r>
        <w:rPr>
          <w:spacing w:val="-5"/>
          <w:sz w:val="28"/>
        </w:rPr>
        <w:t> </w:t>
      </w:r>
      <w:r>
        <w:rPr>
          <w:sz w:val="28"/>
        </w:rPr>
        <w:t>on</w:t>
      </w:r>
      <w:r>
        <w:rPr>
          <w:spacing w:val="-6"/>
          <w:sz w:val="28"/>
        </w:rPr>
        <w:t> </w:t>
      </w:r>
      <w:r>
        <w:rPr>
          <w:sz w:val="28"/>
        </w:rPr>
        <w:t>Violence</w:t>
      </w:r>
      <w:r>
        <w:rPr>
          <w:spacing w:val="-5"/>
          <w:sz w:val="28"/>
        </w:rPr>
        <w:t> </w:t>
      </w:r>
      <w:r>
        <w:rPr>
          <w:sz w:val="28"/>
        </w:rPr>
        <w:t>Against</w:t>
      </w:r>
      <w:r>
        <w:rPr>
          <w:spacing w:val="-5"/>
          <w:sz w:val="28"/>
        </w:rPr>
        <w:t> </w:t>
      </w:r>
      <w:r>
        <w:rPr>
          <w:sz w:val="28"/>
        </w:rPr>
        <w:t>Women</w:t>
      </w:r>
      <w:r>
        <w:rPr>
          <w:spacing w:val="-6"/>
          <w:sz w:val="28"/>
        </w:rPr>
        <w:t> </w:t>
      </w:r>
      <w:r>
        <w:rPr>
          <w:sz w:val="28"/>
        </w:rPr>
        <w:t>and</w:t>
      </w:r>
      <w:r>
        <w:rPr>
          <w:spacing w:val="-6"/>
          <w:sz w:val="28"/>
        </w:rPr>
        <w:t> </w:t>
      </w:r>
      <w:r>
        <w:rPr>
          <w:sz w:val="28"/>
        </w:rPr>
        <w:t>Girls</w:t>
      </w:r>
      <w:r>
        <w:rPr>
          <w:spacing w:val="-6"/>
          <w:sz w:val="28"/>
        </w:rPr>
        <w:t> </w:t>
      </w:r>
      <w:r>
        <w:rPr>
          <w:sz w:val="28"/>
        </w:rPr>
        <w:t>as</w:t>
      </w:r>
      <w:r>
        <w:rPr>
          <w:spacing w:val="-6"/>
          <w:sz w:val="28"/>
        </w:rPr>
        <w:t> </w:t>
      </w:r>
      <w:r>
        <w:rPr>
          <w:sz w:val="28"/>
        </w:rPr>
        <w:t>part</w:t>
      </w:r>
      <w:r>
        <w:rPr>
          <w:spacing w:val="-5"/>
          <w:sz w:val="28"/>
        </w:rPr>
        <w:t> </w:t>
      </w:r>
      <w:r>
        <w:rPr>
          <w:sz w:val="28"/>
        </w:rPr>
        <w:t>of</w:t>
      </w:r>
      <w:r>
        <w:rPr>
          <w:spacing w:val="-6"/>
          <w:sz w:val="28"/>
        </w:rPr>
        <w:t> </w:t>
      </w:r>
      <w:r>
        <w:rPr>
          <w:sz w:val="28"/>
        </w:rPr>
        <w:t>the</w:t>
      </w:r>
      <w:r>
        <w:rPr>
          <w:spacing w:val="-5"/>
          <w:sz w:val="28"/>
        </w:rPr>
        <w:t> </w:t>
      </w:r>
      <w:r>
        <w:rPr>
          <w:sz w:val="28"/>
        </w:rPr>
        <w:t>Rapporteur’s country visit to the UK.</w:t>
      </w:r>
      <w:r>
        <w:rPr>
          <w:spacing w:val="40"/>
          <w:sz w:val="28"/>
        </w:rPr>
        <w:t> </w:t>
      </w:r>
      <w:r>
        <w:rPr>
          <w:sz w:val="28"/>
        </w:rPr>
        <w:t>Both Commissions outlined UK Government’s</w:t>
      </w:r>
    </w:p>
    <w:p>
      <w:pPr>
        <w:pStyle w:val="BodyText"/>
        <w:rPr>
          <w:sz w:val="18"/>
        </w:rPr>
      </w:pPr>
      <w:r>
        <w:rPr/>
        <mc:AlternateContent>
          <mc:Choice Requires="wps">
            <w:drawing>
              <wp:anchor distT="0" distB="0" distL="0" distR="0" allowOverlap="1" layoutInCell="1" locked="0" behindDoc="1" simplePos="0" relativeHeight="487671808">
                <wp:simplePos x="0" y="0"/>
                <wp:positionH relativeFrom="page">
                  <wp:posOffset>719996</wp:posOffset>
                </wp:positionH>
                <wp:positionV relativeFrom="paragraph">
                  <wp:posOffset>155055</wp:posOffset>
                </wp:positionV>
                <wp:extent cx="6120130" cy="1270"/>
                <wp:effectExtent l="0" t="0" r="0" b="0"/>
                <wp:wrapTopAndBottom/>
                <wp:docPr id="360" name="Graphic 360"/>
                <wp:cNvGraphicFramePr>
                  <a:graphicFrameLocks/>
                </wp:cNvGraphicFramePr>
                <a:graphic>
                  <a:graphicData uri="http://schemas.microsoft.com/office/word/2010/wordprocessingShape">
                    <wps:wsp>
                      <wps:cNvPr id="360" name="Graphic 36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2.209078pt;width:481.9pt;height:.1pt;mso-position-horizontal-relative:page;mso-position-vertical-relative:paragraph;z-index:-15644672;mso-wrap-distance-left:0;mso-wrap-distance-right:0" id="docshape310" coordorigin="1134,244" coordsize="9638,0" path="m10772,244l1134,244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35" w:lineRule="auto" w:before="136" w:after="0"/>
        <w:ind w:left="1853" w:right="1247" w:hanging="720"/>
        <w:jc w:val="left"/>
        <w:rPr>
          <w:sz w:val="18"/>
        </w:rPr>
      </w:pPr>
      <w:r>
        <w:rPr>
          <w:sz w:val="18"/>
        </w:rPr>
        <w:t>Equality</w:t>
      </w:r>
      <w:r>
        <w:rPr>
          <w:spacing w:val="-5"/>
          <w:sz w:val="18"/>
        </w:rPr>
        <w:t> </w:t>
      </w:r>
      <w:r>
        <w:rPr>
          <w:sz w:val="18"/>
        </w:rPr>
        <w:t>Commission</w:t>
      </w:r>
      <w:r>
        <w:rPr>
          <w:spacing w:val="-6"/>
          <w:sz w:val="18"/>
        </w:rPr>
        <w:t> </w:t>
      </w:r>
      <w:r>
        <w:rPr>
          <w:sz w:val="18"/>
        </w:rPr>
        <w:t>for</w:t>
      </w:r>
      <w:r>
        <w:rPr>
          <w:spacing w:val="-5"/>
          <w:sz w:val="18"/>
        </w:rPr>
        <w:t> </w:t>
      </w:r>
      <w:r>
        <w:rPr>
          <w:sz w:val="18"/>
        </w:rPr>
        <w:t>NI,</w:t>
      </w:r>
      <w:r>
        <w:rPr>
          <w:spacing w:val="-5"/>
          <w:sz w:val="18"/>
        </w:rPr>
        <w:t> </w:t>
      </w:r>
      <w:r>
        <w:rPr>
          <w:sz w:val="18"/>
        </w:rPr>
        <w:t>‘</w:t>
      </w:r>
      <w:hyperlink r:id="rId151">
        <w:r>
          <w:rPr>
            <w:sz w:val="18"/>
          </w:rPr>
          <w:t>Equality</w:t>
        </w:r>
        <w:r>
          <w:rPr>
            <w:spacing w:val="-5"/>
            <w:sz w:val="18"/>
          </w:rPr>
          <w:t> </w:t>
        </w:r>
        <w:r>
          <w:rPr>
            <w:sz w:val="18"/>
          </w:rPr>
          <w:t>Commission</w:t>
        </w:r>
        <w:r>
          <w:rPr>
            <w:spacing w:val="-6"/>
            <w:sz w:val="18"/>
          </w:rPr>
          <w:t> </w:t>
        </w:r>
        <w:r>
          <w:rPr>
            <w:sz w:val="18"/>
          </w:rPr>
          <w:t>consultation</w:t>
        </w:r>
        <w:r>
          <w:rPr>
            <w:spacing w:val="-6"/>
            <w:sz w:val="18"/>
          </w:rPr>
          <w:t> </w:t>
        </w:r>
        <w:r>
          <w:rPr>
            <w:sz w:val="18"/>
          </w:rPr>
          <w:t>response</w:t>
        </w:r>
        <w:r>
          <w:rPr>
            <w:spacing w:val="-5"/>
            <w:sz w:val="18"/>
          </w:rPr>
          <w:t> </w:t>
        </w:r>
        <w:r>
          <w:rPr>
            <w:sz w:val="18"/>
          </w:rPr>
          <w:t>on</w:t>
        </w:r>
        <w:r>
          <w:rPr>
            <w:spacing w:val="-6"/>
            <w:sz w:val="18"/>
          </w:rPr>
          <w:t> </w:t>
        </w:r>
        <w:r>
          <w:rPr>
            <w:sz w:val="18"/>
          </w:rPr>
          <w:t>Strategic</w:t>
        </w:r>
        <w:r>
          <w:rPr>
            <w:spacing w:val="-5"/>
            <w:sz w:val="18"/>
          </w:rPr>
          <w:t> </w:t>
        </w:r>
        <w:r>
          <w:rPr>
            <w:sz w:val="18"/>
          </w:rPr>
          <w:t>Framework</w:t>
        </w:r>
        <w:r>
          <w:rPr>
            <w:spacing w:val="-5"/>
            <w:sz w:val="18"/>
          </w:rPr>
          <w:t> </w:t>
        </w:r>
        <w:r>
          <w:rPr>
            <w:sz w:val="18"/>
          </w:rPr>
          <w:t>to</w:t>
        </w:r>
        <w:r>
          <w:rPr>
            <w:spacing w:val="-6"/>
            <w:sz w:val="18"/>
          </w:rPr>
          <w:t> </w:t>
        </w:r>
        <w:r>
          <w:rPr>
            <w:sz w:val="18"/>
          </w:rPr>
          <w:t>End</w:t>
        </w:r>
        <w:r>
          <w:rPr>
            <w:spacing w:val="-6"/>
            <w:sz w:val="18"/>
          </w:rPr>
          <w:t> </w:t>
        </w:r>
        <w:r>
          <w:rPr>
            <w:sz w:val="18"/>
          </w:rPr>
          <w:t>Violence</w:t>
        </w:r>
        <w:r>
          <w:rPr>
            <w:spacing w:val="-5"/>
            <w:sz w:val="18"/>
          </w:rPr>
          <w:t> </w:t>
        </w:r>
        <w:r>
          <w:rPr>
            <w:sz w:val="18"/>
          </w:rPr>
          <w:t>Against</w:t>
        </w:r>
      </w:hyperlink>
      <w:r>
        <w:rPr>
          <w:sz w:val="18"/>
        </w:rPr>
        <w:t> </w:t>
      </w:r>
      <w:hyperlink r:id="rId151">
        <w:r>
          <w:rPr>
            <w:sz w:val="18"/>
          </w:rPr>
          <w:t>Women and Girls’, (ECNI, 2023)</w:t>
        </w:r>
      </w:hyperlink>
      <w:r>
        <w:rPr>
          <w:sz w:val="18"/>
        </w:rPr>
        <w:t>.</w:t>
      </w:r>
    </w:p>
    <w:p>
      <w:pPr>
        <w:pStyle w:val="ListParagraph"/>
        <w:numPr>
          <w:ilvl w:val="0"/>
          <w:numId w:val="9"/>
        </w:numPr>
        <w:tabs>
          <w:tab w:pos="1853" w:val="left" w:leader="none"/>
        </w:tabs>
        <w:spacing w:line="235" w:lineRule="auto" w:before="1" w:after="0"/>
        <w:ind w:left="1853" w:right="1354" w:hanging="720"/>
        <w:jc w:val="left"/>
        <w:rPr>
          <w:sz w:val="18"/>
        </w:rPr>
      </w:pPr>
      <w:r>
        <w:rPr>
          <w:sz w:val="18"/>
        </w:rPr>
        <w:t>See</w:t>
      </w:r>
      <w:r>
        <w:rPr>
          <w:spacing w:val="-4"/>
          <w:sz w:val="18"/>
        </w:rPr>
        <w:t> </w:t>
      </w:r>
      <w:r>
        <w:rPr>
          <w:sz w:val="18"/>
        </w:rPr>
        <w:t>Implementation</w:t>
      </w:r>
      <w:r>
        <w:rPr>
          <w:spacing w:val="-5"/>
          <w:sz w:val="18"/>
        </w:rPr>
        <w:t> </w:t>
      </w:r>
      <w:r>
        <w:rPr>
          <w:sz w:val="18"/>
        </w:rPr>
        <w:t>and</w:t>
      </w:r>
      <w:r>
        <w:rPr>
          <w:spacing w:val="-5"/>
          <w:sz w:val="18"/>
        </w:rPr>
        <w:t> </w:t>
      </w:r>
      <w:r>
        <w:rPr>
          <w:sz w:val="18"/>
        </w:rPr>
        <w:t>Parliamentary</w:t>
      </w:r>
      <w:r>
        <w:rPr>
          <w:spacing w:val="-4"/>
          <w:sz w:val="18"/>
        </w:rPr>
        <w:t> </w:t>
      </w:r>
      <w:r>
        <w:rPr>
          <w:sz w:val="18"/>
        </w:rPr>
        <w:t>Scrutiny</w:t>
      </w:r>
      <w:r>
        <w:rPr>
          <w:spacing w:val="-4"/>
          <w:sz w:val="18"/>
        </w:rPr>
        <w:t> </w:t>
      </w:r>
      <w:r>
        <w:rPr>
          <w:sz w:val="18"/>
        </w:rPr>
        <w:t>section</w:t>
      </w:r>
      <w:r>
        <w:rPr>
          <w:spacing w:val="-5"/>
          <w:sz w:val="18"/>
        </w:rPr>
        <w:t> </w:t>
      </w:r>
      <w:r>
        <w:rPr>
          <w:sz w:val="18"/>
        </w:rPr>
        <w:t>in</w:t>
      </w:r>
      <w:r>
        <w:rPr>
          <w:spacing w:val="-5"/>
          <w:sz w:val="18"/>
        </w:rPr>
        <w:t> </w:t>
      </w:r>
      <w:r>
        <w:rPr>
          <w:sz w:val="18"/>
        </w:rPr>
        <w:t>Chapter</w:t>
      </w:r>
      <w:r>
        <w:rPr>
          <w:spacing w:val="-4"/>
          <w:sz w:val="18"/>
        </w:rPr>
        <w:t> </w:t>
      </w:r>
      <w:r>
        <w:rPr>
          <w:sz w:val="18"/>
        </w:rPr>
        <w:t>2;</w:t>
      </w:r>
      <w:r>
        <w:rPr>
          <w:spacing w:val="-4"/>
          <w:sz w:val="18"/>
        </w:rPr>
        <w:t> </w:t>
      </w: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w:t>
      </w:r>
      <w:hyperlink r:id="rId151">
        <w:r>
          <w:rPr>
            <w:sz w:val="18"/>
          </w:rPr>
          <w:t>Equality</w:t>
        </w:r>
        <w:r>
          <w:rPr>
            <w:spacing w:val="-4"/>
            <w:sz w:val="18"/>
          </w:rPr>
          <w:t> </w:t>
        </w:r>
        <w:r>
          <w:rPr>
            <w:sz w:val="18"/>
          </w:rPr>
          <w:t>Commission</w:t>
        </w:r>
      </w:hyperlink>
      <w:r>
        <w:rPr>
          <w:sz w:val="18"/>
        </w:rPr>
        <w:t> </w:t>
      </w:r>
      <w:hyperlink r:id="rId151">
        <w:r>
          <w:rPr>
            <w:sz w:val="18"/>
          </w:rPr>
          <w:t>consultation response on Strategic Framework to End Violence Against Women and Girls’, (ECNI, 2023)</w:t>
        </w:r>
      </w:hyperlink>
      <w:r>
        <w:rPr>
          <w:sz w:val="18"/>
        </w:rPr>
        <w:t>; NI Human Rights</w:t>
      </w:r>
      <w:r>
        <w:rPr>
          <w:spacing w:val="-6"/>
          <w:sz w:val="18"/>
        </w:rPr>
        <w:t> </w:t>
      </w:r>
      <w:r>
        <w:rPr>
          <w:sz w:val="18"/>
        </w:rPr>
        <w:t>Commission,</w:t>
      </w:r>
      <w:r>
        <w:rPr>
          <w:spacing w:val="-5"/>
          <w:sz w:val="18"/>
        </w:rPr>
        <w:t> </w:t>
      </w:r>
      <w:r>
        <w:rPr>
          <w:sz w:val="18"/>
        </w:rPr>
        <w:t>‘Submission</w:t>
      </w:r>
      <w:r>
        <w:rPr>
          <w:spacing w:val="-6"/>
          <w:sz w:val="18"/>
        </w:rPr>
        <w:t> </w:t>
      </w:r>
      <w:r>
        <w:rPr>
          <w:sz w:val="18"/>
        </w:rPr>
        <w:t>to</w:t>
      </w:r>
      <w:r>
        <w:rPr>
          <w:spacing w:val="-6"/>
          <w:sz w:val="18"/>
        </w:rPr>
        <w:t> </w:t>
      </w:r>
      <w:r>
        <w:rPr>
          <w:sz w:val="18"/>
        </w:rPr>
        <w:t>the</w:t>
      </w:r>
      <w:r>
        <w:rPr>
          <w:spacing w:val="-5"/>
          <w:sz w:val="18"/>
        </w:rPr>
        <w:t> </w:t>
      </w:r>
      <w:r>
        <w:rPr>
          <w:sz w:val="18"/>
        </w:rPr>
        <w:t>Executive</w:t>
      </w:r>
      <w:r>
        <w:rPr>
          <w:spacing w:val="-5"/>
          <w:sz w:val="18"/>
        </w:rPr>
        <w:t> </w:t>
      </w:r>
      <w:r>
        <w:rPr>
          <w:sz w:val="18"/>
        </w:rPr>
        <w:t>Office’s</w:t>
      </w:r>
      <w:r>
        <w:rPr>
          <w:spacing w:val="-6"/>
          <w:sz w:val="18"/>
        </w:rPr>
        <w:t> </w:t>
      </w:r>
      <w:r>
        <w:rPr>
          <w:sz w:val="18"/>
        </w:rPr>
        <w:t>Consultation</w:t>
      </w:r>
      <w:r>
        <w:rPr>
          <w:spacing w:val="-6"/>
          <w:sz w:val="18"/>
        </w:rPr>
        <w:t> </w:t>
      </w:r>
      <w:r>
        <w:rPr>
          <w:sz w:val="18"/>
        </w:rPr>
        <w:t>on</w:t>
      </w:r>
      <w:r>
        <w:rPr>
          <w:spacing w:val="-6"/>
          <w:sz w:val="18"/>
        </w:rPr>
        <w:t> </w:t>
      </w:r>
      <w:r>
        <w:rPr>
          <w:sz w:val="18"/>
        </w:rPr>
        <w:t>the</w:t>
      </w:r>
      <w:r>
        <w:rPr>
          <w:spacing w:val="-5"/>
          <w:sz w:val="18"/>
        </w:rPr>
        <w:t> </w:t>
      </w:r>
      <w:r>
        <w:rPr>
          <w:sz w:val="18"/>
        </w:rPr>
        <w:t>Ending</w:t>
      </w:r>
      <w:r>
        <w:rPr>
          <w:spacing w:val="-5"/>
          <w:sz w:val="18"/>
        </w:rPr>
        <w:t> </w:t>
      </w:r>
      <w:r>
        <w:rPr>
          <w:sz w:val="18"/>
        </w:rPr>
        <w:t>Violence</w:t>
      </w:r>
      <w:r>
        <w:rPr>
          <w:spacing w:val="-5"/>
          <w:sz w:val="18"/>
        </w:rPr>
        <w:t> </w:t>
      </w:r>
      <w:r>
        <w:rPr>
          <w:sz w:val="18"/>
        </w:rPr>
        <w:t>Against</w:t>
      </w:r>
      <w:r>
        <w:rPr>
          <w:spacing w:val="-5"/>
          <w:sz w:val="18"/>
        </w:rPr>
        <w:t> </w:t>
      </w:r>
      <w:r>
        <w:rPr>
          <w:sz w:val="18"/>
        </w:rPr>
        <w:t>Women</w:t>
      </w:r>
      <w:r>
        <w:rPr>
          <w:spacing w:val="-6"/>
          <w:sz w:val="18"/>
        </w:rPr>
        <w:t> </w:t>
      </w:r>
      <w:r>
        <w:rPr>
          <w:sz w:val="18"/>
        </w:rPr>
        <w:t>and</w:t>
      </w:r>
      <w:r>
        <w:rPr>
          <w:spacing w:val="-6"/>
          <w:sz w:val="18"/>
        </w:rPr>
        <w:t> </w:t>
      </w:r>
      <w:r>
        <w:rPr>
          <w:sz w:val="18"/>
        </w:rPr>
        <w:t>Girls Strategic Framework’, (NIHRC, 2023).</w:t>
      </w:r>
    </w:p>
    <w:p>
      <w:pPr>
        <w:pStyle w:val="ListParagraph"/>
        <w:numPr>
          <w:ilvl w:val="0"/>
          <w:numId w:val="9"/>
        </w:numPr>
        <w:tabs>
          <w:tab w:pos="1853" w:val="left" w:leader="none"/>
        </w:tabs>
        <w:spacing w:line="235" w:lineRule="auto" w:before="3" w:after="0"/>
        <w:ind w:left="1853" w:right="1439" w:hanging="720"/>
        <w:jc w:val="left"/>
        <w:rPr>
          <w:sz w:val="18"/>
        </w:rPr>
      </w:pPr>
      <w:r>
        <w:rPr>
          <w:sz w:val="18"/>
        </w:rPr>
        <w:t>Directive 2012/29/EU, ‘EU Parliament and Council Directive Establishing Minimum Standards on the Rights, Support and</w:t>
      </w:r>
      <w:r>
        <w:rPr>
          <w:spacing w:val="-5"/>
          <w:sz w:val="18"/>
        </w:rPr>
        <w:t> </w:t>
      </w:r>
      <w:r>
        <w:rPr>
          <w:sz w:val="18"/>
        </w:rPr>
        <w:t>Protection</w:t>
      </w:r>
      <w:r>
        <w:rPr>
          <w:spacing w:val="-5"/>
          <w:sz w:val="18"/>
        </w:rPr>
        <w:t> </w:t>
      </w:r>
      <w:r>
        <w:rPr>
          <w:sz w:val="18"/>
        </w:rPr>
        <w:t>of</w:t>
      </w:r>
      <w:r>
        <w:rPr>
          <w:spacing w:val="-5"/>
          <w:sz w:val="18"/>
        </w:rPr>
        <w:t> </w:t>
      </w:r>
      <w:r>
        <w:rPr>
          <w:sz w:val="18"/>
        </w:rPr>
        <w:t>Victims</w:t>
      </w:r>
      <w:r>
        <w:rPr>
          <w:spacing w:val="-5"/>
          <w:sz w:val="18"/>
        </w:rPr>
        <w:t> </w:t>
      </w:r>
      <w:r>
        <w:rPr>
          <w:sz w:val="18"/>
        </w:rPr>
        <w:t>of</w:t>
      </w:r>
      <w:r>
        <w:rPr>
          <w:spacing w:val="-5"/>
          <w:sz w:val="18"/>
        </w:rPr>
        <w:t> </w:t>
      </w:r>
      <w:r>
        <w:rPr>
          <w:sz w:val="18"/>
        </w:rPr>
        <w:t>Crime’,</w:t>
      </w:r>
      <w:r>
        <w:rPr>
          <w:spacing w:val="-4"/>
          <w:sz w:val="18"/>
        </w:rPr>
        <w:t> </w:t>
      </w:r>
      <w:r>
        <w:rPr>
          <w:sz w:val="18"/>
        </w:rPr>
        <w:t>25</w:t>
      </w:r>
      <w:r>
        <w:rPr>
          <w:spacing w:val="-4"/>
          <w:sz w:val="18"/>
        </w:rPr>
        <w:t> </w:t>
      </w:r>
      <w:r>
        <w:rPr>
          <w:sz w:val="18"/>
        </w:rPr>
        <w:t>October</w:t>
      </w:r>
      <w:r>
        <w:rPr>
          <w:spacing w:val="-4"/>
          <w:sz w:val="18"/>
        </w:rPr>
        <w:t> </w:t>
      </w:r>
      <w:r>
        <w:rPr>
          <w:sz w:val="18"/>
        </w:rPr>
        <w:t>2012.</w:t>
      </w:r>
      <w:r>
        <w:rPr>
          <w:spacing w:val="32"/>
          <w:sz w:val="18"/>
        </w:rPr>
        <w:t> </w:t>
      </w:r>
      <w:r>
        <w:rPr>
          <w:sz w:val="18"/>
        </w:rPr>
        <w:t>The</w:t>
      </w:r>
      <w:r>
        <w:rPr>
          <w:spacing w:val="-4"/>
          <w:sz w:val="18"/>
        </w:rPr>
        <w:t> </w:t>
      </w:r>
      <w:r>
        <w:rPr>
          <w:sz w:val="18"/>
        </w:rPr>
        <w:t>ECNI</w:t>
      </w:r>
      <w:r>
        <w:rPr>
          <w:spacing w:val="-4"/>
          <w:sz w:val="18"/>
        </w:rPr>
        <w:t> </w:t>
      </w:r>
      <w:r>
        <w:rPr>
          <w:sz w:val="18"/>
        </w:rPr>
        <w:t>noted</w:t>
      </w:r>
      <w:r>
        <w:rPr>
          <w:spacing w:val="-5"/>
          <w:sz w:val="18"/>
        </w:rPr>
        <w:t> </w:t>
      </w:r>
      <w:r>
        <w:rPr>
          <w:sz w:val="18"/>
        </w:rPr>
        <w:t>the</w:t>
      </w:r>
      <w:r>
        <w:rPr>
          <w:spacing w:val="-4"/>
          <w:sz w:val="18"/>
        </w:rPr>
        <w:t> </w:t>
      </w:r>
      <w:r>
        <w:rPr>
          <w:sz w:val="18"/>
        </w:rPr>
        <w:t>importance</w:t>
      </w:r>
      <w:r>
        <w:rPr>
          <w:spacing w:val="-4"/>
          <w:sz w:val="18"/>
        </w:rPr>
        <w:t> </w:t>
      </w:r>
      <w:r>
        <w:rPr>
          <w:sz w:val="18"/>
        </w:rPr>
        <w:t>of</w:t>
      </w:r>
      <w:r>
        <w:rPr>
          <w:spacing w:val="-5"/>
          <w:sz w:val="18"/>
        </w:rPr>
        <w:t> </w:t>
      </w:r>
      <w:r>
        <w:rPr>
          <w:sz w:val="18"/>
        </w:rPr>
        <w:t>the</w:t>
      </w:r>
      <w:r>
        <w:rPr>
          <w:spacing w:val="-4"/>
          <w:sz w:val="18"/>
        </w:rPr>
        <w:t> </w:t>
      </w:r>
      <w:r>
        <w:rPr>
          <w:sz w:val="18"/>
        </w:rPr>
        <w:t>test</w:t>
      </w:r>
      <w:r>
        <w:rPr>
          <w:spacing w:val="-4"/>
          <w:sz w:val="18"/>
        </w:rPr>
        <w:t> </w:t>
      </w:r>
      <w:r>
        <w:rPr>
          <w:sz w:val="18"/>
        </w:rPr>
        <w:t>for</w:t>
      </w:r>
      <w:r>
        <w:rPr>
          <w:spacing w:val="-4"/>
          <w:sz w:val="18"/>
        </w:rPr>
        <w:t> </w:t>
      </w:r>
      <w:r>
        <w:rPr>
          <w:sz w:val="18"/>
        </w:rPr>
        <w:t>Article</w:t>
      </w:r>
      <w:r>
        <w:rPr>
          <w:spacing w:val="-4"/>
          <w:sz w:val="18"/>
        </w:rPr>
        <w:t> </w:t>
      </w:r>
      <w:r>
        <w:rPr>
          <w:sz w:val="18"/>
        </w:rPr>
        <w:t>2</w:t>
      </w:r>
      <w:r>
        <w:rPr>
          <w:spacing w:val="-4"/>
          <w:sz w:val="18"/>
        </w:rPr>
        <w:t> </w:t>
      </w:r>
      <w:r>
        <w:rPr>
          <w:sz w:val="18"/>
        </w:rPr>
        <w:t>outlined</w:t>
      </w:r>
    </w:p>
    <w:p>
      <w:pPr>
        <w:spacing w:line="235" w:lineRule="auto" w:before="1"/>
        <w:ind w:left="1853" w:right="1171" w:firstLine="0"/>
        <w:jc w:val="left"/>
        <w:rPr>
          <w:sz w:val="18"/>
        </w:rPr>
      </w:pPr>
      <w:r>
        <w:rPr>
          <w:sz w:val="18"/>
        </w:rPr>
        <w:t>in</w:t>
      </w:r>
      <w:r>
        <w:rPr>
          <w:spacing w:val="-3"/>
          <w:sz w:val="18"/>
        </w:rPr>
        <w:t> </w:t>
      </w:r>
      <w:r>
        <w:rPr>
          <w:sz w:val="18"/>
        </w:rPr>
        <w:t>the</w:t>
      </w:r>
      <w:r>
        <w:rPr>
          <w:spacing w:val="-2"/>
          <w:sz w:val="18"/>
        </w:rPr>
        <w:t> </w:t>
      </w:r>
      <w:r>
        <w:rPr>
          <w:sz w:val="18"/>
        </w:rPr>
        <w:t>SPUC</w:t>
      </w:r>
      <w:r>
        <w:rPr>
          <w:spacing w:val="-3"/>
          <w:sz w:val="18"/>
        </w:rPr>
        <w:t> </w:t>
      </w:r>
      <w:r>
        <w:rPr>
          <w:sz w:val="18"/>
        </w:rPr>
        <w:t>Court</w:t>
      </w:r>
      <w:r>
        <w:rPr>
          <w:spacing w:val="-2"/>
          <w:sz w:val="18"/>
        </w:rPr>
        <w:t> </w:t>
      </w:r>
      <w:r>
        <w:rPr>
          <w:sz w:val="18"/>
        </w:rPr>
        <w:t>of</w:t>
      </w:r>
      <w:r>
        <w:rPr>
          <w:spacing w:val="-3"/>
          <w:sz w:val="18"/>
        </w:rPr>
        <w:t> </w:t>
      </w:r>
      <w:r>
        <w:rPr>
          <w:sz w:val="18"/>
        </w:rPr>
        <w:t>Appeal</w:t>
      </w:r>
      <w:r>
        <w:rPr>
          <w:spacing w:val="-3"/>
          <w:sz w:val="18"/>
        </w:rPr>
        <w:t> </w:t>
      </w:r>
      <w:r>
        <w:rPr>
          <w:sz w:val="18"/>
        </w:rPr>
        <w:t>decision</w:t>
      </w:r>
      <w:r>
        <w:rPr>
          <w:spacing w:val="-3"/>
          <w:sz w:val="18"/>
        </w:rPr>
        <w:t> </w:t>
      </w:r>
      <w:r>
        <w:rPr>
          <w:sz w:val="18"/>
        </w:rPr>
        <w:t>in</w:t>
      </w:r>
      <w:r>
        <w:rPr>
          <w:spacing w:val="-3"/>
          <w:sz w:val="18"/>
        </w:rPr>
        <w:t> </w:t>
      </w:r>
      <w:r>
        <w:rPr>
          <w:sz w:val="18"/>
        </w:rPr>
        <w:t>assessing</w:t>
      </w:r>
      <w:r>
        <w:rPr>
          <w:spacing w:val="-2"/>
          <w:sz w:val="18"/>
        </w:rPr>
        <w:t> </w:t>
      </w:r>
      <w:r>
        <w:rPr>
          <w:sz w:val="18"/>
        </w:rPr>
        <w:t>compliance</w:t>
      </w:r>
      <w:r>
        <w:rPr>
          <w:spacing w:val="-2"/>
          <w:sz w:val="18"/>
        </w:rPr>
        <w:t> </w:t>
      </w:r>
      <w:r>
        <w:rPr>
          <w:sz w:val="18"/>
        </w:rPr>
        <w:t>with</w:t>
      </w:r>
      <w:r>
        <w:rPr>
          <w:spacing w:val="-3"/>
          <w:sz w:val="18"/>
        </w:rPr>
        <w:t> </w:t>
      </w:r>
      <w:r>
        <w:rPr>
          <w:sz w:val="18"/>
        </w:rPr>
        <w:t>Windsor</w:t>
      </w:r>
      <w:r>
        <w:rPr>
          <w:spacing w:val="-2"/>
          <w:sz w:val="18"/>
        </w:rPr>
        <w:t> </w:t>
      </w:r>
      <w:r>
        <w:rPr>
          <w:sz w:val="18"/>
        </w:rPr>
        <w:t>Framework</w:t>
      </w:r>
      <w:r>
        <w:rPr>
          <w:spacing w:val="-2"/>
          <w:sz w:val="18"/>
        </w:rPr>
        <w:t> </w:t>
      </w:r>
      <w:r>
        <w:rPr>
          <w:sz w:val="18"/>
        </w:rPr>
        <w:t>Article</w:t>
      </w:r>
      <w:r>
        <w:rPr>
          <w:spacing w:val="-2"/>
          <w:sz w:val="18"/>
        </w:rPr>
        <w:t> </w:t>
      </w:r>
      <w:r>
        <w:rPr>
          <w:sz w:val="18"/>
        </w:rPr>
        <w:t>2</w:t>
      </w:r>
      <w:r>
        <w:rPr>
          <w:spacing w:val="-2"/>
          <w:sz w:val="18"/>
        </w:rPr>
        <w:t> </w:t>
      </w:r>
      <w:r>
        <w:rPr>
          <w:sz w:val="18"/>
        </w:rPr>
        <w:t>and</w:t>
      </w:r>
      <w:r>
        <w:rPr>
          <w:spacing w:val="-3"/>
          <w:sz w:val="18"/>
        </w:rPr>
        <w:t> </w:t>
      </w:r>
      <w:r>
        <w:rPr>
          <w:sz w:val="18"/>
        </w:rPr>
        <w:t>the</w:t>
      </w:r>
      <w:r>
        <w:rPr>
          <w:spacing w:val="-2"/>
          <w:sz w:val="18"/>
        </w:rPr>
        <w:t> </w:t>
      </w:r>
      <w:r>
        <w:rPr>
          <w:sz w:val="18"/>
        </w:rPr>
        <w:t>relevance</w:t>
      </w:r>
      <w:r>
        <w:rPr>
          <w:spacing w:val="-2"/>
          <w:sz w:val="18"/>
        </w:rPr>
        <w:t> </w:t>
      </w:r>
      <w:r>
        <w:rPr>
          <w:sz w:val="18"/>
        </w:rPr>
        <w:t>of</w:t>
      </w:r>
      <w:r>
        <w:rPr>
          <w:spacing w:val="-3"/>
          <w:sz w:val="18"/>
        </w:rPr>
        <w:t> </w:t>
      </w:r>
      <w:r>
        <w:rPr>
          <w:sz w:val="18"/>
        </w:rPr>
        <w:t>the dynamic alignment obligations in relation to the gender equality directives to the Strategy.</w:t>
      </w:r>
    </w:p>
    <w:p>
      <w:pPr>
        <w:pStyle w:val="ListParagraph"/>
        <w:numPr>
          <w:ilvl w:val="0"/>
          <w:numId w:val="9"/>
        </w:numPr>
        <w:tabs>
          <w:tab w:pos="1853" w:val="left" w:leader="none"/>
        </w:tabs>
        <w:spacing w:line="235" w:lineRule="auto" w:before="2" w:after="0"/>
        <w:ind w:left="1853" w:right="1403" w:hanging="720"/>
        <w:jc w:val="left"/>
        <w:rPr>
          <w:sz w:val="18"/>
        </w:rPr>
      </w:pP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3"/>
          <w:sz w:val="18"/>
        </w:rPr>
        <w:t> </w:t>
      </w:r>
      <w:r>
        <w:rPr>
          <w:sz w:val="18"/>
        </w:rPr>
        <w:t>‘Submission</w:t>
      </w:r>
      <w:r>
        <w:rPr>
          <w:spacing w:val="-4"/>
          <w:sz w:val="18"/>
        </w:rPr>
        <w:t> </w:t>
      </w:r>
      <w:r>
        <w:rPr>
          <w:sz w:val="18"/>
        </w:rPr>
        <w:t>to</w:t>
      </w:r>
      <w:r>
        <w:rPr>
          <w:spacing w:val="-4"/>
          <w:sz w:val="18"/>
        </w:rPr>
        <w:t> </w:t>
      </w:r>
      <w:r>
        <w:rPr>
          <w:sz w:val="18"/>
        </w:rPr>
        <w:t>the</w:t>
      </w:r>
      <w:r>
        <w:rPr>
          <w:spacing w:val="-3"/>
          <w:sz w:val="18"/>
        </w:rPr>
        <w:t> </w:t>
      </w:r>
      <w:r>
        <w:rPr>
          <w:sz w:val="18"/>
        </w:rPr>
        <w:t>CoE</w:t>
      </w:r>
      <w:r>
        <w:rPr>
          <w:spacing w:val="-4"/>
          <w:sz w:val="18"/>
        </w:rPr>
        <w:t> </w:t>
      </w:r>
      <w:r>
        <w:rPr>
          <w:sz w:val="18"/>
        </w:rPr>
        <w:t>Group</w:t>
      </w:r>
      <w:r>
        <w:rPr>
          <w:spacing w:val="-4"/>
          <w:sz w:val="18"/>
        </w:rPr>
        <w:t> </w:t>
      </w:r>
      <w:r>
        <w:rPr>
          <w:sz w:val="18"/>
        </w:rPr>
        <w:t>of</w:t>
      </w:r>
      <w:r>
        <w:rPr>
          <w:spacing w:val="-4"/>
          <w:sz w:val="18"/>
        </w:rPr>
        <w:t> </w:t>
      </w:r>
      <w:r>
        <w:rPr>
          <w:sz w:val="18"/>
        </w:rPr>
        <w:t>Experts</w:t>
      </w:r>
      <w:r>
        <w:rPr>
          <w:spacing w:val="-4"/>
          <w:sz w:val="18"/>
        </w:rPr>
        <w:t> </w:t>
      </w:r>
      <w:r>
        <w:rPr>
          <w:sz w:val="18"/>
        </w:rPr>
        <w:t>on</w:t>
      </w:r>
      <w:r>
        <w:rPr>
          <w:spacing w:val="-4"/>
          <w:sz w:val="18"/>
        </w:rPr>
        <w:t> </w:t>
      </w:r>
      <w:r>
        <w:rPr>
          <w:sz w:val="18"/>
        </w:rPr>
        <w:t>Action</w:t>
      </w:r>
      <w:r>
        <w:rPr>
          <w:spacing w:val="-4"/>
          <w:sz w:val="18"/>
        </w:rPr>
        <w:t> </w:t>
      </w:r>
      <w:r>
        <w:rPr>
          <w:sz w:val="18"/>
        </w:rPr>
        <w:t>against</w:t>
      </w:r>
      <w:r>
        <w:rPr>
          <w:spacing w:val="-3"/>
          <w:sz w:val="18"/>
        </w:rPr>
        <w:t> </w:t>
      </w:r>
      <w:r>
        <w:rPr>
          <w:sz w:val="18"/>
        </w:rPr>
        <w:t>Violence</w:t>
      </w:r>
      <w:r>
        <w:rPr>
          <w:spacing w:val="-3"/>
          <w:sz w:val="18"/>
        </w:rPr>
        <w:t> </w:t>
      </w:r>
      <w:r>
        <w:rPr>
          <w:sz w:val="18"/>
        </w:rPr>
        <w:t>against</w:t>
      </w:r>
      <w:r>
        <w:rPr>
          <w:spacing w:val="-3"/>
          <w:sz w:val="18"/>
        </w:rPr>
        <w:t> </w:t>
      </w:r>
      <w:r>
        <w:rPr>
          <w:sz w:val="18"/>
        </w:rPr>
        <w:t>Women</w:t>
      </w:r>
      <w:r>
        <w:rPr>
          <w:spacing w:val="-4"/>
          <w:sz w:val="18"/>
        </w:rPr>
        <w:t> </w:t>
      </w:r>
      <w:r>
        <w:rPr>
          <w:sz w:val="18"/>
        </w:rPr>
        <w:t>and Domestic Violence - Parallel Report for the Baseline Report in Monitoring the United Kingdom’ (NIHRC, 2023).</w:t>
      </w:r>
    </w:p>
    <w:p>
      <w:pPr>
        <w:pStyle w:val="ListParagraph"/>
        <w:numPr>
          <w:ilvl w:val="0"/>
          <w:numId w:val="9"/>
        </w:numPr>
        <w:tabs>
          <w:tab w:pos="1853" w:val="left" w:leader="none"/>
        </w:tabs>
        <w:spacing w:line="235" w:lineRule="auto" w:before="1" w:after="0"/>
        <w:ind w:left="1853" w:right="1403" w:hanging="720"/>
        <w:jc w:val="left"/>
        <w:rPr>
          <w:sz w:val="18"/>
        </w:rPr>
      </w:pP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3"/>
          <w:sz w:val="18"/>
        </w:rPr>
        <w:t> </w:t>
      </w:r>
      <w:r>
        <w:rPr>
          <w:sz w:val="18"/>
        </w:rPr>
        <w:t>‘Submission</w:t>
      </w:r>
      <w:r>
        <w:rPr>
          <w:spacing w:val="-4"/>
          <w:sz w:val="18"/>
        </w:rPr>
        <w:t> </w:t>
      </w:r>
      <w:r>
        <w:rPr>
          <w:sz w:val="18"/>
        </w:rPr>
        <w:t>to</w:t>
      </w:r>
      <w:r>
        <w:rPr>
          <w:spacing w:val="-4"/>
          <w:sz w:val="18"/>
        </w:rPr>
        <w:t> </w:t>
      </w:r>
      <w:r>
        <w:rPr>
          <w:sz w:val="18"/>
        </w:rPr>
        <w:t>the</w:t>
      </w:r>
      <w:r>
        <w:rPr>
          <w:spacing w:val="-3"/>
          <w:sz w:val="18"/>
        </w:rPr>
        <w:t> </w:t>
      </w:r>
      <w:r>
        <w:rPr>
          <w:sz w:val="18"/>
        </w:rPr>
        <w:t>CoE</w:t>
      </w:r>
      <w:r>
        <w:rPr>
          <w:spacing w:val="-4"/>
          <w:sz w:val="18"/>
        </w:rPr>
        <w:t> </w:t>
      </w:r>
      <w:r>
        <w:rPr>
          <w:sz w:val="18"/>
        </w:rPr>
        <w:t>Group</w:t>
      </w:r>
      <w:r>
        <w:rPr>
          <w:spacing w:val="-4"/>
          <w:sz w:val="18"/>
        </w:rPr>
        <w:t> </w:t>
      </w:r>
      <w:r>
        <w:rPr>
          <w:sz w:val="18"/>
        </w:rPr>
        <w:t>of</w:t>
      </w:r>
      <w:r>
        <w:rPr>
          <w:spacing w:val="-4"/>
          <w:sz w:val="18"/>
        </w:rPr>
        <w:t> </w:t>
      </w:r>
      <w:r>
        <w:rPr>
          <w:sz w:val="18"/>
        </w:rPr>
        <w:t>Experts</w:t>
      </w:r>
      <w:r>
        <w:rPr>
          <w:spacing w:val="-4"/>
          <w:sz w:val="18"/>
        </w:rPr>
        <w:t> </w:t>
      </w:r>
      <w:r>
        <w:rPr>
          <w:sz w:val="18"/>
        </w:rPr>
        <w:t>on</w:t>
      </w:r>
      <w:r>
        <w:rPr>
          <w:spacing w:val="-4"/>
          <w:sz w:val="18"/>
        </w:rPr>
        <w:t> </w:t>
      </w:r>
      <w:r>
        <w:rPr>
          <w:sz w:val="18"/>
        </w:rPr>
        <w:t>Action</w:t>
      </w:r>
      <w:r>
        <w:rPr>
          <w:spacing w:val="-4"/>
          <w:sz w:val="18"/>
        </w:rPr>
        <w:t> </w:t>
      </w:r>
      <w:r>
        <w:rPr>
          <w:sz w:val="18"/>
        </w:rPr>
        <w:t>against</w:t>
      </w:r>
      <w:r>
        <w:rPr>
          <w:spacing w:val="-3"/>
          <w:sz w:val="18"/>
        </w:rPr>
        <w:t> </w:t>
      </w:r>
      <w:r>
        <w:rPr>
          <w:sz w:val="18"/>
        </w:rPr>
        <w:t>Violence</w:t>
      </w:r>
      <w:r>
        <w:rPr>
          <w:spacing w:val="-3"/>
          <w:sz w:val="18"/>
        </w:rPr>
        <w:t> </w:t>
      </w:r>
      <w:r>
        <w:rPr>
          <w:sz w:val="18"/>
        </w:rPr>
        <w:t>against</w:t>
      </w:r>
      <w:r>
        <w:rPr>
          <w:spacing w:val="-3"/>
          <w:sz w:val="18"/>
        </w:rPr>
        <w:t> </w:t>
      </w:r>
      <w:r>
        <w:rPr>
          <w:sz w:val="18"/>
        </w:rPr>
        <w:t>Women</w:t>
      </w:r>
      <w:r>
        <w:rPr>
          <w:spacing w:val="-4"/>
          <w:sz w:val="18"/>
        </w:rPr>
        <w:t> </w:t>
      </w:r>
      <w:r>
        <w:rPr>
          <w:sz w:val="18"/>
        </w:rPr>
        <w:t>and Domestic Violence - Parallel Report for the Baseline Report in Monitoring the United Kingdom’ (NIHRC, 2023).</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hanging="1"/>
      </w:pPr>
      <w:r>
        <w:rPr/>
        <w:t>obligations</w:t>
      </w:r>
      <w:r>
        <w:rPr>
          <w:spacing w:val="-8"/>
        </w:rPr>
        <w:t> </w:t>
      </w:r>
      <w:r>
        <w:rPr/>
        <w:t>under</w:t>
      </w:r>
      <w:r>
        <w:rPr>
          <w:spacing w:val="-7"/>
        </w:rPr>
        <w:t> </w:t>
      </w:r>
      <w:r>
        <w:rPr/>
        <w:t>Windsor</w:t>
      </w:r>
      <w:r>
        <w:rPr>
          <w:spacing w:val="-7"/>
        </w:rPr>
        <w:t> </w:t>
      </w:r>
      <w:r>
        <w:rPr/>
        <w:t>Framework</w:t>
      </w:r>
      <w:r>
        <w:rPr>
          <w:spacing w:val="-7"/>
        </w:rPr>
        <w:t> </w:t>
      </w:r>
      <w:r>
        <w:rPr/>
        <w:t>Article</w:t>
      </w:r>
      <w:r>
        <w:rPr>
          <w:spacing w:val="-7"/>
        </w:rPr>
        <w:t> </w:t>
      </w:r>
      <w:r>
        <w:rPr/>
        <w:t>2</w:t>
      </w:r>
      <w:r>
        <w:rPr>
          <w:spacing w:val="-7"/>
        </w:rPr>
        <w:t> </w:t>
      </w:r>
      <w:r>
        <w:rPr/>
        <w:t>and</w:t>
      </w:r>
      <w:r>
        <w:rPr>
          <w:spacing w:val="-8"/>
        </w:rPr>
        <w:t> </w:t>
      </w:r>
      <w:r>
        <w:rPr/>
        <w:t>the</w:t>
      </w:r>
      <w:r>
        <w:rPr>
          <w:spacing w:val="-7"/>
        </w:rPr>
        <w:t> </w:t>
      </w:r>
      <w:r>
        <w:rPr/>
        <w:t>continuing</w:t>
      </w:r>
      <w:r>
        <w:rPr>
          <w:spacing w:val="-7"/>
        </w:rPr>
        <w:t> </w:t>
      </w:r>
      <w:r>
        <w:rPr/>
        <w:t>relevance of the EU gender directives and other relevant EU law, including the EU Victims Directive</w:t>
      </w:r>
      <w:r>
        <w:rPr>
          <w:vertAlign w:val="superscript"/>
        </w:rPr>
        <w:t>419</w:t>
      </w:r>
      <w:r>
        <w:rPr>
          <w:vertAlign w:val="baseline"/>
        </w:rPr>
        <w:t> and the EU Trafficking Directive</w:t>
      </w:r>
      <w:r>
        <w:rPr>
          <w:vertAlign w:val="superscript"/>
        </w:rPr>
        <w:t>420</w:t>
      </w:r>
      <w:r>
        <w:rPr>
          <w:vertAlign w:val="baseline"/>
        </w:rPr>
        <w:t> to NI.</w:t>
      </w:r>
      <w:r>
        <w:rPr>
          <w:vertAlign w:val="superscript"/>
        </w:rPr>
        <w:t>421</w:t>
      </w:r>
    </w:p>
    <w:p>
      <w:pPr>
        <w:pStyle w:val="ListParagraph"/>
        <w:numPr>
          <w:ilvl w:val="1"/>
          <w:numId w:val="7"/>
        </w:numPr>
        <w:tabs>
          <w:tab w:pos="1853" w:val="left" w:leader="none"/>
        </w:tabs>
        <w:spacing w:line="225" w:lineRule="auto" w:before="317" w:after="0"/>
        <w:ind w:left="1853" w:right="1325" w:hanging="720"/>
        <w:jc w:val="left"/>
        <w:rPr>
          <w:sz w:val="28"/>
        </w:rPr>
      </w:pPr>
      <w:r>
        <w:rPr>
          <w:sz w:val="28"/>
        </w:rPr>
        <w:t>The ECNI particularly highlighted the relevance of Article 2 in relation to the Violence</w:t>
      </w:r>
      <w:r>
        <w:rPr>
          <w:spacing w:val="-9"/>
          <w:sz w:val="28"/>
        </w:rPr>
        <w:t> </w:t>
      </w:r>
      <w:r>
        <w:rPr>
          <w:sz w:val="28"/>
        </w:rPr>
        <w:t>Against</w:t>
      </w:r>
      <w:r>
        <w:rPr>
          <w:spacing w:val="-9"/>
          <w:sz w:val="28"/>
        </w:rPr>
        <w:t> </w:t>
      </w:r>
      <w:r>
        <w:rPr>
          <w:sz w:val="28"/>
        </w:rPr>
        <w:t>Women</w:t>
      </w:r>
      <w:r>
        <w:rPr>
          <w:spacing w:val="-10"/>
          <w:sz w:val="28"/>
        </w:rPr>
        <w:t> </w:t>
      </w:r>
      <w:r>
        <w:rPr>
          <w:sz w:val="28"/>
        </w:rPr>
        <w:t>and</w:t>
      </w:r>
      <w:r>
        <w:rPr>
          <w:spacing w:val="-10"/>
          <w:sz w:val="28"/>
        </w:rPr>
        <w:t> </w:t>
      </w:r>
      <w:r>
        <w:rPr>
          <w:sz w:val="28"/>
        </w:rPr>
        <w:t>Girls</w:t>
      </w:r>
      <w:r>
        <w:rPr>
          <w:spacing w:val="-10"/>
          <w:sz w:val="28"/>
        </w:rPr>
        <w:t> </w:t>
      </w:r>
      <w:r>
        <w:rPr>
          <w:sz w:val="28"/>
        </w:rPr>
        <w:t>strategy</w:t>
      </w:r>
      <w:r>
        <w:rPr>
          <w:spacing w:val="-9"/>
          <w:sz w:val="28"/>
        </w:rPr>
        <w:t> </w:t>
      </w:r>
      <w:r>
        <w:rPr>
          <w:sz w:val="28"/>
        </w:rPr>
        <w:t>in</w:t>
      </w:r>
      <w:r>
        <w:rPr>
          <w:spacing w:val="-10"/>
          <w:sz w:val="28"/>
        </w:rPr>
        <w:t> </w:t>
      </w:r>
      <w:r>
        <w:rPr>
          <w:sz w:val="28"/>
        </w:rPr>
        <w:t>NI.</w:t>
      </w:r>
      <w:r>
        <w:rPr>
          <w:sz w:val="28"/>
          <w:vertAlign w:val="superscript"/>
        </w:rPr>
        <w:t>422</w:t>
      </w:r>
      <w:r>
        <w:rPr>
          <w:spacing w:val="-10"/>
          <w:sz w:val="28"/>
          <w:vertAlign w:val="baseline"/>
        </w:rPr>
        <w:t> </w:t>
      </w:r>
      <w:r>
        <w:rPr>
          <w:sz w:val="28"/>
          <w:vertAlign w:val="baseline"/>
        </w:rPr>
        <w:t>The</w:t>
      </w:r>
      <w:r>
        <w:rPr>
          <w:spacing w:val="-9"/>
          <w:sz w:val="28"/>
          <w:vertAlign w:val="baseline"/>
        </w:rPr>
        <w:t> </w:t>
      </w:r>
      <w:r>
        <w:rPr>
          <w:sz w:val="28"/>
          <w:vertAlign w:val="baseline"/>
        </w:rPr>
        <w:t>ECNI</w:t>
      </w:r>
      <w:r>
        <w:rPr>
          <w:spacing w:val="-9"/>
          <w:sz w:val="28"/>
          <w:vertAlign w:val="baseline"/>
        </w:rPr>
        <w:t> </w:t>
      </w:r>
      <w:r>
        <w:rPr>
          <w:sz w:val="28"/>
          <w:vertAlign w:val="baseline"/>
        </w:rPr>
        <w:t>also</w:t>
      </w:r>
      <w:r>
        <w:rPr>
          <w:spacing w:val="-10"/>
          <w:sz w:val="28"/>
          <w:vertAlign w:val="baseline"/>
        </w:rPr>
        <w:t> </w:t>
      </w:r>
      <w:r>
        <w:rPr>
          <w:sz w:val="28"/>
          <w:vertAlign w:val="baseline"/>
        </w:rPr>
        <w:t>highlighted the need for effective strategies to tackle the nature and specific impact</w:t>
      </w:r>
    </w:p>
    <w:p>
      <w:pPr>
        <w:pStyle w:val="BodyText"/>
        <w:spacing w:line="225" w:lineRule="auto"/>
        <w:ind w:left="1853" w:right="1595"/>
      </w:pPr>
      <w:r>
        <w:rPr/>
        <w:t>of</w:t>
      </w:r>
      <w:r>
        <w:rPr>
          <w:spacing w:val="-10"/>
        </w:rPr>
        <w:t> </w:t>
      </w:r>
      <w:r>
        <w:rPr/>
        <w:t>gender-based</w:t>
      </w:r>
      <w:r>
        <w:rPr>
          <w:spacing w:val="-10"/>
        </w:rPr>
        <w:t> </w:t>
      </w:r>
      <w:r>
        <w:rPr/>
        <w:t>violence</w:t>
      </w:r>
      <w:r>
        <w:rPr>
          <w:spacing w:val="-9"/>
        </w:rPr>
        <w:t> </w:t>
      </w:r>
      <w:r>
        <w:rPr/>
        <w:t>and</w:t>
      </w:r>
      <w:r>
        <w:rPr>
          <w:spacing w:val="-10"/>
        </w:rPr>
        <w:t> </w:t>
      </w:r>
      <w:r>
        <w:rPr/>
        <w:t>to</w:t>
      </w:r>
      <w:r>
        <w:rPr>
          <w:spacing w:val="-10"/>
        </w:rPr>
        <w:t> </w:t>
      </w:r>
      <w:r>
        <w:rPr/>
        <w:t>counter</w:t>
      </w:r>
      <w:r>
        <w:rPr>
          <w:spacing w:val="-9"/>
        </w:rPr>
        <w:t> </w:t>
      </w:r>
      <w:r>
        <w:rPr/>
        <w:t>gender-based</w:t>
      </w:r>
      <w:r>
        <w:rPr>
          <w:spacing w:val="-10"/>
        </w:rPr>
        <w:t> </w:t>
      </w:r>
      <w:r>
        <w:rPr/>
        <w:t>stereotypes</w:t>
      </w:r>
      <w:r>
        <w:rPr>
          <w:spacing w:val="-10"/>
        </w:rPr>
        <w:t> </w:t>
      </w:r>
      <w:r>
        <w:rPr/>
        <w:t>and prejudicial attitudes.</w:t>
      </w:r>
      <w:r>
        <w:rPr>
          <w:vertAlign w:val="superscript"/>
        </w:rPr>
        <w:t>423</w:t>
      </w:r>
    </w:p>
    <w:p>
      <w:pPr>
        <w:pStyle w:val="ListParagraph"/>
        <w:numPr>
          <w:ilvl w:val="1"/>
          <w:numId w:val="7"/>
        </w:numPr>
        <w:tabs>
          <w:tab w:pos="1853" w:val="left" w:leader="none"/>
        </w:tabs>
        <w:spacing w:line="225" w:lineRule="auto" w:before="313" w:after="0"/>
        <w:ind w:left="1853" w:right="1130" w:hanging="720"/>
        <w:jc w:val="left"/>
        <w:rPr>
          <w:sz w:val="28"/>
        </w:rPr>
      </w:pPr>
      <w:r>
        <w:rPr>
          <w:sz w:val="28"/>
        </w:rPr>
        <w:t>The NIHRC highlighted a number of specific issues including the gendered effect of paramilitarism, the need to adopt a gender-sensitive approach to tackle all forms of violence against women and girls. This approach should include access to specialised, gender-sensitive support services, which are available regardless of an individual’s immigration status. The NIHRC also highlighted</w:t>
      </w:r>
      <w:r>
        <w:rPr>
          <w:spacing w:val="-6"/>
          <w:sz w:val="28"/>
        </w:rPr>
        <w:t> </w:t>
      </w:r>
      <w:r>
        <w:rPr>
          <w:sz w:val="28"/>
        </w:rPr>
        <w:t>the</w:t>
      </w:r>
      <w:r>
        <w:rPr>
          <w:spacing w:val="-6"/>
          <w:sz w:val="28"/>
        </w:rPr>
        <w:t> </w:t>
      </w:r>
      <w:r>
        <w:rPr>
          <w:sz w:val="28"/>
        </w:rPr>
        <w:t>need</w:t>
      </w:r>
      <w:r>
        <w:rPr>
          <w:spacing w:val="-6"/>
          <w:sz w:val="28"/>
        </w:rPr>
        <w:t> </w:t>
      </w:r>
      <w:r>
        <w:rPr>
          <w:sz w:val="28"/>
        </w:rPr>
        <w:t>to</w:t>
      </w:r>
      <w:r>
        <w:rPr>
          <w:spacing w:val="-6"/>
          <w:sz w:val="28"/>
        </w:rPr>
        <w:t> </w:t>
      </w:r>
      <w:r>
        <w:rPr>
          <w:sz w:val="28"/>
        </w:rPr>
        <w:t>ensure</w:t>
      </w:r>
      <w:r>
        <w:rPr>
          <w:spacing w:val="-6"/>
          <w:sz w:val="28"/>
        </w:rPr>
        <w:t> </w:t>
      </w:r>
      <w:r>
        <w:rPr>
          <w:sz w:val="28"/>
        </w:rPr>
        <w:t>that</w:t>
      </w:r>
      <w:r>
        <w:rPr>
          <w:spacing w:val="-6"/>
          <w:sz w:val="28"/>
        </w:rPr>
        <w:t> </w:t>
      </w:r>
      <w:r>
        <w:rPr>
          <w:sz w:val="28"/>
        </w:rPr>
        <w:t>that</w:t>
      </w:r>
      <w:r>
        <w:rPr>
          <w:spacing w:val="-6"/>
          <w:sz w:val="28"/>
        </w:rPr>
        <w:t> </w:t>
      </w:r>
      <w:r>
        <w:rPr>
          <w:sz w:val="28"/>
        </w:rPr>
        <w:t>asylum</w:t>
      </w:r>
      <w:r>
        <w:rPr>
          <w:spacing w:val="-6"/>
          <w:sz w:val="28"/>
        </w:rPr>
        <w:t> </w:t>
      </w:r>
      <w:r>
        <w:rPr>
          <w:sz w:val="28"/>
        </w:rPr>
        <w:t>law</w:t>
      </w:r>
      <w:r>
        <w:rPr>
          <w:spacing w:val="-6"/>
          <w:sz w:val="28"/>
        </w:rPr>
        <w:t> </w:t>
      </w:r>
      <w:r>
        <w:rPr>
          <w:sz w:val="28"/>
        </w:rPr>
        <w:t>applying</w:t>
      </w:r>
      <w:r>
        <w:rPr>
          <w:spacing w:val="-6"/>
          <w:sz w:val="28"/>
        </w:rPr>
        <w:t> </w:t>
      </w:r>
      <w:r>
        <w:rPr>
          <w:sz w:val="28"/>
        </w:rPr>
        <w:t>in</w:t>
      </w:r>
      <w:r>
        <w:rPr>
          <w:spacing w:val="-6"/>
          <w:sz w:val="28"/>
        </w:rPr>
        <w:t> </w:t>
      </w:r>
      <w:r>
        <w:rPr>
          <w:sz w:val="28"/>
        </w:rPr>
        <w:t>NI</w:t>
      </w:r>
      <w:r>
        <w:rPr>
          <w:spacing w:val="-6"/>
          <w:sz w:val="28"/>
        </w:rPr>
        <w:t> </w:t>
      </w:r>
      <w:r>
        <w:rPr>
          <w:sz w:val="28"/>
        </w:rPr>
        <w:t>is</w:t>
      </w:r>
      <w:r>
        <w:rPr>
          <w:spacing w:val="-6"/>
          <w:sz w:val="28"/>
        </w:rPr>
        <w:t> </w:t>
      </w:r>
      <w:r>
        <w:rPr>
          <w:sz w:val="28"/>
        </w:rPr>
        <w:t>complaint with the principle of non-refoulment and Windsor Framework Article 2.</w:t>
      </w:r>
      <w:r>
        <w:rPr>
          <w:spacing w:val="-26"/>
          <w:sz w:val="28"/>
        </w:rPr>
        <w:t> </w:t>
      </w:r>
      <w:r>
        <w:rPr>
          <w:sz w:val="28"/>
          <w:vertAlign w:val="superscript"/>
        </w:rPr>
        <w:t>424</w:t>
      </w:r>
    </w:p>
    <w:p>
      <w:pPr>
        <w:pStyle w:val="BodyText"/>
        <w:spacing w:before="9"/>
        <w:rPr>
          <w:sz w:val="13"/>
        </w:rPr>
      </w:pPr>
      <w:r>
        <w:rPr/>
        <mc:AlternateContent>
          <mc:Choice Requires="wps">
            <w:drawing>
              <wp:anchor distT="0" distB="0" distL="0" distR="0" allowOverlap="1" layoutInCell="1" locked="0" behindDoc="1" simplePos="0" relativeHeight="487672320">
                <wp:simplePos x="0" y="0"/>
                <wp:positionH relativeFrom="page">
                  <wp:posOffset>720001</wp:posOffset>
                </wp:positionH>
                <wp:positionV relativeFrom="paragraph">
                  <wp:posOffset>121759</wp:posOffset>
                </wp:positionV>
                <wp:extent cx="6120130" cy="360045"/>
                <wp:effectExtent l="0" t="0" r="0" b="0"/>
                <wp:wrapTopAndBottom/>
                <wp:docPr id="361" name="Textbox 361"/>
                <wp:cNvGraphicFramePr>
                  <a:graphicFrameLocks/>
                </wp:cNvGraphicFramePr>
                <a:graphic>
                  <a:graphicData uri="http://schemas.microsoft.com/office/word/2010/wordprocessingShape">
                    <wps:wsp>
                      <wps:cNvPr id="361" name="Textbox 361"/>
                      <wps:cNvSpPr txBox="1"/>
                      <wps:spPr>
                        <a:xfrm>
                          <a:off x="0" y="0"/>
                          <a:ext cx="6120130" cy="360045"/>
                        </a:xfrm>
                        <a:prstGeom prst="rect">
                          <a:avLst/>
                        </a:prstGeom>
                        <a:solidFill>
                          <a:srgbClr val="393B7F"/>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9.587359pt;width:481.9pt;height:28.35pt;mso-position-horizontal-relative:page;mso-position-vertical-relative:paragraph;z-index:-15644160;mso-wrap-distance-left:0;mso-wrap-distance-right:0" type="#_x0000_t202" id="docshape311" filled="true" fillcolor="#393b7f"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192" w:after="0"/>
        <w:ind w:left="1853" w:right="1836" w:hanging="720"/>
        <w:jc w:val="left"/>
        <w:rPr>
          <w:b/>
          <w:color w:val="67287F"/>
          <w:sz w:val="28"/>
        </w:rPr>
      </w:pPr>
      <w:r>
        <w:rPr>
          <w:b/>
          <w:color w:val="67287F"/>
          <w:sz w:val="28"/>
        </w:rPr>
        <w:t>The Commissions continue to recommend that the Department of Health</w:t>
      </w:r>
      <w:r>
        <w:rPr>
          <w:b/>
          <w:color w:val="67287F"/>
          <w:spacing w:val="-6"/>
          <w:sz w:val="28"/>
        </w:rPr>
        <w:t> </w:t>
      </w:r>
      <w:r>
        <w:rPr>
          <w:b/>
          <w:color w:val="67287F"/>
          <w:sz w:val="28"/>
        </w:rPr>
        <w:t>and</w:t>
      </w:r>
      <w:r>
        <w:rPr>
          <w:b/>
          <w:color w:val="67287F"/>
          <w:spacing w:val="-6"/>
          <w:sz w:val="28"/>
        </w:rPr>
        <w:t> </w:t>
      </w:r>
      <w:r>
        <w:rPr>
          <w:b/>
          <w:color w:val="67287F"/>
          <w:sz w:val="28"/>
        </w:rPr>
        <w:t>the</w:t>
      </w:r>
      <w:r>
        <w:rPr>
          <w:b/>
          <w:color w:val="67287F"/>
          <w:spacing w:val="-7"/>
          <w:sz w:val="28"/>
        </w:rPr>
        <w:t> </w:t>
      </w:r>
      <w:r>
        <w:rPr>
          <w:b/>
          <w:color w:val="67287F"/>
          <w:sz w:val="28"/>
        </w:rPr>
        <w:t>Department</w:t>
      </w:r>
      <w:r>
        <w:rPr>
          <w:b/>
          <w:color w:val="67287F"/>
          <w:spacing w:val="-6"/>
          <w:sz w:val="28"/>
        </w:rPr>
        <w:t> </w:t>
      </w:r>
      <w:r>
        <w:rPr>
          <w:b/>
          <w:color w:val="67287F"/>
          <w:sz w:val="28"/>
        </w:rPr>
        <w:t>of</w:t>
      </w:r>
      <w:r>
        <w:rPr>
          <w:b/>
          <w:color w:val="67287F"/>
          <w:spacing w:val="-7"/>
          <w:sz w:val="28"/>
        </w:rPr>
        <w:t> </w:t>
      </w:r>
      <w:r>
        <w:rPr>
          <w:b/>
          <w:color w:val="67287F"/>
          <w:sz w:val="28"/>
        </w:rPr>
        <w:t>Justice</w:t>
      </w:r>
      <w:r>
        <w:rPr>
          <w:b/>
          <w:color w:val="67287F"/>
          <w:spacing w:val="-7"/>
          <w:sz w:val="28"/>
        </w:rPr>
        <w:t> </w:t>
      </w:r>
      <w:r>
        <w:rPr>
          <w:b/>
          <w:color w:val="67287F"/>
          <w:sz w:val="28"/>
        </w:rPr>
        <w:t>embed</w:t>
      </w:r>
      <w:r>
        <w:rPr>
          <w:b/>
          <w:color w:val="67287F"/>
          <w:spacing w:val="-6"/>
          <w:sz w:val="28"/>
        </w:rPr>
        <w:t> </w:t>
      </w:r>
      <w:r>
        <w:rPr>
          <w:b/>
          <w:color w:val="67287F"/>
          <w:sz w:val="28"/>
        </w:rPr>
        <w:t>consideration</w:t>
      </w:r>
      <w:r>
        <w:rPr>
          <w:b/>
          <w:color w:val="67287F"/>
          <w:spacing w:val="-6"/>
          <w:sz w:val="28"/>
        </w:rPr>
        <w:t> </w:t>
      </w:r>
      <w:r>
        <w:rPr>
          <w:b/>
          <w:color w:val="67287F"/>
          <w:sz w:val="28"/>
        </w:rPr>
        <w:t>of</w:t>
      </w:r>
      <w:r>
        <w:rPr>
          <w:b/>
          <w:color w:val="67287F"/>
          <w:spacing w:val="-7"/>
          <w:sz w:val="28"/>
        </w:rPr>
        <w:t> </w:t>
      </w:r>
      <w:r>
        <w:rPr>
          <w:b/>
          <w:color w:val="67287F"/>
          <w:sz w:val="28"/>
        </w:rPr>
        <w:t>Windsor</w:t>
      </w:r>
    </w:p>
    <w:p>
      <w:pPr>
        <w:spacing w:line="225" w:lineRule="auto" w:before="0"/>
        <w:ind w:left="1853" w:right="0" w:firstLine="0"/>
        <w:jc w:val="left"/>
        <w:rPr>
          <w:b/>
          <w:sz w:val="28"/>
        </w:rPr>
      </w:pPr>
      <w:r>
        <w:rPr>
          <w:b/>
          <w:color w:val="67287F"/>
          <w:sz w:val="28"/>
        </w:rPr>
        <w:t>Framework</w:t>
      </w:r>
      <w:r>
        <w:rPr>
          <w:b/>
          <w:color w:val="67287F"/>
          <w:spacing w:val="-6"/>
          <w:sz w:val="28"/>
        </w:rPr>
        <w:t> </w:t>
      </w:r>
      <w:r>
        <w:rPr>
          <w:b/>
          <w:color w:val="67287F"/>
          <w:sz w:val="28"/>
        </w:rPr>
        <w:t>Article</w:t>
      </w:r>
      <w:r>
        <w:rPr>
          <w:b/>
          <w:color w:val="67287F"/>
          <w:spacing w:val="-6"/>
          <w:sz w:val="28"/>
        </w:rPr>
        <w:t> </w:t>
      </w:r>
      <w:r>
        <w:rPr>
          <w:b/>
          <w:color w:val="67287F"/>
          <w:sz w:val="28"/>
        </w:rPr>
        <w:t>2</w:t>
      </w:r>
      <w:r>
        <w:rPr>
          <w:b/>
          <w:color w:val="67287F"/>
          <w:spacing w:val="-6"/>
          <w:sz w:val="28"/>
        </w:rPr>
        <w:t> </w:t>
      </w:r>
      <w:r>
        <w:rPr>
          <w:b/>
          <w:color w:val="67287F"/>
          <w:sz w:val="28"/>
        </w:rPr>
        <w:t>and</w:t>
      </w:r>
      <w:r>
        <w:rPr>
          <w:b/>
          <w:color w:val="67287F"/>
          <w:spacing w:val="-6"/>
          <w:sz w:val="28"/>
        </w:rPr>
        <w:t> </w:t>
      </w:r>
      <w:r>
        <w:rPr>
          <w:b/>
          <w:color w:val="67287F"/>
          <w:sz w:val="28"/>
        </w:rPr>
        <w:t>the</w:t>
      </w:r>
      <w:r>
        <w:rPr>
          <w:b/>
          <w:color w:val="67287F"/>
          <w:spacing w:val="-6"/>
          <w:sz w:val="28"/>
        </w:rPr>
        <w:t> </w:t>
      </w:r>
      <w:r>
        <w:rPr>
          <w:b/>
          <w:color w:val="67287F"/>
          <w:sz w:val="28"/>
        </w:rPr>
        <w:t>EU</w:t>
      </w:r>
      <w:r>
        <w:rPr>
          <w:b/>
          <w:color w:val="67287F"/>
          <w:spacing w:val="-6"/>
          <w:sz w:val="28"/>
        </w:rPr>
        <w:t> </w:t>
      </w:r>
      <w:r>
        <w:rPr>
          <w:b/>
          <w:color w:val="67287F"/>
          <w:sz w:val="28"/>
        </w:rPr>
        <w:t>Victims’</w:t>
      </w:r>
      <w:r>
        <w:rPr>
          <w:b/>
          <w:color w:val="67287F"/>
          <w:spacing w:val="-6"/>
          <w:sz w:val="28"/>
        </w:rPr>
        <w:t> </w:t>
      </w:r>
      <w:r>
        <w:rPr>
          <w:b/>
          <w:color w:val="67287F"/>
          <w:sz w:val="28"/>
        </w:rPr>
        <w:t>Directive</w:t>
      </w:r>
      <w:r>
        <w:rPr>
          <w:b/>
          <w:color w:val="67287F"/>
          <w:spacing w:val="-6"/>
          <w:sz w:val="28"/>
        </w:rPr>
        <w:t> </w:t>
      </w:r>
      <w:r>
        <w:rPr>
          <w:b/>
          <w:color w:val="67287F"/>
          <w:sz w:val="28"/>
        </w:rPr>
        <w:t>in</w:t>
      </w:r>
      <w:r>
        <w:rPr>
          <w:b/>
          <w:color w:val="67287F"/>
          <w:spacing w:val="-6"/>
          <w:sz w:val="28"/>
        </w:rPr>
        <w:t> </w:t>
      </w:r>
      <w:r>
        <w:rPr>
          <w:b/>
          <w:color w:val="67287F"/>
          <w:sz w:val="28"/>
        </w:rPr>
        <w:t>the</w:t>
      </w:r>
      <w:r>
        <w:rPr>
          <w:b/>
          <w:color w:val="67287F"/>
          <w:spacing w:val="-6"/>
          <w:sz w:val="28"/>
        </w:rPr>
        <w:t> </w:t>
      </w:r>
      <w:r>
        <w:rPr>
          <w:b/>
          <w:color w:val="67287F"/>
          <w:sz w:val="28"/>
        </w:rPr>
        <w:t>development</w:t>
      </w:r>
      <w:r>
        <w:rPr>
          <w:b/>
          <w:color w:val="67287F"/>
          <w:spacing w:val="-6"/>
          <w:sz w:val="28"/>
        </w:rPr>
        <w:t> </w:t>
      </w:r>
      <w:r>
        <w:rPr>
          <w:b/>
          <w:color w:val="67287F"/>
          <w:sz w:val="28"/>
        </w:rPr>
        <w:t>and implementation of the Domestic and Sexual Abuse Strategy.</w:t>
      </w:r>
    </w:p>
    <w:p>
      <w:pPr>
        <w:pStyle w:val="ListParagraph"/>
        <w:numPr>
          <w:ilvl w:val="1"/>
          <w:numId w:val="7"/>
        </w:numPr>
        <w:tabs>
          <w:tab w:pos="1853" w:val="left" w:leader="none"/>
        </w:tabs>
        <w:spacing w:line="225" w:lineRule="auto" w:before="315" w:after="0"/>
        <w:ind w:left="1853" w:right="1285" w:hanging="720"/>
        <w:jc w:val="left"/>
        <w:rPr>
          <w:b/>
          <w:color w:val="67287F"/>
          <w:sz w:val="28"/>
        </w:rPr>
      </w:pPr>
      <w:r>
        <w:rPr>
          <w:b/>
          <w:color w:val="67287F"/>
          <w:sz w:val="28"/>
        </w:rPr>
        <w:t>The Commissions recommend that the Executive Office embeds consideration</w:t>
      </w:r>
      <w:r>
        <w:rPr>
          <w:b/>
          <w:color w:val="67287F"/>
          <w:spacing w:val="-7"/>
          <w:sz w:val="28"/>
        </w:rPr>
        <w:t> </w:t>
      </w:r>
      <w:r>
        <w:rPr>
          <w:b/>
          <w:color w:val="67287F"/>
          <w:sz w:val="28"/>
        </w:rPr>
        <w:t>of</w:t>
      </w:r>
      <w:r>
        <w:rPr>
          <w:b/>
          <w:color w:val="67287F"/>
          <w:spacing w:val="-8"/>
          <w:sz w:val="28"/>
        </w:rPr>
        <w:t> </w:t>
      </w:r>
      <w:r>
        <w:rPr>
          <w:b/>
          <w:color w:val="67287F"/>
          <w:sz w:val="28"/>
        </w:rPr>
        <w:t>Windsor</w:t>
      </w:r>
      <w:r>
        <w:rPr>
          <w:b/>
          <w:color w:val="67287F"/>
          <w:spacing w:val="-8"/>
          <w:sz w:val="28"/>
        </w:rPr>
        <w:t> </w:t>
      </w:r>
      <w:r>
        <w:rPr>
          <w:b/>
          <w:color w:val="67287F"/>
          <w:sz w:val="28"/>
        </w:rPr>
        <w:t>Framework</w:t>
      </w:r>
      <w:r>
        <w:rPr>
          <w:b/>
          <w:color w:val="67287F"/>
          <w:spacing w:val="-8"/>
          <w:sz w:val="28"/>
        </w:rPr>
        <w:t> </w:t>
      </w:r>
      <w:r>
        <w:rPr>
          <w:b/>
          <w:color w:val="67287F"/>
          <w:sz w:val="28"/>
        </w:rPr>
        <w:t>Article</w:t>
      </w:r>
      <w:r>
        <w:rPr>
          <w:b/>
          <w:color w:val="67287F"/>
          <w:spacing w:val="-8"/>
          <w:sz w:val="28"/>
        </w:rPr>
        <w:t> </w:t>
      </w:r>
      <w:r>
        <w:rPr>
          <w:b/>
          <w:color w:val="67287F"/>
          <w:sz w:val="28"/>
        </w:rPr>
        <w:t>2</w:t>
      </w:r>
      <w:r>
        <w:rPr>
          <w:b/>
          <w:color w:val="67287F"/>
          <w:spacing w:val="-7"/>
          <w:sz w:val="28"/>
        </w:rPr>
        <w:t> </w:t>
      </w:r>
      <w:r>
        <w:rPr>
          <w:b/>
          <w:color w:val="67287F"/>
          <w:sz w:val="28"/>
        </w:rPr>
        <w:t>and</w:t>
      </w:r>
      <w:r>
        <w:rPr>
          <w:b/>
          <w:color w:val="67287F"/>
          <w:spacing w:val="-7"/>
          <w:sz w:val="28"/>
        </w:rPr>
        <w:t> </w:t>
      </w:r>
      <w:r>
        <w:rPr>
          <w:b/>
          <w:color w:val="67287F"/>
          <w:sz w:val="28"/>
        </w:rPr>
        <w:t>the</w:t>
      </w:r>
      <w:r>
        <w:rPr>
          <w:b/>
          <w:color w:val="67287F"/>
          <w:spacing w:val="-8"/>
          <w:sz w:val="28"/>
        </w:rPr>
        <w:t> </w:t>
      </w:r>
      <w:r>
        <w:rPr>
          <w:b/>
          <w:color w:val="67287F"/>
          <w:sz w:val="28"/>
        </w:rPr>
        <w:t>EU</w:t>
      </w:r>
      <w:r>
        <w:rPr>
          <w:b/>
          <w:color w:val="67287F"/>
          <w:spacing w:val="-7"/>
          <w:sz w:val="28"/>
        </w:rPr>
        <w:t> </w:t>
      </w:r>
      <w:r>
        <w:rPr>
          <w:b/>
          <w:color w:val="67287F"/>
          <w:sz w:val="28"/>
        </w:rPr>
        <w:t>Victims’</w:t>
      </w:r>
      <w:r>
        <w:rPr>
          <w:b/>
          <w:color w:val="67287F"/>
          <w:spacing w:val="-7"/>
          <w:sz w:val="28"/>
        </w:rPr>
        <w:t> </w:t>
      </w:r>
      <w:r>
        <w:rPr>
          <w:b/>
          <w:color w:val="67287F"/>
          <w:sz w:val="28"/>
        </w:rPr>
        <w:t>Directive in the development and implementation of the Violence Against Women and Girls Strategy.</w:t>
      </w:r>
    </w:p>
    <w:p>
      <w:pPr>
        <w:pStyle w:val="ListParagraph"/>
        <w:numPr>
          <w:ilvl w:val="1"/>
          <w:numId w:val="7"/>
        </w:numPr>
        <w:tabs>
          <w:tab w:pos="1853" w:val="left" w:leader="none"/>
        </w:tabs>
        <w:spacing w:line="225" w:lineRule="auto" w:before="315" w:after="0"/>
        <w:ind w:left="1853" w:right="1357" w:hanging="720"/>
        <w:jc w:val="left"/>
        <w:rPr>
          <w:b/>
          <w:color w:val="67287F"/>
          <w:sz w:val="28"/>
        </w:rPr>
      </w:pPr>
      <w:r>
        <w:rPr>
          <w:b/>
          <w:color w:val="67287F"/>
          <w:sz w:val="28"/>
        </w:rPr>
        <w:t>The Commissions recommend that the Executive Office defines, in future Impact Assessments, victims’ rights under the Belfast (Good Friday) Agreement</w:t>
      </w:r>
      <w:r>
        <w:rPr>
          <w:b/>
          <w:color w:val="67287F"/>
          <w:spacing w:val="-6"/>
          <w:sz w:val="28"/>
        </w:rPr>
        <w:t> </w:t>
      </w:r>
      <w:r>
        <w:rPr>
          <w:b/>
          <w:color w:val="67287F"/>
          <w:sz w:val="28"/>
        </w:rPr>
        <w:t>to</w:t>
      </w:r>
      <w:r>
        <w:rPr>
          <w:b/>
          <w:color w:val="67287F"/>
          <w:spacing w:val="-6"/>
          <w:sz w:val="28"/>
        </w:rPr>
        <w:t> </w:t>
      </w:r>
      <w:r>
        <w:rPr>
          <w:b/>
          <w:color w:val="67287F"/>
          <w:sz w:val="28"/>
        </w:rPr>
        <w:t>include</w:t>
      </w:r>
      <w:r>
        <w:rPr>
          <w:b/>
          <w:color w:val="67287F"/>
          <w:spacing w:val="-7"/>
          <w:sz w:val="28"/>
        </w:rPr>
        <w:t> </w:t>
      </w:r>
      <w:r>
        <w:rPr>
          <w:b/>
          <w:color w:val="67287F"/>
          <w:sz w:val="28"/>
        </w:rPr>
        <w:t>all</w:t>
      </w:r>
      <w:r>
        <w:rPr>
          <w:b/>
          <w:color w:val="67287F"/>
          <w:spacing w:val="-6"/>
          <w:sz w:val="28"/>
        </w:rPr>
        <w:t> </w:t>
      </w:r>
      <w:r>
        <w:rPr>
          <w:b/>
          <w:color w:val="67287F"/>
          <w:sz w:val="28"/>
        </w:rPr>
        <w:t>victims</w:t>
      </w:r>
      <w:r>
        <w:rPr>
          <w:b/>
          <w:color w:val="67287F"/>
          <w:spacing w:val="-6"/>
          <w:sz w:val="28"/>
        </w:rPr>
        <w:t> </w:t>
      </w:r>
      <w:r>
        <w:rPr>
          <w:b/>
          <w:color w:val="67287F"/>
          <w:sz w:val="28"/>
        </w:rPr>
        <w:t>of</w:t>
      </w:r>
      <w:r>
        <w:rPr>
          <w:b/>
          <w:color w:val="67287F"/>
          <w:spacing w:val="-7"/>
          <w:sz w:val="28"/>
        </w:rPr>
        <w:t> </w:t>
      </w:r>
      <w:r>
        <w:rPr>
          <w:b/>
          <w:color w:val="67287F"/>
          <w:sz w:val="28"/>
        </w:rPr>
        <w:t>crime</w:t>
      </w:r>
      <w:r>
        <w:rPr>
          <w:b/>
          <w:color w:val="67287F"/>
          <w:spacing w:val="-7"/>
          <w:sz w:val="28"/>
        </w:rPr>
        <w:t> </w:t>
      </w:r>
      <w:r>
        <w:rPr>
          <w:b/>
          <w:color w:val="67287F"/>
          <w:sz w:val="28"/>
        </w:rPr>
        <w:t>and</w:t>
      </w:r>
      <w:r>
        <w:rPr>
          <w:b/>
          <w:color w:val="67287F"/>
          <w:spacing w:val="-6"/>
          <w:sz w:val="28"/>
        </w:rPr>
        <w:t> </w:t>
      </w:r>
      <w:r>
        <w:rPr>
          <w:b/>
          <w:color w:val="67287F"/>
          <w:sz w:val="28"/>
        </w:rPr>
        <w:t>considers</w:t>
      </w:r>
      <w:r>
        <w:rPr>
          <w:b/>
          <w:color w:val="67287F"/>
          <w:spacing w:val="-6"/>
          <w:sz w:val="28"/>
        </w:rPr>
        <w:t> </w:t>
      </w:r>
      <w:r>
        <w:rPr>
          <w:b/>
          <w:color w:val="67287F"/>
          <w:sz w:val="28"/>
        </w:rPr>
        <w:t>relevant</w:t>
      </w:r>
      <w:r>
        <w:rPr>
          <w:b/>
          <w:color w:val="67287F"/>
          <w:spacing w:val="-6"/>
          <w:sz w:val="28"/>
        </w:rPr>
        <w:t> </w:t>
      </w:r>
      <w:r>
        <w:rPr>
          <w:b/>
          <w:color w:val="67287F"/>
          <w:sz w:val="28"/>
        </w:rPr>
        <w:t>provisions of</w:t>
      </w:r>
      <w:r>
        <w:rPr>
          <w:b/>
          <w:color w:val="67287F"/>
          <w:spacing w:val="-8"/>
          <w:sz w:val="28"/>
        </w:rPr>
        <w:t> </w:t>
      </w:r>
      <w:r>
        <w:rPr>
          <w:b/>
          <w:color w:val="67287F"/>
          <w:sz w:val="28"/>
        </w:rPr>
        <w:t>the</w:t>
      </w:r>
      <w:r>
        <w:rPr>
          <w:b/>
          <w:color w:val="67287F"/>
          <w:spacing w:val="-8"/>
          <w:sz w:val="28"/>
        </w:rPr>
        <w:t> </w:t>
      </w:r>
      <w:r>
        <w:rPr>
          <w:b/>
          <w:color w:val="67287F"/>
          <w:sz w:val="28"/>
        </w:rPr>
        <w:t>EU</w:t>
      </w:r>
      <w:r>
        <w:rPr>
          <w:b/>
          <w:color w:val="67287F"/>
          <w:spacing w:val="-7"/>
          <w:sz w:val="28"/>
        </w:rPr>
        <w:t> </w:t>
      </w:r>
      <w:r>
        <w:rPr>
          <w:b/>
          <w:color w:val="67287F"/>
          <w:sz w:val="28"/>
        </w:rPr>
        <w:t>Victims’</w:t>
      </w:r>
      <w:r>
        <w:rPr>
          <w:b/>
          <w:color w:val="67287F"/>
          <w:spacing w:val="-7"/>
          <w:sz w:val="28"/>
        </w:rPr>
        <w:t> </w:t>
      </w:r>
      <w:r>
        <w:rPr>
          <w:b/>
          <w:color w:val="67287F"/>
          <w:sz w:val="28"/>
        </w:rPr>
        <w:t>Directive,</w:t>
      </w:r>
      <w:r>
        <w:rPr>
          <w:b/>
          <w:color w:val="67287F"/>
          <w:spacing w:val="-7"/>
          <w:sz w:val="28"/>
        </w:rPr>
        <w:t> </w:t>
      </w:r>
      <w:r>
        <w:rPr>
          <w:b/>
          <w:color w:val="67287F"/>
          <w:sz w:val="28"/>
        </w:rPr>
        <w:t>and</w:t>
      </w:r>
      <w:r>
        <w:rPr>
          <w:b/>
          <w:color w:val="67287F"/>
          <w:spacing w:val="-7"/>
          <w:sz w:val="28"/>
        </w:rPr>
        <w:t> </w:t>
      </w:r>
      <w:r>
        <w:rPr>
          <w:b/>
          <w:color w:val="67287F"/>
          <w:sz w:val="28"/>
        </w:rPr>
        <w:t>other</w:t>
      </w:r>
      <w:r>
        <w:rPr>
          <w:b/>
          <w:color w:val="67287F"/>
          <w:spacing w:val="-8"/>
          <w:sz w:val="28"/>
        </w:rPr>
        <w:t> </w:t>
      </w:r>
      <w:r>
        <w:rPr>
          <w:b/>
          <w:color w:val="67287F"/>
          <w:sz w:val="28"/>
        </w:rPr>
        <w:t>relevant</w:t>
      </w:r>
      <w:r>
        <w:rPr>
          <w:b/>
          <w:color w:val="67287F"/>
          <w:spacing w:val="-7"/>
          <w:sz w:val="28"/>
        </w:rPr>
        <w:t> </w:t>
      </w:r>
      <w:r>
        <w:rPr>
          <w:b/>
          <w:color w:val="67287F"/>
          <w:sz w:val="28"/>
        </w:rPr>
        <w:t>EU</w:t>
      </w:r>
      <w:r>
        <w:rPr>
          <w:b/>
          <w:color w:val="67287F"/>
          <w:spacing w:val="-7"/>
          <w:sz w:val="28"/>
        </w:rPr>
        <w:t> </w:t>
      </w:r>
      <w:r>
        <w:rPr>
          <w:b/>
          <w:color w:val="67287F"/>
          <w:sz w:val="28"/>
        </w:rPr>
        <w:t>law,</w:t>
      </w:r>
      <w:r>
        <w:rPr>
          <w:b/>
          <w:color w:val="67287F"/>
          <w:spacing w:val="-7"/>
          <w:sz w:val="28"/>
        </w:rPr>
        <w:t> </w:t>
      </w:r>
      <w:r>
        <w:rPr>
          <w:b/>
          <w:color w:val="67287F"/>
          <w:sz w:val="28"/>
        </w:rPr>
        <w:t>in</w:t>
      </w:r>
      <w:r>
        <w:rPr>
          <w:b/>
          <w:color w:val="67287F"/>
          <w:spacing w:val="-7"/>
          <w:sz w:val="28"/>
        </w:rPr>
        <w:t> </w:t>
      </w:r>
      <w:r>
        <w:rPr>
          <w:b/>
          <w:color w:val="67287F"/>
          <w:sz w:val="28"/>
        </w:rPr>
        <w:t>future</w:t>
      </w:r>
      <w:r>
        <w:rPr>
          <w:b/>
          <w:color w:val="67287F"/>
          <w:spacing w:val="-8"/>
          <w:sz w:val="28"/>
        </w:rPr>
        <w:t> </w:t>
      </w:r>
      <w:r>
        <w:rPr>
          <w:b/>
          <w:color w:val="67287F"/>
          <w:sz w:val="28"/>
        </w:rPr>
        <w:t>legislation</w:t>
      </w:r>
    </w:p>
    <w:p>
      <w:pPr>
        <w:pStyle w:val="BodyText"/>
        <w:spacing w:before="100"/>
        <w:rPr>
          <w:b/>
          <w:sz w:val="20"/>
        </w:rPr>
      </w:pPr>
      <w:r>
        <w:rPr/>
        <mc:AlternateContent>
          <mc:Choice Requires="wps">
            <w:drawing>
              <wp:anchor distT="0" distB="0" distL="0" distR="0" allowOverlap="1" layoutInCell="1" locked="0" behindDoc="1" simplePos="0" relativeHeight="487672832">
                <wp:simplePos x="0" y="0"/>
                <wp:positionH relativeFrom="page">
                  <wp:posOffset>719996</wp:posOffset>
                </wp:positionH>
                <wp:positionV relativeFrom="paragraph">
                  <wp:posOffset>233876</wp:posOffset>
                </wp:positionV>
                <wp:extent cx="6120130" cy="1270"/>
                <wp:effectExtent l="0" t="0" r="0" b="0"/>
                <wp:wrapTopAndBottom/>
                <wp:docPr id="362" name="Graphic 362"/>
                <wp:cNvGraphicFramePr>
                  <a:graphicFrameLocks/>
                </wp:cNvGraphicFramePr>
                <a:graphic>
                  <a:graphicData uri="http://schemas.microsoft.com/office/word/2010/wordprocessingShape">
                    <wps:wsp>
                      <wps:cNvPr id="362" name="Graphic 362"/>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8.415462pt;width:481.9pt;height:.1pt;mso-position-horizontal-relative:page;mso-position-vertical-relative:paragraph;z-index:-15643648;mso-wrap-distance-left:0;mso-wrap-distance-right:0" id="docshape312" coordorigin="1134,368" coordsize="9638,0" path="m10772,368l1134,368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35" w:lineRule="auto" w:before="123" w:after="0"/>
        <w:ind w:left="1853" w:right="1303" w:hanging="720"/>
        <w:jc w:val="left"/>
        <w:rPr>
          <w:sz w:val="18"/>
        </w:rPr>
      </w:pPr>
      <w:r>
        <w:rPr>
          <w:sz w:val="18"/>
        </w:rPr>
        <w:t>Directive</w:t>
      </w:r>
      <w:r>
        <w:rPr>
          <w:spacing w:val="-4"/>
          <w:sz w:val="18"/>
        </w:rPr>
        <w:t> </w:t>
      </w:r>
      <w:r>
        <w:rPr>
          <w:sz w:val="18"/>
        </w:rPr>
        <w:t>2012/29/EU,</w:t>
      </w:r>
      <w:r>
        <w:rPr>
          <w:spacing w:val="-4"/>
          <w:sz w:val="18"/>
        </w:rPr>
        <w:t> </w:t>
      </w:r>
      <w:r>
        <w:rPr>
          <w:sz w:val="18"/>
        </w:rPr>
        <w:t>‘EU</w:t>
      </w:r>
      <w:r>
        <w:rPr>
          <w:spacing w:val="-4"/>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Directive</w:t>
      </w:r>
      <w:r>
        <w:rPr>
          <w:spacing w:val="-4"/>
          <w:sz w:val="18"/>
        </w:rPr>
        <w:t> </w:t>
      </w:r>
      <w:r>
        <w:rPr>
          <w:sz w:val="18"/>
        </w:rPr>
        <w:t>Establishing</w:t>
      </w:r>
      <w:r>
        <w:rPr>
          <w:spacing w:val="-4"/>
          <w:sz w:val="18"/>
        </w:rPr>
        <w:t> </w:t>
      </w:r>
      <w:r>
        <w:rPr>
          <w:sz w:val="18"/>
        </w:rPr>
        <w:t>Minimum</w:t>
      </w:r>
      <w:r>
        <w:rPr>
          <w:spacing w:val="-4"/>
          <w:sz w:val="18"/>
        </w:rPr>
        <w:t> </w:t>
      </w:r>
      <w:r>
        <w:rPr>
          <w:sz w:val="18"/>
        </w:rPr>
        <w:t>Standards</w:t>
      </w:r>
      <w:r>
        <w:rPr>
          <w:spacing w:val="-5"/>
          <w:sz w:val="18"/>
        </w:rPr>
        <w:t> </w:t>
      </w:r>
      <w:r>
        <w:rPr>
          <w:sz w:val="18"/>
        </w:rPr>
        <w:t>on</w:t>
      </w:r>
      <w:r>
        <w:rPr>
          <w:spacing w:val="-5"/>
          <w:sz w:val="18"/>
        </w:rPr>
        <w:t> </w:t>
      </w:r>
      <w:r>
        <w:rPr>
          <w:sz w:val="18"/>
        </w:rPr>
        <w:t>the</w:t>
      </w:r>
      <w:r>
        <w:rPr>
          <w:spacing w:val="-4"/>
          <w:sz w:val="18"/>
        </w:rPr>
        <w:t> </w:t>
      </w:r>
      <w:r>
        <w:rPr>
          <w:sz w:val="18"/>
        </w:rPr>
        <w:t>Rights,</w:t>
      </w:r>
      <w:r>
        <w:rPr>
          <w:spacing w:val="-4"/>
          <w:sz w:val="18"/>
        </w:rPr>
        <w:t> </w:t>
      </w:r>
      <w:r>
        <w:rPr>
          <w:sz w:val="18"/>
        </w:rPr>
        <w:t>Support</w:t>
      </w:r>
      <w:r>
        <w:rPr>
          <w:spacing w:val="-4"/>
          <w:sz w:val="18"/>
        </w:rPr>
        <w:t> </w:t>
      </w:r>
      <w:r>
        <w:rPr>
          <w:sz w:val="18"/>
        </w:rPr>
        <w:t>and Protection of Victims of Crime’, 25 October 2012.</w:t>
      </w:r>
    </w:p>
    <w:p>
      <w:pPr>
        <w:pStyle w:val="ListParagraph"/>
        <w:numPr>
          <w:ilvl w:val="0"/>
          <w:numId w:val="9"/>
        </w:numPr>
        <w:tabs>
          <w:tab w:pos="1853" w:val="left" w:leader="none"/>
        </w:tabs>
        <w:spacing w:line="235" w:lineRule="auto" w:before="1" w:after="0"/>
        <w:ind w:left="1853" w:right="1579" w:hanging="720"/>
        <w:jc w:val="left"/>
        <w:rPr>
          <w:sz w:val="18"/>
        </w:rPr>
      </w:pPr>
      <w:r>
        <w:rPr>
          <w:sz w:val="18"/>
        </w:rPr>
        <w:t>Directive</w:t>
      </w:r>
      <w:r>
        <w:rPr>
          <w:spacing w:val="-6"/>
          <w:sz w:val="18"/>
        </w:rPr>
        <w:t> </w:t>
      </w:r>
      <w:r>
        <w:rPr>
          <w:sz w:val="18"/>
        </w:rPr>
        <w:t>2011/36/EU</w:t>
      </w:r>
      <w:r>
        <w:rPr>
          <w:spacing w:val="-6"/>
          <w:sz w:val="18"/>
        </w:rPr>
        <w:t> </w:t>
      </w:r>
      <w:r>
        <w:rPr>
          <w:sz w:val="18"/>
        </w:rPr>
        <w:t>‘Council</w:t>
      </w:r>
      <w:r>
        <w:rPr>
          <w:spacing w:val="-7"/>
          <w:sz w:val="18"/>
        </w:rPr>
        <w:t> </w:t>
      </w:r>
      <w:r>
        <w:rPr>
          <w:sz w:val="18"/>
        </w:rPr>
        <w:t>Directive</w:t>
      </w:r>
      <w:r>
        <w:rPr>
          <w:spacing w:val="-6"/>
          <w:sz w:val="18"/>
        </w:rPr>
        <w:t> </w:t>
      </w:r>
      <w:r>
        <w:rPr>
          <w:sz w:val="18"/>
        </w:rPr>
        <w:t>on</w:t>
      </w:r>
      <w:r>
        <w:rPr>
          <w:spacing w:val="-7"/>
          <w:sz w:val="18"/>
        </w:rPr>
        <w:t> </w:t>
      </w:r>
      <w:r>
        <w:rPr>
          <w:sz w:val="18"/>
        </w:rPr>
        <w:t>Preventing</w:t>
      </w:r>
      <w:r>
        <w:rPr>
          <w:spacing w:val="-6"/>
          <w:sz w:val="18"/>
        </w:rPr>
        <w:t> </w:t>
      </w:r>
      <w:r>
        <w:rPr>
          <w:sz w:val="18"/>
        </w:rPr>
        <w:t>and</w:t>
      </w:r>
      <w:r>
        <w:rPr>
          <w:spacing w:val="-7"/>
          <w:sz w:val="18"/>
        </w:rPr>
        <w:t> </w:t>
      </w:r>
      <w:r>
        <w:rPr>
          <w:sz w:val="18"/>
        </w:rPr>
        <w:t>Combating</w:t>
      </w:r>
      <w:r>
        <w:rPr>
          <w:spacing w:val="-6"/>
          <w:sz w:val="18"/>
        </w:rPr>
        <w:t> </w:t>
      </w:r>
      <w:r>
        <w:rPr>
          <w:sz w:val="18"/>
        </w:rPr>
        <w:t>Trafficking</w:t>
      </w:r>
      <w:r>
        <w:rPr>
          <w:spacing w:val="-6"/>
          <w:sz w:val="18"/>
        </w:rPr>
        <w:t> </w:t>
      </w:r>
      <w:r>
        <w:rPr>
          <w:sz w:val="18"/>
        </w:rPr>
        <w:t>in</w:t>
      </w:r>
      <w:r>
        <w:rPr>
          <w:spacing w:val="-7"/>
          <w:sz w:val="18"/>
        </w:rPr>
        <w:t> </w:t>
      </w:r>
      <w:r>
        <w:rPr>
          <w:sz w:val="18"/>
        </w:rPr>
        <w:t>Human</w:t>
      </w:r>
      <w:r>
        <w:rPr>
          <w:spacing w:val="-7"/>
          <w:sz w:val="18"/>
        </w:rPr>
        <w:t> </w:t>
      </w:r>
      <w:r>
        <w:rPr>
          <w:sz w:val="18"/>
        </w:rPr>
        <w:t>Beings</w:t>
      </w:r>
      <w:r>
        <w:rPr>
          <w:spacing w:val="-7"/>
          <w:sz w:val="18"/>
        </w:rPr>
        <w:t> </w:t>
      </w:r>
      <w:r>
        <w:rPr>
          <w:sz w:val="18"/>
        </w:rPr>
        <w:t>and</w:t>
      </w:r>
      <w:r>
        <w:rPr>
          <w:spacing w:val="-7"/>
          <w:sz w:val="18"/>
        </w:rPr>
        <w:t> </w:t>
      </w:r>
      <w:r>
        <w:rPr>
          <w:sz w:val="18"/>
        </w:rPr>
        <w:t>Protecting</w:t>
      </w:r>
      <w:r>
        <w:rPr>
          <w:spacing w:val="-6"/>
          <w:sz w:val="18"/>
        </w:rPr>
        <w:t> </w:t>
      </w:r>
      <w:r>
        <w:rPr>
          <w:sz w:val="18"/>
        </w:rPr>
        <w:t>its Victims’, 5 April 2011.</w:t>
      </w:r>
    </w:p>
    <w:p>
      <w:pPr>
        <w:pStyle w:val="ListParagraph"/>
        <w:numPr>
          <w:ilvl w:val="0"/>
          <w:numId w:val="9"/>
        </w:numPr>
        <w:tabs>
          <w:tab w:pos="1853" w:val="left" w:leader="none"/>
        </w:tabs>
        <w:spacing w:line="235" w:lineRule="auto" w:before="2" w:after="0"/>
        <w:ind w:left="1853" w:right="1230" w:hanging="720"/>
        <w:jc w:val="left"/>
        <w:rPr>
          <w:sz w:val="18"/>
        </w:rPr>
      </w:pP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w:t>
      </w:r>
      <w:hyperlink r:id="rId152">
        <w:r>
          <w:rPr>
            <w:sz w:val="18"/>
          </w:rPr>
          <w:t>Equality</w:t>
        </w:r>
        <w:r>
          <w:rPr>
            <w:spacing w:val="-4"/>
            <w:sz w:val="18"/>
          </w:rPr>
          <w:t> </w:t>
        </w:r>
        <w:r>
          <w:rPr>
            <w:sz w:val="18"/>
          </w:rPr>
          <w:t>Commission</w:t>
        </w:r>
        <w:r>
          <w:rPr>
            <w:spacing w:val="-5"/>
            <w:sz w:val="18"/>
          </w:rPr>
          <w:t> </w:t>
        </w:r>
        <w:r>
          <w:rPr>
            <w:sz w:val="18"/>
          </w:rPr>
          <w:t>input</w:t>
        </w:r>
        <w:r>
          <w:rPr>
            <w:spacing w:val="-4"/>
            <w:sz w:val="18"/>
          </w:rPr>
          <w:t> </w:t>
        </w:r>
        <w:r>
          <w:rPr>
            <w:sz w:val="18"/>
          </w:rPr>
          <w:t>for</w:t>
        </w:r>
        <w:r>
          <w:rPr>
            <w:spacing w:val="-4"/>
            <w:sz w:val="18"/>
          </w:rPr>
          <w:t> </w:t>
        </w:r>
        <w:r>
          <w:rPr>
            <w:sz w:val="18"/>
          </w:rPr>
          <w:t>UN</w:t>
        </w:r>
        <w:r>
          <w:rPr>
            <w:spacing w:val="-4"/>
            <w:sz w:val="18"/>
          </w:rPr>
          <w:t> </w:t>
        </w:r>
        <w:r>
          <w:rPr>
            <w:sz w:val="18"/>
          </w:rPr>
          <w:t>Special</w:t>
        </w:r>
        <w:r>
          <w:rPr>
            <w:spacing w:val="-5"/>
            <w:sz w:val="18"/>
          </w:rPr>
          <w:t> </w:t>
        </w:r>
        <w:r>
          <w:rPr>
            <w:sz w:val="18"/>
          </w:rPr>
          <w:t>Rapporteur</w:t>
        </w:r>
        <w:r>
          <w:rPr>
            <w:spacing w:val="-4"/>
            <w:sz w:val="18"/>
          </w:rPr>
          <w:t> </w:t>
        </w:r>
        <w:r>
          <w:rPr>
            <w:sz w:val="18"/>
          </w:rPr>
          <w:t>on</w:t>
        </w:r>
        <w:r>
          <w:rPr>
            <w:spacing w:val="-5"/>
            <w:sz w:val="18"/>
          </w:rPr>
          <w:t> </w:t>
        </w:r>
        <w:r>
          <w:rPr>
            <w:sz w:val="18"/>
          </w:rPr>
          <w:t>Violence</w:t>
        </w:r>
        <w:r>
          <w:rPr>
            <w:spacing w:val="-4"/>
            <w:sz w:val="18"/>
          </w:rPr>
          <w:t> </w:t>
        </w:r>
        <w:r>
          <w:rPr>
            <w:sz w:val="18"/>
          </w:rPr>
          <w:t>Against</w:t>
        </w:r>
        <w:r>
          <w:rPr>
            <w:spacing w:val="-4"/>
            <w:sz w:val="18"/>
          </w:rPr>
          <w:t> </w:t>
        </w:r>
        <w:r>
          <w:rPr>
            <w:sz w:val="18"/>
          </w:rPr>
          <w:t>Women</w:t>
        </w:r>
        <w:r>
          <w:rPr>
            <w:spacing w:val="-5"/>
            <w:sz w:val="18"/>
          </w:rPr>
          <w:t> </w:t>
        </w:r>
        <w:r>
          <w:rPr>
            <w:sz w:val="18"/>
          </w:rPr>
          <w:t>and</w:t>
        </w:r>
        <w:r>
          <w:rPr>
            <w:spacing w:val="-5"/>
            <w:sz w:val="18"/>
          </w:rPr>
          <w:t> </w:t>
        </w:r>
        <w:r>
          <w:rPr>
            <w:sz w:val="18"/>
          </w:rPr>
          <w:t>Girls’</w:t>
        </w:r>
      </w:hyperlink>
      <w:r>
        <w:rPr>
          <w:sz w:val="18"/>
        </w:rPr>
        <w:t> </w:t>
      </w:r>
      <w:hyperlink r:id="rId152">
        <w:r>
          <w:rPr>
            <w:sz w:val="18"/>
          </w:rPr>
          <w:t>Country Visit to the UK’ (ECNI,</w:t>
        </w:r>
      </w:hyperlink>
      <w:r>
        <w:rPr>
          <w:sz w:val="18"/>
        </w:rPr>
        <w:t> 2024); NI Human Rights Commission, ‘Submission to the UN Special Rapporteur on Violence Against Women and Girls’ (NIHRC, 2024).</w:t>
      </w:r>
    </w:p>
    <w:p>
      <w:pPr>
        <w:pStyle w:val="ListParagraph"/>
        <w:numPr>
          <w:ilvl w:val="0"/>
          <w:numId w:val="9"/>
        </w:numPr>
        <w:tabs>
          <w:tab w:pos="1853" w:val="left" w:leader="none"/>
        </w:tabs>
        <w:spacing w:line="235" w:lineRule="auto" w:before="2" w:after="0"/>
        <w:ind w:left="1853" w:right="1229" w:hanging="720"/>
        <w:jc w:val="left"/>
        <w:rPr>
          <w:sz w:val="18"/>
        </w:rPr>
      </w:pP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‘Equality</w:t>
      </w:r>
      <w:r>
        <w:rPr>
          <w:spacing w:val="-4"/>
          <w:sz w:val="18"/>
        </w:rPr>
        <w:t> </w:t>
      </w:r>
      <w:r>
        <w:rPr>
          <w:sz w:val="18"/>
        </w:rPr>
        <w:t>Commission</w:t>
      </w:r>
      <w:r>
        <w:rPr>
          <w:spacing w:val="-5"/>
          <w:sz w:val="18"/>
        </w:rPr>
        <w:t> </w:t>
      </w:r>
      <w:r>
        <w:rPr>
          <w:sz w:val="18"/>
        </w:rPr>
        <w:t>input</w:t>
      </w:r>
      <w:r>
        <w:rPr>
          <w:spacing w:val="-4"/>
          <w:sz w:val="18"/>
        </w:rPr>
        <w:t> </w:t>
      </w:r>
      <w:r>
        <w:rPr>
          <w:sz w:val="18"/>
        </w:rPr>
        <w:t>for</w:t>
      </w:r>
      <w:r>
        <w:rPr>
          <w:spacing w:val="-4"/>
          <w:sz w:val="18"/>
        </w:rPr>
        <w:t> </w:t>
      </w:r>
      <w:r>
        <w:rPr>
          <w:sz w:val="18"/>
        </w:rPr>
        <w:t>UN</w:t>
      </w:r>
      <w:r>
        <w:rPr>
          <w:spacing w:val="-4"/>
          <w:sz w:val="18"/>
        </w:rPr>
        <w:t> </w:t>
      </w:r>
      <w:r>
        <w:rPr>
          <w:sz w:val="18"/>
        </w:rPr>
        <w:t>Special</w:t>
      </w:r>
      <w:r>
        <w:rPr>
          <w:spacing w:val="-5"/>
          <w:sz w:val="18"/>
        </w:rPr>
        <w:t> </w:t>
      </w:r>
      <w:r>
        <w:rPr>
          <w:sz w:val="18"/>
        </w:rPr>
        <w:t>Rapporteur</w:t>
      </w:r>
      <w:r>
        <w:rPr>
          <w:spacing w:val="-4"/>
          <w:sz w:val="18"/>
        </w:rPr>
        <w:t> </w:t>
      </w:r>
      <w:r>
        <w:rPr>
          <w:sz w:val="18"/>
        </w:rPr>
        <w:t>on</w:t>
      </w:r>
      <w:r>
        <w:rPr>
          <w:spacing w:val="-5"/>
          <w:sz w:val="18"/>
        </w:rPr>
        <w:t> </w:t>
      </w:r>
      <w:r>
        <w:rPr>
          <w:sz w:val="18"/>
        </w:rPr>
        <w:t>Violence</w:t>
      </w:r>
      <w:r>
        <w:rPr>
          <w:spacing w:val="-4"/>
          <w:sz w:val="18"/>
        </w:rPr>
        <w:t> </w:t>
      </w:r>
      <w:r>
        <w:rPr>
          <w:sz w:val="18"/>
        </w:rPr>
        <w:t>Against</w:t>
      </w:r>
      <w:r>
        <w:rPr>
          <w:spacing w:val="-4"/>
          <w:sz w:val="18"/>
        </w:rPr>
        <w:t> </w:t>
      </w:r>
      <w:r>
        <w:rPr>
          <w:sz w:val="18"/>
        </w:rPr>
        <w:t>Women</w:t>
      </w:r>
      <w:r>
        <w:rPr>
          <w:spacing w:val="-5"/>
          <w:sz w:val="18"/>
        </w:rPr>
        <w:t> </w:t>
      </w:r>
      <w:r>
        <w:rPr>
          <w:sz w:val="18"/>
        </w:rPr>
        <w:t>and</w:t>
      </w:r>
      <w:r>
        <w:rPr>
          <w:spacing w:val="-5"/>
          <w:sz w:val="18"/>
        </w:rPr>
        <w:t> </w:t>
      </w:r>
      <w:r>
        <w:rPr>
          <w:sz w:val="18"/>
        </w:rPr>
        <w:t>Girls’ Country Visit to the UK’ (ECNI, 2024).</w:t>
      </w:r>
    </w:p>
    <w:p>
      <w:pPr>
        <w:pStyle w:val="ListParagraph"/>
        <w:numPr>
          <w:ilvl w:val="0"/>
          <w:numId w:val="9"/>
        </w:numPr>
        <w:tabs>
          <w:tab w:pos="1853" w:val="left" w:leader="none"/>
        </w:tabs>
        <w:spacing w:line="216" w:lineRule="exact" w:before="0" w:after="0"/>
        <w:ind w:left="1853" w:right="0" w:hanging="720"/>
        <w:jc w:val="left"/>
        <w:rPr>
          <w:sz w:val="18"/>
        </w:rPr>
      </w:pPr>
      <w:r>
        <w:rPr>
          <w:spacing w:val="-4"/>
          <w:sz w:val="18"/>
        </w:rPr>
        <w:t>Ibid.</w:t>
      </w:r>
    </w:p>
    <w:p>
      <w:pPr>
        <w:pStyle w:val="ListParagraph"/>
        <w:numPr>
          <w:ilvl w:val="0"/>
          <w:numId w:val="9"/>
        </w:numPr>
        <w:tabs>
          <w:tab w:pos="1853" w:val="left" w:leader="none"/>
        </w:tabs>
        <w:spacing w:line="235" w:lineRule="auto" w:before="1" w:after="0"/>
        <w:ind w:left="1853" w:right="1324" w:hanging="720"/>
        <w:jc w:val="left"/>
        <w:rPr>
          <w:sz w:val="18"/>
        </w:rPr>
      </w:pP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3"/>
          <w:sz w:val="18"/>
        </w:rPr>
        <w:t> </w:t>
      </w:r>
      <w:r>
        <w:rPr>
          <w:sz w:val="18"/>
        </w:rPr>
        <w:t>‘Submission</w:t>
      </w:r>
      <w:r>
        <w:rPr>
          <w:spacing w:val="-4"/>
          <w:sz w:val="18"/>
        </w:rPr>
        <w:t> </w:t>
      </w:r>
      <w:r>
        <w:rPr>
          <w:sz w:val="18"/>
        </w:rPr>
        <w:t>to</w:t>
      </w:r>
      <w:r>
        <w:rPr>
          <w:spacing w:val="-4"/>
          <w:sz w:val="18"/>
        </w:rPr>
        <w:t> </w:t>
      </w:r>
      <w:r>
        <w:rPr>
          <w:sz w:val="18"/>
        </w:rPr>
        <w:t>the</w:t>
      </w:r>
      <w:r>
        <w:rPr>
          <w:spacing w:val="-3"/>
          <w:sz w:val="18"/>
        </w:rPr>
        <w:t> </w:t>
      </w:r>
      <w:r>
        <w:rPr>
          <w:sz w:val="18"/>
        </w:rPr>
        <w:t>UN</w:t>
      </w:r>
      <w:r>
        <w:rPr>
          <w:spacing w:val="-3"/>
          <w:sz w:val="18"/>
        </w:rPr>
        <w:t> </w:t>
      </w:r>
      <w:r>
        <w:rPr>
          <w:sz w:val="18"/>
        </w:rPr>
        <w:t>Special</w:t>
      </w:r>
      <w:r>
        <w:rPr>
          <w:spacing w:val="-4"/>
          <w:sz w:val="18"/>
        </w:rPr>
        <w:t> </w:t>
      </w:r>
      <w:r>
        <w:rPr>
          <w:sz w:val="18"/>
        </w:rPr>
        <w:t>Rapporteur</w:t>
      </w:r>
      <w:r>
        <w:rPr>
          <w:spacing w:val="-3"/>
          <w:sz w:val="18"/>
        </w:rPr>
        <w:t> </w:t>
      </w:r>
      <w:r>
        <w:rPr>
          <w:sz w:val="18"/>
        </w:rPr>
        <w:t>on</w:t>
      </w:r>
      <w:r>
        <w:rPr>
          <w:spacing w:val="-4"/>
          <w:sz w:val="18"/>
        </w:rPr>
        <w:t> </w:t>
      </w:r>
      <w:r>
        <w:rPr>
          <w:sz w:val="18"/>
        </w:rPr>
        <w:t>Violence</w:t>
      </w:r>
      <w:r>
        <w:rPr>
          <w:spacing w:val="-3"/>
          <w:sz w:val="18"/>
        </w:rPr>
        <w:t> </w:t>
      </w:r>
      <w:r>
        <w:rPr>
          <w:sz w:val="18"/>
        </w:rPr>
        <w:t>Against</w:t>
      </w:r>
      <w:r>
        <w:rPr>
          <w:spacing w:val="-3"/>
          <w:sz w:val="18"/>
        </w:rPr>
        <w:t> </w:t>
      </w:r>
      <w:r>
        <w:rPr>
          <w:sz w:val="18"/>
        </w:rPr>
        <w:t>Women</w:t>
      </w:r>
      <w:r>
        <w:rPr>
          <w:spacing w:val="-4"/>
          <w:sz w:val="18"/>
        </w:rPr>
        <w:t> </w:t>
      </w:r>
      <w:r>
        <w:rPr>
          <w:sz w:val="18"/>
        </w:rPr>
        <w:t>and</w:t>
      </w:r>
      <w:r>
        <w:rPr>
          <w:spacing w:val="-4"/>
          <w:sz w:val="18"/>
        </w:rPr>
        <w:t> </w:t>
      </w:r>
      <w:r>
        <w:rPr>
          <w:sz w:val="18"/>
        </w:rPr>
        <w:t>Girls’</w:t>
      </w:r>
      <w:r>
        <w:rPr>
          <w:spacing w:val="-3"/>
          <w:sz w:val="18"/>
        </w:rPr>
        <w:t> </w:t>
      </w:r>
      <w:r>
        <w:rPr>
          <w:sz w:val="18"/>
        </w:rPr>
        <w:t>(NIHRC, </w:t>
      </w:r>
      <w:r>
        <w:rPr>
          <w:spacing w:val="-2"/>
          <w:sz w:val="18"/>
        </w:rPr>
        <w:t>2024).</w:t>
      </w:r>
    </w:p>
    <w:p>
      <w:pPr>
        <w:spacing w:after="0" w:line="235" w:lineRule="auto"/>
        <w:jc w:val="left"/>
        <w:rPr>
          <w:sz w:val="18"/>
        </w:rPr>
        <w:sectPr>
          <w:pgSz w:w="11910" w:h="16840"/>
          <w:pgMar w:header="496" w:footer="367" w:top="1220" w:bottom="560" w:left="0" w:right="0"/>
        </w:sectPr>
      </w:pPr>
    </w:p>
    <w:p>
      <w:pPr>
        <w:pStyle w:val="BodyText"/>
        <w:spacing w:before="198"/>
      </w:pPr>
    </w:p>
    <w:p>
      <w:pPr>
        <w:spacing w:line="225" w:lineRule="auto" w:before="0"/>
        <w:ind w:left="1853" w:right="1595" w:firstLine="0"/>
        <w:jc w:val="left"/>
        <w:rPr>
          <w:b/>
          <w:sz w:val="28"/>
        </w:rPr>
      </w:pPr>
      <w:bookmarkStart w:name="_bookmark29" w:id="63"/>
      <w:bookmarkEnd w:id="63"/>
      <w:r>
        <w:rPr/>
      </w:r>
      <w:r>
        <w:rPr>
          <w:b/>
          <w:color w:val="67287F"/>
          <w:sz w:val="28"/>
        </w:rPr>
        <w:t>and</w:t>
      </w:r>
      <w:r>
        <w:rPr>
          <w:b/>
          <w:color w:val="67287F"/>
          <w:spacing w:val="-5"/>
          <w:sz w:val="28"/>
        </w:rPr>
        <w:t> </w:t>
      </w:r>
      <w:r>
        <w:rPr>
          <w:b/>
          <w:color w:val="67287F"/>
          <w:sz w:val="28"/>
        </w:rPr>
        <w:t>policy</w:t>
      </w:r>
      <w:r>
        <w:rPr>
          <w:b/>
          <w:color w:val="67287F"/>
          <w:spacing w:val="-5"/>
          <w:sz w:val="28"/>
        </w:rPr>
        <w:t> </w:t>
      </w:r>
      <w:r>
        <w:rPr>
          <w:b/>
          <w:color w:val="67287F"/>
          <w:sz w:val="28"/>
        </w:rPr>
        <w:t>relating</w:t>
      </w:r>
      <w:r>
        <w:rPr>
          <w:b/>
          <w:color w:val="67287F"/>
          <w:spacing w:val="-6"/>
          <w:sz w:val="28"/>
        </w:rPr>
        <w:t> </w:t>
      </w:r>
      <w:r>
        <w:rPr>
          <w:b/>
          <w:color w:val="67287F"/>
          <w:sz w:val="28"/>
        </w:rPr>
        <w:t>to</w:t>
      </w:r>
      <w:r>
        <w:rPr>
          <w:b/>
          <w:color w:val="67287F"/>
          <w:spacing w:val="-5"/>
          <w:sz w:val="28"/>
        </w:rPr>
        <w:t> </w:t>
      </w:r>
      <w:r>
        <w:rPr>
          <w:b/>
          <w:color w:val="67287F"/>
          <w:sz w:val="28"/>
        </w:rPr>
        <w:t>victims</w:t>
      </w:r>
      <w:r>
        <w:rPr>
          <w:b/>
          <w:color w:val="67287F"/>
          <w:spacing w:val="-5"/>
          <w:sz w:val="28"/>
        </w:rPr>
        <w:t> </w:t>
      </w:r>
      <w:r>
        <w:rPr>
          <w:b/>
          <w:color w:val="67287F"/>
          <w:sz w:val="28"/>
        </w:rPr>
        <w:t>of</w:t>
      </w:r>
      <w:r>
        <w:rPr>
          <w:b/>
          <w:color w:val="67287F"/>
          <w:spacing w:val="-6"/>
          <w:sz w:val="28"/>
        </w:rPr>
        <w:t> </w:t>
      </w:r>
      <w:r>
        <w:rPr>
          <w:b/>
          <w:color w:val="67287F"/>
          <w:sz w:val="28"/>
        </w:rPr>
        <w:t>crime,</w:t>
      </w:r>
      <w:r>
        <w:rPr>
          <w:b/>
          <w:color w:val="67287F"/>
          <w:spacing w:val="-5"/>
          <w:sz w:val="28"/>
        </w:rPr>
        <w:t> </w:t>
      </w:r>
      <w:r>
        <w:rPr>
          <w:b/>
          <w:color w:val="67287F"/>
          <w:sz w:val="28"/>
        </w:rPr>
        <w:t>including</w:t>
      </w:r>
      <w:r>
        <w:rPr>
          <w:b/>
          <w:color w:val="67287F"/>
          <w:spacing w:val="-6"/>
          <w:sz w:val="28"/>
        </w:rPr>
        <w:t> </w:t>
      </w:r>
      <w:r>
        <w:rPr>
          <w:b/>
          <w:color w:val="67287F"/>
          <w:sz w:val="28"/>
        </w:rPr>
        <w:t>the</w:t>
      </w:r>
      <w:r>
        <w:rPr>
          <w:b/>
          <w:color w:val="67287F"/>
          <w:spacing w:val="-6"/>
          <w:sz w:val="28"/>
        </w:rPr>
        <w:t> </w:t>
      </w:r>
      <w:r>
        <w:rPr>
          <w:b/>
          <w:color w:val="67287F"/>
          <w:sz w:val="28"/>
        </w:rPr>
        <w:t>Violence</w:t>
      </w:r>
      <w:r>
        <w:rPr>
          <w:b/>
          <w:color w:val="67287F"/>
          <w:spacing w:val="-6"/>
          <w:sz w:val="28"/>
        </w:rPr>
        <w:t> </w:t>
      </w:r>
      <w:r>
        <w:rPr>
          <w:b/>
          <w:color w:val="67287F"/>
          <w:sz w:val="28"/>
        </w:rPr>
        <w:t>Against Women and Girls Strategy.</w:t>
      </w:r>
    </w:p>
    <w:p>
      <w:pPr>
        <w:pStyle w:val="ListParagraph"/>
        <w:numPr>
          <w:ilvl w:val="1"/>
          <w:numId w:val="7"/>
        </w:numPr>
        <w:tabs>
          <w:tab w:pos="1853" w:val="left" w:leader="none"/>
        </w:tabs>
        <w:spacing w:line="225" w:lineRule="auto" w:before="318" w:after="0"/>
        <w:ind w:left="1853" w:right="1784" w:hanging="720"/>
        <w:jc w:val="left"/>
        <w:rPr>
          <w:b/>
          <w:color w:val="67287F"/>
          <w:sz w:val="28"/>
        </w:rPr>
      </w:pPr>
      <w:r>
        <w:rPr>
          <w:b/>
          <w:color w:val="67287F"/>
          <w:sz w:val="28"/>
        </w:rPr>
        <w:t>The</w:t>
      </w:r>
      <w:r>
        <w:rPr>
          <w:b/>
          <w:color w:val="67287F"/>
          <w:spacing w:val="-8"/>
          <w:sz w:val="28"/>
        </w:rPr>
        <w:t> </w:t>
      </w:r>
      <w:r>
        <w:rPr>
          <w:b/>
          <w:color w:val="67287F"/>
          <w:sz w:val="28"/>
        </w:rPr>
        <w:t>Commissions</w:t>
      </w:r>
      <w:r>
        <w:rPr>
          <w:b/>
          <w:color w:val="67287F"/>
          <w:spacing w:val="-7"/>
          <w:sz w:val="28"/>
        </w:rPr>
        <w:t> </w:t>
      </w:r>
      <w:r>
        <w:rPr>
          <w:b/>
          <w:color w:val="67287F"/>
          <w:sz w:val="28"/>
        </w:rPr>
        <w:t>recommend</w:t>
      </w:r>
      <w:r>
        <w:rPr>
          <w:b/>
          <w:color w:val="67287F"/>
          <w:spacing w:val="-7"/>
          <w:sz w:val="28"/>
        </w:rPr>
        <w:t> </w:t>
      </w:r>
      <w:r>
        <w:rPr>
          <w:b/>
          <w:color w:val="67287F"/>
          <w:sz w:val="28"/>
        </w:rPr>
        <w:t>that,</w:t>
      </w:r>
      <w:r>
        <w:rPr>
          <w:b/>
          <w:color w:val="67287F"/>
          <w:spacing w:val="-7"/>
          <w:sz w:val="28"/>
        </w:rPr>
        <w:t> </w:t>
      </w:r>
      <w:r>
        <w:rPr>
          <w:b/>
          <w:color w:val="67287F"/>
          <w:sz w:val="28"/>
        </w:rPr>
        <w:t>in</w:t>
      </w:r>
      <w:r>
        <w:rPr>
          <w:b/>
          <w:color w:val="67287F"/>
          <w:spacing w:val="-7"/>
          <w:sz w:val="28"/>
        </w:rPr>
        <w:t> </w:t>
      </w:r>
      <w:r>
        <w:rPr>
          <w:b/>
          <w:color w:val="67287F"/>
          <w:sz w:val="28"/>
        </w:rPr>
        <w:t>addition</w:t>
      </w:r>
      <w:r>
        <w:rPr>
          <w:b/>
          <w:color w:val="67287F"/>
          <w:spacing w:val="-7"/>
          <w:sz w:val="28"/>
        </w:rPr>
        <w:t> </w:t>
      </w:r>
      <w:r>
        <w:rPr>
          <w:b/>
          <w:color w:val="67287F"/>
          <w:sz w:val="28"/>
        </w:rPr>
        <w:t>to</w:t>
      </w:r>
      <w:r>
        <w:rPr>
          <w:b/>
          <w:color w:val="67287F"/>
          <w:spacing w:val="-7"/>
          <w:sz w:val="28"/>
        </w:rPr>
        <w:t> </w:t>
      </w:r>
      <w:r>
        <w:rPr>
          <w:b/>
          <w:color w:val="67287F"/>
          <w:sz w:val="28"/>
        </w:rPr>
        <w:t>any</w:t>
      </w:r>
      <w:r>
        <w:rPr>
          <w:b/>
          <w:color w:val="67287F"/>
          <w:spacing w:val="-7"/>
          <w:sz w:val="28"/>
        </w:rPr>
        <w:t> </w:t>
      </w:r>
      <w:r>
        <w:rPr>
          <w:b/>
          <w:color w:val="67287F"/>
          <w:sz w:val="28"/>
        </w:rPr>
        <w:t>changes</w:t>
      </w:r>
      <w:r>
        <w:rPr>
          <w:b/>
          <w:color w:val="67287F"/>
          <w:spacing w:val="-7"/>
          <w:sz w:val="28"/>
        </w:rPr>
        <w:t> </w:t>
      </w:r>
      <w:r>
        <w:rPr>
          <w:b/>
          <w:color w:val="67287F"/>
          <w:sz w:val="28"/>
        </w:rPr>
        <w:t>required by the keeping pace obligation under the Windsor Framework, the Executive Office ensure NI law aligns, on a voluntary basis, with any</w:t>
      </w:r>
    </w:p>
    <w:p>
      <w:pPr>
        <w:spacing w:line="225" w:lineRule="auto" w:before="0"/>
        <w:ind w:left="1853" w:right="1308" w:firstLine="0"/>
        <w:jc w:val="both"/>
        <w:rPr>
          <w:b/>
          <w:sz w:val="28"/>
        </w:rPr>
      </w:pPr>
      <w:r>
        <w:rPr>
          <w:b/>
          <w:color w:val="67287F"/>
          <w:sz w:val="28"/>
        </w:rPr>
        <w:t>enhancement</w:t>
      </w:r>
      <w:r>
        <w:rPr>
          <w:b/>
          <w:color w:val="67287F"/>
          <w:spacing w:val="-5"/>
          <w:sz w:val="28"/>
        </w:rPr>
        <w:t> </w:t>
      </w:r>
      <w:r>
        <w:rPr>
          <w:b/>
          <w:color w:val="67287F"/>
          <w:sz w:val="28"/>
        </w:rPr>
        <w:t>to</w:t>
      </w:r>
      <w:r>
        <w:rPr>
          <w:b/>
          <w:color w:val="67287F"/>
          <w:spacing w:val="-5"/>
          <w:sz w:val="28"/>
        </w:rPr>
        <w:t> </w:t>
      </w:r>
      <w:r>
        <w:rPr>
          <w:b/>
          <w:color w:val="67287F"/>
          <w:sz w:val="28"/>
        </w:rPr>
        <w:t>equality</w:t>
      </w:r>
      <w:r>
        <w:rPr>
          <w:b/>
          <w:color w:val="67287F"/>
          <w:spacing w:val="-5"/>
          <w:sz w:val="28"/>
        </w:rPr>
        <w:t> </w:t>
      </w:r>
      <w:r>
        <w:rPr>
          <w:b/>
          <w:color w:val="67287F"/>
          <w:sz w:val="28"/>
        </w:rPr>
        <w:t>and</w:t>
      </w:r>
      <w:r>
        <w:rPr>
          <w:b/>
          <w:color w:val="67287F"/>
          <w:spacing w:val="-5"/>
          <w:sz w:val="28"/>
        </w:rPr>
        <w:t> </w:t>
      </w:r>
      <w:r>
        <w:rPr>
          <w:b/>
          <w:color w:val="67287F"/>
          <w:sz w:val="28"/>
        </w:rPr>
        <w:t>human</w:t>
      </w:r>
      <w:r>
        <w:rPr>
          <w:b/>
          <w:color w:val="67287F"/>
          <w:spacing w:val="-5"/>
          <w:sz w:val="28"/>
        </w:rPr>
        <w:t> </w:t>
      </w:r>
      <w:r>
        <w:rPr>
          <w:b/>
          <w:color w:val="67287F"/>
          <w:sz w:val="28"/>
        </w:rPr>
        <w:t>rights</w:t>
      </w:r>
      <w:r>
        <w:rPr>
          <w:b/>
          <w:color w:val="67287F"/>
          <w:spacing w:val="-5"/>
          <w:sz w:val="28"/>
        </w:rPr>
        <w:t> </w:t>
      </w:r>
      <w:r>
        <w:rPr>
          <w:b/>
          <w:color w:val="67287F"/>
          <w:sz w:val="28"/>
        </w:rPr>
        <w:t>pursuant</w:t>
      </w:r>
      <w:r>
        <w:rPr>
          <w:b/>
          <w:color w:val="67287F"/>
          <w:spacing w:val="-5"/>
          <w:sz w:val="28"/>
        </w:rPr>
        <w:t> </w:t>
      </w:r>
      <w:r>
        <w:rPr>
          <w:b/>
          <w:color w:val="67287F"/>
          <w:sz w:val="28"/>
        </w:rPr>
        <w:t>to</w:t>
      </w:r>
      <w:r>
        <w:rPr>
          <w:b/>
          <w:color w:val="67287F"/>
          <w:spacing w:val="-5"/>
          <w:sz w:val="28"/>
        </w:rPr>
        <w:t> </w:t>
      </w:r>
      <w:r>
        <w:rPr>
          <w:b/>
          <w:color w:val="67287F"/>
          <w:sz w:val="28"/>
        </w:rPr>
        <w:t>the</w:t>
      </w:r>
      <w:r>
        <w:rPr>
          <w:b/>
          <w:color w:val="67287F"/>
          <w:spacing w:val="-6"/>
          <w:sz w:val="28"/>
        </w:rPr>
        <w:t> </w:t>
      </w:r>
      <w:r>
        <w:rPr>
          <w:b/>
          <w:color w:val="67287F"/>
          <w:sz w:val="28"/>
        </w:rPr>
        <w:t>EU</w:t>
      </w:r>
      <w:r>
        <w:rPr>
          <w:b/>
          <w:color w:val="67287F"/>
          <w:spacing w:val="-5"/>
          <w:sz w:val="28"/>
        </w:rPr>
        <w:t> </w:t>
      </w:r>
      <w:r>
        <w:rPr>
          <w:b/>
          <w:color w:val="67287F"/>
          <w:sz w:val="28"/>
        </w:rPr>
        <w:t>Directive</w:t>
      </w:r>
      <w:r>
        <w:rPr>
          <w:b/>
          <w:color w:val="67287F"/>
          <w:spacing w:val="-6"/>
          <w:sz w:val="28"/>
        </w:rPr>
        <w:t> </w:t>
      </w:r>
      <w:r>
        <w:rPr>
          <w:b/>
          <w:color w:val="67287F"/>
          <w:sz w:val="28"/>
        </w:rPr>
        <w:t>on combatting</w:t>
      </w:r>
      <w:r>
        <w:rPr>
          <w:b/>
          <w:color w:val="67287F"/>
          <w:spacing w:val="-9"/>
          <w:sz w:val="28"/>
        </w:rPr>
        <w:t> </w:t>
      </w:r>
      <w:r>
        <w:rPr>
          <w:b/>
          <w:color w:val="67287F"/>
          <w:sz w:val="28"/>
        </w:rPr>
        <w:t>violence</w:t>
      </w:r>
      <w:r>
        <w:rPr>
          <w:b/>
          <w:color w:val="67287F"/>
          <w:spacing w:val="-9"/>
          <w:sz w:val="28"/>
        </w:rPr>
        <w:t> </w:t>
      </w:r>
      <w:r>
        <w:rPr>
          <w:b/>
          <w:color w:val="67287F"/>
          <w:sz w:val="28"/>
        </w:rPr>
        <w:t>against</w:t>
      </w:r>
      <w:r>
        <w:rPr>
          <w:b/>
          <w:color w:val="67287F"/>
          <w:spacing w:val="-8"/>
          <w:sz w:val="28"/>
        </w:rPr>
        <w:t> </w:t>
      </w:r>
      <w:r>
        <w:rPr>
          <w:b/>
          <w:color w:val="67287F"/>
          <w:sz w:val="28"/>
        </w:rPr>
        <w:t>women,</w:t>
      </w:r>
      <w:r>
        <w:rPr>
          <w:b/>
          <w:color w:val="67287F"/>
          <w:spacing w:val="-8"/>
          <w:sz w:val="28"/>
        </w:rPr>
        <w:t> </w:t>
      </w:r>
      <w:r>
        <w:rPr>
          <w:b/>
          <w:color w:val="67287F"/>
          <w:sz w:val="28"/>
        </w:rPr>
        <w:t>where</w:t>
      </w:r>
      <w:r>
        <w:rPr>
          <w:b/>
          <w:color w:val="67287F"/>
          <w:spacing w:val="-9"/>
          <w:sz w:val="28"/>
        </w:rPr>
        <w:t> </w:t>
      </w:r>
      <w:r>
        <w:rPr>
          <w:b/>
          <w:color w:val="67287F"/>
          <w:sz w:val="28"/>
        </w:rPr>
        <w:t>these</w:t>
      </w:r>
      <w:r>
        <w:rPr>
          <w:b/>
          <w:color w:val="67287F"/>
          <w:spacing w:val="-9"/>
          <w:sz w:val="28"/>
        </w:rPr>
        <w:t> </w:t>
      </w:r>
      <w:r>
        <w:rPr>
          <w:b/>
          <w:color w:val="67287F"/>
          <w:sz w:val="28"/>
        </w:rPr>
        <w:t>enhancements</w:t>
      </w:r>
      <w:r>
        <w:rPr>
          <w:b/>
          <w:color w:val="67287F"/>
          <w:spacing w:val="-8"/>
          <w:sz w:val="28"/>
        </w:rPr>
        <w:t> </w:t>
      </w:r>
      <w:r>
        <w:rPr>
          <w:b/>
          <w:color w:val="67287F"/>
          <w:sz w:val="28"/>
        </w:rPr>
        <w:t>align</w:t>
      </w:r>
      <w:r>
        <w:rPr>
          <w:b/>
          <w:color w:val="67287F"/>
          <w:spacing w:val="-8"/>
          <w:sz w:val="28"/>
        </w:rPr>
        <w:t> </w:t>
      </w:r>
      <w:r>
        <w:rPr>
          <w:b/>
          <w:color w:val="67287F"/>
          <w:sz w:val="28"/>
        </w:rPr>
        <w:t>with international human rights standards and best practice.</w:t>
      </w:r>
    </w:p>
    <w:p>
      <w:pPr>
        <w:pStyle w:val="ListParagraph"/>
        <w:numPr>
          <w:ilvl w:val="1"/>
          <w:numId w:val="7"/>
        </w:numPr>
        <w:tabs>
          <w:tab w:pos="1853" w:val="left" w:leader="none"/>
        </w:tabs>
        <w:spacing w:line="225" w:lineRule="auto" w:before="312" w:after="0"/>
        <w:ind w:left="1853" w:right="1959" w:hanging="720"/>
        <w:jc w:val="left"/>
        <w:rPr>
          <w:b/>
          <w:color w:val="67287F"/>
          <w:sz w:val="28"/>
        </w:rPr>
      </w:pPr>
      <w:r>
        <w:rPr>
          <w:b/>
          <w:color w:val="67287F"/>
          <w:sz w:val="28"/>
        </w:rPr>
        <w:t>The NIHRC recommends that the Department of Justice, Department of</w:t>
      </w:r>
      <w:r>
        <w:rPr>
          <w:b/>
          <w:color w:val="67287F"/>
          <w:spacing w:val="-6"/>
          <w:sz w:val="28"/>
        </w:rPr>
        <w:t> </w:t>
      </w:r>
      <w:r>
        <w:rPr>
          <w:b/>
          <w:color w:val="67287F"/>
          <w:sz w:val="28"/>
        </w:rPr>
        <w:t>Health</w:t>
      </w:r>
      <w:r>
        <w:rPr>
          <w:b/>
          <w:color w:val="67287F"/>
          <w:spacing w:val="-6"/>
          <w:sz w:val="28"/>
        </w:rPr>
        <w:t> </w:t>
      </w:r>
      <w:r>
        <w:rPr>
          <w:b/>
          <w:color w:val="67287F"/>
          <w:sz w:val="28"/>
        </w:rPr>
        <w:t>and</w:t>
      </w:r>
      <w:r>
        <w:rPr>
          <w:b/>
          <w:color w:val="67287F"/>
          <w:spacing w:val="-6"/>
          <w:sz w:val="28"/>
        </w:rPr>
        <w:t> </w:t>
      </w:r>
      <w:r>
        <w:rPr>
          <w:b/>
          <w:color w:val="67287F"/>
          <w:sz w:val="28"/>
        </w:rPr>
        <w:t>the</w:t>
      </w:r>
      <w:r>
        <w:rPr>
          <w:b/>
          <w:color w:val="67287F"/>
          <w:spacing w:val="-6"/>
          <w:sz w:val="28"/>
        </w:rPr>
        <w:t> </w:t>
      </w:r>
      <w:r>
        <w:rPr>
          <w:b/>
          <w:color w:val="67287F"/>
          <w:sz w:val="28"/>
        </w:rPr>
        <w:t>Executive</w:t>
      </w:r>
      <w:r>
        <w:rPr>
          <w:b/>
          <w:color w:val="67287F"/>
          <w:spacing w:val="-6"/>
          <w:sz w:val="28"/>
        </w:rPr>
        <w:t> </w:t>
      </w:r>
      <w:r>
        <w:rPr>
          <w:b/>
          <w:color w:val="67287F"/>
          <w:sz w:val="28"/>
        </w:rPr>
        <w:t>Office</w:t>
      </w:r>
      <w:r>
        <w:rPr>
          <w:b/>
          <w:color w:val="67287F"/>
          <w:spacing w:val="-6"/>
          <w:sz w:val="28"/>
        </w:rPr>
        <w:t> </w:t>
      </w:r>
      <w:r>
        <w:rPr>
          <w:b/>
          <w:color w:val="67287F"/>
          <w:sz w:val="28"/>
        </w:rPr>
        <w:t>ensure</w:t>
      </w:r>
      <w:r>
        <w:rPr>
          <w:b/>
          <w:color w:val="67287F"/>
          <w:spacing w:val="-6"/>
          <w:sz w:val="28"/>
        </w:rPr>
        <w:t> </w:t>
      </w:r>
      <w:r>
        <w:rPr>
          <w:b/>
          <w:color w:val="67287F"/>
          <w:sz w:val="28"/>
        </w:rPr>
        <w:t>that</w:t>
      </w:r>
      <w:r>
        <w:rPr>
          <w:b/>
          <w:color w:val="67287F"/>
          <w:spacing w:val="-6"/>
          <w:sz w:val="28"/>
        </w:rPr>
        <w:t> </w:t>
      </w:r>
      <w:r>
        <w:rPr>
          <w:b/>
          <w:color w:val="67287F"/>
          <w:sz w:val="28"/>
        </w:rPr>
        <w:t>all</w:t>
      </w:r>
      <w:r>
        <w:rPr>
          <w:b/>
          <w:color w:val="67287F"/>
          <w:spacing w:val="-6"/>
          <w:sz w:val="28"/>
        </w:rPr>
        <w:t> </w:t>
      </w:r>
      <w:r>
        <w:rPr>
          <w:b/>
          <w:color w:val="67287F"/>
          <w:sz w:val="28"/>
        </w:rPr>
        <w:t>policies</w:t>
      </w:r>
      <w:r>
        <w:rPr>
          <w:b/>
          <w:color w:val="67287F"/>
          <w:spacing w:val="-6"/>
          <w:sz w:val="28"/>
        </w:rPr>
        <w:t> </w:t>
      </w:r>
      <w:r>
        <w:rPr>
          <w:b/>
          <w:color w:val="67287F"/>
          <w:sz w:val="28"/>
        </w:rPr>
        <w:t>and</w:t>
      </w:r>
      <w:r>
        <w:rPr>
          <w:b/>
          <w:color w:val="67287F"/>
          <w:spacing w:val="-6"/>
          <w:sz w:val="28"/>
        </w:rPr>
        <w:t> </w:t>
      </w:r>
      <w:r>
        <w:rPr>
          <w:b/>
          <w:color w:val="67287F"/>
          <w:sz w:val="28"/>
        </w:rPr>
        <w:t>support for</w:t>
      </w:r>
      <w:r>
        <w:rPr>
          <w:b/>
          <w:color w:val="67287F"/>
          <w:spacing w:val="-5"/>
          <w:sz w:val="28"/>
        </w:rPr>
        <w:t> </w:t>
      </w:r>
      <w:r>
        <w:rPr>
          <w:b/>
          <w:color w:val="67287F"/>
          <w:sz w:val="28"/>
        </w:rPr>
        <w:t>victims</w:t>
      </w:r>
      <w:r>
        <w:rPr>
          <w:b/>
          <w:color w:val="67287F"/>
          <w:spacing w:val="-4"/>
          <w:sz w:val="28"/>
        </w:rPr>
        <w:t> </w:t>
      </w:r>
      <w:r>
        <w:rPr>
          <w:b/>
          <w:color w:val="67287F"/>
          <w:sz w:val="28"/>
        </w:rPr>
        <w:t>of</w:t>
      </w:r>
      <w:r>
        <w:rPr>
          <w:b/>
          <w:color w:val="67287F"/>
          <w:spacing w:val="-5"/>
          <w:sz w:val="28"/>
        </w:rPr>
        <w:t> </w:t>
      </w:r>
      <w:r>
        <w:rPr>
          <w:b/>
          <w:color w:val="67287F"/>
          <w:sz w:val="28"/>
        </w:rPr>
        <w:t>domestic</w:t>
      </w:r>
      <w:r>
        <w:rPr>
          <w:b/>
          <w:color w:val="67287F"/>
          <w:spacing w:val="-5"/>
          <w:sz w:val="28"/>
        </w:rPr>
        <w:t> </w:t>
      </w:r>
      <w:r>
        <w:rPr>
          <w:b/>
          <w:color w:val="67287F"/>
          <w:sz w:val="28"/>
        </w:rPr>
        <w:t>and</w:t>
      </w:r>
      <w:r>
        <w:rPr>
          <w:b/>
          <w:color w:val="67287F"/>
          <w:spacing w:val="-4"/>
          <w:sz w:val="28"/>
        </w:rPr>
        <w:t> </w:t>
      </w:r>
      <w:r>
        <w:rPr>
          <w:b/>
          <w:color w:val="67287F"/>
          <w:sz w:val="28"/>
        </w:rPr>
        <w:t>sexual</w:t>
      </w:r>
      <w:r>
        <w:rPr>
          <w:b/>
          <w:color w:val="67287F"/>
          <w:spacing w:val="-4"/>
          <w:sz w:val="28"/>
        </w:rPr>
        <w:t> </w:t>
      </w:r>
      <w:r>
        <w:rPr>
          <w:b/>
          <w:color w:val="67287F"/>
          <w:sz w:val="28"/>
        </w:rPr>
        <w:t>violence</w:t>
      </w:r>
      <w:r>
        <w:rPr>
          <w:b/>
          <w:color w:val="67287F"/>
          <w:spacing w:val="-5"/>
          <w:sz w:val="28"/>
        </w:rPr>
        <w:t> </w:t>
      </w:r>
      <w:r>
        <w:rPr>
          <w:b/>
          <w:color w:val="67287F"/>
          <w:sz w:val="28"/>
        </w:rPr>
        <w:t>and</w:t>
      </w:r>
      <w:r>
        <w:rPr>
          <w:b/>
          <w:color w:val="67287F"/>
          <w:spacing w:val="-4"/>
          <w:sz w:val="28"/>
        </w:rPr>
        <w:t> </w:t>
      </w:r>
      <w:r>
        <w:rPr>
          <w:b/>
          <w:color w:val="67287F"/>
          <w:sz w:val="28"/>
        </w:rPr>
        <w:t>abuse</w:t>
      </w:r>
      <w:r>
        <w:rPr>
          <w:b/>
          <w:color w:val="67287F"/>
          <w:spacing w:val="-5"/>
          <w:sz w:val="28"/>
        </w:rPr>
        <w:t> </w:t>
      </w:r>
      <w:r>
        <w:rPr>
          <w:b/>
          <w:color w:val="67287F"/>
          <w:sz w:val="28"/>
        </w:rPr>
        <w:t>are</w:t>
      </w:r>
      <w:r>
        <w:rPr>
          <w:b/>
          <w:color w:val="67287F"/>
          <w:spacing w:val="-5"/>
          <w:sz w:val="28"/>
        </w:rPr>
        <w:t> </w:t>
      </w:r>
      <w:r>
        <w:rPr>
          <w:b/>
          <w:color w:val="67287F"/>
          <w:sz w:val="28"/>
        </w:rPr>
        <w:t>specialised,</w:t>
      </w:r>
    </w:p>
    <w:p>
      <w:pPr>
        <w:spacing w:line="225" w:lineRule="auto" w:before="0"/>
        <w:ind w:left="1853" w:right="1171" w:firstLine="0"/>
        <w:jc w:val="left"/>
        <w:rPr>
          <w:b/>
          <w:sz w:val="28"/>
        </w:rPr>
      </w:pPr>
      <w:r>
        <w:rPr>
          <w:b/>
          <w:color w:val="67287F"/>
          <w:sz w:val="28"/>
        </w:rPr>
        <w:t>accessible,</w:t>
      </w:r>
      <w:r>
        <w:rPr>
          <w:b/>
          <w:color w:val="67287F"/>
          <w:spacing w:val="-10"/>
          <w:sz w:val="28"/>
        </w:rPr>
        <w:t> </w:t>
      </w:r>
      <w:r>
        <w:rPr>
          <w:b/>
          <w:color w:val="67287F"/>
          <w:sz w:val="28"/>
        </w:rPr>
        <w:t>gender-sensitive</w:t>
      </w:r>
      <w:r>
        <w:rPr>
          <w:b/>
          <w:color w:val="67287F"/>
          <w:spacing w:val="-11"/>
          <w:sz w:val="28"/>
        </w:rPr>
        <w:t> </w:t>
      </w:r>
      <w:r>
        <w:rPr>
          <w:b/>
          <w:color w:val="67287F"/>
          <w:sz w:val="28"/>
        </w:rPr>
        <w:t>and</w:t>
      </w:r>
      <w:r>
        <w:rPr>
          <w:b/>
          <w:color w:val="67287F"/>
          <w:spacing w:val="-10"/>
          <w:sz w:val="28"/>
        </w:rPr>
        <w:t> </w:t>
      </w:r>
      <w:r>
        <w:rPr>
          <w:b/>
          <w:color w:val="67287F"/>
          <w:sz w:val="28"/>
        </w:rPr>
        <w:t>guaranteed</w:t>
      </w:r>
      <w:r>
        <w:rPr>
          <w:b/>
          <w:color w:val="67287F"/>
          <w:spacing w:val="-10"/>
          <w:sz w:val="28"/>
        </w:rPr>
        <w:t> </w:t>
      </w:r>
      <w:r>
        <w:rPr>
          <w:b/>
          <w:color w:val="67287F"/>
          <w:sz w:val="28"/>
        </w:rPr>
        <w:t>sustainable</w:t>
      </w:r>
      <w:r>
        <w:rPr>
          <w:b/>
          <w:color w:val="67287F"/>
          <w:spacing w:val="-11"/>
          <w:sz w:val="28"/>
        </w:rPr>
        <w:t> </w:t>
      </w:r>
      <w:r>
        <w:rPr>
          <w:b/>
          <w:color w:val="67287F"/>
          <w:sz w:val="28"/>
        </w:rPr>
        <w:t>funding</w:t>
      </w:r>
      <w:r>
        <w:rPr>
          <w:b/>
          <w:color w:val="67287F"/>
          <w:spacing w:val="-11"/>
          <w:sz w:val="28"/>
        </w:rPr>
        <w:t> </w:t>
      </w:r>
      <w:r>
        <w:rPr>
          <w:b/>
          <w:color w:val="67287F"/>
          <w:sz w:val="28"/>
        </w:rPr>
        <w:t>and</w:t>
      </w:r>
      <w:r>
        <w:rPr>
          <w:b/>
          <w:color w:val="67287F"/>
          <w:spacing w:val="-10"/>
          <w:sz w:val="28"/>
        </w:rPr>
        <w:t> </w:t>
      </w:r>
      <w:r>
        <w:rPr>
          <w:b/>
          <w:color w:val="67287F"/>
          <w:sz w:val="28"/>
        </w:rPr>
        <w:t>that support is available regardless of an individual’s immigration status.</w:t>
      </w:r>
    </w:p>
    <w:p>
      <w:pPr>
        <w:pStyle w:val="ListParagraph"/>
        <w:numPr>
          <w:ilvl w:val="1"/>
          <w:numId w:val="7"/>
        </w:numPr>
        <w:tabs>
          <w:tab w:pos="1853" w:val="left" w:leader="none"/>
        </w:tabs>
        <w:spacing w:line="225" w:lineRule="auto" w:before="314" w:after="0"/>
        <w:ind w:left="1853" w:right="1135" w:hanging="720"/>
        <w:jc w:val="left"/>
        <w:rPr>
          <w:b/>
          <w:color w:val="67287F"/>
          <w:sz w:val="28"/>
        </w:rPr>
      </w:pPr>
      <w:r>
        <w:rPr>
          <w:b/>
          <w:color w:val="67287F"/>
          <w:sz w:val="28"/>
        </w:rPr>
        <w:t>The</w:t>
      </w:r>
      <w:r>
        <w:rPr>
          <w:b/>
          <w:color w:val="67287F"/>
          <w:spacing w:val="-6"/>
          <w:sz w:val="28"/>
        </w:rPr>
        <w:t> </w:t>
      </w:r>
      <w:r>
        <w:rPr>
          <w:b/>
          <w:color w:val="67287F"/>
          <w:sz w:val="28"/>
        </w:rPr>
        <w:t>ECNI</w:t>
      </w:r>
      <w:r>
        <w:rPr>
          <w:b/>
          <w:color w:val="67287F"/>
          <w:spacing w:val="-5"/>
          <w:sz w:val="28"/>
        </w:rPr>
        <w:t> </w:t>
      </w:r>
      <w:r>
        <w:rPr>
          <w:b/>
          <w:color w:val="67287F"/>
          <w:sz w:val="28"/>
        </w:rPr>
        <w:t>recommends</w:t>
      </w:r>
      <w:r>
        <w:rPr>
          <w:b/>
          <w:color w:val="67287F"/>
          <w:spacing w:val="-5"/>
          <w:sz w:val="28"/>
        </w:rPr>
        <w:t> </w:t>
      </w:r>
      <w:r>
        <w:rPr>
          <w:b/>
          <w:color w:val="67287F"/>
          <w:sz w:val="28"/>
        </w:rPr>
        <w:t>that</w:t>
      </w:r>
      <w:r>
        <w:rPr>
          <w:b/>
          <w:color w:val="67287F"/>
          <w:spacing w:val="-5"/>
          <w:sz w:val="28"/>
        </w:rPr>
        <w:t> </w:t>
      </w:r>
      <w:r>
        <w:rPr>
          <w:b/>
          <w:color w:val="67287F"/>
          <w:sz w:val="28"/>
        </w:rPr>
        <w:t>the</w:t>
      </w:r>
      <w:r>
        <w:rPr>
          <w:b/>
          <w:color w:val="67287F"/>
          <w:spacing w:val="-6"/>
          <w:sz w:val="28"/>
        </w:rPr>
        <w:t> </w:t>
      </w:r>
      <w:r>
        <w:rPr>
          <w:b/>
          <w:color w:val="67287F"/>
          <w:sz w:val="28"/>
        </w:rPr>
        <w:t>Department</w:t>
      </w:r>
      <w:r>
        <w:rPr>
          <w:b/>
          <w:color w:val="67287F"/>
          <w:spacing w:val="-5"/>
          <w:sz w:val="28"/>
        </w:rPr>
        <w:t> </w:t>
      </w:r>
      <w:r>
        <w:rPr>
          <w:b/>
          <w:color w:val="67287F"/>
          <w:sz w:val="28"/>
        </w:rPr>
        <w:t>of</w:t>
      </w:r>
      <w:r>
        <w:rPr>
          <w:b/>
          <w:color w:val="67287F"/>
          <w:spacing w:val="-6"/>
          <w:sz w:val="28"/>
        </w:rPr>
        <w:t> </w:t>
      </w:r>
      <w:r>
        <w:rPr>
          <w:b/>
          <w:color w:val="67287F"/>
          <w:sz w:val="28"/>
        </w:rPr>
        <w:t>Justice,</w:t>
      </w:r>
      <w:r>
        <w:rPr>
          <w:b/>
          <w:color w:val="67287F"/>
          <w:spacing w:val="-5"/>
          <w:sz w:val="28"/>
        </w:rPr>
        <w:t> </w:t>
      </w:r>
      <w:r>
        <w:rPr>
          <w:b/>
          <w:color w:val="67287F"/>
          <w:sz w:val="28"/>
        </w:rPr>
        <w:t>Department</w:t>
      </w:r>
      <w:r>
        <w:rPr>
          <w:b/>
          <w:color w:val="67287F"/>
          <w:spacing w:val="-5"/>
          <w:sz w:val="28"/>
        </w:rPr>
        <w:t> </w:t>
      </w:r>
      <w:r>
        <w:rPr>
          <w:b/>
          <w:color w:val="67287F"/>
          <w:sz w:val="28"/>
        </w:rPr>
        <w:t>of</w:t>
      </w:r>
      <w:r>
        <w:rPr>
          <w:b/>
          <w:color w:val="67287F"/>
          <w:spacing w:val="-6"/>
          <w:sz w:val="28"/>
        </w:rPr>
        <w:t> </w:t>
      </w:r>
      <w:r>
        <w:rPr>
          <w:b/>
          <w:color w:val="67287F"/>
          <w:sz w:val="28"/>
        </w:rPr>
        <w:t>Health and the Executive Office ensure that all strategies and policies for victims</w:t>
      </w:r>
    </w:p>
    <w:p>
      <w:pPr>
        <w:spacing w:line="225" w:lineRule="auto" w:before="0"/>
        <w:ind w:left="1853" w:right="1124" w:firstLine="0"/>
        <w:jc w:val="left"/>
        <w:rPr>
          <w:b/>
          <w:sz w:val="28"/>
        </w:rPr>
      </w:pPr>
      <w:r>
        <w:rPr>
          <w:b/>
          <w:color w:val="67287F"/>
          <w:sz w:val="28"/>
        </w:rPr>
        <w:t>of domestic and sexual violence and abuse should include gender-specific actions in order to address the nature and impact of domestic and sexual abuse.</w:t>
      </w:r>
      <w:r>
        <w:rPr>
          <w:b/>
          <w:color w:val="67287F"/>
          <w:spacing w:val="-8"/>
          <w:sz w:val="28"/>
        </w:rPr>
        <w:t> </w:t>
      </w:r>
      <w:r>
        <w:rPr>
          <w:b/>
          <w:color w:val="67287F"/>
          <w:sz w:val="28"/>
        </w:rPr>
        <w:t>These</w:t>
      </w:r>
      <w:r>
        <w:rPr>
          <w:b/>
          <w:color w:val="67287F"/>
          <w:spacing w:val="-8"/>
          <w:sz w:val="28"/>
        </w:rPr>
        <w:t> </w:t>
      </w:r>
      <w:r>
        <w:rPr>
          <w:b/>
          <w:color w:val="67287F"/>
          <w:sz w:val="28"/>
        </w:rPr>
        <w:t>strategies</w:t>
      </w:r>
      <w:r>
        <w:rPr>
          <w:b/>
          <w:color w:val="67287F"/>
          <w:spacing w:val="-7"/>
          <w:sz w:val="28"/>
        </w:rPr>
        <w:t> </w:t>
      </w:r>
      <w:r>
        <w:rPr>
          <w:b/>
          <w:color w:val="67287F"/>
          <w:sz w:val="28"/>
        </w:rPr>
        <w:t>should</w:t>
      </w:r>
      <w:r>
        <w:rPr>
          <w:b/>
          <w:color w:val="67287F"/>
          <w:spacing w:val="-7"/>
          <w:sz w:val="28"/>
        </w:rPr>
        <w:t> </w:t>
      </w:r>
      <w:r>
        <w:rPr>
          <w:b/>
          <w:color w:val="67287F"/>
          <w:sz w:val="28"/>
        </w:rPr>
        <w:t>also</w:t>
      </w:r>
      <w:r>
        <w:rPr>
          <w:b/>
          <w:color w:val="67287F"/>
          <w:spacing w:val="-7"/>
          <w:sz w:val="28"/>
        </w:rPr>
        <w:t> </w:t>
      </w:r>
      <w:r>
        <w:rPr>
          <w:b/>
          <w:color w:val="67287F"/>
          <w:sz w:val="28"/>
        </w:rPr>
        <w:t>take</w:t>
      </w:r>
      <w:r>
        <w:rPr>
          <w:b/>
          <w:color w:val="67287F"/>
          <w:spacing w:val="-8"/>
          <w:sz w:val="28"/>
        </w:rPr>
        <w:t> </w:t>
      </w:r>
      <w:r>
        <w:rPr>
          <w:b/>
          <w:color w:val="67287F"/>
          <w:sz w:val="28"/>
        </w:rPr>
        <w:t>specific</w:t>
      </w:r>
      <w:r>
        <w:rPr>
          <w:b/>
          <w:color w:val="67287F"/>
          <w:spacing w:val="-8"/>
          <w:sz w:val="28"/>
        </w:rPr>
        <w:t> </w:t>
      </w:r>
      <w:r>
        <w:rPr>
          <w:b/>
          <w:color w:val="67287F"/>
          <w:sz w:val="28"/>
        </w:rPr>
        <w:t>action</w:t>
      </w:r>
      <w:r>
        <w:rPr>
          <w:b/>
          <w:color w:val="67287F"/>
          <w:spacing w:val="-7"/>
          <w:sz w:val="28"/>
        </w:rPr>
        <w:t> </w:t>
      </w:r>
      <w:r>
        <w:rPr>
          <w:b/>
          <w:color w:val="67287F"/>
          <w:sz w:val="28"/>
        </w:rPr>
        <w:t>to</w:t>
      </w:r>
      <w:r>
        <w:rPr>
          <w:b/>
          <w:color w:val="67287F"/>
          <w:spacing w:val="-7"/>
          <w:sz w:val="28"/>
        </w:rPr>
        <w:t> </w:t>
      </w:r>
      <w:r>
        <w:rPr>
          <w:b/>
          <w:color w:val="67287F"/>
          <w:sz w:val="28"/>
        </w:rPr>
        <w:t>meet</w:t>
      </w:r>
      <w:r>
        <w:rPr>
          <w:b/>
          <w:color w:val="67287F"/>
          <w:spacing w:val="-7"/>
          <w:sz w:val="28"/>
        </w:rPr>
        <w:t> </w:t>
      </w:r>
      <w:r>
        <w:rPr>
          <w:b/>
          <w:color w:val="67287F"/>
          <w:sz w:val="28"/>
        </w:rPr>
        <w:t>the</w:t>
      </w:r>
      <w:r>
        <w:rPr>
          <w:b/>
          <w:color w:val="67287F"/>
          <w:spacing w:val="-8"/>
          <w:sz w:val="28"/>
        </w:rPr>
        <w:t> </w:t>
      </w:r>
      <w:r>
        <w:rPr>
          <w:b/>
          <w:color w:val="67287F"/>
          <w:sz w:val="28"/>
        </w:rPr>
        <w:t>needs</w:t>
      </w:r>
      <w:r>
        <w:rPr>
          <w:b/>
          <w:color w:val="67287F"/>
          <w:spacing w:val="-7"/>
          <w:sz w:val="28"/>
        </w:rPr>
        <w:t> </w:t>
      </w:r>
      <w:r>
        <w:rPr>
          <w:b/>
          <w:color w:val="67287F"/>
          <w:sz w:val="28"/>
        </w:rPr>
        <w:t>of, and</w:t>
      </w:r>
      <w:r>
        <w:rPr>
          <w:b/>
          <w:color w:val="67287F"/>
          <w:spacing w:val="-7"/>
          <w:sz w:val="28"/>
        </w:rPr>
        <w:t> </w:t>
      </w:r>
      <w:r>
        <w:rPr>
          <w:b/>
          <w:color w:val="67287F"/>
          <w:sz w:val="28"/>
        </w:rPr>
        <w:t>tackle</w:t>
      </w:r>
      <w:r>
        <w:rPr>
          <w:b/>
          <w:color w:val="67287F"/>
          <w:spacing w:val="-8"/>
          <w:sz w:val="28"/>
        </w:rPr>
        <w:t> </w:t>
      </w:r>
      <w:r>
        <w:rPr>
          <w:b/>
          <w:color w:val="67287F"/>
          <w:sz w:val="28"/>
        </w:rPr>
        <w:t>barriers</w:t>
      </w:r>
      <w:r>
        <w:rPr>
          <w:b/>
          <w:color w:val="67287F"/>
          <w:spacing w:val="-7"/>
          <w:sz w:val="28"/>
        </w:rPr>
        <w:t> </w:t>
      </w:r>
      <w:r>
        <w:rPr>
          <w:b/>
          <w:color w:val="67287F"/>
          <w:sz w:val="28"/>
        </w:rPr>
        <w:t>faced</w:t>
      </w:r>
      <w:r>
        <w:rPr>
          <w:b/>
          <w:color w:val="67287F"/>
          <w:spacing w:val="-7"/>
          <w:sz w:val="28"/>
        </w:rPr>
        <w:t> </w:t>
      </w:r>
      <w:r>
        <w:rPr>
          <w:b/>
          <w:color w:val="67287F"/>
          <w:sz w:val="28"/>
        </w:rPr>
        <w:t>by,</w:t>
      </w:r>
      <w:r>
        <w:rPr>
          <w:b/>
          <w:color w:val="67287F"/>
          <w:spacing w:val="-7"/>
          <w:sz w:val="28"/>
        </w:rPr>
        <w:t> </w:t>
      </w:r>
      <w:r>
        <w:rPr>
          <w:b/>
          <w:color w:val="67287F"/>
          <w:sz w:val="28"/>
        </w:rPr>
        <w:t>those</w:t>
      </w:r>
      <w:r>
        <w:rPr>
          <w:b/>
          <w:color w:val="67287F"/>
          <w:spacing w:val="-8"/>
          <w:sz w:val="28"/>
        </w:rPr>
        <w:t> </w:t>
      </w:r>
      <w:r>
        <w:rPr>
          <w:b/>
          <w:color w:val="67287F"/>
          <w:sz w:val="28"/>
        </w:rPr>
        <w:t>from</w:t>
      </w:r>
      <w:r>
        <w:rPr>
          <w:b/>
          <w:color w:val="67287F"/>
          <w:spacing w:val="-8"/>
          <w:sz w:val="28"/>
        </w:rPr>
        <w:t> </w:t>
      </w:r>
      <w:r>
        <w:rPr>
          <w:b/>
          <w:color w:val="67287F"/>
          <w:sz w:val="28"/>
        </w:rPr>
        <w:t>across</w:t>
      </w:r>
      <w:r>
        <w:rPr>
          <w:b/>
          <w:color w:val="67287F"/>
          <w:spacing w:val="-7"/>
          <w:sz w:val="28"/>
        </w:rPr>
        <w:t> </w:t>
      </w:r>
      <w:r>
        <w:rPr>
          <w:b/>
          <w:color w:val="67287F"/>
          <w:sz w:val="28"/>
        </w:rPr>
        <w:t>the</w:t>
      </w:r>
      <w:r>
        <w:rPr>
          <w:b/>
          <w:color w:val="67287F"/>
          <w:spacing w:val="-8"/>
          <w:sz w:val="28"/>
        </w:rPr>
        <w:t> </w:t>
      </w:r>
      <w:r>
        <w:rPr>
          <w:b/>
          <w:color w:val="67287F"/>
          <w:sz w:val="28"/>
        </w:rPr>
        <w:t>equality</w:t>
      </w:r>
      <w:r>
        <w:rPr>
          <w:b/>
          <w:color w:val="67287F"/>
          <w:spacing w:val="-7"/>
          <w:sz w:val="28"/>
        </w:rPr>
        <w:t> </w:t>
      </w:r>
      <w:r>
        <w:rPr>
          <w:b/>
          <w:color w:val="67287F"/>
          <w:sz w:val="28"/>
        </w:rPr>
        <w:t>groups,</w:t>
      </w:r>
      <w:r>
        <w:rPr>
          <w:b/>
          <w:color w:val="67287F"/>
          <w:spacing w:val="-7"/>
          <w:sz w:val="28"/>
        </w:rPr>
        <w:t> </w:t>
      </w:r>
      <w:r>
        <w:rPr>
          <w:b/>
          <w:color w:val="67287F"/>
          <w:sz w:val="28"/>
        </w:rPr>
        <w:t>including those with multiple identities.</w:t>
      </w:r>
    </w:p>
    <w:p>
      <w:pPr>
        <w:pStyle w:val="ListParagraph"/>
        <w:numPr>
          <w:ilvl w:val="1"/>
          <w:numId w:val="7"/>
        </w:numPr>
        <w:tabs>
          <w:tab w:pos="1853" w:val="left" w:leader="none"/>
        </w:tabs>
        <w:spacing w:line="225" w:lineRule="auto" w:before="311" w:after="0"/>
        <w:ind w:left="1853" w:right="1543" w:hanging="720"/>
        <w:jc w:val="left"/>
        <w:rPr>
          <w:b/>
          <w:color w:val="67287F"/>
          <w:sz w:val="28"/>
        </w:rPr>
      </w:pPr>
      <w:r>
        <w:rPr>
          <w:b/>
          <w:color w:val="67287F"/>
          <w:sz w:val="28"/>
        </w:rPr>
        <w:t>The ECNI recommends that the Executive Office gives consideration to ensuring, post Brexit, that procedures are put in place to ensure there is</w:t>
      </w:r>
      <w:r>
        <w:rPr>
          <w:b/>
          <w:color w:val="67287F"/>
          <w:sz w:val="28"/>
        </w:rPr>
        <w:t> a systemic approach to produce disaggregated data on violence against women</w:t>
      </w:r>
      <w:r>
        <w:rPr>
          <w:b/>
          <w:color w:val="67287F"/>
          <w:spacing w:val="-4"/>
          <w:sz w:val="28"/>
        </w:rPr>
        <w:t> </w:t>
      </w:r>
      <w:r>
        <w:rPr>
          <w:b/>
          <w:color w:val="67287F"/>
          <w:sz w:val="28"/>
        </w:rPr>
        <w:t>and</w:t>
      </w:r>
      <w:r>
        <w:rPr>
          <w:b/>
          <w:color w:val="67287F"/>
          <w:spacing w:val="-4"/>
          <w:sz w:val="28"/>
        </w:rPr>
        <w:t> </w:t>
      </w:r>
      <w:r>
        <w:rPr>
          <w:b/>
          <w:color w:val="67287F"/>
          <w:sz w:val="28"/>
        </w:rPr>
        <w:t>girls</w:t>
      </w:r>
      <w:r>
        <w:rPr>
          <w:b/>
          <w:color w:val="67287F"/>
          <w:spacing w:val="-4"/>
          <w:sz w:val="28"/>
        </w:rPr>
        <w:t> </w:t>
      </w:r>
      <w:r>
        <w:rPr>
          <w:b/>
          <w:color w:val="67287F"/>
          <w:sz w:val="28"/>
        </w:rPr>
        <w:t>which</w:t>
      </w:r>
      <w:r>
        <w:rPr>
          <w:b/>
          <w:color w:val="67287F"/>
          <w:spacing w:val="-4"/>
          <w:sz w:val="28"/>
        </w:rPr>
        <w:t> </w:t>
      </w:r>
      <w:r>
        <w:rPr>
          <w:b/>
          <w:color w:val="67287F"/>
          <w:sz w:val="28"/>
        </w:rPr>
        <w:t>not</w:t>
      </w:r>
      <w:r>
        <w:rPr>
          <w:b/>
          <w:color w:val="67287F"/>
          <w:spacing w:val="-4"/>
          <w:sz w:val="28"/>
        </w:rPr>
        <w:t> </w:t>
      </w:r>
      <w:r>
        <w:rPr>
          <w:b/>
          <w:color w:val="67287F"/>
          <w:sz w:val="28"/>
        </w:rPr>
        <w:t>only</w:t>
      </w:r>
      <w:r>
        <w:rPr>
          <w:b/>
          <w:color w:val="67287F"/>
          <w:spacing w:val="-4"/>
          <w:sz w:val="28"/>
        </w:rPr>
        <w:t> </w:t>
      </w:r>
      <w:r>
        <w:rPr>
          <w:b/>
          <w:color w:val="67287F"/>
          <w:sz w:val="28"/>
        </w:rPr>
        <w:t>meets</w:t>
      </w:r>
      <w:r>
        <w:rPr>
          <w:b/>
          <w:color w:val="67287F"/>
          <w:spacing w:val="-4"/>
          <w:sz w:val="28"/>
        </w:rPr>
        <w:t> </w:t>
      </w:r>
      <w:r>
        <w:rPr>
          <w:b/>
          <w:color w:val="67287F"/>
          <w:sz w:val="28"/>
        </w:rPr>
        <w:t>the</w:t>
      </w:r>
      <w:r>
        <w:rPr>
          <w:b/>
          <w:color w:val="67287F"/>
          <w:spacing w:val="-5"/>
          <w:sz w:val="28"/>
        </w:rPr>
        <w:t> </w:t>
      </w:r>
      <w:r>
        <w:rPr>
          <w:b/>
          <w:color w:val="67287F"/>
          <w:sz w:val="28"/>
        </w:rPr>
        <w:t>specific</w:t>
      </w:r>
      <w:r>
        <w:rPr>
          <w:b/>
          <w:color w:val="67287F"/>
          <w:spacing w:val="-5"/>
          <w:sz w:val="28"/>
        </w:rPr>
        <w:t> </w:t>
      </w:r>
      <w:r>
        <w:rPr>
          <w:b/>
          <w:color w:val="67287F"/>
          <w:sz w:val="28"/>
        </w:rPr>
        <w:t>needs</w:t>
      </w:r>
      <w:r>
        <w:rPr>
          <w:b/>
          <w:color w:val="67287F"/>
          <w:spacing w:val="-4"/>
          <w:sz w:val="28"/>
        </w:rPr>
        <w:t> </w:t>
      </w:r>
      <w:r>
        <w:rPr>
          <w:b/>
          <w:color w:val="67287F"/>
          <w:sz w:val="28"/>
        </w:rPr>
        <w:t>of</w:t>
      </w:r>
      <w:r>
        <w:rPr>
          <w:b/>
          <w:color w:val="67287F"/>
          <w:spacing w:val="-5"/>
          <w:sz w:val="28"/>
        </w:rPr>
        <w:t> </w:t>
      </w:r>
      <w:r>
        <w:rPr>
          <w:b/>
          <w:color w:val="67287F"/>
          <w:sz w:val="28"/>
        </w:rPr>
        <w:t>NI</w:t>
      </w:r>
      <w:r>
        <w:rPr>
          <w:b/>
          <w:color w:val="67287F"/>
          <w:spacing w:val="-4"/>
          <w:sz w:val="28"/>
        </w:rPr>
        <w:t> </w:t>
      </w:r>
      <w:r>
        <w:rPr>
          <w:b/>
          <w:color w:val="67287F"/>
          <w:sz w:val="28"/>
        </w:rPr>
        <w:t>but</w:t>
      </w:r>
      <w:r>
        <w:rPr>
          <w:b/>
          <w:color w:val="67287F"/>
          <w:spacing w:val="-4"/>
          <w:sz w:val="28"/>
        </w:rPr>
        <w:t> </w:t>
      </w:r>
      <w:r>
        <w:rPr>
          <w:b/>
          <w:color w:val="67287F"/>
          <w:sz w:val="28"/>
        </w:rPr>
        <w:t>where</w:t>
      </w:r>
    </w:p>
    <w:p>
      <w:pPr>
        <w:spacing w:line="225" w:lineRule="auto" w:before="0"/>
        <w:ind w:left="1853" w:right="1171" w:firstLine="0"/>
        <w:jc w:val="left"/>
        <w:rPr>
          <w:b/>
          <w:sz w:val="28"/>
        </w:rPr>
      </w:pPr>
      <w:r>
        <w:rPr>
          <w:b/>
          <w:color w:val="67287F"/>
          <w:sz w:val="28"/>
        </w:rPr>
        <w:t>possible</w:t>
      </w:r>
      <w:r>
        <w:rPr>
          <w:b/>
          <w:color w:val="67287F"/>
          <w:spacing w:val="-10"/>
          <w:sz w:val="28"/>
        </w:rPr>
        <w:t> </w:t>
      </w:r>
      <w:r>
        <w:rPr>
          <w:b/>
          <w:color w:val="67287F"/>
          <w:sz w:val="28"/>
        </w:rPr>
        <w:t>is</w:t>
      </w:r>
      <w:r>
        <w:rPr>
          <w:b/>
          <w:color w:val="67287F"/>
          <w:spacing w:val="-9"/>
          <w:sz w:val="28"/>
        </w:rPr>
        <w:t> </w:t>
      </w:r>
      <w:r>
        <w:rPr>
          <w:b/>
          <w:color w:val="67287F"/>
          <w:sz w:val="28"/>
        </w:rPr>
        <w:t>comparable</w:t>
      </w:r>
      <w:r>
        <w:rPr>
          <w:b/>
          <w:color w:val="67287F"/>
          <w:spacing w:val="-10"/>
          <w:sz w:val="28"/>
        </w:rPr>
        <w:t> </w:t>
      </w:r>
      <w:r>
        <w:rPr>
          <w:b/>
          <w:color w:val="67287F"/>
          <w:sz w:val="28"/>
        </w:rPr>
        <w:t>with</w:t>
      </w:r>
      <w:r>
        <w:rPr>
          <w:b/>
          <w:color w:val="67287F"/>
          <w:spacing w:val="-9"/>
          <w:sz w:val="28"/>
        </w:rPr>
        <w:t> </w:t>
      </w:r>
      <w:r>
        <w:rPr>
          <w:b/>
          <w:color w:val="67287F"/>
          <w:sz w:val="28"/>
        </w:rPr>
        <w:t>common</w:t>
      </w:r>
      <w:r>
        <w:rPr>
          <w:b/>
          <w:color w:val="67287F"/>
          <w:spacing w:val="-9"/>
          <w:sz w:val="28"/>
        </w:rPr>
        <w:t> </w:t>
      </w:r>
      <w:r>
        <w:rPr>
          <w:b/>
          <w:color w:val="67287F"/>
          <w:sz w:val="28"/>
        </w:rPr>
        <w:t>international</w:t>
      </w:r>
      <w:r>
        <w:rPr>
          <w:b/>
          <w:color w:val="67287F"/>
          <w:spacing w:val="-9"/>
          <w:sz w:val="28"/>
        </w:rPr>
        <w:t> </w:t>
      </w:r>
      <w:r>
        <w:rPr>
          <w:b/>
          <w:color w:val="67287F"/>
          <w:sz w:val="28"/>
        </w:rPr>
        <w:t>frameworks,</w:t>
      </w:r>
      <w:r>
        <w:rPr>
          <w:b/>
          <w:color w:val="67287F"/>
          <w:spacing w:val="-9"/>
          <w:sz w:val="28"/>
        </w:rPr>
        <w:t> </w:t>
      </w:r>
      <w:r>
        <w:rPr>
          <w:b/>
          <w:color w:val="67287F"/>
          <w:sz w:val="28"/>
        </w:rPr>
        <w:t>including</w:t>
      </w:r>
      <w:r>
        <w:rPr>
          <w:b/>
          <w:color w:val="67287F"/>
          <w:spacing w:val="-10"/>
          <w:sz w:val="28"/>
        </w:rPr>
        <w:t> </w:t>
      </w:r>
      <w:r>
        <w:rPr>
          <w:b/>
          <w:color w:val="67287F"/>
          <w:sz w:val="28"/>
        </w:rPr>
        <w:t>at EU level.</w:t>
      </w:r>
    </w:p>
    <w:p>
      <w:pPr>
        <w:pStyle w:val="Heading5"/>
        <w:spacing w:before="296"/>
        <w:ind w:left="1133" w:firstLine="0"/>
      </w:pPr>
      <w:bookmarkStart w:name="Female Genital Mutilation" w:id="64"/>
      <w:bookmarkEnd w:id="64"/>
      <w:r>
        <w:rPr>
          <w:b w:val="0"/>
        </w:rPr>
      </w:r>
      <w:r>
        <w:rPr>
          <w:color w:val="393B80"/>
        </w:rPr>
        <w:t>Female</w:t>
      </w:r>
      <w:r>
        <w:rPr>
          <w:color w:val="393B80"/>
          <w:spacing w:val="-9"/>
        </w:rPr>
        <w:t> </w:t>
      </w:r>
      <w:r>
        <w:rPr>
          <w:color w:val="393B80"/>
        </w:rPr>
        <w:t>Genital</w:t>
      </w:r>
      <w:r>
        <w:rPr>
          <w:color w:val="393B80"/>
          <w:spacing w:val="-6"/>
        </w:rPr>
        <w:t> </w:t>
      </w:r>
      <w:r>
        <w:rPr>
          <w:color w:val="393B80"/>
          <w:spacing w:val="-2"/>
        </w:rPr>
        <w:t>Mutilation</w:t>
      </w:r>
    </w:p>
    <w:p>
      <w:pPr>
        <w:pStyle w:val="ListParagraph"/>
        <w:numPr>
          <w:ilvl w:val="1"/>
          <w:numId w:val="7"/>
        </w:numPr>
        <w:tabs>
          <w:tab w:pos="1853" w:val="left" w:leader="none"/>
        </w:tabs>
        <w:spacing w:line="225" w:lineRule="auto" w:before="314" w:after="0"/>
        <w:ind w:left="1853" w:right="1181" w:hanging="720"/>
        <w:jc w:val="left"/>
        <w:rPr>
          <w:sz w:val="28"/>
        </w:rPr>
      </w:pPr>
      <w:r>
        <w:rPr>
          <w:sz w:val="28"/>
        </w:rPr>
        <w:t>EU obligations underpinning the rights of victims in Windsor Framework Article 2 include the EU Victims’ Directive</w:t>
      </w:r>
      <w:r>
        <w:rPr>
          <w:sz w:val="28"/>
          <w:vertAlign w:val="superscript"/>
        </w:rPr>
        <w:t>425</w:t>
      </w:r>
      <w:r>
        <w:rPr>
          <w:sz w:val="28"/>
          <w:vertAlign w:val="baseline"/>
        </w:rPr>
        <w:t> as well as other relevant EU laws which support victims.</w:t>
      </w:r>
      <w:r>
        <w:rPr>
          <w:sz w:val="28"/>
          <w:vertAlign w:val="superscript"/>
        </w:rPr>
        <w:t>426</w:t>
      </w:r>
      <w:r>
        <w:rPr>
          <w:sz w:val="28"/>
          <w:vertAlign w:val="baseline"/>
        </w:rPr>
        <w:t> The EU Victims’ Directive recognises that victims of gender-based</w:t>
      </w:r>
      <w:r>
        <w:rPr>
          <w:spacing w:val="-9"/>
          <w:sz w:val="28"/>
          <w:vertAlign w:val="baseline"/>
        </w:rPr>
        <w:t> </w:t>
      </w:r>
      <w:r>
        <w:rPr>
          <w:sz w:val="28"/>
          <w:vertAlign w:val="baseline"/>
        </w:rPr>
        <w:t>violence,</w:t>
      </w:r>
      <w:r>
        <w:rPr>
          <w:spacing w:val="-8"/>
          <w:sz w:val="28"/>
          <w:vertAlign w:val="baseline"/>
        </w:rPr>
        <w:t> </w:t>
      </w:r>
      <w:r>
        <w:rPr>
          <w:sz w:val="28"/>
          <w:vertAlign w:val="baseline"/>
        </w:rPr>
        <w:t>including</w:t>
      </w:r>
      <w:r>
        <w:rPr>
          <w:spacing w:val="-8"/>
          <w:sz w:val="28"/>
          <w:vertAlign w:val="baseline"/>
        </w:rPr>
        <w:t> </w:t>
      </w:r>
      <w:r>
        <w:rPr>
          <w:sz w:val="28"/>
          <w:vertAlign w:val="baseline"/>
        </w:rPr>
        <w:t>female</w:t>
      </w:r>
      <w:r>
        <w:rPr>
          <w:spacing w:val="-8"/>
          <w:sz w:val="28"/>
          <w:vertAlign w:val="baseline"/>
        </w:rPr>
        <w:t> </w:t>
      </w:r>
      <w:r>
        <w:rPr>
          <w:sz w:val="28"/>
          <w:vertAlign w:val="baseline"/>
        </w:rPr>
        <w:t>genital</w:t>
      </w:r>
      <w:r>
        <w:rPr>
          <w:spacing w:val="-9"/>
          <w:sz w:val="28"/>
          <w:vertAlign w:val="baseline"/>
        </w:rPr>
        <w:t> </w:t>
      </w:r>
      <w:r>
        <w:rPr>
          <w:sz w:val="28"/>
          <w:vertAlign w:val="baseline"/>
        </w:rPr>
        <w:t>mutilation,</w:t>
      </w:r>
      <w:r>
        <w:rPr>
          <w:spacing w:val="-8"/>
          <w:sz w:val="28"/>
          <w:vertAlign w:val="baseline"/>
        </w:rPr>
        <w:t> </w:t>
      </w:r>
      <w:r>
        <w:rPr>
          <w:sz w:val="28"/>
          <w:vertAlign w:val="baseline"/>
        </w:rPr>
        <w:t>and</w:t>
      </w:r>
      <w:r>
        <w:rPr>
          <w:spacing w:val="-9"/>
          <w:sz w:val="28"/>
          <w:vertAlign w:val="baseline"/>
        </w:rPr>
        <w:t> </w:t>
      </w:r>
      <w:r>
        <w:rPr>
          <w:sz w:val="28"/>
          <w:vertAlign w:val="baseline"/>
        </w:rPr>
        <w:t>their</w:t>
      </w:r>
      <w:r>
        <w:rPr>
          <w:spacing w:val="-8"/>
          <w:sz w:val="28"/>
          <w:vertAlign w:val="baseline"/>
        </w:rPr>
        <w:t> </w:t>
      </w:r>
      <w:r>
        <w:rPr>
          <w:sz w:val="28"/>
          <w:vertAlign w:val="baseline"/>
        </w:rPr>
        <w:t>children,</w:t>
      </w:r>
    </w:p>
    <w:p>
      <w:pPr>
        <w:pStyle w:val="BodyText"/>
        <w:rPr>
          <w:sz w:val="20"/>
        </w:rPr>
      </w:pPr>
    </w:p>
    <w:p>
      <w:pPr>
        <w:pStyle w:val="BodyText"/>
        <w:spacing w:before="183"/>
        <w:rPr>
          <w:sz w:val="20"/>
        </w:rPr>
      </w:pPr>
      <w:r>
        <w:rPr/>
        <mc:AlternateContent>
          <mc:Choice Requires="wps">
            <w:drawing>
              <wp:anchor distT="0" distB="0" distL="0" distR="0" allowOverlap="1" layoutInCell="1" locked="0" behindDoc="1" simplePos="0" relativeHeight="487673344">
                <wp:simplePos x="0" y="0"/>
                <wp:positionH relativeFrom="page">
                  <wp:posOffset>719996</wp:posOffset>
                </wp:positionH>
                <wp:positionV relativeFrom="paragraph">
                  <wp:posOffset>286475</wp:posOffset>
                </wp:positionV>
                <wp:extent cx="6120130" cy="1270"/>
                <wp:effectExtent l="0" t="0" r="0" b="0"/>
                <wp:wrapTopAndBottom/>
                <wp:docPr id="363" name="Graphic 363"/>
                <wp:cNvGraphicFramePr>
                  <a:graphicFrameLocks/>
                </wp:cNvGraphicFramePr>
                <a:graphic>
                  <a:graphicData uri="http://schemas.microsoft.com/office/word/2010/wordprocessingShape">
                    <wps:wsp>
                      <wps:cNvPr id="363" name="Graphic 363"/>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2.557087pt;width:481.9pt;height:.1pt;mso-position-horizontal-relative:page;mso-position-vertical-relative:paragraph;z-index:-15643136;mso-wrap-distance-left:0;mso-wrap-distance-right:0" id="docshape313" coordorigin="1134,451" coordsize="9638,0" path="m10772,451l1134,451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35" w:lineRule="auto" w:before="132" w:after="0"/>
        <w:ind w:left="1853" w:right="1303" w:hanging="720"/>
        <w:jc w:val="left"/>
        <w:rPr>
          <w:sz w:val="18"/>
        </w:rPr>
      </w:pPr>
      <w:r>
        <w:rPr>
          <w:sz w:val="18"/>
        </w:rPr>
        <w:t>Directive</w:t>
      </w:r>
      <w:r>
        <w:rPr>
          <w:spacing w:val="-4"/>
          <w:sz w:val="18"/>
        </w:rPr>
        <w:t> </w:t>
      </w:r>
      <w:r>
        <w:rPr>
          <w:sz w:val="18"/>
        </w:rPr>
        <w:t>2012/29/EU,</w:t>
      </w:r>
      <w:r>
        <w:rPr>
          <w:spacing w:val="-4"/>
          <w:sz w:val="18"/>
        </w:rPr>
        <w:t> </w:t>
      </w:r>
      <w:r>
        <w:rPr>
          <w:sz w:val="18"/>
        </w:rPr>
        <w:t>‘EU</w:t>
      </w:r>
      <w:r>
        <w:rPr>
          <w:spacing w:val="-4"/>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Directive</w:t>
      </w:r>
      <w:r>
        <w:rPr>
          <w:spacing w:val="-4"/>
          <w:sz w:val="18"/>
        </w:rPr>
        <w:t> </w:t>
      </w:r>
      <w:r>
        <w:rPr>
          <w:sz w:val="18"/>
        </w:rPr>
        <w:t>Establishing</w:t>
      </w:r>
      <w:r>
        <w:rPr>
          <w:spacing w:val="-4"/>
          <w:sz w:val="18"/>
        </w:rPr>
        <w:t> </w:t>
      </w:r>
      <w:r>
        <w:rPr>
          <w:sz w:val="18"/>
        </w:rPr>
        <w:t>Minimum</w:t>
      </w:r>
      <w:r>
        <w:rPr>
          <w:spacing w:val="-4"/>
          <w:sz w:val="18"/>
        </w:rPr>
        <w:t> </w:t>
      </w:r>
      <w:r>
        <w:rPr>
          <w:sz w:val="18"/>
        </w:rPr>
        <w:t>Standards</w:t>
      </w:r>
      <w:r>
        <w:rPr>
          <w:spacing w:val="-5"/>
          <w:sz w:val="18"/>
        </w:rPr>
        <w:t> </w:t>
      </w:r>
      <w:r>
        <w:rPr>
          <w:sz w:val="18"/>
        </w:rPr>
        <w:t>on</w:t>
      </w:r>
      <w:r>
        <w:rPr>
          <w:spacing w:val="-5"/>
          <w:sz w:val="18"/>
        </w:rPr>
        <w:t> </w:t>
      </w:r>
      <w:r>
        <w:rPr>
          <w:sz w:val="18"/>
        </w:rPr>
        <w:t>the</w:t>
      </w:r>
      <w:r>
        <w:rPr>
          <w:spacing w:val="-4"/>
          <w:sz w:val="18"/>
        </w:rPr>
        <w:t> </w:t>
      </w:r>
      <w:r>
        <w:rPr>
          <w:sz w:val="18"/>
        </w:rPr>
        <w:t>Rights,</w:t>
      </w:r>
      <w:r>
        <w:rPr>
          <w:spacing w:val="-4"/>
          <w:sz w:val="18"/>
        </w:rPr>
        <w:t> </w:t>
      </w:r>
      <w:r>
        <w:rPr>
          <w:sz w:val="18"/>
        </w:rPr>
        <w:t>Support</w:t>
      </w:r>
      <w:r>
        <w:rPr>
          <w:spacing w:val="-4"/>
          <w:sz w:val="18"/>
        </w:rPr>
        <w:t> </w:t>
      </w:r>
      <w:r>
        <w:rPr>
          <w:sz w:val="18"/>
        </w:rPr>
        <w:t>and Protection of Victims of Crime’, 25 October 2012.</w:t>
      </w:r>
    </w:p>
    <w:p>
      <w:pPr>
        <w:pStyle w:val="ListParagraph"/>
        <w:numPr>
          <w:ilvl w:val="0"/>
          <w:numId w:val="9"/>
        </w:numPr>
        <w:tabs>
          <w:tab w:pos="1853" w:val="left" w:leader="none"/>
        </w:tabs>
        <w:spacing w:line="216" w:lineRule="exact" w:before="0" w:after="0"/>
        <w:ind w:left="1853" w:right="0" w:hanging="720"/>
        <w:jc w:val="left"/>
        <w:rPr>
          <w:sz w:val="18"/>
        </w:rPr>
      </w:pPr>
      <w:r>
        <w:rPr>
          <w:sz w:val="18"/>
        </w:rPr>
        <w:t>Directive</w:t>
      </w:r>
      <w:r>
        <w:rPr>
          <w:spacing w:val="-7"/>
          <w:sz w:val="18"/>
        </w:rPr>
        <w:t> </w:t>
      </w:r>
      <w:r>
        <w:rPr>
          <w:sz w:val="18"/>
        </w:rPr>
        <w:t>2011/36/EU</w:t>
      </w:r>
      <w:r>
        <w:rPr>
          <w:spacing w:val="-7"/>
          <w:sz w:val="18"/>
        </w:rPr>
        <w:t> </w:t>
      </w:r>
      <w:r>
        <w:rPr>
          <w:sz w:val="18"/>
        </w:rPr>
        <w:t>‘Council</w:t>
      </w:r>
      <w:r>
        <w:rPr>
          <w:spacing w:val="-7"/>
          <w:sz w:val="18"/>
        </w:rPr>
        <w:t> </w:t>
      </w:r>
      <w:r>
        <w:rPr>
          <w:sz w:val="18"/>
        </w:rPr>
        <w:t>Directive</w:t>
      </w:r>
      <w:r>
        <w:rPr>
          <w:spacing w:val="-7"/>
          <w:sz w:val="18"/>
        </w:rPr>
        <w:t> </w:t>
      </w:r>
      <w:r>
        <w:rPr>
          <w:sz w:val="18"/>
        </w:rPr>
        <w:t>on</w:t>
      </w:r>
      <w:r>
        <w:rPr>
          <w:spacing w:val="-7"/>
          <w:sz w:val="18"/>
        </w:rPr>
        <w:t> </w:t>
      </w:r>
      <w:r>
        <w:rPr>
          <w:sz w:val="18"/>
        </w:rPr>
        <w:t>Preventing</w:t>
      </w:r>
      <w:r>
        <w:rPr>
          <w:spacing w:val="-7"/>
          <w:sz w:val="18"/>
        </w:rPr>
        <w:t> </w:t>
      </w:r>
      <w:r>
        <w:rPr>
          <w:sz w:val="18"/>
        </w:rPr>
        <w:t>and</w:t>
      </w:r>
      <w:r>
        <w:rPr>
          <w:spacing w:val="-7"/>
          <w:sz w:val="18"/>
        </w:rPr>
        <w:t> </w:t>
      </w:r>
      <w:r>
        <w:rPr>
          <w:sz w:val="18"/>
        </w:rPr>
        <w:t>Combating</w:t>
      </w:r>
      <w:r>
        <w:rPr>
          <w:spacing w:val="-7"/>
          <w:sz w:val="18"/>
        </w:rPr>
        <w:t> </w:t>
      </w:r>
      <w:r>
        <w:rPr>
          <w:sz w:val="18"/>
        </w:rPr>
        <w:t>Trafficking</w:t>
      </w:r>
      <w:r>
        <w:rPr>
          <w:spacing w:val="-6"/>
          <w:sz w:val="18"/>
        </w:rPr>
        <w:t> </w:t>
      </w:r>
      <w:r>
        <w:rPr>
          <w:sz w:val="18"/>
        </w:rPr>
        <w:t>in</w:t>
      </w:r>
      <w:r>
        <w:rPr>
          <w:spacing w:val="-7"/>
          <w:sz w:val="18"/>
        </w:rPr>
        <w:t> </w:t>
      </w:r>
      <w:r>
        <w:rPr>
          <w:sz w:val="18"/>
        </w:rPr>
        <w:t>Human</w:t>
      </w:r>
      <w:r>
        <w:rPr>
          <w:spacing w:val="-8"/>
          <w:sz w:val="18"/>
        </w:rPr>
        <w:t> </w:t>
      </w:r>
      <w:r>
        <w:rPr>
          <w:sz w:val="18"/>
        </w:rPr>
        <w:t>Beings</w:t>
      </w:r>
      <w:r>
        <w:rPr>
          <w:spacing w:val="-7"/>
          <w:sz w:val="18"/>
        </w:rPr>
        <w:t> </w:t>
      </w:r>
      <w:r>
        <w:rPr>
          <w:sz w:val="18"/>
        </w:rPr>
        <w:t>and</w:t>
      </w:r>
      <w:r>
        <w:rPr>
          <w:spacing w:val="-8"/>
          <w:sz w:val="18"/>
        </w:rPr>
        <w:t> </w:t>
      </w:r>
      <w:r>
        <w:rPr>
          <w:spacing w:val="-2"/>
          <w:sz w:val="18"/>
        </w:rPr>
        <w:t>Protecting</w:t>
      </w:r>
    </w:p>
    <w:p>
      <w:pPr>
        <w:spacing w:line="235" w:lineRule="auto" w:before="2"/>
        <w:ind w:left="1853" w:right="1171" w:firstLine="0"/>
        <w:jc w:val="left"/>
        <w:rPr>
          <w:sz w:val="18"/>
        </w:rPr>
      </w:pPr>
      <w:r>
        <w:rPr>
          <w:sz w:val="18"/>
        </w:rPr>
        <w:t>its</w:t>
      </w:r>
      <w:r>
        <w:rPr>
          <w:spacing w:val="-6"/>
          <w:sz w:val="18"/>
        </w:rPr>
        <w:t> </w:t>
      </w:r>
      <w:r>
        <w:rPr>
          <w:sz w:val="18"/>
        </w:rPr>
        <w:t>Victims’,</w:t>
      </w:r>
      <w:r>
        <w:rPr>
          <w:spacing w:val="-5"/>
          <w:sz w:val="18"/>
        </w:rPr>
        <w:t> </w:t>
      </w:r>
      <w:r>
        <w:rPr>
          <w:sz w:val="18"/>
        </w:rPr>
        <w:t>5</w:t>
      </w:r>
      <w:r>
        <w:rPr>
          <w:spacing w:val="-5"/>
          <w:sz w:val="18"/>
        </w:rPr>
        <w:t> </w:t>
      </w:r>
      <w:r>
        <w:rPr>
          <w:sz w:val="18"/>
        </w:rPr>
        <w:t>April</w:t>
      </w:r>
      <w:r>
        <w:rPr>
          <w:spacing w:val="-6"/>
          <w:sz w:val="18"/>
        </w:rPr>
        <w:t> </w:t>
      </w:r>
      <w:r>
        <w:rPr>
          <w:sz w:val="18"/>
        </w:rPr>
        <w:t>2011;</w:t>
      </w:r>
      <w:r>
        <w:rPr>
          <w:spacing w:val="-5"/>
          <w:sz w:val="18"/>
        </w:rPr>
        <w:t> </w:t>
      </w:r>
      <w:r>
        <w:rPr>
          <w:sz w:val="18"/>
        </w:rPr>
        <w:t>Directive</w:t>
      </w:r>
      <w:r>
        <w:rPr>
          <w:spacing w:val="-5"/>
          <w:sz w:val="18"/>
        </w:rPr>
        <w:t> </w:t>
      </w:r>
      <w:r>
        <w:rPr>
          <w:sz w:val="18"/>
        </w:rPr>
        <w:t>2011/92/EU,</w:t>
      </w:r>
      <w:r>
        <w:rPr>
          <w:spacing w:val="-5"/>
          <w:sz w:val="18"/>
        </w:rPr>
        <w:t> </w:t>
      </w:r>
      <w:r>
        <w:rPr>
          <w:sz w:val="18"/>
        </w:rPr>
        <w:t>‘Parliament</w:t>
      </w:r>
      <w:r>
        <w:rPr>
          <w:spacing w:val="-5"/>
          <w:sz w:val="18"/>
        </w:rPr>
        <w:t> </w:t>
      </w:r>
      <w:r>
        <w:rPr>
          <w:sz w:val="18"/>
        </w:rPr>
        <w:t>and</w:t>
      </w:r>
      <w:r>
        <w:rPr>
          <w:spacing w:val="-6"/>
          <w:sz w:val="18"/>
        </w:rPr>
        <w:t> </w:t>
      </w:r>
      <w:r>
        <w:rPr>
          <w:sz w:val="18"/>
        </w:rPr>
        <w:t>Council</w:t>
      </w:r>
      <w:r>
        <w:rPr>
          <w:spacing w:val="-6"/>
          <w:sz w:val="18"/>
        </w:rPr>
        <w:t> </w:t>
      </w:r>
      <w:r>
        <w:rPr>
          <w:sz w:val="18"/>
        </w:rPr>
        <w:t>Directive</w:t>
      </w:r>
      <w:r>
        <w:rPr>
          <w:spacing w:val="-5"/>
          <w:sz w:val="18"/>
        </w:rPr>
        <w:t> </w:t>
      </w:r>
      <w:r>
        <w:rPr>
          <w:sz w:val="18"/>
        </w:rPr>
        <w:t>on</w:t>
      </w:r>
      <w:r>
        <w:rPr>
          <w:spacing w:val="-6"/>
          <w:sz w:val="18"/>
        </w:rPr>
        <w:t> </w:t>
      </w:r>
      <w:r>
        <w:rPr>
          <w:sz w:val="18"/>
        </w:rPr>
        <w:t>Combating</w:t>
      </w:r>
      <w:r>
        <w:rPr>
          <w:spacing w:val="-5"/>
          <w:sz w:val="18"/>
        </w:rPr>
        <w:t> </w:t>
      </w:r>
      <w:r>
        <w:rPr>
          <w:sz w:val="18"/>
        </w:rPr>
        <w:t>the</w:t>
      </w:r>
      <w:r>
        <w:rPr>
          <w:spacing w:val="-5"/>
          <w:sz w:val="18"/>
        </w:rPr>
        <w:t> </w:t>
      </w:r>
      <w:r>
        <w:rPr>
          <w:sz w:val="18"/>
        </w:rPr>
        <w:t>Sexual</w:t>
      </w:r>
      <w:r>
        <w:rPr>
          <w:spacing w:val="-6"/>
          <w:sz w:val="18"/>
        </w:rPr>
        <w:t> </w:t>
      </w:r>
      <w:r>
        <w:rPr>
          <w:sz w:val="18"/>
        </w:rPr>
        <w:t>Abuse</w:t>
      </w:r>
      <w:r>
        <w:rPr>
          <w:spacing w:val="-5"/>
          <w:sz w:val="18"/>
        </w:rPr>
        <w:t> </w:t>
      </w:r>
      <w:r>
        <w:rPr>
          <w:sz w:val="18"/>
        </w:rPr>
        <w:t>and Sexual Exploitation of Children and Child Pornography’, 13 December 2011; Directive 2004/80/EC, ‘Council Directive Relating to the Compensation to Crime Victims’, 29 April 2004.</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hanging="1"/>
      </w:pPr>
      <w:r>
        <w:rPr/>
        <w:t>often</w:t>
      </w:r>
      <w:r>
        <w:rPr>
          <w:spacing w:val="-9"/>
        </w:rPr>
        <w:t> </w:t>
      </w:r>
      <w:r>
        <w:rPr/>
        <w:t>require</w:t>
      </w:r>
      <w:r>
        <w:rPr>
          <w:spacing w:val="-8"/>
        </w:rPr>
        <w:t> </w:t>
      </w:r>
      <w:r>
        <w:rPr/>
        <w:t>special</w:t>
      </w:r>
      <w:r>
        <w:rPr>
          <w:spacing w:val="-9"/>
        </w:rPr>
        <w:t> </w:t>
      </w:r>
      <w:r>
        <w:rPr/>
        <w:t>support</w:t>
      </w:r>
      <w:r>
        <w:rPr>
          <w:spacing w:val="-8"/>
        </w:rPr>
        <w:t> </w:t>
      </w:r>
      <w:r>
        <w:rPr/>
        <w:t>and</w:t>
      </w:r>
      <w:r>
        <w:rPr>
          <w:spacing w:val="-9"/>
        </w:rPr>
        <w:t> </w:t>
      </w:r>
      <w:r>
        <w:rPr/>
        <w:t>protection</w:t>
      </w:r>
      <w:r>
        <w:rPr>
          <w:spacing w:val="-9"/>
        </w:rPr>
        <w:t> </w:t>
      </w:r>
      <w:r>
        <w:rPr/>
        <w:t>against</w:t>
      </w:r>
      <w:r>
        <w:rPr>
          <w:spacing w:val="-8"/>
        </w:rPr>
        <w:t> </w:t>
      </w:r>
      <w:r>
        <w:rPr/>
        <w:t>secondary</w:t>
      </w:r>
      <w:r>
        <w:rPr>
          <w:spacing w:val="-8"/>
        </w:rPr>
        <w:t> </w:t>
      </w:r>
      <w:r>
        <w:rPr/>
        <w:t>and</w:t>
      </w:r>
      <w:r>
        <w:rPr>
          <w:spacing w:val="-9"/>
        </w:rPr>
        <w:t> </w:t>
      </w:r>
      <w:r>
        <w:rPr/>
        <w:t>repeat victimisation, intimidation and retaliation.</w:t>
      </w:r>
      <w:r>
        <w:rPr>
          <w:vertAlign w:val="superscript"/>
        </w:rPr>
        <w:t>427</w:t>
      </w:r>
    </w:p>
    <w:p>
      <w:pPr>
        <w:pStyle w:val="ListParagraph"/>
        <w:numPr>
          <w:ilvl w:val="1"/>
          <w:numId w:val="7"/>
        </w:numPr>
        <w:tabs>
          <w:tab w:pos="1853" w:val="left" w:leader="none"/>
        </w:tabs>
        <w:spacing w:line="225" w:lineRule="auto" w:before="318" w:after="0"/>
        <w:ind w:left="1853" w:right="1257" w:hanging="720"/>
        <w:jc w:val="left"/>
        <w:rPr>
          <w:sz w:val="28"/>
        </w:rPr>
      </w:pPr>
      <w:r>
        <w:rPr>
          <w:sz w:val="28"/>
        </w:rPr>
        <w:t>In</w:t>
      </w:r>
      <w:r>
        <w:rPr>
          <w:spacing w:val="-7"/>
          <w:sz w:val="28"/>
        </w:rPr>
        <w:t> </w:t>
      </w:r>
      <w:r>
        <w:rPr>
          <w:sz w:val="28"/>
        </w:rPr>
        <w:t>June</w:t>
      </w:r>
      <w:r>
        <w:rPr>
          <w:spacing w:val="-6"/>
          <w:sz w:val="28"/>
        </w:rPr>
        <w:t> </w:t>
      </w:r>
      <w:r>
        <w:rPr>
          <w:sz w:val="28"/>
        </w:rPr>
        <w:t>2023,</w:t>
      </w:r>
      <w:r>
        <w:rPr>
          <w:spacing w:val="-6"/>
          <w:sz w:val="28"/>
        </w:rPr>
        <w:t> </w:t>
      </w:r>
      <w:r>
        <w:rPr>
          <w:sz w:val="28"/>
        </w:rPr>
        <w:t>the</w:t>
      </w:r>
      <w:r>
        <w:rPr>
          <w:spacing w:val="-6"/>
          <w:sz w:val="28"/>
        </w:rPr>
        <w:t> </w:t>
      </w:r>
      <w:r>
        <w:rPr>
          <w:sz w:val="28"/>
        </w:rPr>
        <w:t>UN</w:t>
      </w:r>
      <w:r>
        <w:rPr>
          <w:spacing w:val="-6"/>
          <w:sz w:val="28"/>
        </w:rPr>
        <w:t> </w:t>
      </w:r>
      <w:r>
        <w:rPr>
          <w:sz w:val="28"/>
        </w:rPr>
        <w:t>CRC</w:t>
      </w:r>
      <w:r>
        <w:rPr>
          <w:spacing w:val="-7"/>
          <w:sz w:val="28"/>
        </w:rPr>
        <w:t> </w:t>
      </w:r>
      <w:r>
        <w:rPr>
          <w:sz w:val="28"/>
        </w:rPr>
        <w:t>Committee</w:t>
      </w:r>
      <w:r>
        <w:rPr>
          <w:spacing w:val="-6"/>
          <w:sz w:val="28"/>
        </w:rPr>
        <w:t> </w:t>
      </w:r>
      <w:r>
        <w:rPr>
          <w:sz w:val="28"/>
        </w:rPr>
        <w:t>recommended</w:t>
      </w:r>
      <w:r>
        <w:rPr>
          <w:spacing w:val="-7"/>
          <w:sz w:val="28"/>
        </w:rPr>
        <w:t> </w:t>
      </w:r>
      <w:r>
        <w:rPr>
          <w:sz w:val="28"/>
        </w:rPr>
        <w:t>that</w:t>
      </w:r>
      <w:r>
        <w:rPr>
          <w:spacing w:val="-6"/>
          <w:sz w:val="28"/>
        </w:rPr>
        <w:t> </w:t>
      </w:r>
      <w:r>
        <w:rPr>
          <w:sz w:val="28"/>
        </w:rPr>
        <w:t>the</w:t>
      </w:r>
      <w:r>
        <w:rPr>
          <w:spacing w:val="-6"/>
          <w:sz w:val="28"/>
        </w:rPr>
        <w:t> </w:t>
      </w:r>
      <w:r>
        <w:rPr>
          <w:sz w:val="28"/>
        </w:rPr>
        <w:t>UK</w:t>
      </w:r>
      <w:r>
        <w:rPr>
          <w:spacing w:val="-6"/>
          <w:sz w:val="28"/>
        </w:rPr>
        <w:t> </w:t>
      </w:r>
      <w:r>
        <w:rPr>
          <w:sz w:val="28"/>
        </w:rPr>
        <w:t>Government and NI Executive “develop national strategies aimed at eliminating and preventing harmful practices affecting children, including… female genital </w:t>
      </w:r>
      <w:r>
        <w:rPr>
          <w:spacing w:val="-2"/>
          <w:sz w:val="28"/>
        </w:rPr>
        <w:t>mutilation”.</w:t>
      </w:r>
      <w:r>
        <w:rPr>
          <w:spacing w:val="-2"/>
          <w:sz w:val="28"/>
          <w:vertAlign w:val="superscript"/>
        </w:rPr>
        <w:t>428</w:t>
      </w:r>
    </w:p>
    <w:p>
      <w:pPr>
        <w:pStyle w:val="ListParagraph"/>
        <w:numPr>
          <w:ilvl w:val="1"/>
          <w:numId w:val="7"/>
        </w:numPr>
        <w:tabs>
          <w:tab w:pos="1853" w:val="left" w:leader="none"/>
        </w:tabs>
        <w:spacing w:line="225" w:lineRule="auto" w:before="315" w:after="0"/>
        <w:ind w:left="1853" w:right="1132" w:hanging="720"/>
        <w:jc w:val="left"/>
        <w:rPr>
          <w:sz w:val="28"/>
        </w:rPr>
      </w:pPr>
      <w:r>
        <w:rPr>
          <w:sz w:val="28"/>
        </w:rPr>
        <w:t>Female genital mutilation is illegal under the Female Genital Mutilation Act 2003. The Serious Crime Act 2015 provides for Female Genital Mutilation Protection Orders. In 2014, the NI Executive published the Multi-Agency Practice</w:t>
      </w:r>
      <w:r>
        <w:rPr>
          <w:spacing w:val="-10"/>
          <w:sz w:val="28"/>
        </w:rPr>
        <w:t> </w:t>
      </w:r>
      <w:r>
        <w:rPr>
          <w:sz w:val="28"/>
        </w:rPr>
        <w:t>Guidelines</w:t>
      </w:r>
      <w:r>
        <w:rPr>
          <w:spacing w:val="-10"/>
          <w:sz w:val="28"/>
        </w:rPr>
        <w:t> </w:t>
      </w:r>
      <w:r>
        <w:rPr>
          <w:sz w:val="28"/>
        </w:rPr>
        <w:t>on</w:t>
      </w:r>
      <w:r>
        <w:rPr>
          <w:spacing w:val="-10"/>
          <w:sz w:val="28"/>
        </w:rPr>
        <w:t> </w:t>
      </w:r>
      <w:r>
        <w:rPr>
          <w:sz w:val="28"/>
        </w:rPr>
        <w:t>female</w:t>
      </w:r>
      <w:r>
        <w:rPr>
          <w:spacing w:val="-10"/>
          <w:sz w:val="28"/>
        </w:rPr>
        <w:t> </w:t>
      </w:r>
      <w:r>
        <w:rPr>
          <w:sz w:val="28"/>
        </w:rPr>
        <w:t>genital</w:t>
      </w:r>
      <w:r>
        <w:rPr>
          <w:spacing w:val="-10"/>
          <w:sz w:val="28"/>
        </w:rPr>
        <w:t> </w:t>
      </w:r>
      <w:r>
        <w:rPr>
          <w:sz w:val="28"/>
        </w:rPr>
        <w:t>mutilation.</w:t>
      </w:r>
      <w:r>
        <w:rPr>
          <w:sz w:val="28"/>
          <w:vertAlign w:val="superscript"/>
        </w:rPr>
        <w:t>429</w:t>
      </w:r>
      <w:r>
        <w:rPr>
          <w:spacing w:val="-10"/>
          <w:sz w:val="28"/>
          <w:vertAlign w:val="baseline"/>
        </w:rPr>
        <w:t> </w:t>
      </w:r>
      <w:r>
        <w:rPr>
          <w:sz w:val="28"/>
          <w:vertAlign w:val="baseline"/>
        </w:rPr>
        <w:t>In</w:t>
      </w:r>
      <w:r>
        <w:rPr>
          <w:spacing w:val="-10"/>
          <w:sz w:val="28"/>
          <w:vertAlign w:val="baseline"/>
        </w:rPr>
        <w:t> </w:t>
      </w:r>
      <w:r>
        <w:rPr>
          <w:sz w:val="28"/>
          <w:vertAlign w:val="baseline"/>
        </w:rPr>
        <w:t>2021,</w:t>
      </w:r>
      <w:r>
        <w:rPr>
          <w:spacing w:val="-10"/>
          <w:sz w:val="28"/>
          <w:vertAlign w:val="baseline"/>
        </w:rPr>
        <w:t> </w:t>
      </w:r>
      <w:r>
        <w:rPr>
          <w:sz w:val="28"/>
          <w:vertAlign w:val="baseline"/>
        </w:rPr>
        <w:t>the</w:t>
      </w:r>
      <w:r>
        <w:rPr>
          <w:spacing w:val="-10"/>
          <w:sz w:val="28"/>
          <w:vertAlign w:val="baseline"/>
        </w:rPr>
        <w:t> </w:t>
      </w:r>
      <w:r>
        <w:rPr>
          <w:sz w:val="28"/>
          <w:vertAlign w:val="baseline"/>
        </w:rPr>
        <w:t>Department</w:t>
      </w:r>
      <w:r>
        <w:rPr>
          <w:spacing w:val="-10"/>
          <w:sz w:val="28"/>
          <w:vertAlign w:val="baseline"/>
        </w:rPr>
        <w:t> </w:t>
      </w:r>
      <w:r>
        <w:rPr>
          <w:sz w:val="28"/>
          <w:vertAlign w:val="baseline"/>
        </w:rPr>
        <w:t>of Health</w:t>
      </w:r>
      <w:r>
        <w:rPr>
          <w:spacing w:val="-3"/>
          <w:sz w:val="28"/>
          <w:vertAlign w:val="baseline"/>
        </w:rPr>
        <w:t> </w:t>
      </w:r>
      <w:r>
        <w:rPr>
          <w:sz w:val="28"/>
          <w:vertAlign w:val="baseline"/>
        </w:rPr>
        <w:t>was</w:t>
      </w:r>
      <w:r>
        <w:rPr>
          <w:spacing w:val="-3"/>
          <w:sz w:val="28"/>
          <w:vertAlign w:val="baseline"/>
        </w:rPr>
        <w:t> </w:t>
      </w:r>
      <w:r>
        <w:rPr>
          <w:sz w:val="28"/>
          <w:vertAlign w:val="baseline"/>
        </w:rPr>
        <w:t>revising</w:t>
      </w:r>
      <w:r>
        <w:rPr>
          <w:spacing w:val="-2"/>
          <w:sz w:val="28"/>
          <w:vertAlign w:val="baseline"/>
        </w:rPr>
        <w:t> </w:t>
      </w:r>
      <w:r>
        <w:rPr>
          <w:sz w:val="28"/>
          <w:vertAlign w:val="baseline"/>
        </w:rPr>
        <w:t>and</w:t>
      </w:r>
      <w:r>
        <w:rPr>
          <w:spacing w:val="-3"/>
          <w:sz w:val="28"/>
          <w:vertAlign w:val="baseline"/>
        </w:rPr>
        <w:t> </w:t>
      </w:r>
      <w:r>
        <w:rPr>
          <w:sz w:val="28"/>
          <w:vertAlign w:val="baseline"/>
        </w:rPr>
        <w:t>updating</w:t>
      </w:r>
      <w:r>
        <w:rPr>
          <w:spacing w:val="-2"/>
          <w:sz w:val="28"/>
          <w:vertAlign w:val="baseline"/>
        </w:rPr>
        <w:t> </w:t>
      </w:r>
      <w:r>
        <w:rPr>
          <w:sz w:val="28"/>
          <w:vertAlign w:val="baseline"/>
        </w:rPr>
        <w:t>multi-agency</w:t>
      </w:r>
      <w:r>
        <w:rPr>
          <w:spacing w:val="-2"/>
          <w:sz w:val="28"/>
          <w:vertAlign w:val="baseline"/>
        </w:rPr>
        <w:t> </w:t>
      </w:r>
      <w:r>
        <w:rPr>
          <w:sz w:val="28"/>
          <w:vertAlign w:val="baseline"/>
        </w:rPr>
        <w:t>guidelines</w:t>
      </w:r>
      <w:r>
        <w:rPr>
          <w:spacing w:val="-3"/>
          <w:sz w:val="28"/>
          <w:vertAlign w:val="baseline"/>
        </w:rPr>
        <w:t> </w:t>
      </w:r>
      <w:r>
        <w:rPr>
          <w:sz w:val="28"/>
          <w:vertAlign w:val="baseline"/>
        </w:rPr>
        <w:t>that</w:t>
      </w:r>
      <w:r>
        <w:rPr>
          <w:spacing w:val="-2"/>
          <w:sz w:val="28"/>
          <w:vertAlign w:val="baseline"/>
        </w:rPr>
        <w:t> </w:t>
      </w:r>
      <w:r>
        <w:rPr>
          <w:sz w:val="28"/>
          <w:vertAlign w:val="baseline"/>
        </w:rPr>
        <w:t>would</w:t>
      </w:r>
      <w:r>
        <w:rPr>
          <w:spacing w:val="-3"/>
          <w:sz w:val="28"/>
          <w:vertAlign w:val="baseline"/>
        </w:rPr>
        <w:t> </w:t>
      </w:r>
      <w:r>
        <w:rPr>
          <w:sz w:val="28"/>
          <w:vertAlign w:val="baseline"/>
        </w:rPr>
        <w:t>take</w:t>
      </w:r>
      <w:r>
        <w:rPr>
          <w:spacing w:val="-2"/>
          <w:sz w:val="28"/>
          <w:vertAlign w:val="baseline"/>
        </w:rPr>
        <w:t> </w:t>
      </w:r>
      <w:r>
        <w:rPr>
          <w:sz w:val="28"/>
          <w:vertAlign w:val="baseline"/>
        </w:rPr>
        <w:t>into account Female Genital Mutilation Protection Orders, new care pathways and a risk assessment tool.</w:t>
      </w:r>
      <w:r>
        <w:rPr>
          <w:sz w:val="28"/>
          <w:vertAlign w:val="superscript"/>
        </w:rPr>
        <w:t>430</w:t>
      </w:r>
      <w:r>
        <w:rPr>
          <w:sz w:val="28"/>
          <w:vertAlign w:val="baseline"/>
        </w:rPr>
        <w:t> In 2023, restructuring of the Department of Health delayed publication of this new guidance.</w:t>
      </w:r>
      <w:r>
        <w:rPr>
          <w:sz w:val="28"/>
          <w:vertAlign w:val="superscript"/>
        </w:rPr>
        <w:t>431</w:t>
      </w:r>
    </w:p>
    <w:p>
      <w:pPr>
        <w:pStyle w:val="ListParagraph"/>
        <w:numPr>
          <w:ilvl w:val="1"/>
          <w:numId w:val="7"/>
        </w:numPr>
        <w:tabs>
          <w:tab w:pos="1853" w:val="left" w:leader="none"/>
        </w:tabs>
        <w:spacing w:line="225" w:lineRule="auto" w:before="309" w:after="0"/>
        <w:ind w:left="1853" w:right="1375" w:hanging="720"/>
        <w:jc w:val="left"/>
        <w:rPr>
          <w:sz w:val="28"/>
        </w:rPr>
      </w:pPr>
      <w:r>
        <w:rPr>
          <w:sz w:val="28"/>
        </w:rPr>
        <w:t>The</w:t>
      </w:r>
      <w:r>
        <w:rPr>
          <w:spacing w:val="-10"/>
          <w:sz w:val="28"/>
        </w:rPr>
        <w:t> </w:t>
      </w:r>
      <w:r>
        <w:rPr>
          <w:sz w:val="28"/>
        </w:rPr>
        <w:t>Female</w:t>
      </w:r>
      <w:r>
        <w:rPr>
          <w:spacing w:val="-9"/>
          <w:sz w:val="28"/>
        </w:rPr>
        <w:t> </w:t>
      </w:r>
      <w:r>
        <w:rPr>
          <w:sz w:val="28"/>
        </w:rPr>
        <w:t>Genital</w:t>
      </w:r>
      <w:r>
        <w:rPr>
          <w:spacing w:val="-10"/>
          <w:sz w:val="28"/>
        </w:rPr>
        <w:t> </w:t>
      </w:r>
      <w:r>
        <w:rPr>
          <w:sz w:val="28"/>
        </w:rPr>
        <w:t>Mutilation</w:t>
      </w:r>
      <w:r>
        <w:rPr>
          <w:spacing w:val="-10"/>
          <w:sz w:val="28"/>
        </w:rPr>
        <w:t> </w:t>
      </w:r>
      <w:r>
        <w:rPr>
          <w:sz w:val="28"/>
        </w:rPr>
        <w:t>Protection</w:t>
      </w:r>
      <w:r>
        <w:rPr>
          <w:spacing w:val="-10"/>
          <w:sz w:val="28"/>
        </w:rPr>
        <w:t> </w:t>
      </w:r>
      <w:r>
        <w:rPr>
          <w:sz w:val="28"/>
        </w:rPr>
        <w:t>Order</w:t>
      </w:r>
      <w:r>
        <w:rPr>
          <w:spacing w:val="-9"/>
          <w:sz w:val="28"/>
        </w:rPr>
        <w:t> </w:t>
      </w:r>
      <w:r>
        <w:rPr>
          <w:sz w:val="28"/>
        </w:rPr>
        <w:t>(Relevant</w:t>
      </w:r>
      <w:r>
        <w:rPr>
          <w:spacing w:val="-9"/>
          <w:sz w:val="28"/>
        </w:rPr>
        <w:t> </w:t>
      </w:r>
      <w:r>
        <w:rPr>
          <w:sz w:val="28"/>
        </w:rPr>
        <w:t>Third</w:t>
      </w:r>
      <w:r>
        <w:rPr>
          <w:spacing w:val="-10"/>
          <w:sz w:val="28"/>
        </w:rPr>
        <w:t> </w:t>
      </w:r>
      <w:r>
        <w:rPr>
          <w:sz w:val="28"/>
        </w:rPr>
        <w:t>Party)</w:t>
      </w:r>
      <w:r>
        <w:rPr>
          <w:spacing w:val="-10"/>
          <w:sz w:val="28"/>
        </w:rPr>
        <w:t> </w:t>
      </w:r>
      <w:r>
        <w:rPr>
          <w:sz w:val="28"/>
        </w:rPr>
        <w:t>Order (NI) 2021 enables health and social care trusts in NI to obtain a third-party protection</w:t>
      </w:r>
      <w:r>
        <w:rPr>
          <w:spacing w:val="-6"/>
          <w:sz w:val="28"/>
        </w:rPr>
        <w:t> </w:t>
      </w:r>
      <w:r>
        <w:rPr>
          <w:sz w:val="28"/>
        </w:rPr>
        <w:t>order</w:t>
      </w:r>
      <w:r>
        <w:rPr>
          <w:spacing w:val="-5"/>
          <w:sz w:val="28"/>
        </w:rPr>
        <w:t> </w:t>
      </w:r>
      <w:r>
        <w:rPr>
          <w:sz w:val="28"/>
        </w:rPr>
        <w:t>without</w:t>
      </w:r>
      <w:r>
        <w:rPr>
          <w:spacing w:val="-5"/>
          <w:sz w:val="28"/>
        </w:rPr>
        <w:t> </w:t>
      </w:r>
      <w:r>
        <w:rPr>
          <w:sz w:val="28"/>
        </w:rPr>
        <w:t>the</w:t>
      </w:r>
      <w:r>
        <w:rPr>
          <w:spacing w:val="-5"/>
          <w:sz w:val="28"/>
        </w:rPr>
        <w:t> </w:t>
      </w:r>
      <w:r>
        <w:rPr>
          <w:sz w:val="28"/>
        </w:rPr>
        <w:t>need</w:t>
      </w:r>
      <w:r>
        <w:rPr>
          <w:spacing w:val="-6"/>
          <w:sz w:val="28"/>
        </w:rPr>
        <w:t> </w:t>
      </w:r>
      <w:r>
        <w:rPr>
          <w:sz w:val="28"/>
        </w:rPr>
        <w:t>to</w:t>
      </w:r>
      <w:r>
        <w:rPr>
          <w:spacing w:val="-6"/>
          <w:sz w:val="28"/>
        </w:rPr>
        <w:t> </w:t>
      </w:r>
      <w:r>
        <w:rPr>
          <w:sz w:val="28"/>
        </w:rPr>
        <w:t>seek</w:t>
      </w:r>
      <w:r>
        <w:rPr>
          <w:spacing w:val="-5"/>
          <w:sz w:val="28"/>
        </w:rPr>
        <w:t> </w:t>
      </w:r>
      <w:r>
        <w:rPr>
          <w:sz w:val="28"/>
        </w:rPr>
        <w:t>the</w:t>
      </w:r>
      <w:r>
        <w:rPr>
          <w:spacing w:val="-5"/>
          <w:sz w:val="28"/>
        </w:rPr>
        <w:t> </w:t>
      </w:r>
      <w:r>
        <w:rPr>
          <w:sz w:val="28"/>
        </w:rPr>
        <w:t>leave</w:t>
      </w:r>
      <w:r>
        <w:rPr>
          <w:spacing w:val="-5"/>
          <w:sz w:val="28"/>
        </w:rPr>
        <w:t> </w:t>
      </w:r>
      <w:r>
        <w:rPr>
          <w:sz w:val="28"/>
        </w:rPr>
        <w:t>of</w:t>
      </w:r>
      <w:r>
        <w:rPr>
          <w:spacing w:val="-6"/>
          <w:sz w:val="28"/>
        </w:rPr>
        <w:t> </w:t>
      </w:r>
      <w:r>
        <w:rPr>
          <w:sz w:val="28"/>
        </w:rPr>
        <w:t>a</w:t>
      </w:r>
      <w:r>
        <w:rPr>
          <w:spacing w:val="-6"/>
          <w:sz w:val="28"/>
        </w:rPr>
        <w:t> </w:t>
      </w:r>
      <w:r>
        <w:rPr>
          <w:sz w:val="28"/>
        </w:rPr>
        <w:t>court.</w:t>
      </w:r>
      <w:r>
        <w:rPr>
          <w:spacing w:val="-6"/>
          <w:sz w:val="28"/>
        </w:rPr>
        <w:t> </w:t>
      </w:r>
      <w:r>
        <w:rPr>
          <w:sz w:val="28"/>
        </w:rPr>
        <w:t>It</w:t>
      </w:r>
      <w:r>
        <w:rPr>
          <w:spacing w:val="-5"/>
          <w:sz w:val="28"/>
        </w:rPr>
        <w:t> </w:t>
      </w:r>
      <w:r>
        <w:rPr>
          <w:sz w:val="28"/>
        </w:rPr>
        <w:t>is</w:t>
      </w:r>
      <w:r>
        <w:rPr>
          <w:spacing w:val="-6"/>
          <w:sz w:val="28"/>
        </w:rPr>
        <w:t> </w:t>
      </w:r>
      <w:r>
        <w:rPr>
          <w:sz w:val="28"/>
        </w:rPr>
        <w:t>intended to speed up the process of obtaining a protection order.</w:t>
      </w:r>
      <w:r>
        <w:rPr>
          <w:sz w:val="28"/>
          <w:vertAlign w:val="superscript"/>
        </w:rPr>
        <w:t>432</w:t>
      </w:r>
      <w:r>
        <w:rPr>
          <w:sz w:val="28"/>
          <w:vertAlign w:val="baseline"/>
        </w:rPr>
        <w:t> In March 2024,</w:t>
      </w:r>
      <w:r>
        <w:rPr>
          <w:sz w:val="28"/>
          <w:vertAlign w:val="baseline"/>
        </w:rPr>
        <w:t> an amendment to Article 8(4) of the Children (NI) Order 1995 to allow proceedings</w:t>
      </w:r>
      <w:r>
        <w:rPr>
          <w:spacing w:val="-4"/>
          <w:sz w:val="28"/>
          <w:vertAlign w:val="baseline"/>
        </w:rPr>
        <w:t> </w:t>
      </w:r>
      <w:r>
        <w:rPr>
          <w:sz w:val="28"/>
          <w:vertAlign w:val="baseline"/>
        </w:rPr>
        <w:t>for</w:t>
      </w:r>
      <w:r>
        <w:rPr>
          <w:spacing w:val="-3"/>
          <w:sz w:val="28"/>
          <w:vertAlign w:val="baseline"/>
        </w:rPr>
        <w:t> </w:t>
      </w:r>
      <w:r>
        <w:rPr>
          <w:sz w:val="28"/>
          <w:vertAlign w:val="baseline"/>
        </w:rPr>
        <w:t>Female</w:t>
      </w:r>
      <w:r>
        <w:rPr>
          <w:spacing w:val="-3"/>
          <w:sz w:val="28"/>
          <w:vertAlign w:val="baseline"/>
        </w:rPr>
        <w:t> </w:t>
      </w:r>
      <w:r>
        <w:rPr>
          <w:sz w:val="28"/>
          <w:vertAlign w:val="baseline"/>
        </w:rPr>
        <w:t>Genital</w:t>
      </w:r>
      <w:r>
        <w:rPr>
          <w:spacing w:val="-4"/>
          <w:sz w:val="28"/>
          <w:vertAlign w:val="baseline"/>
        </w:rPr>
        <w:t> </w:t>
      </w:r>
      <w:r>
        <w:rPr>
          <w:sz w:val="28"/>
          <w:vertAlign w:val="baseline"/>
        </w:rPr>
        <w:t>Mutilation</w:t>
      </w:r>
      <w:r>
        <w:rPr>
          <w:spacing w:val="-4"/>
          <w:sz w:val="28"/>
          <w:vertAlign w:val="baseline"/>
        </w:rPr>
        <w:t> </w:t>
      </w:r>
      <w:r>
        <w:rPr>
          <w:sz w:val="28"/>
          <w:vertAlign w:val="baseline"/>
        </w:rPr>
        <w:t>Protection</w:t>
      </w:r>
      <w:r>
        <w:rPr>
          <w:spacing w:val="-4"/>
          <w:sz w:val="28"/>
          <w:vertAlign w:val="baseline"/>
        </w:rPr>
        <w:t> </w:t>
      </w:r>
      <w:r>
        <w:rPr>
          <w:sz w:val="28"/>
          <w:vertAlign w:val="baseline"/>
        </w:rPr>
        <w:t>Orders</w:t>
      </w:r>
      <w:r>
        <w:rPr>
          <w:spacing w:val="-4"/>
          <w:sz w:val="28"/>
          <w:vertAlign w:val="baseline"/>
        </w:rPr>
        <w:t> </w:t>
      </w:r>
      <w:r>
        <w:rPr>
          <w:sz w:val="28"/>
          <w:vertAlign w:val="baseline"/>
        </w:rPr>
        <w:t>to</w:t>
      </w:r>
      <w:r>
        <w:rPr>
          <w:spacing w:val="-4"/>
          <w:sz w:val="28"/>
          <w:vertAlign w:val="baseline"/>
        </w:rPr>
        <w:t> </w:t>
      </w:r>
      <w:r>
        <w:rPr>
          <w:sz w:val="28"/>
          <w:vertAlign w:val="baseline"/>
        </w:rPr>
        <w:t>be</w:t>
      </w:r>
      <w:r>
        <w:rPr>
          <w:spacing w:val="-3"/>
          <w:sz w:val="28"/>
          <w:vertAlign w:val="baseline"/>
        </w:rPr>
        <w:t> </w:t>
      </w:r>
      <w:r>
        <w:rPr>
          <w:sz w:val="28"/>
          <w:vertAlign w:val="baseline"/>
        </w:rPr>
        <w:t>classified</w:t>
      </w:r>
    </w:p>
    <w:p>
      <w:pPr>
        <w:pStyle w:val="BodyText"/>
        <w:spacing w:line="318" w:lineRule="exact"/>
        <w:ind w:left="1853"/>
      </w:pPr>
      <w:r>
        <w:rPr/>
        <w:t>as</w:t>
      </w:r>
      <w:r>
        <w:rPr>
          <w:spacing w:val="-8"/>
        </w:rPr>
        <w:t> </w:t>
      </w:r>
      <w:r>
        <w:rPr/>
        <w:t>family</w:t>
      </w:r>
      <w:r>
        <w:rPr>
          <w:spacing w:val="-5"/>
        </w:rPr>
        <w:t> </w:t>
      </w:r>
      <w:r>
        <w:rPr/>
        <w:t>proceedings</w:t>
      </w:r>
      <w:r>
        <w:rPr>
          <w:spacing w:val="-6"/>
        </w:rPr>
        <w:t> </w:t>
      </w:r>
      <w:r>
        <w:rPr/>
        <w:t>was</w:t>
      </w:r>
      <w:r>
        <w:rPr>
          <w:spacing w:val="-5"/>
        </w:rPr>
        <w:t> </w:t>
      </w:r>
      <w:r>
        <w:rPr/>
        <w:t>laid</w:t>
      </w:r>
      <w:r>
        <w:rPr>
          <w:spacing w:val="-6"/>
        </w:rPr>
        <w:t> </w:t>
      </w:r>
      <w:r>
        <w:rPr/>
        <w:t>and</w:t>
      </w:r>
      <w:r>
        <w:rPr>
          <w:spacing w:val="-6"/>
        </w:rPr>
        <w:t> </w:t>
      </w:r>
      <w:r>
        <w:rPr/>
        <w:t>was</w:t>
      </w:r>
      <w:r>
        <w:rPr>
          <w:spacing w:val="-5"/>
        </w:rPr>
        <w:t> </w:t>
      </w:r>
      <w:r>
        <w:rPr/>
        <w:t>due</w:t>
      </w:r>
      <w:r>
        <w:rPr>
          <w:spacing w:val="-5"/>
        </w:rPr>
        <w:t> </w:t>
      </w:r>
      <w:r>
        <w:rPr/>
        <w:t>to</w:t>
      </w:r>
      <w:r>
        <w:rPr>
          <w:spacing w:val="-6"/>
        </w:rPr>
        <w:t> </w:t>
      </w:r>
      <w:r>
        <w:rPr/>
        <w:t>enter</w:t>
      </w:r>
      <w:r>
        <w:rPr>
          <w:spacing w:val="-5"/>
        </w:rPr>
        <w:t> </w:t>
      </w:r>
      <w:r>
        <w:rPr/>
        <w:t>into</w:t>
      </w:r>
      <w:r>
        <w:rPr>
          <w:spacing w:val="-5"/>
        </w:rPr>
        <w:t> </w:t>
      </w:r>
      <w:r>
        <w:rPr/>
        <w:t>force</w:t>
      </w:r>
      <w:r>
        <w:rPr>
          <w:spacing w:val="-5"/>
        </w:rPr>
        <w:t> </w:t>
      </w:r>
      <w:r>
        <w:rPr/>
        <w:t>in</w:t>
      </w:r>
      <w:r>
        <w:rPr>
          <w:spacing w:val="-6"/>
        </w:rPr>
        <w:t> </w:t>
      </w:r>
      <w:r>
        <w:rPr/>
        <w:t>April</w:t>
      </w:r>
      <w:r>
        <w:rPr>
          <w:spacing w:val="-5"/>
        </w:rPr>
        <w:t> </w:t>
      </w:r>
      <w:r>
        <w:rPr>
          <w:spacing w:val="-2"/>
        </w:rPr>
        <w:t>2024.</w:t>
      </w:r>
      <w:r>
        <w:rPr>
          <w:spacing w:val="-2"/>
          <w:vertAlign w:val="superscript"/>
        </w:rPr>
        <w:t>433</w:t>
      </w:r>
    </w:p>
    <w:p>
      <w:pPr>
        <w:pStyle w:val="BodyText"/>
        <w:spacing w:before="3"/>
        <w:rPr>
          <w:sz w:val="17"/>
        </w:rPr>
      </w:pPr>
      <w:r>
        <w:rPr/>
        <mc:AlternateContent>
          <mc:Choice Requires="wps">
            <w:drawing>
              <wp:anchor distT="0" distB="0" distL="0" distR="0" allowOverlap="1" layoutInCell="1" locked="0" behindDoc="1" simplePos="0" relativeHeight="487673856">
                <wp:simplePos x="0" y="0"/>
                <wp:positionH relativeFrom="page">
                  <wp:posOffset>720001</wp:posOffset>
                </wp:positionH>
                <wp:positionV relativeFrom="paragraph">
                  <wp:posOffset>149374</wp:posOffset>
                </wp:positionV>
                <wp:extent cx="6120130" cy="360045"/>
                <wp:effectExtent l="0" t="0" r="0" b="0"/>
                <wp:wrapTopAndBottom/>
                <wp:docPr id="364" name="Textbox 364"/>
                <wp:cNvGraphicFramePr>
                  <a:graphicFrameLocks/>
                </wp:cNvGraphicFramePr>
                <a:graphic>
                  <a:graphicData uri="http://schemas.microsoft.com/office/word/2010/wordprocessingShape">
                    <wps:wsp>
                      <wps:cNvPr id="364" name="Textbox 364"/>
                      <wps:cNvSpPr txBox="1"/>
                      <wps:spPr>
                        <a:xfrm>
                          <a:off x="0" y="0"/>
                          <a:ext cx="6120130" cy="360045"/>
                        </a:xfrm>
                        <a:prstGeom prst="rect">
                          <a:avLst/>
                        </a:prstGeom>
                        <a:solidFill>
                          <a:srgbClr val="393B7F"/>
                        </a:solidFill>
                      </wps:spPr>
                      <wps:txbx>
                        <w:txbxContent>
                          <w:p>
                            <w:pPr>
                              <w:spacing w:before="103"/>
                              <w:ind w:left="783"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11.761773pt;width:481.9pt;height:28.35pt;mso-position-horizontal-relative:page;mso-position-vertical-relative:paragraph;z-index:-15642624;mso-wrap-distance-left:0;mso-wrap-distance-right:0" type="#_x0000_t202" id="docshape314" filled="true" fillcolor="#393b7f" stroked="false">
                <v:textbox inset="0,0,0,0">
                  <w:txbxContent>
                    <w:p>
                      <w:pPr>
                        <w:spacing w:before="103"/>
                        <w:ind w:left="783"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312" w:after="0"/>
        <w:ind w:left="1853" w:right="1575" w:hanging="720"/>
        <w:jc w:val="left"/>
        <w:rPr>
          <w:b/>
          <w:color w:val="67287F"/>
          <w:sz w:val="28"/>
        </w:rPr>
      </w:pPr>
      <w:r>
        <w:rPr>
          <w:b/>
          <w:color w:val="67287F"/>
          <w:sz w:val="28"/>
        </w:rPr>
        <w:t>The NIHRC recommends the Department of Justice and Department of Health implement a prevention strategy and action plan, which includes increasing efforts to raise awareness, particularly within affected communities,</w:t>
      </w:r>
      <w:r>
        <w:rPr>
          <w:b/>
          <w:color w:val="67287F"/>
          <w:spacing w:val="-6"/>
          <w:sz w:val="28"/>
        </w:rPr>
        <w:t> </w:t>
      </w:r>
      <w:r>
        <w:rPr>
          <w:b/>
          <w:color w:val="67287F"/>
          <w:sz w:val="28"/>
        </w:rPr>
        <w:t>that</w:t>
      </w:r>
      <w:r>
        <w:rPr>
          <w:b/>
          <w:color w:val="67287F"/>
          <w:spacing w:val="-6"/>
          <w:sz w:val="28"/>
        </w:rPr>
        <w:t> </w:t>
      </w:r>
      <w:r>
        <w:rPr>
          <w:b/>
          <w:color w:val="67287F"/>
          <w:sz w:val="28"/>
        </w:rPr>
        <w:t>female</w:t>
      </w:r>
      <w:r>
        <w:rPr>
          <w:b/>
          <w:color w:val="67287F"/>
          <w:spacing w:val="-7"/>
          <w:sz w:val="28"/>
        </w:rPr>
        <w:t> </w:t>
      </w:r>
      <w:r>
        <w:rPr>
          <w:b/>
          <w:color w:val="67287F"/>
          <w:sz w:val="28"/>
        </w:rPr>
        <w:t>genital</w:t>
      </w:r>
      <w:r>
        <w:rPr>
          <w:b/>
          <w:color w:val="67287F"/>
          <w:spacing w:val="-6"/>
          <w:sz w:val="28"/>
        </w:rPr>
        <w:t> </w:t>
      </w:r>
      <w:r>
        <w:rPr>
          <w:b/>
          <w:color w:val="67287F"/>
          <w:sz w:val="28"/>
        </w:rPr>
        <w:t>mutilation</w:t>
      </w:r>
      <w:r>
        <w:rPr>
          <w:b/>
          <w:color w:val="67287F"/>
          <w:spacing w:val="-6"/>
          <w:sz w:val="28"/>
        </w:rPr>
        <w:t> </w:t>
      </w:r>
      <w:r>
        <w:rPr>
          <w:b/>
          <w:color w:val="67287F"/>
          <w:sz w:val="28"/>
        </w:rPr>
        <w:t>is</w:t>
      </w:r>
      <w:r>
        <w:rPr>
          <w:b/>
          <w:color w:val="67287F"/>
          <w:spacing w:val="-6"/>
          <w:sz w:val="28"/>
        </w:rPr>
        <w:t> </w:t>
      </w:r>
      <w:r>
        <w:rPr>
          <w:b/>
          <w:color w:val="67287F"/>
          <w:sz w:val="28"/>
        </w:rPr>
        <w:t>a</w:t>
      </w:r>
      <w:r>
        <w:rPr>
          <w:b/>
          <w:color w:val="67287F"/>
          <w:spacing w:val="-6"/>
          <w:sz w:val="28"/>
        </w:rPr>
        <w:t> </w:t>
      </w:r>
      <w:r>
        <w:rPr>
          <w:b/>
          <w:color w:val="67287F"/>
          <w:sz w:val="28"/>
        </w:rPr>
        <w:t>form</w:t>
      </w:r>
      <w:r>
        <w:rPr>
          <w:b/>
          <w:color w:val="67287F"/>
          <w:spacing w:val="-7"/>
          <w:sz w:val="28"/>
        </w:rPr>
        <w:t> </w:t>
      </w:r>
      <w:r>
        <w:rPr>
          <w:b/>
          <w:color w:val="67287F"/>
          <w:sz w:val="28"/>
        </w:rPr>
        <w:t>of</w:t>
      </w:r>
      <w:r>
        <w:rPr>
          <w:b/>
          <w:color w:val="67287F"/>
          <w:spacing w:val="-7"/>
          <w:sz w:val="28"/>
        </w:rPr>
        <w:t> </w:t>
      </w:r>
      <w:r>
        <w:rPr>
          <w:b/>
          <w:color w:val="67287F"/>
          <w:sz w:val="28"/>
        </w:rPr>
        <w:t>both</w:t>
      </w:r>
      <w:r>
        <w:rPr>
          <w:b/>
          <w:color w:val="67287F"/>
          <w:spacing w:val="-6"/>
          <w:sz w:val="28"/>
        </w:rPr>
        <w:t> </w:t>
      </w:r>
      <w:r>
        <w:rPr>
          <w:b/>
          <w:color w:val="67287F"/>
          <w:sz w:val="28"/>
        </w:rPr>
        <w:t>child</w:t>
      </w:r>
      <w:r>
        <w:rPr>
          <w:b/>
          <w:color w:val="67287F"/>
          <w:spacing w:val="-6"/>
          <w:sz w:val="28"/>
        </w:rPr>
        <w:t> </w:t>
      </w:r>
      <w:r>
        <w:rPr>
          <w:b/>
          <w:color w:val="67287F"/>
          <w:sz w:val="28"/>
        </w:rPr>
        <w:t>abuse and gender-based violence against women and girls.</w:t>
      </w:r>
    </w:p>
    <w:p>
      <w:pPr>
        <w:pStyle w:val="ListParagraph"/>
        <w:numPr>
          <w:ilvl w:val="1"/>
          <w:numId w:val="7"/>
        </w:numPr>
        <w:tabs>
          <w:tab w:pos="1853" w:val="left" w:leader="none"/>
        </w:tabs>
        <w:spacing w:line="225" w:lineRule="auto" w:before="314" w:after="0"/>
        <w:ind w:left="1853" w:right="1206" w:hanging="720"/>
        <w:jc w:val="left"/>
        <w:rPr>
          <w:b/>
          <w:color w:val="67287F"/>
          <w:sz w:val="28"/>
        </w:rPr>
      </w:pPr>
      <w:r>
        <w:rPr>
          <w:b/>
          <w:color w:val="67287F"/>
          <w:sz w:val="28"/>
        </w:rPr>
        <w:t>The NIHRC recommends that the Department of Justice and Department of Health</w:t>
      </w:r>
      <w:r>
        <w:rPr>
          <w:b/>
          <w:color w:val="67287F"/>
          <w:spacing w:val="-7"/>
          <w:sz w:val="28"/>
        </w:rPr>
        <w:t> </w:t>
      </w:r>
      <w:r>
        <w:rPr>
          <w:b/>
          <w:color w:val="67287F"/>
          <w:sz w:val="28"/>
        </w:rPr>
        <w:t>ensure</w:t>
      </w:r>
      <w:r>
        <w:rPr>
          <w:b/>
          <w:color w:val="67287F"/>
          <w:spacing w:val="-8"/>
          <w:sz w:val="28"/>
        </w:rPr>
        <w:t> </w:t>
      </w:r>
      <w:r>
        <w:rPr>
          <w:b/>
          <w:color w:val="67287F"/>
          <w:sz w:val="28"/>
        </w:rPr>
        <w:t>that</w:t>
      </w:r>
      <w:r>
        <w:rPr>
          <w:b/>
          <w:color w:val="67287F"/>
          <w:spacing w:val="-7"/>
          <w:sz w:val="28"/>
        </w:rPr>
        <w:t> </w:t>
      </w:r>
      <w:r>
        <w:rPr>
          <w:b/>
          <w:color w:val="67287F"/>
          <w:sz w:val="28"/>
        </w:rPr>
        <w:t>all</w:t>
      </w:r>
      <w:r>
        <w:rPr>
          <w:b/>
          <w:color w:val="67287F"/>
          <w:spacing w:val="-7"/>
          <w:sz w:val="28"/>
        </w:rPr>
        <w:t> </w:t>
      </w:r>
      <w:r>
        <w:rPr>
          <w:b/>
          <w:color w:val="67287F"/>
          <w:sz w:val="28"/>
        </w:rPr>
        <w:t>legislative</w:t>
      </w:r>
      <w:r>
        <w:rPr>
          <w:b/>
          <w:color w:val="67287F"/>
          <w:spacing w:val="-8"/>
          <w:sz w:val="28"/>
        </w:rPr>
        <w:t> </w:t>
      </w:r>
      <w:r>
        <w:rPr>
          <w:b/>
          <w:color w:val="67287F"/>
          <w:sz w:val="28"/>
        </w:rPr>
        <w:t>and</w:t>
      </w:r>
      <w:r>
        <w:rPr>
          <w:b/>
          <w:color w:val="67287F"/>
          <w:spacing w:val="-7"/>
          <w:sz w:val="28"/>
        </w:rPr>
        <w:t> </w:t>
      </w:r>
      <w:r>
        <w:rPr>
          <w:b/>
          <w:color w:val="67287F"/>
          <w:sz w:val="28"/>
        </w:rPr>
        <w:t>policy</w:t>
      </w:r>
      <w:r>
        <w:rPr>
          <w:b/>
          <w:color w:val="67287F"/>
          <w:spacing w:val="-7"/>
          <w:sz w:val="28"/>
        </w:rPr>
        <w:t> </w:t>
      </w:r>
      <w:r>
        <w:rPr>
          <w:b/>
          <w:color w:val="67287F"/>
          <w:sz w:val="28"/>
        </w:rPr>
        <w:t>developments</w:t>
      </w:r>
      <w:r>
        <w:rPr>
          <w:b/>
          <w:color w:val="67287F"/>
          <w:spacing w:val="-7"/>
          <w:sz w:val="28"/>
        </w:rPr>
        <w:t> </w:t>
      </w:r>
      <w:r>
        <w:rPr>
          <w:b/>
          <w:color w:val="67287F"/>
          <w:sz w:val="28"/>
        </w:rPr>
        <w:t>to</w:t>
      </w:r>
      <w:r>
        <w:rPr>
          <w:b/>
          <w:color w:val="67287F"/>
          <w:spacing w:val="-7"/>
          <w:sz w:val="28"/>
        </w:rPr>
        <w:t> </w:t>
      </w:r>
      <w:r>
        <w:rPr>
          <w:b/>
          <w:color w:val="67287F"/>
          <w:sz w:val="28"/>
        </w:rPr>
        <w:t>prevent</w:t>
      </w:r>
      <w:r>
        <w:rPr>
          <w:b/>
          <w:color w:val="67287F"/>
          <w:spacing w:val="-7"/>
          <w:sz w:val="28"/>
        </w:rPr>
        <w:t> </w:t>
      </w:r>
      <w:r>
        <w:rPr>
          <w:b/>
          <w:color w:val="67287F"/>
          <w:sz w:val="28"/>
        </w:rPr>
        <w:t>female genital mutilation and support victims, including the Domestic and Sexual</w:t>
      </w:r>
    </w:p>
    <w:p>
      <w:pPr>
        <w:pStyle w:val="BodyText"/>
        <w:rPr>
          <w:b/>
          <w:sz w:val="14"/>
        </w:rPr>
      </w:pPr>
      <w:r>
        <w:rPr/>
        <mc:AlternateContent>
          <mc:Choice Requires="wps">
            <w:drawing>
              <wp:anchor distT="0" distB="0" distL="0" distR="0" allowOverlap="1" layoutInCell="1" locked="0" behindDoc="1" simplePos="0" relativeHeight="487674368">
                <wp:simplePos x="0" y="0"/>
                <wp:positionH relativeFrom="page">
                  <wp:posOffset>719996</wp:posOffset>
                </wp:positionH>
                <wp:positionV relativeFrom="paragraph">
                  <wp:posOffset>124311</wp:posOffset>
                </wp:positionV>
                <wp:extent cx="6120130" cy="1270"/>
                <wp:effectExtent l="0" t="0" r="0" b="0"/>
                <wp:wrapTopAndBottom/>
                <wp:docPr id="365" name="Graphic 365"/>
                <wp:cNvGraphicFramePr>
                  <a:graphicFrameLocks/>
                </wp:cNvGraphicFramePr>
                <a:graphic>
                  <a:graphicData uri="http://schemas.microsoft.com/office/word/2010/wordprocessingShape">
                    <wps:wsp>
                      <wps:cNvPr id="365" name="Graphic 36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9.788275pt;width:481.9pt;height:.1pt;mso-position-horizontal-relative:page;mso-position-vertical-relative:paragraph;z-index:-15642112;mso-wrap-distance-left:0;mso-wrap-distance-right:0" id="docshape315" coordorigin="1134,196" coordsize="9638,0" path="m10772,196l1134,196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35" w:lineRule="auto" w:before="145" w:after="0"/>
        <w:ind w:left="1853" w:right="1372" w:hanging="720"/>
        <w:jc w:val="left"/>
        <w:rPr>
          <w:sz w:val="18"/>
        </w:rPr>
      </w:pPr>
      <w:r>
        <w:rPr>
          <w:sz w:val="18"/>
        </w:rPr>
        <w:t>Recitals</w:t>
      </w:r>
      <w:r>
        <w:rPr>
          <w:spacing w:val="-5"/>
          <w:sz w:val="18"/>
        </w:rPr>
        <w:t> </w:t>
      </w:r>
      <w:r>
        <w:rPr>
          <w:sz w:val="18"/>
        </w:rPr>
        <w:t>17</w:t>
      </w:r>
      <w:r>
        <w:rPr>
          <w:spacing w:val="-4"/>
          <w:sz w:val="18"/>
        </w:rPr>
        <w:t> </w:t>
      </w:r>
      <w:r>
        <w:rPr>
          <w:sz w:val="18"/>
        </w:rPr>
        <w:t>and</w:t>
      </w:r>
      <w:r>
        <w:rPr>
          <w:spacing w:val="-5"/>
          <w:sz w:val="18"/>
        </w:rPr>
        <w:t> </w:t>
      </w:r>
      <w:r>
        <w:rPr>
          <w:sz w:val="18"/>
        </w:rPr>
        <w:t>21,</w:t>
      </w:r>
      <w:r>
        <w:rPr>
          <w:spacing w:val="-4"/>
          <w:sz w:val="18"/>
        </w:rPr>
        <w:t> </w:t>
      </w:r>
      <w:r>
        <w:rPr>
          <w:sz w:val="18"/>
        </w:rPr>
        <w:t>Directive</w:t>
      </w:r>
      <w:r>
        <w:rPr>
          <w:spacing w:val="-4"/>
          <w:sz w:val="18"/>
        </w:rPr>
        <w:t> </w:t>
      </w:r>
      <w:r>
        <w:rPr>
          <w:sz w:val="18"/>
        </w:rPr>
        <w:t>2012/29/EU,</w:t>
      </w:r>
      <w:r>
        <w:rPr>
          <w:spacing w:val="-4"/>
          <w:sz w:val="18"/>
        </w:rPr>
        <w:t> </w:t>
      </w:r>
      <w:r>
        <w:rPr>
          <w:sz w:val="18"/>
        </w:rPr>
        <w:t>‘EU</w:t>
      </w:r>
      <w:r>
        <w:rPr>
          <w:spacing w:val="-4"/>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Directive</w:t>
      </w:r>
      <w:r>
        <w:rPr>
          <w:spacing w:val="-4"/>
          <w:sz w:val="18"/>
        </w:rPr>
        <w:t> </w:t>
      </w:r>
      <w:r>
        <w:rPr>
          <w:sz w:val="18"/>
        </w:rPr>
        <w:t>Establishing</w:t>
      </w:r>
      <w:r>
        <w:rPr>
          <w:spacing w:val="-4"/>
          <w:sz w:val="18"/>
        </w:rPr>
        <w:t> </w:t>
      </w:r>
      <w:r>
        <w:rPr>
          <w:sz w:val="18"/>
        </w:rPr>
        <w:t>Minimum</w:t>
      </w:r>
      <w:r>
        <w:rPr>
          <w:spacing w:val="-4"/>
          <w:sz w:val="18"/>
        </w:rPr>
        <w:t> </w:t>
      </w:r>
      <w:r>
        <w:rPr>
          <w:sz w:val="18"/>
        </w:rPr>
        <w:t>Standards</w:t>
      </w:r>
      <w:r>
        <w:rPr>
          <w:spacing w:val="-5"/>
          <w:sz w:val="18"/>
        </w:rPr>
        <w:t> </w:t>
      </w:r>
      <w:r>
        <w:rPr>
          <w:sz w:val="18"/>
        </w:rPr>
        <w:t>on</w:t>
      </w:r>
      <w:r>
        <w:rPr>
          <w:spacing w:val="-5"/>
          <w:sz w:val="18"/>
        </w:rPr>
        <w:t> </w:t>
      </w:r>
      <w:r>
        <w:rPr>
          <w:sz w:val="18"/>
        </w:rPr>
        <w:t>the Rights, Support and Protection of Victims of Crime’, 25 October 2012.</w:t>
      </w:r>
    </w:p>
    <w:p>
      <w:pPr>
        <w:pStyle w:val="ListParagraph"/>
        <w:numPr>
          <w:ilvl w:val="0"/>
          <w:numId w:val="9"/>
        </w:numPr>
        <w:tabs>
          <w:tab w:pos="1853" w:val="left" w:leader="none"/>
        </w:tabs>
        <w:spacing w:line="235" w:lineRule="auto" w:before="1" w:after="0"/>
        <w:ind w:left="1853" w:right="1341" w:hanging="720"/>
        <w:jc w:val="left"/>
        <w:rPr>
          <w:sz w:val="18"/>
        </w:rPr>
      </w:pPr>
      <w:r>
        <w:rPr>
          <w:sz w:val="18"/>
        </w:rPr>
        <w:t>CRC/C/GBR/CO/6-7,</w:t>
      </w:r>
      <w:r>
        <w:rPr>
          <w:spacing w:val="-5"/>
          <w:sz w:val="18"/>
        </w:rPr>
        <w:t> </w:t>
      </w:r>
      <w:r>
        <w:rPr>
          <w:sz w:val="18"/>
        </w:rPr>
        <w:t>‘UN</w:t>
      </w:r>
      <w:r>
        <w:rPr>
          <w:spacing w:val="-5"/>
          <w:sz w:val="18"/>
        </w:rPr>
        <w:t> </w:t>
      </w:r>
      <w:r>
        <w:rPr>
          <w:sz w:val="18"/>
        </w:rPr>
        <w:t>CRC</w:t>
      </w:r>
      <w:r>
        <w:rPr>
          <w:spacing w:val="-5"/>
          <w:sz w:val="18"/>
        </w:rPr>
        <w:t> </w:t>
      </w:r>
      <w:r>
        <w:rPr>
          <w:sz w:val="18"/>
        </w:rPr>
        <w:t>Committee</w:t>
      </w:r>
      <w:r>
        <w:rPr>
          <w:spacing w:val="-5"/>
          <w:sz w:val="18"/>
        </w:rPr>
        <w:t> </w:t>
      </w:r>
      <w:r>
        <w:rPr>
          <w:sz w:val="18"/>
        </w:rPr>
        <w:t>Concluding</w:t>
      </w:r>
      <w:r>
        <w:rPr>
          <w:spacing w:val="-5"/>
          <w:sz w:val="18"/>
        </w:rPr>
        <w:t> </w:t>
      </w:r>
      <w:r>
        <w:rPr>
          <w:sz w:val="18"/>
        </w:rPr>
        <w:t>Observations</w:t>
      </w:r>
      <w:r>
        <w:rPr>
          <w:spacing w:val="-5"/>
          <w:sz w:val="18"/>
        </w:rPr>
        <w:t> </w:t>
      </w:r>
      <w:r>
        <w:rPr>
          <w:sz w:val="18"/>
        </w:rPr>
        <w:t>on</w:t>
      </w:r>
      <w:r>
        <w:rPr>
          <w:spacing w:val="-5"/>
          <w:sz w:val="18"/>
        </w:rPr>
        <w:t> </w:t>
      </w:r>
      <w:r>
        <w:rPr>
          <w:sz w:val="18"/>
        </w:rPr>
        <w:t>the</w:t>
      </w:r>
      <w:r>
        <w:rPr>
          <w:spacing w:val="-5"/>
          <w:sz w:val="18"/>
        </w:rPr>
        <w:t> </w:t>
      </w:r>
      <w:r>
        <w:rPr>
          <w:sz w:val="18"/>
        </w:rPr>
        <w:t>Combined</w:t>
      </w:r>
      <w:r>
        <w:rPr>
          <w:spacing w:val="-5"/>
          <w:sz w:val="18"/>
        </w:rPr>
        <w:t> </w:t>
      </w:r>
      <w:r>
        <w:rPr>
          <w:sz w:val="18"/>
        </w:rPr>
        <w:t>Sixth</w:t>
      </w:r>
      <w:r>
        <w:rPr>
          <w:spacing w:val="-5"/>
          <w:sz w:val="18"/>
        </w:rPr>
        <w:t> </w:t>
      </w:r>
      <w:r>
        <w:rPr>
          <w:sz w:val="18"/>
        </w:rPr>
        <w:t>and</w:t>
      </w:r>
      <w:r>
        <w:rPr>
          <w:spacing w:val="-5"/>
          <w:sz w:val="18"/>
        </w:rPr>
        <w:t> </w:t>
      </w:r>
      <w:r>
        <w:rPr>
          <w:sz w:val="18"/>
        </w:rPr>
        <w:t>Seventh</w:t>
      </w:r>
      <w:r>
        <w:rPr>
          <w:spacing w:val="-5"/>
          <w:sz w:val="18"/>
        </w:rPr>
        <w:t> </w:t>
      </w:r>
      <w:r>
        <w:rPr>
          <w:sz w:val="18"/>
        </w:rPr>
        <w:t>Periodic</w:t>
      </w:r>
      <w:r>
        <w:rPr>
          <w:spacing w:val="-5"/>
          <w:sz w:val="18"/>
        </w:rPr>
        <w:t> </w:t>
      </w:r>
      <w:r>
        <w:rPr>
          <w:sz w:val="18"/>
        </w:rPr>
        <w:t>Reports of the UK of Great Britain and NI’, 2 June 2023, at para 35(a).</w:t>
      </w:r>
    </w:p>
    <w:p>
      <w:pPr>
        <w:pStyle w:val="ListParagraph"/>
        <w:numPr>
          <w:ilvl w:val="0"/>
          <w:numId w:val="9"/>
        </w:numPr>
        <w:tabs>
          <w:tab w:pos="1853" w:val="left" w:leader="none"/>
        </w:tabs>
        <w:spacing w:line="216" w:lineRule="exact" w:before="0" w:after="0"/>
        <w:ind w:left="1853" w:right="0" w:hanging="720"/>
        <w:jc w:val="left"/>
        <w:rPr>
          <w:sz w:val="18"/>
        </w:rPr>
      </w:pPr>
      <w:r>
        <w:rPr>
          <w:sz w:val="18"/>
        </w:rPr>
        <w:t>NI</w:t>
      </w:r>
      <w:r>
        <w:rPr>
          <w:spacing w:val="-6"/>
          <w:sz w:val="18"/>
        </w:rPr>
        <w:t> </w:t>
      </w:r>
      <w:r>
        <w:rPr>
          <w:sz w:val="18"/>
        </w:rPr>
        <w:t>Executive,</w:t>
      </w:r>
      <w:r>
        <w:rPr>
          <w:spacing w:val="-5"/>
          <w:sz w:val="18"/>
        </w:rPr>
        <w:t> </w:t>
      </w:r>
      <w:r>
        <w:rPr>
          <w:sz w:val="18"/>
        </w:rPr>
        <w:t>‘Multi-Agency</w:t>
      </w:r>
      <w:r>
        <w:rPr>
          <w:spacing w:val="-5"/>
          <w:sz w:val="18"/>
        </w:rPr>
        <w:t> </w:t>
      </w:r>
      <w:r>
        <w:rPr>
          <w:sz w:val="18"/>
        </w:rPr>
        <w:t>Practice</w:t>
      </w:r>
      <w:r>
        <w:rPr>
          <w:spacing w:val="-5"/>
          <w:sz w:val="18"/>
        </w:rPr>
        <w:t> </w:t>
      </w:r>
      <w:r>
        <w:rPr>
          <w:sz w:val="18"/>
        </w:rPr>
        <w:t>Guidelines:</w:t>
      </w:r>
      <w:r>
        <w:rPr>
          <w:spacing w:val="-5"/>
          <w:sz w:val="18"/>
        </w:rPr>
        <w:t> </w:t>
      </w:r>
      <w:r>
        <w:rPr>
          <w:sz w:val="18"/>
        </w:rPr>
        <w:t>Female</w:t>
      </w:r>
      <w:r>
        <w:rPr>
          <w:spacing w:val="-6"/>
          <w:sz w:val="18"/>
        </w:rPr>
        <w:t> </w:t>
      </w:r>
      <w:r>
        <w:rPr>
          <w:sz w:val="18"/>
        </w:rPr>
        <w:t>Genital</w:t>
      </w:r>
      <w:r>
        <w:rPr>
          <w:spacing w:val="-6"/>
          <w:sz w:val="18"/>
        </w:rPr>
        <w:t> </w:t>
      </w:r>
      <w:r>
        <w:rPr>
          <w:sz w:val="18"/>
        </w:rPr>
        <w:t>Mutilation’</w:t>
      </w:r>
      <w:r>
        <w:rPr>
          <w:spacing w:val="-5"/>
          <w:sz w:val="18"/>
        </w:rPr>
        <w:t> </w:t>
      </w:r>
      <w:r>
        <w:rPr>
          <w:sz w:val="18"/>
        </w:rPr>
        <w:t>(NIE,</w:t>
      </w:r>
      <w:r>
        <w:rPr>
          <w:spacing w:val="-5"/>
          <w:sz w:val="18"/>
        </w:rPr>
        <w:t> </w:t>
      </w:r>
      <w:r>
        <w:rPr>
          <w:spacing w:val="-2"/>
          <w:sz w:val="18"/>
        </w:rPr>
        <w:t>2014).</w:t>
      </w:r>
    </w:p>
    <w:p>
      <w:pPr>
        <w:pStyle w:val="ListParagraph"/>
        <w:numPr>
          <w:ilvl w:val="0"/>
          <w:numId w:val="9"/>
        </w:numPr>
        <w:tabs>
          <w:tab w:pos="1853" w:val="left" w:leader="none"/>
        </w:tabs>
        <w:spacing w:line="216" w:lineRule="exact" w:before="0" w:after="0"/>
        <w:ind w:left="1853" w:right="0" w:hanging="720"/>
        <w:jc w:val="left"/>
        <w:rPr>
          <w:sz w:val="18"/>
        </w:rPr>
      </w:pPr>
      <w:r>
        <w:rPr>
          <w:sz w:val="18"/>
        </w:rPr>
        <w:t>Email</w:t>
      </w:r>
      <w:r>
        <w:rPr>
          <w:spacing w:val="-4"/>
          <w:sz w:val="18"/>
        </w:rPr>
        <w:t> </w:t>
      </w:r>
      <w:r>
        <w:rPr>
          <w:sz w:val="18"/>
        </w:rPr>
        <w:t>correspondence</w:t>
      </w:r>
      <w:r>
        <w:rPr>
          <w:spacing w:val="-3"/>
          <w:sz w:val="18"/>
        </w:rPr>
        <w:t> </w:t>
      </w:r>
      <w:r>
        <w:rPr>
          <w:sz w:val="18"/>
        </w:rPr>
        <w:t>from</w:t>
      </w:r>
      <w:r>
        <w:rPr>
          <w:spacing w:val="-3"/>
          <w:sz w:val="18"/>
        </w:rPr>
        <w:t> </w:t>
      </w:r>
      <w:r>
        <w:rPr>
          <w:sz w:val="18"/>
        </w:rPr>
        <w:t>the</w:t>
      </w:r>
      <w:r>
        <w:rPr>
          <w:spacing w:val="-3"/>
          <w:sz w:val="18"/>
        </w:rPr>
        <w:t> </w:t>
      </w:r>
      <w:r>
        <w:rPr>
          <w:sz w:val="18"/>
        </w:rPr>
        <w:t>Department</w:t>
      </w:r>
      <w:r>
        <w:rPr>
          <w:spacing w:val="-3"/>
          <w:sz w:val="18"/>
        </w:rPr>
        <w:t> </w:t>
      </w:r>
      <w:r>
        <w:rPr>
          <w:sz w:val="18"/>
        </w:rPr>
        <w:t>of</w:t>
      </w:r>
      <w:r>
        <w:rPr>
          <w:spacing w:val="-4"/>
          <w:sz w:val="18"/>
        </w:rPr>
        <w:t> </w:t>
      </w:r>
      <w:r>
        <w:rPr>
          <w:sz w:val="18"/>
        </w:rPr>
        <w:t>Justice</w:t>
      </w:r>
      <w:r>
        <w:rPr>
          <w:spacing w:val="-3"/>
          <w:sz w:val="18"/>
        </w:rPr>
        <w:t> </w:t>
      </w:r>
      <w:r>
        <w:rPr>
          <w:sz w:val="18"/>
        </w:rPr>
        <w:t>to</w:t>
      </w:r>
      <w:r>
        <w:rPr>
          <w:spacing w:val="-4"/>
          <w:sz w:val="18"/>
        </w:rPr>
        <w:t> </w:t>
      </w:r>
      <w:r>
        <w:rPr>
          <w:sz w:val="18"/>
        </w:rPr>
        <w:t>the</w:t>
      </w:r>
      <w:r>
        <w:rPr>
          <w:spacing w:val="-3"/>
          <w:sz w:val="18"/>
        </w:rPr>
        <w:t> </w:t>
      </w: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3"/>
          <w:sz w:val="18"/>
        </w:rPr>
        <w:t> </w:t>
      </w:r>
      <w:r>
        <w:rPr>
          <w:sz w:val="18"/>
        </w:rPr>
        <w:t>July</w:t>
      </w:r>
      <w:r>
        <w:rPr>
          <w:spacing w:val="-3"/>
          <w:sz w:val="18"/>
        </w:rPr>
        <w:t> </w:t>
      </w:r>
      <w:r>
        <w:rPr>
          <w:spacing w:val="-2"/>
          <w:sz w:val="18"/>
        </w:rPr>
        <w:t>2021.</w:t>
      </w:r>
    </w:p>
    <w:p>
      <w:pPr>
        <w:pStyle w:val="ListParagraph"/>
        <w:numPr>
          <w:ilvl w:val="0"/>
          <w:numId w:val="9"/>
        </w:numPr>
        <w:tabs>
          <w:tab w:pos="1853" w:val="left" w:leader="none"/>
        </w:tabs>
        <w:spacing w:line="216" w:lineRule="exact" w:before="0" w:after="0"/>
        <w:ind w:left="1853" w:right="0" w:hanging="720"/>
        <w:jc w:val="left"/>
        <w:rPr>
          <w:sz w:val="18"/>
        </w:rPr>
      </w:pPr>
      <w:r>
        <w:rPr>
          <w:sz w:val="18"/>
        </w:rPr>
        <w:t>Email</w:t>
      </w:r>
      <w:r>
        <w:rPr>
          <w:spacing w:val="-6"/>
          <w:sz w:val="18"/>
        </w:rPr>
        <w:t> </w:t>
      </w:r>
      <w:r>
        <w:rPr>
          <w:sz w:val="18"/>
        </w:rPr>
        <w:t>correspondence</w:t>
      </w:r>
      <w:r>
        <w:rPr>
          <w:spacing w:val="-3"/>
          <w:sz w:val="18"/>
        </w:rPr>
        <w:t> </w:t>
      </w:r>
      <w:r>
        <w:rPr>
          <w:sz w:val="18"/>
        </w:rPr>
        <w:t>from</w:t>
      </w:r>
      <w:r>
        <w:rPr>
          <w:spacing w:val="-3"/>
          <w:sz w:val="18"/>
        </w:rPr>
        <w:t> </w:t>
      </w:r>
      <w:r>
        <w:rPr>
          <w:sz w:val="18"/>
        </w:rPr>
        <w:t>the</w:t>
      </w:r>
      <w:r>
        <w:rPr>
          <w:spacing w:val="-2"/>
          <w:sz w:val="18"/>
        </w:rPr>
        <w:t> </w:t>
      </w:r>
      <w:r>
        <w:rPr>
          <w:sz w:val="18"/>
        </w:rPr>
        <w:t>Department</w:t>
      </w:r>
      <w:r>
        <w:rPr>
          <w:spacing w:val="-3"/>
          <w:sz w:val="18"/>
        </w:rPr>
        <w:t> </w:t>
      </w:r>
      <w:r>
        <w:rPr>
          <w:sz w:val="18"/>
        </w:rPr>
        <w:t>of</w:t>
      </w:r>
      <w:r>
        <w:rPr>
          <w:spacing w:val="-4"/>
          <w:sz w:val="18"/>
        </w:rPr>
        <w:t> </w:t>
      </w:r>
      <w:r>
        <w:rPr>
          <w:sz w:val="18"/>
        </w:rPr>
        <w:t>Health</w:t>
      </w:r>
      <w:r>
        <w:rPr>
          <w:spacing w:val="-3"/>
          <w:sz w:val="18"/>
        </w:rPr>
        <w:t> </w:t>
      </w:r>
      <w:r>
        <w:rPr>
          <w:sz w:val="18"/>
        </w:rPr>
        <w:t>to</w:t>
      </w:r>
      <w:r>
        <w:rPr>
          <w:spacing w:val="-4"/>
          <w:sz w:val="18"/>
        </w:rPr>
        <w:t> </w:t>
      </w:r>
      <w:r>
        <w:rPr>
          <w:sz w:val="18"/>
        </w:rPr>
        <w:t>the</w:t>
      </w:r>
      <w:r>
        <w:rPr>
          <w:spacing w:val="-2"/>
          <w:sz w:val="18"/>
        </w:rPr>
        <w:t> </w:t>
      </w:r>
      <w:r>
        <w:rPr>
          <w:sz w:val="18"/>
        </w:rPr>
        <w:t>NI</w:t>
      </w:r>
      <w:r>
        <w:rPr>
          <w:spacing w:val="-3"/>
          <w:sz w:val="18"/>
        </w:rPr>
        <w:t> </w:t>
      </w:r>
      <w:r>
        <w:rPr>
          <w:sz w:val="18"/>
        </w:rPr>
        <w:t>Human</w:t>
      </w:r>
      <w:r>
        <w:rPr>
          <w:spacing w:val="-4"/>
          <w:sz w:val="18"/>
        </w:rPr>
        <w:t> </w:t>
      </w:r>
      <w:r>
        <w:rPr>
          <w:sz w:val="18"/>
        </w:rPr>
        <w:t>Rights</w:t>
      </w:r>
      <w:r>
        <w:rPr>
          <w:spacing w:val="-3"/>
          <w:sz w:val="18"/>
        </w:rPr>
        <w:t> </w:t>
      </w:r>
      <w:r>
        <w:rPr>
          <w:sz w:val="18"/>
        </w:rPr>
        <w:t>Commission,</w:t>
      </w:r>
      <w:r>
        <w:rPr>
          <w:spacing w:val="-3"/>
          <w:sz w:val="18"/>
        </w:rPr>
        <w:t> </w:t>
      </w:r>
      <w:r>
        <w:rPr>
          <w:sz w:val="18"/>
        </w:rPr>
        <w:t>21</w:t>
      </w:r>
      <w:r>
        <w:rPr>
          <w:spacing w:val="-3"/>
          <w:sz w:val="18"/>
        </w:rPr>
        <w:t> </w:t>
      </w:r>
      <w:r>
        <w:rPr>
          <w:sz w:val="18"/>
        </w:rPr>
        <w:t>June</w:t>
      </w:r>
      <w:r>
        <w:rPr>
          <w:spacing w:val="-2"/>
          <w:sz w:val="18"/>
        </w:rPr>
        <w:t> 2023.</w:t>
      </w:r>
    </w:p>
    <w:p>
      <w:pPr>
        <w:pStyle w:val="ListParagraph"/>
        <w:numPr>
          <w:ilvl w:val="0"/>
          <w:numId w:val="9"/>
        </w:numPr>
        <w:tabs>
          <w:tab w:pos="1853" w:val="left" w:leader="none"/>
        </w:tabs>
        <w:spacing w:line="216" w:lineRule="exact" w:before="0" w:after="0"/>
        <w:ind w:left="1853" w:right="0" w:hanging="720"/>
        <w:jc w:val="left"/>
        <w:rPr>
          <w:sz w:val="18"/>
        </w:rPr>
      </w:pPr>
      <w:r>
        <w:rPr>
          <w:sz w:val="18"/>
        </w:rPr>
        <w:t>Email</w:t>
      </w:r>
      <w:r>
        <w:rPr>
          <w:spacing w:val="-6"/>
          <w:sz w:val="18"/>
        </w:rPr>
        <w:t> </w:t>
      </w:r>
      <w:r>
        <w:rPr>
          <w:sz w:val="18"/>
        </w:rPr>
        <w:t>correspondence</w:t>
      </w:r>
      <w:r>
        <w:rPr>
          <w:spacing w:val="-2"/>
          <w:sz w:val="18"/>
        </w:rPr>
        <w:t> </w:t>
      </w:r>
      <w:r>
        <w:rPr>
          <w:sz w:val="18"/>
        </w:rPr>
        <w:t>from</w:t>
      </w:r>
      <w:r>
        <w:rPr>
          <w:spacing w:val="-2"/>
          <w:sz w:val="18"/>
        </w:rPr>
        <w:t> </w:t>
      </w:r>
      <w:r>
        <w:rPr>
          <w:sz w:val="18"/>
        </w:rPr>
        <w:t>the</w:t>
      </w:r>
      <w:r>
        <w:rPr>
          <w:spacing w:val="-3"/>
          <w:sz w:val="18"/>
        </w:rPr>
        <w:t> </w:t>
      </w:r>
      <w:r>
        <w:rPr>
          <w:sz w:val="18"/>
        </w:rPr>
        <w:t>Department</w:t>
      </w:r>
      <w:r>
        <w:rPr>
          <w:spacing w:val="-2"/>
          <w:sz w:val="18"/>
        </w:rPr>
        <w:t> </w:t>
      </w:r>
      <w:r>
        <w:rPr>
          <w:sz w:val="18"/>
        </w:rPr>
        <w:t>of</w:t>
      </w:r>
      <w:r>
        <w:rPr>
          <w:spacing w:val="-3"/>
          <w:sz w:val="18"/>
        </w:rPr>
        <w:t> </w:t>
      </w:r>
      <w:r>
        <w:rPr>
          <w:sz w:val="18"/>
        </w:rPr>
        <w:t>Finance</w:t>
      </w:r>
      <w:r>
        <w:rPr>
          <w:spacing w:val="-3"/>
          <w:sz w:val="18"/>
        </w:rPr>
        <w:t> </w:t>
      </w:r>
      <w:r>
        <w:rPr>
          <w:sz w:val="18"/>
        </w:rPr>
        <w:t>to</w:t>
      </w:r>
      <w:r>
        <w:rPr>
          <w:spacing w:val="-3"/>
          <w:sz w:val="18"/>
        </w:rPr>
        <w:t> </w:t>
      </w:r>
      <w:r>
        <w:rPr>
          <w:sz w:val="18"/>
        </w:rPr>
        <w:t>the</w:t>
      </w:r>
      <w:r>
        <w:rPr>
          <w:spacing w:val="-2"/>
          <w:sz w:val="18"/>
        </w:rPr>
        <w:t> </w:t>
      </w:r>
      <w:r>
        <w:rPr>
          <w:sz w:val="18"/>
        </w:rPr>
        <w:t>NI</w:t>
      </w:r>
      <w:r>
        <w:rPr>
          <w:spacing w:val="-3"/>
          <w:sz w:val="18"/>
        </w:rPr>
        <w:t> </w:t>
      </w:r>
      <w:r>
        <w:rPr>
          <w:sz w:val="18"/>
        </w:rPr>
        <w:t>Human</w:t>
      </w:r>
      <w:r>
        <w:rPr>
          <w:spacing w:val="-3"/>
          <w:sz w:val="18"/>
        </w:rPr>
        <w:t> </w:t>
      </w:r>
      <w:r>
        <w:rPr>
          <w:sz w:val="18"/>
        </w:rPr>
        <w:t>Rights</w:t>
      </w:r>
      <w:r>
        <w:rPr>
          <w:spacing w:val="-3"/>
          <w:sz w:val="18"/>
        </w:rPr>
        <w:t> </w:t>
      </w:r>
      <w:r>
        <w:rPr>
          <w:sz w:val="18"/>
        </w:rPr>
        <w:t>Commission,</w:t>
      </w:r>
      <w:r>
        <w:rPr>
          <w:spacing w:val="-3"/>
          <w:sz w:val="18"/>
        </w:rPr>
        <w:t> </w:t>
      </w:r>
      <w:r>
        <w:rPr>
          <w:sz w:val="18"/>
        </w:rPr>
        <w:t>7</w:t>
      </w:r>
      <w:r>
        <w:rPr>
          <w:spacing w:val="-2"/>
          <w:sz w:val="18"/>
        </w:rPr>
        <w:t> </w:t>
      </w:r>
      <w:r>
        <w:rPr>
          <w:sz w:val="18"/>
        </w:rPr>
        <w:t>July</w:t>
      </w:r>
      <w:r>
        <w:rPr>
          <w:spacing w:val="-2"/>
          <w:sz w:val="18"/>
        </w:rPr>
        <w:t> 2023.</w:t>
      </w:r>
    </w:p>
    <w:p>
      <w:pPr>
        <w:pStyle w:val="ListParagraph"/>
        <w:numPr>
          <w:ilvl w:val="0"/>
          <w:numId w:val="9"/>
        </w:numPr>
        <w:tabs>
          <w:tab w:pos="1853" w:val="left" w:leader="none"/>
        </w:tabs>
        <w:spacing w:line="218" w:lineRule="exact" w:before="0" w:after="0"/>
        <w:ind w:left="1853" w:right="0" w:hanging="720"/>
        <w:jc w:val="left"/>
        <w:rPr>
          <w:sz w:val="18"/>
        </w:rPr>
      </w:pPr>
      <w:r>
        <w:rPr>
          <w:sz w:val="18"/>
        </w:rPr>
        <w:t>Article</w:t>
      </w:r>
      <w:r>
        <w:rPr>
          <w:spacing w:val="-5"/>
          <w:sz w:val="18"/>
        </w:rPr>
        <w:t> </w:t>
      </w:r>
      <w:r>
        <w:rPr>
          <w:sz w:val="18"/>
        </w:rPr>
        <w:t>2(1)(a),</w:t>
      </w:r>
      <w:r>
        <w:rPr>
          <w:spacing w:val="-4"/>
          <w:sz w:val="18"/>
        </w:rPr>
        <w:t> </w:t>
      </w:r>
      <w:r>
        <w:rPr>
          <w:sz w:val="18"/>
        </w:rPr>
        <w:t>The</w:t>
      </w:r>
      <w:r>
        <w:rPr>
          <w:spacing w:val="-4"/>
          <w:sz w:val="18"/>
        </w:rPr>
        <w:t> </w:t>
      </w:r>
      <w:r>
        <w:rPr>
          <w:sz w:val="18"/>
        </w:rPr>
        <w:t>Adoption</w:t>
      </w:r>
      <w:r>
        <w:rPr>
          <w:spacing w:val="-5"/>
          <w:sz w:val="18"/>
        </w:rPr>
        <w:t> </w:t>
      </w:r>
      <w:r>
        <w:rPr>
          <w:sz w:val="18"/>
        </w:rPr>
        <w:t>and</w:t>
      </w:r>
      <w:r>
        <w:rPr>
          <w:spacing w:val="-5"/>
          <w:sz w:val="18"/>
        </w:rPr>
        <w:t> </w:t>
      </w:r>
      <w:r>
        <w:rPr>
          <w:sz w:val="18"/>
        </w:rPr>
        <w:t>Children</w:t>
      </w:r>
      <w:r>
        <w:rPr>
          <w:spacing w:val="-5"/>
          <w:sz w:val="18"/>
        </w:rPr>
        <w:t> </w:t>
      </w:r>
      <w:r>
        <w:rPr>
          <w:sz w:val="18"/>
        </w:rPr>
        <w:t>(2022</w:t>
      </w:r>
      <w:r>
        <w:rPr>
          <w:spacing w:val="-4"/>
          <w:sz w:val="18"/>
        </w:rPr>
        <w:t> </w:t>
      </w:r>
      <w:r>
        <w:rPr>
          <w:sz w:val="18"/>
        </w:rPr>
        <w:t>Act)</w:t>
      </w:r>
      <w:r>
        <w:rPr>
          <w:spacing w:val="-6"/>
          <w:sz w:val="18"/>
        </w:rPr>
        <w:t> </w:t>
      </w:r>
      <w:r>
        <w:rPr>
          <w:sz w:val="18"/>
        </w:rPr>
        <w:t>(Commencement</w:t>
      </w:r>
      <w:r>
        <w:rPr>
          <w:spacing w:val="-4"/>
          <w:sz w:val="18"/>
        </w:rPr>
        <w:t> </w:t>
      </w:r>
      <w:r>
        <w:rPr>
          <w:sz w:val="18"/>
        </w:rPr>
        <w:t>No.</w:t>
      </w:r>
      <w:r>
        <w:rPr>
          <w:spacing w:val="-5"/>
          <w:sz w:val="18"/>
        </w:rPr>
        <w:t> </w:t>
      </w:r>
      <w:r>
        <w:rPr>
          <w:sz w:val="18"/>
        </w:rPr>
        <w:t>2)</w:t>
      </w:r>
      <w:r>
        <w:rPr>
          <w:spacing w:val="-5"/>
          <w:sz w:val="18"/>
        </w:rPr>
        <w:t> </w:t>
      </w:r>
      <w:r>
        <w:rPr>
          <w:sz w:val="18"/>
        </w:rPr>
        <w:t>Order</w:t>
      </w:r>
      <w:r>
        <w:rPr>
          <w:spacing w:val="-4"/>
          <w:sz w:val="18"/>
        </w:rPr>
        <w:t> </w:t>
      </w:r>
      <w:r>
        <w:rPr>
          <w:sz w:val="18"/>
        </w:rPr>
        <w:t>(Northern</w:t>
      </w:r>
      <w:r>
        <w:rPr>
          <w:spacing w:val="-5"/>
          <w:sz w:val="18"/>
        </w:rPr>
        <w:t> </w:t>
      </w:r>
      <w:r>
        <w:rPr>
          <w:sz w:val="18"/>
        </w:rPr>
        <w:t>Ireland)</w:t>
      </w:r>
      <w:r>
        <w:rPr>
          <w:spacing w:val="-5"/>
          <w:sz w:val="18"/>
        </w:rPr>
        <w:t> </w:t>
      </w:r>
      <w:r>
        <w:rPr>
          <w:spacing w:val="-2"/>
          <w:sz w:val="18"/>
        </w:rPr>
        <w:t>2024.</w:t>
      </w:r>
    </w:p>
    <w:p>
      <w:pPr>
        <w:spacing w:after="0" w:line="218" w:lineRule="exact"/>
        <w:jc w:val="left"/>
        <w:rPr>
          <w:sz w:val="18"/>
        </w:rPr>
        <w:sectPr>
          <w:pgSz w:w="11910" w:h="16840"/>
          <w:pgMar w:header="496" w:footer="367" w:top="1220" w:bottom="560" w:left="0" w:right="0"/>
        </w:sectPr>
      </w:pPr>
    </w:p>
    <w:p>
      <w:pPr>
        <w:pStyle w:val="BodyText"/>
        <w:spacing w:before="198"/>
      </w:pPr>
    </w:p>
    <w:p>
      <w:pPr>
        <w:spacing w:line="225" w:lineRule="auto" w:before="0"/>
        <w:ind w:left="1853" w:right="1171" w:firstLine="0"/>
        <w:jc w:val="left"/>
        <w:rPr>
          <w:b/>
          <w:sz w:val="28"/>
        </w:rPr>
      </w:pPr>
      <w:bookmarkStart w:name="_bookmark30" w:id="65"/>
      <w:bookmarkEnd w:id="65"/>
      <w:r>
        <w:rPr/>
      </w:r>
      <w:r>
        <w:rPr>
          <w:b/>
          <w:color w:val="67287F"/>
          <w:sz w:val="28"/>
        </w:rPr>
        <w:t>Abuse Strategy and the Violence Against Women and Girls Strategy, embed consideration</w:t>
      </w:r>
      <w:r>
        <w:rPr>
          <w:b/>
          <w:color w:val="67287F"/>
          <w:spacing w:val="-7"/>
          <w:sz w:val="28"/>
        </w:rPr>
        <w:t> </w:t>
      </w:r>
      <w:r>
        <w:rPr>
          <w:b/>
          <w:color w:val="67287F"/>
          <w:sz w:val="28"/>
        </w:rPr>
        <w:t>of</w:t>
      </w:r>
      <w:r>
        <w:rPr>
          <w:b/>
          <w:color w:val="67287F"/>
          <w:spacing w:val="-8"/>
          <w:sz w:val="28"/>
        </w:rPr>
        <w:t> </w:t>
      </w:r>
      <w:r>
        <w:rPr>
          <w:b/>
          <w:color w:val="67287F"/>
          <w:sz w:val="28"/>
        </w:rPr>
        <w:t>Windsor</w:t>
      </w:r>
      <w:r>
        <w:rPr>
          <w:b/>
          <w:color w:val="67287F"/>
          <w:spacing w:val="-8"/>
          <w:sz w:val="28"/>
        </w:rPr>
        <w:t> </w:t>
      </w:r>
      <w:r>
        <w:rPr>
          <w:b/>
          <w:color w:val="67287F"/>
          <w:sz w:val="28"/>
        </w:rPr>
        <w:t>Framework</w:t>
      </w:r>
      <w:r>
        <w:rPr>
          <w:b/>
          <w:color w:val="67287F"/>
          <w:spacing w:val="-8"/>
          <w:sz w:val="28"/>
        </w:rPr>
        <w:t> </w:t>
      </w:r>
      <w:r>
        <w:rPr>
          <w:b/>
          <w:color w:val="67287F"/>
          <w:sz w:val="28"/>
        </w:rPr>
        <w:t>Article</w:t>
      </w:r>
      <w:r>
        <w:rPr>
          <w:b/>
          <w:color w:val="67287F"/>
          <w:spacing w:val="-8"/>
          <w:sz w:val="28"/>
        </w:rPr>
        <w:t> </w:t>
      </w:r>
      <w:r>
        <w:rPr>
          <w:b/>
          <w:color w:val="67287F"/>
          <w:sz w:val="28"/>
        </w:rPr>
        <w:t>2</w:t>
      </w:r>
      <w:r>
        <w:rPr>
          <w:b/>
          <w:color w:val="67287F"/>
          <w:spacing w:val="-7"/>
          <w:sz w:val="28"/>
        </w:rPr>
        <w:t> </w:t>
      </w:r>
      <w:r>
        <w:rPr>
          <w:b/>
          <w:color w:val="67287F"/>
          <w:sz w:val="28"/>
        </w:rPr>
        <w:t>and</w:t>
      </w:r>
      <w:r>
        <w:rPr>
          <w:b/>
          <w:color w:val="67287F"/>
          <w:spacing w:val="-7"/>
          <w:sz w:val="28"/>
        </w:rPr>
        <w:t> </w:t>
      </w:r>
      <w:r>
        <w:rPr>
          <w:b/>
          <w:color w:val="67287F"/>
          <w:sz w:val="28"/>
        </w:rPr>
        <w:t>the</w:t>
      </w:r>
      <w:r>
        <w:rPr>
          <w:b/>
          <w:color w:val="67287F"/>
          <w:spacing w:val="-8"/>
          <w:sz w:val="28"/>
        </w:rPr>
        <w:t> </w:t>
      </w:r>
      <w:r>
        <w:rPr>
          <w:b/>
          <w:color w:val="67287F"/>
          <w:sz w:val="28"/>
        </w:rPr>
        <w:t>EU</w:t>
      </w:r>
      <w:r>
        <w:rPr>
          <w:b/>
          <w:color w:val="67287F"/>
          <w:spacing w:val="-7"/>
          <w:sz w:val="28"/>
        </w:rPr>
        <w:t> </w:t>
      </w:r>
      <w:r>
        <w:rPr>
          <w:b/>
          <w:color w:val="67287F"/>
          <w:sz w:val="28"/>
        </w:rPr>
        <w:t>Victims’</w:t>
      </w:r>
      <w:r>
        <w:rPr>
          <w:b/>
          <w:color w:val="67287F"/>
          <w:spacing w:val="-7"/>
          <w:sz w:val="28"/>
        </w:rPr>
        <w:t> </w:t>
      </w:r>
      <w:r>
        <w:rPr>
          <w:b/>
          <w:color w:val="67287F"/>
          <w:sz w:val="28"/>
        </w:rPr>
        <w:t>Directive, and other relevant EU law.</w:t>
      </w:r>
    </w:p>
    <w:p>
      <w:pPr>
        <w:pStyle w:val="Heading5"/>
        <w:spacing w:before="301"/>
        <w:ind w:left="1133" w:firstLine="0"/>
      </w:pPr>
      <w:bookmarkStart w:name="Hate Crime" w:id="66"/>
      <w:bookmarkEnd w:id="66"/>
      <w:r>
        <w:rPr>
          <w:b w:val="0"/>
        </w:rPr>
      </w:r>
      <w:r>
        <w:rPr>
          <w:color w:val="393B7F"/>
        </w:rPr>
        <w:t>Hate</w:t>
      </w:r>
      <w:r>
        <w:rPr>
          <w:color w:val="393B7F"/>
          <w:spacing w:val="-8"/>
        </w:rPr>
        <w:t> </w:t>
      </w:r>
      <w:r>
        <w:rPr>
          <w:color w:val="393B7F"/>
          <w:spacing w:val="-2"/>
        </w:rPr>
        <w:t>Crime</w:t>
      </w:r>
    </w:p>
    <w:p>
      <w:pPr>
        <w:pStyle w:val="ListParagraph"/>
        <w:numPr>
          <w:ilvl w:val="1"/>
          <w:numId w:val="7"/>
        </w:numPr>
        <w:tabs>
          <w:tab w:pos="1853" w:val="left" w:leader="none"/>
        </w:tabs>
        <w:spacing w:line="225" w:lineRule="auto" w:before="330" w:after="0"/>
        <w:ind w:left="1853" w:right="1860" w:hanging="720"/>
        <w:jc w:val="left"/>
        <w:rPr>
          <w:sz w:val="28"/>
        </w:rPr>
      </w:pPr>
      <w:r>
        <w:rPr>
          <w:sz w:val="28"/>
        </w:rPr>
        <w:t>The</w:t>
      </w:r>
      <w:r>
        <w:rPr>
          <w:spacing w:val="-10"/>
          <w:sz w:val="28"/>
        </w:rPr>
        <w:t> </w:t>
      </w:r>
      <w:r>
        <w:rPr>
          <w:sz w:val="28"/>
        </w:rPr>
        <w:t>international</w:t>
      </w:r>
      <w:r>
        <w:rPr>
          <w:spacing w:val="-11"/>
          <w:sz w:val="28"/>
        </w:rPr>
        <w:t> </w:t>
      </w:r>
      <w:r>
        <w:rPr>
          <w:sz w:val="28"/>
        </w:rPr>
        <w:t>human</w:t>
      </w:r>
      <w:r>
        <w:rPr>
          <w:spacing w:val="-11"/>
          <w:sz w:val="28"/>
        </w:rPr>
        <w:t> </w:t>
      </w:r>
      <w:r>
        <w:rPr>
          <w:sz w:val="28"/>
        </w:rPr>
        <w:t>rights</w:t>
      </w:r>
      <w:r>
        <w:rPr>
          <w:spacing w:val="-11"/>
          <w:sz w:val="28"/>
        </w:rPr>
        <w:t> </w:t>
      </w:r>
      <w:r>
        <w:rPr>
          <w:sz w:val="28"/>
        </w:rPr>
        <w:t>oversight</w:t>
      </w:r>
      <w:r>
        <w:rPr>
          <w:spacing w:val="-10"/>
          <w:sz w:val="28"/>
        </w:rPr>
        <w:t> </w:t>
      </w:r>
      <w:r>
        <w:rPr>
          <w:sz w:val="28"/>
        </w:rPr>
        <w:t>bodies</w:t>
      </w:r>
      <w:r>
        <w:rPr>
          <w:spacing w:val="-11"/>
          <w:sz w:val="28"/>
        </w:rPr>
        <w:t> </w:t>
      </w:r>
      <w:r>
        <w:rPr>
          <w:sz w:val="28"/>
        </w:rPr>
        <w:t>have</w:t>
      </w:r>
      <w:r>
        <w:rPr>
          <w:spacing w:val="-10"/>
          <w:sz w:val="28"/>
        </w:rPr>
        <w:t> </w:t>
      </w:r>
      <w:r>
        <w:rPr>
          <w:sz w:val="28"/>
        </w:rPr>
        <w:t>consistently</w:t>
      </w:r>
      <w:r>
        <w:rPr>
          <w:spacing w:val="-10"/>
          <w:sz w:val="28"/>
        </w:rPr>
        <w:t> </w:t>
      </w:r>
      <w:r>
        <w:rPr>
          <w:sz w:val="28"/>
        </w:rPr>
        <w:t>called for the UK Government and NI Executive to strengthen their efforts to</w:t>
      </w:r>
    </w:p>
    <w:p>
      <w:pPr>
        <w:pStyle w:val="BodyText"/>
        <w:spacing w:line="225" w:lineRule="auto"/>
        <w:ind w:left="1853" w:right="1171"/>
      </w:pPr>
      <w:r>
        <w:rPr/>
        <w:t>investigate alleged hate crimes and prosecute perpetrators, provide effective remedies to victims, take action to increase reporting from people impacted by hate crime and to systematically collect disaggregated data.</w:t>
      </w:r>
      <w:r>
        <w:rPr>
          <w:vertAlign w:val="superscript"/>
        </w:rPr>
        <w:t>434</w:t>
      </w:r>
      <w:r>
        <w:rPr>
          <w:vertAlign w:val="baseline"/>
        </w:rPr>
        <w:t> In June 2023, the UN CRC Committee recommended that the state “encourage the reporting of hate crimes against children; investigate and prosecute cases of racially, ethnically and religiously motivated crime; punish perpetrators with commensurate</w:t>
      </w:r>
      <w:r>
        <w:rPr>
          <w:spacing w:val="-9"/>
          <w:vertAlign w:val="baseline"/>
        </w:rPr>
        <w:t> </w:t>
      </w:r>
      <w:r>
        <w:rPr>
          <w:vertAlign w:val="baseline"/>
        </w:rPr>
        <w:t>sanctions;</w:t>
      </w:r>
      <w:r>
        <w:rPr>
          <w:spacing w:val="-9"/>
          <w:vertAlign w:val="baseline"/>
        </w:rPr>
        <w:t> </w:t>
      </w:r>
      <w:r>
        <w:rPr>
          <w:vertAlign w:val="baseline"/>
        </w:rPr>
        <w:t>and</w:t>
      </w:r>
      <w:r>
        <w:rPr>
          <w:spacing w:val="-9"/>
          <w:vertAlign w:val="baseline"/>
        </w:rPr>
        <w:t> </w:t>
      </w:r>
      <w:r>
        <w:rPr>
          <w:vertAlign w:val="baseline"/>
        </w:rPr>
        <w:t>provide</w:t>
      </w:r>
      <w:r>
        <w:rPr>
          <w:spacing w:val="-9"/>
          <w:vertAlign w:val="baseline"/>
        </w:rPr>
        <w:t> </w:t>
      </w:r>
      <w:r>
        <w:rPr>
          <w:vertAlign w:val="baseline"/>
        </w:rPr>
        <w:t>adequate</w:t>
      </w:r>
      <w:r>
        <w:rPr>
          <w:spacing w:val="-9"/>
          <w:vertAlign w:val="baseline"/>
        </w:rPr>
        <w:t> </w:t>
      </w:r>
      <w:r>
        <w:rPr>
          <w:vertAlign w:val="baseline"/>
        </w:rPr>
        <w:t>compensation</w:t>
      </w:r>
      <w:r>
        <w:rPr>
          <w:spacing w:val="-9"/>
          <w:vertAlign w:val="baseline"/>
        </w:rPr>
        <w:t> </w:t>
      </w:r>
      <w:r>
        <w:rPr>
          <w:vertAlign w:val="baseline"/>
        </w:rPr>
        <w:t>to</w:t>
      </w:r>
      <w:r>
        <w:rPr>
          <w:spacing w:val="-9"/>
          <w:vertAlign w:val="baseline"/>
        </w:rPr>
        <w:t> </w:t>
      </w:r>
      <w:r>
        <w:rPr>
          <w:vertAlign w:val="baseline"/>
        </w:rPr>
        <w:t>the</w:t>
      </w:r>
      <w:r>
        <w:rPr>
          <w:spacing w:val="-9"/>
          <w:vertAlign w:val="baseline"/>
        </w:rPr>
        <w:t> </w:t>
      </w:r>
      <w:r>
        <w:rPr>
          <w:vertAlign w:val="baseline"/>
        </w:rPr>
        <w:t>victims, as</w:t>
      </w:r>
      <w:r>
        <w:rPr>
          <w:spacing w:val="-8"/>
          <w:vertAlign w:val="baseline"/>
        </w:rPr>
        <w:t> </w:t>
      </w:r>
      <w:r>
        <w:rPr>
          <w:vertAlign w:val="baseline"/>
        </w:rPr>
        <w:t>appropriate”.</w:t>
      </w:r>
      <w:r>
        <w:rPr>
          <w:vertAlign w:val="superscript"/>
        </w:rPr>
        <w:t>435</w:t>
      </w:r>
      <w:r>
        <w:rPr>
          <w:spacing w:val="-8"/>
          <w:vertAlign w:val="baseline"/>
        </w:rPr>
        <w:t> </w:t>
      </w:r>
      <w:r>
        <w:rPr>
          <w:vertAlign w:val="baseline"/>
        </w:rPr>
        <w:t>In</w:t>
      </w:r>
      <w:r>
        <w:rPr>
          <w:spacing w:val="-8"/>
          <w:vertAlign w:val="baseline"/>
        </w:rPr>
        <w:t> </w:t>
      </w:r>
      <w:r>
        <w:rPr>
          <w:vertAlign w:val="baseline"/>
        </w:rPr>
        <w:t>March</w:t>
      </w:r>
      <w:r>
        <w:rPr>
          <w:spacing w:val="-8"/>
          <w:vertAlign w:val="baseline"/>
        </w:rPr>
        <w:t> </w:t>
      </w:r>
      <w:r>
        <w:rPr>
          <w:vertAlign w:val="baseline"/>
        </w:rPr>
        <w:t>2024,</w:t>
      </w:r>
      <w:r>
        <w:rPr>
          <w:spacing w:val="-7"/>
          <w:vertAlign w:val="baseline"/>
        </w:rPr>
        <w:t> </w:t>
      </w:r>
      <w:r>
        <w:rPr>
          <w:vertAlign w:val="baseline"/>
        </w:rPr>
        <w:t>the</w:t>
      </w:r>
      <w:r>
        <w:rPr>
          <w:spacing w:val="-7"/>
          <w:vertAlign w:val="baseline"/>
        </w:rPr>
        <w:t> </w:t>
      </w:r>
      <w:r>
        <w:rPr>
          <w:vertAlign w:val="baseline"/>
        </w:rPr>
        <w:t>UN</w:t>
      </w:r>
      <w:r>
        <w:rPr>
          <w:spacing w:val="-7"/>
          <w:vertAlign w:val="baseline"/>
        </w:rPr>
        <w:t> </w:t>
      </w:r>
      <w:r>
        <w:rPr>
          <w:vertAlign w:val="baseline"/>
        </w:rPr>
        <w:t>Human</w:t>
      </w:r>
      <w:r>
        <w:rPr>
          <w:spacing w:val="-8"/>
          <w:vertAlign w:val="baseline"/>
        </w:rPr>
        <w:t> </w:t>
      </w:r>
      <w:r>
        <w:rPr>
          <w:vertAlign w:val="baseline"/>
        </w:rPr>
        <w:t>Rights</w:t>
      </w:r>
      <w:r>
        <w:rPr>
          <w:spacing w:val="-8"/>
          <w:vertAlign w:val="baseline"/>
        </w:rPr>
        <w:t> </w:t>
      </w:r>
      <w:r>
        <w:rPr>
          <w:vertAlign w:val="baseline"/>
        </w:rPr>
        <w:t>Committee</w:t>
      </w:r>
      <w:r>
        <w:rPr>
          <w:spacing w:val="-7"/>
          <w:vertAlign w:val="baseline"/>
        </w:rPr>
        <w:t> </w:t>
      </w:r>
      <w:r>
        <w:rPr>
          <w:vertAlign w:val="baseline"/>
        </w:rPr>
        <w:t>called</w:t>
      </w:r>
      <w:r>
        <w:rPr>
          <w:spacing w:val="-8"/>
          <w:vertAlign w:val="baseline"/>
        </w:rPr>
        <w:t> </w:t>
      </w:r>
      <w:r>
        <w:rPr>
          <w:vertAlign w:val="baseline"/>
        </w:rPr>
        <w:t>for the UK Government and NI Executive to establish a clear and comprehensive legal framework which applies to all protected groups, including “taking effective steps to promptly enhance hate crime legislation in NI”.</w:t>
      </w:r>
      <w:r>
        <w:rPr>
          <w:spacing w:val="-26"/>
          <w:vertAlign w:val="baseline"/>
        </w:rPr>
        <w:t> </w:t>
      </w:r>
      <w:r>
        <w:rPr>
          <w:vertAlign w:val="superscript"/>
        </w:rPr>
        <w:t>436</w:t>
      </w:r>
    </w:p>
    <w:p>
      <w:pPr>
        <w:pStyle w:val="ListParagraph"/>
        <w:numPr>
          <w:ilvl w:val="1"/>
          <w:numId w:val="7"/>
        </w:numPr>
        <w:tabs>
          <w:tab w:pos="1853" w:val="left" w:leader="none"/>
        </w:tabs>
        <w:spacing w:line="225" w:lineRule="auto" w:before="303" w:after="0"/>
        <w:ind w:left="1853" w:right="1131" w:hanging="720"/>
        <w:jc w:val="left"/>
        <w:rPr>
          <w:sz w:val="28"/>
        </w:rPr>
      </w:pPr>
      <w:r>
        <w:rPr>
          <w:sz w:val="28"/>
        </w:rPr>
        <w:t>In</w:t>
      </w:r>
      <w:r>
        <w:rPr>
          <w:spacing w:val="-6"/>
          <w:sz w:val="28"/>
        </w:rPr>
        <w:t> </w:t>
      </w:r>
      <w:r>
        <w:rPr>
          <w:sz w:val="28"/>
        </w:rPr>
        <w:t>May</w:t>
      </w:r>
      <w:r>
        <w:rPr>
          <w:spacing w:val="-5"/>
          <w:sz w:val="28"/>
        </w:rPr>
        <w:t> </w:t>
      </w:r>
      <w:r>
        <w:rPr>
          <w:sz w:val="28"/>
        </w:rPr>
        <w:t>2023,</w:t>
      </w:r>
      <w:r>
        <w:rPr>
          <w:spacing w:val="-6"/>
          <w:sz w:val="28"/>
        </w:rPr>
        <w:t> </w:t>
      </w:r>
      <w:r>
        <w:rPr>
          <w:sz w:val="28"/>
        </w:rPr>
        <w:t>the</w:t>
      </w:r>
      <w:r>
        <w:rPr>
          <w:spacing w:val="-5"/>
          <w:sz w:val="28"/>
        </w:rPr>
        <w:t> </w:t>
      </w:r>
      <w:r>
        <w:rPr>
          <w:sz w:val="28"/>
        </w:rPr>
        <w:t>ECNI</w:t>
      </w:r>
      <w:r>
        <w:rPr>
          <w:spacing w:val="-5"/>
          <w:sz w:val="28"/>
        </w:rPr>
        <w:t> </w:t>
      </w:r>
      <w:r>
        <w:rPr>
          <w:sz w:val="28"/>
        </w:rPr>
        <w:t>published</w:t>
      </w:r>
      <w:r>
        <w:rPr>
          <w:spacing w:val="-5"/>
          <w:sz w:val="28"/>
        </w:rPr>
        <w:t> </w:t>
      </w:r>
      <w:r>
        <w:rPr>
          <w:sz w:val="28"/>
        </w:rPr>
        <w:t>independent</w:t>
      </w:r>
      <w:r>
        <w:rPr>
          <w:spacing w:val="-5"/>
          <w:sz w:val="28"/>
        </w:rPr>
        <w:t> </w:t>
      </w:r>
      <w:r>
        <w:rPr>
          <w:sz w:val="28"/>
        </w:rPr>
        <w:t>research</w:t>
      </w:r>
      <w:r>
        <w:rPr>
          <w:spacing w:val="-6"/>
          <w:sz w:val="28"/>
        </w:rPr>
        <w:t> </w:t>
      </w:r>
      <w:r>
        <w:rPr>
          <w:sz w:val="28"/>
        </w:rPr>
        <w:t>on</w:t>
      </w:r>
      <w:r>
        <w:rPr>
          <w:spacing w:val="-5"/>
          <w:sz w:val="28"/>
        </w:rPr>
        <w:t> </w:t>
      </w:r>
      <w:r>
        <w:rPr>
          <w:sz w:val="28"/>
        </w:rPr>
        <w:t>the</w:t>
      </w:r>
      <w:r>
        <w:rPr>
          <w:spacing w:val="-5"/>
          <w:sz w:val="28"/>
        </w:rPr>
        <w:t> </w:t>
      </w:r>
      <w:r>
        <w:rPr>
          <w:sz w:val="28"/>
        </w:rPr>
        <w:t>impact</w:t>
      </w:r>
      <w:r>
        <w:rPr>
          <w:spacing w:val="-5"/>
          <w:sz w:val="28"/>
        </w:rPr>
        <w:t> </w:t>
      </w:r>
      <w:r>
        <w:rPr>
          <w:sz w:val="28"/>
        </w:rPr>
        <w:t>of</w:t>
      </w:r>
      <w:r>
        <w:rPr>
          <w:spacing w:val="-6"/>
          <w:sz w:val="28"/>
        </w:rPr>
        <w:t> </w:t>
      </w:r>
      <w:r>
        <w:rPr>
          <w:sz w:val="28"/>
        </w:rPr>
        <w:t>Brexit on minority ethnic and migrant people in NI, which includes consideration of the</w:t>
      </w:r>
      <w:r>
        <w:rPr>
          <w:spacing w:val="-1"/>
          <w:sz w:val="28"/>
        </w:rPr>
        <w:t> </w:t>
      </w:r>
      <w:r>
        <w:rPr>
          <w:sz w:val="28"/>
        </w:rPr>
        <w:t>experiences</w:t>
      </w:r>
      <w:r>
        <w:rPr>
          <w:spacing w:val="-2"/>
          <w:sz w:val="28"/>
        </w:rPr>
        <w:t> </w:t>
      </w:r>
      <w:r>
        <w:rPr>
          <w:sz w:val="28"/>
        </w:rPr>
        <w:t>of</w:t>
      </w:r>
      <w:r>
        <w:rPr>
          <w:spacing w:val="-2"/>
          <w:sz w:val="28"/>
        </w:rPr>
        <w:t> </w:t>
      </w:r>
      <w:r>
        <w:rPr>
          <w:sz w:val="28"/>
        </w:rPr>
        <w:t>racism</w:t>
      </w:r>
      <w:r>
        <w:rPr>
          <w:spacing w:val="-1"/>
          <w:sz w:val="28"/>
        </w:rPr>
        <w:t> </w:t>
      </w:r>
      <w:r>
        <w:rPr>
          <w:sz w:val="28"/>
        </w:rPr>
        <w:t>and</w:t>
      </w:r>
      <w:r>
        <w:rPr>
          <w:spacing w:val="-2"/>
          <w:sz w:val="28"/>
        </w:rPr>
        <w:t> </w:t>
      </w:r>
      <w:r>
        <w:rPr>
          <w:sz w:val="28"/>
        </w:rPr>
        <w:t>race</w:t>
      </w:r>
      <w:r>
        <w:rPr>
          <w:spacing w:val="-1"/>
          <w:sz w:val="28"/>
        </w:rPr>
        <w:t> </w:t>
      </w:r>
      <w:r>
        <w:rPr>
          <w:sz w:val="28"/>
        </w:rPr>
        <w:t>hate</w:t>
      </w:r>
      <w:r>
        <w:rPr>
          <w:spacing w:val="-1"/>
          <w:sz w:val="28"/>
        </w:rPr>
        <w:t> </w:t>
      </w:r>
      <w:r>
        <w:rPr>
          <w:sz w:val="28"/>
        </w:rPr>
        <w:t>crime</w:t>
      </w:r>
      <w:r>
        <w:rPr>
          <w:spacing w:val="-1"/>
          <w:sz w:val="28"/>
        </w:rPr>
        <w:t> </w:t>
      </w:r>
      <w:r>
        <w:rPr>
          <w:sz w:val="28"/>
        </w:rPr>
        <w:t>after</w:t>
      </w:r>
      <w:r>
        <w:rPr>
          <w:spacing w:val="-1"/>
          <w:sz w:val="28"/>
        </w:rPr>
        <w:t> </w:t>
      </w:r>
      <w:r>
        <w:rPr>
          <w:sz w:val="28"/>
        </w:rPr>
        <w:t>Brexit.</w:t>
      </w:r>
      <w:r>
        <w:rPr>
          <w:spacing w:val="-2"/>
          <w:sz w:val="28"/>
        </w:rPr>
        <w:t> </w:t>
      </w:r>
      <w:r>
        <w:rPr>
          <w:sz w:val="28"/>
        </w:rPr>
        <w:t>One</w:t>
      </w:r>
      <w:r>
        <w:rPr>
          <w:spacing w:val="-1"/>
          <w:sz w:val="28"/>
        </w:rPr>
        <w:t> </w:t>
      </w:r>
      <w:r>
        <w:rPr>
          <w:sz w:val="28"/>
        </w:rPr>
        <w:t>of</w:t>
      </w:r>
      <w:r>
        <w:rPr>
          <w:spacing w:val="-2"/>
          <w:sz w:val="28"/>
        </w:rPr>
        <w:t> </w:t>
      </w:r>
      <w:r>
        <w:rPr>
          <w:sz w:val="28"/>
        </w:rPr>
        <w:t>the</w:t>
      </w:r>
      <w:r>
        <w:rPr>
          <w:spacing w:val="-1"/>
          <w:sz w:val="28"/>
        </w:rPr>
        <w:t> </w:t>
      </w:r>
      <w:r>
        <w:rPr>
          <w:sz w:val="28"/>
        </w:rPr>
        <w:t>findings in the report is a widespread perception that Brexit has led to an increase in the expression of racism in NI.</w:t>
      </w:r>
      <w:r>
        <w:rPr>
          <w:sz w:val="28"/>
          <w:vertAlign w:val="superscript"/>
        </w:rPr>
        <w:t>437</w:t>
      </w:r>
    </w:p>
    <w:p>
      <w:pPr>
        <w:pStyle w:val="ListParagraph"/>
        <w:numPr>
          <w:ilvl w:val="1"/>
          <w:numId w:val="7"/>
        </w:numPr>
        <w:tabs>
          <w:tab w:pos="1853" w:val="left" w:leader="none"/>
        </w:tabs>
        <w:spacing w:line="225" w:lineRule="auto" w:before="314" w:after="0"/>
        <w:ind w:left="1853" w:right="1574" w:hanging="720"/>
        <w:jc w:val="left"/>
        <w:rPr>
          <w:sz w:val="28"/>
        </w:rPr>
      </w:pPr>
      <w:r>
        <w:rPr>
          <w:sz w:val="28"/>
        </w:rPr>
        <w:t>The</w:t>
      </w:r>
      <w:r>
        <w:rPr>
          <w:spacing w:val="-7"/>
          <w:sz w:val="28"/>
        </w:rPr>
        <w:t> </w:t>
      </w:r>
      <w:r>
        <w:rPr>
          <w:sz w:val="28"/>
        </w:rPr>
        <w:t>research</w:t>
      </w:r>
      <w:r>
        <w:rPr>
          <w:spacing w:val="-8"/>
          <w:sz w:val="28"/>
        </w:rPr>
        <w:t> </w:t>
      </w:r>
      <w:r>
        <w:rPr>
          <w:sz w:val="28"/>
        </w:rPr>
        <w:t>report</w:t>
      </w:r>
      <w:r>
        <w:rPr>
          <w:spacing w:val="-7"/>
          <w:sz w:val="28"/>
        </w:rPr>
        <w:t> </w:t>
      </w:r>
      <w:r>
        <w:rPr>
          <w:sz w:val="28"/>
        </w:rPr>
        <w:t>notes</w:t>
      </w:r>
      <w:r>
        <w:rPr>
          <w:spacing w:val="-8"/>
          <w:sz w:val="28"/>
        </w:rPr>
        <w:t> </w:t>
      </w:r>
      <w:r>
        <w:rPr>
          <w:sz w:val="28"/>
        </w:rPr>
        <w:t>that</w:t>
      </w:r>
      <w:r>
        <w:rPr>
          <w:spacing w:val="-7"/>
          <w:sz w:val="28"/>
        </w:rPr>
        <w:t> </w:t>
      </w:r>
      <w:r>
        <w:rPr>
          <w:sz w:val="28"/>
        </w:rPr>
        <w:t>there</w:t>
      </w:r>
      <w:r>
        <w:rPr>
          <w:spacing w:val="-7"/>
          <w:sz w:val="28"/>
        </w:rPr>
        <w:t> </w:t>
      </w:r>
      <w:r>
        <w:rPr>
          <w:sz w:val="28"/>
        </w:rPr>
        <w:t>was</w:t>
      </w:r>
      <w:r>
        <w:rPr>
          <w:spacing w:val="-8"/>
          <w:sz w:val="28"/>
        </w:rPr>
        <w:t> </w:t>
      </w:r>
      <w:r>
        <w:rPr>
          <w:sz w:val="28"/>
        </w:rPr>
        <w:t>a</w:t>
      </w:r>
      <w:r>
        <w:rPr>
          <w:spacing w:val="-8"/>
          <w:sz w:val="28"/>
        </w:rPr>
        <w:t> </w:t>
      </w:r>
      <w:r>
        <w:rPr>
          <w:sz w:val="28"/>
        </w:rPr>
        <w:t>marked</w:t>
      </w:r>
      <w:r>
        <w:rPr>
          <w:spacing w:val="-8"/>
          <w:sz w:val="28"/>
        </w:rPr>
        <w:t> </w:t>
      </w:r>
      <w:r>
        <w:rPr>
          <w:sz w:val="28"/>
        </w:rPr>
        <w:t>increase</w:t>
      </w:r>
      <w:r>
        <w:rPr>
          <w:spacing w:val="-7"/>
          <w:sz w:val="28"/>
        </w:rPr>
        <w:t> </w:t>
      </w:r>
      <w:r>
        <w:rPr>
          <w:sz w:val="28"/>
        </w:rPr>
        <w:t>in</w:t>
      </w:r>
      <w:r>
        <w:rPr>
          <w:spacing w:val="-8"/>
          <w:sz w:val="28"/>
        </w:rPr>
        <w:t> </w:t>
      </w:r>
      <w:r>
        <w:rPr>
          <w:sz w:val="28"/>
        </w:rPr>
        <w:t>race</w:t>
      </w:r>
      <w:r>
        <w:rPr>
          <w:spacing w:val="-7"/>
          <w:sz w:val="28"/>
        </w:rPr>
        <w:t> </w:t>
      </w:r>
      <w:r>
        <w:rPr>
          <w:sz w:val="28"/>
        </w:rPr>
        <w:t>related hate crimes in NI in the period 2021-2022, as evidenced by Police Service of NI (PSNI) Hate Motivation Statistics for the period ending March 2022.</w:t>
      </w:r>
    </w:p>
    <w:p>
      <w:pPr>
        <w:pStyle w:val="BodyText"/>
        <w:spacing w:line="225" w:lineRule="auto"/>
        <w:ind w:left="1853" w:right="1124"/>
      </w:pPr>
      <w:r>
        <w:rPr/>
        <w:t>The overall number of racist incidents and crimes fell in 2022/23, but the number</w:t>
      </w:r>
      <w:r>
        <w:rPr>
          <w:spacing w:val="-8"/>
        </w:rPr>
        <w:t> </w:t>
      </w:r>
      <w:r>
        <w:rPr/>
        <w:t>of</w:t>
      </w:r>
      <w:r>
        <w:rPr>
          <w:spacing w:val="-9"/>
        </w:rPr>
        <w:t> </w:t>
      </w:r>
      <w:r>
        <w:rPr/>
        <w:t>race</w:t>
      </w:r>
      <w:r>
        <w:rPr>
          <w:spacing w:val="-8"/>
        </w:rPr>
        <w:t> </w:t>
      </w:r>
      <w:r>
        <w:rPr/>
        <w:t>related</w:t>
      </w:r>
      <w:r>
        <w:rPr>
          <w:spacing w:val="-9"/>
        </w:rPr>
        <w:t> </w:t>
      </w:r>
      <w:r>
        <w:rPr/>
        <w:t>hate</w:t>
      </w:r>
      <w:r>
        <w:rPr>
          <w:spacing w:val="-8"/>
        </w:rPr>
        <w:t> </w:t>
      </w:r>
      <w:r>
        <w:rPr/>
        <w:t>crimes</w:t>
      </w:r>
      <w:r>
        <w:rPr>
          <w:spacing w:val="-9"/>
        </w:rPr>
        <w:t> </w:t>
      </w:r>
      <w:r>
        <w:rPr/>
        <w:t>against</w:t>
      </w:r>
      <w:r>
        <w:rPr>
          <w:spacing w:val="-8"/>
        </w:rPr>
        <w:t> </w:t>
      </w:r>
      <w:r>
        <w:rPr/>
        <w:t>minority</w:t>
      </w:r>
      <w:r>
        <w:rPr>
          <w:spacing w:val="-8"/>
        </w:rPr>
        <w:t> </w:t>
      </w:r>
      <w:r>
        <w:rPr/>
        <w:t>ethnic</w:t>
      </w:r>
      <w:r>
        <w:rPr>
          <w:spacing w:val="-8"/>
        </w:rPr>
        <w:t> </w:t>
      </w:r>
      <w:r>
        <w:rPr/>
        <w:t>people</w:t>
      </w:r>
      <w:r>
        <w:rPr>
          <w:spacing w:val="-8"/>
        </w:rPr>
        <w:t> </w:t>
      </w:r>
      <w:r>
        <w:rPr/>
        <w:t>has</w:t>
      </w:r>
      <w:r>
        <w:rPr>
          <w:spacing w:val="-9"/>
        </w:rPr>
        <w:t> </w:t>
      </w:r>
      <w:r>
        <w:rPr/>
        <w:t>risen.</w:t>
      </w:r>
      <w:r>
        <w:rPr>
          <w:vertAlign w:val="superscript"/>
        </w:rPr>
        <w:t>438</w:t>
      </w:r>
      <w:r>
        <w:rPr>
          <w:vertAlign w:val="baseline"/>
        </w:rPr>
        <w:t> Incidents and crimes with a racist motivation showed the largest overall increase.</w:t>
      </w:r>
      <w:r>
        <w:rPr>
          <w:vertAlign w:val="superscript"/>
        </w:rPr>
        <w:t>439</w:t>
      </w:r>
      <w:r>
        <w:rPr>
          <w:vertAlign w:val="baseline"/>
        </w:rPr>
        <w:t> In 2023, there have been increased reports of ‘organised’ hate</w:t>
      </w:r>
    </w:p>
    <w:p>
      <w:pPr>
        <w:pStyle w:val="BodyText"/>
        <w:spacing w:before="2"/>
        <w:rPr>
          <w:sz w:val="8"/>
        </w:rPr>
      </w:pPr>
      <w:r>
        <w:rPr/>
        <mc:AlternateContent>
          <mc:Choice Requires="wps">
            <w:drawing>
              <wp:anchor distT="0" distB="0" distL="0" distR="0" allowOverlap="1" layoutInCell="1" locked="0" behindDoc="1" simplePos="0" relativeHeight="487674880">
                <wp:simplePos x="0" y="0"/>
                <wp:positionH relativeFrom="page">
                  <wp:posOffset>719996</wp:posOffset>
                </wp:positionH>
                <wp:positionV relativeFrom="paragraph">
                  <wp:posOffset>78535</wp:posOffset>
                </wp:positionV>
                <wp:extent cx="6120130" cy="1270"/>
                <wp:effectExtent l="0" t="0" r="0" b="0"/>
                <wp:wrapTopAndBottom/>
                <wp:docPr id="366" name="Graphic 366"/>
                <wp:cNvGraphicFramePr>
                  <a:graphicFrameLocks/>
                </wp:cNvGraphicFramePr>
                <a:graphic>
                  <a:graphicData uri="http://schemas.microsoft.com/office/word/2010/wordprocessingShape">
                    <wps:wsp>
                      <wps:cNvPr id="366" name="Graphic 366"/>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6.183925pt;width:481.9pt;height:.1pt;mso-position-horizontal-relative:page;mso-position-vertical-relative:paragraph;z-index:-15641600;mso-wrap-distance-left:0;mso-wrap-distance-right:0" id="docshape316" coordorigin="1134,124" coordsize="9638,0" path="m10772,124l1134,124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35" w:lineRule="auto" w:before="133" w:after="0"/>
        <w:ind w:left="1853" w:right="1327" w:hanging="720"/>
        <w:jc w:val="left"/>
        <w:rPr>
          <w:sz w:val="18"/>
        </w:rPr>
      </w:pPr>
      <w:r>
        <w:rPr>
          <w:sz w:val="18"/>
        </w:rPr>
        <w:t>CCPR/C/GBR/CO/8, ‘UN Human Rights Committee Concluding Observations on the Eighth Periodic Report of the UK of Great Britain</w:t>
      </w:r>
      <w:r>
        <w:rPr>
          <w:spacing w:val="-1"/>
          <w:sz w:val="18"/>
        </w:rPr>
        <w:t> </w:t>
      </w:r>
      <w:r>
        <w:rPr>
          <w:sz w:val="18"/>
        </w:rPr>
        <w:t>and</w:t>
      </w:r>
      <w:r>
        <w:rPr>
          <w:spacing w:val="-1"/>
          <w:sz w:val="18"/>
        </w:rPr>
        <w:t> </w:t>
      </w:r>
      <w:r>
        <w:rPr>
          <w:sz w:val="18"/>
        </w:rPr>
        <w:t>NI’, 28 March</w:t>
      </w:r>
      <w:r>
        <w:rPr>
          <w:spacing w:val="-1"/>
          <w:sz w:val="18"/>
        </w:rPr>
        <w:t> </w:t>
      </w:r>
      <w:r>
        <w:rPr>
          <w:sz w:val="18"/>
        </w:rPr>
        <w:t>2024, at para</w:t>
      </w:r>
      <w:r>
        <w:rPr>
          <w:spacing w:val="-1"/>
          <w:sz w:val="18"/>
        </w:rPr>
        <w:t> </w:t>
      </w:r>
      <w:r>
        <w:rPr>
          <w:sz w:val="18"/>
        </w:rPr>
        <w:t>17; CRC/C/GBR/CO/6-7, ‘Concluding Observations</w:t>
      </w:r>
      <w:r>
        <w:rPr>
          <w:spacing w:val="-1"/>
          <w:sz w:val="18"/>
        </w:rPr>
        <w:t> </w:t>
      </w:r>
      <w:r>
        <w:rPr>
          <w:sz w:val="18"/>
        </w:rPr>
        <w:t>on</w:t>
      </w:r>
      <w:r>
        <w:rPr>
          <w:spacing w:val="-1"/>
          <w:sz w:val="18"/>
        </w:rPr>
        <w:t> </w:t>
      </w:r>
      <w:r>
        <w:rPr>
          <w:sz w:val="18"/>
        </w:rPr>
        <w:t>the Combined</w:t>
      </w:r>
      <w:r>
        <w:rPr>
          <w:spacing w:val="-1"/>
          <w:sz w:val="18"/>
        </w:rPr>
        <w:t> </w:t>
      </w:r>
      <w:r>
        <w:rPr>
          <w:sz w:val="18"/>
        </w:rPr>
        <w:t>Sixth and Seventh Reports of the UK of Great Britain and NI’, 2 June 2023, at para 20; CERD/C/GBR/CO/21-23, ‘Concluding Observations</w:t>
      </w:r>
      <w:r>
        <w:rPr>
          <w:spacing w:val="-4"/>
          <w:sz w:val="18"/>
        </w:rPr>
        <w:t> </w:t>
      </w:r>
      <w:r>
        <w:rPr>
          <w:sz w:val="18"/>
        </w:rPr>
        <w:t>on</w:t>
      </w:r>
      <w:r>
        <w:rPr>
          <w:spacing w:val="-4"/>
          <w:sz w:val="18"/>
        </w:rPr>
        <w:t> </w:t>
      </w:r>
      <w:r>
        <w:rPr>
          <w:sz w:val="18"/>
        </w:rPr>
        <w:t>the</w:t>
      </w:r>
      <w:r>
        <w:rPr>
          <w:spacing w:val="-3"/>
          <w:sz w:val="18"/>
        </w:rPr>
        <w:t> </w:t>
      </w:r>
      <w:r>
        <w:rPr>
          <w:sz w:val="18"/>
        </w:rPr>
        <w:t>Twenty-first</w:t>
      </w:r>
      <w:r>
        <w:rPr>
          <w:spacing w:val="-3"/>
          <w:sz w:val="18"/>
        </w:rPr>
        <w:t> </w:t>
      </w:r>
      <w:r>
        <w:rPr>
          <w:sz w:val="18"/>
        </w:rPr>
        <w:t>to</w:t>
      </w:r>
      <w:r>
        <w:rPr>
          <w:spacing w:val="-4"/>
          <w:sz w:val="18"/>
        </w:rPr>
        <w:t> </w:t>
      </w:r>
      <w:r>
        <w:rPr>
          <w:sz w:val="18"/>
        </w:rPr>
        <w:t>Twenty-third</w:t>
      </w:r>
      <w:r>
        <w:rPr>
          <w:spacing w:val="-4"/>
          <w:sz w:val="18"/>
        </w:rPr>
        <w:t> </w:t>
      </w:r>
      <w:r>
        <w:rPr>
          <w:sz w:val="18"/>
        </w:rPr>
        <w:t>Periodic</w:t>
      </w:r>
      <w:r>
        <w:rPr>
          <w:spacing w:val="-3"/>
          <w:sz w:val="18"/>
        </w:rPr>
        <w:t> </w:t>
      </w:r>
      <w:r>
        <w:rPr>
          <w:sz w:val="18"/>
        </w:rPr>
        <w:t>Reports</w:t>
      </w:r>
      <w:r>
        <w:rPr>
          <w:spacing w:val="-4"/>
          <w:sz w:val="18"/>
        </w:rPr>
        <w:t> </w:t>
      </w:r>
      <w:r>
        <w:rPr>
          <w:sz w:val="18"/>
        </w:rPr>
        <w:t>of</w:t>
      </w:r>
      <w:r>
        <w:rPr>
          <w:spacing w:val="-4"/>
          <w:sz w:val="18"/>
        </w:rPr>
        <w:t> </w:t>
      </w:r>
      <w:r>
        <w:rPr>
          <w:sz w:val="18"/>
        </w:rPr>
        <w:t>the</w:t>
      </w:r>
      <w:r>
        <w:rPr>
          <w:spacing w:val="-3"/>
          <w:sz w:val="18"/>
        </w:rPr>
        <w:t> </w:t>
      </w:r>
      <w:r>
        <w:rPr>
          <w:sz w:val="18"/>
        </w:rPr>
        <w:t>UK</w:t>
      </w:r>
      <w:r>
        <w:rPr>
          <w:spacing w:val="-3"/>
          <w:sz w:val="18"/>
        </w:rPr>
        <w:t> </w:t>
      </w:r>
      <w:r>
        <w:rPr>
          <w:sz w:val="18"/>
        </w:rPr>
        <w:t>of</w:t>
      </w:r>
      <w:r>
        <w:rPr>
          <w:spacing w:val="-4"/>
          <w:sz w:val="18"/>
        </w:rPr>
        <w:t> </w:t>
      </w:r>
      <w:r>
        <w:rPr>
          <w:sz w:val="18"/>
        </w:rPr>
        <w:t>Great</w:t>
      </w:r>
      <w:r>
        <w:rPr>
          <w:spacing w:val="-3"/>
          <w:sz w:val="18"/>
        </w:rPr>
        <w:t> </w:t>
      </w:r>
      <w:r>
        <w:rPr>
          <w:sz w:val="18"/>
        </w:rPr>
        <w:t>Britain</w:t>
      </w:r>
      <w:r>
        <w:rPr>
          <w:spacing w:val="-4"/>
          <w:sz w:val="18"/>
        </w:rPr>
        <w:t> </w:t>
      </w:r>
      <w:r>
        <w:rPr>
          <w:sz w:val="18"/>
        </w:rPr>
        <w:t>and</w:t>
      </w:r>
      <w:r>
        <w:rPr>
          <w:spacing w:val="-4"/>
          <w:sz w:val="18"/>
        </w:rPr>
        <w:t> </w:t>
      </w:r>
      <w:r>
        <w:rPr>
          <w:sz w:val="18"/>
        </w:rPr>
        <w:t>NI’,</w:t>
      </w:r>
      <w:r>
        <w:rPr>
          <w:spacing w:val="-3"/>
          <w:sz w:val="18"/>
        </w:rPr>
        <w:t> </w:t>
      </w:r>
      <w:r>
        <w:rPr>
          <w:sz w:val="18"/>
        </w:rPr>
        <w:t>26</w:t>
      </w:r>
      <w:r>
        <w:rPr>
          <w:spacing w:val="-3"/>
          <w:sz w:val="18"/>
        </w:rPr>
        <w:t> </w:t>
      </w:r>
      <w:r>
        <w:rPr>
          <w:sz w:val="18"/>
        </w:rPr>
        <w:t>August</w:t>
      </w:r>
      <w:r>
        <w:rPr>
          <w:spacing w:val="-3"/>
          <w:sz w:val="18"/>
        </w:rPr>
        <w:t> </w:t>
      </w:r>
      <w:r>
        <w:rPr>
          <w:sz w:val="18"/>
        </w:rPr>
        <w:t>2016,</w:t>
      </w:r>
      <w:r>
        <w:rPr>
          <w:spacing w:val="-3"/>
          <w:sz w:val="18"/>
        </w:rPr>
        <w:t> </w:t>
      </w:r>
      <w:r>
        <w:rPr>
          <w:sz w:val="18"/>
        </w:rPr>
        <w:t>at para</w:t>
      </w:r>
      <w:r>
        <w:rPr>
          <w:spacing w:val="-7"/>
          <w:sz w:val="18"/>
        </w:rPr>
        <w:t> </w:t>
      </w:r>
      <w:r>
        <w:rPr>
          <w:sz w:val="18"/>
        </w:rPr>
        <w:t>16;</w:t>
      </w:r>
      <w:r>
        <w:rPr>
          <w:spacing w:val="-6"/>
          <w:sz w:val="18"/>
        </w:rPr>
        <w:t> </w:t>
      </w:r>
      <w:r>
        <w:rPr>
          <w:sz w:val="18"/>
        </w:rPr>
        <w:t>CAT/C/GBR/CO/6,</w:t>
      </w:r>
      <w:r>
        <w:rPr>
          <w:spacing w:val="-6"/>
          <w:sz w:val="18"/>
        </w:rPr>
        <w:t> </w:t>
      </w:r>
      <w:r>
        <w:rPr>
          <w:sz w:val="18"/>
        </w:rPr>
        <w:t>‘UN</w:t>
      </w:r>
      <w:r>
        <w:rPr>
          <w:spacing w:val="-6"/>
          <w:sz w:val="18"/>
        </w:rPr>
        <w:t> </w:t>
      </w:r>
      <w:r>
        <w:rPr>
          <w:sz w:val="18"/>
        </w:rPr>
        <w:t>CAT</w:t>
      </w:r>
      <w:r>
        <w:rPr>
          <w:spacing w:val="-7"/>
          <w:sz w:val="18"/>
        </w:rPr>
        <w:t> </w:t>
      </w:r>
      <w:r>
        <w:rPr>
          <w:sz w:val="18"/>
        </w:rPr>
        <w:t>Committee</w:t>
      </w:r>
      <w:r>
        <w:rPr>
          <w:spacing w:val="-6"/>
          <w:sz w:val="18"/>
        </w:rPr>
        <w:t> </w:t>
      </w:r>
      <w:r>
        <w:rPr>
          <w:sz w:val="18"/>
        </w:rPr>
        <w:t>Concluding</w:t>
      </w:r>
      <w:r>
        <w:rPr>
          <w:spacing w:val="-6"/>
          <w:sz w:val="18"/>
        </w:rPr>
        <w:t> </w:t>
      </w:r>
      <w:r>
        <w:rPr>
          <w:sz w:val="18"/>
        </w:rPr>
        <w:t>Observations</w:t>
      </w:r>
      <w:r>
        <w:rPr>
          <w:spacing w:val="-7"/>
          <w:sz w:val="18"/>
        </w:rPr>
        <w:t> </w:t>
      </w:r>
      <w:r>
        <w:rPr>
          <w:sz w:val="18"/>
        </w:rPr>
        <w:t>on</w:t>
      </w:r>
      <w:r>
        <w:rPr>
          <w:spacing w:val="-7"/>
          <w:sz w:val="18"/>
        </w:rPr>
        <w:t> </w:t>
      </w:r>
      <w:r>
        <w:rPr>
          <w:sz w:val="18"/>
        </w:rPr>
        <w:t>the</w:t>
      </w:r>
      <w:r>
        <w:rPr>
          <w:spacing w:val="-6"/>
          <w:sz w:val="18"/>
        </w:rPr>
        <w:t> </w:t>
      </w:r>
      <w:r>
        <w:rPr>
          <w:sz w:val="18"/>
        </w:rPr>
        <w:t>Sixth</w:t>
      </w:r>
      <w:r>
        <w:rPr>
          <w:spacing w:val="-7"/>
          <w:sz w:val="18"/>
        </w:rPr>
        <w:t> </w:t>
      </w:r>
      <w:r>
        <w:rPr>
          <w:sz w:val="18"/>
        </w:rPr>
        <w:t>Periodic</w:t>
      </w:r>
      <w:r>
        <w:rPr>
          <w:spacing w:val="-6"/>
          <w:sz w:val="18"/>
        </w:rPr>
        <w:t> </w:t>
      </w:r>
      <w:r>
        <w:rPr>
          <w:sz w:val="18"/>
        </w:rPr>
        <w:t>Report</w:t>
      </w:r>
      <w:r>
        <w:rPr>
          <w:spacing w:val="-6"/>
          <w:sz w:val="18"/>
        </w:rPr>
        <w:t> </w:t>
      </w:r>
      <w:r>
        <w:rPr>
          <w:sz w:val="18"/>
        </w:rPr>
        <w:t>of</w:t>
      </w:r>
      <w:r>
        <w:rPr>
          <w:spacing w:val="-7"/>
          <w:sz w:val="18"/>
        </w:rPr>
        <w:t> </w:t>
      </w:r>
      <w:r>
        <w:rPr>
          <w:sz w:val="18"/>
        </w:rPr>
        <w:t>the</w:t>
      </w:r>
      <w:r>
        <w:rPr>
          <w:spacing w:val="-6"/>
          <w:sz w:val="18"/>
        </w:rPr>
        <w:t> </w:t>
      </w:r>
      <w:r>
        <w:rPr>
          <w:sz w:val="18"/>
        </w:rPr>
        <w:t>UK</w:t>
      </w:r>
      <w:r>
        <w:rPr>
          <w:spacing w:val="-6"/>
          <w:sz w:val="18"/>
        </w:rPr>
        <w:t> </w:t>
      </w:r>
      <w:r>
        <w:rPr>
          <w:sz w:val="18"/>
        </w:rPr>
        <w:t>of</w:t>
      </w:r>
      <w:r>
        <w:rPr>
          <w:spacing w:val="-7"/>
          <w:sz w:val="18"/>
        </w:rPr>
        <w:t> </w:t>
      </w:r>
      <w:r>
        <w:rPr>
          <w:sz w:val="18"/>
        </w:rPr>
        <w:t>Great Britain and NI’, 7 June 2019, at para 63.</w:t>
      </w:r>
    </w:p>
    <w:p>
      <w:pPr>
        <w:pStyle w:val="ListParagraph"/>
        <w:numPr>
          <w:ilvl w:val="0"/>
          <w:numId w:val="9"/>
        </w:numPr>
        <w:tabs>
          <w:tab w:pos="1853" w:val="left" w:leader="none"/>
        </w:tabs>
        <w:spacing w:line="235" w:lineRule="auto" w:before="4" w:after="0"/>
        <w:ind w:left="1853" w:right="1221" w:hanging="720"/>
        <w:jc w:val="left"/>
        <w:rPr>
          <w:sz w:val="18"/>
        </w:rPr>
      </w:pPr>
      <w:r>
        <w:rPr>
          <w:sz w:val="18"/>
        </w:rPr>
        <w:t>CRC/C/GBR/CO/6-7,</w:t>
      </w:r>
      <w:r>
        <w:rPr>
          <w:spacing w:val="-3"/>
          <w:sz w:val="18"/>
        </w:rPr>
        <w:t> </w:t>
      </w:r>
      <w:r>
        <w:rPr>
          <w:sz w:val="18"/>
        </w:rPr>
        <w:t>‘Concluding</w:t>
      </w:r>
      <w:r>
        <w:rPr>
          <w:spacing w:val="-3"/>
          <w:sz w:val="18"/>
        </w:rPr>
        <w:t> </w:t>
      </w:r>
      <w:r>
        <w:rPr>
          <w:sz w:val="18"/>
        </w:rPr>
        <w:t>Observations</w:t>
      </w:r>
      <w:r>
        <w:rPr>
          <w:spacing w:val="-4"/>
          <w:sz w:val="18"/>
        </w:rPr>
        <w:t> </w:t>
      </w:r>
      <w:r>
        <w:rPr>
          <w:sz w:val="18"/>
        </w:rPr>
        <w:t>on</w:t>
      </w:r>
      <w:r>
        <w:rPr>
          <w:spacing w:val="-4"/>
          <w:sz w:val="18"/>
        </w:rPr>
        <w:t> </w:t>
      </w:r>
      <w:r>
        <w:rPr>
          <w:sz w:val="18"/>
        </w:rPr>
        <w:t>the</w:t>
      </w:r>
      <w:r>
        <w:rPr>
          <w:spacing w:val="-3"/>
          <w:sz w:val="18"/>
        </w:rPr>
        <w:t> </w:t>
      </w:r>
      <w:r>
        <w:rPr>
          <w:sz w:val="18"/>
        </w:rPr>
        <w:t>Combined</w:t>
      </w:r>
      <w:r>
        <w:rPr>
          <w:spacing w:val="-4"/>
          <w:sz w:val="18"/>
        </w:rPr>
        <w:t> </w:t>
      </w:r>
      <w:r>
        <w:rPr>
          <w:sz w:val="18"/>
        </w:rPr>
        <w:t>Sixth</w:t>
      </w:r>
      <w:r>
        <w:rPr>
          <w:spacing w:val="-4"/>
          <w:sz w:val="18"/>
        </w:rPr>
        <w:t> </w:t>
      </w:r>
      <w:r>
        <w:rPr>
          <w:sz w:val="18"/>
        </w:rPr>
        <w:t>and</w:t>
      </w:r>
      <w:r>
        <w:rPr>
          <w:spacing w:val="-4"/>
          <w:sz w:val="18"/>
        </w:rPr>
        <w:t> </w:t>
      </w:r>
      <w:r>
        <w:rPr>
          <w:sz w:val="18"/>
        </w:rPr>
        <w:t>Seventh</w:t>
      </w:r>
      <w:r>
        <w:rPr>
          <w:spacing w:val="-4"/>
          <w:sz w:val="18"/>
        </w:rPr>
        <w:t> </w:t>
      </w:r>
      <w:r>
        <w:rPr>
          <w:sz w:val="18"/>
        </w:rPr>
        <w:t>Reports</w:t>
      </w:r>
      <w:r>
        <w:rPr>
          <w:spacing w:val="-4"/>
          <w:sz w:val="18"/>
        </w:rPr>
        <w:t> </w:t>
      </w:r>
      <w:r>
        <w:rPr>
          <w:sz w:val="18"/>
        </w:rPr>
        <w:t>of</w:t>
      </w:r>
      <w:r>
        <w:rPr>
          <w:spacing w:val="-4"/>
          <w:sz w:val="18"/>
        </w:rPr>
        <w:t> </w:t>
      </w:r>
      <w:r>
        <w:rPr>
          <w:sz w:val="18"/>
        </w:rPr>
        <w:t>the</w:t>
      </w:r>
      <w:r>
        <w:rPr>
          <w:spacing w:val="-3"/>
          <w:sz w:val="18"/>
        </w:rPr>
        <w:t> </w:t>
      </w:r>
      <w:r>
        <w:rPr>
          <w:sz w:val="18"/>
        </w:rPr>
        <w:t>UK</w:t>
      </w:r>
      <w:r>
        <w:rPr>
          <w:spacing w:val="-3"/>
          <w:sz w:val="18"/>
        </w:rPr>
        <w:t> </w:t>
      </w:r>
      <w:r>
        <w:rPr>
          <w:sz w:val="18"/>
        </w:rPr>
        <w:t>of</w:t>
      </w:r>
      <w:r>
        <w:rPr>
          <w:spacing w:val="-4"/>
          <w:sz w:val="18"/>
        </w:rPr>
        <w:t> </w:t>
      </w:r>
      <w:r>
        <w:rPr>
          <w:sz w:val="18"/>
        </w:rPr>
        <w:t>Great</w:t>
      </w:r>
      <w:r>
        <w:rPr>
          <w:spacing w:val="-3"/>
          <w:sz w:val="18"/>
        </w:rPr>
        <w:t> </w:t>
      </w:r>
      <w:r>
        <w:rPr>
          <w:sz w:val="18"/>
        </w:rPr>
        <w:t>Britain</w:t>
      </w:r>
      <w:r>
        <w:rPr>
          <w:spacing w:val="-4"/>
          <w:sz w:val="18"/>
        </w:rPr>
        <w:t> </w:t>
      </w:r>
      <w:r>
        <w:rPr>
          <w:sz w:val="18"/>
        </w:rPr>
        <w:t>and NI’, 2 June 2023, at para 20(d).</w:t>
      </w:r>
    </w:p>
    <w:p>
      <w:pPr>
        <w:pStyle w:val="ListParagraph"/>
        <w:numPr>
          <w:ilvl w:val="0"/>
          <w:numId w:val="9"/>
        </w:numPr>
        <w:tabs>
          <w:tab w:pos="1853" w:val="left" w:leader="none"/>
        </w:tabs>
        <w:spacing w:line="235" w:lineRule="auto" w:before="1" w:after="0"/>
        <w:ind w:left="1853" w:right="1447" w:hanging="720"/>
        <w:jc w:val="left"/>
        <w:rPr>
          <w:sz w:val="18"/>
        </w:rPr>
      </w:pPr>
      <w:r>
        <w:rPr>
          <w:sz w:val="18"/>
        </w:rPr>
        <w:t>CCPR/C/GBR/CO/8,</w:t>
      </w:r>
      <w:r>
        <w:rPr>
          <w:spacing w:val="-4"/>
          <w:sz w:val="18"/>
        </w:rPr>
        <w:t> </w:t>
      </w:r>
      <w:r>
        <w:rPr>
          <w:sz w:val="18"/>
        </w:rPr>
        <w:t>‘UN</w:t>
      </w:r>
      <w:r>
        <w:rPr>
          <w:spacing w:val="-4"/>
          <w:sz w:val="18"/>
        </w:rPr>
        <w:t> </w:t>
      </w:r>
      <w:r>
        <w:rPr>
          <w:sz w:val="18"/>
        </w:rPr>
        <w:t>Human</w:t>
      </w:r>
      <w:r>
        <w:rPr>
          <w:spacing w:val="-5"/>
          <w:sz w:val="18"/>
        </w:rPr>
        <w:t> </w:t>
      </w:r>
      <w:r>
        <w:rPr>
          <w:sz w:val="18"/>
        </w:rPr>
        <w:t>Rights</w:t>
      </w:r>
      <w:r>
        <w:rPr>
          <w:spacing w:val="-5"/>
          <w:sz w:val="18"/>
        </w:rPr>
        <w:t> </w:t>
      </w:r>
      <w:r>
        <w:rPr>
          <w:sz w:val="18"/>
        </w:rPr>
        <w:t>Committee</w:t>
      </w:r>
      <w:r>
        <w:rPr>
          <w:spacing w:val="-4"/>
          <w:sz w:val="18"/>
        </w:rPr>
        <w:t> </w:t>
      </w:r>
      <w:r>
        <w:rPr>
          <w:sz w:val="18"/>
        </w:rPr>
        <w:t>Concluding</w:t>
      </w:r>
      <w:r>
        <w:rPr>
          <w:spacing w:val="-4"/>
          <w:sz w:val="18"/>
        </w:rPr>
        <w:t> </w:t>
      </w:r>
      <w:r>
        <w:rPr>
          <w:sz w:val="18"/>
        </w:rPr>
        <w:t>Observations</w:t>
      </w:r>
      <w:r>
        <w:rPr>
          <w:spacing w:val="-5"/>
          <w:sz w:val="18"/>
        </w:rPr>
        <w:t> </w:t>
      </w:r>
      <w:r>
        <w:rPr>
          <w:sz w:val="18"/>
        </w:rPr>
        <w:t>on</w:t>
      </w:r>
      <w:r>
        <w:rPr>
          <w:spacing w:val="-5"/>
          <w:sz w:val="18"/>
        </w:rPr>
        <w:t> </w:t>
      </w:r>
      <w:r>
        <w:rPr>
          <w:sz w:val="18"/>
        </w:rPr>
        <w:t>the</w:t>
      </w:r>
      <w:r>
        <w:rPr>
          <w:spacing w:val="-4"/>
          <w:sz w:val="18"/>
        </w:rPr>
        <w:t> </w:t>
      </w:r>
      <w:r>
        <w:rPr>
          <w:sz w:val="18"/>
        </w:rPr>
        <w:t>Eighth</w:t>
      </w:r>
      <w:r>
        <w:rPr>
          <w:spacing w:val="-5"/>
          <w:sz w:val="18"/>
        </w:rPr>
        <w:t> </w:t>
      </w:r>
      <w:r>
        <w:rPr>
          <w:sz w:val="18"/>
        </w:rPr>
        <w:t>Periodic</w:t>
      </w:r>
      <w:r>
        <w:rPr>
          <w:spacing w:val="-4"/>
          <w:sz w:val="18"/>
        </w:rPr>
        <w:t> </w:t>
      </w:r>
      <w:r>
        <w:rPr>
          <w:sz w:val="18"/>
        </w:rPr>
        <w:t>Report</w:t>
      </w:r>
      <w:r>
        <w:rPr>
          <w:spacing w:val="-4"/>
          <w:sz w:val="18"/>
        </w:rPr>
        <w:t> </w:t>
      </w:r>
      <w:r>
        <w:rPr>
          <w:sz w:val="18"/>
        </w:rPr>
        <w:t>of</w:t>
      </w:r>
      <w:r>
        <w:rPr>
          <w:spacing w:val="-5"/>
          <w:sz w:val="18"/>
        </w:rPr>
        <w:t> </w:t>
      </w:r>
      <w:r>
        <w:rPr>
          <w:sz w:val="18"/>
        </w:rPr>
        <w:t>the</w:t>
      </w:r>
      <w:r>
        <w:rPr>
          <w:spacing w:val="-4"/>
          <w:sz w:val="18"/>
        </w:rPr>
        <w:t> </w:t>
      </w:r>
      <w:r>
        <w:rPr>
          <w:sz w:val="18"/>
        </w:rPr>
        <w:t>UK</w:t>
      </w:r>
      <w:r>
        <w:rPr>
          <w:spacing w:val="-4"/>
          <w:sz w:val="18"/>
        </w:rPr>
        <w:t> </w:t>
      </w:r>
      <w:r>
        <w:rPr>
          <w:sz w:val="18"/>
        </w:rPr>
        <w:t>of Great Britain and NI’, 28 March 2024, at para 17.</w:t>
      </w:r>
    </w:p>
    <w:p>
      <w:pPr>
        <w:pStyle w:val="ListParagraph"/>
        <w:numPr>
          <w:ilvl w:val="0"/>
          <w:numId w:val="9"/>
        </w:numPr>
        <w:tabs>
          <w:tab w:pos="1853" w:val="left" w:leader="none"/>
        </w:tabs>
        <w:spacing w:line="216" w:lineRule="exact" w:before="0" w:after="0"/>
        <w:ind w:left="1853" w:right="0" w:hanging="720"/>
        <w:jc w:val="left"/>
        <w:rPr>
          <w:sz w:val="18"/>
        </w:rPr>
      </w:pPr>
      <w:r>
        <w:rPr>
          <w:sz w:val="18"/>
        </w:rPr>
        <w:t>Pivotal,</w:t>
      </w:r>
      <w:r>
        <w:rPr>
          <w:spacing w:val="-3"/>
          <w:sz w:val="18"/>
        </w:rPr>
        <w:t> </w:t>
      </w:r>
      <w:r>
        <w:rPr>
          <w:sz w:val="18"/>
        </w:rPr>
        <w:t>‘Impact</w:t>
      </w:r>
      <w:r>
        <w:rPr>
          <w:spacing w:val="-2"/>
          <w:sz w:val="18"/>
        </w:rPr>
        <w:t> </w:t>
      </w:r>
      <w:r>
        <w:rPr>
          <w:sz w:val="18"/>
        </w:rPr>
        <w:t>of</w:t>
      </w:r>
      <w:r>
        <w:rPr>
          <w:spacing w:val="-3"/>
          <w:sz w:val="18"/>
        </w:rPr>
        <w:t> </w:t>
      </w:r>
      <w:r>
        <w:rPr>
          <w:sz w:val="18"/>
        </w:rPr>
        <w:t>Brexit</w:t>
      </w:r>
      <w:r>
        <w:rPr>
          <w:spacing w:val="-3"/>
          <w:sz w:val="18"/>
        </w:rPr>
        <w:t> </w:t>
      </w:r>
      <w:r>
        <w:rPr>
          <w:sz w:val="18"/>
        </w:rPr>
        <w:t>on</w:t>
      </w:r>
      <w:r>
        <w:rPr>
          <w:spacing w:val="-3"/>
          <w:sz w:val="18"/>
        </w:rPr>
        <w:t> </w:t>
      </w:r>
      <w:r>
        <w:rPr>
          <w:sz w:val="18"/>
        </w:rPr>
        <w:t>Minority</w:t>
      </w:r>
      <w:r>
        <w:rPr>
          <w:spacing w:val="-2"/>
          <w:sz w:val="18"/>
        </w:rPr>
        <w:t> </w:t>
      </w:r>
      <w:r>
        <w:rPr>
          <w:sz w:val="18"/>
        </w:rPr>
        <w:t>Ethnic</w:t>
      </w:r>
      <w:r>
        <w:rPr>
          <w:spacing w:val="-2"/>
          <w:sz w:val="18"/>
        </w:rPr>
        <w:t> </w:t>
      </w:r>
      <w:r>
        <w:rPr>
          <w:sz w:val="18"/>
        </w:rPr>
        <w:t>and</w:t>
      </w:r>
      <w:r>
        <w:rPr>
          <w:spacing w:val="-4"/>
          <w:sz w:val="18"/>
        </w:rPr>
        <w:t> </w:t>
      </w:r>
      <w:r>
        <w:rPr>
          <w:sz w:val="18"/>
        </w:rPr>
        <w:t>Migrant</w:t>
      </w:r>
      <w:r>
        <w:rPr>
          <w:spacing w:val="-2"/>
          <w:sz w:val="18"/>
        </w:rPr>
        <w:t> </w:t>
      </w:r>
      <w:r>
        <w:rPr>
          <w:sz w:val="18"/>
        </w:rPr>
        <w:t>People</w:t>
      </w:r>
      <w:r>
        <w:rPr>
          <w:spacing w:val="-2"/>
          <w:sz w:val="18"/>
        </w:rPr>
        <w:t> </w:t>
      </w:r>
      <w:r>
        <w:rPr>
          <w:sz w:val="18"/>
        </w:rPr>
        <w:t>in</w:t>
      </w:r>
      <w:r>
        <w:rPr>
          <w:spacing w:val="-3"/>
          <w:sz w:val="18"/>
        </w:rPr>
        <w:t> </w:t>
      </w:r>
      <w:r>
        <w:rPr>
          <w:sz w:val="18"/>
        </w:rPr>
        <w:t>NI’</w:t>
      </w:r>
      <w:r>
        <w:rPr>
          <w:spacing w:val="-3"/>
          <w:sz w:val="18"/>
        </w:rPr>
        <w:t> </w:t>
      </w:r>
      <w:r>
        <w:rPr>
          <w:sz w:val="18"/>
        </w:rPr>
        <w:t>(ECNI</w:t>
      </w:r>
      <w:r>
        <w:rPr>
          <w:spacing w:val="-2"/>
          <w:sz w:val="18"/>
        </w:rPr>
        <w:t> </w:t>
      </w:r>
      <w:r>
        <w:rPr>
          <w:sz w:val="18"/>
        </w:rPr>
        <w:t>2023),</w:t>
      </w:r>
      <w:r>
        <w:rPr>
          <w:spacing w:val="-2"/>
          <w:sz w:val="18"/>
        </w:rPr>
        <w:t> </w:t>
      </w:r>
      <w:r>
        <w:rPr>
          <w:sz w:val="18"/>
        </w:rPr>
        <w:t>at</w:t>
      </w:r>
      <w:r>
        <w:rPr>
          <w:spacing w:val="-2"/>
          <w:sz w:val="18"/>
        </w:rPr>
        <w:t> </w:t>
      </w:r>
      <w:r>
        <w:rPr>
          <w:spacing w:val="-5"/>
          <w:sz w:val="18"/>
        </w:rPr>
        <w:t>10.</w:t>
      </w:r>
    </w:p>
    <w:p>
      <w:pPr>
        <w:pStyle w:val="ListParagraph"/>
        <w:numPr>
          <w:ilvl w:val="0"/>
          <w:numId w:val="9"/>
        </w:numPr>
        <w:tabs>
          <w:tab w:pos="1853" w:val="left" w:leader="none"/>
        </w:tabs>
        <w:spacing w:line="235" w:lineRule="auto" w:before="2" w:after="0"/>
        <w:ind w:left="1853" w:right="1141" w:hanging="720"/>
        <w:jc w:val="left"/>
        <w:rPr>
          <w:sz w:val="18"/>
        </w:rPr>
      </w:pPr>
      <w:r>
        <w:rPr>
          <w:sz w:val="18"/>
        </w:rPr>
        <w:t>Race related hate crimes against minority ethnic people have increase from 317 in 2021/22 to 350 in 2022-23. See Police Service</w:t>
      </w:r>
      <w:r>
        <w:rPr>
          <w:spacing w:val="-5"/>
          <w:sz w:val="18"/>
        </w:rPr>
        <w:t> </w:t>
      </w:r>
      <w:r>
        <w:rPr>
          <w:sz w:val="18"/>
        </w:rPr>
        <w:t>NI,</w:t>
      </w:r>
      <w:r>
        <w:rPr>
          <w:spacing w:val="-6"/>
          <w:sz w:val="18"/>
        </w:rPr>
        <w:t> </w:t>
      </w:r>
      <w:hyperlink r:id="rId153">
        <w:r>
          <w:rPr>
            <w:sz w:val="18"/>
          </w:rPr>
          <w:t>‘Hate</w:t>
        </w:r>
        <w:r>
          <w:rPr>
            <w:spacing w:val="-5"/>
            <w:sz w:val="18"/>
          </w:rPr>
          <w:t> </w:t>
        </w:r>
        <w:r>
          <w:rPr>
            <w:sz w:val="18"/>
          </w:rPr>
          <w:t>Motivation</w:t>
        </w:r>
        <w:r>
          <w:rPr>
            <w:spacing w:val="-6"/>
            <w:sz w:val="18"/>
          </w:rPr>
          <w:t> </w:t>
        </w:r>
        <w:r>
          <w:rPr>
            <w:sz w:val="18"/>
          </w:rPr>
          <w:t>Statistics:</w:t>
        </w:r>
      </w:hyperlink>
      <w:r>
        <w:rPr>
          <w:spacing w:val="-6"/>
          <w:sz w:val="18"/>
        </w:rPr>
        <w:t> </w:t>
      </w:r>
      <w:r>
        <w:rPr>
          <w:sz w:val="18"/>
        </w:rPr>
        <w:t>Financial</w:t>
      </w:r>
      <w:r>
        <w:rPr>
          <w:spacing w:val="-6"/>
          <w:sz w:val="18"/>
        </w:rPr>
        <w:t> </w:t>
      </w:r>
      <w:r>
        <w:rPr>
          <w:sz w:val="18"/>
        </w:rPr>
        <w:t>year</w:t>
      </w:r>
      <w:r>
        <w:rPr>
          <w:spacing w:val="-5"/>
          <w:sz w:val="18"/>
        </w:rPr>
        <w:t> </w:t>
      </w:r>
      <w:r>
        <w:rPr>
          <w:sz w:val="18"/>
        </w:rPr>
        <w:t>update,</w:t>
      </w:r>
      <w:r>
        <w:rPr>
          <w:spacing w:val="-5"/>
          <w:sz w:val="18"/>
        </w:rPr>
        <w:t> </w:t>
      </w:r>
      <w:r>
        <w:rPr>
          <w:sz w:val="18"/>
        </w:rPr>
        <w:t>period</w:t>
      </w:r>
      <w:r>
        <w:rPr>
          <w:spacing w:val="-6"/>
          <w:sz w:val="18"/>
        </w:rPr>
        <w:t> </w:t>
      </w:r>
      <w:r>
        <w:rPr>
          <w:sz w:val="18"/>
        </w:rPr>
        <w:t>ending</w:t>
      </w:r>
      <w:r>
        <w:rPr>
          <w:spacing w:val="-5"/>
          <w:sz w:val="18"/>
        </w:rPr>
        <w:t> </w:t>
      </w:r>
      <w:r>
        <w:rPr>
          <w:sz w:val="18"/>
        </w:rPr>
        <w:t>31</w:t>
      </w:r>
      <w:r>
        <w:rPr>
          <w:spacing w:val="-5"/>
          <w:sz w:val="18"/>
        </w:rPr>
        <w:t> </w:t>
      </w:r>
      <w:r>
        <w:rPr>
          <w:sz w:val="18"/>
        </w:rPr>
        <w:t>March</w:t>
      </w:r>
      <w:r>
        <w:rPr>
          <w:spacing w:val="-6"/>
          <w:sz w:val="18"/>
        </w:rPr>
        <w:t> </w:t>
      </w:r>
      <w:r>
        <w:rPr>
          <w:sz w:val="18"/>
        </w:rPr>
        <w:t>2024,</w:t>
      </w:r>
      <w:r>
        <w:rPr>
          <w:spacing w:val="-5"/>
          <w:sz w:val="18"/>
        </w:rPr>
        <w:t> </w:t>
      </w:r>
      <w:r>
        <w:rPr>
          <w:sz w:val="18"/>
        </w:rPr>
        <w:t>providing</w:t>
      </w:r>
      <w:r>
        <w:rPr>
          <w:spacing w:val="-5"/>
          <w:sz w:val="18"/>
        </w:rPr>
        <w:t> </w:t>
      </w:r>
      <w:r>
        <w:rPr>
          <w:sz w:val="18"/>
        </w:rPr>
        <w:t>figures</w:t>
      </w:r>
      <w:r>
        <w:rPr>
          <w:spacing w:val="-6"/>
          <w:sz w:val="18"/>
        </w:rPr>
        <w:t> </w:t>
      </w:r>
      <w:r>
        <w:rPr>
          <w:sz w:val="18"/>
        </w:rPr>
        <w:t>for</w:t>
      </w:r>
      <w:r>
        <w:rPr>
          <w:spacing w:val="-5"/>
          <w:sz w:val="18"/>
        </w:rPr>
        <w:t> </w:t>
      </w:r>
      <w:r>
        <w:rPr>
          <w:sz w:val="18"/>
        </w:rPr>
        <w:t>2023/24’.</w:t>
      </w:r>
    </w:p>
    <w:p>
      <w:pPr>
        <w:pStyle w:val="ListParagraph"/>
        <w:numPr>
          <w:ilvl w:val="0"/>
          <w:numId w:val="9"/>
        </w:numPr>
        <w:tabs>
          <w:tab w:pos="1853" w:val="left" w:leader="none"/>
        </w:tabs>
        <w:spacing w:line="235" w:lineRule="auto" w:before="1" w:after="0"/>
        <w:ind w:left="1853" w:right="1307" w:hanging="720"/>
        <w:jc w:val="left"/>
        <w:rPr>
          <w:sz w:val="18"/>
        </w:rPr>
      </w:pPr>
      <w:r>
        <w:rPr>
          <w:sz w:val="18"/>
        </w:rPr>
        <w:t>Police</w:t>
      </w:r>
      <w:r>
        <w:rPr>
          <w:spacing w:val="-3"/>
          <w:sz w:val="18"/>
        </w:rPr>
        <w:t> </w:t>
      </w:r>
      <w:r>
        <w:rPr>
          <w:sz w:val="18"/>
        </w:rPr>
        <w:t>Service</w:t>
      </w:r>
      <w:r>
        <w:rPr>
          <w:spacing w:val="-3"/>
          <w:sz w:val="18"/>
        </w:rPr>
        <w:t> </w:t>
      </w:r>
      <w:r>
        <w:rPr>
          <w:sz w:val="18"/>
        </w:rPr>
        <w:t>of</w:t>
      </w:r>
      <w:r>
        <w:rPr>
          <w:spacing w:val="-4"/>
          <w:sz w:val="18"/>
        </w:rPr>
        <w:t> </w:t>
      </w:r>
      <w:r>
        <w:rPr>
          <w:sz w:val="18"/>
        </w:rPr>
        <w:t>NI,</w:t>
      </w:r>
      <w:r>
        <w:rPr>
          <w:spacing w:val="-3"/>
          <w:sz w:val="18"/>
        </w:rPr>
        <w:t> </w:t>
      </w:r>
      <w:r>
        <w:rPr>
          <w:sz w:val="18"/>
        </w:rPr>
        <w:t>‘Incidents</w:t>
      </w:r>
      <w:r>
        <w:rPr>
          <w:spacing w:val="-4"/>
          <w:sz w:val="18"/>
        </w:rPr>
        <w:t> </w:t>
      </w:r>
      <w:r>
        <w:rPr>
          <w:sz w:val="18"/>
        </w:rPr>
        <w:t>and</w:t>
      </w:r>
      <w:r>
        <w:rPr>
          <w:spacing w:val="-4"/>
          <w:sz w:val="18"/>
        </w:rPr>
        <w:t> </w:t>
      </w:r>
      <w:r>
        <w:rPr>
          <w:sz w:val="18"/>
        </w:rPr>
        <w:t>Crimes</w:t>
      </w:r>
      <w:r>
        <w:rPr>
          <w:spacing w:val="-4"/>
          <w:sz w:val="18"/>
        </w:rPr>
        <w:t> </w:t>
      </w:r>
      <w:r>
        <w:rPr>
          <w:sz w:val="18"/>
        </w:rPr>
        <w:t>with</w:t>
      </w:r>
      <w:r>
        <w:rPr>
          <w:spacing w:val="-4"/>
          <w:sz w:val="18"/>
        </w:rPr>
        <w:t> </w:t>
      </w:r>
      <w:r>
        <w:rPr>
          <w:sz w:val="18"/>
        </w:rPr>
        <w:t>a</w:t>
      </w:r>
      <w:r>
        <w:rPr>
          <w:spacing w:val="-4"/>
          <w:sz w:val="18"/>
        </w:rPr>
        <w:t> </w:t>
      </w:r>
      <w:r>
        <w:rPr>
          <w:sz w:val="18"/>
        </w:rPr>
        <w:t>Hate</w:t>
      </w:r>
      <w:r>
        <w:rPr>
          <w:spacing w:val="-3"/>
          <w:sz w:val="18"/>
        </w:rPr>
        <w:t> </w:t>
      </w:r>
      <w:r>
        <w:rPr>
          <w:sz w:val="18"/>
        </w:rPr>
        <w:t>Motivation</w:t>
      </w:r>
      <w:r>
        <w:rPr>
          <w:spacing w:val="-4"/>
          <w:sz w:val="18"/>
        </w:rPr>
        <w:t> </w:t>
      </w:r>
      <w:r>
        <w:rPr>
          <w:sz w:val="18"/>
        </w:rPr>
        <w:t>Recorded</w:t>
      </w:r>
      <w:r>
        <w:rPr>
          <w:spacing w:val="-4"/>
          <w:sz w:val="18"/>
        </w:rPr>
        <w:t> </w:t>
      </w:r>
      <w:r>
        <w:rPr>
          <w:sz w:val="18"/>
        </w:rPr>
        <w:t>by</w:t>
      </w:r>
      <w:r>
        <w:rPr>
          <w:spacing w:val="-3"/>
          <w:sz w:val="18"/>
        </w:rPr>
        <w:t> </w:t>
      </w:r>
      <w:r>
        <w:rPr>
          <w:sz w:val="18"/>
        </w:rPr>
        <w:t>the</w:t>
      </w:r>
      <w:r>
        <w:rPr>
          <w:spacing w:val="-3"/>
          <w:sz w:val="18"/>
        </w:rPr>
        <w:t> </w:t>
      </w:r>
      <w:r>
        <w:rPr>
          <w:sz w:val="18"/>
        </w:rPr>
        <w:t>Police</w:t>
      </w:r>
      <w:r>
        <w:rPr>
          <w:spacing w:val="-3"/>
          <w:sz w:val="18"/>
        </w:rPr>
        <w:t> </w:t>
      </w:r>
      <w:r>
        <w:rPr>
          <w:sz w:val="18"/>
        </w:rPr>
        <w:t>in</w:t>
      </w:r>
      <w:r>
        <w:rPr>
          <w:spacing w:val="-4"/>
          <w:sz w:val="18"/>
        </w:rPr>
        <w:t> </w:t>
      </w:r>
      <w:r>
        <w:rPr>
          <w:sz w:val="18"/>
        </w:rPr>
        <w:t>Northern</w:t>
      </w:r>
      <w:r>
        <w:rPr>
          <w:spacing w:val="-4"/>
          <w:sz w:val="18"/>
        </w:rPr>
        <w:t> </w:t>
      </w:r>
      <w:r>
        <w:rPr>
          <w:sz w:val="18"/>
        </w:rPr>
        <w:t>Ireland:</w:t>
      </w:r>
      <w:r>
        <w:rPr>
          <w:spacing w:val="-3"/>
          <w:sz w:val="18"/>
        </w:rPr>
        <w:t> </w:t>
      </w:r>
      <w:r>
        <w:rPr>
          <w:sz w:val="18"/>
        </w:rPr>
        <w:t>Update</w:t>
      </w:r>
      <w:r>
        <w:rPr>
          <w:spacing w:val="-3"/>
          <w:sz w:val="18"/>
        </w:rPr>
        <w:t> </w:t>
      </w:r>
      <w:r>
        <w:rPr>
          <w:sz w:val="18"/>
        </w:rPr>
        <w:t>to 31 March 2022’ (PSNI, 2022), at 4.</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pPr>
      <w:r>
        <w:rPr/>
        <w:t>crimes</w:t>
      </w:r>
      <w:r>
        <w:rPr>
          <w:spacing w:val="-9"/>
        </w:rPr>
        <w:t> </w:t>
      </w:r>
      <w:r>
        <w:rPr/>
        <w:t>in</w:t>
      </w:r>
      <w:r>
        <w:rPr>
          <w:spacing w:val="-9"/>
        </w:rPr>
        <w:t> </w:t>
      </w:r>
      <w:r>
        <w:rPr/>
        <w:t>NI,</w:t>
      </w:r>
      <w:r>
        <w:rPr>
          <w:spacing w:val="-8"/>
        </w:rPr>
        <w:t> </w:t>
      </w:r>
      <w:r>
        <w:rPr/>
        <w:t>particularly</w:t>
      </w:r>
      <w:r>
        <w:rPr>
          <w:spacing w:val="-8"/>
        </w:rPr>
        <w:t> </w:t>
      </w:r>
      <w:r>
        <w:rPr/>
        <w:t>racist</w:t>
      </w:r>
      <w:r>
        <w:rPr>
          <w:spacing w:val="-8"/>
        </w:rPr>
        <w:t> </w:t>
      </w:r>
      <w:r>
        <w:rPr/>
        <w:t>hate</w:t>
      </w:r>
      <w:r>
        <w:rPr>
          <w:spacing w:val="-8"/>
        </w:rPr>
        <w:t> </w:t>
      </w:r>
      <w:r>
        <w:rPr/>
        <w:t>crimes.</w:t>
      </w:r>
      <w:r>
        <w:rPr>
          <w:vertAlign w:val="superscript"/>
        </w:rPr>
        <w:t>440</w:t>
      </w:r>
      <w:r>
        <w:rPr>
          <w:spacing w:val="-9"/>
          <w:vertAlign w:val="baseline"/>
        </w:rPr>
        <w:t> </w:t>
      </w:r>
      <w:r>
        <w:rPr>
          <w:vertAlign w:val="baseline"/>
        </w:rPr>
        <w:t>In</w:t>
      </w:r>
      <w:r>
        <w:rPr>
          <w:spacing w:val="-9"/>
          <w:vertAlign w:val="baseline"/>
        </w:rPr>
        <w:t> </w:t>
      </w:r>
      <w:r>
        <w:rPr>
          <w:vertAlign w:val="baseline"/>
        </w:rPr>
        <w:t>November</w:t>
      </w:r>
      <w:r>
        <w:rPr>
          <w:spacing w:val="-8"/>
          <w:vertAlign w:val="baseline"/>
        </w:rPr>
        <w:t> </w:t>
      </w:r>
      <w:r>
        <w:rPr>
          <w:vertAlign w:val="baseline"/>
        </w:rPr>
        <w:t>2023,</w:t>
      </w:r>
      <w:r>
        <w:rPr>
          <w:spacing w:val="-8"/>
          <w:vertAlign w:val="baseline"/>
        </w:rPr>
        <w:t> </w:t>
      </w:r>
      <w:r>
        <w:rPr>
          <w:vertAlign w:val="baseline"/>
        </w:rPr>
        <w:t>a</w:t>
      </w:r>
      <w:r>
        <w:rPr>
          <w:spacing w:val="-9"/>
          <w:vertAlign w:val="baseline"/>
        </w:rPr>
        <w:t> </w:t>
      </w:r>
      <w:r>
        <w:rPr>
          <w:vertAlign w:val="baseline"/>
        </w:rPr>
        <w:t>follow-up public meeting on tackling racist hate crimes in Belfast was cancelled due to persistent intimidation and concern for the safety of attendees.</w:t>
      </w:r>
      <w:r>
        <w:rPr>
          <w:vertAlign w:val="superscript"/>
        </w:rPr>
        <w:t>441</w:t>
      </w:r>
    </w:p>
    <w:p>
      <w:pPr>
        <w:pStyle w:val="ListParagraph"/>
        <w:numPr>
          <w:ilvl w:val="1"/>
          <w:numId w:val="7"/>
        </w:numPr>
        <w:tabs>
          <w:tab w:pos="1853" w:val="left" w:leader="none"/>
        </w:tabs>
        <w:spacing w:line="225" w:lineRule="auto" w:before="317" w:after="0"/>
        <w:ind w:left="1853" w:right="1395" w:hanging="720"/>
        <w:jc w:val="both"/>
        <w:rPr>
          <w:sz w:val="28"/>
        </w:rPr>
      </w:pPr>
      <w:r>
        <w:rPr>
          <w:sz w:val="28"/>
        </w:rPr>
        <w:t>After</w:t>
      </w:r>
      <w:r>
        <w:rPr>
          <w:spacing w:val="-8"/>
          <w:sz w:val="28"/>
        </w:rPr>
        <w:t> </w:t>
      </w:r>
      <w:r>
        <w:rPr>
          <w:sz w:val="28"/>
        </w:rPr>
        <w:t>the</w:t>
      </w:r>
      <w:r>
        <w:rPr>
          <w:spacing w:val="-8"/>
          <w:sz w:val="28"/>
        </w:rPr>
        <w:t> </w:t>
      </w:r>
      <w:r>
        <w:rPr>
          <w:sz w:val="28"/>
        </w:rPr>
        <w:t>Independent</w:t>
      </w:r>
      <w:r>
        <w:rPr>
          <w:spacing w:val="-8"/>
          <w:sz w:val="28"/>
        </w:rPr>
        <w:t> </w:t>
      </w:r>
      <w:r>
        <w:rPr>
          <w:sz w:val="28"/>
        </w:rPr>
        <w:t>Hate</w:t>
      </w:r>
      <w:r>
        <w:rPr>
          <w:spacing w:val="-8"/>
          <w:sz w:val="28"/>
        </w:rPr>
        <w:t> </w:t>
      </w:r>
      <w:r>
        <w:rPr>
          <w:sz w:val="28"/>
        </w:rPr>
        <w:t>Crime</w:t>
      </w:r>
      <w:r>
        <w:rPr>
          <w:spacing w:val="-8"/>
          <w:sz w:val="28"/>
        </w:rPr>
        <w:t> </w:t>
      </w:r>
      <w:r>
        <w:rPr>
          <w:sz w:val="28"/>
        </w:rPr>
        <w:t>Review</w:t>
      </w:r>
      <w:r>
        <w:rPr>
          <w:spacing w:val="-8"/>
          <w:sz w:val="28"/>
        </w:rPr>
        <w:t> </w:t>
      </w:r>
      <w:r>
        <w:rPr>
          <w:sz w:val="28"/>
        </w:rPr>
        <w:t>in</w:t>
      </w:r>
      <w:r>
        <w:rPr>
          <w:spacing w:val="-9"/>
          <w:sz w:val="28"/>
        </w:rPr>
        <w:t> </w:t>
      </w:r>
      <w:r>
        <w:rPr>
          <w:sz w:val="28"/>
        </w:rPr>
        <w:t>2020,</w:t>
      </w:r>
      <w:r>
        <w:rPr>
          <w:sz w:val="28"/>
          <w:vertAlign w:val="superscript"/>
        </w:rPr>
        <w:t>442</w:t>
      </w:r>
      <w:r>
        <w:rPr>
          <w:spacing w:val="-9"/>
          <w:sz w:val="28"/>
          <w:vertAlign w:val="baseline"/>
        </w:rPr>
        <w:t> </w:t>
      </w:r>
      <w:r>
        <w:rPr>
          <w:sz w:val="28"/>
          <w:vertAlign w:val="baseline"/>
        </w:rPr>
        <w:t>and</w:t>
      </w:r>
      <w:r>
        <w:rPr>
          <w:spacing w:val="-9"/>
          <w:sz w:val="28"/>
          <w:vertAlign w:val="baseline"/>
        </w:rPr>
        <w:t> </w:t>
      </w:r>
      <w:r>
        <w:rPr>
          <w:sz w:val="28"/>
          <w:vertAlign w:val="baseline"/>
        </w:rPr>
        <w:t>the</w:t>
      </w:r>
      <w:r>
        <w:rPr>
          <w:spacing w:val="-8"/>
          <w:sz w:val="28"/>
          <w:vertAlign w:val="baseline"/>
        </w:rPr>
        <w:t> </w:t>
      </w:r>
      <w:r>
        <w:rPr>
          <w:sz w:val="28"/>
          <w:vertAlign w:val="baseline"/>
        </w:rPr>
        <w:t>Department</w:t>
      </w:r>
      <w:r>
        <w:rPr>
          <w:spacing w:val="-8"/>
          <w:sz w:val="28"/>
          <w:vertAlign w:val="baseline"/>
        </w:rPr>
        <w:t> </w:t>
      </w:r>
      <w:r>
        <w:rPr>
          <w:sz w:val="28"/>
          <w:vertAlign w:val="baseline"/>
        </w:rPr>
        <w:t>of Justice</w:t>
      </w:r>
      <w:r>
        <w:rPr>
          <w:spacing w:val="-9"/>
          <w:sz w:val="28"/>
          <w:vertAlign w:val="baseline"/>
        </w:rPr>
        <w:t> </w:t>
      </w:r>
      <w:r>
        <w:rPr>
          <w:sz w:val="28"/>
          <w:vertAlign w:val="baseline"/>
        </w:rPr>
        <w:t>response</w:t>
      </w:r>
      <w:r>
        <w:rPr>
          <w:spacing w:val="-9"/>
          <w:sz w:val="28"/>
          <w:vertAlign w:val="baseline"/>
        </w:rPr>
        <w:t> </w:t>
      </w:r>
      <w:r>
        <w:rPr>
          <w:sz w:val="28"/>
          <w:vertAlign w:val="baseline"/>
        </w:rPr>
        <w:t>to</w:t>
      </w:r>
      <w:r>
        <w:rPr>
          <w:spacing w:val="-10"/>
          <w:sz w:val="28"/>
          <w:vertAlign w:val="baseline"/>
        </w:rPr>
        <w:t> </w:t>
      </w:r>
      <w:r>
        <w:rPr>
          <w:sz w:val="28"/>
          <w:vertAlign w:val="baseline"/>
        </w:rPr>
        <w:t>the</w:t>
      </w:r>
      <w:r>
        <w:rPr>
          <w:spacing w:val="-9"/>
          <w:sz w:val="28"/>
          <w:vertAlign w:val="baseline"/>
        </w:rPr>
        <w:t> </w:t>
      </w:r>
      <w:r>
        <w:rPr>
          <w:sz w:val="28"/>
          <w:vertAlign w:val="baseline"/>
        </w:rPr>
        <w:t>Review,</w:t>
      </w:r>
      <w:r>
        <w:rPr>
          <w:sz w:val="28"/>
          <w:vertAlign w:val="superscript"/>
        </w:rPr>
        <w:t>443</w:t>
      </w:r>
      <w:r>
        <w:rPr>
          <w:spacing w:val="-10"/>
          <w:sz w:val="28"/>
          <w:vertAlign w:val="baseline"/>
        </w:rPr>
        <w:t> </w:t>
      </w:r>
      <w:r>
        <w:rPr>
          <w:sz w:val="28"/>
          <w:vertAlign w:val="baseline"/>
        </w:rPr>
        <w:t>the</w:t>
      </w:r>
      <w:r>
        <w:rPr>
          <w:spacing w:val="-9"/>
          <w:sz w:val="28"/>
          <w:vertAlign w:val="baseline"/>
        </w:rPr>
        <w:t> </w:t>
      </w:r>
      <w:r>
        <w:rPr>
          <w:sz w:val="28"/>
          <w:vertAlign w:val="baseline"/>
        </w:rPr>
        <w:t>first</w:t>
      </w:r>
      <w:r>
        <w:rPr>
          <w:spacing w:val="-9"/>
          <w:sz w:val="28"/>
          <w:vertAlign w:val="baseline"/>
        </w:rPr>
        <w:t> </w:t>
      </w:r>
      <w:r>
        <w:rPr>
          <w:sz w:val="28"/>
          <w:vertAlign w:val="baseline"/>
        </w:rPr>
        <w:t>of</w:t>
      </w:r>
      <w:r>
        <w:rPr>
          <w:spacing w:val="-10"/>
          <w:sz w:val="28"/>
          <w:vertAlign w:val="baseline"/>
        </w:rPr>
        <w:t> </w:t>
      </w:r>
      <w:r>
        <w:rPr>
          <w:sz w:val="28"/>
          <w:vertAlign w:val="baseline"/>
        </w:rPr>
        <w:t>a</w:t>
      </w:r>
      <w:r>
        <w:rPr>
          <w:spacing w:val="-9"/>
          <w:sz w:val="28"/>
          <w:vertAlign w:val="baseline"/>
        </w:rPr>
        <w:t> </w:t>
      </w:r>
      <w:r>
        <w:rPr>
          <w:sz w:val="28"/>
          <w:vertAlign w:val="baseline"/>
        </w:rPr>
        <w:t>two-stage</w:t>
      </w:r>
      <w:r>
        <w:rPr>
          <w:spacing w:val="-9"/>
          <w:sz w:val="28"/>
          <w:vertAlign w:val="baseline"/>
        </w:rPr>
        <w:t> </w:t>
      </w:r>
      <w:r>
        <w:rPr>
          <w:sz w:val="28"/>
          <w:vertAlign w:val="baseline"/>
        </w:rPr>
        <w:t>public</w:t>
      </w:r>
      <w:r>
        <w:rPr>
          <w:spacing w:val="-9"/>
          <w:sz w:val="28"/>
          <w:vertAlign w:val="baseline"/>
        </w:rPr>
        <w:t> </w:t>
      </w:r>
      <w:r>
        <w:rPr>
          <w:sz w:val="28"/>
          <w:vertAlign w:val="baseline"/>
        </w:rPr>
        <w:t>consultation was launched in 2022 seeking responses on improving the effectiveness</w:t>
      </w:r>
    </w:p>
    <w:p>
      <w:pPr>
        <w:pStyle w:val="BodyText"/>
        <w:spacing w:line="225" w:lineRule="auto"/>
        <w:ind w:left="1853" w:right="1124"/>
      </w:pPr>
      <w:r>
        <w:rPr/>
        <w:t>of NI hate crime legislation. Both Commissions responded highlighting the relevance of the EU Victims’ Directive in the context of Windsor Framework Article 2.</w:t>
      </w:r>
      <w:r>
        <w:rPr>
          <w:vertAlign w:val="superscript"/>
        </w:rPr>
        <w:t>444</w:t>
      </w:r>
      <w:r>
        <w:rPr>
          <w:vertAlign w:val="baseline"/>
        </w:rPr>
        <w:t> The ECNI’s response noted the need to update, harmonise, consolidate,</w:t>
      </w:r>
      <w:r>
        <w:rPr>
          <w:spacing w:val="-7"/>
          <w:vertAlign w:val="baseline"/>
        </w:rPr>
        <w:t> </w:t>
      </w:r>
      <w:r>
        <w:rPr>
          <w:vertAlign w:val="baseline"/>
        </w:rPr>
        <w:t>and</w:t>
      </w:r>
      <w:r>
        <w:rPr>
          <w:spacing w:val="-8"/>
          <w:vertAlign w:val="baseline"/>
        </w:rPr>
        <w:t> </w:t>
      </w:r>
      <w:r>
        <w:rPr>
          <w:vertAlign w:val="baseline"/>
        </w:rPr>
        <w:t>strengthen</w:t>
      </w:r>
      <w:r>
        <w:rPr>
          <w:spacing w:val="-8"/>
          <w:vertAlign w:val="baseline"/>
        </w:rPr>
        <w:t> </w:t>
      </w:r>
      <w:r>
        <w:rPr>
          <w:vertAlign w:val="baseline"/>
        </w:rPr>
        <w:t>hate</w:t>
      </w:r>
      <w:r>
        <w:rPr>
          <w:spacing w:val="-7"/>
          <w:vertAlign w:val="baseline"/>
        </w:rPr>
        <w:t> </w:t>
      </w:r>
      <w:r>
        <w:rPr>
          <w:vertAlign w:val="baseline"/>
        </w:rPr>
        <w:t>crime</w:t>
      </w:r>
      <w:r>
        <w:rPr>
          <w:spacing w:val="-7"/>
          <w:vertAlign w:val="baseline"/>
        </w:rPr>
        <w:t> </w:t>
      </w:r>
      <w:r>
        <w:rPr>
          <w:vertAlign w:val="baseline"/>
        </w:rPr>
        <w:t>legislation,</w:t>
      </w:r>
      <w:r>
        <w:rPr>
          <w:spacing w:val="-7"/>
          <w:vertAlign w:val="baseline"/>
        </w:rPr>
        <w:t> </w:t>
      </w:r>
      <w:r>
        <w:rPr>
          <w:vertAlign w:val="baseline"/>
        </w:rPr>
        <w:t>including</w:t>
      </w:r>
      <w:r>
        <w:rPr>
          <w:spacing w:val="-7"/>
          <w:vertAlign w:val="baseline"/>
        </w:rPr>
        <w:t> </w:t>
      </w:r>
      <w:r>
        <w:rPr>
          <w:vertAlign w:val="baseline"/>
        </w:rPr>
        <w:t>by</w:t>
      </w:r>
      <w:r>
        <w:rPr>
          <w:spacing w:val="-7"/>
          <w:vertAlign w:val="baseline"/>
        </w:rPr>
        <w:t> </w:t>
      </w:r>
      <w:r>
        <w:rPr>
          <w:vertAlign w:val="baseline"/>
        </w:rPr>
        <w:t>addressing</w:t>
      </w:r>
      <w:r>
        <w:rPr>
          <w:spacing w:val="-7"/>
          <w:vertAlign w:val="baseline"/>
        </w:rPr>
        <w:t> </w:t>
      </w:r>
      <w:r>
        <w:rPr>
          <w:vertAlign w:val="baseline"/>
        </w:rPr>
        <w:t>the significant</w:t>
      </w:r>
      <w:r>
        <w:rPr>
          <w:spacing w:val="-5"/>
          <w:vertAlign w:val="baseline"/>
        </w:rPr>
        <w:t> </w:t>
      </w:r>
      <w:r>
        <w:rPr>
          <w:vertAlign w:val="baseline"/>
        </w:rPr>
        <w:t>gaps</w:t>
      </w:r>
      <w:r>
        <w:rPr>
          <w:spacing w:val="-6"/>
          <w:vertAlign w:val="baseline"/>
        </w:rPr>
        <w:t> </w:t>
      </w:r>
      <w:r>
        <w:rPr>
          <w:vertAlign w:val="baseline"/>
        </w:rPr>
        <w:t>in</w:t>
      </w:r>
      <w:r>
        <w:rPr>
          <w:spacing w:val="-6"/>
          <w:vertAlign w:val="baseline"/>
        </w:rPr>
        <w:t> </w:t>
      </w:r>
      <w:r>
        <w:rPr>
          <w:vertAlign w:val="baseline"/>
        </w:rPr>
        <w:t>the</w:t>
      </w:r>
      <w:r>
        <w:rPr>
          <w:spacing w:val="-5"/>
          <w:vertAlign w:val="baseline"/>
        </w:rPr>
        <w:t> </w:t>
      </w:r>
      <w:r>
        <w:rPr>
          <w:vertAlign w:val="baseline"/>
        </w:rPr>
        <w:t>legislation</w:t>
      </w:r>
      <w:r>
        <w:rPr>
          <w:spacing w:val="-6"/>
          <w:vertAlign w:val="baseline"/>
        </w:rPr>
        <w:t> </w:t>
      </w:r>
      <w:r>
        <w:rPr>
          <w:vertAlign w:val="baseline"/>
        </w:rPr>
        <w:t>and</w:t>
      </w:r>
      <w:r>
        <w:rPr>
          <w:spacing w:val="-6"/>
          <w:vertAlign w:val="baseline"/>
        </w:rPr>
        <w:t> </w:t>
      </w:r>
      <w:r>
        <w:rPr>
          <w:vertAlign w:val="baseline"/>
        </w:rPr>
        <w:t>the</w:t>
      </w:r>
      <w:r>
        <w:rPr>
          <w:spacing w:val="-5"/>
          <w:vertAlign w:val="baseline"/>
        </w:rPr>
        <w:t> </w:t>
      </w:r>
      <w:r>
        <w:rPr>
          <w:vertAlign w:val="baseline"/>
        </w:rPr>
        <w:t>importance</w:t>
      </w:r>
      <w:r>
        <w:rPr>
          <w:spacing w:val="-5"/>
          <w:vertAlign w:val="baseline"/>
        </w:rPr>
        <w:t> </w:t>
      </w:r>
      <w:r>
        <w:rPr>
          <w:vertAlign w:val="baseline"/>
        </w:rPr>
        <w:t>of</w:t>
      </w:r>
      <w:r>
        <w:rPr>
          <w:spacing w:val="-6"/>
          <w:vertAlign w:val="baseline"/>
        </w:rPr>
        <w:t> </w:t>
      </w:r>
      <w:r>
        <w:rPr>
          <w:vertAlign w:val="baseline"/>
        </w:rPr>
        <w:t>actions</w:t>
      </w:r>
      <w:r>
        <w:rPr>
          <w:spacing w:val="-6"/>
          <w:vertAlign w:val="baseline"/>
        </w:rPr>
        <w:t> </w:t>
      </w:r>
      <w:r>
        <w:rPr>
          <w:vertAlign w:val="baseline"/>
        </w:rPr>
        <w:t>to</w:t>
      </w:r>
      <w:r>
        <w:rPr>
          <w:spacing w:val="-6"/>
          <w:vertAlign w:val="baseline"/>
        </w:rPr>
        <w:t> </w:t>
      </w:r>
      <w:r>
        <w:rPr>
          <w:vertAlign w:val="baseline"/>
        </w:rPr>
        <w:t>prevent</w:t>
      </w:r>
      <w:r>
        <w:rPr>
          <w:spacing w:val="-5"/>
          <w:vertAlign w:val="baseline"/>
        </w:rPr>
        <w:t> </w:t>
      </w:r>
      <w:r>
        <w:rPr>
          <w:vertAlign w:val="baseline"/>
        </w:rPr>
        <w:t>and tackle hate crime and reform equality law.</w:t>
      </w:r>
      <w:r>
        <w:rPr>
          <w:vertAlign w:val="superscript"/>
        </w:rPr>
        <w:t>445</w:t>
      </w:r>
    </w:p>
    <w:p>
      <w:pPr>
        <w:pStyle w:val="ListParagraph"/>
        <w:numPr>
          <w:ilvl w:val="1"/>
          <w:numId w:val="7"/>
        </w:numPr>
        <w:tabs>
          <w:tab w:pos="1853" w:val="left" w:leader="none"/>
        </w:tabs>
        <w:spacing w:line="225" w:lineRule="auto" w:before="308" w:after="0"/>
        <w:ind w:left="1853" w:right="1166" w:hanging="720"/>
        <w:jc w:val="left"/>
        <w:rPr>
          <w:sz w:val="28"/>
        </w:rPr>
      </w:pPr>
      <w:r>
        <w:rPr>
          <w:sz w:val="28"/>
        </w:rPr>
        <w:t>The</w:t>
      </w:r>
      <w:r>
        <w:rPr>
          <w:spacing w:val="-6"/>
          <w:sz w:val="28"/>
        </w:rPr>
        <w:t> </w:t>
      </w:r>
      <w:r>
        <w:rPr>
          <w:sz w:val="28"/>
        </w:rPr>
        <w:t>NIHRC</w:t>
      </w:r>
      <w:r>
        <w:rPr>
          <w:spacing w:val="-7"/>
          <w:sz w:val="28"/>
        </w:rPr>
        <w:t> </w:t>
      </w:r>
      <w:r>
        <w:rPr>
          <w:sz w:val="28"/>
        </w:rPr>
        <w:t>has</w:t>
      </w:r>
      <w:r>
        <w:rPr>
          <w:spacing w:val="-7"/>
          <w:sz w:val="28"/>
        </w:rPr>
        <w:t> </w:t>
      </w:r>
      <w:r>
        <w:rPr>
          <w:sz w:val="28"/>
        </w:rPr>
        <w:t>called</w:t>
      </w:r>
      <w:r>
        <w:rPr>
          <w:spacing w:val="-7"/>
          <w:sz w:val="28"/>
        </w:rPr>
        <w:t> </w:t>
      </w:r>
      <w:r>
        <w:rPr>
          <w:sz w:val="28"/>
        </w:rPr>
        <w:t>on</w:t>
      </w:r>
      <w:r>
        <w:rPr>
          <w:spacing w:val="-7"/>
          <w:sz w:val="28"/>
        </w:rPr>
        <w:t> </w:t>
      </w:r>
      <w:r>
        <w:rPr>
          <w:sz w:val="28"/>
        </w:rPr>
        <w:t>the</w:t>
      </w:r>
      <w:r>
        <w:rPr>
          <w:spacing w:val="-6"/>
          <w:sz w:val="28"/>
        </w:rPr>
        <w:t> </w:t>
      </w:r>
      <w:r>
        <w:rPr>
          <w:sz w:val="28"/>
        </w:rPr>
        <w:t>Department</w:t>
      </w:r>
      <w:r>
        <w:rPr>
          <w:spacing w:val="-6"/>
          <w:sz w:val="28"/>
        </w:rPr>
        <w:t> </w:t>
      </w:r>
      <w:r>
        <w:rPr>
          <w:sz w:val="28"/>
        </w:rPr>
        <w:t>of</w:t>
      </w:r>
      <w:r>
        <w:rPr>
          <w:spacing w:val="-7"/>
          <w:sz w:val="28"/>
        </w:rPr>
        <w:t> </w:t>
      </w:r>
      <w:r>
        <w:rPr>
          <w:sz w:val="28"/>
        </w:rPr>
        <w:t>Justice</w:t>
      </w:r>
      <w:r>
        <w:rPr>
          <w:spacing w:val="-6"/>
          <w:sz w:val="28"/>
        </w:rPr>
        <w:t> </w:t>
      </w:r>
      <w:r>
        <w:rPr>
          <w:sz w:val="28"/>
        </w:rPr>
        <w:t>to</w:t>
      </w:r>
      <w:r>
        <w:rPr>
          <w:spacing w:val="-7"/>
          <w:sz w:val="28"/>
        </w:rPr>
        <w:t> </w:t>
      </w:r>
      <w:r>
        <w:rPr>
          <w:sz w:val="28"/>
        </w:rPr>
        <w:t>promptly</w:t>
      </w:r>
      <w:r>
        <w:rPr>
          <w:spacing w:val="-6"/>
          <w:sz w:val="28"/>
        </w:rPr>
        <w:t> </w:t>
      </w:r>
      <w:r>
        <w:rPr>
          <w:sz w:val="28"/>
        </w:rPr>
        <w:t>and</w:t>
      </w:r>
      <w:r>
        <w:rPr>
          <w:spacing w:val="-7"/>
          <w:sz w:val="28"/>
        </w:rPr>
        <w:t> </w:t>
      </w:r>
      <w:r>
        <w:rPr>
          <w:sz w:val="28"/>
        </w:rPr>
        <w:t>effectively improve hate crime legislation in NI, guided by the Independent Hate Crime Review Team’s recommendations and to ensure that any new legislation compliments existing and future strategies on race and community relations. The NIHRC has also highlighted that the EU Victims’ Directive provisions on timely and individual assessments of the needs of victims of hate crimes,</w:t>
      </w:r>
    </w:p>
    <w:p>
      <w:pPr>
        <w:pStyle w:val="BodyText"/>
        <w:spacing w:line="225" w:lineRule="auto"/>
        <w:ind w:left="1853" w:right="1171"/>
      </w:pPr>
      <w:r>
        <w:rPr/>
        <w:t>on the need for a gender-sensitive approach to addressing gender-based violence,</w:t>
      </w:r>
      <w:r>
        <w:rPr>
          <w:spacing w:val="-4"/>
        </w:rPr>
        <w:t> </w:t>
      </w:r>
      <w:r>
        <w:rPr/>
        <w:t>and</w:t>
      </w:r>
      <w:r>
        <w:rPr>
          <w:spacing w:val="-5"/>
        </w:rPr>
        <w:t> </w:t>
      </w:r>
      <w:r>
        <w:rPr/>
        <w:t>on</w:t>
      </w:r>
      <w:r>
        <w:rPr>
          <w:spacing w:val="-5"/>
        </w:rPr>
        <w:t> </w:t>
      </w:r>
      <w:r>
        <w:rPr/>
        <w:t>the</w:t>
      </w:r>
      <w:r>
        <w:rPr>
          <w:spacing w:val="-4"/>
        </w:rPr>
        <w:t> </w:t>
      </w:r>
      <w:r>
        <w:rPr/>
        <w:t>need</w:t>
      </w:r>
      <w:r>
        <w:rPr>
          <w:spacing w:val="-5"/>
        </w:rPr>
        <w:t> </w:t>
      </w:r>
      <w:r>
        <w:rPr/>
        <w:t>for</w:t>
      </w:r>
      <w:r>
        <w:rPr>
          <w:spacing w:val="-4"/>
        </w:rPr>
        <w:t> </w:t>
      </w:r>
      <w:r>
        <w:rPr/>
        <w:t>special</w:t>
      </w:r>
      <w:r>
        <w:rPr>
          <w:spacing w:val="-5"/>
        </w:rPr>
        <w:t> </w:t>
      </w:r>
      <w:r>
        <w:rPr/>
        <w:t>support</w:t>
      </w:r>
      <w:r>
        <w:rPr>
          <w:spacing w:val="-4"/>
        </w:rPr>
        <w:t> </w:t>
      </w:r>
      <w:r>
        <w:rPr/>
        <w:t>for</w:t>
      </w:r>
      <w:r>
        <w:rPr>
          <w:spacing w:val="-4"/>
        </w:rPr>
        <w:t> </w:t>
      </w:r>
      <w:r>
        <w:rPr/>
        <w:t>women</w:t>
      </w:r>
      <w:r>
        <w:rPr>
          <w:spacing w:val="-5"/>
        </w:rPr>
        <w:t> </w:t>
      </w:r>
      <w:r>
        <w:rPr/>
        <w:t>victims</w:t>
      </w:r>
      <w:r>
        <w:rPr>
          <w:spacing w:val="-5"/>
        </w:rPr>
        <w:t> </w:t>
      </w:r>
      <w:r>
        <w:rPr/>
        <w:t>and</w:t>
      </w:r>
      <w:r>
        <w:rPr>
          <w:spacing w:val="-5"/>
        </w:rPr>
        <w:t> </w:t>
      </w:r>
      <w:r>
        <w:rPr/>
        <w:t>their children, are key provisions for the development of effective hate crime </w:t>
      </w:r>
      <w:r>
        <w:rPr>
          <w:spacing w:val="-2"/>
        </w:rPr>
        <w:t>legislation.</w:t>
      </w:r>
      <w:r>
        <w:rPr>
          <w:spacing w:val="-2"/>
          <w:vertAlign w:val="superscript"/>
        </w:rPr>
        <w:t>446</w:t>
      </w:r>
    </w:p>
    <w:p>
      <w:pPr>
        <w:pStyle w:val="ListParagraph"/>
        <w:numPr>
          <w:ilvl w:val="1"/>
          <w:numId w:val="7"/>
        </w:numPr>
        <w:tabs>
          <w:tab w:pos="1853" w:val="left" w:leader="none"/>
        </w:tabs>
        <w:spacing w:line="225" w:lineRule="auto" w:before="307" w:after="0"/>
        <w:ind w:left="1853" w:right="1381" w:hanging="720"/>
        <w:jc w:val="left"/>
        <w:rPr>
          <w:color w:val="1E1B1C"/>
          <w:sz w:val="28"/>
        </w:rPr>
      </w:pPr>
      <w:r>
        <w:rPr>
          <w:color w:val="1E1B1C"/>
          <w:sz w:val="28"/>
        </w:rPr>
        <w:t>In</w:t>
      </w:r>
      <w:r>
        <w:rPr>
          <w:color w:val="1E1B1C"/>
          <w:spacing w:val="-5"/>
          <w:sz w:val="28"/>
        </w:rPr>
        <w:t> </w:t>
      </w:r>
      <w:r>
        <w:rPr>
          <w:color w:val="1E1B1C"/>
          <w:sz w:val="28"/>
        </w:rPr>
        <w:t>2023,</w:t>
      </w:r>
      <w:r>
        <w:rPr>
          <w:color w:val="1E1B1C"/>
          <w:spacing w:val="-4"/>
          <w:sz w:val="28"/>
        </w:rPr>
        <w:t> </w:t>
      </w:r>
      <w:r>
        <w:rPr>
          <w:color w:val="1E1B1C"/>
          <w:sz w:val="28"/>
        </w:rPr>
        <w:t>the</w:t>
      </w:r>
      <w:r>
        <w:rPr>
          <w:color w:val="1E1B1C"/>
          <w:spacing w:val="-4"/>
          <w:sz w:val="28"/>
        </w:rPr>
        <w:t> </w:t>
      </w:r>
      <w:r>
        <w:rPr>
          <w:color w:val="1E1B1C"/>
          <w:sz w:val="28"/>
        </w:rPr>
        <w:t>Department</w:t>
      </w:r>
      <w:r>
        <w:rPr>
          <w:color w:val="1E1B1C"/>
          <w:spacing w:val="-4"/>
          <w:sz w:val="28"/>
        </w:rPr>
        <w:t> </w:t>
      </w:r>
      <w:r>
        <w:rPr>
          <w:color w:val="1E1B1C"/>
          <w:sz w:val="28"/>
        </w:rPr>
        <w:t>of</w:t>
      </w:r>
      <w:r>
        <w:rPr>
          <w:color w:val="1E1B1C"/>
          <w:spacing w:val="-5"/>
          <w:sz w:val="28"/>
        </w:rPr>
        <w:t> </w:t>
      </w:r>
      <w:r>
        <w:rPr>
          <w:color w:val="1E1B1C"/>
          <w:sz w:val="28"/>
        </w:rPr>
        <w:t>Justice</w:t>
      </w:r>
      <w:r>
        <w:rPr>
          <w:color w:val="1E1B1C"/>
          <w:spacing w:val="-4"/>
          <w:sz w:val="28"/>
        </w:rPr>
        <w:t> </w:t>
      </w:r>
      <w:r>
        <w:rPr>
          <w:color w:val="1E1B1C"/>
          <w:sz w:val="28"/>
        </w:rPr>
        <w:t>published</w:t>
      </w:r>
      <w:r>
        <w:rPr>
          <w:color w:val="1E1B1C"/>
          <w:spacing w:val="-5"/>
          <w:sz w:val="28"/>
        </w:rPr>
        <w:t> </w:t>
      </w:r>
      <w:r>
        <w:rPr>
          <w:color w:val="1E1B1C"/>
          <w:sz w:val="28"/>
        </w:rPr>
        <w:t>a</w:t>
      </w:r>
      <w:r>
        <w:rPr>
          <w:color w:val="1E1B1C"/>
          <w:spacing w:val="-5"/>
          <w:sz w:val="28"/>
        </w:rPr>
        <w:t> </w:t>
      </w:r>
      <w:r>
        <w:rPr>
          <w:color w:val="1E1B1C"/>
          <w:sz w:val="28"/>
        </w:rPr>
        <w:t>summary</w:t>
      </w:r>
      <w:r>
        <w:rPr>
          <w:color w:val="1E1B1C"/>
          <w:spacing w:val="-4"/>
          <w:sz w:val="28"/>
        </w:rPr>
        <w:t> </w:t>
      </w:r>
      <w:r>
        <w:rPr>
          <w:color w:val="1E1B1C"/>
          <w:sz w:val="28"/>
        </w:rPr>
        <w:t>report</w:t>
      </w:r>
      <w:r>
        <w:rPr>
          <w:color w:val="1E1B1C"/>
          <w:spacing w:val="-4"/>
          <w:sz w:val="28"/>
        </w:rPr>
        <w:t> </w:t>
      </w:r>
      <w:r>
        <w:rPr>
          <w:color w:val="1E1B1C"/>
          <w:sz w:val="28"/>
        </w:rPr>
        <w:t>of</w:t>
      </w:r>
      <w:r>
        <w:rPr>
          <w:color w:val="1E1B1C"/>
          <w:spacing w:val="-5"/>
          <w:sz w:val="28"/>
        </w:rPr>
        <w:t> </w:t>
      </w:r>
      <w:r>
        <w:rPr>
          <w:color w:val="1E1B1C"/>
          <w:sz w:val="28"/>
        </w:rPr>
        <w:t>stage</w:t>
      </w:r>
      <w:r>
        <w:rPr>
          <w:color w:val="1E1B1C"/>
          <w:spacing w:val="-4"/>
          <w:sz w:val="28"/>
        </w:rPr>
        <w:t> </w:t>
      </w:r>
      <w:r>
        <w:rPr>
          <w:color w:val="1E1B1C"/>
          <w:sz w:val="28"/>
        </w:rPr>
        <w:t>one consultation responses, noting that </w:t>
      </w:r>
      <w:r>
        <w:rPr>
          <w:sz w:val="28"/>
        </w:rPr>
        <w:t>subsequent changes to legislation in a Hate Crime Bill are progressing</w:t>
      </w:r>
      <w:r>
        <w:rPr>
          <w:color w:val="1E1B1C"/>
          <w:sz w:val="28"/>
        </w:rPr>
        <w:t>.</w:t>
      </w:r>
      <w:r>
        <w:rPr>
          <w:sz w:val="28"/>
          <w:vertAlign w:val="superscript"/>
        </w:rPr>
        <w:t>447</w:t>
      </w:r>
      <w:r>
        <w:rPr>
          <w:sz w:val="28"/>
          <w:vertAlign w:val="baseline"/>
        </w:rPr>
        <w:t> The Department of Justice has confirmed that Phase 2 of the consultation on Hate Crime Legislation is planned for</w:t>
      </w:r>
    </w:p>
    <w:p>
      <w:pPr>
        <w:pStyle w:val="BodyText"/>
        <w:spacing w:before="1"/>
        <w:rPr>
          <w:sz w:val="17"/>
        </w:rPr>
      </w:pPr>
      <w:r>
        <w:rPr/>
        <mc:AlternateContent>
          <mc:Choice Requires="wps">
            <w:drawing>
              <wp:anchor distT="0" distB="0" distL="0" distR="0" allowOverlap="1" layoutInCell="1" locked="0" behindDoc="1" simplePos="0" relativeHeight="487675392">
                <wp:simplePos x="0" y="0"/>
                <wp:positionH relativeFrom="page">
                  <wp:posOffset>719996</wp:posOffset>
                </wp:positionH>
                <wp:positionV relativeFrom="paragraph">
                  <wp:posOffset>148273</wp:posOffset>
                </wp:positionV>
                <wp:extent cx="6120130" cy="1270"/>
                <wp:effectExtent l="0" t="0" r="0" b="0"/>
                <wp:wrapTopAndBottom/>
                <wp:docPr id="379" name="Graphic 379"/>
                <wp:cNvGraphicFramePr>
                  <a:graphicFrameLocks/>
                </wp:cNvGraphicFramePr>
                <a:graphic>
                  <a:graphicData uri="http://schemas.microsoft.com/office/word/2010/wordprocessingShape">
                    <wps:wsp>
                      <wps:cNvPr id="379" name="Graphic 37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1.675075pt;width:481.9pt;height:.1pt;mso-position-horizontal-relative:page;mso-position-vertical-relative:paragraph;z-index:-15641088;mso-wrap-distance-left:0;mso-wrap-distance-right:0" id="docshape328" coordorigin="1134,234" coordsize="9638,0" path="m10772,234l1134,234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35" w:lineRule="auto" w:before="130" w:after="0"/>
        <w:ind w:left="1853" w:right="1234" w:hanging="720"/>
        <w:jc w:val="left"/>
        <w:rPr>
          <w:sz w:val="18"/>
        </w:rPr>
      </w:pPr>
      <w:r>
        <w:rPr>
          <w:sz w:val="18"/>
        </w:rPr>
        <w:t>‘Why has there been a spike in racist attacks in south Belfast?’, </w:t>
      </w:r>
      <w:r>
        <w:rPr>
          <w:i/>
          <w:sz w:val="18"/>
        </w:rPr>
        <w:t>BBC </w:t>
      </w:r>
      <w:r>
        <w:rPr>
          <w:sz w:val="18"/>
        </w:rPr>
        <w:t>News, 17 October 2023; Meeting of refugee and ethnic minority business owners hosted by Participation and Practice of Rights, 31 August 2023; ‘Sandy Row: Belfast fire treated</w:t>
      </w:r>
      <w:r>
        <w:rPr>
          <w:spacing w:val="-1"/>
          <w:sz w:val="18"/>
        </w:rPr>
        <w:t> </w:t>
      </w:r>
      <w:r>
        <w:rPr>
          <w:sz w:val="18"/>
        </w:rPr>
        <w:t>as</w:t>
      </w:r>
      <w:r>
        <w:rPr>
          <w:spacing w:val="-1"/>
          <w:sz w:val="18"/>
        </w:rPr>
        <w:t> </w:t>
      </w:r>
      <w:r>
        <w:rPr>
          <w:sz w:val="18"/>
        </w:rPr>
        <w:t>racially motivated</w:t>
      </w:r>
      <w:r>
        <w:rPr>
          <w:spacing w:val="-1"/>
          <w:sz w:val="18"/>
        </w:rPr>
        <w:t> </w:t>
      </w:r>
      <w:r>
        <w:rPr>
          <w:sz w:val="18"/>
        </w:rPr>
        <w:t>hate crime’,</w:t>
      </w:r>
      <w:r>
        <w:rPr>
          <w:spacing w:val="-1"/>
          <w:sz w:val="18"/>
        </w:rPr>
        <w:t> </w:t>
      </w:r>
      <w:r>
        <w:rPr>
          <w:i/>
          <w:sz w:val="18"/>
        </w:rPr>
        <w:t>BBC</w:t>
      </w:r>
      <w:r>
        <w:rPr>
          <w:i/>
          <w:spacing w:val="-1"/>
          <w:sz w:val="18"/>
        </w:rPr>
        <w:t> </w:t>
      </w:r>
      <w:r>
        <w:rPr>
          <w:i/>
          <w:sz w:val="18"/>
        </w:rPr>
        <w:t>News</w:t>
      </w:r>
      <w:r>
        <w:rPr>
          <w:sz w:val="18"/>
        </w:rPr>
        <w:t>, 18 August 2023; ‘Belfast Multi-Cultural</w:t>
      </w:r>
      <w:r>
        <w:rPr>
          <w:spacing w:val="-1"/>
          <w:sz w:val="18"/>
        </w:rPr>
        <w:t> </w:t>
      </w:r>
      <w:r>
        <w:rPr>
          <w:sz w:val="18"/>
        </w:rPr>
        <w:t>Association</w:t>
      </w:r>
      <w:r>
        <w:rPr>
          <w:spacing w:val="-1"/>
          <w:sz w:val="18"/>
        </w:rPr>
        <w:t> </w:t>
      </w:r>
      <w:r>
        <w:rPr>
          <w:sz w:val="18"/>
        </w:rPr>
        <w:t>building for sale after arson attacks’, </w:t>
      </w:r>
      <w:r>
        <w:rPr>
          <w:i/>
          <w:sz w:val="18"/>
        </w:rPr>
        <w:t>BBC News</w:t>
      </w:r>
      <w:r>
        <w:rPr>
          <w:sz w:val="18"/>
        </w:rPr>
        <w:t>, 14 February 2023; ‘Belfast mosque leader’s worries after Nazi flags flown nearby’, </w:t>
      </w:r>
      <w:r>
        <w:rPr>
          <w:i/>
          <w:sz w:val="18"/>
        </w:rPr>
        <w:t>BBC</w:t>
      </w:r>
      <w:r>
        <w:rPr>
          <w:i/>
          <w:sz w:val="18"/>
        </w:rPr>
        <w:t> News</w:t>
      </w:r>
      <w:r>
        <w:rPr>
          <w:sz w:val="18"/>
        </w:rPr>
        <w:t>, 23 August 2023; Sarah McKinley, ‘South Belfast businesses in emergency meeting over multiple racist attacks’,</w:t>
      </w:r>
      <w:r>
        <w:rPr>
          <w:sz w:val="18"/>
        </w:rPr>
        <w:t> </w:t>
      </w:r>
      <w:r>
        <w:rPr>
          <w:i/>
          <w:sz w:val="18"/>
        </w:rPr>
        <w:t>UTV</w:t>
      </w:r>
      <w:r>
        <w:rPr>
          <w:i/>
          <w:spacing w:val="-3"/>
          <w:sz w:val="18"/>
        </w:rPr>
        <w:t> </w:t>
      </w:r>
      <w:r>
        <w:rPr>
          <w:i/>
          <w:sz w:val="18"/>
        </w:rPr>
        <w:t>News</w:t>
      </w:r>
      <w:r>
        <w:rPr>
          <w:sz w:val="18"/>
        </w:rPr>
        <w:t>,</w:t>
      </w:r>
      <w:r>
        <w:rPr>
          <w:spacing w:val="-2"/>
          <w:sz w:val="18"/>
        </w:rPr>
        <w:t> </w:t>
      </w:r>
      <w:r>
        <w:rPr>
          <w:sz w:val="18"/>
        </w:rPr>
        <w:t>1</w:t>
      </w:r>
      <w:r>
        <w:rPr>
          <w:spacing w:val="-2"/>
          <w:sz w:val="18"/>
        </w:rPr>
        <w:t> </w:t>
      </w:r>
      <w:r>
        <w:rPr>
          <w:sz w:val="18"/>
        </w:rPr>
        <w:t>September</w:t>
      </w:r>
      <w:r>
        <w:rPr>
          <w:spacing w:val="-2"/>
          <w:sz w:val="18"/>
        </w:rPr>
        <w:t> </w:t>
      </w:r>
      <w:r>
        <w:rPr>
          <w:sz w:val="18"/>
        </w:rPr>
        <w:t>2023;</w:t>
      </w:r>
      <w:r>
        <w:rPr>
          <w:spacing w:val="-2"/>
          <w:sz w:val="18"/>
        </w:rPr>
        <w:t> </w:t>
      </w:r>
      <w:r>
        <w:rPr>
          <w:sz w:val="18"/>
        </w:rPr>
        <w:t>Sara</w:t>
      </w:r>
      <w:r>
        <w:rPr>
          <w:spacing w:val="-3"/>
          <w:sz w:val="18"/>
        </w:rPr>
        <w:t> </w:t>
      </w:r>
      <w:r>
        <w:rPr>
          <w:sz w:val="18"/>
        </w:rPr>
        <w:t>Girvan</w:t>
      </w:r>
      <w:r>
        <w:rPr>
          <w:spacing w:val="-3"/>
          <w:sz w:val="18"/>
        </w:rPr>
        <w:t> </w:t>
      </w:r>
      <w:r>
        <w:rPr>
          <w:sz w:val="18"/>
        </w:rPr>
        <w:t>and</w:t>
      </w:r>
      <w:r>
        <w:rPr>
          <w:spacing w:val="-3"/>
          <w:sz w:val="18"/>
        </w:rPr>
        <w:t> </w:t>
      </w:r>
      <w:r>
        <w:rPr>
          <w:sz w:val="18"/>
        </w:rPr>
        <w:t>Eimear</w:t>
      </w:r>
      <w:r>
        <w:rPr>
          <w:spacing w:val="-2"/>
          <w:sz w:val="18"/>
        </w:rPr>
        <w:t> </w:t>
      </w:r>
      <w:r>
        <w:rPr>
          <w:sz w:val="18"/>
        </w:rPr>
        <w:t>Flanagan,</w:t>
      </w:r>
      <w:r>
        <w:rPr>
          <w:spacing w:val="-2"/>
          <w:sz w:val="18"/>
        </w:rPr>
        <w:t> </w:t>
      </w:r>
      <w:r>
        <w:rPr>
          <w:sz w:val="18"/>
        </w:rPr>
        <w:t>‘Syrian</w:t>
      </w:r>
      <w:r>
        <w:rPr>
          <w:spacing w:val="-3"/>
          <w:sz w:val="18"/>
        </w:rPr>
        <w:t> </w:t>
      </w:r>
      <w:r>
        <w:rPr>
          <w:sz w:val="18"/>
        </w:rPr>
        <w:t>man</w:t>
      </w:r>
      <w:r>
        <w:rPr>
          <w:spacing w:val="-3"/>
          <w:sz w:val="18"/>
        </w:rPr>
        <w:t> </w:t>
      </w:r>
      <w:r>
        <w:rPr>
          <w:sz w:val="18"/>
        </w:rPr>
        <w:t>to</w:t>
      </w:r>
      <w:r>
        <w:rPr>
          <w:spacing w:val="-3"/>
          <w:sz w:val="18"/>
        </w:rPr>
        <w:t> </w:t>
      </w:r>
      <w:r>
        <w:rPr>
          <w:sz w:val="18"/>
        </w:rPr>
        <w:t>move</w:t>
      </w:r>
      <w:r>
        <w:rPr>
          <w:spacing w:val="-2"/>
          <w:sz w:val="18"/>
        </w:rPr>
        <w:t> </w:t>
      </w:r>
      <w:r>
        <w:rPr>
          <w:sz w:val="18"/>
        </w:rPr>
        <w:t>shop</w:t>
      </w:r>
      <w:r>
        <w:rPr>
          <w:spacing w:val="-3"/>
          <w:sz w:val="18"/>
        </w:rPr>
        <w:t> </w:t>
      </w:r>
      <w:r>
        <w:rPr>
          <w:sz w:val="18"/>
        </w:rPr>
        <w:t>after</w:t>
      </w:r>
      <w:r>
        <w:rPr>
          <w:spacing w:val="-2"/>
          <w:sz w:val="18"/>
        </w:rPr>
        <w:t> </w:t>
      </w:r>
      <w:r>
        <w:rPr>
          <w:sz w:val="18"/>
        </w:rPr>
        <w:t>four</w:t>
      </w:r>
      <w:r>
        <w:rPr>
          <w:spacing w:val="-2"/>
          <w:sz w:val="18"/>
        </w:rPr>
        <w:t> </w:t>
      </w:r>
      <w:r>
        <w:rPr>
          <w:sz w:val="18"/>
        </w:rPr>
        <w:t>racist</w:t>
      </w:r>
      <w:r>
        <w:rPr>
          <w:spacing w:val="-2"/>
          <w:sz w:val="18"/>
        </w:rPr>
        <w:t> </w:t>
      </w:r>
      <w:r>
        <w:rPr>
          <w:sz w:val="18"/>
        </w:rPr>
        <w:t>attacks’,</w:t>
      </w:r>
      <w:r>
        <w:rPr>
          <w:spacing w:val="-4"/>
          <w:sz w:val="18"/>
        </w:rPr>
        <w:t> </w:t>
      </w:r>
      <w:r>
        <w:rPr>
          <w:i/>
          <w:sz w:val="18"/>
        </w:rPr>
        <w:t>BBC</w:t>
      </w:r>
      <w:r>
        <w:rPr>
          <w:i/>
          <w:sz w:val="18"/>
        </w:rPr>
        <w:t> News</w:t>
      </w:r>
      <w:r>
        <w:rPr>
          <w:sz w:val="18"/>
        </w:rPr>
        <w:t>,</w:t>
      </w:r>
      <w:r>
        <w:rPr>
          <w:spacing w:val="-6"/>
          <w:sz w:val="18"/>
        </w:rPr>
        <w:t> </w:t>
      </w:r>
      <w:r>
        <w:rPr>
          <w:sz w:val="18"/>
        </w:rPr>
        <w:t>18</w:t>
      </w:r>
      <w:r>
        <w:rPr>
          <w:spacing w:val="-6"/>
          <w:sz w:val="18"/>
        </w:rPr>
        <w:t> </w:t>
      </w:r>
      <w:r>
        <w:rPr>
          <w:sz w:val="18"/>
        </w:rPr>
        <w:t>September</w:t>
      </w:r>
      <w:r>
        <w:rPr>
          <w:spacing w:val="-6"/>
          <w:sz w:val="18"/>
        </w:rPr>
        <w:t> </w:t>
      </w:r>
      <w:r>
        <w:rPr>
          <w:sz w:val="18"/>
        </w:rPr>
        <w:t>2023;</w:t>
      </w:r>
      <w:r>
        <w:rPr>
          <w:spacing w:val="-6"/>
          <w:sz w:val="18"/>
        </w:rPr>
        <w:t> </w:t>
      </w:r>
      <w:r>
        <w:rPr>
          <w:sz w:val="18"/>
        </w:rPr>
        <w:t>Kevin</w:t>
      </w:r>
      <w:r>
        <w:rPr>
          <w:spacing w:val="-7"/>
          <w:sz w:val="18"/>
        </w:rPr>
        <w:t> </w:t>
      </w:r>
      <w:r>
        <w:rPr>
          <w:sz w:val="18"/>
        </w:rPr>
        <w:t>Sharkey,</w:t>
      </w:r>
      <w:r>
        <w:rPr>
          <w:spacing w:val="-6"/>
          <w:sz w:val="18"/>
        </w:rPr>
        <w:t> </w:t>
      </w:r>
      <w:r>
        <w:rPr>
          <w:sz w:val="18"/>
        </w:rPr>
        <w:t>‘Belvoir:</w:t>
      </w:r>
      <w:r>
        <w:rPr>
          <w:spacing w:val="-6"/>
          <w:sz w:val="18"/>
        </w:rPr>
        <w:t> </w:t>
      </w:r>
      <w:r>
        <w:rPr>
          <w:sz w:val="18"/>
        </w:rPr>
        <w:t>Anti-migrant</w:t>
      </w:r>
      <w:r>
        <w:rPr>
          <w:spacing w:val="-6"/>
          <w:sz w:val="18"/>
        </w:rPr>
        <w:t> </w:t>
      </w:r>
      <w:r>
        <w:rPr>
          <w:sz w:val="18"/>
        </w:rPr>
        <w:t>signs</w:t>
      </w:r>
      <w:r>
        <w:rPr>
          <w:spacing w:val="-7"/>
          <w:sz w:val="18"/>
        </w:rPr>
        <w:t> </w:t>
      </w:r>
      <w:r>
        <w:rPr>
          <w:sz w:val="18"/>
        </w:rPr>
        <w:t>treated</w:t>
      </w:r>
      <w:r>
        <w:rPr>
          <w:spacing w:val="-7"/>
          <w:sz w:val="18"/>
        </w:rPr>
        <w:t> </w:t>
      </w:r>
      <w:r>
        <w:rPr>
          <w:sz w:val="18"/>
        </w:rPr>
        <w:t>as</w:t>
      </w:r>
      <w:r>
        <w:rPr>
          <w:spacing w:val="-7"/>
          <w:sz w:val="18"/>
        </w:rPr>
        <w:t> </w:t>
      </w:r>
      <w:r>
        <w:rPr>
          <w:sz w:val="18"/>
        </w:rPr>
        <w:t>“hate</w:t>
      </w:r>
      <w:r>
        <w:rPr>
          <w:spacing w:val="-6"/>
          <w:sz w:val="18"/>
        </w:rPr>
        <w:t> </w:t>
      </w:r>
      <w:r>
        <w:rPr>
          <w:sz w:val="18"/>
        </w:rPr>
        <w:t>incident”’,</w:t>
      </w:r>
      <w:r>
        <w:rPr>
          <w:spacing w:val="-8"/>
          <w:sz w:val="18"/>
        </w:rPr>
        <w:t> </w:t>
      </w:r>
      <w:r>
        <w:rPr>
          <w:i/>
          <w:sz w:val="18"/>
        </w:rPr>
        <w:t>BBC</w:t>
      </w:r>
      <w:r>
        <w:rPr>
          <w:i/>
          <w:spacing w:val="-7"/>
          <w:sz w:val="18"/>
        </w:rPr>
        <w:t> </w:t>
      </w:r>
      <w:r>
        <w:rPr>
          <w:i/>
          <w:sz w:val="18"/>
        </w:rPr>
        <w:t>News</w:t>
      </w:r>
      <w:r>
        <w:rPr>
          <w:sz w:val="18"/>
        </w:rPr>
        <w:t>,</w:t>
      </w:r>
      <w:r>
        <w:rPr>
          <w:spacing w:val="-6"/>
          <w:sz w:val="18"/>
        </w:rPr>
        <w:t> </w:t>
      </w:r>
      <w:r>
        <w:rPr>
          <w:sz w:val="18"/>
        </w:rPr>
        <w:t>2</w:t>
      </w:r>
      <w:r>
        <w:rPr>
          <w:spacing w:val="-6"/>
          <w:sz w:val="18"/>
        </w:rPr>
        <w:t> </w:t>
      </w:r>
      <w:r>
        <w:rPr>
          <w:sz w:val="18"/>
        </w:rPr>
        <w:t>November </w:t>
      </w:r>
      <w:r>
        <w:rPr>
          <w:spacing w:val="-2"/>
          <w:sz w:val="18"/>
        </w:rPr>
        <w:t>2023.</w:t>
      </w:r>
    </w:p>
    <w:p>
      <w:pPr>
        <w:pStyle w:val="ListParagraph"/>
        <w:numPr>
          <w:ilvl w:val="0"/>
          <w:numId w:val="9"/>
        </w:numPr>
        <w:tabs>
          <w:tab w:pos="1853" w:val="left" w:leader="none"/>
        </w:tabs>
        <w:spacing w:line="218" w:lineRule="exact" w:before="2" w:after="0"/>
        <w:ind w:left="1853" w:right="0" w:hanging="720"/>
        <w:jc w:val="left"/>
        <w:rPr>
          <w:sz w:val="18"/>
        </w:rPr>
      </w:pPr>
      <w:r>
        <w:rPr>
          <w:sz w:val="18"/>
        </w:rPr>
        <w:t>Email</w:t>
      </w:r>
      <w:r>
        <w:rPr>
          <w:spacing w:val="-5"/>
          <w:sz w:val="18"/>
        </w:rPr>
        <w:t> </w:t>
      </w:r>
      <w:r>
        <w:rPr>
          <w:sz w:val="18"/>
        </w:rPr>
        <w:t>correspondence</w:t>
      </w:r>
      <w:r>
        <w:rPr>
          <w:spacing w:val="-4"/>
          <w:sz w:val="18"/>
        </w:rPr>
        <w:t> </w:t>
      </w:r>
      <w:r>
        <w:rPr>
          <w:sz w:val="18"/>
        </w:rPr>
        <w:t>from</w:t>
      </w:r>
      <w:r>
        <w:rPr>
          <w:spacing w:val="-4"/>
          <w:sz w:val="18"/>
        </w:rPr>
        <w:t> </w:t>
      </w:r>
      <w:r>
        <w:rPr>
          <w:sz w:val="18"/>
        </w:rPr>
        <w:t>Participation</w:t>
      </w:r>
      <w:r>
        <w:rPr>
          <w:spacing w:val="-5"/>
          <w:sz w:val="18"/>
        </w:rPr>
        <w:t> </w:t>
      </w:r>
      <w:r>
        <w:rPr>
          <w:sz w:val="18"/>
        </w:rPr>
        <w:t>and</w:t>
      </w:r>
      <w:r>
        <w:rPr>
          <w:spacing w:val="-5"/>
          <w:sz w:val="18"/>
        </w:rPr>
        <w:t> </w:t>
      </w:r>
      <w:r>
        <w:rPr>
          <w:sz w:val="18"/>
        </w:rPr>
        <w:t>the</w:t>
      </w:r>
      <w:r>
        <w:rPr>
          <w:spacing w:val="-4"/>
          <w:sz w:val="18"/>
        </w:rPr>
        <w:t> </w:t>
      </w:r>
      <w:r>
        <w:rPr>
          <w:sz w:val="18"/>
        </w:rPr>
        <w:t>Practice</w:t>
      </w:r>
      <w:r>
        <w:rPr>
          <w:spacing w:val="-4"/>
          <w:sz w:val="18"/>
        </w:rPr>
        <w:t> </w:t>
      </w:r>
      <w:r>
        <w:rPr>
          <w:sz w:val="18"/>
        </w:rPr>
        <w:t>of</w:t>
      </w:r>
      <w:r>
        <w:rPr>
          <w:spacing w:val="-5"/>
          <w:sz w:val="18"/>
        </w:rPr>
        <w:t> </w:t>
      </w:r>
      <w:r>
        <w:rPr>
          <w:sz w:val="18"/>
        </w:rPr>
        <w:t>Rights</w:t>
      </w:r>
      <w:r>
        <w:rPr>
          <w:spacing w:val="-5"/>
          <w:sz w:val="18"/>
        </w:rPr>
        <w:t> </w:t>
      </w:r>
      <w:r>
        <w:rPr>
          <w:sz w:val="18"/>
        </w:rPr>
        <w:t>to</w:t>
      </w:r>
      <w:r>
        <w:rPr>
          <w:spacing w:val="-5"/>
          <w:sz w:val="18"/>
        </w:rPr>
        <w:t> </w:t>
      </w:r>
      <w:r>
        <w:rPr>
          <w:sz w:val="18"/>
        </w:rPr>
        <w:t>NI</w:t>
      </w:r>
      <w:r>
        <w:rPr>
          <w:spacing w:val="-4"/>
          <w:sz w:val="18"/>
        </w:rPr>
        <w:t> </w:t>
      </w:r>
      <w:r>
        <w:rPr>
          <w:sz w:val="18"/>
        </w:rPr>
        <w:t>Human</w:t>
      </w:r>
      <w:r>
        <w:rPr>
          <w:spacing w:val="-4"/>
          <w:sz w:val="18"/>
        </w:rPr>
        <w:t> </w:t>
      </w:r>
      <w:r>
        <w:rPr>
          <w:sz w:val="18"/>
        </w:rPr>
        <w:t>Rights</w:t>
      </w:r>
      <w:r>
        <w:rPr>
          <w:spacing w:val="-5"/>
          <w:sz w:val="18"/>
        </w:rPr>
        <w:t> </w:t>
      </w:r>
      <w:r>
        <w:rPr>
          <w:sz w:val="18"/>
        </w:rPr>
        <w:t>Commission,</w:t>
      </w:r>
      <w:r>
        <w:rPr>
          <w:spacing w:val="-4"/>
          <w:sz w:val="18"/>
        </w:rPr>
        <w:t> </w:t>
      </w:r>
      <w:r>
        <w:rPr>
          <w:sz w:val="18"/>
        </w:rPr>
        <w:t>2</w:t>
      </w:r>
      <w:r>
        <w:rPr>
          <w:spacing w:val="-4"/>
          <w:sz w:val="18"/>
        </w:rPr>
        <w:t> </w:t>
      </w:r>
      <w:r>
        <w:rPr>
          <w:sz w:val="18"/>
        </w:rPr>
        <w:t>November</w:t>
      </w:r>
      <w:r>
        <w:rPr>
          <w:spacing w:val="-4"/>
          <w:sz w:val="18"/>
        </w:rPr>
        <w:t> </w:t>
      </w:r>
      <w:r>
        <w:rPr>
          <w:spacing w:val="-2"/>
          <w:sz w:val="18"/>
        </w:rPr>
        <w:t>2023.</w:t>
      </w:r>
    </w:p>
    <w:p>
      <w:pPr>
        <w:pStyle w:val="ListParagraph"/>
        <w:numPr>
          <w:ilvl w:val="0"/>
          <w:numId w:val="9"/>
        </w:numPr>
        <w:tabs>
          <w:tab w:pos="1853" w:val="left" w:leader="none"/>
        </w:tabs>
        <w:spacing w:line="216" w:lineRule="exact" w:before="0" w:after="0"/>
        <w:ind w:left="1853" w:right="0" w:hanging="720"/>
        <w:jc w:val="left"/>
        <w:rPr>
          <w:sz w:val="18"/>
        </w:rPr>
      </w:pPr>
      <w:r>
        <w:rPr>
          <w:sz w:val="18"/>
        </w:rPr>
        <w:t>Independent</w:t>
      </w:r>
      <w:r>
        <w:rPr>
          <w:spacing w:val="-6"/>
          <w:sz w:val="18"/>
        </w:rPr>
        <w:t> </w:t>
      </w:r>
      <w:r>
        <w:rPr>
          <w:sz w:val="18"/>
        </w:rPr>
        <w:t>Hate</w:t>
      </w:r>
      <w:r>
        <w:rPr>
          <w:spacing w:val="-5"/>
          <w:sz w:val="18"/>
        </w:rPr>
        <w:t> </w:t>
      </w:r>
      <w:r>
        <w:rPr>
          <w:sz w:val="18"/>
        </w:rPr>
        <w:t>Crime</w:t>
      </w:r>
      <w:r>
        <w:rPr>
          <w:spacing w:val="-5"/>
          <w:sz w:val="18"/>
        </w:rPr>
        <w:t> </w:t>
      </w:r>
      <w:r>
        <w:rPr>
          <w:sz w:val="18"/>
        </w:rPr>
        <w:t>Review</w:t>
      </w:r>
      <w:r>
        <w:rPr>
          <w:spacing w:val="-5"/>
          <w:sz w:val="18"/>
        </w:rPr>
        <w:t> </w:t>
      </w:r>
      <w:r>
        <w:rPr>
          <w:sz w:val="18"/>
        </w:rPr>
        <w:t>Team,</w:t>
      </w:r>
      <w:r>
        <w:rPr>
          <w:spacing w:val="-5"/>
          <w:sz w:val="18"/>
        </w:rPr>
        <w:t> </w:t>
      </w:r>
      <w:r>
        <w:rPr>
          <w:sz w:val="18"/>
        </w:rPr>
        <w:t>‘Hate</w:t>
      </w:r>
      <w:r>
        <w:rPr>
          <w:spacing w:val="-5"/>
          <w:sz w:val="18"/>
        </w:rPr>
        <w:t> </w:t>
      </w:r>
      <w:r>
        <w:rPr>
          <w:sz w:val="18"/>
        </w:rPr>
        <w:t>Crime</w:t>
      </w:r>
      <w:r>
        <w:rPr>
          <w:spacing w:val="-5"/>
          <w:sz w:val="18"/>
        </w:rPr>
        <w:t> </w:t>
      </w:r>
      <w:r>
        <w:rPr>
          <w:sz w:val="18"/>
        </w:rPr>
        <w:t>Legislation</w:t>
      </w:r>
      <w:r>
        <w:rPr>
          <w:spacing w:val="-5"/>
          <w:sz w:val="18"/>
        </w:rPr>
        <w:t> </w:t>
      </w:r>
      <w:r>
        <w:rPr>
          <w:sz w:val="18"/>
        </w:rPr>
        <w:t>in</w:t>
      </w:r>
      <w:r>
        <w:rPr>
          <w:spacing w:val="-6"/>
          <w:sz w:val="18"/>
        </w:rPr>
        <w:t> </w:t>
      </w:r>
      <w:r>
        <w:rPr>
          <w:sz w:val="18"/>
        </w:rPr>
        <w:t>NI:</w:t>
      </w:r>
      <w:r>
        <w:rPr>
          <w:spacing w:val="-5"/>
          <w:sz w:val="18"/>
        </w:rPr>
        <w:t> </w:t>
      </w:r>
      <w:r>
        <w:rPr>
          <w:sz w:val="18"/>
        </w:rPr>
        <w:t>Independent</w:t>
      </w:r>
      <w:r>
        <w:rPr>
          <w:spacing w:val="-5"/>
          <w:sz w:val="18"/>
        </w:rPr>
        <w:t> </w:t>
      </w:r>
      <w:r>
        <w:rPr>
          <w:sz w:val="18"/>
        </w:rPr>
        <w:t>Review’</w:t>
      </w:r>
      <w:r>
        <w:rPr>
          <w:spacing w:val="-5"/>
          <w:sz w:val="18"/>
        </w:rPr>
        <w:t> </w:t>
      </w:r>
      <w:r>
        <w:rPr>
          <w:sz w:val="18"/>
        </w:rPr>
        <w:t>(DoJ,</w:t>
      </w:r>
      <w:r>
        <w:rPr>
          <w:spacing w:val="-5"/>
          <w:sz w:val="18"/>
        </w:rPr>
        <w:t> </w:t>
      </w:r>
      <w:r>
        <w:rPr>
          <w:spacing w:val="-2"/>
          <w:sz w:val="18"/>
        </w:rPr>
        <w:t>2020).</w:t>
      </w:r>
    </w:p>
    <w:p>
      <w:pPr>
        <w:pStyle w:val="ListParagraph"/>
        <w:numPr>
          <w:ilvl w:val="0"/>
          <w:numId w:val="9"/>
        </w:numPr>
        <w:tabs>
          <w:tab w:pos="1853" w:val="left" w:leader="none"/>
        </w:tabs>
        <w:spacing w:line="216" w:lineRule="exact" w:before="0" w:after="0"/>
        <w:ind w:left="1853" w:right="0" w:hanging="720"/>
        <w:jc w:val="left"/>
        <w:rPr>
          <w:sz w:val="18"/>
        </w:rPr>
      </w:pPr>
      <w:r>
        <w:rPr>
          <w:sz w:val="18"/>
        </w:rPr>
        <w:t>Department</w:t>
      </w:r>
      <w:r>
        <w:rPr>
          <w:spacing w:val="-5"/>
          <w:sz w:val="18"/>
        </w:rPr>
        <w:t> </w:t>
      </w:r>
      <w:r>
        <w:rPr>
          <w:sz w:val="18"/>
        </w:rPr>
        <w:t>of</w:t>
      </w:r>
      <w:r>
        <w:rPr>
          <w:spacing w:val="-6"/>
          <w:sz w:val="18"/>
        </w:rPr>
        <w:t> </w:t>
      </w:r>
      <w:r>
        <w:rPr>
          <w:sz w:val="18"/>
        </w:rPr>
        <w:t>Justice,</w:t>
      </w:r>
      <w:r>
        <w:rPr>
          <w:spacing w:val="-5"/>
          <w:sz w:val="18"/>
        </w:rPr>
        <w:t> </w:t>
      </w:r>
      <w:r>
        <w:rPr>
          <w:sz w:val="18"/>
        </w:rPr>
        <w:t>‘Review</w:t>
      </w:r>
      <w:r>
        <w:rPr>
          <w:spacing w:val="-5"/>
          <w:sz w:val="18"/>
        </w:rPr>
        <w:t> </w:t>
      </w:r>
      <w:r>
        <w:rPr>
          <w:sz w:val="18"/>
        </w:rPr>
        <w:t>of</w:t>
      </w:r>
      <w:r>
        <w:rPr>
          <w:spacing w:val="-6"/>
          <w:sz w:val="18"/>
        </w:rPr>
        <w:t> </w:t>
      </w:r>
      <w:r>
        <w:rPr>
          <w:sz w:val="18"/>
        </w:rPr>
        <w:t>Hate</w:t>
      </w:r>
      <w:r>
        <w:rPr>
          <w:spacing w:val="-5"/>
          <w:sz w:val="18"/>
        </w:rPr>
        <w:t> </w:t>
      </w:r>
      <w:r>
        <w:rPr>
          <w:sz w:val="18"/>
        </w:rPr>
        <w:t>Crime</w:t>
      </w:r>
      <w:r>
        <w:rPr>
          <w:spacing w:val="-5"/>
          <w:sz w:val="18"/>
        </w:rPr>
        <w:t> </w:t>
      </w:r>
      <w:r>
        <w:rPr>
          <w:sz w:val="18"/>
        </w:rPr>
        <w:t>Legislation</w:t>
      </w:r>
      <w:r>
        <w:rPr>
          <w:spacing w:val="-6"/>
          <w:sz w:val="18"/>
        </w:rPr>
        <w:t> </w:t>
      </w:r>
      <w:r>
        <w:rPr>
          <w:sz w:val="18"/>
        </w:rPr>
        <w:t>in</w:t>
      </w:r>
      <w:r>
        <w:rPr>
          <w:spacing w:val="-5"/>
          <w:sz w:val="18"/>
        </w:rPr>
        <w:t> </w:t>
      </w:r>
      <w:r>
        <w:rPr>
          <w:sz w:val="18"/>
        </w:rPr>
        <w:t>Northern</w:t>
      </w:r>
      <w:r>
        <w:rPr>
          <w:spacing w:val="-6"/>
          <w:sz w:val="18"/>
        </w:rPr>
        <w:t> </w:t>
      </w:r>
      <w:r>
        <w:rPr>
          <w:sz w:val="18"/>
        </w:rPr>
        <w:t>Ireland</w:t>
      </w:r>
      <w:r>
        <w:rPr>
          <w:spacing w:val="-6"/>
          <w:sz w:val="18"/>
        </w:rPr>
        <w:t> </w:t>
      </w:r>
      <w:r>
        <w:rPr>
          <w:sz w:val="18"/>
        </w:rPr>
        <w:t>-</w:t>
      </w:r>
      <w:r>
        <w:rPr>
          <w:spacing w:val="-6"/>
          <w:sz w:val="18"/>
        </w:rPr>
        <w:t> </w:t>
      </w:r>
      <w:r>
        <w:rPr>
          <w:sz w:val="18"/>
        </w:rPr>
        <w:t>Departmental</w:t>
      </w:r>
      <w:r>
        <w:rPr>
          <w:spacing w:val="-6"/>
          <w:sz w:val="18"/>
        </w:rPr>
        <w:t> </w:t>
      </w:r>
      <w:r>
        <w:rPr>
          <w:sz w:val="18"/>
        </w:rPr>
        <w:t>Response’</w:t>
      </w:r>
      <w:r>
        <w:rPr>
          <w:spacing w:val="-5"/>
          <w:sz w:val="18"/>
        </w:rPr>
        <w:t> </w:t>
      </w:r>
      <w:r>
        <w:rPr>
          <w:sz w:val="18"/>
        </w:rPr>
        <w:t>(DoJ,</w:t>
      </w:r>
      <w:r>
        <w:rPr>
          <w:spacing w:val="-5"/>
          <w:sz w:val="18"/>
        </w:rPr>
        <w:t> </w:t>
      </w:r>
      <w:r>
        <w:rPr>
          <w:spacing w:val="-2"/>
          <w:sz w:val="18"/>
        </w:rPr>
        <w:t>2021).</w:t>
      </w:r>
    </w:p>
    <w:p>
      <w:pPr>
        <w:pStyle w:val="ListParagraph"/>
        <w:numPr>
          <w:ilvl w:val="0"/>
          <w:numId w:val="9"/>
        </w:numPr>
        <w:tabs>
          <w:tab w:pos="1853" w:val="left" w:leader="none"/>
        </w:tabs>
        <w:spacing w:line="235" w:lineRule="auto" w:before="1" w:after="0"/>
        <w:ind w:left="1853" w:right="1276" w:hanging="720"/>
        <w:jc w:val="left"/>
        <w:rPr>
          <w:sz w:val="18"/>
        </w:rPr>
      </w:pPr>
      <w:r>
        <w:rPr>
          <w:sz w:val="18"/>
        </w:rPr>
        <w:t>NI</w:t>
      </w:r>
      <w:r>
        <w:rPr>
          <w:spacing w:val="-5"/>
          <w:sz w:val="18"/>
        </w:rPr>
        <w:t> </w:t>
      </w:r>
      <w:r>
        <w:rPr>
          <w:sz w:val="18"/>
        </w:rPr>
        <w:t>Human</w:t>
      </w:r>
      <w:r>
        <w:rPr>
          <w:spacing w:val="-6"/>
          <w:sz w:val="18"/>
        </w:rPr>
        <w:t> </w:t>
      </w:r>
      <w:r>
        <w:rPr>
          <w:sz w:val="18"/>
        </w:rPr>
        <w:t>Rights</w:t>
      </w:r>
      <w:r>
        <w:rPr>
          <w:spacing w:val="-6"/>
          <w:sz w:val="18"/>
        </w:rPr>
        <w:t> </w:t>
      </w:r>
      <w:r>
        <w:rPr>
          <w:sz w:val="18"/>
        </w:rPr>
        <w:t>Commission,</w:t>
      </w:r>
      <w:r>
        <w:rPr>
          <w:spacing w:val="-5"/>
          <w:sz w:val="18"/>
        </w:rPr>
        <w:t> </w:t>
      </w:r>
      <w:r>
        <w:rPr>
          <w:sz w:val="18"/>
        </w:rPr>
        <w:t>‘Response</w:t>
      </w:r>
      <w:r>
        <w:rPr>
          <w:spacing w:val="-5"/>
          <w:sz w:val="18"/>
        </w:rPr>
        <w:t> </w:t>
      </w:r>
      <w:r>
        <w:rPr>
          <w:sz w:val="18"/>
        </w:rPr>
        <w:t>to</w:t>
      </w:r>
      <w:r>
        <w:rPr>
          <w:spacing w:val="-6"/>
          <w:sz w:val="18"/>
        </w:rPr>
        <w:t> </w:t>
      </w:r>
      <w:r>
        <w:rPr>
          <w:sz w:val="18"/>
        </w:rPr>
        <w:t>Public</w:t>
      </w:r>
      <w:r>
        <w:rPr>
          <w:spacing w:val="-5"/>
          <w:sz w:val="18"/>
        </w:rPr>
        <w:t> </w:t>
      </w:r>
      <w:r>
        <w:rPr>
          <w:sz w:val="18"/>
        </w:rPr>
        <w:t>Consultation</w:t>
      </w:r>
      <w:r>
        <w:rPr>
          <w:spacing w:val="-6"/>
          <w:sz w:val="18"/>
        </w:rPr>
        <w:t> </w:t>
      </w:r>
      <w:r>
        <w:rPr>
          <w:sz w:val="18"/>
        </w:rPr>
        <w:t>on</w:t>
      </w:r>
      <w:r>
        <w:rPr>
          <w:spacing w:val="-6"/>
          <w:sz w:val="18"/>
        </w:rPr>
        <w:t> </w:t>
      </w:r>
      <w:r>
        <w:rPr>
          <w:sz w:val="18"/>
        </w:rPr>
        <w:t>Improving</w:t>
      </w:r>
      <w:r>
        <w:rPr>
          <w:spacing w:val="-5"/>
          <w:sz w:val="18"/>
        </w:rPr>
        <w:t> </w:t>
      </w:r>
      <w:r>
        <w:rPr>
          <w:sz w:val="18"/>
        </w:rPr>
        <w:t>the</w:t>
      </w:r>
      <w:r>
        <w:rPr>
          <w:spacing w:val="-5"/>
          <w:sz w:val="18"/>
        </w:rPr>
        <w:t> </w:t>
      </w:r>
      <w:r>
        <w:rPr>
          <w:sz w:val="18"/>
        </w:rPr>
        <w:t>Effectiveness</w:t>
      </w:r>
      <w:r>
        <w:rPr>
          <w:spacing w:val="-6"/>
          <w:sz w:val="18"/>
        </w:rPr>
        <w:t> </w:t>
      </w:r>
      <w:r>
        <w:rPr>
          <w:sz w:val="18"/>
        </w:rPr>
        <w:t>of</w:t>
      </w:r>
      <w:r>
        <w:rPr>
          <w:spacing w:val="-6"/>
          <w:sz w:val="18"/>
        </w:rPr>
        <w:t> </w:t>
      </w:r>
      <w:r>
        <w:rPr>
          <w:sz w:val="18"/>
        </w:rPr>
        <w:t>Hate</w:t>
      </w:r>
      <w:r>
        <w:rPr>
          <w:spacing w:val="-5"/>
          <w:sz w:val="18"/>
        </w:rPr>
        <w:t> </w:t>
      </w:r>
      <w:r>
        <w:rPr>
          <w:sz w:val="18"/>
        </w:rPr>
        <w:t>Crime</w:t>
      </w:r>
      <w:r>
        <w:rPr>
          <w:spacing w:val="-5"/>
          <w:sz w:val="18"/>
        </w:rPr>
        <w:t> </w:t>
      </w:r>
      <w:r>
        <w:rPr>
          <w:sz w:val="18"/>
        </w:rPr>
        <w:t>Legislation in NI’, (NIHRC, 2022); Equality Commission for NI, ‘Response to consultation: Department of Justice – Improving the effectiveness of Hate Crime Legislation in Northern Ireland</w:t>
      </w:r>
      <w:r>
        <w:rPr>
          <w:color w:val="0562C1"/>
          <w:sz w:val="18"/>
        </w:rPr>
        <w:t>’ </w:t>
      </w:r>
      <w:r>
        <w:rPr>
          <w:sz w:val="18"/>
        </w:rPr>
        <w:t>(ECNI, 2022).</w:t>
      </w:r>
    </w:p>
    <w:p>
      <w:pPr>
        <w:pStyle w:val="ListParagraph"/>
        <w:numPr>
          <w:ilvl w:val="0"/>
          <w:numId w:val="9"/>
        </w:numPr>
        <w:tabs>
          <w:tab w:pos="1853" w:val="left" w:leader="none"/>
        </w:tabs>
        <w:spacing w:line="235" w:lineRule="auto" w:before="2" w:after="0"/>
        <w:ind w:left="1853" w:right="1179" w:hanging="720"/>
        <w:jc w:val="left"/>
        <w:rPr>
          <w:sz w:val="18"/>
        </w:rPr>
      </w:pPr>
      <w:r>
        <w:rPr>
          <w:sz w:val="18"/>
        </w:rPr>
        <w:t>Equality</w:t>
      </w:r>
      <w:r>
        <w:rPr>
          <w:spacing w:val="-5"/>
          <w:sz w:val="18"/>
        </w:rPr>
        <w:t> </w:t>
      </w:r>
      <w:r>
        <w:rPr>
          <w:sz w:val="18"/>
        </w:rPr>
        <w:t>Commission</w:t>
      </w:r>
      <w:r>
        <w:rPr>
          <w:spacing w:val="-6"/>
          <w:sz w:val="18"/>
        </w:rPr>
        <w:t> </w:t>
      </w:r>
      <w:r>
        <w:rPr>
          <w:sz w:val="18"/>
        </w:rPr>
        <w:t>for</w:t>
      </w:r>
      <w:r>
        <w:rPr>
          <w:spacing w:val="-5"/>
          <w:sz w:val="18"/>
        </w:rPr>
        <w:t> </w:t>
      </w:r>
      <w:r>
        <w:rPr>
          <w:sz w:val="18"/>
        </w:rPr>
        <w:t>NI,</w:t>
      </w:r>
      <w:r>
        <w:rPr>
          <w:spacing w:val="-5"/>
          <w:sz w:val="18"/>
        </w:rPr>
        <w:t> </w:t>
      </w:r>
      <w:r>
        <w:rPr>
          <w:sz w:val="18"/>
        </w:rPr>
        <w:t>‘Response</w:t>
      </w:r>
      <w:r>
        <w:rPr>
          <w:spacing w:val="-5"/>
          <w:sz w:val="18"/>
        </w:rPr>
        <w:t> </w:t>
      </w:r>
      <w:r>
        <w:rPr>
          <w:sz w:val="18"/>
        </w:rPr>
        <w:t>to</w:t>
      </w:r>
      <w:r>
        <w:rPr>
          <w:spacing w:val="-6"/>
          <w:sz w:val="18"/>
        </w:rPr>
        <w:t> </w:t>
      </w:r>
      <w:r>
        <w:rPr>
          <w:sz w:val="18"/>
        </w:rPr>
        <w:t>consultation:</w:t>
      </w:r>
      <w:r>
        <w:rPr>
          <w:spacing w:val="-5"/>
          <w:sz w:val="18"/>
        </w:rPr>
        <w:t> </w:t>
      </w:r>
      <w:r>
        <w:rPr>
          <w:sz w:val="18"/>
        </w:rPr>
        <w:t>Department</w:t>
      </w:r>
      <w:r>
        <w:rPr>
          <w:spacing w:val="-5"/>
          <w:sz w:val="18"/>
        </w:rPr>
        <w:t> </w:t>
      </w:r>
      <w:r>
        <w:rPr>
          <w:sz w:val="18"/>
        </w:rPr>
        <w:t>of</w:t>
      </w:r>
      <w:r>
        <w:rPr>
          <w:spacing w:val="-6"/>
          <w:sz w:val="18"/>
        </w:rPr>
        <w:t> </w:t>
      </w:r>
      <w:r>
        <w:rPr>
          <w:sz w:val="18"/>
        </w:rPr>
        <w:t>Justice</w:t>
      </w:r>
      <w:r>
        <w:rPr>
          <w:spacing w:val="-5"/>
          <w:sz w:val="18"/>
        </w:rPr>
        <w:t> </w:t>
      </w:r>
      <w:r>
        <w:rPr>
          <w:sz w:val="18"/>
        </w:rPr>
        <w:t>–</w:t>
      </w:r>
      <w:r>
        <w:rPr>
          <w:spacing w:val="-6"/>
          <w:sz w:val="18"/>
        </w:rPr>
        <w:t> </w:t>
      </w:r>
      <w:r>
        <w:rPr>
          <w:sz w:val="18"/>
        </w:rPr>
        <w:t>Improving</w:t>
      </w:r>
      <w:r>
        <w:rPr>
          <w:spacing w:val="-5"/>
          <w:sz w:val="18"/>
        </w:rPr>
        <w:t> </w:t>
      </w:r>
      <w:r>
        <w:rPr>
          <w:sz w:val="18"/>
        </w:rPr>
        <w:t>the</w:t>
      </w:r>
      <w:r>
        <w:rPr>
          <w:spacing w:val="-5"/>
          <w:sz w:val="18"/>
        </w:rPr>
        <w:t> </w:t>
      </w:r>
      <w:r>
        <w:rPr>
          <w:sz w:val="18"/>
        </w:rPr>
        <w:t>effectiveness</w:t>
      </w:r>
      <w:r>
        <w:rPr>
          <w:spacing w:val="-6"/>
          <w:sz w:val="18"/>
        </w:rPr>
        <w:t> </w:t>
      </w:r>
      <w:r>
        <w:rPr>
          <w:sz w:val="18"/>
        </w:rPr>
        <w:t>of</w:t>
      </w:r>
      <w:r>
        <w:rPr>
          <w:spacing w:val="-6"/>
          <w:sz w:val="18"/>
        </w:rPr>
        <w:t> </w:t>
      </w:r>
      <w:r>
        <w:rPr>
          <w:sz w:val="18"/>
        </w:rPr>
        <w:t>Hate</w:t>
      </w:r>
      <w:r>
        <w:rPr>
          <w:spacing w:val="-5"/>
          <w:sz w:val="18"/>
        </w:rPr>
        <w:t> </w:t>
      </w:r>
      <w:r>
        <w:rPr>
          <w:sz w:val="18"/>
        </w:rPr>
        <w:t>Crime Legislation in Northern Ireland’. (ECNI, 2022).</w:t>
      </w:r>
    </w:p>
    <w:p>
      <w:pPr>
        <w:pStyle w:val="ListParagraph"/>
        <w:numPr>
          <w:ilvl w:val="0"/>
          <w:numId w:val="9"/>
        </w:numPr>
        <w:tabs>
          <w:tab w:pos="1853" w:val="left" w:leader="none"/>
        </w:tabs>
        <w:spacing w:line="235" w:lineRule="auto" w:before="2" w:after="0"/>
        <w:ind w:left="1853" w:right="1276" w:hanging="720"/>
        <w:jc w:val="left"/>
        <w:rPr>
          <w:sz w:val="18"/>
        </w:rPr>
      </w:pPr>
      <w:r>
        <w:rPr>
          <w:sz w:val="18"/>
        </w:rPr>
        <w:t>NI</w:t>
      </w:r>
      <w:r>
        <w:rPr>
          <w:spacing w:val="-5"/>
          <w:sz w:val="18"/>
        </w:rPr>
        <w:t> </w:t>
      </w:r>
      <w:r>
        <w:rPr>
          <w:sz w:val="18"/>
        </w:rPr>
        <w:t>Human</w:t>
      </w:r>
      <w:r>
        <w:rPr>
          <w:spacing w:val="-6"/>
          <w:sz w:val="18"/>
        </w:rPr>
        <w:t> </w:t>
      </w:r>
      <w:r>
        <w:rPr>
          <w:sz w:val="18"/>
        </w:rPr>
        <w:t>Rights</w:t>
      </w:r>
      <w:r>
        <w:rPr>
          <w:spacing w:val="-6"/>
          <w:sz w:val="18"/>
        </w:rPr>
        <w:t> </w:t>
      </w:r>
      <w:r>
        <w:rPr>
          <w:sz w:val="18"/>
        </w:rPr>
        <w:t>Commission,</w:t>
      </w:r>
      <w:r>
        <w:rPr>
          <w:spacing w:val="-5"/>
          <w:sz w:val="18"/>
        </w:rPr>
        <w:t> </w:t>
      </w:r>
      <w:r>
        <w:rPr>
          <w:sz w:val="18"/>
        </w:rPr>
        <w:t>‘Response</w:t>
      </w:r>
      <w:r>
        <w:rPr>
          <w:spacing w:val="-5"/>
          <w:sz w:val="18"/>
        </w:rPr>
        <w:t> </w:t>
      </w:r>
      <w:r>
        <w:rPr>
          <w:sz w:val="18"/>
        </w:rPr>
        <w:t>to</w:t>
      </w:r>
      <w:r>
        <w:rPr>
          <w:spacing w:val="-6"/>
          <w:sz w:val="18"/>
        </w:rPr>
        <w:t> </w:t>
      </w:r>
      <w:r>
        <w:rPr>
          <w:sz w:val="18"/>
        </w:rPr>
        <w:t>Public</w:t>
      </w:r>
      <w:r>
        <w:rPr>
          <w:spacing w:val="-5"/>
          <w:sz w:val="18"/>
        </w:rPr>
        <w:t> </w:t>
      </w:r>
      <w:r>
        <w:rPr>
          <w:sz w:val="18"/>
        </w:rPr>
        <w:t>Consultation</w:t>
      </w:r>
      <w:r>
        <w:rPr>
          <w:spacing w:val="-6"/>
          <w:sz w:val="18"/>
        </w:rPr>
        <w:t> </w:t>
      </w:r>
      <w:r>
        <w:rPr>
          <w:sz w:val="18"/>
        </w:rPr>
        <w:t>on</w:t>
      </w:r>
      <w:r>
        <w:rPr>
          <w:spacing w:val="-6"/>
          <w:sz w:val="18"/>
        </w:rPr>
        <w:t> </w:t>
      </w:r>
      <w:r>
        <w:rPr>
          <w:sz w:val="18"/>
        </w:rPr>
        <w:t>Improving</w:t>
      </w:r>
      <w:r>
        <w:rPr>
          <w:spacing w:val="-5"/>
          <w:sz w:val="18"/>
        </w:rPr>
        <w:t> </w:t>
      </w:r>
      <w:r>
        <w:rPr>
          <w:sz w:val="18"/>
        </w:rPr>
        <w:t>the</w:t>
      </w:r>
      <w:r>
        <w:rPr>
          <w:spacing w:val="-5"/>
          <w:sz w:val="18"/>
        </w:rPr>
        <w:t> </w:t>
      </w:r>
      <w:r>
        <w:rPr>
          <w:sz w:val="18"/>
        </w:rPr>
        <w:t>Effectiveness</w:t>
      </w:r>
      <w:r>
        <w:rPr>
          <w:spacing w:val="-6"/>
          <w:sz w:val="18"/>
        </w:rPr>
        <w:t> </w:t>
      </w:r>
      <w:r>
        <w:rPr>
          <w:sz w:val="18"/>
        </w:rPr>
        <w:t>of</w:t>
      </w:r>
      <w:r>
        <w:rPr>
          <w:spacing w:val="-6"/>
          <w:sz w:val="18"/>
        </w:rPr>
        <w:t> </w:t>
      </w:r>
      <w:r>
        <w:rPr>
          <w:sz w:val="18"/>
        </w:rPr>
        <w:t>Hate</w:t>
      </w:r>
      <w:r>
        <w:rPr>
          <w:spacing w:val="-5"/>
          <w:sz w:val="18"/>
        </w:rPr>
        <w:t> </w:t>
      </w:r>
      <w:r>
        <w:rPr>
          <w:sz w:val="18"/>
        </w:rPr>
        <w:t>Crime</w:t>
      </w:r>
      <w:r>
        <w:rPr>
          <w:spacing w:val="-5"/>
          <w:sz w:val="18"/>
        </w:rPr>
        <w:t> </w:t>
      </w:r>
      <w:r>
        <w:rPr>
          <w:sz w:val="18"/>
        </w:rPr>
        <w:t>Legislation in NI’ (NIHRC, 2022), at para 5.18.</w:t>
      </w:r>
    </w:p>
    <w:p>
      <w:pPr>
        <w:pStyle w:val="ListParagraph"/>
        <w:numPr>
          <w:ilvl w:val="0"/>
          <w:numId w:val="9"/>
        </w:numPr>
        <w:tabs>
          <w:tab w:pos="1853" w:val="left" w:leader="none"/>
        </w:tabs>
        <w:spacing w:line="235" w:lineRule="auto" w:before="1" w:after="0"/>
        <w:ind w:left="1853" w:right="1187" w:hanging="720"/>
        <w:jc w:val="left"/>
        <w:rPr>
          <w:sz w:val="18"/>
        </w:rPr>
      </w:pPr>
      <w:r>
        <w:rPr>
          <w:sz w:val="18"/>
        </w:rPr>
        <w:t>Department</w:t>
      </w:r>
      <w:r>
        <w:rPr>
          <w:spacing w:val="-4"/>
          <w:sz w:val="18"/>
        </w:rPr>
        <w:t> </w:t>
      </w:r>
      <w:r>
        <w:rPr>
          <w:sz w:val="18"/>
        </w:rPr>
        <w:t>of</w:t>
      </w:r>
      <w:r>
        <w:rPr>
          <w:spacing w:val="-5"/>
          <w:sz w:val="18"/>
        </w:rPr>
        <w:t> </w:t>
      </w:r>
      <w:r>
        <w:rPr>
          <w:sz w:val="18"/>
        </w:rPr>
        <w:t>Justice,</w:t>
      </w:r>
      <w:r>
        <w:rPr>
          <w:spacing w:val="-4"/>
          <w:sz w:val="18"/>
        </w:rPr>
        <w:t> </w:t>
      </w:r>
      <w:r>
        <w:rPr>
          <w:sz w:val="18"/>
        </w:rPr>
        <w:t>‘Improving</w:t>
      </w:r>
      <w:r>
        <w:rPr>
          <w:spacing w:val="-4"/>
          <w:sz w:val="18"/>
        </w:rPr>
        <w:t> </w:t>
      </w:r>
      <w:r>
        <w:rPr>
          <w:sz w:val="18"/>
        </w:rPr>
        <w:t>the</w:t>
      </w:r>
      <w:r>
        <w:rPr>
          <w:spacing w:val="-4"/>
          <w:sz w:val="18"/>
        </w:rPr>
        <w:t> </w:t>
      </w:r>
      <w:r>
        <w:rPr>
          <w:sz w:val="18"/>
        </w:rPr>
        <w:t>effectiveness</w:t>
      </w:r>
      <w:r>
        <w:rPr>
          <w:spacing w:val="-5"/>
          <w:sz w:val="18"/>
        </w:rPr>
        <w:t> </w:t>
      </w:r>
      <w:r>
        <w:rPr>
          <w:sz w:val="18"/>
        </w:rPr>
        <w:t>of</w:t>
      </w:r>
      <w:r>
        <w:rPr>
          <w:spacing w:val="-5"/>
          <w:sz w:val="18"/>
        </w:rPr>
        <w:t> </w:t>
      </w:r>
      <w:r>
        <w:rPr>
          <w:sz w:val="18"/>
        </w:rPr>
        <w:t>Hate</w:t>
      </w:r>
      <w:r>
        <w:rPr>
          <w:spacing w:val="-4"/>
          <w:sz w:val="18"/>
        </w:rPr>
        <w:t> </w:t>
      </w:r>
      <w:r>
        <w:rPr>
          <w:sz w:val="18"/>
        </w:rPr>
        <w:t>Crime</w:t>
      </w:r>
      <w:r>
        <w:rPr>
          <w:spacing w:val="-4"/>
          <w:sz w:val="18"/>
        </w:rPr>
        <w:t> </w:t>
      </w:r>
      <w:r>
        <w:rPr>
          <w:sz w:val="18"/>
        </w:rPr>
        <w:t>Legislation</w:t>
      </w:r>
      <w:r>
        <w:rPr>
          <w:spacing w:val="-5"/>
          <w:sz w:val="18"/>
        </w:rPr>
        <w:t> </w:t>
      </w:r>
      <w:r>
        <w:rPr>
          <w:sz w:val="18"/>
        </w:rPr>
        <w:t>in</w:t>
      </w:r>
      <w:r>
        <w:rPr>
          <w:spacing w:val="-5"/>
          <w:sz w:val="18"/>
        </w:rPr>
        <w:t> </w:t>
      </w:r>
      <w:r>
        <w:rPr>
          <w:sz w:val="18"/>
        </w:rPr>
        <w:t>Northern</w:t>
      </w:r>
      <w:r>
        <w:rPr>
          <w:spacing w:val="-5"/>
          <w:sz w:val="18"/>
        </w:rPr>
        <w:t> </w:t>
      </w:r>
      <w:r>
        <w:rPr>
          <w:sz w:val="18"/>
        </w:rPr>
        <w:t>Ireland:</w:t>
      </w:r>
      <w:r>
        <w:rPr>
          <w:spacing w:val="-4"/>
          <w:sz w:val="18"/>
        </w:rPr>
        <w:t> </w:t>
      </w:r>
      <w:r>
        <w:rPr>
          <w:sz w:val="18"/>
        </w:rPr>
        <w:t>Summary</w:t>
      </w:r>
      <w:r>
        <w:rPr>
          <w:spacing w:val="-4"/>
          <w:sz w:val="18"/>
        </w:rPr>
        <w:t> </w:t>
      </w:r>
      <w:r>
        <w:rPr>
          <w:sz w:val="18"/>
        </w:rPr>
        <w:t>of</w:t>
      </w:r>
      <w:r>
        <w:rPr>
          <w:spacing w:val="-5"/>
          <w:sz w:val="18"/>
        </w:rPr>
        <w:t> </w:t>
      </w:r>
      <w:r>
        <w:rPr>
          <w:sz w:val="18"/>
        </w:rPr>
        <w:t>Phase</w:t>
      </w:r>
      <w:r>
        <w:rPr>
          <w:spacing w:val="-4"/>
          <w:sz w:val="18"/>
        </w:rPr>
        <w:t> </w:t>
      </w:r>
      <w:r>
        <w:rPr>
          <w:sz w:val="18"/>
        </w:rPr>
        <w:t>One Consultation and Call for Views Responses and Way Forward’ (DOJ, 2023).</w:t>
      </w:r>
    </w:p>
    <w:p>
      <w:pPr>
        <w:spacing w:after="0" w:line="235" w:lineRule="auto"/>
        <w:jc w:val="left"/>
        <w:rPr>
          <w:sz w:val="18"/>
        </w:rPr>
        <w:sectPr>
          <w:headerReference w:type="even" r:id="rId154"/>
          <w:headerReference w:type="default" r:id="rId155"/>
          <w:footerReference w:type="even" r:id="rId156"/>
          <w:footerReference w:type="default" r:id="rId157"/>
          <w:pgSz w:w="11910" w:h="16840"/>
          <w:pgMar w:header="496" w:footer="367" w:top="1220" w:bottom="560" w:left="0" w:right="0"/>
          <w:pgNumType w:start="88"/>
        </w:sectPr>
      </w:pPr>
    </w:p>
    <w:p>
      <w:pPr>
        <w:pStyle w:val="BodyText"/>
        <w:spacing w:before="198"/>
      </w:pPr>
    </w:p>
    <w:p>
      <w:pPr>
        <w:pStyle w:val="BodyText"/>
        <w:spacing w:line="225" w:lineRule="auto"/>
        <w:ind w:left="1853" w:right="1171"/>
      </w:pPr>
      <w:bookmarkStart w:name="_bookmark31" w:id="67"/>
      <w:bookmarkEnd w:id="67"/>
      <w:r>
        <w:rPr/>
      </w:r>
      <w:r>
        <w:rPr/>
        <w:t>the Autumn 2024 and that the Minister has committed to introducing a foundational</w:t>
      </w:r>
      <w:r>
        <w:rPr>
          <w:spacing w:val="-6"/>
        </w:rPr>
        <w:t> </w:t>
      </w:r>
      <w:r>
        <w:rPr/>
        <w:t>Hate</w:t>
      </w:r>
      <w:r>
        <w:rPr>
          <w:spacing w:val="-5"/>
        </w:rPr>
        <w:t> </w:t>
      </w:r>
      <w:r>
        <w:rPr/>
        <w:t>Crime</w:t>
      </w:r>
      <w:r>
        <w:rPr>
          <w:spacing w:val="-5"/>
        </w:rPr>
        <w:t> </w:t>
      </w:r>
      <w:r>
        <w:rPr/>
        <w:t>Bill</w:t>
      </w:r>
      <w:r>
        <w:rPr>
          <w:spacing w:val="-6"/>
        </w:rPr>
        <w:t> </w:t>
      </w:r>
      <w:r>
        <w:rPr/>
        <w:t>in</w:t>
      </w:r>
      <w:r>
        <w:rPr>
          <w:spacing w:val="-6"/>
        </w:rPr>
        <w:t> </w:t>
      </w:r>
      <w:r>
        <w:rPr/>
        <w:t>this</w:t>
      </w:r>
      <w:r>
        <w:rPr>
          <w:spacing w:val="-6"/>
        </w:rPr>
        <w:t> </w:t>
      </w:r>
      <w:r>
        <w:rPr/>
        <w:t>mandate.</w:t>
      </w:r>
      <w:r>
        <w:rPr>
          <w:spacing w:val="-6"/>
        </w:rPr>
        <w:t> </w:t>
      </w:r>
      <w:r>
        <w:rPr/>
        <w:t>It</w:t>
      </w:r>
      <w:r>
        <w:rPr>
          <w:spacing w:val="-5"/>
        </w:rPr>
        <w:t> </w:t>
      </w:r>
      <w:r>
        <w:rPr/>
        <w:t>is</w:t>
      </w:r>
      <w:r>
        <w:rPr>
          <w:spacing w:val="-6"/>
        </w:rPr>
        <w:t> </w:t>
      </w:r>
      <w:r>
        <w:rPr/>
        <w:t>scheduled</w:t>
      </w:r>
      <w:r>
        <w:rPr>
          <w:spacing w:val="-6"/>
        </w:rPr>
        <w:t> </w:t>
      </w:r>
      <w:r>
        <w:rPr/>
        <w:t>to</w:t>
      </w:r>
      <w:r>
        <w:rPr>
          <w:spacing w:val="-6"/>
        </w:rPr>
        <w:t> </w:t>
      </w:r>
      <w:r>
        <w:rPr/>
        <w:t>be</w:t>
      </w:r>
      <w:r>
        <w:rPr>
          <w:spacing w:val="-5"/>
        </w:rPr>
        <w:t> </w:t>
      </w:r>
      <w:r>
        <w:rPr/>
        <w:t>introduced in 2026.</w:t>
      </w:r>
      <w:r>
        <w:rPr>
          <w:vertAlign w:val="superscript"/>
        </w:rPr>
        <w:t>448</w:t>
      </w:r>
    </w:p>
    <w:p>
      <w:pPr>
        <w:pStyle w:val="BodyText"/>
        <w:spacing w:before="6"/>
        <w:rPr>
          <w:sz w:val="16"/>
        </w:rPr>
      </w:pPr>
      <w:r>
        <w:rPr/>
        <mc:AlternateContent>
          <mc:Choice Requires="wps">
            <w:drawing>
              <wp:anchor distT="0" distB="0" distL="0" distR="0" allowOverlap="1" layoutInCell="1" locked="0" behindDoc="1" simplePos="0" relativeHeight="487675904">
                <wp:simplePos x="0" y="0"/>
                <wp:positionH relativeFrom="page">
                  <wp:posOffset>720001</wp:posOffset>
                </wp:positionH>
                <wp:positionV relativeFrom="paragraph">
                  <wp:posOffset>143291</wp:posOffset>
                </wp:positionV>
                <wp:extent cx="6120130" cy="360045"/>
                <wp:effectExtent l="0" t="0" r="0" b="0"/>
                <wp:wrapTopAndBottom/>
                <wp:docPr id="380" name="Textbox 380"/>
                <wp:cNvGraphicFramePr>
                  <a:graphicFrameLocks/>
                </wp:cNvGraphicFramePr>
                <a:graphic>
                  <a:graphicData uri="http://schemas.microsoft.com/office/word/2010/wordprocessingShape">
                    <wps:wsp>
                      <wps:cNvPr id="380" name="Textbox 380"/>
                      <wps:cNvSpPr txBox="1"/>
                      <wps:spPr>
                        <a:xfrm>
                          <a:off x="0" y="0"/>
                          <a:ext cx="6120130" cy="360045"/>
                        </a:xfrm>
                        <a:prstGeom prst="rect">
                          <a:avLst/>
                        </a:prstGeom>
                        <a:solidFill>
                          <a:srgbClr val="393B7F"/>
                        </a:solidFill>
                      </wps:spPr>
                      <wps:txbx>
                        <w:txbxContent>
                          <w:p>
                            <w:pPr>
                              <w:spacing w:before="103"/>
                              <w:ind w:left="736"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11.282797pt;width:481.9pt;height:28.35pt;mso-position-horizontal-relative:page;mso-position-vertical-relative:paragraph;z-index:-15640576;mso-wrap-distance-left:0;mso-wrap-distance-right:0" type="#_x0000_t202" id="docshape329" filled="true" fillcolor="#393b7f" stroked="false">
                <v:textbox inset="0,0,0,0">
                  <w:txbxContent>
                    <w:p>
                      <w:pPr>
                        <w:spacing w:before="103"/>
                        <w:ind w:left="736"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208" w:after="0"/>
        <w:ind w:left="1853" w:right="1285" w:hanging="720"/>
        <w:jc w:val="left"/>
        <w:rPr>
          <w:b/>
          <w:color w:val="67287F"/>
          <w:sz w:val="28"/>
        </w:rPr>
      </w:pPr>
      <w:r>
        <w:rPr>
          <w:b/>
          <w:color w:val="67287F"/>
          <w:sz w:val="28"/>
        </w:rPr>
        <w:t>The Commissions recommend that the Department of Justice embeds consideration</w:t>
      </w:r>
      <w:r>
        <w:rPr>
          <w:b/>
          <w:color w:val="67287F"/>
          <w:spacing w:val="-7"/>
          <w:sz w:val="28"/>
        </w:rPr>
        <w:t> </w:t>
      </w:r>
      <w:r>
        <w:rPr>
          <w:b/>
          <w:color w:val="67287F"/>
          <w:sz w:val="28"/>
        </w:rPr>
        <w:t>of</w:t>
      </w:r>
      <w:r>
        <w:rPr>
          <w:b/>
          <w:color w:val="67287F"/>
          <w:spacing w:val="-8"/>
          <w:sz w:val="28"/>
        </w:rPr>
        <w:t> </w:t>
      </w:r>
      <w:r>
        <w:rPr>
          <w:b/>
          <w:color w:val="67287F"/>
          <w:sz w:val="28"/>
        </w:rPr>
        <w:t>Windsor</w:t>
      </w:r>
      <w:r>
        <w:rPr>
          <w:b/>
          <w:color w:val="67287F"/>
          <w:spacing w:val="-8"/>
          <w:sz w:val="28"/>
        </w:rPr>
        <w:t> </w:t>
      </w:r>
      <w:r>
        <w:rPr>
          <w:b/>
          <w:color w:val="67287F"/>
          <w:sz w:val="28"/>
        </w:rPr>
        <w:t>Framework</w:t>
      </w:r>
      <w:r>
        <w:rPr>
          <w:b/>
          <w:color w:val="67287F"/>
          <w:spacing w:val="-8"/>
          <w:sz w:val="28"/>
        </w:rPr>
        <w:t> </w:t>
      </w:r>
      <w:r>
        <w:rPr>
          <w:b/>
          <w:color w:val="67287F"/>
          <w:sz w:val="28"/>
        </w:rPr>
        <w:t>Article</w:t>
      </w:r>
      <w:r>
        <w:rPr>
          <w:b/>
          <w:color w:val="67287F"/>
          <w:spacing w:val="-8"/>
          <w:sz w:val="28"/>
        </w:rPr>
        <w:t> </w:t>
      </w:r>
      <w:r>
        <w:rPr>
          <w:b/>
          <w:color w:val="67287F"/>
          <w:sz w:val="28"/>
        </w:rPr>
        <w:t>2</w:t>
      </w:r>
      <w:r>
        <w:rPr>
          <w:b/>
          <w:color w:val="67287F"/>
          <w:spacing w:val="-7"/>
          <w:sz w:val="28"/>
        </w:rPr>
        <w:t> </w:t>
      </w:r>
      <w:r>
        <w:rPr>
          <w:b/>
          <w:color w:val="67287F"/>
          <w:sz w:val="28"/>
        </w:rPr>
        <w:t>and</w:t>
      </w:r>
      <w:r>
        <w:rPr>
          <w:b/>
          <w:color w:val="67287F"/>
          <w:spacing w:val="-7"/>
          <w:sz w:val="28"/>
        </w:rPr>
        <w:t> </w:t>
      </w:r>
      <w:r>
        <w:rPr>
          <w:b/>
          <w:color w:val="67287F"/>
          <w:sz w:val="28"/>
        </w:rPr>
        <w:t>the</w:t>
      </w:r>
      <w:r>
        <w:rPr>
          <w:b/>
          <w:color w:val="67287F"/>
          <w:spacing w:val="-8"/>
          <w:sz w:val="28"/>
        </w:rPr>
        <w:t> </w:t>
      </w:r>
      <w:r>
        <w:rPr>
          <w:b/>
          <w:color w:val="67287F"/>
          <w:sz w:val="28"/>
        </w:rPr>
        <w:t>EU</w:t>
      </w:r>
      <w:r>
        <w:rPr>
          <w:b/>
          <w:color w:val="67287F"/>
          <w:spacing w:val="-7"/>
          <w:sz w:val="28"/>
        </w:rPr>
        <w:t> </w:t>
      </w:r>
      <w:r>
        <w:rPr>
          <w:b/>
          <w:color w:val="67287F"/>
          <w:sz w:val="28"/>
        </w:rPr>
        <w:t>Victims’</w:t>
      </w:r>
      <w:r>
        <w:rPr>
          <w:b/>
          <w:color w:val="67287F"/>
          <w:spacing w:val="-7"/>
          <w:sz w:val="28"/>
        </w:rPr>
        <w:t> </w:t>
      </w:r>
      <w:r>
        <w:rPr>
          <w:b/>
          <w:color w:val="67287F"/>
          <w:sz w:val="28"/>
        </w:rPr>
        <w:t>Directive in the development of hate crime legislation.</w:t>
      </w:r>
    </w:p>
    <w:p>
      <w:pPr>
        <w:pStyle w:val="ListParagraph"/>
        <w:numPr>
          <w:ilvl w:val="1"/>
          <w:numId w:val="7"/>
        </w:numPr>
        <w:tabs>
          <w:tab w:pos="1853" w:val="left" w:leader="none"/>
          <w:tab w:pos="1915" w:val="left" w:leader="none"/>
        </w:tabs>
        <w:spacing w:line="225" w:lineRule="auto" w:before="316" w:after="0"/>
        <w:ind w:left="1853" w:right="1676" w:hanging="720"/>
        <w:jc w:val="left"/>
        <w:rPr>
          <w:b/>
          <w:color w:val="67287F"/>
          <w:sz w:val="28"/>
        </w:rPr>
      </w:pPr>
      <w:r>
        <w:rPr>
          <w:b/>
          <w:color w:val="67287F"/>
          <w:sz w:val="28"/>
        </w:rPr>
        <w:tab/>
        <w:t>The NIHRC recommends that the Department of Justice ensures that a victim-centred</w:t>
      </w:r>
      <w:r>
        <w:rPr>
          <w:b/>
          <w:color w:val="67287F"/>
          <w:spacing w:val="-10"/>
          <w:sz w:val="28"/>
        </w:rPr>
        <w:t> </w:t>
      </w:r>
      <w:r>
        <w:rPr>
          <w:b/>
          <w:color w:val="67287F"/>
          <w:sz w:val="28"/>
        </w:rPr>
        <w:t>approach</w:t>
      </w:r>
      <w:r>
        <w:rPr>
          <w:b/>
          <w:color w:val="67287F"/>
          <w:spacing w:val="-10"/>
          <w:sz w:val="28"/>
        </w:rPr>
        <w:t> </w:t>
      </w:r>
      <w:r>
        <w:rPr>
          <w:b/>
          <w:color w:val="67287F"/>
          <w:sz w:val="28"/>
        </w:rPr>
        <w:t>is</w:t>
      </w:r>
      <w:r>
        <w:rPr>
          <w:b/>
          <w:color w:val="67287F"/>
          <w:spacing w:val="-10"/>
          <w:sz w:val="28"/>
        </w:rPr>
        <w:t> </w:t>
      </w:r>
      <w:r>
        <w:rPr>
          <w:b/>
          <w:color w:val="67287F"/>
          <w:sz w:val="28"/>
        </w:rPr>
        <w:t>adopted</w:t>
      </w:r>
      <w:r>
        <w:rPr>
          <w:b/>
          <w:color w:val="67287F"/>
          <w:spacing w:val="-10"/>
          <w:sz w:val="28"/>
        </w:rPr>
        <w:t> </w:t>
      </w:r>
      <w:r>
        <w:rPr>
          <w:b/>
          <w:color w:val="67287F"/>
          <w:sz w:val="28"/>
        </w:rPr>
        <w:t>when</w:t>
      </w:r>
      <w:r>
        <w:rPr>
          <w:b/>
          <w:color w:val="67287F"/>
          <w:spacing w:val="-10"/>
          <w:sz w:val="28"/>
        </w:rPr>
        <w:t> </w:t>
      </w:r>
      <w:r>
        <w:rPr>
          <w:b/>
          <w:color w:val="67287F"/>
          <w:sz w:val="28"/>
        </w:rPr>
        <w:t>investigating,</w:t>
      </w:r>
      <w:r>
        <w:rPr>
          <w:b/>
          <w:color w:val="67287F"/>
          <w:spacing w:val="-10"/>
          <w:sz w:val="28"/>
        </w:rPr>
        <w:t> </w:t>
      </w:r>
      <w:r>
        <w:rPr>
          <w:b/>
          <w:color w:val="67287F"/>
          <w:sz w:val="28"/>
        </w:rPr>
        <w:t>prosecuting</w:t>
      </w:r>
      <w:r>
        <w:rPr>
          <w:b/>
          <w:color w:val="67287F"/>
          <w:spacing w:val="-11"/>
          <w:sz w:val="28"/>
        </w:rPr>
        <w:t> </w:t>
      </w:r>
      <w:r>
        <w:rPr>
          <w:b/>
          <w:color w:val="67287F"/>
          <w:sz w:val="28"/>
        </w:rPr>
        <w:t>and remedying hate crimes.</w:t>
      </w:r>
    </w:p>
    <w:p>
      <w:pPr>
        <w:pStyle w:val="ListParagraph"/>
        <w:numPr>
          <w:ilvl w:val="1"/>
          <w:numId w:val="7"/>
        </w:numPr>
        <w:tabs>
          <w:tab w:pos="1853" w:val="left" w:leader="none"/>
        </w:tabs>
        <w:spacing w:line="225" w:lineRule="auto" w:before="317" w:after="0"/>
        <w:ind w:left="1853" w:right="1405" w:hanging="720"/>
        <w:jc w:val="left"/>
        <w:rPr>
          <w:b/>
          <w:color w:val="67287F"/>
          <w:sz w:val="28"/>
        </w:rPr>
      </w:pPr>
      <w:r>
        <w:rPr>
          <w:b/>
          <w:color w:val="67287F"/>
          <w:sz w:val="28"/>
        </w:rPr>
        <w:t>The Commissions continue to recommend action to update, harmonise, consolidate,</w:t>
      </w:r>
      <w:r>
        <w:rPr>
          <w:b/>
          <w:color w:val="67287F"/>
          <w:spacing w:val="-8"/>
          <w:sz w:val="28"/>
        </w:rPr>
        <w:t> </w:t>
      </w:r>
      <w:r>
        <w:rPr>
          <w:b/>
          <w:color w:val="67287F"/>
          <w:sz w:val="28"/>
        </w:rPr>
        <w:t>and</w:t>
      </w:r>
      <w:r>
        <w:rPr>
          <w:b/>
          <w:color w:val="67287F"/>
          <w:spacing w:val="-8"/>
          <w:sz w:val="28"/>
        </w:rPr>
        <w:t> </w:t>
      </w:r>
      <w:r>
        <w:rPr>
          <w:b/>
          <w:color w:val="67287F"/>
          <w:sz w:val="28"/>
        </w:rPr>
        <w:t>strengthen</w:t>
      </w:r>
      <w:r>
        <w:rPr>
          <w:b/>
          <w:color w:val="67287F"/>
          <w:spacing w:val="-8"/>
          <w:sz w:val="28"/>
        </w:rPr>
        <w:t> </w:t>
      </w:r>
      <w:r>
        <w:rPr>
          <w:b/>
          <w:color w:val="67287F"/>
          <w:sz w:val="28"/>
        </w:rPr>
        <w:t>hate</w:t>
      </w:r>
      <w:r>
        <w:rPr>
          <w:b/>
          <w:color w:val="67287F"/>
          <w:spacing w:val="-9"/>
          <w:sz w:val="28"/>
        </w:rPr>
        <w:t> </w:t>
      </w:r>
      <w:r>
        <w:rPr>
          <w:b/>
          <w:color w:val="67287F"/>
          <w:sz w:val="28"/>
        </w:rPr>
        <w:t>crime</w:t>
      </w:r>
      <w:r>
        <w:rPr>
          <w:b/>
          <w:color w:val="67287F"/>
          <w:spacing w:val="-9"/>
          <w:sz w:val="28"/>
        </w:rPr>
        <w:t> </w:t>
      </w:r>
      <w:r>
        <w:rPr>
          <w:b/>
          <w:color w:val="67287F"/>
          <w:sz w:val="28"/>
        </w:rPr>
        <w:t>legislation,</w:t>
      </w:r>
      <w:r>
        <w:rPr>
          <w:b/>
          <w:color w:val="67287F"/>
          <w:spacing w:val="-8"/>
          <w:sz w:val="28"/>
        </w:rPr>
        <w:t> </w:t>
      </w:r>
      <w:r>
        <w:rPr>
          <w:b/>
          <w:color w:val="67287F"/>
          <w:sz w:val="28"/>
        </w:rPr>
        <w:t>including</w:t>
      </w:r>
      <w:r>
        <w:rPr>
          <w:b/>
          <w:color w:val="67287F"/>
          <w:spacing w:val="-9"/>
          <w:sz w:val="28"/>
        </w:rPr>
        <w:t> </w:t>
      </w:r>
      <w:r>
        <w:rPr>
          <w:b/>
          <w:color w:val="67287F"/>
          <w:sz w:val="28"/>
        </w:rPr>
        <w:t>by</w:t>
      </w:r>
      <w:r>
        <w:rPr>
          <w:b/>
          <w:color w:val="67287F"/>
          <w:spacing w:val="-8"/>
          <w:sz w:val="28"/>
        </w:rPr>
        <w:t> </w:t>
      </w:r>
      <w:r>
        <w:rPr>
          <w:b/>
          <w:color w:val="67287F"/>
          <w:sz w:val="28"/>
        </w:rPr>
        <w:t>addressing the significant gaps in the legislation and ensuring support for victims of hate crime, including additional support to vulnerable victims.</w:t>
      </w:r>
    </w:p>
    <w:p>
      <w:pPr>
        <w:pStyle w:val="ListParagraph"/>
        <w:numPr>
          <w:ilvl w:val="1"/>
          <w:numId w:val="7"/>
        </w:numPr>
        <w:tabs>
          <w:tab w:pos="1853" w:val="left" w:leader="none"/>
        </w:tabs>
        <w:spacing w:line="225" w:lineRule="auto" w:before="314" w:after="0"/>
        <w:ind w:left="1853" w:right="1356" w:hanging="720"/>
        <w:jc w:val="left"/>
        <w:rPr>
          <w:b/>
          <w:color w:val="67287F"/>
          <w:sz w:val="28"/>
        </w:rPr>
      </w:pPr>
      <w:r>
        <w:rPr>
          <w:b/>
          <w:color w:val="67287F"/>
          <w:sz w:val="28"/>
        </w:rPr>
        <w:t>The Commissions recommend that the NI Executive, the Department of Justice,</w:t>
      </w:r>
      <w:r>
        <w:rPr>
          <w:b/>
          <w:color w:val="67287F"/>
          <w:spacing w:val="-6"/>
          <w:sz w:val="28"/>
        </w:rPr>
        <w:t> </w:t>
      </w:r>
      <w:r>
        <w:rPr>
          <w:b/>
          <w:color w:val="67287F"/>
          <w:sz w:val="28"/>
        </w:rPr>
        <w:t>criminal</w:t>
      </w:r>
      <w:r>
        <w:rPr>
          <w:b/>
          <w:color w:val="67287F"/>
          <w:spacing w:val="-6"/>
          <w:sz w:val="28"/>
        </w:rPr>
        <w:t> </w:t>
      </w:r>
      <w:r>
        <w:rPr>
          <w:b/>
          <w:color w:val="67287F"/>
          <w:sz w:val="28"/>
        </w:rPr>
        <w:t>justice</w:t>
      </w:r>
      <w:r>
        <w:rPr>
          <w:b/>
          <w:color w:val="67287F"/>
          <w:spacing w:val="-6"/>
          <w:sz w:val="28"/>
        </w:rPr>
        <w:t> </w:t>
      </w:r>
      <w:r>
        <w:rPr>
          <w:b/>
          <w:color w:val="67287F"/>
          <w:sz w:val="28"/>
        </w:rPr>
        <w:t>agencies</w:t>
      </w:r>
      <w:r>
        <w:rPr>
          <w:b/>
          <w:color w:val="67287F"/>
          <w:spacing w:val="-6"/>
          <w:sz w:val="28"/>
        </w:rPr>
        <w:t> </w:t>
      </w:r>
      <w:r>
        <w:rPr>
          <w:b/>
          <w:color w:val="67287F"/>
          <w:sz w:val="28"/>
        </w:rPr>
        <w:t>and</w:t>
      </w:r>
      <w:r>
        <w:rPr>
          <w:b/>
          <w:color w:val="67287F"/>
          <w:spacing w:val="-6"/>
          <w:sz w:val="28"/>
        </w:rPr>
        <w:t> </w:t>
      </w:r>
      <w:r>
        <w:rPr>
          <w:b/>
          <w:color w:val="67287F"/>
          <w:sz w:val="28"/>
        </w:rPr>
        <w:t>other</w:t>
      </w:r>
      <w:r>
        <w:rPr>
          <w:b/>
          <w:color w:val="67287F"/>
          <w:spacing w:val="-6"/>
          <w:sz w:val="28"/>
        </w:rPr>
        <w:t> </w:t>
      </w:r>
      <w:r>
        <w:rPr>
          <w:b/>
          <w:color w:val="67287F"/>
          <w:sz w:val="28"/>
        </w:rPr>
        <w:t>relevant</w:t>
      </w:r>
      <w:r>
        <w:rPr>
          <w:b/>
          <w:color w:val="67287F"/>
          <w:spacing w:val="-6"/>
          <w:sz w:val="28"/>
        </w:rPr>
        <w:t> </w:t>
      </w:r>
      <w:r>
        <w:rPr>
          <w:b/>
          <w:color w:val="67287F"/>
          <w:sz w:val="28"/>
        </w:rPr>
        <w:t>NI</w:t>
      </w:r>
      <w:r>
        <w:rPr>
          <w:b/>
          <w:color w:val="67287F"/>
          <w:spacing w:val="-6"/>
          <w:sz w:val="28"/>
        </w:rPr>
        <w:t> </w:t>
      </w:r>
      <w:r>
        <w:rPr>
          <w:b/>
          <w:color w:val="67287F"/>
          <w:sz w:val="28"/>
        </w:rPr>
        <w:t>departments</w:t>
      </w:r>
      <w:r>
        <w:rPr>
          <w:b/>
          <w:color w:val="67287F"/>
          <w:spacing w:val="-6"/>
          <w:sz w:val="28"/>
        </w:rPr>
        <w:t> </w:t>
      </w:r>
      <w:r>
        <w:rPr>
          <w:b/>
          <w:color w:val="67287F"/>
          <w:sz w:val="28"/>
        </w:rPr>
        <w:t>should take further actions to prevent, and tackle race hate crimes, including online race hate speech, address the under-reporting of race hate crime and</w:t>
      </w:r>
      <w:r>
        <w:rPr>
          <w:b/>
          <w:color w:val="67287F"/>
          <w:spacing w:val="-5"/>
          <w:sz w:val="28"/>
        </w:rPr>
        <w:t> </w:t>
      </w:r>
      <w:r>
        <w:rPr>
          <w:b/>
          <w:color w:val="67287F"/>
          <w:sz w:val="28"/>
        </w:rPr>
        <w:t>ensuring</w:t>
      </w:r>
      <w:r>
        <w:rPr>
          <w:b/>
          <w:color w:val="67287F"/>
          <w:spacing w:val="-6"/>
          <w:sz w:val="28"/>
        </w:rPr>
        <w:t> </w:t>
      </w:r>
      <w:r>
        <w:rPr>
          <w:b/>
          <w:color w:val="67287F"/>
          <w:sz w:val="28"/>
        </w:rPr>
        <w:t>support</w:t>
      </w:r>
      <w:r>
        <w:rPr>
          <w:b/>
          <w:color w:val="67287F"/>
          <w:spacing w:val="-5"/>
          <w:sz w:val="28"/>
        </w:rPr>
        <w:t> </w:t>
      </w:r>
      <w:r>
        <w:rPr>
          <w:b/>
          <w:color w:val="67287F"/>
          <w:sz w:val="28"/>
        </w:rPr>
        <w:t>is</w:t>
      </w:r>
      <w:r>
        <w:rPr>
          <w:b/>
          <w:color w:val="67287F"/>
          <w:spacing w:val="-5"/>
          <w:sz w:val="28"/>
        </w:rPr>
        <w:t> </w:t>
      </w:r>
      <w:r>
        <w:rPr>
          <w:b/>
          <w:color w:val="67287F"/>
          <w:sz w:val="28"/>
        </w:rPr>
        <w:t>provided</w:t>
      </w:r>
      <w:r>
        <w:rPr>
          <w:b/>
          <w:color w:val="67287F"/>
          <w:spacing w:val="-5"/>
          <w:sz w:val="28"/>
        </w:rPr>
        <w:t> </w:t>
      </w:r>
      <w:r>
        <w:rPr>
          <w:b/>
          <w:color w:val="67287F"/>
          <w:sz w:val="28"/>
        </w:rPr>
        <w:t>to</w:t>
      </w:r>
      <w:r>
        <w:rPr>
          <w:b/>
          <w:color w:val="67287F"/>
          <w:spacing w:val="-5"/>
          <w:sz w:val="28"/>
        </w:rPr>
        <w:t> </w:t>
      </w:r>
      <w:r>
        <w:rPr>
          <w:b/>
          <w:color w:val="67287F"/>
          <w:sz w:val="28"/>
        </w:rPr>
        <w:t>victims.</w:t>
      </w:r>
      <w:r>
        <w:rPr>
          <w:b/>
          <w:color w:val="67287F"/>
          <w:spacing w:val="-6"/>
          <w:sz w:val="28"/>
        </w:rPr>
        <w:t> </w:t>
      </w:r>
      <w:r>
        <w:rPr>
          <w:b/>
          <w:color w:val="67287F"/>
          <w:sz w:val="28"/>
        </w:rPr>
        <w:t>This</w:t>
      </w:r>
      <w:r>
        <w:rPr>
          <w:b/>
          <w:color w:val="67287F"/>
          <w:spacing w:val="-5"/>
          <w:sz w:val="28"/>
        </w:rPr>
        <w:t> </w:t>
      </w:r>
      <w:r>
        <w:rPr>
          <w:b/>
          <w:color w:val="67287F"/>
          <w:sz w:val="28"/>
        </w:rPr>
        <w:t>should</w:t>
      </w:r>
      <w:r>
        <w:rPr>
          <w:b/>
          <w:color w:val="67287F"/>
          <w:spacing w:val="-5"/>
          <w:sz w:val="28"/>
        </w:rPr>
        <w:t> </w:t>
      </w:r>
      <w:r>
        <w:rPr>
          <w:b/>
          <w:color w:val="67287F"/>
          <w:sz w:val="28"/>
        </w:rPr>
        <w:t>include</w:t>
      </w:r>
      <w:r>
        <w:rPr>
          <w:b/>
          <w:color w:val="67287F"/>
          <w:spacing w:val="-6"/>
          <w:sz w:val="28"/>
        </w:rPr>
        <w:t> </w:t>
      </w:r>
      <w:r>
        <w:rPr>
          <w:b/>
          <w:color w:val="67287F"/>
          <w:sz w:val="28"/>
        </w:rPr>
        <w:t>addressing any identified impact of Brexit on levels and forms of hate crime and hate speech, including online hate speech.</w:t>
      </w:r>
    </w:p>
    <w:p>
      <w:pPr>
        <w:pStyle w:val="ListParagraph"/>
        <w:numPr>
          <w:ilvl w:val="1"/>
          <w:numId w:val="7"/>
        </w:numPr>
        <w:tabs>
          <w:tab w:pos="1853" w:val="left" w:leader="none"/>
        </w:tabs>
        <w:spacing w:line="225" w:lineRule="auto" w:before="311" w:after="0"/>
        <w:ind w:left="1853" w:right="1490" w:hanging="720"/>
        <w:jc w:val="left"/>
        <w:rPr>
          <w:b/>
          <w:color w:val="67287F"/>
          <w:sz w:val="28"/>
        </w:rPr>
      </w:pPr>
      <w:r>
        <w:rPr>
          <w:b/>
          <w:color w:val="67287F"/>
          <w:sz w:val="28"/>
        </w:rPr>
        <w:t>The</w:t>
      </w:r>
      <w:r>
        <w:rPr>
          <w:b/>
          <w:color w:val="67287F"/>
          <w:spacing w:val="-7"/>
          <w:sz w:val="28"/>
        </w:rPr>
        <w:t> </w:t>
      </w:r>
      <w:r>
        <w:rPr>
          <w:b/>
          <w:color w:val="67287F"/>
          <w:sz w:val="28"/>
        </w:rPr>
        <w:t>ECNI</w:t>
      </w:r>
      <w:r>
        <w:rPr>
          <w:b/>
          <w:color w:val="67287F"/>
          <w:spacing w:val="-6"/>
          <w:sz w:val="28"/>
        </w:rPr>
        <w:t> </w:t>
      </w:r>
      <w:r>
        <w:rPr>
          <w:b/>
          <w:color w:val="67287F"/>
          <w:sz w:val="28"/>
        </w:rPr>
        <w:t>recommend</w:t>
      </w:r>
      <w:r>
        <w:rPr>
          <w:b/>
          <w:color w:val="67287F"/>
          <w:spacing w:val="-6"/>
          <w:sz w:val="28"/>
        </w:rPr>
        <w:t> </w:t>
      </w:r>
      <w:r>
        <w:rPr>
          <w:b/>
          <w:color w:val="67287F"/>
          <w:sz w:val="28"/>
        </w:rPr>
        <w:t>that</w:t>
      </w:r>
      <w:r>
        <w:rPr>
          <w:b/>
          <w:color w:val="67287F"/>
          <w:spacing w:val="-6"/>
          <w:sz w:val="28"/>
        </w:rPr>
        <w:t> </w:t>
      </w:r>
      <w:r>
        <w:rPr>
          <w:b/>
          <w:color w:val="67287F"/>
          <w:sz w:val="28"/>
        </w:rPr>
        <w:t>the</w:t>
      </w:r>
      <w:r>
        <w:rPr>
          <w:b/>
          <w:color w:val="67287F"/>
          <w:spacing w:val="-7"/>
          <w:sz w:val="28"/>
        </w:rPr>
        <w:t> </w:t>
      </w:r>
      <w:r>
        <w:rPr>
          <w:b/>
          <w:color w:val="67287F"/>
          <w:sz w:val="28"/>
        </w:rPr>
        <w:t>Department</w:t>
      </w:r>
      <w:r>
        <w:rPr>
          <w:b/>
          <w:color w:val="67287F"/>
          <w:spacing w:val="-6"/>
          <w:sz w:val="28"/>
        </w:rPr>
        <w:t> </w:t>
      </w:r>
      <w:r>
        <w:rPr>
          <w:b/>
          <w:color w:val="67287F"/>
          <w:sz w:val="28"/>
        </w:rPr>
        <w:t>of</w:t>
      </w:r>
      <w:r>
        <w:rPr>
          <w:b/>
          <w:color w:val="67287F"/>
          <w:spacing w:val="-7"/>
          <w:sz w:val="28"/>
        </w:rPr>
        <w:t> </w:t>
      </w:r>
      <w:r>
        <w:rPr>
          <w:b/>
          <w:color w:val="67287F"/>
          <w:sz w:val="28"/>
        </w:rPr>
        <w:t>Justice</w:t>
      </w:r>
      <w:r>
        <w:rPr>
          <w:b/>
          <w:color w:val="67287F"/>
          <w:spacing w:val="-7"/>
          <w:sz w:val="28"/>
        </w:rPr>
        <w:t> </w:t>
      </w:r>
      <w:r>
        <w:rPr>
          <w:b/>
          <w:color w:val="67287F"/>
          <w:sz w:val="28"/>
        </w:rPr>
        <w:t>commissions</w:t>
      </w:r>
      <w:r>
        <w:rPr>
          <w:b/>
          <w:color w:val="67287F"/>
          <w:spacing w:val="-6"/>
          <w:sz w:val="28"/>
        </w:rPr>
        <w:t> </w:t>
      </w:r>
      <w:r>
        <w:rPr>
          <w:b/>
          <w:color w:val="67287F"/>
          <w:sz w:val="28"/>
        </w:rPr>
        <w:t>further research to investigate the reasons behind the recent increase in race- related hate crimes against minority ethnic people so as to ascertain any impact of Brexit.</w:t>
      </w:r>
    </w:p>
    <w:p>
      <w:pPr>
        <w:pStyle w:val="Heading5"/>
        <w:spacing w:before="299"/>
        <w:ind w:left="1133" w:firstLine="0"/>
      </w:pPr>
      <w:bookmarkStart w:name="Legacy" w:id="68"/>
      <w:bookmarkEnd w:id="68"/>
      <w:r>
        <w:rPr>
          <w:b w:val="0"/>
        </w:rPr>
      </w:r>
      <w:r>
        <w:rPr>
          <w:color w:val="393B80"/>
          <w:spacing w:val="-2"/>
        </w:rPr>
        <w:t>Legacy</w:t>
      </w:r>
    </w:p>
    <w:p>
      <w:pPr>
        <w:pStyle w:val="Heading6"/>
        <w:spacing w:before="314"/>
        <w:rPr>
          <w:i/>
        </w:rPr>
      </w:pPr>
      <w:r>
        <w:rPr>
          <w:i/>
          <w:color w:val="67287F"/>
        </w:rPr>
        <w:t>NI</w:t>
      </w:r>
      <w:r>
        <w:rPr>
          <w:i/>
          <w:color w:val="67287F"/>
          <w:spacing w:val="-9"/>
        </w:rPr>
        <w:t> </w:t>
      </w:r>
      <w:r>
        <w:rPr>
          <w:i/>
          <w:color w:val="67287F"/>
        </w:rPr>
        <w:t>Troubles</w:t>
      </w:r>
      <w:r>
        <w:rPr>
          <w:i/>
          <w:color w:val="67287F"/>
          <w:spacing w:val="-10"/>
        </w:rPr>
        <w:t> </w:t>
      </w:r>
      <w:r>
        <w:rPr>
          <w:i/>
          <w:color w:val="67287F"/>
        </w:rPr>
        <w:t>(Legacy</w:t>
      </w:r>
      <w:r>
        <w:rPr>
          <w:i/>
          <w:color w:val="67287F"/>
          <w:spacing w:val="-9"/>
        </w:rPr>
        <w:t> </w:t>
      </w:r>
      <w:r>
        <w:rPr>
          <w:i/>
          <w:color w:val="67287F"/>
        </w:rPr>
        <w:t>and</w:t>
      </w:r>
      <w:r>
        <w:rPr>
          <w:i/>
          <w:color w:val="67287F"/>
          <w:spacing w:val="-9"/>
        </w:rPr>
        <w:t> </w:t>
      </w:r>
      <w:r>
        <w:rPr>
          <w:i/>
          <w:color w:val="67287F"/>
        </w:rPr>
        <w:t>Reconciliation)</w:t>
      </w:r>
      <w:r>
        <w:rPr>
          <w:i/>
          <w:color w:val="67287F"/>
          <w:spacing w:val="-9"/>
        </w:rPr>
        <w:t> </w:t>
      </w:r>
      <w:r>
        <w:rPr>
          <w:i/>
          <w:color w:val="67287F"/>
          <w:spacing w:val="-5"/>
        </w:rPr>
        <w:t>Act</w:t>
      </w:r>
    </w:p>
    <w:p>
      <w:pPr>
        <w:pStyle w:val="ListParagraph"/>
        <w:numPr>
          <w:ilvl w:val="1"/>
          <w:numId w:val="7"/>
        </w:numPr>
        <w:tabs>
          <w:tab w:pos="1853" w:val="left" w:leader="none"/>
        </w:tabs>
        <w:spacing w:line="225" w:lineRule="auto" w:before="6" w:after="0"/>
        <w:ind w:left="1853" w:right="1131" w:hanging="720"/>
        <w:jc w:val="left"/>
        <w:rPr>
          <w:sz w:val="28"/>
        </w:rPr>
      </w:pPr>
      <w:r>
        <w:rPr>
          <w:sz w:val="28"/>
        </w:rPr>
        <w:t>Between 2021 and 2023, several UN and CoE institutions expressed “grave concern” at the UK Government’s plans for Troubles-related offences, including</w:t>
      </w:r>
      <w:r>
        <w:rPr>
          <w:spacing w:val="-9"/>
          <w:sz w:val="28"/>
        </w:rPr>
        <w:t> </w:t>
      </w:r>
      <w:r>
        <w:rPr>
          <w:sz w:val="28"/>
        </w:rPr>
        <w:t>the</w:t>
      </w:r>
      <w:r>
        <w:rPr>
          <w:spacing w:val="-9"/>
          <w:sz w:val="28"/>
        </w:rPr>
        <w:t> </w:t>
      </w:r>
      <w:r>
        <w:rPr>
          <w:sz w:val="28"/>
        </w:rPr>
        <w:t>NI</w:t>
      </w:r>
      <w:r>
        <w:rPr>
          <w:spacing w:val="-9"/>
          <w:sz w:val="28"/>
        </w:rPr>
        <w:t> </w:t>
      </w:r>
      <w:r>
        <w:rPr>
          <w:sz w:val="28"/>
        </w:rPr>
        <w:t>Troubles</w:t>
      </w:r>
      <w:r>
        <w:rPr>
          <w:spacing w:val="-10"/>
          <w:sz w:val="28"/>
        </w:rPr>
        <w:t> </w:t>
      </w:r>
      <w:r>
        <w:rPr>
          <w:sz w:val="28"/>
        </w:rPr>
        <w:t>(Legacy</w:t>
      </w:r>
      <w:r>
        <w:rPr>
          <w:spacing w:val="-9"/>
          <w:sz w:val="28"/>
        </w:rPr>
        <w:t> </w:t>
      </w:r>
      <w:r>
        <w:rPr>
          <w:sz w:val="28"/>
        </w:rPr>
        <w:t>and</w:t>
      </w:r>
      <w:r>
        <w:rPr>
          <w:spacing w:val="-10"/>
          <w:sz w:val="28"/>
        </w:rPr>
        <w:t> </w:t>
      </w:r>
      <w:r>
        <w:rPr>
          <w:sz w:val="28"/>
        </w:rPr>
        <w:t>Reconciliation)</w:t>
      </w:r>
      <w:r>
        <w:rPr>
          <w:spacing w:val="-10"/>
          <w:sz w:val="28"/>
        </w:rPr>
        <w:t> </w:t>
      </w:r>
      <w:r>
        <w:rPr>
          <w:sz w:val="28"/>
        </w:rPr>
        <w:t>Act</w:t>
      </w:r>
      <w:r>
        <w:rPr>
          <w:spacing w:val="-9"/>
          <w:sz w:val="28"/>
        </w:rPr>
        <w:t> </w:t>
      </w:r>
      <w:r>
        <w:rPr>
          <w:sz w:val="28"/>
        </w:rPr>
        <w:t>2023.</w:t>
      </w:r>
      <w:r>
        <w:rPr>
          <w:sz w:val="28"/>
          <w:vertAlign w:val="superscript"/>
        </w:rPr>
        <w:t>449</w:t>
      </w:r>
      <w:r>
        <w:rPr>
          <w:spacing w:val="-10"/>
          <w:sz w:val="28"/>
          <w:vertAlign w:val="baseline"/>
        </w:rPr>
        <w:t> </w:t>
      </w:r>
      <w:r>
        <w:rPr>
          <w:sz w:val="28"/>
          <w:vertAlign w:val="baseline"/>
        </w:rPr>
        <w:t>In</w:t>
      </w:r>
      <w:r>
        <w:rPr>
          <w:spacing w:val="-10"/>
          <w:sz w:val="28"/>
          <w:vertAlign w:val="baseline"/>
        </w:rPr>
        <w:t> </w:t>
      </w:r>
      <w:r>
        <w:rPr>
          <w:sz w:val="28"/>
          <w:vertAlign w:val="baseline"/>
        </w:rPr>
        <w:t>June</w:t>
      </w:r>
      <w:r>
        <w:rPr>
          <w:spacing w:val="-9"/>
          <w:sz w:val="28"/>
          <w:vertAlign w:val="baseline"/>
        </w:rPr>
        <w:t> </w:t>
      </w:r>
      <w:r>
        <w:rPr>
          <w:sz w:val="28"/>
          <w:vertAlign w:val="baseline"/>
        </w:rPr>
        <w:t>2023,</w:t>
      </w:r>
    </w:p>
    <w:p>
      <w:pPr>
        <w:pStyle w:val="BodyText"/>
        <w:spacing w:before="2"/>
        <w:rPr>
          <w:sz w:val="7"/>
        </w:rPr>
      </w:pPr>
      <w:r>
        <w:rPr/>
        <mc:AlternateContent>
          <mc:Choice Requires="wps">
            <w:drawing>
              <wp:anchor distT="0" distB="0" distL="0" distR="0" allowOverlap="1" layoutInCell="1" locked="0" behindDoc="1" simplePos="0" relativeHeight="487676416">
                <wp:simplePos x="0" y="0"/>
                <wp:positionH relativeFrom="page">
                  <wp:posOffset>719996</wp:posOffset>
                </wp:positionH>
                <wp:positionV relativeFrom="paragraph">
                  <wp:posOffset>70876</wp:posOffset>
                </wp:positionV>
                <wp:extent cx="6120130" cy="1270"/>
                <wp:effectExtent l="0" t="0" r="0" b="0"/>
                <wp:wrapTopAndBottom/>
                <wp:docPr id="381" name="Graphic 381"/>
                <wp:cNvGraphicFramePr>
                  <a:graphicFrameLocks/>
                </wp:cNvGraphicFramePr>
                <a:graphic>
                  <a:graphicData uri="http://schemas.microsoft.com/office/word/2010/wordprocessingShape">
                    <wps:wsp>
                      <wps:cNvPr id="381" name="Graphic 381"/>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5.580859pt;width:481.9pt;height:.1pt;mso-position-horizontal-relative:page;mso-position-vertical-relative:paragraph;z-index:-15640064;mso-wrap-distance-left:0;mso-wrap-distance-right:0" id="docshape330" coordorigin="1134,112" coordsize="9638,0" path="m10772,112l1134,112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18" w:lineRule="exact" w:before="117" w:after="0"/>
        <w:ind w:left="1853" w:right="0" w:hanging="720"/>
        <w:jc w:val="left"/>
        <w:rPr>
          <w:sz w:val="18"/>
        </w:rPr>
      </w:pPr>
      <w:r>
        <w:rPr>
          <w:sz w:val="18"/>
        </w:rPr>
        <w:t>Email</w:t>
      </w:r>
      <w:r>
        <w:rPr>
          <w:spacing w:val="-4"/>
          <w:sz w:val="18"/>
        </w:rPr>
        <w:t> </w:t>
      </w:r>
      <w:r>
        <w:rPr>
          <w:sz w:val="18"/>
        </w:rPr>
        <w:t>Correspondence</w:t>
      </w:r>
      <w:r>
        <w:rPr>
          <w:spacing w:val="-3"/>
          <w:sz w:val="18"/>
        </w:rPr>
        <w:t> </w:t>
      </w:r>
      <w:r>
        <w:rPr>
          <w:sz w:val="18"/>
        </w:rPr>
        <w:t>from</w:t>
      </w:r>
      <w:r>
        <w:rPr>
          <w:spacing w:val="-3"/>
          <w:sz w:val="18"/>
        </w:rPr>
        <w:t> </w:t>
      </w:r>
      <w:r>
        <w:rPr>
          <w:sz w:val="18"/>
        </w:rPr>
        <w:t>the</w:t>
      </w:r>
      <w:r>
        <w:rPr>
          <w:spacing w:val="-3"/>
          <w:sz w:val="18"/>
        </w:rPr>
        <w:t> </w:t>
      </w:r>
      <w:r>
        <w:rPr>
          <w:sz w:val="18"/>
        </w:rPr>
        <w:t>Department</w:t>
      </w:r>
      <w:r>
        <w:rPr>
          <w:spacing w:val="-3"/>
          <w:sz w:val="18"/>
        </w:rPr>
        <w:t> </w:t>
      </w:r>
      <w:r>
        <w:rPr>
          <w:sz w:val="18"/>
        </w:rPr>
        <w:t>of</w:t>
      </w:r>
      <w:r>
        <w:rPr>
          <w:spacing w:val="-4"/>
          <w:sz w:val="18"/>
        </w:rPr>
        <w:t> </w:t>
      </w:r>
      <w:r>
        <w:rPr>
          <w:sz w:val="18"/>
        </w:rPr>
        <w:t>Justice</w:t>
      </w:r>
      <w:r>
        <w:rPr>
          <w:spacing w:val="-3"/>
          <w:sz w:val="18"/>
        </w:rPr>
        <w:t> </w:t>
      </w:r>
      <w:r>
        <w:rPr>
          <w:sz w:val="18"/>
        </w:rPr>
        <w:t>to</w:t>
      </w:r>
      <w:r>
        <w:rPr>
          <w:spacing w:val="-4"/>
          <w:sz w:val="18"/>
        </w:rPr>
        <w:t> </w:t>
      </w:r>
      <w:r>
        <w:rPr>
          <w:sz w:val="18"/>
        </w:rPr>
        <w:t>the</w:t>
      </w:r>
      <w:r>
        <w:rPr>
          <w:spacing w:val="-3"/>
          <w:sz w:val="18"/>
        </w:rPr>
        <w:t> </w:t>
      </w:r>
      <w:r>
        <w:rPr>
          <w:sz w:val="18"/>
        </w:rPr>
        <w:t>NI</w:t>
      </w:r>
      <w:r>
        <w:rPr>
          <w:spacing w:val="-3"/>
          <w:sz w:val="18"/>
        </w:rPr>
        <w:t> </w:t>
      </w:r>
      <w:r>
        <w:rPr>
          <w:sz w:val="18"/>
        </w:rPr>
        <w:t>Human</w:t>
      </w:r>
      <w:r>
        <w:rPr>
          <w:spacing w:val="-4"/>
          <w:sz w:val="18"/>
        </w:rPr>
        <w:t> </w:t>
      </w:r>
      <w:r>
        <w:rPr>
          <w:sz w:val="18"/>
        </w:rPr>
        <w:t>Rights</w:t>
      </w:r>
      <w:r>
        <w:rPr>
          <w:spacing w:val="-3"/>
          <w:sz w:val="18"/>
        </w:rPr>
        <w:t> </w:t>
      </w:r>
      <w:r>
        <w:rPr>
          <w:sz w:val="18"/>
        </w:rPr>
        <w:t>Commission,</w:t>
      </w:r>
      <w:r>
        <w:rPr>
          <w:spacing w:val="-3"/>
          <w:sz w:val="18"/>
        </w:rPr>
        <w:t> </w:t>
      </w:r>
      <w:r>
        <w:rPr>
          <w:sz w:val="18"/>
        </w:rPr>
        <w:t>5</w:t>
      </w:r>
      <w:r>
        <w:rPr>
          <w:spacing w:val="-3"/>
          <w:sz w:val="18"/>
        </w:rPr>
        <w:t> </w:t>
      </w:r>
      <w:r>
        <w:rPr>
          <w:sz w:val="18"/>
        </w:rPr>
        <w:t>April</w:t>
      </w:r>
      <w:r>
        <w:rPr>
          <w:spacing w:val="-4"/>
          <w:sz w:val="18"/>
        </w:rPr>
        <w:t> </w:t>
      </w:r>
      <w:r>
        <w:rPr>
          <w:spacing w:val="-2"/>
          <w:sz w:val="18"/>
        </w:rPr>
        <w:t>2024.</w:t>
      </w:r>
    </w:p>
    <w:p>
      <w:pPr>
        <w:pStyle w:val="ListParagraph"/>
        <w:numPr>
          <w:ilvl w:val="0"/>
          <w:numId w:val="9"/>
        </w:numPr>
        <w:tabs>
          <w:tab w:pos="1853" w:val="left" w:leader="none"/>
        </w:tabs>
        <w:spacing w:line="235" w:lineRule="auto" w:before="1" w:after="0"/>
        <w:ind w:left="1853" w:right="1176" w:hanging="720"/>
        <w:jc w:val="left"/>
        <w:rPr>
          <w:sz w:val="18"/>
        </w:rPr>
      </w:pPr>
      <w:r>
        <w:rPr>
          <w:sz w:val="18"/>
        </w:rPr>
        <w:t>Office of the UN High Commissioner for Human Rights, ‘Press Release: UN experts voice concern at proposed blanket immunity</w:t>
      </w:r>
      <w:r>
        <w:rPr>
          <w:spacing w:val="-5"/>
          <w:sz w:val="18"/>
        </w:rPr>
        <w:t> </w:t>
      </w:r>
      <w:r>
        <w:rPr>
          <w:sz w:val="18"/>
        </w:rPr>
        <w:t>to</w:t>
      </w:r>
      <w:r>
        <w:rPr>
          <w:spacing w:val="-6"/>
          <w:sz w:val="18"/>
        </w:rPr>
        <w:t> </w:t>
      </w:r>
      <w:r>
        <w:rPr>
          <w:sz w:val="18"/>
        </w:rPr>
        <w:t>address</w:t>
      </w:r>
      <w:r>
        <w:rPr>
          <w:spacing w:val="-6"/>
          <w:sz w:val="18"/>
        </w:rPr>
        <w:t> </w:t>
      </w:r>
      <w:r>
        <w:rPr>
          <w:sz w:val="18"/>
        </w:rPr>
        <w:t>the</w:t>
      </w:r>
      <w:r>
        <w:rPr>
          <w:spacing w:val="-5"/>
          <w:sz w:val="18"/>
        </w:rPr>
        <w:t> </w:t>
      </w:r>
      <w:r>
        <w:rPr>
          <w:sz w:val="18"/>
        </w:rPr>
        <w:t>legacy</w:t>
      </w:r>
      <w:r>
        <w:rPr>
          <w:spacing w:val="-5"/>
          <w:sz w:val="18"/>
        </w:rPr>
        <w:t> </w:t>
      </w:r>
      <w:r>
        <w:rPr>
          <w:sz w:val="18"/>
        </w:rPr>
        <w:t>of</w:t>
      </w:r>
      <w:r>
        <w:rPr>
          <w:spacing w:val="-6"/>
          <w:sz w:val="18"/>
        </w:rPr>
        <w:t> </w:t>
      </w:r>
      <w:r>
        <w:rPr>
          <w:sz w:val="18"/>
        </w:rPr>
        <w:t>“the</w:t>
      </w:r>
      <w:r>
        <w:rPr>
          <w:spacing w:val="-5"/>
          <w:sz w:val="18"/>
        </w:rPr>
        <w:t> </w:t>
      </w:r>
      <w:r>
        <w:rPr>
          <w:sz w:val="18"/>
        </w:rPr>
        <w:t>Troubles”</w:t>
      </w:r>
      <w:r>
        <w:rPr>
          <w:spacing w:val="-6"/>
          <w:sz w:val="18"/>
        </w:rPr>
        <w:t> </w:t>
      </w:r>
      <w:r>
        <w:rPr>
          <w:sz w:val="18"/>
        </w:rPr>
        <w:t>in</w:t>
      </w:r>
      <w:r>
        <w:rPr>
          <w:spacing w:val="-6"/>
          <w:sz w:val="18"/>
        </w:rPr>
        <w:t> </w:t>
      </w:r>
      <w:r>
        <w:rPr>
          <w:sz w:val="18"/>
        </w:rPr>
        <w:t>NI’,</w:t>
      </w:r>
      <w:r>
        <w:rPr>
          <w:spacing w:val="-5"/>
          <w:sz w:val="18"/>
        </w:rPr>
        <w:t> </w:t>
      </w:r>
      <w:r>
        <w:rPr>
          <w:sz w:val="18"/>
        </w:rPr>
        <w:t>10</w:t>
      </w:r>
      <w:r>
        <w:rPr>
          <w:spacing w:val="-5"/>
          <w:sz w:val="18"/>
        </w:rPr>
        <w:t> </w:t>
      </w:r>
      <w:r>
        <w:rPr>
          <w:sz w:val="18"/>
        </w:rPr>
        <w:t>August</w:t>
      </w:r>
      <w:r>
        <w:rPr>
          <w:spacing w:val="-5"/>
          <w:sz w:val="18"/>
        </w:rPr>
        <w:t> </w:t>
      </w:r>
      <w:r>
        <w:rPr>
          <w:sz w:val="18"/>
        </w:rPr>
        <w:t>2021;</w:t>
      </w:r>
      <w:r>
        <w:rPr>
          <w:spacing w:val="-5"/>
          <w:sz w:val="18"/>
        </w:rPr>
        <w:t> </w:t>
      </w:r>
      <w:r>
        <w:rPr>
          <w:sz w:val="18"/>
        </w:rPr>
        <w:t>Letter</w:t>
      </w:r>
      <w:r>
        <w:rPr>
          <w:spacing w:val="-5"/>
          <w:sz w:val="18"/>
        </w:rPr>
        <w:t> </w:t>
      </w:r>
      <w:r>
        <w:rPr>
          <w:sz w:val="18"/>
        </w:rPr>
        <w:t>from</w:t>
      </w:r>
      <w:r>
        <w:rPr>
          <w:spacing w:val="-5"/>
          <w:sz w:val="18"/>
        </w:rPr>
        <w:t> </w:t>
      </w:r>
      <w:r>
        <w:rPr>
          <w:sz w:val="18"/>
        </w:rPr>
        <w:t>CoE</w:t>
      </w:r>
      <w:r>
        <w:rPr>
          <w:spacing w:val="-6"/>
          <w:sz w:val="18"/>
        </w:rPr>
        <w:t> </w:t>
      </w:r>
      <w:r>
        <w:rPr>
          <w:sz w:val="18"/>
        </w:rPr>
        <w:t>Commissioner</w:t>
      </w:r>
      <w:r>
        <w:rPr>
          <w:spacing w:val="-5"/>
          <w:sz w:val="18"/>
        </w:rPr>
        <w:t> </w:t>
      </w:r>
      <w:r>
        <w:rPr>
          <w:sz w:val="18"/>
        </w:rPr>
        <w:t>for</w:t>
      </w:r>
      <w:r>
        <w:rPr>
          <w:spacing w:val="-5"/>
          <w:sz w:val="18"/>
        </w:rPr>
        <w:t> </w:t>
      </w:r>
      <w:r>
        <w:rPr>
          <w:sz w:val="18"/>
        </w:rPr>
        <w:t>Human</w:t>
      </w:r>
      <w:r>
        <w:rPr>
          <w:spacing w:val="-6"/>
          <w:sz w:val="18"/>
        </w:rPr>
        <w:t> </w:t>
      </w:r>
      <w:r>
        <w:rPr>
          <w:sz w:val="18"/>
        </w:rPr>
        <w:t>Rights, Dunja Mijatovic, to Secretary of State for NI, Brandon Lewis MP, 13 September 2021; CoE, ‘Submission by the CoE Commissioner for Human Rights Under Rule 9.4 of the Rules of the Committee of Ministers for the Supervision of the Execution of Judgments and of the Terms of Friendly Settlements in the Cases of McKerr v UK, Finucane v UK, Kelly and Others v UK, Shanaghan v UK, McCaughey and Others v UK’ (CoE, 2022), at para 28; CM/Notes/1443H46-32,</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3"/>
      </w:pPr>
      <w:r>
        <w:rPr/>
        <w:t>the CoE Commissioner for Human Rights, Dunja Mijatović emphasised that</w:t>
      </w:r>
      <w:r>
        <w:rPr>
          <w:spacing w:val="40"/>
        </w:rPr>
        <w:t> </w:t>
      </w:r>
      <w:r>
        <w:rPr/>
        <w:t>the</w:t>
      </w:r>
      <w:r>
        <w:rPr>
          <w:spacing w:val="-5"/>
        </w:rPr>
        <w:t> </w:t>
      </w:r>
      <w:r>
        <w:rPr/>
        <w:t>then</w:t>
      </w:r>
      <w:r>
        <w:rPr>
          <w:spacing w:val="-6"/>
        </w:rPr>
        <w:t> </w:t>
      </w:r>
      <w:r>
        <w:rPr/>
        <w:t>Bill</w:t>
      </w:r>
      <w:r>
        <w:rPr>
          <w:spacing w:val="-6"/>
        </w:rPr>
        <w:t> </w:t>
      </w:r>
      <w:r>
        <w:rPr/>
        <w:t>“ignores</w:t>
      </w:r>
      <w:r>
        <w:rPr>
          <w:spacing w:val="-6"/>
        </w:rPr>
        <w:t> </w:t>
      </w:r>
      <w:r>
        <w:rPr/>
        <w:t>the</w:t>
      </w:r>
      <w:r>
        <w:rPr>
          <w:spacing w:val="-5"/>
        </w:rPr>
        <w:t> </w:t>
      </w:r>
      <w:r>
        <w:rPr/>
        <w:t>many</w:t>
      </w:r>
      <w:r>
        <w:rPr>
          <w:spacing w:val="-5"/>
        </w:rPr>
        <w:t> </w:t>
      </w:r>
      <w:r>
        <w:rPr/>
        <w:t>warnings</w:t>
      </w:r>
      <w:r>
        <w:rPr>
          <w:spacing w:val="-6"/>
        </w:rPr>
        <w:t> </w:t>
      </w:r>
      <w:r>
        <w:rPr/>
        <w:t>that</w:t>
      </w:r>
      <w:r>
        <w:rPr>
          <w:spacing w:val="-5"/>
        </w:rPr>
        <w:t> </w:t>
      </w:r>
      <w:r>
        <w:rPr/>
        <w:t>this</w:t>
      </w:r>
      <w:r>
        <w:rPr>
          <w:spacing w:val="-6"/>
        </w:rPr>
        <w:t> </w:t>
      </w:r>
      <w:r>
        <w:rPr/>
        <w:t>legislation</w:t>
      </w:r>
      <w:r>
        <w:rPr>
          <w:spacing w:val="-6"/>
        </w:rPr>
        <w:t> </w:t>
      </w:r>
      <w:r>
        <w:rPr/>
        <w:t>would</w:t>
      </w:r>
      <w:r>
        <w:rPr>
          <w:spacing w:val="-6"/>
        </w:rPr>
        <w:t> </w:t>
      </w:r>
      <w:r>
        <w:rPr/>
        <w:t>violate</w:t>
      </w:r>
      <w:r>
        <w:rPr>
          <w:spacing w:val="-5"/>
        </w:rPr>
        <w:t> </w:t>
      </w:r>
      <w:r>
        <w:rPr/>
        <w:t>the UK’s international obligations and put victims’ rights at risk”.</w:t>
      </w:r>
      <w:r>
        <w:rPr>
          <w:vertAlign w:val="superscript"/>
        </w:rPr>
        <w:t>450</w:t>
      </w:r>
    </w:p>
    <w:p>
      <w:pPr>
        <w:pStyle w:val="ListParagraph"/>
        <w:numPr>
          <w:ilvl w:val="1"/>
          <w:numId w:val="7"/>
        </w:numPr>
        <w:tabs>
          <w:tab w:pos="1853" w:val="left" w:leader="none"/>
        </w:tabs>
        <w:spacing w:line="225" w:lineRule="auto" w:before="317" w:after="0"/>
        <w:ind w:left="1853" w:right="1171" w:hanging="720"/>
        <w:jc w:val="left"/>
        <w:rPr>
          <w:sz w:val="28"/>
        </w:rPr>
      </w:pPr>
      <w:r>
        <w:rPr>
          <w:sz w:val="28"/>
        </w:rPr>
        <w:t>In 2019, the UN Convention against Torture (UN CAT) Committee recommended that the UK Government “refrain from enacting amnesties or statutes</w:t>
      </w:r>
      <w:r>
        <w:rPr>
          <w:spacing w:val="-11"/>
          <w:sz w:val="28"/>
        </w:rPr>
        <w:t> </w:t>
      </w:r>
      <w:r>
        <w:rPr>
          <w:sz w:val="28"/>
        </w:rPr>
        <w:t>of</w:t>
      </w:r>
      <w:r>
        <w:rPr>
          <w:spacing w:val="-11"/>
          <w:sz w:val="28"/>
        </w:rPr>
        <w:t> </w:t>
      </w:r>
      <w:r>
        <w:rPr>
          <w:sz w:val="28"/>
        </w:rPr>
        <w:t>limitations</w:t>
      </w:r>
      <w:r>
        <w:rPr>
          <w:spacing w:val="-11"/>
          <w:sz w:val="28"/>
        </w:rPr>
        <w:t> </w:t>
      </w:r>
      <w:r>
        <w:rPr>
          <w:sz w:val="28"/>
        </w:rPr>
        <w:t>for</w:t>
      </w:r>
      <w:r>
        <w:rPr>
          <w:spacing w:val="-11"/>
          <w:sz w:val="28"/>
        </w:rPr>
        <w:t> </w:t>
      </w:r>
      <w:r>
        <w:rPr>
          <w:sz w:val="28"/>
        </w:rPr>
        <w:t>torture</w:t>
      </w:r>
      <w:r>
        <w:rPr>
          <w:spacing w:val="-11"/>
          <w:sz w:val="28"/>
        </w:rPr>
        <w:t> </w:t>
      </w:r>
      <w:r>
        <w:rPr>
          <w:sz w:val="28"/>
        </w:rPr>
        <w:t>or</w:t>
      </w:r>
      <w:r>
        <w:rPr>
          <w:spacing w:val="-11"/>
          <w:sz w:val="28"/>
        </w:rPr>
        <w:t> </w:t>
      </w:r>
      <w:r>
        <w:rPr>
          <w:sz w:val="28"/>
        </w:rPr>
        <w:t>ill-treatment”,</w:t>
      </w:r>
      <w:r>
        <w:rPr>
          <w:spacing w:val="-11"/>
          <w:sz w:val="28"/>
        </w:rPr>
        <w:t> </w:t>
      </w:r>
      <w:r>
        <w:rPr>
          <w:sz w:val="28"/>
        </w:rPr>
        <w:t>which</w:t>
      </w:r>
      <w:r>
        <w:rPr>
          <w:spacing w:val="-11"/>
          <w:sz w:val="28"/>
        </w:rPr>
        <w:t> </w:t>
      </w:r>
      <w:r>
        <w:rPr>
          <w:sz w:val="28"/>
        </w:rPr>
        <w:t>are</w:t>
      </w:r>
      <w:r>
        <w:rPr>
          <w:spacing w:val="-11"/>
          <w:sz w:val="28"/>
        </w:rPr>
        <w:t> </w:t>
      </w:r>
      <w:r>
        <w:rPr>
          <w:sz w:val="28"/>
        </w:rPr>
        <w:t>inconsistent</w:t>
      </w:r>
      <w:r>
        <w:rPr>
          <w:spacing w:val="-11"/>
          <w:sz w:val="28"/>
        </w:rPr>
        <w:t> </w:t>
      </w:r>
      <w:r>
        <w:rPr>
          <w:sz w:val="28"/>
        </w:rPr>
        <w:t>with UN CAT.</w:t>
      </w:r>
      <w:r>
        <w:rPr>
          <w:sz w:val="28"/>
          <w:vertAlign w:val="superscript"/>
        </w:rPr>
        <w:t>451</w:t>
      </w:r>
    </w:p>
    <w:p>
      <w:pPr>
        <w:pStyle w:val="ListParagraph"/>
        <w:numPr>
          <w:ilvl w:val="1"/>
          <w:numId w:val="7"/>
        </w:numPr>
        <w:tabs>
          <w:tab w:pos="1853" w:val="left" w:leader="none"/>
        </w:tabs>
        <w:spacing w:line="223" w:lineRule="auto" w:before="317" w:after="0"/>
        <w:ind w:left="1853" w:right="1160" w:hanging="720"/>
        <w:jc w:val="left"/>
        <w:rPr>
          <w:sz w:val="28"/>
        </w:rPr>
      </w:pPr>
      <w:r>
        <w:rPr>
          <w:sz w:val="28"/>
        </w:rPr>
        <w:t>As noted above,</w:t>
      </w:r>
      <w:r>
        <w:rPr>
          <w:sz w:val="28"/>
          <w:vertAlign w:val="superscript"/>
        </w:rPr>
        <w:t>452</w:t>
      </w:r>
      <w:r>
        <w:rPr>
          <w:sz w:val="28"/>
          <w:vertAlign w:val="baseline"/>
        </w:rPr>
        <w:t> EU obligations underpinning the rights of victims include the EU Victims’ Directive</w:t>
      </w:r>
      <w:r>
        <w:rPr>
          <w:sz w:val="28"/>
          <w:vertAlign w:val="superscript"/>
        </w:rPr>
        <w:t>453</w:t>
      </w:r>
      <w:r>
        <w:rPr>
          <w:sz w:val="28"/>
          <w:vertAlign w:val="baseline"/>
        </w:rPr>
        <w:t> as well as other relevant EU laws which support victims.</w:t>
      </w:r>
      <w:r>
        <w:rPr>
          <w:sz w:val="28"/>
          <w:vertAlign w:val="superscript"/>
        </w:rPr>
        <w:t>454</w:t>
      </w:r>
      <w:r>
        <w:rPr>
          <w:sz w:val="28"/>
          <w:vertAlign w:val="baseline"/>
        </w:rPr>
        <w:t> The UK Government has acknowledged that the EU Victims’ Directive</w:t>
      </w:r>
      <w:r>
        <w:rPr>
          <w:spacing w:val="-7"/>
          <w:sz w:val="28"/>
          <w:vertAlign w:val="baseline"/>
        </w:rPr>
        <w:t> </w:t>
      </w:r>
      <w:r>
        <w:rPr>
          <w:sz w:val="28"/>
          <w:vertAlign w:val="baseline"/>
        </w:rPr>
        <w:t>falls</w:t>
      </w:r>
      <w:r>
        <w:rPr>
          <w:spacing w:val="-8"/>
          <w:sz w:val="28"/>
          <w:vertAlign w:val="baseline"/>
        </w:rPr>
        <w:t> </w:t>
      </w:r>
      <w:r>
        <w:rPr>
          <w:sz w:val="28"/>
          <w:vertAlign w:val="baseline"/>
        </w:rPr>
        <w:t>within</w:t>
      </w:r>
      <w:r>
        <w:rPr>
          <w:spacing w:val="-8"/>
          <w:sz w:val="28"/>
          <w:vertAlign w:val="baseline"/>
        </w:rPr>
        <w:t> </w:t>
      </w:r>
      <w:r>
        <w:rPr>
          <w:sz w:val="28"/>
          <w:vertAlign w:val="baseline"/>
        </w:rPr>
        <w:t>the</w:t>
      </w:r>
      <w:r>
        <w:rPr>
          <w:spacing w:val="-7"/>
          <w:sz w:val="28"/>
          <w:vertAlign w:val="baseline"/>
        </w:rPr>
        <w:t> </w:t>
      </w:r>
      <w:r>
        <w:rPr>
          <w:sz w:val="28"/>
          <w:vertAlign w:val="baseline"/>
        </w:rPr>
        <w:t>scope</w:t>
      </w:r>
      <w:r>
        <w:rPr>
          <w:spacing w:val="-7"/>
          <w:sz w:val="28"/>
          <w:vertAlign w:val="baseline"/>
        </w:rPr>
        <w:t> </w:t>
      </w:r>
      <w:r>
        <w:rPr>
          <w:sz w:val="28"/>
          <w:vertAlign w:val="baseline"/>
        </w:rPr>
        <w:t>of</w:t>
      </w:r>
      <w:r>
        <w:rPr>
          <w:spacing w:val="-8"/>
          <w:sz w:val="28"/>
          <w:vertAlign w:val="baseline"/>
        </w:rPr>
        <w:t> </w:t>
      </w:r>
      <w:r>
        <w:rPr>
          <w:sz w:val="28"/>
          <w:vertAlign w:val="baseline"/>
        </w:rPr>
        <w:t>Windsor</w:t>
      </w:r>
      <w:r>
        <w:rPr>
          <w:spacing w:val="-7"/>
          <w:sz w:val="28"/>
          <w:vertAlign w:val="baseline"/>
        </w:rPr>
        <w:t> </w:t>
      </w:r>
      <w:r>
        <w:rPr>
          <w:sz w:val="28"/>
          <w:vertAlign w:val="baseline"/>
        </w:rPr>
        <w:t>Framework</w:t>
      </w:r>
      <w:r>
        <w:rPr>
          <w:spacing w:val="-7"/>
          <w:sz w:val="28"/>
          <w:vertAlign w:val="baseline"/>
        </w:rPr>
        <w:t> </w:t>
      </w:r>
      <w:r>
        <w:rPr>
          <w:sz w:val="28"/>
          <w:vertAlign w:val="baseline"/>
        </w:rPr>
        <w:t>Article</w:t>
      </w:r>
      <w:r>
        <w:rPr>
          <w:spacing w:val="-7"/>
          <w:sz w:val="28"/>
          <w:vertAlign w:val="baseline"/>
        </w:rPr>
        <w:t> </w:t>
      </w:r>
      <w:r>
        <w:rPr>
          <w:sz w:val="28"/>
          <w:vertAlign w:val="baseline"/>
        </w:rPr>
        <w:t>2.</w:t>
      </w:r>
      <w:r>
        <w:rPr>
          <w:sz w:val="28"/>
          <w:vertAlign w:val="superscript"/>
        </w:rPr>
        <w:t>455</w:t>
      </w:r>
      <w:r>
        <w:rPr>
          <w:spacing w:val="40"/>
          <w:sz w:val="28"/>
          <w:vertAlign w:val="baseline"/>
        </w:rPr>
        <w:t> </w:t>
      </w:r>
      <w:r>
        <w:rPr>
          <w:sz w:val="28"/>
          <w:vertAlign w:val="baseline"/>
        </w:rPr>
        <w:t>In</w:t>
      </w:r>
      <w:r>
        <w:rPr>
          <w:spacing w:val="-8"/>
          <w:sz w:val="28"/>
          <w:vertAlign w:val="baseline"/>
        </w:rPr>
        <w:t> </w:t>
      </w:r>
      <w:r>
        <w:rPr>
          <w:sz w:val="28"/>
          <w:vertAlign w:val="baseline"/>
        </w:rPr>
        <w:t>February 2024, the NI High Court held that adopting a narrow interpretation of “civil rights” undermines the future-facing dimension of the non-diminution commitment in Windsor Framework Article 2.</w:t>
      </w:r>
      <w:r>
        <w:rPr>
          <w:sz w:val="28"/>
          <w:vertAlign w:val="superscript"/>
        </w:rPr>
        <w:t>456</w:t>
      </w:r>
      <w:r>
        <w:rPr>
          <w:sz w:val="28"/>
          <w:vertAlign w:val="baseline"/>
        </w:rPr>
        <w:t> The High Court also concluded that the fundamental human rights of victims “are encompassed within</w:t>
      </w:r>
      <w:r>
        <w:rPr>
          <w:spacing w:val="-4"/>
          <w:sz w:val="28"/>
          <w:vertAlign w:val="baseline"/>
        </w:rPr>
        <w:t> </w:t>
      </w:r>
      <w:r>
        <w:rPr>
          <w:sz w:val="28"/>
          <w:vertAlign w:val="baseline"/>
        </w:rPr>
        <w:t>the</w:t>
      </w:r>
      <w:r>
        <w:rPr>
          <w:spacing w:val="-3"/>
          <w:sz w:val="28"/>
          <w:vertAlign w:val="baseline"/>
        </w:rPr>
        <w:t> </w:t>
      </w:r>
      <w:r>
        <w:rPr>
          <w:sz w:val="28"/>
          <w:vertAlign w:val="baseline"/>
        </w:rPr>
        <w:t>notion</w:t>
      </w:r>
      <w:r>
        <w:rPr>
          <w:spacing w:val="-4"/>
          <w:sz w:val="28"/>
          <w:vertAlign w:val="baseline"/>
        </w:rPr>
        <w:t> </w:t>
      </w:r>
      <w:r>
        <w:rPr>
          <w:sz w:val="28"/>
          <w:vertAlign w:val="baseline"/>
        </w:rPr>
        <w:t>of</w:t>
      </w:r>
      <w:r>
        <w:rPr>
          <w:spacing w:val="-4"/>
          <w:sz w:val="28"/>
          <w:vertAlign w:val="baseline"/>
        </w:rPr>
        <w:t> </w:t>
      </w:r>
      <w:r>
        <w:rPr>
          <w:sz w:val="28"/>
          <w:vertAlign w:val="baseline"/>
        </w:rPr>
        <w:t>‘civil</w:t>
      </w:r>
      <w:r>
        <w:rPr>
          <w:spacing w:val="-4"/>
          <w:sz w:val="28"/>
          <w:vertAlign w:val="baseline"/>
        </w:rPr>
        <w:t> </w:t>
      </w:r>
      <w:r>
        <w:rPr>
          <w:sz w:val="28"/>
          <w:vertAlign w:val="baseline"/>
        </w:rPr>
        <w:t>rights’</w:t>
      </w:r>
      <w:r>
        <w:rPr>
          <w:spacing w:val="-3"/>
          <w:sz w:val="28"/>
          <w:vertAlign w:val="baseline"/>
        </w:rPr>
        <w:t> </w:t>
      </w:r>
      <w:r>
        <w:rPr>
          <w:sz w:val="28"/>
          <w:vertAlign w:val="baseline"/>
        </w:rPr>
        <w:t>and</w:t>
      </w:r>
      <w:r>
        <w:rPr>
          <w:spacing w:val="-4"/>
          <w:sz w:val="28"/>
          <w:vertAlign w:val="baseline"/>
        </w:rPr>
        <w:t> </w:t>
      </w:r>
      <w:r>
        <w:rPr>
          <w:sz w:val="28"/>
          <w:vertAlign w:val="baseline"/>
        </w:rPr>
        <w:t>are</w:t>
      </w:r>
      <w:r>
        <w:rPr>
          <w:spacing w:val="-3"/>
          <w:sz w:val="28"/>
          <w:vertAlign w:val="baseline"/>
        </w:rPr>
        <w:t> </w:t>
      </w:r>
      <w:r>
        <w:rPr>
          <w:sz w:val="28"/>
          <w:vertAlign w:val="baseline"/>
        </w:rPr>
        <w:t>protected</w:t>
      </w:r>
      <w:r>
        <w:rPr>
          <w:spacing w:val="-4"/>
          <w:sz w:val="28"/>
          <w:vertAlign w:val="baseline"/>
        </w:rPr>
        <w:t> </w:t>
      </w:r>
      <w:r>
        <w:rPr>
          <w:sz w:val="28"/>
          <w:vertAlign w:val="baseline"/>
        </w:rPr>
        <w:t>though</w:t>
      </w:r>
      <w:r>
        <w:rPr>
          <w:spacing w:val="-4"/>
          <w:sz w:val="28"/>
          <w:vertAlign w:val="baseline"/>
        </w:rPr>
        <w:t> </w:t>
      </w:r>
      <w:r>
        <w:rPr>
          <w:sz w:val="28"/>
          <w:vertAlign w:val="baseline"/>
        </w:rPr>
        <w:t>the</w:t>
      </w:r>
      <w:r>
        <w:rPr>
          <w:spacing w:val="-3"/>
          <w:sz w:val="28"/>
          <w:vertAlign w:val="baseline"/>
        </w:rPr>
        <w:t> </w:t>
      </w:r>
      <w:r>
        <w:rPr>
          <w:sz w:val="28"/>
          <w:vertAlign w:val="baseline"/>
        </w:rPr>
        <w:t>commitment</w:t>
      </w:r>
      <w:r>
        <w:rPr>
          <w:spacing w:val="-3"/>
          <w:sz w:val="28"/>
          <w:vertAlign w:val="baseline"/>
        </w:rPr>
        <w:t> </w:t>
      </w:r>
      <w:r>
        <w:rPr>
          <w:sz w:val="28"/>
          <w:vertAlign w:val="baseline"/>
        </w:rPr>
        <w:t>to victims at paragraph 11” of the Agreement.</w:t>
      </w:r>
      <w:r>
        <w:rPr>
          <w:spacing w:val="40"/>
          <w:sz w:val="28"/>
          <w:vertAlign w:val="baseline"/>
        </w:rPr>
        <w:t> </w:t>
      </w:r>
      <w:r>
        <w:rPr>
          <w:sz w:val="28"/>
          <w:vertAlign w:val="baseline"/>
        </w:rPr>
        <w:t>It stated that these rights include the right to life, the right to be free from torture, cruel, inhuman or degrading treatment, the right to access a court, the right to be free from discrimination and the right to dignity.</w:t>
      </w:r>
      <w:r>
        <w:rPr>
          <w:sz w:val="28"/>
          <w:vertAlign w:val="superscript"/>
        </w:rPr>
        <w:t>457</w:t>
      </w:r>
      <w:r>
        <w:rPr>
          <w:sz w:val="28"/>
          <w:vertAlign w:val="baseline"/>
        </w:rPr>
        <w:t> The Court has further confirmed that the rights of victims of crime are within the scope of the relevant chapter in the Belfast (Good Friday) Agreement, are within the competence of EU law and are underpinned by EU law in the form of the EU Victims’ Directive and the EU Charter of Fundamental Rights.</w:t>
      </w:r>
      <w:r>
        <w:rPr>
          <w:sz w:val="28"/>
          <w:vertAlign w:val="superscript"/>
        </w:rPr>
        <w:t>458</w:t>
      </w:r>
    </w:p>
    <w:p>
      <w:pPr>
        <w:pStyle w:val="BodyText"/>
        <w:spacing w:before="5"/>
        <w:rPr>
          <w:sz w:val="8"/>
        </w:rPr>
      </w:pPr>
      <w:r>
        <w:rPr/>
        <mc:AlternateContent>
          <mc:Choice Requires="wps">
            <w:drawing>
              <wp:anchor distT="0" distB="0" distL="0" distR="0" allowOverlap="1" layoutInCell="1" locked="0" behindDoc="1" simplePos="0" relativeHeight="487676928">
                <wp:simplePos x="0" y="0"/>
                <wp:positionH relativeFrom="page">
                  <wp:posOffset>719996</wp:posOffset>
                </wp:positionH>
                <wp:positionV relativeFrom="paragraph">
                  <wp:posOffset>80437</wp:posOffset>
                </wp:positionV>
                <wp:extent cx="6120130" cy="1270"/>
                <wp:effectExtent l="0" t="0" r="0" b="0"/>
                <wp:wrapTopAndBottom/>
                <wp:docPr id="393" name="Graphic 393"/>
                <wp:cNvGraphicFramePr>
                  <a:graphicFrameLocks/>
                </wp:cNvGraphicFramePr>
                <a:graphic>
                  <a:graphicData uri="http://schemas.microsoft.com/office/word/2010/wordprocessingShape">
                    <wps:wsp>
                      <wps:cNvPr id="393" name="Graphic 393"/>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6.333655pt;width:481.9pt;height:.1pt;mso-position-horizontal-relative:page;mso-position-vertical-relative:paragraph;z-index:-15639552;mso-wrap-distance-left:0;mso-wrap-distance-right:0" id="docshape342" coordorigin="1134,127" coordsize="9638,0" path="m10772,127l1134,127e" filled="false" stroked="true" strokeweight="1pt" strokecolor="#393b80">
                <v:path arrowok="t"/>
                <v:stroke dashstyle="solid"/>
                <w10:wrap type="topAndBottom"/>
              </v:shape>
            </w:pict>
          </mc:Fallback>
        </mc:AlternateContent>
      </w:r>
    </w:p>
    <w:p>
      <w:pPr>
        <w:spacing w:line="218" w:lineRule="exact" w:before="152"/>
        <w:ind w:left="1853" w:right="0" w:firstLine="0"/>
        <w:jc w:val="left"/>
        <w:rPr>
          <w:sz w:val="18"/>
        </w:rPr>
      </w:pPr>
      <w:r>
        <w:rPr>
          <w:sz w:val="18"/>
        </w:rPr>
        <w:t>‘CoE</w:t>
      </w:r>
      <w:r>
        <w:rPr>
          <w:spacing w:val="-7"/>
          <w:sz w:val="18"/>
        </w:rPr>
        <w:t> </w:t>
      </w:r>
      <w:r>
        <w:rPr>
          <w:sz w:val="18"/>
        </w:rPr>
        <w:t>Committee</w:t>
      </w:r>
      <w:r>
        <w:rPr>
          <w:spacing w:val="-6"/>
          <w:sz w:val="18"/>
        </w:rPr>
        <w:t> </w:t>
      </w:r>
      <w:r>
        <w:rPr>
          <w:sz w:val="18"/>
        </w:rPr>
        <w:t>of</w:t>
      </w:r>
      <w:r>
        <w:rPr>
          <w:spacing w:val="-6"/>
          <w:sz w:val="18"/>
        </w:rPr>
        <w:t> </w:t>
      </w:r>
      <w:r>
        <w:rPr>
          <w:sz w:val="18"/>
        </w:rPr>
        <w:t>Ministers</w:t>
      </w:r>
      <w:r>
        <w:rPr>
          <w:spacing w:val="-7"/>
          <w:sz w:val="18"/>
        </w:rPr>
        <w:t> </w:t>
      </w:r>
      <w:r>
        <w:rPr>
          <w:sz w:val="18"/>
        </w:rPr>
        <w:t>McKerr</w:t>
      </w:r>
      <w:r>
        <w:rPr>
          <w:spacing w:val="-5"/>
          <w:sz w:val="18"/>
        </w:rPr>
        <w:t> </w:t>
      </w:r>
      <w:r>
        <w:rPr>
          <w:sz w:val="18"/>
        </w:rPr>
        <w:t>Group</w:t>
      </w:r>
      <w:r>
        <w:rPr>
          <w:spacing w:val="-7"/>
          <w:sz w:val="18"/>
        </w:rPr>
        <w:t> </w:t>
      </w:r>
      <w:r>
        <w:rPr>
          <w:sz w:val="18"/>
        </w:rPr>
        <w:t>v</w:t>
      </w:r>
      <w:r>
        <w:rPr>
          <w:spacing w:val="-6"/>
          <w:sz w:val="18"/>
        </w:rPr>
        <w:t> </w:t>
      </w:r>
      <w:r>
        <w:rPr>
          <w:sz w:val="18"/>
        </w:rPr>
        <w:t>UK</w:t>
      </w:r>
      <w:r>
        <w:rPr>
          <w:spacing w:val="-5"/>
          <w:sz w:val="18"/>
        </w:rPr>
        <w:t> </w:t>
      </w:r>
      <w:r>
        <w:rPr>
          <w:sz w:val="18"/>
        </w:rPr>
        <w:t>(Application</w:t>
      </w:r>
      <w:r>
        <w:rPr>
          <w:spacing w:val="-7"/>
          <w:sz w:val="18"/>
        </w:rPr>
        <w:t> </w:t>
      </w:r>
      <w:r>
        <w:rPr>
          <w:sz w:val="18"/>
        </w:rPr>
        <w:t>No</w:t>
      </w:r>
      <w:r>
        <w:rPr>
          <w:spacing w:val="-6"/>
          <w:sz w:val="18"/>
        </w:rPr>
        <w:t> </w:t>
      </w:r>
      <w:r>
        <w:rPr>
          <w:sz w:val="18"/>
        </w:rPr>
        <w:t>28883/95)</w:t>
      </w:r>
      <w:r>
        <w:rPr>
          <w:spacing w:val="-7"/>
          <w:sz w:val="18"/>
        </w:rPr>
        <w:t> </w:t>
      </w:r>
      <w:r>
        <w:rPr>
          <w:sz w:val="18"/>
        </w:rPr>
        <w:t>Supervision</w:t>
      </w:r>
      <w:r>
        <w:rPr>
          <w:spacing w:val="-6"/>
          <w:sz w:val="18"/>
        </w:rPr>
        <w:t> </w:t>
      </w:r>
      <w:r>
        <w:rPr>
          <w:sz w:val="18"/>
        </w:rPr>
        <w:t>of</w:t>
      </w:r>
      <w:r>
        <w:rPr>
          <w:spacing w:val="-7"/>
          <w:sz w:val="18"/>
        </w:rPr>
        <w:t> </w:t>
      </w:r>
      <w:r>
        <w:rPr>
          <w:sz w:val="18"/>
        </w:rPr>
        <w:t>the</w:t>
      </w:r>
      <w:r>
        <w:rPr>
          <w:spacing w:val="-6"/>
          <w:sz w:val="18"/>
        </w:rPr>
        <w:t> </w:t>
      </w:r>
      <w:r>
        <w:rPr>
          <w:sz w:val="18"/>
        </w:rPr>
        <w:t>Execution</w:t>
      </w:r>
      <w:r>
        <w:rPr>
          <w:spacing w:val="-6"/>
          <w:sz w:val="18"/>
        </w:rPr>
        <w:t> </w:t>
      </w:r>
      <w:r>
        <w:rPr>
          <w:sz w:val="18"/>
        </w:rPr>
        <w:t>of</w:t>
      </w:r>
      <w:r>
        <w:rPr>
          <w:spacing w:val="-7"/>
          <w:sz w:val="18"/>
        </w:rPr>
        <w:t> </w:t>
      </w:r>
      <w:r>
        <w:rPr>
          <w:spacing w:val="-5"/>
          <w:sz w:val="18"/>
        </w:rPr>
        <w:t>the</w:t>
      </w:r>
    </w:p>
    <w:p>
      <w:pPr>
        <w:spacing w:line="235" w:lineRule="auto" w:before="1"/>
        <w:ind w:left="1853" w:right="1215" w:firstLine="0"/>
        <w:jc w:val="left"/>
        <w:rPr>
          <w:sz w:val="18"/>
        </w:rPr>
      </w:pPr>
      <w:r>
        <w:rPr>
          <w:sz w:val="18"/>
        </w:rPr>
        <w:t>ECtHR’s</w:t>
      </w:r>
      <w:r>
        <w:rPr>
          <w:spacing w:val="-7"/>
          <w:sz w:val="18"/>
        </w:rPr>
        <w:t> </w:t>
      </w:r>
      <w:r>
        <w:rPr>
          <w:sz w:val="18"/>
        </w:rPr>
        <w:t>Judgments’,</w:t>
      </w:r>
      <w:r>
        <w:rPr>
          <w:spacing w:val="-6"/>
          <w:sz w:val="18"/>
        </w:rPr>
        <w:t> </w:t>
      </w:r>
      <w:r>
        <w:rPr>
          <w:sz w:val="18"/>
        </w:rPr>
        <w:t>22</w:t>
      </w:r>
      <w:r>
        <w:rPr>
          <w:spacing w:val="-6"/>
          <w:sz w:val="18"/>
        </w:rPr>
        <w:t> </w:t>
      </w:r>
      <w:r>
        <w:rPr>
          <w:sz w:val="18"/>
        </w:rPr>
        <w:t>September</w:t>
      </w:r>
      <w:r>
        <w:rPr>
          <w:spacing w:val="-6"/>
          <w:sz w:val="18"/>
        </w:rPr>
        <w:t> </w:t>
      </w:r>
      <w:r>
        <w:rPr>
          <w:sz w:val="18"/>
        </w:rPr>
        <w:t>2022,</w:t>
      </w:r>
      <w:r>
        <w:rPr>
          <w:spacing w:val="-6"/>
          <w:sz w:val="18"/>
        </w:rPr>
        <w:t> </w:t>
      </w:r>
      <w:r>
        <w:rPr>
          <w:sz w:val="18"/>
        </w:rPr>
        <w:t>at</w:t>
      </w:r>
      <w:r>
        <w:rPr>
          <w:spacing w:val="-6"/>
          <w:sz w:val="18"/>
        </w:rPr>
        <w:t> </w:t>
      </w:r>
      <w:r>
        <w:rPr>
          <w:sz w:val="18"/>
        </w:rPr>
        <w:t>para</w:t>
      </w:r>
      <w:r>
        <w:rPr>
          <w:spacing w:val="-7"/>
          <w:sz w:val="18"/>
        </w:rPr>
        <w:t> </w:t>
      </w:r>
      <w:r>
        <w:rPr>
          <w:sz w:val="18"/>
        </w:rPr>
        <w:t>8;</w:t>
      </w:r>
      <w:r>
        <w:rPr>
          <w:spacing w:val="-6"/>
          <w:sz w:val="18"/>
        </w:rPr>
        <w:t> </w:t>
      </w:r>
      <w:r>
        <w:rPr>
          <w:sz w:val="18"/>
        </w:rPr>
        <w:t>CoE</w:t>
      </w:r>
      <w:r>
        <w:rPr>
          <w:spacing w:val="-7"/>
          <w:sz w:val="18"/>
        </w:rPr>
        <w:t> </w:t>
      </w:r>
      <w:r>
        <w:rPr>
          <w:sz w:val="18"/>
        </w:rPr>
        <w:t>Parliamentary</w:t>
      </w:r>
      <w:r>
        <w:rPr>
          <w:spacing w:val="-6"/>
          <w:sz w:val="18"/>
        </w:rPr>
        <w:t> </w:t>
      </w:r>
      <w:r>
        <w:rPr>
          <w:sz w:val="18"/>
        </w:rPr>
        <w:t>Assembly,</w:t>
      </w:r>
      <w:r>
        <w:rPr>
          <w:spacing w:val="-6"/>
          <w:sz w:val="18"/>
        </w:rPr>
        <w:t> </w:t>
      </w:r>
      <w:r>
        <w:rPr>
          <w:sz w:val="18"/>
        </w:rPr>
        <w:t>‘Resolution</w:t>
      </w:r>
      <w:r>
        <w:rPr>
          <w:spacing w:val="-7"/>
          <w:sz w:val="18"/>
        </w:rPr>
        <w:t> </w:t>
      </w:r>
      <w:r>
        <w:rPr>
          <w:sz w:val="18"/>
        </w:rPr>
        <w:t>2464(2002)</w:t>
      </w:r>
      <w:r>
        <w:rPr>
          <w:spacing w:val="-7"/>
          <w:sz w:val="18"/>
        </w:rPr>
        <w:t> </w:t>
      </w:r>
      <w:r>
        <w:rPr>
          <w:sz w:val="18"/>
        </w:rPr>
        <w:t>–</w:t>
      </w:r>
      <w:r>
        <w:rPr>
          <w:spacing w:val="-7"/>
          <w:sz w:val="18"/>
        </w:rPr>
        <w:t> </w:t>
      </w:r>
      <w:r>
        <w:rPr>
          <w:sz w:val="18"/>
        </w:rPr>
        <w:t>The</w:t>
      </w:r>
      <w:r>
        <w:rPr>
          <w:spacing w:val="-6"/>
          <w:sz w:val="18"/>
        </w:rPr>
        <w:t> </w:t>
      </w:r>
      <w:r>
        <w:rPr>
          <w:sz w:val="18"/>
        </w:rPr>
        <w:t>Impact</w:t>
      </w:r>
      <w:r>
        <w:rPr>
          <w:spacing w:val="-6"/>
          <w:sz w:val="18"/>
        </w:rPr>
        <w:t> </w:t>
      </w:r>
      <w:r>
        <w:rPr>
          <w:sz w:val="18"/>
        </w:rPr>
        <w:t>of Brexit on</w:t>
      </w:r>
      <w:r>
        <w:rPr>
          <w:spacing w:val="31"/>
          <w:sz w:val="18"/>
        </w:rPr>
        <w:t> </w:t>
      </w:r>
      <w:r>
        <w:rPr>
          <w:sz w:val="18"/>
        </w:rPr>
        <w:t>Human Rights on the Island of Ireland’, 31 October 2022, at paras 8 and 9; CommDH(2022)27, ‘CoE Commissioner for Human Rights, Dunja Mijatovic: Report Following Visit to UK From 27 June to 1 July 2022’, 18 November</w:t>
      </w:r>
      <w:r>
        <w:rPr>
          <w:spacing w:val="-5"/>
          <w:sz w:val="18"/>
        </w:rPr>
        <w:t> </w:t>
      </w:r>
      <w:r>
        <w:rPr>
          <w:sz w:val="18"/>
        </w:rPr>
        <w:t>2022,</w:t>
      </w:r>
      <w:r>
        <w:rPr>
          <w:spacing w:val="-5"/>
          <w:sz w:val="18"/>
        </w:rPr>
        <w:t> </w:t>
      </w:r>
      <w:r>
        <w:rPr>
          <w:sz w:val="18"/>
        </w:rPr>
        <w:t>at</w:t>
      </w:r>
      <w:r>
        <w:rPr>
          <w:spacing w:val="-5"/>
          <w:sz w:val="18"/>
        </w:rPr>
        <w:t> </w:t>
      </w:r>
      <w:r>
        <w:rPr>
          <w:sz w:val="18"/>
        </w:rPr>
        <w:t>37-40;</w:t>
      </w:r>
      <w:r>
        <w:rPr>
          <w:spacing w:val="-5"/>
          <w:sz w:val="18"/>
        </w:rPr>
        <w:t> </w:t>
      </w:r>
      <w:r>
        <w:rPr>
          <w:sz w:val="18"/>
        </w:rPr>
        <w:t>A/HRC/52/10,’Report</w:t>
      </w:r>
      <w:r>
        <w:rPr>
          <w:spacing w:val="-5"/>
          <w:sz w:val="18"/>
        </w:rPr>
        <w:t> </w:t>
      </w:r>
      <w:r>
        <w:rPr>
          <w:sz w:val="18"/>
        </w:rPr>
        <w:t>of</w:t>
      </w:r>
      <w:r>
        <w:rPr>
          <w:spacing w:val="-6"/>
          <w:sz w:val="18"/>
        </w:rPr>
        <w:t> </w:t>
      </w:r>
      <w:r>
        <w:rPr>
          <w:sz w:val="18"/>
        </w:rPr>
        <w:t>the</w:t>
      </w:r>
      <w:r>
        <w:rPr>
          <w:spacing w:val="-5"/>
          <w:sz w:val="18"/>
        </w:rPr>
        <w:t> </w:t>
      </w:r>
      <w:r>
        <w:rPr>
          <w:sz w:val="18"/>
        </w:rPr>
        <w:t>UN</w:t>
      </w:r>
      <w:r>
        <w:rPr>
          <w:spacing w:val="-5"/>
          <w:sz w:val="18"/>
        </w:rPr>
        <w:t> </w:t>
      </w:r>
      <w:r>
        <w:rPr>
          <w:sz w:val="18"/>
        </w:rPr>
        <w:t>Working</w:t>
      </w:r>
      <w:r>
        <w:rPr>
          <w:spacing w:val="-5"/>
          <w:sz w:val="18"/>
        </w:rPr>
        <w:t> </w:t>
      </w:r>
      <w:r>
        <w:rPr>
          <w:sz w:val="18"/>
        </w:rPr>
        <w:t>Group</w:t>
      </w:r>
      <w:r>
        <w:rPr>
          <w:spacing w:val="-6"/>
          <w:sz w:val="18"/>
        </w:rPr>
        <w:t> </w:t>
      </w:r>
      <w:r>
        <w:rPr>
          <w:sz w:val="18"/>
        </w:rPr>
        <w:t>on</w:t>
      </w:r>
      <w:r>
        <w:rPr>
          <w:spacing w:val="-6"/>
          <w:sz w:val="18"/>
        </w:rPr>
        <w:t> </w:t>
      </w:r>
      <w:r>
        <w:rPr>
          <w:sz w:val="18"/>
        </w:rPr>
        <w:t>the</w:t>
      </w:r>
      <w:r>
        <w:rPr>
          <w:spacing w:val="-5"/>
          <w:sz w:val="18"/>
        </w:rPr>
        <w:t> </w:t>
      </w:r>
      <w:r>
        <w:rPr>
          <w:sz w:val="18"/>
        </w:rPr>
        <w:t>Universal</w:t>
      </w:r>
      <w:r>
        <w:rPr>
          <w:spacing w:val="-6"/>
          <w:sz w:val="18"/>
        </w:rPr>
        <w:t> </w:t>
      </w:r>
      <w:r>
        <w:rPr>
          <w:sz w:val="18"/>
        </w:rPr>
        <w:t>Periodic</w:t>
      </w:r>
      <w:r>
        <w:rPr>
          <w:spacing w:val="-5"/>
          <w:sz w:val="18"/>
        </w:rPr>
        <w:t> </w:t>
      </w:r>
      <w:r>
        <w:rPr>
          <w:sz w:val="18"/>
        </w:rPr>
        <w:t>Review:</w:t>
      </w:r>
      <w:r>
        <w:rPr>
          <w:spacing w:val="-5"/>
          <w:sz w:val="18"/>
        </w:rPr>
        <w:t> </w:t>
      </w:r>
      <w:r>
        <w:rPr>
          <w:sz w:val="18"/>
        </w:rPr>
        <w:t>UK</w:t>
      </w:r>
      <w:r>
        <w:rPr>
          <w:spacing w:val="-5"/>
          <w:sz w:val="18"/>
        </w:rPr>
        <w:t> </w:t>
      </w:r>
      <w:r>
        <w:rPr>
          <w:sz w:val="18"/>
        </w:rPr>
        <w:t>of</w:t>
      </w:r>
      <w:r>
        <w:rPr>
          <w:spacing w:val="-6"/>
          <w:sz w:val="18"/>
        </w:rPr>
        <w:t> </w:t>
      </w:r>
      <w:r>
        <w:rPr>
          <w:sz w:val="18"/>
        </w:rPr>
        <w:t>Great Britain and NI’, 9 January 2023, at paras 43.27, 43.106 and 43.112; CM/Del/Dec(2023)1459/H46-35,</w:t>
      </w:r>
    </w:p>
    <w:p>
      <w:pPr>
        <w:spacing w:line="235" w:lineRule="auto" w:before="4"/>
        <w:ind w:left="1853" w:right="1172" w:firstLine="0"/>
        <w:jc w:val="both"/>
        <w:rPr>
          <w:sz w:val="18"/>
        </w:rPr>
      </w:pPr>
      <w:r>
        <w:rPr>
          <w:sz w:val="18"/>
        </w:rPr>
        <w:t>‘McKerr</w:t>
      </w:r>
      <w:r>
        <w:rPr>
          <w:spacing w:val="-1"/>
          <w:sz w:val="18"/>
        </w:rPr>
        <w:t> </w:t>
      </w:r>
      <w:r>
        <w:rPr>
          <w:sz w:val="18"/>
        </w:rPr>
        <w:t>Group</w:t>
      </w:r>
      <w:r>
        <w:rPr>
          <w:spacing w:val="-2"/>
          <w:sz w:val="18"/>
        </w:rPr>
        <w:t> </w:t>
      </w:r>
      <w:r>
        <w:rPr>
          <w:sz w:val="18"/>
        </w:rPr>
        <w:t>v</w:t>
      </w:r>
      <w:r>
        <w:rPr>
          <w:spacing w:val="-1"/>
          <w:sz w:val="18"/>
        </w:rPr>
        <w:t> </w:t>
      </w:r>
      <w:r>
        <w:rPr>
          <w:sz w:val="18"/>
        </w:rPr>
        <w:t>UK</w:t>
      </w:r>
      <w:r>
        <w:rPr>
          <w:spacing w:val="-1"/>
          <w:sz w:val="18"/>
        </w:rPr>
        <w:t> </w:t>
      </w:r>
      <w:r>
        <w:rPr>
          <w:sz w:val="18"/>
        </w:rPr>
        <w:t>(Application</w:t>
      </w:r>
      <w:r>
        <w:rPr>
          <w:spacing w:val="-2"/>
          <w:sz w:val="18"/>
        </w:rPr>
        <w:t> </w:t>
      </w:r>
      <w:r>
        <w:rPr>
          <w:sz w:val="18"/>
        </w:rPr>
        <w:t>No</w:t>
      </w:r>
      <w:r>
        <w:rPr>
          <w:spacing w:val="-2"/>
          <w:sz w:val="18"/>
        </w:rPr>
        <w:t> </w:t>
      </w:r>
      <w:r>
        <w:rPr>
          <w:sz w:val="18"/>
        </w:rPr>
        <w:t>28883/95</w:t>
      </w:r>
      <w:r>
        <w:rPr>
          <w:spacing w:val="-1"/>
          <w:sz w:val="18"/>
        </w:rPr>
        <w:t> </w:t>
      </w:r>
      <w:r>
        <w:rPr>
          <w:sz w:val="18"/>
        </w:rPr>
        <w:t>Supervision</w:t>
      </w:r>
      <w:r>
        <w:rPr>
          <w:spacing w:val="-2"/>
          <w:sz w:val="18"/>
        </w:rPr>
        <w:t> </w:t>
      </w:r>
      <w:r>
        <w:rPr>
          <w:sz w:val="18"/>
        </w:rPr>
        <w:t>of</w:t>
      </w:r>
      <w:r>
        <w:rPr>
          <w:spacing w:val="-2"/>
          <w:sz w:val="18"/>
        </w:rPr>
        <w:t> </w:t>
      </w:r>
      <w:r>
        <w:rPr>
          <w:sz w:val="18"/>
        </w:rPr>
        <w:t>the</w:t>
      </w:r>
      <w:r>
        <w:rPr>
          <w:spacing w:val="-1"/>
          <w:sz w:val="18"/>
        </w:rPr>
        <w:t> </w:t>
      </w:r>
      <w:r>
        <w:rPr>
          <w:sz w:val="18"/>
        </w:rPr>
        <w:t>Execution</w:t>
      </w:r>
      <w:r>
        <w:rPr>
          <w:spacing w:val="-2"/>
          <w:sz w:val="18"/>
        </w:rPr>
        <w:t> </w:t>
      </w:r>
      <w:r>
        <w:rPr>
          <w:sz w:val="18"/>
        </w:rPr>
        <w:t>of</w:t>
      </w:r>
      <w:r>
        <w:rPr>
          <w:spacing w:val="-2"/>
          <w:sz w:val="18"/>
        </w:rPr>
        <w:t> </w:t>
      </w:r>
      <w:r>
        <w:rPr>
          <w:sz w:val="18"/>
        </w:rPr>
        <w:t>the</w:t>
      </w:r>
      <w:r>
        <w:rPr>
          <w:spacing w:val="-1"/>
          <w:sz w:val="18"/>
        </w:rPr>
        <w:t> </w:t>
      </w:r>
      <w:r>
        <w:rPr>
          <w:sz w:val="18"/>
        </w:rPr>
        <w:t>European</w:t>
      </w:r>
      <w:r>
        <w:rPr>
          <w:spacing w:val="-2"/>
          <w:sz w:val="18"/>
        </w:rPr>
        <w:t> </w:t>
      </w:r>
      <w:r>
        <w:rPr>
          <w:sz w:val="18"/>
        </w:rPr>
        <w:t>Court’s</w:t>
      </w:r>
      <w:r>
        <w:rPr>
          <w:spacing w:val="-2"/>
          <w:sz w:val="18"/>
        </w:rPr>
        <w:t> </w:t>
      </w:r>
      <w:r>
        <w:rPr>
          <w:sz w:val="18"/>
        </w:rPr>
        <w:t>Judgments),</w:t>
      </w:r>
      <w:r>
        <w:rPr>
          <w:spacing w:val="-1"/>
          <w:sz w:val="18"/>
        </w:rPr>
        <w:t> </w:t>
      </w:r>
      <w:r>
        <w:rPr>
          <w:sz w:val="18"/>
        </w:rPr>
        <w:t>9</w:t>
      </w:r>
      <w:r>
        <w:rPr>
          <w:spacing w:val="-1"/>
          <w:sz w:val="18"/>
        </w:rPr>
        <w:t> </w:t>
      </w:r>
      <w:r>
        <w:rPr>
          <w:sz w:val="18"/>
        </w:rPr>
        <w:t>March 2023,</w:t>
      </w:r>
      <w:r>
        <w:rPr>
          <w:spacing w:val="-8"/>
          <w:sz w:val="18"/>
        </w:rPr>
        <w:t> </w:t>
      </w:r>
      <w:r>
        <w:rPr>
          <w:sz w:val="18"/>
        </w:rPr>
        <w:t>at</w:t>
      </w:r>
      <w:r>
        <w:rPr>
          <w:spacing w:val="-8"/>
          <w:sz w:val="18"/>
        </w:rPr>
        <w:t> </w:t>
      </w:r>
      <w:r>
        <w:rPr>
          <w:sz w:val="18"/>
        </w:rPr>
        <w:t>para</w:t>
      </w:r>
      <w:r>
        <w:rPr>
          <w:spacing w:val="-8"/>
          <w:sz w:val="18"/>
        </w:rPr>
        <w:t> </w:t>
      </w:r>
      <w:r>
        <w:rPr>
          <w:sz w:val="18"/>
        </w:rPr>
        <w:t>5;</w:t>
      </w:r>
      <w:r>
        <w:rPr>
          <w:spacing w:val="-8"/>
          <w:sz w:val="18"/>
        </w:rPr>
        <w:t> </w:t>
      </w:r>
      <w:r>
        <w:rPr>
          <w:sz w:val="18"/>
        </w:rPr>
        <w:t>CM/ResDH(2023)148,</w:t>
      </w:r>
      <w:r>
        <w:rPr>
          <w:spacing w:val="-8"/>
          <w:sz w:val="18"/>
        </w:rPr>
        <w:t> </w:t>
      </w:r>
      <w:r>
        <w:rPr>
          <w:sz w:val="18"/>
        </w:rPr>
        <w:t>‘CoE</w:t>
      </w:r>
      <w:r>
        <w:rPr>
          <w:spacing w:val="-8"/>
          <w:sz w:val="18"/>
        </w:rPr>
        <w:t> </w:t>
      </w:r>
      <w:r>
        <w:rPr>
          <w:sz w:val="18"/>
        </w:rPr>
        <w:t>Committee</w:t>
      </w:r>
      <w:r>
        <w:rPr>
          <w:spacing w:val="-8"/>
          <w:sz w:val="18"/>
        </w:rPr>
        <w:t> </w:t>
      </w:r>
      <w:r>
        <w:rPr>
          <w:sz w:val="18"/>
        </w:rPr>
        <w:t>of</w:t>
      </w:r>
      <w:r>
        <w:rPr>
          <w:spacing w:val="-8"/>
          <w:sz w:val="18"/>
        </w:rPr>
        <w:t> </w:t>
      </w:r>
      <w:r>
        <w:rPr>
          <w:sz w:val="18"/>
        </w:rPr>
        <w:t>Ministers</w:t>
      </w:r>
      <w:r>
        <w:rPr>
          <w:spacing w:val="-8"/>
          <w:sz w:val="18"/>
        </w:rPr>
        <w:t> </w:t>
      </w:r>
      <w:r>
        <w:rPr>
          <w:sz w:val="18"/>
        </w:rPr>
        <w:t>Interim</w:t>
      </w:r>
      <w:r>
        <w:rPr>
          <w:spacing w:val="-8"/>
          <w:sz w:val="18"/>
        </w:rPr>
        <w:t> </w:t>
      </w:r>
      <w:r>
        <w:rPr>
          <w:sz w:val="18"/>
        </w:rPr>
        <w:t>Resolution:</w:t>
      </w:r>
      <w:r>
        <w:rPr>
          <w:spacing w:val="-8"/>
          <w:sz w:val="18"/>
        </w:rPr>
        <w:t> </w:t>
      </w:r>
      <w:r>
        <w:rPr>
          <w:sz w:val="18"/>
        </w:rPr>
        <w:t>McKerr</w:t>
      </w:r>
      <w:r>
        <w:rPr>
          <w:spacing w:val="-8"/>
          <w:sz w:val="18"/>
        </w:rPr>
        <w:t> </w:t>
      </w:r>
      <w:r>
        <w:rPr>
          <w:sz w:val="18"/>
        </w:rPr>
        <w:t>and</w:t>
      </w:r>
      <w:r>
        <w:rPr>
          <w:spacing w:val="-8"/>
          <w:sz w:val="18"/>
        </w:rPr>
        <w:t> </w:t>
      </w:r>
      <w:r>
        <w:rPr>
          <w:sz w:val="18"/>
        </w:rPr>
        <w:t>Four</w:t>
      </w:r>
      <w:r>
        <w:rPr>
          <w:spacing w:val="-8"/>
          <w:sz w:val="18"/>
        </w:rPr>
        <w:t> </w:t>
      </w:r>
      <w:r>
        <w:rPr>
          <w:sz w:val="18"/>
        </w:rPr>
        <w:t>Cases</w:t>
      </w:r>
      <w:r>
        <w:rPr>
          <w:spacing w:val="-8"/>
          <w:sz w:val="18"/>
        </w:rPr>
        <w:t> </w:t>
      </w:r>
      <w:r>
        <w:rPr>
          <w:sz w:val="18"/>
        </w:rPr>
        <w:t>Against</w:t>
      </w:r>
      <w:r>
        <w:rPr>
          <w:spacing w:val="-8"/>
          <w:sz w:val="18"/>
        </w:rPr>
        <w:t> </w:t>
      </w:r>
      <w:r>
        <w:rPr>
          <w:sz w:val="18"/>
        </w:rPr>
        <w:t>the UK’, 7 June 2023.</w:t>
      </w:r>
    </w:p>
    <w:p>
      <w:pPr>
        <w:pStyle w:val="ListParagraph"/>
        <w:numPr>
          <w:ilvl w:val="0"/>
          <w:numId w:val="9"/>
        </w:numPr>
        <w:tabs>
          <w:tab w:pos="1853" w:val="left" w:leader="none"/>
        </w:tabs>
        <w:spacing w:line="235" w:lineRule="auto" w:before="2" w:after="0"/>
        <w:ind w:left="1853" w:right="1213" w:hanging="720"/>
        <w:jc w:val="left"/>
        <w:rPr>
          <w:sz w:val="18"/>
        </w:rPr>
      </w:pPr>
      <w:r>
        <w:rPr>
          <w:sz w:val="18"/>
        </w:rPr>
        <w:t>CoE</w:t>
      </w:r>
      <w:r>
        <w:rPr>
          <w:spacing w:val="-4"/>
          <w:sz w:val="18"/>
        </w:rPr>
        <w:t> </w:t>
      </w:r>
      <w:r>
        <w:rPr>
          <w:sz w:val="18"/>
        </w:rPr>
        <w:t>Commissioner</w:t>
      </w:r>
      <w:r>
        <w:rPr>
          <w:spacing w:val="-3"/>
          <w:sz w:val="18"/>
        </w:rPr>
        <w:t> </w:t>
      </w:r>
      <w:r>
        <w:rPr>
          <w:sz w:val="18"/>
        </w:rPr>
        <w:t>for</w:t>
      </w:r>
      <w:r>
        <w:rPr>
          <w:spacing w:val="-3"/>
          <w:sz w:val="18"/>
        </w:rPr>
        <w:t> </w:t>
      </w:r>
      <w:r>
        <w:rPr>
          <w:sz w:val="18"/>
        </w:rPr>
        <w:t>Human</w:t>
      </w:r>
      <w:r>
        <w:rPr>
          <w:spacing w:val="-4"/>
          <w:sz w:val="18"/>
        </w:rPr>
        <w:t> </w:t>
      </w:r>
      <w:r>
        <w:rPr>
          <w:sz w:val="18"/>
        </w:rPr>
        <w:t>Rights,</w:t>
      </w:r>
      <w:r>
        <w:rPr>
          <w:spacing w:val="-3"/>
          <w:sz w:val="18"/>
        </w:rPr>
        <w:t> </w:t>
      </w:r>
      <w:r>
        <w:rPr>
          <w:sz w:val="18"/>
        </w:rPr>
        <w:t>‘Press</w:t>
      </w:r>
      <w:r>
        <w:rPr>
          <w:spacing w:val="-4"/>
          <w:sz w:val="18"/>
        </w:rPr>
        <w:t> </w:t>
      </w:r>
      <w:r>
        <w:rPr>
          <w:sz w:val="18"/>
        </w:rPr>
        <w:t>Release:</w:t>
      </w:r>
      <w:r>
        <w:rPr>
          <w:spacing w:val="-3"/>
          <w:sz w:val="18"/>
        </w:rPr>
        <w:t> </w:t>
      </w:r>
      <w:r>
        <w:rPr>
          <w:sz w:val="18"/>
        </w:rPr>
        <w:t>UK</w:t>
      </w:r>
      <w:r>
        <w:rPr>
          <w:spacing w:val="-3"/>
          <w:sz w:val="18"/>
        </w:rPr>
        <w:t> </w:t>
      </w:r>
      <w:r>
        <w:rPr>
          <w:sz w:val="18"/>
        </w:rPr>
        <w:t>–</w:t>
      </w:r>
      <w:r>
        <w:rPr>
          <w:spacing w:val="-4"/>
          <w:sz w:val="18"/>
        </w:rPr>
        <w:t> </w:t>
      </w:r>
      <w:r>
        <w:rPr>
          <w:sz w:val="18"/>
        </w:rPr>
        <w:t>Adopting</w:t>
      </w:r>
      <w:r>
        <w:rPr>
          <w:spacing w:val="-3"/>
          <w:sz w:val="18"/>
        </w:rPr>
        <w:t> </w:t>
      </w:r>
      <w:r>
        <w:rPr>
          <w:sz w:val="18"/>
        </w:rPr>
        <w:t>NI</w:t>
      </w:r>
      <w:r>
        <w:rPr>
          <w:spacing w:val="-3"/>
          <w:sz w:val="18"/>
        </w:rPr>
        <w:t> </w:t>
      </w:r>
      <w:r>
        <w:rPr>
          <w:sz w:val="18"/>
        </w:rPr>
        <w:t>Legacy</w:t>
      </w:r>
      <w:r>
        <w:rPr>
          <w:spacing w:val="-3"/>
          <w:sz w:val="18"/>
        </w:rPr>
        <w:t> </w:t>
      </w:r>
      <w:r>
        <w:rPr>
          <w:sz w:val="18"/>
        </w:rPr>
        <w:t>Bill</w:t>
      </w:r>
      <w:r>
        <w:rPr>
          <w:spacing w:val="-4"/>
          <w:sz w:val="18"/>
        </w:rPr>
        <w:t> </w:t>
      </w:r>
      <w:r>
        <w:rPr>
          <w:sz w:val="18"/>
        </w:rPr>
        <w:t>will</w:t>
      </w:r>
      <w:r>
        <w:rPr>
          <w:spacing w:val="-4"/>
          <w:sz w:val="18"/>
        </w:rPr>
        <w:t> </w:t>
      </w:r>
      <w:r>
        <w:rPr>
          <w:sz w:val="18"/>
        </w:rPr>
        <w:t>undermine</w:t>
      </w:r>
      <w:r>
        <w:rPr>
          <w:spacing w:val="-3"/>
          <w:sz w:val="18"/>
        </w:rPr>
        <w:t> </w:t>
      </w:r>
      <w:r>
        <w:rPr>
          <w:sz w:val="18"/>
        </w:rPr>
        <w:t>justice</w:t>
      </w:r>
      <w:r>
        <w:rPr>
          <w:spacing w:val="-3"/>
          <w:sz w:val="18"/>
        </w:rPr>
        <w:t> </w:t>
      </w:r>
      <w:r>
        <w:rPr>
          <w:sz w:val="18"/>
        </w:rPr>
        <w:t>for</w:t>
      </w:r>
      <w:r>
        <w:rPr>
          <w:spacing w:val="-3"/>
          <w:sz w:val="18"/>
        </w:rPr>
        <w:t> </w:t>
      </w:r>
      <w:r>
        <w:rPr>
          <w:sz w:val="18"/>
        </w:rPr>
        <w:t>victims,</w:t>
      </w:r>
      <w:r>
        <w:rPr>
          <w:spacing w:val="-3"/>
          <w:sz w:val="18"/>
        </w:rPr>
        <w:t> </w:t>
      </w:r>
      <w:r>
        <w:rPr>
          <w:sz w:val="18"/>
        </w:rPr>
        <w:t>truth seeking and reconciliation’, 20 June 2023.</w:t>
      </w:r>
    </w:p>
    <w:p>
      <w:pPr>
        <w:pStyle w:val="ListParagraph"/>
        <w:numPr>
          <w:ilvl w:val="0"/>
          <w:numId w:val="9"/>
        </w:numPr>
        <w:tabs>
          <w:tab w:pos="1853" w:val="left" w:leader="none"/>
        </w:tabs>
        <w:spacing w:line="235" w:lineRule="auto" w:before="1" w:after="0"/>
        <w:ind w:left="1853" w:right="1442" w:hanging="720"/>
        <w:jc w:val="left"/>
        <w:rPr>
          <w:sz w:val="18"/>
        </w:rPr>
      </w:pPr>
      <w:r>
        <w:rPr>
          <w:sz w:val="18"/>
        </w:rPr>
        <w:t>CAT/C/GBR/CO/6,</w:t>
      </w:r>
      <w:r>
        <w:rPr>
          <w:spacing w:val="-6"/>
          <w:sz w:val="18"/>
        </w:rPr>
        <w:t> </w:t>
      </w:r>
      <w:r>
        <w:rPr>
          <w:sz w:val="18"/>
        </w:rPr>
        <w:t>‘UN</w:t>
      </w:r>
      <w:r>
        <w:rPr>
          <w:spacing w:val="-6"/>
          <w:sz w:val="18"/>
        </w:rPr>
        <w:t> </w:t>
      </w:r>
      <w:r>
        <w:rPr>
          <w:sz w:val="18"/>
        </w:rPr>
        <w:t>CAT</w:t>
      </w:r>
      <w:r>
        <w:rPr>
          <w:spacing w:val="-7"/>
          <w:sz w:val="18"/>
        </w:rPr>
        <w:t> </w:t>
      </w:r>
      <w:r>
        <w:rPr>
          <w:sz w:val="18"/>
        </w:rPr>
        <w:t>Committee</w:t>
      </w:r>
      <w:r>
        <w:rPr>
          <w:spacing w:val="-6"/>
          <w:sz w:val="18"/>
        </w:rPr>
        <w:t> </w:t>
      </w:r>
      <w:r>
        <w:rPr>
          <w:sz w:val="18"/>
        </w:rPr>
        <w:t>Concluding</w:t>
      </w:r>
      <w:r>
        <w:rPr>
          <w:spacing w:val="-6"/>
          <w:sz w:val="18"/>
        </w:rPr>
        <w:t> </w:t>
      </w:r>
      <w:r>
        <w:rPr>
          <w:sz w:val="18"/>
        </w:rPr>
        <w:t>Observations</w:t>
      </w:r>
      <w:r>
        <w:rPr>
          <w:spacing w:val="-7"/>
          <w:sz w:val="18"/>
        </w:rPr>
        <w:t> </w:t>
      </w:r>
      <w:r>
        <w:rPr>
          <w:sz w:val="18"/>
        </w:rPr>
        <w:t>on</w:t>
      </w:r>
      <w:r>
        <w:rPr>
          <w:spacing w:val="-7"/>
          <w:sz w:val="18"/>
        </w:rPr>
        <w:t> </w:t>
      </w:r>
      <w:r>
        <w:rPr>
          <w:sz w:val="18"/>
        </w:rPr>
        <w:t>the</w:t>
      </w:r>
      <w:r>
        <w:rPr>
          <w:spacing w:val="-6"/>
          <w:sz w:val="18"/>
        </w:rPr>
        <w:t> </w:t>
      </w:r>
      <w:r>
        <w:rPr>
          <w:sz w:val="18"/>
        </w:rPr>
        <w:t>Sixth</w:t>
      </w:r>
      <w:r>
        <w:rPr>
          <w:spacing w:val="-7"/>
          <w:sz w:val="18"/>
        </w:rPr>
        <w:t> </w:t>
      </w:r>
      <w:r>
        <w:rPr>
          <w:sz w:val="18"/>
        </w:rPr>
        <w:t>Periodic</w:t>
      </w:r>
      <w:r>
        <w:rPr>
          <w:spacing w:val="-6"/>
          <w:sz w:val="18"/>
        </w:rPr>
        <w:t> </w:t>
      </w:r>
      <w:r>
        <w:rPr>
          <w:sz w:val="18"/>
        </w:rPr>
        <w:t>Report</w:t>
      </w:r>
      <w:r>
        <w:rPr>
          <w:spacing w:val="-6"/>
          <w:sz w:val="18"/>
        </w:rPr>
        <w:t> </w:t>
      </w:r>
      <w:r>
        <w:rPr>
          <w:sz w:val="18"/>
        </w:rPr>
        <w:t>of</w:t>
      </w:r>
      <w:r>
        <w:rPr>
          <w:spacing w:val="-7"/>
          <w:sz w:val="18"/>
        </w:rPr>
        <w:t> </w:t>
      </w:r>
      <w:r>
        <w:rPr>
          <w:sz w:val="18"/>
        </w:rPr>
        <w:t>the</w:t>
      </w:r>
      <w:r>
        <w:rPr>
          <w:spacing w:val="-6"/>
          <w:sz w:val="18"/>
        </w:rPr>
        <w:t> </w:t>
      </w:r>
      <w:r>
        <w:rPr>
          <w:sz w:val="18"/>
        </w:rPr>
        <w:t>UK</w:t>
      </w:r>
      <w:r>
        <w:rPr>
          <w:spacing w:val="-6"/>
          <w:sz w:val="18"/>
        </w:rPr>
        <w:t> </w:t>
      </w:r>
      <w:r>
        <w:rPr>
          <w:sz w:val="18"/>
        </w:rPr>
        <w:t>of</w:t>
      </w:r>
      <w:r>
        <w:rPr>
          <w:spacing w:val="-7"/>
          <w:sz w:val="18"/>
        </w:rPr>
        <w:t> </w:t>
      </w:r>
      <w:r>
        <w:rPr>
          <w:sz w:val="18"/>
        </w:rPr>
        <w:t>Great</w:t>
      </w:r>
      <w:r>
        <w:rPr>
          <w:spacing w:val="-6"/>
          <w:sz w:val="18"/>
        </w:rPr>
        <w:t> </w:t>
      </w:r>
      <w:r>
        <w:rPr>
          <w:sz w:val="18"/>
        </w:rPr>
        <w:t>Britain and NI’, 7 June 2019.</w:t>
      </w:r>
    </w:p>
    <w:p>
      <w:pPr>
        <w:pStyle w:val="ListParagraph"/>
        <w:numPr>
          <w:ilvl w:val="0"/>
          <w:numId w:val="9"/>
        </w:numPr>
        <w:tabs>
          <w:tab w:pos="1853" w:val="left" w:leader="none"/>
        </w:tabs>
        <w:spacing w:line="216" w:lineRule="exact" w:before="0" w:after="0"/>
        <w:ind w:left="1853" w:right="0" w:hanging="720"/>
        <w:jc w:val="left"/>
        <w:rPr>
          <w:sz w:val="18"/>
        </w:rPr>
      </w:pPr>
      <w:r>
        <w:rPr>
          <w:sz w:val="18"/>
        </w:rPr>
        <w:t>See</w:t>
      </w:r>
      <w:r>
        <w:rPr>
          <w:spacing w:val="-8"/>
          <w:sz w:val="18"/>
        </w:rPr>
        <w:t> </w:t>
      </w:r>
      <w:r>
        <w:rPr>
          <w:sz w:val="18"/>
        </w:rPr>
        <w:t>introduction</w:t>
      </w:r>
      <w:r>
        <w:rPr>
          <w:spacing w:val="-9"/>
          <w:sz w:val="18"/>
        </w:rPr>
        <w:t> </w:t>
      </w:r>
      <w:r>
        <w:rPr>
          <w:sz w:val="18"/>
        </w:rPr>
        <w:t>to</w:t>
      </w:r>
      <w:r>
        <w:rPr>
          <w:spacing w:val="-8"/>
          <w:sz w:val="18"/>
        </w:rPr>
        <w:t> </w:t>
      </w:r>
      <w:r>
        <w:rPr>
          <w:sz w:val="18"/>
        </w:rPr>
        <w:t>Victims’</w:t>
      </w:r>
      <w:r>
        <w:rPr>
          <w:spacing w:val="-8"/>
          <w:sz w:val="18"/>
        </w:rPr>
        <w:t> </w:t>
      </w:r>
      <w:r>
        <w:rPr>
          <w:sz w:val="18"/>
        </w:rPr>
        <w:t>Rights</w:t>
      </w:r>
      <w:r>
        <w:rPr>
          <w:spacing w:val="-8"/>
          <w:sz w:val="18"/>
        </w:rPr>
        <w:t> </w:t>
      </w:r>
      <w:r>
        <w:rPr>
          <w:sz w:val="18"/>
        </w:rPr>
        <w:t>section</w:t>
      </w:r>
      <w:r>
        <w:rPr>
          <w:spacing w:val="-8"/>
          <w:sz w:val="18"/>
        </w:rPr>
        <w:t> </w:t>
      </w:r>
      <w:r>
        <w:rPr>
          <w:sz w:val="18"/>
        </w:rPr>
        <w:t>at</w:t>
      </w:r>
      <w:r>
        <w:rPr>
          <w:spacing w:val="-8"/>
          <w:sz w:val="18"/>
        </w:rPr>
        <w:t> </w:t>
      </w:r>
      <w:r>
        <w:rPr>
          <w:sz w:val="18"/>
        </w:rPr>
        <w:t>3.176-</w:t>
      </w:r>
      <w:r>
        <w:rPr>
          <w:spacing w:val="-2"/>
          <w:sz w:val="18"/>
        </w:rPr>
        <w:t>3.179.</w:t>
      </w:r>
    </w:p>
    <w:p>
      <w:pPr>
        <w:pStyle w:val="ListParagraph"/>
        <w:numPr>
          <w:ilvl w:val="0"/>
          <w:numId w:val="9"/>
        </w:numPr>
        <w:tabs>
          <w:tab w:pos="1853" w:val="left" w:leader="none"/>
        </w:tabs>
        <w:spacing w:line="235" w:lineRule="auto" w:before="2" w:after="0"/>
        <w:ind w:left="1853" w:right="1303" w:hanging="720"/>
        <w:jc w:val="left"/>
        <w:rPr>
          <w:sz w:val="18"/>
        </w:rPr>
      </w:pPr>
      <w:r>
        <w:rPr>
          <w:sz w:val="18"/>
        </w:rPr>
        <w:t>Directive</w:t>
      </w:r>
      <w:r>
        <w:rPr>
          <w:spacing w:val="-4"/>
          <w:sz w:val="18"/>
        </w:rPr>
        <w:t> </w:t>
      </w:r>
      <w:r>
        <w:rPr>
          <w:sz w:val="18"/>
        </w:rPr>
        <w:t>2012/29/EU,</w:t>
      </w:r>
      <w:r>
        <w:rPr>
          <w:spacing w:val="-4"/>
          <w:sz w:val="18"/>
        </w:rPr>
        <w:t> </w:t>
      </w:r>
      <w:r>
        <w:rPr>
          <w:sz w:val="18"/>
        </w:rPr>
        <w:t>‘EU</w:t>
      </w:r>
      <w:r>
        <w:rPr>
          <w:spacing w:val="-4"/>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Directive</w:t>
      </w:r>
      <w:r>
        <w:rPr>
          <w:spacing w:val="-4"/>
          <w:sz w:val="18"/>
        </w:rPr>
        <w:t> </w:t>
      </w:r>
      <w:r>
        <w:rPr>
          <w:sz w:val="18"/>
        </w:rPr>
        <w:t>Establishing</w:t>
      </w:r>
      <w:r>
        <w:rPr>
          <w:spacing w:val="-4"/>
          <w:sz w:val="18"/>
        </w:rPr>
        <w:t> </w:t>
      </w:r>
      <w:r>
        <w:rPr>
          <w:sz w:val="18"/>
        </w:rPr>
        <w:t>Minimum</w:t>
      </w:r>
      <w:r>
        <w:rPr>
          <w:spacing w:val="-4"/>
          <w:sz w:val="18"/>
        </w:rPr>
        <w:t> </w:t>
      </w:r>
      <w:r>
        <w:rPr>
          <w:sz w:val="18"/>
        </w:rPr>
        <w:t>Standards</w:t>
      </w:r>
      <w:r>
        <w:rPr>
          <w:spacing w:val="-5"/>
          <w:sz w:val="18"/>
        </w:rPr>
        <w:t> </w:t>
      </w:r>
      <w:r>
        <w:rPr>
          <w:sz w:val="18"/>
        </w:rPr>
        <w:t>on</w:t>
      </w:r>
      <w:r>
        <w:rPr>
          <w:spacing w:val="-5"/>
          <w:sz w:val="18"/>
        </w:rPr>
        <w:t> </w:t>
      </w:r>
      <w:r>
        <w:rPr>
          <w:sz w:val="18"/>
        </w:rPr>
        <w:t>the</w:t>
      </w:r>
      <w:r>
        <w:rPr>
          <w:spacing w:val="-4"/>
          <w:sz w:val="18"/>
        </w:rPr>
        <w:t> </w:t>
      </w:r>
      <w:r>
        <w:rPr>
          <w:sz w:val="18"/>
        </w:rPr>
        <w:t>Rights,</w:t>
      </w:r>
      <w:r>
        <w:rPr>
          <w:spacing w:val="-4"/>
          <w:sz w:val="18"/>
        </w:rPr>
        <w:t> </w:t>
      </w:r>
      <w:r>
        <w:rPr>
          <w:sz w:val="18"/>
        </w:rPr>
        <w:t>Support</w:t>
      </w:r>
      <w:r>
        <w:rPr>
          <w:spacing w:val="-4"/>
          <w:sz w:val="18"/>
        </w:rPr>
        <w:t> </w:t>
      </w:r>
      <w:r>
        <w:rPr>
          <w:sz w:val="18"/>
        </w:rPr>
        <w:t>and Protection of Victims of Crime’, 25 October 2012.</w:t>
      </w:r>
    </w:p>
    <w:p>
      <w:pPr>
        <w:pStyle w:val="ListParagraph"/>
        <w:numPr>
          <w:ilvl w:val="0"/>
          <w:numId w:val="9"/>
        </w:numPr>
        <w:tabs>
          <w:tab w:pos="1853" w:val="left" w:leader="none"/>
        </w:tabs>
        <w:spacing w:line="216" w:lineRule="exact" w:before="0" w:after="0"/>
        <w:ind w:left="1853" w:right="0" w:hanging="720"/>
        <w:jc w:val="left"/>
        <w:rPr>
          <w:sz w:val="18"/>
        </w:rPr>
      </w:pPr>
      <w:r>
        <w:rPr>
          <w:sz w:val="18"/>
        </w:rPr>
        <w:t>Directive</w:t>
      </w:r>
      <w:r>
        <w:rPr>
          <w:spacing w:val="-7"/>
          <w:sz w:val="18"/>
        </w:rPr>
        <w:t> </w:t>
      </w:r>
      <w:r>
        <w:rPr>
          <w:sz w:val="18"/>
        </w:rPr>
        <w:t>2011/36/EU</w:t>
      </w:r>
      <w:r>
        <w:rPr>
          <w:spacing w:val="-6"/>
          <w:sz w:val="18"/>
        </w:rPr>
        <w:t> </w:t>
      </w:r>
      <w:r>
        <w:rPr>
          <w:sz w:val="18"/>
        </w:rPr>
        <w:t>‘EU</w:t>
      </w:r>
      <w:r>
        <w:rPr>
          <w:spacing w:val="-6"/>
          <w:sz w:val="18"/>
        </w:rPr>
        <w:t> </w:t>
      </w:r>
      <w:r>
        <w:rPr>
          <w:sz w:val="18"/>
        </w:rPr>
        <w:t>Council</w:t>
      </w:r>
      <w:r>
        <w:rPr>
          <w:spacing w:val="-6"/>
          <w:sz w:val="18"/>
        </w:rPr>
        <w:t> </w:t>
      </w:r>
      <w:r>
        <w:rPr>
          <w:sz w:val="18"/>
        </w:rPr>
        <w:t>Directive</w:t>
      </w:r>
      <w:r>
        <w:rPr>
          <w:spacing w:val="-6"/>
          <w:sz w:val="18"/>
        </w:rPr>
        <w:t> </w:t>
      </w:r>
      <w:r>
        <w:rPr>
          <w:sz w:val="18"/>
        </w:rPr>
        <w:t>on</w:t>
      </w:r>
      <w:r>
        <w:rPr>
          <w:spacing w:val="-7"/>
          <w:sz w:val="18"/>
        </w:rPr>
        <w:t> </w:t>
      </w:r>
      <w:r>
        <w:rPr>
          <w:sz w:val="18"/>
        </w:rPr>
        <w:t>Preventing</w:t>
      </w:r>
      <w:r>
        <w:rPr>
          <w:spacing w:val="-6"/>
          <w:sz w:val="18"/>
        </w:rPr>
        <w:t> </w:t>
      </w:r>
      <w:r>
        <w:rPr>
          <w:sz w:val="18"/>
        </w:rPr>
        <w:t>and</w:t>
      </w:r>
      <w:r>
        <w:rPr>
          <w:spacing w:val="-7"/>
          <w:sz w:val="18"/>
        </w:rPr>
        <w:t> </w:t>
      </w:r>
      <w:r>
        <w:rPr>
          <w:sz w:val="18"/>
        </w:rPr>
        <w:t>Combating</w:t>
      </w:r>
      <w:r>
        <w:rPr>
          <w:spacing w:val="-6"/>
          <w:sz w:val="18"/>
        </w:rPr>
        <w:t> </w:t>
      </w:r>
      <w:r>
        <w:rPr>
          <w:sz w:val="18"/>
        </w:rPr>
        <w:t>Trafficking</w:t>
      </w:r>
      <w:r>
        <w:rPr>
          <w:spacing w:val="-6"/>
          <w:sz w:val="18"/>
        </w:rPr>
        <w:t> </w:t>
      </w:r>
      <w:r>
        <w:rPr>
          <w:sz w:val="18"/>
        </w:rPr>
        <w:t>in</w:t>
      </w:r>
      <w:r>
        <w:rPr>
          <w:spacing w:val="-7"/>
          <w:sz w:val="18"/>
        </w:rPr>
        <w:t> </w:t>
      </w:r>
      <w:r>
        <w:rPr>
          <w:sz w:val="18"/>
        </w:rPr>
        <w:t>Human</w:t>
      </w:r>
      <w:r>
        <w:rPr>
          <w:spacing w:val="-7"/>
          <w:sz w:val="18"/>
        </w:rPr>
        <w:t> </w:t>
      </w:r>
      <w:r>
        <w:rPr>
          <w:sz w:val="18"/>
        </w:rPr>
        <w:t>Beings</w:t>
      </w:r>
      <w:r>
        <w:rPr>
          <w:spacing w:val="-7"/>
          <w:sz w:val="18"/>
        </w:rPr>
        <w:t> </w:t>
      </w:r>
      <w:r>
        <w:rPr>
          <w:sz w:val="18"/>
        </w:rPr>
        <w:t>and</w:t>
      </w:r>
      <w:r>
        <w:rPr>
          <w:spacing w:val="-7"/>
          <w:sz w:val="18"/>
        </w:rPr>
        <w:t> </w:t>
      </w:r>
      <w:r>
        <w:rPr>
          <w:spacing w:val="-2"/>
          <w:sz w:val="18"/>
        </w:rPr>
        <w:t>Protecting</w:t>
      </w:r>
    </w:p>
    <w:p>
      <w:pPr>
        <w:spacing w:line="235" w:lineRule="auto" w:before="1"/>
        <w:ind w:left="1853" w:right="1171" w:firstLine="0"/>
        <w:jc w:val="left"/>
        <w:rPr>
          <w:sz w:val="18"/>
        </w:rPr>
      </w:pPr>
      <w:r>
        <w:rPr>
          <w:sz w:val="18"/>
        </w:rPr>
        <w:t>its</w:t>
      </w:r>
      <w:r>
        <w:rPr>
          <w:spacing w:val="-6"/>
          <w:sz w:val="18"/>
        </w:rPr>
        <w:t> </w:t>
      </w:r>
      <w:r>
        <w:rPr>
          <w:sz w:val="18"/>
        </w:rPr>
        <w:t>Victims’,</w:t>
      </w:r>
      <w:r>
        <w:rPr>
          <w:spacing w:val="-5"/>
          <w:sz w:val="18"/>
        </w:rPr>
        <w:t> </w:t>
      </w:r>
      <w:r>
        <w:rPr>
          <w:sz w:val="18"/>
        </w:rPr>
        <w:t>5</w:t>
      </w:r>
      <w:r>
        <w:rPr>
          <w:spacing w:val="-5"/>
          <w:sz w:val="18"/>
        </w:rPr>
        <w:t> </w:t>
      </w:r>
      <w:r>
        <w:rPr>
          <w:sz w:val="18"/>
        </w:rPr>
        <w:t>April</w:t>
      </w:r>
      <w:r>
        <w:rPr>
          <w:spacing w:val="-6"/>
          <w:sz w:val="18"/>
        </w:rPr>
        <w:t> </w:t>
      </w:r>
      <w:r>
        <w:rPr>
          <w:sz w:val="18"/>
        </w:rPr>
        <w:t>2011;</w:t>
      </w:r>
      <w:r>
        <w:rPr>
          <w:spacing w:val="-5"/>
          <w:sz w:val="18"/>
        </w:rPr>
        <w:t> </w:t>
      </w:r>
      <w:r>
        <w:rPr>
          <w:sz w:val="18"/>
        </w:rPr>
        <w:t>Directive</w:t>
      </w:r>
      <w:r>
        <w:rPr>
          <w:spacing w:val="-5"/>
          <w:sz w:val="18"/>
        </w:rPr>
        <w:t> </w:t>
      </w:r>
      <w:r>
        <w:rPr>
          <w:sz w:val="18"/>
        </w:rPr>
        <w:t>2011/92/EU,</w:t>
      </w:r>
      <w:r>
        <w:rPr>
          <w:spacing w:val="-5"/>
          <w:sz w:val="18"/>
        </w:rPr>
        <w:t> </w:t>
      </w:r>
      <w:r>
        <w:rPr>
          <w:sz w:val="18"/>
        </w:rPr>
        <w:t>‘EU</w:t>
      </w:r>
      <w:r>
        <w:rPr>
          <w:spacing w:val="-5"/>
          <w:sz w:val="18"/>
        </w:rPr>
        <w:t> </w:t>
      </w:r>
      <w:r>
        <w:rPr>
          <w:sz w:val="18"/>
        </w:rPr>
        <w:t>Parliament</w:t>
      </w:r>
      <w:r>
        <w:rPr>
          <w:spacing w:val="-5"/>
          <w:sz w:val="18"/>
        </w:rPr>
        <w:t> </w:t>
      </w:r>
      <w:r>
        <w:rPr>
          <w:sz w:val="18"/>
        </w:rPr>
        <w:t>and</w:t>
      </w:r>
      <w:r>
        <w:rPr>
          <w:spacing w:val="-6"/>
          <w:sz w:val="18"/>
        </w:rPr>
        <w:t> </w:t>
      </w:r>
      <w:r>
        <w:rPr>
          <w:sz w:val="18"/>
        </w:rPr>
        <w:t>Council</w:t>
      </w:r>
      <w:r>
        <w:rPr>
          <w:spacing w:val="-6"/>
          <w:sz w:val="18"/>
        </w:rPr>
        <w:t> </w:t>
      </w:r>
      <w:r>
        <w:rPr>
          <w:sz w:val="18"/>
        </w:rPr>
        <w:t>Directive</w:t>
      </w:r>
      <w:r>
        <w:rPr>
          <w:spacing w:val="-5"/>
          <w:sz w:val="18"/>
        </w:rPr>
        <w:t> </w:t>
      </w:r>
      <w:r>
        <w:rPr>
          <w:sz w:val="18"/>
        </w:rPr>
        <w:t>on</w:t>
      </w:r>
      <w:r>
        <w:rPr>
          <w:spacing w:val="-6"/>
          <w:sz w:val="18"/>
        </w:rPr>
        <w:t> </w:t>
      </w:r>
      <w:r>
        <w:rPr>
          <w:sz w:val="18"/>
        </w:rPr>
        <w:t>Combating</w:t>
      </w:r>
      <w:r>
        <w:rPr>
          <w:spacing w:val="-5"/>
          <w:sz w:val="18"/>
        </w:rPr>
        <w:t> </w:t>
      </w:r>
      <w:r>
        <w:rPr>
          <w:sz w:val="18"/>
        </w:rPr>
        <w:t>the</w:t>
      </w:r>
      <w:r>
        <w:rPr>
          <w:spacing w:val="-5"/>
          <w:sz w:val="18"/>
        </w:rPr>
        <w:t> </w:t>
      </w:r>
      <w:r>
        <w:rPr>
          <w:sz w:val="18"/>
        </w:rPr>
        <w:t>Sexual</w:t>
      </w:r>
      <w:r>
        <w:rPr>
          <w:spacing w:val="-6"/>
          <w:sz w:val="18"/>
        </w:rPr>
        <w:t> </w:t>
      </w:r>
      <w:r>
        <w:rPr>
          <w:sz w:val="18"/>
        </w:rPr>
        <w:t>Abuse</w:t>
      </w:r>
      <w:r>
        <w:rPr>
          <w:spacing w:val="-5"/>
          <w:sz w:val="18"/>
        </w:rPr>
        <w:t> </w:t>
      </w:r>
      <w:r>
        <w:rPr>
          <w:sz w:val="18"/>
        </w:rPr>
        <w:t>and Sexual Exploitation of Children and Child Pornography’, 13 December 2011; Directive 2004/80/EC, ‘EU Council Directive Relating to the Compensation to Crime Victims’, 29 April 2004.</w:t>
      </w:r>
    </w:p>
    <w:p>
      <w:pPr>
        <w:pStyle w:val="ListParagraph"/>
        <w:numPr>
          <w:ilvl w:val="0"/>
          <w:numId w:val="9"/>
        </w:numPr>
        <w:tabs>
          <w:tab w:pos="1853" w:val="left" w:leader="none"/>
        </w:tabs>
        <w:spacing w:line="235" w:lineRule="auto" w:before="2" w:after="0"/>
        <w:ind w:left="1853" w:right="1209" w:hanging="720"/>
        <w:jc w:val="left"/>
        <w:rPr>
          <w:sz w:val="18"/>
        </w:rPr>
      </w:pPr>
      <w:r>
        <w:rPr>
          <w:sz w:val="18"/>
        </w:rPr>
        <w:t>UK</w:t>
      </w:r>
      <w:r>
        <w:rPr>
          <w:spacing w:val="-4"/>
          <w:sz w:val="18"/>
        </w:rPr>
        <w:t> </w:t>
      </w:r>
      <w:r>
        <w:rPr>
          <w:sz w:val="18"/>
        </w:rPr>
        <w:t>Government,</w:t>
      </w:r>
      <w:r>
        <w:rPr>
          <w:spacing w:val="-4"/>
          <w:sz w:val="18"/>
        </w:rPr>
        <w:t> </w:t>
      </w:r>
      <w:r>
        <w:rPr>
          <w:sz w:val="18"/>
        </w:rPr>
        <w:t>‘UK</w:t>
      </w:r>
      <w:r>
        <w:rPr>
          <w:spacing w:val="-4"/>
          <w:sz w:val="18"/>
        </w:rPr>
        <w:t> </w:t>
      </w:r>
      <w:r>
        <w:rPr>
          <w:sz w:val="18"/>
        </w:rPr>
        <w:t>Government</w:t>
      </w:r>
      <w:r>
        <w:rPr>
          <w:spacing w:val="-4"/>
          <w:sz w:val="18"/>
        </w:rPr>
        <w:t> </w:t>
      </w:r>
      <w:r>
        <w:rPr>
          <w:sz w:val="18"/>
        </w:rPr>
        <w:t>Commitment</w:t>
      </w:r>
      <w:r>
        <w:rPr>
          <w:spacing w:val="-4"/>
          <w:sz w:val="18"/>
        </w:rPr>
        <w:t> </w:t>
      </w:r>
      <w:r>
        <w:rPr>
          <w:sz w:val="18"/>
        </w:rPr>
        <w:t>to</w:t>
      </w:r>
      <w:r>
        <w:rPr>
          <w:spacing w:val="-5"/>
          <w:sz w:val="18"/>
        </w:rPr>
        <w:t> </w:t>
      </w:r>
      <w:r>
        <w:rPr>
          <w:sz w:val="18"/>
        </w:rPr>
        <w:t>No-diminution</w:t>
      </w:r>
      <w:r>
        <w:rPr>
          <w:spacing w:val="-5"/>
          <w:sz w:val="18"/>
        </w:rPr>
        <w:t> </w:t>
      </w:r>
      <w:r>
        <w:rPr>
          <w:sz w:val="18"/>
        </w:rPr>
        <w:t>of</w:t>
      </w:r>
      <w:r>
        <w:rPr>
          <w:spacing w:val="-5"/>
          <w:sz w:val="18"/>
        </w:rPr>
        <w:t> </w:t>
      </w:r>
      <w:r>
        <w:rPr>
          <w:sz w:val="18"/>
        </w:rPr>
        <w:t>Rights,</w:t>
      </w:r>
      <w:r>
        <w:rPr>
          <w:spacing w:val="-4"/>
          <w:sz w:val="18"/>
        </w:rPr>
        <w:t> </w:t>
      </w:r>
      <w:r>
        <w:rPr>
          <w:sz w:val="18"/>
        </w:rPr>
        <w:t>Safeguards</w:t>
      </w:r>
      <w:r>
        <w:rPr>
          <w:spacing w:val="-5"/>
          <w:sz w:val="18"/>
        </w:rPr>
        <w:t> </w:t>
      </w:r>
      <w:r>
        <w:rPr>
          <w:sz w:val="18"/>
        </w:rPr>
        <w:t>and</w:t>
      </w:r>
      <w:r>
        <w:rPr>
          <w:spacing w:val="-5"/>
          <w:sz w:val="18"/>
        </w:rPr>
        <w:t> </w:t>
      </w:r>
      <w:r>
        <w:rPr>
          <w:sz w:val="18"/>
        </w:rPr>
        <w:t>Equality</w:t>
      </w:r>
      <w:r>
        <w:rPr>
          <w:spacing w:val="-4"/>
          <w:sz w:val="18"/>
        </w:rPr>
        <w:t> </w:t>
      </w:r>
      <w:r>
        <w:rPr>
          <w:sz w:val="18"/>
        </w:rPr>
        <w:t>of</w:t>
      </w:r>
      <w:r>
        <w:rPr>
          <w:spacing w:val="-5"/>
          <w:sz w:val="18"/>
        </w:rPr>
        <w:t> </w:t>
      </w:r>
      <w:r>
        <w:rPr>
          <w:sz w:val="18"/>
        </w:rPr>
        <w:t>Opportunity</w:t>
      </w:r>
      <w:r>
        <w:rPr>
          <w:spacing w:val="-4"/>
          <w:sz w:val="18"/>
        </w:rPr>
        <w:t> </w:t>
      </w:r>
      <w:r>
        <w:rPr>
          <w:sz w:val="18"/>
        </w:rPr>
        <w:t>in</w:t>
      </w:r>
      <w:r>
        <w:rPr>
          <w:spacing w:val="-5"/>
          <w:sz w:val="18"/>
        </w:rPr>
        <w:t> </w:t>
      </w:r>
      <w:r>
        <w:rPr>
          <w:sz w:val="18"/>
        </w:rPr>
        <w:t>NI: What Does It Mean and How Will It Be Implemented?’ (NIO, 2020).</w:t>
      </w:r>
    </w:p>
    <w:p>
      <w:pPr>
        <w:pStyle w:val="ListParagraph"/>
        <w:numPr>
          <w:ilvl w:val="0"/>
          <w:numId w:val="9"/>
        </w:numPr>
        <w:tabs>
          <w:tab w:pos="1853" w:val="left" w:leader="none"/>
        </w:tabs>
        <w:spacing w:line="216" w:lineRule="exact" w:before="0" w:after="0"/>
        <w:ind w:left="1853" w:right="0" w:hanging="720"/>
        <w:jc w:val="left"/>
        <w:rPr>
          <w:sz w:val="18"/>
        </w:rPr>
      </w:pPr>
      <w:r>
        <w:rPr>
          <w:i/>
          <w:sz w:val="18"/>
        </w:rPr>
        <w:t>In</w:t>
      </w:r>
      <w:r>
        <w:rPr>
          <w:i/>
          <w:spacing w:val="-5"/>
          <w:sz w:val="18"/>
        </w:rPr>
        <w:t> </w:t>
      </w:r>
      <w:r>
        <w:rPr>
          <w:i/>
          <w:sz w:val="18"/>
        </w:rPr>
        <w:t>the</w:t>
      </w:r>
      <w:r>
        <w:rPr>
          <w:i/>
          <w:spacing w:val="-4"/>
          <w:sz w:val="18"/>
        </w:rPr>
        <w:t> </w:t>
      </w:r>
      <w:r>
        <w:rPr>
          <w:i/>
          <w:sz w:val="18"/>
        </w:rPr>
        <w:t>matter</w:t>
      </w:r>
      <w:r>
        <w:rPr>
          <w:i/>
          <w:spacing w:val="-4"/>
          <w:sz w:val="18"/>
        </w:rPr>
        <w:t> </w:t>
      </w:r>
      <w:r>
        <w:rPr>
          <w:i/>
          <w:sz w:val="18"/>
        </w:rPr>
        <w:t>of</w:t>
      </w:r>
      <w:r>
        <w:rPr>
          <w:i/>
          <w:spacing w:val="-4"/>
          <w:sz w:val="18"/>
        </w:rPr>
        <w:t> </w:t>
      </w:r>
      <w:r>
        <w:rPr>
          <w:i/>
          <w:sz w:val="18"/>
        </w:rPr>
        <w:t>an</w:t>
      </w:r>
      <w:r>
        <w:rPr>
          <w:i/>
          <w:spacing w:val="-5"/>
          <w:sz w:val="18"/>
        </w:rPr>
        <w:t> </w:t>
      </w:r>
      <w:r>
        <w:rPr>
          <w:i/>
          <w:sz w:val="18"/>
        </w:rPr>
        <w:t>application</w:t>
      </w:r>
      <w:r>
        <w:rPr>
          <w:i/>
          <w:spacing w:val="-5"/>
          <w:sz w:val="18"/>
        </w:rPr>
        <w:t> </w:t>
      </w:r>
      <w:r>
        <w:rPr>
          <w:i/>
          <w:sz w:val="18"/>
        </w:rPr>
        <w:t>by</w:t>
      </w:r>
      <w:r>
        <w:rPr>
          <w:i/>
          <w:spacing w:val="-5"/>
          <w:sz w:val="18"/>
        </w:rPr>
        <w:t> </w:t>
      </w:r>
      <w:r>
        <w:rPr>
          <w:i/>
          <w:sz w:val="18"/>
        </w:rPr>
        <w:t>Martina</w:t>
      </w:r>
      <w:r>
        <w:rPr>
          <w:i/>
          <w:spacing w:val="-4"/>
          <w:sz w:val="18"/>
        </w:rPr>
        <w:t> </w:t>
      </w:r>
      <w:r>
        <w:rPr>
          <w:i/>
          <w:sz w:val="18"/>
        </w:rPr>
        <w:t>Dillon</w:t>
      </w:r>
      <w:r>
        <w:rPr>
          <w:i/>
          <w:spacing w:val="-5"/>
          <w:sz w:val="18"/>
        </w:rPr>
        <w:t> </w:t>
      </w:r>
      <w:r>
        <w:rPr>
          <w:i/>
          <w:sz w:val="18"/>
        </w:rPr>
        <w:t>and</w:t>
      </w:r>
      <w:r>
        <w:rPr>
          <w:i/>
          <w:spacing w:val="-5"/>
          <w:sz w:val="18"/>
        </w:rPr>
        <w:t> </w:t>
      </w:r>
      <w:r>
        <w:rPr>
          <w:i/>
          <w:sz w:val="18"/>
        </w:rPr>
        <w:t>others</w:t>
      </w:r>
      <w:r>
        <w:rPr>
          <w:i/>
          <w:spacing w:val="-4"/>
          <w:sz w:val="18"/>
        </w:rPr>
        <w:t> </w:t>
      </w:r>
      <w:r>
        <w:rPr>
          <w:i/>
          <w:sz w:val="18"/>
        </w:rPr>
        <w:t>for</w:t>
      </w:r>
      <w:r>
        <w:rPr>
          <w:i/>
          <w:spacing w:val="-4"/>
          <w:sz w:val="18"/>
        </w:rPr>
        <w:t> </w:t>
      </w:r>
      <w:r>
        <w:rPr>
          <w:i/>
          <w:sz w:val="18"/>
        </w:rPr>
        <w:t>Judicial</w:t>
      </w:r>
      <w:r>
        <w:rPr>
          <w:i/>
          <w:spacing w:val="-5"/>
          <w:sz w:val="18"/>
        </w:rPr>
        <w:t> </w:t>
      </w:r>
      <w:r>
        <w:rPr>
          <w:i/>
          <w:sz w:val="18"/>
        </w:rPr>
        <w:t>Review</w:t>
      </w:r>
      <w:r>
        <w:rPr>
          <w:i/>
          <w:spacing w:val="-4"/>
          <w:sz w:val="18"/>
        </w:rPr>
        <w:t> </w:t>
      </w:r>
      <w:r>
        <w:rPr>
          <w:sz w:val="18"/>
        </w:rPr>
        <w:t>[2024]</w:t>
      </w:r>
      <w:r>
        <w:rPr>
          <w:spacing w:val="-4"/>
          <w:sz w:val="18"/>
        </w:rPr>
        <w:t> </w:t>
      </w:r>
      <w:r>
        <w:rPr>
          <w:sz w:val="18"/>
        </w:rPr>
        <w:t>NIKB</w:t>
      </w:r>
      <w:r>
        <w:rPr>
          <w:spacing w:val="-4"/>
          <w:sz w:val="18"/>
        </w:rPr>
        <w:t> </w:t>
      </w:r>
      <w:r>
        <w:rPr>
          <w:sz w:val="18"/>
        </w:rPr>
        <w:t>11,</w:t>
      </w:r>
      <w:r>
        <w:rPr>
          <w:spacing w:val="-4"/>
          <w:sz w:val="18"/>
        </w:rPr>
        <w:t> </w:t>
      </w:r>
      <w:r>
        <w:rPr>
          <w:sz w:val="18"/>
        </w:rPr>
        <w:t>at</w:t>
      </w:r>
      <w:r>
        <w:rPr>
          <w:spacing w:val="-4"/>
          <w:sz w:val="18"/>
        </w:rPr>
        <w:t> </w:t>
      </w:r>
      <w:r>
        <w:rPr>
          <w:sz w:val="18"/>
        </w:rPr>
        <w:t>para</w:t>
      </w:r>
      <w:r>
        <w:rPr>
          <w:spacing w:val="-4"/>
          <w:sz w:val="18"/>
        </w:rPr>
        <w:t> 554.</w:t>
      </w:r>
    </w:p>
    <w:p>
      <w:pPr>
        <w:pStyle w:val="ListParagraph"/>
        <w:numPr>
          <w:ilvl w:val="0"/>
          <w:numId w:val="9"/>
        </w:numPr>
        <w:tabs>
          <w:tab w:pos="1853" w:val="left" w:leader="none"/>
        </w:tabs>
        <w:spacing w:line="216"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para</w:t>
      </w:r>
      <w:r>
        <w:rPr>
          <w:spacing w:val="-2"/>
          <w:sz w:val="18"/>
        </w:rPr>
        <w:t> </w:t>
      </w:r>
      <w:r>
        <w:rPr>
          <w:spacing w:val="-4"/>
          <w:sz w:val="18"/>
        </w:rPr>
        <w:t>561.</w:t>
      </w:r>
    </w:p>
    <w:p>
      <w:pPr>
        <w:pStyle w:val="ListParagraph"/>
        <w:numPr>
          <w:ilvl w:val="0"/>
          <w:numId w:val="9"/>
        </w:numPr>
        <w:tabs>
          <w:tab w:pos="1853" w:val="left" w:leader="none"/>
        </w:tabs>
        <w:spacing w:line="218"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para</w:t>
      </w:r>
      <w:r>
        <w:rPr>
          <w:spacing w:val="-2"/>
          <w:sz w:val="18"/>
        </w:rPr>
        <w:t> </w:t>
      </w:r>
      <w:r>
        <w:rPr>
          <w:spacing w:val="-4"/>
          <w:sz w:val="18"/>
        </w:rPr>
        <w:t>582.</w:t>
      </w:r>
    </w:p>
    <w:p>
      <w:pPr>
        <w:spacing w:after="0" w:line="218" w:lineRule="exact"/>
        <w:jc w:val="left"/>
        <w:rPr>
          <w:sz w:val="18"/>
        </w:rPr>
        <w:sectPr>
          <w:headerReference w:type="even" r:id="rId158"/>
          <w:headerReference w:type="default" r:id="rId159"/>
          <w:footerReference w:type="even" r:id="rId160"/>
          <w:footerReference w:type="default" r:id="rId161"/>
          <w:pgSz w:w="11910" w:h="16840"/>
          <w:pgMar w:header="496" w:footer="367" w:top="1220" w:bottom="560" w:left="0" w:right="0"/>
          <w:pgNumType w:start="90"/>
        </w:sectPr>
      </w:pPr>
    </w:p>
    <w:p>
      <w:pPr>
        <w:pStyle w:val="BodyText"/>
        <w:spacing w:before="198"/>
      </w:pPr>
    </w:p>
    <w:p>
      <w:pPr>
        <w:pStyle w:val="ListParagraph"/>
        <w:numPr>
          <w:ilvl w:val="1"/>
          <w:numId w:val="7"/>
        </w:numPr>
        <w:tabs>
          <w:tab w:pos="1853" w:val="left" w:leader="none"/>
        </w:tabs>
        <w:spacing w:line="225" w:lineRule="auto" w:before="0" w:after="0"/>
        <w:ind w:left="1853" w:right="1219" w:hanging="720"/>
        <w:jc w:val="left"/>
        <w:rPr>
          <w:sz w:val="28"/>
        </w:rPr>
      </w:pPr>
      <w:r>
        <w:rPr>
          <w:sz w:val="28"/>
        </w:rPr>
        <w:t>In 2022, the then NI Troubles (Legacy and Reconciliation) Bill was introduced to the UK Parliament.</w:t>
      </w:r>
      <w:r>
        <w:rPr>
          <w:sz w:val="28"/>
          <w:vertAlign w:val="superscript"/>
        </w:rPr>
        <w:t>459</w:t>
      </w:r>
      <w:r>
        <w:rPr>
          <w:sz w:val="28"/>
          <w:vertAlign w:val="baseline"/>
        </w:rPr>
        <w:t> Throughout the passage of the Bill, the NIHRC raised grave concerns about its compatibility with the ECHR, international human rights obligations and Windsor Framework Article 2.</w:t>
      </w:r>
      <w:r>
        <w:rPr>
          <w:sz w:val="28"/>
          <w:vertAlign w:val="superscript"/>
        </w:rPr>
        <w:t>460</w:t>
      </w:r>
      <w:r>
        <w:rPr>
          <w:sz w:val="28"/>
          <w:vertAlign w:val="baseline"/>
        </w:rPr>
        <w:t> Issues raised included the lack of practical independence, the use of the conditional immunity scheme and cessation of proceedings.</w:t>
      </w:r>
      <w:r>
        <w:rPr>
          <w:sz w:val="28"/>
          <w:vertAlign w:val="superscript"/>
        </w:rPr>
        <w:t>461</w:t>
      </w:r>
      <w:r>
        <w:rPr>
          <w:sz w:val="28"/>
          <w:vertAlign w:val="baseline"/>
        </w:rPr>
        <w:t> In relation to Windsor Framework Article 2, the NIHRC also raised concerns about the compliance of the Act with minimum standards in the EU Victims’ Directive, including the right to a review</w:t>
      </w:r>
      <w:r>
        <w:rPr>
          <w:spacing w:val="-9"/>
          <w:sz w:val="28"/>
          <w:vertAlign w:val="baseline"/>
        </w:rPr>
        <w:t> </w:t>
      </w:r>
      <w:r>
        <w:rPr>
          <w:sz w:val="28"/>
          <w:vertAlign w:val="baseline"/>
        </w:rPr>
        <w:t>of</w:t>
      </w:r>
      <w:r>
        <w:rPr>
          <w:spacing w:val="-10"/>
          <w:sz w:val="28"/>
          <w:vertAlign w:val="baseline"/>
        </w:rPr>
        <w:t> </w:t>
      </w:r>
      <w:r>
        <w:rPr>
          <w:sz w:val="28"/>
          <w:vertAlign w:val="baseline"/>
        </w:rPr>
        <w:t>a</w:t>
      </w:r>
      <w:r>
        <w:rPr>
          <w:spacing w:val="-10"/>
          <w:sz w:val="28"/>
          <w:vertAlign w:val="baseline"/>
        </w:rPr>
        <w:t> </w:t>
      </w:r>
      <w:r>
        <w:rPr>
          <w:sz w:val="28"/>
          <w:vertAlign w:val="baseline"/>
        </w:rPr>
        <w:t>decision</w:t>
      </w:r>
      <w:r>
        <w:rPr>
          <w:spacing w:val="-10"/>
          <w:sz w:val="28"/>
          <w:vertAlign w:val="baseline"/>
        </w:rPr>
        <w:t> </w:t>
      </w:r>
      <w:r>
        <w:rPr>
          <w:sz w:val="28"/>
          <w:vertAlign w:val="baseline"/>
        </w:rPr>
        <w:t>not</w:t>
      </w:r>
      <w:r>
        <w:rPr>
          <w:spacing w:val="-9"/>
          <w:sz w:val="28"/>
          <w:vertAlign w:val="baseline"/>
        </w:rPr>
        <w:t> </w:t>
      </w:r>
      <w:r>
        <w:rPr>
          <w:sz w:val="28"/>
          <w:vertAlign w:val="baseline"/>
        </w:rPr>
        <w:t>to</w:t>
      </w:r>
      <w:r>
        <w:rPr>
          <w:spacing w:val="-10"/>
          <w:sz w:val="28"/>
          <w:vertAlign w:val="baseline"/>
        </w:rPr>
        <w:t> </w:t>
      </w:r>
      <w:r>
        <w:rPr>
          <w:sz w:val="28"/>
          <w:vertAlign w:val="baseline"/>
        </w:rPr>
        <w:t>prosecute</w:t>
      </w:r>
      <w:r>
        <w:rPr>
          <w:sz w:val="28"/>
          <w:vertAlign w:val="superscript"/>
        </w:rPr>
        <w:t>462</w:t>
      </w:r>
      <w:r>
        <w:rPr>
          <w:spacing w:val="-10"/>
          <w:sz w:val="28"/>
          <w:vertAlign w:val="baseline"/>
        </w:rPr>
        <w:t> </w:t>
      </w:r>
      <w:r>
        <w:rPr>
          <w:sz w:val="28"/>
          <w:vertAlign w:val="baseline"/>
        </w:rPr>
        <w:t>and</w:t>
      </w:r>
      <w:r>
        <w:rPr>
          <w:spacing w:val="-10"/>
          <w:sz w:val="28"/>
          <w:vertAlign w:val="baseline"/>
        </w:rPr>
        <w:t> </w:t>
      </w:r>
      <w:r>
        <w:rPr>
          <w:sz w:val="28"/>
          <w:vertAlign w:val="baseline"/>
        </w:rPr>
        <w:t>the</w:t>
      </w:r>
      <w:r>
        <w:rPr>
          <w:spacing w:val="-9"/>
          <w:sz w:val="28"/>
          <w:vertAlign w:val="baseline"/>
        </w:rPr>
        <w:t> </w:t>
      </w:r>
      <w:r>
        <w:rPr>
          <w:sz w:val="28"/>
          <w:vertAlign w:val="baseline"/>
        </w:rPr>
        <w:t>right</w:t>
      </w:r>
      <w:r>
        <w:rPr>
          <w:spacing w:val="-9"/>
          <w:sz w:val="28"/>
          <w:vertAlign w:val="baseline"/>
        </w:rPr>
        <w:t> </w:t>
      </w:r>
      <w:r>
        <w:rPr>
          <w:sz w:val="28"/>
          <w:vertAlign w:val="baseline"/>
        </w:rPr>
        <w:t>to</w:t>
      </w:r>
      <w:r>
        <w:rPr>
          <w:spacing w:val="-10"/>
          <w:sz w:val="28"/>
          <w:vertAlign w:val="baseline"/>
        </w:rPr>
        <w:t> </w:t>
      </w:r>
      <w:r>
        <w:rPr>
          <w:sz w:val="28"/>
          <w:vertAlign w:val="baseline"/>
        </w:rPr>
        <w:t>information</w:t>
      </w:r>
      <w:r>
        <w:rPr>
          <w:spacing w:val="-10"/>
          <w:sz w:val="28"/>
          <w:vertAlign w:val="baseline"/>
        </w:rPr>
        <w:t> </w:t>
      </w:r>
      <w:r>
        <w:rPr>
          <w:sz w:val="28"/>
          <w:vertAlign w:val="baseline"/>
        </w:rPr>
        <w:t>regarding </w:t>
      </w:r>
      <w:r>
        <w:rPr>
          <w:color w:val="18151A"/>
          <w:sz w:val="28"/>
          <w:vertAlign w:val="baseline"/>
        </w:rPr>
        <w:t>any</w:t>
      </w:r>
      <w:r>
        <w:rPr>
          <w:color w:val="18151A"/>
          <w:spacing w:val="-2"/>
          <w:sz w:val="28"/>
          <w:vertAlign w:val="baseline"/>
        </w:rPr>
        <w:t> </w:t>
      </w:r>
      <w:r>
        <w:rPr>
          <w:color w:val="18151A"/>
          <w:sz w:val="28"/>
          <w:vertAlign w:val="baseline"/>
        </w:rPr>
        <w:t>decision</w:t>
      </w:r>
      <w:r>
        <w:rPr>
          <w:color w:val="18151A"/>
          <w:spacing w:val="-3"/>
          <w:sz w:val="28"/>
          <w:vertAlign w:val="baseline"/>
        </w:rPr>
        <w:t> </w:t>
      </w:r>
      <w:r>
        <w:rPr>
          <w:color w:val="18151A"/>
          <w:sz w:val="28"/>
          <w:vertAlign w:val="baseline"/>
        </w:rPr>
        <w:t>not</w:t>
      </w:r>
      <w:r>
        <w:rPr>
          <w:color w:val="18151A"/>
          <w:spacing w:val="-2"/>
          <w:sz w:val="28"/>
          <w:vertAlign w:val="baseline"/>
        </w:rPr>
        <w:t> </w:t>
      </w:r>
      <w:r>
        <w:rPr>
          <w:color w:val="18151A"/>
          <w:sz w:val="28"/>
          <w:vertAlign w:val="baseline"/>
        </w:rPr>
        <w:t>to</w:t>
      </w:r>
      <w:r>
        <w:rPr>
          <w:color w:val="18151A"/>
          <w:spacing w:val="-3"/>
          <w:sz w:val="28"/>
          <w:vertAlign w:val="baseline"/>
        </w:rPr>
        <w:t> </w:t>
      </w:r>
      <w:r>
        <w:rPr>
          <w:color w:val="18151A"/>
          <w:sz w:val="28"/>
          <w:vertAlign w:val="baseline"/>
        </w:rPr>
        <w:t>proceed</w:t>
      </w:r>
      <w:r>
        <w:rPr>
          <w:color w:val="18151A"/>
          <w:spacing w:val="-3"/>
          <w:sz w:val="28"/>
          <w:vertAlign w:val="baseline"/>
        </w:rPr>
        <w:t> </w:t>
      </w:r>
      <w:r>
        <w:rPr>
          <w:color w:val="18151A"/>
          <w:sz w:val="28"/>
          <w:vertAlign w:val="baseline"/>
        </w:rPr>
        <w:t>with</w:t>
      </w:r>
      <w:r>
        <w:rPr>
          <w:color w:val="18151A"/>
          <w:spacing w:val="-3"/>
          <w:sz w:val="28"/>
          <w:vertAlign w:val="baseline"/>
        </w:rPr>
        <w:t> </w:t>
      </w:r>
      <w:r>
        <w:rPr>
          <w:color w:val="18151A"/>
          <w:sz w:val="28"/>
          <w:vertAlign w:val="baseline"/>
        </w:rPr>
        <w:t>an</w:t>
      </w:r>
      <w:r>
        <w:rPr>
          <w:color w:val="18151A"/>
          <w:spacing w:val="-3"/>
          <w:sz w:val="28"/>
          <w:vertAlign w:val="baseline"/>
        </w:rPr>
        <w:t> </w:t>
      </w:r>
      <w:r>
        <w:rPr>
          <w:color w:val="18151A"/>
          <w:sz w:val="28"/>
          <w:vertAlign w:val="baseline"/>
        </w:rPr>
        <w:t>investigation.</w:t>
      </w:r>
      <w:r>
        <w:rPr>
          <w:color w:val="18151A"/>
          <w:sz w:val="28"/>
          <w:vertAlign w:val="superscript"/>
        </w:rPr>
        <w:t>463</w:t>
      </w:r>
      <w:r>
        <w:rPr>
          <w:color w:val="18151A"/>
          <w:spacing w:val="-3"/>
          <w:sz w:val="28"/>
          <w:vertAlign w:val="baseline"/>
        </w:rPr>
        <w:t> </w:t>
      </w:r>
      <w:r>
        <w:rPr>
          <w:color w:val="18151A"/>
          <w:sz w:val="28"/>
          <w:vertAlign w:val="baseline"/>
        </w:rPr>
        <w:t>The</w:t>
      </w:r>
      <w:r>
        <w:rPr>
          <w:color w:val="18151A"/>
          <w:spacing w:val="-3"/>
          <w:sz w:val="28"/>
          <w:vertAlign w:val="baseline"/>
        </w:rPr>
        <w:t> </w:t>
      </w:r>
      <w:r>
        <w:rPr>
          <w:sz w:val="28"/>
          <w:vertAlign w:val="baseline"/>
        </w:rPr>
        <w:t>Act</w:t>
      </w:r>
      <w:r>
        <w:rPr>
          <w:spacing w:val="-2"/>
          <w:sz w:val="28"/>
          <w:vertAlign w:val="baseline"/>
        </w:rPr>
        <w:t> </w:t>
      </w:r>
      <w:r>
        <w:rPr>
          <w:sz w:val="28"/>
          <w:vertAlign w:val="baseline"/>
        </w:rPr>
        <w:t>does</w:t>
      </w:r>
      <w:r>
        <w:rPr>
          <w:spacing w:val="-3"/>
          <w:sz w:val="28"/>
          <w:vertAlign w:val="baseline"/>
        </w:rPr>
        <w:t> </w:t>
      </w:r>
      <w:r>
        <w:rPr>
          <w:sz w:val="28"/>
          <w:vertAlign w:val="baseline"/>
        </w:rPr>
        <w:t>not</w:t>
      </w:r>
      <w:r>
        <w:rPr>
          <w:spacing w:val="-2"/>
          <w:sz w:val="28"/>
          <w:vertAlign w:val="baseline"/>
        </w:rPr>
        <w:t> </w:t>
      </w:r>
      <w:r>
        <w:rPr>
          <w:sz w:val="28"/>
          <w:vertAlign w:val="baseline"/>
        </w:rPr>
        <w:t>include an express requirement for victims or family members to be informed when an individual has applied for immunity, or other information relating to the review process or the outcome of the immunity request. The EU Victims’ Directive must be interpreted in line with the EU Charter of Fundamental Rights provisions, including Article 47 (right to an effective remedy and to a fair trial) and general principles of EU law.</w:t>
      </w:r>
      <w:r>
        <w:rPr>
          <w:sz w:val="28"/>
          <w:vertAlign w:val="superscript"/>
        </w:rPr>
        <w:t>464</w:t>
      </w:r>
    </w:p>
    <w:p>
      <w:pPr>
        <w:pStyle w:val="ListParagraph"/>
        <w:numPr>
          <w:ilvl w:val="1"/>
          <w:numId w:val="7"/>
        </w:numPr>
        <w:tabs>
          <w:tab w:pos="1853" w:val="left" w:leader="none"/>
        </w:tabs>
        <w:spacing w:line="225" w:lineRule="auto" w:before="300" w:after="0"/>
        <w:ind w:left="1853" w:right="1266" w:hanging="720"/>
        <w:jc w:val="left"/>
        <w:rPr>
          <w:sz w:val="28"/>
        </w:rPr>
      </w:pPr>
      <w:r>
        <w:rPr>
          <w:sz w:val="28"/>
        </w:rPr>
        <w:t>In September 2023, the Secretary of State for NI stated that UK Government lawyers believed the then NI Troubles (Legacy and Reconciliation) Bill to be ECHR compliant and the Act received Royal Assent.</w:t>
      </w:r>
      <w:r>
        <w:rPr>
          <w:sz w:val="28"/>
          <w:vertAlign w:val="superscript"/>
        </w:rPr>
        <w:t>465</w:t>
      </w:r>
      <w:r>
        <w:rPr>
          <w:sz w:val="28"/>
          <w:vertAlign w:val="baseline"/>
        </w:rPr>
        <w:t> The Act establishes an Independent</w:t>
      </w:r>
      <w:r>
        <w:rPr>
          <w:spacing w:val="-11"/>
          <w:sz w:val="28"/>
          <w:vertAlign w:val="baseline"/>
        </w:rPr>
        <w:t> </w:t>
      </w:r>
      <w:r>
        <w:rPr>
          <w:sz w:val="28"/>
          <w:vertAlign w:val="baseline"/>
        </w:rPr>
        <w:t>Commission</w:t>
      </w:r>
      <w:r>
        <w:rPr>
          <w:spacing w:val="-12"/>
          <w:sz w:val="28"/>
          <w:vertAlign w:val="baseline"/>
        </w:rPr>
        <w:t> </w:t>
      </w:r>
      <w:r>
        <w:rPr>
          <w:sz w:val="28"/>
          <w:vertAlign w:val="baseline"/>
        </w:rPr>
        <w:t>for</w:t>
      </w:r>
      <w:r>
        <w:rPr>
          <w:spacing w:val="-11"/>
          <w:sz w:val="28"/>
          <w:vertAlign w:val="baseline"/>
        </w:rPr>
        <w:t> </w:t>
      </w:r>
      <w:r>
        <w:rPr>
          <w:sz w:val="28"/>
          <w:vertAlign w:val="baseline"/>
        </w:rPr>
        <w:t>Reconciliation</w:t>
      </w:r>
      <w:r>
        <w:rPr>
          <w:spacing w:val="-12"/>
          <w:sz w:val="28"/>
          <w:vertAlign w:val="baseline"/>
        </w:rPr>
        <w:t> </w:t>
      </w:r>
      <w:r>
        <w:rPr>
          <w:sz w:val="28"/>
          <w:vertAlign w:val="baseline"/>
        </w:rPr>
        <w:t>and</w:t>
      </w:r>
      <w:r>
        <w:rPr>
          <w:spacing w:val="-12"/>
          <w:sz w:val="28"/>
          <w:vertAlign w:val="baseline"/>
        </w:rPr>
        <w:t> </w:t>
      </w:r>
      <w:r>
        <w:rPr>
          <w:sz w:val="28"/>
          <w:vertAlign w:val="baseline"/>
        </w:rPr>
        <w:t>Information</w:t>
      </w:r>
      <w:r>
        <w:rPr>
          <w:spacing w:val="-12"/>
          <w:sz w:val="28"/>
          <w:vertAlign w:val="baseline"/>
        </w:rPr>
        <w:t> </w:t>
      </w:r>
      <w:r>
        <w:rPr>
          <w:sz w:val="28"/>
          <w:vertAlign w:val="baseline"/>
        </w:rPr>
        <w:t>Recovery</w:t>
      </w:r>
      <w:r>
        <w:rPr>
          <w:spacing w:val="-11"/>
          <w:sz w:val="28"/>
          <w:vertAlign w:val="baseline"/>
        </w:rPr>
        <w:t> </w:t>
      </w:r>
      <w:r>
        <w:rPr>
          <w:sz w:val="28"/>
          <w:vertAlign w:val="baseline"/>
        </w:rPr>
        <w:t>(ICRIR) In</w:t>
      </w:r>
      <w:r>
        <w:rPr>
          <w:spacing w:val="-5"/>
          <w:sz w:val="28"/>
          <w:vertAlign w:val="baseline"/>
        </w:rPr>
        <w:t> </w:t>
      </w:r>
      <w:r>
        <w:rPr>
          <w:sz w:val="28"/>
          <w:vertAlign w:val="baseline"/>
        </w:rPr>
        <w:t>May</w:t>
      </w:r>
      <w:r>
        <w:rPr>
          <w:spacing w:val="-4"/>
          <w:sz w:val="28"/>
          <w:vertAlign w:val="baseline"/>
        </w:rPr>
        <w:t> </w:t>
      </w:r>
      <w:r>
        <w:rPr>
          <w:sz w:val="28"/>
          <w:vertAlign w:val="baseline"/>
        </w:rPr>
        <w:t>2023,</w:t>
      </w:r>
      <w:r>
        <w:rPr>
          <w:spacing w:val="-4"/>
          <w:sz w:val="28"/>
          <w:vertAlign w:val="baseline"/>
        </w:rPr>
        <w:t> </w:t>
      </w:r>
      <w:r>
        <w:rPr>
          <w:sz w:val="28"/>
          <w:vertAlign w:val="baseline"/>
        </w:rPr>
        <w:t>Sir</w:t>
      </w:r>
      <w:r>
        <w:rPr>
          <w:spacing w:val="-4"/>
          <w:sz w:val="28"/>
          <w:vertAlign w:val="baseline"/>
        </w:rPr>
        <w:t> </w:t>
      </w:r>
      <w:r>
        <w:rPr>
          <w:sz w:val="28"/>
          <w:vertAlign w:val="baseline"/>
        </w:rPr>
        <w:t>Declan</w:t>
      </w:r>
      <w:r>
        <w:rPr>
          <w:spacing w:val="-5"/>
          <w:sz w:val="28"/>
          <w:vertAlign w:val="baseline"/>
        </w:rPr>
        <w:t> </w:t>
      </w:r>
      <w:r>
        <w:rPr>
          <w:sz w:val="28"/>
          <w:vertAlign w:val="baseline"/>
        </w:rPr>
        <w:t>Morgan</w:t>
      </w:r>
      <w:r>
        <w:rPr>
          <w:spacing w:val="-5"/>
          <w:sz w:val="28"/>
          <w:vertAlign w:val="baseline"/>
        </w:rPr>
        <w:t> </w:t>
      </w:r>
      <w:r>
        <w:rPr>
          <w:sz w:val="28"/>
          <w:vertAlign w:val="baseline"/>
        </w:rPr>
        <w:t>was</w:t>
      </w:r>
      <w:r>
        <w:rPr>
          <w:spacing w:val="-5"/>
          <w:sz w:val="28"/>
          <w:vertAlign w:val="baseline"/>
        </w:rPr>
        <w:t> </w:t>
      </w:r>
      <w:r>
        <w:rPr>
          <w:sz w:val="28"/>
          <w:vertAlign w:val="baseline"/>
        </w:rPr>
        <w:t>announced</w:t>
      </w:r>
      <w:r>
        <w:rPr>
          <w:spacing w:val="-5"/>
          <w:sz w:val="28"/>
          <w:vertAlign w:val="baseline"/>
        </w:rPr>
        <w:t> </w:t>
      </w:r>
      <w:r>
        <w:rPr>
          <w:sz w:val="28"/>
          <w:vertAlign w:val="baseline"/>
        </w:rPr>
        <w:t>as</w:t>
      </w:r>
      <w:r>
        <w:rPr>
          <w:spacing w:val="-5"/>
          <w:sz w:val="28"/>
          <w:vertAlign w:val="baseline"/>
        </w:rPr>
        <w:t> </w:t>
      </w:r>
      <w:r>
        <w:rPr>
          <w:sz w:val="28"/>
          <w:vertAlign w:val="baseline"/>
        </w:rPr>
        <w:t>its</w:t>
      </w:r>
      <w:r>
        <w:rPr>
          <w:spacing w:val="-5"/>
          <w:sz w:val="28"/>
          <w:vertAlign w:val="baseline"/>
        </w:rPr>
        <w:t> </w:t>
      </w:r>
      <w:r>
        <w:rPr>
          <w:sz w:val="28"/>
          <w:vertAlign w:val="baseline"/>
        </w:rPr>
        <w:t>Chief</w:t>
      </w:r>
      <w:r>
        <w:rPr>
          <w:spacing w:val="-5"/>
          <w:sz w:val="28"/>
          <w:vertAlign w:val="baseline"/>
        </w:rPr>
        <w:t> </w:t>
      </w:r>
      <w:r>
        <w:rPr>
          <w:sz w:val="28"/>
          <w:vertAlign w:val="baseline"/>
        </w:rPr>
        <w:t>Commissioner.</w:t>
      </w:r>
      <w:r>
        <w:rPr>
          <w:sz w:val="28"/>
          <w:vertAlign w:val="superscript"/>
        </w:rPr>
        <w:t>466</w:t>
      </w:r>
      <w:r>
        <w:rPr>
          <w:sz w:val="28"/>
          <w:vertAlign w:val="baseline"/>
        </w:rPr>
        <w:t> ICRIR has been undertaking a number of consultations on how it should</w:t>
      </w:r>
    </w:p>
    <w:p>
      <w:pPr>
        <w:pStyle w:val="BodyText"/>
        <w:spacing w:before="161"/>
        <w:rPr>
          <w:sz w:val="20"/>
        </w:rPr>
      </w:pPr>
      <w:r>
        <w:rPr/>
        <mc:AlternateContent>
          <mc:Choice Requires="wps">
            <w:drawing>
              <wp:anchor distT="0" distB="0" distL="0" distR="0" allowOverlap="1" layoutInCell="1" locked="0" behindDoc="1" simplePos="0" relativeHeight="487677440">
                <wp:simplePos x="0" y="0"/>
                <wp:positionH relativeFrom="page">
                  <wp:posOffset>719996</wp:posOffset>
                </wp:positionH>
                <wp:positionV relativeFrom="paragraph">
                  <wp:posOffset>272968</wp:posOffset>
                </wp:positionV>
                <wp:extent cx="6120130" cy="1270"/>
                <wp:effectExtent l="0" t="0" r="0" b="0"/>
                <wp:wrapTopAndBottom/>
                <wp:docPr id="394" name="Graphic 394"/>
                <wp:cNvGraphicFramePr>
                  <a:graphicFrameLocks/>
                </wp:cNvGraphicFramePr>
                <a:graphic>
                  <a:graphicData uri="http://schemas.microsoft.com/office/word/2010/wordprocessingShape">
                    <wps:wsp>
                      <wps:cNvPr id="394" name="Graphic 394"/>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1.493587pt;width:481.9pt;height:.1pt;mso-position-horizontal-relative:page;mso-position-vertical-relative:paragraph;z-index:-15639040;mso-wrap-distance-left:0;mso-wrap-distance-right:0" id="docshape343" coordorigin="1134,430" coordsize="9638,0" path="m10772,430l1134,430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35" w:lineRule="auto" w:before="123" w:after="0"/>
        <w:ind w:left="1853" w:right="1194" w:hanging="720"/>
        <w:jc w:val="left"/>
        <w:rPr>
          <w:sz w:val="18"/>
        </w:rPr>
      </w:pPr>
      <w:r>
        <w:rPr>
          <w:sz w:val="18"/>
        </w:rPr>
        <w:t>See also, NI Office, ‘Addressing the Legacy of</w:t>
      </w:r>
      <w:r>
        <w:rPr>
          <w:spacing w:val="-1"/>
          <w:sz w:val="18"/>
        </w:rPr>
        <w:t> </w:t>
      </w:r>
      <w:r>
        <w:rPr>
          <w:sz w:val="18"/>
        </w:rPr>
        <w:t>NI’s</w:t>
      </w:r>
      <w:r>
        <w:rPr>
          <w:spacing w:val="-1"/>
          <w:sz w:val="18"/>
        </w:rPr>
        <w:t> </w:t>
      </w:r>
      <w:r>
        <w:rPr>
          <w:sz w:val="18"/>
        </w:rPr>
        <w:t>Past’ (NIO, 2021).</w:t>
      </w:r>
      <w:r>
        <w:rPr>
          <w:spacing w:val="40"/>
          <w:sz w:val="18"/>
        </w:rPr>
        <w:t> </w:t>
      </w:r>
      <w:r>
        <w:rPr>
          <w:sz w:val="18"/>
        </w:rPr>
        <w:t>Contrary to</w:t>
      </w:r>
      <w:r>
        <w:rPr>
          <w:spacing w:val="-1"/>
          <w:sz w:val="18"/>
        </w:rPr>
        <w:t> </w:t>
      </w:r>
      <w:r>
        <w:rPr>
          <w:sz w:val="18"/>
        </w:rPr>
        <w:t>the majority of</w:t>
      </w:r>
      <w:r>
        <w:rPr>
          <w:spacing w:val="-1"/>
          <w:sz w:val="18"/>
        </w:rPr>
        <w:t> </w:t>
      </w:r>
      <w:r>
        <w:rPr>
          <w:sz w:val="18"/>
        </w:rPr>
        <w:t>views</w:t>
      </w:r>
      <w:r>
        <w:rPr>
          <w:spacing w:val="-1"/>
          <w:sz w:val="18"/>
        </w:rPr>
        <w:t> </w:t>
      </w:r>
      <w:r>
        <w:rPr>
          <w:sz w:val="18"/>
        </w:rPr>
        <w:t>expressed</w:t>
      </w:r>
      <w:r>
        <w:rPr>
          <w:spacing w:val="-1"/>
          <w:sz w:val="18"/>
        </w:rPr>
        <w:t> </w:t>
      </w:r>
      <w:r>
        <w:rPr>
          <w:sz w:val="18"/>
        </w:rPr>
        <w:t>in</w:t>
      </w:r>
      <w:r>
        <w:rPr>
          <w:spacing w:val="-1"/>
          <w:sz w:val="18"/>
        </w:rPr>
        <w:t> </w:t>
      </w:r>
      <w:r>
        <w:rPr>
          <w:sz w:val="18"/>
        </w:rPr>
        <w:t>2018, the</w:t>
      </w:r>
      <w:r>
        <w:rPr>
          <w:spacing w:val="-7"/>
          <w:sz w:val="18"/>
        </w:rPr>
        <w:t> </w:t>
      </w:r>
      <w:r>
        <w:rPr>
          <w:sz w:val="18"/>
        </w:rPr>
        <w:t>plans</w:t>
      </w:r>
      <w:r>
        <w:rPr>
          <w:spacing w:val="-8"/>
          <w:sz w:val="18"/>
        </w:rPr>
        <w:t> </w:t>
      </w:r>
      <w:r>
        <w:rPr>
          <w:sz w:val="18"/>
        </w:rPr>
        <w:t>indicated</w:t>
      </w:r>
      <w:r>
        <w:rPr>
          <w:spacing w:val="-8"/>
          <w:sz w:val="18"/>
        </w:rPr>
        <w:t> </w:t>
      </w:r>
      <w:r>
        <w:rPr>
          <w:sz w:val="18"/>
        </w:rPr>
        <w:t>a</w:t>
      </w:r>
      <w:r>
        <w:rPr>
          <w:spacing w:val="-8"/>
          <w:sz w:val="18"/>
        </w:rPr>
        <w:t> </w:t>
      </w:r>
      <w:r>
        <w:rPr>
          <w:sz w:val="18"/>
        </w:rPr>
        <w:t>shift</w:t>
      </w:r>
      <w:r>
        <w:rPr>
          <w:spacing w:val="-7"/>
          <w:sz w:val="18"/>
        </w:rPr>
        <w:t> </w:t>
      </w:r>
      <w:r>
        <w:rPr>
          <w:sz w:val="18"/>
        </w:rPr>
        <w:t>away</w:t>
      </w:r>
      <w:r>
        <w:rPr>
          <w:spacing w:val="-7"/>
          <w:sz w:val="18"/>
        </w:rPr>
        <w:t> </w:t>
      </w:r>
      <w:r>
        <w:rPr>
          <w:sz w:val="18"/>
        </w:rPr>
        <w:t>from</w:t>
      </w:r>
      <w:r>
        <w:rPr>
          <w:spacing w:val="-7"/>
          <w:sz w:val="18"/>
        </w:rPr>
        <w:t> </w:t>
      </w:r>
      <w:r>
        <w:rPr>
          <w:sz w:val="18"/>
        </w:rPr>
        <w:t>conducting</w:t>
      </w:r>
      <w:r>
        <w:rPr>
          <w:spacing w:val="-7"/>
          <w:sz w:val="18"/>
        </w:rPr>
        <w:t> </w:t>
      </w:r>
      <w:r>
        <w:rPr>
          <w:sz w:val="18"/>
        </w:rPr>
        <w:t>human</w:t>
      </w:r>
      <w:r>
        <w:rPr>
          <w:spacing w:val="-8"/>
          <w:sz w:val="18"/>
        </w:rPr>
        <w:t> </w:t>
      </w:r>
      <w:r>
        <w:rPr>
          <w:sz w:val="18"/>
        </w:rPr>
        <w:t>rights</w:t>
      </w:r>
      <w:r>
        <w:rPr>
          <w:spacing w:val="-8"/>
          <w:sz w:val="18"/>
        </w:rPr>
        <w:t> </w:t>
      </w:r>
      <w:r>
        <w:rPr>
          <w:sz w:val="18"/>
        </w:rPr>
        <w:t>compliant</w:t>
      </w:r>
      <w:r>
        <w:rPr>
          <w:spacing w:val="-7"/>
          <w:sz w:val="18"/>
        </w:rPr>
        <w:t> </w:t>
      </w:r>
      <w:r>
        <w:rPr>
          <w:sz w:val="18"/>
        </w:rPr>
        <w:t>Troubles-related</w:t>
      </w:r>
      <w:r>
        <w:rPr>
          <w:spacing w:val="-8"/>
          <w:sz w:val="18"/>
        </w:rPr>
        <w:t> </w:t>
      </w:r>
      <w:r>
        <w:rPr>
          <w:sz w:val="18"/>
        </w:rPr>
        <w:t>investigations,</w:t>
      </w:r>
      <w:r>
        <w:rPr>
          <w:spacing w:val="-7"/>
          <w:sz w:val="18"/>
        </w:rPr>
        <w:t> </w:t>
      </w:r>
      <w:r>
        <w:rPr>
          <w:sz w:val="18"/>
        </w:rPr>
        <w:t>towards</w:t>
      </w:r>
      <w:r>
        <w:rPr>
          <w:spacing w:val="-8"/>
          <w:sz w:val="18"/>
        </w:rPr>
        <w:t> </w:t>
      </w:r>
      <w:r>
        <w:rPr>
          <w:sz w:val="18"/>
        </w:rPr>
        <w:t>seeking and receiving information about Troubles-related deaths and injuries. See NI Office, ‘Addressing the Legacy of NI’s Past: Analysis of the Consultation Responses’ (NIO, 2019).</w:t>
      </w:r>
    </w:p>
    <w:p>
      <w:pPr>
        <w:pStyle w:val="ListParagraph"/>
        <w:numPr>
          <w:ilvl w:val="0"/>
          <w:numId w:val="9"/>
        </w:numPr>
        <w:tabs>
          <w:tab w:pos="1853" w:val="left" w:leader="none"/>
        </w:tabs>
        <w:spacing w:line="235" w:lineRule="auto" w:before="2" w:after="0"/>
        <w:ind w:left="1853" w:right="1277" w:hanging="720"/>
        <w:jc w:val="left"/>
        <w:rPr>
          <w:sz w:val="18"/>
        </w:rPr>
      </w:pPr>
      <w:r>
        <w:rPr>
          <w:sz w:val="18"/>
        </w:rPr>
        <w:t>House</w:t>
      </w:r>
      <w:r>
        <w:rPr>
          <w:spacing w:val="-5"/>
          <w:sz w:val="18"/>
        </w:rPr>
        <w:t> </w:t>
      </w:r>
      <w:r>
        <w:rPr>
          <w:sz w:val="18"/>
        </w:rPr>
        <w:t>of</w:t>
      </w:r>
      <w:r>
        <w:rPr>
          <w:spacing w:val="-6"/>
          <w:sz w:val="18"/>
        </w:rPr>
        <w:t> </w:t>
      </w:r>
      <w:r>
        <w:rPr>
          <w:sz w:val="18"/>
        </w:rPr>
        <w:t>Commons</w:t>
      </w:r>
      <w:r>
        <w:rPr>
          <w:spacing w:val="-6"/>
          <w:sz w:val="18"/>
        </w:rPr>
        <w:t> </w:t>
      </w:r>
      <w:r>
        <w:rPr>
          <w:sz w:val="18"/>
        </w:rPr>
        <w:t>NI</w:t>
      </w:r>
      <w:r>
        <w:rPr>
          <w:spacing w:val="-5"/>
          <w:sz w:val="18"/>
        </w:rPr>
        <w:t> </w:t>
      </w:r>
      <w:r>
        <w:rPr>
          <w:sz w:val="18"/>
        </w:rPr>
        <w:t>Affairs</w:t>
      </w:r>
      <w:r>
        <w:rPr>
          <w:spacing w:val="-6"/>
          <w:sz w:val="18"/>
        </w:rPr>
        <w:t> </w:t>
      </w:r>
      <w:r>
        <w:rPr>
          <w:sz w:val="18"/>
        </w:rPr>
        <w:t>Committee,</w:t>
      </w:r>
      <w:r>
        <w:rPr>
          <w:spacing w:val="-5"/>
          <w:sz w:val="18"/>
        </w:rPr>
        <w:t> </w:t>
      </w:r>
      <w:r>
        <w:rPr>
          <w:sz w:val="18"/>
        </w:rPr>
        <w:t>‘Oral</w:t>
      </w:r>
      <w:r>
        <w:rPr>
          <w:spacing w:val="-6"/>
          <w:sz w:val="18"/>
        </w:rPr>
        <w:t> </w:t>
      </w:r>
      <w:r>
        <w:rPr>
          <w:sz w:val="18"/>
        </w:rPr>
        <w:t>Evidence:</w:t>
      </w:r>
      <w:r>
        <w:rPr>
          <w:spacing w:val="-5"/>
          <w:sz w:val="18"/>
        </w:rPr>
        <w:t> </w:t>
      </w:r>
      <w:r>
        <w:rPr>
          <w:sz w:val="18"/>
        </w:rPr>
        <w:t>Addressing</w:t>
      </w:r>
      <w:r>
        <w:rPr>
          <w:spacing w:val="-5"/>
          <w:sz w:val="18"/>
        </w:rPr>
        <w:t> </w:t>
      </w:r>
      <w:r>
        <w:rPr>
          <w:sz w:val="18"/>
        </w:rPr>
        <w:t>the</w:t>
      </w:r>
      <w:r>
        <w:rPr>
          <w:spacing w:val="-5"/>
          <w:sz w:val="18"/>
        </w:rPr>
        <w:t> </w:t>
      </w:r>
      <w:r>
        <w:rPr>
          <w:sz w:val="18"/>
        </w:rPr>
        <w:t>Legacy</w:t>
      </w:r>
      <w:r>
        <w:rPr>
          <w:spacing w:val="-5"/>
          <w:sz w:val="18"/>
        </w:rPr>
        <w:t> </w:t>
      </w:r>
      <w:r>
        <w:rPr>
          <w:sz w:val="18"/>
        </w:rPr>
        <w:t>of</w:t>
      </w:r>
      <w:r>
        <w:rPr>
          <w:spacing w:val="-6"/>
          <w:sz w:val="18"/>
        </w:rPr>
        <w:t> </w:t>
      </w:r>
      <w:r>
        <w:rPr>
          <w:sz w:val="18"/>
        </w:rPr>
        <w:t>NI’s</w:t>
      </w:r>
      <w:r>
        <w:rPr>
          <w:spacing w:val="-6"/>
          <w:sz w:val="18"/>
        </w:rPr>
        <w:t> </w:t>
      </w:r>
      <w:r>
        <w:rPr>
          <w:sz w:val="18"/>
        </w:rPr>
        <w:t>Past</w:t>
      </w:r>
      <w:r>
        <w:rPr>
          <w:spacing w:val="-5"/>
          <w:sz w:val="18"/>
        </w:rPr>
        <w:t> </w:t>
      </w:r>
      <w:r>
        <w:rPr>
          <w:sz w:val="18"/>
        </w:rPr>
        <w:t>-</w:t>
      </w:r>
      <w:r>
        <w:rPr>
          <w:spacing w:val="-6"/>
          <w:sz w:val="18"/>
        </w:rPr>
        <w:t> </w:t>
      </w:r>
      <w:r>
        <w:rPr>
          <w:sz w:val="18"/>
        </w:rPr>
        <w:t>The</w:t>
      </w:r>
      <w:r>
        <w:rPr>
          <w:spacing w:val="-5"/>
          <w:sz w:val="18"/>
        </w:rPr>
        <w:t> </w:t>
      </w:r>
      <w:r>
        <w:rPr>
          <w:sz w:val="18"/>
        </w:rPr>
        <w:t>UK</w:t>
      </w:r>
      <w:r>
        <w:rPr>
          <w:spacing w:val="-5"/>
          <w:sz w:val="18"/>
        </w:rPr>
        <w:t> </w:t>
      </w:r>
      <w:r>
        <w:rPr>
          <w:sz w:val="18"/>
        </w:rPr>
        <w:t>Government’s</w:t>
      </w:r>
      <w:r>
        <w:rPr>
          <w:spacing w:val="-6"/>
          <w:sz w:val="18"/>
        </w:rPr>
        <w:t> </w:t>
      </w:r>
      <w:r>
        <w:rPr>
          <w:sz w:val="18"/>
        </w:rPr>
        <w:t>New Proposals’, 7 June 2022; NI Human Rights Commission, ‘Legislative Scrutiny: NI Troubles (Legacy and Reconciliation)</w:t>
      </w:r>
    </w:p>
    <w:p>
      <w:pPr>
        <w:spacing w:line="235" w:lineRule="auto" w:before="2"/>
        <w:ind w:left="1853" w:right="1301" w:firstLine="0"/>
        <w:jc w:val="left"/>
        <w:rPr>
          <w:sz w:val="18"/>
        </w:rPr>
      </w:pPr>
      <w:r>
        <w:rPr>
          <w:sz w:val="18"/>
        </w:rPr>
        <w:t>Bill’</w:t>
      </w:r>
      <w:r>
        <w:rPr>
          <w:spacing w:val="-3"/>
          <w:sz w:val="18"/>
        </w:rPr>
        <w:t> </w:t>
      </w:r>
      <w:r>
        <w:rPr>
          <w:sz w:val="18"/>
        </w:rPr>
        <w:t>(NIHRC,</w:t>
      </w:r>
      <w:r>
        <w:rPr>
          <w:spacing w:val="-3"/>
          <w:sz w:val="18"/>
        </w:rPr>
        <w:t> </w:t>
      </w:r>
      <w:r>
        <w:rPr>
          <w:sz w:val="18"/>
        </w:rPr>
        <w:t>2022);</w:t>
      </w:r>
      <w:r>
        <w:rPr>
          <w:spacing w:val="-3"/>
          <w:sz w:val="18"/>
        </w:rPr>
        <w:t> </w:t>
      </w: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3"/>
          <w:sz w:val="18"/>
        </w:rPr>
        <w:t> </w:t>
      </w:r>
      <w:r>
        <w:rPr>
          <w:sz w:val="18"/>
        </w:rPr>
        <w:t>‘Rule</w:t>
      </w:r>
      <w:r>
        <w:rPr>
          <w:spacing w:val="-3"/>
          <w:sz w:val="18"/>
        </w:rPr>
        <w:t> </w:t>
      </w:r>
      <w:r>
        <w:rPr>
          <w:sz w:val="18"/>
        </w:rPr>
        <w:t>9</w:t>
      </w:r>
      <w:r>
        <w:rPr>
          <w:spacing w:val="-3"/>
          <w:sz w:val="18"/>
        </w:rPr>
        <w:t> </w:t>
      </w:r>
      <w:r>
        <w:rPr>
          <w:sz w:val="18"/>
        </w:rPr>
        <w:t>Submission</w:t>
      </w:r>
      <w:r>
        <w:rPr>
          <w:spacing w:val="-4"/>
          <w:sz w:val="18"/>
        </w:rPr>
        <w:t> </w:t>
      </w:r>
      <w:r>
        <w:rPr>
          <w:sz w:val="18"/>
        </w:rPr>
        <w:t>to</w:t>
      </w:r>
      <w:r>
        <w:rPr>
          <w:spacing w:val="-4"/>
          <w:sz w:val="18"/>
        </w:rPr>
        <w:t> </w:t>
      </w:r>
      <w:r>
        <w:rPr>
          <w:sz w:val="18"/>
        </w:rPr>
        <w:t>the</w:t>
      </w:r>
      <w:r>
        <w:rPr>
          <w:spacing w:val="-3"/>
          <w:sz w:val="18"/>
        </w:rPr>
        <w:t> </w:t>
      </w:r>
      <w:r>
        <w:rPr>
          <w:sz w:val="18"/>
        </w:rPr>
        <w:t>CoE</w:t>
      </w:r>
      <w:r>
        <w:rPr>
          <w:spacing w:val="-4"/>
          <w:sz w:val="18"/>
        </w:rPr>
        <w:t> </w:t>
      </w:r>
      <w:r>
        <w:rPr>
          <w:sz w:val="18"/>
        </w:rPr>
        <w:t>Committee</w:t>
      </w:r>
      <w:r>
        <w:rPr>
          <w:spacing w:val="-3"/>
          <w:sz w:val="18"/>
        </w:rPr>
        <w:t> </w:t>
      </w:r>
      <w:r>
        <w:rPr>
          <w:sz w:val="18"/>
        </w:rPr>
        <w:t>of</w:t>
      </w:r>
      <w:r>
        <w:rPr>
          <w:spacing w:val="-4"/>
          <w:sz w:val="18"/>
        </w:rPr>
        <w:t> </w:t>
      </w:r>
      <w:r>
        <w:rPr>
          <w:sz w:val="18"/>
        </w:rPr>
        <w:t>Ministers</w:t>
      </w:r>
      <w:r>
        <w:rPr>
          <w:spacing w:val="-4"/>
          <w:sz w:val="18"/>
        </w:rPr>
        <w:t> </w:t>
      </w:r>
      <w:r>
        <w:rPr>
          <w:sz w:val="18"/>
        </w:rPr>
        <w:t>in</w:t>
      </w:r>
      <w:r>
        <w:rPr>
          <w:spacing w:val="-4"/>
          <w:sz w:val="18"/>
        </w:rPr>
        <w:t> </w:t>
      </w:r>
      <w:r>
        <w:rPr>
          <w:sz w:val="18"/>
        </w:rPr>
        <w:t>Relation</w:t>
      </w:r>
      <w:r>
        <w:rPr>
          <w:spacing w:val="-4"/>
          <w:sz w:val="18"/>
        </w:rPr>
        <w:t> </w:t>
      </w:r>
      <w:r>
        <w:rPr>
          <w:sz w:val="18"/>
        </w:rPr>
        <w:t>to the Supervision of the Cases Concerning the Actions of the Security Forces in NI: Advice on NI Troubles</w:t>
      </w:r>
    </w:p>
    <w:p>
      <w:pPr>
        <w:spacing w:line="235" w:lineRule="auto" w:before="1"/>
        <w:ind w:left="1853" w:right="1171" w:firstLine="0"/>
        <w:jc w:val="left"/>
        <w:rPr>
          <w:sz w:val="18"/>
        </w:rPr>
      </w:pPr>
      <w:r>
        <w:rPr>
          <w:sz w:val="18"/>
        </w:rPr>
        <w:t>(Legacy and Reconciliation) Bill’ (NIHRC, 2022); NI Human Rights Commission, ‘Advice on NI Troubles (Legacy and Reconciliation) Bill’ (NIHRC, 2022); Letter from the NI Human Rights Commission to</w:t>
      </w:r>
      <w:r>
        <w:rPr>
          <w:spacing w:val="40"/>
          <w:sz w:val="18"/>
        </w:rPr>
        <w:t> </w:t>
      </w:r>
      <w:r>
        <w:rPr>
          <w:sz w:val="18"/>
        </w:rPr>
        <w:t>Chair of the House of Lords Sub- Committee on the Ireland/Northern Ireland Protocol, Lord Jay, 30 January 2023; NI Human Rights Commission, ‘ Supplementary</w:t>
      </w:r>
      <w:r>
        <w:rPr>
          <w:spacing w:val="-6"/>
          <w:sz w:val="18"/>
        </w:rPr>
        <w:t> </w:t>
      </w:r>
      <w:r>
        <w:rPr>
          <w:sz w:val="18"/>
        </w:rPr>
        <w:t>Briefing:</w:t>
      </w:r>
      <w:r>
        <w:rPr>
          <w:spacing w:val="-6"/>
          <w:sz w:val="18"/>
        </w:rPr>
        <w:t> </w:t>
      </w:r>
      <w:r>
        <w:rPr>
          <w:sz w:val="18"/>
        </w:rPr>
        <w:t>UK</w:t>
      </w:r>
      <w:r>
        <w:rPr>
          <w:spacing w:val="-6"/>
          <w:sz w:val="18"/>
        </w:rPr>
        <w:t> </w:t>
      </w:r>
      <w:r>
        <w:rPr>
          <w:sz w:val="18"/>
        </w:rPr>
        <w:t>Government’s</w:t>
      </w:r>
      <w:r>
        <w:rPr>
          <w:spacing w:val="-7"/>
          <w:sz w:val="18"/>
        </w:rPr>
        <w:t> </w:t>
      </w:r>
      <w:r>
        <w:rPr>
          <w:sz w:val="18"/>
        </w:rPr>
        <w:t>Proposed</w:t>
      </w:r>
      <w:r>
        <w:rPr>
          <w:spacing w:val="-7"/>
          <w:sz w:val="18"/>
        </w:rPr>
        <w:t> </w:t>
      </w:r>
      <w:r>
        <w:rPr>
          <w:sz w:val="18"/>
        </w:rPr>
        <w:t>Amendments</w:t>
      </w:r>
      <w:r>
        <w:rPr>
          <w:spacing w:val="-7"/>
          <w:sz w:val="18"/>
        </w:rPr>
        <w:t> </w:t>
      </w:r>
      <w:r>
        <w:rPr>
          <w:sz w:val="18"/>
        </w:rPr>
        <w:t>to</w:t>
      </w:r>
      <w:r>
        <w:rPr>
          <w:spacing w:val="-7"/>
          <w:sz w:val="18"/>
        </w:rPr>
        <w:t> </w:t>
      </w:r>
      <w:r>
        <w:rPr>
          <w:sz w:val="18"/>
        </w:rPr>
        <w:t>NI</w:t>
      </w:r>
      <w:r>
        <w:rPr>
          <w:spacing w:val="-6"/>
          <w:sz w:val="18"/>
        </w:rPr>
        <w:t> </w:t>
      </w:r>
      <w:r>
        <w:rPr>
          <w:sz w:val="18"/>
        </w:rPr>
        <w:t>Troubles</w:t>
      </w:r>
      <w:r>
        <w:rPr>
          <w:spacing w:val="-7"/>
          <w:sz w:val="18"/>
        </w:rPr>
        <w:t> </w:t>
      </w:r>
      <w:r>
        <w:rPr>
          <w:sz w:val="18"/>
        </w:rPr>
        <w:t>(Legacy</w:t>
      </w:r>
      <w:r>
        <w:rPr>
          <w:spacing w:val="-6"/>
          <w:sz w:val="18"/>
        </w:rPr>
        <w:t> </w:t>
      </w:r>
      <w:r>
        <w:rPr>
          <w:sz w:val="18"/>
        </w:rPr>
        <w:t>and</w:t>
      </w:r>
      <w:r>
        <w:rPr>
          <w:spacing w:val="-7"/>
          <w:sz w:val="18"/>
        </w:rPr>
        <w:t> </w:t>
      </w:r>
      <w:r>
        <w:rPr>
          <w:sz w:val="18"/>
        </w:rPr>
        <w:t>Reconciliation)</w:t>
      </w:r>
      <w:r>
        <w:rPr>
          <w:spacing w:val="-7"/>
          <w:sz w:val="18"/>
        </w:rPr>
        <w:t> </w:t>
      </w:r>
      <w:r>
        <w:rPr>
          <w:sz w:val="18"/>
        </w:rPr>
        <w:t>Bill’</w:t>
      </w:r>
      <w:r>
        <w:rPr>
          <w:spacing w:val="-6"/>
          <w:sz w:val="18"/>
        </w:rPr>
        <w:t> </w:t>
      </w:r>
      <w:r>
        <w:rPr>
          <w:sz w:val="18"/>
        </w:rPr>
        <w:t>(NIHRC, </w:t>
      </w:r>
      <w:r>
        <w:rPr>
          <w:spacing w:val="-2"/>
          <w:sz w:val="18"/>
        </w:rPr>
        <w:t>2023).</w:t>
      </w:r>
    </w:p>
    <w:p>
      <w:pPr>
        <w:pStyle w:val="ListParagraph"/>
        <w:numPr>
          <w:ilvl w:val="0"/>
          <w:numId w:val="9"/>
        </w:numPr>
        <w:tabs>
          <w:tab w:pos="1853" w:val="left" w:leader="none"/>
        </w:tabs>
        <w:spacing w:line="235" w:lineRule="auto" w:before="3" w:after="0"/>
        <w:ind w:left="1853" w:right="1287" w:hanging="720"/>
        <w:jc w:val="left"/>
        <w:rPr>
          <w:sz w:val="18"/>
        </w:rPr>
      </w:pPr>
      <w:r>
        <w:rPr>
          <w:sz w:val="18"/>
        </w:rPr>
        <w:t>NI Human Rights Commission, ‘Advice on the NI Troubles (Legacy and Reconciliation) Bill’ (NIHRC, 2022); Letter from NI Human</w:t>
      </w:r>
      <w:r>
        <w:rPr>
          <w:spacing w:val="-5"/>
          <w:sz w:val="18"/>
        </w:rPr>
        <w:t> </w:t>
      </w:r>
      <w:r>
        <w:rPr>
          <w:sz w:val="18"/>
        </w:rPr>
        <w:t>Rights</w:t>
      </w:r>
      <w:r>
        <w:rPr>
          <w:spacing w:val="-5"/>
          <w:sz w:val="18"/>
        </w:rPr>
        <w:t> </w:t>
      </w:r>
      <w:r>
        <w:rPr>
          <w:sz w:val="18"/>
        </w:rPr>
        <w:t>Commission</w:t>
      </w:r>
      <w:r>
        <w:rPr>
          <w:spacing w:val="-5"/>
          <w:sz w:val="18"/>
        </w:rPr>
        <w:t> </w:t>
      </w:r>
      <w:r>
        <w:rPr>
          <w:sz w:val="18"/>
        </w:rPr>
        <w:t>to</w:t>
      </w:r>
      <w:r>
        <w:rPr>
          <w:spacing w:val="-5"/>
          <w:sz w:val="18"/>
        </w:rPr>
        <w:t> </w:t>
      </w:r>
      <w:r>
        <w:rPr>
          <w:sz w:val="18"/>
        </w:rPr>
        <w:t>Chair</w:t>
      </w:r>
      <w:r>
        <w:rPr>
          <w:spacing w:val="-4"/>
          <w:sz w:val="18"/>
        </w:rPr>
        <w:t> </w:t>
      </w:r>
      <w:r>
        <w:rPr>
          <w:sz w:val="18"/>
        </w:rPr>
        <w:t>of</w:t>
      </w:r>
      <w:r>
        <w:rPr>
          <w:spacing w:val="-5"/>
          <w:sz w:val="18"/>
        </w:rPr>
        <w:t> </w:t>
      </w:r>
      <w:r>
        <w:rPr>
          <w:sz w:val="18"/>
        </w:rPr>
        <w:t>the</w:t>
      </w:r>
      <w:r>
        <w:rPr>
          <w:spacing w:val="-4"/>
          <w:sz w:val="18"/>
        </w:rPr>
        <w:t> </w:t>
      </w:r>
      <w:r>
        <w:rPr>
          <w:sz w:val="18"/>
        </w:rPr>
        <w:t>European</w:t>
      </w:r>
      <w:r>
        <w:rPr>
          <w:spacing w:val="-5"/>
          <w:sz w:val="18"/>
        </w:rPr>
        <w:t> </w:t>
      </w:r>
      <w:r>
        <w:rPr>
          <w:sz w:val="18"/>
        </w:rPr>
        <w:t>Affairs</w:t>
      </w:r>
      <w:r>
        <w:rPr>
          <w:spacing w:val="-5"/>
          <w:sz w:val="18"/>
        </w:rPr>
        <w:t> </w:t>
      </w:r>
      <w:r>
        <w:rPr>
          <w:sz w:val="18"/>
        </w:rPr>
        <w:t>Sub-Committee</w:t>
      </w:r>
      <w:r>
        <w:rPr>
          <w:spacing w:val="-4"/>
          <w:sz w:val="18"/>
        </w:rPr>
        <w:t> </w:t>
      </w:r>
      <w:r>
        <w:rPr>
          <w:sz w:val="18"/>
        </w:rPr>
        <w:t>on</w:t>
      </w:r>
      <w:r>
        <w:rPr>
          <w:spacing w:val="-5"/>
          <w:sz w:val="18"/>
        </w:rPr>
        <w:t> </w:t>
      </w:r>
      <w:r>
        <w:rPr>
          <w:sz w:val="18"/>
        </w:rPr>
        <w:t>the</w:t>
      </w:r>
      <w:r>
        <w:rPr>
          <w:spacing w:val="-4"/>
          <w:sz w:val="18"/>
        </w:rPr>
        <w:t> </w:t>
      </w:r>
      <w:r>
        <w:rPr>
          <w:sz w:val="18"/>
        </w:rPr>
        <w:t>Protocol</w:t>
      </w:r>
      <w:r>
        <w:rPr>
          <w:spacing w:val="-5"/>
          <w:sz w:val="18"/>
        </w:rPr>
        <w:t> </w:t>
      </w:r>
      <w:r>
        <w:rPr>
          <w:sz w:val="18"/>
        </w:rPr>
        <w:t>on</w:t>
      </w:r>
      <w:r>
        <w:rPr>
          <w:spacing w:val="-5"/>
          <w:sz w:val="18"/>
        </w:rPr>
        <w:t> </w:t>
      </w:r>
      <w:r>
        <w:rPr>
          <w:sz w:val="18"/>
        </w:rPr>
        <w:t>Ireland/Northern</w:t>
      </w:r>
      <w:r>
        <w:rPr>
          <w:spacing w:val="-5"/>
          <w:sz w:val="18"/>
        </w:rPr>
        <w:t> </w:t>
      </w:r>
      <w:r>
        <w:rPr>
          <w:sz w:val="18"/>
        </w:rPr>
        <w:t>Ireland, Lord Jay, 30 January 2023. NI Human Rights Commission, ‘Supplementary Briefing: UK Government’s Proposed Amendments to NI Troubles (Legacy and Reconciliation) Bill’ (NIHRC, 2023).</w:t>
      </w:r>
    </w:p>
    <w:p>
      <w:pPr>
        <w:pStyle w:val="ListParagraph"/>
        <w:numPr>
          <w:ilvl w:val="0"/>
          <w:numId w:val="9"/>
        </w:numPr>
        <w:tabs>
          <w:tab w:pos="1853" w:val="left" w:leader="none"/>
        </w:tabs>
        <w:spacing w:line="235" w:lineRule="auto" w:before="3" w:after="0"/>
        <w:ind w:left="1853" w:right="1477" w:hanging="720"/>
        <w:jc w:val="left"/>
        <w:rPr>
          <w:sz w:val="18"/>
        </w:rPr>
      </w:pPr>
      <w:r>
        <w:rPr>
          <w:sz w:val="18"/>
        </w:rPr>
        <w:t>Articles</w:t>
      </w:r>
      <w:r>
        <w:rPr>
          <w:spacing w:val="-5"/>
          <w:sz w:val="18"/>
        </w:rPr>
        <w:t> </w:t>
      </w:r>
      <w:r>
        <w:rPr>
          <w:sz w:val="18"/>
        </w:rPr>
        <w:t>6</w:t>
      </w:r>
      <w:r>
        <w:rPr>
          <w:spacing w:val="-4"/>
          <w:sz w:val="18"/>
        </w:rPr>
        <w:t> </w:t>
      </w:r>
      <w:r>
        <w:rPr>
          <w:sz w:val="18"/>
        </w:rPr>
        <w:t>and</w:t>
      </w:r>
      <w:r>
        <w:rPr>
          <w:spacing w:val="-5"/>
          <w:sz w:val="18"/>
        </w:rPr>
        <w:t> </w:t>
      </w:r>
      <w:r>
        <w:rPr>
          <w:sz w:val="18"/>
        </w:rPr>
        <w:t>11,</w:t>
      </w:r>
      <w:r>
        <w:rPr>
          <w:spacing w:val="-4"/>
          <w:sz w:val="18"/>
        </w:rPr>
        <w:t> </w:t>
      </w:r>
      <w:r>
        <w:rPr>
          <w:sz w:val="18"/>
        </w:rPr>
        <w:t>Directive</w:t>
      </w:r>
      <w:r>
        <w:rPr>
          <w:spacing w:val="-4"/>
          <w:sz w:val="18"/>
        </w:rPr>
        <w:t> </w:t>
      </w:r>
      <w:r>
        <w:rPr>
          <w:sz w:val="18"/>
        </w:rPr>
        <w:t>2012/29/EU,</w:t>
      </w:r>
      <w:r>
        <w:rPr>
          <w:spacing w:val="-4"/>
          <w:sz w:val="18"/>
        </w:rPr>
        <w:t> </w:t>
      </w:r>
      <w:r>
        <w:rPr>
          <w:sz w:val="18"/>
        </w:rPr>
        <w:t>‘EU</w:t>
      </w:r>
      <w:r>
        <w:rPr>
          <w:spacing w:val="-4"/>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Directive</w:t>
      </w:r>
      <w:r>
        <w:rPr>
          <w:spacing w:val="-4"/>
          <w:sz w:val="18"/>
        </w:rPr>
        <w:t> </w:t>
      </w:r>
      <w:r>
        <w:rPr>
          <w:sz w:val="18"/>
        </w:rPr>
        <w:t>Establishing</w:t>
      </w:r>
      <w:r>
        <w:rPr>
          <w:spacing w:val="-4"/>
          <w:sz w:val="18"/>
        </w:rPr>
        <w:t> </w:t>
      </w:r>
      <w:r>
        <w:rPr>
          <w:sz w:val="18"/>
        </w:rPr>
        <w:t>Minimum</w:t>
      </w:r>
      <w:r>
        <w:rPr>
          <w:spacing w:val="-4"/>
          <w:sz w:val="18"/>
        </w:rPr>
        <w:t> </w:t>
      </w:r>
      <w:r>
        <w:rPr>
          <w:sz w:val="18"/>
        </w:rPr>
        <w:t>Standards</w:t>
      </w:r>
      <w:r>
        <w:rPr>
          <w:spacing w:val="-5"/>
          <w:sz w:val="18"/>
        </w:rPr>
        <w:t> </w:t>
      </w:r>
      <w:r>
        <w:rPr>
          <w:sz w:val="18"/>
        </w:rPr>
        <w:t>on</w:t>
      </w:r>
      <w:r>
        <w:rPr>
          <w:spacing w:val="-5"/>
          <w:sz w:val="18"/>
        </w:rPr>
        <w:t> </w:t>
      </w:r>
      <w:r>
        <w:rPr>
          <w:sz w:val="18"/>
        </w:rPr>
        <w:t>the Rights, Support and Protection of Victims of Crime’, 25 October 2012.</w:t>
      </w:r>
    </w:p>
    <w:p>
      <w:pPr>
        <w:pStyle w:val="ListParagraph"/>
        <w:numPr>
          <w:ilvl w:val="0"/>
          <w:numId w:val="9"/>
        </w:numPr>
        <w:tabs>
          <w:tab w:pos="1853" w:val="left" w:leader="none"/>
        </w:tabs>
        <w:spacing w:line="235" w:lineRule="auto" w:before="1" w:after="0"/>
        <w:ind w:left="1853" w:right="1214" w:hanging="720"/>
        <w:jc w:val="left"/>
        <w:rPr>
          <w:sz w:val="18"/>
        </w:rPr>
      </w:pPr>
      <w:r>
        <w:rPr>
          <w:sz w:val="18"/>
        </w:rPr>
        <w:t>Article</w:t>
      </w:r>
      <w:r>
        <w:rPr>
          <w:spacing w:val="-5"/>
          <w:sz w:val="18"/>
        </w:rPr>
        <w:t> </w:t>
      </w:r>
      <w:r>
        <w:rPr>
          <w:sz w:val="18"/>
        </w:rPr>
        <w:t>6(1)(a),</w:t>
      </w:r>
      <w:r>
        <w:rPr>
          <w:spacing w:val="-5"/>
          <w:sz w:val="18"/>
        </w:rPr>
        <w:t> </w:t>
      </w:r>
      <w:r>
        <w:rPr>
          <w:sz w:val="18"/>
        </w:rPr>
        <w:t>Directive</w:t>
      </w:r>
      <w:r>
        <w:rPr>
          <w:spacing w:val="-5"/>
          <w:sz w:val="18"/>
        </w:rPr>
        <w:t> </w:t>
      </w:r>
      <w:r>
        <w:rPr>
          <w:sz w:val="18"/>
        </w:rPr>
        <w:t>2012/29/EU,</w:t>
      </w:r>
      <w:r>
        <w:rPr>
          <w:spacing w:val="-5"/>
          <w:sz w:val="18"/>
        </w:rPr>
        <w:t> </w:t>
      </w:r>
      <w:r>
        <w:rPr>
          <w:sz w:val="18"/>
        </w:rPr>
        <w:t>‘EU</w:t>
      </w:r>
      <w:r>
        <w:rPr>
          <w:spacing w:val="-5"/>
          <w:sz w:val="18"/>
        </w:rPr>
        <w:t> </w:t>
      </w:r>
      <w:r>
        <w:rPr>
          <w:sz w:val="18"/>
        </w:rPr>
        <w:t>Parliament</w:t>
      </w:r>
      <w:r>
        <w:rPr>
          <w:spacing w:val="-5"/>
          <w:sz w:val="18"/>
        </w:rPr>
        <w:t> </w:t>
      </w:r>
      <w:r>
        <w:rPr>
          <w:sz w:val="18"/>
        </w:rPr>
        <w:t>and</w:t>
      </w:r>
      <w:r>
        <w:rPr>
          <w:spacing w:val="-6"/>
          <w:sz w:val="18"/>
        </w:rPr>
        <w:t> </w:t>
      </w:r>
      <w:r>
        <w:rPr>
          <w:sz w:val="18"/>
        </w:rPr>
        <w:t>Council</w:t>
      </w:r>
      <w:r>
        <w:rPr>
          <w:spacing w:val="-6"/>
          <w:sz w:val="18"/>
        </w:rPr>
        <w:t> </w:t>
      </w:r>
      <w:r>
        <w:rPr>
          <w:sz w:val="18"/>
        </w:rPr>
        <w:t>Directive</w:t>
      </w:r>
      <w:r>
        <w:rPr>
          <w:spacing w:val="-5"/>
          <w:sz w:val="18"/>
        </w:rPr>
        <w:t> </w:t>
      </w:r>
      <w:r>
        <w:rPr>
          <w:sz w:val="18"/>
        </w:rPr>
        <w:t>establishing</w:t>
      </w:r>
      <w:r>
        <w:rPr>
          <w:spacing w:val="-5"/>
          <w:sz w:val="18"/>
        </w:rPr>
        <w:t> </w:t>
      </w:r>
      <w:r>
        <w:rPr>
          <w:sz w:val="18"/>
        </w:rPr>
        <w:t>minimum</w:t>
      </w:r>
      <w:r>
        <w:rPr>
          <w:spacing w:val="-5"/>
          <w:sz w:val="18"/>
        </w:rPr>
        <w:t> </w:t>
      </w:r>
      <w:r>
        <w:rPr>
          <w:sz w:val="18"/>
        </w:rPr>
        <w:t>standards</w:t>
      </w:r>
      <w:r>
        <w:rPr>
          <w:spacing w:val="-6"/>
          <w:sz w:val="18"/>
        </w:rPr>
        <w:t> </w:t>
      </w:r>
      <w:r>
        <w:rPr>
          <w:sz w:val="18"/>
        </w:rPr>
        <w:t>on</w:t>
      </w:r>
      <w:r>
        <w:rPr>
          <w:spacing w:val="-6"/>
          <w:sz w:val="18"/>
        </w:rPr>
        <w:t> </w:t>
      </w:r>
      <w:r>
        <w:rPr>
          <w:sz w:val="18"/>
        </w:rPr>
        <w:t>the</w:t>
      </w:r>
      <w:r>
        <w:rPr>
          <w:spacing w:val="-5"/>
          <w:sz w:val="18"/>
        </w:rPr>
        <w:t> </w:t>
      </w:r>
      <w:r>
        <w:rPr>
          <w:sz w:val="18"/>
        </w:rPr>
        <w:t>rights, support and protection of victims of crime’, 25 October 2012.</w:t>
      </w:r>
    </w:p>
    <w:p>
      <w:pPr>
        <w:pStyle w:val="ListParagraph"/>
        <w:numPr>
          <w:ilvl w:val="0"/>
          <w:numId w:val="9"/>
        </w:numPr>
        <w:tabs>
          <w:tab w:pos="1853" w:val="left" w:leader="none"/>
        </w:tabs>
        <w:spacing w:line="235" w:lineRule="auto" w:before="2" w:after="0"/>
        <w:ind w:left="1853" w:right="1368" w:hanging="720"/>
        <w:jc w:val="left"/>
        <w:rPr>
          <w:sz w:val="18"/>
        </w:rPr>
      </w:pPr>
      <w:r>
        <w:rPr>
          <w:sz w:val="18"/>
        </w:rPr>
        <w:t>Article</w:t>
      </w:r>
      <w:r>
        <w:rPr>
          <w:spacing w:val="-3"/>
          <w:sz w:val="18"/>
        </w:rPr>
        <w:t> </w:t>
      </w:r>
      <w:r>
        <w:rPr>
          <w:sz w:val="18"/>
        </w:rPr>
        <w:t>4,</w:t>
      </w:r>
      <w:r>
        <w:rPr>
          <w:spacing w:val="-3"/>
          <w:sz w:val="18"/>
        </w:rPr>
        <w:t> </w:t>
      </w:r>
      <w:r>
        <w:rPr>
          <w:sz w:val="18"/>
        </w:rPr>
        <w:t>Agreement</w:t>
      </w:r>
      <w:r>
        <w:rPr>
          <w:spacing w:val="-3"/>
          <w:sz w:val="18"/>
        </w:rPr>
        <w:t> </w:t>
      </w:r>
      <w:r>
        <w:rPr>
          <w:sz w:val="18"/>
        </w:rPr>
        <w:t>on</w:t>
      </w:r>
      <w:r>
        <w:rPr>
          <w:spacing w:val="-4"/>
          <w:sz w:val="18"/>
        </w:rPr>
        <w:t> </w:t>
      </w:r>
      <w:r>
        <w:rPr>
          <w:sz w:val="18"/>
        </w:rPr>
        <w:t>the</w:t>
      </w:r>
      <w:r>
        <w:rPr>
          <w:spacing w:val="-3"/>
          <w:sz w:val="18"/>
        </w:rPr>
        <w:t> </w:t>
      </w:r>
      <w:r>
        <w:rPr>
          <w:sz w:val="18"/>
        </w:rPr>
        <w:t>Withdrawal</w:t>
      </w:r>
      <w:r>
        <w:rPr>
          <w:spacing w:val="-4"/>
          <w:sz w:val="18"/>
        </w:rPr>
        <w:t> </w:t>
      </w:r>
      <w:r>
        <w:rPr>
          <w:sz w:val="18"/>
        </w:rPr>
        <w:t>of</w:t>
      </w:r>
      <w:r>
        <w:rPr>
          <w:spacing w:val="-4"/>
          <w:sz w:val="18"/>
        </w:rPr>
        <w:t> </w:t>
      </w:r>
      <w:r>
        <w:rPr>
          <w:sz w:val="18"/>
        </w:rPr>
        <w:t>the</w:t>
      </w:r>
      <w:r>
        <w:rPr>
          <w:spacing w:val="-3"/>
          <w:sz w:val="18"/>
        </w:rPr>
        <w:t> </w:t>
      </w:r>
      <w:r>
        <w:rPr>
          <w:sz w:val="18"/>
        </w:rPr>
        <w:t>UK</w:t>
      </w:r>
      <w:r>
        <w:rPr>
          <w:spacing w:val="-3"/>
          <w:sz w:val="18"/>
        </w:rPr>
        <w:t> </w:t>
      </w:r>
      <w:r>
        <w:rPr>
          <w:sz w:val="18"/>
        </w:rPr>
        <w:t>of</w:t>
      </w:r>
      <w:r>
        <w:rPr>
          <w:spacing w:val="-4"/>
          <w:sz w:val="18"/>
        </w:rPr>
        <w:t> </w:t>
      </w:r>
      <w:r>
        <w:rPr>
          <w:sz w:val="18"/>
        </w:rPr>
        <w:t>Great</w:t>
      </w:r>
      <w:r>
        <w:rPr>
          <w:spacing w:val="-3"/>
          <w:sz w:val="18"/>
        </w:rPr>
        <w:t> </w:t>
      </w:r>
      <w:r>
        <w:rPr>
          <w:sz w:val="18"/>
        </w:rPr>
        <w:t>Britain</w:t>
      </w:r>
      <w:r>
        <w:rPr>
          <w:spacing w:val="-4"/>
          <w:sz w:val="18"/>
        </w:rPr>
        <w:t> </w:t>
      </w:r>
      <w:r>
        <w:rPr>
          <w:sz w:val="18"/>
        </w:rPr>
        <w:t>and</w:t>
      </w:r>
      <w:r>
        <w:rPr>
          <w:spacing w:val="-4"/>
          <w:sz w:val="18"/>
        </w:rPr>
        <w:t> </w:t>
      </w:r>
      <w:r>
        <w:rPr>
          <w:sz w:val="18"/>
        </w:rPr>
        <w:t>NI</w:t>
      </w:r>
      <w:r>
        <w:rPr>
          <w:spacing w:val="-3"/>
          <w:sz w:val="18"/>
        </w:rPr>
        <w:t> </w:t>
      </w:r>
      <w:r>
        <w:rPr>
          <w:sz w:val="18"/>
        </w:rPr>
        <w:t>from</w:t>
      </w:r>
      <w:r>
        <w:rPr>
          <w:spacing w:val="-3"/>
          <w:sz w:val="18"/>
        </w:rPr>
        <w:t> </w:t>
      </w:r>
      <w:r>
        <w:rPr>
          <w:sz w:val="18"/>
        </w:rPr>
        <w:t>the</w:t>
      </w:r>
      <w:r>
        <w:rPr>
          <w:spacing w:val="-3"/>
          <w:sz w:val="18"/>
        </w:rPr>
        <w:t> </w:t>
      </w:r>
      <w:r>
        <w:rPr>
          <w:sz w:val="18"/>
        </w:rPr>
        <w:t>EU</w:t>
      </w:r>
      <w:r>
        <w:rPr>
          <w:spacing w:val="-3"/>
          <w:sz w:val="18"/>
        </w:rPr>
        <w:t> </w:t>
      </w:r>
      <w:r>
        <w:rPr>
          <w:sz w:val="18"/>
        </w:rPr>
        <w:t>and</w:t>
      </w:r>
      <w:r>
        <w:rPr>
          <w:spacing w:val="-4"/>
          <w:sz w:val="18"/>
        </w:rPr>
        <w:t> </w:t>
      </w:r>
      <w:r>
        <w:rPr>
          <w:sz w:val="18"/>
        </w:rPr>
        <w:t>the</w:t>
      </w:r>
      <w:r>
        <w:rPr>
          <w:spacing w:val="-3"/>
          <w:sz w:val="18"/>
        </w:rPr>
        <w:t> </w:t>
      </w:r>
      <w:r>
        <w:rPr>
          <w:sz w:val="18"/>
        </w:rPr>
        <w:t>European</w:t>
      </w:r>
      <w:r>
        <w:rPr>
          <w:spacing w:val="-4"/>
          <w:sz w:val="18"/>
        </w:rPr>
        <w:t> </w:t>
      </w:r>
      <w:r>
        <w:rPr>
          <w:sz w:val="18"/>
        </w:rPr>
        <w:t>Atomic</w:t>
      </w:r>
      <w:r>
        <w:rPr>
          <w:spacing w:val="-3"/>
          <w:sz w:val="18"/>
        </w:rPr>
        <w:t> </w:t>
      </w:r>
      <w:r>
        <w:rPr>
          <w:sz w:val="18"/>
        </w:rPr>
        <w:t>Energy Community 2020.</w:t>
      </w:r>
    </w:p>
    <w:p>
      <w:pPr>
        <w:pStyle w:val="ListParagraph"/>
        <w:numPr>
          <w:ilvl w:val="0"/>
          <w:numId w:val="9"/>
        </w:numPr>
        <w:tabs>
          <w:tab w:pos="1853" w:val="left" w:leader="none"/>
        </w:tabs>
        <w:spacing w:line="216" w:lineRule="exact" w:before="0" w:after="0"/>
        <w:ind w:left="1853" w:right="0" w:hanging="720"/>
        <w:jc w:val="left"/>
        <w:rPr>
          <w:sz w:val="18"/>
        </w:rPr>
      </w:pPr>
      <w:r>
        <w:rPr>
          <w:sz w:val="18"/>
        </w:rPr>
        <w:t>House</w:t>
      </w:r>
      <w:r>
        <w:rPr>
          <w:spacing w:val="-6"/>
          <w:sz w:val="18"/>
        </w:rPr>
        <w:t> </w:t>
      </w:r>
      <w:r>
        <w:rPr>
          <w:sz w:val="18"/>
        </w:rPr>
        <w:t>of</w:t>
      </w:r>
      <w:r>
        <w:rPr>
          <w:spacing w:val="-7"/>
          <w:sz w:val="18"/>
        </w:rPr>
        <w:t> </w:t>
      </w:r>
      <w:r>
        <w:rPr>
          <w:sz w:val="18"/>
        </w:rPr>
        <w:t>Commons</w:t>
      </w:r>
      <w:r>
        <w:rPr>
          <w:spacing w:val="-6"/>
          <w:sz w:val="18"/>
        </w:rPr>
        <w:t> </w:t>
      </w:r>
      <w:r>
        <w:rPr>
          <w:sz w:val="18"/>
        </w:rPr>
        <w:t>Hansard,</w:t>
      </w:r>
      <w:r>
        <w:rPr>
          <w:spacing w:val="-6"/>
          <w:sz w:val="18"/>
        </w:rPr>
        <w:t> </w:t>
      </w:r>
      <w:r>
        <w:rPr>
          <w:sz w:val="18"/>
        </w:rPr>
        <w:t>‘NI</w:t>
      </w:r>
      <w:r>
        <w:rPr>
          <w:spacing w:val="-5"/>
          <w:sz w:val="18"/>
        </w:rPr>
        <w:t> </w:t>
      </w:r>
      <w:r>
        <w:rPr>
          <w:sz w:val="18"/>
        </w:rPr>
        <w:t>Troubles</w:t>
      </w:r>
      <w:r>
        <w:rPr>
          <w:spacing w:val="-7"/>
          <w:sz w:val="18"/>
        </w:rPr>
        <w:t> </w:t>
      </w:r>
      <w:r>
        <w:rPr>
          <w:sz w:val="18"/>
        </w:rPr>
        <w:t>(Legacy</w:t>
      </w:r>
      <w:r>
        <w:rPr>
          <w:spacing w:val="-5"/>
          <w:sz w:val="18"/>
        </w:rPr>
        <w:t> </w:t>
      </w:r>
      <w:r>
        <w:rPr>
          <w:sz w:val="18"/>
        </w:rPr>
        <w:t>and</w:t>
      </w:r>
      <w:r>
        <w:rPr>
          <w:spacing w:val="-7"/>
          <w:sz w:val="18"/>
        </w:rPr>
        <w:t> </w:t>
      </w:r>
      <w:r>
        <w:rPr>
          <w:sz w:val="18"/>
        </w:rPr>
        <w:t>Reconciliation)</w:t>
      </w:r>
      <w:r>
        <w:rPr>
          <w:spacing w:val="-6"/>
          <w:sz w:val="18"/>
        </w:rPr>
        <w:t> </w:t>
      </w:r>
      <w:r>
        <w:rPr>
          <w:sz w:val="18"/>
        </w:rPr>
        <w:t>Bill</w:t>
      </w:r>
      <w:r>
        <w:rPr>
          <w:spacing w:val="-7"/>
          <w:sz w:val="18"/>
        </w:rPr>
        <w:t> </w:t>
      </w:r>
      <w:r>
        <w:rPr>
          <w:sz w:val="18"/>
        </w:rPr>
        <w:t>–</w:t>
      </w:r>
      <w:r>
        <w:rPr>
          <w:spacing w:val="-6"/>
          <w:sz w:val="18"/>
        </w:rPr>
        <w:t> </w:t>
      </w:r>
      <w:r>
        <w:rPr>
          <w:sz w:val="18"/>
        </w:rPr>
        <w:t>Chris</w:t>
      </w:r>
      <w:r>
        <w:rPr>
          <w:spacing w:val="-7"/>
          <w:sz w:val="18"/>
        </w:rPr>
        <w:t> </w:t>
      </w:r>
      <w:r>
        <w:rPr>
          <w:sz w:val="18"/>
        </w:rPr>
        <w:t>Heaton-Harris</w:t>
      </w:r>
      <w:r>
        <w:rPr>
          <w:spacing w:val="-6"/>
          <w:sz w:val="18"/>
        </w:rPr>
        <w:t> </w:t>
      </w:r>
      <w:r>
        <w:rPr>
          <w:sz w:val="18"/>
        </w:rPr>
        <w:t>MP’,</w:t>
      </w:r>
      <w:r>
        <w:rPr>
          <w:spacing w:val="-6"/>
          <w:sz w:val="18"/>
        </w:rPr>
        <w:t> </w:t>
      </w:r>
      <w:r>
        <w:rPr>
          <w:sz w:val="18"/>
        </w:rPr>
        <w:t>6</w:t>
      </w:r>
      <w:r>
        <w:rPr>
          <w:spacing w:val="-5"/>
          <w:sz w:val="18"/>
        </w:rPr>
        <w:t> </w:t>
      </w:r>
      <w:r>
        <w:rPr>
          <w:sz w:val="18"/>
        </w:rPr>
        <w:t>September</w:t>
      </w:r>
      <w:r>
        <w:rPr>
          <w:spacing w:val="-6"/>
          <w:sz w:val="18"/>
        </w:rPr>
        <w:t> </w:t>
      </w:r>
      <w:r>
        <w:rPr>
          <w:spacing w:val="-2"/>
          <w:sz w:val="18"/>
        </w:rPr>
        <w:t>2023.</w:t>
      </w:r>
    </w:p>
    <w:p>
      <w:pPr>
        <w:pStyle w:val="ListParagraph"/>
        <w:numPr>
          <w:ilvl w:val="0"/>
          <w:numId w:val="9"/>
        </w:numPr>
        <w:tabs>
          <w:tab w:pos="1853" w:val="left" w:leader="none"/>
        </w:tabs>
        <w:spacing w:line="235" w:lineRule="auto" w:before="1" w:after="0"/>
        <w:ind w:left="1853" w:right="1530" w:hanging="720"/>
        <w:jc w:val="left"/>
        <w:rPr>
          <w:sz w:val="18"/>
        </w:rPr>
      </w:pPr>
      <w:r>
        <w:rPr>
          <w:sz w:val="18"/>
        </w:rPr>
        <w:t>NI Office, ‘Press Release: Secretary of State announces Independent Commission for Reconciliation and Information Recovery</w:t>
      </w:r>
      <w:r>
        <w:rPr>
          <w:spacing w:val="-4"/>
          <w:sz w:val="18"/>
        </w:rPr>
        <w:t> </w:t>
      </w:r>
      <w:r>
        <w:rPr>
          <w:sz w:val="18"/>
        </w:rPr>
        <w:t>Chief</w:t>
      </w:r>
      <w:r>
        <w:rPr>
          <w:spacing w:val="-5"/>
          <w:sz w:val="18"/>
        </w:rPr>
        <w:t> </w:t>
      </w:r>
      <w:r>
        <w:rPr>
          <w:sz w:val="18"/>
        </w:rPr>
        <w:t>Commissioner’,</w:t>
      </w:r>
      <w:r>
        <w:rPr>
          <w:spacing w:val="-4"/>
          <w:sz w:val="18"/>
        </w:rPr>
        <w:t> </w:t>
      </w:r>
      <w:r>
        <w:rPr>
          <w:sz w:val="18"/>
        </w:rPr>
        <w:t>11</w:t>
      </w:r>
      <w:r>
        <w:rPr>
          <w:spacing w:val="-4"/>
          <w:sz w:val="18"/>
        </w:rPr>
        <w:t> </w:t>
      </w:r>
      <w:r>
        <w:rPr>
          <w:sz w:val="18"/>
        </w:rPr>
        <w:t>May</w:t>
      </w:r>
      <w:r>
        <w:rPr>
          <w:spacing w:val="-4"/>
          <w:sz w:val="18"/>
        </w:rPr>
        <w:t> </w:t>
      </w:r>
      <w:r>
        <w:rPr>
          <w:sz w:val="18"/>
        </w:rPr>
        <w:t>2023.</w:t>
      </w:r>
      <w:r>
        <w:rPr>
          <w:spacing w:val="31"/>
          <w:sz w:val="18"/>
        </w:rPr>
        <w:t> </w:t>
      </w:r>
      <w:r>
        <w:rPr>
          <w:sz w:val="18"/>
        </w:rPr>
        <w:t>Other</w:t>
      </w:r>
      <w:r>
        <w:rPr>
          <w:spacing w:val="-4"/>
          <w:sz w:val="18"/>
        </w:rPr>
        <w:t> </w:t>
      </w:r>
      <w:r>
        <w:rPr>
          <w:sz w:val="18"/>
        </w:rPr>
        <w:t>roles</w:t>
      </w:r>
      <w:r>
        <w:rPr>
          <w:spacing w:val="-5"/>
          <w:sz w:val="18"/>
        </w:rPr>
        <w:t> </w:t>
      </w:r>
      <w:r>
        <w:rPr>
          <w:sz w:val="18"/>
        </w:rPr>
        <w:t>have</w:t>
      </w:r>
      <w:r>
        <w:rPr>
          <w:spacing w:val="-4"/>
          <w:sz w:val="18"/>
        </w:rPr>
        <w:t> </w:t>
      </w:r>
      <w:r>
        <w:rPr>
          <w:sz w:val="18"/>
        </w:rPr>
        <w:t>subsequently</w:t>
      </w:r>
      <w:r>
        <w:rPr>
          <w:spacing w:val="-4"/>
          <w:sz w:val="18"/>
        </w:rPr>
        <w:t> </w:t>
      </w:r>
      <w:r>
        <w:rPr>
          <w:sz w:val="18"/>
        </w:rPr>
        <w:t>been</w:t>
      </w:r>
      <w:r>
        <w:rPr>
          <w:spacing w:val="-5"/>
          <w:sz w:val="18"/>
        </w:rPr>
        <w:t> </w:t>
      </w:r>
      <w:r>
        <w:rPr>
          <w:sz w:val="18"/>
        </w:rPr>
        <w:t>filled,</w:t>
      </w:r>
      <w:r>
        <w:rPr>
          <w:spacing w:val="-4"/>
          <w:sz w:val="18"/>
        </w:rPr>
        <w:t> </w:t>
      </w:r>
      <w:r>
        <w:rPr>
          <w:sz w:val="18"/>
        </w:rPr>
        <w:t>including</w:t>
      </w:r>
      <w:r>
        <w:rPr>
          <w:spacing w:val="-4"/>
          <w:sz w:val="18"/>
        </w:rPr>
        <w:t> </w:t>
      </w:r>
      <w:r>
        <w:rPr>
          <w:sz w:val="18"/>
        </w:rPr>
        <w:t>the</w:t>
      </w:r>
      <w:r>
        <w:rPr>
          <w:spacing w:val="-4"/>
          <w:sz w:val="18"/>
        </w:rPr>
        <w:t> </w:t>
      </w:r>
      <w:r>
        <w:rPr>
          <w:sz w:val="18"/>
        </w:rPr>
        <w:t>Commissioner</w:t>
      </w:r>
    </w:p>
    <w:p>
      <w:pPr>
        <w:spacing w:line="235" w:lineRule="auto" w:before="1"/>
        <w:ind w:left="1853" w:right="1171" w:firstLine="0"/>
        <w:jc w:val="left"/>
        <w:rPr>
          <w:sz w:val="18"/>
        </w:rPr>
      </w:pPr>
      <w:r>
        <w:rPr>
          <w:sz w:val="18"/>
        </w:rPr>
        <w:t>for</w:t>
      </w:r>
      <w:r>
        <w:rPr>
          <w:spacing w:val="-6"/>
          <w:sz w:val="18"/>
        </w:rPr>
        <w:t> </w:t>
      </w:r>
      <w:r>
        <w:rPr>
          <w:sz w:val="18"/>
        </w:rPr>
        <w:t>Investigations</w:t>
      </w:r>
      <w:r>
        <w:rPr>
          <w:spacing w:val="-7"/>
          <w:sz w:val="18"/>
        </w:rPr>
        <w:t> </w:t>
      </w:r>
      <w:r>
        <w:rPr>
          <w:sz w:val="18"/>
        </w:rPr>
        <w:t>-</w:t>
      </w:r>
      <w:r>
        <w:rPr>
          <w:spacing w:val="-7"/>
          <w:sz w:val="18"/>
        </w:rPr>
        <w:t> </w:t>
      </w:r>
      <w:r>
        <w:rPr>
          <w:sz w:val="18"/>
        </w:rPr>
        <w:t>NI</w:t>
      </w:r>
      <w:r>
        <w:rPr>
          <w:spacing w:val="-6"/>
          <w:sz w:val="18"/>
        </w:rPr>
        <w:t> </w:t>
      </w:r>
      <w:r>
        <w:rPr>
          <w:sz w:val="18"/>
        </w:rPr>
        <w:t>Office,</w:t>
      </w:r>
      <w:r>
        <w:rPr>
          <w:spacing w:val="-6"/>
          <w:sz w:val="18"/>
        </w:rPr>
        <w:t> </w:t>
      </w:r>
      <w:r>
        <w:rPr>
          <w:sz w:val="18"/>
        </w:rPr>
        <w:t>‘Press</w:t>
      </w:r>
      <w:r>
        <w:rPr>
          <w:spacing w:val="-7"/>
          <w:sz w:val="18"/>
        </w:rPr>
        <w:t> </w:t>
      </w:r>
      <w:r>
        <w:rPr>
          <w:sz w:val="18"/>
        </w:rPr>
        <w:t>Release:</w:t>
      </w:r>
      <w:r>
        <w:rPr>
          <w:spacing w:val="-6"/>
          <w:sz w:val="18"/>
        </w:rPr>
        <w:t> </w:t>
      </w:r>
      <w:r>
        <w:rPr>
          <w:sz w:val="18"/>
        </w:rPr>
        <w:t>Appointment</w:t>
      </w:r>
      <w:r>
        <w:rPr>
          <w:spacing w:val="-6"/>
          <w:sz w:val="18"/>
        </w:rPr>
        <w:t> </w:t>
      </w:r>
      <w:r>
        <w:rPr>
          <w:sz w:val="18"/>
        </w:rPr>
        <w:t>of</w:t>
      </w:r>
      <w:r>
        <w:rPr>
          <w:spacing w:val="-7"/>
          <w:sz w:val="18"/>
        </w:rPr>
        <w:t> </w:t>
      </w:r>
      <w:r>
        <w:rPr>
          <w:sz w:val="18"/>
        </w:rPr>
        <w:t>Commissioner</w:t>
      </w:r>
      <w:r>
        <w:rPr>
          <w:spacing w:val="-6"/>
          <w:sz w:val="18"/>
        </w:rPr>
        <w:t> </w:t>
      </w:r>
      <w:r>
        <w:rPr>
          <w:sz w:val="18"/>
        </w:rPr>
        <w:t>for</w:t>
      </w:r>
      <w:r>
        <w:rPr>
          <w:spacing w:val="-6"/>
          <w:sz w:val="18"/>
        </w:rPr>
        <w:t> </w:t>
      </w:r>
      <w:r>
        <w:rPr>
          <w:sz w:val="18"/>
        </w:rPr>
        <w:t>Investigations</w:t>
      </w:r>
      <w:r>
        <w:rPr>
          <w:spacing w:val="-7"/>
          <w:sz w:val="18"/>
        </w:rPr>
        <w:t> </w:t>
      </w:r>
      <w:r>
        <w:rPr>
          <w:sz w:val="18"/>
        </w:rPr>
        <w:t>of</w:t>
      </w:r>
      <w:r>
        <w:rPr>
          <w:spacing w:val="-7"/>
          <w:sz w:val="18"/>
        </w:rPr>
        <w:t> </w:t>
      </w:r>
      <w:r>
        <w:rPr>
          <w:sz w:val="18"/>
        </w:rPr>
        <w:t>Independent</w:t>
      </w:r>
      <w:r>
        <w:rPr>
          <w:spacing w:val="-6"/>
          <w:sz w:val="18"/>
        </w:rPr>
        <w:t> </w:t>
      </w:r>
      <w:r>
        <w:rPr>
          <w:sz w:val="18"/>
        </w:rPr>
        <w:t>Commission for Reconciliation and Information Recovery’, 14 September 2023.</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215"/>
      </w:pPr>
      <w:r>
        <w:rPr/>
        <w:t>conduct different aspects of its work.</w:t>
      </w:r>
      <w:r>
        <w:rPr>
          <w:vertAlign w:val="superscript"/>
        </w:rPr>
        <w:t>467</w:t>
      </w:r>
      <w:r>
        <w:rPr>
          <w:spacing w:val="40"/>
          <w:vertAlign w:val="baseline"/>
        </w:rPr>
        <w:t> </w:t>
      </w:r>
      <w:r>
        <w:rPr>
          <w:vertAlign w:val="baseline"/>
        </w:rPr>
        <w:t>ICRIR will conduct reviews, on request, into deaths and serious injuries resulting from, or connected with, conduct during the Troubles. ICRIR is also tasked with producing a historical record of all remaining deaths that occurred during the Troubles which are not subject to a review. The 2023 Act provided that ICRIR would operate a conditional immunity scheme for certain Troubles-related offences and that most Troubles-related proceedings will cease by 1 May 2024. The 2023 Act also</w:t>
      </w:r>
      <w:r>
        <w:rPr>
          <w:spacing w:val="-10"/>
          <w:vertAlign w:val="baseline"/>
        </w:rPr>
        <w:t> </w:t>
      </w:r>
      <w:r>
        <w:rPr>
          <w:vertAlign w:val="baseline"/>
        </w:rPr>
        <w:t>establishes</w:t>
      </w:r>
      <w:r>
        <w:rPr>
          <w:spacing w:val="-10"/>
          <w:vertAlign w:val="baseline"/>
        </w:rPr>
        <w:t> </w:t>
      </w:r>
      <w:r>
        <w:rPr>
          <w:vertAlign w:val="baseline"/>
        </w:rPr>
        <w:t>several</w:t>
      </w:r>
      <w:r>
        <w:rPr>
          <w:spacing w:val="-10"/>
          <w:vertAlign w:val="baseline"/>
        </w:rPr>
        <w:t> </w:t>
      </w:r>
      <w:r>
        <w:rPr>
          <w:vertAlign w:val="baseline"/>
        </w:rPr>
        <w:t>statutory-based</w:t>
      </w:r>
      <w:r>
        <w:rPr>
          <w:spacing w:val="-10"/>
          <w:vertAlign w:val="baseline"/>
        </w:rPr>
        <w:t> </w:t>
      </w:r>
      <w:r>
        <w:rPr>
          <w:vertAlign w:val="baseline"/>
        </w:rPr>
        <w:t>initiatives</w:t>
      </w:r>
      <w:r>
        <w:rPr>
          <w:spacing w:val="-10"/>
          <w:vertAlign w:val="baseline"/>
        </w:rPr>
        <w:t> </w:t>
      </w:r>
      <w:r>
        <w:rPr>
          <w:vertAlign w:val="baseline"/>
        </w:rPr>
        <w:t>aimed</w:t>
      </w:r>
      <w:r>
        <w:rPr>
          <w:spacing w:val="-10"/>
          <w:vertAlign w:val="baseline"/>
        </w:rPr>
        <w:t> </w:t>
      </w:r>
      <w:r>
        <w:rPr>
          <w:vertAlign w:val="baseline"/>
        </w:rPr>
        <w:t>at</w:t>
      </w:r>
      <w:r>
        <w:rPr>
          <w:spacing w:val="-9"/>
          <w:vertAlign w:val="baseline"/>
        </w:rPr>
        <w:t> </w:t>
      </w:r>
      <w:r>
        <w:rPr>
          <w:vertAlign w:val="baseline"/>
        </w:rPr>
        <w:t>memorialising</w:t>
      </w:r>
      <w:r>
        <w:rPr>
          <w:spacing w:val="-9"/>
          <w:vertAlign w:val="baseline"/>
        </w:rPr>
        <w:t> </w:t>
      </w:r>
      <w:r>
        <w:rPr>
          <w:vertAlign w:val="baseline"/>
        </w:rPr>
        <w:t>the </w:t>
      </w:r>
      <w:r>
        <w:rPr>
          <w:spacing w:val="-2"/>
          <w:vertAlign w:val="baseline"/>
        </w:rPr>
        <w:t>Troubles.</w:t>
      </w:r>
    </w:p>
    <w:p>
      <w:pPr>
        <w:pStyle w:val="ListParagraph"/>
        <w:numPr>
          <w:ilvl w:val="1"/>
          <w:numId w:val="7"/>
        </w:numPr>
        <w:tabs>
          <w:tab w:pos="1853" w:val="left" w:leader="none"/>
        </w:tabs>
        <w:spacing w:line="225" w:lineRule="auto" w:before="309" w:after="0"/>
        <w:ind w:left="1853" w:right="1249" w:hanging="720"/>
        <w:jc w:val="left"/>
        <w:rPr>
          <w:sz w:val="28"/>
        </w:rPr>
      </w:pPr>
      <w:r>
        <w:rPr>
          <w:sz w:val="28"/>
        </w:rPr>
        <w:t>In September 2023, a number of separate judicial reviews were lodged arguing</w:t>
      </w:r>
      <w:r>
        <w:rPr>
          <w:spacing w:val="-4"/>
          <w:sz w:val="28"/>
        </w:rPr>
        <w:t> </w:t>
      </w:r>
      <w:r>
        <w:rPr>
          <w:sz w:val="28"/>
        </w:rPr>
        <w:t>that</w:t>
      </w:r>
      <w:r>
        <w:rPr>
          <w:spacing w:val="-4"/>
          <w:sz w:val="28"/>
        </w:rPr>
        <w:t> </w:t>
      </w:r>
      <w:r>
        <w:rPr>
          <w:sz w:val="28"/>
        </w:rPr>
        <w:t>the</w:t>
      </w:r>
      <w:r>
        <w:rPr>
          <w:spacing w:val="-4"/>
          <w:sz w:val="28"/>
        </w:rPr>
        <w:t> </w:t>
      </w:r>
      <w:r>
        <w:rPr>
          <w:sz w:val="28"/>
        </w:rPr>
        <w:t>NI</w:t>
      </w:r>
      <w:r>
        <w:rPr>
          <w:spacing w:val="-4"/>
          <w:sz w:val="28"/>
        </w:rPr>
        <w:t> </w:t>
      </w:r>
      <w:r>
        <w:rPr>
          <w:sz w:val="28"/>
        </w:rPr>
        <w:t>Troubles</w:t>
      </w:r>
      <w:r>
        <w:rPr>
          <w:spacing w:val="-5"/>
          <w:sz w:val="28"/>
        </w:rPr>
        <w:t> </w:t>
      </w:r>
      <w:r>
        <w:rPr>
          <w:sz w:val="28"/>
        </w:rPr>
        <w:t>(Legacy</w:t>
      </w:r>
      <w:r>
        <w:rPr>
          <w:spacing w:val="-4"/>
          <w:sz w:val="28"/>
        </w:rPr>
        <w:t> </w:t>
      </w:r>
      <w:r>
        <w:rPr>
          <w:sz w:val="28"/>
        </w:rPr>
        <w:t>and</w:t>
      </w:r>
      <w:r>
        <w:rPr>
          <w:spacing w:val="-5"/>
          <w:sz w:val="28"/>
        </w:rPr>
        <w:t> </w:t>
      </w:r>
      <w:r>
        <w:rPr>
          <w:sz w:val="28"/>
        </w:rPr>
        <w:t>Reconciliation)</w:t>
      </w:r>
      <w:r>
        <w:rPr>
          <w:spacing w:val="-5"/>
          <w:sz w:val="28"/>
        </w:rPr>
        <w:t> </w:t>
      </w:r>
      <w:r>
        <w:rPr>
          <w:sz w:val="28"/>
        </w:rPr>
        <w:t>Act</w:t>
      </w:r>
      <w:r>
        <w:rPr>
          <w:spacing w:val="-4"/>
          <w:sz w:val="28"/>
        </w:rPr>
        <w:t> </w:t>
      </w:r>
      <w:r>
        <w:rPr>
          <w:sz w:val="28"/>
        </w:rPr>
        <w:t>2023</w:t>
      </w:r>
      <w:r>
        <w:rPr>
          <w:spacing w:val="-4"/>
          <w:sz w:val="28"/>
        </w:rPr>
        <w:t> </w:t>
      </w:r>
      <w:r>
        <w:rPr>
          <w:sz w:val="28"/>
        </w:rPr>
        <w:t>violates</w:t>
      </w:r>
      <w:r>
        <w:rPr>
          <w:spacing w:val="-5"/>
          <w:sz w:val="28"/>
        </w:rPr>
        <w:t> </w:t>
      </w:r>
      <w:r>
        <w:rPr>
          <w:sz w:val="28"/>
        </w:rPr>
        <w:t>the ECHR</w:t>
      </w:r>
      <w:r>
        <w:rPr>
          <w:spacing w:val="-8"/>
          <w:sz w:val="28"/>
        </w:rPr>
        <w:t> </w:t>
      </w:r>
      <w:r>
        <w:rPr>
          <w:sz w:val="28"/>
        </w:rPr>
        <w:t>and</w:t>
      </w:r>
      <w:r>
        <w:rPr>
          <w:spacing w:val="-8"/>
          <w:sz w:val="28"/>
        </w:rPr>
        <w:t> </w:t>
      </w:r>
      <w:r>
        <w:rPr>
          <w:sz w:val="28"/>
        </w:rPr>
        <w:t>is</w:t>
      </w:r>
      <w:r>
        <w:rPr>
          <w:spacing w:val="-8"/>
          <w:sz w:val="28"/>
        </w:rPr>
        <w:t> </w:t>
      </w:r>
      <w:r>
        <w:rPr>
          <w:sz w:val="28"/>
        </w:rPr>
        <w:t>not</w:t>
      </w:r>
      <w:r>
        <w:rPr>
          <w:spacing w:val="-7"/>
          <w:sz w:val="28"/>
        </w:rPr>
        <w:t> </w:t>
      </w:r>
      <w:r>
        <w:rPr>
          <w:sz w:val="28"/>
        </w:rPr>
        <w:t>compliant</w:t>
      </w:r>
      <w:r>
        <w:rPr>
          <w:spacing w:val="-7"/>
          <w:sz w:val="28"/>
        </w:rPr>
        <w:t> </w:t>
      </w:r>
      <w:r>
        <w:rPr>
          <w:sz w:val="28"/>
        </w:rPr>
        <w:t>with</w:t>
      </w:r>
      <w:r>
        <w:rPr>
          <w:spacing w:val="-8"/>
          <w:sz w:val="28"/>
        </w:rPr>
        <w:t> </w:t>
      </w:r>
      <w:r>
        <w:rPr>
          <w:sz w:val="28"/>
        </w:rPr>
        <w:t>Windsor</w:t>
      </w:r>
      <w:r>
        <w:rPr>
          <w:spacing w:val="-7"/>
          <w:sz w:val="28"/>
        </w:rPr>
        <w:t> </w:t>
      </w:r>
      <w:r>
        <w:rPr>
          <w:sz w:val="28"/>
        </w:rPr>
        <w:t>Framework</w:t>
      </w:r>
      <w:r>
        <w:rPr>
          <w:spacing w:val="-7"/>
          <w:sz w:val="28"/>
        </w:rPr>
        <w:t> </w:t>
      </w:r>
      <w:r>
        <w:rPr>
          <w:sz w:val="28"/>
        </w:rPr>
        <w:t>Article</w:t>
      </w:r>
      <w:r>
        <w:rPr>
          <w:spacing w:val="-7"/>
          <w:sz w:val="28"/>
        </w:rPr>
        <w:t> </w:t>
      </w:r>
      <w:r>
        <w:rPr>
          <w:sz w:val="28"/>
        </w:rPr>
        <w:t>2.</w:t>
      </w:r>
      <w:r>
        <w:rPr>
          <w:sz w:val="28"/>
          <w:vertAlign w:val="superscript"/>
        </w:rPr>
        <w:t>468</w:t>
      </w:r>
      <w:r>
        <w:rPr>
          <w:spacing w:val="-8"/>
          <w:sz w:val="28"/>
          <w:vertAlign w:val="baseline"/>
        </w:rPr>
        <w:t> </w:t>
      </w:r>
      <w:r>
        <w:rPr>
          <w:sz w:val="28"/>
          <w:vertAlign w:val="baseline"/>
        </w:rPr>
        <w:t>In</w:t>
      </w:r>
      <w:r>
        <w:rPr>
          <w:spacing w:val="-8"/>
          <w:sz w:val="28"/>
          <w:vertAlign w:val="baseline"/>
        </w:rPr>
        <w:t> </w:t>
      </w:r>
      <w:r>
        <w:rPr>
          <w:sz w:val="28"/>
          <w:vertAlign w:val="baseline"/>
        </w:rPr>
        <w:t>November 2023, the High Court heard three cases that were identified as best suited</w:t>
      </w:r>
    </w:p>
    <w:p>
      <w:pPr>
        <w:pStyle w:val="BodyText"/>
        <w:spacing w:line="225" w:lineRule="auto"/>
        <w:ind w:left="1853" w:right="1171"/>
      </w:pPr>
      <w:r>
        <w:rPr/>
        <w:t>to determine the issues raised. Both Commissions were granted leave to intervene: the NIHRC</w:t>
      </w:r>
      <w:r>
        <w:rPr>
          <w:spacing w:val="-1"/>
        </w:rPr>
        <w:t> </w:t>
      </w:r>
      <w:r>
        <w:rPr/>
        <w:t>on</w:t>
      </w:r>
      <w:r>
        <w:rPr>
          <w:spacing w:val="-1"/>
        </w:rPr>
        <w:t> </w:t>
      </w:r>
      <w:r>
        <w:rPr/>
        <w:t>grounds</w:t>
      </w:r>
      <w:r>
        <w:rPr>
          <w:spacing w:val="-1"/>
        </w:rPr>
        <w:t> </w:t>
      </w:r>
      <w:r>
        <w:rPr/>
        <w:t>relating to</w:t>
      </w:r>
      <w:r>
        <w:rPr>
          <w:spacing w:val="-1"/>
        </w:rPr>
        <w:t> </w:t>
      </w:r>
      <w:r>
        <w:rPr/>
        <w:t>the correct interpretation</w:t>
      </w:r>
      <w:r>
        <w:rPr>
          <w:spacing w:val="-1"/>
        </w:rPr>
        <w:t> </w:t>
      </w:r>
      <w:r>
        <w:rPr/>
        <w:t>and application</w:t>
      </w:r>
      <w:r>
        <w:rPr>
          <w:spacing w:val="-6"/>
        </w:rPr>
        <w:t> </w:t>
      </w:r>
      <w:r>
        <w:rPr/>
        <w:t>of</w:t>
      </w:r>
      <w:r>
        <w:rPr>
          <w:spacing w:val="-6"/>
        </w:rPr>
        <w:t> </w:t>
      </w:r>
      <w:r>
        <w:rPr/>
        <w:t>the</w:t>
      </w:r>
      <w:r>
        <w:rPr>
          <w:spacing w:val="-5"/>
        </w:rPr>
        <w:t> </w:t>
      </w:r>
      <w:r>
        <w:rPr/>
        <w:t>ECHR</w:t>
      </w:r>
      <w:r>
        <w:rPr>
          <w:spacing w:val="-6"/>
        </w:rPr>
        <w:t> </w:t>
      </w:r>
      <w:r>
        <w:rPr/>
        <w:t>and</w:t>
      </w:r>
      <w:r>
        <w:rPr>
          <w:spacing w:val="-6"/>
        </w:rPr>
        <w:t> </w:t>
      </w:r>
      <w:r>
        <w:rPr/>
        <w:t>Windsor</w:t>
      </w:r>
      <w:r>
        <w:rPr>
          <w:spacing w:val="-5"/>
        </w:rPr>
        <w:t> </w:t>
      </w:r>
      <w:r>
        <w:rPr/>
        <w:t>Framework</w:t>
      </w:r>
      <w:r>
        <w:rPr>
          <w:spacing w:val="-5"/>
        </w:rPr>
        <w:t> </w:t>
      </w:r>
      <w:r>
        <w:rPr/>
        <w:t>Article</w:t>
      </w:r>
      <w:r>
        <w:rPr>
          <w:spacing w:val="-5"/>
        </w:rPr>
        <w:t> </w:t>
      </w:r>
      <w:r>
        <w:rPr/>
        <w:t>2;</w:t>
      </w:r>
      <w:r>
        <w:rPr>
          <w:spacing w:val="-5"/>
        </w:rPr>
        <w:t> </w:t>
      </w:r>
      <w:r>
        <w:rPr/>
        <w:t>and</w:t>
      </w:r>
      <w:r>
        <w:rPr>
          <w:spacing w:val="-6"/>
        </w:rPr>
        <w:t> </w:t>
      </w:r>
      <w:r>
        <w:rPr/>
        <w:t>the</w:t>
      </w:r>
      <w:r>
        <w:rPr>
          <w:spacing w:val="-5"/>
        </w:rPr>
        <w:t> </w:t>
      </w:r>
      <w:r>
        <w:rPr/>
        <w:t>ECNI</w:t>
      </w:r>
      <w:r>
        <w:rPr>
          <w:spacing w:val="-5"/>
        </w:rPr>
        <w:t> </w:t>
      </w:r>
      <w:r>
        <w:rPr/>
        <w:t>on Windsor Framework Article 2 grounds only.</w:t>
      </w:r>
    </w:p>
    <w:p>
      <w:pPr>
        <w:pStyle w:val="ListParagraph"/>
        <w:numPr>
          <w:ilvl w:val="1"/>
          <w:numId w:val="7"/>
        </w:numPr>
        <w:tabs>
          <w:tab w:pos="1853" w:val="left" w:leader="none"/>
        </w:tabs>
        <w:spacing w:line="225" w:lineRule="auto" w:before="309" w:after="0"/>
        <w:ind w:left="1853" w:right="1311" w:hanging="720"/>
        <w:jc w:val="left"/>
        <w:rPr>
          <w:sz w:val="28"/>
        </w:rPr>
      </w:pPr>
      <w:r>
        <w:rPr>
          <w:sz w:val="28"/>
        </w:rPr>
        <w:t>In February 2024, the High Court found that the conditional immunity scheme breaches Articles 2 and 3 of the ECHR, noting that “victims have no role or say in these decisions” and made a declaration of incompatibility.</w:t>
      </w:r>
      <w:r>
        <w:rPr>
          <w:sz w:val="28"/>
          <w:vertAlign w:val="superscript"/>
        </w:rPr>
        <w:t>469</w:t>
      </w:r>
      <w:r>
        <w:rPr>
          <w:sz w:val="28"/>
          <w:vertAlign w:val="baseline"/>
        </w:rPr>
        <w:t> The High Court also found that the removal of the possibility of prosecution was incompatible with the EU Victims’ Directive and therefore breaches Windsor Framework Article 2.</w:t>
      </w:r>
      <w:r>
        <w:rPr>
          <w:sz w:val="28"/>
          <w:vertAlign w:val="superscript"/>
        </w:rPr>
        <w:t>470</w:t>
      </w:r>
      <w:r>
        <w:rPr>
          <w:sz w:val="28"/>
          <w:vertAlign w:val="baseline"/>
        </w:rPr>
        <w:t> The Court held that pursuant to S7A of the EU (Withdrawal) Act 2018, Windsor Framework Article 2 has primacy over the</w:t>
      </w:r>
      <w:r>
        <w:rPr>
          <w:spacing w:val="-6"/>
          <w:sz w:val="28"/>
          <w:vertAlign w:val="baseline"/>
        </w:rPr>
        <w:t> </w:t>
      </w:r>
      <w:r>
        <w:rPr>
          <w:sz w:val="28"/>
          <w:vertAlign w:val="baseline"/>
        </w:rPr>
        <w:t>conflicting</w:t>
      </w:r>
      <w:r>
        <w:rPr>
          <w:spacing w:val="-6"/>
          <w:sz w:val="28"/>
          <w:vertAlign w:val="baseline"/>
        </w:rPr>
        <w:t> </w:t>
      </w:r>
      <w:r>
        <w:rPr>
          <w:sz w:val="28"/>
          <w:vertAlign w:val="baseline"/>
        </w:rPr>
        <w:t>provisions</w:t>
      </w:r>
      <w:r>
        <w:rPr>
          <w:spacing w:val="-7"/>
          <w:sz w:val="28"/>
          <w:vertAlign w:val="baseline"/>
        </w:rPr>
        <w:t> </w:t>
      </w:r>
      <w:r>
        <w:rPr>
          <w:sz w:val="28"/>
          <w:vertAlign w:val="baseline"/>
        </w:rPr>
        <w:t>of</w:t>
      </w:r>
      <w:r>
        <w:rPr>
          <w:spacing w:val="-7"/>
          <w:sz w:val="28"/>
          <w:vertAlign w:val="baseline"/>
        </w:rPr>
        <w:t> </w:t>
      </w:r>
      <w:r>
        <w:rPr>
          <w:sz w:val="28"/>
          <w:vertAlign w:val="baseline"/>
        </w:rPr>
        <w:t>the</w:t>
      </w:r>
      <w:r>
        <w:rPr>
          <w:spacing w:val="-6"/>
          <w:sz w:val="28"/>
          <w:vertAlign w:val="baseline"/>
        </w:rPr>
        <w:t> </w:t>
      </w:r>
      <w:r>
        <w:rPr>
          <w:sz w:val="28"/>
          <w:vertAlign w:val="baseline"/>
        </w:rPr>
        <w:t>Act</w:t>
      </w:r>
      <w:r>
        <w:rPr>
          <w:spacing w:val="-6"/>
          <w:sz w:val="28"/>
          <w:vertAlign w:val="baseline"/>
        </w:rPr>
        <w:t> </w:t>
      </w:r>
      <w:r>
        <w:rPr>
          <w:sz w:val="28"/>
          <w:vertAlign w:val="baseline"/>
        </w:rPr>
        <w:t>and</w:t>
      </w:r>
      <w:r>
        <w:rPr>
          <w:spacing w:val="-7"/>
          <w:sz w:val="28"/>
          <w:vertAlign w:val="baseline"/>
        </w:rPr>
        <w:t> </w:t>
      </w:r>
      <w:r>
        <w:rPr>
          <w:sz w:val="28"/>
          <w:vertAlign w:val="baseline"/>
        </w:rPr>
        <w:t>therefore</w:t>
      </w:r>
      <w:r>
        <w:rPr>
          <w:spacing w:val="-6"/>
          <w:sz w:val="28"/>
          <w:vertAlign w:val="baseline"/>
        </w:rPr>
        <w:t> </w:t>
      </w:r>
      <w:r>
        <w:rPr>
          <w:sz w:val="28"/>
          <w:vertAlign w:val="baseline"/>
        </w:rPr>
        <w:t>those</w:t>
      </w:r>
      <w:r>
        <w:rPr>
          <w:spacing w:val="-6"/>
          <w:sz w:val="28"/>
          <w:vertAlign w:val="baseline"/>
        </w:rPr>
        <w:t> </w:t>
      </w:r>
      <w:r>
        <w:rPr>
          <w:sz w:val="28"/>
          <w:vertAlign w:val="baseline"/>
        </w:rPr>
        <w:t>provisions</w:t>
      </w:r>
      <w:r>
        <w:rPr>
          <w:spacing w:val="-7"/>
          <w:sz w:val="28"/>
          <w:vertAlign w:val="baseline"/>
        </w:rPr>
        <w:t> </w:t>
      </w:r>
      <w:r>
        <w:rPr>
          <w:sz w:val="28"/>
          <w:vertAlign w:val="baseline"/>
        </w:rPr>
        <w:t>should</w:t>
      </w:r>
      <w:r>
        <w:rPr>
          <w:spacing w:val="-7"/>
          <w:sz w:val="28"/>
          <w:vertAlign w:val="baseline"/>
        </w:rPr>
        <w:t> </w:t>
      </w:r>
      <w:r>
        <w:rPr>
          <w:sz w:val="28"/>
          <w:vertAlign w:val="baseline"/>
        </w:rPr>
        <w:t>be </w:t>
      </w:r>
      <w:r>
        <w:rPr>
          <w:spacing w:val="-2"/>
          <w:sz w:val="28"/>
          <w:vertAlign w:val="baseline"/>
        </w:rPr>
        <w:t>disapplied.</w:t>
      </w:r>
      <w:r>
        <w:rPr>
          <w:spacing w:val="-2"/>
          <w:sz w:val="28"/>
          <w:vertAlign w:val="superscript"/>
        </w:rPr>
        <w:t>471</w:t>
      </w:r>
    </w:p>
    <w:p>
      <w:pPr>
        <w:pStyle w:val="ListParagraph"/>
        <w:numPr>
          <w:ilvl w:val="1"/>
          <w:numId w:val="7"/>
        </w:numPr>
        <w:tabs>
          <w:tab w:pos="1853" w:val="left" w:leader="none"/>
        </w:tabs>
        <w:spacing w:line="225" w:lineRule="auto" w:before="309" w:after="0"/>
        <w:ind w:left="1853" w:right="1484" w:hanging="720"/>
        <w:jc w:val="left"/>
        <w:rPr>
          <w:sz w:val="28"/>
        </w:rPr>
      </w:pPr>
      <w:r>
        <w:rPr>
          <w:sz w:val="28"/>
        </w:rPr>
        <w:t>In February 2024, the NIHRC raised the above issues in its submission to</w:t>
      </w:r>
      <w:r>
        <w:rPr>
          <w:sz w:val="28"/>
        </w:rPr>
        <w:t> the UN Human Rights Committee.</w:t>
      </w:r>
      <w:r>
        <w:rPr>
          <w:sz w:val="28"/>
          <w:vertAlign w:val="superscript"/>
        </w:rPr>
        <w:t>472</w:t>
      </w:r>
      <w:r>
        <w:rPr>
          <w:sz w:val="28"/>
          <w:vertAlign w:val="baseline"/>
        </w:rPr>
        <w:t> In March 2024, the UN Human Rights Committee</w:t>
      </w:r>
      <w:r>
        <w:rPr>
          <w:spacing w:val="-6"/>
          <w:sz w:val="28"/>
          <w:vertAlign w:val="baseline"/>
        </w:rPr>
        <w:t> </w:t>
      </w:r>
      <w:r>
        <w:rPr>
          <w:sz w:val="28"/>
          <w:vertAlign w:val="baseline"/>
        </w:rPr>
        <w:t>expressed</w:t>
      </w:r>
      <w:r>
        <w:rPr>
          <w:spacing w:val="-7"/>
          <w:sz w:val="28"/>
          <w:vertAlign w:val="baseline"/>
        </w:rPr>
        <w:t> </w:t>
      </w:r>
      <w:r>
        <w:rPr>
          <w:sz w:val="28"/>
          <w:vertAlign w:val="baseline"/>
        </w:rPr>
        <w:t>concerns</w:t>
      </w:r>
      <w:r>
        <w:rPr>
          <w:spacing w:val="-7"/>
          <w:sz w:val="28"/>
          <w:vertAlign w:val="baseline"/>
        </w:rPr>
        <w:t> </w:t>
      </w:r>
      <w:r>
        <w:rPr>
          <w:sz w:val="28"/>
          <w:vertAlign w:val="baseline"/>
        </w:rPr>
        <w:t>about</w:t>
      </w:r>
      <w:r>
        <w:rPr>
          <w:spacing w:val="-6"/>
          <w:sz w:val="28"/>
          <w:vertAlign w:val="baseline"/>
        </w:rPr>
        <w:t> </w:t>
      </w:r>
      <w:r>
        <w:rPr>
          <w:sz w:val="28"/>
          <w:vertAlign w:val="baseline"/>
        </w:rPr>
        <w:t>the</w:t>
      </w:r>
      <w:r>
        <w:rPr>
          <w:spacing w:val="-6"/>
          <w:sz w:val="28"/>
          <w:vertAlign w:val="baseline"/>
        </w:rPr>
        <w:t> </w:t>
      </w:r>
      <w:r>
        <w:rPr>
          <w:sz w:val="28"/>
          <w:vertAlign w:val="baseline"/>
        </w:rPr>
        <w:t>conditional</w:t>
      </w:r>
      <w:r>
        <w:rPr>
          <w:spacing w:val="-7"/>
          <w:sz w:val="28"/>
          <w:vertAlign w:val="baseline"/>
        </w:rPr>
        <w:t> </w:t>
      </w:r>
      <w:r>
        <w:rPr>
          <w:sz w:val="28"/>
          <w:vertAlign w:val="baseline"/>
        </w:rPr>
        <w:t>immunity</w:t>
      </w:r>
      <w:r>
        <w:rPr>
          <w:spacing w:val="-6"/>
          <w:sz w:val="28"/>
          <w:vertAlign w:val="baseline"/>
        </w:rPr>
        <w:t> </w:t>
      </w:r>
      <w:r>
        <w:rPr>
          <w:sz w:val="28"/>
          <w:vertAlign w:val="baseline"/>
        </w:rPr>
        <w:t>scheme</w:t>
      </w:r>
      <w:r>
        <w:rPr>
          <w:spacing w:val="-6"/>
          <w:sz w:val="28"/>
          <w:vertAlign w:val="baseline"/>
        </w:rPr>
        <w:t> </w:t>
      </w:r>
      <w:r>
        <w:rPr>
          <w:sz w:val="28"/>
          <w:vertAlign w:val="baseline"/>
        </w:rPr>
        <w:t>for serious</w:t>
      </w:r>
      <w:r>
        <w:rPr>
          <w:spacing w:val="-5"/>
          <w:sz w:val="28"/>
          <w:vertAlign w:val="baseline"/>
        </w:rPr>
        <w:t> </w:t>
      </w:r>
      <w:r>
        <w:rPr>
          <w:sz w:val="28"/>
          <w:vertAlign w:val="baseline"/>
        </w:rPr>
        <w:t>human</w:t>
      </w:r>
      <w:r>
        <w:rPr>
          <w:spacing w:val="-5"/>
          <w:sz w:val="28"/>
          <w:vertAlign w:val="baseline"/>
        </w:rPr>
        <w:t> </w:t>
      </w:r>
      <w:r>
        <w:rPr>
          <w:sz w:val="28"/>
          <w:vertAlign w:val="baseline"/>
        </w:rPr>
        <w:t>rights</w:t>
      </w:r>
      <w:r>
        <w:rPr>
          <w:spacing w:val="-5"/>
          <w:sz w:val="28"/>
          <w:vertAlign w:val="baseline"/>
        </w:rPr>
        <w:t> </w:t>
      </w:r>
      <w:r>
        <w:rPr>
          <w:sz w:val="28"/>
          <w:vertAlign w:val="baseline"/>
        </w:rPr>
        <w:t>violations;</w:t>
      </w:r>
      <w:r>
        <w:rPr>
          <w:spacing w:val="-4"/>
          <w:sz w:val="28"/>
          <w:vertAlign w:val="baseline"/>
        </w:rPr>
        <w:t> </w:t>
      </w:r>
      <w:r>
        <w:rPr>
          <w:sz w:val="28"/>
          <w:vertAlign w:val="baseline"/>
        </w:rPr>
        <w:t>the</w:t>
      </w:r>
      <w:r>
        <w:rPr>
          <w:spacing w:val="-4"/>
          <w:sz w:val="28"/>
          <w:vertAlign w:val="baseline"/>
        </w:rPr>
        <w:t> </w:t>
      </w:r>
      <w:r>
        <w:rPr>
          <w:sz w:val="28"/>
          <w:vertAlign w:val="baseline"/>
        </w:rPr>
        <w:t>weakness</w:t>
      </w:r>
      <w:r>
        <w:rPr>
          <w:spacing w:val="-5"/>
          <w:sz w:val="28"/>
          <w:vertAlign w:val="baseline"/>
        </w:rPr>
        <w:t> </w:t>
      </w:r>
      <w:r>
        <w:rPr>
          <w:sz w:val="28"/>
          <w:vertAlign w:val="baseline"/>
        </w:rPr>
        <w:t>of</w:t>
      </w:r>
      <w:r>
        <w:rPr>
          <w:spacing w:val="-5"/>
          <w:sz w:val="28"/>
          <w:vertAlign w:val="baseline"/>
        </w:rPr>
        <w:t> </w:t>
      </w:r>
      <w:r>
        <w:rPr>
          <w:sz w:val="28"/>
          <w:vertAlign w:val="baseline"/>
        </w:rPr>
        <w:t>the</w:t>
      </w:r>
      <w:r>
        <w:rPr>
          <w:spacing w:val="-4"/>
          <w:sz w:val="28"/>
          <w:vertAlign w:val="baseline"/>
        </w:rPr>
        <w:t> </w:t>
      </w:r>
      <w:r>
        <w:rPr>
          <w:sz w:val="28"/>
          <w:vertAlign w:val="baseline"/>
        </w:rPr>
        <w:t>“review”</w:t>
      </w:r>
      <w:r>
        <w:rPr>
          <w:spacing w:val="-5"/>
          <w:sz w:val="28"/>
          <w:vertAlign w:val="baseline"/>
        </w:rPr>
        <w:t> </w:t>
      </w:r>
      <w:r>
        <w:rPr>
          <w:sz w:val="28"/>
          <w:vertAlign w:val="baseline"/>
        </w:rPr>
        <w:t>function;</w:t>
      </w:r>
      <w:r>
        <w:rPr>
          <w:spacing w:val="-4"/>
          <w:sz w:val="28"/>
          <w:vertAlign w:val="baseline"/>
        </w:rPr>
        <w:t> </w:t>
      </w:r>
      <w:r>
        <w:rPr>
          <w:sz w:val="28"/>
          <w:vertAlign w:val="baseline"/>
        </w:rPr>
        <w:t>the</w:t>
      </w:r>
    </w:p>
    <w:p>
      <w:pPr>
        <w:pStyle w:val="BodyText"/>
        <w:spacing w:line="225" w:lineRule="auto"/>
        <w:ind w:left="1853" w:right="1124"/>
      </w:pPr>
      <w:r>
        <w:rPr/>
        <w:t>allegations of the lack of independence of the ICRIR; and procedural barriers stifling</w:t>
      </w:r>
      <w:r>
        <w:rPr>
          <w:spacing w:val="-9"/>
        </w:rPr>
        <w:t> </w:t>
      </w:r>
      <w:r>
        <w:rPr/>
        <w:t>any</w:t>
      </w:r>
      <w:r>
        <w:rPr>
          <w:spacing w:val="-9"/>
        </w:rPr>
        <w:t> </w:t>
      </w:r>
      <w:r>
        <w:rPr/>
        <w:t>criminal</w:t>
      </w:r>
      <w:r>
        <w:rPr>
          <w:spacing w:val="-9"/>
        </w:rPr>
        <w:t> </w:t>
      </w:r>
      <w:r>
        <w:rPr/>
        <w:t>or</w:t>
      </w:r>
      <w:r>
        <w:rPr>
          <w:spacing w:val="-9"/>
        </w:rPr>
        <w:t> </w:t>
      </w:r>
      <w:r>
        <w:rPr/>
        <w:t>civil</w:t>
      </w:r>
      <w:r>
        <w:rPr>
          <w:spacing w:val="-9"/>
        </w:rPr>
        <w:t> </w:t>
      </w:r>
      <w:r>
        <w:rPr/>
        <w:t>proceedings.</w:t>
      </w:r>
      <w:r>
        <w:rPr>
          <w:vertAlign w:val="superscript"/>
        </w:rPr>
        <w:t>473</w:t>
      </w:r>
      <w:r>
        <w:rPr>
          <w:spacing w:val="-9"/>
          <w:vertAlign w:val="baseline"/>
        </w:rPr>
        <w:t> </w:t>
      </w:r>
      <w:r>
        <w:rPr>
          <w:vertAlign w:val="baseline"/>
        </w:rPr>
        <w:t>The</w:t>
      </w:r>
      <w:r>
        <w:rPr>
          <w:spacing w:val="-9"/>
          <w:vertAlign w:val="baseline"/>
        </w:rPr>
        <w:t> </w:t>
      </w:r>
      <w:r>
        <w:rPr>
          <w:vertAlign w:val="baseline"/>
        </w:rPr>
        <w:t>UN</w:t>
      </w:r>
      <w:r>
        <w:rPr>
          <w:spacing w:val="-9"/>
          <w:vertAlign w:val="baseline"/>
        </w:rPr>
        <w:t> </w:t>
      </w:r>
      <w:r>
        <w:rPr>
          <w:vertAlign w:val="baseline"/>
        </w:rPr>
        <w:t>Committee</w:t>
      </w:r>
      <w:r>
        <w:rPr>
          <w:spacing w:val="-9"/>
          <w:vertAlign w:val="baseline"/>
        </w:rPr>
        <w:t> </w:t>
      </w:r>
      <w:r>
        <w:rPr>
          <w:vertAlign w:val="baseline"/>
        </w:rPr>
        <w:t>called</w:t>
      </w:r>
      <w:r>
        <w:rPr>
          <w:spacing w:val="-9"/>
          <w:vertAlign w:val="baseline"/>
        </w:rPr>
        <w:t> </w:t>
      </w:r>
      <w:r>
        <w:rPr>
          <w:vertAlign w:val="baseline"/>
        </w:rPr>
        <w:t>on</w:t>
      </w:r>
      <w:r>
        <w:rPr>
          <w:spacing w:val="-9"/>
          <w:vertAlign w:val="baseline"/>
        </w:rPr>
        <w:t> </w:t>
      </w:r>
      <w:r>
        <w:rPr>
          <w:vertAlign w:val="baseline"/>
        </w:rPr>
        <w:t>the</w:t>
      </w:r>
      <w:r>
        <w:rPr>
          <w:spacing w:val="-9"/>
          <w:vertAlign w:val="baseline"/>
        </w:rPr>
        <w:t> </w:t>
      </w:r>
      <w:r>
        <w:rPr>
          <w:vertAlign w:val="baseline"/>
        </w:rPr>
        <w:t>UK Government to “repeal or reform the Northern Ireland Troubles (Legacy and</w:t>
      </w:r>
    </w:p>
    <w:p>
      <w:pPr>
        <w:pStyle w:val="BodyText"/>
        <w:spacing w:before="3"/>
        <w:rPr>
          <w:sz w:val="13"/>
        </w:rPr>
      </w:pPr>
      <w:r>
        <w:rPr/>
        <mc:AlternateContent>
          <mc:Choice Requires="wps">
            <w:drawing>
              <wp:anchor distT="0" distB="0" distL="0" distR="0" allowOverlap="1" layoutInCell="1" locked="0" behindDoc="1" simplePos="0" relativeHeight="487677952">
                <wp:simplePos x="0" y="0"/>
                <wp:positionH relativeFrom="page">
                  <wp:posOffset>719996</wp:posOffset>
                </wp:positionH>
                <wp:positionV relativeFrom="paragraph">
                  <wp:posOffset>118318</wp:posOffset>
                </wp:positionV>
                <wp:extent cx="6120130" cy="1270"/>
                <wp:effectExtent l="0" t="0" r="0" b="0"/>
                <wp:wrapTopAndBottom/>
                <wp:docPr id="395" name="Graphic 395"/>
                <wp:cNvGraphicFramePr>
                  <a:graphicFrameLocks/>
                </wp:cNvGraphicFramePr>
                <a:graphic>
                  <a:graphicData uri="http://schemas.microsoft.com/office/word/2010/wordprocessingShape">
                    <wps:wsp>
                      <wps:cNvPr id="395" name="Graphic 39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9.316403pt;width:481.9pt;height:.1pt;mso-position-horizontal-relative:page;mso-position-vertical-relative:paragraph;z-index:-15638528;mso-wrap-distance-left:0;mso-wrap-distance-right:0" id="docshape344" coordorigin="1134,186" coordsize="9638,0" path="m10772,186l1134,186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18" w:lineRule="exact" w:before="122" w:after="0"/>
        <w:ind w:left="1853" w:right="0" w:hanging="720"/>
        <w:jc w:val="left"/>
        <w:rPr>
          <w:sz w:val="18"/>
        </w:rPr>
      </w:pPr>
      <w:r>
        <w:rPr>
          <w:spacing w:val="-2"/>
          <w:sz w:val="18"/>
        </w:rPr>
        <w:t>Independent</w:t>
      </w:r>
      <w:r>
        <w:rPr>
          <w:spacing w:val="6"/>
          <w:sz w:val="18"/>
        </w:rPr>
        <w:t> </w:t>
      </w:r>
      <w:r>
        <w:rPr>
          <w:spacing w:val="-2"/>
          <w:sz w:val="18"/>
        </w:rPr>
        <w:t>Commission</w:t>
      </w:r>
      <w:r>
        <w:rPr>
          <w:spacing w:val="6"/>
          <w:sz w:val="18"/>
        </w:rPr>
        <w:t> </w:t>
      </w:r>
      <w:r>
        <w:rPr>
          <w:spacing w:val="-2"/>
          <w:sz w:val="18"/>
        </w:rPr>
        <w:t>for</w:t>
      </w:r>
      <w:r>
        <w:rPr>
          <w:spacing w:val="7"/>
          <w:sz w:val="18"/>
        </w:rPr>
        <w:t> </w:t>
      </w:r>
      <w:r>
        <w:rPr>
          <w:spacing w:val="-2"/>
          <w:sz w:val="18"/>
        </w:rPr>
        <w:t>Reconciliation</w:t>
      </w:r>
      <w:r>
        <w:rPr>
          <w:spacing w:val="6"/>
          <w:sz w:val="18"/>
        </w:rPr>
        <w:t> </w:t>
      </w:r>
      <w:r>
        <w:rPr>
          <w:spacing w:val="-2"/>
          <w:sz w:val="18"/>
        </w:rPr>
        <w:t>and</w:t>
      </w:r>
      <w:r>
        <w:rPr>
          <w:spacing w:val="5"/>
          <w:sz w:val="18"/>
        </w:rPr>
        <w:t> </w:t>
      </w:r>
      <w:r>
        <w:rPr>
          <w:spacing w:val="-2"/>
          <w:sz w:val="18"/>
        </w:rPr>
        <w:t>Information</w:t>
      </w:r>
      <w:r>
        <w:rPr>
          <w:spacing w:val="6"/>
          <w:sz w:val="18"/>
        </w:rPr>
        <w:t> </w:t>
      </w:r>
      <w:r>
        <w:rPr>
          <w:spacing w:val="-2"/>
          <w:sz w:val="18"/>
        </w:rPr>
        <w:t>Recovery,</w:t>
      </w:r>
      <w:r>
        <w:rPr>
          <w:spacing w:val="7"/>
          <w:sz w:val="18"/>
        </w:rPr>
        <w:t> </w:t>
      </w:r>
      <w:hyperlink r:id="rId162">
        <w:r>
          <w:rPr>
            <w:spacing w:val="-2"/>
            <w:sz w:val="18"/>
          </w:rPr>
          <w:t>‘Documents’.</w:t>
        </w:r>
      </w:hyperlink>
    </w:p>
    <w:p>
      <w:pPr>
        <w:pStyle w:val="ListParagraph"/>
        <w:numPr>
          <w:ilvl w:val="0"/>
          <w:numId w:val="9"/>
        </w:numPr>
        <w:tabs>
          <w:tab w:pos="1853" w:val="left" w:leader="none"/>
        </w:tabs>
        <w:spacing w:line="235" w:lineRule="auto" w:before="1" w:after="0"/>
        <w:ind w:left="1853" w:right="1223" w:hanging="720"/>
        <w:jc w:val="left"/>
        <w:rPr>
          <w:sz w:val="18"/>
        </w:rPr>
      </w:pPr>
      <w:r>
        <w:rPr>
          <w:sz w:val="18"/>
        </w:rPr>
        <w:t>‘Troubles</w:t>
      </w:r>
      <w:r>
        <w:rPr>
          <w:spacing w:val="-7"/>
          <w:sz w:val="18"/>
        </w:rPr>
        <w:t> </w:t>
      </w:r>
      <w:r>
        <w:rPr>
          <w:sz w:val="18"/>
        </w:rPr>
        <w:t>legacy:</w:t>
      </w:r>
      <w:r>
        <w:rPr>
          <w:spacing w:val="-7"/>
          <w:sz w:val="18"/>
        </w:rPr>
        <w:t> </w:t>
      </w:r>
      <w:r>
        <w:rPr>
          <w:sz w:val="18"/>
        </w:rPr>
        <w:t>Controversial</w:t>
      </w:r>
      <w:r>
        <w:rPr>
          <w:spacing w:val="-7"/>
          <w:sz w:val="18"/>
        </w:rPr>
        <w:t> </w:t>
      </w:r>
      <w:r>
        <w:rPr>
          <w:sz w:val="18"/>
        </w:rPr>
        <w:t>bill</w:t>
      </w:r>
      <w:r>
        <w:rPr>
          <w:spacing w:val="-7"/>
          <w:sz w:val="18"/>
        </w:rPr>
        <w:t> </w:t>
      </w:r>
      <w:r>
        <w:rPr>
          <w:sz w:val="18"/>
        </w:rPr>
        <w:t>facing</w:t>
      </w:r>
      <w:r>
        <w:rPr>
          <w:spacing w:val="-7"/>
          <w:sz w:val="18"/>
        </w:rPr>
        <w:t> </w:t>
      </w:r>
      <w:r>
        <w:rPr>
          <w:sz w:val="18"/>
        </w:rPr>
        <w:t>more</w:t>
      </w:r>
      <w:r>
        <w:rPr>
          <w:spacing w:val="-7"/>
          <w:sz w:val="18"/>
        </w:rPr>
        <w:t> </w:t>
      </w:r>
      <w:r>
        <w:rPr>
          <w:sz w:val="18"/>
        </w:rPr>
        <w:t>legal</w:t>
      </w:r>
      <w:r>
        <w:rPr>
          <w:spacing w:val="-7"/>
          <w:sz w:val="18"/>
        </w:rPr>
        <w:t> </w:t>
      </w:r>
      <w:r>
        <w:rPr>
          <w:sz w:val="18"/>
        </w:rPr>
        <w:t>challenges’,</w:t>
      </w:r>
      <w:r>
        <w:rPr>
          <w:spacing w:val="-8"/>
          <w:sz w:val="18"/>
        </w:rPr>
        <w:t> </w:t>
      </w:r>
      <w:r>
        <w:rPr>
          <w:i/>
          <w:sz w:val="18"/>
        </w:rPr>
        <w:t>BBC</w:t>
      </w:r>
      <w:r>
        <w:rPr>
          <w:i/>
          <w:spacing w:val="-7"/>
          <w:sz w:val="18"/>
        </w:rPr>
        <w:t> </w:t>
      </w:r>
      <w:r>
        <w:rPr>
          <w:i/>
          <w:sz w:val="18"/>
        </w:rPr>
        <w:t>News</w:t>
      </w:r>
      <w:r>
        <w:rPr>
          <w:sz w:val="18"/>
        </w:rPr>
        <w:t>,</w:t>
      </w:r>
      <w:r>
        <w:rPr>
          <w:spacing w:val="-7"/>
          <w:sz w:val="18"/>
        </w:rPr>
        <w:t> </w:t>
      </w:r>
      <w:r>
        <w:rPr>
          <w:sz w:val="18"/>
        </w:rPr>
        <w:t>18</w:t>
      </w:r>
      <w:r>
        <w:rPr>
          <w:spacing w:val="-7"/>
          <w:sz w:val="18"/>
        </w:rPr>
        <w:t> </w:t>
      </w:r>
      <w:r>
        <w:rPr>
          <w:sz w:val="18"/>
        </w:rPr>
        <w:t>September</w:t>
      </w:r>
      <w:r>
        <w:rPr>
          <w:spacing w:val="-7"/>
          <w:sz w:val="18"/>
        </w:rPr>
        <w:t> </w:t>
      </w:r>
      <w:r>
        <w:rPr>
          <w:sz w:val="18"/>
        </w:rPr>
        <w:t>2023;</w:t>
      </w:r>
      <w:r>
        <w:rPr>
          <w:spacing w:val="-7"/>
          <w:sz w:val="18"/>
        </w:rPr>
        <w:t> </w:t>
      </w:r>
      <w:r>
        <w:rPr>
          <w:sz w:val="18"/>
        </w:rPr>
        <w:t>Jayne</w:t>
      </w:r>
      <w:r>
        <w:rPr>
          <w:spacing w:val="-7"/>
          <w:sz w:val="18"/>
        </w:rPr>
        <w:t> </w:t>
      </w:r>
      <w:r>
        <w:rPr>
          <w:sz w:val="18"/>
        </w:rPr>
        <w:t>McCormack,</w:t>
      </w:r>
      <w:r>
        <w:rPr>
          <w:spacing w:val="-7"/>
          <w:sz w:val="18"/>
        </w:rPr>
        <w:t> </w:t>
      </w:r>
      <w:r>
        <w:rPr>
          <w:sz w:val="18"/>
        </w:rPr>
        <w:t>‘Tony Harrison: Family of murdered paratrooper launches legal challenge over legacy act’, </w:t>
      </w:r>
      <w:r>
        <w:rPr>
          <w:i/>
          <w:sz w:val="18"/>
        </w:rPr>
        <w:t>BBC News</w:t>
      </w:r>
      <w:r>
        <w:rPr>
          <w:sz w:val="18"/>
        </w:rPr>
        <w:t>, 27 September 2023.</w:t>
      </w:r>
    </w:p>
    <w:p>
      <w:pPr>
        <w:pStyle w:val="ListParagraph"/>
        <w:numPr>
          <w:ilvl w:val="0"/>
          <w:numId w:val="9"/>
        </w:numPr>
        <w:tabs>
          <w:tab w:pos="1853" w:val="left" w:leader="none"/>
        </w:tabs>
        <w:spacing w:line="216" w:lineRule="exact" w:before="0" w:after="0"/>
        <w:ind w:left="1853" w:right="0" w:hanging="720"/>
        <w:jc w:val="left"/>
        <w:rPr>
          <w:sz w:val="18"/>
        </w:rPr>
      </w:pPr>
      <w:r>
        <w:rPr>
          <w:i/>
          <w:sz w:val="18"/>
        </w:rPr>
        <w:t>In</w:t>
      </w:r>
      <w:r>
        <w:rPr>
          <w:i/>
          <w:spacing w:val="-5"/>
          <w:sz w:val="18"/>
        </w:rPr>
        <w:t> </w:t>
      </w:r>
      <w:r>
        <w:rPr>
          <w:i/>
          <w:sz w:val="18"/>
        </w:rPr>
        <w:t>the</w:t>
      </w:r>
      <w:r>
        <w:rPr>
          <w:i/>
          <w:spacing w:val="-3"/>
          <w:sz w:val="18"/>
        </w:rPr>
        <w:t> </w:t>
      </w:r>
      <w:r>
        <w:rPr>
          <w:i/>
          <w:sz w:val="18"/>
        </w:rPr>
        <w:t>matter</w:t>
      </w:r>
      <w:r>
        <w:rPr>
          <w:i/>
          <w:spacing w:val="-4"/>
          <w:sz w:val="18"/>
        </w:rPr>
        <w:t> </w:t>
      </w:r>
      <w:r>
        <w:rPr>
          <w:i/>
          <w:sz w:val="18"/>
        </w:rPr>
        <w:t>of</w:t>
      </w:r>
      <w:r>
        <w:rPr>
          <w:i/>
          <w:spacing w:val="-4"/>
          <w:sz w:val="18"/>
        </w:rPr>
        <w:t> </w:t>
      </w:r>
      <w:r>
        <w:rPr>
          <w:i/>
          <w:sz w:val="18"/>
        </w:rPr>
        <w:t>an</w:t>
      </w:r>
      <w:r>
        <w:rPr>
          <w:i/>
          <w:spacing w:val="-5"/>
          <w:sz w:val="18"/>
        </w:rPr>
        <w:t> </w:t>
      </w:r>
      <w:r>
        <w:rPr>
          <w:i/>
          <w:sz w:val="18"/>
        </w:rPr>
        <w:t>application</w:t>
      </w:r>
      <w:r>
        <w:rPr>
          <w:i/>
          <w:spacing w:val="-4"/>
          <w:sz w:val="18"/>
        </w:rPr>
        <w:t> </w:t>
      </w:r>
      <w:r>
        <w:rPr>
          <w:i/>
          <w:sz w:val="18"/>
        </w:rPr>
        <w:t>by</w:t>
      </w:r>
      <w:r>
        <w:rPr>
          <w:i/>
          <w:spacing w:val="-5"/>
          <w:sz w:val="18"/>
        </w:rPr>
        <w:t> </w:t>
      </w:r>
      <w:r>
        <w:rPr>
          <w:i/>
          <w:sz w:val="18"/>
        </w:rPr>
        <w:t>Martina</w:t>
      </w:r>
      <w:r>
        <w:rPr>
          <w:i/>
          <w:spacing w:val="-4"/>
          <w:sz w:val="18"/>
        </w:rPr>
        <w:t> </w:t>
      </w:r>
      <w:r>
        <w:rPr>
          <w:i/>
          <w:sz w:val="18"/>
        </w:rPr>
        <w:t>Dillon</w:t>
      </w:r>
      <w:r>
        <w:rPr>
          <w:i/>
          <w:spacing w:val="-5"/>
          <w:sz w:val="18"/>
        </w:rPr>
        <w:t> </w:t>
      </w:r>
      <w:r>
        <w:rPr>
          <w:i/>
          <w:sz w:val="18"/>
        </w:rPr>
        <w:t>and</w:t>
      </w:r>
      <w:r>
        <w:rPr>
          <w:i/>
          <w:spacing w:val="-4"/>
          <w:sz w:val="18"/>
        </w:rPr>
        <w:t> </w:t>
      </w:r>
      <w:r>
        <w:rPr>
          <w:i/>
          <w:sz w:val="18"/>
        </w:rPr>
        <w:t>others</w:t>
      </w:r>
      <w:r>
        <w:rPr>
          <w:i/>
          <w:spacing w:val="-4"/>
          <w:sz w:val="18"/>
        </w:rPr>
        <w:t> </w:t>
      </w:r>
      <w:r>
        <w:rPr>
          <w:i/>
          <w:sz w:val="18"/>
        </w:rPr>
        <w:t>for</w:t>
      </w:r>
      <w:r>
        <w:rPr>
          <w:i/>
          <w:spacing w:val="-4"/>
          <w:sz w:val="18"/>
        </w:rPr>
        <w:t> </w:t>
      </w:r>
      <w:r>
        <w:rPr>
          <w:i/>
          <w:sz w:val="18"/>
        </w:rPr>
        <w:t>Judicial</w:t>
      </w:r>
      <w:r>
        <w:rPr>
          <w:i/>
          <w:spacing w:val="-4"/>
          <w:sz w:val="18"/>
        </w:rPr>
        <w:t> </w:t>
      </w:r>
      <w:r>
        <w:rPr>
          <w:i/>
          <w:sz w:val="18"/>
        </w:rPr>
        <w:t>Review</w:t>
      </w:r>
      <w:r>
        <w:rPr>
          <w:i/>
          <w:spacing w:val="-5"/>
          <w:sz w:val="18"/>
        </w:rPr>
        <w:t> </w:t>
      </w:r>
      <w:r>
        <w:rPr>
          <w:sz w:val="18"/>
        </w:rPr>
        <w:t>[2024]</w:t>
      </w:r>
      <w:r>
        <w:rPr>
          <w:spacing w:val="-3"/>
          <w:sz w:val="18"/>
        </w:rPr>
        <w:t> </w:t>
      </w:r>
      <w:r>
        <w:rPr>
          <w:sz w:val="18"/>
        </w:rPr>
        <w:t>NIKB</w:t>
      </w:r>
      <w:r>
        <w:rPr>
          <w:spacing w:val="-4"/>
          <w:sz w:val="18"/>
        </w:rPr>
        <w:t> </w:t>
      </w:r>
      <w:r>
        <w:rPr>
          <w:sz w:val="18"/>
        </w:rPr>
        <w:t>11,</w:t>
      </w:r>
      <w:r>
        <w:rPr>
          <w:spacing w:val="-3"/>
          <w:sz w:val="18"/>
        </w:rPr>
        <w:t> </w:t>
      </w:r>
      <w:r>
        <w:rPr>
          <w:sz w:val="18"/>
        </w:rPr>
        <w:t>at</w:t>
      </w:r>
      <w:r>
        <w:rPr>
          <w:spacing w:val="-4"/>
          <w:sz w:val="18"/>
        </w:rPr>
        <w:t> </w:t>
      </w:r>
      <w:r>
        <w:rPr>
          <w:sz w:val="18"/>
        </w:rPr>
        <w:t>para</w:t>
      </w:r>
      <w:r>
        <w:rPr>
          <w:spacing w:val="-4"/>
          <w:sz w:val="18"/>
        </w:rPr>
        <w:t> </w:t>
      </w:r>
      <w:r>
        <w:rPr>
          <w:sz w:val="18"/>
        </w:rPr>
        <w:t>187</w:t>
      </w:r>
      <w:r>
        <w:rPr>
          <w:spacing w:val="-4"/>
          <w:sz w:val="18"/>
        </w:rPr>
        <w:t> </w:t>
      </w:r>
      <w:r>
        <w:rPr>
          <w:sz w:val="18"/>
        </w:rPr>
        <w:t>and</w:t>
      </w:r>
      <w:r>
        <w:rPr>
          <w:spacing w:val="-4"/>
          <w:sz w:val="18"/>
        </w:rPr>
        <w:t> </w:t>
      </w:r>
      <w:r>
        <w:rPr>
          <w:spacing w:val="-2"/>
          <w:sz w:val="18"/>
        </w:rPr>
        <w:t>710(i).</w:t>
      </w:r>
    </w:p>
    <w:p>
      <w:pPr>
        <w:pStyle w:val="ListParagraph"/>
        <w:numPr>
          <w:ilvl w:val="0"/>
          <w:numId w:val="9"/>
        </w:numPr>
        <w:tabs>
          <w:tab w:pos="1853" w:val="left" w:leader="none"/>
        </w:tabs>
        <w:spacing w:line="216" w:lineRule="exact" w:before="0" w:after="0"/>
        <w:ind w:left="1853" w:right="0" w:hanging="720"/>
        <w:jc w:val="left"/>
        <w:rPr>
          <w:sz w:val="18"/>
        </w:rPr>
      </w:pPr>
      <w:r>
        <w:rPr>
          <w:sz w:val="18"/>
        </w:rPr>
        <w:t>Ibid,</w:t>
      </w:r>
      <w:r>
        <w:rPr>
          <w:spacing w:val="-2"/>
          <w:sz w:val="18"/>
        </w:rPr>
        <w:t> </w:t>
      </w:r>
      <w:r>
        <w:rPr>
          <w:sz w:val="18"/>
        </w:rPr>
        <w:t>at</w:t>
      </w:r>
      <w:r>
        <w:rPr>
          <w:spacing w:val="-2"/>
          <w:sz w:val="18"/>
        </w:rPr>
        <w:t> </w:t>
      </w:r>
      <w:r>
        <w:rPr>
          <w:sz w:val="18"/>
        </w:rPr>
        <w:t>para</w:t>
      </w:r>
      <w:r>
        <w:rPr>
          <w:spacing w:val="-2"/>
          <w:sz w:val="18"/>
        </w:rPr>
        <w:t> </w:t>
      </w:r>
      <w:r>
        <w:rPr>
          <w:sz w:val="18"/>
        </w:rPr>
        <w:t>608</w:t>
      </w:r>
      <w:r>
        <w:rPr>
          <w:spacing w:val="-2"/>
          <w:sz w:val="18"/>
        </w:rPr>
        <w:t> </w:t>
      </w:r>
      <w:r>
        <w:rPr>
          <w:sz w:val="18"/>
        </w:rPr>
        <w:t>and</w:t>
      </w:r>
      <w:r>
        <w:rPr>
          <w:spacing w:val="-2"/>
          <w:sz w:val="18"/>
        </w:rPr>
        <w:t> </w:t>
      </w:r>
      <w:r>
        <w:rPr>
          <w:spacing w:val="-4"/>
          <w:sz w:val="18"/>
        </w:rPr>
        <w:t>710.</w:t>
      </w:r>
    </w:p>
    <w:p>
      <w:pPr>
        <w:pStyle w:val="ListParagraph"/>
        <w:numPr>
          <w:ilvl w:val="0"/>
          <w:numId w:val="9"/>
        </w:numPr>
        <w:tabs>
          <w:tab w:pos="1853" w:val="left" w:leader="none"/>
        </w:tabs>
        <w:spacing w:line="216"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para</w:t>
      </w:r>
      <w:r>
        <w:rPr>
          <w:spacing w:val="-2"/>
          <w:sz w:val="18"/>
        </w:rPr>
        <w:t> </w:t>
      </w:r>
      <w:r>
        <w:rPr>
          <w:spacing w:val="-4"/>
          <w:sz w:val="18"/>
        </w:rPr>
        <w:t>710.</w:t>
      </w:r>
    </w:p>
    <w:p>
      <w:pPr>
        <w:pStyle w:val="ListParagraph"/>
        <w:numPr>
          <w:ilvl w:val="0"/>
          <w:numId w:val="9"/>
        </w:numPr>
        <w:tabs>
          <w:tab w:pos="1853" w:val="left" w:leader="none"/>
        </w:tabs>
        <w:spacing w:line="235" w:lineRule="auto" w:before="2" w:after="0"/>
        <w:ind w:left="1853" w:right="1503" w:hanging="720"/>
        <w:jc w:val="left"/>
        <w:rPr>
          <w:sz w:val="18"/>
        </w:rPr>
      </w:pP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‘Submission</w:t>
      </w:r>
      <w:r>
        <w:rPr>
          <w:spacing w:val="-5"/>
          <w:sz w:val="18"/>
        </w:rPr>
        <w:t> </w:t>
      </w:r>
      <w:r>
        <w:rPr>
          <w:sz w:val="18"/>
        </w:rPr>
        <w:t>to</w:t>
      </w:r>
      <w:r>
        <w:rPr>
          <w:spacing w:val="-5"/>
          <w:sz w:val="18"/>
        </w:rPr>
        <w:t> </w:t>
      </w:r>
      <w:r>
        <w:rPr>
          <w:sz w:val="18"/>
        </w:rPr>
        <w:t>the</w:t>
      </w:r>
      <w:r>
        <w:rPr>
          <w:spacing w:val="-4"/>
          <w:sz w:val="18"/>
        </w:rPr>
        <w:t> </w:t>
      </w:r>
      <w:r>
        <w:rPr>
          <w:sz w:val="18"/>
        </w:rPr>
        <w:t>UN</w:t>
      </w:r>
      <w:r>
        <w:rPr>
          <w:spacing w:val="-4"/>
          <w:sz w:val="18"/>
        </w:rPr>
        <w:t> </w:t>
      </w:r>
      <w:r>
        <w:rPr>
          <w:sz w:val="18"/>
        </w:rPr>
        <w:t>Human</w:t>
      </w:r>
      <w:r>
        <w:rPr>
          <w:spacing w:val="-5"/>
          <w:sz w:val="18"/>
        </w:rPr>
        <w:t> </w:t>
      </w:r>
      <w:r>
        <w:rPr>
          <w:sz w:val="18"/>
        </w:rPr>
        <w:t>Rights</w:t>
      </w:r>
      <w:r>
        <w:rPr>
          <w:spacing w:val="-5"/>
          <w:sz w:val="18"/>
        </w:rPr>
        <w:t> </w:t>
      </w:r>
      <w:r>
        <w:rPr>
          <w:sz w:val="18"/>
        </w:rPr>
        <w:t>Committee</w:t>
      </w:r>
      <w:r>
        <w:rPr>
          <w:spacing w:val="-4"/>
          <w:sz w:val="18"/>
        </w:rPr>
        <w:t> </w:t>
      </w:r>
      <w:r>
        <w:rPr>
          <w:sz w:val="18"/>
        </w:rPr>
        <w:t>on</w:t>
      </w:r>
      <w:r>
        <w:rPr>
          <w:spacing w:val="-5"/>
          <w:sz w:val="18"/>
        </w:rPr>
        <w:t> </w:t>
      </w:r>
      <w:r>
        <w:rPr>
          <w:sz w:val="18"/>
        </w:rPr>
        <w:t>the</w:t>
      </w:r>
      <w:r>
        <w:rPr>
          <w:spacing w:val="-4"/>
          <w:sz w:val="18"/>
        </w:rPr>
        <w:t> </w:t>
      </w:r>
      <w:r>
        <w:rPr>
          <w:sz w:val="18"/>
        </w:rPr>
        <w:t>UK’s</w:t>
      </w:r>
      <w:r>
        <w:rPr>
          <w:spacing w:val="-5"/>
          <w:sz w:val="18"/>
        </w:rPr>
        <w:t> </w:t>
      </w:r>
      <w:r>
        <w:rPr>
          <w:sz w:val="18"/>
        </w:rPr>
        <w:t>Eighth</w:t>
      </w:r>
      <w:r>
        <w:rPr>
          <w:spacing w:val="-5"/>
          <w:sz w:val="18"/>
        </w:rPr>
        <w:t> </w:t>
      </w:r>
      <w:r>
        <w:rPr>
          <w:sz w:val="18"/>
        </w:rPr>
        <w:t>Periodic</w:t>
      </w:r>
      <w:r>
        <w:rPr>
          <w:spacing w:val="-4"/>
          <w:sz w:val="18"/>
        </w:rPr>
        <w:t> </w:t>
      </w:r>
      <w:r>
        <w:rPr>
          <w:sz w:val="18"/>
        </w:rPr>
        <w:t>Report</w:t>
      </w:r>
      <w:r>
        <w:rPr>
          <w:spacing w:val="-4"/>
          <w:sz w:val="18"/>
        </w:rPr>
        <w:t> </w:t>
      </w:r>
      <w:r>
        <w:rPr>
          <w:sz w:val="18"/>
        </w:rPr>
        <w:t>on Compliance with the International Covenant on Civil and Political Rights’ (NIHRC, 2024).</w:t>
      </w:r>
    </w:p>
    <w:p>
      <w:pPr>
        <w:pStyle w:val="ListParagraph"/>
        <w:numPr>
          <w:ilvl w:val="0"/>
          <w:numId w:val="9"/>
        </w:numPr>
        <w:tabs>
          <w:tab w:pos="1853" w:val="left" w:leader="none"/>
        </w:tabs>
        <w:spacing w:line="218" w:lineRule="auto" w:before="0" w:after="0"/>
        <w:ind w:left="1853" w:right="1283" w:hanging="720"/>
        <w:jc w:val="left"/>
        <w:rPr>
          <w:sz w:val="18"/>
        </w:rPr>
      </w:pPr>
      <w:r>
        <w:rPr>
          <w:sz w:val="18"/>
        </w:rPr>
        <w:t>CCPR/C/GBR/CO/8,</w:t>
      </w:r>
      <w:r>
        <w:rPr>
          <w:spacing w:val="-4"/>
          <w:sz w:val="18"/>
        </w:rPr>
        <w:t> </w:t>
      </w:r>
      <w:r>
        <w:rPr>
          <w:sz w:val="18"/>
        </w:rPr>
        <w:t>‘UN</w:t>
      </w:r>
      <w:r>
        <w:rPr>
          <w:spacing w:val="-4"/>
          <w:sz w:val="18"/>
        </w:rPr>
        <w:t> </w:t>
      </w:r>
      <w:r>
        <w:rPr>
          <w:sz w:val="18"/>
        </w:rPr>
        <w:t>Human</w:t>
      </w:r>
      <w:r>
        <w:rPr>
          <w:spacing w:val="-5"/>
          <w:sz w:val="18"/>
        </w:rPr>
        <w:t> </w:t>
      </w:r>
      <w:r>
        <w:rPr>
          <w:sz w:val="18"/>
        </w:rPr>
        <w:t>Rights</w:t>
      </w:r>
      <w:r>
        <w:rPr>
          <w:spacing w:val="-5"/>
          <w:sz w:val="18"/>
        </w:rPr>
        <w:t> </w:t>
      </w:r>
      <w:r>
        <w:rPr>
          <w:sz w:val="18"/>
        </w:rPr>
        <w:t>Committee</w:t>
      </w:r>
      <w:r>
        <w:rPr>
          <w:spacing w:val="-4"/>
          <w:sz w:val="18"/>
        </w:rPr>
        <w:t> </w:t>
      </w:r>
      <w:r>
        <w:rPr>
          <w:sz w:val="18"/>
        </w:rPr>
        <w:t>Concluding</w:t>
      </w:r>
      <w:r>
        <w:rPr>
          <w:spacing w:val="-4"/>
          <w:sz w:val="18"/>
        </w:rPr>
        <w:t> </w:t>
      </w:r>
      <w:r>
        <w:rPr>
          <w:sz w:val="18"/>
        </w:rPr>
        <w:t>Observations</w:t>
      </w:r>
      <w:r>
        <w:rPr>
          <w:spacing w:val="-5"/>
          <w:sz w:val="18"/>
        </w:rPr>
        <w:t> </w:t>
      </w:r>
      <w:r>
        <w:rPr>
          <w:sz w:val="18"/>
        </w:rPr>
        <w:t>on</w:t>
      </w:r>
      <w:r>
        <w:rPr>
          <w:spacing w:val="-5"/>
          <w:sz w:val="18"/>
        </w:rPr>
        <w:t> </w:t>
      </w:r>
      <w:r>
        <w:rPr>
          <w:sz w:val="18"/>
        </w:rPr>
        <w:t>the</w:t>
      </w:r>
      <w:r>
        <w:rPr>
          <w:spacing w:val="-4"/>
          <w:sz w:val="18"/>
        </w:rPr>
        <w:t> </w:t>
      </w:r>
      <w:r>
        <w:rPr>
          <w:sz w:val="18"/>
        </w:rPr>
        <w:t>Eighth</w:t>
      </w:r>
      <w:r>
        <w:rPr>
          <w:spacing w:val="-5"/>
          <w:sz w:val="18"/>
        </w:rPr>
        <w:t> </w:t>
      </w:r>
      <w:r>
        <w:rPr>
          <w:sz w:val="18"/>
        </w:rPr>
        <w:t>Periodic</w:t>
      </w:r>
      <w:r>
        <w:rPr>
          <w:spacing w:val="-4"/>
          <w:sz w:val="18"/>
        </w:rPr>
        <w:t> </w:t>
      </w:r>
      <w:r>
        <w:rPr>
          <w:sz w:val="18"/>
        </w:rPr>
        <w:t>Report</w:t>
      </w:r>
      <w:r>
        <w:rPr>
          <w:spacing w:val="-4"/>
          <w:sz w:val="18"/>
        </w:rPr>
        <w:t> </w:t>
      </w:r>
      <w:r>
        <w:rPr>
          <w:sz w:val="18"/>
        </w:rPr>
        <w:t>of</w:t>
      </w:r>
      <w:r>
        <w:rPr>
          <w:spacing w:val="-5"/>
          <w:sz w:val="18"/>
        </w:rPr>
        <w:t> </w:t>
      </w:r>
      <w:r>
        <w:rPr>
          <w:sz w:val="18"/>
        </w:rPr>
        <w:t>UK</w:t>
      </w:r>
      <w:r>
        <w:rPr>
          <w:spacing w:val="-4"/>
          <w:sz w:val="18"/>
        </w:rPr>
        <w:t> </w:t>
      </w:r>
      <w:r>
        <w:rPr>
          <w:sz w:val="18"/>
        </w:rPr>
        <w:t>of</w:t>
      </w:r>
      <w:r>
        <w:rPr>
          <w:spacing w:val="-5"/>
          <w:sz w:val="18"/>
        </w:rPr>
        <w:t> </w:t>
      </w:r>
      <w:r>
        <w:rPr>
          <w:sz w:val="18"/>
        </w:rPr>
        <w:t>Great Britain and NI’, 28 March 2024, at para 10.</w:t>
      </w:r>
    </w:p>
    <w:p>
      <w:pPr>
        <w:spacing w:after="0" w:line="218"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pPr>
      <w:r>
        <w:rPr/>
        <w:t>Reconciliation)</w:t>
      </w:r>
      <w:r>
        <w:rPr>
          <w:spacing w:val="-7"/>
        </w:rPr>
        <w:t> </w:t>
      </w:r>
      <w:r>
        <w:rPr/>
        <w:t>Act</w:t>
      </w:r>
      <w:r>
        <w:rPr>
          <w:spacing w:val="-6"/>
        </w:rPr>
        <w:t> </w:t>
      </w:r>
      <w:r>
        <w:rPr/>
        <w:t>2023</w:t>
      </w:r>
      <w:r>
        <w:rPr>
          <w:spacing w:val="-6"/>
        </w:rPr>
        <w:t> </w:t>
      </w:r>
      <w:r>
        <w:rPr/>
        <w:t>and</w:t>
      </w:r>
      <w:r>
        <w:rPr>
          <w:spacing w:val="-7"/>
        </w:rPr>
        <w:t> </w:t>
      </w:r>
      <w:r>
        <w:rPr/>
        <w:t>to</w:t>
      </w:r>
      <w:r>
        <w:rPr>
          <w:spacing w:val="-7"/>
        </w:rPr>
        <w:t> </w:t>
      </w:r>
      <w:r>
        <w:rPr/>
        <w:t>adopt</w:t>
      </w:r>
      <w:r>
        <w:rPr>
          <w:spacing w:val="-6"/>
        </w:rPr>
        <w:t> </w:t>
      </w:r>
      <w:r>
        <w:rPr/>
        <w:t>proper</w:t>
      </w:r>
      <w:r>
        <w:rPr>
          <w:spacing w:val="-6"/>
        </w:rPr>
        <w:t> </w:t>
      </w:r>
      <w:r>
        <w:rPr/>
        <w:t>mechanisms</w:t>
      </w:r>
      <w:r>
        <w:rPr>
          <w:spacing w:val="-7"/>
        </w:rPr>
        <w:t> </w:t>
      </w:r>
      <w:r>
        <w:rPr/>
        <w:t>with</w:t>
      </w:r>
      <w:r>
        <w:rPr>
          <w:spacing w:val="-7"/>
        </w:rPr>
        <w:t> </w:t>
      </w:r>
      <w:r>
        <w:rPr/>
        <w:t>guarantees</w:t>
      </w:r>
      <w:r>
        <w:rPr>
          <w:spacing w:val="-7"/>
        </w:rPr>
        <w:t> </w:t>
      </w:r>
      <w:r>
        <w:rPr/>
        <w:t>of independence,</w:t>
      </w:r>
      <w:r>
        <w:rPr>
          <w:spacing w:val="-8"/>
        </w:rPr>
        <w:t> </w:t>
      </w:r>
      <w:r>
        <w:rPr/>
        <w:t>transparency,</w:t>
      </w:r>
      <w:r>
        <w:rPr>
          <w:spacing w:val="-8"/>
        </w:rPr>
        <w:t> </w:t>
      </w:r>
      <w:r>
        <w:rPr/>
        <w:t>and</w:t>
      </w:r>
      <w:r>
        <w:rPr>
          <w:spacing w:val="-9"/>
        </w:rPr>
        <w:t> </w:t>
      </w:r>
      <w:r>
        <w:rPr/>
        <w:t>genuine</w:t>
      </w:r>
      <w:r>
        <w:rPr>
          <w:spacing w:val="-8"/>
        </w:rPr>
        <w:t> </w:t>
      </w:r>
      <w:r>
        <w:rPr/>
        <w:t>investigation</w:t>
      </w:r>
      <w:r>
        <w:rPr>
          <w:spacing w:val="-9"/>
        </w:rPr>
        <w:t> </w:t>
      </w:r>
      <w:r>
        <w:rPr/>
        <w:t>power</w:t>
      </w:r>
      <w:r>
        <w:rPr>
          <w:spacing w:val="-8"/>
        </w:rPr>
        <w:t> </w:t>
      </w:r>
      <w:r>
        <w:rPr/>
        <w:t>that</w:t>
      </w:r>
      <w:r>
        <w:rPr>
          <w:spacing w:val="-8"/>
        </w:rPr>
        <w:t> </w:t>
      </w:r>
      <w:r>
        <w:rPr/>
        <w:t>discharge the State party’s human rights obligations and deliver truth, justice and effective remedies, including reparations to victims of the Northern Ireland </w:t>
      </w:r>
      <w:r>
        <w:rPr>
          <w:spacing w:val="-2"/>
        </w:rPr>
        <w:t>conflict”.</w:t>
      </w:r>
      <w:r>
        <w:rPr>
          <w:spacing w:val="-2"/>
          <w:vertAlign w:val="superscript"/>
        </w:rPr>
        <w:t>474</w:t>
      </w:r>
    </w:p>
    <w:p>
      <w:pPr>
        <w:pStyle w:val="Heading6"/>
        <w:spacing w:line="326" w:lineRule="exact" w:before="298"/>
        <w:rPr>
          <w:i/>
        </w:rPr>
      </w:pPr>
      <w:r>
        <w:rPr>
          <w:i/>
          <w:color w:val="67287F"/>
        </w:rPr>
        <w:t>Victims</w:t>
      </w:r>
      <w:r>
        <w:rPr>
          <w:i/>
          <w:color w:val="67287F"/>
          <w:spacing w:val="-8"/>
        </w:rPr>
        <w:t> </w:t>
      </w:r>
      <w:r>
        <w:rPr>
          <w:i/>
          <w:color w:val="67287F"/>
        </w:rPr>
        <w:t>and</w:t>
      </w:r>
      <w:r>
        <w:rPr>
          <w:i/>
          <w:color w:val="67287F"/>
          <w:spacing w:val="-7"/>
        </w:rPr>
        <w:t> </w:t>
      </w:r>
      <w:r>
        <w:rPr>
          <w:i/>
          <w:color w:val="67287F"/>
        </w:rPr>
        <w:t>Survivors</w:t>
      </w:r>
      <w:r>
        <w:rPr>
          <w:i/>
          <w:color w:val="67287F"/>
          <w:spacing w:val="-8"/>
        </w:rPr>
        <w:t> </w:t>
      </w:r>
      <w:r>
        <w:rPr>
          <w:i/>
          <w:color w:val="67287F"/>
          <w:spacing w:val="-2"/>
        </w:rPr>
        <w:t>Strategy</w:t>
      </w:r>
    </w:p>
    <w:p>
      <w:pPr>
        <w:pStyle w:val="ListParagraph"/>
        <w:numPr>
          <w:ilvl w:val="1"/>
          <w:numId w:val="7"/>
        </w:numPr>
        <w:tabs>
          <w:tab w:pos="1853" w:val="left" w:leader="none"/>
        </w:tabs>
        <w:spacing w:line="218" w:lineRule="auto" w:before="8" w:after="0"/>
        <w:ind w:left="1853" w:right="1257" w:hanging="720"/>
        <w:jc w:val="left"/>
        <w:rPr>
          <w:sz w:val="28"/>
        </w:rPr>
      </w:pPr>
      <w:r>
        <w:rPr>
          <w:sz w:val="28"/>
        </w:rPr>
        <w:t>In December 2023, the Executive Office issued a draft Strategy for Victims</w:t>
      </w:r>
      <w:r>
        <w:rPr>
          <w:sz w:val="28"/>
        </w:rPr>
        <w:t> and Survivors of the Troubles/Conflict.</w:t>
      </w:r>
      <w:r>
        <w:rPr>
          <w:sz w:val="28"/>
          <w:vertAlign w:val="superscript"/>
        </w:rPr>
        <w:t>475</w:t>
      </w:r>
      <w:r>
        <w:rPr>
          <w:sz w:val="28"/>
          <w:vertAlign w:val="baseline"/>
        </w:rPr>
        <w:t> In their respective responses, both Commissions advised the Executive Office to ensure impact assessments build in consideration of Windsor Framework Article 2 and the EU Victims’ Directive.</w:t>
      </w:r>
      <w:r>
        <w:rPr>
          <w:sz w:val="28"/>
          <w:vertAlign w:val="superscript"/>
        </w:rPr>
        <w:t>476</w:t>
      </w:r>
      <w:r>
        <w:rPr>
          <w:sz w:val="28"/>
          <w:vertAlign w:val="baseline"/>
        </w:rPr>
        <w:t> The NIHRC welcomed the victim-centred and trauma-informed approach</w:t>
      </w:r>
      <w:r>
        <w:rPr>
          <w:spacing w:val="-8"/>
          <w:sz w:val="28"/>
          <w:vertAlign w:val="baseline"/>
        </w:rPr>
        <w:t> </w:t>
      </w:r>
      <w:r>
        <w:rPr>
          <w:sz w:val="28"/>
          <w:vertAlign w:val="baseline"/>
        </w:rPr>
        <w:t>taken</w:t>
      </w:r>
      <w:r>
        <w:rPr>
          <w:spacing w:val="-8"/>
          <w:sz w:val="28"/>
          <w:vertAlign w:val="baseline"/>
        </w:rPr>
        <w:t> </w:t>
      </w:r>
      <w:r>
        <w:rPr>
          <w:sz w:val="28"/>
          <w:vertAlign w:val="baseline"/>
        </w:rPr>
        <w:t>by</w:t>
      </w:r>
      <w:r>
        <w:rPr>
          <w:spacing w:val="-7"/>
          <w:sz w:val="28"/>
          <w:vertAlign w:val="baseline"/>
        </w:rPr>
        <w:t> </w:t>
      </w:r>
      <w:r>
        <w:rPr>
          <w:sz w:val="28"/>
          <w:vertAlign w:val="baseline"/>
        </w:rPr>
        <w:t>the</w:t>
      </w:r>
      <w:r>
        <w:rPr>
          <w:spacing w:val="-7"/>
          <w:sz w:val="28"/>
          <w:vertAlign w:val="baseline"/>
        </w:rPr>
        <w:t> </w:t>
      </w:r>
      <w:r>
        <w:rPr>
          <w:sz w:val="28"/>
          <w:vertAlign w:val="baseline"/>
        </w:rPr>
        <w:t>Executive</w:t>
      </w:r>
      <w:r>
        <w:rPr>
          <w:spacing w:val="-7"/>
          <w:sz w:val="28"/>
          <w:vertAlign w:val="baseline"/>
        </w:rPr>
        <w:t> </w:t>
      </w:r>
      <w:r>
        <w:rPr>
          <w:sz w:val="28"/>
          <w:vertAlign w:val="baseline"/>
        </w:rPr>
        <w:t>Office,</w:t>
      </w:r>
      <w:r>
        <w:rPr>
          <w:spacing w:val="-7"/>
          <w:sz w:val="28"/>
          <w:vertAlign w:val="baseline"/>
        </w:rPr>
        <w:t> </w:t>
      </w:r>
      <w:r>
        <w:rPr>
          <w:sz w:val="28"/>
          <w:vertAlign w:val="baseline"/>
        </w:rPr>
        <w:t>which</w:t>
      </w:r>
      <w:r>
        <w:rPr>
          <w:spacing w:val="-8"/>
          <w:sz w:val="28"/>
          <w:vertAlign w:val="baseline"/>
        </w:rPr>
        <w:t> </w:t>
      </w:r>
      <w:r>
        <w:rPr>
          <w:sz w:val="28"/>
          <w:vertAlign w:val="baseline"/>
        </w:rPr>
        <w:t>is</w:t>
      </w:r>
      <w:r>
        <w:rPr>
          <w:spacing w:val="-8"/>
          <w:sz w:val="28"/>
          <w:vertAlign w:val="baseline"/>
        </w:rPr>
        <w:t> </w:t>
      </w:r>
      <w:r>
        <w:rPr>
          <w:sz w:val="28"/>
          <w:vertAlign w:val="baseline"/>
        </w:rPr>
        <w:t>consistent</w:t>
      </w:r>
      <w:r>
        <w:rPr>
          <w:spacing w:val="-7"/>
          <w:sz w:val="28"/>
          <w:vertAlign w:val="baseline"/>
        </w:rPr>
        <w:t> </w:t>
      </w:r>
      <w:r>
        <w:rPr>
          <w:sz w:val="28"/>
          <w:vertAlign w:val="baseline"/>
        </w:rPr>
        <w:t>with</w:t>
      </w:r>
      <w:r>
        <w:rPr>
          <w:spacing w:val="-8"/>
          <w:sz w:val="28"/>
          <w:vertAlign w:val="baseline"/>
        </w:rPr>
        <w:t> </w:t>
      </w:r>
      <w:r>
        <w:rPr>
          <w:sz w:val="28"/>
          <w:vertAlign w:val="baseline"/>
        </w:rPr>
        <w:t>EU</w:t>
      </w:r>
      <w:r>
        <w:rPr>
          <w:spacing w:val="-7"/>
          <w:sz w:val="28"/>
          <w:vertAlign w:val="baseline"/>
        </w:rPr>
        <w:t> </w:t>
      </w:r>
      <w:r>
        <w:rPr>
          <w:sz w:val="28"/>
          <w:vertAlign w:val="baseline"/>
        </w:rPr>
        <w:t>minimum standards and advice from international human rights bodies.</w:t>
      </w:r>
      <w:r>
        <w:rPr>
          <w:sz w:val="28"/>
          <w:vertAlign w:val="superscript"/>
        </w:rPr>
        <w:t>477</w:t>
      </w:r>
      <w:r>
        <w:rPr>
          <w:sz w:val="28"/>
          <w:vertAlign w:val="baseline"/>
        </w:rPr>
        <w:t> The NIHRC advised</w:t>
      </w:r>
      <w:r>
        <w:rPr>
          <w:spacing w:val="-7"/>
          <w:sz w:val="28"/>
          <w:vertAlign w:val="baseline"/>
        </w:rPr>
        <w:t> </w:t>
      </w:r>
      <w:r>
        <w:rPr>
          <w:sz w:val="28"/>
          <w:vertAlign w:val="baseline"/>
        </w:rPr>
        <w:t>the</w:t>
      </w:r>
      <w:r>
        <w:rPr>
          <w:spacing w:val="-6"/>
          <w:sz w:val="28"/>
          <w:vertAlign w:val="baseline"/>
        </w:rPr>
        <w:t> </w:t>
      </w:r>
      <w:r>
        <w:rPr>
          <w:sz w:val="28"/>
          <w:vertAlign w:val="baseline"/>
        </w:rPr>
        <w:t>Executive</w:t>
      </w:r>
      <w:r>
        <w:rPr>
          <w:spacing w:val="-6"/>
          <w:sz w:val="28"/>
          <w:vertAlign w:val="baseline"/>
        </w:rPr>
        <w:t> </w:t>
      </w:r>
      <w:r>
        <w:rPr>
          <w:sz w:val="28"/>
          <w:vertAlign w:val="baseline"/>
        </w:rPr>
        <w:t>Office</w:t>
      </w:r>
      <w:r>
        <w:rPr>
          <w:spacing w:val="-6"/>
          <w:sz w:val="28"/>
          <w:vertAlign w:val="baseline"/>
        </w:rPr>
        <w:t> </w:t>
      </w:r>
      <w:r>
        <w:rPr>
          <w:sz w:val="28"/>
          <w:vertAlign w:val="baseline"/>
        </w:rPr>
        <w:t>to</w:t>
      </w:r>
      <w:r>
        <w:rPr>
          <w:spacing w:val="-7"/>
          <w:sz w:val="28"/>
          <w:vertAlign w:val="baseline"/>
        </w:rPr>
        <w:t> </w:t>
      </w:r>
      <w:r>
        <w:rPr>
          <w:sz w:val="28"/>
          <w:vertAlign w:val="baseline"/>
        </w:rPr>
        <w:t>ensure</w:t>
      </w:r>
      <w:r>
        <w:rPr>
          <w:spacing w:val="-6"/>
          <w:sz w:val="28"/>
          <w:vertAlign w:val="baseline"/>
        </w:rPr>
        <w:t> </w:t>
      </w:r>
      <w:r>
        <w:rPr>
          <w:sz w:val="28"/>
          <w:vertAlign w:val="baseline"/>
        </w:rPr>
        <w:t>that</w:t>
      </w:r>
      <w:r>
        <w:rPr>
          <w:spacing w:val="-6"/>
          <w:sz w:val="28"/>
          <w:vertAlign w:val="baseline"/>
        </w:rPr>
        <w:t> </w:t>
      </w:r>
      <w:r>
        <w:rPr>
          <w:sz w:val="28"/>
          <w:vertAlign w:val="baseline"/>
        </w:rPr>
        <w:t>a</w:t>
      </w:r>
      <w:r>
        <w:rPr>
          <w:spacing w:val="-7"/>
          <w:sz w:val="28"/>
          <w:vertAlign w:val="baseline"/>
        </w:rPr>
        <w:t> </w:t>
      </w:r>
      <w:r>
        <w:rPr>
          <w:sz w:val="28"/>
          <w:vertAlign w:val="baseline"/>
        </w:rPr>
        <w:t>human</w:t>
      </w:r>
      <w:r>
        <w:rPr>
          <w:spacing w:val="-7"/>
          <w:sz w:val="28"/>
          <w:vertAlign w:val="baseline"/>
        </w:rPr>
        <w:t> </w:t>
      </w:r>
      <w:r>
        <w:rPr>
          <w:sz w:val="28"/>
          <w:vertAlign w:val="baseline"/>
        </w:rPr>
        <w:t>rights</w:t>
      </w:r>
      <w:r>
        <w:rPr>
          <w:spacing w:val="-7"/>
          <w:sz w:val="28"/>
          <w:vertAlign w:val="baseline"/>
        </w:rPr>
        <w:t> </w:t>
      </w:r>
      <w:r>
        <w:rPr>
          <w:sz w:val="28"/>
          <w:vertAlign w:val="baseline"/>
        </w:rPr>
        <w:t>based</w:t>
      </w:r>
      <w:r>
        <w:rPr>
          <w:spacing w:val="-7"/>
          <w:sz w:val="28"/>
          <w:vertAlign w:val="baseline"/>
        </w:rPr>
        <w:t> </w:t>
      </w:r>
      <w:r>
        <w:rPr>
          <w:sz w:val="28"/>
          <w:vertAlign w:val="baseline"/>
        </w:rPr>
        <w:t>approach</w:t>
      </w:r>
      <w:r>
        <w:rPr>
          <w:spacing w:val="-7"/>
          <w:sz w:val="28"/>
          <w:vertAlign w:val="baseline"/>
        </w:rPr>
        <w:t> </w:t>
      </w:r>
      <w:r>
        <w:rPr>
          <w:sz w:val="28"/>
          <w:vertAlign w:val="baseline"/>
        </w:rPr>
        <w:t>to</w:t>
      </w:r>
    </w:p>
    <w:p>
      <w:pPr>
        <w:pStyle w:val="BodyText"/>
        <w:spacing w:line="218" w:lineRule="auto"/>
        <w:ind w:left="1853" w:right="1171"/>
      </w:pPr>
      <w:r>
        <w:rPr/>
        <w:t>the</w:t>
      </w:r>
      <w:r>
        <w:rPr>
          <w:spacing w:val="-6"/>
        </w:rPr>
        <w:t> </w:t>
      </w:r>
      <w:r>
        <w:rPr/>
        <w:t>whole</w:t>
      </w:r>
      <w:r>
        <w:rPr>
          <w:spacing w:val="-6"/>
        </w:rPr>
        <w:t> </w:t>
      </w:r>
      <w:r>
        <w:rPr/>
        <w:t>of</w:t>
      </w:r>
      <w:r>
        <w:rPr>
          <w:spacing w:val="-6"/>
        </w:rPr>
        <w:t> </w:t>
      </w:r>
      <w:r>
        <w:rPr/>
        <w:t>the</w:t>
      </w:r>
      <w:r>
        <w:rPr>
          <w:spacing w:val="-6"/>
        </w:rPr>
        <w:t> </w:t>
      </w:r>
      <w:r>
        <w:rPr/>
        <w:t>strategy</w:t>
      </w:r>
      <w:r>
        <w:rPr>
          <w:spacing w:val="-6"/>
        </w:rPr>
        <w:t> </w:t>
      </w:r>
      <w:r>
        <w:rPr/>
        <w:t>is</w:t>
      </w:r>
      <w:r>
        <w:rPr>
          <w:spacing w:val="-6"/>
        </w:rPr>
        <w:t> </w:t>
      </w:r>
      <w:r>
        <w:rPr/>
        <w:t>adopted,</w:t>
      </w:r>
      <w:r>
        <w:rPr>
          <w:spacing w:val="-6"/>
        </w:rPr>
        <w:t> </w:t>
      </w:r>
      <w:r>
        <w:rPr/>
        <w:t>including</w:t>
      </w:r>
      <w:r>
        <w:rPr>
          <w:spacing w:val="-6"/>
        </w:rPr>
        <w:t> </w:t>
      </w:r>
      <w:r>
        <w:rPr/>
        <w:t>the</w:t>
      </w:r>
      <w:r>
        <w:rPr>
          <w:spacing w:val="-6"/>
        </w:rPr>
        <w:t> </w:t>
      </w:r>
      <w:r>
        <w:rPr/>
        <w:t>full</w:t>
      </w:r>
      <w:r>
        <w:rPr>
          <w:spacing w:val="-6"/>
        </w:rPr>
        <w:t> </w:t>
      </w:r>
      <w:r>
        <w:rPr/>
        <w:t>range</w:t>
      </w:r>
      <w:r>
        <w:rPr>
          <w:spacing w:val="-6"/>
        </w:rPr>
        <w:t> </w:t>
      </w:r>
      <w:r>
        <w:rPr/>
        <w:t>of</w:t>
      </w:r>
      <w:r>
        <w:rPr>
          <w:spacing w:val="-6"/>
        </w:rPr>
        <w:t> </w:t>
      </w:r>
      <w:r>
        <w:rPr/>
        <w:t>internationally accepted human rights standards, Windsor Framework Article 2 and the relevant EU law minimum standards.</w:t>
      </w:r>
      <w:r>
        <w:rPr>
          <w:vertAlign w:val="superscript"/>
        </w:rPr>
        <w:t>478</w:t>
      </w:r>
    </w:p>
    <w:p>
      <w:pPr>
        <w:pStyle w:val="ListParagraph"/>
        <w:numPr>
          <w:ilvl w:val="1"/>
          <w:numId w:val="7"/>
        </w:numPr>
        <w:tabs>
          <w:tab w:pos="1853" w:val="left" w:leader="none"/>
        </w:tabs>
        <w:spacing w:line="218" w:lineRule="auto" w:before="299" w:after="0"/>
        <w:ind w:left="1853" w:right="1142" w:hanging="720"/>
        <w:jc w:val="left"/>
        <w:rPr>
          <w:sz w:val="28"/>
        </w:rPr>
      </w:pPr>
      <w:r>
        <w:rPr>
          <w:sz w:val="28"/>
        </w:rPr>
        <w:t>The</w:t>
      </w:r>
      <w:r>
        <w:rPr>
          <w:spacing w:val="-6"/>
          <w:sz w:val="28"/>
        </w:rPr>
        <w:t> </w:t>
      </w:r>
      <w:r>
        <w:rPr>
          <w:sz w:val="28"/>
        </w:rPr>
        <w:t>ECNI,</w:t>
      </w:r>
      <w:r>
        <w:rPr>
          <w:spacing w:val="-6"/>
          <w:sz w:val="28"/>
        </w:rPr>
        <w:t> </w:t>
      </w:r>
      <w:r>
        <w:rPr>
          <w:sz w:val="28"/>
        </w:rPr>
        <w:t>in</w:t>
      </w:r>
      <w:r>
        <w:rPr>
          <w:spacing w:val="-7"/>
          <w:sz w:val="28"/>
        </w:rPr>
        <w:t> </w:t>
      </w:r>
      <w:r>
        <w:rPr>
          <w:sz w:val="28"/>
        </w:rPr>
        <w:t>its</w:t>
      </w:r>
      <w:r>
        <w:rPr>
          <w:spacing w:val="-7"/>
          <w:sz w:val="28"/>
        </w:rPr>
        <w:t> </w:t>
      </w:r>
      <w:r>
        <w:rPr>
          <w:sz w:val="28"/>
        </w:rPr>
        <w:t>response,</w:t>
      </w:r>
      <w:r>
        <w:rPr>
          <w:spacing w:val="-6"/>
          <w:sz w:val="28"/>
        </w:rPr>
        <w:t> </w:t>
      </w:r>
      <w:r>
        <w:rPr>
          <w:sz w:val="28"/>
        </w:rPr>
        <w:t>advised</w:t>
      </w:r>
      <w:r>
        <w:rPr>
          <w:spacing w:val="-7"/>
          <w:sz w:val="28"/>
        </w:rPr>
        <w:t> </w:t>
      </w:r>
      <w:r>
        <w:rPr>
          <w:sz w:val="28"/>
        </w:rPr>
        <w:t>the</w:t>
      </w:r>
      <w:r>
        <w:rPr>
          <w:spacing w:val="-6"/>
          <w:sz w:val="28"/>
        </w:rPr>
        <w:t> </w:t>
      </w:r>
      <w:r>
        <w:rPr>
          <w:sz w:val="28"/>
        </w:rPr>
        <w:t>Executive</w:t>
      </w:r>
      <w:r>
        <w:rPr>
          <w:spacing w:val="-6"/>
          <w:sz w:val="28"/>
        </w:rPr>
        <w:t> </w:t>
      </w:r>
      <w:r>
        <w:rPr>
          <w:sz w:val="28"/>
        </w:rPr>
        <w:t>Office</w:t>
      </w:r>
      <w:r>
        <w:rPr>
          <w:spacing w:val="-6"/>
          <w:sz w:val="28"/>
        </w:rPr>
        <w:t> </w:t>
      </w:r>
      <w:r>
        <w:rPr>
          <w:sz w:val="28"/>
        </w:rPr>
        <w:t>that</w:t>
      </w:r>
      <w:r>
        <w:rPr>
          <w:spacing w:val="-6"/>
          <w:sz w:val="28"/>
        </w:rPr>
        <w:t> </w:t>
      </w:r>
      <w:r>
        <w:rPr>
          <w:sz w:val="28"/>
        </w:rPr>
        <w:t>the</w:t>
      </w:r>
      <w:r>
        <w:rPr>
          <w:spacing w:val="-6"/>
          <w:sz w:val="28"/>
        </w:rPr>
        <w:t> </w:t>
      </w:r>
      <w:r>
        <w:rPr>
          <w:sz w:val="28"/>
        </w:rPr>
        <w:t>Strategy</w:t>
      </w:r>
      <w:r>
        <w:rPr>
          <w:spacing w:val="-6"/>
          <w:sz w:val="28"/>
        </w:rPr>
        <w:t> </w:t>
      </w:r>
      <w:r>
        <w:rPr>
          <w:sz w:val="28"/>
        </w:rPr>
        <w:t>should take account of and not diminish the rights protected under relevant EU directives contrary to Windsor Framework Article 2 which underpin the rights of victims including the EU Victims’ Directive</w:t>
      </w:r>
      <w:r>
        <w:rPr>
          <w:sz w:val="28"/>
          <w:vertAlign w:val="superscript"/>
        </w:rPr>
        <w:t>479</w:t>
      </w:r>
      <w:r>
        <w:rPr>
          <w:sz w:val="28"/>
          <w:vertAlign w:val="baseline"/>
        </w:rPr>
        <w:t> and other relevant EU laws that support victims.</w:t>
      </w:r>
      <w:r>
        <w:rPr>
          <w:sz w:val="28"/>
          <w:vertAlign w:val="superscript"/>
        </w:rPr>
        <w:t>480</w:t>
      </w:r>
      <w:r>
        <w:rPr>
          <w:sz w:val="28"/>
          <w:vertAlign w:val="baseline"/>
        </w:rPr>
        <w:t> The ECNI called for the Executive Office to monitor</w:t>
      </w:r>
    </w:p>
    <w:p>
      <w:pPr>
        <w:pStyle w:val="BodyText"/>
        <w:spacing w:line="220" w:lineRule="auto"/>
        <w:ind w:left="1853" w:right="1171"/>
      </w:pPr>
      <w:r>
        <w:rPr/>
        <w:t>and consider the EU Commission’s proposed amendments to the EU Victims Directive,</w:t>
      </w:r>
      <w:r>
        <w:rPr>
          <w:vertAlign w:val="superscript"/>
        </w:rPr>
        <w:t>481</w:t>
      </w:r>
      <w:r>
        <w:rPr>
          <w:spacing w:val="-12"/>
          <w:vertAlign w:val="baseline"/>
        </w:rPr>
        <w:t> </w:t>
      </w:r>
      <w:r>
        <w:rPr>
          <w:vertAlign w:val="baseline"/>
        </w:rPr>
        <w:t>which</w:t>
      </w:r>
      <w:r>
        <w:rPr>
          <w:spacing w:val="-12"/>
          <w:vertAlign w:val="baseline"/>
        </w:rPr>
        <w:t> </w:t>
      </w:r>
      <w:r>
        <w:rPr>
          <w:vertAlign w:val="baseline"/>
        </w:rPr>
        <w:t>if</w:t>
      </w:r>
      <w:r>
        <w:rPr>
          <w:spacing w:val="-12"/>
          <w:vertAlign w:val="baseline"/>
        </w:rPr>
        <w:t> </w:t>
      </w:r>
      <w:r>
        <w:rPr>
          <w:vertAlign w:val="baseline"/>
        </w:rPr>
        <w:t>adopted</w:t>
      </w:r>
      <w:r>
        <w:rPr>
          <w:spacing w:val="-12"/>
          <w:vertAlign w:val="baseline"/>
        </w:rPr>
        <w:t> </w:t>
      </w:r>
      <w:r>
        <w:rPr>
          <w:vertAlign w:val="baseline"/>
        </w:rPr>
        <w:t>would</w:t>
      </w:r>
      <w:r>
        <w:rPr>
          <w:spacing w:val="-12"/>
          <w:vertAlign w:val="baseline"/>
        </w:rPr>
        <w:t> </w:t>
      </w:r>
      <w:r>
        <w:rPr>
          <w:vertAlign w:val="baseline"/>
        </w:rPr>
        <w:t>strengthen</w:t>
      </w:r>
      <w:r>
        <w:rPr>
          <w:spacing w:val="-12"/>
          <w:vertAlign w:val="baseline"/>
        </w:rPr>
        <w:t> </w:t>
      </w:r>
      <w:r>
        <w:rPr>
          <w:vertAlign w:val="baseline"/>
        </w:rPr>
        <w:t>protections</w:t>
      </w:r>
      <w:r>
        <w:rPr>
          <w:spacing w:val="-12"/>
          <w:vertAlign w:val="baseline"/>
        </w:rPr>
        <w:t> </w:t>
      </w:r>
      <w:r>
        <w:rPr>
          <w:vertAlign w:val="baseline"/>
        </w:rPr>
        <w:t>in</w:t>
      </w:r>
      <w:r>
        <w:rPr>
          <w:spacing w:val="-12"/>
          <w:vertAlign w:val="baseline"/>
        </w:rPr>
        <w:t> </w:t>
      </w:r>
      <w:r>
        <w:rPr>
          <w:vertAlign w:val="baseline"/>
        </w:rPr>
        <w:t>areas</w:t>
      </w:r>
      <w:r>
        <w:rPr>
          <w:spacing w:val="-12"/>
          <w:vertAlign w:val="baseline"/>
        </w:rPr>
        <w:t> </w:t>
      </w:r>
      <w:r>
        <w:rPr>
          <w:vertAlign w:val="baseline"/>
        </w:rPr>
        <w:t>related</w:t>
      </w:r>
      <w:r>
        <w:rPr>
          <w:spacing w:val="-12"/>
          <w:vertAlign w:val="baseline"/>
        </w:rPr>
        <w:t> </w:t>
      </w:r>
      <w:r>
        <w:rPr>
          <w:vertAlign w:val="baseline"/>
        </w:rPr>
        <w:t>to this strategy.</w:t>
      </w:r>
      <w:r>
        <w:rPr>
          <w:vertAlign w:val="superscript"/>
        </w:rPr>
        <w:t>482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r>
        <w:rPr/>
        <mc:AlternateContent>
          <mc:Choice Requires="wps">
            <w:drawing>
              <wp:anchor distT="0" distB="0" distL="0" distR="0" allowOverlap="1" layoutInCell="1" locked="0" behindDoc="1" simplePos="0" relativeHeight="487678464">
                <wp:simplePos x="0" y="0"/>
                <wp:positionH relativeFrom="page">
                  <wp:posOffset>719996</wp:posOffset>
                </wp:positionH>
                <wp:positionV relativeFrom="paragraph">
                  <wp:posOffset>174367</wp:posOffset>
                </wp:positionV>
                <wp:extent cx="6120130" cy="1270"/>
                <wp:effectExtent l="0" t="0" r="0" b="0"/>
                <wp:wrapTopAndBottom/>
                <wp:docPr id="396" name="Graphic 396"/>
                <wp:cNvGraphicFramePr>
                  <a:graphicFrameLocks/>
                </wp:cNvGraphicFramePr>
                <a:graphic>
                  <a:graphicData uri="http://schemas.microsoft.com/office/word/2010/wordprocessingShape">
                    <wps:wsp>
                      <wps:cNvPr id="396" name="Graphic 396"/>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3.729719pt;width:481.9pt;height:.1pt;mso-position-horizontal-relative:page;mso-position-vertical-relative:paragraph;z-index:-15638016;mso-wrap-distance-left:0;mso-wrap-distance-right:0" id="docshape345" coordorigin="1134,275" coordsize="9638,0" path="m10772,275l1134,275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18" w:lineRule="exact" w:before="133" w:after="0"/>
        <w:ind w:left="1853" w:right="0" w:hanging="720"/>
        <w:jc w:val="left"/>
        <w:rPr>
          <w:sz w:val="18"/>
        </w:rPr>
      </w:pPr>
      <w:r>
        <w:rPr>
          <w:sz w:val="18"/>
        </w:rPr>
        <w:t>Ibid,</w:t>
      </w:r>
      <w:r>
        <w:rPr>
          <w:spacing w:val="-3"/>
          <w:sz w:val="18"/>
        </w:rPr>
        <w:t> </w:t>
      </w:r>
      <w:r>
        <w:rPr>
          <w:sz w:val="18"/>
        </w:rPr>
        <w:t>at</w:t>
      </w:r>
      <w:r>
        <w:rPr>
          <w:spacing w:val="-2"/>
          <w:sz w:val="18"/>
        </w:rPr>
        <w:t> </w:t>
      </w:r>
      <w:r>
        <w:rPr>
          <w:sz w:val="18"/>
        </w:rPr>
        <w:t>para</w:t>
      </w:r>
      <w:r>
        <w:rPr>
          <w:spacing w:val="-2"/>
          <w:sz w:val="18"/>
        </w:rPr>
        <w:t> </w:t>
      </w:r>
      <w:r>
        <w:rPr>
          <w:spacing w:val="-5"/>
          <w:sz w:val="18"/>
        </w:rPr>
        <w:t>11.</w:t>
      </w:r>
    </w:p>
    <w:p>
      <w:pPr>
        <w:pStyle w:val="ListParagraph"/>
        <w:numPr>
          <w:ilvl w:val="0"/>
          <w:numId w:val="9"/>
        </w:numPr>
        <w:tabs>
          <w:tab w:pos="1853" w:val="left" w:leader="none"/>
        </w:tabs>
        <w:spacing w:line="208" w:lineRule="exact" w:before="0" w:after="0"/>
        <w:ind w:left="1853" w:right="0" w:hanging="720"/>
        <w:jc w:val="left"/>
        <w:rPr>
          <w:sz w:val="18"/>
        </w:rPr>
      </w:pPr>
      <w:r>
        <w:rPr>
          <w:sz w:val="18"/>
        </w:rPr>
        <w:t>The</w:t>
      </w:r>
      <w:r>
        <w:rPr>
          <w:spacing w:val="-8"/>
          <w:sz w:val="18"/>
        </w:rPr>
        <w:t> </w:t>
      </w:r>
      <w:r>
        <w:rPr>
          <w:sz w:val="18"/>
        </w:rPr>
        <w:t>Executive</w:t>
      </w:r>
      <w:r>
        <w:rPr>
          <w:spacing w:val="-8"/>
          <w:sz w:val="18"/>
        </w:rPr>
        <w:t> </w:t>
      </w:r>
      <w:r>
        <w:rPr>
          <w:sz w:val="18"/>
        </w:rPr>
        <w:t>Office,</w:t>
      </w:r>
      <w:r>
        <w:rPr>
          <w:spacing w:val="-7"/>
          <w:sz w:val="18"/>
        </w:rPr>
        <w:t> </w:t>
      </w:r>
      <w:r>
        <w:rPr>
          <w:sz w:val="18"/>
        </w:rPr>
        <w:t>Strategy</w:t>
      </w:r>
      <w:r>
        <w:rPr>
          <w:spacing w:val="-8"/>
          <w:sz w:val="18"/>
        </w:rPr>
        <w:t> </w:t>
      </w:r>
      <w:r>
        <w:rPr>
          <w:sz w:val="18"/>
        </w:rPr>
        <w:t>for</w:t>
      </w:r>
      <w:r>
        <w:rPr>
          <w:spacing w:val="-7"/>
          <w:sz w:val="18"/>
        </w:rPr>
        <w:t> </w:t>
      </w:r>
      <w:r>
        <w:rPr>
          <w:sz w:val="18"/>
        </w:rPr>
        <w:t>Victims</w:t>
      </w:r>
      <w:r>
        <w:rPr>
          <w:spacing w:val="-9"/>
          <w:sz w:val="18"/>
        </w:rPr>
        <w:t> </w:t>
      </w:r>
      <w:r>
        <w:rPr>
          <w:sz w:val="18"/>
        </w:rPr>
        <w:t>and</w:t>
      </w:r>
      <w:r>
        <w:rPr>
          <w:spacing w:val="-8"/>
          <w:sz w:val="18"/>
        </w:rPr>
        <w:t> </w:t>
      </w:r>
      <w:r>
        <w:rPr>
          <w:sz w:val="18"/>
        </w:rPr>
        <w:t>Survivors</w:t>
      </w:r>
      <w:r>
        <w:rPr>
          <w:spacing w:val="-9"/>
          <w:sz w:val="18"/>
        </w:rPr>
        <w:t> </w:t>
      </w:r>
      <w:r>
        <w:rPr>
          <w:sz w:val="18"/>
        </w:rPr>
        <w:t>of</w:t>
      </w:r>
      <w:r>
        <w:rPr>
          <w:spacing w:val="-8"/>
          <w:sz w:val="18"/>
        </w:rPr>
        <w:t> </w:t>
      </w:r>
      <w:r>
        <w:rPr>
          <w:sz w:val="18"/>
        </w:rPr>
        <w:t>the</w:t>
      </w:r>
      <w:r>
        <w:rPr>
          <w:spacing w:val="-7"/>
          <w:sz w:val="18"/>
        </w:rPr>
        <w:t> </w:t>
      </w:r>
      <w:r>
        <w:rPr>
          <w:sz w:val="18"/>
        </w:rPr>
        <w:t>Troubles/Conflict</w:t>
      </w:r>
      <w:r>
        <w:rPr>
          <w:spacing w:val="-8"/>
          <w:sz w:val="18"/>
        </w:rPr>
        <w:t> </w:t>
      </w:r>
      <w:r>
        <w:rPr>
          <w:sz w:val="18"/>
        </w:rPr>
        <w:t>(TEO,</w:t>
      </w:r>
      <w:r>
        <w:rPr>
          <w:spacing w:val="-8"/>
          <w:sz w:val="18"/>
        </w:rPr>
        <w:t> </w:t>
      </w:r>
      <w:r>
        <w:rPr>
          <w:spacing w:val="-2"/>
          <w:sz w:val="18"/>
        </w:rPr>
        <w:t>2023).</w:t>
      </w:r>
    </w:p>
    <w:p>
      <w:pPr>
        <w:pStyle w:val="ListParagraph"/>
        <w:numPr>
          <w:ilvl w:val="0"/>
          <w:numId w:val="9"/>
        </w:numPr>
        <w:tabs>
          <w:tab w:pos="1853" w:val="left" w:leader="none"/>
        </w:tabs>
        <w:spacing w:line="218" w:lineRule="auto" w:before="5" w:after="0"/>
        <w:ind w:left="1853" w:right="1411" w:hanging="720"/>
        <w:jc w:val="left"/>
        <w:rPr>
          <w:sz w:val="18"/>
        </w:rPr>
      </w:pPr>
      <w:r>
        <w:rPr>
          <w:sz w:val="18"/>
        </w:rPr>
        <w:t>Equality Commission for NI, ‘Response to consultation: The Executive Office: New Strategy for Victims and Survivors’, (ECNI,</w:t>
      </w:r>
      <w:r>
        <w:rPr>
          <w:spacing w:val="-5"/>
          <w:sz w:val="18"/>
        </w:rPr>
        <w:t> </w:t>
      </w:r>
      <w:r>
        <w:rPr>
          <w:sz w:val="18"/>
        </w:rPr>
        <w:t>2024);</w:t>
      </w:r>
      <w:r>
        <w:rPr>
          <w:spacing w:val="-5"/>
          <w:sz w:val="18"/>
        </w:rPr>
        <w:t> </w:t>
      </w:r>
      <w:r>
        <w:rPr>
          <w:sz w:val="18"/>
        </w:rPr>
        <w:t>NI</w:t>
      </w:r>
      <w:r>
        <w:rPr>
          <w:spacing w:val="-5"/>
          <w:sz w:val="18"/>
        </w:rPr>
        <w:t> </w:t>
      </w:r>
      <w:r>
        <w:rPr>
          <w:sz w:val="18"/>
        </w:rPr>
        <w:t>Human</w:t>
      </w:r>
      <w:r>
        <w:rPr>
          <w:spacing w:val="-6"/>
          <w:sz w:val="18"/>
        </w:rPr>
        <w:t> </w:t>
      </w:r>
      <w:r>
        <w:rPr>
          <w:sz w:val="18"/>
        </w:rPr>
        <w:t>Rights</w:t>
      </w:r>
      <w:r>
        <w:rPr>
          <w:spacing w:val="-6"/>
          <w:sz w:val="18"/>
        </w:rPr>
        <w:t> </w:t>
      </w:r>
      <w:r>
        <w:rPr>
          <w:sz w:val="18"/>
        </w:rPr>
        <w:t>Commission,</w:t>
      </w:r>
      <w:r>
        <w:rPr>
          <w:spacing w:val="-5"/>
          <w:sz w:val="18"/>
        </w:rPr>
        <w:t> </w:t>
      </w:r>
      <w:r>
        <w:rPr>
          <w:sz w:val="18"/>
        </w:rPr>
        <w:t>‘Submission</w:t>
      </w:r>
      <w:r>
        <w:rPr>
          <w:spacing w:val="-6"/>
          <w:sz w:val="18"/>
        </w:rPr>
        <w:t> </w:t>
      </w:r>
      <w:r>
        <w:rPr>
          <w:sz w:val="18"/>
        </w:rPr>
        <w:t>to</w:t>
      </w:r>
      <w:r>
        <w:rPr>
          <w:spacing w:val="-6"/>
          <w:sz w:val="18"/>
        </w:rPr>
        <w:t> </w:t>
      </w:r>
      <w:r>
        <w:rPr>
          <w:sz w:val="18"/>
        </w:rPr>
        <w:t>the</w:t>
      </w:r>
      <w:r>
        <w:rPr>
          <w:spacing w:val="-5"/>
          <w:sz w:val="18"/>
        </w:rPr>
        <w:t> </w:t>
      </w:r>
      <w:r>
        <w:rPr>
          <w:sz w:val="18"/>
        </w:rPr>
        <w:t>Executive</w:t>
      </w:r>
      <w:r>
        <w:rPr>
          <w:spacing w:val="-5"/>
          <w:sz w:val="18"/>
        </w:rPr>
        <w:t> </w:t>
      </w:r>
      <w:r>
        <w:rPr>
          <w:sz w:val="18"/>
        </w:rPr>
        <w:t>Office’s</w:t>
      </w:r>
      <w:r>
        <w:rPr>
          <w:spacing w:val="-6"/>
          <w:sz w:val="18"/>
        </w:rPr>
        <w:t> </w:t>
      </w:r>
      <w:r>
        <w:rPr>
          <w:sz w:val="18"/>
        </w:rPr>
        <w:t>Consultation</w:t>
      </w:r>
      <w:r>
        <w:rPr>
          <w:spacing w:val="-6"/>
          <w:sz w:val="18"/>
        </w:rPr>
        <w:t> </w:t>
      </w:r>
      <w:r>
        <w:rPr>
          <w:sz w:val="18"/>
        </w:rPr>
        <w:t>on</w:t>
      </w:r>
      <w:r>
        <w:rPr>
          <w:spacing w:val="-6"/>
          <w:sz w:val="18"/>
        </w:rPr>
        <w:t> </w:t>
      </w:r>
      <w:r>
        <w:rPr>
          <w:sz w:val="18"/>
        </w:rPr>
        <w:t>the</w:t>
      </w:r>
      <w:r>
        <w:rPr>
          <w:spacing w:val="-5"/>
          <w:sz w:val="18"/>
        </w:rPr>
        <w:t> </w:t>
      </w:r>
      <w:r>
        <w:rPr>
          <w:sz w:val="18"/>
        </w:rPr>
        <w:t>New</w:t>
      </w:r>
      <w:r>
        <w:rPr>
          <w:spacing w:val="-5"/>
          <w:sz w:val="18"/>
        </w:rPr>
        <w:t> </w:t>
      </w:r>
      <w:r>
        <w:rPr>
          <w:sz w:val="18"/>
        </w:rPr>
        <w:t>Strategy</w:t>
      </w:r>
      <w:r>
        <w:rPr>
          <w:spacing w:val="-5"/>
          <w:sz w:val="18"/>
        </w:rPr>
        <w:t> </w:t>
      </w:r>
      <w:r>
        <w:rPr>
          <w:sz w:val="18"/>
        </w:rPr>
        <w:t>for Victims and Survivors’ (NIHRC, 2024).</w:t>
      </w:r>
    </w:p>
    <w:p>
      <w:pPr>
        <w:pStyle w:val="ListParagraph"/>
        <w:numPr>
          <w:ilvl w:val="0"/>
          <w:numId w:val="9"/>
        </w:numPr>
        <w:tabs>
          <w:tab w:pos="1853" w:val="left" w:leader="none"/>
        </w:tabs>
        <w:spacing w:line="218" w:lineRule="auto" w:before="1" w:after="0"/>
        <w:ind w:left="1853" w:right="1513" w:hanging="720"/>
        <w:jc w:val="left"/>
        <w:rPr>
          <w:sz w:val="18"/>
        </w:rPr>
      </w:pPr>
      <w:r>
        <w:rPr>
          <w:sz w:val="18"/>
        </w:rPr>
        <w:t>NI</w:t>
      </w:r>
      <w:r>
        <w:rPr>
          <w:spacing w:val="-5"/>
          <w:sz w:val="18"/>
        </w:rPr>
        <w:t> </w:t>
      </w:r>
      <w:r>
        <w:rPr>
          <w:sz w:val="18"/>
        </w:rPr>
        <w:t>Human</w:t>
      </w:r>
      <w:r>
        <w:rPr>
          <w:spacing w:val="-6"/>
          <w:sz w:val="18"/>
        </w:rPr>
        <w:t> </w:t>
      </w:r>
      <w:r>
        <w:rPr>
          <w:sz w:val="18"/>
        </w:rPr>
        <w:t>Rights</w:t>
      </w:r>
      <w:r>
        <w:rPr>
          <w:spacing w:val="-6"/>
          <w:sz w:val="18"/>
        </w:rPr>
        <w:t> </w:t>
      </w:r>
      <w:r>
        <w:rPr>
          <w:sz w:val="18"/>
        </w:rPr>
        <w:t>Commission,</w:t>
      </w:r>
      <w:r>
        <w:rPr>
          <w:spacing w:val="-5"/>
          <w:sz w:val="18"/>
        </w:rPr>
        <w:t> </w:t>
      </w:r>
      <w:r>
        <w:rPr>
          <w:sz w:val="18"/>
        </w:rPr>
        <w:t>‘Submission</w:t>
      </w:r>
      <w:r>
        <w:rPr>
          <w:spacing w:val="-6"/>
          <w:sz w:val="18"/>
        </w:rPr>
        <w:t> </w:t>
      </w:r>
      <w:r>
        <w:rPr>
          <w:sz w:val="18"/>
        </w:rPr>
        <w:t>to</w:t>
      </w:r>
      <w:r>
        <w:rPr>
          <w:spacing w:val="-6"/>
          <w:sz w:val="18"/>
        </w:rPr>
        <w:t> </w:t>
      </w:r>
      <w:r>
        <w:rPr>
          <w:sz w:val="18"/>
        </w:rPr>
        <w:t>the</w:t>
      </w:r>
      <w:r>
        <w:rPr>
          <w:spacing w:val="-5"/>
          <w:sz w:val="18"/>
        </w:rPr>
        <w:t> </w:t>
      </w:r>
      <w:r>
        <w:rPr>
          <w:sz w:val="18"/>
        </w:rPr>
        <w:t>Executive</w:t>
      </w:r>
      <w:r>
        <w:rPr>
          <w:spacing w:val="-5"/>
          <w:sz w:val="18"/>
        </w:rPr>
        <w:t> </w:t>
      </w:r>
      <w:r>
        <w:rPr>
          <w:sz w:val="18"/>
        </w:rPr>
        <w:t>Office’s</w:t>
      </w:r>
      <w:r>
        <w:rPr>
          <w:spacing w:val="-6"/>
          <w:sz w:val="18"/>
        </w:rPr>
        <w:t> </w:t>
      </w:r>
      <w:r>
        <w:rPr>
          <w:sz w:val="18"/>
        </w:rPr>
        <w:t>Consultation</w:t>
      </w:r>
      <w:r>
        <w:rPr>
          <w:spacing w:val="-6"/>
          <w:sz w:val="18"/>
        </w:rPr>
        <w:t> </w:t>
      </w:r>
      <w:r>
        <w:rPr>
          <w:sz w:val="18"/>
        </w:rPr>
        <w:t>on</w:t>
      </w:r>
      <w:r>
        <w:rPr>
          <w:spacing w:val="-6"/>
          <w:sz w:val="18"/>
        </w:rPr>
        <w:t> </w:t>
      </w:r>
      <w:r>
        <w:rPr>
          <w:sz w:val="18"/>
        </w:rPr>
        <w:t>the</w:t>
      </w:r>
      <w:r>
        <w:rPr>
          <w:spacing w:val="-5"/>
          <w:sz w:val="18"/>
        </w:rPr>
        <w:t> </w:t>
      </w:r>
      <w:r>
        <w:rPr>
          <w:sz w:val="18"/>
        </w:rPr>
        <w:t>New</w:t>
      </w:r>
      <w:r>
        <w:rPr>
          <w:spacing w:val="-5"/>
          <w:sz w:val="18"/>
        </w:rPr>
        <w:t> </w:t>
      </w:r>
      <w:r>
        <w:rPr>
          <w:sz w:val="18"/>
        </w:rPr>
        <w:t>Strategy</w:t>
      </w:r>
      <w:r>
        <w:rPr>
          <w:spacing w:val="-5"/>
          <w:sz w:val="18"/>
        </w:rPr>
        <w:t> </w:t>
      </w:r>
      <w:r>
        <w:rPr>
          <w:sz w:val="18"/>
        </w:rPr>
        <w:t>for</w:t>
      </w:r>
      <w:r>
        <w:rPr>
          <w:spacing w:val="-5"/>
          <w:sz w:val="18"/>
        </w:rPr>
        <w:t> </w:t>
      </w:r>
      <w:r>
        <w:rPr>
          <w:sz w:val="18"/>
        </w:rPr>
        <w:t>Victims</w:t>
      </w:r>
      <w:r>
        <w:rPr>
          <w:spacing w:val="-6"/>
          <w:sz w:val="18"/>
        </w:rPr>
        <w:t> </w:t>
      </w:r>
      <w:r>
        <w:rPr>
          <w:sz w:val="18"/>
        </w:rPr>
        <w:t>and Survivors’ (NIHRC, 2024).</w:t>
      </w:r>
    </w:p>
    <w:p>
      <w:pPr>
        <w:pStyle w:val="ListParagraph"/>
        <w:numPr>
          <w:ilvl w:val="0"/>
          <w:numId w:val="9"/>
        </w:numPr>
        <w:tabs>
          <w:tab w:pos="1853" w:val="left" w:leader="none"/>
        </w:tabs>
        <w:spacing w:line="210" w:lineRule="exact" w:before="0" w:after="0"/>
        <w:ind w:left="1853" w:right="0" w:hanging="720"/>
        <w:jc w:val="left"/>
        <w:rPr>
          <w:sz w:val="18"/>
        </w:rPr>
      </w:pPr>
      <w:r>
        <w:rPr>
          <w:spacing w:val="-4"/>
          <w:sz w:val="18"/>
        </w:rPr>
        <w:t>Ibid.</w:t>
      </w:r>
    </w:p>
    <w:p>
      <w:pPr>
        <w:pStyle w:val="ListParagraph"/>
        <w:numPr>
          <w:ilvl w:val="0"/>
          <w:numId w:val="9"/>
        </w:numPr>
        <w:tabs>
          <w:tab w:pos="1853" w:val="left" w:leader="none"/>
        </w:tabs>
        <w:spacing w:line="218" w:lineRule="auto" w:before="6" w:after="0"/>
        <w:ind w:left="1853" w:right="1303" w:hanging="720"/>
        <w:jc w:val="left"/>
        <w:rPr>
          <w:sz w:val="18"/>
        </w:rPr>
      </w:pPr>
      <w:r>
        <w:rPr>
          <w:sz w:val="18"/>
        </w:rPr>
        <w:t>Directive</w:t>
      </w:r>
      <w:r>
        <w:rPr>
          <w:spacing w:val="-4"/>
          <w:sz w:val="18"/>
        </w:rPr>
        <w:t> </w:t>
      </w:r>
      <w:r>
        <w:rPr>
          <w:sz w:val="18"/>
        </w:rPr>
        <w:t>2012/29/EU,</w:t>
      </w:r>
      <w:r>
        <w:rPr>
          <w:spacing w:val="-4"/>
          <w:sz w:val="18"/>
        </w:rPr>
        <w:t> </w:t>
      </w:r>
      <w:r>
        <w:rPr>
          <w:sz w:val="18"/>
        </w:rPr>
        <w:t>‘EU</w:t>
      </w:r>
      <w:r>
        <w:rPr>
          <w:spacing w:val="-4"/>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Directive</w:t>
      </w:r>
      <w:r>
        <w:rPr>
          <w:spacing w:val="-4"/>
          <w:sz w:val="18"/>
        </w:rPr>
        <w:t> </w:t>
      </w:r>
      <w:r>
        <w:rPr>
          <w:sz w:val="18"/>
        </w:rPr>
        <w:t>Establishing</w:t>
      </w:r>
      <w:r>
        <w:rPr>
          <w:spacing w:val="-4"/>
          <w:sz w:val="18"/>
        </w:rPr>
        <w:t> </w:t>
      </w:r>
      <w:r>
        <w:rPr>
          <w:sz w:val="18"/>
        </w:rPr>
        <w:t>Minimum</w:t>
      </w:r>
      <w:r>
        <w:rPr>
          <w:spacing w:val="-4"/>
          <w:sz w:val="18"/>
        </w:rPr>
        <w:t> </w:t>
      </w:r>
      <w:r>
        <w:rPr>
          <w:sz w:val="18"/>
        </w:rPr>
        <w:t>Standards</w:t>
      </w:r>
      <w:r>
        <w:rPr>
          <w:spacing w:val="-5"/>
          <w:sz w:val="18"/>
        </w:rPr>
        <w:t> </w:t>
      </w:r>
      <w:r>
        <w:rPr>
          <w:sz w:val="18"/>
        </w:rPr>
        <w:t>on</w:t>
      </w:r>
      <w:r>
        <w:rPr>
          <w:spacing w:val="-5"/>
          <w:sz w:val="18"/>
        </w:rPr>
        <w:t> </w:t>
      </w:r>
      <w:r>
        <w:rPr>
          <w:sz w:val="18"/>
        </w:rPr>
        <w:t>the</w:t>
      </w:r>
      <w:r>
        <w:rPr>
          <w:spacing w:val="-4"/>
          <w:sz w:val="18"/>
        </w:rPr>
        <w:t> </w:t>
      </w:r>
      <w:r>
        <w:rPr>
          <w:sz w:val="18"/>
        </w:rPr>
        <w:t>Rights,</w:t>
      </w:r>
      <w:r>
        <w:rPr>
          <w:spacing w:val="-4"/>
          <w:sz w:val="18"/>
        </w:rPr>
        <w:t> </w:t>
      </w:r>
      <w:r>
        <w:rPr>
          <w:sz w:val="18"/>
        </w:rPr>
        <w:t>Support</w:t>
      </w:r>
      <w:r>
        <w:rPr>
          <w:spacing w:val="-4"/>
          <w:sz w:val="18"/>
        </w:rPr>
        <w:t> </w:t>
      </w:r>
      <w:r>
        <w:rPr>
          <w:sz w:val="18"/>
        </w:rPr>
        <w:t>and Protection of Victims of Crime’, 25 October 2012.</w:t>
      </w:r>
    </w:p>
    <w:p>
      <w:pPr>
        <w:pStyle w:val="ListParagraph"/>
        <w:numPr>
          <w:ilvl w:val="0"/>
          <w:numId w:val="9"/>
        </w:numPr>
        <w:tabs>
          <w:tab w:pos="1853" w:val="left" w:leader="none"/>
        </w:tabs>
        <w:spacing w:line="218" w:lineRule="auto" w:before="0" w:after="0"/>
        <w:ind w:left="1853" w:right="1310" w:hanging="720"/>
        <w:jc w:val="left"/>
        <w:rPr>
          <w:sz w:val="18"/>
        </w:rPr>
      </w:pPr>
      <w:r>
        <w:rPr>
          <w:sz w:val="18"/>
        </w:rPr>
        <w:t>Directive 2011/92/EU, ‘Parliament and Council Directive on Combating the Sexual Abuse and Sexual Exploitation of Children and Child Pornography’, 13 December 2011; Directive 2011/36/EU ‘Council Directive on Preventing and Combating</w:t>
      </w:r>
      <w:r>
        <w:rPr>
          <w:spacing w:val="-6"/>
          <w:sz w:val="18"/>
        </w:rPr>
        <w:t> </w:t>
      </w:r>
      <w:r>
        <w:rPr>
          <w:sz w:val="18"/>
        </w:rPr>
        <w:t>Trafficking</w:t>
      </w:r>
      <w:r>
        <w:rPr>
          <w:spacing w:val="-6"/>
          <w:sz w:val="18"/>
        </w:rPr>
        <w:t> </w:t>
      </w:r>
      <w:r>
        <w:rPr>
          <w:sz w:val="18"/>
        </w:rPr>
        <w:t>in</w:t>
      </w:r>
      <w:r>
        <w:rPr>
          <w:spacing w:val="-7"/>
          <w:sz w:val="18"/>
        </w:rPr>
        <w:t> </w:t>
      </w:r>
      <w:r>
        <w:rPr>
          <w:sz w:val="18"/>
        </w:rPr>
        <w:t>Human</w:t>
      </w:r>
      <w:r>
        <w:rPr>
          <w:spacing w:val="-7"/>
          <w:sz w:val="18"/>
        </w:rPr>
        <w:t> </w:t>
      </w:r>
      <w:r>
        <w:rPr>
          <w:sz w:val="18"/>
        </w:rPr>
        <w:t>Beings</w:t>
      </w:r>
      <w:r>
        <w:rPr>
          <w:spacing w:val="-7"/>
          <w:sz w:val="18"/>
        </w:rPr>
        <w:t> </w:t>
      </w:r>
      <w:r>
        <w:rPr>
          <w:sz w:val="18"/>
        </w:rPr>
        <w:t>and</w:t>
      </w:r>
      <w:r>
        <w:rPr>
          <w:spacing w:val="-7"/>
          <w:sz w:val="18"/>
        </w:rPr>
        <w:t> </w:t>
      </w:r>
      <w:r>
        <w:rPr>
          <w:sz w:val="18"/>
        </w:rPr>
        <w:t>Protecting</w:t>
      </w:r>
      <w:r>
        <w:rPr>
          <w:spacing w:val="-6"/>
          <w:sz w:val="18"/>
        </w:rPr>
        <w:t> </w:t>
      </w:r>
      <w:r>
        <w:rPr>
          <w:sz w:val="18"/>
        </w:rPr>
        <w:t>its</w:t>
      </w:r>
      <w:r>
        <w:rPr>
          <w:spacing w:val="-7"/>
          <w:sz w:val="18"/>
        </w:rPr>
        <w:t> </w:t>
      </w:r>
      <w:r>
        <w:rPr>
          <w:sz w:val="18"/>
        </w:rPr>
        <w:t>Victims’,</w:t>
      </w:r>
      <w:r>
        <w:rPr>
          <w:spacing w:val="-6"/>
          <w:sz w:val="18"/>
        </w:rPr>
        <w:t> </w:t>
      </w:r>
      <w:r>
        <w:rPr>
          <w:sz w:val="18"/>
        </w:rPr>
        <w:t>5</w:t>
      </w:r>
      <w:r>
        <w:rPr>
          <w:spacing w:val="-6"/>
          <w:sz w:val="18"/>
        </w:rPr>
        <w:t> </w:t>
      </w:r>
      <w:r>
        <w:rPr>
          <w:sz w:val="18"/>
        </w:rPr>
        <w:t>April</w:t>
      </w:r>
      <w:r>
        <w:rPr>
          <w:spacing w:val="-7"/>
          <w:sz w:val="18"/>
        </w:rPr>
        <w:t> </w:t>
      </w:r>
      <w:r>
        <w:rPr>
          <w:sz w:val="18"/>
        </w:rPr>
        <w:t>2011;</w:t>
      </w:r>
      <w:r>
        <w:rPr>
          <w:spacing w:val="-6"/>
          <w:sz w:val="18"/>
        </w:rPr>
        <w:t> </w:t>
      </w:r>
      <w:r>
        <w:rPr>
          <w:sz w:val="18"/>
        </w:rPr>
        <w:t>Directive</w:t>
      </w:r>
      <w:r>
        <w:rPr>
          <w:spacing w:val="-6"/>
          <w:sz w:val="18"/>
        </w:rPr>
        <w:t> </w:t>
      </w:r>
      <w:r>
        <w:rPr>
          <w:sz w:val="18"/>
        </w:rPr>
        <w:t>2004/80/EC,</w:t>
      </w:r>
      <w:r>
        <w:rPr>
          <w:spacing w:val="-6"/>
          <w:sz w:val="18"/>
        </w:rPr>
        <w:t> </w:t>
      </w:r>
      <w:r>
        <w:rPr>
          <w:sz w:val="18"/>
        </w:rPr>
        <w:t>‘Council</w:t>
      </w:r>
      <w:r>
        <w:rPr>
          <w:spacing w:val="-7"/>
          <w:sz w:val="18"/>
        </w:rPr>
        <w:t> </w:t>
      </w:r>
      <w:r>
        <w:rPr>
          <w:sz w:val="18"/>
        </w:rPr>
        <w:t>Directive relating to the Compensation to Crime Victims’, 29 April 2004.</w:t>
      </w:r>
    </w:p>
    <w:p>
      <w:pPr>
        <w:pStyle w:val="ListParagraph"/>
        <w:numPr>
          <w:ilvl w:val="0"/>
          <w:numId w:val="9"/>
        </w:numPr>
        <w:tabs>
          <w:tab w:pos="1853" w:val="left" w:leader="none"/>
        </w:tabs>
        <w:spacing w:line="218" w:lineRule="auto" w:before="0" w:after="0"/>
        <w:ind w:left="1853" w:right="1472" w:hanging="720"/>
        <w:jc w:val="left"/>
        <w:rPr>
          <w:sz w:val="18"/>
        </w:rPr>
      </w:pPr>
      <w:r>
        <w:rPr>
          <w:sz w:val="18"/>
        </w:rPr>
        <w:t>EU</w:t>
      </w:r>
      <w:r>
        <w:rPr>
          <w:spacing w:val="-4"/>
          <w:sz w:val="18"/>
        </w:rPr>
        <w:t> </w:t>
      </w:r>
      <w:r>
        <w:rPr>
          <w:sz w:val="18"/>
        </w:rPr>
        <w:t>Commission,</w:t>
      </w:r>
      <w:r>
        <w:rPr>
          <w:spacing w:val="-4"/>
          <w:sz w:val="18"/>
        </w:rPr>
        <w:t> </w:t>
      </w:r>
      <w:r>
        <w:rPr>
          <w:sz w:val="18"/>
        </w:rPr>
        <w:t>‘Proposal</w:t>
      </w:r>
      <w:r>
        <w:rPr>
          <w:spacing w:val="-5"/>
          <w:sz w:val="18"/>
        </w:rPr>
        <w:t> </w:t>
      </w:r>
      <w:r>
        <w:rPr>
          <w:sz w:val="18"/>
        </w:rPr>
        <w:t>for</w:t>
      </w:r>
      <w:r>
        <w:rPr>
          <w:spacing w:val="-4"/>
          <w:sz w:val="18"/>
        </w:rPr>
        <w:t> </w:t>
      </w:r>
      <w:r>
        <w:rPr>
          <w:sz w:val="18"/>
        </w:rPr>
        <w:t>a</w:t>
      </w:r>
      <w:r>
        <w:rPr>
          <w:spacing w:val="-5"/>
          <w:sz w:val="18"/>
        </w:rPr>
        <w:t> </w:t>
      </w:r>
      <w:r>
        <w:rPr>
          <w:sz w:val="18"/>
        </w:rPr>
        <w:t>Directive</w:t>
      </w:r>
      <w:r>
        <w:rPr>
          <w:spacing w:val="-4"/>
          <w:sz w:val="18"/>
        </w:rPr>
        <w:t> </w:t>
      </w:r>
      <w:r>
        <w:rPr>
          <w:sz w:val="18"/>
        </w:rPr>
        <w:t>of</w:t>
      </w:r>
      <w:r>
        <w:rPr>
          <w:spacing w:val="-5"/>
          <w:sz w:val="18"/>
        </w:rPr>
        <w:t> </w:t>
      </w:r>
      <w:r>
        <w:rPr>
          <w:sz w:val="18"/>
        </w:rPr>
        <w:t>the</w:t>
      </w:r>
      <w:r>
        <w:rPr>
          <w:spacing w:val="-4"/>
          <w:sz w:val="18"/>
        </w:rPr>
        <w:t> </w:t>
      </w:r>
      <w:r>
        <w:rPr>
          <w:sz w:val="18"/>
        </w:rPr>
        <w:t>European</w:t>
      </w:r>
      <w:r>
        <w:rPr>
          <w:spacing w:val="-5"/>
          <w:sz w:val="18"/>
        </w:rPr>
        <w:t> </w:t>
      </w:r>
      <w:r>
        <w:rPr>
          <w:sz w:val="18"/>
        </w:rPr>
        <w:t>Parliament</w:t>
      </w:r>
      <w:r>
        <w:rPr>
          <w:spacing w:val="-4"/>
          <w:sz w:val="18"/>
        </w:rPr>
        <w:t> </w:t>
      </w:r>
      <w:r>
        <w:rPr>
          <w:sz w:val="18"/>
        </w:rPr>
        <w:t>and</w:t>
      </w:r>
      <w:r>
        <w:rPr>
          <w:spacing w:val="-5"/>
          <w:sz w:val="18"/>
        </w:rPr>
        <w:t> </w:t>
      </w:r>
      <w:r>
        <w:rPr>
          <w:sz w:val="18"/>
        </w:rPr>
        <w:t>of</w:t>
      </w:r>
      <w:r>
        <w:rPr>
          <w:spacing w:val="-5"/>
          <w:sz w:val="18"/>
        </w:rPr>
        <w:t> </w:t>
      </w:r>
      <w:r>
        <w:rPr>
          <w:sz w:val="18"/>
        </w:rPr>
        <w:t>the</w:t>
      </w:r>
      <w:r>
        <w:rPr>
          <w:spacing w:val="-4"/>
          <w:sz w:val="18"/>
        </w:rPr>
        <w:t> </w:t>
      </w:r>
      <w:r>
        <w:rPr>
          <w:sz w:val="18"/>
        </w:rPr>
        <w:t>Council</w:t>
      </w:r>
      <w:r>
        <w:rPr>
          <w:spacing w:val="-5"/>
          <w:sz w:val="18"/>
        </w:rPr>
        <w:t> </w:t>
      </w:r>
      <w:r>
        <w:rPr>
          <w:sz w:val="18"/>
        </w:rPr>
        <w:t>amending</w:t>
      </w:r>
      <w:r>
        <w:rPr>
          <w:spacing w:val="-4"/>
          <w:sz w:val="18"/>
        </w:rPr>
        <w:t> </w:t>
      </w:r>
      <w:r>
        <w:rPr>
          <w:sz w:val="18"/>
        </w:rPr>
        <w:t>Directive</w:t>
      </w:r>
      <w:r>
        <w:rPr>
          <w:spacing w:val="-4"/>
          <w:sz w:val="18"/>
        </w:rPr>
        <w:t> </w:t>
      </w:r>
      <w:r>
        <w:rPr>
          <w:sz w:val="18"/>
        </w:rPr>
        <w:t>2012/29/ EU establishing minimum standards on the rights, support and protection of victims of crime, and replacing</w:t>
      </w:r>
    </w:p>
    <w:p>
      <w:pPr>
        <w:spacing w:line="203" w:lineRule="exact" w:before="0"/>
        <w:ind w:left="1853" w:right="0" w:firstLine="0"/>
        <w:jc w:val="left"/>
        <w:rPr>
          <w:sz w:val="18"/>
        </w:rPr>
      </w:pPr>
      <w:r>
        <w:rPr>
          <w:sz w:val="18"/>
        </w:rPr>
        <w:t>Council</w:t>
      </w:r>
      <w:r>
        <w:rPr>
          <w:spacing w:val="-8"/>
          <w:sz w:val="18"/>
        </w:rPr>
        <w:t> </w:t>
      </w:r>
      <w:r>
        <w:rPr>
          <w:sz w:val="18"/>
        </w:rPr>
        <w:t>Framework</w:t>
      </w:r>
      <w:r>
        <w:rPr>
          <w:spacing w:val="-6"/>
          <w:sz w:val="18"/>
        </w:rPr>
        <w:t> </w:t>
      </w:r>
      <w:r>
        <w:rPr>
          <w:sz w:val="18"/>
        </w:rPr>
        <w:t>Decision</w:t>
      </w:r>
      <w:r>
        <w:rPr>
          <w:spacing w:val="-8"/>
          <w:sz w:val="18"/>
        </w:rPr>
        <w:t> </w:t>
      </w:r>
      <w:r>
        <w:rPr>
          <w:sz w:val="18"/>
        </w:rPr>
        <w:t>2001/220/JHA</w:t>
      </w:r>
      <w:r>
        <w:rPr>
          <w:spacing w:val="-6"/>
          <w:sz w:val="18"/>
        </w:rPr>
        <w:t> </w:t>
      </w:r>
      <w:r>
        <w:rPr>
          <w:sz w:val="18"/>
        </w:rPr>
        <w:t>-</w:t>
      </w:r>
      <w:r>
        <w:rPr>
          <w:spacing w:val="-8"/>
          <w:sz w:val="18"/>
        </w:rPr>
        <w:t> </w:t>
      </w:r>
      <w:r>
        <w:rPr>
          <w:sz w:val="18"/>
        </w:rPr>
        <w:t>COM/2023/424’,</w:t>
      </w:r>
      <w:r>
        <w:rPr>
          <w:spacing w:val="-6"/>
          <w:sz w:val="18"/>
        </w:rPr>
        <w:t> </w:t>
      </w:r>
      <w:r>
        <w:rPr>
          <w:sz w:val="18"/>
        </w:rPr>
        <w:t>12</w:t>
      </w:r>
      <w:r>
        <w:rPr>
          <w:spacing w:val="-7"/>
          <w:sz w:val="18"/>
        </w:rPr>
        <w:t> </w:t>
      </w:r>
      <w:r>
        <w:rPr>
          <w:sz w:val="18"/>
        </w:rPr>
        <w:t>July</w:t>
      </w:r>
      <w:r>
        <w:rPr>
          <w:spacing w:val="-6"/>
          <w:sz w:val="18"/>
        </w:rPr>
        <w:t> </w:t>
      </w:r>
      <w:r>
        <w:rPr>
          <w:spacing w:val="-2"/>
          <w:sz w:val="18"/>
        </w:rPr>
        <w:t>2023.</w:t>
      </w:r>
    </w:p>
    <w:p>
      <w:pPr>
        <w:pStyle w:val="ListParagraph"/>
        <w:numPr>
          <w:ilvl w:val="0"/>
          <w:numId w:val="9"/>
        </w:numPr>
        <w:tabs>
          <w:tab w:pos="1853" w:val="left" w:leader="none"/>
        </w:tabs>
        <w:spacing w:line="235" w:lineRule="auto" w:before="2" w:after="0"/>
        <w:ind w:left="1853" w:right="1588" w:hanging="720"/>
        <w:jc w:val="left"/>
        <w:rPr>
          <w:sz w:val="18"/>
        </w:rPr>
      </w:pPr>
      <w:r>
        <w:rPr>
          <w:sz w:val="18"/>
        </w:rPr>
        <w:t>Equality</w:t>
      </w:r>
      <w:r>
        <w:rPr>
          <w:spacing w:val="-5"/>
          <w:sz w:val="18"/>
        </w:rPr>
        <w:t> </w:t>
      </w:r>
      <w:r>
        <w:rPr>
          <w:sz w:val="18"/>
        </w:rPr>
        <w:t>Commission</w:t>
      </w:r>
      <w:r>
        <w:rPr>
          <w:spacing w:val="-6"/>
          <w:sz w:val="18"/>
        </w:rPr>
        <w:t> </w:t>
      </w:r>
      <w:r>
        <w:rPr>
          <w:sz w:val="18"/>
        </w:rPr>
        <w:t>for</w:t>
      </w:r>
      <w:r>
        <w:rPr>
          <w:spacing w:val="-5"/>
          <w:sz w:val="18"/>
        </w:rPr>
        <w:t> </w:t>
      </w:r>
      <w:r>
        <w:rPr>
          <w:sz w:val="18"/>
        </w:rPr>
        <w:t>NI,</w:t>
      </w:r>
      <w:r>
        <w:rPr>
          <w:spacing w:val="-5"/>
          <w:sz w:val="18"/>
        </w:rPr>
        <w:t> </w:t>
      </w:r>
      <w:r>
        <w:rPr>
          <w:sz w:val="18"/>
        </w:rPr>
        <w:t>‘Response</w:t>
      </w:r>
      <w:r>
        <w:rPr>
          <w:spacing w:val="-5"/>
          <w:sz w:val="18"/>
        </w:rPr>
        <w:t> </w:t>
      </w:r>
      <w:r>
        <w:rPr>
          <w:sz w:val="18"/>
        </w:rPr>
        <w:t>to</w:t>
      </w:r>
      <w:r>
        <w:rPr>
          <w:spacing w:val="-6"/>
          <w:sz w:val="18"/>
        </w:rPr>
        <w:t> </w:t>
      </w:r>
      <w:r>
        <w:rPr>
          <w:sz w:val="18"/>
        </w:rPr>
        <w:t>consultation:</w:t>
      </w:r>
      <w:r>
        <w:rPr>
          <w:spacing w:val="-5"/>
          <w:sz w:val="18"/>
        </w:rPr>
        <w:t> </w:t>
      </w:r>
      <w:r>
        <w:rPr>
          <w:sz w:val="18"/>
        </w:rPr>
        <w:t>The</w:t>
      </w:r>
      <w:r>
        <w:rPr>
          <w:spacing w:val="-5"/>
          <w:sz w:val="18"/>
        </w:rPr>
        <w:t> </w:t>
      </w:r>
      <w:r>
        <w:rPr>
          <w:sz w:val="18"/>
        </w:rPr>
        <w:t>Executive</w:t>
      </w:r>
      <w:r>
        <w:rPr>
          <w:spacing w:val="-5"/>
          <w:sz w:val="18"/>
        </w:rPr>
        <w:t> </w:t>
      </w:r>
      <w:r>
        <w:rPr>
          <w:sz w:val="18"/>
        </w:rPr>
        <w:t>Office:</w:t>
      </w:r>
      <w:r>
        <w:rPr>
          <w:spacing w:val="-5"/>
          <w:sz w:val="18"/>
        </w:rPr>
        <w:t> </w:t>
      </w:r>
      <w:r>
        <w:rPr>
          <w:sz w:val="18"/>
        </w:rPr>
        <w:t>New</w:t>
      </w:r>
      <w:r>
        <w:rPr>
          <w:spacing w:val="-5"/>
          <w:sz w:val="18"/>
        </w:rPr>
        <w:t> </w:t>
      </w:r>
      <w:r>
        <w:rPr>
          <w:sz w:val="18"/>
        </w:rPr>
        <w:t>Strategy</w:t>
      </w:r>
      <w:r>
        <w:rPr>
          <w:spacing w:val="-5"/>
          <w:sz w:val="18"/>
        </w:rPr>
        <w:t> </w:t>
      </w:r>
      <w:r>
        <w:rPr>
          <w:sz w:val="18"/>
        </w:rPr>
        <w:t>for</w:t>
      </w:r>
      <w:r>
        <w:rPr>
          <w:spacing w:val="-5"/>
          <w:sz w:val="18"/>
        </w:rPr>
        <w:t> </w:t>
      </w:r>
      <w:r>
        <w:rPr>
          <w:sz w:val="18"/>
        </w:rPr>
        <w:t>Victims</w:t>
      </w:r>
      <w:r>
        <w:rPr>
          <w:spacing w:val="-6"/>
          <w:sz w:val="18"/>
        </w:rPr>
        <w:t> </w:t>
      </w:r>
      <w:r>
        <w:rPr>
          <w:sz w:val="18"/>
        </w:rPr>
        <w:t>and</w:t>
      </w:r>
      <w:r>
        <w:rPr>
          <w:spacing w:val="-6"/>
          <w:sz w:val="18"/>
        </w:rPr>
        <w:t> </w:t>
      </w:r>
      <w:r>
        <w:rPr>
          <w:sz w:val="18"/>
        </w:rPr>
        <w:t>Survivors’ (ECNI, 2024).</w:t>
      </w:r>
    </w:p>
    <w:p>
      <w:pPr>
        <w:spacing w:after="0" w:line="235" w:lineRule="auto"/>
        <w:jc w:val="left"/>
        <w:rPr>
          <w:sz w:val="18"/>
        </w:rPr>
        <w:sectPr>
          <w:pgSz w:w="11910" w:h="16840"/>
          <w:pgMar w:header="496" w:footer="367" w:top="1220" w:bottom="560" w:left="0" w:right="0"/>
        </w:sectPr>
      </w:pPr>
    </w:p>
    <w:p>
      <w:pPr>
        <w:pStyle w:val="BodyText"/>
        <w:rPr>
          <w:sz w:val="20"/>
        </w:rPr>
      </w:pPr>
    </w:p>
    <w:p>
      <w:pPr>
        <w:pStyle w:val="BodyText"/>
        <w:spacing w:before="70" w:after="1"/>
        <w:rPr>
          <w:sz w:val="20"/>
        </w:rPr>
      </w:pPr>
    </w:p>
    <w:p>
      <w:pPr>
        <w:pStyle w:val="BodyText"/>
        <w:ind w:left="1133"/>
        <w:rPr>
          <w:sz w:val="20"/>
        </w:rPr>
      </w:pPr>
      <w:bookmarkStart w:name="_bookmark32" w:id="69"/>
      <w:bookmarkEnd w:id="69"/>
      <w:r>
        <w:rPr/>
      </w:r>
      <w:r>
        <w:rPr>
          <w:sz w:val="20"/>
        </w:rPr>
        <mc:AlternateContent>
          <mc:Choice Requires="wps">
            <w:drawing>
              <wp:inline distT="0" distB="0" distL="0" distR="0">
                <wp:extent cx="6120130" cy="360045"/>
                <wp:effectExtent l="0" t="0" r="0" b="0"/>
                <wp:docPr id="397" name="Textbox 397"/>
                <wp:cNvGraphicFramePr>
                  <a:graphicFrameLocks/>
                </wp:cNvGraphicFramePr>
                <a:graphic>
                  <a:graphicData uri="http://schemas.microsoft.com/office/word/2010/wordprocessingShape">
                    <wps:wsp>
                      <wps:cNvPr id="397" name="Textbox 397"/>
                      <wps:cNvSpPr txBox="1"/>
                      <wps:spPr>
                        <a:xfrm>
                          <a:off x="0" y="0"/>
                          <a:ext cx="6120130" cy="360045"/>
                        </a:xfrm>
                        <a:prstGeom prst="rect">
                          <a:avLst/>
                        </a:prstGeom>
                        <a:solidFill>
                          <a:srgbClr val="393B80"/>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inline>
            </w:drawing>
          </mc:Choice>
          <mc:Fallback>
            <w:pict>
              <v:shape style="width:481.9pt;height:28.35pt;mso-position-horizontal-relative:char;mso-position-vertical-relative:line" type="#_x0000_t202" id="docshape346" filled="true" fillcolor="#393b80" stroked="false">
                <w10:anchorlock/>
                <v:textbox inset="0,0,0,0">
                  <w:txbxContent>
                    <w:p>
                      <w:pPr>
                        <w:spacing w:before="103"/>
                        <w:ind w:left="800" w:right="0" w:firstLine="0"/>
                        <w:jc w:val="left"/>
                        <w:rPr>
                          <w:b/>
                          <w:color w:val="000000"/>
                          <w:sz w:val="28"/>
                        </w:rPr>
                      </w:pPr>
                      <w:r>
                        <w:rPr>
                          <w:b/>
                          <w:color w:val="FFFFFF"/>
                          <w:spacing w:val="-2"/>
                          <w:sz w:val="28"/>
                        </w:rPr>
                        <w:t>Recommendations</w:t>
                      </w:r>
                    </w:p>
                  </w:txbxContent>
                </v:textbox>
                <v:fill type="solid"/>
              </v:shape>
            </w:pict>
          </mc:Fallback>
        </mc:AlternateContent>
      </w:r>
      <w:r>
        <w:rPr>
          <w:sz w:val="20"/>
        </w:rPr>
      </w:r>
    </w:p>
    <w:p>
      <w:pPr>
        <w:pStyle w:val="ListParagraph"/>
        <w:numPr>
          <w:ilvl w:val="1"/>
          <w:numId w:val="7"/>
        </w:numPr>
        <w:tabs>
          <w:tab w:pos="1853" w:val="left" w:leader="none"/>
        </w:tabs>
        <w:spacing w:line="225" w:lineRule="auto" w:before="190" w:after="0"/>
        <w:ind w:left="1853" w:right="1209" w:hanging="720"/>
        <w:jc w:val="left"/>
        <w:rPr>
          <w:b/>
          <w:color w:val="67287F"/>
          <w:sz w:val="28"/>
        </w:rPr>
      </w:pPr>
      <w:r>
        <w:rPr>
          <w:b/>
          <w:color w:val="67287F"/>
          <w:sz w:val="28"/>
        </w:rPr>
        <w:t>The</w:t>
      </w:r>
      <w:r>
        <w:rPr>
          <w:b/>
          <w:color w:val="67287F"/>
          <w:spacing w:val="-9"/>
          <w:sz w:val="28"/>
        </w:rPr>
        <w:t> </w:t>
      </w:r>
      <w:r>
        <w:rPr>
          <w:b/>
          <w:color w:val="67287F"/>
          <w:sz w:val="28"/>
        </w:rPr>
        <w:t>NIHRC</w:t>
      </w:r>
      <w:r>
        <w:rPr>
          <w:b/>
          <w:color w:val="67287F"/>
          <w:spacing w:val="-9"/>
          <w:sz w:val="28"/>
        </w:rPr>
        <w:t> </w:t>
      </w:r>
      <w:r>
        <w:rPr>
          <w:b/>
          <w:color w:val="67287F"/>
          <w:sz w:val="28"/>
        </w:rPr>
        <w:t>recommends</w:t>
      </w:r>
      <w:r>
        <w:rPr>
          <w:b/>
          <w:color w:val="67287F"/>
          <w:spacing w:val="-8"/>
          <w:sz w:val="28"/>
        </w:rPr>
        <w:t> </w:t>
      </w:r>
      <w:r>
        <w:rPr>
          <w:b/>
          <w:color w:val="67287F"/>
          <w:sz w:val="28"/>
        </w:rPr>
        <w:t>that</w:t>
      </w:r>
      <w:r>
        <w:rPr>
          <w:b/>
          <w:color w:val="67287F"/>
          <w:spacing w:val="-8"/>
          <w:sz w:val="28"/>
        </w:rPr>
        <w:t> </w:t>
      </w:r>
      <w:r>
        <w:rPr>
          <w:b/>
          <w:color w:val="67287F"/>
          <w:sz w:val="28"/>
        </w:rPr>
        <w:t>the</w:t>
      </w:r>
      <w:r>
        <w:rPr>
          <w:b/>
          <w:color w:val="67287F"/>
          <w:spacing w:val="-9"/>
          <w:sz w:val="28"/>
        </w:rPr>
        <w:t> </w:t>
      </w:r>
      <w:r>
        <w:rPr>
          <w:b/>
          <w:color w:val="67287F"/>
          <w:sz w:val="28"/>
        </w:rPr>
        <w:t>NI</w:t>
      </w:r>
      <w:r>
        <w:rPr>
          <w:b/>
          <w:color w:val="67287F"/>
          <w:spacing w:val="-8"/>
          <w:sz w:val="28"/>
        </w:rPr>
        <w:t> </w:t>
      </w:r>
      <w:r>
        <w:rPr>
          <w:b/>
          <w:color w:val="67287F"/>
          <w:sz w:val="28"/>
        </w:rPr>
        <w:t>Office</w:t>
      </w:r>
      <w:r>
        <w:rPr>
          <w:b/>
          <w:color w:val="67287F"/>
          <w:spacing w:val="-9"/>
          <w:sz w:val="28"/>
        </w:rPr>
        <w:t> </w:t>
      </w:r>
      <w:r>
        <w:rPr>
          <w:b/>
          <w:color w:val="67287F"/>
          <w:sz w:val="28"/>
        </w:rPr>
        <w:t>takes</w:t>
      </w:r>
      <w:r>
        <w:rPr>
          <w:b/>
          <w:color w:val="67287F"/>
          <w:spacing w:val="-8"/>
          <w:sz w:val="28"/>
        </w:rPr>
        <w:t> </w:t>
      </w:r>
      <w:r>
        <w:rPr>
          <w:b/>
          <w:color w:val="67287F"/>
          <w:sz w:val="28"/>
        </w:rPr>
        <w:t>steps</w:t>
      </w:r>
      <w:r>
        <w:rPr>
          <w:b/>
          <w:color w:val="67287F"/>
          <w:spacing w:val="-8"/>
          <w:sz w:val="28"/>
        </w:rPr>
        <w:t> </w:t>
      </w:r>
      <w:r>
        <w:rPr>
          <w:b/>
          <w:color w:val="67287F"/>
          <w:sz w:val="28"/>
        </w:rPr>
        <w:t>to</w:t>
      </w:r>
      <w:r>
        <w:rPr>
          <w:b/>
          <w:color w:val="67287F"/>
          <w:spacing w:val="-8"/>
          <w:sz w:val="28"/>
        </w:rPr>
        <w:t> </w:t>
      </w:r>
      <w:r>
        <w:rPr>
          <w:b/>
          <w:color w:val="67287F"/>
          <w:sz w:val="28"/>
        </w:rPr>
        <w:t>immediately</w:t>
      </w:r>
      <w:r>
        <w:rPr>
          <w:b/>
          <w:color w:val="67287F"/>
          <w:spacing w:val="-8"/>
          <w:sz w:val="28"/>
        </w:rPr>
        <w:t> </w:t>
      </w:r>
      <w:r>
        <w:rPr>
          <w:b/>
          <w:color w:val="67287F"/>
          <w:sz w:val="28"/>
        </w:rPr>
        <w:t>repeal the NI Troubles (Legacy and Reconciliation) Act 2023 and undertakes an immediate and thorough reassessment of the fundamentals of the Act. The resulting legislation should be victim-centred and compliant with the UK’s international human rights obligations and Windsor Framework Article 2.</w:t>
      </w:r>
    </w:p>
    <w:p>
      <w:pPr>
        <w:pStyle w:val="ListParagraph"/>
        <w:numPr>
          <w:ilvl w:val="1"/>
          <w:numId w:val="7"/>
        </w:numPr>
        <w:tabs>
          <w:tab w:pos="1853" w:val="left" w:leader="none"/>
        </w:tabs>
        <w:spacing w:line="225" w:lineRule="auto" w:before="314" w:after="0"/>
        <w:ind w:left="1853" w:right="1440" w:hanging="720"/>
        <w:jc w:val="left"/>
        <w:rPr>
          <w:b/>
          <w:color w:val="67287F"/>
          <w:sz w:val="28"/>
        </w:rPr>
      </w:pPr>
      <w:r>
        <w:rPr>
          <w:b/>
          <w:color w:val="67287F"/>
          <w:sz w:val="28"/>
        </w:rPr>
        <w:t>The ECNI recommends that the NI Office amends the NI Troubles (Legacy and</w:t>
      </w:r>
      <w:r>
        <w:rPr>
          <w:b/>
          <w:color w:val="67287F"/>
          <w:spacing w:val="-5"/>
          <w:sz w:val="28"/>
        </w:rPr>
        <w:t> </w:t>
      </w:r>
      <w:r>
        <w:rPr>
          <w:b/>
          <w:color w:val="67287F"/>
          <w:sz w:val="28"/>
        </w:rPr>
        <w:t>Reconciliation)</w:t>
      </w:r>
      <w:r>
        <w:rPr>
          <w:b/>
          <w:color w:val="67287F"/>
          <w:spacing w:val="-5"/>
          <w:sz w:val="28"/>
        </w:rPr>
        <w:t> </w:t>
      </w:r>
      <w:r>
        <w:rPr>
          <w:b/>
          <w:color w:val="67287F"/>
          <w:sz w:val="28"/>
        </w:rPr>
        <w:t>Act</w:t>
      </w:r>
      <w:r>
        <w:rPr>
          <w:b/>
          <w:color w:val="67287F"/>
          <w:spacing w:val="-5"/>
          <w:sz w:val="28"/>
        </w:rPr>
        <w:t> </w:t>
      </w:r>
      <w:r>
        <w:rPr>
          <w:b/>
          <w:color w:val="67287F"/>
          <w:sz w:val="28"/>
        </w:rPr>
        <w:t>2023</w:t>
      </w:r>
      <w:r>
        <w:rPr>
          <w:b/>
          <w:color w:val="67287F"/>
          <w:spacing w:val="-5"/>
          <w:sz w:val="28"/>
        </w:rPr>
        <w:t> </w:t>
      </w:r>
      <w:r>
        <w:rPr>
          <w:b/>
          <w:color w:val="67287F"/>
          <w:sz w:val="28"/>
        </w:rPr>
        <w:t>so</w:t>
      </w:r>
      <w:r>
        <w:rPr>
          <w:b/>
          <w:color w:val="67287F"/>
          <w:spacing w:val="-5"/>
          <w:sz w:val="28"/>
        </w:rPr>
        <w:t> </w:t>
      </w:r>
      <w:r>
        <w:rPr>
          <w:b/>
          <w:color w:val="67287F"/>
          <w:sz w:val="28"/>
        </w:rPr>
        <w:t>as</w:t>
      </w:r>
      <w:r>
        <w:rPr>
          <w:b/>
          <w:color w:val="67287F"/>
          <w:spacing w:val="-5"/>
          <w:sz w:val="28"/>
        </w:rPr>
        <w:t> </w:t>
      </w:r>
      <w:r>
        <w:rPr>
          <w:b/>
          <w:color w:val="67287F"/>
          <w:sz w:val="28"/>
        </w:rPr>
        <w:t>to</w:t>
      </w:r>
      <w:r>
        <w:rPr>
          <w:b/>
          <w:color w:val="67287F"/>
          <w:spacing w:val="-5"/>
          <w:sz w:val="28"/>
        </w:rPr>
        <w:t> </w:t>
      </w:r>
      <w:r>
        <w:rPr>
          <w:b/>
          <w:color w:val="67287F"/>
          <w:sz w:val="28"/>
        </w:rPr>
        <w:t>ensure</w:t>
      </w:r>
      <w:r>
        <w:rPr>
          <w:b/>
          <w:color w:val="67287F"/>
          <w:spacing w:val="-6"/>
          <w:sz w:val="28"/>
        </w:rPr>
        <w:t> </w:t>
      </w:r>
      <w:r>
        <w:rPr>
          <w:b/>
          <w:color w:val="67287F"/>
          <w:sz w:val="28"/>
        </w:rPr>
        <w:t>that</w:t>
      </w:r>
      <w:r>
        <w:rPr>
          <w:b/>
          <w:color w:val="67287F"/>
          <w:spacing w:val="-5"/>
          <w:sz w:val="28"/>
        </w:rPr>
        <w:t> </w:t>
      </w:r>
      <w:r>
        <w:rPr>
          <w:b/>
          <w:color w:val="67287F"/>
          <w:sz w:val="28"/>
        </w:rPr>
        <w:t>it</w:t>
      </w:r>
      <w:r>
        <w:rPr>
          <w:b/>
          <w:color w:val="67287F"/>
          <w:spacing w:val="-5"/>
          <w:sz w:val="28"/>
        </w:rPr>
        <w:t> </w:t>
      </w:r>
      <w:r>
        <w:rPr>
          <w:b/>
          <w:color w:val="67287F"/>
          <w:sz w:val="28"/>
        </w:rPr>
        <w:t>complies</w:t>
      </w:r>
      <w:r>
        <w:rPr>
          <w:b/>
          <w:color w:val="67287F"/>
          <w:spacing w:val="-5"/>
          <w:sz w:val="28"/>
        </w:rPr>
        <w:t> </w:t>
      </w:r>
      <w:r>
        <w:rPr>
          <w:b/>
          <w:color w:val="67287F"/>
          <w:sz w:val="28"/>
        </w:rPr>
        <w:t>with</w:t>
      </w:r>
      <w:r>
        <w:rPr>
          <w:b/>
          <w:color w:val="67287F"/>
          <w:spacing w:val="-5"/>
          <w:sz w:val="28"/>
        </w:rPr>
        <w:t> </w:t>
      </w:r>
      <w:r>
        <w:rPr>
          <w:b/>
          <w:color w:val="67287F"/>
          <w:sz w:val="28"/>
        </w:rPr>
        <w:t>Windsor Framework Article 2.</w:t>
      </w:r>
    </w:p>
    <w:p>
      <w:pPr>
        <w:pStyle w:val="ListParagraph"/>
        <w:numPr>
          <w:ilvl w:val="1"/>
          <w:numId w:val="7"/>
        </w:numPr>
        <w:tabs>
          <w:tab w:pos="1853" w:val="left" w:leader="none"/>
        </w:tabs>
        <w:spacing w:line="225" w:lineRule="auto" w:before="316" w:after="0"/>
        <w:ind w:left="1853" w:right="1461" w:hanging="720"/>
        <w:jc w:val="left"/>
        <w:rPr>
          <w:b/>
          <w:color w:val="67287F"/>
          <w:sz w:val="28"/>
        </w:rPr>
      </w:pPr>
      <w:r>
        <w:rPr>
          <w:b/>
          <w:color w:val="67287F"/>
          <w:sz w:val="28"/>
        </w:rPr>
        <w:t>The NIHRC recommends that the Executive Office ensures that the fundamental concerns with the NI Troubles (Legacy and Reconciliation) Act 2023 are addressed to the greatest extent possible within the Victims and</w:t>
      </w:r>
      <w:r>
        <w:rPr>
          <w:b/>
          <w:color w:val="67287F"/>
          <w:spacing w:val="-8"/>
          <w:sz w:val="28"/>
        </w:rPr>
        <w:t> </w:t>
      </w:r>
      <w:r>
        <w:rPr>
          <w:b/>
          <w:color w:val="67287F"/>
          <w:sz w:val="28"/>
        </w:rPr>
        <w:t>Survivors</w:t>
      </w:r>
      <w:r>
        <w:rPr>
          <w:b/>
          <w:color w:val="67287F"/>
          <w:spacing w:val="-8"/>
          <w:sz w:val="28"/>
        </w:rPr>
        <w:t> </w:t>
      </w:r>
      <w:r>
        <w:rPr>
          <w:b/>
          <w:color w:val="67287F"/>
          <w:sz w:val="28"/>
        </w:rPr>
        <w:t>Strategy,</w:t>
      </w:r>
      <w:r>
        <w:rPr>
          <w:b/>
          <w:color w:val="67287F"/>
          <w:spacing w:val="-8"/>
          <w:sz w:val="28"/>
        </w:rPr>
        <w:t> </w:t>
      </w:r>
      <w:r>
        <w:rPr>
          <w:b/>
          <w:color w:val="67287F"/>
          <w:sz w:val="28"/>
        </w:rPr>
        <w:t>including</w:t>
      </w:r>
      <w:r>
        <w:rPr>
          <w:b/>
          <w:color w:val="67287F"/>
          <w:spacing w:val="-9"/>
          <w:sz w:val="28"/>
        </w:rPr>
        <w:t> </w:t>
      </w:r>
      <w:r>
        <w:rPr>
          <w:b/>
          <w:color w:val="67287F"/>
          <w:sz w:val="28"/>
        </w:rPr>
        <w:t>adopting</w:t>
      </w:r>
      <w:r>
        <w:rPr>
          <w:b/>
          <w:color w:val="67287F"/>
          <w:spacing w:val="-9"/>
          <w:sz w:val="28"/>
        </w:rPr>
        <w:t> </w:t>
      </w:r>
      <w:r>
        <w:rPr>
          <w:b/>
          <w:color w:val="67287F"/>
          <w:sz w:val="28"/>
        </w:rPr>
        <w:t>human</w:t>
      </w:r>
      <w:r>
        <w:rPr>
          <w:b/>
          <w:color w:val="67287F"/>
          <w:spacing w:val="-8"/>
          <w:sz w:val="28"/>
        </w:rPr>
        <w:t> </w:t>
      </w:r>
      <w:r>
        <w:rPr>
          <w:b/>
          <w:color w:val="67287F"/>
          <w:sz w:val="28"/>
        </w:rPr>
        <w:t>rights</w:t>
      </w:r>
      <w:r>
        <w:rPr>
          <w:b/>
          <w:color w:val="67287F"/>
          <w:spacing w:val="-8"/>
          <w:sz w:val="28"/>
        </w:rPr>
        <w:t> </w:t>
      </w:r>
      <w:r>
        <w:rPr>
          <w:b/>
          <w:color w:val="67287F"/>
          <w:sz w:val="28"/>
        </w:rPr>
        <w:t>based</w:t>
      </w:r>
      <w:r>
        <w:rPr>
          <w:b/>
          <w:color w:val="67287F"/>
          <w:spacing w:val="-8"/>
          <w:sz w:val="28"/>
        </w:rPr>
        <w:t> </w:t>
      </w:r>
      <w:r>
        <w:rPr>
          <w:b/>
          <w:color w:val="67287F"/>
          <w:sz w:val="28"/>
        </w:rPr>
        <w:t>and</w:t>
      </w:r>
      <w:r>
        <w:rPr>
          <w:b/>
          <w:color w:val="67287F"/>
          <w:spacing w:val="-8"/>
          <w:sz w:val="28"/>
        </w:rPr>
        <w:t> </w:t>
      </w:r>
      <w:r>
        <w:rPr>
          <w:b/>
          <w:color w:val="67287F"/>
          <w:sz w:val="28"/>
        </w:rPr>
        <w:t>victim- centred</w:t>
      </w:r>
      <w:r>
        <w:rPr>
          <w:b/>
          <w:color w:val="67287F"/>
          <w:spacing w:val="-4"/>
          <w:sz w:val="28"/>
        </w:rPr>
        <w:t> </w:t>
      </w:r>
      <w:r>
        <w:rPr>
          <w:b/>
          <w:color w:val="67287F"/>
          <w:sz w:val="28"/>
        </w:rPr>
        <w:t>mitigation</w:t>
      </w:r>
      <w:r>
        <w:rPr>
          <w:b/>
          <w:color w:val="67287F"/>
          <w:spacing w:val="-4"/>
          <w:sz w:val="28"/>
        </w:rPr>
        <w:t> </w:t>
      </w:r>
      <w:r>
        <w:rPr>
          <w:b/>
          <w:color w:val="67287F"/>
          <w:sz w:val="28"/>
        </w:rPr>
        <w:t>strategies</w:t>
      </w:r>
      <w:r>
        <w:rPr>
          <w:b/>
          <w:color w:val="67287F"/>
          <w:spacing w:val="-4"/>
          <w:sz w:val="28"/>
        </w:rPr>
        <w:t> </w:t>
      </w:r>
      <w:r>
        <w:rPr>
          <w:b/>
          <w:color w:val="67287F"/>
          <w:sz w:val="28"/>
        </w:rPr>
        <w:t>that</w:t>
      </w:r>
      <w:r>
        <w:rPr>
          <w:b/>
          <w:color w:val="67287F"/>
          <w:spacing w:val="-4"/>
          <w:sz w:val="28"/>
        </w:rPr>
        <w:t> </w:t>
      </w:r>
      <w:r>
        <w:rPr>
          <w:b/>
          <w:color w:val="67287F"/>
          <w:sz w:val="28"/>
        </w:rPr>
        <w:t>protect</w:t>
      </w:r>
      <w:r>
        <w:rPr>
          <w:b/>
          <w:color w:val="67287F"/>
          <w:spacing w:val="-4"/>
          <w:sz w:val="28"/>
        </w:rPr>
        <w:t> </w:t>
      </w:r>
      <w:r>
        <w:rPr>
          <w:b/>
          <w:color w:val="67287F"/>
          <w:sz w:val="28"/>
        </w:rPr>
        <w:t>victims’</w:t>
      </w:r>
      <w:r>
        <w:rPr>
          <w:b/>
          <w:color w:val="67287F"/>
          <w:spacing w:val="-4"/>
          <w:sz w:val="28"/>
        </w:rPr>
        <w:t> </w:t>
      </w:r>
      <w:r>
        <w:rPr>
          <w:b/>
          <w:color w:val="67287F"/>
          <w:sz w:val="28"/>
        </w:rPr>
        <w:t>and</w:t>
      </w:r>
      <w:r>
        <w:rPr>
          <w:b/>
          <w:color w:val="67287F"/>
          <w:spacing w:val="-4"/>
          <w:sz w:val="28"/>
        </w:rPr>
        <w:t> </w:t>
      </w:r>
      <w:r>
        <w:rPr>
          <w:b/>
          <w:color w:val="67287F"/>
          <w:sz w:val="28"/>
        </w:rPr>
        <w:t>survivors’</w:t>
      </w:r>
      <w:r>
        <w:rPr>
          <w:b/>
          <w:color w:val="67287F"/>
          <w:spacing w:val="-4"/>
          <w:sz w:val="28"/>
        </w:rPr>
        <w:t> </w:t>
      </w:r>
      <w:r>
        <w:rPr>
          <w:b/>
          <w:color w:val="67287F"/>
          <w:sz w:val="28"/>
        </w:rPr>
        <w:t>access</w:t>
      </w:r>
      <w:r>
        <w:rPr>
          <w:b/>
          <w:color w:val="67287F"/>
          <w:spacing w:val="-4"/>
          <w:sz w:val="28"/>
        </w:rPr>
        <w:t> </w:t>
      </w:r>
      <w:r>
        <w:rPr>
          <w:b/>
          <w:color w:val="67287F"/>
          <w:sz w:val="28"/>
        </w:rPr>
        <w:t>to justice, redress and rehabilitation.</w:t>
      </w:r>
    </w:p>
    <w:p>
      <w:pPr>
        <w:pStyle w:val="ListParagraph"/>
        <w:numPr>
          <w:ilvl w:val="1"/>
          <w:numId w:val="7"/>
        </w:numPr>
        <w:tabs>
          <w:tab w:pos="1853" w:val="left" w:leader="none"/>
        </w:tabs>
        <w:spacing w:line="225" w:lineRule="auto" w:before="312" w:after="0"/>
        <w:ind w:left="1853" w:right="1442" w:hanging="720"/>
        <w:jc w:val="left"/>
        <w:rPr>
          <w:b/>
          <w:color w:val="67287F"/>
          <w:sz w:val="28"/>
        </w:rPr>
      </w:pPr>
      <w:r>
        <w:rPr>
          <w:b/>
          <w:color w:val="67287F"/>
          <w:sz w:val="28"/>
        </w:rPr>
        <w:t>The Commissions recommend that the Executive Office ensure impact assessments build in consideration of Windsor Framework Article 2 and the</w:t>
      </w:r>
      <w:r>
        <w:rPr>
          <w:b/>
          <w:color w:val="67287F"/>
          <w:spacing w:val="-7"/>
          <w:sz w:val="28"/>
        </w:rPr>
        <w:t> </w:t>
      </w:r>
      <w:r>
        <w:rPr>
          <w:b/>
          <w:color w:val="67287F"/>
          <w:sz w:val="28"/>
        </w:rPr>
        <w:t>minimum</w:t>
      </w:r>
      <w:r>
        <w:rPr>
          <w:b/>
          <w:color w:val="67287F"/>
          <w:spacing w:val="-7"/>
          <w:sz w:val="28"/>
        </w:rPr>
        <w:t> </w:t>
      </w:r>
      <w:r>
        <w:rPr>
          <w:b/>
          <w:color w:val="67287F"/>
          <w:sz w:val="28"/>
        </w:rPr>
        <w:t>standards</w:t>
      </w:r>
      <w:r>
        <w:rPr>
          <w:b/>
          <w:color w:val="67287F"/>
          <w:spacing w:val="-6"/>
          <w:sz w:val="28"/>
        </w:rPr>
        <w:t> </w:t>
      </w:r>
      <w:r>
        <w:rPr>
          <w:b/>
          <w:color w:val="67287F"/>
          <w:sz w:val="28"/>
        </w:rPr>
        <w:t>in</w:t>
      </w:r>
      <w:r>
        <w:rPr>
          <w:b/>
          <w:color w:val="67287F"/>
          <w:spacing w:val="-6"/>
          <w:sz w:val="28"/>
        </w:rPr>
        <w:t> </w:t>
      </w:r>
      <w:r>
        <w:rPr>
          <w:b/>
          <w:color w:val="67287F"/>
          <w:sz w:val="28"/>
        </w:rPr>
        <w:t>relevant</w:t>
      </w:r>
      <w:r>
        <w:rPr>
          <w:b/>
          <w:color w:val="67287F"/>
          <w:spacing w:val="-6"/>
          <w:sz w:val="28"/>
        </w:rPr>
        <w:t> </w:t>
      </w:r>
      <w:r>
        <w:rPr>
          <w:b/>
          <w:color w:val="67287F"/>
          <w:sz w:val="28"/>
        </w:rPr>
        <w:t>EU</w:t>
      </w:r>
      <w:r>
        <w:rPr>
          <w:b/>
          <w:color w:val="67287F"/>
          <w:spacing w:val="-6"/>
          <w:sz w:val="28"/>
        </w:rPr>
        <w:t> </w:t>
      </w:r>
      <w:r>
        <w:rPr>
          <w:b/>
          <w:color w:val="67287F"/>
          <w:sz w:val="28"/>
        </w:rPr>
        <w:t>law</w:t>
      </w:r>
      <w:r>
        <w:rPr>
          <w:b/>
          <w:color w:val="67287F"/>
          <w:spacing w:val="-7"/>
          <w:sz w:val="28"/>
        </w:rPr>
        <w:t> </w:t>
      </w:r>
      <w:r>
        <w:rPr>
          <w:b/>
          <w:color w:val="67287F"/>
          <w:sz w:val="28"/>
        </w:rPr>
        <w:t>relating</w:t>
      </w:r>
      <w:r>
        <w:rPr>
          <w:b/>
          <w:color w:val="67287F"/>
          <w:spacing w:val="-7"/>
          <w:sz w:val="28"/>
        </w:rPr>
        <w:t> </w:t>
      </w:r>
      <w:r>
        <w:rPr>
          <w:b/>
          <w:color w:val="67287F"/>
          <w:sz w:val="28"/>
        </w:rPr>
        <w:t>to</w:t>
      </w:r>
      <w:r>
        <w:rPr>
          <w:b/>
          <w:color w:val="67287F"/>
          <w:spacing w:val="-6"/>
          <w:sz w:val="28"/>
        </w:rPr>
        <w:t> </w:t>
      </w:r>
      <w:r>
        <w:rPr>
          <w:b/>
          <w:color w:val="67287F"/>
          <w:sz w:val="28"/>
        </w:rPr>
        <w:t>victims’</w:t>
      </w:r>
      <w:r>
        <w:rPr>
          <w:b/>
          <w:color w:val="67287F"/>
          <w:spacing w:val="-6"/>
          <w:sz w:val="28"/>
        </w:rPr>
        <w:t> </w:t>
      </w:r>
      <w:r>
        <w:rPr>
          <w:b/>
          <w:color w:val="67287F"/>
          <w:sz w:val="28"/>
        </w:rPr>
        <w:t>rights</w:t>
      </w:r>
      <w:r>
        <w:rPr>
          <w:b/>
          <w:color w:val="67287F"/>
          <w:spacing w:val="-6"/>
          <w:sz w:val="28"/>
        </w:rPr>
        <w:t> </w:t>
      </w:r>
      <w:r>
        <w:rPr>
          <w:b/>
          <w:color w:val="67287F"/>
          <w:sz w:val="28"/>
        </w:rPr>
        <w:t>in</w:t>
      </w:r>
      <w:r>
        <w:rPr>
          <w:b/>
          <w:color w:val="67287F"/>
          <w:spacing w:val="-6"/>
          <w:sz w:val="28"/>
        </w:rPr>
        <w:t> </w:t>
      </w:r>
      <w:r>
        <w:rPr>
          <w:b/>
          <w:color w:val="67287F"/>
          <w:sz w:val="28"/>
        </w:rPr>
        <w:t>the development of all policy on victims and survivors, including the current draft Victims and Survivors Strategy.</w:t>
      </w:r>
    </w:p>
    <w:p>
      <w:pPr>
        <w:pStyle w:val="ListParagraph"/>
        <w:numPr>
          <w:ilvl w:val="1"/>
          <w:numId w:val="7"/>
        </w:numPr>
        <w:tabs>
          <w:tab w:pos="1853" w:val="left" w:leader="none"/>
        </w:tabs>
        <w:spacing w:line="225" w:lineRule="auto" w:before="314" w:after="0"/>
        <w:ind w:left="1853" w:right="1248" w:hanging="720"/>
        <w:jc w:val="left"/>
        <w:rPr>
          <w:b/>
          <w:color w:val="67287F"/>
          <w:sz w:val="28"/>
        </w:rPr>
      </w:pPr>
      <w:r>
        <w:rPr>
          <w:b/>
          <w:color w:val="67287F"/>
          <w:sz w:val="28"/>
        </w:rPr>
        <w:t>The Commissions recommend that the Executive Office brings forward legislation to align on a voluntary basis with any changes to the EU Victims’ Directive,</w:t>
      </w:r>
      <w:r>
        <w:rPr>
          <w:b/>
          <w:color w:val="67287F"/>
          <w:spacing w:val="-9"/>
          <w:sz w:val="28"/>
        </w:rPr>
        <w:t> </w:t>
      </w:r>
      <w:r>
        <w:rPr>
          <w:b/>
          <w:color w:val="67287F"/>
          <w:sz w:val="28"/>
        </w:rPr>
        <w:t>where</w:t>
      </w:r>
      <w:r>
        <w:rPr>
          <w:b/>
          <w:color w:val="67287F"/>
          <w:spacing w:val="-10"/>
          <w:sz w:val="28"/>
        </w:rPr>
        <w:t> </w:t>
      </w:r>
      <w:r>
        <w:rPr>
          <w:b/>
          <w:color w:val="67287F"/>
          <w:sz w:val="28"/>
        </w:rPr>
        <w:t>these</w:t>
      </w:r>
      <w:r>
        <w:rPr>
          <w:b/>
          <w:color w:val="67287F"/>
          <w:spacing w:val="-10"/>
          <w:sz w:val="28"/>
        </w:rPr>
        <w:t> </w:t>
      </w:r>
      <w:r>
        <w:rPr>
          <w:b/>
          <w:color w:val="67287F"/>
          <w:sz w:val="28"/>
        </w:rPr>
        <w:t>changes</w:t>
      </w:r>
      <w:r>
        <w:rPr>
          <w:b/>
          <w:color w:val="67287F"/>
          <w:spacing w:val="-9"/>
          <w:sz w:val="28"/>
        </w:rPr>
        <w:t> </w:t>
      </w:r>
      <w:r>
        <w:rPr>
          <w:b/>
          <w:color w:val="67287F"/>
          <w:sz w:val="28"/>
        </w:rPr>
        <w:t>strengthen</w:t>
      </w:r>
      <w:r>
        <w:rPr>
          <w:b/>
          <w:color w:val="67287F"/>
          <w:spacing w:val="-9"/>
          <w:sz w:val="28"/>
        </w:rPr>
        <w:t> </w:t>
      </w:r>
      <w:r>
        <w:rPr>
          <w:b/>
          <w:color w:val="67287F"/>
          <w:sz w:val="28"/>
        </w:rPr>
        <w:t>protections</w:t>
      </w:r>
      <w:r>
        <w:rPr>
          <w:b/>
          <w:color w:val="67287F"/>
          <w:spacing w:val="-9"/>
          <w:sz w:val="28"/>
        </w:rPr>
        <w:t> </w:t>
      </w:r>
      <w:r>
        <w:rPr>
          <w:b/>
          <w:color w:val="67287F"/>
          <w:sz w:val="28"/>
        </w:rPr>
        <w:t>for</w:t>
      </w:r>
      <w:r>
        <w:rPr>
          <w:b/>
          <w:color w:val="67287F"/>
          <w:spacing w:val="-10"/>
          <w:sz w:val="28"/>
        </w:rPr>
        <w:t> </w:t>
      </w:r>
      <w:r>
        <w:rPr>
          <w:b/>
          <w:color w:val="67287F"/>
          <w:sz w:val="28"/>
        </w:rPr>
        <w:t>victims,</w:t>
      </w:r>
      <w:r>
        <w:rPr>
          <w:b/>
          <w:color w:val="67287F"/>
          <w:spacing w:val="-9"/>
          <w:sz w:val="28"/>
        </w:rPr>
        <w:t> </w:t>
      </w:r>
      <w:r>
        <w:rPr>
          <w:b/>
          <w:color w:val="67287F"/>
          <w:sz w:val="28"/>
        </w:rPr>
        <w:t>including victims and survivors of the Troubles, and align with international human rights standards and best practice.</w:t>
      </w:r>
    </w:p>
    <w:p>
      <w:pPr>
        <w:pStyle w:val="Heading5"/>
        <w:spacing w:before="297"/>
        <w:ind w:left="1133" w:firstLine="0"/>
      </w:pPr>
      <w:bookmarkStart w:name="Modern Slavery and Human Trafficking" w:id="70"/>
      <w:bookmarkEnd w:id="70"/>
      <w:r>
        <w:rPr>
          <w:b w:val="0"/>
        </w:rPr>
      </w:r>
      <w:r>
        <w:rPr>
          <w:color w:val="393B80"/>
        </w:rPr>
        <w:t>Modern</w:t>
      </w:r>
      <w:r>
        <w:rPr>
          <w:color w:val="393B80"/>
          <w:spacing w:val="-4"/>
        </w:rPr>
        <w:t> </w:t>
      </w:r>
      <w:r>
        <w:rPr>
          <w:color w:val="393B80"/>
        </w:rPr>
        <w:t>Slavery</w:t>
      </w:r>
      <w:r>
        <w:rPr>
          <w:color w:val="393B80"/>
          <w:spacing w:val="-2"/>
        </w:rPr>
        <w:t> </w:t>
      </w:r>
      <w:r>
        <w:rPr>
          <w:color w:val="393B80"/>
        </w:rPr>
        <w:t>and</w:t>
      </w:r>
      <w:r>
        <w:rPr>
          <w:color w:val="393B80"/>
          <w:spacing w:val="-2"/>
        </w:rPr>
        <w:t> </w:t>
      </w:r>
      <w:r>
        <w:rPr>
          <w:color w:val="393B80"/>
        </w:rPr>
        <w:t>Human</w:t>
      </w:r>
      <w:r>
        <w:rPr>
          <w:color w:val="393B80"/>
          <w:spacing w:val="-2"/>
        </w:rPr>
        <w:t> Trafficking</w:t>
      </w:r>
    </w:p>
    <w:p>
      <w:pPr>
        <w:pStyle w:val="ListParagraph"/>
        <w:numPr>
          <w:ilvl w:val="1"/>
          <w:numId w:val="7"/>
        </w:numPr>
        <w:tabs>
          <w:tab w:pos="1853" w:val="left" w:leader="none"/>
        </w:tabs>
        <w:spacing w:line="225" w:lineRule="auto" w:before="331" w:after="0"/>
        <w:ind w:left="1853" w:right="1283" w:hanging="720"/>
        <w:jc w:val="left"/>
        <w:rPr>
          <w:sz w:val="28"/>
        </w:rPr>
      </w:pPr>
      <w:r>
        <w:rPr>
          <w:sz w:val="28"/>
        </w:rPr>
        <w:t>As noted above,</w:t>
      </w:r>
      <w:r>
        <w:rPr>
          <w:sz w:val="28"/>
          <w:vertAlign w:val="superscript"/>
        </w:rPr>
        <w:t>483</w:t>
      </w:r>
      <w:r>
        <w:rPr>
          <w:sz w:val="28"/>
          <w:vertAlign w:val="baseline"/>
        </w:rPr>
        <w:t> the Commissions take the view that EU obligations underpinning the rights of victims in Windsor Framework Article 2 include the</w:t>
      </w:r>
      <w:r>
        <w:rPr>
          <w:spacing w:val="-10"/>
          <w:sz w:val="28"/>
          <w:vertAlign w:val="baseline"/>
        </w:rPr>
        <w:t> </w:t>
      </w:r>
      <w:r>
        <w:rPr>
          <w:sz w:val="28"/>
          <w:vertAlign w:val="baseline"/>
        </w:rPr>
        <w:t>EU</w:t>
      </w:r>
      <w:r>
        <w:rPr>
          <w:spacing w:val="-10"/>
          <w:sz w:val="28"/>
          <w:vertAlign w:val="baseline"/>
        </w:rPr>
        <w:t> </w:t>
      </w:r>
      <w:r>
        <w:rPr>
          <w:sz w:val="28"/>
          <w:vertAlign w:val="baseline"/>
        </w:rPr>
        <w:t>Trafficking</w:t>
      </w:r>
      <w:r>
        <w:rPr>
          <w:spacing w:val="-10"/>
          <w:sz w:val="28"/>
          <w:vertAlign w:val="baseline"/>
        </w:rPr>
        <w:t> </w:t>
      </w:r>
      <w:r>
        <w:rPr>
          <w:sz w:val="28"/>
          <w:vertAlign w:val="baseline"/>
        </w:rPr>
        <w:t>Directive</w:t>
      </w:r>
      <w:r>
        <w:rPr>
          <w:sz w:val="28"/>
          <w:vertAlign w:val="superscript"/>
        </w:rPr>
        <w:t>484</w:t>
      </w:r>
      <w:r>
        <w:rPr>
          <w:spacing w:val="-11"/>
          <w:sz w:val="28"/>
          <w:vertAlign w:val="baseline"/>
        </w:rPr>
        <w:t> </w:t>
      </w:r>
      <w:r>
        <w:rPr>
          <w:sz w:val="28"/>
          <w:vertAlign w:val="baseline"/>
        </w:rPr>
        <w:t>as</w:t>
      </w:r>
      <w:r>
        <w:rPr>
          <w:spacing w:val="-11"/>
          <w:sz w:val="28"/>
          <w:vertAlign w:val="baseline"/>
        </w:rPr>
        <w:t> </w:t>
      </w:r>
      <w:r>
        <w:rPr>
          <w:sz w:val="28"/>
          <w:vertAlign w:val="baseline"/>
        </w:rPr>
        <w:t>well</w:t>
      </w:r>
      <w:r>
        <w:rPr>
          <w:spacing w:val="-11"/>
          <w:sz w:val="28"/>
          <w:vertAlign w:val="baseline"/>
        </w:rPr>
        <w:t> </w:t>
      </w:r>
      <w:r>
        <w:rPr>
          <w:sz w:val="28"/>
          <w:vertAlign w:val="baseline"/>
        </w:rPr>
        <w:t>as</w:t>
      </w:r>
      <w:r>
        <w:rPr>
          <w:spacing w:val="-11"/>
          <w:sz w:val="28"/>
          <w:vertAlign w:val="baseline"/>
        </w:rPr>
        <w:t> </w:t>
      </w:r>
      <w:r>
        <w:rPr>
          <w:sz w:val="28"/>
          <w:vertAlign w:val="baseline"/>
        </w:rPr>
        <w:t>other</w:t>
      </w:r>
      <w:r>
        <w:rPr>
          <w:spacing w:val="-10"/>
          <w:sz w:val="28"/>
          <w:vertAlign w:val="baseline"/>
        </w:rPr>
        <w:t> </w:t>
      </w:r>
      <w:r>
        <w:rPr>
          <w:sz w:val="28"/>
          <w:vertAlign w:val="baseline"/>
        </w:rPr>
        <w:t>relevant</w:t>
      </w:r>
      <w:r>
        <w:rPr>
          <w:spacing w:val="-10"/>
          <w:sz w:val="28"/>
          <w:vertAlign w:val="baseline"/>
        </w:rPr>
        <w:t> </w:t>
      </w:r>
      <w:r>
        <w:rPr>
          <w:sz w:val="28"/>
          <w:vertAlign w:val="baseline"/>
        </w:rPr>
        <w:t>EU</w:t>
      </w:r>
      <w:r>
        <w:rPr>
          <w:spacing w:val="-10"/>
          <w:sz w:val="28"/>
          <w:vertAlign w:val="baseline"/>
        </w:rPr>
        <w:t> </w:t>
      </w:r>
      <w:r>
        <w:rPr>
          <w:sz w:val="28"/>
          <w:vertAlign w:val="baseline"/>
        </w:rPr>
        <w:t>laws</w:t>
      </w:r>
      <w:r>
        <w:rPr>
          <w:spacing w:val="-11"/>
          <w:sz w:val="28"/>
          <w:vertAlign w:val="baseline"/>
        </w:rPr>
        <w:t> </w:t>
      </w:r>
      <w:r>
        <w:rPr>
          <w:sz w:val="28"/>
          <w:vertAlign w:val="baseline"/>
        </w:rPr>
        <w:t>which</w:t>
      </w:r>
      <w:r>
        <w:rPr>
          <w:spacing w:val="-11"/>
          <w:sz w:val="28"/>
          <w:vertAlign w:val="baseline"/>
        </w:rPr>
        <w:t> </w:t>
      </w:r>
      <w:r>
        <w:rPr>
          <w:sz w:val="28"/>
          <w:vertAlign w:val="baseline"/>
        </w:rPr>
        <w:t>support </w:t>
      </w:r>
      <w:r>
        <w:rPr>
          <w:spacing w:val="-2"/>
          <w:sz w:val="28"/>
          <w:vertAlign w:val="baseline"/>
        </w:rPr>
        <w:t>victims.</w:t>
      </w:r>
      <w:r>
        <w:rPr>
          <w:spacing w:val="-2"/>
          <w:sz w:val="28"/>
          <w:vertAlign w:val="superscript"/>
        </w:rPr>
        <w:t>485</w:t>
      </w:r>
    </w:p>
    <w:p>
      <w:pPr>
        <w:pStyle w:val="BodyText"/>
        <w:spacing w:before="26"/>
        <w:rPr>
          <w:sz w:val="20"/>
        </w:rPr>
      </w:pPr>
      <w:r>
        <w:rPr/>
        <mc:AlternateContent>
          <mc:Choice Requires="wps">
            <w:drawing>
              <wp:anchor distT="0" distB="0" distL="0" distR="0" allowOverlap="1" layoutInCell="1" locked="0" behindDoc="1" simplePos="0" relativeHeight="487679488">
                <wp:simplePos x="0" y="0"/>
                <wp:positionH relativeFrom="page">
                  <wp:posOffset>719996</wp:posOffset>
                </wp:positionH>
                <wp:positionV relativeFrom="paragraph">
                  <wp:posOffset>187202</wp:posOffset>
                </wp:positionV>
                <wp:extent cx="6120130" cy="1270"/>
                <wp:effectExtent l="0" t="0" r="0" b="0"/>
                <wp:wrapTopAndBottom/>
                <wp:docPr id="398" name="Graphic 398"/>
                <wp:cNvGraphicFramePr>
                  <a:graphicFrameLocks/>
                </wp:cNvGraphicFramePr>
                <a:graphic>
                  <a:graphicData uri="http://schemas.microsoft.com/office/word/2010/wordprocessingShape">
                    <wps:wsp>
                      <wps:cNvPr id="398" name="Graphic 398"/>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4.740369pt;width:481.9pt;height:.1pt;mso-position-horizontal-relative:page;mso-position-vertical-relative:paragraph;z-index:-15636992;mso-wrap-distance-left:0;mso-wrap-distance-right:0" id="docshape347" coordorigin="1134,295" coordsize="9638,0" path="m10772,295l1134,295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18" w:lineRule="exact" w:before="142" w:after="0"/>
        <w:ind w:left="1853" w:right="0" w:hanging="720"/>
        <w:jc w:val="left"/>
        <w:rPr>
          <w:sz w:val="18"/>
        </w:rPr>
      </w:pPr>
      <w:r>
        <w:rPr>
          <w:sz w:val="18"/>
        </w:rPr>
        <w:t>See</w:t>
      </w:r>
      <w:r>
        <w:rPr>
          <w:spacing w:val="-8"/>
          <w:sz w:val="18"/>
        </w:rPr>
        <w:t> </w:t>
      </w:r>
      <w:r>
        <w:rPr>
          <w:sz w:val="18"/>
        </w:rPr>
        <w:t>introduction</w:t>
      </w:r>
      <w:r>
        <w:rPr>
          <w:spacing w:val="-9"/>
          <w:sz w:val="18"/>
        </w:rPr>
        <w:t> </w:t>
      </w:r>
      <w:r>
        <w:rPr>
          <w:sz w:val="18"/>
        </w:rPr>
        <w:t>to</w:t>
      </w:r>
      <w:r>
        <w:rPr>
          <w:spacing w:val="-8"/>
          <w:sz w:val="18"/>
        </w:rPr>
        <w:t> </w:t>
      </w:r>
      <w:r>
        <w:rPr>
          <w:sz w:val="18"/>
        </w:rPr>
        <w:t>Victims’</w:t>
      </w:r>
      <w:r>
        <w:rPr>
          <w:spacing w:val="-8"/>
          <w:sz w:val="18"/>
        </w:rPr>
        <w:t> </w:t>
      </w:r>
      <w:r>
        <w:rPr>
          <w:sz w:val="18"/>
        </w:rPr>
        <w:t>Rights</w:t>
      </w:r>
      <w:r>
        <w:rPr>
          <w:spacing w:val="-8"/>
          <w:sz w:val="18"/>
        </w:rPr>
        <w:t> </w:t>
      </w:r>
      <w:r>
        <w:rPr>
          <w:sz w:val="18"/>
        </w:rPr>
        <w:t>section</w:t>
      </w:r>
      <w:r>
        <w:rPr>
          <w:spacing w:val="-8"/>
          <w:sz w:val="18"/>
        </w:rPr>
        <w:t> </w:t>
      </w:r>
      <w:r>
        <w:rPr>
          <w:sz w:val="18"/>
        </w:rPr>
        <w:t>at</w:t>
      </w:r>
      <w:r>
        <w:rPr>
          <w:spacing w:val="-8"/>
          <w:sz w:val="18"/>
        </w:rPr>
        <w:t> </w:t>
      </w:r>
      <w:r>
        <w:rPr>
          <w:sz w:val="18"/>
        </w:rPr>
        <w:t>3.179-</w:t>
      </w:r>
      <w:r>
        <w:rPr>
          <w:spacing w:val="-2"/>
          <w:sz w:val="18"/>
        </w:rPr>
        <w:t>3.179.</w:t>
      </w:r>
    </w:p>
    <w:p>
      <w:pPr>
        <w:pStyle w:val="ListParagraph"/>
        <w:numPr>
          <w:ilvl w:val="0"/>
          <w:numId w:val="9"/>
        </w:numPr>
        <w:tabs>
          <w:tab w:pos="1853" w:val="left" w:leader="none"/>
        </w:tabs>
        <w:spacing w:line="235" w:lineRule="auto" w:before="2" w:after="0"/>
        <w:ind w:left="1853" w:right="1536" w:hanging="720"/>
        <w:jc w:val="left"/>
        <w:rPr>
          <w:sz w:val="18"/>
        </w:rPr>
      </w:pPr>
      <w:r>
        <w:rPr>
          <w:sz w:val="18"/>
        </w:rPr>
        <w:t>Directive</w:t>
      </w:r>
      <w:r>
        <w:rPr>
          <w:spacing w:val="-6"/>
          <w:sz w:val="18"/>
        </w:rPr>
        <w:t> </w:t>
      </w:r>
      <w:r>
        <w:rPr>
          <w:sz w:val="18"/>
        </w:rPr>
        <w:t>2011/36/EU,</w:t>
      </w:r>
      <w:r>
        <w:rPr>
          <w:spacing w:val="-6"/>
          <w:sz w:val="18"/>
        </w:rPr>
        <w:t> </w:t>
      </w:r>
      <w:r>
        <w:rPr>
          <w:sz w:val="18"/>
        </w:rPr>
        <w:t>‘Council</w:t>
      </w:r>
      <w:r>
        <w:rPr>
          <w:spacing w:val="-7"/>
          <w:sz w:val="18"/>
        </w:rPr>
        <w:t> </w:t>
      </w:r>
      <w:r>
        <w:rPr>
          <w:sz w:val="18"/>
        </w:rPr>
        <w:t>Directive</w:t>
      </w:r>
      <w:r>
        <w:rPr>
          <w:spacing w:val="-6"/>
          <w:sz w:val="18"/>
        </w:rPr>
        <w:t> </w:t>
      </w:r>
      <w:r>
        <w:rPr>
          <w:sz w:val="18"/>
        </w:rPr>
        <w:t>on</w:t>
      </w:r>
      <w:r>
        <w:rPr>
          <w:spacing w:val="-7"/>
          <w:sz w:val="18"/>
        </w:rPr>
        <w:t> </w:t>
      </w:r>
      <w:r>
        <w:rPr>
          <w:sz w:val="18"/>
        </w:rPr>
        <w:t>Preventing</w:t>
      </w:r>
      <w:r>
        <w:rPr>
          <w:spacing w:val="-6"/>
          <w:sz w:val="18"/>
        </w:rPr>
        <w:t> </w:t>
      </w:r>
      <w:r>
        <w:rPr>
          <w:sz w:val="18"/>
        </w:rPr>
        <w:t>and</w:t>
      </w:r>
      <w:r>
        <w:rPr>
          <w:spacing w:val="-7"/>
          <w:sz w:val="18"/>
        </w:rPr>
        <w:t> </w:t>
      </w:r>
      <w:r>
        <w:rPr>
          <w:sz w:val="18"/>
        </w:rPr>
        <w:t>Combating</w:t>
      </w:r>
      <w:r>
        <w:rPr>
          <w:spacing w:val="-6"/>
          <w:sz w:val="18"/>
        </w:rPr>
        <w:t> </w:t>
      </w:r>
      <w:r>
        <w:rPr>
          <w:sz w:val="18"/>
        </w:rPr>
        <w:t>Trafficking</w:t>
      </w:r>
      <w:r>
        <w:rPr>
          <w:spacing w:val="-6"/>
          <w:sz w:val="18"/>
        </w:rPr>
        <w:t> </w:t>
      </w:r>
      <w:r>
        <w:rPr>
          <w:sz w:val="18"/>
        </w:rPr>
        <w:t>in</w:t>
      </w:r>
      <w:r>
        <w:rPr>
          <w:spacing w:val="-7"/>
          <w:sz w:val="18"/>
        </w:rPr>
        <w:t> </w:t>
      </w:r>
      <w:r>
        <w:rPr>
          <w:sz w:val="18"/>
        </w:rPr>
        <w:t>Human</w:t>
      </w:r>
      <w:r>
        <w:rPr>
          <w:spacing w:val="-7"/>
          <w:sz w:val="18"/>
        </w:rPr>
        <w:t> </w:t>
      </w:r>
      <w:r>
        <w:rPr>
          <w:sz w:val="18"/>
        </w:rPr>
        <w:t>Beings</w:t>
      </w:r>
      <w:r>
        <w:rPr>
          <w:spacing w:val="-7"/>
          <w:sz w:val="18"/>
        </w:rPr>
        <w:t> </w:t>
      </w:r>
      <w:r>
        <w:rPr>
          <w:sz w:val="18"/>
        </w:rPr>
        <w:t>and</w:t>
      </w:r>
      <w:r>
        <w:rPr>
          <w:spacing w:val="-7"/>
          <w:sz w:val="18"/>
        </w:rPr>
        <w:t> </w:t>
      </w:r>
      <w:r>
        <w:rPr>
          <w:sz w:val="18"/>
        </w:rPr>
        <w:t>Protecting</w:t>
      </w:r>
      <w:r>
        <w:rPr>
          <w:spacing w:val="-6"/>
          <w:sz w:val="18"/>
        </w:rPr>
        <w:t> </w:t>
      </w:r>
      <w:r>
        <w:rPr>
          <w:sz w:val="18"/>
        </w:rPr>
        <w:t>its Victims’, 5 April 2011.</w:t>
      </w:r>
    </w:p>
    <w:p>
      <w:pPr>
        <w:pStyle w:val="ListParagraph"/>
        <w:numPr>
          <w:ilvl w:val="0"/>
          <w:numId w:val="9"/>
        </w:numPr>
        <w:tabs>
          <w:tab w:pos="1853" w:val="left" w:leader="none"/>
        </w:tabs>
        <w:spacing w:line="235" w:lineRule="auto" w:before="1" w:after="0"/>
        <w:ind w:left="1853" w:right="1303" w:hanging="720"/>
        <w:jc w:val="left"/>
        <w:rPr>
          <w:sz w:val="18"/>
        </w:rPr>
      </w:pPr>
      <w:r>
        <w:rPr>
          <w:sz w:val="18"/>
        </w:rPr>
        <w:t>Directive</w:t>
      </w:r>
      <w:r>
        <w:rPr>
          <w:spacing w:val="-4"/>
          <w:sz w:val="18"/>
        </w:rPr>
        <w:t> </w:t>
      </w:r>
      <w:r>
        <w:rPr>
          <w:sz w:val="18"/>
        </w:rPr>
        <w:t>2012/29/EU,</w:t>
      </w:r>
      <w:r>
        <w:rPr>
          <w:spacing w:val="-4"/>
          <w:sz w:val="18"/>
        </w:rPr>
        <w:t> </w:t>
      </w:r>
      <w:r>
        <w:rPr>
          <w:sz w:val="18"/>
        </w:rPr>
        <w:t>‘EU</w:t>
      </w:r>
      <w:r>
        <w:rPr>
          <w:spacing w:val="-4"/>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Directive</w:t>
      </w:r>
      <w:r>
        <w:rPr>
          <w:spacing w:val="-4"/>
          <w:sz w:val="18"/>
        </w:rPr>
        <w:t> </w:t>
      </w:r>
      <w:r>
        <w:rPr>
          <w:sz w:val="18"/>
        </w:rPr>
        <w:t>Establishing</w:t>
      </w:r>
      <w:r>
        <w:rPr>
          <w:spacing w:val="-4"/>
          <w:sz w:val="18"/>
        </w:rPr>
        <w:t> </w:t>
      </w:r>
      <w:r>
        <w:rPr>
          <w:sz w:val="18"/>
        </w:rPr>
        <w:t>Minimum</w:t>
      </w:r>
      <w:r>
        <w:rPr>
          <w:spacing w:val="-4"/>
          <w:sz w:val="18"/>
        </w:rPr>
        <w:t> </w:t>
      </w:r>
      <w:r>
        <w:rPr>
          <w:sz w:val="18"/>
        </w:rPr>
        <w:t>Standards</w:t>
      </w:r>
      <w:r>
        <w:rPr>
          <w:spacing w:val="-5"/>
          <w:sz w:val="18"/>
        </w:rPr>
        <w:t> </w:t>
      </w:r>
      <w:r>
        <w:rPr>
          <w:sz w:val="18"/>
        </w:rPr>
        <w:t>on</w:t>
      </w:r>
      <w:r>
        <w:rPr>
          <w:spacing w:val="-5"/>
          <w:sz w:val="18"/>
        </w:rPr>
        <w:t> </w:t>
      </w:r>
      <w:r>
        <w:rPr>
          <w:sz w:val="18"/>
        </w:rPr>
        <w:t>the</w:t>
      </w:r>
      <w:r>
        <w:rPr>
          <w:spacing w:val="-4"/>
          <w:sz w:val="18"/>
        </w:rPr>
        <w:t> </w:t>
      </w:r>
      <w:r>
        <w:rPr>
          <w:sz w:val="18"/>
        </w:rPr>
        <w:t>Rights,</w:t>
      </w:r>
      <w:r>
        <w:rPr>
          <w:spacing w:val="-4"/>
          <w:sz w:val="18"/>
        </w:rPr>
        <w:t> </w:t>
      </w:r>
      <w:r>
        <w:rPr>
          <w:sz w:val="18"/>
        </w:rPr>
        <w:t>Support</w:t>
      </w:r>
      <w:r>
        <w:rPr>
          <w:spacing w:val="-4"/>
          <w:sz w:val="18"/>
        </w:rPr>
        <w:t> </w:t>
      </w:r>
      <w:r>
        <w:rPr>
          <w:sz w:val="18"/>
        </w:rPr>
        <w:t>and Protection of Victims of Crime’, 25 October 2012; Directive 2011/36/EU ‘Council Directive on Preventing and</w:t>
      </w:r>
    </w:p>
    <w:p>
      <w:pPr>
        <w:spacing w:line="235" w:lineRule="auto" w:before="1"/>
        <w:ind w:left="1853" w:right="1171" w:firstLine="0"/>
        <w:jc w:val="left"/>
        <w:rPr>
          <w:sz w:val="18"/>
        </w:rPr>
      </w:pPr>
      <w:r>
        <w:rPr>
          <w:sz w:val="18"/>
        </w:rPr>
        <w:t>Combating</w:t>
      </w:r>
      <w:r>
        <w:rPr>
          <w:spacing w:val="-6"/>
          <w:sz w:val="18"/>
        </w:rPr>
        <w:t> </w:t>
      </w:r>
      <w:r>
        <w:rPr>
          <w:sz w:val="18"/>
        </w:rPr>
        <w:t>Trafficking</w:t>
      </w:r>
      <w:r>
        <w:rPr>
          <w:spacing w:val="-6"/>
          <w:sz w:val="18"/>
        </w:rPr>
        <w:t> </w:t>
      </w:r>
      <w:r>
        <w:rPr>
          <w:sz w:val="18"/>
        </w:rPr>
        <w:t>in</w:t>
      </w:r>
      <w:r>
        <w:rPr>
          <w:spacing w:val="-7"/>
          <w:sz w:val="18"/>
        </w:rPr>
        <w:t> </w:t>
      </w:r>
      <w:r>
        <w:rPr>
          <w:sz w:val="18"/>
        </w:rPr>
        <w:t>Human</w:t>
      </w:r>
      <w:r>
        <w:rPr>
          <w:spacing w:val="-7"/>
          <w:sz w:val="18"/>
        </w:rPr>
        <w:t> </w:t>
      </w:r>
      <w:r>
        <w:rPr>
          <w:sz w:val="18"/>
        </w:rPr>
        <w:t>Beings</w:t>
      </w:r>
      <w:r>
        <w:rPr>
          <w:spacing w:val="-7"/>
          <w:sz w:val="18"/>
        </w:rPr>
        <w:t> </w:t>
      </w:r>
      <w:r>
        <w:rPr>
          <w:sz w:val="18"/>
        </w:rPr>
        <w:t>and</w:t>
      </w:r>
      <w:r>
        <w:rPr>
          <w:spacing w:val="-7"/>
          <w:sz w:val="18"/>
        </w:rPr>
        <w:t> </w:t>
      </w:r>
      <w:r>
        <w:rPr>
          <w:sz w:val="18"/>
        </w:rPr>
        <w:t>Protecting</w:t>
      </w:r>
      <w:r>
        <w:rPr>
          <w:spacing w:val="-6"/>
          <w:sz w:val="18"/>
        </w:rPr>
        <w:t> </w:t>
      </w:r>
      <w:r>
        <w:rPr>
          <w:sz w:val="18"/>
        </w:rPr>
        <w:t>its</w:t>
      </w:r>
      <w:r>
        <w:rPr>
          <w:spacing w:val="-7"/>
          <w:sz w:val="18"/>
        </w:rPr>
        <w:t> </w:t>
      </w:r>
      <w:r>
        <w:rPr>
          <w:sz w:val="18"/>
        </w:rPr>
        <w:t>Victims’,</w:t>
      </w:r>
      <w:r>
        <w:rPr>
          <w:spacing w:val="-6"/>
          <w:sz w:val="18"/>
        </w:rPr>
        <w:t> </w:t>
      </w:r>
      <w:r>
        <w:rPr>
          <w:sz w:val="18"/>
        </w:rPr>
        <w:t>5</w:t>
      </w:r>
      <w:r>
        <w:rPr>
          <w:spacing w:val="-6"/>
          <w:sz w:val="18"/>
        </w:rPr>
        <w:t> </w:t>
      </w:r>
      <w:r>
        <w:rPr>
          <w:sz w:val="18"/>
        </w:rPr>
        <w:t>April</w:t>
      </w:r>
      <w:r>
        <w:rPr>
          <w:spacing w:val="-7"/>
          <w:sz w:val="18"/>
        </w:rPr>
        <w:t> </w:t>
      </w:r>
      <w:r>
        <w:rPr>
          <w:sz w:val="18"/>
        </w:rPr>
        <w:t>2011;</w:t>
      </w:r>
      <w:r>
        <w:rPr>
          <w:spacing w:val="-6"/>
          <w:sz w:val="18"/>
        </w:rPr>
        <w:t> </w:t>
      </w:r>
      <w:r>
        <w:rPr>
          <w:sz w:val="18"/>
        </w:rPr>
        <w:t>Directive</w:t>
      </w:r>
      <w:r>
        <w:rPr>
          <w:spacing w:val="-6"/>
          <w:sz w:val="18"/>
        </w:rPr>
        <w:t> </w:t>
      </w:r>
      <w:r>
        <w:rPr>
          <w:sz w:val="18"/>
        </w:rPr>
        <w:t>2004/80/EC,</w:t>
      </w:r>
      <w:r>
        <w:rPr>
          <w:spacing w:val="-6"/>
          <w:sz w:val="18"/>
        </w:rPr>
        <w:t> </w:t>
      </w:r>
      <w:r>
        <w:rPr>
          <w:sz w:val="18"/>
        </w:rPr>
        <w:t>‘Council</w:t>
      </w:r>
      <w:r>
        <w:rPr>
          <w:spacing w:val="-7"/>
          <w:sz w:val="18"/>
        </w:rPr>
        <w:t> </w:t>
      </w:r>
      <w:r>
        <w:rPr>
          <w:sz w:val="18"/>
        </w:rPr>
        <w:t>Directive relating to the Compensation to Crime Victims’, 29 April 2004.</w:t>
      </w:r>
    </w:p>
    <w:p>
      <w:pPr>
        <w:spacing w:after="0" w:line="235" w:lineRule="auto"/>
        <w:jc w:val="left"/>
        <w:rPr>
          <w:sz w:val="18"/>
        </w:rPr>
        <w:sectPr>
          <w:pgSz w:w="11910" w:h="16840"/>
          <w:pgMar w:header="496" w:footer="367" w:top="1220" w:bottom="560" w:left="0" w:right="0"/>
        </w:sectPr>
      </w:pPr>
    </w:p>
    <w:p>
      <w:pPr>
        <w:pStyle w:val="BodyText"/>
        <w:spacing w:before="198"/>
      </w:pPr>
    </w:p>
    <w:p>
      <w:pPr>
        <w:pStyle w:val="ListParagraph"/>
        <w:numPr>
          <w:ilvl w:val="1"/>
          <w:numId w:val="7"/>
        </w:numPr>
        <w:tabs>
          <w:tab w:pos="1853" w:val="left" w:leader="none"/>
        </w:tabs>
        <w:spacing w:line="225" w:lineRule="auto" w:before="0" w:after="0"/>
        <w:ind w:left="1853" w:right="1189" w:hanging="720"/>
        <w:jc w:val="left"/>
        <w:rPr>
          <w:sz w:val="28"/>
        </w:rPr>
      </w:pPr>
      <w:r>
        <w:rPr>
          <w:sz w:val="28"/>
        </w:rPr>
        <w:t>The EU Trafficking Directive sets out a number of provisions which are particularly</w:t>
      </w:r>
      <w:r>
        <w:rPr>
          <w:spacing w:val="-16"/>
          <w:sz w:val="28"/>
        </w:rPr>
        <w:t> </w:t>
      </w:r>
      <w:r>
        <w:rPr>
          <w:sz w:val="28"/>
        </w:rPr>
        <w:t>aimed</w:t>
      </w:r>
      <w:r>
        <w:rPr>
          <w:spacing w:val="-13"/>
          <w:sz w:val="28"/>
        </w:rPr>
        <w:t> </w:t>
      </w:r>
      <w:r>
        <w:rPr>
          <w:sz w:val="28"/>
        </w:rPr>
        <w:t>at</w:t>
      </w:r>
      <w:r>
        <w:rPr>
          <w:spacing w:val="-11"/>
          <w:sz w:val="28"/>
        </w:rPr>
        <w:t> </w:t>
      </w:r>
      <w:r>
        <w:rPr>
          <w:sz w:val="28"/>
        </w:rPr>
        <w:t>criminalisation</w:t>
      </w:r>
      <w:r>
        <w:rPr>
          <w:spacing w:val="-12"/>
          <w:sz w:val="28"/>
        </w:rPr>
        <w:t> </w:t>
      </w:r>
      <w:r>
        <w:rPr>
          <w:sz w:val="28"/>
        </w:rPr>
        <w:t>of</w:t>
      </w:r>
      <w:r>
        <w:rPr>
          <w:spacing w:val="-12"/>
          <w:sz w:val="28"/>
        </w:rPr>
        <w:t> </w:t>
      </w:r>
      <w:r>
        <w:rPr>
          <w:sz w:val="28"/>
        </w:rPr>
        <w:t>trafficking</w:t>
      </w:r>
      <w:r>
        <w:rPr>
          <w:spacing w:val="-11"/>
          <w:sz w:val="28"/>
        </w:rPr>
        <w:t> </w:t>
      </w:r>
      <w:r>
        <w:rPr>
          <w:sz w:val="28"/>
        </w:rPr>
        <w:t>offences,</w:t>
      </w:r>
      <w:r>
        <w:rPr>
          <w:sz w:val="28"/>
          <w:vertAlign w:val="superscript"/>
        </w:rPr>
        <w:t>486</w:t>
      </w:r>
      <w:r>
        <w:rPr>
          <w:spacing w:val="-27"/>
          <w:sz w:val="28"/>
          <w:vertAlign w:val="baseline"/>
        </w:rPr>
        <w:t> </w:t>
      </w:r>
      <w:r>
        <w:rPr>
          <w:sz w:val="28"/>
          <w:vertAlign w:val="baseline"/>
        </w:rPr>
        <w:t>non-prosecution and</w:t>
      </w:r>
      <w:r>
        <w:rPr>
          <w:spacing w:val="-12"/>
          <w:sz w:val="28"/>
          <w:vertAlign w:val="baseline"/>
        </w:rPr>
        <w:t> </w:t>
      </w:r>
      <w:r>
        <w:rPr>
          <w:sz w:val="28"/>
          <w:vertAlign w:val="baseline"/>
        </w:rPr>
        <w:t>non-application</w:t>
      </w:r>
      <w:r>
        <w:rPr>
          <w:spacing w:val="-12"/>
          <w:sz w:val="28"/>
          <w:vertAlign w:val="baseline"/>
        </w:rPr>
        <w:t> </w:t>
      </w:r>
      <w:r>
        <w:rPr>
          <w:sz w:val="28"/>
          <w:vertAlign w:val="baseline"/>
        </w:rPr>
        <w:t>of</w:t>
      </w:r>
      <w:r>
        <w:rPr>
          <w:spacing w:val="-12"/>
          <w:sz w:val="28"/>
          <w:vertAlign w:val="baseline"/>
        </w:rPr>
        <w:t> </w:t>
      </w:r>
      <w:r>
        <w:rPr>
          <w:sz w:val="28"/>
          <w:vertAlign w:val="baseline"/>
        </w:rPr>
        <w:t>penalties</w:t>
      </w:r>
      <w:r>
        <w:rPr>
          <w:spacing w:val="-12"/>
          <w:sz w:val="28"/>
          <w:vertAlign w:val="baseline"/>
        </w:rPr>
        <w:t> </w:t>
      </w:r>
      <w:r>
        <w:rPr>
          <w:sz w:val="28"/>
          <w:vertAlign w:val="baseline"/>
        </w:rPr>
        <w:t>to</w:t>
      </w:r>
      <w:r>
        <w:rPr>
          <w:spacing w:val="-12"/>
          <w:sz w:val="28"/>
          <w:vertAlign w:val="baseline"/>
        </w:rPr>
        <w:t> </w:t>
      </w:r>
      <w:r>
        <w:rPr>
          <w:sz w:val="28"/>
          <w:vertAlign w:val="baseline"/>
        </w:rPr>
        <w:t>victims,</w:t>
      </w:r>
      <w:r>
        <w:rPr>
          <w:sz w:val="28"/>
          <w:vertAlign w:val="superscript"/>
        </w:rPr>
        <w:t>487</w:t>
      </w:r>
      <w:r>
        <w:rPr>
          <w:spacing w:val="-12"/>
          <w:sz w:val="28"/>
          <w:vertAlign w:val="baseline"/>
        </w:rPr>
        <w:t> </w:t>
      </w:r>
      <w:r>
        <w:rPr>
          <w:sz w:val="28"/>
          <w:vertAlign w:val="baseline"/>
        </w:rPr>
        <w:t>investigation</w:t>
      </w:r>
      <w:r>
        <w:rPr>
          <w:spacing w:val="-12"/>
          <w:sz w:val="28"/>
          <w:vertAlign w:val="baseline"/>
        </w:rPr>
        <w:t> </w:t>
      </w:r>
      <w:r>
        <w:rPr>
          <w:sz w:val="28"/>
          <w:vertAlign w:val="baseline"/>
        </w:rPr>
        <w:t>and</w:t>
      </w:r>
      <w:r>
        <w:rPr>
          <w:spacing w:val="-12"/>
          <w:sz w:val="28"/>
          <w:vertAlign w:val="baseline"/>
        </w:rPr>
        <w:t> </w:t>
      </w:r>
      <w:r>
        <w:rPr>
          <w:sz w:val="28"/>
          <w:vertAlign w:val="baseline"/>
        </w:rPr>
        <w:t>prosecution</w:t>
      </w:r>
      <w:r>
        <w:rPr>
          <w:spacing w:val="-12"/>
          <w:sz w:val="28"/>
          <w:vertAlign w:val="baseline"/>
        </w:rPr>
        <w:t> </w:t>
      </w:r>
      <w:r>
        <w:rPr>
          <w:sz w:val="28"/>
          <w:vertAlign w:val="baseline"/>
        </w:rPr>
        <w:t>of offences</w:t>
      </w:r>
      <w:r>
        <w:rPr>
          <w:sz w:val="28"/>
          <w:vertAlign w:val="superscript"/>
        </w:rPr>
        <w:t>488</w:t>
      </w:r>
      <w:r>
        <w:rPr>
          <w:sz w:val="28"/>
          <w:vertAlign w:val="baseline"/>
        </w:rPr>
        <w:t> and supporting victims, including child victims of trafficking.</w:t>
      </w:r>
      <w:r>
        <w:rPr>
          <w:sz w:val="28"/>
          <w:vertAlign w:val="superscript"/>
        </w:rPr>
        <w:t>489</w:t>
      </w:r>
    </w:p>
    <w:p>
      <w:pPr>
        <w:pStyle w:val="Heading6"/>
        <w:spacing w:before="299"/>
        <w:rPr>
          <w:i/>
        </w:rPr>
      </w:pPr>
      <w:r>
        <w:rPr>
          <w:i/>
          <w:color w:val="67287F"/>
        </w:rPr>
        <w:t>Modern</w:t>
      </w:r>
      <w:r>
        <w:rPr>
          <w:i/>
          <w:color w:val="67287F"/>
          <w:spacing w:val="-10"/>
        </w:rPr>
        <w:t> </w:t>
      </w:r>
      <w:r>
        <w:rPr>
          <w:i/>
          <w:color w:val="67287F"/>
        </w:rPr>
        <w:t>Slavery</w:t>
      </w:r>
      <w:r>
        <w:rPr>
          <w:i/>
          <w:color w:val="67287F"/>
          <w:spacing w:val="-10"/>
        </w:rPr>
        <w:t> </w:t>
      </w:r>
      <w:r>
        <w:rPr>
          <w:i/>
          <w:color w:val="67287F"/>
        </w:rPr>
        <w:t>and</w:t>
      </w:r>
      <w:r>
        <w:rPr>
          <w:i/>
          <w:color w:val="67287F"/>
          <w:spacing w:val="-9"/>
        </w:rPr>
        <w:t> </w:t>
      </w:r>
      <w:r>
        <w:rPr>
          <w:i/>
          <w:color w:val="67287F"/>
        </w:rPr>
        <w:t>Human</w:t>
      </w:r>
      <w:r>
        <w:rPr>
          <w:i/>
          <w:color w:val="67287F"/>
          <w:spacing w:val="-10"/>
        </w:rPr>
        <w:t> </w:t>
      </w:r>
      <w:r>
        <w:rPr>
          <w:i/>
          <w:color w:val="67287F"/>
        </w:rPr>
        <w:t>Trafficking</w:t>
      </w:r>
      <w:r>
        <w:rPr>
          <w:i/>
          <w:color w:val="67287F"/>
          <w:spacing w:val="-9"/>
        </w:rPr>
        <w:t> </w:t>
      </w:r>
      <w:r>
        <w:rPr>
          <w:i/>
          <w:color w:val="67287F"/>
          <w:spacing w:val="-2"/>
        </w:rPr>
        <w:t>Strategy</w:t>
      </w:r>
    </w:p>
    <w:p>
      <w:pPr>
        <w:pStyle w:val="ListParagraph"/>
        <w:numPr>
          <w:ilvl w:val="1"/>
          <w:numId w:val="7"/>
        </w:numPr>
        <w:tabs>
          <w:tab w:pos="1853" w:val="left" w:leader="none"/>
        </w:tabs>
        <w:spacing w:line="225" w:lineRule="auto" w:before="5" w:after="0"/>
        <w:ind w:left="1853" w:right="1129" w:hanging="720"/>
        <w:jc w:val="left"/>
        <w:rPr>
          <w:sz w:val="28"/>
        </w:rPr>
      </w:pPr>
      <w:r>
        <w:rPr>
          <w:sz w:val="28"/>
        </w:rPr>
        <w:t>In 2022, in response to a Department of Justice consultation on strengthening their</w:t>
      </w:r>
      <w:r>
        <w:rPr>
          <w:spacing w:val="-3"/>
          <w:sz w:val="28"/>
        </w:rPr>
        <w:t> </w:t>
      </w:r>
      <w:r>
        <w:rPr>
          <w:sz w:val="28"/>
        </w:rPr>
        <w:t>response</w:t>
      </w:r>
      <w:r>
        <w:rPr>
          <w:spacing w:val="-2"/>
          <w:sz w:val="28"/>
        </w:rPr>
        <w:t> </w:t>
      </w:r>
      <w:r>
        <w:rPr>
          <w:sz w:val="28"/>
        </w:rPr>
        <w:t>to</w:t>
      </w:r>
      <w:r>
        <w:rPr>
          <w:spacing w:val="-3"/>
          <w:sz w:val="28"/>
        </w:rPr>
        <w:t> </w:t>
      </w:r>
      <w:r>
        <w:rPr>
          <w:sz w:val="28"/>
        </w:rPr>
        <w:t>modern</w:t>
      </w:r>
      <w:r>
        <w:rPr>
          <w:spacing w:val="-3"/>
          <w:sz w:val="28"/>
        </w:rPr>
        <w:t> </w:t>
      </w:r>
      <w:r>
        <w:rPr>
          <w:sz w:val="28"/>
        </w:rPr>
        <w:t>slavery</w:t>
      </w:r>
      <w:r>
        <w:rPr>
          <w:spacing w:val="-2"/>
          <w:sz w:val="28"/>
        </w:rPr>
        <w:t> </w:t>
      </w:r>
      <w:r>
        <w:rPr>
          <w:sz w:val="28"/>
        </w:rPr>
        <w:t>and</w:t>
      </w:r>
      <w:r>
        <w:rPr>
          <w:spacing w:val="-3"/>
          <w:sz w:val="28"/>
        </w:rPr>
        <w:t> </w:t>
      </w:r>
      <w:r>
        <w:rPr>
          <w:sz w:val="28"/>
        </w:rPr>
        <w:t>human</w:t>
      </w:r>
      <w:r>
        <w:rPr>
          <w:spacing w:val="-3"/>
          <w:sz w:val="28"/>
        </w:rPr>
        <w:t> </w:t>
      </w:r>
      <w:r>
        <w:rPr>
          <w:sz w:val="28"/>
        </w:rPr>
        <w:t>trafficking,</w:t>
      </w:r>
      <w:r>
        <w:rPr>
          <w:sz w:val="28"/>
          <w:vertAlign w:val="superscript"/>
        </w:rPr>
        <w:t>490</w:t>
      </w:r>
      <w:r>
        <w:rPr>
          <w:spacing w:val="-27"/>
          <w:sz w:val="28"/>
          <w:vertAlign w:val="baseline"/>
        </w:rPr>
        <w:t> </w:t>
      </w:r>
      <w:r>
        <w:rPr>
          <w:sz w:val="28"/>
          <w:vertAlign w:val="baseline"/>
        </w:rPr>
        <w:t>the</w:t>
      </w:r>
      <w:r>
        <w:rPr>
          <w:spacing w:val="-2"/>
          <w:sz w:val="28"/>
          <w:vertAlign w:val="baseline"/>
        </w:rPr>
        <w:t> </w:t>
      </w:r>
      <w:r>
        <w:rPr>
          <w:sz w:val="28"/>
          <w:vertAlign w:val="baseline"/>
        </w:rPr>
        <w:t>NIHRC</w:t>
      </w:r>
      <w:r>
        <w:rPr>
          <w:spacing w:val="-3"/>
          <w:sz w:val="28"/>
          <w:vertAlign w:val="baseline"/>
        </w:rPr>
        <w:t> </w:t>
      </w:r>
      <w:r>
        <w:rPr>
          <w:sz w:val="28"/>
          <w:vertAlign w:val="baseline"/>
        </w:rPr>
        <w:t>outlined the relevance of Windsor Framework Article 2, the EU Trafficking Directive</w:t>
      </w:r>
      <w:r>
        <w:rPr>
          <w:sz w:val="28"/>
          <w:vertAlign w:val="superscript"/>
        </w:rPr>
        <w:t>491</w:t>
      </w:r>
      <w:r>
        <w:rPr>
          <w:sz w:val="28"/>
          <w:vertAlign w:val="baseline"/>
        </w:rPr>
        <w:t> and the EU Child Sexual Exploitation Directive.</w:t>
      </w:r>
      <w:r>
        <w:rPr>
          <w:sz w:val="28"/>
          <w:vertAlign w:val="superscript"/>
        </w:rPr>
        <w:t>492</w:t>
      </w:r>
      <w:r>
        <w:rPr>
          <w:sz w:val="28"/>
          <w:vertAlign w:val="baseline"/>
        </w:rPr>
        <w:t> The NIHRC also highlighted that</w:t>
      </w:r>
      <w:r>
        <w:rPr>
          <w:spacing w:val="-8"/>
          <w:sz w:val="28"/>
          <w:vertAlign w:val="baseline"/>
        </w:rPr>
        <w:t> </w:t>
      </w:r>
      <w:r>
        <w:rPr>
          <w:sz w:val="28"/>
          <w:vertAlign w:val="baseline"/>
        </w:rPr>
        <w:t>any</w:t>
      </w:r>
      <w:r>
        <w:rPr>
          <w:spacing w:val="-8"/>
          <w:sz w:val="28"/>
          <w:vertAlign w:val="baseline"/>
        </w:rPr>
        <w:t> </w:t>
      </w:r>
      <w:r>
        <w:rPr>
          <w:sz w:val="28"/>
          <w:vertAlign w:val="baseline"/>
        </w:rPr>
        <w:t>processing</w:t>
      </w:r>
      <w:r>
        <w:rPr>
          <w:spacing w:val="-8"/>
          <w:sz w:val="28"/>
          <w:vertAlign w:val="baseline"/>
        </w:rPr>
        <w:t> </w:t>
      </w:r>
      <w:r>
        <w:rPr>
          <w:sz w:val="28"/>
          <w:vertAlign w:val="baseline"/>
        </w:rPr>
        <w:t>of</w:t>
      </w:r>
      <w:r>
        <w:rPr>
          <w:spacing w:val="-8"/>
          <w:sz w:val="28"/>
          <w:vertAlign w:val="baseline"/>
        </w:rPr>
        <w:t> </w:t>
      </w:r>
      <w:r>
        <w:rPr>
          <w:sz w:val="28"/>
          <w:vertAlign w:val="baseline"/>
        </w:rPr>
        <w:t>personal</w:t>
      </w:r>
      <w:r>
        <w:rPr>
          <w:spacing w:val="-8"/>
          <w:sz w:val="28"/>
          <w:vertAlign w:val="baseline"/>
        </w:rPr>
        <w:t> </w:t>
      </w:r>
      <w:r>
        <w:rPr>
          <w:sz w:val="28"/>
          <w:vertAlign w:val="baseline"/>
        </w:rPr>
        <w:t>data,</w:t>
      </w:r>
      <w:r>
        <w:rPr>
          <w:spacing w:val="-8"/>
          <w:sz w:val="28"/>
          <w:vertAlign w:val="baseline"/>
        </w:rPr>
        <w:t> </w:t>
      </w:r>
      <w:r>
        <w:rPr>
          <w:sz w:val="28"/>
          <w:vertAlign w:val="baseline"/>
        </w:rPr>
        <w:t>may</w:t>
      </w:r>
      <w:r>
        <w:rPr>
          <w:spacing w:val="-8"/>
          <w:sz w:val="28"/>
          <w:vertAlign w:val="baseline"/>
        </w:rPr>
        <w:t> </w:t>
      </w:r>
      <w:r>
        <w:rPr>
          <w:sz w:val="28"/>
          <w:vertAlign w:val="baseline"/>
        </w:rPr>
        <w:t>still</w:t>
      </w:r>
      <w:r>
        <w:rPr>
          <w:spacing w:val="-8"/>
          <w:sz w:val="28"/>
          <w:vertAlign w:val="baseline"/>
        </w:rPr>
        <w:t> </w:t>
      </w:r>
      <w:r>
        <w:rPr>
          <w:sz w:val="28"/>
          <w:vertAlign w:val="baseline"/>
        </w:rPr>
        <w:t>be</w:t>
      </w:r>
      <w:r>
        <w:rPr>
          <w:spacing w:val="-8"/>
          <w:sz w:val="28"/>
          <w:vertAlign w:val="baseline"/>
        </w:rPr>
        <w:t> </w:t>
      </w:r>
      <w:r>
        <w:rPr>
          <w:sz w:val="28"/>
          <w:vertAlign w:val="baseline"/>
        </w:rPr>
        <w:t>subject</w:t>
      </w:r>
      <w:r>
        <w:rPr>
          <w:spacing w:val="-8"/>
          <w:sz w:val="28"/>
          <w:vertAlign w:val="baseline"/>
        </w:rPr>
        <w:t> </w:t>
      </w:r>
      <w:r>
        <w:rPr>
          <w:sz w:val="28"/>
          <w:vertAlign w:val="baseline"/>
        </w:rPr>
        <w:t>to</w:t>
      </w:r>
      <w:r>
        <w:rPr>
          <w:spacing w:val="-8"/>
          <w:sz w:val="28"/>
          <w:vertAlign w:val="baseline"/>
        </w:rPr>
        <w:t> </w:t>
      </w:r>
      <w:r>
        <w:rPr>
          <w:sz w:val="28"/>
          <w:vertAlign w:val="baseline"/>
        </w:rPr>
        <w:t>standards</w:t>
      </w:r>
      <w:r>
        <w:rPr>
          <w:spacing w:val="-8"/>
          <w:sz w:val="28"/>
          <w:vertAlign w:val="baseline"/>
        </w:rPr>
        <w:t> </w:t>
      </w:r>
      <w:r>
        <w:rPr>
          <w:sz w:val="28"/>
          <w:vertAlign w:val="baseline"/>
        </w:rPr>
        <w:t>required under EU General Data Protection Regulations (EU GDPR).</w:t>
      </w:r>
      <w:r>
        <w:rPr>
          <w:sz w:val="28"/>
          <w:vertAlign w:val="superscript"/>
        </w:rPr>
        <w:t>493</w:t>
      </w:r>
    </w:p>
    <w:p>
      <w:pPr>
        <w:pStyle w:val="ListParagraph"/>
        <w:numPr>
          <w:ilvl w:val="1"/>
          <w:numId w:val="7"/>
        </w:numPr>
        <w:tabs>
          <w:tab w:pos="1853" w:val="left" w:leader="none"/>
        </w:tabs>
        <w:spacing w:line="225" w:lineRule="auto" w:before="313" w:after="0"/>
        <w:ind w:left="1853" w:right="1810" w:hanging="720"/>
        <w:jc w:val="left"/>
        <w:rPr>
          <w:sz w:val="28"/>
        </w:rPr>
      </w:pPr>
      <w:r>
        <w:rPr>
          <w:sz w:val="28"/>
        </w:rPr>
        <w:t>In</w:t>
      </w:r>
      <w:r>
        <w:rPr>
          <w:spacing w:val="-4"/>
          <w:sz w:val="28"/>
        </w:rPr>
        <w:t> </w:t>
      </w:r>
      <w:r>
        <w:rPr>
          <w:sz w:val="28"/>
        </w:rPr>
        <w:t>2022,</w:t>
      </w:r>
      <w:r>
        <w:rPr>
          <w:spacing w:val="-3"/>
          <w:sz w:val="28"/>
        </w:rPr>
        <w:t> </w:t>
      </w:r>
      <w:r>
        <w:rPr>
          <w:sz w:val="28"/>
        </w:rPr>
        <w:t>the</w:t>
      </w:r>
      <w:r>
        <w:rPr>
          <w:spacing w:val="-3"/>
          <w:sz w:val="28"/>
        </w:rPr>
        <w:t> </w:t>
      </w:r>
      <w:r>
        <w:rPr>
          <w:sz w:val="28"/>
        </w:rPr>
        <w:t>Department</w:t>
      </w:r>
      <w:r>
        <w:rPr>
          <w:spacing w:val="-3"/>
          <w:sz w:val="28"/>
        </w:rPr>
        <w:t> </w:t>
      </w:r>
      <w:r>
        <w:rPr>
          <w:sz w:val="28"/>
        </w:rPr>
        <w:t>of</w:t>
      </w:r>
      <w:r>
        <w:rPr>
          <w:spacing w:val="-4"/>
          <w:sz w:val="28"/>
        </w:rPr>
        <w:t> </w:t>
      </w:r>
      <w:r>
        <w:rPr>
          <w:sz w:val="28"/>
        </w:rPr>
        <w:t>Justice</w:t>
      </w:r>
      <w:r>
        <w:rPr>
          <w:spacing w:val="-3"/>
          <w:sz w:val="28"/>
        </w:rPr>
        <w:t> </w:t>
      </w:r>
      <w:r>
        <w:rPr>
          <w:sz w:val="28"/>
        </w:rPr>
        <w:t>published</w:t>
      </w:r>
      <w:r>
        <w:rPr>
          <w:spacing w:val="-4"/>
          <w:sz w:val="28"/>
        </w:rPr>
        <w:t> </w:t>
      </w:r>
      <w:r>
        <w:rPr>
          <w:sz w:val="28"/>
        </w:rPr>
        <w:t>a</w:t>
      </w:r>
      <w:r>
        <w:rPr>
          <w:spacing w:val="-4"/>
          <w:sz w:val="28"/>
        </w:rPr>
        <w:t> </w:t>
      </w:r>
      <w:r>
        <w:rPr>
          <w:sz w:val="28"/>
        </w:rPr>
        <w:t>consultation</w:t>
      </w:r>
      <w:r>
        <w:rPr>
          <w:spacing w:val="-4"/>
          <w:sz w:val="28"/>
        </w:rPr>
        <w:t> </w:t>
      </w:r>
      <w:r>
        <w:rPr>
          <w:sz w:val="28"/>
        </w:rPr>
        <w:t>on</w:t>
      </w:r>
      <w:r>
        <w:rPr>
          <w:spacing w:val="-4"/>
          <w:sz w:val="28"/>
        </w:rPr>
        <w:t> </w:t>
      </w:r>
      <w:r>
        <w:rPr>
          <w:sz w:val="28"/>
        </w:rPr>
        <w:t>its</w:t>
      </w:r>
      <w:r>
        <w:rPr>
          <w:spacing w:val="-4"/>
          <w:sz w:val="28"/>
        </w:rPr>
        <w:t> </w:t>
      </w:r>
      <w:r>
        <w:rPr>
          <w:sz w:val="28"/>
        </w:rPr>
        <w:t>three- year</w:t>
      </w:r>
      <w:r>
        <w:rPr>
          <w:spacing w:val="-9"/>
          <w:sz w:val="28"/>
        </w:rPr>
        <w:t> </w:t>
      </w:r>
      <w:r>
        <w:rPr>
          <w:sz w:val="28"/>
        </w:rPr>
        <w:t>strategy</w:t>
      </w:r>
      <w:r>
        <w:rPr>
          <w:spacing w:val="-9"/>
          <w:sz w:val="28"/>
        </w:rPr>
        <w:t> </w:t>
      </w:r>
      <w:r>
        <w:rPr>
          <w:sz w:val="28"/>
        </w:rPr>
        <w:t>on</w:t>
      </w:r>
      <w:r>
        <w:rPr>
          <w:spacing w:val="-10"/>
          <w:sz w:val="28"/>
        </w:rPr>
        <w:t> </w:t>
      </w:r>
      <w:r>
        <w:rPr>
          <w:sz w:val="28"/>
        </w:rPr>
        <w:t>Modern</w:t>
      </w:r>
      <w:r>
        <w:rPr>
          <w:spacing w:val="-10"/>
          <w:sz w:val="28"/>
        </w:rPr>
        <w:t> </w:t>
      </w:r>
      <w:r>
        <w:rPr>
          <w:sz w:val="28"/>
        </w:rPr>
        <w:t>Slavery</w:t>
      </w:r>
      <w:r>
        <w:rPr>
          <w:spacing w:val="-9"/>
          <w:sz w:val="28"/>
        </w:rPr>
        <w:t> </w:t>
      </w:r>
      <w:r>
        <w:rPr>
          <w:sz w:val="28"/>
        </w:rPr>
        <w:t>and</w:t>
      </w:r>
      <w:r>
        <w:rPr>
          <w:spacing w:val="-10"/>
          <w:sz w:val="28"/>
        </w:rPr>
        <w:t> </w:t>
      </w:r>
      <w:r>
        <w:rPr>
          <w:sz w:val="28"/>
        </w:rPr>
        <w:t>Human</w:t>
      </w:r>
      <w:r>
        <w:rPr>
          <w:spacing w:val="-10"/>
          <w:sz w:val="28"/>
        </w:rPr>
        <w:t> </w:t>
      </w:r>
      <w:r>
        <w:rPr>
          <w:sz w:val="28"/>
        </w:rPr>
        <w:t>Trafficking,</w:t>
      </w:r>
      <w:r>
        <w:rPr>
          <w:spacing w:val="-9"/>
          <w:sz w:val="28"/>
        </w:rPr>
        <w:t> </w:t>
      </w:r>
      <w:r>
        <w:rPr>
          <w:sz w:val="28"/>
        </w:rPr>
        <w:t>which</w:t>
      </w:r>
      <w:r>
        <w:rPr>
          <w:spacing w:val="-10"/>
          <w:sz w:val="28"/>
        </w:rPr>
        <w:t> </w:t>
      </w:r>
      <w:r>
        <w:rPr>
          <w:sz w:val="28"/>
        </w:rPr>
        <w:t>sought</w:t>
      </w:r>
      <w:r>
        <w:rPr>
          <w:spacing w:val="-9"/>
          <w:sz w:val="28"/>
        </w:rPr>
        <w:t> </w:t>
      </w:r>
      <w:r>
        <w:rPr>
          <w:sz w:val="28"/>
        </w:rPr>
        <w:t>to</w:t>
      </w:r>
    </w:p>
    <w:p>
      <w:pPr>
        <w:pStyle w:val="BodyText"/>
        <w:spacing w:line="225" w:lineRule="auto"/>
        <w:ind w:left="1853" w:right="1124"/>
      </w:pPr>
      <w:r>
        <w:rPr/>
        <w:t>operationalise</w:t>
      </w:r>
      <w:r>
        <w:rPr>
          <w:spacing w:val="-8"/>
        </w:rPr>
        <w:t> </w:t>
      </w:r>
      <w:r>
        <w:rPr/>
        <w:t>the</w:t>
      </w:r>
      <w:r>
        <w:rPr>
          <w:spacing w:val="-8"/>
        </w:rPr>
        <w:t> </w:t>
      </w:r>
      <w:r>
        <w:rPr/>
        <w:t>measures</w:t>
      </w:r>
      <w:r>
        <w:rPr>
          <w:spacing w:val="-9"/>
        </w:rPr>
        <w:t> </w:t>
      </w:r>
      <w:r>
        <w:rPr/>
        <w:t>brought</w:t>
      </w:r>
      <w:r>
        <w:rPr>
          <w:spacing w:val="-8"/>
        </w:rPr>
        <w:t> </w:t>
      </w:r>
      <w:r>
        <w:rPr/>
        <w:t>in</w:t>
      </w:r>
      <w:r>
        <w:rPr>
          <w:spacing w:val="-9"/>
        </w:rPr>
        <w:t> </w:t>
      </w:r>
      <w:r>
        <w:rPr/>
        <w:t>under</w:t>
      </w:r>
      <w:r>
        <w:rPr>
          <w:spacing w:val="-8"/>
        </w:rPr>
        <w:t> </w:t>
      </w:r>
      <w:r>
        <w:rPr/>
        <w:t>the</w:t>
      </w:r>
      <w:r>
        <w:rPr>
          <w:spacing w:val="-8"/>
        </w:rPr>
        <w:t> </w:t>
      </w:r>
      <w:r>
        <w:rPr/>
        <w:t>Justice</w:t>
      </w:r>
      <w:r>
        <w:rPr>
          <w:spacing w:val="-8"/>
        </w:rPr>
        <w:t> </w:t>
      </w:r>
      <w:r>
        <w:rPr/>
        <w:t>(Sexual</w:t>
      </w:r>
      <w:r>
        <w:rPr>
          <w:spacing w:val="-9"/>
        </w:rPr>
        <w:t> </w:t>
      </w:r>
      <w:r>
        <w:rPr/>
        <w:t>Offences</w:t>
      </w:r>
      <w:r>
        <w:rPr>
          <w:spacing w:val="-9"/>
        </w:rPr>
        <w:t> </w:t>
      </w:r>
      <w:r>
        <w:rPr/>
        <w:t>and Trafficking</w:t>
      </w:r>
      <w:r>
        <w:rPr>
          <w:spacing w:val="-9"/>
        </w:rPr>
        <w:t> </w:t>
      </w:r>
      <w:r>
        <w:rPr/>
        <w:t>Victims)</w:t>
      </w:r>
      <w:r>
        <w:rPr>
          <w:spacing w:val="-10"/>
        </w:rPr>
        <w:t> </w:t>
      </w:r>
      <w:r>
        <w:rPr/>
        <w:t>Act</w:t>
      </w:r>
      <w:r>
        <w:rPr>
          <w:spacing w:val="-9"/>
        </w:rPr>
        <w:t> </w:t>
      </w:r>
      <w:r>
        <w:rPr/>
        <w:t>(NI)</w:t>
      </w:r>
      <w:r>
        <w:rPr>
          <w:spacing w:val="-10"/>
        </w:rPr>
        <w:t> </w:t>
      </w:r>
      <w:r>
        <w:rPr/>
        <w:t>2022.</w:t>
      </w:r>
      <w:r>
        <w:rPr>
          <w:vertAlign w:val="superscript"/>
        </w:rPr>
        <w:t>494</w:t>
      </w:r>
      <w:r>
        <w:rPr>
          <w:spacing w:val="-10"/>
          <w:vertAlign w:val="baseline"/>
        </w:rPr>
        <w:t> </w:t>
      </w:r>
      <w:r>
        <w:rPr>
          <w:vertAlign w:val="baseline"/>
        </w:rPr>
        <w:t>Both</w:t>
      </w:r>
      <w:r>
        <w:rPr>
          <w:spacing w:val="-10"/>
          <w:vertAlign w:val="baseline"/>
        </w:rPr>
        <w:t> </w:t>
      </w:r>
      <w:r>
        <w:rPr>
          <w:vertAlign w:val="baseline"/>
        </w:rPr>
        <w:t>Commissions</w:t>
      </w:r>
      <w:r>
        <w:rPr>
          <w:spacing w:val="-10"/>
          <w:vertAlign w:val="baseline"/>
        </w:rPr>
        <w:t> </w:t>
      </w:r>
      <w:r>
        <w:rPr>
          <w:vertAlign w:val="baseline"/>
        </w:rPr>
        <w:t>highlighted</w:t>
      </w:r>
      <w:r>
        <w:rPr>
          <w:spacing w:val="-10"/>
          <w:vertAlign w:val="baseline"/>
        </w:rPr>
        <w:t> </w:t>
      </w:r>
      <w:r>
        <w:rPr>
          <w:vertAlign w:val="baseline"/>
        </w:rPr>
        <w:t>the</w:t>
      </w:r>
      <w:r>
        <w:rPr>
          <w:spacing w:val="-9"/>
          <w:vertAlign w:val="baseline"/>
        </w:rPr>
        <w:t> </w:t>
      </w:r>
      <w:r>
        <w:rPr>
          <w:vertAlign w:val="baseline"/>
        </w:rPr>
        <w:t>need</w:t>
      </w:r>
      <w:r>
        <w:rPr>
          <w:spacing w:val="-10"/>
          <w:vertAlign w:val="baseline"/>
        </w:rPr>
        <w:t> </w:t>
      </w:r>
      <w:r>
        <w:rPr>
          <w:vertAlign w:val="baseline"/>
        </w:rPr>
        <w:t>to ensure that Windsor Framework Article 2 is built into, and actively considered during, the development and implementation of policy and legislation on modern slavery and human trafficking.</w:t>
      </w:r>
      <w:r>
        <w:rPr>
          <w:vertAlign w:val="superscript"/>
        </w:rPr>
        <w:t>495</w:t>
      </w:r>
      <w:r>
        <w:rPr>
          <w:vertAlign w:val="baseline"/>
        </w:rPr>
        <w:t> The ECNI also noted that any legislative developments progressed under this strategy should not reduce</w:t>
      </w:r>
    </w:p>
    <w:p>
      <w:pPr>
        <w:pStyle w:val="BodyText"/>
        <w:spacing w:line="225" w:lineRule="auto"/>
        <w:ind w:left="1853" w:right="1171"/>
      </w:pPr>
      <w:r>
        <w:rPr/>
        <w:t>the</w:t>
      </w:r>
      <w:r>
        <w:rPr>
          <w:spacing w:val="-6"/>
        </w:rPr>
        <w:t> </w:t>
      </w:r>
      <w:r>
        <w:rPr/>
        <w:t>rights</w:t>
      </w:r>
      <w:r>
        <w:rPr>
          <w:spacing w:val="-7"/>
        </w:rPr>
        <w:t> </w:t>
      </w:r>
      <w:r>
        <w:rPr/>
        <w:t>of</w:t>
      </w:r>
      <w:r>
        <w:rPr>
          <w:spacing w:val="-7"/>
        </w:rPr>
        <w:t> </w:t>
      </w:r>
      <w:r>
        <w:rPr/>
        <w:t>trafficked</w:t>
      </w:r>
      <w:r>
        <w:rPr>
          <w:spacing w:val="-7"/>
        </w:rPr>
        <w:t> </w:t>
      </w:r>
      <w:r>
        <w:rPr/>
        <w:t>victims,</w:t>
      </w:r>
      <w:r>
        <w:rPr>
          <w:spacing w:val="-6"/>
        </w:rPr>
        <w:t> </w:t>
      </w:r>
      <w:r>
        <w:rPr/>
        <w:t>including</w:t>
      </w:r>
      <w:r>
        <w:rPr>
          <w:spacing w:val="-6"/>
        </w:rPr>
        <w:t> </w:t>
      </w:r>
      <w:r>
        <w:rPr/>
        <w:t>children,</w:t>
      </w:r>
      <w:r>
        <w:rPr>
          <w:spacing w:val="-6"/>
        </w:rPr>
        <w:t> </w:t>
      </w:r>
      <w:r>
        <w:rPr/>
        <w:t>and</w:t>
      </w:r>
      <w:r>
        <w:rPr>
          <w:spacing w:val="-7"/>
        </w:rPr>
        <w:t> </w:t>
      </w:r>
      <w:r>
        <w:rPr/>
        <w:t>that</w:t>
      </w:r>
      <w:r>
        <w:rPr>
          <w:spacing w:val="-6"/>
        </w:rPr>
        <w:t> </w:t>
      </w:r>
      <w:r>
        <w:rPr/>
        <w:t>advice</w:t>
      </w:r>
      <w:r>
        <w:rPr>
          <w:spacing w:val="-6"/>
        </w:rPr>
        <w:t> </w:t>
      </w:r>
      <w:r>
        <w:rPr/>
        <w:t>and</w:t>
      </w:r>
      <w:r>
        <w:rPr>
          <w:spacing w:val="-7"/>
        </w:rPr>
        <w:t> </w:t>
      </w:r>
      <w:r>
        <w:rPr/>
        <w:t>support provided to victims should include their rights under both equality legislation and Windsor Framework Article 2.</w:t>
      </w:r>
      <w:r>
        <w:rPr>
          <w:vertAlign w:val="superscript"/>
        </w:rPr>
        <w:t>496</w:t>
      </w:r>
      <w:r>
        <w:rPr>
          <w:vertAlign w:val="baseline"/>
        </w:rPr>
        <w:t> The NIHRC further emphasised the importance of specialist support being made available to victims of modern slavery, appropriately tailored to take account of age, gender and culture.</w:t>
      </w:r>
      <w:r>
        <w:rPr>
          <w:vertAlign w:val="superscript"/>
        </w:rPr>
        <w:t>497</w:t>
      </w:r>
    </w:p>
    <w:p>
      <w:pPr>
        <w:pStyle w:val="BodyText"/>
        <w:rPr>
          <w:sz w:val="7"/>
        </w:rPr>
      </w:pPr>
      <w:r>
        <w:rPr/>
        <mc:AlternateContent>
          <mc:Choice Requires="wps">
            <w:drawing>
              <wp:anchor distT="0" distB="0" distL="0" distR="0" allowOverlap="1" layoutInCell="1" locked="0" behindDoc="1" simplePos="0" relativeHeight="487680000">
                <wp:simplePos x="0" y="0"/>
                <wp:positionH relativeFrom="page">
                  <wp:posOffset>719996</wp:posOffset>
                </wp:positionH>
                <wp:positionV relativeFrom="paragraph">
                  <wp:posOffset>69834</wp:posOffset>
                </wp:positionV>
                <wp:extent cx="6120130" cy="1270"/>
                <wp:effectExtent l="0" t="0" r="0" b="0"/>
                <wp:wrapTopAndBottom/>
                <wp:docPr id="399" name="Graphic 399"/>
                <wp:cNvGraphicFramePr>
                  <a:graphicFrameLocks/>
                </wp:cNvGraphicFramePr>
                <a:graphic>
                  <a:graphicData uri="http://schemas.microsoft.com/office/word/2010/wordprocessingShape">
                    <wps:wsp>
                      <wps:cNvPr id="399" name="Graphic 39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5.498813pt;width:481.9pt;height:.1pt;mso-position-horizontal-relative:page;mso-position-vertical-relative:paragraph;z-index:-15636480;mso-wrap-distance-left:0;mso-wrap-distance-right:0" id="docshape348" coordorigin="1134,110" coordsize="9638,0" path="m10772,110l1134,110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35" w:lineRule="auto" w:before="121" w:after="0"/>
        <w:ind w:left="1853" w:right="1633" w:hanging="720"/>
        <w:jc w:val="left"/>
        <w:rPr>
          <w:sz w:val="18"/>
        </w:rPr>
      </w:pPr>
      <w:r>
        <w:rPr>
          <w:sz w:val="18"/>
        </w:rPr>
        <w:t>Articles</w:t>
      </w:r>
      <w:r>
        <w:rPr>
          <w:spacing w:val="-7"/>
          <w:sz w:val="18"/>
        </w:rPr>
        <w:t> </w:t>
      </w:r>
      <w:r>
        <w:rPr>
          <w:sz w:val="18"/>
        </w:rPr>
        <w:t>2-7,</w:t>
      </w:r>
      <w:r>
        <w:rPr>
          <w:spacing w:val="-6"/>
          <w:sz w:val="18"/>
        </w:rPr>
        <w:t> </w:t>
      </w:r>
      <w:r>
        <w:rPr>
          <w:sz w:val="18"/>
        </w:rPr>
        <w:t>Directive</w:t>
      </w:r>
      <w:r>
        <w:rPr>
          <w:spacing w:val="-6"/>
          <w:sz w:val="18"/>
        </w:rPr>
        <w:t> </w:t>
      </w:r>
      <w:r>
        <w:rPr>
          <w:sz w:val="18"/>
        </w:rPr>
        <w:t>2011/36/EU,</w:t>
      </w:r>
      <w:r>
        <w:rPr>
          <w:spacing w:val="-6"/>
          <w:sz w:val="18"/>
        </w:rPr>
        <w:t> </w:t>
      </w:r>
      <w:r>
        <w:rPr>
          <w:sz w:val="18"/>
        </w:rPr>
        <w:t>‘Council</w:t>
      </w:r>
      <w:r>
        <w:rPr>
          <w:spacing w:val="-7"/>
          <w:sz w:val="18"/>
        </w:rPr>
        <w:t> </w:t>
      </w:r>
      <w:r>
        <w:rPr>
          <w:sz w:val="18"/>
        </w:rPr>
        <w:t>Directive</w:t>
      </w:r>
      <w:r>
        <w:rPr>
          <w:spacing w:val="-6"/>
          <w:sz w:val="18"/>
        </w:rPr>
        <w:t> </w:t>
      </w:r>
      <w:r>
        <w:rPr>
          <w:sz w:val="18"/>
        </w:rPr>
        <w:t>on</w:t>
      </w:r>
      <w:r>
        <w:rPr>
          <w:spacing w:val="-7"/>
          <w:sz w:val="18"/>
        </w:rPr>
        <w:t> </w:t>
      </w:r>
      <w:r>
        <w:rPr>
          <w:sz w:val="18"/>
        </w:rPr>
        <w:t>Preventing</w:t>
      </w:r>
      <w:r>
        <w:rPr>
          <w:spacing w:val="-6"/>
          <w:sz w:val="18"/>
        </w:rPr>
        <w:t> </w:t>
      </w:r>
      <w:r>
        <w:rPr>
          <w:sz w:val="18"/>
        </w:rPr>
        <w:t>and</w:t>
      </w:r>
      <w:r>
        <w:rPr>
          <w:spacing w:val="-7"/>
          <w:sz w:val="18"/>
        </w:rPr>
        <w:t> </w:t>
      </w:r>
      <w:r>
        <w:rPr>
          <w:sz w:val="18"/>
        </w:rPr>
        <w:t>Combating</w:t>
      </w:r>
      <w:r>
        <w:rPr>
          <w:spacing w:val="-6"/>
          <w:sz w:val="18"/>
        </w:rPr>
        <w:t> </w:t>
      </w:r>
      <w:r>
        <w:rPr>
          <w:sz w:val="18"/>
        </w:rPr>
        <w:t>Trafficking</w:t>
      </w:r>
      <w:r>
        <w:rPr>
          <w:spacing w:val="-6"/>
          <w:sz w:val="18"/>
        </w:rPr>
        <w:t> </w:t>
      </w:r>
      <w:r>
        <w:rPr>
          <w:sz w:val="18"/>
        </w:rPr>
        <w:t>in</w:t>
      </w:r>
      <w:r>
        <w:rPr>
          <w:spacing w:val="-7"/>
          <w:sz w:val="18"/>
        </w:rPr>
        <w:t> </w:t>
      </w:r>
      <w:r>
        <w:rPr>
          <w:sz w:val="18"/>
        </w:rPr>
        <w:t>Human</w:t>
      </w:r>
      <w:r>
        <w:rPr>
          <w:spacing w:val="-7"/>
          <w:sz w:val="18"/>
        </w:rPr>
        <w:t> </w:t>
      </w:r>
      <w:r>
        <w:rPr>
          <w:sz w:val="18"/>
        </w:rPr>
        <w:t>Beings</w:t>
      </w:r>
      <w:r>
        <w:rPr>
          <w:spacing w:val="-7"/>
          <w:sz w:val="18"/>
        </w:rPr>
        <w:t> </w:t>
      </w:r>
      <w:r>
        <w:rPr>
          <w:sz w:val="18"/>
        </w:rPr>
        <w:t>and Protecting its Victims’, 5 April 2011.</w:t>
      </w:r>
    </w:p>
    <w:p>
      <w:pPr>
        <w:pStyle w:val="ListParagraph"/>
        <w:numPr>
          <w:ilvl w:val="0"/>
          <w:numId w:val="9"/>
        </w:numPr>
        <w:tabs>
          <w:tab w:pos="1853" w:val="left" w:leader="none"/>
        </w:tabs>
        <w:spacing w:line="235" w:lineRule="auto" w:before="2" w:after="0"/>
        <w:ind w:left="1853" w:right="1850" w:hanging="720"/>
        <w:jc w:val="left"/>
        <w:rPr>
          <w:sz w:val="18"/>
        </w:rPr>
      </w:pPr>
      <w:r>
        <w:rPr>
          <w:sz w:val="18"/>
        </w:rPr>
        <w:t>Article</w:t>
      </w:r>
      <w:r>
        <w:rPr>
          <w:spacing w:val="-6"/>
          <w:sz w:val="18"/>
        </w:rPr>
        <w:t> </w:t>
      </w:r>
      <w:r>
        <w:rPr>
          <w:sz w:val="18"/>
        </w:rPr>
        <w:t>8,</w:t>
      </w:r>
      <w:r>
        <w:rPr>
          <w:spacing w:val="-6"/>
          <w:sz w:val="18"/>
        </w:rPr>
        <w:t> </w:t>
      </w:r>
      <w:r>
        <w:rPr>
          <w:sz w:val="18"/>
        </w:rPr>
        <w:t>Directive</w:t>
      </w:r>
      <w:r>
        <w:rPr>
          <w:spacing w:val="-6"/>
          <w:sz w:val="18"/>
        </w:rPr>
        <w:t> </w:t>
      </w:r>
      <w:r>
        <w:rPr>
          <w:sz w:val="18"/>
        </w:rPr>
        <w:t>2011/36/EU,</w:t>
      </w:r>
      <w:r>
        <w:rPr>
          <w:spacing w:val="-6"/>
          <w:sz w:val="18"/>
        </w:rPr>
        <w:t> </w:t>
      </w:r>
      <w:r>
        <w:rPr>
          <w:sz w:val="18"/>
        </w:rPr>
        <w:t>‘Council</w:t>
      </w:r>
      <w:r>
        <w:rPr>
          <w:spacing w:val="-7"/>
          <w:sz w:val="18"/>
        </w:rPr>
        <w:t> </w:t>
      </w:r>
      <w:r>
        <w:rPr>
          <w:sz w:val="18"/>
        </w:rPr>
        <w:t>Directive</w:t>
      </w:r>
      <w:r>
        <w:rPr>
          <w:spacing w:val="-6"/>
          <w:sz w:val="18"/>
        </w:rPr>
        <w:t> </w:t>
      </w:r>
      <w:r>
        <w:rPr>
          <w:sz w:val="18"/>
        </w:rPr>
        <w:t>on</w:t>
      </w:r>
      <w:r>
        <w:rPr>
          <w:spacing w:val="-7"/>
          <w:sz w:val="18"/>
        </w:rPr>
        <w:t> </w:t>
      </w:r>
      <w:r>
        <w:rPr>
          <w:sz w:val="18"/>
        </w:rPr>
        <w:t>Preventing</w:t>
      </w:r>
      <w:r>
        <w:rPr>
          <w:spacing w:val="-6"/>
          <w:sz w:val="18"/>
        </w:rPr>
        <w:t> </w:t>
      </w:r>
      <w:r>
        <w:rPr>
          <w:sz w:val="18"/>
        </w:rPr>
        <w:t>and</w:t>
      </w:r>
      <w:r>
        <w:rPr>
          <w:spacing w:val="-7"/>
          <w:sz w:val="18"/>
        </w:rPr>
        <w:t> </w:t>
      </w:r>
      <w:r>
        <w:rPr>
          <w:sz w:val="18"/>
        </w:rPr>
        <w:t>Combating</w:t>
      </w:r>
      <w:r>
        <w:rPr>
          <w:spacing w:val="-6"/>
          <w:sz w:val="18"/>
        </w:rPr>
        <w:t> </w:t>
      </w:r>
      <w:r>
        <w:rPr>
          <w:sz w:val="18"/>
        </w:rPr>
        <w:t>Trafficking</w:t>
      </w:r>
      <w:r>
        <w:rPr>
          <w:spacing w:val="-6"/>
          <w:sz w:val="18"/>
        </w:rPr>
        <w:t> </w:t>
      </w:r>
      <w:r>
        <w:rPr>
          <w:sz w:val="18"/>
        </w:rPr>
        <w:t>in</w:t>
      </w:r>
      <w:r>
        <w:rPr>
          <w:spacing w:val="-7"/>
          <w:sz w:val="18"/>
        </w:rPr>
        <w:t> </w:t>
      </w:r>
      <w:r>
        <w:rPr>
          <w:sz w:val="18"/>
        </w:rPr>
        <w:t>Human</w:t>
      </w:r>
      <w:r>
        <w:rPr>
          <w:spacing w:val="-7"/>
          <w:sz w:val="18"/>
        </w:rPr>
        <w:t> </w:t>
      </w:r>
      <w:r>
        <w:rPr>
          <w:sz w:val="18"/>
        </w:rPr>
        <w:t>Beings</w:t>
      </w:r>
      <w:r>
        <w:rPr>
          <w:spacing w:val="-7"/>
          <w:sz w:val="18"/>
        </w:rPr>
        <w:t> </w:t>
      </w:r>
      <w:r>
        <w:rPr>
          <w:sz w:val="18"/>
        </w:rPr>
        <w:t>and Protecting its Victims’, 5 April 2011.</w:t>
      </w:r>
    </w:p>
    <w:p>
      <w:pPr>
        <w:pStyle w:val="ListParagraph"/>
        <w:numPr>
          <w:ilvl w:val="0"/>
          <w:numId w:val="9"/>
        </w:numPr>
        <w:tabs>
          <w:tab w:pos="1853" w:val="left" w:leader="none"/>
        </w:tabs>
        <w:spacing w:line="235" w:lineRule="auto" w:before="1" w:after="0"/>
        <w:ind w:left="1853" w:right="1542" w:hanging="720"/>
        <w:jc w:val="left"/>
        <w:rPr>
          <w:sz w:val="18"/>
        </w:rPr>
      </w:pPr>
      <w:r>
        <w:rPr>
          <w:sz w:val="18"/>
        </w:rPr>
        <w:t>Articles</w:t>
      </w:r>
      <w:r>
        <w:rPr>
          <w:spacing w:val="-7"/>
          <w:sz w:val="18"/>
        </w:rPr>
        <w:t> </w:t>
      </w:r>
      <w:r>
        <w:rPr>
          <w:sz w:val="18"/>
        </w:rPr>
        <w:t>9-10,</w:t>
      </w:r>
      <w:r>
        <w:rPr>
          <w:spacing w:val="-6"/>
          <w:sz w:val="18"/>
        </w:rPr>
        <w:t> </w:t>
      </w:r>
      <w:r>
        <w:rPr>
          <w:sz w:val="18"/>
        </w:rPr>
        <w:t>Directive</w:t>
      </w:r>
      <w:r>
        <w:rPr>
          <w:spacing w:val="-6"/>
          <w:sz w:val="18"/>
        </w:rPr>
        <w:t> </w:t>
      </w:r>
      <w:r>
        <w:rPr>
          <w:sz w:val="18"/>
        </w:rPr>
        <w:t>2011/36/EU,</w:t>
      </w:r>
      <w:r>
        <w:rPr>
          <w:spacing w:val="-6"/>
          <w:sz w:val="18"/>
        </w:rPr>
        <w:t> </w:t>
      </w:r>
      <w:r>
        <w:rPr>
          <w:sz w:val="18"/>
        </w:rPr>
        <w:t>‘Council</w:t>
      </w:r>
      <w:r>
        <w:rPr>
          <w:spacing w:val="-7"/>
          <w:sz w:val="18"/>
        </w:rPr>
        <w:t> </w:t>
      </w:r>
      <w:r>
        <w:rPr>
          <w:sz w:val="18"/>
        </w:rPr>
        <w:t>Directive</w:t>
      </w:r>
      <w:r>
        <w:rPr>
          <w:spacing w:val="-6"/>
          <w:sz w:val="18"/>
        </w:rPr>
        <w:t> </w:t>
      </w:r>
      <w:r>
        <w:rPr>
          <w:sz w:val="18"/>
        </w:rPr>
        <w:t>on</w:t>
      </w:r>
      <w:r>
        <w:rPr>
          <w:spacing w:val="-7"/>
          <w:sz w:val="18"/>
        </w:rPr>
        <w:t> </w:t>
      </w:r>
      <w:r>
        <w:rPr>
          <w:sz w:val="18"/>
        </w:rPr>
        <w:t>Preventing</w:t>
      </w:r>
      <w:r>
        <w:rPr>
          <w:spacing w:val="-6"/>
          <w:sz w:val="18"/>
        </w:rPr>
        <w:t> </w:t>
      </w:r>
      <w:r>
        <w:rPr>
          <w:sz w:val="18"/>
        </w:rPr>
        <w:t>and</w:t>
      </w:r>
      <w:r>
        <w:rPr>
          <w:spacing w:val="-7"/>
          <w:sz w:val="18"/>
        </w:rPr>
        <w:t> </w:t>
      </w:r>
      <w:r>
        <w:rPr>
          <w:sz w:val="18"/>
        </w:rPr>
        <w:t>Combating</w:t>
      </w:r>
      <w:r>
        <w:rPr>
          <w:spacing w:val="-6"/>
          <w:sz w:val="18"/>
        </w:rPr>
        <w:t> </w:t>
      </w:r>
      <w:r>
        <w:rPr>
          <w:sz w:val="18"/>
        </w:rPr>
        <w:t>Trafficking</w:t>
      </w:r>
      <w:r>
        <w:rPr>
          <w:spacing w:val="-6"/>
          <w:sz w:val="18"/>
        </w:rPr>
        <w:t> </w:t>
      </w:r>
      <w:r>
        <w:rPr>
          <w:sz w:val="18"/>
        </w:rPr>
        <w:t>in</w:t>
      </w:r>
      <w:r>
        <w:rPr>
          <w:spacing w:val="-7"/>
          <w:sz w:val="18"/>
        </w:rPr>
        <w:t> </w:t>
      </w:r>
      <w:r>
        <w:rPr>
          <w:sz w:val="18"/>
        </w:rPr>
        <w:t>Human</w:t>
      </w:r>
      <w:r>
        <w:rPr>
          <w:spacing w:val="-7"/>
          <w:sz w:val="18"/>
        </w:rPr>
        <w:t> </w:t>
      </w:r>
      <w:r>
        <w:rPr>
          <w:sz w:val="18"/>
        </w:rPr>
        <w:t>Beings</w:t>
      </w:r>
      <w:r>
        <w:rPr>
          <w:spacing w:val="-7"/>
          <w:sz w:val="18"/>
        </w:rPr>
        <w:t> </w:t>
      </w:r>
      <w:r>
        <w:rPr>
          <w:sz w:val="18"/>
        </w:rPr>
        <w:t>and Protecting its Victims’, 5 April 2011.</w:t>
      </w:r>
    </w:p>
    <w:p>
      <w:pPr>
        <w:pStyle w:val="ListParagraph"/>
        <w:numPr>
          <w:ilvl w:val="0"/>
          <w:numId w:val="9"/>
        </w:numPr>
        <w:tabs>
          <w:tab w:pos="1853" w:val="left" w:leader="none"/>
        </w:tabs>
        <w:spacing w:line="235" w:lineRule="auto" w:before="1" w:after="0"/>
        <w:ind w:left="1853" w:right="1451" w:hanging="720"/>
        <w:jc w:val="left"/>
        <w:rPr>
          <w:sz w:val="18"/>
        </w:rPr>
      </w:pPr>
      <w:r>
        <w:rPr>
          <w:sz w:val="18"/>
        </w:rPr>
        <w:t>Articles</w:t>
      </w:r>
      <w:r>
        <w:rPr>
          <w:spacing w:val="-7"/>
          <w:sz w:val="18"/>
        </w:rPr>
        <w:t> </w:t>
      </w:r>
      <w:r>
        <w:rPr>
          <w:sz w:val="18"/>
        </w:rPr>
        <w:t>11-17,</w:t>
      </w:r>
      <w:r>
        <w:rPr>
          <w:spacing w:val="-6"/>
          <w:sz w:val="18"/>
        </w:rPr>
        <w:t> </w:t>
      </w:r>
      <w:r>
        <w:rPr>
          <w:sz w:val="18"/>
        </w:rPr>
        <w:t>Directive</w:t>
      </w:r>
      <w:r>
        <w:rPr>
          <w:spacing w:val="-6"/>
          <w:sz w:val="18"/>
        </w:rPr>
        <w:t> </w:t>
      </w:r>
      <w:r>
        <w:rPr>
          <w:sz w:val="18"/>
        </w:rPr>
        <w:t>2011/36/EU,</w:t>
      </w:r>
      <w:r>
        <w:rPr>
          <w:spacing w:val="-6"/>
          <w:sz w:val="18"/>
        </w:rPr>
        <w:t> </w:t>
      </w:r>
      <w:r>
        <w:rPr>
          <w:sz w:val="18"/>
        </w:rPr>
        <w:t>‘Council</w:t>
      </w:r>
      <w:r>
        <w:rPr>
          <w:spacing w:val="-7"/>
          <w:sz w:val="18"/>
        </w:rPr>
        <w:t> </w:t>
      </w:r>
      <w:r>
        <w:rPr>
          <w:sz w:val="18"/>
        </w:rPr>
        <w:t>Directive</w:t>
      </w:r>
      <w:r>
        <w:rPr>
          <w:spacing w:val="-6"/>
          <w:sz w:val="18"/>
        </w:rPr>
        <w:t> </w:t>
      </w:r>
      <w:r>
        <w:rPr>
          <w:sz w:val="18"/>
        </w:rPr>
        <w:t>on</w:t>
      </w:r>
      <w:r>
        <w:rPr>
          <w:spacing w:val="-7"/>
          <w:sz w:val="18"/>
        </w:rPr>
        <w:t> </w:t>
      </w:r>
      <w:r>
        <w:rPr>
          <w:sz w:val="18"/>
        </w:rPr>
        <w:t>Preventing</w:t>
      </w:r>
      <w:r>
        <w:rPr>
          <w:spacing w:val="-6"/>
          <w:sz w:val="18"/>
        </w:rPr>
        <w:t> </w:t>
      </w:r>
      <w:r>
        <w:rPr>
          <w:sz w:val="18"/>
        </w:rPr>
        <w:t>and</w:t>
      </w:r>
      <w:r>
        <w:rPr>
          <w:spacing w:val="-7"/>
          <w:sz w:val="18"/>
        </w:rPr>
        <w:t> </w:t>
      </w:r>
      <w:r>
        <w:rPr>
          <w:sz w:val="18"/>
        </w:rPr>
        <w:t>Combating</w:t>
      </w:r>
      <w:r>
        <w:rPr>
          <w:spacing w:val="-6"/>
          <w:sz w:val="18"/>
        </w:rPr>
        <w:t> </w:t>
      </w:r>
      <w:r>
        <w:rPr>
          <w:sz w:val="18"/>
        </w:rPr>
        <w:t>Trafficking</w:t>
      </w:r>
      <w:r>
        <w:rPr>
          <w:spacing w:val="-6"/>
          <w:sz w:val="18"/>
        </w:rPr>
        <w:t> </w:t>
      </w:r>
      <w:r>
        <w:rPr>
          <w:sz w:val="18"/>
        </w:rPr>
        <w:t>in</w:t>
      </w:r>
      <w:r>
        <w:rPr>
          <w:spacing w:val="-7"/>
          <w:sz w:val="18"/>
        </w:rPr>
        <w:t> </w:t>
      </w:r>
      <w:r>
        <w:rPr>
          <w:sz w:val="18"/>
        </w:rPr>
        <w:t>Human</w:t>
      </w:r>
      <w:r>
        <w:rPr>
          <w:spacing w:val="-7"/>
          <w:sz w:val="18"/>
        </w:rPr>
        <w:t> </w:t>
      </w:r>
      <w:r>
        <w:rPr>
          <w:sz w:val="18"/>
        </w:rPr>
        <w:t>Beings</w:t>
      </w:r>
      <w:r>
        <w:rPr>
          <w:spacing w:val="-7"/>
          <w:sz w:val="18"/>
        </w:rPr>
        <w:t> </w:t>
      </w:r>
      <w:r>
        <w:rPr>
          <w:sz w:val="18"/>
        </w:rPr>
        <w:t>and Protecting its Victims’, 5 April 2011.</w:t>
      </w:r>
    </w:p>
    <w:p>
      <w:pPr>
        <w:pStyle w:val="ListParagraph"/>
        <w:numPr>
          <w:ilvl w:val="0"/>
          <w:numId w:val="9"/>
        </w:numPr>
        <w:tabs>
          <w:tab w:pos="1853" w:val="left" w:leader="none"/>
        </w:tabs>
        <w:spacing w:line="216" w:lineRule="exact" w:before="0" w:after="0"/>
        <w:ind w:left="1853" w:right="0" w:hanging="720"/>
        <w:jc w:val="left"/>
        <w:rPr>
          <w:sz w:val="18"/>
        </w:rPr>
      </w:pPr>
      <w:r>
        <w:rPr>
          <w:spacing w:val="-2"/>
          <w:sz w:val="18"/>
        </w:rPr>
        <w:t>Department</w:t>
      </w:r>
      <w:r>
        <w:rPr>
          <w:spacing w:val="1"/>
          <w:sz w:val="18"/>
        </w:rPr>
        <w:t> </w:t>
      </w:r>
      <w:r>
        <w:rPr>
          <w:spacing w:val="-2"/>
          <w:sz w:val="18"/>
        </w:rPr>
        <w:t>of</w:t>
      </w:r>
      <w:r>
        <w:rPr>
          <w:spacing w:val="2"/>
          <w:sz w:val="18"/>
        </w:rPr>
        <w:t> </w:t>
      </w:r>
      <w:r>
        <w:rPr>
          <w:spacing w:val="-2"/>
          <w:sz w:val="18"/>
        </w:rPr>
        <w:t>Justice,</w:t>
      </w:r>
      <w:r>
        <w:rPr>
          <w:spacing w:val="1"/>
          <w:sz w:val="18"/>
        </w:rPr>
        <w:t> </w:t>
      </w:r>
      <w:r>
        <w:rPr>
          <w:spacing w:val="-2"/>
          <w:sz w:val="18"/>
        </w:rPr>
        <w:t>‘Public</w:t>
      </w:r>
      <w:r>
        <w:rPr>
          <w:spacing w:val="2"/>
          <w:sz w:val="18"/>
        </w:rPr>
        <w:t> </w:t>
      </w:r>
      <w:r>
        <w:rPr>
          <w:spacing w:val="-2"/>
          <w:sz w:val="18"/>
        </w:rPr>
        <w:t>Consultation</w:t>
      </w:r>
      <w:r>
        <w:rPr>
          <w:spacing w:val="1"/>
          <w:sz w:val="18"/>
        </w:rPr>
        <w:t> </w:t>
      </w:r>
      <w:r>
        <w:rPr>
          <w:spacing w:val="-2"/>
          <w:sz w:val="18"/>
        </w:rPr>
        <w:t>on</w:t>
      </w:r>
      <w:r>
        <w:rPr>
          <w:spacing w:val="2"/>
          <w:sz w:val="18"/>
        </w:rPr>
        <w:t> </w:t>
      </w:r>
      <w:r>
        <w:rPr>
          <w:spacing w:val="-2"/>
          <w:sz w:val="18"/>
        </w:rPr>
        <w:t>Measures</w:t>
      </w:r>
      <w:r>
        <w:rPr>
          <w:spacing w:val="2"/>
          <w:sz w:val="18"/>
        </w:rPr>
        <w:t> </w:t>
      </w:r>
      <w:r>
        <w:rPr>
          <w:spacing w:val="-2"/>
          <w:sz w:val="18"/>
        </w:rPr>
        <w:t>to</w:t>
      </w:r>
      <w:r>
        <w:rPr>
          <w:spacing w:val="1"/>
          <w:sz w:val="18"/>
        </w:rPr>
        <w:t> </w:t>
      </w:r>
      <w:r>
        <w:rPr>
          <w:spacing w:val="-2"/>
          <w:sz w:val="18"/>
        </w:rPr>
        <w:t>Strengthen</w:t>
      </w:r>
      <w:r>
        <w:rPr>
          <w:spacing w:val="2"/>
          <w:sz w:val="18"/>
        </w:rPr>
        <w:t> </w:t>
      </w:r>
      <w:r>
        <w:rPr>
          <w:spacing w:val="-2"/>
          <w:sz w:val="18"/>
        </w:rPr>
        <w:t>Response</w:t>
      </w:r>
      <w:r>
        <w:rPr>
          <w:spacing w:val="1"/>
          <w:sz w:val="18"/>
        </w:rPr>
        <w:t> </w:t>
      </w:r>
      <w:r>
        <w:rPr>
          <w:spacing w:val="-2"/>
          <w:sz w:val="18"/>
        </w:rPr>
        <w:t>to</w:t>
      </w:r>
      <w:r>
        <w:rPr>
          <w:spacing w:val="2"/>
          <w:sz w:val="18"/>
        </w:rPr>
        <w:t> </w:t>
      </w:r>
      <w:r>
        <w:rPr>
          <w:spacing w:val="-2"/>
          <w:sz w:val="18"/>
        </w:rPr>
        <w:t>Modern</w:t>
      </w:r>
      <w:r>
        <w:rPr>
          <w:spacing w:val="2"/>
          <w:sz w:val="18"/>
        </w:rPr>
        <w:t> </w:t>
      </w:r>
      <w:r>
        <w:rPr>
          <w:spacing w:val="-2"/>
          <w:sz w:val="18"/>
        </w:rPr>
        <w:t>Slavery</w:t>
      </w:r>
      <w:r>
        <w:rPr>
          <w:spacing w:val="1"/>
          <w:sz w:val="18"/>
        </w:rPr>
        <w:t> </w:t>
      </w:r>
      <w:r>
        <w:rPr>
          <w:spacing w:val="-2"/>
          <w:sz w:val="18"/>
        </w:rPr>
        <w:t>and</w:t>
      </w:r>
      <w:r>
        <w:rPr>
          <w:spacing w:val="2"/>
          <w:sz w:val="18"/>
        </w:rPr>
        <w:t> </w:t>
      </w:r>
      <w:r>
        <w:rPr>
          <w:spacing w:val="-2"/>
          <w:sz w:val="18"/>
        </w:rPr>
        <w:t>Human</w:t>
      </w:r>
      <w:r>
        <w:rPr>
          <w:spacing w:val="7"/>
          <w:sz w:val="18"/>
        </w:rPr>
        <w:t> </w:t>
      </w:r>
      <w:r>
        <w:rPr>
          <w:spacing w:val="-2"/>
          <w:sz w:val="18"/>
        </w:rPr>
        <w:t>Trafficking</w:t>
      </w:r>
    </w:p>
    <w:p>
      <w:pPr>
        <w:spacing w:line="235" w:lineRule="auto" w:before="2"/>
        <w:ind w:left="1853" w:right="1171" w:firstLine="0"/>
        <w:jc w:val="left"/>
        <w:rPr>
          <w:sz w:val="18"/>
        </w:rPr>
      </w:pPr>
      <w:r>
        <w:rPr>
          <w:spacing w:val="-2"/>
          <w:sz w:val="18"/>
        </w:rPr>
        <w:t>-</w:t>
      </w:r>
      <w:r>
        <w:rPr>
          <w:spacing w:val="-5"/>
          <w:sz w:val="18"/>
        </w:rPr>
        <w:t> </w:t>
      </w:r>
      <w:r>
        <w:rPr>
          <w:spacing w:val="-2"/>
          <w:sz w:val="18"/>
        </w:rPr>
        <w:t>Proposed</w:t>
      </w:r>
      <w:r>
        <w:rPr>
          <w:spacing w:val="-6"/>
          <w:sz w:val="18"/>
        </w:rPr>
        <w:t> </w:t>
      </w:r>
      <w:r>
        <w:rPr>
          <w:spacing w:val="-2"/>
          <w:sz w:val="18"/>
        </w:rPr>
        <w:t>amendments</w:t>
      </w:r>
      <w:r>
        <w:rPr>
          <w:spacing w:val="-5"/>
          <w:sz w:val="18"/>
        </w:rPr>
        <w:t> </w:t>
      </w:r>
      <w:r>
        <w:rPr>
          <w:spacing w:val="-2"/>
          <w:sz w:val="18"/>
        </w:rPr>
        <w:t>to</w:t>
      </w:r>
      <w:r>
        <w:rPr>
          <w:spacing w:val="-6"/>
          <w:sz w:val="18"/>
        </w:rPr>
        <w:t> </w:t>
      </w:r>
      <w:r>
        <w:rPr>
          <w:spacing w:val="-2"/>
          <w:sz w:val="18"/>
        </w:rPr>
        <w:t>the</w:t>
      </w:r>
      <w:r>
        <w:rPr>
          <w:spacing w:val="-5"/>
          <w:sz w:val="18"/>
        </w:rPr>
        <w:t> </w:t>
      </w:r>
      <w:r>
        <w:rPr>
          <w:spacing w:val="-2"/>
          <w:sz w:val="18"/>
        </w:rPr>
        <w:t>Human</w:t>
      </w:r>
      <w:r>
        <w:rPr>
          <w:spacing w:val="-6"/>
          <w:sz w:val="18"/>
        </w:rPr>
        <w:t> </w:t>
      </w:r>
      <w:r>
        <w:rPr>
          <w:spacing w:val="-2"/>
          <w:sz w:val="18"/>
        </w:rPr>
        <w:t>Trafficking</w:t>
      </w:r>
      <w:r>
        <w:rPr>
          <w:spacing w:val="-5"/>
          <w:sz w:val="18"/>
        </w:rPr>
        <w:t> </w:t>
      </w:r>
      <w:r>
        <w:rPr>
          <w:spacing w:val="-2"/>
          <w:sz w:val="18"/>
        </w:rPr>
        <w:t>and</w:t>
      </w:r>
      <w:r>
        <w:rPr>
          <w:spacing w:val="-6"/>
          <w:sz w:val="18"/>
        </w:rPr>
        <w:t> </w:t>
      </w:r>
      <w:r>
        <w:rPr>
          <w:spacing w:val="-2"/>
          <w:sz w:val="18"/>
        </w:rPr>
        <w:t>Exploitation</w:t>
      </w:r>
      <w:r>
        <w:rPr>
          <w:spacing w:val="-6"/>
          <w:sz w:val="18"/>
        </w:rPr>
        <w:t> </w:t>
      </w:r>
      <w:r>
        <w:rPr>
          <w:spacing w:val="-2"/>
          <w:sz w:val="18"/>
        </w:rPr>
        <w:t>(Criminal</w:t>
      </w:r>
      <w:r>
        <w:rPr>
          <w:spacing w:val="-6"/>
          <w:sz w:val="18"/>
        </w:rPr>
        <w:t> </w:t>
      </w:r>
      <w:r>
        <w:rPr>
          <w:spacing w:val="-2"/>
          <w:sz w:val="18"/>
        </w:rPr>
        <w:t>Justice</w:t>
      </w:r>
      <w:r>
        <w:rPr>
          <w:spacing w:val="-5"/>
          <w:sz w:val="18"/>
        </w:rPr>
        <w:t> </w:t>
      </w:r>
      <w:r>
        <w:rPr>
          <w:spacing w:val="-2"/>
          <w:sz w:val="18"/>
        </w:rPr>
        <w:t>and</w:t>
      </w:r>
      <w:r>
        <w:rPr>
          <w:spacing w:val="-6"/>
          <w:sz w:val="18"/>
        </w:rPr>
        <w:t> </w:t>
      </w:r>
      <w:r>
        <w:rPr>
          <w:spacing w:val="-2"/>
          <w:sz w:val="18"/>
        </w:rPr>
        <w:t>Support</w:t>
      </w:r>
      <w:r>
        <w:rPr>
          <w:spacing w:val="-5"/>
          <w:sz w:val="18"/>
        </w:rPr>
        <w:t> </w:t>
      </w:r>
      <w:r>
        <w:rPr>
          <w:spacing w:val="-2"/>
          <w:sz w:val="18"/>
        </w:rPr>
        <w:t>for</w:t>
      </w:r>
      <w:r>
        <w:rPr>
          <w:spacing w:val="-5"/>
          <w:sz w:val="18"/>
        </w:rPr>
        <w:t> </w:t>
      </w:r>
      <w:r>
        <w:rPr>
          <w:spacing w:val="-2"/>
          <w:sz w:val="18"/>
        </w:rPr>
        <w:t>Victims)</w:t>
      </w:r>
      <w:r>
        <w:rPr>
          <w:spacing w:val="-6"/>
          <w:sz w:val="18"/>
        </w:rPr>
        <w:t> </w:t>
      </w:r>
      <w:r>
        <w:rPr>
          <w:spacing w:val="-2"/>
          <w:sz w:val="18"/>
        </w:rPr>
        <w:t>Act (NI) 2015’</w:t>
      </w:r>
      <w:r>
        <w:rPr>
          <w:sz w:val="18"/>
        </w:rPr>
        <w:t> (DoJ, 2022).</w:t>
      </w:r>
    </w:p>
    <w:p>
      <w:pPr>
        <w:pStyle w:val="ListParagraph"/>
        <w:numPr>
          <w:ilvl w:val="0"/>
          <w:numId w:val="9"/>
        </w:numPr>
        <w:tabs>
          <w:tab w:pos="1853" w:val="left" w:leader="none"/>
        </w:tabs>
        <w:spacing w:line="235" w:lineRule="auto" w:before="1" w:after="0"/>
        <w:ind w:left="1853" w:right="1288" w:hanging="720"/>
        <w:jc w:val="left"/>
        <w:rPr>
          <w:sz w:val="18"/>
        </w:rPr>
      </w:pPr>
      <w:r>
        <w:rPr>
          <w:sz w:val="18"/>
        </w:rPr>
        <w:t>Directive</w:t>
      </w:r>
      <w:r>
        <w:rPr>
          <w:spacing w:val="-6"/>
          <w:sz w:val="18"/>
        </w:rPr>
        <w:t> </w:t>
      </w:r>
      <w:r>
        <w:rPr>
          <w:sz w:val="18"/>
        </w:rPr>
        <w:t>2011/36/EU,</w:t>
      </w:r>
      <w:r>
        <w:rPr>
          <w:spacing w:val="-6"/>
          <w:sz w:val="18"/>
        </w:rPr>
        <w:t> </w:t>
      </w:r>
      <w:r>
        <w:rPr>
          <w:sz w:val="18"/>
        </w:rPr>
        <w:t>‘EU</w:t>
      </w:r>
      <w:r>
        <w:rPr>
          <w:spacing w:val="-6"/>
          <w:sz w:val="18"/>
        </w:rPr>
        <w:t> </w:t>
      </w:r>
      <w:r>
        <w:rPr>
          <w:sz w:val="18"/>
        </w:rPr>
        <w:t>Council</w:t>
      </w:r>
      <w:r>
        <w:rPr>
          <w:spacing w:val="-6"/>
          <w:sz w:val="18"/>
        </w:rPr>
        <w:t> </w:t>
      </w:r>
      <w:r>
        <w:rPr>
          <w:sz w:val="18"/>
        </w:rPr>
        <w:t>Directive</w:t>
      </w:r>
      <w:r>
        <w:rPr>
          <w:spacing w:val="-6"/>
          <w:sz w:val="18"/>
        </w:rPr>
        <w:t> </w:t>
      </w:r>
      <w:r>
        <w:rPr>
          <w:sz w:val="18"/>
        </w:rPr>
        <w:t>on</w:t>
      </w:r>
      <w:r>
        <w:rPr>
          <w:spacing w:val="-6"/>
          <w:sz w:val="18"/>
        </w:rPr>
        <w:t> </w:t>
      </w:r>
      <w:r>
        <w:rPr>
          <w:sz w:val="18"/>
        </w:rPr>
        <w:t>Preventing</w:t>
      </w:r>
      <w:r>
        <w:rPr>
          <w:spacing w:val="-6"/>
          <w:sz w:val="18"/>
        </w:rPr>
        <w:t> </w:t>
      </w:r>
      <w:r>
        <w:rPr>
          <w:sz w:val="18"/>
        </w:rPr>
        <w:t>and</w:t>
      </w:r>
      <w:r>
        <w:rPr>
          <w:spacing w:val="-6"/>
          <w:sz w:val="18"/>
        </w:rPr>
        <w:t> </w:t>
      </w:r>
      <w:r>
        <w:rPr>
          <w:sz w:val="18"/>
        </w:rPr>
        <w:t>Combating</w:t>
      </w:r>
      <w:r>
        <w:rPr>
          <w:spacing w:val="-6"/>
          <w:sz w:val="18"/>
        </w:rPr>
        <w:t> </w:t>
      </w:r>
      <w:r>
        <w:rPr>
          <w:sz w:val="18"/>
        </w:rPr>
        <w:t>Trafficking</w:t>
      </w:r>
      <w:r>
        <w:rPr>
          <w:spacing w:val="-6"/>
          <w:sz w:val="18"/>
        </w:rPr>
        <w:t> </w:t>
      </w:r>
      <w:r>
        <w:rPr>
          <w:sz w:val="18"/>
        </w:rPr>
        <w:t>in</w:t>
      </w:r>
      <w:r>
        <w:rPr>
          <w:spacing w:val="-6"/>
          <w:sz w:val="18"/>
        </w:rPr>
        <w:t> </w:t>
      </w:r>
      <w:r>
        <w:rPr>
          <w:sz w:val="18"/>
        </w:rPr>
        <w:t>Human</w:t>
      </w:r>
      <w:r>
        <w:rPr>
          <w:spacing w:val="-7"/>
          <w:sz w:val="18"/>
        </w:rPr>
        <w:t> </w:t>
      </w:r>
      <w:r>
        <w:rPr>
          <w:sz w:val="18"/>
        </w:rPr>
        <w:t>Beings</w:t>
      </w:r>
      <w:r>
        <w:rPr>
          <w:spacing w:val="-6"/>
          <w:sz w:val="18"/>
        </w:rPr>
        <w:t> </w:t>
      </w:r>
      <w:r>
        <w:rPr>
          <w:sz w:val="18"/>
        </w:rPr>
        <w:t>and</w:t>
      </w:r>
      <w:r>
        <w:rPr>
          <w:spacing w:val="-7"/>
          <w:sz w:val="18"/>
        </w:rPr>
        <w:t> </w:t>
      </w:r>
      <w:r>
        <w:rPr>
          <w:sz w:val="18"/>
        </w:rPr>
        <w:t>Protecting</w:t>
      </w:r>
      <w:r>
        <w:rPr>
          <w:spacing w:val="-6"/>
          <w:sz w:val="18"/>
        </w:rPr>
        <w:t> </w:t>
      </w:r>
      <w:r>
        <w:rPr>
          <w:sz w:val="18"/>
        </w:rPr>
        <w:t>Its Victims’, 5 April 2011.</w:t>
      </w:r>
    </w:p>
    <w:p>
      <w:pPr>
        <w:pStyle w:val="ListParagraph"/>
        <w:numPr>
          <w:ilvl w:val="0"/>
          <w:numId w:val="9"/>
        </w:numPr>
        <w:tabs>
          <w:tab w:pos="1853" w:val="left" w:leader="none"/>
        </w:tabs>
        <w:spacing w:line="235" w:lineRule="auto" w:before="2" w:after="0"/>
        <w:ind w:left="1853" w:right="1388" w:hanging="720"/>
        <w:jc w:val="left"/>
        <w:rPr>
          <w:sz w:val="18"/>
        </w:rPr>
      </w:pPr>
      <w:r>
        <w:rPr>
          <w:sz w:val="18"/>
        </w:rPr>
        <w:t>Directive</w:t>
      </w:r>
      <w:r>
        <w:rPr>
          <w:spacing w:val="-5"/>
          <w:sz w:val="18"/>
        </w:rPr>
        <w:t> </w:t>
      </w:r>
      <w:r>
        <w:rPr>
          <w:sz w:val="18"/>
        </w:rPr>
        <w:t>2011/92/EU,</w:t>
      </w:r>
      <w:r>
        <w:rPr>
          <w:spacing w:val="-5"/>
          <w:sz w:val="18"/>
        </w:rPr>
        <w:t> </w:t>
      </w:r>
      <w:r>
        <w:rPr>
          <w:sz w:val="18"/>
        </w:rPr>
        <w:t>‘EU</w:t>
      </w:r>
      <w:r>
        <w:rPr>
          <w:spacing w:val="-5"/>
          <w:sz w:val="18"/>
        </w:rPr>
        <w:t> </w:t>
      </w:r>
      <w:r>
        <w:rPr>
          <w:sz w:val="18"/>
        </w:rPr>
        <w:t>Parliament</w:t>
      </w:r>
      <w:r>
        <w:rPr>
          <w:spacing w:val="-5"/>
          <w:sz w:val="18"/>
        </w:rPr>
        <w:t> </w:t>
      </w:r>
      <w:r>
        <w:rPr>
          <w:sz w:val="18"/>
        </w:rPr>
        <w:t>and</w:t>
      </w:r>
      <w:r>
        <w:rPr>
          <w:spacing w:val="-6"/>
          <w:sz w:val="18"/>
        </w:rPr>
        <w:t> </w:t>
      </w:r>
      <w:r>
        <w:rPr>
          <w:sz w:val="18"/>
        </w:rPr>
        <w:t>Council</w:t>
      </w:r>
      <w:r>
        <w:rPr>
          <w:spacing w:val="-6"/>
          <w:sz w:val="18"/>
        </w:rPr>
        <w:t> </w:t>
      </w:r>
      <w:r>
        <w:rPr>
          <w:sz w:val="18"/>
        </w:rPr>
        <w:t>Directive</w:t>
      </w:r>
      <w:r>
        <w:rPr>
          <w:spacing w:val="-5"/>
          <w:sz w:val="18"/>
        </w:rPr>
        <w:t> </w:t>
      </w:r>
      <w:r>
        <w:rPr>
          <w:sz w:val="18"/>
        </w:rPr>
        <w:t>on</w:t>
      </w:r>
      <w:r>
        <w:rPr>
          <w:spacing w:val="-6"/>
          <w:sz w:val="18"/>
        </w:rPr>
        <w:t> </w:t>
      </w:r>
      <w:r>
        <w:rPr>
          <w:sz w:val="18"/>
        </w:rPr>
        <w:t>Combatting</w:t>
      </w:r>
      <w:r>
        <w:rPr>
          <w:spacing w:val="-5"/>
          <w:sz w:val="18"/>
        </w:rPr>
        <w:t> </w:t>
      </w:r>
      <w:r>
        <w:rPr>
          <w:sz w:val="18"/>
        </w:rPr>
        <w:t>the</w:t>
      </w:r>
      <w:r>
        <w:rPr>
          <w:spacing w:val="-5"/>
          <w:sz w:val="18"/>
        </w:rPr>
        <w:t> </w:t>
      </w:r>
      <w:r>
        <w:rPr>
          <w:sz w:val="18"/>
        </w:rPr>
        <w:t>Sexual</w:t>
      </w:r>
      <w:r>
        <w:rPr>
          <w:spacing w:val="-6"/>
          <w:sz w:val="18"/>
        </w:rPr>
        <w:t> </w:t>
      </w:r>
      <w:r>
        <w:rPr>
          <w:sz w:val="18"/>
        </w:rPr>
        <w:t>Abuse</w:t>
      </w:r>
      <w:r>
        <w:rPr>
          <w:spacing w:val="-5"/>
          <w:sz w:val="18"/>
        </w:rPr>
        <w:t> </w:t>
      </w:r>
      <w:r>
        <w:rPr>
          <w:sz w:val="18"/>
        </w:rPr>
        <w:t>and</w:t>
      </w:r>
      <w:r>
        <w:rPr>
          <w:spacing w:val="-6"/>
          <w:sz w:val="18"/>
        </w:rPr>
        <w:t> </w:t>
      </w:r>
      <w:r>
        <w:rPr>
          <w:sz w:val="18"/>
        </w:rPr>
        <w:t>Sexual</w:t>
      </w:r>
      <w:r>
        <w:rPr>
          <w:spacing w:val="-6"/>
          <w:sz w:val="18"/>
        </w:rPr>
        <w:t> </w:t>
      </w:r>
      <w:r>
        <w:rPr>
          <w:sz w:val="18"/>
        </w:rPr>
        <w:t>Exploitation</w:t>
      </w:r>
      <w:r>
        <w:rPr>
          <w:spacing w:val="-6"/>
          <w:sz w:val="18"/>
        </w:rPr>
        <w:t> </w:t>
      </w:r>
      <w:r>
        <w:rPr>
          <w:sz w:val="18"/>
        </w:rPr>
        <w:t>of Children and Child Pornography, and Replacing Council Framework Decision 2004/68/JHA’, 13 December 2011.</w:t>
      </w:r>
    </w:p>
    <w:p>
      <w:pPr>
        <w:pStyle w:val="ListParagraph"/>
        <w:numPr>
          <w:ilvl w:val="0"/>
          <w:numId w:val="9"/>
        </w:numPr>
        <w:tabs>
          <w:tab w:pos="1853" w:val="left" w:leader="none"/>
        </w:tabs>
        <w:spacing w:line="235" w:lineRule="auto" w:before="1" w:after="0"/>
        <w:ind w:left="1853" w:right="1215" w:hanging="720"/>
        <w:jc w:val="left"/>
        <w:rPr>
          <w:sz w:val="18"/>
        </w:rPr>
      </w:pPr>
      <w:r>
        <w:rPr>
          <w:sz w:val="18"/>
        </w:rPr>
        <w:t>The Commissions have identified that the EU GDPR fall within the scope of Windsor Framework Article 2.</w:t>
      </w:r>
      <w:r>
        <w:rPr>
          <w:spacing w:val="40"/>
          <w:sz w:val="18"/>
        </w:rPr>
        <w:t> </w:t>
      </w:r>
      <w:r>
        <w:rPr>
          <w:sz w:val="18"/>
        </w:rPr>
        <w:t>For further discussion see the Data Protection section of this chapter. NI Human Rights Commission, ‘Submission to Department of Justice’s</w:t>
      </w:r>
      <w:r>
        <w:rPr>
          <w:spacing w:val="-6"/>
          <w:sz w:val="18"/>
        </w:rPr>
        <w:t> </w:t>
      </w:r>
      <w:r>
        <w:rPr>
          <w:sz w:val="18"/>
        </w:rPr>
        <w:t>Consultation</w:t>
      </w:r>
      <w:r>
        <w:rPr>
          <w:spacing w:val="-6"/>
          <w:sz w:val="18"/>
        </w:rPr>
        <w:t> </w:t>
      </w:r>
      <w:r>
        <w:rPr>
          <w:sz w:val="18"/>
        </w:rPr>
        <w:t>on</w:t>
      </w:r>
      <w:r>
        <w:rPr>
          <w:spacing w:val="-6"/>
          <w:sz w:val="18"/>
        </w:rPr>
        <w:t> </w:t>
      </w:r>
      <w:r>
        <w:rPr>
          <w:sz w:val="18"/>
        </w:rPr>
        <w:t>Measures</w:t>
      </w:r>
      <w:r>
        <w:rPr>
          <w:spacing w:val="-6"/>
          <w:sz w:val="18"/>
        </w:rPr>
        <w:t> </w:t>
      </w:r>
      <w:r>
        <w:rPr>
          <w:sz w:val="18"/>
        </w:rPr>
        <w:t>to</w:t>
      </w:r>
      <w:r>
        <w:rPr>
          <w:spacing w:val="-6"/>
          <w:sz w:val="18"/>
        </w:rPr>
        <w:t> </w:t>
      </w:r>
      <w:r>
        <w:rPr>
          <w:sz w:val="18"/>
        </w:rPr>
        <w:t>Strengthen</w:t>
      </w:r>
      <w:r>
        <w:rPr>
          <w:spacing w:val="-6"/>
          <w:sz w:val="18"/>
        </w:rPr>
        <w:t> </w:t>
      </w:r>
      <w:r>
        <w:rPr>
          <w:sz w:val="18"/>
        </w:rPr>
        <w:t>the</w:t>
      </w:r>
      <w:r>
        <w:rPr>
          <w:spacing w:val="-6"/>
          <w:sz w:val="18"/>
        </w:rPr>
        <w:t> </w:t>
      </w:r>
      <w:r>
        <w:rPr>
          <w:sz w:val="18"/>
        </w:rPr>
        <w:t>Response</w:t>
      </w:r>
      <w:r>
        <w:rPr>
          <w:spacing w:val="-6"/>
          <w:sz w:val="18"/>
        </w:rPr>
        <w:t> </w:t>
      </w:r>
      <w:r>
        <w:rPr>
          <w:sz w:val="18"/>
        </w:rPr>
        <w:t>to</w:t>
      </w:r>
      <w:r>
        <w:rPr>
          <w:spacing w:val="-6"/>
          <w:sz w:val="18"/>
        </w:rPr>
        <w:t> </w:t>
      </w:r>
      <w:r>
        <w:rPr>
          <w:sz w:val="18"/>
        </w:rPr>
        <w:t>Modern</w:t>
      </w:r>
      <w:r>
        <w:rPr>
          <w:spacing w:val="-6"/>
          <w:sz w:val="18"/>
        </w:rPr>
        <w:t> </w:t>
      </w:r>
      <w:r>
        <w:rPr>
          <w:sz w:val="18"/>
        </w:rPr>
        <w:t>Slavery</w:t>
      </w:r>
      <w:r>
        <w:rPr>
          <w:spacing w:val="-6"/>
          <w:sz w:val="18"/>
        </w:rPr>
        <w:t> </w:t>
      </w:r>
      <w:r>
        <w:rPr>
          <w:sz w:val="18"/>
        </w:rPr>
        <w:t>and</w:t>
      </w:r>
      <w:r>
        <w:rPr>
          <w:spacing w:val="-6"/>
          <w:sz w:val="18"/>
        </w:rPr>
        <w:t> </w:t>
      </w:r>
      <w:r>
        <w:rPr>
          <w:sz w:val="18"/>
        </w:rPr>
        <w:t>Human</w:t>
      </w:r>
      <w:r>
        <w:rPr>
          <w:spacing w:val="-6"/>
          <w:sz w:val="18"/>
        </w:rPr>
        <w:t> </w:t>
      </w:r>
      <w:r>
        <w:rPr>
          <w:sz w:val="18"/>
        </w:rPr>
        <w:t>Trafficking’</w:t>
      </w:r>
      <w:r>
        <w:rPr>
          <w:spacing w:val="-6"/>
          <w:sz w:val="18"/>
        </w:rPr>
        <w:t> </w:t>
      </w:r>
      <w:r>
        <w:rPr>
          <w:sz w:val="18"/>
        </w:rPr>
        <w:t>(NIHRC,</w:t>
      </w:r>
      <w:r>
        <w:rPr>
          <w:spacing w:val="-6"/>
          <w:sz w:val="18"/>
        </w:rPr>
        <w:t> </w:t>
      </w:r>
      <w:r>
        <w:rPr>
          <w:sz w:val="18"/>
        </w:rPr>
        <w:t>2022).</w:t>
      </w:r>
    </w:p>
    <w:p>
      <w:pPr>
        <w:pStyle w:val="ListParagraph"/>
        <w:numPr>
          <w:ilvl w:val="0"/>
          <w:numId w:val="9"/>
        </w:numPr>
        <w:tabs>
          <w:tab w:pos="1853" w:val="left" w:leader="none"/>
        </w:tabs>
        <w:spacing w:line="216" w:lineRule="exact" w:before="0" w:after="0"/>
        <w:ind w:left="1853" w:right="0" w:hanging="720"/>
        <w:jc w:val="left"/>
        <w:rPr>
          <w:sz w:val="18"/>
        </w:rPr>
      </w:pPr>
      <w:r>
        <w:rPr>
          <w:sz w:val="18"/>
        </w:rPr>
        <w:t>Department</w:t>
      </w:r>
      <w:r>
        <w:rPr>
          <w:spacing w:val="-8"/>
          <w:sz w:val="18"/>
        </w:rPr>
        <w:t> </w:t>
      </w:r>
      <w:r>
        <w:rPr>
          <w:sz w:val="18"/>
        </w:rPr>
        <w:t>of</w:t>
      </w:r>
      <w:r>
        <w:rPr>
          <w:spacing w:val="-8"/>
          <w:sz w:val="18"/>
        </w:rPr>
        <w:t> </w:t>
      </w:r>
      <w:r>
        <w:rPr>
          <w:sz w:val="18"/>
        </w:rPr>
        <w:t>Justice,</w:t>
      </w:r>
      <w:r>
        <w:rPr>
          <w:spacing w:val="-7"/>
          <w:sz w:val="18"/>
        </w:rPr>
        <w:t> </w:t>
      </w:r>
      <w:r>
        <w:rPr>
          <w:sz w:val="18"/>
        </w:rPr>
        <w:t>‘NI</w:t>
      </w:r>
      <w:r>
        <w:rPr>
          <w:spacing w:val="-7"/>
          <w:sz w:val="18"/>
        </w:rPr>
        <w:t> </w:t>
      </w:r>
      <w:r>
        <w:rPr>
          <w:sz w:val="18"/>
        </w:rPr>
        <w:t>Draft</w:t>
      </w:r>
      <w:r>
        <w:rPr>
          <w:spacing w:val="-7"/>
          <w:sz w:val="18"/>
        </w:rPr>
        <w:t> </w:t>
      </w:r>
      <w:r>
        <w:rPr>
          <w:sz w:val="18"/>
        </w:rPr>
        <w:t>Modern</w:t>
      </w:r>
      <w:r>
        <w:rPr>
          <w:spacing w:val="-8"/>
          <w:sz w:val="18"/>
        </w:rPr>
        <w:t> </w:t>
      </w:r>
      <w:r>
        <w:rPr>
          <w:sz w:val="18"/>
        </w:rPr>
        <w:t>Slavery</w:t>
      </w:r>
      <w:r>
        <w:rPr>
          <w:spacing w:val="-7"/>
          <w:sz w:val="18"/>
        </w:rPr>
        <w:t> </w:t>
      </w:r>
      <w:r>
        <w:rPr>
          <w:sz w:val="18"/>
        </w:rPr>
        <w:t>and</w:t>
      </w:r>
      <w:r>
        <w:rPr>
          <w:spacing w:val="-8"/>
          <w:sz w:val="18"/>
        </w:rPr>
        <w:t> </w:t>
      </w:r>
      <w:r>
        <w:rPr>
          <w:sz w:val="18"/>
        </w:rPr>
        <w:t>Human</w:t>
      </w:r>
      <w:r>
        <w:rPr>
          <w:spacing w:val="-8"/>
          <w:sz w:val="18"/>
        </w:rPr>
        <w:t> </w:t>
      </w:r>
      <w:r>
        <w:rPr>
          <w:sz w:val="18"/>
        </w:rPr>
        <w:t>Trafficking</w:t>
      </w:r>
      <w:r>
        <w:rPr>
          <w:spacing w:val="-7"/>
          <w:sz w:val="18"/>
        </w:rPr>
        <w:t> </w:t>
      </w:r>
      <w:r>
        <w:rPr>
          <w:sz w:val="18"/>
        </w:rPr>
        <w:t>Strategy:</w:t>
      </w:r>
      <w:r>
        <w:rPr>
          <w:spacing w:val="-7"/>
          <w:sz w:val="18"/>
        </w:rPr>
        <w:t> </w:t>
      </w:r>
      <w:r>
        <w:rPr>
          <w:sz w:val="18"/>
        </w:rPr>
        <w:t>Consultation’</w:t>
      </w:r>
      <w:r>
        <w:rPr>
          <w:spacing w:val="-7"/>
          <w:sz w:val="18"/>
        </w:rPr>
        <w:t> </w:t>
      </w:r>
      <w:r>
        <w:rPr>
          <w:sz w:val="18"/>
        </w:rPr>
        <w:t>(DoJ,</w:t>
      </w:r>
      <w:r>
        <w:rPr>
          <w:spacing w:val="-7"/>
          <w:sz w:val="18"/>
        </w:rPr>
        <w:t> </w:t>
      </w:r>
      <w:r>
        <w:rPr>
          <w:spacing w:val="-2"/>
          <w:sz w:val="18"/>
        </w:rPr>
        <w:t>2022).</w:t>
      </w:r>
    </w:p>
    <w:p>
      <w:pPr>
        <w:pStyle w:val="ListParagraph"/>
        <w:numPr>
          <w:ilvl w:val="0"/>
          <w:numId w:val="9"/>
        </w:numPr>
        <w:tabs>
          <w:tab w:pos="1853" w:val="left" w:leader="none"/>
        </w:tabs>
        <w:spacing w:line="235" w:lineRule="auto" w:before="1" w:after="0"/>
        <w:ind w:left="1853" w:right="1500" w:hanging="720"/>
        <w:jc w:val="left"/>
        <w:rPr>
          <w:sz w:val="18"/>
        </w:rPr>
      </w:pPr>
      <w:r>
        <w:rPr>
          <w:sz w:val="18"/>
        </w:rPr>
        <w:t>NI Human Rights Commission, ‘Submission to the Department of Justice’s Consultation on the Draft Modern Slavery and</w:t>
      </w:r>
      <w:r>
        <w:rPr>
          <w:spacing w:val="-7"/>
          <w:sz w:val="18"/>
        </w:rPr>
        <w:t> </w:t>
      </w:r>
      <w:r>
        <w:rPr>
          <w:sz w:val="18"/>
        </w:rPr>
        <w:t>Human</w:t>
      </w:r>
      <w:r>
        <w:rPr>
          <w:spacing w:val="-7"/>
          <w:sz w:val="18"/>
        </w:rPr>
        <w:t> </w:t>
      </w:r>
      <w:r>
        <w:rPr>
          <w:sz w:val="18"/>
        </w:rPr>
        <w:t>Trafficking</w:t>
      </w:r>
      <w:r>
        <w:rPr>
          <w:spacing w:val="-6"/>
          <w:sz w:val="18"/>
        </w:rPr>
        <w:t> </w:t>
      </w:r>
      <w:r>
        <w:rPr>
          <w:sz w:val="18"/>
        </w:rPr>
        <w:t>Strategy’,</w:t>
      </w:r>
      <w:r>
        <w:rPr>
          <w:spacing w:val="-6"/>
          <w:sz w:val="18"/>
        </w:rPr>
        <w:t> </w:t>
      </w:r>
      <w:r>
        <w:rPr>
          <w:sz w:val="18"/>
        </w:rPr>
        <w:t>(NIHRC,</w:t>
      </w:r>
      <w:r>
        <w:rPr>
          <w:spacing w:val="-6"/>
          <w:sz w:val="18"/>
        </w:rPr>
        <w:t> </w:t>
      </w:r>
      <w:r>
        <w:rPr>
          <w:sz w:val="18"/>
        </w:rPr>
        <w:t>2023);</w:t>
      </w:r>
      <w:r>
        <w:rPr>
          <w:spacing w:val="-6"/>
          <w:sz w:val="18"/>
        </w:rPr>
        <w:t> </w:t>
      </w:r>
      <w:r>
        <w:rPr>
          <w:sz w:val="18"/>
        </w:rPr>
        <w:t>Equality</w:t>
      </w:r>
      <w:r>
        <w:rPr>
          <w:spacing w:val="-6"/>
          <w:sz w:val="18"/>
        </w:rPr>
        <w:t> </w:t>
      </w:r>
      <w:r>
        <w:rPr>
          <w:sz w:val="18"/>
        </w:rPr>
        <w:t>Commission</w:t>
      </w:r>
      <w:r>
        <w:rPr>
          <w:spacing w:val="-7"/>
          <w:sz w:val="18"/>
        </w:rPr>
        <w:t> </w:t>
      </w:r>
      <w:r>
        <w:rPr>
          <w:sz w:val="18"/>
        </w:rPr>
        <w:t>for</w:t>
      </w:r>
      <w:r>
        <w:rPr>
          <w:spacing w:val="-6"/>
          <w:sz w:val="18"/>
        </w:rPr>
        <w:t> </w:t>
      </w:r>
      <w:r>
        <w:rPr>
          <w:sz w:val="18"/>
        </w:rPr>
        <w:t>NI,</w:t>
      </w:r>
      <w:r>
        <w:rPr>
          <w:spacing w:val="-6"/>
          <w:sz w:val="18"/>
        </w:rPr>
        <w:t> </w:t>
      </w:r>
      <w:r>
        <w:rPr>
          <w:sz w:val="18"/>
        </w:rPr>
        <w:t>‘Response</w:t>
      </w:r>
      <w:r>
        <w:rPr>
          <w:spacing w:val="-6"/>
          <w:sz w:val="18"/>
        </w:rPr>
        <w:t> </w:t>
      </w:r>
      <w:r>
        <w:rPr>
          <w:sz w:val="18"/>
        </w:rPr>
        <w:t>to</w:t>
      </w:r>
      <w:r>
        <w:rPr>
          <w:spacing w:val="-7"/>
          <w:sz w:val="18"/>
        </w:rPr>
        <w:t> </w:t>
      </w:r>
      <w:r>
        <w:rPr>
          <w:sz w:val="18"/>
        </w:rPr>
        <w:t>the</w:t>
      </w:r>
      <w:r>
        <w:rPr>
          <w:spacing w:val="-6"/>
          <w:sz w:val="18"/>
        </w:rPr>
        <w:t> </w:t>
      </w:r>
      <w:r>
        <w:rPr>
          <w:sz w:val="18"/>
        </w:rPr>
        <w:t>Department</w:t>
      </w:r>
      <w:r>
        <w:rPr>
          <w:spacing w:val="-6"/>
          <w:sz w:val="18"/>
        </w:rPr>
        <w:t> </w:t>
      </w:r>
      <w:r>
        <w:rPr>
          <w:sz w:val="18"/>
        </w:rPr>
        <w:t>of</w:t>
      </w:r>
      <w:r>
        <w:rPr>
          <w:spacing w:val="-7"/>
          <w:sz w:val="18"/>
        </w:rPr>
        <w:t> </w:t>
      </w:r>
      <w:r>
        <w:rPr>
          <w:sz w:val="18"/>
        </w:rPr>
        <w:t>Justices’ Public Consultation on the Modern Slavery and Human Trafficking Strategy 2022</w:t>
      </w:r>
      <w:r>
        <w:rPr>
          <w:color w:val="0562C1"/>
          <w:sz w:val="18"/>
          <w:u w:val="single" w:color="0562C1"/>
        </w:rPr>
        <w:t>’</w:t>
      </w:r>
      <w:r>
        <w:rPr>
          <w:color w:val="0562C1"/>
          <w:sz w:val="18"/>
          <w:u w:val="none"/>
        </w:rPr>
        <w:t> </w:t>
      </w:r>
      <w:r>
        <w:rPr>
          <w:sz w:val="18"/>
          <w:u w:val="none"/>
        </w:rPr>
        <w:t>(ECNI, 2023).</w:t>
      </w:r>
    </w:p>
    <w:p>
      <w:pPr>
        <w:pStyle w:val="ListParagraph"/>
        <w:numPr>
          <w:ilvl w:val="0"/>
          <w:numId w:val="9"/>
        </w:numPr>
        <w:tabs>
          <w:tab w:pos="1853" w:val="left" w:leader="none"/>
        </w:tabs>
        <w:spacing w:line="235" w:lineRule="auto" w:before="2" w:after="0"/>
        <w:ind w:left="1853" w:right="1536" w:hanging="720"/>
        <w:jc w:val="left"/>
        <w:rPr>
          <w:sz w:val="18"/>
        </w:rPr>
      </w:pP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w:t>
      </w:r>
      <w:hyperlink r:id="rId163">
        <w:r>
          <w:rPr>
            <w:sz w:val="18"/>
          </w:rPr>
          <w:t>Response</w:t>
        </w:r>
        <w:r>
          <w:rPr>
            <w:spacing w:val="-4"/>
            <w:sz w:val="18"/>
          </w:rPr>
          <w:t> </w:t>
        </w:r>
        <w:r>
          <w:rPr>
            <w:sz w:val="18"/>
          </w:rPr>
          <w:t>to</w:t>
        </w:r>
        <w:r>
          <w:rPr>
            <w:spacing w:val="-5"/>
            <w:sz w:val="18"/>
          </w:rPr>
          <w:t> </w:t>
        </w:r>
        <w:r>
          <w:rPr>
            <w:sz w:val="18"/>
          </w:rPr>
          <w:t>the</w:t>
        </w:r>
        <w:r>
          <w:rPr>
            <w:spacing w:val="-4"/>
            <w:sz w:val="18"/>
          </w:rPr>
          <w:t> </w:t>
        </w:r>
        <w:r>
          <w:rPr>
            <w:sz w:val="18"/>
          </w:rPr>
          <w:t>Department</w:t>
        </w:r>
        <w:r>
          <w:rPr>
            <w:spacing w:val="-4"/>
            <w:sz w:val="18"/>
          </w:rPr>
          <w:t> </w:t>
        </w:r>
        <w:r>
          <w:rPr>
            <w:sz w:val="18"/>
          </w:rPr>
          <w:t>of</w:t>
        </w:r>
        <w:r>
          <w:rPr>
            <w:spacing w:val="-5"/>
            <w:sz w:val="18"/>
          </w:rPr>
          <w:t> </w:t>
        </w:r>
        <w:r>
          <w:rPr>
            <w:sz w:val="18"/>
          </w:rPr>
          <w:t>Justices’</w:t>
        </w:r>
        <w:r>
          <w:rPr>
            <w:spacing w:val="-4"/>
            <w:sz w:val="18"/>
          </w:rPr>
          <w:t> </w:t>
        </w:r>
        <w:r>
          <w:rPr>
            <w:sz w:val="18"/>
          </w:rPr>
          <w:t>Public</w:t>
        </w:r>
        <w:r>
          <w:rPr>
            <w:spacing w:val="-4"/>
            <w:sz w:val="18"/>
          </w:rPr>
          <w:t> </w:t>
        </w:r>
        <w:r>
          <w:rPr>
            <w:sz w:val="18"/>
          </w:rPr>
          <w:t>Consultation</w:t>
        </w:r>
        <w:r>
          <w:rPr>
            <w:spacing w:val="-5"/>
            <w:sz w:val="18"/>
          </w:rPr>
          <w:t> </w:t>
        </w:r>
        <w:r>
          <w:rPr>
            <w:sz w:val="18"/>
          </w:rPr>
          <w:t>on</w:t>
        </w:r>
        <w:r>
          <w:rPr>
            <w:spacing w:val="-5"/>
            <w:sz w:val="18"/>
          </w:rPr>
          <w:t> </w:t>
        </w:r>
        <w:r>
          <w:rPr>
            <w:sz w:val="18"/>
          </w:rPr>
          <w:t>the</w:t>
        </w:r>
        <w:r>
          <w:rPr>
            <w:spacing w:val="-4"/>
            <w:sz w:val="18"/>
          </w:rPr>
          <w:t> </w:t>
        </w:r>
        <w:r>
          <w:rPr>
            <w:sz w:val="18"/>
          </w:rPr>
          <w:t>Modern</w:t>
        </w:r>
        <w:r>
          <w:rPr>
            <w:spacing w:val="-5"/>
            <w:sz w:val="18"/>
          </w:rPr>
          <w:t> </w:t>
        </w:r>
        <w:r>
          <w:rPr>
            <w:sz w:val="18"/>
          </w:rPr>
          <w:t>Slavery</w:t>
        </w:r>
        <w:r>
          <w:rPr>
            <w:spacing w:val="-4"/>
            <w:sz w:val="18"/>
          </w:rPr>
          <w:t> </w:t>
        </w:r>
        <w:r>
          <w:rPr>
            <w:sz w:val="18"/>
          </w:rPr>
          <w:t>and</w:t>
        </w:r>
      </w:hyperlink>
      <w:r>
        <w:rPr>
          <w:sz w:val="18"/>
        </w:rPr>
        <w:t> </w:t>
      </w:r>
      <w:hyperlink r:id="rId163">
        <w:r>
          <w:rPr>
            <w:sz w:val="18"/>
          </w:rPr>
          <w:t>Human Trafficking Strategy 2022</w:t>
        </w:r>
      </w:hyperlink>
      <w:r>
        <w:rPr>
          <w:sz w:val="18"/>
        </w:rPr>
        <w:t>’ (ECNI, 2023).</w:t>
      </w:r>
    </w:p>
    <w:p>
      <w:pPr>
        <w:pStyle w:val="ListParagraph"/>
        <w:numPr>
          <w:ilvl w:val="0"/>
          <w:numId w:val="9"/>
        </w:numPr>
        <w:tabs>
          <w:tab w:pos="1853" w:val="left" w:leader="none"/>
        </w:tabs>
        <w:spacing w:line="218" w:lineRule="exact" w:before="0" w:after="0"/>
        <w:ind w:left="1853" w:right="0" w:hanging="720"/>
        <w:jc w:val="left"/>
        <w:rPr>
          <w:sz w:val="18"/>
        </w:rPr>
      </w:pPr>
      <w:r>
        <w:rPr>
          <w:sz w:val="18"/>
        </w:rPr>
        <w:t>NI</w:t>
      </w:r>
      <w:r>
        <w:rPr>
          <w:spacing w:val="-6"/>
          <w:sz w:val="18"/>
        </w:rPr>
        <w:t> </w:t>
      </w:r>
      <w:r>
        <w:rPr>
          <w:sz w:val="18"/>
        </w:rPr>
        <w:t>Human</w:t>
      </w:r>
      <w:r>
        <w:rPr>
          <w:spacing w:val="-6"/>
          <w:sz w:val="18"/>
        </w:rPr>
        <w:t> </w:t>
      </w:r>
      <w:r>
        <w:rPr>
          <w:sz w:val="18"/>
        </w:rPr>
        <w:t>Rights</w:t>
      </w:r>
      <w:r>
        <w:rPr>
          <w:spacing w:val="-6"/>
          <w:sz w:val="18"/>
        </w:rPr>
        <w:t> </w:t>
      </w:r>
      <w:r>
        <w:rPr>
          <w:sz w:val="18"/>
        </w:rPr>
        <w:t>Commission,</w:t>
      </w:r>
      <w:r>
        <w:rPr>
          <w:spacing w:val="-6"/>
          <w:sz w:val="18"/>
        </w:rPr>
        <w:t> </w:t>
      </w:r>
      <w:r>
        <w:rPr>
          <w:sz w:val="18"/>
        </w:rPr>
        <w:t>‘</w:t>
      </w:r>
      <w:hyperlink r:id="rId164">
        <w:r>
          <w:rPr>
            <w:sz w:val="18"/>
          </w:rPr>
          <w:t>Submission</w:t>
        </w:r>
        <w:r>
          <w:rPr>
            <w:spacing w:val="-6"/>
            <w:sz w:val="18"/>
          </w:rPr>
          <w:t> </w:t>
        </w:r>
        <w:r>
          <w:rPr>
            <w:sz w:val="18"/>
          </w:rPr>
          <w:t>to</w:t>
        </w:r>
        <w:r>
          <w:rPr>
            <w:spacing w:val="-6"/>
            <w:sz w:val="18"/>
          </w:rPr>
          <w:t> </w:t>
        </w:r>
        <w:r>
          <w:rPr>
            <w:sz w:val="18"/>
          </w:rPr>
          <w:t>the</w:t>
        </w:r>
        <w:r>
          <w:rPr>
            <w:spacing w:val="-5"/>
            <w:sz w:val="18"/>
          </w:rPr>
          <w:t> </w:t>
        </w:r>
        <w:r>
          <w:rPr>
            <w:sz w:val="18"/>
          </w:rPr>
          <w:t>Department</w:t>
        </w:r>
        <w:r>
          <w:rPr>
            <w:spacing w:val="-6"/>
            <w:sz w:val="18"/>
          </w:rPr>
          <w:t> </w:t>
        </w:r>
        <w:r>
          <w:rPr>
            <w:sz w:val="18"/>
          </w:rPr>
          <w:t>of</w:t>
        </w:r>
        <w:r>
          <w:rPr>
            <w:spacing w:val="-6"/>
            <w:sz w:val="18"/>
          </w:rPr>
          <w:t> </w:t>
        </w:r>
        <w:r>
          <w:rPr>
            <w:sz w:val="18"/>
          </w:rPr>
          <w:t>Justice’s</w:t>
        </w:r>
        <w:r>
          <w:rPr>
            <w:spacing w:val="-6"/>
            <w:sz w:val="18"/>
          </w:rPr>
          <w:t> </w:t>
        </w:r>
        <w:r>
          <w:rPr>
            <w:sz w:val="18"/>
          </w:rPr>
          <w:t>Consultation</w:t>
        </w:r>
        <w:r>
          <w:rPr>
            <w:spacing w:val="-6"/>
            <w:sz w:val="18"/>
          </w:rPr>
          <w:t> </w:t>
        </w:r>
        <w:r>
          <w:rPr>
            <w:sz w:val="18"/>
          </w:rPr>
          <w:t>on</w:t>
        </w:r>
        <w:r>
          <w:rPr>
            <w:spacing w:val="-6"/>
            <w:sz w:val="18"/>
          </w:rPr>
          <w:t> </w:t>
        </w:r>
        <w:r>
          <w:rPr>
            <w:sz w:val="18"/>
          </w:rPr>
          <w:t>the</w:t>
        </w:r>
        <w:r>
          <w:rPr>
            <w:spacing w:val="-6"/>
            <w:sz w:val="18"/>
          </w:rPr>
          <w:t> </w:t>
        </w:r>
        <w:r>
          <w:rPr>
            <w:sz w:val="18"/>
          </w:rPr>
          <w:t>Draft</w:t>
        </w:r>
        <w:r>
          <w:rPr>
            <w:spacing w:val="-5"/>
            <w:sz w:val="18"/>
          </w:rPr>
          <w:t> </w:t>
        </w:r>
        <w:r>
          <w:rPr>
            <w:sz w:val="18"/>
          </w:rPr>
          <w:t>Modern</w:t>
        </w:r>
        <w:r>
          <w:rPr>
            <w:spacing w:val="-6"/>
            <w:sz w:val="18"/>
          </w:rPr>
          <w:t> </w:t>
        </w:r>
        <w:r>
          <w:rPr>
            <w:spacing w:val="-2"/>
            <w:sz w:val="18"/>
          </w:rPr>
          <w:t>Slavery</w:t>
        </w:r>
      </w:hyperlink>
    </w:p>
    <w:p>
      <w:pPr>
        <w:spacing w:after="0" w:line="218" w:lineRule="exact"/>
        <w:jc w:val="left"/>
        <w:rPr>
          <w:sz w:val="18"/>
        </w:rPr>
        <w:sectPr>
          <w:pgSz w:w="11910" w:h="16840"/>
          <w:pgMar w:header="496" w:footer="367" w:top="1220" w:bottom="560" w:left="0" w:right="0"/>
        </w:sectPr>
      </w:pPr>
    </w:p>
    <w:p>
      <w:pPr>
        <w:pStyle w:val="BodyText"/>
        <w:spacing w:before="182"/>
      </w:pPr>
    </w:p>
    <w:p>
      <w:pPr>
        <w:pStyle w:val="Heading6"/>
        <w:rPr>
          <w:i/>
        </w:rPr>
      </w:pPr>
      <w:r>
        <w:rPr>
          <w:i/>
          <w:color w:val="67287F"/>
        </w:rPr>
        <w:t>Nationality</w:t>
      </w:r>
      <w:r>
        <w:rPr>
          <w:i/>
          <w:color w:val="67287F"/>
          <w:spacing w:val="-9"/>
        </w:rPr>
        <w:t> </w:t>
      </w:r>
      <w:r>
        <w:rPr>
          <w:i/>
          <w:color w:val="67287F"/>
        </w:rPr>
        <w:t>and</w:t>
      </w:r>
      <w:r>
        <w:rPr>
          <w:i/>
          <w:color w:val="67287F"/>
          <w:spacing w:val="-7"/>
        </w:rPr>
        <w:t> </w:t>
      </w:r>
      <w:r>
        <w:rPr>
          <w:i/>
          <w:color w:val="67287F"/>
        </w:rPr>
        <w:t>Borders</w:t>
      </w:r>
      <w:r>
        <w:rPr>
          <w:i/>
          <w:color w:val="67287F"/>
          <w:spacing w:val="-8"/>
        </w:rPr>
        <w:t> </w:t>
      </w:r>
      <w:r>
        <w:rPr>
          <w:i/>
          <w:color w:val="67287F"/>
        </w:rPr>
        <w:t>Act</w:t>
      </w:r>
      <w:r>
        <w:rPr>
          <w:i/>
          <w:color w:val="67287F"/>
          <w:spacing w:val="-8"/>
        </w:rPr>
        <w:t> </w:t>
      </w:r>
      <w:r>
        <w:rPr>
          <w:i/>
          <w:color w:val="67287F"/>
          <w:spacing w:val="-4"/>
        </w:rPr>
        <w:t>2022</w:t>
      </w:r>
    </w:p>
    <w:p>
      <w:pPr>
        <w:pStyle w:val="ListParagraph"/>
        <w:numPr>
          <w:ilvl w:val="1"/>
          <w:numId w:val="7"/>
        </w:numPr>
        <w:tabs>
          <w:tab w:pos="1853" w:val="left" w:leader="none"/>
        </w:tabs>
        <w:spacing w:line="225" w:lineRule="auto" w:before="5" w:after="0"/>
        <w:ind w:left="1853" w:right="1292" w:hanging="720"/>
        <w:jc w:val="left"/>
        <w:rPr>
          <w:sz w:val="28"/>
        </w:rPr>
      </w:pPr>
      <w:r>
        <w:rPr>
          <w:sz w:val="28"/>
        </w:rPr>
        <w:t>The Commissions remain concerned that there is no reference to child victims</w:t>
      </w:r>
      <w:r>
        <w:rPr>
          <w:spacing w:val="-6"/>
          <w:sz w:val="28"/>
        </w:rPr>
        <w:t> </w:t>
      </w:r>
      <w:r>
        <w:rPr>
          <w:sz w:val="28"/>
        </w:rPr>
        <w:t>in</w:t>
      </w:r>
      <w:r>
        <w:rPr>
          <w:spacing w:val="-6"/>
          <w:sz w:val="28"/>
        </w:rPr>
        <w:t> </w:t>
      </w:r>
      <w:r>
        <w:rPr>
          <w:sz w:val="28"/>
        </w:rPr>
        <w:t>the</w:t>
      </w:r>
      <w:r>
        <w:rPr>
          <w:spacing w:val="-5"/>
          <w:sz w:val="28"/>
        </w:rPr>
        <w:t> </w:t>
      </w:r>
      <w:r>
        <w:rPr>
          <w:sz w:val="28"/>
        </w:rPr>
        <w:t>Nationality</w:t>
      </w:r>
      <w:r>
        <w:rPr>
          <w:spacing w:val="-5"/>
          <w:sz w:val="28"/>
        </w:rPr>
        <w:t> </w:t>
      </w:r>
      <w:r>
        <w:rPr>
          <w:sz w:val="28"/>
        </w:rPr>
        <w:t>and</w:t>
      </w:r>
      <w:r>
        <w:rPr>
          <w:spacing w:val="-6"/>
          <w:sz w:val="28"/>
        </w:rPr>
        <w:t> </w:t>
      </w:r>
      <w:r>
        <w:rPr>
          <w:sz w:val="28"/>
        </w:rPr>
        <w:t>Borders</w:t>
      </w:r>
      <w:r>
        <w:rPr>
          <w:spacing w:val="-6"/>
          <w:sz w:val="28"/>
        </w:rPr>
        <w:t> </w:t>
      </w:r>
      <w:r>
        <w:rPr>
          <w:sz w:val="28"/>
        </w:rPr>
        <w:t>Act,</w:t>
      </w:r>
      <w:r>
        <w:rPr>
          <w:spacing w:val="-5"/>
          <w:sz w:val="28"/>
        </w:rPr>
        <w:t> </w:t>
      </w:r>
      <w:r>
        <w:rPr>
          <w:sz w:val="28"/>
        </w:rPr>
        <w:t>that</w:t>
      </w:r>
      <w:r>
        <w:rPr>
          <w:spacing w:val="-5"/>
          <w:sz w:val="28"/>
        </w:rPr>
        <w:t> </w:t>
      </w:r>
      <w:r>
        <w:rPr>
          <w:sz w:val="28"/>
        </w:rPr>
        <w:t>it</w:t>
      </w:r>
      <w:r>
        <w:rPr>
          <w:spacing w:val="-5"/>
          <w:sz w:val="28"/>
        </w:rPr>
        <w:t> </w:t>
      </w:r>
      <w:r>
        <w:rPr>
          <w:sz w:val="28"/>
        </w:rPr>
        <w:t>disapplies</w:t>
      </w:r>
      <w:r>
        <w:rPr>
          <w:spacing w:val="-6"/>
          <w:sz w:val="28"/>
        </w:rPr>
        <w:t> </w:t>
      </w:r>
      <w:r>
        <w:rPr>
          <w:sz w:val="28"/>
        </w:rPr>
        <w:t>the</w:t>
      </w:r>
      <w:r>
        <w:rPr>
          <w:spacing w:val="-5"/>
          <w:sz w:val="28"/>
        </w:rPr>
        <w:t> </w:t>
      </w:r>
      <w:r>
        <w:rPr>
          <w:sz w:val="28"/>
        </w:rPr>
        <w:t>requirements of the EU Trafficking Directive, and that late compliance with a Trafficking Information Notice, without good reason, must be considered as damaging the credibility of a potential victim.</w:t>
      </w:r>
      <w:r>
        <w:rPr>
          <w:sz w:val="28"/>
          <w:vertAlign w:val="superscript"/>
        </w:rPr>
        <w:t>498</w:t>
      </w:r>
    </w:p>
    <w:p>
      <w:pPr>
        <w:pStyle w:val="ListParagraph"/>
        <w:numPr>
          <w:ilvl w:val="1"/>
          <w:numId w:val="7"/>
        </w:numPr>
        <w:tabs>
          <w:tab w:pos="1853" w:val="left" w:leader="none"/>
        </w:tabs>
        <w:spacing w:line="225" w:lineRule="auto" w:before="314" w:after="0"/>
        <w:ind w:left="1853" w:right="1389" w:hanging="720"/>
        <w:jc w:val="left"/>
        <w:rPr>
          <w:sz w:val="28"/>
        </w:rPr>
      </w:pPr>
      <w:r>
        <w:rPr>
          <w:sz w:val="28"/>
        </w:rPr>
        <w:t>In 2022, the NIHRC published legal research on the human trafficking provisions of the then Nationality and Borders Bill which supported the Commissions’</w:t>
      </w:r>
      <w:r>
        <w:rPr>
          <w:spacing w:val="-8"/>
          <w:sz w:val="28"/>
        </w:rPr>
        <w:t> </w:t>
      </w:r>
      <w:r>
        <w:rPr>
          <w:sz w:val="28"/>
        </w:rPr>
        <w:t>position</w:t>
      </w:r>
      <w:r>
        <w:rPr>
          <w:spacing w:val="-9"/>
          <w:sz w:val="28"/>
        </w:rPr>
        <w:t> </w:t>
      </w:r>
      <w:r>
        <w:rPr>
          <w:sz w:val="28"/>
        </w:rPr>
        <w:t>that</w:t>
      </w:r>
      <w:r>
        <w:rPr>
          <w:spacing w:val="-8"/>
          <w:sz w:val="28"/>
        </w:rPr>
        <w:t> </w:t>
      </w:r>
      <w:r>
        <w:rPr>
          <w:sz w:val="28"/>
        </w:rPr>
        <w:t>the</w:t>
      </w:r>
      <w:r>
        <w:rPr>
          <w:spacing w:val="-8"/>
          <w:sz w:val="28"/>
        </w:rPr>
        <w:t> </w:t>
      </w:r>
      <w:r>
        <w:rPr>
          <w:sz w:val="28"/>
        </w:rPr>
        <w:t>EU</w:t>
      </w:r>
      <w:r>
        <w:rPr>
          <w:spacing w:val="-8"/>
          <w:sz w:val="28"/>
        </w:rPr>
        <w:t> </w:t>
      </w:r>
      <w:r>
        <w:rPr>
          <w:sz w:val="28"/>
        </w:rPr>
        <w:t>Trafficking</w:t>
      </w:r>
      <w:r>
        <w:rPr>
          <w:spacing w:val="-8"/>
          <w:sz w:val="28"/>
        </w:rPr>
        <w:t> </w:t>
      </w:r>
      <w:r>
        <w:rPr>
          <w:sz w:val="28"/>
        </w:rPr>
        <w:t>Directive</w:t>
      </w:r>
      <w:r>
        <w:rPr>
          <w:spacing w:val="-8"/>
          <w:sz w:val="28"/>
        </w:rPr>
        <w:t> </w:t>
      </w:r>
      <w:r>
        <w:rPr>
          <w:sz w:val="28"/>
        </w:rPr>
        <w:t>falls</w:t>
      </w:r>
      <w:r>
        <w:rPr>
          <w:spacing w:val="-9"/>
          <w:sz w:val="28"/>
        </w:rPr>
        <w:t> </w:t>
      </w:r>
      <w:r>
        <w:rPr>
          <w:sz w:val="28"/>
        </w:rPr>
        <w:t>within</w:t>
      </w:r>
      <w:r>
        <w:rPr>
          <w:spacing w:val="-9"/>
          <w:sz w:val="28"/>
        </w:rPr>
        <w:t> </w:t>
      </w:r>
      <w:r>
        <w:rPr>
          <w:sz w:val="28"/>
        </w:rPr>
        <w:t>the</w:t>
      </w:r>
      <w:r>
        <w:rPr>
          <w:spacing w:val="-8"/>
          <w:sz w:val="28"/>
        </w:rPr>
        <w:t> </w:t>
      </w:r>
      <w:r>
        <w:rPr>
          <w:sz w:val="28"/>
        </w:rPr>
        <w:t>scope of Windsor Framework Article 2.</w:t>
      </w:r>
      <w:r>
        <w:rPr>
          <w:sz w:val="28"/>
          <w:vertAlign w:val="superscript"/>
        </w:rPr>
        <w:t>499</w:t>
      </w:r>
    </w:p>
    <w:p>
      <w:pPr>
        <w:pStyle w:val="Heading6"/>
        <w:spacing w:before="299"/>
        <w:rPr>
          <w:i/>
        </w:rPr>
      </w:pPr>
      <w:r>
        <w:rPr>
          <w:i/>
          <w:color w:val="67287F"/>
        </w:rPr>
        <w:t>Illegal</w:t>
      </w:r>
      <w:r>
        <w:rPr>
          <w:i/>
          <w:color w:val="67287F"/>
          <w:spacing w:val="-7"/>
        </w:rPr>
        <w:t> </w:t>
      </w:r>
      <w:r>
        <w:rPr>
          <w:i/>
          <w:color w:val="67287F"/>
        </w:rPr>
        <w:t>Migration</w:t>
      </w:r>
      <w:r>
        <w:rPr>
          <w:i/>
          <w:color w:val="67287F"/>
          <w:spacing w:val="-8"/>
        </w:rPr>
        <w:t> </w:t>
      </w:r>
      <w:r>
        <w:rPr>
          <w:i/>
          <w:color w:val="67287F"/>
        </w:rPr>
        <w:t>Act</w:t>
      </w:r>
      <w:r>
        <w:rPr>
          <w:i/>
          <w:color w:val="67287F"/>
          <w:spacing w:val="-6"/>
        </w:rPr>
        <w:t> </w:t>
      </w:r>
      <w:r>
        <w:rPr>
          <w:i/>
          <w:color w:val="67287F"/>
          <w:spacing w:val="-4"/>
        </w:rPr>
        <w:t>2023</w:t>
      </w:r>
    </w:p>
    <w:p>
      <w:pPr>
        <w:pStyle w:val="ListParagraph"/>
        <w:numPr>
          <w:ilvl w:val="1"/>
          <w:numId w:val="7"/>
        </w:numPr>
        <w:tabs>
          <w:tab w:pos="1853" w:val="left" w:leader="none"/>
        </w:tabs>
        <w:spacing w:line="225" w:lineRule="auto" w:before="5" w:after="0"/>
        <w:ind w:left="1853" w:right="1488" w:hanging="720"/>
        <w:jc w:val="left"/>
        <w:rPr>
          <w:sz w:val="28"/>
        </w:rPr>
      </w:pPr>
      <w:r>
        <w:rPr>
          <w:sz w:val="28"/>
        </w:rPr>
        <w:t>In March 2023, the UK Government introduced the then Illegal Migration Bill</w:t>
      </w:r>
      <w:r>
        <w:rPr>
          <w:spacing w:val="-7"/>
          <w:sz w:val="28"/>
        </w:rPr>
        <w:t> </w:t>
      </w:r>
      <w:r>
        <w:rPr>
          <w:sz w:val="28"/>
        </w:rPr>
        <w:t>which</w:t>
      </w:r>
      <w:r>
        <w:rPr>
          <w:spacing w:val="-7"/>
          <w:sz w:val="28"/>
        </w:rPr>
        <w:t> </w:t>
      </w:r>
      <w:r>
        <w:rPr>
          <w:sz w:val="28"/>
        </w:rPr>
        <w:t>makes</w:t>
      </w:r>
      <w:r>
        <w:rPr>
          <w:spacing w:val="-7"/>
          <w:sz w:val="28"/>
        </w:rPr>
        <w:t> </w:t>
      </w:r>
      <w:r>
        <w:rPr>
          <w:sz w:val="28"/>
        </w:rPr>
        <w:t>provision</w:t>
      </w:r>
      <w:r>
        <w:rPr>
          <w:spacing w:val="-7"/>
          <w:sz w:val="28"/>
        </w:rPr>
        <w:t> </w:t>
      </w:r>
      <w:r>
        <w:rPr>
          <w:sz w:val="28"/>
        </w:rPr>
        <w:t>for</w:t>
      </w:r>
      <w:r>
        <w:rPr>
          <w:spacing w:val="-6"/>
          <w:sz w:val="28"/>
        </w:rPr>
        <w:t> </w:t>
      </w:r>
      <w:r>
        <w:rPr>
          <w:sz w:val="28"/>
        </w:rPr>
        <w:t>the</w:t>
      </w:r>
      <w:r>
        <w:rPr>
          <w:spacing w:val="-6"/>
          <w:sz w:val="28"/>
        </w:rPr>
        <w:t> </w:t>
      </w:r>
      <w:r>
        <w:rPr>
          <w:sz w:val="28"/>
        </w:rPr>
        <w:t>removal</w:t>
      </w:r>
      <w:r>
        <w:rPr>
          <w:spacing w:val="-7"/>
          <w:sz w:val="28"/>
        </w:rPr>
        <w:t> </w:t>
      </w:r>
      <w:r>
        <w:rPr>
          <w:sz w:val="28"/>
        </w:rPr>
        <w:t>of</w:t>
      </w:r>
      <w:r>
        <w:rPr>
          <w:spacing w:val="-7"/>
          <w:sz w:val="28"/>
        </w:rPr>
        <w:t> </w:t>
      </w:r>
      <w:r>
        <w:rPr>
          <w:sz w:val="28"/>
        </w:rPr>
        <w:t>support</w:t>
      </w:r>
      <w:r>
        <w:rPr>
          <w:spacing w:val="-6"/>
          <w:sz w:val="28"/>
        </w:rPr>
        <w:t> </w:t>
      </w:r>
      <w:r>
        <w:rPr>
          <w:sz w:val="28"/>
        </w:rPr>
        <w:t>for</w:t>
      </w:r>
      <w:r>
        <w:rPr>
          <w:spacing w:val="-6"/>
          <w:sz w:val="28"/>
        </w:rPr>
        <w:t> </w:t>
      </w:r>
      <w:r>
        <w:rPr>
          <w:sz w:val="28"/>
        </w:rPr>
        <w:t>victims</w:t>
      </w:r>
      <w:r>
        <w:rPr>
          <w:spacing w:val="-7"/>
          <w:sz w:val="28"/>
        </w:rPr>
        <w:t> </w:t>
      </w:r>
      <w:r>
        <w:rPr>
          <w:sz w:val="28"/>
        </w:rPr>
        <w:t>of</w:t>
      </w:r>
      <w:r>
        <w:rPr>
          <w:spacing w:val="-7"/>
          <w:sz w:val="28"/>
        </w:rPr>
        <w:t> </w:t>
      </w:r>
      <w:r>
        <w:rPr>
          <w:sz w:val="28"/>
        </w:rPr>
        <w:t>modern slavery and human trafficking who have entered the UK in breach of immigration</w:t>
      </w:r>
      <w:r>
        <w:rPr>
          <w:spacing w:val="-9"/>
          <w:sz w:val="28"/>
        </w:rPr>
        <w:t> </w:t>
      </w:r>
      <w:r>
        <w:rPr>
          <w:sz w:val="28"/>
        </w:rPr>
        <w:t>control.</w:t>
      </w:r>
      <w:r>
        <w:rPr>
          <w:sz w:val="28"/>
          <w:vertAlign w:val="superscript"/>
        </w:rPr>
        <w:t>500</w:t>
      </w:r>
      <w:r>
        <w:rPr>
          <w:spacing w:val="-9"/>
          <w:sz w:val="28"/>
          <w:vertAlign w:val="baseline"/>
        </w:rPr>
        <w:t> </w:t>
      </w:r>
      <w:r>
        <w:rPr>
          <w:sz w:val="28"/>
          <w:vertAlign w:val="baseline"/>
        </w:rPr>
        <w:t>In</w:t>
      </w:r>
      <w:r>
        <w:rPr>
          <w:spacing w:val="-9"/>
          <w:sz w:val="28"/>
          <w:vertAlign w:val="baseline"/>
        </w:rPr>
        <w:t> </w:t>
      </w:r>
      <w:r>
        <w:rPr>
          <w:sz w:val="28"/>
          <w:vertAlign w:val="baseline"/>
        </w:rPr>
        <w:t>July,</w:t>
      </w:r>
      <w:r>
        <w:rPr>
          <w:spacing w:val="-8"/>
          <w:sz w:val="28"/>
          <w:vertAlign w:val="baseline"/>
        </w:rPr>
        <w:t> </w:t>
      </w:r>
      <w:r>
        <w:rPr>
          <w:sz w:val="28"/>
          <w:vertAlign w:val="baseline"/>
        </w:rPr>
        <w:t>the</w:t>
      </w:r>
      <w:r>
        <w:rPr>
          <w:spacing w:val="-8"/>
          <w:sz w:val="28"/>
          <w:vertAlign w:val="baseline"/>
        </w:rPr>
        <w:t> </w:t>
      </w:r>
      <w:r>
        <w:rPr>
          <w:sz w:val="28"/>
          <w:vertAlign w:val="baseline"/>
        </w:rPr>
        <w:t>Illegal</w:t>
      </w:r>
      <w:r>
        <w:rPr>
          <w:spacing w:val="-9"/>
          <w:sz w:val="28"/>
          <w:vertAlign w:val="baseline"/>
        </w:rPr>
        <w:t> </w:t>
      </w:r>
      <w:r>
        <w:rPr>
          <w:sz w:val="28"/>
          <w:vertAlign w:val="baseline"/>
        </w:rPr>
        <w:t>Migration</w:t>
      </w:r>
      <w:r>
        <w:rPr>
          <w:spacing w:val="-9"/>
          <w:sz w:val="28"/>
          <w:vertAlign w:val="baseline"/>
        </w:rPr>
        <w:t> </w:t>
      </w:r>
      <w:r>
        <w:rPr>
          <w:sz w:val="28"/>
          <w:vertAlign w:val="baseline"/>
        </w:rPr>
        <w:t>Act</w:t>
      </w:r>
      <w:r>
        <w:rPr>
          <w:spacing w:val="-8"/>
          <w:sz w:val="28"/>
          <w:vertAlign w:val="baseline"/>
        </w:rPr>
        <w:t> </w:t>
      </w:r>
      <w:r>
        <w:rPr>
          <w:sz w:val="28"/>
          <w:vertAlign w:val="baseline"/>
        </w:rPr>
        <w:t>2023</w:t>
      </w:r>
      <w:r>
        <w:rPr>
          <w:spacing w:val="-8"/>
          <w:sz w:val="28"/>
          <w:vertAlign w:val="baseline"/>
        </w:rPr>
        <w:t> </w:t>
      </w:r>
      <w:r>
        <w:rPr>
          <w:sz w:val="28"/>
          <w:vertAlign w:val="baseline"/>
        </w:rPr>
        <w:t>received</w:t>
      </w:r>
      <w:r>
        <w:rPr>
          <w:spacing w:val="-9"/>
          <w:sz w:val="28"/>
          <w:vertAlign w:val="baseline"/>
        </w:rPr>
        <w:t> </w:t>
      </w:r>
      <w:r>
        <w:rPr>
          <w:sz w:val="28"/>
          <w:vertAlign w:val="baseline"/>
        </w:rPr>
        <w:t>Royal </w:t>
      </w:r>
      <w:r>
        <w:rPr>
          <w:spacing w:val="-2"/>
          <w:sz w:val="28"/>
          <w:vertAlign w:val="baseline"/>
        </w:rPr>
        <w:t>Assent.</w:t>
      </w:r>
    </w:p>
    <w:p>
      <w:pPr>
        <w:pStyle w:val="ListParagraph"/>
        <w:numPr>
          <w:ilvl w:val="1"/>
          <w:numId w:val="7"/>
        </w:numPr>
        <w:tabs>
          <w:tab w:pos="1853" w:val="left" w:leader="none"/>
        </w:tabs>
        <w:spacing w:line="225" w:lineRule="auto" w:before="314" w:after="0"/>
        <w:ind w:left="1853" w:right="1320" w:hanging="720"/>
        <w:jc w:val="left"/>
        <w:rPr>
          <w:sz w:val="28"/>
        </w:rPr>
      </w:pPr>
      <w:r>
        <w:rPr>
          <w:sz w:val="28"/>
        </w:rPr>
        <w:t>The NIHRC provided initial advice on the then Illegal Migration Bill to the House</w:t>
      </w:r>
      <w:r>
        <w:rPr>
          <w:spacing w:val="-7"/>
          <w:sz w:val="28"/>
        </w:rPr>
        <w:t> </w:t>
      </w:r>
      <w:r>
        <w:rPr>
          <w:sz w:val="28"/>
        </w:rPr>
        <w:t>of</w:t>
      </w:r>
      <w:r>
        <w:rPr>
          <w:spacing w:val="-8"/>
          <w:sz w:val="28"/>
        </w:rPr>
        <w:t> </w:t>
      </w:r>
      <w:r>
        <w:rPr>
          <w:sz w:val="28"/>
        </w:rPr>
        <w:t>Commons</w:t>
      </w:r>
      <w:r>
        <w:rPr>
          <w:spacing w:val="-8"/>
          <w:sz w:val="28"/>
        </w:rPr>
        <w:t> </w:t>
      </w:r>
      <w:r>
        <w:rPr>
          <w:sz w:val="28"/>
        </w:rPr>
        <w:t>and</w:t>
      </w:r>
      <w:r>
        <w:rPr>
          <w:spacing w:val="-8"/>
          <w:sz w:val="28"/>
        </w:rPr>
        <w:t> </w:t>
      </w:r>
      <w:r>
        <w:rPr>
          <w:sz w:val="28"/>
        </w:rPr>
        <w:t>House</w:t>
      </w:r>
      <w:r>
        <w:rPr>
          <w:spacing w:val="-7"/>
          <w:sz w:val="28"/>
        </w:rPr>
        <w:t> </w:t>
      </w:r>
      <w:r>
        <w:rPr>
          <w:sz w:val="28"/>
        </w:rPr>
        <w:t>of</w:t>
      </w:r>
      <w:r>
        <w:rPr>
          <w:spacing w:val="-8"/>
          <w:sz w:val="28"/>
        </w:rPr>
        <w:t> </w:t>
      </w:r>
      <w:r>
        <w:rPr>
          <w:sz w:val="28"/>
        </w:rPr>
        <w:t>Lords</w:t>
      </w:r>
      <w:r>
        <w:rPr>
          <w:spacing w:val="-8"/>
          <w:sz w:val="28"/>
        </w:rPr>
        <w:t> </w:t>
      </w:r>
      <w:r>
        <w:rPr>
          <w:sz w:val="28"/>
        </w:rPr>
        <w:t>Joint</w:t>
      </w:r>
      <w:r>
        <w:rPr>
          <w:spacing w:val="-7"/>
          <w:sz w:val="28"/>
        </w:rPr>
        <w:t> </w:t>
      </w:r>
      <w:r>
        <w:rPr>
          <w:sz w:val="28"/>
        </w:rPr>
        <w:t>Committee</w:t>
      </w:r>
      <w:r>
        <w:rPr>
          <w:spacing w:val="-7"/>
          <w:sz w:val="28"/>
        </w:rPr>
        <w:t> </w:t>
      </w:r>
      <w:r>
        <w:rPr>
          <w:sz w:val="28"/>
        </w:rPr>
        <w:t>on</w:t>
      </w:r>
      <w:r>
        <w:rPr>
          <w:spacing w:val="-8"/>
          <w:sz w:val="28"/>
        </w:rPr>
        <w:t> </w:t>
      </w:r>
      <w:r>
        <w:rPr>
          <w:sz w:val="28"/>
        </w:rPr>
        <w:t>Human</w:t>
      </w:r>
      <w:r>
        <w:rPr>
          <w:spacing w:val="-8"/>
          <w:sz w:val="28"/>
        </w:rPr>
        <w:t> </w:t>
      </w:r>
      <w:r>
        <w:rPr>
          <w:sz w:val="28"/>
        </w:rPr>
        <w:t>Rights.</w:t>
      </w:r>
      <w:r>
        <w:rPr>
          <w:sz w:val="28"/>
          <w:vertAlign w:val="superscript"/>
        </w:rPr>
        <w:t>501</w:t>
      </w:r>
      <w:r>
        <w:rPr>
          <w:sz w:val="28"/>
          <w:vertAlign w:val="baseline"/>
        </w:rPr>
        <w:t> Both Commissions provided separate detailed briefings to the House of</w:t>
      </w:r>
      <w:r>
        <w:rPr>
          <w:sz w:val="28"/>
          <w:vertAlign w:val="baseline"/>
        </w:rPr>
        <w:t> Lords peers.</w:t>
      </w:r>
      <w:r>
        <w:rPr>
          <w:sz w:val="28"/>
          <w:vertAlign w:val="superscript"/>
        </w:rPr>
        <w:t>502</w:t>
      </w:r>
      <w:r>
        <w:rPr>
          <w:sz w:val="28"/>
          <w:vertAlign w:val="baseline"/>
        </w:rPr>
        <w:t> The Commissions expressed serious concerns that the Illegal Migration Act 2023 denies victims of modern slavery arriving in the UK irregularly, access to existing support.</w:t>
      </w:r>
      <w:r>
        <w:rPr>
          <w:sz w:val="28"/>
          <w:vertAlign w:val="superscript"/>
        </w:rPr>
        <w:t>503</w:t>
      </w:r>
      <w:r>
        <w:rPr>
          <w:sz w:val="28"/>
          <w:vertAlign w:val="baseline"/>
        </w:rPr>
        <w:t> For example, sections 22 and 25 of the 2023 Act disapply, in certain circumstances, domestic provisions which</w:t>
      </w:r>
    </w:p>
    <w:p>
      <w:pPr>
        <w:pStyle w:val="BodyText"/>
        <w:spacing w:line="225" w:lineRule="auto"/>
        <w:ind w:left="1853" w:right="1216"/>
        <w:jc w:val="both"/>
      </w:pPr>
      <w:r>
        <w:rPr/>
        <w:t>reflected</w:t>
      </w:r>
      <w:r>
        <w:rPr>
          <w:spacing w:val="-16"/>
        </w:rPr>
        <w:t> </w:t>
      </w:r>
      <w:r>
        <w:rPr/>
        <w:t>obligations</w:t>
      </w:r>
      <w:r>
        <w:rPr>
          <w:spacing w:val="-15"/>
        </w:rPr>
        <w:t> </w:t>
      </w:r>
      <w:r>
        <w:rPr/>
        <w:t>previously</w:t>
      </w:r>
      <w:r>
        <w:rPr>
          <w:spacing w:val="-15"/>
        </w:rPr>
        <w:t> </w:t>
      </w:r>
      <w:r>
        <w:rPr/>
        <w:t>arising</w:t>
      </w:r>
      <w:r>
        <w:rPr>
          <w:spacing w:val="-15"/>
        </w:rPr>
        <w:t> </w:t>
      </w:r>
      <w:r>
        <w:rPr/>
        <w:t>under</w:t>
      </w:r>
      <w:r>
        <w:rPr>
          <w:spacing w:val="-15"/>
        </w:rPr>
        <w:t> </w:t>
      </w:r>
      <w:r>
        <w:rPr/>
        <w:t>the</w:t>
      </w:r>
      <w:r>
        <w:rPr>
          <w:spacing w:val="-15"/>
        </w:rPr>
        <w:t> </w:t>
      </w:r>
      <w:r>
        <w:rPr/>
        <w:t>EU</w:t>
      </w:r>
      <w:r>
        <w:rPr>
          <w:spacing w:val="-15"/>
        </w:rPr>
        <w:t> </w:t>
      </w:r>
      <w:r>
        <w:rPr/>
        <w:t>Trafficking</w:t>
      </w:r>
      <w:r>
        <w:rPr>
          <w:spacing w:val="-15"/>
        </w:rPr>
        <w:t> </w:t>
      </w:r>
      <w:r>
        <w:rPr/>
        <w:t>Directive,</w:t>
      </w:r>
      <w:r>
        <w:rPr>
          <w:vertAlign w:val="superscript"/>
        </w:rPr>
        <w:t>504</w:t>
      </w:r>
      <w:r>
        <w:rPr>
          <w:spacing w:val="-16"/>
          <w:vertAlign w:val="baseline"/>
        </w:rPr>
        <w:t> </w:t>
      </w:r>
      <w:r>
        <w:rPr>
          <w:vertAlign w:val="baseline"/>
        </w:rPr>
        <w:t>to protect</w:t>
      </w:r>
      <w:r>
        <w:rPr>
          <w:spacing w:val="-5"/>
          <w:vertAlign w:val="baseline"/>
        </w:rPr>
        <w:t> </w:t>
      </w:r>
      <w:r>
        <w:rPr>
          <w:vertAlign w:val="baseline"/>
        </w:rPr>
        <w:t>the</w:t>
      </w:r>
      <w:r>
        <w:rPr>
          <w:spacing w:val="-5"/>
          <w:vertAlign w:val="baseline"/>
        </w:rPr>
        <w:t> </w:t>
      </w:r>
      <w:r>
        <w:rPr>
          <w:vertAlign w:val="baseline"/>
        </w:rPr>
        <w:t>rights</w:t>
      </w:r>
      <w:r>
        <w:rPr>
          <w:spacing w:val="-6"/>
          <w:vertAlign w:val="baseline"/>
        </w:rPr>
        <w:t> </w:t>
      </w:r>
      <w:r>
        <w:rPr>
          <w:vertAlign w:val="baseline"/>
        </w:rPr>
        <w:t>of</w:t>
      </w:r>
      <w:r>
        <w:rPr>
          <w:spacing w:val="-6"/>
          <w:vertAlign w:val="baseline"/>
        </w:rPr>
        <w:t> </w:t>
      </w:r>
      <w:r>
        <w:rPr>
          <w:vertAlign w:val="baseline"/>
        </w:rPr>
        <w:t>potential</w:t>
      </w:r>
      <w:r>
        <w:rPr>
          <w:spacing w:val="-6"/>
          <w:vertAlign w:val="baseline"/>
        </w:rPr>
        <w:t> </w:t>
      </w:r>
      <w:r>
        <w:rPr>
          <w:vertAlign w:val="baseline"/>
        </w:rPr>
        <w:t>victims</w:t>
      </w:r>
      <w:r>
        <w:rPr>
          <w:spacing w:val="-6"/>
          <w:vertAlign w:val="baseline"/>
        </w:rPr>
        <w:t> </w:t>
      </w:r>
      <w:r>
        <w:rPr>
          <w:vertAlign w:val="baseline"/>
        </w:rPr>
        <w:t>of</w:t>
      </w:r>
      <w:r>
        <w:rPr>
          <w:spacing w:val="-6"/>
          <w:vertAlign w:val="baseline"/>
        </w:rPr>
        <w:t> </w:t>
      </w:r>
      <w:r>
        <w:rPr>
          <w:vertAlign w:val="baseline"/>
        </w:rPr>
        <w:t>human</w:t>
      </w:r>
      <w:r>
        <w:rPr>
          <w:spacing w:val="-6"/>
          <w:vertAlign w:val="baseline"/>
        </w:rPr>
        <w:t> </w:t>
      </w:r>
      <w:r>
        <w:rPr>
          <w:vertAlign w:val="baseline"/>
        </w:rPr>
        <w:t>trafficking.</w:t>
      </w:r>
      <w:r>
        <w:rPr>
          <w:spacing w:val="-6"/>
          <w:vertAlign w:val="baseline"/>
        </w:rPr>
        <w:t> </w:t>
      </w:r>
      <w:r>
        <w:rPr>
          <w:vertAlign w:val="baseline"/>
        </w:rPr>
        <w:t>Both</w:t>
      </w:r>
      <w:r>
        <w:rPr>
          <w:spacing w:val="-6"/>
          <w:vertAlign w:val="baseline"/>
        </w:rPr>
        <w:t> </w:t>
      </w:r>
      <w:r>
        <w:rPr>
          <w:vertAlign w:val="baseline"/>
        </w:rPr>
        <w:t>Commissions raised concerns about the Bill’s compliance with Windsor Framework</w:t>
      </w:r>
    </w:p>
    <w:p>
      <w:pPr>
        <w:pStyle w:val="BodyText"/>
        <w:spacing w:line="322" w:lineRule="exact"/>
        <w:ind w:left="1853"/>
        <w:jc w:val="both"/>
      </w:pPr>
      <w:r>
        <w:rPr/>
        <w:t>Article</w:t>
      </w:r>
      <w:r>
        <w:rPr>
          <w:spacing w:val="-8"/>
        </w:rPr>
        <w:t> </w:t>
      </w:r>
      <w:r>
        <w:rPr>
          <w:spacing w:val="-4"/>
        </w:rPr>
        <w:t>2.</w:t>
      </w:r>
      <w:r>
        <w:rPr>
          <w:spacing w:val="-4"/>
          <w:vertAlign w:val="superscript"/>
        </w:rPr>
        <w:t>505</w:t>
      </w:r>
    </w:p>
    <w:p>
      <w:pPr>
        <w:pStyle w:val="BodyText"/>
        <w:spacing w:before="4"/>
        <w:rPr>
          <w:sz w:val="6"/>
        </w:rPr>
      </w:pPr>
      <w:r>
        <w:rPr/>
        <mc:AlternateContent>
          <mc:Choice Requires="wps">
            <w:drawing>
              <wp:anchor distT="0" distB="0" distL="0" distR="0" allowOverlap="1" layoutInCell="1" locked="0" behindDoc="1" simplePos="0" relativeHeight="487680512">
                <wp:simplePos x="0" y="0"/>
                <wp:positionH relativeFrom="page">
                  <wp:posOffset>719996</wp:posOffset>
                </wp:positionH>
                <wp:positionV relativeFrom="paragraph">
                  <wp:posOffset>64628</wp:posOffset>
                </wp:positionV>
                <wp:extent cx="6120130" cy="1270"/>
                <wp:effectExtent l="0" t="0" r="0" b="0"/>
                <wp:wrapTopAndBottom/>
                <wp:docPr id="400" name="Graphic 400"/>
                <wp:cNvGraphicFramePr>
                  <a:graphicFrameLocks/>
                </wp:cNvGraphicFramePr>
                <a:graphic>
                  <a:graphicData uri="http://schemas.microsoft.com/office/word/2010/wordprocessingShape">
                    <wps:wsp>
                      <wps:cNvPr id="400" name="Graphic 40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5.088858pt;width:481.9pt;height:.1pt;mso-position-horizontal-relative:page;mso-position-vertical-relative:paragraph;z-index:-15635968;mso-wrap-distance-left:0;mso-wrap-distance-right:0" id="docshape349" coordorigin="1134,102" coordsize="9638,0" path="m10772,102l1134,102e" filled="false" stroked="true" strokeweight="1pt" strokecolor="#393b80">
                <v:path arrowok="t"/>
                <v:stroke dashstyle="solid"/>
                <w10:wrap type="topAndBottom"/>
              </v:shape>
            </w:pict>
          </mc:Fallback>
        </mc:AlternateContent>
      </w:r>
    </w:p>
    <w:p>
      <w:pPr>
        <w:spacing w:line="218" w:lineRule="exact" w:before="144"/>
        <w:ind w:left="1853" w:right="0" w:firstLine="0"/>
        <w:jc w:val="left"/>
        <w:rPr>
          <w:sz w:val="18"/>
        </w:rPr>
      </w:pPr>
      <w:hyperlink r:id="rId164">
        <w:r>
          <w:rPr>
            <w:sz w:val="18"/>
          </w:rPr>
          <w:t>and</w:t>
        </w:r>
        <w:r>
          <w:rPr>
            <w:spacing w:val="-9"/>
            <w:sz w:val="18"/>
          </w:rPr>
          <w:t> </w:t>
        </w:r>
        <w:r>
          <w:rPr>
            <w:sz w:val="18"/>
          </w:rPr>
          <w:t>Human</w:t>
        </w:r>
        <w:r>
          <w:rPr>
            <w:spacing w:val="-9"/>
            <w:sz w:val="18"/>
          </w:rPr>
          <w:t> </w:t>
        </w:r>
        <w:r>
          <w:rPr>
            <w:sz w:val="18"/>
          </w:rPr>
          <w:t>Trafficking</w:t>
        </w:r>
        <w:r>
          <w:rPr>
            <w:spacing w:val="-8"/>
            <w:sz w:val="18"/>
          </w:rPr>
          <w:t> </w:t>
        </w:r>
        <w:r>
          <w:rPr>
            <w:sz w:val="18"/>
          </w:rPr>
          <w:t>Strategy</w:t>
        </w:r>
      </w:hyperlink>
      <w:r>
        <w:rPr>
          <w:sz w:val="18"/>
        </w:rPr>
        <w:t>’</w:t>
      </w:r>
      <w:r>
        <w:rPr>
          <w:spacing w:val="-8"/>
          <w:sz w:val="18"/>
        </w:rPr>
        <w:t> </w:t>
      </w:r>
      <w:r>
        <w:rPr>
          <w:sz w:val="18"/>
        </w:rPr>
        <w:t>(NIHRC,</w:t>
      </w:r>
      <w:r>
        <w:rPr>
          <w:spacing w:val="-8"/>
          <w:sz w:val="18"/>
        </w:rPr>
        <w:t> </w:t>
      </w:r>
      <w:r>
        <w:rPr>
          <w:spacing w:val="-2"/>
          <w:sz w:val="18"/>
        </w:rPr>
        <w:t>2023).</w:t>
      </w:r>
    </w:p>
    <w:p>
      <w:pPr>
        <w:pStyle w:val="ListParagraph"/>
        <w:numPr>
          <w:ilvl w:val="0"/>
          <w:numId w:val="9"/>
        </w:numPr>
        <w:tabs>
          <w:tab w:pos="1853" w:val="left" w:leader="none"/>
        </w:tabs>
        <w:spacing w:line="235" w:lineRule="auto" w:before="1" w:after="0"/>
        <w:ind w:left="1853" w:right="1172" w:hanging="720"/>
        <w:jc w:val="left"/>
        <w:rPr>
          <w:sz w:val="18"/>
        </w:rPr>
      </w:pPr>
      <w:r>
        <w:rPr>
          <w:sz w:val="18"/>
        </w:rPr>
        <w:t>NI Human</w:t>
      </w:r>
      <w:r>
        <w:rPr>
          <w:spacing w:val="-1"/>
          <w:sz w:val="18"/>
        </w:rPr>
        <w:t> </w:t>
      </w:r>
      <w:r>
        <w:rPr>
          <w:sz w:val="18"/>
        </w:rPr>
        <w:t>Rights</w:t>
      </w:r>
      <w:r>
        <w:rPr>
          <w:spacing w:val="-1"/>
          <w:sz w:val="18"/>
        </w:rPr>
        <w:t> </w:t>
      </w:r>
      <w:r>
        <w:rPr>
          <w:sz w:val="18"/>
        </w:rPr>
        <w:t>Commission, ‘Response to</w:t>
      </w:r>
      <w:r>
        <w:rPr>
          <w:spacing w:val="-1"/>
          <w:sz w:val="18"/>
        </w:rPr>
        <w:t> </w:t>
      </w:r>
      <w:r>
        <w:rPr>
          <w:sz w:val="18"/>
        </w:rPr>
        <w:t>Call</w:t>
      </w:r>
      <w:r>
        <w:rPr>
          <w:spacing w:val="-1"/>
          <w:sz w:val="18"/>
        </w:rPr>
        <w:t> </w:t>
      </w:r>
      <w:r>
        <w:rPr>
          <w:sz w:val="18"/>
        </w:rPr>
        <w:t>for Evidence by the Joint Committee on</w:t>
      </w:r>
      <w:r>
        <w:rPr>
          <w:spacing w:val="-1"/>
          <w:sz w:val="18"/>
        </w:rPr>
        <w:t> </w:t>
      </w:r>
      <w:r>
        <w:rPr>
          <w:sz w:val="18"/>
        </w:rPr>
        <w:t>Human</w:t>
      </w:r>
      <w:r>
        <w:rPr>
          <w:spacing w:val="-1"/>
          <w:sz w:val="18"/>
        </w:rPr>
        <w:t> </w:t>
      </w:r>
      <w:r>
        <w:rPr>
          <w:sz w:val="18"/>
        </w:rPr>
        <w:t>Rights</w:t>
      </w:r>
      <w:r>
        <w:rPr>
          <w:spacing w:val="-1"/>
          <w:sz w:val="18"/>
        </w:rPr>
        <w:t> </w:t>
      </w:r>
      <w:r>
        <w:rPr>
          <w:sz w:val="18"/>
        </w:rPr>
        <w:t>on</w:t>
      </w:r>
      <w:r>
        <w:rPr>
          <w:spacing w:val="-1"/>
          <w:sz w:val="18"/>
        </w:rPr>
        <w:t> </w:t>
      </w:r>
      <w:r>
        <w:rPr>
          <w:sz w:val="18"/>
        </w:rPr>
        <w:t>the Nationality and</w:t>
      </w:r>
      <w:r>
        <w:rPr>
          <w:spacing w:val="-1"/>
          <w:sz w:val="18"/>
        </w:rPr>
        <w:t> </w:t>
      </w:r>
      <w:r>
        <w:rPr>
          <w:sz w:val="18"/>
        </w:rPr>
        <w:t>Borders</w:t>
      </w:r>
      <w:r>
        <w:rPr>
          <w:spacing w:val="-1"/>
          <w:sz w:val="18"/>
        </w:rPr>
        <w:t> </w:t>
      </w:r>
      <w:r>
        <w:rPr>
          <w:sz w:val="18"/>
        </w:rPr>
        <w:t>Bill’ (NIHRC, 2021); NI Human</w:t>
      </w:r>
      <w:r>
        <w:rPr>
          <w:spacing w:val="-1"/>
          <w:sz w:val="18"/>
        </w:rPr>
        <w:t> </w:t>
      </w:r>
      <w:r>
        <w:rPr>
          <w:sz w:val="18"/>
        </w:rPr>
        <w:t>Rights</w:t>
      </w:r>
      <w:r>
        <w:rPr>
          <w:spacing w:val="-1"/>
          <w:sz w:val="18"/>
        </w:rPr>
        <w:t> </w:t>
      </w:r>
      <w:r>
        <w:rPr>
          <w:sz w:val="18"/>
        </w:rPr>
        <w:t>Commission</w:t>
      </w:r>
      <w:r>
        <w:rPr>
          <w:spacing w:val="-1"/>
          <w:sz w:val="18"/>
        </w:rPr>
        <w:t> </w:t>
      </w:r>
      <w:r>
        <w:rPr>
          <w:sz w:val="18"/>
        </w:rPr>
        <w:t>and</w:t>
      </w:r>
      <w:r>
        <w:rPr>
          <w:spacing w:val="-1"/>
          <w:sz w:val="18"/>
        </w:rPr>
        <w:t> </w:t>
      </w:r>
      <w:r>
        <w:rPr>
          <w:sz w:val="18"/>
        </w:rPr>
        <w:t>Equality Commission</w:t>
      </w:r>
      <w:r>
        <w:rPr>
          <w:spacing w:val="-1"/>
          <w:sz w:val="18"/>
        </w:rPr>
        <w:t> </w:t>
      </w:r>
      <w:r>
        <w:rPr>
          <w:sz w:val="18"/>
        </w:rPr>
        <w:t>for NI, ‘Joint NIHRC/ECNI Briefing Paper on</w:t>
      </w:r>
      <w:r>
        <w:rPr>
          <w:spacing w:val="-1"/>
          <w:sz w:val="18"/>
        </w:rPr>
        <w:t> </w:t>
      </w:r>
      <w:r>
        <w:rPr>
          <w:sz w:val="18"/>
        </w:rPr>
        <w:t>the Modern</w:t>
      </w:r>
      <w:r>
        <w:rPr>
          <w:spacing w:val="-1"/>
          <w:sz w:val="18"/>
        </w:rPr>
        <w:t> </w:t>
      </w:r>
      <w:r>
        <w:rPr>
          <w:sz w:val="18"/>
        </w:rPr>
        <w:t>Slavery and</w:t>
      </w:r>
      <w:r>
        <w:rPr>
          <w:spacing w:val="-1"/>
          <w:sz w:val="18"/>
        </w:rPr>
        <w:t> </w:t>
      </w:r>
      <w:r>
        <w:rPr>
          <w:sz w:val="18"/>
        </w:rPr>
        <w:t>Human</w:t>
      </w:r>
      <w:r>
        <w:rPr>
          <w:spacing w:val="-1"/>
          <w:sz w:val="18"/>
        </w:rPr>
        <w:t> </w:t>
      </w:r>
      <w:r>
        <w:rPr>
          <w:sz w:val="18"/>
        </w:rPr>
        <w:t>Trafficking and</w:t>
      </w:r>
      <w:r>
        <w:rPr>
          <w:spacing w:val="-1"/>
          <w:sz w:val="18"/>
        </w:rPr>
        <w:t> </w:t>
      </w:r>
      <w:r>
        <w:rPr>
          <w:sz w:val="18"/>
        </w:rPr>
        <w:t>Electronic Travel</w:t>
      </w:r>
      <w:r>
        <w:rPr>
          <w:spacing w:val="-1"/>
          <w:sz w:val="18"/>
        </w:rPr>
        <w:t> </w:t>
      </w:r>
      <w:r>
        <w:rPr>
          <w:sz w:val="18"/>
        </w:rPr>
        <w:t>Authorisation</w:t>
      </w:r>
      <w:r>
        <w:rPr>
          <w:spacing w:val="-1"/>
          <w:sz w:val="18"/>
        </w:rPr>
        <w:t> </w:t>
      </w:r>
      <w:r>
        <w:rPr>
          <w:sz w:val="18"/>
        </w:rPr>
        <w:t>Provisions</w:t>
      </w:r>
      <w:r>
        <w:rPr>
          <w:spacing w:val="-1"/>
          <w:sz w:val="18"/>
        </w:rPr>
        <w:t> </w:t>
      </w:r>
      <w:r>
        <w:rPr>
          <w:sz w:val="18"/>
        </w:rPr>
        <w:t>in</w:t>
      </w:r>
      <w:r>
        <w:rPr>
          <w:spacing w:val="-1"/>
          <w:sz w:val="18"/>
        </w:rPr>
        <w:t> </w:t>
      </w:r>
      <w:r>
        <w:rPr>
          <w:sz w:val="18"/>
        </w:rPr>
        <w:t>the Nationality and Borders</w:t>
      </w:r>
      <w:r>
        <w:rPr>
          <w:spacing w:val="-4"/>
          <w:sz w:val="18"/>
        </w:rPr>
        <w:t> </w:t>
      </w:r>
      <w:r>
        <w:rPr>
          <w:sz w:val="18"/>
        </w:rPr>
        <w:t>Bill’</w:t>
      </w:r>
      <w:r>
        <w:rPr>
          <w:spacing w:val="-4"/>
          <w:sz w:val="18"/>
        </w:rPr>
        <w:t> </w:t>
      </w:r>
      <w:r>
        <w:rPr>
          <w:sz w:val="18"/>
        </w:rPr>
        <w:t>(NIHRC</w:t>
      </w:r>
      <w:r>
        <w:rPr>
          <w:spacing w:val="-4"/>
          <w:sz w:val="18"/>
        </w:rPr>
        <w:t> </w:t>
      </w:r>
      <w:r>
        <w:rPr>
          <w:sz w:val="18"/>
        </w:rPr>
        <w:t>and</w:t>
      </w:r>
      <w:r>
        <w:rPr>
          <w:spacing w:val="-4"/>
          <w:sz w:val="18"/>
        </w:rPr>
        <w:t> </w:t>
      </w:r>
      <w:r>
        <w:rPr>
          <w:sz w:val="18"/>
        </w:rPr>
        <w:t>ECNI,</w:t>
      </w:r>
      <w:r>
        <w:rPr>
          <w:spacing w:val="-4"/>
          <w:sz w:val="18"/>
        </w:rPr>
        <w:t> </w:t>
      </w:r>
      <w:r>
        <w:rPr>
          <w:sz w:val="18"/>
        </w:rPr>
        <w:t>2022);</w:t>
      </w:r>
      <w:r>
        <w:rPr>
          <w:spacing w:val="33"/>
          <w:sz w:val="18"/>
        </w:rPr>
        <w:t> </w:t>
      </w:r>
      <w:r>
        <w:rPr>
          <w:sz w:val="18"/>
        </w:rPr>
        <w:t>Letter</w:t>
      </w:r>
      <w:r>
        <w:rPr>
          <w:spacing w:val="-3"/>
          <w:sz w:val="18"/>
        </w:rPr>
        <w:t> </w:t>
      </w:r>
      <w:r>
        <w:rPr>
          <w:sz w:val="18"/>
        </w:rPr>
        <w:t>from</w:t>
      </w:r>
      <w:r>
        <w:rPr>
          <w:spacing w:val="-3"/>
          <w:sz w:val="18"/>
        </w:rPr>
        <w:t> </w:t>
      </w:r>
      <w:r>
        <w:rPr>
          <w:sz w:val="18"/>
        </w:rPr>
        <w:t>the</w:t>
      </w:r>
      <w:r>
        <w:rPr>
          <w:spacing w:val="-4"/>
          <w:sz w:val="18"/>
        </w:rPr>
        <w:t> </w:t>
      </w: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and</w:t>
      </w:r>
      <w:r>
        <w:rPr>
          <w:spacing w:val="-4"/>
          <w:sz w:val="18"/>
        </w:rPr>
        <w:t> </w:t>
      </w:r>
      <w:r>
        <w:rPr>
          <w:sz w:val="18"/>
        </w:rPr>
        <w:t>the</w:t>
      </w:r>
      <w:r>
        <w:rPr>
          <w:spacing w:val="-4"/>
          <w:sz w:val="18"/>
        </w:rPr>
        <w:t> </w:t>
      </w:r>
      <w:r>
        <w:rPr>
          <w:sz w:val="18"/>
        </w:rPr>
        <w:t>Equality</w:t>
      </w:r>
      <w:r>
        <w:rPr>
          <w:spacing w:val="-3"/>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to Home Secretary, Priti Patel MP, 9 February 2022; Letter from the NI Human Rights Commission and the Equality Commission for NI to Secretary of State for NI, Brandon Lewis MP, 9 February 2022.</w:t>
      </w:r>
    </w:p>
    <w:p>
      <w:pPr>
        <w:pStyle w:val="ListParagraph"/>
        <w:numPr>
          <w:ilvl w:val="0"/>
          <w:numId w:val="9"/>
        </w:numPr>
        <w:tabs>
          <w:tab w:pos="1853" w:val="left" w:leader="none"/>
        </w:tabs>
        <w:spacing w:line="218" w:lineRule="exact" w:before="1" w:after="0"/>
        <w:ind w:left="1853" w:right="0" w:hanging="720"/>
        <w:jc w:val="left"/>
        <w:rPr>
          <w:sz w:val="18"/>
        </w:rPr>
      </w:pPr>
      <w:r>
        <w:rPr>
          <w:sz w:val="18"/>
        </w:rPr>
        <w:t>Alison</w:t>
      </w:r>
      <w:r>
        <w:rPr>
          <w:spacing w:val="-8"/>
          <w:sz w:val="18"/>
        </w:rPr>
        <w:t> </w:t>
      </w:r>
      <w:r>
        <w:rPr>
          <w:sz w:val="18"/>
        </w:rPr>
        <w:t>Harvey,</w:t>
      </w:r>
      <w:r>
        <w:rPr>
          <w:spacing w:val="-6"/>
          <w:sz w:val="18"/>
        </w:rPr>
        <w:t> </w:t>
      </w:r>
      <w:r>
        <w:rPr>
          <w:sz w:val="18"/>
        </w:rPr>
        <w:t>‘Human</w:t>
      </w:r>
      <w:r>
        <w:rPr>
          <w:spacing w:val="-7"/>
          <w:sz w:val="18"/>
        </w:rPr>
        <w:t> </w:t>
      </w:r>
      <w:r>
        <w:rPr>
          <w:sz w:val="18"/>
        </w:rPr>
        <w:t>Trafficking</w:t>
      </w:r>
      <w:r>
        <w:rPr>
          <w:spacing w:val="-7"/>
          <w:sz w:val="18"/>
        </w:rPr>
        <w:t> </w:t>
      </w:r>
      <w:r>
        <w:rPr>
          <w:sz w:val="18"/>
        </w:rPr>
        <w:t>and</w:t>
      </w:r>
      <w:r>
        <w:rPr>
          <w:spacing w:val="-7"/>
          <w:sz w:val="18"/>
        </w:rPr>
        <w:t> </w:t>
      </w:r>
      <w:r>
        <w:rPr>
          <w:sz w:val="18"/>
        </w:rPr>
        <w:t>Article</w:t>
      </w:r>
      <w:r>
        <w:rPr>
          <w:spacing w:val="-6"/>
          <w:sz w:val="18"/>
        </w:rPr>
        <w:t> </w:t>
      </w:r>
      <w:r>
        <w:rPr>
          <w:sz w:val="18"/>
        </w:rPr>
        <w:t>2</w:t>
      </w:r>
      <w:r>
        <w:rPr>
          <w:spacing w:val="-6"/>
          <w:sz w:val="18"/>
        </w:rPr>
        <w:t> </w:t>
      </w:r>
      <w:r>
        <w:rPr>
          <w:sz w:val="18"/>
        </w:rPr>
        <w:t>of</w:t>
      </w:r>
      <w:r>
        <w:rPr>
          <w:spacing w:val="-8"/>
          <w:sz w:val="18"/>
        </w:rPr>
        <w:t> </w:t>
      </w:r>
      <w:r>
        <w:rPr>
          <w:sz w:val="18"/>
        </w:rPr>
        <w:t>the</w:t>
      </w:r>
      <w:r>
        <w:rPr>
          <w:spacing w:val="-6"/>
          <w:sz w:val="18"/>
        </w:rPr>
        <w:t> </w:t>
      </w:r>
      <w:r>
        <w:rPr>
          <w:sz w:val="18"/>
        </w:rPr>
        <w:t>Ireland/NI</w:t>
      </w:r>
      <w:r>
        <w:rPr>
          <w:spacing w:val="-6"/>
          <w:sz w:val="18"/>
        </w:rPr>
        <w:t> </w:t>
      </w:r>
      <w:r>
        <w:rPr>
          <w:sz w:val="18"/>
        </w:rPr>
        <w:t>Protocol’</w:t>
      </w:r>
      <w:r>
        <w:rPr>
          <w:spacing w:val="-7"/>
          <w:sz w:val="18"/>
        </w:rPr>
        <w:t> </w:t>
      </w:r>
      <w:r>
        <w:rPr>
          <w:sz w:val="18"/>
        </w:rPr>
        <w:t>(NIHRC,</w:t>
      </w:r>
      <w:r>
        <w:rPr>
          <w:spacing w:val="-6"/>
          <w:sz w:val="18"/>
        </w:rPr>
        <w:t> </w:t>
      </w:r>
      <w:r>
        <w:rPr>
          <w:spacing w:val="-2"/>
          <w:sz w:val="18"/>
        </w:rPr>
        <w:t>2022).</w:t>
      </w:r>
    </w:p>
    <w:p>
      <w:pPr>
        <w:pStyle w:val="ListParagraph"/>
        <w:numPr>
          <w:ilvl w:val="0"/>
          <w:numId w:val="9"/>
        </w:numPr>
        <w:tabs>
          <w:tab w:pos="1853" w:val="left" w:leader="none"/>
        </w:tabs>
        <w:spacing w:line="216" w:lineRule="exact" w:before="0" w:after="0"/>
        <w:ind w:left="1853" w:right="0" w:hanging="720"/>
        <w:jc w:val="left"/>
        <w:rPr>
          <w:sz w:val="18"/>
        </w:rPr>
      </w:pPr>
      <w:r>
        <w:rPr>
          <w:sz w:val="18"/>
        </w:rPr>
        <w:t>Sections</w:t>
      </w:r>
      <w:r>
        <w:rPr>
          <w:spacing w:val="-9"/>
          <w:sz w:val="18"/>
        </w:rPr>
        <w:t> </w:t>
      </w:r>
      <w:r>
        <w:rPr>
          <w:sz w:val="18"/>
        </w:rPr>
        <w:t>22-29,</w:t>
      </w:r>
      <w:r>
        <w:rPr>
          <w:spacing w:val="-7"/>
          <w:sz w:val="18"/>
        </w:rPr>
        <w:t> </w:t>
      </w:r>
      <w:r>
        <w:rPr>
          <w:sz w:val="18"/>
        </w:rPr>
        <w:t>Illegal</w:t>
      </w:r>
      <w:r>
        <w:rPr>
          <w:spacing w:val="-6"/>
          <w:sz w:val="18"/>
        </w:rPr>
        <w:t> </w:t>
      </w:r>
      <w:r>
        <w:rPr>
          <w:sz w:val="18"/>
        </w:rPr>
        <w:t>Migration</w:t>
      </w:r>
      <w:r>
        <w:rPr>
          <w:spacing w:val="-7"/>
          <w:sz w:val="18"/>
        </w:rPr>
        <w:t> </w:t>
      </w:r>
      <w:r>
        <w:rPr>
          <w:sz w:val="18"/>
        </w:rPr>
        <w:t>Act</w:t>
      </w:r>
      <w:r>
        <w:rPr>
          <w:spacing w:val="-6"/>
          <w:sz w:val="18"/>
        </w:rPr>
        <w:t> </w:t>
      </w:r>
      <w:r>
        <w:rPr>
          <w:spacing w:val="-2"/>
          <w:sz w:val="18"/>
        </w:rPr>
        <w:t>2023.</w:t>
      </w:r>
    </w:p>
    <w:p>
      <w:pPr>
        <w:pStyle w:val="ListParagraph"/>
        <w:numPr>
          <w:ilvl w:val="0"/>
          <w:numId w:val="9"/>
        </w:numPr>
        <w:tabs>
          <w:tab w:pos="1853" w:val="left" w:leader="none"/>
        </w:tabs>
        <w:spacing w:line="235" w:lineRule="auto" w:before="2" w:after="0"/>
        <w:ind w:left="1853" w:right="1291" w:hanging="720"/>
        <w:jc w:val="left"/>
        <w:rPr>
          <w:sz w:val="18"/>
        </w:rPr>
      </w:pPr>
      <w:r>
        <w:rPr>
          <w:sz w:val="18"/>
        </w:rPr>
        <w:t>NI</w:t>
      </w:r>
      <w:r>
        <w:rPr>
          <w:spacing w:val="-4"/>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‘Submission</w:t>
      </w:r>
      <w:r>
        <w:rPr>
          <w:spacing w:val="-4"/>
          <w:sz w:val="18"/>
        </w:rPr>
        <w:t> </w:t>
      </w:r>
      <w:r>
        <w:rPr>
          <w:sz w:val="18"/>
        </w:rPr>
        <w:t>to</w:t>
      </w:r>
      <w:r>
        <w:rPr>
          <w:spacing w:val="-4"/>
          <w:sz w:val="18"/>
        </w:rPr>
        <w:t> </w:t>
      </w:r>
      <w:r>
        <w:rPr>
          <w:sz w:val="18"/>
        </w:rPr>
        <w:t>Joint</w:t>
      </w:r>
      <w:r>
        <w:rPr>
          <w:spacing w:val="-4"/>
          <w:sz w:val="18"/>
        </w:rPr>
        <w:t> </w:t>
      </w:r>
      <w:r>
        <w:rPr>
          <w:sz w:val="18"/>
        </w:rPr>
        <w:t>Committee</w:t>
      </w:r>
      <w:r>
        <w:rPr>
          <w:spacing w:val="-4"/>
          <w:sz w:val="18"/>
        </w:rPr>
        <w:t> </w:t>
      </w:r>
      <w:r>
        <w:rPr>
          <w:sz w:val="18"/>
        </w:rPr>
        <w:t>on</w:t>
      </w:r>
      <w:r>
        <w:rPr>
          <w:spacing w:val="-4"/>
          <w:sz w:val="18"/>
        </w:rPr>
        <w:t> </w:t>
      </w:r>
      <w:r>
        <w:rPr>
          <w:sz w:val="18"/>
        </w:rPr>
        <w:t>Human</w:t>
      </w:r>
      <w:r>
        <w:rPr>
          <w:spacing w:val="-4"/>
          <w:sz w:val="18"/>
        </w:rPr>
        <w:t> </w:t>
      </w:r>
      <w:r>
        <w:rPr>
          <w:sz w:val="18"/>
        </w:rPr>
        <w:t>Rights</w:t>
      </w:r>
      <w:r>
        <w:rPr>
          <w:spacing w:val="-4"/>
          <w:sz w:val="18"/>
        </w:rPr>
        <w:t> </w:t>
      </w:r>
      <w:r>
        <w:rPr>
          <w:sz w:val="18"/>
        </w:rPr>
        <w:t>Inquiry</w:t>
      </w:r>
      <w:r>
        <w:rPr>
          <w:spacing w:val="-4"/>
          <w:sz w:val="18"/>
        </w:rPr>
        <w:t> </w:t>
      </w:r>
      <w:r>
        <w:rPr>
          <w:sz w:val="18"/>
        </w:rPr>
        <w:t>on</w:t>
      </w:r>
      <w:r>
        <w:rPr>
          <w:spacing w:val="-4"/>
          <w:sz w:val="18"/>
        </w:rPr>
        <w:t> </w:t>
      </w:r>
      <w:r>
        <w:rPr>
          <w:sz w:val="18"/>
        </w:rPr>
        <w:t>Illegal</w:t>
      </w:r>
      <w:r>
        <w:rPr>
          <w:spacing w:val="-4"/>
          <w:sz w:val="18"/>
        </w:rPr>
        <w:t> </w:t>
      </w:r>
      <w:r>
        <w:rPr>
          <w:sz w:val="18"/>
        </w:rPr>
        <w:t>Migration</w:t>
      </w:r>
      <w:r>
        <w:rPr>
          <w:spacing w:val="-4"/>
          <w:sz w:val="18"/>
        </w:rPr>
        <w:t> </w:t>
      </w:r>
      <w:r>
        <w:rPr>
          <w:sz w:val="18"/>
        </w:rPr>
        <w:t>Bill’</w:t>
      </w:r>
      <w:r>
        <w:rPr>
          <w:spacing w:val="-4"/>
          <w:sz w:val="18"/>
        </w:rPr>
        <w:t> </w:t>
      </w:r>
      <w:r>
        <w:rPr>
          <w:sz w:val="18"/>
        </w:rPr>
        <w:t>(NIHRC, 2023); NI Human Rights Commission, ‘Submission to House of Lords on the Illegal Migration Bill’ (NIHRC, 2023).</w:t>
      </w:r>
    </w:p>
    <w:p>
      <w:pPr>
        <w:pStyle w:val="ListParagraph"/>
        <w:numPr>
          <w:ilvl w:val="0"/>
          <w:numId w:val="9"/>
        </w:numPr>
        <w:tabs>
          <w:tab w:pos="1853" w:val="left" w:leader="none"/>
        </w:tabs>
        <w:spacing w:line="235" w:lineRule="auto" w:before="1" w:after="0"/>
        <w:ind w:left="1853" w:right="1827" w:hanging="720"/>
        <w:jc w:val="left"/>
        <w:rPr>
          <w:sz w:val="18"/>
        </w:rPr>
      </w:pP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3"/>
          <w:sz w:val="18"/>
        </w:rPr>
        <w:t> </w:t>
      </w:r>
      <w:r>
        <w:rPr>
          <w:sz w:val="18"/>
        </w:rPr>
        <w:t>‘Submission</w:t>
      </w:r>
      <w:r>
        <w:rPr>
          <w:spacing w:val="-4"/>
          <w:sz w:val="18"/>
        </w:rPr>
        <w:t> </w:t>
      </w:r>
      <w:r>
        <w:rPr>
          <w:sz w:val="18"/>
        </w:rPr>
        <w:t>to</w:t>
      </w:r>
      <w:r>
        <w:rPr>
          <w:spacing w:val="-4"/>
          <w:sz w:val="18"/>
        </w:rPr>
        <w:t> </w:t>
      </w:r>
      <w:r>
        <w:rPr>
          <w:sz w:val="18"/>
        </w:rPr>
        <w:t>House</w:t>
      </w:r>
      <w:r>
        <w:rPr>
          <w:spacing w:val="-3"/>
          <w:sz w:val="18"/>
        </w:rPr>
        <w:t> </w:t>
      </w:r>
      <w:r>
        <w:rPr>
          <w:sz w:val="18"/>
        </w:rPr>
        <w:t>of</w:t>
      </w:r>
      <w:r>
        <w:rPr>
          <w:spacing w:val="-4"/>
          <w:sz w:val="18"/>
        </w:rPr>
        <w:t> </w:t>
      </w:r>
      <w:r>
        <w:rPr>
          <w:sz w:val="18"/>
        </w:rPr>
        <w:t>Lords</w:t>
      </w:r>
      <w:r>
        <w:rPr>
          <w:spacing w:val="-4"/>
          <w:sz w:val="18"/>
        </w:rPr>
        <w:t> </w:t>
      </w:r>
      <w:r>
        <w:rPr>
          <w:sz w:val="18"/>
        </w:rPr>
        <w:t>on</w:t>
      </w:r>
      <w:r>
        <w:rPr>
          <w:spacing w:val="-4"/>
          <w:sz w:val="18"/>
        </w:rPr>
        <w:t> </w:t>
      </w:r>
      <w:r>
        <w:rPr>
          <w:sz w:val="18"/>
        </w:rPr>
        <w:t>the</w:t>
      </w:r>
      <w:r>
        <w:rPr>
          <w:spacing w:val="-3"/>
          <w:sz w:val="18"/>
        </w:rPr>
        <w:t> </w:t>
      </w:r>
      <w:r>
        <w:rPr>
          <w:sz w:val="18"/>
        </w:rPr>
        <w:t>Illegal</w:t>
      </w:r>
      <w:r>
        <w:rPr>
          <w:spacing w:val="-4"/>
          <w:sz w:val="18"/>
        </w:rPr>
        <w:t> </w:t>
      </w:r>
      <w:r>
        <w:rPr>
          <w:sz w:val="18"/>
        </w:rPr>
        <w:t>Migration</w:t>
      </w:r>
      <w:r>
        <w:rPr>
          <w:spacing w:val="-4"/>
          <w:sz w:val="18"/>
        </w:rPr>
        <w:t> </w:t>
      </w:r>
      <w:r>
        <w:rPr>
          <w:sz w:val="18"/>
        </w:rPr>
        <w:t>Bill’</w:t>
      </w:r>
      <w:r>
        <w:rPr>
          <w:spacing w:val="-3"/>
          <w:sz w:val="18"/>
        </w:rPr>
        <w:t> </w:t>
      </w:r>
      <w:r>
        <w:rPr>
          <w:sz w:val="18"/>
        </w:rPr>
        <w:t>(NIHRC,</w:t>
      </w:r>
      <w:r>
        <w:rPr>
          <w:spacing w:val="-3"/>
          <w:sz w:val="18"/>
        </w:rPr>
        <w:t> </w:t>
      </w:r>
      <w:r>
        <w:rPr>
          <w:sz w:val="18"/>
        </w:rPr>
        <w:t>2023);</w:t>
      </w:r>
      <w:r>
        <w:rPr>
          <w:spacing w:val="-3"/>
          <w:sz w:val="18"/>
        </w:rPr>
        <w:t> </w:t>
      </w:r>
      <w:r>
        <w:rPr>
          <w:sz w:val="18"/>
        </w:rPr>
        <w:t>Equality Commission for NI, ‘Submission to the House of Lords on the Illegal Migration Bill</w:t>
      </w:r>
      <w:r>
        <w:rPr>
          <w:color w:val="0562C1"/>
          <w:sz w:val="18"/>
          <w:u w:val="single" w:color="0562C1"/>
        </w:rPr>
        <w:t>’</w:t>
      </w:r>
      <w:r>
        <w:rPr>
          <w:color w:val="0562C1"/>
          <w:sz w:val="18"/>
          <w:u w:val="none"/>
        </w:rPr>
        <w:t> </w:t>
      </w:r>
      <w:r>
        <w:rPr>
          <w:sz w:val="18"/>
          <w:u w:val="none"/>
        </w:rPr>
        <w:t>(ECNI, 2023).</w:t>
      </w:r>
    </w:p>
    <w:p>
      <w:pPr>
        <w:pStyle w:val="ListParagraph"/>
        <w:numPr>
          <w:ilvl w:val="0"/>
          <w:numId w:val="9"/>
        </w:numPr>
        <w:tabs>
          <w:tab w:pos="1853" w:val="left" w:leader="none"/>
        </w:tabs>
        <w:spacing w:line="235" w:lineRule="auto" w:before="1" w:after="0"/>
        <w:ind w:left="1853" w:right="1178" w:hanging="720"/>
        <w:jc w:val="left"/>
        <w:rPr>
          <w:sz w:val="18"/>
        </w:rPr>
      </w:pPr>
      <w:r>
        <w:rPr>
          <w:sz w:val="18"/>
        </w:rPr>
        <w:t>Sections 22-29, Illegal Migration Act 2023. See NI Human Rights Commission, ‘Submission to Joint Committee on Human Rights</w:t>
      </w:r>
      <w:r>
        <w:rPr>
          <w:spacing w:val="-4"/>
          <w:sz w:val="18"/>
        </w:rPr>
        <w:t> </w:t>
      </w:r>
      <w:r>
        <w:rPr>
          <w:sz w:val="18"/>
        </w:rPr>
        <w:t>Inquiry</w:t>
      </w:r>
      <w:r>
        <w:rPr>
          <w:spacing w:val="-3"/>
          <w:sz w:val="18"/>
        </w:rPr>
        <w:t> </w:t>
      </w:r>
      <w:r>
        <w:rPr>
          <w:sz w:val="18"/>
        </w:rPr>
        <w:t>on</w:t>
      </w:r>
      <w:r>
        <w:rPr>
          <w:spacing w:val="-4"/>
          <w:sz w:val="18"/>
        </w:rPr>
        <w:t> </w:t>
      </w:r>
      <w:r>
        <w:rPr>
          <w:sz w:val="18"/>
        </w:rPr>
        <w:t>Illegal</w:t>
      </w:r>
      <w:r>
        <w:rPr>
          <w:spacing w:val="-4"/>
          <w:sz w:val="18"/>
        </w:rPr>
        <w:t> </w:t>
      </w:r>
      <w:r>
        <w:rPr>
          <w:sz w:val="18"/>
        </w:rPr>
        <w:t>Migration</w:t>
      </w:r>
      <w:r>
        <w:rPr>
          <w:spacing w:val="-4"/>
          <w:sz w:val="18"/>
        </w:rPr>
        <w:t> </w:t>
      </w:r>
      <w:r>
        <w:rPr>
          <w:sz w:val="18"/>
        </w:rPr>
        <w:t>Bill’</w:t>
      </w:r>
      <w:r>
        <w:rPr>
          <w:spacing w:val="-3"/>
          <w:sz w:val="18"/>
        </w:rPr>
        <w:t> </w:t>
      </w:r>
      <w:r>
        <w:rPr>
          <w:sz w:val="18"/>
        </w:rPr>
        <w:t>(NIHRC,</w:t>
      </w:r>
      <w:r>
        <w:rPr>
          <w:spacing w:val="-3"/>
          <w:sz w:val="18"/>
        </w:rPr>
        <w:t> </w:t>
      </w:r>
      <w:r>
        <w:rPr>
          <w:sz w:val="18"/>
        </w:rPr>
        <w:t>2023);</w:t>
      </w:r>
      <w:r>
        <w:rPr>
          <w:spacing w:val="-3"/>
          <w:sz w:val="18"/>
        </w:rPr>
        <w:t> </w:t>
      </w: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3"/>
          <w:sz w:val="18"/>
        </w:rPr>
        <w:t> </w:t>
      </w:r>
      <w:r>
        <w:rPr>
          <w:sz w:val="18"/>
        </w:rPr>
        <w:t>‘Submission</w:t>
      </w:r>
      <w:r>
        <w:rPr>
          <w:spacing w:val="-4"/>
          <w:sz w:val="18"/>
        </w:rPr>
        <w:t> </w:t>
      </w:r>
      <w:r>
        <w:rPr>
          <w:sz w:val="18"/>
        </w:rPr>
        <w:t>to</w:t>
      </w:r>
      <w:r>
        <w:rPr>
          <w:spacing w:val="-4"/>
          <w:sz w:val="18"/>
        </w:rPr>
        <w:t> </w:t>
      </w:r>
      <w:r>
        <w:rPr>
          <w:sz w:val="18"/>
        </w:rPr>
        <w:t>House</w:t>
      </w:r>
      <w:r>
        <w:rPr>
          <w:spacing w:val="-3"/>
          <w:sz w:val="18"/>
        </w:rPr>
        <w:t> </w:t>
      </w:r>
      <w:r>
        <w:rPr>
          <w:sz w:val="18"/>
        </w:rPr>
        <w:t>of</w:t>
      </w:r>
      <w:r>
        <w:rPr>
          <w:spacing w:val="-4"/>
          <w:sz w:val="18"/>
        </w:rPr>
        <w:t> </w:t>
      </w:r>
      <w:r>
        <w:rPr>
          <w:sz w:val="18"/>
        </w:rPr>
        <w:t>Lords</w:t>
      </w:r>
      <w:r>
        <w:rPr>
          <w:spacing w:val="-4"/>
          <w:sz w:val="18"/>
        </w:rPr>
        <w:t> </w:t>
      </w:r>
      <w:r>
        <w:rPr>
          <w:sz w:val="18"/>
        </w:rPr>
        <w:t>on</w:t>
      </w:r>
      <w:r>
        <w:rPr>
          <w:spacing w:val="-4"/>
          <w:sz w:val="18"/>
        </w:rPr>
        <w:t> </w:t>
      </w:r>
      <w:r>
        <w:rPr>
          <w:sz w:val="18"/>
        </w:rPr>
        <w:t>the Illegal Migration Bill’ (NIHRC, 2023).</w:t>
      </w:r>
    </w:p>
    <w:p>
      <w:pPr>
        <w:pStyle w:val="ListParagraph"/>
        <w:numPr>
          <w:ilvl w:val="0"/>
          <w:numId w:val="9"/>
        </w:numPr>
        <w:tabs>
          <w:tab w:pos="1853" w:val="left" w:leader="none"/>
        </w:tabs>
        <w:spacing w:line="235" w:lineRule="auto" w:before="2" w:after="0"/>
        <w:ind w:left="1853" w:right="1192" w:hanging="720"/>
        <w:jc w:val="left"/>
        <w:rPr>
          <w:sz w:val="18"/>
        </w:rPr>
      </w:pPr>
      <w:r>
        <w:rPr>
          <w:sz w:val="18"/>
        </w:rPr>
        <w:t>Articles</w:t>
      </w:r>
      <w:r>
        <w:rPr>
          <w:spacing w:val="-5"/>
          <w:sz w:val="18"/>
        </w:rPr>
        <w:t> </w:t>
      </w:r>
      <w:r>
        <w:rPr>
          <w:sz w:val="18"/>
        </w:rPr>
        <w:t>2,</w:t>
      </w:r>
      <w:r>
        <w:rPr>
          <w:spacing w:val="-4"/>
          <w:sz w:val="18"/>
        </w:rPr>
        <w:t> </w:t>
      </w:r>
      <w:r>
        <w:rPr>
          <w:sz w:val="18"/>
        </w:rPr>
        <w:t>8</w:t>
      </w:r>
      <w:r>
        <w:rPr>
          <w:spacing w:val="-4"/>
          <w:sz w:val="18"/>
        </w:rPr>
        <w:t> </w:t>
      </w:r>
      <w:r>
        <w:rPr>
          <w:sz w:val="18"/>
        </w:rPr>
        <w:t>and</w:t>
      </w:r>
      <w:r>
        <w:rPr>
          <w:spacing w:val="-5"/>
          <w:sz w:val="18"/>
        </w:rPr>
        <w:t> </w:t>
      </w:r>
      <w:r>
        <w:rPr>
          <w:sz w:val="18"/>
        </w:rPr>
        <w:t>11,</w:t>
      </w:r>
      <w:r>
        <w:rPr>
          <w:spacing w:val="-4"/>
          <w:sz w:val="18"/>
        </w:rPr>
        <w:t> </w:t>
      </w:r>
      <w:r>
        <w:rPr>
          <w:sz w:val="18"/>
        </w:rPr>
        <w:t>Directive</w:t>
      </w:r>
      <w:r>
        <w:rPr>
          <w:spacing w:val="-4"/>
          <w:sz w:val="18"/>
        </w:rPr>
        <w:t> </w:t>
      </w:r>
      <w:r>
        <w:rPr>
          <w:sz w:val="18"/>
        </w:rPr>
        <w:t>2011/36/EU,</w:t>
      </w:r>
      <w:r>
        <w:rPr>
          <w:spacing w:val="-4"/>
          <w:sz w:val="18"/>
        </w:rPr>
        <w:t> </w:t>
      </w:r>
      <w:r>
        <w:rPr>
          <w:sz w:val="18"/>
        </w:rPr>
        <w:t>‘EU</w:t>
      </w:r>
      <w:r>
        <w:rPr>
          <w:spacing w:val="-4"/>
          <w:sz w:val="18"/>
        </w:rPr>
        <w:t> </w:t>
      </w:r>
      <w:r>
        <w:rPr>
          <w:sz w:val="18"/>
        </w:rPr>
        <w:t>Council</w:t>
      </w:r>
      <w:r>
        <w:rPr>
          <w:spacing w:val="-5"/>
          <w:sz w:val="18"/>
        </w:rPr>
        <w:t> </w:t>
      </w:r>
      <w:r>
        <w:rPr>
          <w:sz w:val="18"/>
        </w:rPr>
        <w:t>Directive</w:t>
      </w:r>
      <w:r>
        <w:rPr>
          <w:spacing w:val="-4"/>
          <w:sz w:val="18"/>
        </w:rPr>
        <w:t> </w:t>
      </w:r>
      <w:r>
        <w:rPr>
          <w:sz w:val="18"/>
        </w:rPr>
        <w:t>on</w:t>
      </w:r>
      <w:r>
        <w:rPr>
          <w:spacing w:val="-5"/>
          <w:sz w:val="18"/>
        </w:rPr>
        <w:t> </w:t>
      </w:r>
      <w:r>
        <w:rPr>
          <w:sz w:val="18"/>
        </w:rPr>
        <w:t>preventing</w:t>
      </w:r>
      <w:r>
        <w:rPr>
          <w:spacing w:val="-4"/>
          <w:sz w:val="18"/>
        </w:rPr>
        <w:t> </w:t>
      </w:r>
      <w:r>
        <w:rPr>
          <w:sz w:val="18"/>
        </w:rPr>
        <w:t>and</w:t>
      </w:r>
      <w:r>
        <w:rPr>
          <w:spacing w:val="-5"/>
          <w:sz w:val="18"/>
        </w:rPr>
        <w:t> </w:t>
      </w:r>
      <w:r>
        <w:rPr>
          <w:sz w:val="18"/>
        </w:rPr>
        <w:t>combating</w:t>
      </w:r>
      <w:r>
        <w:rPr>
          <w:spacing w:val="-4"/>
          <w:sz w:val="18"/>
        </w:rPr>
        <w:t> </w:t>
      </w:r>
      <w:r>
        <w:rPr>
          <w:sz w:val="18"/>
        </w:rPr>
        <w:t>trafficking</w:t>
      </w:r>
      <w:r>
        <w:rPr>
          <w:spacing w:val="-4"/>
          <w:sz w:val="18"/>
        </w:rPr>
        <w:t> </w:t>
      </w:r>
      <w:r>
        <w:rPr>
          <w:sz w:val="18"/>
        </w:rPr>
        <w:t>in</w:t>
      </w:r>
      <w:r>
        <w:rPr>
          <w:spacing w:val="-5"/>
          <w:sz w:val="18"/>
        </w:rPr>
        <w:t> </w:t>
      </w:r>
      <w:r>
        <w:rPr>
          <w:sz w:val="18"/>
        </w:rPr>
        <w:t>human</w:t>
      </w:r>
      <w:r>
        <w:rPr>
          <w:spacing w:val="-5"/>
          <w:sz w:val="18"/>
        </w:rPr>
        <w:t> </w:t>
      </w:r>
      <w:r>
        <w:rPr>
          <w:sz w:val="18"/>
        </w:rPr>
        <w:t>beings and protecting its victims’, 5 April 2011.</w:t>
      </w:r>
    </w:p>
    <w:p>
      <w:pPr>
        <w:pStyle w:val="ListParagraph"/>
        <w:numPr>
          <w:ilvl w:val="0"/>
          <w:numId w:val="9"/>
        </w:numPr>
        <w:tabs>
          <w:tab w:pos="1853" w:val="left" w:leader="none"/>
        </w:tabs>
        <w:spacing w:line="218" w:lineRule="exact" w:before="0" w:after="0"/>
        <w:ind w:left="1853" w:right="0" w:hanging="720"/>
        <w:jc w:val="left"/>
        <w:rPr>
          <w:sz w:val="18"/>
        </w:rPr>
      </w:pPr>
      <w:r>
        <w:rPr>
          <w:spacing w:val="-4"/>
          <w:sz w:val="18"/>
        </w:rPr>
        <w:t>For</w:t>
      </w:r>
      <w:r>
        <w:rPr>
          <w:spacing w:val="-6"/>
          <w:sz w:val="18"/>
        </w:rPr>
        <w:t> </w:t>
      </w:r>
      <w:r>
        <w:rPr>
          <w:spacing w:val="-4"/>
          <w:sz w:val="18"/>
        </w:rPr>
        <w:t>further</w:t>
      </w:r>
      <w:r>
        <w:rPr>
          <w:spacing w:val="-5"/>
          <w:sz w:val="18"/>
        </w:rPr>
        <w:t> </w:t>
      </w:r>
      <w:r>
        <w:rPr>
          <w:spacing w:val="-4"/>
          <w:sz w:val="18"/>
        </w:rPr>
        <w:t>detail,</w:t>
      </w:r>
      <w:r>
        <w:rPr>
          <w:spacing w:val="-5"/>
          <w:sz w:val="18"/>
        </w:rPr>
        <w:t> </w:t>
      </w:r>
      <w:r>
        <w:rPr>
          <w:spacing w:val="-4"/>
          <w:sz w:val="18"/>
        </w:rPr>
        <w:t>see</w:t>
      </w:r>
      <w:r>
        <w:rPr>
          <w:spacing w:val="-5"/>
          <w:sz w:val="18"/>
        </w:rPr>
        <w:t> </w:t>
      </w:r>
      <w:r>
        <w:rPr>
          <w:spacing w:val="-4"/>
          <w:sz w:val="18"/>
        </w:rPr>
        <w:t>NI</w:t>
      </w:r>
      <w:r>
        <w:rPr>
          <w:spacing w:val="-6"/>
          <w:sz w:val="18"/>
        </w:rPr>
        <w:t> </w:t>
      </w:r>
      <w:r>
        <w:rPr>
          <w:spacing w:val="-4"/>
          <w:sz w:val="18"/>
        </w:rPr>
        <w:t>Human</w:t>
      </w:r>
      <w:r>
        <w:rPr>
          <w:spacing w:val="-5"/>
          <w:sz w:val="18"/>
        </w:rPr>
        <w:t> </w:t>
      </w:r>
      <w:r>
        <w:rPr>
          <w:spacing w:val="-4"/>
          <w:sz w:val="18"/>
        </w:rPr>
        <w:t>Rights</w:t>
      </w:r>
      <w:r>
        <w:rPr>
          <w:spacing w:val="-5"/>
          <w:sz w:val="18"/>
        </w:rPr>
        <w:t> </w:t>
      </w:r>
      <w:r>
        <w:rPr>
          <w:spacing w:val="-4"/>
          <w:sz w:val="18"/>
        </w:rPr>
        <w:t>Commission,</w:t>
      </w:r>
      <w:r>
        <w:rPr>
          <w:spacing w:val="-5"/>
          <w:sz w:val="18"/>
        </w:rPr>
        <w:t> </w:t>
      </w:r>
      <w:r>
        <w:rPr>
          <w:spacing w:val="-4"/>
          <w:sz w:val="18"/>
        </w:rPr>
        <w:t>‘Submission</w:t>
      </w:r>
      <w:r>
        <w:rPr>
          <w:spacing w:val="-5"/>
          <w:sz w:val="18"/>
        </w:rPr>
        <w:t> </w:t>
      </w:r>
      <w:r>
        <w:rPr>
          <w:spacing w:val="-4"/>
          <w:sz w:val="18"/>
        </w:rPr>
        <w:t>to</w:t>
      </w:r>
      <w:r>
        <w:rPr>
          <w:spacing w:val="-6"/>
          <w:sz w:val="18"/>
        </w:rPr>
        <w:t> </w:t>
      </w:r>
      <w:r>
        <w:rPr>
          <w:spacing w:val="-4"/>
          <w:sz w:val="18"/>
        </w:rPr>
        <w:t>House</w:t>
      </w:r>
      <w:r>
        <w:rPr>
          <w:spacing w:val="-5"/>
          <w:sz w:val="18"/>
        </w:rPr>
        <w:t> </w:t>
      </w:r>
      <w:r>
        <w:rPr>
          <w:spacing w:val="-4"/>
          <w:sz w:val="18"/>
        </w:rPr>
        <w:t>of</w:t>
      </w:r>
      <w:r>
        <w:rPr>
          <w:spacing w:val="-5"/>
          <w:sz w:val="18"/>
        </w:rPr>
        <w:t> </w:t>
      </w:r>
      <w:r>
        <w:rPr>
          <w:spacing w:val="-4"/>
          <w:sz w:val="18"/>
        </w:rPr>
        <w:t>Lords</w:t>
      </w:r>
      <w:r>
        <w:rPr>
          <w:spacing w:val="-5"/>
          <w:sz w:val="18"/>
        </w:rPr>
        <w:t> </w:t>
      </w:r>
      <w:r>
        <w:rPr>
          <w:spacing w:val="-4"/>
          <w:sz w:val="18"/>
        </w:rPr>
        <w:t>on</w:t>
      </w:r>
      <w:r>
        <w:rPr>
          <w:spacing w:val="-5"/>
          <w:sz w:val="18"/>
        </w:rPr>
        <w:t> </w:t>
      </w:r>
      <w:r>
        <w:rPr>
          <w:spacing w:val="-4"/>
          <w:sz w:val="18"/>
        </w:rPr>
        <w:t>the</w:t>
      </w:r>
      <w:r>
        <w:rPr>
          <w:spacing w:val="-6"/>
          <w:sz w:val="18"/>
        </w:rPr>
        <w:t> </w:t>
      </w:r>
      <w:r>
        <w:rPr>
          <w:spacing w:val="-4"/>
          <w:sz w:val="18"/>
        </w:rPr>
        <w:t>Illegal</w:t>
      </w:r>
      <w:r>
        <w:rPr>
          <w:spacing w:val="-5"/>
          <w:sz w:val="18"/>
        </w:rPr>
        <w:t> </w:t>
      </w:r>
      <w:r>
        <w:rPr>
          <w:spacing w:val="-4"/>
          <w:sz w:val="18"/>
        </w:rPr>
        <w:t>Migration</w:t>
      </w:r>
      <w:r>
        <w:rPr>
          <w:spacing w:val="-5"/>
          <w:sz w:val="18"/>
        </w:rPr>
        <w:t> </w:t>
      </w:r>
      <w:r>
        <w:rPr>
          <w:spacing w:val="-4"/>
          <w:sz w:val="18"/>
        </w:rPr>
        <w:t>Bill’</w:t>
      </w:r>
      <w:r>
        <w:rPr>
          <w:spacing w:val="-5"/>
          <w:sz w:val="18"/>
        </w:rPr>
        <w:t> </w:t>
      </w:r>
      <w:r>
        <w:rPr>
          <w:spacing w:val="-4"/>
          <w:sz w:val="18"/>
        </w:rPr>
        <w:t>(NIHRC,</w:t>
      </w:r>
      <w:r>
        <w:rPr>
          <w:spacing w:val="-6"/>
          <w:sz w:val="18"/>
        </w:rPr>
        <w:t> </w:t>
      </w:r>
      <w:r>
        <w:rPr>
          <w:spacing w:val="-4"/>
          <w:sz w:val="18"/>
        </w:rPr>
        <w:t>2023).</w:t>
      </w:r>
    </w:p>
    <w:p>
      <w:pPr>
        <w:spacing w:after="0" w:line="218" w:lineRule="exact"/>
        <w:jc w:val="left"/>
        <w:rPr>
          <w:sz w:val="18"/>
        </w:rPr>
        <w:sectPr>
          <w:pgSz w:w="11910" w:h="16840"/>
          <w:pgMar w:header="496" w:footer="367" w:top="1220" w:bottom="560" w:left="0" w:right="0"/>
        </w:sectPr>
      </w:pPr>
    </w:p>
    <w:p>
      <w:pPr>
        <w:pStyle w:val="BodyText"/>
        <w:spacing w:before="198"/>
      </w:pPr>
    </w:p>
    <w:p>
      <w:pPr>
        <w:pStyle w:val="ListParagraph"/>
        <w:numPr>
          <w:ilvl w:val="1"/>
          <w:numId w:val="7"/>
        </w:numPr>
        <w:tabs>
          <w:tab w:pos="1853" w:val="left" w:leader="none"/>
        </w:tabs>
        <w:spacing w:line="225" w:lineRule="auto" w:before="0" w:after="0"/>
        <w:ind w:left="1853" w:right="1369" w:hanging="720"/>
        <w:jc w:val="left"/>
        <w:rPr>
          <w:sz w:val="28"/>
        </w:rPr>
      </w:pPr>
      <w:r>
        <w:rPr>
          <w:sz w:val="28"/>
        </w:rPr>
        <w:t>In September 2023, the NIHRC issued a judicial review against the then Secretary of State for the Home Department and the Secretary of State for NI</w:t>
      </w:r>
      <w:r>
        <w:rPr>
          <w:spacing w:val="-5"/>
          <w:sz w:val="28"/>
        </w:rPr>
        <w:t> </w:t>
      </w:r>
      <w:r>
        <w:rPr>
          <w:sz w:val="28"/>
        </w:rPr>
        <w:t>arguing</w:t>
      </w:r>
      <w:r>
        <w:rPr>
          <w:spacing w:val="-5"/>
          <w:sz w:val="28"/>
        </w:rPr>
        <w:t> </w:t>
      </w:r>
      <w:r>
        <w:rPr>
          <w:sz w:val="28"/>
        </w:rPr>
        <w:t>that</w:t>
      </w:r>
      <w:r>
        <w:rPr>
          <w:spacing w:val="-5"/>
          <w:sz w:val="28"/>
        </w:rPr>
        <w:t> </w:t>
      </w:r>
      <w:r>
        <w:rPr>
          <w:sz w:val="28"/>
        </w:rPr>
        <w:t>the</w:t>
      </w:r>
      <w:r>
        <w:rPr>
          <w:spacing w:val="-5"/>
          <w:sz w:val="28"/>
        </w:rPr>
        <w:t> </w:t>
      </w:r>
      <w:r>
        <w:rPr>
          <w:sz w:val="28"/>
        </w:rPr>
        <w:t>Illegal</w:t>
      </w:r>
      <w:r>
        <w:rPr>
          <w:spacing w:val="-6"/>
          <w:sz w:val="28"/>
        </w:rPr>
        <w:t> </w:t>
      </w:r>
      <w:r>
        <w:rPr>
          <w:sz w:val="28"/>
        </w:rPr>
        <w:t>Migration</w:t>
      </w:r>
      <w:r>
        <w:rPr>
          <w:spacing w:val="-6"/>
          <w:sz w:val="28"/>
        </w:rPr>
        <w:t> </w:t>
      </w:r>
      <w:r>
        <w:rPr>
          <w:sz w:val="28"/>
        </w:rPr>
        <w:t>Act</w:t>
      </w:r>
      <w:r>
        <w:rPr>
          <w:spacing w:val="-5"/>
          <w:sz w:val="28"/>
        </w:rPr>
        <w:t> </w:t>
      </w:r>
      <w:r>
        <w:rPr>
          <w:sz w:val="28"/>
        </w:rPr>
        <w:t>2023</w:t>
      </w:r>
      <w:r>
        <w:rPr>
          <w:spacing w:val="-5"/>
          <w:sz w:val="28"/>
        </w:rPr>
        <w:t> </w:t>
      </w:r>
      <w:r>
        <w:rPr>
          <w:sz w:val="28"/>
        </w:rPr>
        <w:t>is</w:t>
      </w:r>
      <w:r>
        <w:rPr>
          <w:spacing w:val="-6"/>
          <w:sz w:val="28"/>
        </w:rPr>
        <w:t> </w:t>
      </w:r>
      <w:r>
        <w:rPr>
          <w:sz w:val="28"/>
        </w:rPr>
        <w:t>not</w:t>
      </w:r>
      <w:r>
        <w:rPr>
          <w:spacing w:val="-5"/>
          <w:sz w:val="28"/>
        </w:rPr>
        <w:t> </w:t>
      </w:r>
      <w:r>
        <w:rPr>
          <w:sz w:val="28"/>
        </w:rPr>
        <w:t>compliant</w:t>
      </w:r>
      <w:r>
        <w:rPr>
          <w:spacing w:val="-5"/>
          <w:sz w:val="28"/>
        </w:rPr>
        <w:t> </w:t>
      </w:r>
      <w:r>
        <w:rPr>
          <w:sz w:val="28"/>
        </w:rPr>
        <w:t>with</w:t>
      </w:r>
      <w:r>
        <w:rPr>
          <w:spacing w:val="-6"/>
          <w:sz w:val="28"/>
        </w:rPr>
        <w:t> </w:t>
      </w:r>
      <w:r>
        <w:rPr>
          <w:sz w:val="28"/>
        </w:rPr>
        <w:t>the</w:t>
      </w:r>
      <w:r>
        <w:rPr>
          <w:spacing w:val="-5"/>
          <w:sz w:val="28"/>
        </w:rPr>
        <w:t> </w:t>
      </w:r>
      <w:r>
        <w:rPr>
          <w:sz w:val="28"/>
        </w:rPr>
        <w:t>ECHR or with Windsor Framework Article 2. In January 2024, the case was heard</w:t>
      </w:r>
      <w:r>
        <w:rPr>
          <w:spacing w:val="40"/>
          <w:sz w:val="28"/>
        </w:rPr>
        <w:t> </w:t>
      </w:r>
      <w:r>
        <w:rPr>
          <w:sz w:val="28"/>
        </w:rPr>
        <w:t>in the High Court of Justice in NI and as of 31 March 2021 the judgment was </w:t>
      </w:r>
      <w:r>
        <w:rPr>
          <w:spacing w:val="-2"/>
          <w:sz w:val="28"/>
        </w:rPr>
        <w:t>awaited.</w:t>
      </w:r>
    </w:p>
    <w:p>
      <w:pPr>
        <w:pStyle w:val="ListParagraph"/>
        <w:numPr>
          <w:ilvl w:val="1"/>
          <w:numId w:val="7"/>
        </w:numPr>
        <w:tabs>
          <w:tab w:pos="1853" w:val="left" w:leader="none"/>
        </w:tabs>
        <w:spacing w:line="225" w:lineRule="auto" w:before="313" w:after="0"/>
        <w:ind w:left="1853" w:right="1716" w:hanging="720"/>
        <w:jc w:val="left"/>
        <w:rPr>
          <w:sz w:val="28"/>
        </w:rPr>
      </w:pPr>
      <w:r>
        <w:rPr>
          <w:sz w:val="28"/>
        </w:rPr>
        <w:t>In February 2024, the NIHRC raised concerns about the compliance of</w:t>
      </w:r>
      <w:r>
        <w:rPr>
          <w:spacing w:val="40"/>
          <w:sz w:val="28"/>
        </w:rPr>
        <w:t> </w:t>
      </w:r>
      <w:r>
        <w:rPr>
          <w:sz w:val="28"/>
        </w:rPr>
        <w:t>the Illegal Migration Act with Windsor Framework Article 2 and the UK’s international</w:t>
      </w:r>
      <w:r>
        <w:rPr>
          <w:spacing w:val="-7"/>
          <w:sz w:val="28"/>
        </w:rPr>
        <w:t> </w:t>
      </w:r>
      <w:r>
        <w:rPr>
          <w:sz w:val="28"/>
        </w:rPr>
        <w:t>human</w:t>
      </w:r>
      <w:r>
        <w:rPr>
          <w:spacing w:val="-7"/>
          <w:sz w:val="28"/>
        </w:rPr>
        <w:t> </w:t>
      </w:r>
      <w:r>
        <w:rPr>
          <w:sz w:val="28"/>
        </w:rPr>
        <w:t>rights</w:t>
      </w:r>
      <w:r>
        <w:rPr>
          <w:spacing w:val="-7"/>
          <w:sz w:val="28"/>
        </w:rPr>
        <w:t> </w:t>
      </w:r>
      <w:r>
        <w:rPr>
          <w:sz w:val="28"/>
        </w:rPr>
        <w:t>obligations</w:t>
      </w:r>
      <w:r>
        <w:rPr>
          <w:spacing w:val="-7"/>
          <w:sz w:val="28"/>
        </w:rPr>
        <w:t> </w:t>
      </w:r>
      <w:r>
        <w:rPr>
          <w:sz w:val="28"/>
        </w:rPr>
        <w:t>in</w:t>
      </w:r>
      <w:r>
        <w:rPr>
          <w:spacing w:val="-7"/>
          <w:sz w:val="28"/>
        </w:rPr>
        <w:t> </w:t>
      </w:r>
      <w:r>
        <w:rPr>
          <w:sz w:val="28"/>
        </w:rPr>
        <w:t>its</w:t>
      </w:r>
      <w:r>
        <w:rPr>
          <w:spacing w:val="-7"/>
          <w:sz w:val="28"/>
        </w:rPr>
        <w:t> </w:t>
      </w:r>
      <w:r>
        <w:rPr>
          <w:sz w:val="28"/>
        </w:rPr>
        <w:t>submission</w:t>
      </w:r>
      <w:r>
        <w:rPr>
          <w:spacing w:val="-7"/>
          <w:sz w:val="28"/>
        </w:rPr>
        <w:t> </w:t>
      </w:r>
      <w:r>
        <w:rPr>
          <w:sz w:val="28"/>
        </w:rPr>
        <w:t>to</w:t>
      </w:r>
      <w:r>
        <w:rPr>
          <w:spacing w:val="-7"/>
          <w:sz w:val="28"/>
        </w:rPr>
        <w:t> </w:t>
      </w:r>
      <w:r>
        <w:rPr>
          <w:sz w:val="28"/>
        </w:rPr>
        <w:t>the</w:t>
      </w:r>
      <w:r>
        <w:rPr>
          <w:spacing w:val="-6"/>
          <w:sz w:val="28"/>
        </w:rPr>
        <w:t> </w:t>
      </w:r>
      <w:r>
        <w:rPr>
          <w:sz w:val="28"/>
        </w:rPr>
        <w:t>UN</w:t>
      </w:r>
      <w:r>
        <w:rPr>
          <w:spacing w:val="-6"/>
          <w:sz w:val="28"/>
        </w:rPr>
        <w:t> </w:t>
      </w:r>
      <w:r>
        <w:rPr>
          <w:sz w:val="28"/>
        </w:rPr>
        <w:t>Human Rights Committee.</w:t>
      </w:r>
      <w:r>
        <w:rPr>
          <w:sz w:val="28"/>
          <w:vertAlign w:val="superscript"/>
        </w:rPr>
        <w:t>506</w:t>
      </w:r>
      <w:r>
        <w:rPr>
          <w:spacing w:val="40"/>
          <w:sz w:val="28"/>
          <w:vertAlign w:val="baseline"/>
        </w:rPr>
        <w:t> </w:t>
      </w:r>
      <w:r>
        <w:rPr>
          <w:sz w:val="28"/>
          <w:vertAlign w:val="baseline"/>
        </w:rPr>
        <w:t>In March 2024, the UN Human Rights Committee</w:t>
      </w:r>
    </w:p>
    <w:p>
      <w:pPr>
        <w:pStyle w:val="BodyText"/>
        <w:spacing w:line="225" w:lineRule="auto"/>
        <w:ind w:left="1853" w:right="1301"/>
      </w:pPr>
      <w:r>
        <w:rPr/>
        <w:t>expressed</w:t>
      </w:r>
      <w:r>
        <w:rPr>
          <w:spacing w:val="-7"/>
        </w:rPr>
        <w:t> </w:t>
      </w:r>
      <w:r>
        <w:rPr/>
        <w:t>concerns</w:t>
      </w:r>
      <w:r>
        <w:rPr>
          <w:spacing w:val="-7"/>
        </w:rPr>
        <w:t> </w:t>
      </w:r>
      <w:r>
        <w:rPr/>
        <w:t>that</w:t>
      </w:r>
      <w:r>
        <w:rPr>
          <w:spacing w:val="-6"/>
        </w:rPr>
        <w:t> </w:t>
      </w:r>
      <w:r>
        <w:rPr/>
        <w:t>the</w:t>
      </w:r>
      <w:r>
        <w:rPr>
          <w:spacing w:val="-6"/>
        </w:rPr>
        <w:t> </w:t>
      </w:r>
      <w:r>
        <w:rPr/>
        <w:t>Nationality</w:t>
      </w:r>
      <w:r>
        <w:rPr>
          <w:spacing w:val="-6"/>
        </w:rPr>
        <w:t> </w:t>
      </w:r>
      <w:r>
        <w:rPr/>
        <w:t>and</w:t>
      </w:r>
      <w:r>
        <w:rPr>
          <w:spacing w:val="-7"/>
        </w:rPr>
        <w:t> </w:t>
      </w:r>
      <w:r>
        <w:rPr/>
        <w:t>Borders</w:t>
      </w:r>
      <w:r>
        <w:rPr>
          <w:spacing w:val="-7"/>
        </w:rPr>
        <w:t> </w:t>
      </w:r>
      <w:r>
        <w:rPr/>
        <w:t>Act</w:t>
      </w:r>
      <w:r>
        <w:rPr>
          <w:spacing w:val="-6"/>
        </w:rPr>
        <w:t> </w:t>
      </w:r>
      <w:r>
        <w:rPr/>
        <w:t>2022</w:t>
      </w:r>
      <w:r>
        <w:rPr>
          <w:spacing w:val="-6"/>
        </w:rPr>
        <w:t> </w:t>
      </w:r>
      <w:r>
        <w:rPr/>
        <w:t>and</w:t>
      </w:r>
      <w:r>
        <w:rPr>
          <w:spacing w:val="-7"/>
        </w:rPr>
        <w:t> </w:t>
      </w:r>
      <w:r>
        <w:rPr/>
        <w:t>the</w:t>
      </w:r>
      <w:r>
        <w:rPr>
          <w:spacing w:val="-6"/>
        </w:rPr>
        <w:t> </w:t>
      </w:r>
      <w:r>
        <w:rPr/>
        <w:t>Illegal Migration Act 2023 make it harder to identify victims of human trafficking and have resulted in the removal of certain protections for potential victims of trafficking. The Committee was particularly concerned that the legislative changes “criminalize victims of human trafficking and will likely result in victims being removed from the State party without fully considering their claim and providing them with the necessary support and protections”.</w:t>
      </w:r>
      <w:r>
        <w:rPr>
          <w:vertAlign w:val="superscript"/>
        </w:rPr>
        <w:t>507</w:t>
      </w:r>
    </w:p>
    <w:p>
      <w:pPr>
        <w:pStyle w:val="BodyText"/>
        <w:spacing w:line="225" w:lineRule="auto"/>
        <w:ind w:left="1853" w:right="1171"/>
      </w:pPr>
      <w:r>
        <w:rPr/>
        <w:t>The</w:t>
      </w:r>
      <w:r>
        <w:rPr>
          <w:spacing w:val="-8"/>
        </w:rPr>
        <w:t> </w:t>
      </w:r>
      <w:r>
        <w:rPr/>
        <w:t>UN</w:t>
      </w:r>
      <w:r>
        <w:rPr>
          <w:spacing w:val="-8"/>
        </w:rPr>
        <w:t> </w:t>
      </w:r>
      <w:r>
        <w:rPr/>
        <w:t>Committee</w:t>
      </w:r>
      <w:r>
        <w:rPr>
          <w:spacing w:val="-8"/>
        </w:rPr>
        <w:t> </w:t>
      </w:r>
      <w:r>
        <w:rPr/>
        <w:t>recommended</w:t>
      </w:r>
      <w:r>
        <w:rPr>
          <w:spacing w:val="-9"/>
        </w:rPr>
        <w:t> </w:t>
      </w:r>
      <w:r>
        <w:rPr/>
        <w:t>that</w:t>
      </w:r>
      <w:r>
        <w:rPr>
          <w:spacing w:val="-8"/>
        </w:rPr>
        <w:t> </w:t>
      </w:r>
      <w:r>
        <w:rPr/>
        <w:t>the</w:t>
      </w:r>
      <w:r>
        <w:rPr>
          <w:spacing w:val="-8"/>
        </w:rPr>
        <w:t> </w:t>
      </w:r>
      <w:r>
        <w:rPr/>
        <w:t>UK</w:t>
      </w:r>
      <w:r>
        <w:rPr>
          <w:spacing w:val="-8"/>
        </w:rPr>
        <w:t> </w:t>
      </w:r>
      <w:r>
        <w:rPr/>
        <w:t>Government</w:t>
      </w:r>
      <w:r>
        <w:rPr>
          <w:spacing w:val="-8"/>
        </w:rPr>
        <w:t> </w:t>
      </w:r>
      <w:r>
        <w:rPr/>
        <w:t>and</w:t>
      </w:r>
      <w:r>
        <w:rPr>
          <w:spacing w:val="-9"/>
        </w:rPr>
        <w:t> </w:t>
      </w:r>
      <w:r>
        <w:rPr/>
        <w:t>NI</w:t>
      </w:r>
      <w:r>
        <w:rPr>
          <w:spacing w:val="-8"/>
        </w:rPr>
        <w:t> </w:t>
      </w:r>
      <w:r>
        <w:rPr/>
        <w:t>Executive, “intensify its efforts to provide effective remedies, including protection, rehabilitation and compensation, for all victims of human trafficking and exploitation, no matter their migratory status”.</w:t>
      </w:r>
      <w:r>
        <w:rPr>
          <w:spacing w:val="-24"/>
        </w:rPr>
        <w:t> </w:t>
      </w:r>
      <w:r>
        <w:rPr>
          <w:vertAlign w:val="superscript"/>
        </w:rPr>
        <w:t>508</w:t>
      </w:r>
    </w:p>
    <w:p>
      <w:pPr>
        <w:pStyle w:val="BodyText"/>
        <w:spacing w:before="10"/>
        <w:rPr>
          <w:sz w:val="12"/>
        </w:rPr>
      </w:pPr>
      <w:r>
        <w:rPr/>
        <mc:AlternateContent>
          <mc:Choice Requires="wps">
            <w:drawing>
              <wp:anchor distT="0" distB="0" distL="0" distR="0" allowOverlap="1" layoutInCell="1" locked="0" behindDoc="1" simplePos="0" relativeHeight="487681024">
                <wp:simplePos x="0" y="0"/>
                <wp:positionH relativeFrom="page">
                  <wp:posOffset>720001</wp:posOffset>
                </wp:positionH>
                <wp:positionV relativeFrom="paragraph">
                  <wp:posOffset>114943</wp:posOffset>
                </wp:positionV>
                <wp:extent cx="6120130" cy="360045"/>
                <wp:effectExtent l="0" t="0" r="0" b="0"/>
                <wp:wrapTopAndBottom/>
                <wp:docPr id="401" name="Textbox 401"/>
                <wp:cNvGraphicFramePr>
                  <a:graphicFrameLocks/>
                </wp:cNvGraphicFramePr>
                <a:graphic>
                  <a:graphicData uri="http://schemas.microsoft.com/office/word/2010/wordprocessingShape">
                    <wps:wsp>
                      <wps:cNvPr id="401" name="Textbox 401"/>
                      <wps:cNvSpPr txBox="1"/>
                      <wps:spPr>
                        <a:xfrm>
                          <a:off x="0" y="0"/>
                          <a:ext cx="6120130" cy="360045"/>
                        </a:xfrm>
                        <a:prstGeom prst="rect">
                          <a:avLst/>
                        </a:prstGeom>
                        <a:solidFill>
                          <a:srgbClr val="393B80"/>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9.050641pt;width:481.9pt;height:28.35pt;mso-position-horizontal-relative:page;mso-position-vertical-relative:paragraph;z-index:-15635456;mso-wrap-distance-left:0;mso-wrap-distance-right:0" type="#_x0000_t202" id="docshape350" filled="true" fillcolor="#393b80"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208" w:after="0"/>
        <w:ind w:left="1853" w:right="1463" w:hanging="720"/>
        <w:jc w:val="left"/>
        <w:rPr>
          <w:b/>
          <w:color w:val="67287F"/>
          <w:sz w:val="28"/>
        </w:rPr>
      </w:pPr>
      <w:r>
        <w:rPr>
          <w:b/>
          <w:color w:val="67287F"/>
          <w:sz w:val="28"/>
        </w:rPr>
        <w:t>The Commissions continue to recommend that the Home Office and Department</w:t>
      </w:r>
      <w:r>
        <w:rPr>
          <w:b/>
          <w:color w:val="67287F"/>
          <w:spacing w:val="-8"/>
          <w:sz w:val="28"/>
        </w:rPr>
        <w:t> </w:t>
      </w:r>
      <w:r>
        <w:rPr>
          <w:b/>
          <w:color w:val="67287F"/>
          <w:sz w:val="28"/>
        </w:rPr>
        <w:t>of</w:t>
      </w:r>
      <w:r>
        <w:rPr>
          <w:b/>
          <w:color w:val="67287F"/>
          <w:spacing w:val="-9"/>
          <w:sz w:val="28"/>
        </w:rPr>
        <w:t> </w:t>
      </w:r>
      <w:r>
        <w:rPr>
          <w:b/>
          <w:color w:val="67287F"/>
          <w:sz w:val="28"/>
        </w:rPr>
        <w:t>Justice</w:t>
      </w:r>
      <w:r>
        <w:rPr>
          <w:b/>
          <w:color w:val="67287F"/>
          <w:spacing w:val="-9"/>
          <w:sz w:val="28"/>
        </w:rPr>
        <w:t> </w:t>
      </w:r>
      <w:r>
        <w:rPr>
          <w:b/>
          <w:color w:val="67287F"/>
          <w:sz w:val="28"/>
        </w:rPr>
        <w:t>embed</w:t>
      </w:r>
      <w:r>
        <w:rPr>
          <w:b/>
          <w:color w:val="67287F"/>
          <w:spacing w:val="-8"/>
          <w:sz w:val="28"/>
        </w:rPr>
        <w:t> </w:t>
      </w:r>
      <w:r>
        <w:rPr>
          <w:b/>
          <w:color w:val="67287F"/>
          <w:sz w:val="28"/>
        </w:rPr>
        <w:t>consideration</w:t>
      </w:r>
      <w:r>
        <w:rPr>
          <w:b/>
          <w:color w:val="67287F"/>
          <w:spacing w:val="-8"/>
          <w:sz w:val="28"/>
        </w:rPr>
        <w:t> </w:t>
      </w:r>
      <w:r>
        <w:rPr>
          <w:b/>
          <w:color w:val="67287F"/>
          <w:sz w:val="28"/>
        </w:rPr>
        <w:t>of</w:t>
      </w:r>
      <w:r>
        <w:rPr>
          <w:b/>
          <w:color w:val="67287F"/>
          <w:spacing w:val="-9"/>
          <w:sz w:val="28"/>
        </w:rPr>
        <w:t> </w:t>
      </w:r>
      <w:r>
        <w:rPr>
          <w:b/>
          <w:color w:val="67287F"/>
          <w:sz w:val="28"/>
        </w:rPr>
        <w:t>the</w:t>
      </w:r>
      <w:r>
        <w:rPr>
          <w:b/>
          <w:color w:val="67287F"/>
          <w:spacing w:val="-9"/>
          <w:sz w:val="28"/>
        </w:rPr>
        <w:t> </w:t>
      </w:r>
      <w:r>
        <w:rPr>
          <w:b/>
          <w:color w:val="67287F"/>
          <w:sz w:val="28"/>
        </w:rPr>
        <w:t>EU</w:t>
      </w:r>
      <w:r>
        <w:rPr>
          <w:b/>
          <w:color w:val="67287F"/>
          <w:spacing w:val="-8"/>
          <w:sz w:val="28"/>
        </w:rPr>
        <w:t> </w:t>
      </w:r>
      <w:r>
        <w:rPr>
          <w:b/>
          <w:color w:val="67287F"/>
          <w:sz w:val="28"/>
        </w:rPr>
        <w:t>Trafficking</w:t>
      </w:r>
      <w:r>
        <w:rPr>
          <w:b/>
          <w:color w:val="67287F"/>
          <w:spacing w:val="-9"/>
          <w:sz w:val="28"/>
        </w:rPr>
        <w:t> </w:t>
      </w:r>
      <w:r>
        <w:rPr>
          <w:b/>
          <w:color w:val="67287F"/>
          <w:sz w:val="28"/>
        </w:rPr>
        <w:t>Directive and Windsor Framework Article 2, in the development and drafting of human</w:t>
      </w:r>
      <w:r>
        <w:rPr>
          <w:b/>
          <w:color w:val="67287F"/>
          <w:spacing w:val="-9"/>
          <w:sz w:val="28"/>
        </w:rPr>
        <w:t> </w:t>
      </w:r>
      <w:r>
        <w:rPr>
          <w:b/>
          <w:color w:val="67287F"/>
          <w:sz w:val="28"/>
        </w:rPr>
        <w:t>trafficking</w:t>
      </w:r>
      <w:r>
        <w:rPr>
          <w:b/>
          <w:color w:val="67287F"/>
          <w:spacing w:val="-10"/>
          <w:sz w:val="28"/>
        </w:rPr>
        <w:t> </w:t>
      </w:r>
      <w:r>
        <w:rPr>
          <w:b/>
          <w:color w:val="67287F"/>
          <w:sz w:val="28"/>
        </w:rPr>
        <w:t>legislation</w:t>
      </w:r>
      <w:r>
        <w:rPr>
          <w:b/>
          <w:color w:val="67287F"/>
          <w:spacing w:val="-9"/>
          <w:sz w:val="28"/>
        </w:rPr>
        <w:t> </w:t>
      </w:r>
      <w:r>
        <w:rPr>
          <w:b/>
          <w:color w:val="67287F"/>
          <w:sz w:val="28"/>
        </w:rPr>
        <w:t>and</w:t>
      </w:r>
      <w:r>
        <w:rPr>
          <w:b/>
          <w:color w:val="67287F"/>
          <w:spacing w:val="-9"/>
          <w:sz w:val="28"/>
        </w:rPr>
        <w:t> </w:t>
      </w:r>
      <w:r>
        <w:rPr>
          <w:b/>
          <w:color w:val="67287F"/>
          <w:sz w:val="28"/>
        </w:rPr>
        <w:t>policy,</w:t>
      </w:r>
      <w:r>
        <w:rPr>
          <w:b/>
          <w:color w:val="67287F"/>
          <w:spacing w:val="-9"/>
          <w:sz w:val="28"/>
        </w:rPr>
        <w:t> </w:t>
      </w:r>
      <w:r>
        <w:rPr>
          <w:b/>
          <w:color w:val="67287F"/>
          <w:sz w:val="28"/>
        </w:rPr>
        <w:t>including</w:t>
      </w:r>
      <w:r>
        <w:rPr>
          <w:b/>
          <w:color w:val="67287F"/>
          <w:spacing w:val="-10"/>
          <w:sz w:val="28"/>
        </w:rPr>
        <w:t> </w:t>
      </w:r>
      <w:r>
        <w:rPr>
          <w:b/>
          <w:color w:val="67287F"/>
          <w:sz w:val="28"/>
        </w:rPr>
        <w:t>the</w:t>
      </w:r>
      <w:r>
        <w:rPr>
          <w:b/>
          <w:color w:val="67287F"/>
          <w:spacing w:val="-10"/>
          <w:sz w:val="28"/>
        </w:rPr>
        <w:t> </w:t>
      </w:r>
      <w:r>
        <w:rPr>
          <w:b/>
          <w:color w:val="67287F"/>
          <w:sz w:val="28"/>
        </w:rPr>
        <w:t>Modern</w:t>
      </w:r>
      <w:r>
        <w:rPr>
          <w:b/>
          <w:color w:val="67287F"/>
          <w:spacing w:val="-9"/>
          <w:sz w:val="28"/>
        </w:rPr>
        <w:t> </w:t>
      </w:r>
      <w:r>
        <w:rPr>
          <w:b/>
          <w:color w:val="67287F"/>
          <w:sz w:val="28"/>
        </w:rPr>
        <w:t>Slavery</w:t>
      </w:r>
      <w:r>
        <w:rPr>
          <w:b/>
          <w:color w:val="67287F"/>
          <w:spacing w:val="-9"/>
          <w:sz w:val="28"/>
        </w:rPr>
        <w:t> </w:t>
      </w:r>
      <w:r>
        <w:rPr>
          <w:b/>
          <w:color w:val="67287F"/>
          <w:sz w:val="28"/>
        </w:rPr>
        <w:t>and Human</w:t>
      </w:r>
      <w:r>
        <w:rPr>
          <w:b/>
          <w:color w:val="67287F"/>
          <w:spacing w:val="-6"/>
          <w:sz w:val="28"/>
        </w:rPr>
        <w:t> </w:t>
      </w:r>
      <w:r>
        <w:rPr>
          <w:b/>
          <w:color w:val="67287F"/>
          <w:sz w:val="28"/>
        </w:rPr>
        <w:t>Trafficking</w:t>
      </w:r>
      <w:r>
        <w:rPr>
          <w:b/>
          <w:color w:val="67287F"/>
          <w:spacing w:val="-7"/>
          <w:sz w:val="28"/>
        </w:rPr>
        <w:t> </w:t>
      </w:r>
      <w:r>
        <w:rPr>
          <w:b/>
          <w:color w:val="67287F"/>
          <w:sz w:val="28"/>
        </w:rPr>
        <w:t>Strategy,</w:t>
      </w:r>
      <w:r>
        <w:rPr>
          <w:b/>
          <w:color w:val="67287F"/>
          <w:spacing w:val="-6"/>
          <w:sz w:val="28"/>
        </w:rPr>
        <w:t> </w:t>
      </w:r>
      <w:r>
        <w:rPr>
          <w:b/>
          <w:color w:val="67287F"/>
          <w:sz w:val="28"/>
        </w:rPr>
        <w:t>and</w:t>
      </w:r>
      <w:r>
        <w:rPr>
          <w:b/>
          <w:color w:val="67287F"/>
          <w:spacing w:val="-6"/>
          <w:sz w:val="28"/>
        </w:rPr>
        <w:t> </w:t>
      </w:r>
      <w:r>
        <w:rPr>
          <w:b/>
          <w:color w:val="67287F"/>
          <w:sz w:val="28"/>
        </w:rPr>
        <w:t>establish</w:t>
      </w:r>
      <w:r>
        <w:rPr>
          <w:b/>
          <w:color w:val="67287F"/>
          <w:spacing w:val="-6"/>
          <w:sz w:val="28"/>
        </w:rPr>
        <w:t> </w:t>
      </w:r>
      <w:r>
        <w:rPr>
          <w:b/>
          <w:color w:val="67287F"/>
          <w:sz w:val="28"/>
        </w:rPr>
        <w:t>processes</w:t>
      </w:r>
      <w:r>
        <w:rPr>
          <w:b/>
          <w:color w:val="67287F"/>
          <w:spacing w:val="-6"/>
          <w:sz w:val="28"/>
        </w:rPr>
        <w:t> </w:t>
      </w:r>
      <w:r>
        <w:rPr>
          <w:b/>
          <w:color w:val="67287F"/>
          <w:sz w:val="28"/>
        </w:rPr>
        <w:t>to</w:t>
      </w:r>
      <w:r>
        <w:rPr>
          <w:b/>
          <w:color w:val="67287F"/>
          <w:spacing w:val="-6"/>
          <w:sz w:val="28"/>
        </w:rPr>
        <w:t> </w:t>
      </w:r>
      <w:r>
        <w:rPr>
          <w:b/>
          <w:color w:val="67287F"/>
          <w:sz w:val="28"/>
        </w:rPr>
        <w:t>ensure</w:t>
      </w:r>
      <w:r>
        <w:rPr>
          <w:b/>
          <w:color w:val="67287F"/>
          <w:spacing w:val="-7"/>
          <w:sz w:val="28"/>
        </w:rPr>
        <w:t> </w:t>
      </w:r>
      <w:r>
        <w:rPr>
          <w:b/>
          <w:color w:val="67287F"/>
          <w:sz w:val="28"/>
        </w:rPr>
        <w:t>compliance with this obligation.</w:t>
      </w:r>
    </w:p>
    <w:p>
      <w:pPr>
        <w:pStyle w:val="ListParagraph"/>
        <w:numPr>
          <w:ilvl w:val="1"/>
          <w:numId w:val="7"/>
        </w:numPr>
        <w:tabs>
          <w:tab w:pos="1853" w:val="left" w:leader="none"/>
        </w:tabs>
        <w:spacing w:line="225" w:lineRule="auto" w:before="313" w:after="0"/>
        <w:ind w:left="1853" w:right="1259" w:hanging="720"/>
        <w:jc w:val="left"/>
        <w:rPr>
          <w:b/>
          <w:color w:val="67287F"/>
          <w:sz w:val="28"/>
        </w:rPr>
      </w:pPr>
      <w:r>
        <w:rPr>
          <w:b/>
          <w:color w:val="67287F"/>
          <w:sz w:val="28"/>
        </w:rPr>
        <w:t>The ECNI continues to recommend that those providing advice and resources</w:t>
      </w:r>
      <w:r>
        <w:rPr>
          <w:b/>
          <w:color w:val="67287F"/>
          <w:spacing w:val="-7"/>
          <w:sz w:val="28"/>
        </w:rPr>
        <w:t> </w:t>
      </w:r>
      <w:r>
        <w:rPr>
          <w:b/>
          <w:color w:val="67287F"/>
          <w:sz w:val="28"/>
        </w:rPr>
        <w:t>make</w:t>
      </w:r>
      <w:r>
        <w:rPr>
          <w:b/>
          <w:color w:val="67287F"/>
          <w:spacing w:val="-7"/>
          <w:sz w:val="28"/>
        </w:rPr>
        <w:t> </w:t>
      </w:r>
      <w:r>
        <w:rPr>
          <w:b/>
          <w:color w:val="67287F"/>
          <w:sz w:val="28"/>
        </w:rPr>
        <w:t>clear</w:t>
      </w:r>
      <w:r>
        <w:rPr>
          <w:b/>
          <w:color w:val="67287F"/>
          <w:spacing w:val="-7"/>
          <w:sz w:val="28"/>
        </w:rPr>
        <w:t> </w:t>
      </w:r>
      <w:r>
        <w:rPr>
          <w:b/>
          <w:color w:val="67287F"/>
          <w:sz w:val="28"/>
        </w:rPr>
        <w:t>to</w:t>
      </w:r>
      <w:r>
        <w:rPr>
          <w:b/>
          <w:color w:val="67287F"/>
          <w:spacing w:val="-7"/>
          <w:sz w:val="28"/>
        </w:rPr>
        <w:t> </w:t>
      </w:r>
      <w:r>
        <w:rPr>
          <w:b/>
          <w:color w:val="67287F"/>
          <w:sz w:val="28"/>
        </w:rPr>
        <w:t>victims</w:t>
      </w:r>
      <w:r>
        <w:rPr>
          <w:b/>
          <w:color w:val="67287F"/>
          <w:spacing w:val="-7"/>
          <w:sz w:val="28"/>
        </w:rPr>
        <w:t> </w:t>
      </w:r>
      <w:r>
        <w:rPr>
          <w:b/>
          <w:color w:val="67287F"/>
          <w:sz w:val="28"/>
        </w:rPr>
        <w:t>of</w:t>
      </w:r>
      <w:r>
        <w:rPr>
          <w:b/>
          <w:color w:val="67287F"/>
          <w:spacing w:val="-7"/>
          <w:sz w:val="28"/>
        </w:rPr>
        <w:t> </w:t>
      </w:r>
      <w:r>
        <w:rPr>
          <w:b/>
          <w:color w:val="67287F"/>
          <w:sz w:val="28"/>
        </w:rPr>
        <w:t>trafficking,</w:t>
      </w:r>
      <w:r>
        <w:rPr>
          <w:b/>
          <w:color w:val="67287F"/>
          <w:spacing w:val="-7"/>
          <w:sz w:val="28"/>
        </w:rPr>
        <w:t> </w:t>
      </w:r>
      <w:r>
        <w:rPr>
          <w:b/>
          <w:color w:val="67287F"/>
          <w:sz w:val="28"/>
        </w:rPr>
        <w:t>the</w:t>
      </w:r>
      <w:r>
        <w:rPr>
          <w:b/>
          <w:color w:val="67287F"/>
          <w:spacing w:val="-7"/>
          <w:sz w:val="28"/>
        </w:rPr>
        <w:t> </w:t>
      </w:r>
      <w:r>
        <w:rPr>
          <w:b/>
          <w:color w:val="67287F"/>
          <w:sz w:val="28"/>
        </w:rPr>
        <w:t>rights</w:t>
      </w:r>
      <w:r>
        <w:rPr>
          <w:b/>
          <w:color w:val="67287F"/>
          <w:spacing w:val="-7"/>
          <w:sz w:val="28"/>
        </w:rPr>
        <w:t> </w:t>
      </w:r>
      <w:r>
        <w:rPr>
          <w:b/>
          <w:color w:val="67287F"/>
          <w:sz w:val="28"/>
        </w:rPr>
        <w:t>of</w:t>
      </w:r>
      <w:r>
        <w:rPr>
          <w:b/>
          <w:color w:val="67287F"/>
          <w:spacing w:val="-7"/>
          <w:sz w:val="28"/>
        </w:rPr>
        <w:t> </w:t>
      </w:r>
      <w:r>
        <w:rPr>
          <w:b/>
          <w:color w:val="67287F"/>
          <w:sz w:val="28"/>
        </w:rPr>
        <w:t>individuals</w:t>
      </w:r>
      <w:r>
        <w:rPr>
          <w:b/>
          <w:color w:val="67287F"/>
          <w:spacing w:val="-7"/>
          <w:sz w:val="28"/>
        </w:rPr>
        <w:t> </w:t>
      </w:r>
      <w:r>
        <w:rPr>
          <w:b/>
          <w:color w:val="67287F"/>
          <w:sz w:val="28"/>
        </w:rPr>
        <w:t>under both equality legislation and in relation to alleging a breach of Windsor Framework Article 2.</w:t>
      </w:r>
    </w:p>
    <w:p>
      <w:pPr>
        <w:pStyle w:val="ListParagraph"/>
        <w:numPr>
          <w:ilvl w:val="1"/>
          <w:numId w:val="7"/>
        </w:numPr>
        <w:tabs>
          <w:tab w:pos="1853" w:val="left" w:leader="none"/>
        </w:tabs>
        <w:spacing w:line="225" w:lineRule="auto" w:before="314" w:after="0"/>
        <w:ind w:left="1853" w:right="1435" w:hanging="720"/>
        <w:jc w:val="left"/>
        <w:rPr>
          <w:b/>
          <w:color w:val="67287F"/>
          <w:sz w:val="28"/>
        </w:rPr>
      </w:pPr>
      <w:r>
        <w:rPr>
          <w:b/>
          <w:color w:val="67287F"/>
          <w:sz w:val="28"/>
        </w:rPr>
        <w:t>The</w:t>
      </w:r>
      <w:r>
        <w:rPr>
          <w:b/>
          <w:color w:val="67287F"/>
          <w:spacing w:val="-9"/>
          <w:sz w:val="28"/>
        </w:rPr>
        <w:t> </w:t>
      </w:r>
      <w:r>
        <w:rPr>
          <w:b/>
          <w:color w:val="67287F"/>
          <w:sz w:val="28"/>
        </w:rPr>
        <w:t>Commissions</w:t>
      </w:r>
      <w:r>
        <w:rPr>
          <w:b/>
          <w:color w:val="67287F"/>
          <w:spacing w:val="-8"/>
          <w:sz w:val="28"/>
        </w:rPr>
        <w:t> </w:t>
      </w:r>
      <w:r>
        <w:rPr>
          <w:b/>
          <w:color w:val="67287F"/>
          <w:sz w:val="28"/>
        </w:rPr>
        <w:t>recommend</w:t>
      </w:r>
      <w:r>
        <w:rPr>
          <w:b/>
          <w:color w:val="67287F"/>
          <w:spacing w:val="-8"/>
          <w:sz w:val="28"/>
        </w:rPr>
        <w:t> </w:t>
      </w:r>
      <w:r>
        <w:rPr>
          <w:b/>
          <w:color w:val="67287F"/>
          <w:sz w:val="28"/>
        </w:rPr>
        <w:t>that</w:t>
      </w:r>
      <w:r>
        <w:rPr>
          <w:b/>
          <w:color w:val="67287F"/>
          <w:spacing w:val="-8"/>
          <w:sz w:val="28"/>
        </w:rPr>
        <w:t> </w:t>
      </w:r>
      <w:r>
        <w:rPr>
          <w:b/>
          <w:color w:val="67287F"/>
          <w:sz w:val="28"/>
        </w:rPr>
        <w:t>the</w:t>
      </w:r>
      <w:r>
        <w:rPr>
          <w:b/>
          <w:color w:val="67287F"/>
          <w:spacing w:val="-9"/>
          <w:sz w:val="28"/>
        </w:rPr>
        <w:t> </w:t>
      </w:r>
      <w:r>
        <w:rPr>
          <w:b/>
          <w:color w:val="67287F"/>
          <w:sz w:val="28"/>
        </w:rPr>
        <w:t>Home</w:t>
      </w:r>
      <w:r>
        <w:rPr>
          <w:b/>
          <w:color w:val="67287F"/>
          <w:spacing w:val="-9"/>
          <w:sz w:val="28"/>
        </w:rPr>
        <w:t> </w:t>
      </w:r>
      <w:r>
        <w:rPr>
          <w:b/>
          <w:color w:val="67287F"/>
          <w:sz w:val="28"/>
        </w:rPr>
        <w:t>Office</w:t>
      </w:r>
      <w:r>
        <w:rPr>
          <w:b/>
          <w:color w:val="67287F"/>
          <w:spacing w:val="-9"/>
          <w:sz w:val="28"/>
        </w:rPr>
        <w:t> </w:t>
      </w:r>
      <w:r>
        <w:rPr>
          <w:b/>
          <w:color w:val="67287F"/>
          <w:sz w:val="28"/>
        </w:rPr>
        <w:t>embeds</w:t>
      </w:r>
      <w:r>
        <w:rPr>
          <w:b/>
          <w:color w:val="67287F"/>
          <w:spacing w:val="-8"/>
          <w:sz w:val="28"/>
        </w:rPr>
        <w:t> </w:t>
      </w:r>
      <w:r>
        <w:rPr>
          <w:b/>
          <w:color w:val="67287F"/>
          <w:sz w:val="28"/>
        </w:rPr>
        <w:t>consideration of the EU Trafficking Directive and Windsor Framework Article 2 and</w:t>
      </w:r>
    </w:p>
    <w:p>
      <w:pPr>
        <w:pStyle w:val="BodyText"/>
        <w:spacing w:before="8"/>
        <w:rPr>
          <w:b/>
          <w:sz w:val="18"/>
        </w:rPr>
      </w:pPr>
      <w:r>
        <w:rPr/>
        <mc:AlternateContent>
          <mc:Choice Requires="wps">
            <w:drawing>
              <wp:anchor distT="0" distB="0" distL="0" distR="0" allowOverlap="1" layoutInCell="1" locked="0" behindDoc="1" simplePos="0" relativeHeight="487681536">
                <wp:simplePos x="0" y="0"/>
                <wp:positionH relativeFrom="page">
                  <wp:posOffset>719996</wp:posOffset>
                </wp:positionH>
                <wp:positionV relativeFrom="paragraph">
                  <wp:posOffset>160019</wp:posOffset>
                </wp:positionV>
                <wp:extent cx="6120130" cy="1270"/>
                <wp:effectExtent l="0" t="0" r="0" b="0"/>
                <wp:wrapTopAndBottom/>
                <wp:docPr id="402" name="Graphic 402"/>
                <wp:cNvGraphicFramePr>
                  <a:graphicFrameLocks/>
                </wp:cNvGraphicFramePr>
                <a:graphic>
                  <a:graphicData uri="http://schemas.microsoft.com/office/word/2010/wordprocessingShape">
                    <wps:wsp>
                      <wps:cNvPr id="402" name="Graphic 402"/>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2.599962pt;width:481.9pt;height:.1pt;mso-position-horizontal-relative:page;mso-position-vertical-relative:paragraph;z-index:-15634944;mso-wrap-distance-left:0;mso-wrap-distance-right:0" id="docshape351" coordorigin="1134,252" coordsize="9638,0" path="m10772,252l1134,252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35" w:lineRule="auto" w:before="138" w:after="0"/>
        <w:ind w:left="1853" w:right="1503" w:hanging="720"/>
        <w:jc w:val="left"/>
        <w:rPr>
          <w:sz w:val="18"/>
        </w:rPr>
      </w:pP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‘Submission</w:t>
      </w:r>
      <w:r>
        <w:rPr>
          <w:spacing w:val="-5"/>
          <w:sz w:val="18"/>
        </w:rPr>
        <w:t> </w:t>
      </w:r>
      <w:r>
        <w:rPr>
          <w:sz w:val="18"/>
        </w:rPr>
        <w:t>to</w:t>
      </w:r>
      <w:r>
        <w:rPr>
          <w:spacing w:val="-5"/>
          <w:sz w:val="18"/>
        </w:rPr>
        <w:t> </w:t>
      </w:r>
      <w:r>
        <w:rPr>
          <w:sz w:val="18"/>
        </w:rPr>
        <w:t>the</w:t>
      </w:r>
      <w:r>
        <w:rPr>
          <w:spacing w:val="-4"/>
          <w:sz w:val="18"/>
        </w:rPr>
        <w:t> </w:t>
      </w:r>
      <w:r>
        <w:rPr>
          <w:sz w:val="18"/>
        </w:rPr>
        <w:t>UN</w:t>
      </w:r>
      <w:r>
        <w:rPr>
          <w:spacing w:val="-4"/>
          <w:sz w:val="18"/>
        </w:rPr>
        <w:t> </w:t>
      </w:r>
      <w:r>
        <w:rPr>
          <w:sz w:val="18"/>
        </w:rPr>
        <w:t>Human</w:t>
      </w:r>
      <w:r>
        <w:rPr>
          <w:spacing w:val="-5"/>
          <w:sz w:val="18"/>
        </w:rPr>
        <w:t> </w:t>
      </w:r>
      <w:r>
        <w:rPr>
          <w:sz w:val="18"/>
        </w:rPr>
        <w:t>Rights</w:t>
      </w:r>
      <w:r>
        <w:rPr>
          <w:spacing w:val="-5"/>
          <w:sz w:val="18"/>
        </w:rPr>
        <w:t> </w:t>
      </w:r>
      <w:r>
        <w:rPr>
          <w:sz w:val="18"/>
        </w:rPr>
        <w:t>Committee</w:t>
      </w:r>
      <w:r>
        <w:rPr>
          <w:spacing w:val="-4"/>
          <w:sz w:val="18"/>
        </w:rPr>
        <w:t> </w:t>
      </w:r>
      <w:r>
        <w:rPr>
          <w:sz w:val="18"/>
        </w:rPr>
        <w:t>on</w:t>
      </w:r>
      <w:r>
        <w:rPr>
          <w:spacing w:val="-5"/>
          <w:sz w:val="18"/>
        </w:rPr>
        <w:t> </w:t>
      </w:r>
      <w:r>
        <w:rPr>
          <w:sz w:val="18"/>
        </w:rPr>
        <w:t>the</w:t>
      </w:r>
      <w:r>
        <w:rPr>
          <w:spacing w:val="-4"/>
          <w:sz w:val="18"/>
        </w:rPr>
        <w:t> </w:t>
      </w:r>
      <w:r>
        <w:rPr>
          <w:sz w:val="18"/>
        </w:rPr>
        <w:t>UK’s</w:t>
      </w:r>
      <w:r>
        <w:rPr>
          <w:spacing w:val="-5"/>
          <w:sz w:val="18"/>
        </w:rPr>
        <w:t> </w:t>
      </w:r>
      <w:r>
        <w:rPr>
          <w:sz w:val="18"/>
        </w:rPr>
        <w:t>Eighth</w:t>
      </w:r>
      <w:r>
        <w:rPr>
          <w:spacing w:val="-5"/>
          <w:sz w:val="18"/>
        </w:rPr>
        <w:t> </w:t>
      </w:r>
      <w:r>
        <w:rPr>
          <w:sz w:val="18"/>
        </w:rPr>
        <w:t>Periodic</w:t>
      </w:r>
      <w:r>
        <w:rPr>
          <w:spacing w:val="-4"/>
          <w:sz w:val="18"/>
        </w:rPr>
        <w:t> </w:t>
      </w:r>
      <w:r>
        <w:rPr>
          <w:sz w:val="18"/>
        </w:rPr>
        <w:t>Report</w:t>
      </w:r>
      <w:r>
        <w:rPr>
          <w:spacing w:val="-4"/>
          <w:sz w:val="18"/>
        </w:rPr>
        <w:t> </w:t>
      </w:r>
      <w:r>
        <w:rPr>
          <w:sz w:val="18"/>
        </w:rPr>
        <w:t>on Compliance with the International Covenant on Civil and Political Rights’ (NIHRC, 2024).</w:t>
      </w:r>
    </w:p>
    <w:p>
      <w:pPr>
        <w:pStyle w:val="ListParagraph"/>
        <w:numPr>
          <w:ilvl w:val="0"/>
          <w:numId w:val="9"/>
        </w:numPr>
        <w:tabs>
          <w:tab w:pos="1853" w:val="left" w:leader="none"/>
        </w:tabs>
        <w:spacing w:line="235" w:lineRule="auto" w:before="2" w:after="0"/>
        <w:ind w:left="1853" w:right="1283" w:hanging="720"/>
        <w:jc w:val="left"/>
        <w:rPr>
          <w:sz w:val="18"/>
        </w:rPr>
      </w:pPr>
      <w:r>
        <w:rPr>
          <w:sz w:val="18"/>
        </w:rPr>
        <w:t>CCPR/C/GBR/CO/8,</w:t>
      </w:r>
      <w:r>
        <w:rPr>
          <w:spacing w:val="-4"/>
          <w:sz w:val="18"/>
        </w:rPr>
        <w:t> </w:t>
      </w:r>
      <w:r>
        <w:rPr>
          <w:sz w:val="18"/>
        </w:rPr>
        <w:t>‘UN</w:t>
      </w:r>
      <w:r>
        <w:rPr>
          <w:spacing w:val="-4"/>
          <w:sz w:val="18"/>
        </w:rPr>
        <w:t> </w:t>
      </w:r>
      <w:r>
        <w:rPr>
          <w:sz w:val="18"/>
        </w:rPr>
        <w:t>Human</w:t>
      </w:r>
      <w:r>
        <w:rPr>
          <w:spacing w:val="-5"/>
          <w:sz w:val="18"/>
        </w:rPr>
        <w:t> </w:t>
      </w:r>
      <w:r>
        <w:rPr>
          <w:sz w:val="18"/>
        </w:rPr>
        <w:t>Rights</w:t>
      </w:r>
      <w:r>
        <w:rPr>
          <w:spacing w:val="-5"/>
          <w:sz w:val="18"/>
        </w:rPr>
        <w:t> </w:t>
      </w:r>
      <w:r>
        <w:rPr>
          <w:sz w:val="18"/>
        </w:rPr>
        <w:t>Committee</w:t>
      </w:r>
      <w:r>
        <w:rPr>
          <w:spacing w:val="-4"/>
          <w:sz w:val="18"/>
        </w:rPr>
        <w:t> </w:t>
      </w:r>
      <w:r>
        <w:rPr>
          <w:sz w:val="18"/>
        </w:rPr>
        <w:t>Concluding</w:t>
      </w:r>
      <w:r>
        <w:rPr>
          <w:spacing w:val="-4"/>
          <w:sz w:val="18"/>
        </w:rPr>
        <w:t> </w:t>
      </w:r>
      <w:r>
        <w:rPr>
          <w:sz w:val="18"/>
        </w:rPr>
        <w:t>Observations</w:t>
      </w:r>
      <w:r>
        <w:rPr>
          <w:spacing w:val="-5"/>
          <w:sz w:val="18"/>
        </w:rPr>
        <w:t> </w:t>
      </w:r>
      <w:r>
        <w:rPr>
          <w:sz w:val="18"/>
        </w:rPr>
        <w:t>on</w:t>
      </w:r>
      <w:r>
        <w:rPr>
          <w:spacing w:val="-5"/>
          <w:sz w:val="18"/>
        </w:rPr>
        <w:t> </w:t>
      </w:r>
      <w:r>
        <w:rPr>
          <w:sz w:val="18"/>
        </w:rPr>
        <w:t>the</w:t>
      </w:r>
      <w:r>
        <w:rPr>
          <w:spacing w:val="-4"/>
          <w:sz w:val="18"/>
        </w:rPr>
        <w:t> </w:t>
      </w:r>
      <w:r>
        <w:rPr>
          <w:sz w:val="18"/>
        </w:rPr>
        <w:t>Eighth</w:t>
      </w:r>
      <w:r>
        <w:rPr>
          <w:spacing w:val="-5"/>
          <w:sz w:val="18"/>
        </w:rPr>
        <w:t> </w:t>
      </w:r>
      <w:r>
        <w:rPr>
          <w:sz w:val="18"/>
        </w:rPr>
        <w:t>Periodic</w:t>
      </w:r>
      <w:r>
        <w:rPr>
          <w:spacing w:val="-4"/>
          <w:sz w:val="18"/>
        </w:rPr>
        <w:t> </w:t>
      </w:r>
      <w:r>
        <w:rPr>
          <w:sz w:val="18"/>
        </w:rPr>
        <w:t>Report</w:t>
      </w:r>
      <w:r>
        <w:rPr>
          <w:spacing w:val="-4"/>
          <w:sz w:val="18"/>
        </w:rPr>
        <w:t> </w:t>
      </w:r>
      <w:r>
        <w:rPr>
          <w:sz w:val="18"/>
        </w:rPr>
        <w:t>of</w:t>
      </w:r>
      <w:r>
        <w:rPr>
          <w:spacing w:val="-5"/>
          <w:sz w:val="18"/>
        </w:rPr>
        <w:t> </w:t>
      </w:r>
      <w:r>
        <w:rPr>
          <w:sz w:val="18"/>
        </w:rPr>
        <w:t>UK</w:t>
      </w:r>
      <w:r>
        <w:rPr>
          <w:spacing w:val="-4"/>
          <w:sz w:val="18"/>
        </w:rPr>
        <w:t> </w:t>
      </w:r>
      <w:r>
        <w:rPr>
          <w:sz w:val="18"/>
        </w:rPr>
        <w:t>of</w:t>
      </w:r>
      <w:r>
        <w:rPr>
          <w:spacing w:val="-5"/>
          <w:sz w:val="18"/>
        </w:rPr>
        <w:t> </w:t>
      </w:r>
      <w:r>
        <w:rPr>
          <w:sz w:val="18"/>
        </w:rPr>
        <w:t>Great Britain and NI’, 28 March 2024, at para 38.</w:t>
      </w:r>
    </w:p>
    <w:p>
      <w:pPr>
        <w:pStyle w:val="ListParagraph"/>
        <w:numPr>
          <w:ilvl w:val="0"/>
          <w:numId w:val="9"/>
        </w:numPr>
        <w:tabs>
          <w:tab w:pos="1853" w:val="left" w:leader="none"/>
        </w:tabs>
        <w:spacing w:line="218"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para</w:t>
      </w:r>
      <w:r>
        <w:rPr>
          <w:spacing w:val="-2"/>
          <w:sz w:val="18"/>
        </w:rPr>
        <w:t> 39(b).</w:t>
      </w:r>
    </w:p>
    <w:p>
      <w:pPr>
        <w:spacing w:after="0" w:line="218" w:lineRule="exact"/>
        <w:jc w:val="left"/>
        <w:rPr>
          <w:sz w:val="18"/>
        </w:rPr>
        <w:sectPr>
          <w:pgSz w:w="11910" w:h="16840"/>
          <w:pgMar w:header="496" w:footer="367" w:top="1220" w:bottom="560" w:left="0" w:right="0"/>
        </w:sectPr>
      </w:pPr>
    </w:p>
    <w:p>
      <w:pPr>
        <w:pStyle w:val="BodyText"/>
        <w:spacing w:before="198"/>
      </w:pPr>
    </w:p>
    <w:p>
      <w:pPr>
        <w:spacing w:line="225" w:lineRule="auto" w:before="0"/>
        <w:ind w:left="1853" w:right="1171" w:firstLine="0"/>
        <w:jc w:val="left"/>
        <w:rPr>
          <w:b/>
          <w:sz w:val="28"/>
        </w:rPr>
      </w:pPr>
      <w:bookmarkStart w:name="_bookmark33" w:id="71"/>
      <w:bookmarkEnd w:id="71"/>
      <w:r>
        <w:rPr/>
      </w:r>
      <w:r>
        <w:rPr>
          <w:b/>
          <w:color w:val="67287F"/>
          <w:sz w:val="28"/>
        </w:rPr>
        <w:t>ensures</w:t>
      </w:r>
      <w:r>
        <w:rPr>
          <w:b/>
          <w:color w:val="67287F"/>
          <w:spacing w:val="-5"/>
          <w:sz w:val="28"/>
        </w:rPr>
        <w:t> </w:t>
      </w:r>
      <w:r>
        <w:rPr>
          <w:b/>
          <w:color w:val="67287F"/>
          <w:sz w:val="28"/>
        </w:rPr>
        <w:t>that</w:t>
      </w:r>
      <w:r>
        <w:rPr>
          <w:b/>
          <w:color w:val="67287F"/>
          <w:spacing w:val="-5"/>
          <w:sz w:val="28"/>
        </w:rPr>
        <w:t> </w:t>
      </w:r>
      <w:r>
        <w:rPr>
          <w:b/>
          <w:color w:val="67287F"/>
          <w:sz w:val="28"/>
        </w:rPr>
        <w:t>the</w:t>
      </w:r>
      <w:r>
        <w:rPr>
          <w:b/>
          <w:color w:val="67287F"/>
          <w:spacing w:val="-6"/>
          <w:sz w:val="28"/>
        </w:rPr>
        <w:t> </w:t>
      </w:r>
      <w:r>
        <w:rPr>
          <w:b/>
          <w:color w:val="67287F"/>
          <w:sz w:val="28"/>
        </w:rPr>
        <w:t>needs</w:t>
      </w:r>
      <w:r>
        <w:rPr>
          <w:b/>
          <w:color w:val="67287F"/>
          <w:spacing w:val="-5"/>
          <w:sz w:val="28"/>
        </w:rPr>
        <w:t> </w:t>
      </w:r>
      <w:r>
        <w:rPr>
          <w:b/>
          <w:color w:val="67287F"/>
          <w:sz w:val="28"/>
        </w:rPr>
        <w:t>of</w:t>
      </w:r>
      <w:r>
        <w:rPr>
          <w:b/>
          <w:color w:val="67287F"/>
          <w:spacing w:val="-6"/>
          <w:sz w:val="28"/>
        </w:rPr>
        <w:t> </w:t>
      </w:r>
      <w:r>
        <w:rPr>
          <w:b/>
          <w:color w:val="67287F"/>
          <w:sz w:val="28"/>
        </w:rPr>
        <w:t>child</w:t>
      </w:r>
      <w:r>
        <w:rPr>
          <w:b/>
          <w:color w:val="67287F"/>
          <w:spacing w:val="-5"/>
          <w:sz w:val="28"/>
        </w:rPr>
        <w:t> </w:t>
      </w:r>
      <w:r>
        <w:rPr>
          <w:b/>
          <w:color w:val="67287F"/>
          <w:sz w:val="28"/>
        </w:rPr>
        <w:t>victims</w:t>
      </w:r>
      <w:r>
        <w:rPr>
          <w:b/>
          <w:color w:val="67287F"/>
          <w:spacing w:val="-5"/>
          <w:sz w:val="28"/>
        </w:rPr>
        <w:t> </w:t>
      </w:r>
      <w:r>
        <w:rPr>
          <w:b/>
          <w:color w:val="67287F"/>
          <w:sz w:val="28"/>
        </w:rPr>
        <w:t>are</w:t>
      </w:r>
      <w:r>
        <w:rPr>
          <w:b/>
          <w:color w:val="67287F"/>
          <w:spacing w:val="-6"/>
          <w:sz w:val="28"/>
        </w:rPr>
        <w:t> </w:t>
      </w:r>
      <w:r>
        <w:rPr>
          <w:b/>
          <w:color w:val="67287F"/>
          <w:sz w:val="28"/>
        </w:rPr>
        <w:t>safeguarded</w:t>
      </w:r>
      <w:r>
        <w:rPr>
          <w:b/>
          <w:color w:val="67287F"/>
          <w:spacing w:val="-5"/>
          <w:sz w:val="28"/>
        </w:rPr>
        <w:t> </w:t>
      </w:r>
      <w:r>
        <w:rPr>
          <w:b/>
          <w:color w:val="67287F"/>
          <w:sz w:val="28"/>
        </w:rPr>
        <w:t>in</w:t>
      </w:r>
      <w:r>
        <w:rPr>
          <w:b/>
          <w:color w:val="67287F"/>
          <w:spacing w:val="-5"/>
          <w:sz w:val="28"/>
        </w:rPr>
        <w:t> </w:t>
      </w:r>
      <w:r>
        <w:rPr>
          <w:b/>
          <w:color w:val="67287F"/>
          <w:sz w:val="28"/>
        </w:rPr>
        <w:t>the</w:t>
      </w:r>
      <w:r>
        <w:rPr>
          <w:b/>
          <w:color w:val="67287F"/>
          <w:spacing w:val="-6"/>
          <w:sz w:val="28"/>
        </w:rPr>
        <w:t> </w:t>
      </w:r>
      <w:r>
        <w:rPr>
          <w:b/>
          <w:color w:val="67287F"/>
          <w:sz w:val="28"/>
        </w:rPr>
        <w:t>subsequent regulations and guidance on the human trafficking resulting from the Nationality and Borders Act 2022.</w:t>
      </w:r>
    </w:p>
    <w:p>
      <w:pPr>
        <w:pStyle w:val="ListParagraph"/>
        <w:numPr>
          <w:ilvl w:val="1"/>
          <w:numId w:val="7"/>
        </w:numPr>
        <w:tabs>
          <w:tab w:pos="1853" w:val="left" w:leader="none"/>
        </w:tabs>
        <w:spacing w:line="225" w:lineRule="auto" w:before="317" w:after="0"/>
        <w:ind w:left="1853" w:right="1154" w:hanging="720"/>
        <w:jc w:val="left"/>
        <w:rPr>
          <w:b/>
          <w:color w:val="67287F"/>
          <w:sz w:val="28"/>
        </w:rPr>
      </w:pPr>
      <w:r>
        <w:rPr>
          <w:b/>
          <w:color w:val="67287F"/>
          <w:sz w:val="28"/>
        </w:rPr>
        <w:t>The Commissions recommend that the Home Office takes steps to immediately amend the Illegal Migration Act 2023 to ensure human rights compliant support and assistance is provided to potential victims of human trafficking</w:t>
      </w:r>
      <w:r>
        <w:rPr>
          <w:b/>
          <w:color w:val="67287F"/>
          <w:spacing w:val="-9"/>
          <w:sz w:val="28"/>
        </w:rPr>
        <w:t> </w:t>
      </w:r>
      <w:r>
        <w:rPr>
          <w:b/>
          <w:color w:val="67287F"/>
          <w:sz w:val="28"/>
        </w:rPr>
        <w:t>and</w:t>
      </w:r>
      <w:r>
        <w:rPr>
          <w:b/>
          <w:color w:val="67287F"/>
          <w:spacing w:val="-8"/>
          <w:sz w:val="28"/>
        </w:rPr>
        <w:t> </w:t>
      </w:r>
      <w:r>
        <w:rPr>
          <w:b/>
          <w:color w:val="67287F"/>
          <w:sz w:val="28"/>
        </w:rPr>
        <w:t>to</w:t>
      </w:r>
      <w:r>
        <w:rPr>
          <w:b/>
          <w:color w:val="67287F"/>
          <w:spacing w:val="-8"/>
          <w:sz w:val="28"/>
        </w:rPr>
        <w:t> </w:t>
      </w:r>
      <w:r>
        <w:rPr>
          <w:b/>
          <w:color w:val="67287F"/>
          <w:sz w:val="28"/>
        </w:rPr>
        <w:t>protect</w:t>
      </w:r>
      <w:r>
        <w:rPr>
          <w:b/>
          <w:color w:val="67287F"/>
          <w:spacing w:val="-8"/>
          <w:sz w:val="28"/>
        </w:rPr>
        <w:t> </w:t>
      </w:r>
      <w:r>
        <w:rPr>
          <w:b/>
          <w:color w:val="67287F"/>
          <w:sz w:val="28"/>
        </w:rPr>
        <w:t>against</w:t>
      </w:r>
      <w:r>
        <w:rPr>
          <w:b/>
          <w:color w:val="67287F"/>
          <w:spacing w:val="-8"/>
          <w:sz w:val="28"/>
        </w:rPr>
        <w:t> </w:t>
      </w:r>
      <w:r>
        <w:rPr>
          <w:b/>
          <w:color w:val="67287F"/>
          <w:sz w:val="28"/>
        </w:rPr>
        <w:t>any</w:t>
      </w:r>
      <w:r>
        <w:rPr>
          <w:b/>
          <w:color w:val="67287F"/>
          <w:spacing w:val="-8"/>
          <w:sz w:val="28"/>
        </w:rPr>
        <w:t> </w:t>
      </w:r>
      <w:r>
        <w:rPr>
          <w:b/>
          <w:color w:val="67287F"/>
          <w:sz w:val="28"/>
        </w:rPr>
        <w:t>diminution</w:t>
      </w:r>
      <w:r>
        <w:rPr>
          <w:b/>
          <w:color w:val="67287F"/>
          <w:spacing w:val="-8"/>
          <w:sz w:val="28"/>
        </w:rPr>
        <w:t> </w:t>
      </w:r>
      <w:r>
        <w:rPr>
          <w:b/>
          <w:color w:val="67287F"/>
          <w:sz w:val="28"/>
        </w:rPr>
        <w:t>of</w:t>
      </w:r>
      <w:r>
        <w:rPr>
          <w:b/>
          <w:color w:val="67287F"/>
          <w:spacing w:val="-9"/>
          <w:sz w:val="28"/>
        </w:rPr>
        <w:t> </w:t>
      </w:r>
      <w:r>
        <w:rPr>
          <w:b/>
          <w:color w:val="67287F"/>
          <w:sz w:val="28"/>
        </w:rPr>
        <w:t>rights</w:t>
      </w:r>
      <w:r>
        <w:rPr>
          <w:b/>
          <w:color w:val="67287F"/>
          <w:spacing w:val="-8"/>
          <w:sz w:val="28"/>
        </w:rPr>
        <w:t> </w:t>
      </w:r>
      <w:r>
        <w:rPr>
          <w:b/>
          <w:color w:val="67287F"/>
          <w:sz w:val="28"/>
        </w:rPr>
        <w:t>in</w:t>
      </w:r>
      <w:r>
        <w:rPr>
          <w:b/>
          <w:color w:val="67287F"/>
          <w:spacing w:val="-8"/>
          <w:sz w:val="28"/>
        </w:rPr>
        <w:t> </w:t>
      </w:r>
      <w:r>
        <w:rPr>
          <w:b/>
          <w:color w:val="67287F"/>
          <w:sz w:val="28"/>
        </w:rPr>
        <w:t>NI</w:t>
      </w:r>
      <w:r>
        <w:rPr>
          <w:b/>
          <w:color w:val="67287F"/>
          <w:spacing w:val="-8"/>
          <w:sz w:val="28"/>
        </w:rPr>
        <w:t> </w:t>
      </w:r>
      <w:r>
        <w:rPr>
          <w:b/>
          <w:color w:val="67287F"/>
          <w:sz w:val="28"/>
        </w:rPr>
        <w:t>law,</w:t>
      </w:r>
      <w:r>
        <w:rPr>
          <w:b/>
          <w:color w:val="67287F"/>
          <w:spacing w:val="-8"/>
          <w:sz w:val="28"/>
        </w:rPr>
        <w:t> </w:t>
      </w:r>
      <w:r>
        <w:rPr>
          <w:b/>
          <w:color w:val="67287F"/>
          <w:sz w:val="28"/>
        </w:rPr>
        <w:t>in</w:t>
      </w:r>
      <w:r>
        <w:rPr>
          <w:b/>
          <w:color w:val="67287F"/>
          <w:spacing w:val="-8"/>
          <w:sz w:val="28"/>
        </w:rPr>
        <w:t> </w:t>
      </w:r>
      <w:r>
        <w:rPr>
          <w:b/>
          <w:color w:val="67287F"/>
          <w:sz w:val="28"/>
        </w:rPr>
        <w:t>breach of Windsor Framework Article 2.</w:t>
      </w:r>
    </w:p>
    <w:p>
      <w:pPr>
        <w:pStyle w:val="ListParagraph"/>
        <w:numPr>
          <w:ilvl w:val="1"/>
          <w:numId w:val="7"/>
        </w:numPr>
        <w:tabs>
          <w:tab w:pos="1853" w:val="left" w:leader="none"/>
        </w:tabs>
        <w:spacing w:line="225" w:lineRule="auto" w:before="313" w:after="0"/>
        <w:ind w:left="1853" w:right="1709" w:hanging="720"/>
        <w:jc w:val="left"/>
        <w:rPr>
          <w:b/>
          <w:color w:val="67287F"/>
          <w:sz w:val="28"/>
        </w:rPr>
      </w:pPr>
      <w:r>
        <w:rPr>
          <w:b/>
          <w:color w:val="67287F"/>
          <w:sz w:val="28"/>
        </w:rPr>
        <w:t>The NIHRC continues to recommend that, in line with international human</w:t>
      </w:r>
      <w:r>
        <w:rPr>
          <w:b/>
          <w:color w:val="67287F"/>
          <w:spacing w:val="-7"/>
          <w:sz w:val="28"/>
        </w:rPr>
        <w:t> </w:t>
      </w:r>
      <w:r>
        <w:rPr>
          <w:b/>
          <w:color w:val="67287F"/>
          <w:sz w:val="28"/>
        </w:rPr>
        <w:t>rights</w:t>
      </w:r>
      <w:r>
        <w:rPr>
          <w:b/>
          <w:color w:val="67287F"/>
          <w:spacing w:val="-7"/>
          <w:sz w:val="28"/>
        </w:rPr>
        <w:t> </w:t>
      </w:r>
      <w:r>
        <w:rPr>
          <w:b/>
          <w:color w:val="67287F"/>
          <w:sz w:val="28"/>
        </w:rPr>
        <w:t>standards</w:t>
      </w:r>
      <w:r>
        <w:rPr>
          <w:b/>
          <w:color w:val="67287F"/>
          <w:spacing w:val="-7"/>
          <w:sz w:val="28"/>
        </w:rPr>
        <w:t> </w:t>
      </w:r>
      <w:r>
        <w:rPr>
          <w:b/>
          <w:color w:val="67287F"/>
          <w:sz w:val="28"/>
        </w:rPr>
        <w:t>and</w:t>
      </w:r>
      <w:r>
        <w:rPr>
          <w:b/>
          <w:color w:val="67287F"/>
          <w:spacing w:val="-7"/>
          <w:sz w:val="28"/>
        </w:rPr>
        <w:t> </w:t>
      </w:r>
      <w:r>
        <w:rPr>
          <w:b/>
          <w:color w:val="67287F"/>
          <w:sz w:val="28"/>
        </w:rPr>
        <w:t>Windsor</w:t>
      </w:r>
      <w:r>
        <w:rPr>
          <w:b/>
          <w:color w:val="67287F"/>
          <w:spacing w:val="-8"/>
          <w:sz w:val="28"/>
        </w:rPr>
        <w:t> </w:t>
      </w:r>
      <w:r>
        <w:rPr>
          <w:b/>
          <w:color w:val="67287F"/>
          <w:sz w:val="28"/>
        </w:rPr>
        <w:t>Framework</w:t>
      </w:r>
      <w:r>
        <w:rPr>
          <w:b/>
          <w:color w:val="67287F"/>
          <w:spacing w:val="-8"/>
          <w:sz w:val="28"/>
        </w:rPr>
        <w:t> </w:t>
      </w:r>
      <w:r>
        <w:rPr>
          <w:b/>
          <w:color w:val="67287F"/>
          <w:sz w:val="28"/>
        </w:rPr>
        <w:t>Article</w:t>
      </w:r>
      <w:r>
        <w:rPr>
          <w:b/>
          <w:color w:val="67287F"/>
          <w:spacing w:val="-8"/>
          <w:sz w:val="28"/>
        </w:rPr>
        <w:t> </w:t>
      </w:r>
      <w:r>
        <w:rPr>
          <w:b/>
          <w:color w:val="67287F"/>
          <w:sz w:val="28"/>
        </w:rPr>
        <w:t>2,</w:t>
      </w:r>
      <w:r>
        <w:rPr>
          <w:b/>
          <w:color w:val="67287F"/>
          <w:spacing w:val="-7"/>
          <w:sz w:val="28"/>
        </w:rPr>
        <w:t> </w:t>
      </w:r>
      <w:r>
        <w:rPr>
          <w:b/>
          <w:color w:val="67287F"/>
          <w:sz w:val="28"/>
        </w:rPr>
        <w:t>including</w:t>
      </w:r>
      <w:r>
        <w:rPr>
          <w:b/>
          <w:color w:val="67287F"/>
          <w:spacing w:val="-8"/>
          <w:sz w:val="28"/>
        </w:rPr>
        <w:t> </w:t>
      </w:r>
      <w:r>
        <w:rPr>
          <w:b/>
          <w:color w:val="67287F"/>
          <w:sz w:val="28"/>
        </w:rPr>
        <w:t>the EU</w:t>
      </w:r>
      <w:r>
        <w:rPr>
          <w:b/>
          <w:color w:val="67287F"/>
          <w:spacing w:val="-1"/>
          <w:sz w:val="28"/>
        </w:rPr>
        <w:t> </w:t>
      </w:r>
      <w:r>
        <w:rPr>
          <w:b/>
          <w:color w:val="67287F"/>
          <w:sz w:val="28"/>
        </w:rPr>
        <w:t>Trafficking</w:t>
      </w:r>
      <w:r>
        <w:rPr>
          <w:b/>
          <w:color w:val="67287F"/>
          <w:spacing w:val="-2"/>
          <w:sz w:val="28"/>
        </w:rPr>
        <w:t> </w:t>
      </w:r>
      <w:r>
        <w:rPr>
          <w:b/>
          <w:color w:val="67287F"/>
          <w:sz w:val="28"/>
        </w:rPr>
        <w:t>Directive,</w:t>
      </w:r>
      <w:r>
        <w:rPr>
          <w:b/>
          <w:color w:val="67287F"/>
          <w:spacing w:val="-1"/>
          <w:sz w:val="28"/>
        </w:rPr>
        <w:t> </w:t>
      </w:r>
      <w:r>
        <w:rPr>
          <w:b/>
          <w:color w:val="67287F"/>
          <w:sz w:val="28"/>
        </w:rPr>
        <w:t>the</w:t>
      </w:r>
      <w:r>
        <w:rPr>
          <w:b/>
          <w:color w:val="67287F"/>
          <w:spacing w:val="-2"/>
          <w:sz w:val="28"/>
        </w:rPr>
        <w:t> </w:t>
      </w:r>
      <w:r>
        <w:rPr>
          <w:b/>
          <w:color w:val="67287F"/>
          <w:sz w:val="28"/>
        </w:rPr>
        <w:t>Department</w:t>
      </w:r>
      <w:r>
        <w:rPr>
          <w:b/>
          <w:color w:val="67287F"/>
          <w:spacing w:val="-1"/>
          <w:sz w:val="28"/>
        </w:rPr>
        <w:t> </w:t>
      </w:r>
      <w:r>
        <w:rPr>
          <w:b/>
          <w:color w:val="67287F"/>
          <w:sz w:val="28"/>
        </w:rPr>
        <w:t>of</w:t>
      </w:r>
      <w:r>
        <w:rPr>
          <w:b/>
          <w:color w:val="67287F"/>
          <w:spacing w:val="-2"/>
          <w:sz w:val="28"/>
        </w:rPr>
        <w:t> </w:t>
      </w:r>
      <w:r>
        <w:rPr>
          <w:b/>
          <w:color w:val="67287F"/>
          <w:sz w:val="28"/>
        </w:rPr>
        <w:t>Justice</w:t>
      </w:r>
      <w:r>
        <w:rPr>
          <w:b/>
          <w:color w:val="67287F"/>
          <w:spacing w:val="-2"/>
          <w:sz w:val="28"/>
        </w:rPr>
        <w:t> </w:t>
      </w:r>
      <w:r>
        <w:rPr>
          <w:b/>
          <w:color w:val="67287F"/>
          <w:sz w:val="28"/>
        </w:rPr>
        <w:t>provide</w:t>
      </w:r>
      <w:r>
        <w:rPr>
          <w:b/>
          <w:color w:val="67287F"/>
          <w:spacing w:val="-2"/>
          <w:sz w:val="28"/>
        </w:rPr>
        <w:t> </w:t>
      </w:r>
      <w:r>
        <w:rPr>
          <w:b/>
          <w:color w:val="67287F"/>
          <w:sz w:val="28"/>
        </w:rPr>
        <w:t>compulsory, specialised training and guidance to all relevant staff, which is trauma-</w:t>
      </w:r>
    </w:p>
    <w:p>
      <w:pPr>
        <w:spacing w:line="225" w:lineRule="auto" w:before="0"/>
        <w:ind w:left="1853" w:right="1171" w:firstLine="0"/>
        <w:jc w:val="left"/>
        <w:rPr>
          <w:b/>
          <w:sz w:val="28"/>
        </w:rPr>
      </w:pPr>
      <w:r>
        <w:rPr>
          <w:b/>
          <w:color w:val="67287F"/>
          <w:sz w:val="28"/>
        </w:rPr>
        <w:t>informed</w:t>
      </w:r>
      <w:r>
        <w:rPr>
          <w:b/>
          <w:color w:val="67287F"/>
          <w:spacing w:val="-8"/>
          <w:sz w:val="28"/>
        </w:rPr>
        <w:t> </w:t>
      </w:r>
      <w:r>
        <w:rPr>
          <w:b/>
          <w:color w:val="67287F"/>
          <w:sz w:val="28"/>
        </w:rPr>
        <w:t>and</w:t>
      </w:r>
      <w:r>
        <w:rPr>
          <w:b/>
          <w:color w:val="67287F"/>
          <w:spacing w:val="-8"/>
          <w:sz w:val="28"/>
        </w:rPr>
        <w:t> </w:t>
      </w:r>
      <w:r>
        <w:rPr>
          <w:b/>
          <w:color w:val="67287F"/>
          <w:sz w:val="28"/>
        </w:rPr>
        <w:t>victim-centred,</w:t>
      </w:r>
      <w:r>
        <w:rPr>
          <w:b/>
          <w:color w:val="67287F"/>
          <w:spacing w:val="-8"/>
          <w:sz w:val="28"/>
        </w:rPr>
        <w:t> </w:t>
      </w:r>
      <w:r>
        <w:rPr>
          <w:b/>
          <w:color w:val="67287F"/>
          <w:sz w:val="28"/>
        </w:rPr>
        <w:t>to</w:t>
      </w:r>
      <w:r>
        <w:rPr>
          <w:b/>
          <w:color w:val="67287F"/>
          <w:spacing w:val="-8"/>
          <w:sz w:val="28"/>
        </w:rPr>
        <w:t> </w:t>
      </w:r>
      <w:r>
        <w:rPr>
          <w:b/>
          <w:color w:val="67287F"/>
          <w:sz w:val="28"/>
        </w:rPr>
        <w:t>ensure</w:t>
      </w:r>
      <w:r>
        <w:rPr>
          <w:b/>
          <w:color w:val="67287F"/>
          <w:spacing w:val="-9"/>
          <w:sz w:val="28"/>
        </w:rPr>
        <w:t> </w:t>
      </w:r>
      <w:r>
        <w:rPr>
          <w:b/>
          <w:color w:val="67287F"/>
          <w:sz w:val="28"/>
        </w:rPr>
        <w:t>victims</w:t>
      </w:r>
      <w:r>
        <w:rPr>
          <w:b/>
          <w:color w:val="67287F"/>
          <w:spacing w:val="-8"/>
          <w:sz w:val="28"/>
        </w:rPr>
        <w:t> </w:t>
      </w:r>
      <w:r>
        <w:rPr>
          <w:b/>
          <w:color w:val="67287F"/>
          <w:sz w:val="28"/>
        </w:rPr>
        <w:t>are</w:t>
      </w:r>
      <w:r>
        <w:rPr>
          <w:b/>
          <w:color w:val="67287F"/>
          <w:spacing w:val="-9"/>
          <w:sz w:val="28"/>
        </w:rPr>
        <w:t> </w:t>
      </w:r>
      <w:r>
        <w:rPr>
          <w:b/>
          <w:color w:val="67287F"/>
          <w:sz w:val="28"/>
        </w:rPr>
        <w:t>accurately</w:t>
      </w:r>
      <w:r>
        <w:rPr>
          <w:b/>
          <w:color w:val="67287F"/>
          <w:spacing w:val="-8"/>
          <w:sz w:val="28"/>
        </w:rPr>
        <w:t> </w:t>
      </w:r>
      <w:r>
        <w:rPr>
          <w:b/>
          <w:color w:val="67287F"/>
          <w:sz w:val="28"/>
        </w:rPr>
        <w:t>identified</w:t>
      </w:r>
      <w:r>
        <w:rPr>
          <w:b/>
          <w:color w:val="67287F"/>
          <w:spacing w:val="-8"/>
          <w:sz w:val="28"/>
        </w:rPr>
        <w:t> </w:t>
      </w:r>
      <w:r>
        <w:rPr>
          <w:b/>
          <w:color w:val="67287F"/>
          <w:sz w:val="28"/>
        </w:rPr>
        <w:t>and supported. This includes ensuring support and services are appropriately tailored to take account of age, gender and culture.</w:t>
      </w:r>
    </w:p>
    <w:p>
      <w:pPr>
        <w:pStyle w:val="ListParagraph"/>
        <w:numPr>
          <w:ilvl w:val="1"/>
          <w:numId w:val="7"/>
        </w:numPr>
        <w:tabs>
          <w:tab w:pos="1853" w:val="left" w:leader="none"/>
        </w:tabs>
        <w:spacing w:line="225" w:lineRule="auto" w:before="311" w:after="0"/>
        <w:ind w:left="1853" w:right="1424" w:hanging="720"/>
        <w:jc w:val="left"/>
        <w:rPr>
          <w:b/>
          <w:color w:val="67287F"/>
          <w:sz w:val="28"/>
        </w:rPr>
      </w:pPr>
      <w:r>
        <w:rPr>
          <w:b/>
          <w:color w:val="67287F"/>
          <w:sz w:val="28"/>
        </w:rPr>
        <w:t>The NIHRC continues to recommend that the Department of Justice promptly introduces legislation providing for Trafficking and Exploitation Risk Orders in NI. In line with international human rights standards and Windsor Framework Article 2, this guidance should require individual assessments</w:t>
      </w:r>
      <w:r>
        <w:rPr>
          <w:b/>
          <w:color w:val="67287F"/>
          <w:spacing w:val="-5"/>
          <w:sz w:val="28"/>
        </w:rPr>
        <w:t> </w:t>
      </w:r>
      <w:r>
        <w:rPr>
          <w:b/>
          <w:color w:val="67287F"/>
          <w:sz w:val="28"/>
        </w:rPr>
        <w:t>of</w:t>
      </w:r>
      <w:r>
        <w:rPr>
          <w:b/>
          <w:color w:val="67287F"/>
          <w:spacing w:val="-6"/>
          <w:sz w:val="28"/>
        </w:rPr>
        <w:t> </w:t>
      </w:r>
      <w:r>
        <w:rPr>
          <w:b/>
          <w:color w:val="67287F"/>
          <w:sz w:val="28"/>
        </w:rPr>
        <w:t>victims</w:t>
      </w:r>
      <w:r>
        <w:rPr>
          <w:b/>
          <w:color w:val="67287F"/>
          <w:spacing w:val="-5"/>
          <w:sz w:val="28"/>
        </w:rPr>
        <w:t> </w:t>
      </w:r>
      <w:r>
        <w:rPr>
          <w:b/>
          <w:color w:val="67287F"/>
          <w:sz w:val="28"/>
        </w:rPr>
        <w:t>to</w:t>
      </w:r>
      <w:r>
        <w:rPr>
          <w:b/>
          <w:color w:val="67287F"/>
          <w:spacing w:val="-5"/>
          <w:sz w:val="28"/>
        </w:rPr>
        <w:t> </w:t>
      </w:r>
      <w:r>
        <w:rPr>
          <w:b/>
          <w:color w:val="67287F"/>
          <w:sz w:val="28"/>
        </w:rPr>
        <w:t>be</w:t>
      </w:r>
      <w:r>
        <w:rPr>
          <w:b/>
          <w:color w:val="67287F"/>
          <w:spacing w:val="-6"/>
          <w:sz w:val="28"/>
        </w:rPr>
        <w:t> </w:t>
      </w:r>
      <w:r>
        <w:rPr>
          <w:b/>
          <w:color w:val="67287F"/>
          <w:sz w:val="28"/>
        </w:rPr>
        <w:t>conducted</w:t>
      </w:r>
      <w:r>
        <w:rPr>
          <w:b/>
          <w:color w:val="67287F"/>
          <w:spacing w:val="-5"/>
          <w:sz w:val="28"/>
        </w:rPr>
        <w:t> </w:t>
      </w:r>
      <w:r>
        <w:rPr>
          <w:b/>
          <w:color w:val="67287F"/>
          <w:sz w:val="28"/>
        </w:rPr>
        <w:t>for</w:t>
      </w:r>
      <w:r>
        <w:rPr>
          <w:b/>
          <w:color w:val="67287F"/>
          <w:spacing w:val="-6"/>
          <w:sz w:val="28"/>
        </w:rPr>
        <w:t> </w:t>
      </w:r>
      <w:r>
        <w:rPr>
          <w:b/>
          <w:color w:val="67287F"/>
          <w:sz w:val="28"/>
        </w:rPr>
        <w:t>the</w:t>
      </w:r>
      <w:r>
        <w:rPr>
          <w:b/>
          <w:color w:val="67287F"/>
          <w:spacing w:val="-6"/>
          <w:sz w:val="28"/>
        </w:rPr>
        <w:t> </w:t>
      </w:r>
      <w:r>
        <w:rPr>
          <w:b/>
          <w:color w:val="67287F"/>
          <w:sz w:val="28"/>
        </w:rPr>
        <w:t>purposes</w:t>
      </w:r>
      <w:r>
        <w:rPr>
          <w:b/>
          <w:color w:val="67287F"/>
          <w:spacing w:val="-5"/>
          <w:sz w:val="28"/>
        </w:rPr>
        <w:t> </w:t>
      </w:r>
      <w:r>
        <w:rPr>
          <w:b/>
          <w:color w:val="67287F"/>
          <w:sz w:val="28"/>
        </w:rPr>
        <w:t>of</w:t>
      </w:r>
      <w:r>
        <w:rPr>
          <w:b/>
          <w:color w:val="67287F"/>
          <w:spacing w:val="-6"/>
          <w:sz w:val="28"/>
        </w:rPr>
        <w:t> </w:t>
      </w:r>
      <w:r>
        <w:rPr>
          <w:b/>
          <w:color w:val="67287F"/>
          <w:sz w:val="28"/>
        </w:rPr>
        <w:t>identifying</w:t>
      </w:r>
      <w:r>
        <w:rPr>
          <w:b/>
          <w:color w:val="67287F"/>
          <w:spacing w:val="-6"/>
          <w:sz w:val="28"/>
        </w:rPr>
        <w:t> </w:t>
      </w:r>
      <w:r>
        <w:rPr>
          <w:b/>
          <w:color w:val="67287F"/>
          <w:sz w:val="28"/>
        </w:rPr>
        <w:t>the necessity and proportionality of a risk order.</w:t>
      </w:r>
    </w:p>
    <w:p>
      <w:pPr>
        <w:pStyle w:val="Heading3"/>
        <w:spacing w:before="340"/>
      </w:pPr>
      <w:bookmarkStart w:name="Migrants’ Rights" w:id="72"/>
      <w:bookmarkEnd w:id="72"/>
      <w:r>
        <w:rPr>
          <w:b w:val="0"/>
        </w:rPr>
      </w:r>
      <w:r>
        <w:rPr>
          <w:color w:val="67287F"/>
        </w:rPr>
        <w:t>Migrants’</w:t>
      </w:r>
      <w:r>
        <w:rPr>
          <w:color w:val="67287F"/>
          <w:spacing w:val="-16"/>
        </w:rPr>
        <w:t> </w:t>
      </w:r>
      <w:r>
        <w:rPr>
          <w:color w:val="67287F"/>
          <w:spacing w:val="-2"/>
        </w:rPr>
        <w:t>Rights</w:t>
      </w:r>
    </w:p>
    <w:p>
      <w:pPr>
        <w:pStyle w:val="BodyText"/>
        <w:spacing w:before="7"/>
        <w:rPr>
          <w:b/>
          <w:sz w:val="5"/>
        </w:rPr>
      </w:pPr>
      <w:r>
        <w:rPr/>
        <mc:AlternateContent>
          <mc:Choice Requires="wps">
            <w:drawing>
              <wp:anchor distT="0" distB="0" distL="0" distR="0" allowOverlap="1" layoutInCell="1" locked="0" behindDoc="1" simplePos="0" relativeHeight="487682048">
                <wp:simplePos x="0" y="0"/>
                <wp:positionH relativeFrom="page">
                  <wp:posOffset>719997</wp:posOffset>
                </wp:positionH>
                <wp:positionV relativeFrom="paragraph">
                  <wp:posOffset>58907</wp:posOffset>
                </wp:positionV>
                <wp:extent cx="6120130" cy="1270"/>
                <wp:effectExtent l="0" t="0" r="0" b="0"/>
                <wp:wrapTopAndBottom/>
                <wp:docPr id="403" name="Graphic 403"/>
                <wp:cNvGraphicFramePr>
                  <a:graphicFrameLocks/>
                </wp:cNvGraphicFramePr>
                <a:graphic>
                  <a:graphicData uri="http://schemas.microsoft.com/office/word/2010/wordprocessingShape">
                    <wps:wsp>
                      <wps:cNvPr id="403" name="Graphic 403"/>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4.638384pt;width:481.9pt;height:.1pt;mso-position-horizontal-relative:page;mso-position-vertical-relative:paragraph;z-index:-15634432;mso-wrap-distance-left:0;mso-wrap-distance-right:0" id="docshape352" coordorigin="1134,93" coordsize="9638,0" path="m10772,93l1134,93e" filled="false" stroked="true" strokeweight="1pt" strokecolor="#67287f">
                <v:path arrowok="t"/>
                <v:stroke dashstyle="solid"/>
                <w10:wrap type="topAndBottom"/>
              </v:shape>
            </w:pict>
          </mc:Fallback>
        </mc:AlternateContent>
      </w:r>
    </w:p>
    <w:p>
      <w:pPr>
        <w:pStyle w:val="ListParagraph"/>
        <w:numPr>
          <w:ilvl w:val="1"/>
          <w:numId w:val="7"/>
        </w:numPr>
        <w:tabs>
          <w:tab w:pos="1853" w:val="left" w:leader="none"/>
        </w:tabs>
        <w:spacing w:line="225" w:lineRule="auto" w:before="326" w:after="0"/>
        <w:ind w:left="1853" w:right="1574" w:hanging="720"/>
        <w:jc w:val="left"/>
        <w:rPr>
          <w:sz w:val="28"/>
        </w:rPr>
      </w:pPr>
      <w:r>
        <w:rPr>
          <w:sz w:val="28"/>
        </w:rPr>
        <w:t>In the rights, safeguards and equality of opportunity section of the Belfast (Good</w:t>
      </w:r>
      <w:r>
        <w:rPr>
          <w:spacing w:val="-5"/>
          <w:sz w:val="28"/>
        </w:rPr>
        <w:t> </w:t>
      </w:r>
      <w:r>
        <w:rPr>
          <w:sz w:val="28"/>
        </w:rPr>
        <w:t>Friday)</w:t>
      </w:r>
      <w:r>
        <w:rPr>
          <w:spacing w:val="-5"/>
          <w:sz w:val="28"/>
        </w:rPr>
        <w:t> </w:t>
      </w:r>
      <w:r>
        <w:rPr>
          <w:sz w:val="28"/>
        </w:rPr>
        <w:t>Agreement</w:t>
      </w:r>
      <w:r>
        <w:rPr>
          <w:spacing w:val="-4"/>
          <w:sz w:val="28"/>
        </w:rPr>
        <w:t> </w:t>
      </w:r>
      <w:r>
        <w:rPr>
          <w:sz w:val="28"/>
        </w:rPr>
        <w:t>the</w:t>
      </w:r>
      <w:r>
        <w:rPr>
          <w:spacing w:val="-4"/>
          <w:sz w:val="28"/>
        </w:rPr>
        <w:t> </w:t>
      </w:r>
      <w:r>
        <w:rPr>
          <w:sz w:val="28"/>
        </w:rPr>
        <w:t>parties</w:t>
      </w:r>
      <w:r>
        <w:rPr>
          <w:spacing w:val="-5"/>
          <w:sz w:val="28"/>
        </w:rPr>
        <w:t> </w:t>
      </w:r>
      <w:r>
        <w:rPr>
          <w:sz w:val="28"/>
        </w:rPr>
        <w:t>affirmed</w:t>
      </w:r>
      <w:r>
        <w:rPr>
          <w:spacing w:val="-5"/>
          <w:sz w:val="28"/>
        </w:rPr>
        <w:t> </w:t>
      </w:r>
      <w:r>
        <w:rPr>
          <w:sz w:val="28"/>
        </w:rPr>
        <w:t>their</w:t>
      </w:r>
      <w:r>
        <w:rPr>
          <w:spacing w:val="-4"/>
          <w:sz w:val="28"/>
        </w:rPr>
        <w:t> </w:t>
      </w:r>
      <w:r>
        <w:rPr>
          <w:sz w:val="28"/>
        </w:rPr>
        <w:t>“commitment</w:t>
      </w:r>
      <w:r>
        <w:rPr>
          <w:spacing w:val="-4"/>
          <w:sz w:val="28"/>
        </w:rPr>
        <w:t> </w:t>
      </w:r>
      <w:r>
        <w:rPr>
          <w:sz w:val="28"/>
        </w:rPr>
        <w:t>to</w:t>
      </w:r>
      <w:r>
        <w:rPr>
          <w:spacing w:val="-5"/>
          <w:sz w:val="28"/>
        </w:rPr>
        <w:t> </w:t>
      </w:r>
      <w:r>
        <w:rPr>
          <w:sz w:val="28"/>
        </w:rPr>
        <w:t>…</w:t>
      </w:r>
      <w:r>
        <w:rPr>
          <w:spacing w:val="-5"/>
          <w:sz w:val="28"/>
        </w:rPr>
        <w:t> </w:t>
      </w:r>
      <w:r>
        <w:rPr>
          <w:sz w:val="28"/>
        </w:rPr>
        <w:t>the civil rights and religious liberties of everyone in the community” before affirming “in particular” a non-exhaustive list of rights and safeguards.</w:t>
      </w:r>
      <w:r>
        <w:rPr>
          <w:sz w:val="28"/>
          <w:vertAlign w:val="superscript"/>
        </w:rPr>
        <w:t>509</w:t>
      </w:r>
      <w:r>
        <w:rPr>
          <w:sz w:val="28"/>
          <w:vertAlign w:val="baseline"/>
        </w:rPr>
        <w:t> This section is headed ‘Human Rights’ and includes the UK Government’s commitment to the incorporation of the ECHR with direct access to the courts and remedies for breach.</w:t>
      </w:r>
      <w:r>
        <w:rPr>
          <w:sz w:val="28"/>
          <w:vertAlign w:val="superscript"/>
        </w:rPr>
        <w:t>510</w:t>
      </w:r>
      <w:r>
        <w:rPr>
          <w:spacing w:val="40"/>
          <w:sz w:val="28"/>
          <w:vertAlign w:val="baseline"/>
        </w:rPr>
        <w:t> </w:t>
      </w:r>
      <w:r>
        <w:rPr>
          <w:sz w:val="28"/>
          <w:vertAlign w:val="baseline"/>
        </w:rPr>
        <w:t>The UK Government recognises that Windsor</w:t>
      </w:r>
      <w:r>
        <w:rPr>
          <w:spacing w:val="-6"/>
          <w:sz w:val="28"/>
          <w:vertAlign w:val="baseline"/>
        </w:rPr>
        <w:t> </w:t>
      </w:r>
      <w:r>
        <w:rPr>
          <w:sz w:val="28"/>
          <w:vertAlign w:val="baseline"/>
        </w:rPr>
        <w:t>Framework</w:t>
      </w:r>
      <w:r>
        <w:rPr>
          <w:spacing w:val="-6"/>
          <w:sz w:val="28"/>
          <w:vertAlign w:val="baseline"/>
        </w:rPr>
        <w:t> </w:t>
      </w:r>
      <w:r>
        <w:rPr>
          <w:sz w:val="28"/>
          <w:vertAlign w:val="baseline"/>
        </w:rPr>
        <w:t>Article</w:t>
      </w:r>
      <w:r>
        <w:rPr>
          <w:spacing w:val="-6"/>
          <w:sz w:val="28"/>
          <w:vertAlign w:val="baseline"/>
        </w:rPr>
        <w:t> </w:t>
      </w:r>
      <w:r>
        <w:rPr>
          <w:sz w:val="28"/>
          <w:vertAlign w:val="baseline"/>
        </w:rPr>
        <w:t>2</w:t>
      </w:r>
      <w:r>
        <w:rPr>
          <w:spacing w:val="-6"/>
          <w:sz w:val="28"/>
          <w:vertAlign w:val="baseline"/>
        </w:rPr>
        <w:t> </w:t>
      </w:r>
      <w:r>
        <w:rPr>
          <w:sz w:val="28"/>
          <w:vertAlign w:val="baseline"/>
        </w:rPr>
        <w:t>applies</w:t>
      </w:r>
      <w:r>
        <w:rPr>
          <w:spacing w:val="-7"/>
          <w:sz w:val="28"/>
          <w:vertAlign w:val="baseline"/>
        </w:rPr>
        <w:t> </w:t>
      </w:r>
      <w:r>
        <w:rPr>
          <w:sz w:val="28"/>
          <w:vertAlign w:val="baseline"/>
        </w:rPr>
        <w:t>to</w:t>
      </w:r>
      <w:r>
        <w:rPr>
          <w:spacing w:val="-7"/>
          <w:sz w:val="28"/>
          <w:vertAlign w:val="baseline"/>
        </w:rPr>
        <w:t> </w:t>
      </w:r>
      <w:r>
        <w:rPr>
          <w:sz w:val="28"/>
          <w:vertAlign w:val="baseline"/>
        </w:rPr>
        <w:t>“everyone</w:t>
      </w:r>
      <w:r>
        <w:rPr>
          <w:spacing w:val="-6"/>
          <w:sz w:val="28"/>
          <w:vertAlign w:val="baseline"/>
        </w:rPr>
        <w:t> </w:t>
      </w:r>
      <w:r>
        <w:rPr>
          <w:sz w:val="28"/>
          <w:vertAlign w:val="baseline"/>
        </w:rPr>
        <w:t>who</w:t>
      </w:r>
      <w:r>
        <w:rPr>
          <w:spacing w:val="-7"/>
          <w:sz w:val="28"/>
          <w:vertAlign w:val="baseline"/>
        </w:rPr>
        <w:t> </w:t>
      </w:r>
      <w:r>
        <w:rPr>
          <w:sz w:val="28"/>
          <w:vertAlign w:val="baseline"/>
        </w:rPr>
        <w:t>is</w:t>
      </w:r>
      <w:r>
        <w:rPr>
          <w:spacing w:val="-7"/>
          <w:sz w:val="28"/>
          <w:vertAlign w:val="baseline"/>
        </w:rPr>
        <w:t> </w:t>
      </w:r>
      <w:r>
        <w:rPr>
          <w:sz w:val="28"/>
          <w:vertAlign w:val="baseline"/>
        </w:rPr>
        <w:t>subject</w:t>
      </w:r>
      <w:r>
        <w:rPr>
          <w:spacing w:val="-6"/>
          <w:sz w:val="28"/>
          <w:vertAlign w:val="baseline"/>
        </w:rPr>
        <w:t> </w:t>
      </w:r>
      <w:r>
        <w:rPr>
          <w:sz w:val="28"/>
          <w:vertAlign w:val="baseline"/>
        </w:rPr>
        <w:t>to</w:t>
      </w:r>
      <w:r>
        <w:rPr>
          <w:spacing w:val="-7"/>
          <w:sz w:val="28"/>
          <w:vertAlign w:val="baseline"/>
        </w:rPr>
        <w:t> </w:t>
      </w:r>
      <w:r>
        <w:rPr>
          <w:sz w:val="28"/>
          <w:vertAlign w:val="baseline"/>
        </w:rPr>
        <w:t>NI</w:t>
      </w:r>
      <w:r>
        <w:rPr>
          <w:spacing w:val="-6"/>
          <w:sz w:val="28"/>
          <w:vertAlign w:val="baseline"/>
        </w:rPr>
        <w:t> </w:t>
      </w:r>
      <w:r>
        <w:rPr>
          <w:sz w:val="28"/>
          <w:vertAlign w:val="baseline"/>
        </w:rPr>
        <w:t>law –</w:t>
      </w:r>
      <w:r>
        <w:rPr>
          <w:spacing w:val="-2"/>
          <w:sz w:val="28"/>
          <w:vertAlign w:val="baseline"/>
        </w:rPr>
        <w:t> </w:t>
      </w:r>
      <w:r>
        <w:rPr>
          <w:sz w:val="28"/>
          <w:vertAlign w:val="baseline"/>
        </w:rPr>
        <w:t>irrespective</w:t>
      </w:r>
      <w:r>
        <w:rPr>
          <w:spacing w:val="-1"/>
          <w:sz w:val="28"/>
          <w:vertAlign w:val="baseline"/>
        </w:rPr>
        <w:t> </w:t>
      </w:r>
      <w:r>
        <w:rPr>
          <w:sz w:val="28"/>
          <w:vertAlign w:val="baseline"/>
        </w:rPr>
        <w:t>of</w:t>
      </w:r>
      <w:r>
        <w:rPr>
          <w:spacing w:val="-2"/>
          <w:sz w:val="28"/>
          <w:vertAlign w:val="baseline"/>
        </w:rPr>
        <w:t> </w:t>
      </w:r>
      <w:r>
        <w:rPr>
          <w:sz w:val="28"/>
          <w:vertAlign w:val="baseline"/>
        </w:rPr>
        <w:t>whether</w:t>
      </w:r>
      <w:r>
        <w:rPr>
          <w:spacing w:val="-1"/>
          <w:sz w:val="28"/>
          <w:vertAlign w:val="baseline"/>
        </w:rPr>
        <w:t> </w:t>
      </w:r>
      <w:r>
        <w:rPr>
          <w:sz w:val="28"/>
          <w:vertAlign w:val="baseline"/>
        </w:rPr>
        <w:t>that</w:t>
      </w:r>
      <w:r>
        <w:rPr>
          <w:spacing w:val="-1"/>
          <w:sz w:val="28"/>
          <w:vertAlign w:val="baseline"/>
        </w:rPr>
        <w:t> </w:t>
      </w:r>
      <w:r>
        <w:rPr>
          <w:sz w:val="28"/>
          <w:vertAlign w:val="baseline"/>
        </w:rPr>
        <w:t>law</w:t>
      </w:r>
      <w:r>
        <w:rPr>
          <w:spacing w:val="-1"/>
          <w:sz w:val="28"/>
          <w:vertAlign w:val="baseline"/>
        </w:rPr>
        <w:t> </w:t>
      </w:r>
      <w:r>
        <w:rPr>
          <w:sz w:val="28"/>
          <w:vertAlign w:val="baseline"/>
        </w:rPr>
        <w:t>has</w:t>
      </w:r>
      <w:r>
        <w:rPr>
          <w:spacing w:val="-2"/>
          <w:sz w:val="28"/>
          <w:vertAlign w:val="baseline"/>
        </w:rPr>
        <w:t> </w:t>
      </w:r>
      <w:r>
        <w:rPr>
          <w:sz w:val="28"/>
          <w:vertAlign w:val="baseline"/>
        </w:rPr>
        <w:t>been</w:t>
      </w:r>
      <w:r>
        <w:rPr>
          <w:spacing w:val="-2"/>
          <w:sz w:val="28"/>
          <w:vertAlign w:val="baseline"/>
        </w:rPr>
        <w:t> </w:t>
      </w:r>
      <w:r>
        <w:rPr>
          <w:sz w:val="28"/>
          <w:vertAlign w:val="baseline"/>
        </w:rPr>
        <w:t>passed</w:t>
      </w:r>
      <w:r>
        <w:rPr>
          <w:spacing w:val="-2"/>
          <w:sz w:val="28"/>
          <w:vertAlign w:val="baseline"/>
        </w:rPr>
        <w:t> </w:t>
      </w:r>
      <w:r>
        <w:rPr>
          <w:sz w:val="28"/>
          <w:vertAlign w:val="baseline"/>
        </w:rPr>
        <w:t>by</w:t>
      </w:r>
      <w:r>
        <w:rPr>
          <w:spacing w:val="-1"/>
          <w:sz w:val="28"/>
          <w:vertAlign w:val="baseline"/>
        </w:rPr>
        <w:t> </w:t>
      </w:r>
      <w:r>
        <w:rPr>
          <w:sz w:val="28"/>
          <w:vertAlign w:val="baseline"/>
        </w:rPr>
        <w:t>the</w:t>
      </w:r>
      <w:r>
        <w:rPr>
          <w:spacing w:val="-1"/>
          <w:sz w:val="28"/>
          <w:vertAlign w:val="baseline"/>
        </w:rPr>
        <w:t> </w:t>
      </w:r>
      <w:r>
        <w:rPr>
          <w:sz w:val="28"/>
          <w:vertAlign w:val="baseline"/>
        </w:rPr>
        <w:t>NI</w:t>
      </w:r>
      <w:r>
        <w:rPr>
          <w:spacing w:val="-1"/>
          <w:sz w:val="28"/>
          <w:vertAlign w:val="baseline"/>
        </w:rPr>
        <w:t> </w:t>
      </w:r>
      <w:r>
        <w:rPr>
          <w:sz w:val="28"/>
          <w:vertAlign w:val="baseline"/>
        </w:rPr>
        <w:t>legislature</w:t>
      </w:r>
      <w:r>
        <w:rPr>
          <w:spacing w:val="-1"/>
          <w:sz w:val="28"/>
          <w:vertAlign w:val="baseline"/>
        </w:rPr>
        <w:t> </w:t>
      </w:r>
      <w:r>
        <w:rPr>
          <w:sz w:val="28"/>
          <w:vertAlign w:val="baseline"/>
        </w:rPr>
        <w:t>or Westminster”.</w:t>
      </w:r>
      <w:r>
        <w:rPr>
          <w:sz w:val="28"/>
          <w:vertAlign w:val="superscript"/>
        </w:rPr>
        <w:t>511</w:t>
      </w:r>
      <w:r>
        <w:rPr>
          <w:spacing w:val="40"/>
          <w:sz w:val="28"/>
          <w:vertAlign w:val="baseline"/>
        </w:rPr>
        <w:t> </w:t>
      </w:r>
      <w:r>
        <w:rPr>
          <w:sz w:val="28"/>
          <w:vertAlign w:val="baseline"/>
        </w:rPr>
        <w:t>In the High Court, the UK Government agreed that the</w:t>
      </w:r>
    </w:p>
    <w:p>
      <w:pPr>
        <w:pStyle w:val="BodyText"/>
        <w:spacing w:before="1"/>
        <w:rPr>
          <w:sz w:val="14"/>
        </w:rPr>
      </w:pPr>
      <w:r>
        <w:rPr/>
        <mc:AlternateContent>
          <mc:Choice Requires="wps">
            <w:drawing>
              <wp:anchor distT="0" distB="0" distL="0" distR="0" allowOverlap="1" layoutInCell="1" locked="0" behindDoc="1" simplePos="0" relativeHeight="487682560">
                <wp:simplePos x="0" y="0"/>
                <wp:positionH relativeFrom="page">
                  <wp:posOffset>719996</wp:posOffset>
                </wp:positionH>
                <wp:positionV relativeFrom="paragraph">
                  <wp:posOffset>124545</wp:posOffset>
                </wp:positionV>
                <wp:extent cx="6120130" cy="1270"/>
                <wp:effectExtent l="0" t="0" r="0" b="0"/>
                <wp:wrapTopAndBottom/>
                <wp:docPr id="404" name="Graphic 404"/>
                <wp:cNvGraphicFramePr>
                  <a:graphicFrameLocks/>
                </wp:cNvGraphicFramePr>
                <a:graphic>
                  <a:graphicData uri="http://schemas.microsoft.com/office/word/2010/wordprocessingShape">
                    <wps:wsp>
                      <wps:cNvPr id="404" name="Graphic 404"/>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9.806768pt;width:481.9pt;height:.1pt;mso-position-horizontal-relative:page;mso-position-vertical-relative:paragraph;z-index:-15633920;mso-wrap-distance-left:0;mso-wrap-distance-right:0" id="docshape353" coordorigin="1134,196" coordsize="9638,0" path="m10772,196l1134,196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35" w:lineRule="auto" w:before="151" w:after="0"/>
        <w:ind w:left="1853" w:right="1495" w:hanging="720"/>
        <w:jc w:val="left"/>
        <w:rPr>
          <w:sz w:val="18"/>
        </w:rPr>
      </w:pPr>
      <w:r>
        <w:rPr>
          <w:sz w:val="18"/>
        </w:rPr>
        <w:t>Belfast</w:t>
      </w:r>
      <w:r>
        <w:rPr>
          <w:spacing w:val="-4"/>
          <w:sz w:val="18"/>
        </w:rPr>
        <w:t> </w:t>
      </w:r>
      <w:r>
        <w:rPr>
          <w:sz w:val="18"/>
        </w:rPr>
        <w:t>(Good</w:t>
      </w:r>
      <w:r>
        <w:rPr>
          <w:spacing w:val="-5"/>
          <w:sz w:val="18"/>
        </w:rPr>
        <w:t> </w:t>
      </w:r>
      <w:r>
        <w:rPr>
          <w:sz w:val="18"/>
        </w:rPr>
        <w:t>Friday)</w:t>
      </w:r>
      <w:r>
        <w:rPr>
          <w:spacing w:val="-5"/>
          <w:sz w:val="18"/>
        </w:rPr>
        <w:t> </w:t>
      </w:r>
      <w:r>
        <w:rPr>
          <w:sz w:val="18"/>
        </w:rPr>
        <w:t>Agreement,</w:t>
      </w:r>
      <w:r>
        <w:rPr>
          <w:spacing w:val="-4"/>
          <w:sz w:val="18"/>
        </w:rPr>
        <w:t> </w:t>
      </w:r>
      <w:r>
        <w:rPr>
          <w:sz w:val="18"/>
        </w:rPr>
        <w:t>10</w:t>
      </w:r>
      <w:r>
        <w:rPr>
          <w:spacing w:val="-4"/>
          <w:sz w:val="18"/>
        </w:rPr>
        <w:t> </w:t>
      </w:r>
      <w:r>
        <w:rPr>
          <w:sz w:val="18"/>
        </w:rPr>
        <w:t>April</w:t>
      </w:r>
      <w:r>
        <w:rPr>
          <w:spacing w:val="-5"/>
          <w:sz w:val="18"/>
        </w:rPr>
        <w:t> </w:t>
      </w:r>
      <w:r>
        <w:rPr>
          <w:sz w:val="18"/>
        </w:rPr>
        <w:t>1998,</w:t>
      </w:r>
      <w:r>
        <w:rPr>
          <w:spacing w:val="-4"/>
          <w:sz w:val="18"/>
        </w:rPr>
        <w:t> </w:t>
      </w:r>
      <w:r>
        <w:rPr>
          <w:sz w:val="18"/>
        </w:rPr>
        <w:t>Part</w:t>
      </w:r>
      <w:r>
        <w:rPr>
          <w:spacing w:val="-4"/>
          <w:sz w:val="18"/>
        </w:rPr>
        <w:t> </w:t>
      </w:r>
      <w:r>
        <w:rPr>
          <w:sz w:val="18"/>
        </w:rPr>
        <w:t>6</w:t>
      </w:r>
      <w:r>
        <w:rPr>
          <w:spacing w:val="-4"/>
          <w:sz w:val="18"/>
        </w:rPr>
        <w:t> </w:t>
      </w:r>
      <w:r>
        <w:rPr>
          <w:sz w:val="18"/>
        </w:rPr>
        <w:t>on</w:t>
      </w:r>
      <w:r>
        <w:rPr>
          <w:spacing w:val="-5"/>
          <w:sz w:val="18"/>
        </w:rPr>
        <w:t> </w:t>
      </w:r>
      <w:r>
        <w:rPr>
          <w:sz w:val="18"/>
        </w:rPr>
        <w:t>Rights,</w:t>
      </w:r>
      <w:r>
        <w:rPr>
          <w:spacing w:val="-4"/>
          <w:sz w:val="18"/>
        </w:rPr>
        <w:t> </w:t>
      </w:r>
      <w:r>
        <w:rPr>
          <w:sz w:val="18"/>
        </w:rPr>
        <w:t>Safeguards</w:t>
      </w:r>
      <w:r>
        <w:rPr>
          <w:spacing w:val="-5"/>
          <w:sz w:val="18"/>
        </w:rPr>
        <w:t> </w:t>
      </w:r>
      <w:r>
        <w:rPr>
          <w:sz w:val="18"/>
        </w:rPr>
        <w:t>and</w:t>
      </w:r>
      <w:r>
        <w:rPr>
          <w:spacing w:val="-5"/>
          <w:sz w:val="18"/>
        </w:rPr>
        <w:t> </w:t>
      </w:r>
      <w:r>
        <w:rPr>
          <w:sz w:val="18"/>
        </w:rPr>
        <w:t>Equality</w:t>
      </w:r>
      <w:r>
        <w:rPr>
          <w:spacing w:val="-4"/>
          <w:sz w:val="18"/>
        </w:rPr>
        <w:t> </w:t>
      </w:r>
      <w:r>
        <w:rPr>
          <w:sz w:val="18"/>
        </w:rPr>
        <w:t>of</w:t>
      </w:r>
      <w:r>
        <w:rPr>
          <w:spacing w:val="-5"/>
          <w:sz w:val="18"/>
        </w:rPr>
        <w:t> </w:t>
      </w:r>
      <w:r>
        <w:rPr>
          <w:sz w:val="18"/>
        </w:rPr>
        <w:t>Opportunity.</w:t>
      </w:r>
      <w:r>
        <w:rPr>
          <w:spacing w:val="-5"/>
          <w:sz w:val="18"/>
        </w:rPr>
        <w:t> </w:t>
      </w:r>
      <w:r>
        <w:rPr>
          <w:sz w:val="18"/>
        </w:rPr>
        <w:t>See</w:t>
      </w:r>
      <w:r>
        <w:rPr>
          <w:spacing w:val="-4"/>
          <w:sz w:val="18"/>
        </w:rPr>
        <w:t> </w:t>
      </w:r>
      <w:r>
        <w:rPr>
          <w:sz w:val="18"/>
        </w:rPr>
        <w:t>also</w:t>
      </w:r>
      <w:r>
        <w:rPr>
          <w:spacing w:val="-5"/>
          <w:sz w:val="18"/>
        </w:rPr>
        <w:t> </w:t>
      </w:r>
      <w:r>
        <w:rPr>
          <w:sz w:val="18"/>
        </w:rPr>
        <w:t>UK Government, ‘UK Government commitment to no-diminution of rights, safeguards and equality of opportunity</w:t>
      </w:r>
    </w:p>
    <w:p>
      <w:pPr>
        <w:spacing w:line="235" w:lineRule="auto" w:before="2"/>
        <w:ind w:left="1853" w:right="1171" w:firstLine="0"/>
        <w:jc w:val="left"/>
        <w:rPr>
          <w:sz w:val="18"/>
        </w:rPr>
      </w:pPr>
      <w:r>
        <w:rPr>
          <w:sz w:val="18"/>
        </w:rPr>
        <w:t>in</w:t>
      </w:r>
      <w:r>
        <w:rPr>
          <w:spacing w:val="-4"/>
          <w:sz w:val="18"/>
        </w:rPr>
        <w:t> </w:t>
      </w:r>
      <w:r>
        <w:rPr>
          <w:sz w:val="18"/>
        </w:rPr>
        <w:t>Northern</w:t>
      </w:r>
      <w:r>
        <w:rPr>
          <w:spacing w:val="-4"/>
          <w:sz w:val="18"/>
        </w:rPr>
        <w:t> </w:t>
      </w:r>
      <w:r>
        <w:rPr>
          <w:sz w:val="18"/>
        </w:rPr>
        <w:t>Ireland’</w:t>
      </w:r>
      <w:r>
        <w:rPr>
          <w:spacing w:val="-3"/>
          <w:sz w:val="18"/>
        </w:rPr>
        <w:t> </w:t>
      </w:r>
      <w:r>
        <w:rPr>
          <w:sz w:val="18"/>
        </w:rPr>
        <w:t>(NIO,</w:t>
      </w:r>
      <w:r>
        <w:rPr>
          <w:spacing w:val="-3"/>
          <w:sz w:val="18"/>
        </w:rPr>
        <w:t> </w:t>
      </w:r>
      <w:r>
        <w:rPr>
          <w:sz w:val="18"/>
        </w:rPr>
        <w:t>2020);</w:t>
      </w:r>
      <w:r>
        <w:rPr>
          <w:spacing w:val="-4"/>
          <w:sz w:val="18"/>
        </w:rPr>
        <w:t> </w:t>
      </w:r>
      <w:r>
        <w:rPr>
          <w:i/>
          <w:sz w:val="18"/>
        </w:rPr>
        <w:t>In</w:t>
      </w:r>
      <w:r>
        <w:rPr>
          <w:i/>
          <w:spacing w:val="-4"/>
          <w:sz w:val="18"/>
        </w:rPr>
        <w:t> </w:t>
      </w:r>
      <w:r>
        <w:rPr>
          <w:i/>
          <w:sz w:val="18"/>
        </w:rPr>
        <w:t>the</w:t>
      </w:r>
      <w:r>
        <w:rPr>
          <w:i/>
          <w:spacing w:val="-3"/>
          <w:sz w:val="18"/>
        </w:rPr>
        <w:t> </w:t>
      </w:r>
      <w:r>
        <w:rPr>
          <w:i/>
          <w:sz w:val="18"/>
        </w:rPr>
        <w:t>matter</w:t>
      </w:r>
      <w:r>
        <w:rPr>
          <w:i/>
          <w:spacing w:val="-3"/>
          <w:sz w:val="18"/>
        </w:rPr>
        <w:t> </w:t>
      </w:r>
      <w:r>
        <w:rPr>
          <w:i/>
          <w:sz w:val="18"/>
        </w:rPr>
        <w:t>of</w:t>
      </w:r>
      <w:r>
        <w:rPr>
          <w:i/>
          <w:spacing w:val="-4"/>
          <w:sz w:val="18"/>
        </w:rPr>
        <w:t> </w:t>
      </w:r>
      <w:r>
        <w:rPr>
          <w:i/>
          <w:sz w:val="18"/>
        </w:rPr>
        <w:t>an</w:t>
      </w:r>
      <w:r>
        <w:rPr>
          <w:i/>
          <w:spacing w:val="-4"/>
          <w:sz w:val="18"/>
        </w:rPr>
        <w:t> </w:t>
      </w:r>
      <w:r>
        <w:rPr>
          <w:i/>
          <w:sz w:val="18"/>
        </w:rPr>
        <w:t>application</w:t>
      </w:r>
      <w:r>
        <w:rPr>
          <w:i/>
          <w:spacing w:val="-4"/>
          <w:sz w:val="18"/>
        </w:rPr>
        <w:t> </w:t>
      </w:r>
      <w:r>
        <w:rPr>
          <w:i/>
          <w:sz w:val="18"/>
        </w:rPr>
        <w:t>by</w:t>
      </w:r>
      <w:r>
        <w:rPr>
          <w:i/>
          <w:spacing w:val="-4"/>
          <w:sz w:val="18"/>
        </w:rPr>
        <w:t> </w:t>
      </w:r>
      <w:r>
        <w:rPr>
          <w:i/>
          <w:sz w:val="18"/>
        </w:rPr>
        <w:t>Martina</w:t>
      </w:r>
      <w:r>
        <w:rPr>
          <w:i/>
          <w:spacing w:val="-4"/>
          <w:sz w:val="18"/>
        </w:rPr>
        <w:t> </w:t>
      </w:r>
      <w:r>
        <w:rPr>
          <w:i/>
          <w:sz w:val="18"/>
        </w:rPr>
        <w:t>Dillon</w:t>
      </w:r>
      <w:r>
        <w:rPr>
          <w:i/>
          <w:spacing w:val="-4"/>
          <w:sz w:val="18"/>
        </w:rPr>
        <w:t> </w:t>
      </w:r>
      <w:r>
        <w:rPr>
          <w:i/>
          <w:sz w:val="18"/>
        </w:rPr>
        <w:t>and</w:t>
      </w:r>
      <w:r>
        <w:rPr>
          <w:i/>
          <w:spacing w:val="-4"/>
          <w:sz w:val="18"/>
        </w:rPr>
        <w:t> </w:t>
      </w:r>
      <w:r>
        <w:rPr>
          <w:i/>
          <w:sz w:val="18"/>
        </w:rPr>
        <w:t>others</w:t>
      </w:r>
      <w:r>
        <w:rPr>
          <w:i/>
          <w:spacing w:val="-4"/>
          <w:sz w:val="18"/>
        </w:rPr>
        <w:t> </w:t>
      </w:r>
      <w:r>
        <w:rPr>
          <w:i/>
          <w:sz w:val="18"/>
        </w:rPr>
        <w:t>for</w:t>
      </w:r>
      <w:r>
        <w:rPr>
          <w:i/>
          <w:spacing w:val="-3"/>
          <w:sz w:val="18"/>
        </w:rPr>
        <w:t> </w:t>
      </w:r>
      <w:r>
        <w:rPr>
          <w:i/>
          <w:sz w:val="18"/>
        </w:rPr>
        <w:t>Judicial</w:t>
      </w:r>
      <w:r>
        <w:rPr>
          <w:i/>
          <w:spacing w:val="-4"/>
          <w:sz w:val="18"/>
        </w:rPr>
        <w:t> </w:t>
      </w:r>
      <w:r>
        <w:rPr>
          <w:i/>
          <w:sz w:val="18"/>
        </w:rPr>
        <w:t>Review</w:t>
      </w:r>
      <w:r>
        <w:rPr>
          <w:i/>
          <w:spacing w:val="-4"/>
          <w:sz w:val="18"/>
        </w:rPr>
        <w:t> </w:t>
      </w:r>
      <w:r>
        <w:rPr>
          <w:sz w:val="18"/>
        </w:rPr>
        <w:t>[2024] NIKB 11, at para 540.</w:t>
      </w:r>
    </w:p>
    <w:p>
      <w:pPr>
        <w:pStyle w:val="ListParagraph"/>
        <w:numPr>
          <w:ilvl w:val="0"/>
          <w:numId w:val="9"/>
        </w:numPr>
        <w:tabs>
          <w:tab w:pos="1853" w:val="left" w:leader="none"/>
        </w:tabs>
        <w:spacing w:line="216" w:lineRule="exact" w:before="0" w:after="0"/>
        <w:ind w:left="1853" w:right="0" w:hanging="720"/>
        <w:jc w:val="left"/>
        <w:rPr>
          <w:sz w:val="18"/>
        </w:rPr>
      </w:pPr>
      <w:r>
        <w:rPr>
          <w:sz w:val="18"/>
        </w:rPr>
        <w:t>Belfast</w:t>
      </w:r>
      <w:r>
        <w:rPr>
          <w:spacing w:val="-7"/>
          <w:sz w:val="18"/>
        </w:rPr>
        <w:t> </w:t>
      </w:r>
      <w:r>
        <w:rPr>
          <w:sz w:val="18"/>
        </w:rPr>
        <w:t>(Good</w:t>
      </w:r>
      <w:r>
        <w:rPr>
          <w:spacing w:val="-4"/>
          <w:sz w:val="18"/>
        </w:rPr>
        <w:t> </w:t>
      </w:r>
      <w:r>
        <w:rPr>
          <w:sz w:val="18"/>
        </w:rPr>
        <w:t>Friday)</w:t>
      </w:r>
      <w:r>
        <w:rPr>
          <w:spacing w:val="-5"/>
          <w:sz w:val="18"/>
        </w:rPr>
        <w:t> </w:t>
      </w:r>
      <w:r>
        <w:rPr>
          <w:sz w:val="18"/>
        </w:rPr>
        <w:t>Agreement,</w:t>
      </w:r>
      <w:r>
        <w:rPr>
          <w:spacing w:val="-4"/>
          <w:sz w:val="18"/>
        </w:rPr>
        <w:t> </w:t>
      </w:r>
      <w:r>
        <w:rPr>
          <w:sz w:val="18"/>
        </w:rPr>
        <w:t>10</w:t>
      </w:r>
      <w:r>
        <w:rPr>
          <w:spacing w:val="-5"/>
          <w:sz w:val="18"/>
        </w:rPr>
        <w:t> </w:t>
      </w:r>
      <w:r>
        <w:rPr>
          <w:sz w:val="18"/>
        </w:rPr>
        <w:t>April</w:t>
      </w:r>
      <w:r>
        <w:rPr>
          <w:spacing w:val="-4"/>
          <w:sz w:val="18"/>
        </w:rPr>
        <w:t> </w:t>
      </w:r>
      <w:r>
        <w:rPr>
          <w:sz w:val="18"/>
        </w:rPr>
        <w:t>1998,</w:t>
      </w:r>
      <w:r>
        <w:rPr>
          <w:spacing w:val="-5"/>
          <w:sz w:val="18"/>
        </w:rPr>
        <w:t> </w:t>
      </w:r>
      <w:r>
        <w:rPr>
          <w:sz w:val="18"/>
        </w:rPr>
        <w:t>Part</w:t>
      </w:r>
      <w:r>
        <w:rPr>
          <w:spacing w:val="-4"/>
          <w:sz w:val="18"/>
        </w:rPr>
        <w:t> </w:t>
      </w:r>
      <w:r>
        <w:rPr>
          <w:sz w:val="18"/>
        </w:rPr>
        <w:t>6</w:t>
      </w:r>
      <w:r>
        <w:rPr>
          <w:spacing w:val="-4"/>
          <w:sz w:val="18"/>
        </w:rPr>
        <w:t> </w:t>
      </w:r>
      <w:r>
        <w:rPr>
          <w:sz w:val="18"/>
        </w:rPr>
        <w:t>on</w:t>
      </w:r>
      <w:r>
        <w:rPr>
          <w:spacing w:val="-5"/>
          <w:sz w:val="18"/>
        </w:rPr>
        <w:t> </w:t>
      </w:r>
      <w:r>
        <w:rPr>
          <w:sz w:val="18"/>
        </w:rPr>
        <w:t>Rights,</w:t>
      </w:r>
      <w:r>
        <w:rPr>
          <w:spacing w:val="-4"/>
          <w:sz w:val="18"/>
        </w:rPr>
        <w:t> </w:t>
      </w:r>
      <w:r>
        <w:rPr>
          <w:sz w:val="18"/>
        </w:rPr>
        <w:t>Safeguards</w:t>
      </w:r>
      <w:r>
        <w:rPr>
          <w:spacing w:val="-5"/>
          <w:sz w:val="18"/>
        </w:rPr>
        <w:t> </w:t>
      </w:r>
      <w:r>
        <w:rPr>
          <w:sz w:val="18"/>
        </w:rPr>
        <w:t>and</w:t>
      </w:r>
      <w:r>
        <w:rPr>
          <w:spacing w:val="-4"/>
          <w:sz w:val="18"/>
        </w:rPr>
        <w:t> </w:t>
      </w:r>
      <w:r>
        <w:rPr>
          <w:sz w:val="18"/>
        </w:rPr>
        <w:t>Equality</w:t>
      </w:r>
      <w:r>
        <w:rPr>
          <w:spacing w:val="-5"/>
          <w:sz w:val="18"/>
        </w:rPr>
        <w:t> </w:t>
      </w:r>
      <w:r>
        <w:rPr>
          <w:sz w:val="18"/>
        </w:rPr>
        <w:t>of</w:t>
      </w:r>
      <w:r>
        <w:rPr>
          <w:spacing w:val="-4"/>
          <w:sz w:val="18"/>
        </w:rPr>
        <w:t> </w:t>
      </w:r>
      <w:r>
        <w:rPr>
          <w:spacing w:val="-2"/>
          <w:sz w:val="18"/>
        </w:rPr>
        <w:t>Opportunity.</w:t>
      </w:r>
    </w:p>
    <w:p>
      <w:pPr>
        <w:pStyle w:val="ListParagraph"/>
        <w:numPr>
          <w:ilvl w:val="0"/>
          <w:numId w:val="9"/>
        </w:numPr>
        <w:tabs>
          <w:tab w:pos="1853" w:val="left" w:leader="none"/>
        </w:tabs>
        <w:spacing w:line="235" w:lineRule="auto" w:before="1" w:after="0"/>
        <w:ind w:left="1853" w:right="1838" w:hanging="720"/>
        <w:jc w:val="left"/>
        <w:rPr>
          <w:sz w:val="18"/>
        </w:rPr>
      </w:pPr>
      <w:r>
        <w:rPr>
          <w:sz w:val="18"/>
        </w:rPr>
        <w:t>NI</w:t>
      </w:r>
      <w:r>
        <w:rPr>
          <w:spacing w:val="-4"/>
          <w:sz w:val="18"/>
        </w:rPr>
        <w:t> </w:t>
      </w:r>
      <w:r>
        <w:rPr>
          <w:sz w:val="18"/>
        </w:rPr>
        <w:t>Office,</w:t>
      </w:r>
      <w:r>
        <w:rPr>
          <w:spacing w:val="-4"/>
          <w:sz w:val="18"/>
        </w:rPr>
        <w:t> </w:t>
      </w:r>
      <w:r>
        <w:rPr>
          <w:sz w:val="18"/>
        </w:rPr>
        <w:t>‘UK</w:t>
      </w:r>
      <w:r>
        <w:rPr>
          <w:spacing w:val="-4"/>
          <w:sz w:val="18"/>
        </w:rPr>
        <w:t> </w:t>
      </w:r>
      <w:r>
        <w:rPr>
          <w:sz w:val="18"/>
        </w:rPr>
        <w:t>Government</w:t>
      </w:r>
      <w:r>
        <w:rPr>
          <w:spacing w:val="-4"/>
          <w:sz w:val="18"/>
        </w:rPr>
        <w:t> </w:t>
      </w:r>
      <w:r>
        <w:rPr>
          <w:sz w:val="18"/>
        </w:rPr>
        <w:t>Commitment</w:t>
      </w:r>
      <w:r>
        <w:rPr>
          <w:spacing w:val="-4"/>
          <w:sz w:val="18"/>
        </w:rPr>
        <w:t> </w:t>
      </w:r>
      <w:r>
        <w:rPr>
          <w:sz w:val="18"/>
        </w:rPr>
        <w:t>to</w:t>
      </w:r>
      <w:r>
        <w:rPr>
          <w:spacing w:val="-4"/>
          <w:sz w:val="18"/>
        </w:rPr>
        <w:t> </w:t>
      </w:r>
      <w:r>
        <w:rPr>
          <w:sz w:val="18"/>
        </w:rPr>
        <w:t>“No</w:t>
      </w:r>
      <w:r>
        <w:rPr>
          <w:spacing w:val="-4"/>
          <w:sz w:val="18"/>
        </w:rPr>
        <w:t> </w:t>
      </w:r>
      <w:r>
        <w:rPr>
          <w:sz w:val="18"/>
        </w:rPr>
        <w:t>Diminution</w:t>
      </w:r>
      <w:r>
        <w:rPr>
          <w:spacing w:val="-4"/>
          <w:sz w:val="18"/>
        </w:rPr>
        <w:t> </w:t>
      </w:r>
      <w:r>
        <w:rPr>
          <w:sz w:val="18"/>
        </w:rPr>
        <w:t>of</w:t>
      </w:r>
      <w:r>
        <w:rPr>
          <w:spacing w:val="-4"/>
          <w:sz w:val="18"/>
        </w:rPr>
        <w:t> </w:t>
      </w:r>
      <w:r>
        <w:rPr>
          <w:sz w:val="18"/>
        </w:rPr>
        <w:t>Rights,</w:t>
      </w:r>
      <w:r>
        <w:rPr>
          <w:spacing w:val="-4"/>
          <w:sz w:val="18"/>
        </w:rPr>
        <w:t> </w:t>
      </w:r>
      <w:r>
        <w:rPr>
          <w:sz w:val="18"/>
        </w:rPr>
        <w:t>Safeguards</w:t>
      </w:r>
      <w:r>
        <w:rPr>
          <w:spacing w:val="-4"/>
          <w:sz w:val="18"/>
        </w:rPr>
        <w:t> </w:t>
      </w:r>
      <w:r>
        <w:rPr>
          <w:sz w:val="18"/>
        </w:rPr>
        <w:t>and</w:t>
      </w:r>
      <w:r>
        <w:rPr>
          <w:spacing w:val="-4"/>
          <w:sz w:val="18"/>
        </w:rPr>
        <w:t> </w:t>
      </w:r>
      <w:r>
        <w:rPr>
          <w:sz w:val="18"/>
        </w:rPr>
        <w:t>Equality</w:t>
      </w:r>
      <w:r>
        <w:rPr>
          <w:spacing w:val="-4"/>
          <w:sz w:val="18"/>
        </w:rPr>
        <w:t> </w:t>
      </w:r>
      <w:r>
        <w:rPr>
          <w:sz w:val="18"/>
        </w:rPr>
        <w:t>of</w:t>
      </w:r>
      <w:r>
        <w:rPr>
          <w:spacing w:val="-4"/>
          <w:sz w:val="18"/>
        </w:rPr>
        <w:t> </w:t>
      </w:r>
      <w:r>
        <w:rPr>
          <w:sz w:val="18"/>
        </w:rPr>
        <w:t>Opportunity”</w:t>
      </w:r>
      <w:r>
        <w:rPr>
          <w:spacing w:val="-4"/>
          <w:sz w:val="18"/>
        </w:rPr>
        <w:t> </w:t>
      </w:r>
      <w:r>
        <w:rPr>
          <w:sz w:val="18"/>
        </w:rPr>
        <w:t>in Northern Ireland: What does it Mean and How will it be Implemented?’ (NIO, 2020), at para 8.</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pPr>
      <w:bookmarkStart w:name="_bookmark34" w:id="73"/>
      <w:bookmarkEnd w:id="73"/>
      <w:r>
        <w:rPr/>
      </w:r>
      <w:r>
        <w:rPr/>
        <w:t>rights,</w:t>
      </w:r>
      <w:r>
        <w:rPr>
          <w:spacing w:val="-6"/>
        </w:rPr>
        <w:t> </w:t>
      </w:r>
      <w:r>
        <w:rPr/>
        <w:t>safeguards</w:t>
      </w:r>
      <w:r>
        <w:rPr>
          <w:spacing w:val="-7"/>
        </w:rPr>
        <w:t> </w:t>
      </w:r>
      <w:r>
        <w:rPr/>
        <w:t>and</w:t>
      </w:r>
      <w:r>
        <w:rPr>
          <w:spacing w:val="-7"/>
        </w:rPr>
        <w:t> </w:t>
      </w:r>
      <w:r>
        <w:rPr/>
        <w:t>equality</w:t>
      </w:r>
      <w:r>
        <w:rPr>
          <w:spacing w:val="-6"/>
        </w:rPr>
        <w:t> </w:t>
      </w:r>
      <w:r>
        <w:rPr/>
        <w:t>of</w:t>
      </w:r>
      <w:r>
        <w:rPr>
          <w:spacing w:val="-7"/>
        </w:rPr>
        <w:t> </w:t>
      </w:r>
      <w:r>
        <w:rPr/>
        <w:t>opportunity</w:t>
      </w:r>
      <w:r>
        <w:rPr>
          <w:spacing w:val="-6"/>
        </w:rPr>
        <w:t> </w:t>
      </w:r>
      <w:r>
        <w:rPr/>
        <w:t>protections</w:t>
      </w:r>
      <w:r>
        <w:rPr>
          <w:spacing w:val="-7"/>
        </w:rPr>
        <w:t> </w:t>
      </w:r>
      <w:r>
        <w:rPr/>
        <w:t>enshrined</w:t>
      </w:r>
      <w:r>
        <w:rPr>
          <w:spacing w:val="-7"/>
        </w:rPr>
        <w:t> </w:t>
      </w:r>
      <w:r>
        <w:rPr/>
        <w:t>in</w:t>
      </w:r>
      <w:r>
        <w:rPr>
          <w:spacing w:val="-7"/>
        </w:rPr>
        <w:t> </w:t>
      </w:r>
      <w:r>
        <w:rPr/>
        <w:t>the relevant part of the 1998 Agreement do not exclude asylum seekers.</w:t>
      </w:r>
      <w:r>
        <w:rPr>
          <w:vertAlign w:val="superscript"/>
        </w:rPr>
        <w:t>512</w:t>
      </w:r>
    </w:p>
    <w:p>
      <w:pPr>
        <w:pStyle w:val="ListParagraph"/>
        <w:numPr>
          <w:ilvl w:val="1"/>
          <w:numId w:val="7"/>
        </w:numPr>
        <w:tabs>
          <w:tab w:pos="1853" w:val="left" w:leader="none"/>
        </w:tabs>
        <w:spacing w:line="225" w:lineRule="auto" w:before="318" w:after="0"/>
        <w:ind w:left="1853" w:right="1487" w:hanging="720"/>
        <w:jc w:val="left"/>
        <w:rPr>
          <w:sz w:val="28"/>
        </w:rPr>
      </w:pPr>
      <w:r>
        <w:rPr>
          <w:sz w:val="28"/>
        </w:rPr>
        <w:t>The non-exhaustive list of rights which are “affirmed in particular” in the relevant chapter of the Belfast (Good Friday) Agreement include the right to equal opportunity in all social and economic activity, regardless of class, creed, disability, gender or ethnicity.</w:t>
      </w:r>
      <w:r>
        <w:rPr>
          <w:spacing w:val="40"/>
          <w:sz w:val="28"/>
        </w:rPr>
        <w:t> </w:t>
      </w:r>
      <w:r>
        <w:rPr>
          <w:sz w:val="28"/>
        </w:rPr>
        <w:t>The Commissions’ consider that the commitment</w:t>
      </w:r>
      <w:r>
        <w:rPr>
          <w:spacing w:val="-6"/>
          <w:sz w:val="28"/>
        </w:rPr>
        <w:t> </w:t>
      </w:r>
      <w:r>
        <w:rPr>
          <w:sz w:val="28"/>
        </w:rPr>
        <w:t>to</w:t>
      </w:r>
      <w:r>
        <w:rPr>
          <w:spacing w:val="-7"/>
          <w:sz w:val="28"/>
        </w:rPr>
        <w:t> </w:t>
      </w:r>
      <w:r>
        <w:rPr>
          <w:sz w:val="28"/>
        </w:rPr>
        <w:t>civil</w:t>
      </w:r>
      <w:r>
        <w:rPr>
          <w:spacing w:val="-7"/>
          <w:sz w:val="28"/>
        </w:rPr>
        <w:t> </w:t>
      </w:r>
      <w:r>
        <w:rPr>
          <w:sz w:val="28"/>
        </w:rPr>
        <w:t>rights</w:t>
      </w:r>
      <w:r>
        <w:rPr>
          <w:spacing w:val="-7"/>
          <w:sz w:val="28"/>
        </w:rPr>
        <w:t> </w:t>
      </w:r>
      <w:r>
        <w:rPr>
          <w:sz w:val="28"/>
        </w:rPr>
        <w:t>in</w:t>
      </w:r>
      <w:r>
        <w:rPr>
          <w:spacing w:val="-7"/>
          <w:sz w:val="28"/>
        </w:rPr>
        <w:t> </w:t>
      </w:r>
      <w:r>
        <w:rPr>
          <w:sz w:val="28"/>
        </w:rPr>
        <w:t>the</w:t>
      </w:r>
      <w:r>
        <w:rPr>
          <w:spacing w:val="-6"/>
          <w:sz w:val="28"/>
        </w:rPr>
        <w:t> </w:t>
      </w:r>
      <w:r>
        <w:rPr>
          <w:sz w:val="28"/>
        </w:rPr>
        <w:t>relevant</w:t>
      </w:r>
      <w:r>
        <w:rPr>
          <w:spacing w:val="-6"/>
          <w:sz w:val="28"/>
        </w:rPr>
        <w:t> </w:t>
      </w:r>
      <w:r>
        <w:rPr>
          <w:sz w:val="28"/>
        </w:rPr>
        <w:t>chapter</w:t>
      </w:r>
      <w:r>
        <w:rPr>
          <w:spacing w:val="-6"/>
          <w:sz w:val="28"/>
        </w:rPr>
        <w:t> </w:t>
      </w:r>
      <w:r>
        <w:rPr>
          <w:sz w:val="28"/>
        </w:rPr>
        <w:t>embraces</w:t>
      </w:r>
      <w:r>
        <w:rPr>
          <w:spacing w:val="-7"/>
          <w:sz w:val="28"/>
        </w:rPr>
        <w:t> </w:t>
      </w:r>
      <w:r>
        <w:rPr>
          <w:sz w:val="28"/>
        </w:rPr>
        <w:t>a</w:t>
      </w:r>
      <w:r>
        <w:rPr>
          <w:spacing w:val="-7"/>
          <w:sz w:val="28"/>
        </w:rPr>
        <w:t> </w:t>
      </w:r>
      <w:r>
        <w:rPr>
          <w:sz w:val="28"/>
        </w:rPr>
        <w:t>range</w:t>
      </w:r>
      <w:r>
        <w:rPr>
          <w:spacing w:val="-6"/>
          <w:sz w:val="28"/>
        </w:rPr>
        <w:t> </w:t>
      </w:r>
      <w:r>
        <w:rPr>
          <w:sz w:val="28"/>
        </w:rPr>
        <w:t>of</w:t>
      </w:r>
      <w:r>
        <w:rPr>
          <w:spacing w:val="-7"/>
          <w:sz w:val="28"/>
        </w:rPr>
        <w:t> </w:t>
      </w:r>
      <w:r>
        <w:rPr>
          <w:sz w:val="28"/>
        </w:rPr>
        <w:t>civil,</w:t>
      </w:r>
    </w:p>
    <w:p>
      <w:pPr>
        <w:pStyle w:val="BodyText"/>
        <w:spacing w:line="225" w:lineRule="auto"/>
        <w:ind w:left="1853" w:right="1171"/>
      </w:pPr>
      <w:r>
        <w:rPr/>
        <w:t>political,</w:t>
      </w:r>
      <w:r>
        <w:rPr>
          <w:spacing w:val="-8"/>
        </w:rPr>
        <w:t> </w:t>
      </w:r>
      <w:r>
        <w:rPr/>
        <w:t>economic,</w:t>
      </w:r>
      <w:r>
        <w:rPr>
          <w:spacing w:val="-8"/>
        </w:rPr>
        <w:t> </w:t>
      </w:r>
      <w:r>
        <w:rPr/>
        <w:t>social</w:t>
      </w:r>
      <w:r>
        <w:rPr>
          <w:spacing w:val="-9"/>
        </w:rPr>
        <w:t> </w:t>
      </w:r>
      <w:r>
        <w:rPr/>
        <w:t>and</w:t>
      </w:r>
      <w:r>
        <w:rPr>
          <w:spacing w:val="-9"/>
        </w:rPr>
        <w:t> </w:t>
      </w:r>
      <w:r>
        <w:rPr/>
        <w:t>cultural</w:t>
      </w:r>
      <w:r>
        <w:rPr>
          <w:spacing w:val="-9"/>
        </w:rPr>
        <w:t> </w:t>
      </w:r>
      <w:r>
        <w:rPr/>
        <w:t>rights</w:t>
      </w:r>
      <w:r>
        <w:rPr>
          <w:spacing w:val="-9"/>
        </w:rPr>
        <w:t> </w:t>
      </w:r>
      <w:r>
        <w:rPr/>
        <w:t>and</w:t>
      </w:r>
      <w:r>
        <w:rPr>
          <w:spacing w:val="-9"/>
        </w:rPr>
        <w:t> </w:t>
      </w:r>
      <w:r>
        <w:rPr/>
        <w:t>equality</w:t>
      </w:r>
      <w:r>
        <w:rPr>
          <w:spacing w:val="-8"/>
        </w:rPr>
        <w:t> </w:t>
      </w:r>
      <w:r>
        <w:rPr/>
        <w:t>of</w:t>
      </w:r>
      <w:r>
        <w:rPr>
          <w:spacing w:val="-9"/>
        </w:rPr>
        <w:t> </w:t>
      </w:r>
      <w:r>
        <w:rPr/>
        <w:t>opportunity.</w:t>
      </w:r>
      <w:r>
        <w:rPr>
          <w:vertAlign w:val="superscript"/>
        </w:rPr>
        <w:t>513</w:t>
      </w:r>
      <w:r>
        <w:rPr>
          <w:spacing w:val="40"/>
          <w:vertAlign w:val="baseline"/>
        </w:rPr>
        <w:t> </w:t>
      </w:r>
      <w:r>
        <w:rPr>
          <w:vertAlign w:val="baseline"/>
        </w:rPr>
        <w:t>In particular, the Commissions consider that the full range of rights in the ECHR, to the extent that they are underpinned by EU law in force in NI on or before 31 December 2020, fall within the scope of the non-diminution commitment in</w:t>
      </w:r>
      <w:r>
        <w:rPr>
          <w:spacing w:val="-3"/>
          <w:vertAlign w:val="baseline"/>
        </w:rPr>
        <w:t> </w:t>
      </w:r>
      <w:r>
        <w:rPr>
          <w:vertAlign w:val="baseline"/>
        </w:rPr>
        <w:t>Windsor</w:t>
      </w:r>
      <w:r>
        <w:rPr>
          <w:spacing w:val="-3"/>
          <w:vertAlign w:val="baseline"/>
        </w:rPr>
        <w:t> </w:t>
      </w:r>
      <w:r>
        <w:rPr>
          <w:vertAlign w:val="baseline"/>
        </w:rPr>
        <w:t>Framework</w:t>
      </w:r>
      <w:r>
        <w:rPr>
          <w:spacing w:val="-3"/>
          <w:vertAlign w:val="baseline"/>
        </w:rPr>
        <w:t> </w:t>
      </w:r>
      <w:r>
        <w:rPr>
          <w:vertAlign w:val="baseline"/>
        </w:rPr>
        <w:t>Article</w:t>
      </w:r>
      <w:r>
        <w:rPr>
          <w:spacing w:val="-3"/>
          <w:vertAlign w:val="baseline"/>
        </w:rPr>
        <w:t> </w:t>
      </w:r>
      <w:r>
        <w:rPr>
          <w:vertAlign w:val="baseline"/>
        </w:rPr>
        <w:t>2.</w:t>
      </w:r>
      <w:r>
        <w:rPr>
          <w:spacing w:val="40"/>
          <w:vertAlign w:val="baseline"/>
        </w:rPr>
        <w:t> </w:t>
      </w:r>
      <w:r>
        <w:rPr>
          <w:vertAlign w:val="baseline"/>
        </w:rPr>
        <w:t>In</w:t>
      </w:r>
      <w:r>
        <w:rPr>
          <w:spacing w:val="-3"/>
          <w:vertAlign w:val="baseline"/>
        </w:rPr>
        <w:t> </w:t>
      </w:r>
      <w:r>
        <w:rPr>
          <w:vertAlign w:val="baseline"/>
        </w:rPr>
        <w:t>February</w:t>
      </w:r>
      <w:r>
        <w:rPr>
          <w:spacing w:val="-3"/>
          <w:vertAlign w:val="baseline"/>
        </w:rPr>
        <w:t> </w:t>
      </w:r>
      <w:r>
        <w:rPr>
          <w:vertAlign w:val="baseline"/>
        </w:rPr>
        <w:t>2024,</w:t>
      </w:r>
      <w:r>
        <w:rPr>
          <w:spacing w:val="-3"/>
          <w:vertAlign w:val="baseline"/>
        </w:rPr>
        <w:t> </w:t>
      </w:r>
      <w:r>
        <w:rPr>
          <w:vertAlign w:val="baseline"/>
        </w:rPr>
        <w:t>the</w:t>
      </w:r>
      <w:r>
        <w:rPr>
          <w:spacing w:val="-3"/>
          <w:vertAlign w:val="baseline"/>
        </w:rPr>
        <w:t> </w:t>
      </w:r>
      <w:r>
        <w:rPr>
          <w:vertAlign w:val="baseline"/>
        </w:rPr>
        <w:t>NI</w:t>
      </w:r>
      <w:r>
        <w:rPr>
          <w:spacing w:val="-3"/>
          <w:vertAlign w:val="baseline"/>
        </w:rPr>
        <w:t> </w:t>
      </w:r>
      <w:r>
        <w:rPr>
          <w:vertAlign w:val="baseline"/>
        </w:rPr>
        <w:t>High</w:t>
      </w:r>
      <w:r>
        <w:rPr>
          <w:spacing w:val="-3"/>
          <w:vertAlign w:val="baseline"/>
        </w:rPr>
        <w:t> </w:t>
      </w:r>
      <w:r>
        <w:rPr>
          <w:vertAlign w:val="baseline"/>
        </w:rPr>
        <w:t>Court</w:t>
      </w:r>
      <w:r>
        <w:rPr>
          <w:spacing w:val="-3"/>
          <w:vertAlign w:val="baseline"/>
        </w:rPr>
        <w:t> </w:t>
      </w:r>
      <w:r>
        <w:rPr>
          <w:vertAlign w:val="baseline"/>
        </w:rPr>
        <w:t>adopted a ‘generous and purposive’ approach to the interpretation of the relevant chapter of the Belfast (Good Friday) Agreement.</w:t>
      </w:r>
      <w:r>
        <w:rPr>
          <w:vertAlign w:val="superscript"/>
        </w:rPr>
        <w:t>514</w:t>
      </w:r>
      <w:r>
        <w:rPr>
          <w:spacing w:val="40"/>
          <w:vertAlign w:val="baseline"/>
        </w:rPr>
        <w:t> </w:t>
      </w:r>
      <w:r>
        <w:rPr>
          <w:vertAlign w:val="baseline"/>
        </w:rPr>
        <w:t>The High Court held</w:t>
      </w:r>
    </w:p>
    <w:p>
      <w:pPr>
        <w:pStyle w:val="BodyText"/>
        <w:spacing w:line="225" w:lineRule="auto"/>
        <w:ind w:left="1853" w:right="1171"/>
      </w:pPr>
      <w:r>
        <w:rPr/>
        <w:t>that, “a narrow interpretation of ‘civil rights’ undermines the forward-facing dimension</w:t>
      </w:r>
      <w:r>
        <w:rPr>
          <w:spacing w:val="-10"/>
        </w:rPr>
        <w:t> </w:t>
      </w:r>
      <w:r>
        <w:rPr/>
        <w:t>of</w:t>
      </w:r>
      <w:r>
        <w:rPr>
          <w:spacing w:val="-10"/>
        </w:rPr>
        <w:t> </w:t>
      </w:r>
      <w:r>
        <w:rPr/>
        <w:t>the</w:t>
      </w:r>
      <w:r>
        <w:rPr>
          <w:spacing w:val="-9"/>
        </w:rPr>
        <w:t> </w:t>
      </w:r>
      <w:r>
        <w:rPr/>
        <w:t>non-diminution</w:t>
      </w:r>
      <w:r>
        <w:rPr>
          <w:spacing w:val="-10"/>
        </w:rPr>
        <w:t> </w:t>
      </w:r>
      <w:r>
        <w:rPr/>
        <w:t>commitment</w:t>
      </w:r>
      <w:r>
        <w:rPr>
          <w:spacing w:val="-9"/>
        </w:rPr>
        <w:t> </w:t>
      </w:r>
      <w:r>
        <w:rPr/>
        <w:t>in</w:t>
      </w:r>
      <w:r>
        <w:rPr>
          <w:spacing w:val="-10"/>
        </w:rPr>
        <w:t> </w:t>
      </w:r>
      <w:r>
        <w:rPr/>
        <w:t>article</w:t>
      </w:r>
      <w:r>
        <w:rPr>
          <w:spacing w:val="-9"/>
        </w:rPr>
        <w:t> </w:t>
      </w:r>
      <w:r>
        <w:rPr/>
        <w:t>2(1)”.</w:t>
      </w:r>
      <w:r>
        <w:rPr>
          <w:vertAlign w:val="superscript"/>
        </w:rPr>
        <w:t>515</w:t>
      </w:r>
      <w:r>
        <w:rPr>
          <w:spacing w:val="40"/>
          <w:vertAlign w:val="baseline"/>
        </w:rPr>
        <w:t> </w:t>
      </w:r>
      <w:r>
        <w:rPr>
          <w:vertAlign w:val="baseline"/>
        </w:rPr>
        <w:t>The</w:t>
      </w:r>
      <w:r>
        <w:rPr>
          <w:spacing w:val="-9"/>
          <w:vertAlign w:val="baseline"/>
        </w:rPr>
        <w:t> </w:t>
      </w:r>
      <w:r>
        <w:rPr>
          <w:vertAlign w:val="baseline"/>
        </w:rPr>
        <w:t>decision of the High Court is under appeal.</w:t>
      </w:r>
    </w:p>
    <w:p>
      <w:pPr>
        <w:pStyle w:val="ListParagraph"/>
        <w:numPr>
          <w:ilvl w:val="1"/>
          <w:numId w:val="7"/>
        </w:numPr>
        <w:tabs>
          <w:tab w:pos="1853" w:val="left" w:leader="none"/>
        </w:tabs>
        <w:spacing w:line="225" w:lineRule="auto" w:before="300" w:after="0"/>
        <w:ind w:left="1853" w:right="1188" w:hanging="720"/>
        <w:jc w:val="left"/>
        <w:rPr>
          <w:sz w:val="28"/>
        </w:rPr>
      </w:pPr>
      <w:r>
        <w:rPr>
          <w:sz w:val="28"/>
        </w:rPr>
        <w:t>In addition, the obligation to keep pace in respect of the six Annex 1 equality directives includes the EU Racial Equality Directive, which establishes a framework for combating discrimination on the grounds of racial or ethnic origin,</w:t>
      </w:r>
      <w:r>
        <w:rPr>
          <w:sz w:val="28"/>
          <w:vertAlign w:val="superscript"/>
        </w:rPr>
        <w:t>516</w:t>
      </w:r>
      <w:r>
        <w:rPr>
          <w:sz w:val="28"/>
          <w:vertAlign w:val="baseline"/>
        </w:rPr>
        <w:t> and the EU Gender Equality (Goods and Services) Directive, which prohibits sex discrimination in access to goods and services.</w:t>
      </w:r>
      <w:r>
        <w:rPr>
          <w:sz w:val="28"/>
          <w:vertAlign w:val="superscript"/>
        </w:rPr>
        <w:t>517</w:t>
      </w:r>
      <w:r>
        <w:rPr>
          <w:sz w:val="28"/>
          <w:vertAlign w:val="baseline"/>
        </w:rPr>
        <w:t> The Annex 1 equality</w:t>
      </w:r>
      <w:r>
        <w:rPr>
          <w:spacing w:val="-10"/>
          <w:sz w:val="28"/>
          <w:vertAlign w:val="baseline"/>
        </w:rPr>
        <w:t> </w:t>
      </w:r>
      <w:r>
        <w:rPr>
          <w:sz w:val="28"/>
          <w:vertAlign w:val="baseline"/>
        </w:rPr>
        <w:t>directives</w:t>
      </w:r>
      <w:r>
        <w:rPr>
          <w:spacing w:val="-11"/>
          <w:sz w:val="28"/>
          <w:vertAlign w:val="baseline"/>
        </w:rPr>
        <w:t> </w:t>
      </w:r>
      <w:r>
        <w:rPr>
          <w:sz w:val="28"/>
          <w:vertAlign w:val="baseline"/>
        </w:rPr>
        <w:t>should</w:t>
      </w:r>
      <w:r>
        <w:rPr>
          <w:spacing w:val="-11"/>
          <w:sz w:val="28"/>
          <w:vertAlign w:val="baseline"/>
        </w:rPr>
        <w:t> </w:t>
      </w:r>
      <w:r>
        <w:rPr>
          <w:sz w:val="28"/>
          <w:vertAlign w:val="baseline"/>
        </w:rPr>
        <w:t>be</w:t>
      </w:r>
      <w:r>
        <w:rPr>
          <w:spacing w:val="-10"/>
          <w:sz w:val="28"/>
          <w:vertAlign w:val="baseline"/>
        </w:rPr>
        <w:t> </w:t>
      </w:r>
      <w:r>
        <w:rPr>
          <w:sz w:val="28"/>
          <w:vertAlign w:val="baseline"/>
        </w:rPr>
        <w:t>interpreted</w:t>
      </w:r>
      <w:r>
        <w:rPr>
          <w:spacing w:val="-11"/>
          <w:sz w:val="28"/>
          <w:vertAlign w:val="baseline"/>
        </w:rPr>
        <w:t> </w:t>
      </w:r>
      <w:r>
        <w:rPr>
          <w:sz w:val="28"/>
          <w:vertAlign w:val="baseline"/>
        </w:rPr>
        <w:t>in</w:t>
      </w:r>
      <w:r>
        <w:rPr>
          <w:spacing w:val="-11"/>
          <w:sz w:val="28"/>
          <w:vertAlign w:val="baseline"/>
        </w:rPr>
        <w:t> </w:t>
      </w:r>
      <w:r>
        <w:rPr>
          <w:sz w:val="28"/>
          <w:vertAlign w:val="baseline"/>
        </w:rPr>
        <w:t>line</w:t>
      </w:r>
      <w:r>
        <w:rPr>
          <w:spacing w:val="-10"/>
          <w:sz w:val="28"/>
          <w:vertAlign w:val="baseline"/>
        </w:rPr>
        <w:t> </w:t>
      </w:r>
      <w:r>
        <w:rPr>
          <w:sz w:val="28"/>
          <w:vertAlign w:val="baseline"/>
        </w:rPr>
        <w:t>with</w:t>
      </w:r>
      <w:r>
        <w:rPr>
          <w:spacing w:val="-11"/>
          <w:sz w:val="28"/>
          <w:vertAlign w:val="baseline"/>
        </w:rPr>
        <w:t> </w:t>
      </w:r>
      <w:r>
        <w:rPr>
          <w:sz w:val="28"/>
          <w:vertAlign w:val="baseline"/>
        </w:rPr>
        <w:t>relevant</w:t>
      </w:r>
      <w:r>
        <w:rPr>
          <w:spacing w:val="-10"/>
          <w:sz w:val="28"/>
          <w:vertAlign w:val="baseline"/>
        </w:rPr>
        <w:t> </w:t>
      </w:r>
      <w:r>
        <w:rPr>
          <w:sz w:val="28"/>
          <w:vertAlign w:val="baseline"/>
        </w:rPr>
        <w:t>CJEU</w:t>
      </w:r>
      <w:r>
        <w:rPr>
          <w:spacing w:val="-10"/>
          <w:sz w:val="28"/>
          <w:vertAlign w:val="baseline"/>
        </w:rPr>
        <w:t> </w:t>
      </w:r>
      <w:r>
        <w:rPr>
          <w:sz w:val="28"/>
          <w:vertAlign w:val="baseline"/>
        </w:rPr>
        <w:t>case</w:t>
      </w:r>
      <w:r>
        <w:rPr>
          <w:spacing w:val="-10"/>
          <w:sz w:val="28"/>
          <w:vertAlign w:val="baseline"/>
        </w:rPr>
        <w:t> </w:t>
      </w:r>
      <w:r>
        <w:rPr>
          <w:sz w:val="28"/>
          <w:vertAlign w:val="baseline"/>
        </w:rPr>
        <w:t>law.</w:t>
      </w:r>
      <w:r>
        <w:rPr>
          <w:sz w:val="28"/>
          <w:vertAlign w:val="superscript"/>
        </w:rPr>
        <w:t>518</w:t>
      </w:r>
    </w:p>
    <w:p>
      <w:pPr>
        <w:pStyle w:val="Heading5"/>
        <w:spacing w:before="297"/>
        <w:ind w:left="1133" w:firstLine="0"/>
      </w:pPr>
      <w:bookmarkStart w:name="Refugees and Asylum Seekers" w:id="74"/>
      <w:bookmarkEnd w:id="74"/>
      <w:r>
        <w:rPr>
          <w:b w:val="0"/>
        </w:rPr>
      </w:r>
      <w:r>
        <w:rPr>
          <w:color w:val="393B80"/>
        </w:rPr>
        <w:t>Refugees</w:t>
      </w:r>
      <w:r>
        <w:rPr>
          <w:color w:val="393B80"/>
          <w:spacing w:val="-8"/>
        </w:rPr>
        <w:t> </w:t>
      </w:r>
      <w:r>
        <w:rPr>
          <w:color w:val="393B80"/>
        </w:rPr>
        <w:t>and</w:t>
      </w:r>
      <w:r>
        <w:rPr>
          <w:color w:val="393B80"/>
          <w:spacing w:val="-7"/>
        </w:rPr>
        <w:t> </w:t>
      </w:r>
      <w:r>
        <w:rPr>
          <w:color w:val="393B80"/>
        </w:rPr>
        <w:t>Asylum</w:t>
      </w:r>
      <w:r>
        <w:rPr>
          <w:color w:val="393B80"/>
          <w:spacing w:val="-7"/>
        </w:rPr>
        <w:t> </w:t>
      </w:r>
      <w:r>
        <w:rPr>
          <w:color w:val="393B80"/>
          <w:spacing w:val="-2"/>
        </w:rPr>
        <w:t>Seekers</w:t>
      </w:r>
    </w:p>
    <w:p>
      <w:pPr>
        <w:pStyle w:val="ListParagraph"/>
        <w:numPr>
          <w:ilvl w:val="1"/>
          <w:numId w:val="7"/>
        </w:numPr>
        <w:tabs>
          <w:tab w:pos="1853" w:val="left" w:leader="none"/>
        </w:tabs>
        <w:spacing w:line="225" w:lineRule="auto" w:before="330" w:after="0"/>
        <w:ind w:left="1853" w:right="1452" w:hanging="720"/>
        <w:jc w:val="left"/>
        <w:rPr>
          <w:sz w:val="28"/>
        </w:rPr>
      </w:pPr>
      <w:r>
        <w:rPr>
          <w:sz w:val="28"/>
        </w:rPr>
        <w:t>In the High Court, the UK Government agreed that the rights, safeguards and equality of opportunity protections enshrined in the relevant part of the 1998 Agreement do</w:t>
      </w:r>
      <w:r>
        <w:rPr>
          <w:spacing w:val="-1"/>
          <w:sz w:val="28"/>
        </w:rPr>
        <w:t> </w:t>
      </w:r>
      <w:r>
        <w:rPr>
          <w:sz w:val="28"/>
        </w:rPr>
        <w:t>not exclude asylum seekers.</w:t>
      </w:r>
      <w:r>
        <w:rPr>
          <w:sz w:val="28"/>
          <w:vertAlign w:val="superscript"/>
        </w:rPr>
        <w:t>519</w:t>
      </w:r>
      <w:r>
        <w:rPr>
          <w:spacing w:val="-1"/>
          <w:sz w:val="28"/>
          <w:vertAlign w:val="baseline"/>
        </w:rPr>
        <w:t> </w:t>
      </w:r>
      <w:r>
        <w:rPr>
          <w:sz w:val="28"/>
          <w:vertAlign w:val="baseline"/>
        </w:rPr>
        <w:t>The High</w:t>
      </w:r>
      <w:r>
        <w:rPr>
          <w:spacing w:val="-1"/>
          <w:sz w:val="28"/>
          <w:vertAlign w:val="baseline"/>
        </w:rPr>
        <w:t> </w:t>
      </w:r>
      <w:r>
        <w:rPr>
          <w:sz w:val="28"/>
          <w:vertAlign w:val="baseline"/>
        </w:rPr>
        <w:t>Court held that,</w:t>
      </w:r>
      <w:r>
        <w:rPr>
          <w:spacing w:val="-11"/>
          <w:sz w:val="28"/>
          <w:vertAlign w:val="baseline"/>
        </w:rPr>
        <w:t> </w:t>
      </w:r>
      <w:r>
        <w:rPr>
          <w:sz w:val="28"/>
          <w:vertAlign w:val="baseline"/>
        </w:rPr>
        <w:t>“a</w:t>
      </w:r>
      <w:r>
        <w:rPr>
          <w:spacing w:val="-12"/>
          <w:sz w:val="28"/>
          <w:vertAlign w:val="baseline"/>
        </w:rPr>
        <w:t> </w:t>
      </w:r>
      <w:r>
        <w:rPr>
          <w:sz w:val="28"/>
          <w:vertAlign w:val="baseline"/>
        </w:rPr>
        <w:t>narrow</w:t>
      </w:r>
      <w:r>
        <w:rPr>
          <w:spacing w:val="-11"/>
          <w:sz w:val="28"/>
          <w:vertAlign w:val="baseline"/>
        </w:rPr>
        <w:t> </w:t>
      </w:r>
      <w:r>
        <w:rPr>
          <w:sz w:val="28"/>
          <w:vertAlign w:val="baseline"/>
        </w:rPr>
        <w:t>interpretation</w:t>
      </w:r>
      <w:r>
        <w:rPr>
          <w:spacing w:val="-12"/>
          <w:sz w:val="28"/>
          <w:vertAlign w:val="baseline"/>
        </w:rPr>
        <w:t> </w:t>
      </w:r>
      <w:r>
        <w:rPr>
          <w:sz w:val="28"/>
          <w:vertAlign w:val="baseline"/>
        </w:rPr>
        <w:t>of</w:t>
      </w:r>
      <w:r>
        <w:rPr>
          <w:spacing w:val="-12"/>
          <w:sz w:val="28"/>
          <w:vertAlign w:val="baseline"/>
        </w:rPr>
        <w:t> </w:t>
      </w:r>
      <w:r>
        <w:rPr>
          <w:sz w:val="28"/>
          <w:vertAlign w:val="baseline"/>
        </w:rPr>
        <w:t>‘civil</w:t>
      </w:r>
      <w:r>
        <w:rPr>
          <w:spacing w:val="-12"/>
          <w:sz w:val="28"/>
          <w:vertAlign w:val="baseline"/>
        </w:rPr>
        <w:t> </w:t>
      </w:r>
      <w:r>
        <w:rPr>
          <w:sz w:val="28"/>
          <w:vertAlign w:val="baseline"/>
        </w:rPr>
        <w:t>rights’</w:t>
      </w:r>
      <w:r>
        <w:rPr>
          <w:spacing w:val="-11"/>
          <w:sz w:val="28"/>
          <w:vertAlign w:val="baseline"/>
        </w:rPr>
        <w:t> </w:t>
      </w:r>
      <w:r>
        <w:rPr>
          <w:sz w:val="28"/>
          <w:vertAlign w:val="baseline"/>
        </w:rPr>
        <w:t>undermines</w:t>
      </w:r>
      <w:r>
        <w:rPr>
          <w:spacing w:val="-12"/>
          <w:sz w:val="28"/>
          <w:vertAlign w:val="baseline"/>
        </w:rPr>
        <w:t> </w:t>
      </w:r>
      <w:r>
        <w:rPr>
          <w:sz w:val="28"/>
          <w:vertAlign w:val="baseline"/>
        </w:rPr>
        <w:t>the</w:t>
      </w:r>
      <w:r>
        <w:rPr>
          <w:spacing w:val="-11"/>
          <w:sz w:val="28"/>
          <w:vertAlign w:val="baseline"/>
        </w:rPr>
        <w:t> </w:t>
      </w:r>
      <w:r>
        <w:rPr>
          <w:sz w:val="28"/>
          <w:vertAlign w:val="baseline"/>
        </w:rPr>
        <w:t>forward-facing</w:t>
      </w:r>
    </w:p>
    <w:p>
      <w:pPr>
        <w:pStyle w:val="BodyText"/>
        <w:spacing w:line="321" w:lineRule="exact"/>
        <w:ind w:left="1853"/>
      </w:pPr>
      <w:r>
        <w:rPr/>
        <w:t>dimension</w:t>
      </w:r>
      <w:r>
        <w:rPr>
          <w:spacing w:val="-11"/>
        </w:rPr>
        <w:t> </w:t>
      </w:r>
      <w:r>
        <w:rPr/>
        <w:t>of</w:t>
      </w:r>
      <w:r>
        <w:rPr>
          <w:spacing w:val="-10"/>
        </w:rPr>
        <w:t> </w:t>
      </w:r>
      <w:r>
        <w:rPr/>
        <w:t>the</w:t>
      </w:r>
      <w:r>
        <w:rPr>
          <w:spacing w:val="-10"/>
        </w:rPr>
        <w:t> </w:t>
      </w:r>
      <w:r>
        <w:rPr/>
        <w:t>non-diminution</w:t>
      </w:r>
      <w:r>
        <w:rPr>
          <w:spacing w:val="-11"/>
        </w:rPr>
        <w:t> </w:t>
      </w:r>
      <w:r>
        <w:rPr/>
        <w:t>commitment</w:t>
      </w:r>
      <w:r>
        <w:rPr>
          <w:spacing w:val="-9"/>
        </w:rPr>
        <w:t> </w:t>
      </w:r>
      <w:r>
        <w:rPr/>
        <w:t>in</w:t>
      </w:r>
      <w:r>
        <w:rPr>
          <w:spacing w:val="-11"/>
        </w:rPr>
        <w:t> </w:t>
      </w:r>
      <w:r>
        <w:rPr/>
        <w:t>article</w:t>
      </w:r>
      <w:r>
        <w:rPr>
          <w:spacing w:val="-9"/>
        </w:rPr>
        <w:t> </w:t>
      </w:r>
      <w:r>
        <w:rPr/>
        <w:t>2(1)”</w:t>
      </w:r>
      <w:r>
        <w:rPr>
          <w:vertAlign w:val="superscript"/>
        </w:rPr>
        <w:t>520</w:t>
      </w:r>
      <w:r>
        <w:rPr>
          <w:spacing w:val="-11"/>
          <w:vertAlign w:val="baseline"/>
        </w:rPr>
        <w:t> </w:t>
      </w:r>
      <w:r>
        <w:rPr>
          <w:vertAlign w:val="baseline"/>
        </w:rPr>
        <w:t>and</w:t>
      </w:r>
      <w:r>
        <w:rPr>
          <w:spacing w:val="-10"/>
          <w:vertAlign w:val="baseline"/>
        </w:rPr>
        <w:t> </w:t>
      </w:r>
      <w:r>
        <w:rPr>
          <w:spacing w:val="-2"/>
          <w:vertAlign w:val="baseline"/>
        </w:rPr>
        <w:t>rejected</w:t>
      </w:r>
    </w:p>
    <w:p>
      <w:pPr>
        <w:pStyle w:val="BodyText"/>
        <w:spacing w:before="179"/>
        <w:rPr>
          <w:sz w:val="20"/>
        </w:rPr>
      </w:pPr>
      <w:r>
        <w:rPr/>
        <mc:AlternateContent>
          <mc:Choice Requires="wps">
            <w:drawing>
              <wp:anchor distT="0" distB="0" distL="0" distR="0" allowOverlap="1" layoutInCell="1" locked="0" behindDoc="1" simplePos="0" relativeHeight="487683072">
                <wp:simplePos x="0" y="0"/>
                <wp:positionH relativeFrom="page">
                  <wp:posOffset>719996</wp:posOffset>
                </wp:positionH>
                <wp:positionV relativeFrom="paragraph">
                  <wp:posOffset>284149</wp:posOffset>
                </wp:positionV>
                <wp:extent cx="6120130" cy="1270"/>
                <wp:effectExtent l="0" t="0" r="0" b="0"/>
                <wp:wrapTopAndBottom/>
                <wp:docPr id="405" name="Graphic 405"/>
                <wp:cNvGraphicFramePr>
                  <a:graphicFrameLocks/>
                </wp:cNvGraphicFramePr>
                <a:graphic>
                  <a:graphicData uri="http://schemas.microsoft.com/office/word/2010/wordprocessingShape">
                    <wps:wsp>
                      <wps:cNvPr id="405" name="Graphic 40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2.373951pt;width:481.9pt;height:.1pt;mso-position-horizontal-relative:page;mso-position-vertical-relative:paragraph;z-index:-15633408;mso-wrap-distance-left:0;mso-wrap-distance-right:0" id="docshape354" coordorigin="1134,447" coordsize="9638,0" path="m10772,447l1134,447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18" w:lineRule="exact" w:before="128" w:after="0"/>
        <w:ind w:left="1853" w:right="0" w:hanging="720"/>
        <w:jc w:val="left"/>
        <w:rPr>
          <w:sz w:val="18"/>
        </w:rPr>
      </w:pPr>
      <w:r>
        <w:rPr>
          <w:i/>
          <w:sz w:val="18"/>
        </w:rPr>
        <w:t>In</w:t>
      </w:r>
      <w:r>
        <w:rPr>
          <w:i/>
          <w:spacing w:val="-4"/>
          <w:sz w:val="18"/>
        </w:rPr>
        <w:t> </w:t>
      </w:r>
      <w:r>
        <w:rPr>
          <w:i/>
          <w:sz w:val="18"/>
        </w:rPr>
        <w:t>the</w:t>
      </w:r>
      <w:r>
        <w:rPr>
          <w:i/>
          <w:spacing w:val="-4"/>
          <w:sz w:val="18"/>
        </w:rPr>
        <w:t> </w:t>
      </w:r>
      <w:r>
        <w:rPr>
          <w:i/>
          <w:sz w:val="18"/>
        </w:rPr>
        <w:t>Matter</w:t>
      </w:r>
      <w:r>
        <w:rPr>
          <w:i/>
          <w:spacing w:val="-3"/>
          <w:sz w:val="18"/>
        </w:rPr>
        <w:t> </w:t>
      </w:r>
      <w:r>
        <w:rPr>
          <w:i/>
          <w:sz w:val="18"/>
        </w:rPr>
        <w:t>of</w:t>
      </w:r>
      <w:r>
        <w:rPr>
          <w:i/>
          <w:spacing w:val="-4"/>
          <w:sz w:val="18"/>
        </w:rPr>
        <w:t> </w:t>
      </w:r>
      <w:r>
        <w:rPr>
          <w:i/>
          <w:sz w:val="18"/>
        </w:rPr>
        <w:t>an</w:t>
      </w:r>
      <w:r>
        <w:rPr>
          <w:i/>
          <w:spacing w:val="-4"/>
          <w:sz w:val="18"/>
        </w:rPr>
        <w:t> </w:t>
      </w:r>
      <w:r>
        <w:rPr>
          <w:i/>
          <w:sz w:val="18"/>
        </w:rPr>
        <w:t>Application</w:t>
      </w:r>
      <w:r>
        <w:rPr>
          <w:i/>
          <w:spacing w:val="-3"/>
          <w:sz w:val="18"/>
        </w:rPr>
        <w:t> </w:t>
      </w:r>
      <w:r>
        <w:rPr>
          <w:i/>
          <w:sz w:val="18"/>
        </w:rPr>
        <w:t>by</w:t>
      </w:r>
      <w:r>
        <w:rPr>
          <w:i/>
          <w:spacing w:val="-4"/>
          <w:sz w:val="18"/>
        </w:rPr>
        <w:t> </w:t>
      </w:r>
      <w:r>
        <w:rPr>
          <w:i/>
          <w:sz w:val="18"/>
        </w:rPr>
        <w:t>Aman</w:t>
      </w:r>
      <w:r>
        <w:rPr>
          <w:i/>
          <w:spacing w:val="-4"/>
          <w:sz w:val="18"/>
        </w:rPr>
        <w:t> </w:t>
      </w:r>
      <w:r>
        <w:rPr>
          <w:i/>
          <w:sz w:val="18"/>
        </w:rPr>
        <w:t>Angesom</w:t>
      </w:r>
      <w:r>
        <w:rPr>
          <w:i/>
          <w:spacing w:val="-4"/>
          <w:sz w:val="18"/>
        </w:rPr>
        <w:t> </w:t>
      </w:r>
      <w:r>
        <w:rPr>
          <w:i/>
          <w:sz w:val="18"/>
        </w:rPr>
        <w:t>for</w:t>
      </w:r>
      <w:r>
        <w:rPr>
          <w:i/>
          <w:spacing w:val="-3"/>
          <w:sz w:val="18"/>
        </w:rPr>
        <w:t> </w:t>
      </w:r>
      <w:r>
        <w:rPr>
          <w:i/>
          <w:sz w:val="18"/>
        </w:rPr>
        <w:t>Judicial</w:t>
      </w:r>
      <w:r>
        <w:rPr>
          <w:i/>
          <w:spacing w:val="-4"/>
          <w:sz w:val="18"/>
        </w:rPr>
        <w:t> </w:t>
      </w:r>
      <w:r>
        <w:rPr>
          <w:i/>
          <w:sz w:val="18"/>
        </w:rPr>
        <w:t>Review</w:t>
      </w:r>
      <w:r>
        <w:rPr>
          <w:i/>
          <w:spacing w:val="-3"/>
          <w:sz w:val="18"/>
        </w:rPr>
        <w:t> </w:t>
      </w:r>
      <w:r>
        <w:rPr>
          <w:sz w:val="18"/>
        </w:rPr>
        <w:t>[2023]</w:t>
      </w:r>
      <w:r>
        <w:rPr>
          <w:spacing w:val="-4"/>
          <w:sz w:val="18"/>
        </w:rPr>
        <w:t> </w:t>
      </w:r>
      <w:r>
        <w:rPr>
          <w:sz w:val="18"/>
        </w:rPr>
        <w:t>NIKB</w:t>
      </w:r>
      <w:r>
        <w:rPr>
          <w:spacing w:val="-3"/>
          <w:sz w:val="18"/>
        </w:rPr>
        <w:t> </w:t>
      </w:r>
      <w:r>
        <w:rPr>
          <w:sz w:val="18"/>
        </w:rPr>
        <w:t>102,</w:t>
      </w:r>
      <w:r>
        <w:rPr>
          <w:spacing w:val="-3"/>
          <w:sz w:val="18"/>
        </w:rPr>
        <w:t> </w:t>
      </w:r>
      <w:r>
        <w:rPr>
          <w:sz w:val="18"/>
        </w:rPr>
        <w:t>at</w:t>
      </w:r>
      <w:r>
        <w:rPr>
          <w:spacing w:val="-3"/>
          <w:sz w:val="18"/>
        </w:rPr>
        <w:t> </w:t>
      </w:r>
      <w:r>
        <w:rPr>
          <w:sz w:val="18"/>
        </w:rPr>
        <w:t>para</w:t>
      </w:r>
      <w:r>
        <w:rPr>
          <w:spacing w:val="-4"/>
          <w:sz w:val="18"/>
        </w:rPr>
        <w:t> 107.</w:t>
      </w:r>
    </w:p>
    <w:p>
      <w:pPr>
        <w:pStyle w:val="ListParagraph"/>
        <w:numPr>
          <w:ilvl w:val="0"/>
          <w:numId w:val="9"/>
        </w:numPr>
        <w:tabs>
          <w:tab w:pos="1853" w:val="left" w:leader="none"/>
        </w:tabs>
        <w:spacing w:line="235" w:lineRule="auto" w:before="1" w:after="0"/>
        <w:ind w:left="1853" w:right="1388" w:hanging="720"/>
        <w:jc w:val="left"/>
        <w:rPr>
          <w:sz w:val="18"/>
        </w:rPr>
      </w:pP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and</w:t>
      </w:r>
      <w:r>
        <w:rPr>
          <w:spacing w:val="-4"/>
          <w:sz w:val="18"/>
        </w:rPr>
        <w:t> </w:t>
      </w:r>
      <w:r>
        <w:rPr>
          <w:sz w:val="18"/>
        </w:rPr>
        <w:t>Equality</w:t>
      </w:r>
      <w:r>
        <w:rPr>
          <w:spacing w:val="-3"/>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‘Working</w:t>
      </w:r>
      <w:r>
        <w:rPr>
          <w:spacing w:val="-3"/>
          <w:sz w:val="18"/>
        </w:rPr>
        <w:t> </w:t>
      </w:r>
      <w:r>
        <w:rPr>
          <w:sz w:val="18"/>
        </w:rPr>
        <w:t>Paper:</w:t>
      </w:r>
      <w:r>
        <w:rPr>
          <w:spacing w:val="-3"/>
          <w:sz w:val="18"/>
        </w:rPr>
        <w:t> </w:t>
      </w:r>
      <w:r>
        <w:rPr>
          <w:sz w:val="18"/>
        </w:rPr>
        <w:t>The</w:t>
      </w:r>
      <w:r>
        <w:rPr>
          <w:spacing w:val="-3"/>
          <w:sz w:val="18"/>
        </w:rPr>
        <w:t> </w:t>
      </w:r>
      <w:r>
        <w:rPr>
          <w:sz w:val="18"/>
        </w:rPr>
        <w:t>Scope</w:t>
      </w:r>
      <w:r>
        <w:rPr>
          <w:spacing w:val="-3"/>
          <w:sz w:val="18"/>
        </w:rPr>
        <w:t> </w:t>
      </w:r>
      <w:r>
        <w:rPr>
          <w:sz w:val="18"/>
        </w:rPr>
        <w:t>of</w:t>
      </w:r>
      <w:r>
        <w:rPr>
          <w:spacing w:val="-4"/>
          <w:sz w:val="18"/>
        </w:rPr>
        <w:t> </w:t>
      </w:r>
      <w:r>
        <w:rPr>
          <w:sz w:val="18"/>
        </w:rPr>
        <w:t>Article</w:t>
      </w:r>
      <w:r>
        <w:rPr>
          <w:spacing w:val="-3"/>
          <w:sz w:val="18"/>
        </w:rPr>
        <w:t> </w:t>
      </w:r>
      <w:r>
        <w:rPr>
          <w:sz w:val="18"/>
        </w:rPr>
        <w:t>2(1)</w:t>
      </w:r>
      <w:r>
        <w:rPr>
          <w:spacing w:val="-4"/>
          <w:sz w:val="18"/>
        </w:rPr>
        <w:t> </w:t>
      </w:r>
      <w:r>
        <w:rPr>
          <w:sz w:val="18"/>
        </w:rPr>
        <w:t>of</w:t>
      </w:r>
      <w:r>
        <w:rPr>
          <w:spacing w:val="-4"/>
          <w:sz w:val="18"/>
        </w:rPr>
        <w:t> </w:t>
      </w:r>
      <w:r>
        <w:rPr>
          <w:sz w:val="18"/>
        </w:rPr>
        <w:t>the</w:t>
      </w:r>
      <w:r>
        <w:rPr>
          <w:spacing w:val="-3"/>
          <w:sz w:val="18"/>
        </w:rPr>
        <w:t> </w:t>
      </w:r>
      <w:r>
        <w:rPr>
          <w:sz w:val="18"/>
        </w:rPr>
        <w:t>Ireland/ Northern Ireland Protocol’ (NIHRC and ECNI, 2022).</w:t>
      </w:r>
    </w:p>
    <w:p>
      <w:pPr>
        <w:pStyle w:val="ListParagraph"/>
        <w:numPr>
          <w:ilvl w:val="0"/>
          <w:numId w:val="9"/>
        </w:numPr>
        <w:tabs>
          <w:tab w:pos="1853" w:val="left" w:leader="none"/>
        </w:tabs>
        <w:spacing w:line="216" w:lineRule="exact" w:before="0" w:after="0"/>
        <w:ind w:left="1853" w:right="0" w:hanging="720"/>
        <w:jc w:val="left"/>
        <w:rPr>
          <w:sz w:val="18"/>
        </w:rPr>
      </w:pPr>
      <w:r>
        <w:rPr>
          <w:i/>
          <w:sz w:val="18"/>
        </w:rPr>
        <w:t>In</w:t>
      </w:r>
      <w:r>
        <w:rPr>
          <w:i/>
          <w:spacing w:val="-5"/>
          <w:sz w:val="18"/>
        </w:rPr>
        <w:t> </w:t>
      </w:r>
      <w:r>
        <w:rPr>
          <w:i/>
          <w:sz w:val="18"/>
        </w:rPr>
        <w:t>the</w:t>
      </w:r>
      <w:r>
        <w:rPr>
          <w:i/>
          <w:spacing w:val="-4"/>
          <w:sz w:val="18"/>
        </w:rPr>
        <w:t> </w:t>
      </w:r>
      <w:r>
        <w:rPr>
          <w:i/>
          <w:sz w:val="18"/>
        </w:rPr>
        <w:t>Matter</w:t>
      </w:r>
      <w:r>
        <w:rPr>
          <w:i/>
          <w:spacing w:val="-4"/>
          <w:sz w:val="18"/>
        </w:rPr>
        <w:t> </w:t>
      </w:r>
      <w:r>
        <w:rPr>
          <w:i/>
          <w:sz w:val="18"/>
        </w:rPr>
        <w:t>of</w:t>
      </w:r>
      <w:r>
        <w:rPr>
          <w:i/>
          <w:spacing w:val="-5"/>
          <w:sz w:val="18"/>
        </w:rPr>
        <w:t> </w:t>
      </w:r>
      <w:r>
        <w:rPr>
          <w:i/>
          <w:sz w:val="18"/>
        </w:rPr>
        <w:t>an</w:t>
      </w:r>
      <w:r>
        <w:rPr>
          <w:i/>
          <w:spacing w:val="-4"/>
          <w:sz w:val="18"/>
        </w:rPr>
        <w:t> </w:t>
      </w:r>
      <w:r>
        <w:rPr>
          <w:i/>
          <w:sz w:val="18"/>
        </w:rPr>
        <w:t>Application</w:t>
      </w:r>
      <w:r>
        <w:rPr>
          <w:i/>
          <w:spacing w:val="-5"/>
          <w:sz w:val="18"/>
        </w:rPr>
        <w:t> </w:t>
      </w:r>
      <w:r>
        <w:rPr>
          <w:i/>
          <w:sz w:val="18"/>
        </w:rPr>
        <w:t>by</w:t>
      </w:r>
      <w:r>
        <w:rPr>
          <w:i/>
          <w:spacing w:val="-5"/>
          <w:sz w:val="18"/>
        </w:rPr>
        <w:t> </w:t>
      </w:r>
      <w:r>
        <w:rPr>
          <w:i/>
          <w:sz w:val="18"/>
        </w:rPr>
        <w:t>Martina</w:t>
      </w:r>
      <w:r>
        <w:rPr>
          <w:i/>
          <w:spacing w:val="-4"/>
          <w:sz w:val="18"/>
        </w:rPr>
        <w:t> </w:t>
      </w:r>
      <w:r>
        <w:rPr>
          <w:i/>
          <w:sz w:val="18"/>
        </w:rPr>
        <w:t>Dillon</w:t>
      </w:r>
      <w:r>
        <w:rPr>
          <w:i/>
          <w:spacing w:val="-5"/>
          <w:sz w:val="18"/>
        </w:rPr>
        <w:t> </w:t>
      </w:r>
      <w:r>
        <w:rPr>
          <w:i/>
          <w:sz w:val="18"/>
        </w:rPr>
        <w:t>and</w:t>
      </w:r>
      <w:r>
        <w:rPr>
          <w:i/>
          <w:spacing w:val="-5"/>
          <w:sz w:val="18"/>
        </w:rPr>
        <w:t> </w:t>
      </w:r>
      <w:r>
        <w:rPr>
          <w:i/>
          <w:sz w:val="18"/>
        </w:rPr>
        <w:t>Others</w:t>
      </w:r>
      <w:r>
        <w:rPr>
          <w:i/>
          <w:spacing w:val="-4"/>
          <w:sz w:val="18"/>
        </w:rPr>
        <w:t> </w:t>
      </w:r>
      <w:r>
        <w:rPr>
          <w:i/>
          <w:sz w:val="18"/>
        </w:rPr>
        <w:t>for</w:t>
      </w:r>
      <w:r>
        <w:rPr>
          <w:i/>
          <w:spacing w:val="-4"/>
          <w:sz w:val="18"/>
        </w:rPr>
        <w:t> </w:t>
      </w:r>
      <w:r>
        <w:rPr>
          <w:i/>
          <w:sz w:val="18"/>
        </w:rPr>
        <w:t>Judicial</w:t>
      </w:r>
      <w:r>
        <w:rPr>
          <w:i/>
          <w:spacing w:val="-5"/>
          <w:sz w:val="18"/>
        </w:rPr>
        <w:t> </w:t>
      </w:r>
      <w:r>
        <w:rPr>
          <w:i/>
          <w:sz w:val="18"/>
        </w:rPr>
        <w:t>Review</w:t>
      </w:r>
      <w:r>
        <w:rPr>
          <w:i/>
          <w:spacing w:val="-5"/>
          <w:sz w:val="18"/>
        </w:rPr>
        <w:t> </w:t>
      </w:r>
      <w:r>
        <w:rPr>
          <w:sz w:val="18"/>
        </w:rPr>
        <w:t>[2024]</w:t>
      </w:r>
      <w:r>
        <w:rPr>
          <w:spacing w:val="-3"/>
          <w:sz w:val="18"/>
        </w:rPr>
        <w:t> </w:t>
      </w:r>
      <w:r>
        <w:rPr>
          <w:sz w:val="18"/>
        </w:rPr>
        <w:t>NIKB</w:t>
      </w:r>
      <w:r>
        <w:rPr>
          <w:spacing w:val="-4"/>
          <w:sz w:val="18"/>
        </w:rPr>
        <w:t> </w:t>
      </w:r>
      <w:r>
        <w:rPr>
          <w:sz w:val="18"/>
        </w:rPr>
        <w:t>11,</w:t>
      </w:r>
      <w:r>
        <w:rPr>
          <w:spacing w:val="-4"/>
          <w:sz w:val="18"/>
        </w:rPr>
        <w:t> </w:t>
      </w:r>
      <w:r>
        <w:rPr>
          <w:sz w:val="18"/>
        </w:rPr>
        <w:t>at</w:t>
      </w:r>
      <w:r>
        <w:rPr>
          <w:spacing w:val="-4"/>
          <w:sz w:val="18"/>
        </w:rPr>
        <w:t> </w:t>
      </w:r>
      <w:r>
        <w:rPr>
          <w:sz w:val="18"/>
        </w:rPr>
        <w:t>para</w:t>
      </w:r>
      <w:r>
        <w:rPr>
          <w:spacing w:val="-5"/>
          <w:sz w:val="18"/>
        </w:rPr>
        <w:t> </w:t>
      </w:r>
      <w:r>
        <w:rPr>
          <w:spacing w:val="-4"/>
          <w:sz w:val="18"/>
        </w:rPr>
        <w:t>547</w:t>
      </w:r>
      <w:r>
        <w:rPr>
          <w:color w:val="0562C1"/>
          <w:spacing w:val="-4"/>
          <w:sz w:val="18"/>
          <w:u w:val="single" w:color="0562C1"/>
        </w:rPr>
        <w:t>.</w:t>
      </w:r>
    </w:p>
    <w:p>
      <w:pPr>
        <w:pStyle w:val="ListParagraph"/>
        <w:numPr>
          <w:ilvl w:val="0"/>
          <w:numId w:val="9"/>
        </w:numPr>
        <w:tabs>
          <w:tab w:pos="1853" w:val="left" w:leader="none"/>
        </w:tabs>
        <w:spacing w:line="216" w:lineRule="exact" w:before="0" w:after="0"/>
        <w:ind w:left="1853" w:right="0" w:hanging="720"/>
        <w:jc w:val="left"/>
        <w:rPr>
          <w:sz w:val="18"/>
        </w:rPr>
      </w:pPr>
      <w:r>
        <w:rPr>
          <w:i/>
          <w:sz w:val="18"/>
        </w:rPr>
        <w:t>In</w:t>
      </w:r>
      <w:r>
        <w:rPr>
          <w:i/>
          <w:spacing w:val="-5"/>
          <w:sz w:val="18"/>
        </w:rPr>
        <w:t> </w:t>
      </w:r>
      <w:r>
        <w:rPr>
          <w:i/>
          <w:sz w:val="18"/>
        </w:rPr>
        <w:t>the</w:t>
      </w:r>
      <w:r>
        <w:rPr>
          <w:i/>
          <w:spacing w:val="-4"/>
          <w:sz w:val="18"/>
        </w:rPr>
        <w:t> </w:t>
      </w:r>
      <w:r>
        <w:rPr>
          <w:i/>
          <w:sz w:val="18"/>
        </w:rPr>
        <w:t>Matter</w:t>
      </w:r>
      <w:r>
        <w:rPr>
          <w:i/>
          <w:spacing w:val="-4"/>
          <w:sz w:val="18"/>
        </w:rPr>
        <w:t> </w:t>
      </w:r>
      <w:r>
        <w:rPr>
          <w:i/>
          <w:sz w:val="18"/>
        </w:rPr>
        <w:t>of</w:t>
      </w:r>
      <w:r>
        <w:rPr>
          <w:i/>
          <w:spacing w:val="-5"/>
          <w:sz w:val="18"/>
        </w:rPr>
        <w:t> </w:t>
      </w:r>
      <w:r>
        <w:rPr>
          <w:i/>
          <w:sz w:val="18"/>
        </w:rPr>
        <w:t>an</w:t>
      </w:r>
      <w:r>
        <w:rPr>
          <w:i/>
          <w:spacing w:val="-4"/>
          <w:sz w:val="18"/>
        </w:rPr>
        <w:t> </w:t>
      </w:r>
      <w:r>
        <w:rPr>
          <w:i/>
          <w:sz w:val="18"/>
        </w:rPr>
        <w:t>Application</w:t>
      </w:r>
      <w:r>
        <w:rPr>
          <w:i/>
          <w:spacing w:val="-5"/>
          <w:sz w:val="18"/>
        </w:rPr>
        <w:t> </w:t>
      </w:r>
      <w:r>
        <w:rPr>
          <w:i/>
          <w:sz w:val="18"/>
        </w:rPr>
        <w:t>by</w:t>
      </w:r>
      <w:r>
        <w:rPr>
          <w:i/>
          <w:spacing w:val="-5"/>
          <w:sz w:val="18"/>
        </w:rPr>
        <w:t> </w:t>
      </w:r>
      <w:r>
        <w:rPr>
          <w:i/>
          <w:sz w:val="18"/>
        </w:rPr>
        <w:t>Martina</w:t>
      </w:r>
      <w:r>
        <w:rPr>
          <w:i/>
          <w:spacing w:val="-4"/>
          <w:sz w:val="18"/>
        </w:rPr>
        <w:t> </w:t>
      </w:r>
      <w:r>
        <w:rPr>
          <w:i/>
          <w:sz w:val="18"/>
        </w:rPr>
        <w:t>Dillon</w:t>
      </w:r>
      <w:r>
        <w:rPr>
          <w:i/>
          <w:spacing w:val="-5"/>
          <w:sz w:val="18"/>
        </w:rPr>
        <w:t> </w:t>
      </w:r>
      <w:r>
        <w:rPr>
          <w:i/>
          <w:sz w:val="18"/>
        </w:rPr>
        <w:t>and</w:t>
      </w:r>
      <w:r>
        <w:rPr>
          <w:i/>
          <w:spacing w:val="-5"/>
          <w:sz w:val="18"/>
        </w:rPr>
        <w:t> </w:t>
      </w:r>
      <w:r>
        <w:rPr>
          <w:i/>
          <w:sz w:val="18"/>
        </w:rPr>
        <w:t>Others</w:t>
      </w:r>
      <w:r>
        <w:rPr>
          <w:i/>
          <w:spacing w:val="-4"/>
          <w:sz w:val="18"/>
        </w:rPr>
        <w:t> </w:t>
      </w:r>
      <w:r>
        <w:rPr>
          <w:i/>
          <w:sz w:val="18"/>
        </w:rPr>
        <w:t>for</w:t>
      </w:r>
      <w:r>
        <w:rPr>
          <w:i/>
          <w:spacing w:val="-4"/>
          <w:sz w:val="18"/>
        </w:rPr>
        <w:t> </w:t>
      </w:r>
      <w:r>
        <w:rPr>
          <w:i/>
          <w:sz w:val="18"/>
        </w:rPr>
        <w:t>Judicial</w:t>
      </w:r>
      <w:r>
        <w:rPr>
          <w:i/>
          <w:spacing w:val="-5"/>
          <w:sz w:val="18"/>
        </w:rPr>
        <w:t> </w:t>
      </w:r>
      <w:r>
        <w:rPr>
          <w:i/>
          <w:sz w:val="18"/>
        </w:rPr>
        <w:t>Review</w:t>
      </w:r>
      <w:r>
        <w:rPr>
          <w:i/>
          <w:spacing w:val="-5"/>
          <w:sz w:val="18"/>
        </w:rPr>
        <w:t> </w:t>
      </w:r>
      <w:r>
        <w:rPr>
          <w:sz w:val="18"/>
        </w:rPr>
        <w:t>[2024]</w:t>
      </w:r>
      <w:r>
        <w:rPr>
          <w:spacing w:val="-3"/>
          <w:sz w:val="18"/>
        </w:rPr>
        <w:t> </w:t>
      </w:r>
      <w:r>
        <w:rPr>
          <w:sz w:val="18"/>
        </w:rPr>
        <w:t>NIKB</w:t>
      </w:r>
      <w:r>
        <w:rPr>
          <w:spacing w:val="-4"/>
          <w:sz w:val="18"/>
        </w:rPr>
        <w:t> </w:t>
      </w:r>
      <w:r>
        <w:rPr>
          <w:sz w:val="18"/>
        </w:rPr>
        <w:t>11,</w:t>
      </w:r>
      <w:r>
        <w:rPr>
          <w:spacing w:val="-4"/>
          <w:sz w:val="18"/>
        </w:rPr>
        <w:t> </w:t>
      </w:r>
      <w:r>
        <w:rPr>
          <w:sz w:val="18"/>
        </w:rPr>
        <w:t>at</w:t>
      </w:r>
      <w:r>
        <w:rPr>
          <w:spacing w:val="-4"/>
          <w:sz w:val="18"/>
        </w:rPr>
        <w:t> </w:t>
      </w:r>
      <w:r>
        <w:rPr>
          <w:sz w:val="18"/>
        </w:rPr>
        <w:t>para</w:t>
      </w:r>
      <w:r>
        <w:rPr>
          <w:spacing w:val="-5"/>
          <w:sz w:val="18"/>
        </w:rPr>
        <w:t> </w:t>
      </w:r>
      <w:r>
        <w:rPr>
          <w:spacing w:val="-4"/>
          <w:sz w:val="18"/>
        </w:rPr>
        <w:t>554.</w:t>
      </w:r>
    </w:p>
    <w:p>
      <w:pPr>
        <w:pStyle w:val="ListParagraph"/>
        <w:numPr>
          <w:ilvl w:val="0"/>
          <w:numId w:val="9"/>
        </w:numPr>
        <w:tabs>
          <w:tab w:pos="1853" w:val="left" w:leader="none"/>
        </w:tabs>
        <w:spacing w:line="235" w:lineRule="auto" w:before="2" w:after="0"/>
        <w:ind w:left="1853" w:right="1914" w:hanging="720"/>
        <w:jc w:val="left"/>
        <w:rPr>
          <w:sz w:val="18"/>
        </w:rPr>
      </w:pPr>
      <w:r>
        <w:rPr>
          <w:sz w:val="18"/>
        </w:rPr>
        <w:t>Directive</w:t>
      </w:r>
      <w:r>
        <w:rPr>
          <w:spacing w:val="-6"/>
          <w:sz w:val="18"/>
        </w:rPr>
        <w:t> </w:t>
      </w:r>
      <w:r>
        <w:rPr>
          <w:sz w:val="18"/>
        </w:rPr>
        <w:t>2000/43/EC,</w:t>
      </w:r>
      <w:r>
        <w:rPr>
          <w:spacing w:val="-6"/>
          <w:sz w:val="18"/>
        </w:rPr>
        <w:t> </w:t>
      </w:r>
      <w:r>
        <w:rPr>
          <w:sz w:val="18"/>
        </w:rPr>
        <w:t>‘EU</w:t>
      </w:r>
      <w:r>
        <w:rPr>
          <w:spacing w:val="-6"/>
          <w:sz w:val="18"/>
        </w:rPr>
        <w:t> </w:t>
      </w:r>
      <w:r>
        <w:rPr>
          <w:sz w:val="18"/>
        </w:rPr>
        <w:t>Council</w:t>
      </w:r>
      <w:r>
        <w:rPr>
          <w:spacing w:val="-7"/>
          <w:sz w:val="18"/>
        </w:rPr>
        <w:t> </w:t>
      </w:r>
      <w:r>
        <w:rPr>
          <w:sz w:val="18"/>
        </w:rPr>
        <w:t>Directive</w:t>
      </w:r>
      <w:r>
        <w:rPr>
          <w:spacing w:val="-6"/>
          <w:sz w:val="18"/>
        </w:rPr>
        <w:t> </w:t>
      </w:r>
      <w:r>
        <w:rPr>
          <w:sz w:val="18"/>
        </w:rPr>
        <w:t>on</w:t>
      </w:r>
      <w:r>
        <w:rPr>
          <w:spacing w:val="-7"/>
          <w:sz w:val="18"/>
        </w:rPr>
        <w:t> </w:t>
      </w:r>
      <w:r>
        <w:rPr>
          <w:sz w:val="18"/>
        </w:rPr>
        <w:t>Implementing</w:t>
      </w:r>
      <w:r>
        <w:rPr>
          <w:spacing w:val="-6"/>
          <w:sz w:val="18"/>
        </w:rPr>
        <w:t> </w:t>
      </w:r>
      <w:r>
        <w:rPr>
          <w:sz w:val="18"/>
        </w:rPr>
        <w:t>the</w:t>
      </w:r>
      <w:r>
        <w:rPr>
          <w:spacing w:val="-6"/>
          <w:sz w:val="18"/>
        </w:rPr>
        <w:t> </w:t>
      </w:r>
      <w:r>
        <w:rPr>
          <w:sz w:val="18"/>
        </w:rPr>
        <w:t>Principle</w:t>
      </w:r>
      <w:r>
        <w:rPr>
          <w:spacing w:val="-6"/>
          <w:sz w:val="18"/>
        </w:rPr>
        <w:t> </w:t>
      </w:r>
      <w:r>
        <w:rPr>
          <w:sz w:val="18"/>
        </w:rPr>
        <w:t>of</w:t>
      </w:r>
      <w:r>
        <w:rPr>
          <w:spacing w:val="-7"/>
          <w:sz w:val="18"/>
        </w:rPr>
        <w:t> </w:t>
      </w:r>
      <w:r>
        <w:rPr>
          <w:sz w:val="18"/>
        </w:rPr>
        <w:t>Equal</w:t>
      </w:r>
      <w:r>
        <w:rPr>
          <w:spacing w:val="-7"/>
          <w:sz w:val="18"/>
        </w:rPr>
        <w:t> </w:t>
      </w:r>
      <w:r>
        <w:rPr>
          <w:sz w:val="18"/>
        </w:rPr>
        <w:t>Treatment</w:t>
      </w:r>
      <w:r>
        <w:rPr>
          <w:spacing w:val="-6"/>
          <w:sz w:val="18"/>
        </w:rPr>
        <w:t> </w:t>
      </w:r>
      <w:r>
        <w:rPr>
          <w:sz w:val="18"/>
        </w:rPr>
        <w:t>between</w:t>
      </w:r>
      <w:r>
        <w:rPr>
          <w:spacing w:val="-7"/>
          <w:sz w:val="18"/>
        </w:rPr>
        <w:t> </w:t>
      </w:r>
      <w:r>
        <w:rPr>
          <w:sz w:val="18"/>
        </w:rPr>
        <w:t>Persons Irrespective of Racial or Ethnic Origin’, 29 June 2000.</w:t>
      </w:r>
    </w:p>
    <w:p>
      <w:pPr>
        <w:pStyle w:val="ListParagraph"/>
        <w:numPr>
          <w:ilvl w:val="0"/>
          <w:numId w:val="9"/>
        </w:numPr>
        <w:tabs>
          <w:tab w:pos="1853" w:val="left" w:leader="none"/>
        </w:tabs>
        <w:spacing w:line="235" w:lineRule="auto" w:before="1" w:after="0"/>
        <w:ind w:left="1853" w:right="1738" w:hanging="720"/>
        <w:jc w:val="left"/>
        <w:rPr>
          <w:sz w:val="18"/>
        </w:rPr>
      </w:pPr>
      <w:r>
        <w:rPr>
          <w:sz w:val="18"/>
        </w:rPr>
        <w:t>Directive</w:t>
      </w:r>
      <w:r>
        <w:rPr>
          <w:spacing w:val="-5"/>
          <w:sz w:val="18"/>
        </w:rPr>
        <w:t> </w:t>
      </w:r>
      <w:r>
        <w:rPr>
          <w:sz w:val="18"/>
        </w:rPr>
        <w:t>2004/113/EC,</w:t>
      </w:r>
      <w:r>
        <w:rPr>
          <w:spacing w:val="-5"/>
          <w:sz w:val="18"/>
        </w:rPr>
        <w:t> </w:t>
      </w:r>
      <w:r>
        <w:rPr>
          <w:sz w:val="18"/>
        </w:rPr>
        <w:t>‘EU</w:t>
      </w:r>
      <w:r>
        <w:rPr>
          <w:spacing w:val="-5"/>
          <w:sz w:val="18"/>
        </w:rPr>
        <w:t> </w:t>
      </w:r>
      <w:r>
        <w:rPr>
          <w:sz w:val="18"/>
        </w:rPr>
        <w:t>Council</w:t>
      </w:r>
      <w:r>
        <w:rPr>
          <w:spacing w:val="-6"/>
          <w:sz w:val="18"/>
        </w:rPr>
        <w:t> </w:t>
      </w:r>
      <w:r>
        <w:rPr>
          <w:sz w:val="18"/>
        </w:rPr>
        <w:t>Directive</w:t>
      </w:r>
      <w:r>
        <w:rPr>
          <w:spacing w:val="-5"/>
          <w:sz w:val="18"/>
        </w:rPr>
        <w:t> </w:t>
      </w:r>
      <w:r>
        <w:rPr>
          <w:sz w:val="18"/>
        </w:rPr>
        <w:t>on</w:t>
      </w:r>
      <w:r>
        <w:rPr>
          <w:spacing w:val="-6"/>
          <w:sz w:val="18"/>
        </w:rPr>
        <w:t> </w:t>
      </w:r>
      <w:r>
        <w:rPr>
          <w:sz w:val="18"/>
        </w:rPr>
        <w:t>Implementing</w:t>
      </w:r>
      <w:r>
        <w:rPr>
          <w:spacing w:val="-5"/>
          <w:sz w:val="18"/>
        </w:rPr>
        <w:t> </w:t>
      </w:r>
      <w:r>
        <w:rPr>
          <w:sz w:val="18"/>
        </w:rPr>
        <w:t>the</w:t>
      </w:r>
      <w:r>
        <w:rPr>
          <w:spacing w:val="-5"/>
          <w:sz w:val="18"/>
        </w:rPr>
        <w:t> </w:t>
      </w:r>
      <w:r>
        <w:rPr>
          <w:sz w:val="18"/>
        </w:rPr>
        <w:t>Principle</w:t>
      </w:r>
      <w:r>
        <w:rPr>
          <w:spacing w:val="-5"/>
          <w:sz w:val="18"/>
        </w:rPr>
        <w:t> </w:t>
      </w:r>
      <w:r>
        <w:rPr>
          <w:sz w:val="18"/>
        </w:rPr>
        <w:t>of</w:t>
      </w:r>
      <w:r>
        <w:rPr>
          <w:spacing w:val="-6"/>
          <w:sz w:val="18"/>
        </w:rPr>
        <w:t> </w:t>
      </w:r>
      <w:r>
        <w:rPr>
          <w:sz w:val="18"/>
        </w:rPr>
        <w:t>Equal</w:t>
      </w:r>
      <w:r>
        <w:rPr>
          <w:spacing w:val="-6"/>
          <w:sz w:val="18"/>
        </w:rPr>
        <w:t> </w:t>
      </w:r>
      <w:r>
        <w:rPr>
          <w:sz w:val="18"/>
        </w:rPr>
        <w:t>Treatment</w:t>
      </w:r>
      <w:r>
        <w:rPr>
          <w:spacing w:val="-5"/>
          <w:sz w:val="18"/>
        </w:rPr>
        <w:t> </w:t>
      </w:r>
      <w:r>
        <w:rPr>
          <w:sz w:val="18"/>
        </w:rPr>
        <w:t>between</w:t>
      </w:r>
      <w:r>
        <w:rPr>
          <w:spacing w:val="-6"/>
          <w:sz w:val="18"/>
        </w:rPr>
        <w:t> </w:t>
      </w:r>
      <w:r>
        <w:rPr>
          <w:sz w:val="18"/>
        </w:rPr>
        <w:t>Men</w:t>
      </w:r>
      <w:r>
        <w:rPr>
          <w:spacing w:val="-6"/>
          <w:sz w:val="18"/>
        </w:rPr>
        <w:t> </w:t>
      </w:r>
      <w:r>
        <w:rPr>
          <w:sz w:val="18"/>
        </w:rPr>
        <w:t>and Women in the access to and supply of goods and Services’, 13 December 2004.</w:t>
      </w:r>
    </w:p>
    <w:p>
      <w:pPr>
        <w:pStyle w:val="ListParagraph"/>
        <w:numPr>
          <w:ilvl w:val="0"/>
          <w:numId w:val="9"/>
        </w:numPr>
        <w:tabs>
          <w:tab w:pos="1853" w:val="left" w:leader="none"/>
        </w:tabs>
        <w:spacing w:line="216" w:lineRule="exact" w:before="0" w:after="0"/>
        <w:ind w:left="1853" w:right="0" w:hanging="720"/>
        <w:jc w:val="left"/>
        <w:rPr>
          <w:sz w:val="18"/>
        </w:rPr>
      </w:pPr>
      <w:r>
        <w:rPr>
          <w:sz w:val="18"/>
        </w:rPr>
        <w:t>Article</w:t>
      </w:r>
      <w:r>
        <w:rPr>
          <w:spacing w:val="-2"/>
          <w:sz w:val="18"/>
        </w:rPr>
        <w:t> </w:t>
      </w:r>
      <w:r>
        <w:rPr>
          <w:sz w:val="18"/>
        </w:rPr>
        <w:t>13(2),</w:t>
      </w:r>
      <w:r>
        <w:rPr>
          <w:spacing w:val="-2"/>
          <w:sz w:val="18"/>
        </w:rPr>
        <w:t> </w:t>
      </w:r>
      <w:r>
        <w:rPr>
          <w:sz w:val="18"/>
        </w:rPr>
        <w:t>Windsor</w:t>
      </w:r>
      <w:r>
        <w:rPr>
          <w:spacing w:val="-1"/>
          <w:sz w:val="18"/>
        </w:rPr>
        <w:t> </w:t>
      </w:r>
      <w:r>
        <w:rPr>
          <w:spacing w:val="-2"/>
          <w:sz w:val="18"/>
        </w:rPr>
        <w:t>Framework.</w:t>
      </w:r>
    </w:p>
    <w:p>
      <w:pPr>
        <w:pStyle w:val="ListParagraph"/>
        <w:numPr>
          <w:ilvl w:val="0"/>
          <w:numId w:val="9"/>
        </w:numPr>
        <w:tabs>
          <w:tab w:pos="1853" w:val="left" w:leader="none"/>
        </w:tabs>
        <w:spacing w:line="235" w:lineRule="auto" w:before="2" w:after="0"/>
        <w:ind w:left="1853" w:right="1710" w:hanging="720"/>
        <w:jc w:val="left"/>
        <w:rPr>
          <w:sz w:val="18"/>
        </w:rPr>
      </w:pPr>
      <w:r>
        <w:rPr>
          <w:sz w:val="18"/>
        </w:rPr>
        <w:t>A</w:t>
      </w:r>
      <w:r>
        <w:rPr>
          <w:spacing w:val="-3"/>
          <w:sz w:val="18"/>
        </w:rPr>
        <w:t> </w:t>
      </w:r>
      <w:r>
        <w:rPr>
          <w:sz w:val="18"/>
        </w:rPr>
        <w:t>case</w:t>
      </w:r>
      <w:r>
        <w:rPr>
          <w:spacing w:val="-3"/>
          <w:sz w:val="18"/>
        </w:rPr>
        <w:t> </w:t>
      </w:r>
      <w:r>
        <w:rPr>
          <w:sz w:val="18"/>
        </w:rPr>
        <w:t>involving</w:t>
      </w:r>
      <w:r>
        <w:rPr>
          <w:spacing w:val="-3"/>
          <w:sz w:val="18"/>
        </w:rPr>
        <w:t> </w:t>
      </w:r>
      <w:r>
        <w:rPr>
          <w:sz w:val="18"/>
        </w:rPr>
        <w:t>the</w:t>
      </w:r>
      <w:r>
        <w:rPr>
          <w:spacing w:val="-3"/>
          <w:sz w:val="18"/>
        </w:rPr>
        <w:t> </w:t>
      </w:r>
      <w:r>
        <w:rPr>
          <w:sz w:val="18"/>
        </w:rPr>
        <w:t>removal</w:t>
      </w:r>
      <w:r>
        <w:rPr>
          <w:spacing w:val="-4"/>
          <w:sz w:val="18"/>
        </w:rPr>
        <w:t> </w:t>
      </w:r>
      <w:r>
        <w:rPr>
          <w:sz w:val="18"/>
        </w:rPr>
        <w:t>of</w:t>
      </w:r>
      <w:r>
        <w:rPr>
          <w:spacing w:val="-4"/>
          <w:sz w:val="18"/>
        </w:rPr>
        <w:t> </w:t>
      </w:r>
      <w:r>
        <w:rPr>
          <w:sz w:val="18"/>
        </w:rPr>
        <w:t>an</w:t>
      </w:r>
      <w:r>
        <w:rPr>
          <w:spacing w:val="-4"/>
          <w:sz w:val="18"/>
        </w:rPr>
        <w:t> </w:t>
      </w:r>
      <w:r>
        <w:rPr>
          <w:sz w:val="18"/>
        </w:rPr>
        <w:t>asylum</w:t>
      </w:r>
      <w:r>
        <w:rPr>
          <w:spacing w:val="-3"/>
          <w:sz w:val="18"/>
        </w:rPr>
        <w:t> </w:t>
      </w:r>
      <w:r>
        <w:rPr>
          <w:sz w:val="18"/>
        </w:rPr>
        <w:t>seeker</w:t>
      </w:r>
      <w:r>
        <w:rPr>
          <w:spacing w:val="-3"/>
          <w:sz w:val="18"/>
        </w:rPr>
        <w:t> </w:t>
      </w:r>
      <w:r>
        <w:rPr>
          <w:sz w:val="18"/>
        </w:rPr>
        <w:t>from</w:t>
      </w:r>
      <w:r>
        <w:rPr>
          <w:spacing w:val="-3"/>
          <w:sz w:val="18"/>
        </w:rPr>
        <w:t> </w:t>
      </w:r>
      <w:r>
        <w:rPr>
          <w:sz w:val="18"/>
        </w:rPr>
        <w:t>NI</w:t>
      </w:r>
      <w:r>
        <w:rPr>
          <w:spacing w:val="-3"/>
          <w:sz w:val="18"/>
        </w:rPr>
        <w:t> </w:t>
      </w:r>
      <w:r>
        <w:rPr>
          <w:sz w:val="18"/>
        </w:rPr>
        <w:t>to</w:t>
      </w:r>
      <w:r>
        <w:rPr>
          <w:spacing w:val="-4"/>
          <w:sz w:val="18"/>
        </w:rPr>
        <w:t> </w:t>
      </w:r>
      <w:r>
        <w:rPr>
          <w:sz w:val="18"/>
        </w:rPr>
        <w:t>Scotland.</w:t>
      </w:r>
      <w:r>
        <w:rPr>
          <w:spacing w:val="-4"/>
          <w:sz w:val="18"/>
        </w:rPr>
        <w:t> </w:t>
      </w:r>
      <w:r>
        <w:rPr>
          <w:sz w:val="18"/>
        </w:rPr>
        <w:t>See</w:t>
      </w:r>
      <w:r>
        <w:rPr>
          <w:spacing w:val="-4"/>
          <w:sz w:val="18"/>
        </w:rPr>
        <w:t> </w:t>
      </w:r>
      <w:r>
        <w:rPr>
          <w:i/>
          <w:sz w:val="18"/>
        </w:rPr>
        <w:t>In</w:t>
      </w:r>
      <w:r>
        <w:rPr>
          <w:i/>
          <w:spacing w:val="-4"/>
          <w:sz w:val="18"/>
        </w:rPr>
        <w:t> </w:t>
      </w:r>
      <w:r>
        <w:rPr>
          <w:i/>
          <w:sz w:val="18"/>
        </w:rPr>
        <w:t>the</w:t>
      </w:r>
      <w:r>
        <w:rPr>
          <w:i/>
          <w:spacing w:val="-3"/>
          <w:sz w:val="18"/>
        </w:rPr>
        <w:t> </w:t>
      </w:r>
      <w:r>
        <w:rPr>
          <w:i/>
          <w:sz w:val="18"/>
        </w:rPr>
        <w:t>Matter</w:t>
      </w:r>
      <w:r>
        <w:rPr>
          <w:i/>
          <w:spacing w:val="-3"/>
          <w:sz w:val="18"/>
        </w:rPr>
        <w:t> </w:t>
      </w:r>
      <w:r>
        <w:rPr>
          <w:i/>
          <w:sz w:val="18"/>
        </w:rPr>
        <w:t>of</w:t>
      </w:r>
      <w:r>
        <w:rPr>
          <w:i/>
          <w:spacing w:val="-4"/>
          <w:sz w:val="18"/>
        </w:rPr>
        <w:t> </w:t>
      </w:r>
      <w:r>
        <w:rPr>
          <w:i/>
          <w:sz w:val="18"/>
        </w:rPr>
        <w:t>an</w:t>
      </w:r>
      <w:r>
        <w:rPr>
          <w:i/>
          <w:spacing w:val="-4"/>
          <w:sz w:val="18"/>
        </w:rPr>
        <w:t> </w:t>
      </w:r>
      <w:r>
        <w:rPr>
          <w:i/>
          <w:sz w:val="18"/>
        </w:rPr>
        <w:t>Application</w:t>
      </w:r>
      <w:r>
        <w:rPr>
          <w:i/>
          <w:spacing w:val="-4"/>
          <w:sz w:val="18"/>
        </w:rPr>
        <w:t> </w:t>
      </w:r>
      <w:r>
        <w:rPr>
          <w:i/>
          <w:sz w:val="18"/>
        </w:rPr>
        <w:t>by</w:t>
      </w:r>
      <w:r>
        <w:rPr>
          <w:i/>
          <w:spacing w:val="-4"/>
          <w:sz w:val="18"/>
        </w:rPr>
        <w:t> </w:t>
      </w:r>
      <w:r>
        <w:rPr>
          <w:i/>
          <w:sz w:val="18"/>
        </w:rPr>
        <w:t>Aman</w:t>
      </w:r>
      <w:r>
        <w:rPr>
          <w:i/>
          <w:sz w:val="18"/>
        </w:rPr>
        <w:t> Angesom for Judicial Review </w:t>
      </w:r>
      <w:r>
        <w:rPr>
          <w:sz w:val="18"/>
        </w:rPr>
        <w:t>[2023] NIKB 102, at para 107 and 108.</w:t>
      </w:r>
    </w:p>
    <w:p>
      <w:pPr>
        <w:pStyle w:val="ListParagraph"/>
        <w:numPr>
          <w:ilvl w:val="0"/>
          <w:numId w:val="9"/>
        </w:numPr>
        <w:tabs>
          <w:tab w:pos="1853" w:val="left" w:leader="none"/>
        </w:tabs>
        <w:spacing w:line="218" w:lineRule="exact" w:before="0" w:after="0"/>
        <w:ind w:left="1853" w:right="0" w:hanging="720"/>
        <w:jc w:val="left"/>
        <w:rPr>
          <w:sz w:val="18"/>
        </w:rPr>
      </w:pPr>
      <w:r>
        <w:rPr>
          <w:i/>
          <w:sz w:val="18"/>
        </w:rPr>
        <w:t>In</w:t>
      </w:r>
      <w:r>
        <w:rPr>
          <w:i/>
          <w:spacing w:val="-5"/>
          <w:sz w:val="18"/>
        </w:rPr>
        <w:t> </w:t>
      </w:r>
      <w:r>
        <w:rPr>
          <w:i/>
          <w:sz w:val="18"/>
        </w:rPr>
        <w:t>the</w:t>
      </w:r>
      <w:r>
        <w:rPr>
          <w:i/>
          <w:spacing w:val="-4"/>
          <w:sz w:val="18"/>
        </w:rPr>
        <w:t> </w:t>
      </w:r>
      <w:r>
        <w:rPr>
          <w:i/>
          <w:sz w:val="18"/>
        </w:rPr>
        <w:t>matter</w:t>
      </w:r>
      <w:r>
        <w:rPr>
          <w:i/>
          <w:spacing w:val="-4"/>
          <w:sz w:val="18"/>
        </w:rPr>
        <w:t> </w:t>
      </w:r>
      <w:r>
        <w:rPr>
          <w:i/>
          <w:sz w:val="18"/>
        </w:rPr>
        <w:t>of</w:t>
      </w:r>
      <w:r>
        <w:rPr>
          <w:i/>
          <w:spacing w:val="-4"/>
          <w:sz w:val="18"/>
        </w:rPr>
        <w:t> </w:t>
      </w:r>
      <w:r>
        <w:rPr>
          <w:i/>
          <w:sz w:val="18"/>
        </w:rPr>
        <w:t>an</w:t>
      </w:r>
      <w:r>
        <w:rPr>
          <w:i/>
          <w:spacing w:val="-5"/>
          <w:sz w:val="18"/>
        </w:rPr>
        <w:t> </w:t>
      </w:r>
      <w:r>
        <w:rPr>
          <w:i/>
          <w:sz w:val="18"/>
        </w:rPr>
        <w:t>application</w:t>
      </w:r>
      <w:r>
        <w:rPr>
          <w:i/>
          <w:spacing w:val="-5"/>
          <w:sz w:val="18"/>
        </w:rPr>
        <w:t> </w:t>
      </w:r>
      <w:r>
        <w:rPr>
          <w:i/>
          <w:sz w:val="18"/>
        </w:rPr>
        <w:t>by</w:t>
      </w:r>
      <w:r>
        <w:rPr>
          <w:i/>
          <w:spacing w:val="-5"/>
          <w:sz w:val="18"/>
        </w:rPr>
        <w:t> </w:t>
      </w:r>
      <w:r>
        <w:rPr>
          <w:i/>
          <w:sz w:val="18"/>
        </w:rPr>
        <w:t>Martina</w:t>
      </w:r>
      <w:r>
        <w:rPr>
          <w:i/>
          <w:spacing w:val="-4"/>
          <w:sz w:val="18"/>
        </w:rPr>
        <w:t> </w:t>
      </w:r>
      <w:r>
        <w:rPr>
          <w:i/>
          <w:sz w:val="18"/>
        </w:rPr>
        <w:t>Dillon</w:t>
      </w:r>
      <w:r>
        <w:rPr>
          <w:i/>
          <w:spacing w:val="-5"/>
          <w:sz w:val="18"/>
        </w:rPr>
        <w:t> </w:t>
      </w:r>
      <w:r>
        <w:rPr>
          <w:i/>
          <w:sz w:val="18"/>
        </w:rPr>
        <w:t>and</w:t>
      </w:r>
      <w:r>
        <w:rPr>
          <w:i/>
          <w:spacing w:val="-5"/>
          <w:sz w:val="18"/>
        </w:rPr>
        <w:t> </w:t>
      </w:r>
      <w:r>
        <w:rPr>
          <w:i/>
          <w:sz w:val="18"/>
        </w:rPr>
        <w:t>others</w:t>
      </w:r>
      <w:r>
        <w:rPr>
          <w:i/>
          <w:spacing w:val="-4"/>
          <w:sz w:val="18"/>
        </w:rPr>
        <w:t> </w:t>
      </w:r>
      <w:r>
        <w:rPr>
          <w:i/>
          <w:sz w:val="18"/>
        </w:rPr>
        <w:t>for</w:t>
      </w:r>
      <w:r>
        <w:rPr>
          <w:i/>
          <w:spacing w:val="-4"/>
          <w:sz w:val="18"/>
        </w:rPr>
        <w:t> </w:t>
      </w:r>
      <w:r>
        <w:rPr>
          <w:i/>
          <w:sz w:val="18"/>
        </w:rPr>
        <w:t>Judicial</w:t>
      </w:r>
      <w:r>
        <w:rPr>
          <w:i/>
          <w:spacing w:val="-5"/>
          <w:sz w:val="18"/>
        </w:rPr>
        <w:t> </w:t>
      </w:r>
      <w:r>
        <w:rPr>
          <w:i/>
          <w:sz w:val="18"/>
        </w:rPr>
        <w:t>Review</w:t>
      </w:r>
      <w:r>
        <w:rPr>
          <w:i/>
          <w:spacing w:val="-4"/>
          <w:sz w:val="18"/>
        </w:rPr>
        <w:t> </w:t>
      </w:r>
      <w:r>
        <w:rPr>
          <w:sz w:val="18"/>
        </w:rPr>
        <w:t>[2024]</w:t>
      </w:r>
      <w:r>
        <w:rPr>
          <w:spacing w:val="-4"/>
          <w:sz w:val="18"/>
        </w:rPr>
        <w:t> </w:t>
      </w:r>
      <w:r>
        <w:rPr>
          <w:sz w:val="18"/>
        </w:rPr>
        <w:t>NIKB</w:t>
      </w:r>
      <w:r>
        <w:rPr>
          <w:spacing w:val="-4"/>
          <w:sz w:val="18"/>
        </w:rPr>
        <w:t> </w:t>
      </w:r>
      <w:r>
        <w:rPr>
          <w:sz w:val="18"/>
        </w:rPr>
        <w:t>11,</w:t>
      </w:r>
      <w:r>
        <w:rPr>
          <w:spacing w:val="-4"/>
          <w:sz w:val="18"/>
        </w:rPr>
        <w:t> </w:t>
      </w:r>
      <w:r>
        <w:rPr>
          <w:sz w:val="18"/>
        </w:rPr>
        <w:t>at</w:t>
      </w:r>
      <w:r>
        <w:rPr>
          <w:spacing w:val="-4"/>
          <w:sz w:val="18"/>
        </w:rPr>
        <w:t> </w:t>
      </w:r>
      <w:r>
        <w:rPr>
          <w:sz w:val="18"/>
        </w:rPr>
        <w:t>para</w:t>
      </w:r>
      <w:r>
        <w:rPr>
          <w:spacing w:val="-4"/>
          <w:sz w:val="18"/>
        </w:rPr>
        <w:t> 554.</w:t>
      </w:r>
    </w:p>
    <w:p>
      <w:pPr>
        <w:spacing w:after="0" w:line="218" w:lineRule="exact"/>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301" w:hanging="1"/>
      </w:pPr>
      <w:r>
        <w:rPr/>
        <w:t>the</w:t>
      </w:r>
      <w:r>
        <w:rPr>
          <w:spacing w:val="-8"/>
        </w:rPr>
        <w:t> </w:t>
      </w:r>
      <w:r>
        <w:rPr/>
        <w:t>argument</w:t>
      </w:r>
      <w:r>
        <w:rPr>
          <w:spacing w:val="-8"/>
        </w:rPr>
        <w:t> </w:t>
      </w:r>
      <w:r>
        <w:rPr/>
        <w:t>that</w:t>
      </w:r>
      <w:r>
        <w:rPr>
          <w:spacing w:val="-8"/>
        </w:rPr>
        <w:t> </w:t>
      </w:r>
      <w:r>
        <w:rPr/>
        <w:t>Belfast</w:t>
      </w:r>
      <w:r>
        <w:rPr>
          <w:spacing w:val="-8"/>
        </w:rPr>
        <w:t> </w:t>
      </w:r>
      <w:r>
        <w:rPr/>
        <w:t>(Good</w:t>
      </w:r>
      <w:r>
        <w:rPr>
          <w:spacing w:val="-9"/>
        </w:rPr>
        <w:t> </w:t>
      </w:r>
      <w:r>
        <w:rPr/>
        <w:t>Friday)</w:t>
      </w:r>
      <w:r>
        <w:rPr>
          <w:spacing w:val="-9"/>
        </w:rPr>
        <w:t> </w:t>
      </w:r>
      <w:r>
        <w:rPr/>
        <w:t>Agreement</w:t>
      </w:r>
      <w:r>
        <w:rPr>
          <w:spacing w:val="-8"/>
        </w:rPr>
        <w:t> </w:t>
      </w:r>
      <w:r>
        <w:rPr/>
        <w:t>rights</w:t>
      </w:r>
      <w:r>
        <w:rPr>
          <w:spacing w:val="-9"/>
        </w:rPr>
        <w:t> </w:t>
      </w:r>
      <w:r>
        <w:rPr/>
        <w:t>are</w:t>
      </w:r>
      <w:r>
        <w:rPr>
          <w:spacing w:val="-8"/>
        </w:rPr>
        <w:t> </w:t>
      </w:r>
      <w:r>
        <w:rPr/>
        <w:t>frozen</w:t>
      </w:r>
      <w:r>
        <w:rPr>
          <w:spacing w:val="-9"/>
        </w:rPr>
        <w:t> </w:t>
      </w:r>
      <w:r>
        <w:rPr/>
        <w:t>in </w:t>
      </w:r>
      <w:r>
        <w:rPr>
          <w:spacing w:val="-2"/>
        </w:rPr>
        <w:t>time.</w:t>
      </w:r>
      <w:r>
        <w:rPr>
          <w:spacing w:val="-2"/>
          <w:vertAlign w:val="superscript"/>
        </w:rPr>
        <w:t>521</w:t>
      </w:r>
    </w:p>
    <w:p>
      <w:pPr>
        <w:pStyle w:val="ListParagraph"/>
        <w:numPr>
          <w:ilvl w:val="1"/>
          <w:numId w:val="7"/>
        </w:numPr>
        <w:tabs>
          <w:tab w:pos="1853" w:val="left" w:leader="none"/>
        </w:tabs>
        <w:spacing w:line="225" w:lineRule="auto" w:before="318" w:after="0"/>
        <w:ind w:left="1853" w:right="1225" w:hanging="720"/>
        <w:jc w:val="left"/>
        <w:rPr>
          <w:sz w:val="28"/>
        </w:rPr>
      </w:pPr>
      <w:r>
        <w:rPr>
          <w:sz w:val="28"/>
        </w:rPr>
        <w:t>In addition to the obligation to ‘keep pace’ with the equality directives listed in</w:t>
      </w:r>
      <w:r>
        <w:rPr>
          <w:spacing w:val="-6"/>
          <w:sz w:val="28"/>
        </w:rPr>
        <w:t> </w:t>
      </w:r>
      <w:r>
        <w:rPr>
          <w:sz w:val="28"/>
        </w:rPr>
        <w:t>Annex</w:t>
      </w:r>
      <w:r>
        <w:rPr>
          <w:spacing w:val="-6"/>
          <w:sz w:val="28"/>
        </w:rPr>
        <w:t> </w:t>
      </w:r>
      <w:r>
        <w:rPr>
          <w:sz w:val="28"/>
        </w:rPr>
        <w:t>1</w:t>
      </w:r>
      <w:r>
        <w:rPr>
          <w:spacing w:val="-5"/>
          <w:sz w:val="28"/>
        </w:rPr>
        <w:t> </w:t>
      </w:r>
      <w:r>
        <w:rPr>
          <w:sz w:val="28"/>
        </w:rPr>
        <w:t>of</w:t>
      </w:r>
      <w:r>
        <w:rPr>
          <w:spacing w:val="-6"/>
          <w:sz w:val="28"/>
        </w:rPr>
        <w:t> </w:t>
      </w:r>
      <w:r>
        <w:rPr>
          <w:sz w:val="28"/>
        </w:rPr>
        <w:t>the</w:t>
      </w:r>
      <w:r>
        <w:rPr>
          <w:spacing w:val="-5"/>
          <w:sz w:val="28"/>
        </w:rPr>
        <w:t> </w:t>
      </w:r>
      <w:r>
        <w:rPr>
          <w:sz w:val="28"/>
        </w:rPr>
        <w:t>Windsor</w:t>
      </w:r>
      <w:r>
        <w:rPr>
          <w:spacing w:val="-5"/>
          <w:sz w:val="28"/>
        </w:rPr>
        <w:t> </w:t>
      </w:r>
      <w:r>
        <w:rPr>
          <w:sz w:val="28"/>
        </w:rPr>
        <w:t>Framework,</w:t>
      </w:r>
      <w:r>
        <w:rPr>
          <w:spacing w:val="-5"/>
          <w:sz w:val="28"/>
        </w:rPr>
        <w:t> </w:t>
      </w:r>
      <w:r>
        <w:rPr>
          <w:sz w:val="28"/>
        </w:rPr>
        <w:t>the</w:t>
      </w:r>
      <w:r>
        <w:rPr>
          <w:spacing w:val="-5"/>
          <w:sz w:val="28"/>
        </w:rPr>
        <w:t> </w:t>
      </w:r>
      <w:r>
        <w:rPr>
          <w:sz w:val="28"/>
        </w:rPr>
        <w:t>Commissions</w:t>
      </w:r>
      <w:r>
        <w:rPr>
          <w:spacing w:val="-6"/>
          <w:sz w:val="28"/>
        </w:rPr>
        <w:t> </w:t>
      </w:r>
      <w:r>
        <w:rPr>
          <w:sz w:val="28"/>
        </w:rPr>
        <w:t>have</w:t>
      </w:r>
      <w:r>
        <w:rPr>
          <w:spacing w:val="-5"/>
          <w:sz w:val="28"/>
        </w:rPr>
        <w:t> </w:t>
      </w:r>
      <w:r>
        <w:rPr>
          <w:sz w:val="28"/>
        </w:rPr>
        <w:t>identified</w:t>
      </w:r>
      <w:r>
        <w:rPr>
          <w:spacing w:val="-6"/>
          <w:sz w:val="28"/>
        </w:rPr>
        <w:t> </w:t>
      </w:r>
      <w:r>
        <w:rPr>
          <w:sz w:val="28"/>
        </w:rPr>
        <w:t>other relevant EU laws within the scope of Article 2, which bound the UK before Brexit, and continue to set minimum standards for refugees and people seeking asylum. These measures include the EU Procedures Directive,</w:t>
      </w:r>
      <w:r>
        <w:rPr>
          <w:sz w:val="28"/>
          <w:vertAlign w:val="superscript"/>
        </w:rPr>
        <w:t>522</w:t>
      </w:r>
    </w:p>
    <w:p>
      <w:pPr>
        <w:pStyle w:val="BodyText"/>
        <w:spacing w:line="225" w:lineRule="auto"/>
        <w:ind w:left="1853" w:right="1171"/>
      </w:pPr>
      <w:r>
        <w:rPr/>
        <w:t>EU</w:t>
      </w:r>
      <w:r>
        <w:rPr>
          <w:spacing w:val="-12"/>
        </w:rPr>
        <w:t> </w:t>
      </w:r>
      <w:r>
        <w:rPr/>
        <w:t>Reception</w:t>
      </w:r>
      <w:r>
        <w:rPr>
          <w:spacing w:val="-13"/>
        </w:rPr>
        <w:t> </w:t>
      </w:r>
      <w:r>
        <w:rPr/>
        <w:t>Directive,</w:t>
      </w:r>
      <w:r>
        <w:rPr>
          <w:vertAlign w:val="superscript"/>
        </w:rPr>
        <w:t>523</w:t>
      </w:r>
      <w:r>
        <w:rPr>
          <w:spacing w:val="-13"/>
          <w:vertAlign w:val="baseline"/>
        </w:rPr>
        <w:t> </w:t>
      </w:r>
      <w:r>
        <w:rPr>
          <w:vertAlign w:val="baseline"/>
        </w:rPr>
        <w:t>EU</w:t>
      </w:r>
      <w:r>
        <w:rPr>
          <w:spacing w:val="-12"/>
          <w:vertAlign w:val="baseline"/>
        </w:rPr>
        <w:t> </w:t>
      </w:r>
      <w:r>
        <w:rPr>
          <w:vertAlign w:val="baseline"/>
        </w:rPr>
        <w:t>Qualification</w:t>
      </w:r>
      <w:r>
        <w:rPr>
          <w:spacing w:val="-13"/>
          <w:vertAlign w:val="baseline"/>
        </w:rPr>
        <w:t> </w:t>
      </w:r>
      <w:r>
        <w:rPr>
          <w:vertAlign w:val="baseline"/>
        </w:rPr>
        <w:t>Directive</w:t>
      </w:r>
      <w:r>
        <w:rPr>
          <w:vertAlign w:val="superscript"/>
        </w:rPr>
        <w:t>524</w:t>
      </w:r>
      <w:r>
        <w:rPr>
          <w:spacing w:val="-13"/>
          <w:vertAlign w:val="baseline"/>
        </w:rPr>
        <w:t> </w:t>
      </w:r>
      <w:r>
        <w:rPr>
          <w:vertAlign w:val="baseline"/>
        </w:rPr>
        <w:t>and</w:t>
      </w:r>
      <w:r>
        <w:rPr>
          <w:spacing w:val="-13"/>
          <w:vertAlign w:val="baseline"/>
        </w:rPr>
        <w:t> </w:t>
      </w:r>
      <w:r>
        <w:rPr>
          <w:vertAlign w:val="baseline"/>
        </w:rPr>
        <w:t>the</w:t>
      </w:r>
      <w:r>
        <w:rPr>
          <w:spacing w:val="-12"/>
          <w:vertAlign w:val="baseline"/>
        </w:rPr>
        <w:t> </w:t>
      </w:r>
      <w:r>
        <w:rPr>
          <w:vertAlign w:val="baseline"/>
        </w:rPr>
        <w:t>EU</w:t>
      </w:r>
      <w:r>
        <w:rPr>
          <w:spacing w:val="-12"/>
          <w:vertAlign w:val="baseline"/>
        </w:rPr>
        <w:t> </w:t>
      </w:r>
      <w:r>
        <w:rPr>
          <w:vertAlign w:val="baseline"/>
        </w:rPr>
        <w:t>Dublin</w:t>
      </w:r>
      <w:r>
        <w:rPr>
          <w:spacing w:val="-13"/>
          <w:vertAlign w:val="baseline"/>
        </w:rPr>
        <w:t> </w:t>
      </w:r>
      <w:r>
        <w:rPr>
          <w:vertAlign w:val="baseline"/>
        </w:rPr>
        <w:t>III </w:t>
      </w:r>
      <w:r>
        <w:rPr>
          <w:spacing w:val="-2"/>
          <w:vertAlign w:val="baseline"/>
        </w:rPr>
        <w:t>Regulation.</w:t>
      </w:r>
      <w:r>
        <w:rPr>
          <w:spacing w:val="-2"/>
          <w:vertAlign w:val="superscript"/>
        </w:rPr>
        <w:t>525</w:t>
      </w:r>
    </w:p>
    <w:p>
      <w:pPr>
        <w:pStyle w:val="ListParagraph"/>
        <w:numPr>
          <w:ilvl w:val="1"/>
          <w:numId w:val="7"/>
        </w:numPr>
        <w:tabs>
          <w:tab w:pos="1853" w:val="left" w:leader="none"/>
        </w:tabs>
        <w:spacing w:line="225" w:lineRule="auto" w:before="311" w:after="0"/>
        <w:ind w:left="1853" w:right="1355" w:hanging="720"/>
        <w:jc w:val="left"/>
        <w:rPr>
          <w:sz w:val="28"/>
        </w:rPr>
      </w:pPr>
      <w:r>
        <w:rPr>
          <w:sz w:val="28"/>
        </w:rPr>
        <w:t>The EU Charter on Fundamental Rights also continues to have relevance in the application and interpretation of those provisions of EU law which fall within</w:t>
      </w:r>
      <w:r>
        <w:rPr>
          <w:spacing w:val="-6"/>
          <w:sz w:val="28"/>
        </w:rPr>
        <w:t> </w:t>
      </w:r>
      <w:r>
        <w:rPr>
          <w:sz w:val="28"/>
        </w:rPr>
        <w:t>the</w:t>
      </w:r>
      <w:r>
        <w:rPr>
          <w:spacing w:val="-5"/>
          <w:sz w:val="28"/>
        </w:rPr>
        <w:t> </w:t>
      </w:r>
      <w:r>
        <w:rPr>
          <w:sz w:val="28"/>
        </w:rPr>
        <w:t>scope</w:t>
      </w:r>
      <w:r>
        <w:rPr>
          <w:spacing w:val="-5"/>
          <w:sz w:val="28"/>
        </w:rPr>
        <w:t> </w:t>
      </w:r>
      <w:r>
        <w:rPr>
          <w:sz w:val="28"/>
        </w:rPr>
        <w:t>of</w:t>
      </w:r>
      <w:r>
        <w:rPr>
          <w:spacing w:val="-6"/>
          <w:sz w:val="28"/>
        </w:rPr>
        <w:t> </w:t>
      </w:r>
      <w:r>
        <w:rPr>
          <w:sz w:val="28"/>
        </w:rPr>
        <w:t>Windsor</w:t>
      </w:r>
      <w:r>
        <w:rPr>
          <w:spacing w:val="-5"/>
          <w:sz w:val="28"/>
        </w:rPr>
        <w:t> </w:t>
      </w:r>
      <w:r>
        <w:rPr>
          <w:sz w:val="28"/>
        </w:rPr>
        <w:t>Framework</w:t>
      </w:r>
      <w:r>
        <w:rPr>
          <w:spacing w:val="-5"/>
          <w:sz w:val="28"/>
        </w:rPr>
        <w:t> </w:t>
      </w:r>
      <w:r>
        <w:rPr>
          <w:sz w:val="28"/>
        </w:rPr>
        <w:t>Article</w:t>
      </w:r>
      <w:r>
        <w:rPr>
          <w:spacing w:val="-5"/>
          <w:sz w:val="28"/>
        </w:rPr>
        <w:t> </w:t>
      </w:r>
      <w:r>
        <w:rPr>
          <w:sz w:val="28"/>
        </w:rPr>
        <w:t>2</w:t>
      </w:r>
      <w:r>
        <w:rPr>
          <w:spacing w:val="-5"/>
          <w:sz w:val="28"/>
        </w:rPr>
        <w:t> </w:t>
      </w:r>
      <w:r>
        <w:rPr>
          <w:sz w:val="28"/>
        </w:rPr>
        <w:t>–</w:t>
      </w:r>
      <w:r>
        <w:rPr>
          <w:spacing w:val="-6"/>
          <w:sz w:val="28"/>
        </w:rPr>
        <w:t> </w:t>
      </w:r>
      <w:r>
        <w:rPr>
          <w:sz w:val="28"/>
        </w:rPr>
        <w:t>for</w:t>
      </w:r>
      <w:r>
        <w:rPr>
          <w:spacing w:val="-5"/>
          <w:sz w:val="28"/>
        </w:rPr>
        <w:t> </w:t>
      </w:r>
      <w:r>
        <w:rPr>
          <w:sz w:val="28"/>
        </w:rPr>
        <w:t>example,</w:t>
      </w:r>
      <w:r>
        <w:rPr>
          <w:spacing w:val="-5"/>
          <w:sz w:val="28"/>
        </w:rPr>
        <w:t> </w:t>
      </w:r>
      <w:r>
        <w:rPr>
          <w:sz w:val="28"/>
        </w:rPr>
        <w:t>Article</w:t>
      </w:r>
      <w:r>
        <w:rPr>
          <w:spacing w:val="-5"/>
          <w:sz w:val="28"/>
        </w:rPr>
        <w:t> </w:t>
      </w:r>
      <w:r>
        <w:rPr>
          <w:sz w:val="28"/>
        </w:rPr>
        <w:t>18</w:t>
      </w:r>
      <w:r>
        <w:rPr>
          <w:spacing w:val="-5"/>
          <w:sz w:val="28"/>
        </w:rPr>
        <w:t> </w:t>
      </w:r>
      <w:r>
        <w:rPr>
          <w:sz w:val="28"/>
        </w:rPr>
        <w:t>of the Charter specifically protects the Right to Asylum. The NI High Court also affirmed the continued enforceability and of relevance of the EU Charter on Fundamental Rights for Windsor Framework Article 2.</w:t>
      </w:r>
      <w:r>
        <w:rPr>
          <w:sz w:val="28"/>
          <w:vertAlign w:val="superscript"/>
        </w:rPr>
        <w:t>526</w:t>
      </w:r>
    </w:p>
    <w:p>
      <w:pPr>
        <w:pStyle w:val="ListParagraph"/>
        <w:numPr>
          <w:ilvl w:val="1"/>
          <w:numId w:val="7"/>
        </w:numPr>
        <w:tabs>
          <w:tab w:pos="1853" w:val="left" w:leader="none"/>
        </w:tabs>
        <w:spacing w:line="225" w:lineRule="auto" w:before="312" w:after="0"/>
        <w:ind w:left="1853" w:right="1566" w:hanging="720"/>
        <w:jc w:val="left"/>
        <w:rPr>
          <w:sz w:val="28"/>
        </w:rPr>
      </w:pPr>
      <w:r>
        <w:rPr>
          <w:sz w:val="28"/>
        </w:rPr>
        <w:t>In June 2023, the ECNI published independent research on the Impact of Brexit</w:t>
      </w:r>
      <w:r>
        <w:rPr>
          <w:spacing w:val="-11"/>
          <w:sz w:val="28"/>
        </w:rPr>
        <w:t> </w:t>
      </w:r>
      <w:r>
        <w:rPr>
          <w:sz w:val="28"/>
        </w:rPr>
        <w:t>on</w:t>
      </w:r>
      <w:r>
        <w:rPr>
          <w:spacing w:val="-8"/>
          <w:sz w:val="28"/>
        </w:rPr>
        <w:t> </w:t>
      </w:r>
      <w:r>
        <w:rPr>
          <w:sz w:val="28"/>
        </w:rPr>
        <w:t>Minority</w:t>
      </w:r>
      <w:r>
        <w:rPr>
          <w:spacing w:val="-7"/>
          <w:sz w:val="28"/>
        </w:rPr>
        <w:t> </w:t>
      </w:r>
      <w:r>
        <w:rPr>
          <w:sz w:val="28"/>
        </w:rPr>
        <w:t>Ethnic</w:t>
      </w:r>
      <w:r>
        <w:rPr>
          <w:spacing w:val="-7"/>
          <w:sz w:val="28"/>
        </w:rPr>
        <w:t> </w:t>
      </w:r>
      <w:r>
        <w:rPr>
          <w:sz w:val="28"/>
        </w:rPr>
        <w:t>and</w:t>
      </w:r>
      <w:r>
        <w:rPr>
          <w:spacing w:val="-8"/>
          <w:sz w:val="28"/>
        </w:rPr>
        <w:t> </w:t>
      </w:r>
      <w:r>
        <w:rPr>
          <w:sz w:val="28"/>
        </w:rPr>
        <w:t>Migrant</w:t>
      </w:r>
      <w:r>
        <w:rPr>
          <w:spacing w:val="-7"/>
          <w:sz w:val="28"/>
        </w:rPr>
        <w:t> </w:t>
      </w:r>
      <w:r>
        <w:rPr>
          <w:sz w:val="28"/>
        </w:rPr>
        <w:t>People</w:t>
      </w:r>
      <w:r>
        <w:rPr>
          <w:spacing w:val="-7"/>
          <w:sz w:val="28"/>
        </w:rPr>
        <w:t> </w:t>
      </w:r>
      <w:r>
        <w:rPr>
          <w:sz w:val="28"/>
        </w:rPr>
        <w:t>in</w:t>
      </w:r>
      <w:r>
        <w:rPr>
          <w:spacing w:val="-8"/>
          <w:sz w:val="28"/>
        </w:rPr>
        <w:t> </w:t>
      </w:r>
      <w:r>
        <w:rPr>
          <w:sz w:val="28"/>
        </w:rPr>
        <w:t>NI.</w:t>
      </w:r>
      <w:r>
        <w:rPr>
          <w:spacing w:val="-29"/>
          <w:sz w:val="28"/>
        </w:rPr>
        <w:t> </w:t>
      </w:r>
      <w:r>
        <w:rPr>
          <w:sz w:val="28"/>
          <w:vertAlign w:val="superscript"/>
        </w:rPr>
        <w:t>527</w:t>
      </w:r>
      <w:r>
        <w:rPr>
          <w:spacing w:val="40"/>
          <w:sz w:val="28"/>
          <w:vertAlign w:val="baseline"/>
        </w:rPr>
        <w:t> </w:t>
      </w:r>
      <w:r>
        <w:rPr>
          <w:sz w:val="28"/>
          <w:vertAlign w:val="baseline"/>
        </w:rPr>
        <w:t>The</w:t>
      </w:r>
      <w:r>
        <w:rPr>
          <w:spacing w:val="-7"/>
          <w:sz w:val="28"/>
          <w:vertAlign w:val="baseline"/>
        </w:rPr>
        <w:t> </w:t>
      </w:r>
      <w:r>
        <w:rPr>
          <w:sz w:val="28"/>
          <w:vertAlign w:val="baseline"/>
        </w:rPr>
        <w:t>report</w:t>
      </w:r>
      <w:r>
        <w:rPr>
          <w:spacing w:val="-7"/>
          <w:sz w:val="28"/>
          <w:vertAlign w:val="baseline"/>
        </w:rPr>
        <w:t> </w:t>
      </w:r>
      <w:r>
        <w:rPr>
          <w:sz w:val="28"/>
          <w:vertAlign w:val="baseline"/>
        </w:rPr>
        <w:t>captured important information and evidence about their experiences in NI.</w:t>
      </w:r>
    </w:p>
    <w:p>
      <w:pPr>
        <w:pStyle w:val="ListParagraph"/>
        <w:numPr>
          <w:ilvl w:val="1"/>
          <w:numId w:val="7"/>
        </w:numPr>
        <w:tabs>
          <w:tab w:pos="1853" w:val="left" w:leader="none"/>
        </w:tabs>
        <w:spacing w:line="225" w:lineRule="auto" w:before="316" w:after="0"/>
        <w:ind w:left="1853" w:right="1197" w:hanging="720"/>
        <w:jc w:val="left"/>
        <w:rPr>
          <w:sz w:val="28"/>
        </w:rPr>
      </w:pPr>
      <w:r>
        <w:rPr>
          <w:sz w:val="28"/>
        </w:rPr>
        <w:t>The</w:t>
      </w:r>
      <w:r>
        <w:rPr>
          <w:spacing w:val="-6"/>
          <w:sz w:val="28"/>
        </w:rPr>
        <w:t> </w:t>
      </w:r>
      <w:r>
        <w:rPr>
          <w:sz w:val="28"/>
        </w:rPr>
        <w:t>research</w:t>
      </w:r>
      <w:r>
        <w:rPr>
          <w:spacing w:val="-7"/>
          <w:sz w:val="28"/>
        </w:rPr>
        <w:t> </w:t>
      </w:r>
      <w:r>
        <w:rPr>
          <w:sz w:val="28"/>
        </w:rPr>
        <w:t>report</w:t>
      </w:r>
      <w:r>
        <w:rPr>
          <w:spacing w:val="-6"/>
          <w:sz w:val="28"/>
        </w:rPr>
        <w:t> </w:t>
      </w:r>
      <w:r>
        <w:rPr>
          <w:sz w:val="28"/>
        </w:rPr>
        <w:t>noted</w:t>
      </w:r>
      <w:r>
        <w:rPr>
          <w:spacing w:val="-7"/>
          <w:sz w:val="28"/>
        </w:rPr>
        <w:t> </w:t>
      </w:r>
      <w:r>
        <w:rPr>
          <w:sz w:val="28"/>
        </w:rPr>
        <w:t>that</w:t>
      </w:r>
      <w:r>
        <w:rPr>
          <w:spacing w:val="-6"/>
          <w:sz w:val="28"/>
        </w:rPr>
        <w:t> </w:t>
      </w:r>
      <w:r>
        <w:rPr>
          <w:sz w:val="28"/>
        </w:rPr>
        <w:t>asylum</w:t>
      </w:r>
      <w:r>
        <w:rPr>
          <w:spacing w:val="-6"/>
          <w:sz w:val="28"/>
        </w:rPr>
        <w:t> </w:t>
      </w:r>
      <w:r>
        <w:rPr>
          <w:sz w:val="28"/>
        </w:rPr>
        <w:t>seekers</w:t>
      </w:r>
      <w:r>
        <w:rPr>
          <w:spacing w:val="-7"/>
          <w:sz w:val="28"/>
        </w:rPr>
        <w:t> </w:t>
      </w:r>
      <w:r>
        <w:rPr>
          <w:sz w:val="28"/>
        </w:rPr>
        <w:t>and</w:t>
      </w:r>
      <w:r>
        <w:rPr>
          <w:spacing w:val="-7"/>
          <w:sz w:val="28"/>
        </w:rPr>
        <w:t> </w:t>
      </w:r>
      <w:r>
        <w:rPr>
          <w:sz w:val="28"/>
        </w:rPr>
        <w:t>refugees</w:t>
      </w:r>
      <w:r>
        <w:rPr>
          <w:spacing w:val="-7"/>
          <w:sz w:val="28"/>
        </w:rPr>
        <w:t> </w:t>
      </w:r>
      <w:r>
        <w:rPr>
          <w:sz w:val="28"/>
        </w:rPr>
        <w:t>often</w:t>
      </w:r>
      <w:r>
        <w:rPr>
          <w:spacing w:val="-7"/>
          <w:sz w:val="28"/>
        </w:rPr>
        <w:t> </w:t>
      </w:r>
      <w:r>
        <w:rPr>
          <w:sz w:val="28"/>
        </w:rPr>
        <w:t>had</w:t>
      </w:r>
      <w:r>
        <w:rPr>
          <w:spacing w:val="-7"/>
          <w:sz w:val="28"/>
        </w:rPr>
        <w:t> </w:t>
      </w:r>
      <w:r>
        <w:rPr>
          <w:sz w:val="28"/>
        </w:rPr>
        <w:t>unique needs and challenges which left them highly vulnerable, including financial poverty</w:t>
      </w:r>
      <w:r>
        <w:rPr>
          <w:spacing w:val="-7"/>
          <w:sz w:val="28"/>
        </w:rPr>
        <w:t> </w:t>
      </w:r>
      <w:r>
        <w:rPr>
          <w:sz w:val="28"/>
        </w:rPr>
        <w:t>and</w:t>
      </w:r>
      <w:r>
        <w:rPr>
          <w:spacing w:val="-8"/>
          <w:sz w:val="28"/>
        </w:rPr>
        <w:t> </w:t>
      </w:r>
      <w:r>
        <w:rPr>
          <w:sz w:val="28"/>
        </w:rPr>
        <w:t>poor</w:t>
      </w:r>
      <w:r>
        <w:rPr>
          <w:spacing w:val="-7"/>
          <w:sz w:val="28"/>
        </w:rPr>
        <w:t> </w:t>
      </w:r>
      <w:r>
        <w:rPr>
          <w:sz w:val="28"/>
        </w:rPr>
        <w:t>quality,</w:t>
      </w:r>
      <w:r>
        <w:rPr>
          <w:spacing w:val="-7"/>
          <w:sz w:val="28"/>
        </w:rPr>
        <w:t> </w:t>
      </w:r>
      <w:r>
        <w:rPr>
          <w:sz w:val="28"/>
        </w:rPr>
        <w:t>insecure</w:t>
      </w:r>
      <w:r>
        <w:rPr>
          <w:spacing w:val="-7"/>
          <w:sz w:val="28"/>
        </w:rPr>
        <w:t> </w:t>
      </w:r>
      <w:r>
        <w:rPr>
          <w:sz w:val="28"/>
        </w:rPr>
        <w:t>accommodation</w:t>
      </w:r>
      <w:r>
        <w:rPr>
          <w:spacing w:val="-8"/>
          <w:sz w:val="28"/>
        </w:rPr>
        <w:t> </w:t>
      </w:r>
      <w:r>
        <w:rPr>
          <w:sz w:val="28"/>
        </w:rPr>
        <w:t>which</w:t>
      </w:r>
      <w:r>
        <w:rPr>
          <w:spacing w:val="-8"/>
          <w:sz w:val="28"/>
        </w:rPr>
        <w:t> </w:t>
      </w:r>
      <w:r>
        <w:rPr>
          <w:sz w:val="28"/>
        </w:rPr>
        <w:t>does</w:t>
      </w:r>
      <w:r>
        <w:rPr>
          <w:spacing w:val="-8"/>
          <w:sz w:val="28"/>
        </w:rPr>
        <w:t> </w:t>
      </w:r>
      <w:r>
        <w:rPr>
          <w:sz w:val="28"/>
        </w:rPr>
        <w:t>not</w:t>
      </w:r>
      <w:r>
        <w:rPr>
          <w:spacing w:val="-7"/>
          <w:sz w:val="28"/>
        </w:rPr>
        <w:t> </w:t>
      </w:r>
      <w:r>
        <w:rPr>
          <w:sz w:val="28"/>
        </w:rPr>
        <w:t>meet</w:t>
      </w:r>
      <w:r>
        <w:rPr>
          <w:spacing w:val="-7"/>
          <w:sz w:val="28"/>
        </w:rPr>
        <w:t> </w:t>
      </w:r>
      <w:r>
        <w:rPr>
          <w:sz w:val="28"/>
        </w:rPr>
        <w:t>their needs.</w:t>
      </w:r>
      <w:r>
        <w:rPr>
          <w:sz w:val="28"/>
          <w:vertAlign w:val="superscript"/>
        </w:rPr>
        <w:t>528</w:t>
      </w:r>
      <w:r>
        <w:rPr>
          <w:spacing w:val="-7"/>
          <w:sz w:val="28"/>
          <w:vertAlign w:val="baseline"/>
        </w:rPr>
        <w:t> </w:t>
      </w:r>
      <w:r>
        <w:rPr>
          <w:sz w:val="28"/>
          <w:vertAlign w:val="baseline"/>
        </w:rPr>
        <w:t>The</w:t>
      </w:r>
      <w:r>
        <w:rPr>
          <w:spacing w:val="-6"/>
          <w:sz w:val="28"/>
          <w:vertAlign w:val="baseline"/>
        </w:rPr>
        <w:t> </w:t>
      </w:r>
      <w:r>
        <w:rPr>
          <w:sz w:val="28"/>
          <w:vertAlign w:val="baseline"/>
        </w:rPr>
        <w:t>asylum</w:t>
      </w:r>
      <w:r>
        <w:rPr>
          <w:spacing w:val="-6"/>
          <w:sz w:val="28"/>
          <w:vertAlign w:val="baseline"/>
        </w:rPr>
        <w:t> </w:t>
      </w:r>
      <w:r>
        <w:rPr>
          <w:sz w:val="28"/>
          <w:vertAlign w:val="baseline"/>
        </w:rPr>
        <w:t>process</w:t>
      </w:r>
      <w:r>
        <w:rPr>
          <w:spacing w:val="-7"/>
          <w:sz w:val="28"/>
          <w:vertAlign w:val="baseline"/>
        </w:rPr>
        <w:t> </w:t>
      </w:r>
      <w:r>
        <w:rPr>
          <w:sz w:val="28"/>
          <w:vertAlign w:val="baseline"/>
        </w:rPr>
        <w:t>was</w:t>
      </w:r>
      <w:r>
        <w:rPr>
          <w:spacing w:val="-7"/>
          <w:sz w:val="28"/>
          <w:vertAlign w:val="baseline"/>
        </w:rPr>
        <w:t> </w:t>
      </w:r>
      <w:r>
        <w:rPr>
          <w:sz w:val="28"/>
          <w:vertAlign w:val="baseline"/>
        </w:rPr>
        <w:t>described</w:t>
      </w:r>
      <w:r>
        <w:rPr>
          <w:spacing w:val="-7"/>
          <w:sz w:val="28"/>
          <w:vertAlign w:val="baseline"/>
        </w:rPr>
        <w:t> </w:t>
      </w:r>
      <w:r>
        <w:rPr>
          <w:sz w:val="28"/>
          <w:vertAlign w:val="baseline"/>
        </w:rPr>
        <w:t>as</w:t>
      </w:r>
      <w:r>
        <w:rPr>
          <w:spacing w:val="-7"/>
          <w:sz w:val="28"/>
          <w:vertAlign w:val="baseline"/>
        </w:rPr>
        <w:t> </w:t>
      </w:r>
      <w:r>
        <w:rPr>
          <w:sz w:val="28"/>
          <w:vertAlign w:val="baseline"/>
        </w:rPr>
        <w:t>humiliating</w:t>
      </w:r>
      <w:r>
        <w:rPr>
          <w:spacing w:val="-6"/>
          <w:sz w:val="28"/>
          <w:vertAlign w:val="baseline"/>
        </w:rPr>
        <w:t> </w:t>
      </w:r>
      <w:r>
        <w:rPr>
          <w:sz w:val="28"/>
          <w:vertAlign w:val="baseline"/>
        </w:rPr>
        <w:t>and</w:t>
      </w:r>
      <w:r>
        <w:rPr>
          <w:spacing w:val="-7"/>
          <w:sz w:val="28"/>
          <w:vertAlign w:val="baseline"/>
        </w:rPr>
        <w:t> </w:t>
      </w:r>
      <w:r>
        <w:rPr>
          <w:sz w:val="28"/>
          <w:vertAlign w:val="baseline"/>
        </w:rPr>
        <w:t>traumatic</w:t>
      </w:r>
      <w:r>
        <w:rPr>
          <w:spacing w:val="-6"/>
          <w:sz w:val="28"/>
          <w:vertAlign w:val="baseline"/>
        </w:rPr>
        <w:t> </w:t>
      </w:r>
      <w:r>
        <w:rPr>
          <w:sz w:val="28"/>
          <w:vertAlign w:val="baseline"/>
        </w:rPr>
        <w:t>with the potential to re-traumatise vulnerable people.</w:t>
      </w:r>
    </w:p>
    <w:p>
      <w:pPr>
        <w:pStyle w:val="ListParagraph"/>
        <w:numPr>
          <w:ilvl w:val="1"/>
          <w:numId w:val="7"/>
        </w:numPr>
        <w:tabs>
          <w:tab w:pos="1853" w:val="left" w:leader="none"/>
        </w:tabs>
        <w:spacing w:line="225" w:lineRule="auto" w:before="314" w:after="0"/>
        <w:ind w:left="1853" w:right="1642" w:hanging="720"/>
        <w:jc w:val="left"/>
        <w:rPr>
          <w:sz w:val="28"/>
        </w:rPr>
      </w:pPr>
      <w:r>
        <w:rPr>
          <w:sz w:val="28"/>
        </w:rPr>
        <w:t>The ECNI produced policy recommendations, arising from this research, noting that there have been</w:t>
      </w:r>
      <w:r>
        <w:rPr>
          <w:spacing w:val="-1"/>
          <w:sz w:val="28"/>
        </w:rPr>
        <w:t> </w:t>
      </w:r>
      <w:r>
        <w:rPr>
          <w:sz w:val="28"/>
        </w:rPr>
        <w:t>a</w:t>
      </w:r>
      <w:r>
        <w:rPr>
          <w:spacing w:val="-1"/>
          <w:sz w:val="28"/>
        </w:rPr>
        <w:t> </w:t>
      </w:r>
      <w:r>
        <w:rPr>
          <w:sz w:val="28"/>
        </w:rPr>
        <w:t>number of</w:t>
      </w:r>
      <w:r>
        <w:rPr>
          <w:spacing w:val="-1"/>
          <w:sz w:val="28"/>
        </w:rPr>
        <w:t> </w:t>
      </w:r>
      <w:r>
        <w:rPr>
          <w:sz w:val="28"/>
        </w:rPr>
        <w:t>post Brexit developments</w:t>
      </w:r>
      <w:r>
        <w:rPr>
          <w:spacing w:val="-1"/>
          <w:sz w:val="28"/>
        </w:rPr>
        <w:t> </w:t>
      </w:r>
      <w:r>
        <w:rPr>
          <w:sz w:val="28"/>
        </w:rPr>
        <w:t>which have, or will, directly impact on the treatment of asylum seekers and refugees</w:t>
      </w:r>
      <w:r>
        <w:rPr>
          <w:spacing w:val="-8"/>
          <w:sz w:val="28"/>
        </w:rPr>
        <w:t> </w:t>
      </w:r>
      <w:r>
        <w:rPr>
          <w:sz w:val="28"/>
        </w:rPr>
        <w:t>including,</w:t>
      </w:r>
      <w:r>
        <w:rPr>
          <w:spacing w:val="-7"/>
          <w:sz w:val="28"/>
        </w:rPr>
        <w:t> </w:t>
      </w:r>
      <w:r>
        <w:rPr>
          <w:sz w:val="28"/>
        </w:rPr>
        <w:t>for</w:t>
      </w:r>
      <w:r>
        <w:rPr>
          <w:spacing w:val="-7"/>
          <w:sz w:val="28"/>
        </w:rPr>
        <w:t> </w:t>
      </w:r>
      <w:r>
        <w:rPr>
          <w:sz w:val="28"/>
        </w:rPr>
        <w:t>example,</w:t>
      </w:r>
      <w:r>
        <w:rPr>
          <w:spacing w:val="-7"/>
          <w:sz w:val="28"/>
        </w:rPr>
        <w:t> </w:t>
      </w:r>
      <w:r>
        <w:rPr>
          <w:sz w:val="28"/>
        </w:rPr>
        <w:t>the</w:t>
      </w:r>
      <w:r>
        <w:rPr>
          <w:spacing w:val="-7"/>
          <w:sz w:val="28"/>
        </w:rPr>
        <w:t> </w:t>
      </w:r>
      <w:r>
        <w:rPr>
          <w:sz w:val="28"/>
        </w:rPr>
        <w:t>Illegal</w:t>
      </w:r>
      <w:r>
        <w:rPr>
          <w:spacing w:val="-8"/>
          <w:sz w:val="28"/>
        </w:rPr>
        <w:t> </w:t>
      </w:r>
      <w:r>
        <w:rPr>
          <w:sz w:val="28"/>
        </w:rPr>
        <w:t>Migration</w:t>
      </w:r>
      <w:r>
        <w:rPr>
          <w:spacing w:val="-8"/>
          <w:sz w:val="28"/>
        </w:rPr>
        <w:t> </w:t>
      </w:r>
      <w:r>
        <w:rPr>
          <w:sz w:val="28"/>
        </w:rPr>
        <w:t>Act</w:t>
      </w:r>
      <w:r>
        <w:rPr>
          <w:spacing w:val="-7"/>
          <w:sz w:val="28"/>
        </w:rPr>
        <w:t> </w:t>
      </w:r>
      <w:r>
        <w:rPr>
          <w:sz w:val="28"/>
        </w:rPr>
        <w:t>and</w:t>
      </w:r>
      <w:r>
        <w:rPr>
          <w:spacing w:val="-8"/>
          <w:sz w:val="28"/>
        </w:rPr>
        <w:t> </w:t>
      </w:r>
      <w:r>
        <w:rPr>
          <w:sz w:val="28"/>
        </w:rPr>
        <w:t>the</w:t>
      </w:r>
      <w:r>
        <w:rPr>
          <w:spacing w:val="-7"/>
          <w:sz w:val="28"/>
        </w:rPr>
        <w:t> </w:t>
      </w:r>
      <w:r>
        <w:rPr>
          <w:sz w:val="28"/>
        </w:rPr>
        <w:t>Safety</w:t>
      </w:r>
      <w:r>
        <w:rPr>
          <w:spacing w:val="-7"/>
          <w:sz w:val="28"/>
        </w:rPr>
        <w:t> </w:t>
      </w:r>
      <w:r>
        <w:rPr>
          <w:sz w:val="28"/>
        </w:rPr>
        <w:t>of</w:t>
      </w:r>
    </w:p>
    <w:p>
      <w:pPr>
        <w:pStyle w:val="BodyText"/>
        <w:spacing w:before="5"/>
        <w:rPr>
          <w:sz w:val="10"/>
        </w:rPr>
      </w:pPr>
      <w:r>
        <w:rPr/>
        <mc:AlternateContent>
          <mc:Choice Requires="wps">
            <w:drawing>
              <wp:anchor distT="0" distB="0" distL="0" distR="0" allowOverlap="1" layoutInCell="1" locked="0" behindDoc="1" simplePos="0" relativeHeight="487683584">
                <wp:simplePos x="0" y="0"/>
                <wp:positionH relativeFrom="page">
                  <wp:posOffset>719996</wp:posOffset>
                </wp:positionH>
                <wp:positionV relativeFrom="paragraph">
                  <wp:posOffset>96489</wp:posOffset>
                </wp:positionV>
                <wp:extent cx="6120130" cy="1270"/>
                <wp:effectExtent l="0" t="0" r="0" b="0"/>
                <wp:wrapTopAndBottom/>
                <wp:docPr id="419" name="Graphic 419"/>
                <wp:cNvGraphicFramePr>
                  <a:graphicFrameLocks/>
                </wp:cNvGraphicFramePr>
                <a:graphic>
                  <a:graphicData uri="http://schemas.microsoft.com/office/word/2010/wordprocessingShape">
                    <wps:wsp>
                      <wps:cNvPr id="419" name="Graphic 41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7.597622pt;width:481.9pt;height:.1pt;mso-position-horizontal-relative:page;mso-position-vertical-relative:paragraph;z-index:-15632896;mso-wrap-distance-left:0;mso-wrap-distance-right:0" id="docshape368" coordorigin="1134,152" coordsize="9638,0" path="m10772,152l1134,152e" filled="false" stroked="true" strokeweight="1pt" strokecolor="#393b80">
                <v:path arrowok="t"/>
                <v:stroke dashstyle="solid"/>
                <w10:wrap type="topAndBottom"/>
              </v:shape>
            </w:pict>
          </mc:Fallback>
        </mc:AlternateContent>
      </w:r>
    </w:p>
    <w:p>
      <w:pPr>
        <w:pStyle w:val="ListParagraph"/>
        <w:numPr>
          <w:ilvl w:val="0"/>
          <w:numId w:val="9"/>
        </w:numPr>
        <w:tabs>
          <w:tab w:pos="1853" w:val="left" w:leader="none"/>
        </w:tabs>
        <w:spacing w:line="218" w:lineRule="exact" w:before="112" w:after="0"/>
        <w:ind w:left="1853" w:right="0" w:hanging="720"/>
        <w:jc w:val="left"/>
        <w:rPr>
          <w:sz w:val="18"/>
        </w:rPr>
      </w:pPr>
      <w:r>
        <w:rPr>
          <w:i/>
          <w:sz w:val="18"/>
        </w:rPr>
        <w:t>In</w:t>
      </w:r>
      <w:r>
        <w:rPr>
          <w:i/>
          <w:spacing w:val="-4"/>
          <w:sz w:val="18"/>
        </w:rPr>
        <w:t> </w:t>
      </w:r>
      <w:r>
        <w:rPr>
          <w:i/>
          <w:sz w:val="18"/>
        </w:rPr>
        <w:t>the</w:t>
      </w:r>
      <w:r>
        <w:rPr>
          <w:i/>
          <w:spacing w:val="-3"/>
          <w:sz w:val="18"/>
        </w:rPr>
        <w:t> </w:t>
      </w:r>
      <w:r>
        <w:rPr>
          <w:i/>
          <w:sz w:val="18"/>
        </w:rPr>
        <w:t>Matter</w:t>
      </w:r>
      <w:r>
        <w:rPr>
          <w:i/>
          <w:spacing w:val="-3"/>
          <w:sz w:val="18"/>
        </w:rPr>
        <w:t> </w:t>
      </w:r>
      <w:r>
        <w:rPr>
          <w:i/>
          <w:sz w:val="18"/>
        </w:rPr>
        <w:t>of</w:t>
      </w:r>
      <w:r>
        <w:rPr>
          <w:i/>
          <w:spacing w:val="-4"/>
          <w:sz w:val="18"/>
        </w:rPr>
        <w:t> </w:t>
      </w:r>
      <w:r>
        <w:rPr>
          <w:i/>
          <w:sz w:val="18"/>
        </w:rPr>
        <w:t>an</w:t>
      </w:r>
      <w:r>
        <w:rPr>
          <w:i/>
          <w:spacing w:val="-3"/>
          <w:sz w:val="18"/>
        </w:rPr>
        <w:t> </w:t>
      </w:r>
      <w:r>
        <w:rPr>
          <w:i/>
          <w:sz w:val="18"/>
        </w:rPr>
        <w:t>Application</w:t>
      </w:r>
      <w:r>
        <w:rPr>
          <w:i/>
          <w:spacing w:val="-4"/>
          <w:sz w:val="18"/>
        </w:rPr>
        <w:t> </w:t>
      </w:r>
      <w:r>
        <w:rPr>
          <w:i/>
          <w:sz w:val="18"/>
        </w:rPr>
        <w:t>by</w:t>
      </w:r>
      <w:r>
        <w:rPr>
          <w:i/>
          <w:spacing w:val="-4"/>
          <w:sz w:val="18"/>
        </w:rPr>
        <w:t> </w:t>
      </w:r>
      <w:r>
        <w:rPr>
          <w:i/>
          <w:sz w:val="18"/>
        </w:rPr>
        <w:t>Aman</w:t>
      </w:r>
      <w:r>
        <w:rPr>
          <w:i/>
          <w:spacing w:val="-4"/>
          <w:sz w:val="18"/>
        </w:rPr>
        <w:t> </w:t>
      </w:r>
      <w:r>
        <w:rPr>
          <w:i/>
          <w:sz w:val="18"/>
        </w:rPr>
        <w:t>Angesom</w:t>
      </w:r>
      <w:r>
        <w:rPr>
          <w:i/>
          <w:spacing w:val="-3"/>
          <w:sz w:val="18"/>
        </w:rPr>
        <w:t> </w:t>
      </w:r>
      <w:r>
        <w:rPr>
          <w:i/>
          <w:sz w:val="18"/>
        </w:rPr>
        <w:t>for</w:t>
      </w:r>
      <w:r>
        <w:rPr>
          <w:i/>
          <w:spacing w:val="-3"/>
          <w:sz w:val="18"/>
        </w:rPr>
        <w:t> </w:t>
      </w:r>
      <w:r>
        <w:rPr>
          <w:i/>
          <w:sz w:val="18"/>
        </w:rPr>
        <w:t>Judicial</w:t>
      </w:r>
      <w:r>
        <w:rPr>
          <w:i/>
          <w:spacing w:val="-4"/>
          <w:sz w:val="18"/>
        </w:rPr>
        <w:t> </w:t>
      </w:r>
      <w:r>
        <w:rPr>
          <w:i/>
          <w:sz w:val="18"/>
        </w:rPr>
        <w:t>Review</w:t>
      </w:r>
      <w:r>
        <w:rPr>
          <w:i/>
          <w:spacing w:val="-3"/>
          <w:sz w:val="18"/>
        </w:rPr>
        <w:t> </w:t>
      </w:r>
      <w:r>
        <w:rPr>
          <w:sz w:val="18"/>
        </w:rPr>
        <w:t>[2023]</w:t>
      </w:r>
      <w:r>
        <w:rPr>
          <w:spacing w:val="-3"/>
          <w:sz w:val="18"/>
        </w:rPr>
        <w:t> </w:t>
      </w:r>
      <w:r>
        <w:rPr>
          <w:sz w:val="18"/>
        </w:rPr>
        <w:t>NIKB</w:t>
      </w:r>
      <w:r>
        <w:rPr>
          <w:spacing w:val="-3"/>
          <w:sz w:val="18"/>
        </w:rPr>
        <w:t> </w:t>
      </w:r>
      <w:r>
        <w:rPr>
          <w:sz w:val="18"/>
        </w:rPr>
        <w:t>102,</w:t>
      </w:r>
      <w:r>
        <w:rPr>
          <w:spacing w:val="-2"/>
          <w:sz w:val="18"/>
        </w:rPr>
        <w:t> </w:t>
      </w:r>
      <w:r>
        <w:rPr>
          <w:sz w:val="18"/>
        </w:rPr>
        <w:t>at</w:t>
      </w:r>
      <w:r>
        <w:rPr>
          <w:spacing w:val="-3"/>
          <w:sz w:val="18"/>
        </w:rPr>
        <w:t> </w:t>
      </w:r>
      <w:r>
        <w:rPr>
          <w:sz w:val="18"/>
        </w:rPr>
        <w:t>para</w:t>
      </w:r>
      <w:r>
        <w:rPr>
          <w:spacing w:val="-4"/>
          <w:sz w:val="18"/>
        </w:rPr>
        <w:t> </w:t>
      </w:r>
      <w:r>
        <w:rPr>
          <w:sz w:val="18"/>
        </w:rPr>
        <w:t>107</w:t>
      </w:r>
      <w:r>
        <w:rPr>
          <w:spacing w:val="-3"/>
          <w:sz w:val="18"/>
        </w:rPr>
        <w:t> </w:t>
      </w:r>
      <w:r>
        <w:rPr>
          <w:sz w:val="18"/>
        </w:rPr>
        <w:t>and</w:t>
      </w:r>
      <w:r>
        <w:rPr>
          <w:spacing w:val="-4"/>
          <w:sz w:val="18"/>
        </w:rPr>
        <w:t> 108.</w:t>
      </w:r>
    </w:p>
    <w:p>
      <w:pPr>
        <w:pStyle w:val="ListParagraph"/>
        <w:numPr>
          <w:ilvl w:val="0"/>
          <w:numId w:val="9"/>
        </w:numPr>
        <w:tabs>
          <w:tab w:pos="1853" w:val="left" w:leader="none"/>
        </w:tabs>
        <w:spacing w:line="235" w:lineRule="auto" w:before="1" w:after="0"/>
        <w:ind w:left="1853" w:right="1471" w:hanging="720"/>
        <w:jc w:val="left"/>
        <w:rPr>
          <w:sz w:val="18"/>
        </w:rPr>
      </w:pPr>
      <w:r>
        <w:rPr>
          <w:sz w:val="18"/>
        </w:rPr>
        <w:t>Directive</w:t>
      </w:r>
      <w:r>
        <w:rPr>
          <w:spacing w:val="-5"/>
          <w:sz w:val="18"/>
        </w:rPr>
        <w:t> </w:t>
      </w:r>
      <w:r>
        <w:rPr>
          <w:sz w:val="18"/>
        </w:rPr>
        <w:t>2005/85/EC,</w:t>
      </w:r>
      <w:r>
        <w:rPr>
          <w:spacing w:val="-5"/>
          <w:sz w:val="18"/>
        </w:rPr>
        <w:t> </w:t>
      </w:r>
      <w:r>
        <w:rPr>
          <w:sz w:val="18"/>
        </w:rPr>
        <w:t>‘EU</w:t>
      </w:r>
      <w:r>
        <w:rPr>
          <w:spacing w:val="-5"/>
          <w:sz w:val="18"/>
        </w:rPr>
        <w:t> </w:t>
      </w:r>
      <w:r>
        <w:rPr>
          <w:sz w:val="18"/>
        </w:rPr>
        <w:t>Council</w:t>
      </w:r>
      <w:r>
        <w:rPr>
          <w:spacing w:val="-6"/>
          <w:sz w:val="18"/>
        </w:rPr>
        <w:t> </w:t>
      </w:r>
      <w:r>
        <w:rPr>
          <w:sz w:val="18"/>
        </w:rPr>
        <w:t>Directive</w:t>
      </w:r>
      <w:r>
        <w:rPr>
          <w:spacing w:val="-5"/>
          <w:sz w:val="18"/>
        </w:rPr>
        <w:t> </w:t>
      </w:r>
      <w:r>
        <w:rPr>
          <w:sz w:val="18"/>
        </w:rPr>
        <w:t>on</w:t>
      </w:r>
      <w:r>
        <w:rPr>
          <w:spacing w:val="-6"/>
          <w:sz w:val="18"/>
        </w:rPr>
        <w:t> </w:t>
      </w:r>
      <w:r>
        <w:rPr>
          <w:sz w:val="18"/>
        </w:rPr>
        <w:t>Minimum</w:t>
      </w:r>
      <w:r>
        <w:rPr>
          <w:spacing w:val="-5"/>
          <w:sz w:val="18"/>
        </w:rPr>
        <w:t> </w:t>
      </w:r>
      <w:r>
        <w:rPr>
          <w:sz w:val="18"/>
        </w:rPr>
        <w:t>Standards</w:t>
      </w:r>
      <w:r>
        <w:rPr>
          <w:spacing w:val="-6"/>
          <w:sz w:val="18"/>
        </w:rPr>
        <w:t> </w:t>
      </w:r>
      <w:r>
        <w:rPr>
          <w:sz w:val="18"/>
        </w:rPr>
        <w:t>on</w:t>
      </w:r>
      <w:r>
        <w:rPr>
          <w:spacing w:val="-6"/>
          <w:sz w:val="18"/>
        </w:rPr>
        <w:t> </w:t>
      </w:r>
      <w:r>
        <w:rPr>
          <w:sz w:val="18"/>
        </w:rPr>
        <w:t>Procedures</w:t>
      </w:r>
      <w:r>
        <w:rPr>
          <w:spacing w:val="-6"/>
          <w:sz w:val="18"/>
        </w:rPr>
        <w:t> </w:t>
      </w:r>
      <w:r>
        <w:rPr>
          <w:sz w:val="18"/>
        </w:rPr>
        <w:t>in</w:t>
      </w:r>
      <w:r>
        <w:rPr>
          <w:spacing w:val="-6"/>
          <w:sz w:val="18"/>
        </w:rPr>
        <w:t> </w:t>
      </w:r>
      <w:r>
        <w:rPr>
          <w:sz w:val="18"/>
        </w:rPr>
        <w:t>Member</w:t>
      </w:r>
      <w:r>
        <w:rPr>
          <w:spacing w:val="-5"/>
          <w:sz w:val="18"/>
        </w:rPr>
        <w:t> </w:t>
      </w:r>
      <w:r>
        <w:rPr>
          <w:sz w:val="18"/>
        </w:rPr>
        <w:t>States</w:t>
      </w:r>
      <w:r>
        <w:rPr>
          <w:spacing w:val="-6"/>
          <w:sz w:val="18"/>
        </w:rPr>
        <w:t> </w:t>
      </w:r>
      <w:r>
        <w:rPr>
          <w:sz w:val="18"/>
        </w:rPr>
        <w:t>for</w:t>
      </w:r>
      <w:r>
        <w:rPr>
          <w:spacing w:val="-5"/>
          <w:sz w:val="18"/>
        </w:rPr>
        <w:t> </w:t>
      </w:r>
      <w:r>
        <w:rPr>
          <w:sz w:val="18"/>
        </w:rPr>
        <w:t>Granting</w:t>
      </w:r>
      <w:r>
        <w:rPr>
          <w:spacing w:val="-5"/>
          <w:sz w:val="18"/>
        </w:rPr>
        <w:t> </w:t>
      </w:r>
      <w:r>
        <w:rPr>
          <w:sz w:val="18"/>
        </w:rPr>
        <w:t>and Withdrawing Refugee Status’, 1 December 2005.</w:t>
      </w:r>
    </w:p>
    <w:p>
      <w:pPr>
        <w:pStyle w:val="ListParagraph"/>
        <w:numPr>
          <w:ilvl w:val="0"/>
          <w:numId w:val="9"/>
        </w:numPr>
        <w:tabs>
          <w:tab w:pos="1853" w:val="left" w:leader="none"/>
        </w:tabs>
        <w:spacing w:line="235" w:lineRule="auto" w:before="2" w:after="0"/>
        <w:ind w:left="1853" w:right="1523" w:hanging="720"/>
        <w:jc w:val="left"/>
        <w:rPr>
          <w:sz w:val="18"/>
        </w:rPr>
      </w:pPr>
      <w:r>
        <w:rPr>
          <w:sz w:val="18"/>
        </w:rPr>
        <w:t>Directive</w:t>
      </w:r>
      <w:r>
        <w:rPr>
          <w:spacing w:val="-6"/>
          <w:sz w:val="18"/>
        </w:rPr>
        <w:t> </w:t>
      </w:r>
      <w:r>
        <w:rPr>
          <w:sz w:val="18"/>
        </w:rPr>
        <w:t>2003/9/EC,</w:t>
      </w:r>
      <w:r>
        <w:rPr>
          <w:spacing w:val="-6"/>
          <w:sz w:val="18"/>
        </w:rPr>
        <w:t> </w:t>
      </w:r>
      <w:r>
        <w:rPr>
          <w:sz w:val="18"/>
        </w:rPr>
        <w:t>‘EU</w:t>
      </w:r>
      <w:r>
        <w:rPr>
          <w:spacing w:val="-6"/>
          <w:sz w:val="18"/>
        </w:rPr>
        <w:t> </w:t>
      </w:r>
      <w:r>
        <w:rPr>
          <w:sz w:val="18"/>
        </w:rPr>
        <w:t>Council</w:t>
      </w:r>
      <w:r>
        <w:rPr>
          <w:spacing w:val="-7"/>
          <w:sz w:val="18"/>
        </w:rPr>
        <w:t> </w:t>
      </w:r>
      <w:r>
        <w:rPr>
          <w:sz w:val="18"/>
        </w:rPr>
        <w:t>Directive</w:t>
      </w:r>
      <w:r>
        <w:rPr>
          <w:spacing w:val="-6"/>
          <w:sz w:val="18"/>
        </w:rPr>
        <w:t> </w:t>
      </w:r>
      <w:r>
        <w:rPr>
          <w:sz w:val="18"/>
        </w:rPr>
        <w:t>Laying</w:t>
      </w:r>
      <w:r>
        <w:rPr>
          <w:spacing w:val="-6"/>
          <w:sz w:val="18"/>
        </w:rPr>
        <w:t> </w:t>
      </w:r>
      <w:r>
        <w:rPr>
          <w:sz w:val="18"/>
        </w:rPr>
        <w:t>Down</w:t>
      </w:r>
      <w:r>
        <w:rPr>
          <w:spacing w:val="-7"/>
          <w:sz w:val="18"/>
        </w:rPr>
        <w:t> </w:t>
      </w:r>
      <w:r>
        <w:rPr>
          <w:sz w:val="18"/>
        </w:rPr>
        <w:t>Minimum</w:t>
      </w:r>
      <w:r>
        <w:rPr>
          <w:spacing w:val="-6"/>
          <w:sz w:val="18"/>
        </w:rPr>
        <w:t> </w:t>
      </w:r>
      <w:r>
        <w:rPr>
          <w:sz w:val="18"/>
        </w:rPr>
        <w:t>Standards</w:t>
      </w:r>
      <w:r>
        <w:rPr>
          <w:spacing w:val="-7"/>
          <w:sz w:val="18"/>
        </w:rPr>
        <w:t> </w:t>
      </w:r>
      <w:r>
        <w:rPr>
          <w:sz w:val="18"/>
        </w:rPr>
        <w:t>for</w:t>
      </w:r>
      <w:r>
        <w:rPr>
          <w:spacing w:val="-6"/>
          <w:sz w:val="18"/>
        </w:rPr>
        <w:t> </w:t>
      </w:r>
      <w:r>
        <w:rPr>
          <w:sz w:val="18"/>
        </w:rPr>
        <w:t>the</w:t>
      </w:r>
      <w:r>
        <w:rPr>
          <w:spacing w:val="-6"/>
          <w:sz w:val="18"/>
        </w:rPr>
        <w:t> </w:t>
      </w:r>
      <w:r>
        <w:rPr>
          <w:sz w:val="18"/>
        </w:rPr>
        <w:t>Reception</w:t>
      </w:r>
      <w:r>
        <w:rPr>
          <w:spacing w:val="-7"/>
          <w:sz w:val="18"/>
        </w:rPr>
        <w:t> </w:t>
      </w:r>
      <w:r>
        <w:rPr>
          <w:sz w:val="18"/>
        </w:rPr>
        <w:t>of</w:t>
      </w:r>
      <w:r>
        <w:rPr>
          <w:spacing w:val="-7"/>
          <w:sz w:val="18"/>
        </w:rPr>
        <w:t> </w:t>
      </w:r>
      <w:r>
        <w:rPr>
          <w:sz w:val="18"/>
        </w:rPr>
        <w:t>Asylum</w:t>
      </w:r>
      <w:r>
        <w:rPr>
          <w:spacing w:val="-6"/>
          <w:sz w:val="18"/>
        </w:rPr>
        <w:t> </w:t>
      </w:r>
      <w:r>
        <w:rPr>
          <w:sz w:val="18"/>
        </w:rPr>
        <w:t>Seekers’,</w:t>
      </w:r>
      <w:r>
        <w:rPr>
          <w:spacing w:val="-6"/>
          <w:sz w:val="18"/>
        </w:rPr>
        <w:t> </w:t>
      </w:r>
      <w:r>
        <w:rPr>
          <w:sz w:val="18"/>
        </w:rPr>
        <w:t>27 January 2003.</w:t>
      </w:r>
    </w:p>
    <w:p>
      <w:pPr>
        <w:pStyle w:val="ListParagraph"/>
        <w:numPr>
          <w:ilvl w:val="0"/>
          <w:numId w:val="9"/>
        </w:numPr>
        <w:tabs>
          <w:tab w:pos="1853" w:val="left" w:leader="none"/>
        </w:tabs>
        <w:spacing w:line="235" w:lineRule="auto" w:before="1" w:after="0"/>
        <w:ind w:left="1853" w:right="1295" w:hanging="720"/>
        <w:jc w:val="left"/>
        <w:rPr>
          <w:sz w:val="18"/>
        </w:rPr>
      </w:pPr>
      <w:r>
        <w:rPr>
          <w:sz w:val="18"/>
        </w:rPr>
        <w:t>Directive 2004/83/EC, ‘EU Council Directive on minimum standards for the qualification and status of third country nationals</w:t>
      </w:r>
      <w:r>
        <w:rPr>
          <w:spacing w:val="-5"/>
          <w:sz w:val="18"/>
        </w:rPr>
        <w:t> </w:t>
      </w:r>
      <w:r>
        <w:rPr>
          <w:sz w:val="18"/>
        </w:rPr>
        <w:t>or</w:t>
      </w:r>
      <w:r>
        <w:rPr>
          <w:spacing w:val="-4"/>
          <w:sz w:val="18"/>
        </w:rPr>
        <w:t> </w:t>
      </w:r>
      <w:r>
        <w:rPr>
          <w:sz w:val="18"/>
        </w:rPr>
        <w:t>stateless</w:t>
      </w:r>
      <w:r>
        <w:rPr>
          <w:spacing w:val="-5"/>
          <w:sz w:val="18"/>
        </w:rPr>
        <w:t> </w:t>
      </w:r>
      <w:r>
        <w:rPr>
          <w:sz w:val="18"/>
        </w:rPr>
        <w:t>persons</w:t>
      </w:r>
      <w:r>
        <w:rPr>
          <w:spacing w:val="-5"/>
          <w:sz w:val="18"/>
        </w:rPr>
        <w:t> </w:t>
      </w:r>
      <w:r>
        <w:rPr>
          <w:sz w:val="18"/>
        </w:rPr>
        <w:t>as</w:t>
      </w:r>
      <w:r>
        <w:rPr>
          <w:spacing w:val="-5"/>
          <w:sz w:val="18"/>
        </w:rPr>
        <w:t> </w:t>
      </w:r>
      <w:r>
        <w:rPr>
          <w:sz w:val="18"/>
        </w:rPr>
        <w:t>refugees</w:t>
      </w:r>
      <w:r>
        <w:rPr>
          <w:spacing w:val="-5"/>
          <w:sz w:val="18"/>
        </w:rPr>
        <w:t> </w:t>
      </w:r>
      <w:r>
        <w:rPr>
          <w:sz w:val="18"/>
        </w:rPr>
        <w:t>or</w:t>
      </w:r>
      <w:r>
        <w:rPr>
          <w:spacing w:val="-4"/>
          <w:sz w:val="18"/>
        </w:rPr>
        <w:t> </w:t>
      </w:r>
      <w:r>
        <w:rPr>
          <w:sz w:val="18"/>
        </w:rPr>
        <w:t>as</w:t>
      </w:r>
      <w:r>
        <w:rPr>
          <w:spacing w:val="-5"/>
          <w:sz w:val="18"/>
        </w:rPr>
        <w:t> </w:t>
      </w:r>
      <w:r>
        <w:rPr>
          <w:sz w:val="18"/>
        </w:rPr>
        <w:t>persons</w:t>
      </w:r>
      <w:r>
        <w:rPr>
          <w:spacing w:val="-5"/>
          <w:sz w:val="18"/>
        </w:rPr>
        <w:t> </w:t>
      </w:r>
      <w:r>
        <w:rPr>
          <w:sz w:val="18"/>
        </w:rPr>
        <w:t>who</w:t>
      </w:r>
      <w:r>
        <w:rPr>
          <w:spacing w:val="-5"/>
          <w:sz w:val="18"/>
        </w:rPr>
        <w:t> </w:t>
      </w:r>
      <w:r>
        <w:rPr>
          <w:sz w:val="18"/>
        </w:rPr>
        <w:t>otherwise</w:t>
      </w:r>
      <w:r>
        <w:rPr>
          <w:spacing w:val="-4"/>
          <w:sz w:val="18"/>
        </w:rPr>
        <w:t> </w:t>
      </w:r>
      <w:r>
        <w:rPr>
          <w:sz w:val="18"/>
        </w:rPr>
        <w:t>need</w:t>
      </w:r>
      <w:r>
        <w:rPr>
          <w:spacing w:val="-5"/>
          <w:sz w:val="18"/>
        </w:rPr>
        <w:t> </w:t>
      </w:r>
      <w:r>
        <w:rPr>
          <w:sz w:val="18"/>
        </w:rPr>
        <w:t>international</w:t>
      </w:r>
      <w:r>
        <w:rPr>
          <w:spacing w:val="-5"/>
          <w:sz w:val="18"/>
        </w:rPr>
        <w:t> </w:t>
      </w:r>
      <w:r>
        <w:rPr>
          <w:sz w:val="18"/>
        </w:rPr>
        <w:t>protection</w:t>
      </w:r>
      <w:r>
        <w:rPr>
          <w:spacing w:val="-5"/>
          <w:sz w:val="18"/>
        </w:rPr>
        <w:t> </w:t>
      </w:r>
      <w:r>
        <w:rPr>
          <w:sz w:val="18"/>
        </w:rPr>
        <w:t>and</w:t>
      </w:r>
      <w:r>
        <w:rPr>
          <w:spacing w:val="-5"/>
          <w:sz w:val="18"/>
        </w:rPr>
        <w:t> </w:t>
      </w:r>
      <w:r>
        <w:rPr>
          <w:sz w:val="18"/>
        </w:rPr>
        <w:t>the</w:t>
      </w:r>
      <w:r>
        <w:rPr>
          <w:spacing w:val="-4"/>
          <w:sz w:val="18"/>
        </w:rPr>
        <w:t> </w:t>
      </w:r>
      <w:r>
        <w:rPr>
          <w:sz w:val="18"/>
        </w:rPr>
        <w:t>content</w:t>
      </w:r>
      <w:r>
        <w:rPr>
          <w:spacing w:val="-4"/>
          <w:sz w:val="18"/>
        </w:rPr>
        <w:t> </w:t>
      </w:r>
      <w:r>
        <w:rPr>
          <w:sz w:val="18"/>
        </w:rPr>
        <w:t>of the protection granted’, 29 April 2004.</w:t>
      </w:r>
    </w:p>
    <w:p>
      <w:pPr>
        <w:pStyle w:val="ListParagraph"/>
        <w:numPr>
          <w:ilvl w:val="0"/>
          <w:numId w:val="9"/>
        </w:numPr>
        <w:tabs>
          <w:tab w:pos="1853" w:val="left" w:leader="none"/>
        </w:tabs>
        <w:spacing w:line="235" w:lineRule="auto" w:before="2" w:after="0"/>
        <w:ind w:left="1853" w:right="1168" w:hanging="720"/>
        <w:jc w:val="left"/>
        <w:rPr>
          <w:sz w:val="18"/>
        </w:rPr>
      </w:pPr>
      <w:r>
        <w:rPr>
          <w:sz w:val="18"/>
        </w:rPr>
        <w:t>Regulation</w:t>
      </w:r>
      <w:r>
        <w:rPr>
          <w:spacing w:val="-6"/>
          <w:sz w:val="18"/>
        </w:rPr>
        <w:t> </w:t>
      </w:r>
      <w:r>
        <w:rPr>
          <w:sz w:val="18"/>
        </w:rPr>
        <w:t>2013/604/EU,</w:t>
      </w:r>
      <w:r>
        <w:rPr>
          <w:spacing w:val="-6"/>
          <w:sz w:val="18"/>
        </w:rPr>
        <w:t> </w:t>
      </w:r>
      <w:r>
        <w:rPr>
          <w:sz w:val="18"/>
        </w:rPr>
        <w:t>‘EU</w:t>
      </w:r>
      <w:r>
        <w:rPr>
          <w:spacing w:val="-6"/>
          <w:sz w:val="18"/>
        </w:rPr>
        <w:t> </w:t>
      </w:r>
      <w:r>
        <w:rPr>
          <w:sz w:val="18"/>
        </w:rPr>
        <w:t>Parliament</w:t>
      </w:r>
      <w:r>
        <w:rPr>
          <w:spacing w:val="-5"/>
          <w:sz w:val="18"/>
        </w:rPr>
        <w:t> </w:t>
      </w:r>
      <w:r>
        <w:rPr>
          <w:sz w:val="18"/>
        </w:rPr>
        <w:t>and</w:t>
      </w:r>
      <w:r>
        <w:rPr>
          <w:spacing w:val="-6"/>
          <w:sz w:val="18"/>
        </w:rPr>
        <w:t> </w:t>
      </w:r>
      <w:r>
        <w:rPr>
          <w:sz w:val="18"/>
        </w:rPr>
        <w:t>Council</w:t>
      </w:r>
      <w:r>
        <w:rPr>
          <w:spacing w:val="-6"/>
          <w:sz w:val="18"/>
        </w:rPr>
        <w:t> </w:t>
      </w:r>
      <w:r>
        <w:rPr>
          <w:sz w:val="18"/>
        </w:rPr>
        <w:t>Regulation</w:t>
      </w:r>
      <w:r>
        <w:rPr>
          <w:spacing w:val="-6"/>
          <w:sz w:val="18"/>
        </w:rPr>
        <w:t> </w:t>
      </w:r>
      <w:r>
        <w:rPr>
          <w:sz w:val="18"/>
        </w:rPr>
        <w:t>establishing</w:t>
      </w:r>
      <w:r>
        <w:rPr>
          <w:spacing w:val="-6"/>
          <w:sz w:val="18"/>
        </w:rPr>
        <w:t> </w:t>
      </w:r>
      <w:r>
        <w:rPr>
          <w:sz w:val="18"/>
        </w:rPr>
        <w:t>the</w:t>
      </w:r>
      <w:r>
        <w:rPr>
          <w:spacing w:val="-6"/>
          <w:sz w:val="18"/>
        </w:rPr>
        <w:t> </w:t>
      </w:r>
      <w:r>
        <w:rPr>
          <w:sz w:val="18"/>
        </w:rPr>
        <w:t>criteria</w:t>
      </w:r>
      <w:r>
        <w:rPr>
          <w:spacing w:val="-6"/>
          <w:sz w:val="18"/>
        </w:rPr>
        <w:t> </w:t>
      </w:r>
      <w:r>
        <w:rPr>
          <w:sz w:val="18"/>
        </w:rPr>
        <w:t>and</w:t>
      </w:r>
      <w:r>
        <w:rPr>
          <w:spacing w:val="-6"/>
          <w:sz w:val="18"/>
        </w:rPr>
        <w:t> </w:t>
      </w:r>
      <w:r>
        <w:rPr>
          <w:sz w:val="18"/>
        </w:rPr>
        <w:t>mechanisms</w:t>
      </w:r>
      <w:r>
        <w:rPr>
          <w:spacing w:val="-6"/>
          <w:sz w:val="18"/>
        </w:rPr>
        <w:t> </w:t>
      </w:r>
      <w:r>
        <w:rPr>
          <w:sz w:val="18"/>
        </w:rPr>
        <w:t>for</w:t>
      </w:r>
      <w:r>
        <w:rPr>
          <w:spacing w:val="-6"/>
          <w:sz w:val="18"/>
        </w:rPr>
        <w:t> </w:t>
      </w:r>
      <w:r>
        <w:rPr>
          <w:sz w:val="18"/>
        </w:rPr>
        <w:t>determining the Member State responsible for examining an application for international protection lodged in one of the Member States by a third-country national or a stateless person’, 26 June 2013</w:t>
      </w:r>
    </w:p>
    <w:p>
      <w:pPr>
        <w:pStyle w:val="ListParagraph"/>
        <w:numPr>
          <w:ilvl w:val="0"/>
          <w:numId w:val="9"/>
        </w:numPr>
        <w:tabs>
          <w:tab w:pos="1853" w:val="left" w:leader="none"/>
        </w:tabs>
        <w:spacing w:line="235" w:lineRule="auto" w:before="2" w:after="0"/>
        <w:ind w:left="1853" w:right="1263" w:hanging="720"/>
        <w:jc w:val="left"/>
        <w:rPr>
          <w:sz w:val="18"/>
        </w:rPr>
      </w:pPr>
      <w:r>
        <w:rPr>
          <w:i/>
          <w:sz w:val="18"/>
        </w:rPr>
        <w:t>In the Matter of an Application by Aman Angesom for Judicial Review </w:t>
      </w:r>
      <w:r>
        <w:rPr>
          <w:sz w:val="18"/>
        </w:rPr>
        <w:t>[2023] NIKB 102, at para 93. See also </w:t>
      </w:r>
      <w:r>
        <w:rPr>
          <w:i/>
          <w:sz w:val="18"/>
        </w:rPr>
        <w:t>Secretary of</w:t>
      </w:r>
      <w:r>
        <w:rPr>
          <w:i/>
          <w:sz w:val="18"/>
        </w:rPr>
        <w:t> State</w:t>
      </w:r>
      <w:r>
        <w:rPr>
          <w:i/>
          <w:spacing w:val="-4"/>
          <w:sz w:val="18"/>
        </w:rPr>
        <w:t> </w:t>
      </w:r>
      <w:r>
        <w:rPr>
          <w:i/>
          <w:sz w:val="18"/>
        </w:rPr>
        <w:t>for</w:t>
      </w:r>
      <w:r>
        <w:rPr>
          <w:i/>
          <w:spacing w:val="-4"/>
          <w:sz w:val="18"/>
        </w:rPr>
        <w:t> </w:t>
      </w:r>
      <w:r>
        <w:rPr>
          <w:i/>
          <w:sz w:val="18"/>
        </w:rPr>
        <w:t>Work</w:t>
      </w:r>
      <w:r>
        <w:rPr>
          <w:i/>
          <w:spacing w:val="-4"/>
          <w:sz w:val="18"/>
        </w:rPr>
        <w:t> </w:t>
      </w:r>
      <w:r>
        <w:rPr>
          <w:i/>
          <w:sz w:val="18"/>
        </w:rPr>
        <w:t>and</w:t>
      </w:r>
      <w:r>
        <w:rPr>
          <w:i/>
          <w:spacing w:val="-5"/>
          <w:sz w:val="18"/>
        </w:rPr>
        <w:t> </w:t>
      </w:r>
      <w:r>
        <w:rPr>
          <w:i/>
          <w:sz w:val="18"/>
        </w:rPr>
        <w:t>Pensions</w:t>
      </w:r>
      <w:r>
        <w:rPr>
          <w:i/>
          <w:spacing w:val="-5"/>
          <w:sz w:val="18"/>
        </w:rPr>
        <w:t> </w:t>
      </w:r>
      <w:r>
        <w:rPr>
          <w:i/>
          <w:sz w:val="18"/>
        </w:rPr>
        <w:t>v</w:t>
      </w:r>
      <w:r>
        <w:rPr>
          <w:i/>
          <w:spacing w:val="-4"/>
          <w:sz w:val="18"/>
        </w:rPr>
        <w:t> </w:t>
      </w:r>
      <w:r>
        <w:rPr>
          <w:i/>
          <w:sz w:val="18"/>
        </w:rPr>
        <w:t>AT</w:t>
      </w:r>
      <w:r>
        <w:rPr>
          <w:i/>
          <w:spacing w:val="-5"/>
          <w:sz w:val="18"/>
        </w:rPr>
        <w:t> </w:t>
      </w:r>
      <w:r>
        <w:rPr>
          <w:sz w:val="18"/>
        </w:rPr>
        <w:t>[2023]</w:t>
      </w:r>
      <w:r>
        <w:rPr>
          <w:spacing w:val="-4"/>
          <w:sz w:val="18"/>
        </w:rPr>
        <w:t> </w:t>
      </w:r>
      <w:r>
        <w:rPr>
          <w:sz w:val="18"/>
        </w:rPr>
        <w:t>EWCA</w:t>
      </w:r>
      <w:r>
        <w:rPr>
          <w:spacing w:val="-4"/>
          <w:sz w:val="18"/>
        </w:rPr>
        <w:t> </w:t>
      </w:r>
      <w:r>
        <w:rPr>
          <w:sz w:val="18"/>
        </w:rPr>
        <w:t>Civ</w:t>
      </w:r>
      <w:r>
        <w:rPr>
          <w:spacing w:val="-4"/>
          <w:sz w:val="18"/>
        </w:rPr>
        <w:t> </w:t>
      </w:r>
      <w:r>
        <w:rPr>
          <w:sz w:val="18"/>
        </w:rPr>
        <w:t>1307;</w:t>
      </w:r>
      <w:r>
        <w:rPr>
          <w:spacing w:val="-5"/>
          <w:sz w:val="18"/>
        </w:rPr>
        <w:t> </w:t>
      </w:r>
      <w:r>
        <w:rPr>
          <w:i/>
          <w:sz w:val="18"/>
        </w:rPr>
        <w:t>In</w:t>
      </w:r>
      <w:r>
        <w:rPr>
          <w:i/>
          <w:spacing w:val="-5"/>
          <w:sz w:val="18"/>
        </w:rPr>
        <w:t> </w:t>
      </w:r>
      <w:r>
        <w:rPr>
          <w:i/>
          <w:sz w:val="18"/>
        </w:rPr>
        <w:t>the</w:t>
      </w:r>
      <w:r>
        <w:rPr>
          <w:i/>
          <w:spacing w:val="-4"/>
          <w:sz w:val="18"/>
        </w:rPr>
        <w:t> </w:t>
      </w:r>
      <w:r>
        <w:rPr>
          <w:i/>
          <w:sz w:val="18"/>
        </w:rPr>
        <w:t>Matter</w:t>
      </w:r>
      <w:r>
        <w:rPr>
          <w:i/>
          <w:spacing w:val="-4"/>
          <w:sz w:val="18"/>
        </w:rPr>
        <w:t> </w:t>
      </w:r>
      <w:r>
        <w:rPr>
          <w:i/>
          <w:sz w:val="18"/>
        </w:rPr>
        <w:t>of</w:t>
      </w:r>
      <w:r>
        <w:rPr>
          <w:i/>
          <w:spacing w:val="-5"/>
          <w:sz w:val="18"/>
        </w:rPr>
        <w:t> </w:t>
      </w:r>
      <w:r>
        <w:rPr>
          <w:i/>
          <w:sz w:val="18"/>
        </w:rPr>
        <w:t>an</w:t>
      </w:r>
      <w:r>
        <w:rPr>
          <w:i/>
          <w:spacing w:val="-5"/>
          <w:sz w:val="18"/>
        </w:rPr>
        <w:t> </w:t>
      </w:r>
      <w:r>
        <w:rPr>
          <w:i/>
          <w:sz w:val="18"/>
        </w:rPr>
        <w:t>Application</w:t>
      </w:r>
      <w:r>
        <w:rPr>
          <w:i/>
          <w:spacing w:val="-5"/>
          <w:sz w:val="18"/>
        </w:rPr>
        <w:t> </w:t>
      </w:r>
      <w:r>
        <w:rPr>
          <w:i/>
          <w:sz w:val="18"/>
        </w:rPr>
        <w:t>by</w:t>
      </w:r>
      <w:r>
        <w:rPr>
          <w:i/>
          <w:spacing w:val="-5"/>
          <w:sz w:val="18"/>
        </w:rPr>
        <w:t> </w:t>
      </w:r>
      <w:r>
        <w:rPr>
          <w:i/>
          <w:sz w:val="18"/>
        </w:rPr>
        <w:t>Martina</w:t>
      </w:r>
      <w:r>
        <w:rPr>
          <w:i/>
          <w:spacing w:val="-5"/>
          <w:sz w:val="18"/>
        </w:rPr>
        <w:t> </w:t>
      </w:r>
      <w:r>
        <w:rPr>
          <w:i/>
          <w:sz w:val="18"/>
        </w:rPr>
        <w:t>Dillon</w:t>
      </w:r>
      <w:r>
        <w:rPr>
          <w:i/>
          <w:spacing w:val="-5"/>
          <w:sz w:val="18"/>
        </w:rPr>
        <w:t> </w:t>
      </w:r>
      <w:r>
        <w:rPr>
          <w:i/>
          <w:sz w:val="18"/>
        </w:rPr>
        <w:t>and</w:t>
      </w:r>
      <w:r>
        <w:rPr>
          <w:i/>
          <w:spacing w:val="-5"/>
          <w:sz w:val="18"/>
        </w:rPr>
        <w:t> </w:t>
      </w:r>
      <w:r>
        <w:rPr>
          <w:i/>
          <w:sz w:val="18"/>
        </w:rPr>
        <w:t>Others</w:t>
      </w:r>
      <w:r>
        <w:rPr>
          <w:i/>
          <w:spacing w:val="-5"/>
          <w:sz w:val="18"/>
        </w:rPr>
        <w:t> </w:t>
      </w:r>
      <w:r>
        <w:rPr>
          <w:i/>
          <w:sz w:val="18"/>
        </w:rPr>
        <w:t>for</w:t>
      </w:r>
      <w:r>
        <w:rPr>
          <w:i/>
          <w:sz w:val="18"/>
        </w:rPr>
        <w:t> Judicial Review </w:t>
      </w:r>
      <w:r>
        <w:rPr>
          <w:sz w:val="18"/>
        </w:rPr>
        <w:t>[2024] NIKB 11.</w:t>
      </w:r>
    </w:p>
    <w:p>
      <w:pPr>
        <w:pStyle w:val="ListParagraph"/>
        <w:numPr>
          <w:ilvl w:val="0"/>
          <w:numId w:val="9"/>
        </w:numPr>
        <w:tabs>
          <w:tab w:pos="1853" w:val="left" w:leader="none"/>
        </w:tabs>
        <w:spacing w:line="218" w:lineRule="exact" w:before="0" w:after="0"/>
        <w:ind w:left="1853" w:right="0" w:hanging="720"/>
        <w:jc w:val="left"/>
        <w:rPr>
          <w:sz w:val="18"/>
        </w:rPr>
      </w:pPr>
      <w:r>
        <w:rPr>
          <w:sz w:val="18"/>
        </w:rPr>
        <w:t>Pivotal,</w:t>
      </w:r>
      <w:r>
        <w:rPr>
          <w:spacing w:val="-3"/>
          <w:sz w:val="18"/>
        </w:rPr>
        <w:t> </w:t>
      </w:r>
      <w:r>
        <w:rPr>
          <w:sz w:val="18"/>
        </w:rPr>
        <w:t>‘The</w:t>
      </w:r>
      <w:r>
        <w:rPr>
          <w:spacing w:val="-2"/>
          <w:sz w:val="18"/>
        </w:rPr>
        <w:t> </w:t>
      </w:r>
      <w:r>
        <w:rPr>
          <w:sz w:val="18"/>
        </w:rPr>
        <w:t>Impact</w:t>
      </w:r>
      <w:r>
        <w:rPr>
          <w:spacing w:val="-2"/>
          <w:sz w:val="18"/>
        </w:rPr>
        <w:t> </w:t>
      </w:r>
      <w:r>
        <w:rPr>
          <w:sz w:val="18"/>
        </w:rPr>
        <w:t>of</w:t>
      </w:r>
      <w:r>
        <w:rPr>
          <w:spacing w:val="-4"/>
          <w:sz w:val="18"/>
        </w:rPr>
        <w:t> </w:t>
      </w:r>
      <w:r>
        <w:rPr>
          <w:sz w:val="18"/>
        </w:rPr>
        <w:t>Brexit</w:t>
      </w:r>
      <w:r>
        <w:rPr>
          <w:spacing w:val="-2"/>
          <w:sz w:val="18"/>
        </w:rPr>
        <w:t> </w:t>
      </w:r>
      <w:r>
        <w:rPr>
          <w:sz w:val="18"/>
        </w:rPr>
        <w:t>on</w:t>
      </w:r>
      <w:r>
        <w:rPr>
          <w:spacing w:val="-3"/>
          <w:sz w:val="18"/>
        </w:rPr>
        <w:t> </w:t>
      </w:r>
      <w:r>
        <w:rPr>
          <w:sz w:val="18"/>
        </w:rPr>
        <w:t>Minority</w:t>
      </w:r>
      <w:r>
        <w:rPr>
          <w:spacing w:val="-2"/>
          <w:sz w:val="18"/>
        </w:rPr>
        <w:t> </w:t>
      </w:r>
      <w:r>
        <w:rPr>
          <w:sz w:val="18"/>
        </w:rPr>
        <w:t>Ethnic</w:t>
      </w:r>
      <w:r>
        <w:rPr>
          <w:spacing w:val="-3"/>
          <w:sz w:val="18"/>
        </w:rPr>
        <w:t> </w:t>
      </w:r>
      <w:r>
        <w:rPr>
          <w:sz w:val="18"/>
        </w:rPr>
        <w:t>and</w:t>
      </w:r>
      <w:r>
        <w:rPr>
          <w:spacing w:val="-3"/>
          <w:sz w:val="18"/>
        </w:rPr>
        <w:t> </w:t>
      </w:r>
      <w:r>
        <w:rPr>
          <w:sz w:val="18"/>
        </w:rPr>
        <w:t>Migrant</w:t>
      </w:r>
      <w:r>
        <w:rPr>
          <w:spacing w:val="-2"/>
          <w:sz w:val="18"/>
        </w:rPr>
        <w:t> </w:t>
      </w:r>
      <w:r>
        <w:rPr>
          <w:sz w:val="18"/>
        </w:rPr>
        <w:t>People</w:t>
      </w:r>
      <w:r>
        <w:rPr>
          <w:spacing w:val="-2"/>
          <w:sz w:val="18"/>
        </w:rPr>
        <w:t> </w:t>
      </w:r>
      <w:r>
        <w:rPr>
          <w:sz w:val="18"/>
        </w:rPr>
        <w:t>in</w:t>
      </w:r>
      <w:r>
        <w:rPr>
          <w:spacing w:val="-4"/>
          <w:sz w:val="18"/>
        </w:rPr>
        <w:t> </w:t>
      </w:r>
      <w:r>
        <w:rPr>
          <w:sz w:val="18"/>
        </w:rPr>
        <w:t>Northern</w:t>
      </w:r>
      <w:r>
        <w:rPr>
          <w:spacing w:val="-3"/>
          <w:sz w:val="18"/>
        </w:rPr>
        <w:t> </w:t>
      </w:r>
      <w:r>
        <w:rPr>
          <w:sz w:val="18"/>
        </w:rPr>
        <w:t>Ireland’</w:t>
      </w:r>
      <w:r>
        <w:rPr>
          <w:spacing w:val="-2"/>
          <w:sz w:val="18"/>
        </w:rPr>
        <w:t> </w:t>
      </w:r>
      <w:r>
        <w:rPr>
          <w:sz w:val="18"/>
        </w:rPr>
        <w:t>(ECNI,</w:t>
      </w:r>
      <w:r>
        <w:rPr>
          <w:spacing w:val="-2"/>
          <w:sz w:val="18"/>
        </w:rPr>
        <w:t> 2023).</w:t>
      </w:r>
    </w:p>
    <w:p>
      <w:pPr>
        <w:spacing w:after="0" w:line="218" w:lineRule="exact"/>
        <w:jc w:val="left"/>
        <w:rPr>
          <w:sz w:val="18"/>
        </w:rPr>
        <w:sectPr>
          <w:headerReference w:type="even" r:id="rId165"/>
          <w:headerReference w:type="default" r:id="rId166"/>
          <w:footerReference w:type="even" r:id="rId167"/>
          <w:footerReference w:type="default" r:id="rId168"/>
          <w:pgSz w:w="11910" w:h="16840"/>
          <w:pgMar w:header="496" w:footer="1025" w:top="1220" w:bottom="1220" w:left="0" w:right="0"/>
          <w:pgNumType w:start="100"/>
        </w:sectPr>
      </w:pPr>
    </w:p>
    <w:p>
      <w:pPr>
        <w:pStyle w:val="BodyText"/>
        <w:spacing w:before="198"/>
      </w:pPr>
    </w:p>
    <w:p>
      <w:pPr>
        <w:pStyle w:val="BodyText"/>
        <w:spacing w:line="225" w:lineRule="auto"/>
        <w:ind w:left="1853" w:right="1124"/>
      </w:pPr>
      <w:r>
        <w:rPr/>
        <w:t>Rwanda Bill.</w:t>
      </w:r>
      <w:r>
        <w:rPr>
          <w:spacing w:val="-22"/>
        </w:rPr>
        <w:t> </w:t>
      </w:r>
      <w:r>
        <w:rPr>
          <w:vertAlign w:val="superscript"/>
        </w:rPr>
        <w:t>529</w:t>
      </w:r>
      <w:r>
        <w:rPr>
          <w:vertAlign w:val="baseline"/>
        </w:rPr>
        <w:t> The ECNI has previously called for the UK Government and NI Executive to review the asylum system in relation to issues such as quality of accommodation</w:t>
      </w:r>
      <w:r>
        <w:rPr>
          <w:spacing w:val="-11"/>
          <w:vertAlign w:val="baseline"/>
        </w:rPr>
        <w:t> </w:t>
      </w:r>
      <w:r>
        <w:rPr>
          <w:vertAlign w:val="baseline"/>
        </w:rPr>
        <w:t>and</w:t>
      </w:r>
      <w:r>
        <w:rPr>
          <w:spacing w:val="-11"/>
          <w:vertAlign w:val="baseline"/>
        </w:rPr>
        <w:t> </w:t>
      </w:r>
      <w:r>
        <w:rPr>
          <w:vertAlign w:val="baseline"/>
        </w:rPr>
        <w:t>access</w:t>
      </w:r>
      <w:r>
        <w:rPr>
          <w:spacing w:val="-11"/>
          <w:vertAlign w:val="baseline"/>
        </w:rPr>
        <w:t> </w:t>
      </w:r>
      <w:r>
        <w:rPr>
          <w:vertAlign w:val="baseline"/>
        </w:rPr>
        <w:t>to</w:t>
      </w:r>
      <w:r>
        <w:rPr>
          <w:spacing w:val="-11"/>
          <w:vertAlign w:val="baseline"/>
        </w:rPr>
        <w:t> </w:t>
      </w:r>
      <w:r>
        <w:rPr>
          <w:vertAlign w:val="baseline"/>
        </w:rPr>
        <w:t>appropriate</w:t>
      </w:r>
      <w:r>
        <w:rPr>
          <w:spacing w:val="-10"/>
          <w:vertAlign w:val="baseline"/>
        </w:rPr>
        <w:t> </w:t>
      </w:r>
      <w:r>
        <w:rPr>
          <w:vertAlign w:val="baseline"/>
        </w:rPr>
        <w:t>support</w:t>
      </w:r>
      <w:r>
        <w:rPr>
          <w:spacing w:val="-10"/>
          <w:vertAlign w:val="baseline"/>
        </w:rPr>
        <w:t> </w:t>
      </w:r>
      <w:r>
        <w:rPr>
          <w:vertAlign w:val="baseline"/>
        </w:rPr>
        <w:t>systems</w:t>
      </w:r>
      <w:r>
        <w:rPr>
          <w:spacing w:val="-11"/>
          <w:vertAlign w:val="baseline"/>
        </w:rPr>
        <w:t> </w:t>
      </w:r>
      <w:r>
        <w:rPr>
          <w:vertAlign w:val="baseline"/>
        </w:rPr>
        <w:t>for</w:t>
      </w:r>
      <w:r>
        <w:rPr>
          <w:spacing w:val="-10"/>
          <w:vertAlign w:val="baseline"/>
        </w:rPr>
        <w:t> </w:t>
      </w:r>
      <w:r>
        <w:rPr>
          <w:vertAlign w:val="baseline"/>
        </w:rPr>
        <w:t>asylum</w:t>
      </w:r>
      <w:r>
        <w:rPr>
          <w:spacing w:val="-10"/>
          <w:vertAlign w:val="baseline"/>
        </w:rPr>
        <w:t> </w:t>
      </w:r>
      <w:r>
        <w:rPr>
          <w:vertAlign w:val="baseline"/>
        </w:rPr>
        <w:t>seekers and refugees in NI, and to take action to mitigate against the negative impact of the approach of the asylum process and restrictions on asylum seekers.</w:t>
      </w:r>
      <w:r>
        <w:rPr>
          <w:vertAlign w:val="superscript"/>
        </w:rPr>
        <w:t>530</w:t>
      </w:r>
    </w:p>
    <w:p>
      <w:pPr>
        <w:pStyle w:val="ListParagraph"/>
        <w:numPr>
          <w:ilvl w:val="1"/>
          <w:numId w:val="7"/>
        </w:numPr>
        <w:tabs>
          <w:tab w:pos="1853" w:val="left" w:leader="none"/>
        </w:tabs>
        <w:spacing w:line="225" w:lineRule="auto" w:before="314" w:after="0"/>
        <w:ind w:left="1853" w:right="1316" w:hanging="720"/>
        <w:jc w:val="left"/>
        <w:rPr>
          <w:sz w:val="28"/>
        </w:rPr>
      </w:pPr>
      <w:r>
        <w:rPr>
          <w:sz w:val="28"/>
        </w:rPr>
        <w:t>In June 2023, the UN CRC Committee recommended that the State amend the Nationality and Borders Act to ensure “that all asylum-seeking and refugee children, including unaccompanied children, are not criminalized</w:t>
      </w:r>
      <w:r>
        <w:rPr>
          <w:sz w:val="28"/>
        </w:rPr>
        <w:t> and have access to necessary support and services”.</w:t>
      </w:r>
      <w:r>
        <w:rPr>
          <w:sz w:val="28"/>
          <w:vertAlign w:val="superscript"/>
        </w:rPr>
        <w:t>531</w:t>
      </w:r>
      <w:r>
        <w:rPr>
          <w:spacing w:val="40"/>
          <w:sz w:val="28"/>
          <w:vertAlign w:val="baseline"/>
        </w:rPr>
        <w:t> </w:t>
      </w:r>
      <w:r>
        <w:rPr>
          <w:sz w:val="28"/>
          <w:vertAlign w:val="baseline"/>
        </w:rPr>
        <w:t>The Committee also recommended that the UK Government ensure that, in the asylum process, children</w:t>
      </w:r>
      <w:r>
        <w:rPr>
          <w:spacing w:val="-9"/>
          <w:sz w:val="28"/>
          <w:vertAlign w:val="baseline"/>
        </w:rPr>
        <w:t> </w:t>
      </w:r>
      <w:r>
        <w:rPr>
          <w:sz w:val="28"/>
          <w:vertAlign w:val="baseline"/>
        </w:rPr>
        <w:t>receive</w:t>
      </w:r>
      <w:r>
        <w:rPr>
          <w:spacing w:val="-8"/>
          <w:sz w:val="28"/>
          <w:vertAlign w:val="baseline"/>
        </w:rPr>
        <w:t> </w:t>
      </w:r>
      <w:r>
        <w:rPr>
          <w:sz w:val="28"/>
          <w:vertAlign w:val="baseline"/>
        </w:rPr>
        <w:t>age-appropriate</w:t>
      </w:r>
      <w:r>
        <w:rPr>
          <w:spacing w:val="-8"/>
          <w:sz w:val="28"/>
          <w:vertAlign w:val="baseline"/>
        </w:rPr>
        <w:t> </w:t>
      </w:r>
      <w:r>
        <w:rPr>
          <w:sz w:val="28"/>
          <w:vertAlign w:val="baseline"/>
        </w:rPr>
        <w:t>information</w:t>
      </w:r>
      <w:r>
        <w:rPr>
          <w:spacing w:val="-9"/>
          <w:sz w:val="28"/>
          <w:vertAlign w:val="baseline"/>
        </w:rPr>
        <w:t> </w:t>
      </w:r>
      <w:r>
        <w:rPr>
          <w:sz w:val="28"/>
          <w:vertAlign w:val="baseline"/>
        </w:rPr>
        <w:t>and</w:t>
      </w:r>
      <w:r>
        <w:rPr>
          <w:spacing w:val="-9"/>
          <w:sz w:val="28"/>
          <w:vertAlign w:val="baseline"/>
        </w:rPr>
        <w:t> </w:t>
      </w:r>
      <w:r>
        <w:rPr>
          <w:sz w:val="28"/>
          <w:vertAlign w:val="baseline"/>
        </w:rPr>
        <w:t>legal</w:t>
      </w:r>
      <w:r>
        <w:rPr>
          <w:spacing w:val="-9"/>
          <w:sz w:val="28"/>
          <w:vertAlign w:val="baseline"/>
        </w:rPr>
        <w:t> </w:t>
      </w:r>
      <w:r>
        <w:rPr>
          <w:sz w:val="28"/>
          <w:vertAlign w:val="baseline"/>
        </w:rPr>
        <w:t>advice,</w:t>
      </w:r>
      <w:r>
        <w:rPr>
          <w:spacing w:val="-8"/>
          <w:sz w:val="28"/>
          <w:vertAlign w:val="baseline"/>
        </w:rPr>
        <w:t> </w:t>
      </w:r>
      <w:r>
        <w:rPr>
          <w:sz w:val="28"/>
          <w:vertAlign w:val="baseline"/>
        </w:rPr>
        <w:t>that</w:t>
      </w:r>
      <w:r>
        <w:rPr>
          <w:spacing w:val="-8"/>
          <w:sz w:val="28"/>
          <w:vertAlign w:val="baseline"/>
        </w:rPr>
        <w:t> </w:t>
      </w:r>
      <w:r>
        <w:rPr>
          <w:sz w:val="28"/>
          <w:vertAlign w:val="baseline"/>
        </w:rPr>
        <w:t>their</w:t>
      </w:r>
      <w:r>
        <w:rPr>
          <w:spacing w:val="-8"/>
          <w:sz w:val="28"/>
          <w:vertAlign w:val="baseline"/>
        </w:rPr>
        <w:t> </w:t>
      </w:r>
      <w:r>
        <w:rPr>
          <w:sz w:val="28"/>
          <w:vertAlign w:val="baseline"/>
        </w:rPr>
        <w:t>best interests are given primary consideration, and that their views are heard, taken into account and given due weight.</w:t>
      </w:r>
      <w:r>
        <w:rPr>
          <w:sz w:val="28"/>
          <w:vertAlign w:val="superscript"/>
        </w:rPr>
        <w:t>532</w:t>
      </w:r>
    </w:p>
    <w:p>
      <w:pPr>
        <w:pStyle w:val="ListParagraph"/>
        <w:numPr>
          <w:ilvl w:val="1"/>
          <w:numId w:val="7"/>
        </w:numPr>
        <w:tabs>
          <w:tab w:pos="1853" w:val="left" w:leader="none"/>
        </w:tabs>
        <w:spacing w:line="225" w:lineRule="auto" w:before="310" w:after="0"/>
        <w:ind w:left="1853" w:right="1208" w:hanging="720"/>
        <w:jc w:val="left"/>
        <w:rPr>
          <w:sz w:val="28"/>
        </w:rPr>
      </w:pPr>
      <w:r>
        <w:rPr>
          <w:sz w:val="28"/>
        </w:rPr>
        <w:t>In</w:t>
      </w:r>
      <w:r>
        <w:rPr>
          <w:spacing w:val="-7"/>
          <w:sz w:val="28"/>
        </w:rPr>
        <w:t> </w:t>
      </w:r>
      <w:r>
        <w:rPr>
          <w:sz w:val="28"/>
        </w:rPr>
        <w:t>respect</w:t>
      </w:r>
      <w:r>
        <w:rPr>
          <w:spacing w:val="-6"/>
          <w:sz w:val="28"/>
        </w:rPr>
        <w:t> </w:t>
      </w:r>
      <w:r>
        <w:rPr>
          <w:sz w:val="28"/>
        </w:rPr>
        <w:t>of</w:t>
      </w:r>
      <w:r>
        <w:rPr>
          <w:spacing w:val="-7"/>
          <w:sz w:val="28"/>
        </w:rPr>
        <w:t> </w:t>
      </w:r>
      <w:r>
        <w:rPr>
          <w:sz w:val="28"/>
        </w:rPr>
        <w:t>unaccompanied</w:t>
      </w:r>
      <w:r>
        <w:rPr>
          <w:spacing w:val="-7"/>
          <w:sz w:val="28"/>
        </w:rPr>
        <w:t> </w:t>
      </w:r>
      <w:r>
        <w:rPr>
          <w:sz w:val="28"/>
        </w:rPr>
        <w:t>children</w:t>
      </w:r>
      <w:r>
        <w:rPr>
          <w:spacing w:val="-7"/>
          <w:sz w:val="28"/>
        </w:rPr>
        <w:t> </w:t>
      </w:r>
      <w:r>
        <w:rPr>
          <w:sz w:val="28"/>
        </w:rPr>
        <w:t>seeking</w:t>
      </w:r>
      <w:r>
        <w:rPr>
          <w:spacing w:val="-6"/>
          <w:sz w:val="28"/>
        </w:rPr>
        <w:t> </w:t>
      </w:r>
      <w:r>
        <w:rPr>
          <w:sz w:val="28"/>
        </w:rPr>
        <w:t>asylum,</w:t>
      </w:r>
      <w:r>
        <w:rPr>
          <w:spacing w:val="-6"/>
          <w:sz w:val="28"/>
        </w:rPr>
        <w:t> </w:t>
      </w:r>
      <w:r>
        <w:rPr>
          <w:sz w:val="28"/>
        </w:rPr>
        <w:t>the</w:t>
      </w:r>
      <w:r>
        <w:rPr>
          <w:spacing w:val="-6"/>
          <w:sz w:val="28"/>
        </w:rPr>
        <w:t> </w:t>
      </w:r>
      <w:r>
        <w:rPr>
          <w:sz w:val="28"/>
        </w:rPr>
        <w:t>UN</w:t>
      </w:r>
      <w:r>
        <w:rPr>
          <w:spacing w:val="-6"/>
          <w:sz w:val="28"/>
        </w:rPr>
        <w:t> </w:t>
      </w:r>
      <w:r>
        <w:rPr>
          <w:sz w:val="28"/>
        </w:rPr>
        <w:t>CRC</w:t>
      </w:r>
      <w:r>
        <w:rPr>
          <w:spacing w:val="-7"/>
          <w:sz w:val="28"/>
        </w:rPr>
        <w:t> </w:t>
      </w:r>
      <w:r>
        <w:rPr>
          <w:sz w:val="28"/>
        </w:rPr>
        <w:t>Committee recommended that the UK Government ends the use of “unreliable and invasive procedures for determining a child’s age”.</w:t>
      </w:r>
      <w:r>
        <w:rPr>
          <w:sz w:val="28"/>
          <w:vertAlign w:val="superscript"/>
        </w:rPr>
        <w:t>533</w:t>
      </w:r>
      <w:r>
        <w:rPr>
          <w:sz w:val="28"/>
          <w:vertAlign w:val="baseline"/>
        </w:rPr>
        <w:t> The UN CRC Committee also reiterated its recommendation that the UK Government “review its system of family reunification involving unaccompanied children, with a</w:t>
      </w:r>
    </w:p>
    <w:p>
      <w:pPr>
        <w:pStyle w:val="BodyText"/>
        <w:spacing w:line="225" w:lineRule="auto"/>
        <w:ind w:left="1853"/>
      </w:pPr>
      <w:r>
        <w:rPr/>
        <w:t>view</w:t>
      </w:r>
      <w:r>
        <w:rPr>
          <w:spacing w:val="-6"/>
        </w:rPr>
        <w:t> </w:t>
      </w:r>
      <w:r>
        <w:rPr/>
        <w:t>to</w:t>
      </w:r>
      <w:r>
        <w:rPr>
          <w:spacing w:val="-6"/>
        </w:rPr>
        <w:t> </w:t>
      </w:r>
      <w:r>
        <w:rPr/>
        <w:t>ensuring</w:t>
      </w:r>
      <w:r>
        <w:rPr>
          <w:spacing w:val="-6"/>
        </w:rPr>
        <w:t> </w:t>
      </w:r>
      <w:r>
        <w:rPr/>
        <w:t>that</w:t>
      </w:r>
      <w:r>
        <w:rPr>
          <w:spacing w:val="-6"/>
        </w:rPr>
        <w:t> </w:t>
      </w:r>
      <w:r>
        <w:rPr/>
        <w:t>children</w:t>
      </w:r>
      <w:r>
        <w:rPr>
          <w:spacing w:val="-6"/>
        </w:rPr>
        <w:t> </w:t>
      </w:r>
      <w:r>
        <w:rPr/>
        <w:t>have</w:t>
      </w:r>
      <w:r>
        <w:rPr>
          <w:spacing w:val="-6"/>
        </w:rPr>
        <w:t> </w:t>
      </w:r>
      <w:r>
        <w:rPr/>
        <w:t>an</w:t>
      </w:r>
      <w:r>
        <w:rPr>
          <w:spacing w:val="-6"/>
        </w:rPr>
        <w:t> </w:t>
      </w:r>
      <w:r>
        <w:rPr/>
        <w:t>unqualified</w:t>
      </w:r>
      <w:r>
        <w:rPr>
          <w:spacing w:val="-6"/>
        </w:rPr>
        <w:t> </w:t>
      </w:r>
      <w:r>
        <w:rPr/>
        <w:t>right</w:t>
      </w:r>
      <w:r>
        <w:rPr>
          <w:spacing w:val="-6"/>
        </w:rPr>
        <w:t> </w:t>
      </w:r>
      <w:r>
        <w:rPr/>
        <w:t>to</w:t>
      </w:r>
      <w:r>
        <w:rPr>
          <w:spacing w:val="-6"/>
        </w:rPr>
        <w:t> </w:t>
      </w:r>
      <w:r>
        <w:rPr/>
        <w:t>apply</w:t>
      </w:r>
      <w:r>
        <w:rPr>
          <w:spacing w:val="-6"/>
        </w:rPr>
        <w:t> </w:t>
      </w:r>
      <w:r>
        <w:rPr/>
        <w:t>for</w:t>
      </w:r>
      <w:r>
        <w:rPr>
          <w:spacing w:val="-6"/>
        </w:rPr>
        <w:t> </w:t>
      </w:r>
      <w:r>
        <w:rPr/>
        <w:t>family </w:t>
      </w:r>
      <w:r>
        <w:rPr>
          <w:spacing w:val="-2"/>
        </w:rPr>
        <w:t>reunification”.</w:t>
      </w:r>
      <w:r>
        <w:rPr>
          <w:spacing w:val="-2"/>
          <w:vertAlign w:val="superscript"/>
        </w:rPr>
        <w:t>534</w:t>
      </w:r>
    </w:p>
    <w:p>
      <w:pPr>
        <w:pStyle w:val="ListParagraph"/>
        <w:numPr>
          <w:ilvl w:val="1"/>
          <w:numId w:val="7"/>
        </w:numPr>
        <w:tabs>
          <w:tab w:pos="1853" w:val="left" w:leader="none"/>
        </w:tabs>
        <w:spacing w:line="225" w:lineRule="auto" w:before="311" w:after="0"/>
        <w:ind w:left="1853" w:right="1383" w:hanging="720"/>
        <w:jc w:val="left"/>
        <w:rPr>
          <w:sz w:val="28"/>
        </w:rPr>
      </w:pPr>
      <w:r>
        <w:rPr>
          <w:sz w:val="28"/>
        </w:rPr>
        <w:t>In</w:t>
      </w:r>
      <w:r>
        <w:rPr>
          <w:spacing w:val="-6"/>
          <w:sz w:val="28"/>
        </w:rPr>
        <w:t> </w:t>
      </w:r>
      <w:r>
        <w:rPr>
          <w:sz w:val="28"/>
        </w:rPr>
        <w:t>October</w:t>
      </w:r>
      <w:r>
        <w:rPr>
          <w:spacing w:val="-5"/>
          <w:sz w:val="28"/>
        </w:rPr>
        <w:t> </w:t>
      </w:r>
      <w:r>
        <w:rPr>
          <w:sz w:val="28"/>
        </w:rPr>
        <w:t>2023,</w:t>
      </w:r>
      <w:r>
        <w:rPr>
          <w:spacing w:val="-5"/>
          <w:sz w:val="28"/>
        </w:rPr>
        <w:t> </w:t>
      </w:r>
      <w:r>
        <w:rPr>
          <w:sz w:val="28"/>
        </w:rPr>
        <w:t>an</w:t>
      </w:r>
      <w:r>
        <w:rPr>
          <w:spacing w:val="-6"/>
          <w:sz w:val="28"/>
        </w:rPr>
        <w:t> </w:t>
      </w:r>
      <w:r>
        <w:rPr>
          <w:sz w:val="28"/>
        </w:rPr>
        <w:t>asylum</w:t>
      </w:r>
      <w:r>
        <w:rPr>
          <w:spacing w:val="-5"/>
          <w:sz w:val="28"/>
        </w:rPr>
        <w:t> </w:t>
      </w:r>
      <w:r>
        <w:rPr>
          <w:sz w:val="28"/>
        </w:rPr>
        <w:t>seeker</w:t>
      </w:r>
      <w:r>
        <w:rPr>
          <w:spacing w:val="-5"/>
          <w:sz w:val="28"/>
        </w:rPr>
        <w:t> </w:t>
      </w:r>
      <w:r>
        <w:rPr>
          <w:sz w:val="28"/>
        </w:rPr>
        <w:t>challenged</w:t>
      </w:r>
      <w:r>
        <w:rPr>
          <w:spacing w:val="-6"/>
          <w:sz w:val="28"/>
        </w:rPr>
        <w:t> </w:t>
      </w:r>
      <w:r>
        <w:rPr>
          <w:sz w:val="28"/>
        </w:rPr>
        <w:t>the</w:t>
      </w:r>
      <w:r>
        <w:rPr>
          <w:spacing w:val="-5"/>
          <w:sz w:val="28"/>
        </w:rPr>
        <w:t> </w:t>
      </w:r>
      <w:r>
        <w:rPr>
          <w:sz w:val="28"/>
        </w:rPr>
        <w:t>lawfulness</w:t>
      </w:r>
      <w:r>
        <w:rPr>
          <w:spacing w:val="-6"/>
          <w:sz w:val="28"/>
        </w:rPr>
        <w:t> </w:t>
      </w:r>
      <w:r>
        <w:rPr>
          <w:sz w:val="28"/>
        </w:rPr>
        <w:t>of</w:t>
      </w:r>
      <w:r>
        <w:rPr>
          <w:spacing w:val="-6"/>
          <w:sz w:val="28"/>
        </w:rPr>
        <w:t> </w:t>
      </w:r>
      <w:r>
        <w:rPr>
          <w:sz w:val="28"/>
        </w:rPr>
        <w:t>the</w:t>
      </w:r>
      <w:r>
        <w:rPr>
          <w:spacing w:val="-5"/>
          <w:sz w:val="28"/>
        </w:rPr>
        <w:t> </w:t>
      </w:r>
      <w:r>
        <w:rPr>
          <w:sz w:val="28"/>
        </w:rPr>
        <w:t>decision to remove him from NI to Scotland on several grounds including procedural fairness, Article 8 of the ECHR and Windsor Framework Article 2.</w:t>
      </w:r>
      <w:r>
        <w:rPr>
          <w:sz w:val="28"/>
          <w:vertAlign w:val="superscript"/>
        </w:rPr>
        <w:t>535</w:t>
      </w:r>
      <w:r>
        <w:rPr>
          <w:sz w:val="28"/>
          <w:vertAlign w:val="baseline"/>
        </w:rPr>
        <w:t> While the</w:t>
      </w:r>
      <w:r>
        <w:rPr>
          <w:spacing w:val="-5"/>
          <w:sz w:val="28"/>
          <w:vertAlign w:val="baseline"/>
        </w:rPr>
        <w:t> </w:t>
      </w:r>
      <w:r>
        <w:rPr>
          <w:sz w:val="28"/>
          <w:vertAlign w:val="baseline"/>
        </w:rPr>
        <w:t>applicant</w:t>
      </w:r>
      <w:r>
        <w:rPr>
          <w:spacing w:val="-5"/>
          <w:sz w:val="28"/>
          <w:vertAlign w:val="baseline"/>
        </w:rPr>
        <w:t> </w:t>
      </w:r>
      <w:r>
        <w:rPr>
          <w:sz w:val="28"/>
          <w:vertAlign w:val="baseline"/>
        </w:rPr>
        <w:t>was</w:t>
      </w:r>
      <w:r>
        <w:rPr>
          <w:spacing w:val="-5"/>
          <w:sz w:val="28"/>
          <w:vertAlign w:val="baseline"/>
        </w:rPr>
        <w:t> </w:t>
      </w:r>
      <w:r>
        <w:rPr>
          <w:sz w:val="28"/>
          <w:vertAlign w:val="baseline"/>
        </w:rPr>
        <w:t>unsuccessful,</w:t>
      </w:r>
      <w:r>
        <w:rPr>
          <w:spacing w:val="-5"/>
          <w:sz w:val="28"/>
          <w:vertAlign w:val="baseline"/>
        </w:rPr>
        <w:t> </w:t>
      </w:r>
      <w:r>
        <w:rPr>
          <w:sz w:val="28"/>
          <w:vertAlign w:val="baseline"/>
        </w:rPr>
        <w:t>the</w:t>
      </w:r>
      <w:r>
        <w:rPr>
          <w:spacing w:val="-5"/>
          <w:sz w:val="28"/>
          <w:vertAlign w:val="baseline"/>
        </w:rPr>
        <w:t> </w:t>
      </w:r>
      <w:r>
        <w:rPr>
          <w:sz w:val="28"/>
          <w:vertAlign w:val="baseline"/>
        </w:rPr>
        <w:t>NI</w:t>
      </w:r>
      <w:r>
        <w:rPr>
          <w:spacing w:val="-5"/>
          <w:sz w:val="28"/>
          <w:vertAlign w:val="baseline"/>
        </w:rPr>
        <w:t> </w:t>
      </w:r>
      <w:r>
        <w:rPr>
          <w:sz w:val="28"/>
          <w:vertAlign w:val="baseline"/>
        </w:rPr>
        <w:t>High</w:t>
      </w:r>
      <w:r>
        <w:rPr>
          <w:spacing w:val="-5"/>
          <w:sz w:val="28"/>
          <w:vertAlign w:val="baseline"/>
        </w:rPr>
        <w:t> </w:t>
      </w:r>
      <w:r>
        <w:rPr>
          <w:sz w:val="28"/>
          <w:vertAlign w:val="baseline"/>
        </w:rPr>
        <w:t>Court</w:t>
      </w:r>
      <w:r>
        <w:rPr>
          <w:spacing w:val="-5"/>
          <w:sz w:val="28"/>
          <w:vertAlign w:val="baseline"/>
        </w:rPr>
        <w:t> </w:t>
      </w:r>
      <w:r>
        <w:rPr>
          <w:sz w:val="28"/>
          <w:vertAlign w:val="baseline"/>
        </w:rPr>
        <w:t>confirmed</w:t>
      </w:r>
      <w:r>
        <w:rPr>
          <w:spacing w:val="-5"/>
          <w:sz w:val="28"/>
          <w:vertAlign w:val="baseline"/>
        </w:rPr>
        <w:t> </w:t>
      </w:r>
      <w:r>
        <w:rPr>
          <w:sz w:val="28"/>
          <w:vertAlign w:val="baseline"/>
        </w:rPr>
        <w:t>that</w:t>
      </w:r>
      <w:r>
        <w:rPr>
          <w:spacing w:val="-5"/>
          <w:sz w:val="28"/>
          <w:vertAlign w:val="baseline"/>
        </w:rPr>
        <w:t> </w:t>
      </w:r>
      <w:r>
        <w:rPr>
          <w:sz w:val="28"/>
          <w:vertAlign w:val="baseline"/>
        </w:rPr>
        <w:t>Article</w:t>
      </w:r>
      <w:r>
        <w:rPr>
          <w:spacing w:val="-5"/>
          <w:sz w:val="28"/>
          <w:vertAlign w:val="baseline"/>
        </w:rPr>
        <w:t> </w:t>
      </w:r>
      <w:r>
        <w:rPr>
          <w:sz w:val="28"/>
          <w:vertAlign w:val="baseline"/>
        </w:rPr>
        <w:t>7</w:t>
      </w:r>
      <w:r>
        <w:rPr>
          <w:spacing w:val="-5"/>
          <w:sz w:val="28"/>
          <w:vertAlign w:val="baseline"/>
        </w:rPr>
        <w:t> </w:t>
      </w:r>
      <w:r>
        <w:rPr>
          <w:sz w:val="28"/>
          <w:vertAlign w:val="baseline"/>
        </w:rPr>
        <w:t>of the EU Reception Directive is capable of falling within the scope of Windsor</w:t>
      </w:r>
    </w:p>
    <w:p>
      <w:pPr>
        <w:pStyle w:val="BodyText"/>
        <w:spacing w:line="225" w:lineRule="auto"/>
        <w:ind w:left="1853" w:right="1171"/>
      </w:pPr>
      <w:r>
        <w:rPr/>
        <w:t>Framework</w:t>
      </w:r>
      <w:r>
        <w:rPr>
          <w:spacing w:val="-5"/>
        </w:rPr>
        <w:t> </w:t>
      </w:r>
      <w:r>
        <w:rPr/>
        <w:t>Article</w:t>
      </w:r>
      <w:r>
        <w:rPr>
          <w:spacing w:val="-5"/>
        </w:rPr>
        <w:t> </w:t>
      </w:r>
      <w:r>
        <w:rPr/>
        <w:t>2,</w:t>
      </w:r>
      <w:r>
        <w:rPr>
          <w:spacing w:val="-5"/>
        </w:rPr>
        <w:t> </w:t>
      </w:r>
      <w:r>
        <w:rPr/>
        <w:t>insofar</w:t>
      </w:r>
      <w:r>
        <w:rPr>
          <w:spacing w:val="-5"/>
        </w:rPr>
        <w:t> </w:t>
      </w:r>
      <w:r>
        <w:rPr/>
        <w:t>as</w:t>
      </w:r>
      <w:r>
        <w:rPr>
          <w:spacing w:val="-6"/>
        </w:rPr>
        <w:t> </w:t>
      </w:r>
      <w:r>
        <w:rPr/>
        <w:t>it</w:t>
      </w:r>
      <w:r>
        <w:rPr>
          <w:spacing w:val="-5"/>
        </w:rPr>
        <w:t> </w:t>
      </w:r>
      <w:r>
        <w:rPr/>
        <w:t>seeks</w:t>
      </w:r>
      <w:r>
        <w:rPr>
          <w:spacing w:val="-6"/>
        </w:rPr>
        <w:t> </w:t>
      </w:r>
      <w:r>
        <w:rPr/>
        <w:t>to</w:t>
      </w:r>
      <w:r>
        <w:rPr>
          <w:spacing w:val="-6"/>
        </w:rPr>
        <w:t> </w:t>
      </w:r>
      <w:r>
        <w:rPr/>
        <w:t>protect</w:t>
      </w:r>
      <w:r>
        <w:rPr>
          <w:spacing w:val="-5"/>
        </w:rPr>
        <w:t> </w:t>
      </w:r>
      <w:r>
        <w:rPr/>
        <w:t>the</w:t>
      </w:r>
      <w:r>
        <w:rPr>
          <w:spacing w:val="-5"/>
        </w:rPr>
        <w:t> </w:t>
      </w:r>
      <w:r>
        <w:rPr/>
        <w:t>human</w:t>
      </w:r>
      <w:r>
        <w:rPr>
          <w:spacing w:val="-6"/>
        </w:rPr>
        <w:t> </w:t>
      </w:r>
      <w:r>
        <w:rPr/>
        <w:t>rights</w:t>
      </w:r>
      <w:r>
        <w:rPr>
          <w:spacing w:val="-6"/>
        </w:rPr>
        <w:t> </w:t>
      </w:r>
      <w:r>
        <w:rPr/>
        <w:t>of</w:t>
      </w:r>
      <w:r>
        <w:rPr>
          <w:spacing w:val="-6"/>
        </w:rPr>
        <w:t> </w:t>
      </w:r>
      <w:r>
        <w:rPr/>
        <w:t>asylum seekers, which is consistent with the Commissions’ intervention.</w:t>
      </w:r>
      <w:r>
        <w:rPr>
          <w:vertAlign w:val="superscript"/>
        </w:rPr>
        <w:t>536</w:t>
      </w:r>
    </w:p>
    <w:p>
      <w:pPr>
        <w:pStyle w:val="ListParagraph"/>
        <w:numPr>
          <w:ilvl w:val="1"/>
          <w:numId w:val="7"/>
        </w:numPr>
        <w:tabs>
          <w:tab w:pos="1853" w:val="left" w:leader="none"/>
        </w:tabs>
        <w:spacing w:line="225" w:lineRule="auto" w:before="311" w:after="0"/>
        <w:ind w:left="1853" w:right="1273" w:hanging="720"/>
        <w:jc w:val="left"/>
        <w:rPr>
          <w:sz w:val="28"/>
        </w:rPr>
      </w:pPr>
      <w:r>
        <w:rPr>
          <w:sz w:val="28"/>
        </w:rPr>
        <w:t>In</w:t>
      </w:r>
      <w:r>
        <w:rPr>
          <w:spacing w:val="-7"/>
          <w:sz w:val="28"/>
        </w:rPr>
        <w:t> </w:t>
      </w:r>
      <w:r>
        <w:rPr>
          <w:sz w:val="28"/>
        </w:rPr>
        <w:t>November</w:t>
      </w:r>
      <w:r>
        <w:rPr>
          <w:spacing w:val="-6"/>
          <w:sz w:val="28"/>
        </w:rPr>
        <w:t> </w:t>
      </w:r>
      <w:r>
        <w:rPr>
          <w:sz w:val="28"/>
        </w:rPr>
        <w:t>2023,</w:t>
      </w:r>
      <w:r>
        <w:rPr>
          <w:spacing w:val="-6"/>
          <w:sz w:val="28"/>
        </w:rPr>
        <w:t> </w:t>
      </w:r>
      <w:r>
        <w:rPr>
          <w:sz w:val="28"/>
        </w:rPr>
        <w:t>the</w:t>
      </w:r>
      <w:r>
        <w:rPr>
          <w:spacing w:val="-6"/>
          <w:sz w:val="28"/>
        </w:rPr>
        <w:t> </w:t>
      </w:r>
      <w:r>
        <w:rPr>
          <w:sz w:val="28"/>
        </w:rPr>
        <w:t>NIHRC</w:t>
      </w:r>
      <w:r>
        <w:rPr>
          <w:spacing w:val="-7"/>
          <w:sz w:val="28"/>
        </w:rPr>
        <w:t> </w:t>
      </w:r>
      <w:r>
        <w:rPr>
          <w:sz w:val="28"/>
        </w:rPr>
        <w:t>published</w:t>
      </w:r>
      <w:r>
        <w:rPr>
          <w:spacing w:val="-7"/>
          <w:sz w:val="28"/>
        </w:rPr>
        <w:t> </w:t>
      </w:r>
      <w:r>
        <w:rPr>
          <w:sz w:val="28"/>
        </w:rPr>
        <w:t>research</w:t>
      </w:r>
      <w:r>
        <w:rPr>
          <w:spacing w:val="-7"/>
          <w:sz w:val="28"/>
        </w:rPr>
        <w:t> </w:t>
      </w:r>
      <w:r>
        <w:rPr>
          <w:sz w:val="28"/>
        </w:rPr>
        <w:t>which</w:t>
      </w:r>
      <w:r>
        <w:rPr>
          <w:spacing w:val="-7"/>
          <w:sz w:val="28"/>
        </w:rPr>
        <w:t> </w:t>
      </w:r>
      <w:r>
        <w:rPr>
          <w:sz w:val="28"/>
        </w:rPr>
        <w:t>examined</w:t>
      </w:r>
      <w:r>
        <w:rPr>
          <w:spacing w:val="-7"/>
          <w:sz w:val="28"/>
        </w:rPr>
        <w:t> </w:t>
      </w:r>
      <w:r>
        <w:rPr>
          <w:sz w:val="28"/>
        </w:rPr>
        <w:t>the</w:t>
      </w:r>
      <w:r>
        <w:rPr>
          <w:spacing w:val="-6"/>
          <w:sz w:val="28"/>
        </w:rPr>
        <w:t> </w:t>
      </w:r>
      <w:r>
        <w:rPr>
          <w:sz w:val="28"/>
        </w:rPr>
        <w:t>extent to which EU minimum standards for refugees and asylum seekers fall within the scope of Windsor Framework Article 2. The research also looked at a range of developments, including the Nationality and Borders Act 2022 and the</w:t>
      </w:r>
      <w:r>
        <w:rPr>
          <w:spacing w:val="-8"/>
          <w:sz w:val="28"/>
        </w:rPr>
        <w:t> </w:t>
      </w:r>
      <w:r>
        <w:rPr>
          <w:sz w:val="28"/>
        </w:rPr>
        <w:t>Illegal</w:t>
      </w:r>
      <w:r>
        <w:rPr>
          <w:spacing w:val="-9"/>
          <w:sz w:val="28"/>
        </w:rPr>
        <w:t> </w:t>
      </w:r>
      <w:r>
        <w:rPr>
          <w:sz w:val="28"/>
        </w:rPr>
        <w:t>Migration</w:t>
      </w:r>
      <w:r>
        <w:rPr>
          <w:spacing w:val="-9"/>
          <w:sz w:val="28"/>
        </w:rPr>
        <w:t> </w:t>
      </w:r>
      <w:r>
        <w:rPr>
          <w:sz w:val="28"/>
        </w:rPr>
        <w:t>Act</w:t>
      </w:r>
      <w:r>
        <w:rPr>
          <w:spacing w:val="-8"/>
          <w:sz w:val="28"/>
        </w:rPr>
        <w:t> </w:t>
      </w:r>
      <w:r>
        <w:rPr>
          <w:sz w:val="28"/>
        </w:rPr>
        <w:t>2023,</w:t>
      </w:r>
      <w:r>
        <w:rPr>
          <w:spacing w:val="-8"/>
          <w:sz w:val="28"/>
        </w:rPr>
        <w:t> </w:t>
      </w:r>
      <w:r>
        <w:rPr>
          <w:sz w:val="28"/>
        </w:rPr>
        <w:t>to</w:t>
      </w:r>
      <w:r>
        <w:rPr>
          <w:spacing w:val="-9"/>
          <w:sz w:val="28"/>
        </w:rPr>
        <w:t> </w:t>
      </w:r>
      <w:r>
        <w:rPr>
          <w:sz w:val="28"/>
        </w:rPr>
        <w:t>illustrate</w:t>
      </w:r>
      <w:r>
        <w:rPr>
          <w:spacing w:val="-8"/>
          <w:sz w:val="28"/>
        </w:rPr>
        <w:t> </w:t>
      </w:r>
      <w:r>
        <w:rPr>
          <w:sz w:val="28"/>
        </w:rPr>
        <w:t>the</w:t>
      </w:r>
      <w:r>
        <w:rPr>
          <w:spacing w:val="-8"/>
          <w:sz w:val="28"/>
        </w:rPr>
        <w:t> </w:t>
      </w:r>
      <w:r>
        <w:rPr>
          <w:sz w:val="28"/>
        </w:rPr>
        <w:t>factors</w:t>
      </w:r>
      <w:r>
        <w:rPr>
          <w:spacing w:val="-9"/>
          <w:sz w:val="28"/>
        </w:rPr>
        <w:t> </w:t>
      </w:r>
      <w:r>
        <w:rPr>
          <w:sz w:val="28"/>
        </w:rPr>
        <w:t>that</w:t>
      </w:r>
      <w:r>
        <w:rPr>
          <w:spacing w:val="-8"/>
          <w:sz w:val="28"/>
        </w:rPr>
        <w:t> </w:t>
      </w:r>
      <w:r>
        <w:rPr>
          <w:sz w:val="28"/>
        </w:rPr>
        <w:t>must</w:t>
      </w:r>
      <w:r>
        <w:rPr>
          <w:spacing w:val="-8"/>
          <w:sz w:val="28"/>
        </w:rPr>
        <w:t> </w:t>
      </w:r>
      <w:r>
        <w:rPr>
          <w:sz w:val="28"/>
        </w:rPr>
        <w:t>be</w:t>
      </w:r>
      <w:r>
        <w:rPr>
          <w:spacing w:val="-8"/>
          <w:sz w:val="28"/>
        </w:rPr>
        <w:t> </w:t>
      </w:r>
      <w:r>
        <w:rPr>
          <w:sz w:val="28"/>
        </w:rPr>
        <w:t>taken</w:t>
      </w:r>
      <w:r>
        <w:rPr>
          <w:spacing w:val="-9"/>
          <w:sz w:val="28"/>
        </w:rPr>
        <w:t> </w:t>
      </w:r>
      <w:r>
        <w:rPr>
          <w:sz w:val="28"/>
        </w:rPr>
        <w:t>into</w:t>
      </w:r>
    </w:p>
    <w:p>
      <w:pPr>
        <w:pStyle w:val="BodyText"/>
        <w:rPr>
          <w:sz w:val="10"/>
        </w:rPr>
      </w:pPr>
      <w:r>
        <w:rPr/>
        <mc:AlternateContent>
          <mc:Choice Requires="wps">
            <w:drawing>
              <wp:anchor distT="0" distB="0" distL="0" distR="0" allowOverlap="1" layoutInCell="1" locked="0" behindDoc="1" simplePos="0" relativeHeight="487684096">
                <wp:simplePos x="0" y="0"/>
                <wp:positionH relativeFrom="page">
                  <wp:posOffset>719996</wp:posOffset>
                </wp:positionH>
                <wp:positionV relativeFrom="paragraph">
                  <wp:posOffset>92772</wp:posOffset>
                </wp:positionV>
                <wp:extent cx="6120130" cy="1270"/>
                <wp:effectExtent l="0" t="0" r="0" b="0"/>
                <wp:wrapTopAndBottom/>
                <wp:docPr id="420" name="Graphic 420"/>
                <wp:cNvGraphicFramePr>
                  <a:graphicFrameLocks/>
                </wp:cNvGraphicFramePr>
                <a:graphic>
                  <a:graphicData uri="http://schemas.microsoft.com/office/word/2010/wordprocessingShape">
                    <wps:wsp>
                      <wps:cNvPr id="420" name="Graphic 42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7.304956pt;width:481.9pt;height:.1pt;mso-position-horizontal-relative:page;mso-position-vertical-relative:paragraph;z-index:-15632384;mso-wrap-distance-left:0;mso-wrap-distance-right:0" id="docshape369" coordorigin="1134,146" coordsize="9638,0" path="m10772,146l1134,146e" filled="false" stroked="true" strokeweight="1pt" strokecolor="#393b80">
                <v:path arrowok="t"/>
                <v:stroke dashstyle="solid"/>
                <w10:wrap type="topAndBottom"/>
              </v:shape>
            </w:pict>
          </mc:Fallback>
        </mc:AlternateContent>
      </w:r>
    </w:p>
    <w:p>
      <w:pPr>
        <w:pStyle w:val="ListParagraph"/>
        <w:numPr>
          <w:ilvl w:val="0"/>
          <w:numId w:val="10"/>
        </w:numPr>
        <w:tabs>
          <w:tab w:pos="1853" w:val="left" w:leader="none"/>
        </w:tabs>
        <w:spacing w:line="235" w:lineRule="auto" w:before="135" w:after="0"/>
        <w:ind w:left="1853" w:right="1506" w:hanging="720"/>
        <w:jc w:val="left"/>
        <w:rPr>
          <w:sz w:val="18"/>
        </w:rPr>
      </w:pP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‘Policy</w:t>
      </w:r>
      <w:r>
        <w:rPr>
          <w:spacing w:val="-4"/>
          <w:sz w:val="18"/>
        </w:rPr>
        <w:t> </w:t>
      </w:r>
      <w:r>
        <w:rPr>
          <w:sz w:val="18"/>
        </w:rPr>
        <w:t>Recommendations: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Minority</w:t>
      </w:r>
      <w:r>
        <w:rPr>
          <w:spacing w:val="-4"/>
          <w:sz w:val="18"/>
        </w:rPr>
        <w:t> </w:t>
      </w:r>
      <w:r>
        <w:rPr>
          <w:sz w:val="18"/>
        </w:rPr>
        <w:t>Ethnic</w:t>
      </w:r>
      <w:r>
        <w:rPr>
          <w:spacing w:val="-4"/>
          <w:sz w:val="18"/>
        </w:rPr>
        <w:t> </w:t>
      </w:r>
      <w:r>
        <w:rPr>
          <w:sz w:val="18"/>
        </w:rPr>
        <w:t>and</w:t>
      </w:r>
      <w:r>
        <w:rPr>
          <w:spacing w:val="-5"/>
          <w:sz w:val="18"/>
        </w:rPr>
        <w:t> </w:t>
      </w:r>
      <w:r>
        <w:rPr>
          <w:sz w:val="18"/>
        </w:rPr>
        <w:t>Migrant</w:t>
      </w:r>
      <w:r>
        <w:rPr>
          <w:spacing w:val="-4"/>
          <w:sz w:val="18"/>
        </w:rPr>
        <w:t> </w:t>
      </w:r>
      <w:r>
        <w:rPr>
          <w:sz w:val="18"/>
        </w:rPr>
        <w:t>People</w:t>
      </w:r>
      <w:r>
        <w:rPr>
          <w:spacing w:val="-4"/>
          <w:sz w:val="18"/>
        </w:rPr>
        <w:t> </w:t>
      </w:r>
      <w:r>
        <w:rPr>
          <w:sz w:val="18"/>
        </w:rPr>
        <w:t>in Northern Ireland’ (ECNI, 2024).</w:t>
      </w:r>
    </w:p>
    <w:p>
      <w:pPr>
        <w:pStyle w:val="ListParagraph"/>
        <w:numPr>
          <w:ilvl w:val="0"/>
          <w:numId w:val="10"/>
        </w:numPr>
        <w:tabs>
          <w:tab w:pos="1853" w:val="left" w:leader="none"/>
        </w:tabs>
        <w:spacing w:line="216" w:lineRule="exact" w:before="0" w:after="0"/>
        <w:ind w:left="1853" w:right="0" w:hanging="720"/>
        <w:jc w:val="left"/>
        <w:rPr>
          <w:sz w:val="18"/>
        </w:rPr>
      </w:pPr>
      <w:r>
        <w:rPr>
          <w:spacing w:val="-4"/>
          <w:sz w:val="18"/>
        </w:rPr>
        <w:t>Ibid.</w:t>
      </w:r>
    </w:p>
    <w:p>
      <w:pPr>
        <w:pStyle w:val="ListParagraph"/>
        <w:numPr>
          <w:ilvl w:val="0"/>
          <w:numId w:val="10"/>
        </w:numPr>
        <w:tabs>
          <w:tab w:pos="1853" w:val="left" w:leader="none"/>
        </w:tabs>
        <w:spacing w:line="235" w:lineRule="auto" w:before="2" w:after="0"/>
        <w:ind w:left="1853" w:right="1215" w:hanging="720"/>
        <w:jc w:val="left"/>
        <w:rPr>
          <w:sz w:val="18"/>
        </w:rPr>
      </w:pPr>
      <w:r>
        <w:rPr>
          <w:sz w:val="18"/>
        </w:rPr>
        <w:t>CRC/C/GBR/CO/6-7,</w:t>
      </w:r>
      <w:r>
        <w:rPr>
          <w:spacing w:val="-4"/>
          <w:sz w:val="18"/>
        </w:rPr>
        <w:t> </w:t>
      </w:r>
      <w:r>
        <w:rPr>
          <w:sz w:val="18"/>
        </w:rPr>
        <w:t>‘UN</w:t>
      </w:r>
      <w:r>
        <w:rPr>
          <w:spacing w:val="-4"/>
          <w:sz w:val="18"/>
        </w:rPr>
        <w:t> </w:t>
      </w:r>
      <w:r>
        <w:rPr>
          <w:sz w:val="18"/>
        </w:rPr>
        <w:t>CRC</w:t>
      </w:r>
      <w:r>
        <w:rPr>
          <w:spacing w:val="-5"/>
          <w:sz w:val="18"/>
        </w:rPr>
        <w:t> </w:t>
      </w:r>
      <w:r>
        <w:rPr>
          <w:sz w:val="18"/>
        </w:rPr>
        <w:t>Committee</w:t>
      </w:r>
      <w:r>
        <w:rPr>
          <w:spacing w:val="-4"/>
          <w:sz w:val="18"/>
        </w:rPr>
        <w:t> </w:t>
      </w:r>
      <w:r>
        <w:rPr>
          <w:sz w:val="18"/>
        </w:rPr>
        <w:t>Concluding</w:t>
      </w:r>
      <w:r>
        <w:rPr>
          <w:spacing w:val="-4"/>
          <w:sz w:val="18"/>
        </w:rPr>
        <w:t> </w:t>
      </w:r>
      <w:r>
        <w:rPr>
          <w:sz w:val="18"/>
        </w:rPr>
        <w:t>Observations</w:t>
      </w:r>
      <w:r>
        <w:rPr>
          <w:spacing w:val="-5"/>
          <w:sz w:val="18"/>
        </w:rPr>
        <w:t> </w:t>
      </w:r>
      <w:r>
        <w:rPr>
          <w:sz w:val="18"/>
        </w:rPr>
        <w:t>on</w:t>
      </w:r>
      <w:r>
        <w:rPr>
          <w:spacing w:val="-5"/>
          <w:sz w:val="18"/>
        </w:rPr>
        <w:t> </w:t>
      </w:r>
      <w:r>
        <w:rPr>
          <w:sz w:val="18"/>
        </w:rPr>
        <w:t>the</w:t>
      </w:r>
      <w:r>
        <w:rPr>
          <w:spacing w:val="-4"/>
          <w:sz w:val="18"/>
        </w:rPr>
        <w:t> </w:t>
      </w:r>
      <w:r>
        <w:rPr>
          <w:sz w:val="18"/>
        </w:rPr>
        <w:t>Sixth</w:t>
      </w:r>
      <w:r>
        <w:rPr>
          <w:spacing w:val="-5"/>
          <w:sz w:val="18"/>
        </w:rPr>
        <w:t> </w:t>
      </w:r>
      <w:r>
        <w:rPr>
          <w:sz w:val="18"/>
        </w:rPr>
        <w:t>and</w:t>
      </w:r>
      <w:r>
        <w:rPr>
          <w:spacing w:val="-5"/>
          <w:sz w:val="18"/>
        </w:rPr>
        <w:t> </w:t>
      </w:r>
      <w:r>
        <w:rPr>
          <w:sz w:val="18"/>
        </w:rPr>
        <w:t>Seventh</w:t>
      </w:r>
      <w:r>
        <w:rPr>
          <w:spacing w:val="-5"/>
          <w:sz w:val="18"/>
        </w:rPr>
        <w:t> </w:t>
      </w:r>
      <w:r>
        <w:rPr>
          <w:sz w:val="18"/>
        </w:rPr>
        <w:t>Periodic</w:t>
      </w:r>
      <w:r>
        <w:rPr>
          <w:spacing w:val="-4"/>
          <w:sz w:val="18"/>
        </w:rPr>
        <w:t> </w:t>
      </w:r>
      <w:r>
        <w:rPr>
          <w:sz w:val="18"/>
        </w:rPr>
        <w:t>Reports</w:t>
      </w:r>
      <w:r>
        <w:rPr>
          <w:spacing w:val="-5"/>
          <w:sz w:val="18"/>
        </w:rPr>
        <w:t> </w:t>
      </w:r>
      <w:r>
        <w:rPr>
          <w:sz w:val="18"/>
        </w:rPr>
        <w:t>of</w:t>
      </w:r>
      <w:r>
        <w:rPr>
          <w:spacing w:val="-5"/>
          <w:sz w:val="18"/>
        </w:rPr>
        <w:t> </w:t>
      </w:r>
      <w:r>
        <w:rPr>
          <w:sz w:val="18"/>
        </w:rPr>
        <w:t>the</w:t>
      </w:r>
      <w:r>
        <w:rPr>
          <w:spacing w:val="-4"/>
          <w:sz w:val="18"/>
        </w:rPr>
        <w:t> </w:t>
      </w:r>
      <w:r>
        <w:rPr>
          <w:sz w:val="18"/>
        </w:rPr>
        <w:t>UK</w:t>
      </w:r>
      <w:r>
        <w:rPr>
          <w:spacing w:val="-4"/>
          <w:sz w:val="18"/>
        </w:rPr>
        <w:t> </w:t>
      </w:r>
      <w:r>
        <w:rPr>
          <w:sz w:val="18"/>
        </w:rPr>
        <w:t>of Great Britain and NI’, 2 June 2023, at para 50(B).</w:t>
      </w:r>
    </w:p>
    <w:p>
      <w:pPr>
        <w:pStyle w:val="ListParagraph"/>
        <w:numPr>
          <w:ilvl w:val="0"/>
          <w:numId w:val="10"/>
        </w:numPr>
        <w:tabs>
          <w:tab w:pos="1853" w:val="left" w:leader="none"/>
        </w:tabs>
        <w:spacing w:line="216" w:lineRule="exact" w:before="0" w:after="0"/>
        <w:ind w:left="1853" w:right="0" w:hanging="720"/>
        <w:jc w:val="left"/>
        <w:rPr>
          <w:sz w:val="18"/>
        </w:rPr>
      </w:pPr>
      <w:r>
        <w:rPr>
          <w:sz w:val="18"/>
        </w:rPr>
        <w:t>Ibid,</w:t>
      </w:r>
      <w:r>
        <w:rPr>
          <w:spacing w:val="-4"/>
          <w:sz w:val="18"/>
        </w:rPr>
        <w:t> </w:t>
      </w:r>
      <w:r>
        <w:rPr>
          <w:sz w:val="18"/>
        </w:rPr>
        <w:t>at</w:t>
      </w:r>
      <w:r>
        <w:rPr>
          <w:spacing w:val="-3"/>
          <w:sz w:val="18"/>
        </w:rPr>
        <w:t> </w:t>
      </w:r>
      <w:r>
        <w:rPr>
          <w:sz w:val="18"/>
        </w:rPr>
        <w:t>para</w:t>
      </w:r>
      <w:r>
        <w:rPr>
          <w:spacing w:val="-3"/>
          <w:sz w:val="18"/>
        </w:rPr>
        <w:t> </w:t>
      </w:r>
      <w:r>
        <w:rPr>
          <w:spacing w:val="-2"/>
          <w:sz w:val="18"/>
        </w:rPr>
        <w:t>50(c).</w:t>
      </w:r>
    </w:p>
    <w:p>
      <w:pPr>
        <w:pStyle w:val="ListParagraph"/>
        <w:numPr>
          <w:ilvl w:val="0"/>
          <w:numId w:val="10"/>
        </w:numPr>
        <w:tabs>
          <w:tab w:pos="1853" w:val="left" w:leader="none"/>
        </w:tabs>
        <w:spacing w:line="216" w:lineRule="exact" w:before="0" w:after="0"/>
        <w:ind w:left="1853" w:right="0" w:hanging="720"/>
        <w:jc w:val="left"/>
        <w:rPr>
          <w:sz w:val="18"/>
        </w:rPr>
      </w:pPr>
      <w:r>
        <w:rPr>
          <w:sz w:val="18"/>
        </w:rPr>
        <w:t>Ibid,</w:t>
      </w:r>
      <w:r>
        <w:rPr>
          <w:spacing w:val="-4"/>
          <w:sz w:val="18"/>
        </w:rPr>
        <w:t> </w:t>
      </w:r>
      <w:r>
        <w:rPr>
          <w:sz w:val="18"/>
        </w:rPr>
        <w:t>at</w:t>
      </w:r>
      <w:r>
        <w:rPr>
          <w:spacing w:val="-3"/>
          <w:sz w:val="18"/>
        </w:rPr>
        <w:t> </w:t>
      </w:r>
      <w:r>
        <w:rPr>
          <w:sz w:val="18"/>
        </w:rPr>
        <w:t>para</w:t>
      </w:r>
      <w:r>
        <w:rPr>
          <w:spacing w:val="-3"/>
          <w:sz w:val="18"/>
        </w:rPr>
        <w:t> </w:t>
      </w:r>
      <w:r>
        <w:rPr>
          <w:spacing w:val="-2"/>
          <w:sz w:val="18"/>
        </w:rPr>
        <w:t>50(e).</w:t>
      </w:r>
    </w:p>
    <w:p>
      <w:pPr>
        <w:pStyle w:val="ListParagraph"/>
        <w:numPr>
          <w:ilvl w:val="0"/>
          <w:numId w:val="10"/>
        </w:numPr>
        <w:tabs>
          <w:tab w:pos="1853" w:val="left" w:leader="none"/>
        </w:tabs>
        <w:spacing w:line="216" w:lineRule="exact" w:before="0" w:after="0"/>
        <w:ind w:left="1853" w:right="0" w:hanging="720"/>
        <w:jc w:val="left"/>
        <w:rPr>
          <w:sz w:val="18"/>
        </w:rPr>
      </w:pPr>
      <w:r>
        <w:rPr>
          <w:sz w:val="18"/>
        </w:rPr>
        <w:t>Ibid,</w:t>
      </w:r>
      <w:r>
        <w:rPr>
          <w:spacing w:val="-4"/>
          <w:sz w:val="18"/>
        </w:rPr>
        <w:t> </w:t>
      </w:r>
      <w:r>
        <w:rPr>
          <w:sz w:val="18"/>
        </w:rPr>
        <w:t>at</w:t>
      </w:r>
      <w:r>
        <w:rPr>
          <w:spacing w:val="-3"/>
          <w:sz w:val="18"/>
        </w:rPr>
        <w:t> </w:t>
      </w:r>
      <w:r>
        <w:rPr>
          <w:sz w:val="18"/>
        </w:rPr>
        <w:t>para</w:t>
      </w:r>
      <w:r>
        <w:rPr>
          <w:spacing w:val="-3"/>
          <w:sz w:val="18"/>
        </w:rPr>
        <w:t> </w:t>
      </w:r>
      <w:r>
        <w:rPr>
          <w:spacing w:val="-2"/>
          <w:sz w:val="18"/>
        </w:rPr>
        <w:t>50(h).</w:t>
      </w:r>
    </w:p>
    <w:p>
      <w:pPr>
        <w:pStyle w:val="ListParagraph"/>
        <w:numPr>
          <w:ilvl w:val="0"/>
          <w:numId w:val="10"/>
        </w:numPr>
        <w:tabs>
          <w:tab w:pos="1853" w:val="left" w:leader="none"/>
        </w:tabs>
        <w:spacing w:line="216" w:lineRule="exact" w:before="0" w:after="0"/>
        <w:ind w:left="1853" w:right="0" w:hanging="720"/>
        <w:jc w:val="left"/>
        <w:rPr>
          <w:sz w:val="18"/>
        </w:rPr>
      </w:pPr>
      <w:r>
        <w:rPr>
          <w:i/>
          <w:sz w:val="18"/>
        </w:rPr>
        <w:t>In</w:t>
      </w:r>
      <w:r>
        <w:rPr>
          <w:i/>
          <w:spacing w:val="-5"/>
          <w:sz w:val="18"/>
        </w:rPr>
        <w:t> </w:t>
      </w:r>
      <w:r>
        <w:rPr>
          <w:i/>
          <w:sz w:val="18"/>
        </w:rPr>
        <w:t>the</w:t>
      </w:r>
      <w:r>
        <w:rPr>
          <w:i/>
          <w:spacing w:val="-3"/>
          <w:sz w:val="18"/>
        </w:rPr>
        <w:t> </w:t>
      </w:r>
      <w:r>
        <w:rPr>
          <w:i/>
          <w:sz w:val="18"/>
        </w:rPr>
        <w:t>Matter</w:t>
      </w:r>
      <w:r>
        <w:rPr>
          <w:i/>
          <w:spacing w:val="-3"/>
          <w:sz w:val="18"/>
        </w:rPr>
        <w:t> </w:t>
      </w:r>
      <w:r>
        <w:rPr>
          <w:i/>
          <w:sz w:val="18"/>
        </w:rPr>
        <w:t>of</w:t>
      </w:r>
      <w:r>
        <w:rPr>
          <w:i/>
          <w:spacing w:val="-4"/>
          <w:sz w:val="18"/>
        </w:rPr>
        <w:t> </w:t>
      </w:r>
      <w:r>
        <w:rPr>
          <w:i/>
          <w:sz w:val="18"/>
        </w:rPr>
        <w:t>an</w:t>
      </w:r>
      <w:r>
        <w:rPr>
          <w:i/>
          <w:spacing w:val="-4"/>
          <w:sz w:val="18"/>
        </w:rPr>
        <w:t> </w:t>
      </w:r>
      <w:r>
        <w:rPr>
          <w:i/>
          <w:sz w:val="18"/>
        </w:rPr>
        <w:t>Application</w:t>
      </w:r>
      <w:r>
        <w:rPr>
          <w:i/>
          <w:spacing w:val="-4"/>
          <w:sz w:val="18"/>
        </w:rPr>
        <w:t> </w:t>
      </w:r>
      <w:r>
        <w:rPr>
          <w:i/>
          <w:sz w:val="18"/>
        </w:rPr>
        <w:t>by</w:t>
      </w:r>
      <w:r>
        <w:rPr>
          <w:i/>
          <w:spacing w:val="-4"/>
          <w:sz w:val="18"/>
        </w:rPr>
        <w:t> </w:t>
      </w:r>
      <w:r>
        <w:rPr>
          <w:i/>
          <w:sz w:val="18"/>
        </w:rPr>
        <w:t>Aman</w:t>
      </w:r>
      <w:r>
        <w:rPr>
          <w:i/>
          <w:spacing w:val="-5"/>
          <w:sz w:val="18"/>
        </w:rPr>
        <w:t> </w:t>
      </w:r>
      <w:r>
        <w:rPr>
          <w:i/>
          <w:sz w:val="18"/>
        </w:rPr>
        <w:t>Angesom</w:t>
      </w:r>
      <w:r>
        <w:rPr>
          <w:i/>
          <w:spacing w:val="-4"/>
          <w:sz w:val="18"/>
        </w:rPr>
        <w:t> </w:t>
      </w:r>
      <w:r>
        <w:rPr>
          <w:i/>
          <w:sz w:val="18"/>
        </w:rPr>
        <w:t>for</w:t>
      </w:r>
      <w:r>
        <w:rPr>
          <w:i/>
          <w:spacing w:val="-3"/>
          <w:sz w:val="18"/>
        </w:rPr>
        <w:t> </w:t>
      </w:r>
      <w:r>
        <w:rPr>
          <w:i/>
          <w:sz w:val="18"/>
        </w:rPr>
        <w:t>Judicial</w:t>
      </w:r>
      <w:r>
        <w:rPr>
          <w:i/>
          <w:spacing w:val="-4"/>
          <w:sz w:val="18"/>
        </w:rPr>
        <w:t> </w:t>
      </w:r>
      <w:r>
        <w:rPr>
          <w:i/>
          <w:sz w:val="18"/>
        </w:rPr>
        <w:t>Review</w:t>
      </w:r>
      <w:r>
        <w:rPr>
          <w:i/>
          <w:spacing w:val="-3"/>
          <w:sz w:val="18"/>
        </w:rPr>
        <w:t> </w:t>
      </w:r>
      <w:r>
        <w:rPr>
          <w:sz w:val="18"/>
        </w:rPr>
        <w:t>[2023]</w:t>
      </w:r>
      <w:r>
        <w:rPr>
          <w:spacing w:val="-3"/>
          <w:sz w:val="18"/>
        </w:rPr>
        <w:t> </w:t>
      </w:r>
      <w:r>
        <w:rPr>
          <w:sz w:val="18"/>
        </w:rPr>
        <w:t>NIKB</w:t>
      </w:r>
      <w:r>
        <w:rPr>
          <w:spacing w:val="-4"/>
          <w:sz w:val="18"/>
        </w:rPr>
        <w:t> 102.</w:t>
      </w:r>
    </w:p>
    <w:p>
      <w:pPr>
        <w:pStyle w:val="ListParagraph"/>
        <w:numPr>
          <w:ilvl w:val="0"/>
          <w:numId w:val="10"/>
        </w:numPr>
        <w:tabs>
          <w:tab w:pos="1853" w:val="left" w:leader="none"/>
        </w:tabs>
        <w:spacing w:line="218"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para</w:t>
      </w:r>
      <w:r>
        <w:rPr>
          <w:spacing w:val="-2"/>
          <w:sz w:val="18"/>
        </w:rPr>
        <w:t> </w:t>
      </w:r>
      <w:r>
        <w:rPr>
          <w:spacing w:val="-4"/>
          <w:sz w:val="18"/>
        </w:rPr>
        <w:t>115.</w:t>
      </w:r>
    </w:p>
    <w:p>
      <w:pPr>
        <w:spacing w:after="0" w:line="218" w:lineRule="exact"/>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301"/>
      </w:pPr>
      <w:r>
        <w:rPr/>
        <w:t>consideration</w:t>
      </w:r>
      <w:r>
        <w:rPr>
          <w:spacing w:val="-7"/>
        </w:rPr>
        <w:t> </w:t>
      </w:r>
      <w:r>
        <w:rPr/>
        <w:t>when</w:t>
      </w:r>
      <w:r>
        <w:rPr>
          <w:spacing w:val="-7"/>
        </w:rPr>
        <w:t> </w:t>
      </w:r>
      <w:r>
        <w:rPr/>
        <w:t>determining</w:t>
      </w:r>
      <w:r>
        <w:rPr>
          <w:spacing w:val="-6"/>
        </w:rPr>
        <w:t> </w:t>
      </w:r>
      <w:r>
        <w:rPr/>
        <w:t>whether</w:t>
      </w:r>
      <w:r>
        <w:rPr>
          <w:spacing w:val="-6"/>
        </w:rPr>
        <w:t> </w:t>
      </w:r>
      <w:r>
        <w:rPr/>
        <w:t>there</w:t>
      </w:r>
      <w:r>
        <w:rPr>
          <w:spacing w:val="-6"/>
        </w:rPr>
        <w:t> </w:t>
      </w:r>
      <w:r>
        <w:rPr/>
        <w:t>has</w:t>
      </w:r>
      <w:r>
        <w:rPr>
          <w:spacing w:val="-7"/>
        </w:rPr>
        <w:t> </w:t>
      </w:r>
      <w:r>
        <w:rPr/>
        <w:t>been</w:t>
      </w:r>
      <w:r>
        <w:rPr>
          <w:spacing w:val="-7"/>
        </w:rPr>
        <w:t> </w:t>
      </w:r>
      <w:r>
        <w:rPr/>
        <w:t>a</w:t>
      </w:r>
      <w:r>
        <w:rPr>
          <w:spacing w:val="-7"/>
        </w:rPr>
        <w:t> </w:t>
      </w:r>
      <w:r>
        <w:rPr/>
        <w:t>diminution</w:t>
      </w:r>
      <w:r>
        <w:rPr>
          <w:spacing w:val="-7"/>
        </w:rPr>
        <w:t> </w:t>
      </w:r>
      <w:r>
        <w:rPr/>
        <w:t>of rights contrary to Windsor Framework Article 2.</w:t>
      </w:r>
      <w:r>
        <w:rPr>
          <w:vertAlign w:val="superscript"/>
        </w:rPr>
        <w:t>537</w:t>
      </w:r>
    </w:p>
    <w:p>
      <w:pPr>
        <w:pStyle w:val="ListParagraph"/>
        <w:numPr>
          <w:ilvl w:val="1"/>
          <w:numId w:val="7"/>
        </w:numPr>
        <w:tabs>
          <w:tab w:pos="1853" w:val="left" w:leader="none"/>
        </w:tabs>
        <w:spacing w:line="225" w:lineRule="auto" w:before="318" w:after="0"/>
        <w:ind w:left="1853" w:right="1235" w:hanging="720"/>
        <w:jc w:val="left"/>
        <w:rPr>
          <w:sz w:val="28"/>
        </w:rPr>
      </w:pPr>
      <w:r>
        <w:rPr>
          <w:sz w:val="28"/>
        </w:rPr>
        <w:t>The NIHRC also published an accompanying briefing note setting out key advice and recommendations including that that rights particular to refugees and asylum-seekers are within the scope of the Rights, Safeguards and Equality of Opportunity chapter of the Belfast (Good Friday) Agreement by virtue, in particular, of the general commitment to civil rights and to the incorporation</w:t>
      </w:r>
      <w:r>
        <w:rPr>
          <w:spacing w:val="-10"/>
          <w:sz w:val="28"/>
        </w:rPr>
        <w:t> </w:t>
      </w:r>
      <w:r>
        <w:rPr>
          <w:sz w:val="28"/>
        </w:rPr>
        <w:t>of</w:t>
      </w:r>
      <w:r>
        <w:rPr>
          <w:spacing w:val="-10"/>
          <w:sz w:val="28"/>
        </w:rPr>
        <w:t> </w:t>
      </w:r>
      <w:r>
        <w:rPr>
          <w:sz w:val="28"/>
        </w:rPr>
        <w:t>the</w:t>
      </w:r>
      <w:r>
        <w:rPr>
          <w:spacing w:val="-9"/>
          <w:sz w:val="28"/>
        </w:rPr>
        <w:t> </w:t>
      </w:r>
      <w:r>
        <w:rPr>
          <w:sz w:val="28"/>
        </w:rPr>
        <w:t>ECHR</w:t>
      </w:r>
      <w:r>
        <w:rPr>
          <w:spacing w:val="-10"/>
          <w:sz w:val="28"/>
        </w:rPr>
        <w:t> </w:t>
      </w:r>
      <w:r>
        <w:rPr>
          <w:sz w:val="28"/>
        </w:rPr>
        <w:t>into</w:t>
      </w:r>
      <w:r>
        <w:rPr>
          <w:spacing w:val="-10"/>
          <w:sz w:val="28"/>
        </w:rPr>
        <w:t> </w:t>
      </w:r>
      <w:r>
        <w:rPr>
          <w:sz w:val="28"/>
        </w:rPr>
        <w:t>domestic</w:t>
      </w:r>
      <w:r>
        <w:rPr>
          <w:spacing w:val="-9"/>
          <w:sz w:val="28"/>
        </w:rPr>
        <w:t> </w:t>
      </w:r>
      <w:r>
        <w:rPr>
          <w:sz w:val="28"/>
        </w:rPr>
        <w:t>law</w:t>
      </w:r>
      <w:r>
        <w:rPr>
          <w:spacing w:val="-11"/>
          <w:sz w:val="28"/>
        </w:rPr>
        <w:t> </w:t>
      </w:r>
      <w:r>
        <w:rPr>
          <w:sz w:val="28"/>
        </w:rPr>
        <w:t>and</w:t>
      </w:r>
      <w:r>
        <w:rPr>
          <w:spacing w:val="-10"/>
          <w:sz w:val="28"/>
        </w:rPr>
        <w:t> </w:t>
      </w:r>
      <w:r>
        <w:rPr>
          <w:sz w:val="28"/>
        </w:rPr>
        <w:t>the</w:t>
      </w:r>
      <w:r>
        <w:rPr>
          <w:spacing w:val="-9"/>
          <w:sz w:val="28"/>
        </w:rPr>
        <w:t> </w:t>
      </w:r>
      <w:r>
        <w:rPr>
          <w:sz w:val="28"/>
        </w:rPr>
        <w:t>relevant</w:t>
      </w:r>
      <w:r>
        <w:rPr>
          <w:spacing w:val="-9"/>
          <w:sz w:val="28"/>
        </w:rPr>
        <w:t> </w:t>
      </w:r>
      <w:r>
        <w:rPr>
          <w:sz w:val="28"/>
        </w:rPr>
        <w:t>EU</w:t>
      </w:r>
      <w:r>
        <w:rPr>
          <w:spacing w:val="-9"/>
          <w:sz w:val="28"/>
        </w:rPr>
        <w:t> </w:t>
      </w:r>
      <w:r>
        <w:rPr>
          <w:sz w:val="28"/>
        </w:rPr>
        <w:t>measures.</w:t>
      </w:r>
      <w:r>
        <w:rPr>
          <w:sz w:val="28"/>
          <w:vertAlign w:val="superscript"/>
        </w:rPr>
        <w:t>538</w:t>
      </w:r>
    </w:p>
    <w:p>
      <w:pPr>
        <w:pStyle w:val="Heading6"/>
        <w:spacing w:before="296"/>
        <w:rPr>
          <w:i/>
        </w:rPr>
      </w:pPr>
      <w:r>
        <w:rPr>
          <w:i/>
          <w:color w:val="67287F"/>
          <w:spacing w:val="-2"/>
        </w:rPr>
        <w:t>Draft</w:t>
      </w:r>
      <w:r>
        <w:rPr>
          <w:i/>
          <w:color w:val="67287F"/>
          <w:spacing w:val="-3"/>
        </w:rPr>
        <w:t> </w:t>
      </w:r>
      <w:r>
        <w:rPr>
          <w:i/>
          <w:color w:val="67287F"/>
          <w:spacing w:val="-2"/>
        </w:rPr>
        <w:t>Refugee Integration Strategy</w:t>
      </w:r>
    </w:p>
    <w:p>
      <w:pPr>
        <w:pStyle w:val="ListParagraph"/>
        <w:numPr>
          <w:ilvl w:val="1"/>
          <w:numId w:val="7"/>
        </w:numPr>
        <w:tabs>
          <w:tab w:pos="1853" w:val="left" w:leader="none"/>
        </w:tabs>
        <w:spacing w:line="225" w:lineRule="auto" w:before="5" w:after="0"/>
        <w:ind w:left="1853" w:right="1515" w:hanging="720"/>
        <w:jc w:val="left"/>
        <w:rPr>
          <w:sz w:val="28"/>
        </w:rPr>
      </w:pPr>
      <w:r>
        <w:rPr>
          <w:sz w:val="28"/>
        </w:rPr>
        <w:t>Despite a commitment within the Racial Equality Strategy 2015-2025,</w:t>
      </w:r>
      <w:r>
        <w:rPr>
          <w:sz w:val="28"/>
          <w:vertAlign w:val="superscript"/>
        </w:rPr>
        <w:t>539</w:t>
      </w:r>
      <w:r>
        <w:rPr>
          <w:sz w:val="28"/>
          <w:vertAlign w:val="baseline"/>
        </w:rPr>
        <w:t> NI remains the only part of the UK without a Refugee Integration Strategy.</w:t>
      </w:r>
      <w:r>
        <w:rPr>
          <w:sz w:val="28"/>
          <w:vertAlign w:val="superscript"/>
        </w:rPr>
        <w:t>540</w:t>
      </w:r>
      <w:r>
        <w:rPr>
          <w:sz w:val="28"/>
          <w:vertAlign w:val="baseline"/>
        </w:rPr>
        <w:t> In 2022, the Commissions responded separately to the Executive Office consultation on its Draft Refugee Integration Strategy. Both Commissions highlighted the Executive Office’s obligations in accordance with Windsor Framework Article 2 and identified the relevance of various EU minimum standards.</w:t>
      </w:r>
      <w:r>
        <w:rPr>
          <w:sz w:val="28"/>
          <w:vertAlign w:val="superscript"/>
        </w:rPr>
        <w:t>541</w:t>
      </w:r>
      <w:r>
        <w:rPr>
          <w:spacing w:val="-12"/>
          <w:sz w:val="28"/>
          <w:vertAlign w:val="baseline"/>
        </w:rPr>
        <w:t> </w:t>
      </w:r>
      <w:r>
        <w:rPr>
          <w:sz w:val="28"/>
          <w:vertAlign w:val="baseline"/>
        </w:rPr>
        <w:t>In</w:t>
      </w:r>
      <w:r>
        <w:rPr>
          <w:spacing w:val="-12"/>
          <w:sz w:val="28"/>
          <w:vertAlign w:val="baseline"/>
        </w:rPr>
        <w:t> </w:t>
      </w:r>
      <w:r>
        <w:rPr>
          <w:sz w:val="28"/>
          <w:vertAlign w:val="baseline"/>
        </w:rPr>
        <w:t>2022,</w:t>
      </w:r>
      <w:r>
        <w:rPr>
          <w:spacing w:val="-11"/>
          <w:sz w:val="28"/>
          <w:vertAlign w:val="baseline"/>
        </w:rPr>
        <w:t> </w:t>
      </w:r>
      <w:r>
        <w:rPr>
          <w:sz w:val="28"/>
          <w:vertAlign w:val="baseline"/>
        </w:rPr>
        <w:t>the</w:t>
      </w:r>
      <w:r>
        <w:rPr>
          <w:spacing w:val="-11"/>
          <w:sz w:val="28"/>
          <w:vertAlign w:val="baseline"/>
        </w:rPr>
        <w:t> </w:t>
      </w:r>
      <w:r>
        <w:rPr>
          <w:sz w:val="28"/>
          <w:vertAlign w:val="baseline"/>
        </w:rPr>
        <w:t>NI</w:t>
      </w:r>
      <w:r>
        <w:rPr>
          <w:spacing w:val="-11"/>
          <w:sz w:val="28"/>
          <w:vertAlign w:val="baseline"/>
        </w:rPr>
        <w:t> </w:t>
      </w:r>
      <w:r>
        <w:rPr>
          <w:sz w:val="28"/>
          <w:vertAlign w:val="baseline"/>
        </w:rPr>
        <w:t>Affairs</w:t>
      </w:r>
      <w:r>
        <w:rPr>
          <w:spacing w:val="-12"/>
          <w:sz w:val="28"/>
          <w:vertAlign w:val="baseline"/>
        </w:rPr>
        <w:t> </w:t>
      </w:r>
      <w:r>
        <w:rPr>
          <w:sz w:val="28"/>
          <w:vertAlign w:val="baseline"/>
        </w:rPr>
        <w:t>Committee</w:t>
      </w:r>
      <w:r>
        <w:rPr>
          <w:spacing w:val="-11"/>
          <w:sz w:val="28"/>
          <w:vertAlign w:val="baseline"/>
        </w:rPr>
        <w:t> </w:t>
      </w:r>
      <w:r>
        <w:rPr>
          <w:sz w:val="28"/>
          <w:vertAlign w:val="baseline"/>
        </w:rPr>
        <w:t>recommended</w:t>
      </w:r>
      <w:r>
        <w:rPr>
          <w:spacing w:val="-12"/>
          <w:sz w:val="28"/>
          <w:vertAlign w:val="baseline"/>
        </w:rPr>
        <w:t> </w:t>
      </w:r>
      <w:r>
        <w:rPr>
          <w:sz w:val="28"/>
          <w:vertAlign w:val="baseline"/>
        </w:rPr>
        <w:t>that</w:t>
      </w:r>
      <w:r>
        <w:rPr>
          <w:spacing w:val="-11"/>
          <w:sz w:val="28"/>
          <w:vertAlign w:val="baseline"/>
        </w:rPr>
        <w:t> </w:t>
      </w:r>
      <w:r>
        <w:rPr>
          <w:sz w:val="28"/>
          <w:vertAlign w:val="baseline"/>
        </w:rPr>
        <w:t>the</w:t>
      </w:r>
      <w:r>
        <w:rPr>
          <w:spacing w:val="-11"/>
          <w:sz w:val="28"/>
          <w:vertAlign w:val="baseline"/>
        </w:rPr>
        <w:t> </w:t>
      </w:r>
      <w:r>
        <w:rPr>
          <w:sz w:val="28"/>
          <w:vertAlign w:val="baseline"/>
        </w:rPr>
        <w:t>final Refugee Integration Strategy be delivered at pace.</w:t>
      </w:r>
      <w:r>
        <w:rPr>
          <w:sz w:val="28"/>
          <w:vertAlign w:val="superscript"/>
        </w:rPr>
        <w:t>542</w:t>
      </w:r>
    </w:p>
    <w:p>
      <w:pPr>
        <w:pStyle w:val="ListParagraph"/>
        <w:numPr>
          <w:ilvl w:val="1"/>
          <w:numId w:val="7"/>
        </w:numPr>
        <w:tabs>
          <w:tab w:pos="1853" w:val="left" w:leader="none"/>
        </w:tabs>
        <w:spacing w:line="225" w:lineRule="auto" w:before="310" w:after="0"/>
        <w:ind w:left="1853" w:right="1286" w:hanging="720"/>
        <w:jc w:val="left"/>
        <w:rPr>
          <w:sz w:val="28"/>
        </w:rPr>
      </w:pPr>
      <w:r>
        <w:rPr>
          <w:sz w:val="28"/>
        </w:rPr>
        <w:t>In</w:t>
      </w:r>
      <w:r>
        <w:rPr>
          <w:spacing w:val="-7"/>
          <w:sz w:val="28"/>
        </w:rPr>
        <w:t> </w:t>
      </w:r>
      <w:r>
        <w:rPr>
          <w:sz w:val="28"/>
        </w:rPr>
        <w:t>May</w:t>
      </w:r>
      <w:r>
        <w:rPr>
          <w:spacing w:val="-6"/>
          <w:sz w:val="28"/>
        </w:rPr>
        <w:t> </w:t>
      </w:r>
      <w:r>
        <w:rPr>
          <w:sz w:val="28"/>
        </w:rPr>
        <w:t>2023,</w:t>
      </w:r>
      <w:r>
        <w:rPr>
          <w:spacing w:val="-6"/>
          <w:sz w:val="28"/>
        </w:rPr>
        <w:t> </w:t>
      </w:r>
      <w:r>
        <w:rPr>
          <w:sz w:val="28"/>
        </w:rPr>
        <w:t>the</w:t>
      </w:r>
      <w:r>
        <w:rPr>
          <w:spacing w:val="-6"/>
          <w:sz w:val="28"/>
        </w:rPr>
        <w:t> </w:t>
      </w:r>
      <w:r>
        <w:rPr>
          <w:sz w:val="28"/>
        </w:rPr>
        <w:t>NI</w:t>
      </w:r>
      <w:r>
        <w:rPr>
          <w:spacing w:val="-6"/>
          <w:sz w:val="28"/>
        </w:rPr>
        <w:t> </w:t>
      </w:r>
      <w:r>
        <w:rPr>
          <w:sz w:val="28"/>
        </w:rPr>
        <w:t>Refugee</w:t>
      </w:r>
      <w:r>
        <w:rPr>
          <w:spacing w:val="-6"/>
          <w:sz w:val="28"/>
        </w:rPr>
        <w:t> </w:t>
      </w:r>
      <w:r>
        <w:rPr>
          <w:sz w:val="28"/>
        </w:rPr>
        <w:t>and</w:t>
      </w:r>
      <w:r>
        <w:rPr>
          <w:spacing w:val="-7"/>
          <w:sz w:val="28"/>
        </w:rPr>
        <w:t> </w:t>
      </w:r>
      <w:r>
        <w:rPr>
          <w:sz w:val="28"/>
        </w:rPr>
        <w:t>Asylum</w:t>
      </w:r>
      <w:r>
        <w:rPr>
          <w:spacing w:val="-6"/>
          <w:sz w:val="28"/>
        </w:rPr>
        <w:t> </w:t>
      </w:r>
      <w:r>
        <w:rPr>
          <w:sz w:val="28"/>
        </w:rPr>
        <w:t>Forum,</w:t>
      </w:r>
      <w:r>
        <w:rPr>
          <w:spacing w:val="-6"/>
          <w:sz w:val="28"/>
        </w:rPr>
        <w:t> </w:t>
      </w:r>
      <w:r>
        <w:rPr>
          <w:sz w:val="28"/>
        </w:rPr>
        <w:t>convened</w:t>
      </w:r>
      <w:r>
        <w:rPr>
          <w:spacing w:val="-7"/>
          <w:sz w:val="28"/>
        </w:rPr>
        <w:t> </w:t>
      </w:r>
      <w:r>
        <w:rPr>
          <w:sz w:val="28"/>
        </w:rPr>
        <w:t>by</w:t>
      </w:r>
      <w:r>
        <w:rPr>
          <w:spacing w:val="-6"/>
          <w:sz w:val="28"/>
        </w:rPr>
        <w:t> </w:t>
      </w:r>
      <w:r>
        <w:rPr>
          <w:sz w:val="28"/>
        </w:rPr>
        <w:t>the</w:t>
      </w:r>
      <w:r>
        <w:rPr>
          <w:spacing w:val="-6"/>
          <w:sz w:val="28"/>
        </w:rPr>
        <w:t> </w:t>
      </w:r>
      <w:r>
        <w:rPr>
          <w:sz w:val="28"/>
        </w:rPr>
        <w:t>Law</w:t>
      </w:r>
      <w:r>
        <w:rPr>
          <w:spacing w:val="-6"/>
          <w:sz w:val="28"/>
        </w:rPr>
        <w:t> </w:t>
      </w:r>
      <w:r>
        <w:rPr>
          <w:sz w:val="28"/>
        </w:rPr>
        <w:t>Centre NI, identified key challenges for asylum seekers and refugees, highlighting that the lack of strategy is hindering all aspects of integration in NI.</w:t>
      </w:r>
      <w:r>
        <w:rPr>
          <w:sz w:val="28"/>
          <w:vertAlign w:val="superscript"/>
        </w:rPr>
        <w:t>543</w:t>
      </w:r>
      <w:r>
        <w:rPr>
          <w:sz w:val="28"/>
          <w:vertAlign w:val="baseline"/>
        </w:rPr>
        <w:t> The Forum proposed recommendations for action and emphasised the need for improved</w:t>
      </w:r>
      <w:r>
        <w:rPr>
          <w:spacing w:val="-7"/>
          <w:sz w:val="28"/>
          <w:vertAlign w:val="baseline"/>
        </w:rPr>
        <w:t> </w:t>
      </w:r>
      <w:r>
        <w:rPr>
          <w:sz w:val="28"/>
          <w:vertAlign w:val="baseline"/>
        </w:rPr>
        <w:t>transparency</w:t>
      </w:r>
      <w:r>
        <w:rPr>
          <w:spacing w:val="-6"/>
          <w:sz w:val="28"/>
          <w:vertAlign w:val="baseline"/>
        </w:rPr>
        <w:t> </w:t>
      </w:r>
      <w:r>
        <w:rPr>
          <w:sz w:val="28"/>
          <w:vertAlign w:val="baseline"/>
        </w:rPr>
        <w:t>through</w:t>
      </w:r>
      <w:r>
        <w:rPr>
          <w:spacing w:val="-7"/>
          <w:sz w:val="28"/>
          <w:vertAlign w:val="baseline"/>
        </w:rPr>
        <w:t> </w:t>
      </w:r>
      <w:r>
        <w:rPr>
          <w:sz w:val="28"/>
          <w:vertAlign w:val="baseline"/>
        </w:rPr>
        <w:t>reliable</w:t>
      </w:r>
      <w:r>
        <w:rPr>
          <w:spacing w:val="-6"/>
          <w:sz w:val="28"/>
          <w:vertAlign w:val="baseline"/>
        </w:rPr>
        <w:t> </w:t>
      </w:r>
      <w:r>
        <w:rPr>
          <w:sz w:val="28"/>
          <w:vertAlign w:val="baseline"/>
        </w:rPr>
        <w:t>data</w:t>
      </w:r>
      <w:r>
        <w:rPr>
          <w:spacing w:val="-7"/>
          <w:sz w:val="28"/>
          <w:vertAlign w:val="baseline"/>
        </w:rPr>
        <w:t> </w:t>
      </w:r>
      <w:r>
        <w:rPr>
          <w:sz w:val="28"/>
          <w:vertAlign w:val="baseline"/>
        </w:rPr>
        <w:t>and</w:t>
      </w:r>
      <w:r>
        <w:rPr>
          <w:spacing w:val="-7"/>
          <w:sz w:val="28"/>
          <w:vertAlign w:val="baseline"/>
        </w:rPr>
        <w:t> </w:t>
      </w:r>
      <w:r>
        <w:rPr>
          <w:sz w:val="28"/>
          <w:vertAlign w:val="baseline"/>
        </w:rPr>
        <w:t>the</w:t>
      </w:r>
      <w:r>
        <w:rPr>
          <w:spacing w:val="-6"/>
          <w:sz w:val="28"/>
          <w:vertAlign w:val="baseline"/>
        </w:rPr>
        <w:t> </w:t>
      </w:r>
      <w:r>
        <w:rPr>
          <w:sz w:val="28"/>
          <w:vertAlign w:val="baseline"/>
        </w:rPr>
        <w:t>provision</w:t>
      </w:r>
      <w:r>
        <w:rPr>
          <w:spacing w:val="-7"/>
          <w:sz w:val="28"/>
          <w:vertAlign w:val="baseline"/>
        </w:rPr>
        <w:t> </w:t>
      </w:r>
      <w:r>
        <w:rPr>
          <w:sz w:val="28"/>
          <w:vertAlign w:val="baseline"/>
        </w:rPr>
        <w:t>of</w:t>
      </w:r>
      <w:r>
        <w:rPr>
          <w:spacing w:val="-7"/>
          <w:sz w:val="28"/>
          <w:vertAlign w:val="baseline"/>
        </w:rPr>
        <w:t> </w:t>
      </w:r>
      <w:r>
        <w:rPr>
          <w:sz w:val="28"/>
          <w:vertAlign w:val="baseline"/>
        </w:rPr>
        <w:t>quality</w:t>
      </w:r>
      <w:r>
        <w:rPr>
          <w:spacing w:val="-6"/>
          <w:sz w:val="28"/>
          <w:vertAlign w:val="baseline"/>
        </w:rPr>
        <w:t> </w:t>
      </w:r>
      <w:r>
        <w:rPr>
          <w:sz w:val="28"/>
          <w:vertAlign w:val="baseline"/>
        </w:rPr>
        <w:t>and authoritative information on rights and entitlements of refugees and asylum seekers in NI.</w:t>
      </w:r>
      <w:r>
        <w:rPr>
          <w:sz w:val="28"/>
          <w:vertAlign w:val="superscript"/>
        </w:rPr>
        <w:t>544</w:t>
      </w:r>
    </w:p>
    <w:p>
      <w:pPr>
        <w:pStyle w:val="Heading6"/>
        <w:spacing w:before="295"/>
        <w:rPr>
          <w:i/>
        </w:rPr>
      </w:pPr>
      <w:r>
        <w:rPr>
          <w:i/>
          <w:color w:val="67287F"/>
        </w:rPr>
        <w:t>Illegal</w:t>
      </w:r>
      <w:r>
        <w:rPr>
          <w:i/>
          <w:color w:val="67287F"/>
          <w:spacing w:val="-7"/>
        </w:rPr>
        <w:t> </w:t>
      </w:r>
      <w:r>
        <w:rPr>
          <w:i/>
          <w:color w:val="67287F"/>
        </w:rPr>
        <w:t>Migration</w:t>
      </w:r>
      <w:r>
        <w:rPr>
          <w:i/>
          <w:color w:val="67287F"/>
          <w:spacing w:val="-8"/>
        </w:rPr>
        <w:t> </w:t>
      </w:r>
      <w:r>
        <w:rPr>
          <w:i/>
          <w:color w:val="67287F"/>
        </w:rPr>
        <w:t>Act</w:t>
      </w:r>
      <w:r>
        <w:rPr>
          <w:i/>
          <w:color w:val="67287F"/>
          <w:spacing w:val="-6"/>
        </w:rPr>
        <w:t> </w:t>
      </w:r>
      <w:r>
        <w:rPr>
          <w:i/>
          <w:color w:val="67287F"/>
          <w:spacing w:val="-4"/>
        </w:rPr>
        <w:t>2023</w:t>
      </w:r>
    </w:p>
    <w:p>
      <w:pPr>
        <w:pStyle w:val="ListParagraph"/>
        <w:numPr>
          <w:ilvl w:val="1"/>
          <w:numId w:val="7"/>
        </w:numPr>
        <w:tabs>
          <w:tab w:pos="1853" w:val="left" w:leader="none"/>
        </w:tabs>
        <w:spacing w:line="225" w:lineRule="auto" w:before="5" w:after="0"/>
        <w:ind w:left="1853" w:right="1706" w:hanging="720"/>
        <w:jc w:val="left"/>
        <w:rPr>
          <w:sz w:val="28"/>
        </w:rPr>
      </w:pPr>
      <w:r>
        <w:rPr>
          <w:sz w:val="28"/>
        </w:rPr>
        <w:t>In</w:t>
      </w:r>
      <w:r>
        <w:rPr>
          <w:spacing w:val="-7"/>
          <w:sz w:val="28"/>
        </w:rPr>
        <w:t> </w:t>
      </w:r>
      <w:r>
        <w:rPr>
          <w:sz w:val="28"/>
        </w:rPr>
        <w:t>July</w:t>
      </w:r>
      <w:r>
        <w:rPr>
          <w:spacing w:val="-6"/>
          <w:sz w:val="28"/>
        </w:rPr>
        <w:t> </w:t>
      </w:r>
      <w:r>
        <w:rPr>
          <w:sz w:val="28"/>
        </w:rPr>
        <w:t>2023,</w:t>
      </w:r>
      <w:r>
        <w:rPr>
          <w:spacing w:val="-6"/>
          <w:sz w:val="28"/>
        </w:rPr>
        <w:t> </w:t>
      </w:r>
      <w:r>
        <w:rPr>
          <w:sz w:val="28"/>
        </w:rPr>
        <w:t>the</w:t>
      </w:r>
      <w:r>
        <w:rPr>
          <w:spacing w:val="-6"/>
          <w:sz w:val="28"/>
        </w:rPr>
        <w:t> </w:t>
      </w:r>
      <w:r>
        <w:rPr>
          <w:sz w:val="28"/>
        </w:rPr>
        <w:t>Illegal</w:t>
      </w:r>
      <w:r>
        <w:rPr>
          <w:spacing w:val="-7"/>
          <w:sz w:val="28"/>
        </w:rPr>
        <w:t> </w:t>
      </w:r>
      <w:r>
        <w:rPr>
          <w:sz w:val="28"/>
        </w:rPr>
        <w:t>Migration</w:t>
      </w:r>
      <w:r>
        <w:rPr>
          <w:spacing w:val="-7"/>
          <w:sz w:val="28"/>
        </w:rPr>
        <w:t> </w:t>
      </w:r>
      <w:r>
        <w:rPr>
          <w:sz w:val="28"/>
        </w:rPr>
        <w:t>Act</w:t>
      </w:r>
      <w:r>
        <w:rPr>
          <w:spacing w:val="-6"/>
          <w:sz w:val="28"/>
        </w:rPr>
        <w:t> </w:t>
      </w:r>
      <w:r>
        <w:rPr>
          <w:sz w:val="28"/>
        </w:rPr>
        <w:t>2023</w:t>
      </w:r>
      <w:r>
        <w:rPr>
          <w:spacing w:val="-6"/>
          <w:sz w:val="28"/>
        </w:rPr>
        <w:t> </w:t>
      </w:r>
      <w:r>
        <w:rPr>
          <w:sz w:val="28"/>
        </w:rPr>
        <w:t>received</w:t>
      </w:r>
      <w:r>
        <w:rPr>
          <w:spacing w:val="-7"/>
          <w:sz w:val="28"/>
        </w:rPr>
        <w:t> </w:t>
      </w:r>
      <w:r>
        <w:rPr>
          <w:sz w:val="28"/>
        </w:rPr>
        <w:t>Royal</w:t>
      </w:r>
      <w:r>
        <w:rPr>
          <w:spacing w:val="-7"/>
          <w:sz w:val="28"/>
        </w:rPr>
        <w:t> </w:t>
      </w:r>
      <w:r>
        <w:rPr>
          <w:sz w:val="28"/>
        </w:rPr>
        <w:t>Assent.</w:t>
      </w:r>
      <w:r>
        <w:rPr>
          <w:spacing w:val="-7"/>
          <w:sz w:val="28"/>
        </w:rPr>
        <w:t> </w:t>
      </w:r>
      <w:r>
        <w:rPr>
          <w:sz w:val="28"/>
        </w:rPr>
        <w:t>The</w:t>
      </w:r>
      <w:r>
        <w:rPr>
          <w:spacing w:val="-6"/>
          <w:sz w:val="28"/>
        </w:rPr>
        <w:t> </w:t>
      </w:r>
      <w:r>
        <w:rPr>
          <w:sz w:val="28"/>
        </w:rPr>
        <w:t>Act denies access to the UK asylum system to individuals who have arrived</w:t>
      </w:r>
    </w:p>
    <w:p>
      <w:pPr>
        <w:pStyle w:val="BodyText"/>
        <w:rPr>
          <w:sz w:val="20"/>
        </w:rPr>
      </w:pPr>
    </w:p>
    <w:p>
      <w:pPr>
        <w:pStyle w:val="BodyText"/>
        <w:spacing w:before="160"/>
        <w:rPr>
          <w:sz w:val="20"/>
        </w:rPr>
      </w:pPr>
      <w:r>
        <w:rPr/>
        <mc:AlternateContent>
          <mc:Choice Requires="wps">
            <w:drawing>
              <wp:anchor distT="0" distB="0" distL="0" distR="0" allowOverlap="1" layoutInCell="1" locked="0" behindDoc="1" simplePos="0" relativeHeight="487684608">
                <wp:simplePos x="0" y="0"/>
                <wp:positionH relativeFrom="page">
                  <wp:posOffset>719996</wp:posOffset>
                </wp:positionH>
                <wp:positionV relativeFrom="paragraph">
                  <wp:posOffset>272428</wp:posOffset>
                </wp:positionV>
                <wp:extent cx="6120130" cy="1270"/>
                <wp:effectExtent l="0" t="0" r="0" b="0"/>
                <wp:wrapTopAndBottom/>
                <wp:docPr id="434" name="Graphic 434"/>
                <wp:cNvGraphicFramePr>
                  <a:graphicFrameLocks/>
                </wp:cNvGraphicFramePr>
                <a:graphic>
                  <a:graphicData uri="http://schemas.microsoft.com/office/word/2010/wordprocessingShape">
                    <wps:wsp>
                      <wps:cNvPr id="434" name="Graphic 434"/>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1.451054pt;width:481.9pt;height:.1pt;mso-position-horizontal-relative:page;mso-position-vertical-relative:paragraph;z-index:-15631872;mso-wrap-distance-left:0;mso-wrap-distance-right:0" id="docshape383" coordorigin="1134,429" coordsize="9638,0" path="m10772,429l1134,429e" filled="false" stroked="true" strokeweight="1pt" strokecolor="#393b80">
                <v:path arrowok="t"/>
                <v:stroke dashstyle="solid"/>
                <w10:wrap type="topAndBottom"/>
              </v:shape>
            </w:pict>
          </mc:Fallback>
        </mc:AlternateContent>
      </w:r>
    </w:p>
    <w:p>
      <w:pPr>
        <w:pStyle w:val="ListParagraph"/>
        <w:numPr>
          <w:ilvl w:val="0"/>
          <w:numId w:val="10"/>
        </w:numPr>
        <w:tabs>
          <w:tab w:pos="1853" w:val="left" w:leader="none"/>
        </w:tabs>
        <w:spacing w:line="218" w:lineRule="exact" w:before="129" w:after="0"/>
        <w:ind w:left="1853" w:right="0" w:hanging="720"/>
        <w:jc w:val="left"/>
        <w:rPr>
          <w:sz w:val="18"/>
        </w:rPr>
      </w:pPr>
      <w:r>
        <w:rPr>
          <w:sz w:val="18"/>
        </w:rPr>
        <w:t>Alison</w:t>
      </w:r>
      <w:r>
        <w:rPr>
          <w:spacing w:val="-6"/>
          <w:sz w:val="18"/>
        </w:rPr>
        <w:t> </w:t>
      </w:r>
      <w:r>
        <w:rPr>
          <w:sz w:val="18"/>
        </w:rPr>
        <w:t>Harvey,</w:t>
      </w:r>
      <w:r>
        <w:rPr>
          <w:spacing w:val="-5"/>
          <w:sz w:val="18"/>
        </w:rPr>
        <w:t> </w:t>
      </w:r>
      <w:r>
        <w:rPr>
          <w:sz w:val="18"/>
        </w:rPr>
        <w:t>‘Article</w:t>
      </w:r>
      <w:r>
        <w:rPr>
          <w:spacing w:val="-5"/>
          <w:sz w:val="18"/>
        </w:rPr>
        <w:t> </w:t>
      </w:r>
      <w:r>
        <w:rPr>
          <w:sz w:val="18"/>
        </w:rPr>
        <w:t>2</w:t>
      </w:r>
      <w:r>
        <w:rPr>
          <w:spacing w:val="-4"/>
          <w:sz w:val="18"/>
        </w:rPr>
        <w:t> </w:t>
      </w:r>
      <w:r>
        <w:rPr>
          <w:sz w:val="18"/>
        </w:rPr>
        <w:t>of</w:t>
      </w:r>
      <w:r>
        <w:rPr>
          <w:spacing w:val="-6"/>
          <w:sz w:val="18"/>
        </w:rPr>
        <w:t> </w:t>
      </w:r>
      <w:r>
        <w:rPr>
          <w:sz w:val="18"/>
        </w:rPr>
        <w:t>the</w:t>
      </w:r>
      <w:r>
        <w:rPr>
          <w:spacing w:val="-5"/>
          <w:sz w:val="18"/>
        </w:rPr>
        <w:t> </w:t>
      </w:r>
      <w:r>
        <w:rPr>
          <w:sz w:val="18"/>
        </w:rPr>
        <w:t>Windsor</w:t>
      </w:r>
      <w:r>
        <w:rPr>
          <w:spacing w:val="-5"/>
          <w:sz w:val="18"/>
        </w:rPr>
        <w:t> </w:t>
      </w:r>
      <w:r>
        <w:rPr>
          <w:sz w:val="18"/>
        </w:rPr>
        <w:t>Framework</w:t>
      </w:r>
      <w:r>
        <w:rPr>
          <w:spacing w:val="-4"/>
          <w:sz w:val="18"/>
        </w:rPr>
        <w:t> </w:t>
      </w:r>
      <w:r>
        <w:rPr>
          <w:sz w:val="18"/>
        </w:rPr>
        <w:t>and</w:t>
      </w:r>
      <w:r>
        <w:rPr>
          <w:spacing w:val="-6"/>
          <w:sz w:val="18"/>
        </w:rPr>
        <w:t> </w:t>
      </w:r>
      <w:r>
        <w:rPr>
          <w:sz w:val="18"/>
        </w:rPr>
        <w:t>the</w:t>
      </w:r>
      <w:r>
        <w:rPr>
          <w:spacing w:val="-5"/>
          <w:sz w:val="18"/>
        </w:rPr>
        <w:t> </w:t>
      </w:r>
      <w:r>
        <w:rPr>
          <w:sz w:val="18"/>
        </w:rPr>
        <w:t>rights</w:t>
      </w:r>
      <w:r>
        <w:rPr>
          <w:spacing w:val="-5"/>
          <w:sz w:val="18"/>
        </w:rPr>
        <w:t> </w:t>
      </w:r>
      <w:r>
        <w:rPr>
          <w:sz w:val="18"/>
        </w:rPr>
        <w:t>of</w:t>
      </w:r>
      <w:r>
        <w:rPr>
          <w:spacing w:val="-6"/>
          <w:sz w:val="18"/>
        </w:rPr>
        <w:t> </w:t>
      </w:r>
      <w:r>
        <w:rPr>
          <w:sz w:val="18"/>
        </w:rPr>
        <w:t>refugees</w:t>
      </w:r>
      <w:r>
        <w:rPr>
          <w:spacing w:val="-6"/>
          <w:sz w:val="18"/>
        </w:rPr>
        <w:t> </w:t>
      </w:r>
      <w:r>
        <w:rPr>
          <w:sz w:val="18"/>
        </w:rPr>
        <w:t>and</w:t>
      </w:r>
      <w:r>
        <w:rPr>
          <w:spacing w:val="-5"/>
          <w:sz w:val="18"/>
        </w:rPr>
        <w:t> </w:t>
      </w:r>
      <w:r>
        <w:rPr>
          <w:sz w:val="18"/>
        </w:rPr>
        <w:t>persons</w:t>
      </w:r>
      <w:r>
        <w:rPr>
          <w:spacing w:val="-6"/>
          <w:sz w:val="18"/>
        </w:rPr>
        <w:t> </w:t>
      </w:r>
      <w:r>
        <w:rPr>
          <w:sz w:val="18"/>
        </w:rPr>
        <w:t>seeking</w:t>
      </w:r>
      <w:r>
        <w:rPr>
          <w:spacing w:val="-5"/>
          <w:sz w:val="18"/>
        </w:rPr>
        <w:t> </w:t>
      </w:r>
      <w:r>
        <w:rPr>
          <w:sz w:val="18"/>
        </w:rPr>
        <w:t>asylum’</w:t>
      </w:r>
      <w:r>
        <w:rPr>
          <w:spacing w:val="-4"/>
          <w:sz w:val="18"/>
        </w:rPr>
        <w:t> </w:t>
      </w:r>
      <w:r>
        <w:rPr>
          <w:sz w:val="18"/>
        </w:rPr>
        <w:t>(NIHRC,</w:t>
      </w:r>
      <w:r>
        <w:rPr>
          <w:spacing w:val="-5"/>
          <w:sz w:val="18"/>
        </w:rPr>
        <w:t> </w:t>
      </w:r>
      <w:r>
        <w:rPr>
          <w:spacing w:val="-2"/>
          <w:sz w:val="18"/>
        </w:rPr>
        <w:t>2023).</w:t>
      </w:r>
    </w:p>
    <w:p>
      <w:pPr>
        <w:pStyle w:val="ListParagraph"/>
        <w:numPr>
          <w:ilvl w:val="0"/>
          <w:numId w:val="10"/>
        </w:numPr>
        <w:tabs>
          <w:tab w:pos="1853" w:val="left" w:leader="none"/>
        </w:tabs>
        <w:spacing w:line="235" w:lineRule="auto" w:before="2" w:after="0"/>
        <w:ind w:left="1853" w:right="1455" w:hanging="720"/>
        <w:jc w:val="left"/>
        <w:rPr>
          <w:sz w:val="18"/>
        </w:rPr>
      </w:pPr>
      <w:r>
        <w:rPr>
          <w:sz w:val="18"/>
        </w:rPr>
        <w:t>NI</w:t>
      </w:r>
      <w:r>
        <w:rPr>
          <w:spacing w:val="-4"/>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‘Windsor</w:t>
      </w:r>
      <w:r>
        <w:rPr>
          <w:spacing w:val="-4"/>
          <w:sz w:val="18"/>
        </w:rPr>
        <w:t> </w:t>
      </w:r>
      <w:r>
        <w:rPr>
          <w:sz w:val="18"/>
        </w:rPr>
        <w:t>Framework</w:t>
      </w:r>
      <w:r>
        <w:rPr>
          <w:spacing w:val="-4"/>
          <w:sz w:val="18"/>
        </w:rPr>
        <w:t> </w:t>
      </w:r>
      <w:r>
        <w:rPr>
          <w:sz w:val="18"/>
        </w:rPr>
        <w:t>Article</w:t>
      </w:r>
      <w:r>
        <w:rPr>
          <w:spacing w:val="-4"/>
          <w:sz w:val="18"/>
        </w:rPr>
        <w:t> </w:t>
      </w:r>
      <w:r>
        <w:rPr>
          <w:sz w:val="18"/>
        </w:rPr>
        <w:t>2</w:t>
      </w:r>
      <w:r>
        <w:rPr>
          <w:spacing w:val="-4"/>
          <w:sz w:val="18"/>
        </w:rPr>
        <w:t> </w:t>
      </w:r>
      <w:r>
        <w:rPr>
          <w:sz w:val="18"/>
        </w:rPr>
        <w:t>and</w:t>
      </w:r>
      <w:r>
        <w:rPr>
          <w:spacing w:val="-4"/>
          <w:sz w:val="18"/>
        </w:rPr>
        <w:t> </w:t>
      </w:r>
      <w:r>
        <w:rPr>
          <w:sz w:val="18"/>
        </w:rPr>
        <w:t>the</w:t>
      </w:r>
      <w:r>
        <w:rPr>
          <w:spacing w:val="-4"/>
          <w:sz w:val="18"/>
        </w:rPr>
        <w:t> </w:t>
      </w:r>
      <w:r>
        <w:rPr>
          <w:sz w:val="18"/>
        </w:rPr>
        <w:t>rights</w:t>
      </w:r>
      <w:r>
        <w:rPr>
          <w:spacing w:val="-4"/>
          <w:sz w:val="18"/>
        </w:rPr>
        <w:t> </w:t>
      </w:r>
      <w:r>
        <w:rPr>
          <w:sz w:val="18"/>
        </w:rPr>
        <w:t>of</w:t>
      </w:r>
      <w:r>
        <w:rPr>
          <w:spacing w:val="-4"/>
          <w:sz w:val="18"/>
        </w:rPr>
        <w:t> </w:t>
      </w:r>
      <w:r>
        <w:rPr>
          <w:sz w:val="18"/>
        </w:rPr>
        <w:t>Refugees</w:t>
      </w:r>
      <w:r>
        <w:rPr>
          <w:spacing w:val="-4"/>
          <w:sz w:val="18"/>
        </w:rPr>
        <w:t> </w:t>
      </w:r>
      <w:r>
        <w:rPr>
          <w:sz w:val="18"/>
        </w:rPr>
        <w:t>and</w:t>
      </w:r>
      <w:r>
        <w:rPr>
          <w:spacing w:val="-4"/>
          <w:sz w:val="18"/>
        </w:rPr>
        <w:t> </w:t>
      </w:r>
      <w:r>
        <w:rPr>
          <w:sz w:val="18"/>
        </w:rPr>
        <w:t>Asylum</w:t>
      </w:r>
      <w:r>
        <w:rPr>
          <w:spacing w:val="-4"/>
          <w:sz w:val="18"/>
        </w:rPr>
        <w:t> </w:t>
      </w:r>
      <w:r>
        <w:rPr>
          <w:sz w:val="18"/>
        </w:rPr>
        <w:t>Seekers</w:t>
      </w:r>
      <w:r>
        <w:rPr>
          <w:spacing w:val="-4"/>
          <w:sz w:val="18"/>
        </w:rPr>
        <w:t> </w:t>
      </w:r>
      <w:r>
        <w:rPr>
          <w:sz w:val="18"/>
        </w:rPr>
        <w:t>–</w:t>
      </w:r>
      <w:r>
        <w:rPr>
          <w:spacing w:val="-4"/>
          <w:sz w:val="18"/>
        </w:rPr>
        <w:t> </w:t>
      </w:r>
      <w:r>
        <w:rPr>
          <w:sz w:val="18"/>
        </w:rPr>
        <w:t>Briefing and Recommendations’ (NIHRC, 2023).</w:t>
      </w:r>
    </w:p>
    <w:p>
      <w:pPr>
        <w:pStyle w:val="ListParagraph"/>
        <w:numPr>
          <w:ilvl w:val="0"/>
          <w:numId w:val="10"/>
        </w:numPr>
        <w:tabs>
          <w:tab w:pos="1853" w:val="left" w:leader="none"/>
        </w:tabs>
        <w:spacing w:line="216" w:lineRule="exact" w:before="0" w:after="0"/>
        <w:ind w:left="1853" w:right="0" w:hanging="720"/>
        <w:jc w:val="left"/>
        <w:rPr>
          <w:sz w:val="18"/>
        </w:rPr>
      </w:pPr>
      <w:r>
        <w:rPr>
          <w:sz w:val="18"/>
        </w:rPr>
        <w:t>The</w:t>
      </w:r>
      <w:r>
        <w:rPr>
          <w:spacing w:val="-7"/>
          <w:sz w:val="18"/>
        </w:rPr>
        <w:t> </w:t>
      </w:r>
      <w:r>
        <w:rPr>
          <w:sz w:val="18"/>
        </w:rPr>
        <w:t>Executive</w:t>
      </w:r>
      <w:r>
        <w:rPr>
          <w:spacing w:val="-6"/>
          <w:sz w:val="18"/>
        </w:rPr>
        <w:t> </w:t>
      </w:r>
      <w:r>
        <w:rPr>
          <w:sz w:val="18"/>
        </w:rPr>
        <w:t>Office,</w:t>
      </w:r>
      <w:r>
        <w:rPr>
          <w:spacing w:val="-6"/>
          <w:sz w:val="18"/>
        </w:rPr>
        <w:t> </w:t>
      </w:r>
      <w:r>
        <w:rPr>
          <w:sz w:val="18"/>
        </w:rPr>
        <w:t>‘Racial</w:t>
      </w:r>
      <w:r>
        <w:rPr>
          <w:spacing w:val="-7"/>
          <w:sz w:val="18"/>
        </w:rPr>
        <w:t> </w:t>
      </w:r>
      <w:r>
        <w:rPr>
          <w:sz w:val="18"/>
        </w:rPr>
        <w:t>Equality</w:t>
      </w:r>
      <w:r>
        <w:rPr>
          <w:spacing w:val="-7"/>
          <w:sz w:val="18"/>
        </w:rPr>
        <w:t> </w:t>
      </w:r>
      <w:r>
        <w:rPr>
          <w:sz w:val="18"/>
        </w:rPr>
        <w:t>Strategy</w:t>
      </w:r>
      <w:r>
        <w:rPr>
          <w:spacing w:val="-6"/>
          <w:sz w:val="18"/>
        </w:rPr>
        <w:t> </w:t>
      </w:r>
      <w:r>
        <w:rPr>
          <w:sz w:val="18"/>
        </w:rPr>
        <w:t>2015-2025’</w:t>
      </w:r>
      <w:r>
        <w:rPr>
          <w:spacing w:val="-6"/>
          <w:sz w:val="18"/>
        </w:rPr>
        <w:t> </w:t>
      </w:r>
      <w:r>
        <w:rPr>
          <w:sz w:val="18"/>
        </w:rPr>
        <w:t>(TEO,</w:t>
      </w:r>
      <w:r>
        <w:rPr>
          <w:spacing w:val="-7"/>
          <w:sz w:val="18"/>
        </w:rPr>
        <w:t> </w:t>
      </w:r>
      <w:r>
        <w:rPr>
          <w:spacing w:val="-2"/>
          <w:sz w:val="18"/>
        </w:rPr>
        <w:t>2015).</w:t>
      </w:r>
    </w:p>
    <w:p>
      <w:pPr>
        <w:pStyle w:val="ListParagraph"/>
        <w:numPr>
          <w:ilvl w:val="0"/>
          <w:numId w:val="10"/>
        </w:numPr>
        <w:tabs>
          <w:tab w:pos="1853" w:val="left" w:leader="none"/>
        </w:tabs>
        <w:spacing w:line="235" w:lineRule="auto" w:before="1" w:after="0"/>
        <w:ind w:left="1853" w:right="1363" w:hanging="720"/>
        <w:jc w:val="left"/>
        <w:rPr>
          <w:sz w:val="18"/>
        </w:rPr>
      </w:pPr>
      <w:r>
        <w:rPr>
          <w:sz w:val="18"/>
        </w:rPr>
        <w:t>The</w:t>
      </w:r>
      <w:r>
        <w:rPr>
          <w:spacing w:val="-2"/>
          <w:sz w:val="18"/>
        </w:rPr>
        <w:t> </w:t>
      </w:r>
      <w:r>
        <w:rPr>
          <w:sz w:val="18"/>
        </w:rPr>
        <w:t>NIHRC</w:t>
      </w:r>
      <w:r>
        <w:rPr>
          <w:spacing w:val="-3"/>
          <w:sz w:val="18"/>
        </w:rPr>
        <w:t> </w:t>
      </w:r>
      <w:r>
        <w:rPr>
          <w:sz w:val="18"/>
        </w:rPr>
        <w:t>recommends</w:t>
      </w:r>
      <w:r>
        <w:rPr>
          <w:spacing w:val="-3"/>
          <w:sz w:val="18"/>
        </w:rPr>
        <w:t> </w:t>
      </w:r>
      <w:r>
        <w:rPr>
          <w:sz w:val="18"/>
        </w:rPr>
        <w:t>stating</w:t>
      </w:r>
      <w:r>
        <w:rPr>
          <w:spacing w:val="-2"/>
          <w:sz w:val="18"/>
        </w:rPr>
        <w:t> </w:t>
      </w:r>
      <w:r>
        <w:rPr>
          <w:sz w:val="18"/>
        </w:rPr>
        <w:t>early</w:t>
      </w:r>
      <w:r>
        <w:rPr>
          <w:spacing w:val="-2"/>
          <w:sz w:val="18"/>
        </w:rPr>
        <w:t> </w:t>
      </w:r>
      <w:r>
        <w:rPr>
          <w:sz w:val="18"/>
        </w:rPr>
        <w:t>that</w:t>
      </w:r>
      <w:r>
        <w:rPr>
          <w:spacing w:val="-2"/>
          <w:sz w:val="18"/>
        </w:rPr>
        <w:t> </w:t>
      </w:r>
      <w:r>
        <w:rPr>
          <w:sz w:val="18"/>
        </w:rPr>
        <w:t>the</w:t>
      </w:r>
      <w:r>
        <w:rPr>
          <w:spacing w:val="-2"/>
          <w:sz w:val="18"/>
        </w:rPr>
        <w:t> </w:t>
      </w:r>
      <w:r>
        <w:rPr>
          <w:sz w:val="18"/>
        </w:rPr>
        <w:t>strategy</w:t>
      </w:r>
      <w:r>
        <w:rPr>
          <w:spacing w:val="-2"/>
          <w:sz w:val="18"/>
        </w:rPr>
        <w:t> </w:t>
      </w:r>
      <w:r>
        <w:rPr>
          <w:sz w:val="18"/>
        </w:rPr>
        <w:t>is</w:t>
      </w:r>
      <w:r>
        <w:rPr>
          <w:spacing w:val="-3"/>
          <w:sz w:val="18"/>
        </w:rPr>
        <w:t> </w:t>
      </w:r>
      <w:r>
        <w:rPr>
          <w:sz w:val="18"/>
        </w:rPr>
        <w:t>human</w:t>
      </w:r>
      <w:r>
        <w:rPr>
          <w:spacing w:val="-3"/>
          <w:sz w:val="18"/>
        </w:rPr>
        <w:t> </w:t>
      </w:r>
      <w:r>
        <w:rPr>
          <w:sz w:val="18"/>
        </w:rPr>
        <w:t>rights-based,</w:t>
      </w:r>
      <w:r>
        <w:rPr>
          <w:spacing w:val="-2"/>
          <w:sz w:val="18"/>
        </w:rPr>
        <w:t> </w:t>
      </w:r>
      <w:r>
        <w:rPr>
          <w:sz w:val="18"/>
        </w:rPr>
        <w:t>requiring</w:t>
      </w:r>
      <w:r>
        <w:rPr>
          <w:spacing w:val="-2"/>
          <w:sz w:val="18"/>
        </w:rPr>
        <w:t> </w:t>
      </w:r>
      <w:r>
        <w:rPr>
          <w:sz w:val="18"/>
        </w:rPr>
        <w:t>public</w:t>
      </w:r>
      <w:r>
        <w:rPr>
          <w:spacing w:val="-2"/>
          <w:sz w:val="18"/>
        </w:rPr>
        <w:t> </w:t>
      </w:r>
      <w:r>
        <w:rPr>
          <w:sz w:val="18"/>
        </w:rPr>
        <w:t>authorities</w:t>
      </w:r>
      <w:r>
        <w:rPr>
          <w:spacing w:val="-3"/>
          <w:sz w:val="18"/>
        </w:rPr>
        <w:t> </w:t>
      </w:r>
      <w:r>
        <w:rPr>
          <w:sz w:val="18"/>
        </w:rPr>
        <w:t>to</w:t>
      </w:r>
      <w:r>
        <w:rPr>
          <w:spacing w:val="-3"/>
          <w:sz w:val="18"/>
        </w:rPr>
        <w:t> </w:t>
      </w:r>
      <w:r>
        <w:rPr>
          <w:sz w:val="18"/>
        </w:rPr>
        <w:t>adopt</w:t>
      </w:r>
      <w:r>
        <w:rPr>
          <w:spacing w:val="-2"/>
          <w:sz w:val="18"/>
        </w:rPr>
        <w:t> </w:t>
      </w:r>
      <w:r>
        <w:rPr>
          <w:sz w:val="18"/>
        </w:rPr>
        <w:t>this approach</w:t>
      </w:r>
      <w:r>
        <w:rPr>
          <w:spacing w:val="-5"/>
          <w:sz w:val="18"/>
        </w:rPr>
        <w:t> </w:t>
      </w:r>
      <w:r>
        <w:rPr>
          <w:sz w:val="18"/>
        </w:rPr>
        <w:t>and</w:t>
      </w:r>
      <w:r>
        <w:rPr>
          <w:spacing w:val="-5"/>
          <w:sz w:val="18"/>
        </w:rPr>
        <w:t> </w:t>
      </w:r>
      <w:r>
        <w:rPr>
          <w:sz w:val="18"/>
        </w:rPr>
        <w:t>to</w:t>
      </w:r>
      <w:r>
        <w:rPr>
          <w:spacing w:val="-5"/>
          <w:sz w:val="18"/>
        </w:rPr>
        <w:t> </w:t>
      </w:r>
      <w:r>
        <w:rPr>
          <w:sz w:val="18"/>
        </w:rPr>
        <w:t>expand</w:t>
      </w:r>
      <w:r>
        <w:rPr>
          <w:spacing w:val="-5"/>
          <w:sz w:val="18"/>
        </w:rPr>
        <w:t> </w:t>
      </w:r>
      <w:r>
        <w:rPr>
          <w:sz w:val="18"/>
        </w:rPr>
        <w:t>and</w:t>
      </w:r>
      <w:r>
        <w:rPr>
          <w:spacing w:val="-5"/>
          <w:sz w:val="18"/>
        </w:rPr>
        <w:t> </w:t>
      </w:r>
      <w:r>
        <w:rPr>
          <w:sz w:val="18"/>
        </w:rPr>
        <w:t>clarify</w:t>
      </w:r>
      <w:r>
        <w:rPr>
          <w:spacing w:val="-4"/>
          <w:sz w:val="18"/>
        </w:rPr>
        <w:t> </w:t>
      </w:r>
      <w:r>
        <w:rPr>
          <w:sz w:val="18"/>
        </w:rPr>
        <w:t>the</w:t>
      </w:r>
      <w:r>
        <w:rPr>
          <w:spacing w:val="-4"/>
          <w:sz w:val="18"/>
        </w:rPr>
        <w:t> </w:t>
      </w:r>
      <w:r>
        <w:rPr>
          <w:sz w:val="18"/>
        </w:rPr>
        <w:t>list</w:t>
      </w:r>
      <w:r>
        <w:rPr>
          <w:spacing w:val="-4"/>
          <w:sz w:val="18"/>
        </w:rPr>
        <w:t> </w:t>
      </w:r>
      <w:r>
        <w:rPr>
          <w:sz w:val="18"/>
        </w:rPr>
        <w:t>of</w:t>
      </w:r>
      <w:r>
        <w:rPr>
          <w:spacing w:val="-5"/>
          <w:sz w:val="18"/>
        </w:rPr>
        <w:t> </w:t>
      </w:r>
      <w:r>
        <w:rPr>
          <w:sz w:val="18"/>
        </w:rPr>
        <w:t>relevant</w:t>
      </w:r>
      <w:r>
        <w:rPr>
          <w:spacing w:val="-4"/>
          <w:sz w:val="18"/>
        </w:rPr>
        <w:t> </w:t>
      </w:r>
      <w:r>
        <w:rPr>
          <w:sz w:val="18"/>
        </w:rPr>
        <w:t>human</w:t>
      </w:r>
      <w:r>
        <w:rPr>
          <w:spacing w:val="-5"/>
          <w:sz w:val="18"/>
        </w:rPr>
        <w:t> </w:t>
      </w:r>
      <w:r>
        <w:rPr>
          <w:sz w:val="18"/>
        </w:rPr>
        <w:t>rights</w:t>
      </w:r>
      <w:r>
        <w:rPr>
          <w:spacing w:val="-5"/>
          <w:sz w:val="18"/>
        </w:rPr>
        <w:t> </w:t>
      </w:r>
      <w:r>
        <w:rPr>
          <w:sz w:val="18"/>
        </w:rPr>
        <w:t>standards,</w:t>
      </w:r>
      <w:r>
        <w:rPr>
          <w:spacing w:val="-4"/>
          <w:sz w:val="18"/>
        </w:rPr>
        <w:t> </w:t>
      </w:r>
      <w:r>
        <w:rPr>
          <w:sz w:val="18"/>
        </w:rPr>
        <w:t>incorporating</w:t>
      </w:r>
      <w:r>
        <w:rPr>
          <w:spacing w:val="-4"/>
          <w:sz w:val="18"/>
        </w:rPr>
        <w:t> </w:t>
      </w:r>
      <w:r>
        <w:rPr>
          <w:sz w:val="18"/>
        </w:rPr>
        <w:t>EU</w:t>
      </w:r>
      <w:r>
        <w:rPr>
          <w:spacing w:val="-4"/>
          <w:sz w:val="18"/>
        </w:rPr>
        <w:t> </w:t>
      </w:r>
      <w:r>
        <w:rPr>
          <w:sz w:val="18"/>
        </w:rPr>
        <w:t>obligations</w:t>
      </w:r>
      <w:r>
        <w:rPr>
          <w:spacing w:val="-5"/>
          <w:sz w:val="18"/>
        </w:rPr>
        <w:t> </w:t>
      </w:r>
      <w:r>
        <w:rPr>
          <w:sz w:val="18"/>
        </w:rPr>
        <w:t>supporting Windsor Framework Article 2’s non-diminution commitment. NI Human Rights Commission, ‘Response to Public Consultation on Draft Refugee Integration Strategy’ (NIHRC, 2022), at para 2.12 and 2.13.</w:t>
      </w:r>
    </w:p>
    <w:p>
      <w:pPr>
        <w:pStyle w:val="ListParagraph"/>
        <w:numPr>
          <w:ilvl w:val="0"/>
          <w:numId w:val="10"/>
        </w:numPr>
        <w:tabs>
          <w:tab w:pos="1853" w:val="left" w:leader="none"/>
        </w:tabs>
        <w:spacing w:line="235" w:lineRule="auto" w:before="3" w:after="0"/>
        <w:ind w:left="1853" w:right="1501" w:hanging="720"/>
        <w:jc w:val="left"/>
        <w:rPr>
          <w:sz w:val="18"/>
        </w:rPr>
      </w:pPr>
      <w:r>
        <w:rPr>
          <w:sz w:val="18"/>
        </w:rPr>
        <w:t>NI</w:t>
      </w:r>
      <w:r>
        <w:rPr>
          <w:spacing w:val="-5"/>
          <w:sz w:val="18"/>
        </w:rPr>
        <w:t> </w:t>
      </w:r>
      <w:r>
        <w:rPr>
          <w:sz w:val="18"/>
        </w:rPr>
        <w:t>Human</w:t>
      </w:r>
      <w:r>
        <w:rPr>
          <w:spacing w:val="-6"/>
          <w:sz w:val="18"/>
        </w:rPr>
        <w:t> </w:t>
      </w:r>
      <w:r>
        <w:rPr>
          <w:sz w:val="18"/>
        </w:rPr>
        <w:t>Rights</w:t>
      </w:r>
      <w:r>
        <w:rPr>
          <w:spacing w:val="-6"/>
          <w:sz w:val="18"/>
        </w:rPr>
        <w:t> </w:t>
      </w:r>
      <w:r>
        <w:rPr>
          <w:sz w:val="18"/>
        </w:rPr>
        <w:t>Commission,</w:t>
      </w:r>
      <w:r>
        <w:rPr>
          <w:spacing w:val="-5"/>
          <w:sz w:val="18"/>
        </w:rPr>
        <w:t> </w:t>
      </w:r>
      <w:r>
        <w:rPr>
          <w:sz w:val="18"/>
        </w:rPr>
        <w:t>‘Response</w:t>
      </w:r>
      <w:r>
        <w:rPr>
          <w:spacing w:val="-5"/>
          <w:sz w:val="18"/>
        </w:rPr>
        <w:t> </w:t>
      </w:r>
      <w:r>
        <w:rPr>
          <w:sz w:val="18"/>
        </w:rPr>
        <w:t>to</w:t>
      </w:r>
      <w:r>
        <w:rPr>
          <w:spacing w:val="-6"/>
          <w:sz w:val="18"/>
        </w:rPr>
        <w:t> </w:t>
      </w:r>
      <w:r>
        <w:rPr>
          <w:sz w:val="18"/>
        </w:rPr>
        <w:t>Public</w:t>
      </w:r>
      <w:r>
        <w:rPr>
          <w:spacing w:val="-5"/>
          <w:sz w:val="18"/>
        </w:rPr>
        <w:t> </w:t>
      </w:r>
      <w:r>
        <w:rPr>
          <w:sz w:val="18"/>
        </w:rPr>
        <w:t>Consultation</w:t>
      </w:r>
      <w:r>
        <w:rPr>
          <w:spacing w:val="-6"/>
          <w:sz w:val="18"/>
        </w:rPr>
        <w:t> </w:t>
      </w:r>
      <w:r>
        <w:rPr>
          <w:sz w:val="18"/>
        </w:rPr>
        <w:t>on</w:t>
      </w:r>
      <w:r>
        <w:rPr>
          <w:spacing w:val="-6"/>
          <w:sz w:val="18"/>
        </w:rPr>
        <w:t> </w:t>
      </w:r>
      <w:r>
        <w:rPr>
          <w:sz w:val="18"/>
        </w:rPr>
        <w:t>Draft</w:t>
      </w:r>
      <w:r>
        <w:rPr>
          <w:spacing w:val="-5"/>
          <w:sz w:val="18"/>
        </w:rPr>
        <w:t> </w:t>
      </w:r>
      <w:r>
        <w:rPr>
          <w:sz w:val="18"/>
        </w:rPr>
        <w:t>Refugee</w:t>
      </w:r>
      <w:r>
        <w:rPr>
          <w:spacing w:val="-5"/>
          <w:sz w:val="18"/>
        </w:rPr>
        <w:t> </w:t>
      </w:r>
      <w:r>
        <w:rPr>
          <w:sz w:val="18"/>
        </w:rPr>
        <w:t>Integration</w:t>
      </w:r>
      <w:r>
        <w:rPr>
          <w:spacing w:val="-6"/>
          <w:sz w:val="18"/>
        </w:rPr>
        <w:t> </w:t>
      </w:r>
      <w:r>
        <w:rPr>
          <w:sz w:val="18"/>
        </w:rPr>
        <w:t>Strategy’</w:t>
      </w:r>
      <w:r>
        <w:rPr>
          <w:spacing w:val="-5"/>
          <w:sz w:val="18"/>
        </w:rPr>
        <w:t> </w:t>
      </w:r>
      <w:r>
        <w:rPr>
          <w:sz w:val="18"/>
        </w:rPr>
        <w:t>(NIHRC,</w:t>
      </w:r>
      <w:r>
        <w:rPr>
          <w:spacing w:val="-5"/>
          <w:sz w:val="18"/>
        </w:rPr>
        <w:t> </w:t>
      </w:r>
      <w:r>
        <w:rPr>
          <w:sz w:val="18"/>
        </w:rPr>
        <w:t>2022); Equality Commission for NI, ‘Response to the consultation by The Executive Office on the draft Refugee Integration Strategy 2022-2027’ (ECNI, 2022).</w:t>
      </w:r>
    </w:p>
    <w:p>
      <w:pPr>
        <w:pStyle w:val="ListParagraph"/>
        <w:numPr>
          <w:ilvl w:val="0"/>
          <w:numId w:val="10"/>
        </w:numPr>
        <w:tabs>
          <w:tab w:pos="1853" w:val="left" w:leader="none"/>
        </w:tabs>
        <w:spacing w:line="235" w:lineRule="auto" w:before="2" w:after="0"/>
        <w:ind w:left="1853" w:right="1345" w:hanging="720"/>
        <w:jc w:val="left"/>
        <w:rPr>
          <w:sz w:val="18"/>
        </w:rPr>
      </w:pPr>
      <w:r>
        <w:rPr>
          <w:sz w:val="18"/>
        </w:rPr>
        <w:t>House</w:t>
      </w:r>
      <w:r>
        <w:rPr>
          <w:spacing w:val="-3"/>
          <w:sz w:val="18"/>
        </w:rPr>
        <w:t> </w:t>
      </w:r>
      <w:r>
        <w:rPr>
          <w:sz w:val="18"/>
        </w:rPr>
        <w:t>of</w:t>
      </w:r>
      <w:r>
        <w:rPr>
          <w:spacing w:val="-4"/>
          <w:sz w:val="18"/>
        </w:rPr>
        <w:t> </w:t>
      </w:r>
      <w:r>
        <w:rPr>
          <w:sz w:val="18"/>
        </w:rPr>
        <w:t>Commons</w:t>
      </w:r>
      <w:r>
        <w:rPr>
          <w:spacing w:val="-4"/>
          <w:sz w:val="18"/>
        </w:rPr>
        <w:t> </w:t>
      </w:r>
      <w:r>
        <w:rPr>
          <w:sz w:val="18"/>
        </w:rPr>
        <w:t>NI</w:t>
      </w:r>
      <w:r>
        <w:rPr>
          <w:spacing w:val="-3"/>
          <w:sz w:val="18"/>
        </w:rPr>
        <w:t> </w:t>
      </w:r>
      <w:r>
        <w:rPr>
          <w:sz w:val="18"/>
        </w:rPr>
        <w:t>Affairs</w:t>
      </w:r>
      <w:r>
        <w:rPr>
          <w:spacing w:val="-4"/>
          <w:sz w:val="18"/>
        </w:rPr>
        <w:t> </w:t>
      </w:r>
      <w:r>
        <w:rPr>
          <w:sz w:val="18"/>
        </w:rPr>
        <w:t>Committee,</w:t>
      </w:r>
      <w:r>
        <w:rPr>
          <w:spacing w:val="-3"/>
          <w:sz w:val="18"/>
        </w:rPr>
        <w:t> </w:t>
      </w:r>
      <w:r>
        <w:rPr>
          <w:sz w:val="18"/>
        </w:rPr>
        <w:t>‘The</w:t>
      </w:r>
      <w:r>
        <w:rPr>
          <w:spacing w:val="-3"/>
          <w:sz w:val="18"/>
        </w:rPr>
        <w:t> </w:t>
      </w:r>
      <w:r>
        <w:rPr>
          <w:sz w:val="18"/>
        </w:rPr>
        <w:t>Experiences</w:t>
      </w:r>
      <w:r>
        <w:rPr>
          <w:spacing w:val="-4"/>
          <w:sz w:val="18"/>
        </w:rPr>
        <w:t> </w:t>
      </w:r>
      <w:r>
        <w:rPr>
          <w:sz w:val="18"/>
        </w:rPr>
        <w:t>of</w:t>
      </w:r>
      <w:r>
        <w:rPr>
          <w:spacing w:val="-4"/>
          <w:sz w:val="18"/>
        </w:rPr>
        <w:t> </w:t>
      </w:r>
      <w:r>
        <w:rPr>
          <w:sz w:val="18"/>
        </w:rPr>
        <w:t>Minority</w:t>
      </w:r>
      <w:r>
        <w:rPr>
          <w:spacing w:val="-3"/>
          <w:sz w:val="18"/>
        </w:rPr>
        <w:t> </w:t>
      </w:r>
      <w:r>
        <w:rPr>
          <w:sz w:val="18"/>
        </w:rPr>
        <w:t>Ethnic</w:t>
      </w:r>
      <w:r>
        <w:rPr>
          <w:spacing w:val="-3"/>
          <w:sz w:val="18"/>
        </w:rPr>
        <w:t> </w:t>
      </w:r>
      <w:r>
        <w:rPr>
          <w:sz w:val="18"/>
        </w:rPr>
        <w:t>and</w:t>
      </w:r>
      <w:r>
        <w:rPr>
          <w:spacing w:val="-4"/>
          <w:sz w:val="18"/>
        </w:rPr>
        <w:t> </w:t>
      </w:r>
      <w:r>
        <w:rPr>
          <w:sz w:val="18"/>
        </w:rPr>
        <w:t>Migrant</w:t>
      </w:r>
      <w:r>
        <w:rPr>
          <w:spacing w:val="-3"/>
          <w:sz w:val="18"/>
        </w:rPr>
        <w:t> </w:t>
      </w:r>
      <w:r>
        <w:rPr>
          <w:sz w:val="18"/>
        </w:rPr>
        <w:t>People</w:t>
      </w:r>
      <w:r>
        <w:rPr>
          <w:spacing w:val="-3"/>
          <w:sz w:val="18"/>
        </w:rPr>
        <w:t> </w:t>
      </w:r>
      <w:r>
        <w:rPr>
          <w:sz w:val="18"/>
        </w:rPr>
        <w:t>in</w:t>
      </w:r>
      <w:r>
        <w:rPr>
          <w:spacing w:val="-4"/>
          <w:sz w:val="18"/>
        </w:rPr>
        <w:t> </w:t>
      </w:r>
      <w:r>
        <w:rPr>
          <w:sz w:val="18"/>
        </w:rPr>
        <w:t>NI’</w:t>
      </w:r>
      <w:r>
        <w:rPr>
          <w:spacing w:val="-3"/>
          <w:sz w:val="18"/>
        </w:rPr>
        <w:t> </w:t>
      </w:r>
      <w:r>
        <w:rPr>
          <w:sz w:val="18"/>
        </w:rPr>
        <w:t>(HoC,</w:t>
      </w:r>
      <w:r>
        <w:rPr>
          <w:spacing w:val="-3"/>
          <w:sz w:val="18"/>
        </w:rPr>
        <w:t> </w:t>
      </w:r>
      <w:r>
        <w:rPr>
          <w:sz w:val="18"/>
        </w:rPr>
        <w:t>2022),</w:t>
      </w:r>
      <w:r>
        <w:rPr>
          <w:spacing w:val="-3"/>
          <w:sz w:val="18"/>
        </w:rPr>
        <w:t> </w:t>
      </w:r>
      <w:r>
        <w:rPr>
          <w:sz w:val="18"/>
        </w:rPr>
        <w:t>at para</w:t>
      </w:r>
      <w:r>
        <w:rPr>
          <w:spacing w:val="-2"/>
          <w:sz w:val="18"/>
        </w:rPr>
        <w:t> </w:t>
      </w:r>
      <w:r>
        <w:rPr>
          <w:sz w:val="18"/>
        </w:rPr>
        <w:t>28.</w:t>
      </w:r>
    </w:p>
    <w:p>
      <w:pPr>
        <w:pStyle w:val="ListParagraph"/>
        <w:numPr>
          <w:ilvl w:val="0"/>
          <w:numId w:val="10"/>
        </w:numPr>
        <w:tabs>
          <w:tab w:pos="1853" w:val="left" w:leader="none"/>
        </w:tabs>
        <w:spacing w:line="218" w:lineRule="exact" w:before="0" w:after="0"/>
        <w:ind w:left="1853" w:right="0" w:hanging="720"/>
        <w:jc w:val="left"/>
        <w:rPr>
          <w:sz w:val="18"/>
        </w:rPr>
      </w:pPr>
      <w:r>
        <w:rPr>
          <w:sz w:val="18"/>
        </w:rPr>
        <w:t>Law</w:t>
      </w:r>
      <w:r>
        <w:rPr>
          <w:spacing w:val="-5"/>
          <w:sz w:val="18"/>
        </w:rPr>
        <w:t> </w:t>
      </w:r>
      <w:r>
        <w:rPr>
          <w:sz w:val="18"/>
        </w:rPr>
        <w:t>Centre</w:t>
      </w:r>
      <w:r>
        <w:rPr>
          <w:spacing w:val="-5"/>
          <w:sz w:val="18"/>
        </w:rPr>
        <w:t> </w:t>
      </w:r>
      <w:r>
        <w:rPr>
          <w:sz w:val="18"/>
        </w:rPr>
        <w:t>NI,</w:t>
      </w:r>
      <w:r>
        <w:rPr>
          <w:spacing w:val="-5"/>
          <w:sz w:val="18"/>
        </w:rPr>
        <w:t> </w:t>
      </w:r>
      <w:r>
        <w:rPr>
          <w:sz w:val="18"/>
        </w:rPr>
        <w:t>‘Refugee</w:t>
      </w:r>
      <w:r>
        <w:rPr>
          <w:spacing w:val="-5"/>
          <w:sz w:val="18"/>
        </w:rPr>
        <w:t> </w:t>
      </w:r>
      <w:r>
        <w:rPr>
          <w:sz w:val="18"/>
        </w:rPr>
        <w:t>and</w:t>
      </w:r>
      <w:r>
        <w:rPr>
          <w:spacing w:val="-6"/>
          <w:sz w:val="18"/>
        </w:rPr>
        <w:t> </w:t>
      </w:r>
      <w:r>
        <w:rPr>
          <w:sz w:val="18"/>
        </w:rPr>
        <w:t>Asylum</w:t>
      </w:r>
      <w:r>
        <w:rPr>
          <w:spacing w:val="-5"/>
          <w:sz w:val="18"/>
        </w:rPr>
        <w:t> </w:t>
      </w:r>
      <w:r>
        <w:rPr>
          <w:sz w:val="18"/>
        </w:rPr>
        <w:t>Forum:</w:t>
      </w:r>
      <w:r>
        <w:rPr>
          <w:spacing w:val="-5"/>
          <w:sz w:val="18"/>
        </w:rPr>
        <w:t> </w:t>
      </w:r>
      <w:r>
        <w:rPr>
          <w:sz w:val="18"/>
        </w:rPr>
        <w:t>Priorities</w:t>
      </w:r>
      <w:r>
        <w:rPr>
          <w:spacing w:val="-6"/>
          <w:sz w:val="18"/>
        </w:rPr>
        <w:t> </w:t>
      </w:r>
      <w:r>
        <w:rPr>
          <w:sz w:val="18"/>
        </w:rPr>
        <w:t>for</w:t>
      </w:r>
      <w:r>
        <w:rPr>
          <w:spacing w:val="-5"/>
          <w:sz w:val="18"/>
        </w:rPr>
        <w:t> </w:t>
      </w:r>
      <w:r>
        <w:rPr>
          <w:sz w:val="18"/>
        </w:rPr>
        <w:t>Action</w:t>
      </w:r>
      <w:r>
        <w:rPr>
          <w:spacing w:val="-6"/>
          <w:sz w:val="18"/>
        </w:rPr>
        <w:t> </w:t>
      </w:r>
      <w:r>
        <w:rPr>
          <w:sz w:val="18"/>
        </w:rPr>
        <w:t>2023’</w:t>
      </w:r>
      <w:r>
        <w:rPr>
          <w:spacing w:val="-5"/>
          <w:sz w:val="18"/>
        </w:rPr>
        <w:t> </w:t>
      </w:r>
      <w:r>
        <w:rPr>
          <w:sz w:val="18"/>
        </w:rPr>
        <w:t>(LCNI,</w:t>
      </w:r>
      <w:r>
        <w:rPr>
          <w:spacing w:val="-5"/>
          <w:sz w:val="18"/>
        </w:rPr>
        <w:t> </w:t>
      </w:r>
      <w:r>
        <w:rPr>
          <w:spacing w:val="-2"/>
          <w:sz w:val="18"/>
        </w:rPr>
        <w:t>2023).</w:t>
      </w:r>
    </w:p>
    <w:p>
      <w:pPr>
        <w:spacing w:after="0" w:line="218" w:lineRule="exact"/>
        <w:jc w:val="left"/>
        <w:rPr>
          <w:sz w:val="18"/>
        </w:rPr>
        <w:sectPr>
          <w:headerReference w:type="even" r:id="rId169"/>
          <w:headerReference w:type="default" r:id="rId170"/>
          <w:footerReference w:type="even" r:id="rId171"/>
          <w:footerReference w:type="default" r:id="rId172"/>
          <w:pgSz w:w="11910" w:h="16840"/>
          <w:pgMar w:header="496" w:footer="1025" w:top="1220" w:bottom="1220" w:left="0" w:right="0"/>
          <w:pgNumType w:start="102"/>
        </w:sectPr>
      </w:pPr>
    </w:p>
    <w:p>
      <w:pPr>
        <w:pStyle w:val="BodyText"/>
        <w:spacing w:before="198"/>
      </w:pPr>
    </w:p>
    <w:p>
      <w:pPr>
        <w:pStyle w:val="BodyText"/>
        <w:spacing w:line="225" w:lineRule="auto"/>
        <w:ind w:left="1853" w:right="1601" w:hanging="1"/>
      </w:pPr>
      <w:r>
        <w:rPr/>
        <w:t>through unofficial routes.</w:t>
      </w:r>
      <w:r>
        <w:rPr>
          <w:vertAlign w:val="superscript"/>
        </w:rPr>
        <w:t>545</w:t>
      </w:r>
      <w:r>
        <w:rPr>
          <w:vertAlign w:val="baseline"/>
        </w:rPr>
        <w:t> It prevents almost all such individuals from presenting claims for protection, no matter how compelling their case</w:t>
      </w:r>
      <w:r>
        <w:rPr>
          <w:vertAlign w:val="baseline"/>
        </w:rPr>
        <w:t> may</w:t>
      </w:r>
      <w:r>
        <w:rPr>
          <w:spacing w:val="-10"/>
          <w:vertAlign w:val="baseline"/>
        </w:rPr>
        <w:t> </w:t>
      </w:r>
      <w:r>
        <w:rPr>
          <w:vertAlign w:val="baseline"/>
        </w:rPr>
        <w:t>be.</w:t>
      </w:r>
      <w:r>
        <w:rPr>
          <w:vertAlign w:val="superscript"/>
        </w:rPr>
        <w:t>546</w:t>
      </w:r>
      <w:r>
        <w:rPr>
          <w:spacing w:val="-11"/>
          <w:vertAlign w:val="baseline"/>
        </w:rPr>
        <w:t> </w:t>
      </w:r>
      <w:r>
        <w:rPr>
          <w:vertAlign w:val="baseline"/>
        </w:rPr>
        <w:t>Individuals</w:t>
      </w:r>
      <w:r>
        <w:rPr>
          <w:spacing w:val="-11"/>
          <w:vertAlign w:val="baseline"/>
        </w:rPr>
        <w:t> </w:t>
      </w:r>
      <w:r>
        <w:rPr>
          <w:vertAlign w:val="baseline"/>
        </w:rPr>
        <w:t>can</w:t>
      </w:r>
      <w:r>
        <w:rPr>
          <w:spacing w:val="-11"/>
          <w:vertAlign w:val="baseline"/>
        </w:rPr>
        <w:t> </w:t>
      </w:r>
      <w:r>
        <w:rPr>
          <w:vertAlign w:val="baseline"/>
        </w:rPr>
        <w:t>face</w:t>
      </w:r>
      <w:r>
        <w:rPr>
          <w:spacing w:val="-10"/>
          <w:vertAlign w:val="baseline"/>
        </w:rPr>
        <w:t> </w:t>
      </w:r>
      <w:r>
        <w:rPr>
          <w:vertAlign w:val="baseline"/>
        </w:rPr>
        <w:t>detention</w:t>
      </w:r>
      <w:r>
        <w:rPr>
          <w:spacing w:val="-11"/>
          <w:vertAlign w:val="baseline"/>
        </w:rPr>
        <w:t> </w:t>
      </w:r>
      <w:r>
        <w:rPr>
          <w:vertAlign w:val="baseline"/>
        </w:rPr>
        <w:t>before</w:t>
      </w:r>
      <w:r>
        <w:rPr>
          <w:spacing w:val="-10"/>
          <w:vertAlign w:val="baseline"/>
        </w:rPr>
        <w:t> </w:t>
      </w:r>
      <w:r>
        <w:rPr>
          <w:vertAlign w:val="baseline"/>
        </w:rPr>
        <w:t>being</w:t>
      </w:r>
      <w:r>
        <w:rPr>
          <w:spacing w:val="-10"/>
          <w:vertAlign w:val="baseline"/>
        </w:rPr>
        <w:t> </w:t>
      </w:r>
      <w:r>
        <w:rPr>
          <w:vertAlign w:val="baseline"/>
        </w:rPr>
        <w:t>removed</w:t>
      </w:r>
      <w:r>
        <w:rPr>
          <w:spacing w:val="-11"/>
          <w:vertAlign w:val="baseline"/>
        </w:rPr>
        <w:t> </w:t>
      </w:r>
      <w:r>
        <w:rPr>
          <w:vertAlign w:val="baseline"/>
        </w:rPr>
        <w:t>to</w:t>
      </w:r>
      <w:r>
        <w:rPr>
          <w:spacing w:val="-11"/>
          <w:vertAlign w:val="baseline"/>
        </w:rPr>
        <w:t> </w:t>
      </w:r>
      <w:r>
        <w:rPr>
          <w:vertAlign w:val="baseline"/>
        </w:rPr>
        <w:t>another </w:t>
      </w:r>
      <w:r>
        <w:rPr>
          <w:spacing w:val="-2"/>
          <w:vertAlign w:val="baseline"/>
        </w:rPr>
        <w:t>country.</w:t>
      </w:r>
      <w:r>
        <w:rPr>
          <w:spacing w:val="-2"/>
          <w:vertAlign w:val="superscript"/>
        </w:rPr>
        <w:t>547</w:t>
      </w:r>
    </w:p>
    <w:p>
      <w:pPr>
        <w:pStyle w:val="ListParagraph"/>
        <w:numPr>
          <w:ilvl w:val="1"/>
          <w:numId w:val="7"/>
        </w:numPr>
        <w:tabs>
          <w:tab w:pos="1853" w:val="left" w:leader="none"/>
        </w:tabs>
        <w:spacing w:line="225" w:lineRule="auto" w:before="315" w:after="0"/>
        <w:ind w:left="1853" w:right="1205" w:hanging="720"/>
        <w:jc w:val="left"/>
        <w:rPr>
          <w:sz w:val="28"/>
        </w:rPr>
      </w:pPr>
      <w:r>
        <w:rPr>
          <w:sz w:val="28"/>
        </w:rPr>
        <w:t>The NIHRC provided initial advice on the then Illegal Migration Bill to the House of Commons and House of Lords Joint Committee on Human Rights.</w:t>
      </w:r>
      <w:r>
        <w:rPr>
          <w:sz w:val="28"/>
          <w:vertAlign w:val="superscript"/>
        </w:rPr>
        <w:t>548</w:t>
      </w:r>
      <w:r>
        <w:rPr>
          <w:sz w:val="28"/>
          <w:vertAlign w:val="baseline"/>
        </w:rPr>
        <w:t> Both Commissions provided detailed briefings to House of Lords peers which raised concerns about compliance of the Act with the UK’s international human rights obligations and Windsor Framework Article 2, relating to limitations on judicial oversight, the removal of support to victims and potential</w:t>
      </w:r>
      <w:r>
        <w:rPr>
          <w:spacing w:val="-8"/>
          <w:sz w:val="28"/>
          <w:vertAlign w:val="baseline"/>
        </w:rPr>
        <w:t> </w:t>
      </w:r>
      <w:r>
        <w:rPr>
          <w:sz w:val="28"/>
          <w:vertAlign w:val="baseline"/>
        </w:rPr>
        <w:t>victims</w:t>
      </w:r>
      <w:r>
        <w:rPr>
          <w:spacing w:val="-8"/>
          <w:sz w:val="28"/>
          <w:vertAlign w:val="baseline"/>
        </w:rPr>
        <w:t> </w:t>
      </w:r>
      <w:r>
        <w:rPr>
          <w:sz w:val="28"/>
          <w:vertAlign w:val="baseline"/>
        </w:rPr>
        <w:t>of</w:t>
      </w:r>
      <w:r>
        <w:rPr>
          <w:spacing w:val="-8"/>
          <w:sz w:val="28"/>
          <w:vertAlign w:val="baseline"/>
        </w:rPr>
        <w:t> </w:t>
      </w:r>
      <w:r>
        <w:rPr>
          <w:sz w:val="28"/>
          <w:vertAlign w:val="baseline"/>
        </w:rPr>
        <w:t>modern</w:t>
      </w:r>
      <w:r>
        <w:rPr>
          <w:spacing w:val="-8"/>
          <w:sz w:val="28"/>
          <w:vertAlign w:val="baseline"/>
        </w:rPr>
        <w:t> </w:t>
      </w:r>
      <w:r>
        <w:rPr>
          <w:sz w:val="28"/>
          <w:vertAlign w:val="baseline"/>
        </w:rPr>
        <w:t>slavery</w:t>
      </w:r>
      <w:r>
        <w:rPr>
          <w:spacing w:val="-7"/>
          <w:sz w:val="28"/>
          <w:vertAlign w:val="baseline"/>
        </w:rPr>
        <w:t> </w:t>
      </w:r>
      <w:r>
        <w:rPr>
          <w:sz w:val="28"/>
          <w:vertAlign w:val="baseline"/>
        </w:rPr>
        <w:t>and</w:t>
      </w:r>
      <w:r>
        <w:rPr>
          <w:spacing w:val="-8"/>
          <w:sz w:val="28"/>
          <w:vertAlign w:val="baseline"/>
        </w:rPr>
        <w:t> </w:t>
      </w:r>
      <w:r>
        <w:rPr>
          <w:sz w:val="28"/>
          <w:vertAlign w:val="baseline"/>
        </w:rPr>
        <w:t>human</w:t>
      </w:r>
      <w:r>
        <w:rPr>
          <w:spacing w:val="-8"/>
          <w:sz w:val="28"/>
          <w:vertAlign w:val="baseline"/>
        </w:rPr>
        <w:t> </w:t>
      </w:r>
      <w:r>
        <w:rPr>
          <w:sz w:val="28"/>
          <w:vertAlign w:val="baseline"/>
        </w:rPr>
        <w:t>trafficking,</w:t>
      </w:r>
      <w:r>
        <w:rPr>
          <w:spacing w:val="-7"/>
          <w:sz w:val="28"/>
          <w:vertAlign w:val="baseline"/>
        </w:rPr>
        <w:t> </w:t>
      </w:r>
      <w:r>
        <w:rPr>
          <w:sz w:val="28"/>
          <w:vertAlign w:val="baseline"/>
        </w:rPr>
        <w:t>and</w:t>
      </w:r>
      <w:r>
        <w:rPr>
          <w:spacing w:val="-8"/>
          <w:sz w:val="28"/>
          <w:vertAlign w:val="baseline"/>
        </w:rPr>
        <w:t> </w:t>
      </w:r>
      <w:r>
        <w:rPr>
          <w:sz w:val="28"/>
          <w:vertAlign w:val="baseline"/>
        </w:rPr>
        <w:t>the</w:t>
      </w:r>
      <w:r>
        <w:rPr>
          <w:spacing w:val="-7"/>
          <w:sz w:val="28"/>
          <w:vertAlign w:val="baseline"/>
        </w:rPr>
        <w:t> </w:t>
      </w:r>
      <w:r>
        <w:rPr>
          <w:sz w:val="28"/>
          <w:vertAlign w:val="baseline"/>
        </w:rPr>
        <w:t>weakening of child protection arrangements.</w:t>
      </w:r>
      <w:r>
        <w:rPr>
          <w:sz w:val="28"/>
          <w:vertAlign w:val="superscript"/>
        </w:rPr>
        <w:t>549</w:t>
      </w:r>
      <w:r>
        <w:rPr>
          <w:sz w:val="28"/>
          <w:vertAlign w:val="baseline"/>
        </w:rPr>
        <w:t> For example, section 5(2) of the 2023</w:t>
      </w:r>
    </w:p>
    <w:p>
      <w:pPr>
        <w:pStyle w:val="BodyText"/>
        <w:spacing w:line="225" w:lineRule="auto"/>
        <w:ind w:left="1853" w:right="1263"/>
      </w:pPr>
      <w:r>
        <w:rPr/>
        <w:t>Act places an obligation on the Secretary of State to declare any claim inadmissible where a person enters the UK after 20 July 2023 without leave to</w:t>
      </w:r>
      <w:r>
        <w:rPr>
          <w:spacing w:val="-1"/>
        </w:rPr>
        <w:t> </w:t>
      </w:r>
      <w:r>
        <w:rPr/>
        <w:t>enter or remain, or they required</w:t>
      </w:r>
      <w:r>
        <w:rPr>
          <w:spacing w:val="-1"/>
        </w:rPr>
        <w:t> </w:t>
      </w:r>
      <w:r>
        <w:rPr/>
        <w:t>an</w:t>
      </w:r>
      <w:r>
        <w:rPr>
          <w:spacing w:val="-1"/>
        </w:rPr>
        <w:t> </w:t>
      </w:r>
      <w:r>
        <w:rPr/>
        <w:t>ETA to</w:t>
      </w:r>
      <w:r>
        <w:rPr>
          <w:spacing w:val="-1"/>
        </w:rPr>
        <w:t> </w:t>
      </w:r>
      <w:r>
        <w:rPr/>
        <w:t>enter the UK, and</w:t>
      </w:r>
      <w:r>
        <w:rPr>
          <w:spacing w:val="-1"/>
        </w:rPr>
        <w:t> </w:t>
      </w:r>
      <w:r>
        <w:rPr/>
        <w:t>they did</w:t>
      </w:r>
      <w:r>
        <w:rPr>
          <w:spacing w:val="-1"/>
        </w:rPr>
        <w:t> </w:t>
      </w:r>
      <w:r>
        <w:rPr/>
        <w:t>not come directly from a country where their life or liberty was not threatened</w:t>
      </w:r>
      <w:r>
        <w:rPr/>
        <w:t> by</w:t>
      </w:r>
      <w:r>
        <w:rPr>
          <w:spacing w:val="-7"/>
        </w:rPr>
        <w:t> </w:t>
      </w:r>
      <w:r>
        <w:rPr/>
        <w:t>reason</w:t>
      </w:r>
      <w:r>
        <w:rPr>
          <w:spacing w:val="-8"/>
        </w:rPr>
        <w:t> </w:t>
      </w:r>
      <w:r>
        <w:rPr/>
        <w:t>of</w:t>
      </w:r>
      <w:r>
        <w:rPr>
          <w:spacing w:val="-8"/>
        </w:rPr>
        <w:t> </w:t>
      </w:r>
      <w:r>
        <w:rPr/>
        <w:t>their</w:t>
      </w:r>
      <w:r>
        <w:rPr>
          <w:spacing w:val="-7"/>
        </w:rPr>
        <w:t> </w:t>
      </w:r>
      <w:r>
        <w:rPr/>
        <w:t>race,</w:t>
      </w:r>
      <w:r>
        <w:rPr>
          <w:spacing w:val="-7"/>
        </w:rPr>
        <w:t> </w:t>
      </w:r>
      <w:r>
        <w:rPr/>
        <w:t>religion,</w:t>
      </w:r>
      <w:r>
        <w:rPr>
          <w:spacing w:val="-7"/>
        </w:rPr>
        <w:t> </w:t>
      </w:r>
      <w:r>
        <w:rPr/>
        <w:t>nationality,</w:t>
      </w:r>
      <w:r>
        <w:rPr>
          <w:spacing w:val="-7"/>
        </w:rPr>
        <w:t> </w:t>
      </w:r>
      <w:r>
        <w:rPr/>
        <w:t>membership</w:t>
      </w:r>
      <w:r>
        <w:rPr>
          <w:spacing w:val="-8"/>
        </w:rPr>
        <w:t> </w:t>
      </w:r>
      <w:r>
        <w:rPr/>
        <w:t>of</w:t>
      </w:r>
      <w:r>
        <w:rPr>
          <w:spacing w:val="-8"/>
        </w:rPr>
        <w:t> </w:t>
      </w:r>
      <w:r>
        <w:rPr/>
        <w:t>a</w:t>
      </w:r>
      <w:r>
        <w:rPr>
          <w:spacing w:val="-8"/>
        </w:rPr>
        <w:t> </w:t>
      </w:r>
      <w:r>
        <w:rPr/>
        <w:t>particular</w:t>
      </w:r>
      <w:r>
        <w:rPr>
          <w:spacing w:val="-7"/>
        </w:rPr>
        <w:t> </w:t>
      </w:r>
      <w:r>
        <w:rPr/>
        <w:t>social group or political opinion. Article 8(2) and Recital 22 of the EU Procedures Directive</w:t>
      </w:r>
      <w:r>
        <w:rPr>
          <w:vertAlign w:val="superscript"/>
        </w:rPr>
        <w:t>550</w:t>
      </w:r>
      <w:r>
        <w:rPr>
          <w:vertAlign w:val="baseline"/>
        </w:rPr>
        <w:t> and Article 4(3) of the EU Qualification Directive</w:t>
      </w:r>
      <w:r>
        <w:rPr>
          <w:vertAlign w:val="superscript"/>
        </w:rPr>
        <w:t>551</w:t>
      </w:r>
      <w:r>
        <w:rPr>
          <w:vertAlign w:val="baseline"/>
        </w:rPr>
        <w:t> require appropriate examination of the substance for any application for asylum, including an individual assessment of whether the applicant qualifies as a </w:t>
      </w:r>
      <w:r>
        <w:rPr>
          <w:spacing w:val="-2"/>
          <w:vertAlign w:val="baseline"/>
        </w:rPr>
        <w:t>refugee.</w:t>
      </w:r>
    </w:p>
    <w:p>
      <w:pPr>
        <w:pStyle w:val="ListParagraph"/>
        <w:numPr>
          <w:ilvl w:val="1"/>
          <w:numId w:val="7"/>
        </w:numPr>
        <w:tabs>
          <w:tab w:pos="1853" w:val="left" w:leader="none"/>
        </w:tabs>
        <w:spacing w:line="225" w:lineRule="auto" w:before="297" w:after="0"/>
        <w:ind w:left="1853" w:right="1171" w:hanging="720"/>
        <w:jc w:val="left"/>
        <w:rPr>
          <w:sz w:val="28"/>
        </w:rPr>
      </w:pPr>
      <w:r>
        <w:rPr/>
        <mc:AlternateContent>
          <mc:Choice Requires="wps">
            <w:drawing>
              <wp:anchor distT="0" distB="0" distL="0" distR="0" allowOverlap="1" layoutInCell="1" locked="0" behindDoc="1" simplePos="0" relativeHeight="487685120">
                <wp:simplePos x="0" y="0"/>
                <wp:positionH relativeFrom="page">
                  <wp:posOffset>719996</wp:posOffset>
                </wp:positionH>
                <wp:positionV relativeFrom="paragraph">
                  <wp:posOffset>1248143</wp:posOffset>
                </wp:positionV>
                <wp:extent cx="6120130" cy="1270"/>
                <wp:effectExtent l="0" t="0" r="0" b="0"/>
                <wp:wrapTopAndBottom/>
                <wp:docPr id="435" name="Graphic 435"/>
                <wp:cNvGraphicFramePr>
                  <a:graphicFrameLocks/>
                </wp:cNvGraphicFramePr>
                <a:graphic>
                  <a:graphicData uri="http://schemas.microsoft.com/office/word/2010/wordprocessingShape">
                    <wps:wsp>
                      <wps:cNvPr id="435" name="Graphic 43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98.278984pt;width:481.9pt;height:.1pt;mso-position-horizontal-relative:page;mso-position-vertical-relative:paragraph;z-index:-15631360;mso-wrap-distance-left:0;mso-wrap-distance-right:0" id="docshape384" coordorigin="1134,1966" coordsize="9638,0" path="m10772,1966l1134,1966e" filled="false" stroked="true" strokeweight="1pt" strokecolor="#393b80">
                <v:path arrowok="t"/>
                <v:stroke dashstyle="solid"/>
                <w10:wrap type="topAndBottom"/>
              </v:shape>
            </w:pict>
          </mc:Fallback>
        </mc:AlternateContent>
      </w:r>
      <w:r>
        <w:rPr>
          <w:sz w:val="28"/>
        </w:rPr>
        <w:t>In</w:t>
      </w:r>
      <w:r>
        <w:rPr>
          <w:spacing w:val="-6"/>
          <w:sz w:val="28"/>
        </w:rPr>
        <w:t> </w:t>
      </w:r>
      <w:r>
        <w:rPr>
          <w:sz w:val="28"/>
        </w:rPr>
        <w:t>September</w:t>
      </w:r>
      <w:r>
        <w:rPr>
          <w:spacing w:val="-5"/>
          <w:sz w:val="28"/>
        </w:rPr>
        <w:t> </w:t>
      </w:r>
      <w:r>
        <w:rPr>
          <w:sz w:val="28"/>
        </w:rPr>
        <w:t>2023,</w:t>
      </w:r>
      <w:r>
        <w:rPr>
          <w:spacing w:val="-5"/>
          <w:sz w:val="28"/>
        </w:rPr>
        <w:t> </w:t>
      </w:r>
      <w:r>
        <w:rPr>
          <w:sz w:val="28"/>
        </w:rPr>
        <w:t>the</w:t>
      </w:r>
      <w:r>
        <w:rPr>
          <w:spacing w:val="-5"/>
          <w:sz w:val="28"/>
        </w:rPr>
        <w:t> </w:t>
      </w:r>
      <w:r>
        <w:rPr>
          <w:sz w:val="28"/>
        </w:rPr>
        <w:t>NIHRC</w:t>
      </w:r>
      <w:r>
        <w:rPr>
          <w:spacing w:val="-6"/>
          <w:sz w:val="28"/>
        </w:rPr>
        <w:t> </w:t>
      </w:r>
      <w:r>
        <w:rPr>
          <w:sz w:val="28"/>
        </w:rPr>
        <w:t>issued</w:t>
      </w:r>
      <w:r>
        <w:rPr>
          <w:spacing w:val="-6"/>
          <w:sz w:val="28"/>
        </w:rPr>
        <w:t> </w:t>
      </w:r>
      <w:r>
        <w:rPr>
          <w:sz w:val="28"/>
        </w:rPr>
        <w:t>a</w:t>
      </w:r>
      <w:r>
        <w:rPr>
          <w:spacing w:val="-6"/>
          <w:sz w:val="28"/>
        </w:rPr>
        <w:t> </w:t>
      </w:r>
      <w:r>
        <w:rPr>
          <w:sz w:val="28"/>
        </w:rPr>
        <w:t>judicial</w:t>
      </w:r>
      <w:r>
        <w:rPr>
          <w:spacing w:val="-6"/>
          <w:sz w:val="28"/>
        </w:rPr>
        <w:t> </w:t>
      </w:r>
      <w:r>
        <w:rPr>
          <w:sz w:val="28"/>
        </w:rPr>
        <w:t>review</w:t>
      </w:r>
      <w:r>
        <w:rPr>
          <w:spacing w:val="-5"/>
          <w:sz w:val="28"/>
        </w:rPr>
        <w:t> </w:t>
      </w:r>
      <w:r>
        <w:rPr>
          <w:sz w:val="28"/>
        </w:rPr>
        <w:t>against</w:t>
      </w:r>
      <w:r>
        <w:rPr>
          <w:spacing w:val="-5"/>
          <w:sz w:val="28"/>
        </w:rPr>
        <w:t> </w:t>
      </w:r>
      <w:r>
        <w:rPr>
          <w:sz w:val="28"/>
        </w:rPr>
        <w:t>the</w:t>
      </w:r>
      <w:r>
        <w:rPr>
          <w:spacing w:val="-5"/>
          <w:sz w:val="28"/>
        </w:rPr>
        <w:t> </w:t>
      </w:r>
      <w:r>
        <w:rPr>
          <w:sz w:val="28"/>
        </w:rPr>
        <w:t>Secretary</w:t>
      </w:r>
      <w:r>
        <w:rPr>
          <w:spacing w:val="-5"/>
          <w:sz w:val="28"/>
        </w:rPr>
        <w:t> </w:t>
      </w:r>
      <w:r>
        <w:rPr>
          <w:sz w:val="28"/>
        </w:rPr>
        <w:t>of State for the Home Department and the Secretary of State for NI arguing that the Illegal Migration Act 2023 is not compliant with the ECHR and Windsor Framework</w:t>
      </w:r>
      <w:r>
        <w:rPr>
          <w:spacing w:val="-1"/>
          <w:sz w:val="28"/>
        </w:rPr>
        <w:t> </w:t>
      </w:r>
      <w:r>
        <w:rPr>
          <w:sz w:val="28"/>
        </w:rPr>
        <w:t>Article</w:t>
      </w:r>
      <w:r>
        <w:rPr>
          <w:spacing w:val="-1"/>
          <w:sz w:val="28"/>
        </w:rPr>
        <w:t> </w:t>
      </w:r>
      <w:r>
        <w:rPr>
          <w:sz w:val="28"/>
        </w:rPr>
        <w:t>2.</w:t>
      </w:r>
      <w:r>
        <w:rPr>
          <w:spacing w:val="-2"/>
          <w:sz w:val="28"/>
        </w:rPr>
        <w:t> </w:t>
      </w:r>
      <w:r>
        <w:rPr>
          <w:sz w:val="28"/>
        </w:rPr>
        <w:t>In</w:t>
      </w:r>
      <w:r>
        <w:rPr>
          <w:spacing w:val="-2"/>
          <w:sz w:val="28"/>
        </w:rPr>
        <w:t> </w:t>
      </w:r>
      <w:r>
        <w:rPr>
          <w:sz w:val="28"/>
        </w:rPr>
        <w:t>January</w:t>
      </w:r>
      <w:r>
        <w:rPr>
          <w:spacing w:val="-1"/>
          <w:sz w:val="28"/>
        </w:rPr>
        <w:t> </w:t>
      </w:r>
      <w:r>
        <w:rPr>
          <w:sz w:val="28"/>
        </w:rPr>
        <w:t>2024,</w:t>
      </w:r>
      <w:r>
        <w:rPr>
          <w:spacing w:val="-1"/>
          <w:sz w:val="28"/>
        </w:rPr>
        <w:t> </w:t>
      </w:r>
      <w:r>
        <w:rPr>
          <w:sz w:val="28"/>
        </w:rPr>
        <w:t>the</w:t>
      </w:r>
      <w:r>
        <w:rPr>
          <w:spacing w:val="-1"/>
          <w:sz w:val="28"/>
        </w:rPr>
        <w:t> </w:t>
      </w:r>
      <w:r>
        <w:rPr>
          <w:sz w:val="28"/>
        </w:rPr>
        <w:t>case</w:t>
      </w:r>
      <w:r>
        <w:rPr>
          <w:spacing w:val="-1"/>
          <w:sz w:val="28"/>
        </w:rPr>
        <w:t> </w:t>
      </w:r>
      <w:r>
        <w:rPr>
          <w:sz w:val="28"/>
        </w:rPr>
        <w:t>was</w:t>
      </w:r>
      <w:r>
        <w:rPr>
          <w:spacing w:val="-2"/>
          <w:sz w:val="28"/>
        </w:rPr>
        <w:t> </w:t>
      </w:r>
      <w:r>
        <w:rPr>
          <w:sz w:val="28"/>
        </w:rPr>
        <w:t>heard</w:t>
      </w:r>
      <w:r>
        <w:rPr>
          <w:spacing w:val="-2"/>
          <w:sz w:val="28"/>
        </w:rPr>
        <w:t> </w:t>
      </w:r>
      <w:r>
        <w:rPr>
          <w:sz w:val="28"/>
        </w:rPr>
        <w:t>in</w:t>
      </w:r>
      <w:r>
        <w:rPr>
          <w:spacing w:val="-2"/>
          <w:sz w:val="28"/>
        </w:rPr>
        <w:t> </w:t>
      </w:r>
      <w:r>
        <w:rPr>
          <w:sz w:val="28"/>
        </w:rPr>
        <w:t>the</w:t>
      </w:r>
      <w:r>
        <w:rPr>
          <w:spacing w:val="-1"/>
          <w:sz w:val="28"/>
        </w:rPr>
        <w:t> </w:t>
      </w:r>
      <w:r>
        <w:rPr>
          <w:sz w:val="28"/>
        </w:rPr>
        <w:t>NI</w:t>
      </w:r>
      <w:r>
        <w:rPr>
          <w:spacing w:val="-1"/>
          <w:sz w:val="28"/>
        </w:rPr>
        <w:t> </w:t>
      </w:r>
      <w:r>
        <w:rPr>
          <w:sz w:val="28"/>
        </w:rPr>
        <w:t>High</w:t>
      </w:r>
      <w:r>
        <w:rPr>
          <w:spacing w:val="-2"/>
          <w:sz w:val="28"/>
        </w:rPr>
        <w:t> </w:t>
      </w:r>
      <w:r>
        <w:rPr>
          <w:sz w:val="28"/>
        </w:rPr>
        <w:t>Court and a judgment is awaited.</w:t>
      </w:r>
    </w:p>
    <w:p>
      <w:pPr>
        <w:pStyle w:val="ListParagraph"/>
        <w:numPr>
          <w:ilvl w:val="0"/>
          <w:numId w:val="11"/>
        </w:numPr>
        <w:tabs>
          <w:tab w:pos="1853" w:val="left" w:leader="none"/>
        </w:tabs>
        <w:spacing w:line="235" w:lineRule="auto" w:before="84" w:after="0"/>
        <w:ind w:left="1853" w:right="1411" w:hanging="720"/>
        <w:jc w:val="both"/>
        <w:rPr>
          <w:sz w:val="18"/>
        </w:rPr>
      </w:pPr>
      <w:r>
        <w:rPr>
          <w:sz w:val="18"/>
        </w:rPr>
        <w:t>Section</w:t>
      </w:r>
      <w:r>
        <w:rPr>
          <w:spacing w:val="-4"/>
          <w:sz w:val="18"/>
        </w:rPr>
        <w:t> </w:t>
      </w:r>
      <w:r>
        <w:rPr>
          <w:sz w:val="18"/>
        </w:rPr>
        <w:t>2(2)-(6),</w:t>
      </w:r>
      <w:r>
        <w:rPr>
          <w:spacing w:val="-3"/>
          <w:sz w:val="18"/>
        </w:rPr>
        <w:t> </w:t>
      </w:r>
      <w:r>
        <w:rPr>
          <w:sz w:val="18"/>
        </w:rPr>
        <w:t>Illegal</w:t>
      </w:r>
      <w:r>
        <w:rPr>
          <w:spacing w:val="-4"/>
          <w:sz w:val="18"/>
        </w:rPr>
        <w:t> </w:t>
      </w:r>
      <w:r>
        <w:rPr>
          <w:sz w:val="18"/>
        </w:rPr>
        <w:t>Migration</w:t>
      </w:r>
      <w:r>
        <w:rPr>
          <w:spacing w:val="-4"/>
          <w:sz w:val="18"/>
        </w:rPr>
        <w:t> </w:t>
      </w:r>
      <w:r>
        <w:rPr>
          <w:sz w:val="18"/>
        </w:rPr>
        <w:t>Act</w:t>
      </w:r>
      <w:r>
        <w:rPr>
          <w:spacing w:val="-3"/>
          <w:sz w:val="18"/>
        </w:rPr>
        <w:t> </w:t>
      </w:r>
      <w:r>
        <w:rPr>
          <w:sz w:val="18"/>
        </w:rPr>
        <w:t>2023</w:t>
      </w:r>
      <w:r>
        <w:rPr>
          <w:spacing w:val="-3"/>
          <w:sz w:val="18"/>
        </w:rPr>
        <w:t> </w:t>
      </w:r>
      <w:r>
        <w:rPr>
          <w:sz w:val="18"/>
        </w:rPr>
        <w:t>sets</w:t>
      </w:r>
      <w:r>
        <w:rPr>
          <w:spacing w:val="-4"/>
          <w:sz w:val="18"/>
        </w:rPr>
        <w:t> </w:t>
      </w:r>
      <w:r>
        <w:rPr>
          <w:sz w:val="18"/>
        </w:rPr>
        <w:t>out</w:t>
      </w:r>
      <w:r>
        <w:rPr>
          <w:spacing w:val="-3"/>
          <w:sz w:val="18"/>
        </w:rPr>
        <w:t> </w:t>
      </w:r>
      <w:r>
        <w:rPr>
          <w:sz w:val="18"/>
        </w:rPr>
        <w:t>four</w:t>
      </w:r>
      <w:r>
        <w:rPr>
          <w:spacing w:val="-3"/>
          <w:sz w:val="18"/>
        </w:rPr>
        <w:t> </w:t>
      </w:r>
      <w:r>
        <w:rPr>
          <w:sz w:val="18"/>
        </w:rPr>
        <w:t>conditions,</w:t>
      </w:r>
      <w:r>
        <w:rPr>
          <w:spacing w:val="-3"/>
          <w:sz w:val="18"/>
        </w:rPr>
        <w:t> </w:t>
      </w:r>
      <w:r>
        <w:rPr>
          <w:sz w:val="18"/>
        </w:rPr>
        <w:t>which</w:t>
      </w:r>
      <w:r>
        <w:rPr>
          <w:spacing w:val="-4"/>
          <w:sz w:val="18"/>
        </w:rPr>
        <w:t> </w:t>
      </w:r>
      <w:r>
        <w:rPr>
          <w:sz w:val="18"/>
        </w:rPr>
        <w:t>are</w:t>
      </w:r>
      <w:r>
        <w:rPr>
          <w:spacing w:val="-3"/>
          <w:sz w:val="18"/>
        </w:rPr>
        <w:t> </w:t>
      </w:r>
      <w:r>
        <w:rPr>
          <w:sz w:val="18"/>
        </w:rPr>
        <w:t>essentially</w:t>
      </w:r>
      <w:r>
        <w:rPr>
          <w:spacing w:val="-3"/>
          <w:sz w:val="18"/>
        </w:rPr>
        <w:t> </w:t>
      </w:r>
      <w:r>
        <w:rPr>
          <w:sz w:val="18"/>
        </w:rPr>
        <w:t>that</w:t>
      </w:r>
      <w:r>
        <w:rPr>
          <w:spacing w:val="-3"/>
          <w:sz w:val="18"/>
        </w:rPr>
        <w:t> </w:t>
      </w:r>
      <w:r>
        <w:rPr>
          <w:sz w:val="18"/>
        </w:rPr>
        <w:t>the</w:t>
      </w:r>
      <w:r>
        <w:rPr>
          <w:spacing w:val="-3"/>
          <w:sz w:val="18"/>
        </w:rPr>
        <w:t> </w:t>
      </w:r>
      <w:r>
        <w:rPr>
          <w:sz w:val="18"/>
        </w:rPr>
        <w:t>person</w:t>
      </w:r>
      <w:r>
        <w:rPr>
          <w:spacing w:val="-4"/>
          <w:sz w:val="18"/>
        </w:rPr>
        <w:t> </w:t>
      </w:r>
      <w:r>
        <w:rPr>
          <w:sz w:val="18"/>
        </w:rPr>
        <w:t>arrived</w:t>
      </w:r>
      <w:r>
        <w:rPr>
          <w:spacing w:val="-4"/>
          <w:sz w:val="18"/>
        </w:rPr>
        <w:t> </w:t>
      </w:r>
      <w:r>
        <w:rPr>
          <w:sz w:val="18"/>
        </w:rPr>
        <w:t>in</w:t>
      </w:r>
      <w:r>
        <w:rPr>
          <w:spacing w:val="-4"/>
          <w:sz w:val="18"/>
        </w:rPr>
        <w:t> </w:t>
      </w:r>
      <w:r>
        <w:rPr>
          <w:sz w:val="18"/>
        </w:rPr>
        <w:t>the UK</w:t>
      </w:r>
      <w:r>
        <w:rPr>
          <w:spacing w:val="-2"/>
          <w:sz w:val="18"/>
        </w:rPr>
        <w:t> </w:t>
      </w:r>
      <w:r>
        <w:rPr>
          <w:sz w:val="18"/>
        </w:rPr>
        <w:t>irregularly</w:t>
      </w:r>
      <w:r>
        <w:rPr>
          <w:spacing w:val="-2"/>
          <w:sz w:val="18"/>
        </w:rPr>
        <w:t> </w:t>
      </w:r>
      <w:r>
        <w:rPr>
          <w:sz w:val="18"/>
        </w:rPr>
        <w:t>after</w:t>
      </w:r>
      <w:r>
        <w:rPr>
          <w:spacing w:val="-2"/>
          <w:sz w:val="18"/>
        </w:rPr>
        <w:t> </w:t>
      </w:r>
      <w:r>
        <w:rPr>
          <w:sz w:val="18"/>
        </w:rPr>
        <w:t>20</w:t>
      </w:r>
      <w:r>
        <w:rPr>
          <w:spacing w:val="-2"/>
          <w:sz w:val="18"/>
        </w:rPr>
        <w:t> </w:t>
      </w:r>
      <w:r>
        <w:rPr>
          <w:sz w:val="18"/>
        </w:rPr>
        <w:t>July</w:t>
      </w:r>
      <w:r>
        <w:rPr>
          <w:spacing w:val="-2"/>
          <w:sz w:val="18"/>
        </w:rPr>
        <w:t> </w:t>
      </w:r>
      <w:r>
        <w:rPr>
          <w:sz w:val="18"/>
        </w:rPr>
        <w:t>2023</w:t>
      </w:r>
      <w:r>
        <w:rPr>
          <w:spacing w:val="-2"/>
          <w:sz w:val="18"/>
        </w:rPr>
        <w:t> </w:t>
      </w:r>
      <w:r>
        <w:rPr>
          <w:sz w:val="18"/>
        </w:rPr>
        <w:t>and</w:t>
      </w:r>
      <w:r>
        <w:rPr>
          <w:spacing w:val="-3"/>
          <w:sz w:val="18"/>
        </w:rPr>
        <w:t> </w:t>
      </w:r>
      <w:r>
        <w:rPr>
          <w:sz w:val="18"/>
        </w:rPr>
        <w:t>did</w:t>
      </w:r>
      <w:r>
        <w:rPr>
          <w:spacing w:val="-3"/>
          <w:sz w:val="18"/>
        </w:rPr>
        <w:t> </w:t>
      </w:r>
      <w:r>
        <w:rPr>
          <w:sz w:val="18"/>
        </w:rPr>
        <w:t>not</w:t>
      </w:r>
      <w:r>
        <w:rPr>
          <w:spacing w:val="-2"/>
          <w:sz w:val="18"/>
        </w:rPr>
        <w:t> </w:t>
      </w:r>
      <w:r>
        <w:rPr>
          <w:sz w:val="18"/>
        </w:rPr>
        <w:t>come</w:t>
      </w:r>
      <w:r>
        <w:rPr>
          <w:spacing w:val="-2"/>
          <w:sz w:val="18"/>
        </w:rPr>
        <w:t> </w:t>
      </w:r>
      <w:r>
        <w:rPr>
          <w:sz w:val="18"/>
        </w:rPr>
        <w:t>directly</w:t>
      </w:r>
      <w:r>
        <w:rPr>
          <w:spacing w:val="-2"/>
          <w:sz w:val="18"/>
        </w:rPr>
        <w:t> </w:t>
      </w:r>
      <w:r>
        <w:rPr>
          <w:sz w:val="18"/>
        </w:rPr>
        <w:t>to</w:t>
      </w:r>
      <w:r>
        <w:rPr>
          <w:spacing w:val="-3"/>
          <w:sz w:val="18"/>
        </w:rPr>
        <w:t> </w:t>
      </w:r>
      <w:r>
        <w:rPr>
          <w:sz w:val="18"/>
        </w:rPr>
        <w:t>the</w:t>
      </w:r>
      <w:r>
        <w:rPr>
          <w:spacing w:val="-2"/>
          <w:sz w:val="18"/>
        </w:rPr>
        <w:t> </w:t>
      </w:r>
      <w:r>
        <w:rPr>
          <w:sz w:val="18"/>
        </w:rPr>
        <w:t>UK</w:t>
      </w:r>
      <w:r>
        <w:rPr>
          <w:spacing w:val="-2"/>
          <w:sz w:val="18"/>
        </w:rPr>
        <w:t> </w:t>
      </w:r>
      <w:r>
        <w:rPr>
          <w:sz w:val="18"/>
        </w:rPr>
        <w:t>from</w:t>
      </w:r>
      <w:r>
        <w:rPr>
          <w:spacing w:val="-2"/>
          <w:sz w:val="18"/>
        </w:rPr>
        <w:t> </w:t>
      </w:r>
      <w:r>
        <w:rPr>
          <w:sz w:val="18"/>
        </w:rPr>
        <w:t>a</w:t>
      </w:r>
      <w:r>
        <w:rPr>
          <w:spacing w:val="-3"/>
          <w:sz w:val="18"/>
        </w:rPr>
        <w:t> </w:t>
      </w:r>
      <w:r>
        <w:rPr>
          <w:sz w:val="18"/>
        </w:rPr>
        <w:t>country</w:t>
      </w:r>
      <w:r>
        <w:rPr>
          <w:spacing w:val="-2"/>
          <w:sz w:val="18"/>
        </w:rPr>
        <w:t> </w:t>
      </w:r>
      <w:r>
        <w:rPr>
          <w:sz w:val="18"/>
        </w:rPr>
        <w:t>in</w:t>
      </w:r>
      <w:r>
        <w:rPr>
          <w:spacing w:val="-3"/>
          <w:sz w:val="18"/>
        </w:rPr>
        <w:t> </w:t>
      </w:r>
      <w:r>
        <w:rPr>
          <w:sz w:val="18"/>
        </w:rPr>
        <w:t>which</w:t>
      </w:r>
      <w:r>
        <w:rPr>
          <w:spacing w:val="-3"/>
          <w:sz w:val="18"/>
        </w:rPr>
        <w:t> </w:t>
      </w:r>
      <w:r>
        <w:rPr>
          <w:sz w:val="18"/>
        </w:rPr>
        <w:t>their</w:t>
      </w:r>
      <w:r>
        <w:rPr>
          <w:spacing w:val="-2"/>
          <w:sz w:val="18"/>
        </w:rPr>
        <w:t> </w:t>
      </w:r>
      <w:r>
        <w:rPr>
          <w:sz w:val="18"/>
        </w:rPr>
        <w:t>life</w:t>
      </w:r>
      <w:r>
        <w:rPr>
          <w:spacing w:val="-2"/>
          <w:sz w:val="18"/>
        </w:rPr>
        <w:t> </w:t>
      </w:r>
      <w:r>
        <w:rPr>
          <w:sz w:val="18"/>
        </w:rPr>
        <w:t>and</w:t>
      </w:r>
      <w:r>
        <w:rPr>
          <w:spacing w:val="-3"/>
          <w:sz w:val="18"/>
        </w:rPr>
        <w:t> </w:t>
      </w:r>
      <w:r>
        <w:rPr>
          <w:sz w:val="18"/>
        </w:rPr>
        <w:t>liberty</w:t>
      </w:r>
      <w:r>
        <w:rPr>
          <w:spacing w:val="-2"/>
          <w:sz w:val="18"/>
        </w:rPr>
        <w:t> </w:t>
      </w:r>
      <w:r>
        <w:rPr>
          <w:sz w:val="18"/>
        </w:rPr>
        <w:t>were threatened. There are minor exceptions in Section 2(11).</w:t>
      </w:r>
    </w:p>
    <w:p>
      <w:pPr>
        <w:pStyle w:val="ListParagraph"/>
        <w:numPr>
          <w:ilvl w:val="0"/>
          <w:numId w:val="11"/>
        </w:numPr>
        <w:tabs>
          <w:tab w:pos="1853" w:val="left" w:leader="none"/>
        </w:tabs>
        <w:spacing w:line="235" w:lineRule="auto" w:before="2" w:after="0"/>
        <w:ind w:left="1853" w:right="1277" w:hanging="720"/>
        <w:jc w:val="both"/>
        <w:rPr>
          <w:sz w:val="18"/>
        </w:rPr>
      </w:pPr>
      <w:r>
        <w:rPr>
          <w:sz w:val="18"/>
        </w:rPr>
        <w:t>When</w:t>
      </w:r>
      <w:r>
        <w:rPr>
          <w:spacing w:val="-5"/>
          <w:sz w:val="18"/>
        </w:rPr>
        <w:t> </w:t>
      </w:r>
      <w:r>
        <w:rPr>
          <w:sz w:val="18"/>
        </w:rPr>
        <w:t>the</w:t>
      </w:r>
      <w:r>
        <w:rPr>
          <w:spacing w:val="-4"/>
          <w:sz w:val="18"/>
        </w:rPr>
        <w:t> </w:t>
      </w:r>
      <w:r>
        <w:rPr>
          <w:sz w:val="18"/>
        </w:rPr>
        <w:t>conditions</w:t>
      </w:r>
      <w:r>
        <w:rPr>
          <w:spacing w:val="-5"/>
          <w:sz w:val="18"/>
        </w:rPr>
        <w:t> </w:t>
      </w:r>
      <w:r>
        <w:rPr>
          <w:sz w:val="18"/>
        </w:rPr>
        <w:t>in</w:t>
      </w:r>
      <w:r>
        <w:rPr>
          <w:spacing w:val="-5"/>
          <w:sz w:val="18"/>
        </w:rPr>
        <w:t> </w:t>
      </w:r>
      <w:r>
        <w:rPr>
          <w:sz w:val="18"/>
        </w:rPr>
        <w:t>section</w:t>
      </w:r>
      <w:r>
        <w:rPr>
          <w:spacing w:val="-5"/>
          <w:sz w:val="18"/>
        </w:rPr>
        <w:t> </w:t>
      </w:r>
      <w:r>
        <w:rPr>
          <w:sz w:val="18"/>
        </w:rPr>
        <w:t>2(2)-(6)</w:t>
      </w:r>
      <w:r>
        <w:rPr>
          <w:spacing w:val="-5"/>
          <w:sz w:val="18"/>
        </w:rPr>
        <w:t> </w:t>
      </w:r>
      <w:r>
        <w:rPr>
          <w:sz w:val="18"/>
        </w:rPr>
        <w:t>Illegal</w:t>
      </w:r>
      <w:r>
        <w:rPr>
          <w:spacing w:val="-5"/>
          <w:sz w:val="18"/>
        </w:rPr>
        <w:t> </w:t>
      </w:r>
      <w:r>
        <w:rPr>
          <w:sz w:val="18"/>
        </w:rPr>
        <w:t>Migration</w:t>
      </w:r>
      <w:r>
        <w:rPr>
          <w:spacing w:val="-5"/>
          <w:sz w:val="18"/>
        </w:rPr>
        <w:t> </w:t>
      </w:r>
      <w:r>
        <w:rPr>
          <w:sz w:val="18"/>
        </w:rPr>
        <w:t>Act</w:t>
      </w:r>
      <w:r>
        <w:rPr>
          <w:spacing w:val="-4"/>
          <w:sz w:val="18"/>
        </w:rPr>
        <w:t> </w:t>
      </w:r>
      <w:r>
        <w:rPr>
          <w:sz w:val="18"/>
        </w:rPr>
        <w:t>2023</w:t>
      </w:r>
      <w:r>
        <w:rPr>
          <w:spacing w:val="-4"/>
          <w:sz w:val="18"/>
        </w:rPr>
        <w:t> </w:t>
      </w:r>
      <w:r>
        <w:rPr>
          <w:sz w:val="18"/>
        </w:rPr>
        <w:t>apply,</w:t>
      </w:r>
      <w:r>
        <w:rPr>
          <w:spacing w:val="-4"/>
          <w:sz w:val="18"/>
        </w:rPr>
        <w:t> </w:t>
      </w:r>
      <w:r>
        <w:rPr>
          <w:sz w:val="18"/>
        </w:rPr>
        <w:t>any</w:t>
      </w:r>
      <w:r>
        <w:rPr>
          <w:spacing w:val="-4"/>
          <w:sz w:val="18"/>
        </w:rPr>
        <w:t> </w:t>
      </w:r>
      <w:r>
        <w:rPr>
          <w:sz w:val="18"/>
        </w:rPr>
        <w:t>protection</w:t>
      </w:r>
      <w:r>
        <w:rPr>
          <w:spacing w:val="-5"/>
          <w:sz w:val="18"/>
        </w:rPr>
        <w:t> </w:t>
      </w:r>
      <w:r>
        <w:rPr>
          <w:sz w:val="18"/>
        </w:rPr>
        <w:t>claim</w:t>
      </w:r>
      <w:r>
        <w:rPr>
          <w:spacing w:val="-4"/>
          <w:sz w:val="18"/>
        </w:rPr>
        <w:t> </w:t>
      </w:r>
      <w:r>
        <w:rPr>
          <w:sz w:val="18"/>
        </w:rPr>
        <w:t>(section</w:t>
      </w:r>
      <w:r>
        <w:rPr>
          <w:spacing w:val="-5"/>
          <w:sz w:val="18"/>
        </w:rPr>
        <w:t> </w:t>
      </w:r>
      <w:r>
        <w:rPr>
          <w:sz w:val="18"/>
        </w:rPr>
        <w:t>5(2))</w:t>
      </w:r>
      <w:r>
        <w:rPr>
          <w:spacing w:val="-5"/>
          <w:sz w:val="18"/>
        </w:rPr>
        <w:t> </w:t>
      </w:r>
      <w:r>
        <w:rPr>
          <w:sz w:val="18"/>
        </w:rPr>
        <w:t>and</w:t>
      </w:r>
      <w:r>
        <w:rPr>
          <w:spacing w:val="-5"/>
          <w:sz w:val="18"/>
        </w:rPr>
        <w:t> </w:t>
      </w:r>
      <w:r>
        <w:rPr>
          <w:sz w:val="18"/>
        </w:rPr>
        <w:t>a</w:t>
      </w:r>
      <w:r>
        <w:rPr>
          <w:spacing w:val="-5"/>
          <w:sz w:val="18"/>
        </w:rPr>
        <w:t> </w:t>
      </w:r>
      <w:r>
        <w:rPr>
          <w:sz w:val="18"/>
        </w:rPr>
        <w:t>human rights claim concerning a country of origin (see section 5(2) and 5(5)) must be declared inadmissible by the Secretary</w:t>
      </w:r>
    </w:p>
    <w:p>
      <w:pPr>
        <w:spacing w:line="216" w:lineRule="exact" w:before="0"/>
        <w:ind w:left="1853" w:right="0" w:firstLine="0"/>
        <w:jc w:val="left"/>
        <w:rPr>
          <w:sz w:val="18"/>
        </w:rPr>
      </w:pPr>
      <w:r>
        <w:rPr>
          <w:sz w:val="18"/>
        </w:rPr>
        <w:t>of</w:t>
      </w:r>
      <w:r>
        <w:rPr>
          <w:spacing w:val="-7"/>
          <w:sz w:val="18"/>
        </w:rPr>
        <w:t> </w:t>
      </w:r>
      <w:r>
        <w:rPr>
          <w:sz w:val="18"/>
        </w:rPr>
        <w:t>State,</w:t>
      </w:r>
      <w:r>
        <w:rPr>
          <w:spacing w:val="-6"/>
          <w:sz w:val="18"/>
        </w:rPr>
        <w:t> </w:t>
      </w:r>
      <w:r>
        <w:rPr>
          <w:sz w:val="18"/>
        </w:rPr>
        <w:t>without</w:t>
      </w:r>
      <w:r>
        <w:rPr>
          <w:spacing w:val="-6"/>
          <w:sz w:val="18"/>
        </w:rPr>
        <w:t> </w:t>
      </w:r>
      <w:r>
        <w:rPr>
          <w:sz w:val="18"/>
        </w:rPr>
        <w:t>any</w:t>
      </w:r>
      <w:r>
        <w:rPr>
          <w:spacing w:val="-5"/>
          <w:sz w:val="18"/>
        </w:rPr>
        <w:t> </w:t>
      </w:r>
      <w:r>
        <w:rPr>
          <w:sz w:val="18"/>
        </w:rPr>
        <w:t>individualised</w:t>
      </w:r>
      <w:r>
        <w:rPr>
          <w:spacing w:val="-7"/>
          <w:sz w:val="18"/>
        </w:rPr>
        <w:t> </w:t>
      </w:r>
      <w:r>
        <w:rPr>
          <w:sz w:val="18"/>
        </w:rPr>
        <w:t>assessment.</w:t>
      </w:r>
      <w:r>
        <w:rPr>
          <w:spacing w:val="-7"/>
          <w:sz w:val="18"/>
        </w:rPr>
        <w:t> </w:t>
      </w:r>
      <w:r>
        <w:rPr>
          <w:sz w:val="18"/>
        </w:rPr>
        <w:t>A</w:t>
      </w:r>
      <w:r>
        <w:rPr>
          <w:spacing w:val="-5"/>
          <w:sz w:val="18"/>
        </w:rPr>
        <w:t> </w:t>
      </w:r>
      <w:r>
        <w:rPr>
          <w:sz w:val="18"/>
        </w:rPr>
        <w:t>person</w:t>
      </w:r>
      <w:r>
        <w:rPr>
          <w:spacing w:val="-7"/>
          <w:sz w:val="18"/>
        </w:rPr>
        <w:t> </w:t>
      </w:r>
      <w:r>
        <w:rPr>
          <w:sz w:val="18"/>
        </w:rPr>
        <w:t>may</w:t>
      </w:r>
      <w:r>
        <w:rPr>
          <w:spacing w:val="-6"/>
          <w:sz w:val="18"/>
        </w:rPr>
        <w:t> </w:t>
      </w:r>
      <w:r>
        <w:rPr>
          <w:sz w:val="18"/>
        </w:rPr>
        <w:t>make</w:t>
      </w:r>
      <w:r>
        <w:rPr>
          <w:spacing w:val="-6"/>
          <w:sz w:val="18"/>
        </w:rPr>
        <w:t> </w:t>
      </w:r>
      <w:r>
        <w:rPr>
          <w:sz w:val="18"/>
        </w:rPr>
        <w:t>a</w:t>
      </w:r>
      <w:r>
        <w:rPr>
          <w:spacing w:val="-6"/>
          <w:sz w:val="18"/>
        </w:rPr>
        <w:t> </w:t>
      </w:r>
      <w:r>
        <w:rPr>
          <w:sz w:val="18"/>
        </w:rPr>
        <w:t>‘removal</w:t>
      </w:r>
      <w:r>
        <w:rPr>
          <w:spacing w:val="-7"/>
          <w:sz w:val="18"/>
        </w:rPr>
        <w:t> </w:t>
      </w:r>
      <w:r>
        <w:rPr>
          <w:sz w:val="18"/>
        </w:rPr>
        <w:t>conditions</w:t>
      </w:r>
      <w:r>
        <w:rPr>
          <w:spacing w:val="-7"/>
          <w:sz w:val="18"/>
        </w:rPr>
        <w:t> </w:t>
      </w:r>
      <w:r>
        <w:rPr>
          <w:sz w:val="18"/>
        </w:rPr>
        <w:t>suspensive</w:t>
      </w:r>
      <w:r>
        <w:rPr>
          <w:spacing w:val="-5"/>
          <w:sz w:val="18"/>
        </w:rPr>
        <w:t> </w:t>
      </w:r>
      <w:r>
        <w:rPr>
          <w:spacing w:val="-2"/>
          <w:sz w:val="18"/>
        </w:rPr>
        <w:t>claim’,</w:t>
      </w:r>
    </w:p>
    <w:p>
      <w:pPr>
        <w:spacing w:line="235" w:lineRule="auto" w:before="1"/>
        <w:ind w:left="1853" w:right="1572" w:firstLine="0"/>
        <w:jc w:val="left"/>
        <w:rPr>
          <w:sz w:val="18"/>
        </w:rPr>
      </w:pPr>
      <w:r>
        <w:rPr>
          <w:sz w:val="18"/>
        </w:rPr>
        <w:t>or ‘serious</w:t>
      </w:r>
      <w:r>
        <w:rPr>
          <w:spacing w:val="-1"/>
          <w:sz w:val="18"/>
        </w:rPr>
        <w:t> </w:t>
      </w:r>
      <w:r>
        <w:rPr>
          <w:sz w:val="18"/>
        </w:rPr>
        <w:t>harm suspensive claim’ (sections</w:t>
      </w:r>
      <w:r>
        <w:rPr>
          <w:spacing w:val="-1"/>
          <w:sz w:val="18"/>
        </w:rPr>
        <w:t> </w:t>
      </w:r>
      <w:r>
        <w:rPr>
          <w:sz w:val="18"/>
        </w:rPr>
        <w:t>38-43).</w:t>
      </w:r>
      <w:r>
        <w:rPr>
          <w:spacing w:val="-1"/>
          <w:sz w:val="18"/>
        </w:rPr>
        <w:t> </w:t>
      </w:r>
      <w:r>
        <w:rPr>
          <w:sz w:val="18"/>
        </w:rPr>
        <w:t>A serious</w:t>
      </w:r>
      <w:r>
        <w:rPr>
          <w:spacing w:val="-1"/>
          <w:sz w:val="18"/>
        </w:rPr>
        <w:t> </w:t>
      </w:r>
      <w:r>
        <w:rPr>
          <w:sz w:val="18"/>
        </w:rPr>
        <w:t>harm suspensive claim requires</w:t>
      </w:r>
      <w:r>
        <w:rPr>
          <w:spacing w:val="-1"/>
          <w:sz w:val="18"/>
        </w:rPr>
        <w:t> </w:t>
      </w:r>
      <w:r>
        <w:rPr>
          <w:sz w:val="18"/>
        </w:rPr>
        <w:t>the person</w:t>
      </w:r>
      <w:r>
        <w:rPr>
          <w:spacing w:val="-1"/>
          <w:sz w:val="18"/>
        </w:rPr>
        <w:t> </w:t>
      </w:r>
      <w:r>
        <w:rPr>
          <w:sz w:val="18"/>
        </w:rPr>
        <w:t>to</w:t>
      </w:r>
      <w:r>
        <w:rPr>
          <w:spacing w:val="-1"/>
          <w:sz w:val="18"/>
        </w:rPr>
        <w:t> </w:t>
      </w:r>
      <w:r>
        <w:rPr>
          <w:sz w:val="18"/>
        </w:rPr>
        <w:t>provide “compelling evidence” that the person would, before the end of “the relevant period”, face a “real, imminent and foreseeable</w:t>
      </w:r>
      <w:r>
        <w:rPr>
          <w:spacing w:val="-4"/>
          <w:sz w:val="18"/>
        </w:rPr>
        <w:t> </w:t>
      </w:r>
      <w:r>
        <w:rPr>
          <w:sz w:val="18"/>
        </w:rPr>
        <w:t>risk</w:t>
      </w:r>
      <w:r>
        <w:rPr>
          <w:spacing w:val="-4"/>
          <w:sz w:val="18"/>
        </w:rPr>
        <w:t> </w:t>
      </w:r>
      <w:r>
        <w:rPr>
          <w:sz w:val="18"/>
        </w:rPr>
        <w:t>of</w:t>
      </w:r>
      <w:r>
        <w:rPr>
          <w:spacing w:val="-5"/>
          <w:sz w:val="18"/>
        </w:rPr>
        <w:t> </w:t>
      </w:r>
      <w:r>
        <w:rPr>
          <w:sz w:val="18"/>
        </w:rPr>
        <w:t>serious</w:t>
      </w:r>
      <w:r>
        <w:rPr>
          <w:spacing w:val="-5"/>
          <w:sz w:val="18"/>
        </w:rPr>
        <w:t> </w:t>
      </w:r>
      <w:r>
        <w:rPr>
          <w:sz w:val="18"/>
        </w:rPr>
        <w:t>and</w:t>
      </w:r>
      <w:r>
        <w:rPr>
          <w:spacing w:val="-5"/>
          <w:sz w:val="18"/>
        </w:rPr>
        <w:t> </w:t>
      </w:r>
      <w:r>
        <w:rPr>
          <w:sz w:val="18"/>
        </w:rPr>
        <w:t>irreversible</w:t>
      </w:r>
      <w:r>
        <w:rPr>
          <w:spacing w:val="-4"/>
          <w:sz w:val="18"/>
        </w:rPr>
        <w:t> </w:t>
      </w:r>
      <w:r>
        <w:rPr>
          <w:sz w:val="18"/>
        </w:rPr>
        <w:t>harm</w:t>
      </w:r>
      <w:r>
        <w:rPr>
          <w:spacing w:val="-4"/>
          <w:sz w:val="18"/>
        </w:rPr>
        <w:t> </w:t>
      </w:r>
      <w:r>
        <w:rPr>
          <w:sz w:val="18"/>
        </w:rPr>
        <w:t>if</w:t>
      </w:r>
      <w:r>
        <w:rPr>
          <w:spacing w:val="-5"/>
          <w:sz w:val="18"/>
        </w:rPr>
        <w:t> </w:t>
      </w:r>
      <w:r>
        <w:rPr>
          <w:sz w:val="18"/>
        </w:rPr>
        <w:t>removed”</w:t>
      </w:r>
      <w:r>
        <w:rPr>
          <w:spacing w:val="-5"/>
          <w:sz w:val="18"/>
        </w:rPr>
        <w:t> </w:t>
      </w:r>
      <w:r>
        <w:rPr>
          <w:sz w:val="18"/>
        </w:rPr>
        <w:t>to</w:t>
      </w:r>
      <w:r>
        <w:rPr>
          <w:spacing w:val="-5"/>
          <w:sz w:val="18"/>
        </w:rPr>
        <w:t> </w:t>
      </w:r>
      <w:r>
        <w:rPr>
          <w:sz w:val="18"/>
        </w:rPr>
        <w:t>the</w:t>
      </w:r>
      <w:r>
        <w:rPr>
          <w:spacing w:val="-4"/>
          <w:sz w:val="18"/>
        </w:rPr>
        <w:t> </w:t>
      </w:r>
      <w:r>
        <w:rPr>
          <w:sz w:val="18"/>
        </w:rPr>
        <w:t>country</w:t>
      </w:r>
      <w:r>
        <w:rPr>
          <w:spacing w:val="-4"/>
          <w:sz w:val="18"/>
        </w:rPr>
        <w:t> </w:t>
      </w:r>
      <w:r>
        <w:rPr>
          <w:sz w:val="18"/>
        </w:rPr>
        <w:t>specified</w:t>
      </w:r>
      <w:r>
        <w:rPr>
          <w:spacing w:val="-5"/>
          <w:sz w:val="18"/>
        </w:rPr>
        <w:t> </w:t>
      </w:r>
      <w:r>
        <w:rPr>
          <w:sz w:val="18"/>
        </w:rPr>
        <w:t>in</w:t>
      </w:r>
      <w:r>
        <w:rPr>
          <w:spacing w:val="-5"/>
          <w:sz w:val="18"/>
        </w:rPr>
        <w:t> </w:t>
      </w:r>
      <w:r>
        <w:rPr>
          <w:sz w:val="18"/>
        </w:rPr>
        <w:t>the</w:t>
      </w:r>
      <w:r>
        <w:rPr>
          <w:spacing w:val="-4"/>
          <w:sz w:val="18"/>
        </w:rPr>
        <w:t> </w:t>
      </w:r>
      <w:r>
        <w:rPr>
          <w:sz w:val="18"/>
        </w:rPr>
        <w:t>removal</w:t>
      </w:r>
      <w:r>
        <w:rPr>
          <w:spacing w:val="-5"/>
          <w:sz w:val="18"/>
        </w:rPr>
        <w:t> </w:t>
      </w:r>
      <w:r>
        <w:rPr>
          <w:sz w:val="18"/>
        </w:rPr>
        <w:t>notice</w:t>
      </w:r>
      <w:r>
        <w:rPr>
          <w:spacing w:val="-4"/>
          <w:sz w:val="18"/>
        </w:rPr>
        <w:t> </w:t>
      </w:r>
      <w:r>
        <w:rPr>
          <w:sz w:val="18"/>
        </w:rPr>
        <w:t>(sections 39(2-3) and 42(2)). A serious harm suspensive claim applies only to third country removals and not to removal to</w:t>
      </w:r>
      <w:r>
        <w:rPr>
          <w:spacing w:val="40"/>
          <w:sz w:val="18"/>
        </w:rPr>
        <w:t> </w:t>
      </w:r>
      <w:r>
        <w:rPr>
          <w:sz w:val="18"/>
        </w:rPr>
        <w:t>the country of origin.</w:t>
      </w:r>
    </w:p>
    <w:p>
      <w:pPr>
        <w:pStyle w:val="ListParagraph"/>
        <w:numPr>
          <w:ilvl w:val="0"/>
          <w:numId w:val="11"/>
        </w:numPr>
        <w:tabs>
          <w:tab w:pos="1853" w:val="left" w:leader="none"/>
        </w:tabs>
        <w:spacing w:line="218" w:lineRule="exact" w:before="0" w:after="0"/>
        <w:ind w:left="1853" w:right="0" w:hanging="720"/>
        <w:jc w:val="left"/>
        <w:rPr>
          <w:sz w:val="18"/>
        </w:rPr>
      </w:pPr>
      <w:r>
        <w:rPr>
          <w:sz w:val="18"/>
        </w:rPr>
        <w:t>Sections</w:t>
      </w:r>
      <w:r>
        <w:rPr>
          <w:spacing w:val="-9"/>
          <w:sz w:val="18"/>
        </w:rPr>
        <w:t> </w:t>
      </w:r>
      <w:r>
        <w:rPr>
          <w:sz w:val="18"/>
        </w:rPr>
        <w:t>11-15,</w:t>
      </w:r>
      <w:r>
        <w:rPr>
          <w:spacing w:val="-7"/>
          <w:sz w:val="18"/>
        </w:rPr>
        <w:t> </w:t>
      </w:r>
      <w:r>
        <w:rPr>
          <w:sz w:val="18"/>
        </w:rPr>
        <w:t>Illegal</w:t>
      </w:r>
      <w:r>
        <w:rPr>
          <w:spacing w:val="-6"/>
          <w:sz w:val="18"/>
        </w:rPr>
        <w:t> </w:t>
      </w:r>
      <w:r>
        <w:rPr>
          <w:sz w:val="18"/>
        </w:rPr>
        <w:t>Migration</w:t>
      </w:r>
      <w:r>
        <w:rPr>
          <w:spacing w:val="-7"/>
          <w:sz w:val="18"/>
        </w:rPr>
        <w:t> </w:t>
      </w:r>
      <w:r>
        <w:rPr>
          <w:sz w:val="18"/>
        </w:rPr>
        <w:t>Act</w:t>
      </w:r>
      <w:r>
        <w:rPr>
          <w:spacing w:val="-6"/>
          <w:sz w:val="18"/>
        </w:rPr>
        <w:t> </w:t>
      </w:r>
      <w:r>
        <w:rPr>
          <w:spacing w:val="-2"/>
          <w:sz w:val="18"/>
        </w:rPr>
        <w:t>2023.</w:t>
      </w:r>
    </w:p>
    <w:p>
      <w:pPr>
        <w:pStyle w:val="ListParagraph"/>
        <w:numPr>
          <w:ilvl w:val="0"/>
          <w:numId w:val="11"/>
        </w:numPr>
        <w:tabs>
          <w:tab w:pos="1853" w:val="left" w:leader="none"/>
        </w:tabs>
        <w:spacing w:line="235" w:lineRule="auto" w:before="2" w:after="0"/>
        <w:ind w:left="1853" w:right="1897" w:hanging="720"/>
        <w:jc w:val="left"/>
        <w:rPr>
          <w:sz w:val="18"/>
        </w:rPr>
      </w:pP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‘Submission</w:t>
      </w:r>
      <w:r>
        <w:rPr>
          <w:spacing w:val="-5"/>
          <w:sz w:val="18"/>
        </w:rPr>
        <w:t> </w:t>
      </w:r>
      <w:r>
        <w:rPr>
          <w:sz w:val="18"/>
        </w:rPr>
        <w:t>to</w:t>
      </w:r>
      <w:r>
        <w:rPr>
          <w:spacing w:val="-5"/>
          <w:sz w:val="18"/>
        </w:rPr>
        <w:t> </w:t>
      </w:r>
      <w:r>
        <w:rPr>
          <w:sz w:val="18"/>
        </w:rPr>
        <w:t>Joint</w:t>
      </w:r>
      <w:r>
        <w:rPr>
          <w:spacing w:val="-4"/>
          <w:sz w:val="18"/>
        </w:rPr>
        <w:t> </w:t>
      </w:r>
      <w:r>
        <w:rPr>
          <w:sz w:val="18"/>
        </w:rPr>
        <w:t>Committee</w:t>
      </w:r>
      <w:r>
        <w:rPr>
          <w:spacing w:val="-4"/>
          <w:sz w:val="18"/>
        </w:rPr>
        <w:t> </w:t>
      </w:r>
      <w:r>
        <w:rPr>
          <w:sz w:val="18"/>
        </w:rPr>
        <w:t>on</w:t>
      </w:r>
      <w:r>
        <w:rPr>
          <w:spacing w:val="-5"/>
          <w:sz w:val="18"/>
        </w:rPr>
        <w:t> </w:t>
      </w:r>
      <w:r>
        <w:rPr>
          <w:sz w:val="18"/>
        </w:rPr>
        <w:t>Human</w:t>
      </w:r>
      <w:r>
        <w:rPr>
          <w:spacing w:val="-5"/>
          <w:sz w:val="18"/>
        </w:rPr>
        <w:t> </w:t>
      </w:r>
      <w:r>
        <w:rPr>
          <w:sz w:val="18"/>
        </w:rPr>
        <w:t>Rights</w:t>
      </w:r>
      <w:r>
        <w:rPr>
          <w:spacing w:val="-5"/>
          <w:sz w:val="18"/>
        </w:rPr>
        <w:t> </w:t>
      </w:r>
      <w:r>
        <w:rPr>
          <w:sz w:val="18"/>
        </w:rPr>
        <w:t>Inquiry</w:t>
      </w:r>
      <w:r>
        <w:rPr>
          <w:spacing w:val="-4"/>
          <w:sz w:val="18"/>
        </w:rPr>
        <w:t> </w:t>
      </w:r>
      <w:r>
        <w:rPr>
          <w:sz w:val="18"/>
        </w:rPr>
        <w:t>on</w:t>
      </w:r>
      <w:r>
        <w:rPr>
          <w:spacing w:val="-5"/>
          <w:sz w:val="18"/>
        </w:rPr>
        <w:t> </w:t>
      </w:r>
      <w:r>
        <w:rPr>
          <w:sz w:val="18"/>
        </w:rPr>
        <w:t>Illegal</w:t>
      </w:r>
      <w:r>
        <w:rPr>
          <w:spacing w:val="-5"/>
          <w:sz w:val="18"/>
        </w:rPr>
        <w:t> </w:t>
      </w:r>
      <w:r>
        <w:rPr>
          <w:sz w:val="18"/>
        </w:rPr>
        <w:t>Migration</w:t>
      </w:r>
      <w:r>
        <w:rPr>
          <w:spacing w:val="-5"/>
          <w:sz w:val="18"/>
        </w:rPr>
        <w:t> </w:t>
      </w:r>
      <w:r>
        <w:rPr>
          <w:sz w:val="18"/>
        </w:rPr>
        <w:t>Bill’ (NIHRC, 2023).</w:t>
      </w:r>
    </w:p>
    <w:p>
      <w:pPr>
        <w:pStyle w:val="ListParagraph"/>
        <w:numPr>
          <w:ilvl w:val="0"/>
          <w:numId w:val="11"/>
        </w:numPr>
        <w:tabs>
          <w:tab w:pos="1853" w:val="left" w:leader="none"/>
        </w:tabs>
        <w:spacing w:line="235" w:lineRule="auto" w:before="1" w:after="0"/>
        <w:ind w:left="1853" w:right="1827" w:hanging="720"/>
        <w:jc w:val="left"/>
        <w:rPr>
          <w:sz w:val="18"/>
        </w:rPr>
      </w:pP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3"/>
          <w:sz w:val="18"/>
        </w:rPr>
        <w:t> </w:t>
      </w:r>
      <w:r>
        <w:rPr>
          <w:sz w:val="18"/>
        </w:rPr>
        <w:t>‘Submission</w:t>
      </w:r>
      <w:r>
        <w:rPr>
          <w:spacing w:val="-4"/>
          <w:sz w:val="18"/>
        </w:rPr>
        <w:t> </w:t>
      </w:r>
      <w:r>
        <w:rPr>
          <w:sz w:val="18"/>
        </w:rPr>
        <w:t>to</w:t>
      </w:r>
      <w:r>
        <w:rPr>
          <w:spacing w:val="-4"/>
          <w:sz w:val="18"/>
        </w:rPr>
        <w:t> </w:t>
      </w:r>
      <w:r>
        <w:rPr>
          <w:sz w:val="18"/>
        </w:rPr>
        <w:t>House</w:t>
      </w:r>
      <w:r>
        <w:rPr>
          <w:spacing w:val="-3"/>
          <w:sz w:val="18"/>
        </w:rPr>
        <w:t> </w:t>
      </w:r>
      <w:r>
        <w:rPr>
          <w:sz w:val="18"/>
        </w:rPr>
        <w:t>of</w:t>
      </w:r>
      <w:r>
        <w:rPr>
          <w:spacing w:val="-4"/>
          <w:sz w:val="18"/>
        </w:rPr>
        <w:t> </w:t>
      </w:r>
      <w:r>
        <w:rPr>
          <w:sz w:val="18"/>
        </w:rPr>
        <w:t>Lords</w:t>
      </w:r>
      <w:r>
        <w:rPr>
          <w:spacing w:val="-4"/>
          <w:sz w:val="18"/>
        </w:rPr>
        <w:t> </w:t>
      </w:r>
      <w:r>
        <w:rPr>
          <w:sz w:val="18"/>
        </w:rPr>
        <w:t>on</w:t>
      </w:r>
      <w:r>
        <w:rPr>
          <w:spacing w:val="-4"/>
          <w:sz w:val="18"/>
        </w:rPr>
        <w:t> </w:t>
      </w:r>
      <w:r>
        <w:rPr>
          <w:sz w:val="18"/>
        </w:rPr>
        <w:t>the</w:t>
      </w:r>
      <w:r>
        <w:rPr>
          <w:spacing w:val="-3"/>
          <w:sz w:val="18"/>
        </w:rPr>
        <w:t> </w:t>
      </w:r>
      <w:r>
        <w:rPr>
          <w:sz w:val="18"/>
        </w:rPr>
        <w:t>Illegal</w:t>
      </w:r>
      <w:r>
        <w:rPr>
          <w:spacing w:val="-4"/>
          <w:sz w:val="18"/>
        </w:rPr>
        <w:t> </w:t>
      </w:r>
      <w:r>
        <w:rPr>
          <w:sz w:val="18"/>
        </w:rPr>
        <w:t>Migration</w:t>
      </w:r>
      <w:r>
        <w:rPr>
          <w:spacing w:val="-4"/>
          <w:sz w:val="18"/>
        </w:rPr>
        <w:t> </w:t>
      </w:r>
      <w:r>
        <w:rPr>
          <w:sz w:val="18"/>
        </w:rPr>
        <w:t>Bill’</w:t>
      </w:r>
      <w:r>
        <w:rPr>
          <w:spacing w:val="-3"/>
          <w:sz w:val="18"/>
        </w:rPr>
        <w:t> </w:t>
      </w:r>
      <w:r>
        <w:rPr>
          <w:sz w:val="18"/>
        </w:rPr>
        <w:t>(NIHRC,</w:t>
      </w:r>
      <w:r>
        <w:rPr>
          <w:spacing w:val="-3"/>
          <w:sz w:val="18"/>
        </w:rPr>
        <w:t> </w:t>
      </w:r>
      <w:r>
        <w:rPr>
          <w:sz w:val="18"/>
        </w:rPr>
        <w:t>2023);</w:t>
      </w:r>
      <w:r>
        <w:rPr>
          <w:spacing w:val="-3"/>
          <w:sz w:val="18"/>
        </w:rPr>
        <w:t> </w:t>
      </w:r>
      <w:r>
        <w:rPr>
          <w:sz w:val="18"/>
        </w:rPr>
        <w:t>Equality Commission for NI ‘Submission to the House of Lords on the Illegal Migration Bill’ (ECNI, 2023).</w:t>
      </w:r>
    </w:p>
    <w:p>
      <w:pPr>
        <w:pStyle w:val="ListParagraph"/>
        <w:numPr>
          <w:ilvl w:val="0"/>
          <w:numId w:val="11"/>
        </w:numPr>
        <w:tabs>
          <w:tab w:pos="1853" w:val="left" w:leader="none"/>
        </w:tabs>
        <w:spacing w:line="235" w:lineRule="auto" w:before="2" w:after="0"/>
        <w:ind w:left="1853" w:right="1471" w:hanging="720"/>
        <w:jc w:val="left"/>
        <w:rPr>
          <w:sz w:val="18"/>
        </w:rPr>
      </w:pPr>
      <w:r>
        <w:rPr>
          <w:sz w:val="18"/>
        </w:rPr>
        <w:t>Directive</w:t>
      </w:r>
      <w:r>
        <w:rPr>
          <w:spacing w:val="-5"/>
          <w:sz w:val="18"/>
        </w:rPr>
        <w:t> </w:t>
      </w:r>
      <w:r>
        <w:rPr>
          <w:sz w:val="18"/>
        </w:rPr>
        <w:t>2005/85/EC,</w:t>
      </w:r>
      <w:r>
        <w:rPr>
          <w:spacing w:val="-5"/>
          <w:sz w:val="18"/>
        </w:rPr>
        <w:t> </w:t>
      </w:r>
      <w:r>
        <w:rPr>
          <w:sz w:val="18"/>
        </w:rPr>
        <w:t>‘EU</w:t>
      </w:r>
      <w:r>
        <w:rPr>
          <w:spacing w:val="-5"/>
          <w:sz w:val="18"/>
        </w:rPr>
        <w:t> </w:t>
      </w:r>
      <w:r>
        <w:rPr>
          <w:sz w:val="18"/>
        </w:rPr>
        <w:t>Council</w:t>
      </w:r>
      <w:r>
        <w:rPr>
          <w:spacing w:val="-6"/>
          <w:sz w:val="18"/>
        </w:rPr>
        <w:t> </w:t>
      </w:r>
      <w:r>
        <w:rPr>
          <w:sz w:val="18"/>
        </w:rPr>
        <w:t>Directive</w:t>
      </w:r>
      <w:r>
        <w:rPr>
          <w:spacing w:val="-5"/>
          <w:sz w:val="18"/>
        </w:rPr>
        <w:t> </w:t>
      </w:r>
      <w:r>
        <w:rPr>
          <w:sz w:val="18"/>
        </w:rPr>
        <w:t>on</w:t>
      </w:r>
      <w:r>
        <w:rPr>
          <w:spacing w:val="-6"/>
          <w:sz w:val="18"/>
        </w:rPr>
        <w:t> </w:t>
      </w:r>
      <w:r>
        <w:rPr>
          <w:sz w:val="18"/>
        </w:rPr>
        <w:t>Minimum</w:t>
      </w:r>
      <w:r>
        <w:rPr>
          <w:spacing w:val="-5"/>
          <w:sz w:val="18"/>
        </w:rPr>
        <w:t> </w:t>
      </w:r>
      <w:r>
        <w:rPr>
          <w:sz w:val="18"/>
        </w:rPr>
        <w:t>Standards</w:t>
      </w:r>
      <w:r>
        <w:rPr>
          <w:spacing w:val="-6"/>
          <w:sz w:val="18"/>
        </w:rPr>
        <w:t> </w:t>
      </w:r>
      <w:r>
        <w:rPr>
          <w:sz w:val="18"/>
        </w:rPr>
        <w:t>on</w:t>
      </w:r>
      <w:r>
        <w:rPr>
          <w:spacing w:val="-6"/>
          <w:sz w:val="18"/>
        </w:rPr>
        <w:t> </w:t>
      </w:r>
      <w:r>
        <w:rPr>
          <w:sz w:val="18"/>
        </w:rPr>
        <w:t>Procedures</w:t>
      </w:r>
      <w:r>
        <w:rPr>
          <w:spacing w:val="-6"/>
          <w:sz w:val="18"/>
        </w:rPr>
        <w:t> </w:t>
      </w:r>
      <w:r>
        <w:rPr>
          <w:sz w:val="18"/>
        </w:rPr>
        <w:t>in</w:t>
      </w:r>
      <w:r>
        <w:rPr>
          <w:spacing w:val="-6"/>
          <w:sz w:val="18"/>
        </w:rPr>
        <w:t> </w:t>
      </w:r>
      <w:r>
        <w:rPr>
          <w:sz w:val="18"/>
        </w:rPr>
        <w:t>Member</w:t>
      </w:r>
      <w:r>
        <w:rPr>
          <w:spacing w:val="-5"/>
          <w:sz w:val="18"/>
        </w:rPr>
        <w:t> </w:t>
      </w:r>
      <w:r>
        <w:rPr>
          <w:sz w:val="18"/>
        </w:rPr>
        <w:t>States</w:t>
      </w:r>
      <w:r>
        <w:rPr>
          <w:spacing w:val="-6"/>
          <w:sz w:val="18"/>
        </w:rPr>
        <w:t> </w:t>
      </w:r>
      <w:r>
        <w:rPr>
          <w:sz w:val="18"/>
        </w:rPr>
        <w:t>for</w:t>
      </w:r>
      <w:r>
        <w:rPr>
          <w:spacing w:val="-5"/>
          <w:sz w:val="18"/>
        </w:rPr>
        <w:t> </w:t>
      </w:r>
      <w:r>
        <w:rPr>
          <w:sz w:val="18"/>
        </w:rPr>
        <w:t>Granting</w:t>
      </w:r>
      <w:r>
        <w:rPr>
          <w:spacing w:val="-5"/>
          <w:sz w:val="18"/>
        </w:rPr>
        <w:t> </w:t>
      </w:r>
      <w:r>
        <w:rPr>
          <w:sz w:val="18"/>
        </w:rPr>
        <w:t>and Withdrawing Refugee Status’, 1 December 2005.</w:t>
      </w:r>
    </w:p>
    <w:p>
      <w:pPr>
        <w:pStyle w:val="ListParagraph"/>
        <w:numPr>
          <w:ilvl w:val="0"/>
          <w:numId w:val="11"/>
        </w:numPr>
        <w:tabs>
          <w:tab w:pos="1853" w:val="left" w:leader="none"/>
        </w:tabs>
        <w:spacing w:line="235" w:lineRule="auto" w:before="1" w:after="0"/>
        <w:ind w:left="1853" w:right="1295" w:hanging="720"/>
        <w:jc w:val="left"/>
        <w:rPr>
          <w:sz w:val="18"/>
        </w:rPr>
      </w:pPr>
      <w:r>
        <w:rPr>
          <w:sz w:val="18"/>
        </w:rPr>
        <w:t>Directive 2004/83/EC ‘EU Council Directive on minimum standards for the qualification and status of third country nationals</w:t>
      </w:r>
      <w:r>
        <w:rPr>
          <w:spacing w:val="-5"/>
          <w:sz w:val="18"/>
        </w:rPr>
        <w:t> </w:t>
      </w:r>
      <w:r>
        <w:rPr>
          <w:sz w:val="18"/>
        </w:rPr>
        <w:t>or</w:t>
      </w:r>
      <w:r>
        <w:rPr>
          <w:spacing w:val="-4"/>
          <w:sz w:val="18"/>
        </w:rPr>
        <w:t> </w:t>
      </w:r>
      <w:r>
        <w:rPr>
          <w:sz w:val="18"/>
        </w:rPr>
        <w:t>stateless</w:t>
      </w:r>
      <w:r>
        <w:rPr>
          <w:spacing w:val="-5"/>
          <w:sz w:val="18"/>
        </w:rPr>
        <w:t> </w:t>
      </w:r>
      <w:r>
        <w:rPr>
          <w:sz w:val="18"/>
        </w:rPr>
        <w:t>persons</w:t>
      </w:r>
      <w:r>
        <w:rPr>
          <w:spacing w:val="-5"/>
          <w:sz w:val="18"/>
        </w:rPr>
        <w:t> </w:t>
      </w:r>
      <w:r>
        <w:rPr>
          <w:sz w:val="18"/>
        </w:rPr>
        <w:t>as</w:t>
      </w:r>
      <w:r>
        <w:rPr>
          <w:spacing w:val="-5"/>
          <w:sz w:val="18"/>
        </w:rPr>
        <w:t> </w:t>
      </w:r>
      <w:r>
        <w:rPr>
          <w:sz w:val="18"/>
        </w:rPr>
        <w:t>refugees</w:t>
      </w:r>
      <w:r>
        <w:rPr>
          <w:spacing w:val="-5"/>
          <w:sz w:val="18"/>
        </w:rPr>
        <w:t> </w:t>
      </w:r>
      <w:r>
        <w:rPr>
          <w:sz w:val="18"/>
        </w:rPr>
        <w:t>or</w:t>
      </w:r>
      <w:r>
        <w:rPr>
          <w:spacing w:val="-4"/>
          <w:sz w:val="18"/>
        </w:rPr>
        <w:t> </w:t>
      </w:r>
      <w:r>
        <w:rPr>
          <w:sz w:val="18"/>
        </w:rPr>
        <w:t>as</w:t>
      </w:r>
      <w:r>
        <w:rPr>
          <w:spacing w:val="-5"/>
          <w:sz w:val="18"/>
        </w:rPr>
        <w:t> </w:t>
      </w:r>
      <w:r>
        <w:rPr>
          <w:sz w:val="18"/>
        </w:rPr>
        <w:t>persons</w:t>
      </w:r>
      <w:r>
        <w:rPr>
          <w:spacing w:val="-5"/>
          <w:sz w:val="18"/>
        </w:rPr>
        <w:t> </w:t>
      </w:r>
      <w:r>
        <w:rPr>
          <w:sz w:val="18"/>
        </w:rPr>
        <w:t>who</w:t>
      </w:r>
      <w:r>
        <w:rPr>
          <w:spacing w:val="-5"/>
          <w:sz w:val="18"/>
        </w:rPr>
        <w:t> </w:t>
      </w:r>
      <w:r>
        <w:rPr>
          <w:sz w:val="18"/>
        </w:rPr>
        <w:t>otherwise</w:t>
      </w:r>
      <w:r>
        <w:rPr>
          <w:spacing w:val="-4"/>
          <w:sz w:val="18"/>
        </w:rPr>
        <w:t> </w:t>
      </w:r>
      <w:r>
        <w:rPr>
          <w:sz w:val="18"/>
        </w:rPr>
        <w:t>need</w:t>
      </w:r>
      <w:r>
        <w:rPr>
          <w:spacing w:val="-5"/>
          <w:sz w:val="18"/>
        </w:rPr>
        <w:t> </w:t>
      </w:r>
      <w:r>
        <w:rPr>
          <w:sz w:val="18"/>
        </w:rPr>
        <w:t>international</w:t>
      </w:r>
      <w:r>
        <w:rPr>
          <w:spacing w:val="-5"/>
          <w:sz w:val="18"/>
        </w:rPr>
        <w:t> </w:t>
      </w:r>
      <w:r>
        <w:rPr>
          <w:sz w:val="18"/>
        </w:rPr>
        <w:t>protection</w:t>
      </w:r>
      <w:r>
        <w:rPr>
          <w:spacing w:val="-5"/>
          <w:sz w:val="18"/>
        </w:rPr>
        <w:t> </w:t>
      </w:r>
      <w:r>
        <w:rPr>
          <w:sz w:val="18"/>
        </w:rPr>
        <w:t>and</w:t>
      </w:r>
      <w:r>
        <w:rPr>
          <w:spacing w:val="-5"/>
          <w:sz w:val="18"/>
        </w:rPr>
        <w:t> </w:t>
      </w:r>
      <w:r>
        <w:rPr>
          <w:sz w:val="18"/>
        </w:rPr>
        <w:t>the</w:t>
      </w:r>
      <w:r>
        <w:rPr>
          <w:spacing w:val="-4"/>
          <w:sz w:val="18"/>
        </w:rPr>
        <w:t> </w:t>
      </w:r>
      <w:r>
        <w:rPr>
          <w:sz w:val="18"/>
        </w:rPr>
        <w:t>content</w:t>
      </w:r>
      <w:r>
        <w:rPr>
          <w:spacing w:val="-4"/>
          <w:sz w:val="18"/>
        </w:rPr>
        <w:t> </w:t>
      </w:r>
      <w:r>
        <w:rPr>
          <w:sz w:val="18"/>
        </w:rPr>
        <w:t>of the protection granted’, 29 April 2004.</w:t>
      </w:r>
    </w:p>
    <w:p>
      <w:pPr>
        <w:spacing w:after="0" w:line="235" w:lineRule="auto"/>
        <w:jc w:val="left"/>
        <w:rPr>
          <w:sz w:val="18"/>
        </w:rPr>
        <w:sectPr>
          <w:pgSz w:w="11910" w:h="16840"/>
          <w:pgMar w:header="496" w:footer="367" w:top="1220" w:bottom="560" w:left="0" w:right="0"/>
        </w:sectPr>
      </w:pPr>
    </w:p>
    <w:p>
      <w:pPr>
        <w:pStyle w:val="BodyText"/>
        <w:spacing w:before="198"/>
      </w:pPr>
    </w:p>
    <w:p>
      <w:pPr>
        <w:pStyle w:val="ListParagraph"/>
        <w:numPr>
          <w:ilvl w:val="1"/>
          <w:numId w:val="7"/>
        </w:numPr>
        <w:tabs>
          <w:tab w:pos="1853" w:val="left" w:leader="none"/>
        </w:tabs>
        <w:spacing w:line="225" w:lineRule="auto" w:before="0" w:after="0"/>
        <w:ind w:left="1853" w:right="1257" w:hanging="720"/>
        <w:jc w:val="left"/>
        <w:rPr>
          <w:sz w:val="28"/>
        </w:rPr>
      </w:pPr>
      <w:r>
        <w:rPr>
          <w:sz w:val="28"/>
        </w:rPr>
        <w:t>In</w:t>
      </w:r>
      <w:r>
        <w:rPr>
          <w:spacing w:val="-7"/>
          <w:sz w:val="28"/>
        </w:rPr>
        <w:t> </w:t>
      </w:r>
      <w:r>
        <w:rPr>
          <w:sz w:val="28"/>
        </w:rPr>
        <w:t>June</w:t>
      </w:r>
      <w:r>
        <w:rPr>
          <w:spacing w:val="-6"/>
          <w:sz w:val="28"/>
        </w:rPr>
        <w:t> </w:t>
      </w:r>
      <w:r>
        <w:rPr>
          <w:sz w:val="28"/>
        </w:rPr>
        <w:t>2023,</w:t>
      </w:r>
      <w:r>
        <w:rPr>
          <w:spacing w:val="-6"/>
          <w:sz w:val="28"/>
        </w:rPr>
        <w:t> </w:t>
      </w:r>
      <w:r>
        <w:rPr>
          <w:sz w:val="28"/>
        </w:rPr>
        <w:t>the</w:t>
      </w:r>
      <w:r>
        <w:rPr>
          <w:spacing w:val="-6"/>
          <w:sz w:val="28"/>
        </w:rPr>
        <w:t> </w:t>
      </w:r>
      <w:r>
        <w:rPr>
          <w:sz w:val="28"/>
        </w:rPr>
        <w:t>UN</w:t>
      </w:r>
      <w:r>
        <w:rPr>
          <w:spacing w:val="-6"/>
          <w:sz w:val="28"/>
        </w:rPr>
        <w:t> </w:t>
      </w:r>
      <w:r>
        <w:rPr>
          <w:sz w:val="28"/>
        </w:rPr>
        <w:t>CRC</w:t>
      </w:r>
      <w:r>
        <w:rPr>
          <w:spacing w:val="-7"/>
          <w:sz w:val="28"/>
        </w:rPr>
        <w:t> </w:t>
      </w:r>
      <w:r>
        <w:rPr>
          <w:sz w:val="28"/>
        </w:rPr>
        <w:t>Committee</w:t>
      </w:r>
      <w:r>
        <w:rPr>
          <w:spacing w:val="-6"/>
          <w:sz w:val="28"/>
        </w:rPr>
        <w:t> </w:t>
      </w:r>
      <w:r>
        <w:rPr>
          <w:sz w:val="28"/>
        </w:rPr>
        <w:t>recommended</w:t>
      </w:r>
      <w:r>
        <w:rPr>
          <w:spacing w:val="-7"/>
          <w:sz w:val="28"/>
        </w:rPr>
        <w:t> </w:t>
      </w:r>
      <w:r>
        <w:rPr>
          <w:sz w:val="28"/>
        </w:rPr>
        <w:t>that</w:t>
      </w:r>
      <w:r>
        <w:rPr>
          <w:spacing w:val="-6"/>
          <w:sz w:val="28"/>
        </w:rPr>
        <w:t> </w:t>
      </w:r>
      <w:r>
        <w:rPr>
          <w:sz w:val="28"/>
        </w:rPr>
        <w:t>the</w:t>
      </w:r>
      <w:r>
        <w:rPr>
          <w:spacing w:val="-6"/>
          <w:sz w:val="28"/>
        </w:rPr>
        <w:t> </w:t>
      </w:r>
      <w:r>
        <w:rPr>
          <w:sz w:val="28"/>
        </w:rPr>
        <w:t>UK</w:t>
      </w:r>
      <w:r>
        <w:rPr>
          <w:spacing w:val="-6"/>
          <w:sz w:val="28"/>
        </w:rPr>
        <w:t> </w:t>
      </w:r>
      <w:r>
        <w:rPr>
          <w:sz w:val="28"/>
        </w:rPr>
        <w:t>Government “urgently amend the Illegal Migration Bill to repeal all draft provisions that would have the effect of violating children’s rights under the Convention and the 1951 Refugee Convention”. </w:t>
      </w:r>
      <w:r>
        <w:rPr>
          <w:sz w:val="28"/>
          <w:vertAlign w:val="superscript"/>
        </w:rPr>
        <w:t>552</w:t>
      </w:r>
    </w:p>
    <w:p>
      <w:pPr>
        <w:pStyle w:val="ListParagraph"/>
        <w:numPr>
          <w:ilvl w:val="1"/>
          <w:numId w:val="7"/>
        </w:numPr>
        <w:tabs>
          <w:tab w:pos="1853" w:val="left" w:leader="none"/>
        </w:tabs>
        <w:spacing w:line="225" w:lineRule="auto" w:before="315" w:after="0"/>
        <w:ind w:left="1853" w:right="1893" w:hanging="720"/>
        <w:jc w:val="left"/>
        <w:rPr>
          <w:sz w:val="28"/>
        </w:rPr>
      </w:pPr>
      <w:r>
        <w:rPr>
          <w:sz w:val="28"/>
        </w:rPr>
        <w:t>In February 2024, the NIHRC raised concerns about the compliance of the</w:t>
      </w:r>
      <w:r>
        <w:rPr>
          <w:spacing w:val="-7"/>
          <w:sz w:val="28"/>
        </w:rPr>
        <w:t> </w:t>
      </w:r>
      <w:r>
        <w:rPr>
          <w:sz w:val="28"/>
        </w:rPr>
        <w:t>Illegal</w:t>
      </w:r>
      <w:r>
        <w:rPr>
          <w:spacing w:val="-8"/>
          <w:sz w:val="28"/>
        </w:rPr>
        <w:t> </w:t>
      </w:r>
      <w:r>
        <w:rPr>
          <w:sz w:val="28"/>
        </w:rPr>
        <w:t>Migration</w:t>
      </w:r>
      <w:r>
        <w:rPr>
          <w:spacing w:val="-8"/>
          <w:sz w:val="28"/>
        </w:rPr>
        <w:t> </w:t>
      </w:r>
      <w:r>
        <w:rPr>
          <w:sz w:val="28"/>
        </w:rPr>
        <w:t>Act</w:t>
      </w:r>
      <w:r>
        <w:rPr>
          <w:spacing w:val="-7"/>
          <w:sz w:val="28"/>
        </w:rPr>
        <w:t> </w:t>
      </w:r>
      <w:r>
        <w:rPr>
          <w:sz w:val="28"/>
        </w:rPr>
        <w:t>with</w:t>
      </w:r>
      <w:r>
        <w:rPr>
          <w:spacing w:val="-8"/>
          <w:sz w:val="28"/>
        </w:rPr>
        <w:t> </w:t>
      </w:r>
      <w:r>
        <w:rPr>
          <w:sz w:val="28"/>
        </w:rPr>
        <w:t>Windsor</w:t>
      </w:r>
      <w:r>
        <w:rPr>
          <w:spacing w:val="-7"/>
          <w:sz w:val="28"/>
        </w:rPr>
        <w:t> </w:t>
      </w:r>
      <w:r>
        <w:rPr>
          <w:sz w:val="28"/>
        </w:rPr>
        <w:t>Framework</w:t>
      </w:r>
      <w:r>
        <w:rPr>
          <w:spacing w:val="-7"/>
          <w:sz w:val="28"/>
        </w:rPr>
        <w:t> </w:t>
      </w:r>
      <w:r>
        <w:rPr>
          <w:sz w:val="28"/>
        </w:rPr>
        <w:t>Article</w:t>
      </w:r>
      <w:r>
        <w:rPr>
          <w:spacing w:val="-7"/>
          <w:sz w:val="28"/>
        </w:rPr>
        <w:t> </w:t>
      </w:r>
      <w:r>
        <w:rPr>
          <w:sz w:val="28"/>
        </w:rPr>
        <w:t>2</w:t>
      </w:r>
      <w:r>
        <w:rPr>
          <w:spacing w:val="-7"/>
          <w:sz w:val="28"/>
        </w:rPr>
        <w:t> </w:t>
      </w:r>
      <w:r>
        <w:rPr>
          <w:sz w:val="28"/>
        </w:rPr>
        <w:t>and</w:t>
      </w:r>
      <w:r>
        <w:rPr>
          <w:spacing w:val="-8"/>
          <w:sz w:val="28"/>
        </w:rPr>
        <w:t> </w:t>
      </w:r>
      <w:r>
        <w:rPr>
          <w:sz w:val="28"/>
        </w:rPr>
        <w:t>the</w:t>
      </w:r>
      <w:r>
        <w:rPr>
          <w:spacing w:val="-7"/>
          <w:sz w:val="28"/>
        </w:rPr>
        <w:t> </w:t>
      </w:r>
      <w:r>
        <w:rPr>
          <w:sz w:val="28"/>
        </w:rPr>
        <w:t>UK’s</w:t>
      </w:r>
    </w:p>
    <w:p>
      <w:pPr>
        <w:pStyle w:val="BodyText"/>
        <w:spacing w:line="225" w:lineRule="auto"/>
        <w:ind w:left="1853" w:right="1171"/>
      </w:pPr>
      <w:r>
        <w:rPr/>
        <w:t>international human rights obligations, in its submission to the UN Human Rights</w:t>
      </w:r>
      <w:r>
        <w:rPr>
          <w:spacing w:val="-12"/>
        </w:rPr>
        <w:t> </w:t>
      </w:r>
      <w:r>
        <w:rPr/>
        <w:t>Committee.</w:t>
      </w:r>
      <w:r>
        <w:rPr>
          <w:vertAlign w:val="superscript"/>
        </w:rPr>
        <w:t>553</w:t>
      </w:r>
      <w:r>
        <w:rPr>
          <w:spacing w:val="-12"/>
          <w:vertAlign w:val="baseline"/>
        </w:rPr>
        <w:t> </w:t>
      </w:r>
      <w:r>
        <w:rPr>
          <w:vertAlign w:val="baseline"/>
        </w:rPr>
        <w:t>In</w:t>
      </w:r>
      <w:r>
        <w:rPr>
          <w:spacing w:val="-12"/>
          <w:vertAlign w:val="baseline"/>
        </w:rPr>
        <w:t> </w:t>
      </w:r>
      <w:r>
        <w:rPr>
          <w:vertAlign w:val="baseline"/>
        </w:rPr>
        <w:t>March</w:t>
      </w:r>
      <w:r>
        <w:rPr>
          <w:spacing w:val="-12"/>
          <w:vertAlign w:val="baseline"/>
        </w:rPr>
        <w:t> </w:t>
      </w:r>
      <w:r>
        <w:rPr>
          <w:vertAlign w:val="baseline"/>
        </w:rPr>
        <w:t>2024,</w:t>
      </w:r>
      <w:r>
        <w:rPr>
          <w:spacing w:val="-11"/>
          <w:vertAlign w:val="baseline"/>
        </w:rPr>
        <w:t> </w:t>
      </w:r>
      <w:r>
        <w:rPr>
          <w:vertAlign w:val="baseline"/>
        </w:rPr>
        <w:t>the</w:t>
      </w:r>
      <w:r>
        <w:rPr>
          <w:spacing w:val="-11"/>
          <w:vertAlign w:val="baseline"/>
        </w:rPr>
        <w:t> </w:t>
      </w:r>
      <w:r>
        <w:rPr>
          <w:vertAlign w:val="baseline"/>
        </w:rPr>
        <w:t>UN</w:t>
      </w:r>
      <w:r>
        <w:rPr>
          <w:spacing w:val="-11"/>
          <w:vertAlign w:val="baseline"/>
        </w:rPr>
        <w:t> </w:t>
      </w:r>
      <w:r>
        <w:rPr>
          <w:vertAlign w:val="baseline"/>
        </w:rPr>
        <w:t>Committee</w:t>
      </w:r>
      <w:r>
        <w:rPr>
          <w:spacing w:val="-11"/>
          <w:vertAlign w:val="baseline"/>
        </w:rPr>
        <w:t> </w:t>
      </w:r>
      <w:r>
        <w:rPr>
          <w:vertAlign w:val="baseline"/>
        </w:rPr>
        <w:t>recommended</w:t>
      </w:r>
      <w:r>
        <w:rPr>
          <w:spacing w:val="-12"/>
          <w:vertAlign w:val="baseline"/>
        </w:rPr>
        <w:t> </w:t>
      </w:r>
      <w:r>
        <w:rPr>
          <w:vertAlign w:val="baseline"/>
        </w:rPr>
        <w:t>that the UK Government:</w:t>
      </w:r>
    </w:p>
    <w:p>
      <w:pPr>
        <w:pStyle w:val="BodyText"/>
        <w:spacing w:line="225" w:lineRule="auto" w:before="314"/>
        <w:ind w:left="2573" w:right="2004" w:hanging="1"/>
      </w:pPr>
      <w:r>
        <w:rPr/>
        <w:t>swiftly repeal the legislative provisions, including within the Illegal Migration Act 2023, that discriminate against migrants and that seek to limit access to rights for asylum seekers, refugees and migrants in the State party on account of their “illegal</w:t>
      </w:r>
      <w:r>
        <w:rPr>
          <w:spacing w:val="-9"/>
        </w:rPr>
        <w:t> </w:t>
      </w:r>
      <w:r>
        <w:rPr/>
        <w:t>entry</w:t>
      </w:r>
      <w:r>
        <w:rPr>
          <w:spacing w:val="-8"/>
        </w:rPr>
        <w:t> </w:t>
      </w:r>
      <w:r>
        <w:rPr/>
        <w:t>or</w:t>
      </w:r>
      <w:r>
        <w:rPr>
          <w:spacing w:val="-8"/>
        </w:rPr>
        <w:t> </w:t>
      </w:r>
      <w:r>
        <w:rPr/>
        <w:t>presence”,</w:t>
      </w:r>
      <w:r>
        <w:rPr>
          <w:spacing w:val="-8"/>
        </w:rPr>
        <w:t> </w:t>
      </w:r>
      <w:r>
        <w:rPr/>
        <w:t>with</w:t>
      </w:r>
      <w:r>
        <w:rPr>
          <w:spacing w:val="-9"/>
        </w:rPr>
        <w:t> </w:t>
      </w:r>
      <w:r>
        <w:rPr/>
        <w:t>a</w:t>
      </w:r>
      <w:r>
        <w:rPr>
          <w:spacing w:val="-9"/>
        </w:rPr>
        <w:t> </w:t>
      </w:r>
      <w:r>
        <w:rPr/>
        <w:t>view</w:t>
      </w:r>
      <w:r>
        <w:rPr>
          <w:spacing w:val="-8"/>
        </w:rPr>
        <w:t> </w:t>
      </w:r>
      <w:r>
        <w:rPr/>
        <w:t>to</w:t>
      </w:r>
      <w:r>
        <w:rPr>
          <w:spacing w:val="-9"/>
        </w:rPr>
        <w:t> </w:t>
      </w:r>
      <w:r>
        <w:rPr/>
        <w:t>ensuring</w:t>
      </w:r>
      <w:r>
        <w:rPr>
          <w:spacing w:val="-8"/>
        </w:rPr>
        <w:t> </w:t>
      </w:r>
      <w:r>
        <w:rPr/>
        <w:t>its</w:t>
      </w:r>
      <w:r>
        <w:rPr>
          <w:spacing w:val="-9"/>
        </w:rPr>
        <w:t> </w:t>
      </w:r>
      <w:r>
        <w:rPr/>
        <w:t>legislation fully complies with the Covenant and relevant international </w:t>
      </w:r>
      <w:r>
        <w:rPr>
          <w:spacing w:val="-2"/>
        </w:rPr>
        <w:t>standards.</w:t>
      </w:r>
      <w:r>
        <w:rPr>
          <w:spacing w:val="-2"/>
          <w:vertAlign w:val="superscript"/>
        </w:rPr>
        <w:t>554</w:t>
      </w:r>
    </w:p>
    <w:p>
      <w:pPr>
        <w:pStyle w:val="Heading6"/>
        <w:spacing w:before="295"/>
        <w:rPr>
          <w:i/>
        </w:rPr>
      </w:pPr>
      <w:r>
        <w:rPr>
          <w:i/>
          <w:color w:val="67287F"/>
        </w:rPr>
        <w:t>Rwanda</w:t>
      </w:r>
      <w:r>
        <w:rPr>
          <w:i/>
          <w:color w:val="67287F"/>
          <w:spacing w:val="-5"/>
        </w:rPr>
        <w:t> </w:t>
      </w:r>
      <w:r>
        <w:rPr>
          <w:i/>
          <w:color w:val="67287F"/>
        </w:rPr>
        <w:t>Asylum</w:t>
      </w:r>
      <w:r>
        <w:rPr>
          <w:i/>
          <w:color w:val="67287F"/>
          <w:spacing w:val="-4"/>
        </w:rPr>
        <w:t> </w:t>
      </w:r>
      <w:r>
        <w:rPr>
          <w:i/>
          <w:color w:val="67287F"/>
          <w:spacing w:val="-2"/>
        </w:rPr>
        <w:t>Proposals</w:t>
      </w:r>
    </w:p>
    <w:p>
      <w:pPr>
        <w:pStyle w:val="ListParagraph"/>
        <w:numPr>
          <w:ilvl w:val="1"/>
          <w:numId w:val="7"/>
        </w:numPr>
        <w:tabs>
          <w:tab w:pos="1853" w:val="left" w:leader="none"/>
        </w:tabs>
        <w:spacing w:line="225" w:lineRule="auto" w:before="5" w:after="0"/>
        <w:ind w:left="1853" w:right="1153" w:hanging="720"/>
        <w:jc w:val="left"/>
        <w:rPr>
          <w:sz w:val="28"/>
        </w:rPr>
      </w:pPr>
      <w:r>
        <w:rPr>
          <w:sz w:val="28"/>
        </w:rPr>
        <w:t>In 2022, a partnership between the UK and Rwanda was established to relocate</w:t>
      </w:r>
      <w:r>
        <w:rPr>
          <w:spacing w:val="-8"/>
          <w:sz w:val="28"/>
        </w:rPr>
        <w:t> </w:t>
      </w:r>
      <w:r>
        <w:rPr>
          <w:sz w:val="28"/>
        </w:rPr>
        <w:t>migrants</w:t>
      </w:r>
      <w:r>
        <w:rPr>
          <w:spacing w:val="-9"/>
          <w:sz w:val="28"/>
        </w:rPr>
        <w:t> </w:t>
      </w:r>
      <w:r>
        <w:rPr>
          <w:sz w:val="28"/>
        </w:rPr>
        <w:t>who</w:t>
      </w:r>
      <w:r>
        <w:rPr>
          <w:spacing w:val="-9"/>
          <w:sz w:val="28"/>
        </w:rPr>
        <w:t> </w:t>
      </w:r>
      <w:r>
        <w:rPr>
          <w:sz w:val="28"/>
        </w:rPr>
        <w:t>arrived</w:t>
      </w:r>
      <w:r>
        <w:rPr>
          <w:spacing w:val="-9"/>
          <w:sz w:val="28"/>
        </w:rPr>
        <w:t> </w:t>
      </w:r>
      <w:r>
        <w:rPr>
          <w:sz w:val="28"/>
        </w:rPr>
        <w:t>in</w:t>
      </w:r>
      <w:r>
        <w:rPr>
          <w:spacing w:val="-9"/>
          <w:sz w:val="28"/>
        </w:rPr>
        <w:t> </w:t>
      </w:r>
      <w:r>
        <w:rPr>
          <w:sz w:val="28"/>
        </w:rPr>
        <w:t>the</w:t>
      </w:r>
      <w:r>
        <w:rPr>
          <w:spacing w:val="-8"/>
          <w:sz w:val="28"/>
        </w:rPr>
        <w:t> </w:t>
      </w:r>
      <w:r>
        <w:rPr>
          <w:sz w:val="28"/>
        </w:rPr>
        <w:t>UK</w:t>
      </w:r>
      <w:r>
        <w:rPr>
          <w:spacing w:val="-8"/>
          <w:sz w:val="28"/>
        </w:rPr>
        <w:t> </w:t>
      </w:r>
      <w:r>
        <w:rPr>
          <w:sz w:val="28"/>
        </w:rPr>
        <w:t>irregularly</w:t>
      </w:r>
      <w:r>
        <w:rPr>
          <w:spacing w:val="-8"/>
          <w:sz w:val="28"/>
        </w:rPr>
        <w:t> </w:t>
      </w:r>
      <w:r>
        <w:rPr>
          <w:sz w:val="28"/>
        </w:rPr>
        <w:t>to</w:t>
      </w:r>
      <w:r>
        <w:rPr>
          <w:spacing w:val="-9"/>
          <w:sz w:val="28"/>
        </w:rPr>
        <w:t> </w:t>
      </w:r>
      <w:r>
        <w:rPr>
          <w:sz w:val="28"/>
        </w:rPr>
        <w:t>Rwanda.</w:t>
      </w:r>
      <w:r>
        <w:rPr>
          <w:sz w:val="28"/>
          <w:vertAlign w:val="superscript"/>
        </w:rPr>
        <w:t>555</w:t>
      </w:r>
      <w:r>
        <w:rPr>
          <w:spacing w:val="-9"/>
          <w:sz w:val="28"/>
          <w:vertAlign w:val="baseline"/>
        </w:rPr>
        <w:t> </w:t>
      </w:r>
      <w:r>
        <w:rPr>
          <w:sz w:val="28"/>
          <w:vertAlign w:val="baseline"/>
        </w:rPr>
        <w:t>In</w:t>
      </w:r>
      <w:r>
        <w:rPr>
          <w:spacing w:val="-9"/>
          <w:sz w:val="28"/>
          <w:vertAlign w:val="baseline"/>
        </w:rPr>
        <w:t> </w:t>
      </w:r>
      <w:r>
        <w:rPr>
          <w:sz w:val="28"/>
          <w:vertAlign w:val="baseline"/>
        </w:rPr>
        <w:t>June</w:t>
      </w:r>
      <w:r>
        <w:rPr>
          <w:spacing w:val="-8"/>
          <w:sz w:val="28"/>
          <w:vertAlign w:val="baseline"/>
        </w:rPr>
        <w:t> </w:t>
      </w:r>
      <w:r>
        <w:rPr>
          <w:sz w:val="28"/>
          <w:vertAlign w:val="baseline"/>
        </w:rPr>
        <w:t>2022, the first group of people were to be relocated to Rwanda.</w:t>
      </w:r>
      <w:r>
        <w:rPr>
          <w:sz w:val="28"/>
          <w:vertAlign w:val="superscript"/>
        </w:rPr>
        <w:t>556</w:t>
      </w:r>
      <w:r>
        <w:rPr>
          <w:sz w:val="28"/>
          <w:vertAlign w:val="baseline"/>
        </w:rPr>
        <w:t> However, the initial flight was halted due to the European Court of Human Rights (ECtHR) issuing an interim measure.</w:t>
      </w:r>
      <w:r>
        <w:rPr>
          <w:sz w:val="28"/>
          <w:vertAlign w:val="superscript"/>
        </w:rPr>
        <w:t>557</w:t>
      </w:r>
    </w:p>
    <w:p>
      <w:pPr>
        <w:pStyle w:val="ListParagraph"/>
        <w:numPr>
          <w:ilvl w:val="1"/>
          <w:numId w:val="7"/>
        </w:numPr>
        <w:tabs>
          <w:tab w:pos="1853" w:val="left" w:leader="none"/>
        </w:tabs>
        <w:spacing w:line="225" w:lineRule="auto" w:before="313" w:after="0"/>
        <w:ind w:left="1853" w:right="1210" w:hanging="720"/>
        <w:jc w:val="left"/>
        <w:rPr>
          <w:sz w:val="28"/>
        </w:rPr>
      </w:pPr>
      <w:r>
        <w:rPr>
          <w:sz w:val="28"/>
        </w:rPr>
        <w:t>In November 2023, the UK Supreme Court declared that the Rwanda asylum proposals were unlawful as Rwanda was not a safe country.</w:t>
      </w:r>
      <w:r>
        <w:rPr>
          <w:sz w:val="28"/>
          <w:vertAlign w:val="superscript"/>
        </w:rPr>
        <w:t>558</w:t>
      </w:r>
      <w:r>
        <w:rPr>
          <w:sz w:val="28"/>
          <w:vertAlign w:val="baseline"/>
        </w:rPr>
        <w:t> In December 2023,</w:t>
      </w:r>
      <w:r>
        <w:rPr>
          <w:spacing w:val="-8"/>
          <w:sz w:val="28"/>
          <w:vertAlign w:val="baseline"/>
        </w:rPr>
        <w:t> </w:t>
      </w:r>
      <w:r>
        <w:rPr>
          <w:sz w:val="28"/>
          <w:vertAlign w:val="baseline"/>
        </w:rPr>
        <w:t>the</w:t>
      </w:r>
      <w:r>
        <w:rPr>
          <w:spacing w:val="-8"/>
          <w:sz w:val="28"/>
          <w:vertAlign w:val="baseline"/>
        </w:rPr>
        <w:t> </w:t>
      </w:r>
      <w:r>
        <w:rPr>
          <w:sz w:val="28"/>
          <w:vertAlign w:val="baseline"/>
        </w:rPr>
        <w:t>UK</w:t>
      </w:r>
      <w:r>
        <w:rPr>
          <w:spacing w:val="-8"/>
          <w:sz w:val="28"/>
          <w:vertAlign w:val="baseline"/>
        </w:rPr>
        <w:t> </w:t>
      </w:r>
      <w:r>
        <w:rPr>
          <w:sz w:val="28"/>
          <w:vertAlign w:val="baseline"/>
        </w:rPr>
        <w:t>Government</w:t>
      </w:r>
      <w:r>
        <w:rPr>
          <w:spacing w:val="-8"/>
          <w:sz w:val="28"/>
          <w:vertAlign w:val="baseline"/>
        </w:rPr>
        <w:t> </w:t>
      </w:r>
      <w:r>
        <w:rPr>
          <w:sz w:val="28"/>
          <w:vertAlign w:val="baseline"/>
        </w:rPr>
        <w:t>signed</w:t>
      </w:r>
      <w:r>
        <w:rPr>
          <w:spacing w:val="-9"/>
          <w:sz w:val="28"/>
          <w:vertAlign w:val="baseline"/>
        </w:rPr>
        <w:t> </w:t>
      </w:r>
      <w:r>
        <w:rPr>
          <w:sz w:val="28"/>
          <w:vertAlign w:val="baseline"/>
        </w:rPr>
        <w:t>a</w:t>
      </w:r>
      <w:r>
        <w:rPr>
          <w:spacing w:val="-9"/>
          <w:sz w:val="28"/>
          <w:vertAlign w:val="baseline"/>
        </w:rPr>
        <w:t> </w:t>
      </w:r>
      <w:r>
        <w:rPr>
          <w:sz w:val="28"/>
          <w:vertAlign w:val="baseline"/>
        </w:rPr>
        <w:t>new</w:t>
      </w:r>
      <w:r>
        <w:rPr>
          <w:spacing w:val="-8"/>
          <w:sz w:val="28"/>
          <w:vertAlign w:val="baseline"/>
        </w:rPr>
        <w:t> </w:t>
      </w:r>
      <w:r>
        <w:rPr>
          <w:sz w:val="28"/>
          <w:vertAlign w:val="baseline"/>
        </w:rPr>
        <w:t>treaty</w:t>
      </w:r>
      <w:r>
        <w:rPr>
          <w:spacing w:val="-8"/>
          <w:sz w:val="28"/>
          <w:vertAlign w:val="baseline"/>
        </w:rPr>
        <w:t> </w:t>
      </w:r>
      <w:r>
        <w:rPr>
          <w:sz w:val="28"/>
          <w:vertAlign w:val="baseline"/>
        </w:rPr>
        <w:t>with</w:t>
      </w:r>
      <w:r>
        <w:rPr>
          <w:spacing w:val="-9"/>
          <w:sz w:val="28"/>
          <w:vertAlign w:val="baseline"/>
        </w:rPr>
        <w:t> </w:t>
      </w:r>
      <w:r>
        <w:rPr>
          <w:sz w:val="28"/>
          <w:vertAlign w:val="baseline"/>
        </w:rPr>
        <w:t>Rwanda</w:t>
      </w:r>
      <w:r>
        <w:rPr>
          <w:sz w:val="28"/>
          <w:vertAlign w:val="superscript"/>
        </w:rPr>
        <w:t>559</w:t>
      </w:r>
      <w:r>
        <w:rPr>
          <w:spacing w:val="-9"/>
          <w:sz w:val="28"/>
          <w:vertAlign w:val="baseline"/>
        </w:rPr>
        <w:t> </w:t>
      </w:r>
      <w:r>
        <w:rPr>
          <w:sz w:val="28"/>
          <w:vertAlign w:val="baseline"/>
        </w:rPr>
        <w:t>and</w:t>
      </w:r>
      <w:r>
        <w:rPr>
          <w:spacing w:val="-9"/>
          <w:sz w:val="28"/>
          <w:vertAlign w:val="baseline"/>
        </w:rPr>
        <w:t> </w:t>
      </w:r>
      <w:r>
        <w:rPr>
          <w:sz w:val="28"/>
          <w:vertAlign w:val="baseline"/>
        </w:rPr>
        <w:t>introduced</w:t>
      </w:r>
    </w:p>
    <w:p>
      <w:pPr>
        <w:pStyle w:val="BodyText"/>
        <w:spacing w:before="8"/>
        <w:rPr>
          <w:sz w:val="15"/>
        </w:rPr>
      </w:pPr>
      <w:r>
        <w:rPr/>
        <mc:AlternateContent>
          <mc:Choice Requires="wps">
            <w:drawing>
              <wp:anchor distT="0" distB="0" distL="0" distR="0" allowOverlap="1" layoutInCell="1" locked="0" behindDoc="1" simplePos="0" relativeHeight="487685632">
                <wp:simplePos x="0" y="0"/>
                <wp:positionH relativeFrom="page">
                  <wp:posOffset>719996</wp:posOffset>
                </wp:positionH>
                <wp:positionV relativeFrom="paragraph">
                  <wp:posOffset>136640</wp:posOffset>
                </wp:positionV>
                <wp:extent cx="6120130" cy="1270"/>
                <wp:effectExtent l="0" t="0" r="0" b="0"/>
                <wp:wrapTopAndBottom/>
                <wp:docPr id="447" name="Graphic 447"/>
                <wp:cNvGraphicFramePr>
                  <a:graphicFrameLocks/>
                </wp:cNvGraphicFramePr>
                <a:graphic>
                  <a:graphicData uri="http://schemas.microsoft.com/office/word/2010/wordprocessingShape">
                    <wps:wsp>
                      <wps:cNvPr id="447" name="Graphic 447"/>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0.759059pt;width:481.9pt;height:.1pt;mso-position-horizontal-relative:page;mso-position-vertical-relative:paragraph;z-index:-15630848;mso-wrap-distance-left:0;mso-wrap-distance-right:0" id="docshape396" coordorigin="1134,215" coordsize="9638,0" path="m10772,215l1134,215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35" w:lineRule="auto" w:before="150" w:after="0"/>
        <w:ind w:left="1853" w:right="1215" w:hanging="720"/>
        <w:jc w:val="left"/>
        <w:rPr>
          <w:sz w:val="18"/>
        </w:rPr>
      </w:pPr>
      <w:r>
        <w:rPr>
          <w:sz w:val="18"/>
        </w:rPr>
        <w:t>CRC/C/GBR/CO/6-7,</w:t>
      </w:r>
      <w:r>
        <w:rPr>
          <w:spacing w:val="-4"/>
          <w:sz w:val="18"/>
        </w:rPr>
        <w:t> </w:t>
      </w:r>
      <w:r>
        <w:rPr>
          <w:sz w:val="18"/>
        </w:rPr>
        <w:t>‘UN</w:t>
      </w:r>
      <w:r>
        <w:rPr>
          <w:spacing w:val="-4"/>
          <w:sz w:val="18"/>
        </w:rPr>
        <w:t> </w:t>
      </w:r>
      <w:r>
        <w:rPr>
          <w:sz w:val="18"/>
        </w:rPr>
        <w:t>CRC</w:t>
      </w:r>
      <w:r>
        <w:rPr>
          <w:spacing w:val="-5"/>
          <w:sz w:val="18"/>
        </w:rPr>
        <w:t> </w:t>
      </w:r>
      <w:r>
        <w:rPr>
          <w:sz w:val="18"/>
        </w:rPr>
        <w:t>Committee</w:t>
      </w:r>
      <w:r>
        <w:rPr>
          <w:spacing w:val="-4"/>
          <w:sz w:val="18"/>
        </w:rPr>
        <w:t> </w:t>
      </w:r>
      <w:r>
        <w:rPr>
          <w:sz w:val="18"/>
        </w:rPr>
        <w:t>Concluding</w:t>
      </w:r>
      <w:r>
        <w:rPr>
          <w:spacing w:val="-4"/>
          <w:sz w:val="18"/>
        </w:rPr>
        <w:t> </w:t>
      </w:r>
      <w:r>
        <w:rPr>
          <w:sz w:val="18"/>
        </w:rPr>
        <w:t>Observations</w:t>
      </w:r>
      <w:r>
        <w:rPr>
          <w:spacing w:val="-5"/>
          <w:sz w:val="18"/>
        </w:rPr>
        <w:t> </w:t>
      </w:r>
      <w:r>
        <w:rPr>
          <w:sz w:val="18"/>
        </w:rPr>
        <w:t>on</w:t>
      </w:r>
      <w:r>
        <w:rPr>
          <w:spacing w:val="-5"/>
          <w:sz w:val="18"/>
        </w:rPr>
        <w:t> </w:t>
      </w:r>
      <w:r>
        <w:rPr>
          <w:sz w:val="18"/>
        </w:rPr>
        <w:t>the</w:t>
      </w:r>
      <w:r>
        <w:rPr>
          <w:spacing w:val="-4"/>
          <w:sz w:val="18"/>
        </w:rPr>
        <w:t> </w:t>
      </w:r>
      <w:r>
        <w:rPr>
          <w:sz w:val="18"/>
        </w:rPr>
        <w:t>Sixth</w:t>
      </w:r>
      <w:r>
        <w:rPr>
          <w:spacing w:val="-5"/>
          <w:sz w:val="18"/>
        </w:rPr>
        <w:t> </w:t>
      </w:r>
      <w:r>
        <w:rPr>
          <w:sz w:val="18"/>
        </w:rPr>
        <w:t>and</w:t>
      </w:r>
      <w:r>
        <w:rPr>
          <w:spacing w:val="-5"/>
          <w:sz w:val="18"/>
        </w:rPr>
        <w:t> </w:t>
      </w:r>
      <w:r>
        <w:rPr>
          <w:sz w:val="18"/>
        </w:rPr>
        <w:t>Seventh</w:t>
      </w:r>
      <w:r>
        <w:rPr>
          <w:spacing w:val="-5"/>
          <w:sz w:val="18"/>
        </w:rPr>
        <w:t> </w:t>
      </w:r>
      <w:r>
        <w:rPr>
          <w:sz w:val="18"/>
        </w:rPr>
        <w:t>Periodic</w:t>
      </w:r>
      <w:r>
        <w:rPr>
          <w:spacing w:val="-4"/>
          <w:sz w:val="18"/>
        </w:rPr>
        <w:t> </w:t>
      </w:r>
      <w:r>
        <w:rPr>
          <w:sz w:val="18"/>
        </w:rPr>
        <w:t>Reports</w:t>
      </w:r>
      <w:r>
        <w:rPr>
          <w:spacing w:val="-5"/>
          <w:sz w:val="18"/>
        </w:rPr>
        <w:t> </w:t>
      </w:r>
      <w:r>
        <w:rPr>
          <w:sz w:val="18"/>
        </w:rPr>
        <w:t>of</w:t>
      </w:r>
      <w:r>
        <w:rPr>
          <w:spacing w:val="-5"/>
          <w:sz w:val="18"/>
        </w:rPr>
        <w:t> </w:t>
      </w:r>
      <w:r>
        <w:rPr>
          <w:sz w:val="18"/>
        </w:rPr>
        <w:t>the</w:t>
      </w:r>
      <w:r>
        <w:rPr>
          <w:spacing w:val="-4"/>
          <w:sz w:val="18"/>
        </w:rPr>
        <w:t> </w:t>
      </w:r>
      <w:r>
        <w:rPr>
          <w:sz w:val="18"/>
        </w:rPr>
        <w:t>UK</w:t>
      </w:r>
      <w:r>
        <w:rPr>
          <w:spacing w:val="-4"/>
          <w:sz w:val="18"/>
        </w:rPr>
        <w:t> </w:t>
      </w:r>
      <w:r>
        <w:rPr>
          <w:sz w:val="18"/>
        </w:rPr>
        <w:t>of Great Britain and NI’, 2 June 2023, at paras 50(a).</w:t>
      </w:r>
    </w:p>
    <w:p>
      <w:pPr>
        <w:pStyle w:val="ListParagraph"/>
        <w:numPr>
          <w:ilvl w:val="0"/>
          <w:numId w:val="11"/>
        </w:numPr>
        <w:tabs>
          <w:tab w:pos="1853" w:val="left" w:leader="none"/>
        </w:tabs>
        <w:spacing w:line="235" w:lineRule="auto" w:before="1" w:after="0"/>
        <w:ind w:left="1853" w:right="1503" w:hanging="720"/>
        <w:jc w:val="left"/>
        <w:rPr>
          <w:sz w:val="18"/>
        </w:rPr>
      </w:pP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‘Submission</w:t>
      </w:r>
      <w:r>
        <w:rPr>
          <w:spacing w:val="-5"/>
          <w:sz w:val="18"/>
        </w:rPr>
        <w:t> </w:t>
      </w:r>
      <w:r>
        <w:rPr>
          <w:sz w:val="18"/>
        </w:rPr>
        <w:t>to</w:t>
      </w:r>
      <w:r>
        <w:rPr>
          <w:spacing w:val="-5"/>
          <w:sz w:val="18"/>
        </w:rPr>
        <w:t> </w:t>
      </w:r>
      <w:r>
        <w:rPr>
          <w:sz w:val="18"/>
        </w:rPr>
        <w:t>the</w:t>
      </w:r>
      <w:r>
        <w:rPr>
          <w:spacing w:val="-4"/>
          <w:sz w:val="18"/>
        </w:rPr>
        <w:t> </w:t>
      </w:r>
      <w:r>
        <w:rPr>
          <w:sz w:val="18"/>
        </w:rPr>
        <w:t>UN</w:t>
      </w:r>
      <w:r>
        <w:rPr>
          <w:spacing w:val="-4"/>
          <w:sz w:val="18"/>
        </w:rPr>
        <w:t> </w:t>
      </w:r>
      <w:r>
        <w:rPr>
          <w:sz w:val="18"/>
        </w:rPr>
        <w:t>Human</w:t>
      </w:r>
      <w:r>
        <w:rPr>
          <w:spacing w:val="-5"/>
          <w:sz w:val="18"/>
        </w:rPr>
        <w:t> </w:t>
      </w:r>
      <w:r>
        <w:rPr>
          <w:sz w:val="18"/>
        </w:rPr>
        <w:t>Rights</w:t>
      </w:r>
      <w:r>
        <w:rPr>
          <w:spacing w:val="-5"/>
          <w:sz w:val="18"/>
        </w:rPr>
        <w:t> </w:t>
      </w:r>
      <w:r>
        <w:rPr>
          <w:sz w:val="18"/>
        </w:rPr>
        <w:t>Committee</w:t>
      </w:r>
      <w:r>
        <w:rPr>
          <w:spacing w:val="-4"/>
          <w:sz w:val="18"/>
        </w:rPr>
        <w:t> </w:t>
      </w:r>
      <w:r>
        <w:rPr>
          <w:sz w:val="18"/>
        </w:rPr>
        <w:t>on</w:t>
      </w:r>
      <w:r>
        <w:rPr>
          <w:spacing w:val="-5"/>
          <w:sz w:val="18"/>
        </w:rPr>
        <w:t> </w:t>
      </w:r>
      <w:r>
        <w:rPr>
          <w:sz w:val="18"/>
        </w:rPr>
        <w:t>the</w:t>
      </w:r>
      <w:r>
        <w:rPr>
          <w:spacing w:val="-4"/>
          <w:sz w:val="18"/>
        </w:rPr>
        <w:t> </w:t>
      </w:r>
      <w:r>
        <w:rPr>
          <w:sz w:val="18"/>
        </w:rPr>
        <w:t>UK’s</w:t>
      </w:r>
      <w:r>
        <w:rPr>
          <w:spacing w:val="-5"/>
          <w:sz w:val="18"/>
        </w:rPr>
        <w:t> </w:t>
      </w:r>
      <w:r>
        <w:rPr>
          <w:sz w:val="18"/>
        </w:rPr>
        <w:t>Eighth</w:t>
      </w:r>
      <w:r>
        <w:rPr>
          <w:spacing w:val="-5"/>
          <w:sz w:val="18"/>
        </w:rPr>
        <w:t> </w:t>
      </w:r>
      <w:r>
        <w:rPr>
          <w:sz w:val="18"/>
        </w:rPr>
        <w:t>Periodic</w:t>
      </w:r>
      <w:r>
        <w:rPr>
          <w:spacing w:val="-4"/>
          <w:sz w:val="18"/>
        </w:rPr>
        <w:t> </w:t>
      </w:r>
      <w:r>
        <w:rPr>
          <w:sz w:val="18"/>
        </w:rPr>
        <w:t>Report</w:t>
      </w:r>
      <w:r>
        <w:rPr>
          <w:spacing w:val="-4"/>
          <w:sz w:val="18"/>
        </w:rPr>
        <w:t> </w:t>
      </w:r>
      <w:r>
        <w:rPr>
          <w:sz w:val="18"/>
        </w:rPr>
        <w:t>on Compliance with the International Covenant on Civil and Political Rights’ (NIHRC, 2024)</w:t>
      </w:r>
    </w:p>
    <w:p>
      <w:pPr>
        <w:pStyle w:val="ListParagraph"/>
        <w:numPr>
          <w:ilvl w:val="0"/>
          <w:numId w:val="11"/>
        </w:numPr>
        <w:tabs>
          <w:tab w:pos="1853" w:val="left" w:leader="none"/>
        </w:tabs>
        <w:spacing w:line="235" w:lineRule="auto" w:before="1" w:after="0"/>
        <w:ind w:left="1853" w:right="1283" w:hanging="720"/>
        <w:jc w:val="left"/>
        <w:rPr>
          <w:sz w:val="18"/>
        </w:rPr>
      </w:pPr>
      <w:r>
        <w:rPr>
          <w:sz w:val="18"/>
        </w:rPr>
        <w:t>CCPR/C/GBR/CO/8,</w:t>
      </w:r>
      <w:r>
        <w:rPr>
          <w:spacing w:val="-4"/>
          <w:sz w:val="18"/>
        </w:rPr>
        <w:t> </w:t>
      </w:r>
      <w:r>
        <w:rPr>
          <w:sz w:val="18"/>
        </w:rPr>
        <w:t>‘UN</w:t>
      </w:r>
      <w:r>
        <w:rPr>
          <w:spacing w:val="-4"/>
          <w:sz w:val="18"/>
        </w:rPr>
        <w:t> </w:t>
      </w:r>
      <w:r>
        <w:rPr>
          <w:sz w:val="18"/>
        </w:rPr>
        <w:t>Human</w:t>
      </w:r>
      <w:r>
        <w:rPr>
          <w:spacing w:val="-5"/>
          <w:sz w:val="18"/>
        </w:rPr>
        <w:t> </w:t>
      </w:r>
      <w:r>
        <w:rPr>
          <w:sz w:val="18"/>
        </w:rPr>
        <w:t>Rights</w:t>
      </w:r>
      <w:r>
        <w:rPr>
          <w:spacing w:val="-5"/>
          <w:sz w:val="18"/>
        </w:rPr>
        <w:t> </w:t>
      </w:r>
      <w:r>
        <w:rPr>
          <w:sz w:val="18"/>
        </w:rPr>
        <w:t>Committee</w:t>
      </w:r>
      <w:r>
        <w:rPr>
          <w:spacing w:val="-4"/>
          <w:sz w:val="18"/>
        </w:rPr>
        <w:t> </w:t>
      </w:r>
      <w:r>
        <w:rPr>
          <w:sz w:val="18"/>
        </w:rPr>
        <w:t>Concluding</w:t>
      </w:r>
      <w:r>
        <w:rPr>
          <w:spacing w:val="-4"/>
          <w:sz w:val="18"/>
        </w:rPr>
        <w:t> </w:t>
      </w:r>
      <w:r>
        <w:rPr>
          <w:sz w:val="18"/>
        </w:rPr>
        <w:t>Observations</w:t>
      </w:r>
      <w:r>
        <w:rPr>
          <w:spacing w:val="-5"/>
          <w:sz w:val="18"/>
        </w:rPr>
        <w:t> </w:t>
      </w:r>
      <w:r>
        <w:rPr>
          <w:sz w:val="18"/>
        </w:rPr>
        <w:t>on</w:t>
      </w:r>
      <w:r>
        <w:rPr>
          <w:spacing w:val="-5"/>
          <w:sz w:val="18"/>
        </w:rPr>
        <w:t> </w:t>
      </w:r>
      <w:r>
        <w:rPr>
          <w:sz w:val="18"/>
        </w:rPr>
        <w:t>the</w:t>
      </w:r>
      <w:r>
        <w:rPr>
          <w:spacing w:val="-4"/>
          <w:sz w:val="18"/>
        </w:rPr>
        <w:t> </w:t>
      </w:r>
      <w:r>
        <w:rPr>
          <w:sz w:val="18"/>
        </w:rPr>
        <w:t>Eighth</w:t>
      </w:r>
      <w:r>
        <w:rPr>
          <w:spacing w:val="-5"/>
          <w:sz w:val="18"/>
        </w:rPr>
        <w:t> </w:t>
      </w:r>
      <w:r>
        <w:rPr>
          <w:sz w:val="18"/>
        </w:rPr>
        <w:t>Periodic</w:t>
      </w:r>
      <w:r>
        <w:rPr>
          <w:spacing w:val="-4"/>
          <w:sz w:val="18"/>
        </w:rPr>
        <w:t> </w:t>
      </w:r>
      <w:r>
        <w:rPr>
          <w:sz w:val="18"/>
        </w:rPr>
        <w:t>Report</w:t>
      </w:r>
      <w:r>
        <w:rPr>
          <w:spacing w:val="-4"/>
          <w:sz w:val="18"/>
        </w:rPr>
        <w:t> </w:t>
      </w:r>
      <w:r>
        <w:rPr>
          <w:sz w:val="18"/>
        </w:rPr>
        <w:t>of</w:t>
      </w:r>
      <w:r>
        <w:rPr>
          <w:spacing w:val="-5"/>
          <w:sz w:val="18"/>
        </w:rPr>
        <w:t> </w:t>
      </w:r>
      <w:r>
        <w:rPr>
          <w:sz w:val="18"/>
        </w:rPr>
        <w:t>UK</w:t>
      </w:r>
      <w:r>
        <w:rPr>
          <w:spacing w:val="-4"/>
          <w:sz w:val="18"/>
        </w:rPr>
        <w:t> </w:t>
      </w:r>
      <w:r>
        <w:rPr>
          <w:sz w:val="18"/>
        </w:rPr>
        <w:t>of</w:t>
      </w:r>
      <w:r>
        <w:rPr>
          <w:spacing w:val="-5"/>
          <w:sz w:val="18"/>
        </w:rPr>
        <w:t> </w:t>
      </w:r>
      <w:r>
        <w:rPr>
          <w:sz w:val="18"/>
        </w:rPr>
        <w:t>Great Britain and NI’, 28 March 2024, at para 41 (a).</w:t>
      </w:r>
    </w:p>
    <w:p>
      <w:pPr>
        <w:pStyle w:val="ListParagraph"/>
        <w:numPr>
          <w:ilvl w:val="0"/>
          <w:numId w:val="11"/>
        </w:numPr>
        <w:tabs>
          <w:tab w:pos="1853" w:val="left" w:leader="none"/>
        </w:tabs>
        <w:spacing w:line="235" w:lineRule="auto" w:before="2" w:after="0"/>
        <w:ind w:left="1853" w:right="1667" w:hanging="720"/>
        <w:jc w:val="left"/>
        <w:rPr>
          <w:sz w:val="18"/>
        </w:rPr>
      </w:pPr>
      <w:r>
        <w:rPr>
          <w:sz w:val="18"/>
        </w:rPr>
        <w:t>The</w:t>
      </w:r>
      <w:r>
        <w:rPr>
          <w:spacing w:val="-4"/>
          <w:sz w:val="18"/>
        </w:rPr>
        <w:t> </w:t>
      </w:r>
      <w:r>
        <w:rPr>
          <w:sz w:val="18"/>
        </w:rPr>
        <w:t>Memorandum</w:t>
      </w:r>
      <w:r>
        <w:rPr>
          <w:spacing w:val="-4"/>
          <w:sz w:val="18"/>
        </w:rPr>
        <w:t> </w:t>
      </w:r>
      <w:r>
        <w:rPr>
          <w:sz w:val="18"/>
        </w:rPr>
        <w:t>of</w:t>
      </w:r>
      <w:r>
        <w:rPr>
          <w:spacing w:val="-5"/>
          <w:sz w:val="18"/>
        </w:rPr>
        <w:t> </w:t>
      </w:r>
      <w:r>
        <w:rPr>
          <w:sz w:val="18"/>
        </w:rPr>
        <w:t>Understanding</w:t>
      </w:r>
      <w:r>
        <w:rPr>
          <w:spacing w:val="-4"/>
          <w:sz w:val="18"/>
        </w:rPr>
        <w:t> </w:t>
      </w:r>
      <w:r>
        <w:rPr>
          <w:sz w:val="18"/>
        </w:rPr>
        <w:t>also</w:t>
      </w:r>
      <w:r>
        <w:rPr>
          <w:spacing w:val="-5"/>
          <w:sz w:val="18"/>
        </w:rPr>
        <w:t> </w:t>
      </w:r>
      <w:r>
        <w:rPr>
          <w:sz w:val="18"/>
        </w:rPr>
        <w:t>contained</w:t>
      </w:r>
      <w:r>
        <w:rPr>
          <w:spacing w:val="-5"/>
          <w:sz w:val="18"/>
        </w:rPr>
        <w:t> </w:t>
      </w:r>
      <w:r>
        <w:rPr>
          <w:sz w:val="18"/>
        </w:rPr>
        <w:t>a</w:t>
      </w:r>
      <w:r>
        <w:rPr>
          <w:spacing w:val="-5"/>
          <w:sz w:val="18"/>
        </w:rPr>
        <w:t> </w:t>
      </w:r>
      <w:r>
        <w:rPr>
          <w:sz w:val="18"/>
        </w:rPr>
        <w:t>commitment</w:t>
      </w:r>
      <w:r>
        <w:rPr>
          <w:spacing w:val="-4"/>
          <w:sz w:val="18"/>
        </w:rPr>
        <w:t> </w:t>
      </w:r>
      <w:r>
        <w:rPr>
          <w:sz w:val="18"/>
        </w:rPr>
        <w:t>by</w:t>
      </w:r>
      <w:r>
        <w:rPr>
          <w:spacing w:val="-4"/>
          <w:sz w:val="18"/>
        </w:rPr>
        <w:t> </w:t>
      </w:r>
      <w:r>
        <w:rPr>
          <w:sz w:val="18"/>
        </w:rPr>
        <w:t>the</w:t>
      </w:r>
      <w:r>
        <w:rPr>
          <w:spacing w:val="-4"/>
          <w:sz w:val="18"/>
        </w:rPr>
        <w:t> </w:t>
      </w:r>
      <w:r>
        <w:rPr>
          <w:sz w:val="18"/>
        </w:rPr>
        <w:t>UK</w:t>
      </w:r>
      <w:r>
        <w:rPr>
          <w:spacing w:val="-4"/>
          <w:sz w:val="18"/>
        </w:rPr>
        <w:t> </w:t>
      </w:r>
      <w:r>
        <w:rPr>
          <w:sz w:val="18"/>
        </w:rPr>
        <w:t>and</w:t>
      </w:r>
      <w:r>
        <w:rPr>
          <w:spacing w:val="-5"/>
          <w:sz w:val="18"/>
        </w:rPr>
        <w:t> </w:t>
      </w:r>
      <w:r>
        <w:rPr>
          <w:sz w:val="18"/>
        </w:rPr>
        <w:t>Rwanda</w:t>
      </w:r>
      <w:r>
        <w:rPr>
          <w:spacing w:val="-5"/>
          <w:sz w:val="18"/>
        </w:rPr>
        <w:t> </w:t>
      </w:r>
      <w:r>
        <w:rPr>
          <w:sz w:val="18"/>
        </w:rPr>
        <w:t>to</w:t>
      </w:r>
      <w:r>
        <w:rPr>
          <w:spacing w:val="-5"/>
          <w:sz w:val="18"/>
        </w:rPr>
        <w:t> </w:t>
      </w:r>
      <w:r>
        <w:rPr>
          <w:sz w:val="18"/>
        </w:rPr>
        <w:t>uphold</w:t>
      </w:r>
      <w:r>
        <w:rPr>
          <w:spacing w:val="-5"/>
          <w:sz w:val="18"/>
        </w:rPr>
        <w:t> </w:t>
      </w:r>
      <w:r>
        <w:rPr>
          <w:sz w:val="18"/>
        </w:rPr>
        <w:t>“fundamental human rights and freedoms without discrimination”. It is not binding in international law and compliance with</w:t>
      </w:r>
    </w:p>
    <w:p>
      <w:pPr>
        <w:spacing w:line="235" w:lineRule="auto" w:before="1"/>
        <w:ind w:left="1853" w:right="1301" w:firstLine="0"/>
        <w:jc w:val="left"/>
        <w:rPr>
          <w:sz w:val="18"/>
        </w:rPr>
      </w:pPr>
      <w:r>
        <w:rPr>
          <w:sz w:val="18"/>
        </w:rPr>
        <w:t>this</w:t>
      </w:r>
      <w:r>
        <w:rPr>
          <w:spacing w:val="-5"/>
          <w:sz w:val="18"/>
        </w:rPr>
        <w:t> </w:t>
      </w:r>
      <w:r>
        <w:rPr>
          <w:sz w:val="18"/>
        </w:rPr>
        <w:t>arrangement</w:t>
      </w:r>
      <w:r>
        <w:rPr>
          <w:spacing w:val="-5"/>
          <w:sz w:val="18"/>
        </w:rPr>
        <w:t> </w:t>
      </w:r>
      <w:r>
        <w:rPr>
          <w:sz w:val="18"/>
        </w:rPr>
        <w:t>is</w:t>
      </w:r>
      <w:r>
        <w:rPr>
          <w:spacing w:val="-5"/>
          <w:sz w:val="18"/>
        </w:rPr>
        <w:t> </w:t>
      </w:r>
      <w:r>
        <w:rPr>
          <w:sz w:val="18"/>
        </w:rPr>
        <w:t>not</w:t>
      </w:r>
      <w:r>
        <w:rPr>
          <w:spacing w:val="-5"/>
          <w:sz w:val="18"/>
        </w:rPr>
        <w:t> </w:t>
      </w:r>
      <w:r>
        <w:rPr>
          <w:sz w:val="18"/>
        </w:rPr>
        <w:t>“justiciable</w:t>
      </w:r>
      <w:r>
        <w:rPr>
          <w:spacing w:val="-5"/>
          <w:sz w:val="18"/>
        </w:rPr>
        <w:t> </w:t>
      </w:r>
      <w:r>
        <w:rPr>
          <w:sz w:val="18"/>
        </w:rPr>
        <w:t>in</w:t>
      </w:r>
      <w:r>
        <w:rPr>
          <w:spacing w:val="-5"/>
          <w:sz w:val="18"/>
        </w:rPr>
        <w:t> </w:t>
      </w:r>
      <w:r>
        <w:rPr>
          <w:sz w:val="18"/>
        </w:rPr>
        <w:t>any</w:t>
      </w:r>
      <w:r>
        <w:rPr>
          <w:spacing w:val="-5"/>
          <w:sz w:val="18"/>
        </w:rPr>
        <w:t> </w:t>
      </w:r>
      <w:r>
        <w:rPr>
          <w:sz w:val="18"/>
        </w:rPr>
        <w:t>court</w:t>
      </w:r>
      <w:r>
        <w:rPr>
          <w:spacing w:val="-5"/>
          <w:sz w:val="18"/>
        </w:rPr>
        <w:t> </w:t>
      </w:r>
      <w:r>
        <w:rPr>
          <w:sz w:val="18"/>
        </w:rPr>
        <w:t>of</w:t>
      </w:r>
      <w:r>
        <w:rPr>
          <w:spacing w:val="-5"/>
          <w:sz w:val="18"/>
        </w:rPr>
        <w:t> </w:t>
      </w:r>
      <w:r>
        <w:rPr>
          <w:sz w:val="18"/>
        </w:rPr>
        <w:t>law</w:t>
      </w:r>
      <w:r>
        <w:rPr>
          <w:spacing w:val="-5"/>
          <w:sz w:val="18"/>
        </w:rPr>
        <w:t> </w:t>
      </w:r>
      <w:r>
        <w:rPr>
          <w:sz w:val="18"/>
        </w:rPr>
        <w:t>by</w:t>
      </w:r>
      <w:r>
        <w:rPr>
          <w:spacing w:val="-5"/>
          <w:sz w:val="18"/>
        </w:rPr>
        <w:t> </w:t>
      </w:r>
      <w:r>
        <w:rPr>
          <w:sz w:val="18"/>
        </w:rPr>
        <w:t>third-parties</w:t>
      </w:r>
      <w:r>
        <w:rPr>
          <w:spacing w:val="-5"/>
          <w:sz w:val="18"/>
        </w:rPr>
        <w:t> </w:t>
      </w:r>
      <w:r>
        <w:rPr>
          <w:sz w:val="18"/>
        </w:rPr>
        <w:t>or</w:t>
      </w:r>
      <w:r>
        <w:rPr>
          <w:spacing w:val="-5"/>
          <w:sz w:val="18"/>
        </w:rPr>
        <w:t> </w:t>
      </w:r>
      <w:r>
        <w:rPr>
          <w:sz w:val="18"/>
        </w:rPr>
        <w:t>individuals”.</w:t>
      </w:r>
      <w:r>
        <w:rPr>
          <w:spacing w:val="-5"/>
          <w:sz w:val="18"/>
        </w:rPr>
        <w:t> </w:t>
      </w:r>
      <w:r>
        <w:rPr>
          <w:sz w:val="18"/>
        </w:rPr>
        <w:t>See</w:t>
      </w:r>
      <w:r>
        <w:rPr>
          <w:spacing w:val="-6"/>
          <w:sz w:val="18"/>
        </w:rPr>
        <w:t> </w:t>
      </w:r>
      <w:r>
        <w:rPr>
          <w:sz w:val="18"/>
        </w:rPr>
        <w:t>Home</w:t>
      </w:r>
      <w:r>
        <w:rPr>
          <w:spacing w:val="-5"/>
          <w:sz w:val="18"/>
        </w:rPr>
        <w:t> </w:t>
      </w:r>
      <w:r>
        <w:rPr>
          <w:sz w:val="18"/>
        </w:rPr>
        <w:t>Office,</w:t>
      </w:r>
      <w:r>
        <w:rPr>
          <w:spacing w:val="-5"/>
          <w:sz w:val="18"/>
        </w:rPr>
        <w:t> </w:t>
      </w:r>
      <w:r>
        <w:rPr>
          <w:sz w:val="18"/>
        </w:rPr>
        <w:t>‘Press</w:t>
      </w:r>
      <w:r>
        <w:rPr>
          <w:spacing w:val="-5"/>
          <w:sz w:val="18"/>
        </w:rPr>
        <w:t> </w:t>
      </w:r>
      <w:r>
        <w:rPr>
          <w:sz w:val="18"/>
        </w:rPr>
        <w:t>Release: UK and Rwanda migration and economic development partnership’, 14 April 2022; Memorandum of Understanding Between the Government of the UK of Great Britain and NI and the Government of the Republic of Rwanda for</w:t>
      </w:r>
    </w:p>
    <w:p>
      <w:pPr>
        <w:spacing w:line="216" w:lineRule="exact" w:before="0"/>
        <w:ind w:left="1853" w:right="0" w:firstLine="0"/>
        <w:jc w:val="left"/>
        <w:rPr>
          <w:sz w:val="18"/>
        </w:rPr>
      </w:pPr>
      <w:r>
        <w:rPr>
          <w:sz w:val="18"/>
        </w:rPr>
        <w:t>the</w:t>
      </w:r>
      <w:r>
        <w:rPr>
          <w:spacing w:val="-5"/>
          <w:sz w:val="18"/>
        </w:rPr>
        <w:t> </w:t>
      </w:r>
      <w:r>
        <w:rPr>
          <w:sz w:val="18"/>
        </w:rPr>
        <w:t>Provision</w:t>
      </w:r>
      <w:r>
        <w:rPr>
          <w:spacing w:val="-6"/>
          <w:sz w:val="18"/>
        </w:rPr>
        <w:t> </w:t>
      </w:r>
      <w:r>
        <w:rPr>
          <w:sz w:val="18"/>
        </w:rPr>
        <w:t>of</w:t>
      </w:r>
      <w:r>
        <w:rPr>
          <w:spacing w:val="-5"/>
          <w:sz w:val="18"/>
        </w:rPr>
        <w:t> </w:t>
      </w:r>
      <w:r>
        <w:rPr>
          <w:sz w:val="18"/>
        </w:rPr>
        <w:t>an</w:t>
      </w:r>
      <w:r>
        <w:rPr>
          <w:spacing w:val="-6"/>
          <w:sz w:val="18"/>
        </w:rPr>
        <w:t> </w:t>
      </w:r>
      <w:r>
        <w:rPr>
          <w:sz w:val="18"/>
        </w:rPr>
        <w:t>Asylum</w:t>
      </w:r>
      <w:r>
        <w:rPr>
          <w:spacing w:val="-4"/>
          <w:sz w:val="18"/>
        </w:rPr>
        <w:t> </w:t>
      </w:r>
      <w:r>
        <w:rPr>
          <w:sz w:val="18"/>
        </w:rPr>
        <w:t>Partnership</w:t>
      </w:r>
      <w:r>
        <w:rPr>
          <w:spacing w:val="-6"/>
          <w:sz w:val="18"/>
        </w:rPr>
        <w:t> </w:t>
      </w:r>
      <w:r>
        <w:rPr>
          <w:sz w:val="18"/>
        </w:rPr>
        <w:t>Arrangement,</w:t>
      </w:r>
      <w:r>
        <w:rPr>
          <w:spacing w:val="-4"/>
          <w:sz w:val="18"/>
        </w:rPr>
        <w:t> </w:t>
      </w:r>
      <w:r>
        <w:rPr>
          <w:sz w:val="18"/>
        </w:rPr>
        <w:t>13</w:t>
      </w:r>
      <w:r>
        <w:rPr>
          <w:spacing w:val="-5"/>
          <w:sz w:val="18"/>
        </w:rPr>
        <w:t> </w:t>
      </w:r>
      <w:r>
        <w:rPr>
          <w:sz w:val="18"/>
        </w:rPr>
        <w:t>April</w:t>
      </w:r>
      <w:r>
        <w:rPr>
          <w:spacing w:val="-5"/>
          <w:sz w:val="18"/>
        </w:rPr>
        <w:t> </w:t>
      </w:r>
      <w:r>
        <w:rPr>
          <w:spacing w:val="-2"/>
          <w:sz w:val="18"/>
        </w:rPr>
        <w:t>2022.</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Home</w:t>
      </w:r>
      <w:r>
        <w:rPr>
          <w:spacing w:val="-6"/>
          <w:sz w:val="18"/>
        </w:rPr>
        <w:t> </w:t>
      </w:r>
      <w:r>
        <w:rPr>
          <w:sz w:val="18"/>
        </w:rPr>
        <w:t>Office,</w:t>
      </w:r>
      <w:r>
        <w:rPr>
          <w:spacing w:val="-5"/>
          <w:sz w:val="18"/>
        </w:rPr>
        <w:t> </w:t>
      </w:r>
      <w:r>
        <w:rPr>
          <w:sz w:val="18"/>
        </w:rPr>
        <w:t>‘Press</w:t>
      </w:r>
      <w:r>
        <w:rPr>
          <w:spacing w:val="-5"/>
          <w:sz w:val="18"/>
        </w:rPr>
        <w:t> </w:t>
      </w:r>
      <w:r>
        <w:rPr>
          <w:sz w:val="18"/>
        </w:rPr>
        <w:t>Release:</w:t>
      </w:r>
      <w:r>
        <w:rPr>
          <w:spacing w:val="-6"/>
          <w:sz w:val="18"/>
        </w:rPr>
        <w:t> </w:t>
      </w:r>
      <w:r>
        <w:rPr>
          <w:sz w:val="18"/>
        </w:rPr>
        <w:t>First</w:t>
      </w:r>
      <w:r>
        <w:rPr>
          <w:spacing w:val="-5"/>
          <w:sz w:val="18"/>
        </w:rPr>
        <w:t> </w:t>
      </w:r>
      <w:r>
        <w:rPr>
          <w:sz w:val="18"/>
        </w:rPr>
        <w:t>migrants</w:t>
      </w:r>
      <w:r>
        <w:rPr>
          <w:spacing w:val="-5"/>
          <w:sz w:val="18"/>
        </w:rPr>
        <w:t> </w:t>
      </w:r>
      <w:r>
        <w:rPr>
          <w:sz w:val="18"/>
        </w:rPr>
        <w:t>set</w:t>
      </w:r>
      <w:r>
        <w:rPr>
          <w:spacing w:val="-5"/>
          <w:sz w:val="18"/>
        </w:rPr>
        <w:t> </w:t>
      </w:r>
      <w:r>
        <w:rPr>
          <w:sz w:val="18"/>
        </w:rPr>
        <w:t>for</w:t>
      </w:r>
      <w:r>
        <w:rPr>
          <w:spacing w:val="-6"/>
          <w:sz w:val="18"/>
        </w:rPr>
        <w:t> </w:t>
      </w:r>
      <w:r>
        <w:rPr>
          <w:sz w:val="18"/>
        </w:rPr>
        <w:t>Rwanda</w:t>
      </w:r>
      <w:r>
        <w:rPr>
          <w:spacing w:val="-5"/>
          <w:sz w:val="18"/>
        </w:rPr>
        <w:t> </w:t>
      </w:r>
      <w:r>
        <w:rPr>
          <w:sz w:val="18"/>
        </w:rPr>
        <w:t>to</w:t>
      </w:r>
      <w:r>
        <w:rPr>
          <w:spacing w:val="-6"/>
          <w:sz w:val="18"/>
        </w:rPr>
        <w:t> </w:t>
      </w:r>
      <w:r>
        <w:rPr>
          <w:sz w:val="18"/>
        </w:rPr>
        <w:t>be</w:t>
      </w:r>
      <w:r>
        <w:rPr>
          <w:spacing w:val="-5"/>
          <w:sz w:val="18"/>
        </w:rPr>
        <w:t> </w:t>
      </w:r>
      <w:r>
        <w:rPr>
          <w:sz w:val="18"/>
        </w:rPr>
        <w:t>given</w:t>
      </w:r>
      <w:r>
        <w:rPr>
          <w:spacing w:val="-6"/>
          <w:sz w:val="18"/>
        </w:rPr>
        <w:t> </w:t>
      </w:r>
      <w:r>
        <w:rPr>
          <w:sz w:val="18"/>
        </w:rPr>
        <w:t>final</w:t>
      </w:r>
      <w:r>
        <w:rPr>
          <w:spacing w:val="-6"/>
          <w:sz w:val="18"/>
        </w:rPr>
        <w:t> </w:t>
      </w:r>
      <w:r>
        <w:rPr>
          <w:sz w:val="18"/>
        </w:rPr>
        <w:t>notice’,</w:t>
      </w:r>
      <w:r>
        <w:rPr>
          <w:spacing w:val="-5"/>
          <w:sz w:val="18"/>
        </w:rPr>
        <w:t> </w:t>
      </w:r>
      <w:r>
        <w:rPr>
          <w:sz w:val="18"/>
        </w:rPr>
        <w:t>1</w:t>
      </w:r>
      <w:r>
        <w:rPr>
          <w:spacing w:val="-5"/>
          <w:sz w:val="18"/>
        </w:rPr>
        <w:t> </w:t>
      </w:r>
      <w:r>
        <w:rPr>
          <w:sz w:val="18"/>
        </w:rPr>
        <w:t>June</w:t>
      </w:r>
      <w:r>
        <w:rPr>
          <w:spacing w:val="-5"/>
          <w:sz w:val="18"/>
        </w:rPr>
        <w:t> </w:t>
      </w:r>
      <w:r>
        <w:rPr>
          <w:spacing w:val="-2"/>
          <w:sz w:val="18"/>
        </w:rPr>
        <w:t>2022.</w:t>
      </w:r>
    </w:p>
    <w:p>
      <w:pPr>
        <w:pStyle w:val="ListParagraph"/>
        <w:numPr>
          <w:ilvl w:val="0"/>
          <w:numId w:val="11"/>
        </w:numPr>
        <w:tabs>
          <w:tab w:pos="1853" w:val="left" w:leader="none"/>
        </w:tabs>
        <w:spacing w:line="235" w:lineRule="auto" w:before="2" w:after="0"/>
        <w:ind w:left="1853" w:right="1282" w:hanging="720"/>
        <w:jc w:val="left"/>
        <w:rPr>
          <w:sz w:val="18"/>
        </w:rPr>
      </w:pPr>
      <w:r>
        <w:rPr>
          <w:sz w:val="18"/>
        </w:rPr>
        <w:t>The ECtHR issued the interim measure to prevent irreversible harm to an applicant challenging the legality of their deportation.</w:t>
      </w:r>
      <w:r>
        <w:rPr>
          <w:spacing w:val="-5"/>
          <w:sz w:val="18"/>
        </w:rPr>
        <w:t> </w:t>
      </w:r>
      <w:r>
        <w:rPr>
          <w:sz w:val="18"/>
        </w:rPr>
        <w:t>See</w:t>
      </w:r>
      <w:r>
        <w:rPr>
          <w:spacing w:val="-4"/>
          <w:sz w:val="18"/>
        </w:rPr>
        <w:t> </w:t>
      </w:r>
      <w:r>
        <w:rPr>
          <w:sz w:val="18"/>
        </w:rPr>
        <w:t>European</w:t>
      </w:r>
      <w:r>
        <w:rPr>
          <w:spacing w:val="-5"/>
          <w:sz w:val="18"/>
        </w:rPr>
        <w:t> </w:t>
      </w:r>
      <w:r>
        <w:rPr>
          <w:sz w:val="18"/>
        </w:rPr>
        <w:t>Court</w:t>
      </w:r>
      <w:r>
        <w:rPr>
          <w:spacing w:val="-4"/>
          <w:sz w:val="18"/>
        </w:rPr>
        <w:t> </w:t>
      </w:r>
      <w:r>
        <w:rPr>
          <w:sz w:val="18"/>
        </w:rPr>
        <w:t>of</w:t>
      </w:r>
      <w:r>
        <w:rPr>
          <w:spacing w:val="-5"/>
          <w:sz w:val="18"/>
        </w:rPr>
        <w:t> </w:t>
      </w:r>
      <w:r>
        <w:rPr>
          <w:sz w:val="18"/>
        </w:rPr>
        <w:t>Human</w:t>
      </w:r>
      <w:r>
        <w:rPr>
          <w:spacing w:val="-5"/>
          <w:sz w:val="18"/>
        </w:rPr>
        <w:t> </w:t>
      </w:r>
      <w:r>
        <w:rPr>
          <w:sz w:val="18"/>
        </w:rPr>
        <w:t>Rights,</w:t>
      </w:r>
      <w:r>
        <w:rPr>
          <w:spacing w:val="-4"/>
          <w:sz w:val="18"/>
        </w:rPr>
        <w:t> </w:t>
      </w:r>
      <w:r>
        <w:rPr>
          <w:sz w:val="18"/>
        </w:rPr>
        <w:t>‘Press</w:t>
      </w:r>
      <w:r>
        <w:rPr>
          <w:spacing w:val="-5"/>
          <w:sz w:val="18"/>
        </w:rPr>
        <w:t> </w:t>
      </w:r>
      <w:r>
        <w:rPr>
          <w:sz w:val="18"/>
        </w:rPr>
        <w:t>Release:</w:t>
      </w:r>
      <w:r>
        <w:rPr>
          <w:spacing w:val="-4"/>
          <w:sz w:val="18"/>
        </w:rPr>
        <w:t> </w:t>
      </w:r>
      <w:r>
        <w:rPr>
          <w:sz w:val="18"/>
        </w:rPr>
        <w:t>The</w:t>
      </w:r>
      <w:r>
        <w:rPr>
          <w:spacing w:val="-4"/>
          <w:sz w:val="18"/>
        </w:rPr>
        <w:t> </w:t>
      </w:r>
      <w:r>
        <w:rPr>
          <w:sz w:val="18"/>
        </w:rPr>
        <w:t>European</w:t>
      </w:r>
      <w:r>
        <w:rPr>
          <w:spacing w:val="-5"/>
          <w:sz w:val="18"/>
        </w:rPr>
        <w:t> </w:t>
      </w:r>
      <w:r>
        <w:rPr>
          <w:sz w:val="18"/>
        </w:rPr>
        <w:t>Court</w:t>
      </w:r>
      <w:r>
        <w:rPr>
          <w:spacing w:val="-4"/>
          <w:sz w:val="18"/>
        </w:rPr>
        <w:t> </w:t>
      </w:r>
      <w:r>
        <w:rPr>
          <w:sz w:val="18"/>
        </w:rPr>
        <w:t>grants</w:t>
      </w:r>
      <w:r>
        <w:rPr>
          <w:spacing w:val="-5"/>
          <w:sz w:val="18"/>
        </w:rPr>
        <w:t> </w:t>
      </w:r>
      <w:r>
        <w:rPr>
          <w:sz w:val="18"/>
        </w:rPr>
        <w:t>urgent</w:t>
      </w:r>
      <w:r>
        <w:rPr>
          <w:spacing w:val="-4"/>
          <w:sz w:val="18"/>
        </w:rPr>
        <w:t> </w:t>
      </w:r>
      <w:r>
        <w:rPr>
          <w:sz w:val="18"/>
        </w:rPr>
        <w:t>interim</w:t>
      </w:r>
      <w:r>
        <w:rPr>
          <w:spacing w:val="-4"/>
          <w:sz w:val="18"/>
        </w:rPr>
        <w:t> </w:t>
      </w:r>
      <w:r>
        <w:rPr>
          <w:sz w:val="18"/>
        </w:rPr>
        <w:t>measure</w:t>
      </w:r>
      <w:r>
        <w:rPr>
          <w:spacing w:val="-4"/>
          <w:sz w:val="18"/>
        </w:rPr>
        <w:t> </w:t>
      </w:r>
      <w:r>
        <w:rPr>
          <w:sz w:val="18"/>
        </w:rPr>
        <w:t>in case concerning asylum-seeker’s imminent removal from the UK to Rwanda’, 14 June 2022.</w:t>
      </w:r>
    </w:p>
    <w:p>
      <w:pPr>
        <w:pStyle w:val="ListParagraph"/>
        <w:numPr>
          <w:ilvl w:val="0"/>
          <w:numId w:val="11"/>
        </w:numPr>
        <w:tabs>
          <w:tab w:pos="1853" w:val="left" w:leader="none"/>
        </w:tabs>
        <w:spacing w:line="216" w:lineRule="exact" w:before="0" w:after="0"/>
        <w:ind w:left="1853" w:right="0" w:hanging="720"/>
        <w:jc w:val="left"/>
        <w:rPr>
          <w:sz w:val="18"/>
        </w:rPr>
      </w:pPr>
      <w:r>
        <w:rPr>
          <w:i/>
          <w:sz w:val="18"/>
        </w:rPr>
        <w:t>AAA</w:t>
      </w:r>
      <w:r>
        <w:rPr>
          <w:i/>
          <w:spacing w:val="-5"/>
          <w:sz w:val="18"/>
        </w:rPr>
        <w:t> </w:t>
      </w:r>
      <w:r>
        <w:rPr>
          <w:i/>
          <w:sz w:val="18"/>
        </w:rPr>
        <w:t>and</w:t>
      </w:r>
      <w:r>
        <w:rPr>
          <w:i/>
          <w:spacing w:val="-4"/>
          <w:sz w:val="18"/>
        </w:rPr>
        <w:t> </w:t>
      </w:r>
      <w:r>
        <w:rPr>
          <w:i/>
          <w:sz w:val="18"/>
        </w:rPr>
        <w:t>Others</w:t>
      </w:r>
      <w:r>
        <w:rPr>
          <w:i/>
          <w:spacing w:val="-4"/>
          <w:sz w:val="18"/>
        </w:rPr>
        <w:t> </w:t>
      </w:r>
      <w:r>
        <w:rPr>
          <w:i/>
          <w:sz w:val="18"/>
        </w:rPr>
        <w:t>Secretary</w:t>
      </w:r>
      <w:r>
        <w:rPr>
          <w:i/>
          <w:spacing w:val="-3"/>
          <w:sz w:val="18"/>
        </w:rPr>
        <w:t> </w:t>
      </w:r>
      <w:r>
        <w:rPr>
          <w:i/>
          <w:sz w:val="18"/>
        </w:rPr>
        <w:t>of</w:t>
      </w:r>
      <w:r>
        <w:rPr>
          <w:i/>
          <w:spacing w:val="-4"/>
          <w:sz w:val="18"/>
        </w:rPr>
        <w:t> </w:t>
      </w:r>
      <w:r>
        <w:rPr>
          <w:i/>
          <w:sz w:val="18"/>
        </w:rPr>
        <w:t>State</w:t>
      </w:r>
      <w:r>
        <w:rPr>
          <w:i/>
          <w:spacing w:val="-3"/>
          <w:sz w:val="18"/>
        </w:rPr>
        <w:t> </w:t>
      </w:r>
      <w:r>
        <w:rPr>
          <w:i/>
          <w:sz w:val="18"/>
        </w:rPr>
        <w:t>for</w:t>
      </w:r>
      <w:r>
        <w:rPr>
          <w:i/>
          <w:spacing w:val="-3"/>
          <w:sz w:val="18"/>
        </w:rPr>
        <w:t> </w:t>
      </w:r>
      <w:r>
        <w:rPr>
          <w:i/>
          <w:sz w:val="18"/>
        </w:rPr>
        <w:t>the</w:t>
      </w:r>
      <w:r>
        <w:rPr>
          <w:i/>
          <w:spacing w:val="-2"/>
          <w:sz w:val="18"/>
        </w:rPr>
        <w:t> </w:t>
      </w:r>
      <w:r>
        <w:rPr>
          <w:i/>
          <w:sz w:val="18"/>
        </w:rPr>
        <w:t>Home</w:t>
      </w:r>
      <w:r>
        <w:rPr>
          <w:i/>
          <w:spacing w:val="-3"/>
          <w:sz w:val="18"/>
        </w:rPr>
        <w:t> </w:t>
      </w:r>
      <w:r>
        <w:rPr>
          <w:i/>
          <w:sz w:val="18"/>
        </w:rPr>
        <w:t>Department</w:t>
      </w:r>
      <w:r>
        <w:rPr>
          <w:i/>
          <w:spacing w:val="-4"/>
          <w:sz w:val="18"/>
        </w:rPr>
        <w:t> </w:t>
      </w:r>
      <w:r>
        <w:rPr>
          <w:sz w:val="18"/>
        </w:rPr>
        <w:t>[2023]</w:t>
      </w:r>
      <w:r>
        <w:rPr>
          <w:spacing w:val="-3"/>
          <w:sz w:val="18"/>
        </w:rPr>
        <w:t> </w:t>
      </w:r>
      <w:r>
        <w:rPr>
          <w:sz w:val="18"/>
        </w:rPr>
        <w:t>UKSC</w:t>
      </w:r>
      <w:r>
        <w:rPr>
          <w:spacing w:val="-3"/>
          <w:sz w:val="18"/>
        </w:rPr>
        <w:t> </w:t>
      </w:r>
      <w:r>
        <w:rPr>
          <w:spacing w:val="-5"/>
          <w:sz w:val="18"/>
        </w:rPr>
        <w:t>42.</w:t>
      </w:r>
    </w:p>
    <w:p>
      <w:pPr>
        <w:pStyle w:val="ListParagraph"/>
        <w:numPr>
          <w:ilvl w:val="0"/>
          <w:numId w:val="11"/>
        </w:numPr>
        <w:tabs>
          <w:tab w:pos="1853" w:val="left" w:leader="none"/>
        </w:tabs>
        <w:spacing w:line="235" w:lineRule="auto" w:before="1" w:after="0"/>
        <w:ind w:left="1853" w:right="1201" w:hanging="720"/>
        <w:jc w:val="left"/>
        <w:rPr>
          <w:sz w:val="18"/>
        </w:rPr>
      </w:pPr>
      <w:r>
        <w:rPr>
          <w:sz w:val="18"/>
        </w:rPr>
        <w:t>Agreement between the Government of the UK of Great Britain and NI and the Government of the Republic of Rwanda for</w:t>
      </w:r>
      <w:r>
        <w:rPr>
          <w:spacing w:val="-5"/>
          <w:sz w:val="18"/>
        </w:rPr>
        <w:t> </w:t>
      </w:r>
      <w:r>
        <w:rPr>
          <w:sz w:val="18"/>
        </w:rPr>
        <w:t>the</w:t>
      </w:r>
      <w:r>
        <w:rPr>
          <w:spacing w:val="-5"/>
          <w:sz w:val="18"/>
        </w:rPr>
        <w:t> </w:t>
      </w:r>
      <w:r>
        <w:rPr>
          <w:sz w:val="18"/>
        </w:rPr>
        <w:t>provision</w:t>
      </w:r>
      <w:r>
        <w:rPr>
          <w:spacing w:val="-6"/>
          <w:sz w:val="18"/>
        </w:rPr>
        <w:t> </w:t>
      </w:r>
      <w:r>
        <w:rPr>
          <w:sz w:val="18"/>
        </w:rPr>
        <w:t>of</w:t>
      </w:r>
      <w:r>
        <w:rPr>
          <w:spacing w:val="-6"/>
          <w:sz w:val="18"/>
        </w:rPr>
        <w:t> </w:t>
      </w:r>
      <w:r>
        <w:rPr>
          <w:sz w:val="18"/>
        </w:rPr>
        <w:t>an</w:t>
      </w:r>
      <w:r>
        <w:rPr>
          <w:spacing w:val="-6"/>
          <w:sz w:val="18"/>
        </w:rPr>
        <w:t> </w:t>
      </w:r>
      <w:r>
        <w:rPr>
          <w:sz w:val="18"/>
        </w:rPr>
        <w:t>asylum</w:t>
      </w:r>
      <w:r>
        <w:rPr>
          <w:spacing w:val="-5"/>
          <w:sz w:val="18"/>
        </w:rPr>
        <w:t> </w:t>
      </w:r>
      <w:r>
        <w:rPr>
          <w:sz w:val="18"/>
        </w:rPr>
        <w:t>partnership</w:t>
      </w:r>
      <w:r>
        <w:rPr>
          <w:spacing w:val="-6"/>
          <w:sz w:val="18"/>
        </w:rPr>
        <w:t> </w:t>
      </w:r>
      <w:r>
        <w:rPr>
          <w:sz w:val="18"/>
        </w:rPr>
        <w:t>to</w:t>
      </w:r>
      <w:r>
        <w:rPr>
          <w:spacing w:val="-6"/>
          <w:sz w:val="18"/>
        </w:rPr>
        <w:t> </w:t>
      </w:r>
      <w:r>
        <w:rPr>
          <w:sz w:val="18"/>
        </w:rPr>
        <w:t>strengthen</w:t>
      </w:r>
      <w:r>
        <w:rPr>
          <w:spacing w:val="-6"/>
          <w:sz w:val="18"/>
        </w:rPr>
        <w:t> </w:t>
      </w:r>
      <w:r>
        <w:rPr>
          <w:sz w:val="18"/>
        </w:rPr>
        <w:t>shared</w:t>
      </w:r>
      <w:r>
        <w:rPr>
          <w:spacing w:val="-6"/>
          <w:sz w:val="18"/>
        </w:rPr>
        <w:t> </w:t>
      </w:r>
      <w:r>
        <w:rPr>
          <w:sz w:val="18"/>
        </w:rPr>
        <w:t>international</w:t>
      </w:r>
      <w:r>
        <w:rPr>
          <w:spacing w:val="-6"/>
          <w:sz w:val="18"/>
        </w:rPr>
        <w:t> </w:t>
      </w:r>
      <w:r>
        <w:rPr>
          <w:sz w:val="18"/>
        </w:rPr>
        <w:t>commitments</w:t>
      </w:r>
      <w:r>
        <w:rPr>
          <w:spacing w:val="-6"/>
          <w:sz w:val="18"/>
        </w:rPr>
        <w:t> </w:t>
      </w:r>
      <w:r>
        <w:rPr>
          <w:sz w:val="18"/>
        </w:rPr>
        <w:t>on</w:t>
      </w:r>
      <w:r>
        <w:rPr>
          <w:spacing w:val="-6"/>
          <w:sz w:val="18"/>
        </w:rPr>
        <w:t> </w:t>
      </w:r>
      <w:r>
        <w:rPr>
          <w:sz w:val="18"/>
        </w:rPr>
        <w:t>the</w:t>
      </w:r>
      <w:r>
        <w:rPr>
          <w:spacing w:val="-5"/>
          <w:sz w:val="18"/>
        </w:rPr>
        <w:t> </w:t>
      </w:r>
      <w:r>
        <w:rPr>
          <w:sz w:val="18"/>
        </w:rPr>
        <w:t>protection</w:t>
      </w:r>
      <w:r>
        <w:rPr>
          <w:spacing w:val="-6"/>
          <w:sz w:val="18"/>
        </w:rPr>
        <w:t> </w:t>
      </w:r>
      <w:r>
        <w:rPr>
          <w:sz w:val="18"/>
        </w:rPr>
        <w:t>of</w:t>
      </w:r>
      <w:r>
        <w:rPr>
          <w:spacing w:val="-6"/>
          <w:sz w:val="18"/>
        </w:rPr>
        <w:t> </w:t>
      </w:r>
      <w:r>
        <w:rPr>
          <w:sz w:val="18"/>
        </w:rPr>
        <w:t>refugees and migrants, 5 December 2023.</w:t>
      </w:r>
    </w:p>
    <w:p>
      <w:pPr>
        <w:spacing w:after="0" w:line="235" w:lineRule="auto"/>
        <w:jc w:val="left"/>
        <w:rPr>
          <w:sz w:val="18"/>
        </w:rPr>
        <w:sectPr>
          <w:headerReference w:type="even" r:id="rId173"/>
          <w:headerReference w:type="default" r:id="rId174"/>
          <w:footerReference w:type="even" r:id="rId175"/>
          <w:footerReference w:type="default" r:id="rId176"/>
          <w:pgSz w:w="11910" w:h="16840"/>
          <w:pgMar w:header="496" w:footer="367" w:top="1220" w:bottom="560" w:left="0" w:right="0"/>
          <w:pgNumType w:start="104"/>
        </w:sectPr>
      </w:pPr>
    </w:p>
    <w:p>
      <w:pPr>
        <w:pStyle w:val="BodyText"/>
        <w:spacing w:before="198"/>
      </w:pPr>
    </w:p>
    <w:p>
      <w:pPr>
        <w:pStyle w:val="BodyText"/>
        <w:spacing w:line="225" w:lineRule="auto"/>
        <w:ind w:left="1853" w:right="1171"/>
      </w:pPr>
      <w:r>
        <w:rPr/>
        <w:t>the Safety of Rwanda (Asylum and Immigration) Bill, which proposes to declare</w:t>
      </w:r>
      <w:r>
        <w:rPr>
          <w:spacing w:val="-6"/>
        </w:rPr>
        <w:t> </w:t>
      </w:r>
      <w:r>
        <w:rPr/>
        <w:t>Rwanda</w:t>
      </w:r>
      <w:r>
        <w:rPr>
          <w:spacing w:val="-7"/>
        </w:rPr>
        <w:t> </w:t>
      </w:r>
      <w:r>
        <w:rPr/>
        <w:t>as</w:t>
      </w:r>
      <w:r>
        <w:rPr>
          <w:spacing w:val="-7"/>
        </w:rPr>
        <w:t> </w:t>
      </w:r>
      <w:r>
        <w:rPr/>
        <w:t>a</w:t>
      </w:r>
      <w:r>
        <w:rPr>
          <w:spacing w:val="-7"/>
        </w:rPr>
        <w:t> </w:t>
      </w:r>
      <w:r>
        <w:rPr/>
        <w:t>safe</w:t>
      </w:r>
      <w:r>
        <w:rPr>
          <w:spacing w:val="-6"/>
        </w:rPr>
        <w:t> </w:t>
      </w:r>
      <w:r>
        <w:rPr/>
        <w:t>third</w:t>
      </w:r>
      <w:r>
        <w:rPr>
          <w:spacing w:val="-7"/>
        </w:rPr>
        <w:t> </w:t>
      </w:r>
      <w:r>
        <w:rPr/>
        <w:t>country</w:t>
      </w:r>
      <w:r>
        <w:rPr>
          <w:spacing w:val="-6"/>
        </w:rPr>
        <w:t> </w:t>
      </w:r>
      <w:r>
        <w:rPr/>
        <w:t>of</w:t>
      </w:r>
      <w:r>
        <w:rPr>
          <w:spacing w:val="-7"/>
        </w:rPr>
        <w:t> </w:t>
      </w:r>
      <w:r>
        <w:rPr/>
        <w:t>removal</w:t>
      </w:r>
      <w:r>
        <w:rPr>
          <w:spacing w:val="-7"/>
        </w:rPr>
        <w:t> </w:t>
      </w:r>
      <w:r>
        <w:rPr/>
        <w:t>and</w:t>
      </w:r>
      <w:r>
        <w:rPr>
          <w:spacing w:val="-7"/>
        </w:rPr>
        <w:t> </w:t>
      </w:r>
      <w:r>
        <w:rPr/>
        <w:t>remove</w:t>
      </w:r>
      <w:r>
        <w:rPr>
          <w:spacing w:val="-6"/>
        </w:rPr>
        <w:t> </w:t>
      </w:r>
      <w:r>
        <w:rPr/>
        <w:t>the</w:t>
      </w:r>
      <w:r>
        <w:rPr>
          <w:spacing w:val="-6"/>
        </w:rPr>
        <w:t> </w:t>
      </w:r>
      <w:r>
        <w:rPr/>
        <w:t>possibility of challenging this categorisation.</w:t>
      </w:r>
      <w:r>
        <w:rPr>
          <w:vertAlign w:val="superscript"/>
        </w:rPr>
        <w:t>560</w:t>
      </w:r>
    </w:p>
    <w:p>
      <w:pPr>
        <w:pStyle w:val="ListParagraph"/>
        <w:numPr>
          <w:ilvl w:val="1"/>
          <w:numId w:val="7"/>
        </w:numPr>
        <w:tabs>
          <w:tab w:pos="1853" w:val="left" w:leader="none"/>
        </w:tabs>
        <w:spacing w:line="225" w:lineRule="auto" w:before="317" w:after="0"/>
        <w:ind w:left="1853" w:right="1133" w:hanging="720"/>
        <w:jc w:val="left"/>
        <w:rPr>
          <w:sz w:val="28"/>
        </w:rPr>
      </w:pPr>
      <w:r>
        <w:rPr>
          <w:sz w:val="28"/>
        </w:rPr>
        <w:t>In January 2024, the NIHRC raised concerns about compliance of the Bill with the UK’s international human rights obligations and advised that disapplying the</w:t>
      </w:r>
      <w:r>
        <w:rPr>
          <w:spacing w:val="-6"/>
          <w:sz w:val="28"/>
        </w:rPr>
        <w:t> </w:t>
      </w:r>
      <w:r>
        <w:rPr>
          <w:sz w:val="28"/>
        </w:rPr>
        <w:t>interpretative</w:t>
      </w:r>
      <w:r>
        <w:rPr>
          <w:spacing w:val="-6"/>
          <w:sz w:val="28"/>
        </w:rPr>
        <w:t> </w:t>
      </w:r>
      <w:r>
        <w:rPr>
          <w:sz w:val="28"/>
        </w:rPr>
        <w:t>and</w:t>
      </w:r>
      <w:r>
        <w:rPr>
          <w:spacing w:val="-7"/>
          <w:sz w:val="28"/>
        </w:rPr>
        <w:t> </w:t>
      </w:r>
      <w:r>
        <w:rPr>
          <w:sz w:val="28"/>
        </w:rPr>
        <w:t>remedial</w:t>
      </w:r>
      <w:r>
        <w:rPr>
          <w:spacing w:val="-7"/>
          <w:sz w:val="28"/>
        </w:rPr>
        <w:t> </w:t>
      </w:r>
      <w:r>
        <w:rPr>
          <w:sz w:val="28"/>
        </w:rPr>
        <w:t>provisions</w:t>
      </w:r>
      <w:r>
        <w:rPr>
          <w:spacing w:val="-7"/>
          <w:sz w:val="28"/>
        </w:rPr>
        <w:t> </w:t>
      </w:r>
      <w:r>
        <w:rPr>
          <w:sz w:val="28"/>
        </w:rPr>
        <w:t>of</w:t>
      </w:r>
      <w:r>
        <w:rPr>
          <w:spacing w:val="-7"/>
          <w:sz w:val="28"/>
        </w:rPr>
        <w:t> </w:t>
      </w:r>
      <w:r>
        <w:rPr>
          <w:sz w:val="28"/>
        </w:rPr>
        <w:t>the</w:t>
      </w:r>
      <w:r>
        <w:rPr>
          <w:spacing w:val="-6"/>
          <w:sz w:val="28"/>
        </w:rPr>
        <w:t> </w:t>
      </w:r>
      <w:r>
        <w:rPr>
          <w:sz w:val="28"/>
        </w:rPr>
        <w:t>Human</w:t>
      </w:r>
      <w:r>
        <w:rPr>
          <w:spacing w:val="-7"/>
          <w:sz w:val="28"/>
        </w:rPr>
        <w:t> </w:t>
      </w:r>
      <w:r>
        <w:rPr>
          <w:sz w:val="28"/>
        </w:rPr>
        <w:t>Rights</w:t>
      </w:r>
      <w:r>
        <w:rPr>
          <w:spacing w:val="-7"/>
          <w:sz w:val="28"/>
        </w:rPr>
        <w:t> </w:t>
      </w:r>
      <w:r>
        <w:rPr>
          <w:sz w:val="28"/>
        </w:rPr>
        <w:t>Act</w:t>
      </w:r>
      <w:r>
        <w:rPr>
          <w:spacing w:val="-6"/>
          <w:sz w:val="28"/>
        </w:rPr>
        <w:t> </w:t>
      </w:r>
      <w:r>
        <w:rPr>
          <w:sz w:val="28"/>
        </w:rPr>
        <w:t>1998</w:t>
      </w:r>
      <w:r>
        <w:rPr>
          <w:spacing w:val="-6"/>
          <w:sz w:val="28"/>
        </w:rPr>
        <w:t> </w:t>
      </w:r>
      <w:r>
        <w:rPr>
          <w:sz w:val="28"/>
        </w:rPr>
        <w:t>while dismantling the guarantees enshrined in Articles 2 and 3 of the ECHR, does</w:t>
      </w:r>
      <w:r>
        <w:rPr>
          <w:spacing w:val="40"/>
          <w:sz w:val="28"/>
        </w:rPr>
        <w:t> </w:t>
      </w:r>
      <w:r>
        <w:rPr>
          <w:sz w:val="28"/>
        </w:rPr>
        <w:t>not</w:t>
      </w:r>
      <w:r>
        <w:rPr>
          <w:spacing w:val="-1"/>
          <w:sz w:val="28"/>
        </w:rPr>
        <w:t> </w:t>
      </w:r>
      <w:r>
        <w:rPr>
          <w:sz w:val="28"/>
        </w:rPr>
        <w:t>ensure</w:t>
      </w:r>
      <w:r>
        <w:rPr>
          <w:spacing w:val="-1"/>
          <w:sz w:val="28"/>
        </w:rPr>
        <w:t> </w:t>
      </w:r>
      <w:r>
        <w:rPr>
          <w:sz w:val="28"/>
        </w:rPr>
        <w:t>the</w:t>
      </w:r>
      <w:r>
        <w:rPr>
          <w:spacing w:val="-1"/>
          <w:sz w:val="28"/>
        </w:rPr>
        <w:t> </w:t>
      </w:r>
      <w:r>
        <w:rPr>
          <w:sz w:val="28"/>
        </w:rPr>
        <w:t>right</w:t>
      </w:r>
      <w:r>
        <w:rPr>
          <w:spacing w:val="-1"/>
          <w:sz w:val="28"/>
        </w:rPr>
        <w:t> </w:t>
      </w:r>
      <w:r>
        <w:rPr>
          <w:sz w:val="28"/>
        </w:rPr>
        <w:t>to</w:t>
      </w:r>
      <w:r>
        <w:rPr>
          <w:spacing w:val="-2"/>
          <w:sz w:val="28"/>
        </w:rPr>
        <w:t> </w:t>
      </w:r>
      <w:r>
        <w:rPr>
          <w:sz w:val="28"/>
        </w:rPr>
        <w:t>an</w:t>
      </w:r>
      <w:r>
        <w:rPr>
          <w:spacing w:val="-2"/>
          <w:sz w:val="28"/>
        </w:rPr>
        <w:t> </w:t>
      </w:r>
      <w:r>
        <w:rPr>
          <w:sz w:val="28"/>
        </w:rPr>
        <w:t>effective</w:t>
      </w:r>
      <w:r>
        <w:rPr>
          <w:spacing w:val="-1"/>
          <w:sz w:val="28"/>
        </w:rPr>
        <w:t> </w:t>
      </w:r>
      <w:r>
        <w:rPr>
          <w:sz w:val="28"/>
        </w:rPr>
        <w:t>remedy</w:t>
      </w:r>
      <w:r>
        <w:rPr>
          <w:spacing w:val="-1"/>
          <w:sz w:val="28"/>
        </w:rPr>
        <w:t> </w:t>
      </w:r>
      <w:r>
        <w:rPr>
          <w:sz w:val="28"/>
        </w:rPr>
        <w:t>under</w:t>
      </w:r>
      <w:r>
        <w:rPr>
          <w:spacing w:val="-1"/>
          <w:sz w:val="28"/>
        </w:rPr>
        <w:t> </w:t>
      </w:r>
      <w:r>
        <w:rPr>
          <w:sz w:val="28"/>
        </w:rPr>
        <w:t>Article</w:t>
      </w:r>
      <w:r>
        <w:rPr>
          <w:spacing w:val="-1"/>
          <w:sz w:val="28"/>
        </w:rPr>
        <w:t> </w:t>
      </w:r>
      <w:r>
        <w:rPr>
          <w:sz w:val="28"/>
        </w:rPr>
        <w:t>13,</w:t>
      </w:r>
      <w:r>
        <w:rPr>
          <w:spacing w:val="-1"/>
          <w:sz w:val="28"/>
        </w:rPr>
        <w:t> </w:t>
      </w:r>
      <w:r>
        <w:rPr>
          <w:sz w:val="28"/>
        </w:rPr>
        <w:t>ECHR.</w:t>
      </w:r>
      <w:r>
        <w:rPr>
          <w:spacing w:val="-2"/>
          <w:sz w:val="28"/>
        </w:rPr>
        <w:t> </w:t>
      </w:r>
      <w:r>
        <w:rPr>
          <w:sz w:val="28"/>
        </w:rPr>
        <w:t>The</w:t>
      </w:r>
      <w:r>
        <w:rPr>
          <w:spacing w:val="-1"/>
          <w:sz w:val="28"/>
        </w:rPr>
        <w:t> </w:t>
      </w:r>
      <w:r>
        <w:rPr>
          <w:sz w:val="28"/>
        </w:rPr>
        <w:t>NIHRC also advised that the Bill may be in breach of Windsor Framework Article 2</w:t>
      </w:r>
    </w:p>
    <w:p>
      <w:pPr>
        <w:pStyle w:val="BodyText"/>
        <w:spacing w:line="225" w:lineRule="auto"/>
        <w:ind w:left="1853" w:right="1124"/>
      </w:pPr>
      <w:r>
        <w:rPr/>
        <w:t>by diminishing rights previously protected by the EU Temporary Protection Directive;</w:t>
      </w:r>
      <w:r>
        <w:rPr>
          <w:vertAlign w:val="superscript"/>
        </w:rPr>
        <w:t>561</w:t>
      </w:r>
      <w:r>
        <w:rPr>
          <w:vertAlign w:val="baseline"/>
        </w:rPr>
        <w:t> EU Reception Directive;</w:t>
      </w:r>
      <w:r>
        <w:rPr>
          <w:vertAlign w:val="superscript"/>
        </w:rPr>
        <w:t>562</w:t>
      </w:r>
      <w:r>
        <w:rPr>
          <w:vertAlign w:val="baseline"/>
        </w:rPr>
        <w:t> EU Qualification Directive;</w:t>
      </w:r>
      <w:r>
        <w:rPr>
          <w:vertAlign w:val="superscript"/>
        </w:rPr>
        <w:t>563</w:t>
      </w:r>
      <w:r>
        <w:rPr>
          <w:vertAlign w:val="baseline"/>
        </w:rPr>
        <w:t> EU Procedures Directive;</w:t>
      </w:r>
      <w:r>
        <w:rPr>
          <w:vertAlign w:val="superscript"/>
        </w:rPr>
        <w:t>564</w:t>
      </w:r>
      <w:r>
        <w:rPr>
          <w:vertAlign w:val="baseline"/>
        </w:rPr>
        <w:t> and the EU Dublin III Regulation</w:t>
      </w:r>
      <w:r>
        <w:rPr>
          <w:vertAlign w:val="superscript"/>
        </w:rPr>
        <w:t>565</w:t>
      </w:r>
      <w:r>
        <w:rPr>
          <w:vertAlign w:val="baseline"/>
        </w:rPr>
        <w:t> and that it needs immediate and thorough reassessment.</w:t>
      </w:r>
      <w:r>
        <w:rPr>
          <w:vertAlign w:val="superscript"/>
        </w:rPr>
        <w:t>566</w:t>
      </w:r>
      <w:r>
        <w:rPr>
          <w:vertAlign w:val="baseline"/>
        </w:rPr>
        <w:t> For example, clause 4(2) rules out an</w:t>
      </w:r>
      <w:r>
        <w:rPr>
          <w:spacing w:val="-5"/>
          <w:vertAlign w:val="baseline"/>
        </w:rPr>
        <w:t> </w:t>
      </w:r>
      <w:r>
        <w:rPr>
          <w:vertAlign w:val="baseline"/>
        </w:rPr>
        <w:t>appeal</w:t>
      </w:r>
      <w:r>
        <w:rPr>
          <w:spacing w:val="-5"/>
          <w:vertAlign w:val="baseline"/>
        </w:rPr>
        <w:t> </w:t>
      </w:r>
      <w:r>
        <w:rPr>
          <w:vertAlign w:val="baseline"/>
        </w:rPr>
        <w:t>or</w:t>
      </w:r>
      <w:r>
        <w:rPr>
          <w:spacing w:val="-4"/>
          <w:vertAlign w:val="baseline"/>
        </w:rPr>
        <w:t> </w:t>
      </w:r>
      <w:r>
        <w:rPr>
          <w:vertAlign w:val="baseline"/>
        </w:rPr>
        <w:t>a</w:t>
      </w:r>
      <w:r>
        <w:rPr>
          <w:spacing w:val="-5"/>
          <w:vertAlign w:val="baseline"/>
        </w:rPr>
        <w:t> </w:t>
      </w:r>
      <w:r>
        <w:rPr>
          <w:vertAlign w:val="baseline"/>
        </w:rPr>
        <w:t>claim</w:t>
      </w:r>
      <w:r>
        <w:rPr>
          <w:spacing w:val="-4"/>
          <w:vertAlign w:val="baseline"/>
        </w:rPr>
        <w:t> </w:t>
      </w:r>
      <w:r>
        <w:rPr>
          <w:vertAlign w:val="baseline"/>
        </w:rPr>
        <w:t>based</w:t>
      </w:r>
      <w:r>
        <w:rPr>
          <w:spacing w:val="-5"/>
          <w:vertAlign w:val="baseline"/>
        </w:rPr>
        <w:t> </w:t>
      </w:r>
      <w:r>
        <w:rPr>
          <w:vertAlign w:val="baseline"/>
        </w:rPr>
        <w:t>on</w:t>
      </w:r>
      <w:r>
        <w:rPr>
          <w:spacing w:val="-5"/>
          <w:vertAlign w:val="baseline"/>
        </w:rPr>
        <w:t> </w:t>
      </w:r>
      <w:r>
        <w:rPr>
          <w:vertAlign w:val="baseline"/>
        </w:rPr>
        <w:t>the</w:t>
      </w:r>
      <w:r>
        <w:rPr>
          <w:spacing w:val="-4"/>
          <w:vertAlign w:val="baseline"/>
        </w:rPr>
        <w:t> </w:t>
      </w:r>
      <w:r>
        <w:rPr>
          <w:vertAlign w:val="baseline"/>
        </w:rPr>
        <w:t>risk</w:t>
      </w:r>
      <w:r>
        <w:rPr>
          <w:spacing w:val="-4"/>
          <w:vertAlign w:val="baseline"/>
        </w:rPr>
        <w:t> </w:t>
      </w:r>
      <w:r>
        <w:rPr>
          <w:vertAlign w:val="baseline"/>
        </w:rPr>
        <w:t>of</w:t>
      </w:r>
      <w:r>
        <w:rPr>
          <w:spacing w:val="-5"/>
          <w:vertAlign w:val="baseline"/>
        </w:rPr>
        <w:t> </w:t>
      </w:r>
      <w:r>
        <w:rPr>
          <w:vertAlign w:val="baseline"/>
        </w:rPr>
        <w:t>refoulement</w:t>
      </w:r>
      <w:r>
        <w:rPr>
          <w:spacing w:val="-4"/>
          <w:vertAlign w:val="baseline"/>
        </w:rPr>
        <w:t> </w:t>
      </w:r>
      <w:r>
        <w:rPr>
          <w:vertAlign w:val="baseline"/>
        </w:rPr>
        <w:t>and</w:t>
      </w:r>
      <w:r>
        <w:rPr>
          <w:spacing w:val="-5"/>
          <w:vertAlign w:val="baseline"/>
        </w:rPr>
        <w:t> </w:t>
      </w:r>
      <w:r>
        <w:rPr>
          <w:vertAlign w:val="baseline"/>
        </w:rPr>
        <w:t>may</w:t>
      </w:r>
      <w:r>
        <w:rPr>
          <w:spacing w:val="-4"/>
          <w:vertAlign w:val="baseline"/>
        </w:rPr>
        <w:t> </w:t>
      </w:r>
      <w:r>
        <w:rPr>
          <w:vertAlign w:val="baseline"/>
        </w:rPr>
        <w:t>diminish</w:t>
      </w:r>
      <w:r>
        <w:rPr>
          <w:spacing w:val="-5"/>
          <w:vertAlign w:val="baseline"/>
        </w:rPr>
        <w:t> </w:t>
      </w:r>
      <w:r>
        <w:rPr>
          <w:vertAlign w:val="baseline"/>
        </w:rPr>
        <w:t>a</w:t>
      </w:r>
      <w:r>
        <w:rPr>
          <w:spacing w:val="-5"/>
          <w:vertAlign w:val="baseline"/>
        </w:rPr>
        <w:t> </w:t>
      </w:r>
      <w:r>
        <w:rPr>
          <w:vertAlign w:val="baseline"/>
        </w:rPr>
        <w:t>right to an effective remedy under Article 47 of the EU Charter of Fundamental Rights, in relation to minimum standards set out in Article 27(1)(b) of the EU Procedures Directive and Article 21 of the EU Qualification Directive.</w:t>
      </w:r>
      <w:r>
        <w:rPr>
          <w:vertAlign w:val="superscript"/>
        </w:rPr>
        <w:t>567</w:t>
      </w:r>
    </w:p>
    <w:p>
      <w:pPr>
        <w:pStyle w:val="ListParagraph"/>
        <w:numPr>
          <w:ilvl w:val="1"/>
          <w:numId w:val="7"/>
        </w:numPr>
        <w:tabs>
          <w:tab w:pos="1853" w:val="left" w:leader="none"/>
        </w:tabs>
        <w:spacing w:line="225" w:lineRule="auto" w:before="301" w:after="0"/>
        <w:ind w:left="1853" w:right="1158" w:hanging="720"/>
        <w:jc w:val="left"/>
        <w:rPr>
          <w:sz w:val="28"/>
        </w:rPr>
      </w:pPr>
      <w:r>
        <w:rPr>
          <w:sz w:val="28"/>
        </w:rPr>
        <w:t>In February 2024, the ECNI published a submission on the Safety of Rwanda (Asylum and Immigration) Bill in which it shared many of the above concerns and</w:t>
      </w:r>
      <w:r>
        <w:rPr>
          <w:spacing w:val="-7"/>
          <w:sz w:val="28"/>
        </w:rPr>
        <w:t> </w:t>
      </w:r>
      <w:r>
        <w:rPr>
          <w:sz w:val="28"/>
        </w:rPr>
        <w:t>number</w:t>
      </w:r>
      <w:r>
        <w:rPr>
          <w:spacing w:val="-6"/>
          <w:sz w:val="28"/>
        </w:rPr>
        <w:t> </w:t>
      </w:r>
      <w:r>
        <w:rPr>
          <w:sz w:val="28"/>
        </w:rPr>
        <w:t>of</w:t>
      </w:r>
      <w:r>
        <w:rPr>
          <w:spacing w:val="-7"/>
          <w:sz w:val="28"/>
        </w:rPr>
        <w:t> </w:t>
      </w:r>
      <w:r>
        <w:rPr>
          <w:sz w:val="28"/>
        </w:rPr>
        <w:t>specific</w:t>
      </w:r>
      <w:r>
        <w:rPr>
          <w:spacing w:val="-6"/>
          <w:sz w:val="28"/>
        </w:rPr>
        <w:t> </w:t>
      </w:r>
      <w:r>
        <w:rPr>
          <w:sz w:val="28"/>
        </w:rPr>
        <w:t>concerns</w:t>
      </w:r>
      <w:r>
        <w:rPr>
          <w:spacing w:val="-7"/>
          <w:sz w:val="28"/>
        </w:rPr>
        <w:t> </w:t>
      </w:r>
      <w:r>
        <w:rPr>
          <w:sz w:val="28"/>
        </w:rPr>
        <w:t>relating</w:t>
      </w:r>
      <w:r>
        <w:rPr>
          <w:spacing w:val="-6"/>
          <w:sz w:val="28"/>
        </w:rPr>
        <w:t> </w:t>
      </w:r>
      <w:r>
        <w:rPr>
          <w:sz w:val="28"/>
        </w:rPr>
        <w:t>to</w:t>
      </w:r>
      <w:r>
        <w:rPr>
          <w:spacing w:val="-7"/>
          <w:sz w:val="28"/>
        </w:rPr>
        <w:t> </w:t>
      </w:r>
      <w:r>
        <w:rPr>
          <w:sz w:val="28"/>
        </w:rPr>
        <w:t>the</w:t>
      </w:r>
      <w:r>
        <w:rPr>
          <w:spacing w:val="-6"/>
          <w:sz w:val="28"/>
        </w:rPr>
        <w:t> </w:t>
      </w:r>
      <w:r>
        <w:rPr>
          <w:sz w:val="28"/>
        </w:rPr>
        <w:t>Bill’s</w:t>
      </w:r>
      <w:r>
        <w:rPr>
          <w:spacing w:val="-7"/>
          <w:sz w:val="28"/>
        </w:rPr>
        <w:t> </w:t>
      </w:r>
      <w:r>
        <w:rPr>
          <w:sz w:val="28"/>
        </w:rPr>
        <w:t>compliance</w:t>
      </w:r>
      <w:r>
        <w:rPr>
          <w:spacing w:val="-6"/>
          <w:sz w:val="28"/>
        </w:rPr>
        <w:t> </w:t>
      </w:r>
      <w:r>
        <w:rPr>
          <w:sz w:val="28"/>
        </w:rPr>
        <w:t>with</w:t>
      </w:r>
      <w:r>
        <w:rPr>
          <w:spacing w:val="-7"/>
          <w:sz w:val="28"/>
        </w:rPr>
        <w:t> </w:t>
      </w:r>
      <w:r>
        <w:rPr>
          <w:sz w:val="28"/>
        </w:rPr>
        <w:t>Windsor Framework Article 2.</w:t>
      </w:r>
      <w:r>
        <w:rPr>
          <w:sz w:val="28"/>
          <w:vertAlign w:val="superscript"/>
        </w:rPr>
        <w:t>568</w:t>
      </w:r>
      <w:r>
        <w:rPr>
          <w:sz w:val="28"/>
          <w:vertAlign w:val="baseline"/>
        </w:rPr>
        <w:t> In the context of certain requirements set out in the EU Procedures Directive,</w:t>
      </w:r>
      <w:r>
        <w:rPr>
          <w:sz w:val="28"/>
          <w:vertAlign w:val="superscript"/>
        </w:rPr>
        <w:t>569</w:t>
      </w:r>
      <w:r>
        <w:rPr>
          <w:sz w:val="28"/>
          <w:vertAlign w:val="baseline"/>
        </w:rPr>
        <w:t> the ECNI raised concerns that the Bill, which required that every decision-maker must conclusively treat Rwanda as a safe</w:t>
      </w:r>
    </w:p>
    <w:p>
      <w:pPr>
        <w:pStyle w:val="BodyText"/>
        <w:rPr>
          <w:sz w:val="20"/>
        </w:rPr>
      </w:pPr>
    </w:p>
    <w:p>
      <w:pPr>
        <w:pStyle w:val="BodyText"/>
        <w:spacing w:before="120"/>
        <w:rPr>
          <w:sz w:val="20"/>
        </w:rPr>
      </w:pPr>
      <w:r>
        <w:rPr/>
        <mc:AlternateContent>
          <mc:Choice Requires="wps">
            <w:drawing>
              <wp:anchor distT="0" distB="0" distL="0" distR="0" allowOverlap="1" layoutInCell="1" locked="0" behindDoc="1" simplePos="0" relativeHeight="487686144">
                <wp:simplePos x="0" y="0"/>
                <wp:positionH relativeFrom="page">
                  <wp:posOffset>719996</wp:posOffset>
                </wp:positionH>
                <wp:positionV relativeFrom="paragraph">
                  <wp:posOffset>246689</wp:posOffset>
                </wp:positionV>
                <wp:extent cx="6120130" cy="1270"/>
                <wp:effectExtent l="0" t="0" r="0" b="0"/>
                <wp:wrapTopAndBottom/>
                <wp:docPr id="448" name="Graphic 448"/>
                <wp:cNvGraphicFramePr>
                  <a:graphicFrameLocks/>
                </wp:cNvGraphicFramePr>
                <a:graphic>
                  <a:graphicData uri="http://schemas.microsoft.com/office/word/2010/wordprocessingShape">
                    <wps:wsp>
                      <wps:cNvPr id="448" name="Graphic 448"/>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9.424402pt;width:481.9pt;height:.1pt;mso-position-horizontal-relative:page;mso-position-vertical-relative:paragraph;z-index:-15630336;mso-wrap-distance-left:0;mso-wrap-distance-right:0" id="docshape397" coordorigin="1134,388" coordsize="9638,0" path="m10772,388l1134,388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35" w:lineRule="auto" w:before="145" w:after="0"/>
        <w:ind w:left="1853" w:right="1993" w:hanging="720"/>
        <w:jc w:val="left"/>
        <w:rPr>
          <w:sz w:val="18"/>
        </w:rPr>
      </w:pPr>
      <w:r>
        <w:rPr>
          <w:sz w:val="18"/>
        </w:rPr>
        <w:t>The</w:t>
      </w:r>
      <w:r>
        <w:rPr>
          <w:spacing w:val="-2"/>
          <w:sz w:val="18"/>
        </w:rPr>
        <w:t> </w:t>
      </w:r>
      <w:r>
        <w:rPr>
          <w:sz w:val="18"/>
        </w:rPr>
        <w:t>definition</w:t>
      </w:r>
      <w:r>
        <w:rPr>
          <w:spacing w:val="-3"/>
          <w:sz w:val="18"/>
        </w:rPr>
        <w:t> </w:t>
      </w:r>
      <w:r>
        <w:rPr>
          <w:sz w:val="18"/>
        </w:rPr>
        <w:t>of</w:t>
      </w:r>
      <w:r>
        <w:rPr>
          <w:spacing w:val="-3"/>
          <w:sz w:val="18"/>
        </w:rPr>
        <w:t> </w:t>
      </w:r>
      <w:r>
        <w:rPr>
          <w:sz w:val="18"/>
        </w:rPr>
        <w:t>Rwanda</w:t>
      </w:r>
      <w:r>
        <w:rPr>
          <w:spacing w:val="-3"/>
          <w:sz w:val="18"/>
        </w:rPr>
        <w:t> </w:t>
      </w:r>
      <w:r>
        <w:rPr>
          <w:sz w:val="18"/>
        </w:rPr>
        <w:t>as</w:t>
      </w:r>
      <w:r>
        <w:rPr>
          <w:spacing w:val="-3"/>
          <w:sz w:val="18"/>
        </w:rPr>
        <w:t> </w:t>
      </w:r>
      <w:r>
        <w:rPr>
          <w:sz w:val="18"/>
        </w:rPr>
        <w:t>a</w:t>
      </w:r>
      <w:r>
        <w:rPr>
          <w:spacing w:val="-3"/>
          <w:sz w:val="18"/>
        </w:rPr>
        <w:t> </w:t>
      </w:r>
      <w:r>
        <w:rPr>
          <w:sz w:val="18"/>
        </w:rPr>
        <w:t>safe</w:t>
      </w:r>
      <w:r>
        <w:rPr>
          <w:spacing w:val="-2"/>
          <w:sz w:val="18"/>
        </w:rPr>
        <w:t> </w:t>
      </w:r>
      <w:r>
        <w:rPr>
          <w:sz w:val="18"/>
        </w:rPr>
        <w:t>third</w:t>
      </w:r>
      <w:r>
        <w:rPr>
          <w:spacing w:val="-3"/>
          <w:sz w:val="18"/>
        </w:rPr>
        <w:t> </w:t>
      </w:r>
      <w:r>
        <w:rPr>
          <w:sz w:val="18"/>
        </w:rPr>
        <w:t>country</w:t>
      </w:r>
      <w:r>
        <w:rPr>
          <w:spacing w:val="-2"/>
          <w:sz w:val="18"/>
        </w:rPr>
        <w:t> </w:t>
      </w:r>
      <w:r>
        <w:rPr>
          <w:sz w:val="18"/>
        </w:rPr>
        <w:t>is</w:t>
      </w:r>
      <w:r>
        <w:rPr>
          <w:spacing w:val="-3"/>
          <w:sz w:val="18"/>
        </w:rPr>
        <w:t> </w:t>
      </w:r>
      <w:r>
        <w:rPr>
          <w:sz w:val="18"/>
        </w:rPr>
        <w:t>not</w:t>
      </w:r>
      <w:r>
        <w:rPr>
          <w:spacing w:val="-2"/>
          <w:sz w:val="18"/>
        </w:rPr>
        <w:t> </w:t>
      </w:r>
      <w:r>
        <w:rPr>
          <w:sz w:val="18"/>
        </w:rPr>
        <w:t>subject</w:t>
      </w:r>
      <w:r>
        <w:rPr>
          <w:spacing w:val="-2"/>
          <w:sz w:val="18"/>
        </w:rPr>
        <w:t> </w:t>
      </w:r>
      <w:r>
        <w:rPr>
          <w:sz w:val="18"/>
        </w:rPr>
        <w:t>to</w:t>
      </w:r>
      <w:r>
        <w:rPr>
          <w:spacing w:val="-3"/>
          <w:sz w:val="18"/>
        </w:rPr>
        <w:t> </w:t>
      </w:r>
      <w:r>
        <w:rPr>
          <w:sz w:val="18"/>
        </w:rPr>
        <w:t>criteria,</w:t>
      </w:r>
      <w:r>
        <w:rPr>
          <w:spacing w:val="-2"/>
          <w:sz w:val="18"/>
        </w:rPr>
        <w:t> </w:t>
      </w:r>
      <w:r>
        <w:rPr>
          <w:sz w:val="18"/>
        </w:rPr>
        <w:t>such</w:t>
      </w:r>
      <w:r>
        <w:rPr>
          <w:spacing w:val="-3"/>
          <w:sz w:val="18"/>
        </w:rPr>
        <w:t> </w:t>
      </w:r>
      <w:r>
        <w:rPr>
          <w:sz w:val="18"/>
        </w:rPr>
        <w:t>as</w:t>
      </w:r>
      <w:r>
        <w:rPr>
          <w:spacing w:val="-3"/>
          <w:sz w:val="18"/>
        </w:rPr>
        <w:t> </w:t>
      </w:r>
      <w:r>
        <w:rPr>
          <w:sz w:val="18"/>
        </w:rPr>
        <w:t>set</w:t>
      </w:r>
      <w:r>
        <w:rPr>
          <w:spacing w:val="-2"/>
          <w:sz w:val="18"/>
        </w:rPr>
        <w:t> </w:t>
      </w:r>
      <w:r>
        <w:rPr>
          <w:sz w:val="18"/>
        </w:rPr>
        <w:t>out</w:t>
      </w:r>
      <w:r>
        <w:rPr>
          <w:spacing w:val="-2"/>
          <w:sz w:val="18"/>
        </w:rPr>
        <w:t> </w:t>
      </w:r>
      <w:r>
        <w:rPr>
          <w:sz w:val="18"/>
        </w:rPr>
        <w:t>in</w:t>
      </w:r>
      <w:r>
        <w:rPr>
          <w:spacing w:val="-3"/>
          <w:sz w:val="18"/>
        </w:rPr>
        <w:t> </w:t>
      </w:r>
      <w:r>
        <w:rPr>
          <w:sz w:val="18"/>
        </w:rPr>
        <w:t>Article</w:t>
      </w:r>
      <w:r>
        <w:rPr>
          <w:spacing w:val="-2"/>
          <w:sz w:val="18"/>
        </w:rPr>
        <w:t> </w:t>
      </w:r>
      <w:r>
        <w:rPr>
          <w:sz w:val="18"/>
        </w:rPr>
        <w:t>27</w:t>
      </w:r>
      <w:r>
        <w:rPr>
          <w:spacing w:val="-2"/>
          <w:sz w:val="18"/>
        </w:rPr>
        <w:t> </w:t>
      </w:r>
      <w:r>
        <w:rPr>
          <w:sz w:val="18"/>
        </w:rPr>
        <w:t>of</w:t>
      </w:r>
      <w:r>
        <w:rPr>
          <w:spacing w:val="-3"/>
          <w:sz w:val="18"/>
        </w:rPr>
        <w:t> </w:t>
      </w:r>
      <w:r>
        <w:rPr>
          <w:sz w:val="18"/>
        </w:rPr>
        <w:t>the</w:t>
      </w:r>
      <w:r>
        <w:rPr>
          <w:spacing w:val="-2"/>
          <w:sz w:val="18"/>
        </w:rPr>
        <w:t> </w:t>
      </w:r>
      <w:r>
        <w:rPr>
          <w:sz w:val="18"/>
        </w:rPr>
        <w:t>EU Procedures Directive, which were reflected in UK law prior to Brexit. The NIHRC considers this may diminish</w:t>
      </w:r>
    </w:p>
    <w:p>
      <w:pPr>
        <w:spacing w:line="235" w:lineRule="auto" w:before="1"/>
        <w:ind w:left="1853" w:right="1171" w:firstLine="0"/>
        <w:jc w:val="left"/>
        <w:rPr>
          <w:sz w:val="18"/>
        </w:rPr>
      </w:pPr>
      <w:r>
        <w:rPr>
          <w:sz w:val="18"/>
        </w:rPr>
        <w:t>rights</w:t>
      </w:r>
      <w:r>
        <w:rPr>
          <w:spacing w:val="-7"/>
          <w:sz w:val="18"/>
        </w:rPr>
        <w:t> </w:t>
      </w:r>
      <w:r>
        <w:rPr>
          <w:sz w:val="18"/>
        </w:rPr>
        <w:t>contrary</w:t>
      </w:r>
      <w:r>
        <w:rPr>
          <w:spacing w:val="-6"/>
          <w:sz w:val="18"/>
        </w:rPr>
        <w:t> </w:t>
      </w:r>
      <w:r>
        <w:rPr>
          <w:sz w:val="18"/>
        </w:rPr>
        <w:t>to</w:t>
      </w:r>
      <w:r>
        <w:rPr>
          <w:spacing w:val="-7"/>
          <w:sz w:val="18"/>
        </w:rPr>
        <w:t> </w:t>
      </w:r>
      <w:r>
        <w:rPr>
          <w:sz w:val="18"/>
        </w:rPr>
        <w:t>Windsor</w:t>
      </w:r>
      <w:r>
        <w:rPr>
          <w:spacing w:val="-6"/>
          <w:sz w:val="18"/>
        </w:rPr>
        <w:t> </w:t>
      </w:r>
      <w:r>
        <w:rPr>
          <w:sz w:val="18"/>
        </w:rPr>
        <w:t>Framework</w:t>
      </w:r>
      <w:r>
        <w:rPr>
          <w:spacing w:val="-6"/>
          <w:sz w:val="18"/>
        </w:rPr>
        <w:t> </w:t>
      </w:r>
      <w:r>
        <w:rPr>
          <w:sz w:val="18"/>
        </w:rPr>
        <w:t>Article</w:t>
      </w:r>
      <w:r>
        <w:rPr>
          <w:spacing w:val="-6"/>
          <w:sz w:val="18"/>
        </w:rPr>
        <w:t> </w:t>
      </w:r>
      <w:r>
        <w:rPr>
          <w:sz w:val="18"/>
        </w:rPr>
        <w:t>2.</w:t>
      </w:r>
      <w:r>
        <w:rPr>
          <w:spacing w:val="-7"/>
          <w:sz w:val="18"/>
        </w:rPr>
        <w:t> </w:t>
      </w:r>
      <w:r>
        <w:rPr>
          <w:sz w:val="18"/>
        </w:rPr>
        <w:t>See</w:t>
      </w:r>
      <w:r>
        <w:rPr>
          <w:spacing w:val="-6"/>
          <w:sz w:val="18"/>
        </w:rPr>
        <w:t> </w:t>
      </w:r>
      <w:r>
        <w:rPr>
          <w:sz w:val="18"/>
        </w:rPr>
        <w:t>Home</w:t>
      </w:r>
      <w:r>
        <w:rPr>
          <w:spacing w:val="-6"/>
          <w:sz w:val="18"/>
        </w:rPr>
        <w:t> </w:t>
      </w:r>
      <w:r>
        <w:rPr>
          <w:sz w:val="18"/>
        </w:rPr>
        <w:t>Office,</w:t>
      </w:r>
      <w:r>
        <w:rPr>
          <w:spacing w:val="-6"/>
          <w:sz w:val="18"/>
        </w:rPr>
        <w:t> </w:t>
      </w:r>
      <w:r>
        <w:rPr>
          <w:sz w:val="18"/>
        </w:rPr>
        <w:t>‘UK-Rwanda</w:t>
      </w:r>
      <w:r>
        <w:rPr>
          <w:spacing w:val="-7"/>
          <w:sz w:val="18"/>
        </w:rPr>
        <w:t> </w:t>
      </w:r>
      <w:r>
        <w:rPr>
          <w:sz w:val="18"/>
        </w:rPr>
        <w:t>Treaty:</w:t>
      </w:r>
      <w:r>
        <w:rPr>
          <w:spacing w:val="-6"/>
          <w:sz w:val="18"/>
        </w:rPr>
        <w:t> </w:t>
      </w:r>
      <w:r>
        <w:rPr>
          <w:sz w:val="18"/>
        </w:rPr>
        <w:t>Provision</w:t>
      </w:r>
      <w:r>
        <w:rPr>
          <w:spacing w:val="-7"/>
          <w:sz w:val="18"/>
        </w:rPr>
        <w:t> </w:t>
      </w:r>
      <w:r>
        <w:rPr>
          <w:sz w:val="18"/>
        </w:rPr>
        <w:t>of</w:t>
      </w:r>
      <w:r>
        <w:rPr>
          <w:spacing w:val="-7"/>
          <w:sz w:val="18"/>
        </w:rPr>
        <w:t> </w:t>
      </w:r>
      <w:r>
        <w:rPr>
          <w:sz w:val="18"/>
        </w:rPr>
        <w:t>an</w:t>
      </w:r>
      <w:r>
        <w:rPr>
          <w:spacing w:val="-7"/>
          <w:sz w:val="18"/>
        </w:rPr>
        <w:t> </w:t>
      </w:r>
      <w:r>
        <w:rPr>
          <w:sz w:val="18"/>
        </w:rPr>
        <w:t>Asylum</w:t>
      </w:r>
      <w:r>
        <w:rPr>
          <w:spacing w:val="-6"/>
          <w:sz w:val="18"/>
        </w:rPr>
        <w:t> </w:t>
      </w:r>
      <w:r>
        <w:rPr>
          <w:sz w:val="18"/>
        </w:rPr>
        <w:t>Partnership’ (HO, 2023).</w:t>
      </w:r>
    </w:p>
    <w:p>
      <w:pPr>
        <w:pStyle w:val="ListParagraph"/>
        <w:numPr>
          <w:ilvl w:val="0"/>
          <w:numId w:val="11"/>
        </w:numPr>
        <w:tabs>
          <w:tab w:pos="1853" w:val="left" w:leader="none"/>
        </w:tabs>
        <w:spacing w:line="235" w:lineRule="auto" w:before="1" w:after="0"/>
        <w:ind w:left="1853" w:right="1430" w:hanging="720"/>
        <w:jc w:val="left"/>
        <w:rPr>
          <w:sz w:val="18"/>
        </w:rPr>
      </w:pPr>
      <w:r>
        <w:rPr>
          <w:sz w:val="18"/>
        </w:rPr>
        <w:t>Directive</w:t>
      </w:r>
      <w:r>
        <w:rPr>
          <w:spacing w:val="-4"/>
          <w:sz w:val="18"/>
        </w:rPr>
        <w:t> </w:t>
      </w:r>
      <w:r>
        <w:rPr>
          <w:sz w:val="18"/>
        </w:rPr>
        <w:t>2001/55/EC,</w:t>
      </w:r>
      <w:r>
        <w:rPr>
          <w:spacing w:val="-4"/>
          <w:sz w:val="18"/>
        </w:rPr>
        <w:t> </w:t>
      </w:r>
      <w:r>
        <w:rPr>
          <w:sz w:val="18"/>
        </w:rPr>
        <w:t>‘Council</w:t>
      </w:r>
      <w:r>
        <w:rPr>
          <w:spacing w:val="-5"/>
          <w:sz w:val="18"/>
        </w:rPr>
        <w:t> </w:t>
      </w:r>
      <w:r>
        <w:rPr>
          <w:sz w:val="18"/>
        </w:rPr>
        <w:t>Directive</w:t>
      </w:r>
      <w:r>
        <w:rPr>
          <w:spacing w:val="-4"/>
          <w:sz w:val="18"/>
        </w:rPr>
        <w:t> </w:t>
      </w:r>
      <w:r>
        <w:rPr>
          <w:sz w:val="18"/>
        </w:rPr>
        <w:t>on</w:t>
      </w:r>
      <w:r>
        <w:rPr>
          <w:spacing w:val="-5"/>
          <w:sz w:val="18"/>
        </w:rPr>
        <w:t> </w:t>
      </w:r>
      <w:r>
        <w:rPr>
          <w:sz w:val="18"/>
        </w:rPr>
        <w:t>minimum</w:t>
      </w:r>
      <w:r>
        <w:rPr>
          <w:spacing w:val="-4"/>
          <w:sz w:val="18"/>
        </w:rPr>
        <w:t> </w:t>
      </w:r>
      <w:r>
        <w:rPr>
          <w:sz w:val="18"/>
        </w:rPr>
        <w:t>standards</w:t>
      </w:r>
      <w:r>
        <w:rPr>
          <w:spacing w:val="-5"/>
          <w:sz w:val="18"/>
        </w:rPr>
        <w:t> </w:t>
      </w:r>
      <w:r>
        <w:rPr>
          <w:sz w:val="18"/>
        </w:rPr>
        <w:t>for</w:t>
      </w:r>
      <w:r>
        <w:rPr>
          <w:spacing w:val="-4"/>
          <w:sz w:val="18"/>
        </w:rPr>
        <w:t> </w:t>
      </w:r>
      <w:r>
        <w:rPr>
          <w:sz w:val="18"/>
        </w:rPr>
        <w:t>giving</w:t>
      </w:r>
      <w:r>
        <w:rPr>
          <w:spacing w:val="-4"/>
          <w:sz w:val="18"/>
        </w:rPr>
        <w:t> </w:t>
      </w:r>
      <w:r>
        <w:rPr>
          <w:sz w:val="18"/>
        </w:rPr>
        <w:t>temporary</w:t>
      </w:r>
      <w:r>
        <w:rPr>
          <w:spacing w:val="-4"/>
          <w:sz w:val="18"/>
        </w:rPr>
        <w:t> </w:t>
      </w:r>
      <w:r>
        <w:rPr>
          <w:sz w:val="18"/>
        </w:rPr>
        <w:t>protection</w:t>
      </w:r>
      <w:r>
        <w:rPr>
          <w:spacing w:val="-5"/>
          <w:sz w:val="18"/>
        </w:rPr>
        <w:t> </w:t>
      </w:r>
      <w:r>
        <w:rPr>
          <w:sz w:val="18"/>
        </w:rPr>
        <w:t>in</w:t>
      </w:r>
      <w:r>
        <w:rPr>
          <w:spacing w:val="-5"/>
          <w:sz w:val="18"/>
        </w:rPr>
        <w:t> </w:t>
      </w:r>
      <w:r>
        <w:rPr>
          <w:sz w:val="18"/>
        </w:rPr>
        <w:t>the</w:t>
      </w:r>
      <w:r>
        <w:rPr>
          <w:spacing w:val="-4"/>
          <w:sz w:val="18"/>
        </w:rPr>
        <w:t> </w:t>
      </w:r>
      <w:r>
        <w:rPr>
          <w:sz w:val="18"/>
        </w:rPr>
        <w:t>event</w:t>
      </w:r>
      <w:r>
        <w:rPr>
          <w:spacing w:val="-4"/>
          <w:sz w:val="18"/>
        </w:rPr>
        <w:t> </w:t>
      </w:r>
      <w:r>
        <w:rPr>
          <w:sz w:val="18"/>
        </w:rPr>
        <w:t>of</w:t>
      </w:r>
      <w:r>
        <w:rPr>
          <w:spacing w:val="-5"/>
          <w:sz w:val="18"/>
        </w:rPr>
        <w:t> </w:t>
      </w:r>
      <w:r>
        <w:rPr>
          <w:sz w:val="18"/>
        </w:rPr>
        <w:t>a</w:t>
      </w:r>
      <w:r>
        <w:rPr>
          <w:spacing w:val="-5"/>
          <w:sz w:val="18"/>
        </w:rPr>
        <w:t> </w:t>
      </w:r>
      <w:r>
        <w:rPr>
          <w:sz w:val="18"/>
        </w:rPr>
        <w:t>mass influx of displaced persons’, 20 July 2001.</w:t>
      </w:r>
    </w:p>
    <w:p>
      <w:pPr>
        <w:pStyle w:val="ListParagraph"/>
        <w:numPr>
          <w:ilvl w:val="0"/>
          <w:numId w:val="11"/>
        </w:numPr>
        <w:tabs>
          <w:tab w:pos="1853" w:val="left" w:leader="none"/>
        </w:tabs>
        <w:spacing w:line="235" w:lineRule="auto" w:before="2" w:after="0"/>
        <w:ind w:left="1853" w:right="1302" w:hanging="720"/>
        <w:jc w:val="left"/>
        <w:rPr>
          <w:sz w:val="18"/>
        </w:rPr>
      </w:pPr>
      <w:r>
        <w:rPr>
          <w:sz w:val="18"/>
        </w:rPr>
        <w:t>Directive</w:t>
      </w:r>
      <w:r>
        <w:rPr>
          <w:spacing w:val="-6"/>
          <w:sz w:val="18"/>
        </w:rPr>
        <w:t> </w:t>
      </w:r>
      <w:r>
        <w:rPr>
          <w:sz w:val="18"/>
        </w:rPr>
        <w:t>2003/9/EC,</w:t>
      </w:r>
      <w:r>
        <w:rPr>
          <w:spacing w:val="-6"/>
          <w:sz w:val="18"/>
        </w:rPr>
        <w:t> </w:t>
      </w:r>
      <w:r>
        <w:rPr>
          <w:sz w:val="18"/>
        </w:rPr>
        <w:t>‘Council</w:t>
      </w:r>
      <w:r>
        <w:rPr>
          <w:spacing w:val="-7"/>
          <w:sz w:val="18"/>
        </w:rPr>
        <w:t> </w:t>
      </w:r>
      <w:r>
        <w:rPr>
          <w:sz w:val="18"/>
        </w:rPr>
        <w:t>Directive</w:t>
      </w:r>
      <w:r>
        <w:rPr>
          <w:spacing w:val="-6"/>
          <w:sz w:val="18"/>
        </w:rPr>
        <w:t> </w:t>
      </w:r>
      <w:r>
        <w:rPr>
          <w:sz w:val="18"/>
        </w:rPr>
        <w:t>laying</w:t>
      </w:r>
      <w:r>
        <w:rPr>
          <w:spacing w:val="-6"/>
          <w:sz w:val="18"/>
        </w:rPr>
        <w:t> </w:t>
      </w:r>
      <w:r>
        <w:rPr>
          <w:sz w:val="18"/>
        </w:rPr>
        <w:t>down</w:t>
      </w:r>
      <w:r>
        <w:rPr>
          <w:spacing w:val="-7"/>
          <w:sz w:val="18"/>
        </w:rPr>
        <w:t> </w:t>
      </w:r>
      <w:r>
        <w:rPr>
          <w:sz w:val="18"/>
        </w:rPr>
        <w:t>minimum</w:t>
      </w:r>
      <w:r>
        <w:rPr>
          <w:spacing w:val="-6"/>
          <w:sz w:val="18"/>
        </w:rPr>
        <w:t> </w:t>
      </w:r>
      <w:r>
        <w:rPr>
          <w:sz w:val="18"/>
        </w:rPr>
        <w:t>standards</w:t>
      </w:r>
      <w:r>
        <w:rPr>
          <w:spacing w:val="-7"/>
          <w:sz w:val="18"/>
        </w:rPr>
        <w:t> </w:t>
      </w:r>
      <w:r>
        <w:rPr>
          <w:sz w:val="18"/>
        </w:rPr>
        <w:t>for</w:t>
      </w:r>
      <w:r>
        <w:rPr>
          <w:spacing w:val="-6"/>
          <w:sz w:val="18"/>
        </w:rPr>
        <w:t> </w:t>
      </w:r>
      <w:r>
        <w:rPr>
          <w:sz w:val="18"/>
        </w:rPr>
        <w:t>the</w:t>
      </w:r>
      <w:r>
        <w:rPr>
          <w:spacing w:val="-6"/>
          <w:sz w:val="18"/>
        </w:rPr>
        <w:t> </w:t>
      </w:r>
      <w:r>
        <w:rPr>
          <w:sz w:val="18"/>
        </w:rPr>
        <w:t>reception</w:t>
      </w:r>
      <w:r>
        <w:rPr>
          <w:spacing w:val="-7"/>
          <w:sz w:val="18"/>
        </w:rPr>
        <w:t> </w:t>
      </w:r>
      <w:r>
        <w:rPr>
          <w:sz w:val="18"/>
        </w:rPr>
        <w:t>of</w:t>
      </w:r>
      <w:r>
        <w:rPr>
          <w:spacing w:val="-7"/>
          <w:sz w:val="18"/>
        </w:rPr>
        <w:t> </w:t>
      </w:r>
      <w:r>
        <w:rPr>
          <w:sz w:val="18"/>
        </w:rPr>
        <w:t>asylum</w:t>
      </w:r>
      <w:r>
        <w:rPr>
          <w:spacing w:val="-6"/>
          <w:sz w:val="18"/>
        </w:rPr>
        <w:t> </w:t>
      </w:r>
      <w:r>
        <w:rPr>
          <w:sz w:val="18"/>
        </w:rPr>
        <w:t>seekers’,</w:t>
      </w:r>
      <w:r>
        <w:rPr>
          <w:spacing w:val="-6"/>
          <w:sz w:val="18"/>
        </w:rPr>
        <w:t> </w:t>
      </w:r>
      <w:r>
        <w:rPr>
          <w:sz w:val="18"/>
        </w:rPr>
        <w:t>27</w:t>
      </w:r>
      <w:r>
        <w:rPr>
          <w:spacing w:val="-6"/>
          <w:sz w:val="18"/>
        </w:rPr>
        <w:t> </w:t>
      </w:r>
      <w:r>
        <w:rPr>
          <w:sz w:val="18"/>
        </w:rPr>
        <w:t>January </w:t>
      </w:r>
      <w:r>
        <w:rPr>
          <w:spacing w:val="-2"/>
          <w:sz w:val="18"/>
        </w:rPr>
        <w:t>2003.</w:t>
      </w:r>
    </w:p>
    <w:p>
      <w:pPr>
        <w:pStyle w:val="ListParagraph"/>
        <w:numPr>
          <w:ilvl w:val="0"/>
          <w:numId w:val="11"/>
        </w:numPr>
        <w:tabs>
          <w:tab w:pos="1853" w:val="left" w:leader="none"/>
        </w:tabs>
        <w:spacing w:line="235" w:lineRule="auto" w:before="1" w:after="0"/>
        <w:ind w:left="1853" w:right="1287" w:hanging="720"/>
        <w:jc w:val="left"/>
        <w:rPr>
          <w:sz w:val="18"/>
        </w:rPr>
      </w:pPr>
      <w:r>
        <w:rPr>
          <w:sz w:val="18"/>
        </w:rPr>
        <w:t>Directive</w:t>
      </w:r>
      <w:r>
        <w:rPr>
          <w:spacing w:val="-5"/>
          <w:sz w:val="18"/>
        </w:rPr>
        <w:t> </w:t>
      </w:r>
      <w:r>
        <w:rPr>
          <w:sz w:val="18"/>
        </w:rPr>
        <w:t>2004/83/EC</w:t>
      </w:r>
      <w:r>
        <w:rPr>
          <w:spacing w:val="-6"/>
          <w:sz w:val="18"/>
        </w:rPr>
        <w:t> </w:t>
      </w:r>
      <w:r>
        <w:rPr>
          <w:sz w:val="18"/>
        </w:rPr>
        <w:t>‘Council</w:t>
      </w:r>
      <w:r>
        <w:rPr>
          <w:spacing w:val="-6"/>
          <w:sz w:val="18"/>
        </w:rPr>
        <w:t> </w:t>
      </w:r>
      <w:r>
        <w:rPr>
          <w:sz w:val="18"/>
        </w:rPr>
        <w:t>Directive</w:t>
      </w:r>
      <w:r>
        <w:rPr>
          <w:spacing w:val="-5"/>
          <w:sz w:val="18"/>
        </w:rPr>
        <w:t> </w:t>
      </w:r>
      <w:r>
        <w:rPr>
          <w:sz w:val="18"/>
        </w:rPr>
        <w:t>on</w:t>
      </w:r>
      <w:r>
        <w:rPr>
          <w:spacing w:val="-6"/>
          <w:sz w:val="18"/>
        </w:rPr>
        <w:t> </w:t>
      </w:r>
      <w:r>
        <w:rPr>
          <w:sz w:val="18"/>
        </w:rPr>
        <w:t>minimum</w:t>
      </w:r>
      <w:r>
        <w:rPr>
          <w:spacing w:val="-5"/>
          <w:sz w:val="18"/>
        </w:rPr>
        <w:t> </w:t>
      </w:r>
      <w:r>
        <w:rPr>
          <w:sz w:val="18"/>
        </w:rPr>
        <w:t>standards</w:t>
      </w:r>
      <w:r>
        <w:rPr>
          <w:spacing w:val="-6"/>
          <w:sz w:val="18"/>
        </w:rPr>
        <w:t> </w:t>
      </w:r>
      <w:r>
        <w:rPr>
          <w:sz w:val="18"/>
        </w:rPr>
        <w:t>for</w:t>
      </w:r>
      <w:r>
        <w:rPr>
          <w:spacing w:val="-5"/>
          <w:sz w:val="18"/>
        </w:rPr>
        <w:t> </w:t>
      </w:r>
      <w:r>
        <w:rPr>
          <w:sz w:val="18"/>
        </w:rPr>
        <w:t>the</w:t>
      </w:r>
      <w:r>
        <w:rPr>
          <w:spacing w:val="-5"/>
          <w:sz w:val="18"/>
        </w:rPr>
        <w:t> </w:t>
      </w:r>
      <w:r>
        <w:rPr>
          <w:sz w:val="18"/>
        </w:rPr>
        <w:t>qualification</w:t>
      </w:r>
      <w:r>
        <w:rPr>
          <w:spacing w:val="-6"/>
          <w:sz w:val="18"/>
        </w:rPr>
        <w:t> </w:t>
      </w:r>
      <w:r>
        <w:rPr>
          <w:sz w:val="18"/>
        </w:rPr>
        <w:t>and</w:t>
      </w:r>
      <w:r>
        <w:rPr>
          <w:spacing w:val="-6"/>
          <w:sz w:val="18"/>
        </w:rPr>
        <w:t> </w:t>
      </w:r>
      <w:r>
        <w:rPr>
          <w:sz w:val="18"/>
        </w:rPr>
        <w:t>status</w:t>
      </w:r>
      <w:r>
        <w:rPr>
          <w:spacing w:val="-6"/>
          <w:sz w:val="18"/>
        </w:rPr>
        <w:t> </w:t>
      </w:r>
      <w:r>
        <w:rPr>
          <w:sz w:val="18"/>
        </w:rPr>
        <w:t>of</w:t>
      </w:r>
      <w:r>
        <w:rPr>
          <w:spacing w:val="-6"/>
          <w:sz w:val="18"/>
        </w:rPr>
        <w:t> </w:t>
      </w:r>
      <w:r>
        <w:rPr>
          <w:sz w:val="18"/>
        </w:rPr>
        <w:t>third</w:t>
      </w:r>
      <w:r>
        <w:rPr>
          <w:spacing w:val="-6"/>
          <w:sz w:val="18"/>
        </w:rPr>
        <w:t> </w:t>
      </w:r>
      <w:r>
        <w:rPr>
          <w:sz w:val="18"/>
        </w:rPr>
        <w:t>country</w:t>
      </w:r>
      <w:r>
        <w:rPr>
          <w:spacing w:val="-5"/>
          <w:sz w:val="18"/>
        </w:rPr>
        <w:t> </w:t>
      </w:r>
      <w:r>
        <w:rPr>
          <w:sz w:val="18"/>
        </w:rPr>
        <w:t>nationals or stateless persons as refugees or as persons who otherwise need international protection and the content of the protection granted’, 29 April 2004.</w:t>
      </w:r>
    </w:p>
    <w:p>
      <w:pPr>
        <w:pStyle w:val="ListParagraph"/>
        <w:numPr>
          <w:ilvl w:val="0"/>
          <w:numId w:val="11"/>
        </w:numPr>
        <w:tabs>
          <w:tab w:pos="1853" w:val="left" w:leader="none"/>
        </w:tabs>
        <w:spacing w:line="235" w:lineRule="auto" w:before="2" w:after="0"/>
        <w:ind w:left="1853" w:right="1767" w:hanging="720"/>
        <w:jc w:val="left"/>
        <w:rPr>
          <w:sz w:val="18"/>
        </w:rPr>
      </w:pPr>
      <w:r>
        <w:rPr>
          <w:sz w:val="18"/>
        </w:rPr>
        <w:t>Directive</w:t>
      </w:r>
      <w:r>
        <w:rPr>
          <w:spacing w:val="-5"/>
          <w:sz w:val="18"/>
        </w:rPr>
        <w:t> </w:t>
      </w:r>
      <w:r>
        <w:rPr>
          <w:sz w:val="18"/>
        </w:rPr>
        <w:t>2005/85/EC,</w:t>
      </w:r>
      <w:r>
        <w:rPr>
          <w:spacing w:val="-5"/>
          <w:sz w:val="18"/>
        </w:rPr>
        <w:t> </w:t>
      </w:r>
      <w:r>
        <w:rPr>
          <w:sz w:val="18"/>
        </w:rPr>
        <w:t>‘Council</w:t>
      </w:r>
      <w:r>
        <w:rPr>
          <w:spacing w:val="-6"/>
          <w:sz w:val="18"/>
        </w:rPr>
        <w:t> </w:t>
      </w:r>
      <w:r>
        <w:rPr>
          <w:sz w:val="18"/>
        </w:rPr>
        <w:t>Directive</w:t>
      </w:r>
      <w:r>
        <w:rPr>
          <w:spacing w:val="-5"/>
          <w:sz w:val="18"/>
        </w:rPr>
        <w:t> </w:t>
      </w:r>
      <w:r>
        <w:rPr>
          <w:sz w:val="18"/>
        </w:rPr>
        <w:t>on</w:t>
      </w:r>
      <w:r>
        <w:rPr>
          <w:spacing w:val="-6"/>
          <w:sz w:val="18"/>
        </w:rPr>
        <w:t> </w:t>
      </w:r>
      <w:r>
        <w:rPr>
          <w:sz w:val="18"/>
        </w:rPr>
        <w:t>minimum</w:t>
      </w:r>
      <w:r>
        <w:rPr>
          <w:spacing w:val="-5"/>
          <w:sz w:val="18"/>
        </w:rPr>
        <w:t> </w:t>
      </w:r>
      <w:r>
        <w:rPr>
          <w:sz w:val="18"/>
        </w:rPr>
        <w:t>standards</w:t>
      </w:r>
      <w:r>
        <w:rPr>
          <w:spacing w:val="-6"/>
          <w:sz w:val="18"/>
        </w:rPr>
        <w:t> </w:t>
      </w:r>
      <w:r>
        <w:rPr>
          <w:sz w:val="18"/>
        </w:rPr>
        <w:t>on</w:t>
      </w:r>
      <w:r>
        <w:rPr>
          <w:spacing w:val="-6"/>
          <w:sz w:val="18"/>
        </w:rPr>
        <w:t> </w:t>
      </w:r>
      <w:r>
        <w:rPr>
          <w:sz w:val="18"/>
        </w:rPr>
        <w:t>procedures</w:t>
      </w:r>
      <w:r>
        <w:rPr>
          <w:spacing w:val="-6"/>
          <w:sz w:val="18"/>
        </w:rPr>
        <w:t> </w:t>
      </w:r>
      <w:r>
        <w:rPr>
          <w:sz w:val="18"/>
        </w:rPr>
        <w:t>in</w:t>
      </w:r>
      <w:r>
        <w:rPr>
          <w:spacing w:val="-6"/>
          <w:sz w:val="18"/>
        </w:rPr>
        <w:t> </w:t>
      </w:r>
      <w:r>
        <w:rPr>
          <w:sz w:val="18"/>
        </w:rPr>
        <w:t>Member</w:t>
      </w:r>
      <w:r>
        <w:rPr>
          <w:spacing w:val="-5"/>
          <w:sz w:val="18"/>
        </w:rPr>
        <w:t> </w:t>
      </w:r>
      <w:r>
        <w:rPr>
          <w:sz w:val="18"/>
        </w:rPr>
        <w:t>States</w:t>
      </w:r>
      <w:r>
        <w:rPr>
          <w:spacing w:val="-6"/>
          <w:sz w:val="18"/>
        </w:rPr>
        <w:t> </w:t>
      </w:r>
      <w:r>
        <w:rPr>
          <w:sz w:val="18"/>
        </w:rPr>
        <w:t>for</w:t>
      </w:r>
      <w:r>
        <w:rPr>
          <w:spacing w:val="-5"/>
          <w:sz w:val="18"/>
        </w:rPr>
        <w:t> </w:t>
      </w:r>
      <w:r>
        <w:rPr>
          <w:sz w:val="18"/>
        </w:rPr>
        <w:t>granting</w:t>
      </w:r>
      <w:r>
        <w:rPr>
          <w:spacing w:val="-5"/>
          <w:sz w:val="18"/>
        </w:rPr>
        <w:t> </w:t>
      </w:r>
      <w:r>
        <w:rPr>
          <w:sz w:val="18"/>
        </w:rPr>
        <w:t>and withdrawing refugee status’, 1 December 2005.</w:t>
      </w:r>
    </w:p>
    <w:p>
      <w:pPr>
        <w:pStyle w:val="ListParagraph"/>
        <w:numPr>
          <w:ilvl w:val="0"/>
          <w:numId w:val="11"/>
        </w:numPr>
        <w:tabs>
          <w:tab w:pos="1853" w:val="left" w:leader="none"/>
        </w:tabs>
        <w:spacing w:line="235" w:lineRule="auto" w:before="1" w:after="0"/>
        <w:ind w:left="1853" w:right="1207" w:hanging="720"/>
        <w:jc w:val="left"/>
        <w:rPr>
          <w:sz w:val="18"/>
        </w:rPr>
      </w:pPr>
      <w:r>
        <w:rPr>
          <w:sz w:val="18"/>
        </w:rPr>
        <w:t>Regulation</w:t>
      </w:r>
      <w:r>
        <w:rPr>
          <w:spacing w:val="-6"/>
          <w:sz w:val="18"/>
        </w:rPr>
        <w:t> </w:t>
      </w:r>
      <w:r>
        <w:rPr>
          <w:sz w:val="18"/>
        </w:rPr>
        <w:t>604/2013/EU</w:t>
      </w:r>
      <w:r>
        <w:rPr>
          <w:spacing w:val="-5"/>
          <w:sz w:val="18"/>
        </w:rPr>
        <w:t> </w:t>
      </w:r>
      <w:r>
        <w:rPr>
          <w:sz w:val="18"/>
        </w:rPr>
        <w:t>‘EU</w:t>
      </w:r>
      <w:r>
        <w:rPr>
          <w:spacing w:val="-5"/>
          <w:sz w:val="18"/>
        </w:rPr>
        <w:t> </w:t>
      </w:r>
      <w:r>
        <w:rPr>
          <w:sz w:val="18"/>
        </w:rPr>
        <w:t>Parliament</w:t>
      </w:r>
      <w:r>
        <w:rPr>
          <w:spacing w:val="-5"/>
          <w:sz w:val="18"/>
        </w:rPr>
        <w:t> </w:t>
      </w:r>
      <w:r>
        <w:rPr>
          <w:sz w:val="18"/>
        </w:rPr>
        <w:t>and</w:t>
      </w:r>
      <w:r>
        <w:rPr>
          <w:spacing w:val="-6"/>
          <w:sz w:val="18"/>
        </w:rPr>
        <w:t> </w:t>
      </w:r>
      <w:r>
        <w:rPr>
          <w:sz w:val="18"/>
        </w:rPr>
        <w:t>Council</w:t>
      </w:r>
      <w:r>
        <w:rPr>
          <w:spacing w:val="-6"/>
          <w:sz w:val="18"/>
        </w:rPr>
        <w:t> </w:t>
      </w:r>
      <w:r>
        <w:rPr>
          <w:sz w:val="18"/>
        </w:rPr>
        <w:t>Regulation</w:t>
      </w:r>
      <w:r>
        <w:rPr>
          <w:spacing w:val="-6"/>
          <w:sz w:val="18"/>
        </w:rPr>
        <w:t> </w:t>
      </w:r>
      <w:r>
        <w:rPr>
          <w:sz w:val="18"/>
        </w:rPr>
        <w:t>establishing</w:t>
      </w:r>
      <w:r>
        <w:rPr>
          <w:spacing w:val="-5"/>
          <w:sz w:val="18"/>
        </w:rPr>
        <w:t> </w:t>
      </w:r>
      <w:r>
        <w:rPr>
          <w:sz w:val="18"/>
        </w:rPr>
        <w:t>the</w:t>
      </w:r>
      <w:r>
        <w:rPr>
          <w:spacing w:val="-5"/>
          <w:sz w:val="18"/>
        </w:rPr>
        <w:t> </w:t>
      </w:r>
      <w:r>
        <w:rPr>
          <w:sz w:val="18"/>
        </w:rPr>
        <w:t>criteria</w:t>
      </w:r>
      <w:r>
        <w:rPr>
          <w:spacing w:val="-6"/>
          <w:sz w:val="18"/>
        </w:rPr>
        <w:t> </w:t>
      </w:r>
      <w:r>
        <w:rPr>
          <w:sz w:val="18"/>
        </w:rPr>
        <w:t>and</w:t>
      </w:r>
      <w:r>
        <w:rPr>
          <w:spacing w:val="-6"/>
          <w:sz w:val="18"/>
        </w:rPr>
        <w:t> </w:t>
      </w:r>
      <w:r>
        <w:rPr>
          <w:sz w:val="18"/>
        </w:rPr>
        <w:t>mechanisms</w:t>
      </w:r>
      <w:r>
        <w:rPr>
          <w:spacing w:val="-6"/>
          <w:sz w:val="18"/>
        </w:rPr>
        <w:t> </w:t>
      </w:r>
      <w:r>
        <w:rPr>
          <w:sz w:val="18"/>
        </w:rPr>
        <w:t>for</w:t>
      </w:r>
      <w:r>
        <w:rPr>
          <w:spacing w:val="-5"/>
          <w:sz w:val="18"/>
        </w:rPr>
        <w:t> </w:t>
      </w:r>
      <w:r>
        <w:rPr>
          <w:sz w:val="18"/>
        </w:rPr>
        <w:t>determining the Member State responsible for examining an application for international protection lodged in one of the Member States by a third-country national or a stateless person (recast)’, 26 June 2013.</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NI</w:t>
      </w:r>
      <w:r>
        <w:rPr>
          <w:spacing w:val="-5"/>
          <w:sz w:val="18"/>
        </w:rPr>
        <w:t> </w:t>
      </w:r>
      <w:r>
        <w:rPr>
          <w:sz w:val="18"/>
        </w:rPr>
        <w:t>Human</w:t>
      </w:r>
      <w:r>
        <w:rPr>
          <w:spacing w:val="-5"/>
          <w:sz w:val="18"/>
        </w:rPr>
        <w:t> </w:t>
      </w:r>
      <w:r>
        <w:rPr>
          <w:sz w:val="18"/>
        </w:rPr>
        <w:t>Rights</w:t>
      </w:r>
      <w:r>
        <w:rPr>
          <w:spacing w:val="-5"/>
          <w:sz w:val="18"/>
        </w:rPr>
        <w:t> </w:t>
      </w:r>
      <w:r>
        <w:rPr>
          <w:sz w:val="18"/>
        </w:rPr>
        <w:t>Commission,</w:t>
      </w:r>
      <w:r>
        <w:rPr>
          <w:spacing w:val="-5"/>
          <w:sz w:val="18"/>
        </w:rPr>
        <w:t> </w:t>
      </w:r>
      <w:r>
        <w:rPr>
          <w:sz w:val="18"/>
        </w:rPr>
        <w:t>‘Advice</w:t>
      </w:r>
      <w:r>
        <w:rPr>
          <w:spacing w:val="-4"/>
          <w:sz w:val="18"/>
        </w:rPr>
        <w:t> </w:t>
      </w:r>
      <w:r>
        <w:rPr>
          <w:sz w:val="18"/>
        </w:rPr>
        <w:t>on</w:t>
      </w:r>
      <w:r>
        <w:rPr>
          <w:spacing w:val="-5"/>
          <w:sz w:val="18"/>
        </w:rPr>
        <w:t> </w:t>
      </w:r>
      <w:r>
        <w:rPr>
          <w:sz w:val="18"/>
        </w:rPr>
        <w:t>the</w:t>
      </w:r>
      <w:r>
        <w:rPr>
          <w:spacing w:val="-5"/>
          <w:sz w:val="18"/>
        </w:rPr>
        <w:t> </w:t>
      </w:r>
      <w:r>
        <w:rPr>
          <w:sz w:val="18"/>
        </w:rPr>
        <w:t>Safety</w:t>
      </w:r>
      <w:r>
        <w:rPr>
          <w:spacing w:val="-4"/>
          <w:sz w:val="18"/>
        </w:rPr>
        <w:t> </w:t>
      </w:r>
      <w:r>
        <w:rPr>
          <w:sz w:val="18"/>
        </w:rPr>
        <w:t>of</w:t>
      </w:r>
      <w:r>
        <w:rPr>
          <w:spacing w:val="-5"/>
          <w:sz w:val="18"/>
        </w:rPr>
        <w:t> </w:t>
      </w:r>
      <w:r>
        <w:rPr>
          <w:sz w:val="18"/>
        </w:rPr>
        <w:t>Rwanda</w:t>
      </w:r>
      <w:r>
        <w:rPr>
          <w:spacing w:val="-5"/>
          <w:sz w:val="18"/>
        </w:rPr>
        <w:t> </w:t>
      </w:r>
      <w:r>
        <w:rPr>
          <w:sz w:val="18"/>
        </w:rPr>
        <w:t>(Asylum</w:t>
      </w:r>
      <w:r>
        <w:rPr>
          <w:spacing w:val="-5"/>
          <w:sz w:val="18"/>
        </w:rPr>
        <w:t> </w:t>
      </w:r>
      <w:r>
        <w:rPr>
          <w:sz w:val="18"/>
        </w:rPr>
        <w:t>and</w:t>
      </w:r>
      <w:r>
        <w:rPr>
          <w:spacing w:val="-5"/>
          <w:sz w:val="18"/>
        </w:rPr>
        <w:t> </w:t>
      </w:r>
      <w:r>
        <w:rPr>
          <w:sz w:val="18"/>
        </w:rPr>
        <w:t>Immigration)</w:t>
      </w:r>
      <w:r>
        <w:rPr>
          <w:spacing w:val="-5"/>
          <w:sz w:val="18"/>
        </w:rPr>
        <w:t> </w:t>
      </w:r>
      <w:r>
        <w:rPr>
          <w:sz w:val="18"/>
        </w:rPr>
        <w:t>Bill’</w:t>
      </w:r>
      <w:r>
        <w:rPr>
          <w:spacing w:val="-5"/>
          <w:sz w:val="18"/>
        </w:rPr>
        <w:t> </w:t>
      </w:r>
      <w:r>
        <w:rPr>
          <w:sz w:val="18"/>
        </w:rPr>
        <w:t>(NIHRC,</w:t>
      </w:r>
      <w:r>
        <w:rPr>
          <w:spacing w:val="-4"/>
          <w:sz w:val="18"/>
        </w:rPr>
        <w:t> </w:t>
      </w:r>
      <w:r>
        <w:rPr>
          <w:spacing w:val="-2"/>
          <w:sz w:val="18"/>
        </w:rPr>
        <w:t>2024).</w:t>
      </w:r>
    </w:p>
    <w:p>
      <w:pPr>
        <w:pStyle w:val="ListParagraph"/>
        <w:numPr>
          <w:ilvl w:val="0"/>
          <w:numId w:val="11"/>
        </w:numPr>
        <w:tabs>
          <w:tab w:pos="1853" w:val="left" w:leader="none"/>
        </w:tabs>
        <w:spacing w:line="235" w:lineRule="auto" w:before="2" w:after="0"/>
        <w:ind w:left="1853" w:right="1241" w:hanging="720"/>
        <w:jc w:val="left"/>
        <w:rPr>
          <w:sz w:val="18"/>
        </w:rPr>
      </w:pPr>
      <w:r>
        <w:rPr>
          <w:sz w:val="18"/>
        </w:rPr>
        <w:t>Directive 2005/85/EC, ‘Council Directive on minimum standards on procedures in Member States for granting and withdrawing</w:t>
      </w:r>
      <w:r>
        <w:rPr>
          <w:spacing w:val="-6"/>
          <w:sz w:val="18"/>
        </w:rPr>
        <w:t> </w:t>
      </w:r>
      <w:r>
        <w:rPr>
          <w:sz w:val="18"/>
        </w:rPr>
        <w:t>refugee</w:t>
      </w:r>
      <w:r>
        <w:rPr>
          <w:spacing w:val="-6"/>
          <w:sz w:val="18"/>
        </w:rPr>
        <w:t> </w:t>
      </w:r>
      <w:r>
        <w:rPr>
          <w:sz w:val="18"/>
        </w:rPr>
        <w:t>status’,</w:t>
      </w:r>
      <w:r>
        <w:rPr>
          <w:spacing w:val="-6"/>
          <w:sz w:val="18"/>
        </w:rPr>
        <w:t> </w:t>
      </w:r>
      <w:r>
        <w:rPr>
          <w:sz w:val="18"/>
        </w:rPr>
        <w:t>of</w:t>
      </w:r>
      <w:r>
        <w:rPr>
          <w:spacing w:val="-7"/>
          <w:sz w:val="18"/>
        </w:rPr>
        <w:t> </w:t>
      </w:r>
      <w:r>
        <w:rPr>
          <w:sz w:val="18"/>
        </w:rPr>
        <w:t>1</w:t>
      </w:r>
      <w:r>
        <w:rPr>
          <w:spacing w:val="-6"/>
          <w:sz w:val="18"/>
        </w:rPr>
        <w:t> </w:t>
      </w:r>
      <w:r>
        <w:rPr>
          <w:sz w:val="18"/>
        </w:rPr>
        <w:t>December</w:t>
      </w:r>
      <w:r>
        <w:rPr>
          <w:spacing w:val="-6"/>
          <w:sz w:val="18"/>
        </w:rPr>
        <w:t> </w:t>
      </w:r>
      <w:r>
        <w:rPr>
          <w:sz w:val="18"/>
        </w:rPr>
        <w:t>2005.</w:t>
      </w:r>
      <w:r>
        <w:rPr>
          <w:spacing w:val="-7"/>
          <w:sz w:val="18"/>
        </w:rPr>
        <w:t> </w:t>
      </w:r>
      <w:r>
        <w:rPr>
          <w:sz w:val="18"/>
        </w:rPr>
        <w:t>Directive</w:t>
      </w:r>
      <w:r>
        <w:rPr>
          <w:spacing w:val="-6"/>
          <w:sz w:val="18"/>
        </w:rPr>
        <w:t> </w:t>
      </w:r>
      <w:r>
        <w:rPr>
          <w:sz w:val="18"/>
        </w:rPr>
        <w:t>2004/83/EC</w:t>
      </w:r>
      <w:r>
        <w:rPr>
          <w:spacing w:val="-7"/>
          <w:sz w:val="18"/>
        </w:rPr>
        <w:t> </w:t>
      </w:r>
      <w:r>
        <w:rPr>
          <w:sz w:val="18"/>
        </w:rPr>
        <w:t>‘Council</w:t>
      </w:r>
      <w:r>
        <w:rPr>
          <w:spacing w:val="-7"/>
          <w:sz w:val="18"/>
        </w:rPr>
        <w:t> </w:t>
      </w:r>
      <w:r>
        <w:rPr>
          <w:sz w:val="18"/>
        </w:rPr>
        <w:t>Directive</w:t>
      </w:r>
      <w:r>
        <w:rPr>
          <w:spacing w:val="-6"/>
          <w:sz w:val="18"/>
        </w:rPr>
        <w:t> </w:t>
      </w:r>
      <w:r>
        <w:rPr>
          <w:sz w:val="18"/>
        </w:rPr>
        <w:t>on</w:t>
      </w:r>
      <w:r>
        <w:rPr>
          <w:spacing w:val="-7"/>
          <w:sz w:val="18"/>
        </w:rPr>
        <w:t> </w:t>
      </w:r>
      <w:r>
        <w:rPr>
          <w:sz w:val="18"/>
        </w:rPr>
        <w:t>minimum</w:t>
      </w:r>
      <w:r>
        <w:rPr>
          <w:spacing w:val="-6"/>
          <w:sz w:val="18"/>
        </w:rPr>
        <w:t> </w:t>
      </w:r>
      <w:r>
        <w:rPr>
          <w:sz w:val="18"/>
        </w:rPr>
        <w:t>standards</w:t>
      </w:r>
      <w:r>
        <w:rPr>
          <w:spacing w:val="-7"/>
          <w:sz w:val="18"/>
        </w:rPr>
        <w:t> </w:t>
      </w:r>
      <w:r>
        <w:rPr>
          <w:sz w:val="18"/>
        </w:rPr>
        <w:t>for</w:t>
      </w:r>
      <w:r>
        <w:rPr>
          <w:spacing w:val="-6"/>
          <w:sz w:val="18"/>
        </w:rPr>
        <w:t> </w:t>
      </w:r>
      <w:r>
        <w:rPr>
          <w:sz w:val="18"/>
        </w:rPr>
        <w:t>the qualification and status of third country nationals or stateless persons as refugees or as persons who otherwise</w:t>
      </w:r>
    </w:p>
    <w:p>
      <w:pPr>
        <w:spacing w:line="216" w:lineRule="exact" w:before="0"/>
        <w:ind w:left="1853" w:right="0" w:firstLine="0"/>
        <w:jc w:val="left"/>
        <w:rPr>
          <w:sz w:val="18"/>
        </w:rPr>
      </w:pPr>
      <w:r>
        <w:rPr>
          <w:sz w:val="18"/>
        </w:rPr>
        <w:t>need</w:t>
      </w:r>
      <w:r>
        <w:rPr>
          <w:spacing w:val="-9"/>
          <w:sz w:val="18"/>
        </w:rPr>
        <w:t> </w:t>
      </w:r>
      <w:r>
        <w:rPr>
          <w:sz w:val="18"/>
        </w:rPr>
        <w:t>international</w:t>
      </w:r>
      <w:r>
        <w:rPr>
          <w:spacing w:val="-9"/>
          <w:sz w:val="18"/>
        </w:rPr>
        <w:t> </w:t>
      </w:r>
      <w:r>
        <w:rPr>
          <w:sz w:val="18"/>
        </w:rPr>
        <w:t>protection</w:t>
      </w:r>
      <w:r>
        <w:rPr>
          <w:spacing w:val="-8"/>
          <w:sz w:val="18"/>
        </w:rPr>
        <w:t> </w:t>
      </w:r>
      <w:r>
        <w:rPr>
          <w:sz w:val="18"/>
        </w:rPr>
        <w:t>and</w:t>
      </w:r>
      <w:r>
        <w:rPr>
          <w:spacing w:val="-9"/>
          <w:sz w:val="18"/>
        </w:rPr>
        <w:t> </w:t>
      </w:r>
      <w:r>
        <w:rPr>
          <w:sz w:val="18"/>
        </w:rPr>
        <w:t>the</w:t>
      </w:r>
      <w:r>
        <w:rPr>
          <w:spacing w:val="-8"/>
          <w:sz w:val="18"/>
        </w:rPr>
        <w:t> </w:t>
      </w:r>
      <w:r>
        <w:rPr>
          <w:sz w:val="18"/>
        </w:rPr>
        <w:t>content</w:t>
      </w:r>
      <w:r>
        <w:rPr>
          <w:spacing w:val="-8"/>
          <w:sz w:val="18"/>
        </w:rPr>
        <w:t> </w:t>
      </w:r>
      <w:r>
        <w:rPr>
          <w:sz w:val="18"/>
        </w:rPr>
        <w:t>of</w:t>
      </w:r>
      <w:r>
        <w:rPr>
          <w:spacing w:val="-8"/>
          <w:sz w:val="18"/>
        </w:rPr>
        <w:t> </w:t>
      </w:r>
      <w:r>
        <w:rPr>
          <w:sz w:val="18"/>
        </w:rPr>
        <w:t>the</w:t>
      </w:r>
      <w:r>
        <w:rPr>
          <w:spacing w:val="-8"/>
          <w:sz w:val="18"/>
        </w:rPr>
        <w:t> </w:t>
      </w:r>
      <w:r>
        <w:rPr>
          <w:sz w:val="18"/>
        </w:rPr>
        <w:t>protection</w:t>
      </w:r>
      <w:r>
        <w:rPr>
          <w:spacing w:val="-9"/>
          <w:sz w:val="18"/>
        </w:rPr>
        <w:t> </w:t>
      </w:r>
      <w:r>
        <w:rPr>
          <w:sz w:val="18"/>
        </w:rPr>
        <w:t>granted’,</w:t>
      </w:r>
      <w:r>
        <w:rPr>
          <w:spacing w:val="-7"/>
          <w:sz w:val="18"/>
        </w:rPr>
        <w:t> </w:t>
      </w:r>
      <w:r>
        <w:rPr>
          <w:sz w:val="18"/>
        </w:rPr>
        <w:t>29</w:t>
      </w:r>
      <w:r>
        <w:rPr>
          <w:spacing w:val="-8"/>
          <w:sz w:val="18"/>
        </w:rPr>
        <w:t> </w:t>
      </w:r>
      <w:r>
        <w:rPr>
          <w:sz w:val="18"/>
        </w:rPr>
        <w:t>April</w:t>
      </w:r>
      <w:r>
        <w:rPr>
          <w:spacing w:val="-9"/>
          <w:sz w:val="18"/>
        </w:rPr>
        <w:t> </w:t>
      </w:r>
      <w:r>
        <w:rPr>
          <w:spacing w:val="-2"/>
          <w:sz w:val="18"/>
        </w:rPr>
        <w:t>2004.</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Equality</w:t>
      </w:r>
      <w:r>
        <w:rPr>
          <w:spacing w:val="-5"/>
          <w:sz w:val="18"/>
        </w:rPr>
        <w:t> </w:t>
      </w:r>
      <w:r>
        <w:rPr>
          <w:sz w:val="18"/>
        </w:rPr>
        <w:t>Commission</w:t>
      </w:r>
      <w:r>
        <w:rPr>
          <w:spacing w:val="-5"/>
          <w:sz w:val="18"/>
        </w:rPr>
        <w:t> </w:t>
      </w:r>
      <w:r>
        <w:rPr>
          <w:sz w:val="18"/>
        </w:rPr>
        <w:t>for</w:t>
      </w:r>
      <w:r>
        <w:rPr>
          <w:spacing w:val="-5"/>
          <w:sz w:val="18"/>
        </w:rPr>
        <w:t> </w:t>
      </w:r>
      <w:r>
        <w:rPr>
          <w:sz w:val="18"/>
        </w:rPr>
        <w:t>NI,</w:t>
      </w:r>
      <w:r>
        <w:rPr>
          <w:spacing w:val="-4"/>
          <w:sz w:val="18"/>
        </w:rPr>
        <w:t> </w:t>
      </w:r>
      <w:r>
        <w:rPr>
          <w:sz w:val="18"/>
        </w:rPr>
        <w:t>‘Submission</w:t>
      </w:r>
      <w:r>
        <w:rPr>
          <w:spacing w:val="-5"/>
          <w:sz w:val="18"/>
        </w:rPr>
        <w:t> </w:t>
      </w:r>
      <w:r>
        <w:rPr>
          <w:sz w:val="18"/>
        </w:rPr>
        <w:t>on</w:t>
      </w:r>
      <w:r>
        <w:rPr>
          <w:spacing w:val="-6"/>
          <w:sz w:val="18"/>
        </w:rPr>
        <w:t> </w:t>
      </w:r>
      <w:r>
        <w:rPr>
          <w:sz w:val="18"/>
        </w:rPr>
        <w:t>the</w:t>
      </w:r>
      <w:r>
        <w:rPr>
          <w:spacing w:val="-4"/>
          <w:sz w:val="18"/>
        </w:rPr>
        <w:t> </w:t>
      </w:r>
      <w:r>
        <w:rPr>
          <w:sz w:val="18"/>
        </w:rPr>
        <w:t>Safety</w:t>
      </w:r>
      <w:r>
        <w:rPr>
          <w:spacing w:val="-4"/>
          <w:sz w:val="18"/>
        </w:rPr>
        <w:t> </w:t>
      </w:r>
      <w:r>
        <w:rPr>
          <w:sz w:val="18"/>
        </w:rPr>
        <w:t>of</w:t>
      </w:r>
      <w:r>
        <w:rPr>
          <w:spacing w:val="-6"/>
          <w:sz w:val="18"/>
        </w:rPr>
        <w:t> </w:t>
      </w:r>
      <w:r>
        <w:rPr>
          <w:sz w:val="18"/>
        </w:rPr>
        <w:t>Rwanda</w:t>
      </w:r>
      <w:r>
        <w:rPr>
          <w:spacing w:val="-5"/>
          <w:sz w:val="18"/>
        </w:rPr>
        <w:t> </w:t>
      </w:r>
      <w:r>
        <w:rPr>
          <w:sz w:val="18"/>
        </w:rPr>
        <w:t>(Asylum</w:t>
      </w:r>
      <w:r>
        <w:rPr>
          <w:spacing w:val="-5"/>
          <w:sz w:val="18"/>
        </w:rPr>
        <w:t> </w:t>
      </w:r>
      <w:r>
        <w:rPr>
          <w:sz w:val="18"/>
        </w:rPr>
        <w:t>and</w:t>
      </w:r>
      <w:r>
        <w:rPr>
          <w:spacing w:val="-5"/>
          <w:sz w:val="18"/>
        </w:rPr>
        <w:t> </w:t>
      </w:r>
      <w:r>
        <w:rPr>
          <w:sz w:val="18"/>
        </w:rPr>
        <w:t>Immigration)</w:t>
      </w:r>
      <w:r>
        <w:rPr>
          <w:spacing w:val="-5"/>
          <w:sz w:val="18"/>
        </w:rPr>
        <w:t> </w:t>
      </w:r>
      <w:r>
        <w:rPr>
          <w:sz w:val="18"/>
        </w:rPr>
        <w:t>Bill’</w:t>
      </w:r>
      <w:r>
        <w:rPr>
          <w:spacing w:val="-5"/>
          <w:sz w:val="18"/>
        </w:rPr>
        <w:t> </w:t>
      </w:r>
      <w:r>
        <w:rPr>
          <w:sz w:val="18"/>
        </w:rPr>
        <w:t>(ECNI,</w:t>
      </w:r>
      <w:r>
        <w:rPr>
          <w:spacing w:val="-4"/>
          <w:sz w:val="18"/>
        </w:rPr>
        <w:t> </w:t>
      </w:r>
      <w:r>
        <w:rPr>
          <w:spacing w:val="-2"/>
          <w:sz w:val="18"/>
        </w:rPr>
        <w:t>2024).</w:t>
      </w:r>
    </w:p>
    <w:p>
      <w:pPr>
        <w:pStyle w:val="ListParagraph"/>
        <w:numPr>
          <w:ilvl w:val="0"/>
          <w:numId w:val="11"/>
        </w:numPr>
        <w:tabs>
          <w:tab w:pos="1853" w:val="left" w:leader="none"/>
        </w:tabs>
        <w:spacing w:line="235" w:lineRule="auto" w:before="1" w:after="0"/>
        <w:ind w:left="1853" w:right="1767" w:hanging="720"/>
        <w:jc w:val="left"/>
        <w:rPr>
          <w:sz w:val="18"/>
        </w:rPr>
      </w:pPr>
      <w:r>
        <w:rPr>
          <w:sz w:val="18"/>
        </w:rPr>
        <w:t>Directive</w:t>
      </w:r>
      <w:r>
        <w:rPr>
          <w:spacing w:val="-5"/>
          <w:sz w:val="18"/>
        </w:rPr>
        <w:t> </w:t>
      </w:r>
      <w:r>
        <w:rPr>
          <w:sz w:val="18"/>
        </w:rPr>
        <w:t>2005/85/EC,</w:t>
      </w:r>
      <w:r>
        <w:rPr>
          <w:spacing w:val="-5"/>
          <w:sz w:val="18"/>
        </w:rPr>
        <w:t> </w:t>
      </w:r>
      <w:r>
        <w:rPr>
          <w:sz w:val="18"/>
        </w:rPr>
        <w:t>‘Council</w:t>
      </w:r>
      <w:r>
        <w:rPr>
          <w:spacing w:val="-6"/>
          <w:sz w:val="18"/>
        </w:rPr>
        <w:t> </w:t>
      </w:r>
      <w:r>
        <w:rPr>
          <w:sz w:val="18"/>
        </w:rPr>
        <w:t>Directive</w:t>
      </w:r>
      <w:r>
        <w:rPr>
          <w:spacing w:val="-5"/>
          <w:sz w:val="18"/>
        </w:rPr>
        <w:t> </w:t>
      </w:r>
      <w:r>
        <w:rPr>
          <w:sz w:val="18"/>
        </w:rPr>
        <w:t>on</w:t>
      </w:r>
      <w:r>
        <w:rPr>
          <w:spacing w:val="-6"/>
          <w:sz w:val="18"/>
        </w:rPr>
        <w:t> </w:t>
      </w:r>
      <w:r>
        <w:rPr>
          <w:sz w:val="18"/>
        </w:rPr>
        <w:t>minimum</w:t>
      </w:r>
      <w:r>
        <w:rPr>
          <w:spacing w:val="-5"/>
          <w:sz w:val="18"/>
        </w:rPr>
        <w:t> </w:t>
      </w:r>
      <w:r>
        <w:rPr>
          <w:sz w:val="18"/>
        </w:rPr>
        <w:t>standards</w:t>
      </w:r>
      <w:r>
        <w:rPr>
          <w:spacing w:val="-6"/>
          <w:sz w:val="18"/>
        </w:rPr>
        <w:t> </w:t>
      </w:r>
      <w:r>
        <w:rPr>
          <w:sz w:val="18"/>
        </w:rPr>
        <w:t>on</w:t>
      </w:r>
      <w:r>
        <w:rPr>
          <w:spacing w:val="-6"/>
          <w:sz w:val="18"/>
        </w:rPr>
        <w:t> </w:t>
      </w:r>
      <w:r>
        <w:rPr>
          <w:sz w:val="18"/>
        </w:rPr>
        <w:t>procedures</w:t>
      </w:r>
      <w:r>
        <w:rPr>
          <w:spacing w:val="-6"/>
          <w:sz w:val="18"/>
        </w:rPr>
        <w:t> </w:t>
      </w:r>
      <w:r>
        <w:rPr>
          <w:sz w:val="18"/>
        </w:rPr>
        <w:t>in</w:t>
      </w:r>
      <w:r>
        <w:rPr>
          <w:spacing w:val="-6"/>
          <w:sz w:val="18"/>
        </w:rPr>
        <w:t> </w:t>
      </w:r>
      <w:r>
        <w:rPr>
          <w:sz w:val="18"/>
        </w:rPr>
        <w:t>Member</w:t>
      </w:r>
      <w:r>
        <w:rPr>
          <w:spacing w:val="-5"/>
          <w:sz w:val="18"/>
        </w:rPr>
        <w:t> </w:t>
      </w:r>
      <w:r>
        <w:rPr>
          <w:sz w:val="18"/>
        </w:rPr>
        <w:t>States</w:t>
      </w:r>
      <w:r>
        <w:rPr>
          <w:spacing w:val="-6"/>
          <w:sz w:val="18"/>
        </w:rPr>
        <w:t> </w:t>
      </w:r>
      <w:r>
        <w:rPr>
          <w:sz w:val="18"/>
        </w:rPr>
        <w:t>for</w:t>
      </w:r>
      <w:r>
        <w:rPr>
          <w:spacing w:val="-5"/>
          <w:sz w:val="18"/>
        </w:rPr>
        <w:t> </w:t>
      </w:r>
      <w:r>
        <w:rPr>
          <w:sz w:val="18"/>
        </w:rPr>
        <w:t>granting</w:t>
      </w:r>
      <w:r>
        <w:rPr>
          <w:spacing w:val="-5"/>
          <w:sz w:val="18"/>
        </w:rPr>
        <w:t> </w:t>
      </w:r>
      <w:r>
        <w:rPr>
          <w:sz w:val="18"/>
        </w:rPr>
        <w:t>and withdrawing refugee status’, 1 December 2005.</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hanging="1"/>
      </w:pPr>
      <w:r>
        <w:rPr/>
        <w:t>country, may potentially breach Windsor Framework Article 2. The ECNI also highlighted that the Bill risks undermining the rule of law and the separation of</w:t>
      </w:r>
      <w:r>
        <w:rPr>
          <w:spacing w:val="-5"/>
        </w:rPr>
        <w:t> </w:t>
      </w:r>
      <w:r>
        <w:rPr/>
        <w:t>powers</w:t>
      </w:r>
      <w:r>
        <w:rPr>
          <w:spacing w:val="-5"/>
        </w:rPr>
        <w:t> </w:t>
      </w:r>
      <w:r>
        <w:rPr/>
        <w:t>principle</w:t>
      </w:r>
      <w:r>
        <w:rPr>
          <w:spacing w:val="-4"/>
        </w:rPr>
        <w:t> </w:t>
      </w:r>
      <w:r>
        <w:rPr/>
        <w:t>and</w:t>
      </w:r>
      <w:r>
        <w:rPr>
          <w:spacing w:val="-5"/>
        </w:rPr>
        <w:t> </w:t>
      </w:r>
      <w:r>
        <w:rPr/>
        <w:t>concluded</w:t>
      </w:r>
      <w:r>
        <w:rPr>
          <w:spacing w:val="-5"/>
        </w:rPr>
        <w:t> </w:t>
      </w:r>
      <w:r>
        <w:rPr/>
        <w:t>that</w:t>
      </w:r>
      <w:r>
        <w:rPr>
          <w:spacing w:val="-4"/>
        </w:rPr>
        <w:t> </w:t>
      </w:r>
      <w:r>
        <w:rPr/>
        <w:t>a</w:t>
      </w:r>
      <w:r>
        <w:rPr>
          <w:spacing w:val="-5"/>
        </w:rPr>
        <w:t> </w:t>
      </w:r>
      <w:r>
        <w:rPr/>
        <w:t>number</w:t>
      </w:r>
      <w:r>
        <w:rPr>
          <w:spacing w:val="-4"/>
        </w:rPr>
        <w:t> </w:t>
      </w:r>
      <w:r>
        <w:rPr/>
        <w:t>of</w:t>
      </w:r>
      <w:r>
        <w:rPr>
          <w:spacing w:val="-5"/>
        </w:rPr>
        <w:t> </w:t>
      </w:r>
      <w:r>
        <w:rPr/>
        <w:t>provisions</w:t>
      </w:r>
      <w:r>
        <w:rPr>
          <w:spacing w:val="-5"/>
        </w:rPr>
        <w:t> </w:t>
      </w:r>
      <w:r>
        <w:rPr/>
        <w:t>of</w:t>
      </w:r>
      <w:r>
        <w:rPr>
          <w:spacing w:val="-5"/>
        </w:rPr>
        <w:t> </w:t>
      </w:r>
      <w:r>
        <w:rPr/>
        <w:t>the</w:t>
      </w:r>
      <w:r>
        <w:rPr>
          <w:spacing w:val="-4"/>
        </w:rPr>
        <w:t> </w:t>
      </w:r>
      <w:r>
        <w:rPr/>
        <w:t>Bill</w:t>
      </w:r>
      <w:r>
        <w:rPr>
          <w:spacing w:val="-5"/>
        </w:rPr>
        <w:t> </w:t>
      </w:r>
      <w:r>
        <w:rPr/>
        <w:t>may amount to a breach of Windsor Framework Article 2.</w:t>
      </w:r>
      <w:r>
        <w:rPr>
          <w:vertAlign w:val="superscript"/>
        </w:rPr>
        <w:t>570</w:t>
      </w:r>
    </w:p>
    <w:p>
      <w:pPr>
        <w:pStyle w:val="ListParagraph"/>
        <w:numPr>
          <w:ilvl w:val="1"/>
          <w:numId w:val="7"/>
        </w:numPr>
        <w:tabs>
          <w:tab w:pos="1853" w:val="left" w:leader="none"/>
        </w:tabs>
        <w:spacing w:line="225" w:lineRule="auto" w:before="315" w:after="0"/>
        <w:ind w:left="1853" w:right="1404" w:hanging="720"/>
        <w:jc w:val="left"/>
        <w:rPr>
          <w:sz w:val="28"/>
        </w:rPr>
      </w:pPr>
      <w:r>
        <w:rPr>
          <w:sz w:val="28"/>
        </w:rPr>
        <w:t>In March 2024, the UN Human Rights Committee recommended that UK Government</w:t>
      </w:r>
      <w:r>
        <w:rPr>
          <w:spacing w:val="-9"/>
          <w:sz w:val="28"/>
        </w:rPr>
        <w:t> </w:t>
      </w:r>
      <w:r>
        <w:rPr>
          <w:sz w:val="28"/>
        </w:rPr>
        <w:t>“withdraw</w:t>
      </w:r>
      <w:r>
        <w:rPr>
          <w:spacing w:val="-9"/>
          <w:sz w:val="28"/>
        </w:rPr>
        <w:t> </w:t>
      </w:r>
      <w:r>
        <w:rPr>
          <w:sz w:val="28"/>
        </w:rPr>
        <w:t>the</w:t>
      </w:r>
      <w:r>
        <w:rPr>
          <w:spacing w:val="-9"/>
          <w:sz w:val="28"/>
        </w:rPr>
        <w:t> </w:t>
      </w:r>
      <w:r>
        <w:rPr>
          <w:sz w:val="28"/>
        </w:rPr>
        <w:t>Safety</w:t>
      </w:r>
      <w:r>
        <w:rPr>
          <w:spacing w:val="-9"/>
          <w:sz w:val="28"/>
        </w:rPr>
        <w:t> </w:t>
      </w:r>
      <w:r>
        <w:rPr>
          <w:sz w:val="28"/>
        </w:rPr>
        <w:t>of</w:t>
      </w:r>
      <w:r>
        <w:rPr>
          <w:spacing w:val="-10"/>
          <w:sz w:val="28"/>
        </w:rPr>
        <w:t> </w:t>
      </w:r>
      <w:r>
        <w:rPr>
          <w:sz w:val="28"/>
        </w:rPr>
        <w:t>Rwanda</w:t>
      </w:r>
      <w:r>
        <w:rPr>
          <w:spacing w:val="-10"/>
          <w:sz w:val="28"/>
        </w:rPr>
        <w:t> </w:t>
      </w:r>
      <w:r>
        <w:rPr>
          <w:sz w:val="28"/>
        </w:rPr>
        <w:t>(Asylum</w:t>
      </w:r>
      <w:r>
        <w:rPr>
          <w:spacing w:val="-9"/>
          <w:sz w:val="28"/>
        </w:rPr>
        <w:t> </w:t>
      </w:r>
      <w:r>
        <w:rPr>
          <w:sz w:val="28"/>
        </w:rPr>
        <w:t>and</w:t>
      </w:r>
      <w:r>
        <w:rPr>
          <w:spacing w:val="-10"/>
          <w:sz w:val="28"/>
        </w:rPr>
        <w:t> </w:t>
      </w:r>
      <w:r>
        <w:rPr>
          <w:sz w:val="28"/>
        </w:rPr>
        <w:t>Immigration)</w:t>
      </w:r>
      <w:r>
        <w:rPr>
          <w:spacing w:val="-10"/>
          <w:sz w:val="28"/>
        </w:rPr>
        <w:t> </w:t>
      </w:r>
      <w:r>
        <w:rPr>
          <w:sz w:val="28"/>
        </w:rPr>
        <w:t>Bill, or repeal the bill if passed, with a view to strictly upholding the principle of non-refoulement in both law and practice.”</w:t>
      </w:r>
      <w:r>
        <w:rPr>
          <w:sz w:val="28"/>
          <w:vertAlign w:val="superscript"/>
        </w:rPr>
        <w:t>571</w:t>
      </w:r>
    </w:p>
    <w:p>
      <w:pPr>
        <w:pStyle w:val="BodyText"/>
        <w:spacing w:before="4"/>
        <w:rPr>
          <w:sz w:val="17"/>
        </w:rPr>
      </w:pPr>
      <w:r>
        <w:rPr/>
        <mc:AlternateContent>
          <mc:Choice Requires="wps">
            <w:drawing>
              <wp:anchor distT="0" distB="0" distL="0" distR="0" allowOverlap="1" layoutInCell="1" locked="0" behindDoc="1" simplePos="0" relativeHeight="487686656">
                <wp:simplePos x="0" y="0"/>
                <wp:positionH relativeFrom="page">
                  <wp:posOffset>720001</wp:posOffset>
                </wp:positionH>
                <wp:positionV relativeFrom="paragraph">
                  <wp:posOffset>149714</wp:posOffset>
                </wp:positionV>
                <wp:extent cx="6120130" cy="360045"/>
                <wp:effectExtent l="0" t="0" r="0" b="0"/>
                <wp:wrapTopAndBottom/>
                <wp:docPr id="449" name="Textbox 449"/>
                <wp:cNvGraphicFramePr>
                  <a:graphicFrameLocks/>
                </wp:cNvGraphicFramePr>
                <a:graphic>
                  <a:graphicData uri="http://schemas.microsoft.com/office/word/2010/wordprocessingShape">
                    <wps:wsp>
                      <wps:cNvPr id="449" name="Textbox 449"/>
                      <wps:cNvSpPr txBox="1"/>
                      <wps:spPr>
                        <a:xfrm>
                          <a:off x="0" y="0"/>
                          <a:ext cx="6120130" cy="360045"/>
                        </a:xfrm>
                        <a:prstGeom prst="rect">
                          <a:avLst/>
                        </a:prstGeom>
                        <a:solidFill>
                          <a:srgbClr val="393B80"/>
                        </a:solidFill>
                      </wps:spPr>
                      <wps:txbx>
                        <w:txbxContent>
                          <w:p>
                            <w:pPr>
                              <w:spacing w:before="103"/>
                              <w:ind w:left="783"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11.788531pt;width:481.9pt;height:28.35pt;mso-position-horizontal-relative:page;mso-position-vertical-relative:paragraph;z-index:-15629824;mso-wrap-distance-left:0;mso-wrap-distance-right:0" type="#_x0000_t202" id="docshape398" filled="true" fillcolor="#393b80" stroked="false">
                <v:textbox inset="0,0,0,0">
                  <w:txbxContent>
                    <w:p>
                      <w:pPr>
                        <w:spacing w:before="103"/>
                        <w:ind w:left="783"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312" w:after="0"/>
        <w:ind w:left="1853" w:right="1854" w:hanging="720"/>
        <w:jc w:val="both"/>
        <w:rPr>
          <w:b/>
          <w:color w:val="67287F"/>
          <w:sz w:val="28"/>
        </w:rPr>
      </w:pPr>
      <w:r>
        <w:rPr>
          <w:b/>
          <w:color w:val="67287F"/>
          <w:sz w:val="28"/>
        </w:rPr>
        <w:t>The Commissions continue to recommend that the NI Executive, and the</w:t>
      </w:r>
      <w:r>
        <w:rPr>
          <w:b/>
          <w:color w:val="67287F"/>
          <w:spacing w:val="-9"/>
          <w:sz w:val="28"/>
        </w:rPr>
        <w:t> </w:t>
      </w:r>
      <w:r>
        <w:rPr>
          <w:b/>
          <w:color w:val="67287F"/>
          <w:sz w:val="28"/>
        </w:rPr>
        <w:t>Executive</w:t>
      </w:r>
      <w:r>
        <w:rPr>
          <w:b/>
          <w:color w:val="67287F"/>
          <w:spacing w:val="-9"/>
          <w:sz w:val="28"/>
        </w:rPr>
        <w:t> </w:t>
      </w:r>
      <w:r>
        <w:rPr>
          <w:b/>
          <w:color w:val="67287F"/>
          <w:sz w:val="28"/>
        </w:rPr>
        <w:t>Office</w:t>
      </w:r>
      <w:r>
        <w:rPr>
          <w:b/>
          <w:color w:val="67287F"/>
          <w:spacing w:val="-9"/>
          <w:sz w:val="28"/>
        </w:rPr>
        <w:t> </w:t>
      </w:r>
      <w:r>
        <w:rPr>
          <w:b/>
          <w:color w:val="67287F"/>
          <w:sz w:val="28"/>
        </w:rPr>
        <w:t>in</w:t>
      </w:r>
      <w:r>
        <w:rPr>
          <w:b/>
          <w:color w:val="67287F"/>
          <w:spacing w:val="-8"/>
          <w:sz w:val="28"/>
        </w:rPr>
        <w:t> </w:t>
      </w:r>
      <w:r>
        <w:rPr>
          <w:b/>
          <w:color w:val="67287F"/>
          <w:sz w:val="28"/>
        </w:rPr>
        <w:t>particular,</w:t>
      </w:r>
      <w:r>
        <w:rPr>
          <w:b/>
          <w:color w:val="67287F"/>
          <w:spacing w:val="-8"/>
          <w:sz w:val="28"/>
        </w:rPr>
        <w:t> </w:t>
      </w:r>
      <w:r>
        <w:rPr>
          <w:b/>
          <w:color w:val="67287F"/>
          <w:sz w:val="28"/>
        </w:rPr>
        <w:t>ensure</w:t>
      </w:r>
      <w:r>
        <w:rPr>
          <w:b/>
          <w:color w:val="67287F"/>
          <w:spacing w:val="-9"/>
          <w:sz w:val="28"/>
        </w:rPr>
        <w:t> </w:t>
      </w:r>
      <w:r>
        <w:rPr>
          <w:b/>
          <w:color w:val="67287F"/>
          <w:sz w:val="28"/>
        </w:rPr>
        <w:t>that</w:t>
      </w:r>
      <w:r>
        <w:rPr>
          <w:b/>
          <w:color w:val="67287F"/>
          <w:spacing w:val="-8"/>
          <w:sz w:val="28"/>
        </w:rPr>
        <w:t> </w:t>
      </w:r>
      <w:r>
        <w:rPr>
          <w:b/>
          <w:color w:val="67287F"/>
          <w:sz w:val="28"/>
        </w:rPr>
        <w:t>at</w:t>
      </w:r>
      <w:r>
        <w:rPr>
          <w:b/>
          <w:color w:val="67287F"/>
          <w:spacing w:val="-8"/>
          <w:sz w:val="28"/>
        </w:rPr>
        <w:t> </w:t>
      </w:r>
      <w:r>
        <w:rPr>
          <w:b/>
          <w:color w:val="67287F"/>
          <w:sz w:val="28"/>
        </w:rPr>
        <w:t>all</w:t>
      </w:r>
      <w:r>
        <w:rPr>
          <w:b/>
          <w:color w:val="67287F"/>
          <w:spacing w:val="-8"/>
          <w:sz w:val="28"/>
        </w:rPr>
        <w:t> </w:t>
      </w:r>
      <w:r>
        <w:rPr>
          <w:b/>
          <w:color w:val="67287F"/>
          <w:sz w:val="28"/>
        </w:rPr>
        <w:t>stages</w:t>
      </w:r>
      <w:r>
        <w:rPr>
          <w:b/>
          <w:color w:val="67287F"/>
          <w:spacing w:val="-8"/>
          <w:sz w:val="28"/>
        </w:rPr>
        <w:t> </w:t>
      </w:r>
      <w:r>
        <w:rPr>
          <w:b/>
          <w:color w:val="67287F"/>
          <w:sz w:val="28"/>
        </w:rPr>
        <w:t>of</w:t>
      </w:r>
      <w:r>
        <w:rPr>
          <w:b/>
          <w:color w:val="67287F"/>
          <w:spacing w:val="-9"/>
          <w:sz w:val="28"/>
        </w:rPr>
        <w:t> </w:t>
      </w:r>
      <w:r>
        <w:rPr>
          <w:b/>
          <w:color w:val="67287F"/>
          <w:sz w:val="28"/>
        </w:rPr>
        <w:t>policy</w:t>
      </w:r>
      <w:r>
        <w:rPr>
          <w:b/>
          <w:color w:val="67287F"/>
          <w:spacing w:val="-8"/>
          <w:sz w:val="28"/>
        </w:rPr>
        <w:t> </w:t>
      </w:r>
      <w:r>
        <w:rPr>
          <w:b/>
          <w:color w:val="67287F"/>
          <w:sz w:val="28"/>
        </w:rPr>
        <w:t>and</w:t>
      </w:r>
    </w:p>
    <w:p>
      <w:pPr>
        <w:spacing w:line="225" w:lineRule="auto" w:before="0"/>
        <w:ind w:left="1853" w:right="1133" w:firstLine="0"/>
        <w:jc w:val="both"/>
        <w:rPr>
          <w:b/>
          <w:sz w:val="28"/>
        </w:rPr>
      </w:pPr>
      <w:r>
        <w:rPr>
          <w:b/>
          <w:color w:val="67287F"/>
          <w:sz w:val="28"/>
        </w:rPr>
        <w:t>legislative</w:t>
      </w:r>
      <w:r>
        <w:rPr>
          <w:b/>
          <w:color w:val="67287F"/>
          <w:spacing w:val="-7"/>
          <w:sz w:val="28"/>
        </w:rPr>
        <w:t> </w:t>
      </w:r>
      <w:r>
        <w:rPr>
          <w:b/>
          <w:color w:val="67287F"/>
          <w:sz w:val="28"/>
        </w:rPr>
        <w:t>development</w:t>
      </w:r>
      <w:r>
        <w:rPr>
          <w:b/>
          <w:color w:val="67287F"/>
          <w:spacing w:val="-7"/>
          <w:sz w:val="28"/>
        </w:rPr>
        <w:t> </w:t>
      </w:r>
      <w:r>
        <w:rPr>
          <w:b/>
          <w:color w:val="67287F"/>
          <w:sz w:val="28"/>
        </w:rPr>
        <w:t>and</w:t>
      </w:r>
      <w:r>
        <w:rPr>
          <w:b/>
          <w:color w:val="67287F"/>
          <w:spacing w:val="-7"/>
          <w:sz w:val="28"/>
        </w:rPr>
        <w:t> </w:t>
      </w:r>
      <w:r>
        <w:rPr>
          <w:b/>
          <w:color w:val="67287F"/>
          <w:sz w:val="28"/>
        </w:rPr>
        <w:t>reform</w:t>
      </w:r>
      <w:r>
        <w:rPr>
          <w:b/>
          <w:color w:val="67287F"/>
          <w:spacing w:val="-7"/>
          <w:sz w:val="28"/>
        </w:rPr>
        <w:t> </w:t>
      </w:r>
      <w:r>
        <w:rPr>
          <w:b/>
          <w:color w:val="67287F"/>
          <w:sz w:val="28"/>
        </w:rPr>
        <w:t>in</w:t>
      </w:r>
      <w:r>
        <w:rPr>
          <w:b/>
          <w:color w:val="67287F"/>
          <w:spacing w:val="-7"/>
          <w:sz w:val="28"/>
        </w:rPr>
        <w:t> </w:t>
      </w:r>
      <w:r>
        <w:rPr>
          <w:b/>
          <w:color w:val="67287F"/>
          <w:sz w:val="28"/>
        </w:rPr>
        <w:t>the</w:t>
      </w:r>
      <w:r>
        <w:rPr>
          <w:b/>
          <w:color w:val="67287F"/>
          <w:spacing w:val="-7"/>
          <w:sz w:val="28"/>
        </w:rPr>
        <w:t> </w:t>
      </w:r>
      <w:r>
        <w:rPr>
          <w:b/>
          <w:color w:val="67287F"/>
          <w:sz w:val="28"/>
        </w:rPr>
        <w:t>area</w:t>
      </w:r>
      <w:r>
        <w:rPr>
          <w:b/>
          <w:color w:val="67287F"/>
          <w:spacing w:val="-7"/>
          <w:sz w:val="28"/>
        </w:rPr>
        <w:t> </w:t>
      </w:r>
      <w:r>
        <w:rPr>
          <w:b/>
          <w:color w:val="67287F"/>
          <w:sz w:val="28"/>
        </w:rPr>
        <w:t>of</w:t>
      </w:r>
      <w:r>
        <w:rPr>
          <w:b/>
          <w:color w:val="67287F"/>
          <w:spacing w:val="-7"/>
          <w:sz w:val="28"/>
        </w:rPr>
        <w:t> </w:t>
      </w:r>
      <w:r>
        <w:rPr>
          <w:b/>
          <w:color w:val="67287F"/>
          <w:sz w:val="28"/>
        </w:rPr>
        <w:t>refugee</w:t>
      </w:r>
      <w:r>
        <w:rPr>
          <w:b/>
          <w:color w:val="67287F"/>
          <w:spacing w:val="-7"/>
          <w:sz w:val="28"/>
        </w:rPr>
        <w:t> </w:t>
      </w:r>
      <w:r>
        <w:rPr>
          <w:b/>
          <w:color w:val="67287F"/>
          <w:sz w:val="28"/>
        </w:rPr>
        <w:t>and</w:t>
      </w:r>
      <w:r>
        <w:rPr>
          <w:b/>
          <w:color w:val="67287F"/>
          <w:spacing w:val="-7"/>
          <w:sz w:val="28"/>
        </w:rPr>
        <w:t> </w:t>
      </w:r>
      <w:r>
        <w:rPr>
          <w:b/>
          <w:color w:val="67287F"/>
          <w:sz w:val="28"/>
        </w:rPr>
        <w:t>asylum</w:t>
      </w:r>
      <w:r>
        <w:rPr>
          <w:b/>
          <w:color w:val="67287F"/>
          <w:spacing w:val="-7"/>
          <w:sz w:val="28"/>
        </w:rPr>
        <w:t> </w:t>
      </w:r>
      <w:r>
        <w:rPr>
          <w:b/>
          <w:color w:val="67287F"/>
          <w:sz w:val="28"/>
        </w:rPr>
        <w:t>seeker integration,</w:t>
      </w:r>
      <w:r>
        <w:rPr>
          <w:b/>
          <w:color w:val="67287F"/>
          <w:spacing w:val="-16"/>
          <w:sz w:val="28"/>
        </w:rPr>
        <w:t> </w:t>
      </w:r>
      <w:r>
        <w:rPr>
          <w:b/>
          <w:color w:val="67287F"/>
          <w:sz w:val="28"/>
        </w:rPr>
        <w:t>including</w:t>
      </w:r>
      <w:r>
        <w:rPr>
          <w:b/>
          <w:color w:val="67287F"/>
          <w:spacing w:val="-16"/>
          <w:sz w:val="28"/>
        </w:rPr>
        <w:t> </w:t>
      </w:r>
      <w:r>
        <w:rPr>
          <w:b/>
          <w:color w:val="67287F"/>
          <w:sz w:val="28"/>
        </w:rPr>
        <w:t>the</w:t>
      </w:r>
      <w:r>
        <w:rPr>
          <w:b/>
          <w:color w:val="67287F"/>
          <w:spacing w:val="-16"/>
          <w:sz w:val="28"/>
        </w:rPr>
        <w:t> </w:t>
      </w:r>
      <w:r>
        <w:rPr>
          <w:b/>
          <w:color w:val="67287F"/>
          <w:sz w:val="28"/>
        </w:rPr>
        <w:t>Refugee</w:t>
      </w:r>
      <w:r>
        <w:rPr>
          <w:b/>
          <w:color w:val="67287F"/>
          <w:spacing w:val="-16"/>
          <w:sz w:val="28"/>
        </w:rPr>
        <w:t> </w:t>
      </w:r>
      <w:r>
        <w:rPr>
          <w:b/>
          <w:color w:val="67287F"/>
          <w:sz w:val="28"/>
        </w:rPr>
        <w:t>Integration</w:t>
      </w:r>
      <w:r>
        <w:rPr>
          <w:b/>
          <w:color w:val="67287F"/>
          <w:spacing w:val="-16"/>
          <w:sz w:val="28"/>
        </w:rPr>
        <w:t> </w:t>
      </w:r>
      <w:r>
        <w:rPr>
          <w:b/>
          <w:color w:val="67287F"/>
          <w:sz w:val="28"/>
        </w:rPr>
        <w:t>Strategy,</w:t>
      </w:r>
      <w:r>
        <w:rPr>
          <w:b/>
          <w:color w:val="67287F"/>
          <w:spacing w:val="-15"/>
          <w:sz w:val="28"/>
        </w:rPr>
        <w:t> </w:t>
      </w:r>
      <w:r>
        <w:rPr>
          <w:b/>
          <w:color w:val="67287F"/>
          <w:sz w:val="28"/>
        </w:rPr>
        <w:t>there</w:t>
      </w:r>
      <w:r>
        <w:rPr>
          <w:b/>
          <w:color w:val="67287F"/>
          <w:spacing w:val="-16"/>
          <w:sz w:val="28"/>
        </w:rPr>
        <w:t> </w:t>
      </w:r>
      <w:r>
        <w:rPr>
          <w:b/>
          <w:color w:val="67287F"/>
          <w:sz w:val="28"/>
        </w:rPr>
        <w:t>is</w:t>
      </w:r>
      <w:r>
        <w:rPr>
          <w:b/>
          <w:color w:val="67287F"/>
          <w:spacing w:val="-16"/>
          <w:sz w:val="28"/>
        </w:rPr>
        <w:t> </w:t>
      </w:r>
      <w:r>
        <w:rPr>
          <w:b/>
          <w:color w:val="67287F"/>
          <w:sz w:val="28"/>
        </w:rPr>
        <w:t>consideration of, and compliance with, Windsor Framework Article 2 obligations.</w:t>
      </w:r>
    </w:p>
    <w:p>
      <w:pPr>
        <w:pStyle w:val="ListParagraph"/>
        <w:numPr>
          <w:ilvl w:val="1"/>
          <w:numId w:val="7"/>
        </w:numPr>
        <w:tabs>
          <w:tab w:pos="1853" w:val="left" w:leader="none"/>
        </w:tabs>
        <w:spacing w:line="225" w:lineRule="auto" w:before="314" w:after="0"/>
        <w:ind w:left="1853" w:right="1461" w:hanging="720"/>
        <w:jc w:val="left"/>
        <w:rPr>
          <w:b/>
          <w:color w:val="67287F"/>
          <w:sz w:val="28"/>
        </w:rPr>
      </w:pPr>
      <w:r>
        <w:rPr>
          <w:b/>
          <w:color w:val="67287F"/>
          <w:sz w:val="28"/>
        </w:rPr>
        <w:t>The NIHRC recommends that the Executive Office urgently develops appropriate safeguards through statutory regulations and guidance to mitigate the negative impacts of the Nationality and Borders Act 2022</w:t>
      </w:r>
      <w:r>
        <w:rPr>
          <w:b/>
          <w:color w:val="67287F"/>
          <w:spacing w:val="40"/>
          <w:sz w:val="28"/>
        </w:rPr>
        <w:t> </w:t>
      </w:r>
      <w:r>
        <w:rPr>
          <w:b/>
          <w:color w:val="67287F"/>
          <w:sz w:val="28"/>
        </w:rPr>
        <w:t>and</w:t>
      </w:r>
      <w:r>
        <w:rPr>
          <w:b/>
          <w:color w:val="67287F"/>
          <w:spacing w:val="-7"/>
          <w:sz w:val="28"/>
        </w:rPr>
        <w:t> </w:t>
      </w:r>
      <w:r>
        <w:rPr>
          <w:b/>
          <w:color w:val="67287F"/>
          <w:sz w:val="28"/>
        </w:rPr>
        <w:t>the</w:t>
      </w:r>
      <w:r>
        <w:rPr>
          <w:b/>
          <w:color w:val="67287F"/>
          <w:spacing w:val="-8"/>
          <w:sz w:val="28"/>
        </w:rPr>
        <w:t> </w:t>
      </w:r>
      <w:r>
        <w:rPr>
          <w:b/>
          <w:color w:val="67287F"/>
          <w:sz w:val="28"/>
        </w:rPr>
        <w:t>Illegal</w:t>
      </w:r>
      <w:r>
        <w:rPr>
          <w:b/>
          <w:color w:val="67287F"/>
          <w:spacing w:val="-7"/>
          <w:sz w:val="28"/>
        </w:rPr>
        <w:t> </w:t>
      </w:r>
      <w:r>
        <w:rPr>
          <w:b/>
          <w:color w:val="67287F"/>
          <w:sz w:val="28"/>
        </w:rPr>
        <w:t>Migration</w:t>
      </w:r>
      <w:r>
        <w:rPr>
          <w:b/>
          <w:color w:val="67287F"/>
          <w:spacing w:val="-7"/>
          <w:sz w:val="28"/>
        </w:rPr>
        <w:t> </w:t>
      </w:r>
      <w:r>
        <w:rPr>
          <w:b/>
          <w:color w:val="67287F"/>
          <w:sz w:val="28"/>
        </w:rPr>
        <w:t>Act</w:t>
      </w:r>
      <w:r>
        <w:rPr>
          <w:b/>
          <w:color w:val="67287F"/>
          <w:spacing w:val="-7"/>
          <w:sz w:val="28"/>
        </w:rPr>
        <w:t> </w:t>
      </w:r>
      <w:r>
        <w:rPr>
          <w:b/>
          <w:color w:val="67287F"/>
          <w:sz w:val="28"/>
        </w:rPr>
        <w:t>2023</w:t>
      </w:r>
      <w:r>
        <w:rPr>
          <w:b/>
          <w:color w:val="67287F"/>
          <w:spacing w:val="-7"/>
          <w:sz w:val="28"/>
        </w:rPr>
        <w:t> </w:t>
      </w:r>
      <w:r>
        <w:rPr>
          <w:b/>
          <w:color w:val="67287F"/>
          <w:sz w:val="28"/>
        </w:rPr>
        <w:t>on</w:t>
      </w:r>
      <w:r>
        <w:rPr>
          <w:b/>
          <w:color w:val="67287F"/>
          <w:spacing w:val="-7"/>
          <w:sz w:val="28"/>
        </w:rPr>
        <w:t> </w:t>
      </w:r>
      <w:r>
        <w:rPr>
          <w:b/>
          <w:color w:val="67287F"/>
          <w:sz w:val="28"/>
        </w:rPr>
        <w:t>existing</w:t>
      </w:r>
      <w:r>
        <w:rPr>
          <w:b/>
          <w:color w:val="67287F"/>
          <w:spacing w:val="-8"/>
          <w:sz w:val="28"/>
        </w:rPr>
        <w:t> </w:t>
      </w:r>
      <w:r>
        <w:rPr>
          <w:b/>
          <w:color w:val="67287F"/>
          <w:sz w:val="28"/>
        </w:rPr>
        <w:t>protections</w:t>
      </w:r>
      <w:r>
        <w:rPr>
          <w:b/>
          <w:color w:val="67287F"/>
          <w:spacing w:val="-7"/>
          <w:sz w:val="28"/>
        </w:rPr>
        <w:t> </w:t>
      </w:r>
      <w:r>
        <w:rPr>
          <w:b/>
          <w:color w:val="67287F"/>
          <w:sz w:val="28"/>
        </w:rPr>
        <w:t>for</w:t>
      </w:r>
      <w:r>
        <w:rPr>
          <w:b/>
          <w:color w:val="67287F"/>
          <w:spacing w:val="-8"/>
          <w:sz w:val="28"/>
        </w:rPr>
        <w:t> </w:t>
      </w:r>
      <w:r>
        <w:rPr>
          <w:b/>
          <w:color w:val="67287F"/>
          <w:sz w:val="28"/>
        </w:rPr>
        <w:t>refugees</w:t>
      </w:r>
      <w:r>
        <w:rPr>
          <w:b/>
          <w:color w:val="67287F"/>
          <w:spacing w:val="-7"/>
          <w:sz w:val="28"/>
        </w:rPr>
        <w:t> </w:t>
      </w:r>
      <w:r>
        <w:rPr>
          <w:b/>
          <w:color w:val="67287F"/>
          <w:sz w:val="28"/>
        </w:rPr>
        <w:t>and</w:t>
      </w:r>
    </w:p>
    <w:p>
      <w:pPr>
        <w:spacing w:line="225" w:lineRule="auto" w:before="0"/>
        <w:ind w:left="1853" w:right="1171" w:firstLine="0"/>
        <w:jc w:val="left"/>
        <w:rPr>
          <w:b/>
          <w:sz w:val="28"/>
        </w:rPr>
      </w:pPr>
      <w:r>
        <w:rPr>
          <w:b/>
          <w:color w:val="67287F"/>
          <w:sz w:val="28"/>
        </w:rPr>
        <w:t>people</w:t>
      </w:r>
      <w:r>
        <w:rPr>
          <w:b/>
          <w:color w:val="67287F"/>
          <w:spacing w:val="-9"/>
          <w:sz w:val="28"/>
        </w:rPr>
        <w:t> </w:t>
      </w:r>
      <w:r>
        <w:rPr>
          <w:b/>
          <w:color w:val="67287F"/>
          <w:sz w:val="28"/>
        </w:rPr>
        <w:t>seeking</w:t>
      </w:r>
      <w:r>
        <w:rPr>
          <w:b/>
          <w:color w:val="67287F"/>
          <w:spacing w:val="-9"/>
          <w:sz w:val="28"/>
        </w:rPr>
        <w:t> </w:t>
      </w:r>
      <w:r>
        <w:rPr>
          <w:b/>
          <w:color w:val="67287F"/>
          <w:sz w:val="28"/>
        </w:rPr>
        <w:t>asylum</w:t>
      </w:r>
      <w:r>
        <w:rPr>
          <w:b/>
          <w:color w:val="67287F"/>
          <w:spacing w:val="-9"/>
          <w:sz w:val="28"/>
        </w:rPr>
        <w:t> </w:t>
      </w:r>
      <w:r>
        <w:rPr>
          <w:b/>
          <w:color w:val="67287F"/>
          <w:sz w:val="28"/>
        </w:rPr>
        <w:t>in</w:t>
      </w:r>
      <w:r>
        <w:rPr>
          <w:b/>
          <w:color w:val="67287F"/>
          <w:spacing w:val="-8"/>
          <w:sz w:val="28"/>
        </w:rPr>
        <w:t> </w:t>
      </w:r>
      <w:r>
        <w:rPr>
          <w:b/>
          <w:color w:val="67287F"/>
          <w:sz w:val="28"/>
        </w:rPr>
        <w:t>NI</w:t>
      </w:r>
      <w:r>
        <w:rPr>
          <w:b/>
          <w:color w:val="67287F"/>
          <w:spacing w:val="-8"/>
          <w:sz w:val="28"/>
        </w:rPr>
        <w:t> </w:t>
      </w:r>
      <w:r>
        <w:rPr>
          <w:b/>
          <w:color w:val="67287F"/>
          <w:sz w:val="28"/>
        </w:rPr>
        <w:t>regarding</w:t>
      </w:r>
      <w:r>
        <w:rPr>
          <w:b/>
          <w:color w:val="67287F"/>
          <w:spacing w:val="-9"/>
          <w:sz w:val="28"/>
        </w:rPr>
        <w:t> </w:t>
      </w:r>
      <w:r>
        <w:rPr>
          <w:b/>
          <w:color w:val="67287F"/>
          <w:sz w:val="28"/>
        </w:rPr>
        <w:t>matters</w:t>
      </w:r>
      <w:r>
        <w:rPr>
          <w:b/>
          <w:color w:val="67287F"/>
          <w:spacing w:val="-8"/>
          <w:sz w:val="28"/>
        </w:rPr>
        <w:t> </w:t>
      </w:r>
      <w:r>
        <w:rPr>
          <w:b/>
          <w:color w:val="67287F"/>
          <w:sz w:val="28"/>
        </w:rPr>
        <w:t>of</w:t>
      </w:r>
      <w:r>
        <w:rPr>
          <w:b/>
          <w:color w:val="67287F"/>
          <w:spacing w:val="-9"/>
          <w:sz w:val="28"/>
        </w:rPr>
        <w:t> </w:t>
      </w:r>
      <w:r>
        <w:rPr>
          <w:b/>
          <w:color w:val="67287F"/>
          <w:sz w:val="28"/>
        </w:rPr>
        <w:t>devolved</w:t>
      </w:r>
      <w:r>
        <w:rPr>
          <w:b/>
          <w:color w:val="67287F"/>
          <w:spacing w:val="-8"/>
          <w:sz w:val="28"/>
        </w:rPr>
        <w:t> </w:t>
      </w:r>
      <w:r>
        <w:rPr>
          <w:b/>
          <w:color w:val="67287F"/>
          <w:sz w:val="28"/>
        </w:rPr>
        <w:t>competence.</w:t>
      </w:r>
      <w:r>
        <w:rPr>
          <w:b/>
          <w:color w:val="67287F"/>
          <w:spacing w:val="-9"/>
          <w:sz w:val="28"/>
        </w:rPr>
        <w:t> </w:t>
      </w:r>
      <w:r>
        <w:rPr>
          <w:b/>
          <w:color w:val="67287F"/>
          <w:sz w:val="28"/>
        </w:rPr>
        <w:t>This includes child protection arrangements, age assessments, accommodation and support for unaccompanied children seeking asylum and support to victims and potential victims of modern slavery and human trafficking.</w:t>
      </w:r>
    </w:p>
    <w:p>
      <w:pPr>
        <w:pStyle w:val="ListParagraph"/>
        <w:numPr>
          <w:ilvl w:val="1"/>
          <w:numId w:val="7"/>
        </w:numPr>
        <w:tabs>
          <w:tab w:pos="1853" w:val="left" w:leader="none"/>
        </w:tabs>
        <w:spacing w:line="225" w:lineRule="auto" w:before="310" w:after="0"/>
        <w:ind w:left="1853" w:right="1404" w:hanging="720"/>
        <w:jc w:val="left"/>
        <w:rPr>
          <w:b/>
          <w:color w:val="67287F"/>
          <w:sz w:val="28"/>
        </w:rPr>
      </w:pPr>
      <w:r>
        <w:rPr>
          <w:b/>
          <w:color w:val="67287F"/>
          <w:sz w:val="28"/>
        </w:rPr>
        <w:t>The</w:t>
      </w:r>
      <w:r>
        <w:rPr>
          <w:b/>
          <w:color w:val="67287F"/>
          <w:spacing w:val="-9"/>
          <w:sz w:val="28"/>
        </w:rPr>
        <w:t> </w:t>
      </w:r>
      <w:r>
        <w:rPr>
          <w:b/>
          <w:color w:val="67287F"/>
          <w:sz w:val="28"/>
        </w:rPr>
        <w:t>Commissions</w:t>
      </w:r>
      <w:r>
        <w:rPr>
          <w:b/>
          <w:color w:val="67287F"/>
          <w:spacing w:val="-8"/>
          <w:sz w:val="28"/>
        </w:rPr>
        <w:t> </w:t>
      </w:r>
      <w:r>
        <w:rPr>
          <w:b/>
          <w:color w:val="67287F"/>
          <w:sz w:val="28"/>
        </w:rPr>
        <w:t>recommend</w:t>
      </w:r>
      <w:r>
        <w:rPr>
          <w:b/>
          <w:color w:val="67287F"/>
          <w:spacing w:val="-8"/>
          <w:sz w:val="28"/>
        </w:rPr>
        <w:t> </w:t>
      </w:r>
      <w:r>
        <w:rPr>
          <w:b/>
          <w:color w:val="67287F"/>
          <w:sz w:val="28"/>
        </w:rPr>
        <w:t>that</w:t>
      </w:r>
      <w:r>
        <w:rPr>
          <w:b/>
          <w:color w:val="67287F"/>
          <w:spacing w:val="-8"/>
          <w:sz w:val="28"/>
        </w:rPr>
        <w:t> </w:t>
      </w:r>
      <w:r>
        <w:rPr>
          <w:b/>
          <w:color w:val="67287F"/>
          <w:sz w:val="28"/>
        </w:rPr>
        <w:t>the</w:t>
      </w:r>
      <w:r>
        <w:rPr>
          <w:b/>
          <w:color w:val="67287F"/>
          <w:spacing w:val="-9"/>
          <w:sz w:val="28"/>
        </w:rPr>
        <w:t> </w:t>
      </w:r>
      <w:r>
        <w:rPr>
          <w:b/>
          <w:color w:val="67287F"/>
          <w:sz w:val="28"/>
        </w:rPr>
        <w:t>Home</w:t>
      </w:r>
      <w:r>
        <w:rPr>
          <w:b/>
          <w:color w:val="67287F"/>
          <w:spacing w:val="-9"/>
          <w:sz w:val="28"/>
        </w:rPr>
        <w:t> </w:t>
      </w:r>
      <w:r>
        <w:rPr>
          <w:b/>
          <w:color w:val="67287F"/>
          <w:sz w:val="28"/>
        </w:rPr>
        <w:t>Office</w:t>
      </w:r>
      <w:r>
        <w:rPr>
          <w:b/>
          <w:color w:val="67287F"/>
          <w:spacing w:val="-9"/>
          <w:sz w:val="28"/>
        </w:rPr>
        <w:t> </w:t>
      </w:r>
      <w:r>
        <w:rPr>
          <w:b/>
          <w:color w:val="67287F"/>
          <w:sz w:val="28"/>
        </w:rPr>
        <w:t>takes</w:t>
      </w:r>
      <w:r>
        <w:rPr>
          <w:b/>
          <w:color w:val="67287F"/>
          <w:spacing w:val="-8"/>
          <w:sz w:val="28"/>
        </w:rPr>
        <w:t> </w:t>
      </w:r>
      <w:r>
        <w:rPr>
          <w:b/>
          <w:color w:val="67287F"/>
          <w:sz w:val="28"/>
        </w:rPr>
        <w:t>immediate</w:t>
      </w:r>
      <w:r>
        <w:rPr>
          <w:b/>
          <w:color w:val="67287F"/>
          <w:spacing w:val="-9"/>
          <w:sz w:val="28"/>
        </w:rPr>
        <w:t> </w:t>
      </w:r>
      <w:r>
        <w:rPr>
          <w:b/>
          <w:color w:val="67287F"/>
          <w:sz w:val="28"/>
        </w:rPr>
        <w:t>steps to review and amend the Illegal Migration Act 2023 to ensure compliance with the UK’s international human rights obligations and Windsor Framework Article 2, and that there is no diminution of protection for refugees and people seeking asylum in NI.</w:t>
      </w:r>
    </w:p>
    <w:p>
      <w:pPr>
        <w:pStyle w:val="ListParagraph"/>
        <w:numPr>
          <w:ilvl w:val="1"/>
          <w:numId w:val="7"/>
        </w:numPr>
        <w:tabs>
          <w:tab w:pos="1853" w:val="left" w:leader="none"/>
        </w:tabs>
        <w:spacing w:line="225" w:lineRule="auto" w:before="313" w:after="0"/>
        <w:ind w:left="1853" w:right="1192" w:hanging="720"/>
        <w:jc w:val="left"/>
        <w:rPr>
          <w:b/>
          <w:color w:val="67287F"/>
          <w:sz w:val="28"/>
        </w:rPr>
      </w:pPr>
      <w:r>
        <w:rPr>
          <w:b/>
          <w:color w:val="67287F"/>
          <w:sz w:val="28"/>
        </w:rPr>
        <w:t>The Commissions recommend that the Home Office immediately and thoroughly</w:t>
      </w:r>
      <w:r>
        <w:rPr>
          <w:b/>
          <w:color w:val="67287F"/>
          <w:spacing w:val="-7"/>
          <w:sz w:val="28"/>
        </w:rPr>
        <w:t> </w:t>
      </w:r>
      <w:r>
        <w:rPr>
          <w:b/>
          <w:color w:val="67287F"/>
          <w:sz w:val="28"/>
        </w:rPr>
        <w:t>reassess</w:t>
      </w:r>
      <w:r>
        <w:rPr>
          <w:b/>
          <w:color w:val="67287F"/>
          <w:spacing w:val="-7"/>
          <w:sz w:val="28"/>
        </w:rPr>
        <w:t> </w:t>
      </w:r>
      <w:r>
        <w:rPr>
          <w:b/>
          <w:color w:val="67287F"/>
          <w:sz w:val="28"/>
        </w:rPr>
        <w:t>the</w:t>
      </w:r>
      <w:r>
        <w:rPr>
          <w:b/>
          <w:color w:val="67287F"/>
          <w:spacing w:val="-8"/>
          <w:sz w:val="28"/>
        </w:rPr>
        <w:t> </w:t>
      </w:r>
      <w:r>
        <w:rPr>
          <w:b/>
          <w:color w:val="67287F"/>
          <w:sz w:val="28"/>
        </w:rPr>
        <w:t>Safety</w:t>
      </w:r>
      <w:r>
        <w:rPr>
          <w:b/>
          <w:color w:val="67287F"/>
          <w:spacing w:val="-7"/>
          <w:sz w:val="28"/>
        </w:rPr>
        <w:t> </w:t>
      </w:r>
      <w:r>
        <w:rPr>
          <w:b/>
          <w:color w:val="67287F"/>
          <w:sz w:val="28"/>
        </w:rPr>
        <w:t>of</w:t>
      </w:r>
      <w:r>
        <w:rPr>
          <w:b/>
          <w:color w:val="67287F"/>
          <w:spacing w:val="-8"/>
          <w:sz w:val="28"/>
        </w:rPr>
        <w:t> </w:t>
      </w:r>
      <w:r>
        <w:rPr>
          <w:b/>
          <w:color w:val="67287F"/>
          <w:sz w:val="28"/>
        </w:rPr>
        <w:t>Rwanda</w:t>
      </w:r>
      <w:r>
        <w:rPr>
          <w:b/>
          <w:color w:val="67287F"/>
          <w:spacing w:val="-7"/>
          <w:sz w:val="28"/>
        </w:rPr>
        <w:t> </w:t>
      </w:r>
      <w:r>
        <w:rPr>
          <w:b/>
          <w:color w:val="67287F"/>
          <w:sz w:val="28"/>
        </w:rPr>
        <w:t>(Asylum</w:t>
      </w:r>
      <w:r>
        <w:rPr>
          <w:b/>
          <w:color w:val="67287F"/>
          <w:spacing w:val="-8"/>
          <w:sz w:val="28"/>
        </w:rPr>
        <w:t> </w:t>
      </w:r>
      <w:r>
        <w:rPr>
          <w:b/>
          <w:color w:val="67287F"/>
          <w:sz w:val="28"/>
        </w:rPr>
        <w:t>and</w:t>
      </w:r>
      <w:r>
        <w:rPr>
          <w:b/>
          <w:color w:val="67287F"/>
          <w:spacing w:val="-7"/>
          <w:sz w:val="28"/>
        </w:rPr>
        <w:t> </w:t>
      </w:r>
      <w:r>
        <w:rPr>
          <w:b/>
          <w:color w:val="67287F"/>
          <w:sz w:val="28"/>
        </w:rPr>
        <w:t>Immigration)</w:t>
      </w:r>
      <w:r>
        <w:rPr>
          <w:b/>
          <w:color w:val="67287F"/>
          <w:spacing w:val="-7"/>
          <w:sz w:val="28"/>
        </w:rPr>
        <w:t> </w:t>
      </w:r>
      <w:r>
        <w:rPr>
          <w:b/>
          <w:color w:val="67287F"/>
          <w:sz w:val="28"/>
        </w:rPr>
        <w:t>Bill</w:t>
      </w:r>
      <w:r>
        <w:rPr>
          <w:b/>
          <w:color w:val="67287F"/>
          <w:spacing w:val="-7"/>
          <w:sz w:val="28"/>
        </w:rPr>
        <w:t> </w:t>
      </w:r>
      <w:r>
        <w:rPr>
          <w:b/>
          <w:color w:val="67287F"/>
          <w:sz w:val="28"/>
        </w:rPr>
        <w:t>and amend</w:t>
      </w:r>
      <w:r>
        <w:rPr>
          <w:b/>
          <w:color w:val="67287F"/>
          <w:spacing w:val="-1"/>
          <w:sz w:val="28"/>
        </w:rPr>
        <w:t> </w:t>
      </w:r>
      <w:r>
        <w:rPr>
          <w:b/>
          <w:color w:val="67287F"/>
          <w:sz w:val="28"/>
        </w:rPr>
        <w:t>as</w:t>
      </w:r>
      <w:r>
        <w:rPr>
          <w:b/>
          <w:color w:val="67287F"/>
          <w:spacing w:val="-1"/>
          <w:sz w:val="28"/>
        </w:rPr>
        <w:t> </w:t>
      </w:r>
      <w:r>
        <w:rPr>
          <w:b/>
          <w:color w:val="67287F"/>
          <w:sz w:val="28"/>
        </w:rPr>
        <w:t>required</w:t>
      </w:r>
      <w:r>
        <w:rPr>
          <w:b/>
          <w:color w:val="67287F"/>
          <w:spacing w:val="-1"/>
          <w:sz w:val="28"/>
        </w:rPr>
        <w:t> </w:t>
      </w:r>
      <w:r>
        <w:rPr>
          <w:b/>
          <w:color w:val="67287F"/>
          <w:sz w:val="28"/>
        </w:rPr>
        <w:t>to</w:t>
      </w:r>
      <w:r>
        <w:rPr>
          <w:b/>
          <w:color w:val="67287F"/>
          <w:spacing w:val="-1"/>
          <w:sz w:val="28"/>
        </w:rPr>
        <w:t> </w:t>
      </w:r>
      <w:r>
        <w:rPr>
          <w:b/>
          <w:color w:val="67287F"/>
          <w:sz w:val="28"/>
        </w:rPr>
        <w:t>ensure</w:t>
      </w:r>
      <w:r>
        <w:rPr>
          <w:b/>
          <w:color w:val="67287F"/>
          <w:spacing w:val="-2"/>
          <w:sz w:val="28"/>
        </w:rPr>
        <w:t> </w:t>
      </w:r>
      <w:r>
        <w:rPr>
          <w:b/>
          <w:color w:val="67287F"/>
          <w:sz w:val="28"/>
        </w:rPr>
        <w:t>compliance</w:t>
      </w:r>
      <w:r>
        <w:rPr>
          <w:b/>
          <w:color w:val="67287F"/>
          <w:spacing w:val="-2"/>
          <w:sz w:val="28"/>
        </w:rPr>
        <w:t> </w:t>
      </w:r>
      <w:r>
        <w:rPr>
          <w:b/>
          <w:color w:val="67287F"/>
          <w:sz w:val="28"/>
        </w:rPr>
        <w:t>with</w:t>
      </w:r>
      <w:r>
        <w:rPr>
          <w:b/>
          <w:color w:val="67287F"/>
          <w:spacing w:val="-1"/>
          <w:sz w:val="28"/>
        </w:rPr>
        <w:t> </w:t>
      </w:r>
      <w:r>
        <w:rPr>
          <w:b/>
          <w:color w:val="67287F"/>
          <w:sz w:val="28"/>
        </w:rPr>
        <w:t>the</w:t>
      </w:r>
      <w:r>
        <w:rPr>
          <w:b/>
          <w:color w:val="67287F"/>
          <w:spacing w:val="-2"/>
          <w:sz w:val="28"/>
        </w:rPr>
        <w:t> </w:t>
      </w:r>
      <w:r>
        <w:rPr>
          <w:b/>
          <w:color w:val="67287F"/>
          <w:sz w:val="28"/>
        </w:rPr>
        <w:t>UK’s</w:t>
      </w:r>
      <w:r>
        <w:rPr>
          <w:b/>
          <w:color w:val="67287F"/>
          <w:spacing w:val="-1"/>
          <w:sz w:val="28"/>
        </w:rPr>
        <w:t> </w:t>
      </w:r>
      <w:r>
        <w:rPr>
          <w:b/>
          <w:color w:val="67287F"/>
          <w:sz w:val="28"/>
        </w:rPr>
        <w:t>international</w:t>
      </w:r>
      <w:r>
        <w:rPr>
          <w:b/>
          <w:color w:val="67287F"/>
          <w:spacing w:val="-1"/>
          <w:sz w:val="28"/>
        </w:rPr>
        <w:t> </w:t>
      </w:r>
      <w:r>
        <w:rPr>
          <w:b/>
          <w:color w:val="67287F"/>
          <w:sz w:val="28"/>
        </w:rPr>
        <w:t>human rights obligations and no diminution of rights in NI, contrary to Windsor Framework Article 2.</w:t>
      </w:r>
    </w:p>
    <w:p>
      <w:pPr>
        <w:pStyle w:val="BodyText"/>
        <w:rPr>
          <w:b/>
          <w:sz w:val="20"/>
        </w:rPr>
      </w:pPr>
    </w:p>
    <w:p>
      <w:pPr>
        <w:pStyle w:val="BodyText"/>
        <w:rPr>
          <w:b/>
          <w:sz w:val="20"/>
        </w:rPr>
      </w:pPr>
    </w:p>
    <w:p>
      <w:pPr>
        <w:pStyle w:val="BodyText"/>
        <w:spacing w:before="73"/>
        <w:rPr>
          <w:b/>
          <w:sz w:val="20"/>
        </w:rPr>
      </w:pPr>
      <w:r>
        <w:rPr/>
        <mc:AlternateContent>
          <mc:Choice Requires="wps">
            <w:drawing>
              <wp:anchor distT="0" distB="0" distL="0" distR="0" allowOverlap="1" layoutInCell="1" locked="0" behindDoc="1" simplePos="0" relativeHeight="487687168">
                <wp:simplePos x="0" y="0"/>
                <wp:positionH relativeFrom="page">
                  <wp:posOffset>719996</wp:posOffset>
                </wp:positionH>
                <wp:positionV relativeFrom="paragraph">
                  <wp:posOffset>217069</wp:posOffset>
                </wp:positionV>
                <wp:extent cx="6120130" cy="1270"/>
                <wp:effectExtent l="0" t="0" r="0" b="0"/>
                <wp:wrapTopAndBottom/>
                <wp:docPr id="450" name="Graphic 450"/>
                <wp:cNvGraphicFramePr>
                  <a:graphicFrameLocks/>
                </wp:cNvGraphicFramePr>
                <a:graphic>
                  <a:graphicData uri="http://schemas.microsoft.com/office/word/2010/wordprocessingShape">
                    <wps:wsp>
                      <wps:cNvPr id="450" name="Graphic 45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7.092115pt;width:481.9pt;height:.1pt;mso-position-horizontal-relative:page;mso-position-vertical-relative:paragraph;z-index:-15629312;mso-wrap-distance-left:0;mso-wrap-distance-right:0" id="docshape399" coordorigin="1134,342" coordsize="9638,0" path="m10772,342l1134,342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18" w:lineRule="exact" w:before="161" w:after="0"/>
        <w:ind w:left="1853" w:right="0" w:hanging="720"/>
        <w:jc w:val="left"/>
        <w:rPr>
          <w:sz w:val="18"/>
        </w:rPr>
      </w:pPr>
      <w:r>
        <w:rPr>
          <w:sz w:val="18"/>
        </w:rPr>
        <w:t>Equality</w:t>
      </w:r>
      <w:r>
        <w:rPr>
          <w:spacing w:val="-5"/>
          <w:sz w:val="18"/>
        </w:rPr>
        <w:t> </w:t>
      </w:r>
      <w:r>
        <w:rPr>
          <w:sz w:val="18"/>
        </w:rPr>
        <w:t>Commission</w:t>
      </w:r>
      <w:r>
        <w:rPr>
          <w:spacing w:val="-5"/>
          <w:sz w:val="18"/>
        </w:rPr>
        <w:t> </w:t>
      </w:r>
      <w:r>
        <w:rPr>
          <w:sz w:val="18"/>
        </w:rPr>
        <w:t>for</w:t>
      </w:r>
      <w:r>
        <w:rPr>
          <w:spacing w:val="-5"/>
          <w:sz w:val="18"/>
        </w:rPr>
        <w:t> </w:t>
      </w:r>
      <w:r>
        <w:rPr>
          <w:sz w:val="18"/>
        </w:rPr>
        <w:t>NI,</w:t>
      </w:r>
      <w:r>
        <w:rPr>
          <w:spacing w:val="-4"/>
          <w:sz w:val="18"/>
        </w:rPr>
        <w:t> </w:t>
      </w:r>
      <w:r>
        <w:rPr>
          <w:sz w:val="18"/>
        </w:rPr>
        <w:t>‘Submission</w:t>
      </w:r>
      <w:r>
        <w:rPr>
          <w:spacing w:val="-5"/>
          <w:sz w:val="18"/>
        </w:rPr>
        <w:t> </w:t>
      </w:r>
      <w:r>
        <w:rPr>
          <w:sz w:val="18"/>
        </w:rPr>
        <w:t>on</w:t>
      </w:r>
      <w:r>
        <w:rPr>
          <w:spacing w:val="-6"/>
          <w:sz w:val="18"/>
        </w:rPr>
        <w:t> </w:t>
      </w:r>
      <w:r>
        <w:rPr>
          <w:sz w:val="18"/>
        </w:rPr>
        <w:t>the</w:t>
      </w:r>
      <w:r>
        <w:rPr>
          <w:spacing w:val="-4"/>
          <w:sz w:val="18"/>
        </w:rPr>
        <w:t> </w:t>
      </w:r>
      <w:r>
        <w:rPr>
          <w:sz w:val="18"/>
        </w:rPr>
        <w:t>Safety</w:t>
      </w:r>
      <w:r>
        <w:rPr>
          <w:spacing w:val="-4"/>
          <w:sz w:val="18"/>
        </w:rPr>
        <w:t> </w:t>
      </w:r>
      <w:r>
        <w:rPr>
          <w:sz w:val="18"/>
        </w:rPr>
        <w:t>of</w:t>
      </w:r>
      <w:r>
        <w:rPr>
          <w:spacing w:val="-6"/>
          <w:sz w:val="18"/>
        </w:rPr>
        <w:t> </w:t>
      </w:r>
      <w:r>
        <w:rPr>
          <w:sz w:val="18"/>
        </w:rPr>
        <w:t>Rwanda</w:t>
      </w:r>
      <w:r>
        <w:rPr>
          <w:spacing w:val="-5"/>
          <w:sz w:val="18"/>
        </w:rPr>
        <w:t> </w:t>
      </w:r>
      <w:r>
        <w:rPr>
          <w:sz w:val="18"/>
        </w:rPr>
        <w:t>(Asylum</w:t>
      </w:r>
      <w:r>
        <w:rPr>
          <w:spacing w:val="-5"/>
          <w:sz w:val="18"/>
        </w:rPr>
        <w:t> </w:t>
      </w:r>
      <w:r>
        <w:rPr>
          <w:sz w:val="18"/>
        </w:rPr>
        <w:t>and</w:t>
      </w:r>
      <w:r>
        <w:rPr>
          <w:spacing w:val="-5"/>
          <w:sz w:val="18"/>
        </w:rPr>
        <w:t> </w:t>
      </w:r>
      <w:r>
        <w:rPr>
          <w:sz w:val="18"/>
        </w:rPr>
        <w:t>Immigration)</w:t>
      </w:r>
      <w:r>
        <w:rPr>
          <w:spacing w:val="-5"/>
          <w:sz w:val="18"/>
        </w:rPr>
        <w:t> </w:t>
      </w:r>
      <w:r>
        <w:rPr>
          <w:sz w:val="18"/>
        </w:rPr>
        <w:t>Bill’</w:t>
      </w:r>
      <w:r>
        <w:rPr>
          <w:spacing w:val="-5"/>
          <w:sz w:val="18"/>
        </w:rPr>
        <w:t> </w:t>
      </w:r>
      <w:r>
        <w:rPr>
          <w:sz w:val="18"/>
        </w:rPr>
        <w:t>(ECNI,</w:t>
      </w:r>
      <w:r>
        <w:rPr>
          <w:spacing w:val="-4"/>
          <w:sz w:val="18"/>
        </w:rPr>
        <w:t> </w:t>
      </w:r>
      <w:r>
        <w:rPr>
          <w:spacing w:val="-2"/>
          <w:sz w:val="18"/>
        </w:rPr>
        <w:t>2024).</w:t>
      </w:r>
    </w:p>
    <w:p>
      <w:pPr>
        <w:pStyle w:val="ListParagraph"/>
        <w:numPr>
          <w:ilvl w:val="0"/>
          <w:numId w:val="11"/>
        </w:numPr>
        <w:tabs>
          <w:tab w:pos="1853" w:val="left" w:leader="none"/>
        </w:tabs>
        <w:spacing w:line="235" w:lineRule="auto" w:before="1" w:after="0"/>
        <w:ind w:left="1853" w:right="1698" w:hanging="720"/>
        <w:jc w:val="left"/>
        <w:rPr>
          <w:sz w:val="18"/>
        </w:rPr>
      </w:pPr>
      <w:r>
        <w:rPr>
          <w:sz w:val="18"/>
        </w:rPr>
        <w:t>CCPR/C/GBR/CO/8,</w:t>
      </w:r>
      <w:r>
        <w:rPr>
          <w:spacing w:val="-5"/>
          <w:sz w:val="18"/>
        </w:rPr>
        <w:t> </w:t>
      </w:r>
      <w:r>
        <w:rPr>
          <w:sz w:val="18"/>
        </w:rPr>
        <w:t>‘UN</w:t>
      </w:r>
      <w:r>
        <w:rPr>
          <w:spacing w:val="-5"/>
          <w:sz w:val="18"/>
        </w:rPr>
        <w:t> </w:t>
      </w:r>
      <w:r>
        <w:rPr>
          <w:sz w:val="18"/>
        </w:rPr>
        <w:t>Human</w:t>
      </w:r>
      <w:r>
        <w:rPr>
          <w:spacing w:val="-6"/>
          <w:sz w:val="18"/>
        </w:rPr>
        <w:t> </w:t>
      </w:r>
      <w:r>
        <w:rPr>
          <w:sz w:val="18"/>
        </w:rPr>
        <w:t>Rights</w:t>
      </w:r>
      <w:r>
        <w:rPr>
          <w:spacing w:val="-6"/>
          <w:sz w:val="18"/>
        </w:rPr>
        <w:t> </w:t>
      </w:r>
      <w:r>
        <w:rPr>
          <w:sz w:val="18"/>
        </w:rPr>
        <w:t>Committee</w:t>
      </w:r>
      <w:r>
        <w:rPr>
          <w:spacing w:val="-5"/>
          <w:sz w:val="18"/>
        </w:rPr>
        <w:t> </w:t>
      </w:r>
      <w:r>
        <w:rPr>
          <w:sz w:val="18"/>
        </w:rPr>
        <w:t>Concluding</w:t>
      </w:r>
      <w:r>
        <w:rPr>
          <w:spacing w:val="-5"/>
          <w:sz w:val="18"/>
        </w:rPr>
        <w:t> </w:t>
      </w:r>
      <w:r>
        <w:rPr>
          <w:sz w:val="18"/>
        </w:rPr>
        <w:t>Observations</w:t>
      </w:r>
      <w:r>
        <w:rPr>
          <w:spacing w:val="-6"/>
          <w:sz w:val="18"/>
        </w:rPr>
        <w:t> </w:t>
      </w:r>
      <w:r>
        <w:rPr>
          <w:sz w:val="18"/>
        </w:rPr>
        <w:t>Concluding</w:t>
      </w:r>
      <w:r>
        <w:rPr>
          <w:spacing w:val="-5"/>
          <w:sz w:val="18"/>
        </w:rPr>
        <w:t> </w:t>
      </w:r>
      <w:r>
        <w:rPr>
          <w:sz w:val="18"/>
        </w:rPr>
        <w:t>observations</w:t>
      </w:r>
      <w:r>
        <w:rPr>
          <w:spacing w:val="-6"/>
          <w:sz w:val="18"/>
        </w:rPr>
        <w:t> </w:t>
      </w:r>
      <w:r>
        <w:rPr>
          <w:sz w:val="18"/>
        </w:rPr>
        <w:t>on</w:t>
      </w:r>
      <w:r>
        <w:rPr>
          <w:spacing w:val="-6"/>
          <w:sz w:val="18"/>
        </w:rPr>
        <w:t> </w:t>
      </w:r>
      <w:r>
        <w:rPr>
          <w:sz w:val="18"/>
        </w:rPr>
        <w:t>the</w:t>
      </w:r>
      <w:r>
        <w:rPr>
          <w:spacing w:val="-5"/>
          <w:sz w:val="18"/>
        </w:rPr>
        <w:t> </w:t>
      </w:r>
      <w:r>
        <w:rPr>
          <w:sz w:val="18"/>
        </w:rPr>
        <w:t>eighth periodic report of United Kingdom of Great Britain and NI’, 28 March 2024, at para 41(c).</w:t>
      </w:r>
    </w:p>
    <w:p>
      <w:pPr>
        <w:spacing w:after="0" w:line="235" w:lineRule="auto"/>
        <w:jc w:val="left"/>
        <w:rPr>
          <w:sz w:val="18"/>
        </w:rPr>
        <w:sectPr>
          <w:pgSz w:w="11910" w:h="16840"/>
          <w:pgMar w:header="496" w:footer="367" w:top="1220" w:bottom="560" w:left="0" w:right="0"/>
        </w:sectPr>
      </w:pPr>
    </w:p>
    <w:p>
      <w:pPr>
        <w:pStyle w:val="BodyText"/>
        <w:spacing w:before="182"/>
      </w:pPr>
    </w:p>
    <w:p>
      <w:pPr>
        <w:pStyle w:val="Heading5"/>
        <w:ind w:left="1133" w:firstLine="0"/>
      </w:pPr>
      <w:bookmarkStart w:name="_bookmark35" w:id="75"/>
      <w:bookmarkEnd w:id="75"/>
      <w:r>
        <w:rPr>
          <w:b w:val="0"/>
        </w:rPr>
      </w:r>
      <w:bookmarkStart w:name="Migrants’ Rights - Case Law of the Court" w:id="76"/>
      <w:bookmarkEnd w:id="76"/>
      <w:r>
        <w:rPr>
          <w:b w:val="0"/>
        </w:rPr>
      </w:r>
      <w:r>
        <w:rPr>
          <w:color w:val="393B80"/>
        </w:rPr>
        <w:t>Migrants’</w:t>
      </w:r>
      <w:r>
        <w:rPr>
          <w:color w:val="393B80"/>
          <w:spacing w:val="-4"/>
        </w:rPr>
        <w:t> </w:t>
      </w:r>
      <w:r>
        <w:rPr>
          <w:color w:val="393B80"/>
        </w:rPr>
        <w:t>Rights</w:t>
      </w:r>
      <w:r>
        <w:rPr>
          <w:color w:val="393B80"/>
          <w:spacing w:val="-3"/>
        </w:rPr>
        <w:t> </w:t>
      </w:r>
      <w:r>
        <w:rPr>
          <w:color w:val="393B80"/>
        </w:rPr>
        <w:t>–</w:t>
      </w:r>
      <w:r>
        <w:rPr>
          <w:color w:val="393B80"/>
          <w:spacing w:val="-5"/>
        </w:rPr>
        <w:t> </w:t>
      </w:r>
      <w:r>
        <w:rPr>
          <w:color w:val="393B80"/>
        </w:rPr>
        <w:t>Case</w:t>
      </w:r>
      <w:r>
        <w:rPr>
          <w:color w:val="393B80"/>
          <w:spacing w:val="-4"/>
        </w:rPr>
        <w:t> </w:t>
      </w:r>
      <w:r>
        <w:rPr>
          <w:color w:val="393B80"/>
        </w:rPr>
        <w:t>Law</w:t>
      </w:r>
      <w:r>
        <w:rPr>
          <w:color w:val="393B80"/>
          <w:spacing w:val="-4"/>
        </w:rPr>
        <w:t> </w:t>
      </w:r>
      <w:r>
        <w:rPr>
          <w:color w:val="393B80"/>
        </w:rPr>
        <w:t>of</w:t>
      </w:r>
      <w:r>
        <w:rPr>
          <w:color w:val="393B80"/>
          <w:spacing w:val="-5"/>
        </w:rPr>
        <w:t> </w:t>
      </w:r>
      <w:r>
        <w:rPr>
          <w:color w:val="393B80"/>
        </w:rPr>
        <w:t>the</w:t>
      </w:r>
      <w:r>
        <w:rPr>
          <w:color w:val="393B80"/>
          <w:spacing w:val="-4"/>
        </w:rPr>
        <w:t> </w:t>
      </w:r>
      <w:r>
        <w:rPr>
          <w:color w:val="393B80"/>
        </w:rPr>
        <w:t>Court</w:t>
      </w:r>
      <w:r>
        <w:rPr>
          <w:color w:val="393B80"/>
          <w:spacing w:val="-3"/>
        </w:rPr>
        <w:t> </w:t>
      </w:r>
      <w:r>
        <w:rPr>
          <w:color w:val="393B80"/>
        </w:rPr>
        <w:t>of</w:t>
      </w:r>
      <w:r>
        <w:rPr>
          <w:color w:val="393B80"/>
          <w:spacing w:val="-5"/>
        </w:rPr>
        <w:t> </w:t>
      </w:r>
      <w:r>
        <w:rPr>
          <w:color w:val="393B80"/>
        </w:rPr>
        <w:t>Justice</w:t>
      </w:r>
      <w:r>
        <w:rPr>
          <w:color w:val="393B80"/>
          <w:spacing w:val="-4"/>
        </w:rPr>
        <w:t> </w:t>
      </w:r>
      <w:r>
        <w:rPr>
          <w:color w:val="393B80"/>
        </w:rPr>
        <w:t>of</w:t>
      </w:r>
      <w:r>
        <w:rPr>
          <w:color w:val="393B80"/>
          <w:spacing w:val="-4"/>
        </w:rPr>
        <w:t> </w:t>
      </w:r>
      <w:r>
        <w:rPr>
          <w:color w:val="393B80"/>
        </w:rPr>
        <w:t>the</w:t>
      </w:r>
      <w:r>
        <w:rPr>
          <w:color w:val="393B80"/>
          <w:spacing w:val="-5"/>
        </w:rPr>
        <w:t> EU</w:t>
      </w:r>
    </w:p>
    <w:p>
      <w:pPr>
        <w:pStyle w:val="ListParagraph"/>
        <w:numPr>
          <w:ilvl w:val="1"/>
          <w:numId w:val="7"/>
        </w:numPr>
        <w:tabs>
          <w:tab w:pos="1853" w:val="left" w:leader="none"/>
        </w:tabs>
        <w:spacing w:line="218" w:lineRule="auto" w:before="303" w:after="0"/>
        <w:ind w:left="1853" w:right="1735" w:hanging="720"/>
        <w:jc w:val="left"/>
        <w:rPr>
          <w:sz w:val="28"/>
        </w:rPr>
      </w:pPr>
      <w:r>
        <w:rPr>
          <w:sz w:val="28"/>
        </w:rPr>
        <w:t>In 2022, the Commissions published research highlighting CJEU case law developments after 31 December 2020 related to migrant rights, that </w:t>
      </w:r>
      <w:r>
        <w:rPr>
          <w:i/>
          <w:sz w:val="28"/>
          <w:u w:val="single"/>
        </w:rPr>
        <w:t>go</w:t>
      </w:r>
      <w:r>
        <w:rPr>
          <w:i/>
          <w:sz w:val="28"/>
          <w:u w:val="none"/>
        </w:rPr>
        <w:t> </w:t>
      </w:r>
      <w:r>
        <w:rPr>
          <w:i/>
          <w:sz w:val="28"/>
          <w:u w:val="single"/>
        </w:rPr>
        <w:t>beyond</w:t>
      </w:r>
      <w:r>
        <w:rPr>
          <w:i/>
          <w:spacing w:val="-5"/>
          <w:sz w:val="28"/>
          <w:u w:val="none"/>
        </w:rPr>
        <w:t> </w:t>
      </w:r>
      <w:r>
        <w:rPr>
          <w:sz w:val="28"/>
          <w:u w:val="none"/>
        </w:rPr>
        <w:t>the</w:t>
      </w:r>
      <w:r>
        <w:rPr>
          <w:spacing w:val="-5"/>
          <w:sz w:val="28"/>
          <w:u w:val="none"/>
        </w:rPr>
        <w:t> </w:t>
      </w:r>
      <w:r>
        <w:rPr>
          <w:sz w:val="28"/>
          <w:u w:val="none"/>
        </w:rPr>
        <w:t>scope</w:t>
      </w:r>
      <w:r>
        <w:rPr>
          <w:spacing w:val="-5"/>
          <w:sz w:val="28"/>
          <w:u w:val="none"/>
        </w:rPr>
        <w:t> </w:t>
      </w:r>
      <w:r>
        <w:rPr>
          <w:sz w:val="28"/>
          <w:u w:val="none"/>
        </w:rPr>
        <w:t>of</w:t>
      </w:r>
      <w:r>
        <w:rPr>
          <w:spacing w:val="-6"/>
          <w:sz w:val="28"/>
          <w:u w:val="none"/>
        </w:rPr>
        <w:t> </w:t>
      </w:r>
      <w:r>
        <w:rPr>
          <w:sz w:val="28"/>
          <w:u w:val="none"/>
        </w:rPr>
        <w:t>the</w:t>
      </w:r>
      <w:r>
        <w:rPr>
          <w:spacing w:val="-5"/>
          <w:sz w:val="28"/>
          <w:u w:val="none"/>
        </w:rPr>
        <w:t> </w:t>
      </w:r>
      <w:r>
        <w:rPr>
          <w:sz w:val="28"/>
          <w:u w:val="none"/>
        </w:rPr>
        <w:t>Annex</w:t>
      </w:r>
      <w:r>
        <w:rPr>
          <w:spacing w:val="-6"/>
          <w:sz w:val="28"/>
          <w:u w:val="none"/>
        </w:rPr>
        <w:t> </w:t>
      </w:r>
      <w:r>
        <w:rPr>
          <w:sz w:val="28"/>
          <w:u w:val="none"/>
        </w:rPr>
        <w:t>1</w:t>
      </w:r>
      <w:r>
        <w:rPr>
          <w:spacing w:val="-5"/>
          <w:sz w:val="28"/>
          <w:u w:val="none"/>
        </w:rPr>
        <w:t> </w:t>
      </w:r>
      <w:r>
        <w:rPr>
          <w:sz w:val="28"/>
          <w:u w:val="none"/>
        </w:rPr>
        <w:t>equality</w:t>
      </w:r>
      <w:r>
        <w:rPr>
          <w:spacing w:val="-5"/>
          <w:sz w:val="28"/>
          <w:u w:val="none"/>
        </w:rPr>
        <w:t> </w:t>
      </w:r>
      <w:r>
        <w:rPr>
          <w:sz w:val="28"/>
          <w:u w:val="none"/>
        </w:rPr>
        <w:t>directives</w:t>
      </w:r>
      <w:r>
        <w:rPr>
          <w:spacing w:val="-6"/>
          <w:sz w:val="28"/>
          <w:u w:val="none"/>
        </w:rPr>
        <w:t> </w:t>
      </w:r>
      <w:r>
        <w:rPr>
          <w:sz w:val="28"/>
          <w:u w:val="none"/>
        </w:rPr>
        <w:t>and</w:t>
      </w:r>
      <w:r>
        <w:rPr>
          <w:spacing w:val="-6"/>
          <w:sz w:val="28"/>
          <w:u w:val="none"/>
        </w:rPr>
        <w:t> </w:t>
      </w:r>
      <w:r>
        <w:rPr>
          <w:sz w:val="28"/>
          <w:u w:val="none"/>
        </w:rPr>
        <w:t>could</w:t>
      </w:r>
      <w:r>
        <w:rPr>
          <w:spacing w:val="-6"/>
          <w:sz w:val="28"/>
          <w:u w:val="none"/>
        </w:rPr>
        <w:t> </w:t>
      </w:r>
      <w:r>
        <w:rPr>
          <w:sz w:val="28"/>
          <w:u w:val="none"/>
        </w:rPr>
        <w:t>potentially result in a divergence of rights on the island of Ireland.</w:t>
      </w:r>
      <w:r>
        <w:rPr>
          <w:sz w:val="28"/>
          <w:u w:val="none"/>
          <w:vertAlign w:val="superscript"/>
        </w:rPr>
        <w:t>572</w:t>
      </w:r>
    </w:p>
    <w:p>
      <w:pPr>
        <w:pStyle w:val="ListParagraph"/>
        <w:numPr>
          <w:ilvl w:val="1"/>
          <w:numId w:val="7"/>
        </w:numPr>
        <w:tabs>
          <w:tab w:pos="1853" w:val="left" w:leader="none"/>
        </w:tabs>
        <w:spacing w:line="218" w:lineRule="auto" w:before="305" w:after="0"/>
        <w:ind w:left="1853" w:right="1189" w:hanging="720"/>
        <w:jc w:val="left"/>
        <w:rPr>
          <w:sz w:val="28"/>
        </w:rPr>
      </w:pPr>
      <w:r>
        <w:rPr>
          <w:sz w:val="28"/>
        </w:rPr>
        <w:t>The research highlighted CJEU judgements relating to the EU Citizens’ Rights Directive,</w:t>
      </w:r>
      <w:r>
        <w:rPr>
          <w:sz w:val="28"/>
          <w:vertAlign w:val="superscript"/>
        </w:rPr>
        <w:t>573</w:t>
      </w:r>
      <w:r>
        <w:rPr>
          <w:sz w:val="28"/>
          <w:vertAlign w:val="baseline"/>
        </w:rPr>
        <w:t> which the CJEU determined should be interpreted in line with Article</w:t>
      </w:r>
      <w:r>
        <w:rPr>
          <w:spacing w:val="-5"/>
          <w:sz w:val="28"/>
          <w:vertAlign w:val="baseline"/>
        </w:rPr>
        <w:t> </w:t>
      </w:r>
      <w:r>
        <w:rPr>
          <w:sz w:val="28"/>
          <w:vertAlign w:val="baseline"/>
        </w:rPr>
        <w:t>1</w:t>
      </w:r>
      <w:r>
        <w:rPr>
          <w:spacing w:val="-5"/>
          <w:sz w:val="28"/>
          <w:vertAlign w:val="baseline"/>
        </w:rPr>
        <w:t> </w:t>
      </w:r>
      <w:r>
        <w:rPr>
          <w:sz w:val="28"/>
          <w:vertAlign w:val="baseline"/>
        </w:rPr>
        <w:t>of</w:t>
      </w:r>
      <w:r>
        <w:rPr>
          <w:spacing w:val="-6"/>
          <w:sz w:val="28"/>
          <w:vertAlign w:val="baseline"/>
        </w:rPr>
        <w:t> </w:t>
      </w:r>
      <w:r>
        <w:rPr>
          <w:sz w:val="28"/>
          <w:vertAlign w:val="baseline"/>
        </w:rPr>
        <w:t>the</w:t>
      </w:r>
      <w:r>
        <w:rPr>
          <w:spacing w:val="-5"/>
          <w:sz w:val="28"/>
          <w:vertAlign w:val="baseline"/>
        </w:rPr>
        <w:t> </w:t>
      </w:r>
      <w:r>
        <w:rPr>
          <w:sz w:val="28"/>
          <w:vertAlign w:val="baseline"/>
        </w:rPr>
        <w:t>EU</w:t>
      </w:r>
      <w:r>
        <w:rPr>
          <w:spacing w:val="-5"/>
          <w:sz w:val="28"/>
          <w:vertAlign w:val="baseline"/>
        </w:rPr>
        <w:t> </w:t>
      </w:r>
      <w:r>
        <w:rPr>
          <w:sz w:val="28"/>
          <w:vertAlign w:val="baseline"/>
        </w:rPr>
        <w:t>Charter</w:t>
      </w:r>
      <w:r>
        <w:rPr>
          <w:spacing w:val="-5"/>
          <w:sz w:val="28"/>
          <w:vertAlign w:val="baseline"/>
        </w:rPr>
        <w:t> </w:t>
      </w:r>
      <w:r>
        <w:rPr>
          <w:sz w:val="28"/>
          <w:vertAlign w:val="baseline"/>
        </w:rPr>
        <w:t>(the</w:t>
      </w:r>
      <w:r>
        <w:rPr>
          <w:spacing w:val="-5"/>
          <w:sz w:val="28"/>
          <w:vertAlign w:val="baseline"/>
        </w:rPr>
        <w:t> </w:t>
      </w:r>
      <w:r>
        <w:rPr>
          <w:sz w:val="28"/>
          <w:vertAlign w:val="baseline"/>
        </w:rPr>
        <w:t>right</w:t>
      </w:r>
      <w:r>
        <w:rPr>
          <w:spacing w:val="-5"/>
          <w:sz w:val="28"/>
          <w:vertAlign w:val="baseline"/>
        </w:rPr>
        <w:t> </w:t>
      </w:r>
      <w:r>
        <w:rPr>
          <w:sz w:val="28"/>
          <w:vertAlign w:val="baseline"/>
        </w:rPr>
        <w:t>to</w:t>
      </w:r>
      <w:r>
        <w:rPr>
          <w:spacing w:val="-6"/>
          <w:sz w:val="28"/>
          <w:vertAlign w:val="baseline"/>
        </w:rPr>
        <w:t> </w:t>
      </w:r>
      <w:r>
        <w:rPr>
          <w:sz w:val="28"/>
          <w:vertAlign w:val="baseline"/>
        </w:rPr>
        <w:t>human</w:t>
      </w:r>
      <w:r>
        <w:rPr>
          <w:spacing w:val="-6"/>
          <w:sz w:val="28"/>
          <w:vertAlign w:val="baseline"/>
        </w:rPr>
        <w:t> </w:t>
      </w:r>
      <w:r>
        <w:rPr>
          <w:sz w:val="28"/>
          <w:vertAlign w:val="baseline"/>
        </w:rPr>
        <w:t>dignity)</w:t>
      </w:r>
      <w:r>
        <w:rPr>
          <w:sz w:val="28"/>
          <w:vertAlign w:val="superscript"/>
        </w:rPr>
        <w:t>574</w:t>
      </w:r>
      <w:r>
        <w:rPr>
          <w:spacing w:val="-6"/>
          <w:sz w:val="28"/>
          <w:vertAlign w:val="baseline"/>
        </w:rPr>
        <w:t> </w:t>
      </w:r>
      <w:r>
        <w:rPr>
          <w:sz w:val="28"/>
          <w:vertAlign w:val="baseline"/>
        </w:rPr>
        <w:t>and</w:t>
      </w:r>
      <w:r>
        <w:rPr>
          <w:spacing w:val="-6"/>
          <w:sz w:val="28"/>
          <w:vertAlign w:val="baseline"/>
        </w:rPr>
        <w:t> </w:t>
      </w:r>
      <w:r>
        <w:rPr>
          <w:sz w:val="28"/>
          <w:vertAlign w:val="baseline"/>
        </w:rPr>
        <w:t>as</w:t>
      </w:r>
      <w:r>
        <w:rPr>
          <w:spacing w:val="-6"/>
          <w:sz w:val="28"/>
          <w:vertAlign w:val="baseline"/>
        </w:rPr>
        <w:t> </w:t>
      </w:r>
      <w:r>
        <w:rPr>
          <w:sz w:val="28"/>
          <w:vertAlign w:val="baseline"/>
        </w:rPr>
        <w:t>such</w:t>
      </w:r>
      <w:r>
        <w:rPr>
          <w:spacing w:val="-6"/>
          <w:sz w:val="28"/>
          <w:vertAlign w:val="baseline"/>
        </w:rPr>
        <w:t> </w:t>
      </w:r>
      <w:r>
        <w:rPr>
          <w:sz w:val="28"/>
          <w:vertAlign w:val="baseline"/>
        </w:rPr>
        <w:t>required the</w:t>
      </w:r>
      <w:r>
        <w:rPr>
          <w:spacing w:val="-1"/>
          <w:sz w:val="28"/>
          <w:vertAlign w:val="baseline"/>
        </w:rPr>
        <w:t> </w:t>
      </w:r>
      <w:r>
        <w:rPr>
          <w:sz w:val="28"/>
          <w:vertAlign w:val="baseline"/>
        </w:rPr>
        <w:t>disbursement</w:t>
      </w:r>
      <w:r>
        <w:rPr>
          <w:spacing w:val="-1"/>
          <w:sz w:val="28"/>
          <w:vertAlign w:val="baseline"/>
        </w:rPr>
        <w:t> </w:t>
      </w:r>
      <w:r>
        <w:rPr>
          <w:sz w:val="28"/>
          <w:vertAlign w:val="baseline"/>
        </w:rPr>
        <w:t>of</w:t>
      </w:r>
      <w:r>
        <w:rPr>
          <w:spacing w:val="-2"/>
          <w:sz w:val="28"/>
          <w:vertAlign w:val="baseline"/>
        </w:rPr>
        <w:t> </w:t>
      </w:r>
      <w:r>
        <w:rPr>
          <w:sz w:val="28"/>
          <w:vertAlign w:val="baseline"/>
        </w:rPr>
        <w:t>benefits</w:t>
      </w:r>
      <w:r>
        <w:rPr>
          <w:spacing w:val="-2"/>
          <w:sz w:val="28"/>
          <w:vertAlign w:val="baseline"/>
        </w:rPr>
        <w:t> </w:t>
      </w:r>
      <w:r>
        <w:rPr>
          <w:sz w:val="28"/>
          <w:vertAlign w:val="baseline"/>
        </w:rPr>
        <w:t>required</w:t>
      </w:r>
      <w:r>
        <w:rPr>
          <w:spacing w:val="-2"/>
          <w:sz w:val="28"/>
          <w:vertAlign w:val="baseline"/>
        </w:rPr>
        <w:t> </w:t>
      </w:r>
      <w:r>
        <w:rPr>
          <w:sz w:val="28"/>
          <w:vertAlign w:val="baseline"/>
        </w:rPr>
        <w:t>to</w:t>
      </w:r>
      <w:r>
        <w:rPr>
          <w:spacing w:val="-2"/>
          <w:sz w:val="28"/>
          <w:vertAlign w:val="baseline"/>
        </w:rPr>
        <w:t> </w:t>
      </w:r>
      <w:r>
        <w:rPr>
          <w:sz w:val="28"/>
          <w:vertAlign w:val="baseline"/>
        </w:rPr>
        <w:t>ensure</w:t>
      </w:r>
      <w:r>
        <w:rPr>
          <w:spacing w:val="-1"/>
          <w:sz w:val="28"/>
          <w:vertAlign w:val="baseline"/>
        </w:rPr>
        <w:t> </w:t>
      </w:r>
      <w:r>
        <w:rPr>
          <w:sz w:val="28"/>
          <w:vertAlign w:val="baseline"/>
        </w:rPr>
        <w:t>a</w:t>
      </w:r>
      <w:r>
        <w:rPr>
          <w:spacing w:val="-2"/>
          <w:sz w:val="28"/>
          <w:vertAlign w:val="baseline"/>
        </w:rPr>
        <w:t> </w:t>
      </w:r>
      <w:r>
        <w:rPr>
          <w:sz w:val="28"/>
          <w:vertAlign w:val="baseline"/>
        </w:rPr>
        <w:t>dignified</w:t>
      </w:r>
      <w:r>
        <w:rPr>
          <w:spacing w:val="-2"/>
          <w:sz w:val="28"/>
          <w:vertAlign w:val="baseline"/>
        </w:rPr>
        <w:t> </w:t>
      </w:r>
      <w:r>
        <w:rPr>
          <w:sz w:val="28"/>
          <w:vertAlign w:val="baseline"/>
        </w:rPr>
        <w:t>standard</w:t>
      </w:r>
      <w:r>
        <w:rPr>
          <w:spacing w:val="-2"/>
          <w:sz w:val="28"/>
          <w:vertAlign w:val="baseline"/>
        </w:rPr>
        <w:t> </w:t>
      </w:r>
      <w:r>
        <w:rPr>
          <w:sz w:val="28"/>
          <w:vertAlign w:val="baseline"/>
        </w:rPr>
        <w:t>of</w:t>
      </w:r>
      <w:r>
        <w:rPr>
          <w:spacing w:val="-2"/>
          <w:sz w:val="28"/>
          <w:vertAlign w:val="baseline"/>
        </w:rPr>
        <w:t> </w:t>
      </w:r>
      <w:r>
        <w:rPr>
          <w:sz w:val="28"/>
          <w:vertAlign w:val="baseline"/>
        </w:rPr>
        <w:t>living, for example, housing benefit</w:t>
      </w:r>
      <w:r>
        <w:rPr>
          <w:sz w:val="28"/>
          <w:vertAlign w:val="superscript"/>
        </w:rPr>
        <w:t>575</w:t>
      </w:r>
      <w:r>
        <w:rPr>
          <w:sz w:val="28"/>
          <w:vertAlign w:val="baseline"/>
        </w:rPr>
        <w:t> and subsistence benefits.</w:t>
      </w:r>
      <w:r>
        <w:rPr>
          <w:sz w:val="28"/>
          <w:vertAlign w:val="superscript"/>
        </w:rPr>
        <w:t>576</w:t>
      </w:r>
    </w:p>
    <w:p>
      <w:pPr>
        <w:pStyle w:val="ListParagraph"/>
        <w:numPr>
          <w:ilvl w:val="1"/>
          <w:numId w:val="7"/>
        </w:numPr>
        <w:tabs>
          <w:tab w:pos="1853" w:val="left" w:leader="none"/>
        </w:tabs>
        <w:spacing w:line="218" w:lineRule="auto" w:before="305" w:after="0"/>
        <w:ind w:left="1853" w:right="1240" w:hanging="720"/>
        <w:jc w:val="left"/>
        <w:rPr>
          <w:sz w:val="28"/>
        </w:rPr>
      </w:pPr>
      <w:r>
        <w:rPr>
          <w:sz w:val="28"/>
        </w:rPr>
        <w:t>The Commissions recommended that the NI Executive and UK Government consider the implications of these recent judgements on the EU Citizen’s Rights</w:t>
      </w:r>
      <w:r>
        <w:rPr>
          <w:spacing w:val="-7"/>
          <w:sz w:val="28"/>
        </w:rPr>
        <w:t> </w:t>
      </w:r>
      <w:r>
        <w:rPr>
          <w:sz w:val="28"/>
        </w:rPr>
        <w:t>Directive</w:t>
      </w:r>
      <w:r>
        <w:rPr>
          <w:spacing w:val="-6"/>
          <w:sz w:val="28"/>
        </w:rPr>
        <w:t> </w:t>
      </w:r>
      <w:r>
        <w:rPr>
          <w:sz w:val="28"/>
        </w:rPr>
        <w:t>for</w:t>
      </w:r>
      <w:r>
        <w:rPr>
          <w:spacing w:val="-6"/>
          <w:sz w:val="28"/>
        </w:rPr>
        <w:t> </w:t>
      </w:r>
      <w:r>
        <w:rPr>
          <w:sz w:val="28"/>
        </w:rPr>
        <w:t>migrants</w:t>
      </w:r>
      <w:r>
        <w:rPr>
          <w:spacing w:val="-7"/>
          <w:sz w:val="28"/>
        </w:rPr>
        <w:t> </w:t>
      </w:r>
      <w:r>
        <w:rPr>
          <w:sz w:val="28"/>
        </w:rPr>
        <w:t>in</w:t>
      </w:r>
      <w:r>
        <w:rPr>
          <w:spacing w:val="-7"/>
          <w:sz w:val="28"/>
        </w:rPr>
        <w:t> </w:t>
      </w:r>
      <w:r>
        <w:rPr>
          <w:sz w:val="28"/>
        </w:rPr>
        <w:t>NI,</w:t>
      </w:r>
      <w:r>
        <w:rPr>
          <w:spacing w:val="-6"/>
          <w:sz w:val="28"/>
        </w:rPr>
        <w:t> </w:t>
      </w:r>
      <w:r>
        <w:rPr>
          <w:sz w:val="28"/>
        </w:rPr>
        <w:t>in</w:t>
      </w:r>
      <w:r>
        <w:rPr>
          <w:spacing w:val="-7"/>
          <w:sz w:val="28"/>
        </w:rPr>
        <w:t> </w:t>
      </w:r>
      <w:r>
        <w:rPr>
          <w:sz w:val="28"/>
        </w:rPr>
        <w:t>relation</w:t>
      </w:r>
      <w:r>
        <w:rPr>
          <w:spacing w:val="-7"/>
          <w:sz w:val="28"/>
        </w:rPr>
        <w:t> </w:t>
      </w:r>
      <w:r>
        <w:rPr>
          <w:sz w:val="28"/>
        </w:rPr>
        <w:t>to</w:t>
      </w:r>
      <w:r>
        <w:rPr>
          <w:spacing w:val="-7"/>
          <w:sz w:val="28"/>
        </w:rPr>
        <w:t> </w:t>
      </w:r>
      <w:r>
        <w:rPr>
          <w:sz w:val="28"/>
        </w:rPr>
        <w:t>access</w:t>
      </w:r>
      <w:r>
        <w:rPr>
          <w:spacing w:val="-7"/>
          <w:sz w:val="28"/>
        </w:rPr>
        <w:t> </w:t>
      </w:r>
      <w:r>
        <w:rPr>
          <w:sz w:val="28"/>
        </w:rPr>
        <w:t>to</w:t>
      </w:r>
      <w:r>
        <w:rPr>
          <w:spacing w:val="-7"/>
          <w:sz w:val="28"/>
        </w:rPr>
        <w:t> </w:t>
      </w:r>
      <w:r>
        <w:rPr>
          <w:sz w:val="28"/>
        </w:rPr>
        <w:t>benefits</w:t>
      </w:r>
      <w:r>
        <w:rPr>
          <w:spacing w:val="-7"/>
          <w:sz w:val="28"/>
        </w:rPr>
        <w:t> </w:t>
      </w:r>
      <w:r>
        <w:rPr>
          <w:sz w:val="28"/>
        </w:rPr>
        <w:t>required</w:t>
      </w:r>
      <w:r>
        <w:rPr>
          <w:spacing w:val="-7"/>
          <w:sz w:val="28"/>
        </w:rPr>
        <w:t> </w:t>
      </w:r>
      <w:r>
        <w:rPr>
          <w:sz w:val="28"/>
        </w:rPr>
        <w:t>to have a “minimally dignified standard of living”,</w:t>
      </w:r>
      <w:r>
        <w:rPr>
          <w:sz w:val="28"/>
          <w:vertAlign w:val="superscript"/>
        </w:rPr>
        <w:t>577</w:t>
      </w:r>
      <w:r>
        <w:rPr>
          <w:sz w:val="28"/>
          <w:vertAlign w:val="baseline"/>
        </w:rPr>
        <w:t> in line with Article 1 of the EU Charter of Fundamental Rights.</w:t>
      </w:r>
      <w:r>
        <w:rPr>
          <w:sz w:val="28"/>
          <w:vertAlign w:val="superscript"/>
        </w:rPr>
        <w:t>578</w:t>
      </w:r>
    </w:p>
    <w:p>
      <w:pPr>
        <w:pStyle w:val="ListParagraph"/>
        <w:numPr>
          <w:ilvl w:val="1"/>
          <w:numId w:val="7"/>
        </w:numPr>
        <w:tabs>
          <w:tab w:pos="1853" w:val="left" w:leader="none"/>
        </w:tabs>
        <w:spacing w:line="218" w:lineRule="auto" w:before="305" w:after="0"/>
        <w:ind w:left="1853" w:right="1482" w:hanging="720"/>
        <w:jc w:val="left"/>
        <w:rPr>
          <w:sz w:val="28"/>
        </w:rPr>
      </w:pPr>
      <w:r>
        <w:rPr>
          <w:sz w:val="28"/>
        </w:rPr>
        <w:t>In November 2023, the NIHRC published a legal analysis of immigration or related rights and equality protections in NI after the withdrawal of the UK from the EU.</w:t>
      </w:r>
      <w:r>
        <w:rPr>
          <w:sz w:val="28"/>
          <w:vertAlign w:val="superscript"/>
        </w:rPr>
        <w:t>579</w:t>
      </w:r>
      <w:r>
        <w:rPr>
          <w:spacing w:val="-1"/>
          <w:sz w:val="28"/>
          <w:vertAlign w:val="baseline"/>
        </w:rPr>
        <w:t> </w:t>
      </w:r>
      <w:r>
        <w:rPr>
          <w:sz w:val="28"/>
          <w:vertAlign w:val="baseline"/>
        </w:rPr>
        <w:t>This</w:t>
      </w:r>
      <w:r>
        <w:rPr>
          <w:spacing w:val="-1"/>
          <w:sz w:val="28"/>
          <w:vertAlign w:val="baseline"/>
        </w:rPr>
        <w:t> </w:t>
      </w:r>
      <w:r>
        <w:rPr>
          <w:sz w:val="28"/>
          <w:vertAlign w:val="baseline"/>
        </w:rPr>
        <w:t>paper explored</w:t>
      </w:r>
      <w:r>
        <w:rPr>
          <w:spacing w:val="-1"/>
          <w:sz w:val="28"/>
          <w:vertAlign w:val="baseline"/>
        </w:rPr>
        <w:t> </w:t>
      </w:r>
      <w:r>
        <w:rPr>
          <w:sz w:val="28"/>
          <w:vertAlign w:val="baseline"/>
        </w:rPr>
        <w:t>what immigration/migration</w:t>
      </w:r>
      <w:r>
        <w:rPr>
          <w:spacing w:val="-1"/>
          <w:sz w:val="28"/>
          <w:vertAlign w:val="baseline"/>
        </w:rPr>
        <w:t> </w:t>
      </w:r>
      <w:r>
        <w:rPr>
          <w:sz w:val="28"/>
          <w:vertAlign w:val="baseline"/>
        </w:rPr>
        <w:t>or related rights,</w:t>
      </w:r>
      <w:r>
        <w:rPr>
          <w:spacing w:val="-7"/>
          <w:sz w:val="28"/>
          <w:vertAlign w:val="baseline"/>
        </w:rPr>
        <w:t> </w:t>
      </w:r>
      <w:r>
        <w:rPr>
          <w:sz w:val="28"/>
          <w:vertAlign w:val="baseline"/>
        </w:rPr>
        <w:t>if</w:t>
      </w:r>
      <w:r>
        <w:rPr>
          <w:spacing w:val="-8"/>
          <w:sz w:val="28"/>
          <w:vertAlign w:val="baseline"/>
        </w:rPr>
        <w:t> </w:t>
      </w:r>
      <w:r>
        <w:rPr>
          <w:sz w:val="28"/>
          <w:vertAlign w:val="baseline"/>
        </w:rPr>
        <w:t>any,</w:t>
      </w:r>
      <w:r>
        <w:rPr>
          <w:spacing w:val="-7"/>
          <w:sz w:val="28"/>
          <w:vertAlign w:val="baseline"/>
        </w:rPr>
        <w:t> </w:t>
      </w:r>
      <w:r>
        <w:rPr>
          <w:sz w:val="28"/>
          <w:vertAlign w:val="baseline"/>
        </w:rPr>
        <w:t>will</w:t>
      </w:r>
      <w:r>
        <w:rPr>
          <w:spacing w:val="-8"/>
          <w:sz w:val="28"/>
          <w:vertAlign w:val="baseline"/>
        </w:rPr>
        <w:t> </w:t>
      </w:r>
      <w:r>
        <w:rPr>
          <w:sz w:val="28"/>
          <w:vertAlign w:val="baseline"/>
        </w:rPr>
        <w:t>be</w:t>
      </w:r>
      <w:r>
        <w:rPr>
          <w:spacing w:val="-7"/>
          <w:sz w:val="28"/>
          <w:vertAlign w:val="baseline"/>
        </w:rPr>
        <w:t> </w:t>
      </w:r>
      <w:r>
        <w:rPr>
          <w:sz w:val="28"/>
          <w:vertAlign w:val="baseline"/>
        </w:rPr>
        <w:t>covered</w:t>
      </w:r>
      <w:r>
        <w:rPr>
          <w:spacing w:val="-8"/>
          <w:sz w:val="28"/>
          <w:vertAlign w:val="baseline"/>
        </w:rPr>
        <w:t> </w:t>
      </w:r>
      <w:r>
        <w:rPr>
          <w:sz w:val="28"/>
          <w:vertAlign w:val="baseline"/>
        </w:rPr>
        <w:t>by</w:t>
      </w:r>
      <w:r>
        <w:rPr>
          <w:spacing w:val="-7"/>
          <w:sz w:val="28"/>
          <w:vertAlign w:val="baseline"/>
        </w:rPr>
        <w:t> </w:t>
      </w:r>
      <w:r>
        <w:rPr>
          <w:sz w:val="28"/>
          <w:vertAlign w:val="baseline"/>
        </w:rPr>
        <w:t>potential</w:t>
      </w:r>
      <w:r>
        <w:rPr>
          <w:spacing w:val="-8"/>
          <w:sz w:val="28"/>
          <w:vertAlign w:val="baseline"/>
        </w:rPr>
        <w:t> </w:t>
      </w:r>
      <w:r>
        <w:rPr>
          <w:sz w:val="28"/>
          <w:vertAlign w:val="baseline"/>
        </w:rPr>
        <w:t>future</w:t>
      </w:r>
      <w:r>
        <w:rPr>
          <w:spacing w:val="-7"/>
          <w:sz w:val="28"/>
          <w:vertAlign w:val="baseline"/>
        </w:rPr>
        <w:t> </w:t>
      </w:r>
      <w:r>
        <w:rPr>
          <w:sz w:val="28"/>
          <w:vertAlign w:val="baseline"/>
        </w:rPr>
        <w:t>developments</w:t>
      </w:r>
      <w:r>
        <w:rPr>
          <w:spacing w:val="-8"/>
          <w:sz w:val="28"/>
          <w:vertAlign w:val="baseline"/>
        </w:rPr>
        <w:t> </w:t>
      </w:r>
      <w:r>
        <w:rPr>
          <w:sz w:val="28"/>
          <w:vertAlign w:val="baseline"/>
        </w:rPr>
        <w:t>of</w:t>
      </w:r>
      <w:r>
        <w:rPr>
          <w:spacing w:val="-8"/>
          <w:sz w:val="28"/>
          <w:vertAlign w:val="baseline"/>
        </w:rPr>
        <w:t> </w:t>
      </w:r>
      <w:r>
        <w:rPr>
          <w:sz w:val="28"/>
          <w:vertAlign w:val="baseline"/>
        </w:rPr>
        <w:t>the</w:t>
      </w:r>
      <w:r>
        <w:rPr>
          <w:spacing w:val="-7"/>
          <w:sz w:val="28"/>
          <w:vertAlign w:val="baseline"/>
        </w:rPr>
        <w:t> </w:t>
      </w:r>
      <w:r>
        <w:rPr>
          <w:sz w:val="28"/>
          <w:vertAlign w:val="baseline"/>
        </w:rPr>
        <w:t>six</w:t>
      </w:r>
      <w:r>
        <w:rPr>
          <w:spacing w:val="-8"/>
          <w:sz w:val="28"/>
          <w:vertAlign w:val="baseline"/>
        </w:rPr>
        <w:t> </w:t>
      </w:r>
      <w:r>
        <w:rPr>
          <w:sz w:val="28"/>
          <w:vertAlign w:val="baseline"/>
        </w:rPr>
        <w:t>EU equality directives listed in Annex 1.</w:t>
      </w:r>
    </w:p>
    <w:p>
      <w:pPr>
        <w:pStyle w:val="BodyText"/>
        <w:spacing w:before="2"/>
        <w:rPr>
          <w:sz w:val="18"/>
        </w:rPr>
      </w:pPr>
      <w:r>
        <w:rPr/>
        <mc:AlternateContent>
          <mc:Choice Requires="wps">
            <w:drawing>
              <wp:anchor distT="0" distB="0" distL="0" distR="0" allowOverlap="1" layoutInCell="1" locked="0" behindDoc="1" simplePos="0" relativeHeight="487687680">
                <wp:simplePos x="0" y="0"/>
                <wp:positionH relativeFrom="page">
                  <wp:posOffset>720001</wp:posOffset>
                </wp:positionH>
                <wp:positionV relativeFrom="paragraph">
                  <wp:posOffset>156196</wp:posOffset>
                </wp:positionV>
                <wp:extent cx="6120130" cy="360045"/>
                <wp:effectExtent l="0" t="0" r="0" b="0"/>
                <wp:wrapTopAndBottom/>
                <wp:docPr id="451" name="Textbox 451"/>
                <wp:cNvGraphicFramePr>
                  <a:graphicFrameLocks/>
                </wp:cNvGraphicFramePr>
                <a:graphic>
                  <a:graphicData uri="http://schemas.microsoft.com/office/word/2010/wordprocessingShape">
                    <wps:wsp>
                      <wps:cNvPr id="451" name="Textbox 451"/>
                      <wps:cNvSpPr txBox="1"/>
                      <wps:spPr>
                        <a:xfrm>
                          <a:off x="0" y="0"/>
                          <a:ext cx="6120130" cy="360045"/>
                        </a:xfrm>
                        <a:prstGeom prst="rect">
                          <a:avLst/>
                        </a:prstGeom>
                        <a:solidFill>
                          <a:srgbClr val="393B7F"/>
                        </a:solidFill>
                      </wps:spPr>
                      <wps:txbx>
                        <w:txbxContent>
                          <w:p>
                            <w:pPr>
                              <w:spacing w:before="103"/>
                              <w:ind w:left="772"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12.298914pt;width:481.9pt;height:28.35pt;mso-position-horizontal-relative:page;mso-position-vertical-relative:paragraph;z-index:-15628800;mso-wrap-distance-left:0;mso-wrap-distance-right:0" type="#_x0000_t202" id="docshape400" filled="true" fillcolor="#393b7f" stroked="false">
                <v:textbox inset="0,0,0,0">
                  <w:txbxContent>
                    <w:p>
                      <w:pPr>
                        <w:spacing w:before="103"/>
                        <w:ind w:left="772"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18" w:lineRule="auto" w:before="300" w:after="58"/>
        <w:ind w:left="1853" w:right="1161" w:hanging="720"/>
        <w:jc w:val="left"/>
        <w:rPr>
          <w:b/>
          <w:color w:val="67287F"/>
          <w:sz w:val="28"/>
        </w:rPr>
      </w:pPr>
      <w:r>
        <w:rPr>
          <w:b/>
          <w:color w:val="67287F"/>
          <w:sz w:val="28"/>
        </w:rPr>
        <w:t>The Commissions continue to recommend that the NI Executive and UK Government</w:t>
      </w:r>
      <w:r>
        <w:rPr>
          <w:b/>
          <w:color w:val="67287F"/>
          <w:spacing w:val="-6"/>
          <w:sz w:val="28"/>
        </w:rPr>
        <w:t> </w:t>
      </w:r>
      <w:r>
        <w:rPr>
          <w:b/>
          <w:color w:val="67287F"/>
          <w:sz w:val="28"/>
        </w:rPr>
        <w:t>review</w:t>
      </w:r>
      <w:r>
        <w:rPr>
          <w:b/>
          <w:color w:val="67287F"/>
          <w:spacing w:val="-7"/>
          <w:sz w:val="28"/>
        </w:rPr>
        <w:t> </w:t>
      </w:r>
      <w:r>
        <w:rPr>
          <w:b/>
          <w:color w:val="67287F"/>
          <w:sz w:val="28"/>
        </w:rPr>
        <w:t>recent</w:t>
      </w:r>
      <w:r>
        <w:rPr>
          <w:b/>
          <w:color w:val="67287F"/>
          <w:spacing w:val="-6"/>
          <w:sz w:val="28"/>
        </w:rPr>
        <w:t> </w:t>
      </w:r>
      <w:r>
        <w:rPr>
          <w:b/>
          <w:color w:val="67287F"/>
          <w:sz w:val="28"/>
        </w:rPr>
        <w:t>CJEU</w:t>
      </w:r>
      <w:r>
        <w:rPr>
          <w:b/>
          <w:color w:val="67287F"/>
          <w:spacing w:val="-6"/>
          <w:sz w:val="28"/>
        </w:rPr>
        <w:t> </w:t>
      </w:r>
      <w:r>
        <w:rPr>
          <w:b/>
          <w:color w:val="67287F"/>
          <w:sz w:val="28"/>
        </w:rPr>
        <w:t>case</w:t>
      </w:r>
      <w:r>
        <w:rPr>
          <w:b/>
          <w:color w:val="67287F"/>
          <w:spacing w:val="-7"/>
          <w:sz w:val="28"/>
        </w:rPr>
        <w:t> </w:t>
      </w:r>
      <w:r>
        <w:rPr>
          <w:b/>
          <w:color w:val="67287F"/>
          <w:sz w:val="28"/>
        </w:rPr>
        <w:t>law</w:t>
      </w:r>
      <w:r>
        <w:rPr>
          <w:b/>
          <w:color w:val="67287F"/>
          <w:spacing w:val="-7"/>
          <w:sz w:val="28"/>
        </w:rPr>
        <w:t> </w:t>
      </w:r>
      <w:r>
        <w:rPr>
          <w:b/>
          <w:color w:val="67287F"/>
          <w:sz w:val="28"/>
        </w:rPr>
        <w:t>on</w:t>
      </w:r>
      <w:r>
        <w:rPr>
          <w:b/>
          <w:color w:val="67287F"/>
          <w:spacing w:val="-6"/>
          <w:sz w:val="28"/>
        </w:rPr>
        <w:t> </w:t>
      </w:r>
      <w:r>
        <w:rPr>
          <w:b/>
          <w:color w:val="67287F"/>
          <w:sz w:val="28"/>
        </w:rPr>
        <w:t>the</w:t>
      </w:r>
      <w:r>
        <w:rPr>
          <w:b/>
          <w:color w:val="67287F"/>
          <w:spacing w:val="-7"/>
          <w:sz w:val="28"/>
        </w:rPr>
        <w:t> </w:t>
      </w:r>
      <w:r>
        <w:rPr>
          <w:b/>
          <w:color w:val="67287F"/>
          <w:sz w:val="28"/>
        </w:rPr>
        <w:t>EU</w:t>
      </w:r>
      <w:r>
        <w:rPr>
          <w:b/>
          <w:color w:val="67287F"/>
          <w:spacing w:val="-6"/>
          <w:sz w:val="28"/>
        </w:rPr>
        <w:t> </w:t>
      </w:r>
      <w:r>
        <w:rPr>
          <w:b/>
          <w:color w:val="67287F"/>
          <w:sz w:val="28"/>
        </w:rPr>
        <w:t>Citizens’</w:t>
      </w:r>
      <w:r>
        <w:rPr>
          <w:b/>
          <w:color w:val="67287F"/>
          <w:spacing w:val="-6"/>
          <w:sz w:val="28"/>
        </w:rPr>
        <w:t> </w:t>
      </w:r>
      <w:r>
        <w:rPr>
          <w:b/>
          <w:color w:val="67287F"/>
          <w:sz w:val="28"/>
        </w:rPr>
        <w:t>Rights</w:t>
      </w:r>
      <w:r>
        <w:rPr>
          <w:b/>
          <w:color w:val="67287F"/>
          <w:spacing w:val="-6"/>
          <w:sz w:val="28"/>
        </w:rPr>
        <w:t> </w:t>
      </w:r>
      <w:r>
        <w:rPr>
          <w:b/>
          <w:color w:val="67287F"/>
          <w:sz w:val="28"/>
        </w:rPr>
        <w:t>Directive and its enduring relevance in NI and consider what legal and policy changes might be made as required by Windsor Framework Article 2 and as a matter of best practice.</w:t>
      </w:r>
    </w:p>
    <w:p>
      <w:pPr>
        <w:pStyle w:val="BodyText"/>
        <w:spacing w:line="20" w:lineRule="exact"/>
        <w:ind w:left="1133"/>
        <w:rPr>
          <w:sz w:val="2"/>
        </w:rPr>
      </w:pPr>
      <w:r>
        <w:rPr>
          <w:sz w:val="2"/>
        </w:rPr>
        <mc:AlternateContent>
          <mc:Choice Requires="wps">
            <w:drawing>
              <wp:inline distT="0" distB="0" distL="0" distR="0">
                <wp:extent cx="6120130" cy="12700"/>
                <wp:effectExtent l="9525" t="0" r="4445" b="6350"/>
                <wp:docPr id="452" name="Group 452"/>
                <wp:cNvGraphicFramePr>
                  <a:graphicFrameLocks/>
                </wp:cNvGraphicFramePr>
                <a:graphic>
                  <a:graphicData uri="http://schemas.microsoft.com/office/word/2010/wordprocessingGroup">
                    <wpg:wgp>
                      <wpg:cNvPr id="452" name="Group 452"/>
                      <wpg:cNvGrpSpPr/>
                      <wpg:grpSpPr>
                        <a:xfrm>
                          <a:off x="0" y="0"/>
                          <a:ext cx="6120130" cy="12700"/>
                          <a:chExt cx="6120130" cy="12700"/>
                        </a:xfrm>
                      </wpg:grpSpPr>
                      <wps:wsp>
                        <wps:cNvPr id="453" name="Graphic 453"/>
                        <wps:cNvSpPr/>
                        <wps:spPr>
                          <a:xfrm>
                            <a:off x="0" y="635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wpg:wgp>
                  </a:graphicData>
                </a:graphic>
              </wp:inline>
            </w:drawing>
          </mc:Choice>
          <mc:Fallback>
            <w:pict>
              <v:group style="width:481.9pt;height:1pt;mso-position-horizontal-relative:char;mso-position-vertical-relative:line" id="docshapegroup401" coordorigin="0,0" coordsize="9638,20">
                <v:line style="position:absolute" from="9638,10" to="0,10" stroked="true" strokeweight="1pt" strokecolor="#393b80">
                  <v:stroke dashstyle="solid"/>
                </v:line>
              </v:group>
            </w:pict>
          </mc:Fallback>
        </mc:AlternateContent>
      </w:r>
      <w:r>
        <w:rPr>
          <w:sz w:val="2"/>
        </w:rPr>
      </w:r>
    </w:p>
    <w:p>
      <w:pPr>
        <w:pStyle w:val="ListParagraph"/>
        <w:numPr>
          <w:ilvl w:val="0"/>
          <w:numId w:val="11"/>
        </w:numPr>
        <w:tabs>
          <w:tab w:pos="1853" w:val="left" w:leader="none"/>
        </w:tabs>
        <w:spacing w:line="235" w:lineRule="auto" w:before="107" w:after="0"/>
        <w:ind w:left="1853" w:right="1408" w:hanging="720"/>
        <w:jc w:val="both"/>
        <w:rPr>
          <w:sz w:val="18"/>
        </w:rPr>
      </w:pPr>
      <w:r>
        <w:rPr>
          <w:sz w:val="18"/>
        </w:rPr>
        <w:t>Sarah</w:t>
      </w:r>
      <w:r>
        <w:rPr>
          <w:spacing w:val="-7"/>
          <w:sz w:val="18"/>
        </w:rPr>
        <w:t> </w:t>
      </w:r>
      <w:r>
        <w:rPr>
          <w:sz w:val="18"/>
        </w:rPr>
        <w:t>Craig,</w:t>
      </w:r>
      <w:r>
        <w:rPr>
          <w:spacing w:val="-6"/>
          <w:sz w:val="18"/>
        </w:rPr>
        <w:t> </w:t>
      </w:r>
      <w:r>
        <w:rPr>
          <w:sz w:val="18"/>
        </w:rPr>
        <w:t>Anurag</w:t>
      </w:r>
      <w:r>
        <w:rPr>
          <w:spacing w:val="-6"/>
          <w:sz w:val="18"/>
        </w:rPr>
        <w:t> </w:t>
      </w:r>
      <w:r>
        <w:rPr>
          <w:sz w:val="18"/>
        </w:rPr>
        <w:t>Deb,</w:t>
      </w:r>
      <w:r>
        <w:rPr>
          <w:spacing w:val="-6"/>
          <w:sz w:val="18"/>
        </w:rPr>
        <w:t> </w:t>
      </w:r>
      <w:r>
        <w:rPr>
          <w:sz w:val="18"/>
        </w:rPr>
        <w:t>Eleni</w:t>
      </w:r>
      <w:r>
        <w:rPr>
          <w:spacing w:val="-7"/>
          <w:sz w:val="18"/>
        </w:rPr>
        <w:t> </w:t>
      </w:r>
      <w:r>
        <w:rPr>
          <w:sz w:val="18"/>
        </w:rPr>
        <w:t>Frantziou,</w:t>
      </w:r>
      <w:r>
        <w:rPr>
          <w:spacing w:val="-6"/>
          <w:sz w:val="18"/>
        </w:rPr>
        <w:t> </w:t>
      </w:r>
      <w:r>
        <w:rPr>
          <w:sz w:val="18"/>
        </w:rPr>
        <w:t>Alexander</w:t>
      </w:r>
      <w:r>
        <w:rPr>
          <w:spacing w:val="-6"/>
          <w:sz w:val="18"/>
        </w:rPr>
        <w:t> </w:t>
      </w:r>
      <w:r>
        <w:rPr>
          <w:sz w:val="18"/>
        </w:rPr>
        <w:t>Horne,</w:t>
      </w:r>
      <w:r>
        <w:rPr>
          <w:spacing w:val="-6"/>
          <w:sz w:val="18"/>
        </w:rPr>
        <w:t> </w:t>
      </w:r>
      <w:r>
        <w:rPr>
          <w:sz w:val="18"/>
        </w:rPr>
        <w:t>Colin</w:t>
      </w:r>
      <w:r>
        <w:rPr>
          <w:spacing w:val="-7"/>
          <w:sz w:val="18"/>
        </w:rPr>
        <w:t> </w:t>
      </w:r>
      <w:r>
        <w:rPr>
          <w:sz w:val="18"/>
        </w:rPr>
        <w:t>Murray,</w:t>
      </w:r>
      <w:r>
        <w:rPr>
          <w:spacing w:val="-6"/>
          <w:sz w:val="18"/>
        </w:rPr>
        <w:t> </w:t>
      </w:r>
      <w:r>
        <w:rPr>
          <w:sz w:val="18"/>
        </w:rPr>
        <w:t>Clare</w:t>
      </w:r>
      <w:r>
        <w:rPr>
          <w:spacing w:val="-6"/>
          <w:sz w:val="18"/>
        </w:rPr>
        <w:t> </w:t>
      </w:r>
      <w:r>
        <w:rPr>
          <w:sz w:val="18"/>
        </w:rPr>
        <w:t>Rice</w:t>
      </w:r>
      <w:r>
        <w:rPr>
          <w:spacing w:val="-6"/>
          <w:sz w:val="18"/>
        </w:rPr>
        <w:t> </w:t>
      </w:r>
      <w:r>
        <w:rPr>
          <w:sz w:val="18"/>
        </w:rPr>
        <w:t>and</w:t>
      </w:r>
      <w:r>
        <w:rPr>
          <w:spacing w:val="-7"/>
          <w:sz w:val="18"/>
        </w:rPr>
        <w:t> </w:t>
      </w:r>
      <w:r>
        <w:rPr>
          <w:sz w:val="18"/>
        </w:rPr>
        <w:t>Jane</w:t>
      </w:r>
      <w:r>
        <w:rPr>
          <w:spacing w:val="-6"/>
          <w:sz w:val="18"/>
        </w:rPr>
        <w:t> </w:t>
      </w:r>
      <w:r>
        <w:rPr>
          <w:sz w:val="18"/>
        </w:rPr>
        <w:t>Rooney,</w:t>
      </w:r>
      <w:r>
        <w:rPr>
          <w:spacing w:val="-6"/>
          <w:sz w:val="18"/>
        </w:rPr>
        <w:t> </w:t>
      </w:r>
      <w:r>
        <w:rPr>
          <w:sz w:val="18"/>
        </w:rPr>
        <w:t>‘European</w:t>
      </w:r>
      <w:r>
        <w:rPr>
          <w:spacing w:val="-7"/>
          <w:sz w:val="18"/>
        </w:rPr>
        <w:t> </w:t>
      </w:r>
      <w:r>
        <w:rPr>
          <w:sz w:val="18"/>
        </w:rPr>
        <w:t>Union developments</w:t>
      </w:r>
      <w:r>
        <w:rPr>
          <w:spacing w:val="-1"/>
          <w:sz w:val="18"/>
        </w:rPr>
        <w:t> </w:t>
      </w:r>
      <w:r>
        <w:rPr>
          <w:sz w:val="18"/>
        </w:rPr>
        <w:t>in</w:t>
      </w:r>
      <w:r>
        <w:rPr>
          <w:spacing w:val="-1"/>
          <w:sz w:val="18"/>
        </w:rPr>
        <w:t> </w:t>
      </w:r>
      <w:r>
        <w:rPr>
          <w:sz w:val="18"/>
        </w:rPr>
        <w:t>Equality and</w:t>
      </w:r>
      <w:r>
        <w:rPr>
          <w:spacing w:val="-1"/>
          <w:sz w:val="18"/>
        </w:rPr>
        <w:t> </w:t>
      </w:r>
      <w:r>
        <w:rPr>
          <w:sz w:val="18"/>
        </w:rPr>
        <w:t>Human</w:t>
      </w:r>
      <w:r>
        <w:rPr>
          <w:spacing w:val="-1"/>
          <w:sz w:val="18"/>
        </w:rPr>
        <w:t> </w:t>
      </w:r>
      <w:r>
        <w:rPr>
          <w:sz w:val="18"/>
        </w:rPr>
        <w:t>Rights: The Impact of</w:t>
      </w:r>
      <w:r>
        <w:rPr>
          <w:spacing w:val="-1"/>
          <w:sz w:val="18"/>
        </w:rPr>
        <w:t> </w:t>
      </w:r>
      <w:r>
        <w:rPr>
          <w:sz w:val="18"/>
        </w:rPr>
        <w:t>Brexit on</w:t>
      </w:r>
      <w:r>
        <w:rPr>
          <w:spacing w:val="-1"/>
          <w:sz w:val="18"/>
        </w:rPr>
        <w:t> </w:t>
      </w:r>
      <w:r>
        <w:rPr>
          <w:sz w:val="18"/>
        </w:rPr>
        <w:t>the divergence of</w:t>
      </w:r>
      <w:r>
        <w:rPr>
          <w:spacing w:val="-1"/>
          <w:sz w:val="18"/>
        </w:rPr>
        <w:t> </w:t>
      </w:r>
      <w:r>
        <w:rPr>
          <w:sz w:val="18"/>
        </w:rPr>
        <w:t>rights</w:t>
      </w:r>
      <w:r>
        <w:rPr>
          <w:spacing w:val="-1"/>
          <w:sz w:val="18"/>
        </w:rPr>
        <w:t> </w:t>
      </w:r>
      <w:r>
        <w:rPr>
          <w:sz w:val="18"/>
        </w:rPr>
        <w:t>and</w:t>
      </w:r>
      <w:r>
        <w:rPr>
          <w:spacing w:val="-1"/>
          <w:sz w:val="18"/>
        </w:rPr>
        <w:t> </w:t>
      </w:r>
      <w:r>
        <w:rPr>
          <w:sz w:val="18"/>
        </w:rPr>
        <w:t>best practice on</w:t>
      </w:r>
      <w:r>
        <w:rPr>
          <w:spacing w:val="-1"/>
          <w:sz w:val="18"/>
        </w:rPr>
        <w:t> </w:t>
      </w:r>
      <w:r>
        <w:rPr>
          <w:sz w:val="18"/>
        </w:rPr>
        <w:t>the island of Ireland’ (ECNI, NIHRC, IHREC, 2022).</w:t>
      </w:r>
    </w:p>
    <w:p>
      <w:pPr>
        <w:pStyle w:val="ListParagraph"/>
        <w:numPr>
          <w:ilvl w:val="0"/>
          <w:numId w:val="11"/>
        </w:numPr>
        <w:tabs>
          <w:tab w:pos="1853" w:val="left" w:leader="none"/>
        </w:tabs>
        <w:spacing w:line="235" w:lineRule="auto" w:before="2" w:after="0"/>
        <w:ind w:left="1853" w:right="1166" w:hanging="720"/>
        <w:jc w:val="both"/>
        <w:rPr>
          <w:sz w:val="18"/>
        </w:rPr>
      </w:pPr>
      <w:r>
        <w:rPr>
          <w:sz w:val="18"/>
        </w:rPr>
        <w:t>Directive</w:t>
      </w:r>
      <w:r>
        <w:rPr>
          <w:spacing w:val="-4"/>
          <w:sz w:val="18"/>
        </w:rPr>
        <w:t> </w:t>
      </w:r>
      <w:r>
        <w:rPr>
          <w:sz w:val="18"/>
        </w:rPr>
        <w:t>2004/38/EC,</w:t>
      </w:r>
      <w:r>
        <w:rPr>
          <w:spacing w:val="-4"/>
          <w:sz w:val="18"/>
        </w:rPr>
        <w:t> </w:t>
      </w:r>
      <w:r>
        <w:rPr>
          <w:sz w:val="18"/>
        </w:rPr>
        <w:t>‘Directive</w:t>
      </w:r>
      <w:r>
        <w:rPr>
          <w:spacing w:val="-4"/>
          <w:sz w:val="18"/>
        </w:rPr>
        <w:t> </w:t>
      </w:r>
      <w:r>
        <w:rPr>
          <w:sz w:val="18"/>
        </w:rPr>
        <w:t>of</w:t>
      </w:r>
      <w:r>
        <w:rPr>
          <w:spacing w:val="-4"/>
          <w:sz w:val="18"/>
        </w:rPr>
        <w:t> </w:t>
      </w:r>
      <w:r>
        <w:rPr>
          <w:sz w:val="18"/>
        </w:rPr>
        <w:t>the</w:t>
      </w:r>
      <w:r>
        <w:rPr>
          <w:spacing w:val="-4"/>
          <w:sz w:val="18"/>
        </w:rPr>
        <w:t> </w:t>
      </w:r>
      <w:r>
        <w:rPr>
          <w:sz w:val="18"/>
        </w:rPr>
        <w:t>EU</w:t>
      </w:r>
      <w:r>
        <w:rPr>
          <w:spacing w:val="-4"/>
          <w:sz w:val="18"/>
        </w:rPr>
        <w:t> </w:t>
      </w:r>
      <w:r>
        <w:rPr>
          <w:sz w:val="18"/>
        </w:rPr>
        <w:t>Parliament</w:t>
      </w:r>
      <w:r>
        <w:rPr>
          <w:spacing w:val="-3"/>
          <w:sz w:val="18"/>
        </w:rPr>
        <w:t> </w:t>
      </w:r>
      <w:r>
        <w:rPr>
          <w:sz w:val="18"/>
        </w:rPr>
        <w:t>and</w:t>
      </w:r>
      <w:r>
        <w:rPr>
          <w:spacing w:val="-4"/>
          <w:sz w:val="18"/>
        </w:rPr>
        <w:t> </w:t>
      </w:r>
      <w:r>
        <w:rPr>
          <w:sz w:val="18"/>
        </w:rPr>
        <w:t>the</w:t>
      </w:r>
      <w:r>
        <w:rPr>
          <w:spacing w:val="-4"/>
          <w:sz w:val="18"/>
        </w:rPr>
        <w:t> </w:t>
      </w:r>
      <w:r>
        <w:rPr>
          <w:sz w:val="18"/>
        </w:rPr>
        <w:t>Council</w:t>
      </w:r>
      <w:r>
        <w:rPr>
          <w:spacing w:val="-4"/>
          <w:sz w:val="18"/>
        </w:rPr>
        <w:t> </w:t>
      </w:r>
      <w:r>
        <w:rPr>
          <w:sz w:val="18"/>
        </w:rPr>
        <w:t>on</w:t>
      </w:r>
      <w:r>
        <w:rPr>
          <w:spacing w:val="-4"/>
          <w:sz w:val="18"/>
        </w:rPr>
        <w:t> </w:t>
      </w:r>
      <w:r>
        <w:rPr>
          <w:sz w:val="18"/>
        </w:rPr>
        <w:t>the</w:t>
      </w:r>
      <w:r>
        <w:rPr>
          <w:spacing w:val="-4"/>
          <w:sz w:val="18"/>
        </w:rPr>
        <w:t> </w:t>
      </w:r>
      <w:r>
        <w:rPr>
          <w:sz w:val="18"/>
        </w:rPr>
        <w:t>right</w:t>
      </w:r>
      <w:r>
        <w:rPr>
          <w:spacing w:val="-4"/>
          <w:sz w:val="18"/>
        </w:rPr>
        <w:t> </w:t>
      </w:r>
      <w:r>
        <w:rPr>
          <w:sz w:val="18"/>
        </w:rPr>
        <w:t>of</w:t>
      </w:r>
      <w:r>
        <w:rPr>
          <w:spacing w:val="-4"/>
          <w:sz w:val="18"/>
        </w:rPr>
        <w:t> </w:t>
      </w:r>
      <w:r>
        <w:rPr>
          <w:sz w:val="18"/>
        </w:rPr>
        <w:t>citizens</w:t>
      </w:r>
      <w:r>
        <w:rPr>
          <w:spacing w:val="-4"/>
          <w:sz w:val="18"/>
        </w:rPr>
        <w:t> </w:t>
      </w:r>
      <w:r>
        <w:rPr>
          <w:sz w:val="18"/>
        </w:rPr>
        <w:t>of</w:t>
      </w:r>
      <w:r>
        <w:rPr>
          <w:spacing w:val="-4"/>
          <w:sz w:val="18"/>
        </w:rPr>
        <w:t> </w:t>
      </w:r>
      <w:r>
        <w:rPr>
          <w:sz w:val="18"/>
        </w:rPr>
        <w:t>the</w:t>
      </w:r>
      <w:r>
        <w:rPr>
          <w:spacing w:val="-4"/>
          <w:sz w:val="18"/>
        </w:rPr>
        <w:t> </w:t>
      </w:r>
      <w:r>
        <w:rPr>
          <w:sz w:val="18"/>
        </w:rPr>
        <w:t>Union</w:t>
      </w:r>
      <w:r>
        <w:rPr>
          <w:spacing w:val="-4"/>
          <w:sz w:val="18"/>
        </w:rPr>
        <w:t> </w:t>
      </w:r>
      <w:r>
        <w:rPr>
          <w:sz w:val="18"/>
        </w:rPr>
        <w:t>and</w:t>
      </w:r>
      <w:r>
        <w:rPr>
          <w:spacing w:val="-4"/>
          <w:sz w:val="18"/>
        </w:rPr>
        <w:t> </w:t>
      </w:r>
      <w:r>
        <w:rPr>
          <w:sz w:val="18"/>
        </w:rPr>
        <w:t>their</w:t>
      </w:r>
      <w:r>
        <w:rPr>
          <w:spacing w:val="-4"/>
          <w:sz w:val="18"/>
        </w:rPr>
        <w:t> </w:t>
      </w:r>
      <w:r>
        <w:rPr>
          <w:sz w:val="18"/>
        </w:rPr>
        <w:t>family members to move and reside freely within the territory of the Member States,’ 29 April 2004.</w:t>
      </w:r>
    </w:p>
    <w:p>
      <w:pPr>
        <w:pStyle w:val="ListParagraph"/>
        <w:numPr>
          <w:ilvl w:val="0"/>
          <w:numId w:val="11"/>
        </w:numPr>
        <w:tabs>
          <w:tab w:pos="1853" w:val="left" w:leader="none"/>
        </w:tabs>
        <w:spacing w:line="235" w:lineRule="auto" w:before="2" w:after="0"/>
        <w:ind w:left="1853" w:right="1408" w:hanging="720"/>
        <w:jc w:val="both"/>
        <w:rPr>
          <w:sz w:val="18"/>
        </w:rPr>
      </w:pPr>
      <w:r>
        <w:rPr>
          <w:sz w:val="18"/>
        </w:rPr>
        <w:t>Sarah</w:t>
      </w:r>
      <w:r>
        <w:rPr>
          <w:spacing w:val="-7"/>
          <w:sz w:val="18"/>
        </w:rPr>
        <w:t> </w:t>
      </w:r>
      <w:r>
        <w:rPr>
          <w:sz w:val="18"/>
        </w:rPr>
        <w:t>Craig,</w:t>
      </w:r>
      <w:r>
        <w:rPr>
          <w:spacing w:val="-6"/>
          <w:sz w:val="18"/>
        </w:rPr>
        <w:t> </w:t>
      </w:r>
      <w:r>
        <w:rPr>
          <w:sz w:val="18"/>
        </w:rPr>
        <w:t>Anurag</w:t>
      </w:r>
      <w:r>
        <w:rPr>
          <w:spacing w:val="-6"/>
          <w:sz w:val="18"/>
        </w:rPr>
        <w:t> </w:t>
      </w:r>
      <w:r>
        <w:rPr>
          <w:sz w:val="18"/>
        </w:rPr>
        <w:t>Deb,</w:t>
      </w:r>
      <w:r>
        <w:rPr>
          <w:spacing w:val="-6"/>
          <w:sz w:val="18"/>
        </w:rPr>
        <w:t> </w:t>
      </w:r>
      <w:r>
        <w:rPr>
          <w:sz w:val="18"/>
        </w:rPr>
        <w:t>Eleni</w:t>
      </w:r>
      <w:r>
        <w:rPr>
          <w:spacing w:val="-7"/>
          <w:sz w:val="18"/>
        </w:rPr>
        <w:t> </w:t>
      </w:r>
      <w:r>
        <w:rPr>
          <w:sz w:val="18"/>
        </w:rPr>
        <w:t>Frantziou,</w:t>
      </w:r>
      <w:r>
        <w:rPr>
          <w:spacing w:val="-6"/>
          <w:sz w:val="18"/>
        </w:rPr>
        <w:t> </w:t>
      </w:r>
      <w:r>
        <w:rPr>
          <w:sz w:val="18"/>
        </w:rPr>
        <w:t>Alexander</w:t>
      </w:r>
      <w:r>
        <w:rPr>
          <w:spacing w:val="-6"/>
          <w:sz w:val="18"/>
        </w:rPr>
        <w:t> </w:t>
      </w:r>
      <w:r>
        <w:rPr>
          <w:sz w:val="18"/>
        </w:rPr>
        <w:t>Horne,</w:t>
      </w:r>
      <w:r>
        <w:rPr>
          <w:spacing w:val="-6"/>
          <w:sz w:val="18"/>
        </w:rPr>
        <w:t> </w:t>
      </w:r>
      <w:r>
        <w:rPr>
          <w:sz w:val="18"/>
        </w:rPr>
        <w:t>Colin</w:t>
      </w:r>
      <w:r>
        <w:rPr>
          <w:spacing w:val="-7"/>
          <w:sz w:val="18"/>
        </w:rPr>
        <w:t> </w:t>
      </w:r>
      <w:r>
        <w:rPr>
          <w:sz w:val="18"/>
        </w:rPr>
        <w:t>Murray,</w:t>
      </w:r>
      <w:r>
        <w:rPr>
          <w:spacing w:val="-6"/>
          <w:sz w:val="18"/>
        </w:rPr>
        <w:t> </w:t>
      </w:r>
      <w:r>
        <w:rPr>
          <w:sz w:val="18"/>
        </w:rPr>
        <w:t>Clare</w:t>
      </w:r>
      <w:r>
        <w:rPr>
          <w:spacing w:val="-6"/>
          <w:sz w:val="18"/>
        </w:rPr>
        <w:t> </w:t>
      </w:r>
      <w:r>
        <w:rPr>
          <w:sz w:val="18"/>
        </w:rPr>
        <w:t>Rice</w:t>
      </w:r>
      <w:r>
        <w:rPr>
          <w:spacing w:val="-6"/>
          <w:sz w:val="18"/>
        </w:rPr>
        <w:t> </w:t>
      </w:r>
      <w:r>
        <w:rPr>
          <w:sz w:val="18"/>
        </w:rPr>
        <w:t>and</w:t>
      </w:r>
      <w:r>
        <w:rPr>
          <w:spacing w:val="-7"/>
          <w:sz w:val="18"/>
        </w:rPr>
        <w:t> </w:t>
      </w:r>
      <w:r>
        <w:rPr>
          <w:sz w:val="18"/>
        </w:rPr>
        <w:t>Jane</w:t>
      </w:r>
      <w:r>
        <w:rPr>
          <w:spacing w:val="-6"/>
          <w:sz w:val="18"/>
        </w:rPr>
        <w:t> </w:t>
      </w:r>
      <w:r>
        <w:rPr>
          <w:sz w:val="18"/>
        </w:rPr>
        <w:t>Rooney,</w:t>
      </w:r>
      <w:r>
        <w:rPr>
          <w:spacing w:val="-6"/>
          <w:sz w:val="18"/>
        </w:rPr>
        <w:t> </w:t>
      </w:r>
      <w:r>
        <w:rPr>
          <w:sz w:val="18"/>
        </w:rPr>
        <w:t>‘European</w:t>
      </w:r>
      <w:r>
        <w:rPr>
          <w:spacing w:val="-7"/>
          <w:sz w:val="18"/>
        </w:rPr>
        <w:t> </w:t>
      </w:r>
      <w:r>
        <w:rPr>
          <w:sz w:val="18"/>
        </w:rPr>
        <w:t>Union developments</w:t>
      </w:r>
      <w:r>
        <w:rPr>
          <w:spacing w:val="-1"/>
          <w:sz w:val="18"/>
        </w:rPr>
        <w:t> </w:t>
      </w:r>
      <w:r>
        <w:rPr>
          <w:sz w:val="18"/>
        </w:rPr>
        <w:t>in</w:t>
      </w:r>
      <w:r>
        <w:rPr>
          <w:spacing w:val="-1"/>
          <w:sz w:val="18"/>
        </w:rPr>
        <w:t> </w:t>
      </w:r>
      <w:r>
        <w:rPr>
          <w:sz w:val="18"/>
        </w:rPr>
        <w:t>Equality and</w:t>
      </w:r>
      <w:r>
        <w:rPr>
          <w:spacing w:val="-1"/>
          <w:sz w:val="18"/>
        </w:rPr>
        <w:t> </w:t>
      </w:r>
      <w:r>
        <w:rPr>
          <w:sz w:val="18"/>
        </w:rPr>
        <w:t>Human</w:t>
      </w:r>
      <w:r>
        <w:rPr>
          <w:spacing w:val="-1"/>
          <w:sz w:val="18"/>
        </w:rPr>
        <w:t> </w:t>
      </w:r>
      <w:r>
        <w:rPr>
          <w:sz w:val="18"/>
        </w:rPr>
        <w:t>Rights: The Impact of</w:t>
      </w:r>
      <w:r>
        <w:rPr>
          <w:spacing w:val="-1"/>
          <w:sz w:val="18"/>
        </w:rPr>
        <w:t> </w:t>
      </w:r>
      <w:r>
        <w:rPr>
          <w:sz w:val="18"/>
        </w:rPr>
        <w:t>Brexit on</w:t>
      </w:r>
      <w:r>
        <w:rPr>
          <w:spacing w:val="-1"/>
          <w:sz w:val="18"/>
        </w:rPr>
        <w:t> </w:t>
      </w:r>
      <w:r>
        <w:rPr>
          <w:sz w:val="18"/>
        </w:rPr>
        <w:t>the divergence of</w:t>
      </w:r>
      <w:r>
        <w:rPr>
          <w:spacing w:val="-1"/>
          <w:sz w:val="18"/>
        </w:rPr>
        <w:t> </w:t>
      </w:r>
      <w:r>
        <w:rPr>
          <w:sz w:val="18"/>
        </w:rPr>
        <w:t>rights</w:t>
      </w:r>
      <w:r>
        <w:rPr>
          <w:spacing w:val="-1"/>
          <w:sz w:val="18"/>
        </w:rPr>
        <w:t> </w:t>
      </w:r>
      <w:r>
        <w:rPr>
          <w:sz w:val="18"/>
        </w:rPr>
        <w:t>and</w:t>
      </w:r>
      <w:r>
        <w:rPr>
          <w:spacing w:val="-1"/>
          <w:sz w:val="18"/>
        </w:rPr>
        <w:t> </w:t>
      </w:r>
      <w:r>
        <w:rPr>
          <w:sz w:val="18"/>
        </w:rPr>
        <w:t>best practice on</w:t>
      </w:r>
      <w:r>
        <w:rPr>
          <w:spacing w:val="-1"/>
          <w:sz w:val="18"/>
        </w:rPr>
        <w:t> </w:t>
      </w:r>
      <w:r>
        <w:rPr>
          <w:sz w:val="18"/>
        </w:rPr>
        <w:t>the island of Ireland’ (ECNI, NIHRC, IHREC, 2022), at 85.</w:t>
      </w:r>
    </w:p>
    <w:p>
      <w:pPr>
        <w:pStyle w:val="ListParagraph"/>
        <w:numPr>
          <w:ilvl w:val="0"/>
          <w:numId w:val="11"/>
        </w:numPr>
        <w:tabs>
          <w:tab w:pos="1853" w:val="left" w:leader="none"/>
        </w:tabs>
        <w:spacing w:line="216" w:lineRule="exact" w:before="0" w:after="0"/>
        <w:ind w:left="1853" w:right="0" w:hanging="720"/>
        <w:jc w:val="both"/>
        <w:rPr>
          <w:i/>
          <w:sz w:val="18"/>
        </w:rPr>
      </w:pPr>
      <w:r>
        <w:rPr>
          <w:sz w:val="18"/>
        </w:rPr>
        <w:t>For</w:t>
      </w:r>
      <w:r>
        <w:rPr>
          <w:spacing w:val="-3"/>
          <w:sz w:val="18"/>
        </w:rPr>
        <w:t> </w:t>
      </w:r>
      <w:r>
        <w:rPr>
          <w:sz w:val="18"/>
        </w:rPr>
        <w:t>example,</w:t>
      </w:r>
      <w:r>
        <w:rPr>
          <w:spacing w:val="-4"/>
          <w:sz w:val="18"/>
        </w:rPr>
        <w:t> </w:t>
      </w:r>
      <w:r>
        <w:rPr>
          <w:i/>
          <w:sz w:val="18"/>
        </w:rPr>
        <w:t>Land</w:t>
      </w:r>
      <w:r>
        <w:rPr>
          <w:i/>
          <w:spacing w:val="-4"/>
          <w:sz w:val="18"/>
        </w:rPr>
        <w:t> </w:t>
      </w:r>
      <w:r>
        <w:rPr>
          <w:i/>
          <w:sz w:val="18"/>
        </w:rPr>
        <w:t>Oberösterreich</w:t>
      </w:r>
      <w:r>
        <w:rPr>
          <w:i/>
          <w:spacing w:val="-4"/>
          <w:sz w:val="18"/>
        </w:rPr>
        <w:t> </w:t>
      </w:r>
      <w:r>
        <w:rPr>
          <w:i/>
          <w:sz w:val="18"/>
        </w:rPr>
        <w:t>v</w:t>
      </w:r>
      <w:r>
        <w:rPr>
          <w:i/>
          <w:spacing w:val="-3"/>
          <w:sz w:val="18"/>
        </w:rPr>
        <w:t> </w:t>
      </w:r>
      <w:r>
        <w:rPr>
          <w:i/>
          <w:sz w:val="18"/>
        </w:rPr>
        <w:t>KV</w:t>
      </w:r>
      <w:r>
        <w:rPr>
          <w:sz w:val="18"/>
        </w:rPr>
        <w:t>,</w:t>
      </w:r>
      <w:r>
        <w:rPr>
          <w:spacing w:val="-3"/>
          <w:sz w:val="18"/>
        </w:rPr>
        <w:t> </w:t>
      </w:r>
      <w:r>
        <w:rPr>
          <w:sz w:val="18"/>
        </w:rPr>
        <w:t>Casse</w:t>
      </w:r>
      <w:r>
        <w:rPr>
          <w:spacing w:val="-3"/>
          <w:sz w:val="18"/>
        </w:rPr>
        <w:t> </w:t>
      </w:r>
      <w:r>
        <w:rPr>
          <w:sz w:val="18"/>
        </w:rPr>
        <w:t>C-94/20,</w:t>
      </w:r>
      <w:r>
        <w:rPr>
          <w:spacing w:val="-3"/>
          <w:sz w:val="18"/>
        </w:rPr>
        <w:t> </w:t>
      </w:r>
      <w:r>
        <w:rPr>
          <w:sz w:val="18"/>
        </w:rPr>
        <w:t>10</w:t>
      </w:r>
      <w:r>
        <w:rPr>
          <w:spacing w:val="-3"/>
          <w:sz w:val="18"/>
        </w:rPr>
        <w:t> </w:t>
      </w:r>
      <w:r>
        <w:rPr>
          <w:sz w:val="18"/>
        </w:rPr>
        <w:t>June</w:t>
      </w:r>
      <w:r>
        <w:rPr>
          <w:spacing w:val="-2"/>
          <w:sz w:val="18"/>
        </w:rPr>
        <w:t> 2021</w:t>
      </w:r>
      <w:r>
        <w:rPr>
          <w:i/>
          <w:spacing w:val="-2"/>
          <w:sz w:val="18"/>
        </w:rPr>
        <w:t>.</w:t>
      </w:r>
    </w:p>
    <w:p>
      <w:pPr>
        <w:pStyle w:val="ListParagraph"/>
        <w:numPr>
          <w:ilvl w:val="0"/>
          <w:numId w:val="11"/>
        </w:numPr>
        <w:tabs>
          <w:tab w:pos="1853" w:val="left" w:leader="none"/>
        </w:tabs>
        <w:spacing w:line="216" w:lineRule="exact" w:before="0" w:after="0"/>
        <w:ind w:left="1853" w:right="0" w:hanging="720"/>
        <w:jc w:val="both"/>
        <w:rPr>
          <w:sz w:val="18"/>
        </w:rPr>
      </w:pPr>
      <w:r>
        <w:rPr>
          <w:sz w:val="18"/>
        </w:rPr>
        <w:t>For</w:t>
      </w:r>
      <w:r>
        <w:rPr>
          <w:spacing w:val="-4"/>
          <w:sz w:val="18"/>
        </w:rPr>
        <w:t> </w:t>
      </w:r>
      <w:r>
        <w:rPr>
          <w:sz w:val="18"/>
        </w:rPr>
        <w:t>example,</w:t>
      </w:r>
      <w:r>
        <w:rPr>
          <w:spacing w:val="-4"/>
          <w:sz w:val="18"/>
        </w:rPr>
        <w:t> </w:t>
      </w:r>
      <w:r>
        <w:rPr>
          <w:i/>
          <w:sz w:val="18"/>
        </w:rPr>
        <w:t>Universal</w:t>
      </w:r>
      <w:r>
        <w:rPr>
          <w:i/>
          <w:spacing w:val="-4"/>
          <w:sz w:val="18"/>
        </w:rPr>
        <w:t> </w:t>
      </w:r>
      <w:r>
        <w:rPr>
          <w:i/>
          <w:sz w:val="18"/>
        </w:rPr>
        <w:t>Credit</w:t>
      </w:r>
      <w:r>
        <w:rPr>
          <w:i/>
          <w:spacing w:val="-3"/>
          <w:sz w:val="18"/>
        </w:rPr>
        <w:t> </w:t>
      </w:r>
      <w:r>
        <w:rPr>
          <w:i/>
          <w:sz w:val="18"/>
        </w:rPr>
        <w:t>in</w:t>
      </w:r>
      <w:r>
        <w:rPr>
          <w:i/>
          <w:spacing w:val="-4"/>
          <w:sz w:val="18"/>
        </w:rPr>
        <w:t> </w:t>
      </w:r>
      <w:r>
        <w:rPr>
          <w:i/>
          <w:sz w:val="18"/>
        </w:rPr>
        <w:t>CG</w:t>
      </w:r>
      <w:r>
        <w:rPr>
          <w:i/>
          <w:spacing w:val="-4"/>
          <w:sz w:val="18"/>
        </w:rPr>
        <w:t> </w:t>
      </w:r>
      <w:r>
        <w:rPr>
          <w:i/>
          <w:sz w:val="18"/>
        </w:rPr>
        <w:t>v</w:t>
      </w:r>
      <w:r>
        <w:rPr>
          <w:i/>
          <w:spacing w:val="-3"/>
          <w:sz w:val="18"/>
        </w:rPr>
        <w:t> </w:t>
      </w:r>
      <w:r>
        <w:rPr>
          <w:i/>
          <w:sz w:val="18"/>
        </w:rPr>
        <w:t>The</w:t>
      </w:r>
      <w:r>
        <w:rPr>
          <w:i/>
          <w:spacing w:val="-3"/>
          <w:sz w:val="18"/>
        </w:rPr>
        <w:t> </w:t>
      </w:r>
      <w:r>
        <w:rPr>
          <w:i/>
          <w:sz w:val="18"/>
        </w:rPr>
        <w:t>Department</w:t>
      </w:r>
      <w:r>
        <w:rPr>
          <w:i/>
          <w:spacing w:val="-3"/>
          <w:sz w:val="18"/>
        </w:rPr>
        <w:t> </w:t>
      </w:r>
      <w:r>
        <w:rPr>
          <w:i/>
          <w:sz w:val="18"/>
        </w:rPr>
        <w:t>for</w:t>
      </w:r>
      <w:r>
        <w:rPr>
          <w:i/>
          <w:spacing w:val="-4"/>
          <w:sz w:val="18"/>
        </w:rPr>
        <w:t> </w:t>
      </w:r>
      <w:r>
        <w:rPr>
          <w:i/>
          <w:sz w:val="18"/>
        </w:rPr>
        <w:t>Communities</w:t>
      </w:r>
      <w:r>
        <w:rPr>
          <w:i/>
          <w:spacing w:val="-4"/>
          <w:sz w:val="18"/>
        </w:rPr>
        <w:t> </w:t>
      </w:r>
      <w:r>
        <w:rPr>
          <w:i/>
          <w:sz w:val="18"/>
        </w:rPr>
        <w:t>in</w:t>
      </w:r>
      <w:r>
        <w:rPr>
          <w:i/>
          <w:spacing w:val="-4"/>
          <w:sz w:val="18"/>
        </w:rPr>
        <w:t> </w:t>
      </w:r>
      <w:r>
        <w:rPr>
          <w:i/>
          <w:sz w:val="18"/>
        </w:rPr>
        <w:t>NI</w:t>
      </w:r>
      <w:r>
        <w:rPr>
          <w:sz w:val="18"/>
        </w:rPr>
        <w:t>,</w:t>
      </w:r>
      <w:r>
        <w:rPr>
          <w:spacing w:val="-3"/>
          <w:sz w:val="18"/>
        </w:rPr>
        <w:t> </w:t>
      </w:r>
      <w:r>
        <w:rPr>
          <w:sz w:val="18"/>
        </w:rPr>
        <w:t>Case</w:t>
      </w:r>
      <w:r>
        <w:rPr>
          <w:spacing w:val="-3"/>
          <w:sz w:val="18"/>
        </w:rPr>
        <w:t> </w:t>
      </w:r>
      <w:r>
        <w:rPr>
          <w:sz w:val="18"/>
        </w:rPr>
        <w:t>C-709/20,</w:t>
      </w:r>
      <w:r>
        <w:rPr>
          <w:spacing w:val="-4"/>
          <w:sz w:val="18"/>
        </w:rPr>
        <w:t> </w:t>
      </w:r>
      <w:r>
        <w:rPr>
          <w:sz w:val="18"/>
        </w:rPr>
        <w:t>15</w:t>
      </w:r>
      <w:r>
        <w:rPr>
          <w:spacing w:val="-3"/>
          <w:sz w:val="18"/>
        </w:rPr>
        <w:t> </w:t>
      </w:r>
      <w:r>
        <w:rPr>
          <w:sz w:val="18"/>
        </w:rPr>
        <w:t>July</w:t>
      </w:r>
      <w:r>
        <w:rPr>
          <w:spacing w:val="-3"/>
          <w:sz w:val="18"/>
        </w:rPr>
        <w:t> </w:t>
      </w:r>
      <w:r>
        <w:rPr>
          <w:spacing w:val="-2"/>
          <w:sz w:val="18"/>
        </w:rPr>
        <w:t>2021.</w:t>
      </w:r>
    </w:p>
    <w:p>
      <w:pPr>
        <w:pStyle w:val="ListParagraph"/>
        <w:numPr>
          <w:ilvl w:val="0"/>
          <w:numId w:val="11"/>
        </w:numPr>
        <w:tabs>
          <w:tab w:pos="1853" w:val="left" w:leader="none"/>
        </w:tabs>
        <w:spacing w:line="235" w:lineRule="auto" w:before="1" w:after="0"/>
        <w:ind w:left="1853" w:right="1408" w:hanging="720"/>
        <w:jc w:val="both"/>
        <w:rPr>
          <w:sz w:val="18"/>
        </w:rPr>
      </w:pPr>
      <w:r>
        <w:rPr>
          <w:sz w:val="18"/>
        </w:rPr>
        <w:t>Sarah</w:t>
      </w:r>
      <w:r>
        <w:rPr>
          <w:spacing w:val="-7"/>
          <w:sz w:val="18"/>
        </w:rPr>
        <w:t> </w:t>
      </w:r>
      <w:r>
        <w:rPr>
          <w:sz w:val="18"/>
        </w:rPr>
        <w:t>Craig,</w:t>
      </w:r>
      <w:r>
        <w:rPr>
          <w:spacing w:val="-6"/>
          <w:sz w:val="18"/>
        </w:rPr>
        <w:t> </w:t>
      </w:r>
      <w:r>
        <w:rPr>
          <w:sz w:val="18"/>
        </w:rPr>
        <w:t>Anurag</w:t>
      </w:r>
      <w:r>
        <w:rPr>
          <w:spacing w:val="-6"/>
          <w:sz w:val="18"/>
        </w:rPr>
        <w:t> </w:t>
      </w:r>
      <w:r>
        <w:rPr>
          <w:sz w:val="18"/>
        </w:rPr>
        <w:t>Deb,</w:t>
      </w:r>
      <w:r>
        <w:rPr>
          <w:spacing w:val="-6"/>
          <w:sz w:val="18"/>
        </w:rPr>
        <w:t> </w:t>
      </w:r>
      <w:r>
        <w:rPr>
          <w:sz w:val="18"/>
        </w:rPr>
        <w:t>Eleni</w:t>
      </w:r>
      <w:r>
        <w:rPr>
          <w:spacing w:val="-7"/>
          <w:sz w:val="18"/>
        </w:rPr>
        <w:t> </w:t>
      </w:r>
      <w:r>
        <w:rPr>
          <w:sz w:val="18"/>
        </w:rPr>
        <w:t>Frantziou,</w:t>
      </w:r>
      <w:r>
        <w:rPr>
          <w:spacing w:val="-6"/>
          <w:sz w:val="18"/>
        </w:rPr>
        <w:t> </w:t>
      </w:r>
      <w:r>
        <w:rPr>
          <w:sz w:val="18"/>
        </w:rPr>
        <w:t>Alexander</w:t>
      </w:r>
      <w:r>
        <w:rPr>
          <w:spacing w:val="-6"/>
          <w:sz w:val="18"/>
        </w:rPr>
        <w:t> </w:t>
      </w:r>
      <w:r>
        <w:rPr>
          <w:sz w:val="18"/>
        </w:rPr>
        <w:t>Horne,</w:t>
      </w:r>
      <w:r>
        <w:rPr>
          <w:spacing w:val="-6"/>
          <w:sz w:val="18"/>
        </w:rPr>
        <w:t> </w:t>
      </w:r>
      <w:r>
        <w:rPr>
          <w:sz w:val="18"/>
        </w:rPr>
        <w:t>Colin</w:t>
      </w:r>
      <w:r>
        <w:rPr>
          <w:spacing w:val="-7"/>
          <w:sz w:val="18"/>
        </w:rPr>
        <w:t> </w:t>
      </w:r>
      <w:r>
        <w:rPr>
          <w:sz w:val="18"/>
        </w:rPr>
        <w:t>Murray,</w:t>
      </w:r>
      <w:r>
        <w:rPr>
          <w:spacing w:val="-6"/>
          <w:sz w:val="18"/>
        </w:rPr>
        <w:t> </w:t>
      </w:r>
      <w:r>
        <w:rPr>
          <w:sz w:val="18"/>
        </w:rPr>
        <w:t>Clare</w:t>
      </w:r>
      <w:r>
        <w:rPr>
          <w:spacing w:val="-6"/>
          <w:sz w:val="18"/>
        </w:rPr>
        <w:t> </w:t>
      </w:r>
      <w:r>
        <w:rPr>
          <w:sz w:val="18"/>
        </w:rPr>
        <w:t>Rice</w:t>
      </w:r>
      <w:r>
        <w:rPr>
          <w:spacing w:val="-6"/>
          <w:sz w:val="18"/>
        </w:rPr>
        <w:t> </w:t>
      </w:r>
      <w:r>
        <w:rPr>
          <w:sz w:val="18"/>
        </w:rPr>
        <w:t>and</w:t>
      </w:r>
      <w:r>
        <w:rPr>
          <w:spacing w:val="-7"/>
          <w:sz w:val="18"/>
        </w:rPr>
        <w:t> </w:t>
      </w:r>
      <w:r>
        <w:rPr>
          <w:sz w:val="18"/>
        </w:rPr>
        <w:t>Jane</w:t>
      </w:r>
      <w:r>
        <w:rPr>
          <w:spacing w:val="-6"/>
          <w:sz w:val="18"/>
        </w:rPr>
        <w:t> </w:t>
      </w:r>
      <w:r>
        <w:rPr>
          <w:sz w:val="18"/>
        </w:rPr>
        <w:t>Rooney,</w:t>
      </w:r>
      <w:r>
        <w:rPr>
          <w:spacing w:val="-6"/>
          <w:sz w:val="18"/>
        </w:rPr>
        <w:t> </w:t>
      </w:r>
      <w:r>
        <w:rPr>
          <w:sz w:val="18"/>
        </w:rPr>
        <w:t>‘European</w:t>
      </w:r>
      <w:r>
        <w:rPr>
          <w:spacing w:val="-7"/>
          <w:sz w:val="18"/>
        </w:rPr>
        <w:t> </w:t>
      </w:r>
      <w:r>
        <w:rPr>
          <w:sz w:val="18"/>
        </w:rPr>
        <w:t>Union developments</w:t>
      </w:r>
      <w:r>
        <w:rPr>
          <w:spacing w:val="-1"/>
          <w:sz w:val="18"/>
        </w:rPr>
        <w:t> </w:t>
      </w:r>
      <w:r>
        <w:rPr>
          <w:sz w:val="18"/>
        </w:rPr>
        <w:t>in</w:t>
      </w:r>
      <w:r>
        <w:rPr>
          <w:spacing w:val="-1"/>
          <w:sz w:val="18"/>
        </w:rPr>
        <w:t> </w:t>
      </w:r>
      <w:r>
        <w:rPr>
          <w:sz w:val="18"/>
        </w:rPr>
        <w:t>Equality and</w:t>
      </w:r>
      <w:r>
        <w:rPr>
          <w:spacing w:val="-1"/>
          <w:sz w:val="18"/>
        </w:rPr>
        <w:t> </w:t>
      </w:r>
      <w:r>
        <w:rPr>
          <w:sz w:val="18"/>
        </w:rPr>
        <w:t>Human</w:t>
      </w:r>
      <w:r>
        <w:rPr>
          <w:spacing w:val="-1"/>
          <w:sz w:val="18"/>
        </w:rPr>
        <w:t> </w:t>
      </w:r>
      <w:r>
        <w:rPr>
          <w:sz w:val="18"/>
        </w:rPr>
        <w:t>Rights: The Impact of</w:t>
      </w:r>
      <w:r>
        <w:rPr>
          <w:spacing w:val="-1"/>
          <w:sz w:val="18"/>
        </w:rPr>
        <w:t> </w:t>
      </w:r>
      <w:r>
        <w:rPr>
          <w:sz w:val="18"/>
        </w:rPr>
        <w:t>Brexit on</w:t>
      </w:r>
      <w:r>
        <w:rPr>
          <w:spacing w:val="-1"/>
          <w:sz w:val="18"/>
        </w:rPr>
        <w:t> </w:t>
      </w:r>
      <w:r>
        <w:rPr>
          <w:sz w:val="18"/>
        </w:rPr>
        <w:t>the divergence of</w:t>
      </w:r>
      <w:r>
        <w:rPr>
          <w:spacing w:val="-1"/>
          <w:sz w:val="18"/>
        </w:rPr>
        <w:t> </w:t>
      </w:r>
      <w:r>
        <w:rPr>
          <w:sz w:val="18"/>
        </w:rPr>
        <w:t>rights</w:t>
      </w:r>
      <w:r>
        <w:rPr>
          <w:spacing w:val="-1"/>
          <w:sz w:val="18"/>
        </w:rPr>
        <w:t> </w:t>
      </w:r>
      <w:r>
        <w:rPr>
          <w:sz w:val="18"/>
        </w:rPr>
        <w:t>and</w:t>
      </w:r>
      <w:r>
        <w:rPr>
          <w:spacing w:val="-1"/>
          <w:sz w:val="18"/>
        </w:rPr>
        <w:t> </w:t>
      </w:r>
      <w:r>
        <w:rPr>
          <w:sz w:val="18"/>
        </w:rPr>
        <w:t>best practice on</w:t>
      </w:r>
      <w:r>
        <w:rPr>
          <w:spacing w:val="-1"/>
          <w:sz w:val="18"/>
        </w:rPr>
        <w:t> </w:t>
      </w:r>
      <w:r>
        <w:rPr>
          <w:sz w:val="18"/>
        </w:rPr>
        <w:t>the island of Ireland’ (ECNI, NIHRC, IHREC, 2022), at 98.</w:t>
      </w:r>
    </w:p>
    <w:p>
      <w:pPr>
        <w:pStyle w:val="ListParagraph"/>
        <w:numPr>
          <w:ilvl w:val="0"/>
          <w:numId w:val="11"/>
        </w:numPr>
        <w:tabs>
          <w:tab w:pos="1853" w:val="left" w:leader="none"/>
        </w:tabs>
        <w:spacing w:line="235" w:lineRule="auto" w:before="2" w:after="0"/>
        <w:ind w:left="1853" w:right="1292" w:hanging="720"/>
        <w:jc w:val="left"/>
        <w:rPr>
          <w:sz w:val="18"/>
        </w:rPr>
      </w:pPr>
      <w:r>
        <w:rPr>
          <w:sz w:val="18"/>
        </w:rPr>
        <w:t>Article</w:t>
      </w:r>
      <w:r>
        <w:rPr>
          <w:spacing w:val="-3"/>
          <w:sz w:val="18"/>
        </w:rPr>
        <w:t> </w:t>
      </w:r>
      <w:r>
        <w:rPr>
          <w:sz w:val="18"/>
        </w:rPr>
        <w:t>1</w:t>
      </w:r>
      <w:r>
        <w:rPr>
          <w:spacing w:val="-3"/>
          <w:sz w:val="18"/>
        </w:rPr>
        <w:t> </w:t>
      </w:r>
      <w:r>
        <w:rPr>
          <w:sz w:val="18"/>
        </w:rPr>
        <w:t>of</w:t>
      </w:r>
      <w:r>
        <w:rPr>
          <w:spacing w:val="-4"/>
          <w:sz w:val="18"/>
        </w:rPr>
        <w:t> </w:t>
      </w:r>
      <w:r>
        <w:rPr>
          <w:sz w:val="18"/>
        </w:rPr>
        <w:t>the</w:t>
      </w:r>
      <w:r>
        <w:rPr>
          <w:spacing w:val="-3"/>
          <w:sz w:val="18"/>
        </w:rPr>
        <w:t> </w:t>
      </w:r>
      <w:r>
        <w:rPr>
          <w:sz w:val="18"/>
        </w:rPr>
        <w:t>Charter</w:t>
      </w:r>
      <w:r>
        <w:rPr>
          <w:spacing w:val="-3"/>
          <w:sz w:val="18"/>
        </w:rPr>
        <w:t> </w:t>
      </w:r>
      <w:r>
        <w:rPr>
          <w:sz w:val="18"/>
        </w:rPr>
        <w:t>of</w:t>
      </w:r>
      <w:r>
        <w:rPr>
          <w:spacing w:val="-4"/>
          <w:sz w:val="18"/>
        </w:rPr>
        <w:t> </w:t>
      </w:r>
      <w:r>
        <w:rPr>
          <w:sz w:val="18"/>
        </w:rPr>
        <w:t>Fundamental</w:t>
      </w:r>
      <w:r>
        <w:rPr>
          <w:spacing w:val="-4"/>
          <w:sz w:val="18"/>
        </w:rPr>
        <w:t> </w:t>
      </w:r>
      <w:r>
        <w:rPr>
          <w:sz w:val="18"/>
        </w:rPr>
        <w:t>Rights</w:t>
      </w:r>
      <w:r>
        <w:rPr>
          <w:spacing w:val="-4"/>
          <w:sz w:val="18"/>
        </w:rPr>
        <w:t> </w:t>
      </w:r>
      <w:r>
        <w:rPr>
          <w:sz w:val="18"/>
        </w:rPr>
        <w:t>of</w:t>
      </w:r>
      <w:r>
        <w:rPr>
          <w:spacing w:val="-4"/>
          <w:sz w:val="18"/>
        </w:rPr>
        <w:t> </w:t>
      </w:r>
      <w:r>
        <w:rPr>
          <w:sz w:val="18"/>
        </w:rPr>
        <w:t>the</w:t>
      </w:r>
      <w:r>
        <w:rPr>
          <w:spacing w:val="-3"/>
          <w:sz w:val="18"/>
        </w:rPr>
        <w:t> </w:t>
      </w:r>
      <w:r>
        <w:rPr>
          <w:sz w:val="18"/>
        </w:rPr>
        <w:t>European</w:t>
      </w:r>
      <w:r>
        <w:rPr>
          <w:spacing w:val="-4"/>
          <w:sz w:val="18"/>
        </w:rPr>
        <w:t> </w:t>
      </w:r>
      <w:r>
        <w:rPr>
          <w:sz w:val="18"/>
        </w:rPr>
        <w:t>Union</w:t>
      </w:r>
      <w:r>
        <w:rPr>
          <w:spacing w:val="-4"/>
          <w:sz w:val="18"/>
        </w:rPr>
        <w:t> </w:t>
      </w:r>
      <w:r>
        <w:rPr>
          <w:sz w:val="18"/>
        </w:rPr>
        <w:t>states</w:t>
      </w:r>
      <w:r>
        <w:rPr>
          <w:spacing w:val="-4"/>
          <w:sz w:val="18"/>
        </w:rPr>
        <w:t> </w:t>
      </w:r>
      <w:r>
        <w:rPr>
          <w:sz w:val="18"/>
        </w:rPr>
        <w:t>that</w:t>
      </w:r>
      <w:r>
        <w:rPr>
          <w:spacing w:val="-3"/>
          <w:sz w:val="18"/>
        </w:rPr>
        <w:t> </w:t>
      </w:r>
      <w:r>
        <w:rPr>
          <w:sz w:val="18"/>
        </w:rPr>
        <w:t>“human</w:t>
      </w:r>
      <w:r>
        <w:rPr>
          <w:spacing w:val="-4"/>
          <w:sz w:val="18"/>
        </w:rPr>
        <w:t> </w:t>
      </w:r>
      <w:r>
        <w:rPr>
          <w:sz w:val="18"/>
        </w:rPr>
        <w:t>dignity</w:t>
      </w:r>
      <w:r>
        <w:rPr>
          <w:spacing w:val="-3"/>
          <w:sz w:val="18"/>
        </w:rPr>
        <w:t> </w:t>
      </w:r>
      <w:r>
        <w:rPr>
          <w:sz w:val="18"/>
        </w:rPr>
        <w:t>is</w:t>
      </w:r>
      <w:r>
        <w:rPr>
          <w:spacing w:val="-4"/>
          <w:sz w:val="18"/>
        </w:rPr>
        <w:t> </w:t>
      </w:r>
      <w:r>
        <w:rPr>
          <w:sz w:val="18"/>
        </w:rPr>
        <w:t>inviolable.</w:t>
      </w:r>
      <w:r>
        <w:rPr>
          <w:spacing w:val="-4"/>
          <w:sz w:val="18"/>
        </w:rPr>
        <w:t> </w:t>
      </w:r>
      <w:r>
        <w:rPr>
          <w:sz w:val="18"/>
        </w:rPr>
        <w:t>It</w:t>
      </w:r>
      <w:r>
        <w:rPr>
          <w:spacing w:val="-3"/>
          <w:sz w:val="18"/>
        </w:rPr>
        <w:t> </w:t>
      </w:r>
      <w:r>
        <w:rPr>
          <w:sz w:val="18"/>
        </w:rPr>
        <w:t>must</w:t>
      </w:r>
      <w:r>
        <w:rPr>
          <w:spacing w:val="-3"/>
          <w:sz w:val="18"/>
        </w:rPr>
        <w:t> </w:t>
      </w:r>
      <w:r>
        <w:rPr>
          <w:sz w:val="18"/>
        </w:rPr>
        <w:t>be respected and protected.”</w:t>
      </w:r>
    </w:p>
    <w:p>
      <w:pPr>
        <w:pStyle w:val="ListParagraph"/>
        <w:numPr>
          <w:ilvl w:val="0"/>
          <w:numId w:val="11"/>
        </w:numPr>
        <w:tabs>
          <w:tab w:pos="1853" w:val="left" w:leader="none"/>
        </w:tabs>
        <w:spacing w:line="235" w:lineRule="auto" w:before="2" w:after="0"/>
        <w:ind w:left="1853" w:right="1408" w:hanging="720"/>
        <w:jc w:val="left"/>
        <w:rPr>
          <w:sz w:val="18"/>
        </w:rPr>
      </w:pPr>
      <w:r>
        <w:rPr>
          <w:sz w:val="18"/>
        </w:rPr>
        <w:t>Alyson</w:t>
      </w:r>
      <w:r>
        <w:rPr>
          <w:spacing w:val="-6"/>
          <w:sz w:val="18"/>
        </w:rPr>
        <w:t> </w:t>
      </w:r>
      <w:r>
        <w:rPr>
          <w:sz w:val="18"/>
        </w:rPr>
        <w:t>Harvey,</w:t>
      </w:r>
      <w:r>
        <w:rPr>
          <w:spacing w:val="-5"/>
          <w:sz w:val="18"/>
        </w:rPr>
        <w:t> </w:t>
      </w:r>
      <w:r>
        <w:rPr>
          <w:sz w:val="18"/>
        </w:rPr>
        <w:t>‘Legal</w:t>
      </w:r>
      <w:r>
        <w:rPr>
          <w:spacing w:val="-6"/>
          <w:sz w:val="18"/>
        </w:rPr>
        <w:t> </w:t>
      </w:r>
      <w:r>
        <w:rPr>
          <w:sz w:val="18"/>
        </w:rPr>
        <w:t>analysis</w:t>
      </w:r>
      <w:r>
        <w:rPr>
          <w:spacing w:val="-6"/>
          <w:sz w:val="18"/>
        </w:rPr>
        <w:t> </w:t>
      </w:r>
      <w:r>
        <w:rPr>
          <w:sz w:val="18"/>
        </w:rPr>
        <w:t>of</w:t>
      </w:r>
      <w:r>
        <w:rPr>
          <w:spacing w:val="-6"/>
          <w:sz w:val="18"/>
        </w:rPr>
        <w:t> </w:t>
      </w:r>
      <w:r>
        <w:rPr>
          <w:sz w:val="18"/>
        </w:rPr>
        <w:t>immigration</w:t>
      </w:r>
      <w:r>
        <w:rPr>
          <w:spacing w:val="-6"/>
          <w:sz w:val="18"/>
        </w:rPr>
        <w:t> </w:t>
      </w:r>
      <w:r>
        <w:rPr>
          <w:sz w:val="18"/>
        </w:rPr>
        <w:t>or</w:t>
      </w:r>
      <w:r>
        <w:rPr>
          <w:spacing w:val="-5"/>
          <w:sz w:val="18"/>
        </w:rPr>
        <w:t> </w:t>
      </w:r>
      <w:r>
        <w:rPr>
          <w:sz w:val="18"/>
        </w:rPr>
        <w:t>related</w:t>
      </w:r>
      <w:r>
        <w:rPr>
          <w:spacing w:val="-6"/>
          <w:sz w:val="18"/>
        </w:rPr>
        <w:t> </w:t>
      </w:r>
      <w:r>
        <w:rPr>
          <w:sz w:val="18"/>
        </w:rPr>
        <w:t>rights</w:t>
      </w:r>
      <w:r>
        <w:rPr>
          <w:spacing w:val="-6"/>
          <w:sz w:val="18"/>
        </w:rPr>
        <w:t> </w:t>
      </w:r>
      <w:r>
        <w:rPr>
          <w:sz w:val="18"/>
        </w:rPr>
        <w:t>and</w:t>
      </w:r>
      <w:r>
        <w:rPr>
          <w:spacing w:val="-6"/>
          <w:sz w:val="18"/>
        </w:rPr>
        <w:t> </w:t>
      </w:r>
      <w:r>
        <w:rPr>
          <w:sz w:val="18"/>
        </w:rPr>
        <w:t>equality</w:t>
      </w:r>
      <w:r>
        <w:rPr>
          <w:spacing w:val="-5"/>
          <w:sz w:val="18"/>
        </w:rPr>
        <w:t> </w:t>
      </w:r>
      <w:r>
        <w:rPr>
          <w:sz w:val="18"/>
        </w:rPr>
        <w:t>protections</w:t>
      </w:r>
      <w:r>
        <w:rPr>
          <w:spacing w:val="-6"/>
          <w:sz w:val="18"/>
        </w:rPr>
        <w:t> </w:t>
      </w:r>
      <w:r>
        <w:rPr>
          <w:sz w:val="18"/>
        </w:rPr>
        <w:t>in</w:t>
      </w:r>
      <w:r>
        <w:rPr>
          <w:spacing w:val="-6"/>
          <w:sz w:val="18"/>
        </w:rPr>
        <w:t> </w:t>
      </w:r>
      <w:r>
        <w:rPr>
          <w:sz w:val="18"/>
        </w:rPr>
        <w:t>Northern</w:t>
      </w:r>
      <w:r>
        <w:rPr>
          <w:spacing w:val="-6"/>
          <w:sz w:val="18"/>
        </w:rPr>
        <w:t> </w:t>
      </w:r>
      <w:r>
        <w:rPr>
          <w:sz w:val="18"/>
        </w:rPr>
        <w:t>Ireland</w:t>
      </w:r>
      <w:r>
        <w:rPr>
          <w:spacing w:val="-6"/>
          <w:sz w:val="18"/>
        </w:rPr>
        <w:t> </w:t>
      </w:r>
      <w:r>
        <w:rPr>
          <w:sz w:val="18"/>
        </w:rPr>
        <w:t>after</w:t>
      </w:r>
      <w:r>
        <w:rPr>
          <w:spacing w:val="-5"/>
          <w:sz w:val="18"/>
        </w:rPr>
        <w:t> </w:t>
      </w:r>
      <w:r>
        <w:rPr>
          <w:sz w:val="18"/>
        </w:rPr>
        <w:t>Brexit’ (NIHRC</w:t>
      </w:r>
      <w:r>
        <w:rPr>
          <w:spacing w:val="-2"/>
          <w:sz w:val="18"/>
        </w:rPr>
        <w:t> </w:t>
      </w:r>
      <w:r>
        <w:rPr>
          <w:sz w:val="18"/>
        </w:rPr>
        <w:t>2023).</w:t>
      </w:r>
    </w:p>
    <w:p>
      <w:pPr>
        <w:spacing w:after="0" w:line="235" w:lineRule="auto"/>
        <w:jc w:val="left"/>
        <w:rPr>
          <w:sz w:val="18"/>
        </w:rPr>
        <w:sectPr>
          <w:pgSz w:w="11910" w:h="16840"/>
          <w:pgMar w:header="496" w:footer="367" w:top="1220" w:bottom="560" w:left="0" w:right="0"/>
        </w:sectPr>
      </w:pPr>
    </w:p>
    <w:p>
      <w:pPr>
        <w:pStyle w:val="BodyText"/>
        <w:spacing w:before="68"/>
        <w:rPr>
          <w:sz w:val="36"/>
        </w:rPr>
      </w:pPr>
    </w:p>
    <w:p>
      <w:pPr>
        <w:pStyle w:val="Heading3"/>
        <w:spacing w:before="1"/>
      </w:pPr>
      <w:bookmarkStart w:name="_bookmark36" w:id="77"/>
      <w:bookmarkEnd w:id="77"/>
      <w:r>
        <w:rPr>
          <w:b w:val="0"/>
        </w:rPr>
      </w:r>
      <w:bookmarkStart w:name="Employment Rights" w:id="78"/>
      <w:bookmarkEnd w:id="78"/>
      <w:r>
        <w:rPr>
          <w:b w:val="0"/>
        </w:rPr>
      </w:r>
      <w:r>
        <w:rPr>
          <w:color w:val="67287F"/>
        </w:rPr>
        <w:t>Employment</w:t>
      </w:r>
      <w:r>
        <w:rPr>
          <w:color w:val="67287F"/>
          <w:spacing w:val="-7"/>
        </w:rPr>
        <w:t> </w:t>
      </w:r>
      <w:r>
        <w:rPr>
          <w:color w:val="67287F"/>
          <w:spacing w:val="-2"/>
        </w:rPr>
        <w:t>Rights</w:t>
      </w:r>
    </w:p>
    <w:p>
      <w:pPr>
        <w:pStyle w:val="BodyText"/>
        <w:spacing w:before="4"/>
        <w:rPr>
          <w:b/>
          <w:sz w:val="5"/>
        </w:rPr>
      </w:pPr>
      <w:r>
        <w:rPr/>
        <mc:AlternateContent>
          <mc:Choice Requires="wps">
            <w:drawing>
              <wp:anchor distT="0" distB="0" distL="0" distR="0" allowOverlap="1" layoutInCell="1" locked="0" behindDoc="1" simplePos="0" relativeHeight="487688704">
                <wp:simplePos x="0" y="0"/>
                <wp:positionH relativeFrom="page">
                  <wp:posOffset>719997</wp:posOffset>
                </wp:positionH>
                <wp:positionV relativeFrom="paragraph">
                  <wp:posOffset>56635</wp:posOffset>
                </wp:positionV>
                <wp:extent cx="6120130" cy="1270"/>
                <wp:effectExtent l="0" t="0" r="0" b="0"/>
                <wp:wrapTopAndBottom/>
                <wp:docPr id="466" name="Graphic 466"/>
                <wp:cNvGraphicFramePr>
                  <a:graphicFrameLocks/>
                </wp:cNvGraphicFramePr>
                <a:graphic>
                  <a:graphicData uri="http://schemas.microsoft.com/office/word/2010/wordprocessingShape">
                    <wps:wsp>
                      <wps:cNvPr id="466" name="Graphic 466"/>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4.459487pt;width:481.9pt;height:.1pt;mso-position-horizontal-relative:page;mso-position-vertical-relative:paragraph;z-index:-15627776;mso-wrap-distance-left:0;mso-wrap-distance-right:0" id="docshape413" coordorigin="1134,89" coordsize="9638,0" path="m10772,89l1134,89e" filled="false" stroked="true" strokeweight="1pt" strokecolor="#67287f">
                <v:path arrowok="t"/>
                <v:stroke dashstyle="solid"/>
                <w10:wrap type="topAndBottom"/>
              </v:shape>
            </w:pict>
          </mc:Fallback>
        </mc:AlternateContent>
      </w:r>
    </w:p>
    <w:p>
      <w:pPr>
        <w:pStyle w:val="ListParagraph"/>
        <w:numPr>
          <w:ilvl w:val="1"/>
          <w:numId w:val="7"/>
        </w:numPr>
        <w:tabs>
          <w:tab w:pos="1853" w:val="left" w:leader="none"/>
        </w:tabs>
        <w:spacing w:line="225" w:lineRule="auto" w:before="330" w:after="0"/>
        <w:ind w:left="1853" w:right="1220" w:hanging="720"/>
        <w:jc w:val="left"/>
        <w:rPr>
          <w:sz w:val="28"/>
        </w:rPr>
      </w:pPr>
      <w:r>
        <w:rPr>
          <w:sz w:val="28"/>
        </w:rPr>
        <w:t>Windsor Framework Articles 2 and 13 require the law in NI to keep pace with any improvements to minimum standards of equality protection enshrined in six EU directives listed in Annex 1 to the Windsor Framework. The obligation also requires compliance with relevant current and future CJEU case law.</w:t>
      </w:r>
      <w:r>
        <w:rPr>
          <w:sz w:val="28"/>
          <w:vertAlign w:val="superscript"/>
        </w:rPr>
        <w:t>580</w:t>
      </w:r>
      <w:r>
        <w:rPr>
          <w:sz w:val="28"/>
          <w:vertAlign w:val="baseline"/>
        </w:rPr>
        <w:t> Four of these directives cover the area of employment discrimination on grounds</w:t>
      </w:r>
      <w:r>
        <w:rPr>
          <w:spacing w:val="-13"/>
          <w:sz w:val="28"/>
          <w:vertAlign w:val="baseline"/>
        </w:rPr>
        <w:t> </w:t>
      </w:r>
      <w:r>
        <w:rPr>
          <w:sz w:val="28"/>
          <w:vertAlign w:val="baseline"/>
        </w:rPr>
        <w:t>of</w:t>
      </w:r>
      <w:r>
        <w:rPr>
          <w:spacing w:val="-13"/>
          <w:sz w:val="28"/>
          <w:vertAlign w:val="baseline"/>
        </w:rPr>
        <w:t> </w:t>
      </w:r>
      <w:r>
        <w:rPr>
          <w:sz w:val="28"/>
          <w:vertAlign w:val="baseline"/>
        </w:rPr>
        <w:t>race</w:t>
      </w:r>
      <w:r>
        <w:rPr>
          <w:spacing w:val="-12"/>
          <w:sz w:val="28"/>
          <w:vertAlign w:val="baseline"/>
        </w:rPr>
        <w:t> </w:t>
      </w:r>
      <w:r>
        <w:rPr>
          <w:sz w:val="28"/>
          <w:vertAlign w:val="baseline"/>
        </w:rPr>
        <w:t>and</w:t>
      </w:r>
      <w:r>
        <w:rPr>
          <w:spacing w:val="-13"/>
          <w:sz w:val="28"/>
          <w:vertAlign w:val="baseline"/>
        </w:rPr>
        <w:t> </w:t>
      </w:r>
      <w:r>
        <w:rPr>
          <w:sz w:val="28"/>
          <w:vertAlign w:val="baseline"/>
        </w:rPr>
        <w:t>ethnicity,</w:t>
      </w:r>
      <w:r>
        <w:rPr>
          <w:spacing w:val="-12"/>
          <w:sz w:val="28"/>
          <w:vertAlign w:val="baseline"/>
        </w:rPr>
        <w:t> </w:t>
      </w:r>
      <w:r>
        <w:rPr>
          <w:sz w:val="28"/>
          <w:vertAlign w:val="baseline"/>
        </w:rPr>
        <w:t>sexual</w:t>
      </w:r>
      <w:r>
        <w:rPr>
          <w:spacing w:val="-13"/>
          <w:sz w:val="28"/>
          <w:vertAlign w:val="baseline"/>
        </w:rPr>
        <w:t> </w:t>
      </w:r>
      <w:r>
        <w:rPr>
          <w:sz w:val="28"/>
          <w:vertAlign w:val="baseline"/>
        </w:rPr>
        <w:t>orientation,</w:t>
      </w:r>
      <w:r>
        <w:rPr>
          <w:spacing w:val="-12"/>
          <w:sz w:val="28"/>
          <w:vertAlign w:val="baseline"/>
        </w:rPr>
        <w:t> </w:t>
      </w:r>
      <w:r>
        <w:rPr>
          <w:sz w:val="28"/>
          <w:vertAlign w:val="baseline"/>
        </w:rPr>
        <w:t>religion</w:t>
      </w:r>
      <w:r>
        <w:rPr>
          <w:spacing w:val="-13"/>
          <w:sz w:val="28"/>
          <w:vertAlign w:val="baseline"/>
        </w:rPr>
        <w:t> </w:t>
      </w:r>
      <w:r>
        <w:rPr>
          <w:sz w:val="28"/>
          <w:vertAlign w:val="baseline"/>
        </w:rPr>
        <w:t>and</w:t>
      </w:r>
      <w:r>
        <w:rPr>
          <w:spacing w:val="-13"/>
          <w:sz w:val="28"/>
          <w:vertAlign w:val="baseline"/>
        </w:rPr>
        <w:t> </w:t>
      </w:r>
      <w:r>
        <w:rPr>
          <w:sz w:val="28"/>
          <w:vertAlign w:val="baseline"/>
        </w:rPr>
        <w:t>belief,</w:t>
      </w:r>
      <w:r>
        <w:rPr>
          <w:spacing w:val="-12"/>
          <w:sz w:val="28"/>
          <w:vertAlign w:val="baseline"/>
        </w:rPr>
        <w:t> </w:t>
      </w:r>
      <w:r>
        <w:rPr>
          <w:sz w:val="28"/>
          <w:vertAlign w:val="baseline"/>
        </w:rPr>
        <w:t>disability, age and gender.</w:t>
      </w:r>
      <w:r>
        <w:rPr>
          <w:sz w:val="28"/>
          <w:vertAlign w:val="superscript"/>
        </w:rPr>
        <w:t>581</w:t>
      </w:r>
    </w:p>
    <w:p>
      <w:pPr>
        <w:pStyle w:val="ListParagraph"/>
        <w:numPr>
          <w:ilvl w:val="1"/>
          <w:numId w:val="7"/>
        </w:numPr>
        <w:tabs>
          <w:tab w:pos="1853" w:val="left" w:leader="none"/>
        </w:tabs>
        <w:spacing w:line="225" w:lineRule="auto" w:before="311" w:after="0"/>
        <w:ind w:left="1853" w:right="1149" w:hanging="720"/>
        <w:jc w:val="left"/>
        <w:rPr>
          <w:sz w:val="28"/>
        </w:rPr>
      </w:pPr>
      <w:r>
        <w:rPr>
          <w:sz w:val="28"/>
        </w:rPr>
        <w:t>In addition to the Annex 1 equality directives, there are a number of other EU obligations</w:t>
      </w:r>
      <w:r>
        <w:rPr>
          <w:spacing w:val="-3"/>
          <w:sz w:val="28"/>
        </w:rPr>
        <w:t> </w:t>
      </w:r>
      <w:r>
        <w:rPr>
          <w:sz w:val="28"/>
        </w:rPr>
        <w:t>which</w:t>
      </w:r>
      <w:r>
        <w:rPr>
          <w:spacing w:val="-3"/>
          <w:sz w:val="28"/>
        </w:rPr>
        <w:t> </w:t>
      </w:r>
      <w:r>
        <w:rPr>
          <w:sz w:val="28"/>
        </w:rPr>
        <w:t>impact</w:t>
      </w:r>
      <w:r>
        <w:rPr>
          <w:spacing w:val="-2"/>
          <w:sz w:val="28"/>
        </w:rPr>
        <w:t> </w:t>
      </w:r>
      <w:r>
        <w:rPr>
          <w:sz w:val="28"/>
        </w:rPr>
        <w:t>employment</w:t>
      </w:r>
      <w:r>
        <w:rPr>
          <w:spacing w:val="-2"/>
          <w:sz w:val="28"/>
        </w:rPr>
        <w:t> </w:t>
      </w:r>
      <w:r>
        <w:rPr>
          <w:sz w:val="28"/>
        </w:rPr>
        <w:t>and</w:t>
      </w:r>
      <w:r>
        <w:rPr>
          <w:spacing w:val="-3"/>
          <w:sz w:val="28"/>
        </w:rPr>
        <w:t> </w:t>
      </w:r>
      <w:r>
        <w:rPr>
          <w:sz w:val="28"/>
        </w:rPr>
        <w:t>underpin</w:t>
      </w:r>
      <w:r>
        <w:rPr>
          <w:spacing w:val="-3"/>
          <w:sz w:val="28"/>
        </w:rPr>
        <w:t> </w:t>
      </w:r>
      <w:r>
        <w:rPr>
          <w:sz w:val="28"/>
        </w:rPr>
        <w:t>the</w:t>
      </w:r>
      <w:r>
        <w:rPr>
          <w:spacing w:val="-2"/>
          <w:sz w:val="28"/>
        </w:rPr>
        <w:t> </w:t>
      </w:r>
      <w:r>
        <w:rPr>
          <w:sz w:val="28"/>
        </w:rPr>
        <w:t>rights</w:t>
      </w:r>
      <w:r>
        <w:rPr>
          <w:spacing w:val="-3"/>
          <w:sz w:val="28"/>
        </w:rPr>
        <w:t> </w:t>
      </w:r>
      <w:r>
        <w:rPr>
          <w:sz w:val="28"/>
        </w:rPr>
        <w:t>and</w:t>
      </w:r>
      <w:r>
        <w:rPr>
          <w:spacing w:val="-3"/>
          <w:sz w:val="28"/>
        </w:rPr>
        <w:t> </w:t>
      </w:r>
      <w:r>
        <w:rPr>
          <w:sz w:val="28"/>
        </w:rPr>
        <w:t>safeguards in the relevant part of the Belfast (Good Friday) Agreement. For example, the Commissions</w:t>
      </w:r>
      <w:r>
        <w:rPr>
          <w:spacing w:val="-11"/>
          <w:sz w:val="28"/>
        </w:rPr>
        <w:t> </w:t>
      </w:r>
      <w:r>
        <w:rPr>
          <w:sz w:val="28"/>
        </w:rPr>
        <w:t>consider</w:t>
      </w:r>
      <w:r>
        <w:rPr>
          <w:spacing w:val="-10"/>
          <w:sz w:val="28"/>
        </w:rPr>
        <w:t> </w:t>
      </w:r>
      <w:r>
        <w:rPr>
          <w:sz w:val="28"/>
        </w:rPr>
        <w:t>that</w:t>
      </w:r>
      <w:r>
        <w:rPr>
          <w:spacing w:val="-10"/>
          <w:sz w:val="28"/>
        </w:rPr>
        <w:t> </w:t>
      </w:r>
      <w:r>
        <w:rPr>
          <w:sz w:val="28"/>
        </w:rPr>
        <w:t>the</w:t>
      </w:r>
      <w:r>
        <w:rPr>
          <w:spacing w:val="-10"/>
          <w:sz w:val="28"/>
        </w:rPr>
        <w:t> </w:t>
      </w:r>
      <w:r>
        <w:rPr>
          <w:sz w:val="28"/>
        </w:rPr>
        <w:t>EU</w:t>
      </w:r>
      <w:r>
        <w:rPr>
          <w:spacing w:val="-10"/>
          <w:sz w:val="28"/>
        </w:rPr>
        <w:t> </w:t>
      </w:r>
      <w:r>
        <w:rPr>
          <w:sz w:val="28"/>
        </w:rPr>
        <w:t>Parental</w:t>
      </w:r>
      <w:r>
        <w:rPr>
          <w:spacing w:val="-11"/>
          <w:sz w:val="28"/>
        </w:rPr>
        <w:t> </w:t>
      </w:r>
      <w:r>
        <w:rPr>
          <w:sz w:val="28"/>
        </w:rPr>
        <w:t>Leave</w:t>
      </w:r>
      <w:r>
        <w:rPr>
          <w:spacing w:val="-10"/>
          <w:sz w:val="28"/>
        </w:rPr>
        <w:t> </w:t>
      </w:r>
      <w:r>
        <w:rPr>
          <w:sz w:val="28"/>
        </w:rPr>
        <w:t>Directive,</w:t>
      </w:r>
      <w:r>
        <w:rPr>
          <w:sz w:val="28"/>
          <w:vertAlign w:val="superscript"/>
        </w:rPr>
        <w:t>582</w:t>
      </w:r>
      <w:r>
        <w:rPr>
          <w:spacing w:val="-11"/>
          <w:sz w:val="28"/>
          <w:vertAlign w:val="baseline"/>
        </w:rPr>
        <w:t> </w:t>
      </w:r>
      <w:r>
        <w:rPr>
          <w:sz w:val="28"/>
          <w:vertAlign w:val="baseline"/>
        </w:rPr>
        <w:t>the</w:t>
      </w:r>
      <w:r>
        <w:rPr>
          <w:spacing w:val="-10"/>
          <w:sz w:val="28"/>
          <w:vertAlign w:val="baseline"/>
        </w:rPr>
        <w:t> </w:t>
      </w:r>
      <w:r>
        <w:rPr>
          <w:sz w:val="28"/>
          <w:vertAlign w:val="baseline"/>
        </w:rPr>
        <w:t>EU</w:t>
      </w:r>
      <w:r>
        <w:rPr>
          <w:spacing w:val="-10"/>
          <w:sz w:val="28"/>
          <w:vertAlign w:val="baseline"/>
        </w:rPr>
        <w:t> </w:t>
      </w:r>
      <w:r>
        <w:rPr>
          <w:sz w:val="28"/>
          <w:vertAlign w:val="baseline"/>
        </w:rPr>
        <w:t>Pregnant Workers Directive</w:t>
      </w:r>
      <w:r>
        <w:rPr>
          <w:sz w:val="28"/>
          <w:vertAlign w:val="superscript"/>
        </w:rPr>
        <w:t>583</w:t>
      </w:r>
      <w:r>
        <w:rPr>
          <w:sz w:val="28"/>
          <w:vertAlign w:val="baseline"/>
        </w:rPr>
        <w:t> and other safeguards for part-time</w:t>
      </w:r>
      <w:r>
        <w:rPr>
          <w:sz w:val="28"/>
          <w:vertAlign w:val="superscript"/>
        </w:rPr>
        <w:t>584</w:t>
      </w:r>
      <w:r>
        <w:rPr>
          <w:sz w:val="28"/>
          <w:vertAlign w:val="baseline"/>
        </w:rPr>
        <w:t> and agency workers</w:t>
      </w:r>
      <w:r>
        <w:rPr>
          <w:sz w:val="28"/>
          <w:vertAlign w:val="superscript"/>
        </w:rPr>
        <w:t>585</w:t>
      </w:r>
      <w:r>
        <w:rPr>
          <w:sz w:val="28"/>
          <w:vertAlign w:val="baseline"/>
        </w:rPr>
        <w:t> fall within the scope of Windsor Framework Article 2.</w:t>
      </w:r>
    </w:p>
    <w:p>
      <w:pPr>
        <w:pStyle w:val="Heading5"/>
        <w:spacing w:before="296"/>
        <w:ind w:left="1133" w:firstLine="0"/>
      </w:pPr>
      <w:bookmarkStart w:name="Employment Equality" w:id="79"/>
      <w:bookmarkEnd w:id="79"/>
      <w:r>
        <w:rPr>
          <w:b w:val="0"/>
        </w:rPr>
      </w:r>
      <w:r>
        <w:rPr>
          <w:color w:val="393B80"/>
        </w:rPr>
        <w:t>Employment</w:t>
      </w:r>
      <w:r>
        <w:rPr>
          <w:color w:val="393B80"/>
          <w:spacing w:val="-5"/>
        </w:rPr>
        <w:t> </w:t>
      </w:r>
      <w:r>
        <w:rPr>
          <w:color w:val="393B80"/>
          <w:spacing w:val="-2"/>
        </w:rPr>
        <w:t>Equality</w:t>
      </w:r>
    </w:p>
    <w:p>
      <w:pPr>
        <w:pStyle w:val="Heading6"/>
        <w:spacing w:before="315"/>
        <w:rPr>
          <w:i/>
        </w:rPr>
      </w:pPr>
      <w:r>
        <w:rPr>
          <w:i/>
          <w:color w:val="67287F"/>
        </w:rPr>
        <w:t>Fair</w:t>
      </w:r>
      <w:r>
        <w:rPr>
          <w:i/>
          <w:color w:val="67287F"/>
          <w:spacing w:val="-11"/>
        </w:rPr>
        <w:t> </w:t>
      </w:r>
      <w:r>
        <w:rPr>
          <w:i/>
          <w:color w:val="67287F"/>
        </w:rPr>
        <w:t>Employment</w:t>
      </w:r>
      <w:r>
        <w:rPr>
          <w:i/>
          <w:color w:val="67287F"/>
          <w:spacing w:val="-7"/>
        </w:rPr>
        <w:t> </w:t>
      </w:r>
      <w:r>
        <w:rPr>
          <w:i/>
          <w:color w:val="67287F"/>
        </w:rPr>
        <w:t>and</w:t>
      </w:r>
      <w:r>
        <w:rPr>
          <w:i/>
          <w:color w:val="67287F"/>
          <w:spacing w:val="-7"/>
        </w:rPr>
        <w:t> </w:t>
      </w:r>
      <w:r>
        <w:rPr>
          <w:i/>
          <w:color w:val="67287F"/>
        </w:rPr>
        <w:t>Treatment</w:t>
      </w:r>
      <w:r>
        <w:rPr>
          <w:i/>
          <w:color w:val="67287F"/>
          <w:spacing w:val="-7"/>
        </w:rPr>
        <w:t> </w:t>
      </w:r>
      <w:r>
        <w:rPr>
          <w:i/>
          <w:color w:val="67287F"/>
        </w:rPr>
        <w:t>(NI)</w:t>
      </w:r>
      <w:r>
        <w:rPr>
          <w:i/>
          <w:color w:val="67287F"/>
          <w:spacing w:val="-7"/>
        </w:rPr>
        <w:t> </w:t>
      </w:r>
      <w:r>
        <w:rPr>
          <w:i/>
          <w:color w:val="67287F"/>
        </w:rPr>
        <w:t>Order</w:t>
      </w:r>
      <w:r>
        <w:rPr>
          <w:i/>
          <w:color w:val="67287F"/>
          <w:spacing w:val="-8"/>
        </w:rPr>
        <w:t> </w:t>
      </w:r>
      <w:r>
        <w:rPr>
          <w:i/>
          <w:color w:val="67287F"/>
          <w:spacing w:val="-4"/>
        </w:rPr>
        <w:t>1998</w:t>
      </w:r>
    </w:p>
    <w:p>
      <w:pPr>
        <w:pStyle w:val="ListParagraph"/>
        <w:numPr>
          <w:ilvl w:val="1"/>
          <w:numId w:val="7"/>
        </w:numPr>
        <w:tabs>
          <w:tab w:pos="1853" w:val="left" w:leader="none"/>
        </w:tabs>
        <w:spacing w:line="225" w:lineRule="auto" w:before="5" w:after="0"/>
        <w:ind w:left="1853" w:right="1200" w:hanging="720"/>
        <w:jc w:val="left"/>
        <w:rPr>
          <w:sz w:val="28"/>
        </w:rPr>
      </w:pPr>
      <w:r>
        <w:rPr>
          <w:sz w:val="28"/>
        </w:rPr>
        <w:t>The</w:t>
      </w:r>
      <w:r>
        <w:rPr>
          <w:spacing w:val="-8"/>
          <w:sz w:val="28"/>
        </w:rPr>
        <w:t> </w:t>
      </w:r>
      <w:r>
        <w:rPr>
          <w:sz w:val="28"/>
        </w:rPr>
        <w:t>Fair</w:t>
      </w:r>
      <w:r>
        <w:rPr>
          <w:spacing w:val="-8"/>
          <w:sz w:val="28"/>
        </w:rPr>
        <w:t> </w:t>
      </w:r>
      <w:r>
        <w:rPr>
          <w:sz w:val="28"/>
        </w:rPr>
        <w:t>Employment</w:t>
      </w:r>
      <w:r>
        <w:rPr>
          <w:spacing w:val="-8"/>
          <w:sz w:val="28"/>
        </w:rPr>
        <w:t> </w:t>
      </w:r>
      <w:r>
        <w:rPr>
          <w:sz w:val="28"/>
        </w:rPr>
        <w:t>(School</w:t>
      </w:r>
      <w:r>
        <w:rPr>
          <w:spacing w:val="-9"/>
          <w:sz w:val="28"/>
        </w:rPr>
        <w:t> </w:t>
      </w:r>
      <w:r>
        <w:rPr>
          <w:sz w:val="28"/>
        </w:rPr>
        <w:t>Teachers)</w:t>
      </w:r>
      <w:r>
        <w:rPr>
          <w:spacing w:val="-9"/>
          <w:sz w:val="28"/>
        </w:rPr>
        <w:t> </w:t>
      </w:r>
      <w:r>
        <w:rPr>
          <w:sz w:val="28"/>
        </w:rPr>
        <w:t>Act</w:t>
      </w:r>
      <w:r>
        <w:rPr>
          <w:spacing w:val="-8"/>
          <w:sz w:val="28"/>
        </w:rPr>
        <w:t> </w:t>
      </w:r>
      <w:r>
        <w:rPr>
          <w:sz w:val="28"/>
        </w:rPr>
        <w:t>(NI)</w:t>
      </w:r>
      <w:r>
        <w:rPr>
          <w:spacing w:val="-9"/>
          <w:sz w:val="28"/>
        </w:rPr>
        <w:t> </w:t>
      </w:r>
      <w:r>
        <w:rPr>
          <w:sz w:val="28"/>
        </w:rPr>
        <w:t>2022</w:t>
      </w:r>
      <w:r>
        <w:rPr>
          <w:spacing w:val="-8"/>
          <w:sz w:val="28"/>
        </w:rPr>
        <w:t> </w:t>
      </w:r>
      <w:r>
        <w:rPr>
          <w:sz w:val="28"/>
        </w:rPr>
        <w:t>is</w:t>
      </w:r>
      <w:r>
        <w:rPr>
          <w:spacing w:val="-9"/>
          <w:sz w:val="28"/>
        </w:rPr>
        <w:t> </w:t>
      </w:r>
      <w:r>
        <w:rPr>
          <w:sz w:val="28"/>
        </w:rPr>
        <w:t>expected</w:t>
      </w:r>
      <w:r>
        <w:rPr>
          <w:spacing w:val="-9"/>
          <w:sz w:val="28"/>
        </w:rPr>
        <w:t> </w:t>
      </w:r>
      <w:r>
        <w:rPr>
          <w:sz w:val="28"/>
        </w:rPr>
        <w:t>to</w:t>
      </w:r>
      <w:r>
        <w:rPr>
          <w:spacing w:val="-9"/>
          <w:sz w:val="28"/>
        </w:rPr>
        <w:t> </w:t>
      </w:r>
      <w:r>
        <w:rPr>
          <w:sz w:val="28"/>
        </w:rPr>
        <w:t>come</w:t>
      </w:r>
      <w:r>
        <w:rPr>
          <w:spacing w:val="-8"/>
          <w:sz w:val="28"/>
        </w:rPr>
        <w:t> </w:t>
      </w:r>
      <w:r>
        <w:rPr>
          <w:sz w:val="28"/>
        </w:rPr>
        <w:t>into force in May 2024.</w:t>
      </w:r>
      <w:r>
        <w:rPr>
          <w:spacing w:val="40"/>
          <w:sz w:val="28"/>
        </w:rPr>
        <w:t> </w:t>
      </w:r>
      <w:r>
        <w:rPr>
          <w:sz w:val="28"/>
        </w:rPr>
        <w:t>The Commissions welcomed the legislation as a positive step forward in the development of NI equality law.</w:t>
      </w:r>
      <w:r>
        <w:rPr>
          <w:sz w:val="28"/>
          <w:vertAlign w:val="superscript"/>
        </w:rPr>
        <w:t>586</w:t>
      </w:r>
    </w:p>
    <w:p>
      <w:pPr>
        <w:pStyle w:val="Heading6"/>
        <w:spacing w:before="300"/>
        <w:rPr>
          <w:i/>
        </w:rPr>
      </w:pPr>
      <w:r>
        <w:rPr>
          <w:i/>
          <w:color w:val="67287F"/>
        </w:rPr>
        <w:t>Freedom</w:t>
      </w:r>
      <w:r>
        <w:rPr>
          <w:i/>
          <w:color w:val="67287F"/>
          <w:spacing w:val="-4"/>
        </w:rPr>
        <w:t> </w:t>
      </w:r>
      <w:r>
        <w:rPr>
          <w:i/>
          <w:color w:val="67287F"/>
        </w:rPr>
        <w:t>of</w:t>
      </w:r>
      <w:r>
        <w:rPr>
          <w:i/>
          <w:color w:val="67287F"/>
          <w:spacing w:val="-4"/>
        </w:rPr>
        <w:t> </w:t>
      </w:r>
      <w:r>
        <w:rPr>
          <w:i/>
          <w:color w:val="67287F"/>
        </w:rPr>
        <w:t>Religion</w:t>
      </w:r>
      <w:r>
        <w:rPr>
          <w:i/>
          <w:color w:val="67287F"/>
          <w:spacing w:val="-4"/>
        </w:rPr>
        <w:t> </w:t>
      </w:r>
      <w:r>
        <w:rPr>
          <w:i/>
          <w:color w:val="67287F"/>
        </w:rPr>
        <w:t>–</w:t>
      </w:r>
      <w:r>
        <w:rPr>
          <w:i/>
          <w:color w:val="67287F"/>
          <w:spacing w:val="-4"/>
        </w:rPr>
        <w:t> </w:t>
      </w:r>
      <w:r>
        <w:rPr>
          <w:i/>
          <w:color w:val="67287F"/>
        </w:rPr>
        <w:t>Case-Law</w:t>
      </w:r>
      <w:r>
        <w:rPr>
          <w:i/>
          <w:color w:val="67287F"/>
          <w:spacing w:val="-4"/>
        </w:rPr>
        <w:t> </w:t>
      </w:r>
      <w:r>
        <w:rPr>
          <w:i/>
          <w:color w:val="67287F"/>
        </w:rPr>
        <w:t>of</w:t>
      </w:r>
      <w:r>
        <w:rPr>
          <w:i/>
          <w:color w:val="67287F"/>
          <w:spacing w:val="-4"/>
        </w:rPr>
        <w:t> </w:t>
      </w:r>
      <w:r>
        <w:rPr>
          <w:i/>
          <w:color w:val="67287F"/>
        </w:rPr>
        <w:t>the</w:t>
      </w:r>
      <w:r>
        <w:rPr>
          <w:i/>
          <w:color w:val="67287F"/>
          <w:spacing w:val="-5"/>
        </w:rPr>
        <w:t> </w:t>
      </w:r>
      <w:r>
        <w:rPr>
          <w:i/>
          <w:color w:val="67287F"/>
        </w:rPr>
        <w:t>Court</w:t>
      </w:r>
      <w:r>
        <w:rPr>
          <w:i/>
          <w:color w:val="67287F"/>
          <w:spacing w:val="-3"/>
        </w:rPr>
        <w:t> </w:t>
      </w:r>
      <w:r>
        <w:rPr>
          <w:i/>
          <w:color w:val="67287F"/>
        </w:rPr>
        <w:t>of</w:t>
      </w:r>
      <w:r>
        <w:rPr>
          <w:i/>
          <w:color w:val="67287F"/>
          <w:spacing w:val="-4"/>
        </w:rPr>
        <w:t> </w:t>
      </w:r>
      <w:r>
        <w:rPr>
          <w:i/>
          <w:color w:val="67287F"/>
        </w:rPr>
        <w:t>Justice</w:t>
      </w:r>
      <w:r>
        <w:rPr>
          <w:i/>
          <w:color w:val="67287F"/>
          <w:spacing w:val="-4"/>
        </w:rPr>
        <w:t> </w:t>
      </w:r>
      <w:r>
        <w:rPr>
          <w:i/>
          <w:color w:val="67287F"/>
        </w:rPr>
        <w:t>of</w:t>
      </w:r>
      <w:r>
        <w:rPr>
          <w:i/>
          <w:color w:val="67287F"/>
          <w:spacing w:val="-4"/>
        </w:rPr>
        <w:t> </w:t>
      </w:r>
      <w:r>
        <w:rPr>
          <w:i/>
          <w:color w:val="67287F"/>
        </w:rPr>
        <w:t>the</w:t>
      </w:r>
      <w:r>
        <w:rPr>
          <w:i/>
          <w:color w:val="67287F"/>
          <w:spacing w:val="-4"/>
        </w:rPr>
        <w:t> </w:t>
      </w:r>
      <w:r>
        <w:rPr>
          <w:i/>
          <w:color w:val="67287F"/>
          <w:spacing w:val="-5"/>
        </w:rPr>
        <w:t>EU</w:t>
      </w:r>
    </w:p>
    <w:p>
      <w:pPr>
        <w:pStyle w:val="ListParagraph"/>
        <w:numPr>
          <w:ilvl w:val="1"/>
          <w:numId w:val="7"/>
        </w:numPr>
        <w:tabs>
          <w:tab w:pos="1853" w:val="left" w:leader="none"/>
        </w:tabs>
        <w:spacing w:line="225" w:lineRule="auto" w:before="5" w:after="0"/>
        <w:ind w:left="1853" w:right="1449" w:hanging="720"/>
        <w:jc w:val="left"/>
        <w:rPr>
          <w:sz w:val="28"/>
        </w:rPr>
      </w:pPr>
      <w:r>
        <w:rPr>
          <w:sz w:val="28"/>
        </w:rPr>
        <w:t>In</w:t>
      </w:r>
      <w:r>
        <w:rPr>
          <w:spacing w:val="-6"/>
          <w:sz w:val="28"/>
        </w:rPr>
        <w:t> </w:t>
      </w:r>
      <w:r>
        <w:rPr>
          <w:sz w:val="28"/>
        </w:rPr>
        <w:t>March</w:t>
      </w:r>
      <w:r>
        <w:rPr>
          <w:spacing w:val="-6"/>
          <w:sz w:val="28"/>
        </w:rPr>
        <w:t> </w:t>
      </w:r>
      <w:r>
        <w:rPr>
          <w:sz w:val="28"/>
        </w:rPr>
        <w:t>2023,</w:t>
      </w:r>
      <w:r>
        <w:rPr>
          <w:spacing w:val="-5"/>
          <w:sz w:val="28"/>
        </w:rPr>
        <w:t> </w:t>
      </w:r>
      <w:r>
        <w:rPr>
          <w:sz w:val="28"/>
        </w:rPr>
        <w:t>the</w:t>
      </w:r>
      <w:r>
        <w:rPr>
          <w:spacing w:val="-5"/>
          <w:sz w:val="28"/>
        </w:rPr>
        <w:t> </w:t>
      </w:r>
      <w:r>
        <w:rPr>
          <w:sz w:val="28"/>
        </w:rPr>
        <w:t>research</w:t>
      </w:r>
      <w:r>
        <w:rPr>
          <w:spacing w:val="-6"/>
          <w:sz w:val="28"/>
        </w:rPr>
        <w:t> </w:t>
      </w:r>
      <w:r>
        <w:rPr>
          <w:sz w:val="28"/>
        </w:rPr>
        <w:t>report</w:t>
      </w:r>
      <w:r>
        <w:rPr>
          <w:spacing w:val="-5"/>
          <w:sz w:val="28"/>
        </w:rPr>
        <w:t> </w:t>
      </w:r>
      <w:r>
        <w:rPr>
          <w:sz w:val="28"/>
        </w:rPr>
        <w:t>on</w:t>
      </w:r>
      <w:r>
        <w:rPr>
          <w:spacing w:val="-6"/>
          <w:sz w:val="28"/>
        </w:rPr>
        <w:t> </w:t>
      </w:r>
      <w:r>
        <w:rPr>
          <w:sz w:val="28"/>
        </w:rPr>
        <w:t>divergence</w:t>
      </w:r>
      <w:r>
        <w:rPr>
          <w:spacing w:val="-5"/>
          <w:sz w:val="28"/>
        </w:rPr>
        <w:t> </w:t>
      </w:r>
      <w:r>
        <w:rPr>
          <w:sz w:val="28"/>
        </w:rPr>
        <w:t>of</w:t>
      </w:r>
      <w:r>
        <w:rPr>
          <w:spacing w:val="-6"/>
          <w:sz w:val="28"/>
        </w:rPr>
        <w:t> </w:t>
      </w:r>
      <w:r>
        <w:rPr>
          <w:sz w:val="28"/>
        </w:rPr>
        <w:t>rights</w:t>
      </w:r>
      <w:r>
        <w:rPr>
          <w:spacing w:val="-6"/>
          <w:sz w:val="28"/>
        </w:rPr>
        <w:t> </w:t>
      </w:r>
      <w:r>
        <w:rPr>
          <w:sz w:val="28"/>
        </w:rPr>
        <w:t>published</w:t>
      </w:r>
      <w:r>
        <w:rPr>
          <w:spacing w:val="-6"/>
          <w:sz w:val="28"/>
        </w:rPr>
        <w:t> </w:t>
      </w:r>
      <w:r>
        <w:rPr>
          <w:sz w:val="28"/>
        </w:rPr>
        <w:t>by</w:t>
      </w:r>
      <w:r>
        <w:rPr>
          <w:spacing w:val="-5"/>
          <w:sz w:val="28"/>
        </w:rPr>
        <w:t> </w:t>
      </w:r>
      <w:r>
        <w:rPr>
          <w:sz w:val="28"/>
        </w:rPr>
        <w:t>the Commissions,</w:t>
      </w:r>
      <w:r>
        <w:rPr>
          <w:sz w:val="28"/>
          <w:vertAlign w:val="superscript"/>
        </w:rPr>
        <w:t>587</w:t>
      </w:r>
      <w:r>
        <w:rPr>
          <w:sz w:val="28"/>
          <w:vertAlign w:val="baseline"/>
        </w:rPr>
        <w:t> and the Commissions’ subsequent recommendations,</w:t>
      </w:r>
      <w:r>
        <w:rPr>
          <w:sz w:val="28"/>
          <w:vertAlign w:val="superscript"/>
        </w:rPr>
        <w:t>588</w:t>
      </w:r>
    </w:p>
    <w:p>
      <w:pPr>
        <w:pStyle w:val="BodyText"/>
        <w:spacing w:before="2"/>
        <w:rPr>
          <w:sz w:val="18"/>
        </w:rPr>
      </w:pPr>
      <w:r>
        <w:rPr/>
        <mc:AlternateContent>
          <mc:Choice Requires="wps">
            <w:drawing>
              <wp:anchor distT="0" distB="0" distL="0" distR="0" allowOverlap="1" layoutInCell="1" locked="0" behindDoc="1" simplePos="0" relativeHeight="487689216">
                <wp:simplePos x="0" y="0"/>
                <wp:positionH relativeFrom="page">
                  <wp:posOffset>719996</wp:posOffset>
                </wp:positionH>
                <wp:positionV relativeFrom="paragraph">
                  <wp:posOffset>156255</wp:posOffset>
                </wp:positionV>
                <wp:extent cx="6120130" cy="1270"/>
                <wp:effectExtent l="0" t="0" r="0" b="0"/>
                <wp:wrapTopAndBottom/>
                <wp:docPr id="467" name="Graphic 467"/>
                <wp:cNvGraphicFramePr>
                  <a:graphicFrameLocks/>
                </wp:cNvGraphicFramePr>
                <a:graphic>
                  <a:graphicData uri="http://schemas.microsoft.com/office/word/2010/wordprocessingShape">
                    <wps:wsp>
                      <wps:cNvPr id="467" name="Graphic 467"/>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2.303556pt;width:481.9pt;height:.1pt;mso-position-horizontal-relative:page;mso-position-vertical-relative:paragraph;z-index:-15627264;mso-wrap-distance-left:0;mso-wrap-distance-right:0" id="docshape414" coordorigin="1134,246" coordsize="9638,0" path="m10772,246l1134,246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18" w:lineRule="exact" w:before="111" w:after="0"/>
        <w:ind w:left="1853" w:right="0" w:hanging="720"/>
        <w:jc w:val="left"/>
        <w:rPr>
          <w:sz w:val="18"/>
        </w:rPr>
      </w:pPr>
      <w:r>
        <w:rPr>
          <w:sz w:val="18"/>
        </w:rPr>
        <w:t>Article</w:t>
      </w:r>
      <w:r>
        <w:rPr>
          <w:spacing w:val="-3"/>
          <w:sz w:val="18"/>
        </w:rPr>
        <w:t> </w:t>
      </w:r>
      <w:r>
        <w:rPr>
          <w:sz w:val="18"/>
        </w:rPr>
        <w:t>13(3)</w:t>
      </w:r>
      <w:r>
        <w:rPr>
          <w:spacing w:val="-3"/>
          <w:sz w:val="18"/>
        </w:rPr>
        <w:t> </w:t>
      </w:r>
      <w:r>
        <w:rPr>
          <w:sz w:val="18"/>
        </w:rPr>
        <w:t>and</w:t>
      </w:r>
      <w:r>
        <w:rPr>
          <w:spacing w:val="-3"/>
          <w:sz w:val="18"/>
        </w:rPr>
        <w:t> </w:t>
      </w:r>
      <w:r>
        <w:rPr>
          <w:sz w:val="18"/>
        </w:rPr>
        <w:t>(2),</w:t>
      </w:r>
      <w:r>
        <w:rPr>
          <w:spacing w:val="-2"/>
          <w:sz w:val="18"/>
        </w:rPr>
        <w:t> </w:t>
      </w:r>
      <w:r>
        <w:rPr>
          <w:sz w:val="18"/>
        </w:rPr>
        <w:t>Windsor</w:t>
      </w:r>
      <w:r>
        <w:rPr>
          <w:spacing w:val="-2"/>
          <w:sz w:val="18"/>
        </w:rPr>
        <w:t> Framework.</w:t>
      </w:r>
    </w:p>
    <w:p>
      <w:pPr>
        <w:pStyle w:val="ListParagraph"/>
        <w:numPr>
          <w:ilvl w:val="0"/>
          <w:numId w:val="11"/>
        </w:numPr>
        <w:tabs>
          <w:tab w:pos="1853" w:val="left" w:leader="none"/>
        </w:tabs>
        <w:spacing w:line="235" w:lineRule="auto" w:before="2" w:after="0"/>
        <w:ind w:left="1853" w:right="1176" w:hanging="720"/>
        <w:jc w:val="left"/>
        <w:rPr>
          <w:sz w:val="18"/>
        </w:rPr>
      </w:pPr>
      <w:r>
        <w:rPr>
          <w:sz w:val="18"/>
        </w:rPr>
        <w:t>Directive 2000/43/EC, ‘EU Council Directive on Implementing the Principle of Equal Treatment between Persons Irrespective</w:t>
      </w:r>
      <w:r>
        <w:rPr>
          <w:spacing w:val="-6"/>
          <w:sz w:val="18"/>
        </w:rPr>
        <w:t> </w:t>
      </w:r>
      <w:r>
        <w:rPr>
          <w:sz w:val="18"/>
        </w:rPr>
        <w:t>of</w:t>
      </w:r>
      <w:r>
        <w:rPr>
          <w:spacing w:val="-6"/>
          <w:sz w:val="18"/>
        </w:rPr>
        <w:t> </w:t>
      </w:r>
      <w:r>
        <w:rPr>
          <w:sz w:val="18"/>
        </w:rPr>
        <w:t>Racial</w:t>
      </w:r>
      <w:r>
        <w:rPr>
          <w:spacing w:val="-6"/>
          <w:sz w:val="18"/>
        </w:rPr>
        <w:t> </w:t>
      </w:r>
      <w:r>
        <w:rPr>
          <w:sz w:val="18"/>
        </w:rPr>
        <w:t>or</w:t>
      </w:r>
      <w:r>
        <w:rPr>
          <w:spacing w:val="-6"/>
          <w:sz w:val="18"/>
        </w:rPr>
        <w:t> </w:t>
      </w:r>
      <w:r>
        <w:rPr>
          <w:sz w:val="18"/>
        </w:rPr>
        <w:t>Ethnic</w:t>
      </w:r>
      <w:r>
        <w:rPr>
          <w:spacing w:val="-6"/>
          <w:sz w:val="18"/>
        </w:rPr>
        <w:t> </w:t>
      </w:r>
      <w:r>
        <w:rPr>
          <w:sz w:val="18"/>
        </w:rPr>
        <w:t>Origin’,</w:t>
      </w:r>
      <w:r>
        <w:rPr>
          <w:spacing w:val="-6"/>
          <w:sz w:val="18"/>
        </w:rPr>
        <w:t> </w:t>
      </w:r>
      <w:r>
        <w:rPr>
          <w:sz w:val="18"/>
        </w:rPr>
        <w:t>29</w:t>
      </w:r>
      <w:r>
        <w:rPr>
          <w:spacing w:val="-6"/>
          <w:sz w:val="18"/>
        </w:rPr>
        <w:t> </w:t>
      </w:r>
      <w:r>
        <w:rPr>
          <w:sz w:val="18"/>
        </w:rPr>
        <w:t>June</w:t>
      </w:r>
      <w:r>
        <w:rPr>
          <w:spacing w:val="-6"/>
          <w:sz w:val="18"/>
        </w:rPr>
        <w:t> </w:t>
      </w:r>
      <w:r>
        <w:rPr>
          <w:sz w:val="18"/>
        </w:rPr>
        <w:t>2000;</w:t>
      </w:r>
      <w:r>
        <w:rPr>
          <w:spacing w:val="-6"/>
          <w:sz w:val="18"/>
        </w:rPr>
        <w:t> </w:t>
      </w:r>
      <w:r>
        <w:rPr>
          <w:sz w:val="18"/>
        </w:rPr>
        <w:t>Directive</w:t>
      </w:r>
      <w:r>
        <w:rPr>
          <w:spacing w:val="-6"/>
          <w:sz w:val="18"/>
        </w:rPr>
        <w:t> </w:t>
      </w:r>
      <w:r>
        <w:rPr>
          <w:sz w:val="18"/>
        </w:rPr>
        <w:t>2000/78/EC,</w:t>
      </w:r>
      <w:r>
        <w:rPr>
          <w:spacing w:val="-6"/>
          <w:sz w:val="18"/>
        </w:rPr>
        <w:t> </w:t>
      </w:r>
      <w:r>
        <w:rPr>
          <w:sz w:val="18"/>
        </w:rPr>
        <w:t>‘EU</w:t>
      </w:r>
      <w:r>
        <w:rPr>
          <w:spacing w:val="-6"/>
          <w:sz w:val="18"/>
        </w:rPr>
        <w:t> </w:t>
      </w:r>
      <w:r>
        <w:rPr>
          <w:sz w:val="18"/>
        </w:rPr>
        <w:t>Council</w:t>
      </w:r>
      <w:r>
        <w:rPr>
          <w:spacing w:val="-6"/>
          <w:sz w:val="18"/>
        </w:rPr>
        <w:t> </w:t>
      </w:r>
      <w:r>
        <w:rPr>
          <w:sz w:val="18"/>
        </w:rPr>
        <w:t>Directive</w:t>
      </w:r>
      <w:r>
        <w:rPr>
          <w:spacing w:val="-6"/>
          <w:sz w:val="18"/>
        </w:rPr>
        <w:t> </w:t>
      </w:r>
      <w:r>
        <w:rPr>
          <w:sz w:val="18"/>
        </w:rPr>
        <w:t>on</w:t>
      </w:r>
      <w:r>
        <w:rPr>
          <w:spacing w:val="-6"/>
          <w:sz w:val="18"/>
        </w:rPr>
        <w:t> </w:t>
      </w:r>
      <w:r>
        <w:rPr>
          <w:sz w:val="18"/>
        </w:rPr>
        <w:t>Establishing</w:t>
      </w:r>
      <w:r>
        <w:rPr>
          <w:spacing w:val="-6"/>
          <w:sz w:val="18"/>
        </w:rPr>
        <w:t> </w:t>
      </w:r>
      <w:r>
        <w:rPr>
          <w:sz w:val="18"/>
        </w:rPr>
        <w:t>a</w:t>
      </w:r>
      <w:r>
        <w:rPr>
          <w:spacing w:val="-6"/>
          <w:sz w:val="18"/>
        </w:rPr>
        <w:t> </w:t>
      </w:r>
      <w:r>
        <w:rPr>
          <w:sz w:val="18"/>
        </w:rPr>
        <w:t>General Framework for Equal Treatment in Employment and Occupation’, 27 November 2000; Directive 2006/54/EC, ‘EU Council Directive on the Implementation of the Principle of Equal Opportunities and Equal Treatment of Men and Women in Matters of Employment and Occupation’, 5 July 2006; Directive 2010/41/EU, ‘EU Parliament and EU Council Directive on the Application of the Principle of Equal Treatment between Men and Women Engaged in an Activity in a Self-employed Capacity’, 7 July 2010.</w:t>
      </w:r>
    </w:p>
    <w:p>
      <w:pPr>
        <w:pStyle w:val="ListParagraph"/>
        <w:numPr>
          <w:ilvl w:val="0"/>
          <w:numId w:val="11"/>
        </w:numPr>
        <w:tabs>
          <w:tab w:pos="1853" w:val="left" w:leader="none"/>
        </w:tabs>
        <w:spacing w:line="235" w:lineRule="auto" w:before="4" w:after="0"/>
        <w:ind w:left="1853" w:right="1463" w:hanging="720"/>
        <w:jc w:val="left"/>
        <w:rPr>
          <w:sz w:val="18"/>
        </w:rPr>
      </w:pPr>
      <w:r>
        <w:rPr>
          <w:sz w:val="18"/>
        </w:rPr>
        <w:t>Directive</w:t>
      </w:r>
      <w:r>
        <w:rPr>
          <w:spacing w:val="-7"/>
          <w:sz w:val="18"/>
        </w:rPr>
        <w:t> </w:t>
      </w:r>
      <w:r>
        <w:rPr>
          <w:sz w:val="18"/>
        </w:rPr>
        <w:t>2010/18/EU,</w:t>
      </w:r>
      <w:r>
        <w:rPr>
          <w:spacing w:val="-7"/>
          <w:sz w:val="18"/>
        </w:rPr>
        <w:t> </w:t>
      </w:r>
      <w:r>
        <w:rPr>
          <w:sz w:val="18"/>
        </w:rPr>
        <w:t>‘Council</w:t>
      </w:r>
      <w:r>
        <w:rPr>
          <w:spacing w:val="-8"/>
          <w:sz w:val="18"/>
        </w:rPr>
        <w:t> </w:t>
      </w:r>
      <w:r>
        <w:rPr>
          <w:sz w:val="18"/>
        </w:rPr>
        <w:t>Directive</w:t>
      </w:r>
      <w:r>
        <w:rPr>
          <w:spacing w:val="-7"/>
          <w:sz w:val="18"/>
        </w:rPr>
        <w:t> </w:t>
      </w:r>
      <w:r>
        <w:rPr>
          <w:sz w:val="18"/>
        </w:rPr>
        <w:t>implementing</w:t>
      </w:r>
      <w:r>
        <w:rPr>
          <w:spacing w:val="-7"/>
          <w:sz w:val="18"/>
        </w:rPr>
        <w:t> </w:t>
      </w:r>
      <w:r>
        <w:rPr>
          <w:sz w:val="18"/>
        </w:rPr>
        <w:t>the</w:t>
      </w:r>
      <w:r>
        <w:rPr>
          <w:spacing w:val="-7"/>
          <w:sz w:val="18"/>
        </w:rPr>
        <w:t> </w:t>
      </w:r>
      <w:r>
        <w:rPr>
          <w:sz w:val="18"/>
        </w:rPr>
        <w:t>revised</w:t>
      </w:r>
      <w:r>
        <w:rPr>
          <w:spacing w:val="-8"/>
          <w:sz w:val="18"/>
        </w:rPr>
        <w:t> </w:t>
      </w:r>
      <w:r>
        <w:rPr>
          <w:sz w:val="18"/>
        </w:rPr>
        <w:t>Framework</w:t>
      </w:r>
      <w:r>
        <w:rPr>
          <w:spacing w:val="-7"/>
          <w:sz w:val="18"/>
        </w:rPr>
        <w:t> </w:t>
      </w:r>
      <w:r>
        <w:rPr>
          <w:sz w:val="18"/>
        </w:rPr>
        <w:t>Agreement</w:t>
      </w:r>
      <w:r>
        <w:rPr>
          <w:spacing w:val="-7"/>
          <w:sz w:val="18"/>
        </w:rPr>
        <w:t> </w:t>
      </w:r>
      <w:r>
        <w:rPr>
          <w:sz w:val="18"/>
        </w:rPr>
        <w:t>on</w:t>
      </w:r>
      <w:r>
        <w:rPr>
          <w:spacing w:val="-8"/>
          <w:sz w:val="18"/>
        </w:rPr>
        <w:t> </w:t>
      </w:r>
      <w:r>
        <w:rPr>
          <w:sz w:val="18"/>
        </w:rPr>
        <w:t>parental</w:t>
      </w:r>
      <w:r>
        <w:rPr>
          <w:spacing w:val="-8"/>
          <w:sz w:val="18"/>
        </w:rPr>
        <w:t> </w:t>
      </w:r>
      <w:r>
        <w:rPr>
          <w:sz w:val="18"/>
        </w:rPr>
        <w:t>leave’,</w:t>
      </w:r>
      <w:r>
        <w:rPr>
          <w:spacing w:val="-7"/>
          <w:sz w:val="18"/>
        </w:rPr>
        <w:t> </w:t>
      </w:r>
      <w:r>
        <w:rPr>
          <w:sz w:val="18"/>
        </w:rPr>
        <w:t>8</w:t>
      </w:r>
      <w:r>
        <w:rPr>
          <w:spacing w:val="-7"/>
          <w:sz w:val="18"/>
        </w:rPr>
        <w:t> </w:t>
      </w:r>
      <w:r>
        <w:rPr>
          <w:sz w:val="18"/>
        </w:rPr>
        <w:t>March </w:t>
      </w:r>
      <w:r>
        <w:rPr>
          <w:spacing w:val="-2"/>
          <w:sz w:val="18"/>
        </w:rPr>
        <w:t>2010.</w:t>
      </w:r>
    </w:p>
    <w:p>
      <w:pPr>
        <w:pStyle w:val="ListParagraph"/>
        <w:numPr>
          <w:ilvl w:val="0"/>
          <w:numId w:val="11"/>
        </w:numPr>
        <w:tabs>
          <w:tab w:pos="1853" w:val="left" w:leader="none"/>
        </w:tabs>
        <w:spacing w:line="235" w:lineRule="auto" w:before="2" w:after="0"/>
        <w:ind w:left="1853" w:right="1267" w:hanging="720"/>
        <w:jc w:val="left"/>
        <w:rPr>
          <w:sz w:val="18"/>
        </w:rPr>
      </w:pPr>
      <w:r>
        <w:rPr>
          <w:sz w:val="18"/>
        </w:rPr>
        <w:t>Directive 92/85/EEC, ‘Council Directive on the Introduction of Measures to Encourage Improvements in the Safety and Health</w:t>
      </w:r>
      <w:r>
        <w:rPr>
          <w:spacing w:val="-8"/>
          <w:sz w:val="18"/>
        </w:rPr>
        <w:t> </w:t>
      </w:r>
      <w:r>
        <w:rPr>
          <w:sz w:val="18"/>
        </w:rPr>
        <w:t>at</w:t>
      </w:r>
      <w:r>
        <w:rPr>
          <w:spacing w:val="-7"/>
          <w:sz w:val="18"/>
        </w:rPr>
        <w:t> </w:t>
      </w:r>
      <w:r>
        <w:rPr>
          <w:sz w:val="18"/>
        </w:rPr>
        <w:t>Work</w:t>
      </w:r>
      <w:r>
        <w:rPr>
          <w:spacing w:val="-7"/>
          <w:sz w:val="18"/>
        </w:rPr>
        <w:t> </w:t>
      </w:r>
      <w:r>
        <w:rPr>
          <w:sz w:val="18"/>
        </w:rPr>
        <w:t>of</w:t>
      </w:r>
      <w:r>
        <w:rPr>
          <w:spacing w:val="-8"/>
          <w:sz w:val="18"/>
        </w:rPr>
        <w:t> </w:t>
      </w:r>
      <w:r>
        <w:rPr>
          <w:sz w:val="18"/>
        </w:rPr>
        <w:t>Pregnant</w:t>
      </w:r>
      <w:r>
        <w:rPr>
          <w:spacing w:val="-7"/>
          <w:sz w:val="18"/>
        </w:rPr>
        <w:t> </w:t>
      </w:r>
      <w:r>
        <w:rPr>
          <w:sz w:val="18"/>
        </w:rPr>
        <w:t>Workers</w:t>
      </w:r>
      <w:r>
        <w:rPr>
          <w:spacing w:val="-8"/>
          <w:sz w:val="18"/>
        </w:rPr>
        <w:t> </w:t>
      </w:r>
      <w:r>
        <w:rPr>
          <w:sz w:val="18"/>
        </w:rPr>
        <w:t>and</w:t>
      </w:r>
      <w:r>
        <w:rPr>
          <w:spacing w:val="-8"/>
          <w:sz w:val="18"/>
        </w:rPr>
        <w:t> </w:t>
      </w:r>
      <w:r>
        <w:rPr>
          <w:sz w:val="18"/>
        </w:rPr>
        <w:t>Workers</w:t>
      </w:r>
      <w:r>
        <w:rPr>
          <w:spacing w:val="-8"/>
          <w:sz w:val="18"/>
        </w:rPr>
        <w:t> </w:t>
      </w:r>
      <w:r>
        <w:rPr>
          <w:sz w:val="18"/>
        </w:rPr>
        <w:t>who</w:t>
      </w:r>
      <w:r>
        <w:rPr>
          <w:spacing w:val="-8"/>
          <w:sz w:val="18"/>
        </w:rPr>
        <w:t> </w:t>
      </w:r>
      <w:r>
        <w:rPr>
          <w:sz w:val="18"/>
        </w:rPr>
        <w:t>have</w:t>
      </w:r>
      <w:r>
        <w:rPr>
          <w:spacing w:val="-7"/>
          <w:sz w:val="18"/>
        </w:rPr>
        <w:t> </w:t>
      </w:r>
      <w:r>
        <w:rPr>
          <w:sz w:val="18"/>
        </w:rPr>
        <w:t>Recently</w:t>
      </w:r>
      <w:r>
        <w:rPr>
          <w:spacing w:val="-7"/>
          <w:sz w:val="18"/>
        </w:rPr>
        <w:t> </w:t>
      </w:r>
      <w:r>
        <w:rPr>
          <w:sz w:val="18"/>
        </w:rPr>
        <w:t>Given</w:t>
      </w:r>
      <w:r>
        <w:rPr>
          <w:spacing w:val="-8"/>
          <w:sz w:val="18"/>
        </w:rPr>
        <w:t> </w:t>
      </w:r>
      <w:r>
        <w:rPr>
          <w:sz w:val="18"/>
        </w:rPr>
        <w:t>Birth</w:t>
      </w:r>
      <w:r>
        <w:rPr>
          <w:spacing w:val="-8"/>
          <w:sz w:val="18"/>
        </w:rPr>
        <w:t> </w:t>
      </w:r>
      <w:r>
        <w:rPr>
          <w:sz w:val="18"/>
        </w:rPr>
        <w:t>or</w:t>
      </w:r>
      <w:r>
        <w:rPr>
          <w:spacing w:val="-7"/>
          <w:sz w:val="18"/>
        </w:rPr>
        <w:t> </w:t>
      </w:r>
      <w:r>
        <w:rPr>
          <w:sz w:val="18"/>
        </w:rPr>
        <w:t>are</w:t>
      </w:r>
      <w:r>
        <w:rPr>
          <w:spacing w:val="-7"/>
          <w:sz w:val="18"/>
        </w:rPr>
        <w:t> </w:t>
      </w:r>
      <w:r>
        <w:rPr>
          <w:sz w:val="18"/>
        </w:rPr>
        <w:t>Breastfeeding’,</w:t>
      </w:r>
      <w:r>
        <w:rPr>
          <w:spacing w:val="-7"/>
          <w:sz w:val="18"/>
        </w:rPr>
        <w:t> </w:t>
      </w:r>
      <w:r>
        <w:rPr>
          <w:sz w:val="18"/>
        </w:rPr>
        <w:t>19</w:t>
      </w:r>
      <w:r>
        <w:rPr>
          <w:spacing w:val="-7"/>
          <w:sz w:val="18"/>
        </w:rPr>
        <w:t> </w:t>
      </w:r>
      <w:r>
        <w:rPr>
          <w:sz w:val="18"/>
        </w:rPr>
        <w:t>October</w:t>
      </w:r>
      <w:r>
        <w:rPr>
          <w:spacing w:val="-7"/>
          <w:sz w:val="18"/>
        </w:rPr>
        <w:t> </w:t>
      </w:r>
      <w:r>
        <w:rPr>
          <w:sz w:val="18"/>
        </w:rPr>
        <w:t>1992.</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Directive</w:t>
      </w:r>
      <w:r>
        <w:rPr>
          <w:spacing w:val="-8"/>
          <w:sz w:val="18"/>
        </w:rPr>
        <w:t> </w:t>
      </w:r>
      <w:r>
        <w:rPr>
          <w:sz w:val="18"/>
        </w:rPr>
        <w:t>97/81/EC,</w:t>
      </w:r>
      <w:r>
        <w:rPr>
          <w:spacing w:val="-8"/>
          <w:sz w:val="18"/>
        </w:rPr>
        <w:t> </w:t>
      </w:r>
      <w:r>
        <w:rPr>
          <w:sz w:val="18"/>
        </w:rPr>
        <w:t>‘Council</w:t>
      </w:r>
      <w:r>
        <w:rPr>
          <w:spacing w:val="-8"/>
          <w:sz w:val="18"/>
        </w:rPr>
        <w:t> </w:t>
      </w:r>
      <w:r>
        <w:rPr>
          <w:sz w:val="18"/>
        </w:rPr>
        <w:t>Directive</w:t>
      </w:r>
      <w:r>
        <w:rPr>
          <w:spacing w:val="-8"/>
          <w:sz w:val="18"/>
        </w:rPr>
        <w:t> </w:t>
      </w:r>
      <w:r>
        <w:rPr>
          <w:sz w:val="18"/>
        </w:rPr>
        <w:t>Concerning</w:t>
      </w:r>
      <w:r>
        <w:rPr>
          <w:spacing w:val="-8"/>
          <w:sz w:val="18"/>
        </w:rPr>
        <w:t> </w:t>
      </w:r>
      <w:r>
        <w:rPr>
          <w:sz w:val="18"/>
        </w:rPr>
        <w:t>the</w:t>
      </w:r>
      <w:r>
        <w:rPr>
          <w:spacing w:val="-8"/>
          <w:sz w:val="18"/>
        </w:rPr>
        <w:t> </w:t>
      </w:r>
      <w:r>
        <w:rPr>
          <w:sz w:val="18"/>
        </w:rPr>
        <w:t>Framework</w:t>
      </w:r>
      <w:r>
        <w:rPr>
          <w:spacing w:val="-7"/>
          <w:sz w:val="18"/>
        </w:rPr>
        <w:t> </w:t>
      </w:r>
      <w:r>
        <w:rPr>
          <w:sz w:val="18"/>
        </w:rPr>
        <w:t>Agreement</w:t>
      </w:r>
      <w:r>
        <w:rPr>
          <w:spacing w:val="-8"/>
          <w:sz w:val="18"/>
        </w:rPr>
        <w:t> </w:t>
      </w:r>
      <w:r>
        <w:rPr>
          <w:sz w:val="18"/>
        </w:rPr>
        <w:t>on</w:t>
      </w:r>
      <w:r>
        <w:rPr>
          <w:spacing w:val="-9"/>
          <w:sz w:val="18"/>
        </w:rPr>
        <w:t> </w:t>
      </w:r>
      <w:r>
        <w:rPr>
          <w:sz w:val="18"/>
        </w:rPr>
        <w:t>Part-time</w:t>
      </w:r>
      <w:r>
        <w:rPr>
          <w:spacing w:val="-7"/>
          <w:sz w:val="18"/>
        </w:rPr>
        <w:t> </w:t>
      </w:r>
      <w:r>
        <w:rPr>
          <w:sz w:val="18"/>
        </w:rPr>
        <w:t>Workers’,</w:t>
      </w:r>
      <w:r>
        <w:rPr>
          <w:spacing w:val="-8"/>
          <w:sz w:val="18"/>
        </w:rPr>
        <w:t> </w:t>
      </w:r>
      <w:r>
        <w:rPr>
          <w:sz w:val="18"/>
        </w:rPr>
        <w:t>15</w:t>
      </w:r>
      <w:r>
        <w:rPr>
          <w:spacing w:val="-8"/>
          <w:sz w:val="18"/>
        </w:rPr>
        <w:t> </w:t>
      </w:r>
      <w:r>
        <w:rPr>
          <w:sz w:val="18"/>
        </w:rPr>
        <w:t>December</w:t>
      </w:r>
      <w:r>
        <w:rPr>
          <w:spacing w:val="-7"/>
          <w:sz w:val="18"/>
        </w:rPr>
        <w:t> </w:t>
      </w:r>
      <w:r>
        <w:rPr>
          <w:spacing w:val="-2"/>
          <w:sz w:val="18"/>
        </w:rPr>
        <w:t>1997.</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Directive</w:t>
      </w:r>
      <w:r>
        <w:rPr>
          <w:spacing w:val="-7"/>
          <w:sz w:val="18"/>
        </w:rPr>
        <w:t> </w:t>
      </w:r>
      <w:r>
        <w:rPr>
          <w:sz w:val="18"/>
        </w:rPr>
        <w:t>2008/104/EC,</w:t>
      </w:r>
      <w:r>
        <w:rPr>
          <w:spacing w:val="-6"/>
          <w:sz w:val="18"/>
        </w:rPr>
        <w:t> </w:t>
      </w:r>
      <w:r>
        <w:rPr>
          <w:sz w:val="18"/>
        </w:rPr>
        <w:t>‘EU</w:t>
      </w:r>
      <w:r>
        <w:rPr>
          <w:spacing w:val="-7"/>
          <w:sz w:val="18"/>
        </w:rPr>
        <w:t> </w:t>
      </w:r>
      <w:r>
        <w:rPr>
          <w:sz w:val="18"/>
        </w:rPr>
        <w:t>Parliament</w:t>
      </w:r>
      <w:r>
        <w:rPr>
          <w:spacing w:val="-6"/>
          <w:sz w:val="18"/>
        </w:rPr>
        <w:t> </w:t>
      </w:r>
      <w:r>
        <w:rPr>
          <w:sz w:val="18"/>
        </w:rPr>
        <w:t>and</w:t>
      </w:r>
      <w:r>
        <w:rPr>
          <w:spacing w:val="-8"/>
          <w:sz w:val="18"/>
        </w:rPr>
        <w:t> </w:t>
      </w:r>
      <w:r>
        <w:rPr>
          <w:sz w:val="18"/>
        </w:rPr>
        <w:t>Council</w:t>
      </w:r>
      <w:r>
        <w:rPr>
          <w:spacing w:val="-7"/>
          <w:sz w:val="18"/>
        </w:rPr>
        <w:t> </w:t>
      </w:r>
      <w:r>
        <w:rPr>
          <w:sz w:val="18"/>
        </w:rPr>
        <w:t>Directive</w:t>
      </w:r>
      <w:r>
        <w:rPr>
          <w:spacing w:val="-7"/>
          <w:sz w:val="18"/>
        </w:rPr>
        <w:t> </w:t>
      </w:r>
      <w:r>
        <w:rPr>
          <w:sz w:val="18"/>
        </w:rPr>
        <w:t>on</w:t>
      </w:r>
      <w:r>
        <w:rPr>
          <w:spacing w:val="-7"/>
          <w:sz w:val="18"/>
        </w:rPr>
        <w:t> </w:t>
      </w:r>
      <w:r>
        <w:rPr>
          <w:sz w:val="18"/>
        </w:rPr>
        <w:t>temporary</w:t>
      </w:r>
      <w:r>
        <w:rPr>
          <w:spacing w:val="-6"/>
          <w:sz w:val="18"/>
        </w:rPr>
        <w:t> </w:t>
      </w:r>
      <w:r>
        <w:rPr>
          <w:sz w:val="18"/>
        </w:rPr>
        <w:t>agency</w:t>
      </w:r>
      <w:r>
        <w:rPr>
          <w:spacing w:val="-7"/>
          <w:sz w:val="18"/>
        </w:rPr>
        <w:t> </w:t>
      </w:r>
      <w:r>
        <w:rPr>
          <w:sz w:val="18"/>
        </w:rPr>
        <w:t>work’,</w:t>
      </w:r>
      <w:r>
        <w:rPr>
          <w:spacing w:val="-6"/>
          <w:sz w:val="18"/>
        </w:rPr>
        <w:t> </w:t>
      </w:r>
      <w:r>
        <w:rPr>
          <w:sz w:val="18"/>
        </w:rPr>
        <w:t>19</w:t>
      </w:r>
      <w:r>
        <w:rPr>
          <w:spacing w:val="-7"/>
          <w:sz w:val="18"/>
        </w:rPr>
        <w:t> </w:t>
      </w:r>
      <w:r>
        <w:rPr>
          <w:sz w:val="18"/>
        </w:rPr>
        <w:t>November</w:t>
      </w:r>
      <w:r>
        <w:rPr>
          <w:spacing w:val="-6"/>
          <w:sz w:val="18"/>
        </w:rPr>
        <w:t> </w:t>
      </w:r>
      <w:r>
        <w:rPr>
          <w:spacing w:val="-2"/>
          <w:sz w:val="18"/>
        </w:rPr>
        <w:t>2008.</w:t>
      </w:r>
    </w:p>
    <w:p>
      <w:pPr>
        <w:pStyle w:val="ListParagraph"/>
        <w:numPr>
          <w:ilvl w:val="0"/>
          <w:numId w:val="11"/>
        </w:numPr>
        <w:tabs>
          <w:tab w:pos="1853" w:val="left" w:leader="none"/>
        </w:tabs>
        <w:spacing w:line="235" w:lineRule="auto" w:before="1" w:after="0"/>
        <w:ind w:left="1853" w:right="1919" w:hanging="720"/>
        <w:jc w:val="left"/>
        <w:rPr>
          <w:sz w:val="18"/>
        </w:rPr>
      </w:pP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and</w:t>
      </w:r>
      <w:r>
        <w:rPr>
          <w:spacing w:val="-4"/>
          <w:sz w:val="18"/>
        </w:rPr>
        <w:t> </w:t>
      </w:r>
      <w:r>
        <w:rPr>
          <w:sz w:val="18"/>
        </w:rPr>
        <w:t>Equality</w:t>
      </w:r>
      <w:r>
        <w:rPr>
          <w:spacing w:val="-3"/>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‘Annual</w:t>
      </w:r>
      <w:r>
        <w:rPr>
          <w:spacing w:val="-4"/>
          <w:sz w:val="18"/>
        </w:rPr>
        <w:t> </w:t>
      </w:r>
      <w:r>
        <w:rPr>
          <w:sz w:val="18"/>
        </w:rPr>
        <w:t>Report</w:t>
      </w:r>
      <w:r>
        <w:rPr>
          <w:spacing w:val="-3"/>
          <w:sz w:val="18"/>
        </w:rPr>
        <w:t> </w:t>
      </w:r>
      <w:r>
        <w:rPr>
          <w:sz w:val="18"/>
        </w:rPr>
        <w:t>of</w:t>
      </w:r>
      <w:r>
        <w:rPr>
          <w:spacing w:val="-4"/>
          <w:sz w:val="18"/>
        </w:rPr>
        <w:t> </w:t>
      </w:r>
      <w:r>
        <w:rPr>
          <w:sz w:val="18"/>
        </w:rPr>
        <w:t>the</w:t>
      </w:r>
      <w:r>
        <w:rPr>
          <w:spacing w:val="-3"/>
          <w:sz w:val="18"/>
        </w:rPr>
        <w:t> </w:t>
      </w:r>
      <w:r>
        <w:rPr>
          <w:sz w:val="18"/>
        </w:rPr>
        <w:t>NIHRC</w:t>
      </w:r>
      <w:r>
        <w:rPr>
          <w:spacing w:val="-4"/>
          <w:sz w:val="18"/>
        </w:rPr>
        <w:t> </w:t>
      </w:r>
      <w:r>
        <w:rPr>
          <w:sz w:val="18"/>
        </w:rPr>
        <w:t>and</w:t>
      </w:r>
      <w:r>
        <w:rPr>
          <w:spacing w:val="-4"/>
          <w:sz w:val="18"/>
        </w:rPr>
        <w:t> </w:t>
      </w:r>
      <w:r>
        <w:rPr>
          <w:sz w:val="18"/>
        </w:rPr>
        <w:t>the</w:t>
      </w:r>
      <w:r>
        <w:rPr>
          <w:spacing w:val="-3"/>
          <w:sz w:val="18"/>
        </w:rPr>
        <w:t> </w:t>
      </w:r>
      <w:r>
        <w:rPr>
          <w:sz w:val="18"/>
        </w:rPr>
        <w:t>ECNI</w:t>
      </w:r>
      <w:r>
        <w:rPr>
          <w:spacing w:val="-3"/>
          <w:sz w:val="18"/>
        </w:rPr>
        <w:t> </w:t>
      </w:r>
      <w:r>
        <w:rPr>
          <w:sz w:val="18"/>
        </w:rPr>
        <w:t>on</w:t>
      </w:r>
      <w:r>
        <w:rPr>
          <w:spacing w:val="-4"/>
          <w:sz w:val="18"/>
        </w:rPr>
        <w:t> </w:t>
      </w:r>
      <w:r>
        <w:rPr>
          <w:sz w:val="18"/>
        </w:rPr>
        <w:t>the implementation of Protocol Article 2 2021 – 2022</w:t>
      </w:r>
      <w:r>
        <w:rPr>
          <w:color w:val="0562C1"/>
          <w:sz w:val="18"/>
        </w:rPr>
        <w:t>’ </w:t>
      </w:r>
      <w:r>
        <w:rPr>
          <w:sz w:val="18"/>
        </w:rPr>
        <w:t>(NIHRC and ECNI, 2022).</w:t>
      </w:r>
    </w:p>
    <w:p>
      <w:pPr>
        <w:pStyle w:val="ListParagraph"/>
        <w:numPr>
          <w:ilvl w:val="0"/>
          <w:numId w:val="11"/>
        </w:numPr>
        <w:tabs>
          <w:tab w:pos="1853" w:val="left" w:leader="none"/>
        </w:tabs>
        <w:spacing w:line="235" w:lineRule="auto" w:before="2" w:after="0"/>
        <w:ind w:left="1853" w:right="1408" w:hanging="720"/>
        <w:jc w:val="both"/>
        <w:rPr>
          <w:sz w:val="18"/>
        </w:rPr>
      </w:pPr>
      <w:r>
        <w:rPr>
          <w:sz w:val="18"/>
        </w:rPr>
        <w:t>Sarah</w:t>
      </w:r>
      <w:r>
        <w:rPr>
          <w:spacing w:val="-7"/>
          <w:sz w:val="18"/>
        </w:rPr>
        <w:t> </w:t>
      </w:r>
      <w:r>
        <w:rPr>
          <w:sz w:val="18"/>
        </w:rPr>
        <w:t>Craig,</w:t>
      </w:r>
      <w:r>
        <w:rPr>
          <w:spacing w:val="-6"/>
          <w:sz w:val="18"/>
        </w:rPr>
        <w:t> </w:t>
      </w:r>
      <w:r>
        <w:rPr>
          <w:sz w:val="18"/>
        </w:rPr>
        <w:t>Anurag</w:t>
      </w:r>
      <w:r>
        <w:rPr>
          <w:spacing w:val="-6"/>
          <w:sz w:val="18"/>
        </w:rPr>
        <w:t> </w:t>
      </w:r>
      <w:r>
        <w:rPr>
          <w:sz w:val="18"/>
        </w:rPr>
        <w:t>Deb,</w:t>
      </w:r>
      <w:r>
        <w:rPr>
          <w:spacing w:val="-6"/>
          <w:sz w:val="18"/>
        </w:rPr>
        <w:t> </w:t>
      </w:r>
      <w:r>
        <w:rPr>
          <w:sz w:val="18"/>
        </w:rPr>
        <w:t>Eleni</w:t>
      </w:r>
      <w:r>
        <w:rPr>
          <w:spacing w:val="-7"/>
          <w:sz w:val="18"/>
        </w:rPr>
        <w:t> </w:t>
      </w:r>
      <w:r>
        <w:rPr>
          <w:sz w:val="18"/>
        </w:rPr>
        <w:t>Frantziou,</w:t>
      </w:r>
      <w:r>
        <w:rPr>
          <w:spacing w:val="-6"/>
          <w:sz w:val="18"/>
        </w:rPr>
        <w:t> </w:t>
      </w:r>
      <w:r>
        <w:rPr>
          <w:sz w:val="18"/>
        </w:rPr>
        <w:t>Alexander</w:t>
      </w:r>
      <w:r>
        <w:rPr>
          <w:spacing w:val="-6"/>
          <w:sz w:val="18"/>
        </w:rPr>
        <w:t> </w:t>
      </w:r>
      <w:r>
        <w:rPr>
          <w:sz w:val="18"/>
        </w:rPr>
        <w:t>Horne,</w:t>
      </w:r>
      <w:r>
        <w:rPr>
          <w:spacing w:val="-6"/>
          <w:sz w:val="18"/>
        </w:rPr>
        <w:t> </w:t>
      </w:r>
      <w:r>
        <w:rPr>
          <w:sz w:val="18"/>
        </w:rPr>
        <w:t>Colin</w:t>
      </w:r>
      <w:r>
        <w:rPr>
          <w:spacing w:val="-7"/>
          <w:sz w:val="18"/>
        </w:rPr>
        <w:t> </w:t>
      </w:r>
      <w:r>
        <w:rPr>
          <w:sz w:val="18"/>
        </w:rPr>
        <w:t>Murray,</w:t>
      </w:r>
      <w:r>
        <w:rPr>
          <w:spacing w:val="-6"/>
          <w:sz w:val="18"/>
        </w:rPr>
        <w:t> </w:t>
      </w:r>
      <w:r>
        <w:rPr>
          <w:sz w:val="18"/>
        </w:rPr>
        <w:t>Clare</w:t>
      </w:r>
      <w:r>
        <w:rPr>
          <w:spacing w:val="-6"/>
          <w:sz w:val="18"/>
        </w:rPr>
        <w:t> </w:t>
      </w:r>
      <w:r>
        <w:rPr>
          <w:sz w:val="18"/>
        </w:rPr>
        <w:t>Rice</w:t>
      </w:r>
      <w:r>
        <w:rPr>
          <w:spacing w:val="-6"/>
          <w:sz w:val="18"/>
        </w:rPr>
        <w:t> </w:t>
      </w:r>
      <w:r>
        <w:rPr>
          <w:sz w:val="18"/>
        </w:rPr>
        <w:t>and</w:t>
      </w:r>
      <w:r>
        <w:rPr>
          <w:spacing w:val="-7"/>
          <w:sz w:val="18"/>
        </w:rPr>
        <w:t> </w:t>
      </w:r>
      <w:r>
        <w:rPr>
          <w:sz w:val="18"/>
        </w:rPr>
        <w:t>Jane</w:t>
      </w:r>
      <w:r>
        <w:rPr>
          <w:spacing w:val="-6"/>
          <w:sz w:val="18"/>
        </w:rPr>
        <w:t> </w:t>
      </w:r>
      <w:r>
        <w:rPr>
          <w:sz w:val="18"/>
        </w:rPr>
        <w:t>Rooney,</w:t>
      </w:r>
      <w:r>
        <w:rPr>
          <w:spacing w:val="-6"/>
          <w:sz w:val="18"/>
        </w:rPr>
        <w:t> </w:t>
      </w:r>
      <w:r>
        <w:rPr>
          <w:sz w:val="18"/>
        </w:rPr>
        <w:t>‘European</w:t>
      </w:r>
      <w:r>
        <w:rPr>
          <w:spacing w:val="-7"/>
          <w:sz w:val="18"/>
        </w:rPr>
        <w:t> </w:t>
      </w:r>
      <w:r>
        <w:rPr>
          <w:sz w:val="18"/>
        </w:rPr>
        <w:t>Union developments</w:t>
      </w:r>
      <w:r>
        <w:rPr>
          <w:spacing w:val="-1"/>
          <w:sz w:val="18"/>
        </w:rPr>
        <w:t> </w:t>
      </w:r>
      <w:r>
        <w:rPr>
          <w:sz w:val="18"/>
        </w:rPr>
        <w:t>in</w:t>
      </w:r>
      <w:r>
        <w:rPr>
          <w:spacing w:val="-1"/>
          <w:sz w:val="18"/>
        </w:rPr>
        <w:t> </w:t>
      </w:r>
      <w:r>
        <w:rPr>
          <w:sz w:val="18"/>
        </w:rPr>
        <w:t>Equality and</w:t>
      </w:r>
      <w:r>
        <w:rPr>
          <w:spacing w:val="-1"/>
          <w:sz w:val="18"/>
        </w:rPr>
        <w:t> </w:t>
      </w:r>
      <w:r>
        <w:rPr>
          <w:sz w:val="18"/>
        </w:rPr>
        <w:t>Human</w:t>
      </w:r>
      <w:r>
        <w:rPr>
          <w:spacing w:val="-1"/>
          <w:sz w:val="18"/>
        </w:rPr>
        <w:t> </w:t>
      </w:r>
      <w:r>
        <w:rPr>
          <w:sz w:val="18"/>
        </w:rPr>
        <w:t>Rights: The Impact of</w:t>
      </w:r>
      <w:r>
        <w:rPr>
          <w:spacing w:val="-1"/>
          <w:sz w:val="18"/>
        </w:rPr>
        <w:t> </w:t>
      </w:r>
      <w:r>
        <w:rPr>
          <w:sz w:val="18"/>
        </w:rPr>
        <w:t>Brexit on</w:t>
      </w:r>
      <w:r>
        <w:rPr>
          <w:spacing w:val="-1"/>
          <w:sz w:val="18"/>
        </w:rPr>
        <w:t> </w:t>
      </w:r>
      <w:r>
        <w:rPr>
          <w:sz w:val="18"/>
        </w:rPr>
        <w:t>the divergence of</w:t>
      </w:r>
      <w:r>
        <w:rPr>
          <w:spacing w:val="-1"/>
          <w:sz w:val="18"/>
        </w:rPr>
        <w:t> </w:t>
      </w:r>
      <w:r>
        <w:rPr>
          <w:sz w:val="18"/>
        </w:rPr>
        <w:t>rights</w:t>
      </w:r>
      <w:r>
        <w:rPr>
          <w:spacing w:val="-1"/>
          <w:sz w:val="18"/>
        </w:rPr>
        <w:t> </w:t>
      </w:r>
      <w:r>
        <w:rPr>
          <w:sz w:val="18"/>
        </w:rPr>
        <w:t>and</w:t>
      </w:r>
      <w:r>
        <w:rPr>
          <w:spacing w:val="-1"/>
          <w:sz w:val="18"/>
        </w:rPr>
        <w:t> </w:t>
      </w:r>
      <w:r>
        <w:rPr>
          <w:sz w:val="18"/>
        </w:rPr>
        <w:t>best practice on</w:t>
      </w:r>
      <w:r>
        <w:rPr>
          <w:spacing w:val="-1"/>
          <w:sz w:val="18"/>
        </w:rPr>
        <w:t> </w:t>
      </w:r>
      <w:r>
        <w:rPr>
          <w:sz w:val="18"/>
        </w:rPr>
        <w:t>the island of Ireland’ (ECNI, NIHRC and IHREC, 2022).</w:t>
      </w:r>
    </w:p>
    <w:p>
      <w:pPr>
        <w:pStyle w:val="ListParagraph"/>
        <w:numPr>
          <w:ilvl w:val="0"/>
          <w:numId w:val="11"/>
        </w:numPr>
        <w:tabs>
          <w:tab w:pos="1853" w:val="left" w:leader="none"/>
        </w:tabs>
        <w:spacing w:line="235" w:lineRule="auto" w:before="2" w:after="0"/>
        <w:ind w:left="1853" w:right="1233" w:hanging="720"/>
        <w:jc w:val="left"/>
        <w:rPr>
          <w:sz w:val="18"/>
        </w:rPr>
      </w:pPr>
      <w:r>
        <w:rPr>
          <w:sz w:val="18"/>
        </w:rPr>
        <w:t>Equality Commission for NI, NI Human Rights Commission and Irish Human Rights and Equality Commission, ‘Policy Recommendations:</w:t>
      </w:r>
      <w:r>
        <w:rPr>
          <w:spacing w:val="-4"/>
          <w:sz w:val="18"/>
        </w:rPr>
        <w:t> </w:t>
      </w:r>
      <w:r>
        <w:rPr>
          <w:sz w:val="18"/>
        </w:rPr>
        <w:t>European</w:t>
      </w:r>
      <w:r>
        <w:rPr>
          <w:spacing w:val="-5"/>
          <w:sz w:val="18"/>
        </w:rPr>
        <w:t> </w:t>
      </w:r>
      <w:r>
        <w:rPr>
          <w:sz w:val="18"/>
        </w:rPr>
        <w:t>Union</w:t>
      </w:r>
      <w:r>
        <w:rPr>
          <w:spacing w:val="-5"/>
          <w:sz w:val="18"/>
        </w:rPr>
        <w:t> </w:t>
      </w:r>
      <w:r>
        <w:rPr>
          <w:sz w:val="18"/>
        </w:rPr>
        <w:t>developments</w:t>
      </w:r>
      <w:r>
        <w:rPr>
          <w:spacing w:val="-5"/>
          <w:sz w:val="18"/>
        </w:rPr>
        <w:t> </w:t>
      </w:r>
      <w:r>
        <w:rPr>
          <w:sz w:val="18"/>
        </w:rPr>
        <w:t>in</w:t>
      </w:r>
      <w:r>
        <w:rPr>
          <w:spacing w:val="-5"/>
          <w:sz w:val="18"/>
        </w:rPr>
        <w:t> </w:t>
      </w:r>
      <w:r>
        <w:rPr>
          <w:sz w:val="18"/>
        </w:rPr>
        <w:t>Equality</w:t>
      </w:r>
      <w:r>
        <w:rPr>
          <w:spacing w:val="-4"/>
          <w:sz w:val="18"/>
        </w:rPr>
        <w:t> </w:t>
      </w:r>
      <w:r>
        <w:rPr>
          <w:sz w:val="18"/>
        </w:rPr>
        <w:t>and</w:t>
      </w:r>
      <w:r>
        <w:rPr>
          <w:spacing w:val="-5"/>
          <w:sz w:val="18"/>
        </w:rPr>
        <w:t> </w:t>
      </w:r>
      <w:r>
        <w:rPr>
          <w:sz w:val="18"/>
        </w:rPr>
        <w:t>Human</w:t>
      </w:r>
      <w:r>
        <w:rPr>
          <w:spacing w:val="-5"/>
          <w:sz w:val="18"/>
        </w:rPr>
        <w:t> </w:t>
      </w:r>
      <w:r>
        <w:rPr>
          <w:sz w:val="18"/>
        </w:rPr>
        <w:t>Rights: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the</w:t>
      </w:r>
      <w:r>
        <w:rPr>
          <w:spacing w:val="-4"/>
          <w:sz w:val="18"/>
        </w:rPr>
        <w:t> </w:t>
      </w:r>
      <w:r>
        <w:rPr>
          <w:sz w:val="18"/>
        </w:rPr>
        <w:t>divergence of rights and best practice on the island of Ireland’ (ECNI, NIHRC and IHREC, 2023).</w:t>
      </w:r>
    </w:p>
    <w:p>
      <w:pPr>
        <w:spacing w:after="0" w:line="235" w:lineRule="auto"/>
        <w:jc w:val="left"/>
        <w:rPr>
          <w:sz w:val="18"/>
        </w:rPr>
        <w:sectPr>
          <w:headerReference w:type="even" r:id="rId177"/>
          <w:headerReference w:type="default" r:id="rId178"/>
          <w:footerReference w:type="even" r:id="rId179"/>
          <w:footerReference w:type="default" r:id="rId180"/>
          <w:pgSz w:w="11910" w:h="16840"/>
          <w:pgMar w:header="496" w:footer="367" w:top="1220" w:bottom="560" w:left="0" w:right="0"/>
          <w:pgNumType w:start="108"/>
        </w:sectPr>
      </w:pPr>
    </w:p>
    <w:p>
      <w:pPr>
        <w:pStyle w:val="BodyText"/>
        <w:spacing w:before="198"/>
      </w:pPr>
    </w:p>
    <w:p>
      <w:pPr>
        <w:pStyle w:val="BodyText"/>
        <w:spacing w:line="225" w:lineRule="auto"/>
        <w:ind w:left="1853" w:right="1171"/>
      </w:pPr>
      <w:r>
        <w:rPr/>
        <w:t>highlighted developments in CJEU case law in relation to religion as a protected</w:t>
      </w:r>
      <w:r>
        <w:rPr>
          <w:spacing w:val="-11"/>
        </w:rPr>
        <w:t> </w:t>
      </w:r>
      <w:r>
        <w:rPr/>
        <w:t>characteristic</w:t>
      </w:r>
      <w:r>
        <w:rPr>
          <w:spacing w:val="-10"/>
        </w:rPr>
        <w:t> </w:t>
      </w:r>
      <w:r>
        <w:rPr/>
        <w:t>in</w:t>
      </w:r>
      <w:r>
        <w:rPr>
          <w:spacing w:val="-11"/>
        </w:rPr>
        <w:t> </w:t>
      </w:r>
      <w:r>
        <w:rPr/>
        <w:t>the</w:t>
      </w:r>
      <w:r>
        <w:rPr>
          <w:spacing w:val="-10"/>
        </w:rPr>
        <w:t> </w:t>
      </w:r>
      <w:r>
        <w:rPr/>
        <w:t>context</w:t>
      </w:r>
      <w:r>
        <w:rPr>
          <w:spacing w:val="-10"/>
        </w:rPr>
        <w:t> </w:t>
      </w:r>
      <w:r>
        <w:rPr/>
        <w:t>of</w:t>
      </w:r>
      <w:r>
        <w:rPr>
          <w:spacing w:val="-11"/>
        </w:rPr>
        <w:t> </w:t>
      </w:r>
      <w:r>
        <w:rPr/>
        <w:t>the</w:t>
      </w:r>
      <w:r>
        <w:rPr>
          <w:spacing w:val="-10"/>
        </w:rPr>
        <w:t> </w:t>
      </w:r>
      <w:r>
        <w:rPr/>
        <w:t>Framework</w:t>
      </w:r>
      <w:r>
        <w:rPr>
          <w:spacing w:val="-10"/>
        </w:rPr>
        <w:t> </w:t>
      </w:r>
      <w:r>
        <w:rPr/>
        <w:t>Equality</w:t>
      </w:r>
      <w:r>
        <w:rPr>
          <w:spacing w:val="-10"/>
        </w:rPr>
        <w:t> </w:t>
      </w:r>
      <w:r>
        <w:rPr/>
        <w:t>Directive, which is included in Windsor Framework Annex 1.</w:t>
      </w:r>
    </w:p>
    <w:p>
      <w:pPr>
        <w:pStyle w:val="ListParagraph"/>
        <w:numPr>
          <w:ilvl w:val="1"/>
          <w:numId w:val="7"/>
        </w:numPr>
        <w:tabs>
          <w:tab w:pos="1853" w:val="left" w:leader="none"/>
        </w:tabs>
        <w:spacing w:line="225" w:lineRule="auto" w:before="317" w:after="0"/>
        <w:ind w:left="1853" w:right="1135" w:hanging="720"/>
        <w:jc w:val="left"/>
        <w:rPr>
          <w:sz w:val="28"/>
        </w:rPr>
      </w:pPr>
      <w:r>
        <w:rPr>
          <w:sz w:val="28"/>
        </w:rPr>
        <w:t>In the joined cases of </w:t>
      </w:r>
      <w:r>
        <w:rPr>
          <w:i/>
          <w:sz w:val="28"/>
        </w:rPr>
        <w:t>WABE </w:t>
      </w:r>
      <w:r>
        <w:rPr>
          <w:sz w:val="28"/>
        </w:rPr>
        <w:t>and </w:t>
      </w:r>
      <w:r>
        <w:rPr>
          <w:i/>
          <w:sz w:val="28"/>
        </w:rPr>
        <w:t>Müller</w:t>
      </w:r>
      <w:r>
        <w:rPr>
          <w:sz w:val="28"/>
          <w:vertAlign w:val="superscript"/>
        </w:rPr>
        <w:t>589</w:t>
      </w:r>
      <w:r>
        <w:rPr>
          <w:sz w:val="28"/>
          <w:vertAlign w:val="baseline"/>
        </w:rPr>
        <w:t> the CJEU found that differentiating between religious symbols based on characteristics such as size or scale, amounts to direct discrimination under Article 2(2) of the EU Framework Equality Directive.</w:t>
      </w:r>
      <w:r>
        <w:rPr>
          <w:sz w:val="28"/>
          <w:vertAlign w:val="superscript"/>
        </w:rPr>
        <w:t>590</w:t>
      </w:r>
      <w:r>
        <w:rPr>
          <w:spacing w:val="40"/>
          <w:sz w:val="28"/>
          <w:vertAlign w:val="baseline"/>
        </w:rPr>
        <w:t> </w:t>
      </w:r>
      <w:r>
        <w:rPr>
          <w:sz w:val="28"/>
          <w:vertAlign w:val="baseline"/>
        </w:rPr>
        <w:t>The CJEU also ruled that the EU Framework Equality Directive</w:t>
      </w:r>
      <w:r>
        <w:rPr>
          <w:spacing w:val="-1"/>
          <w:sz w:val="28"/>
          <w:vertAlign w:val="baseline"/>
        </w:rPr>
        <w:t> </w:t>
      </w:r>
      <w:r>
        <w:rPr>
          <w:sz w:val="28"/>
          <w:vertAlign w:val="baseline"/>
        </w:rPr>
        <w:t>must</w:t>
      </w:r>
      <w:r>
        <w:rPr>
          <w:spacing w:val="-1"/>
          <w:sz w:val="28"/>
          <w:vertAlign w:val="baseline"/>
        </w:rPr>
        <w:t> </w:t>
      </w:r>
      <w:r>
        <w:rPr>
          <w:sz w:val="28"/>
          <w:vertAlign w:val="baseline"/>
        </w:rPr>
        <w:t>be</w:t>
      </w:r>
      <w:r>
        <w:rPr>
          <w:spacing w:val="-1"/>
          <w:sz w:val="28"/>
          <w:vertAlign w:val="baseline"/>
        </w:rPr>
        <w:t> </w:t>
      </w:r>
      <w:r>
        <w:rPr>
          <w:sz w:val="28"/>
          <w:vertAlign w:val="baseline"/>
        </w:rPr>
        <w:t>interpreted</w:t>
      </w:r>
      <w:r>
        <w:rPr>
          <w:spacing w:val="-2"/>
          <w:sz w:val="28"/>
          <w:vertAlign w:val="baseline"/>
        </w:rPr>
        <w:t> </w:t>
      </w:r>
      <w:r>
        <w:rPr>
          <w:sz w:val="28"/>
          <w:vertAlign w:val="baseline"/>
        </w:rPr>
        <w:t>as</w:t>
      </w:r>
      <w:r>
        <w:rPr>
          <w:spacing w:val="-2"/>
          <w:sz w:val="28"/>
          <w:vertAlign w:val="baseline"/>
        </w:rPr>
        <w:t> </w:t>
      </w:r>
      <w:r>
        <w:rPr>
          <w:sz w:val="28"/>
          <w:vertAlign w:val="baseline"/>
        </w:rPr>
        <w:t>meaning</w:t>
      </w:r>
      <w:r>
        <w:rPr>
          <w:spacing w:val="-1"/>
          <w:sz w:val="28"/>
          <w:vertAlign w:val="baseline"/>
        </w:rPr>
        <w:t> </w:t>
      </w:r>
      <w:r>
        <w:rPr>
          <w:sz w:val="28"/>
          <w:vertAlign w:val="baseline"/>
        </w:rPr>
        <w:t>that</w:t>
      </w:r>
      <w:r>
        <w:rPr>
          <w:spacing w:val="-1"/>
          <w:sz w:val="28"/>
          <w:vertAlign w:val="baseline"/>
        </w:rPr>
        <w:t> </w:t>
      </w:r>
      <w:r>
        <w:rPr>
          <w:sz w:val="28"/>
          <w:vertAlign w:val="baseline"/>
        </w:rPr>
        <w:t>a</w:t>
      </w:r>
      <w:r>
        <w:rPr>
          <w:spacing w:val="-2"/>
          <w:sz w:val="28"/>
          <w:vertAlign w:val="baseline"/>
        </w:rPr>
        <w:t> </w:t>
      </w:r>
      <w:r>
        <w:rPr>
          <w:sz w:val="28"/>
          <w:vertAlign w:val="baseline"/>
        </w:rPr>
        <w:t>rule</w:t>
      </w:r>
      <w:r>
        <w:rPr>
          <w:spacing w:val="-1"/>
          <w:sz w:val="28"/>
          <w:vertAlign w:val="baseline"/>
        </w:rPr>
        <w:t> </w:t>
      </w:r>
      <w:r>
        <w:rPr>
          <w:sz w:val="28"/>
          <w:vertAlign w:val="baseline"/>
        </w:rPr>
        <w:t>prohibiting</w:t>
      </w:r>
      <w:r>
        <w:rPr>
          <w:spacing w:val="-1"/>
          <w:sz w:val="28"/>
          <w:vertAlign w:val="baseline"/>
        </w:rPr>
        <w:t> </w:t>
      </w:r>
      <w:r>
        <w:rPr>
          <w:sz w:val="28"/>
          <w:vertAlign w:val="baseline"/>
        </w:rPr>
        <w:t>workers</w:t>
      </w:r>
      <w:r>
        <w:rPr>
          <w:spacing w:val="-2"/>
          <w:sz w:val="28"/>
          <w:vertAlign w:val="baseline"/>
        </w:rPr>
        <w:t> </w:t>
      </w:r>
      <w:r>
        <w:rPr>
          <w:sz w:val="28"/>
          <w:vertAlign w:val="baseline"/>
        </w:rPr>
        <w:t>from wearing any visible sign of political, philosophical or religious beliefs in the workplace,</w:t>
      </w:r>
      <w:r>
        <w:rPr>
          <w:spacing w:val="-6"/>
          <w:sz w:val="28"/>
          <w:vertAlign w:val="baseline"/>
        </w:rPr>
        <w:t> </w:t>
      </w:r>
      <w:r>
        <w:rPr>
          <w:sz w:val="28"/>
          <w:vertAlign w:val="baseline"/>
        </w:rPr>
        <w:t>does</w:t>
      </w:r>
      <w:r>
        <w:rPr>
          <w:spacing w:val="-7"/>
          <w:sz w:val="28"/>
          <w:vertAlign w:val="baseline"/>
        </w:rPr>
        <w:t> </w:t>
      </w:r>
      <w:r>
        <w:rPr>
          <w:sz w:val="28"/>
          <w:vertAlign w:val="baseline"/>
        </w:rPr>
        <w:t>not</w:t>
      </w:r>
      <w:r>
        <w:rPr>
          <w:spacing w:val="-6"/>
          <w:sz w:val="28"/>
          <w:vertAlign w:val="baseline"/>
        </w:rPr>
        <w:t> </w:t>
      </w:r>
      <w:r>
        <w:rPr>
          <w:sz w:val="28"/>
          <w:vertAlign w:val="baseline"/>
        </w:rPr>
        <w:t>constitute</w:t>
      </w:r>
      <w:r>
        <w:rPr>
          <w:spacing w:val="-6"/>
          <w:sz w:val="28"/>
          <w:vertAlign w:val="baseline"/>
        </w:rPr>
        <w:t> </w:t>
      </w:r>
      <w:r>
        <w:rPr>
          <w:sz w:val="28"/>
          <w:vertAlign w:val="baseline"/>
        </w:rPr>
        <w:t>direct</w:t>
      </w:r>
      <w:r>
        <w:rPr>
          <w:spacing w:val="-6"/>
          <w:sz w:val="28"/>
          <w:vertAlign w:val="baseline"/>
        </w:rPr>
        <w:t> </w:t>
      </w:r>
      <w:r>
        <w:rPr>
          <w:sz w:val="28"/>
          <w:vertAlign w:val="baseline"/>
        </w:rPr>
        <w:t>discrimination</w:t>
      </w:r>
      <w:r>
        <w:rPr>
          <w:spacing w:val="-7"/>
          <w:sz w:val="28"/>
          <w:vertAlign w:val="baseline"/>
        </w:rPr>
        <w:t> </w:t>
      </w:r>
      <w:r>
        <w:rPr>
          <w:sz w:val="28"/>
          <w:vertAlign w:val="baseline"/>
        </w:rPr>
        <w:t>on</w:t>
      </w:r>
      <w:r>
        <w:rPr>
          <w:spacing w:val="-7"/>
          <w:sz w:val="28"/>
          <w:vertAlign w:val="baseline"/>
        </w:rPr>
        <w:t> </w:t>
      </w:r>
      <w:r>
        <w:rPr>
          <w:sz w:val="28"/>
          <w:vertAlign w:val="baseline"/>
        </w:rPr>
        <w:t>the</w:t>
      </w:r>
      <w:r>
        <w:rPr>
          <w:spacing w:val="-6"/>
          <w:sz w:val="28"/>
          <w:vertAlign w:val="baseline"/>
        </w:rPr>
        <w:t> </w:t>
      </w:r>
      <w:r>
        <w:rPr>
          <w:sz w:val="28"/>
          <w:vertAlign w:val="baseline"/>
        </w:rPr>
        <w:t>grounds</w:t>
      </w:r>
      <w:r>
        <w:rPr>
          <w:spacing w:val="-7"/>
          <w:sz w:val="28"/>
          <w:vertAlign w:val="baseline"/>
        </w:rPr>
        <w:t> </w:t>
      </w:r>
      <w:r>
        <w:rPr>
          <w:sz w:val="28"/>
          <w:vertAlign w:val="baseline"/>
        </w:rPr>
        <w:t>of</w:t>
      </w:r>
      <w:r>
        <w:rPr>
          <w:spacing w:val="-7"/>
          <w:sz w:val="28"/>
          <w:vertAlign w:val="baseline"/>
        </w:rPr>
        <w:t> </w:t>
      </w:r>
      <w:r>
        <w:rPr>
          <w:sz w:val="28"/>
          <w:vertAlign w:val="baseline"/>
        </w:rPr>
        <w:t>religion or</w:t>
      </w:r>
      <w:r>
        <w:rPr>
          <w:spacing w:val="-2"/>
          <w:sz w:val="28"/>
          <w:vertAlign w:val="baseline"/>
        </w:rPr>
        <w:t> </w:t>
      </w:r>
      <w:r>
        <w:rPr>
          <w:sz w:val="28"/>
          <w:vertAlign w:val="baseline"/>
        </w:rPr>
        <w:t>belief</w:t>
      </w:r>
      <w:r>
        <w:rPr>
          <w:spacing w:val="-3"/>
          <w:sz w:val="28"/>
          <w:vertAlign w:val="baseline"/>
        </w:rPr>
        <w:t> </w:t>
      </w:r>
      <w:r>
        <w:rPr>
          <w:sz w:val="28"/>
          <w:vertAlign w:val="baseline"/>
        </w:rPr>
        <w:t>under</w:t>
      </w:r>
      <w:r>
        <w:rPr>
          <w:spacing w:val="-2"/>
          <w:sz w:val="28"/>
          <w:vertAlign w:val="baseline"/>
        </w:rPr>
        <w:t> </w:t>
      </w:r>
      <w:r>
        <w:rPr>
          <w:sz w:val="28"/>
          <w:vertAlign w:val="baseline"/>
        </w:rPr>
        <w:t>the</w:t>
      </w:r>
      <w:r>
        <w:rPr>
          <w:spacing w:val="-2"/>
          <w:sz w:val="28"/>
          <w:vertAlign w:val="baseline"/>
        </w:rPr>
        <w:t> </w:t>
      </w:r>
      <w:r>
        <w:rPr>
          <w:sz w:val="28"/>
          <w:vertAlign w:val="baseline"/>
        </w:rPr>
        <w:t>Directive,</w:t>
      </w:r>
      <w:r>
        <w:rPr>
          <w:spacing w:val="-2"/>
          <w:sz w:val="28"/>
          <w:vertAlign w:val="baseline"/>
        </w:rPr>
        <w:t> </w:t>
      </w:r>
      <w:r>
        <w:rPr>
          <w:sz w:val="28"/>
          <w:vertAlign w:val="baseline"/>
        </w:rPr>
        <w:t>provided</w:t>
      </w:r>
      <w:r>
        <w:rPr>
          <w:spacing w:val="-3"/>
          <w:sz w:val="28"/>
          <w:vertAlign w:val="baseline"/>
        </w:rPr>
        <w:t> </w:t>
      </w:r>
      <w:r>
        <w:rPr>
          <w:sz w:val="28"/>
          <w:vertAlign w:val="baseline"/>
        </w:rPr>
        <w:t>that</w:t>
      </w:r>
      <w:r>
        <w:rPr>
          <w:spacing w:val="-2"/>
          <w:sz w:val="28"/>
          <w:vertAlign w:val="baseline"/>
        </w:rPr>
        <w:t> </w:t>
      </w:r>
      <w:r>
        <w:rPr>
          <w:sz w:val="28"/>
          <w:vertAlign w:val="baseline"/>
        </w:rPr>
        <w:t>this</w:t>
      </w:r>
      <w:r>
        <w:rPr>
          <w:spacing w:val="-3"/>
          <w:sz w:val="28"/>
          <w:vertAlign w:val="baseline"/>
        </w:rPr>
        <w:t> </w:t>
      </w:r>
      <w:r>
        <w:rPr>
          <w:sz w:val="28"/>
          <w:vertAlign w:val="baseline"/>
        </w:rPr>
        <w:t>rule</w:t>
      </w:r>
      <w:r>
        <w:rPr>
          <w:spacing w:val="-2"/>
          <w:sz w:val="28"/>
          <w:vertAlign w:val="baseline"/>
        </w:rPr>
        <w:t> </w:t>
      </w:r>
      <w:r>
        <w:rPr>
          <w:sz w:val="28"/>
          <w:vertAlign w:val="baseline"/>
        </w:rPr>
        <w:t>is</w:t>
      </w:r>
      <w:r>
        <w:rPr>
          <w:spacing w:val="-3"/>
          <w:sz w:val="28"/>
          <w:vertAlign w:val="baseline"/>
        </w:rPr>
        <w:t> </w:t>
      </w:r>
      <w:r>
        <w:rPr>
          <w:sz w:val="28"/>
          <w:vertAlign w:val="baseline"/>
        </w:rPr>
        <w:t>applied</w:t>
      </w:r>
      <w:r>
        <w:rPr>
          <w:spacing w:val="-3"/>
          <w:sz w:val="28"/>
          <w:vertAlign w:val="baseline"/>
        </w:rPr>
        <w:t> </w:t>
      </w:r>
      <w:r>
        <w:rPr>
          <w:sz w:val="28"/>
          <w:vertAlign w:val="baseline"/>
        </w:rPr>
        <w:t>in</w:t>
      </w:r>
      <w:r>
        <w:rPr>
          <w:spacing w:val="-3"/>
          <w:sz w:val="28"/>
          <w:vertAlign w:val="baseline"/>
        </w:rPr>
        <w:t> </w:t>
      </w:r>
      <w:r>
        <w:rPr>
          <w:sz w:val="28"/>
          <w:vertAlign w:val="baseline"/>
        </w:rPr>
        <w:t>a</w:t>
      </w:r>
      <w:r>
        <w:rPr>
          <w:spacing w:val="-3"/>
          <w:sz w:val="28"/>
          <w:vertAlign w:val="baseline"/>
        </w:rPr>
        <w:t> </w:t>
      </w:r>
      <w:r>
        <w:rPr>
          <w:sz w:val="28"/>
          <w:vertAlign w:val="baseline"/>
        </w:rPr>
        <w:t>general</w:t>
      </w:r>
      <w:r>
        <w:rPr>
          <w:spacing w:val="-3"/>
          <w:sz w:val="28"/>
          <w:vertAlign w:val="baseline"/>
        </w:rPr>
        <w:t> </w:t>
      </w:r>
      <w:r>
        <w:rPr>
          <w:sz w:val="28"/>
          <w:vertAlign w:val="baseline"/>
        </w:rPr>
        <w:t>and undifferentiated way.</w:t>
      </w:r>
      <w:r>
        <w:rPr>
          <w:sz w:val="28"/>
          <w:vertAlign w:val="superscript"/>
        </w:rPr>
        <w:t>591</w:t>
      </w:r>
    </w:p>
    <w:p>
      <w:pPr>
        <w:pStyle w:val="ListParagraph"/>
        <w:numPr>
          <w:ilvl w:val="1"/>
          <w:numId w:val="7"/>
        </w:numPr>
        <w:tabs>
          <w:tab w:pos="1853" w:val="left" w:leader="none"/>
        </w:tabs>
        <w:spacing w:line="225" w:lineRule="auto" w:before="308" w:after="0"/>
        <w:ind w:left="1853" w:right="2006" w:hanging="720"/>
        <w:jc w:val="left"/>
        <w:rPr>
          <w:sz w:val="28"/>
        </w:rPr>
      </w:pPr>
      <w:r>
        <w:rPr>
          <w:sz w:val="28"/>
        </w:rPr>
        <w:t>The NIHRC (March 2023) and ECNI (April 2023) responded separately to</w:t>
      </w:r>
      <w:r>
        <w:rPr>
          <w:spacing w:val="-6"/>
          <w:sz w:val="28"/>
        </w:rPr>
        <w:t> </w:t>
      </w:r>
      <w:r>
        <w:rPr>
          <w:sz w:val="28"/>
        </w:rPr>
        <w:t>a</w:t>
      </w:r>
      <w:r>
        <w:rPr>
          <w:spacing w:val="-6"/>
          <w:sz w:val="28"/>
        </w:rPr>
        <w:t> </w:t>
      </w:r>
      <w:r>
        <w:rPr>
          <w:sz w:val="28"/>
        </w:rPr>
        <w:t>call</w:t>
      </w:r>
      <w:r>
        <w:rPr>
          <w:spacing w:val="-6"/>
          <w:sz w:val="28"/>
        </w:rPr>
        <w:t> </w:t>
      </w:r>
      <w:r>
        <w:rPr>
          <w:sz w:val="28"/>
        </w:rPr>
        <w:t>for</w:t>
      </w:r>
      <w:r>
        <w:rPr>
          <w:spacing w:val="-6"/>
          <w:sz w:val="28"/>
        </w:rPr>
        <w:t> </w:t>
      </w:r>
      <w:r>
        <w:rPr>
          <w:sz w:val="28"/>
        </w:rPr>
        <w:t>evidence</w:t>
      </w:r>
      <w:r>
        <w:rPr>
          <w:spacing w:val="-6"/>
          <w:sz w:val="28"/>
        </w:rPr>
        <w:t> </w:t>
      </w:r>
      <w:r>
        <w:rPr>
          <w:sz w:val="28"/>
        </w:rPr>
        <w:t>by</w:t>
      </w:r>
      <w:r>
        <w:rPr>
          <w:spacing w:val="-6"/>
          <w:sz w:val="28"/>
        </w:rPr>
        <w:t> </w:t>
      </w:r>
      <w:r>
        <w:rPr>
          <w:sz w:val="28"/>
        </w:rPr>
        <w:t>the</w:t>
      </w:r>
      <w:r>
        <w:rPr>
          <w:spacing w:val="-6"/>
          <w:sz w:val="28"/>
        </w:rPr>
        <w:t> </w:t>
      </w:r>
      <w:r>
        <w:rPr>
          <w:sz w:val="28"/>
        </w:rPr>
        <w:t>ongoing</w:t>
      </w:r>
      <w:r>
        <w:rPr>
          <w:spacing w:val="-6"/>
          <w:sz w:val="28"/>
        </w:rPr>
        <w:t> </w:t>
      </w:r>
      <w:r>
        <w:rPr>
          <w:sz w:val="28"/>
        </w:rPr>
        <w:t>Joint</w:t>
      </w:r>
      <w:r>
        <w:rPr>
          <w:spacing w:val="-6"/>
          <w:sz w:val="28"/>
        </w:rPr>
        <w:t> </w:t>
      </w:r>
      <w:r>
        <w:rPr>
          <w:sz w:val="28"/>
        </w:rPr>
        <w:t>Committee</w:t>
      </w:r>
      <w:r>
        <w:rPr>
          <w:spacing w:val="-6"/>
          <w:sz w:val="28"/>
        </w:rPr>
        <w:t> </w:t>
      </w:r>
      <w:r>
        <w:rPr>
          <w:sz w:val="28"/>
        </w:rPr>
        <w:t>on</w:t>
      </w:r>
      <w:r>
        <w:rPr>
          <w:spacing w:val="-6"/>
          <w:sz w:val="28"/>
        </w:rPr>
        <w:t> </w:t>
      </w:r>
      <w:r>
        <w:rPr>
          <w:sz w:val="28"/>
        </w:rPr>
        <w:t>Human</w:t>
      </w:r>
      <w:r>
        <w:rPr>
          <w:spacing w:val="-6"/>
          <w:sz w:val="28"/>
        </w:rPr>
        <w:t> </w:t>
      </w:r>
      <w:r>
        <w:rPr>
          <w:sz w:val="28"/>
        </w:rPr>
        <w:t>Rights</w:t>
      </w:r>
    </w:p>
    <w:p>
      <w:pPr>
        <w:pStyle w:val="BodyText"/>
        <w:spacing w:line="225" w:lineRule="auto"/>
        <w:ind w:left="1853" w:right="1373"/>
      </w:pPr>
      <w:r>
        <w:rPr/>
        <w:t>inquiry on human rights at work. Both Commissions highlighted this case</w:t>
      </w:r>
      <w:r>
        <w:rPr/>
        <w:t> law and recommended that the UK Government monitors case law of the CJEU relevant to the Annex 1 equality directives and ensures that the EU Framework</w:t>
      </w:r>
      <w:r>
        <w:rPr>
          <w:spacing w:val="-6"/>
        </w:rPr>
        <w:t> </w:t>
      </w:r>
      <w:r>
        <w:rPr/>
        <w:t>Equality</w:t>
      </w:r>
      <w:r>
        <w:rPr>
          <w:spacing w:val="-6"/>
        </w:rPr>
        <w:t> </w:t>
      </w:r>
      <w:r>
        <w:rPr/>
        <w:t>Directive</w:t>
      </w:r>
      <w:r>
        <w:rPr>
          <w:spacing w:val="-6"/>
        </w:rPr>
        <w:t> </w:t>
      </w:r>
      <w:r>
        <w:rPr/>
        <w:t>is</w:t>
      </w:r>
      <w:r>
        <w:rPr>
          <w:spacing w:val="-6"/>
        </w:rPr>
        <w:t> </w:t>
      </w:r>
      <w:r>
        <w:rPr/>
        <w:t>interpreted</w:t>
      </w:r>
      <w:r>
        <w:rPr>
          <w:spacing w:val="-6"/>
        </w:rPr>
        <w:t> </w:t>
      </w:r>
      <w:r>
        <w:rPr/>
        <w:t>in</w:t>
      </w:r>
      <w:r>
        <w:rPr>
          <w:spacing w:val="-6"/>
        </w:rPr>
        <w:t> </w:t>
      </w:r>
      <w:r>
        <w:rPr/>
        <w:t>NI,</w:t>
      </w:r>
      <w:r>
        <w:rPr>
          <w:spacing w:val="-6"/>
        </w:rPr>
        <w:t> </w:t>
      </w:r>
      <w:r>
        <w:rPr/>
        <w:t>in</w:t>
      </w:r>
      <w:r>
        <w:rPr>
          <w:spacing w:val="-6"/>
        </w:rPr>
        <w:t> </w:t>
      </w:r>
      <w:r>
        <w:rPr/>
        <w:t>line</w:t>
      </w:r>
      <w:r>
        <w:rPr>
          <w:spacing w:val="-6"/>
        </w:rPr>
        <w:t> </w:t>
      </w:r>
      <w:r>
        <w:rPr/>
        <w:t>with</w:t>
      </w:r>
      <w:r>
        <w:rPr>
          <w:spacing w:val="-6"/>
        </w:rPr>
        <w:t> </w:t>
      </w:r>
      <w:r>
        <w:rPr/>
        <w:t>this</w:t>
      </w:r>
      <w:r>
        <w:rPr>
          <w:spacing w:val="-6"/>
        </w:rPr>
        <w:t> </w:t>
      </w:r>
      <w:r>
        <w:rPr/>
        <w:t>decision</w:t>
      </w:r>
      <w:r>
        <w:rPr>
          <w:spacing w:val="-6"/>
        </w:rPr>
        <w:t> </w:t>
      </w:r>
      <w:r>
        <w:rPr/>
        <w:t>of the CJEU.</w:t>
      </w:r>
      <w:r>
        <w:rPr>
          <w:vertAlign w:val="superscript"/>
        </w:rPr>
        <w:t>592</w:t>
      </w:r>
    </w:p>
    <w:p>
      <w:pPr>
        <w:pStyle w:val="ListParagraph"/>
        <w:numPr>
          <w:ilvl w:val="1"/>
          <w:numId w:val="7"/>
        </w:numPr>
        <w:tabs>
          <w:tab w:pos="1853" w:val="left" w:leader="none"/>
        </w:tabs>
        <w:spacing w:line="225" w:lineRule="auto" w:before="311" w:after="0"/>
        <w:ind w:left="1853" w:right="1541" w:hanging="720"/>
        <w:jc w:val="left"/>
        <w:rPr>
          <w:sz w:val="28"/>
        </w:rPr>
      </w:pPr>
      <w:r>
        <w:rPr>
          <w:sz w:val="28"/>
        </w:rPr>
        <w:t>The</w:t>
      </w:r>
      <w:r>
        <w:rPr>
          <w:spacing w:val="-4"/>
          <w:sz w:val="28"/>
        </w:rPr>
        <w:t> </w:t>
      </w:r>
      <w:r>
        <w:rPr>
          <w:sz w:val="28"/>
        </w:rPr>
        <w:t>ECNI</w:t>
      </w:r>
      <w:r>
        <w:rPr>
          <w:spacing w:val="-4"/>
          <w:sz w:val="28"/>
        </w:rPr>
        <w:t> </w:t>
      </w:r>
      <w:r>
        <w:rPr>
          <w:sz w:val="28"/>
        </w:rPr>
        <w:t>has</w:t>
      </w:r>
      <w:r>
        <w:rPr>
          <w:spacing w:val="-5"/>
          <w:sz w:val="28"/>
        </w:rPr>
        <w:t> </w:t>
      </w:r>
      <w:r>
        <w:rPr>
          <w:sz w:val="28"/>
        </w:rPr>
        <w:t>developed</w:t>
      </w:r>
      <w:r>
        <w:rPr>
          <w:spacing w:val="-5"/>
          <w:sz w:val="28"/>
        </w:rPr>
        <w:t> </w:t>
      </w:r>
      <w:r>
        <w:rPr>
          <w:sz w:val="28"/>
        </w:rPr>
        <w:t>guidance</w:t>
      </w:r>
      <w:r>
        <w:rPr>
          <w:spacing w:val="-4"/>
          <w:sz w:val="28"/>
        </w:rPr>
        <w:t> </w:t>
      </w:r>
      <w:r>
        <w:rPr>
          <w:sz w:val="28"/>
        </w:rPr>
        <w:t>on</w:t>
      </w:r>
      <w:r>
        <w:rPr>
          <w:spacing w:val="-5"/>
          <w:sz w:val="28"/>
        </w:rPr>
        <w:t> </w:t>
      </w:r>
      <w:r>
        <w:rPr>
          <w:sz w:val="28"/>
        </w:rPr>
        <w:t>dress</w:t>
      </w:r>
      <w:r>
        <w:rPr>
          <w:spacing w:val="-5"/>
          <w:sz w:val="28"/>
        </w:rPr>
        <w:t> </w:t>
      </w:r>
      <w:r>
        <w:rPr>
          <w:sz w:val="28"/>
        </w:rPr>
        <w:t>codes</w:t>
      </w:r>
      <w:r>
        <w:rPr>
          <w:spacing w:val="-5"/>
          <w:sz w:val="28"/>
        </w:rPr>
        <w:t> </w:t>
      </w:r>
      <w:r>
        <w:rPr>
          <w:sz w:val="28"/>
        </w:rPr>
        <w:t>in</w:t>
      </w:r>
      <w:r>
        <w:rPr>
          <w:spacing w:val="-5"/>
          <w:sz w:val="28"/>
        </w:rPr>
        <w:t> </w:t>
      </w:r>
      <w:r>
        <w:rPr>
          <w:sz w:val="28"/>
        </w:rPr>
        <w:t>the</w:t>
      </w:r>
      <w:r>
        <w:rPr>
          <w:spacing w:val="-4"/>
          <w:sz w:val="28"/>
        </w:rPr>
        <w:t> </w:t>
      </w:r>
      <w:r>
        <w:rPr>
          <w:sz w:val="28"/>
        </w:rPr>
        <w:t>workplace</w:t>
      </w:r>
      <w:r>
        <w:rPr>
          <w:spacing w:val="-4"/>
          <w:sz w:val="28"/>
        </w:rPr>
        <w:t> </w:t>
      </w:r>
      <w:r>
        <w:rPr>
          <w:sz w:val="28"/>
        </w:rPr>
        <w:t>to</w:t>
      </w:r>
      <w:r>
        <w:rPr>
          <w:spacing w:val="-5"/>
          <w:sz w:val="28"/>
        </w:rPr>
        <w:t> </w:t>
      </w:r>
      <w:r>
        <w:rPr>
          <w:sz w:val="28"/>
        </w:rPr>
        <w:t>assist businesses and public authorities and help them to promote good practice in relation to equality employment law. This includes specific guidance on religious beliefs and/or race.</w:t>
      </w:r>
      <w:r>
        <w:rPr>
          <w:sz w:val="28"/>
          <w:vertAlign w:val="superscript"/>
        </w:rPr>
        <w:t>593</w:t>
      </w:r>
    </w:p>
    <w:p>
      <w:pPr>
        <w:pStyle w:val="BodyText"/>
        <w:spacing w:before="3"/>
        <w:rPr>
          <w:sz w:val="17"/>
        </w:rPr>
      </w:pPr>
      <w:r>
        <w:rPr/>
        <mc:AlternateContent>
          <mc:Choice Requires="wps">
            <w:drawing>
              <wp:anchor distT="0" distB="0" distL="0" distR="0" allowOverlap="1" layoutInCell="1" locked="0" behindDoc="1" simplePos="0" relativeHeight="487689728">
                <wp:simplePos x="0" y="0"/>
                <wp:positionH relativeFrom="page">
                  <wp:posOffset>720001</wp:posOffset>
                </wp:positionH>
                <wp:positionV relativeFrom="paragraph">
                  <wp:posOffset>149501</wp:posOffset>
                </wp:positionV>
                <wp:extent cx="6120130" cy="360045"/>
                <wp:effectExtent l="0" t="0" r="0" b="0"/>
                <wp:wrapTopAndBottom/>
                <wp:docPr id="468" name="Textbox 468"/>
                <wp:cNvGraphicFramePr>
                  <a:graphicFrameLocks/>
                </wp:cNvGraphicFramePr>
                <a:graphic>
                  <a:graphicData uri="http://schemas.microsoft.com/office/word/2010/wordprocessingShape">
                    <wps:wsp>
                      <wps:cNvPr id="468" name="Textbox 468"/>
                      <wps:cNvSpPr txBox="1"/>
                      <wps:spPr>
                        <a:xfrm>
                          <a:off x="0" y="0"/>
                          <a:ext cx="6120130" cy="360045"/>
                        </a:xfrm>
                        <a:prstGeom prst="rect">
                          <a:avLst/>
                        </a:prstGeom>
                        <a:solidFill>
                          <a:srgbClr val="393B80"/>
                        </a:solidFill>
                      </wps:spPr>
                      <wps:txbx>
                        <w:txbxContent>
                          <w:p>
                            <w:pPr>
                              <w:spacing w:before="103"/>
                              <w:ind w:left="783"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11.771734pt;width:481.9pt;height:28.35pt;mso-position-horizontal-relative:page;mso-position-vertical-relative:paragraph;z-index:-15626752;mso-wrap-distance-left:0;mso-wrap-distance-right:0" type="#_x0000_t202" id="docshape415" filled="true" fillcolor="#393b80" stroked="false">
                <v:textbox inset="0,0,0,0">
                  <w:txbxContent>
                    <w:p>
                      <w:pPr>
                        <w:spacing w:before="103"/>
                        <w:ind w:left="783"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312" w:after="0"/>
        <w:ind w:left="1853" w:right="1335" w:hanging="720"/>
        <w:jc w:val="left"/>
        <w:rPr>
          <w:b/>
          <w:color w:val="682D82"/>
          <w:sz w:val="28"/>
        </w:rPr>
      </w:pPr>
      <w:r>
        <w:rPr>
          <w:b/>
          <w:color w:val="682D82"/>
          <w:sz w:val="28"/>
        </w:rPr>
        <w:t>In accordance with Windsor Framework Articles 2 and 13 the Commissions continue</w:t>
      </w:r>
      <w:r>
        <w:rPr>
          <w:b/>
          <w:color w:val="682D82"/>
          <w:spacing w:val="-8"/>
          <w:sz w:val="28"/>
        </w:rPr>
        <w:t> </w:t>
      </w:r>
      <w:r>
        <w:rPr>
          <w:b/>
          <w:color w:val="682D82"/>
          <w:sz w:val="28"/>
        </w:rPr>
        <w:t>to</w:t>
      </w:r>
      <w:r>
        <w:rPr>
          <w:b/>
          <w:color w:val="682D82"/>
          <w:spacing w:val="-7"/>
          <w:sz w:val="28"/>
        </w:rPr>
        <w:t> </w:t>
      </w:r>
      <w:r>
        <w:rPr>
          <w:b/>
          <w:color w:val="682D82"/>
          <w:sz w:val="28"/>
        </w:rPr>
        <w:t>advise</w:t>
      </w:r>
      <w:r>
        <w:rPr>
          <w:b/>
          <w:color w:val="682D82"/>
          <w:spacing w:val="-8"/>
          <w:sz w:val="28"/>
        </w:rPr>
        <w:t> </w:t>
      </w:r>
      <w:r>
        <w:rPr>
          <w:b/>
          <w:color w:val="682D82"/>
          <w:sz w:val="28"/>
        </w:rPr>
        <w:t>the</w:t>
      </w:r>
      <w:r>
        <w:rPr>
          <w:b/>
          <w:color w:val="682D82"/>
          <w:spacing w:val="-8"/>
          <w:sz w:val="28"/>
        </w:rPr>
        <w:t> </w:t>
      </w:r>
      <w:r>
        <w:rPr>
          <w:b/>
          <w:color w:val="682D82"/>
          <w:sz w:val="28"/>
        </w:rPr>
        <w:t>NI</w:t>
      </w:r>
      <w:r>
        <w:rPr>
          <w:b/>
          <w:color w:val="682D82"/>
          <w:spacing w:val="-7"/>
          <w:sz w:val="28"/>
        </w:rPr>
        <w:t> </w:t>
      </w:r>
      <w:r>
        <w:rPr>
          <w:b/>
          <w:color w:val="682D82"/>
          <w:sz w:val="28"/>
        </w:rPr>
        <w:t>Executive,</w:t>
      </w:r>
      <w:r>
        <w:rPr>
          <w:b/>
          <w:color w:val="682D82"/>
          <w:spacing w:val="-7"/>
          <w:sz w:val="28"/>
        </w:rPr>
        <w:t> </w:t>
      </w:r>
      <w:r>
        <w:rPr>
          <w:b/>
          <w:color w:val="682D82"/>
          <w:sz w:val="28"/>
        </w:rPr>
        <w:t>and</w:t>
      </w:r>
      <w:r>
        <w:rPr>
          <w:b/>
          <w:color w:val="682D82"/>
          <w:spacing w:val="-7"/>
          <w:sz w:val="28"/>
        </w:rPr>
        <w:t> </w:t>
      </w:r>
      <w:r>
        <w:rPr>
          <w:b/>
          <w:color w:val="682D82"/>
          <w:sz w:val="28"/>
        </w:rPr>
        <w:t>relevant</w:t>
      </w:r>
      <w:r>
        <w:rPr>
          <w:b/>
          <w:color w:val="682D82"/>
          <w:spacing w:val="-7"/>
          <w:sz w:val="28"/>
        </w:rPr>
        <w:t> </w:t>
      </w:r>
      <w:r>
        <w:rPr>
          <w:b/>
          <w:color w:val="682D82"/>
          <w:sz w:val="28"/>
        </w:rPr>
        <w:t>NI</w:t>
      </w:r>
      <w:r>
        <w:rPr>
          <w:b/>
          <w:color w:val="682D82"/>
          <w:spacing w:val="-7"/>
          <w:sz w:val="28"/>
        </w:rPr>
        <w:t> </w:t>
      </w:r>
      <w:r>
        <w:rPr>
          <w:b/>
          <w:color w:val="682D82"/>
          <w:sz w:val="28"/>
        </w:rPr>
        <w:t>departments</w:t>
      </w:r>
      <w:r>
        <w:rPr>
          <w:b/>
          <w:color w:val="682D82"/>
          <w:spacing w:val="-7"/>
          <w:sz w:val="28"/>
        </w:rPr>
        <w:t> </w:t>
      </w:r>
      <w:r>
        <w:rPr>
          <w:b/>
          <w:color w:val="682D82"/>
          <w:sz w:val="28"/>
        </w:rPr>
        <w:t>to</w:t>
      </w:r>
      <w:r>
        <w:rPr>
          <w:b/>
          <w:color w:val="682D82"/>
          <w:spacing w:val="-7"/>
          <w:sz w:val="28"/>
        </w:rPr>
        <w:t> </w:t>
      </w:r>
      <w:r>
        <w:rPr>
          <w:b/>
          <w:color w:val="682D82"/>
          <w:sz w:val="28"/>
        </w:rPr>
        <w:t>ensure that the EU Framework Equality Directive is interpreted in line with the decision of the CJEU in the cases of </w:t>
      </w:r>
      <w:r>
        <w:rPr>
          <w:b/>
          <w:i/>
          <w:color w:val="682D82"/>
          <w:sz w:val="28"/>
        </w:rPr>
        <w:t>WABE </w:t>
      </w:r>
      <w:r>
        <w:rPr>
          <w:b/>
          <w:color w:val="682D82"/>
          <w:sz w:val="28"/>
        </w:rPr>
        <w:t>and </w:t>
      </w:r>
      <w:r>
        <w:rPr>
          <w:b/>
          <w:i/>
          <w:color w:val="682D82"/>
          <w:sz w:val="28"/>
        </w:rPr>
        <w:t>Müller</w:t>
      </w:r>
      <w:r>
        <w:rPr>
          <w:b/>
          <w:color w:val="682D82"/>
          <w:sz w:val="28"/>
        </w:rPr>
        <w:t>.</w:t>
      </w:r>
    </w:p>
    <w:p>
      <w:pPr>
        <w:pStyle w:val="BodyText"/>
        <w:rPr>
          <w:b/>
          <w:sz w:val="20"/>
        </w:rPr>
      </w:pPr>
    </w:p>
    <w:p>
      <w:pPr>
        <w:pStyle w:val="BodyText"/>
        <w:rPr>
          <w:b/>
          <w:sz w:val="20"/>
        </w:rPr>
      </w:pPr>
    </w:p>
    <w:p>
      <w:pPr>
        <w:pStyle w:val="BodyText"/>
        <w:rPr>
          <w:b/>
          <w:sz w:val="20"/>
        </w:rPr>
      </w:pPr>
    </w:p>
    <w:p>
      <w:pPr>
        <w:pStyle w:val="BodyText"/>
        <w:spacing w:before="146"/>
        <w:rPr>
          <w:b/>
          <w:sz w:val="20"/>
        </w:rPr>
      </w:pPr>
      <w:r>
        <w:rPr/>
        <mc:AlternateContent>
          <mc:Choice Requires="wps">
            <w:drawing>
              <wp:anchor distT="0" distB="0" distL="0" distR="0" allowOverlap="1" layoutInCell="1" locked="0" behindDoc="1" simplePos="0" relativeHeight="487690240">
                <wp:simplePos x="0" y="0"/>
                <wp:positionH relativeFrom="page">
                  <wp:posOffset>719996</wp:posOffset>
                </wp:positionH>
                <wp:positionV relativeFrom="paragraph">
                  <wp:posOffset>262985</wp:posOffset>
                </wp:positionV>
                <wp:extent cx="6120130" cy="1270"/>
                <wp:effectExtent l="0" t="0" r="0" b="0"/>
                <wp:wrapTopAndBottom/>
                <wp:docPr id="469" name="Graphic 469"/>
                <wp:cNvGraphicFramePr>
                  <a:graphicFrameLocks/>
                </wp:cNvGraphicFramePr>
                <a:graphic>
                  <a:graphicData uri="http://schemas.microsoft.com/office/word/2010/wordprocessingShape">
                    <wps:wsp>
                      <wps:cNvPr id="469" name="Graphic 46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0.707493pt;width:481.9pt;height:.1pt;mso-position-horizontal-relative:page;mso-position-vertical-relative:paragraph;z-index:-15626240;mso-wrap-distance-left:0;mso-wrap-distance-right:0" id="docshape416" coordorigin="1134,414" coordsize="9638,0" path="m10772,414l1134,414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18" w:lineRule="exact" w:before="150" w:after="0"/>
        <w:ind w:left="1853" w:right="0" w:hanging="720"/>
        <w:jc w:val="both"/>
        <w:rPr>
          <w:sz w:val="18"/>
        </w:rPr>
      </w:pPr>
      <w:r>
        <w:rPr>
          <w:i/>
          <w:sz w:val="18"/>
        </w:rPr>
        <w:t>IX</w:t>
      </w:r>
      <w:r>
        <w:rPr>
          <w:i/>
          <w:spacing w:val="-5"/>
          <w:sz w:val="18"/>
        </w:rPr>
        <w:t> </w:t>
      </w:r>
      <w:r>
        <w:rPr>
          <w:i/>
          <w:sz w:val="18"/>
        </w:rPr>
        <w:t>v</w:t>
      </w:r>
      <w:r>
        <w:rPr>
          <w:i/>
          <w:spacing w:val="-2"/>
          <w:sz w:val="18"/>
        </w:rPr>
        <w:t> </w:t>
      </w:r>
      <w:r>
        <w:rPr>
          <w:i/>
          <w:sz w:val="18"/>
        </w:rPr>
        <w:t>WABE</w:t>
      </w:r>
      <w:r>
        <w:rPr>
          <w:i/>
          <w:spacing w:val="-3"/>
          <w:sz w:val="18"/>
        </w:rPr>
        <w:t> </w:t>
      </w:r>
      <w:r>
        <w:rPr>
          <w:i/>
          <w:sz w:val="18"/>
        </w:rPr>
        <w:t>eV</w:t>
      </w:r>
      <w:r>
        <w:rPr>
          <w:i/>
          <w:spacing w:val="-2"/>
          <w:sz w:val="18"/>
        </w:rPr>
        <w:t> </w:t>
      </w:r>
      <w:r>
        <w:rPr>
          <w:sz w:val="18"/>
        </w:rPr>
        <w:t>and</w:t>
      </w:r>
      <w:r>
        <w:rPr>
          <w:spacing w:val="-2"/>
          <w:sz w:val="18"/>
        </w:rPr>
        <w:t> </w:t>
      </w:r>
      <w:r>
        <w:rPr>
          <w:i/>
          <w:sz w:val="18"/>
        </w:rPr>
        <w:t>MH</w:t>
      </w:r>
      <w:r>
        <w:rPr>
          <w:i/>
          <w:spacing w:val="-3"/>
          <w:sz w:val="18"/>
        </w:rPr>
        <w:t> </w:t>
      </w:r>
      <w:r>
        <w:rPr>
          <w:i/>
          <w:sz w:val="18"/>
        </w:rPr>
        <w:t>Müller</w:t>
      </w:r>
      <w:r>
        <w:rPr>
          <w:i/>
          <w:spacing w:val="-2"/>
          <w:sz w:val="18"/>
        </w:rPr>
        <w:t> </w:t>
      </w:r>
      <w:r>
        <w:rPr>
          <w:i/>
          <w:sz w:val="18"/>
        </w:rPr>
        <w:t>Handels</w:t>
      </w:r>
      <w:r>
        <w:rPr>
          <w:i/>
          <w:spacing w:val="-3"/>
          <w:sz w:val="18"/>
        </w:rPr>
        <w:t> </w:t>
      </w:r>
      <w:r>
        <w:rPr>
          <w:i/>
          <w:sz w:val="18"/>
        </w:rPr>
        <w:t>GmbH</w:t>
      </w:r>
      <w:r>
        <w:rPr>
          <w:i/>
          <w:spacing w:val="-3"/>
          <w:sz w:val="18"/>
        </w:rPr>
        <w:t> </w:t>
      </w:r>
      <w:r>
        <w:rPr>
          <w:i/>
          <w:sz w:val="18"/>
        </w:rPr>
        <w:t>v</w:t>
      </w:r>
      <w:r>
        <w:rPr>
          <w:i/>
          <w:spacing w:val="-2"/>
          <w:sz w:val="18"/>
        </w:rPr>
        <w:t> </w:t>
      </w:r>
      <w:r>
        <w:rPr>
          <w:i/>
          <w:sz w:val="18"/>
        </w:rPr>
        <w:t>MJ</w:t>
      </w:r>
      <w:r>
        <w:rPr>
          <w:sz w:val="18"/>
        </w:rPr>
        <w:t>,</w:t>
      </w:r>
      <w:r>
        <w:rPr>
          <w:spacing w:val="-2"/>
          <w:sz w:val="18"/>
        </w:rPr>
        <w:t> </w:t>
      </w:r>
      <w:r>
        <w:rPr>
          <w:sz w:val="18"/>
        </w:rPr>
        <w:t>Joined</w:t>
      </w:r>
      <w:r>
        <w:rPr>
          <w:spacing w:val="-3"/>
          <w:sz w:val="18"/>
        </w:rPr>
        <w:t> </w:t>
      </w:r>
      <w:r>
        <w:rPr>
          <w:sz w:val="18"/>
        </w:rPr>
        <w:t>Cases</w:t>
      </w:r>
      <w:r>
        <w:rPr>
          <w:spacing w:val="-3"/>
          <w:sz w:val="18"/>
        </w:rPr>
        <w:t> </w:t>
      </w:r>
      <w:r>
        <w:rPr>
          <w:sz w:val="18"/>
        </w:rPr>
        <w:t>C-804/18</w:t>
      </w:r>
      <w:r>
        <w:rPr>
          <w:spacing w:val="-2"/>
          <w:sz w:val="18"/>
        </w:rPr>
        <w:t> </w:t>
      </w:r>
      <w:r>
        <w:rPr>
          <w:sz w:val="18"/>
        </w:rPr>
        <w:t>and</w:t>
      </w:r>
      <w:r>
        <w:rPr>
          <w:spacing w:val="-3"/>
          <w:sz w:val="18"/>
        </w:rPr>
        <w:t> </w:t>
      </w:r>
      <w:r>
        <w:rPr>
          <w:sz w:val="18"/>
        </w:rPr>
        <w:t>C-341/19,</w:t>
      </w:r>
      <w:r>
        <w:rPr>
          <w:spacing w:val="-2"/>
          <w:sz w:val="18"/>
        </w:rPr>
        <w:t> </w:t>
      </w:r>
      <w:r>
        <w:rPr>
          <w:sz w:val="18"/>
        </w:rPr>
        <w:t>15</w:t>
      </w:r>
      <w:r>
        <w:rPr>
          <w:spacing w:val="-2"/>
          <w:sz w:val="18"/>
        </w:rPr>
        <w:t> </w:t>
      </w:r>
      <w:r>
        <w:rPr>
          <w:sz w:val="18"/>
        </w:rPr>
        <w:t>July</w:t>
      </w:r>
      <w:r>
        <w:rPr>
          <w:spacing w:val="-1"/>
          <w:sz w:val="18"/>
        </w:rPr>
        <w:t> </w:t>
      </w:r>
      <w:r>
        <w:rPr>
          <w:spacing w:val="-2"/>
          <w:sz w:val="18"/>
        </w:rPr>
        <w:t>2021.</w:t>
      </w:r>
    </w:p>
    <w:p>
      <w:pPr>
        <w:pStyle w:val="ListParagraph"/>
        <w:numPr>
          <w:ilvl w:val="0"/>
          <w:numId w:val="11"/>
        </w:numPr>
        <w:tabs>
          <w:tab w:pos="1853" w:val="left" w:leader="none"/>
        </w:tabs>
        <w:spacing w:line="235" w:lineRule="auto" w:before="1" w:after="0"/>
        <w:ind w:left="1853" w:right="1439" w:hanging="720"/>
        <w:jc w:val="both"/>
        <w:rPr>
          <w:sz w:val="18"/>
        </w:rPr>
      </w:pPr>
      <w:r>
        <w:rPr>
          <w:sz w:val="18"/>
        </w:rPr>
        <w:t>Directive</w:t>
      </w:r>
      <w:r>
        <w:rPr>
          <w:spacing w:val="-6"/>
          <w:sz w:val="18"/>
        </w:rPr>
        <w:t> </w:t>
      </w:r>
      <w:r>
        <w:rPr>
          <w:sz w:val="18"/>
        </w:rPr>
        <w:t>2000/78/EC,</w:t>
      </w:r>
      <w:r>
        <w:rPr>
          <w:spacing w:val="-6"/>
          <w:sz w:val="18"/>
        </w:rPr>
        <w:t> </w:t>
      </w:r>
      <w:r>
        <w:rPr>
          <w:sz w:val="18"/>
        </w:rPr>
        <w:t>‘Council</w:t>
      </w:r>
      <w:r>
        <w:rPr>
          <w:spacing w:val="-7"/>
          <w:sz w:val="18"/>
        </w:rPr>
        <w:t> </w:t>
      </w:r>
      <w:r>
        <w:rPr>
          <w:sz w:val="18"/>
        </w:rPr>
        <w:t>Directive</w:t>
      </w:r>
      <w:r>
        <w:rPr>
          <w:spacing w:val="-6"/>
          <w:sz w:val="18"/>
        </w:rPr>
        <w:t> </w:t>
      </w:r>
      <w:r>
        <w:rPr>
          <w:sz w:val="18"/>
        </w:rPr>
        <w:t>on</w:t>
      </w:r>
      <w:r>
        <w:rPr>
          <w:spacing w:val="-7"/>
          <w:sz w:val="18"/>
        </w:rPr>
        <w:t> </w:t>
      </w:r>
      <w:r>
        <w:rPr>
          <w:sz w:val="18"/>
        </w:rPr>
        <w:t>Establishing</w:t>
      </w:r>
      <w:r>
        <w:rPr>
          <w:spacing w:val="-6"/>
          <w:sz w:val="18"/>
        </w:rPr>
        <w:t> </w:t>
      </w:r>
      <w:r>
        <w:rPr>
          <w:sz w:val="18"/>
        </w:rPr>
        <w:t>a</w:t>
      </w:r>
      <w:r>
        <w:rPr>
          <w:spacing w:val="-7"/>
          <w:sz w:val="18"/>
        </w:rPr>
        <w:t> </w:t>
      </w:r>
      <w:r>
        <w:rPr>
          <w:sz w:val="18"/>
        </w:rPr>
        <w:t>General</w:t>
      </w:r>
      <w:r>
        <w:rPr>
          <w:spacing w:val="-7"/>
          <w:sz w:val="18"/>
        </w:rPr>
        <w:t> </w:t>
      </w:r>
      <w:r>
        <w:rPr>
          <w:sz w:val="18"/>
        </w:rPr>
        <w:t>Framework</w:t>
      </w:r>
      <w:r>
        <w:rPr>
          <w:spacing w:val="-6"/>
          <w:sz w:val="18"/>
        </w:rPr>
        <w:t> </w:t>
      </w:r>
      <w:r>
        <w:rPr>
          <w:sz w:val="18"/>
        </w:rPr>
        <w:t>for</w:t>
      </w:r>
      <w:r>
        <w:rPr>
          <w:spacing w:val="-6"/>
          <w:sz w:val="18"/>
        </w:rPr>
        <w:t> </w:t>
      </w:r>
      <w:r>
        <w:rPr>
          <w:sz w:val="18"/>
        </w:rPr>
        <w:t>Equal</w:t>
      </w:r>
      <w:r>
        <w:rPr>
          <w:spacing w:val="-7"/>
          <w:sz w:val="18"/>
        </w:rPr>
        <w:t> </w:t>
      </w:r>
      <w:r>
        <w:rPr>
          <w:sz w:val="18"/>
        </w:rPr>
        <w:t>Treatment</w:t>
      </w:r>
      <w:r>
        <w:rPr>
          <w:spacing w:val="-6"/>
          <w:sz w:val="18"/>
        </w:rPr>
        <w:t> </w:t>
      </w:r>
      <w:r>
        <w:rPr>
          <w:sz w:val="18"/>
        </w:rPr>
        <w:t>in</w:t>
      </w:r>
      <w:r>
        <w:rPr>
          <w:spacing w:val="-7"/>
          <w:sz w:val="18"/>
        </w:rPr>
        <w:t> </w:t>
      </w:r>
      <w:r>
        <w:rPr>
          <w:sz w:val="18"/>
        </w:rPr>
        <w:t>Employment</w:t>
      </w:r>
      <w:r>
        <w:rPr>
          <w:spacing w:val="-6"/>
          <w:sz w:val="18"/>
        </w:rPr>
        <w:t> </w:t>
      </w:r>
      <w:r>
        <w:rPr>
          <w:sz w:val="18"/>
        </w:rPr>
        <w:t>and Occupation’, 27 November 2000.</w:t>
      </w:r>
    </w:p>
    <w:p>
      <w:pPr>
        <w:pStyle w:val="ListParagraph"/>
        <w:numPr>
          <w:ilvl w:val="0"/>
          <w:numId w:val="11"/>
        </w:numPr>
        <w:tabs>
          <w:tab w:pos="1853" w:val="left" w:leader="none"/>
        </w:tabs>
        <w:spacing w:line="235" w:lineRule="auto" w:before="2" w:after="0"/>
        <w:ind w:left="1853" w:right="1408" w:hanging="720"/>
        <w:jc w:val="both"/>
        <w:rPr>
          <w:sz w:val="18"/>
        </w:rPr>
      </w:pPr>
      <w:r>
        <w:rPr>
          <w:sz w:val="18"/>
        </w:rPr>
        <w:t>Sarah</w:t>
      </w:r>
      <w:r>
        <w:rPr>
          <w:spacing w:val="-7"/>
          <w:sz w:val="18"/>
        </w:rPr>
        <w:t> </w:t>
      </w:r>
      <w:r>
        <w:rPr>
          <w:sz w:val="18"/>
        </w:rPr>
        <w:t>Craig,</w:t>
      </w:r>
      <w:r>
        <w:rPr>
          <w:spacing w:val="-6"/>
          <w:sz w:val="18"/>
        </w:rPr>
        <w:t> </w:t>
      </w:r>
      <w:r>
        <w:rPr>
          <w:sz w:val="18"/>
        </w:rPr>
        <w:t>Anurag</w:t>
      </w:r>
      <w:r>
        <w:rPr>
          <w:spacing w:val="-6"/>
          <w:sz w:val="18"/>
        </w:rPr>
        <w:t> </w:t>
      </w:r>
      <w:r>
        <w:rPr>
          <w:sz w:val="18"/>
        </w:rPr>
        <w:t>Deb,</w:t>
      </w:r>
      <w:r>
        <w:rPr>
          <w:spacing w:val="-6"/>
          <w:sz w:val="18"/>
        </w:rPr>
        <w:t> </w:t>
      </w:r>
      <w:r>
        <w:rPr>
          <w:sz w:val="18"/>
        </w:rPr>
        <w:t>Eleni</w:t>
      </w:r>
      <w:r>
        <w:rPr>
          <w:spacing w:val="-7"/>
          <w:sz w:val="18"/>
        </w:rPr>
        <w:t> </w:t>
      </w:r>
      <w:r>
        <w:rPr>
          <w:sz w:val="18"/>
        </w:rPr>
        <w:t>Frantziou,</w:t>
      </w:r>
      <w:r>
        <w:rPr>
          <w:spacing w:val="-6"/>
          <w:sz w:val="18"/>
        </w:rPr>
        <w:t> </w:t>
      </w:r>
      <w:r>
        <w:rPr>
          <w:sz w:val="18"/>
        </w:rPr>
        <w:t>Alexander</w:t>
      </w:r>
      <w:r>
        <w:rPr>
          <w:spacing w:val="-6"/>
          <w:sz w:val="18"/>
        </w:rPr>
        <w:t> </w:t>
      </w:r>
      <w:r>
        <w:rPr>
          <w:sz w:val="18"/>
        </w:rPr>
        <w:t>Horne,</w:t>
      </w:r>
      <w:r>
        <w:rPr>
          <w:spacing w:val="-6"/>
          <w:sz w:val="18"/>
        </w:rPr>
        <w:t> </w:t>
      </w:r>
      <w:r>
        <w:rPr>
          <w:sz w:val="18"/>
        </w:rPr>
        <w:t>Colin</w:t>
      </w:r>
      <w:r>
        <w:rPr>
          <w:spacing w:val="-7"/>
          <w:sz w:val="18"/>
        </w:rPr>
        <w:t> </w:t>
      </w:r>
      <w:r>
        <w:rPr>
          <w:sz w:val="18"/>
        </w:rPr>
        <w:t>Murray,</w:t>
      </w:r>
      <w:r>
        <w:rPr>
          <w:spacing w:val="-6"/>
          <w:sz w:val="18"/>
        </w:rPr>
        <w:t> </w:t>
      </w:r>
      <w:r>
        <w:rPr>
          <w:sz w:val="18"/>
        </w:rPr>
        <w:t>Clare</w:t>
      </w:r>
      <w:r>
        <w:rPr>
          <w:spacing w:val="-6"/>
          <w:sz w:val="18"/>
        </w:rPr>
        <w:t> </w:t>
      </w:r>
      <w:r>
        <w:rPr>
          <w:sz w:val="18"/>
        </w:rPr>
        <w:t>Rice</w:t>
      </w:r>
      <w:r>
        <w:rPr>
          <w:spacing w:val="-6"/>
          <w:sz w:val="18"/>
        </w:rPr>
        <w:t> </w:t>
      </w:r>
      <w:r>
        <w:rPr>
          <w:sz w:val="18"/>
        </w:rPr>
        <w:t>and</w:t>
      </w:r>
      <w:r>
        <w:rPr>
          <w:spacing w:val="-7"/>
          <w:sz w:val="18"/>
        </w:rPr>
        <w:t> </w:t>
      </w:r>
      <w:r>
        <w:rPr>
          <w:sz w:val="18"/>
        </w:rPr>
        <w:t>Jane</w:t>
      </w:r>
      <w:r>
        <w:rPr>
          <w:spacing w:val="-6"/>
          <w:sz w:val="18"/>
        </w:rPr>
        <w:t> </w:t>
      </w:r>
      <w:r>
        <w:rPr>
          <w:sz w:val="18"/>
        </w:rPr>
        <w:t>Rooney,</w:t>
      </w:r>
      <w:r>
        <w:rPr>
          <w:spacing w:val="-6"/>
          <w:sz w:val="18"/>
        </w:rPr>
        <w:t> </w:t>
      </w:r>
      <w:r>
        <w:rPr>
          <w:sz w:val="18"/>
        </w:rPr>
        <w:t>‘European</w:t>
      </w:r>
      <w:r>
        <w:rPr>
          <w:spacing w:val="-7"/>
          <w:sz w:val="18"/>
        </w:rPr>
        <w:t> </w:t>
      </w:r>
      <w:r>
        <w:rPr>
          <w:sz w:val="18"/>
        </w:rPr>
        <w:t>Union developments</w:t>
      </w:r>
      <w:r>
        <w:rPr>
          <w:spacing w:val="-1"/>
          <w:sz w:val="18"/>
        </w:rPr>
        <w:t> </w:t>
      </w:r>
      <w:r>
        <w:rPr>
          <w:sz w:val="18"/>
        </w:rPr>
        <w:t>in</w:t>
      </w:r>
      <w:r>
        <w:rPr>
          <w:spacing w:val="-1"/>
          <w:sz w:val="18"/>
        </w:rPr>
        <w:t> </w:t>
      </w:r>
      <w:r>
        <w:rPr>
          <w:sz w:val="18"/>
        </w:rPr>
        <w:t>Equality and</w:t>
      </w:r>
      <w:r>
        <w:rPr>
          <w:spacing w:val="-1"/>
          <w:sz w:val="18"/>
        </w:rPr>
        <w:t> </w:t>
      </w:r>
      <w:r>
        <w:rPr>
          <w:sz w:val="18"/>
        </w:rPr>
        <w:t>Human</w:t>
      </w:r>
      <w:r>
        <w:rPr>
          <w:spacing w:val="-1"/>
          <w:sz w:val="18"/>
        </w:rPr>
        <w:t> </w:t>
      </w:r>
      <w:r>
        <w:rPr>
          <w:sz w:val="18"/>
        </w:rPr>
        <w:t>Rights: The Impact of</w:t>
      </w:r>
      <w:r>
        <w:rPr>
          <w:spacing w:val="-1"/>
          <w:sz w:val="18"/>
        </w:rPr>
        <w:t> </w:t>
      </w:r>
      <w:r>
        <w:rPr>
          <w:sz w:val="18"/>
        </w:rPr>
        <w:t>Brexit on</w:t>
      </w:r>
      <w:r>
        <w:rPr>
          <w:spacing w:val="-1"/>
          <w:sz w:val="18"/>
        </w:rPr>
        <w:t> </w:t>
      </w:r>
      <w:r>
        <w:rPr>
          <w:sz w:val="18"/>
        </w:rPr>
        <w:t>the divergence of</w:t>
      </w:r>
      <w:r>
        <w:rPr>
          <w:spacing w:val="-1"/>
          <w:sz w:val="18"/>
        </w:rPr>
        <w:t> </w:t>
      </w:r>
      <w:r>
        <w:rPr>
          <w:sz w:val="18"/>
        </w:rPr>
        <w:t>rights</w:t>
      </w:r>
      <w:r>
        <w:rPr>
          <w:spacing w:val="-1"/>
          <w:sz w:val="18"/>
        </w:rPr>
        <w:t> </w:t>
      </w:r>
      <w:r>
        <w:rPr>
          <w:sz w:val="18"/>
        </w:rPr>
        <w:t>and</w:t>
      </w:r>
      <w:r>
        <w:rPr>
          <w:spacing w:val="-1"/>
          <w:sz w:val="18"/>
        </w:rPr>
        <w:t> </w:t>
      </w:r>
      <w:r>
        <w:rPr>
          <w:sz w:val="18"/>
        </w:rPr>
        <w:t>best practice on</w:t>
      </w:r>
      <w:r>
        <w:rPr>
          <w:spacing w:val="-1"/>
          <w:sz w:val="18"/>
        </w:rPr>
        <w:t> </w:t>
      </w:r>
      <w:r>
        <w:rPr>
          <w:sz w:val="18"/>
        </w:rPr>
        <w:t>the island of Ireland’ (ECNI, NIHRC and IHREC, 2022), at 68.</w:t>
      </w:r>
    </w:p>
    <w:p>
      <w:pPr>
        <w:pStyle w:val="ListParagraph"/>
        <w:numPr>
          <w:ilvl w:val="0"/>
          <w:numId w:val="11"/>
        </w:numPr>
        <w:tabs>
          <w:tab w:pos="1853" w:val="left" w:leader="none"/>
        </w:tabs>
        <w:spacing w:line="235" w:lineRule="auto" w:before="2" w:after="0"/>
        <w:ind w:left="1853" w:right="1373" w:hanging="720"/>
        <w:jc w:val="both"/>
        <w:rPr>
          <w:sz w:val="18"/>
        </w:rPr>
      </w:pP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‘NIHRC</w:t>
      </w:r>
      <w:r>
        <w:rPr>
          <w:spacing w:val="-5"/>
          <w:sz w:val="18"/>
        </w:rPr>
        <w:t> </w:t>
      </w:r>
      <w:r>
        <w:rPr>
          <w:sz w:val="18"/>
        </w:rPr>
        <w:t>Evidence</w:t>
      </w:r>
      <w:r>
        <w:rPr>
          <w:spacing w:val="-4"/>
          <w:sz w:val="18"/>
        </w:rPr>
        <w:t> </w:t>
      </w:r>
      <w:r>
        <w:rPr>
          <w:sz w:val="18"/>
        </w:rPr>
        <w:t>to</w:t>
      </w:r>
      <w:r>
        <w:rPr>
          <w:spacing w:val="-5"/>
          <w:sz w:val="18"/>
        </w:rPr>
        <w:t> </w:t>
      </w:r>
      <w:r>
        <w:rPr>
          <w:sz w:val="18"/>
        </w:rPr>
        <w:t>Joint</w:t>
      </w:r>
      <w:r>
        <w:rPr>
          <w:spacing w:val="-4"/>
          <w:sz w:val="18"/>
        </w:rPr>
        <w:t> </w:t>
      </w:r>
      <w:r>
        <w:rPr>
          <w:sz w:val="18"/>
        </w:rPr>
        <w:t>Committee</w:t>
      </w:r>
      <w:r>
        <w:rPr>
          <w:spacing w:val="-4"/>
          <w:sz w:val="18"/>
        </w:rPr>
        <w:t> </w:t>
      </w:r>
      <w:r>
        <w:rPr>
          <w:sz w:val="18"/>
        </w:rPr>
        <w:t>on</w:t>
      </w:r>
      <w:r>
        <w:rPr>
          <w:spacing w:val="-5"/>
          <w:sz w:val="18"/>
        </w:rPr>
        <w:t> </w:t>
      </w:r>
      <w:r>
        <w:rPr>
          <w:sz w:val="18"/>
        </w:rPr>
        <w:t>Human</w:t>
      </w:r>
      <w:r>
        <w:rPr>
          <w:spacing w:val="-5"/>
          <w:sz w:val="18"/>
        </w:rPr>
        <w:t> </w:t>
      </w:r>
      <w:r>
        <w:rPr>
          <w:sz w:val="18"/>
        </w:rPr>
        <w:t>Rights</w:t>
      </w:r>
      <w:r>
        <w:rPr>
          <w:spacing w:val="-5"/>
          <w:sz w:val="18"/>
        </w:rPr>
        <w:t> </w:t>
      </w:r>
      <w:r>
        <w:rPr>
          <w:sz w:val="18"/>
        </w:rPr>
        <w:t>Inquiry</w:t>
      </w:r>
      <w:r>
        <w:rPr>
          <w:spacing w:val="-4"/>
          <w:sz w:val="18"/>
        </w:rPr>
        <w:t> </w:t>
      </w:r>
      <w:r>
        <w:rPr>
          <w:sz w:val="18"/>
        </w:rPr>
        <w:t>on</w:t>
      </w:r>
      <w:r>
        <w:rPr>
          <w:spacing w:val="-5"/>
          <w:sz w:val="18"/>
        </w:rPr>
        <w:t> </w:t>
      </w:r>
      <w:r>
        <w:rPr>
          <w:sz w:val="18"/>
        </w:rPr>
        <w:t>Human</w:t>
      </w:r>
      <w:r>
        <w:rPr>
          <w:spacing w:val="-5"/>
          <w:sz w:val="18"/>
        </w:rPr>
        <w:t> </w:t>
      </w:r>
      <w:r>
        <w:rPr>
          <w:sz w:val="18"/>
        </w:rPr>
        <w:t>Rights</w:t>
      </w:r>
      <w:r>
        <w:rPr>
          <w:spacing w:val="-5"/>
          <w:sz w:val="18"/>
        </w:rPr>
        <w:t> </w:t>
      </w:r>
      <w:r>
        <w:rPr>
          <w:sz w:val="18"/>
        </w:rPr>
        <w:t>at</w:t>
      </w:r>
      <w:r>
        <w:rPr>
          <w:spacing w:val="-4"/>
          <w:sz w:val="18"/>
        </w:rPr>
        <w:t> </w:t>
      </w:r>
      <w:r>
        <w:rPr>
          <w:sz w:val="18"/>
        </w:rPr>
        <w:t>Work’ (NIHRC, 2023).</w:t>
      </w:r>
    </w:p>
    <w:p>
      <w:pPr>
        <w:pStyle w:val="ListParagraph"/>
        <w:numPr>
          <w:ilvl w:val="0"/>
          <w:numId w:val="11"/>
        </w:numPr>
        <w:tabs>
          <w:tab w:pos="1853" w:val="left" w:leader="none"/>
        </w:tabs>
        <w:spacing w:line="218" w:lineRule="exact" w:before="0" w:after="0"/>
        <w:ind w:left="1853" w:right="0" w:hanging="720"/>
        <w:jc w:val="both"/>
        <w:rPr>
          <w:sz w:val="18"/>
        </w:rPr>
      </w:pPr>
      <w:r>
        <w:rPr>
          <w:sz w:val="18"/>
        </w:rPr>
        <w:t>See</w:t>
      </w:r>
      <w:r>
        <w:rPr>
          <w:spacing w:val="-5"/>
          <w:sz w:val="18"/>
        </w:rPr>
        <w:t> </w:t>
      </w:r>
      <w:r>
        <w:rPr>
          <w:sz w:val="18"/>
        </w:rPr>
        <w:t>Equality</w:t>
      </w:r>
      <w:r>
        <w:rPr>
          <w:spacing w:val="-2"/>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hyperlink r:id="rId181">
        <w:r>
          <w:rPr>
            <w:sz w:val="18"/>
          </w:rPr>
          <w:t>’Dress</w:t>
        </w:r>
        <w:r>
          <w:rPr>
            <w:spacing w:val="-4"/>
            <w:sz w:val="18"/>
          </w:rPr>
          <w:t> </w:t>
        </w:r>
        <w:r>
          <w:rPr>
            <w:sz w:val="18"/>
          </w:rPr>
          <w:t>Code</w:t>
        </w:r>
        <w:r>
          <w:rPr>
            <w:spacing w:val="-2"/>
            <w:sz w:val="18"/>
          </w:rPr>
          <w:t> </w:t>
        </w:r>
        <w:r>
          <w:rPr>
            <w:sz w:val="18"/>
          </w:rPr>
          <w:t>in</w:t>
        </w:r>
        <w:r>
          <w:rPr>
            <w:spacing w:val="-4"/>
            <w:sz w:val="18"/>
          </w:rPr>
          <w:t> </w:t>
        </w:r>
        <w:r>
          <w:rPr>
            <w:sz w:val="18"/>
          </w:rPr>
          <w:t>the</w:t>
        </w:r>
        <w:r>
          <w:rPr>
            <w:spacing w:val="-2"/>
            <w:sz w:val="18"/>
          </w:rPr>
          <w:t> </w:t>
        </w:r>
        <w:r>
          <w:rPr>
            <w:sz w:val="18"/>
          </w:rPr>
          <w:t>workplace</w:t>
        </w:r>
        <w:r>
          <w:rPr>
            <w:spacing w:val="-2"/>
            <w:sz w:val="18"/>
          </w:rPr>
          <w:t> guidance’.</w:t>
        </w:r>
      </w:hyperlink>
    </w:p>
    <w:p>
      <w:pPr>
        <w:spacing w:after="0" w:line="218" w:lineRule="exact"/>
        <w:jc w:val="both"/>
        <w:rPr>
          <w:sz w:val="18"/>
        </w:rPr>
        <w:sectPr>
          <w:pgSz w:w="11910" w:h="16840"/>
          <w:pgMar w:header="496" w:footer="367" w:top="1220" w:bottom="560" w:left="0" w:right="0"/>
        </w:sectPr>
      </w:pPr>
    </w:p>
    <w:p>
      <w:pPr>
        <w:pStyle w:val="BodyText"/>
        <w:spacing w:before="182"/>
      </w:pPr>
    </w:p>
    <w:p>
      <w:pPr>
        <w:pStyle w:val="Heading5"/>
        <w:ind w:left="1133" w:firstLine="0"/>
      </w:pPr>
      <w:bookmarkStart w:name="_bookmark37" w:id="80"/>
      <w:bookmarkEnd w:id="80"/>
      <w:r>
        <w:rPr>
          <w:b w:val="0"/>
        </w:rPr>
      </w:r>
      <w:bookmarkStart w:name="Gender Pay Gap" w:id="81"/>
      <w:bookmarkEnd w:id="81"/>
      <w:r>
        <w:rPr>
          <w:b w:val="0"/>
        </w:rPr>
      </w:r>
      <w:r>
        <w:rPr>
          <w:color w:val="393B80"/>
        </w:rPr>
        <w:t>Gender</w:t>
      </w:r>
      <w:r>
        <w:rPr>
          <w:color w:val="393B80"/>
          <w:spacing w:val="-10"/>
        </w:rPr>
        <w:t> </w:t>
      </w:r>
      <w:r>
        <w:rPr>
          <w:color w:val="393B80"/>
        </w:rPr>
        <w:t>Pay</w:t>
      </w:r>
      <w:r>
        <w:rPr>
          <w:color w:val="393B80"/>
          <w:spacing w:val="-8"/>
        </w:rPr>
        <w:t> </w:t>
      </w:r>
      <w:r>
        <w:rPr>
          <w:color w:val="393B80"/>
          <w:spacing w:val="-5"/>
        </w:rPr>
        <w:t>Gap</w:t>
      </w:r>
    </w:p>
    <w:p>
      <w:pPr>
        <w:pStyle w:val="ListParagraph"/>
        <w:numPr>
          <w:ilvl w:val="1"/>
          <w:numId w:val="7"/>
        </w:numPr>
        <w:tabs>
          <w:tab w:pos="1853" w:val="left" w:leader="none"/>
        </w:tabs>
        <w:spacing w:line="225" w:lineRule="auto" w:before="331" w:after="0"/>
        <w:ind w:left="1853" w:right="1184" w:hanging="720"/>
        <w:jc w:val="left"/>
        <w:rPr>
          <w:sz w:val="28"/>
        </w:rPr>
      </w:pPr>
      <w:r>
        <w:rPr>
          <w:sz w:val="28"/>
        </w:rPr>
        <w:t>The international human rights oversight bodies have consistently called for the</w:t>
      </w:r>
      <w:r>
        <w:rPr>
          <w:spacing w:val="-8"/>
          <w:sz w:val="28"/>
        </w:rPr>
        <w:t> </w:t>
      </w:r>
      <w:r>
        <w:rPr>
          <w:sz w:val="28"/>
        </w:rPr>
        <w:t>UK</w:t>
      </w:r>
      <w:r>
        <w:rPr>
          <w:spacing w:val="-8"/>
          <w:sz w:val="28"/>
        </w:rPr>
        <w:t> </w:t>
      </w:r>
      <w:r>
        <w:rPr>
          <w:sz w:val="28"/>
        </w:rPr>
        <w:t>Government</w:t>
      </w:r>
      <w:r>
        <w:rPr>
          <w:spacing w:val="-8"/>
          <w:sz w:val="28"/>
        </w:rPr>
        <w:t> </w:t>
      </w:r>
      <w:r>
        <w:rPr>
          <w:sz w:val="28"/>
        </w:rPr>
        <w:t>and</w:t>
      </w:r>
      <w:r>
        <w:rPr>
          <w:spacing w:val="-9"/>
          <w:sz w:val="28"/>
        </w:rPr>
        <w:t> </w:t>
      </w:r>
      <w:r>
        <w:rPr>
          <w:sz w:val="28"/>
        </w:rPr>
        <w:t>NI</w:t>
      </w:r>
      <w:r>
        <w:rPr>
          <w:spacing w:val="-8"/>
          <w:sz w:val="28"/>
        </w:rPr>
        <w:t> </w:t>
      </w:r>
      <w:r>
        <w:rPr>
          <w:sz w:val="28"/>
        </w:rPr>
        <w:t>Executive</w:t>
      </w:r>
      <w:r>
        <w:rPr>
          <w:spacing w:val="-8"/>
          <w:sz w:val="28"/>
        </w:rPr>
        <w:t> </w:t>
      </w:r>
      <w:r>
        <w:rPr>
          <w:sz w:val="28"/>
        </w:rPr>
        <w:t>to</w:t>
      </w:r>
      <w:r>
        <w:rPr>
          <w:spacing w:val="-9"/>
          <w:sz w:val="28"/>
        </w:rPr>
        <w:t> </w:t>
      </w:r>
      <w:r>
        <w:rPr>
          <w:sz w:val="28"/>
        </w:rPr>
        <w:t>adopt</w:t>
      </w:r>
      <w:r>
        <w:rPr>
          <w:spacing w:val="-8"/>
          <w:sz w:val="28"/>
        </w:rPr>
        <w:t> </w:t>
      </w:r>
      <w:r>
        <w:rPr>
          <w:sz w:val="28"/>
        </w:rPr>
        <w:t>effective</w:t>
      </w:r>
      <w:r>
        <w:rPr>
          <w:spacing w:val="-8"/>
          <w:sz w:val="28"/>
        </w:rPr>
        <w:t> </w:t>
      </w:r>
      <w:r>
        <w:rPr>
          <w:sz w:val="28"/>
        </w:rPr>
        <w:t>measures</w:t>
      </w:r>
      <w:r>
        <w:rPr>
          <w:spacing w:val="-9"/>
          <w:sz w:val="28"/>
        </w:rPr>
        <w:t> </w:t>
      </w:r>
      <w:r>
        <w:rPr>
          <w:sz w:val="28"/>
        </w:rPr>
        <w:t>to</w:t>
      </w:r>
      <w:r>
        <w:rPr>
          <w:spacing w:val="-9"/>
          <w:sz w:val="28"/>
        </w:rPr>
        <w:t> </w:t>
      </w:r>
      <w:r>
        <w:rPr>
          <w:sz w:val="28"/>
        </w:rPr>
        <w:t>eliminate the gender pay gap.</w:t>
      </w:r>
      <w:r>
        <w:rPr>
          <w:sz w:val="28"/>
          <w:vertAlign w:val="superscript"/>
        </w:rPr>
        <w:t>594</w:t>
      </w:r>
    </w:p>
    <w:p>
      <w:pPr>
        <w:pStyle w:val="ListParagraph"/>
        <w:numPr>
          <w:ilvl w:val="1"/>
          <w:numId w:val="7"/>
        </w:numPr>
        <w:tabs>
          <w:tab w:pos="1853" w:val="left" w:leader="none"/>
        </w:tabs>
        <w:spacing w:line="225" w:lineRule="auto" w:before="316" w:after="0"/>
        <w:ind w:left="1853" w:right="1204" w:hanging="720"/>
        <w:jc w:val="left"/>
        <w:rPr>
          <w:sz w:val="28"/>
        </w:rPr>
      </w:pPr>
      <w:r>
        <w:rPr>
          <w:sz w:val="28"/>
        </w:rPr>
        <w:t>Figures from the Annual Survey of Hours and Earnings show that median hourly earnings (excluding overtime) in NI have been consistently lower for women compared to men.</w:t>
      </w:r>
      <w:r>
        <w:rPr>
          <w:sz w:val="28"/>
          <w:vertAlign w:val="superscript"/>
        </w:rPr>
        <w:t>595</w:t>
      </w:r>
      <w:r>
        <w:rPr>
          <w:sz w:val="28"/>
          <w:vertAlign w:val="baseline"/>
        </w:rPr>
        <w:t> Even though the earning gap between men and women</w:t>
      </w:r>
      <w:r>
        <w:rPr>
          <w:spacing w:val="-3"/>
          <w:sz w:val="28"/>
          <w:vertAlign w:val="baseline"/>
        </w:rPr>
        <w:t> </w:t>
      </w:r>
      <w:r>
        <w:rPr>
          <w:sz w:val="28"/>
          <w:vertAlign w:val="baseline"/>
        </w:rPr>
        <w:t>in</w:t>
      </w:r>
      <w:r>
        <w:rPr>
          <w:spacing w:val="-3"/>
          <w:sz w:val="28"/>
          <w:vertAlign w:val="baseline"/>
        </w:rPr>
        <w:t> </w:t>
      </w:r>
      <w:r>
        <w:rPr>
          <w:sz w:val="28"/>
          <w:vertAlign w:val="baseline"/>
        </w:rPr>
        <w:t>NI</w:t>
      </w:r>
      <w:r>
        <w:rPr>
          <w:spacing w:val="-2"/>
          <w:sz w:val="28"/>
          <w:vertAlign w:val="baseline"/>
        </w:rPr>
        <w:t> </w:t>
      </w:r>
      <w:r>
        <w:rPr>
          <w:sz w:val="28"/>
          <w:vertAlign w:val="baseline"/>
        </w:rPr>
        <w:t>has</w:t>
      </w:r>
      <w:r>
        <w:rPr>
          <w:spacing w:val="-3"/>
          <w:sz w:val="28"/>
          <w:vertAlign w:val="baseline"/>
        </w:rPr>
        <w:t> </w:t>
      </w:r>
      <w:r>
        <w:rPr>
          <w:sz w:val="28"/>
          <w:vertAlign w:val="baseline"/>
        </w:rPr>
        <w:t>reduced</w:t>
      </w:r>
      <w:r>
        <w:rPr>
          <w:spacing w:val="-3"/>
          <w:sz w:val="28"/>
          <w:vertAlign w:val="baseline"/>
        </w:rPr>
        <w:t> </w:t>
      </w:r>
      <w:r>
        <w:rPr>
          <w:sz w:val="28"/>
          <w:vertAlign w:val="baseline"/>
        </w:rPr>
        <w:t>over</w:t>
      </w:r>
      <w:r>
        <w:rPr>
          <w:spacing w:val="-2"/>
          <w:sz w:val="28"/>
          <w:vertAlign w:val="baseline"/>
        </w:rPr>
        <w:t> </w:t>
      </w:r>
      <w:r>
        <w:rPr>
          <w:sz w:val="28"/>
          <w:vertAlign w:val="baseline"/>
        </w:rPr>
        <w:t>the</w:t>
      </w:r>
      <w:r>
        <w:rPr>
          <w:spacing w:val="-2"/>
          <w:sz w:val="28"/>
          <w:vertAlign w:val="baseline"/>
        </w:rPr>
        <w:t> </w:t>
      </w:r>
      <w:r>
        <w:rPr>
          <w:sz w:val="28"/>
          <w:vertAlign w:val="baseline"/>
        </w:rPr>
        <w:t>past</w:t>
      </w:r>
      <w:r>
        <w:rPr>
          <w:spacing w:val="-2"/>
          <w:sz w:val="28"/>
          <w:vertAlign w:val="baseline"/>
        </w:rPr>
        <w:t> </w:t>
      </w:r>
      <w:r>
        <w:rPr>
          <w:sz w:val="28"/>
          <w:vertAlign w:val="baseline"/>
        </w:rPr>
        <w:t>20</w:t>
      </w:r>
      <w:r>
        <w:rPr>
          <w:spacing w:val="-2"/>
          <w:sz w:val="28"/>
          <w:vertAlign w:val="baseline"/>
        </w:rPr>
        <w:t> </w:t>
      </w:r>
      <w:r>
        <w:rPr>
          <w:sz w:val="28"/>
          <w:vertAlign w:val="baseline"/>
        </w:rPr>
        <w:t>years,</w:t>
      </w:r>
      <w:r>
        <w:rPr>
          <w:spacing w:val="-2"/>
          <w:sz w:val="28"/>
          <w:vertAlign w:val="baseline"/>
        </w:rPr>
        <w:t> </w:t>
      </w:r>
      <w:r>
        <w:rPr>
          <w:sz w:val="28"/>
          <w:vertAlign w:val="baseline"/>
        </w:rPr>
        <w:t>in</w:t>
      </w:r>
      <w:r>
        <w:rPr>
          <w:spacing w:val="-3"/>
          <w:sz w:val="28"/>
          <w:vertAlign w:val="baseline"/>
        </w:rPr>
        <w:t> </w:t>
      </w:r>
      <w:r>
        <w:rPr>
          <w:sz w:val="28"/>
          <w:vertAlign w:val="baseline"/>
        </w:rPr>
        <w:t>2023</w:t>
      </w:r>
      <w:r>
        <w:rPr>
          <w:spacing w:val="-2"/>
          <w:sz w:val="28"/>
          <w:vertAlign w:val="baseline"/>
        </w:rPr>
        <w:t> </w:t>
      </w:r>
      <w:r>
        <w:rPr>
          <w:sz w:val="28"/>
          <w:vertAlign w:val="baseline"/>
        </w:rPr>
        <w:t>women</w:t>
      </w:r>
      <w:r>
        <w:rPr>
          <w:spacing w:val="-3"/>
          <w:sz w:val="28"/>
          <w:vertAlign w:val="baseline"/>
        </w:rPr>
        <w:t> </w:t>
      </w:r>
      <w:r>
        <w:rPr>
          <w:sz w:val="28"/>
          <w:vertAlign w:val="baseline"/>
        </w:rPr>
        <w:t>in</w:t>
      </w:r>
      <w:r>
        <w:rPr>
          <w:spacing w:val="-3"/>
          <w:sz w:val="28"/>
          <w:vertAlign w:val="baseline"/>
        </w:rPr>
        <w:t> </w:t>
      </w:r>
      <w:r>
        <w:rPr>
          <w:sz w:val="28"/>
          <w:vertAlign w:val="baseline"/>
        </w:rPr>
        <w:t>NI</w:t>
      </w:r>
      <w:r>
        <w:rPr>
          <w:spacing w:val="-2"/>
          <w:sz w:val="28"/>
          <w:vertAlign w:val="baseline"/>
        </w:rPr>
        <w:t> </w:t>
      </w:r>
      <w:r>
        <w:rPr>
          <w:sz w:val="28"/>
          <w:vertAlign w:val="baseline"/>
        </w:rPr>
        <w:t>earned 7.8% less in comparison with men.</w:t>
      </w:r>
      <w:r>
        <w:rPr>
          <w:sz w:val="28"/>
          <w:vertAlign w:val="superscript"/>
        </w:rPr>
        <w:t>596</w:t>
      </w:r>
      <w:r>
        <w:rPr>
          <w:spacing w:val="40"/>
          <w:sz w:val="28"/>
          <w:vertAlign w:val="baseline"/>
        </w:rPr>
        <w:t> </w:t>
      </w:r>
      <w:r>
        <w:rPr>
          <w:sz w:val="28"/>
          <w:vertAlign w:val="baseline"/>
        </w:rPr>
        <w:t>Moreover, the gender pay gap in NI is affected</w:t>
      </w:r>
      <w:r>
        <w:rPr>
          <w:spacing w:val="-13"/>
          <w:sz w:val="28"/>
          <w:vertAlign w:val="baseline"/>
        </w:rPr>
        <w:t> </w:t>
      </w:r>
      <w:r>
        <w:rPr>
          <w:sz w:val="28"/>
          <w:vertAlign w:val="baseline"/>
        </w:rPr>
        <w:t>by</w:t>
      </w:r>
      <w:r>
        <w:rPr>
          <w:spacing w:val="-12"/>
          <w:sz w:val="28"/>
          <w:vertAlign w:val="baseline"/>
        </w:rPr>
        <w:t> </w:t>
      </w:r>
      <w:r>
        <w:rPr>
          <w:sz w:val="28"/>
          <w:vertAlign w:val="baseline"/>
        </w:rPr>
        <w:t>the</w:t>
      </w:r>
      <w:r>
        <w:rPr>
          <w:spacing w:val="-12"/>
          <w:sz w:val="28"/>
          <w:vertAlign w:val="baseline"/>
        </w:rPr>
        <w:t> </w:t>
      </w:r>
      <w:r>
        <w:rPr>
          <w:sz w:val="28"/>
          <w:vertAlign w:val="baseline"/>
        </w:rPr>
        <w:t>‘part-time</w:t>
      </w:r>
      <w:r>
        <w:rPr>
          <w:spacing w:val="-12"/>
          <w:sz w:val="28"/>
          <w:vertAlign w:val="baseline"/>
        </w:rPr>
        <w:t> </w:t>
      </w:r>
      <w:r>
        <w:rPr>
          <w:sz w:val="28"/>
          <w:vertAlign w:val="baseline"/>
        </w:rPr>
        <w:t>effect’,</w:t>
      </w:r>
      <w:r>
        <w:rPr>
          <w:spacing w:val="-12"/>
          <w:sz w:val="28"/>
          <w:vertAlign w:val="baseline"/>
        </w:rPr>
        <w:t> </w:t>
      </w:r>
      <w:r>
        <w:rPr>
          <w:sz w:val="28"/>
          <w:vertAlign w:val="baseline"/>
        </w:rPr>
        <w:t>as</w:t>
      </w:r>
      <w:r>
        <w:rPr>
          <w:spacing w:val="-13"/>
          <w:sz w:val="28"/>
          <w:vertAlign w:val="baseline"/>
        </w:rPr>
        <w:t> </w:t>
      </w:r>
      <w:r>
        <w:rPr>
          <w:sz w:val="28"/>
          <w:vertAlign w:val="baseline"/>
        </w:rPr>
        <w:t>part-time</w:t>
      </w:r>
      <w:r>
        <w:rPr>
          <w:spacing w:val="-12"/>
          <w:sz w:val="28"/>
          <w:vertAlign w:val="baseline"/>
        </w:rPr>
        <w:t> </w:t>
      </w:r>
      <w:r>
        <w:rPr>
          <w:sz w:val="28"/>
          <w:vertAlign w:val="baseline"/>
        </w:rPr>
        <w:t>employees</w:t>
      </w:r>
      <w:r>
        <w:rPr>
          <w:spacing w:val="-13"/>
          <w:sz w:val="28"/>
          <w:vertAlign w:val="baseline"/>
        </w:rPr>
        <w:t> </w:t>
      </w:r>
      <w:r>
        <w:rPr>
          <w:sz w:val="28"/>
          <w:vertAlign w:val="baseline"/>
        </w:rPr>
        <w:t>earn</w:t>
      </w:r>
      <w:r>
        <w:rPr>
          <w:spacing w:val="-13"/>
          <w:sz w:val="28"/>
          <w:vertAlign w:val="baseline"/>
        </w:rPr>
        <w:t> </w:t>
      </w:r>
      <w:r>
        <w:rPr>
          <w:sz w:val="28"/>
          <w:vertAlign w:val="baseline"/>
        </w:rPr>
        <w:t>less</w:t>
      </w:r>
      <w:r>
        <w:rPr>
          <w:spacing w:val="-13"/>
          <w:sz w:val="28"/>
          <w:vertAlign w:val="baseline"/>
        </w:rPr>
        <w:t> </w:t>
      </w:r>
      <w:r>
        <w:rPr>
          <w:sz w:val="28"/>
          <w:vertAlign w:val="baseline"/>
        </w:rPr>
        <w:t>on</w:t>
      </w:r>
      <w:r>
        <w:rPr>
          <w:spacing w:val="-13"/>
          <w:sz w:val="28"/>
          <w:vertAlign w:val="baseline"/>
        </w:rPr>
        <w:t> </w:t>
      </w:r>
      <w:r>
        <w:rPr>
          <w:sz w:val="28"/>
          <w:vertAlign w:val="baseline"/>
        </w:rPr>
        <w:t>average than full-time employees and a higher proportion of part-time employees are </w:t>
      </w:r>
      <w:r>
        <w:rPr>
          <w:spacing w:val="-2"/>
          <w:sz w:val="28"/>
          <w:vertAlign w:val="baseline"/>
        </w:rPr>
        <w:t>women.</w:t>
      </w:r>
      <w:r>
        <w:rPr>
          <w:spacing w:val="-2"/>
          <w:sz w:val="28"/>
          <w:vertAlign w:val="superscript"/>
        </w:rPr>
        <w:t>597</w:t>
      </w:r>
    </w:p>
    <w:p>
      <w:pPr>
        <w:pStyle w:val="ListParagraph"/>
        <w:numPr>
          <w:ilvl w:val="1"/>
          <w:numId w:val="7"/>
        </w:numPr>
        <w:tabs>
          <w:tab w:pos="1853" w:val="left" w:leader="none"/>
        </w:tabs>
        <w:spacing w:line="225" w:lineRule="auto" w:before="309" w:after="0"/>
        <w:ind w:left="1853" w:right="1133" w:hanging="720"/>
        <w:jc w:val="left"/>
        <w:rPr>
          <w:sz w:val="28"/>
        </w:rPr>
      </w:pPr>
      <w:r>
        <w:rPr>
          <w:sz w:val="28"/>
        </w:rPr>
        <w:t>The obligation to keep pace with the Annex 1 equality directives pursuant to Articles 2 and 13 of the Windsor Framework, includes the EU Gender Equality (Employment) Directive which protects against discrimination in employment on</w:t>
      </w:r>
      <w:r>
        <w:rPr>
          <w:spacing w:val="-10"/>
          <w:sz w:val="28"/>
        </w:rPr>
        <w:t> </w:t>
      </w:r>
      <w:r>
        <w:rPr>
          <w:sz w:val="28"/>
        </w:rPr>
        <w:t>the</w:t>
      </w:r>
      <w:r>
        <w:rPr>
          <w:spacing w:val="-10"/>
          <w:sz w:val="28"/>
        </w:rPr>
        <w:t> </w:t>
      </w:r>
      <w:r>
        <w:rPr>
          <w:sz w:val="28"/>
        </w:rPr>
        <w:t>grounds</w:t>
      </w:r>
      <w:r>
        <w:rPr>
          <w:spacing w:val="-10"/>
          <w:sz w:val="28"/>
        </w:rPr>
        <w:t> </w:t>
      </w:r>
      <w:r>
        <w:rPr>
          <w:sz w:val="28"/>
        </w:rPr>
        <w:t>of</w:t>
      </w:r>
      <w:r>
        <w:rPr>
          <w:spacing w:val="-10"/>
          <w:sz w:val="28"/>
        </w:rPr>
        <w:t> </w:t>
      </w:r>
      <w:r>
        <w:rPr>
          <w:sz w:val="28"/>
        </w:rPr>
        <w:t>gender.</w:t>
      </w:r>
      <w:r>
        <w:rPr>
          <w:sz w:val="28"/>
          <w:vertAlign w:val="superscript"/>
        </w:rPr>
        <w:t>598</w:t>
      </w:r>
      <w:r>
        <w:rPr>
          <w:spacing w:val="-10"/>
          <w:sz w:val="28"/>
          <w:vertAlign w:val="baseline"/>
        </w:rPr>
        <w:t> </w:t>
      </w:r>
      <w:r>
        <w:rPr>
          <w:sz w:val="28"/>
          <w:vertAlign w:val="baseline"/>
        </w:rPr>
        <w:t>NI</w:t>
      </w:r>
      <w:r>
        <w:rPr>
          <w:spacing w:val="-10"/>
          <w:sz w:val="28"/>
          <w:vertAlign w:val="baseline"/>
        </w:rPr>
        <w:t> </w:t>
      </w:r>
      <w:r>
        <w:rPr>
          <w:sz w:val="28"/>
          <w:vertAlign w:val="baseline"/>
        </w:rPr>
        <w:t>equality</w:t>
      </w:r>
      <w:r>
        <w:rPr>
          <w:spacing w:val="-10"/>
          <w:sz w:val="28"/>
          <w:vertAlign w:val="baseline"/>
        </w:rPr>
        <w:t> </w:t>
      </w:r>
      <w:r>
        <w:rPr>
          <w:sz w:val="28"/>
          <w:vertAlign w:val="baseline"/>
        </w:rPr>
        <w:t>law</w:t>
      </w:r>
      <w:r>
        <w:rPr>
          <w:spacing w:val="-10"/>
          <w:sz w:val="28"/>
          <w:vertAlign w:val="baseline"/>
        </w:rPr>
        <w:t> </w:t>
      </w:r>
      <w:r>
        <w:rPr>
          <w:sz w:val="28"/>
          <w:vertAlign w:val="baseline"/>
        </w:rPr>
        <w:t>must</w:t>
      </w:r>
      <w:r>
        <w:rPr>
          <w:spacing w:val="-10"/>
          <w:sz w:val="28"/>
          <w:vertAlign w:val="baseline"/>
        </w:rPr>
        <w:t> </w:t>
      </w:r>
      <w:r>
        <w:rPr>
          <w:sz w:val="28"/>
          <w:vertAlign w:val="baseline"/>
        </w:rPr>
        <w:t>align</w:t>
      </w:r>
      <w:r>
        <w:rPr>
          <w:spacing w:val="-10"/>
          <w:sz w:val="28"/>
          <w:vertAlign w:val="baseline"/>
        </w:rPr>
        <w:t> </w:t>
      </w:r>
      <w:r>
        <w:rPr>
          <w:sz w:val="28"/>
          <w:vertAlign w:val="baseline"/>
        </w:rPr>
        <w:t>with</w:t>
      </w:r>
      <w:r>
        <w:rPr>
          <w:spacing w:val="-10"/>
          <w:sz w:val="28"/>
          <w:vertAlign w:val="baseline"/>
        </w:rPr>
        <w:t> </w:t>
      </w:r>
      <w:r>
        <w:rPr>
          <w:sz w:val="28"/>
          <w:vertAlign w:val="baseline"/>
        </w:rPr>
        <w:t>any</w:t>
      </w:r>
      <w:r>
        <w:rPr>
          <w:spacing w:val="-10"/>
          <w:sz w:val="28"/>
          <w:vertAlign w:val="baseline"/>
        </w:rPr>
        <w:t> </w:t>
      </w:r>
      <w:r>
        <w:rPr>
          <w:sz w:val="28"/>
          <w:vertAlign w:val="baseline"/>
        </w:rPr>
        <w:t>improvements made by the EU to these rights, on or after 1 January 2021, including complying with relevant current and future CJEU case law.</w:t>
      </w:r>
      <w:r>
        <w:rPr>
          <w:sz w:val="28"/>
          <w:vertAlign w:val="superscript"/>
        </w:rPr>
        <w:t>599</w:t>
      </w:r>
    </w:p>
    <w:p>
      <w:pPr>
        <w:pStyle w:val="ListParagraph"/>
        <w:numPr>
          <w:ilvl w:val="1"/>
          <w:numId w:val="7"/>
        </w:numPr>
        <w:tabs>
          <w:tab w:pos="1853" w:val="left" w:leader="none"/>
        </w:tabs>
        <w:spacing w:line="225" w:lineRule="auto" w:before="313" w:after="0"/>
        <w:ind w:left="1853" w:right="1216" w:hanging="720"/>
        <w:jc w:val="left"/>
        <w:rPr>
          <w:sz w:val="28"/>
        </w:rPr>
      </w:pPr>
      <w:r>
        <w:rPr>
          <w:sz w:val="28"/>
        </w:rPr>
        <w:t>The</w:t>
      </w:r>
      <w:r>
        <w:rPr>
          <w:spacing w:val="-9"/>
          <w:sz w:val="28"/>
        </w:rPr>
        <w:t> </w:t>
      </w:r>
      <w:r>
        <w:rPr>
          <w:sz w:val="28"/>
        </w:rPr>
        <w:t>ECNI</w:t>
      </w:r>
      <w:r>
        <w:rPr>
          <w:spacing w:val="-9"/>
          <w:sz w:val="28"/>
        </w:rPr>
        <w:t> </w:t>
      </w:r>
      <w:r>
        <w:rPr>
          <w:sz w:val="28"/>
        </w:rPr>
        <w:t>has</w:t>
      </w:r>
      <w:r>
        <w:rPr>
          <w:spacing w:val="-10"/>
          <w:sz w:val="28"/>
        </w:rPr>
        <w:t> </w:t>
      </w:r>
      <w:r>
        <w:rPr>
          <w:sz w:val="28"/>
        </w:rPr>
        <w:t>previously</w:t>
      </w:r>
      <w:r>
        <w:rPr>
          <w:spacing w:val="-9"/>
          <w:sz w:val="28"/>
        </w:rPr>
        <w:t> </w:t>
      </w:r>
      <w:r>
        <w:rPr>
          <w:sz w:val="28"/>
        </w:rPr>
        <w:t>published</w:t>
      </w:r>
      <w:r>
        <w:rPr>
          <w:spacing w:val="-10"/>
          <w:sz w:val="28"/>
        </w:rPr>
        <w:t> </w:t>
      </w:r>
      <w:r>
        <w:rPr>
          <w:sz w:val="28"/>
        </w:rPr>
        <w:t>recommendations</w:t>
      </w:r>
      <w:r>
        <w:rPr>
          <w:spacing w:val="-10"/>
          <w:sz w:val="28"/>
        </w:rPr>
        <w:t> </w:t>
      </w:r>
      <w:r>
        <w:rPr>
          <w:sz w:val="28"/>
        </w:rPr>
        <w:t>for</w:t>
      </w:r>
      <w:r>
        <w:rPr>
          <w:spacing w:val="-9"/>
          <w:sz w:val="28"/>
        </w:rPr>
        <w:t> </w:t>
      </w:r>
      <w:r>
        <w:rPr>
          <w:sz w:val="28"/>
        </w:rPr>
        <w:t>‘Gender</w:t>
      </w:r>
      <w:r>
        <w:rPr>
          <w:spacing w:val="-9"/>
          <w:sz w:val="28"/>
        </w:rPr>
        <w:t> </w:t>
      </w:r>
      <w:r>
        <w:rPr>
          <w:sz w:val="28"/>
        </w:rPr>
        <w:t>Pay</w:t>
      </w:r>
      <w:r>
        <w:rPr>
          <w:spacing w:val="-9"/>
          <w:sz w:val="28"/>
        </w:rPr>
        <w:t> </w:t>
      </w:r>
      <w:r>
        <w:rPr>
          <w:sz w:val="28"/>
        </w:rPr>
        <w:t>Strategy and Pay Reporting’ which sets out a number of recommendations in relation to strengthening gender pay transparency, including the introduction of requirements on gender pay gap reporting.</w:t>
      </w:r>
      <w:r>
        <w:rPr>
          <w:sz w:val="28"/>
          <w:vertAlign w:val="superscript"/>
        </w:rPr>
        <w:t>600</w:t>
      </w:r>
    </w:p>
    <w:p>
      <w:pPr>
        <w:pStyle w:val="ListParagraph"/>
        <w:numPr>
          <w:ilvl w:val="1"/>
          <w:numId w:val="7"/>
        </w:numPr>
        <w:tabs>
          <w:tab w:pos="1853" w:val="left" w:leader="none"/>
        </w:tabs>
        <w:spacing w:line="225" w:lineRule="auto" w:before="315" w:after="0"/>
        <w:ind w:left="1853" w:right="1731" w:hanging="720"/>
        <w:jc w:val="both"/>
        <w:rPr>
          <w:sz w:val="28"/>
        </w:rPr>
      </w:pPr>
      <w:r>
        <w:rPr>
          <w:sz w:val="28"/>
        </w:rPr>
        <w:t>In</w:t>
      </w:r>
      <w:r>
        <w:rPr>
          <w:spacing w:val="-6"/>
          <w:sz w:val="28"/>
        </w:rPr>
        <w:t> </w:t>
      </w:r>
      <w:r>
        <w:rPr>
          <w:sz w:val="28"/>
        </w:rPr>
        <w:t>2021,</w:t>
      </w:r>
      <w:r>
        <w:rPr>
          <w:spacing w:val="-5"/>
          <w:sz w:val="28"/>
        </w:rPr>
        <w:t> </w:t>
      </w:r>
      <w:r>
        <w:rPr>
          <w:sz w:val="28"/>
        </w:rPr>
        <w:t>the</w:t>
      </w:r>
      <w:r>
        <w:rPr>
          <w:spacing w:val="-5"/>
          <w:sz w:val="28"/>
        </w:rPr>
        <w:t> </w:t>
      </w:r>
      <w:r>
        <w:rPr>
          <w:sz w:val="28"/>
        </w:rPr>
        <w:t>Expert</w:t>
      </w:r>
      <w:r>
        <w:rPr>
          <w:spacing w:val="-5"/>
          <w:sz w:val="28"/>
        </w:rPr>
        <w:t> </w:t>
      </w:r>
      <w:r>
        <w:rPr>
          <w:sz w:val="28"/>
        </w:rPr>
        <w:t>Advisory</w:t>
      </w:r>
      <w:r>
        <w:rPr>
          <w:spacing w:val="-5"/>
          <w:sz w:val="28"/>
        </w:rPr>
        <w:t> </w:t>
      </w:r>
      <w:r>
        <w:rPr>
          <w:sz w:val="28"/>
        </w:rPr>
        <w:t>Panel</w:t>
      </w:r>
      <w:r>
        <w:rPr>
          <w:spacing w:val="-6"/>
          <w:sz w:val="28"/>
        </w:rPr>
        <w:t> </w:t>
      </w:r>
      <w:r>
        <w:rPr>
          <w:sz w:val="28"/>
        </w:rPr>
        <w:t>for</w:t>
      </w:r>
      <w:r>
        <w:rPr>
          <w:spacing w:val="-5"/>
          <w:sz w:val="28"/>
        </w:rPr>
        <w:t> </w:t>
      </w:r>
      <w:r>
        <w:rPr>
          <w:sz w:val="28"/>
        </w:rPr>
        <w:t>the</w:t>
      </w:r>
      <w:r>
        <w:rPr>
          <w:spacing w:val="-5"/>
          <w:sz w:val="28"/>
        </w:rPr>
        <w:t> </w:t>
      </w:r>
      <w:r>
        <w:rPr>
          <w:sz w:val="28"/>
        </w:rPr>
        <w:t>Gender</w:t>
      </w:r>
      <w:r>
        <w:rPr>
          <w:spacing w:val="-5"/>
          <w:sz w:val="28"/>
        </w:rPr>
        <w:t> </w:t>
      </w:r>
      <w:r>
        <w:rPr>
          <w:sz w:val="28"/>
        </w:rPr>
        <w:t>Equality</w:t>
      </w:r>
      <w:r>
        <w:rPr>
          <w:spacing w:val="-5"/>
          <w:sz w:val="28"/>
        </w:rPr>
        <w:t> </w:t>
      </w:r>
      <w:r>
        <w:rPr>
          <w:sz w:val="28"/>
        </w:rPr>
        <w:t>Strategy</w:t>
      </w:r>
      <w:r>
        <w:rPr>
          <w:spacing w:val="-5"/>
          <w:sz w:val="28"/>
        </w:rPr>
        <w:t> </w:t>
      </w:r>
      <w:r>
        <w:rPr>
          <w:sz w:val="28"/>
        </w:rPr>
        <w:t>made a</w:t>
      </w:r>
      <w:r>
        <w:rPr>
          <w:spacing w:val="-1"/>
          <w:sz w:val="28"/>
        </w:rPr>
        <w:t> </w:t>
      </w:r>
      <w:r>
        <w:rPr>
          <w:sz w:val="28"/>
        </w:rPr>
        <w:t>number of</w:t>
      </w:r>
      <w:r>
        <w:rPr>
          <w:spacing w:val="-1"/>
          <w:sz w:val="28"/>
        </w:rPr>
        <w:t> </w:t>
      </w:r>
      <w:r>
        <w:rPr>
          <w:sz w:val="28"/>
        </w:rPr>
        <w:t>recommendations</w:t>
      </w:r>
      <w:r>
        <w:rPr>
          <w:spacing w:val="-1"/>
          <w:sz w:val="28"/>
        </w:rPr>
        <w:t> </w:t>
      </w:r>
      <w:r>
        <w:rPr>
          <w:sz w:val="28"/>
        </w:rPr>
        <w:t>on</w:t>
      </w:r>
      <w:r>
        <w:rPr>
          <w:spacing w:val="-1"/>
          <w:sz w:val="28"/>
        </w:rPr>
        <w:t> </w:t>
      </w:r>
      <w:r>
        <w:rPr>
          <w:sz w:val="28"/>
        </w:rPr>
        <w:t>the gender pay gap</w:t>
      </w:r>
      <w:r>
        <w:rPr>
          <w:spacing w:val="-1"/>
          <w:sz w:val="28"/>
        </w:rPr>
        <w:t> </w:t>
      </w:r>
      <w:r>
        <w:rPr>
          <w:sz w:val="28"/>
        </w:rPr>
        <w:t>for the purpose of developing the Gender Equality Strategy.</w:t>
      </w:r>
      <w:r>
        <w:rPr>
          <w:sz w:val="28"/>
          <w:vertAlign w:val="superscript"/>
        </w:rPr>
        <w:t>601</w:t>
      </w:r>
      <w:r>
        <w:rPr>
          <w:spacing w:val="40"/>
          <w:sz w:val="28"/>
          <w:vertAlign w:val="baseline"/>
        </w:rPr>
        <w:t> </w:t>
      </w:r>
      <w:r>
        <w:rPr>
          <w:sz w:val="28"/>
          <w:vertAlign w:val="baseline"/>
        </w:rPr>
        <w:t>A public consultation on the</w:t>
      </w:r>
    </w:p>
    <w:p>
      <w:pPr>
        <w:pStyle w:val="BodyText"/>
        <w:spacing w:line="225" w:lineRule="auto"/>
        <w:ind w:left="1853" w:right="1171"/>
      </w:pPr>
      <w:r>
        <w:rPr/>
        <w:t>Gender Equality Strategy which was due to take place in early 2022 has been delayed.</w:t>
      </w:r>
      <w:r>
        <w:rPr>
          <w:vertAlign w:val="superscript"/>
        </w:rPr>
        <w:t>602</w:t>
      </w:r>
      <w:r>
        <w:rPr>
          <w:spacing w:val="40"/>
          <w:vertAlign w:val="baseline"/>
        </w:rPr>
        <w:t> </w:t>
      </w:r>
      <w:r>
        <w:rPr>
          <w:vertAlign w:val="baseline"/>
        </w:rPr>
        <w:t>In</w:t>
      </w:r>
      <w:r>
        <w:rPr>
          <w:spacing w:val="-9"/>
          <w:vertAlign w:val="baseline"/>
        </w:rPr>
        <w:t> </w:t>
      </w:r>
      <w:r>
        <w:rPr>
          <w:vertAlign w:val="baseline"/>
        </w:rPr>
        <w:t>March</w:t>
      </w:r>
      <w:r>
        <w:rPr>
          <w:spacing w:val="-9"/>
          <w:vertAlign w:val="baseline"/>
        </w:rPr>
        <w:t> </w:t>
      </w:r>
      <w:r>
        <w:rPr>
          <w:vertAlign w:val="baseline"/>
        </w:rPr>
        <w:t>2024,</w:t>
      </w:r>
      <w:r>
        <w:rPr>
          <w:spacing w:val="-8"/>
          <w:vertAlign w:val="baseline"/>
        </w:rPr>
        <w:t> </w:t>
      </w:r>
      <w:r>
        <w:rPr>
          <w:vertAlign w:val="baseline"/>
        </w:rPr>
        <w:t>the</w:t>
      </w:r>
      <w:r>
        <w:rPr>
          <w:spacing w:val="-8"/>
          <w:vertAlign w:val="baseline"/>
        </w:rPr>
        <w:t> </w:t>
      </w:r>
      <w:r>
        <w:rPr>
          <w:vertAlign w:val="baseline"/>
        </w:rPr>
        <w:t>Department</w:t>
      </w:r>
      <w:r>
        <w:rPr>
          <w:spacing w:val="-8"/>
          <w:vertAlign w:val="baseline"/>
        </w:rPr>
        <w:t> </w:t>
      </w:r>
      <w:r>
        <w:rPr>
          <w:vertAlign w:val="baseline"/>
        </w:rPr>
        <w:t>for</w:t>
      </w:r>
      <w:r>
        <w:rPr>
          <w:spacing w:val="-8"/>
          <w:vertAlign w:val="baseline"/>
        </w:rPr>
        <w:t> </w:t>
      </w:r>
      <w:r>
        <w:rPr>
          <w:vertAlign w:val="baseline"/>
        </w:rPr>
        <w:t>Communities</w:t>
      </w:r>
      <w:r>
        <w:rPr>
          <w:spacing w:val="-9"/>
          <w:vertAlign w:val="baseline"/>
        </w:rPr>
        <w:t> </w:t>
      </w:r>
      <w:r>
        <w:rPr>
          <w:vertAlign w:val="baseline"/>
        </w:rPr>
        <w:t>advised</w:t>
      </w:r>
      <w:r>
        <w:rPr>
          <w:spacing w:val="-9"/>
          <w:vertAlign w:val="baseline"/>
        </w:rPr>
        <w:t> </w:t>
      </w:r>
      <w:r>
        <w:rPr>
          <w:vertAlign w:val="baseline"/>
        </w:rPr>
        <w:t>that</w:t>
      </w:r>
      <w:r>
        <w:rPr>
          <w:spacing w:val="-8"/>
          <w:vertAlign w:val="baseline"/>
        </w:rPr>
        <w:t> </w:t>
      </w:r>
      <w:r>
        <w:rPr>
          <w:vertAlign w:val="baseline"/>
        </w:rPr>
        <w:t>the Minister was considering the next steps and that final decisions on content</w:t>
      </w:r>
    </w:p>
    <w:p>
      <w:pPr>
        <w:pStyle w:val="BodyText"/>
        <w:spacing w:before="176"/>
        <w:rPr>
          <w:sz w:val="20"/>
        </w:rPr>
      </w:pPr>
      <w:r>
        <w:rPr/>
        <mc:AlternateContent>
          <mc:Choice Requires="wps">
            <w:drawing>
              <wp:anchor distT="0" distB="0" distL="0" distR="0" allowOverlap="1" layoutInCell="1" locked="0" behindDoc="1" simplePos="0" relativeHeight="487690752">
                <wp:simplePos x="0" y="0"/>
                <wp:positionH relativeFrom="page">
                  <wp:posOffset>719996</wp:posOffset>
                </wp:positionH>
                <wp:positionV relativeFrom="paragraph">
                  <wp:posOffset>282653</wp:posOffset>
                </wp:positionV>
                <wp:extent cx="6120130" cy="1270"/>
                <wp:effectExtent l="0" t="0" r="0" b="0"/>
                <wp:wrapTopAndBottom/>
                <wp:docPr id="481" name="Graphic 481"/>
                <wp:cNvGraphicFramePr>
                  <a:graphicFrameLocks/>
                </wp:cNvGraphicFramePr>
                <a:graphic>
                  <a:graphicData uri="http://schemas.microsoft.com/office/word/2010/wordprocessingShape">
                    <wps:wsp>
                      <wps:cNvPr id="481" name="Graphic 481"/>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2.256178pt;width:481.9pt;height:.1pt;mso-position-horizontal-relative:page;mso-position-vertical-relative:paragraph;z-index:-15625728;mso-wrap-distance-left:0;mso-wrap-distance-right:0" id="docshape428" coordorigin="1134,445" coordsize="9638,0" path="m10772,445l1134,445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35" w:lineRule="auto" w:before="131" w:after="0"/>
        <w:ind w:left="1853" w:right="1167" w:hanging="720"/>
        <w:jc w:val="left"/>
        <w:rPr>
          <w:sz w:val="18"/>
        </w:rPr>
      </w:pPr>
      <w:r>
        <w:rPr>
          <w:sz w:val="18"/>
        </w:rPr>
        <w:t>E/C.12/GBR/CO/6,</w:t>
      </w:r>
      <w:r>
        <w:rPr>
          <w:spacing w:val="-5"/>
          <w:sz w:val="18"/>
        </w:rPr>
        <w:t> </w:t>
      </w:r>
      <w:r>
        <w:rPr>
          <w:sz w:val="18"/>
        </w:rPr>
        <w:t>‘UN</w:t>
      </w:r>
      <w:r>
        <w:rPr>
          <w:spacing w:val="-5"/>
          <w:sz w:val="18"/>
        </w:rPr>
        <w:t> </w:t>
      </w:r>
      <w:r>
        <w:rPr>
          <w:sz w:val="18"/>
        </w:rPr>
        <w:t>ICESCR</w:t>
      </w:r>
      <w:r>
        <w:rPr>
          <w:spacing w:val="-5"/>
          <w:sz w:val="18"/>
        </w:rPr>
        <w:t> </w:t>
      </w:r>
      <w:r>
        <w:rPr>
          <w:sz w:val="18"/>
        </w:rPr>
        <w:t>Committee</w:t>
      </w:r>
      <w:r>
        <w:rPr>
          <w:spacing w:val="-5"/>
          <w:sz w:val="18"/>
        </w:rPr>
        <w:t> </w:t>
      </w:r>
      <w:r>
        <w:rPr>
          <w:sz w:val="18"/>
        </w:rPr>
        <w:t>Concluding</w:t>
      </w:r>
      <w:r>
        <w:rPr>
          <w:spacing w:val="-5"/>
          <w:sz w:val="18"/>
        </w:rPr>
        <w:t> </w:t>
      </w:r>
      <w:r>
        <w:rPr>
          <w:sz w:val="18"/>
        </w:rPr>
        <w:t>Observations</w:t>
      </w:r>
      <w:r>
        <w:rPr>
          <w:spacing w:val="-5"/>
          <w:sz w:val="18"/>
        </w:rPr>
        <w:t> </w:t>
      </w:r>
      <w:r>
        <w:rPr>
          <w:sz w:val="18"/>
        </w:rPr>
        <w:t>on</w:t>
      </w:r>
      <w:r>
        <w:rPr>
          <w:spacing w:val="-5"/>
          <w:sz w:val="18"/>
        </w:rPr>
        <w:t> </w:t>
      </w:r>
      <w:r>
        <w:rPr>
          <w:sz w:val="18"/>
        </w:rPr>
        <w:t>the</w:t>
      </w:r>
      <w:r>
        <w:rPr>
          <w:spacing w:val="-5"/>
          <w:sz w:val="18"/>
        </w:rPr>
        <w:t> </w:t>
      </w:r>
      <w:r>
        <w:rPr>
          <w:sz w:val="18"/>
        </w:rPr>
        <w:t>Sixth</w:t>
      </w:r>
      <w:r>
        <w:rPr>
          <w:spacing w:val="-5"/>
          <w:sz w:val="18"/>
        </w:rPr>
        <w:t> </w:t>
      </w:r>
      <w:r>
        <w:rPr>
          <w:sz w:val="18"/>
        </w:rPr>
        <w:t>Periodic</w:t>
      </w:r>
      <w:r>
        <w:rPr>
          <w:spacing w:val="-5"/>
          <w:sz w:val="18"/>
        </w:rPr>
        <w:t> </w:t>
      </w:r>
      <w:r>
        <w:rPr>
          <w:sz w:val="18"/>
        </w:rPr>
        <w:t>Report</w:t>
      </w:r>
      <w:r>
        <w:rPr>
          <w:spacing w:val="-5"/>
          <w:sz w:val="18"/>
        </w:rPr>
        <w:t> </w:t>
      </w:r>
      <w:r>
        <w:rPr>
          <w:sz w:val="18"/>
        </w:rPr>
        <w:t>of</w:t>
      </w:r>
      <w:r>
        <w:rPr>
          <w:spacing w:val="-5"/>
          <w:sz w:val="18"/>
        </w:rPr>
        <w:t> </w:t>
      </w:r>
      <w:r>
        <w:rPr>
          <w:sz w:val="18"/>
        </w:rPr>
        <w:t>the</w:t>
      </w:r>
      <w:r>
        <w:rPr>
          <w:spacing w:val="-5"/>
          <w:sz w:val="18"/>
        </w:rPr>
        <w:t> </w:t>
      </w:r>
      <w:r>
        <w:rPr>
          <w:sz w:val="18"/>
        </w:rPr>
        <w:t>UK</w:t>
      </w:r>
      <w:r>
        <w:rPr>
          <w:spacing w:val="-5"/>
          <w:sz w:val="18"/>
        </w:rPr>
        <w:t> </w:t>
      </w:r>
      <w:r>
        <w:rPr>
          <w:sz w:val="18"/>
        </w:rPr>
        <w:t>of</w:t>
      </w:r>
      <w:r>
        <w:rPr>
          <w:spacing w:val="-5"/>
          <w:sz w:val="18"/>
        </w:rPr>
        <w:t> </w:t>
      </w:r>
      <w:r>
        <w:rPr>
          <w:sz w:val="18"/>
        </w:rPr>
        <w:t>Great</w:t>
      </w:r>
      <w:r>
        <w:rPr>
          <w:spacing w:val="-5"/>
          <w:sz w:val="18"/>
        </w:rPr>
        <w:t> </w:t>
      </w:r>
      <w:r>
        <w:rPr>
          <w:sz w:val="18"/>
        </w:rPr>
        <w:t>Britain and NI’, 14 July 2016; CEDAW/C/GBR/CO/8, ‘UN CEDAW Committee Concluding Observations on the Eighth Periodic Report of the UK of Great Britain and NI’, 14 March 2019.</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NI</w:t>
      </w:r>
      <w:r>
        <w:rPr>
          <w:spacing w:val="-7"/>
          <w:sz w:val="18"/>
        </w:rPr>
        <w:t> </w:t>
      </w:r>
      <w:r>
        <w:rPr>
          <w:sz w:val="18"/>
        </w:rPr>
        <w:t>Statistics</w:t>
      </w:r>
      <w:r>
        <w:rPr>
          <w:spacing w:val="-6"/>
          <w:sz w:val="18"/>
        </w:rPr>
        <w:t> </w:t>
      </w:r>
      <w:r>
        <w:rPr>
          <w:sz w:val="18"/>
        </w:rPr>
        <w:t>and</w:t>
      </w:r>
      <w:r>
        <w:rPr>
          <w:spacing w:val="-7"/>
          <w:sz w:val="18"/>
        </w:rPr>
        <w:t> </w:t>
      </w:r>
      <w:r>
        <w:rPr>
          <w:sz w:val="18"/>
        </w:rPr>
        <w:t>Research</w:t>
      </w:r>
      <w:r>
        <w:rPr>
          <w:spacing w:val="-7"/>
          <w:sz w:val="18"/>
        </w:rPr>
        <w:t> </w:t>
      </w:r>
      <w:r>
        <w:rPr>
          <w:sz w:val="18"/>
        </w:rPr>
        <w:t>Agency,</w:t>
      </w:r>
      <w:r>
        <w:rPr>
          <w:spacing w:val="-6"/>
          <w:sz w:val="18"/>
        </w:rPr>
        <w:t> </w:t>
      </w:r>
      <w:r>
        <w:rPr>
          <w:sz w:val="18"/>
        </w:rPr>
        <w:t>‘Women</w:t>
      </w:r>
      <w:r>
        <w:rPr>
          <w:spacing w:val="-7"/>
          <w:sz w:val="18"/>
        </w:rPr>
        <w:t> </w:t>
      </w:r>
      <w:r>
        <w:rPr>
          <w:sz w:val="18"/>
        </w:rPr>
        <w:t>in</w:t>
      </w:r>
      <w:r>
        <w:rPr>
          <w:spacing w:val="-7"/>
          <w:sz w:val="18"/>
        </w:rPr>
        <w:t> </w:t>
      </w:r>
      <w:r>
        <w:rPr>
          <w:sz w:val="18"/>
        </w:rPr>
        <w:t>Northern</w:t>
      </w:r>
      <w:r>
        <w:rPr>
          <w:spacing w:val="-7"/>
          <w:sz w:val="18"/>
        </w:rPr>
        <w:t> </w:t>
      </w:r>
      <w:r>
        <w:rPr>
          <w:sz w:val="18"/>
        </w:rPr>
        <w:t>Ireland</w:t>
      </w:r>
      <w:r>
        <w:rPr>
          <w:spacing w:val="-7"/>
          <w:sz w:val="18"/>
        </w:rPr>
        <w:t> </w:t>
      </w:r>
      <w:r>
        <w:rPr>
          <w:sz w:val="18"/>
        </w:rPr>
        <w:t>2020-2021’</w:t>
      </w:r>
      <w:r>
        <w:rPr>
          <w:spacing w:val="-6"/>
          <w:sz w:val="18"/>
        </w:rPr>
        <w:t> </w:t>
      </w:r>
      <w:r>
        <w:rPr>
          <w:sz w:val="18"/>
        </w:rPr>
        <w:t>(NISRA,</w:t>
      </w:r>
      <w:r>
        <w:rPr>
          <w:spacing w:val="-6"/>
          <w:sz w:val="18"/>
        </w:rPr>
        <w:t> </w:t>
      </w:r>
      <w:r>
        <w:rPr>
          <w:spacing w:val="-2"/>
          <w:sz w:val="18"/>
        </w:rPr>
        <w:t>2022).</w:t>
      </w:r>
    </w:p>
    <w:p>
      <w:pPr>
        <w:pStyle w:val="ListParagraph"/>
        <w:numPr>
          <w:ilvl w:val="0"/>
          <w:numId w:val="11"/>
        </w:numPr>
        <w:tabs>
          <w:tab w:pos="1853" w:val="left" w:leader="none"/>
        </w:tabs>
        <w:spacing w:line="235" w:lineRule="auto" w:before="2" w:after="0"/>
        <w:ind w:left="1853" w:right="1413" w:hanging="720"/>
        <w:jc w:val="left"/>
        <w:rPr>
          <w:sz w:val="18"/>
        </w:rPr>
      </w:pPr>
      <w:r>
        <w:rPr>
          <w:sz w:val="18"/>
        </w:rPr>
        <w:t>NI</w:t>
      </w:r>
      <w:r>
        <w:rPr>
          <w:spacing w:val="-5"/>
          <w:sz w:val="18"/>
        </w:rPr>
        <w:t> </w:t>
      </w:r>
      <w:r>
        <w:rPr>
          <w:sz w:val="18"/>
        </w:rPr>
        <w:t>Statistics</w:t>
      </w:r>
      <w:r>
        <w:rPr>
          <w:spacing w:val="-6"/>
          <w:sz w:val="18"/>
        </w:rPr>
        <w:t> </w:t>
      </w:r>
      <w:r>
        <w:rPr>
          <w:sz w:val="18"/>
        </w:rPr>
        <w:t>and</w:t>
      </w:r>
      <w:r>
        <w:rPr>
          <w:spacing w:val="-6"/>
          <w:sz w:val="18"/>
        </w:rPr>
        <w:t> </w:t>
      </w:r>
      <w:r>
        <w:rPr>
          <w:sz w:val="18"/>
        </w:rPr>
        <w:t>Research</w:t>
      </w:r>
      <w:r>
        <w:rPr>
          <w:spacing w:val="-6"/>
          <w:sz w:val="18"/>
        </w:rPr>
        <w:t> </w:t>
      </w:r>
      <w:r>
        <w:rPr>
          <w:sz w:val="18"/>
        </w:rPr>
        <w:t>Agency,</w:t>
      </w:r>
      <w:r>
        <w:rPr>
          <w:spacing w:val="-5"/>
          <w:sz w:val="18"/>
        </w:rPr>
        <w:t> </w:t>
      </w:r>
      <w:r>
        <w:rPr>
          <w:sz w:val="18"/>
        </w:rPr>
        <w:t>‘Annual</w:t>
      </w:r>
      <w:r>
        <w:rPr>
          <w:spacing w:val="-6"/>
          <w:sz w:val="18"/>
        </w:rPr>
        <w:t> </w:t>
      </w:r>
      <w:r>
        <w:rPr>
          <w:sz w:val="18"/>
        </w:rPr>
        <w:t>Survey</w:t>
      </w:r>
      <w:r>
        <w:rPr>
          <w:spacing w:val="-5"/>
          <w:sz w:val="18"/>
        </w:rPr>
        <w:t> </w:t>
      </w:r>
      <w:r>
        <w:rPr>
          <w:sz w:val="18"/>
        </w:rPr>
        <w:t>of</w:t>
      </w:r>
      <w:r>
        <w:rPr>
          <w:spacing w:val="-6"/>
          <w:sz w:val="18"/>
        </w:rPr>
        <w:t> </w:t>
      </w:r>
      <w:r>
        <w:rPr>
          <w:sz w:val="18"/>
        </w:rPr>
        <w:t>Hours</w:t>
      </w:r>
      <w:r>
        <w:rPr>
          <w:spacing w:val="-6"/>
          <w:sz w:val="18"/>
        </w:rPr>
        <w:t> </w:t>
      </w:r>
      <w:r>
        <w:rPr>
          <w:sz w:val="18"/>
        </w:rPr>
        <w:t>and</w:t>
      </w:r>
      <w:r>
        <w:rPr>
          <w:spacing w:val="-6"/>
          <w:sz w:val="18"/>
        </w:rPr>
        <w:t> </w:t>
      </w:r>
      <w:r>
        <w:rPr>
          <w:sz w:val="18"/>
        </w:rPr>
        <w:t>Earnings</w:t>
      </w:r>
      <w:r>
        <w:rPr>
          <w:spacing w:val="-6"/>
          <w:sz w:val="18"/>
        </w:rPr>
        <w:t> </w:t>
      </w:r>
      <w:r>
        <w:rPr>
          <w:sz w:val="18"/>
        </w:rPr>
        <w:t>-</w:t>
      </w:r>
      <w:r>
        <w:rPr>
          <w:spacing w:val="-6"/>
          <w:sz w:val="18"/>
        </w:rPr>
        <w:t> </w:t>
      </w:r>
      <w:r>
        <w:rPr>
          <w:sz w:val="18"/>
        </w:rPr>
        <w:t>Employee</w:t>
      </w:r>
      <w:r>
        <w:rPr>
          <w:spacing w:val="-5"/>
          <w:sz w:val="18"/>
        </w:rPr>
        <w:t> </w:t>
      </w:r>
      <w:r>
        <w:rPr>
          <w:sz w:val="18"/>
        </w:rPr>
        <w:t>earnings</w:t>
      </w:r>
      <w:r>
        <w:rPr>
          <w:spacing w:val="-6"/>
          <w:sz w:val="18"/>
        </w:rPr>
        <w:t> </w:t>
      </w:r>
      <w:r>
        <w:rPr>
          <w:sz w:val="18"/>
        </w:rPr>
        <w:t>in</w:t>
      </w:r>
      <w:r>
        <w:rPr>
          <w:spacing w:val="-6"/>
          <w:sz w:val="18"/>
        </w:rPr>
        <w:t> </w:t>
      </w:r>
      <w:r>
        <w:rPr>
          <w:sz w:val="18"/>
        </w:rPr>
        <w:t>Northern</w:t>
      </w:r>
      <w:r>
        <w:rPr>
          <w:spacing w:val="-6"/>
          <w:sz w:val="18"/>
        </w:rPr>
        <w:t> </w:t>
      </w:r>
      <w:r>
        <w:rPr>
          <w:sz w:val="18"/>
        </w:rPr>
        <w:t>Ireland</w:t>
      </w:r>
      <w:r>
        <w:rPr>
          <w:spacing w:val="-6"/>
          <w:sz w:val="18"/>
        </w:rPr>
        <w:t> </w:t>
      </w:r>
      <w:r>
        <w:rPr>
          <w:sz w:val="18"/>
        </w:rPr>
        <w:t>2023’ (NISRA, 2023).</w:t>
      </w:r>
    </w:p>
    <w:p>
      <w:pPr>
        <w:pStyle w:val="ListParagraph"/>
        <w:numPr>
          <w:ilvl w:val="0"/>
          <w:numId w:val="11"/>
        </w:numPr>
        <w:tabs>
          <w:tab w:pos="1853" w:val="left" w:leader="none"/>
        </w:tabs>
        <w:spacing w:line="216" w:lineRule="exact" w:before="0" w:after="0"/>
        <w:ind w:left="1853" w:right="0" w:hanging="720"/>
        <w:jc w:val="left"/>
        <w:rPr>
          <w:sz w:val="18"/>
        </w:rPr>
      </w:pPr>
      <w:r>
        <w:rPr>
          <w:spacing w:val="-4"/>
          <w:sz w:val="18"/>
        </w:rPr>
        <w:t>Ibid.</w:t>
      </w:r>
    </w:p>
    <w:p>
      <w:pPr>
        <w:pStyle w:val="ListParagraph"/>
        <w:numPr>
          <w:ilvl w:val="0"/>
          <w:numId w:val="11"/>
        </w:numPr>
        <w:tabs>
          <w:tab w:pos="1853" w:val="left" w:leader="none"/>
        </w:tabs>
        <w:spacing w:line="235" w:lineRule="auto" w:before="1" w:after="0"/>
        <w:ind w:left="1853" w:right="1562" w:hanging="720"/>
        <w:jc w:val="left"/>
        <w:rPr>
          <w:sz w:val="18"/>
        </w:rPr>
      </w:pPr>
      <w:r>
        <w:rPr>
          <w:sz w:val="18"/>
        </w:rPr>
        <w:t>Directive</w:t>
      </w:r>
      <w:r>
        <w:rPr>
          <w:spacing w:val="-4"/>
          <w:sz w:val="18"/>
        </w:rPr>
        <w:t> </w:t>
      </w:r>
      <w:r>
        <w:rPr>
          <w:sz w:val="18"/>
        </w:rPr>
        <w:t>2006/54/EC,</w:t>
      </w:r>
      <w:r>
        <w:rPr>
          <w:spacing w:val="-4"/>
          <w:sz w:val="18"/>
        </w:rPr>
        <w:t> </w:t>
      </w:r>
      <w:r>
        <w:rPr>
          <w:sz w:val="18"/>
        </w:rPr>
        <w:t>‘EU</w:t>
      </w:r>
      <w:r>
        <w:rPr>
          <w:spacing w:val="-4"/>
          <w:sz w:val="18"/>
        </w:rPr>
        <w:t> </w:t>
      </w:r>
      <w:r>
        <w:rPr>
          <w:sz w:val="18"/>
        </w:rPr>
        <w:t>Council</w:t>
      </w:r>
      <w:r>
        <w:rPr>
          <w:spacing w:val="-5"/>
          <w:sz w:val="18"/>
        </w:rPr>
        <w:t> </w:t>
      </w:r>
      <w:r>
        <w:rPr>
          <w:sz w:val="18"/>
        </w:rPr>
        <w:t>Directive</w:t>
      </w:r>
      <w:r>
        <w:rPr>
          <w:spacing w:val="-4"/>
          <w:sz w:val="18"/>
        </w:rPr>
        <w:t> </w:t>
      </w:r>
      <w:r>
        <w:rPr>
          <w:sz w:val="18"/>
        </w:rPr>
        <w:t>on</w:t>
      </w:r>
      <w:r>
        <w:rPr>
          <w:spacing w:val="-5"/>
          <w:sz w:val="18"/>
        </w:rPr>
        <w:t> </w:t>
      </w:r>
      <w:r>
        <w:rPr>
          <w:sz w:val="18"/>
        </w:rPr>
        <w:t>the</w:t>
      </w:r>
      <w:r>
        <w:rPr>
          <w:spacing w:val="-4"/>
          <w:sz w:val="18"/>
        </w:rPr>
        <w:t> </w:t>
      </w:r>
      <w:r>
        <w:rPr>
          <w:sz w:val="18"/>
        </w:rPr>
        <w:t>Implementation</w:t>
      </w:r>
      <w:r>
        <w:rPr>
          <w:spacing w:val="-5"/>
          <w:sz w:val="18"/>
        </w:rPr>
        <w:t> </w:t>
      </w:r>
      <w:r>
        <w:rPr>
          <w:sz w:val="18"/>
        </w:rPr>
        <w:t>of</w:t>
      </w:r>
      <w:r>
        <w:rPr>
          <w:spacing w:val="-5"/>
          <w:sz w:val="18"/>
        </w:rPr>
        <w:t> </w:t>
      </w:r>
      <w:r>
        <w:rPr>
          <w:sz w:val="18"/>
        </w:rPr>
        <w:t>the</w:t>
      </w:r>
      <w:r>
        <w:rPr>
          <w:spacing w:val="-4"/>
          <w:sz w:val="18"/>
        </w:rPr>
        <w:t> </w:t>
      </w:r>
      <w:r>
        <w:rPr>
          <w:sz w:val="18"/>
        </w:rPr>
        <w:t>Principle</w:t>
      </w:r>
      <w:r>
        <w:rPr>
          <w:spacing w:val="-4"/>
          <w:sz w:val="18"/>
        </w:rPr>
        <w:t> </w:t>
      </w:r>
      <w:r>
        <w:rPr>
          <w:sz w:val="18"/>
        </w:rPr>
        <w:t>of</w:t>
      </w:r>
      <w:r>
        <w:rPr>
          <w:spacing w:val="-5"/>
          <w:sz w:val="18"/>
        </w:rPr>
        <w:t> </w:t>
      </w:r>
      <w:r>
        <w:rPr>
          <w:sz w:val="18"/>
        </w:rPr>
        <w:t>Equal</w:t>
      </w:r>
      <w:r>
        <w:rPr>
          <w:spacing w:val="-5"/>
          <w:sz w:val="18"/>
        </w:rPr>
        <w:t> </w:t>
      </w:r>
      <w:r>
        <w:rPr>
          <w:sz w:val="18"/>
        </w:rPr>
        <w:t>Opportunities</w:t>
      </w:r>
      <w:r>
        <w:rPr>
          <w:spacing w:val="-5"/>
          <w:sz w:val="18"/>
        </w:rPr>
        <w:t> </w:t>
      </w:r>
      <w:r>
        <w:rPr>
          <w:sz w:val="18"/>
        </w:rPr>
        <w:t>and</w:t>
      </w:r>
      <w:r>
        <w:rPr>
          <w:spacing w:val="-5"/>
          <w:sz w:val="18"/>
        </w:rPr>
        <w:t> </w:t>
      </w:r>
      <w:r>
        <w:rPr>
          <w:sz w:val="18"/>
        </w:rPr>
        <w:t>Equal Treatment of Men and Women in Matters of Employment and Occupation’, 5 July 2006.</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Article</w:t>
      </w:r>
      <w:r>
        <w:rPr>
          <w:spacing w:val="-2"/>
          <w:sz w:val="18"/>
        </w:rPr>
        <w:t> </w:t>
      </w:r>
      <w:r>
        <w:rPr>
          <w:sz w:val="18"/>
        </w:rPr>
        <w:t>13,</w:t>
      </w:r>
      <w:r>
        <w:rPr>
          <w:spacing w:val="-2"/>
          <w:sz w:val="18"/>
        </w:rPr>
        <w:t> </w:t>
      </w:r>
      <w:r>
        <w:rPr>
          <w:sz w:val="18"/>
        </w:rPr>
        <w:t>Windsor</w:t>
      </w:r>
      <w:r>
        <w:rPr>
          <w:spacing w:val="-1"/>
          <w:sz w:val="18"/>
        </w:rPr>
        <w:t> </w:t>
      </w:r>
      <w:r>
        <w:rPr>
          <w:spacing w:val="-2"/>
          <w:sz w:val="18"/>
        </w:rPr>
        <w:t>Framework.</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Equality</w:t>
      </w:r>
      <w:r>
        <w:rPr>
          <w:spacing w:val="-5"/>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‘Gender</w:t>
      </w:r>
      <w:r>
        <w:rPr>
          <w:spacing w:val="-4"/>
          <w:sz w:val="18"/>
        </w:rPr>
        <w:t> </w:t>
      </w:r>
      <w:r>
        <w:rPr>
          <w:sz w:val="18"/>
        </w:rPr>
        <w:t>Pay</w:t>
      </w:r>
      <w:r>
        <w:rPr>
          <w:spacing w:val="-4"/>
          <w:sz w:val="18"/>
        </w:rPr>
        <w:t> </w:t>
      </w:r>
      <w:r>
        <w:rPr>
          <w:sz w:val="18"/>
        </w:rPr>
        <w:t>Strategy</w:t>
      </w:r>
      <w:r>
        <w:rPr>
          <w:spacing w:val="-5"/>
          <w:sz w:val="18"/>
        </w:rPr>
        <w:t> </w:t>
      </w:r>
      <w:r>
        <w:rPr>
          <w:sz w:val="18"/>
        </w:rPr>
        <w:t>and</w:t>
      </w:r>
      <w:r>
        <w:rPr>
          <w:spacing w:val="-5"/>
          <w:sz w:val="18"/>
        </w:rPr>
        <w:t> </w:t>
      </w:r>
      <w:r>
        <w:rPr>
          <w:sz w:val="18"/>
        </w:rPr>
        <w:t>pay</w:t>
      </w:r>
      <w:r>
        <w:rPr>
          <w:spacing w:val="-4"/>
          <w:sz w:val="18"/>
        </w:rPr>
        <w:t> </w:t>
      </w:r>
      <w:r>
        <w:rPr>
          <w:sz w:val="18"/>
        </w:rPr>
        <w:t>Reporting</w:t>
      </w:r>
      <w:r>
        <w:rPr>
          <w:spacing w:val="-4"/>
          <w:sz w:val="18"/>
        </w:rPr>
        <w:t> </w:t>
      </w:r>
      <w:r>
        <w:rPr>
          <w:sz w:val="18"/>
        </w:rPr>
        <w:t>–</w:t>
      </w:r>
      <w:r>
        <w:rPr>
          <w:spacing w:val="-5"/>
          <w:sz w:val="18"/>
        </w:rPr>
        <w:t> </w:t>
      </w:r>
      <w:r>
        <w:rPr>
          <w:sz w:val="18"/>
        </w:rPr>
        <w:t>Summary</w:t>
      </w:r>
      <w:r>
        <w:rPr>
          <w:spacing w:val="-4"/>
          <w:sz w:val="18"/>
        </w:rPr>
        <w:t> </w:t>
      </w:r>
      <w:r>
        <w:rPr>
          <w:sz w:val="18"/>
        </w:rPr>
        <w:t>of</w:t>
      </w:r>
      <w:r>
        <w:rPr>
          <w:spacing w:val="-5"/>
          <w:sz w:val="18"/>
        </w:rPr>
        <w:t> </w:t>
      </w:r>
      <w:r>
        <w:rPr>
          <w:sz w:val="18"/>
        </w:rPr>
        <w:t>policy</w:t>
      </w:r>
      <w:r>
        <w:rPr>
          <w:spacing w:val="-4"/>
          <w:sz w:val="18"/>
        </w:rPr>
        <w:t> </w:t>
      </w:r>
      <w:r>
        <w:rPr>
          <w:sz w:val="18"/>
        </w:rPr>
        <w:t>recommendations’</w:t>
      </w:r>
      <w:r>
        <w:rPr>
          <w:spacing w:val="-5"/>
          <w:sz w:val="18"/>
        </w:rPr>
        <w:t> </w:t>
      </w:r>
      <w:r>
        <w:rPr>
          <w:sz w:val="18"/>
        </w:rPr>
        <w:t>(ECNI,</w:t>
      </w:r>
      <w:r>
        <w:rPr>
          <w:spacing w:val="-4"/>
          <w:sz w:val="18"/>
        </w:rPr>
        <w:t> </w:t>
      </w:r>
      <w:r>
        <w:rPr>
          <w:spacing w:val="-2"/>
          <w:sz w:val="18"/>
        </w:rPr>
        <w:t>2019).</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Department</w:t>
      </w:r>
      <w:r>
        <w:rPr>
          <w:spacing w:val="-5"/>
          <w:sz w:val="18"/>
        </w:rPr>
        <w:t> </w:t>
      </w:r>
      <w:r>
        <w:rPr>
          <w:sz w:val="18"/>
        </w:rPr>
        <w:t>for</w:t>
      </w:r>
      <w:r>
        <w:rPr>
          <w:spacing w:val="-4"/>
          <w:sz w:val="18"/>
        </w:rPr>
        <w:t> </w:t>
      </w:r>
      <w:r>
        <w:rPr>
          <w:sz w:val="18"/>
        </w:rPr>
        <w:t>Communities,</w:t>
      </w:r>
      <w:r>
        <w:rPr>
          <w:spacing w:val="-4"/>
          <w:sz w:val="18"/>
        </w:rPr>
        <w:t> </w:t>
      </w:r>
      <w:r>
        <w:rPr>
          <w:sz w:val="18"/>
        </w:rPr>
        <w:t>‘Gender</w:t>
      </w:r>
      <w:r>
        <w:rPr>
          <w:spacing w:val="-5"/>
          <w:sz w:val="18"/>
        </w:rPr>
        <w:t> </w:t>
      </w:r>
      <w:r>
        <w:rPr>
          <w:sz w:val="18"/>
        </w:rPr>
        <w:t>Equality</w:t>
      </w:r>
      <w:r>
        <w:rPr>
          <w:spacing w:val="-4"/>
          <w:sz w:val="18"/>
        </w:rPr>
        <w:t> </w:t>
      </w:r>
      <w:r>
        <w:rPr>
          <w:sz w:val="18"/>
        </w:rPr>
        <w:t>Strategy</w:t>
      </w:r>
      <w:r>
        <w:rPr>
          <w:spacing w:val="-4"/>
          <w:sz w:val="18"/>
        </w:rPr>
        <w:t> </w:t>
      </w:r>
      <w:r>
        <w:rPr>
          <w:sz w:val="18"/>
        </w:rPr>
        <w:t>Expert</w:t>
      </w:r>
      <w:r>
        <w:rPr>
          <w:spacing w:val="-5"/>
          <w:sz w:val="18"/>
        </w:rPr>
        <w:t> </w:t>
      </w:r>
      <w:r>
        <w:rPr>
          <w:sz w:val="18"/>
        </w:rPr>
        <w:t>Advisory</w:t>
      </w:r>
      <w:r>
        <w:rPr>
          <w:spacing w:val="-4"/>
          <w:sz w:val="18"/>
        </w:rPr>
        <w:t> </w:t>
      </w:r>
      <w:r>
        <w:rPr>
          <w:sz w:val="18"/>
        </w:rPr>
        <w:t>Panel</w:t>
      </w:r>
      <w:r>
        <w:rPr>
          <w:spacing w:val="-5"/>
          <w:sz w:val="18"/>
        </w:rPr>
        <w:t> </w:t>
      </w:r>
      <w:r>
        <w:rPr>
          <w:sz w:val="18"/>
        </w:rPr>
        <w:t>Report’</w:t>
      </w:r>
      <w:r>
        <w:rPr>
          <w:spacing w:val="-4"/>
          <w:sz w:val="18"/>
        </w:rPr>
        <w:t> </w:t>
      </w:r>
      <w:r>
        <w:rPr>
          <w:sz w:val="18"/>
        </w:rPr>
        <w:t>(DfC,</w:t>
      </w:r>
      <w:r>
        <w:rPr>
          <w:spacing w:val="-5"/>
          <w:sz w:val="18"/>
        </w:rPr>
        <w:t> </w:t>
      </w:r>
      <w:r>
        <w:rPr>
          <w:spacing w:val="-2"/>
          <w:sz w:val="18"/>
        </w:rPr>
        <w:t>2021).</w:t>
      </w:r>
    </w:p>
    <w:p>
      <w:pPr>
        <w:pStyle w:val="ListParagraph"/>
        <w:numPr>
          <w:ilvl w:val="0"/>
          <w:numId w:val="11"/>
        </w:numPr>
        <w:tabs>
          <w:tab w:pos="1853" w:val="left" w:leader="none"/>
        </w:tabs>
        <w:spacing w:line="218" w:lineRule="exact" w:before="0" w:after="0"/>
        <w:ind w:left="1853" w:right="0" w:hanging="720"/>
        <w:jc w:val="left"/>
        <w:rPr>
          <w:sz w:val="18"/>
        </w:rPr>
      </w:pPr>
      <w:r>
        <w:rPr>
          <w:spacing w:val="-4"/>
          <w:sz w:val="18"/>
        </w:rPr>
        <w:t>Letter</w:t>
      </w:r>
      <w:r>
        <w:rPr>
          <w:spacing w:val="-6"/>
          <w:sz w:val="18"/>
        </w:rPr>
        <w:t> </w:t>
      </w:r>
      <w:r>
        <w:rPr>
          <w:spacing w:val="-4"/>
          <w:sz w:val="18"/>
        </w:rPr>
        <w:t>from</w:t>
      </w:r>
      <w:r>
        <w:rPr>
          <w:spacing w:val="-5"/>
          <w:sz w:val="18"/>
        </w:rPr>
        <w:t> </w:t>
      </w:r>
      <w:r>
        <w:rPr>
          <w:spacing w:val="-4"/>
          <w:sz w:val="18"/>
        </w:rPr>
        <w:t>Department</w:t>
      </w:r>
      <w:r>
        <w:rPr>
          <w:spacing w:val="-5"/>
          <w:sz w:val="18"/>
        </w:rPr>
        <w:t> </w:t>
      </w:r>
      <w:r>
        <w:rPr>
          <w:spacing w:val="-4"/>
          <w:sz w:val="18"/>
        </w:rPr>
        <w:t>for</w:t>
      </w:r>
      <w:r>
        <w:rPr>
          <w:spacing w:val="-5"/>
          <w:sz w:val="18"/>
        </w:rPr>
        <w:t> </w:t>
      </w:r>
      <w:r>
        <w:rPr>
          <w:spacing w:val="-4"/>
          <w:sz w:val="18"/>
        </w:rPr>
        <w:t>Communities to</w:t>
      </w:r>
      <w:r>
        <w:rPr>
          <w:spacing w:val="-5"/>
          <w:sz w:val="18"/>
        </w:rPr>
        <w:t> </w:t>
      </w:r>
      <w:r>
        <w:rPr>
          <w:spacing w:val="-4"/>
          <w:sz w:val="18"/>
        </w:rPr>
        <w:t>NI Human</w:t>
      </w:r>
      <w:r>
        <w:rPr>
          <w:spacing w:val="-5"/>
          <w:sz w:val="18"/>
        </w:rPr>
        <w:t> </w:t>
      </w:r>
      <w:r>
        <w:rPr>
          <w:spacing w:val="-4"/>
          <w:sz w:val="18"/>
        </w:rPr>
        <w:t>Rights Commission,</w:t>
      </w:r>
      <w:r>
        <w:rPr>
          <w:spacing w:val="-5"/>
          <w:sz w:val="18"/>
        </w:rPr>
        <w:t> </w:t>
      </w:r>
      <w:r>
        <w:rPr>
          <w:spacing w:val="-4"/>
          <w:sz w:val="18"/>
        </w:rPr>
        <w:t>18</w:t>
      </w:r>
      <w:r>
        <w:rPr>
          <w:spacing w:val="-5"/>
          <w:sz w:val="18"/>
        </w:rPr>
        <w:t> </w:t>
      </w:r>
      <w:r>
        <w:rPr>
          <w:spacing w:val="-4"/>
          <w:sz w:val="18"/>
        </w:rPr>
        <w:t>July</w:t>
      </w:r>
      <w:r>
        <w:rPr>
          <w:spacing w:val="-6"/>
          <w:sz w:val="18"/>
        </w:rPr>
        <w:t> </w:t>
      </w:r>
      <w:r>
        <w:rPr>
          <w:spacing w:val="-4"/>
          <w:sz w:val="18"/>
        </w:rPr>
        <w:t>2022.</w:t>
      </w:r>
    </w:p>
    <w:p>
      <w:pPr>
        <w:spacing w:after="0" w:line="218" w:lineRule="exact"/>
        <w:jc w:val="left"/>
        <w:rPr>
          <w:sz w:val="18"/>
        </w:rPr>
        <w:sectPr>
          <w:headerReference w:type="even" r:id="rId182"/>
          <w:headerReference w:type="default" r:id="rId183"/>
          <w:footerReference w:type="even" r:id="rId184"/>
          <w:footerReference w:type="default" r:id="rId185"/>
          <w:pgSz w:w="11910" w:h="16840"/>
          <w:pgMar w:header="496" w:footer="367" w:top="1220" w:bottom="560" w:left="0" w:right="0"/>
          <w:pgNumType w:start="110"/>
        </w:sectPr>
      </w:pPr>
    </w:p>
    <w:p>
      <w:pPr>
        <w:pStyle w:val="BodyText"/>
        <w:spacing w:before="198"/>
      </w:pPr>
    </w:p>
    <w:p>
      <w:pPr>
        <w:pStyle w:val="BodyText"/>
        <w:spacing w:line="225" w:lineRule="auto"/>
        <w:ind w:left="1853" w:hanging="1"/>
      </w:pPr>
      <w:r>
        <w:rPr/>
        <w:t>and</w:t>
      </w:r>
      <w:r>
        <w:rPr>
          <w:spacing w:val="-8"/>
        </w:rPr>
        <w:t> </w:t>
      </w:r>
      <w:r>
        <w:rPr/>
        <w:t>timelines</w:t>
      </w:r>
      <w:r>
        <w:rPr>
          <w:spacing w:val="-8"/>
        </w:rPr>
        <w:t> </w:t>
      </w:r>
      <w:r>
        <w:rPr/>
        <w:t>for</w:t>
      </w:r>
      <w:r>
        <w:rPr>
          <w:spacing w:val="-7"/>
        </w:rPr>
        <w:t> </w:t>
      </w:r>
      <w:r>
        <w:rPr/>
        <w:t>implementation</w:t>
      </w:r>
      <w:r>
        <w:rPr>
          <w:spacing w:val="-8"/>
        </w:rPr>
        <w:t> </w:t>
      </w:r>
      <w:r>
        <w:rPr/>
        <w:t>of</w:t>
      </w:r>
      <w:r>
        <w:rPr>
          <w:spacing w:val="-8"/>
        </w:rPr>
        <w:t> </w:t>
      </w:r>
      <w:r>
        <w:rPr/>
        <w:t>the</w:t>
      </w:r>
      <w:r>
        <w:rPr>
          <w:spacing w:val="-7"/>
        </w:rPr>
        <w:t> </w:t>
      </w:r>
      <w:r>
        <w:rPr/>
        <w:t>strategy</w:t>
      </w:r>
      <w:r>
        <w:rPr>
          <w:spacing w:val="-7"/>
        </w:rPr>
        <w:t> </w:t>
      </w:r>
      <w:r>
        <w:rPr/>
        <w:t>will</w:t>
      </w:r>
      <w:r>
        <w:rPr>
          <w:spacing w:val="-8"/>
        </w:rPr>
        <w:t> </w:t>
      </w:r>
      <w:r>
        <w:rPr/>
        <w:t>be</w:t>
      </w:r>
      <w:r>
        <w:rPr>
          <w:spacing w:val="-7"/>
        </w:rPr>
        <w:t> </w:t>
      </w:r>
      <w:r>
        <w:rPr/>
        <w:t>subject</w:t>
      </w:r>
      <w:r>
        <w:rPr>
          <w:spacing w:val="-7"/>
        </w:rPr>
        <w:t> </w:t>
      </w:r>
      <w:r>
        <w:rPr/>
        <w:t>to</w:t>
      </w:r>
      <w:r>
        <w:rPr>
          <w:spacing w:val="-8"/>
        </w:rPr>
        <w:t> </w:t>
      </w:r>
      <w:r>
        <w:rPr/>
        <w:t>Executive </w:t>
      </w:r>
      <w:r>
        <w:rPr>
          <w:spacing w:val="-2"/>
        </w:rPr>
        <w:t>agreement.</w:t>
      </w:r>
      <w:r>
        <w:rPr>
          <w:spacing w:val="-2"/>
          <w:vertAlign w:val="superscript"/>
        </w:rPr>
        <w:t>603</w:t>
      </w:r>
    </w:p>
    <w:p>
      <w:pPr>
        <w:pStyle w:val="Heading6"/>
        <w:spacing w:before="302"/>
        <w:rPr>
          <w:i/>
        </w:rPr>
      </w:pPr>
      <w:r>
        <w:rPr>
          <w:i/>
          <w:color w:val="67287F"/>
        </w:rPr>
        <w:t>Pay</w:t>
      </w:r>
      <w:r>
        <w:rPr>
          <w:i/>
          <w:color w:val="67287F"/>
          <w:spacing w:val="-8"/>
        </w:rPr>
        <w:t> </w:t>
      </w:r>
      <w:r>
        <w:rPr>
          <w:i/>
          <w:color w:val="67287F"/>
          <w:spacing w:val="-2"/>
        </w:rPr>
        <w:t>Transparency</w:t>
      </w:r>
    </w:p>
    <w:p>
      <w:pPr>
        <w:pStyle w:val="ListParagraph"/>
        <w:numPr>
          <w:ilvl w:val="1"/>
          <w:numId w:val="7"/>
        </w:numPr>
        <w:tabs>
          <w:tab w:pos="1853" w:val="left" w:leader="none"/>
        </w:tabs>
        <w:spacing w:line="225" w:lineRule="auto" w:before="5" w:after="0"/>
        <w:ind w:left="1853" w:right="1147" w:hanging="720"/>
        <w:jc w:val="left"/>
        <w:rPr>
          <w:sz w:val="28"/>
        </w:rPr>
      </w:pPr>
      <w:r>
        <w:rPr>
          <w:sz w:val="28"/>
        </w:rPr>
        <w:t>In</w:t>
      </w:r>
      <w:r>
        <w:rPr>
          <w:spacing w:val="-3"/>
          <w:sz w:val="28"/>
        </w:rPr>
        <w:t> </w:t>
      </w:r>
      <w:r>
        <w:rPr>
          <w:sz w:val="28"/>
        </w:rPr>
        <w:t>March</w:t>
      </w:r>
      <w:r>
        <w:rPr>
          <w:spacing w:val="-4"/>
          <w:sz w:val="28"/>
        </w:rPr>
        <w:t> </w:t>
      </w:r>
      <w:r>
        <w:rPr>
          <w:sz w:val="28"/>
        </w:rPr>
        <w:t>2023,</w:t>
      </w:r>
      <w:r>
        <w:rPr>
          <w:spacing w:val="-3"/>
          <w:sz w:val="28"/>
        </w:rPr>
        <w:t> </w:t>
      </w:r>
      <w:r>
        <w:rPr>
          <w:sz w:val="28"/>
        </w:rPr>
        <w:t>the</w:t>
      </w:r>
      <w:r>
        <w:rPr>
          <w:spacing w:val="-3"/>
          <w:sz w:val="28"/>
        </w:rPr>
        <w:t> </w:t>
      </w:r>
      <w:r>
        <w:rPr>
          <w:sz w:val="28"/>
        </w:rPr>
        <w:t>research</w:t>
      </w:r>
      <w:r>
        <w:rPr>
          <w:spacing w:val="-3"/>
          <w:sz w:val="28"/>
        </w:rPr>
        <w:t> </w:t>
      </w:r>
      <w:r>
        <w:rPr>
          <w:sz w:val="28"/>
        </w:rPr>
        <w:t>report</w:t>
      </w:r>
      <w:r>
        <w:rPr>
          <w:spacing w:val="-3"/>
          <w:sz w:val="28"/>
        </w:rPr>
        <w:t> </w:t>
      </w:r>
      <w:r>
        <w:rPr>
          <w:sz w:val="28"/>
        </w:rPr>
        <w:t>on</w:t>
      </w:r>
      <w:r>
        <w:rPr>
          <w:spacing w:val="-3"/>
          <w:sz w:val="28"/>
        </w:rPr>
        <w:t> </w:t>
      </w:r>
      <w:r>
        <w:rPr>
          <w:sz w:val="28"/>
        </w:rPr>
        <w:t>divergence</w:t>
      </w:r>
      <w:r>
        <w:rPr>
          <w:spacing w:val="-3"/>
          <w:sz w:val="28"/>
        </w:rPr>
        <w:t> </w:t>
      </w:r>
      <w:r>
        <w:rPr>
          <w:sz w:val="28"/>
        </w:rPr>
        <w:t>of</w:t>
      </w:r>
      <w:r>
        <w:rPr>
          <w:spacing w:val="-3"/>
          <w:sz w:val="28"/>
        </w:rPr>
        <w:t> </w:t>
      </w:r>
      <w:r>
        <w:rPr>
          <w:sz w:val="28"/>
        </w:rPr>
        <w:t>rights</w:t>
      </w:r>
      <w:r>
        <w:rPr>
          <w:sz w:val="28"/>
          <w:vertAlign w:val="superscript"/>
        </w:rPr>
        <w:t>604</w:t>
      </w:r>
      <w:r>
        <w:rPr>
          <w:spacing w:val="-4"/>
          <w:sz w:val="28"/>
          <w:vertAlign w:val="baseline"/>
        </w:rPr>
        <w:t> </w:t>
      </w:r>
      <w:r>
        <w:rPr>
          <w:sz w:val="28"/>
          <w:vertAlign w:val="baseline"/>
        </w:rPr>
        <w:t>published</w:t>
      </w:r>
      <w:r>
        <w:rPr>
          <w:spacing w:val="-3"/>
          <w:sz w:val="28"/>
          <w:vertAlign w:val="baseline"/>
        </w:rPr>
        <w:t> </w:t>
      </w:r>
      <w:r>
        <w:rPr>
          <w:sz w:val="28"/>
          <w:vertAlign w:val="baseline"/>
        </w:rPr>
        <w:t>by</w:t>
      </w:r>
      <w:r>
        <w:rPr>
          <w:spacing w:val="-3"/>
          <w:sz w:val="28"/>
          <w:vertAlign w:val="baseline"/>
        </w:rPr>
        <w:t> </w:t>
      </w:r>
      <w:r>
        <w:rPr>
          <w:sz w:val="28"/>
          <w:vertAlign w:val="baseline"/>
        </w:rPr>
        <w:t>the Commissions, and the Commissions’ subsequent policy recommendations</w:t>
      </w:r>
      <w:r>
        <w:rPr>
          <w:sz w:val="28"/>
          <w:vertAlign w:val="superscript"/>
        </w:rPr>
        <w:t>605</w:t>
      </w:r>
      <w:r>
        <w:rPr>
          <w:sz w:val="28"/>
          <w:vertAlign w:val="baseline"/>
        </w:rPr>
        <w:t> noted</w:t>
      </w:r>
      <w:r>
        <w:rPr>
          <w:spacing w:val="-8"/>
          <w:sz w:val="28"/>
          <w:vertAlign w:val="baseline"/>
        </w:rPr>
        <w:t> </w:t>
      </w:r>
      <w:r>
        <w:rPr>
          <w:sz w:val="28"/>
          <w:vertAlign w:val="baseline"/>
        </w:rPr>
        <w:t>legislative</w:t>
      </w:r>
      <w:r>
        <w:rPr>
          <w:spacing w:val="-7"/>
          <w:sz w:val="28"/>
          <w:vertAlign w:val="baseline"/>
        </w:rPr>
        <w:t> </w:t>
      </w:r>
      <w:r>
        <w:rPr>
          <w:sz w:val="28"/>
          <w:vertAlign w:val="baseline"/>
        </w:rPr>
        <w:t>advancements</w:t>
      </w:r>
      <w:r>
        <w:rPr>
          <w:spacing w:val="-8"/>
          <w:sz w:val="28"/>
          <w:vertAlign w:val="baseline"/>
        </w:rPr>
        <w:t> </w:t>
      </w:r>
      <w:r>
        <w:rPr>
          <w:sz w:val="28"/>
          <w:vertAlign w:val="baseline"/>
        </w:rPr>
        <w:t>within</w:t>
      </w:r>
      <w:r>
        <w:rPr>
          <w:spacing w:val="-8"/>
          <w:sz w:val="28"/>
          <w:vertAlign w:val="baseline"/>
        </w:rPr>
        <w:t> </w:t>
      </w:r>
      <w:r>
        <w:rPr>
          <w:sz w:val="28"/>
          <w:vertAlign w:val="baseline"/>
        </w:rPr>
        <w:t>the</w:t>
      </w:r>
      <w:r>
        <w:rPr>
          <w:spacing w:val="-7"/>
          <w:sz w:val="28"/>
          <w:vertAlign w:val="baseline"/>
        </w:rPr>
        <w:t> </w:t>
      </w:r>
      <w:r>
        <w:rPr>
          <w:sz w:val="28"/>
          <w:vertAlign w:val="baseline"/>
        </w:rPr>
        <w:t>EU</w:t>
      </w:r>
      <w:r>
        <w:rPr>
          <w:spacing w:val="-7"/>
          <w:sz w:val="28"/>
          <w:vertAlign w:val="baseline"/>
        </w:rPr>
        <w:t> </w:t>
      </w:r>
      <w:r>
        <w:rPr>
          <w:sz w:val="28"/>
          <w:vertAlign w:val="baseline"/>
        </w:rPr>
        <w:t>and</w:t>
      </w:r>
      <w:r>
        <w:rPr>
          <w:spacing w:val="-8"/>
          <w:sz w:val="28"/>
          <w:vertAlign w:val="baseline"/>
        </w:rPr>
        <w:t> </w:t>
      </w:r>
      <w:r>
        <w:rPr>
          <w:sz w:val="28"/>
          <w:vertAlign w:val="baseline"/>
        </w:rPr>
        <w:t>Ireland</w:t>
      </w:r>
      <w:r>
        <w:rPr>
          <w:spacing w:val="-8"/>
          <w:sz w:val="28"/>
          <w:vertAlign w:val="baseline"/>
        </w:rPr>
        <w:t> </w:t>
      </w:r>
      <w:r>
        <w:rPr>
          <w:sz w:val="28"/>
          <w:vertAlign w:val="baseline"/>
        </w:rPr>
        <w:t>on</w:t>
      </w:r>
      <w:r>
        <w:rPr>
          <w:spacing w:val="-8"/>
          <w:sz w:val="28"/>
          <w:vertAlign w:val="baseline"/>
        </w:rPr>
        <w:t> </w:t>
      </w:r>
      <w:r>
        <w:rPr>
          <w:sz w:val="28"/>
          <w:vertAlign w:val="baseline"/>
        </w:rPr>
        <w:t>pay</w:t>
      </w:r>
      <w:r>
        <w:rPr>
          <w:spacing w:val="-7"/>
          <w:sz w:val="28"/>
          <w:vertAlign w:val="baseline"/>
        </w:rPr>
        <w:t> </w:t>
      </w:r>
      <w:r>
        <w:rPr>
          <w:sz w:val="28"/>
          <w:vertAlign w:val="baseline"/>
        </w:rPr>
        <w:t>transparency </w:t>
      </w:r>
      <w:r>
        <w:rPr>
          <w:spacing w:val="-2"/>
          <w:sz w:val="28"/>
          <w:vertAlign w:val="baseline"/>
        </w:rPr>
        <w:t>reporting.</w:t>
      </w:r>
      <w:r>
        <w:rPr>
          <w:spacing w:val="-2"/>
          <w:sz w:val="28"/>
          <w:vertAlign w:val="superscript"/>
        </w:rPr>
        <w:t>606</w:t>
      </w:r>
    </w:p>
    <w:p>
      <w:pPr>
        <w:pStyle w:val="ListParagraph"/>
        <w:numPr>
          <w:ilvl w:val="1"/>
          <w:numId w:val="7"/>
        </w:numPr>
        <w:tabs>
          <w:tab w:pos="1853" w:val="left" w:leader="none"/>
        </w:tabs>
        <w:spacing w:line="225" w:lineRule="auto" w:before="315" w:after="0"/>
        <w:ind w:left="1853" w:right="1433" w:hanging="720"/>
        <w:jc w:val="left"/>
        <w:rPr>
          <w:sz w:val="28"/>
        </w:rPr>
      </w:pPr>
      <w:r>
        <w:rPr>
          <w:sz w:val="28"/>
        </w:rPr>
        <w:t>There</w:t>
      </w:r>
      <w:r>
        <w:rPr>
          <w:spacing w:val="-3"/>
          <w:sz w:val="28"/>
        </w:rPr>
        <w:t> </w:t>
      </w:r>
      <w:r>
        <w:rPr>
          <w:sz w:val="28"/>
        </w:rPr>
        <w:t>have</w:t>
      </w:r>
      <w:r>
        <w:rPr>
          <w:spacing w:val="-3"/>
          <w:sz w:val="28"/>
        </w:rPr>
        <w:t> </w:t>
      </w:r>
      <w:r>
        <w:rPr>
          <w:sz w:val="28"/>
        </w:rPr>
        <w:t>been</w:t>
      </w:r>
      <w:r>
        <w:rPr>
          <w:spacing w:val="-4"/>
          <w:sz w:val="28"/>
        </w:rPr>
        <w:t> </w:t>
      </w:r>
      <w:r>
        <w:rPr>
          <w:sz w:val="28"/>
        </w:rPr>
        <w:t>requirements</w:t>
      </w:r>
      <w:r>
        <w:rPr>
          <w:spacing w:val="-4"/>
          <w:sz w:val="28"/>
        </w:rPr>
        <w:t> </w:t>
      </w:r>
      <w:r>
        <w:rPr>
          <w:sz w:val="28"/>
        </w:rPr>
        <w:t>on</w:t>
      </w:r>
      <w:r>
        <w:rPr>
          <w:spacing w:val="-4"/>
          <w:sz w:val="28"/>
        </w:rPr>
        <w:t> </w:t>
      </w:r>
      <w:r>
        <w:rPr>
          <w:sz w:val="28"/>
        </w:rPr>
        <w:t>gender</w:t>
      </w:r>
      <w:r>
        <w:rPr>
          <w:spacing w:val="-3"/>
          <w:sz w:val="28"/>
        </w:rPr>
        <w:t> </w:t>
      </w:r>
      <w:r>
        <w:rPr>
          <w:sz w:val="28"/>
        </w:rPr>
        <w:t>pay</w:t>
      </w:r>
      <w:r>
        <w:rPr>
          <w:spacing w:val="-3"/>
          <w:sz w:val="28"/>
        </w:rPr>
        <w:t> </w:t>
      </w:r>
      <w:r>
        <w:rPr>
          <w:sz w:val="28"/>
        </w:rPr>
        <w:t>gap</w:t>
      </w:r>
      <w:r>
        <w:rPr>
          <w:spacing w:val="-4"/>
          <w:sz w:val="28"/>
        </w:rPr>
        <w:t> </w:t>
      </w:r>
      <w:r>
        <w:rPr>
          <w:sz w:val="28"/>
        </w:rPr>
        <w:t>reporting</w:t>
      </w:r>
      <w:r>
        <w:rPr>
          <w:spacing w:val="-3"/>
          <w:sz w:val="28"/>
        </w:rPr>
        <w:t> </w:t>
      </w:r>
      <w:r>
        <w:rPr>
          <w:sz w:val="28"/>
        </w:rPr>
        <w:t>in</w:t>
      </w:r>
      <w:r>
        <w:rPr>
          <w:spacing w:val="-4"/>
          <w:sz w:val="28"/>
        </w:rPr>
        <w:t> </w:t>
      </w:r>
      <w:r>
        <w:rPr>
          <w:sz w:val="28"/>
        </w:rPr>
        <w:t>Great</w:t>
      </w:r>
      <w:r>
        <w:rPr>
          <w:spacing w:val="-3"/>
          <w:sz w:val="28"/>
        </w:rPr>
        <w:t> </w:t>
      </w:r>
      <w:r>
        <w:rPr>
          <w:sz w:val="28"/>
        </w:rPr>
        <w:t>Britain since 2017</w:t>
      </w:r>
      <w:r>
        <w:rPr>
          <w:sz w:val="28"/>
          <w:vertAlign w:val="superscript"/>
        </w:rPr>
        <w:t>607</w:t>
      </w:r>
      <w:r>
        <w:rPr>
          <w:sz w:val="28"/>
          <w:vertAlign w:val="baseline"/>
        </w:rPr>
        <w:t> and Ireland has enacted the Gender Pay Gap Information Act 2021.</w:t>
      </w:r>
      <w:r>
        <w:rPr>
          <w:spacing w:val="40"/>
          <w:sz w:val="28"/>
          <w:vertAlign w:val="baseline"/>
        </w:rPr>
        <w:t> </w:t>
      </w:r>
      <w:r>
        <w:rPr>
          <w:sz w:val="28"/>
          <w:vertAlign w:val="baseline"/>
        </w:rPr>
        <w:t>Section 19 of the Employment Act (NI) 2016 would implement pay transparency obligations in NI but it has not yet been brought into effect. This has resulted in a divergence of rights across the island of Ireland with NI</w:t>
      </w:r>
      <w:r>
        <w:rPr>
          <w:spacing w:val="-5"/>
          <w:sz w:val="28"/>
          <w:vertAlign w:val="baseline"/>
        </w:rPr>
        <w:t> </w:t>
      </w:r>
      <w:r>
        <w:rPr>
          <w:sz w:val="28"/>
          <w:vertAlign w:val="baseline"/>
        </w:rPr>
        <w:t>falling</w:t>
      </w:r>
      <w:r>
        <w:rPr>
          <w:spacing w:val="-5"/>
          <w:sz w:val="28"/>
          <w:vertAlign w:val="baseline"/>
        </w:rPr>
        <w:t> </w:t>
      </w:r>
      <w:r>
        <w:rPr>
          <w:sz w:val="28"/>
          <w:vertAlign w:val="baseline"/>
        </w:rPr>
        <w:t>behind</w:t>
      </w:r>
      <w:r>
        <w:rPr>
          <w:spacing w:val="-6"/>
          <w:sz w:val="28"/>
          <w:vertAlign w:val="baseline"/>
        </w:rPr>
        <w:t> </w:t>
      </w:r>
      <w:r>
        <w:rPr>
          <w:sz w:val="28"/>
          <w:vertAlign w:val="baseline"/>
        </w:rPr>
        <w:t>Ireland,</w:t>
      </w:r>
      <w:r>
        <w:rPr>
          <w:spacing w:val="-5"/>
          <w:sz w:val="28"/>
          <w:vertAlign w:val="baseline"/>
        </w:rPr>
        <w:t> </w:t>
      </w:r>
      <w:r>
        <w:rPr>
          <w:sz w:val="28"/>
          <w:vertAlign w:val="baseline"/>
        </w:rPr>
        <w:t>as</w:t>
      </w:r>
      <w:r>
        <w:rPr>
          <w:spacing w:val="-6"/>
          <w:sz w:val="28"/>
          <w:vertAlign w:val="baseline"/>
        </w:rPr>
        <w:t> </w:t>
      </w:r>
      <w:r>
        <w:rPr>
          <w:sz w:val="28"/>
          <w:vertAlign w:val="baseline"/>
        </w:rPr>
        <w:t>well</w:t>
      </w:r>
      <w:r>
        <w:rPr>
          <w:spacing w:val="-6"/>
          <w:sz w:val="28"/>
          <w:vertAlign w:val="baseline"/>
        </w:rPr>
        <w:t> </w:t>
      </w:r>
      <w:r>
        <w:rPr>
          <w:sz w:val="28"/>
          <w:vertAlign w:val="baseline"/>
        </w:rPr>
        <w:t>as</w:t>
      </w:r>
      <w:r>
        <w:rPr>
          <w:spacing w:val="-6"/>
          <w:sz w:val="28"/>
          <w:vertAlign w:val="baseline"/>
        </w:rPr>
        <w:t> </w:t>
      </w:r>
      <w:r>
        <w:rPr>
          <w:sz w:val="28"/>
          <w:vertAlign w:val="baseline"/>
        </w:rPr>
        <w:t>Great</w:t>
      </w:r>
      <w:r>
        <w:rPr>
          <w:spacing w:val="-5"/>
          <w:sz w:val="28"/>
          <w:vertAlign w:val="baseline"/>
        </w:rPr>
        <w:t> </w:t>
      </w:r>
      <w:r>
        <w:rPr>
          <w:sz w:val="28"/>
          <w:vertAlign w:val="baseline"/>
        </w:rPr>
        <w:t>Britain,</w:t>
      </w:r>
      <w:r>
        <w:rPr>
          <w:spacing w:val="-5"/>
          <w:sz w:val="28"/>
          <w:vertAlign w:val="baseline"/>
        </w:rPr>
        <w:t> </w:t>
      </w:r>
      <w:r>
        <w:rPr>
          <w:sz w:val="28"/>
          <w:vertAlign w:val="baseline"/>
        </w:rPr>
        <w:t>with</w:t>
      </w:r>
      <w:r>
        <w:rPr>
          <w:spacing w:val="-6"/>
          <w:sz w:val="28"/>
          <w:vertAlign w:val="baseline"/>
        </w:rPr>
        <w:t> </w:t>
      </w:r>
      <w:r>
        <w:rPr>
          <w:sz w:val="28"/>
          <w:vertAlign w:val="baseline"/>
        </w:rPr>
        <w:t>respect</w:t>
      </w:r>
      <w:r>
        <w:rPr>
          <w:spacing w:val="-5"/>
          <w:sz w:val="28"/>
          <w:vertAlign w:val="baseline"/>
        </w:rPr>
        <w:t> </w:t>
      </w:r>
      <w:r>
        <w:rPr>
          <w:sz w:val="28"/>
          <w:vertAlign w:val="baseline"/>
        </w:rPr>
        <w:t>to</w:t>
      </w:r>
      <w:r>
        <w:rPr>
          <w:spacing w:val="-6"/>
          <w:sz w:val="28"/>
          <w:vertAlign w:val="baseline"/>
        </w:rPr>
        <w:t> </w:t>
      </w:r>
      <w:r>
        <w:rPr>
          <w:sz w:val="28"/>
          <w:vertAlign w:val="baseline"/>
        </w:rPr>
        <w:t>gender</w:t>
      </w:r>
      <w:r>
        <w:rPr>
          <w:spacing w:val="-5"/>
          <w:sz w:val="28"/>
          <w:vertAlign w:val="baseline"/>
        </w:rPr>
        <w:t> </w:t>
      </w:r>
      <w:r>
        <w:rPr>
          <w:sz w:val="28"/>
          <w:vertAlign w:val="baseline"/>
        </w:rPr>
        <w:t>pay </w:t>
      </w:r>
      <w:r>
        <w:rPr>
          <w:spacing w:val="-2"/>
          <w:sz w:val="28"/>
          <w:vertAlign w:val="baseline"/>
        </w:rPr>
        <w:t>transparency.</w:t>
      </w:r>
      <w:r>
        <w:rPr>
          <w:spacing w:val="-2"/>
          <w:sz w:val="28"/>
          <w:vertAlign w:val="superscript"/>
        </w:rPr>
        <w:t>608</w:t>
      </w:r>
    </w:p>
    <w:p>
      <w:pPr>
        <w:pStyle w:val="ListParagraph"/>
        <w:numPr>
          <w:ilvl w:val="1"/>
          <w:numId w:val="7"/>
        </w:numPr>
        <w:tabs>
          <w:tab w:pos="1853" w:val="left" w:leader="none"/>
        </w:tabs>
        <w:spacing w:line="225" w:lineRule="auto" w:before="311" w:after="0"/>
        <w:ind w:left="1853" w:right="1409" w:hanging="720"/>
        <w:jc w:val="left"/>
        <w:rPr>
          <w:sz w:val="28"/>
        </w:rPr>
      </w:pPr>
      <w:r>
        <w:rPr>
          <w:sz w:val="28"/>
        </w:rPr>
        <w:t>The</w:t>
      </w:r>
      <w:r>
        <w:rPr>
          <w:spacing w:val="-8"/>
          <w:sz w:val="28"/>
        </w:rPr>
        <w:t> </w:t>
      </w:r>
      <w:r>
        <w:rPr>
          <w:sz w:val="28"/>
        </w:rPr>
        <w:t>EU</w:t>
      </w:r>
      <w:r>
        <w:rPr>
          <w:spacing w:val="-8"/>
          <w:sz w:val="28"/>
        </w:rPr>
        <w:t> </w:t>
      </w:r>
      <w:r>
        <w:rPr>
          <w:sz w:val="28"/>
        </w:rPr>
        <w:t>Pay</w:t>
      </w:r>
      <w:r>
        <w:rPr>
          <w:spacing w:val="-8"/>
          <w:sz w:val="28"/>
        </w:rPr>
        <w:t> </w:t>
      </w:r>
      <w:r>
        <w:rPr>
          <w:sz w:val="28"/>
        </w:rPr>
        <w:t>Transparency</w:t>
      </w:r>
      <w:r>
        <w:rPr>
          <w:spacing w:val="-8"/>
          <w:sz w:val="28"/>
        </w:rPr>
        <w:t> </w:t>
      </w:r>
      <w:r>
        <w:rPr>
          <w:sz w:val="28"/>
        </w:rPr>
        <w:t>Directive</w:t>
      </w:r>
      <w:r>
        <w:rPr>
          <w:spacing w:val="-8"/>
          <w:sz w:val="28"/>
        </w:rPr>
        <w:t> </w:t>
      </w:r>
      <w:r>
        <w:rPr>
          <w:sz w:val="28"/>
        </w:rPr>
        <w:t>came</w:t>
      </w:r>
      <w:r>
        <w:rPr>
          <w:spacing w:val="-8"/>
          <w:sz w:val="28"/>
        </w:rPr>
        <w:t> </w:t>
      </w:r>
      <w:r>
        <w:rPr>
          <w:sz w:val="28"/>
        </w:rPr>
        <w:t>into</w:t>
      </w:r>
      <w:r>
        <w:rPr>
          <w:spacing w:val="-9"/>
          <w:sz w:val="28"/>
        </w:rPr>
        <w:t> </w:t>
      </w:r>
      <w:r>
        <w:rPr>
          <w:sz w:val="28"/>
        </w:rPr>
        <w:t>force</w:t>
      </w:r>
      <w:r>
        <w:rPr>
          <w:spacing w:val="-8"/>
          <w:sz w:val="28"/>
        </w:rPr>
        <w:t> </w:t>
      </w:r>
      <w:r>
        <w:rPr>
          <w:sz w:val="28"/>
        </w:rPr>
        <w:t>on</w:t>
      </w:r>
      <w:r>
        <w:rPr>
          <w:spacing w:val="-9"/>
          <w:sz w:val="28"/>
        </w:rPr>
        <w:t> </w:t>
      </w:r>
      <w:r>
        <w:rPr>
          <w:sz w:val="28"/>
        </w:rPr>
        <w:t>6</w:t>
      </w:r>
      <w:r>
        <w:rPr>
          <w:spacing w:val="-8"/>
          <w:sz w:val="28"/>
        </w:rPr>
        <w:t> </w:t>
      </w:r>
      <w:r>
        <w:rPr>
          <w:sz w:val="28"/>
        </w:rPr>
        <w:t>June</w:t>
      </w:r>
      <w:r>
        <w:rPr>
          <w:spacing w:val="-8"/>
          <w:sz w:val="28"/>
        </w:rPr>
        <w:t> </w:t>
      </w:r>
      <w:r>
        <w:rPr>
          <w:sz w:val="28"/>
        </w:rPr>
        <w:t>2023</w:t>
      </w:r>
      <w:r>
        <w:rPr>
          <w:spacing w:val="-8"/>
          <w:sz w:val="28"/>
        </w:rPr>
        <w:t> </w:t>
      </w:r>
      <w:r>
        <w:rPr>
          <w:sz w:val="28"/>
        </w:rPr>
        <w:t>and</w:t>
      </w:r>
      <w:r>
        <w:rPr>
          <w:spacing w:val="-9"/>
          <w:sz w:val="28"/>
        </w:rPr>
        <w:t> </w:t>
      </w:r>
      <w:r>
        <w:rPr>
          <w:sz w:val="28"/>
        </w:rPr>
        <w:t>must be transposed by Member States by 7 June 2026.</w:t>
      </w:r>
      <w:r>
        <w:rPr>
          <w:sz w:val="28"/>
          <w:vertAlign w:val="superscript"/>
        </w:rPr>
        <w:t>609</w:t>
      </w:r>
      <w:r>
        <w:rPr>
          <w:spacing w:val="40"/>
          <w:sz w:val="28"/>
          <w:vertAlign w:val="baseline"/>
        </w:rPr>
        <w:t> </w:t>
      </w:r>
      <w:r>
        <w:rPr>
          <w:sz w:val="28"/>
          <w:vertAlign w:val="baseline"/>
        </w:rPr>
        <w:t>The Directive aims to strengthen the existing enforcement tools and procedures in regard to the rights and obligations and equal pay provisions set out in the EU Gender Equality (Employment) Directive (2006/54/EC).</w:t>
      </w:r>
      <w:r>
        <w:rPr>
          <w:sz w:val="28"/>
          <w:vertAlign w:val="superscript"/>
        </w:rPr>
        <w:t>610</w:t>
      </w:r>
    </w:p>
    <w:p>
      <w:pPr>
        <w:pStyle w:val="ListParagraph"/>
        <w:numPr>
          <w:ilvl w:val="1"/>
          <w:numId w:val="7"/>
        </w:numPr>
        <w:tabs>
          <w:tab w:pos="1853" w:val="left" w:leader="none"/>
        </w:tabs>
        <w:spacing w:line="225" w:lineRule="auto" w:before="313" w:after="0"/>
        <w:ind w:left="1853" w:right="1820" w:hanging="720"/>
        <w:jc w:val="both"/>
        <w:rPr>
          <w:sz w:val="28"/>
        </w:rPr>
      </w:pPr>
      <w:r>
        <w:rPr>
          <w:sz w:val="28"/>
        </w:rPr>
        <w:t>The</w:t>
      </w:r>
      <w:r>
        <w:rPr>
          <w:spacing w:val="-6"/>
          <w:sz w:val="28"/>
        </w:rPr>
        <w:t> </w:t>
      </w:r>
      <w:r>
        <w:rPr>
          <w:sz w:val="28"/>
        </w:rPr>
        <w:t>Commissions</w:t>
      </w:r>
      <w:r>
        <w:rPr>
          <w:spacing w:val="-7"/>
          <w:sz w:val="28"/>
        </w:rPr>
        <w:t> </w:t>
      </w:r>
      <w:r>
        <w:rPr>
          <w:sz w:val="28"/>
        </w:rPr>
        <w:t>consider</w:t>
      </w:r>
      <w:r>
        <w:rPr>
          <w:spacing w:val="-6"/>
          <w:sz w:val="28"/>
        </w:rPr>
        <w:t> </w:t>
      </w:r>
      <w:r>
        <w:rPr>
          <w:sz w:val="28"/>
        </w:rPr>
        <w:t>that,</w:t>
      </w:r>
      <w:r>
        <w:rPr>
          <w:spacing w:val="-6"/>
          <w:sz w:val="28"/>
        </w:rPr>
        <w:t> </w:t>
      </w:r>
      <w:r>
        <w:rPr>
          <w:sz w:val="28"/>
        </w:rPr>
        <w:t>for</w:t>
      </w:r>
      <w:r>
        <w:rPr>
          <w:spacing w:val="-6"/>
          <w:sz w:val="28"/>
        </w:rPr>
        <w:t> </w:t>
      </w:r>
      <w:r>
        <w:rPr>
          <w:sz w:val="28"/>
        </w:rPr>
        <w:t>the</w:t>
      </w:r>
      <w:r>
        <w:rPr>
          <w:spacing w:val="-6"/>
          <w:sz w:val="28"/>
        </w:rPr>
        <w:t> </w:t>
      </w:r>
      <w:r>
        <w:rPr>
          <w:sz w:val="28"/>
        </w:rPr>
        <w:t>purposes</w:t>
      </w:r>
      <w:r>
        <w:rPr>
          <w:spacing w:val="-7"/>
          <w:sz w:val="28"/>
        </w:rPr>
        <w:t> </w:t>
      </w:r>
      <w:r>
        <w:rPr>
          <w:sz w:val="28"/>
        </w:rPr>
        <w:t>of</w:t>
      </w:r>
      <w:r>
        <w:rPr>
          <w:spacing w:val="-7"/>
          <w:sz w:val="28"/>
        </w:rPr>
        <w:t> </w:t>
      </w:r>
      <w:r>
        <w:rPr>
          <w:sz w:val="28"/>
        </w:rPr>
        <w:t>Windsor</w:t>
      </w:r>
      <w:r>
        <w:rPr>
          <w:spacing w:val="-6"/>
          <w:sz w:val="28"/>
        </w:rPr>
        <w:t> </w:t>
      </w:r>
      <w:r>
        <w:rPr>
          <w:sz w:val="28"/>
        </w:rPr>
        <w:t>Framework Article</w:t>
      </w:r>
      <w:r>
        <w:rPr>
          <w:spacing w:val="-7"/>
          <w:sz w:val="28"/>
        </w:rPr>
        <w:t> </w:t>
      </w:r>
      <w:r>
        <w:rPr>
          <w:sz w:val="28"/>
        </w:rPr>
        <w:t>13(3),</w:t>
      </w:r>
      <w:r>
        <w:rPr>
          <w:spacing w:val="-7"/>
          <w:sz w:val="28"/>
        </w:rPr>
        <w:t> </w:t>
      </w:r>
      <w:r>
        <w:rPr>
          <w:sz w:val="28"/>
        </w:rPr>
        <w:t>the</w:t>
      </w:r>
      <w:r>
        <w:rPr>
          <w:spacing w:val="-7"/>
          <w:sz w:val="28"/>
        </w:rPr>
        <w:t> </w:t>
      </w:r>
      <w:r>
        <w:rPr>
          <w:sz w:val="28"/>
        </w:rPr>
        <w:t>EU</w:t>
      </w:r>
      <w:r>
        <w:rPr>
          <w:spacing w:val="-7"/>
          <w:sz w:val="28"/>
        </w:rPr>
        <w:t> </w:t>
      </w:r>
      <w:r>
        <w:rPr>
          <w:sz w:val="28"/>
        </w:rPr>
        <w:t>Pay</w:t>
      </w:r>
      <w:r>
        <w:rPr>
          <w:spacing w:val="-7"/>
          <w:sz w:val="28"/>
        </w:rPr>
        <w:t> </w:t>
      </w:r>
      <w:r>
        <w:rPr>
          <w:sz w:val="28"/>
        </w:rPr>
        <w:t>Transparency</w:t>
      </w:r>
      <w:r>
        <w:rPr>
          <w:spacing w:val="-7"/>
          <w:sz w:val="28"/>
        </w:rPr>
        <w:t> </w:t>
      </w:r>
      <w:r>
        <w:rPr>
          <w:sz w:val="28"/>
        </w:rPr>
        <w:t>Directive</w:t>
      </w:r>
      <w:r>
        <w:rPr>
          <w:spacing w:val="-7"/>
          <w:sz w:val="28"/>
        </w:rPr>
        <w:t> </w:t>
      </w:r>
      <w:r>
        <w:rPr>
          <w:sz w:val="28"/>
        </w:rPr>
        <w:t>amends</w:t>
      </w:r>
      <w:r>
        <w:rPr>
          <w:spacing w:val="-8"/>
          <w:sz w:val="28"/>
        </w:rPr>
        <w:t> </w:t>
      </w:r>
      <w:r>
        <w:rPr>
          <w:sz w:val="28"/>
        </w:rPr>
        <w:t>and/or</w:t>
      </w:r>
      <w:r>
        <w:rPr>
          <w:spacing w:val="-7"/>
          <w:sz w:val="28"/>
        </w:rPr>
        <w:t> </w:t>
      </w:r>
      <w:r>
        <w:rPr>
          <w:sz w:val="28"/>
        </w:rPr>
        <w:t>replaces provisions of the EU Gender Equality (Employment) Directive.</w:t>
      </w:r>
    </w:p>
    <w:p>
      <w:pPr>
        <w:pStyle w:val="ListParagraph"/>
        <w:numPr>
          <w:ilvl w:val="1"/>
          <w:numId w:val="7"/>
        </w:numPr>
        <w:tabs>
          <w:tab w:pos="1852" w:val="left" w:leader="none"/>
        </w:tabs>
        <w:spacing w:line="240" w:lineRule="auto" w:before="300" w:after="0"/>
        <w:ind w:left="1852" w:right="0" w:hanging="719"/>
        <w:jc w:val="left"/>
        <w:rPr>
          <w:sz w:val="28"/>
        </w:rPr>
      </w:pPr>
      <w:r>
        <w:rPr>
          <w:sz w:val="28"/>
        </w:rPr>
        <w:t>The</w:t>
      </w:r>
      <w:r>
        <w:rPr>
          <w:spacing w:val="-6"/>
          <w:sz w:val="28"/>
        </w:rPr>
        <w:t> </w:t>
      </w:r>
      <w:r>
        <w:rPr>
          <w:sz w:val="28"/>
        </w:rPr>
        <w:t>Commissions</w:t>
      </w:r>
      <w:r>
        <w:rPr>
          <w:spacing w:val="-6"/>
          <w:sz w:val="28"/>
        </w:rPr>
        <w:t> </w:t>
      </w:r>
      <w:r>
        <w:rPr>
          <w:sz w:val="28"/>
        </w:rPr>
        <w:t>views</w:t>
      </w:r>
      <w:r>
        <w:rPr>
          <w:spacing w:val="-7"/>
          <w:sz w:val="28"/>
        </w:rPr>
        <w:t> </w:t>
      </w:r>
      <w:r>
        <w:rPr>
          <w:sz w:val="28"/>
        </w:rPr>
        <w:t>are</w:t>
      </w:r>
      <w:r>
        <w:rPr>
          <w:spacing w:val="-5"/>
          <w:sz w:val="28"/>
        </w:rPr>
        <w:t> </w:t>
      </w:r>
      <w:r>
        <w:rPr>
          <w:sz w:val="28"/>
        </w:rPr>
        <w:t>set</w:t>
      </w:r>
      <w:r>
        <w:rPr>
          <w:spacing w:val="-6"/>
          <w:sz w:val="28"/>
        </w:rPr>
        <w:t> </w:t>
      </w:r>
      <w:r>
        <w:rPr>
          <w:sz w:val="28"/>
        </w:rPr>
        <w:t>out</w:t>
      </w:r>
      <w:r>
        <w:rPr>
          <w:spacing w:val="-5"/>
          <w:sz w:val="28"/>
        </w:rPr>
        <w:t> </w:t>
      </w:r>
      <w:r>
        <w:rPr>
          <w:sz w:val="28"/>
        </w:rPr>
        <w:t>in</w:t>
      </w:r>
      <w:r>
        <w:rPr>
          <w:spacing w:val="-7"/>
          <w:sz w:val="28"/>
        </w:rPr>
        <w:t> </w:t>
      </w:r>
      <w:r>
        <w:rPr>
          <w:sz w:val="28"/>
        </w:rPr>
        <w:t>a</w:t>
      </w:r>
      <w:r>
        <w:rPr>
          <w:spacing w:val="-6"/>
          <w:sz w:val="28"/>
        </w:rPr>
        <w:t> </w:t>
      </w:r>
      <w:r>
        <w:rPr>
          <w:sz w:val="28"/>
        </w:rPr>
        <w:t>joint</w:t>
      </w:r>
      <w:r>
        <w:rPr>
          <w:spacing w:val="-5"/>
          <w:sz w:val="28"/>
        </w:rPr>
        <w:t> </w:t>
      </w:r>
      <w:r>
        <w:rPr>
          <w:sz w:val="28"/>
        </w:rPr>
        <w:t>briefing</w:t>
      </w:r>
      <w:r>
        <w:rPr>
          <w:spacing w:val="-6"/>
          <w:sz w:val="28"/>
        </w:rPr>
        <w:t> </w:t>
      </w:r>
      <w:r>
        <w:rPr>
          <w:sz w:val="28"/>
        </w:rPr>
        <w:t>paper,</w:t>
      </w:r>
      <w:r>
        <w:rPr>
          <w:spacing w:val="-5"/>
          <w:sz w:val="28"/>
        </w:rPr>
        <w:t> </w:t>
      </w:r>
      <w:r>
        <w:rPr>
          <w:sz w:val="28"/>
        </w:rPr>
        <w:t>published</w:t>
      </w:r>
      <w:r>
        <w:rPr>
          <w:spacing w:val="-7"/>
          <w:sz w:val="28"/>
        </w:rPr>
        <w:t> </w:t>
      </w:r>
      <w:r>
        <w:rPr>
          <w:spacing w:val="-5"/>
          <w:sz w:val="28"/>
        </w:rPr>
        <w:t>in</w:t>
      </w:r>
    </w:p>
    <w:p>
      <w:pPr>
        <w:pStyle w:val="BodyText"/>
        <w:spacing w:before="47"/>
        <w:rPr>
          <w:sz w:val="20"/>
        </w:rPr>
      </w:pPr>
      <w:r>
        <w:rPr/>
        <mc:AlternateContent>
          <mc:Choice Requires="wps">
            <w:drawing>
              <wp:anchor distT="0" distB="0" distL="0" distR="0" allowOverlap="1" layoutInCell="1" locked="0" behindDoc="1" simplePos="0" relativeHeight="487691264">
                <wp:simplePos x="0" y="0"/>
                <wp:positionH relativeFrom="page">
                  <wp:posOffset>719996</wp:posOffset>
                </wp:positionH>
                <wp:positionV relativeFrom="paragraph">
                  <wp:posOffset>200114</wp:posOffset>
                </wp:positionV>
                <wp:extent cx="6120130" cy="1270"/>
                <wp:effectExtent l="0" t="0" r="0" b="0"/>
                <wp:wrapTopAndBottom/>
                <wp:docPr id="482" name="Graphic 482"/>
                <wp:cNvGraphicFramePr>
                  <a:graphicFrameLocks/>
                </wp:cNvGraphicFramePr>
                <a:graphic>
                  <a:graphicData uri="http://schemas.microsoft.com/office/word/2010/wordprocessingShape">
                    <wps:wsp>
                      <wps:cNvPr id="482" name="Graphic 482"/>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5.757075pt;width:481.9pt;height:.1pt;mso-position-horizontal-relative:page;mso-position-vertical-relative:paragraph;z-index:-15625216;mso-wrap-distance-left:0;mso-wrap-distance-right:0" id="docshape429" coordorigin="1134,315" coordsize="9638,0" path="m10772,315l1134,315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18" w:lineRule="exact" w:before="148" w:after="0"/>
        <w:ind w:left="1853" w:right="0" w:hanging="720"/>
        <w:jc w:val="both"/>
        <w:rPr>
          <w:sz w:val="18"/>
        </w:rPr>
      </w:pPr>
      <w:r>
        <w:rPr>
          <w:sz w:val="18"/>
        </w:rPr>
        <w:t>Email</w:t>
      </w:r>
      <w:r>
        <w:rPr>
          <w:spacing w:val="-6"/>
          <w:sz w:val="18"/>
        </w:rPr>
        <w:t> </w:t>
      </w:r>
      <w:r>
        <w:rPr>
          <w:sz w:val="18"/>
        </w:rPr>
        <w:t>correspondence</w:t>
      </w:r>
      <w:r>
        <w:rPr>
          <w:spacing w:val="-5"/>
          <w:sz w:val="18"/>
        </w:rPr>
        <w:t> </w:t>
      </w:r>
      <w:r>
        <w:rPr>
          <w:sz w:val="18"/>
        </w:rPr>
        <w:t>from</w:t>
      </w:r>
      <w:r>
        <w:rPr>
          <w:spacing w:val="-5"/>
          <w:sz w:val="18"/>
        </w:rPr>
        <w:t> </w:t>
      </w:r>
      <w:r>
        <w:rPr>
          <w:sz w:val="18"/>
        </w:rPr>
        <w:t>Department</w:t>
      </w:r>
      <w:r>
        <w:rPr>
          <w:spacing w:val="-5"/>
          <w:sz w:val="18"/>
        </w:rPr>
        <w:t> </w:t>
      </w:r>
      <w:r>
        <w:rPr>
          <w:sz w:val="18"/>
        </w:rPr>
        <w:t>for</w:t>
      </w:r>
      <w:r>
        <w:rPr>
          <w:spacing w:val="-4"/>
          <w:sz w:val="18"/>
        </w:rPr>
        <w:t> </w:t>
      </w:r>
      <w:r>
        <w:rPr>
          <w:sz w:val="18"/>
        </w:rPr>
        <w:t>Communities</w:t>
      </w:r>
      <w:r>
        <w:rPr>
          <w:spacing w:val="-6"/>
          <w:sz w:val="18"/>
        </w:rPr>
        <w:t> </w:t>
      </w:r>
      <w:r>
        <w:rPr>
          <w:sz w:val="18"/>
        </w:rPr>
        <w:t>to</w:t>
      </w:r>
      <w:r>
        <w:rPr>
          <w:spacing w:val="-6"/>
          <w:sz w:val="18"/>
        </w:rPr>
        <w:t> </w:t>
      </w:r>
      <w:r>
        <w:rPr>
          <w:sz w:val="18"/>
        </w:rPr>
        <w:t>NI</w:t>
      </w:r>
      <w:r>
        <w:rPr>
          <w:spacing w:val="-5"/>
          <w:sz w:val="18"/>
        </w:rPr>
        <w:t> </w:t>
      </w:r>
      <w:r>
        <w:rPr>
          <w:sz w:val="18"/>
        </w:rPr>
        <w:t>Human</w:t>
      </w:r>
      <w:r>
        <w:rPr>
          <w:spacing w:val="-5"/>
          <w:sz w:val="18"/>
        </w:rPr>
        <w:t> </w:t>
      </w:r>
      <w:r>
        <w:rPr>
          <w:sz w:val="18"/>
        </w:rPr>
        <w:t>Rights</w:t>
      </w:r>
      <w:r>
        <w:rPr>
          <w:spacing w:val="-6"/>
          <w:sz w:val="18"/>
        </w:rPr>
        <w:t> </w:t>
      </w:r>
      <w:r>
        <w:rPr>
          <w:sz w:val="18"/>
        </w:rPr>
        <w:t>Commission,</w:t>
      </w:r>
      <w:r>
        <w:rPr>
          <w:spacing w:val="-5"/>
          <w:sz w:val="18"/>
        </w:rPr>
        <w:t> </w:t>
      </w:r>
      <w:r>
        <w:rPr>
          <w:sz w:val="18"/>
        </w:rPr>
        <w:t>25</w:t>
      </w:r>
      <w:r>
        <w:rPr>
          <w:spacing w:val="-5"/>
          <w:sz w:val="18"/>
        </w:rPr>
        <w:t> </w:t>
      </w:r>
      <w:r>
        <w:rPr>
          <w:sz w:val="18"/>
        </w:rPr>
        <w:t>March</w:t>
      </w:r>
      <w:r>
        <w:rPr>
          <w:spacing w:val="-5"/>
          <w:sz w:val="18"/>
        </w:rPr>
        <w:t> </w:t>
      </w:r>
      <w:r>
        <w:rPr>
          <w:spacing w:val="-2"/>
          <w:sz w:val="18"/>
        </w:rPr>
        <w:t>2024.</w:t>
      </w:r>
    </w:p>
    <w:p>
      <w:pPr>
        <w:pStyle w:val="ListParagraph"/>
        <w:numPr>
          <w:ilvl w:val="0"/>
          <w:numId w:val="11"/>
        </w:numPr>
        <w:tabs>
          <w:tab w:pos="1853" w:val="left" w:leader="none"/>
        </w:tabs>
        <w:spacing w:line="235" w:lineRule="auto" w:before="2" w:after="0"/>
        <w:ind w:left="1853" w:right="1408" w:hanging="720"/>
        <w:jc w:val="both"/>
        <w:rPr>
          <w:sz w:val="18"/>
        </w:rPr>
      </w:pPr>
      <w:r>
        <w:rPr>
          <w:sz w:val="18"/>
        </w:rPr>
        <w:t>Sarah</w:t>
      </w:r>
      <w:r>
        <w:rPr>
          <w:spacing w:val="-7"/>
          <w:sz w:val="18"/>
        </w:rPr>
        <w:t> </w:t>
      </w:r>
      <w:r>
        <w:rPr>
          <w:sz w:val="18"/>
        </w:rPr>
        <w:t>Craig,</w:t>
      </w:r>
      <w:r>
        <w:rPr>
          <w:spacing w:val="-6"/>
          <w:sz w:val="18"/>
        </w:rPr>
        <w:t> </w:t>
      </w:r>
      <w:r>
        <w:rPr>
          <w:sz w:val="18"/>
        </w:rPr>
        <w:t>Anurag</w:t>
      </w:r>
      <w:r>
        <w:rPr>
          <w:spacing w:val="-6"/>
          <w:sz w:val="18"/>
        </w:rPr>
        <w:t> </w:t>
      </w:r>
      <w:r>
        <w:rPr>
          <w:sz w:val="18"/>
        </w:rPr>
        <w:t>Deb,</w:t>
      </w:r>
      <w:r>
        <w:rPr>
          <w:spacing w:val="-6"/>
          <w:sz w:val="18"/>
        </w:rPr>
        <w:t> </w:t>
      </w:r>
      <w:r>
        <w:rPr>
          <w:sz w:val="18"/>
        </w:rPr>
        <w:t>Eleni</w:t>
      </w:r>
      <w:r>
        <w:rPr>
          <w:spacing w:val="-7"/>
          <w:sz w:val="18"/>
        </w:rPr>
        <w:t> </w:t>
      </w:r>
      <w:r>
        <w:rPr>
          <w:sz w:val="18"/>
        </w:rPr>
        <w:t>Frantziou,</w:t>
      </w:r>
      <w:r>
        <w:rPr>
          <w:spacing w:val="-6"/>
          <w:sz w:val="18"/>
        </w:rPr>
        <w:t> </w:t>
      </w:r>
      <w:r>
        <w:rPr>
          <w:sz w:val="18"/>
        </w:rPr>
        <w:t>Alexander</w:t>
      </w:r>
      <w:r>
        <w:rPr>
          <w:spacing w:val="-6"/>
          <w:sz w:val="18"/>
        </w:rPr>
        <w:t> </w:t>
      </w:r>
      <w:r>
        <w:rPr>
          <w:sz w:val="18"/>
        </w:rPr>
        <w:t>Horne,</w:t>
      </w:r>
      <w:r>
        <w:rPr>
          <w:spacing w:val="-6"/>
          <w:sz w:val="18"/>
        </w:rPr>
        <w:t> </w:t>
      </w:r>
      <w:r>
        <w:rPr>
          <w:sz w:val="18"/>
        </w:rPr>
        <w:t>Colin</w:t>
      </w:r>
      <w:r>
        <w:rPr>
          <w:spacing w:val="-7"/>
          <w:sz w:val="18"/>
        </w:rPr>
        <w:t> </w:t>
      </w:r>
      <w:r>
        <w:rPr>
          <w:sz w:val="18"/>
        </w:rPr>
        <w:t>Murray,</w:t>
      </w:r>
      <w:r>
        <w:rPr>
          <w:spacing w:val="-6"/>
          <w:sz w:val="18"/>
        </w:rPr>
        <w:t> </w:t>
      </w:r>
      <w:r>
        <w:rPr>
          <w:sz w:val="18"/>
        </w:rPr>
        <w:t>Clare</w:t>
      </w:r>
      <w:r>
        <w:rPr>
          <w:spacing w:val="-6"/>
          <w:sz w:val="18"/>
        </w:rPr>
        <w:t> </w:t>
      </w:r>
      <w:r>
        <w:rPr>
          <w:sz w:val="18"/>
        </w:rPr>
        <w:t>Rice</w:t>
      </w:r>
      <w:r>
        <w:rPr>
          <w:spacing w:val="-6"/>
          <w:sz w:val="18"/>
        </w:rPr>
        <w:t> </w:t>
      </w:r>
      <w:r>
        <w:rPr>
          <w:sz w:val="18"/>
        </w:rPr>
        <w:t>and</w:t>
      </w:r>
      <w:r>
        <w:rPr>
          <w:spacing w:val="-7"/>
          <w:sz w:val="18"/>
        </w:rPr>
        <w:t> </w:t>
      </w:r>
      <w:r>
        <w:rPr>
          <w:sz w:val="18"/>
        </w:rPr>
        <w:t>Jane</w:t>
      </w:r>
      <w:r>
        <w:rPr>
          <w:spacing w:val="-6"/>
          <w:sz w:val="18"/>
        </w:rPr>
        <w:t> </w:t>
      </w:r>
      <w:r>
        <w:rPr>
          <w:sz w:val="18"/>
        </w:rPr>
        <w:t>Rooney,</w:t>
      </w:r>
      <w:r>
        <w:rPr>
          <w:spacing w:val="-6"/>
          <w:sz w:val="18"/>
        </w:rPr>
        <w:t> </w:t>
      </w:r>
      <w:r>
        <w:rPr>
          <w:sz w:val="18"/>
        </w:rPr>
        <w:t>‘European</w:t>
      </w:r>
      <w:r>
        <w:rPr>
          <w:spacing w:val="-7"/>
          <w:sz w:val="18"/>
        </w:rPr>
        <w:t> </w:t>
      </w:r>
      <w:r>
        <w:rPr>
          <w:sz w:val="18"/>
        </w:rPr>
        <w:t>Union developments</w:t>
      </w:r>
      <w:r>
        <w:rPr>
          <w:spacing w:val="-1"/>
          <w:sz w:val="18"/>
        </w:rPr>
        <w:t> </w:t>
      </w:r>
      <w:r>
        <w:rPr>
          <w:sz w:val="18"/>
        </w:rPr>
        <w:t>in</w:t>
      </w:r>
      <w:r>
        <w:rPr>
          <w:spacing w:val="-1"/>
          <w:sz w:val="18"/>
        </w:rPr>
        <w:t> </w:t>
      </w:r>
      <w:r>
        <w:rPr>
          <w:sz w:val="18"/>
        </w:rPr>
        <w:t>Equality and</w:t>
      </w:r>
      <w:r>
        <w:rPr>
          <w:spacing w:val="-1"/>
          <w:sz w:val="18"/>
        </w:rPr>
        <w:t> </w:t>
      </w:r>
      <w:r>
        <w:rPr>
          <w:sz w:val="18"/>
        </w:rPr>
        <w:t>Human</w:t>
      </w:r>
      <w:r>
        <w:rPr>
          <w:spacing w:val="-1"/>
          <w:sz w:val="18"/>
        </w:rPr>
        <w:t> </w:t>
      </w:r>
      <w:r>
        <w:rPr>
          <w:sz w:val="18"/>
        </w:rPr>
        <w:t>Rights: The Impact of</w:t>
      </w:r>
      <w:r>
        <w:rPr>
          <w:spacing w:val="-1"/>
          <w:sz w:val="18"/>
        </w:rPr>
        <w:t> </w:t>
      </w:r>
      <w:r>
        <w:rPr>
          <w:sz w:val="18"/>
        </w:rPr>
        <w:t>Brexit on</w:t>
      </w:r>
      <w:r>
        <w:rPr>
          <w:spacing w:val="-1"/>
          <w:sz w:val="18"/>
        </w:rPr>
        <w:t> </w:t>
      </w:r>
      <w:r>
        <w:rPr>
          <w:sz w:val="18"/>
        </w:rPr>
        <w:t>the divergence of</w:t>
      </w:r>
      <w:r>
        <w:rPr>
          <w:spacing w:val="-1"/>
          <w:sz w:val="18"/>
        </w:rPr>
        <w:t> </w:t>
      </w:r>
      <w:r>
        <w:rPr>
          <w:sz w:val="18"/>
        </w:rPr>
        <w:t>rights</w:t>
      </w:r>
      <w:r>
        <w:rPr>
          <w:spacing w:val="-1"/>
          <w:sz w:val="18"/>
        </w:rPr>
        <w:t> </w:t>
      </w:r>
      <w:r>
        <w:rPr>
          <w:sz w:val="18"/>
        </w:rPr>
        <w:t>and</w:t>
      </w:r>
      <w:r>
        <w:rPr>
          <w:spacing w:val="-1"/>
          <w:sz w:val="18"/>
        </w:rPr>
        <w:t> </w:t>
      </w:r>
      <w:r>
        <w:rPr>
          <w:sz w:val="18"/>
        </w:rPr>
        <w:t>best practice on</w:t>
      </w:r>
      <w:r>
        <w:rPr>
          <w:spacing w:val="-1"/>
          <w:sz w:val="18"/>
        </w:rPr>
        <w:t> </w:t>
      </w:r>
      <w:r>
        <w:rPr>
          <w:sz w:val="18"/>
        </w:rPr>
        <w:t>the island of Ireland’ (ECNI, NIHRC and IHREC, 2022).</w:t>
      </w:r>
    </w:p>
    <w:p>
      <w:pPr>
        <w:pStyle w:val="ListParagraph"/>
        <w:numPr>
          <w:ilvl w:val="0"/>
          <w:numId w:val="11"/>
        </w:numPr>
        <w:tabs>
          <w:tab w:pos="1853" w:val="left" w:leader="none"/>
        </w:tabs>
        <w:spacing w:line="235" w:lineRule="auto" w:before="2" w:after="0"/>
        <w:ind w:left="1853" w:right="1233" w:hanging="720"/>
        <w:jc w:val="left"/>
        <w:rPr>
          <w:sz w:val="18"/>
        </w:rPr>
      </w:pPr>
      <w:r>
        <w:rPr>
          <w:sz w:val="18"/>
        </w:rPr>
        <w:t>Equality Commission for NI, NI Human Rights Commission and Irish Human Rights and Equality Commission, ‘Policy Recommendations:</w:t>
      </w:r>
      <w:r>
        <w:rPr>
          <w:spacing w:val="-4"/>
          <w:sz w:val="18"/>
        </w:rPr>
        <w:t> </w:t>
      </w:r>
      <w:r>
        <w:rPr>
          <w:sz w:val="18"/>
        </w:rPr>
        <w:t>European</w:t>
      </w:r>
      <w:r>
        <w:rPr>
          <w:spacing w:val="-5"/>
          <w:sz w:val="18"/>
        </w:rPr>
        <w:t> </w:t>
      </w:r>
      <w:r>
        <w:rPr>
          <w:sz w:val="18"/>
        </w:rPr>
        <w:t>Union</w:t>
      </w:r>
      <w:r>
        <w:rPr>
          <w:spacing w:val="-5"/>
          <w:sz w:val="18"/>
        </w:rPr>
        <w:t> </w:t>
      </w:r>
      <w:r>
        <w:rPr>
          <w:sz w:val="18"/>
        </w:rPr>
        <w:t>developments</w:t>
      </w:r>
      <w:r>
        <w:rPr>
          <w:spacing w:val="-5"/>
          <w:sz w:val="18"/>
        </w:rPr>
        <w:t> </w:t>
      </w:r>
      <w:r>
        <w:rPr>
          <w:sz w:val="18"/>
        </w:rPr>
        <w:t>in</w:t>
      </w:r>
      <w:r>
        <w:rPr>
          <w:spacing w:val="-5"/>
          <w:sz w:val="18"/>
        </w:rPr>
        <w:t> </w:t>
      </w:r>
      <w:r>
        <w:rPr>
          <w:sz w:val="18"/>
        </w:rPr>
        <w:t>Equality</w:t>
      </w:r>
      <w:r>
        <w:rPr>
          <w:spacing w:val="-4"/>
          <w:sz w:val="18"/>
        </w:rPr>
        <w:t> </w:t>
      </w:r>
      <w:r>
        <w:rPr>
          <w:sz w:val="18"/>
        </w:rPr>
        <w:t>and</w:t>
      </w:r>
      <w:r>
        <w:rPr>
          <w:spacing w:val="-5"/>
          <w:sz w:val="18"/>
        </w:rPr>
        <w:t> </w:t>
      </w:r>
      <w:r>
        <w:rPr>
          <w:sz w:val="18"/>
        </w:rPr>
        <w:t>Human</w:t>
      </w:r>
      <w:r>
        <w:rPr>
          <w:spacing w:val="-5"/>
          <w:sz w:val="18"/>
        </w:rPr>
        <w:t> </w:t>
      </w:r>
      <w:r>
        <w:rPr>
          <w:sz w:val="18"/>
        </w:rPr>
        <w:t>Rights: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the</w:t>
      </w:r>
      <w:r>
        <w:rPr>
          <w:spacing w:val="-4"/>
          <w:sz w:val="18"/>
        </w:rPr>
        <w:t> </w:t>
      </w:r>
      <w:r>
        <w:rPr>
          <w:sz w:val="18"/>
        </w:rPr>
        <w:t>divergence of rights and best practice on the island of Ireland’ (ECNI, NIHRC and IHREC, 2023), at para 4.42.</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Ibid,</w:t>
      </w:r>
      <w:r>
        <w:rPr>
          <w:spacing w:val="-5"/>
          <w:sz w:val="18"/>
        </w:rPr>
        <w:t> </w:t>
      </w:r>
      <w:r>
        <w:rPr>
          <w:sz w:val="18"/>
        </w:rPr>
        <w:t>at</w:t>
      </w:r>
      <w:r>
        <w:rPr>
          <w:spacing w:val="-4"/>
          <w:sz w:val="18"/>
        </w:rPr>
        <w:t> </w:t>
      </w:r>
      <w:r>
        <w:rPr>
          <w:sz w:val="18"/>
        </w:rPr>
        <w:t>paras</w:t>
      </w:r>
      <w:r>
        <w:rPr>
          <w:spacing w:val="-4"/>
          <w:sz w:val="18"/>
        </w:rPr>
        <w:t> </w:t>
      </w:r>
      <w:r>
        <w:rPr>
          <w:sz w:val="18"/>
        </w:rPr>
        <w:t>4.45-</w:t>
      </w:r>
      <w:r>
        <w:rPr>
          <w:spacing w:val="-2"/>
          <w:sz w:val="18"/>
        </w:rPr>
        <w:t>4.46.</w:t>
      </w:r>
    </w:p>
    <w:p>
      <w:pPr>
        <w:pStyle w:val="ListParagraph"/>
        <w:numPr>
          <w:ilvl w:val="0"/>
          <w:numId w:val="11"/>
        </w:numPr>
        <w:tabs>
          <w:tab w:pos="1853" w:val="left" w:leader="none"/>
        </w:tabs>
        <w:spacing w:line="235" w:lineRule="auto" w:before="2" w:after="0"/>
        <w:ind w:left="1853" w:right="1434" w:hanging="720"/>
        <w:jc w:val="both"/>
        <w:rPr>
          <w:sz w:val="18"/>
        </w:rPr>
      </w:pPr>
      <w:r>
        <w:rPr>
          <w:sz w:val="18"/>
        </w:rPr>
        <w:t>The</w:t>
      </w:r>
      <w:r>
        <w:rPr>
          <w:spacing w:val="-4"/>
          <w:sz w:val="18"/>
        </w:rPr>
        <w:t> </w:t>
      </w:r>
      <w:r>
        <w:rPr>
          <w:sz w:val="18"/>
        </w:rPr>
        <w:t>Equality</w:t>
      </w:r>
      <w:r>
        <w:rPr>
          <w:spacing w:val="-4"/>
          <w:sz w:val="18"/>
        </w:rPr>
        <w:t> </w:t>
      </w:r>
      <w:r>
        <w:rPr>
          <w:sz w:val="18"/>
        </w:rPr>
        <w:t>Act</w:t>
      </w:r>
      <w:r>
        <w:rPr>
          <w:spacing w:val="-4"/>
          <w:sz w:val="18"/>
        </w:rPr>
        <w:t> </w:t>
      </w:r>
      <w:r>
        <w:rPr>
          <w:sz w:val="18"/>
        </w:rPr>
        <w:t>2010</w:t>
      </w:r>
      <w:r>
        <w:rPr>
          <w:spacing w:val="-4"/>
          <w:sz w:val="18"/>
        </w:rPr>
        <w:t> </w:t>
      </w:r>
      <w:r>
        <w:rPr>
          <w:sz w:val="18"/>
        </w:rPr>
        <w:t>(Gender</w:t>
      </w:r>
      <w:r>
        <w:rPr>
          <w:spacing w:val="-4"/>
          <w:sz w:val="18"/>
        </w:rPr>
        <w:t> </w:t>
      </w:r>
      <w:r>
        <w:rPr>
          <w:sz w:val="18"/>
        </w:rPr>
        <w:t>Pay</w:t>
      </w:r>
      <w:r>
        <w:rPr>
          <w:spacing w:val="-4"/>
          <w:sz w:val="18"/>
        </w:rPr>
        <w:t> </w:t>
      </w:r>
      <w:r>
        <w:rPr>
          <w:sz w:val="18"/>
        </w:rPr>
        <w:t>Gap</w:t>
      </w:r>
      <w:r>
        <w:rPr>
          <w:spacing w:val="-5"/>
          <w:sz w:val="18"/>
        </w:rPr>
        <w:t> </w:t>
      </w:r>
      <w:r>
        <w:rPr>
          <w:sz w:val="18"/>
        </w:rPr>
        <w:t>Information)</w:t>
      </w:r>
      <w:r>
        <w:rPr>
          <w:spacing w:val="-5"/>
          <w:sz w:val="18"/>
        </w:rPr>
        <w:t> </w:t>
      </w:r>
      <w:r>
        <w:rPr>
          <w:sz w:val="18"/>
        </w:rPr>
        <w:t>Regulations</w:t>
      </w:r>
      <w:r>
        <w:rPr>
          <w:spacing w:val="-5"/>
          <w:sz w:val="18"/>
        </w:rPr>
        <w:t> </w:t>
      </w:r>
      <w:r>
        <w:rPr>
          <w:sz w:val="18"/>
        </w:rPr>
        <w:t>2017</w:t>
      </w:r>
      <w:r>
        <w:rPr>
          <w:spacing w:val="-4"/>
          <w:sz w:val="18"/>
        </w:rPr>
        <w:t> </w:t>
      </w:r>
      <w:r>
        <w:rPr>
          <w:sz w:val="18"/>
        </w:rPr>
        <w:t>(SI</w:t>
      </w:r>
      <w:r>
        <w:rPr>
          <w:spacing w:val="-4"/>
          <w:sz w:val="18"/>
        </w:rPr>
        <w:t> </w:t>
      </w:r>
      <w:r>
        <w:rPr>
          <w:sz w:val="18"/>
        </w:rPr>
        <w:t>2017/172);</w:t>
      </w:r>
      <w:r>
        <w:rPr>
          <w:spacing w:val="-4"/>
          <w:sz w:val="18"/>
        </w:rPr>
        <w:t> </w:t>
      </w:r>
      <w:r>
        <w:rPr>
          <w:sz w:val="18"/>
        </w:rPr>
        <w:t>Regulations</w:t>
      </w:r>
      <w:r>
        <w:rPr>
          <w:spacing w:val="-5"/>
          <w:sz w:val="18"/>
        </w:rPr>
        <w:t> </w:t>
      </w:r>
      <w:r>
        <w:rPr>
          <w:sz w:val="18"/>
        </w:rPr>
        <w:t>came</w:t>
      </w:r>
      <w:r>
        <w:rPr>
          <w:spacing w:val="-4"/>
          <w:sz w:val="18"/>
        </w:rPr>
        <w:t> </w:t>
      </w:r>
      <w:r>
        <w:rPr>
          <w:sz w:val="18"/>
        </w:rPr>
        <w:t>into</w:t>
      </w:r>
      <w:r>
        <w:rPr>
          <w:spacing w:val="-5"/>
          <w:sz w:val="18"/>
        </w:rPr>
        <w:t> </w:t>
      </w:r>
      <w:r>
        <w:rPr>
          <w:sz w:val="18"/>
        </w:rPr>
        <w:t>force</w:t>
      </w:r>
      <w:r>
        <w:rPr>
          <w:spacing w:val="-4"/>
          <w:sz w:val="18"/>
        </w:rPr>
        <w:t> </w:t>
      </w:r>
      <w:r>
        <w:rPr>
          <w:sz w:val="18"/>
        </w:rPr>
        <w:t>on</w:t>
      </w:r>
      <w:r>
        <w:rPr>
          <w:spacing w:val="-5"/>
          <w:sz w:val="18"/>
        </w:rPr>
        <w:t> </w:t>
      </w:r>
      <w:r>
        <w:rPr>
          <w:sz w:val="18"/>
        </w:rPr>
        <w:t>6 April</w:t>
      </w:r>
      <w:r>
        <w:rPr>
          <w:spacing w:val="-3"/>
          <w:sz w:val="18"/>
        </w:rPr>
        <w:t> </w:t>
      </w:r>
      <w:r>
        <w:rPr>
          <w:sz w:val="18"/>
        </w:rPr>
        <w:t>2017</w:t>
      </w:r>
      <w:r>
        <w:rPr>
          <w:spacing w:val="-2"/>
          <w:sz w:val="18"/>
        </w:rPr>
        <w:t> </w:t>
      </w:r>
      <w:r>
        <w:rPr>
          <w:sz w:val="18"/>
        </w:rPr>
        <w:t>and</w:t>
      </w:r>
      <w:r>
        <w:rPr>
          <w:spacing w:val="-3"/>
          <w:sz w:val="18"/>
        </w:rPr>
        <w:t> </w:t>
      </w:r>
      <w:r>
        <w:rPr>
          <w:sz w:val="18"/>
        </w:rPr>
        <w:t>apply</w:t>
      </w:r>
      <w:r>
        <w:rPr>
          <w:spacing w:val="-2"/>
          <w:sz w:val="18"/>
        </w:rPr>
        <w:t> </w:t>
      </w:r>
      <w:r>
        <w:rPr>
          <w:sz w:val="18"/>
        </w:rPr>
        <w:t>to</w:t>
      </w:r>
      <w:r>
        <w:rPr>
          <w:spacing w:val="-3"/>
          <w:sz w:val="18"/>
        </w:rPr>
        <w:t> </w:t>
      </w:r>
      <w:r>
        <w:rPr>
          <w:sz w:val="18"/>
        </w:rPr>
        <w:t>all</w:t>
      </w:r>
      <w:r>
        <w:rPr>
          <w:spacing w:val="-3"/>
          <w:sz w:val="18"/>
        </w:rPr>
        <w:t> </w:t>
      </w:r>
      <w:r>
        <w:rPr>
          <w:sz w:val="18"/>
        </w:rPr>
        <w:t>private</w:t>
      </w:r>
      <w:r>
        <w:rPr>
          <w:spacing w:val="-2"/>
          <w:sz w:val="18"/>
        </w:rPr>
        <w:t> </w:t>
      </w:r>
      <w:r>
        <w:rPr>
          <w:sz w:val="18"/>
        </w:rPr>
        <w:t>and</w:t>
      </w:r>
      <w:r>
        <w:rPr>
          <w:spacing w:val="-3"/>
          <w:sz w:val="18"/>
        </w:rPr>
        <w:t> </w:t>
      </w:r>
      <w:r>
        <w:rPr>
          <w:sz w:val="18"/>
        </w:rPr>
        <w:t>voluntary</w:t>
      </w:r>
      <w:r>
        <w:rPr>
          <w:spacing w:val="-2"/>
          <w:sz w:val="18"/>
        </w:rPr>
        <w:t> </w:t>
      </w:r>
      <w:r>
        <w:rPr>
          <w:sz w:val="18"/>
        </w:rPr>
        <w:t>sector</w:t>
      </w:r>
      <w:r>
        <w:rPr>
          <w:spacing w:val="-2"/>
          <w:sz w:val="18"/>
        </w:rPr>
        <w:t> </w:t>
      </w:r>
      <w:r>
        <w:rPr>
          <w:sz w:val="18"/>
        </w:rPr>
        <w:t>employers</w:t>
      </w:r>
      <w:r>
        <w:rPr>
          <w:spacing w:val="-3"/>
          <w:sz w:val="18"/>
        </w:rPr>
        <w:t> </w:t>
      </w:r>
      <w:r>
        <w:rPr>
          <w:sz w:val="18"/>
        </w:rPr>
        <w:t>with</w:t>
      </w:r>
      <w:r>
        <w:rPr>
          <w:spacing w:val="-3"/>
          <w:sz w:val="18"/>
        </w:rPr>
        <w:t> </w:t>
      </w:r>
      <w:r>
        <w:rPr>
          <w:sz w:val="18"/>
        </w:rPr>
        <w:t>250</w:t>
      </w:r>
      <w:r>
        <w:rPr>
          <w:spacing w:val="-2"/>
          <w:sz w:val="18"/>
        </w:rPr>
        <w:t> </w:t>
      </w:r>
      <w:r>
        <w:rPr>
          <w:sz w:val="18"/>
        </w:rPr>
        <w:t>or</w:t>
      </w:r>
      <w:r>
        <w:rPr>
          <w:spacing w:val="-2"/>
          <w:sz w:val="18"/>
        </w:rPr>
        <w:t> </w:t>
      </w:r>
      <w:r>
        <w:rPr>
          <w:sz w:val="18"/>
        </w:rPr>
        <w:t>more</w:t>
      </w:r>
      <w:r>
        <w:rPr>
          <w:spacing w:val="-2"/>
          <w:sz w:val="18"/>
        </w:rPr>
        <w:t> </w:t>
      </w:r>
      <w:r>
        <w:rPr>
          <w:sz w:val="18"/>
        </w:rPr>
        <w:t>employees</w:t>
      </w:r>
      <w:r>
        <w:rPr>
          <w:spacing w:val="-3"/>
          <w:sz w:val="18"/>
        </w:rPr>
        <w:t> </w:t>
      </w:r>
      <w:r>
        <w:rPr>
          <w:sz w:val="18"/>
        </w:rPr>
        <w:t>in</w:t>
      </w:r>
      <w:r>
        <w:rPr>
          <w:spacing w:val="-3"/>
          <w:sz w:val="18"/>
        </w:rPr>
        <w:t> </w:t>
      </w:r>
      <w:r>
        <w:rPr>
          <w:sz w:val="18"/>
        </w:rPr>
        <w:t>England,</w:t>
      </w:r>
      <w:r>
        <w:rPr>
          <w:spacing w:val="-2"/>
          <w:sz w:val="18"/>
        </w:rPr>
        <w:t> </w:t>
      </w:r>
      <w:r>
        <w:rPr>
          <w:sz w:val="18"/>
        </w:rPr>
        <w:t>Wales</w:t>
      </w:r>
      <w:r>
        <w:rPr>
          <w:spacing w:val="-3"/>
          <w:sz w:val="18"/>
        </w:rPr>
        <w:t> </w:t>
      </w:r>
      <w:r>
        <w:rPr>
          <w:sz w:val="18"/>
        </w:rPr>
        <w:t>and Scotland. Public sector employers with 250 or more employees that are listed in The Equality Act 2010 (Specific</w:t>
      </w:r>
    </w:p>
    <w:p>
      <w:pPr>
        <w:spacing w:line="235" w:lineRule="auto" w:before="2"/>
        <w:ind w:left="1853" w:right="1436" w:firstLine="0"/>
        <w:jc w:val="both"/>
        <w:rPr>
          <w:sz w:val="18"/>
        </w:rPr>
      </w:pPr>
      <w:r>
        <w:rPr>
          <w:sz w:val="18"/>
        </w:rPr>
        <w:t>Duties</w:t>
      </w:r>
      <w:r>
        <w:rPr>
          <w:spacing w:val="-4"/>
          <w:sz w:val="18"/>
        </w:rPr>
        <w:t> </w:t>
      </w:r>
      <w:r>
        <w:rPr>
          <w:sz w:val="18"/>
        </w:rPr>
        <w:t>and</w:t>
      </w:r>
      <w:r>
        <w:rPr>
          <w:spacing w:val="-4"/>
          <w:sz w:val="18"/>
        </w:rPr>
        <w:t> </w:t>
      </w:r>
      <w:r>
        <w:rPr>
          <w:sz w:val="18"/>
        </w:rPr>
        <w:t>Public</w:t>
      </w:r>
      <w:r>
        <w:rPr>
          <w:spacing w:val="-4"/>
          <w:sz w:val="18"/>
        </w:rPr>
        <w:t> </w:t>
      </w:r>
      <w:r>
        <w:rPr>
          <w:sz w:val="18"/>
        </w:rPr>
        <w:t>Authorities)</w:t>
      </w:r>
      <w:r>
        <w:rPr>
          <w:spacing w:val="-4"/>
          <w:sz w:val="18"/>
        </w:rPr>
        <w:t> </w:t>
      </w:r>
      <w:r>
        <w:rPr>
          <w:sz w:val="18"/>
        </w:rPr>
        <w:t>Regulations</w:t>
      </w:r>
      <w:r>
        <w:rPr>
          <w:spacing w:val="-4"/>
          <w:sz w:val="18"/>
        </w:rPr>
        <w:t> </w:t>
      </w:r>
      <w:r>
        <w:rPr>
          <w:sz w:val="18"/>
        </w:rPr>
        <w:t>2017</w:t>
      </w:r>
      <w:r>
        <w:rPr>
          <w:spacing w:val="-4"/>
          <w:sz w:val="18"/>
        </w:rPr>
        <w:t> </w:t>
      </w:r>
      <w:r>
        <w:rPr>
          <w:sz w:val="18"/>
        </w:rPr>
        <w:t>(SI</w:t>
      </w:r>
      <w:r>
        <w:rPr>
          <w:spacing w:val="-4"/>
          <w:sz w:val="18"/>
        </w:rPr>
        <w:t> </w:t>
      </w:r>
      <w:r>
        <w:rPr>
          <w:sz w:val="18"/>
        </w:rPr>
        <w:t>2017/353)</w:t>
      </w:r>
      <w:r>
        <w:rPr>
          <w:spacing w:val="-4"/>
          <w:sz w:val="18"/>
        </w:rPr>
        <w:t> </w:t>
      </w:r>
      <w:r>
        <w:rPr>
          <w:sz w:val="18"/>
        </w:rPr>
        <w:t>are</w:t>
      </w:r>
      <w:r>
        <w:rPr>
          <w:spacing w:val="-4"/>
          <w:sz w:val="18"/>
        </w:rPr>
        <w:t> </w:t>
      </w:r>
      <w:r>
        <w:rPr>
          <w:sz w:val="18"/>
        </w:rPr>
        <w:t>also</w:t>
      </w:r>
      <w:r>
        <w:rPr>
          <w:spacing w:val="-4"/>
          <w:sz w:val="18"/>
        </w:rPr>
        <w:t> </w:t>
      </w:r>
      <w:r>
        <w:rPr>
          <w:sz w:val="18"/>
        </w:rPr>
        <w:t>required</w:t>
      </w:r>
      <w:r>
        <w:rPr>
          <w:spacing w:val="-4"/>
          <w:sz w:val="18"/>
        </w:rPr>
        <w:t> </w:t>
      </w:r>
      <w:r>
        <w:rPr>
          <w:sz w:val="18"/>
        </w:rPr>
        <w:t>to</w:t>
      </w:r>
      <w:r>
        <w:rPr>
          <w:spacing w:val="-4"/>
          <w:sz w:val="18"/>
        </w:rPr>
        <w:t> </w:t>
      </w:r>
      <w:r>
        <w:rPr>
          <w:sz w:val="18"/>
        </w:rPr>
        <w:t>publish</w:t>
      </w:r>
      <w:r>
        <w:rPr>
          <w:spacing w:val="-4"/>
          <w:sz w:val="18"/>
        </w:rPr>
        <w:t> </w:t>
      </w:r>
      <w:r>
        <w:rPr>
          <w:sz w:val="18"/>
        </w:rPr>
        <w:t>information</w:t>
      </w:r>
      <w:r>
        <w:rPr>
          <w:spacing w:val="-4"/>
          <w:sz w:val="18"/>
        </w:rPr>
        <w:t> </w:t>
      </w:r>
      <w:r>
        <w:rPr>
          <w:sz w:val="18"/>
        </w:rPr>
        <w:t>on</w:t>
      </w:r>
      <w:r>
        <w:rPr>
          <w:spacing w:val="-4"/>
          <w:sz w:val="18"/>
        </w:rPr>
        <w:t> </w:t>
      </w:r>
      <w:r>
        <w:rPr>
          <w:sz w:val="18"/>
        </w:rPr>
        <w:t>their</w:t>
      </w:r>
      <w:r>
        <w:rPr>
          <w:spacing w:val="-4"/>
          <w:sz w:val="18"/>
        </w:rPr>
        <w:t> </w:t>
      </w:r>
      <w:r>
        <w:rPr>
          <w:sz w:val="18"/>
        </w:rPr>
        <w:t>gender pay gap. These Regulations came into force on 31st March 2017.</w:t>
      </w:r>
    </w:p>
    <w:p>
      <w:pPr>
        <w:pStyle w:val="ListParagraph"/>
        <w:numPr>
          <w:ilvl w:val="0"/>
          <w:numId w:val="11"/>
        </w:numPr>
        <w:tabs>
          <w:tab w:pos="1853" w:val="left" w:leader="none"/>
        </w:tabs>
        <w:spacing w:line="235" w:lineRule="auto" w:before="1" w:after="0"/>
        <w:ind w:left="1853" w:right="1233" w:hanging="720"/>
        <w:jc w:val="left"/>
        <w:rPr>
          <w:sz w:val="18"/>
        </w:rPr>
      </w:pPr>
      <w:r>
        <w:rPr>
          <w:sz w:val="18"/>
        </w:rPr>
        <w:t>Equality Commission for NI, NI Human Rights Commission and Irish Human Rights and Equality Commission, ‘Policy Recommendations:</w:t>
      </w:r>
      <w:r>
        <w:rPr>
          <w:spacing w:val="-4"/>
          <w:sz w:val="18"/>
        </w:rPr>
        <w:t> </w:t>
      </w:r>
      <w:r>
        <w:rPr>
          <w:sz w:val="18"/>
        </w:rPr>
        <w:t>European</w:t>
      </w:r>
      <w:r>
        <w:rPr>
          <w:spacing w:val="-5"/>
          <w:sz w:val="18"/>
        </w:rPr>
        <w:t> </w:t>
      </w:r>
      <w:r>
        <w:rPr>
          <w:sz w:val="18"/>
        </w:rPr>
        <w:t>Union</w:t>
      </w:r>
      <w:r>
        <w:rPr>
          <w:spacing w:val="-5"/>
          <w:sz w:val="18"/>
        </w:rPr>
        <w:t> </w:t>
      </w:r>
      <w:r>
        <w:rPr>
          <w:sz w:val="18"/>
        </w:rPr>
        <w:t>developments</w:t>
      </w:r>
      <w:r>
        <w:rPr>
          <w:spacing w:val="-5"/>
          <w:sz w:val="18"/>
        </w:rPr>
        <w:t> </w:t>
      </w:r>
      <w:r>
        <w:rPr>
          <w:sz w:val="18"/>
        </w:rPr>
        <w:t>in</w:t>
      </w:r>
      <w:r>
        <w:rPr>
          <w:spacing w:val="-5"/>
          <w:sz w:val="18"/>
        </w:rPr>
        <w:t> </w:t>
      </w:r>
      <w:r>
        <w:rPr>
          <w:sz w:val="18"/>
        </w:rPr>
        <w:t>Equality</w:t>
      </w:r>
      <w:r>
        <w:rPr>
          <w:spacing w:val="-4"/>
          <w:sz w:val="18"/>
        </w:rPr>
        <w:t> </w:t>
      </w:r>
      <w:r>
        <w:rPr>
          <w:sz w:val="18"/>
        </w:rPr>
        <w:t>and</w:t>
      </w:r>
      <w:r>
        <w:rPr>
          <w:spacing w:val="-5"/>
          <w:sz w:val="18"/>
        </w:rPr>
        <w:t> </w:t>
      </w:r>
      <w:r>
        <w:rPr>
          <w:sz w:val="18"/>
        </w:rPr>
        <w:t>Human</w:t>
      </w:r>
      <w:r>
        <w:rPr>
          <w:spacing w:val="-5"/>
          <w:sz w:val="18"/>
        </w:rPr>
        <w:t> </w:t>
      </w:r>
      <w:r>
        <w:rPr>
          <w:sz w:val="18"/>
        </w:rPr>
        <w:t>Rights: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the</w:t>
      </w:r>
      <w:r>
        <w:rPr>
          <w:spacing w:val="-4"/>
          <w:sz w:val="18"/>
        </w:rPr>
        <w:t> </w:t>
      </w:r>
      <w:r>
        <w:rPr>
          <w:sz w:val="18"/>
        </w:rPr>
        <w:t>divergence of rights and best practice on the island of Ireland’ (ECNI, NIHRC and IHREC, 2023), at paras 4.45-4.46.</w:t>
      </w:r>
    </w:p>
    <w:p>
      <w:pPr>
        <w:pStyle w:val="ListParagraph"/>
        <w:numPr>
          <w:ilvl w:val="0"/>
          <w:numId w:val="11"/>
        </w:numPr>
        <w:tabs>
          <w:tab w:pos="1853" w:val="left" w:leader="none"/>
        </w:tabs>
        <w:spacing w:line="235" w:lineRule="auto" w:before="2" w:after="0"/>
        <w:ind w:left="1853" w:right="1377" w:hanging="720"/>
        <w:jc w:val="left"/>
        <w:rPr>
          <w:sz w:val="18"/>
        </w:rPr>
      </w:pPr>
      <w:r>
        <w:rPr>
          <w:sz w:val="18"/>
        </w:rPr>
        <w:t>Directive</w:t>
      </w:r>
      <w:r>
        <w:rPr>
          <w:spacing w:val="-4"/>
          <w:sz w:val="18"/>
        </w:rPr>
        <w:t> </w:t>
      </w:r>
      <w:r>
        <w:rPr>
          <w:sz w:val="18"/>
        </w:rPr>
        <w:t>2023/970/EU,</w:t>
      </w:r>
      <w:r>
        <w:rPr>
          <w:spacing w:val="-4"/>
          <w:sz w:val="18"/>
        </w:rPr>
        <w:t> </w:t>
      </w:r>
      <w:r>
        <w:rPr>
          <w:sz w:val="18"/>
        </w:rPr>
        <w:t>‘EU</w:t>
      </w:r>
      <w:r>
        <w:rPr>
          <w:spacing w:val="-4"/>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Directive</w:t>
      </w:r>
      <w:r>
        <w:rPr>
          <w:spacing w:val="-4"/>
          <w:sz w:val="18"/>
        </w:rPr>
        <w:t> </w:t>
      </w:r>
      <w:r>
        <w:rPr>
          <w:sz w:val="18"/>
        </w:rPr>
        <w:t>to</w:t>
      </w:r>
      <w:r>
        <w:rPr>
          <w:spacing w:val="-5"/>
          <w:sz w:val="18"/>
        </w:rPr>
        <w:t> </w:t>
      </w:r>
      <w:r>
        <w:rPr>
          <w:sz w:val="18"/>
        </w:rPr>
        <w:t>strengthen</w:t>
      </w:r>
      <w:r>
        <w:rPr>
          <w:spacing w:val="-5"/>
          <w:sz w:val="18"/>
        </w:rPr>
        <w:t> </w:t>
      </w:r>
      <w:r>
        <w:rPr>
          <w:sz w:val="18"/>
        </w:rPr>
        <w:t>the</w:t>
      </w:r>
      <w:r>
        <w:rPr>
          <w:spacing w:val="-4"/>
          <w:sz w:val="18"/>
        </w:rPr>
        <w:t> </w:t>
      </w:r>
      <w:r>
        <w:rPr>
          <w:sz w:val="18"/>
        </w:rPr>
        <w:t>application</w:t>
      </w:r>
      <w:r>
        <w:rPr>
          <w:spacing w:val="-5"/>
          <w:sz w:val="18"/>
        </w:rPr>
        <w:t> </w:t>
      </w:r>
      <w:r>
        <w:rPr>
          <w:sz w:val="18"/>
        </w:rPr>
        <w:t>of</w:t>
      </w:r>
      <w:r>
        <w:rPr>
          <w:spacing w:val="-5"/>
          <w:sz w:val="18"/>
        </w:rPr>
        <w:t> </w:t>
      </w:r>
      <w:r>
        <w:rPr>
          <w:sz w:val="18"/>
        </w:rPr>
        <w:t>the</w:t>
      </w:r>
      <w:r>
        <w:rPr>
          <w:spacing w:val="-4"/>
          <w:sz w:val="18"/>
        </w:rPr>
        <w:t> </w:t>
      </w:r>
      <w:r>
        <w:rPr>
          <w:sz w:val="18"/>
        </w:rPr>
        <w:t>principle</w:t>
      </w:r>
      <w:r>
        <w:rPr>
          <w:spacing w:val="-4"/>
          <w:sz w:val="18"/>
        </w:rPr>
        <w:t> </w:t>
      </w:r>
      <w:r>
        <w:rPr>
          <w:sz w:val="18"/>
        </w:rPr>
        <w:t>of</w:t>
      </w:r>
      <w:r>
        <w:rPr>
          <w:spacing w:val="-5"/>
          <w:sz w:val="18"/>
        </w:rPr>
        <w:t> </w:t>
      </w:r>
      <w:r>
        <w:rPr>
          <w:sz w:val="18"/>
        </w:rPr>
        <w:t>equal</w:t>
      </w:r>
      <w:r>
        <w:rPr>
          <w:spacing w:val="-5"/>
          <w:sz w:val="18"/>
        </w:rPr>
        <w:t> </w:t>
      </w:r>
      <w:r>
        <w:rPr>
          <w:sz w:val="18"/>
        </w:rPr>
        <w:t>pay for equal work or work of equal value between men and women through pay transparency and enforcement mechanisms’, 10 May 2023.</w:t>
      </w:r>
    </w:p>
    <w:p>
      <w:pPr>
        <w:pStyle w:val="ListParagraph"/>
        <w:numPr>
          <w:ilvl w:val="0"/>
          <w:numId w:val="11"/>
        </w:numPr>
        <w:tabs>
          <w:tab w:pos="1853" w:val="left" w:leader="none"/>
        </w:tabs>
        <w:spacing w:line="235" w:lineRule="auto" w:before="2" w:after="0"/>
        <w:ind w:left="1853" w:right="1238" w:hanging="720"/>
        <w:jc w:val="left"/>
        <w:rPr>
          <w:sz w:val="18"/>
        </w:rPr>
      </w:pPr>
      <w:r>
        <w:rPr>
          <w:sz w:val="18"/>
        </w:rPr>
        <w:t>Directive</w:t>
      </w:r>
      <w:r>
        <w:rPr>
          <w:spacing w:val="-4"/>
          <w:sz w:val="18"/>
        </w:rPr>
        <w:t> </w:t>
      </w:r>
      <w:r>
        <w:rPr>
          <w:sz w:val="18"/>
        </w:rPr>
        <w:t>2006/54/EC</w:t>
      </w:r>
      <w:r>
        <w:rPr>
          <w:spacing w:val="-5"/>
          <w:sz w:val="18"/>
        </w:rPr>
        <w:t> </w:t>
      </w:r>
      <w:r>
        <w:rPr>
          <w:sz w:val="18"/>
        </w:rPr>
        <w:t>‘EU</w:t>
      </w:r>
      <w:r>
        <w:rPr>
          <w:spacing w:val="-4"/>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Directive</w:t>
      </w:r>
      <w:r>
        <w:rPr>
          <w:spacing w:val="-4"/>
          <w:sz w:val="18"/>
        </w:rPr>
        <w:t> </w:t>
      </w:r>
      <w:r>
        <w:rPr>
          <w:sz w:val="18"/>
        </w:rPr>
        <w:t>on</w:t>
      </w:r>
      <w:r>
        <w:rPr>
          <w:spacing w:val="-5"/>
          <w:sz w:val="18"/>
        </w:rPr>
        <w:t> </w:t>
      </w:r>
      <w:r>
        <w:rPr>
          <w:sz w:val="18"/>
        </w:rPr>
        <w:t>the</w:t>
      </w:r>
      <w:r>
        <w:rPr>
          <w:spacing w:val="-4"/>
          <w:sz w:val="18"/>
        </w:rPr>
        <w:t> </w:t>
      </w:r>
      <w:r>
        <w:rPr>
          <w:sz w:val="18"/>
        </w:rPr>
        <w:t>implementation</w:t>
      </w:r>
      <w:r>
        <w:rPr>
          <w:spacing w:val="-5"/>
          <w:sz w:val="18"/>
        </w:rPr>
        <w:t> </w:t>
      </w:r>
      <w:r>
        <w:rPr>
          <w:sz w:val="18"/>
        </w:rPr>
        <w:t>of</w:t>
      </w:r>
      <w:r>
        <w:rPr>
          <w:spacing w:val="-5"/>
          <w:sz w:val="18"/>
        </w:rPr>
        <w:t> </w:t>
      </w:r>
      <w:r>
        <w:rPr>
          <w:sz w:val="18"/>
        </w:rPr>
        <w:t>the</w:t>
      </w:r>
      <w:r>
        <w:rPr>
          <w:spacing w:val="-4"/>
          <w:sz w:val="18"/>
        </w:rPr>
        <w:t> </w:t>
      </w:r>
      <w:r>
        <w:rPr>
          <w:sz w:val="18"/>
        </w:rPr>
        <w:t>principle</w:t>
      </w:r>
      <w:r>
        <w:rPr>
          <w:spacing w:val="-4"/>
          <w:sz w:val="18"/>
        </w:rPr>
        <w:t> </w:t>
      </w:r>
      <w:r>
        <w:rPr>
          <w:sz w:val="18"/>
        </w:rPr>
        <w:t>of</w:t>
      </w:r>
      <w:r>
        <w:rPr>
          <w:spacing w:val="-5"/>
          <w:sz w:val="18"/>
        </w:rPr>
        <w:t> </w:t>
      </w:r>
      <w:r>
        <w:rPr>
          <w:sz w:val="18"/>
        </w:rPr>
        <w:t>equal</w:t>
      </w:r>
      <w:r>
        <w:rPr>
          <w:spacing w:val="-5"/>
          <w:sz w:val="18"/>
        </w:rPr>
        <w:t> </w:t>
      </w:r>
      <w:r>
        <w:rPr>
          <w:sz w:val="18"/>
        </w:rPr>
        <w:t>opportunities and equal treatment of men and women in matters of employment and occupation (recast)’, 5 July 2006.</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276"/>
      </w:pPr>
      <w:r>
        <w:rPr/>
        <w:t>March 2024, which identifies that, apart from a small number of provisions</w:t>
      </w:r>
      <w:r>
        <w:rPr>
          <w:spacing w:val="40"/>
        </w:rPr>
        <w:t> </w:t>
      </w:r>
      <w:r>
        <w:rPr/>
        <w:t>of</w:t>
      </w:r>
      <w:r>
        <w:rPr>
          <w:spacing w:val="-8"/>
        </w:rPr>
        <w:t> </w:t>
      </w:r>
      <w:r>
        <w:rPr/>
        <w:t>the</w:t>
      </w:r>
      <w:r>
        <w:rPr>
          <w:spacing w:val="-6"/>
        </w:rPr>
        <w:t> </w:t>
      </w:r>
      <w:r>
        <w:rPr/>
        <w:t>EU</w:t>
      </w:r>
      <w:r>
        <w:rPr>
          <w:spacing w:val="-7"/>
        </w:rPr>
        <w:t> </w:t>
      </w:r>
      <w:r>
        <w:rPr/>
        <w:t>Pay</w:t>
      </w:r>
      <w:r>
        <w:rPr>
          <w:spacing w:val="-6"/>
        </w:rPr>
        <w:t> </w:t>
      </w:r>
      <w:r>
        <w:rPr/>
        <w:t>Transparency</w:t>
      </w:r>
      <w:r>
        <w:rPr>
          <w:spacing w:val="-7"/>
        </w:rPr>
        <w:t> </w:t>
      </w:r>
      <w:r>
        <w:rPr/>
        <w:t>Directive</w:t>
      </w:r>
      <w:r>
        <w:rPr>
          <w:spacing w:val="-6"/>
        </w:rPr>
        <w:t> </w:t>
      </w:r>
      <w:r>
        <w:rPr/>
        <w:t>that</w:t>
      </w:r>
      <w:r>
        <w:rPr>
          <w:spacing w:val="-6"/>
        </w:rPr>
        <w:t> </w:t>
      </w:r>
      <w:r>
        <w:rPr/>
        <w:t>are</w:t>
      </w:r>
      <w:r>
        <w:rPr>
          <w:spacing w:val="-7"/>
        </w:rPr>
        <w:t> </w:t>
      </w:r>
      <w:r>
        <w:rPr/>
        <w:t>no</w:t>
      </w:r>
      <w:r>
        <w:rPr>
          <w:spacing w:val="-7"/>
        </w:rPr>
        <w:t> </w:t>
      </w:r>
      <w:r>
        <w:rPr/>
        <w:t>longer</w:t>
      </w:r>
      <w:r>
        <w:rPr>
          <w:spacing w:val="-7"/>
        </w:rPr>
        <w:t> </w:t>
      </w:r>
      <w:r>
        <w:rPr/>
        <w:t>relevant</w:t>
      </w:r>
      <w:r>
        <w:rPr>
          <w:spacing w:val="-6"/>
        </w:rPr>
        <w:t> </w:t>
      </w:r>
      <w:r>
        <w:rPr/>
        <w:t>now</w:t>
      </w:r>
      <w:r>
        <w:rPr>
          <w:spacing w:val="-6"/>
        </w:rPr>
        <w:t> </w:t>
      </w:r>
      <w:r>
        <w:rPr/>
        <w:t>that</w:t>
      </w:r>
      <w:r>
        <w:rPr>
          <w:spacing w:val="-7"/>
        </w:rPr>
        <w:t> </w:t>
      </w:r>
      <w:r>
        <w:rPr>
          <w:spacing w:val="-5"/>
        </w:rPr>
        <w:t>the</w:t>
      </w:r>
    </w:p>
    <w:p>
      <w:pPr>
        <w:pStyle w:val="BodyText"/>
        <w:spacing w:line="225" w:lineRule="auto"/>
        <w:ind w:left="1853" w:right="1171"/>
      </w:pPr>
      <w:r>
        <w:rPr/>
        <w:t>UK</w:t>
      </w:r>
      <w:r>
        <w:rPr>
          <w:spacing w:val="-9"/>
        </w:rPr>
        <w:t> </w:t>
      </w:r>
      <w:r>
        <w:rPr/>
        <w:t>has</w:t>
      </w:r>
      <w:r>
        <w:rPr>
          <w:spacing w:val="-10"/>
        </w:rPr>
        <w:t> </w:t>
      </w:r>
      <w:r>
        <w:rPr/>
        <w:t>left</w:t>
      </w:r>
      <w:r>
        <w:rPr>
          <w:spacing w:val="-9"/>
        </w:rPr>
        <w:t> </w:t>
      </w:r>
      <w:r>
        <w:rPr/>
        <w:t>the</w:t>
      </w:r>
      <w:r>
        <w:rPr>
          <w:spacing w:val="-9"/>
        </w:rPr>
        <w:t> </w:t>
      </w:r>
      <w:r>
        <w:rPr/>
        <w:t>EU,</w:t>
      </w:r>
      <w:r>
        <w:rPr>
          <w:vertAlign w:val="superscript"/>
        </w:rPr>
        <w:t>611</w:t>
      </w:r>
      <w:r>
        <w:rPr>
          <w:spacing w:val="-10"/>
          <w:vertAlign w:val="baseline"/>
        </w:rPr>
        <w:t> </w:t>
      </w:r>
      <w:r>
        <w:rPr>
          <w:vertAlign w:val="baseline"/>
        </w:rPr>
        <w:t>all</w:t>
      </w:r>
      <w:r>
        <w:rPr>
          <w:spacing w:val="-10"/>
          <w:vertAlign w:val="baseline"/>
        </w:rPr>
        <w:t> </w:t>
      </w:r>
      <w:r>
        <w:rPr>
          <w:vertAlign w:val="baseline"/>
        </w:rPr>
        <w:t>other</w:t>
      </w:r>
      <w:r>
        <w:rPr>
          <w:spacing w:val="-9"/>
          <w:vertAlign w:val="baseline"/>
        </w:rPr>
        <w:t> </w:t>
      </w:r>
      <w:r>
        <w:rPr>
          <w:vertAlign w:val="baseline"/>
        </w:rPr>
        <w:t>provisions</w:t>
      </w:r>
      <w:r>
        <w:rPr>
          <w:spacing w:val="-10"/>
          <w:vertAlign w:val="baseline"/>
        </w:rPr>
        <w:t> </w:t>
      </w:r>
      <w:r>
        <w:rPr>
          <w:vertAlign w:val="baseline"/>
        </w:rPr>
        <w:t>of</w:t>
      </w:r>
      <w:r>
        <w:rPr>
          <w:spacing w:val="-10"/>
          <w:vertAlign w:val="baseline"/>
        </w:rPr>
        <w:t> </w:t>
      </w:r>
      <w:r>
        <w:rPr>
          <w:vertAlign w:val="baseline"/>
        </w:rPr>
        <w:t>the</w:t>
      </w:r>
      <w:r>
        <w:rPr>
          <w:spacing w:val="-9"/>
          <w:vertAlign w:val="baseline"/>
        </w:rPr>
        <w:t> </w:t>
      </w:r>
      <w:r>
        <w:rPr>
          <w:vertAlign w:val="baseline"/>
        </w:rPr>
        <w:t>EU</w:t>
      </w:r>
      <w:r>
        <w:rPr>
          <w:spacing w:val="-9"/>
          <w:vertAlign w:val="baseline"/>
        </w:rPr>
        <w:t> </w:t>
      </w:r>
      <w:r>
        <w:rPr>
          <w:vertAlign w:val="baseline"/>
        </w:rPr>
        <w:t>Pay</w:t>
      </w:r>
      <w:r>
        <w:rPr>
          <w:spacing w:val="-9"/>
          <w:vertAlign w:val="baseline"/>
        </w:rPr>
        <w:t> </w:t>
      </w:r>
      <w:r>
        <w:rPr>
          <w:vertAlign w:val="baseline"/>
        </w:rPr>
        <w:t>Transparency</w:t>
      </w:r>
      <w:r>
        <w:rPr>
          <w:spacing w:val="-9"/>
          <w:vertAlign w:val="baseline"/>
        </w:rPr>
        <w:t> </w:t>
      </w:r>
      <w:r>
        <w:rPr>
          <w:vertAlign w:val="baseline"/>
        </w:rPr>
        <w:t>Directive amend and/or replace provisions in the EU Gender Equality (Employment) Directive. This includes changes to substantive rights and procedural rights and rights relating to access to remedies, in this area.</w:t>
      </w:r>
      <w:r>
        <w:rPr>
          <w:vertAlign w:val="superscript"/>
        </w:rPr>
        <w:t>612</w:t>
      </w:r>
    </w:p>
    <w:p>
      <w:pPr>
        <w:pStyle w:val="ListParagraph"/>
        <w:numPr>
          <w:ilvl w:val="1"/>
          <w:numId w:val="7"/>
        </w:numPr>
        <w:tabs>
          <w:tab w:pos="1853" w:val="left" w:leader="none"/>
        </w:tabs>
        <w:spacing w:line="225" w:lineRule="auto" w:before="313" w:after="0"/>
        <w:ind w:left="1853" w:right="1237" w:hanging="720"/>
        <w:jc w:val="left"/>
        <w:rPr>
          <w:sz w:val="28"/>
        </w:rPr>
      </w:pPr>
      <w:r>
        <w:rPr>
          <w:sz w:val="28"/>
        </w:rPr>
        <w:t>In considering whether the specific provisions of the EU Pay Transparency amend or replace the EU Gender Equality (Employment) Directive, the Commissions</w:t>
      </w:r>
      <w:r>
        <w:rPr>
          <w:spacing w:val="-1"/>
          <w:sz w:val="28"/>
        </w:rPr>
        <w:t> </w:t>
      </w:r>
      <w:r>
        <w:rPr>
          <w:sz w:val="28"/>
        </w:rPr>
        <w:t>considered</w:t>
      </w:r>
      <w:r>
        <w:rPr>
          <w:spacing w:val="-1"/>
          <w:sz w:val="28"/>
        </w:rPr>
        <w:t> </w:t>
      </w:r>
      <w:r>
        <w:rPr>
          <w:sz w:val="28"/>
        </w:rPr>
        <w:t>the legal</w:t>
      </w:r>
      <w:r>
        <w:rPr>
          <w:spacing w:val="-1"/>
          <w:sz w:val="28"/>
        </w:rPr>
        <w:t> </w:t>
      </w:r>
      <w:r>
        <w:rPr>
          <w:sz w:val="28"/>
        </w:rPr>
        <w:t>basis</w:t>
      </w:r>
      <w:r>
        <w:rPr>
          <w:spacing w:val="-1"/>
          <w:sz w:val="28"/>
        </w:rPr>
        <w:t> </w:t>
      </w:r>
      <w:r>
        <w:rPr>
          <w:sz w:val="28"/>
        </w:rPr>
        <w:t>for this</w:t>
      </w:r>
      <w:r>
        <w:rPr>
          <w:spacing w:val="-1"/>
          <w:sz w:val="28"/>
        </w:rPr>
        <w:t> </w:t>
      </w:r>
      <w:r>
        <w:rPr>
          <w:sz w:val="28"/>
        </w:rPr>
        <w:t>new measure; the purpose of the new measure; the degree of overlap on the substance of the rights and safeguards</w:t>
      </w:r>
      <w:r>
        <w:rPr>
          <w:spacing w:val="-7"/>
          <w:sz w:val="28"/>
        </w:rPr>
        <w:t> </w:t>
      </w:r>
      <w:r>
        <w:rPr>
          <w:sz w:val="28"/>
        </w:rPr>
        <w:t>between</w:t>
      </w:r>
      <w:r>
        <w:rPr>
          <w:spacing w:val="-7"/>
          <w:sz w:val="28"/>
        </w:rPr>
        <w:t> </w:t>
      </w:r>
      <w:r>
        <w:rPr>
          <w:sz w:val="28"/>
        </w:rPr>
        <w:t>the</w:t>
      </w:r>
      <w:r>
        <w:rPr>
          <w:spacing w:val="-6"/>
          <w:sz w:val="28"/>
        </w:rPr>
        <w:t> </w:t>
      </w:r>
      <w:r>
        <w:rPr>
          <w:sz w:val="28"/>
        </w:rPr>
        <w:t>new</w:t>
      </w:r>
      <w:r>
        <w:rPr>
          <w:spacing w:val="-6"/>
          <w:sz w:val="28"/>
        </w:rPr>
        <w:t> </w:t>
      </w:r>
      <w:r>
        <w:rPr>
          <w:sz w:val="28"/>
        </w:rPr>
        <w:t>measure</w:t>
      </w:r>
      <w:r>
        <w:rPr>
          <w:spacing w:val="-6"/>
          <w:sz w:val="28"/>
        </w:rPr>
        <w:t> </w:t>
      </w:r>
      <w:r>
        <w:rPr>
          <w:sz w:val="28"/>
        </w:rPr>
        <w:t>and</w:t>
      </w:r>
      <w:r>
        <w:rPr>
          <w:spacing w:val="-7"/>
          <w:sz w:val="28"/>
        </w:rPr>
        <w:t> </w:t>
      </w:r>
      <w:r>
        <w:rPr>
          <w:sz w:val="28"/>
        </w:rPr>
        <w:t>the</w:t>
      </w:r>
      <w:r>
        <w:rPr>
          <w:spacing w:val="-6"/>
          <w:sz w:val="28"/>
        </w:rPr>
        <w:t> </w:t>
      </w:r>
      <w:r>
        <w:rPr>
          <w:sz w:val="28"/>
        </w:rPr>
        <w:t>Annex</w:t>
      </w:r>
      <w:r>
        <w:rPr>
          <w:spacing w:val="-7"/>
          <w:sz w:val="28"/>
        </w:rPr>
        <w:t> </w:t>
      </w:r>
      <w:r>
        <w:rPr>
          <w:sz w:val="28"/>
        </w:rPr>
        <w:t>1</w:t>
      </w:r>
      <w:r>
        <w:rPr>
          <w:spacing w:val="-6"/>
          <w:sz w:val="28"/>
        </w:rPr>
        <w:t> </w:t>
      </w:r>
      <w:r>
        <w:rPr>
          <w:sz w:val="28"/>
        </w:rPr>
        <w:t>equality</w:t>
      </w:r>
      <w:r>
        <w:rPr>
          <w:spacing w:val="-6"/>
          <w:sz w:val="28"/>
        </w:rPr>
        <w:t> </w:t>
      </w:r>
      <w:r>
        <w:rPr>
          <w:sz w:val="28"/>
        </w:rPr>
        <w:t>directive,</w:t>
      </w:r>
      <w:r>
        <w:rPr>
          <w:spacing w:val="-6"/>
          <w:sz w:val="28"/>
        </w:rPr>
        <w:t> </w:t>
      </w:r>
      <w:r>
        <w:rPr>
          <w:sz w:val="28"/>
        </w:rPr>
        <w:t>any relevant CJEU case law; and the extent to which the new measure facilitates the implementation and/or enforcement of the Annex 1 equality directive.</w:t>
      </w:r>
      <w:r>
        <w:rPr>
          <w:sz w:val="28"/>
          <w:vertAlign w:val="superscript"/>
        </w:rPr>
        <w:t>613</w:t>
      </w:r>
    </w:p>
    <w:p>
      <w:pPr>
        <w:pStyle w:val="ListParagraph"/>
        <w:numPr>
          <w:ilvl w:val="1"/>
          <w:numId w:val="7"/>
        </w:numPr>
        <w:tabs>
          <w:tab w:pos="1853" w:val="left" w:leader="none"/>
        </w:tabs>
        <w:spacing w:line="225" w:lineRule="auto" w:before="311" w:after="0"/>
        <w:ind w:left="1853" w:right="1645" w:hanging="720"/>
        <w:jc w:val="left"/>
        <w:rPr>
          <w:sz w:val="28"/>
        </w:rPr>
      </w:pPr>
      <w:r>
        <w:rPr>
          <w:sz w:val="28"/>
        </w:rPr>
        <w:t>Implementing</w:t>
      </w:r>
      <w:r>
        <w:rPr>
          <w:spacing w:val="-1"/>
          <w:sz w:val="28"/>
        </w:rPr>
        <w:t> </w:t>
      </w:r>
      <w:r>
        <w:rPr>
          <w:sz w:val="28"/>
        </w:rPr>
        <w:t>this</w:t>
      </w:r>
      <w:r>
        <w:rPr>
          <w:spacing w:val="-2"/>
          <w:sz w:val="28"/>
        </w:rPr>
        <w:t> </w:t>
      </w:r>
      <w:r>
        <w:rPr>
          <w:sz w:val="28"/>
        </w:rPr>
        <w:t>Directive</w:t>
      </w:r>
      <w:r>
        <w:rPr>
          <w:spacing w:val="-1"/>
          <w:sz w:val="28"/>
        </w:rPr>
        <w:t> </w:t>
      </w:r>
      <w:r>
        <w:rPr>
          <w:sz w:val="28"/>
        </w:rPr>
        <w:t>in</w:t>
      </w:r>
      <w:r>
        <w:rPr>
          <w:spacing w:val="-2"/>
          <w:sz w:val="28"/>
        </w:rPr>
        <w:t> </w:t>
      </w:r>
      <w:r>
        <w:rPr>
          <w:sz w:val="28"/>
        </w:rPr>
        <w:t>NI</w:t>
      </w:r>
      <w:r>
        <w:rPr>
          <w:spacing w:val="-1"/>
          <w:sz w:val="28"/>
        </w:rPr>
        <w:t> </w:t>
      </w:r>
      <w:r>
        <w:rPr>
          <w:sz w:val="28"/>
        </w:rPr>
        <w:t>law</w:t>
      </w:r>
      <w:r>
        <w:rPr>
          <w:spacing w:val="-1"/>
          <w:sz w:val="28"/>
        </w:rPr>
        <w:t> </w:t>
      </w:r>
      <w:r>
        <w:rPr>
          <w:sz w:val="28"/>
        </w:rPr>
        <w:t>would</w:t>
      </w:r>
      <w:r>
        <w:rPr>
          <w:spacing w:val="-2"/>
          <w:sz w:val="28"/>
        </w:rPr>
        <w:t> </w:t>
      </w:r>
      <w:r>
        <w:rPr>
          <w:sz w:val="28"/>
        </w:rPr>
        <w:t>lead</w:t>
      </w:r>
      <w:r>
        <w:rPr>
          <w:spacing w:val="-2"/>
          <w:sz w:val="28"/>
        </w:rPr>
        <w:t> </w:t>
      </w:r>
      <w:r>
        <w:rPr>
          <w:sz w:val="28"/>
        </w:rPr>
        <w:t>to</w:t>
      </w:r>
      <w:r>
        <w:rPr>
          <w:spacing w:val="-2"/>
          <w:sz w:val="28"/>
        </w:rPr>
        <w:t> </w:t>
      </w:r>
      <w:r>
        <w:rPr>
          <w:sz w:val="28"/>
        </w:rPr>
        <w:t>greater</w:t>
      </w:r>
      <w:r>
        <w:rPr>
          <w:spacing w:val="-1"/>
          <w:sz w:val="28"/>
        </w:rPr>
        <w:t> </w:t>
      </w:r>
      <w:r>
        <w:rPr>
          <w:sz w:val="28"/>
        </w:rPr>
        <w:t>accountability and transparency by certain employers on gender pay gaps within their organisations.</w:t>
      </w:r>
      <w:r>
        <w:rPr>
          <w:spacing w:val="40"/>
          <w:sz w:val="28"/>
        </w:rPr>
        <w:t> </w:t>
      </w:r>
      <w:r>
        <w:rPr>
          <w:sz w:val="28"/>
        </w:rPr>
        <w:t>For</w:t>
      </w:r>
      <w:r>
        <w:rPr>
          <w:spacing w:val="-9"/>
          <w:sz w:val="28"/>
        </w:rPr>
        <w:t> </w:t>
      </w:r>
      <w:r>
        <w:rPr>
          <w:sz w:val="28"/>
        </w:rPr>
        <w:t>example,</w:t>
      </w:r>
      <w:r>
        <w:rPr>
          <w:spacing w:val="-9"/>
          <w:sz w:val="28"/>
        </w:rPr>
        <w:t> </w:t>
      </w:r>
      <w:r>
        <w:rPr>
          <w:sz w:val="28"/>
        </w:rPr>
        <w:t>the</w:t>
      </w:r>
      <w:r>
        <w:rPr>
          <w:spacing w:val="-9"/>
          <w:sz w:val="28"/>
        </w:rPr>
        <w:t> </w:t>
      </w:r>
      <w:r>
        <w:rPr>
          <w:sz w:val="28"/>
        </w:rPr>
        <w:t>EU</w:t>
      </w:r>
      <w:r>
        <w:rPr>
          <w:spacing w:val="-9"/>
          <w:sz w:val="28"/>
        </w:rPr>
        <w:t> </w:t>
      </w:r>
      <w:r>
        <w:rPr>
          <w:sz w:val="28"/>
        </w:rPr>
        <w:t>Pay</w:t>
      </w:r>
      <w:r>
        <w:rPr>
          <w:spacing w:val="-9"/>
          <w:sz w:val="28"/>
        </w:rPr>
        <w:t> </w:t>
      </w:r>
      <w:r>
        <w:rPr>
          <w:sz w:val="28"/>
        </w:rPr>
        <w:t>Transparency</w:t>
      </w:r>
      <w:r>
        <w:rPr>
          <w:spacing w:val="-9"/>
          <w:sz w:val="28"/>
        </w:rPr>
        <w:t> </w:t>
      </w:r>
      <w:r>
        <w:rPr>
          <w:sz w:val="28"/>
        </w:rPr>
        <w:t>Directive</w:t>
      </w:r>
      <w:r>
        <w:rPr>
          <w:spacing w:val="-9"/>
          <w:sz w:val="28"/>
        </w:rPr>
        <w:t> </w:t>
      </w:r>
      <w:r>
        <w:rPr>
          <w:sz w:val="28"/>
        </w:rPr>
        <w:t>introduces new obligations on certain employers in terms of pay reporting and joint pay</w:t>
      </w:r>
      <w:r>
        <w:rPr>
          <w:spacing w:val="-5"/>
          <w:sz w:val="28"/>
        </w:rPr>
        <w:t> </w:t>
      </w:r>
      <w:r>
        <w:rPr>
          <w:sz w:val="28"/>
        </w:rPr>
        <w:t>assessments</w:t>
      </w:r>
      <w:r>
        <w:rPr>
          <w:spacing w:val="-6"/>
          <w:sz w:val="28"/>
        </w:rPr>
        <w:t> </w:t>
      </w:r>
      <w:r>
        <w:rPr>
          <w:sz w:val="28"/>
        </w:rPr>
        <w:t>linked</w:t>
      </w:r>
      <w:r>
        <w:rPr>
          <w:spacing w:val="-6"/>
          <w:sz w:val="28"/>
        </w:rPr>
        <w:t> </w:t>
      </w:r>
      <w:r>
        <w:rPr>
          <w:sz w:val="28"/>
        </w:rPr>
        <w:t>to</w:t>
      </w:r>
      <w:r>
        <w:rPr>
          <w:spacing w:val="-6"/>
          <w:sz w:val="28"/>
        </w:rPr>
        <w:t> </w:t>
      </w:r>
      <w:r>
        <w:rPr>
          <w:sz w:val="28"/>
        </w:rPr>
        <w:t>ensuring</w:t>
      </w:r>
      <w:r>
        <w:rPr>
          <w:spacing w:val="-5"/>
          <w:sz w:val="28"/>
        </w:rPr>
        <w:t> </w:t>
      </w:r>
      <w:r>
        <w:rPr>
          <w:sz w:val="28"/>
        </w:rPr>
        <w:t>compliance</w:t>
      </w:r>
      <w:r>
        <w:rPr>
          <w:spacing w:val="-5"/>
          <w:sz w:val="28"/>
        </w:rPr>
        <w:t> </w:t>
      </w:r>
      <w:r>
        <w:rPr>
          <w:sz w:val="28"/>
        </w:rPr>
        <w:t>with</w:t>
      </w:r>
      <w:r>
        <w:rPr>
          <w:spacing w:val="-6"/>
          <w:sz w:val="28"/>
        </w:rPr>
        <w:t> </w:t>
      </w:r>
      <w:r>
        <w:rPr>
          <w:sz w:val="28"/>
        </w:rPr>
        <w:t>the</w:t>
      </w:r>
      <w:r>
        <w:rPr>
          <w:spacing w:val="-5"/>
          <w:sz w:val="28"/>
        </w:rPr>
        <w:t> </w:t>
      </w:r>
      <w:r>
        <w:rPr>
          <w:sz w:val="28"/>
        </w:rPr>
        <w:t>principle</w:t>
      </w:r>
      <w:r>
        <w:rPr>
          <w:spacing w:val="-5"/>
          <w:sz w:val="28"/>
        </w:rPr>
        <w:t> </w:t>
      </w:r>
      <w:r>
        <w:rPr>
          <w:sz w:val="28"/>
        </w:rPr>
        <w:t>of</w:t>
      </w:r>
      <w:r>
        <w:rPr>
          <w:spacing w:val="-6"/>
          <w:sz w:val="28"/>
        </w:rPr>
        <w:t> </w:t>
      </w:r>
      <w:r>
        <w:rPr>
          <w:sz w:val="28"/>
        </w:rPr>
        <w:t>equal</w:t>
      </w:r>
    </w:p>
    <w:p>
      <w:pPr>
        <w:pStyle w:val="BodyText"/>
        <w:spacing w:line="225" w:lineRule="auto"/>
        <w:ind w:left="1853" w:right="1258"/>
      </w:pPr>
      <w:r>
        <w:rPr/>
        <w:t>pay.</w:t>
      </w:r>
      <w:r>
        <w:rPr>
          <w:vertAlign w:val="superscript"/>
        </w:rPr>
        <w:t>614</w:t>
      </w:r>
      <w:r>
        <w:rPr>
          <w:spacing w:val="-3"/>
          <w:vertAlign w:val="baseline"/>
        </w:rPr>
        <w:t> </w:t>
      </w:r>
      <w:r>
        <w:rPr>
          <w:vertAlign w:val="baseline"/>
        </w:rPr>
        <w:t>It</w:t>
      </w:r>
      <w:r>
        <w:rPr>
          <w:spacing w:val="-2"/>
          <w:vertAlign w:val="baseline"/>
        </w:rPr>
        <w:t> </w:t>
      </w:r>
      <w:r>
        <w:rPr>
          <w:vertAlign w:val="baseline"/>
        </w:rPr>
        <w:t>also</w:t>
      </w:r>
      <w:r>
        <w:rPr>
          <w:spacing w:val="-3"/>
          <w:vertAlign w:val="baseline"/>
        </w:rPr>
        <w:t> </w:t>
      </w:r>
      <w:r>
        <w:rPr>
          <w:vertAlign w:val="baseline"/>
        </w:rPr>
        <w:t>introduces</w:t>
      </w:r>
      <w:r>
        <w:rPr>
          <w:spacing w:val="-3"/>
          <w:vertAlign w:val="baseline"/>
        </w:rPr>
        <w:t> </w:t>
      </w:r>
      <w:r>
        <w:rPr>
          <w:vertAlign w:val="baseline"/>
        </w:rPr>
        <w:t>enhanced</w:t>
      </w:r>
      <w:r>
        <w:rPr>
          <w:spacing w:val="-3"/>
          <w:vertAlign w:val="baseline"/>
        </w:rPr>
        <w:t> </w:t>
      </w:r>
      <w:r>
        <w:rPr>
          <w:vertAlign w:val="baseline"/>
        </w:rPr>
        <w:t>enforcement</w:t>
      </w:r>
      <w:r>
        <w:rPr>
          <w:spacing w:val="-2"/>
          <w:vertAlign w:val="baseline"/>
        </w:rPr>
        <w:t> </w:t>
      </w:r>
      <w:r>
        <w:rPr>
          <w:vertAlign w:val="baseline"/>
        </w:rPr>
        <w:t>measures</w:t>
      </w:r>
      <w:r>
        <w:rPr>
          <w:spacing w:val="-3"/>
          <w:vertAlign w:val="baseline"/>
        </w:rPr>
        <w:t> </w:t>
      </w:r>
      <w:r>
        <w:rPr>
          <w:vertAlign w:val="baseline"/>
        </w:rPr>
        <w:t>to</w:t>
      </w:r>
      <w:r>
        <w:rPr>
          <w:spacing w:val="-3"/>
          <w:vertAlign w:val="baseline"/>
        </w:rPr>
        <w:t> </w:t>
      </w:r>
      <w:r>
        <w:rPr>
          <w:vertAlign w:val="baseline"/>
        </w:rPr>
        <w:t>improve</w:t>
      </w:r>
      <w:r>
        <w:rPr>
          <w:spacing w:val="-2"/>
          <w:vertAlign w:val="baseline"/>
        </w:rPr>
        <w:t> </w:t>
      </w:r>
      <w:r>
        <w:rPr>
          <w:vertAlign w:val="baseline"/>
        </w:rPr>
        <w:t>access to justice and enforcement of rights, for example, the right of ‘equality bodies’</w:t>
      </w:r>
      <w:r>
        <w:rPr>
          <w:spacing w:val="-8"/>
          <w:vertAlign w:val="baseline"/>
        </w:rPr>
        <w:t> </w:t>
      </w:r>
      <w:r>
        <w:rPr>
          <w:vertAlign w:val="baseline"/>
        </w:rPr>
        <w:t>to</w:t>
      </w:r>
      <w:r>
        <w:rPr>
          <w:spacing w:val="-8"/>
          <w:vertAlign w:val="baseline"/>
        </w:rPr>
        <w:t> </w:t>
      </w:r>
      <w:r>
        <w:rPr>
          <w:vertAlign w:val="baseline"/>
        </w:rPr>
        <w:t>engage</w:t>
      </w:r>
      <w:r>
        <w:rPr>
          <w:spacing w:val="-8"/>
          <w:vertAlign w:val="baseline"/>
        </w:rPr>
        <w:t> </w:t>
      </w:r>
      <w:r>
        <w:rPr>
          <w:vertAlign w:val="baseline"/>
        </w:rPr>
        <w:t>in</w:t>
      </w:r>
      <w:r>
        <w:rPr>
          <w:spacing w:val="-8"/>
          <w:vertAlign w:val="baseline"/>
        </w:rPr>
        <w:t> </w:t>
      </w:r>
      <w:r>
        <w:rPr>
          <w:vertAlign w:val="baseline"/>
        </w:rPr>
        <w:t>court</w:t>
      </w:r>
      <w:r>
        <w:rPr>
          <w:spacing w:val="-8"/>
          <w:vertAlign w:val="baseline"/>
        </w:rPr>
        <w:t> </w:t>
      </w:r>
      <w:r>
        <w:rPr>
          <w:vertAlign w:val="baseline"/>
        </w:rPr>
        <w:t>or</w:t>
      </w:r>
      <w:r>
        <w:rPr>
          <w:spacing w:val="-8"/>
          <w:vertAlign w:val="baseline"/>
        </w:rPr>
        <w:t> </w:t>
      </w:r>
      <w:r>
        <w:rPr>
          <w:vertAlign w:val="baseline"/>
        </w:rPr>
        <w:t>administrative</w:t>
      </w:r>
      <w:r>
        <w:rPr>
          <w:spacing w:val="-8"/>
          <w:vertAlign w:val="baseline"/>
        </w:rPr>
        <w:t> </w:t>
      </w:r>
      <w:r>
        <w:rPr>
          <w:vertAlign w:val="baseline"/>
        </w:rPr>
        <w:t>procedures</w:t>
      </w:r>
      <w:r>
        <w:rPr>
          <w:spacing w:val="-8"/>
          <w:vertAlign w:val="baseline"/>
        </w:rPr>
        <w:t> </w:t>
      </w:r>
      <w:r>
        <w:rPr>
          <w:vertAlign w:val="baseline"/>
        </w:rPr>
        <w:t>in</w:t>
      </w:r>
      <w:r>
        <w:rPr>
          <w:spacing w:val="-8"/>
          <w:vertAlign w:val="baseline"/>
        </w:rPr>
        <w:t> </w:t>
      </w:r>
      <w:r>
        <w:rPr>
          <w:vertAlign w:val="baseline"/>
        </w:rPr>
        <w:t>support</w:t>
      </w:r>
      <w:r>
        <w:rPr>
          <w:spacing w:val="-8"/>
          <w:vertAlign w:val="baseline"/>
        </w:rPr>
        <w:t> </w:t>
      </w:r>
      <w:r>
        <w:rPr>
          <w:vertAlign w:val="baseline"/>
        </w:rPr>
        <w:t>of</w:t>
      </w:r>
      <w:r>
        <w:rPr>
          <w:spacing w:val="-8"/>
          <w:vertAlign w:val="baseline"/>
        </w:rPr>
        <w:t> </w:t>
      </w:r>
      <w:r>
        <w:rPr>
          <w:vertAlign w:val="baseline"/>
        </w:rPr>
        <w:t>workers regarding equal pay discrimination,</w:t>
      </w:r>
      <w:r>
        <w:rPr>
          <w:vertAlign w:val="superscript"/>
        </w:rPr>
        <w:t>615</w:t>
      </w:r>
      <w:r>
        <w:rPr>
          <w:vertAlign w:val="baseline"/>
        </w:rPr>
        <w:t> and strengthened rights relating to </w:t>
      </w:r>
      <w:r>
        <w:rPr>
          <w:spacing w:val="-2"/>
          <w:vertAlign w:val="baseline"/>
        </w:rPr>
        <w:t>compensation.</w:t>
      </w:r>
      <w:r>
        <w:rPr>
          <w:spacing w:val="-2"/>
          <w:vertAlign w:val="superscript"/>
        </w:rPr>
        <w:t>616</w:t>
      </w:r>
    </w:p>
    <w:p>
      <w:pPr>
        <w:pStyle w:val="ListParagraph"/>
        <w:numPr>
          <w:ilvl w:val="1"/>
          <w:numId w:val="7"/>
        </w:numPr>
        <w:tabs>
          <w:tab w:pos="1853" w:val="left" w:leader="none"/>
        </w:tabs>
        <w:spacing w:line="225" w:lineRule="auto" w:before="307" w:after="0"/>
        <w:ind w:left="1853" w:right="1280" w:hanging="720"/>
        <w:jc w:val="left"/>
        <w:rPr>
          <w:sz w:val="28"/>
        </w:rPr>
      </w:pPr>
      <w:r>
        <w:rPr>
          <w:sz w:val="28"/>
        </w:rPr>
        <w:t>The</w:t>
      </w:r>
      <w:r>
        <w:rPr>
          <w:spacing w:val="-6"/>
          <w:sz w:val="28"/>
        </w:rPr>
        <w:t> </w:t>
      </w:r>
      <w:r>
        <w:rPr>
          <w:sz w:val="28"/>
        </w:rPr>
        <w:t>Commissions</w:t>
      </w:r>
      <w:r>
        <w:rPr>
          <w:spacing w:val="-7"/>
          <w:sz w:val="28"/>
        </w:rPr>
        <w:t> </w:t>
      </w:r>
      <w:r>
        <w:rPr>
          <w:sz w:val="28"/>
        </w:rPr>
        <w:t>consider</w:t>
      </w:r>
      <w:r>
        <w:rPr>
          <w:spacing w:val="-6"/>
          <w:sz w:val="28"/>
        </w:rPr>
        <w:t> </w:t>
      </w:r>
      <w:r>
        <w:rPr>
          <w:sz w:val="28"/>
        </w:rPr>
        <w:t>that,</w:t>
      </w:r>
      <w:r>
        <w:rPr>
          <w:spacing w:val="-6"/>
          <w:sz w:val="28"/>
        </w:rPr>
        <w:t> </w:t>
      </w:r>
      <w:r>
        <w:rPr>
          <w:sz w:val="28"/>
        </w:rPr>
        <w:t>further</w:t>
      </w:r>
      <w:r>
        <w:rPr>
          <w:spacing w:val="-6"/>
          <w:sz w:val="28"/>
        </w:rPr>
        <w:t> </w:t>
      </w:r>
      <w:r>
        <w:rPr>
          <w:sz w:val="28"/>
        </w:rPr>
        <w:t>to</w:t>
      </w:r>
      <w:r>
        <w:rPr>
          <w:spacing w:val="-7"/>
          <w:sz w:val="28"/>
        </w:rPr>
        <w:t> </w:t>
      </w:r>
      <w:r>
        <w:rPr>
          <w:sz w:val="28"/>
        </w:rPr>
        <w:t>the</w:t>
      </w:r>
      <w:r>
        <w:rPr>
          <w:spacing w:val="-6"/>
          <w:sz w:val="28"/>
        </w:rPr>
        <w:t> </w:t>
      </w:r>
      <w:r>
        <w:rPr>
          <w:sz w:val="28"/>
        </w:rPr>
        <w:t>dynamic</w:t>
      </w:r>
      <w:r>
        <w:rPr>
          <w:spacing w:val="-6"/>
          <w:sz w:val="28"/>
        </w:rPr>
        <w:t> </w:t>
      </w:r>
      <w:r>
        <w:rPr>
          <w:sz w:val="28"/>
        </w:rPr>
        <w:t>alignment</w:t>
      </w:r>
      <w:r>
        <w:rPr>
          <w:spacing w:val="-6"/>
          <w:sz w:val="28"/>
        </w:rPr>
        <w:t> </w:t>
      </w:r>
      <w:r>
        <w:rPr>
          <w:sz w:val="28"/>
        </w:rPr>
        <w:t>obligations arising under Windsor Framework Article 13(3), the UK Government and</w:t>
      </w:r>
    </w:p>
    <w:p>
      <w:pPr>
        <w:pStyle w:val="BodyText"/>
        <w:spacing w:line="225" w:lineRule="auto"/>
        <w:ind w:left="1853" w:right="1171"/>
      </w:pPr>
      <w:r>
        <w:rPr/>
        <w:t>NI Executive must transpose these provisions of the EU Pay Transparency Directive</w:t>
      </w:r>
      <w:r>
        <w:rPr>
          <w:spacing w:val="-5"/>
        </w:rPr>
        <w:t> </w:t>
      </w:r>
      <w:r>
        <w:rPr/>
        <w:t>into</w:t>
      </w:r>
      <w:r>
        <w:rPr>
          <w:spacing w:val="-6"/>
        </w:rPr>
        <w:t> </w:t>
      </w:r>
      <w:r>
        <w:rPr/>
        <w:t>NI</w:t>
      </w:r>
      <w:r>
        <w:rPr>
          <w:spacing w:val="-5"/>
        </w:rPr>
        <w:t> </w:t>
      </w:r>
      <w:r>
        <w:rPr/>
        <w:t>law</w:t>
      </w:r>
      <w:r>
        <w:rPr>
          <w:spacing w:val="-5"/>
        </w:rPr>
        <w:t> </w:t>
      </w:r>
      <w:r>
        <w:rPr/>
        <w:t>by</w:t>
      </w:r>
      <w:r>
        <w:rPr>
          <w:spacing w:val="-5"/>
        </w:rPr>
        <w:t> </w:t>
      </w:r>
      <w:r>
        <w:rPr/>
        <w:t>7</w:t>
      </w:r>
      <w:r>
        <w:rPr>
          <w:spacing w:val="-5"/>
        </w:rPr>
        <w:t> </w:t>
      </w:r>
      <w:r>
        <w:rPr/>
        <w:t>June</w:t>
      </w:r>
      <w:r>
        <w:rPr>
          <w:spacing w:val="-5"/>
        </w:rPr>
        <w:t> </w:t>
      </w:r>
      <w:r>
        <w:rPr/>
        <w:t>2026,</w:t>
      </w:r>
      <w:r>
        <w:rPr>
          <w:spacing w:val="-5"/>
        </w:rPr>
        <w:t> </w:t>
      </w:r>
      <w:r>
        <w:rPr/>
        <w:t>aligned</w:t>
      </w:r>
      <w:r>
        <w:rPr>
          <w:spacing w:val="-6"/>
        </w:rPr>
        <w:t> </w:t>
      </w:r>
      <w:r>
        <w:rPr/>
        <w:t>to</w:t>
      </w:r>
      <w:r>
        <w:rPr>
          <w:spacing w:val="-6"/>
        </w:rPr>
        <w:t> </w:t>
      </w:r>
      <w:r>
        <w:rPr/>
        <w:t>the</w:t>
      </w:r>
      <w:r>
        <w:rPr>
          <w:spacing w:val="-5"/>
        </w:rPr>
        <w:t> </w:t>
      </w:r>
      <w:r>
        <w:rPr/>
        <w:t>transposition</w:t>
      </w:r>
      <w:r>
        <w:rPr>
          <w:spacing w:val="-6"/>
        </w:rPr>
        <w:t> </w:t>
      </w:r>
      <w:r>
        <w:rPr/>
        <w:t>deadline</w:t>
      </w:r>
      <w:r>
        <w:rPr>
          <w:spacing w:val="-5"/>
        </w:rPr>
        <w:t> </w:t>
      </w:r>
      <w:r>
        <w:rPr/>
        <w:t>of the Directive by Member States.</w:t>
      </w:r>
      <w:r>
        <w:rPr>
          <w:vertAlign w:val="superscript"/>
        </w:rPr>
        <w:t>617</w:t>
      </w:r>
    </w:p>
    <w:p>
      <w:pPr>
        <w:pStyle w:val="BodyText"/>
        <w:spacing w:before="6"/>
        <w:rPr>
          <w:sz w:val="17"/>
        </w:rPr>
      </w:pPr>
      <w:r>
        <w:rPr/>
        <mc:AlternateContent>
          <mc:Choice Requires="wps">
            <w:drawing>
              <wp:anchor distT="0" distB="0" distL="0" distR="0" allowOverlap="1" layoutInCell="1" locked="0" behindDoc="1" simplePos="0" relativeHeight="487691776">
                <wp:simplePos x="0" y="0"/>
                <wp:positionH relativeFrom="page">
                  <wp:posOffset>719996</wp:posOffset>
                </wp:positionH>
                <wp:positionV relativeFrom="paragraph">
                  <wp:posOffset>151171</wp:posOffset>
                </wp:positionV>
                <wp:extent cx="6120130" cy="1270"/>
                <wp:effectExtent l="0" t="0" r="0" b="0"/>
                <wp:wrapTopAndBottom/>
                <wp:docPr id="483" name="Graphic 483"/>
                <wp:cNvGraphicFramePr>
                  <a:graphicFrameLocks/>
                </wp:cNvGraphicFramePr>
                <a:graphic>
                  <a:graphicData uri="http://schemas.microsoft.com/office/word/2010/wordprocessingShape">
                    <wps:wsp>
                      <wps:cNvPr id="483" name="Graphic 483"/>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1.903269pt;width:481.9pt;height:.1pt;mso-position-horizontal-relative:page;mso-position-vertical-relative:paragraph;z-index:-15624704;mso-wrap-distance-left:0;mso-wrap-distance-right:0" id="docshape430" coordorigin="1134,238" coordsize="9638,0" path="m10772,238l1134,238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18" w:lineRule="exact" w:before="128" w:after="0"/>
        <w:ind w:left="1853" w:right="0" w:hanging="720"/>
        <w:jc w:val="left"/>
        <w:rPr>
          <w:sz w:val="18"/>
        </w:rPr>
      </w:pPr>
      <w:r>
        <w:rPr>
          <w:sz w:val="18"/>
        </w:rPr>
        <w:t>For</w:t>
      </w:r>
      <w:r>
        <w:rPr>
          <w:spacing w:val="-5"/>
          <w:sz w:val="18"/>
        </w:rPr>
        <w:t> </w:t>
      </w:r>
      <w:r>
        <w:rPr>
          <w:sz w:val="18"/>
        </w:rPr>
        <w:t>example,</w:t>
      </w:r>
      <w:r>
        <w:rPr>
          <w:spacing w:val="-5"/>
          <w:sz w:val="18"/>
        </w:rPr>
        <w:t> </w:t>
      </w:r>
      <w:r>
        <w:rPr>
          <w:sz w:val="18"/>
        </w:rPr>
        <w:t>reporting</w:t>
      </w:r>
      <w:r>
        <w:rPr>
          <w:spacing w:val="-5"/>
          <w:sz w:val="18"/>
        </w:rPr>
        <w:t> </w:t>
      </w:r>
      <w:r>
        <w:rPr>
          <w:sz w:val="18"/>
        </w:rPr>
        <w:t>requirements</w:t>
      </w:r>
      <w:r>
        <w:rPr>
          <w:spacing w:val="-5"/>
          <w:sz w:val="18"/>
        </w:rPr>
        <w:t> </w:t>
      </w:r>
      <w:r>
        <w:rPr>
          <w:sz w:val="18"/>
        </w:rPr>
        <w:t>to</w:t>
      </w:r>
      <w:r>
        <w:rPr>
          <w:spacing w:val="-6"/>
          <w:sz w:val="18"/>
        </w:rPr>
        <w:t> </w:t>
      </w:r>
      <w:r>
        <w:rPr>
          <w:sz w:val="18"/>
        </w:rPr>
        <w:t>the</w:t>
      </w:r>
      <w:r>
        <w:rPr>
          <w:spacing w:val="-5"/>
          <w:sz w:val="18"/>
        </w:rPr>
        <w:t> </w:t>
      </w:r>
      <w:r>
        <w:rPr>
          <w:sz w:val="18"/>
        </w:rPr>
        <w:t>EU</w:t>
      </w:r>
      <w:r>
        <w:rPr>
          <w:spacing w:val="-5"/>
          <w:sz w:val="18"/>
        </w:rPr>
        <w:t> </w:t>
      </w:r>
      <w:r>
        <w:rPr>
          <w:spacing w:val="-2"/>
          <w:sz w:val="18"/>
        </w:rPr>
        <w:t>Commission.</w:t>
      </w:r>
    </w:p>
    <w:p>
      <w:pPr>
        <w:pStyle w:val="ListParagraph"/>
        <w:numPr>
          <w:ilvl w:val="0"/>
          <w:numId w:val="11"/>
        </w:numPr>
        <w:tabs>
          <w:tab w:pos="1853" w:val="left" w:leader="none"/>
        </w:tabs>
        <w:spacing w:line="235" w:lineRule="auto" w:before="2" w:after="0"/>
        <w:ind w:left="1853" w:right="1293" w:hanging="720"/>
        <w:jc w:val="left"/>
        <w:rPr>
          <w:sz w:val="18"/>
        </w:rPr>
      </w:pP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and</w:t>
      </w:r>
      <w:r>
        <w:rPr>
          <w:spacing w:val="-5"/>
          <w:sz w:val="18"/>
        </w:rPr>
        <w:t> </w:t>
      </w: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‘ECNI</w:t>
      </w:r>
      <w:r>
        <w:rPr>
          <w:spacing w:val="-4"/>
          <w:sz w:val="18"/>
        </w:rPr>
        <w:t> </w:t>
      </w:r>
      <w:r>
        <w:rPr>
          <w:sz w:val="18"/>
        </w:rPr>
        <w:t>and</w:t>
      </w:r>
      <w:r>
        <w:rPr>
          <w:spacing w:val="-5"/>
          <w:sz w:val="18"/>
        </w:rPr>
        <w:t> </w:t>
      </w:r>
      <w:r>
        <w:rPr>
          <w:sz w:val="18"/>
        </w:rPr>
        <w:t>NIHRC</w:t>
      </w:r>
      <w:r>
        <w:rPr>
          <w:spacing w:val="-5"/>
          <w:sz w:val="18"/>
        </w:rPr>
        <w:t> </w:t>
      </w:r>
      <w:r>
        <w:rPr>
          <w:sz w:val="18"/>
        </w:rPr>
        <w:t>Briefing</w:t>
      </w:r>
      <w:r>
        <w:rPr>
          <w:spacing w:val="-4"/>
          <w:sz w:val="18"/>
        </w:rPr>
        <w:t> </w:t>
      </w:r>
      <w:r>
        <w:rPr>
          <w:sz w:val="18"/>
        </w:rPr>
        <w:t>Paper:</w:t>
      </w:r>
      <w:r>
        <w:rPr>
          <w:spacing w:val="-4"/>
          <w:sz w:val="18"/>
        </w:rPr>
        <w:t> </w:t>
      </w:r>
      <w:r>
        <w:rPr>
          <w:sz w:val="18"/>
        </w:rPr>
        <w:t>The</w:t>
      </w:r>
      <w:r>
        <w:rPr>
          <w:spacing w:val="-4"/>
          <w:sz w:val="18"/>
        </w:rPr>
        <w:t> </w:t>
      </w:r>
      <w:r>
        <w:rPr>
          <w:sz w:val="18"/>
        </w:rPr>
        <w:t>EU</w:t>
      </w:r>
      <w:r>
        <w:rPr>
          <w:spacing w:val="-4"/>
          <w:sz w:val="18"/>
        </w:rPr>
        <w:t> </w:t>
      </w:r>
      <w:r>
        <w:rPr>
          <w:sz w:val="18"/>
        </w:rPr>
        <w:t>Pay</w:t>
      </w:r>
      <w:r>
        <w:rPr>
          <w:spacing w:val="-4"/>
          <w:sz w:val="18"/>
        </w:rPr>
        <w:t> </w:t>
      </w:r>
      <w:r>
        <w:rPr>
          <w:sz w:val="18"/>
        </w:rPr>
        <w:t>Transparency Directive: The UK Government’s dynamic alignment obligations relating to Windsor Framework Article 2’ (ECNI and NIHRC, 2024).</w:t>
      </w:r>
    </w:p>
    <w:p>
      <w:pPr>
        <w:pStyle w:val="ListParagraph"/>
        <w:numPr>
          <w:ilvl w:val="0"/>
          <w:numId w:val="11"/>
        </w:numPr>
        <w:tabs>
          <w:tab w:pos="1853" w:val="left" w:leader="none"/>
        </w:tabs>
        <w:spacing w:line="216" w:lineRule="exact" w:before="0" w:after="0"/>
        <w:ind w:left="1853" w:right="0" w:hanging="720"/>
        <w:jc w:val="left"/>
        <w:rPr>
          <w:sz w:val="18"/>
        </w:rPr>
      </w:pPr>
      <w:r>
        <w:rPr>
          <w:spacing w:val="-4"/>
          <w:sz w:val="18"/>
        </w:rPr>
        <w:t>Ibid.</w:t>
      </w:r>
    </w:p>
    <w:p>
      <w:pPr>
        <w:pStyle w:val="ListParagraph"/>
        <w:numPr>
          <w:ilvl w:val="0"/>
          <w:numId w:val="11"/>
        </w:numPr>
        <w:tabs>
          <w:tab w:pos="1853" w:val="left" w:leader="none"/>
        </w:tabs>
        <w:spacing w:line="235" w:lineRule="auto" w:before="1" w:after="0"/>
        <w:ind w:left="1853" w:right="1171" w:hanging="720"/>
        <w:jc w:val="left"/>
        <w:rPr>
          <w:sz w:val="18"/>
        </w:rPr>
      </w:pPr>
      <w:r>
        <w:rPr>
          <w:sz w:val="18"/>
        </w:rPr>
        <w:t>Article 9 and 10, Directive 2023/970/EU, ‘EU Parliament and Council Directive to strengthen the application of the principle of equal pay for equal work or work of equal value between men and women through pay transparency and enforcement</w:t>
      </w:r>
      <w:r>
        <w:rPr>
          <w:spacing w:val="-2"/>
          <w:sz w:val="18"/>
        </w:rPr>
        <w:t> </w:t>
      </w:r>
      <w:r>
        <w:rPr>
          <w:sz w:val="18"/>
        </w:rPr>
        <w:t>mechanisms’</w:t>
      </w:r>
      <w:r>
        <w:rPr>
          <w:spacing w:val="-2"/>
          <w:sz w:val="18"/>
        </w:rPr>
        <w:t> </w:t>
      </w:r>
      <w:r>
        <w:rPr>
          <w:sz w:val="18"/>
        </w:rPr>
        <w:t>10</w:t>
      </w:r>
      <w:r>
        <w:rPr>
          <w:spacing w:val="-2"/>
          <w:sz w:val="18"/>
        </w:rPr>
        <w:t> </w:t>
      </w:r>
      <w:r>
        <w:rPr>
          <w:sz w:val="18"/>
        </w:rPr>
        <w:t>May</w:t>
      </w:r>
      <w:r>
        <w:rPr>
          <w:spacing w:val="-2"/>
          <w:sz w:val="18"/>
        </w:rPr>
        <w:t> </w:t>
      </w:r>
      <w:r>
        <w:rPr>
          <w:sz w:val="18"/>
        </w:rPr>
        <w:t>2023.</w:t>
      </w:r>
      <w:r>
        <w:rPr>
          <w:spacing w:val="-3"/>
          <w:sz w:val="18"/>
        </w:rPr>
        <w:t> </w:t>
      </w:r>
      <w:r>
        <w:rPr>
          <w:sz w:val="18"/>
        </w:rPr>
        <w:t>This</w:t>
      </w:r>
      <w:r>
        <w:rPr>
          <w:spacing w:val="-3"/>
          <w:sz w:val="18"/>
        </w:rPr>
        <w:t> </w:t>
      </w:r>
      <w:r>
        <w:rPr>
          <w:sz w:val="18"/>
        </w:rPr>
        <w:t>includes</w:t>
      </w:r>
      <w:r>
        <w:rPr>
          <w:spacing w:val="-3"/>
          <w:sz w:val="18"/>
        </w:rPr>
        <w:t> </w:t>
      </w:r>
      <w:r>
        <w:rPr>
          <w:sz w:val="18"/>
        </w:rPr>
        <w:t>that,</w:t>
      </w:r>
      <w:r>
        <w:rPr>
          <w:spacing w:val="-2"/>
          <w:sz w:val="18"/>
        </w:rPr>
        <w:t> </w:t>
      </w:r>
      <w:r>
        <w:rPr>
          <w:sz w:val="18"/>
        </w:rPr>
        <w:t>employers</w:t>
      </w:r>
      <w:r>
        <w:rPr>
          <w:spacing w:val="-3"/>
          <w:sz w:val="18"/>
        </w:rPr>
        <w:t> </w:t>
      </w:r>
      <w:r>
        <w:rPr>
          <w:sz w:val="18"/>
        </w:rPr>
        <w:t>with</w:t>
      </w:r>
      <w:r>
        <w:rPr>
          <w:spacing w:val="-3"/>
          <w:sz w:val="18"/>
        </w:rPr>
        <w:t> </w:t>
      </w:r>
      <w:r>
        <w:rPr>
          <w:sz w:val="18"/>
        </w:rPr>
        <w:t>at</w:t>
      </w:r>
      <w:r>
        <w:rPr>
          <w:spacing w:val="-2"/>
          <w:sz w:val="18"/>
        </w:rPr>
        <w:t> </w:t>
      </w:r>
      <w:r>
        <w:rPr>
          <w:sz w:val="18"/>
        </w:rPr>
        <w:t>least</w:t>
      </w:r>
      <w:r>
        <w:rPr>
          <w:spacing w:val="-2"/>
          <w:sz w:val="18"/>
        </w:rPr>
        <w:t> </w:t>
      </w:r>
      <w:r>
        <w:rPr>
          <w:sz w:val="18"/>
        </w:rPr>
        <w:t>100</w:t>
      </w:r>
      <w:r>
        <w:rPr>
          <w:spacing w:val="-2"/>
          <w:sz w:val="18"/>
        </w:rPr>
        <w:t> </w:t>
      </w:r>
      <w:r>
        <w:rPr>
          <w:sz w:val="18"/>
        </w:rPr>
        <w:t>workers</w:t>
      </w:r>
      <w:r>
        <w:rPr>
          <w:spacing w:val="-3"/>
          <w:sz w:val="18"/>
        </w:rPr>
        <w:t> </w:t>
      </w:r>
      <w:r>
        <w:rPr>
          <w:sz w:val="18"/>
        </w:rPr>
        <w:t>must</w:t>
      </w:r>
      <w:r>
        <w:rPr>
          <w:spacing w:val="-2"/>
          <w:sz w:val="18"/>
        </w:rPr>
        <w:t> </w:t>
      </w:r>
      <w:r>
        <w:rPr>
          <w:sz w:val="18"/>
        </w:rPr>
        <w:t>provide</w:t>
      </w:r>
      <w:r>
        <w:rPr>
          <w:spacing w:val="-2"/>
          <w:sz w:val="18"/>
        </w:rPr>
        <w:t> </w:t>
      </w:r>
      <w:r>
        <w:rPr>
          <w:sz w:val="18"/>
        </w:rPr>
        <w:t>and</w:t>
      </w:r>
      <w:r>
        <w:rPr>
          <w:spacing w:val="-3"/>
          <w:sz w:val="18"/>
        </w:rPr>
        <w:t> </w:t>
      </w:r>
      <w:r>
        <w:rPr>
          <w:sz w:val="18"/>
        </w:rPr>
        <w:t>report on</w:t>
      </w:r>
      <w:r>
        <w:rPr>
          <w:spacing w:val="-6"/>
          <w:sz w:val="18"/>
        </w:rPr>
        <w:t> </w:t>
      </w:r>
      <w:r>
        <w:rPr>
          <w:sz w:val="18"/>
        </w:rPr>
        <w:t>the</w:t>
      </w:r>
      <w:r>
        <w:rPr>
          <w:spacing w:val="-5"/>
          <w:sz w:val="18"/>
        </w:rPr>
        <w:t> </w:t>
      </w:r>
      <w:r>
        <w:rPr>
          <w:sz w:val="18"/>
        </w:rPr>
        <w:t>pay</w:t>
      </w:r>
      <w:r>
        <w:rPr>
          <w:spacing w:val="-5"/>
          <w:sz w:val="18"/>
        </w:rPr>
        <w:t> </w:t>
      </w:r>
      <w:r>
        <w:rPr>
          <w:sz w:val="18"/>
        </w:rPr>
        <w:t>gap</w:t>
      </w:r>
      <w:r>
        <w:rPr>
          <w:spacing w:val="-6"/>
          <w:sz w:val="18"/>
        </w:rPr>
        <w:t> </w:t>
      </w:r>
      <w:r>
        <w:rPr>
          <w:sz w:val="18"/>
        </w:rPr>
        <w:t>between</w:t>
      </w:r>
      <w:r>
        <w:rPr>
          <w:spacing w:val="-6"/>
          <w:sz w:val="18"/>
        </w:rPr>
        <w:t> </w:t>
      </w:r>
      <w:r>
        <w:rPr>
          <w:sz w:val="18"/>
        </w:rPr>
        <w:t>female</w:t>
      </w:r>
      <w:r>
        <w:rPr>
          <w:spacing w:val="-5"/>
          <w:sz w:val="18"/>
        </w:rPr>
        <w:t> </w:t>
      </w:r>
      <w:r>
        <w:rPr>
          <w:sz w:val="18"/>
        </w:rPr>
        <w:t>and</w:t>
      </w:r>
      <w:r>
        <w:rPr>
          <w:spacing w:val="-6"/>
          <w:sz w:val="18"/>
        </w:rPr>
        <w:t> </w:t>
      </w:r>
      <w:r>
        <w:rPr>
          <w:sz w:val="18"/>
        </w:rPr>
        <w:t>male</w:t>
      </w:r>
      <w:r>
        <w:rPr>
          <w:spacing w:val="-5"/>
          <w:sz w:val="18"/>
        </w:rPr>
        <w:t> </w:t>
      </w:r>
      <w:r>
        <w:rPr>
          <w:sz w:val="18"/>
        </w:rPr>
        <w:t>workers</w:t>
      </w:r>
      <w:r>
        <w:rPr>
          <w:spacing w:val="-6"/>
          <w:sz w:val="18"/>
        </w:rPr>
        <w:t> </w:t>
      </w:r>
      <w:r>
        <w:rPr>
          <w:sz w:val="18"/>
        </w:rPr>
        <w:t>to</w:t>
      </w:r>
      <w:r>
        <w:rPr>
          <w:spacing w:val="-6"/>
          <w:sz w:val="18"/>
        </w:rPr>
        <w:t> </w:t>
      </w:r>
      <w:r>
        <w:rPr>
          <w:sz w:val="18"/>
        </w:rPr>
        <w:t>a</w:t>
      </w:r>
      <w:r>
        <w:rPr>
          <w:spacing w:val="-6"/>
          <w:sz w:val="18"/>
        </w:rPr>
        <w:t> </w:t>
      </w:r>
      <w:r>
        <w:rPr>
          <w:sz w:val="18"/>
        </w:rPr>
        <w:t>monitoring</w:t>
      </w:r>
      <w:r>
        <w:rPr>
          <w:spacing w:val="-5"/>
          <w:sz w:val="18"/>
        </w:rPr>
        <w:t> </w:t>
      </w:r>
      <w:r>
        <w:rPr>
          <w:sz w:val="18"/>
        </w:rPr>
        <w:t>body,</w:t>
      </w:r>
      <w:r>
        <w:rPr>
          <w:spacing w:val="-5"/>
          <w:sz w:val="18"/>
        </w:rPr>
        <w:t> </w:t>
      </w:r>
      <w:r>
        <w:rPr>
          <w:sz w:val="18"/>
        </w:rPr>
        <w:t>all</w:t>
      </w:r>
      <w:r>
        <w:rPr>
          <w:spacing w:val="-6"/>
          <w:sz w:val="18"/>
        </w:rPr>
        <w:t> </w:t>
      </w:r>
      <w:r>
        <w:rPr>
          <w:sz w:val="18"/>
        </w:rPr>
        <w:t>workers</w:t>
      </w:r>
      <w:r>
        <w:rPr>
          <w:spacing w:val="-6"/>
          <w:sz w:val="18"/>
        </w:rPr>
        <w:t> </w:t>
      </w:r>
      <w:r>
        <w:rPr>
          <w:sz w:val="18"/>
        </w:rPr>
        <w:t>and</w:t>
      </w:r>
      <w:r>
        <w:rPr>
          <w:spacing w:val="-6"/>
          <w:sz w:val="18"/>
        </w:rPr>
        <w:t> </w:t>
      </w:r>
      <w:r>
        <w:rPr>
          <w:sz w:val="18"/>
        </w:rPr>
        <w:t>their</w:t>
      </w:r>
      <w:r>
        <w:rPr>
          <w:spacing w:val="-5"/>
          <w:sz w:val="18"/>
        </w:rPr>
        <w:t> </w:t>
      </w:r>
      <w:r>
        <w:rPr>
          <w:sz w:val="18"/>
        </w:rPr>
        <w:t>representatives</w:t>
      </w:r>
      <w:r>
        <w:rPr>
          <w:spacing w:val="-6"/>
          <w:sz w:val="18"/>
        </w:rPr>
        <w:t> </w:t>
      </w:r>
      <w:r>
        <w:rPr>
          <w:sz w:val="18"/>
        </w:rPr>
        <w:t>and</w:t>
      </w:r>
      <w:r>
        <w:rPr>
          <w:spacing w:val="-6"/>
          <w:sz w:val="18"/>
        </w:rPr>
        <w:t> </w:t>
      </w:r>
      <w:r>
        <w:rPr>
          <w:sz w:val="18"/>
        </w:rPr>
        <w:t>remedy any gender pay differences that are not justified by objective and gender-neutral factors.</w:t>
      </w:r>
    </w:p>
    <w:p>
      <w:pPr>
        <w:pStyle w:val="ListParagraph"/>
        <w:numPr>
          <w:ilvl w:val="0"/>
          <w:numId w:val="11"/>
        </w:numPr>
        <w:tabs>
          <w:tab w:pos="1853" w:val="left" w:leader="none"/>
        </w:tabs>
        <w:spacing w:line="218" w:lineRule="exact" w:before="0" w:after="0"/>
        <w:ind w:left="1853" w:right="0" w:hanging="720"/>
        <w:jc w:val="left"/>
        <w:rPr>
          <w:sz w:val="18"/>
        </w:rPr>
      </w:pPr>
      <w:r>
        <w:rPr>
          <w:sz w:val="18"/>
        </w:rPr>
        <w:t>Article</w:t>
      </w:r>
      <w:r>
        <w:rPr>
          <w:spacing w:val="-5"/>
          <w:sz w:val="18"/>
        </w:rPr>
        <w:t> </w:t>
      </w:r>
      <w:r>
        <w:rPr>
          <w:sz w:val="18"/>
        </w:rPr>
        <w:t>15,</w:t>
      </w:r>
      <w:r>
        <w:rPr>
          <w:spacing w:val="-5"/>
          <w:sz w:val="18"/>
        </w:rPr>
        <w:t> </w:t>
      </w:r>
      <w:r>
        <w:rPr>
          <w:sz w:val="18"/>
        </w:rPr>
        <w:t>Directive</w:t>
      </w:r>
      <w:r>
        <w:rPr>
          <w:spacing w:val="-5"/>
          <w:sz w:val="18"/>
        </w:rPr>
        <w:t> </w:t>
      </w:r>
      <w:r>
        <w:rPr>
          <w:sz w:val="18"/>
        </w:rPr>
        <w:t>2023/970/EU,</w:t>
      </w:r>
      <w:r>
        <w:rPr>
          <w:spacing w:val="-4"/>
          <w:sz w:val="18"/>
        </w:rPr>
        <w:t> </w:t>
      </w:r>
      <w:r>
        <w:rPr>
          <w:sz w:val="18"/>
        </w:rPr>
        <w:t>‘EU</w:t>
      </w:r>
      <w:r>
        <w:rPr>
          <w:spacing w:val="-5"/>
          <w:sz w:val="18"/>
        </w:rPr>
        <w:t> </w:t>
      </w:r>
      <w:r>
        <w:rPr>
          <w:sz w:val="18"/>
        </w:rPr>
        <w:t>Parliament</w:t>
      </w:r>
      <w:r>
        <w:rPr>
          <w:spacing w:val="-5"/>
          <w:sz w:val="18"/>
        </w:rPr>
        <w:t> </w:t>
      </w:r>
      <w:r>
        <w:rPr>
          <w:sz w:val="18"/>
        </w:rPr>
        <w:t>and</w:t>
      </w:r>
      <w:r>
        <w:rPr>
          <w:spacing w:val="-5"/>
          <w:sz w:val="18"/>
        </w:rPr>
        <w:t> </w:t>
      </w:r>
      <w:r>
        <w:rPr>
          <w:sz w:val="18"/>
        </w:rPr>
        <w:t>Council</w:t>
      </w:r>
      <w:r>
        <w:rPr>
          <w:spacing w:val="-6"/>
          <w:sz w:val="18"/>
        </w:rPr>
        <w:t> </w:t>
      </w:r>
      <w:r>
        <w:rPr>
          <w:sz w:val="18"/>
        </w:rPr>
        <w:t>Directive</w:t>
      </w:r>
      <w:r>
        <w:rPr>
          <w:spacing w:val="-4"/>
          <w:sz w:val="18"/>
        </w:rPr>
        <w:t> </w:t>
      </w:r>
      <w:r>
        <w:rPr>
          <w:sz w:val="18"/>
        </w:rPr>
        <w:t>to</w:t>
      </w:r>
      <w:r>
        <w:rPr>
          <w:spacing w:val="-6"/>
          <w:sz w:val="18"/>
        </w:rPr>
        <w:t> </w:t>
      </w:r>
      <w:r>
        <w:rPr>
          <w:sz w:val="18"/>
        </w:rPr>
        <w:t>strengthen</w:t>
      </w:r>
      <w:r>
        <w:rPr>
          <w:spacing w:val="-6"/>
          <w:sz w:val="18"/>
        </w:rPr>
        <w:t> </w:t>
      </w:r>
      <w:r>
        <w:rPr>
          <w:sz w:val="18"/>
        </w:rPr>
        <w:t>the</w:t>
      </w:r>
      <w:r>
        <w:rPr>
          <w:spacing w:val="-4"/>
          <w:sz w:val="18"/>
        </w:rPr>
        <w:t> </w:t>
      </w:r>
      <w:r>
        <w:rPr>
          <w:sz w:val="18"/>
        </w:rPr>
        <w:t>application</w:t>
      </w:r>
      <w:r>
        <w:rPr>
          <w:spacing w:val="-6"/>
          <w:sz w:val="18"/>
        </w:rPr>
        <w:t> </w:t>
      </w:r>
      <w:r>
        <w:rPr>
          <w:sz w:val="18"/>
        </w:rPr>
        <w:t>of</w:t>
      </w:r>
      <w:r>
        <w:rPr>
          <w:spacing w:val="-5"/>
          <w:sz w:val="18"/>
        </w:rPr>
        <w:t> </w:t>
      </w:r>
      <w:r>
        <w:rPr>
          <w:sz w:val="18"/>
        </w:rPr>
        <w:t>the</w:t>
      </w:r>
      <w:r>
        <w:rPr>
          <w:spacing w:val="-5"/>
          <w:sz w:val="18"/>
        </w:rPr>
        <w:t> </w:t>
      </w:r>
      <w:r>
        <w:rPr>
          <w:spacing w:val="-2"/>
          <w:sz w:val="18"/>
        </w:rPr>
        <w:t>principle</w:t>
      </w:r>
    </w:p>
    <w:p>
      <w:pPr>
        <w:spacing w:line="235" w:lineRule="auto" w:before="2"/>
        <w:ind w:left="1853" w:right="1171" w:firstLine="0"/>
        <w:jc w:val="left"/>
        <w:rPr>
          <w:sz w:val="18"/>
        </w:rPr>
      </w:pPr>
      <w:r>
        <w:rPr>
          <w:sz w:val="18"/>
        </w:rPr>
        <w:t>of</w:t>
      </w:r>
      <w:r>
        <w:rPr>
          <w:spacing w:val="-5"/>
          <w:sz w:val="18"/>
        </w:rPr>
        <w:t> </w:t>
      </w:r>
      <w:r>
        <w:rPr>
          <w:sz w:val="18"/>
        </w:rPr>
        <w:t>equal</w:t>
      </w:r>
      <w:r>
        <w:rPr>
          <w:spacing w:val="-5"/>
          <w:sz w:val="18"/>
        </w:rPr>
        <w:t> </w:t>
      </w:r>
      <w:r>
        <w:rPr>
          <w:sz w:val="18"/>
        </w:rPr>
        <w:t>pay</w:t>
      </w:r>
      <w:r>
        <w:rPr>
          <w:spacing w:val="-4"/>
          <w:sz w:val="18"/>
        </w:rPr>
        <w:t> </w:t>
      </w:r>
      <w:r>
        <w:rPr>
          <w:sz w:val="18"/>
        </w:rPr>
        <w:t>for</w:t>
      </w:r>
      <w:r>
        <w:rPr>
          <w:spacing w:val="-4"/>
          <w:sz w:val="18"/>
        </w:rPr>
        <w:t> </w:t>
      </w:r>
      <w:r>
        <w:rPr>
          <w:sz w:val="18"/>
        </w:rPr>
        <w:t>equal</w:t>
      </w:r>
      <w:r>
        <w:rPr>
          <w:spacing w:val="-5"/>
          <w:sz w:val="18"/>
        </w:rPr>
        <w:t> </w:t>
      </w:r>
      <w:r>
        <w:rPr>
          <w:sz w:val="18"/>
        </w:rPr>
        <w:t>work</w:t>
      </w:r>
      <w:r>
        <w:rPr>
          <w:spacing w:val="-4"/>
          <w:sz w:val="18"/>
        </w:rPr>
        <w:t> </w:t>
      </w:r>
      <w:r>
        <w:rPr>
          <w:sz w:val="18"/>
        </w:rPr>
        <w:t>or</w:t>
      </w:r>
      <w:r>
        <w:rPr>
          <w:spacing w:val="-4"/>
          <w:sz w:val="18"/>
        </w:rPr>
        <w:t> </w:t>
      </w:r>
      <w:r>
        <w:rPr>
          <w:sz w:val="18"/>
        </w:rPr>
        <w:t>work</w:t>
      </w:r>
      <w:r>
        <w:rPr>
          <w:spacing w:val="-4"/>
          <w:sz w:val="18"/>
        </w:rPr>
        <w:t> </w:t>
      </w:r>
      <w:r>
        <w:rPr>
          <w:sz w:val="18"/>
        </w:rPr>
        <w:t>of</w:t>
      </w:r>
      <w:r>
        <w:rPr>
          <w:spacing w:val="-5"/>
          <w:sz w:val="18"/>
        </w:rPr>
        <w:t> </w:t>
      </w:r>
      <w:r>
        <w:rPr>
          <w:sz w:val="18"/>
        </w:rPr>
        <w:t>equal</w:t>
      </w:r>
      <w:r>
        <w:rPr>
          <w:spacing w:val="-5"/>
          <w:sz w:val="18"/>
        </w:rPr>
        <w:t> </w:t>
      </w:r>
      <w:r>
        <w:rPr>
          <w:sz w:val="18"/>
        </w:rPr>
        <w:t>value</w:t>
      </w:r>
      <w:r>
        <w:rPr>
          <w:spacing w:val="-4"/>
          <w:sz w:val="18"/>
        </w:rPr>
        <w:t> </w:t>
      </w:r>
      <w:r>
        <w:rPr>
          <w:sz w:val="18"/>
        </w:rPr>
        <w:t>between</w:t>
      </w:r>
      <w:r>
        <w:rPr>
          <w:spacing w:val="-5"/>
          <w:sz w:val="18"/>
        </w:rPr>
        <w:t> </w:t>
      </w:r>
      <w:r>
        <w:rPr>
          <w:sz w:val="18"/>
        </w:rPr>
        <w:t>men</w:t>
      </w:r>
      <w:r>
        <w:rPr>
          <w:spacing w:val="-5"/>
          <w:sz w:val="18"/>
        </w:rPr>
        <w:t> </w:t>
      </w:r>
      <w:r>
        <w:rPr>
          <w:sz w:val="18"/>
        </w:rPr>
        <w:t>and</w:t>
      </w:r>
      <w:r>
        <w:rPr>
          <w:spacing w:val="-5"/>
          <w:sz w:val="18"/>
        </w:rPr>
        <w:t> </w:t>
      </w:r>
      <w:r>
        <w:rPr>
          <w:sz w:val="18"/>
        </w:rPr>
        <w:t>women</w:t>
      </w:r>
      <w:r>
        <w:rPr>
          <w:spacing w:val="-5"/>
          <w:sz w:val="18"/>
        </w:rPr>
        <w:t> </w:t>
      </w:r>
      <w:r>
        <w:rPr>
          <w:sz w:val="18"/>
        </w:rPr>
        <w:t>through</w:t>
      </w:r>
      <w:r>
        <w:rPr>
          <w:spacing w:val="-5"/>
          <w:sz w:val="18"/>
        </w:rPr>
        <w:t> </w:t>
      </w:r>
      <w:r>
        <w:rPr>
          <w:sz w:val="18"/>
        </w:rPr>
        <w:t>pay</w:t>
      </w:r>
      <w:r>
        <w:rPr>
          <w:spacing w:val="-4"/>
          <w:sz w:val="18"/>
        </w:rPr>
        <w:t> </w:t>
      </w:r>
      <w:r>
        <w:rPr>
          <w:sz w:val="18"/>
        </w:rPr>
        <w:t>transparency</w:t>
      </w:r>
      <w:r>
        <w:rPr>
          <w:spacing w:val="-4"/>
          <w:sz w:val="18"/>
        </w:rPr>
        <w:t> </w:t>
      </w:r>
      <w:r>
        <w:rPr>
          <w:sz w:val="18"/>
        </w:rPr>
        <w:t>and</w:t>
      </w:r>
      <w:r>
        <w:rPr>
          <w:spacing w:val="-5"/>
          <w:sz w:val="18"/>
        </w:rPr>
        <w:t> </w:t>
      </w:r>
      <w:r>
        <w:rPr>
          <w:sz w:val="18"/>
        </w:rPr>
        <w:t>enforcement mechanisms’, 10 May 2023.</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Article</w:t>
      </w:r>
      <w:r>
        <w:rPr>
          <w:spacing w:val="-5"/>
          <w:sz w:val="18"/>
        </w:rPr>
        <w:t> </w:t>
      </w:r>
      <w:r>
        <w:rPr>
          <w:sz w:val="18"/>
        </w:rPr>
        <w:t>16,</w:t>
      </w:r>
      <w:r>
        <w:rPr>
          <w:spacing w:val="-5"/>
          <w:sz w:val="18"/>
        </w:rPr>
        <w:t> </w:t>
      </w:r>
      <w:r>
        <w:rPr>
          <w:sz w:val="18"/>
        </w:rPr>
        <w:t>Directive</w:t>
      </w:r>
      <w:r>
        <w:rPr>
          <w:spacing w:val="-5"/>
          <w:sz w:val="18"/>
        </w:rPr>
        <w:t> </w:t>
      </w:r>
      <w:r>
        <w:rPr>
          <w:sz w:val="18"/>
        </w:rPr>
        <w:t>2023/970/EU,</w:t>
      </w:r>
      <w:r>
        <w:rPr>
          <w:spacing w:val="-4"/>
          <w:sz w:val="18"/>
        </w:rPr>
        <w:t> </w:t>
      </w:r>
      <w:r>
        <w:rPr>
          <w:sz w:val="18"/>
        </w:rPr>
        <w:t>‘EU</w:t>
      </w:r>
      <w:r>
        <w:rPr>
          <w:spacing w:val="-5"/>
          <w:sz w:val="18"/>
        </w:rPr>
        <w:t> </w:t>
      </w:r>
      <w:r>
        <w:rPr>
          <w:sz w:val="18"/>
        </w:rPr>
        <w:t>Parliament</w:t>
      </w:r>
      <w:r>
        <w:rPr>
          <w:spacing w:val="-5"/>
          <w:sz w:val="18"/>
        </w:rPr>
        <w:t> </w:t>
      </w:r>
      <w:r>
        <w:rPr>
          <w:sz w:val="18"/>
        </w:rPr>
        <w:t>and</w:t>
      </w:r>
      <w:r>
        <w:rPr>
          <w:spacing w:val="-5"/>
          <w:sz w:val="18"/>
        </w:rPr>
        <w:t> </w:t>
      </w:r>
      <w:r>
        <w:rPr>
          <w:sz w:val="18"/>
        </w:rPr>
        <w:t>Council</w:t>
      </w:r>
      <w:r>
        <w:rPr>
          <w:spacing w:val="-6"/>
          <w:sz w:val="18"/>
        </w:rPr>
        <w:t> </w:t>
      </w:r>
      <w:r>
        <w:rPr>
          <w:sz w:val="18"/>
        </w:rPr>
        <w:t>Directive</w:t>
      </w:r>
      <w:r>
        <w:rPr>
          <w:spacing w:val="-4"/>
          <w:sz w:val="18"/>
        </w:rPr>
        <w:t> </w:t>
      </w:r>
      <w:r>
        <w:rPr>
          <w:sz w:val="18"/>
        </w:rPr>
        <w:t>to</w:t>
      </w:r>
      <w:r>
        <w:rPr>
          <w:spacing w:val="-6"/>
          <w:sz w:val="18"/>
        </w:rPr>
        <w:t> </w:t>
      </w:r>
      <w:r>
        <w:rPr>
          <w:sz w:val="18"/>
        </w:rPr>
        <w:t>strengthen</w:t>
      </w:r>
      <w:r>
        <w:rPr>
          <w:spacing w:val="-6"/>
          <w:sz w:val="18"/>
        </w:rPr>
        <w:t> </w:t>
      </w:r>
      <w:r>
        <w:rPr>
          <w:sz w:val="18"/>
        </w:rPr>
        <w:t>the</w:t>
      </w:r>
      <w:r>
        <w:rPr>
          <w:spacing w:val="-4"/>
          <w:sz w:val="18"/>
        </w:rPr>
        <w:t> </w:t>
      </w:r>
      <w:r>
        <w:rPr>
          <w:sz w:val="18"/>
        </w:rPr>
        <w:t>application</w:t>
      </w:r>
      <w:r>
        <w:rPr>
          <w:spacing w:val="-6"/>
          <w:sz w:val="18"/>
        </w:rPr>
        <w:t> </w:t>
      </w:r>
      <w:r>
        <w:rPr>
          <w:sz w:val="18"/>
        </w:rPr>
        <w:t>of</w:t>
      </w:r>
      <w:r>
        <w:rPr>
          <w:spacing w:val="-5"/>
          <w:sz w:val="18"/>
        </w:rPr>
        <w:t> </w:t>
      </w:r>
      <w:r>
        <w:rPr>
          <w:sz w:val="18"/>
        </w:rPr>
        <w:t>the</w:t>
      </w:r>
      <w:r>
        <w:rPr>
          <w:spacing w:val="-5"/>
          <w:sz w:val="18"/>
        </w:rPr>
        <w:t> </w:t>
      </w:r>
      <w:r>
        <w:rPr>
          <w:spacing w:val="-2"/>
          <w:sz w:val="18"/>
        </w:rPr>
        <w:t>principle</w:t>
      </w:r>
    </w:p>
    <w:p>
      <w:pPr>
        <w:spacing w:line="235" w:lineRule="auto" w:before="1"/>
        <w:ind w:left="1853" w:right="1171" w:firstLine="0"/>
        <w:jc w:val="left"/>
        <w:rPr>
          <w:sz w:val="18"/>
        </w:rPr>
      </w:pPr>
      <w:r>
        <w:rPr>
          <w:sz w:val="18"/>
        </w:rPr>
        <w:t>of</w:t>
      </w:r>
      <w:r>
        <w:rPr>
          <w:spacing w:val="-5"/>
          <w:sz w:val="18"/>
        </w:rPr>
        <w:t> </w:t>
      </w:r>
      <w:r>
        <w:rPr>
          <w:sz w:val="18"/>
        </w:rPr>
        <w:t>equal</w:t>
      </w:r>
      <w:r>
        <w:rPr>
          <w:spacing w:val="-5"/>
          <w:sz w:val="18"/>
        </w:rPr>
        <w:t> </w:t>
      </w:r>
      <w:r>
        <w:rPr>
          <w:sz w:val="18"/>
        </w:rPr>
        <w:t>pay</w:t>
      </w:r>
      <w:r>
        <w:rPr>
          <w:spacing w:val="-4"/>
          <w:sz w:val="18"/>
        </w:rPr>
        <w:t> </w:t>
      </w:r>
      <w:r>
        <w:rPr>
          <w:sz w:val="18"/>
        </w:rPr>
        <w:t>for</w:t>
      </w:r>
      <w:r>
        <w:rPr>
          <w:spacing w:val="-4"/>
          <w:sz w:val="18"/>
        </w:rPr>
        <w:t> </w:t>
      </w:r>
      <w:r>
        <w:rPr>
          <w:sz w:val="18"/>
        </w:rPr>
        <w:t>equal</w:t>
      </w:r>
      <w:r>
        <w:rPr>
          <w:spacing w:val="-5"/>
          <w:sz w:val="18"/>
        </w:rPr>
        <w:t> </w:t>
      </w:r>
      <w:r>
        <w:rPr>
          <w:sz w:val="18"/>
        </w:rPr>
        <w:t>work</w:t>
      </w:r>
      <w:r>
        <w:rPr>
          <w:spacing w:val="-4"/>
          <w:sz w:val="18"/>
        </w:rPr>
        <w:t> </w:t>
      </w:r>
      <w:r>
        <w:rPr>
          <w:sz w:val="18"/>
        </w:rPr>
        <w:t>or</w:t>
      </w:r>
      <w:r>
        <w:rPr>
          <w:spacing w:val="-4"/>
          <w:sz w:val="18"/>
        </w:rPr>
        <w:t> </w:t>
      </w:r>
      <w:r>
        <w:rPr>
          <w:sz w:val="18"/>
        </w:rPr>
        <w:t>work</w:t>
      </w:r>
      <w:r>
        <w:rPr>
          <w:spacing w:val="-4"/>
          <w:sz w:val="18"/>
        </w:rPr>
        <w:t> </w:t>
      </w:r>
      <w:r>
        <w:rPr>
          <w:sz w:val="18"/>
        </w:rPr>
        <w:t>of</w:t>
      </w:r>
      <w:r>
        <w:rPr>
          <w:spacing w:val="-5"/>
          <w:sz w:val="18"/>
        </w:rPr>
        <w:t> </w:t>
      </w:r>
      <w:r>
        <w:rPr>
          <w:sz w:val="18"/>
        </w:rPr>
        <w:t>equal</w:t>
      </w:r>
      <w:r>
        <w:rPr>
          <w:spacing w:val="-5"/>
          <w:sz w:val="18"/>
        </w:rPr>
        <w:t> </w:t>
      </w:r>
      <w:r>
        <w:rPr>
          <w:sz w:val="18"/>
        </w:rPr>
        <w:t>value</w:t>
      </w:r>
      <w:r>
        <w:rPr>
          <w:spacing w:val="-4"/>
          <w:sz w:val="18"/>
        </w:rPr>
        <w:t> </w:t>
      </w:r>
      <w:r>
        <w:rPr>
          <w:sz w:val="18"/>
        </w:rPr>
        <w:t>between</w:t>
      </w:r>
      <w:r>
        <w:rPr>
          <w:spacing w:val="-5"/>
          <w:sz w:val="18"/>
        </w:rPr>
        <w:t> </w:t>
      </w:r>
      <w:r>
        <w:rPr>
          <w:sz w:val="18"/>
        </w:rPr>
        <w:t>men</w:t>
      </w:r>
      <w:r>
        <w:rPr>
          <w:spacing w:val="-5"/>
          <w:sz w:val="18"/>
        </w:rPr>
        <w:t> </w:t>
      </w:r>
      <w:r>
        <w:rPr>
          <w:sz w:val="18"/>
        </w:rPr>
        <w:t>and</w:t>
      </w:r>
      <w:r>
        <w:rPr>
          <w:spacing w:val="-5"/>
          <w:sz w:val="18"/>
        </w:rPr>
        <w:t> </w:t>
      </w:r>
      <w:r>
        <w:rPr>
          <w:sz w:val="18"/>
        </w:rPr>
        <w:t>women</w:t>
      </w:r>
      <w:r>
        <w:rPr>
          <w:spacing w:val="-5"/>
          <w:sz w:val="18"/>
        </w:rPr>
        <w:t> </w:t>
      </w:r>
      <w:r>
        <w:rPr>
          <w:sz w:val="18"/>
        </w:rPr>
        <w:t>through</w:t>
      </w:r>
      <w:r>
        <w:rPr>
          <w:spacing w:val="-5"/>
          <w:sz w:val="18"/>
        </w:rPr>
        <w:t> </w:t>
      </w:r>
      <w:r>
        <w:rPr>
          <w:sz w:val="18"/>
        </w:rPr>
        <w:t>pay</w:t>
      </w:r>
      <w:r>
        <w:rPr>
          <w:spacing w:val="-4"/>
          <w:sz w:val="18"/>
        </w:rPr>
        <w:t> </w:t>
      </w:r>
      <w:r>
        <w:rPr>
          <w:sz w:val="18"/>
        </w:rPr>
        <w:t>transparency</w:t>
      </w:r>
      <w:r>
        <w:rPr>
          <w:spacing w:val="-4"/>
          <w:sz w:val="18"/>
        </w:rPr>
        <w:t> </w:t>
      </w:r>
      <w:r>
        <w:rPr>
          <w:sz w:val="18"/>
        </w:rPr>
        <w:t>and</w:t>
      </w:r>
      <w:r>
        <w:rPr>
          <w:spacing w:val="-5"/>
          <w:sz w:val="18"/>
        </w:rPr>
        <w:t> </w:t>
      </w:r>
      <w:r>
        <w:rPr>
          <w:sz w:val="18"/>
        </w:rPr>
        <w:t>enforcement mechanisms’ 10 May 2023.</w:t>
      </w:r>
    </w:p>
    <w:p>
      <w:pPr>
        <w:pStyle w:val="ListParagraph"/>
        <w:numPr>
          <w:ilvl w:val="0"/>
          <w:numId w:val="11"/>
        </w:numPr>
        <w:tabs>
          <w:tab w:pos="1853" w:val="left" w:leader="none"/>
        </w:tabs>
        <w:spacing w:line="218" w:lineRule="exact" w:before="0" w:after="0"/>
        <w:ind w:left="1853" w:right="0" w:hanging="720"/>
        <w:jc w:val="left"/>
        <w:rPr>
          <w:sz w:val="18"/>
        </w:rPr>
      </w:pPr>
      <w:r>
        <w:rPr>
          <w:sz w:val="18"/>
        </w:rPr>
        <w:t>The</w:t>
      </w:r>
      <w:r>
        <w:rPr>
          <w:spacing w:val="-5"/>
          <w:sz w:val="18"/>
        </w:rPr>
        <w:t> </w:t>
      </w:r>
      <w:r>
        <w:rPr>
          <w:sz w:val="18"/>
        </w:rPr>
        <w:t>Commissions</w:t>
      </w:r>
      <w:r>
        <w:rPr>
          <w:spacing w:val="-5"/>
          <w:sz w:val="18"/>
        </w:rPr>
        <w:t> </w:t>
      </w:r>
      <w:r>
        <w:rPr>
          <w:sz w:val="18"/>
        </w:rPr>
        <w:t>consider</w:t>
      </w:r>
      <w:r>
        <w:rPr>
          <w:spacing w:val="-4"/>
          <w:sz w:val="18"/>
        </w:rPr>
        <w:t> </w:t>
      </w:r>
      <w:r>
        <w:rPr>
          <w:sz w:val="18"/>
        </w:rPr>
        <w:t>that,</w:t>
      </w:r>
      <w:r>
        <w:rPr>
          <w:spacing w:val="-4"/>
          <w:sz w:val="18"/>
        </w:rPr>
        <w:t> </w:t>
      </w:r>
      <w:r>
        <w:rPr>
          <w:sz w:val="18"/>
        </w:rPr>
        <w:t>apart</w:t>
      </w:r>
      <w:r>
        <w:rPr>
          <w:spacing w:val="-4"/>
          <w:sz w:val="18"/>
        </w:rPr>
        <w:t> </w:t>
      </w:r>
      <w:r>
        <w:rPr>
          <w:sz w:val="18"/>
        </w:rPr>
        <w:t>from</w:t>
      </w:r>
      <w:r>
        <w:rPr>
          <w:spacing w:val="-4"/>
          <w:sz w:val="18"/>
        </w:rPr>
        <w:t> </w:t>
      </w:r>
      <w:r>
        <w:rPr>
          <w:sz w:val="18"/>
        </w:rPr>
        <w:t>a</w:t>
      </w:r>
      <w:r>
        <w:rPr>
          <w:spacing w:val="-6"/>
          <w:sz w:val="18"/>
        </w:rPr>
        <w:t> </w:t>
      </w:r>
      <w:r>
        <w:rPr>
          <w:sz w:val="18"/>
        </w:rPr>
        <w:t>small</w:t>
      </w:r>
      <w:r>
        <w:rPr>
          <w:spacing w:val="-5"/>
          <w:sz w:val="18"/>
        </w:rPr>
        <w:t> </w:t>
      </w:r>
      <w:r>
        <w:rPr>
          <w:sz w:val="18"/>
        </w:rPr>
        <w:t>number</w:t>
      </w:r>
      <w:r>
        <w:rPr>
          <w:spacing w:val="-4"/>
          <w:sz w:val="18"/>
        </w:rPr>
        <w:t> </w:t>
      </w:r>
      <w:r>
        <w:rPr>
          <w:sz w:val="18"/>
        </w:rPr>
        <w:t>of</w:t>
      </w:r>
      <w:r>
        <w:rPr>
          <w:spacing w:val="-5"/>
          <w:sz w:val="18"/>
        </w:rPr>
        <w:t> </w:t>
      </w:r>
      <w:r>
        <w:rPr>
          <w:sz w:val="18"/>
        </w:rPr>
        <w:t>provisions</w:t>
      </w:r>
      <w:r>
        <w:rPr>
          <w:spacing w:val="-5"/>
          <w:sz w:val="18"/>
        </w:rPr>
        <w:t> </w:t>
      </w:r>
      <w:r>
        <w:rPr>
          <w:sz w:val="18"/>
        </w:rPr>
        <w:t>of</w:t>
      </w:r>
      <w:r>
        <w:rPr>
          <w:spacing w:val="-5"/>
          <w:sz w:val="18"/>
        </w:rPr>
        <w:t> </w:t>
      </w:r>
      <w:r>
        <w:rPr>
          <w:sz w:val="18"/>
        </w:rPr>
        <w:t>the</w:t>
      </w:r>
      <w:r>
        <w:rPr>
          <w:spacing w:val="-4"/>
          <w:sz w:val="18"/>
        </w:rPr>
        <w:t> </w:t>
      </w:r>
      <w:r>
        <w:rPr>
          <w:sz w:val="18"/>
        </w:rPr>
        <w:t>Pay</w:t>
      </w:r>
      <w:r>
        <w:rPr>
          <w:spacing w:val="-4"/>
          <w:sz w:val="18"/>
        </w:rPr>
        <w:t> </w:t>
      </w:r>
      <w:r>
        <w:rPr>
          <w:sz w:val="18"/>
        </w:rPr>
        <w:t>Transparency</w:t>
      </w:r>
      <w:r>
        <w:rPr>
          <w:spacing w:val="-5"/>
          <w:sz w:val="18"/>
        </w:rPr>
        <w:t> </w:t>
      </w:r>
      <w:r>
        <w:rPr>
          <w:sz w:val="18"/>
        </w:rPr>
        <w:t>Directive</w:t>
      </w:r>
      <w:r>
        <w:rPr>
          <w:spacing w:val="-4"/>
          <w:sz w:val="18"/>
        </w:rPr>
        <w:t> </w:t>
      </w:r>
      <w:r>
        <w:rPr>
          <w:sz w:val="18"/>
        </w:rPr>
        <w:t>that</w:t>
      </w:r>
      <w:r>
        <w:rPr>
          <w:spacing w:val="-4"/>
          <w:sz w:val="18"/>
        </w:rPr>
        <w:t> </w:t>
      </w:r>
      <w:r>
        <w:rPr>
          <w:spacing w:val="-5"/>
          <w:sz w:val="18"/>
        </w:rPr>
        <w:t>are</w:t>
      </w:r>
    </w:p>
    <w:p>
      <w:pPr>
        <w:spacing w:after="0" w:line="218" w:lineRule="exact"/>
        <w:jc w:val="left"/>
        <w:rPr>
          <w:sz w:val="18"/>
        </w:rPr>
        <w:sectPr>
          <w:pgSz w:w="11910" w:h="16840"/>
          <w:pgMar w:header="496" w:footer="367" w:top="1220" w:bottom="560" w:left="0" w:right="0"/>
        </w:sectPr>
      </w:pPr>
    </w:p>
    <w:p>
      <w:pPr>
        <w:pStyle w:val="BodyText"/>
        <w:spacing w:before="198"/>
      </w:pPr>
    </w:p>
    <w:p>
      <w:pPr>
        <w:pStyle w:val="ListParagraph"/>
        <w:numPr>
          <w:ilvl w:val="1"/>
          <w:numId w:val="7"/>
        </w:numPr>
        <w:tabs>
          <w:tab w:pos="1853" w:val="left" w:leader="none"/>
        </w:tabs>
        <w:spacing w:line="225" w:lineRule="auto" w:before="0" w:after="0"/>
        <w:ind w:left="1853" w:right="1154" w:hanging="720"/>
        <w:jc w:val="left"/>
        <w:rPr>
          <w:sz w:val="28"/>
        </w:rPr>
      </w:pPr>
      <w:r>
        <w:rPr>
          <w:sz w:val="28"/>
        </w:rPr>
        <w:t>Further, the EU Commission has obligations under the Windsor Framework</w:t>
      </w:r>
      <w:r>
        <w:rPr>
          <w:sz w:val="28"/>
          <w:vertAlign w:val="superscript"/>
        </w:rPr>
        <w:t>618</w:t>
      </w:r>
      <w:r>
        <w:rPr>
          <w:sz w:val="28"/>
          <w:vertAlign w:val="baseline"/>
        </w:rPr>
        <w:t> to</w:t>
      </w:r>
      <w:r>
        <w:rPr>
          <w:spacing w:val="-2"/>
          <w:sz w:val="28"/>
          <w:vertAlign w:val="baseline"/>
        </w:rPr>
        <w:t> </w:t>
      </w:r>
      <w:r>
        <w:rPr>
          <w:sz w:val="28"/>
          <w:vertAlign w:val="baseline"/>
        </w:rPr>
        <w:t>inform</w:t>
      </w:r>
      <w:r>
        <w:rPr>
          <w:spacing w:val="-1"/>
          <w:sz w:val="28"/>
          <w:vertAlign w:val="baseline"/>
        </w:rPr>
        <w:t> </w:t>
      </w:r>
      <w:r>
        <w:rPr>
          <w:sz w:val="28"/>
          <w:vertAlign w:val="baseline"/>
        </w:rPr>
        <w:t>the</w:t>
      </w:r>
      <w:r>
        <w:rPr>
          <w:spacing w:val="-1"/>
          <w:sz w:val="28"/>
          <w:vertAlign w:val="baseline"/>
        </w:rPr>
        <w:t> </w:t>
      </w:r>
      <w:r>
        <w:rPr>
          <w:sz w:val="28"/>
          <w:vertAlign w:val="baseline"/>
        </w:rPr>
        <w:t>Joint</w:t>
      </w:r>
      <w:r>
        <w:rPr>
          <w:spacing w:val="-1"/>
          <w:sz w:val="28"/>
          <w:vertAlign w:val="baseline"/>
        </w:rPr>
        <w:t> </w:t>
      </w:r>
      <w:r>
        <w:rPr>
          <w:sz w:val="28"/>
          <w:vertAlign w:val="baseline"/>
        </w:rPr>
        <w:t>Consultative</w:t>
      </w:r>
      <w:r>
        <w:rPr>
          <w:spacing w:val="-1"/>
          <w:sz w:val="28"/>
          <w:vertAlign w:val="baseline"/>
        </w:rPr>
        <w:t> </w:t>
      </w:r>
      <w:r>
        <w:rPr>
          <w:sz w:val="28"/>
          <w:vertAlign w:val="baseline"/>
        </w:rPr>
        <w:t>Working</w:t>
      </w:r>
      <w:r>
        <w:rPr>
          <w:spacing w:val="-1"/>
          <w:sz w:val="28"/>
          <w:vertAlign w:val="baseline"/>
        </w:rPr>
        <w:t> </w:t>
      </w:r>
      <w:r>
        <w:rPr>
          <w:sz w:val="28"/>
          <w:vertAlign w:val="baseline"/>
        </w:rPr>
        <w:t>Group</w:t>
      </w:r>
      <w:r>
        <w:rPr>
          <w:spacing w:val="-2"/>
          <w:sz w:val="28"/>
          <w:vertAlign w:val="baseline"/>
        </w:rPr>
        <w:t> </w:t>
      </w:r>
      <w:r>
        <w:rPr>
          <w:sz w:val="28"/>
          <w:vertAlign w:val="baseline"/>
        </w:rPr>
        <w:t>on</w:t>
      </w:r>
      <w:r>
        <w:rPr>
          <w:spacing w:val="-2"/>
          <w:sz w:val="28"/>
          <w:vertAlign w:val="baseline"/>
        </w:rPr>
        <w:t> </w:t>
      </w:r>
      <w:r>
        <w:rPr>
          <w:sz w:val="28"/>
          <w:vertAlign w:val="baseline"/>
        </w:rPr>
        <w:t>the</w:t>
      </w:r>
      <w:r>
        <w:rPr>
          <w:spacing w:val="-1"/>
          <w:sz w:val="28"/>
          <w:vertAlign w:val="baseline"/>
        </w:rPr>
        <w:t> </w:t>
      </w:r>
      <w:r>
        <w:rPr>
          <w:sz w:val="28"/>
          <w:vertAlign w:val="baseline"/>
        </w:rPr>
        <w:t>Windsor</w:t>
      </w:r>
      <w:r>
        <w:rPr>
          <w:spacing w:val="-1"/>
          <w:sz w:val="28"/>
          <w:vertAlign w:val="baseline"/>
        </w:rPr>
        <w:t> </w:t>
      </w:r>
      <w:r>
        <w:rPr>
          <w:sz w:val="28"/>
          <w:vertAlign w:val="baseline"/>
        </w:rPr>
        <w:t>Framework</w:t>
      </w:r>
      <w:r>
        <w:rPr>
          <w:spacing w:val="-1"/>
          <w:sz w:val="28"/>
          <w:vertAlign w:val="baseline"/>
        </w:rPr>
        <w:t> </w:t>
      </w:r>
      <w:r>
        <w:rPr>
          <w:sz w:val="28"/>
          <w:vertAlign w:val="baseline"/>
        </w:rPr>
        <w:t>in a timely manner of proposed EU measures within the scope of the Windsor Framework</w:t>
      </w:r>
      <w:r>
        <w:rPr>
          <w:spacing w:val="-5"/>
          <w:sz w:val="28"/>
          <w:vertAlign w:val="baseline"/>
        </w:rPr>
        <w:t> </w:t>
      </w:r>
      <w:r>
        <w:rPr>
          <w:sz w:val="28"/>
          <w:vertAlign w:val="baseline"/>
        </w:rPr>
        <w:t>that</w:t>
      </w:r>
      <w:r>
        <w:rPr>
          <w:spacing w:val="-5"/>
          <w:sz w:val="28"/>
          <w:vertAlign w:val="baseline"/>
        </w:rPr>
        <w:t> </w:t>
      </w:r>
      <w:r>
        <w:rPr>
          <w:sz w:val="28"/>
          <w:vertAlign w:val="baseline"/>
        </w:rPr>
        <w:t>amend</w:t>
      </w:r>
      <w:r>
        <w:rPr>
          <w:spacing w:val="-6"/>
          <w:sz w:val="28"/>
          <w:vertAlign w:val="baseline"/>
        </w:rPr>
        <w:t> </w:t>
      </w:r>
      <w:r>
        <w:rPr>
          <w:sz w:val="28"/>
          <w:vertAlign w:val="baseline"/>
        </w:rPr>
        <w:t>or</w:t>
      </w:r>
      <w:r>
        <w:rPr>
          <w:spacing w:val="-5"/>
          <w:sz w:val="28"/>
          <w:vertAlign w:val="baseline"/>
        </w:rPr>
        <w:t> </w:t>
      </w:r>
      <w:r>
        <w:rPr>
          <w:sz w:val="28"/>
          <w:vertAlign w:val="baseline"/>
        </w:rPr>
        <w:t>replace</w:t>
      </w:r>
      <w:r>
        <w:rPr>
          <w:spacing w:val="-5"/>
          <w:sz w:val="28"/>
          <w:vertAlign w:val="baseline"/>
        </w:rPr>
        <w:t> </w:t>
      </w:r>
      <w:r>
        <w:rPr>
          <w:sz w:val="28"/>
          <w:vertAlign w:val="baseline"/>
        </w:rPr>
        <w:t>EU</w:t>
      </w:r>
      <w:r>
        <w:rPr>
          <w:spacing w:val="-5"/>
          <w:sz w:val="28"/>
          <w:vertAlign w:val="baseline"/>
        </w:rPr>
        <w:t> </w:t>
      </w:r>
      <w:r>
        <w:rPr>
          <w:sz w:val="28"/>
          <w:vertAlign w:val="baseline"/>
        </w:rPr>
        <w:t>law</w:t>
      </w:r>
      <w:r>
        <w:rPr>
          <w:spacing w:val="-5"/>
          <w:sz w:val="28"/>
          <w:vertAlign w:val="baseline"/>
        </w:rPr>
        <w:t> </w:t>
      </w:r>
      <w:r>
        <w:rPr>
          <w:sz w:val="28"/>
          <w:vertAlign w:val="baseline"/>
        </w:rPr>
        <w:t>in</w:t>
      </w:r>
      <w:r>
        <w:rPr>
          <w:spacing w:val="-6"/>
          <w:sz w:val="28"/>
          <w:vertAlign w:val="baseline"/>
        </w:rPr>
        <w:t> </w:t>
      </w:r>
      <w:r>
        <w:rPr>
          <w:sz w:val="28"/>
          <w:vertAlign w:val="baseline"/>
        </w:rPr>
        <w:t>Annex</w:t>
      </w:r>
      <w:r>
        <w:rPr>
          <w:spacing w:val="-6"/>
          <w:sz w:val="28"/>
          <w:vertAlign w:val="baseline"/>
        </w:rPr>
        <w:t> </w:t>
      </w:r>
      <w:r>
        <w:rPr>
          <w:sz w:val="28"/>
          <w:vertAlign w:val="baseline"/>
        </w:rPr>
        <w:t>1,</w:t>
      </w:r>
      <w:r>
        <w:rPr>
          <w:spacing w:val="-5"/>
          <w:sz w:val="28"/>
          <w:vertAlign w:val="baseline"/>
        </w:rPr>
        <w:t> </w:t>
      </w:r>
      <w:r>
        <w:rPr>
          <w:sz w:val="28"/>
          <w:vertAlign w:val="baseline"/>
        </w:rPr>
        <w:t>as</w:t>
      </w:r>
      <w:r>
        <w:rPr>
          <w:spacing w:val="-6"/>
          <w:sz w:val="28"/>
          <w:vertAlign w:val="baseline"/>
        </w:rPr>
        <w:t> </w:t>
      </w:r>
      <w:r>
        <w:rPr>
          <w:sz w:val="28"/>
          <w:vertAlign w:val="baseline"/>
        </w:rPr>
        <w:t>well</w:t>
      </w:r>
      <w:r>
        <w:rPr>
          <w:spacing w:val="-6"/>
          <w:sz w:val="28"/>
          <w:vertAlign w:val="baseline"/>
        </w:rPr>
        <w:t> </w:t>
      </w:r>
      <w:r>
        <w:rPr>
          <w:sz w:val="28"/>
          <w:vertAlign w:val="baseline"/>
        </w:rPr>
        <w:t>as</w:t>
      </w:r>
      <w:r>
        <w:rPr>
          <w:spacing w:val="-6"/>
          <w:sz w:val="28"/>
          <w:vertAlign w:val="baseline"/>
        </w:rPr>
        <w:t> </w:t>
      </w:r>
      <w:r>
        <w:rPr>
          <w:sz w:val="28"/>
          <w:vertAlign w:val="baseline"/>
        </w:rPr>
        <w:t>other</w:t>
      </w:r>
      <w:r>
        <w:rPr>
          <w:spacing w:val="-5"/>
          <w:sz w:val="28"/>
          <w:vertAlign w:val="baseline"/>
        </w:rPr>
        <w:t> </w:t>
      </w:r>
      <w:r>
        <w:rPr>
          <w:sz w:val="28"/>
          <w:vertAlign w:val="baseline"/>
        </w:rPr>
        <w:t>Annexes to the Windsor Framework. To date the EU Commission has not informed the Joint Consultative Working Group of the EU Pay Transparency Directive in this </w:t>
      </w:r>
      <w:r>
        <w:rPr>
          <w:spacing w:val="-2"/>
          <w:sz w:val="28"/>
          <w:vertAlign w:val="baseline"/>
        </w:rPr>
        <w:t>context.</w:t>
      </w:r>
    </w:p>
    <w:p>
      <w:pPr>
        <w:pStyle w:val="ListParagraph"/>
        <w:numPr>
          <w:ilvl w:val="1"/>
          <w:numId w:val="7"/>
        </w:numPr>
        <w:tabs>
          <w:tab w:pos="1853" w:val="left" w:leader="none"/>
        </w:tabs>
        <w:spacing w:line="225" w:lineRule="auto" w:before="311" w:after="0"/>
        <w:ind w:left="1853" w:right="1376" w:hanging="720"/>
        <w:jc w:val="left"/>
        <w:rPr>
          <w:sz w:val="28"/>
        </w:rPr>
      </w:pPr>
      <w:r>
        <w:rPr>
          <w:sz w:val="28"/>
        </w:rPr>
        <w:t>In addition to ensuring law in NI is amended to keep pace with any such changes, the Commissions stress that the requirements of the EU Pay Transparency Directive should be considered minimum requirements and we</w:t>
      </w:r>
      <w:r>
        <w:rPr>
          <w:spacing w:val="-6"/>
          <w:sz w:val="28"/>
        </w:rPr>
        <w:t> </w:t>
      </w:r>
      <w:r>
        <w:rPr>
          <w:sz w:val="28"/>
        </w:rPr>
        <w:t>would</w:t>
      </w:r>
      <w:r>
        <w:rPr>
          <w:spacing w:val="-7"/>
          <w:sz w:val="28"/>
        </w:rPr>
        <w:t> </w:t>
      </w:r>
      <w:r>
        <w:rPr>
          <w:sz w:val="28"/>
        </w:rPr>
        <w:t>encourage</w:t>
      </w:r>
      <w:r>
        <w:rPr>
          <w:spacing w:val="-6"/>
          <w:sz w:val="28"/>
        </w:rPr>
        <w:t> </w:t>
      </w:r>
      <w:r>
        <w:rPr>
          <w:sz w:val="28"/>
        </w:rPr>
        <w:t>government</w:t>
      </w:r>
      <w:r>
        <w:rPr>
          <w:spacing w:val="-6"/>
          <w:sz w:val="28"/>
        </w:rPr>
        <w:t> </w:t>
      </w:r>
      <w:r>
        <w:rPr>
          <w:sz w:val="28"/>
        </w:rPr>
        <w:t>to</w:t>
      </w:r>
      <w:r>
        <w:rPr>
          <w:spacing w:val="-7"/>
          <w:sz w:val="28"/>
        </w:rPr>
        <w:t> </w:t>
      </w:r>
      <w:r>
        <w:rPr>
          <w:sz w:val="28"/>
        </w:rPr>
        <w:t>adopt</w:t>
      </w:r>
      <w:r>
        <w:rPr>
          <w:spacing w:val="-6"/>
          <w:sz w:val="28"/>
        </w:rPr>
        <w:t> </w:t>
      </w:r>
      <w:r>
        <w:rPr>
          <w:sz w:val="28"/>
        </w:rPr>
        <w:t>an</w:t>
      </w:r>
      <w:r>
        <w:rPr>
          <w:spacing w:val="-7"/>
          <w:sz w:val="28"/>
        </w:rPr>
        <w:t> </w:t>
      </w:r>
      <w:r>
        <w:rPr>
          <w:sz w:val="28"/>
        </w:rPr>
        <w:t>approach</w:t>
      </w:r>
      <w:r>
        <w:rPr>
          <w:spacing w:val="-7"/>
          <w:sz w:val="28"/>
        </w:rPr>
        <w:t> </w:t>
      </w:r>
      <w:r>
        <w:rPr>
          <w:sz w:val="28"/>
        </w:rPr>
        <w:t>when</w:t>
      </w:r>
      <w:r>
        <w:rPr>
          <w:spacing w:val="-7"/>
          <w:sz w:val="28"/>
        </w:rPr>
        <w:t> </w:t>
      </w:r>
      <w:r>
        <w:rPr>
          <w:sz w:val="28"/>
        </w:rPr>
        <w:t>implementing the</w:t>
      </w:r>
      <w:r>
        <w:rPr>
          <w:spacing w:val="-7"/>
          <w:sz w:val="28"/>
        </w:rPr>
        <w:t> </w:t>
      </w:r>
      <w:r>
        <w:rPr>
          <w:sz w:val="28"/>
        </w:rPr>
        <w:t>Directive</w:t>
      </w:r>
      <w:r>
        <w:rPr>
          <w:spacing w:val="-7"/>
          <w:sz w:val="28"/>
        </w:rPr>
        <w:t> </w:t>
      </w:r>
      <w:r>
        <w:rPr>
          <w:sz w:val="28"/>
        </w:rPr>
        <w:t>that</w:t>
      </w:r>
      <w:r>
        <w:rPr>
          <w:spacing w:val="-7"/>
          <w:sz w:val="28"/>
        </w:rPr>
        <w:t> </w:t>
      </w:r>
      <w:r>
        <w:rPr>
          <w:sz w:val="28"/>
        </w:rPr>
        <w:t>goes</w:t>
      </w:r>
      <w:r>
        <w:rPr>
          <w:spacing w:val="-8"/>
          <w:sz w:val="28"/>
        </w:rPr>
        <w:t> </w:t>
      </w:r>
      <w:r>
        <w:rPr>
          <w:sz w:val="28"/>
        </w:rPr>
        <w:t>beyond</w:t>
      </w:r>
      <w:r>
        <w:rPr>
          <w:spacing w:val="-8"/>
          <w:sz w:val="28"/>
        </w:rPr>
        <w:t> </w:t>
      </w:r>
      <w:r>
        <w:rPr>
          <w:sz w:val="28"/>
        </w:rPr>
        <w:t>these</w:t>
      </w:r>
      <w:r>
        <w:rPr>
          <w:spacing w:val="-7"/>
          <w:sz w:val="28"/>
        </w:rPr>
        <w:t> </w:t>
      </w:r>
      <w:r>
        <w:rPr>
          <w:sz w:val="28"/>
        </w:rPr>
        <w:t>minimum</w:t>
      </w:r>
      <w:r>
        <w:rPr>
          <w:spacing w:val="-7"/>
          <w:sz w:val="28"/>
        </w:rPr>
        <w:t> </w:t>
      </w:r>
      <w:r>
        <w:rPr>
          <w:sz w:val="28"/>
        </w:rPr>
        <w:t>standards</w:t>
      </w:r>
      <w:r>
        <w:rPr>
          <w:spacing w:val="-8"/>
          <w:sz w:val="28"/>
        </w:rPr>
        <w:t> </w:t>
      </w:r>
      <w:r>
        <w:rPr>
          <w:sz w:val="28"/>
        </w:rPr>
        <w:t>where</w:t>
      </w:r>
      <w:r>
        <w:rPr>
          <w:spacing w:val="-7"/>
          <w:sz w:val="28"/>
        </w:rPr>
        <w:t> </w:t>
      </w:r>
      <w:r>
        <w:rPr>
          <w:sz w:val="28"/>
        </w:rPr>
        <w:t>this</w:t>
      </w:r>
      <w:r>
        <w:rPr>
          <w:spacing w:val="-8"/>
          <w:sz w:val="28"/>
        </w:rPr>
        <w:t> </w:t>
      </w:r>
      <w:r>
        <w:rPr>
          <w:sz w:val="28"/>
        </w:rPr>
        <w:t>reflects</w:t>
      </w:r>
    </w:p>
    <w:p>
      <w:pPr>
        <w:pStyle w:val="BodyText"/>
        <w:spacing w:line="225" w:lineRule="auto"/>
        <w:ind w:left="1853" w:right="1171"/>
      </w:pPr>
      <w:r>
        <w:rPr/>
        <w:t>best</w:t>
      </w:r>
      <w:r>
        <w:rPr>
          <w:spacing w:val="-7"/>
        </w:rPr>
        <w:t> </w:t>
      </w:r>
      <w:r>
        <w:rPr/>
        <w:t>practice,</w:t>
      </w:r>
      <w:r>
        <w:rPr>
          <w:spacing w:val="-7"/>
        </w:rPr>
        <w:t> </w:t>
      </w:r>
      <w:r>
        <w:rPr/>
        <w:t>including</w:t>
      </w:r>
      <w:r>
        <w:rPr>
          <w:spacing w:val="-7"/>
        </w:rPr>
        <w:t> </w:t>
      </w:r>
      <w:r>
        <w:rPr/>
        <w:t>international</w:t>
      </w:r>
      <w:r>
        <w:rPr>
          <w:spacing w:val="-8"/>
        </w:rPr>
        <w:t> </w:t>
      </w:r>
      <w:r>
        <w:rPr/>
        <w:t>human</w:t>
      </w:r>
      <w:r>
        <w:rPr>
          <w:spacing w:val="-8"/>
        </w:rPr>
        <w:t> </w:t>
      </w:r>
      <w:r>
        <w:rPr/>
        <w:t>rights</w:t>
      </w:r>
      <w:r>
        <w:rPr>
          <w:spacing w:val="-8"/>
        </w:rPr>
        <w:t> </w:t>
      </w:r>
      <w:r>
        <w:rPr/>
        <w:t>best</w:t>
      </w:r>
      <w:r>
        <w:rPr>
          <w:spacing w:val="-7"/>
        </w:rPr>
        <w:t> </w:t>
      </w:r>
      <w:r>
        <w:rPr/>
        <w:t>practice,</w:t>
      </w:r>
      <w:r>
        <w:rPr>
          <w:spacing w:val="-7"/>
        </w:rPr>
        <w:t> </w:t>
      </w:r>
      <w:r>
        <w:rPr/>
        <w:t>and</w:t>
      </w:r>
      <w:r>
        <w:rPr>
          <w:spacing w:val="-8"/>
        </w:rPr>
        <w:t> </w:t>
      </w:r>
      <w:r>
        <w:rPr/>
        <w:t>where</w:t>
      </w:r>
      <w:r>
        <w:rPr>
          <w:spacing w:val="-7"/>
        </w:rPr>
        <w:t> </w:t>
      </w:r>
      <w:r>
        <w:rPr/>
        <w:t>it seeks to strengthen rights in this area.</w:t>
      </w:r>
      <w:r>
        <w:rPr>
          <w:vertAlign w:val="superscript"/>
        </w:rPr>
        <w:t>619</w:t>
      </w:r>
    </w:p>
    <w:p>
      <w:pPr>
        <w:pStyle w:val="BodyText"/>
        <w:spacing w:before="4"/>
        <w:rPr>
          <w:sz w:val="19"/>
        </w:rPr>
      </w:pPr>
      <w:r>
        <w:rPr/>
        <mc:AlternateContent>
          <mc:Choice Requires="wps">
            <w:drawing>
              <wp:anchor distT="0" distB="0" distL="0" distR="0" allowOverlap="1" layoutInCell="1" locked="0" behindDoc="1" simplePos="0" relativeHeight="487692288">
                <wp:simplePos x="0" y="0"/>
                <wp:positionH relativeFrom="page">
                  <wp:posOffset>720001</wp:posOffset>
                </wp:positionH>
                <wp:positionV relativeFrom="paragraph">
                  <wp:posOffset>165402</wp:posOffset>
                </wp:positionV>
                <wp:extent cx="6120130" cy="360045"/>
                <wp:effectExtent l="0" t="0" r="0" b="0"/>
                <wp:wrapTopAndBottom/>
                <wp:docPr id="484" name="Textbox 484"/>
                <wp:cNvGraphicFramePr>
                  <a:graphicFrameLocks/>
                </wp:cNvGraphicFramePr>
                <a:graphic>
                  <a:graphicData uri="http://schemas.microsoft.com/office/word/2010/wordprocessingShape">
                    <wps:wsp>
                      <wps:cNvPr id="484" name="Textbox 484"/>
                      <wps:cNvSpPr txBox="1"/>
                      <wps:spPr>
                        <a:xfrm>
                          <a:off x="0" y="0"/>
                          <a:ext cx="6120130" cy="360045"/>
                        </a:xfrm>
                        <a:prstGeom prst="rect">
                          <a:avLst/>
                        </a:prstGeom>
                        <a:solidFill>
                          <a:srgbClr val="393B80"/>
                        </a:solidFill>
                      </wps:spPr>
                      <wps:txbx>
                        <w:txbxContent>
                          <w:p>
                            <w:pPr>
                              <w:spacing w:before="103"/>
                              <w:ind w:left="783"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13.023812pt;width:481.9pt;height:28.35pt;mso-position-horizontal-relative:page;mso-position-vertical-relative:paragraph;z-index:-15624192;mso-wrap-distance-left:0;mso-wrap-distance-right:0" type="#_x0000_t202" id="docshape431" filled="true" fillcolor="#393b80" stroked="false">
                <v:textbox inset="0,0,0,0">
                  <w:txbxContent>
                    <w:p>
                      <w:pPr>
                        <w:spacing w:before="103"/>
                        <w:ind w:left="783"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312" w:after="0"/>
        <w:ind w:left="1853" w:right="1410" w:hanging="720"/>
        <w:jc w:val="left"/>
        <w:rPr>
          <w:b/>
          <w:color w:val="67287F"/>
          <w:sz w:val="28"/>
        </w:rPr>
      </w:pPr>
      <w:r>
        <w:rPr>
          <w:b/>
          <w:color w:val="67287F"/>
          <w:sz w:val="28"/>
        </w:rPr>
        <w:t>The Commissions advise the UK Government, the NI Executive, and the NI Department for Communities to ensure that, apart from a small number</w:t>
      </w:r>
      <w:r>
        <w:rPr>
          <w:b/>
          <w:color w:val="67287F"/>
          <w:sz w:val="28"/>
        </w:rPr>
        <w:t> of provisions of the EU Pay Transparency Directive that are no longer relevant</w:t>
      </w:r>
      <w:r>
        <w:rPr>
          <w:b/>
          <w:color w:val="67287F"/>
          <w:spacing w:val="-5"/>
          <w:sz w:val="28"/>
        </w:rPr>
        <w:t> </w:t>
      </w:r>
      <w:r>
        <w:rPr>
          <w:b/>
          <w:color w:val="67287F"/>
          <w:sz w:val="28"/>
        </w:rPr>
        <w:t>now</w:t>
      </w:r>
      <w:r>
        <w:rPr>
          <w:b/>
          <w:color w:val="67287F"/>
          <w:spacing w:val="-6"/>
          <w:sz w:val="28"/>
        </w:rPr>
        <w:t> </w:t>
      </w:r>
      <w:r>
        <w:rPr>
          <w:b/>
          <w:color w:val="67287F"/>
          <w:sz w:val="28"/>
        </w:rPr>
        <w:t>that</w:t>
      </w:r>
      <w:r>
        <w:rPr>
          <w:b/>
          <w:color w:val="67287F"/>
          <w:spacing w:val="-5"/>
          <w:sz w:val="28"/>
        </w:rPr>
        <w:t> </w:t>
      </w:r>
      <w:r>
        <w:rPr>
          <w:b/>
          <w:color w:val="67287F"/>
          <w:sz w:val="28"/>
        </w:rPr>
        <w:t>the</w:t>
      </w:r>
      <w:r>
        <w:rPr>
          <w:b/>
          <w:color w:val="67287F"/>
          <w:spacing w:val="-6"/>
          <w:sz w:val="28"/>
        </w:rPr>
        <w:t> </w:t>
      </w:r>
      <w:r>
        <w:rPr>
          <w:b/>
          <w:color w:val="67287F"/>
          <w:sz w:val="28"/>
        </w:rPr>
        <w:t>UK</w:t>
      </w:r>
      <w:r>
        <w:rPr>
          <w:b/>
          <w:color w:val="67287F"/>
          <w:spacing w:val="-5"/>
          <w:sz w:val="28"/>
        </w:rPr>
        <w:t> </w:t>
      </w:r>
      <w:r>
        <w:rPr>
          <w:b/>
          <w:color w:val="67287F"/>
          <w:sz w:val="28"/>
        </w:rPr>
        <w:t>has</w:t>
      </w:r>
      <w:r>
        <w:rPr>
          <w:b/>
          <w:color w:val="67287F"/>
          <w:spacing w:val="-5"/>
          <w:sz w:val="28"/>
        </w:rPr>
        <w:t> </w:t>
      </w:r>
      <w:r>
        <w:rPr>
          <w:b/>
          <w:color w:val="67287F"/>
          <w:sz w:val="28"/>
        </w:rPr>
        <w:t>left</w:t>
      </w:r>
      <w:r>
        <w:rPr>
          <w:b/>
          <w:color w:val="67287F"/>
          <w:spacing w:val="-5"/>
          <w:sz w:val="28"/>
        </w:rPr>
        <w:t> </w:t>
      </w:r>
      <w:r>
        <w:rPr>
          <w:b/>
          <w:color w:val="67287F"/>
          <w:sz w:val="28"/>
        </w:rPr>
        <w:t>the</w:t>
      </w:r>
      <w:r>
        <w:rPr>
          <w:b/>
          <w:color w:val="67287F"/>
          <w:spacing w:val="-6"/>
          <w:sz w:val="28"/>
        </w:rPr>
        <w:t> </w:t>
      </w:r>
      <w:r>
        <w:rPr>
          <w:b/>
          <w:color w:val="67287F"/>
          <w:sz w:val="28"/>
        </w:rPr>
        <w:t>EU,</w:t>
      </w:r>
      <w:r>
        <w:rPr>
          <w:b/>
          <w:color w:val="67287F"/>
          <w:spacing w:val="-5"/>
          <w:sz w:val="28"/>
        </w:rPr>
        <w:t> </w:t>
      </w:r>
      <w:r>
        <w:rPr>
          <w:b/>
          <w:color w:val="67287F"/>
          <w:sz w:val="28"/>
        </w:rPr>
        <w:t>all</w:t>
      </w:r>
      <w:r>
        <w:rPr>
          <w:b/>
          <w:color w:val="67287F"/>
          <w:spacing w:val="-5"/>
          <w:sz w:val="28"/>
        </w:rPr>
        <w:t> </w:t>
      </w:r>
      <w:r>
        <w:rPr>
          <w:b/>
          <w:color w:val="67287F"/>
          <w:sz w:val="28"/>
        </w:rPr>
        <w:t>other</w:t>
      </w:r>
      <w:r>
        <w:rPr>
          <w:b/>
          <w:color w:val="67287F"/>
          <w:spacing w:val="-6"/>
          <w:sz w:val="28"/>
        </w:rPr>
        <w:t> </w:t>
      </w:r>
      <w:r>
        <w:rPr>
          <w:b/>
          <w:color w:val="67287F"/>
          <w:sz w:val="28"/>
        </w:rPr>
        <w:t>provisions</w:t>
      </w:r>
      <w:r>
        <w:rPr>
          <w:b/>
          <w:color w:val="67287F"/>
          <w:spacing w:val="-5"/>
          <w:sz w:val="28"/>
        </w:rPr>
        <w:t> </w:t>
      </w:r>
      <w:r>
        <w:rPr>
          <w:b/>
          <w:color w:val="67287F"/>
          <w:sz w:val="28"/>
        </w:rPr>
        <w:t>of</w:t>
      </w:r>
      <w:r>
        <w:rPr>
          <w:b/>
          <w:color w:val="67287F"/>
          <w:spacing w:val="-6"/>
          <w:sz w:val="28"/>
        </w:rPr>
        <w:t> </w:t>
      </w:r>
      <w:r>
        <w:rPr>
          <w:b/>
          <w:color w:val="67287F"/>
          <w:sz w:val="28"/>
        </w:rPr>
        <w:t>the</w:t>
      </w:r>
      <w:r>
        <w:rPr>
          <w:b/>
          <w:color w:val="67287F"/>
          <w:spacing w:val="-6"/>
          <w:sz w:val="28"/>
        </w:rPr>
        <w:t> </w:t>
      </w:r>
      <w:r>
        <w:rPr>
          <w:b/>
          <w:color w:val="67287F"/>
          <w:sz w:val="28"/>
        </w:rPr>
        <w:t>EU</w:t>
      </w:r>
      <w:r>
        <w:rPr>
          <w:b/>
          <w:color w:val="67287F"/>
          <w:spacing w:val="-5"/>
          <w:sz w:val="28"/>
        </w:rPr>
        <w:t> </w:t>
      </w:r>
      <w:r>
        <w:rPr>
          <w:b/>
          <w:color w:val="67287F"/>
          <w:sz w:val="28"/>
        </w:rPr>
        <w:t>Pay Transparency Directive are implemented in NI law by 7 June 2026.</w:t>
      </w:r>
    </w:p>
    <w:p>
      <w:pPr>
        <w:pStyle w:val="ListParagraph"/>
        <w:numPr>
          <w:ilvl w:val="1"/>
          <w:numId w:val="7"/>
        </w:numPr>
        <w:tabs>
          <w:tab w:pos="1853" w:val="left" w:leader="none"/>
        </w:tabs>
        <w:spacing w:line="225" w:lineRule="auto" w:before="314" w:after="0"/>
        <w:ind w:left="1853" w:right="1272" w:hanging="720"/>
        <w:jc w:val="left"/>
        <w:rPr>
          <w:b/>
          <w:color w:val="67287F"/>
          <w:sz w:val="28"/>
        </w:rPr>
      </w:pPr>
      <w:r>
        <w:rPr>
          <w:b/>
          <w:color w:val="67287F"/>
          <w:sz w:val="28"/>
        </w:rPr>
        <w:t>The Commissions recommend that the EU Commission informs the Joint Consultative</w:t>
      </w:r>
      <w:r>
        <w:rPr>
          <w:b/>
          <w:color w:val="67287F"/>
          <w:spacing w:val="-6"/>
          <w:sz w:val="28"/>
        </w:rPr>
        <w:t> </w:t>
      </w:r>
      <w:r>
        <w:rPr>
          <w:b/>
          <w:color w:val="67287F"/>
          <w:sz w:val="28"/>
        </w:rPr>
        <w:t>Working</w:t>
      </w:r>
      <w:r>
        <w:rPr>
          <w:b/>
          <w:color w:val="67287F"/>
          <w:spacing w:val="-6"/>
          <w:sz w:val="28"/>
        </w:rPr>
        <w:t> </w:t>
      </w:r>
      <w:r>
        <w:rPr>
          <w:b/>
          <w:color w:val="67287F"/>
          <w:sz w:val="28"/>
        </w:rPr>
        <w:t>Group</w:t>
      </w:r>
      <w:r>
        <w:rPr>
          <w:b/>
          <w:color w:val="67287F"/>
          <w:spacing w:val="-5"/>
          <w:sz w:val="28"/>
        </w:rPr>
        <w:t> </w:t>
      </w:r>
      <w:r>
        <w:rPr>
          <w:b/>
          <w:color w:val="67287F"/>
          <w:sz w:val="28"/>
        </w:rPr>
        <w:t>in</w:t>
      </w:r>
      <w:r>
        <w:rPr>
          <w:b/>
          <w:color w:val="67287F"/>
          <w:spacing w:val="-5"/>
          <w:sz w:val="28"/>
        </w:rPr>
        <w:t> </w:t>
      </w:r>
      <w:r>
        <w:rPr>
          <w:b/>
          <w:color w:val="67287F"/>
          <w:sz w:val="28"/>
        </w:rPr>
        <w:t>a</w:t>
      </w:r>
      <w:r>
        <w:rPr>
          <w:b/>
          <w:color w:val="67287F"/>
          <w:spacing w:val="-5"/>
          <w:sz w:val="28"/>
        </w:rPr>
        <w:t> </w:t>
      </w:r>
      <w:r>
        <w:rPr>
          <w:b/>
          <w:color w:val="67287F"/>
          <w:sz w:val="28"/>
        </w:rPr>
        <w:t>timely</w:t>
      </w:r>
      <w:r>
        <w:rPr>
          <w:b/>
          <w:color w:val="67287F"/>
          <w:spacing w:val="-5"/>
          <w:sz w:val="28"/>
        </w:rPr>
        <w:t> </w:t>
      </w:r>
      <w:r>
        <w:rPr>
          <w:b/>
          <w:color w:val="67287F"/>
          <w:sz w:val="28"/>
        </w:rPr>
        <w:t>manner</w:t>
      </w:r>
      <w:r>
        <w:rPr>
          <w:b/>
          <w:color w:val="67287F"/>
          <w:spacing w:val="-6"/>
          <w:sz w:val="28"/>
        </w:rPr>
        <w:t> </w:t>
      </w:r>
      <w:r>
        <w:rPr>
          <w:b/>
          <w:color w:val="67287F"/>
          <w:sz w:val="28"/>
        </w:rPr>
        <w:t>of</w:t>
      </w:r>
      <w:r>
        <w:rPr>
          <w:b/>
          <w:color w:val="67287F"/>
          <w:spacing w:val="-6"/>
          <w:sz w:val="28"/>
        </w:rPr>
        <w:t> </w:t>
      </w:r>
      <w:r>
        <w:rPr>
          <w:b/>
          <w:color w:val="67287F"/>
          <w:sz w:val="28"/>
        </w:rPr>
        <w:t>the</w:t>
      </w:r>
      <w:r>
        <w:rPr>
          <w:b/>
          <w:color w:val="67287F"/>
          <w:spacing w:val="-6"/>
          <w:sz w:val="28"/>
        </w:rPr>
        <w:t> </w:t>
      </w:r>
      <w:r>
        <w:rPr>
          <w:b/>
          <w:color w:val="67287F"/>
          <w:sz w:val="28"/>
        </w:rPr>
        <w:t>EU</w:t>
      </w:r>
      <w:r>
        <w:rPr>
          <w:b/>
          <w:color w:val="67287F"/>
          <w:spacing w:val="-5"/>
          <w:sz w:val="28"/>
        </w:rPr>
        <w:t> </w:t>
      </w:r>
      <w:r>
        <w:rPr>
          <w:b/>
          <w:color w:val="67287F"/>
          <w:sz w:val="28"/>
        </w:rPr>
        <w:t>Pay</w:t>
      </w:r>
      <w:r>
        <w:rPr>
          <w:b/>
          <w:color w:val="67287F"/>
          <w:spacing w:val="-5"/>
          <w:sz w:val="28"/>
        </w:rPr>
        <w:t> </w:t>
      </w:r>
      <w:r>
        <w:rPr>
          <w:b/>
          <w:color w:val="67287F"/>
          <w:sz w:val="28"/>
        </w:rPr>
        <w:t>Transparency Directive</w:t>
      </w:r>
      <w:r>
        <w:rPr>
          <w:b/>
          <w:color w:val="67287F"/>
          <w:spacing w:val="-6"/>
          <w:sz w:val="28"/>
        </w:rPr>
        <w:t> </w:t>
      </w:r>
      <w:r>
        <w:rPr>
          <w:b/>
          <w:color w:val="67287F"/>
          <w:sz w:val="28"/>
        </w:rPr>
        <w:t>as</w:t>
      </w:r>
      <w:r>
        <w:rPr>
          <w:b/>
          <w:color w:val="67287F"/>
          <w:spacing w:val="-5"/>
          <w:sz w:val="28"/>
        </w:rPr>
        <w:t> </w:t>
      </w:r>
      <w:r>
        <w:rPr>
          <w:b/>
          <w:color w:val="67287F"/>
          <w:sz w:val="28"/>
        </w:rPr>
        <w:t>an</w:t>
      </w:r>
      <w:r>
        <w:rPr>
          <w:b/>
          <w:color w:val="67287F"/>
          <w:spacing w:val="-5"/>
          <w:sz w:val="28"/>
        </w:rPr>
        <w:t> </w:t>
      </w:r>
      <w:r>
        <w:rPr>
          <w:b/>
          <w:color w:val="67287F"/>
          <w:sz w:val="28"/>
        </w:rPr>
        <w:t>EU</w:t>
      </w:r>
      <w:r>
        <w:rPr>
          <w:b/>
          <w:color w:val="67287F"/>
          <w:spacing w:val="-5"/>
          <w:sz w:val="28"/>
        </w:rPr>
        <w:t> </w:t>
      </w:r>
      <w:r>
        <w:rPr>
          <w:b/>
          <w:color w:val="67287F"/>
          <w:sz w:val="28"/>
        </w:rPr>
        <w:t>measure</w:t>
      </w:r>
      <w:r>
        <w:rPr>
          <w:b/>
          <w:color w:val="67287F"/>
          <w:spacing w:val="-6"/>
          <w:sz w:val="28"/>
        </w:rPr>
        <w:t> </w:t>
      </w:r>
      <w:r>
        <w:rPr>
          <w:b/>
          <w:color w:val="67287F"/>
          <w:sz w:val="28"/>
        </w:rPr>
        <w:t>that</w:t>
      </w:r>
      <w:r>
        <w:rPr>
          <w:b/>
          <w:color w:val="67287F"/>
          <w:spacing w:val="-5"/>
          <w:sz w:val="28"/>
        </w:rPr>
        <w:t> </w:t>
      </w:r>
      <w:r>
        <w:rPr>
          <w:b/>
          <w:color w:val="67287F"/>
          <w:sz w:val="28"/>
        </w:rPr>
        <w:t>amends</w:t>
      </w:r>
      <w:r>
        <w:rPr>
          <w:b/>
          <w:color w:val="67287F"/>
          <w:spacing w:val="-5"/>
          <w:sz w:val="28"/>
        </w:rPr>
        <w:t> </w:t>
      </w:r>
      <w:r>
        <w:rPr>
          <w:b/>
          <w:color w:val="67287F"/>
          <w:sz w:val="28"/>
        </w:rPr>
        <w:t>or</w:t>
      </w:r>
      <w:r>
        <w:rPr>
          <w:b/>
          <w:color w:val="67287F"/>
          <w:spacing w:val="-6"/>
          <w:sz w:val="28"/>
        </w:rPr>
        <w:t> </w:t>
      </w:r>
      <w:r>
        <w:rPr>
          <w:b/>
          <w:color w:val="67287F"/>
          <w:sz w:val="28"/>
        </w:rPr>
        <w:t>replaces</w:t>
      </w:r>
      <w:r>
        <w:rPr>
          <w:b/>
          <w:color w:val="67287F"/>
          <w:spacing w:val="-5"/>
          <w:sz w:val="28"/>
        </w:rPr>
        <w:t> </w:t>
      </w:r>
      <w:r>
        <w:rPr>
          <w:b/>
          <w:color w:val="67287F"/>
          <w:sz w:val="28"/>
        </w:rPr>
        <w:t>the</w:t>
      </w:r>
      <w:r>
        <w:rPr>
          <w:b/>
          <w:color w:val="67287F"/>
          <w:spacing w:val="-6"/>
          <w:sz w:val="28"/>
        </w:rPr>
        <w:t> </w:t>
      </w:r>
      <w:r>
        <w:rPr>
          <w:b/>
          <w:color w:val="67287F"/>
          <w:sz w:val="28"/>
        </w:rPr>
        <w:t>EU</w:t>
      </w:r>
      <w:r>
        <w:rPr>
          <w:b/>
          <w:color w:val="67287F"/>
          <w:spacing w:val="-5"/>
          <w:sz w:val="28"/>
        </w:rPr>
        <w:t> </w:t>
      </w:r>
      <w:r>
        <w:rPr>
          <w:b/>
          <w:color w:val="67287F"/>
          <w:sz w:val="28"/>
        </w:rPr>
        <w:t>Gender</w:t>
      </w:r>
      <w:r>
        <w:rPr>
          <w:b/>
          <w:color w:val="67287F"/>
          <w:spacing w:val="-6"/>
          <w:sz w:val="28"/>
        </w:rPr>
        <w:t> </w:t>
      </w:r>
      <w:r>
        <w:rPr>
          <w:b/>
          <w:color w:val="67287F"/>
          <w:sz w:val="28"/>
        </w:rPr>
        <w:t>Equality (Employment) Directive.</w:t>
      </w:r>
    </w:p>
    <w:p>
      <w:pPr>
        <w:pStyle w:val="ListParagraph"/>
        <w:numPr>
          <w:ilvl w:val="1"/>
          <w:numId w:val="7"/>
        </w:numPr>
        <w:tabs>
          <w:tab w:pos="1853" w:val="left" w:leader="none"/>
        </w:tabs>
        <w:spacing w:line="225" w:lineRule="auto" w:before="315" w:after="0"/>
        <w:ind w:left="1853" w:right="1136" w:hanging="720"/>
        <w:jc w:val="left"/>
        <w:rPr>
          <w:b/>
          <w:color w:val="67287F"/>
          <w:sz w:val="28"/>
        </w:rPr>
      </w:pPr>
      <w:r>
        <w:rPr>
          <w:b/>
          <w:color w:val="67287F"/>
          <w:sz w:val="28"/>
        </w:rPr>
        <w:t>In addition to the keeping pace obligation, the Commissions recommend that</w:t>
      </w:r>
      <w:r>
        <w:rPr>
          <w:b/>
          <w:color w:val="67287F"/>
          <w:spacing w:val="-1"/>
          <w:sz w:val="28"/>
        </w:rPr>
        <w:t> </w:t>
      </w:r>
      <w:r>
        <w:rPr>
          <w:b/>
          <w:color w:val="67287F"/>
          <w:sz w:val="28"/>
        </w:rPr>
        <w:t>the</w:t>
      </w:r>
      <w:r>
        <w:rPr>
          <w:b/>
          <w:color w:val="67287F"/>
          <w:spacing w:val="-2"/>
          <w:sz w:val="28"/>
        </w:rPr>
        <w:t> </w:t>
      </w:r>
      <w:r>
        <w:rPr>
          <w:b/>
          <w:color w:val="67287F"/>
          <w:sz w:val="28"/>
        </w:rPr>
        <w:t>Department</w:t>
      </w:r>
      <w:r>
        <w:rPr>
          <w:b/>
          <w:color w:val="67287F"/>
          <w:spacing w:val="-1"/>
          <w:sz w:val="28"/>
        </w:rPr>
        <w:t> </w:t>
      </w:r>
      <w:r>
        <w:rPr>
          <w:b/>
          <w:color w:val="67287F"/>
          <w:sz w:val="28"/>
        </w:rPr>
        <w:t>for</w:t>
      </w:r>
      <w:r>
        <w:rPr>
          <w:b/>
          <w:color w:val="67287F"/>
          <w:spacing w:val="-2"/>
          <w:sz w:val="28"/>
        </w:rPr>
        <w:t> </w:t>
      </w:r>
      <w:r>
        <w:rPr>
          <w:b/>
          <w:color w:val="67287F"/>
          <w:sz w:val="28"/>
        </w:rPr>
        <w:t>Communities,</w:t>
      </w:r>
      <w:r>
        <w:rPr>
          <w:b/>
          <w:color w:val="67287F"/>
          <w:spacing w:val="-1"/>
          <w:sz w:val="28"/>
        </w:rPr>
        <w:t> </w:t>
      </w:r>
      <w:r>
        <w:rPr>
          <w:b/>
          <w:color w:val="67287F"/>
          <w:sz w:val="28"/>
        </w:rPr>
        <w:t>in</w:t>
      </w:r>
      <w:r>
        <w:rPr>
          <w:b/>
          <w:color w:val="67287F"/>
          <w:spacing w:val="-1"/>
          <w:sz w:val="28"/>
        </w:rPr>
        <w:t> </w:t>
      </w:r>
      <w:r>
        <w:rPr>
          <w:b/>
          <w:color w:val="67287F"/>
          <w:sz w:val="28"/>
        </w:rPr>
        <w:t>the</w:t>
      </w:r>
      <w:r>
        <w:rPr>
          <w:b/>
          <w:color w:val="67287F"/>
          <w:spacing w:val="-2"/>
          <w:sz w:val="28"/>
        </w:rPr>
        <w:t> </w:t>
      </w:r>
      <w:r>
        <w:rPr>
          <w:b/>
          <w:color w:val="67287F"/>
          <w:sz w:val="28"/>
        </w:rPr>
        <w:t>development</w:t>
      </w:r>
      <w:r>
        <w:rPr>
          <w:b/>
          <w:color w:val="67287F"/>
          <w:spacing w:val="-1"/>
          <w:sz w:val="28"/>
        </w:rPr>
        <w:t> </w:t>
      </w:r>
      <w:r>
        <w:rPr>
          <w:b/>
          <w:color w:val="67287F"/>
          <w:sz w:val="28"/>
        </w:rPr>
        <w:t>of</w:t>
      </w:r>
      <w:r>
        <w:rPr>
          <w:b/>
          <w:color w:val="67287F"/>
          <w:spacing w:val="-2"/>
          <w:sz w:val="28"/>
        </w:rPr>
        <w:t> </w:t>
      </w:r>
      <w:r>
        <w:rPr>
          <w:b/>
          <w:color w:val="67287F"/>
          <w:sz w:val="28"/>
        </w:rPr>
        <w:t>any</w:t>
      </w:r>
      <w:r>
        <w:rPr>
          <w:b/>
          <w:color w:val="67287F"/>
          <w:spacing w:val="-1"/>
          <w:sz w:val="28"/>
        </w:rPr>
        <w:t> </w:t>
      </w:r>
      <w:r>
        <w:rPr>
          <w:b/>
          <w:color w:val="67287F"/>
          <w:sz w:val="28"/>
        </w:rPr>
        <w:t>legislation introducing requirements relating to strengthening the application of equal pay,</w:t>
      </w:r>
      <w:r>
        <w:rPr>
          <w:b/>
          <w:color w:val="67287F"/>
          <w:spacing w:val="-10"/>
          <w:sz w:val="28"/>
        </w:rPr>
        <w:t> </w:t>
      </w:r>
      <w:r>
        <w:rPr>
          <w:b/>
          <w:color w:val="67287F"/>
          <w:sz w:val="28"/>
        </w:rPr>
        <w:t>ensure</w:t>
      </w:r>
      <w:r>
        <w:rPr>
          <w:b/>
          <w:color w:val="67287F"/>
          <w:spacing w:val="-11"/>
          <w:sz w:val="28"/>
        </w:rPr>
        <w:t> </w:t>
      </w:r>
      <w:r>
        <w:rPr>
          <w:b/>
          <w:color w:val="67287F"/>
          <w:sz w:val="28"/>
        </w:rPr>
        <w:t>that,</w:t>
      </w:r>
      <w:r>
        <w:rPr>
          <w:b/>
          <w:color w:val="67287F"/>
          <w:spacing w:val="-10"/>
          <w:sz w:val="28"/>
        </w:rPr>
        <w:t> </w:t>
      </w:r>
      <w:r>
        <w:rPr>
          <w:b/>
          <w:color w:val="67287F"/>
          <w:sz w:val="28"/>
        </w:rPr>
        <w:t>where</w:t>
      </w:r>
      <w:r>
        <w:rPr>
          <w:b/>
          <w:color w:val="67287F"/>
          <w:spacing w:val="-11"/>
          <w:sz w:val="28"/>
        </w:rPr>
        <w:t> </w:t>
      </w:r>
      <w:r>
        <w:rPr>
          <w:b/>
          <w:color w:val="67287F"/>
          <w:sz w:val="28"/>
        </w:rPr>
        <w:t>necessary,</w:t>
      </w:r>
      <w:r>
        <w:rPr>
          <w:b/>
          <w:color w:val="67287F"/>
          <w:spacing w:val="-10"/>
          <w:sz w:val="28"/>
        </w:rPr>
        <w:t> </w:t>
      </w:r>
      <w:r>
        <w:rPr>
          <w:b/>
          <w:color w:val="67287F"/>
          <w:sz w:val="28"/>
        </w:rPr>
        <w:t>this</w:t>
      </w:r>
      <w:r>
        <w:rPr>
          <w:b/>
          <w:color w:val="67287F"/>
          <w:spacing w:val="-10"/>
          <w:sz w:val="28"/>
        </w:rPr>
        <w:t> </w:t>
      </w:r>
      <w:r>
        <w:rPr>
          <w:b/>
          <w:color w:val="67287F"/>
          <w:sz w:val="28"/>
        </w:rPr>
        <w:t>legislation</w:t>
      </w:r>
      <w:r>
        <w:rPr>
          <w:b/>
          <w:color w:val="67287F"/>
          <w:spacing w:val="-10"/>
          <w:sz w:val="28"/>
        </w:rPr>
        <w:t> </w:t>
      </w:r>
      <w:r>
        <w:rPr>
          <w:b/>
          <w:color w:val="67287F"/>
          <w:sz w:val="28"/>
        </w:rPr>
        <w:t>goes</w:t>
      </w:r>
      <w:r>
        <w:rPr>
          <w:b/>
          <w:color w:val="67287F"/>
          <w:spacing w:val="-10"/>
          <w:sz w:val="28"/>
        </w:rPr>
        <w:t> </w:t>
      </w:r>
      <w:r>
        <w:rPr>
          <w:b/>
          <w:color w:val="67287F"/>
          <w:sz w:val="28"/>
        </w:rPr>
        <w:t>beyond</w:t>
      </w:r>
      <w:r>
        <w:rPr>
          <w:b/>
          <w:color w:val="67287F"/>
          <w:spacing w:val="-10"/>
          <w:sz w:val="28"/>
        </w:rPr>
        <w:t> </w:t>
      </w:r>
      <w:r>
        <w:rPr>
          <w:b/>
          <w:color w:val="67287F"/>
          <w:sz w:val="28"/>
        </w:rPr>
        <w:t>the</w:t>
      </w:r>
      <w:r>
        <w:rPr>
          <w:b/>
          <w:color w:val="67287F"/>
          <w:spacing w:val="-11"/>
          <w:sz w:val="28"/>
        </w:rPr>
        <w:t> </w:t>
      </w:r>
      <w:r>
        <w:rPr>
          <w:b/>
          <w:color w:val="67287F"/>
          <w:sz w:val="28"/>
        </w:rPr>
        <w:t>minimum standards in the EU Pay Transparency Directive, and reflects best practice, including international human rights best practice and standards, so as to ensure robust rights and protections.</w:t>
      </w:r>
    </w:p>
    <w:p>
      <w:pPr>
        <w:pStyle w:val="BodyText"/>
        <w:rPr>
          <w:b/>
          <w:sz w:val="20"/>
        </w:rPr>
      </w:pPr>
    </w:p>
    <w:p>
      <w:pPr>
        <w:pStyle w:val="BodyText"/>
        <w:rPr>
          <w:b/>
          <w:sz w:val="20"/>
        </w:rPr>
      </w:pPr>
    </w:p>
    <w:p>
      <w:pPr>
        <w:pStyle w:val="BodyText"/>
        <w:spacing w:before="58"/>
        <w:rPr>
          <w:b/>
          <w:sz w:val="20"/>
        </w:rPr>
      </w:pPr>
      <w:r>
        <w:rPr/>
        <mc:AlternateContent>
          <mc:Choice Requires="wps">
            <w:drawing>
              <wp:anchor distT="0" distB="0" distL="0" distR="0" allowOverlap="1" layoutInCell="1" locked="0" behindDoc="1" simplePos="0" relativeHeight="487692800">
                <wp:simplePos x="0" y="0"/>
                <wp:positionH relativeFrom="page">
                  <wp:posOffset>719996</wp:posOffset>
                </wp:positionH>
                <wp:positionV relativeFrom="paragraph">
                  <wp:posOffset>207571</wp:posOffset>
                </wp:positionV>
                <wp:extent cx="6120130" cy="1270"/>
                <wp:effectExtent l="0" t="0" r="0" b="0"/>
                <wp:wrapTopAndBottom/>
                <wp:docPr id="485" name="Graphic 485"/>
                <wp:cNvGraphicFramePr>
                  <a:graphicFrameLocks/>
                </wp:cNvGraphicFramePr>
                <a:graphic>
                  <a:graphicData uri="http://schemas.microsoft.com/office/word/2010/wordprocessingShape">
                    <wps:wsp>
                      <wps:cNvPr id="485" name="Graphic 48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6.344187pt;width:481.9pt;height:.1pt;mso-position-horizontal-relative:page;mso-position-vertical-relative:paragraph;z-index:-15623680;mso-wrap-distance-left:0;mso-wrap-distance-right:0" id="docshape432" coordorigin="1134,327" coordsize="9638,0" path="m10772,327l1134,327e" filled="false" stroked="true" strokeweight="1pt" strokecolor="#393b80">
                <v:path arrowok="t"/>
                <v:stroke dashstyle="solid"/>
                <w10:wrap type="topAndBottom"/>
              </v:shape>
            </w:pict>
          </mc:Fallback>
        </mc:AlternateContent>
      </w:r>
    </w:p>
    <w:p>
      <w:pPr>
        <w:spacing w:line="235" w:lineRule="auto" w:before="140"/>
        <w:ind w:left="1853" w:right="1171" w:firstLine="0"/>
        <w:jc w:val="left"/>
        <w:rPr>
          <w:sz w:val="18"/>
        </w:rPr>
      </w:pPr>
      <w:r>
        <w:rPr>
          <w:sz w:val="18"/>
        </w:rPr>
        <w:t>no</w:t>
      </w:r>
      <w:r>
        <w:rPr>
          <w:spacing w:val="-5"/>
          <w:sz w:val="18"/>
        </w:rPr>
        <w:t> </w:t>
      </w:r>
      <w:r>
        <w:rPr>
          <w:sz w:val="18"/>
        </w:rPr>
        <w:t>longer</w:t>
      </w:r>
      <w:r>
        <w:rPr>
          <w:spacing w:val="-5"/>
          <w:sz w:val="18"/>
        </w:rPr>
        <w:t> </w:t>
      </w:r>
      <w:r>
        <w:rPr>
          <w:sz w:val="18"/>
        </w:rPr>
        <w:t>relevant</w:t>
      </w:r>
      <w:r>
        <w:rPr>
          <w:spacing w:val="-5"/>
          <w:sz w:val="18"/>
        </w:rPr>
        <w:t> </w:t>
      </w:r>
      <w:r>
        <w:rPr>
          <w:sz w:val="18"/>
        </w:rPr>
        <w:t>now</w:t>
      </w:r>
      <w:r>
        <w:rPr>
          <w:spacing w:val="-5"/>
          <w:sz w:val="18"/>
        </w:rPr>
        <w:t> </w:t>
      </w:r>
      <w:r>
        <w:rPr>
          <w:sz w:val="18"/>
        </w:rPr>
        <w:t>that</w:t>
      </w:r>
      <w:r>
        <w:rPr>
          <w:spacing w:val="-5"/>
          <w:sz w:val="18"/>
        </w:rPr>
        <w:t> </w:t>
      </w:r>
      <w:r>
        <w:rPr>
          <w:sz w:val="18"/>
        </w:rPr>
        <w:t>the</w:t>
      </w:r>
      <w:r>
        <w:rPr>
          <w:spacing w:val="-5"/>
          <w:sz w:val="18"/>
        </w:rPr>
        <w:t> </w:t>
      </w:r>
      <w:r>
        <w:rPr>
          <w:sz w:val="18"/>
        </w:rPr>
        <w:t>UK</w:t>
      </w:r>
      <w:r>
        <w:rPr>
          <w:spacing w:val="-5"/>
          <w:sz w:val="18"/>
        </w:rPr>
        <w:t> </w:t>
      </w:r>
      <w:r>
        <w:rPr>
          <w:sz w:val="18"/>
        </w:rPr>
        <w:t>has</w:t>
      </w:r>
      <w:r>
        <w:rPr>
          <w:spacing w:val="-5"/>
          <w:sz w:val="18"/>
        </w:rPr>
        <w:t> </w:t>
      </w:r>
      <w:r>
        <w:rPr>
          <w:sz w:val="18"/>
        </w:rPr>
        <w:t>left</w:t>
      </w:r>
      <w:r>
        <w:rPr>
          <w:spacing w:val="-5"/>
          <w:sz w:val="18"/>
        </w:rPr>
        <w:t> </w:t>
      </w:r>
      <w:r>
        <w:rPr>
          <w:sz w:val="18"/>
        </w:rPr>
        <w:t>the</w:t>
      </w:r>
      <w:r>
        <w:rPr>
          <w:spacing w:val="-5"/>
          <w:sz w:val="18"/>
        </w:rPr>
        <w:t> </w:t>
      </w:r>
      <w:r>
        <w:rPr>
          <w:sz w:val="18"/>
        </w:rPr>
        <w:t>EU,</w:t>
      </w:r>
      <w:r>
        <w:rPr>
          <w:spacing w:val="-5"/>
          <w:sz w:val="18"/>
        </w:rPr>
        <w:t> </w:t>
      </w:r>
      <w:r>
        <w:rPr>
          <w:sz w:val="18"/>
        </w:rPr>
        <w:t>all</w:t>
      </w:r>
      <w:r>
        <w:rPr>
          <w:spacing w:val="-5"/>
          <w:sz w:val="18"/>
        </w:rPr>
        <w:t> </w:t>
      </w:r>
      <w:r>
        <w:rPr>
          <w:sz w:val="18"/>
        </w:rPr>
        <w:t>other</w:t>
      </w:r>
      <w:r>
        <w:rPr>
          <w:spacing w:val="-5"/>
          <w:sz w:val="18"/>
        </w:rPr>
        <w:t> </w:t>
      </w:r>
      <w:r>
        <w:rPr>
          <w:sz w:val="18"/>
        </w:rPr>
        <w:t>provisions</w:t>
      </w:r>
      <w:r>
        <w:rPr>
          <w:spacing w:val="-5"/>
          <w:sz w:val="18"/>
        </w:rPr>
        <w:t> </w:t>
      </w:r>
      <w:r>
        <w:rPr>
          <w:sz w:val="18"/>
        </w:rPr>
        <w:t>of</w:t>
      </w:r>
      <w:r>
        <w:rPr>
          <w:spacing w:val="-5"/>
          <w:sz w:val="18"/>
        </w:rPr>
        <w:t> </w:t>
      </w:r>
      <w:r>
        <w:rPr>
          <w:sz w:val="18"/>
        </w:rPr>
        <w:t>the</w:t>
      </w:r>
      <w:r>
        <w:rPr>
          <w:spacing w:val="-5"/>
          <w:sz w:val="18"/>
        </w:rPr>
        <w:t> </w:t>
      </w:r>
      <w:r>
        <w:rPr>
          <w:sz w:val="18"/>
        </w:rPr>
        <w:t>Pay</w:t>
      </w:r>
      <w:r>
        <w:rPr>
          <w:spacing w:val="-5"/>
          <w:sz w:val="18"/>
        </w:rPr>
        <w:t> </w:t>
      </w:r>
      <w:r>
        <w:rPr>
          <w:sz w:val="18"/>
        </w:rPr>
        <w:t>Transparency</w:t>
      </w:r>
      <w:r>
        <w:rPr>
          <w:spacing w:val="-5"/>
          <w:sz w:val="18"/>
        </w:rPr>
        <w:t> </w:t>
      </w:r>
      <w:r>
        <w:rPr>
          <w:sz w:val="18"/>
        </w:rPr>
        <w:t>Directive</w:t>
      </w:r>
      <w:r>
        <w:rPr>
          <w:spacing w:val="-5"/>
          <w:sz w:val="18"/>
        </w:rPr>
        <w:t> </w:t>
      </w:r>
      <w:r>
        <w:rPr>
          <w:sz w:val="18"/>
        </w:rPr>
        <w:t>amend</w:t>
      </w:r>
      <w:r>
        <w:rPr>
          <w:spacing w:val="-5"/>
          <w:sz w:val="18"/>
        </w:rPr>
        <w:t> </w:t>
      </w:r>
      <w:r>
        <w:rPr>
          <w:sz w:val="18"/>
        </w:rPr>
        <w:t>and/or replace provisions in the Recast Directive.</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Article</w:t>
      </w:r>
      <w:r>
        <w:rPr>
          <w:spacing w:val="-2"/>
          <w:sz w:val="18"/>
        </w:rPr>
        <w:t> </w:t>
      </w:r>
      <w:r>
        <w:rPr>
          <w:sz w:val="18"/>
        </w:rPr>
        <w:t>15(3),</w:t>
      </w:r>
      <w:r>
        <w:rPr>
          <w:spacing w:val="-2"/>
          <w:sz w:val="18"/>
        </w:rPr>
        <w:t> </w:t>
      </w:r>
      <w:r>
        <w:rPr>
          <w:sz w:val="18"/>
        </w:rPr>
        <w:t>Windsor</w:t>
      </w:r>
      <w:r>
        <w:rPr>
          <w:spacing w:val="-1"/>
          <w:sz w:val="18"/>
        </w:rPr>
        <w:t> </w:t>
      </w:r>
      <w:r>
        <w:rPr>
          <w:spacing w:val="-2"/>
          <w:sz w:val="18"/>
        </w:rPr>
        <w:t>Framework.</w:t>
      </w:r>
    </w:p>
    <w:p>
      <w:pPr>
        <w:pStyle w:val="ListParagraph"/>
        <w:numPr>
          <w:ilvl w:val="0"/>
          <w:numId w:val="11"/>
        </w:numPr>
        <w:tabs>
          <w:tab w:pos="1853" w:val="left" w:leader="none"/>
        </w:tabs>
        <w:spacing w:line="235" w:lineRule="auto" w:before="1" w:after="0"/>
        <w:ind w:left="1853" w:right="1218" w:hanging="720"/>
        <w:jc w:val="left"/>
        <w:rPr>
          <w:sz w:val="18"/>
        </w:rPr>
      </w:pPr>
      <w:r>
        <w:rPr>
          <w:sz w:val="18"/>
        </w:rPr>
        <w:t>For</w:t>
      </w:r>
      <w:r>
        <w:rPr>
          <w:spacing w:val="-3"/>
          <w:sz w:val="18"/>
        </w:rPr>
        <w:t> </w:t>
      </w:r>
      <w:r>
        <w:rPr>
          <w:sz w:val="18"/>
        </w:rPr>
        <w:t>example,</w:t>
      </w:r>
      <w:r>
        <w:rPr>
          <w:spacing w:val="-3"/>
          <w:sz w:val="18"/>
        </w:rPr>
        <w:t> </w:t>
      </w:r>
      <w:r>
        <w:rPr>
          <w:sz w:val="18"/>
        </w:rPr>
        <w:t>the</w:t>
      </w:r>
      <w:r>
        <w:rPr>
          <w:spacing w:val="-3"/>
          <w:sz w:val="18"/>
        </w:rPr>
        <w:t> </w:t>
      </w:r>
      <w:r>
        <w:rPr>
          <w:sz w:val="18"/>
        </w:rPr>
        <w:t>ECNI</w:t>
      </w:r>
      <w:r>
        <w:rPr>
          <w:spacing w:val="-3"/>
          <w:sz w:val="18"/>
        </w:rPr>
        <w:t> </w:t>
      </w:r>
      <w:r>
        <w:rPr>
          <w:sz w:val="18"/>
        </w:rPr>
        <w:t>has</w:t>
      </w:r>
      <w:r>
        <w:rPr>
          <w:spacing w:val="-4"/>
          <w:sz w:val="18"/>
        </w:rPr>
        <w:t> </w:t>
      </w:r>
      <w:r>
        <w:rPr>
          <w:sz w:val="18"/>
        </w:rPr>
        <w:t>called</w:t>
      </w:r>
      <w:r>
        <w:rPr>
          <w:spacing w:val="-4"/>
          <w:sz w:val="18"/>
        </w:rPr>
        <w:t> </w:t>
      </w:r>
      <w:r>
        <w:rPr>
          <w:sz w:val="18"/>
        </w:rPr>
        <w:t>for</w:t>
      </w:r>
      <w:r>
        <w:rPr>
          <w:spacing w:val="-3"/>
          <w:sz w:val="18"/>
        </w:rPr>
        <w:t> </w:t>
      </w:r>
      <w:r>
        <w:rPr>
          <w:sz w:val="18"/>
        </w:rPr>
        <w:t>the</w:t>
      </w:r>
      <w:r>
        <w:rPr>
          <w:spacing w:val="-3"/>
          <w:sz w:val="18"/>
        </w:rPr>
        <w:t> </w:t>
      </w:r>
      <w:r>
        <w:rPr>
          <w:sz w:val="18"/>
        </w:rPr>
        <w:t>power</w:t>
      </w:r>
      <w:r>
        <w:rPr>
          <w:spacing w:val="-3"/>
          <w:sz w:val="18"/>
        </w:rPr>
        <w:t> </w:t>
      </w:r>
      <w:r>
        <w:rPr>
          <w:sz w:val="18"/>
        </w:rPr>
        <w:t>to</w:t>
      </w:r>
      <w:r>
        <w:rPr>
          <w:spacing w:val="-4"/>
          <w:sz w:val="18"/>
        </w:rPr>
        <w:t> </w:t>
      </w:r>
      <w:r>
        <w:rPr>
          <w:sz w:val="18"/>
        </w:rPr>
        <w:t>bring</w:t>
      </w:r>
      <w:r>
        <w:rPr>
          <w:spacing w:val="-3"/>
          <w:sz w:val="18"/>
        </w:rPr>
        <w:t> </w:t>
      </w:r>
      <w:r>
        <w:rPr>
          <w:sz w:val="18"/>
        </w:rPr>
        <w:t>discrimination</w:t>
      </w:r>
      <w:r>
        <w:rPr>
          <w:spacing w:val="-4"/>
          <w:sz w:val="18"/>
        </w:rPr>
        <w:t> </w:t>
      </w:r>
      <w:r>
        <w:rPr>
          <w:sz w:val="18"/>
        </w:rPr>
        <w:t>cases</w:t>
      </w:r>
      <w:r>
        <w:rPr>
          <w:spacing w:val="-4"/>
          <w:sz w:val="18"/>
        </w:rPr>
        <w:t> </w:t>
      </w:r>
      <w:r>
        <w:rPr>
          <w:sz w:val="18"/>
        </w:rPr>
        <w:t>in</w:t>
      </w:r>
      <w:r>
        <w:rPr>
          <w:spacing w:val="-4"/>
          <w:sz w:val="18"/>
        </w:rPr>
        <w:t> </w:t>
      </w:r>
      <w:r>
        <w:rPr>
          <w:sz w:val="18"/>
        </w:rPr>
        <w:t>its</w:t>
      </w:r>
      <w:r>
        <w:rPr>
          <w:spacing w:val="-4"/>
          <w:sz w:val="18"/>
        </w:rPr>
        <w:t> </w:t>
      </w:r>
      <w:r>
        <w:rPr>
          <w:sz w:val="18"/>
        </w:rPr>
        <w:t>own</w:t>
      </w:r>
      <w:r>
        <w:rPr>
          <w:spacing w:val="-4"/>
          <w:sz w:val="18"/>
        </w:rPr>
        <w:t> </w:t>
      </w:r>
      <w:r>
        <w:rPr>
          <w:sz w:val="18"/>
        </w:rPr>
        <w:t>name</w:t>
      </w:r>
      <w:r>
        <w:rPr>
          <w:spacing w:val="-3"/>
          <w:sz w:val="18"/>
        </w:rPr>
        <w:t> </w:t>
      </w:r>
      <w:r>
        <w:rPr>
          <w:sz w:val="18"/>
        </w:rPr>
        <w:t>(own</w:t>
      </w:r>
      <w:r>
        <w:rPr>
          <w:spacing w:val="-4"/>
          <w:sz w:val="18"/>
        </w:rPr>
        <w:t> </w:t>
      </w:r>
      <w:r>
        <w:rPr>
          <w:sz w:val="18"/>
        </w:rPr>
        <w:t>motion</w:t>
      </w:r>
      <w:r>
        <w:rPr>
          <w:spacing w:val="-4"/>
          <w:sz w:val="18"/>
        </w:rPr>
        <w:t> </w:t>
      </w:r>
      <w:r>
        <w:rPr>
          <w:sz w:val="18"/>
        </w:rPr>
        <w:t>powers)</w:t>
      </w:r>
      <w:r>
        <w:rPr>
          <w:spacing w:val="-4"/>
          <w:sz w:val="18"/>
        </w:rPr>
        <w:t> </w:t>
      </w:r>
      <w:r>
        <w:rPr>
          <w:sz w:val="18"/>
        </w:rPr>
        <w:t>which is not envisaged under the Directive. See Equality Commission for NI, ‘Consultation Response: The Executive Office: Consultation on the Review of the Race Relations (NI) Order’ (ECNI, 2023).</w:t>
      </w:r>
    </w:p>
    <w:p>
      <w:pPr>
        <w:spacing w:after="0" w:line="235" w:lineRule="auto"/>
        <w:jc w:val="left"/>
        <w:rPr>
          <w:sz w:val="18"/>
        </w:rPr>
        <w:sectPr>
          <w:pgSz w:w="11910" w:h="16840"/>
          <w:pgMar w:header="496" w:footer="367" w:top="1220" w:bottom="560" w:left="0" w:right="0"/>
        </w:sectPr>
      </w:pPr>
    </w:p>
    <w:p>
      <w:pPr>
        <w:pStyle w:val="BodyText"/>
        <w:spacing w:before="182"/>
      </w:pPr>
    </w:p>
    <w:p>
      <w:pPr>
        <w:pStyle w:val="Heading5"/>
        <w:ind w:left="1133" w:firstLine="0"/>
      </w:pPr>
      <w:bookmarkStart w:name="_bookmark38" w:id="82"/>
      <w:bookmarkEnd w:id="82"/>
      <w:r>
        <w:rPr>
          <w:b w:val="0"/>
        </w:rPr>
      </w:r>
      <w:bookmarkStart w:name="Right to Privacy and Surveillance at Wor" w:id="83"/>
      <w:bookmarkEnd w:id="83"/>
      <w:r>
        <w:rPr>
          <w:b w:val="0"/>
        </w:rPr>
      </w:r>
      <w:r>
        <w:rPr>
          <w:color w:val="393B80"/>
        </w:rPr>
        <w:t>Right</w:t>
      </w:r>
      <w:r>
        <w:rPr>
          <w:color w:val="393B80"/>
          <w:spacing w:val="-5"/>
        </w:rPr>
        <w:t> </w:t>
      </w:r>
      <w:r>
        <w:rPr>
          <w:color w:val="393B80"/>
        </w:rPr>
        <w:t>to</w:t>
      </w:r>
      <w:r>
        <w:rPr>
          <w:color w:val="393B80"/>
          <w:spacing w:val="-5"/>
        </w:rPr>
        <w:t> </w:t>
      </w:r>
      <w:r>
        <w:rPr>
          <w:color w:val="393B80"/>
        </w:rPr>
        <w:t>Privacy</w:t>
      </w:r>
      <w:r>
        <w:rPr>
          <w:color w:val="393B80"/>
          <w:spacing w:val="-5"/>
        </w:rPr>
        <w:t> </w:t>
      </w:r>
      <w:r>
        <w:rPr>
          <w:color w:val="393B80"/>
        </w:rPr>
        <w:t>and</w:t>
      </w:r>
      <w:r>
        <w:rPr>
          <w:color w:val="393B80"/>
          <w:spacing w:val="-4"/>
        </w:rPr>
        <w:t> </w:t>
      </w:r>
      <w:r>
        <w:rPr>
          <w:color w:val="393B80"/>
        </w:rPr>
        <w:t>Surveillance</w:t>
      </w:r>
      <w:r>
        <w:rPr>
          <w:color w:val="393B80"/>
          <w:spacing w:val="-6"/>
        </w:rPr>
        <w:t> </w:t>
      </w:r>
      <w:r>
        <w:rPr>
          <w:color w:val="393B80"/>
        </w:rPr>
        <w:t>at</w:t>
      </w:r>
      <w:r>
        <w:rPr>
          <w:color w:val="393B80"/>
          <w:spacing w:val="-4"/>
        </w:rPr>
        <w:t> Work</w:t>
      </w:r>
    </w:p>
    <w:p>
      <w:pPr>
        <w:pStyle w:val="ListParagraph"/>
        <w:numPr>
          <w:ilvl w:val="1"/>
          <w:numId w:val="7"/>
        </w:numPr>
        <w:tabs>
          <w:tab w:pos="1853" w:val="left" w:leader="none"/>
        </w:tabs>
        <w:spacing w:line="225" w:lineRule="auto" w:before="331" w:after="0"/>
        <w:ind w:left="1853" w:right="1570" w:hanging="720"/>
        <w:jc w:val="left"/>
        <w:rPr>
          <w:sz w:val="28"/>
        </w:rPr>
      </w:pPr>
      <w:r>
        <w:rPr>
          <w:sz w:val="28"/>
        </w:rPr>
        <w:t>In March 2023, the NIHRC responded to the ongoing Joint Committee on Human Rights inquiry on human rights at work. The NIHRC highlighted</w:t>
      </w:r>
      <w:r>
        <w:rPr>
          <w:spacing w:val="40"/>
          <w:sz w:val="28"/>
        </w:rPr>
        <w:t> </w:t>
      </w:r>
      <w:r>
        <w:rPr>
          <w:sz w:val="28"/>
        </w:rPr>
        <w:t>that the non-diminution commitment in Windsor Framework Article 2 encompasses</w:t>
      </w:r>
      <w:r>
        <w:rPr>
          <w:spacing w:val="-6"/>
          <w:sz w:val="28"/>
        </w:rPr>
        <w:t> </w:t>
      </w:r>
      <w:r>
        <w:rPr>
          <w:sz w:val="28"/>
        </w:rPr>
        <w:t>the</w:t>
      </w:r>
      <w:r>
        <w:rPr>
          <w:spacing w:val="-5"/>
          <w:sz w:val="28"/>
        </w:rPr>
        <w:t> </w:t>
      </w:r>
      <w:r>
        <w:rPr>
          <w:sz w:val="28"/>
        </w:rPr>
        <w:t>full</w:t>
      </w:r>
      <w:r>
        <w:rPr>
          <w:spacing w:val="-6"/>
          <w:sz w:val="28"/>
        </w:rPr>
        <w:t> </w:t>
      </w:r>
      <w:r>
        <w:rPr>
          <w:sz w:val="28"/>
        </w:rPr>
        <w:t>range</w:t>
      </w:r>
      <w:r>
        <w:rPr>
          <w:spacing w:val="-5"/>
          <w:sz w:val="28"/>
        </w:rPr>
        <w:t> </w:t>
      </w:r>
      <w:r>
        <w:rPr>
          <w:sz w:val="28"/>
        </w:rPr>
        <w:t>of</w:t>
      </w:r>
      <w:r>
        <w:rPr>
          <w:spacing w:val="-6"/>
          <w:sz w:val="28"/>
        </w:rPr>
        <w:t> </w:t>
      </w:r>
      <w:r>
        <w:rPr>
          <w:sz w:val="28"/>
        </w:rPr>
        <w:t>rights</w:t>
      </w:r>
      <w:r>
        <w:rPr>
          <w:spacing w:val="-6"/>
          <w:sz w:val="28"/>
        </w:rPr>
        <w:t> </w:t>
      </w:r>
      <w:r>
        <w:rPr>
          <w:sz w:val="28"/>
        </w:rPr>
        <w:t>set</w:t>
      </w:r>
      <w:r>
        <w:rPr>
          <w:spacing w:val="-5"/>
          <w:sz w:val="28"/>
        </w:rPr>
        <w:t> </w:t>
      </w:r>
      <w:r>
        <w:rPr>
          <w:sz w:val="28"/>
        </w:rPr>
        <w:t>out</w:t>
      </w:r>
      <w:r>
        <w:rPr>
          <w:spacing w:val="-5"/>
          <w:sz w:val="28"/>
        </w:rPr>
        <w:t> </w:t>
      </w:r>
      <w:r>
        <w:rPr>
          <w:sz w:val="28"/>
        </w:rPr>
        <w:t>in</w:t>
      </w:r>
      <w:r>
        <w:rPr>
          <w:spacing w:val="-6"/>
          <w:sz w:val="28"/>
        </w:rPr>
        <w:t> </w:t>
      </w:r>
      <w:r>
        <w:rPr>
          <w:sz w:val="28"/>
        </w:rPr>
        <w:t>the</w:t>
      </w:r>
      <w:r>
        <w:rPr>
          <w:spacing w:val="-5"/>
          <w:sz w:val="28"/>
        </w:rPr>
        <w:t> </w:t>
      </w:r>
      <w:r>
        <w:rPr>
          <w:sz w:val="28"/>
        </w:rPr>
        <w:t>ECHR,</w:t>
      </w:r>
      <w:r>
        <w:rPr>
          <w:spacing w:val="-5"/>
          <w:sz w:val="28"/>
        </w:rPr>
        <w:t> </w:t>
      </w:r>
      <w:r>
        <w:rPr>
          <w:sz w:val="28"/>
        </w:rPr>
        <w:t>to</w:t>
      </w:r>
      <w:r>
        <w:rPr>
          <w:spacing w:val="-6"/>
          <w:sz w:val="28"/>
        </w:rPr>
        <w:t> </w:t>
      </w:r>
      <w:r>
        <w:rPr>
          <w:sz w:val="28"/>
        </w:rPr>
        <w:t>the</w:t>
      </w:r>
      <w:r>
        <w:rPr>
          <w:spacing w:val="-5"/>
          <w:sz w:val="28"/>
        </w:rPr>
        <w:t> </w:t>
      </w:r>
      <w:r>
        <w:rPr>
          <w:sz w:val="28"/>
        </w:rPr>
        <w:t>extent</w:t>
      </w:r>
      <w:r>
        <w:rPr>
          <w:spacing w:val="-5"/>
          <w:sz w:val="28"/>
        </w:rPr>
        <w:t> </w:t>
      </w:r>
      <w:r>
        <w:rPr>
          <w:sz w:val="28"/>
        </w:rPr>
        <w:t>that they are underpinned by EU law, including the right to privacy and data</w:t>
      </w:r>
    </w:p>
    <w:p>
      <w:pPr>
        <w:pStyle w:val="BodyText"/>
        <w:spacing w:line="225" w:lineRule="auto"/>
        <w:ind w:left="1853" w:right="1301"/>
      </w:pPr>
      <w:r>
        <w:rPr/>
        <w:t>protection.</w:t>
      </w:r>
      <w:r>
        <w:rPr>
          <w:vertAlign w:val="superscript"/>
        </w:rPr>
        <w:t>620</w:t>
      </w:r>
      <w:r>
        <w:rPr>
          <w:spacing w:val="-11"/>
          <w:vertAlign w:val="baseline"/>
        </w:rPr>
        <w:t> </w:t>
      </w:r>
      <w:r>
        <w:rPr>
          <w:vertAlign w:val="baseline"/>
        </w:rPr>
        <w:t>The</w:t>
      </w:r>
      <w:r>
        <w:rPr>
          <w:spacing w:val="-10"/>
          <w:vertAlign w:val="baseline"/>
        </w:rPr>
        <w:t> </w:t>
      </w:r>
      <w:r>
        <w:rPr>
          <w:vertAlign w:val="baseline"/>
        </w:rPr>
        <w:t>ECtHR</w:t>
      </w:r>
      <w:r>
        <w:rPr>
          <w:spacing w:val="-11"/>
          <w:vertAlign w:val="baseline"/>
        </w:rPr>
        <w:t> </w:t>
      </w:r>
      <w:r>
        <w:rPr>
          <w:vertAlign w:val="baseline"/>
        </w:rPr>
        <w:t>has</w:t>
      </w:r>
      <w:r>
        <w:rPr>
          <w:spacing w:val="-11"/>
          <w:vertAlign w:val="baseline"/>
        </w:rPr>
        <w:t> </w:t>
      </w:r>
      <w:r>
        <w:rPr>
          <w:vertAlign w:val="baseline"/>
        </w:rPr>
        <w:t>recognised</w:t>
      </w:r>
      <w:r>
        <w:rPr>
          <w:spacing w:val="-11"/>
          <w:vertAlign w:val="baseline"/>
        </w:rPr>
        <w:t> </w:t>
      </w:r>
      <w:r>
        <w:rPr>
          <w:vertAlign w:val="baseline"/>
        </w:rPr>
        <w:t>that</w:t>
      </w:r>
      <w:r>
        <w:rPr>
          <w:spacing w:val="-10"/>
          <w:vertAlign w:val="baseline"/>
        </w:rPr>
        <w:t> </w:t>
      </w:r>
      <w:r>
        <w:rPr>
          <w:vertAlign w:val="baseline"/>
        </w:rPr>
        <w:t>the</w:t>
      </w:r>
      <w:r>
        <w:rPr>
          <w:spacing w:val="-10"/>
          <w:vertAlign w:val="baseline"/>
        </w:rPr>
        <w:t> </w:t>
      </w:r>
      <w:r>
        <w:rPr>
          <w:vertAlign w:val="baseline"/>
        </w:rPr>
        <w:t>protection</w:t>
      </w:r>
      <w:r>
        <w:rPr>
          <w:spacing w:val="-11"/>
          <w:vertAlign w:val="baseline"/>
        </w:rPr>
        <w:t> </w:t>
      </w:r>
      <w:r>
        <w:rPr>
          <w:vertAlign w:val="baseline"/>
        </w:rPr>
        <w:t>of</w:t>
      </w:r>
      <w:r>
        <w:rPr>
          <w:spacing w:val="-11"/>
          <w:vertAlign w:val="baseline"/>
        </w:rPr>
        <w:t> </w:t>
      </w:r>
      <w:r>
        <w:rPr>
          <w:vertAlign w:val="baseline"/>
        </w:rPr>
        <w:t>personal</w:t>
      </w:r>
      <w:r>
        <w:rPr>
          <w:spacing w:val="-11"/>
          <w:vertAlign w:val="baseline"/>
        </w:rPr>
        <w:t> </w:t>
      </w:r>
      <w:r>
        <w:rPr>
          <w:vertAlign w:val="baseline"/>
        </w:rPr>
        <w:t>data is of fundamental importance to a person’s enjoyment of his or her right</w:t>
      </w:r>
    </w:p>
    <w:p>
      <w:pPr>
        <w:pStyle w:val="BodyText"/>
        <w:spacing w:line="225" w:lineRule="auto"/>
        <w:ind w:left="1853" w:right="1171"/>
      </w:pPr>
      <w:r>
        <w:rPr/>
        <w:t>to respect for private and family life and therefore engages Article 8 of the ECHR.</w:t>
      </w:r>
      <w:r>
        <w:rPr>
          <w:vertAlign w:val="superscript"/>
        </w:rPr>
        <w:t>621</w:t>
      </w:r>
      <w:r>
        <w:rPr>
          <w:spacing w:val="-8"/>
          <w:vertAlign w:val="baseline"/>
        </w:rPr>
        <w:t> </w:t>
      </w:r>
      <w:r>
        <w:rPr>
          <w:vertAlign w:val="baseline"/>
        </w:rPr>
        <w:t>It</w:t>
      </w:r>
      <w:r>
        <w:rPr>
          <w:spacing w:val="-7"/>
          <w:vertAlign w:val="baseline"/>
        </w:rPr>
        <w:t> </w:t>
      </w:r>
      <w:r>
        <w:rPr>
          <w:vertAlign w:val="baseline"/>
        </w:rPr>
        <w:t>is</w:t>
      </w:r>
      <w:r>
        <w:rPr>
          <w:spacing w:val="-8"/>
          <w:vertAlign w:val="baseline"/>
        </w:rPr>
        <w:t> </w:t>
      </w:r>
      <w:r>
        <w:rPr>
          <w:vertAlign w:val="baseline"/>
        </w:rPr>
        <w:t>well</w:t>
      </w:r>
      <w:r>
        <w:rPr>
          <w:spacing w:val="-8"/>
          <w:vertAlign w:val="baseline"/>
        </w:rPr>
        <w:t> </w:t>
      </w:r>
      <w:r>
        <w:rPr>
          <w:vertAlign w:val="baseline"/>
        </w:rPr>
        <w:t>established</w:t>
      </w:r>
      <w:r>
        <w:rPr>
          <w:spacing w:val="-8"/>
          <w:vertAlign w:val="baseline"/>
        </w:rPr>
        <w:t> </w:t>
      </w:r>
      <w:r>
        <w:rPr>
          <w:vertAlign w:val="baseline"/>
        </w:rPr>
        <w:t>that</w:t>
      </w:r>
      <w:r>
        <w:rPr>
          <w:spacing w:val="-7"/>
          <w:vertAlign w:val="baseline"/>
        </w:rPr>
        <w:t> </w:t>
      </w:r>
      <w:r>
        <w:rPr>
          <w:vertAlign w:val="baseline"/>
        </w:rPr>
        <w:t>EU</w:t>
      </w:r>
      <w:r>
        <w:rPr>
          <w:spacing w:val="-7"/>
          <w:vertAlign w:val="baseline"/>
        </w:rPr>
        <w:t> </w:t>
      </w:r>
      <w:r>
        <w:rPr>
          <w:vertAlign w:val="baseline"/>
        </w:rPr>
        <w:t>law</w:t>
      </w:r>
      <w:r>
        <w:rPr>
          <w:spacing w:val="-7"/>
          <w:vertAlign w:val="baseline"/>
        </w:rPr>
        <w:t> </w:t>
      </w:r>
      <w:r>
        <w:rPr>
          <w:vertAlign w:val="baseline"/>
        </w:rPr>
        <w:t>recognises</w:t>
      </w:r>
      <w:r>
        <w:rPr>
          <w:spacing w:val="-8"/>
          <w:vertAlign w:val="baseline"/>
        </w:rPr>
        <w:t> </w:t>
      </w:r>
      <w:r>
        <w:rPr>
          <w:vertAlign w:val="baseline"/>
        </w:rPr>
        <w:t>the</w:t>
      </w:r>
      <w:r>
        <w:rPr>
          <w:spacing w:val="-7"/>
          <w:vertAlign w:val="baseline"/>
        </w:rPr>
        <w:t> </w:t>
      </w:r>
      <w:r>
        <w:rPr>
          <w:vertAlign w:val="baseline"/>
        </w:rPr>
        <w:t>right</w:t>
      </w:r>
      <w:r>
        <w:rPr>
          <w:spacing w:val="-7"/>
          <w:vertAlign w:val="baseline"/>
        </w:rPr>
        <w:t> </w:t>
      </w:r>
      <w:r>
        <w:rPr>
          <w:vertAlign w:val="baseline"/>
        </w:rPr>
        <w:t>to</w:t>
      </w:r>
      <w:r>
        <w:rPr>
          <w:spacing w:val="-8"/>
          <w:vertAlign w:val="baseline"/>
        </w:rPr>
        <w:t> </w:t>
      </w:r>
      <w:r>
        <w:rPr>
          <w:vertAlign w:val="baseline"/>
        </w:rPr>
        <w:t>privacy</w:t>
      </w:r>
      <w:r>
        <w:rPr>
          <w:spacing w:val="-7"/>
          <w:vertAlign w:val="baseline"/>
        </w:rPr>
        <w:t> </w:t>
      </w:r>
      <w:r>
        <w:rPr>
          <w:vertAlign w:val="baseline"/>
        </w:rPr>
        <w:t>and data protection as a fundamental right.</w:t>
      </w:r>
      <w:r>
        <w:rPr>
          <w:vertAlign w:val="superscript"/>
        </w:rPr>
        <w:t>622</w:t>
      </w:r>
    </w:p>
    <w:p>
      <w:pPr>
        <w:pStyle w:val="ListParagraph"/>
        <w:numPr>
          <w:ilvl w:val="1"/>
          <w:numId w:val="7"/>
        </w:numPr>
        <w:tabs>
          <w:tab w:pos="1853" w:val="left" w:leader="none"/>
        </w:tabs>
        <w:spacing w:line="225" w:lineRule="auto" w:before="307" w:after="0"/>
        <w:ind w:left="1853" w:right="1244" w:hanging="720"/>
        <w:jc w:val="left"/>
        <w:rPr>
          <w:sz w:val="28"/>
        </w:rPr>
      </w:pPr>
      <w:r>
        <w:rPr>
          <w:sz w:val="28"/>
        </w:rPr>
        <w:t>The NIHRC is of the view that, to the extent that workplace surveillance engages the EU General Data Protection Regulation, any divergence from those standards is likely to engage Windsor Framework Article 2.</w:t>
      </w:r>
      <w:r>
        <w:rPr>
          <w:spacing w:val="40"/>
          <w:sz w:val="28"/>
        </w:rPr>
        <w:t> </w:t>
      </w:r>
      <w:r>
        <w:rPr>
          <w:sz w:val="28"/>
        </w:rPr>
        <w:t>The NIHRC is concerned that proposed UK legislation on data protection may result in a divergence</w:t>
      </w:r>
      <w:r>
        <w:rPr>
          <w:spacing w:val="-6"/>
          <w:sz w:val="28"/>
        </w:rPr>
        <w:t> </w:t>
      </w:r>
      <w:r>
        <w:rPr>
          <w:sz w:val="28"/>
        </w:rPr>
        <w:t>in</w:t>
      </w:r>
      <w:r>
        <w:rPr>
          <w:spacing w:val="-7"/>
          <w:sz w:val="28"/>
        </w:rPr>
        <w:t> </w:t>
      </w:r>
      <w:r>
        <w:rPr>
          <w:sz w:val="28"/>
        </w:rPr>
        <w:t>the</w:t>
      </w:r>
      <w:r>
        <w:rPr>
          <w:spacing w:val="-6"/>
          <w:sz w:val="28"/>
        </w:rPr>
        <w:t> </w:t>
      </w:r>
      <w:r>
        <w:rPr>
          <w:sz w:val="28"/>
        </w:rPr>
        <w:t>future.</w:t>
      </w:r>
      <w:r>
        <w:rPr>
          <w:spacing w:val="-7"/>
          <w:sz w:val="28"/>
        </w:rPr>
        <w:t> </w:t>
      </w:r>
      <w:r>
        <w:rPr>
          <w:sz w:val="28"/>
        </w:rPr>
        <w:t>The</w:t>
      </w:r>
      <w:r>
        <w:rPr>
          <w:spacing w:val="-6"/>
          <w:sz w:val="28"/>
        </w:rPr>
        <w:t> </w:t>
      </w:r>
      <w:r>
        <w:rPr>
          <w:sz w:val="28"/>
        </w:rPr>
        <w:t>Commissions</w:t>
      </w:r>
      <w:r>
        <w:rPr>
          <w:spacing w:val="-7"/>
          <w:sz w:val="28"/>
        </w:rPr>
        <w:t> </w:t>
      </w:r>
      <w:r>
        <w:rPr>
          <w:sz w:val="28"/>
        </w:rPr>
        <w:t>are</w:t>
      </w:r>
      <w:r>
        <w:rPr>
          <w:spacing w:val="-6"/>
          <w:sz w:val="28"/>
        </w:rPr>
        <w:t> </w:t>
      </w:r>
      <w:r>
        <w:rPr>
          <w:sz w:val="28"/>
        </w:rPr>
        <w:t>concerned</w:t>
      </w:r>
      <w:r>
        <w:rPr>
          <w:spacing w:val="-7"/>
          <w:sz w:val="28"/>
        </w:rPr>
        <w:t> </w:t>
      </w:r>
      <w:r>
        <w:rPr>
          <w:sz w:val="28"/>
        </w:rPr>
        <w:t>about</w:t>
      </w:r>
      <w:r>
        <w:rPr>
          <w:spacing w:val="-6"/>
          <w:sz w:val="28"/>
        </w:rPr>
        <w:t> </w:t>
      </w:r>
      <w:r>
        <w:rPr>
          <w:sz w:val="28"/>
        </w:rPr>
        <w:t>the</w:t>
      </w:r>
      <w:r>
        <w:rPr>
          <w:spacing w:val="-6"/>
          <w:sz w:val="28"/>
        </w:rPr>
        <w:t> </w:t>
      </w:r>
      <w:r>
        <w:rPr>
          <w:sz w:val="28"/>
        </w:rPr>
        <w:t>potential impact the Data Protection and Digital Information Bill might have on data protection rights in NI.</w:t>
      </w:r>
      <w:r>
        <w:rPr>
          <w:sz w:val="28"/>
          <w:vertAlign w:val="superscript"/>
        </w:rPr>
        <w:t>623</w:t>
      </w:r>
    </w:p>
    <w:p>
      <w:pPr>
        <w:pStyle w:val="ListParagraph"/>
        <w:numPr>
          <w:ilvl w:val="1"/>
          <w:numId w:val="7"/>
        </w:numPr>
        <w:tabs>
          <w:tab w:pos="1853" w:val="left" w:leader="none"/>
        </w:tabs>
        <w:spacing w:line="225" w:lineRule="auto" w:before="311" w:after="0"/>
        <w:ind w:left="1853" w:right="1143" w:hanging="720"/>
        <w:jc w:val="left"/>
        <w:rPr>
          <w:sz w:val="28"/>
        </w:rPr>
      </w:pPr>
      <w:r>
        <w:rPr>
          <w:sz w:val="28"/>
        </w:rPr>
        <w:t>The Commissions will continue to monitor developing data protection legislation</w:t>
      </w:r>
      <w:r>
        <w:rPr>
          <w:spacing w:val="-5"/>
          <w:sz w:val="28"/>
        </w:rPr>
        <w:t> </w:t>
      </w:r>
      <w:r>
        <w:rPr>
          <w:sz w:val="28"/>
        </w:rPr>
        <w:t>in</w:t>
      </w:r>
      <w:r>
        <w:rPr>
          <w:spacing w:val="-5"/>
          <w:sz w:val="28"/>
        </w:rPr>
        <w:t> </w:t>
      </w:r>
      <w:r>
        <w:rPr>
          <w:sz w:val="28"/>
        </w:rPr>
        <w:t>both</w:t>
      </w:r>
      <w:r>
        <w:rPr>
          <w:spacing w:val="-5"/>
          <w:sz w:val="28"/>
        </w:rPr>
        <w:t> </w:t>
      </w:r>
      <w:r>
        <w:rPr>
          <w:sz w:val="28"/>
        </w:rPr>
        <w:t>the</w:t>
      </w:r>
      <w:r>
        <w:rPr>
          <w:spacing w:val="-4"/>
          <w:sz w:val="28"/>
        </w:rPr>
        <w:t> </w:t>
      </w:r>
      <w:r>
        <w:rPr>
          <w:sz w:val="28"/>
        </w:rPr>
        <w:t>UK</w:t>
      </w:r>
      <w:r>
        <w:rPr>
          <w:spacing w:val="-4"/>
          <w:sz w:val="28"/>
        </w:rPr>
        <w:t> </w:t>
      </w:r>
      <w:r>
        <w:rPr>
          <w:sz w:val="28"/>
        </w:rPr>
        <w:t>and</w:t>
      </w:r>
      <w:r>
        <w:rPr>
          <w:spacing w:val="-5"/>
          <w:sz w:val="28"/>
        </w:rPr>
        <w:t> </w:t>
      </w:r>
      <w:r>
        <w:rPr>
          <w:sz w:val="28"/>
        </w:rPr>
        <w:t>the</w:t>
      </w:r>
      <w:r>
        <w:rPr>
          <w:spacing w:val="-4"/>
          <w:sz w:val="28"/>
        </w:rPr>
        <w:t> </w:t>
      </w:r>
      <w:r>
        <w:rPr>
          <w:sz w:val="28"/>
        </w:rPr>
        <w:t>EU</w:t>
      </w:r>
      <w:r>
        <w:rPr>
          <w:spacing w:val="-4"/>
          <w:sz w:val="28"/>
        </w:rPr>
        <w:t> </w:t>
      </w:r>
      <w:r>
        <w:rPr>
          <w:sz w:val="28"/>
        </w:rPr>
        <w:t>for</w:t>
      </w:r>
      <w:r>
        <w:rPr>
          <w:spacing w:val="-4"/>
          <w:sz w:val="28"/>
        </w:rPr>
        <w:t> </w:t>
      </w:r>
      <w:r>
        <w:rPr>
          <w:sz w:val="28"/>
        </w:rPr>
        <w:t>possible</w:t>
      </w:r>
      <w:r>
        <w:rPr>
          <w:spacing w:val="-4"/>
          <w:sz w:val="28"/>
        </w:rPr>
        <w:t> </w:t>
      </w:r>
      <w:r>
        <w:rPr>
          <w:sz w:val="28"/>
        </w:rPr>
        <w:t>areas</w:t>
      </w:r>
      <w:r>
        <w:rPr>
          <w:spacing w:val="-5"/>
          <w:sz w:val="28"/>
        </w:rPr>
        <w:t> </w:t>
      </w:r>
      <w:r>
        <w:rPr>
          <w:sz w:val="28"/>
        </w:rPr>
        <w:t>of</w:t>
      </w:r>
      <w:r>
        <w:rPr>
          <w:spacing w:val="-5"/>
          <w:sz w:val="28"/>
        </w:rPr>
        <w:t> </w:t>
      </w:r>
      <w:r>
        <w:rPr>
          <w:sz w:val="28"/>
        </w:rPr>
        <w:t>divergence</w:t>
      </w:r>
      <w:r>
        <w:rPr>
          <w:spacing w:val="-4"/>
          <w:sz w:val="28"/>
        </w:rPr>
        <w:t> </w:t>
      </w:r>
      <w:r>
        <w:rPr>
          <w:sz w:val="28"/>
        </w:rPr>
        <w:t>of</w:t>
      </w:r>
      <w:r>
        <w:rPr>
          <w:spacing w:val="-5"/>
          <w:sz w:val="28"/>
        </w:rPr>
        <w:t> </w:t>
      </w:r>
      <w:r>
        <w:rPr>
          <w:sz w:val="28"/>
        </w:rPr>
        <w:t>rights.</w:t>
      </w:r>
    </w:p>
    <w:p>
      <w:pPr>
        <w:pStyle w:val="BodyText"/>
        <w:spacing w:before="3"/>
        <w:rPr>
          <w:sz w:val="14"/>
        </w:rPr>
      </w:pPr>
      <w:r>
        <w:rPr/>
        <mc:AlternateContent>
          <mc:Choice Requires="wps">
            <w:drawing>
              <wp:anchor distT="0" distB="0" distL="0" distR="0" allowOverlap="1" layoutInCell="1" locked="0" behindDoc="1" simplePos="0" relativeHeight="487693312">
                <wp:simplePos x="0" y="0"/>
                <wp:positionH relativeFrom="page">
                  <wp:posOffset>720001</wp:posOffset>
                </wp:positionH>
                <wp:positionV relativeFrom="paragraph">
                  <wp:posOffset>125662</wp:posOffset>
                </wp:positionV>
                <wp:extent cx="6120130" cy="360045"/>
                <wp:effectExtent l="0" t="0" r="0" b="0"/>
                <wp:wrapTopAndBottom/>
                <wp:docPr id="486" name="Textbox 486"/>
                <wp:cNvGraphicFramePr>
                  <a:graphicFrameLocks/>
                </wp:cNvGraphicFramePr>
                <a:graphic>
                  <a:graphicData uri="http://schemas.microsoft.com/office/word/2010/wordprocessingShape">
                    <wps:wsp>
                      <wps:cNvPr id="486" name="Textbox 486"/>
                      <wps:cNvSpPr txBox="1"/>
                      <wps:spPr>
                        <a:xfrm>
                          <a:off x="0" y="0"/>
                          <a:ext cx="6120130" cy="360045"/>
                        </a:xfrm>
                        <a:prstGeom prst="rect">
                          <a:avLst/>
                        </a:prstGeom>
                        <a:solidFill>
                          <a:srgbClr val="393B80"/>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9.894703pt;width:481.9pt;height:28.35pt;mso-position-horizontal-relative:page;mso-position-vertical-relative:paragraph;z-index:-15623168;mso-wrap-distance-left:0;mso-wrap-distance-right:0" type="#_x0000_t202" id="docshape433" filled="true" fillcolor="#393b80"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208" w:after="0"/>
        <w:ind w:left="1853" w:right="1463" w:hanging="720"/>
        <w:jc w:val="left"/>
        <w:rPr>
          <w:b/>
          <w:color w:val="67287F"/>
          <w:sz w:val="28"/>
        </w:rPr>
      </w:pPr>
      <w:r>
        <w:rPr>
          <w:b/>
          <w:color w:val="67287F"/>
          <w:sz w:val="28"/>
        </w:rPr>
        <w:t>The</w:t>
      </w:r>
      <w:r>
        <w:rPr>
          <w:b/>
          <w:color w:val="67287F"/>
          <w:spacing w:val="-7"/>
          <w:sz w:val="28"/>
        </w:rPr>
        <w:t> </w:t>
      </w:r>
      <w:r>
        <w:rPr>
          <w:b/>
          <w:color w:val="67287F"/>
          <w:sz w:val="28"/>
        </w:rPr>
        <w:t>NIHRC</w:t>
      </w:r>
      <w:r>
        <w:rPr>
          <w:b/>
          <w:color w:val="67287F"/>
          <w:spacing w:val="-7"/>
          <w:sz w:val="28"/>
        </w:rPr>
        <w:t> </w:t>
      </w:r>
      <w:r>
        <w:rPr>
          <w:b/>
          <w:color w:val="67287F"/>
          <w:sz w:val="28"/>
        </w:rPr>
        <w:t>recommends</w:t>
      </w:r>
      <w:r>
        <w:rPr>
          <w:b/>
          <w:color w:val="67287F"/>
          <w:spacing w:val="-6"/>
          <w:sz w:val="28"/>
        </w:rPr>
        <w:t> </w:t>
      </w:r>
      <w:r>
        <w:rPr>
          <w:b/>
          <w:color w:val="67287F"/>
          <w:sz w:val="28"/>
        </w:rPr>
        <w:t>that</w:t>
      </w:r>
      <w:r>
        <w:rPr>
          <w:b/>
          <w:color w:val="67287F"/>
          <w:spacing w:val="-6"/>
          <w:sz w:val="28"/>
        </w:rPr>
        <w:t> </w:t>
      </w:r>
      <w:r>
        <w:rPr>
          <w:b/>
          <w:color w:val="67287F"/>
          <w:sz w:val="28"/>
        </w:rPr>
        <w:t>particular</w:t>
      </w:r>
      <w:r>
        <w:rPr>
          <w:b/>
          <w:color w:val="67287F"/>
          <w:spacing w:val="-7"/>
          <w:sz w:val="28"/>
        </w:rPr>
        <w:t> </w:t>
      </w:r>
      <w:r>
        <w:rPr>
          <w:b/>
          <w:color w:val="67287F"/>
          <w:sz w:val="28"/>
        </w:rPr>
        <w:t>consideration</w:t>
      </w:r>
      <w:r>
        <w:rPr>
          <w:b/>
          <w:color w:val="67287F"/>
          <w:spacing w:val="-6"/>
          <w:sz w:val="28"/>
        </w:rPr>
        <w:t> </w:t>
      </w:r>
      <w:r>
        <w:rPr>
          <w:b/>
          <w:color w:val="67287F"/>
          <w:sz w:val="28"/>
        </w:rPr>
        <w:t>be</w:t>
      </w:r>
      <w:r>
        <w:rPr>
          <w:b/>
          <w:color w:val="67287F"/>
          <w:spacing w:val="-7"/>
          <w:sz w:val="28"/>
        </w:rPr>
        <w:t> </w:t>
      </w:r>
      <w:r>
        <w:rPr>
          <w:b/>
          <w:color w:val="67287F"/>
          <w:sz w:val="28"/>
        </w:rPr>
        <w:t>given</w:t>
      </w:r>
      <w:r>
        <w:rPr>
          <w:b/>
          <w:color w:val="67287F"/>
          <w:spacing w:val="-6"/>
          <w:sz w:val="28"/>
        </w:rPr>
        <w:t> </w:t>
      </w:r>
      <w:r>
        <w:rPr>
          <w:b/>
          <w:color w:val="67287F"/>
          <w:sz w:val="28"/>
        </w:rPr>
        <w:t>to</w:t>
      </w:r>
      <w:r>
        <w:rPr>
          <w:b/>
          <w:color w:val="67287F"/>
          <w:spacing w:val="-6"/>
          <w:sz w:val="28"/>
        </w:rPr>
        <w:t> </w:t>
      </w:r>
      <w:r>
        <w:rPr>
          <w:b/>
          <w:color w:val="67287F"/>
          <w:sz w:val="28"/>
        </w:rPr>
        <w:t>Windsor Framework Article 2 and the EU General Data Protection Regulations in the</w:t>
      </w:r>
      <w:r>
        <w:rPr>
          <w:b/>
          <w:color w:val="67287F"/>
          <w:spacing w:val="-7"/>
          <w:sz w:val="28"/>
        </w:rPr>
        <w:t> </w:t>
      </w:r>
      <w:r>
        <w:rPr>
          <w:b/>
          <w:color w:val="67287F"/>
          <w:sz w:val="28"/>
        </w:rPr>
        <w:t>development</w:t>
      </w:r>
      <w:r>
        <w:rPr>
          <w:b/>
          <w:color w:val="67287F"/>
          <w:spacing w:val="-6"/>
          <w:sz w:val="28"/>
        </w:rPr>
        <w:t> </w:t>
      </w:r>
      <w:r>
        <w:rPr>
          <w:b/>
          <w:color w:val="67287F"/>
          <w:sz w:val="28"/>
        </w:rPr>
        <w:t>of</w:t>
      </w:r>
      <w:r>
        <w:rPr>
          <w:b/>
          <w:color w:val="67287F"/>
          <w:spacing w:val="-7"/>
          <w:sz w:val="28"/>
        </w:rPr>
        <w:t> </w:t>
      </w:r>
      <w:r>
        <w:rPr>
          <w:b/>
          <w:color w:val="67287F"/>
          <w:sz w:val="28"/>
        </w:rPr>
        <w:t>employment</w:t>
      </w:r>
      <w:r>
        <w:rPr>
          <w:b/>
          <w:color w:val="67287F"/>
          <w:spacing w:val="-6"/>
          <w:sz w:val="28"/>
        </w:rPr>
        <w:t> </w:t>
      </w:r>
      <w:r>
        <w:rPr>
          <w:b/>
          <w:color w:val="67287F"/>
          <w:sz w:val="28"/>
        </w:rPr>
        <w:t>law</w:t>
      </w:r>
      <w:r>
        <w:rPr>
          <w:b/>
          <w:color w:val="67287F"/>
          <w:spacing w:val="-7"/>
          <w:sz w:val="28"/>
        </w:rPr>
        <w:t> </w:t>
      </w:r>
      <w:r>
        <w:rPr>
          <w:b/>
          <w:color w:val="67287F"/>
          <w:sz w:val="28"/>
        </w:rPr>
        <w:t>and</w:t>
      </w:r>
      <w:r>
        <w:rPr>
          <w:b/>
          <w:color w:val="67287F"/>
          <w:spacing w:val="-6"/>
          <w:sz w:val="28"/>
        </w:rPr>
        <w:t> </w:t>
      </w:r>
      <w:r>
        <w:rPr>
          <w:b/>
          <w:color w:val="67287F"/>
          <w:sz w:val="28"/>
        </w:rPr>
        <w:t>practice</w:t>
      </w:r>
      <w:r>
        <w:rPr>
          <w:b/>
          <w:color w:val="67287F"/>
          <w:spacing w:val="-7"/>
          <w:sz w:val="28"/>
        </w:rPr>
        <w:t> </w:t>
      </w:r>
      <w:r>
        <w:rPr>
          <w:b/>
          <w:color w:val="67287F"/>
          <w:sz w:val="28"/>
        </w:rPr>
        <w:t>that</w:t>
      </w:r>
      <w:r>
        <w:rPr>
          <w:b/>
          <w:color w:val="67287F"/>
          <w:spacing w:val="-6"/>
          <w:sz w:val="28"/>
        </w:rPr>
        <w:t> </w:t>
      </w:r>
      <w:r>
        <w:rPr>
          <w:b/>
          <w:color w:val="67287F"/>
          <w:sz w:val="28"/>
        </w:rPr>
        <w:t>may</w:t>
      </w:r>
      <w:r>
        <w:rPr>
          <w:b/>
          <w:color w:val="67287F"/>
          <w:spacing w:val="-6"/>
          <w:sz w:val="28"/>
        </w:rPr>
        <w:t> </w:t>
      </w:r>
      <w:r>
        <w:rPr>
          <w:b/>
          <w:color w:val="67287F"/>
          <w:sz w:val="28"/>
        </w:rPr>
        <w:t>impact</w:t>
      </w:r>
      <w:r>
        <w:rPr>
          <w:b/>
          <w:color w:val="67287F"/>
          <w:spacing w:val="-6"/>
          <w:sz w:val="28"/>
        </w:rPr>
        <w:t> </w:t>
      </w:r>
      <w:r>
        <w:rPr>
          <w:b/>
          <w:color w:val="67287F"/>
          <w:sz w:val="28"/>
        </w:rPr>
        <w:t>on</w:t>
      </w:r>
      <w:r>
        <w:rPr>
          <w:b/>
          <w:color w:val="67287F"/>
          <w:spacing w:val="-6"/>
          <w:sz w:val="28"/>
        </w:rPr>
        <w:t> </w:t>
      </w:r>
      <w:r>
        <w:rPr>
          <w:b/>
          <w:color w:val="67287F"/>
          <w:sz w:val="28"/>
        </w:rPr>
        <w:t>the privacy of workers and surveillance at work.</w:t>
      </w:r>
    </w:p>
    <w:p>
      <w:pPr>
        <w:pStyle w:val="Heading5"/>
        <w:spacing w:before="299"/>
        <w:ind w:left="1133" w:firstLine="0"/>
      </w:pPr>
      <w:bookmarkStart w:name="Work-Life Balance" w:id="84"/>
      <w:bookmarkEnd w:id="84"/>
      <w:r>
        <w:rPr>
          <w:b w:val="0"/>
        </w:rPr>
      </w:r>
      <w:r>
        <w:rPr>
          <w:color w:val="393B7F"/>
          <w:spacing w:val="-2"/>
        </w:rPr>
        <w:t>Work-Life</w:t>
      </w:r>
      <w:r>
        <w:rPr>
          <w:color w:val="393B7F"/>
          <w:spacing w:val="-13"/>
        </w:rPr>
        <w:t> </w:t>
      </w:r>
      <w:r>
        <w:rPr>
          <w:color w:val="393B7F"/>
          <w:spacing w:val="-2"/>
        </w:rPr>
        <w:t>Balance</w:t>
      </w:r>
    </w:p>
    <w:p>
      <w:pPr>
        <w:pStyle w:val="ListParagraph"/>
        <w:numPr>
          <w:ilvl w:val="1"/>
          <w:numId w:val="7"/>
        </w:numPr>
        <w:tabs>
          <w:tab w:pos="1853" w:val="left" w:leader="none"/>
        </w:tabs>
        <w:spacing w:line="225" w:lineRule="auto" w:before="330" w:after="0"/>
        <w:ind w:left="1853" w:right="1243" w:hanging="720"/>
        <w:jc w:val="left"/>
        <w:rPr>
          <w:sz w:val="28"/>
        </w:rPr>
      </w:pPr>
      <w:r>
        <w:rPr/>
        <mc:AlternateContent>
          <mc:Choice Requires="wps">
            <w:drawing>
              <wp:anchor distT="0" distB="0" distL="0" distR="0" allowOverlap="1" layoutInCell="1" locked="0" behindDoc="0" simplePos="0" relativeHeight="15834624">
                <wp:simplePos x="0" y="0"/>
                <wp:positionH relativeFrom="page">
                  <wp:posOffset>660006</wp:posOffset>
                </wp:positionH>
                <wp:positionV relativeFrom="paragraph">
                  <wp:posOffset>798681</wp:posOffset>
                </wp:positionV>
                <wp:extent cx="6180455" cy="105410"/>
                <wp:effectExtent l="0" t="0" r="0" b="0"/>
                <wp:wrapNone/>
                <wp:docPr id="487" name="Group 487"/>
                <wp:cNvGraphicFramePr>
                  <a:graphicFrameLocks/>
                </wp:cNvGraphicFramePr>
                <a:graphic>
                  <a:graphicData uri="http://schemas.microsoft.com/office/word/2010/wordprocessingGroup">
                    <wpg:wgp>
                      <wpg:cNvPr id="487" name="Group 487"/>
                      <wpg:cNvGrpSpPr/>
                      <wpg:grpSpPr>
                        <a:xfrm>
                          <a:off x="0" y="0"/>
                          <a:ext cx="6180455" cy="105410"/>
                          <a:chExt cx="6180455" cy="105410"/>
                        </a:xfrm>
                      </wpg:grpSpPr>
                      <wps:wsp>
                        <wps:cNvPr id="488" name="Graphic 488"/>
                        <wps:cNvSpPr/>
                        <wps:spPr>
                          <a:xfrm>
                            <a:off x="0" y="0"/>
                            <a:ext cx="1257300" cy="105410"/>
                          </a:xfrm>
                          <a:custGeom>
                            <a:avLst/>
                            <a:gdLst/>
                            <a:ahLst/>
                            <a:cxnLst/>
                            <a:rect l="l" t="t" r="r" b="b"/>
                            <a:pathLst>
                              <a:path w="1257300" h="105410">
                                <a:moveTo>
                                  <a:pt x="1256995" y="0"/>
                                </a:moveTo>
                                <a:lnTo>
                                  <a:pt x="0" y="0"/>
                                </a:lnTo>
                                <a:lnTo>
                                  <a:pt x="0" y="105028"/>
                                </a:lnTo>
                                <a:lnTo>
                                  <a:pt x="1256995" y="105028"/>
                                </a:lnTo>
                                <a:lnTo>
                                  <a:pt x="1256995" y="0"/>
                                </a:lnTo>
                                <a:close/>
                              </a:path>
                            </a:pathLst>
                          </a:custGeom>
                          <a:solidFill>
                            <a:srgbClr val="FFFFFF"/>
                          </a:solidFill>
                        </wps:spPr>
                        <wps:bodyPr wrap="square" lIns="0" tIns="0" rIns="0" bIns="0" rtlCol="0">
                          <a:prstTxWarp prst="textNoShape">
                            <a:avLst/>
                          </a:prstTxWarp>
                          <a:noAutofit/>
                        </wps:bodyPr>
                      </wps:wsp>
                      <wps:wsp>
                        <wps:cNvPr id="489" name="Graphic 489"/>
                        <wps:cNvSpPr/>
                        <wps:spPr>
                          <a:xfrm>
                            <a:off x="59989" y="93353"/>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1.969002pt;margin-top:62.888344pt;width:486.65pt;height:8.3pt;mso-position-horizontal-relative:page;mso-position-vertical-relative:paragraph;z-index:15834624" id="docshapegroup434" coordorigin="1039,1258" coordsize="9733,166">
                <v:rect style="position:absolute;left:1039;top:1257;width:1980;height:166" id="docshape435" filled="true" fillcolor="#ffffff" stroked="false">
                  <v:fill type="solid"/>
                </v:rect>
                <v:line style="position:absolute" from="10772,1405" to="1134,1405" stroked="true" strokeweight="1pt" strokecolor="#393b80">
                  <v:stroke dashstyle="solid"/>
                </v:line>
                <w10:wrap type="none"/>
              </v:group>
            </w:pict>
          </mc:Fallback>
        </mc:AlternateContent>
      </w:r>
      <w:r>
        <w:rPr>
          <w:sz w:val="28"/>
        </w:rPr>
        <w:t>In 2019, the EU Parliament adopted the EU Work-Life Balance Directive</w:t>
      </w:r>
      <w:r>
        <w:rPr>
          <w:sz w:val="28"/>
        </w:rPr>
        <w:t> aimed</w:t>
      </w:r>
      <w:r>
        <w:rPr>
          <w:spacing w:val="-9"/>
          <w:sz w:val="28"/>
        </w:rPr>
        <w:t> </w:t>
      </w:r>
      <w:r>
        <w:rPr>
          <w:sz w:val="28"/>
        </w:rPr>
        <w:t>at</w:t>
      </w:r>
      <w:r>
        <w:rPr>
          <w:spacing w:val="-9"/>
          <w:sz w:val="28"/>
        </w:rPr>
        <w:t> </w:t>
      </w:r>
      <w:r>
        <w:rPr>
          <w:sz w:val="28"/>
        </w:rPr>
        <w:t>parents</w:t>
      </w:r>
      <w:r>
        <w:rPr>
          <w:spacing w:val="-9"/>
          <w:sz w:val="28"/>
        </w:rPr>
        <w:t> </w:t>
      </w:r>
      <w:r>
        <w:rPr>
          <w:sz w:val="28"/>
        </w:rPr>
        <w:t>and</w:t>
      </w:r>
      <w:r>
        <w:rPr>
          <w:spacing w:val="-9"/>
          <w:sz w:val="28"/>
        </w:rPr>
        <w:t> </w:t>
      </w:r>
      <w:r>
        <w:rPr>
          <w:sz w:val="28"/>
        </w:rPr>
        <w:t>carers.</w:t>
      </w:r>
      <w:r>
        <w:rPr>
          <w:sz w:val="28"/>
          <w:vertAlign w:val="superscript"/>
        </w:rPr>
        <w:t>624</w:t>
      </w:r>
      <w:r>
        <w:rPr>
          <w:spacing w:val="40"/>
          <w:sz w:val="28"/>
          <w:vertAlign w:val="baseline"/>
        </w:rPr>
        <w:t> </w:t>
      </w:r>
      <w:r>
        <w:rPr>
          <w:sz w:val="28"/>
          <w:vertAlign w:val="baseline"/>
        </w:rPr>
        <w:t>The</w:t>
      </w:r>
      <w:r>
        <w:rPr>
          <w:spacing w:val="-9"/>
          <w:sz w:val="28"/>
          <w:vertAlign w:val="baseline"/>
        </w:rPr>
        <w:t> </w:t>
      </w:r>
      <w:r>
        <w:rPr>
          <w:sz w:val="28"/>
          <w:vertAlign w:val="baseline"/>
        </w:rPr>
        <w:t>Directive</w:t>
      </w:r>
      <w:r>
        <w:rPr>
          <w:spacing w:val="-9"/>
          <w:sz w:val="28"/>
          <w:vertAlign w:val="baseline"/>
        </w:rPr>
        <w:t> </w:t>
      </w:r>
      <w:r>
        <w:rPr>
          <w:sz w:val="28"/>
          <w:vertAlign w:val="baseline"/>
        </w:rPr>
        <w:t>aims</w:t>
      </w:r>
      <w:r>
        <w:rPr>
          <w:spacing w:val="-9"/>
          <w:sz w:val="28"/>
          <w:vertAlign w:val="baseline"/>
        </w:rPr>
        <w:t> </w:t>
      </w:r>
      <w:r>
        <w:rPr>
          <w:sz w:val="28"/>
          <w:vertAlign w:val="baseline"/>
        </w:rPr>
        <w:t>to</w:t>
      </w:r>
      <w:r>
        <w:rPr>
          <w:spacing w:val="-9"/>
          <w:sz w:val="28"/>
          <w:vertAlign w:val="baseline"/>
        </w:rPr>
        <w:t> </w:t>
      </w:r>
      <w:r>
        <w:rPr>
          <w:sz w:val="28"/>
          <w:vertAlign w:val="baseline"/>
        </w:rPr>
        <w:t>improve</w:t>
      </w:r>
      <w:r>
        <w:rPr>
          <w:spacing w:val="-9"/>
          <w:sz w:val="28"/>
          <w:vertAlign w:val="baseline"/>
        </w:rPr>
        <w:t> </w:t>
      </w:r>
      <w:r>
        <w:rPr>
          <w:sz w:val="28"/>
          <w:vertAlign w:val="baseline"/>
        </w:rPr>
        <w:t>families’</w:t>
      </w:r>
      <w:r>
        <w:rPr>
          <w:spacing w:val="-9"/>
          <w:sz w:val="28"/>
          <w:vertAlign w:val="baseline"/>
        </w:rPr>
        <w:t> </w:t>
      </w:r>
      <w:r>
        <w:rPr>
          <w:sz w:val="28"/>
          <w:vertAlign w:val="baseline"/>
        </w:rPr>
        <w:t>access to family leave and flexible work arrangements, encourage a more equal</w:t>
      </w:r>
    </w:p>
    <w:p>
      <w:pPr>
        <w:pStyle w:val="ListParagraph"/>
        <w:numPr>
          <w:ilvl w:val="0"/>
          <w:numId w:val="11"/>
        </w:numPr>
        <w:tabs>
          <w:tab w:pos="1853" w:val="left" w:leader="none"/>
        </w:tabs>
        <w:spacing w:line="235" w:lineRule="auto" w:before="247" w:after="0"/>
        <w:ind w:left="1853" w:right="1374" w:hanging="720"/>
        <w:jc w:val="left"/>
        <w:rPr>
          <w:sz w:val="18"/>
        </w:rPr>
      </w:pP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‘NIHRC</w:t>
      </w:r>
      <w:r>
        <w:rPr>
          <w:spacing w:val="-5"/>
          <w:sz w:val="18"/>
        </w:rPr>
        <w:t> </w:t>
      </w:r>
      <w:r>
        <w:rPr>
          <w:sz w:val="18"/>
        </w:rPr>
        <w:t>Evidence</w:t>
      </w:r>
      <w:r>
        <w:rPr>
          <w:spacing w:val="-4"/>
          <w:sz w:val="18"/>
        </w:rPr>
        <w:t> </w:t>
      </w:r>
      <w:r>
        <w:rPr>
          <w:sz w:val="18"/>
        </w:rPr>
        <w:t>to</w:t>
      </w:r>
      <w:r>
        <w:rPr>
          <w:spacing w:val="-5"/>
          <w:sz w:val="18"/>
        </w:rPr>
        <w:t> </w:t>
      </w:r>
      <w:r>
        <w:rPr>
          <w:sz w:val="18"/>
        </w:rPr>
        <w:t>Joint</w:t>
      </w:r>
      <w:r>
        <w:rPr>
          <w:spacing w:val="-4"/>
          <w:sz w:val="18"/>
        </w:rPr>
        <w:t> </w:t>
      </w:r>
      <w:r>
        <w:rPr>
          <w:sz w:val="18"/>
        </w:rPr>
        <w:t>Committee</w:t>
      </w:r>
      <w:r>
        <w:rPr>
          <w:spacing w:val="-4"/>
          <w:sz w:val="18"/>
        </w:rPr>
        <w:t> </w:t>
      </w:r>
      <w:r>
        <w:rPr>
          <w:sz w:val="18"/>
        </w:rPr>
        <w:t>on</w:t>
      </w:r>
      <w:r>
        <w:rPr>
          <w:spacing w:val="-5"/>
          <w:sz w:val="18"/>
        </w:rPr>
        <w:t> </w:t>
      </w:r>
      <w:r>
        <w:rPr>
          <w:sz w:val="18"/>
        </w:rPr>
        <w:t>Human</w:t>
      </w:r>
      <w:r>
        <w:rPr>
          <w:spacing w:val="-5"/>
          <w:sz w:val="18"/>
        </w:rPr>
        <w:t> </w:t>
      </w:r>
      <w:r>
        <w:rPr>
          <w:sz w:val="18"/>
        </w:rPr>
        <w:t>Rights</w:t>
      </w:r>
      <w:r>
        <w:rPr>
          <w:spacing w:val="-5"/>
          <w:sz w:val="18"/>
        </w:rPr>
        <w:t> </w:t>
      </w:r>
      <w:r>
        <w:rPr>
          <w:sz w:val="18"/>
        </w:rPr>
        <w:t>Inquiry</w:t>
      </w:r>
      <w:r>
        <w:rPr>
          <w:spacing w:val="-4"/>
          <w:sz w:val="18"/>
        </w:rPr>
        <w:t> </w:t>
      </w:r>
      <w:r>
        <w:rPr>
          <w:sz w:val="18"/>
        </w:rPr>
        <w:t>on</w:t>
      </w:r>
      <w:r>
        <w:rPr>
          <w:spacing w:val="-5"/>
          <w:sz w:val="18"/>
        </w:rPr>
        <w:t> </w:t>
      </w:r>
      <w:r>
        <w:rPr>
          <w:sz w:val="18"/>
        </w:rPr>
        <w:t>Human</w:t>
      </w:r>
      <w:r>
        <w:rPr>
          <w:spacing w:val="-5"/>
          <w:sz w:val="18"/>
        </w:rPr>
        <w:t> </w:t>
      </w:r>
      <w:r>
        <w:rPr>
          <w:sz w:val="18"/>
        </w:rPr>
        <w:t>Rights</w:t>
      </w:r>
      <w:r>
        <w:rPr>
          <w:spacing w:val="-5"/>
          <w:sz w:val="18"/>
        </w:rPr>
        <w:t> </w:t>
      </w:r>
      <w:r>
        <w:rPr>
          <w:sz w:val="18"/>
        </w:rPr>
        <w:t>at</w:t>
      </w:r>
      <w:r>
        <w:rPr>
          <w:spacing w:val="-4"/>
          <w:sz w:val="18"/>
        </w:rPr>
        <w:t> </w:t>
      </w:r>
      <w:r>
        <w:rPr>
          <w:sz w:val="18"/>
        </w:rPr>
        <w:t>Work’ (NIHRC, 2023).</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See</w:t>
      </w:r>
      <w:r>
        <w:rPr>
          <w:spacing w:val="-7"/>
          <w:sz w:val="18"/>
        </w:rPr>
        <w:t> </w:t>
      </w:r>
      <w:r>
        <w:rPr>
          <w:i/>
          <w:sz w:val="18"/>
        </w:rPr>
        <w:t>Satakunnan</w:t>
      </w:r>
      <w:r>
        <w:rPr>
          <w:i/>
          <w:spacing w:val="-5"/>
          <w:sz w:val="18"/>
        </w:rPr>
        <w:t> </w:t>
      </w:r>
      <w:r>
        <w:rPr>
          <w:i/>
          <w:sz w:val="18"/>
        </w:rPr>
        <w:t>Markkinapörssi</w:t>
      </w:r>
      <w:r>
        <w:rPr>
          <w:i/>
          <w:spacing w:val="-5"/>
          <w:sz w:val="18"/>
        </w:rPr>
        <w:t> </w:t>
      </w:r>
      <w:r>
        <w:rPr>
          <w:i/>
          <w:sz w:val="18"/>
        </w:rPr>
        <w:t>Oy</w:t>
      </w:r>
      <w:r>
        <w:rPr>
          <w:i/>
          <w:spacing w:val="-5"/>
          <w:sz w:val="18"/>
        </w:rPr>
        <w:t> </w:t>
      </w:r>
      <w:r>
        <w:rPr>
          <w:i/>
          <w:sz w:val="18"/>
        </w:rPr>
        <w:t>and</w:t>
      </w:r>
      <w:r>
        <w:rPr>
          <w:i/>
          <w:spacing w:val="-5"/>
          <w:sz w:val="18"/>
        </w:rPr>
        <w:t> </w:t>
      </w:r>
      <w:r>
        <w:rPr>
          <w:i/>
          <w:sz w:val="18"/>
        </w:rPr>
        <w:t>Satamedia</w:t>
      </w:r>
      <w:r>
        <w:rPr>
          <w:i/>
          <w:spacing w:val="-5"/>
          <w:sz w:val="18"/>
        </w:rPr>
        <w:t> </w:t>
      </w:r>
      <w:r>
        <w:rPr>
          <w:i/>
          <w:sz w:val="18"/>
        </w:rPr>
        <w:t>Oy</w:t>
      </w:r>
      <w:r>
        <w:rPr>
          <w:i/>
          <w:spacing w:val="-5"/>
          <w:sz w:val="18"/>
        </w:rPr>
        <w:t> </w:t>
      </w:r>
      <w:r>
        <w:rPr>
          <w:i/>
          <w:sz w:val="18"/>
        </w:rPr>
        <w:t>v</w:t>
      </w:r>
      <w:r>
        <w:rPr>
          <w:i/>
          <w:spacing w:val="-4"/>
          <w:sz w:val="18"/>
        </w:rPr>
        <w:t> </w:t>
      </w:r>
      <w:r>
        <w:rPr>
          <w:i/>
          <w:sz w:val="18"/>
        </w:rPr>
        <w:t>Finland</w:t>
      </w:r>
      <w:r>
        <w:rPr>
          <w:i/>
          <w:spacing w:val="-3"/>
          <w:sz w:val="18"/>
        </w:rPr>
        <w:t> </w:t>
      </w:r>
      <w:r>
        <w:rPr>
          <w:sz w:val="18"/>
        </w:rPr>
        <w:t>(2017)</w:t>
      </w:r>
      <w:r>
        <w:rPr>
          <w:spacing w:val="-5"/>
          <w:sz w:val="18"/>
        </w:rPr>
        <w:t> </w:t>
      </w:r>
      <w:r>
        <w:rPr>
          <w:sz w:val="18"/>
        </w:rPr>
        <w:t>ECHR</w:t>
      </w:r>
      <w:r>
        <w:rPr>
          <w:spacing w:val="-4"/>
          <w:sz w:val="18"/>
        </w:rPr>
        <w:t> </w:t>
      </w:r>
      <w:r>
        <w:rPr>
          <w:sz w:val="18"/>
        </w:rPr>
        <w:t>607,</w:t>
      </w:r>
      <w:r>
        <w:rPr>
          <w:spacing w:val="-4"/>
          <w:sz w:val="18"/>
        </w:rPr>
        <w:t> </w:t>
      </w:r>
      <w:r>
        <w:rPr>
          <w:sz w:val="18"/>
        </w:rPr>
        <w:t>at</w:t>
      </w:r>
      <w:r>
        <w:rPr>
          <w:spacing w:val="-4"/>
          <w:sz w:val="18"/>
        </w:rPr>
        <w:t> </w:t>
      </w:r>
      <w:r>
        <w:rPr>
          <w:sz w:val="18"/>
        </w:rPr>
        <w:t>para</w:t>
      </w:r>
      <w:r>
        <w:rPr>
          <w:spacing w:val="-4"/>
          <w:sz w:val="18"/>
        </w:rPr>
        <w:t> 137.</w:t>
      </w:r>
    </w:p>
    <w:p>
      <w:pPr>
        <w:pStyle w:val="ListParagraph"/>
        <w:numPr>
          <w:ilvl w:val="0"/>
          <w:numId w:val="11"/>
        </w:numPr>
        <w:tabs>
          <w:tab w:pos="1853" w:val="left" w:leader="none"/>
        </w:tabs>
        <w:spacing w:line="235" w:lineRule="auto" w:before="1" w:after="0"/>
        <w:ind w:left="1853" w:right="1542" w:hanging="720"/>
        <w:jc w:val="left"/>
        <w:rPr>
          <w:sz w:val="18"/>
        </w:rPr>
      </w:pPr>
      <w:r>
        <w:rPr>
          <w:sz w:val="18"/>
        </w:rPr>
        <w:t>Article</w:t>
      </w:r>
      <w:r>
        <w:rPr>
          <w:spacing w:val="-4"/>
          <w:sz w:val="18"/>
        </w:rPr>
        <w:t> </w:t>
      </w:r>
      <w:r>
        <w:rPr>
          <w:sz w:val="18"/>
        </w:rPr>
        <w:t>1,</w:t>
      </w:r>
      <w:r>
        <w:rPr>
          <w:spacing w:val="-4"/>
          <w:sz w:val="18"/>
        </w:rPr>
        <w:t> </w:t>
      </w:r>
      <w:r>
        <w:rPr>
          <w:sz w:val="18"/>
        </w:rPr>
        <w:t>Regulation</w:t>
      </w:r>
      <w:r>
        <w:rPr>
          <w:spacing w:val="-5"/>
          <w:sz w:val="18"/>
        </w:rPr>
        <w:t> </w:t>
      </w:r>
      <w:r>
        <w:rPr>
          <w:sz w:val="18"/>
        </w:rPr>
        <w:t>(EU)</w:t>
      </w:r>
      <w:r>
        <w:rPr>
          <w:spacing w:val="-5"/>
          <w:sz w:val="18"/>
        </w:rPr>
        <w:t> </w:t>
      </w:r>
      <w:r>
        <w:rPr>
          <w:sz w:val="18"/>
        </w:rPr>
        <w:t>2016/679,</w:t>
      </w:r>
      <w:r>
        <w:rPr>
          <w:spacing w:val="-4"/>
          <w:sz w:val="18"/>
        </w:rPr>
        <w:t> </w:t>
      </w:r>
      <w:r>
        <w:rPr>
          <w:sz w:val="18"/>
        </w:rPr>
        <w:t>‘EU</w:t>
      </w:r>
      <w:r>
        <w:rPr>
          <w:spacing w:val="-4"/>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Regulation</w:t>
      </w:r>
      <w:r>
        <w:rPr>
          <w:spacing w:val="-5"/>
          <w:sz w:val="18"/>
        </w:rPr>
        <w:t> </w:t>
      </w:r>
      <w:r>
        <w:rPr>
          <w:sz w:val="18"/>
        </w:rPr>
        <w:t>on</w:t>
      </w:r>
      <w:r>
        <w:rPr>
          <w:spacing w:val="-5"/>
          <w:sz w:val="18"/>
        </w:rPr>
        <w:t> </w:t>
      </w:r>
      <w:r>
        <w:rPr>
          <w:sz w:val="18"/>
        </w:rPr>
        <w:t>the</w:t>
      </w:r>
      <w:r>
        <w:rPr>
          <w:spacing w:val="-4"/>
          <w:sz w:val="18"/>
        </w:rPr>
        <w:t> </w:t>
      </w:r>
      <w:r>
        <w:rPr>
          <w:sz w:val="18"/>
        </w:rPr>
        <w:t>protection</w:t>
      </w:r>
      <w:r>
        <w:rPr>
          <w:spacing w:val="-5"/>
          <w:sz w:val="18"/>
        </w:rPr>
        <w:t> </w:t>
      </w:r>
      <w:r>
        <w:rPr>
          <w:sz w:val="18"/>
        </w:rPr>
        <w:t>of</w:t>
      </w:r>
      <w:r>
        <w:rPr>
          <w:spacing w:val="-5"/>
          <w:sz w:val="18"/>
        </w:rPr>
        <w:t> </w:t>
      </w:r>
      <w:r>
        <w:rPr>
          <w:sz w:val="18"/>
        </w:rPr>
        <w:t>natural</w:t>
      </w:r>
      <w:r>
        <w:rPr>
          <w:spacing w:val="-5"/>
          <w:sz w:val="18"/>
        </w:rPr>
        <w:t> </w:t>
      </w:r>
      <w:r>
        <w:rPr>
          <w:sz w:val="18"/>
        </w:rPr>
        <w:t>persons</w:t>
      </w:r>
      <w:r>
        <w:rPr>
          <w:spacing w:val="-5"/>
          <w:sz w:val="18"/>
        </w:rPr>
        <w:t> </w:t>
      </w:r>
      <w:r>
        <w:rPr>
          <w:sz w:val="18"/>
        </w:rPr>
        <w:t>with regard to the processing of personal data and on the free movement of such data, and repealing Directive 95/46/EC (General Data Protection Regulation)’, 27 April 2016.</w:t>
      </w:r>
    </w:p>
    <w:p>
      <w:pPr>
        <w:pStyle w:val="ListParagraph"/>
        <w:numPr>
          <w:ilvl w:val="0"/>
          <w:numId w:val="11"/>
        </w:numPr>
        <w:tabs>
          <w:tab w:pos="1853" w:val="left" w:leader="none"/>
        </w:tabs>
        <w:spacing w:line="235" w:lineRule="auto" w:before="2" w:after="0"/>
        <w:ind w:left="1853" w:right="1357" w:hanging="720"/>
        <w:jc w:val="left"/>
        <w:rPr>
          <w:sz w:val="18"/>
        </w:rPr>
      </w:pPr>
      <w:r>
        <w:rPr>
          <w:sz w:val="18"/>
        </w:rPr>
        <w:t>NI Human Rights Commission, ‘Briefing on the Data Protection and Digital Information Bill’ (NIHRC, 2024); Equality Commission</w:t>
      </w:r>
      <w:r>
        <w:rPr>
          <w:spacing w:val="-4"/>
          <w:sz w:val="18"/>
        </w:rPr>
        <w:t> </w:t>
      </w:r>
      <w:r>
        <w:rPr>
          <w:sz w:val="18"/>
        </w:rPr>
        <w:t>for</w:t>
      </w:r>
      <w:r>
        <w:rPr>
          <w:spacing w:val="-4"/>
          <w:sz w:val="18"/>
        </w:rPr>
        <w:t> </w:t>
      </w:r>
      <w:r>
        <w:rPr>
          <w:sz w:val="18"/>
        </w:rPr>
        <w:t>NI,</w:t>
      </w:r>
      <w:r>
        <w:rPr>
          <w:spacing w:val="-4"/>
          <w:sz w:val="18"/>
        </w:rPr>
        <w:t> </w:t>
      </w:r>
      <w:r>
        <w:rPr>
          <w:sz w:val="18"/>
        </w:rPr>
        <w:t>‘Submission</w:t>
      </w:r>
      <w:r>
        <w:rPr>
          <w:spacing w:val="-4"/>
          <w:sz w:val="18"/>
        </w:rPr>
        <w:t> </w:t>
      </w:r>
      <w:r>
        <w:rPr>
          <w:sz w:val="18"/>
        </w:rPr>
        <w:t>on</w:t>
      </w:r>
      <w:r>
        <w:rPr>
          <w:spacing w:val="-4"/>
          <w:sz w:val="18"/>
        </w:rPr>
        <w:t> </w:t>
      </w:r>
      <w:r>
        <w:rPr>
          <w:sz w:val="18"/>
        </w:rPr>
        <w:t>the</w:t>
      </w:r>
      <w:r>
        <w:rPr>
          <w:spacing w:val="-4"/>
          <w:sz w:val="18"/>
        </w:rPr>
        <w:t> </w:t>
      </w:r>
      <w:r>
        <w:rPr>
          <w:sz w:val="18"/>
        </w:rPr>
        <w:t>Data</w:t>
      </w:r>
      <w:r>
        <w:rPr>
          <w:spacing w:val="-4"/>
          <w:sz w:val="18"/>
        </w:rPr>
        <w:t> </w:t>
      </w:r>
      <w:r>
        <w:rPr>
          <w:sz w:val="18"/>
        </w:rPr>
        <w:t>Protection</w:t>
      </w:r>
      <w:r>
        <w:rPr>
          <w:spacing w:val="-4"/>
          <w:sz w:val="18"/>
        </w:rPr>
        <w:t> </w:t>
      </w:r>
      <w:r>
        <w:rPr>
          <w:sz w:val="18"/>
        </w:rPr>
        <w:t>and</w:t>
      </w:r>
      <w:r>
        <w:rPr>
          <w:spacing w:val="-4"/>
          <w:sz w:val="18"/>
        </w:rPr>
        <w:t> </w:t>
      </w:r>
      <w:r>
        <w:rPr>
          <w:sz w:val="18"/>
        </w:rPr>
        <w:t>Digital</w:t>
      </w:r>
      <w:r>
        <w:rPr>
          <w:spacing w:val="-4"/>
          <w:sz w:val="18"/>
        </w:rPr>
        <w:t> </w:t>
      </w:r>
      <w:r>
        <w:rPr>
          <w:sz w:val="18"/>
        </w:rPr>
        <w:t>Information</w:t>
      </w:r>
      <w:r>
        <w:rPr>
          <w:spacing w:val="-4"/>
          <w:sz w:val="18"/>
        </w:rPr>
        <w:t> </w:t>
      </w:r>
      <w:r>
        <w:rPr>
          <w:sz w:val="18"/>
        </w:rPr>
        <w:t>Bill’</w:t>
      </w:r>
      <w:r>
        <w:rPr>
          <w:spacing w:val="-4"/>
          <w:sz w:val="18"/>
        </w:rPr>
        <w:t> </w:t>
      </w:r>
      <w:r>
        <w:rPr>
          <w:sz w:val="18"/>
        </w:rPr>
        <w:t>(ECNI,</w:t>
      </w:r>
      <w:r>
        <w:rPr>
          <w:spacing w:val="-4"/>
          <w:sz w:val="18"/>
        </w:rPr>
        <w:t> </w:t>
      </w:r>
      <w:r>
        <w:rPr>
          <w:sz w:val="18"/>
        </w:rPr>
        <w:t>2024).</w:t>
      </w:r>
      <w:r>
        <w:rPr>
          <w:spacing w:val="33"/>
          <w:sz w:val="18"/>
        </w:rPr>
        <w:t> </w:t>
      </w:r>
      <w:r>
        <w:rPr>
          <w:sz w:val="18"/>
        </w:rPr>
        <w:t>For</w:t>
      </w:r>
      <w:r>
        <w:rPr>
          <w:spacing w:val="-4"/>
          <w:sz w:val="18"/>
        </w:rPr>
        <w:t> </w:t>
      </w:r>
      <w:r>
        <w:rPr>
          <w:sz w:val="18"/>
        </w:rPr>
        <w:t>further</w:t>
      </w:r>
      <w:r>
        <w:rPr>
          <w:spacing w:val="-4"/>
          <w:sz w:val="18"/>
        </w:rPr>
        <w:t> </w:t>
      </w:r>
      <w:r>
        <w:rPr>
          <w:sz w:val="18"/>
        </w:rPr>
        <w:t>discussion see the Data Protection section of this chapter.</w:t>
      </w:r>
    </w:p>
    <w:p>
      <w:pPr>
        <w:pStyle w:val="ListParagraph"/>
        <w:numPr>
          <w:ilvl w:val="0"/>
          <w:numId w:val="11"/>
        </w:numPr>
        <w:tabs>
          <w:tab w:pos="1853" w:val="left" w:leader="none"/>
        </w:tabs>
        <w:spacing w:line="218" w:lineRule="exact" w:before="0" w:after="0"/>
        <w:ind w:left="1853" w:right="0" w:hanging="720"/>
        <w:jc w:val="left"/>
        <w:rPr>
          <w:sz w:val="18"/>
        </w:rPr>
      </w:pPr>
      <w:r>
        <w:rPr>
          <w:sz w:val="18"/>
        </w:rPr>
        <w:t>Directive</w:t>
      </w:r>
      <w:r>
        <w:rPr>
          <w:spacing w:val="-7"/>
          <w:sz w:val="18"/>
        </w:rPr>
        <w:t> </w:t>
      </w:r>
      <w:r>
        <w:rPr>
          <w:sz w:val="18"/>
        </w:rPr>
        <w:t>2019/1158/EU</w:t>
      </w:r>
      <w:r>
        <w:rPr>
          <w:spacing w:val="-6"/>
          <w:sz w:val="18"/>
        </w:rPr>
        <w:t> </w:t>
      </w:r>
      <w:r>
        <w:rPr>
          <w:sz w:val="18"/>
        </w:rPr>
        <w:t>‘EU</w:t>
      </w:r>
      <w:r>
        <w:rPr>
          <w:spacing w:val="-6"/>
          <w:sz w:val="18"/>
        </w:rPr>
        <w:t> </w:t>
      </w:r>
      <w:r>
        <w:rPr>
          <w:sz w:val="18"/>
        </w:rPr>
        <w:t>Parliament</w:t>
      </w:r>
      <w:r>
        <w:rPr>
          <w:spacing w:val="-6"/>
          <w:sz w:val="18"/>
        </w:rPr>
        <w:t> </w:t>
      </w:r>
      <w:r>
        <w:rPr>
          <w:sz w:val="18"/>
        </w:rPr>
        <w:t>and</w:t>
      </w:r>
      <w:r>
        <w:rPr>
          <w:spacing w:val="-7"/>
          <w:sz w:val="18"/>
        </w:rPr>
        <w:t> </w:t>
      </w:r>
      <w:r>
        <w:rPr>
          <w:sz w:val="18"/>
        </w:rPr>
        <w:t>Council</w:t>
      </w:r>
      <w:r>
        <w:rPr>
          <w:spacing w:val="-6"/>
          <w:sz w:val="18"/>
        </w:rPr>
        <w:t> </w:t>
      </w:r>
      <w:r>
        <w:rPr>
          <w:sz w:val="18"/>
        </w:rPr>
        <w:t>Directive</w:t>
      </w:r>
      <w:r>
        <w:rPr>
          <w:spacing w:val="-7"/>
          <w:sz w:val="18"/>
        </w:rPr>
        <w:t> </w:t>
      </w:r>
      <w:r>
        <w:rPr>
          <w:sz w:val="18"/>
        </w:rPr>
        <w:t>on</w:t>
      </w:r>
      <w:r>
        <w:rPr>
          <w:spacing w:val="-6"/>
          <w:sz w:val="18"/>
        </w:rPr>
        <w:t> </w:t>
      </w:r>
      <w:r>
        <w:rPr>
          <w:sz w:val="18"/>
        </w:rPr>
        <w:t>work-life</w:t>
      </w:r>
      <w:r>
        <w:rPr>
          <w:spacing w:val="-6"/>
          <w:sz w:val="18"/>
        </w:rPr>
        <w:t> </w:t>
      </w:r>
      <w:r>
        <w:rPr>
          <w:sz w:val="18"/>
        </w:rPr>
        <w:t>balance</w:t>
      </w:r>
      <w:r>
        <w:rPr>
          <w:spacing w:val="-6"/>
          <w:sz w:val="18"/>
        </w:rPr>
        <w:t> </w:t>
      </w:r>
      <w:r>
        <w:rPr>
          <w:sz w:val="18"/>
        </w:rPr>
        <w:t>for</w:t>
      </w:r>
      <w:r>
        <w:rPr>
          <w:spacing w:val="-7"/>
          <w:sz w:val="18"/>
        </w:rPr>
        <w:t> </w:t>
      </w:r>
      <w:r>
        <w:rPr>
          <w:sz w:val="18"/>
        </w:rPr>
        <w:t>parents</w:t>
      </w:r>
      <w:r>
        <w:rPr>
          <w:spacing w:val="-6"/>
          <w:sz w:val="18"/>
        </w:rPr>
        <w:t> </w:t>
      </w:r>
      <w:r>
        <w:rPr>
          <w:sz w:val="18"/>
        </w:rPr>
        <w:t>and</w:t>
      </w:r>
      <w:r>
        <w:rPr>
          <w:spacing w:val="-7"/>
          <w:sz w:val="18"/>
        </w:rPr>
        <w:t> </w:t>
      </w:r>
      <w:r>
        <w:rPr>
          <w:sz w:val="18"/>
        </w:rPr>
        <w:t>carers’,</w:t>
      </w:r>
      <w:r>
        <w:rPr>
          <w:spacing w:val="-6"/>
          <w:sz w:val="18"/>
        </w:rPr>
        <w:t> </w:t>
      </w:r>
      <w:r>
        <w:rPr>
          <w:sz w:val="18"/>
        </w:rPr>
        <w:t>20</w:t>
      </w:r>
      <w:r>
        <w:rPr>
          <w:spacing w:val="-6"/>
          <w:sz w:val="18"/>
        </w:rPr>
        <w:t> </w:t>
      </w:r>
      <w:r>
        <w:rPr>
          <w:sz w:val="18"/>
        </w:rPr>
        <w:t>June</w:t>
      </w:r>
      <w:r>
        <w:rPr>
          <w:spacing w:val="-6"/>
          <w:sz w:val="18"/>
        </w:rPr>
        <w:t> </w:t>
      </w:r>
      <w:r>
        <w:rPr>
          <w:spacing w:val="-2"/>
          <w:sz w:val="18"/>
        </w:rPr>
        <w:t>2019.</w:t>
      </w:r>
    </w:p>
    <w:p>
      <w:pPr>
        <w:spacing w:after="0" w:line="218" w:lineRule="exact"/>
        <w:jc w:val="left"/>
        <w:rPr>
          <w:sz w:val="18"/>
        </w:rPr>
        <w:sectPr>
          <w:pgSz w:w="11910" w:h="16840"/>
          <w:pgMar w:header="496" w:footer="367" w:top="1220" w:bottom="560" w:left="0" w:right="0"/>
        </w:sectPr>
      </w:pPr>
    </w:p>
    <w:p>
      <w:pPr>
        <w:pStyle w:val="BodyText"/>
        <w:spacing w:before="198"/>
      </w:pPr>
    </w:p>
    <w:p>
      <w:pPr>
        <w:pStyle w:val="BodyText"/>
        <w:spacing w:line="225" w:lineRule="auto"/>
        <w:ind w:left="1853"/>
      </w:pPr>
      <w:r>
        <w:rPr/>
        <w:t>sharing</w:t>
      </w:r>
      <w:r>
        <w:rPr>
          <w:spacing w:val="-7"/>
        </w:rPr>
        <w:t> </w:t>
      </w:r>
      <w:r>
        <w:rPr/>
        <w:t>of</w:t>
      </w:r>
      <w:r>
        <w:rPr>
          <w:spacing w:val="-8"/>
        </w:rPr>
        <w:t> </w:t>
      </w:r>
      <w:r>
        <w:rPr/>
        <w:t>parental</w:t>
      </w:r>
      <w:r>
        <w:rPr>
          <w:spacing w:val="-8"/>
        </w:rPr>
        <w:t> </w:t>
      </w:r>
      <w:r>
        <w:rPr/>
        <w:t>leave</w:t>
      </w:r>
      <w:r>
        <w:rPr>
          <w:spacing w:val="-7"/>
        </w:rPr>
        <w:t> </w:t>
      </w:r>
      <w:r>
        <w:rPr/>
        <w:t>between</w:t>
      </w:r>
      <w:r>
        <w:rPr>
          <w:spacing w:val="-8"/>
        </w:rPr>
        <w:t> </w:t>
      </w:r>
      <w:r>
        <w:rPr/>
        <w:t>men</w:t>
      </w:r>
      <w:r>
        <w:rPr>
          <w:spacing w:val="-8"/>
        </w:rPr>
        <w:t> </w:t>
      </w:r>
      <w:r>
        <w:rPr/>
        <w:t>and</w:t>
      </w:r>
      <w:r>
        <w:rPr>
          <w:spacing w:val="-8"/>
        </w:rPr>
        <w:t> </w:t>
      </w:r>
      <w:r>
        <w:rPr/>
        <w:t>women,</w:t>
      </w:r>
      <w:r>
        <w:rPr>
          <w:spacing w:val="-7"/>
        </w:rPr>
        <w:t> </w:t>
      </w:r>
      <w:r>
        <w:rPr/>
        <w:t>and</w:t>
      </w:r>
      <w:r>
        <w:rPr>
          <w:spacing w:val="-8"/>
        </w:rPr>
        <w:t> </w:t>
      </w:r>
      <w:r>
        <w:rPr/>
        <w:t>to</w:t>
      </w:r>
      <w:r>
        <w:rPr>
          <w:spacing w:val="-8"/>
        </w:rPr>
        <w:t> </w:t>
      </w:r>
      <w:r>
        <w:rPr/>
        <w:t>address</w:t>
      </w:r>
      <w:r>
        <w:rPr>
          <w:spacing w:val="-8"/>
        </w:rPr>
        <w:t> </w:t>
      </w:r>
      <w:r>
        <w:rPr/>
        <w:t>women’s underrepresentation in the labour market.</w:t>
      </w:r>
    </w:p>
    <w:p>
      <w:pPr>
        <w:pStyle w:val="ListParagraph"/>
        <w:numPr>
          <w:ilvl w:val="1"/>
          <w:numId w:val="7"/>
        </w:numPr>
        <w:tabs>
          <w:tab w:pos="1853" w:val="left" w:leader="none"/>
        </w:tabs>
        <w:spacing w:line="225" w:lineRule="auto" w:before="318" w:after="0"/>
        <w:ind w:left="1853" w:right="1171" w:hanging="720"/>
        <w:jc w:val="left"/>
        <w:rPr>
          <w:sz w:val="28"/>
        </w:rPr>
      </w:pPr>
      <w:r>
        <w:rPr>
          <w:sz w:val="28"/>
        </w:rPr>
        <w:t>The Commissions have previously noted in their policy recommendations on divergence of rights</w:t>
      </w:r>
      <w:r>
        <w:rPr>
          <w:sz w:val="28"/>
          <w:vertAlign w:val="superscript"/>
        </w:rPr>
        <w:t>625</w:t>
      </w:r>
      <w:r>
        <w:rPr>
          <w:sz w:val="28"/>
          <w:vertAlign w:val="baseline"/>
        </w:rPr>
        <w:t> that the EU Work-Life Balance Directive</w:t>
      </w:r>
      <w:r>
        <w:rPr>
          <w:sz w:val="28"/>
          <w:vertAlign w:val="superscript"/>
        </w:rPr>
        <w:t>626</w:t>
      </w:r>
      <w:r>
        <w:rPr>
          <w:sz w:val="28"/>
          <w:vertAlign w:val="baseline"/>
        </w:rPr>
        <w:t> repeals and replaces the EU Parental Leave Directive.</w:t>
      </w:r>
      <w:r>
        <w:rPr>
          <w:sz w:val="28"/>
          <w:vertAlign w:val="superscript"/>
        </w:rPr>
        <w:t>627</w:t>
      </w:r>
      <w:r>
        <w:rPr>
          <w:sz w:val="28"/>
          <w:vertAlign w:val="baseline"/>
        </w:rPr>
        <w:t> Although this is not a directive listed under Annex 1 Windsor Framework, the Commissions</w:t>
      </w:r>
      <w:r>
        <w:rPr>
          <w:sz w:val="28"/>
          <w:vertAlign w:val="superscript"/>
        </w:rPr>
        <w:t>628</w:t>
      </w:r>
      <w:r>
        <w:rPr>
          <w:sz w:val="28"/>
          <w:vertAlign w:val="baseline"/>
        </w:rPr>
        <w:t> and the UK Government</w:t>
      </w:r>
      <w:r>
        <w:rPr>
          <w:sz w:val="28"/>
          <w:vertAlign w:val="superscript"/>
        </w:rPr>
        <w:t>629</w:t>
      </w:r>
      <w:r>
        <w:rPr>
          <w:spacing w:val="-12"/>
          <w:sz w:val="28"/>
          <w:vertAlign w:val="baseline"/>
        </w:rPr>
        <w:t> </w:t>
      </w:r>
      <w:r>
        <w:rPr>
          <w:sz w:val="28"/>
          <w:vertAlign w:val="baseline"/>
        </w:rPr>
        <w:t>have</w:t>
      </w:r>
      <w:r>
        <w:rPr>
          <w:spacing w:val="-12"/>
          <w:sz w:val="28"/>
          <w:vertAlign w:val="baseline"/>
        </w:rPr>
        <w:t> </w:t>
      </w:r>
      <w:r>
        <w:rPr>
          <w:sz w:val="28"/>
          <w:vertAlign w:val="baseline"/>
        </w:rPr>
        <w:t>identified</w:t>
      </w:r>
      <w:r>
        <w:rPr>
          <w:spacing w:val="-12"/>
          <w:sz w:val="28"/>
          <w:vertAlign w:val="baseline"/>
        </w:rPr>
        <w:t> </w:t>
      </w:r>
      <w:r>
        <w:rPr>
          <w:sz w:val="28"/>
          <w:vertAlign w:val="baseline"/>
        </w:rPr>
        <w:t>the</w:t>
      </w:r>
      <w:r>
        <w:rPr>
          <w:spacing w:val="-12"/>
          <w:sz w:val="28"/>
          <w:vertAlign w:val="baseline"/>
        </w:rPr>
        <w:t> </w:t>
      </w:r>
      <w:r>
        <w:rPr>
          <w:sz w:val="28"/>
          <w:vertAlign w:val="baseline"/>
        </w:rPr>
        <w:t>EU</w:t>
      </w:r>
      <w:r>
        <w:rPr>
          <w:spacing w:val="-12"/>
          <w:sz w:val="28"/>
          <w:vertAlign w:val="baseline"/>
        </w:rPr>
        <w:t> </w:t>
      </w:r>
      <w:r>
        <w:rPr>
          <w:sz w:val="28"/>
          <w:vertAlign w:val="baseline"/>
        </w:rPr>
        <w:t>Parental</w:t>
      </w:r>
      <w:r>
        <w:rPr>
          <w:spacing w:val="-12"/>
          <w:sz w:val="28"/>
          <w:vertAlign w:val="baseline"/>
        </w:rPr>
        <w:t> </w:t>
      </w:r>
      <w:r>
        <w:rPr>
          <w:sz w:val="28"/>
          <w:vertAlign w:val="baseline"/>
        </w:rPr>
        <w:t>Leave</w:t>
      </w:r>
      <w:r>
        <w:rPr>
          <w:spacing w:val="-12"/>
          <w:sz w:val="28"/>
          <w:vertAlign w:val="baseline"/>
        </w:rPr>
        <w:t> </w:t>
      </w:r>
      <w:r>
        <w:rPr>
          <w:sz w:val="28"/>
          <w:vertAlign w:val="baseline"/>
        </w:rPr>
        <w:t>Directive</w:t>
      </w:r>
      <w:r>
        <w:rPr>
          <w:spacing w:val="-12"/>
          <w:sz w:val="28"/>
          <w:vertAlign w:val="baseline"/>
        </w:rPr>
        <w:t> </w:t>
      </w:r>
      <w:r>
        <w:rPr>
          <w:sz w:val="28"/>
          <w:vertAlign w:val="baseline"/>
        </w:rPr>
        <w:t>as</w:t>
      </w:r>
      <w:r>
        <w:rPr>
          <w:spacing w:val="-12"/>
          <w:sz w:val="28"/>
          <w:vertAlign w:val="baseline"/>
        </w:rPr>
        <w:t> </w:t>
      </w:r>
      <w:r>
        <w:rPr>
          <w:sz w:val="28"/>
          <w:vertAlign w:val="baseline"/>
        </w:rPr>
        <w:t>falling</w:t>
      </w:r>
      <w:r>
        <w:rPr>
          <w:spacing w:val="-12"/>
          <w:sz w:val="28"/>
          <w:vertAlign w:val="baseline"/>
        </w:rPr>
        <w:t> </w:t>
      </w:r>
      <w:r>
        <w:rPr>
          <w:sz w:val="28"/>
          <w:vertAlign w:val="baseline"/>
        </w:rPr>
        <w:t>within the scope of Windsor Framework Article 2.</w:t>
      </w:r>
    </w:p>
    <w:p>
      <w:pPr>
        <w:pStyle w:val="ListParagraph"/>
        <w:numPr>
          <w:ilvl w:val="1"/>
          <w:numId w:val="7"/>
        </w:numPr>
        <w:tabs>
          <w:tab w:pos="1853" w:val="left" w:leader="none"/>
        </w:tabs>
        <w:spacing w:line="225" w:lineRule="auto" w:before="312" w:after="0"/>
        <w:ind w:left="1853" w:right="1202" w:hanging="720"/>
        <w:jc w:val="left"/>
        <w:rPr>
          <w:sz w:val="28"/>
        </w:rPr>
      </w:pPr>
      <w:r>
        <w:rPr>
          <w:sz w:val="28"/>
        </w:rPr>
        <w:t>In</w:t>
      </w:r>
      <w:r>
        <w:rPr>
          <w:spacing w:val="-8"/>
          <w:sz w:val="28"/>
        </w:rPr>
        <w:t> </w:t>
      </w:r>
      <w:r>
        <w:rPr>
          <w:sz w:val="28"/>
        </w:rPr>
        <w:t>March</w:t>
      </w:r>
      <w:r>
        <w:rPr>
          <w:spacing w:val="-8"/>
          <w:sz w:val="28"/>
        </w:rPr>
        <w:t> </w:t>
      </w:r>
      <w:r>
        <w:rPr>
          <w:sz w:val="28"/>
        </w:rPr>
        <w:t>2023,</w:t>
      </w:r>
      <w:r>
        <w:rPr>
          <w:spacing w:val="-7"/>
          <w:sz w:val="28"/>
        </w:rPr>
        <w:t> </w:t>
      </w:r>
      <w:r>
        <w:rPr>
          <w:sz w:val="28"/>
        </w:rPr>
        <w:t>the</w:t>
      </w:r>
      <w:r>
        <w:rPr>
          <w:spacing w:val="-7"/>
          <w:sz w:val="28"/>
        </w:rPr>
        <w:t> </w:t>
      </w:r>
      <w:r>
        <w:rPr>
          <w:sz w:val="28"/>
        </w:rPr>
        <w:t>research</w:t>
      </w:r>
      <w:r>
        <w:rPr>
          <w:spacing w:val="-8"/>
          <w:sz w:val="28"/>
        </w:rPr>
        <w:t> </w:t>
      </w:r>
      <w:r>
        <w:rPr>
          <w:sz w:val="28"/>
        </w:rPr>
        <w:t>report</w:t>
      </w:r>
      <w:r>
        <w:rPr>
          <w:spacing w:val="-7"/>
          <w:sz w:val="28"/>
        </w:rPr>
        <w:t> </w:t>
      </w:r>
      <w:r>
        <w:rPr>
          <w:sz w:val="28"/>
        </w:rPr>
        <w:t>on</w:t>
      </w:r>
      <w:r>
        <w:rPr>
          <w:spacing w:val="-8"/>
          <w:sz w:val="28"/>
        </w:rPr>
        <w:t> </w:t>
      </w:r>
      <w:r>
        <w:rPr>
          <w:sz w:val="28"/>
        </w:rPr>
        <w:t>divergence</w:t>
      </w:r>
      <w:r>
        <w:rPr>
          <w:spacing w:val="-7"/>
          <w:sz w:val="28"/>
        </w:rPr>
        <w:t> </w:t>
      </w:r>
      <w:r>
        <w:rPr>
          <w:sz w:val="28"/>
        </w:rPr>
        <w:t>of</w:t>
      </w:r>
      <w:r>
        <w:rPr>
          <w:spacing w:val="-8"/>
          <w:sz w:val="28"/>
        </w:rPr>
        <w:t> </w:t>
      </w:r>
      <w:r>
        <w:rPr>
          <w:sz w:val="28"/>
        </w:rPr>
        <w:t>rights</w:t>
      </w:r>
      <w:r>
        <w:rPr>
          <w:sz w:val="28"/>
          <w:vertAlign w:val="superscript"/>
        </w:rPr>
        <w:t>630</w:t>
      </w:r>
      <w:r>
        <w:rPr>
          <w:spacing w:val="-8"/>
          <w:sz w:val="28"/>
          <w:vertAlign w:val="baseline"/>
        </w:rPr>
        <w:t> </w:t>
      </w:r>
      <w:r>
        <w:rPr>
          <w:sz w:val="28"/>
          <w:vertAlign w:val="baseline"/>
        </w:rPr>
        <w:t>published</w:t>
      </w:r>
      <w:r>
        <w:rPr>
          <w:spacing w:val="-8"/>
          <w:sz w:val="28"/>
          <w:vertAlign w:val="baseline"/>
        </w:rPr>
        <w:t> </w:t>
      </w:r>
      <w:r>
        <w:rPr>
          <w:sz w:val="28"/>
          <w:vertAlign w:val="baseline"/>
        </w:rPr>
        <w:t>by</w:t>
      </w:r>
      <w:r>
        <w:rPr>
          <w:spacing w:val="-7"/>
          <w:sz w:val="28"/>
          <w:vertAlign w:val="baseline"/>
        </w:rPr>
        <w:t> </w:t>
      </w:r>
      <w:r>
        <w:rPr>
          <w:sz w:val="28"/>
          <w:vertAlign w:val="baseline"/>
        </w:rPr>
        <w:t>the Commissions, and the Commissions’ subsequent policy recommendations</w:t>
      </w:r>
      <w:r>
        <w:rPr>
          <w:sz w:val="28"/>
          <w:vertAlign w:val="superscript"/>
        </w:rPr>
        <w:t>631</w:t>
      </w:r>
      <w:r>
        <w:rPr>
          <w:sz w:val="28"/>
          <w:vertAlign w:val="baseline"/>
        </w:rPr>
        <w:t> noted legislative developments within the EU, including Ireland, in relation</w:t>
      </w:r>
    </w:p>
    <w:p>
      <w:pPr>
        <w:pStyle w:val="BodyText"/>
        <w:spacing w:line="225" w:lineRule="auto"/>
        <w:ind w:left="1853" w:right="1171"/>
      </w:pPr>
      <w:r>
        <w:rPr/>
        <w:t>to</w:t>
      </w:r>
      <w:r>
        <w:rPr>
          <w:spacing w:val="-8"/>
        </w:rPr>
        <w:t> </w:t>
      </w:r>
      <w:r>
        <w:rPr/>
        <w:t>work-life</w:t>
      </w:r>
      <w:r>
        <w:rPr>
          <w:spacing w:val="-7"/>
        </w:rPr>
        <w:t> </w:t>
      </w:r>
      <w:r>
        <w:rPr/>
        <w:t>balance</w:t>
      </w:r>
      <w:r>
        <w:rPr>
          <w:spacing w:val="-7"/>
        </w:rPr>
        <w:t> </w:t>
      </w:r>
      <w:r>
        <w:rPr/>
        <w:t>for</w:t>
      </w:r>
      <w:r>
        <w:rPr>
          <w:spacing w:val="-7"/>
        </w:rPr>
        <w:t> </w:t>
      </w:r>
      <w:r>
        <w:rPr/>
        <w:t>parents</w:t>
      </w:r>
      <w:r>
        <w:rPr>
          <w:spacing w:val="-8"/>
        </w:rPr>
        <w:t> </w:t>
      </w:r>
      <w:r>
        <w:rPr/>
        <w:t>and</w:t>
      </w:r>
      <w:r>
        <w:rPr>
          <w:spacing w:val="-8"/>
        </w:rPr>
        <w:t> </w:t>
      </w:r>
      <w:r>
        <w:rPr/>
        <w:t>carers</w:t>
      </w:r>
      <w:r>
        <w:rPr>
          <w:spacing w:val="-8"/>
        </w:rPr>
        <w:t> </w:t>
      </w:r>
      <w:r>
        <w:rPr/>
        <w:t>which</w:t>
      </w:r>
      <w:r>
        <w:rPr>
          <w:spacing w:val="-8"/>
        </w:rPr>
        <w:t> </w:t>
      </w:r>
      <w:r>
        <w:rPr/>
        <w:t>could</w:t>
      </w:r>
      <w:r>
        <w:rPr>
          <w:spacing w:val="-8"/>
        </w:rPr>
        <w:t> </w:t>
      </w:r>
      <w:r>
        <w:rPr/>
        <w:t>potentially</w:t>
      </w:r>
      <w:r>
        <w:rPr>
          <w:spacing w:val="-7"/>
        </w:rPr>
        <w:t> </w:t>
      </w:r>
      <w:r>
        <w:rPr/>
        <w:t>lead</w:t>
      </w:r>
      <w:r>
        <w:rPr>
          <w:spacing w:val="-8"/>
        </w:rPr>
        <w:t> </w:t>
      </w:r>
      <w:r>
        <w:rPr/>
        <w:t>to</w:t>
      </w:r>
      <w:r>
        <w:rPr>
          <w:spacing w:val="-8"/>
        </w:rPr>
        <w:t> </w:t>
      </w:r>
      <w:r>
        <w:rPr/>
        <w:t>a divergence of rights.</w:t>
      </w:r>
    </w:p>
    <w:p>
      <w:pPr>
        <w:pStyle w:val="ListParagraph"/>
        <w:numPr>
          <w:ilvl w:val="1"/>
          <w:numId w:val="7"/>
        </w:numPr>
        <w:tabs>
          <w:tab w:pos="1853" w:val="left" w:leader="none"/>
        </w:tabs>
        <w:spacing w:line="225" w:lineRule="auto" w:before="314" w:after="0"/>
        <w:ind w:left="1853" w:right="1240" w:hanging="720"/>
        <w:jc w:val="left"/>
        <w:rPr>
          <w:sz w:val="28"/>
        </w:rPr>
      </w:pPr>
      <w:r>
        <w:rPr>
          <w:sz w:val="28"/>
        </w:rPr>
        <w:t>In April 2023, Ireland adopted the Work Life Balance and Miscellaneous Provisions Act 2023 to give effect to the EU Work Life Balance Directive.</w:t>
      </w:r>
      <w:r>
        <w:rPr>
          <w:spacing w:val="40"/>
          <w:sz w:val="28"/>
        </w:rPr>
        <w:t> </w:t>
      </w:r>
      <w:r>
        <w:rPr>
          <w:sz w:val="28"/>
        </w:rPr>
        <w:t>The aim of Act is to recognise the importance of family life and seeks to enhance protection measures to support employees to achieve a better balance between their family lives and work lives, such as providing leave for medical care;</w:t>
      </w:r>
      <w:r>
        <w:rPr>
          <w:sz w:val="28"/>
          <w:vertAlign w:val="superscript"/>
        </w:rPr>
        <w:t>632</w:t>
      </w:r>
      <w:r>
        <w:rPr>
          <w:spacing w:val="-13"/>
          <w:sz w:val="28"/>
          <w:vertAlign w:val="baseline"/>
        </w:rPr>
        <w:t> </w:t>
      </w:r>
      <w:r>
        <w:rPr>
          <w:sz w:val="28"/>
          <w:vertAlign w:val="baseline"/>
        </w:rPr>
        <w:t>leave</w:t>
      </w:r>
      <w:r>
        <w:rPr>
          <w:spacing w:val="-12"/>
          <w:sz w:val="28"/>
          <w:vertAlign w:val="baseline"/>
        </w:rPr>
        <w:t> </w:t>
      </w:r>
      <w:r>
        <w:rPr>
          <w:sz w:val="28"/>
          <w:vertAlign w:val="baseline"/>
        </w:rPr>
        <w:t>for</w:t>
      </w:r>
      <w:r>
        <w:rPr>
          <w:spacing w:val="-12"/>
          <w:sz w:val="28"/>
          <w:vertAlign w:val="baseline"/>
        </w:rPr>
        <w:t> </w:t>
      </w:r>
      <w:r>
        <w:rPr>
          <w:sz w:val="28"/>
          <w:vertAlign w:val="baseline"/>
        </w:rPr>
        <w:t>domestic</w:t>
      </w:r>
      <w:r>
        <w:rPr>
          <w:spacing w:val="-12"/>
          <w:sz w:val="28"/>
          <w:vertAlign w:val="baseline"/>
        </w:rPr>
        <w:t> </w:t>
      </w:r>
      <w:r>
        <w:rPr>
          <w:sz w:val="28"/>
          <w:vertAlign w:val="baseline"/>
        </w:rPr>
        <w:t>violence;</w:t>
      </w:r>
      <w:r>
        <w:rPr>
          <w:sz w:val="28"/>
          <w:vertAlign w:val="superscript"/>
        </w:rPr>
        <w:t>633</w:t>
      </w:r>
      <w:r>
        <w:rPr>
          <w:spacing w:val="-13"/>
          <w:sz w:val="28"/>
          <w:vertAlign w:val="baseline"/>
        </w:rPr>
        <w:t> </w:t>
      </w:r>
      <w:r>
        <w:rPr>
          <w:sz w:val="28"/>
          <w:vertAlign w:val="baseline"/>
        </w:rPr>
        <w:t>the</w:t>
      </w:r>
      <w:r>
        <w:rPr>
          <w:spacing w:val="-12"/>
          <w:sz w:val="28"/>
          <w:vertAlign w:val="baseline"/>
        </w:rPr>
        <w:t> </w:t>
      </w:r>
      <w:r>
        <w:rPr>
          <w:sz w:val="28"/>
          <w:vertAlign w:val="baseline"/>
        </w:rPr>
        <w:t>right</w:t>
      </w:r>
      <w:r>
        <w:rPr>
          <w:spacing w:val="-12"/>
          <w:sz w:val="28"/>
          <w:vertAlign w:val="baseline"/>
        </w:rPr>
        <w:t> </w:t>
      </w:r>
      <w:r>
        <w:rPr>
          <w:sz w:val="28"/>
          <w:vertAlign w:val="baseline"/>
        </w:rPr>
        <w:t>to</w:t>
      </w:r>
      <w:r>
        <w:rPr>
          <w:spacing w:val="-13"/>
          <w:sz w:val="28"/>
          <w:vertAlign w:val="baseline"/>
        </w:rPr>
        <w:t> </w:t>
      </w:r>
      <w:r>
        <w:rPr>
          <w:sz w:val="28"/>
          <w:vertAlign w:val="baseline"/>
        </w:rPr>
        <w:t>request</w:t>
      </w:r>
      <w:r>
        <w:rPr>
          <w:spacing w:val="-12"/>
          <w:sz w:val="28"/>
          <w:vertAlign w:val="baseline"/>
        </w:rPr>
        <w:t> </w:t>
      </w:r>
      <w:r>
        <w:rPr>
          <w:sz w:val="28"/>
          <w:vertAlign w:val="baseline"/>
        </w:rPr>
        <w:t>flexible</w:t>
      </w:r>
      <w:r>
        <w:rPr>
          <w:spacing w:val="-12"/>
          <w:sz w:val="28"/>
          <w:vertAlign w:val="baseline"/>
        </w:rPr>
        <w:t> </w:t>
      </w:r>
      <w:r>
        <w:rPr>
          <w:sz w:val="28"/>
          <w:vertAlign w:val="baseline"/>
        </w:rPr>
        <w:t>working</w:t>
      </w:r>
      <w:r>
        <w:rPr>
          <w:spacing w:val="-12"/>
          <w:sz w:val="28"/>
          <w:vertAlign w:val="baseline"/>
        </w:rPr>
        <w:t> </w:t>
      </w:r>
      <w:r>
        <w:rPr>
          <w:sz w:val="28"/>
          <w:vertAlign w:val="baseline"/>
        </w:rPr>
        <w:t>for caring purposes;</w:t>
      </w:r>
      <w:r>
        <w:rPr>
          <w:sz w:val="28"/>
          <w:vertAlign w:val="superscript"/>
        </w:rPr>
        <w:t>634</w:t>
      </w:r>
      <w:r>
        <w:rPr>
          <w:sz w:val="28"/>
          <w:vertAlign w:val="baseline"/>
        </w:rPr>
        <w:t> and a right to request remote working.</w:t>
      </w:r>
      <w:r>
        <w:rPr>
          <w:sz w:val="28"/>
          <w:vertAlign w:val="superscript"/>
        </w:rPr>
        <w:t>635</w:t>
      </w:r>
    </w:p>
    <w:p>
      <w:pPr>
        <w:pStyle w:val="ListParagraph"/>
        <w:numPr>
          <w:ilvl w:val="1"/>
          <w:numId w:val="7"/>
        </w:numPr>
        <w:tabs>
          <w:tab w:pos="1853" w:val="left" w:leader="none"/>
        </w:tabs>
        <w:spacing w:line="225" w:lineRule="auto" w:before="311" w:after="0"/>
        <w:ind w:left="1853" w:right="1350" w:hanging="720"/>
        <w:jc w:val="left"/>
        <w:rPr>
          <w:sz w:val="28"/>
        </w:rPr>
      </w:pPr>
      <w:r>
        <w:rPr>
          <w:sz w:val="28"/>
        </w:rPr>
        <w:t>The Commissions note that the failure by the NI Assembly to implement in NI law the provisions of the EU Work-Life Balance Directive</w:t>
      </w:r>
      <w:r>
        <w:rPr>
          <w:sz w:val="28"/>
          <w:vertAlign w:val="superscript"/>
        </w:rPr>
        <w:t>636</w:t>
      </w:r>
      <w:r>
        <w:rPr>
          <w:sz w:val="28"/>
          <w:vertAlign w:val="baseline"/>
        </w:rPr>
        <w:t> which do not already exist in domestic legislation would result in NI being in the position of</w:t>
      </w:r>
      <w:r>
        <w:rPr>
          <w:spacing w:val="-8"/>
          <w:sz w:val="28"/>
          <w:vertAlign w:val="baseline"/>
        </w:rPr>
        <w:t> </w:t>
      </w:r>
      <w:r>
        <w:rPr>
          <w:sz w:val="28"/>
          <w:vertAlign w:val="baseline"/>
        </w:rPr>
        <w:t>continuing</w:t>
      </w:r>
      <w:r>
        <w:rPr>
          <w:spacing w:val="-7"/>
          <w:sz w:val="28"/>
          <w:vertAlign w:val="baseline"/>
        </w:rPr>
        <w:t> </w:t>
      </w:r>
      <w:r>
        <w:rPr>
          <w:sz w:val="28"/>
          <w:vertAlign w:val="baseline"/>
        </w:rPr>
        <w:t>to</w:t>
      </w:r>
      <w:r>
        <w:rPr>
          <w:spacing w:val="-8"/>
          <w:sz w:val="28"/>
          <w:vertAlign w:val="baseline"/>
        </w:rPr>
        <w:t> </w:t>
      </w:r>
      <w:r>
        <w:rPr>
          <w:sz w:val="28"/>
          <w:vertAlign w:val="baseline"/>
        </w:rPr>
        <w:t>mirror</w:t>
      </w:r>
      <w:r>
        <w:rPr>
          <w:spacing w:val="-7"/>
          <w:sz w:val="28"/>
          <w:vertAlign w:val="baseline"/>
        </w:rPr>
        <w:t> </w:t>
      </w:r>
      <w:r>
        <w:rPr>
          <w:sz w:val="28"/>
          <w:vertAlign w:val="baseline"/>
        </w:rPr>
        <w:t>the</w:t>
      </w:r>
      <w:r>
        <w:rPr>
          <w:spacing w:val="-7"/>
          <w:sz w:val="28"/>
          <w:vertAlign w:val="baseline"/>
        </w:rPr>
        <w:t> </w:t>
      </w:r>
      <w:r>
        <w:rPr>
          <w:sz w:val="28"/>
          <w:vertAlign w:val="baseline"/>
        </w:rPr>
        <w:t>more</w:t>
      </w:r>
      <w:r>
        <w:rPr>
          <w:spacing w:val="-7"/>
          <w:sz w:val="28"/>
          <w:vertAlign w:val="baseline"/>
        </w:rPr>
        <w:t> </w:t>
      </w:r>
      <w:r>
        <w:rPr>
          <w:sz w:val="28"/>
          <w:vertAlign w:val="baseline"/>
        </w:rPr>
        <w:t>limited</w:t>
      </w:r>
      <w:r>
        <w:rPr>
          <w:spacing w:val="-8"/>
          <w:sz w:val="28"/>
          <w:vertAlign w:val="baseline"/>
        </w:rPr>
        <w:t> </w:t>
      </w:r>
      <w:r>
        <w:rPr>
          <w:sz w:val="28"/>
          <w:vertAlign w:val="baseline"/>
        </w:rPr>
        <w:t>obligations</w:t>
      </w:r>
      <w:r>
        <w:rPr>
          <w:spacing w:val="-8"/>
          <w:sz w:val="28"/>
          <w:vertAlign w:val="baseline"/>
        </w:rPr>
        <w:t> </w:t>
      </w:r>
      <w:r>
        <w:rPr>
          <w:sz w:val="28"/>
          <w:vertAlign w:val="baseline"/>
        </w:rPr>
        <w:t>of</w:t>
      </w:r>
      <w:r>
        <w:rPr>
          <w:spacing w:val="-8"/>
          <w:sz w:val="28"/>
          <w:vertAlign w:val="baseline"/>
        </w:rPr>
        <w:t> </w:t>
      </w:r>
      <w:r>
        <w:rPr>
          <w:sz w:val="28"/>
          <w:vertAlign w:val="baseline"/>
        </w:rPr>
        <w:t>the</w:t>
      </w:r>
      <w:r>
        <w:rPr>
          <w:spacing w:val="-7"/>
          <w:sz w:val="28"/>
          <w:vertAlign w:val="baseline"/>
        </w:rPr>
        <w:t> </w:t>
      </w:r>
      <w:r>
        <w:rPr>
          <w:sz w:val="28"/>
          <w:vertAlign w:val="baseline"/>
        </w:rPr>
        <w:t>EU</w:t>
      </w:r>
      <w:r>
        <w:rPr>
          <w:spacing w:val="-7"/>
          <w:sz w:val="28"/>
          <w:vertAlign w:val="baseline"/>
        </w:rPr>
        <w:t> </w:t>
      </w:r>
      <w:r>
        <w:rPr>
          <w:sz w:val="28"/>
          <w:vertAlign w:val="baseline"/>
        </w:rPr>
        <w:t>Parental</w:t>
      </w:r>
      <w:r>
        <w:rPr>
          <w:spacing w:val="-8"/>
          <w:sz w:val="28"/>
          <w:vertAlign w:val="baseline"/>
        </w:rPr>
        <w:t> </w:t>
      </w:r>
      <w:r>
        <w:rPr>
          <w:sz w:val="28"/>
          <w:vertAlign w:val="baseline"/>
        </w:rPr>
        <w:t>Leave</w:t>
      </w:r>
    </w:p>
    <w:p>
      <w:pPr>
        <w:pStyle w:val="BodyText"/>
        <w:spacing w:before="10"/>
        <w:rPr>
          <w:sz w:val="6"/>
        </w:rPr>
      </w:pPr>
      <w:r>
        <w:rPr/>
        <mc:AlternateContent>
          <mc:Choice Requires="wps">
            <w:drawing>
              <wp:anchor distT="0" distB="0" distL="0" distR="0" allowOverlap="1" layoutInCell="1" locked="0" behindDoc="1" simplePos="0" relativeHeight="487694336">
                <wp:simplePos x="0" y="0"/>
                <wp:positionH relativeFrom="page">
                  <wp:posOffset>719996</wp:posOffset>
                </wp:positionH>
                <wp:positionV relativeFrom="paragraph">
                  <wp:posOffset>68506</wp:posOffset>
                </wp:positionV>
                <wp:extent cx="6120130" cy="1270"/>
                <wp:effectExtent l="0" t="0" r="0" b="0"/>
                <wp:wrapTopAndBottom/>
                <wp:docPr id="490" name="Graphic 490"/>
                <wp:cNvGraphicFramePr>
                  <a:graphicFrameLocks/>
                </wp:cNvGraphicFramePr>
                <a:graphic>
                  <a:graphicData uri="http://schemas.microsoft.com/office/word/2010/wordprocessingShape">
                    <wps:wsp>
                      <wps:cNvPr id="490" name="Graphic 49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5.394181pt;width:481.9pt;height:.1pt;mso-position-horizontal-relative:page;mso-position-vertical-relative:paragraph;z-index:-15622144;mso-wrap-distance-left:0;mso-wrap-distance-right:0" id="docshape436" coordorigin="1134,108" coordsize="9638,0" path="m10772,108l1134,108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35" w:lineRule="auto" w:before="143" w:after="0"/>
        <w:ind w:left="1853" w:right="1233" w:hanging="720"/>
        <w:jc w:val="left"/>
        <w:rPr>
          <w:sz w:val="18"/>
        </w:rPr>
      </w:pPr>
      <w:r>
        <w:rPr>
          <w:sz w:val="18"/>
        </w:rPr>
        <w:t>Equality Commission for NI, NI Human Rights Commission and Irish Human Rights and Equality Commission, ‘Policy Recommendations:</w:t>
      </w:r>
      <w:r>
        <w:rPr>
          <w:spacing w:val="-4"/>
          <w:sz w:val="18"/>
        </w:rPr>
        <w:t> </w:t>
      </w:r>
      <w:r>
        <w:rPr>
          <w:sz w:val="18"/>
        </w:rPr>
        <w:t>European</w:t>
      </w:r>
      <w:r>
        <w:rPr>
          <w:spacing w:val="-5"/>
          <w:sz w:val="18"/>
        </w:rPr>
        <w:t> </w:t>
      </w:r>
      <w:r>
        <w:rPr>
          <w:sz w:val="18"/>
        </w:rPr>
        <w:t>Union</w:t>
      </w:r>
      <w:r>
        <w:rPr>
          <w:spacing w:val="-5"/>
          <w:sz w:val="18"/>
        </w:rPr>
        <w:t> </w:t>
      </w:r>
      <w:r>
        <w:rPr>
          <w:sz w:val="18"/>
        </w:rPr>
        <w:t>developments</w:t>
      </w:r>
      <w:r>
        <w:rPr>
          <w:spacing w:val="-5"/>
          <w:sz w:val="18"/>
        </w:rPr>
        <w:t> </w:t>
      </w:r>
      <w:r>
        <w:rPr>
          <w:sz w:val="18"/>
        </w:rPr>
        <w:t>in</w:t>
      </w:r>
      <w:r>
        <w:rPr>
          <w:spacing w:val="-5"/>
          <w:sz w:val="18"/>
        </w:rPr>
        <w:t> </w:t>
      </w:r>
      <w:r>
        <w:rPr>
          <w:sz w:val="18"/>
        </w:rPr>
        <w:t>Equality</w:t>
      </w:r>
      <w:r>
        <w:rPr>
          <w:spacing w:val="-4"/>
          <w:sz w:val="18"/>
        </w:rPr>
        <w:t> </w:t>
      </w:r>
      <w:r>
        <w:rPr>
          <w:sz w:val="18"/>
        </w:rPr>
        <w:t>and</w:t>
      </w:r>
      <w:r>
        <w:rPr>
          <w:spacing w:val="-5"/>
          <w:sz w:val="18"/>
        </w:rPr>
        <w:t> </w:t>
      </w:r>
      <w:r>
        <w:rPr>
          <w:sz w:val="18"/>
        </w:rPr>
        <w:t>Human</w:t>
      </w:r>
      <w:r>
        <w:rPr>
          <w:spacing w:val="-5"/>
          <w:sz w:val="18"/>
        </w:rPr>
        <w:t> </w:t>
      </w:r>
      <w:r>
        <w:rPr>
          <w:sz w:val="18"/>
        </w:rPr>
        <w:t>Rights: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the</w:t>
      </w:r>
      <w:r>
        <w:rPr>
          <w:spacing w:val="-4"/>
          <w:sz w:val="18"/>
        </w:rPr>
        <w:t> </w:t>
      </w:r>
      <w:r>
        <w:rPr>
          <w:sz w:val="18"/>
        </w:rPr>
        <w:t>divergence of rights and best practice on the island of Ireland’ (ECNI, NIHRC and IHREC, 2023), at para 4.69.</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Directive</w:t>
      </w:r>
      <w:r>
        <w:rPr>
          <w:spacing w:val="-7"/>
          <w:sz w:val="18"/>
        </w:rPr>
        <w:t> </w:t>
      </w:r>
      <w:r>
        <w:rPr>
          <w:sz w:val="18"/>
        </w:rPr>
        <w:t>2019/1158/EU</w:t>
      </w:r>
      <w:r>
        <w:rPr>
          <w:spacing w:val="-6"/>
          <w:sz w:val="18"/>
        </w:rPr>
        <w:t> </w:t>
      </w:r>
      <w:r>
        <w:rPr>
          <w:sz w:val="18"/>
        </w:rPr>
        <w:t>‘EU</w:t>
      </w:r>
      <w:r>
        <w:rPr>
          <w:spacing w:val="-6"/>
          <w:sz w:val="18"/>
        </w:rPr>
        <w:t> </w:t>
      </w:r>
      <w:r>
        <w:rPr>
          <w:sz w:val="18"/>
        </w:rPr>
        <w:t>Parliament</w:t>
      </w:r>
      <w:r>
        <w:rPr>
          <w:spacing w:val="-6"/>
          <w:sz w:val="18"/>
        </w:rPr>
        <w:t> </w:t>
      </w:r>
      <w:r>
        <w:rPr>
          <w:sz w:val="18"/>
        </w:rPr>
        <w:t>and</w:t>
      </w:r>
      <w:r>
        <w:rPr>
          <w:spacing w:val="-7"/>
          <w:sz w:val="18"/>
        </w:rPr>
        <w:t> </w:t>
      </w:r>
      <w:r>
        <w:rPr>
          <w:sz w:val="18"/>
        </w:rPr>
        <w:t>Council</w:t>
      </w:r>
      <w:r>
        <w:rPr>
          <w:spacing w:val="-6"/>
          <w:sz w:val="18"/>
        </w:rPr>
        <w:t> </w:t>
      </w:r>
      <w:r>
        <w:rPr>
          <w:sz w:val="18"/>
        </w:rPr>
        <w:t>Directive</w:t>
      </w:r>
      <w:r>
        <w:rPr>
          <w:spacing w:val="-7"/>
          <w:sz w:val="18"/>
        </w:rPr>
        <w:t> </w:t>
      </w:r>
      <w:r>
        <w:rPr>
          <w:sz w:val="18"/>
        </w:rPr>
        <w:t>on</w:t>
      </w:r>
      <w:r>
        <w:rPr>
          <w:spacing w:val="-6"/>
          <w:sz w:val="18"/>
        </w:rPr>
        <w:t> </w:t>
      </w:r>
      <w:r>
        <w:rPr>
          <w:sz w:val="18"/>
        </w:rPr>
        <w:t>work-life</w:t>
      </w:r>
      <w:r>
        <w:rPr>
          <w:spacing w:val="-6"/>
          <w:sz w:val="18"/>
        </w:rPr>
        <w:t> </w:t>
      </w:r>
      <w:r>
        <w:rPr>
          <w:sz w:val="18"/>
        </w:rPr>
        <w:t>balance</w:t>
      </w:r>
      <w:r>
        <w:rPr>
          <w:spacing w:val="-6"/>
          <w:sz w:val="18"/>
        </w:rPr>
        <w:t> </w:t>
      </w:r>
      <w:r>
        <w:rPr>
          <w:sz w:val="18"/>
        </w:rPr>
        <w:t>for</w:t>
      </w:r>
      <w:r>
        <w:rPr>
          <w:spacing w:val="-7"/>
          <w:sz w:val="18"/>
        </w:rPr>
        <w:t> </w:t>
      </w:r>
      <w:r>
        <w:rPr>
          <w:sz w:val="18"/>
        </w:rPr>
        <w:t>parents</w:t>
      </w:r>
      <w:r>
        <w:rPr>
          <w:spacing w:val="-6"/>
          <w:sz w:val="18"/>
        </w:rPr>
        <w:t> </w:t>
      </w:r>
      <w:r>
        <w:rPr>
          <w:sz w:val="18"/>
        </w:rPr>
        <w:t>and</w:t>
      </w:r>
      <w:r>
        <w:rPr>
          <w:spacing w:val="-7"/>
          <w:sz w:val="18"/>
        </w:rPr>
        <w:t> </w:t>
      </w:r>
      <w:r>
        <w:rPr>
          <w:sz w:val="18"/>
        </w:rPr>
        <w:t>carers’,</w:t>
      </w:r>
      <w:r>
        <w:rPr>
          <w:spacing w:val="-6"/>
          <w:sz w:val="18"/>
        </w:rPr>
        <w:t> </w:t>
      </w:r>
      <w:r>
        <w:rPr>
          <w:sz w:val="18"/>
        </w:rPr>
        <w:t>20</w:t>
      </w:r>
      <w:r>
        <w:rPr>
          <w:spacing w:val="-6"/>
          <w:sz w:val="18"/>
        </w:rPr>
        <w:t> </w:t>
      </w:r>
      <w:r>
        <w:rPr>
          <w:sz w:val="18"/>
        </w:rPr>
        <w:t>June</w:t>
      </w:r>
      <w:r>
        <w:rPr>
          <w:spacing w:val="-6"/>
          <w:sz w:val="18"/>
        </w:rPr>
        <w:t> </w:t>
      </w:r>
      <w:r>
        <w:rPr>
          <w:spacing w:val="-2"/>
          <w:sz w:val="18"/>
        </w:rPr>
        <w:t>2019.</w:t>
      </w:r>
    </w:p>
    <w:p>
      <w:pPr>
        <w:pStyle w:val="ListParagraph"/>
        <w:numPr>
          <w:ilvl w:val="0"/>
          <w:numId w:val="11"/>
        </w:numPr>
        <w:tabs>
          <w:tab w:pos="1853" w:val="left" w:leader="none"/>
        </w:tabs>
        <w:spacing w:line="235" w:lineRule="auto" w:before="2" w:after="0"/>
        <w:ind w:left="1853" w:right="1168" w:hanging="720"/>
        <w:jc w:val="left"/>
        <w:rPr>
          <w:sz w:val="18"/>
        </w:rPr>
      </w:pPr>
      <w:r>
        <w:rPr>
          <w:sz w:val="18"/>
        </w:rPr>
        <w:t>Directive</w:t>
      </w:r>
      <w:r>
        <w:rPr>
          <w:spacing w:val="-6"/>
          <w:sz w:val="18"/>
        </w:rPr>
        <w:t> </w:t>
      </w:r>
      <w:r>
        <w:rPr>
          <w:sz w:val="18"/>
        </w:rPr>
        <w:t>2010/18/EU,</w:t>
      </w:r>
      <w:r>
        <w:rPr>
          <w:spacing w:val="-6"/>
          <w:sz w:val="18"/>
        </w:rPr>
        <w:t> </w:t>
      </w:r>
      <w:r>
        <w:rPr>
          <w:sz w:val="18"/>
        </w:rPr>
        <w:t>‘Council</w:t>
      </w:r>
      <w:r>
        <w:rPr>
          <w:spacing w:val="-6"/>
          <w:sz w:val="18"/>
        </w:rPr>
        <w:t> </w:t>
      </w:r>
      <w:r>
        <w:rPr>
          <w:sz w:val="18"/>
        </w:rPr>
        <w:t>Directive</w:t>
      </w:r>
      <w:r>
        <w:rPr>
          <w:spacing w:val="-6"/>
          <w:sz w:val="18"/>
        </w:rPr>
        <w:t> </w:t>
      </w:r>
      <w:r>
        <w:rPr>
          <w:sz w:val="18"/>
        </w:rPr>
        <w:t>implementing</w:t>
      </w:r>
      <w:r>
        <w:rPr>
          <w:spacing w:val="-6"/>
          <w:sz w:val="18"/>
        </w:rPr>
        <w:t> </w:t>
      </w:r>
      <w:r>
        <w:rPr>
          <w:sz w:val="18"/>
        </w:rPr>
        <w:t>the</w:t>
      </w:r>
      <w:r>
        <w:rPr>
          <w:spacing w:val="-6"/>
          <w:sz w:val="18"/>
        </w:rPr>
        <w:t> </w:t>
      </w:r>
      <w:r>
        <w:rPr>
          <w:sz w:val="18"/>
        </w:rPr>
        <w:t>revised</w:t>
      </w:r>
      <w:r>
        <w:rPr>
          <w:spacing w:val="-6"/>
          <w:sz w:val="18"/>
        </w:rPr>
        <w:t> </w:t>
      </w:r>
      <w:r>
        <w:rPr>
          <w:sz w:val="18"/>
        </w:rPr>
        <w:t>Framework</w:t>
      </w:r>
      <w:r>
        <w:rPr>
          <w:spacing w:val="-6"/>
          <w:sz w:val="18"/>
        </w:rPr>
        <w:t> </w:t>
      </w:r>
      <w:r>
        <w:rPr>
          <w:sz w:val="18"/>
        </w:rPr>
        <w:t>Agreement</w:t>
      </w:r>
      <w:r>
        <w:rPr>
          <w:spacing w:val="-5"/>
          <w:sz w:val="18"/>
        </w:rPr>
        <w:t> </w:t>
      </w:r>
      <w:r>
        <w:rPr>
          <w:sz w:val="18"/>
        </w:rPr>
        <w:t>on</w:t>
      </w:r>
      <w:r>
        <w:rPr>
          <w:spacing w:val="-6"/>
          <w:sz w:val="18"/>
        </w:rPr>
        <w:t> </w:t>
      </w:r>
      <w:r>
        <w:rPr>
          <w:sz w:val="18"/>
        </w:rPr>
        <w:t>parental</w:t>
      </w:r>
      <w:r>
        <w:rPr>
          <w:spacing w:val="-6"/>
          <w:sz w:val="18"/>
        </w:rPr>
        <w:t> </w:t>
      </w:r>
      <w:r>
        <w:rPr>
          <w:sz w:val="18"/>
        </w:rPr>
        <w:t>leave</w:t>
      </w:r>
      <w:r>
        <w:rPr>
          <w:spacing w:val="-6"/>
          <w:sz w:val="18"/>
        </w:rPr>
        <w:t> </w:t>
      </w:r>
      <w:r>
        <w:rPr>
          <w:sz w:val="18"/>
        </w:rPr>
        <w:t>concluded</w:t>
      </w:r>
      <w:r>
        <w:rPr>
          <w:spacing w:val="-6"/>
          <w:sz w:val="18"/>
        </w:rPr>
        <w:t> </w:t>
      </w:r>
      <w:r>
        <w:rPr>
          <w:sz w:val="18"/>
        </w:rPr>
        <w:t>by BUSINESSEUROPE, UEAPME, CEEP and ETUC and repealing Directive 96/34/EC’, 8 March 2010.</w:t>
      </w:r>
    </w:p>
    <w:p>
      <w:pPr>
        <w:pStyle w:val="ListParagraph"/>
        <w:numPr>
          <w:ilvl w:val="0"/>
          <w:numId w:val="11"/>
        </w:numPr>
        <w:tabs>
          <w:tab w:pos="1853" w:val="left" w:leader="none"/>
        </w:tabs>
        <w:spacing w:line="235" w:lineRule="auto" w:before="1" w:after="0"/>
        <w:ind w:left="1853" w:right="1388" w:hanging="720"/>
        <w:jc w:val="both"/>
        <w:rPr>
          <w:sz w:val="18"/>
        </w:rPr>
      </w:pP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and</w:t>
      </w:r>
      <w:r>
        <w:rPr>
          <w:spacing w:val="-4"/>
          <w:sz w:val="18"/>
        </w:rPr>
        <w:t> </w:t>
      </w:r>
      <w:r>
        <w:rPr>
          <w:sz w:val="18"/>
        </w:rPr>
        <w:t>Equality</w:t>
      </w:r>
      <w:r>
        <w:rPr>
          <w:spacing w:val="-3"/>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‘Working</w:t>
      </w:r>
      <w:r>
        <w:rPr>
          <w:spacing w:val="-3"/>
          <w:sz w:val="18"/>
        </w:rPr>
        <w:t> </w:t>
      </w:r>
      <w:r>
        <w:rPr>
          <w:sz w:val="18"/>
        </w:rPr>
        <w:t>Paper:</w:t>
      </w:r>
      <w:r>
        <w:rPr>
          <w:spacing w:val="-3"/>
          <w:sz w:val="18"/>
        </w:rPr>
        <w:t> </w:t>
      </w:r>
      <w:r>
        <w:rPr>
          <w:sz w:val="18"/>
        </w:rPr>
        <w:t>The</w:t>
      </w:r>
      <w:r>
        <w:rPr>
          <w:spacing w:val="-3"/>
          <w:sz w:val="18"/>
        </w:rPr>
        <w:t> </w:t>
      </w:r>
      <w:r>
        <w:rPr>
          <w:sz w:val="18"/>
        </w:rPr>
        <w:t>Scope</w:t>
      </w:r>
      <w:r>
        <w:rPr>
          <w:spacing w:val="-3"/>
          <w:sz w:val="18"/>
        </w:rPr>
        <w:t> </w:t>
      </w:r>
      <w:r>
        <w:rPr>
          <w:sz w:val="18"/>
        </w:rPr>
        <w:t>of</w:t>
      </w:r>
      <w:r>
        <w:rPr>
          <w:spacing w:val="-4"/>
          <w:sz w:val="18"/>
        </w:rPr>
        <w:t> </w:t>
      </w:r>
      <w:r>
        <w:rPr>
          <w:sz w:val="18"/>
        </w:rPr>
        <w:t>Article</w:t>
      </w:r>
      <w:r>
        <w:rPr>
          <w:spacing w:val="-3"/>
          <w:sz w:val="18"/>
        </w:rPr>
        <w:t> </w:t>
      </w:r>
      <w:r>
        <w:rPr>
          <w:sz w:val="18"/>
        </w:rPr>
        <w:t>2(1)</w:t>
      </w:r>
      <w:r>
        <w:rPr>
          <w:spacing w:val="-4"/>
          <w:sz w:val="18"/>
        </w:rPr>
        <w:t> </w:t>
      </w:r>
      <w:r>
        <w:rPr>
          <w:sz w:val="18"/>
        </w:rPr>
        <w:t>of</w:t>
      </w:r>
      <w:r>
        <w:rPr>
          <w:spacing w:val="-4"/>
          <w:sz w:val="18"/>
        </w:rPr>
        <w:t> </w:t>
      </w:r>
      <w:r>
        <w:rPr>
          <w:sz w:val="18"/>
        </w:rPr>
        <w:t>the</w:t>
      </w:r>
      <w:r>
        <w:rPr>
          <w:spacing w:val="-3"/>
          <w:sz w:val="18"/>
        </w:rPr>
        <w:t> </w:t>
      </w:r>
      <w:r>
        <w:rPr>
          <w:sz w:val="18"/>
        </w:rPr>
        <w:t>Ireland/ Northern Ireland Protocol’ (NIHRC and ECNI, 2022).</w:t>
      </w:r>
    </w:p>
    <w:p>
      <w:pPr>
        <w:pStyle w:val="ListParagraph"/>
        <w:numPr>
          <w:ilvl w:val="0"/>
          <w:numId w:val="11"/>
        </w:numPr>
        <w:tabs>
          <w:tab w:pos="1853" w:val="left" w:leader="none"/>
        </w:tabs>
        <w:spacing w:line="235" w:lineRule="auto" w:before="1" w:after="0"/>
        <w:ind w:left="1853" w:right="1406" w:hanging="720"/>
        <w:jc w:val="both"/>
        <w:rPr>
          <w:sz w:val="18"/>
        </w:rPr>
      </w:pPr>
      <w:r>
        <w:rPr>
          <w:sz w:val="18"/>
        </w:rPr>
        <w:t>NI</w:t>
      </w:r>
      <w:r>
        <w:rPr>
          <w:spacing w:val="-4"/>
          <w:sz w:val="18"/>
        </w:rPr>
        <w:t> </w:t>
      </w:r>
      <w:r>
        <w:rPr>
          <w:sz w:val="18"/>
        </w:rPr>
        <w:t>Office,</w:t>
      </w:r>
      <w:r>
        <w:rPr>
          <w:spacing w:val="-4"/>
          <w:sz w:val="18"/>
        </w:rPr>
        <w:t> </w:t>
      </w:r>
      <w:r>
        <w:rPr>
          <w:sz w:val="18"/>
        </w:rPr>
        <w:t>‘UK</w:t>
      </w:r>
      <w:r>
        <w:rPr>
          <w:spacing w:val="-4"/>
          <w:sz w:val="18"/>
        </w:rPr>
        <w:t> </w:t>
      </w:r>
      <w:r>
        <w:rPr>
          <w:sz w:val="18"/>
        </w:rPr>
        <w:t>Government</w:t>
      </w:r>
      <w:r>
        <w:rPr>
          <w:spacing w:val="-4"/>
          <w:sz w:val="18"/>
        </w:rPr>
        <w:t> </w:t>
      </w:r>
      <w:r>
        <w:rPr>
          <w:sz w:val="18"/>
        </w:rPr>
        <w:t>commitment</w:t>
      </w:r>
      <w:r>
        <w:rPr>
          <w:spacing w:val="-4"/>
          <w:sz w:val="18"/>
        </w:rPr>
        <w:t> </w:t>
      </w:r>
      <w:r>
        <w:rPr>
          <w:sz w:val="18"/>
        </w:rPr>
        <w:t>to</w:t>
      </w:r>
      <w:r>
        <w:rPr>
          <w:spacing w:val="-5"/>
          <w:sz w:val="18"/>
        </w:rPr>
        <w:t> </w:t>
      </w:r>
      <w:r>
        <w:rPr>
          <w:sz w:val="18"/>
        </w:rPr>
        <w:t>no</w:t>
      </w:r>
      <w:r>
        <w:rPr>
          <w:spacing w:val="-5"/>
          <w:sz w:val="18"/>
        </w:rPr>
        <w:t> </w:t>
      </w:r>
      <w:r>
        <w:rPr>
          <w:sz w:val="18"/>
        </w:rPr>
        <w:t>diminution</w:t>
      </w:r>
      <w:r>
        <w:rPr>
          <w:spacing w:val="-5"/>
          <w:sz w:val="18"/>
        </w:rPr>
        <w:t> </w:t>
      </w:r>
      <w:r>
        <w:rPr>
          <w:sz w:val="18"/>
        </w:rPr>
        <w:t>of</w:t>
      </w:r>
      <w:r>
        <w:rPr>
          <w:spacing w:val="-5"/>
          <w:sz w:val="18"/>
        </w:rPr>
        <w:t> </w:t>
      </w:r>
      <w:r>
        <w:rPr>
          <w:sz w:val="18"/>
        </w:rPr>
        <w:t>rights,</w:t>
      </w:r>
      <w:r>
        <w:rPr>
          <w:spacing w:val="-4"/>
          <w:sz w:val="18"/>
        </w:rPr>
        <w:t> </w:t>
      </w:r>
      <w:r>
        <w:rPr>
          <w:sz w:val="18"/>
        </w:rPr>
        <w:t>safeguards</w:t>
      </w:r>
      <w:r>
        <w:rPr>
          <w:spacing w:val="-5"/>
          <w:sz w:val="18"/>
        </w:rPr>
        <w:t> </w:t>
      </w:r>
      <w:r>
        <w:rPr>
          <w:sz w:val="18"/>
        </w:rPr>
        <w:t>and</w:t>
      </w:r>
      <w:r>
        <w:rPr>
          <w:spacing w:val="-5"/>
          <w:sz w:val="18"/>
        </w:rPr>
        <w:t> </w:t>
      </w:r>
      <w:r>
        <w:rPr>
          <w:sz w:val="18"/>
        </w:rPr>
        <w:t>equality</w:t>
      </w:r>
      <w:r>
        <w:rPr>
          <w:spacing w:val="-4"/>
          <w:sz w:val="18"/>
        </w:rPr>
        <w:t> </w:t>
      </w:r>
      <w:r>
        <w:rPr>
          <w:sz w:val="18"/>
        </w:rPr>
        <w:t>of</w:t>
      </w:r>
      <w:r>
        <w:rPr>
          <w:spacing w:val="-5"/>
          <w:sz w:val="18"/>
        </w:rPr>
        <w:t> </w:t>
      </w:r>
      <w:r>
        <w:rPr>
          <w:sz w:val="18"/>
        </w:rPr>
        <w:t>opportunity</w:t>
      </w:r>
      <w:r>
        <w:rPr>
          <w:spacing w:val="-4"/>
          <w:sz w:val="18"/>
        </w:rPr>
        <w:t> </w:t>
      </w:r>
      <w:r>
        <w:rPr>
          <w:sz w:val="18"/>
        </w:rPr>
        <w:t>in</w:t>
      </w:r>
      <w:r>
        <w:rPr>
          <w:spacing w:val="-5"/>
          <w:sz w:val="18"/>
        </w:rPr>
        <w:t> </w:t>
      </w:r>
      <w:r>
        <w:rPr>
          <w:sz w:val="18"/>
        </w:rPr>
        <w:t>Northern Ireland’ (NIO, 2020).</w:t>
      </w:r>
    </w:p>
    <w:p>
      <w:pPr>
        <w:pStyle w:val="ListParagraph"/>
        <w:numPr>
          <w:ilvl w:val="0"/>
          <w:numId w:val="11"/>
        </w:numPr>
        <w:tabs>
          <w:tab w:pos="1853" w:val="left" w:leader="none"/>
        </w:tabs>
        <w:spacing w:line="235" w:lineRule="auto" w:before="2" w:after="0"/>
        <w:ind w:left="1853" w:right="1408" w:hanging="720"/>
        <w:jc w:val="both"/>
        <w:rPr>
          <w:sz w:val="18"/>
        </w:rPr>
      </w:pPr>
      <w:r>
        <w:rPr>
          <w:sz w:val="18"/>
        </w:rPr>
        <w:t>Sarah</w:t>
      </w:r>
      <w:r>
        <w:rPr>
          <w:spacing w:val="-7"/>
          <w:sz w:val="18"/>
        </w:rPr>
        <w:t> </w:t>
      </w:r>
      <w:r>
        <w:rPr>
          <w:sz w:val="18"/>
        </w:rPr>
        <w:t>Craig,</w:t>
      </w:r>
      <w:r>
        <w:rPr>
          <w:spacing w:val="-6"/>
          <w:sz w:val="18"/>
        </w:rPr>
        <w:t> </w:t>
      </w:r>
      <w:r>
        <w:rPr>
          <w:sz w:val="18"/>
        </w:rPr>
        <w:t>Anurag</w:t>
      </w:r>
      <w:r>
        <w:rPr>
          <w:spacing w:val="-6"/>
          <w:sz w:val="18"/>
        </w:rPr>
        <w:t> </w:t>
      </w:r>
      <w:r>
        <w:rPr>
          <w:sz w:val="18"/>
        </w:rPr>
        <w:t>Deb,</w:t>
      </w:r>
      <w:r>
        <w:rPr>
          <w:spacing w:val="-6"/>
          <w:sz w:val="18"/>
        </w:rPr>
        <w:t> </w:t>
      </w:r>
      <w:r>
        <w:rPr>
          <w:sz w:val="18"/>
        </w:rPr>
        <w:t>Eleni</w:t>
      </w:r>
      <w:r>
        <w:rPr>
          <w:spacing w:val="-7"/>
          <w:sz w:val="18"/>
        </w:rPr>
        <w:t> </w:t>
      </w:r>
      <w:r>
        <w:rPr>
          <w:sz w:val="18"/>
        </w:rPr>
        <w:t>Frantziou,</w:t>
      </w:r>
      <w:r>
        <w:rPr>
          <w:spacing w:val="-6"/>
          <w:sz w:val="18"/>
        </w:rPr>
        <w:t> </w:t>
      </w:r>
      <w:r>
        <w:rPr>
          <w:sz w:val="18"/>
        </w:rPr>
        <w:t>Alexander</w:t>
      </w:r>
      <w:r>
        <w:rPr>
          <w:spacing w:val="-6"/>
          <w:sz w:val="18"/>
        </w:rPr>
        <w:t> </w:t>
      </w:r>
      <w:r>
        <w:rPr>
          <w:sz w:val="18"/>
        </w:rPr>
        <w:t>Horne,</w:t>
      </w:r>
      <w:r>
        <w:rPr>
          <w:spacing w:val="-6"/>
          <w:sz w:val="18"/>
        </w:rPr>
        <w:t> </w:t>
      </w:r>
      <w:r>
        <w:rPr>
          <w:sz w:val="18"/>
        </w:rPr>
        <w:t>Colin</w:t>
      </w:r>
      <w:r>
        <w:rPr>
          <w:spacing w:val="-7"/>
          <w:sz w:val="18"/>
        </w:rPr>
        <w:t> </w:t>
      </w:r>
      <w:r>
        <w:rPr>
          <w:sz w:val="18"/>
        </w:rPr>
        <w:t>Murray,</w:t>
      </w:r>
      <w:r>
        <w:rPr>
          <w:spacing w:val="-6"/>
          <w:sz w:val="18"/>
        </w:rPr>
        <w:t> </w:t>
      </w:r>
      <w:r>
        <w:rPr>
          <w:sz w:val="18"/>
        </w:rPr>
        <w:t>Clare</w:t>
      </w:r>
      <w:r>
        <w:rPr>
          <w:spacing w:val="-6"/>
          <w:sz w:val="18"/>
        </w:rPr>
        <w:t> </w:t>
      </w:r>
      <w:r>
        <w:rPr>
          <w:sz w:val="18"/>
        </w:rPr>
        <w:t>Rice</w:t>
      </w:r>
      <w:r>
        <w:rPr>
          <w:spacing w:val="-6"/>
          <w:sz w:val="18"/>
        </w:rPr>
        <w:t> </w:t>
      </w:r>
      <w:r>
        <w:rPr>
          <w:sz w:val="18"/>
        </w:rPr>
        <w:t>and</w:t>
      </w:r>
      <w:r>
        <w:rPr>
          <w:spacing w:val="-7"/>
          <w:sz w:val="18"/>
        </w:rPr>
        <w:t> </w:t>
      </w:r>
      <w:r>
        <w:rPr>
          <w:sz w:val="18"/>
        </w:rPr>
        <w:t>Jane</w:t>
      </w:r>
      <w:r>
        <w:rPr>
          <w:spacing w:val="-6"/>
          <w:sz w:val="18"/>
        </w:rPr>
        <w:t> </w:t>
      </w:r>
      <w:r>
        <w:rPr>
          <w:sz w:val="18"/>
        </w:rPr>
        <w:t>Rooney,</w:t>
      </w:r>
      <w:r>
        <w:rPr>
          <w:spacing w:val="-6"/>
          <w:sz w:val="18"/>
        </w:rPr>
        <w:t> </w:t>
      </w:r>
      <w:r>
        <w:rPr>
          <w:sz w:val="18"/>
        </w:rPr>
        <w:t>‘European</w:t>
      </w:r>
      <w:r>
        <w:rPr>
          <w:spacing w:val="-7"/>
          <w:sz w:val="18"/>
        </w:rPr>
        <w:t> </w:t>
      </w:r>
      <w:r>
        <w:rPr>
          <w:sz w:val="18"/>
        </w:rPr>
        <w:t>Union developments</w:t>
      </w:r>
      <w:r>
        <w:rPr>
          <w:spacing w:val="-1"/>
          <w:sz w:val="18"/>
        </w:rPr>
        <w:t> </w:t>
      </w:r>
      <w:r>
        <w:rPr>
          <w:sz w:val="18"/>
        </w:rPr>
        <w:t>in</w:t>
      </w:r>
      <w:r>
        <w:rPr>
          <w:spacing w:val="-1"/>
          <w:sz w:val="18"/>
        </w:rPr>
        <w:t> </w:t>
      </w:r>
      <w:r>
        <w:rPr>
          <w:sz w:val="18"/>
        </w:rPr>
        <w:t>Equality and</w:t>
      </w:r>
      <w:r>
        <w:rPr>
          <w:spacing w:val="-1"/>
          <w:sz w:val="18"/>
        </w:rPr>
        <w:t> </w:t>
      </w:r>
      <w:r>
        <w:rPr>
          <w:sz w:val="18"/>
        </w:rPr>
        <w:t>Human</w:t>
      </w:r>
      <w:r>
        <w:rPr>
          <w:spacing w:val="-1"/>
          <w:sz w:val="18"/>
        </w:rPr>
        <w:t> </w:t>
      </w:r>
      <w:r>
        <w:rPr>
          <w:sz w:val="18"/>
        </w:rPr>
        <w:t>Rights: The Impact of</w:t>
      </w:r>
      <w:r>
        <w:rPr>
          <w:spacing w:val="-1"/>
          <w:sz w:val="18"/>
        </w:rPr>
        <w:t> </w:t>
      </w:r>
      <w:r>
        <w:rPr>
          <w:sz w:val="18"/>
        </w:rPr>
        <w:t>Brexit on</w:t>
      </w:r>
      <w:r>
        <w:rPr>
          <w:spacing w:val="-1"/>
          <w:sz w:val="18"/>
        </w:rPr>
        <w:t> </w:t>
      </w:r>
      <w:r>
        <w:rPr>
          <w:sz w:val="18"/>
        </w:rPr>
        <w:t>the divergence of</w:t>
      </w:r>
      <w:r>
        <w:rPr>
          <w:spacing w:val="-1"/>
          <w:sz w:val="18"/>
        </w:rPr>
        <w:t> </w:t>
      </w:r>
      <w:r>
        <w:rPr>
          <w:sz w:val="18"/>
        </w:rPr>
        <w:t>rights</w:t>
      </w:r>
      <w:r>
        <w:rPr>
          <w:spacing w:val="-1"/>
          <w:sz w:val="18"/>
        </w:rPr>
        <w:t> </w:t>
      </w:r>
      <w:r>
        <w:rPr>
          <w:sz w:val="18"/>
        </w:rPr>
        <w:t>and</w:t>
      </w:r>
      <w:r>
        <w:rPr>
          <w:spacing w:val="-1"/>
          <w:sz w:val="18"/>
        </w:rPr>
        <w:t> </w:t>
      </w:r>
      <w:r>
        <w:rPr>
          <w:sz w:val="18"/>
        </w:rPr>
        <w:t>best practice on</w:t>
      </w:r>
      <w:r>
        <w:rPr>
          <w:spacing w:val="-1"/>
          <w:sz w:val="18"/>
        </w:rPr>
        <w:t> </w:t>
      </w:r>
      <w:r>
        <w:rPr>
          <w:sz w:val="18"/>
        </w:rPr>
        <w:t>the island of Ireland’ (ECNI, NIHRC, IHREC, 2022).</w:t>
      </w:r>
    </w:p>
    <w:p>
      <w:pPr>
        <w:pStyle w:val="ListParagraph"/>
        <w:numPr>
          <w:ilvl w:val="0"/>
          <w:numId w:val="11"/>
        </w:numPr>
        <w:tabs>
          <w:tab w:pos="1853" w:val="left" w:leader="none"/>
        </w:tabs>
        <w:spacing w:line="235" w:lineRule="auto" w:before="2" w:after="0"/>
        <w:ind w:left="1853" w:right="1233" w:hanging="720"/>
        <w:jc w:val="left"/>
        <w:rPr>
          <w:sz w:val="18"/>
        </w:rPr>
      </w:pPr>
      <w:r>
        <w:rPr>
          <w:sz w:val="18"/>
        </w:rPr>
        <w:t>Equality Commission for NI, NI Human Rights Commission and Irish Human Rights and Equality Commission, ‘Policy Recommendations:</w:t>
      </w:r>
      <w:r>
        <w:rPr>
          <w:spacing w:val="-4"/>
          <w:sz w:val="18"/>
        </w:rPr>
        <w:t> </w:t>
      </w:r>
      <w:r>
        <w:rPr>
          <w:sz w:val="18"/>
        </w:rPr>
        <w:t>European</w:t>
      </w:r>
      <w:r>
        <w:rPr>
          <w:spacing w:val="-5"/>
          <w:sz w:val="18"/>
        </w:rPr>
        <w:t> </w:t>
      </w:r>
      <w:r>
        <w:rPr>
          <w:sz w:val="18"/>
        </w:rPr>
        <w:t>Union</w:t>
      </w:r>
      <w:r>
        <w:rPr>
          <w:spacing w:val="-5"/>
          <w:sz w:val="18"/>
        </w:rPr>
        <w:t> </w:t>
      </w:r>
      <w:r>
        <w:rPr>
          <w:sz w:val="18"/>
        </w:rPr>
        <w:t>developments</w:t>
      </w:r>
      <w:r>
        <w:rPr>
          <w:spacing w:val="-5"/>
          <w:sz w:val="18"/>
        </w:rPr>
        <w:t> </w:t>
      </w:r>
      <w:r>
        <w:rPr>
          <w:sz w:val="18"/>
        </w:rPr>
        <w:t>in</w:t>
      </w:r>
      <w:r>
        <w:rPr>
          <w:spacing w:val="-5"/>
          <w:sz w:val="18"/>
        </w:rPr>
        <w:t> </w:t>
      </w:r>
      <w:r>
        <w:rPr>
          <w:sz w:val="18"/>
        </w:rPr>
        <w:t>Equality</w:t>
      </w:r>
      <w:r>
        <w:rPr>
          <w:spacing w:val="-4"/>
          <w:sz w:val="18"/>
        </w:rPr>
        <w:t> </w:t>
      </w:r>
      <w:r>
        <w:rPr>
          <w:sz w:val="18"/>
        </w:rPr>
        <w:t>and</w:t>
      </w:r>
      <w:r>
        <w:rPr>
          <w:spacing w:val="-5"/>
          <w:sz w:val="18"/>
        </w:rPr>
        <w:t> </w:t>
      </w:r>
      <w:r>
        <w:rPr>
          <w:sz w:val="18"/>
        </w:rPr>
        <w:t>Human</w:t>
      </w:r>
      <w:r>
        <w:rPr>
          <w:spacing w:val="-5"/>
          <w:sz w:val="18"/>
        </w:rPr>
        <w:t> </w:t>
      </w:r>
      <w:r>
        <w:rPr>
          <w:sz w:val="18"/>
        </w:rPr>
        <w:t>Rights: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the</w:t>
      </w:r>
      <w:r>
        <w:rPr>
          <w:spacing w:val="-4"/>
          <w:sz w:val="18"/>
        </w:rPr>
        <w:t> </w:t>
      </w:r>
      <w:r>
        <w:rPr>
          <w:sz w:val="18"/>
        </w:rPr>
        <w:t>divergence of rights and best practice on the island of Ireland’ (ECNI, NIHRC and IHREC, 2023), at 40-42.</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Section</w:t>
      </w:r>
      <w:r>
        <w:rPr>
          <w:spacing w:val="-7"/>
          <w:sz w:val="18"/>
        </w:rPr>
        <w:t> </w:t>
      </w:r>
      <w:r>
        <w:rPr>
          <w:sz w:val="18"/>
        </w:rPr>
        <w:t>6,</w:t>
      </w:r>
      <w:r>
        <w:rPr>
          <w:spacing w:val="-6"/>
          <w:sz w:val="18"/>
        </w:rPr>
        <w:t> </w:t>
      </w:r>
      <w:r>
        <w:rPr>
          <w:sz w:val="18"/>
        </w:rPr>
        <w:t>Work</w:t>
      </w:r>
      <w:r>
        <w:rPr>
          <w:spacing w:val="-5"/>
          <w:sz w:val="18"/>
        </w:rPr>
        <w:t> </w:t>
      </w:r>
      <w:r>
        <w:rPr>
          <w:sz w:val="18"/>
        </w:rPr>
        <w:t>Life</w:t>
      </w:r>
      <w:r>
        <w:rPr>
          <w:spacing w:val="-6"/>
          <w:sz w:val="18"/>
        </w:rPr>
        <w:t> </w:t>
      </w:r>
      <w:r>
        <w:rPr>
          <w:sz w:val="18"/>
        </w:rPr>
        <w:t>Balance</w:t>
      </w:r>
      <w:r>
        <w:rPr>
          <w:spacing w:val="-6"/>
          <w:sz w:val="18"/>
        </w:rPr>
        <w:t> </w:t>
      </w:r>
      <w:r>
        <w:rPr>
          <w:sz w:val="18"/>
        </w:rPr>
        <w:t>and</w:t>
      </w:r>
      <w:r>
        <w:rPr>
          <w:spacing w:val="-6"/>
          <w:sz w:val="18"/>
        </w:rPr>
        <w:t> </w:t>
      </w:r>
      <w:r>
        <w:rPr>
          <w:sz w:val="18"/>
        </w:rPr>
        <w:t>Miscellaneous</w:t>
      </w:r>
      <w:r>
        <w:rPr>
          <w:spacing w:val="-7"/>
          <w:sz w:val="18"/>
        </w:rPr>
        <w:t> </w:t>
      </w:r>
      <w:r>
        <w:rPr>
          <w:sz w:val="18"/>
        </w:rPr>
        <w:t>Provisions</w:t>
      </w:r>
      <w:r>
        <w:rPr>
          <w:spacing w:val="-6"/>
          <w:sz w:val="18"/>
        </w:rPr>
        <w:t> </w:t>
      </w:r>
      <w:r>
        <w:rPr>
          <w:sz w:val="18"/>
        </w:rPr>
        <w:t>Act</w:t>
      </w:r>
      <w:r>
        <w:rPr>
          <w:spacing w:val="-6"/>
          <w:sz w:val="18"/>
        </w:rPr>
        <w:t> </w:t>
      </w:r>
      <w:r>
        <w:rPr>
          <w:spacing w:val="-2"/>
          <w:sz w:val="18"/>
        </w:rPr>
        <w:t>2023.</w:t>
      </w:r>
    </w:p>
    <w:p>
      <w:pPr>
        <w:pStyle w:val="ListParagraph"/>
        <w:numPr>
          <w:ilvl w:val="0"/>
          <w:numId w:val="11"/>
        </w:numPr>
        <w:tabs>
          <w:tab w:pos="1853" w:val="left" w:leader="none"/>
        </w:tabs>
        <w:spacing w:line="235" w:lineRule="auto" w:before="1" w:after="0"/>
        <w:ind w:left="1853" w:right="1414" w:hanging="720"/>
        <w:jc w:val="left"/>
        <w:rPr>
          <w:sz w:val="18"/>
        </w:rPr>
      </w:pPr>
      <w:r>
        <w:rPr>
          <w:sz w:val="18"/>
        </w:rPr>
        <w:t>Section</w:t>
      </w:r>
      <w:r>
        <w:rPr>
          <w:spacing w:val="-5"/>
          <w:sz w:val="18"/>
        </w:rPr>
        <w:t> </w:t>
      </w:r>
      <w:r>
        <w:rPr>
          <w:sz w:val="18"/>
        </w:rPr>
        <w:t>7,</w:t>
      </w:r>
      <w:r>
        <w:rPr>
          <w:spacing w:val="-4"/>
          <w:sz w:val="18"/>
        </w:rPr>
        <w:t> </w:t>
      </w:r>
      <w:r>
        <w:rPr>
          <w:sz w:val="18"/>
        </w:rPr>
        <w:t>Work</w:t>
      </w:r>
      <w:r>
        <w:rPr>
          <w:spacing w:val="-4"/>
          <w:sz w:val="18"/>
        </w:rPr>
        <w:t> </w:t>
      </w:r>
      <w:r>
        <w:rPr>
          <w:sz w:val="18"/>
        </w:rPr>
        <w:t>Life</w:t>
      </w:r>
      <w:r>
        <w:rPr>
          <w:spacing w:val="-4"/>
          <w:sz w:val="18"/>
        </w:rPr>
        <w:t> </w:t>
      </w:r>
      <w:r>
        <w:rPr>
          <w:sz w:val="18"/>
        </w:rPr>
        <w:t>Balance</w:t>
      </w:r>
      <w:r>
        <w:rPr>
          <w:spacing w:val="-4"/>
          <w:sz w:val="18"/>
        </w:rPr>
        <w:t> </w:t>
      </w:r>
      <w:r>
        <w:rPr>
          <w:sz w:val="18"/>
        </w:rPr>
        <w:t>and</w:t>
      </w:r>
      <w:r>
        <w:rPr>
          <w:spacing w:val="-5"/>
          <w:sz w:val="18"/>
        </w:rPr>
        <w:t> </w:t>
      </w:r>
      <w:r>
        <w:rPr>
          <w:sz w:val="18"/>
        </w:rPr>
        <w:t>Miscellaneous</w:t>
      </w:r>
      <w:r>
        <w:rPr>
          <w:spacing w:val="-5"/>
          <w:sz w:val="18"/>
        </w:rPr>
        <w:t> </w:t>
      </w:r>
      <w:r>
        <w:rPr>
          <w:sz w:val="18"/>
        </w:rPr>
        <w:t>Provisions</w:t>
      </w:r>
      <w:r>
        <w:rPr>
          <w:spacing w:val="-5"/>
          <w:sz w:val="18"/>
        </w:rPr>
        <w:t> </w:t>
      </w:r>
      <w:r>
        <w:rPr>
          <w:sz w:val="18"/>
        </w:rPr>
        <w:t>Act</w:t>
      </w:r>
      <w:r>
        <w:rPr>
          <w:spacing w:val="-4"/>
          <w:sz w:val="18"/>
        </w:rPr>
        <w:t> </w:t>
      </w:r>
      <w:r>
        <w:rPr>
          <w:sz w:val="18"/>
        </w:rPr>
        <w:t>2023.</w:t>
      </w:r>
      <w:r>
        <w:rPr>
          <w:spacing w:val="-5"/>
          <w:sz w:val="18"/>
        </w:rPr>
        <w:t> </w:t>
      </w:r>
      <w:r>
        <w:rPr>
          <w:sz w:val="18"/>
        </w:rPr>
        <w:t>This</w:t>
      </w:r>
      <w:r>
        <w:rPr>
          <w:spacing w:val="-5"/>
          <w:sz w:val="18"/>
        </w:rPr>
        <w:t> </w:t>
      </w:r>
      <w:r>
        <w:rPr>
          <w:sz w:val="18"/>
        </w:rPr>
        <w:t>provision</w:t>
      </w:r>
      <w:r>
        <w:rPr>
          <w:spacing w:val="-5"/>
          <w:sz w:val="18"/>
        </w:rPr>
        <w:t> </w:t>
      </w:r>
      <w:r>
        <w:rPr>
          <w:sz w:val="18"/>
        </w:rPr>
        <w:t>came</w:t>
      </w:r>
      <w:r>
        <w:rPr>
          <w:spacing w:val="-4"/>
          <w:sz w:val="18"/>
        </w:rPr>
        <w:t> </w:t>
      </w:r>
      <w:r>
        <w:rPr>
          <w:sz w:val="18"/>
        </w:rPr>
        <w:t>into</w:t>
      </w:r>
      <w:r>
        <w:rPr>
          <w:spacing w:val="-5"/>
          <w:sz w:val="18"/>
        </w:rPr>
        <w:t> </w:t>
      </w:r>
      <w:r>
        <w:rPr>
          <w:sz w:val="18"/>
        </w:rPr>
        <w:t>force</w:t>
      </w:r>
      <w:r>
        <w:rPr>
          <w:spacing w:val="-4"/>
          <w:sz w:val="18"/>
        </w:rPr>
        <w:t> </w:t>
      </w:r>
      <w:r>
        <w:rPr>
          <w:sz w:val="18"/>
        </w:rPr>
        <w:t>in</w:t>
      </w:r>
      <w:r>
        <w:rPr>
          <w:spacing w:val="-5"/>
          <w:sz w:val="18"/>
        </w:rPr>
        <w:t> </w:t>
      </w:r>
      <w:r>
        <w:rPr>
          <w:sz w:val="18"/>
        </w:rPr>
        <w:t>November</w:t>
      </w:r>
      <w:r>
        <w:rPr>
          <w:spacing w:val="-4"/>
          <w:sz w:val="18"/>
        </w:rPr>
        <w:t> </w:t>
      </w:r>
      <w:r>
        <w:rPr>
          <w:sz w:val="18"/>
        </w:rPr>
        <w:t>2023. See</w:t>
      </w:r>
      <w:r>
        <w:rPr>
          <w:spacing w:val="-3"/>
          <w:sz w:val="18"/>
        </w:rPr>
        <w:t> </w:t>
      </w:r>
      <w:r>
        <w:rPr>
          <w:sz w:val="18"/>
        </w:rPr>
        <w:t>Government</w:t>
      </w:r>
      <w:r>
        <w:rPr>
          <w:spacing w:val="-3"/>
          <w:sz w:val="18"/>
        </w:rPr>
        <w:t> </w:t>
      </w:r>
      <w:r>
        <w:rPr>
          <w:sz w:val="18"/>
        </w:rPr>
        <w:t>of</w:t>
      </w:r>
      <w:r>
        <w:rPr>
          <w:spacing w:val="-4"/>
          <w:sz w:val="18"/>
        </w:rPr>
        <w:t> </w:t>
      </w:r>
      <w:r>
        <w:rPr>
          <w:sz w:val="18"/>
        </w:rPr>
        <w:t>Ireland,</w:t>
      </w:r>
      <w:r>
        <w:rPr>
          <w:spacing w:val="-3"/>
          <w:sz w:val="18"/>
        </w:rPr>
        <w:t> </w:t>
      </w:r>
      <w:r>
        <w:rPr>
          <w:sz w:val="18"/>
        </w:rPr>
        <w:t>’Press</w:t>
      </w:r>
      <w:r>
        <w:rPr>
          <w:spacing w:val="-4"/>
          <w:sz w:val="18"/>
        </w:rPr>
        <w:t> </w:t>
      </w:r>
      <w:r>
        <w:rPr>
          <w:sz w:val="18"/>
        </w:rPr>
        <w:t>release</w:t>
      </w:r>
      <w:r>
        <w:rPr>
          <w:spacing w:val="-3"/>
          <w:sz w:val="18"/>
        </w:rPr>
        <w:t> </w:t>
      </w:r>
      <w:r>
        <w:rPr>
          <w:sz w:val="18"/>
        </w:rPr>
        <w:t>New</w:t>
      </w:r>
      <w:r>
        <w:rPr>
          <w:spacing w:val="-3"/>
          <w:sz w:val="18"/>
        </w:rPr>
        <w:t> </w:t>
      </w:r>
      <w:r>
        <w:rPr>
          <w:sz w:val="18"/>
        </w:rPr>
        <w:t>right</w:t>
      </w:r>
      <w:r>
        <w:rPr>
          <w:spacing w:val="-3"/>
          <w:sz w:val="18"/>
        </w:rPr>
        <w:t> </w:t>
      </w:r>
      <w:r>
        <w:rPr>
          <w:sz w:val="18"/>
        </w:rPr>
        <w:t>to</w:t>
      </w:r>
      <w:r>
        <w:rPr>
          <w:spacing w:val="-4"/>
          <w:sz w:val="18"/>
        </w:rPr>
        <w:t> </w:t>
      </w:r>
      <w:r>
        <w:rPr>
          <w:sz w:val="18"/>
        </w:rPr>
        <w:t>domestic</w:t>
      </w:r>
      <w:r>
        <w:rPr>
          <w:spacing w:val="-3"/>
          <w:sz w:val="18"/>
        </w:rPr>
        <w:t> </w:t>
      </w:r>
      <w:r>
        <w:rPr>
          <w:sz w:val="18"/>
        </w:rPr>
        <w:t>violence</w:t>
      </w:r>
      <w:r>
        <w:rPr>
          <w:spacing w:val="-3"/>
          <w:sz w:val="18"/>
        </w:rPr>
        <w:t> </w:t>
      </w:r>
      <w:r>
        <w:rPr>
          <w:sz w:val="18"/>
        </w:rPr>
        <w:t>leave</w:t>
      </w:r>
      <w:r>
        <w:rPr>
          <w:spacing w:val="-3"/>
          <w:sz w:val="18"/>
        </w:rPr>
        <w:t> </w:t>
      </w:r>
      <w:r>
        <w:rPr>
          <w:sz w:val="18"/>
        </w:rPr>
        <w:t>comes</w:t>
      </w:r>
      <w:r>
        <w:rPr>
          <w:spacing w:val="-4"/>
          <w:sz w:val="18"/>
        </w:rPr>
        <w:t> </w:t>
      </w:r>
      <w:r>
        <w:rPr>
          <w:sz w:val="18"/>
        </w:rPr>
        <w:t>into</w:t>
      </w:r>
      <w:r>
        <w:rPr>
          <w:spacing w:val="-4"/>
          <w:sz w:val="18"/>
        </w:rPr>
        <w:t> </w:t>
      </w:r>
      <w:r>
        <w:rPr>
          <w:sz w:val="18"/>
        </w:rPr>
        <w:t>force’,</w:t>
      </w:r>
      <w:r>
        <w:rPr>
          <w:spacing w:val="-3"/>
          <w:sz w:val="18"/>
        </w:rPr>
        <w:t> </w:t>
      </w:r>
      <w:r>
        <w:rPr>
          <w:sz w:val="18"/>
        </w:rPr>
        <w:t>27</w:t>
      </w:r>
      <w:r>
        <w:rPr>
          <w:spacing w:val="-3"/>
          <w:sz w:val="18"/>
        </w:rPr>
        <w:t> </w:t>
      </w:r>
      <w:r>
        <w:rPr>
          <w:sz w:val="18"/>
        </w:rPr>
        <w:t>November</w:t>
      </w:r>
      <w:r>
        <w:rPr>
          <w:spacing w:val="-3"/>
          <w:sz w:val="18"/>
        </w:rPr>
        <w:t> </w:t>
      </w:r>
      <w:r>
        <w:rPr>
          <w:sz w:val="18"/>
        </w:rPr>
        <w:t>2023.</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Section</w:t>
      </w:r>
      <w:r>
        <w:rPr>
          <w:spacing w:val="-7"/>
          <w:sz w:val="18"/>
        </w:rPr>
        <w:t> </w:t>
      </w:r>
      <w:r>
        <w:rPr>
          <w:sz w:val="18"/>
        </w:rPr>
        <w:t>8,</w:t>
      </w:r>
      <w:r>
        <w:rPr>
          <w:spacing w:val="-6"/>
          <w:sz w:val="18"/>
        </w:rPr>
        <w:t> </w:t>
      </w:r>
      <w:r>
        <w:rPr>
          <w:sz w:val="18"/>
        </w:rPr>
        <w:t>Work</w:t>
      </w:r>
      <w:r>
        <w:rPr>
          <w:spacing w:val="-5"/>
          <w:sz w:val="18"/>
        </w:rPr>
        <w:t> </w:t>
      </w:r>
      <w:r>
        <w:rPr>
          <w:sz w:val="18"/>
        </w:rPr>
        <w:t>Life</w:t>
      </w:r>
      <w:r>
        <w:rPr>
          <w:spacing w:val="-6"/>
          <w:sz w:val="18"/>
        </w:rPr>
        <w:t> </w:t>
      </w:r>
      <w:r>
        <w:rPr>
          <w:sz w:val="18"/>
        </w:rPr>
        <w:t>Balance</w:t>
      </w:r>
      <w:r>
        <w:rPr>
          <w:spacing w:val="-6"/>
          <w:sz w:val="18"/>
        </w:rPr>
        <w:t> </w:t>
      </w:r>
      <w:r>
        <w:rPr>
          <w:sz w:val="18"/>
        </w:rPr>
        <w:t>and</w:t>
      </w:r>
      <w:r>
        <w:rPr>
          <w:spacing w:val="-6"/>
          <w:sz w:val="18"/>
        </w:rPr>
        <w:t> </w:t>
      </w:r>
      <w:r>
        <w:rPr>
          <w:sz w:val="18"/>
        </w:rPr>
        <w:t>Miscellaneous</w:t>
      </w:r>
      <w:r>
        <w:rPr>
          <w:spacing w:val="-7"/>
          <w:sz w:val="18"/>
        </w:rPr>
        <w:t> </w:t>
      </w:r>
      <w:r>
        <w:rPr>
          <w:sz w:val="18"/>
        </w:rPr>
        <w:t>Provisions</w:t>
      </w:r>
      <w:r>
        <w:rPr>
          <w:spacing w:val="-6"/>
          <w:sz w:val="18"/>
        </w:rPr>
        <w:t> </w:t>
      </w:r>
      <w:r>
        <w:rPr>
          <w:sz w:val="18"/>
        </w:rPr>
        <w:t>Act</w:t>
      </w:r>
      <w:r>
        <w:rPr>
          <w:spacing w:val="-6"/>
          <w:sz w:val="18"/>
        </w:rPr>
        <w:t> </w:t>
      </w:r>
      <w:r>
        <w:rPr>
          <w:spacing w:val="-2"/>
          <w:sz w:val="18"/>
        </w:rPr>
        <w:t>2023.</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Section</w:t>
      </w:r>
      <w:r>
        <w:rPr>
          <w:spacing w:val="-7"/>
          <w:sz w:val="18"/>
        </w:rPr>
        <w:t> </w:t>
      </w:r>
      <w:r>
        <w:rPr>
          <w:sz w:val="18"/>
        </w:rPr>
        <w:t>20,</w:t>
      </w:r>
      <w:r>
        <w:rPr>
          <w:spacing w:val="-6"/>
          <w:sz w:val="18"/>
        </w:rPr>
        <w:t> </w:t>
      </w:r>
      <w:r>
        <w:rPr>
          <w:sz w:val="18"/>
        </w:rPr>
        <w:t>Work</w:t>
      </w:r>
      <w:r>
        <w:rPr>
          <w:spacing w:val="-5"/>
          <w:sz w:val="18"/>
        </w:rPr>
        <w:t> </w:t>
      </w:r>
      <w:r>
        <w:rPr>
          <w:sz w:val="18"/>
        </w:rPr>
        <w:t>Life</w:t>
      </w:r>
      <w:r>
        <w:rPr>
          <w:spacing w:val="-6"/>
          <w:sz w:val="18"/>
        </w:rPr>
        <w:t> </w:t>
      </w:r>
      <w:r>
        <w:rPr>
          <w:sz w:val="18"/>
        </w:rPr>
        <w:t>Balance</w:t>
      </w:r>
      <w:r>
        <w:rPr>
          <w:spacing w:val="-6"/>
          <w:sz w:val="18"/>
        </w:rPr>
        <w:t> </w:t>
      </w:r>
      <w:r>
        <w:rPr>
          <w:sz w:val="18"/>
        </w:rPr>
        <w:t>and</w:t>
      </w:r>
      <w:r>
        <w:rPr>
          <w:spacing w:val="-6"/>
          <w:sz w:val="18"/>
        </w:rPr>
        <w:t> </w:t>
      </w:r>
      <w:r>
        <w:rPr>
          <w:sz w:val="18"/>
        </w:rPr>
        <w:t>Miscellaneous</w:t>
      </w:r>
      <w:r>
        <w:rPr>
          <w:spacing w:val="-7"/>
          <w:sz w:val="18"/>
        </w:rPr>
        <w:t> </w:t>
      </w:r>
      <w:r>
        <w:rPr>
          <w:sz w:val="18"/>
        </w:rPr>
        <w:t>Provisions</w:t>
      </w:r>
      <w:r>
        <w:rPr>
          <w:spacing w:val="-6"/>
          <w:sz w:val="18"/>
        </w:rPr>
        <w:t> </w:t>
      </w:r>
      <w:r>
        <w:rPr>
          <w:sz w:val="18"/>
        </w:rPr>
        <w:t>Act</w:t>
      </w:r>
      <w:r>
        <w:rPr>
          <w:spacing w:val="-6"/>
          <w:sz w:val="18"/>
        </w:rPr>
        <w:t> </w:t>
      </w:r>
      <w:r>
        <w:rPr>
          <w:spacing w:val="-2"/>
          <w:sz w:val="18"/>
        </w:rPr>
        <w:t>2023.</w:t>
      </w:r>
    </w:p>
    <w:p>
      <w:pPr>
        <w:pStyle w:val="ListParagraph"/>
        <w:numPr>
          <w:ilvl w:val="0"/>
          <w:numId w:val="11"/>
        </w:numPr>
        <w:tabs>
          <w:tab w:pos="1853" w:val="left" w:leader="none"/>
        </w:tabs>
        <w:spacing w:line="218" w:lineRule="exact" w:before="0" w:after="0"/>
        <w:ind w:left="1853" w:right="0" w:hanging="720"/>
        <w:jc w:val="left"/>
        <w:rPr>
          <w:sz w:val="18"/>
        </w:rPr>
      </w:pPr>
      <w:r>
        <w:rPr>
          <w:sz w:val="18"/>
        </w:rPr>
        <w:t>Directive</w:t>
      </w:r>
      <w:r>
        <w:rPr>
          <w:spacing w:val="-7"/>
          <w:sz w:val="18"/>
        </w:rPr>
        <w:t> </w:t>
      </w:r>
      <w:r>
        <w:rPr>
          <w:sz w:val="18"/>
        </w:rPr>
        <w:t>2019/1158/EU</w:t>
      </w:r>
      <w:r>
        <w:rPr>
          <w:spacing w:val="-6"/>
          <w:sz w:val="18"/>
        </w:rPr>
        <w:t> </w:t>
      </w:r>
      <w:r>
        <w:rPr>
          <w:sz w:val="18"/>
        </w:rPr>
        <w:t>‘EU</w:t>
      </w:r>
      <w:r>
        <w:rPr>
          <w:spacing w:val="-6"/>
          <w:sz w:val="18"/>
        </w:rPr>
        <w:t> </w:t>
      </w:r>
      <w:r>
        <w:rPr>
          <w:sz w:val="18"/>
        </w:rPr>
        <w:t>Parliament</w:t>
      </w:r>
      <w:r>
        <w:rPr>
          <w:spacing w:val="-6"/>
          <w:sz w:val="18"/>
        </w:rPr>
        <w:t> </w:t>
      </w:r>
      <w:r>
        <w:rPr>
          <w:sz w:val="18"/>
        </w:rPr>
        <w:t>and</w:t>
      </w:r>
      <w:r>
        <w:rPr>
          <w:spacing w:val="-7"/>
          <w:sz w:val="18"/>
        </w:rPr>
        <w:t> </w:t>
      </w:r>
      <w:r>
        <w:rPr>
          <w:sz w:val="18"/>
        </w:rPr>
        <w:t>Council</w:t>
      </w:r>
      <w:r>
        <w:rPr>
          <w:spacing w:val="-6"/>
          <w:sz w:val="18"/>
        </w:rPr>
        <w:t> </w:t>
      </w:r>
      <w:r>
        <w:rPr>
          <w:sz w:val="18"/>
        </w:rPr>
        <w:t>Directive</w:t>
      </w:r>
      <w:r>
        <w:rPr>
          <w:spacing w:val="-7"/>
          <w:sz w:val="18"/>
        </w:rPr>
        <w:t> </w:t>
      </w:r>
      <w:r>
        <w:rPr>
          <w:sz w:val="18"/>
        </w:rPr>
        <w:t>on</w:t>
      </w:r>
      <w:r>
        <w:rPr>
          <w:spacing w:val="-6"/>
          <w:sz w:val="18"/>
        </w:rPr>
        <w:t> </w:t>
      </w:r>
      <w:r>
        <w:rPr>
          <w:sz w:val="18"/>
        </w:rPr>
        <w:t>work-life</w:t>
      </w:r>
      <w:r>
        <w:rPr>
          <w:spacing w:val="-6"/>
          <w:sz w:val="18"/>
        </w:rPr>
        <w:t> </w:t>
      </w:r>
      <w:r>
        <w:rPr>
          <w:sz w:val="18"/>
        </w:rPr>
        <w:t>balance</w:t>
      </w:r>
      <w:r>
        <w:rPr>
          <w:spacing w:val="-6"/>
          <w:sz w:val="18"/>
        </w:rPr>
        <w:t> </w:t>
      </w:r>
      <w:r>
        <w:rPr>
          <w:sz w:val="18"/>
        </w:rPr>
        <w:t>for</w:t>
      </w:r>
      <w:r>
        <w:rPr>
          <w:spacing w:val="-7"/>
          <w:sz w:val="18"/>
        </w:rPr>
        <w:t> </w:t>
      </w:r>
      <w:r>
        <w:rPr>
          <w:sz w:val="18"/>
        </w:rPr>
        <w:t>parents</w:t>
      </w:r>
      <w:r>
        <w:rPr>
          <w:spacing w:val="-6"/>
          <w:sz w:val="18"/>
        </w:rPr>
        <w:t> </w:t>
      </w:r>
      <w:r>
        <w:rPr>
          <w:sz w:val="18"/>
        </w:rPr>
        <w:t>and</w:t>
      </w:r>
      <w:r>
        <w:rPr>
          <w:spacing w:val="-7"/>
          <w:sz w:val="18"/>
        </w:rPr>
        <w:t> </w:t>
      </w:r>
      <w:r>
        <w:rPr>
          <w:sz w:val="18"/>
        </w:rPr>
        <w:t>carers’,</w:t>
      </w:r>
      <w:r>
        <w:rPr>
          <w:spacing w:val="-6"/>
          <w:sz w:val="18"/>
        </w:rPr>
        <w:t> </w:t>
      </w:r>
      <w:r>
        <w:rPr>
          <w:sz w:val="18"/>
        </w:rPr>
        <w:t>20</w:t>
      </w:r>
      <w:r>
        <w:rPr>
          <w:spacing w:val="-6"/>
          <w:sz w:val="18"/>
        </w:rPr>
        <w:t> </w:t>
      </w:r>
      <w:r>
        <w:rPr>
          <w:sz w:val="18"/>
        </w:rPr>
        <w:t>June</w:t>
      </w:r>
      <w:r>
        <w:rPr>
          <w:spacing w:val="-6"/>
          <w:sz w:val="18"/>
        </w:rPr>
        <w:t> </w:t>
      </w:r>
      <w:r>
        <w:rPr>
          <w:spacing w:val="-2"/>
          <w:sz w:val="18"/>
        </w:rPr>
        <w:t>2019.</w:t>
      </w:r>
    </w:p>
    <w:p>
      <w:pPr>
        <w:spacing w:after="0" w:line="218" w:lineRule="exact"/>
        <w:jc w:val="left"/>
        <w:rPr>
          <w:sz w:val="18"/>
        </w:rPr>
        <w:sectPr>
          <w:pgSz w:w="11910" w:h="16840"/>
          <w:pgMar w:header="496" w:footer="367" w:top="1220" w:bottom="560" w:left="0" w:right="0"/>
        </w:sectPr>
      </w:pPr>
    </w:p>
    <w:p>
      <w:pPr>
        <w:pStyle w:val="BodyText"/>
        <w:spacing w:before="181"/>
      </w:pPr>
    </w:p>
    <w:p>
      <w:pPr>
        <w:pStyle w:val="BodyText"/>
        <w:spacing w:line="225" w:lineRule="auto"/>
        <w:ind w:left="1853" w:right="1171"/>
      </w:pPr>
      <w:bookmarkStart w:name="_bookmark39" w:id="85"/>
      <w:bookmarkEnd w:id="85"/>
      <w:r>
        <w:rPr/>
      </w:r>
      <w:r>
        <w:rPr/>
        <w:t>Directive,</w:t>
      </w:r>
      <w:r>
        <w:rPr>
          <w:vertAlign w:val="superscript"/>
        </w:rPr>
        <w:t>637</w:t>
      </w:r>
      <w:r>
        <w:rPr>
          <w:spacing w:val="-10"/>
          <w:vertAlign w:val="baseline"/>
        </w:rPr>
        <w:t> </w:t>
      </w:r>
      <w:r>
        <w:rPr>
          <w:vertAlign w:val="baseline"/>
        </w:rPr>
        <w:t>even</w:t>
      </w:r>
      <w:r>
        <w:rPr>
          <w:spacing w:val="-10"/>
          <w:vertAlign w:val="baseline"/>
        </w:rPr>
        <w:t> </w:t>
      </w:r>
      <w:r>
        <w:rPr>
          <w:vertAlign w:val="baseline"/>
        </w:rPr>
        <w:t>though</w:t>
      </w:r>
      <w:r>
        <w:rPr>
          <w:spacing w:val="-10"/>
          <w:vertAlign w:val="baseline"/>
        </w:rPr>
        <w:t> </w:t>
      </w:r>
      <w:r>
        <w:rPr>
          <w:vertAlign w:val="baseline"/>
        </w:rPr>
        <w:t>it</w:t>
      </w:r>
      <w:r>
        <w:rPr>
          <w:spacing w:val="-10"/>
          <w:vertAlign w:val="baseline"/>
        </w:rPr>
        <w:t> </w:t>
      </w:r>
      <w:r>
        <w:rPr>
          <w:vertAlign w:val="baseline"/>
        </w:rPr>
        <w:t>has</w:t>
      </w:r>
      <w:r>
        <w:rPr>
          <w:spacing w:val="-10"/>
          <w:vertAlign w:val="baseline"/>
        </w:rPr>
        <w:t> </w:t>
      </w:r>
      <w:r>
        <w:rPr>
          <w:vertAlign w:val="baseline"/>
        </w:rPr>
        <w:t>been</w:t>
      </w:r>
      <w:r>
        <w:rPr>
          <w:spacing w:val="-10"/>
          <w:vertAlign w:val="baseline"/>
        </w:rPr>
        <w:t> </w:t>
      </w:r>
      <w:r>
        <w:rPr>
          <w:vertAlign w:val="baseline"/>
        </w:rPr>
        <w:t>replaced</w:t>
      </w:r>
      <w:r>
        <w:rPr>
          <w:spacing w:val="-10"/>
          <w:vertAlign w:val="baseline"/>
        </w:rPr>
        <w:t> </w:t>
      </w:r>
      <w:r>
        <w:rPr>
          <w:vertAlign w:val="baseline"/>
        </w:rPr>
        <w:t>by</w:t>
      </w:r>
      <w:r>
        <w:rPr>
          <w:spacing w:val="-10"/>
          <w:vertAlign w:val="baseline"/>
        </w:rPr>
        <w:t> </w:t>
      </w:r>
      <w:r>
        <w:rPr>
          <w:vertAlign w:val="baseline"/>
        </w:rPr>
        <w:t>the</w:t>
      </w:r>
      <w:r>
        <w:rPr>
          <w:spacing w:val="-10"/>
          <w:vertAlign w:val="baseline"/>
        </w:rPr>
        <w:t> </w:t>
      </w:r>
      <w:r>
        <w:rPr>
          <w:vertAlign w:val="baseline"/>
        </w:rPr>
        <w:t>EU</w:t>
      </w:r>
      <w:r>
        <w:rPr>
          <w:spacing w:val="-10"/>
          <w:vertAlign w:val="baseline"/>
        </w:rPr>
        <w:t> </w:t>
      </w:r>
      <w:r>
        <w:rPr>
          <w:vertAlign w:val="baseline"/>
        </w:rPr>
        <w:t>Work-Life</w:t>
      </w:r>
      <w:r>
        <w:rPr>
          <w:spacing w:val="-10"/>
          <w:vertAlign w:val="baseline"/>
        </w:rPr>
        <w:t> </w:t>
      </w:r>
      <w:r>
        <w:rPr>
          <w:vertAlign w:val="baseline"/>
        </w:rPr>
        <w:t>Balance </w:t>
      </w:r>
      <w:r>
        <w:rPr>
          <w:spacing w:val="-2"/>
          <w:vertAlign w:val="baseline"/>
        </w:rPr>
        <w:t>Directive.</w:t>
      </w:r>
    </w:p>
    <w:p>
      <w:pPr>
        <w:pStyle w:val="ListParagraph"/>
        <w:numPr>
          <w:ilvl w:val="1"/>
          <w:numId w:val="7"/>
        </w:numPr>
        <w:tabs>
          <w:tab w:pos="1853" w:val="left" w:leader="none"/>
        </w:tabs>
        <w:spacing w:line="225" w:lineRule="auto" w:before="318" w:after="0"/>
        <w:ind w:left="1853" w:right="1573" w:hanging="720"/>
        <w:jc w:val="left"/>
        <w:rPr>
          <w:sz w:val="28"/>
        </w:rPr>
      </w:pPr>
      <w:r>
        <w:rPr>
          <w:sz w:val="28"/>
        </w:rPr>
        <w:t>It is the view of the Commissions that implementing provisions of the Directive, such as those on non-transferable parental leave, would avoid a potential divergence of rights on the island of Ireland and could positively contribute to addressing some of the key barriers to the full and equal participation</w:t>
      </w:r>
      <w:r>
        <w:rPr>
          <w:spacing w:val="-6"/>
          <w:sz w:val="28"/>
        </w:rPr>
        <w:t> </w:t>
      </w:r>
      <w:r>
        <w:rPr>
          <w:sz w:val="28"/>
        </w:rPr>
        <w:t>of</w:t>
      </w:r>
      <w:r>
        <w:rPr>
          <w:spacing w:val="-6"/>
          <w:sz w:val="28"/>
        </w:rPr>
        <w:t> </w:t>
      </w:r>
      <w:r>
        <w:rPr>
          <w:sz w:val="28"/>
        </w:rPr>
        <w:t>women</w:t>
      </w:r>
      <w:r>
        <w:rPr>
          <w:spacing w:val="-6"/>
          <w:sz w:val="28"/>
        </w:rPr>
        <w:t> </w:t>
      </w:r>
      <w:r>
        <w:rPr>
          <w:sz w:val="28"/>
        </w:rPr>
        <w:t>in</w:t>
      </w:r>
      <w:r>
        <w:rPr>
          <w:spacing w:val="-6"/>
          <w:sz w:val="28"/>
        </w:rPr>
        <w:t> </w:t>
      </w:r>
      <w:r>
        <w:rPr>
          <w:sz w:val="28"/>
        </w:rPr>
        <w:t>employment</w:t>
      </w:r>
      <w:r>
        <w:rPr>
          <w:spacing w:val="-6"/>
          <w:sz w:val="28"/>
        </w:rPr>
        <w:t> </w:t>
      </w:r>
      <w:r>
        <w:rPr>
          <w:sz w:val="28"/>
        </w:rPr>
        <w:t>by</w:t>
      </w:r>
      <w:r>
        <w:rPr>
          <w:spacing w:val="-6"/>
          <w:sz w:val="28"/>
        </w:rPr>
        <w:t> </w:t>
      </w:r>
      <w:r>
        <w:rPr>
          <w:sz w:val="28"/>
        </w:rPr>
        <w:t>encouraging</w:t>
      </w:r>
      <w:r>
        <w:rPr>
          <w:spacing w:val="-6"/>
          <w:sz w:val="28"/>
        </w:rPr>
        <w:t> </w:t>
      </w:r>
      <w:r>
        <w:rPr>
          <w:sz w:val="28"/>
        </w:rPr>
        <w:t>an</w:t>
      </w:r>
      <w:r>
        <w:rPr>
          <w:spacing w:val="-6"/>
          <w:sz w:val="28"/>
        </w:rPr>
        <w:t> </w:t>
      </w:r>
      <w:r>
        <w:rPr>
          <w:sz w:val="28"/>
        </w:rPr>
        <w:t>equal</w:t>
      </w:r>
      <w:r>
        <w:rPr>
          <w:spacing w:val="-6"/>
          <w:sz w:val="28"/>
        </w:rPr>
        <w:t> </w:t>
      </w:r>
      <w:r>
        <w:rPr>
          <w:sz w:val="28"/>
        </w:rPr>
        <w:t>sharing</w:t>
      </w:r>
      <w:r>
        <w:rPr>
          <w:spacing w:val="-6"/>
          <w:sz w:val="28"/>
        </w:rPr>
        <w:t> </w:t>
      </w:r>
      <w:r>
        <w:rPr>
          <w:sz w:val="28"/>
        </w:rPr>
        <w:t>of parental leave.</w:t>
      </w:r>
      <w:r>
        <w:rPr>
          <w:sz w:val="28"/>
          <w:vertAlign w:val="superscript"/>
        </w:rPr>
        <w:t>638</w:t>
      </w:r>
    </w:p>
    <w:p>
      <w:pPr>
        <w:pStyle w:val="BodyText"/>
        <w:spacing w:before="1"/>
        <w:rPr>
          <w:sz w:val="17"/>
        </w:rPr>
      </w:pPr>
      <w:r>
        <w:rPr/>
        <mc:AlternateContent>
          <mc:Choice Requires="wps">
            <w:drawing>
              <wp:anchor distT="0" distB="0" distL="0" distR="0" allowOverlap="1" layoutInCell="1" locked="0" behindDoc="1" simplePos="0" relativeHeight="487694848">
                <wp:simplePos x="0" y="0"/>
                <wp:positionH relativeFrom="page">
                  <wp:posOffset>720001</wp:posOffset>
                </wp:positionH>
                <wp:positionV relativeFrom="paragraph">
                  <wp:posOffset>147796</wp:posOffset>
                </wp:positionV>
                <wp:extent cx="6120130" cy="360045"/>
                <wp:effectExtent l="0" t="0" r="0" b="0"/>
                <wp:wrapTopAndBottom/>
                <wp:docPr id="491" name="Textbox 491"/>
                <wp:cNvGraphicFramePr>
                  <a:graphicFrameLocks/>
                </wp:cNvGraphicFramePr>
                <a:graphic>
                  <a:graphicData uri="http://schemas.microsoft.com/office/word/2010/wordprocessingShape">
                    <wps:wsp>
                      <wps:cNvPr id="491" name="Textbox 491"/>
                      <wps:cNvSpPr txBox="1"/>
                      <wps:spPr>
                        <a:xfrm>
                          <a:off x="0" y="0"/>
                          <a:ext cx="6120130" cy="360045"/>
                        </a:xfrm>
                        <a:prstGeom prst="rect">
                          <a:avLst/>
                        </a:prstGeom>
                        <a:solidFill>
                          <a:srgbClr val="393B7F"/>
                        </a:solidFill>
                      </wps:spPr>
                      <wps:txbx>
                        <w:txbxContent>
                          <w:p>
                            <w:pPr>
                              <w:spacing w:before="103"/>
                              <w:ind w:left="772"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11.637531pt;width:481.9pt;height:28.35pt;mso-position-horizontal-relative:page;mso-position-vertical-relative:paragraph;z-index:-15621632;mso-wrap-distance-left:0;mso-wrap-distance-right:0" type="#_x0000_t202" id="docshape437" filled="true" fillcolor="#393b7f" stroked="false">
                <v:textbox inset="0,0,0,0">
                  <w:txbxContent>
                    <w:p>
                      <w:pPr>
                        <w:spacing w:before="103"/>
                        <w:ind w:left="772"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312" w:after="0"/>
        <w:ind w:left="1853" w:right="1170" w:hanging="720"/>
        <w:jc w:val="left"/>
        <w:rPr>
          <w:b/>
          <w:color w:val="67287F"/>
          <w:sz w:val="28"/>
        </w:rPr>
      </w:pPr>
      <w:r>
        <w:rPr>
          <w:b/>
          <w:color w:val="67287F"/>
          <w:sz w:val="28"/>
        </w:rPr>
        <w:t>The</w:t>
      </w:r>
      <w:r>
        <w:rPr>
          <w:b/>
          <w:color w:val="67287F"/>
          <w:spacing w:val="-8"/>
          <w:sz w:val="28"/>
        </w:rPr>
        <w:t> </w:t>
      </w:r>
      <w:r>
        <w:rPr>
          <w:b/>
          <w:color w:val="67287F"/>
          <w:sz w:val="28"/>
        </w:rPr>
        <w:t>Commissions</w:t>
      </w:r>
      <w:r>
        <w:rPr>
          <w:b/>
          <w:color w:val="67287F"/>
          <w:spacing w:val="-7"/>
          <w:sz w:val="28"/>
        </w:rPr>
        <w:t> </w:t>
      </w:r>
      <w:r>
        <w:rPr>
          <w:b/>
          <w:color w:val="67287F"/>
          <w:sz w:val="28"/>
        </w:rPr>
        <w:t>continue</w:t>
      </w:r>
      <w:r>
        <w:rPr>
          <w:b/>
          <w:color w:val="67287F"/>
          <w:spacing w:val="-8"/>
          <w:sz w:val="28"/>
        </w:rPr>
        <w:t> </w:t>
      </w:r>
      <w:r>
        <w:rPr>
          <w:b/>
          <w:color w:val="67287F"/>
          <w:sz w:val="28"/>
        </w:rPr>
        <w:t>to</w:t>
      </w:r>
      <w:r>
        <w:rPr>
          <w:b/>
          <w:color w:val="67287F"/>
          <w:spacing w:val="-7"/>
          <w:sz w:val="28"/>
        </w:rPr>
        <w:t> </w:t>
      </w:r>
      <w:r>
        <w:rPr>
          <w:b/>
          <w:color w:val="67287F"/>
          <w:sz w:val="28"/>
        </w:rPr>
        <w:t>recommend</w:t>
      </w:r>
      <w:r>
        <w:rPr>
          <w:b/>
          <w:color w:val="67287F"/>
          <w:spacing w:val="-7"/>
          <w:sz w:val="28"/>
        </w:rPr>
        <w:t> </w:t>
      </w:r>
      <w:r>
        <w:rPr>
          <w:b/>
          <w:color w:val="67287F"/>
          <w:sz w:val="28"/>
        </w:rPr>
        <w:t>that</w:t>
      </w:r>
      <w:r>
        <w:rPr>
          <w:b/>
          <w:color w:val="67287F"/>
          <w:spacing w:val="-7"/>
          <w:sz w:val="28"/>
        </w:rPr>
        <w:t> </w:t>
      </w:r>
      <w:r>
        <w:rPr>
          <w:b/>
          <w:color w:val="67287F"/>
          <w:sz w:val="28"/>
        </w:rPr>
        <w:t>the</w:t>
      </w:r>
      <w:r>
        <w:rPr>
          <w:b/>
          <w:color w:val="67287F"/>
          <w:spacing w:val="-8"/>
          <w:sz w:val="28"/>
        </w:rPr>
        <w:t> </w:t>
      </w:r>
      <w:r>
        <w:rPr>
          <w:b/>
          <w:color w:val="67287F"/>
          <w:sz w:val="28"/>
        </w:rPr>
        <w:t>NI</w:t>
      </w:r>
      <w:r>
        <w:rPr>
          <w:b/>
          <w:color w:val="67287F"/>
          <w:spacing w:val="-7"/>
          <w:sz w:val="28"/>
        </w:rPr>
        <w:t> </w:t>
      </w:r>
      <w:r>
        <w:rPr>
          <w:b/>
          <w:color w:val="67287F"/>
          <w:sz w:val="28"/>
        </w:rPr>
        <w:t>Executive</w:t>
      </w:r>
      <w:r>
        <w:rPr>
          <w:b/>
          <w:color w:val="67287F"/>
          <w:spacing w:val="-8"/>
          <w:sz w:val="28"/>
        </w:rPr>
        <w:t> </w:t>
      </w:r>
      <w:r>
        <w:rPr>
          <w:b/>
          <w:color w:val="67287F"/>
          <w:sz w:val="28"/>
        </w:rPr>
        <w:t>and</w:t>
      </w:r>
      <w:r>
        <w:rPr>
          <w:b/>
          <w:color w:val="67287F"/>
          <w:spacing w:val="-7"/>
          <w:sz w:val="28"/>
        </w:rPr>
        <w:t> </w:t>
      </w:r>
      <w:r>
        <w:rPr>
          <w:b/>
          <w:color w:val="67287F"/>
          <w:sz w:val="28"/>
        </w:rPr>
        <w:t>relevant NI departments, including the Department for the Economy, voluntarily ensure that NI law aligns with those provisions of the EU Work-Life Balance Directive</w:t>
      </w:r>
      <w:r>
        <w:rPr>
          <w:b/>
          <w:color w:val="67287F"/>
          <w:spacing w:val="-3"/>
          <w:sz w:val="28"/>
        </w:rPr>
        <w:t> </w:t>
      </w:r>
      <w:r>
        <w:rPr>
          <w:b/>
          <w:color w:val="67287F"/>
          <w:sz w:val="28"/>
        </w:rPr>
        <w:t>that</w:t>
      </w:r>
      <w:r>
        <w:rPr>
          <w:b/>
          <w:color w:val="67287F"/>
          <w:spacing w:val="-2"/>
          <w:sz w:val="28"/>
        </w:rPr>
        <w:t> </w:t>
      </w:r>
      <w:r>
        <w:rPr>
          <w:b/>
          <w:color w:val="67287F"/>
          <w:sz w:val="28"/>
        </w:rPr>
        <w:t>enhance</w:t>
      </w:r>
      <w:r>
        <w:rPr>
          <w:b/>
          <w:color w:val="67287F"/>
          <w:spacing w:val="-3"/>
          <w:sz w:val="28"/>
        </w:rPr>
        <w:t> </w:t>
      </w:r>
      <w:r>
        <w:rPr>
          <w:b/>
          <w:color w:val="67287F"/>
          <w:sz w:val="28"/>
        </w:rPr>
        <w:t>equality</w:t>
      </w:r>
      <w:r>
        <w:rPr>
          <w:b/>
          <w:color w:val="67287F"/>
          <w:spacing w:val="-2"/>
          <w:sz w:val="28"/>
        </w:rPr>
        <w:t> </w:t>
      </w:r>
      <w:r>
        <w:rPr>
          <w:b/>
          <w:color w:val="67287F"/>
          <w:sz w:val="28"/>
        </w:rPr>
        <w:t>and</w:t>
      </w:r>
      <w:r>
        <w:rPr>
          <w:b/>
          <w:color w:val="67287F"/>
          <w:spacing w:val="-2"/>
          <w:sz w:val="28"/>
        </w:rPr>
        <w:t> </w:t>
      </w:r>
      <w:r>
        <w:rPr>
          <w:b/>
          <w:color w:val="67287F"/>
          <w:sz w:val="28"/>
        </w:rPr>
        <w:t>human</w:t>
      </w:r>
      <w:r>
        <w:rPr>
          <w:b/>
          <w:color w:val="67287F"/>
          <w:spacing w:val="-2"/>
          <w:sz w:val="28"/>
        </w:rPr>
        <w:t> </w:t>
      </w:r>
      <w:r>
        <w:rPr>
          <w:b/>
          <w:color w:val="67287F"/>
          <w:sz w:val="28"/>
        </w:rPr>
        <w:t>rights</w:t>
      </w:r>
      <w:r>
        <w:rPr>
          <w:b/>
          <w:color w:val="67287F"/>
          <w:spacing w:val="-2"/>
          <w:sz w:val="28"/>
        </w:rPr>
        <w:t> </w:t>
      </w:r>
      <w:r>
        <w:rPr>
          <w:b/>
          <w:color w:val="67287F"/>
          <w:sz w:val="28"/>
        </w:rPr>
        <w:t>protections</w:t>
      </w:r>
      <w:r>
        <w:rPr>
          <w:b/>
          <w:color w:val="67287F"/>
          <w:spacing w:val="-2"/>
          <w:sz w:val="28"/>
        </w:rPr>
        <w:t> </w:t>
      </w:r>
      <w:r>
        <w:rPr>
          <w:b/>
          <w:color w:val="67287F"/>
          <w:sz w:val="28"/>
        </w:rPr>
        <w:t>and</w:t>
      </w:r>
      <w:r>
        <w:rPr>
          <w:b/>
          <w:color w:val="67287F"/>
          <w:spacing w:val="-2"/>
          <w:sz w:val="28"/>
        </w:rPr>
        <w:t> </w:t>
      </w:r>
      <w:r>
        <w:rPr>
          <w:b/>
          <w:color w:val="67287F"/>
          <w:sz w:val="28"/>
        </w:rPr>
        <w:t>align</w:t>
      </w:r>
      <w:r>
        <w:rPr>
          <w:b/>
          <w:color w:val="67287F"/>
          <w:spacing w:val="-2"/>
          <w:sz w:val="28"/>
        </w:rPr>
        <w:t> </w:t>
      </w:r>
      <w:r>
        <w:rPr>
          <w:b/>
          <w:color w:val="67287F"/>
          <w:sz w:val="28"/>
        </w:rPr>
        <w:t>with international human rights standards and best practice.</w:t>
      </w:r>
    </w:p>
    <w:p>
      <w:pPr>
        <w:pStyle w:val="BodyText"/>
        <w:rPr>
          <w:b/>
        </w:rPr>
      </w:pPr>
    </w:p>
    <w:p>
      <w:pPr>
        <w:pStyle w:val="Heading3"/>
      </w:pPr>
      <w:bookmarkStart w:name="Democratic Rights " w:id="86"/>
      <w:bookmarkEnd w:id="86"/>
      <w:r>
        <w:rPr>
          <w:b w:val="0"/>
        </w:rPr>
      </w:r>
      <w:r>
        <w:rPr>
          <w:color w:val="67287F"/>
          <w:spacing w:val="-2"/>
        </w:rPr>
        <w:t>Democratic</w:t>
      </w:r>
      <w:r>
        <w:rPr>
          <w:color w:val="67287F"/>
          <w:spacing w:val="-4"/>
        </w:rPr>
        <w:t> </w:t>
      </w:r>
      <w:r>
        <w:rPr>
          <w:color w:val="67287F"/>
          <w:spacing w:val="-2"/>
        </w:rPr>
        <w:t>Rights</w:t>
      </w:r>
    </w:p>
    <w:p>
      <w:pPr>
        <w:pStyle w:val="BodyText"/>
        <w:rPr>
          <w:b/>
          <w:sz w:val="5"/>
        </w:rPr>
      </w:pPr>
      <w:r>
        <w:rPr/>
        <mc:AlternateContent>
          <mc:Choice Requires="wps">
            <w:drawing>
              <wp:anchor distT="0" distB="0" distL="0" distR="0" allowOverlap="1" layoutInCell="1" locked="0" behindDoc="1" simplePos="0" relativeHeight="487695360">
                <wp:simplePos x="0" y="0"/>
                <wp:positionH relativeFrom="page">
                  <wp:posOffset>719997</wp:posOffset>
                </wp:positionH>
                <wp:positionV relativeFrom="paragraph">
                  <wp:posOffset>54591</wp:posOffset>
                </wp:positionV>
                <wp:extent cx="6120130" cy="1270"/>
                <wp:effectExtent l="0" t="0" r="0" b="0"/>
                <wp:wrapTopAndBottom/>
                <wp:docPr id="492" name="Graphic 492"/>
                <wp:cNvGraphicFramePr>
                  <a:graphicFrameLocks/>
                </wp:cNvGraphicFramePr>
                <a:graphic>
                  <a:graphicData uri="http://schemas.microsoft.com/office/word/2010/wordprocessingShape">
                    <wps:wsp>
                      <wps:cNvPr id="492" name="Graphic 492"/>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4.298534pt;width:481.9pt;height:.1pt;mso-position-horizontal-relative:page;mso-position-vertical-relative:paragraph;z-index:-15621120;mso-wrap-distance-left:0;mso-wrap-distance-right:0" id="docshape438" coordorigin="1134,86" coordsize="9638,0" path="m10772,86l1134,86e" filled="false" stroked="true" strokeweight="1pt" strokecolor="#67287f">
                <v:path arrowok="t"/>
                <v:stroke dashstyle="solid"/>
                <w10:wrap type="topAndBottom"/>
              </v:shape>
            </w:pict>
          </mc:Fallback>
        </mc:AlternateContent>
      </w:r>
    </w:p>
    <w:p>
      <w:pPr>
        <w:pStyle w:val="Heading5"/>
        <w:spacing w:before="301"/>
        <w:ind w:left="1133" w:firstLine="0"/>
      </w:pPr>
      <w:bookmarkStart w:name="Elections Act 2022" w:id="87"/>
      <w:bookmarkEnd w:id="87"/>
      <w:r>
        <w:rPr>
          <w:b w:val="0"/>
        </w:rPr>
      </w:r>
      <w:r>
        <w:rPr>
          <w:color w:val="393B80"/>
        </w:rPr>
        <w:t>Elections</w:t>
      </w:r>
      <w:r>
        <w:rPr>
          <w:color w:val="393B80"/>
          <w:spacing w:val="-6"/>
        </w:rPr>
        <w:t> </w:t>
      </w:r>
      <w:r>
        <w:rPr>
          <w:color w:val="393B80"/>
        </w:rPr>
        <w:t>Act</w:t>
      </w:r>
      <w:r>
        <w:rPr>
          <w:color w:val="393B80"/>
          <w:spacing w:val="-5"/>
        </w:rPr>
        <w:t> </w:t>
      </w:r>
      <w:r>
        <w:rPr>
          <w:color w:val="393B80"/>
          <w:spacing w:val="-4"/>
        </w:rPr>
        <w:t>2022</w:t>
      </w:r>
    </w:p>
    <w:p>
      <w:pPr>
        <w:pStyle w:val="ListParagraph"/>
        <w:numPr>
          <w:ilvl w:val="1"/>
          <w:numId w:val="7"/>
        </w:numPr>
        <w:tabs>
          <w:tab w:pos="1853" w:val="left" w:leader="none"/>
        </w:tabs>
        <w:spacing w:line="225" w:lineRule="auto" w:before="330" w:after="0"/>
        <w:ind w:left="1853" w:right="1210" w:hanging="720"/>
        <w:jc w:val="both"/>
        <w:rPr>
          <w:sz w:val="28"/>
        </w:rPr>
      </w:pPr>
      <w:r>
        <w:rPr>
          <w:sz w:val="28"/>
        </w:rPr>
        <w:t>The</w:t>
      </w:r>
      <w:r>
        <w:rPr>
          <w:spacing w:val="-6"/>
          <w:sz w:val="28"/>
        </w:rPr>
        <w:t> </w:t>
      </w:r>
      <w:r>
        <w:rPr>
          <w:sz w:val="28"/>
        </w:rPr>
        <w:t>Elections</w:t>
      </w:r>
      <w:r>
        <w:rPr>
          <w:spacing w:val="-7"/>
          <w:sz w:val="28"/>
        </w:rPr>
        <w:t> </w:t>
      </w:r>
      <w:r>
        <w:rPr>
          <w:sz w:val="28"/>
        </w:rPr>
        <w:t>Act</w:t>
      </w:r>
      <w:r>
        <w:rPr>
          <w:spacing w:val="-6"/>
          <w:sz w:val="28"/>
        </w:rPr>
        <w:t> </w:t>
      </w:r>
      <w:r>
        <w:rPr>
          <w:sz w:val="28"/>
        </w:rPr>
        <w:t>2022</w:t>
      </w:r>
      <w:r>
        <w:rPr>
          <w:spacing w:val="-6"/>
          <w:sz w:val="28"/>
        </w:rPr>
        <w:t> </w:t>
      </w:r>
      <w:r>
        <w:rPr>
          <w:sz w:val="28"/>
        </w:rPr>
        <w:t>makes</w:t>
      </w:r>
      <w:r>
        <w:rPr>
          <w:spacing w:val="-7"/>
          <w:sz w:val="28"/>
        </w:rPr>
        <w:t> </w:t>
      </w:r>
      <w:r>
        <w:rPr>
          <w:sz w:val="28"/>
        </w:rPr>
        <w:t>provision</w:t>
      </w:r>
      <w:r>
        <w:rPr>
          <w:spacing w:val="-7"/>
          <w:sz w:val="28"/>
        </w:rPr>
        <w:t> </w:t>
      </w:r>
      <w:r>
        <w:rPr>
          <w:sz w:val="28"/>
        </w:rPr>
        <w:t>about</w:t>
      </w:r>
      <w:r>
        <w:rPr>
          <w:spacing w:val="-6"/>
          <w:sz w:val="28"/>
        </w:rPr>
        <w:t> </w:t>
      </w:r>
      <w:r>
        <w:rPr>
          <w:sz w:val="28"/>
        </w:rPr>
        <w:t>the</w:t>
      </w:r>
      <w:r>
        <w:rPr>
          <w:spacing w:val="-6"/>
          <w:sz w:val="28"/>
        </w:rPr>
        <w:t> </w:t>
      </w:r>
      <w:r>
        <w:rPr>
          <w:sz w:val="28"/>
        </w:rPr>
        <w:t>administration</w:t>
      </w:r>
      <w:r>
        <w:rPr>
          <w:spacing w:val="-7"/>
          <w:sz w:val="28"/>
        </w:rPr>
        <w:t> </w:t>
      </w:r>
      <w:r>
        <w:rPr>
          <w:sz w:val="28"/>
        </w:rPr>
        <w:t>and</w:t>
      </w:r>
      <w:r>
        <w:rPr>
          <w:spacing w:val="-7"/>
          <w:sz w:val="28"/>
        </w:rPr>
        <w:t> </w:t>
      </w:r>
      <w:r>
        <w:rPr>
          <w:sz w:val="28"/>
        </w:rPr>
        <w:t>conduct of</w:t>
      </w:r>
      <w:r>
        <w:rPr>
          <w:spacing w:val="-4"/>
          <w:sz w:val="28"/>
        </w:rPr>
        <w:t> </w:t>
      </w:r>
      <w:r>
        <w:rPr>
          <w:sz w:val="28"/>
        </w:rPr>
        <w:t>elections,</w:t>
      </w:r>
      <w:r>
        <w:rPr>
          <w:spacing w:val="-3"/>
          <w:sz w:val="28"/>
        </w:rPr>
        <w:t> </w:t>
      </w:r>
      <w:r>
        <w:rPr>
          <w:sz w:val="28"/>
        </w:rPr>
        <w:t>including</w:t>
      </w:r>
      <w:r>
        <w:rPr>
          <w:spacing w:val="-3"/>
          <w:sz w:val="28"/>
        </w:rPr>
        <w:t> </w:t>
      </w:r>
      <w:r>
        <w:rPr>
          <w:sz w:val="28"/>
        </w:rPr>
        <w:t>about</w:t>
      </w:r>
      <w:r>
        <w:rPr>
          <w:spacing w:val="-3"/>
          <w:sz w:val="28"/>
        </w:rPr>
        <w:t> </w:t>
      </w:r>
      <w:r>
        <w:rPr>
          <w:sz w:val="28"/>
        </w:rPr>
        <w:t>voting</w:t>
      </w:r>
      <w:r>
        <w:rPr>
          <w:spacing w:val="-3"/>
          <w:sz w:val="28"/>
        </w:rPr>
        <w:t> </w:t>
      </w:r>
      <w:r>
        <w:rPr>
          <w:sz w:val="28"/>
        </w:rPr>
        <w:t>and</w:t>
      </w:r>
      <w:r>
        <w:rPr>
          <w:spacing w:val="-4"/>
          <w:sz w:val="28"/>
        </w:rPr>
        <w:t> </w:t>
      </w:r>
      <w:r>
        <w:rPr>
          <w:sz w:val="28"/>
        </w:rPr>
        <w:t>candidacy</w:t>
      </w:r>
      <w:r>
        <w:rPr>
          <w:spacing w:val="-3"/>
          <w:sz w:val="28"/>
        </w:rPr>
        <w:t> </w:t>
      </w:r>
      <w:r>
        <w:rPr>
          <w:sz w:val="28"/>
        </w:rPr>
        <w:t>rights</w:t>
      </w:r>
      <w:r>
        <w:rPr>
          <w:spacing w:val="-4"/>
          <w:sz w:val="28"/>
        </w:rPr>
        <w:t> </w:t>
      </w:r>
      <w:r>
        <w:rPr>
          <w:sz w:val="28"/>
        </w:rPr>
        <w:t>of</w:t>
      </w:r>
      <w:r>
        <w:rPr>
          <w:spacing w:val="-4"/>
          <w:sz w:val="28"/>
        </w:rPr>
        <w:t> </w:t>
      </w:r>
      <w:r>
        <w:rPr>
          <w:sz w:val="28"/>
        </w:rPr>
        <w:t>certain</w:t>
      </w:r>
      <w:r>
        <w:rPr>
          <w:spacing w:val="-4"/>
          <w:sz w:val="28"/>
        </w:rPr>
        <w:t> </w:t>
      </w:r>
      <w:r>
        <w:rPr>
          <w:sz w:val="28"/>
        </w:rPr>
        <w:t>EU</w:t>
      </w:r>
      <w:r>
        <w:rPr>
          <w:spacing w:val="-3"/>
          <w:sz w:val="28"/>
        </w:rPr>
        <w:t> </w:t>
      </w:r>
      <w:r>
        <w:rPr>
          <w:sz w:val="28"/>
        </w:rPr>
        <w:t>citizens in relation to local elections in NI.</w:t>
      </w:r>
      <w:r>
        <w:rPr>
          <w:sz w:val="28"/>
          <w:vertAlign w:val="superscript"/>
        </w:rPr>
        <w:t>639</w:t>
      </w:r>
    </w:p>
    <w:p>
      <w:pPr>
        <w:pStyle w:val="ListParagraph"/>
        <w:numPr>
          <w:ilvl w:val="1"/>
          <w:numId w:val="7"/>
        </w:numPr>
        <w:tabs>
          <w:tab w:pos="1853" w:val="left" w:leader="none"/>
        </w:tabs>
        <w:spacing w:line="225" w:lineRule="auto" w:before="316" w:after="0"/>
        <w:ind w:left="1853" w:right="1604" w:hanging="720"/>
        <w:jc w:val="both"/>
        <w:rPr>
          <w:sz w:val="28"/>
        </w:rPr>
      </w:pPr>
      <w:r>
        <w:rPr>
          <w:sz w:val="28"/>
        </w:rPr>
        <w:t>The</w:t>
      </w:r>
      <w:r>
        <w:rPr>
          <w:spacing w:val="-1"/>
          <w:sz w:val="28"/>
        </w:rPr>
        <w:t> </w:t>
      </w:r>
      <w:r>
        <w:rPr>
          <w:sz w:val="28"/>
        </w:rPr>
        <w:t>Commissions</w:t>
      </w:r>
      <w:r>
        <w:rPr>
          <w:spacing w:val="-2"/>
          <w:sz w:val="28"/>
        </w:rPr>
        <w:t> </w:t>
      </w:r>
      <w:r>
        <w:rPr>
          <w:sz w:val="28"/>
        </w:rPr>
        <w:t>are</w:t>
      </w:r>
      <w:r>
        <w:rPr>
          <w:spacing w:val="-1"/>
          <w:sz w:val="28"/>
        </w:rPr>
        <w:t> </w:t>
      </w:r>
      <w:r>
        <w:rPr>
          <w:sz w:val="28"/>
        </w:rPr>
        <w:t>concerned</w:t>
      </w:r>
      <w:r>
        <w:rPr>
          <w:spacing w:val="-2"/>
          <w:sz w:val="28"/>
        </w:rPr>
        <w:t> </w:t>
      </w:r>
      <w:r>
        <w:rPr>
          <w:sz w:val="28"/>
        </w:rPr>
        <w:t>that</w:t>
      </w:r>
      <w:r>
        <w:rPr>
          <w:spacing w:val="-1"/>
          <w:sz w:val="28"/>
        </w:rPr>
        <w:t> </w:t>
      </w:r>
      <w:r>
        <w:rPr>
          <w:sz w:val="28"/>
        </w:rPr>
        <w:t>provisions</w:t>
      </w:r>
      <w:r>
        <w:rPr>
          <w:spacing w:val="-2"/>
          <w:sz w:val="28"/>
        </w:rPr>
        <w:t> </w:t>
      </w:r>
      <w:r>
        <w:rPr>
          <w:sz w:val="28"/>
        </w:rPr>
        <w:t>of</w:t>
      </w:r>
      <w:r>
        <w:rPr>
          <w:spacing w:val="-2"/>
          <w:sz w:val="28"/>
        </w:rPr>
        <w:t> </w:t>
      </w:r>
      <w:r>
        <w:rPr>
          <w:sz w:val="28"/>
        </w:rPr>
        <w:t>the</w:t>
      </w:r>
      <w:r>
        <w:rPr>
          <w:spacing w:val="-1"/>
          <w:sz w:val="28"/>
        </w:rPr>
        <w:t> </w:t>
      </w:r>
      <w:r>
        <w:rPr>
          <w:sz w:val="28"/>
        </w:rPr>
        <w:t>Act</w:t>
      </w:r>
      <w:r>
        <w:rPr>
          <w:spacing w:val="-1"/>
          <w:sz w:val="28"/>
        </w:rPr>
        <w:t> </w:t>
      </w:r>
      <w:r>
        <w:rPr>
          <w:sz w:val="28"/>
        </w:rPr>
        <w:t>may</w:t>
      </w:r>
      <w:r>
        <w:rPr>
          <w:spacing w:val="-1"/>
          <w:sz w:val="28"/>
        </w:rPr>
        <w:t> </w:t>
      </w:r>
      <w:r>
        <w:rPr>
          <w:sz w:val="28"/>
        </w:rPr>
        <w:t>amount</w:t>
      </w:r>
      <w:r>
        <w:rPr>
          <w:spacing w:val="-1"/>
          <w:sz w:val="28"/>
        </w:rPr>
        <w:t> </w:t>
      </w:r>
      <w:r>
        <w:rPr>
          <w:sz w:val="28"/>
        </w:rPr>
        <w:t>to a</w:t>
      </w:r>
      <w:r>
        <w:rPr>
          <w:spacing w:val="-5"/>
          <w:sz w:val="28"/>
        </w:rPr>
        <w:t> </w:t>
      </w:r>
      <w:r>
        <w:rPr>
          <w:sz w:val="28"/>
        </w:rPr>
        <w:t>breach</w:t>
      </w:r>
      <w:r>
        <w:rPr>
          <w:spacing w:val="-5"/>
          <w:sz w:val="28"/>
        </w:rPr>
        <w:t> </w:t>
      </w:r>
      <w:r>
        <w:rPr>
          <w:sz w:val="28"/>
        </w:rPr>
        <w:t>of</w:t>
      </w:r>
      <w:r>
        <w:rPr>
          <w:spacing w:val="-5"/>
          <w:sz w:val="28"/>
        </w:rPr>
        <w:t> </w:t>
      </w:r>
      <w:r>
        <w:rPr>
          <w:sz w:val="28"/>
        </w:rPr>
        <w:t>Windsor</w:t>
      </w:r>
      <w:r>
        <w:rPr>
          <w:spacing w:val="-4"/>
          <w:sz w:val="28"/>
        </w:rPr>
        <w:t> </w:t>
      </w:r>
      <w:r>
        <w:rPr>
          <w:sz w:val="28"/>
        </w:rPr>
        <w:t>Framework</w:t>
      </w:r>
      <w:r>
        <w:rPr>
          <w:spacing w:val="-4"/>
          <w:sz w:val="28"/>
        </w:rPr>
        <w:t> </w:t>
      </w:r>
      <w:r>
        <w:rPr>
          <w:sz w:val="28"/>
        </w:rPr>
        <w:t>Article</w:t>
      </w:r>
      <w:r>
        <w:rPr>
          <w:spacing w:val="-4"/>
          <w:sz w:val="28"/>
        </w:rPr>
        <w:t> </w:t>
      </w:r>
      <w:r>
        <w:rPr>
          <w:sz w:val="28"/>
        </w:rPr>
        <w:t>2</w:t>
      </w:r>
      <w:r>
        <w:rPr>
          <w:spacing w:val="-4"/>
          <w:sz w:val="28"/>
        </w:rPr>
        <w:t> </w:t>
      </w:r>
      <w:r>
        <w:rPr>
          <w:sz w:val="28"/>
        </w:rPr>
        <w:t>and</w:t>
      </w:r>
      <w:r>
        <w:rPr>
          <w:spacing w:val="-5"/>
          <w:sz w:val="28"/>
        </w:rPr>
        <w:t> </w:t>
      </w:r>
      <w:r>
        <w:rPr>
          <w:sz w:val="28"/>
        </w:rPr>
        <w:t>set</w:t>
      </w:r>
      <w:r>
        <w:rPr>
          <w:spacing w:val="-4"/>
          <w:sz w:val="28"/>
        </w:rPr>
        <w:t> </w:t>
      </w:r>
      <w:r>
        <w:rPr>
          <w:sz w:val="28"/>
        </w:rPr>
        <w:t>out</w:t>
      </w:r>
      <w:r>
        <w:rPr>
          <w:spacing w:val="-4"/>
          <w:sz w:val="28"/>
        </w:rPr>
        <w:t> </w:t>
      </w:r>
      <w:r>
        <w:rPr>
          <w:sz w:val="28"/>
        </w:rPr>
        <w:t>their</w:t>
      </w:r>
      <w:r>
        <w:rPr>
          <w:spacing w:val="-4"/>
          <w:sz w:val="28"/>
        </w:rPr>
        <w:t> </w:t>
      </w:r>
      <w:r>
        <w:rPr>
          <w:sz w:val="28"/>
        </w:rPr>
        <w:t>views</w:t>
      </w:r>
      <w:r>
        <w:rPr>
          <w:spacing w:val="-5"/>
          <w:sz w:val="28"/>
        </w:rPr>
        <w:t> </w:t>
      </w:r>
      <w:r>
        <w:rPr>
          <w:sz w:val="28"/>
        </w:rPr>
        <w:t>to</w:t>
      </w:r>
      <w:r>
        <w:rPr>
          <w:spacing w:val="-5"/>
          <w:sz w:val="28"/>
        </w:rPr>
        <w:t> </w:t>
      </w:r>
      <w:r>
        <w:rPr>
          <w:sz w:val="28"/>
        </w:rPr>
        <w:t>the</w:t>
      </w:r>
      <w:r>
        <w:rPr>
          <w:spacing w:val="-4"/>
          <w:sz w:val="28"/>
        </w:rPr>
        <w:t> </w:t>
      </w:r>
      <w:r>
        <w:rPr>
          <w:sz w:val="28"/>
        </w:rPr>
        <w:t>UK Government</w:t>
      </w:r>
      <w:r>
        <w:rPr>
          <w:spacing w:val="-5"/>
          <w:sz w:val="28"/>
        </w:rPr>
        <w:t> </w:t>
      </w:r>
      <w:r>
        <w:rPr>
          <w:sz w:val="28"/>
        </w:rPr>
        <w:t>during</w:t>
      </w:r>
      <w:r>
        <w:rPr>
          <w:spacing w:val="-5"/>
          <w:sz w:val="28"/>
        </w:rPr>
        <w:t> </w:t>
      </w:r>
      <w:r>
        <w:rPr>
          <w:sz w:val="28"/>
        </w:rPr>
        <w:t>the</w:t>
      </w:r>
      <w:r>
        <w:rPr>
          <w:spacing w:val="-5"/>
          <w:sz w:val="28"/>
        </w:rPr>
        <w:t> </w:t>
      </w:r>
      <w:r>
        <w:rPr>
          <w:sz w:val="28"/>
        </w:rPr>
        <w:t>parliamentary</w:t>
      </w:r>
      <w:r>
        <w:rPr>
          <w:spacing w:val="-5"/>
          <w:sz w:val="28"/>
        </w:rPr>
        <w:t> </w:t>
      </w:r>
      <w:r>
        <w:rPr>
          <w:sz w:val="28"/>
        </w:rPr>
        <w:t>passage</w:t>
      </w:r>
      <w:r>
        <w:rPr>
          <w:spacing w:val="-5"/>
          <w:sz w:val="28"/>
        </w:rPr>
        <w:t> </w:t>
      </w:r>
      <w:r>
        <w:rPr>
          <w:sz w:val="28"/>
        </w:rPr>
        <w:t>of</w:t>
      </w:r>
      <w:r>
        <w:rPr>
          <w:spacing w:val="-6"/>
          <w:sz w:val="28"/>
        </w:rPr>
        <w:t> </w:t>
      </w:r>
      <w:r>
        <w:rPr>
          <w:sz w:val="28"/>
        </w:rPr>
        <w:t>the</w:t>
      </w:r>
      <w:r>
        <w:rPr>
          <w:spacing w:val="-5"/>
          <w:sz w:val="28"/>
        </w:rPr>
        <w:t> </w:t>
      </w:r>
      <w:r>
        <w:rPr>
          <w:sz w:val="28"/>
        </w:rPr>
        <w:t>Act.</w:t>
      </w:r>
      <w:r>
        <w:rPr>
          <w:sz w:val="28"/>
          <w:vertAlign w:val="superscript"/>
        </w:rPr>
        <w:t>640</w:t>
      </w:r>
      <w:r>
        <w:rPr>
          <w:spacing w:val="40"/>
          <w:sz w:val="28"/>
          <w:vertAlign w:val="baseline"/>
        </w:rPr>
        <w:t> </w:t>
      </w:r>
      <w:r>
        <w:rPr>
          <w:sz w:val="28"/>
          <w:vertAlign w:val="baseline"/>
        </w:rPr>
        <w:t>While</w:t>
      </w:r>
      <w:r>
        <w:rPr>
          <w:spacing w:val="-5"/>
          <w:sz w:val="28"/>
          <w:vertAlign w:val="baseline"/>
        </w:rPr>
        <w:t> </w:t>
      </w:r>
      <w:r>
        <w:rPr>
          <w:sz w:val="28"/>
          <w:vertAlign w:val="baseline"/>
        </w:rPr>
        <w:t>the</w:t>
      </w:r>
      <w:r>
        <w:rPr>
          <w:spacing w:val="-5"/>
          <w:sz w:val="28"/>
          <w:vertAlign w:val="baseline"/>
        </w:rPr>
        <w:t> </w:t>
      </w:r>
      <w:r>
        <w:rPr>
          <w:sz w:val="28"/>
          <w:vertAlign w:val="baseline"/>
        </w:rPr>
        <w:t>UK</w:t>
      </w:r>
    </w:p>
    <w:p>
      <w:pPr>
        <w:pStyle w:val="BodyText"/>
        <w:spacing w:line="225" w:lineRule="auto"/>
        <w:ind w:left="1853" w:right="1171"/>
      </w:pPr>
      <w:r>
        <w:rPr/>
        <w:t>Government</w:t>
      </w:r>
      <w:r>
        <w:rPr>
          <w:spacing w:val="-1"/>
        </w:rPr>
        <w:t> </w:t>
      </w:r>
      <w:r>
        <w:rPr/>
        <w:t>accepted</w:t>
      </w:r>
      <w:r>
        <w:rPr>
          <w:spacing w:val="-2"/>
        </w:rPr>
        <w:t> </w:t>
      </w:r>
      <w:r>
        <w:rPr/>
        <w:t>that</w:t>
      </w:r>
      <w:r>
        <w:rPr>
          <w:spacing w:val="-1"/>
        </w:rPr>
        <w:t> </w:t>
      </w:r>
      <w:r>
        <w:rPr/>
        <w:t>certain</w:t>
      </w:r>
      <w:r>
        <w:rPr>
          <w:spacing w:val="-2"/>
        </w:rPr>
        <w:t> </w:t>
      </w:r>
      <w:r>
        <w:rPr/>
        <w:t>EU</w:t>
      </w:r>
      <w:r>
        <w:rPr>
          <w:spacing w:val="-1"/>
        </w:rPr>
        <w:t> </w:t>
      </w:r>
      <w:r>
        <w:rPr/>
        <w:t>Citizens</w:t>
      </w:r>
      <w:r>
        <w:rPr>
          <w:spacing w:val="-2"/>
        </w:rPr>
        <w:t> </w:t>
      </w:r>
      <w:r>
        <w:rPr/>
        <w:t>who</w:t>
      </w:r>
      <w:r>
        <w:rPr>
          <w:spacing w:val="-2"/>
        </w:rPr>
        <w:t> </w:t>
      </w:r>
      <w:r>
        <w:rPr/>
        <w:t>arrived</w:t>
      </w:r>
      <w:r>
        <w:rPr>
          <w:spacing w:val="-2"/>
        </w:rPr>
        <w:t> </w:t>
      </w:r>
      <w:r>
        <w:rPr/>
        <w:t>before</w:t>
      </w:r>
      <w:r>
        <w:rPr>
          <w:spacing w:val="-1"/>
        </w:rPr>
        <w:t> </w:t>
      </w:r>
      <w:r>
        <w:rPr/>
        <w:t>the</w:t>
      </w:r>
      <w:r>
        <w:rPr>
          <w:spacing w:val="-1"/>
        </w:rPr>
        <w:t> </w:t>
      </w:r>
      <w:r>
        <w:rPr/>
        <w:t>end</w:t>
      </w:r>
      <w:r>
        <w:rPr>
          <w:spacing w:val="-2"/>
        </w:rPr>
        <w:t> </w:t>
      </w:r>
      <w:r>
        <w:rPr/>
        <w:t>of December</w:t>
      </w:r>
      <w:r>
        <w:rPr>
          <w:spacing w:val="-5"/>
        </w:rPr>
        <w:t> </w:t>
      </w:r>
      <w:r>
        <w:rPr/>
        <w:t>2020</w:t>
      </w:r>
      <w:r>
        <w:rPr>
          <w:spacing w:val="-5"/>
        </w:rPr>
        <w:t> </w:t>
      </w:r>
      <w:r>
        <w:rPr/>
        <w:t>will</w:t>
      </w:r>
      <w:r>
        <w:rPr>
          <w:spacing w:val="-6"/>
        </w:rPr>
        <w:t> </w:t>
      </w:r>
      <w:r>
        <w:rPr/>
        <w:t>maintain</w:t>
      </w:r>
      <w:r>
        <w:rPr>
          <w:spacing w:val="-6"/>
        </w:rPr>
        <w:t> </w:t>
      </w:r>
      <w:r>
        <w:rPr/>
        <w:t>voting</w:t>
      </w:r>
      <w:r>
        <w:rPr>
          <w:spacing w:val="-5"/>
        </w:rPr>
        <w:t> </w:t>
      </w:r>
      <w:r>
        <w:rPr/>
        <w:t>and</w:t>
      </w:r>
      <w:r>
        <w:rPr>
          <w:spacing w:val="-6"/>
        </w:rPr>
        <w:t> </w:t>
      </w:r>
      <w:r>
        <w:rPr/>
        <w:t>candidacy</w:t>
      </w:r>
      <w:r>
        <w:rPr>
          <w:spacing w:val="-5"/>
        </w:rPr>
        <w:t> </w:t>
      </w:r>
      <w:r>
        <w:rPr/>
        <w:t>rights,</w:t>
      </w:r>
      <w:r>
        <w:rPr>
          <w:spacing w:val="-5"/>
        </w:rPr>
        <w:t> </w:t>
      </w:r>
      <w:r>
        <w:rPr/>
        <w:t>they</w:t>
      </w:r>
      <w:r>
        <w:rPr>
          <w:spacing w:val="-5"/>
        </w:rPr>
        <w:t> </w:t>
      </w:r>
      <w:r>
        <w:rPr/>
        <w:t>do</w:t>
      </w:r>
      <w:r>
        <w:rPr>
          <w:spacing w:val="-6"/>
        </w:rPr>
        <w:t> </w:t>
      </w:r>
      <w:r>
        <w:rPr/>
        <w:t>not</w:t>
      </w:r>
      <w:r>
        <w:rPr>
          <w:spacing w:val="-5"/>
        </w:rPr>
        <w:t> </w:t>
      </w:r>
      <w:r>
        <w:rPr/>
        <w:t>accept that</w:t>
      </w:r>
      <w:r>
        <w:rPr>
          <w:spacing w:val="-5"/>
        </w:rPr>
        <w:t> </w:t>
      </w:r>
      <w:r>
        <w:rPr/>
        <w:t>those</w:t>
      </w:r>
      <w:r>
        <w:rPr>
          <w:spacing w:val="-5"/>
        </w:rPr>
        <w:t> </w:t>
      </w:r>
      <w:r>
        <w:rPr/>
        <w:t>arriving</w:t>
      </w:r>
      <w:r>
        <w:rPr>
          <w:spacing w:val="-5"/>
        </w:rPr>
        <w:t> </w:t>
      </w:r>
      <w:r>
        <w:rPr/>
        <w:t>after</w:t>
      </w:r>
      <w:r>
        <w:rPr>
          <w:spacing w:val="-5"/>
        </w:rPr>
        <w:t> </w:t>
      </w:r>
      <w:r>
        <w:rPr/>
        <w:t>the</w:t>
      </w:r>
      <w:r>
        <w:rPr>
          <w:spacing w:val="-5"/>
        </w:rPr>
        <w:t> </w:t>
      </w:r>
      <w:r>
        <w:rPr/>
        <w:t>end</w:t>
      </w:r>
      <w:r>
        <w:rPr>
          <w:spacing w:val="-5"/>
        </w:rPr>
        <w:t> </w:t>
      </w:r>
      <w:r>
        <w:rPr/>
        <w:t>of</w:t>
      </w:r>
      <w:r>
        <w:rPr>
          <w:spacing w:val="-5"/>
        </w:rPr>
        <w:t> </w:t>
      </w:r>
      <w:r>
        <w:rPr/>
        <w:t>the</w:t>
      </w:r>
      <w:r>
        <w:rPr>
          <w:spacing w:val="-5"/>
        </w:rPr>
        <w:t> </w:t>
      </w:r>
      <w:r>
        <w:rPr/>
        <w:t>Brexit</w:t>
      </w:r>
      <w:r>
        <w:rPr>
          <w:spacing w:val="-5"/>
        </w:rPr>
        <w:t> </w:t>
      </w:r>
      <w:r>
        <w:rPr/>
        <w:t>transition</w:t>
      </w:r>
      <w:r>
        <w:rPr>
          <w:spacing w:val="-5"/>
        </w:rPr>
        <w:t> </w:t>
      </w:r>
      <w:r>
        <w:rPr/>
        <w:t>period</w:t>
      </w:r>
      <w:r>
        <w:rPr>
          <w:spacing w:val="-5"/>
        </w:rPr>
        <w:t> </w:t>
      </w:r>
      <w:r>
        <w:rPr/>
        <w:t>are</w:t>
      </w:r>
      <w:r>
        <w:rPr>
          <w:spacing w:val="-5"/>
        </w:rPr>
        <w:t> </w:t>
      </w:r>
      <w:r>
        <w:rPr/>
        <w:t>entitled</w:t>
      </w:r>
      <w:r>
        <w:rPr>
          <w:spacing w:val="-5"/>
        </w:rPr>
        <w:t> </w:t>
      </w:r>
      <w:r>
        <w:rPr/>
        <w:t>to these rights unless there is a reciprocal arrangement in place since, in their view, these rights are not protected by Windsor Framework Article 2.</w:t>
      </w:r>
      <w:r>
        <w:rPr>
          <w:vertAlign w:val="superscript"/>
        </w:rPr>
        <w:t>641</w:t>
      </w:r>
    </w:p>
    <w:p>
      <w:pPr>
        <w:pStyle w:val="BodyText"/>
        <w:spacing w:before="8"/>
        <w:rPr>
          <w:sz w:val="9"/>
        </w:rPr>
      </w:pPr>
      <w:r>
        <w:rPr/>
        <mc:AlternateContent>
          <mc:Choice Requires="wps">
            <w:drawing>
              <wp:anchor distT="0" distB="0" distL="0" distR="0" allowOverlap="1" layoutInCell="1" locked="0" behindDoc="1" simplePos="0" relativeHeight="487695872">
                <wp:simplePos x="0" y="0"/>
                <wp:positionH relativeFrom="page">
                  <wp:posOffset>719996</wp:posOffset>
                </wp:positionH>
                <wp:positionV relativeFrom="paragraph">
                  <wp:posOffset>90637</wp:posOffset>
                </wp:positionV>
                <wp:extent cx="6120130" cy="1270"/>
                <wp:effectExtent l="0" t="0" r="0" b="0"/>
                <wp:wrapTopAndBottom/>
                <wp:docPr id="493" name="Graphic 493"/>
                <wp:cNvGraphicFramePr>
                  <a:graphicFrameLocks/>
                </wp:cNvGraphicFramePr>
                <a:graphic>
                  <a:graphicData uri="http://schemas.microsoft.com/office/word/2010/wordprocessingShape">
                    <wps:wsp>
                      <wps:cNvPr id="493" name="Graphic 493"/>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7.136772pt;width:481.9pt;height:.1pt;mso-position-horizontal-relative:page;mso-position-vertical-relative:paragraph;z-index:-15620608;mso-wrap-distance-left:0;mso-wrap-distance-right:0" id="docshape439" coordorigin="1134,143" coordsize="9638,0" path="m10772,143l1134,143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35" w:lineRule="auto" w:before="143" w:after="0"/>
        <w:ind w:left="1853" w:right="1168" w:hanging="720"/>
        <w:jc w:val="left"/>
        <w:rPr>
          <w:sz w:val="18"/>
        </w:rPr>
      </w:pPr>
      <w:r>
        <w:rPr>
          <w:sz w:val="18"/>
        </w:rPr>
        <w:t>Directive</w:t>
      </w:r>
      <w:r>
        <w:rPr>
          <w:spacing w:val="-6"/>
          <w:sz w:val="18"/>
        </w:rPr>
        <w:t> </w:t>
      </w:r>
      <w:r>
        <w:rPr>
          <w:sz w:val="18"/>
        </w:rPr>
        <w:t>2010/18/EU,</w:t>
      </w:r>
      <w:r>
        <w:rPr>
          <w:spacing w:val="-6"/>
          <w:sz w:val="18"/>
        </w:rPr>
        <w:t> </w:t>
      </w:r>
      <w:r>
        <w:rPr>
          <w:sz w:val="18"/>
        </w:rPr>
        <w:t>‘Council</w:t>
      </w:r>
      <w:r>
        <w:rPr>
          <w:spacing w:val="-6"/>
          <w:sz w:val="18"/>
        </w:rPr>
        <w:t> </w:t>
      </w:r>
      <w:r>
        <w:rPr>
          <w:sz w:val="18"/>
        </w:rPr>
        <w:t>Directive</w:t>
      </w:r>
      <w:r>
        <w:rPr>
          <w:spacing w:val="-6"/>
          <w:sz w:val="18"/>
        </w:rPr>
        <w:t> </w:t>
      </w:r>
      <w:r>
        <w:rPr>
          <w:sz w:val="18"/>
        </w:rPr>
        <w:t>implementing</w:t>
      </w:r>
      <w:r>
        <w:rPr>
          <w:spacing w:val="-6"/>
          <w:sz w:val="18"/>
        </w:rPr>
        <w:t> </w:t>
      </w:r>
      <w:r>
        <w:rPr>
          <w:sz w:val="18"/>
        </w:rPr>
        <w:t>the</w:t>
      </w:r>
      <w:r>
        <w:rPr>
          <w:spacing w:val="-6"/>
          <w:sz w:val="18"/>
        </w:rPr>
        <w:t> </w:t>
      </w:r>
      <w:r>
        <w:rPr>
          <w:sz w:val="18"/>
        </w:rPr>
        <w:t>revised</w:t>
      </w:r>
      <w:r>
        <w:rPr>
          <w:spacing w:val="-6"/>
          <w:sz w:val="18"/>
        </w:rPr>
        <w:t> </w:t>
      </w:r>
      <w:r>
        <w:rPr>
          <w:sz w:val="18"/>
        </w:rPr>
        <w:t>Framework</w:t>
      </w:r>
      <w:r>
        <w:rPr>
          <w:spacing w:val="-6"/>
          <w:sz w:val="18"/>
        </w:rPr>
        <w:t> </w:t>
      </w:r>
      <w:r>
        <w:rPr>
          <w:sz w:val="18"/>
        </w:rPr>
        <w:t>Agreement</w:t>
      </w:r>
      <w:r>
        <w:rPr>
          <w:spacing w:val="-5"/>
          <w:sz w:val="18"/>
        </w:rPr>
        <w:t> </w:t>
      </w:r>
      <w:r>
        <w:rPr>
          <w:sz w:val="18"/>
        </w:rPr>
        <w:t>on</w:t>
      </w:r>
      <w:r>
        <w:rPr>
          <w:spacing w:val="-6"/>
          <w:sz w:val="18"/>
        </w:rPr>
        <w:t> </w:t>
      </w:r>
      <w:r>
        <w:rPr>
          <w:sz w:val="18"/>
        </w:rPr>
        <w:t>parental</w:t>
      </w:r>
      <w:r>
        <w:rPr>
          <w:spacing w:val="-6"/>
          <w:sz w:val="18"/>
        </w:rPr>
        <w:t> </w:t>
      </w:r>
      <w:r>
        <w:rPr>
          <w:sz w:val="18"/>
        </w:rPr>
        <w:t>leave</w:t>
      </w:r>
      <w:r>
        <w:rPr>
          <w:spacing w:val="-6"/>
          <w:sz w:val="18"/>
        </w:rPr>
        <w:t> </w:t>
      </w:r>
      <w:r>
        <w:rPr>
          <w:sz w:val="18"/>
        </w:rPr>
        <w:t>concluded</w:t>
      </w:r>
      <w:r>
        <w:rPr>
          <w:spacing w:val="-6"/>
          <w:sz w:val="18"/>
        </w:rPr>
        <w:t> </w:t>
      </w:r>
      <w:r>
        <w:rPr>
          <w:sz w:val="18"/>
        </w:rPr>
        <w:t>by BUSINESSEUROPE, UEAPME, CEEP and ETUC and repealing Directive 96/34/EC’, 8 March 2010.</w:t>
      </w:r>
    </w:p>
    <w:p>
      <w:pPr>
        <w:pStyle w:val="ListParagraph"/>
        <w:numPr>
          <w:ilvl w:val="0"/>
          <w:numId w:val="11"/>
        </w:numPr>
        <w:tabs>
          <w:tab w:pos="1853" w:val="left" w:leader="none"/>
        </w:tabs>
        <w:spacing w:line="235" w:lineRule="auto" w:before="2" w:after="0"/>
        <w:ind w:left="1853" w:right="1233" w:hanging="720"/>
        <w:jc w:val="left"/>
        <w:rPr>
          <w:sz w:val="18"/>
        </w:rPr>
      </w:pPr>
      <w:r>
        <w:rPr>
          <w:sz w:val="18"/>
        </w:rPr>
        <w:t>Equality Commission for NI, NI Human Rights Commission and Irish Human Rights and Equality Commission, ‘Policy Recommendations:</w:t>
      </w:r>
      <w:r>
        <w:rPr>
          <w:spacing w:val="-4"/>
          <w:sz w:val="18"/>
        </w:rPr>
        <w:t> </w:t>
      </w:r>
      <w:r>
        <w:rPr>
          <w:sz w:val="18"/>
        </w:rPr>
        <w:t>European</w:t>
      </w:r>
      <w:r>
        <w:rPr>
          <w:spacing w:val="-5"/>
          <w:sz w:val="18"/>
        </w:rPr>
        <w:t> </w:t>
      </w:r>
      <w:r>
        <w:rPr>
          <w:sz w:val="18"/>
        </w:rPr>
        <w:t>Union</w:t>
      </w:r>
      <w:r>
        <w:rPr>
          <w:spacing w:val="-5"/>
          <w:sz w:val="18"/>
        </w:rPr>
        <w:t> </w:t>
      </w:r>
      <w:r>
        <w:rPr>
          <w:sz w:val="18"/>
        </w:rPr>
        <w:t>developments</w:t>
      </w:r>
      <w:r>
        <w:rPr>
          <w:spacing w:val="-5"/>
          <w:sz w:val="18"/>
        </w:rPr>
        <w:t> </w:t>
      </w:r>
      <w:r>
        <w:rPr>
          <w:sz w:val="18"/>
        </w:rPr>
        <w:t>in</w:t>
      </w:r>
      <w:r>
        <w:rPr>
          <w:spacing w:val="-5"/>
          <w:sz w:val="18"/>
        </w:rPr>
        <w:t> </w:t>
      </w:r>
      <w:r>
        <w:rPr>
          <w:sz w:val="18"/>
        </w:rPr>
        <w:t>Equality</w:t>
      </w:r>
      <w:r>
        <w:rPr>
          <w:spacing w:val="-4"/>
          <w:sz w:val="18"/>
        </w:rPr>
        <w:t> </w:t>
      </w:r>
      <w:r>
        <w:rPr>
          <w:sz w:val="18"/>
        </w:rPr>
        <w:t>and</w:t>
      </w:r>
      <w:r>
        <w:rPr>
          <w:spacing w:val="-5"/>
          <w:sz w:val="18"/>
        </w:rPr>
        <w:t> </w:t>
      </w:r>
      <w:r>
        <w:rPr>
          <w:sz w:val="18"/>
        </w:rPr>
        <w:t>Human</w:t>
      </w:r>
      <w:r>
        <w:rPr>
          <w:spacing w:val="-5"/>
          <w:sz w:val="18"/>
        </w:rPr>
        <w:t> </w:t>
      </w:r>
      <w:r>
        <w:rPr>
          <w:sz w:val="18"/>
        </w:rPr>
        <w:t>Rights: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the</w:t>
      </w:r>
      <w:r>
        <w:rPr>
          <w:spacing w:val="-4"/>
          <w:sz w:val="18"/>
        </w:rPr>
        <w:t> </w:t>
      </w:r>
      <w:r>
        <w:rPr>
          <w:sz w:val="18"/>
        </w:rPr>
        <w:t>divergence of rights and best practice on the island of Ireland’ (ECNI, NIHRC and IHREC, 2023), at 40-42.</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Elections</w:t>
      </w:r>
      <w:r>
        <w:rPr>
          <w:spacing w:val="-4"/>
          <w:sz w:val="18"/>
        </w:rPr>
        <w:t> </w:t>
      </w:r>
      <w:r>
        <w:rPr>
          <w:sz w:val="18"/>
        </w:rPr>
        <w:t>Bill</w:t>
      </w:r>
      <w:r>
        <w:rPr>
          <w:spacing w:val="-4"/>
          <w:sz w:val="18"/>
        </w:rPr>
        <w:t> </w:t>
      </w:r>
      <w:r>
        <w:rPr>
          <w:sz w:val="18"/>
        </w:rPr>
        <w:t>2021-</w:t>
      </w:r>
      <w:r>
        <w:rPr>
          <w:spacing w:val="-4"/>
          <w:sz w:val="18"/>
        </w:rPr>
        <w:t> </w:t>
      </w:r>
      <w:r>
        <w:rPr>
          <w:sz w:val="18"/>
        </w:rPr>
        <w:t>2022</w:t>
      </w:r>
      <w:r>
        <w:rPr>
          <w:spacing w:val="-3"/>
          <w:sz w:val="18"/>
        </w:rPr>
        <w:t> </w:t>
      </w:r>
      <w:r>
        <w:rPr>
          <w:sz w:val="18"/>
        </w:rPr>
        <w:t>as</w:t>
      </w:r>
      <w:r>
        <w:rPr>
          <w:spacing w:val="-4"/>
          <w:sz w:val="18"/>
        </w:rPr>
        <w:t> </w:t>
      </w:r>
      <w:r>
        <w:rPr>
          <w:sz w:val="18"/>
        </w:rPr>
        <w:t>introduced</w:t>
      </w:r>
      <w:r>
        <w:rPr>
          <w:spacing w:val="-4"/>
          <w:sz w:val="18"/>
        </w:rPr>
        <w:t> </w:t>
      </w:r>
      <w:r>
        <w:rPr>
          <w:sz w:val="18"/>
        </w:rPr>
        <w:t>in</w:t>
      </w:r>
      <w:r>
        <w:rPr>
          <w:spacing w:val="-4"/>
          <w:sz w:val="18"/>
        </w:rPr>
        <w:t> </w:t>
      </w:r>
      <w:r>
        <w:rPr>
          <w:sz w:val="18"/>
        </w:rPr>
        <w:t>the</w:t>
      </w:r>
      <w:r>
        <w:rPr>
          <w:spacing w:val="-3"/>
          <w:sz w:val="18"/>
        </w:rPr>
        <w:t> </w:t>
      </w:r>
      <w:r>
        <w:rPr>
          <w:sz w:val="18"/>
        </w:rPr>
        <w:t>House</w:t>
      </w:r>
      <w:r>
        <w:rPr>
          <w:spacing w:val="-3"/>
          <w:sz w:val="18"/>
        </w:rPr>
        <w:t> </w:t>
      </w:r>
      <w:r>
        <w:rPr>
          <w:sz w:val="18"/>
        </w:rPr>
        <w:t>of</w:t>
      </w:r>
      <w:r>
        <w:rPr>
          <w:spacing w:val="-4"/>
          <w:sz w:val="18"/>
        </w:rPr>
        <w:t> </w:t>
      </w:r>
      <w:r>
        <w:rPr>
          <w:sz w:val="18"/>
        </w:rPr>
        <w:t>Commons</w:t>
      </w:r>
      <w:r>
        <w:rPr>
          <w:spacing w:val="-3"/>
          <w:sz w:val="18"/>
        </w:rPr>
        <w:t> </w:t>
      </w:r>
      <w:r>
        <w:rPr>
          <w:sz w:val="18"/>
        </w:rPr>
        <w:t>on</w:t>
      </w:r>
      <w:r>
        <w:rPr>
          <w:spacing w:val="-4"/>
          <w:sz w:val="18"/>
        </w:rPr>
        <w:t> </w:t>
      </w:r>
      <w:r>
        <w:rPr>
          <w:sz w:val="18"/>
        </w:rPr>
        <w:t>5</w:t>
      </w:r>
      <w:r>
        <w:rPr>
          <w:spacing w:val="-3"/>
          <w:sz w:val="18"/>
        </w:rPr>
        <w:t> </w:t>
      </w:r>
      <w:r>
        <w:rPr>
          <w:sz w:val="18"/>
        </w:rPr>
        <w:t>July</w:t>
      </w:r>
      <w:r>
        <w:rPr>
          <w:spacing w:val="-3"/>
          <w:sz w:val="18"/>
        </w:rPr>
        <w:t> </w:t>
      </w:r>
      <w:r>
        <w:rPr>
          <w:sz w:val="18"/>
        </w:rPr>
        <w:t>2021</w:t>
      </w:r>
      <w:r>
        <w:rPr>
          <w:spacing w:val="-3"/>
          <w:sz w:val="18"/>
        </w:rPr>
        <w:t> </w:t>
      </w:r>
      <w:r>
        <w:rPr>
          <w:sz w:val="18"/>
        </w:rPr>
        <w:t>(Bill</w:t>
      </w:r>
      <w:r>
        <w:rPr>
          <w:spacing w:val="-4"/>
          <w:sz w:val="18"/>
        </w:rPr>
        <w:t> </w:t>
      </w:r>
      <w:r>
        <w:rPr>
          <w:spacing w:val="-2"/>
          <w:sz w:val="18"/>
        </w:rPr>
        <w:t>138).</w:t>
      </w:r>
    </w:p>
    <w:p>
      <w:pPr>
        <w:pStyle w:val="ListParagraph"/>
        <w:numPr>
          <w:ilvl w:val="0"/>
          <w:numId w:val="11"/>
        </w:numPr>
        <w:tabs>
          <w:tab w:pos="1853" w:val="left" w:leader="none"/>
        </w:tabs>
        <w:spacing w:line="235" w:lineRule="auto" w:before="1" w:after="0"/>
        <w:ind w:left="1853" w:right="1378" w:hanging="720"/>
        <w:jc w:val="left"/>
        <w:rPr>
          <w:sz w:val="18"/>
        </w:rPr>
      </w:pPr>
      <w:r>
        <w:rPr>
          <w:sz w:val="18"/>
        </w:rPr>
        <w:t>Equality</w:t>
      </w:r>
      <w:r>
        <w:rPr>
          <w:spacing w:val="-3"/>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and</w:t>
      </w:r>
      <w:r>
        <w:rPr>
          <w:spacing w:val="-4"/>
          <w:sz w:val="18"/>
        </w:rPr>
        <w:t> </w:t>
      </w: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3"/>
          <w:sz w:val="18"/>
        </w:rPr>
        <w:t> </w:t>
      </w:r>
      <w:r>
        <w:rPr>
          <w:sz w:val="18"/>
        </w:rPr>
        <w:t>‘Joint</w:t>
      </w:r>
      <w:r>
        <w:rPr>
          <w:spacing w:val="-3"/>
          <w:sz w:val="18"/>
        </w:rPr>
        <w:t> </w:t>
      </w:r>
      <w:r>
        <w:rPr>
          <w:sz w:val="18"/>
        </w:rPr>
        <w:t>ECNI</w:t>
      </w:r>
      <w:r>
        <w:rPr>
          <w:spacing w:val="-3"/>
          <w:sz w:val="18"/>
        </w:rPr>
        <w:t> </w:t>
      </w:r>
      <w:r>
        <w:rPr>
          <w:sz w:val="18"/>
        </w:rPr>
        <w:t>/</w:t>
      </w:r>
      <w:r>
        <w:rPr>
          <w:spacing w:val="-4"/>
          <w:sz w:val="18"/>
        </w:rPr>
        <w:t> </w:t>
      </w:r>
      <w:r>
        <w:rPr>
          <w:sz w:val="18"/>
        </w:rPr>
        <w:t>NIHRC</w:t>
      </w:r>
      <w:r>
        <w:rPr>
          <w:spacing w:val="-4"/>
          <w:sz w:val="18"/>
        </w:rPr>
        <w:t> </w:t>
      </w:r>
      <w:r>
        <w:rPr>
          <w:sz w:val="18"/>
        </w:rPr>
        <w:t>Briefing</w:t>
      </w:r>
      <w:r>
        <w:rPr>
          <w:spacing w:val="-3"/>
          <w:sz w:val="18"/>
        </w:rPr>
        <w:t> </w:t>
      </w:r>
      <w:r>
        <w:rPr>
          <w:sz w:val="18"/>
        </w:rPr>
        <w:t>on</w:t>
      </w:r>
      <w:r>
        <w:rPr>
          <w:spacing w:val="-4"/>
          <w:sz w:val="18"/>
        </w:rPr>
        <w:t> </w:t>
      </w:r>
      <w:r>
        <w:rPr>
          <w:sz w:val="18"/>
        </w:rPr>
        <w:t>the</w:t>
      </w:r>
      <w:r>
        <w:rPr>
          <w:spacing w:val="-3"/>
          <w:sz w:val="18"/>
        </w:rPr>
        <w:t> </w:t>
      </w:r>
      <w:r>
        <w:rPr>
          <w:sz w:val="18"/>
        </w:rPr>
        <w:t>provisions</w:t>
      </w:r>
      <w:r>
        <w:rPr>
          <w:spacing w:val="-4"/>
          <w:sz w:val="18"/>
        </w:rPr>
        <w:t> </w:t>
      </w:r>
      <w:r>
        <w:rPr>
          <w:sz w:val="18"/>
        </w:rPr>
        <w:t>on</w:t>
      </w:r>
      <w:r>
        <w:rPr>
          <w:spacing w:val="-4"/>
          <w:sz w:val="18"/>
        </w:rPr>
        <w:t> </w:t>
      </w:r>
      <w:r>
        <w:rPr>
          <w:sz w:val="18"/>
        </w:rPr>
        <w:t>Voting/ Candidacy Rights of EU citizens in Northern Ireland in the Elections Bill’ (ECNI and NIHRC, 2022).</w:t>
      </w:r>
    </w:p>
    <w:p>
      <w:pPr>
        <w:pStyle w:val="ListParagraph"/>
        <w:numPr>
          <w:ilvl w:val="0"/>
          <w:numId w:val="11"/>
        </w:numPr>
        <w:tabs>
          <w:tab w:pos="1853" w:val="left" w:leader="none"/>
        </w:tabs>
        <w:spacing w:line="235" w:lineRule="auto" w:before="2" w:after="0"/>
        <w:ind w:left="1853" w:right="1225" w:hanging="720"/>
        <w:jc w:val="left"/>
        <w:rPr>
          <w:sz w:val="18"/>
        </w:rPr>
      </w:pPr>
      <w:r>
        <w:rPr>
          <w:sz w:val="18"/>
        </w:rPr>
        <w:t>Letter</w:t>
      </w:r>
      <w:r>
        <w:rPr>
          <w:spacing w:val="-5"/>
          <w:sz w:val="18"/>
        </w:rPr>
        <w:t> </w:t>
      </w:r>
      <w:r>
        <w:rPr>
          <w:sz w:val="18"/>
        </w:rPr>
        <w:t>from</w:t>
      </w:r>
      <w:r>
        <w:rPr>
          <w:spacing w:val="-5"/>
          <w:sz w:val="18"/>
        </w:rPr>
        <w:t> </w:t>
      </w:r>
      <w:r>
        <w:rPr>
          <w:sz w:val="18"/>
        </w:rPr>
        <w:t>Minister</w:t>
      </w:r>
      <w:r>
        <w:rPr>
          <w:spacing w:val="-5"/>
          <w:sz w:val="18"/>
        </w:rPr>
        <w:t> </w:t>
      </w:r>
      <w:r>
        <w:rPr>
          <w:sz w:val="18"/>
        </w:rPr>
        <w:t>of</w:t>
      </w:r>
      <w:r>
        <w:rPr>
          <w:spacing w:val="-6"/>
          <w:sz w:val="18"/>
        </w:rPr>
        <w:t> </w:t>
      </w:r>
      <w:r>
        <w:rPr>
          <w:sz w:val="18"/>
        </w:rPr>
        <w:t>State</w:t>
      </w:r>
      <w:r>
        <w:rPr>
          <w:spacing w:val="-5"/>
          <w:sz w:val="18"/>
        </w:rPr>
        <w:t> </w:t>
      </w:r>
      <w:r>
        <w:rPr>
          <w:sz w:val="18"/>
        </w:rPr>
        <w:t>for</w:t>
      </w:r>
      <w:r>
        <w:rPr>
          <w:spacing w:val="-5"/>
          <w:sz w:val="18"/>
        </w:rPr>
        <w:t> </w:t>
      </w:r>
      <w:r>
        <w:rPr>
          <w:sz w:val="18"/>
        </w:rPr>
        <w:t>NI,</w:t>
      </w:r>
      <w:r>
        <w:rPr>
          <w:spacing w:val="-5"/>
          <w:sz w:val="18"/>
        </w:rPr>
        <w:t> </w:t>
      </w:r>
      <w:r>
        <w:rPr>
          <w:sz w:val="18"/>
        </w:rPr>
        <w:t>Steve</w:t>
      </w:r>
      <w:r>
        <w:rPr>
          <w:spacing w:val="-5"/>
          <w:sz w:val="18"/>
        </w:rPr>
        <w:t> </w:t>
      </w:r>
      <w:r>
        <w:rPr>
          <w:sz w:val="18"/>
        </w:rPr>
        <w:t>Baker</w:t>
      </w:r>
      <w:r>
        <w:rPr>
          <w:spacing w:val="-5"/>
          <w:sz w:val="18"/>
        </w:rPr>
        <w:t> </w:t>
      </w:r>
      <w:r>
        <w:rPr>
          <w:sz w:val="18"/>
        </w:rPr>
        <w:t>MP,</w:t>
      </w:r>
      <w:r>
        <w:rPr>
          <w:spacing w:val="-5"/>
          <w:sz w:val="18"/>
        </w:rPr>
        <w:t> </w:t>
      </w:r>
      <w:r>
        <w:rPr>
          <w:sz w:val="18"/>
        </w:rPr>
        <w:t>to</w:t>
      </w:r>
      <w:r>
        <w:rPr>
          <w:spacing w:val="-6"/>
          <w:sz w:val="18"/>
        </w:rPr>
        <w:t> </w:t>
      </w:r>
      <w:r>
        <w:rPr>
          <w:sz w:val="18"/>
        </w:rPr>
        <w:t>the</w:t>
      </w:r>
      <w:r>
        <w:rPr>
          <w:spacing w:val="-5"/>
          <w:sz w:val="18"/>
        </w:rPr>
        <w:t> </w:t>
      </w:r>
      <w:r>
        <w:rPr>
          <w:sz w:val="18"/>
        </w:rPr>
        <w:t>Equality</w:t>
      </w:r>
      <w:r>
        <w:rPr>
          <w:spacing w:val="-5"/>
          <w:sz w:val="18"/>
        </w:rPr>
        <w:t> </w:t>
      </w:r>
      <w:r>
        <w:rPr>
          <w:sz w:val="18"/>
        </w:rPr>
        <w:t>Commission</w:t>
      </w:r>
      <w:r>
        <w:rPr>
          <w:spacing w:val="-6"/>
          <w:sz w:val="18"/>
        </w:rPr>
        <w:t> </w:t>
      </w:r>
      <w:r>
        <w:rPr>
          <w:sz w:val="18"/>
        </w:rPr>
        <w:t>for</w:t>
      </w:r>
      <w:r>
        <w:rPr>
          <w:spacing w:val="-5"/>
          <w:sz w:val="18"/>
        </w:rPr>
        <w:t> </w:t>
      </w:r>
      <w:r>
        <w:rPr>
          <w:sz w:val="18"/>
        </w:rPr>
        <w:t>NI</w:t>
      </w:r>
      <w:r>
        <w:rPr>
          <w:spacing w:val="-5"/>
          <w:sz w:val="18"/>
        </w:rPr>
        <w:t> </w:t>
      </w:r>
      <w:r>
        <w:rPr>
          <w:sz w:val="18"/>
        </w:rPr>
        <w:t>and</w:t>
      </w:r>
      <w:r>
        <w:rPr>
          <w:spacing w:val="-6"/>
          <w:sz w:val="18"/>
        </w:rPr>
        <w:t> </w:t>
      </w:r>
      <w:r>
        <w:rPr>
          <w:sz w:val="18"/>
        </w:rPr>
        <w:t>NI</w:t>
      </w:r>
      <w:r>
        <w:rPr>
          <w:spacing w:val="-5"/>
          <w:sz w:val="18"/>
        </w:rPr>
        <w:t> </w:t>
      </w:r>
      <w:r>
        <w:rPr>
          <w:sz w:val="18"/>
        </w:rPr>
        <w:t>Human</w:t>
      </w:r>
      <w:r>
        <w:rPr>
          <w:spacing w:val="-6"/>
          <w:sz w:val="18"/>
        </w:rPr>
        <w:t> </w:t>
      </w:r>
      <w:r>
        <w:rPr>
          <w:sz w:val="18"/>
        </w:rPr>
        <w:t>Rights</w:t>
      </w:r>
      <w:r>
        <w:rPr>
          <w:spacing w:val="-6"/>
          <w:sz w:val="18"/>
        </w:rPr>
        <w:t> </w:t>
      </w:r>
      <w:r>
        <w:rPr>
          <w:sz w:val="18"/>
        </w:rPr>
        <w:t>Commission, 1 December 2022 on the Annual Report of the Dedicated Mechanism on the implementation of Protocol Article 2 2021- </w:t>
      </w:r>
      <w:r>
        <w:rPr>
          <w:spacing w:val="-2"/>
          <w:sz w:val="18"/>
        </w:rPr>
        <w:t>2022.</w:t>
      </w:r>
    </w:p>
    <w:p>
      <w:pPr>
        <w:spacing w:after="0" w:line="235" w:lineRule="auto"/>
        <w:jc w:val="left"/>
        <w:rPr>
          <w:sz w:val="18"/>
        </w:rPr>
        <w:sectPr>
          <w:pgSz w:w="11910" w:h="16840"/>
          <w:pgMar w:header="496" w:footer="367" w:top="1220" w:bottom="560" w:left="0" w:right="0"/>
        </w:sectPr>
      </w:pPr>
    </w:p>
    <w:p>
      <w:pPr>
        <w:pStyle w:val="BodyText"/>
        <w:spacing w:before="198"/>
      </w:pPr>
    </w:p>
    <w:p>
      <w:pPr>
        <w:pStyle w:val="ListParagraph"/>
        <w:numPr>
          <w:ilvl w:val="1"/>
          <w:numId w:val="7"/>
        </w:numPr>
        <w:tabs>
          <w:tab w:pos="1853" w:val="left" w:leader="none"/>
        </w:tabs>
        <w:spacing w:line="225" w:lineRule="auto" w:before="0" w:after="0"/>
        <w:ind w:left="1853" w:right="1232" w:hanging="720"/>
        <w:jc w:val="left"/>
        <w:rPr>
          <w:sz w:val="28"/>
        </w:rPr>
      </w:pPr>
      <w:bookmarkStart w:name="_bookmark40" w:id="88"/>
      <w:bookmarkEnd w:id="88"/>
      <w:r>
        <w:rPr/>
      </w:r>
      <w:r>
        <w:rPr>
          <w:sz w:val="28"/>
        </w:rPr>
        <w:t>The UK Government has set out its view that voting and candidacy rights were conferred by Article 22 of the Treaty on the Functioning of European Union, and that it was not intended that these rights would apply to EU citizens resident in NI, after the UK had left the EU.</w:t>
      </w:r>
      <w:r>
        <w:rPr>
          <w:sz w:val="28"/>
          <w:vertAlign w:val="superscript"/>
        </w:rPr>
        <w:t>642</w:t>
      </w:r>
      <w:r>
        <w:rPr>
          <w:sz w:val="28"/>
          <w:vertAlign w:val="baseline"/>
        </w:rPr>
        <w:t> The Commissions have previously</w:t>
      </w:r>
      <w:r>
        <w:rPr>
          <w:spacing w:val="-6"/>
          <w:sz w:val="28"/>
          <w:vertAlign w:val="baseline"/>
        </w:rPr>
        <w:t> </w:t>
      </w:r>
      <w:r>
        <w:rPr>
          <w:sz w:val="28"/>
          <w:vertAlign w:val="baseline"/>
        </w:rPr>
        <w:t>made</w:t>
      </w:r>
      <w:r>
        <w:rPr>
          <w:spacing w:val="-6"/>
          <w:sz w:val="28"/>
          <w:vertAlign w:val="baseline"/>
        </w:rPr>
        <w:t> </w:t>
      </w:r>
      <w:r>
        <w:rPr>
          <w:sz w:val="28"/>
          <w:vertAlign w:val="baseline"/>
        </w:rPr>
        <w:t>clear</w:t>
      </w:r>
      <w:r>
        <w:rPr>
          <w:spacing w:val="-6"/>
          <w:sz w:val="28"/>
          <w:vertAlign w:val="baseline"/>
        </w:rPr>
        <w:t> </w:t>
      </w:r>
      <w:r>
        <w:rPr>
          <w:sz w:val="28"/>
          <w:vertAlign w:val="baseline"/>
        </w:rPr>
        <w:t>that</w:t>
      </w:r>
      <w:r>
        <w:rPr>
          <w:spacing w:val="-6"/>
          <w:sz w:val="28"/>
          <w:vertAlign w:val="baseline"/>
        </w:rPr>
        <w:t> </w:t>
      </w:r>
      <w:r>
        <w:rPr>
          <w:sz w:val="28"/>
          <w:vertAlign w:val="baseline"/>
        </w:rPr>
        <w:t>these</w:t>
      </w:r>
      <w:r>
        <w:rPr>
          <w:spacing w:val="-6"/>
          <w:sz w:val="28"/>
          <w:vertAlign w:val="baseline"/>
        </w:rPr>
        <w:t> </w:t>
      </w:r>
      <w:r>
        <w:rPr>
          <w:sz w:val="28"/>
          <w:vertAlign w:val="baseline"/>
        </w:rPr>
        <w:t>arguments</w:t>
      </w:r>
      <w:r>
        <w:rPr>
          <w:spacing w:val="-7"/>
          <w:sz w:val="28"/>
          <w:vertAlign w:val="baseline"/>
        </w:rPr>
        <w:t> </w:t>
      </w:r>
      <w:r>
        <w:rPr>
          <w:sz w:val="28"/>
          <w:vertAlign w:val="baseline"/>
        </w:rPr>
        <w:t>are</w:t>
      </w:r>
      <w:r>
        <w:rPr>
          <w:spacing w:val="-6"/>
          <w:sz w:val="28"/>
          <w:vertAlign w:val="baseline"/>
        </w:rPr>
        <w:t> </w:t>
      </w:r>
      <w:r>
        <w:rPr>
          <w:sz w:val="28"/>
          <w:vertAlign w:val="baseline"/>
        </w:rPr>
        <w:t>irrelevant</w:t>
      </w:r>
      <w:r>
        <w:rPr>
          <w:spacing w:val="-6"/>
          <w:sz w:val="28"/>
          <w:vertAlign w:val="baseline"/>
        </w:rPr>
        <w:t> </w:t>
      </w:r>
      <w:r>
        <w:rPr>
          <w:sz w:val="28"/>
          <w:vertAlign w:val="baseline"/>
        </w:rPr>
        <w:t>for</w:t>
      </w:r>
      <w:r>
        <w:rPr>
          <w:spacing w:val="-6"/>
          <w:sz w:val="28"/>
          <w:vertAlign w:val="baseline"/>
        </w:rPr>
        <w:t> </w:t>
      </w:r>
      <w:r>
        <w:rPr>
          <w:sz w:val="28"/>
          <w:vertAlign w:val="baseline"/>
        </w:rPr>
        <w:t>the</w:t>
      </w:r>
      <w:r>
        <w:rPr>
          <w:spacing w:val="-6"/>
          <w:sz w:val="28"/>
          <w:vertAlign w:val="baseline"/>
        </w:rPr>
        <w:t> </w:t>
      </w:r>
      <w:r>
        <w:rPr>
          <w:sz w:val="28"/>
          <w:vertAlign w:val="baseline"/>
        </w:rPr>
        <w:t>purposes</w:t>
      </w:r>
      <w:r>
        <w:rPr>
          <w:spacing w:val="-7"/>
          <w:sz w:val="28"/>
          <w:vertAlign w:val="baseline"/>
        </w:rPr>
        <w:t> </w:t>
      </w:r>
      <w:r>
        <w:rPr>
          <w:sz w:val="28"/>
          <w:vertAlign w:val="baseline"/>
        </w:rPr>
        <w:t>of deciding whether Windsor Framework Article 2 is now engaged.</w:t>
      </w:r>
      <w:r>
        <w:rPr>
          <w:sz w:val="28"/>
          <w:vertAlign w:val="superscript"/>
        </w:rPr>
        <w:t>643</w:t>
      </w:r>
    </w:p>
    <w:p>
      <w:pPr>
        <w:pStyle w:val="ListParagraph"/>
        <w:numPr>
          <w:ilvl w:val="1"/>
          <w:numId w:val="7"/>
        </w:numPr>
        <w:tabs>
          <w:tab w:pos="1853" w:val="left" w:leader="none"/>
        </w:tabs>
        <w:spacing w:line="225" w:lineRule="auto" w:before="313" w:after="0"/>
        <w:ind w:left="1853" w:right="1981" w:hanging="720"/>
        <w:jc w:val="left"/>
        <w:rPr>
          <w:sz w:val="28"/>
        </w:rPr>
      </w:pPr>
      <w:r>
        <w:rPr>
          <w:sz w:val="28"/>
        </w:rPr>
        <w:t>The</w:t>
      </w:r>
      <w:r>
        <w:rPr>
          <w:spacing w:val="-6"/>
          <w:sz w:val="28"/>
        </w:rPr>
        <w:t> </w:t>
      </w:r>
      <w:r>
        <w:rPr>
          <w:sz w:val="28"/>
        </w:rPr>
        <w:t>Commissions</w:t>
      </w:r>
      <w:r>
        <w:rPr>
          <w:spacing w:val="-7"/>
          <w:sz w:val="28"/>
        </w:rPr>
        <w:t> </w:t>
      </w:r>
      <w:r>
        <w:rPr>
          <w:sz w:val="28"/>
        </w:rPr>
        <w:t>will</w:t>
      </w:r>
      <w:r>
        <w:rPr>
          <w:spacing w:val="-7"/>
          <w:sz w:val="28"/>
        </w:rPr>
        <w:t> </w:t>
      </w:r>
      <w:r>
        <w:rPr>
          <w:sz w:val="28"/>
        </w:rPr>
        <w:t>continue</w:t>
      </w:r>
      <w:r>
        <w:rPr>
          <w:spacing w:val="-6"/>
          <w:sz w:val="28"/>
        </w:rPr>
        <w:t> </w:t>
      </w:r>
      <w:r>
        <w:rPr>
          <w:sz w:val="28"/>
        </w:rPr>
        <w:t>to</w:t>
      </w:r>
      <w:r>
        <w:rPr>
          <w:spacing w:val="-7"/>
          <w:sz w:val="28"/>
        </w:rPr>
        <w:t> </w:t>
      </w:r>
      <w:r>
        <w:rPr>
          <w:sz w:val="28"/>
        </w:rPr>
        <w:t>engage</w:t>
      </w:r>
      <w:r>
        <w:rPr>
          <w:spacing w:val="-6"/>
          <w:sz w:val="28"/>
        </w:rPr>
        <w:t> </w:t>
      </w:r>
      <w:r>
        <w:rPr>
          <w:sz w:val="28"/>
        </w:rPr>
        <w:t>with</w:t>
      </w:r>
      <w:r>
        <w:rPr>
          <w:spacing w:val="-7"/>
          <w:sz w:val="28"/>
        </w:rPr>
        <w:t> </w:t>
      </w:r>
      <w:r>
        <w:rPr>
          <w:sz w:val="28"/>
        </w:rPr>
        <w:t>the</w:t>
      </w:r>
      <w:r>
        <w:rPr>
          <w:spacing w:val="-6"/>
          <w:sz w:val="28"/>
        </w:rPr>
        <w:t> </w:t>
      </w:r>
      <w:r>
        <w:rPr>
          <w:sz w:val="28"/>
        </w:rPr>
        <w:t>UK</w:t>
      </w:r>
      <w:r>
        <w:rPr>
          <w:spacing w:val="-6"/>
          <w:sz w:val="28"/>
        </w:rPr>
        <w:t> </w:t>
      </w:r>
      <w:r>
        <w:rPr>
          <w:sz w:val="28"/>
        </w:rPr>
        <w:t>Government</w:t>
      </w:r>
      <w:r>
        <w:rPr>
          <w:spacing w:val="-6"/>
          <w:sz w:val="28"/>
        </w:rPr>
        <w:t> </w:t>
      </w:r>
      <w:r>
        <w:rPr>
          <w:sz w:val="28"/>
        </w:rPr>
        <w:t>and monitor developments in this area.</w:t>
      </w:r>
    </w:p>
    <w:p>
      <w:pPr>
        <w:pStyle w:val="BodyText"/>
        <w:spacing w:before="2"/>
        <w:rPr>
          <w:sz w:val="14"/>
        </w:rPr>
      </w:pPr>
      <w:r>
        <w:rPr/>
        <mc:AlternateContent>
          <mc:Choice Requires="wps">
            <w:drawing>
              <wp:anchor distT="0" distB="0" distL="0" distR="0" allowOverlap="1" layoutInCell="1" locked="0" behindDoc="1" simplePos="0" relativeHeight="487696384">
                <wp:simplePos x="0" y="0"/>
                <wp:positionH relativeFrom="page">
                  <wp:posOffset>720001</wp:posOffset>
                </wp:positionH>
                <wp:positionV relativeFrom="paragraph">
                  <wp:posOffset>125635</wp:posOffset>
                </wp:positionV>
                <wp:extent cx="6120130" cy="360045"/>
                <wp:effectExtent l="0" t="0" r="0" b="0"/>
                <wp:wrapTopAndBottom/>
                <wp:docPr id="494" name="Textbox 494"/>
                <wp:cNvGraphicFramePr>
                  <a:graphicFrameLocks/>
                </wp:cNvGraphicFramePr>
                <a:graphic>
                  <a:graphicData uri="http://schemas.microsoft.com/office/word/2010/wordprocessingShape">
                    <wps:wsp>
                      <wps:cNvPr id="494" name="Textbox 494"/>
                      <wps:cNvSpPr txBox="1"/>
                      <wps:spPr>
                        <a:xfrm>
                          <a:off x="0" y="0"/>
                          <a:ext cx="6120130" cy="360045"/>
                        </a:xfrm>
                        <a:prstGeom prst="rect">
                          <a:avLst/>
                        </a:prstGeom>
                        <a:solidFill>
                          <a:srgbClr val="393B80"/>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9.892531pt;width:481.9pt;height:28.35pt;mso-position-horizontal-relative:page;mso-position-vertical-relative:paragraph;z-index:-15620096;mso-wrap-distance-left:0;mso-wrap-distance-right:0" type="#_x0000_t202" id="docshape440" filled="true" fillcolor="#393b80"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208" w:after="0"/>
        <w:ind w:left="1853" w:right="1146" w:hanging="720"/>
        <w:jc w:val="left"/>
        <w:rPr>
          <w:b/>
          <w:color w:val="67287F"/>
          <w:sz w:val="28"/>
        </w:rPr>
      </w:pPr>
      <w:r>
        <w:rPr>
          <w:b/>
          <w:color w:val="67287F"/>
          <w:sz w:val="28"/>
        </w:rPr>
        <w:t>The Commissions continue to recommend that the Cabinet Office ensures there</w:t>
      </w:r>
      <w:r>
        <w:rPr>
          <w:b/>
          <w:color w:val="67287F"/>
          <w:spacing w:val="-6"/>
          <w:sz w:val="28"/>
        </w:rPr>
        <w:t> </w:t>
      </w:r>
      <w:r>
        <w:rPr>
          <w:b/>
          <w:color w:val="67287F"/>
          <w:sz w:val="28"/>
        </w:rPr>
        <w:t>is</w:t>
      </w:r>
      <w:r>
        <w:rPr>
          <w:b/>
          <w:color w:val="67287F"/>
          <w:spacing w:val="-5"/>
          <w:sz w:val="28"/>
        </w:rPr>
        <w:t> </w:t>
      </w:r>
      <w:r>
        <w:rPr>
          <w:b/>
          <w:color w:val="67287F"/>
          <w:sz w:val="28"/>
        </w:rPr>
        <w:t>no</w:t>
      </w:r>
      <w:r>
        <w:rPr>
          <w:b/>
          <w:color w:val="67287F"/>
          <w:spacing w:val="-5"/>
          <w:sz w:val="28"/>
        </w:rPr>
        <w:t> </w:t>
      </w:r>
      <w:r>
        <w:rPr>
          <w:b/>
          <w:color w:val="67287F"/>
          <w:sz w:val="28"/>
        </w:rPr>
        <w:t>reduction</w:t>
      </w:r>
      <w:r>
        <w:rPr>
          <w:b/>
          <w:color w:val="67287F"/>
          <w:spacing w:val="-5"/>
          <w:sz w:val="28"/>
        </w:rPr>
        <w:t> </w:t>
      </w:r>
      <w:r>
        <w:rPr>
          <w:b/>
          <w:color w:val="67287F"/>
          <w:sz w:val="28"/>
        </w:rPr>
        <w:t>of</w:t>
      </w:r>
      <w:r>
        <w:rPr>
          <w:b/>
          <w:color w:val="67287F"/>
          <w:spacing w:val="-6"/>
          <w:sz w:val="28"/>
        </w:rPr>
        <w:t> </w:t>
      </w:r>
      <w:r>
        <w:rPr>
          <w:b/>
          <w:color w:val="67287F"/>
          <w:sz w:val="28"/>
        </w:rPr>
        <w:t>the</w:t>
      </w:r>
      <w:r>
        <w:rPr>
          <w:b/>
          <w:color w:val="67287F"/>
          <w:spacing w:val="-6"/>
          <w:sz w:val="28"/>
        </w:rPr>
        <w:t> </w:t>
      </w:r>
      <w:r>
        <w:rPr>
          <w:b/>
          <w:color w:val="67287F"/>
          <w:sz w:val="28"/>
        </w:rPr>
        <w:t>rights</w:t>
      </w:r>
      <w:r>
        <w:rPr>
          <w:b/>
          <w:color w:val="67287F"/>
          <w:spacing w:val="-5"/>
          <w:sz w:val="28"/>
        </w:rPr>
        <w:t> </w:t>
      </w:r>
      <w:r>
        <w:rPr>
          <w:b/>
          <w:color w:val="67287F"/>
          <w:sz w:val="28"/>
        </w:rPr>
        <w:t>of</w:t>
      </w:r>
      <w:r>
        <w:rPr>
          <w:b/>
          <w:color w:val="67287F"/>
          <w:spacing w:val="-6"/>
          <w:sz w:val="28"/>
        </w:rPr>
        <w:t> </w:t>
      </w:r>
      <w:r>
        <w:rPr>
          <w:b/>
          <w:color w:val="67287F"/>
          <w:sz w:val="28"/>
        </w:rPr>
        <w:t>certain</w:t>
      </w:r>
      <w:r>
        <w:rPr>
          <w:b/>
          <w:color w:val="67287F"/>
          <w:spacing w:val="-5"/>
          <w:sz w:val="28"/>
        </w:rPr>
        <w:t> </w:t>
      </w:r>
      <w:r>
        <w:rPr>
          <w:b/>
          <w:color w:val="67287F"/>
          <w:sz w:val="28"/>
        </w:rPr>
        <w:t>EU</w:t>
      </w:r>
      <w:r>
        <w:rPr>
          <w:b/>
          <w:color w:val="67287F"/>
          <w:spacing w:val="-5"/>
          <w:sz w:val="28"/>
        </w:rPr>
        <w:t> </w:t>
      </w:r>
      <w:r>
        <w:rPr>
          <w:b/>
          <w:color w:val="67287F"/>
          <w:sz w:val="28"/>
        </w:rPr>
        <w:t>citizens</w:t>
      </w:r>
      <w:r>
        <w:rPr>
          <w:b/>
          <w:color w:val="67287F"/>
          <w:spacing w:val="-5"/>
          <w:sz w:val="28"/>
        </w:rPr>
        <w:t> </w:t>
      </w:r>
      <w:r>
        <w:rPr>
          <w:b/>
          <w:color w:val="67287F"/>
          <w:sz w:val="28"/>
        </w:rPr>
        <w:t>who</w:t>
      </w:r>
      <w:r>
        <w:rPr>
          <w:b/>
          <w:color w:val="67287F"/>
          <w:spacing w:val="-5"/>
          <w:sz w:val="28"/>
        </w:rPr>
        <w:t> </w:t>
      </w:r>
      <w:r>
        <w:rPr>
          <w:b/>
          <w:color w:val="67287F"/>
          <w:sz w:val="28"/>
        </w:rPr>
        <w:t>arrive</w:t>
      </w:r>
      <w:r>
        <w:rPr>
          <w:b/>
          <w:color w:val="67287F"/>
          <w:spacing w:val="-6"/>
          <w:sz w:val="28"/>
        </w:rPr>
        <w:t> </w:t>
      </w:r>
      <w:r>
        <w:rPr>
          <w:b/>
          <w:color w:val="67287F"/>
          <w:sz w:val="28"/>
        </w:rPr>
        <w:t>in</w:t>
      </w:r>
      <w:r>
        <w:rPr>
          <w:b/>
          <w:color w:val="67287F"/>
          <w:spacing w:val="-5"/>
          <w:sz w:val="28"/>
        </w:rPr>
        <w:t> </w:t>
      </w:r>
      <w:r>
        <w:rPr>
          <w:b/>
          <w:color w:val="67287F"/>
          <w:sz w:val="28"/>
        </w:rPr>
        <w:t>NI</w:t>
      </w:r>
      <w:r>
        <w:rPr>
          <w:b/>
          <w:color w:val="67287F"/>
          <w:spacing w:val="-5"/>
          <w:sz w:val="28"/>
        </w:rPr>
        <w:t> </w:t>
      </w:r>
      <w:r>
        <w:rPr>
          <w:b/>
          <w:color w:val="67287F"/>
          <w:sz w:val="28"/>
        </w:rPr>
        <w:t>after the end of the Brexit transition in terms of their voting/candidacy rights in local elections in NI.</w:t>
      </w:r>
    </w:p>
    <w:p>
      <w:pPr>
        <w:pStyle w:val="ListParagraph"/>
        <w:numPr>
          <w:ilvl w:val="1"/>
          <w:numId w:val="7"/>
        </w:numPr>
        <w:tabs>
          <w:tab w:pos="1853" w:val="left" w:leader="none"/>
        </w:tabs>
        <w:spacing w:line="225" w:lineRule="auto" w:before="315" w:after="0"/>
        <w:ind w:left="1853" w:right="1343" w:hanging="720"/>
        <w:jc w:val="left"/>
        <w:rPr>
          <w:b/>
          <w:color w:val="67287F"/>
          <w:sz w:val="28"/>
        </w:rPr>
      </w:pPr>
      <w:r>
        <w:rPr>
          <w:b/>
          <w:color w:val="67287F"/>
          <w:sz w:val="28"/>
        </w:rPr>
        <w:t>The</w:t>
      </w:r>
      <w:r>
        <w:rPr>
          <w:b/>
          <w:color w:val="67287F"/>
          <w:spacing w:val="-7"/>
          <w:sz w:val="28"/>
        </w:rPr>
        <w:t> </w:t>
      </w:r>
      <w:r>
        <w:rPr>
          <w:b/>
          <w:color w:val="67287F"/>
          <w:sz w:val="28"/>
        </w:rPr>
        <w:t>Commissions</w:t>
      </w:r>
      <w:r>
        <w:rPr>
          <w:b/>
          <w:color w:val="67287F"/>
          <w:spacing w:val="-7"/>
          <w:sz w:val="28"/>
        </w:rPr>
        <w:t> </w:t>
      </w:r>
      <w:r>
        <w:rPr>
          <w:b/>
          <w:color w:val="67287F"/>
          <w:sz w:val="28"/>
        </w:rPr>
        <w:t>continue</w:t>
      </w:r>
      <w:r>
        <w:rPr>
          <w:b/>
          <w:color w:val="67287F"/>
          <w:spacing w:val="-7"/>
          <w:sz w:val="28"/>
        </w:rPr>
        <w:t> </w:t>
      </w:r>
      <w:r>
        <w:rPr>
          <w:b/>
          <w:color w:val="67287F"/>
          <w:sz w:val="28"/>
        </w:rPr>
        <w:t>to</w:t>
      </w:r>
      <w:r>
        <w:rPr>
          <w:b/>
          <w:color w:val="67287F"/>
          <w:spacing w:val="-7"/>
          <w:sz w:val="28"/>
        </w:rPr>
        <w:t> </w:t>
      </w:r>
      <w:r>
        <w:rPr>
          <w:b/>
          <w:color w:val="67287F"/>
          <w:sz w:val="28"/>
        </w:rPr>
        <w:t>recommend</w:t>
      </w:r>
      <w:r>
        <w:rPr>
          <w:b/>
          <w:color w:val="67287F"/>
          <w:spacing w:val="-7"/>
          <w:sz w:val="28"/>
        </w:rPr>
        <w:t> </w:t>
      </w:r>
      <w:r>
        <w:rPr>
          <w:b/>
          <w:color w:val="67287F"/>
          <w:sz w:val="28"/>
        </w:rPr>
        <w:t>that</w:t>
      </w:r>
      <w:r>
        <w:rPr>
          <w:b/>
          <w:color w:val="67287F"/>
          <w:spacing w:val="-7"/>
          <w:sz w:val="28"/>
        </w:rPr>
        <w:t> </w:t>
      </w:r>
      <w:r>
        <w:rPr>
          <w:b/>
          <w:color w:val="67287F"/>
          <w:sz w:val="28"/>
        </w:rPr>
        <w:t>the</w:t>
      </w:r>
      <w:r>
        <w:rPr>
          <w:b/>
          <w:color w:val="67287F"/>
          <w:spacing w:val="-7"/>
          <w:sz w:val="28"/>
        </w:rPr>
        <w:t> </w:t>
      </w:r>
      <w:r>
        <w:rPr>
          <w:b/>
          <w:color w:val="67287F"/>
          <w:sz w:val="28"/>
        </w:rPr>
        <w:t>UK</w:t>
      </w:r>
      <w:r>
        <w:rPr>
          <w:b/>
          <w:color w:val="67287F"/>
          <w:spacing w:val="-7"/>
          <w:sz w:val="28"/>
        </w:rPr>
        <w:t> </w:t>
      </w:r>
      <w:r>
        <w:rPr>
          <w:b/>
          <w:color w:val="67287F"/>
          <w:sz w:val="28"/>
        </w:rPr>
        <w:t>Government</w:t>
      </w:r>
      <w:r>
        <w:rPr>
          <w:b/>
          <w:color w:val="67287F"/>
          <w:spacing w:val="-7"/>
          <w:sz w:val="28"/>
        </w:rPr>
        <w:t> </w:t>
      </w:r>
      <w:r>
        <w:rPr>
          <w:b/>
          <w:color w:val="67287F"/>
          <w:sz w:val="28"/>
        </w:rPr>
        <w:t>repeals the relevant provisions of Schedule 8 of the Elections Act 2022 to ensure compatibility with Windsor Framework Article 2.</w:t>
      </w:r>
    </w:p>
    <w:p>
      <w:pPr>
        <w:pStyle w:val="BodyText"/>
        <w:spacing w:before="2"/>
        <w:rPr>
          <w:b/>
        </w:rPr>
      </w:pPr>
    </w:p>
    <w:p>
      <w:pPr>
        <w:pStyle w:val="Heading3"/>
      </w:pPr>
      <w:bookmarkStart w:name="Right to Education" w:id="89"/>
      <w:bookmarkEnd w:id="89"/>
      <w:r>
        <w:rPr>
          <w:b w:val="0"/>
        </w:rPr>
      </w:r>
      <w:r>
        <w:rPr>
          <w:color w:val="67287F"/>
        </w:rPr>
        <w:t>Right</w:t>
      </w:r>
      <w:r>
        <w:rPr>
          <w:color w:val="67287F"/>
          <w:spacing w:val="-4"/>
        </w:rPr>
        <w:t> </w:t>
      </w:r>
      <w:r>
        <w:rPr>
          <w:color w:val="67287F"/>
        </w:rPr>
        <w:t>to</w:t>
      </w:r>
      <w:r>
        <w:rPr>
          <w:color w:val="67287F"/>
          <w:spacing w:val="-4"/>
        </w:rPr>
        <w:t> </w:t>
      </w:r>
      <w:r>
        <w:rPr>
          <w:color w:val="67287F"/>
          <w:spacing w:val="-2"/>
        </w:rPr>
        <w:t>Education</w:t>
      </w:r>
    </w:p>
    <w:p>
      <w:pPr>
        <w:pStyle w:val="BodyText"/>
        <w:spacing w:before="6"/>
        <w:rPr>
          <w:b/>
          <w:sz w:val="5"/>
        </w:rPr>
      </w:pPr>
      <w:r>
        <w:rPr/>
        <mc:AlternateContent>
          <mc:Choice Requires="wps">
            <w:drawing>
              <wp:anchor distT="0" distB="0" distL="0" distR="0" allowOverlap="1" layoutInCell="1" locked="0" behindDoc="1" simplePos="0" relativeHeight="487696896">
                <wp:simplePos x="0" y="0"/>
                <wp:positionH relativeFrom="page">
                  <wp:posOffset>719997</wp:posOffset>
                </wp:positionH>
                <wp:positionV relativeFrom="paragraph">
                  <wp:posOffset>57930</wp:posOffset>
                </wp:positionV>
                <wp:extent cx="6120130" cy="1270"/>
                <wp:effectExtent l="0" t="0" r="0" b="0"/>
                <wp:wrapTopAndBottom/>
                <wp:docPr id="495" name="Graphic 495"/>
                <wp:cNvGraphicFramePr>
                  <a:graphicFrameLocks/>
                </wp:cNvGraphicFramePr>
                <a:graphic>
                  <a:graphicData uri="http://schemas.microsoft.com/office/word/2010/wordprocessingShape">
                    <wps:wsp>
                      <wps:cNvPr id="495" name="Graphic 495"/>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4.561428pt;width:481.9pt;height:.1pt;mso-position-horizontal-relative:page;mso-position-vertical-relative:paragraph;z-index:-15619584;mso-wrap-distance-left:0;mso-wrap-distance-right:0" id="docshape441" coordorigin="1134,91" coordsize="9638,0" path="m10772,91l1134,91e" filled="false" stroked="true" strokeweight="1pt" strokecolor="#67287f">
                <v:path arrowok="t"/>
                <v:stroke dashstyle="solid"/>
                <w10:wrap type="topAndBottom"/>
              </v:shape>
            </w:pict>
          </mc:Fallback>
        </mc:AlternateContent>
      </w:r>
    </w:p>
    <w:p>
      <w:pPr>
        <w:pStyle w:val="Heading5"/>
        <w:spacing w:before="312"/>
        <w:ind w:left="1133" w:firstLine="0"/>
      </w:pPr>
      <w:bookmarkStart w:name="Migrant and Minority Ethnic Children " w:id="90"/>
      <w:bookmarkEnd w:id="90"/>
      <w:r>
        <w:rPr>
          <w:b w:val="0"/>
        </w:rPr>
      </w:r>
      <w:r>
        <w:rPr>
          <w:color w:val="393B80"/>
        </w:rPr>
        <w:t>Migrant</w:t>
      </w:r>
      <w:r>
        <w:rPr>
          <w:color w:val="393B80"/>
          <w:spacing w:val="-6"/>
        </w:rPr>
        <w:t> </w:t>
      </w:r>
      <w:r>
        <w:rPr>
          <w:color w:val="393B80"/>
        </w:rPr>
        <w:t>and</w:t>
      </w:r>
      <w:r>
        <w:rPr>
          <w:color w:val="393B80"/>
          <w:spacing w:val="-6"/>
        </w:rPr>
        <w:t> </w:t>
      </w:r>
      <w:r>
        <w:rPr>
          <w:color w:val="393B80"/>
        </w:rPr>
        <w:t>Minority</w:t>
      </w:r>
      <w:r>
        <w:rPr>
          <w:color w:val="393B80"/>
          <w:spacing w:val="-5"/>
        </w:rPr>
        <w:t> </w:t>
      </w:r>
      <w:r>
        <w:rPr>
          <w:color w:val="393B80"/>
        </w:rPr>
        <w:t>Ethnic</w:t>
      </w:r>
      <w:r>
        <w:rPr>
          <w:color w:val="393B80"/>
          <w:spacing w:val="-6"/>
        </w:rPr>
        <w:t> </w:t>
      </w:r>
      <w:r>
        <w:rPr>
          <w:color w:val="393B80"/>
          <w:spacing w:val="-2"/>
        </w:rPr>
        <w:t>Children</w:t>
      </w:r>
    </w:p>
    <w:p>
      <w:pPr>
        <w:pStyle w:val="ListParagraph"/>
        <w:numPr>
          <w:ilvl w:val="1"/>
          <w:numId w:val="7"/>
        </w:numPr>
        <w:tabs>
          <w:tab w:pos="1853" w:val="left" w:leader="none"/>
        </w:tabs>
        <w:spacing w:line="225" w:lineRule="auto" w:before="330" w:after="0"/>
        <w:ind w:left="1853" w:right="1183" w:hanging="720"/>
        <w:jc w:val="left"/>
        <w:rPr>
          <w:sz w:val="28"/>
        </w:rPr>
      </w:pPr>
      <w:r>
        <w:rPr>
          <w:sz w:val="28"/>
        </w:rPr>
        <w:t>Windsor Framework Article 2 provides specific protection against discrimination enshrined in six EU equality directives, listed in Annex 1, including the Racial Equality Directive which protects against discrimination</w:t>
      </w:r>
      <w:r>
        <w:rPr>
          <w:sz w:val="28"/>
        </w:rPr>
        <w:t> on the grounds of race and ethnicity in the area of education.</w:t>
      </w:r>
      <w:r>
        <w:rPr>
          <w:sz w:val="28"/>
          <w:vertAlign w:val="superscript"/>
        </w:rPr>
        <w:t>644</w:t>
      </w:r>
      <w:r>
        <w:rPr>
          <w:sz w:val="28"/>
          <w:vertAlign w:val="baseline"/>
        </w:rPr>
        <w:t> NI equality law must keep pace with any changes made by the EU to these rights to improve the minimum levels of protection available, on or after 1 January 2021, including relevant current and future CJEU case law.</w:t>
      </w:r>
      <w:r>
        <w:rPr>
          <w:sz w:val="28"/>
          <w:vertAlign w:val="superscript"/>
        </w:rPr>
        <w:t>645</w:t>
      </w:r>
      <w:r>
        <w:rPr>
          <w:sz w:val="28"/>
          <w:vertAlign w:val="baseline"/>
        </w:rPr>
        <w:t> The CJEU has affirmed</w:t>
      </w:r>
      <w:r>
        <w:rPr>
          <w:spacing w:val="-5"/>
          <w:sz w:val="28"/>
          <w:vertAlign w:val="baseline"/>
        </w:rPr>
        <w:t> </w:t>
      </w:r>
      <w:r>
        <w:rPr>
          <w:sz w:val="28"/>
          <w:vertAlign w:val="baseline"/>
        </w:rPr>
        <w:t>that</w:t>
      </w:r>
      <w:r>
        <w:rPr>
          <w:spacing w:val="-4"/>
          <w:sz w:val="28"/>
          <w:vertAlign w:val="baseline"/>
        </w:rPr>
        <w:t> </w:t>
      </w:r>
      <w:r>
        <w:rPr>
          <w:sz w:val="28"/>
          <w:vertAlign w:val="baseline"/>
        </w:rPr>
        <w:t>this</w:t>
      </w:r>
      <w:r>
        <w:rPr>
          <w:spacing w:val="-5"/>
          <w:sz w:val="28"/>
          <w:vertAlign w:val="baseline"/>
        </w:rPr>
        <w:t> </w:t>
      </w:r>
      <w:r>
        <w:rPr>
          <w:sz w:val="28"/>
          <w:vertAlign w:val="baseline"/>
        </w:rPr>
        <w:t>EU</w:t>
      </w:r>
      <w:r>
        <w:rPr>
          <w:spacing w:val="-4"/>
          <w:sz w:val="28"/>
          <w:vertAlign w:val="baseline"/>
        </w:rPr>
        <w:t> </w:t>
      </w:r>
      <w:r>
        <w:rPr>
          <w:sz w:val="28"/>
          <w:vertAlign w:val="baseline"/>
        </w:rPr>
        <w:t>Directive</w:t>
      </w:r>
      <w:r>
        <w:rPr>
          <w:spacing w:val="-4"/>
          <w:sz w:val="28"/>
          <w:vertAlign w:val="baseline"/>
        </w:rPr>
        <w:t> </w:t>
      </w:r>
      <w:r>
        <w:rPr>
          <w:sz w:val="28"/>
          <w:vertAlign w:val="baseline"/>
        </w:rPr>
        <w:t>cannot</w:t>
      </w:r>
      <w:r>
        <w:rPr>
          <w:spacing w:val="-4"/>
          <w:sz w:val="28"/>
          <w:vertAlign w:val="baseline"/>
        </w:rPr>
        <w:t> </w:t>
      </w:r>
      <w:r>
        <w:rPr>
          <w:sz w:val="28"/>
          <w:vertAlign w:val="baseline"/>
        </w:rPr>
        <w:t>be</w:t>
      </w:r>
      <w:r>
        <w:rPr>
          <w:spacing w:val="-4"/>
          <w:sz w:val="28"/>
          <w:vertAlign w:val="baseline"/>
        </w:rPr>
        <w:t> </w:t>
      </w:r>
      <w:r>
        <w:rPr>
          <w:sz w:val="28"/>
          <w:vertAlign w:val="baseline"/>
        </w:rPr>
        <w:t>interpreted</w:t>
      </w:r>
      <w:r>
        <w:rPr>
          <w:spacing w:val="-5"/>
          <w:sz w:val="28"/>
          <w:vertAlign w:val="baseline"/>
        </w:rPr>
        <w:t> </w:t>
      </w:r>
      <w:r>
        <w:rPr>
          <w:sz w:val="28"/>
          <w:vertAlign w:val="baseline"/>
        </w:rPr>
        <w:t>restrictively</w:t>
      </w:r>
      <w:r>
        <w:rPr>
          <w:spacing w:val="-4"/>
          <w:sz w:val="28"/>
          <w:vertAlign w:val="baseline"/>
        </w:rPr>
        <w:t> </w:t>
      </w:r>
      <w:r>
        <w:rPr>
          <w:sz w:val="28"/>
          <w:vertAlign w:val="baseline"/>
        </w:rPr>
        <w:t>in</w:t>
      </w:r>
      <w:r>
        <w:rPr>
          <w:spacing w:val="-5"/>
          <w:sz w:val="28"/>
          <w:vertAlign w:val="baseline"/>
        </w:rPr>
        <w:t> </w:t>
      </w:r>
      <w:r>
        <w:rPr>
          <w:sz w:val="28"/>
          <w:vertAlign w:val="baseline"/>
        </w:rPr>
        <w:t>light</w:t>
      </w:r>
      <w:r>
        <w:rPr>
          <w:spacing w:val="-4"/>
          <w:sz w:val="28"/>
          <w:vertAlign w:val="baseline"/>
        </w:rPr>
        <w:t> </w:t>
      </w:r>
      <w:r>
        <w:rPr>
          <w:sz w:val="28"/>
          <w:vertAlign w:val="baseline"/>
        </w:rPr>
        <w:t>of</w:t>
      </w:r>
      <w:r>
        <w:rPr>
          <w:spacing w:val="-5"/>
          <w:sz w:val="28"/>
          <w:vertAlign w:val="baseline"/>
        </w:rPr>
        <w:t> </w:t>
      </w:r>
      <w:r>
        <w:rPr>
          <w:sz w:val="28"/>
          <w:vertAlign w:val="baseline"/>
        </w:rPr>
        <w:t>its objective</w:t>
      </w:r>
      <w:r>
        <w:rPr>
          <w:spacing w:val="-5"/>
          <w:sz w:val="28"/>
          <w:vertAlign w:val="baseline"/>
        </w:rPr>
        <w:t> </w:t>
      </w:r>
      <w:r>
        <w:rPr>
          <w:sz w:val="28"/>
          <w:vertAlign w:val="baseline"/>
        </w:rPr>
        <w:t>of</w:t>
      </w:r>
      <w:r>
        <w:rPr>
          <w:spacing w:val="-6"/>
          <w:sz w:val="28"/>
          <w:vertAlign w:val="baseline"/>
        </w:rPr>
        <w:t> </w:t>
      </w:r>
      <w:r>
        <w:rPr>
          <w:sz w:val="28"/>
          <w:vertAlign w:val="baseline"/>
        </w:rPr>
        <w:t>promoting</w:t>
      </w:r>
      <w:r>
        <w:rPr>
          <w:spacing w:val="-5"/>
          <w:sz w:val="28"/>
          <w:vertAlign w:val="baseline"/>
        </w:rPr>
        <w:t> </w:t>
      </w:r>
      <w:r>
        <w:rPr>
          <w:sz w:val="28"/>
          <w:vertAlign w:val="baseline"/>
        </w:rPr>
        <w:t>equality</w:t>
      </w:r>
      <w:r>
        <w:rPr>
          <w:spacing w:val="-5"/>
          <w:sz w:val="28"/>
          <w:vertAlign w:val="baseline"/>
        </w:rPr>
        <w:t> </w:t>
      </w:r>
      <w:r>
        <w:rPr>
          <w:sz w:val="28"/>
          <w:vertAlign w:val="baseline"/>
        </w:rPr>
        <w:t>in</w:t>
      </w:r>
      <w:r>
        <w:rPr>
          <w:spacing w:val="-6"/>
          <w:sz w:val="28"/>
          <w:vertAlign w:val="baseline"/>
        </w:rPr>
        <w:t> </w:t>
      </w:r>
      <w:r>
        <w:rPr>
          <w:sz w:val="28"/>
          <w:vertAlign w:val="baseline"/>
        </w:rPr>
        <w:t>respect</w:t>
      </w:r>
      <w:r>
        <w:rPr>
          <w:spacing w:val="-5"/>
          <w:sz w:val="28"/>
          <w:vertAlign w:val="baseline"/>
        </w:rPr>
        <w:t> </w:t>
      </w:r>
      <w:r>
        <w:rPr>
          <w:sz w:val="28"/>
          <w:vertAlign w:val="baseline"/>
        </w:rPr>
        <w:t>of</w:t>
      </w:r>
      <w:r>
        <w:rPr>
          <w:spacing w:val="-6"/>
          <w:sz w:val="28"/>
          <w:vertAlign w:val="baseline"/>
        </w:rPr>
        <w:t> </w:t>
      </w:r>
      <w:r>
        <w:rPr>
          <w:sz w:val="28"/>
          <w:vertAlign w:val="baseline"/>
        </w:rPr>
        <w:t>racial</w:t>
      </w:r>
      <w:r>
        <w:rPr>
          <w:spacing w:val="-6"/>
          <w:sz w:val="28"/>
          <w:vertAlign w:val="baseline"/>
        </w:rPr>
        <w:t> </w:t>
      </w:r>
      <w:r>
        <w:rPr>
          <w:sz w:val="28"/>
          <w:vertAlign w:val="baseline"/>
        </w:rPr>
        <w:t>and</w:t>
      </w:r>
      <w:r>
        <w:rPr>
          <w:spacing w:val="-6"/>
          <w:sz w:val="28"/>
          <w:vertAlign w:val="baseline"/>
        </w:rPr>
        <w:t> </w:t>
      </w:r>
      <w:r>
        <w:rPr>
          <w:sz w:val="28"/>
          <w:vertAlign w:val="baseline"/>
        </w:rPr>
        <w:t>ethnic</w:t>
      </w:r>
      <w:r>
        <w:rPr>
          <w:spacing w:val="-5"/>
          <w:sz w:val="28"/>
          <w:vertAlign w:val="baseline"/>
        </w:rPr>
        <w:t> </w:t>
      </w:r>
      <w:r>
        <w:rPr>
          <w:sz w:val="28"/>
          <w:vertAlign w:val="baseline"/>
        </w:rPr>
        <w:t>origin,</w:t>
      </w:r>
      <w:r>
        <w:rPr>
          <w:spacing w:val="-5"/>
          <w:sz w:val="28"/>
          <w:vertAlign w:val="baseline"/>
        </w:rPr>
        <w:t> </w:t>
      </w:r>
      <w:r>
        <w:rPr>
          <w:sz w:val="28"/>
          <w:vertAlign w:val="baseline"/>
        </w:rPr>
        <w:t>including in education.</w:t>
      </w:r>
      <w:r>
        <w:rPr>
          <w:sz w:val="28"/>
          <w:vertAlign w:val="superscript"/>
        </w:rPr>
        <w:t>646</w:t>
      </w:r>
      <w:r>
        <w:rPr>
          <w:sz w:val="28"/>
          <w:vertAlign w:val="baseline"/>
        </w:rPr>
        <w:t> For example, the CJEU found that access to education should be considered an essential aspect of education and that “costs related to</w:t>
      </w:r>
    </w:p>
    <w:p>
      <w:pPr>
        <w:pStyle w:val="BodyText"/>
        <w:spacing w:line="312" w:lineRule="exact"/>
        <w:ind w:left="1853"/>
      </w:pPr>
      <w:r>
        <w:rPr/>
        <w:t>the</w:t>
      </w:r>
      <w:r>
        <w:rPr>
          <w:spacing w:val="-6"/>
        </w:rPr>
        <w:t> </w:t>
      </w:r>
      <w:r>
        <w:rPr/>
        <w:t>participation</w:t>
      </w:r>
      <w:r>
        <w:rPr>
          <w:spacing w:val="-7"/>
        </w:rPr>
        <w:t> </w:t>
      </w:r>
      <w:r>
        <w:rPr/>
        <w:t>in</w:t>
      </w:r>
      <w:r>
        <w:rPr>
          <w:spacing w:val="-7"/>
        </w:rPr>
        <w:t> </w:t>
      </w:r>
      <w:r>
        <w:rPr/>
        <w:t>a</w:t>
      </w:r>
      <w:r>
        <w:rPr>
          <w:spacing w:val="-7"/>
        </w:rPr>
        <w:t> </w:t>
      </w:r>
      <w:r>
        <w:rPr/>
        <w:t>research</w:t>
      </w:r>
      <w:r>
        <w:rPr>
          <w:spacing w:val="-7"/>
        </w:rPr>
        <w:t> </w:t>
      </w:r>
      <w:r>
        <w:rPr/>
        <w:t>project</w:t>
      </w:r>
      <w:r>
        <w:rPr>
          <w:spacing w:val="-6"/>
        </w:rPr>
        <w:t> </w:t>
      </w:r>
      <w:r>
        <w:rPr/>
        <w:t>or</w:t>
      </w:r>
      <w:r>
        <w:rPr>
          <w:spacing w:val="-6"/>
        </w:rPr>
        <w:t> </w:t>
      </w:r>
      <w:r>
        <w:rPr/>
        <w:t>in</w:t>
      </w:r>
      <w:r>
        <w:rPr>
          <w:spacing w:val="-7"/>
        </w:rPr>
        <w:t> </w:t>
      </w:r>
      <w:r>
        <w:rPr/>
        <w:t>an</w:t>
      </w:r>
      <w:r>
        <w:rPr>
          <w:spacing w:val="-7"/>
        </w:rPr>
        <w:t> </w:t>
      </w:r>
      <w:r>
        <w:rPr/>
        <w:t>educational</w:t>
      </w:r>
      <w:r>
        <w:rPr>
          <w:spacing w:val="-7"/>
        </w:rPr>
        <w:t> </w:t>
      </w:r>
      <w:r>
        <w:rPr/>
        <w:t>programme</w:t>
      </w:r>
      <w:r>
        <w:rPr>
          <w:spacing w:val="-6"/>
        </w:rPr>
        <w:t> </w:t>
      </w:r>
      <w:r>
        <w:rPr>
          <w:spacing w:val="-4"/>
        </w:rPr>
        <w:t>must</w:t>
      </w:r>
    </w:p>
    <w:p>
      <w:pPr>
        <w:pStyle w:val="BodyText"/>
        <w:spacing w:before="4"/>
        <w:rPr>
          <w:sz w:val="14"/>
        </w:rPr>
      </w:pPr>
      <w:r>
        <w:rPr/>
        <mc:AlternateContent>
          <mc:Choice Requires="wps">
            <w:drawing>
              <wp:anchor distT="0" distB="0" distL="0" distR="0" allowOverlap="1" layoutInCell="1" locked="0" behindDoc="1" simplePos="0" relativeHeight="487697408">
                <wp:simplePos x="0" y="0"/>
                <wp:positionH relativeFrom="page">
                  <wp:posOffset>719996</wp:posOffset>
                </wp:positionH>
                <wp:positionV relativeFrom="paragraph">
                  <wp:posOffset>126694</wp:posOffset>
                </wp:positionV>
                <wp:extent cx="6120130" cy="1270"/>
                <wp:effectExtent l="0" t="0" r="0" b="0"/>
                <wp:wrapTopAndBottom/>
                <wp:docPr id="496" name="Graphic 496"/>
                <wp:cNvGraphicFramePr>
                  <a:graphicFrameLocks/>
                </wp:cNvGraphicFramePr>
                <a:graphic>
                  <a:graphicData uri="http://schemas.microsoft.com/office/word/2010/wordprocessingShape">
                    <wps:wsp>
                      <wps:cNvPr id="496" name="Graphic 496"/>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9.975917pt;width:481.9pt;height:.1pt;mso-position-horizontal-relative:page;mso-position-vertical-relative:paragraph;z-index:-15619072;mso-wrap-distance-left:0;mso-wrap-distance-right:0" id="docshape442" coordorigin="1134,200" coordsize="9638,0" path="m10772,200l1134,200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18" w:lineRule="exact" w:before="120" w:after="0"/>
        <w:ind w:left="1853" w:right="0" w:hanging="720"/>
        <w:jc w:val="left"/>
        <w:rPr>
          <w:sz w:val="18"/>
        </w:rPr>
      </w:pPr>
      <w:r>
        <w:rPr>
          <w:spacing w:val="-4"/>
          <w:sz w:val="18"/>
        </w:rPr>
        <w:t>Ibid.</w:t>
      </w:r>
    </w:p>
    <w:p>
      <w:pPr>
        <w:pStyle w:val="ListParagraph"/>
        <w:numPr>
          <w:ilvl w:val="0"/>
          <w:numId w:val="11"/>
        </w:numPr>
        <w:tabs>
          <w:tab w:pos="1853" w:val="left" w:leader="none"/>
        </w:tabs>
        <w:spacing w:line="235" w:lineRule="auto" w:before="1" w:after="0"/>
        <w:ind w:left="1853" w:right="1173" w:hanging="720"/>
        <w:jc w:val="left"/>
        <w:rPr>
          <w:sz w:val="18"/>
        </w:rPr>
      </w:pPr>
      <w:r>
        <w:rPr>
          <w:sz w:val="18"/>
        </w:rPr>
        <w:t>Letter</w:t>
      </w:r>
      <w:r>
        <w:rPr>
          <w:spacing w:val="-3"/>
          <w:sz w:val="18"/>
        </w:rPr>
        <w:t> </w:t>
      </w:r>
      <w:r>
        <w:rPr>
          <w:sz w:val="18"/>
        </w:rPr>
        <w:t>from</w:t>
      </w:r>
      <w:r>
        <w:rPr>
          <w:spacing w:val="-3"/>
          <w:sz w:val="18"/>
        </w:rPr>
        <w:t> </w:t>
      </w:r>
      <w:r>
        <w:rPr>
          <w:sz w:val="18"/>
        </w:rPr>
        <w:t>the</w:t>
      </w:r>
      <w:r>
        <w:rPr>
          <w:spacing w:val="-3"/>
          <w:sz w:val="18"/>
        </w:rPr>
        <w:t> </w:t>
      </w:r>
      <w:r>
        <w:rPr>
          <w:sz w:val="18"/>
        </w:rPr>
        <w:t>Equality</w:t>
      </w:r>
      <w:r>
        <w:rPr>
          <w:spacing w:val="-3"/>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and</w:t>
      </w:r>
      <w:r>
        <w:rPr>
          <w:spacing w:val="-4"/>
          <w:sz w:val="18"/>
        </w:rPr>
        <w:t> </w:t>
      </w: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to</w:t>
      </w:r>
      <w:r>
        <w:rPr>
          <w:spacing w:val="-4"/>
          <w:sz w:val="18"/>
        </w:rPr>
        <w:t> </w:t>
      </w:r>
      <w:r>
        <w:rPr>
          <w:sz w:val="18"/>
        </w:rPr>
        <w:t>Minister</w:t>
      </w:r>
      <w:r>
        <w:rPr>
          <w:spacing w:val="-3"/>
          <w:sz w:val="18"/>
        </w:rPr>
        <w:t> </w:t>
      </w:r>
      <w:r>
        <w:rPr>
          <w:sz w:val="18"/>
        </w:rPr>
        <w:t>of</w:t>
      </w:r>
      <w:r>
        <w:rPr>
          <w:spacing w:val="-4"/>
          <w:sz w:val="18"/>
        </w:rPr>
        <w:t> </w:t>
      </w:r>
      <w:r>
        <w:rPr>
          <w:sz w:val="18"/>
        </w:rPr>
        <w:t>State</w:t>
      </w:r>
      <w:r>
        <w:rPr>
          <w:spacing w:val="-4"/>
          <w:sz w:val="18"/>
        </w:rPr>
        <w:t> </w:t>
      </w:r>
      <w:r>
        <w:rPr>
          <w:sz w:val="18"/>
        </w:rPr>
        <w:t>NI</w:t>
      </w:r>
      <w:r>
        <w:rPr>
          <w:spacing w:val="-3"/>
          <w:sz w:val="18"/>
        </w:rPr>
        <w:t> </w:t>
      </w:r>
      <w:r>
        <w:rPr>
          <w:sz w:val="18"/>
        </w:rPr>
        <w:t>Conor</w:t>
      </w:r>
      <w:r>
        <w:rPr>
          <w:spacing w:val="-3"/>
          <w:sz w:val="18"/>
        </w:rPr>
        <w:t> </w:t>
      </w:r>
      <w:r>
        <w:rPr>
          <w:sz w:val="18"/>
        </w:rPr>
        <w:t>Burns,</w:t>
      </w:r>
      <w:r>
        <w:rPr>
          <w:spacing w:val="-4"/>
          <w:sz w:val="18"/>
        </w:rPr>
        <w:t> </w:t>
      </w:r>
      <w:r>
        <w:rPr>
          <w:sz w:val="18"/>
        </w:rPr>
        <w:t>11</w:t>
      </w:r>
      <w:r>
        <w:rPr>
          <w:spacing w:val="-3"/>
          <w:sz w:val="18"/>
        </w:rPr>
        <w:t> </w:t>
      </w:r>
      <w:r>
        <w:rPr>
          <w:sz w:val="18"/>
        </w:rPr>
        <w:t>April 2022 on the NI Protocol and Voting Rights</w:t>
      </w:r>
    </w:p>
    <w:p>
      <w:pPr>
        <w:pStyle w:val="ListParagraph"/>
        <w:numPr>
          <w:ilvl w:val="0"/>
          <w:numId w:val="11"/>
        </w:numPr>
        <w:tabs>
          <w:tab w:pos="1853" w:val="left" w:leader="none"/>
        </w:tabs>
        <w:spacing w:line="235" w:lineRule="auto" w:before="2" w:after="0"/>
        <w:ind w:left="1853" w:right="1914" w:hanging="720"/>
        <w:jc w:val="left"/>
        <w:rPr>
          <w:sz w:val="18"/>
        </w:rPr>
      </w:pPr>
      <w:r>
        <w:rPr>
          <w:sz w:val="18"/>
        </w:rPr>
        <w:t>Directive</w:t>
      </w:r>
      <w:r>
        <w:rPr>
          <w:spacing w:val="-6"/>
          <w:sz w:val="18"/>
        </w:rPr>
        <w:t> </w:t>
      </w:r>
      <w:r>
        <w:rPr>
          <w:sz w:val="18"/>
        </w:rPr>
        <w:t>2000/43/EC,</w:t>
      </w:r>
      <w:r>
        <w:rPr>
          <w:spacing w:val="-6"/>
          <w:sz w:val="18"/>
        </w:rPr>
        <w:t> </w:t>
      </w:r>
      <w:r>
        <w:rPr>
          <w:sz w:val="18"/>
        </w:rPr>
        <w:t>‘EU</w:t>
      </w:r>
      <w:r>
        <w:rPr>
          <w:spacing w:val="-6"/>
          <w:sz w:val="18"/>
        </w:rPr>
        <w:t> </w:t>
      </w:r>
      <w:r>
        <w:rPr>
          <w:sz w:val="18"/>
        </w:rPr>
        <w:t>Council</w:t>
      </w:r>
      <w:r>
        <w:rPr>
          <w:spacing w:val="-7"/>
          <w:sz w:val="18"/>
        </w:rPr>
        <w:t> </w:t>
      </w:r>
      <w:r>
        <w:rPr>
          <w:sz w:val="18"/>
        </w:rPr>
        <w:t>Directive</w:t>
      </w:r>
      <w:r>
        <w:rPr>
          <w:spacing w:val="-6"/>
          <w:sz w:val="18"/>
        </w:rPr>
        <w:t> </w:t>
      </w:r>
      <w:r>
        <w:rPr>
          <w:sz w:val="18"/>
        </w:rPr>
        <w:t>on</w:t>
      </w:r>
      <w:r>
        <w:rPr>
          <w:spacing w:val="-7"/>
          <w:sz w:val="18"/>
        </w:rPr>
        <w:t> </w:t>
      </w:r>
      <w:r>
        <w:rPr>
          <w:sz w:val="18"/>
        </w:rPr>
        <w:t>Implementing</w:t>
      </w:r>
      <w:r>
        <w:rPr>
          <w:spacing w:val="-6"/>
          <w:sz w:val="18"/>
        </w:rPr>
        <w:t> </w:t>
      </w:r>
      <w:r>
        <w:rPr>
          <w:sz w:val="18"/>
        </w:rPr>
        <w:t>the</w:t>
      </w:r>
      <w:r>
        <w:rPr>
          <w:spacing w:val="-6"/>
          <w:sz w:val="18"/>
        </w:rPr>
        <w:t> </w:t>
      </w:r>
      <w:r>
        <w:rPr>
          <w:sz w:val="18"/>
        </w:rPr>
        <w:t>Principle</w:t>
      </w:r>
      <w:r>
        <w:rPr>
          <w:spacing w:val="-6"/>
          <w:sz w:val="18"/>
        </w:rPr>
        <w:t> </w:t>
      </w:r>
      <w:r>
        <w:rPr>
          <w:sz w:val="18"/>
        </w:rPr>
        <w:t>of</w:t>
      </w:r>
      <w:r>
        <w:rPr>
          <w:spacing w:val="-7"/>
          <w:sz w:val="18"/>
        </w:rPr>
        <w:t> </w:t>
      </w:r>
      <w:r>
        <w:rPr>
          <w:sz w:val="18"/>
        </w:rPr>
        <w:t>Equal</w:t>
      </w:r>
      <w:r>
        <w:rPr>
          <w:spacing w:val="-7"/>
          <w:sz w:val="18"/>
        </w:rPr>
        <w:t> </w:t>
      </w:r>
      <w:r>
        <w:rPr>
          <w:sz w:val="18"/>
        </w:rPr>
        <w:t>Treatment</w:t>
      </w:r>
      <w:r>
        <w:rPr>
          <w:spacing w:val="-6"/>
          <w:sz w:val="18"/>
        </w:rPr>
        <w:t> </w:t>
      </w:r>
      <w:r>
        <w:rPr>
          <w:sz w:val="18"/>
        </w:rPr>
        <w:t>between</w:t>
      </w:r>
      <w:r>
        <w:rPr>
          <w:spacing w:val="-7"/>
          <w:sz w:val="18"/>
        </w:rPr>
        <w:t> </w:t>
      </w:r>
      <w:r>
        <w:rPr>
          <w:sz w:val="18"/>
        </w:rPr>
        <w:t>Persons Irrespective of Racial or Ethnic Origin’, 29 June 2000.</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Article</w:t>
      </w:r>
      <w:r>
        <w:rPr>
          <w:spacing w:val="-2"/>
          <w:sz w:val="18"/>
        </w:rPr>
        <w:t> </w:t>
      </w:r>
      <w:r>
        <w:rPr>
          <w:sz w:val="18"/>
        </w:rPr>
        <w:t>13,</w:t>
      </w:r>
      <w:r>
        <w:rPr>
          <w:spacing w:val="-2"/>
          <w:sz w:val="18"/>
        </w:rPr>
        <w:t> </w:t>
      </w:r>
      <w:r>
        <w:rPr>
          <w:sz w:val="18"/>
        </w:rPr>
        <w:t>Windsor</w:t>
      </w:r>
      <w:r>
        <w:rPr>
          <w:spacing w:val="-1"/>
          <w:sz w:val="18"/>
        </w:rPr>
        <w:t> </w:t>
      </w:r>
      <w:r>
        <w:rPr>
          <w:spacing w:val="-2"/>
          <w:sz w:val="18"/>
        </w:rPr>
        <w:t>Framework.</w:t>
      </w:r>
    </w:p>
    <w:p>
      <w:pPr>
        <w:pStyle w:val="ListParagraph"/>
        <w:numPr>
          <w:ilvl w:val="0"/>
          <w:numId w:val="11"/>
        </w:numPr>
        <w:tabs>
          <w:tab w:pos="1853" w:val="left" w:leader="none"/>
        </w:tabs>
        <w:spacing w:line="218" w:lineRule="exact" w:before="0" w:after="0"/>
        <w:ind w:left="1853" w:right="0" w:hanging="720"/>
        <w:jc w:val="left"/>
        <w:rPr>
          <w:sz w:val="18"/>
        </w:rPr>
      </w:pPr>
      <w:r>
        <w:rPr>
          <w:i/>
          <w:sz w:val="18"/>
        </w:rPr>
        <w:t>Heiko</w:t>
      </w:r>
      <w:r>
        <w:rPr>
          <w:i/>
          <w:spacing w:val="-7"/>
          <w:sz w:val="18"/>
        </w:rPr>
        <w:t> </w:t>
      </w:r>
      <w:r>
        <w:rPr>
          <w:i/>
          <w:sz w:val="18"/>
        </w:rPr>
        <w:t>Jonny</w:t>
      </w:r>
      <w:r>
        <w:rPr>
          <w:i/>
          <w:spacing w:val="-4"/>
          <w:sz w:val="18"/>
        </w:rPr>
        <w:t> </w:t>
      </w:r>
      <w:r>
        <w:rPr>
          <w:i/>
          <w:sz w:val="18"/>
        </w:rPr>
        <w:t>Maniero</w:t>
      </w:r>
      <w:r>
        <w:rPr>
          <w:sz w:val="18"/>
        </w:rPr>
        <w:t>,</w:t>
      </w:r>
      <w:r>
        <w:rPr>
          <w:spacing w:val="-4"/>
          <w:sz w:val="18"/>
        </w:rPr>
        <w:t> </w:t>
      </w:r>
      <w:r>
        <w:rPr>
          <w:sz w:val="18"/>
        </w:rPr>
        <w:t>C-457/17,</w:t>
      </w:r>
      <w:r>
        <w:rPr>
          <w:spacing w:val="-4"/>
          <w:sz w:val="18"/>
        </w:rPr>
        <w:t> </w:t>
      </w:r>
      <w:r>
        <w:rPr>
          <w:sz w:val="18"/>
        </w:rPr>
        <w:t>15</w:t>
      </w:r>
      <w:r>
        <w:rPr>
          <w:spacing w:val="-3"/>
          <w:sz w:val="18"/>
        </w:rPr>
        <w:t> </w:t>
      </w:r>
      <w:r>
        <w:rPr>
          <w:sz w:val="18"/>
        </w:rPr>
        <w:t>November</w:t>
      </w:r>
      <w:r>
        <w:rPr>
          <w:spacing w:val="-4"/>
          <w:sz w:val="18"/>
        </w:rPr>
        <w:t> </w:t>
      </w:r>
      <w:r>
        <w:rPr>
          <w:sz w:val="18"/>
        </w:rPr>
        <w:t>2018,</w:t>
      </w:r>
      <w:r>
        <w:rPr>
          <w:spacing w:val="-3"/>
          <w:sz w:val="18"/>
        </w:rPr>
        <w:t> </w:t>
      </w:r>
      <w:r>
        <w:rPr>
          <w:sz w:val="18"/>
        </w:rPr>
        <w:t>at</w:t>
      </w:r>
      <w:r>
        <w:rPr>
          <w:spacing w:val="-4"/>
          <w:sz w:val="18"/>
        </w:rPr>
        <w:t> </w:t>
      </w:r>
      <w:r>
        <w:rPr>
          <w:sz w:val="18"/>
        </w:rPr>
        <w:t>para</w:t>
      </w:r>
      <w:r>
        <w:rPr>
          <w:spacing w:val="-4"/>
          <w:sz w:val="18"/>
        </w:rPr>
        <w:t> </w:t>
      </w:r>
      <w:r>
        <w:rPr>
          <w:spacing w:val="-5"/>
          <w:sz w:val="18"/>
        </w:rPr>
        <w:t>36.</w:t>
      </w:r>
    </w:p>
    <w:p>
      <w:pPr>
        <w:spacing w:after="0" w:line="218" w:lineRule="exact"/>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301"/>
      </w:pPr>
      <w:r>
        <w:rPr/>
        <w:t>be considered to be part of the components of access to education.”</w:t>
      </w:r>
      <w:r>
        <w:rPr>
          <w:vertAlign w:val="superscript"/>
        </w:rPr>
        <w:t>647</w:t>
      </w:r>
      <w:r>
        <w:rPr>
          <w:vertAlign w:val="baseline"/>
        </w:rPr>
        <w:t> In 2022, the Commissions</w:t>
      </w:r>
      <w:r>
        <w:rPr>
          <w:spacing w:val="-1"/>
          <w:vertAlign w:val="baseline"/>
        </w:rPr>
        <w:t> </w:t>
      </w:r>
      <w:r>
        <w:rPr>
          <w:vertAlign w:val="baseline"/>
        </w:rPr>
        <w:t>responded</w:t>
      </w:r>
      <w:r>
        <w:rPr>
          <w:vertAlign w:val="superscript"/>
        </w:rPr>
        <w:t>648</w:t>
      </w:r>
      <w:r>
        <w:rPr>
          <w:spacing w:val="-1"/>
          <w:vertAlign w:val="baseline"/>
        </w:rPr>
        <w:t> </w:t>
      </w:r>
      <w:r>
        <w:rPr>
          <w:vertAlign w:val="baseline"/>
        </w:rPr>
        <w:t>separately to</w:t>
      </w:r>
      <w:r>
        <w:rPr>
          <w:spacing w:val="-1"/>
          <w:vertAlign w:val="baseline"/>
        </w:rPr>
        <w:t> </w:t>
      </w:r>
      <w:r>
        <w:rPr>
          <w:vertAlign w:val="baseline"/>
        </w:rPr>
        <w:t>a</w:t>
      </w:r>
      <w:r>
        <w:rPr>
          <w:spacing w:val="-1"/>
          <w:vertAlign w:val="baseline"/>
        </w:rPr>
        <w:t> </w:t>
      </w:r>
      <w:r>
        <w:rPr>
          <w:vertAlign w:val="baseline"/>
        </w:rPr>
        <w:t>consultation</w:t>
      </w:r>
      <w:r>
        <w:rPr>
          <w:spacing w:val="-1"/>
          <w:vertAlign w:val="baseline"/>
        </w:rPr>
        <w:t> </w:t>
      </w:r>
      <w:r>
        <w:rPr>
          <w:vertAlign w:val="baseline"/>
        </w:rPr>
        <w:t>by the EU Commission</w:t>
      </w:r>
      <w:r>
        <w:rPr>
          <w:spacing w:val="-8"/>
          <w:vertAlign w:val="baseline"/>
        </w:rPr>
        <w:t> </w:t>
      </w:r>
      <w:r>
        <w:rPr>
          <w:vertAlign w:val="baseline"/>
        </w:rPr>
        <w:t>on</w:t>
      </w:r>
      <w:r>
        <w:rPr>
          <w:spacing w:val="-8"/>
          <w:vertAlign w:val="baseline"/>
        </w:rPr>
        <w:t> </w:t>
      </w:r>
      <w:r>
        <w:rPr>
          <w:vertAlign w:val="baseline"/>
        </w:rPr>
        <w:t>gaps</w:t>
      </w:r>
      <w:r>
        <w:rPr>
          <w:spacing w:val="-8"/>
          <w:vertAlign w:val="baseline"/>
        </w:rPr>
        <w:t> </w:t>
      </w:r>
      <w:r>
        <w:rPr>
          <w:vertAlign w:val="baseline"/>
        </w:rPr>
        <w:t>in</w:t>
      </w:r>
      <w:r>
        <w:rPr>
          <w:spacing w:val="-8"/>
          <w:vertAlign w:val="baseline"/>
        </w:rPr>
        <w:t> </w:t>
      </w:r>
      <w:r>
        <w:rPr>
          <w:vertAlign w:val="baseline"/>
        </w:rPr>
        <w:t>the</w:t>
      </w:r>
      <w:r>
        <w:rPr>
          <w:spacing w:val="-7"/>
          <w:vertAlign w:val="baseline"/>
        </w:rPr>
        <w:t> </w:t>
      </w:r>
      <w:r>
        <w:rPr>
          <w:vertAlign w:val="baseline"/>
        </w:rPr>
        <w:t>EU</w:t>
      </w:r>
      <w:r>
        <w:rPr>
          <w:spacing w:val="-7"/>
          <w:vertAlign w:val="baseline"/>
        </w:rPr>
        <w:t> </w:t>
      </w:r>
      <w:r>
        <w:rPr>
          <w:vertAlign w:val="baseline"/>
        </w:rPr>
        <w:t>Racial</w:t>
      </w:r>
      <w:r>
        <w:rPr>
          <w:spacing w:val="-8"/>
          <w:vertAlign w:val="baseline"/>
        </w:rPr>
        <w:t> </w:t>
      </w:r>
      <w:r>
        <w:rPr>
          <w:vertAlign w:val="baseline"/>
        </w:rPr>
        <w:t>Equality</w:t>
      </w:r>
      <w:r>
        <w:rPr>
          <w:spacing w:val="-7"/>
          <w:vertAlign w:val="baseline"/>
        </w:rPr>
        <w:t> </w:t>
      </w:r>
      <w:r>
        <w:rPr>
          <w:vertAlign w:val="baseline"/>
        </w:rPr>
        <w:t>Directive.</w:t>
      </w:r>
      <w:r>
        <w:rPr>
          <w:vertAlign w:val="superscript"/>
        </w:rPr>
        <w:t>649</w:t>
      </w:r>
      <w:r>
        <w:rPr>
          <w:spacing w:val="-8"/>
          <w:vertAlign w:val="baseline"/>
        </w:rPr>
        <w:t> </w:t>
      </w:r>
      <w:r>
        <w:rPr>
          <w:vertAlign w:val="baseline"/>
        </w:rPr>
        <w:t>A</w:t>
      </w:r>
      <w:r>
        <w:rPr>
          <w:spacing w:val="-7"/>
          <w:vertAlign w:val="baseline"/>
        </w:rPr>
        <w:t> </w:t>
      </w:r>
      <w:r>
        <w:rPr>
          <w:vertAlign w:val="baseline"/>
        </w:rPr>
        <w:t>response</w:t>
      </w:r>
      <w:r>
        <w:rPr>
          <w:spacing w:val="-7"/>
          <w:vertAlign w:val="baseline"/>
        </w:rPr>
        <w:t> </w:t>
      </w:r>
      <w:r>
        <w:rPr>
          <w:vertAlign w:val="baseline"/>
        </w:rPr>
        <w:t>by</w:t>
      </w:r>
      <w:r>
        <w:rPr>
          <w:spacing w:val="-7"/>
          <w:vertAlign w:val="baseline"/>
        </w:rPr>
        <w:t> </w:t>
      </w:r>
      <w:r>
        <w:rPr>
          <w:vertAlign w:val="baseline"/>
        </w:rPr>
        <w:t>the EU Commission to the consultation is awaited.</w:t>
      </w:r>
    </w:p>
    <w:p>
      <w:pPr>
        <w:pStyle w:val="ListParagraph"/>
        <w:numPr>
          <w:ilvl w:val="1"/>
          <w:numId w:val="7"/>
        </w:numPr>
        <w:tabs>
          <w:tab w:pos="1853" w:val="left" w:leader="none"/>
        </w:tabs>
        <w:spacing w:line="225" w:lineRule="auto" w:before="315" w:after="0"/>
        <w:ind w:left="1853" w:right="1753" w:hanging="720"/>
        <w:jc w:val="left"/>
        <w:rPr>
          <w:sz w:val="28"/>
        </w:rPr>
      </w:pPr>
      <w:r>
        <w:rPr>
          <w:sz w:val="28"/>
        </w:rPr>
        <w:t>In</w:t>
      </w:r>
      <w:r>
        <w:rPr>
          <w:spacing w:val="-7"/>
          <w:sz w:val="28"/>
        </w:rPr>
        <w:t> </w:t>
      </w:r>
      <w:r>
        <w:rPr>
          <w:sz w:val="28"/>
        </w:rPr>
        <w:t>2022,</w:t>
      </w:r>
      <w:r>
        <w:rPr>
          <w:spacing w:val="-6"/>
          <w:sz w:val="28"/>
        </w:rPr>
        <w:t> </w:t>
      </w:r>
      <w:r>
        <w:rPr>
          <w:sz w:val="28"/>
        </w:rPr>
        <w:t>both</w:t>
      </w:r>
      <w:r>
        <w:rPr>
          <w:spacing w:val="-7"/>
          <w:sz w:val="28"/>
        </w:rPr>
        <w:t> </w:t>
      </w:r>
      <w:r>
        <w:rPr>
          <w:sz w:val="28"/>
        </w:rPr>
        <w:t>Commissions</w:t>
      </w:r>
      <w:r>
        <w:rPr>
          <w:spacing w:val="-7"/>
          <w:sz w:val="28"/>
        </w:rPr>
        <w:t> </w:t>
      </w:r>
      <w:r>
        <w:rPr>
          <w:sz w:val="28"/>
        </w:rPr>
        <w:t>raised</w:t>
      </w:r>
      <w:r>
        <w:rPr>
          <w:spacing w:val="-7"/>
          <w:sz w:val="28"/>
        </w:rPr>
        <w:t> </w:t>
      </w:r>
      <w:r>
        <w:rPr>
          <w:sz w:val="28"/>
        </w:rPr>
        <w:t>concerns</w:t>
      </w:r>
      <w:r>
        <w:rPr>
          <w:spacing w:val="-7"/>
          <w:sz w:val="28"/>
        </w:rPr>
        <w:t> </w:t>
      </w:r>
      <w:r>
        <w:rPr>
          <w:sz w:val="28"/>
        </w:rPr>
        <w:t>with</w:t>
      </w:r>
      <w:r>
        <w:rPr>
          <w:spacing w:val="-7"/>
          <w:sz w:val="28"/>
        </w:rPr>
        <w:t> </w:t>
      </w:r>
      <w:r>
        <w:rPr>
          <w:sz w:val="28"/>
        </w:rPr>
        <w:t>the</w:t>
      </w:r>
      <w:r>
        <w:rPr>
          <w:spacing w:val="-6"/>
          <w:sz w:val="28"/>
        </w:rPr>
        <w:t> </w:t>
      </w:r>
      <w:r>
        <w:rPr>
          <w:sz w:val="28"/>
        </w:rPr>
        <w:t>Advisory</w:t>
      </w:r>
      <w:r>
        <w:rPr>
          <w:spacing w:val="-6"/>
          <w:sz w:val="28"/>
        </w:rPr>
        <w:t> </w:t>
      </w:r>
      <w:r>
        <w:rPr>
          <w:sz w:val="28"/>
        </w:rPr>
        <w:t>Committee on the Framework Convention for the protection of National Minorities in relation to the inequalities experienced by minority ethic and migrant</w:t>
      </w:r>
    </w:p>
    <w:p>
      <w:pPr>
        <w:pStyle w:val="BodyText"/>
        <w:spacing w:line="225" w:lineRule="auto"/>
        <w:ind w:left="1853" w:right="1383"/>
      </w:pPr>
      <w:r>
        <w:rPr/>
        <w:t>children, including children from Traveller communities, children from the Roma community and refugee children.</w:t>
      </w:r>
      <w:r>
        <w:rPr>
          <w:vertAlign w:val="superscript"/>
        </w:rPr>
        <w:t>650</w:t>
      </w:r>
      <w:r>
        <w:rPr>
          <w:vertAlign w:val="baseline"/>
        </w:rPr>
        <w:t> In May 2023, the CoE Advisory Committee on the Framework Convention for the Protection of National Minorities</w:t>
      </w:r>
      <w:r>
        <w:rPr>
          <w:spacing w:val="-9"/>
          <w:vertAlign w:val="baseline"/>
        </w:rPr>
        <w:t> </w:t>
      </w:r>
      <w:r>
        <w:rPr>
          <w:vertAlign w:val="baseline"/>
        </w:rPr>
        <w:t>recommended</w:t>
      </w:r>
      <w:r>
        <w:rPr>
          <w:spacing w:val="-9"/>
          <w:vertAlign w:val="baseline"/>
        </w:rPr>
        <w:t> </w:t>
      </w:r>
      <w:r>
        <w:rPr>
          <w:vertAlign w:val="baseline"/>
        </w:rPr>
        <w:t>that</w:t>
      </w:r>
      <w:r>
        <w:rPr>
          <w:spacing w:val="-8"/>
          <w:vertAlign w:val="baseline"/>
        </w:rPr>
        <w:t> </w:t>
      </w:r>
      <w:r>
        <w:rPr>
          <w:vertAlign w:val="baseline"/>
        </w:rPr>
        <w:t>the</w:t>
      </w:r>
      <w:r>
        <w:rPr>
          <w:spacing w:val="-8"/>
          <w:vertAlign w:val="baseline"/>
        </w:rPr>
        <w:t> </w:t>
      </w:r>
      <w:r>
        <w:rPr>
          <w:vertAlign w:val="baseline"/>
        </w:rPr>
        <w:t>UK</w:t>
      </w:r>
      <w:r>
        <w:rPr>
          <w:spacing w:val="-8"/>
          <w:vertAlign w:val="baseline"/>
        </w:rPr>
        <w:t> </w:t>
      </w:r>
      <w:r>
        <w:rPr>
          <w:vertAlign w:val="baseline"/>
        </w:rPr>
        <w:t>Government</w:t>
      </w:r>
      <w:r>
        <w:rPr>
          <w:spacing w:val="-8"/>
          <w:vertAlign w:val="baseline"/>
        </w:rPr>
        <w:t> </w:t>
      </w:r>
      <w:r>
        <w:rPr>
          <w:vertAlign w:val="baseline"/>
        </w:rPr>
        <w:t>and</w:t>
      </w:r>
      <w:r>
        <w:rPr>
          <w:spacing w:val="-9"/>
          <w:vertAlign w:val="baseline"/>
        </w:rPr>
        <w:t> </w:t>
      </w:r>
      <w:r>
        <w:rPr>
          <w:vertAlign w:val="baseline"/>
        </w:rPr>
        <w:t>NI</w:t>
      </w:r>
      <w:r>
        <w:rPr>
          <w:spacing w:val="-8"/>
          <w:vertAlign w:val="baseline"/>
        </w:rPr>
        <w:t> </w:t>
      </w:r>
      <w:r>
        <w:rPr>
          <w:vertAlign w:val="baseline"/>
        </w:rPr>
        <w:t>Executive</w:t>
      </w:r>
      <w:r>
        <w:rPr>
          <w:spacing w:val="-8"/>
          <w:vertAlign w:val="baseline"/>
        </w:rPr>
        <w:t> </w:t>
      </w:r>
      <w:r>
        <w:rPr>
          <w:vertAlign w:val="baseline"/>
        </w:rPr>
        <w:t>explore “possibilities for sharing education data between the UK and Ireland, in order to ensure continuity in access to education for Gypsies, Roma and Travellers across jurisdictions”.</w:t>
      </w:r>
      <w:r>
        <w:rPr>
          <w:vertAlign w:val="superscript"/>
        </w:rPr>
        <w:t>651</w:t>
      </w:r>
      <w:r>
        <w:rPr>
          <w:spacing w:val="40"/>
          <w:vertAlign w:val="baseline"/>
        </w:rPr>
        <w:t> </w:t>
      </w:r>
      <w:r>
        <w:rPr>
          <w:vertAlign w:val="baseline"/>
        </w:rPr>
        <w:t>In July 2023, the Committee of Ministers recommended that the UK Government “take priority measures to tackle</w:t>
      </w:r>
    </w:p>
    <w:p>
      <w:pPr>
        <w:pStyle w:val="BodyText"/>
        <w:spacing w:line="315" w:lineRule="exact"/>
        <w:ind w:left="1853"/>
      </w:pPr>
      <w:r>
        <w:rPr/>
        <w:t>racist</w:t>
      </w:r>
      <w:r>
        <w:rPr>
          <w:spacing w:val="-6"/>
        </w:rPr>
        <w:t> </w:t>
      </w:r>
      <w:r>
        <w:rPr/>
        <w:t>bullying</w:t>
      </w:r>
      <w:r>
        <w:rPr>
          <w:spacing w:val="-5"/>
        </w:rPr>
        <w:t> </w:t>
      </w:r>
      <w:r>
        <w:rPr/>
        <w:t>in</w:t>
      </w:r>
      <w:r>
        <w:rPr>
          <w:spacing w:val="-6"/>
        </w:rPr>
        <w:t> </w:t>
      </w:r>
      <w:r>
        <w:rPr/>
        <w:t>schools,</w:t>
      </w:r>
      <w:r>
        <w:rPr>
          <w:spacing w:val="-5"/>
        </w:rPr>
        <w:t> </w:t>
      </w:r>
      <w:r>
        <w:rPr/>
        <w:t>in</w:t>
      </w:r>
      <w:r>
        <w:rPr>
          <w:spacing w:val="-6"/>
        </w:rPr>
        <w:t> </w:t>
      </w:r>
      <w:r>
        <w:rPr/>
        <w:t>particular</w:t>
      </w:r>
      <w:r>
        <w:rPr>
          <w:spacing w:val="-6"/>
        </w:rPr>
        <w:t> </w:t>
      </w:r>
      <w:r>
        <w:rPr/>
        <w:t>against</w:t>
      </w:r>
      <w:r>
        <w:rPr>
          <w:spacing w:val="-5"/>
        </w:rPr>
        <w:t> </w:t>
      </w:r>
      <w:r>
        <w:rPr/>
        <w:t>Gypsies,</w:t>
      </w:r>
      <w:r>
        <w:rPr>
          <w:spacing w:val="-5"/>
        </w:rPr>
        <w:t> </w:t>
      </w:r>
      <w:r>
        <w:rPr/>
        <w:t>Roma</w:t>
      </w:r>
      <w:r>
        <w:rPr>
          <w:spacing w:val="-6"/>
        </w:rPr>
        <w:t> </w:t>
      </w:r>
      <w:r>
        <w:rPr/>
        <w:t>and</w:t>
      </w:r>
      <w:r>
        <w:rPr>
          <w:spacing w:val="-6"/>
        </w:rPr>
        <w:t> </w:t>
      </w:r>
      <w:r>
        <w:rPr>
          <w:spacing w:val="-2"/>
        </w:rPr>
        <w:t>Travellers”.</w:t>
      </w:r>
      <w:r>
        <w:rPr>
          <w:spacing w:val="-2"/>
          <w:vertAlign w:val="superscript"/>
        </w:rPr>
        <w:t>652</w:t>
      </w:r>
    </w:p>
    <w:p>
      <w:pPr>
        <w:pStyle w:val="ListParagraph"/>
        <w:numPr>
          <w:ilvl w:val="1"/>
          <w:numId w:val="7"/>
        </w:numPr>
        <w:tabs>
          <w:tab w:pos="1853" w:val="left" w:leader="none"/>
        </w:tabs>
        <w:spacing w:line="225" w:lineRule="auto" w:before="311" w:after="0"/>
        <w:ind w:left="1853" w:right="1414" w:hanging="720"/>
        <w:jc w:val="left"/>
        <w:rPr>
          <w:sz w:val="28"/>
        </w:rPr>
      </w:pPr>
      <w:r>
        <w:rPr>
          <w:sz w:val="28"/>
        </w:rPr>
        <w:t>In June 2023, the UN CRC Committee called on the UK Government and NI Executive to strengthen measures to address inequalities in educational attainment</w:t>
      </w:r>
      <w:r>
        <w:rPr>
          <w:spacing w:val="-10"/>
          <w:sz w:val="28"/>
        </w:rPr>
        <w:t> </w:t>
      </w:r>
      <w:r>
        <w:rPr>
          <w:sz w:val="28"/>
        </w:rPr>
        <w:t>and</w:t>
      </w:r>
      <w:r>
        <w:rPr>
          <w:spacing w:val="-11"/>
          <w:sz w:val="28"/>
        </w:rPr>
        <w:t> </w:t>
      </w:r>
      <w:r>
        <w:rPr>
          <w:sz w:val="28"/>
        </w:rPr>
        <w:t>improve</w:t>
      </w:r>
      <w:r>
        <w:rPr>
          <w:spacing w:val="-10"/>
          <w:sz w:val="28"/>
        </w:rPr>
        <w:t> </w:t>
      </w:r>
      <w:r>
        <w:rPr>
          <w:sz w:val="28"/>
        </w:rPr>
        <w:t>educational</w:t>
      </w:r>
      <w:r>
        <w:rPr>
          <w:spacing w:val="-11"/>
          <w:sz w:val="28"/>
        </w:rPr>
        <w:t> </w:t>
      </w:r>
      <w:r>
        <w:rPr>
          <w:sz w:val="28"/>
        </w:rPr>
        <w:t>outcomes</w:t>
      </w:r>
      <w:r>
        <w:rPr>
          <w:spacing w:val="-11"/>
          <w:sz w:val="28"/>
        </w:rPr>
        <w:t> </w:t>
      </w:r>
      <w:r>
        <w:rPr>
          <w:sz w:val="28"/>
        </w:rPr>
        <w:t>for</w:t>
      </w:r>
      <w:r>
        <w:rPr>
          <w:spacing w:val="-10"/>
          <w:sz w:val="28"/>
        </w:rPr>
        <w:t> </w:t>
      </w:r>
      <w:r>
        <w:rPr>
          <w:sz w:val="28"/>
        </w:rPr>
        <w:t>children,</w:t>
      </w:r>
      <w:r>
        <w:rPr>
          <w:spacing w:val="-10"/>
          <w:sz w:val="28"/>
        </w:rPr>
        <w:t> </w:t>
      </w:r>
      <w:r>
        <w:rPr>
          <w:sz w:val="28"/>
        </w:rPr>
        <w:t>including</w:t>
      </w:r>
      <w:r>
        <w:rPr>
          <w:spacing w:val="-10"/>
          <w:sz w:val="28"/>
        </w:rPr>
        <w:t> </w:t>
      </w:r>
      <w:r>
        <w:rPr>
          <w:sz w:val="28"/>
        </w:rPr>
        <w:t>ethnic minority children and asylum-seeking, refugee and migrant children.</w:t>
      </w:r>
      <w:r>
        <w:rPr>
          <w:spacing w:val="40"/>
          <w:sz w:val="28"/>
        </w:rPr>
        <w:t> </w:t>
      </w:r>
      <w:r>
        <w:rPr>
          <w:sz w:val="28"/>
        </w:rPr>
        <w:t>This should include collecting and analysing data disaggregated by ethnic origin, educational outcomes and other relevant indicators.</w:t>
      </w:r>
      <w:r>
        <w:rPr>
          <w:sz w:val="28"/>
          <w:vertAlign w:val="superscript"/>
        </w:rPr>
        <w:t>653</w:t>
      </w:r>
    </w:p>
    <w:p>
      <w:pPr>
        <w:pStyle w:val="ListParagraph"/>
        <w:numPr>
          <w:ilvl w:val="1"/>
          <w:numId w:val="7"/>
        </w:numPr>
        <w:tabs>
          <w:tab w:pos="1853" w:val="left" w:leader="none"/>
        </w:tabs>
        <w:spacing w:line="225" w:lineRule="auto" w:before="312" w:after="0"/>
        <w:ind w:left="1853" w:right="1225" w:hanging="720"/>
        <w:jc w:val="left"/>
        <w:rPr>
          <w:sz w:val="28"/>
        </w:rPr>
      </w:pPr>
      <w:r>
        <w:rPr>
          <w:sz w:val="28"/>
        </w:rPr>
        <w:t>In June 2023, research published by Queen’s University Belfast reported on the</w:t>
      </w:r>
      <w:r>
        <w:rPr>
          <w:spacing w:val="-6"/>
          <w:sz w:val="28"/>
        </w:rPr>
        <w:t> </w:t>
      </w:r>
      <w:r>
        <w:rPr>
          <w:sz w:val="28"/>
        </w:rPr>
        <w:t>challenges</w:t>
      </w:r>
      <w:r>
        <w:rPr>
          <w:spacing w:val="-7"/>
          <w:sz w:val="28"/>
        </w:rPr>
        <w:t> </w:t>
      </w:r>
      <w:r>
        <w:rPr>
          <w:sz w:val="28"/>
        </w:rPr>
        <w:t>within</w:t>
      </w:r>
      <w:r>
        <w:rPr>
          <w:spacing w:val="-7"/>
          <w:sz w:val="28"/>
        </w:rPr>
        <w:t> </w:t>
      </w:r>
      <w:r>
        <w:rPr>
          <w:sz w:val="28"/>
        </w:rPr>
        <w:t>education</w:t>
      </w:r>
      <w:r>
        <w:rPr>
          <w:spacing w:val="-7"/>
          <w:sz w:val="28"/>
        </w:rPr>
        <w:t> </w:t>
      </w:r>
      <w:r>
        <w:rPr>
          <w:sz w:val="28"/>
        </w:rPr>
        <w:t>that</w:t>
      </w:r>
      <w:r>
        <w:rPr>
          <w:spacing w:val="-6"/>
          <w:sz w:val="28"/>
        </w:rPr>
        <w:t> </w:t>
      </w:r>
      <w:r>
        <w:rPr>
          <w:sz w:val="28"/>
        </w:rPr>
        <w:t>remain</w:t>
      </w:r>
      <w:r>
        <w:rPr>
          <w:spacing w:val="-7"/>
          <w:sz w:val="28"/>
        </w:rPr>
        <w:t> </w:t>
      </w:r>
      <w:r>
        <w:rPr>
          <w:sz w:val="28"/>
        </w:rPr>
        <w:t>distinctive</w:t>
      </w:r>
      <w:r>
        <w:rPr>
          <w:spacing w:val="-6"/>
          <w:sz w:val="28"/>
        </w:rPr>
        <w:t> </w:t>
      </w:r>
      <w:r>
        <w:rPr>
          <w:sz w:val="28"/>
        </w:rPr>
        <w:t>to</w:t>
      </w:r>
      <w:r>
        <w:rPr>
          <w:spacing w:val="-7"/>
          <w:sz w:val="28"/>
        </w:rPr>
        <w:t> </w:t>
      </w:r>
      <w:r>
        <w:rPr>
          <w:sz w:val="28"/>
        </w:rPr>
        <w:t>minority</w:t>
      </w:r>
      <w:r>
        <w:rPr>
          <w:spacing w:val="-6"/>
          <w:sz w:val="28"/>
        </w:rPr>
        <w:t> </w:t>
      </w:r>
      <w:r>
        <w:rPr>
          <w:sz w:val="28"/>
        </w:rPr>
        <w:t>ethnic</w:t>
      </w:r>
      <w:r>
        <w:rPr>
          <w:spacing w:val="-6"/>
          <w:sz w:val="28"/>
        </w:rPr>
        <w:t> </w:t>
      </w:r>
      <w:r>
        <w:rPr>
          <w:sz w:val="28"/>
        </w:rPr>
        <w:t>and migrant families, including individuals who seeking sanctuary in NI.</w:t>
      </w:r>
      <w:r>
        <w:rPr>
          <w:sz w:val="28"/>
          <w:vertAlign w:val="superscript"/>
        </w:rPr>
        <w:t>654</w:t>
      </w:r>
    </w:p>
    <w:p>
      <w:pPr>
        <w:pStyle w:val="ListParagraph"/>
        <w:numPr>
          <w:ilvl w:val="1"/>
          <w:numId w:val="7"/>
        </w:numPr>
        <w:tabs>
          <w:tab w:pos="1853" w:val="left" w:leader="none"/>
        </w:tabs>
        <w:spacing w:line="225" w:lineRule="auto" w:before="316" w:after="0"/>
        <w:ind w:left="1853" w:right="1481" w:hanging="720"/>
        <w:jc w:val="left"/>
        <w:rPr>
          <w:sz w:val="28"/>
        </w:rPr>
      </w:pPr>
      <w:r>
        <w:rPr>
          <w:sz w:val="28"/>
        </w:rPr>
        <w:t>In 2021, the Expert Panel on Educational Underachievement highlighted that</w:t>
      </w:r>
      <w:r>
        <w:rPr>
          <w:spacing w:val="-12"/>
          <w:sz w:val="28"/>
        </w:rPr>
        <w:t> </w:t>
      </w:r>
      <w:r>
        <w:rPr>
          <w:sz w:val="28"/>
        </w:rPr>
        <w:t>children</w:t>
      </w:r>
      <w:r>
        <w:rPr>
          <w:spacing w:val="-13"/>
          <w:sz w:val="28"/>
        </w:rPr>
        <w:t> </w:t>
      </w:r>
      <w:r>
        <w:rPr>
          <w:sz w:val="28"/>
        </w:rPr>
        <w:t>from</w:t>
      </w:r>
      <w:r>
        <w:rPr>
          <w:spacing w:val="-12"/>
          <w:sz w:val="28"/>
        </w:rPr>
        <w:t> </w:t>
      </w:r>
      <w:r>
        <w:rPr>
          <w:sz w:val="28"/>
        </w:rPr>
        <w:t>the</w:t>
      </w:r>
      <w:r>
        <w:rPr>
          <w:spacing w:val="-12"/>
          <w:sz w:val="28"/>
        </w:rPr>
        <w:t> </w:t>
      </w:r>
      <w:r>
        <w:rPr>
          <w:sz w:val="28"/>
        </w:rPr>
        <w:t>Traveller</w:t>
      </w:r>
      <w:r>
        <w:rPr>
          <w:spacing w:val="-12"/>
          <w:sz w:val="28"/>
        </w:rPr>
        <w:t> </w:t>
      </w:r>
      <w:r>
        <w:rPr>
          <w:sz w:val="28"/>
        </w:rPr>
        <w:t>community,</w:t>
      </w:r>
      <w:r>
        <w:rPr>
          <w:spacing w:val="-12"/>
          <w:sz w:val="28"/>
        </w:rPr>
        <w:t> </w:t>
      </w:r>
      <w:r>
        <w:rPr>
          <w:sz w:val="28"/>
        </w:rPr>
        <w:t>Roma</w:t>
      </w:r>
      <w:r>
        <w:rPr>
          <w:spacing w:val="-13"/>
          <w:sz w:val="28"/>
        </w:rPr>
        <w:t> </w:t>
      </w:r>
      <w:r>
        <w:rPr>
          <w:sz w:val="28"/>
        </w:rPr>
        <w:t>children</w:t>
      </w:r>
      <w:r>
        <w:rPr>
          <w:spacing w:val="-13"/>
          <w:sz w:val="28"/>
        </w:rPr>
        <w:t> </w:t>
      </w:r>
      <w:r>
        <w:rPr>
          <w:sz w:val="28"/>
        </w:rPr>
        <w:t>and</w:t>
      </w:r>
      <w:r>
        <w:rPr>
          <w:spacing w:val="-13"/>
          <w:sz w:val="28"/>
        </w:rPr>
        <w:t> </w:t>
      </w:r>
      <w:r>
        <w:rPr>
          <w:sz w:val="28"/>
        </w:rPr>
        <w:t>looked</w:t>
      </w:r>
      <w:r>
        <w:rPr>
          <w:spacing w:val="-13"/>
          <w:sz w:val="28"/>
        </w:rPr>
        <w:t> </w:t>
      </w:r>
      <w:r>
        <w:rPr>
          <w:sz w:val="28"/>
        </w:rPr>
        <w:t>after</w:t>
      </w:r>
    </w:p>
    <w:p>
      <w:pPr>
        <w:pStyle w:val="BodyText"/>
        <w:spacing w:before="11"/>
        <w:rPr>
          <w:sz w:val="3"/>
        </w:rPr>
      </w:pPr>
      <w:r>
        <w:rPr/>
        <mc:AlternateContent>
          <mc:Choice Requires="wps">
            <w:drawing>
              <wp:anchor distT="0" distB="0" distL="0" distR="0" allowOverlap="1" layoutInCell="1" locked="0" behindDoc="1" simplePos="0" relativeHeight="487697920">
                <wp:simplePos x="0" y="0"/>
                <wp:positionH relativeFrom="page">
                  <wp:posOffset>719996</wp:posOffset>
                </wp:positionH>
                <wp:positionV relativeFrom="paragraph">
                  <wp:posOffset>45769</wp:posOffset>
                </wp:positionV>
                <wp:extent cx="6120130" cy="1270"/>
                <wp:effectExtent l="0" t="0" r="0" b="0"/>
                <wp:wrapTopAndBottom/>
                <wp:docPr id="497" name="Graphic 497"/>
                <wp:cNvGraphicFramePr>
                  <a:graphicFrameLocks/>
                </wp:cNvGraphicFramePr>
                <a:graphic>
                  <a:graphicData uri="http://schemas.microsoft.com/office/word/2010/wordprocessingShape">
                    <wps:wsp>
                      <wps:cNvPr id="497" name="Graphic 497"/>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3.603861pt;width:481.9pt;height:.1pt;mso-position-horizontal-relative:page;mso-position-vertical-relative:paragraph;z-index:-15618560;mso-wrap-distance-left:0;mso-wrap-distance-right:0" id="docshape443" coordorigin="1134,72" coordsize="9638,0" path="m10772,72l1134,72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18" w:lineRule="exact" w:before="82" w:after="0"/>
        <w:ind w:left="1853" w:right="0" w:hanging="720"/>
        <w:jc w:val="left"/>
        <w:rPr>
          <w:sz w:val="18"/>
        </w:rPr>
      </w:pPr>
      <w:r>
        <w:rPr>
          <w:sz w:val="18"/>
        </w:rPr>
        <w:t>Ibid,</w:t>
      </w:r>
      <w:r>
        <w:rPr>
          <w:spacing w:val="-4"/>
          <w:sz w:val="18"/>
        </w:rPr>
        <w:t> </w:t>
      </w:r>
      <w:r>
        <w:rPr>
          <w:sz w:val="18"/>
        </w:rPr>
        <w:t>at</w:t>
      </w:r>
      <w:r>
        <w:rPr>
          <w:spacing w:val="-3"/>
          <w:sz w:val="18"/>
        </w:rPr>
        <w:t> </w:t>
      </w:r>
      <w:r>
        <w:rPr>
          <w:sz w:val="18"/>
        </w:rPr>
        <w:t>paras</w:t>
      </w:r>
      <w:r>
        <w:rPr>
          <w:spacing w:val="-4"/>
          <w:sz w:val="18"/>
        </w:rPr>
        <w:t> </w:t>
      </w:r>
      <w:r>
        <w:rPr>
          <w:sz w:val="18"/>
        </w:rPr>
        <w:t>37-</w:t>
      </w:r>
      <w:r>
        <w:rPr>
          <w:spacing w:val="-5"/>
          <w:sz w:val="18"/>
        </w:rPr>
        <w:t>38.</w:t>
      </w:r>
    </w:p>
    <w:p>
      <w:pPr>
        <w:pStyle w:val="ListParagraph"/>
        <w:numPr>
          <w:ilvl w:val="0"/>
          <w:numId w:val="11"/>
        </w:numPr>
        <w:tabs>
          <w:tab w:pos="1853" w:val="left" w:leader="none"/>
        </w:tabs>
        <w:spacing w:line="235" w:lineRule="auto" w:before="2" w:after="0"/>
        <w:ind w:left="1853" w:right="1574" w:hanging="720"/>
        <w:jc w:val="left"/>
        <w:rPr>
          <w:sz w:val="18"/>
        </w:rPr>
      </w:pPr>
      <w:r>
        <w:rPr>
          <w:sz w:val="18"/>
        </w:rPr>
        <w:t>NI Human Rights Commission, ‘Response to the European Commission Consultation on the Racial Equality Directive (Directive</w:t>
      </w:r>
      <w:r>
        <w:rPr>
          <w:spacing w:val="-4"/>
          <w:sz w:val="18"/>
        </w:rPr>
        <w:t> </w:t>
      </w:r>
      <w:r>
        <w:rPr>
          <w:sz w:val="18"/>
        </w:rPr>
        <w:t>2000/43/EC)’</w:t>
      </w:r>
      <w:r>
        <w:rPr>
          <w:spacing w:val="-5"/>
          <w:sz w:val="18"/>
        </w:rPr>
        <w:t> </w:t>
      </w:r>
      <w:r>
        <w:rPr>
          <w:sz w:val="18"/>
        </w:rPr>
        <w:t>(NIHRC,</w:t>
      </w:r>
      <w:r>
        <w:rPr>
          <w:spacing w:val="-4"/>
          <w:sz w:val="18"/>
        </w:rPr>
        <w:t> </w:t>
      </w:r>
      <w:r>
        <w:rPr>
          <w:sz w:val="18"/>
        </w:rPr>
        <w:t>2022);</w:t>
      </w:r>
      <w:r>
        <w:rPr>
          <w:spacing w:val="-5"/>
          <w:sz w:val="18"/>
        </w:rPr>
        <w:t> </w:t>
      </w: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5"/>
          <w:sz w:val="18"/>
        </w:rPr>
        <w:t> </w:t>
      </w:r>
      <w:r>
        <w:rPr>
          <w:sz w:val="18"/>
        </w:rPr>
        <w:t>‘Response</w:t>
      </w:r>
      <w:r>
        <w:rPr>
          <w:spacing w:val="-4"/>
          <w:sz w:val="18"/>
        </w:rPr>
        <w:t> </w:t>
      </w:r>
      <w:r>
        <w:rPr>
          <w:sz w:val="18"/>
        </w:rPr>
        <w:t>to</w:t>
      </w:r>
      <w:r>
        <w:rPr>
          <w:spacing w:val="-5"/>
          <w:sz w:val="18"/>
        </w:rPr>
        <w:t> </w:t>
      </w:r>
      <w:r>
        <w:rPr>
          <w:sz w:val="18"/>
        </w:rPr>
        <w:t>European</w:t>
      </w:r>
      <w:r>
        <w:rPr>
          <w:spacing w:val="-5"/>
          <w:sz w:val="18"/>
        </w:rPr>
        <w:t> </w:t>
      </w:r>
      <w:r>
        <w:rPr>
          <w:sz w:val="18"/>
        </w:rPr>
        <w:t>Commission</w:t>
      </w:r>
      <w:r>
        <w:rPr>
          <w:spacing w:val="-5"/>
          <w:sz w:val="18"/>
        </w:rPr>
        <w:t> </w:t>
      </w:r>
      <w:r>
        <w:rPr>
          <w:sz w:val="18"/>
        </w:rPr>
        <w:t>-</w:t>
      </w:r>
      <w:r>
        <w:rPr>
          <w:spacing w:val="-5"/>
          <w:sz w:val="18"/>
        </w:rPr>
        <w:t> </w:t>
      </w:r>
      <w:r>
        <w:rPr>
          <w:sz w:val="18"/>
        </w:rPr>
        <w:t>Addressing possible gaps in the Racial Equality Directive’ (ECNI, 2022).</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EU</w:t>
      </w:r>
      <w:r>
        <w:rPr>
          <w:spacing w:val="-4"/>
          <w:sz w:val="18"/>
        </w:rPr>
        <w:t> </w:t>
      </w:r>
      <w:r>
        <w:rPr>
          <w:sz w:val="18"/>
        </w:rPr>
        <w:t>Commission,</w:t>
      </w:r>
      <w:r>
        <w:rPr>
          <w:spacing w:val="-4"/>
          <w:sz w:val="18"/>
        </w:rPr>
        <w:t> </w:t>
      </w:r>
      <w:r>
        <w:rPr>
          <w:sz w:val="18"/>
        </w:rPr>
        <w:t>‘Addressing</w:t>
      </w:r>
      <w:r>
        <w:rPr>
          <w:spacing w:val="-3"/>
          <w:sz w:val="18"/>
        </w:rPr>
        <w:t> </w:t>
      </w:r>
      <w:r>
        <w:rPr>
          <w:sz w:val="18"/>
        </w:rPr>
        <w:t>possible</w:t>
      </w:r>
      <w:r>
        <w:rPr>
          <w:spacing w:val="-4"/>
          <w:sz w:val="18"/>
        </w:rPr>
        <w:t> </w:t>
      </w:r>
      <w:r>
        <w:rPr>
          <w:sz w:val="18"/>
        </w:rPr>
        <w:t>gaps</w:t>
      </w:r>
      <w:r>
        <w:rPr>
          <w:spacing w:val="-4"/>
          <w:sz w:val="18"/>
        </w:rPr>
        <w:t> </w:t>
      </w:r>
      <w:r>
        <w:rPr>
          <w:sz w:val="18"/>
        </w:rPr>
        <w:t>in</w:t>
      </w:r>
      <w:r>
        <w:rPr>
          <w:spacing w:val="-5"/>
          <w:sz w:val="18"/>
        </w:rPr>
        <w:t> </w:t>
      </w:r>
      <w:r>
        <w:rPr>
          <w:sz w:val="18"/>
        </w:rPr>
        <w:t>the</w:t>
      </w:r>
      <w:r>
        <w:rPr>
          <w:spacing w:val="-3"/>
          <w:sz w:val="18"/>
        </w:rPr>
        <w:t> </w:t>
      </w:r>
      <w:r>
        <w:rPr>
          <w:sz w:val="18"/>
        </w:rPr>
        <w:t>Racial</w:t>
      </w:r>
      <w:r>
        <w:rPr>
          <w:spacing w:val="-5"/>
          <w:sz w:val="18"/>
        </w:rPr>
        <w:t> </w:t>
      </w:r>
      <w:r>
        <w:rPr>
          <w:sz w:val="18"/>
        </w:rPr>
        <w:t>Equality</w:t>
      </w:r>
      <w:r>
        <w:rPr>
          <w:spacing w:val="-3"/>
          <w:sz w:val="18"/>
        </w:rPr>
        <w:t> </w:t>
      </w:r>
      <w:r>
        <w:rPr>
          <w:sz w:val="18"/>
        </w:rPr>
        <w:t>Directive</w:t>
      </w:r>
      <w:r>
        <w:rPr>
          <w:spacing w:val="-4"/>
          <w:sz w:val="18"/>
        </w:rPr>
        <w:t> </w:t>
      </w:r>
      <w:r>
        <w:rPr>
          <w:sz w:val="18"/>
        </w:rPr>
        <w:t>–</w:t>
      </w:r>
      <w:r>
        <w:rPr>
          <w:spacing w:val="-5"/>
          <w:sz w:val="18"/>
        </w:rPr>
        <w:t> </w:t>
      </w:r>
      <w:r>
        <w:rPr>
          <w:sz w:val="18"/>
        </w:rPr>
        <w:t>Public</w:t>
      </w:r>
      <w:r>
        <w:rPr>
          <w:spacing w:val="-3"/>
          <w:sz w:val="18"/>
        </w:rPr>
        <w:t> </w:t>
      </w:r>
      <w:r>
        <w:rPr>
          <w:sz w:val="18"/>
        </w:rPr>
        <w:t>Consultation’</w:t>
      </w:r>
      <w:r>
        <w:rPr>
          <w:spacing w:val="-4"/>
          <w:sz w:val="18"/>
        </w:rPr>
        <w:t> </w:t>
      </w:r>
      <w:r>
        <w:rPr>
          <w:sz w:val="18"/>
        </w:rPr>
        <w:t>(EU,</w:t>
      </w:r>
      <w:r>
        <w:rPr>
          <w:spacing w:val="-3"/>
          <w:sz w:val="18"/>
        </w:rPr>
        <w:t> </w:t>
      </w:r>
      <w:r>
        <w:rPr>
          <w:spacing w:val="-2"/>
          <w:sz w:val="18"/>
        </w:rPr>
        <w:t>2022).</w:t>
      </w:r>
    </w:p>
    <w:p>
      <w:pPr>
        <w:pStyle w:val="ListParagraph"/>
        <w:numPr>
          <w:ilvl w:val="0"/>
          <w:numId w:val="11"/>
        </w:numPr>
        <w:tabs>
          <w:tab w:pos="1853" w:val="left" w:leader="none"/>
        </w:tabs>
        <w:spacing w:line="235" w:lineRule="auto" w:before="1" w:after="0"/>
        <w:ind w:left="1853" w:right="1167" w:hanging="720"/>
        <w:jc w:val="left"/>
        <w:rPr>
          <w:sz w:val="18"/>
        </w:rPr>
      </w:pPr>
      <w:r>
        <w:rPr>
          <w:sz w:val="18"/>
        </w:rPr>
        <w:t>NI Human Rights Commission, ‘Submission to the Advisory Committee on the Framework Convention for the protection</w:t>
      </w:r>
      <w:r>
        <w:rPr>
          <w:sz w:val="18"/>
        </w:rPr>
        <w:t> of National Minorities – Parallel Report to the Advisory Committee on the Fifth Monitoring Report of the UK’ (NIHRC, 2022),</w:t>
      </w:r>
      <w:r>
        <w:rPr>
          <w:spacing w:val="-4"/>
          <w:sz w:val="18"/>
        </w:rPr>
        <w:t> </w:t>
      </w:r>
      <w:r>
        <w:rPr>
          <w:sz w:val="18"/>
        </w:rPr>
        <w:t>at</w:t>
      </w:r>
      <w:r>
        <w:rPr>
          <w:spacing w:val="-3"/>
          <w:sz w:val="18"/>
        </w:rPr>
        <w:t> </w:t>
      </w:r>
      <w:r>
        <w:rPr>
          <w:sz w:val="18"/>
        </w:rPr>
        <w:t>para</w:t>
      </w:r>
      <w:r>
        <w:rPr>
          <w:spacing w:val="-4"/>
          <w:sz w:val="18"/>
        </w:rPr>
        <w:t> </w:t>
      </w:r>
      <w:r>
        <w:rPr>
          <w:sz w:val="18"/>
        </w:rPr>
        <w:t>11.3-11.5;</w:t>
      </w:r>
      <w:r>
        <w:rPr>
          <w:spacing w:val="-4"/>
          <w:sz w:val="18"/>
        </w:rPr>
        <w:t> </w:t>
      </w:r>
      <w:r>
        <w:rPr>
          <w:sz w:val="18"/>
        </w:rPr>
        <w:t>Equality</w:t>
      </w:r>
      <w:r>
        <w:rPr>
          <w:spacing w:val="-4"/>
          <w:sz w:val="18"/>
        </w:rPr>
        <w:t> </w:t>
      </w:r>
      <w:r>
        <w:rPr>
          <w:sz w:val="18"/>
        </w:rPr>
        <w:t>Commissions</w:t>
      </w:r>
      <w:r>
        <w:rPr>
          <w:spacing w:val="-4"/>
          <w:sz w:val="18"/>
        </w:rPr>
        <w:t> </w:t>
      </w:r>
      <w:r>
        <w:rPr>
          <w:sz w:val="18"/>
        </w:rPr>
        <w:t>for</w:t>
      </w:r>
      <w:r>
        <w:rPr>
          <w:spacing w:val="-4"/>
          <w:sz w:val="18"/>
        </w:rPr>
        <w:t> </w:t>
      </w:r>
      <w:r>
        <w:rPr>
          <w:sz w:val="18"/>
        </w:rPr>
        <w:t>NI,</w:t>
      </w:r>
      <w:r>
        <w:rPr>
          <w:spacing w:val="-4"/>
          <w:sz w:val="18"/>
        </w:rPr>
        <w:t> </w:t>
      </w:r>
      <w:r>
        <w:rPr>
          <w:sz w:val="18"/>
        </w:rPr>
        <w:t>‘Shadow</w:t>
      </w:r>
      <w:r>
        <w:rPr>
          <w:spacing w:val="-4"/>
          <w:sz w:val="18"/>
        </w:rPr>
        <w:t> </w:t>
      </w:r>
      <w:r>
        <w:rPr>
          <w:sz w:val="18"/>
        </w:rPr>
        <w:t>Report</w:t>
      </w:r>
      <w:r>
        <w:rPr>
          <w:spacing w:val="-3"/>
          <w:sz w:val="18"/>
        </w:rPr>
        <w:t> </w:t>
      </w:r>
      <w:r>
        <w:rPr>
          <w:sz w:val="18"/>
        </w:rPr>
        <w:t>from</w:t>
      </w:r>
      <w:r>
        <w:rPr>
          <w:spacing w:val="-4"/>
          <w:sz w:val="18"/>
        </w:rPr>
        <w:t> </w:t>
      </w:r>
      <w:r>
        <w:rPr>
          <w:sz w:val="18"/>
        </w:rPr>
        <w:t>the</w:t>
      </w:r>
      <w:r>
        <w:rPr>
          <w:spacing w:val="-4"/>
          <w:sz w:val="18"/>
        </w:rPr>
        <w:t> </w:t>
      </w:r>
      <w:r>
        <w:rPr>
          <w:sz w:val="18"/>
        </w:rPr>
        <w:t>Equality</w:t>
      </w:r>
      <w:r>
        <w:rPr>
          <w:spacing w:val="-4"/>
          <w:sz w:val="18"/>
        </w:rPr>
        <w:t> </w:t>
      </w:r>
      <w:r>
        <w:rPr>
          <w:sz w:val="18"/>
        </w:rPr>
        <w:t>Commission</w:t>
      </w:r>
      <w:r>
        <w:rPr>
          <w:spacing w:val="-4"/>
          <w:sz w:val="18"/>
        </w:rPr>
        <w:t> </w:t>
      </w:r>
      <w:r>
        <w:rPr>
          <w:sz w:val="18"/>
        </w:rPr>
        <w:t>for</w:t>
      </w:r>
      <w:r>
        <w:rPr>
          <w:spacing w:val="-4"/>
          <w:sz w:val="18"/>
        </w:rPr>
        <w:t> </w:t>
      </w:r>
      <w:r>
        <w:rPr>
          <w:sz w:val="18"/>
        </w:rPr>
        <w:t>Northern</w:t>
      </w:r>
      <w:r>
        <w:rPr>
          <w:spacing w:val="-4"/>
          <w:sz w:val="18"/>
        </w:rPr>
        <w:t> </w:t>
      </w:r>
      <w:r>
        <w:rPr>
          <w:sz w:val="18"/>
        </w:rPr>
        <w:t>Ireland to the Advisory Committee for the Framework Convention for the Protection of National Minorities on the Fifth Monitoring Report of the United Kingdom’ (ECNI, 2022).</w:t>
      </w:r>
    </w:p>
    <w:p>
      <w:pPr>
        <w:pStyle w:val="ListParagraph"/>
        <w:numPr>
          <w:ilvl w:val="0"/>
          <w:numId w:val="11"/>
        </w:numPr>
        <w:tabs>
          <w:tab w:pos="1853" w:val="left" w:leader="none"/>
        </w:tabs>
        <w:spacing w:line="235" w:lineRule="auto" w:before="4" w:after="0"/>
        <w:ind w:left="1853" w:right="1420" w:hanging="720"/>
        <w:jc w:val="left"/>
        <w:rPr>
          <w:sz w:val="18"/>
        </w:rPr>
      </w:pPr>
      <w:r>
        <w:rPr>
          <w:sz w:val="18"/>
        </w:rPr>
        <w:t>ACFC/OP/V,</w:t>
      </w:r>
      <w:r>
        <w:rPr>
          <w:spacing w:val="-8"/>
          <w:sz w:val="18"/>
        </w:rPr>
        <w:t> </w:t>
      </w:r>
      <w:r>
        <w:rPr>
          <w:sz w:val="18"/>
        </w:rPr>
        <w:t>‘CoE</w:t>
      </w:r>
      <w:r>
        <w:rPr>
          <w:spacing w:val="-9"/>
          <w:sz w:val="18"/>
        </w:rPr>
        <w:t> </w:t>
      </w:r>
      <w:r>
        <w:rPr>
          <w:sz w:val="18"/>
        </w:rPr>
        <w:t>Advisory</w:t>
      </w:r>
      <w:r>
        <w:rPr>
          <w:spacing w:val="-8"/>
          <w:sz w:val="18"/>
        </w:rPr>
        <w:t> </w:t>
      </w:r>
      <w:r>
        <w:rPr>
          <w:sz w:val="18"/>
        </w:rPr>
        <w:t>Committee</w:t>
      </w:r>
      <w:r>
        <w:rPr>
          <w:spacing w:val="-8"/>
          <w:sz w:val="18"/>
        </w:rPr>
        <w:t> </w:t>
      </w:r>
      <w:r>
        <w:rPr>
          <w:sz w:val="18"/>
        </w:rPr>
        <w:t>on</w:t>
      </w:r>
      <w:r>
        <w:rPr>
          <w:spacing w:val="-9"/>
          <w:sz w:val="18"/>
        </w:rPr>
        <w:t> </w:t>
      </w:r>
      <w:r>
        <w:rPr>
          <w:sz w:val="18"/>
        </w:rPr>
        <w:t>the</w:t>
      </w:r>
      <w:r>
        <w:rPr>
          <w:spacing w:val="-8"/>
          <w:sz w:val="18"/>
        </w:rPr>
        <w:t> </w:t>
      </w:r>
      <w:r>
        <w:rPr>
          <w:sz w:val="18"/>
        </w:rPr>
        <w:t>Framework</w:t>
      </w:r>
      <w:r>
        <w:rPr>
          <w:spacing w:val="-8"/>
          <w:sz w:val="18"/>
        </w:rPr>
        <w:t> </w:t>
      </w:r>
      <w:r>
        <w:rPr>
          <w:sz w:val="18"/>
        </w:rPr>
        <w:t>Convention</w:t>
      </w:r>
      <w:r>
        <w:rPr>
          <w:spacing w:val="-9"/>
          <w:sz w:val="18"/>
        </w:rPr>
        <w:t> </w:t>
      </w:r>
      <w:r>
        <w:rPr>
          <w:sz w:val="18"/>
        </w:rPr>
        <w:t>for</w:t>
      </w:r>
      <w:r>
        <w:rPr>
          <w:spacing w:val="-8"/>
          <w:sz w:val="18"/>
        </w:rPr>
        <w:t> </w:t>
      </w:r>
      <w:r>
        <w:rPr>
          <w:sz w:val="18"/>
        </w:rPr>
        <w:t>the</w:t>
      </w:r>
      <w:r>
        <w:rPr>
          <w:spacing w:val="-8"/>
          <w:sz w:val="18"/>
        </w:rPr>
        <w:t> </w:t>
      </w:r>
      <w:r>
        <w:rPr>
          <w:sz w:val="18"/>
        </w:rPr>
        <w:t>Protection</w:t>
      </w:r>
      <w:r>
        <w:rPr>
          <w:spacing w:val="-9"/>
          <w:sz w:val="18"/>
        </w:rPr>
        <w:t> </w:t>
      </w:r>
      <w:r>
        <w:rPr>
          <w:sz w:val="18"/>
        </w:rPr>
        <w:t>of</w:t>
      </w:r>
      <w:r>
        <w:rPr>
          <w:spacing w:val="-9"/>
          <w:sz w:val="18"/>
        </w:rPr>
        <w:t> </w:t>
      </w:r>
      <w:r>
        <w:rPr>
          <w:sz w:val="18"/>
        </w:rPr>
        <w:t>National</w:t>
      </w:r>
      <w:r>
        <w:rPr>
          <w:spacing w:val="-9"/>
          <w:sz w:val="18"/>
        </w:rPr>
        <w:t> </w:t>
      </w:r>
      <w:r>
        <w:rPr>
          <w:sz w:val="18"/>
        </w:rPr>
        <w:t>Minorities’,</w:t>
      </w:r>
      <w:r>
        <w:rPr>
          <w:spacing w:val="-8"/>
          <w:sz w:val="18"/>
        </w:rPr>
        <w:t> </w:t>
      </w:r>
      <w:r>
        <w:rPr>
          <w:sz w:val="18"/>
        </w:rPr>
        <w:t>25</w:t>
      </w:r>
      <w:r>
        <w:rPr>
          <w:spacing w:val="-8"/>
          <w:sz w:val="18"/>
        </w:rPr>
        <w:t> </w:t>
      </w:r>
      <w:r>
        <w:rPr>
          <w:sz w:val="18"/>
        </w:rPr>
        <w:t>May 2023, at para 195.</w:t>
      </w:r>
    </w:p>
    <w:p>
      <w:pPr>
        <w:pStyle w:val="ListParagraph"/>
        <w:numPr>
          <w:ilvl w:val="0"/>
          <w:numId w:val="11"/>
        </w:numPr>
        <w:tabs>
          <w:tab w:pos="1853" w:val="left" w:leader="none"/>
        </w:tabs>
        <w:spacing w:line="235" w:lineRule="auto" w:before="1" w:after="0"/>
        <w:ind w:left="1853" w:right="1500" w:hanging="720"/>
        <w:jc w:val="left"/>
        <w:rPr>
          <w:sz w:val="18"/>
        </w:rPr>
      </w:pPr>
      <w:r>
        <w:rPr>
          <w:sz w:val="18"/>
        </w:rPr>
        <w:t>CM/ResCMN(2023)7,</w:t>
      </w:r>
      <w:r>
        <w:rPr>
          <w:spacing w:val="-6"/>
          <w:sz w:val="18"/>
        </w:rPr>
        <w:t> </w:t>
      </w:r>
      <w:r>
        <w:rPr>
          <w:sz w:val="18"/>
        </w:rPr>
        <w:t>‘Committee</w:t>
      </w:r>
      <w:r>
        <w:rPr>
          <w:spacing w:val="-6"/>
          <w:sz w:val="18"/>
        </w:rPr>
        <w:t> </w:t>
      </w:r>
      <w:r>
        <w:rPr>
          <w:sz w:val="18"/>
        </w:rPr>
        <w:t>of</w:t>
      </w:r>
      <w:r>
        <w:rPr>
          <w:spacing w:val="-7"/>
          <w:sz w:val="18"/>
        </w:rPr>
        <w:t> </w:t>
      </w:r>
      <w:r>
        <w:rPr>
          <w:sz w:val="18"/>
        </w:rPr>
        <w:t>Minister</w:t>
      </w:r>
      <w:r>
        <w:rPr>
          <w:spacing w:val="-6"/>
          <w:sz w:val="18"/>
        </w:rPr>
        <w:t> </w:t>
      </w:r>
      <w:r>
        <w:rPr>
          <w:sz w:val="18"/>
        </w:rPr>
        <w:t>resolution</w:t>
      </w:r>
      <w:r>
        <w:rPr>
          <w:spacing w:val="-7"/>
          <w:sz w:val="18"/>
        </w:rPr>
        <w:t> </w:t>
      </w:r>
      <w:r>
        <w:rPr>
          <w:sz w:val="18"/>
        </w:rPr>
        <w:t>on</w:t>
      </w:r>
      <w:r>
        <w:rPr>
          <w:spacing w:val="-7"/>
          <w:sz w:val="18"/>
        </w:rPr>
        <w:t> </w:t>
      </w:r>
      <w:r>
        <w:rPr>
          <w:sz w:val="18"/>
        </w:rPr>
        <w:t>the</w:t>
      </w:r>
      <w:r>
        <w:rPr>
          <w:spacing w:val="-6"/>
          <w:sz w:val="18"/>
        </w:rPr>
        <w:t> </w:t>
      </w:r>
      <w:r>
        <w:rPr>
          <w:sz w:val="18"/>
        </w:rPr>
        <w:t>implementation</w:t>
      </w:r>
      <w:r>
        <w:rPr>
          <w:spacing w:val="-7"/>
          <w:sz w:val="18"/>
        </w:rPr>
        <w:t> </w:t>
      </w:r>
      <w:r>
        <w:rPr>
          <w:sz w:val="18"/>
        </w:rPr>
        <w:t>of</w:t>
      </w:r>
      <w:r>
        <w:rPr>
          <w:spacing w:val="-7"/>
          <w:sz w:val="18"/>
        </w:rPr>
        <w:t> </w:t>
      </w:r>
      <w:r>
        <w:rPr>
          <w:sz w:val="18"/>
        </w:rPr>
        <w:t>the</w:t>
      </w:r>
      <w:r>
        <w:rPr>
          <w:spacing w:val="-6"/>
          <w:sz w:val="18"/>
        </w:rPr>
        <w:t> </w:t>
      </w:r>
      <w:r>
        <w:rPr>
          <w:sz w:val="18"/>
        </w:rPr>
        <w:t>Framework</w:t>
      </w:r>
      <w:r>
        <w:rPr>
          <w:spacing w:val="-6"/>
          <w:sz w:val="18"/>
        </w:rPr>
        <w:t> </w:t>
      </w:r>
      <w:r>
        <w:rPr>
          <w:sz w:val="18"/>
        </w:rPr>
        <w:t>Convention</w:t>
      </w:r>
      <w:r>
        <w:rPr>
          <w:spacing w:val="-7"/>
          <w:sz w:val="18"/>
        </w:rPr>
        <w:t> </w:t>
      </w:r>
      <w:r>
        <w:rPr>
          <w:sz w:val="18"/>
        </w:rPr>
        <w:t>for</w:t>
      </w:r>
      <w:r>
        <w:rPr>
          <w:spacing w:val="-6"/>
          <w:sz w:val="18"/>
        </w:rPr>
        <w:t> </w:t>
      </w:r>
      <w:r>
        <w:rPr>
          <w:sz w:val="18"/>
        </w:rPr>
        <w:t>the Protection of National Minorities by the UK’, 12 July 2023.</w:t>
      </w:r>
    </w:p>
    <w:p>
      <w:pPr>
        <w:pStyle w:val="ListParagraph"/>
        <w:numPr>
          <w:ilvl w:val="0"/>
          <w:numId w:val="11"/>
        </w:numPr>
        <w:tabs>
          <w:tab w:pos="1853" w:val="left" w:leader="none"/>
        </w:tabs>
        <w:spacing w:line="235" w:lineRule="auto" w:before="1" w:after="0"/>
        <w:ind w:left="1853" w:right="1215" w:hanging="720"/>
        <w:jc w:val="left"/>
        <w:rPr>
          <w:sz w:val="18"/>
        </w:rPr>
      </w:pPr>
      <w:r>
        <w:rPr>
          <w:sz w:val="18"/>
        </w:rPr>
        <w:t>CRC/C/GBR/CO/6-7,</w:t>
      </w:r>
      <w:r>
        <w:rPr>
          <w:spacing w:val="-4"/>
          <w:sz w:val="18"/>
        </w:rPr>
        <w:t> </w:t>
      </w:r>
      <w:r>
        <w:rPr>
          <w:sz w:val="18"/>
        </w:rPr>
        <w:t>‘UN</w:t>
      </w:r>
      <w:r>
        <w:rPr>
          <w:spacing w:val="-4"/>
          <w:sz w:val="18"/>
        </w:rPr>
        <w:t> </w:t>
      </w:r>
      <w:r>
        <w:rPr>
          <w:sz w:val="18"/>
        </w:rPr>
        <w:t>CRC</w:t>
      </w:r>
      <w:r>
        <w:rPr>
          <w:spacing w:val="-5"/>
          <w:sz w:val="18"/>
        </w:rPr>
        <w:t> </w:t>
      </w:r>
      <w:r>
        <w:rPr>
          <w:sz w:val="18"/>
        </w:rPr>
        <w:t>Committee</w:t>
      </w:r>
      <w:r>
        <w:rPr>
          <w:spacing w:val="-4"/>
          <w:sz w:val="18"/>
        </w:rPr>
        <w:t> </w:t>
      </w:r>
      <w:r>
        <w:rPr>
          <w:sz w:val="18"/>
        </w:rPr>
        <w:t>Concluding</w:t>
      </w:r>
      <w:r>
        <w:rPr>
          <w:spacing w:val="-4"/>
          <w:sz w:val="18"/>
        </w:rPr>
        <w:t> </w:t>
      </w:r>
      <w:r>
        <w:rPr>
          <w:sz w:val="18"/>
        </w:rPr>
        <w:t>Observations</w:t>
      </w:r>
      <w:r>
        <w:rPr>
          <w:spacing w:val="-5"/>
          <w:sz w:val="18"/>
        </w:rPr>
        <w:t> </w:t>
      </w:r>
      <w:r>
        <w:rPr>
          <w:sz w:val="18"/>
        </w:rPr>
        <w:t>on</w:t>
      </w:r>
      <w:r>
        <w:rPr>
          <w:spacing w:val="-5"/>
          <w:sz w:val="18"/>
        </w:rPr>
        <w:t> </w:t>
      </w:r>
      <w:r>
        <w:rPr>
          <w:sz w:val="18"/>
        </w:rPr>
        <w:t>the</w:t>
      </w:r>
      <w:r>
        <w:rPr>
          <w:spacing w:val="-4"/>
          <w:sz w:val="18"/>
        </w:rPr>
        <w:t> </w:t>
      </w:r>
      <w:r>
        <w:rPr>
          <w:sz w:val="18"/>
        </w:rPr>
        <w:t>Sixth</w:t>
      </w:r>
      <w:r>
        <w:rPr>
          <w:spacing w:val="-5"/>
          <w:sz w:val="18"/>
        </w:rPr>
        <w:t> </w:t>
      </w:r>
      <w:r>
        <w:rPr>
          <w:sz w:val="18"/>
        </w:rPr>
        <w:t>and</w:t>
      </w:r>
      <w:r>
        <w:rPr>
          <w:spacing w:val="-5"/>
          <w:sz w:val="18"/>
        </w:rPr>
        <w:t> </w:t>
      </w:r>
      <w:r>
        <w:rPr>
          <w:sz w:val="18"/>
        </w:rPr>
        <w:t>Seventh</w:t>
      </w:r>
      <w:r>
        <w:rPr>
          <w:spacing w:val="-5"/>
          <w:sz w:val="18"/>
        </w:rPr>
        <w:t> </w:t>
      </w:r>
      <w:r>
        <w:rPr>
          <w:sz w:val="18"/>
        </w:rPr>
        <w:t>Periodic</w:t>
      </w:r>
      <w:r>
        <w:rPr>
          <w:spacing w:val="-4"/>
          <w:sz w:val="18"/>
        </w:rPr>
        <w:t> </w:t>
      </w:r>
      <w:r>
        <w:rPr>
          <w:sz w:val="18"/>
        </w:rPr>
        <w:t>Reports</w:t>
      </w:r>
      <w:r>
        <w:rPr>
          <w:spacing w:val="-5"/>
          <w:sz w:val="18"/>
        </w:rPr>
        <w:t> </w:t>
      </w:r>
      <w:r>
        <w:rPr>
          <w:sz w:val="18"/>
        </w:rPr>
        <w:t>of</w:t>
      </w:r>
      <w:r>
        <w:rPr>
          <w:spacing w:val="-5"/>
          <w:sz w:val="18"/>
        </w:rPr>
        <w:t> </w:t>
      </w:r>
      <w:r>
        <w:rPr>
          <w:sz w:val="18"/>
        </w:rPr>
        <w:t>the</w:t>
      </w:r>
      <w:r>
        <w:rPr>
          <w:spacing w:val="-4"/>
          <w:sz w:val="18"/>
        </w:rPr>
        <w:t> </w:t>
      </w:r>
      <w:r>
        <w:rPr>
          <w:sz w:val="18"/>
        </w:rPr>
        <w:t>UK</w:t>
      </w:r>
      <w:r>
        <w:rPr>
          <w:spacing w:val="-4"/>
          <w:sz w:val="18"/>
        </w:rPr>
        <w:t> </w:t>
      </w:r>
      <w:r>
        <w:rPr>
          <w:sz w:val="18"/>
        </w:rPr>
        <w:t>of Great Britain and NI’, 2 June 2023, at para 47(a).</w:t>
      </w:r>
    </w:p>
    <w:p>
      <w:pPr>
        <w:pStyle w:val="ListParagraph"/>
        <w:numPr>
          <w:ilvl w:val="0"/>
          <w:numId w:val="11"/>
        </w:numPr>
        <w:tabs>
          <w:tab w:pos="1853" w:val="left" w:leader="none"/>
        </w:tabs>
        <w:spacing w:line="235" w:lineRule="auto" w:before="2" w:after="0"/>
        <w:ind w:left="1853" w:right="1574" w:hanging="720"/>
        <w:jc w:val="left"/>
        <w:rPr>
          <w:sz w:val="18"/>
        </w:rPr>
      </w:pPr>
      <w:r>
        <w:rPr>
          <w:sz w:val="18"/>
        </w:rPr>
        <w:t>Rebecca</w:t>
      </w:r>
      <w:r>
        <w:rPr>
          <w:spacing w:val="-5"/>
          <w:sz w:val="18"/>
        </w:rPr>
        <w:t> </w:t>
      </w:r>
      <w:r>
        <w:rPr>
          <w:sz w:val="18"/>
        </w:rPr>
        <w:t>Loader,</w:t>
      </w:r>
      <w:r>
        <w:rPr>
          <w:spacing w:val="-4"/>
          <w:sz w:val="18"/>
        </w:rPr>
        <w:t> </w:t>
      </w:r>
      <w:r>
        <w:rPr>
          <w:sz w:val="18"/>
        </w:rPr>
        <w:t>Erica</w:t>
      </w:r>
      <w:r>
        <w:rPr>
          <w:spacing w:val="-5"/>
          <w:sz w:val="18"/>
        </w:rPr>
        <w:t> </w:t>
      </w:r>
      <w:r>
        <w:rPr>
          <w:sz w:val="18"/>
        </w:rPr>
        <w:t>Jiminez,</w:t>
      </w:r>
      <w:r>
        <w:rPr>
          <w:spacing w:val="-4"/>
          <w:sz w:val="18"/>
        </w:rPr>
        <w:t> </w:t>
      </w:r>
      <w:r>
        <w:rPr>
          <w:sz w:val="18"/>
        </w:rPr>
        <w:t>Aisling</w:t>
      </w:r>
      <w:r>
        <w:rPr>
          <w:spacing w:val="-4"/>
          <w:sz w:val="18"/>
        </w:rPr>
        <w:t> </w:t>
      </w:r>
      <w:r>
        <w:rPr>
          <w:sz w:val="18"/>
        </w:rPr>
        <w:t>O’Boyle</w:t>
      </w:r>
      <w:r>
        <w:rPr>
          <w:spacing w:val="-4"/>
          <w:sz w:val="18"/>
        </w:rPr>
        <w:t> </w:t>
      </w:r>
      <w:r>
        <w:rPr>
          <w:sz w:val="18"/>
        </w:rPr>
        <w:t>and</w:t>
      </w:r>
      <w:r>
        <w:rPr>
          <w:spacing w:val="-5"/>
          <w:sz w:val="18"/>
        </w:rPr>
        <w:t> </w:t>
      </w:r>
      <w:r>
        <w:rPr>
          <w:sz w:val="18"/>
        </w:rPr>
        <w:t>Joanne</w:t>
      </w:r>
      <w:r>
        <w:rPr>
          <w:spacing w:val="-4"/>
          <w:sz w:val="18"/>
        </w:rPr>
        <w:t> </w:t>
      </w:r>
      <w:r>
        <w:rPr>
          <w:sz w:val="18"/>
        </w:rPr>
        <w:t>Hughes,</w:t>
      </w:r>
      <w:r>
        <w:rPr>
          <w:spacing w:val="-4"/>
          <w:sz w:val="18"/>
        </w:rPr>
        <w:t> </w:t>
      </w:r>
      <w:r>
        <w:rPr>
          <w:sz w:val="18"/>
        </w:rPr>
        <w:t>‘Experiences</w:t>
      </w:r>
      <w:r>
        <w:rPr>
          <w:spacing w:val="-5"/>
          <w:sz w:val="18"/>
        </w:rPr>
        <w:t> </w:t>
      </w:r>
      <w:r>
        <w:rPr>
          <w:sz w:val="18"/>
        </w:rPr>
        <w:t>of</w:t>
      </w:r>
      <w:r>
        <w:rPr>
          <w:spacing w:val="-5"/>
          <w:sz w:val="18"/>
        </w:rPr>
        <w:t> </w:t>
      </w:r>
      <w:r>
        <w:rPr>
          <w:sz w:val="18"/>
        </w:rPr>
        <w:t>Education</w:t>
      </w:r>
      <w:r>
        <w:rPr>
          <w:spacing w:val="-5"/>
          <w:sz w:val="18"/>
        </w:rPr>
        <w:t> </w:t>
      </w:r>
      <w:r>
        <w:rPr>
          <w:sz w:val="18"/>
        </w:rPr>
        <w:t>Among</w:t>
      </w:r>
      <w:r>
        <w:rPr>
          <w:spacing w:val="-4"/>
          <w:sz w:val="18"/>
        </w:rPr>
        <w:t> </w:t>
      </w:r>
      <w:r>
        <w:rPr>
          <w:sz w:val="18"/>
        </w:rPr>
        <w:t>Minority</w:t>
      </w:r>
      <w:r>
        <w:rPr>
          <w:spacing w:val="-4"/>
          <w:sz w:val="18"/>
        </w:rPr>
        <w:t> </w:t>
      </w:r>
      <w:r>
        <w:rPr>
          <w:sz w:val="18"/>
        </w:rPr>
        <w:t>Ethnic Groups in NI’ (QUB, 2023).</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24"/>
      </w:pPr>
      <w:r>
        <w:rPr/>
        <w:t>children,</w:t>
      </w:r>
      <w:r>
        <w:rPr>
          <w:spacing w:val="-8"/>
        </w:rPr>
        <w:t> </w:t>
      </w:r>
      <w:r>
        <w:rPr/>
        <w:t>have</w:t>
      </w:r>
      <w:r>
        <w:rPr>
          <w:spacing w:val="-8"/>
        </w:rPr>
        <w:t> </w:t>
      </w:r>
      <w:r>
        <w:rPr/>
        <w:t>some</w:t>
      </w:r>
      <w:r>
        <w:rPr>
          <w:spacing w:val="-8"/>
        </w:rPr>
        <w:t> </w:t>
      </w:r>
      <w:r>
        <w:rPr/>
        <w:t>of</w:t>
      </w:r>
      <w:r>
        <w:rPr>
          <w:spacing w:val="-8"/>
        </w:rPr>
        <w:t> </w:t>
      </w:r>
      <w:r>
        <w:rPr/>
        <w:t>the</w:t>
      </w:r>
      <w:r>
        <w:rPr>
          <w:spacing w:val="-8"/>
        </w:rPr>
        <w:t> </w:t>
      </w:r>
      <w:r>
        <w:rPr/>
        <w:t>lowest</w:t>
      </w:r>
      <w:r>
        <w:rPr>
          <w:spacing w:val="-8"/>
        </w:rPr>
        <w:t> </w:t>
      </w:r>
      <w:r>
        <w:rPr/>
        <w:t>levels</w:t>
      </w:r>
      <w:r>
        <w:rPr>
          <w:spacing w:val="-8"/>
        </w:rPr>
        <w:t> </w:t>
      </w:r>
      <w:r>
        <w:rPr/>
        <w:t>of</w:t>
      </w:r>
      <w:r>
        <w:rPr>
          <w:spacing w:val="-8"/>
        </w:rPr>
        <w:t> </w:t>
      </w:r>
      <w:r>
        <w:rPr/>
        <w:t>attainment</w:t>
      </w:r>
      <w:r>
        <w:rPr>
          <w:spacing w:val="-8"/>
        </w:rPr>
        <w:t> </w:t>
      </w:r>
      <w:r>
        <w:rPr/>
        <w:t>of</w:t>
      </w:r>
      <w:r>
        <w:rPr>
          <w:spacing w:val="-8"/>
        </w:rPr>
        <w:t> </w:t>
      </w:r>
      <w:r>
        <w:rPr/>
        <w:t>all</w:t>
      </w:r>
      <w:r>
        <w:rPr>
          <w:spacing w:val="-8"/>
        </w:rPr>
        <w:t> </w:t>
      </w:r>
      <w:r>
        <w:rPr/>
        <w:t>equality</w:t>
      </w:r>
      <w:r>
        <w:rPr>
          <w:spacing w:val="-8"/>
        </w:rPr>
        <w:t> </w:t>
      </w:r>
      <w:r>
        <w:rPr/>
        <w:t>groups.</w:t>
      </w:r>
      <w:r>
        <w:rPr>
          <w:vertAlign w:val="superscript"/>
        </w:rPr>
        <w:t>655</w:t>
      </w:r>
      <w:r>
        <w:rPr>
          <w:vertAlign w:val="baseline"/>
        </w:rPr>
        <w:t> The final report and accompanying action plan contain 47 actions to address educational</w:t>
      </w:r>
      <w:r>
        <w:rPr>
          <w:spacing w:val="-10"/>
          <w:vertAlign w:val="baseline"/>
        </w:rPr>
        <w:t> </w:t>
      </w:r>
      <w:r>
        <w:rPr>
          <w:vertAlign w:val="baseline"/>
        </w:rPr>
        <w:t>underachievement</w:t>
      </w:r>
      <w:r>
        <w:rPr>
          <w:spacing w:val="-10"/>
          <w:vertAlign w:val="baseline"/>
        </w:rPr>
        <w:t> </w:t>
      </w:r>
      <w:r>
        <w:rPr>
          <w:vertAlign w:val="baseline"/>
        </w:rPr>
        <w:t>at</w:t>
      </w:r>
      <w:r>
        <w:rPr>
          <w:spacing w:val="-10"/>
          <w:vertAlign w:val="baseline"/>
        </w:rPr>
        <w:t> </w:t>
      </w:r>
      <w:r>
        <w:rPr>
          <w:vertAlign w:val="baseline"/>
        </w:rPr>
        <w:t>all</w:t>
      </w:r>
      <w:r>
        <w:rPr>
          <w:spacing w:val="-10"/>
          <w:vertAlign w:val="baseline"/>
        </w:rPr>
        <w:t> </w:t>
      </w:r>
      <w:r>
        <w:rPr>
          <w:vertAlign w:val="baseline"/>
        </w:rPr>
        <w:t>levels.</w:t>
      </w:r>
      <w:r>
        <w:rPr>
          <w:vertAlign w:val="superscript"/>
        </w:rPr>
        <w:t>656</w:t>
      </w:r>
      <w:r>
        <w:rPr>
          <w:spacing w:val="-10"/>
          <w:vertAlign w:val="baseline"/>
        </w:rPr>
        <w:t> </w:t>
      </w:r>
      <w:r>
        <w:rPr>
          <w:vertAlign w:val="baseline"/>
        </w:rPr>
        <w:t>In</w:t>
      </w:r>
      <w:r>
        <w:rPr>
          <w:spacing w:val="-10"/>
          <w:vertAlign w:val="baseline"/>
        </w:rPr>
        <w:t> </w:t>
      </w:r>
      <w:r>
        <w:rPr>
          <w:vertAlign w:val="baseline"/>
        </w:rPr>
        <w:t>June</w:t>
      </w:r>
      <w:r>
        <w:rPr>
          <w:spacing w:val="-10"/>
          <w:vertAlign w:val="baseline"/>
        </w:rPr>
        <w:t> </w:t>
      </w:r>
      <w:r>
        <w:rPr>
          <w:vertAlign w:val="baseline"/>
        </w:rPr>
        <w:t>2023,</w:t>
      </w:r>
      <w:r>
        <w:rPr>
          <w:spacing w:val="-10"/>
          <w:vertAlign w:val="baseline"/>
        </w:rPr>
        <w:t> </w:t>
      </w:r>
      <w:r>
        <w:rPr>
          <w:vertAlign w:val="baseline"/>
        </w:rPr>
        <w:t>the</w:t>
      </w:r>
      <w:r>
        <w:rPr>
          <w:spacing w:val="-10"/>
          <w:vertAlign w:val="baseline"/>
        </w:rPr>
        <w:t> </w:t>
      </w:r>
      <w:r>
        <w:rPr>
          <w:vertAlign w:val="baseline"/>
        </w:rPr>
        <w:t>Department</w:t>
      </w:r>
      <w:r>
        <w:rPr>
          <w:spacing w:val="-10"/>
          <w:vertAlign w:val="baseline"/>
        </w:rPr>
        <w:t> </w:t>
      </w:r>
      <w:r>
        <w:rPr>
          <w:vertAlign w:val="baseline"/>
        </w:rPr>
        <w:t>of Education</w:t>
      </w:r>
      <w:r>
        <w:rPr>
          <w:spacing w:val="-7"/>
          <w:vertAlign w:val="baseline"/>
        </w:rPr>
        <w:t> </w:t>
      </w:r>
      <w:r>
        <w:rPr>
          <w:vertAlign w:val="baseline"/>
        </w:rPr>
        <w:t>advised</w:t>
      </w:r>
      <w:r>
        <w:rPr>
          <w:spacing w:val="-7"/>
          <w:vertAlign w:val="baseline"/>
        </w:rPr>
        <w:t> </w:t>
      </w:r>
      <w:r>
        <w:rPr>
          <w:vertAlign w:val="baseline"/>
        </w:rPr>
        <w:t>that</w:t>
      </w:r>
      <w:r>
        <w:rPr>
          <w:spacing w:val="-6"/>
          <w:vertAlign w:val="baseline"/>
        </w:rPr>
        <w:t> </w:t>
      </w:r>
      <w:r>
        <w:rPr>
          <w:vertAlign w:val="baseline"/>
        </w:rPr>
        <w:t>67</w:t>
      </w:r>
      <w:r>
        <w:rPr>
          <w:spacing w:val="-6"/>
          <w:vertAlign w:val="baseline"/>
        </w:rPr>
        <w:t> </w:t>
      </w:r>
      <w:r>
        <w:rPr>
          <w:vertAlign w:val="baseline"/>
        </w:rPr>
        <w:t>per</w:t>
      </w:r>
      <w:r>
        <w:rPr>
          <w:spacing w:val="-6"/>
          <w:vertAlign w:val="baseline"/>
        </w:rPr>
        <w:t> </w:t>
      </w:r>
      <w:r>
        <w:rPr>
          <w:vertAlign w:val="baseline"/>
        </w:rPr>
        <w:t>cent</w:t>
      </w:r>
      <w:r>
        <w:rPr>
          <w:spacing w:val="-6"/>
          <w:vertAlign w:val="baseline"/>
        </w:rPr>
        <w:t> </w:t>
      </w:r>
      <w:r>
        <w:rPr>
          <w:vertAlign w:val="baseline"/>
        </w:rPr>
        <w:t>of</w:t>
      </w:r>
      <w:r>
        <w:rPr>
          <w:spacing w:val="-7"/>
          <w:vertAlign w:val="baseline"/>
        </w:rPr>
        <w:t> </w:t>
      </w:r>
      <w:r>
        <w:rPr>
          <w:vertAlign w:val="baseline"/>
        </w:rPr>
        <w:t>the</w:t>
      </w:r>
      <w:r>
        <w:rPr>
          <w:spacing w:val="-6"/>
          <w:vertAlign w:val="baseline"/>
        </w:rPr>
        <w:t> </w:t>
      </w:r>
      <w:r>
        <w:rPr>
          <w:vertAlign w:val="baseline"/>
        </w:rPr>
        <w:t>Expert</w:t>
      </w:r>
      <w:r>
        <w:rPr>
          <w:spacing w:val="-6"/>
          <w:vertAlign w:val="baseline"/>
        </w:rPr>
        <w:t> </w:t>
      </w:r>
      <w:r>
        <w:rPr>
          <w:vertAlign w:val="baseline"/>
        </w:rPr>
        <w:t>Panel’s</w:t>
      </w:r>
      <w:r>
        <w:rPr>
          <w:spacing w:val="-7"/>
          <w:vertAlign w:val="baseline"/>
        </w:rPr>
        <w:t> </w:t>
      </w:r>
      <w:r>
        <w:rPr>
          <w:vertAlign w:val="baseline"/>
        </w:rPr>
        <w:t>actions</w:t>
      </w:r>
      <w:r>
        <w:rPr>
          <w:spacing w:val="-7"/>
          <w:vertAlign w:val="baseline"/>
        </w:rPr>
        <w:t> </w:t>
      </w:r>
      <w:r>
        <w:rPr>
          <w:vertAlign w:val="baseline"/>
        </w:rPr>
        <w:t>are</w:t>
      </w:r>
      <w:r>
        <w:rPr>
          <w:spacing w:val="-6"/>
          <w:vertAlign w:val="baseline"/>
        </w:rPr>
        <w:t> </w:t>
      </w:r>
      <w:r>
        <w:rPr>
          <w:vertAlign w:val="baseline"/>
        </w:rPr>
        <w:t>underway, but that budget cuts “will invariably have a significant limiting impact on the scale and pace of change that can be achieved”.</w:t>
      </w:r>
      <w:r>
        <w:rPr>
          <w:vertAlign w:val="superscript"/>
        </w:rPr>
        <w:t>657</w:t>
      </w:r>
    </w:p>
    <w:p>
      <w:pPr>
        <w:pStyle w:val="ListParagraph"/>
        <w:numPr>
          <w:ilvl w:val="1"/>
          <w:numId w:val="7"/>
        </w:numPr>
        <w:tabs>
          <w:tab w:pos="1853" w:val="left" w:leader="none"/>
        </w:tabs>
        <w:spacing w:line="225" w:lineRule="auto" w:before="313" w:after="0"/>
        <w:ind w:left="1853" w:right="1296" w:hanging="720"/>
        <w:jc w:val="left"/>
        <w:rPr>
          <w:sz w:val="28"/>
        </w:rPr>
      </w:pPr>
      <w:r>
        <w:rPr>
          <w:sz w:val="28"/>
        </w:rPr>
        <w:t>In December 2023, the Independent Review of Education published a three- volume</w:t>
      </w:r>
      <w:r>
        <w:rPr>
          <w:spacing w:val="-15"/>
          <w:sz w:val="28"/>
        </w:rPr>
        <w:t> </w:t>
      </w:r>
      <w:r>
        <w:rPr>
          <w:sz w:val="28"/>
        </w:rPr>
        <w:t>report.</w:t>
      </w:r>
      <w:r>
        <w:rPr>
          <w:sz w:val="28"/>
          <w:vertAlign w:val="superscript"/>
        </w:rPr>
        <w:t>658</w:t>
      </w:r>
      <w:r>
        <w:rPr>
          <w:spacing w:val="-15"/>
          <w:sz w:val="28"/>
          <w:vertAlign w:val="baseline"/>
        </w:rPr>
        <w:t> </w:t>
      </w:r>
      <w:r>
        <w:rPr>
          <w:sz w:val="28"/>
          <w:vertAlign w:val="baseline"/>
        </w:rPr>
        <w:t>The</w:t>
      </w:r>
      <w:r>
        <w:rPr>
          <w:spacing w:val="-15"/>
          <w:sz w:val="28"/>
          <w:vertAlign w:val="baseline"/>
        </w:rPr>
        <w:t> </w:t>
      </w:r>
      <w:r>
        <w:rPr>
          <w:sz w:val="28"/>
          <w:vertAlign w:val="baseline"/>
        </w:rPr>
        <w:t>report’s</w:t>
      </w:r>
      <w:r>
        <w:rPr>
          <w:spacing w:val="-15"/>
          <w:sz w:val="28"/>
          <w:vertAlign w:val="baseline"/>
        </w:rPr>
        <w:t> </w:t>
      </w:r>
      <w:r>
        <w:rPr>
          <w:sz w:val="28"/>
          <w:vertAlign w:val="baseline"/>
        </w:rPr>
        <w:t>key</w:t>
      </w:r>
      <w:r>
        <w:rPr>
          <w:spacing w:val="-15"/>
          <w:sz w:val="28"/>
          <w:vertAlign w:val="baseline"/>
        </w:rPr>
        <w:t> </w:t>
      </w:r>
      <w:r>
        <w:rPr>
          <w:sz w:val="28"/>
          <w:vertAlign w:val="baseline"/>
        </w:rPr>
        <w:t>recommendations</w:t>
      </w:r>
      <w:r>
        <w:rPr>
          <w:spacing w:val="-15"/>
          <w:sz w:val="28"/>
          <w:vertAlign w:val="baseline"/>
        </w:rPr>
        <w:t> </w:t>
      </w:r>
      <w:r>
        <w:rPr>
          <w:sz w:val="28"/>
          <w:vertAlign w:val="baseline"/>
        </w:rPr>
        <w:t>to</w:t>
      </w:r>
      <w:r>
        <w:rPr>
          <w:spacing w:val="-15"/>
          <w:sz w:val="28"/>
          <w:vertAlign w:val="baseline"/>
        </w:rPr>
        <w:t> </w:t>
      </w:r>
      <w:r>
        <w:rPr>
          <w:sz w:val="28"/>
          <w:vertAlign w:val="baseline"/>
        </w:rPr>
        <w:t>combat</w:t>
      </w:r>
      <w:r>
        <w:rPr>
          <w:spacing w:val="-15"/>
          <w:sz w:val="28"/>
          <w:vertAlign w:val="baseline"/>
        </w:rPr>
        <w:t> </w:t>
      </w:r>
      <w:r>
        <w:rPr>
          <w:sz w:val="28"/>
          <w:vertAlign w:val="baseline"/>
        </w:rPr>
        <w:t>disadvantage are the full</w:t>
      </w:r>
      <w:r>
        <w:rPr>
          <w:spacing w:val="-1"/>
          <w:sz w:val="28"/>
          <w:vertAlign w:val="baseline"/>
        </w:rPr>
        <w:t> </w:t>
      </w:r>
      <w:r>
        <w:rPr>
          <w:sz w:val="28"/>
          <w:vertAlign w:val="baseline"/>
        </w:rPr>
        <w:t>implementation</w:t>
      </w:r>
      <w:r>
        <w:rPr>
          <w:spacing w:val="-1"/>
          <w:sz w:val="28"/>
          <w:vertAlign w:val="baseline"/>
        </w:rPr>
        <w:t> </w:t>
      </w:r>
      <w:r>
        <w:rPr>
          <w:sz w:val="28"/>
          <w:vertAlign w:val="baseline"/>
        </w:rPr>
        <w:t>of</w:t>
      </w:r>
      <w:r>
        <w:rPr>
          <w:spacing w:val="-1"/>
          <w:sz w:val="28"/>
          <w:vertAlign w:val="baseline"/>
        </w:rPr>
        <w:t> </w:t>
      </w:r>
      <w:r>
        <w:rPr>
          <w:sz w:val="28"/>
          <w:vertAlign w:val="baseline"/>
        </w:rPr>
        <w:t>the Fair Start Programme and</w:t>
      </w:r>
      <w:r>
        <w:rPr>
          <w:spacing w:val="-1"/>
          <w:sz w:val="28"/>
          <w:vertAlign w:val="baseline"/>
        </w:rPr>
        <w:t> </w:t>
      </w:r>
      <w:r>
        <w:rPr>
          <w:sz w:val="28"/>
          <w:vertAlign w:val="baseline"/>
        </w:rPr>
        <w:t>the provision</w:t>
      </w:r>
      <w:r>
        <w:rPr>
          <w:spacing w:val="-1"/>
          <w:sz w:val="28"/>
          <w:vertAlign w:val="baseline"/>
        </w:rPr>
        <w:t> </w:t>
      </w:r>
      <w:r>
        <w:rPr>
          <w:sz w:val="28"/>
          <w:vertAlign w:val="baseline"/>
        </w:rPr>
        <w:t>of accurate and reliable data for the early Key Stages.</w:t>
      </w:r>
      <w:r>
        <w:rPr>
          <w:sz w:val="28"/>
          <w:vertAlign w:val="superscript"/>
        </w:rPr>
        <w:t>659</w:t>
      </w:r>
    </w:p>
    <w:p>
      <w:pPr>
        <w:pStyle w:val="ListParagraph"/>
        <w:numPr>
          <w:ilvl w:val="1"/>
          <w:numId w:val="7"/>
        </w:numPr>
        <w:tabs>
          <w:tab w:pos="1853" w:val="left" w:leader="none"/>
        </w:tabs>
        <w:spacing w:line="225" w:lineRule="auto" w:before="315" w:after="0"/>
        <w:ind w:left="1853" w:right="1193" w:hanging="720"/>
        <w:jc w:val="left"/>
        <w:rPr>
          <w:sz w:val="28"/>
        </w:rPr>
      </w:pPr>
      <w:r>
        <w:rPr>
          <w:sz w:val="28"/>
        </w:rPr>
        <w:t>In 2019, the Department of Education consulted on the effectiveness of its policy</w:t>
      </w:r>
      <w:r>
        <w:rPr>
          <w:spacing w:val="-8"/>
          <w:sz w:val="28"/>
        </w:rPr>
        <w:t> </w:t>
      </w:r>
      <w:r>
        <w:rPr>
          <w:sz w:val="28"/>
        </w:rPr>
        <w:t>for</w:t>
      </w:r>
      <w:r>
        <w:rPr>
          <w:spacing w:val="-8"/>
          <w:sz w:val="28"/>
        </w:rPr>
        <w:t> </w:t>
      </w:r>
      <w:r>
        <w:rPr>
          <w:sz w:val="28"/>
        </w:rPr>
        <w:t>supporting</w:t>
      </w:r>
      <w:r>
        <w:rPr>
          <w:spacing w:val="-8"/>
          <w:sz w:val="28"/>
        </w:rPr>
        <w:t> </w:t>
      </w:r>
      <w:r>
        <w:rPr>
          <w:sz w:val="28"/>
        </w:rPr>
        <w:t>children</w:t>
      </w:r>
      <w:r>
        <w:rPr>
          <w:spacing w:val="-9"/>
          <w:sz w:val="28"/>
        </w:rPr>
        <w:t> </w:t>
      </w:r>
      <w:r>
        <w:rPr>
          <w:sz w:val="28"/>
        </w:rPr>
        <w:t>of</w:t>
      </w:r>
      <w:r>
        <w:rPr>
          <w:spacing w:val="-9"/>
          <w:sz w:val="28"/>
        </w:rPr>
        <w:t> </w:t>
      </w:r>
      <w:r>
        <w:rPr>
          <w:sz w:val="28"/>
        </w:rPr>
        <w:t>migrants.</w:t>
      </w:r>
      <w:r>
        <w:rPr>
          <w:sz w:val="28"/>
          <w:vertAlign w:val="superscript"/>
        </w:rPr>
        <w:t>660</w:t>
      </w:r>
      <w:r>
        <w:rPr>
          <w:spacing w:val="-9"/>
          <w:sz w:val="28"/>
          <w:vertAlign w:val="baseline"/>
        </w:rPr>
        <w:t> </w:t>
      </w:r>
      <w:r>
        <w:rPr>
          <w:sz w:val="28"/>
          <w:vertAlign w:val="baseline"/>
        </w:rPr>
        <w:t>The</w:t>
      </w:r>
      <w:r>
        <w:rPr>
          <w:spacing w:val="-8"/>
          <w:sz w:val="28"/>
          <w:vertAlign w:val="baseline"/>
        </w:rPr>
        <w:t> </w:t>
      </w:r>
      <w:r>
        <w:rPr>
          <w:sz w:val="28"/>
          <w:vertAlign w:val="baseline"/>
        </w:rPr>
        <w:t>Department</w:t>
      </w:r>
      <w:r>
        <w:rPr>
          <w:spacing w:val="-8"/>
          <w:sz w:val="28"/>
          <w:vertAlign w:val="baseline"/>
        </w:rPr>
        <w:t> </w:t>
      </w:r>
      <w:r>
        <w:rPr>
          <w:sz w:val="28"/>
          <w:vertAlign w:val="baseline"/>
        </w:rPr>
        <w:t>has</w:t>
      </w:r>
      <w:r>
        <w:rPr>
          <w:spacing w:val="-9"/>
          <w:sz w:val="28"/>
          <w:vertAlign w:val="baseline"/>
        </w:rPr>
        <w:t> </w:t>
      </w:r>
      <w:r>
        <w:rPr>
          <w:sz w:val="28"/>
          <w:vertAlign w:val="baseline"/>
        </w:rPr>
        <w:t>advised</w:t>
      </w:r>
      <w:r>
        <w:rPr>
          <w:spacing w:val="-9"/>
          <w:sz w:val="28"/>
          <w:vertAlign w:val="baseline"/>
        </w:rPr>
        <w:t> </w:t>
      </w:r>
      <w:r>
        <w:rPr>
          <w:sz w:val="28"/>
          <w:vertAlign w:val="baseline"/>
        </w:rPr>
        <w:t>that in 2022 work recommenced with policy proposals prepared for consideration of an incoming Minister.</w:t>
      </w:r>
      <w:r>
        <w:rPr>
          <w:spacing w:val="40"/>
          <w:sz w:val="28"/>
          <w:vertAlign w:val="baseline"/>
        </w:rPr>
        <w:t> </w:t>
      </w:r>
      <w:r>
        <w:rPr>
          <w:sz w:val="28"/>
          <w:vertAlign w:val="baseline"/>
        </w:rPr>
        <w:t>These proposals are currently under review to take account of current context, but no timeline has been provided.</w:t>
      </w:r>
      <w:r>
        <w:rPr>
          <w:sz w:val="28"/>
          <w:vertAlign w:val="superscript"/>
        </w:rPr>
        <w:t>661</w:t>
      </w:r>
    </w:p>
    <w:p>
      <w:pPr>
        <w:pStyle w:val="BodyText"/>
        <w:spacing w:before="11"/>
        <w:rPr>
          <w:sz w:val="13"/>
        </w:rPr>
      </w:pPr>
      <w:r>
        <w:rPr/>
        <mc:AlternateContent>
          <mc:Choice Requires="wps">
            <w:drawing>
              <wp:anchor distT="0" distB="0" distL="0" distR="0" allowOverlap="1" layoutInCell="1" locked="0" behindDoc="1" simplePos="0" relativeHeight="487698432">
                <wp:simplePos x="0" y="0"/>
                <wp:positionH relativeFrom="page">
                  <wp:posOffset>720001</wp:posOffset>
                </wp:positionH>
                <wp:positionV relativeFrom="paragraph">
                  <wp:posOffset>123029</wp:posOffset>
                </wp:positionV>
                <wp:extent cx="6120130" cy="360045"/>
                <wp:effectExtent l="0" t="0" r="0" b="0"/>
                <wp:wrapTopAndBottom/>
                <wp:docPr id="498" name="Textbox 498"/>
                <wp:cNvGraphicFramePr>
                  <a:graphicFrameLocks/>
                </wp:cNvGraphicFramePr>
                <a:graphic>
                  <a:graphicData uri="http://schemas.microsoft.com/office/word/2010/wordprocessingShape">
                    <wps:wsp>
                      <wps:cNvPr id="498" name="Textbox 498"/>
                      <wps:cNvSpPr txBox="1"/>
                      <wps:spPr>
                        <a:xfrm>
                          <a:off x="0" y="0"/>
                          <a:ext cx="6120130" cy="360045"/>
                        </a:xfrm>
                        <a:prstGeom prst="rect">
                          <a:avLst/>
                        </a:prstGeom>
                        <a:solidFill>
                          <a:srgbClr val="393B80"/>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9.68736pt;width:481.9pt;height:28.35pt;mso-position-horizontal-relative:page;mso-position-vertical-relative:paragraph;z-index:-15618048;mso-wrap-distance-left:0;mso-wrap-distance-right:0" type="#_x0000_t202" id="docshape444" filled="true" fillcolor="#393b80"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192" w:after="0"/>
        <w:ind w:left="1853" w:right="1184" w:hanging="720"/>
        <w:jc w:val="left"/>
        <w:rPr>
          <w:b/>
          <w:color w:val="67287F"/>
          <w:sz w:val="28"/>
        </w:rPr>
      </w:pPr>
      <w:r>
        <w:rPr>
          <w:b/>
          <w:color w:val="67287F"/>
          <w:sz w:val="28"/>
        </w:rPr>
        <w:t>The</w:t>
      </w:r>
      <w:r>
        <w:rPr>
          <w:b/>
          <w:color w:val="67287F"/>
          <w:spacing w:val="-8"/>
          <w:sz w:val="28"/>
        </w:rPr>
        <w:t> </w:t>
      </w:r>
      <w:r>
        <w:rPr>
          <w:b/>
          <w:color w:val="67287F"/>
          <w:sz w:val="28"/>
        </w:rPr>
        <w:t>Commissions</w:t>
      </w:r>
      <w:r>
        <w:rPr>
          <w:b/>
          <w:color w:val="67287F"/>
          <w:spacing w:val="-7"/>
          <w:sz w:val="28"/>
        </w:rPr>
        <w:t> </w:t>
      </w:r>
      <w:r>
        <w:rPr>
          <w:b/>
          <w:color w:val="67287F"/>
          <w:sz w:val="28"/>
        </w:rPr>
        <w:t>continue</w:t>
      </w:r>
      <w:r>
        <w:rPr>
          <w:b/>
          <w:color w:val="67287F"/>
          <w:spacing w:val="-8"/>
          <w:sz w:val="28"/>
        </w:rPr>
        <w:t> </w:t>
      </w:r>
      <w:r>
        <w:rPr>
          <w:b/>
          <w:color w:val="67287F"/>
          <w:sz w:val="28"/>
        </w:rPr>
        <w:t>to</w:t>
      </w:r>
      <w:r>
        <w:rPr>
          <w:b/>
          <w:color w:val="67287F"/>
          <w:spacing w:val="-7"/>
          <w:sz w:val="28"/>
        </w:rPr>
        <w:t> </w:t>
      </w:r>
      <w:r>
        <w:rPr>
          <w:b/>
          <w:color w:val="67287F"/>
          <w:sz w:val="28"/>
        </w:rPr>
        <w:t>recommend</w:t>
      </w:r>
      <w:r>
        <w:rPr>
          <w:b/>
          <w:color w:val="67287F"/>
          <w:spacing w:val="-7"/>
          <w:sz w:val="28"/>
        </w:rPr>
        <w:t> </w:t>
      </w:r>
      <w:r>
        <w:rPr>
          <w:b/>
          <w:color w:val="67287F"/>
          <w:sz w:val="28"/>
        </w:rPr>
        <w:t>that</w:t>
      </w:r>
      <w:r>
        <w:rPr>
          <w:b/>
          <w:color w:val="67287F"/>
          <w:spacing w:val="-7"/>
          <w:sz w:val="28"/>
        </w:rPr>
        <w:t> </w:t>
      </w:r>
      <w:r>
        <w:rPr>
          <w:b/>
          <w:color w:val="67287F"/>
          <w:sz w:val="28"/>
        </w:rPr>
        <w:t>the</w:t>
      </w:r>
      <w:r>
        <w:rPr>
          <w:b/>
          <w:color w:val="67287F"/>
          <w:spacing w:val="-8"/>
          <w:sz w:val="28"/>
        </w:rPr>
        <w:t> </w:t>
      </w:r>
      <w:r>
        <w:rPr>
          <w:b/>
          <w:color w:val="67287F"/>
          <w:sz w:val="28"/>
        </w:rPr>
        <w:t>Department</w:t>
      </w:r>
      <w:r>
        <w:rPr>
          <w:b/>
          <w:color w:val="67287F"/>
          <w:spacing w:val="-7"/>
          <w:sz w:val="28"/>
        </w:rPr>
        <w:t> </w:t>
      </w:r>
      <w:r>
        <w:rPr>
          <w:b/>
          <w:color w:val="67287F"/>
          <w:sz w:val="28"/>
        </w:rPr>
        <w:t>of</w:t>
      </w:r>
      <w:r>
        <w:rPr>
          <w:b/>
          <w:color w:val="67287F"/>
          <w:spacing w:val="-8"/>
          <w:sz w:val="28"/>
        </w:rPr>
        <w:t> </w:t>
      </w:r>
      <w:r>
        <w:rPr>
          <w:b/>
          <w:color w:val="67287F"/>
          <w:sz w:val="28"/>
        </w:rPr>
        <w:t>Education monitor and comply with any proposed changes by the EU to the EU Racial Equality Directive, including relevant case law of the CJEU.</w:t>
      </w:r>
    </w:p>
    <w:p>
      <w:pPr>
        <w:pStyle w:val="ListParagraph"/>
        <w:numPr>
          <w:ilvl w:val="1"/>
          <w:numId w:val="7"/>
        </w:numPr>
        <w:tabs>
          <w:tab w:pos="1853" w:val="left" w:leader="none"/>
        </w:tabs>
        <w:spacing w:line="225" w:lineRule="auto" w:before="316" w:after="0"/>
        <w:ind w:left="1853" w:right="1155" w:hanging="720"/>
        <w:jc w:val="left"/>
        <w:rPr>
          <w:b/>
          <w:color w:val="67287F"/>
          <w:sz w:val="28"/>
        </w:rPr>
      </w:pPr>
      <w:r>
        <w:rPr>
          <w:b/>
          <w:color w:val="67287F"/>
          <w:sz w:val="28"/>
        </w:rPr>
        <w:t>The NIHRC recommends that the Department of Education develop, implement and monitor a revised policy for children of migrant families, including an action plan that will guide its effective implementation. This should</w:t>
      </w:r>
      <w:r>
        <w:rPr>
          <w:b/>
          <w:color w:val="67287F"/>
          <w:spacing w:val="-6"/>
          <w:sz w:val="28"/>
        </w:rPr>
        <w:t> </w:t>
      </w:r>
      <w:r>
        <w:rPr>
          <w:b/>
          <w:color w:val="67287F"/>
          <w:sz w:val="28"/>
        </w:rPr>
        <w:t>take</w:t>
      </w:r>
      <w:r>
        <w:rPr>
          <w:b/>
          <w:color w:val="67287F"/>
          <w:spacing w:val="-7"/>
          <w:sz w:val="28"/>
        </w:rPr>
        <w:t> </w:t>
      </w:r>
      <w:r>
        <w:rPr>
          <w:b/>
          <w:color w:val="67287F"/>
          <w:sz w:val="28"/>
        </w:rPr>
        <w:t>a</w:t>
      </w:r>
      <w:r>
        <w:rPr>
          <w:b/>
          <w:color w:val="67287F"/>
          <w:spacing w:val="-6"/>
          <w:sz w:val="28"/>
        </w:rPr>
        <w:t> </w:t>
      </w:r>
      <w:r>
        <w:rPr>
          <w:b/>
          <w:color w:val="67287F"/>
          <w:sz w:val="28"/>
        </w:rPr>
        <w:t>human</w:t>
      </w:r>
      <w:r>
        <w:rPr>
          <w:b/>
          <w:color w:val="67287F"/>
          <w:spacing w:val="-6"/>
          <w:sz w:val="28"/>
        </w:rPr>
        <w:t> </w:t>
      </w:r>
      <w:r>
        <w:rPr>
          <w:b/>
          <w:color w:val="67287F"/>
          <w:sz w:val="28"/>
        </w:rPr>
        <w:t>rights-based</w:t>
      </w:r>
      <w:r>
        <w:rPr>
          <w:b/>
          <w:color w:val="67287F"/>
          <w:spacing w:val="-6"/>
          <w:sz w:val="28"/>
        </w:rPr>
        <w:t> </w:t>
      </w:r>
      <w:r>
        <w:rPr>
          <w:b/>
          <w:color w:val="67287F"/>
          <w:sz w:val="28"/>
        </w:rPr>
        <w:t>approach</w:t>
      </w:r>
      <w:r>
        <w:rPr>
          <w:b/>
          <w:color w:val="67287F"/>
          <w:spacing w:val="-6"/>
          <w:sz w:val="28"/>
        </w:rPr>
        <w:t> </w:t>
      </w:r>
      <w:r>
        <w:rPr>
          <w:b/>
          <w:color w:val="67287F"/>
          <w:sz w:val="28"/>
        </w:rPr>
        <w:t>in</w:t>
      </w:r>
      <w:r>
        <w:rPr>
          <w:b/>
          <w:color w:val="67287F"/>
          <w:spacing w:val="-6"/>
          <w:sz w:val="28"/>
        </w:rPr>
        <w:t> </w:t>
      </w:r>
      <w:r>
        <w:rPr>
          <w:b/>
          <w:color w:val="67287F"/>
          <w:sz w:val="28"/>
        </w:rPr>
        <w:t>line</w:t>
      </w:r>
      <w:r>
        <w:rPr>
          <w:b/>
          <w:color w:val="67287F"/>
          <w:spacing w:val="-7"/>
          <w:sz w:val="28"/>
        </w:rPr>
        <w:t> </w:t>
      </w:r>
      <w:r>
        <w:rPr>
          <w:b/>
          <w:color w:val="67287F"/>
          <w:sz w:val="28"/>
        </w:rPr>
        <w:t>with</w:t>
      </w:r>
      <w:r>
        <w:rPr>
          <w:b/>
          <w:color w:val="67287F"/>
          <w:spacing w:val="-6"/>
          <w:sz w:val="28"/>
        </w:rPr>
        <w:t> </w:t>
      </w:r>
      <w:r>
        <w:rPr>
          <w:b/>
          <w:color w:val="67287F"/>
          <w:sz w:val="28"/>
        </w:rPr>
        <w:t>international</w:t>
      </w:r>
      <w:r>
        <w:rPr>
          <w:b/>
          <w:color w:val="67287F"/>
          <w:spacing w:val="-6"/>
          <w:sz w:val="28"/>
        </w:rPr>
        <w:t> </w:t>
      </w:r>
      <w:r>
        <w:rPr>
          <w:b/>
          <w:color w:val="67287F"/>
          <w:sz w:val="28"/>
        </w:rPr>
        <w:t>human rights standards and Windsor Framework Article 2. It should also include reconsidering the use of the term ‘newcomer pupils’.</w:t>
      </w:r>
    </w:p>
    <w:p>
      <w:pPr>
        <w:pStyle w:val="ListParagraph"/>
        <w:numPr>
          <w:ilvl w:val="1"/>
          <w:numId w:val="7"/>
        </w:numPr>
        <w:tabs>
          <w:tab w:pos="1853" w:val="left" w:leader="none"/>
        </w:tabs>
        <w:spacing w:line="225" w:lineRule="auto" w:before="313" w:after="0"/>
        <w:ind w:left="1853" w:right="1183" w:hanging="720"/>
        <w:jc w:val="left"/>
        <w:rPr>
          <w:b/>
          <w:color w:val="67287F"/>
          <w:sz w:val="28"/>
        </w:rPr>
      </w:pPr>
      <w:r>
        <w:rPr>
          <w:b/>
          <w:color w:val="67287F"/>
          <w:sz w:val="28"/>
        </w:rPr>
        <w:t>The ECNI recommend that the NI Executive and Department of Education work with the Intercultural Education Service to understand and improve the</w:t>
      </w:r>
      <w:r>
        <w:rPr>
          <w:b/>
          <w:color w:val="67287F"/>
          <w:spacing w:val="-7"/>
          <w:sz w:val="28"/>
        </w:rPr>
        <w:t> </w:t>
      </w:r>
      <w:r>
        <w:rPr>
          <w:b/>
          <w:color w:val="67287F"/>
          <w:sz w:val="28"/>
        </w:rPr>
        <w:t>experiences</w:t>
      </w:r>
      <w:r>
        <w:rPr>
          <w:b/>
          <w:color w:val="67287F"/>
          <w:spacing w:val="-6"/>
          <w:sz w:val="28"/>
        </w:rPr>
        <w:t> </w:t>
      </w:r>
      <w:r>
        <w:rPr>
          <w:b/>
          <w:color w:val="67287F"/>
          <w:sz w:val="28"/>
        </w:rPr>
        <w:t>of</w:t>
      </w:r>
      <w:r>
        <w:rPr>
          <w:b/>
          <w:color w:val="67287F"/>
          <w:spacing w:val="-7"/>
          <w:sz w:val="28"/>
        </w:rPr>
        <w:t> </w:t>
      </w:r>
      <w:r>
        <w:rPr>
          <w:b/>
          <w:color w:val="67287F"/>
          <w:sz w:val="28"/>
        </w:rPr>
        <w:t>and</w:t>
      </w:r>
      <w:r>
        <w:rPr>
          <w:b/>
          <w:color w:val="67287F"/>
          <w:spacing w:val="-6"/>
          <w:sz w:val="28"/>
        </w:rPr>
        <w:t> </w:t>
      </w:r>
      <w:r>
        <w:rPr>
          <w:b/>
          <w:color w:val="67287F"/>
          <w:sz w:val="28"/>
        </w:rPr>
        <w:t>outcomes</w:t>
      </w:r>
      <w:r>
        <w:rPr>
          <w:b/>
          <w:color w:val="67287F"/>
          <w:spacing w:val="-6"/>
          <w:sz w:val="28"/>
        </w:rPr>
        <w:t> </w:t>
      </w:r>
      <w:r>
        <w:rPr>
          <w:b/>
          <w:color w:val="67287F"/>
          <w:sz w:val="28"/>
        </w:rPr>
        <w:t>for</w:t>
      </w:r>
      <w:r>
        <w:rPr>
          <w:b/>
          <w:color w:val="67287F"/>
          <w:spacing w:val="-7"/>
          <w:sz w:val="28"/>
        </w:rPr>
        <w:t> </w:t>
      </w:r>
      <w:r>
        <w:rPr>
          <w:b/>
          <w:color w:val="67287F"/>
          <w:sz w:val="28"/>
        </w:rPr>
        <w:t>newcomer</w:t>
      </w:r>
      <w:r>
        <w:rPr>
          <w:b/>
          <w:color w:val="67287F"/>
          <w:spacing w:val="-7"/>
          <w:sz w:val="28"/>
        </w:rPr>
        <w:t> </w:t>
      </w:r>
      <w:r>
        <w:rPr>
          <w:b/>
          <w:color w:val="67287F"/>
          <w:sz w:val="28"/>
        </w:rPr>
        <w:t>(including</w:t>
      </w:r>
      <w:r>
        <w:rPr>
          <w:b/>
          <w:color w:val="67287F"/>
          <w:spacing w:val="-7"/>
          <w:sz w:val="28"/>
        </w:rPr>
        <w:t> </w:t>
      </w:r>
      <w:r>
        <w:rPr>
          <w:b/>
          <w:color w:val="67287F"/>
          <w:sz w:val="28"/>
        </w:rPr>
        <w:t>Roma</w:t>
      </w:r>
      <w:r>
        <w:rPr>
          <w:b/>
          <w:color w:val="67287F"/>
          <w:spacing w:val="-6"/>
          <w:sz w:val="28"/>
        </w:rPr>
        <w:t> </w:t>
      </w:r>
      <w:r>
        <w:rPr>
          <w:b/>
          <w:color w:val="67287F"/>
          <w:sz w:val="28"/>
        </w:rPr>
        <w:t>and</w:t>
      </w:r>
      <w:r>
        <w:rPr>
          <w:b/>
          <w:color w:val="67287F"/>
          <w:spacing w:val="-6"/>
          <w:sz w:val="28"/>
        </w:rPr>
        <w:t> </w:t>
      </w:r>
      <w:r>
        <w:rPr>
          <w:b/>
          <w:color w:val="67287F"/>
          <w:sz w:val="28"/>
        </w:rPr>
        <w:t>asylum seeker) children and minority ethnic pupils.</w:t>
      </w:r>
    </w:p>
    <w:p>
      <w:pPr>
        <w:pStyle w:val="BodyText"/>
        <w:spacing w:before="179"/>
        <w:rPr>
          <w:b/>
          <w:sz w:val="20"/>
        </w:rPr>
      </w:pPr>
      <w:r>
        <w:rPr/>
        <mc:AlternateContent>
          <mc:Choice Requires="wps">
            <w:drawing>
              <wp:anchor distT="0" distB="0" distL="0" distR="0" allowOverlap="1" layoutInCell="1" locked="0" behindDoc="1" simplePos="0" relativeHeight="487698944">
                <wp:simplePos x="0" y="0"/>
                <wp:positionH relativeFrom="page">
                  <wp:posOffset>719996</wp:posOffset>
                </wp:positionH>
                <wp:positionV relativeFrom="paragraph">
                  <wp:posOffset>284193</wp:posOffset>
                </wp:positionV>
                <wp:extent cx="6120130" cy="1270"/>
                <wp:effectExtent l="0" t="0" r="0" b="0"/>
                <wp:wrapTopAndBottom/>
                <wp:docPr id="499" name="Graphic 499"/>
                <wp:cNvGraphicFramePr>
                  <a:graphicFrameLocks/>
                </wp:cNvGraphicFramePr>
                <a:graphic>
                  <a:graphicData uri="http://schemas.microsoft.com/office/word/2010/wordprocessingShape">
                    <wps:wsp>
                      <wps:cNvPr id="499" name="Graphic 49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2.377409pt;width:481.9pt;height:.1pt;mso-position-horizontal-relative:page;mso-position-vertical-relative:paragraph;z-index:-15617536;mso-wrap-distance-left:0;mso-wrap-distance-right:0" id="docshape445" coordorigin="1134,448" coordsize="9638,0" path="m10772,448l1134,448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18" w:lineRule="exact" w:before="152" w:after="0"/>
        <w:ind w:left="1853" w:right="0" w:hanging="720"/>
        <w:jc w:val="both"/>
        <w:rPr>
          <w:sz w:val="18"/>
        </w:rPr>
      </w:pPr>
      <w:r>
        <w:rPr>
          <w:sz w:val="18"/>
        </w:rPr>
        <w:t>Expert</w:t>
      </w:r>
      <w:r>
        <w:rPr>
          <w:spacing w:val="-6"/>
          <w:sz w:val="18"/>
        </w:rPr>
        <w:t> </w:t>
      </w:r>
      <w:r>
        <w:rPr>
          <w:sz w:val="18"/>
        </w:rPr>
        <w:t>Panel</w:t>
      </w:r>
      <w:r>
        <w:rPr>
          <w:spacing w:val="-7"/>
          <w:sz w:val="18"/>
        </w:rPr>
        <w:t> </w:t>
      </w:r>
      <w:r>
        <w:rPr>
          <w:sz w:val="18"/>
        </w:rPr>
        <w:t>on</w:t>
      </w:r>
      <w:r>
        <w:rPr>
          <w:spacing w:val="-6"/>
          <w:sz w:val="18"/>
        </w:rPr>
        <w:t> </w:t>
      </w:r>
      <w:r>
        <w:rPr>
          <w:sz w:val="18"/>
        </w:rPr>
        <w:t>Educational</w:t>
      </w:r>
      <w:r>
        <w:rPr>
          <w:spacing w:val="-7"/>
          <w:sz w:val="18"/>
        </w:rPr>
        <w:t> </w:t>
      </w:r>
      <w:r>
        <w:rPr>
          <w:sz w:val="18"/>
        </w:rPr>
        <w:t>Underachievement,</w:t>
      </w:r>
      <w:r>
        <w:rPr>
          <w:spacing w:val="-6"/>
          <w:sz w:val="18"/>
        </w:rPr>
        <w:t> </w:t>
      </w:r>
      <w:r>
        <w:rPr>
          <w:sz w:val="18"/>
        </w:rPr>
        <w:t>‘A</w:t>
      </w:r>
      <w:r>
        <w:rPr>
          <w:spacing w:val="-5"/>
          <w:sz w:val="18"/>
        </w:rPr>
        <w:t> </w:t>
      </w:r>
      <w:r>
        <w:rPr>
          <w:sz w:val="18"/>
        </w:rPr>
        <w:t>Fair</w:t>
      </w:r>
      <w:r>
        <w:rPr>
          <w:spacing w:val="-6"/>
          <w:sz w:val="18"/>
        </w:rPr>
        <w:t> </w:t>
      </w:r>
      <w:r>
        <w:rPr>
          <w:sz w:val="18"/>
        </w:rPr>
        <w:t>Start:</w:t>
      </w:r>
      <w:r>
        <w:rPr>
          <w:spacing w:val="-6"/>
          <w:sz w:val="18"/>
        </w:rPr>
        <w:t> </w:t>
      </w:r>
      <w:r>
        <w:rPr>
          <w:sz w:val="18"/>
        </w:rPr>
        <w:t>Final</w:t>
      </w:r>
      <w:r>
        <w:rPr>
          <w:spacing w:val="-6"/>
          <w:sz w:val="18"/>
        </w:rPr>
        <w:t> </w:t>
      </w:r>
      <w:r>
        <w:rPr>
          <w:sz w:val="18"/>
        </w:rPr>
        <w:t>Report</w:t>
      </w:r>
      <w:r>
        <w:rPr>
          <w:spacing w:val="-6"/>
          <w:sz w:val="18"/>
        </w:rPr>
        <w:t> </w:t>
      </w:r>
      <w:r>
        <w:rPr>
          <w:sz w:val="18"/>
        </w:rPr>
        <w:t>and</w:t>
      </w:r>
      <w:r>
        <w:rPr>
          <w:spacing w:val="-6"/>
          <w:sz w:val="18"/>
        </w:rPr>
        <w:t> </w:t>
      </w:r>
      <w:r>
        <w:rPr>
          <w:sz w:val="18"/>
        </w:rPr>
        <w:t>Action</w:t>
      </w:r>
      <w:r>
        <w:rPr>
          <w:spacing w:val="-7"/>
          <w:sz w:val="18"/>
        </w:rPr>
        <w:t> </w:t>
      </w:r>
      <w:r>
        <w:rPr>
          <w:sz w:val="18"/>
        </w:rPr>
        <w:t>Plan’</w:t>
      </w:r>
      <w:r>
        <w:rPr>
          <w:spacing w:val="-6"/>
          <w:sz w:val="18"/>
        </w:rPr>
        <w:t> </w:t>
      </w:r>
      <w:r>
        <w:rPr>
          <w:sz w:val="18"/>
        </w:rPr>
        <w:t>(DE,</w:t>
      </w:r>
      <w:r>
        <w:rPr>
          <w:spacing w:val="-5"/>
          <w:sz w:val="18"/>
        </w:rPr>
        <w:t> </w:t>
      </w:r>
      <w:r>
        <w:rPr>
          <w:spacing w:val="-2"/>
          <w:sz w:val="18"/>
        </w:rPr>
        <w:t>2021).</w:t>
      </w:r>
    </w:p>
    <w:p>
      <w:pPr>
        <w:pStyle w:val="ListParagraph"/>
        <w:numPr>
          <w:ilvl w:val="0"/>
          <w:numId w:val="11"/>
        </w:numPr>
        <w:tabs>
          <w:tab w:pos="1853" w:val="left" w:leader="none"/>
        </w:tabs>
        <w:spacing w:line="235" w:lineRule="auto" w:before="2" w:after="0"/>
        <w:ind w:left="1853" w:right="1461" w:hanging="720"/>
        <w:jc w:val="both"/>
        <w:rPr>
          <w:sz w:val="18"/>
        </w:rPr>
      </w:pPr>
      <w:r>
        <w:rPr>
          <w:sz w:val="18"/>
        </w:rPr>
        <w:t>Department</w:t>
      </w:r>
      <w:r>
        <w:rPr>
          <w:spacing w:val="-5"/>
          <w:sz w:val="18"/>
        </w:rPr>
        <w:t> </w:t>
      </w:r>
      <w:r>
        <w:rPr>
          <w:sz w:val="18"/>
        </w:rPr>
        <w:t>of</w:t>
      </w:r>
      <w:r>
        <w:rPr>
          <w:spacing w:val="-5"/>
          <w:sz w:val="18"/>
        </w:rPr>
        <w:t> </w:t>
      </w:r>
      <w:r>
        <w:rPr>
          <w:sz w:val="18"/>
        </w:rPr>
        <w:t>Education,</w:t>
      </w:r>
      <w:r>
        <w:rPr>
          <w:spacing w:val="-5"/>
          <w:sz w:val="18"/>
        </w:rPr>
        <w:t> </w:t>
      </w:r>
      <w:r>
        <w:rPr>
          <w:sz w:val="18"/>
        </w:rPr>
        <w:t>‘Expert</w:t>
      </w:r>
      <w:r>
        <w:rPr>
          <w:spacing w:val="-5"/>
          <w:sz w:val="18"/>
        </w:rPr>
        <w:t> </w:t>
      </w:r>
      <w:r>
        <w:rPr>
          <w:sz w:val="18"/>
        </w:rPr>
        <w:t>Panel</w:t>
      </w:r>
      <w:r>
        <w:rPr>
          <w:spacing w:val="-5"/>
          <w:sz w:val="18"/>
        </w:rPr>
        <w:t> </w:t>
      </w:r>
      <w:r>
        <w:rPr>
          <w:sz w:val="18"/>
        </w:rPr>
        <w:t>on</w:t>
      </w:r>
      <w:r>
        <w:rPr>
          <w:spacing w:val="-5"/>
          <w:sz w:val="18"/>
        </w:rPr>
        <w:t> </w:t>
      </w:r>
      <w:r>
        <w:rPr>
          <w:sz w:val="18"/>
        </w:rPr>
        <w:t>Educational</w:t>
      </w:r>
      <w:r>
        <w:rPr>
          <w:spacing w:val="-5"/>
          <w:sz w:val="18"/>
        </w:rPr>
        <w:t> </w:t>
      </w:r>
      <w:r>
        <w:rPr>
          <w:sz w:val="18"/>
        </w:rPr>
        <w:t>Underachievement:</w:t>
      </w:r>
      <w:r>
        <w:rPr>
          <w:spacing w:val="-5"/>
          <w:sz w:val="18"/>
        </w:rPr>
        <w:t> </w:t>
      </w:r>
      <w:r>
        <w:rPr>
          <w:sz w:val="18"/>
        </w:rPr>
        <w:t>A</w:t>
      </w:r>
      <w:r>
        <w:rPr>
          <w:spacing w:val="-5"/>
          <w:sz w:val="18"/>
        </w:rPr>
        <w:t> </w:t>
      </w:r>
      <w:r>
        <w:rPr>
          <w:sz w:val="18"/>
        </w:rPr>
        <w:t>Fair</w:t>
      </w:r>
      <w:r>
        <w:rPr>
          <w:spacing w:val="-5"/>
          <w:sz w:val="18"/>
        </w:rPr>
        <w:t> </w:t>
      </w:r>
      <w:r>
        <w:rPr>
          <w:sz w:val="18"/>
        </w:rPr>
        <w:t>Start</w:t>
      </w:r>
      <w:r>
        <w:rPr>
          <w:spacing w:val="-5"/>
          <w:sz w:val="18"/>
        </w:rPr>
        <w:t> </w:t>
      </w:r>
      <w:r>
        <w:rPr>
          <w:sz w:val="18"/>
        </w:rPr>
        <w:t>-</w:t>
      </w:r>
      <w:r>
        <w:rPr>
          <w:spacing w:val="-5"/>
          <w:sz w:val="18"/>
        </w:rPr>
        <w:t> </w:t>
      </w:r>
      <w:r>
        <w:rPr>
          <w:sz w:val="18"/>
        </w:rPr>
        <w:t>Final</w:t>
      </w:r>
      <w:r>
        <w:rPr>
          <w:spacing w:val="-5"/>
          <w:sz w:val="18"/>
        </w:rPr>
        <w:t> </w:t>
      </w:r>
      <w:r>
        <w:rPr>
          <w:sz w:val="18"/>
        </w:rPr>
        <w:t>Report</w:t>
      </w:r>
      <w:r>
        <w:rPr>
          <w:spacing w:val="-5"/>
          <w:sz w:val="18"/>
        </w:rPr>
        <w:t> </w:t>
      </w:r>
      <w:r>
        <w:rPr>
          <w:sz w:val="18"/>
        </w:rPr>
        <w:t>and</w:t>
      </w:r>
      <w:r>
        <w:rPr>
          <w:spacing w:val="-5"/>
          <w:sz w:val="18"/>
        </w:rPr>
        <w:t> </w:t>
      </w:r>
      <w:r>
        <w:rPr>
          <w:sz w:val="18"/>
        </w:rPr>
        <w:t>Action</w:t>
      </w:r>
      <w:r>
        <w:rPr>
          <w:spacing w:val="-5"/>
          <w:sz w:val="18"/>
        </w:rPr>
        <w:t> </w:t>
      </w:r>
      <w:r>
        <w:rPr>
          <w:sz w:val="18"/>
        </w:rPr>
        <w:t>Plan’ (DE, 2021).</w:t>
      </w:r>
    </w:p>
    <w:p>
      <w:pPr>
        <w:pStyle w:val="ListParagraph"/>
        <w:numPr>
          <w:ilvl w:val="0"/>
          <w:numId w:val="11"/>
        </w:numPr>
        <w:tabs>
          <w:tab w:pos="1853" w:val="left" w:leader="none"/>
        </w:tabs>
        <w:spacing w:line="235" w:lineRule="auto" w:before="1" w:after="0"/>
        <w:ind w:left="1853" w:right="1410" w:hanging="720"/>
        <w:jc w:val="both"/>
        <w:rPr>
          <w:sz w:val="18"/>
        </w:rPr>
      </w:pPr>
      <w:r>
        <w:rPr>
          <w:sz w:val="18"/>
        </w:rPr>
        <w:t>Department</w:t>
      </w:r>
      <w:r>
        <w:rPr>
          <w:spacing w:val="-6"/>
          <w:sz w:val="18"/>
        </w:rPr>
        <w:t> </w:t>
      </w:r>
      <w:r>
        <w:rPr>
          <w:sz w:val="18"/>
        </w:rPr>
        <w:t>of</w:t>
      </w:r>
      <w:r>
        <w:rPr>
          <w:spacing w:val="-7"/>
          <w:sz w:val="18"/>
        </w:rPr>
        <w:t> </w:t>
      </w:r>
      <w:r>
        <w:rPr>
          <w:sz w:val="18"/>
        </w:rPr>
        <w:t>Education,</w:t>
      </w:r>
      <w:r>
        <w:rPr>
          <w:spacing w:val="-6"/>
          <w:sz w:val="18"/>
        </w:rPr>
        <w:t> </w:t>
      </w:r>
      <w:r>
        <w:rPr>
          <w:sz w:val="18"/>
        </w:rPr>
        <w:t>‘A</w:t>
      </w:r>
      <w:r>
        <w:rPr>
          <w:spacing w:val="-6"/>
          <w:sz w:val="18"/>
        </w:rPr>
        <w:t> </w:t>
      </w:r>
      <w:r>
        <w:rPr>
          <w:sz w:val="18"/>
        </w:rPr>
        <w:t>Fair</w:t>
      </w:r>
      <w:r>
        <w:rPr>
          <w:spacing w:val="-6"/>
          <w:sz w:val="18"/>
        </w:rPr>
        <w:t> </w:t>
      </w:r>
      <w:r>
        <w:rPr>
          <w:sz w:val="18"/>
        </w:rPr>
        <w:t>Start</w:t>
      </w:r>
      <w:r>
        <w:rPr>
          <w:spacing w:val="-6"/>
          <w:sz w:val="18"/>
        </w:rPr>
        <w:t> </w:t>
      </w:r>
      <w:r>
        <w:rPr>
          <w:sz w:val="18"/>
        </w:rPr>
        <w:t>Progress</w:t>
      </w:r>
      <w:r>
        <w:rPr>
          <w:spacing w:val="-7"/>
          <w:sz w:val="18"/>
        </w:rPr>
        <w:t> </w:t>
      </w:r>
      <w:r>
        <w:rPr>
          <w:sz w:val="18"/>
        </w:rPr>
        <w:t>Report:</w:t>
      </w:r>
      <w:r>
        <w:rPr>
          <w:spacing w:val="-6"/>
          <w:sz w:val="18"/>
        </w:rPr>
        <w:t> </w:t>
      </w:r>
      <w:r>
        <w:rPr>
          <w:sz w:val="18"/>
        </w:rPr>
        <w:t>Actions</w:t>
      </w:r>
      <w:r>
        <w:rPr>
          <w:spacing w:val="-7"/>
          <w:sz w:val="18"/>
        </w:rPr>
        <w:t> </w:t>
      </w:r>
      <w:r>
        <w:rPr>
          <w:sz w:val="18"/>
        </w:rPr>
        <w:t>to</w:t>
      </w:r>
      <w:r>
        <w:rPr>
          <w:spacing w:val="-7"/>
          <w:sz w:val="18"/>
        </w:rPr>
        <w:t> </w:t>
      </w:r>
      <w:r>
        <w:rPr>
          <w:sz w:val="18"/>
        </w:rPr>
        <w:t>Support</w:t>
      </w:r>
      <w:r>
        <w:rPr>
          <w:spacing w:val="-6"/>
          <w:sz w:val="18"/>
        </w:rPr>
        <w:t> </w:t>
      </w:r>
      <w:r>
        <w:rPr>
          <w:sz w:val="18"/>
        </w:rPr>
        <w:t>Educational</w:t>
      </w:r>
      <w:r>
        <w:rPr>
          <w:spacing w:val="-7"/>
          <w:sz w:val="18"/>
        </w:rPr>
        <w:t> </w:t>
      </w:r>
      <w:r>
        <w:rPr>
          <w:sz w:val="18"/>
        </w:rPr>
        <w:t>Underachievement’</w:t>
      </w:r>
      <w:r>
        <w:rPr>
          <w:spacing w:val="-6"/>
          <w:sz w:val="18"/>
        </w:rPr>
        <w:t> </w:t>
      </w:r>
      <w:r>
        <w:rPr>
          <w:sz w:val="18"/>
        </w:rPr>
        <w:t>(DE,</w:t>
      </w:r>
      <w:r>
        <w:rPr>
          <w:spacing w:val="-6"/>
          <w:sz w:val="18"/>
        </w:rPr>
        <w:t> </w:t>
      </w:r>
      <w:r>
        <w:rPr>
          <w:sz w:val="18"/>
        </w:rPr>
        <w:t>2023), at</w:t>
      </w:r>
      <w:r>
        <w:rPr>
          <w:spacing w:val="-1"/>
          <w:sz w:val="18"/>
        </w:rPr>
        <w:t> </w:t>
      </w:r>
      <w:r>
        <w:rPr>
          <w:sz w:val="18"/>
        </w:rPr>
        <w:t>5.</w:t>
      </w:r>
      <w:r>
        <w:rPr>
          <w:spacing w:val="-2"/>
          <w:sz w:val="18"/>
        </w:rPr>
        <w:t> </w:t>
      </w:r>
      <w:r>
        <w:rPr>
          <w:sz w:val="18"/>
        </w:rPr>
        <w:t>Due</w:t>
      </w:r>
      <w:r>
        <w:rPr>
          <w:spacing w:val="-1"/>
          <w:sz w:val="18"/>
        </w:rPr>
        <w:t> </w:t>
      </w:r>
      <w:r>
        <w:rPr>
          <w:sz w:val="18"/>
        </w:rPr>
        <w:t>to</w:t>
      </w:r>
      <w:r>
        <w:rPr>
          <w:spacing w:val="-2"/>
          <w:sz w:val="18"/>
        </w:rPr>
        <w:t> </w:t>
      </w:r>
      <w:r>
        <w:rPr>
          <w:sz w:val="18"/>
        </w:rPr>
        <w:t>budget</w:t>
      </w:r>
      <w:r>
        <w:rPr>
          <w:spacing w:val="-1"/>
          <w:sz w:val="18"/>
        </w:rPr>
        <w:t> </w:t>
      </w:r>
      <w:r>
        <w:rPr>
          <w:sz w:val="18"/>
        </w:rPr>
        <w:t>cuts,</w:t>
      </w:r>
      <w:r>
        <w:rPr>
          <w:spacing w:val="-1"/>
          <w:sz w:val="18"/>
        </w:rPr>
        <w:t> </w:t>
      </w:r>
      <w:r>
        <w:rPr>
          <w:sz w:val="18"/>
        </w:rPr>
        <w:t>the</w:t>
      </w:r>
      <w:r>
        <w:rPr>
          <w:spacing w:val="-1"/>
          <w:sz w:val="18"/>
        </w:rPr>
        <w:t> </w:t>
      </w:r>
      <w:r>
        <w:rPr>
          <w:sz w:val="18"/>
        </w:rPr>
        <w:t>Department</w:t>
      </w:r>
      <w:r>
        <w:rPr>
          <w:spacing w:val="-1"/>
          <w:sz w:val="18"/>
        </w:rPr>
        <w:t> </w:t>
      </w:r>
      <w:r>
        <w:rPr>
          <w:sz w:val="18"/>
        </w:rPr>
        <w:t>of</w:t>
      </w:r>
      <w:r>
        <w:rPr>
          <w:spacing w:val="-2"/>
          <w:sz w:val="18"/>
        </w:rPr>
        <w:t> </w:t>
      </w:r>
      <w:r>
        <w:rPr>
          <w:sz w:val="18"/>
        </w:rPr>
        <w:t>Education</w:t>
      </w:r>
      <w:r>
        <w:rPr>
          <w:spacing w:val="-2"/>
          <w:sz w:val="18"/>
        </w:rPr>
        <w:t> </w:t>
      </w:r>
      <w:r>
        <w:rPr>
          <w:sz w:val="18"/>
        </w:rPr>
        <w:t>was</w:t>
      </w:r>
      <w:r>
        <w:rPr>
          <w:spacing w:val="-2"/>
          <w:sz w:val="18"/>
        </w:rPr>
        <w:t> </w:t>
      </w:r>
      <w:r>
        <w:rPr>
          <w:sz w:val="18"/>
        </w:rPr>
        <w:t>only</w:t>
      </w:r>
      <w:r>
        <w:rPr>
          <w:spacing w:val="-1"/>
          <w:sz w:val="18"/>
        </w:rPr>
        <w:t> </w:t>
      </w:r>
      <w:r>
        <w:rPr>
          <w:sz w:val="18"/>
        </w:rPr>
        <w:t>able</w:t>
      </w:r>
      <w:r>
        <w:rPr>
          <w:spacing w:val="-1"/>
          <w:sz w:val="18"/>
        </w:rPr>
        <w:t> </w:t>
      </w:r>
      <w:r>
        <w:rPr>
          <w:sz w:val="18"/>
        </w:rPr>
        <w:t>to</w:t>
      </w:r>
      <w:r>
        <w:rPr>
          <w:spacing w:val="-2"/>
          <w:sz w:val="18"/>
        </w:rPr>
        <w:t> </w:t>
      </w:r>
      <w:r>
        <w:rPr>
          <w:sz w:val="18"/>
        </w:rPr>
        <w:t>allocate</w:t>
      </w:r>
      <w:r>
        <w:rPr>
          <w:spacing w:val="-1"/>
          <w:sz w:val="18"/>
        </w:rPr>
        <w:t> </w:t>
      </w:r>
      <w:r>
        <w:rPr>
          <w:sz w:val="18"/>
        </w:rPr>
        <w:t>£2.5</w:t>
      </w:r>
      <w:r>
        <w:rPr>
          <w:spacing w:val="-1"/>
          <w:sz w:val="18"/>
        </w:rPr>
        <w:t> </w:t>
      </w:r>
      <w:r>
        <w:rPr>
          <w:sz w:val="18"/>
        </w:rPr>
        <w:t>million</w:t>
      </w:r>
      <w:r>
        <w:rPr>
          <w:spacing w:val="-2"/>
          <w:sz w:val="18"/>
        </w:rPr>
        <w:t> </w:t>
      </w:r>
      <w:r>
        <w:rPr>
          <w:sz w:val="18"/>
        </w:rPr>
        <w:t>of</w:t>
      </w:r>
      <w:r>
        <w:rPr>
          <w:spacing w:val="-2"/>
          <w:sz w:val="18"/>
        </w:rPr>
        <w:t> </w:t>
      </w:r>
      <w:r>
        <w:rPr>
          <w:sz w:val="18"/>
        </w:rPr>
        <w:t>the</w:t>
      </w:r>
      <w:r>
        <w:rPr>
          <w:spacing w:val="-1"/>
          <w:sz w:val="18"/>
        </w:rPr>
        <w:t> </w:t>
      </w:r>
      <w:r>
        <w:rPr>
          <w:sz w:val="18"/>
        </w:rPr>
        <w:t>recommended</w:t>
      </w:r>
      <w:r>
        <w:rPr>
          <w:spacing w:val="-2"/>
          <w:sz w:val="18"/>
        </w:rPr>
        <w:t> </w:t>
      </w:r>
      <w:r>
        <w:rPr>
          <w:sz w:val="18"/>
        </w:rPr>
        <w:t>£21 million funding for the second year of the action plan.</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Independent</w:t>
      </w:r>
      <w:r>
        <w:rPr>
          <w:spacing w:val="-6"/>
          <w:sz w:val="18"/>
        </w:rPr>
        <w:t> </w:t>
      </w:r>
      <w:r>
        <w:rPr>
          <w:sz w:val="18"/>
        </w:rPr>
        <w:t>Review</w:t>
      </w:r>
      <w:r>
        <w:rPr>
          <w:spacing w:val="-6"/>
          <w:sz w:val="18"/>
        </w:rPr>
        <w:t> </w:t>
      </w:r>
      <w:r>
        <w:rPr>
          <w:sz w:val="18"/>
        </w:rPr>
        <w:t>of</w:t>
      </w:r>
      <w:r>
        <w:rPr>
          <w:spacing w:val="-6"/>
          <w:sz w:val="18"/>
        </w:rPr>
        <w:t> </w:t>
      </w:r>
      <w:r>
        <w:rPr>
          <w:sz w:val="18"/>
        </w:rPr>
        <w:t>Education,</w:t>
      </w:r>
      <w:r>
        <w:rPr>
          <w:spacing w:val="-6"/>
          <w:sz w:val="18"/>
        </w:rPr>
        <w:t> </w:t>
      </w:r>
      <w:r>
        <w:rPr>
          <w:sz w:val="18"/>
        </w:rPr>
        <w:t>‘Investing</w:t>
      </w:r>
      <w:r>
        <w:rPr>
          <w:spacing w:val="-6"/>
          <w:sz w:val="18"/>
        </w:rPr>
        <w:t> </w:t>
      </w:r>
      <w:r>
        <w:rPr>
          <w:sz w:val="18"/>
        </w:rPr>
        <w:t>in</w:t>
      </w:r>
      <w:r>
        <w:rPr>
          <w:spacing w:val="-6"/>
          <w:sz w:val="18"/>
        </w:rPr>
        <w:t> </w:t>
      </w:r>
      <w:r>
        <w:rPr>
          <w:sz w:val="18"/>
        </w:rPr>
        <w:t>a</w:t>
      </w:r>
      <w:r>
        <w:rPr>
          <w:spacing w:val="-7"/>
          <w:sz w:val="18"/>
        </w:rPr>
        <w:t> </w:t>
      </w:r>
      <w:r>
        <w:rPr>
          <w:sz w:val="18"/>
        </w:rPr>
        <w:t>better</w:t>
      </w:r>
      <w:r>
        <w:rPr>
          <w:spacing w:val="-6"/>
          <w:sz w:val="18"/>
        </w:rPr>
        <w:t> </w:t>
      </w:r>
      <w:r>
        <w:rPr>
          <w:sz w:val="18"/>
        </w:rPr>
        <w:t>future’</w:t>
      </w:r>
      <w:r>
        <w:rPr>
          <w:spacing w:val="-5"/>
          <w:sz w:val="18"/>
        </w:rPr>
        <w:t> </w:t>
      </w:r>
      <w:r>
        <w:rPr>
          <w:sz w:val="18"/>
        </w:rPr>
        <w:t>(IRE,</w:t>
      </w:r>
      <w:r>
        <w:rPr>
          <w:spacing w:val="-6"/>
          <w:sz w:val="18"/>
        </w:rPr>
        <w:t> </w:t>
      </w:r>
      <w:r>
        <w:rPr>
          <w:spacing w:val="-2"/>
          <w:sz w:val="18"/>
        </w:rPr>
        <w:t>2023).</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para</w:t>
      </w:r>
      <w:r>
        <w:rPr>
          <w:spacing w:val="-2"/>
          <w:sz w:val="18"/>
        </w:rPr>
        <w:t> 2.149.</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Department</w:t>
      </w:r>
      <w:r>
        <w:rPr>
          <w:spacing w:val="-5"/>
          <w:sz w:val="18"/>
        </w:rPr>
        <w:t> </w:t>
      </w:r>
      <w:r>
        <w:rPr>
          <w:sz w:val="18"/>
        </w:rPr>
        <w:t>of</w:t>
      </w:r>
      <w:r>
        <w:rPr>
          <w:spacing w:val="-6"/>
          <w:sz w:val="18"/>
        </w:rPr>
        <w:t> </w:t>
      </w:r>
      <w:r>
        <w:rPr>
          <w:sz w:val="18"/>
        </w:rPr>
        <w:t>Education,</w:t>
      </w:r>
      <w:r>
        <w:rPr>
          <w:spacing w:val="-5"/>
          <w:sz w:val="18"/>
        </w:rPr>
        <w:t> </w:t>
      </w:r>
      <w:r>
        <w:rPr>
          <w:sz w:val="18"/>
        </w:rPr>
        <w:t>‘Supporting</w:t>
      </w:r>
      <w:r>
        <w:rPr>
          <w:spacing w:val="-4"/>
          <w:sz w:val="18"/>
        </w:rPr>
        <w:t> </w:t>
      </w:r>
      <w:r>
        <w:rPr>
          <w:sz w:val="18"/>
        </w:rPr>
        <w:t>Newcomer</w:t>
      </w:r>
      <w:r>
        <w:rPr>
          <w:spacing w:val="-5"/>
          <w:sz w:val="18"/>
        </w:rPr>
        <w:t> </w:t>
      </w:r>
      <w:r>
        <w:rPr>
          <w:sz w:val="18"/>
        </w:rPr>
        <w:t>Pupils</w:t>
      </w:r>
      <w:r>
        <w:rPr>
          <w:spacing w:val="-6"/>
          <w:sz w:val="18"/>
        </w:rPr>
        <w:t> </w:t>
      </w:r>
      <w:r>
        <w:rPr>
          <w:sz w:val="18"/>
        </w:rPr>
        <w:t>–</w:t>
      </w:r>
      <w:r>
        <w:rPr>
          <w:spacing w:val="-5"/>
          <w:sz w:val="18"/>
        </w:rPr>
        <w:t> </w:t>
      </w:r>
      <w:r>
        <w:rPr>
          <w:sz w:val="18"/>
        </w:rPr>
        <w:t>Public</w:t>
      </w:r>
      <w:r>
        <w:rPr>
          <w:spacing w:val="-5"/>
          <w:sz w:val="18"/>
        </w:rPr>
        <w:t> </w:t>
      </w:r>
      <w:r>
        <w:rPr>
          <w:sz w:val="18"/>
        </w:rPr>
        <w:t>Consultation’</w:t>
      </w:r>
      <w:r>
        <w:rPr>
          <w:spacing w:val="-5"/>
          <w:sz w:val="18"/>
        </w:rPr>
        <w:t> </w:t>
      </w:r>
      <w:r>
        <w:rPr>
          <w:sz w:val="18"/>
        </w:rPr>
        <w:t>(DoE,</w:t>
      </w:r>
      <w:r>
        <w:rPr>
          <w:spacing w:val="-5"/>
          <w:sz w:val="18"/>
        </w:rPr>
        <w:t> </w:t>
      </w:r>
      <w:r>
        <w:rPr>
          <w:spacing w:val="-2"/>
          <w:sz w:val="18"/>
        </w:rPr>
        <w:t>2019).</w:t>
      </w:r>
    </w:p>
    <w:p>
      <w:pPr>
        <w:pStyle w:val="ListParagraph"/>
        <w:numPr>
          <w:ilvl w:val="0"/>
          <w:numId w:val="11"/>
        </w:numPr>
        <w:tabs>
          <w:tab w:pos="1853" w:val="left" w:leader="none"/>
        </w:tabs>
        <w:spacing w:line="218" w:lineRule="exact" w:before="0" w:after="0"/>
        <w:ind w:left="1853" w:right="0" w:hanging="720"/>
        <w:jc w:val="left"/>
        <w:rPr>
          <w:sz w:val="18"/>
        </w:rPr>
      </w:pPr>
      <w:r>
        <w:rPr>
          <w:sz w:val="18"/>
        </w:rPr>
        <w:t>Email</w:t>
      </w:r>
      <w:r>
        <w:rPr>
          <w:spacing w:val="-5"/>
          <w:sz w:val="18"/>
        </w:rPr>
        <w:t> </w:t>
      </w:r>
      <w:r>
        <w:rPr>
          <w:sz w:val="18"/>
        </w:rPr>
        <w:t>correspondence</w:t>
      </w:r>
      <w:r>
        <w:rPr>
          <w:spacing w:val="-4"/>
          <w:sz w:val="18"/>
        </w:rPr>
        <w:t> </w:t>
      </w:r>
      <w:r>
        <w:rPr>
          <w:sz w:val="18"/>
        </w:rPr>
        <w:t>to</w:t>
      </w:r>
      <w:r>
        <w:rPr>
          <w:spacing w:val="-5"/>
          <w:sz w:val="18"/>
        </w:rPr>
        <w:t> </w:t>
      </w:r>
      <w:r>
        <w:rPr>
          <w:sz w:val="18"/>
        </w:rPr>
        <w:t>the</w:t>
      </w:r>
      <w:r>
        <w:rPr>
          <w:spacing w:val="-4"/>
          <w:sz w:val="18"/>
        </w:rPr>
        <w:t> </w:t>
      </w: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from</w:t>
      </w:r>
      <w:r>
        <w:rPr>
          <w:spacing w:val="-4"/>
          <w:sz w:val="18"/>
        </w:rPr>
        <w:t> </w:t>
      </w:r>
      <w:r>
        <w:rPr>
          <w:sz w:val="18"/>
        </w:rPr>
        <w:t>the</w:t>
      </w:r>
      <w:r>
        <w:rPr>
          <w:spacing w:val="-4"/>
          <w:sz w:val="18"/>
        </w:rPr>
        <w:t> </w:t>
      </w:r>
      <w:r>
        <w:rPr>
          <w:sz w:val="18"/>
        </w:rPr>
        <w:t>Department</w:t>
      </w:r>
      <w:r>
        <w:rPr>
          <w:spacing w:val="-4"/>
          <w:sz w:val="18"/>
        </w:rPr>
        <w:t> </w:t>
      </w:r>
      <w:r>
        <w:rPr>
          <w:sz w:val="18"/>
        </w:rPr>
        <w:t>of</w:t>
      </w:r>
      <w:r>
        <w:rPr>
          <w:spacing w:val="-5"/>
          <w:sz w:val="18"/>
        </w:rPr>
        <w:t> </w:t>
      </w:r>
      <w:r>
        <w:rPr>
          <w:sz w:val="18"/>
        </w:rPr>
        <w:t>Education,</w:t>
      </w:r>
      <w:r>
        <w:rPr>
          <w:spacing w:val="-4"/>
          <w:sz w:val="18"/>
        </w:rPr>
        <w:t> </w:t>
      </w:r>
      <w:r>
        <w:rPr>
          <w:sz w:val="18"/>
        </w:rPr>
        <w:t>7</w:t>
      </w:r>
      <w:r>
        <w:rPr>
          <w:spacing w:val="-4"/>
          <w:sz w:val="18"/>
        </w:rPr>
        <w:t> </w:t>
      </w:r>
      <w:r>
        <w:rPr>
          <w:sz w:val="18"/>
        </w:rPr>
        <w:t>May</w:t>
      </w:r>
      <w:r>
        <w:rPr>
          <w:spacing w:val="-4"/>
          <w:sz w:val="18"/>
        </w:rPr>
        <w:t> </w:t>
      </w:r>
      <w:r>
        <w:rPr>
          <w:spacing w:val="-2"/>
          <w:sz w:val="18"/>
        </w:rPr>
        <w:t>2024.</w:t>
      </w:r>
    </w:p>
    <w:p>
      <w:pPr>
        <w:spacing w:after="0" w:line="218" w:lineRule="exact"/>
        <w:jc w:val="left"/>
        <w:rPr>
          <w:sz w:val="18"/>
        </w:rPr>
        <w:sectPr>
          <w:pgSz w:w="11910" w:h="16840"/>
          <w:pgMar w:header="496" w:footer="367" w:top="1220" w:bottom="560" w:left="0" w:right="0"/>
        </w:sectPr>
      </w:pPr>
    </w:p>
    <w:p>
      <w:pPr>
        <w:pStyle w:val="BodyText"/>
        <w:spacing w:before="68"/>
        <w:rPr>
          <w:sz w:val="36"/>
        </w:rPr>
      </w:pPr>
    </w:p>
    <w:p>
      <w:pPr>
        <w:pStyle w:val="Heading3"/>
        <w:spacing w:before="1"/>
      </w:pPr>
      <w:bookmarkStart w:name="_bookmark41" w:id="91"/>
      <w:bookmarkEnd w:id="91"/>
      <w:r>
        <w:rPr>
          <w:b w:val="0"/>
        </w:rPr>
      </w:r>
      <w:bookmarkStart w:name="Environmental Rights" w:id="92"/>
      <w:bookmarkEnd w:id="92"/>
      <w:r>
        <w:rPr>
          <w:b w:val="0"/>
        </w:rPr>
      </w:r>
      <w:r>
        <w:rPr>
          <w:color w:val="67287F"/>
          <w:spacing w:val="-2"/>
        </w:rPr>
        <w:t>Environmental</w:t>
      </w:r>
      <w:r>
        <w:rPr>
          <w:color w:val="67287F"/>
          <w:spacing w:val="5"/>
        </w:rPr>
        <w:t> </w:t>
      </w:r>
      <w:r>
        <w:rPr>
          <w:color w:val="67287F"/>
          <w:spacing w:val="-2"/>
        </w:rPr>
        <w:t>Rights</w:t>
      </w:r>
    </w:p>
    <w:p>
      <w:pPr>
        <w:pStyle w:val="BodyText"/>
        <w:rPr>
          <w:b/>
          <w:sz w:val="5"/>
        </w:rPr>
      </w:pPr>
      <w:r>
        <w:rPr/>
        <mc:AlternateContent>
          <mc:Choice Requires="wps">
            <w:drawing>
              <wp:anchor distT="0" distB="0" distL="0" distR="0" allowOverlap="1" layoutInCell="1" locked="0" behindDoc="1" simplePos="0" relativeHeight="487699456">
                <wp:simplePos x="0" y="0"/>
                <wp:positionH relativeFrom="page">
                  <wp:posOffset>719997</wp:posOffset>
                </wp:positionH>
                <wp:positionV relativeFrom="paragraph">
                  <wp:posOffset>54573</wp:posOffset>
                </wp:positionV>
                <wp:extent cx="6120130" cy="1270"/>
                <wp:effectExtent l="0" t="0" r="0" b="0"/>
                <wp:wrapTopAndBottom/>
                <wp:docPr id="512" name="Graphic 512"/>
                <wp:cNvGraphicFramePr>
                  <a:graphicFrameLocks/>
                </wp:cNvGraphicFramePr>
                <a:graphic>
                  <a:graphicData uri="http://schemas.microsoft.com/office/word/2010/wordprocessingShape">
                    <wps:wsp>
                      <wps:cNvPr id="512" name="Graphic 512"/>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4.297088pt;width:481.9pt;height:.1pt;mso-position-horizontal-relative:page;mso-position-vertical-relative:paragraph;z-index:-15617024;mso-wrap-distance-left:0;mso-wrap-distance-right:0" id="docshape457" coordorigin="1134,86" coordsize="9638,0" path="m10772,86l1134,86e" filled="false" stroked="true" strokeweight="1pt" strokecolor="#67287f">
                <v:path arrowok="t"/>
                <v:stroke dashstyle="solid"/>
                <w10:wrap type="topAndBottom"/>
              </v:shape>
            </w:pict>
          </mc:Fallback>
        </mc:AlternateContent>
      </w:r>
    </w:p>
    <w:p>
      <w:pPr>
        <w:pStyle w:val="ListParagraph"/>
        <w:numPr>
          <w:ilvl w:val="1"/>
          <w:numId w:val="7"/>
        </w:numPr>
        <w:tabs>
          <w:tab w:pos="1853" w:val="left" w:leader="none"/>
        </w:tabs>
        <w:spacing w:line="225" w:lineRule="auto" w:before="196" w:after="0"/>
        <w:ind w:left="1853" w:right="1609" w:hanging="720"/>
        <w:jc w:val="left"/>
        <w:rPr>
          <w:sz w:val="28"/>
        </w:rPr>
      </w:pPr>
      <w:r>
        <w:rPr>
          <w:sz w:val="28"/>
        </w:rPr>
        <w:t>In the rights, safeguards and equality of opportunity section of the Belfast (Good</w:t>
      </w:r>
      <w:r>
        <w:rPr>
          <w:spacing w:val="-9"/>
          <w:sz w:val="28"/>
        </w:rPr>
        <w:t> </w:t>
      </w:r>
      <w:r>
        <w:rPr>
          <w:sz w:val="28"/>
        </w:rPr>
        <w:t>Friday)</w:t>
      </w:r>
      <w:r>
        <w:rPr>
          <w:spacing w:val="-9"/>
          <w:sz w:val="28"/>
        </w:rPr>
        <w:t> </w:t>
      </w:r>
      <w:r>
        <w:rPr>
          <w:sz w:val="28"/>
        </w:rPr>
        <w:t>Agreement</w:t>
      </w:r>
      <w:r>
        <w:rPr>
          <w:spacing w:val="-8"/>
          <w:sz w:val="28"/>
        </w:rPr>
        <w:t> </w:t>
      </w:r>
      <w:r>
        <w:rPr>
          <w:sz w:val="28"/>
        </w:rPr>
        <w:t>the</w:t>
      </w:r>
      <w:r>
        <w:rPr>
          <w:spacing w:val="-8"/>
          <w:sz w:val="28"/>
        </w:rPr>
        <w:t> </w:t>
      </w:r>
      <w:r>
        <w:rPr>
          <w:sz w:val="28"/>
        </w:rPr>
        <w:t>parties</w:t>
      </w:r>
      <w:r>
        <w:rPr>
          <w:spacing w:val="-9"/>
          <w:sz w:val="28"/>
        </w:rPr>
        <w:t> </w:t>
      </w:r>
      <w:r>
        <w:rPr>
          <w:sz w:val="28"/>
        </w:rPr>
        <w:t>affirmed</w:t>
      </w:r>
      <w:r>
        <w:rPr>
          <w:spacing w:val="-9"/>
          <w:sz w:val="28"/>
        </w:rPr>
        <w:t> </w:t>
      </w:r>
      <w:r>
        <w:rPr>
          <w:sz w:val="28"/>
        </w:rPr>
        <w:t>their</w:t>
      </w:r>
      <w:r>
        <w:rPr>
          <w:spacing w:val="-8"/>
          <w:sz w:val="28"/>
        </w:rPr>
        <w:t> </w:t>
      </w:r>
      <w:r>
        <w:rPr>
          <w:sz w:val="28"/>
        </w:rPr>
        <w:t>“commitment</w:t>
      </w:r>
      <w:r>
        <w:rPr>
          <w:spacing w:val="-8"/>
          <w:sz w:val="28"/>
        </w:rPr>
        <w:t> </w:t>
      </w:r>
      <w:r>
        <w:rPr>
          <w:sz w:val="28"/>
        </w:rPr>
        <w:t>to</w:t>
      </w:r>
      <w:r>
        <w:rPr>
          <w:spacing w:val="-9"/>
          <w:sz w:val="28"/>
        </w:rPr>
        <w:t> </w:t>
      </w:r>
      <w:r>
        <w:rPr>
          <w:sz w:val="28"/>
        </w:rPr>
        <w:t>…</w:t>
      </w:r>
      <w:r>
        <w:rPr>
          <w:spacing w:val="-9"/>
          <w:sz w:val="28"/>
        </w:rPr>
        <w:t> </w:t>
      </w:r>
      <w:r>
        <w:rPr>
          <w:sz w:val="28"/>
        </w:rPr>
        <w:t>the civil rights and religious liberties of everyone in the community” before affirming “in particular” a non-exhaustive list of rights and safeguards.</w:t>
      </w:r>
      <w:r>
        <w:rPr>
          <w:sz w:val="28"/>
          <w:vertAlign w:val="superscript"/>
        </w:rPr>
        <w:t>662</w:t>
      </w:r>
      <w:r>
        <w:rPr>
          <w:sz w:val="28"/>
          <w:vertAlign w:val="baseline"/>
        </w:rPr>
        <w:t> This section is headed ‘Human Rights’ and includes the UK Government’s</w:t>
      </w:r>
    </w:p>
    <w:p>
      <w:pPr>
        <w:pStyle w:val="BodyText"/>
        <w:spacing w:line="225" w:lineRule="auto"/>
        <w:ind w:left="1853" w:right="1171"/>
      </w:pPr>
      <w:r>
        <w:rPr/>
        <w:t>commitment</w:t>
      </w:r>
      <w:r>
        <w:rPr>
          <w:spacing w:val="-5"/>
        </w:rPr>
        <w:t> </w:t>
      </w:r>
      <w:r>
        <w:rPr/>
        <w:t>to</w:t>
      </w:r>
      <w:r>
        <w:rPr>
          <w:spacing w:val="-6"/>
        </w:rPr>
        <w:t> </w:t>
      </w:r>
      <w:r>
        <w:rPr/>
        <w:t>the</w:t>
      </w:r>
      <w:r>
        <w:rPr>
          <w:spacing w:val="-5"/>
        </w:rPr>
        <w:t> </w:t>
      </w:r>
      <w:r>
        <w:rPr/>
        <w:t>incorporation</w:t>
      </w:r>
      <w:r>
        <w:rPr>
          <w:spacing w:val="-6"/>
        </w:rPr>
        <w:t> </w:t>
      </w:r>
      <w:r>
        <w:rPr/>
        <w:t>of</w:t>
      </w:r>
      <w:r>
        <w:rPr>
          <w:spacing w:val="-6"/>
        </w:rPr>
        <w:t> </w:t>
      </w:r>
      <w:r>
        <w:rPr/>
        <w:t>the</w:t>
      </w:r>
      <w:r>
        <w:rPr>
          <w:spacing w:val="-5"/>
        </w:rPr>
        <w:t> </w:t>
      </w:r>
      <w:r>
        <w:rPr/>
        <w:t>ECHR</w:t>
      </w:r>
      <w:r>
        <w:rPr>
          <w:spacing w:val="-6"/>
        </w:rPr>
        <w:t> </w:t>
      </w:r>
      <w:r>
        <w:rPr/>
        <w:t>with</w:t>
      </w:r>
      <w:r>
        <w:rPr>
          <w:spacing w:val="-6"/>
        </w:rPr>
        <w:t> </w:t>
      </w:r>
      <w:r>
        <w:rPr/>
        <w:t>direct</w:t>
      </w:r>
      <w:r>
        <w:rPr>
          <w:spacing w:val="-5"/>
        </w:rPr>
        <w:t> </w:t>
      </w:r>
      <w:r>
        <w:rPr/>
        <w:t>access</w:t>
      </w:r>
      <w:r>
        <w:rPr>
          <w:spacing w:val="-6"/>
        </w:rPr>
        <w:t> </w:t>
      </w:r>
      <w:r>
        <w:rPr/>
        <w:t>to</w:t>
      </w:r>
      <w:r>
        <w:rPr>
          <w:spacing w:val="-6"/>
        </w:rPr>
        <w:t> </w:t>
      </w:r>
      <w:r>
        <w:rPr/>
        <w:t>the</w:t>
      </w:r>
      <w:r>
        <w:rPr>
          <w:spacing w:val="-5"/>
        </w:rPr>
        <w:t> </w:t>
      </w:r>
      <w:r>
        <w:rPr/>
        <w:t>courts and remedies for breach.</w:t>
      </w:r>
      <w:r>
        <w:rPr>
          <w:vertAlign w:val="superscript"/>
        </w:rPr>
        <w:t>663</w:t>
      </w:r>
    </w:p>
    <w:p>
      <w:pPr>
        <w:pStyle w:val="ListParagraph"/>
        <w:numPr>
          <w:ilvl w:val="1"/>
          <w:numId w:val="7"/>
        </w:numPr>
        <w:tabs>
          <w:tab w:pos="1853" w:val="left" w:leader="none"/>
        </w:tabs>
        <w:spacing w:line="225" w:lineRule="auto" w:before="311" w:after="0"/>
        <w:ind w:left="1853" w:right="1136" w:hanging="720"/>
        <w:jc w:val="left"/>
        <w:rPr>
          <w:sz w:val="28"/>
        </w:rPr>
      </w:pPr>
      <w:r>
        <w:rPr>
          <w:sz w:val="28"/>
        </w:rPr>
        <w:t>The Commissions consider that the commitment to civil rights in the relevant chapter</w:t>
      </w:r>
      <w:r>
        <w:rPr>
          <w:spacing w:val="-4"/>
          <w:sz w:val="28"/>
        </w:rPr>
        <w:t> </w:t>
      </w:r>
      <w:r>
        <w:rPr>
          <w:sz w:val="28"/>
        </w:rPr>
        <w:t>embraces</w:t>
      </w:r>
      <w:r>
        <w:rPr>
          <w:spacing w:val="-5"/>
          <w:sz w:val="28"/>
        </w:rPr>
        <w:t> </w:t>
      </w:r>
      <w:r>
        <w:rPr>
          <w:sz w:val="28"/>
        </w:rPr>
        <w:t>a</w:t>
      </w:r>
      <w:r>
        <w:rPr>
          <w:spacing w:val="-5"/>
          <w:sz w:val="28"/>
        </w:rPr>
        <w:t> </w:t>
      </w:r>
      <w:r>
        <w:rPr>
          <w:sz w:val="28"/>
        </w:rPr>
        <w:t>range</w:t>
      </w:r>
      <w:r>
        <w:rPr>
          <w:spacing w:val="-4"/>
          <w:sz w:val="28"/>
        </w:rPr>
        <w:t> </w:t>
      </w:r>
      <w:r>
        <w:rPr>
          <w:sz w:val="28"/>
        </w:rPr>
        <w:t>of</w:t>
      </w:r>
      <w:r>
        <w:rPr>
          <w:spacing w:val="-5"/>
          <w:sz w:val="28"/>
        </w:rPr>
        <w:t> </w:t>
      </w:r>
      <w:r>
        <w:rPr>
          <w:sz w:val="28"/>
        </w:rPr>
        <w:t>civil,</w:t>
      </w:r>
      <w:r>
        <w:rPr>
          <w:spacing w:val="-4"/>
          <w:sz w:val="28"/>
        </w:rPr>
        <w:t> </w:t>
      </w:r>
      <w:r>
        <w:rPr>
          <w:sz w:val="28"/>
        </w:rPr>
        <w:t>political,</w:t>
      </w:r>
      <w:r>
        <w:rPr>
          <w:spacing w:val="-4"/>
          <w:sz w:val="28"/>
        </w:rPr>
        <w:t> </w:t>
      </w:r>
      <w:r>
        <w:rPr>
          <w:sz w:val="28"/>
        </w:rPr>
        <w:t>economic,</w:t>
      </w:r>
      <w:r>
        <w:rPr>
          <w:spacing w:val="-4"/>
          <w:sz w:val="28"/>
        </w:rPr>
        <w:t> </w:t>
      </w:r>
      <w:r>
        <w:rPr>
          <w:sz w:val="28"/>
        </w:rPr>
        <w:t>social</w:t>
      </w:r>
      <w:r>
        <w:rPr>
          <w:spacing w:val="-5"/>
          <w:sz w:val="28"/>
        </w:rPr>
        <w:t> </w:t>
      </w:r>
      <w:r>
        <w:rPr>
          <w:sz w:val="28"/>
        </w:rPr>
        <w:t>and</w:t>
      </w:r>
      <w:r>
        <w:rPr>
          <w:spacing w:val="-5"/>
          <w:sz w:val="28"/>
        </w:rPr>
        <w:t> </w:t>
      </w:r>
      <w:r>
        <w:rPr>
          <w:sz w:val="28"/>
        </w:rPr>
        <w:t>cultural</w:t>
      </w:r>
      <w:r>
        <w:rPr>
          <w:spacing w:val="-5"/>
          <w:sz w:val="28"/>
        </w:rPr>
        <w:t> </w:t>
      </w:r>
      <w:r>
        <w:rPr>
          <w:sz w:val="28"/>
        </w:rPr>
        <w:t>rights and equality of opportunity.</w:t>
      </w:r>
      <w:r>
        <w:rPr>
          <w:sz w:val="28"/>
          <w:vertAlign w:val="superscript"/>
        </w:rPr>
        <w:t>664</w:t>
      </w:r>
      <w:r>
        <w:rPr>
          <w:spacing w:val="40"/>
          <w:sz w:val="28"/>
          <w:vertAlign w:val="baseline"/>
        </w:rPr>
        <w:t> </w:t>
      </w:r>
      <w:r>
        <w:rPr>
          <w:sz w:val="28"/>
          <w:vertAlign w:val="baseline"/>
        </w:rPr>
        <w:t>In February 2024, the NI High Court adopted a ‘generous</w:t>
      </w:r>
      <w:r>
        <w:rPr>
          <w:spacing w:val="-10"/>
          <w:sz w:val="28"/>
          <w:vertAlign w:val="baseline"/>
        </w:rPr>
        <w:t> </w:t>
      </w:r>
      <w:r>
        <w:rPr>
          <w:sz w:val="28"/>
          <w:vertAlign w:val="baseline"/>
        </w:rPr>
        <w:t>and</w:t>
      </w:r>
      <w:r>
        <w:rPr>
          <w:spacing w:val="-10"/>
          <w:sz w:val="28"/>
          <w:vertAlign w:val="baseline"/>
        </w:rPr>
        <w:t> </w:t>
      </w:r>
      <w:r>
        <w:rPr>
          <w:sz w:val="28"/>
          <w:vertAlign w:val="baseline"/>
        </w:rPr>
        <w:t>purposive’</w:t>
      </w:r>
      <w:r>
        <w:rPr>
          <w:spacing w:val="-9"/>
          <w:sz w:val="28"/>
          <w:vertAlign w:val="baseline"/>
        </w:rPr>
        <w:t> </w:t>
      </w:r>
      <w:r>
        <w:rPr>
          <w:sz w:val="28"/>
          <w:vertAlign w:val="baseline"/>
        </w:rPr>
        <w:t>approach</w:t>
      </w:r>
      <w:r>
        <w:rPr>
          <w:spacing w:val="-10"/>
          <w:sz w:val="28"/>
          <w:vertAlign w:val="baseline"/>
        </w:rPr>
        <w:t> </w:t>
      </w:r>
      <w:r>
        <w:rPr>
          <w:sz w:val="28"/>
          <w:vertAlign w:val="baseline"/>
        </w:rPr>
        <w:t>to</w:t>
      </w:r>
      <w:r>
        <w:rPr>
          <w:spacing w:val="-10"/>
          <w:sz w:val="28"/>
          <w:vertAlign w:val="baseline"/>
        </w:rPr>
        <w:t> </w:t>
      </w:r>
      <w:r>
        <w:rPr>
          <w:sz w:val="28"/>
          <w:vertAlign w:val="baseline"/>
        </w:rPr>
        <w:t>interpretation</w:t>
      </w:r>
      <w:r>
        <w:rPr>
          <w:spacing w:val="-10"/>
          <w:sz w:val="28"/>
          <w:vertAlign w:val="baseline"/>
        </w:rPr>
        <w:t> </w:t>
      </w:r>
      <w:r>
        <w:rPr>
          <w:sz w:val="28"/>
          <w:vertAlign w:val="baseline"/>
        </w:rPr>
        <w:t>of</w:t>
      </w:r>
      <w:r>
        <w:rPr>
          <w:spacing w:val="-10"/>
          <w:sz w:val="28"/>
          <w:vertAlign w:val="baseline"/>
        </w:rPr>
        <w:t> </w:t>
      </w:r>
      <w:r>
        <w:rPr>
          <w:sz w:val="28"/>
          <w:vertAlign w:val="baseline"/>
        </w:rPr>
        <w:t>the</w:t>
      </w:r>
      <w:r>
        <w:rPr>
          <w:spacing w:val="-9"/>
          <w:sz w:val="28"/>
          <w:vertAlign w:val="baseline"/>
        </w:rPr>
        <w:t> </w:t>
      </w:r>
      <w:r>
        <w:rPr>
          <w:sz w:val="28"/>
          <w:vertAlign w:val="baseline"/>
        </w:rPr>
        <w:t>relevant</w:t>
      </w:r>
      <w:r>
        <w:rPr>
          <w:spacing w:val="-9"/>
          <w:sz w:val="28"/>
          <w:vertAlign w:val="baseline"/>
        </w:rPr>
        <w:t> </w:t>
      </w:r>
      <w:r>
        <w:rPr>
          <w:sz w:val="28"/>
          <w:vertAlign w:val="baseline"/>
        </w:rPr>
        <w:t>chapter</w:t>
      </w:r>
      <w:r>
        <w:rPr>
          <w:spacing w:val="-9"/>
          <w:sz w:val="28"/>
          <w:vertAlign w:val="baseline"/>
        </w:rPr>
        <w:t> </w:t>
      </w:r>
      <w:r>
        <w:rPr>
          <w:sz w:val="28"/>
          <w:vertAlign w:val="baseline"/>
        </w:rPr>
        <w:t>of the Belfast (Good Friday) Agreement.</w:t>
      </w:r>
      <w:r>
        <w:rPr>
          <w:sz w:val="28"/>
          <w:vertAlign w:val="superscript"/>
        </w:rPr>
        <w:t>665</w:t>
      </w:r>
      <w:r>
        <w:rPr>
          <w:spacing w:val="40"/>
          <w:sz w:val="28"/>
          <w:vertAlign w:val="baseline"/>
        </w:rPr>
        <w:t> </w:t>
      </w:r>
      <w:r>
        <w:rPr>
          <w:sz w:val="28"/>
          <w:vertAlign w:val="baseline"/>
        </w:rPr>
        <w:t>The High Court held that, “a narrow interpretation of ‘civil rights’ undermines the forward-facing dimension of</w:t>
      </w:r>
    </w:p>
    <w:p>
      <w:pPr>
        <w:pStyle w:val="BodyText"/>
        <w:spacing w:line="225" w:lineRule="auto"/>
        <w:ind w:left="1853" w:right="1301"/>
      </w:pPr>
      <w:r>
        <w:rPr/>
        <w:t>the non-diminution</w:t>
      </w:r>
      <w:r>
        <w:rPr>
          <w:spacing w:val="-1"/>
        </w:rPr>
        <w:t> </w:t>
      </w:r>
      <w:r>
        <w:rPr/>
        <w:t>commitment in</w:t>
      </w:r>
      <w:r>
        <w:rPr>
          <w:spacing w:val="-1"/>
        </w:rPr>
        <w:t> </w:t>
      </w:r>
      <w:r>
        <w:rPr/>
        <w:t>[Windsor Framework] Article 2(1)”.</w:t>
      </w:r>
      <w:r>
        <w:rPr>
          <w:vertAlign w:val="superscript"/>
        </w:rPr>
        <w:t>666</w:t>
      </w:r>
      <w:r>
        <w:rPr>
          <w:spacing w:val="40"/>
          <w:vertAlign w:val="baseline"/>
        </w:rPr>
        <w:t> </w:t>
      </w:r>
      <w:r>
        <w:rPr>
          <w:vertAlign w:val="baseline"/>
        </w:rPr>
        <w:t>In particular,</w:t>
      </w:r>
      <w:r>
        <w:rPr>
          <w:spacing w:val="-6"/>
          <w:vertAlign w:val="baseline"/>
        </w:rPr>
        <w:t> </w:t>
      </w:r>
      <w:r>
        <w:rPr>
          <w:vertAlign w:val="baseline"/>
        </w:rPr>
        <w:t>the</w:t>
      </w:r>
      <w:r>
        <w:rPr>
          <w:spacing w:val="-6"/>
          <w:vertAlign w:val="baseline"/>
        </w:rPr>
        <w:t> </w:t>
      </w:r>
      <w:r>
        <w:rPr>
          <w:vertAlign w:val="baseline"/>
        </w:rPr>
        <w:t>Commissions</w:t>
      </w:r>
      <w:r>
        <w:rPr>
          <w:spacing w:val="-7"/>
          <w:vertAlign w:val="baseline"/>
        </w:rPr>
        <w:t> </w:t>
      </w:r>
      <w:r>
        <w:rPr>
          <w:vertAlign w:val="baseline"/>
        </w:rPr>
        <w:t>consider</w:t>
      </w:r>
      <w:r>
        <w:rPr>
          <w:spacing w:val="-6"/>
          <w:vertAlign w:val="baseline"/>
        </w:rPr>
        <w:t> </w:t>
      </w:r>
      <w:r>
        <w:rPr>
          <w:vertAlign w:val="baseline"/>
        </w:rPr>
        <w:t>that</w:t>
      </w:r>
      <w:r>
        <w:rPr>
          <w:spacing w:val="-6"/>
          <w:vertAlign w:val="baseline"/>
        </w:rPr>
        <w:t> </w:t>
      </w:r>
      <w:r>
        <w:rPr>
          <w:vertAlign w:val="baseline"/>
        </w:rPr>
        <w:t>the</w:t>
      </w:r>
      <w:r>
        <w:rPr>
          <w:spacing w:val="-6"/>
          <w:vertAlign w:val="baseline"/>
        </w:rPr>
        <w:t> </w:t>
      </w:r>
      <w:r>
        <w:rPr>
          <w:vertAlign w:val="baseline"/>
        </w:rPr>
        <w:t>full</w:t>
      </w:r>
      <w:r>
        <w:rPr>
          <w:spacing w:val="-7"/>
          <w:vertAlign w:val="baseline"/>
        </w:rPr>
        <w:t> </w:t>
      </w:r>
      <w:r>
        <w:rPr>
          <w:vertAlign w:val="baseline"/>
        </w:rPr>
        <w:t>range</w:t>
      </w:r>
      <w:r>
        <w:rPr>
          <w:spacing w:val="-6"/>
          <w:vertAlign w:val="baseline"/>
        </w:rPr>
        <w:t> </w:t>
      </w:r>
      <w:r>
        <w:rPr>
          <w:vertAlign w:val="baseline"/>
        </w:rPr>
        <w:t>of</w:t>
      </w:r>
      <w:r>
        <w:rPr>
          <w:spacing w:val="-7"/>
          <w:vertAlign w:val="baseline"/>
        </w:rPr>
        <w:t> </w:t>
      </w:r>
      <w:r>
        <w:rPr>
          <w:vertAlign w:val="baseline"/>
        </w:rPr>
        <w:t>rights</w:t>
      </w:r>
      <w:r>
        <w:rPr>
          <w:spacing w:val="-7"/>
          <w:vertAlign w:val="baseline"/>
        </w:rPr>
        <w:t> </w:t>
      </w:r>
      <w:r>
        <w:rPr>
          <w:vertAlign w:val="baseline"/>
        </w:rPr>
        <w:t>in</w:t>
      </w:r>
      <w:r>
        <w:rPr>
          <w:spacing w:val="-7"/>
          <w:vertAlign w:val="baseline"/>
        </w:rPr>
        <w:t> </w:t>
      </w:r>
      <w:r>
        <w:rPr>
          <w:vertAlign w:val="baseline"/>
        </w:rPr>
        <w:t>the</w:t>
      </w:r>
      <w:r>
        <w:rPr>
          <w:spacing w:val="-6"/>
          <w:vertAlign w:val="baseline"/>
        </w:rPr>
        <w:t> </w:t>
      </w:r>
      <w:r>
        <w:rPr>
          <w:vertAlign w:val="baseline"/>
        </w:rPr>
        <w:t>ECHR, to</w:t>
      </w:r>
      <w:r>
        <w:rPr>
          <w:spacing w:val="-2"/>
          <w:vertAlign w:val="baseline"/>
        </w:rPr>
        <w:t> </w:t>
      </w:r>
      <w:r>
        <w:rPr>
          <w:vertAlign w:val="baseline"/>
        </w:rPr>
        <w:t>the</w:t>
      </w:r>
      <w:r>
        <w:rPr>
          <w:spacing w:val="-1"/>
          <w:vertAlign w:val="baseline"/>
        </w:rPr>
        <w:t> </w:t>
      </w:r>
      <w:r>
        <w:rPr>
          <w:vertAlign w:val="baseline"/>
        </w:rPr>
        <w:t>extent</w:t>
      </w:r>
      <w:r>
        <w:rPr>
          <w:spacing w:val="-2"/>
          <w:vertAlign w:val="baseline"/>
        </w:rPr>
        <w:t> </w:t>
      </w:r>
      <w:r>
        <w:rPr>
          <w:vertAlign w:val="baseline"/>
        </w:rPr>
        <w:t>that</w:t>
      </w:r>
      <w:r>
        <w:rPr>
          <w:spacing w:val="-1"/>
          <w:vertAlign w:val="baseline"/>
        </w:rPr>
        <w:t> </w:t>
      </w:r>
      <w:r>
        <w:rPr>
          <w:vertAlign w:val="baseline"/>
        </w:rPr>
        <w:t>they</w:t>
      </w:r>
      <w:r>
        <w:rPr>
          <w:spacing w:val="-2"/>
          <w:vertAlign w:val="baseline"/>
        </w:rPr>
        <w:t> </w:t>
      </w:r>
      <w:r>
        <w:rPr>
          <w:vertAlign w:val="baseline"/>
        </w:rPr>
        <w:t>are</w:t>
      </w:r>
      <w:r>
        <w:rPr>
          <w:spacing w:val="-1"/>
          <w:vertAlign w:val="baseline"/>
        </w:rPr>
        <w:t> </w:t>
      </w:r>
      <w:r>
        <w:rPr>
          <w:vertAlign w:val="baseline"/>
        </w:rPr>
        <w:t>underpinned</w:t>
      </w:r>
      <w:r>
        <w:rPr>
          <w:spacing w:val="-2"/>
          <w:vertAlign w:val="baseline"/>
        </w:rPr>
        <w:t> </w:t>
      </w:r>
      <w:r>
        <w:rPr>
          <w:vertAlign w:val="baseline"/>
        </w:rPr>
        <w:t>by</w:t>
      </w:r>
      <w:r>
        <w:rPr>
          <w:spacing w:val="-2"/>
          <w:vertAlign w:val="baseline"/>
        </w:rPr>
        <w:t> </w:t>
      </w:r>
      <w:r>
        <w:rPr>
          <w:vertAlign w:val="baseline"/>
        </w:rPr>
        <w:t>EU</w:t>
      </w:r>
      <w:r>
        <w:rPr>
          <w:spacing w:val="-1"/>
          <w:vertAlign w:val="baseline"/>
        </w:rPr>
        <w:t> </w:t>
      </w:r>
      <w:r>
        <w:rPr>
          <w:vertAlign w:val="baseline"/>
        </w:rPr>
        <w:t>law</w:t>
      </w:r>
      <w:r>
        <w:rPr>
          <w:spacing w:val="-2"/>
          <w:vertAlign w:val="baseline"/>
        </w:rPr>
        <w:t> </w:t>
      </w:r>
      <w:r>
        <w:rPr>
          <w:vertAlign w:val="baseline"/>
        </w:rPr>
        <w:t>in</w:t>
      </w:r>
      <w:r>
        <w:rPr>
          <w:spacing w:val="-2"/>
          <w:vertAlign w:val="baseline"/>
        </w:rPr>
        <w:t> </w:t>
      </w:r>
      <w:r>
        <w:rPr>
          <w:vertAlign w:val="baseline"/>
        </w:rPr>
        <w:t>force</w:t>
      </w:r>
      <w:r>
        <w:rPr>
          <w:spacing w:val="-1"/>
          <w:vertAlign w:val="baseline"/>
        </w:rPr>
        <w:t> </w:t>
      </w:r>
      <w:r>
        <w:rPr>
          <w:vertAlign w:val="baseline"/>
        </w:rPr>
        <w:t>in</w:t>
      </w:r>
      <w:r>
        <w:rPr>
          <w:spacing w:val="-2"/>
          <w:vertAlign w:val="baseline"/>
        </w:rPr>
        <w:t> </w:t>
      </w:r>
      <w:r>
        <w:rPr>
          <w:vertAlign w:val="baseline"/>
        </w:rPr>
        <w:t>NI</w:t>
      </w:r>
      <w:r>
        <w:rPr>
          <w:spacing w:val="-2"/>
          <w:vertAlign w:val="baseline"/>
        </w:rPr>
        <w:t> </w:t>
      </w:r>
      <w:r>
        <w:rPr>
          <w:vertAlign w:val="baseline"/>
        </w:rPr>
        <w:t>on</w:t>
      </w:r>
      <w:r>
        <w:rPr>
          <w:spacing w:val="-2"/>
          <w:vertAlign w:val="baseline"/>
        </w:rPr>
        <w:t> </w:t>
      </w:r>
      <w:r>
        <w:rPr>
          <w:vertAlign w:val="baseline"/>
        </w:rPr>
        <w:t>or</w:t>
      </w:r>
      <w:r>
        <w:rPr>
          <w:spacing w:val="-1"/>
          <w:vertAlign w:val="baseline"/>
        </w:rPr>
        <w:t> </w:t>
      </w:r>
      <w:r>
        <w:rPr>
          <w:vertAlign w:val="baseline"/>
        </w:rPr>
        <w:t>before 31 December 2020, fall within the scope of the non-diminution commitment in Windsor Framework Article 2.</w:t>
      </w:r>
      <w:r>
        <w:rPr>
          <w:spacing w:val="40"/>
          <w:vertAlign w:val="baseline"/>
        </w:rPr>
        <w:t> </w:t>
      </w:r>
      <w:r>
        <w:rPr>
          <w:vertAlign w:val="baseline"/>
        </w:rPr>
        <w:t>The ECtHR has found that the right to respect for private and family life in Article 8, ECHR encompasses a right to effective</w:t>
      </w:r>
      <w:r>
        <w:rPr>
          <w:spacing w:val="-1"/>
          <w:vertAlign w:val="baseline"/>
        </w:rPr>
        <w:t> </w:t>
      </w:r>
      <w:r>
        <w:rPr>
          <w:vertAlign w:val="baseline"/>
        </w:rPr>
        <w:t>protection</w:t>
      </w:r>
      <w:r>
        <w:rPr>
          <w:spacing w:val="-2"/>
          <w:vertAlign w:val="baseline"/>
        </w:rPr>
        <w:t> </w:t>
      </w:r>
      <w:r>
        <w:rPr>
          <w:vertAlign w:val="baseline"/>
        </w:rPr>
        <w:t>by</w:t>
      </w:r>
      <w:r>
        <w:rPr>
          <w:spacing w:val="-1"/>
          <w:vertAlign w:val="baseline"/>
        </w:rPr>
        <w:t> </w:t>
      </w:r>
      <w:r>
        <w:rPr>
          <w:vertAlign w:val="baseline"/>
        </w:rPr>
        <w:t>the</w:t>
      </w:r>
      <w:r>
        <w:rPr>
          <w:spacing w:val="-1"/>
          <w:vertAlign w:val="baseline"/>
        </w:rPr>
        <w:t> </w:t>
      </w:r>
      <w:r>
        <w:rPr>
          <w:vertAlign w:val="baseline"/>
        </w:rPr>
        <w:t>State</w:t>
      </w:r>
      <w:r>
        <w:rPr>
          <w:spacing w:val="-1"/>
          <w:vertAlign w:val="baseline"/>
        </w:rPr>
        <w:t> </w:t>
      </w:r>
      <w:r>
        <w:rPr>
          <w:vertAlign w:val="baseline"/>
        </w:rPr>
        <w:t>authorities</w:t>
      </w:r>
      <w:r>
        <w:rPr>
          <w:spacing w:val="-2"/>
          <w:vertAlign w:val="baseline"/>
        </w:rPr>
        <w:t> </w:t>
      </w:r>
      <w:r>
        <w:rPr>
          <w:vertAlign w:val="baseline"/>
        </w:rPr>
        <w:t>from</w:t>
      </w:r>
      <w:r>
        <w:rPr>
          <w:spacing w:val="-1"/>
          <w:vertAlign w:val="baseline"/>
        </w:rPr>
        <w:t> </w:t>
      </w:r>
      <w:r>
        <w:rPr>
          <w:vertAlign w:val="baseline"/>
        </w:rPr>
        <w:t>the</w:t>
      </w:r>
      <w:r>
        <w:rPr>
          <w:spacing w:val="-1"/>
          <w:vertAlign w:val="baseline"/>
        </w:rPr>
        <w:t> </w:t>
      </w:r>
      <w:r>
        <w:rPr>
          <w:vertAlign w:val="baseline"/>
        </w:rPr>
        <w:t>serious</w:t>
      </w:r>
      <w:r>
        <w:rPr>
          <w:spacing w:val="-2"/>
          <w:vertAlign w:val="baseline"/>
        </w:rPr>
        <w:t> </w:t>
      </w:r>
      <w:r>
        <w:rPr>
          <w:vertAlign w:val="baseline"/>
        </w:rPr>
        <w:t>adverse</w:t>
      </w:r>
      <w:r>
        <w:rPr>
          <w:spacing w:val="-1"/>
          <w:vertAlign w:val="baseline"/>
        </w:rPr>
        <w:t> </w:t>
      </w:r>
      <w:r>
        <w:rPr>
          <w:vertAlign w:val="baseline"/>
        </w:rPr>
        <w:t>effects of climate change on lives, health, well-being and quality of life.</w:t>
      </w:r>
      <w:r>
        <w:rPr>
          <w:vertAlign w:val="superscript"/>
        </w:rPr>
        <w:t>667</w:t>
      </w:r>
    </w:p>
    <w:p>
      <w:pPr>
        <w:pStyle w:val="ListParagraph"/>
        <w:numPr>
          <w:ilvl w:val="1"/>
          <w:numId w:val="7"/>
        </w:numPr>
        <w:tabs>
          <w:tab w:pos="1853" w:val="left" w:leader="none"/>
        </w:tabs>
        <w:spacing w:line="225" w:lineRule="auto" w:before="302" w:after="0"/>
        <w:ind w:left="1853" w:right="1675" w:hanging="720"/>
        <w:jc w:val="left"/>
        <w:rPr>
          <w:sz w:val="28"/>
        </w:rPr>
      </w:pPr>
      <w:r>
        <w:rPr>
          <w:sz w:val="28"/>
        </w:rPr>
        <w:t>In addition, NI law must keep pace with any EU changes to rights that amend or replace the six Annex 1 equality directives. These include the EU</w:t>
      </w:r>
      <w:r>
        <w:rPr>
          <w:spacing w:val="-8"/>
          <w:sz w:val="28"/>
        </w:rPr>
        <w:t> </w:t>
      </w:r>
      <w:r>
        <w:rPr>
          <w:sz w:val="28"/>
        </w:rPr>
        <w:t>Racial</w:t>
      </w:r>
      <w:r>
        <w:rPr>
          <w:spacing w:val="-9"/>
          <w:sz w:val="28"/>
        </w:rPr>
        <w:t> </w:t>
      </w:r>
      <w:r>
        <w:rPr>
          <w:sz w:val="28"/>
        </w:rPr>
        <w:t>Equality</w:t>
      </w:r>
      <w:r>
        <w:rPr>
          <w:spacing w:val="-8"/>
          <w:sz w:val="28"/>
        </w:rPr>
        <w:t> </w:t>
      </w:r>
      <w:r>
        <w:rPr>
          <w:sz w:val="28"/>
        </w:rPr>
        <w:t>Directive,</w:t>
      </w:r>
      <w:r>
        <w:rPr>
          <w:spacing w:val="-8"/>
          <w:sz w:val="28"/>
        </w:rPr>
        <w:t> </w:t>
      </w:r>
      <w:r>
        <w:rPr>
          <w:sz w:val="28"/>
        </w:rPr>
        <w:t>which</w:t>
      </w:r>
      <w:r>
        <w:rPr>
          <w:spacing w:val="-9"/>
          <w:sz w:val="28"/>
        </w:rPr>
        <w:t> </w:t>
      </w:r>
      <w:r>
        <w:rPr>
          <w:sz w:val="28"/>
        </w:rPr>
        <w:t>establishes</w:t>
      </w:r>
      <w:r>
        <w:rPr>
          <w:spacing w:val="-9"/>
          <w:sz w:val="28"/>
        </w:rPr>
        <w:t> </w:t>
      </w:r>
      <w:r>
        <w:rPr>
          <w:sz w:val="28"/>
        </w:rPr>
        <w:t>a</w:t>
      </w:r>
      <w:r>
        <w:rPr>
          <w:spacing w:val="-9"/>
          <w:sz w:val="28"/>
        </w:rPr>
        <w:t> </w:t>
      </w:r>
      <w:r>
        <w:rPr>
          <w:sz w:val="28"/>
        </w:rPr>
        <w:t>framework</w:t>
      </w:r>
      <w:r>
        <w:rPr>
          <w:spacing w:val="-8"/>
          <w:sz w:val="28"/>
        </w:rPr>
        <w:t> </w:t>
      </w:r>
      <w:r>
        <w:rPr>
          <w:sz w:val="28"/>
        </w:rPr>
        <w:t>for</w:t>
      </w:r>
      <w:r>
        <w:rPr>
          <w:spacing w:val="-8"/>
          <w:sz w:val="28"/>
        </w:rPr>
        <w:t> </w:t>
      </w:r>
      <w:r>
        <w:rPr>
          <w:sz w:val="28"/>
        </w:rPr>
        <w:t>combating</w:t>
      </w:r>
    </w:p>
    <w:p>
      <w:pPr>
        <w:pStyle w:val="BodyText"/>
        <w:spacing w:line="225" w:lineRule="auto"/>
        <w:ind w:left="1853" w:right="1190"/>
      </w:pPr>
      <w:r>
        <w:rPr/>
        <w:t>discrimination on the grounds of racial or ethnic origin,</w:t>
      </w:r>
      <w:r>
        <w:rPr>
          <w:vertAlign w:val="superscript"/>
        </w:rPr>
        <w:t>668</w:t>
      </w:r>
      <w:r>
        <w:rPr>
          <w:vertAlign w:val="baseline"/>
        </w:rPr>
        <w:t> and the EU Gender Equality (Goods and Services) Directive, which prohibits sex discrimination in access to goods and services.</w:t>
      </w:r>
      <w:r>
        <w:rPr>
          <w:vertAlign w:val="superscript"/>
        </w:rPr>
        <w:t>669</w:t>
      </w:r>
      <w:r>
        <w:rPr>
          <w:vertAlign w:val="baseline"/>
        </w:rPr>
        <w:t> These directives continue to be relevant in</w:t>
      </w:r>
      <w:r>
        <w:rPr>
          <w:vertAlign w:val="baseline"/>
        </w:rPr>
        <w:t> the delivery of services relating to the environment. In addition, the Annex 1 equality</w:t>
      </w:r>
      <w:r>
        <w:rPr>
          <w:spacing w:val="-10"/>
          <w:vertAlign w:val="baseline"/>
        </w:rPr>
        <w:t> </w:t>
      </w:r>
      <w:r>
        <w:rPr>
          <w:vertAlign w:val="baseline"/>
        </w:rPr>
        <w:t>directives</w:t>
      </w:r>
      <w:r>
        <w:rPr>
          <w:spacing w:val="-11"/>
          <w:vertAlign w:val="baseline"/>
        </w:rPr>
        <w:t> </w:t>
      </w:r>
      <w:r>
        <w:rPr>
          <w:vertAlign w:val="baseline"/>
        </w:rPr>
        <w:t>should</w:t>
      </w:r>
      <w:r>
        <w:rPr>
          <w:spacing w:val="-11"/>
          <w:vertAlign w:val="baseline"/>
        </w:rPr>
        <w:t> </w:t>
      </w:r>
      <w:r>
        <w:rPr>
          <w:vertAlign w:val="baseline"/>
        </w:rPr>
        <w:t>be</w:t>
      </w:r>
      <w:r>
        <w:rPr>
          <w:spacing w:val="-10"/>
          <w:vertAlign w:val="baseline"/>
        </w:rPr>
        <w:t> </w:t>
      </w:r>
      <w:r>
        <w:rPr>
          <w:vertAlign w:val="baseline"/>
        </w:rPr>
        <w:t>interpreted</w:t>
      </w:r>
      <w:r>
        <w:rPr>
          <w:spacing w:val="-11"/>
          <w:vertAlign w:val="baseline"/>
        </w:rPr>
        <w:t> </w:t>
      </w:r>
      <w:r>
        <w:rPr>
          <w:vertAlign w:val="baseline"/>
        </w:rPr>
        <w:t>in</w:t>
      </w:r>
      <w:r>
        <w:rPr>
          <w:spacing w:val="-11"/>
          <w:vertAlign w:val="baseline"/>
        </w:rPr>
        <w:t> </w:t>
      </w:r>
      <w:r>
        <w:rPr>
          <w:vertAlign w:val="baseline"/>
        </w:rPr>
        <w:t>line</w:t>
      </w:r>
      <w:r>
        <w:rPr>
          <w:spacing w:val="-10"/>
          <w:vertAlign w:val="baseline"/>
        </w:rPr>
        <w:t> </w:t>
      </w:r>
      <w:r>
        <w:rPr>
          <w:vertAlign w:val="baseline"/>
        </w:rPr>
        <w:t>with</w:t>
      </w:r>
      <w:r>
        <w:rPr>
          <w:spacing w:val="-11"/>
          <w:vertAlign w:val="baseline"/>
        </w:rPr>
        <w:t> </w:t>
      </w:r>
      <w:r>
        <w:rPr>
          <w:vertAlign w:val="baseline"/>
        </w:rPr>
        <w:t>relevant</w:t>
      </w:r>
      <w:r>
        <w:rPr>
          <w:spacing w:val="-10"/>
          <w:vertAlign w:val="baseline"/>
        </w:rPr>
        <w:t> </w:t>
      </w:r>
      <w:r>
        <w:rPr>
          <w:vertAlign w:val="baseline"/>
        </w:rPr>
        <w:t>CJEU</w:t>
      </w:r>
      <w:r>
        <w:rPr>
          <w:spacing w:val="-10"/>
          <w:vertAlign w:val="baseline"/>
        </w:rPr>
        <w:t> </w:t>
      </w:r>
      <w:r>
        <w:rPr>
          <w:vertAlign w:val="baseline"/>
        </w:rPr>
        <w:t>case</w:t>
      </w:r>
      <w:r>
        <w:rPr>
          <w:spacing w:val="-10"/>
          <w:vertAlign w:val="baseline"/>
        </w:rPr>
        <w:t> </w:t>
      </w:r>
      <w:r>
        <w:rPr>
          <w:vertAlign w:val="baseline"/>
        </w:rPr>
        <w:t>law.</w:t>
      </w:r>
      <w:r>
        <w:rPr>
          <w:vertAlign w:val="superscript"/>
        </w:rPr>
        <w:t>670</w:t>
      </w:r>
    </w:p>
    <w:p>
      <w:pPr>
        <w:pStyle w:val="BodyText"/>
        <w:spacing w:before="6"/>
        <w:rPr>
          <w:sz w:val="7"/>
        </w:rPr>
      </w:pPr>
      <w:r>
        <w:rPr/>
        <mc:AlternateContent>
          <mc:Choice Requires="wps">
            <w:drawing>
              <wp:anchor distT="0" distB="0" distL="0" distR="0" allowOverlap="1" layoutInCell="1" locked="0" behindDoc="1" simplePos="0" relativeHeight="487699968">
                <wp:simplePos x="0" y="0"/>
                <wp:positionH relativeFrom="page">
                  <wp:posOffset>719996</wp:posOffset>
                </wp:positionH>
                <wp:positionV relativeFrom="paragraph">
                  <wp:posOffset>73551</wp:posOffset>
                </wp:positionV>
                <wp:extent cx="6120130" cy="1270"/>
                <wp:effectExtent l="0" t="0" r="0" b="0"/>
                <wp:wrapTopAndBottom/>
                <wp:docPr id="513" name="Graphic 513"/>
                <wp:cNvGraphicFramePr>
                  <a:graphicFrameLocks/>
                </wp:cNvGraphicFramePr>
                <a:graphic>
                  <a:graphicData uri="http://schemas.microsoft.com/office/word/2010/wordprocessingShape">
                    <wps:wsp>
                      <wps:cNvPr id="513" name="Graphic 513"/>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5.79146pt;width:481.9pt;height:.1pt;mso-position-horizontal-relative:page;mso-position-vertical-relative:paragraph;z-index:-15616512;mso-wrap-distance-left:0;mso-wrap-distance-right:0" id="docshape458" coordorigin="1134,116" coordsize="9638,0" path="m10772,116l1134,116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18" w:lineRule="auto" w:before="139" w:after="0"/>
        <w:ind w:left="1853" w:right="1495" w:hanging="720"/>
        <w:jc w:val="left"/>
        <w:rPr>
          <w:sz w:val="18"/>
        </w:rPr>
      </w:pPr>
      <w:r>
        <w:rPr>
          <w:sz w:val="18"/>
        </w:rPr>
        <w:t>Belfast</w:t>
      </w:r>
      <w:r>
        <w:rPr>
          <w:spacing w:val="-4"/>
          <w:sz w:val="18"/>
        </w:rPr>
        <w:t> </w:t>
      </w:r>
      <w:r>
        <w:rPr>
          <w:sz w:val="18"/>
        </w:rPr>
        <w:t>(Good</w:t>
      </w:r>
      <w:r>
        <w:rPr>
          <w:spacing w:val="-5"/>
          <w:sz w:val="18"/>
        </w:rPr>
        <w:t> </w:t>
      </w:r>
      <w:r>
        <w:rPr>
          <w:sz w:val="18"/>
        </w:rPr>
        <w:t>Friday)</w:t>
      </w:r>
      <w:r>
        <w:rPr>
          <w:spacing w:val="-5"/>
          <w:sz w:val="18"/>
        </w:rPr>
        <w:t> </w:t>
      </w:r>
      <w:r>
        <w:rPr>
          <w:sz w:val="18"/>
        </w:rPr>
        <w:t>Agreement,</w:t>
      </w:r>
      <w:r>
        <w:rPr>
          <w:spacing w:val="-4"/>
          <w:sz w:val="18"/>
        </w:rPr>
        <w:t> </w:t>
      </w:r>
      <w:r>
        <w:rPr>
          <w:sz w:val="18"/>
        </w:rPr>
        <w:t>10</w:t>
      </w:r>
      <w:r>
        <w:rPr>
          <w:spacing w:val="-4"/>
          <w:sz w:val="18"/>
        </w:rPr>
        <w:t> </w:t>
      </w:r>
      <w:r>
        <w:rPr>
          <w:sz w:val="18"/>
        </w:rPr>
        <w:t>April</w:t>
      </w:r>
      <w:r>
        <w:rPr>
          <w:spacing w:val="-5"/>
          <w:sz w:val="18"/>
        </w:rPr>
        <w:t> </w:t>
      </w:r>
      <w:r>
        <w:rPr>
          <w:sz w:val="18"/>
        </w:rPr>
        <w:t>1998,</w:t>
      </w:r>
      <w:r>
        <w:rPr>
          <w:spacing w:val="-4"/>
          <w:sz w:val="18"/>
        </w:rPr>
        <w:t> </w:t>
      </w:r>
      <w:r>
        <w:rPr>
          <w:sz w:val="18"/>
        </w:rPr>
        <w:t>Part</w:t>
      </w:r>
      <w:r>
        <w:rPr>
          <w:spacing w:val="-4"/>
          <w:sz w:val="18"/>
        </w:rPr>
        <w:t> </w:t>
      </w:r>
      <w:r>
        <w:rPr>
          <w:sz w:val="18"/>
        </w:rPr>
        <w:t>6</w:t>
      </w:r>
      <w:r>
        <w:rPr>
          <w:spacing w:val="-4"/>
          <w:sz w:val="18"/>
        </w:rPr>
        <w:t> </w:t>
      </w:r>
      <w:r>
        <w:rPr>
          <w:sz w:val="18"/>
        </w:rPr>
        <w:t>on</w:t>
      </w:r>
      <w:r>
        <w:rPr>
          <w:spacing w:val="-5"/>
          <w:sz w:val="18"/>
        </w:rPr>
        <w:t> </w:t>
      </w:r>
      <w:r>
        <w:rPr>
          <w:sz w:val="18"/>
        </w:rPr>
        <w:t>Rights,</w:t>
      </w:r>
      <w:r>
        <w:rPr>
          <w:spacing w:val="-4"/>
          <w:sz w:val="18"/>
        </w:rPr>
        <w:t> </w:t>
      </w:r>
      <w:r>
        <w:rPr>
          <w:sz w:val="18"/>
        </w:rPr>
        <w:t>Safeguards</w:t>
      </w:r>
      <w:r>
        <w:rPr>
          <w:spacing w:val="-5"/>
          <w:sz w:val="18"/>
        </w:rPr>
        <w:t> </w:t>
      </w:r>
      <w:r>
        <w:rPr>
          <w:sz w:val="18"/>
        </w:rPr>
        <w:t>and</w:t>
      </w:r>
      <w:r>
        <w:rPr>
          <w:spacing w:val="-5"/>
          <w:sz w:val="18"/>
        </w:rPr>
        <w:t> </w:t>
      </w:r>
      <w:r>
        <w:rPr>
          <w:sz w:val="18"/>
        </w:rPr>
        <w:t>Equality</w:t>
      </w:r>
      <w:r>
        <w:rPr>
          <w:spacing w:val="-4"/>
          <w:sz w:val="18"/>
        </w:rPr>
        <w:t> </w:t>
      </w:r>
      <w:r>
        <w:rPr>
          <w:sz w:val="18"/>
        </w:rPr>
        <w:t>of</w:t>
      </w:r>
      <w:r>
        <w:rPr>
          <w:spacing w:val="-5"/>
          <w:sz w:val="18"/>
        </w:rPr>
        <w:t> </w:t>
      </w:r>
      <w:r>
        <w:rPr>
          <w:sz w:val="18"/>
        </w:rPr>
        <w:t>Opportunity.</w:t>
      </w:r>
      <w:r>
        <w:rPr>
          <w:spacing w:val="-5"/>
          <w:sz w:val="18"/>
        </w:rPr>
        <w:t> </w:t>
      </w:r>
      <w:r>
        <w:rPr>
          <w:sz w:val="18"/>
        </w:rPr>
        <w:t>See</w:t>
      </w:r>
      <w:r>
        <w:rPr>
          <w:spacing w:val="-4"/>
          <w:sz w:val="18"/>
        </w:rPr>
        <w:t> </w:t>
      </w:r>
      <w:r>
        <w:rPr>
          <w:sz w:val="18"/>
        </w:rPr>
        <w:t>also</w:t>
      </w:r>
      <w:r>
        <w:rPr>
          <w:spacing w:val="-5"/>
          <w:sz w:val="18"/>
        </w:rPr>
        <w:t> </w:t>
      </w:r>
      <w:r>
        <w:rPr>
          <w:sz w:val="18"/>
        </w:rPr>
        <w:t>UK Government, ‘UK Government commitment to no-diminution of rights, safeguards and equality of opportunity</w:t>
      </w:r>
    </w:p>
    <w:p>
      <w:pPr>
        <w:spacing w:line="218" w:lineRule="auto" w:before="0"/>
        <w:ind w:left="1853" w:right="1171" w:firstLine="0"/>
        <w:jc w:val="left"/>
        <w:rPr>
          <w:sz w:val="18"/>
        </w:rPr>
      </w:pPr>
      <w:r>
        <w:rPr>
          <w:sz w:val="18"/>
        </w:rPr>
        <w:t>in</w:t>
      </w:r>
      <w:r>
        <w:rPr>
          <w:spacing w:val="-4"/>
          <w:sz w:val="18"/>
        </w:rPr>
        <w:t> </w:t>
      </w:r>
      <w:r>
        <w:rPr>
          <w:sz w:val="18"/>
        </w:rPr>
        <w:t>Northern</w:t>
      </w:r>
      <w:r>
        <w:rPr>
          <w:spacing w:val="-4"/>
          <w:sz w:val="18"/>
        </w:rPr>
        <w:t> </w:t>
      </w:r>
      <w:r>
        <w:rPr>
          <w:sz w:val="18"/>
        </w:rPr>
        <w:t>Ireland’</w:t>
      </w:r>
      <w:r>
        <w:rPr>
          <w:spacing w:val="-3"/>
          <w:sz w:val="18"/>
        </w:rPr>
        <w:t> </w:t>
      </w:r>
      <w:r>
        <w:rPr>
          <w:sz w:val="18"/>
        </w:rPr>
        <w:t>(NIO,</w:t>
      </w:r>
      <w:r>
        <w:rPr>
          <w:spacing w:val="-3"/>
          <w:sz w:val="18"/>
        </w:rPr>
        <w:t> </w:t>
      </w:r>
      <w:r>
        <w:rPr>
          <w:sz w:val="18"/>
        </w:rPr>
        <w:t>2020);</w:t>
      </w:r>
      <w:r>
        <w:rPr>
          <w:spacing w:val="-3"/>
          <w:sz w:val="18"/>
        </w:rPr>
        <w:t> </w:t>
      </w:r>
      <w:r>
        <w:rPr>
          <w:sz w:val="18"/>
        </w:rPr>
        <w:t>In</w:t>
      </w:r>
      <w:r>
        <w:rPr>
          <w:spacing w:val="-4"/>
          <w:sz w:val="18"/>
        </w:rPr>
        <w:t> </w:t>
      </w:r>
      <w:r>
        <w:rPr>
          <w:sz w:val="18"/>
        </w:rPr>
        <w:t>the</w:t>
      </w:r>
      <w:r>
        <w:rPr>
          <w:spacing w:val="-3"/>
          <w:sz w:val="18"/>
        </w:rPr>
        <w:t> </w:t>
      </w:r>
      <w:r>
        <w:rPr>
          <w:sz w:val="18"/>
        </w:rPr>
        <w:t>matter</w:t>
      </w:r>
      <w:r>
        <w:rPr>
          <w:spacing w:val="-3"/>
          <w:sz w:val="18"/>
        </w:rPr>
        <w:t> </w:t>
      </w:r>
      <w:r>
        <w:rPr>
          <w:sz w:val="18"/>
        </w:rPr>
        <w:t>of</w:t>
      </w:r>
      <w:r>
        <w:rPr>
          <w:spacing w:val="-4"/>
          <w:sz w:val="18"/>
        </w:rPr>
        <w:t> </w:t>
      </w:r>
      <w:r>
        <w:rPr>
          <w:sz w:val="18"/>
        </w:rPr>
        <w:t>an</w:t>
      </w:r>
      <w:r>
        <w:rPr>
          <w:spacing w:val="-4"/>
          <w:sz w:val="18"/>
        </w:rPr>
        <w:t> </w:t>
      </w:r>
      <w:r>
        <w:rPr>
          <w:sz w:val="18"/>
        </w:rPr>
        <w:t>application</w:t>
      </w:r>
      <w:r>
        <w:rPr>
          <w:spacing w:val="-4"/>
          <w:sz w:val="18"/>
        </w:rPr>
        <w:t> </w:t>
      </w:r>
      <w:r>
        <w:rPr>
          <w:sz w:val="18"/>
        </w:rPr>
        <w:t>by</w:t>
      </w:r>
      <w:r>
        <w:rPr>
          <w:spacing w:val="-3"/>
          <w:sz w:val="18"/>
        </w:rPr>
        <w:t> </w:t>
      </w:r>
      <w:r>
        <w:rPr>
          <w:sz w:val="18"/>
        </w:rPr>
        <w:t>Martina</w:t>
      </w:r>
      <w:r>
        <w:rPr>
          <w:spacing w:val="-4"/>
          <w:sz w:val="18"/>
        </w:rPr>
        <w:t> </w:t>
      </w:r>
      <w:r>
        <w:rPr>
          <w:sz w:val="18"/>
        </w:rPr>
        <w:t>Dillon</w:t>
      </w:r>
      <w:r>
        <w:rPr>
          <w:spacing w:val="-4"/>
          <w:sz w:val="18"/>
        </w:rPr>
        <w:t> </w:t>
      </w:r>
      <w:r>
        <w:rPr>
          <w:sz w:val="18"/>
        </w:rPr>
        <w:t>and</w:t>
      </w:r>
      <w:r>
        <w:rPr>
          <w:spacing w:val="-4"/>
          <w:sz w:val="18"/>
        </w:rPr>
        <w:t> </w:t>
      </w:r>
      <w:r>
        <w:rPr>
          <w:sz w:val="18"/>
        </w:rPr>
        <w:t>others</w:t>
      </w:r>
      <w:r>
        <w:rPr>
          <w:spacing w:val="-4"/>
          <w:sz w:val="18"/>
        </w:rPr>
        <w:t> </w:t>
      </w:r>
      <w:r>
        <w:rPr>
          <w:sz w:val="18"/>
        </w:rPr>
        <w:t>for</w:t>
      </w:r>
      <w:r>
        <w:rPr>
          <w:spacing w:val="-3"/>
          <w:sz w:val="18"/>
        </w:rPr>
        <w:t> </w:t>
      </w:r>
      <w:r>
        <w:rPr>
          <w:sz w:val="18"/>
        </w:rPr>
        <w:t>Judicial</w:t>
      </w:r>
      <w:r>
        <w:rPr>
          <w:spacing w:val="-4"/>
          <w:sz w:val="18"/>
        </w:rPr>
        <w:t> </w:t>
      </w:r>
      <w:r>
        <w:rPr>
          <w:sz w:val="18"/>
        </w:rPr>
        <w:t>Review</w:t>
      </w:r>
      <w:r>
        <w:rPr>
          <w:spacing w:val="-3"/>
          <w:sz w:val="18"/>
        </w:rPr>
        <w:t> </w:t>
      </w:r>
      <w:r>
        <w:rPr>
          <w:sz w:val="18"/>
        </w:rPr>
        <w:t>[2024] NIKB 11, at para 540</w:t>
      </w:r>
      <w:r>
        <w:rPr>
          <w:color w:val="0562C1"/>
          <w:sz w:val="18"/>
        </w:rPr>
        <w:t>.</w:t>
      </w:r>
    </w:p>
    <w:p>
      <w:pPr>
        <w:pStyle w:val="ListParagraph"/>
        <w:numPr>
          <w:ilvl w:val="0"/>
          <w:numId w:val="11"/>
        </w:numPr>
        <w:tabs>
          <w:tab w:pos="1853" w:val="left" w:leader="none"/>
        </w:tabs>
        <w:spacing w:line="210" w:lineRule="exact" w:before="0" w:after="0"/>
        <w:ind w:left="1853" w:right="0" w:hanging="720"/>
        <w:jc w:val="left"/>
        <w:rPr>
          <w:sz w:val="18"/>
        </w:rPr>
      </w:pPr>
      <w:r>
        <w:rPr>
          <w:sz w:val="18"/>
        </w:rPr>
        <w:t>Belfast</w:t>
      </w:r>
      <w:r>
        <w:rPr>
          <w:spacing w:val="-7"/>
          <w:sz w:val="18"/>
        </w:rPr>
        <w:t> </w:t>
      </w:r>
      <w:r>
        <w:rPr>
          <w:sz w:val="18"/>
        </w:rPr>
        <w:t>(Good</w:t>
      </w:r>
      <w:r>
        <w:rPr>
          <w:spacing w:val="-4"/>
          <w:sz w:val="18"/>
        </w:rPr>
        <w:t> </w:t>
      </w:r>
      <w:r>
        <w:rPr>
          <w:sz w:val="18"/>
        </w:rPr>
        <w:t>Friday)</w:t>
      </w:r>
      <w:r>
        <w:rPr>
          <w:spacing w:val="-5"/>
          <w:sz w:val="18"/>
        </w:rPr>
        <w:t> </w:t>
      </w:r>
      <w:r>
        <w:rPr>
          <w:sz w:val="18"/>
        </w:rPr>
        <w:t>Agreement,</w:t>
      </w:r>
      <w:r>
        <w:rPr>
          <w:spacing w:val="-4"/>
          <w:sz w:val="18"/>
        </w:rPr>
        <w:t> </w:t>
      </w:r>
      <w:r>
        <w:rPr>
          <w:sz w:val="18"/>
        </w:rPr>
        <w:t>10</w:t>
      </w:r>
      <w:r>
        <w:rPr>
          <w:spacing w:val="-5"/>
          <w:sz w:val="18"/>
        </w:rPr>
        <w:t> </w:t>
      </w:r>
      <w:r>
        <w:rPr>
          <w:sz w:val="18"/>
        </w:rPr>
        <w:t>April</w:t>
      </w:r>
      <w:r>
        <w:rPr>
          <w:spacing w:val="-4"/>
          <w:sz w:val="18"/>
        </w:rPr>
        <w:t> </w:t>
      </w:r>
      <w:r>
        <w:rPr>
          <w:sz w:val="18"/>
        </w:rPr>
        <w:t>1998,</w:t>
      </w:r>
      <w:r>
        <w:rPr>
          <w:spacing w:val="-5"/>
          <w:sz w:val="18"/>
        </w:rPr>
        <w:t> </w:t>
      </w:r>
      <w:r>
        <w:rPr>
          <w:sz w:val="18"/>
        </w:rPr>
        <w:t>Part</w:t>
      </w:r>
      <w:r>
        <w:rPr>
          <w:spacing w:val="-4"/>
          <w:sz w:val="18"/>
        </w:rPr>
        <w:t> </w:t>
      </w:r>
      <w:r>
        <w:rPr>
          <w:sz w:val="18"/>
        </w:rPr>
        <w:t>6</w:t>
      </w:r>
      <w:r>
        <w:rPr>
          <w:spacing w:val="-4"/>
          <w:sz w:val="18"/>
        </w:rPr>
        <w:t> </w:t>
      </w:r>
      <w:r>
        <w:rPr>
          <w:sz w:val="18"/>
        </w:rPr>
        <w:t>on</w:t>
      </w:r>
      <w:r>
        <w:rPr>
          <w:spacing w:val="-5"/>
          <w:sz w:val="18"/>
        </w:rPr>
        <w:t> </w:t>
      </w:r>
      <w:r>
        <w:rPr>
          <w:sz w:val="18"/>
        </w:rPr>
        <w:t>Rights,</w:t>
      </w:r>
      <w:r>
        <w:rPr>
          <w:spacing w:val="-4"/>
          <w:sz w:val="18"/>
        </w:rPr>
        <w:t> </w:t>
      </w:r>
      <w:r>
        <w:rPr>
          <w:sz w:val="18"/>
        </w:rPr>
        <w:t>Safeguards</w:t>
      </w:r>
      <w:r>
        <w:rPr>
          <w:spacing w:val="-5"/>
          <w:sz w:val="18"/>
        </w:rPr>
        <w:t> </w:t>
      </w:r>
      <w:r>
        <w:rPr>
          <w:sz w:val="18"/>
        </w:rPr>
        <w:t>and</w:t>
      </w:r>
      <w:r>
        <w:rPr>
          <w:spacing w:val="-4"/>
          <w:sz w:val="18"/>
        </w:rPr>
        <w:t> </w:t>
      </w:r>
      <w:r>
        <w:rPr>
          <w:sz w:val="18"/>
        </w:rPr>
        <w:t>Equality</w:t>
      </w:r>
      <w:r>
        <w:rPr>
          <w:spacing w:val="-5"/>
          <w:sz w:val="18"/>
        </w:rPr>
        <w:t> </w:t>
      </w:r>
      <w:r>
        <w:rPr>
          <w:sz w:val="18"/>
        </w:rPr>
        <w:t>of</w:t>
      </w:r>
      <w:r>
        <w:rPr>
          <w:spacing w:val="-4"/>
          <w:sz w:val="18"/>
        </w:rPr>
        <w:t> </w:t>
      </w:r>
      <w:r>
        <w:rPr>
          <w:spacing w:val="-2"/>
          <w:sz w:val="18"/>
        </w:rPr>
        <w:t>Opportunity.</w:t>
      </w:r>
    </w:p>
    <w:p>
      <w:pPr>
        <w:pStyle w:val="ListParagraph"/>
        <w:numPr>
          <w:ilvl w:val="0"/>
          <w:numId w:val="11"/>
        </w:numPr>
        <w:tabs>
          <w:tab w:pos="1853" w:val="left" w:leader="none"/>
        </w:tabs>
        <w:spacing w:line="218" w:lineRule="auto" w:before="6" w:after="0"/>
        <w:ind w:left="1853" w:right="1388" w:hanging="720"/>
        <w:jc w:val="left"/>
        <w:rPr>
          <w:sz w:val="18"/>
        </w:rPr>
      </w:pP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and</w:t>
      </w:r>
      <w:r>
        <w:rPr>
          <w:spacing w:val="-4"/>
          <w:sz w:val="18"/>
        </w:rPr>
        <w:t> </w:t>
      </w:r>
      <w:r>
        <w:rPr>
          <w:sz w:val="18"/>
        </w:rPr>
        <w:t>Equality</w:t>
      </w:r>
      <w:r>
        <w:rPr>
          <w:spacing w:val="-3"/>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‘Working</w:t>
      </w:r>
      <w:r>
        <w:rPr>
          <w:spacing w:val="-3"/>
          <w:sz w:val="18"/>
        </w:rPr>
        <w:t> </w:t>
      </w:r>
      <w:r>
        <w:rPr>
          <w:sz w:val="18"/>
        </w:rPr>
        <w:t>Paper:</w:t>
      </w:r>
      <w:r>
        <w:rPr>
          <w:spacing w:val="-3"/>
          <w:sz w:val="18"/>
        </w:rPr>
        <w:t> </w:t>
      </w:r>
      <w:r>
        <w:rPr>
          <w:sz w:val="18"/>
        </w:rPr>
        <w:t>The</w:t>
      </w:r>
      <w:r>
        <w:rPr>
          <w:spacing w:val="-3"/>
          <w:sz w:val="18"/>
        </w:rPr>
        <w:t> </w:t>
      </w:r>
      <w:r>
        <w:rPr>
          <w:sz w:val="18"/>
        </w:rPr>
        <w:t>Scope</w:t>
      </w:r>
      <w:r>
        <w:rPr>
          <w:spacing w:val="-3"/>
          <w:sz w:val="18"/>
        </w:rPr>
        <w:t> </w:t>
      </w:r>
      <w:r>
        <w:rPr>
          <w:sz w:val="18"/>
        </w:rPr>
        <w:t>of</w:t>
      </w:r>
      <w:r>
        <w:rPr>
          <w:spacing w:val="-4"/>
          <w:sz w:val="18"/>
        </w:rPr>
        <w:t> </w:t>
      </w:r>
      <w:r>
        <w:rPr>
          <w:sz w:val="18"/>
        </w:rPr>
        <w:t>Article</w:t>
      </w:r>
      <w:r>
        <w:rPr>
          <w:spacing w:val="-3"/>
          <w:sz w:val="18"/>
        </w:rPr>
        <w:t> </w:t>
      </w:r>
      <w:r>
        <w:rPr>
          <w:sz w:val="18"/>
        </w:rPr>
        <w:t>2(1)</w:t>
      </w:r>
      <w:r>
        <w:rPr>
          <w:spacing w:val="-4"/>
          <w:sz w:val="18"/>
        </w:rPr>
        <w:t> </w:t>
      </w:r>
      <w:r>
        <w:rPr>
          <w:sz w:val="18"/>
        </w:rPr>
        <w:t>of</w:t>
      </w:r>
      <w:r>
        <w:rPr>
          <w:spacing w:val="-4"/>
          <w:sz w:val="18"/>
        </w:rPr>
        <w:t> </w:t>
      </w:r>
      <w:r>
        <w:rPr>
          <w:sz w:val="18"/>
        </w:rPr>
        <w:t>the</w:t>
      </w:r>
      <w:r>
        <w:rPr>
          <w:spacing w:val="-3"/>
          <w:sz w:val="18"/>
        </w:rPr>
        <w:t> </w:t>
      </w:r>
      <w:r>
        <w:rPr>
          <w:sz w:val="18"/>
        </w:rPr>
        <w:t>Ireland/ Northern Ireland Protocol’ (NIHRC and ECNI, 2022).</w:t>
      </w:r>
    </w:p>
    <w:p>
      <w:pPr>
        <w:pStyle w:val="ListParagraph"/>
        <w:numPr>
          <w:ilvl w:val="0"/>
          <w:numId w:val="11"/>
        </w:numPr>
        <w:tabs>
          <w:tab w:pos="1853" w:val="left" w:leader="none"/>
        </w:tabs>
        <w:spacing w:line="218" w:lineRule="exact" w:before="1" w:after="0"/>
        <w:ind w:left="1853" w:right="0" w:hanging="720"/>
        <w:jc w:val="left"/>
        <w:rPr>
          <w:sz w:val="18"/>
        </w:rPr>
      </w:pPr>
      <w:r>
        <w:rPr>
          <w:i/>
          <w:sz w:val="18"/>
        </w:rPr>
        <w:t>In</w:t>
      </w:r>
      <w:r>
        <w:rPr>
          <w:i/>
          <w:spacing w:val="-5"/>
          <w:sz w:val="18"/>
        </w:rPr>
        <w:t> </w:t>
      </w:r>
      <w:r>
        <w:rPr>
          <w:i/>
          <w:sz w:val="18"/>
        </w:rPr>
        <w:t>the</w:t>
      </w:r>
      <w:r>
        <w:rPr>
          <w:i/>
          <w:spacing w:val="-4"/>
          <w:sz w:val="18"/>
        </w:rPr>
        <w:t> </w:t>
      </w:r>
      <w:r>
        <w:rPr>
          <w:i/>
          <w:sz w:val="18"/>
        </w:rPr>
        <w:t>Matter</w:t>
      </w:r>
      <w:r>
        <w:rPr>
          <w:i/>
          <w:spacing w:val="-4"/>
          <w:sz w:val="18"/>
        </w:rPr>
        <w:t> </w:t>
      </w:r>
      <w:r>
        <w:rPr>
          <w:i/>
          <w:sz w:val="18"/>
        </w:rPr>
        <w:t>of</w:t>
      </w:r>
      <w:r>
        <w:rPr>
          <w:i/>
          <w:spacing w:val="-5"/>
          <w:sz w:val="18"/>
        </w:rPr>
        <w:t> </w:t>
      </w:r>
      <w:r>
        <w:rPr>
          <w:i/>
          <w:sz w:val="18"/>
        </w:rPr>
        <w:t>an</w:t>
      </w:r>
      <w:r>
        <w:rPr>
          <w:i/>
          <w:spacing w:val="-4"/>
          <w:sz w:val="18"/>
        </w:rPr>
        <w:t> </w:t>
      </w:r>
      <w:r>
        <w:rPr>
          <w:i/>
          <w:sz w:val="18"/>
        </w:rPr>
        <w:t>Application</w:t>
      </w:r>
      <w:r>
        <w:rPr>
          <w:i/>
          <w:spacing w:val="-5"/>
          <w:sz w:val="18"/>
        </w:rPr>
        <w:t> </w:t>
      </w:r>
      <w:r>
        <w:rPr>
          <w:i/>
          <w:sz w:val="18"/>
        </w:rPr>
        <w:t>by</w:t>
      </w:r>
      <w:r>
        <w:rPr>
          <w:i/>
          <w:spacing w:val="-5"/>
          <w:sz w:val="18"/>
        </w:rPr>
        <w:t> </w:t>
      </w:r>
      <w:r>
        <w:rPr>
          <w:i/>
          <w:sz w:val="18"/>
        </w:rPr>
        <w:t>Martina</w:t>
      </w:r>
      <w:r>
        <w:rPr>
          <w:i/>
          <w:spacing w:val="-4"/>
          <w:sz w:val="18"/>
        </w:rPr>
        <w:t> </w:t>
      </w:r>
      <w:r>
        <w:rPr>
          <w:i/>
          <w:sz w:val="18"/>
        </w:rPr>
        <w:t>Dillon</w:t>
      </w:r>
      <w:r>
        <w:rPr>
          <w:i/>
          <w:spacing w:val="-5"/>
          <w:sz w:val="18"/>
        </w:rPr>
        <w:t> </w:t>
      </w:r>
      <w:r>
        <w:rPr>
          <w:i/>
          <w:sz w:val="18"/>
        </w:rPr>
        <w:t>and</w:t>
      </w:r>
      <w:r>
        <w:rPr>
          <w:i/>
          <w:spacing w:val="-5"/>
          <w:sz w:val="18"/>
        </w:rPr>
        <w:t> </w:t>
      </w:r>
      <w:r>
        <w:rPr>
          <w:i/>
          <w:sz w:val="18"/>
        </w:rPr>
        <w:t>Others</w:t>
      </w:r>
      <w:r>
        <w:rPr>
          <w:i/>
          <w:spacing w:val="-4"/>
          <w:sz w:val="18"/>
        </w:rPr>
        <w:t> </w:t>
      </w:r>
      <w:r>
        <w:rPr>
          <w:i/>
          <w:sz w:val="18"/>
        </w:rPr>
        <w:t>for</w:t>
      </w:r>
      <w:r>
        <w:rPr>
          <w:i/>
          <w:spacing w:val="-4"/>
          <w:sz w:val="18"/>
        </w:rPr>
        <w:t> </w:t>
      </w:r>
      <w:r>
        <w:rPr>
          <w:i/>
          <w:sz w:val="18"/>
        </w:rPr>
        <w:t>Judicial</w:t>
      </w:r>
      <w:r>
        <w:rPr>
          <w:i/>
          <w:spacing w:val="-5"/>
          <w:sz w:val="18"/>
        </w:rPr>
        <w:t> </w:t>
      </w:r>
      <w:r>
        <w:rPr>
          <w:i/>
          <w:sz w:val="18"/>
        </w:rPr>
        <w:t>Review</w:t>
      </w:r>
      <w:r>
        <w:rPr>
          <w:i/>
          <w:spacing w:val="-5"/>
          <w:sz w:val="18"/>
        </w:rPr>
        <w:t> </w:t>
      </w:r>
      <w:r>
        <w:rPr>
          <w:sz w:val="18"/>
        </w:rPr>
        <w:t>[2024]</w:t>
      </w:r>
      <w:r>
        <w:rPr>
          <w:spacing w:val="-3"/>
          <w:sz w:val="18"/>
        </w:rPr>
        <w:t> </w:t>
      </w:r>
      <w:r>
        <w:rPr>
          <w:sz w:val="18"/>
        </w:rPr>
        <w:t>NIKB</w:t>
      </w:r>
      <w:r>
        <w:rPr>
          <w:spacing w:val="-4"/>
          <w:sz w:val="18"/>
        </w:rPr>
        <w:t> </w:t>
      </w:r>
      <w:r>
        <w:rPr>
          <w:sz w:val="18"/>
        </w:rPr>
        <w:t>11,</w:t>
      </w:r>
      <w:r>
        <w:rPr>
          <w:spacing w:val="-4"/>
          <w:sz w:val="18"/>
        </w:rPr>
        <w:t> </w:t>
      </w:r>
      <w:r>
        <w:rPr>
          <w:sz w:val="18"/>
        </w:rPr>
        <w:t>at</w:t>
      </w:r>
      <w:r>
        <w:rPr>
          <w:spacing w:val="-4"/>
          <w:sz w:val="18"/>
        </w:rPr>
        <w:t> </w:t>
      </w:r>
      <w:r>
        <w:rPr>
          <w:sz w:val="18"/>
        </w:rPr>
        <w:t>para</w:t>
      </w:r>
      <w:r>
        <w:rPr>
          <w:spacing w:val="-5"/>
          <w:sz w:val="18"/>
        </w:rPr>
        <w:t> </w:t>
      </w:r>
      <w:r>
        <w:rPr>
          <w:spacing w:val="-4"/>
          <w:sz w:val="18"/>
        </w:rPr>
        <w:t>547.</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para</w:t>
      </w:r>
      <w:r>
        <w:rPr>
          <w:spacing w:val="-2"/>
          <w:sz w:val="18"/>
        </w:rPr>
        <w:t> </w:t>
      </w:r>
      <w:r>
        <w:rPr>
          <w:spacing w:val="-4"/>
          <w:sz w:val="18"/>
        </w:rPr>
        <w:t>554.</w:t>
      </w:r>
    </w:p>
    <w:p>
      <w:pPr>
        <w:pStyle w:val="ListParagraph"/>
        <w:numPr>
          <w:ilvl w:val="0"/>
          <w:numId w:val="11"/>
        </w:numPr>
        <w:tabs>
          <w:tab w:pos="1853" w:val="left" w:leader="none"/>
        </w:tabs>
        <w:spacing w:line="208" w:lineRule="exact" w:before="0" w:after="0"/>
        <w:ind w:left="1853" w:right="0" w:hanging="720"/>
        <w:jc w:val="left"/>
        <w:rPr>
          <w:sz w:val="18"/>
        </w:rPr>
      </w:pPr>
      <w:r>
        <w:rPr>
          <w:i/>
          <w:sz w:val="18"/>
        </w:rPr>
        <w:t>Verein</w:t>
      </w:r>
      <w:r>
        <w:rPr>
          <w:i/>
          <w:spacing w:val="-9"/>
          <w:sz w:val="18"/>
        </w:rPr>
        <w:t> </w:t>
      </w:r>
      <w:r>
        <w:rPr>
          <w:i/>
          <w:sz w:val="18"/>
        </w:rPr>
        <w:t>KlimaSeniorinnen</w:t>
      </w:r>
      <w:r>
        <w:rPr>
          <w:i/>
          <w:spacing w:val="-9"/>
          <w:sz w:val="18"/>
        </w:rPr>
        <w:t> </w:t>
      </w:r>
      <w:r>
        <w:rPr>
          <w:i/>
          <w:sz w:val="18"/>
        </w:rPr>
        <w:t>Schweiz</w:t>
      </w:r>
      <w:r>
        <w:rPr>
          <w:i/>
          <w:spacing w:val="-8"/>
          <w:sz w:val="18"/>
        </w:rPr>
        <w:t> </w:t>
      </w:r>
      <w:r>
        <w:rPr>
          <w:i/>
          <w:sz w:val="18"/>
        </w:rPr>
        <w:t>and</w:t>
      </w:r>
      <w:r>
        <w:rPr>
          <w:i/>
          <w:spacing w:val="-9"/>
          <w:sz w:val="18"/>
        </w:rPr>
        <w:t> </w:t>
      </w:r>
      <w:r>
        <w:rPr>
          <w:i/>
          <w:sz w:val="18"/>
        </w:rPr>
        <w:t>Others</w:t>
      </w:r>
      <w:r>
        <w:rPr>
          <w:i/>
          <w:spacing w:val="-9"/>
          <w:sz w:val="18"/>
        </w:rPr>
        <w:t> </w:t>
      </w:r>
      <w:r>
        <w:rPr>
          <w:i/>
          <w:sz w:val="18"/>
        </w:rPr>
        <w:t>v.</w:t>
      </w:r>
      <w:r>
        <w:rPr>
          <w:i/>
          <w:spacing w:val="-8"/>
          <w:sz w:val="18"/>
        </w:rPr>
        <w:t> </w:t>
      </w:r>
      <w:r>
        <w:rPr>
          <w:i/>
          <w:sz w:val="18"/>
        </w:rPr>
        <w:t>Switzerland</w:t>
      </w:r>
      <w:r>
        <w:rPr>
          <w:i/>
          <w:spacing w:val="-8"/>
          <w:sz w:val="18"/>
        </w:rPr>
        <w:t> </w:t>
      </w:r>
      <w:r>
        <w:rPr>
          <w:sz w:val="18"/>
        </w:rPr>
        <w:t>(2024)</w:t>
      </w:r>
      <w:r>
        <w:rPr>
          <w:spacing w:val="-9"/>
          <w:sz w:val="18"/>
        </w:rPr>
        <w:t> </w:t>
      </w:r>
      <w:r>
        <w:rPr>
          <w:sz w:val="18"/>
        </w:rPr>
        <w:t>ECHR</w:t>
      </w:r>
      <w:r>
        <w:rPr>
          <w:spacing w:val="-7"/>
          <w:sz w:val="18"/>
        </w:rPr>
        <w:t> </w:t>
      </w:r>
      <w:r>
        <w:rPr>
          <w:spacing w:val="-4"/>
          <w:sz w:val="18"/>
        </w:rPr>
        <w:t>304.</w:t>
      </w:r>
    </w:p>
    <w:p>
      <w:pPr>
        <w:pStyle w:val="ListParagraph"/>
        <w:numPr>
          <w:ilvl w:val="0"/>
          <w:numId w:val="11"/>
        </w:numPr>
        <w:tabs>
          <w:tab w:pos="1853" w:val="left" w:leader="none"/>
        </w:tabs>
        <w:spacing w:line="218" w:lineRule="auto" w:before="5" w:after="0"/>
        <w:ind w:left="1853" w:right="1914" w:hanging="720"/>
        <w:jc w:val="left"/>
        <w:rPr>
          <w:sz w:val="18"/>
        </w:rPr>
      </w:pPr>
      <w:r>
        <w:rPr>
          <w:sz w:val="18"/>
        </w:rPr>
        <w:t>Directive</w:t>
      </w:r>
      <w:r>
        <w:rPr>
          <w:spacing w:val="-6"/>
          <w:sz w:val="18"/>
        </w:rPr>
        <w:t> </w:t>
      </w:r>
      <w:r>
        <w:rPr>
          <w:sz w:val="18"/>
        </w:rPr>
        <w:t>2000/43/EC,</w:t>
      </w:r>
      <w:r>
        <w:rPr>
          <w:spacing w:val="-6"/>
          <w:sz w:val="18"/>
        </w:rPr>
        <w:t> </w:t>
      </w:r>
      <w:r>
        <w:rPr>
          <w:sz w:val="18"/>
        </w:rPr>
        <w:t>‘EU</w:t>
      </w:r>
      <w:r>
        <w:rPr>
          <w:spacing w:val="-6"/>
          <w:sz w:val="18"/>
        </w:rPr>
        <w:t> </w:t>
      </w:r>
      <w:r>
        <w:rPr>
          <w:sz w:val="18"/>
        </w:rPr>
        <w:t>Council</w:t>
      </w:r>
      <w:r>
        <w:rPr>
          <w:spacing w:val="-7"/>
          <w:sz w:val="18"/>
        </w:rPr>
        <w:t> </w:t>
      </w:r>
      <w:r>
        <w:rPr>
          <w:sz w:val="18"/>
        </w:rPr>
        <w:t>Directive</w:t>
      </w:r>
      <w:r>
        <w:rPr>
          <w:spacing w:val="-6"/>
          <w:sz w:val="18"/>
        </w:rPr>
        <w:t> </w:t>
      </w:r>
      <w:r>
        <w:rPr>
          <w:sz w:val="18"/>
        </w:rPr>
        <w:t>on</w:t>
      </w:r>
      <w:r>
        <w:rPr>
          <w:spacing w:val="-7"/>
          <w:sz w:val="18"/>
        </w:rPr>
        <w:t> </w:t>
      </w:r>
      <w:r>
        <w:rPr>
          <w:sz w:val="18"/>
        </w:rPr>
        <w:t>Implementing</w:t>
      </w:r>
      <w:r>
        <w:rPr>
          <w:spacing w:val="-6"/>
          <w:sz w:val="18"/>
        </w:rPr>
        <w:t> </w:t>
      </w:r>
      <w:r>
        <w:rPr>
          <w:sz w:val="18"/>
        </w:rPr>
        <w:t>the</w:t>
      </w:r>
      <w:r>
        <w:rPr>
          <w:spacing w:val="-6"/>
          <w:sz w:val="18"/>
        </w:rPr>
        <w:t> </w:t>
      </w:r>
      <w:r>
        <w:rPr>
          <w:sz w:val="18"/>
        </w:rPr>
        <w:t>Principle</w:t>
      </w:r>
      <w:r>
        <w:rPr>
          <w:spacing w:val="-6"/>
          <w:sz w:val="18"/>
        </w:rPr>
        <w:t> </w:t>
      </w:r>
      <w:r>
        <w:rPr>
          <w:sz w:val="18"/>
        </w:rPr>
        <w:t>of</w:t>
      </w:r>
      <w:r>
        <w:rPr>
          <w:spacing w:val="-7"/>
          <w:sz w:val="18"/>
        </w:rPr>
        <w:t> </w:t>
      </w:r>
      <w:r>
        <w:rPr>
          <w:sz w:val="18"/>
        </w:rPr>
        <w:t>Equal</w:t>
      </w:r>
      <w:r>
        <w:rPr>
          <w:spacing w:val="-7"/>
          <w:sz w:val="18"/>
        </w:rPr>
        <w:t> </w:t>
      </w:r>
      <w:r>
        <w:rPr>
          <w:sz w:val="18"/>
        </w:rPr>
        <w:t>Treatment</w:t>
      </w:r>
      <w:r>
        <w:rPr>
          <w:spacing w:val="-6"/>
          <w:sz w:val="18"/>
        </w:rPr>
        <w:t> </w:t>
      </w:r>
      <w:r>
        <w:rPr>
          <w:sz w:val="18"/>
        </w:rPr>
        <w:t>between</w:t>
      </w:r>
      <w:r>
        <w:rPr>
          <w:spacing w:val="-7"/>
          <w:sz w:val="18"/>
        </w:rPr>
        <w:t> </w:t>
      </w:r>
      <w:r>
        <w:rPr>
          <w:sz w:val="18"/>
        </w:rPr>
        <w:t>Persons Irrespective of Racial or Ethnic Origin’, 29 June 2000.</w:t>
      </w:r>
    </w:p>
    <w:p>
      <w:pPr>
        <w:pStyle w:val="ListParagraph"/>
        <w:numPr>
          <w:ilvl w:val="0"/>
          <w:numId w:val="11"/>
        </w:numPr>
        <w:tabs>
          <w:tab w:pos="1853" w:val="left" w:leader="none"/>
        </w:tabs>
        <w:spacing w:line="218" w:lineRule="auto" w:before="0" w:after="0"/>
        <w:ind w:left="1853" w:right="1738" w:hanging="720"/>
        <w:jc w:val="left"/>
        <w:rPr>
          <w:sz w:val="18"/>
        </w:rPr>
      </w:pPr>
      <w:r>
        <w:rPr>
          <w:sz w:val="18"/>
        </w:rPr>
        <w:t>Directive</w:t>
      </w:r>
      <w:r>
        <w:rPr>
          <w:spacing w:val="-5"/>
          <w:sz w:val="18"/>
        </w:rPr>
        <w:t> </w:t>
      </w:r>
      <w:r>
        <w:rPr>
          <w:sz w:val="18"/>
        </w:rPr>
        <w:t>2004/113/EC,</w:t>
      </w:r>
      <w:r>
        <w:rPr>
          <w:spacing w:val="-5"/>
          <w:sz w:val="18"/>
        </w:rPr>
        <w:t> </w:t>
      </w:r>
      <w:r>
        <w:rPr>
          <w:sz w:val="18"/>
        </w:rPr>
        <w:t>‘EU</w:t>
      </w:r>
      <w:r>
        <w:rPr>
          <w:spacing w:val="-5"/>
          <w:sz w:val="18"/>
        </w:rPr>
        <w:t> </w:t>
      </w:r>
      <w:r>
        <w:rPr>
          <w:sz w:val="18"/>
        </w:rPr>
        <w:t>Council</w:t>
      </w:r>
      <w:r>
        <w:rPr>
          <w:spacing w:val="-6"/>
          <w:sz w:val="18"/>
        </w:rPr>
        <w:t> </w:t>
      </w:r>
      <w:r>
        <w:rPr>
          <w:sz w:val="18"/>
        </w:rPr>
        <w:t>Directive</w:t>
      </w:r>
      <w:r>
        <w:rPr>
          <w:spacing w:val="-5"/>
          <w:sz w:val="18"/>
        </w:rPr>
        <w:t> </w:t>
      </w:r>
      <w:r>
        <w:rPr>
          <w:sz w:val="18"/>
        </w:rPr>
        <w:t>on</w:t>
      </w:r>
      <w:r>
        <w:rPr>
          <w:spacing w:val="-6"/>
          <w:sz w:val="18"/>
        </w:rPr>
        <w:t> </w:t>
      </w:r>
      <w:r>
        <w:rPr>
          <w:sz w:val="18"/>
        </w:rPr>
        <w:t>Implementing</w:t>
      </w:r>
      <w:r>
        <w:rPr>
          <w:spacing w:val="-5"/>
          <w:sz w:val="18"/>
        </w:rPr>
        <w:t> </w:t>
      </w:r>
      <w:r>
        <w:rPr>
          <w:sz w:val="18"/>
        </w:rPr>
        <w:t>the</w:t>
      </w:r>
      <w:r>
        <w:rPr>
          <w:spacing w:val="-5"/>
          <w:sz w:val="18"/>
        </w:rPr>
        <w:t> </w:t>
      </w:r>
      <w:r>
        <w:rPr>
          <w:sz w:val="18"/>
        </w:rPr>
        <w:t>Principle</w:t>
      </w:r>
      <w:r>
        <w:rPr>
          <w:spacing w:val="-5"/>
          <w:sz w:val="18"/>
        </w:rPr>
        <w:t> </w:t>
      </w:r>
      <w:r>
        <w:rPr>
          <w:sz w:val="18"/>
        </w:rPr>
        <w:t>of</w:t>
      </w:r>
      <w:r>
        <w:rPr>
          <w:spacing w:val="-6"/>
          <w:sz w:val="18"/>
        </w:rPr>
        <w:t> </w:t>
      </w:r>
      <w:r>
        <w:rPr>
          <w:sz w:val="18"/>
        </w:rPr>
        <w:t>Equal</w:t>
      </w:r>
      <w:r>
        <w:rPr>
          <w:spacing w:val="-6"/>
          <w:sz w:val="18"/>
        </w:rPr>
        <w:t> </w:t>
      </w:r>
      <w:r>
        <w:rPr>
          <w:sz w:val="18"/>
        </w:rPr>
        <w:t>Treatment</w:t>
      </w:r>
      <w:r>
        <w:rPr>
          <w:spacing w:val="-5"/>
          <w:sz w:val="18"/>
        </w:rPr>
        <w:t> </w:t>
      </w:r>
      <w:r>
        <w:rPr>
          <w:sz w:val="18"/>
        </w:rPr>
        <w:t>between</w:t>
      </w:r>
      <w:r>
        <w:rPr>
          <w:spacing w:val="-6"/>
          <w:sz w:val="18"/>
        </w:rPr>
        <w:t> </w:t>
      </w:r>
      <w:r>
        <w:rPr>
          <w:sz w:val="18"/>
        </w:rPr>
        <w:t>Men</w:t>
      </w:r>
      <w:r>
        <w:rPr>
          <w:spacing w:val="-6"/>
          <w:sz w:val="18"/>
        </w:rPr>
        <w:t> </w:t>
      </w:r>
      <w:r>
        <w:rPr>
          <w:sz w:val="18"/>
        </w:rPr>
        <w:t>and Women in the access to and supply of goods and Services’, 13 December 2004.</w:t>
      </w:r>
    </w:p>
    <w:p>
      <w:pPr>
        <w:pStyle w:val="ListParagraph"/>
        <w:numPr>
          <w:ilvl w:val="0"/>
          <w:numId w:val="11"/>
        </w:numPr>
        <w:tabs>
          <w:tab w:pos="1853" w:val="left" w:leader="none"/>
        </w:tabs>
        <w:spacing w:line="240" w:lineRule="auto" w:before="1" w:after="0"/>
        <w:ind w:left="1853" w:right="0" w:hanging="720"/>
        <w:jc w:val="left"/>
        <w:rPr>
          <w:sz w:val="18"/>
        </w:rPr>
      </w:pPr>
      <w:r>
        <w:rPr>
          <w:sz w:val="18"/>
        </w:rPr>
        <w:t>Article</w:t>
      </w:r>
      <w:r>
        <w:rPr>
          <w:spacing w:val="-2"/>
          <w:sz w:val="18"/>
        </w:rPr>
        <w:t> </w:t>
      </w:r>
      <w:r>
        <w:rPr>
          <w:sz w:val="18"/>
        </w:rPr>
        <w:t>13(2),</w:t>
      </w:r>
      <w:r>
        <w:rPr>
          <w:spacing w:val="-2"/>
          <w:sz w:val="18"/>
        </w:rPr>
        <w:t> </w:t>
      </w:r>
      <w:r>
        <w:rPr>
          <w:sz w:val="18"/>
        </w:rPr>
        <w:t>Windsor</w:t>
      </w:r>
      <w:r>
        <w:rPr>
          <w:spacing w:val="-1"/>
          <w:sz w:val="18"/>
        </w:rPr>
        <w:t> </w:t>
      </w:r>
      <w:r>
        <w:rPr>
          <w:spacing w:val="-2"/>
          <w:sz w:val="18"/>
        </w:rPr>
        <w:t>Framework.</w:t>
      </w:r>
    </w:p>
    <w:p>
      <w:pPr>
        <w:spacing w:after="0" w:line="240" w:lineRule="auto"/>
        <w:jc w:val="left"/>
        <w:rPr>
          <w:sz w:val="18"/>
        </w:rPr>
        <w:sectPr>
          <w:headerReference w:type="even" r:id="rId186"/>
          <w:headerReference w:type="default" r:id="rId187"/>
          <w:footerReference w:type="even" r:id="rId188"/>
          <w:footerReference w:type="default" r:id="rId189"/>
          <w:pgSz w:w="11910" w:h="16840"/>
          <w:pgMar w:header="496" w:footer="367" w:top="1220" w:bottom="560" w:left="0" w:right="0"/>
          <w:pgNumType w:start="120"/>
        </w:sectPr>
      </w:pPr>
    </w:p>
    <w:p>
      <w:pPr>
        <w:pStyle w:val="BodyText"/>
        <w:spacing w:before="198"/>
      </w:pPr>
    </w:p>
    <w:p>
      <w:pPr>
        <w:pStyle w:val="ListParagraph"/>
        <w:numPr>
          <w:ilvl w:val="1"/>
          <w:numId w:val="7"/>
        </w:numPr>
        <w:tabs>
          <w:tab w:pos="1853" w:val="left" w:leader="none"/>
        </w:tabs>
        <w:spacing w:line="225" w:lineRule="auto" w:before="0" w:after="0"/>
        <w:ind w:left="1853" w:right="1617" w:hanging="720"/>
        <w:jc w:val="both"/>
        <w:rPr>
          <w:sz w:val="28"/>
        </w:rPr>
      </w:pPr>
      <w:r>
        <w:rPr>
          <w:sz w:val="28"/>
        </w:rPr>
        <w:t>The</w:t>
      </w:r>
      <w:r>
        <w:rPr>
          <w:spacing w:val="-6"/>
          <w:sz w:val="28"/>
        </w:rPr>
        <w:t> </w:t>
      </w:r>
      <w:r>
        <w:rPr>
          <w:sz w:val="28"/>
        </w:rPr>
        <w:t>EU</w:t>
      </w:r>
      <w:r>
        <w:rPr>
          <w:spacing w:val="-6"/>
          <w:sz w:val="28"/>
        </w:rPr>
        <w:t> </w:t>
      </w:r>
      <w:r>
        <w:rPr>
          <w:sz w:val="28"/>
        </w:rPr>
        <w:t>Charter</w:t>
      </w:r>
      <w:r>
        <w:rPr>
          <w:spacing w:val="-6"/>
          <w:sz w:val="28"/>
        </w:rPr>
        <w:t> </w:t>
      </w:r>
      <w:r>
        <w:rPr>
          <w:sz w:val="28"/>
        </w:rPr>
        <w:t>on</w:t>
      </w:r>
      <w:r>
        <w:rPr>
          <w:spacing w:val="-7"/>
          <w:sz w:val="28"/>
        </w:rPr>
        <w:t> </w:t>
      </w:r>
      <w:r>
        <w:rPr>
          <w:sz w:val="28"/>
        </w:rPr>
        <w:t>Fundamental</w:t>
      </w:r>
      <w:r>
        <w:rPr>
          <w:spacing w:val="-7"/>
          <w:sz w:val="28"/>
        </w:rPr>
        <w:t> </w:t>
      </w:r>
      <w:r>
        <w:rPr>
          <w:sz w:val="28"/>
        </w:rPr>
        <w:t>Rights</w:t>
      </w:r>
      <w:r>
        <w:rPr>
          <w:spacing w:val="-7"/>
          <w:sz w:val="28"/>
        </w:rPr>
        <w:t> </w:t>
      </w:r>
      <w:r>
        <w:rPr>
          <w:sz w:val="28"/>
        </w:rPr>
        <w:t>also</w:t>
      </w:r>
      <w:r>
        <w:rPr>
          <w:spacing w:val="-7"/>
          <w:sz w:val="28"/>
        </w:rPr>
        <w:t> </w:t>
      </w:r>
      <w:r>
        <w:rPr>
          <w:sz w:val="28"/>
        </w:rPr>
        <w:t>continues</w:t>
      </w:r>
      <w:r>
        <w:rPr>
          <w:spacing w:val="-7"/>
          <w:sz w:val="28"/>
        </w:rPr>
        <w:t> </w:t>
      </w:r>
      <w:r>
        <w:rPr>
          <w:sz w:val="28"/>
        </w:rPr>
        <w:t>to</w:t>
      </w:r>
      <w:r>
        <w:rPr>
          <w:spacing w:val="-7"/>
          <w:sz w:val="28"/>
        </w:rPr>
        <w:t> </w:t>
      </w:r>
      <w:r>
        <w:rPr>
          <w:sz w:val="28"/>
        </w:rPr>
        <w:t>have</w:t>
      </w:r>
      <w:r>
        <w:rPr>
          <w:spacing w:val="-6"/>
          <w:sz w:val="28"/>
        </w:rPr>
        <w:t> </w:t>
      </w:r>
      <w:r>
        <w:rPr>
          <w:sz w:val="28"/>
        </w:rPr>
        <w:t>relevance</w:t>
      </w:r>
      <w:r>
        <w:rPr>
          <w:spacing w:val="-6"/>
          <w:sz w:val="28"/>
        </w:rPr>
        <w:t> </w:t>
      </w:r>
      <w:r>
        <w:rPr>
          <w:sz w:val="28"/>
        </w:rPr>
        <w:t>in the application</w:t>
      </w:r>
      <w:r>
        <w:rPr>
          <w:spacing w:val="-1"/>
          <w:sz w:val="28"/>
        </w:rPr>
        <w:t> </w:t>
      </w:r>
      <w:r>
        <w:rPr>
          <w:sz w:val="28"/>
        </w:rPr>
        <w:t>and</w:t>
      </w:r>
      <w:r>
        <w:rPr>
          <w:spacing w:val="-1"/>
          <w:sz w:val="28"/>
        </w:rPr>
        <w:t> </w:t>
      </w:r>
      <w:r>
        <w:rPr>
          <w:sz w:val="28"/>
        </w:rPr>
        <w:t>interpretation</w:t>
      </w:r>
      <w:r>
        <w:rPr>
          <w:spacing w:val="-1"/>
          <w:sz w:val="28"/>
        </w:rPr>
        <w:t> </w:t>
      </w:r>
      <w:r>
        <w:rPr>
          <w:sz w:val="28"/>
        </w:rPr>
        <w:t>of</w:t>
      </w:r>
      <w:r>
        <w:rPr>
          <w:spacing w:val="-1"/>
          <w:sz w:val="28"/>
        </w:rPr>
        <w:t> </w:t>
      </w:r>
      <w:r>
        <w:rPr>
          <w:sz w:val="28"/>
        </w:rPr>
        <w:t>those provisions</w:t>
      </w:r>
      <w:r>
        <w:rPr>
          <w:spacing w:val="-1"/>
          <w:sz w:val="28"/>
        </w:rPr>
        <w:t> </w:t>
      </w:r>
      <w:r>
        <w:rPr>
          <w:sz w:val="28"/>
        </w:rPr>
        <w:t>of</w:t>
      </w:r>
      <w:r>
        <w:rPr>
          <w:spacing w:val="-1"/>
          <w:sz w:val="28"/>
        </w:rPr>
        <w:t> </w:t>
      </w:r>
      <w:r>
        <w:rPr>
          <w:sz w:val="28"/>
        </w:rPr>
        <w:t>EU law which</w:t>
      </w:r>
      <w:r>
        <w:rPr>
          <w:spacing w:val="-1"/>
          <w:sz w:val="28"/>
        </w:rPr>
        <w:t> </w:t>
      </w:r>
      <w:r>
        <w:rPr>
          <w:sz w:val="28"/>
        </w:rPr>
        <w:t>are</w:t>
      </w:r>
    </w:p>
    <w:p>
      <w:pPr>
        <w:pStyle w:val="BodyText"/>
        <w:spacing w:line="223" w:lineRule="auto"/>
        <w:ind w:left="1853" w:right="1159"/>
        <w:jc w:val="both"/>
        <w:rPr>
          <w:sz w:val="16"/>
        </w:rPr>
      </w:pPr>
      <w:r>
        <w:rPr/>
        <w:t>relevant</w:t>
      </w:r>
      <w:r>
        <w:rPr>
          <w:spacing w:val="-5"/>
        </w:rPr>
        <w:t> </w:t>
      </w:r>
      <w:r>
        <w:rPr/>
        <w:t>to</w:t>
      </w:r>
      <w:r>
        <w:rPr>
          <w:spacing w:val="-6"/>
        </w:rPr>
        <w:t> </w:t>
      </w:r>
      <w:r>
        <w:rPr/>
        <w:t>the</w:t>
      </w:r>
      <w:r>
        <w:rPr>
          <w:spacing w:val="-5"/>
        </w:rPr>
        <w:t> </w:t>
      </w:r>
      <w:r>
        <w:rPr/>
        <w:t>application</w:t>
      </w:r>
      <w:r>
        <w:rPr>
          <w:spacing w:val="-6"/>
        </w:rPr>
        <w:t> </w:t>
      </w:r>
      <w:r>
        <w:rPr/>
        <w:t>of</w:t>
      </w:r>
      <w:r>
        <w:rPr>
          <w:spacing w:val="-6"/>
        </w:rPr>
        <w:t> </w:t>
      </w:r>
      <w:r>
        <w:rPr/>
        <w:t>Windsor</w:t>
      </w:r>
      <w:r>
        <w:rPr>
          <w:spacing w:val="-5"/>
        </w:rPr>
        <w:t> </w:t>
      </w:r>
      <w:r>
        <w:rPr/>
        <w:t>Framework</w:t>
      </w:r>
      <w:r>
        <w:rPr>
          <w:spacing w:val="-5"/>
        </w:rPr>
        <w:t> </w:t>
      </w:r>
      <w:r>
        <w:rPr/>
        <w:t>Article</w:t>
      </w:r>
      <w:r>
        <w:rPr>
          <w:spacing w:val="-5"/>
        </w:rPr>
        <w:t> </w:t>
      </w:r>
      <w:r>
        <w:rPr/>
        <w:t>2.</w:t>
      </w:r>
      <w:r>
        <w:rPr>
          <w:spacing w:val="40"/>
        </w:rPr>
        <w:t> </w:t>
      </w:r>
      <w:r>
        <w:rPr/>
        <w:t>The</w:t>
      </w:r>
      <w:r>
        <w:rPr>
          <w:spacing w:val="-5"/>
        </w:rPr>
        <w:t> </w:t>
      </w:r>
      <w:r>
        <w:rPr/>
        <w:t>NI</w:t>
      </w:r>
      <w:r>
        <w:rPr>
          <w:spacing w:val="-5"/>
        </w:rPr>
        <w:t> </w:t>
      </w:r>
      <w:r>
        <w:rPr/>
        <w:t>High</w:t>
      </w:r>
      <w:r>
        <w:rPr>
          <w:spacing w:val="-6"/>
        </w:rPr>
        <w:t> </w:t>
      </w:r>
      <w:r>
        <w:rPr/>
        <w:t>Court also</w:t>
      </w:r>
      <w:r>
        <w:rPr>
          <w:spacing w:val="-3"/>
        </w:rPr>
        <w:t> </w:t>
      </w:r>
      <w:r>
        <w:rPr/>
        <w:t>affirmed</w:t>
      </w:r>
      <w:r>
        <w:rPr>
          <w:spacing w:val="-3"/>
        </w:rPr>
        <w:t> </w:t>
      </w:r>
      <w:r>
        <w:rPr/>
        <w:t>the</w:t>
      </w:r>
      <w:r>
        <w:rPr>
          <w:spacing w:val="-2"/>
        </w:rPr>
        <w:t> </w:t>
      </w:r>
      <w:r>
        <w:rPr/>
        <w:t>continued</w:t>
      </w:r>
      <w:r>
        <w:rPr>
          <w:spacing w:val="-3"/>
        </w:rPr>
        <w:t> </w:t>
      </w:r>
      <w:r>
        <w:rPr/>
        <w:t>enforceability</w:t>
      </w:r>
      <w:r>
        <w:rPr>
          <w:spacing w:val="-2"/>
        </w:rPr>
        <w:t> </w:t>
      </w:r>
      <w:r>
        <w:rPr/>
        <w:t>and</w:t>
      </w:r>
      <w:r>
        <w:rPr>
          <w:spacing w:val="-3"/>
        </w:rPr>
        <w:t> </w:t>
      </w:r>
      <w:r>
        <w:rPr/>
        <w:t>relevance</w:t>
      </w:r>
      <w:r>
        <w:rPr>
          <w:spacing w:val="-2"/>
        </w:rPr>
        <w:t> </w:t>
      </w:r>
      <w:r>
        <w:rPr/>
        <w:t>of</w:t>
      </w:r>
      <w:r>
        <w:rPr>
          <w:spacing w:val="-3"/>
        </w:rPr>
        <w:t> </w:t>
      </w:r>
      <w:r>
        <w:rPr/>
        <w:t>the</w:t>
      </w:r>
      <w:r>
        <w:rPr>
          <w:spacing w:val="-2"/>
        </w:rPr>
        <w:t> </w:t>
      </w:r>
      <w:r>
        <w:rPr/>
        <w:t>EU</w:t>
      </w:r>
      <w:r>
        <w:rPr>
          <w:spacing w:val="-2"/>
        </w:rPr>
        <w:t> </w:t>
      </w:r>
      <w:r>
        <w:rPr/>
        <w:t>Charter</w:t>
      </w:r>
      <w:r>
        <w:rPr>
          <w:spacing w:val="-2"/>
        </w:rPr>
        <w:t> </w:t>
      </w:r>
      <w:r>
        <w:rPr/>
        <w:t>for Windsor Framework Article 2.</w:t>
      </w:r>
      <w:r>
        <w:rPr>
          <w:vertAlign w:val="superscript"/>
        </w:rPr>
        <w:t>671</w:t>
      </w:r>
      <w:r>
        <w:rPr>
          <w:spacing w:val="40"/>
          <w:vertAlign w:val="baseline"/>
        </w:rPr>
        <w:t> </w:t>
      </w:r>
      <w:r>
        <w:rPr>
          <w:vertAlign w:val="baseline"/>
        </w:rPr>
        <w:t>Article 37 of</w:t>
      </w:r>
      <w:r>
        <w:rPr>
          <w:spacing w:val="-1"/>
          <w:vertAlign w:val="baseline"/>
        </w:rPr>
        <w:t> </w:t>
      </w:r>
      <w:r>
        <w:rPr>
          <w:vertAlign w:val="baseline"/>
        </w:rPr>
        <w:t>the EU Charter on</w:t>
      </w:r>
      <w:r>
        <w:rPr>
          <w:spacing w:val="-1"/>
          <w:vertAlign w:val="baseline"/>
        </w:rPr>
        <w:t> </w:t>
      </w:r>
      <w:r>
        <w:rPr>
          <w:vertAlign w:val="baseline"/>
        </w:rPr>
        <w:t>Fundamental Rights</w:t>
      </w:r>
      <w:r>
        <w:rPr>
          <w:spacing w:val="-4"/>
          <w:vertAlign w:val="baseline"/>
        </w:rPr>
        <w:t> </w:t>
      </w:r>
      <w:r>
        <w:rPr>
          <w:vertAlign w:val="baseline"/>
        </w:rPr>
        <w:t>requires</w:t>
      </w:r>
      <w:r>
        <w:rPr>
          <w:spacing w:val="-4"/>
          <w:vertAlign w:val="baseline"/>
        </w:rPr>
        <w:t> </w:t>
      </w:r>
      <w:r>
        <w:rPr>
          <w:vertAlign w:val="baseline"/>
        </w:rPr>
        <w:t>environmental</w:t>
      </w:r>
      <w:r>
        <w:rPr>
          <w:spacing w:val="-4"/>
          <w:vertAlign w:val="baseline"/>
        </w:rPr>
        <w:t> </w:t>
      </w:r>
      <w:r>
        <w:rPr>
          <w:vertAlign w:val="baseline"/>
        </w:rPr>
        <w:t>protections</w:t>
      </w:r>
      <w:r>
        <w:rPr>
          <w:spacing w:val="-4"/>
          <w:vertAlign w:val="baseline"/>
        </w:rPr>
        <w:t> </w:t>
      </w:r>
      <w:r>
        <w:rPr>
          <w:vertAlign w:val="baseline"/>
        </w:rPr>
        <w:t>to</w:t>
      </w:r>
      <w:r>
        <w:rPr>
          <w:spacing w:val="-4"/>
          <w:vertAlign w:val="baseline"/>
        </w:rPr>
        <w:t> </w:t>
      </w:r>
      <w:r>
        <w:rPr>
          <w:vertAlign w:val="baseline"/>
        </w:rPr>
        <w:t>be</w:t>
      </w:r>
      <w:r>
        <w:rPr>
          <w:spacing w:val="-3"/>
          <w:vertAlign w:val="baseline"/>
        </w:rPr>
        <w:t> </w:t>
      </w:r>
      <w:r>
        <w:rPr>
          <w:vertAlign w:val="baseline"/>
        </w:rPr>
        <w:t>integrated</w:t>
      </w:r>
      <w:r>
        <w:rPr>
          <w:spacing w:val="-4"/>
          <w:vertAlign w:val="baseline"/>
        </w:rPr>
        <w:t> </w:t>
      </w:r>
      <w:r>
        <w:rPr>
          <w:vertAlign w:val="baseline"/>
        </w:rPr>
        <w:t>into</w:t>
      </w:r>
      <w:r>
        <w:rPr>
          <w:spacing w:val="-4"/>
          <w:vertAlign w:val="baseline"/>
        </w:rPr>
        <w:t> </w:t>
      </w:r>
      <w:r>
        <w:rPr>
          <w:vertAlign w:val="baseline"/>
        </w:rPr>
        <w:t>policies</w:t>
      </w:r>
      <w:r>
        <w:rPr>
          <w:spacing w:val="-4"/>
          <w:vertAlign w:val="baseline"/>
        </w:rPr>
        <w:t> </w:t>
      </w:r>
      <w:r>
        <w:rPr>
          <w:vertAlign w:val="baseline"/>
        </w:rPr>
        <w:t>of</w:t>
      </w:r>
      <w:r>
        <w:rPr>
          <w:spacing w:val="-4"/>
          <w:vertAlign w:val="baseline"/>
        </w:rPr>
        <w:t> </w:t>
      </w:r>
      <w:r>
        <w:rPr>
          <w:vertAlign w:val="baseline"/>
        </w:rPr>
        <w:t>the </w:t>
      </w:r>
      <w:r>
        <w:rPr>
          <w:spacing w:val="-2"/>
          <w:position w:val="-8"/>
          <w:vertAlign w:val="baseline"/>
        </w:rPr>
        <w:t>EU.</w:t>
      </w:r>
      <w:r>
        <w:rPr>
          <w:spacing w:val="-2"/>
          <w:sz w:val="16"/>
          <w:vertAlign w:val="baseline"/>
        </w:rPr>
        <w:t>672</w:t>
      </w:r>
    </w:p>
    <w:p>
      <w:pPr>
        <w:pStyle w:val="ListParagraph"/>
        <w:numPr>
          <w:ilvl w:val="1"/>
          <w:numId w:val="7"/>
        </w:numPr>
        <w:tabs>
          <w:tab w:pos="1853" w:val="left" w:leader="none"/>
        </w:tabs>
        <w:spacing w:line="225" w:lineRule="auto" w:before="328" w:after="0"/>
        <w:ind w:left="1853" w:right="2118" w:hanging="720"/>
        <w:jc w:val="left"/>
        <w:rPr>
          <w:sz w:val="28"/>
        </w:rPr>
      </w:pPr>
      <w:r>
        <w:rPr>
          <w:sz w:val="28"/>
        </w:rPr>
        <w:t>Before the UK’s withdrawal from the EU, EU environmental law and governance mechanisms were embedded in NI governance, including in</w:t>
      </w:r>
      <w:r>
        <w:rPr>
          <w:spacing w:val="-7"/>
          <w:sz w:val="28"/>
        </w:rPr>
        <w:t> </w:t>
      </w:r>
      <w:r>
        <w:rPr>
          <w:sz w:val="28"/>
        </w:rPr>
        <w:t>relation</w:t>
      </w:r>
      <w:r>
        <w:rPr>
          <w:spacing w:val="-7"/>
          <w:sz w:val="28"/>
        </w:rPr>
        <w:t> </w:t>
      </w:r>
      <w:r>
        <w:rPr>
          <w:sz w:val="28"/>
        </w:rPr>
        <w:t>to</w:t>
      </w:r>
      <w:r>
        <w:rPr>
          <w:spacing w:val="-7"/>
          <w:sz w:val="28"/>
        </w:rPr>
        <w:t> </w:t>
      </w:r>
      <w:r>
        <w:rPr>
          <w:sz w:val="28"/>
        </w:rPr>
        <w:t>the</w:t>
      </w:r>
      <w:r>
        <w:rPr>
          <w:spacing w:val="-6"/>
          <w:sz w:val="28"/>
        </w:rPr>
        <w:t> </w:t>
      </w:r>
      <w:r>
        <w:rPr>
          <w:sz w:val="28"/>
        </w:rPr>
        <w:t>environment.</w:t>
      </w:r>
      <w:r>
        <w:rPr>
          <w:spacing w:val="-7"/>
          <w:sz w:val="28"/>
        </w:rPr>
        <w:t> </w:t>
      </w:r>
      <w:r>
        <w:rPr>
          <w:sz w:val="28"/>
        </w:rPr>
        <w:t>Article</w:t>
      </w:r>
      <w:r>
        <w:rPr>
          <w:spacing w:val="-6"/>
          <w:sz w:val="28"/>
        </w:rPr>
        <w:t> </w:t>
      </w:r>
      <w:r>
        <w:rPr>
          <w:sz w:val="28"/>
        </w:rPr>
        <w:t>5(4)</w:t>
      </w:r>
      <w:r>
        <w:rPr>
          <w:spacing w:val="-7"/>
          <w:sz w:val="28"/>
        </w:rPr>
        <w:t> </w:t>
      </w:r>
      <w:r>
        <w:rPr>
          <w:sz w:val="28"/>
        </w:rPr>
        <w:t>of</w:t>
      </w:r>
      <w:r>
        <w:rPr>
          <w:spacing w:val="-7"/>
          <w:sz w:val="28"/>
        </w:rPr>
        <w:t> </w:t>
      </w:r>
      <w:r>
        <w:rPr>
          <w:sz w:val="28"/>
        </w:rPr>
        <w:t>the</w:t>
      </w:r>
      <w:r>
        <w:rPr>
          <w:spacing w:val="-6"/>
          <w:sz w:val="28"/>
        </w:rPr>
        <w:t> </w:t>
      </w:r>
      <w:r>
        <w:rPr>
          <w:sz w:val="28"/>
        </w:rPr>
        <w:t>Windsor</w:t>
      </w:r>
      <w:r>
        <w:rPr>
          <w:spacing w:val="-6"/>
          <w:sz w:val="28"/>
        </w:rPr>
        <w:t> </w:t>
      </w:r>
      <w:r>
        <w:rPr>
          <w:sz w:val="28"/>
        </w:rPr>
        <w:t>Framework</w:t>
      </w:r>
    </w:p>
    <w:p>
      <w:pPr>
        <w:pStyle w:val="BodyText"/>
        <w:spacing w:line="225" w:lineRule="auto"/>
        <w:ind w:left="1853" w:right="1171"/>
      </w:pPr>
      <w:r>
        <w:rPr/>
        <w:t>has preserved some of these protections and provides for the continued application of EU law and governance mechanisms in some areas of environmental</w:t>
      </w:r>
      <w:r>
        <w:rPr>
          <w:spacing w:val="-7"/>
        </w:rPr>
        <w:t> </w:t>
      </w:r>
      <w:r>
        <w:rPr/>
        <w:t>regulation</w:t>
      </w:r>
      <w:r>
        <w:rPr>
          <w:spacing w:val="-7"/>
        </w:rPr>
        <w:t> </w:t>
      </w:r>
      <w:r>
        <w:rPr/>
        <w:t>relating</w:t>
      </w:r>
      <w:r>
        <w:rPr>
          <w:spacing w:val="-6"/>
        </w:rPr>
        <w:t> </w:t>
      </w:r>
      <w:r>
        <w:rPr/>
        <w:t>to</w:t>
      </w:r>
      <w:r>
        <w:rPr>
          <w:spacing w:val="-7"/>
        </w:rPr>
        <w:t> </w:t>
      </w:r>
      <w:r>
        <w:rPr/>
        <w:t>trade</w:t>
      </w:r>
      <w:r>
        <w:rPr>
          <w:spacing w:val="-6"/>
        </w:rPr>
        <w:t> </w:t>
      </w:r>
      <w:r>
        <w:rPr/>
        <w:t>set</w:t>
      </w:r>
      <w:r>
        <w:rPr>
          <w:spacing w:val="-6"/>
        </w:rPr>
        <w:t> </w:t>
      </w:r>
      <w:r>
        <w:rPr/>
        <w:t>out</w:t>
      </w:r>
      <w:r>
        <w:rPr>
          <w:spacing w:val="-6"/>
        </w:rPr>
        <w:t> </w:t>
      </w:r>
      <w:r>
        <w:rPr/>
        <w:t>in</w:t>
      </w:r>
      <w:r>
        <w:rPr>
          <w:spacing w:val="-7"/>
        </w:rPr>
        <w:t> </w:t>
      </w:r>
      <w:r>
        <w:rPr/>
        <w:t>Annex</w:t>
      </w:r>
      <w:r>
        <w:rPr>
          <w:spacing w:val="-7"/>
        </w:rPr>
        <w:t> </w:t>
      </w:r>
      <w:r>
        <w:rPr/>
        <w:t>2</w:t>
      </w:r>
      <w:r>
        <w:rPr>
          <w:spacing w:val="-6"/>
        </w:rPr>
        <w:t> </w:t>
      </w:r>
      <w:r>
        <w:rPr/>
        <w:t>of</w:t>
      </w:r>
      <w:r>
        <w:rPr>
          <w:spacing w:val="-7"/>
        </w:rPr>
        <w:t> </w:t>
      </w:r>
      <w:r>
        <w:rPr/>
        <w:t>the</w:t>
      </w:r>
      <w:r>
        <w:rPr>
          <w:spacing w:val="-6"/>
        </w:rPr>
        <w:t> </w:t>
      </w:r>
      <w:r>
        <w:rPr/>
        <w:t>Windsor Framework, with the potential to provide for further protections if deemed necessary. However, it largely omits other key conservation areas.</w:t>
      </w:r>
      <w:r>
        <w:rPr>
          <w:vertAlign w:val="superscript"/>
        </w:rPr>
        <w:t>673</w:t>
      </w:r>
    </w:p>
    <w:p>
      <w:pPr>
        <w:pStyle w:val="ListParagraph"/>
        <w:numPr>
          <w:ilvl w:val="1"/>
          <w:numId w:val="7"/>
        </w:numPr>
        <w:tabs>
          <w:tab w:pos="1853" w:val="left" w:leader="none"/>
        </w:tabs>
        <w:spacing w:line="225" w:lineRule="auto" w:before="310" w:after="0"/>
        <w:ind w:left="1853" w:right="1482" w:hanging="720"/>
        <w:jc w:val="left"/>
        <w:rPr>
          <w:sz w:val="28"/>
        </w:rPr>
      </w:pPr>
      <w:r>
        <w:rPr>
          <w:sz w:val="28"/>
        </w:rPr>
        <w:t>In</w:t>
      </w:r>
      <w:r>
        <w:rPr>
          <w:spacing w:val="-5"/>
          <w:sz w:val="28"/>
        </w:rPr>
        <w:t> </w:t>
      </w:r>
      <w:r>
        <w:rPr>
          <w:sz w:val="28"/>
        </w:rPr>
        <w:t>2023,</w:t>
      </w:r>
      <w:r>
        <w:rPr>
          <w:spacing w:val="-4"/>
          <w:sz w:val="28"/>
        </w:rPr>
        <w:t> </w:t>
      </w:r>
      <w:r>
        <w:rPr>
          <w:sz w:val="28"/>
        </w:rPr>
        <w:t>a</w:t>
      </w:r>
      <w:r>
        <w:rPr>
          <w:spacing w:val="-5"/>
          <w:sz w:val="28"/>
        </w:rPr>
        <w:t> </w:t>
      </w:r>
      <w:r>
        <w:rPr>
          <w:sz w:val="28"/>
        </w:rPr>
        <w:t>report</w:t>
      </w:r>
      <w:r>
        <w:rPr>
          <w:spacing w:val="-4"/>
          <w:sz w:val="28"/>
        </w:rPr>
        <w:t> </w:t>
      </w:r>
      <w:r>
        <w:rPr>
          <w:sz w:val="28"/>
        </w:rPr>
        <w:t>on</w:t>
      </w:r>
      <w:r>
        <w:rPr>
          <w:spacing w:val="-5"/>
          <w:sz w:val="28"/>
        </w:rPr>
        <w:t> </w:t>
      </w:r>
      <w:r>
        <w:rPr>
          <w:sz w:val="28"/>
        </w:rPr>
        <w:t>air</w:t>
      </w:r>
      <w:r>
        <w:rPr>
          <w:spacing w:val="-4"/>
          <w:sz w:val="28"/>
        </w:rPr>
        <w:t> </w:t>
      </w:r>
      <w:r>
        <w:rPr>
          <w:sz w:val="28"/>
        </w:rPr>
        <w:t>pollution</w:t>
      </w:r>
      <w:r>
        <w:rPr>
          <w:spacing w:val="-5"/>
          <w:sz w:val="28"/>
        </w:rPr>
        <w:t> </w:t>
      </w:r>
      <w:r>
        <w:rPr>
          <w:sz w:val="28"/>
        </w:rPr>
        <w:t>found</w:t>
      </w:r>
      <w:r>
        <w:rPr>
          <w:spacing w:val="-5"/>
          <w:sz w:val="28"/>
        </w:rPr>
        <w:t> </w:t>
      </w:r>
      <w:r>
        <w:rPr>
          <w:sz w:val="28"/>
        </w:rPr>
        <w:t>that</w:t>
      </w:r>
      <w:r>
        <w:rPr>
          <w:spacing w:val="-4"/>
          <w:sz w:val="28"/>
        </w:rPr>
        <w:t> </w:t>
      </w:r>
      <w:r>
        <w:rPr>
          <w:sz w:val="28"/>
        </w:rPr>
        <w:t>“some</w:t>
      </w:r>
      <w:r>
        <w:rPr>
          <w:spacing w:val="-4"/>
          <w:sz w:val="28"/>
        </w:rPr>
        <w:t> </w:t>
      </w:r>
      <w:r>
        <w:rPr>
          <w:sz w:val="28"/>
        </w:rPr>
        <w:t>pollutants</w:t>
      </w:r>
      <w:r>
        <w:rPr>
          <w:spacing w:val="-5"/>
          <w:sz w:val="28"/>
        </w:rPr>
        <w:t> </w:t>
      </w:r>
      <w:r>
        <w:rPr>
          <w:sz w:val="28"/>
        </w:rPr>
        <w:t>in</w:t>
      </w:r>
      <w:r>
        <w:rPr>
          <w:spacing w:val="-5"/>
          <w:sz w:val="28"/>
        </w:rPr>
        <w:t> </w:t>
      </w:r>
      <w:r>
        <w:rPr>
          <w:sz w:val="28"/>
        </w:rPr>
        <w:t>some</w:t>
      </w:r>
      <w:r>
        <w:rPr>
          <w:spacing w:val="-4"/>
          <w:sz w:val="28"/>
        </w:rPr>
        <w:t> </w:t>
      </w:r>
      <w:r>
        <w:rPr>
          <w:sz w:val="28"/>
        </w:rPr>
        <w:t>parts of NI continue to exceed air quality objectives”.</w:t>
      </w:r>
      <w:r>
        <w:rPr>
          <w:sz w:val="28"/>
          <w:vertAlign w:val="superscript"/>
        </w:rPr>
        <w:t>674</w:t>
      </w:r>
      <w:r>
        <w:rPr>
          <w:sz w:val="28"/>
          <w:vertAlign w:val="baseline"/>
        </w:rPr>
        <w:t> In March 2023, further research estimated that air pollution was attributable to 900 premature deaths annually in NI.</w:t>
      </w:r>
      <w:r>
        <w:rPr>
          <w:sz w:val="28"/>
          <w:vertAlign w:val="superscript"/>
        </w:rPr>
        <w:t>675</w:t>
      </w:r>
      <w:r>
        <w:rPr>
          <w:sz w:val="28"/>
          <w:vertAlign w:val="baseline"/>
        </w:rPr>
        <w:t> In April 2023, the UK’s Climate Change Committee said that planning for climate change in NI “remains at an early stage” with very limited evidence of delivery and implementation.</w:t>
      </w:r>
      <w:r>
        <w:rPr>
          <w:sz w:val="28"/>
          <w:vertAlign w:val="superscript"/>
        </w:rPr>
        <w:t>676</w:t>
      </w:r>
    </w:p>
    <w:p>
      <w:pPr>
        <w:pStyle w:val="ListParagraph"/>
        <w:numPr>
          <w:ilvl w:val="1"/>
          <w:numId w:val="7"/>
        </w:numPr>
        <w:tabs>
          <w:tab w:pos="1853" w:val="left" w:leader="none"/>
        </w:tabs>
        <w:spacing w:line="225" w:lineRule="auto" w:before="312" w:after="0"/>
        <w:ind w:left="1853" w:right="1140" w:hanging="720"/>
        <w:jc w:val="left"/>
        <w:rPr>
          <w:sz w:val="28"/>
        </w:rPr>
      </w:pPr>
      <w:r>
        <w:rPr>
          <w:sz w:val="28"/>
        </w:rPr>
        <w:t>In 2023, the Department of Agriculture, Environment and Rural Affairs consulted</w:t>
      </w:r>
      <w:r>
        <w:rPr>
          <w:spacing w:val="-9"/>
          <w:sz w:val="28"/>
        </w:rPr>
        <w:t> </w:t>
      </w:r>
      <w:r>
        <w:rPr>
          <w:sz w:val="28"/>
        </w:rPr>
        <w:t>on</w:t>
      </w:r>
      <w:r>
        <w:rPr>
          <w:spacing w:val="-9"/>
          <w:sz w:val="28"/>
        </w:rPr>
        <w:t> </w:t>
      </w:r>
      <w:r>
        <w:rPr>
          <w:sz w:val="28"/>
        </w:rPr>
        <w:t>ways</w:t>
      </w:r>
      <w:r>
        <w:rPr>
          <w:spacing w:val="-9"/>
          <w:sz w:val="28"/>
        </w:rPr>
        <w:t> </w:t>
      </w:r>
      <w:r>
        <w:rPr>
          <w:sz w:val="28"/>
        </w:rPr>
        <w:t>to</w:t>
      </w:r>
      <w:r>
        <w:rPr>
          <w:spacing w:val="-9"/>
          <w:sz w:val="28"/>
        </w:rPr>
        <w:t> </w:t>
      </w:r>
      <w:r>
        <w:rPr>
          <w:sz w:val="28"/>
        </w:rPr>
        <w:t>become</w:t>
      </w:r>
      <w:r>
        <w:rPr>
          <w:spacing w:val="-8"/>
          <w:sz w:val="28"/>
        </w:rPr>
        <w:t> </w:t>
      </w:r>
      <w:r>
        <w:rPr>
          <w:sz w:val="28"/>
        </w:rPr>
        <w:t>net</w:t>
      </w:r>
      <w:r>
        <w:rPr>
          <w:spacing w:val="-8"/>
          <w:sz w:val="28"/>
        </w:rPr>
        <w:t> </w:t>
      </w:r>
      <w:r>
        <w:rPr>
          <w:sz w:val="28"/>
        </w:rPr>
        <w:t>zero</w:t>
      </w:r>
      <w:r>
        <w:rPr>
          <w:spacing w:val="-9"/>
          <w:sz w:val="28"/>
        </w:rPr>
        <w:t> </w:t>
      </w:r>
      <w:r>
        <w:rPr>
          <w:sz w:val="28"/>
        </w:rPr>
        <w:t>in</w:t>
      </w:r>
      <w:r>
        <w:rPr>
          <w:spacing w:val="-9"/>
          <w:sz w:val="28"/>
        </w:rPr>
        <w:t> </w:t>
      </w:r>
      <w:r>
        <w:rPr>
          <w:sz w:val="28"/>
        </w:rPr>
        <w:t>NI.</w:t>
      </w:r>
      <w:r>
        <w:rPr>
          <w:sz w:val="28"/>
          <w:vertAlign w:val="superscript"/>
        </w:rPr>
        <w:t>677</w:t>
      </w:r>
      <w:r>
        <w:rPr>
          <w:spacing w:val="-9"/>
          <w:sz w:val="28"/>
          <w:vertAlign w:val="baseline"/>
        </w:rPr>
        <w:t> </w:t>
      </w:r>
      <w:r>
        <w:rPr>
          <w:sz w:val="28"/>
          <w:vertAlign w:val="baseline"/>
        </w:rPr>
        <w:t>The</w:t>
      </w:r>
      <w:r>
        <w:rPr>
          <w:spacing w:val="-8"/>
          <w:sz w:val="28"/>
          <w:vertAlign w:val="baseline"/>
        </w:rPr>
        <w:t> </w:t>
      </w:r>
      <w:r>
        <w:rPr>
          <w:sz w:val="28"/>
          <w:vertAlign w:val="baseline"/>
        </w:rPr>
        <w:t>NIHRC</w:t>
      </w:r>
      <w:r>
        <w:rPr>
          <w:spacing w:val="-9"/>
          <w:sz w:val="28"/>
          <w:vertAlign w:val="baseline"/>
        </w:rPr>
        <w:t> </w:t>
      </w:r>
      <w:r>
        <w:rPr>
          <w:sz w:val="28"/>
          <w:vertAlign w:val="baseline"/>
        </w:rPr>
        <w:t>provided</w:t>
      </w:r>
      <w:r>
        <w:rPr>
          <w:spacing w:val="-9"/>
          <w:sz w:val="28"/>
          <w:vertAlign w:val="baseline"/>
        </w:rPr>
        <w:t> </w:t>
      </w:r>
      <w:r>
        <w:rPr>
          <w:sz w:val="28"/>
          <w:vertAlign w:val="baseline"/>
        </w:rPr>
        <w:t>a</w:t>
      </w:r>
      <w:r>
        <w:rPr>
          <w:spacing w:val="-9"/>
          <w:sz w:val="28"/>
          <w:vertAlign w:val="baseline"/>
        </w:rPr>
        <w:t> </w:t>
      </w:r>
      <w:r>
        <w:rPr>
          <w:sz w:val="28"/>
          <w:vertAlign w:val="baseline"/>
        </w:rPr>
        <w:t>response which highlighted that all decisions taken by NI departments in relation to climate action should be informed by international human rights standards.</w:t>
      </w:r>
      <w:r>
        <w:rPr>
          <w:sz w:val="28"/>
          <w:vertAlign w:val="superscript"/>
        </w:rPr>
        <w:t>678</w:t>
      </w:r>
      <w:r>
        <w:rPr>
          <w:sz w:val="28"/>
          <w:vertAlign w:val="baseline"/>
        </w:rPr>
        <w:t> The NIHRC also underlined the need to give consideration to Windsor Framework Article 2.</w:t>
      </w:r>
      <w:r>
        <w:rPr>
          <w:sz w:val="28"/>
          <w:vertAlign w:val="superscript"/>
        </w:rPr>
        <w:t>679</w:t>
      </w:r>
      <w:r>
        <w:rPr>
          <w:sz w:val="28"/>
          <w:vertAlign w:val="baseline"/>
        </w:rPr>
        <w:t> During 2023, the outcome of the consultation could not progress without a functioning NI Executive and NI Assembly.</w:t>
      </w:r>
    </w:p>
    <w:p>
      <w:pPr>
        <w:pStyle w:val="BodyText"/>
        <w:spacing w:before="172"/>
        <w:rPr>
          <w:sz w:val="20"/>
        </w:rPr>
      </w:pPr>
      <w:r>
        <w:rPr/>
        <mc:AlternateContent>
          <mc:Choice Requires="wps">
            <w:drawing>
              <wp:anchor distT="0" distB="0" distL="0" distR="0" allowOverlap="1" layoutInCell="1" locked="0" behindDoc="1" simplePos="0" relativeHeight="487700480">
                <wp:simplePos x="0" y="0"/>
                <wp:positionH relativeFrom="page">
                  <wp:posOffset>719996</wp:posOffset>
                </wp:positionH>
                <wp:positionV relativeFrom="paragraph">
                  <wp:posOffset>279659</wp:posOffset>
                </wp:positionV>
                <wp:extent cx="6120130" cy="1270"/>
                <wp:effectExtent l="0" t="0" r="0" b="0"/>
                <wp:wrapTopAndBottom/>
                <wp:docPr id="514" name="Graphic 514"/>
                <wp:cNvGraphicFramePr>
                  <a:graphicFrameLocks/>
                </wp:cNvGraphicFramePr>
                <a:graphic>
                  <a:graphicData uri="http://schemas.microsoft.com/office/word/2010/wordprocessingShape">
                    <wps:wsp>
                      <wps:cNvPr id="514" name="Graphic 514"/>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2.02046pt;width:481.9pt;height:.1pt;mso-position-horizontal-relative:page;mso-position-vertical-relative:paragraph;z-index:-15616000;mso-wrap-distance-left:0;mso-wrap-distance-right:0" id="docshape459" coordorigin="1134,440" coordsize="9638,0" path="m10772,440l1134,440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35" w:lineRule="auto" w:before="143" w:after="0"/>
        <w:ind w:left="1853" w:right="1263" w:hanging="720"/>
        <w:jc w:val="left"/>
        <w:rPr>
          <w:sz w:val="18"/>
        </w:rPr>
      </w:pPr>
      <w:r>
        <w:rPr>
          <w:i/>
          <w:sz w:val="18"/>
        </w:rPr>
        <w:t>In the Matter of an Application by Aman Angesom for Judicial Review </w:t>
      </w:r>
      <w:r>
        <w:rPr>
          <w:sz w:val="18"/>
        </w:rPr>
        <w:t>[2023] NIKB 102, at para 93. See also </w:t>
      </w:r>
      <w:r>
        <w:rPr>
          <w:i/>
          <w:sz w:val="18"/>
        </w:rPr>
        <w:t>Secretary of</w:t>
      </w:r>
      <w:r>
        <w:rPr>
          <w:i/>
          <w:sz w:val="18"/>
        </w:rPr>
        <w:t> State</w:t>
      </w:r>
      <w:r>
        <w:rPr>
          <w:i/>
          <w:spacing w:val="-4"/>
          <w:sz w:val="18"/>
        </w:rPr>
        <w:t> </w:t>
      </w:r>
      <w:r>
        <w:rPr>
          <w:i/>
          <w:sz w:val="18"/>
        </w:rPr>
        <w:t>for</w:t>
      </w:r>
      <w:r>
        <w:rPr>
          <w:i/>
          <w:spacing w:val="-4"/>
          <w:sz w:val="18"/>
        </w:rPr>
        <w:t> </w:t>
      </w:r>
      <w:r>
        <w:rPr>
          <w:i/>
          <w:sz w:val="18"/>
        </w:rPr>
        <w:t>Work</w:t>
      </w:r>
      <w:r>
        <w:rPr>
          <w:i/>
          <w:spacing w:val="-4"/>
          <w:sz w:val="18"/>
        </w:rPr>
        <w:t> </w:t>
      </w:r>
      <w:r>
        <w:rPr>
          <w:i/>
          <w:sz w:val="18"/>
        </w:rPr>
        <w:t>and</w:t>
      </w:r>
      <w:r>
        <w:rPr>
          <w:i/>
          <w:spacing w:val="-5"/>
          <w:sz w:val="18"/>
        </w:rPr>
        <w:t> </w:t>
      </w:r>
      <w:r>
        <w:rPr>
          <w:i/>
          <w:sz w:val="18"/>
        </w:rPr>
        <w:t>Pensions</w:t>
      </w:r>
      <w:r>
        <w:rPr>
          <w:i/>
          <w:spacing w:val="-5"/>
          <w:sz w:val="18"/>
        </w:rPr>
        <w:t> </w:t>
      </w:r>
      <w:r>
        <w:rPr>
          <w:i/>
          <w:sz w:val="18"/>
        </w:rPr>
        <w:t>v</w:t>
      </w:r>
      <w:r>
        <w:rPr>
          <w:i/>
          <w:spacing w:val="-4"/>
          <w:sz w:val="18"/>
        </w:rPr>
        <w:t> </w:t>
      </w:r>
      <w:r>
        <w:rPr>
          <w:i/>
          <w:sz w:val="18"/>
        </w:rPr>
        <w:t>AT</w:t>
      </w:r>
      <w:r>
        <w:rPr>
          <w:i/>
          <w:spacing w:val="-5"/>
          <w:sz w:val="18"/>
        </w:rPr>
        <w:t> </w:t>
      </w:r>
      <w:r>
        <w:rPr>
          <w:sz w:val="18"/>
        </w:rPr>
        <w:t>[2023]</w:t>
      </w:r>
      <w:r>
        <w:rPr>
          <w:spacing w:val="-4"/>
          <w:sz w:val="18"/>
        </w:rPr>
        <w:t> </w:t>
      </w:r>
      <w:r>
        <w:rPr>
          <w:sz w:val="18"/>
        </w:rPr>
        <w:t>EWCA</w:t>
      </w:r>
      <w:r>
        <w:rPr>
          <w:spacing w:val="-4"/>
          <w:sz w:val="18"/>
        </w:rPr>
        <w:t> </w:t>
      </w:r>
      <w:r>
        <w:rPr>
          <w:sz w:val="18"/>
        </w:rPr>
        <w:t>Civ</w:t>
      </w:r>
      <w:r>
        <w:rPr>
          <w:spacing w:val="-4"/>
          <w:sz w:val="18"/>
        </w:rPr>
        <w:t> </w:t>
      </w:r>
      <w:r>
        <w:rPr>
          <w:sz w:val="18"/>
        </w:rPr>
        <w:t>1307;</w:t>
      </w:r>
      <w:r>
        <w:rPr>
          <w:spacing w:val="-5"/>
          <w:sz w:val="18"/>
        </w:rPr>
        <w:t> </w:t>
      </w:r>
      <w:r>
        <w:rPr>
          <w:i/>
          <w:sz w:val="18"/>
        </w:rPr>
        <w:t>In</w:t>
      </w:r>
      <w:r>
        <w:rPr>
          <w:i/>
          <w:spacing w:val="-5"/>
          <w:sz w:val="18"/>
        </w:rPr>
        <w:t> </w:t>
      </w:r>
      <w:r>
        <w:rPr>
          <w:i/>
          <w:sz w:val="18"/>
        </w:rPr>
        <w:t>the</w:t>
      </w:r>
      <w:r>
        <w:rPr>
          <w:i/>
          <w:spacing w:val="-4"/>
          <w:sz w:val="18"/>
        </w:rPr>
        <w:t> </w:t>
      </w:r>
      <w:r>
        <w:rPr>
          <w:i/>
          <w:sz w:val="18"/>
        </w:rPr>
        <w:t>Matter</w:t>
      </w:r>
      <w:r>
        <w:rPr>
          <w:i/>
          <w:spacing w:val="-4"/>
          <w:sz w:val="18"/>
        </w:rPr>
        <w:t> </w:t>
      </w:r>
      <w:r>
        <w:rPr>
          <w:i/>
          <w:sz w:val="18"/>
        </w:rPr>
        <w:t>of</w:t>
      </w:r>
      <w:r>
        <w:rPr>
          <w:i/>
          <w:spacing w:val="-5"/>
          <w:sz w:val="18"/>
        </w:rPr>
        <w:t> </w:t>
      </w:r>
      <w:r>
        <w:rPr>
          <w:i/>
          <w:sz w:val="18"/>
        </w:rPr>
        <w:t>an</w:t>
      </w:r>
      <w:r>
        <w:rPr>
          <w:i/>
          <w:spacing w:val="-5"/>
          <w:sz w:val="18"/>
        </w:rPr>
        <w:t> </w:t>
      </w:r>
      <w:r>
        <w:rPr>
          <w:i/>
          <w:sz w:val="18"/>
        </w:rPr>
        <w:t>Application</w:t>
      </w:r>
      <w:r>
        <w:rPr>
          <w:i/>
          <w:spacing w:val="-5"/>
          <w:sz w:val="18"/>
        </w:rPr>
        <w:t> </w:t>
      </w:r>
      <w:r>
        <w:rPr>
          <w:i/>
          <w:sz w:val="18"/>
        </w:rPr>
        <w:t>by</w:t>
      </w:r>
      <w:r>
        <w:rPr>
          <w:i/>
          <w:spacing w:val="-5"/>
          <w:sz w:val="18"/>
        </w:rPr>
        <w:t> </w:t>
      </w:r>
      <w:r>
        <w:rPr>
          <w:i/>
          <w:sz w:val="18"/>
        </w:rPr>
        <w:t>Martina</w:t>
      </w:r>
      <w:r>
        <w:rPr>
          <w:i/>
          <w:spacing w:val="-5"/>
          <w:sz w:val="18"/>
        </w:rPr>
        <w:t> </w:t>
      </w:r>
      <w:r>
        <w:rPr>
          <w:i/>
          <w:sz w:val="18"/>
        </w:rPr>
        <w:t>Dillon</w:t>
      </w:r>
      <w:r>
        <w:rPr>
          <w:i/>
          <w:spacing w:val="-5"/>
          <w:sz w:val="18"/>
        </w:rPr>
        <w:t> </w:t>
      </w:r>
      <w:r>
        <w:rPr>
          <w:i/>
          <w:sz w:val="18"/>
        </w:rPr>
        <w:t>and</w:t>
      </w:r>
      <w:r>
        <w:rPr>
          <w:i/>
          <w:spacing w:val="-5"/>
          <w:sz w:val="18"/>
        </w:rPr>
        <w:t> </w:t>
      </w:r>
      <w:r>
        <w:rPr>
          <w:i/>
          <w:sz w:val="18"/>
        </w:rPr>
        <w:t>Others</w:t>
      </w:r>
      <w:r>
        <w:rPr>
          <w:i/>
          <w:spacing w:val="-5"/>
          <w:sz w:val="18"/>
        </w:rPr>
        <w:t> </w:t>
      </w:r>
      <w:r>
        <w:rPr>
          <w:i/>
          <w:sz w:val="18"/>
        </w:rPr>
        <w:t>for</w:t>
      </w:r>
      <w:r>
        <w:rPr>
          <w:i/>
          <w:sz w:val="18"/>
        </w:rPr>
        <w:t> Judicial Review </w:t>
      </w:r>
      <w:r>
        <w:rPr>
          <w:sz w:val="18"/>
        </w:rPr>
        <w:t>[2024] NIKB 11.</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Article</w:t>
      </w:r>
      <w:r>
        <w:rPr>
          <w:spacing w:val="-4"/>
          <w:sz w:val="18"/>
        </w:rPr>
        <w:t> </w:t>
      </w:r>
      <w:r>
        <w:rPr>
          <w:sz w:val="18"/>
        </w:rPr>
        <w:t>37,</w:t>
      </w:r>
      <w:r>
        <w:rPr>
          <w:spacing w:val="-5"/>
          <w:sz w:val="18"/>
        </w:rPr>
        <w:t> </w:t>
      </w:r>
      <w:r>
        <w:rPr>
          <w:sz w:val="18"/>
        </w:rPr>
        <w:t>EU</w:t>
      </w:r>
      <w:r>
        <w:rPr>
          <w:spacing w:val="-4"/>
          <w:sz w:val="18"/>
        </w:rPr>
        <w:t> </w:t>
      </w:r>
      <w:r>
        <w:rPr>
          <w:sz w:val="18"/>
        </w:rPr>
        <w:t>Charter</w:t>
      </w:r>
      <w:r>
        <w:rPr>
          <w:spacing w:val="-4"/>
          <w:sz w:val="18"/>
        </w:rPr>
        <w:t> </w:t>
      </w:r>
      <w:r>
        <w:rPr>
          <w:sz w:val="18"/>
        </w:rPr>
        <w:t>of</w:t>
      </w:r>
      <w:r>
        <w:rPr>
          <w:spacing w:val="-4"/>
          <w:sz w:val="18"/>
        </w:rPr>
        <w:t> </w:t>
      </w:r>
      <w:r>
        <w:rPr>
          <w:sz w:val="18"/>
        </w:rPr>
        <w:t>Fundamental</w:t>
      </w:r>
      <w:r>
        <w:rPr>
          <w:spacing w:val="-5"/>
          <w:sz w:val="18"/>
        </w:rPr>
        <w:t> </w:t>
      </w:r>
      <w:r>
        <w:rPr>
          <w:sz w:val="18"/>
        </w:rPr>
        <w:t>Rights</w:t>
      </w:r>
      <w:r>
        <w:rPr>
          <w:spacing w:val="-5"/>
          <w:sz w:val="18"/>
        </w:rPr>
        <w:t> </w:t>
      </w:r>
      <w:r>
        <w:rPr>
          <w:spacing w:val="-2"/>
          <w:sz w:val="18"/>
        </w:rPr>
        <w:t>2009.</w:t>
      </w:r>
    </w:p>
    <w:p>
      <w:pPr>
        <w:pStyle w:val="ListParagraph"/>
        <w:numPr>
          <w:ilvl w:val="0"/>
          <w:numId w:val="11"/>
        </w:numPr>
        <w:tabs>
          <w:tab w:pos="1853" w:val="left" w:leader="none"/>
        </w:tabs>
        <w:spacing w:line="235" w:lineRule="auto" w:before="2" w:after="0"/>
        <w:ind w:left="1853" w:right="1482" w:hanging="720"/>
        <w:jc w:val="left"/>
        <w:rPr>
          <w:sz w:val="18"/>
        </w:rPr>
      </w:pPr>
      <w:r>
        <w:rPr>
          <w:sz w:val="18"/>
        </w:rPr>
        <w:t>Mary</w:t>
      </w:r>
      <w:r>
        <w:rPr>
          <w:spacing w:val="-6"/>
          <w:sz w:val="18"/>
        </w:rPr>
        <w:t> </w:t>
      </w:r>
      <w:r>
        <w:rPr>
          <w:sz w:val="18"/>
        </w:rPr>
        <w:t>Dobbs</w:t>
      </w:r>
      <w:r>
        <w:rPr>
          <w:spacing w:val="-7"/>
          <w:sz w:val="18"/>
        </w:rPr>
        <w:t> </w:t>
      </w:r>
      <w:r>
        <w:rPr>
          <w:sz w:val="18"/>
        </w:rPr>
        <w:t>and</w:t>
      </w:r>
      <w:r>
        <w:rPr>
          <w:spacing w:val="-7"/>
          <w:sz w:val="18"/>
        </w:rPr>
        <w:t> </w:t>
      </w:r>
      <w:r>
        <w:rPr>
          <w:sz w:val="18"/>
        </w:rPr>
        <w:t>Viviane</w:t>
      </w:r>
      <w:r>
        <w:rPr>
          <w:spacing w:val="-6"/>
          <w:sz w:val="18"/>
        </w:rPr>
        <w:t> </w:t>
      </w:r>
      <w:r>
        <w:rPr>
          <w:sz w:val="18"/>
        </w:rPr>
        <w:t>Gravey,</w:t>
      </w:r>
      <w:r>
        <w:rPr>
          <w:spacing w:val="-6"/>
          <w:sz w:val="18"/>
        </w:rPr>
        <w:t> </w:t>
      </w:r>
      <w:r>
        <w:rPr>
          <w:sz w:val="18"/>
        </w:rPr>
        <w:t>‘Environment</w:t>
      </w:r>
      <w:r>
        <w:rPr>
          <w:spacing w:val="-6"/>
          <w:sz w:val="18"/>
        </w:rPr>
        <w:t> </w:t>
      </w:r>
      <w:r>
        <w:rPr>
          <w:sz w:val="18"/>
        </w:rPr>
        <w:t>and</w:t>
      </w:r>
      <w:r>
        <w:rPr>
          <w:spacing w:val="-7"/>
          <w:sz w:val="18"/>
        </w:rPr>
        <w:t> </w:t>
      </w:r>
      <w:r>
        <w:rPr>
          <w:sz w:val="18"/>
        </w:rPr>
        <w:t>Trade’,</w:t>
      </w:r>
      <w:r>
        <w:rPr>
          <w:spacing w:val="-6"/>
          <w:sz w:val="18"/>
        </w:rPr>
        <w:t> </w:t>
      </w:r>
      <w:r>
        <w:rPr>
          <w:sz w:val="18"/>
        </w:rPr>
        <w:t>in</w:t>
      </w:r>
      <w:r>
        <w:rPr>
          <w:spacing w:val="-7"/>
          <w:sz w:val="18"/>
        </w:rPr>
        <w:t> </w:t>
      </w:r>
      <w:r>
        <w:rPr>
          <w:sz w:val="18"/>
        </w:rPr>
        <w:t>Chris</w:t>
      </w:r>
      <w:r>
        <w:rPr>
          <w:spacing w:val="-7"/>
          <w:sz w:val="18"/>
        </w:rPr>
        <w:t> </w:t>
      </w:r>
      <w:r>
        <w:rPr>
          <w:sz w:val="18"/>
        </w:rPr>
        <w:t>McCrudden,</w:t>
      </w:r>
      <w:r>
        <w:rPr>
          <w:spacing w:val="-7"/>
          <w:sz w:val="18"/>
        </w:rPr>
        <w:t> </w:t>
      </w:r>
      <w:r>
        <w:rPr>
          <w:i/>
          <w:sz w:val="18"/>
        </w:rPr>
        <w:t>The</w:t>
      </w:r>
      <w:r>
        <w:rPr>
          <w:i/>
          <w:spacing w:val="-6"/>
          <w:sz w:val="18"/>
        </w:rPr>
        <w:t> </w:t>
      </w:r>
      <w:r>
        <w:rPr>
          <w:i/>
          <w:sz w:val="18"/>
        </w:rPr>
        <w:t>Law</w:t>
      </w:r>
      <w:r>
        <w:rPr>
          <w:i/>
          <w:spacing w:val="-6"/>
          <w:sz w:val="18"/>
        </w:rPr>
        <w:t> </w:t>
      </w:r>
      <w:r>
        <w:rPr>
          <w:i/>
          <w:sz w:val="18"/>
        </w:rPr>
        <w:t>and</w:t>
      </w:r>
      <w:r>
        <w:rPr>
          <w:i/>
          <w:spacing w:val="-7"/>
          <w:sz w:val="18"/>
        </w:rPr>
        <w:t> </w:t>
      </w:r>
      <w:r>
        <w:rPr>
          <w:i/>
          <w:sz w:val="18"/>
        </w:rPr>
        <w:t>Practice</w:t>
      </w:r>
      <w:r>
        <w:rPr>
          <w:i/>
          <w:spacing w:val="-6"/>
          <w:sz w:val="18"/>
        </w:rPr>
        <w:t> </w:t>
      </w:r>
      <w:r>
        <w:rPr>
          <w:i/>
          <w:sz w:val="18"/>
        </w:rPr>
        <w:t>of</w:t>
      </w:r>
      <w:r>
        <w:rPr>
          <w:i/>
          <w:spacing w:val="-7"/>
          <w:sz w:val="18"/>
        </w:rPr>
        <w:t> </w:t>
      </w:r>
      <w:r>
        <w:rPr>
          <w:i/>
          <w:sz w:val="18"/>
        </w:rPr>
        <w:t>the</w:t>
      </w:r>
      <w:r>
        <w:rPr>
          <w:i/>
          <w:spacing w:val="-6"/>
          <w:sz w:val="18"/>
        </w:rPr>
        <w:t> </w:t>
      </w:r>
      <w:r>
        <w:rPr>
          <w:i/>
          <w:sz w:val="18"/>
        </w:rPr>
        <w:t>Ireland-NI</w:t>
      </w:r>
      <w:r>
        <w:rPr>
          <w:i/>
          <w:sz w:val="18"/>
        </w:rPr>
        <w:t> Protocol </w:t>
      </w:r>
      <w:r>
        <w:rPr>
          <w:sz w:val="18"/>
        </w:rPr>
        <w:t>(CUP, 2020), at 247.</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Department</w:t>
      </w:r>
      <w:r>
        <w:rPr>
          <w:spacing w:val="-7"/>
          <w:sz w:val="18"/>
        </w:rPr>
        <w:t> </w:t>
      </w:r>
      <w:r>
        <w:rPr>
          <w:sz w:val="18"/>
        </w:rPr>
        <w:t>for</w:t>
      </w:r>
      <w:r>
        <w:rPr>
          <w:spacing w:val="-7"/>
          <w:sz w:val="18"/>
        </w:rPr>
        <w:t> </w:t>
      </w:r>
      <w:r>
        <w:rPr>
          <w:sz w:val="18"/>
        </w:rPr>
        <w:t>Agriculture,</w:t>
      </w:r>
      <w:r>
        <w:rPr>
          <w:spacing w:val="-7"/>
          <w:sz w:val="18"/>
        </w:rPr>
        <w:t> </w:t>
      </w:r>
      <w:r>
        <w:rPr>
          <w:sz w:val="18"/>
        </w:rPr>
        <w:t>Environment</w:t>
      </w:r>
      <w:r>
        <w:rPr>
          <w:spacing w:val="-7"/>
          <w:sz w:val="18"/>
        </w:rPr>
        <w:t> </w:t>
      </w:r>
      <w:r>
        <w:rPr>
          <w:sz w:val="18"/>
        </w:rPr>
        <w:t>and</w:t>
      </w:r>
      <w:r>
        <w:rPr>
          <w:spacing w:val="-8"/>
          <w:sz w:val="18"/>
        </w:rPr>
        <w:t> </w:t>
      </w:r>
      <w:r>
        <w:rPr>
          <w:sz w:val="18"/>
        </w:rPr>
        <w:t>Rural</w:t>
      </w:r>
      <w:r>
        <w:rPr>
          <w:spacing w:val="-8"/>
          <w:sz w:val="18"/>
        </w:rPr>
        <w:t> </w:t>
      </w:r>
      <w:r>
        <w:rPr>
          <w:sz w:val="18"/>
        </w:rPr>
        <w:t>Affairs,</w:t>
      </w:r>
      <w:r>
        <w:rPr>
          <w:spacing w:val="-7"/>
          <w:sz w:val="18"/>
        </w:rPr>
        <w:t> </w:t>
      </w:r>
      <w:r>
        <w:rPr>
          <w:sz w:val="18"/>
        </w:rPr>
        <w:t>‘Air</w:t>
      </w:r>
      <w:r>
        <w:rPr>
          <w:spacing w:val="-7"/>
          <w:sz w:val="18"/>
        </w:rPr>
        <w:t> </w:t>
      </w:r>
      <w:r>
        <w:rPr>
          <w:sz w:val="18"/>
        </w:rPr>
        <w:t>Pollution</w:t>
      </w:r>
      <w:r>
        <w:rPr>
          <w:spacing w:val="-8"/>
          <w:sz w:val="18"/>
        </w:rPr>
        <w:t> </w:t>
      </w:r>
      <w:r>
        <w:rPr>
          <w:sz w:val="18"/>
        </w:rPr>
        <w:t>in</w:t>
      </w:r>
      <w:r>
        <w:rPr>
          <w:spacing w:val="-8"/>
          <w:sz w:val="18"/>
        </w:rPr>
        <w:t> </w:t>
      </w:r>
      <w:r>
        <w:rPr>
          <w:sz w:val="18"/>
        </w:rPr>
        <w:t>NI:</w:t>
      </w:r>
      <w:r>
        <w:rPr>
          <w:spacing w:val="-7"/>
          <w:sz w:val="18"/>
        </w:rPr>
        <w:t> </w:t>
      </w:r>
      <w:r>
        <w:rPr>
          <w:sz w:val="18"/>
        </w:rPr>
        <w:t>2021’</w:t>
      </w:r>
      <w:r>
        <w:rPr>
          <w:spacing w:val="-7"/>
          <w:sz w:val="18"/>
        </w:rPr>
        <w:t> </w:t>
      </w:r>
      <w:r>
        <w:rPr>
          <w:sz w:val="18"/>
        </w:rPr>
        <w:t>(DAERA,</w:t>
      </w:r>
      <w:r>
        <w:rPr>
          <w:spacing w:val="-7"/>
          <w:sz w:val="18"/>
        </w:rPr>
        <w:t> </w:t>
      </w:r>
      <w:r>
        <w:rPr>
          <w:spacing w:val="-2"/>
          <w:sz w:val="18"/>
        </w:rPr>
        <w:t>2022).</w:t>
      </w:r>
    </w:p>
    <w:p>
      <w:pPr>
        <w:pStyle w:val="ListParagraph"/>
        <w:numPr>
          <w:ilvl w:val="0"/>
          <w:numId w:val="11"/>
        </w:numPr>
        <w:tabs>
          <w:tab w:pos="1853" w:val="left" w:leader="none"/>
        </w:tabs>
        <w:spacing w:line="235" w:lineRule="auto" w:before="2" w:after="0"/>
        <w:ind w:left="1853" w:right="1167" w:hanging="720"/>
        <w:jc w:val="left"/>
        <w:rPr>
          <w:sz w:val="18"/>
        </w:rPr>
      </w:pPr>
      <w:r>
        <w:rPr>
          <w:sz w:val="18"/>
        </w:rPr>
        <w:t>Queen’s</w:t>
      </w:r>
      <w:r>
        <w:rPr>
          <w:spacing w:val="-8"/>
          <w:sz w:val="18"/>
        </w:rPr>
        <w:t> </w:t>
      </w:r>
      <w:r>
        <w:rPr>
          <w:sz w:val="18"/>
        </w:rPr>
        <w:t>University</w:t>
      </w:r>
      <w:r>
        <w:rPr>
          <w:spacing w:val="-8"/>
          <w:sz w:val="18"/>
        </w:rPr>
        <w:t> </w:t>
      </w:r>
      <w:r>
        <w:rPr>
          <w:sz w:val="18"/>
        </w:rPr>
        <w:t>Belfast</w:t>
      </w:r>
      <w:r>
        <w:rPr>
          <w:spacing w:val="-8"/>
          <w:sz w:val="18"/>
        </w:rPr>
        <w:t> </w:t>
      </w:r>
      <w:r>
        <w:rPr>
          <w:sz w:val="18"/>
        </w:rPr>
        <w:t>and</w:t>
      </w:r>
      <w:r>
        <w:rPr>
          <w:spacing w:val="-8"/>
          <w:sz w:val="18"/>
        </w:rPr>
        <w:t> </w:t>
      </w:r>
      <w:r>
        <w:rPr>
          <w:sz w:val="18"/>
        </w:rPr>
        <w:t>Technology</w:t>
      </w:r>
      <w:r>
        <w:rPr>
          <w:spacing w:val="-8"/>
          <w:sz w:val="18"/>
        </w:rPr>
        <w:t> </w:t>
      </w:r>
      <w:r>
        <w:rPr>
          <w:sz w:val="18"/>
        </w:rPr>
        <w:t>University</w:t>
      </w:r>
      <w:r>
        <w:rPr>
          <w:spacing w:val="-8"/>
          <w:sz w:val="18"/>
        </w:rPr>
        <w:t> </w:t>
      </w:r>
      <w:r>
        <w:rPr>
          <w:sz w:val="18"/>
        </w:rPr>
        <w:t>Dublin</w:t>
      </w:r>
      <w:r>
        <w:rPr>
          <w:spacing w:val="-8"/>
          <w:sz w:val="18"/>
        </w:rPr>
        <w:t> </w:t>
      </w:r>
      <w:r>
        <w:rPr>
          <w:sz w:val="18"/>
        </w:rPr>
        <w:t>‘Air</w:t>
      </w:r>
      <w:r>
        <w:rPr>
          <w:spacing w:val="-8"/>
          <w:sz w:val="18"/>
        </w:rPr>
        <w:t> </w:t>
      </w:r>
      <w:r>
        <w:rPr>
          <w:sz w:val="18"/>
        </w:rPr>
        <w:t>Pollution</w:t>
      </w:r>
      <w:r>
        <w:rPr>
          <w:spacing w:val="-8"/>
          <w:sz w:val="18"/>
        </w:rPr>
        <w:t> </w:t>
      </w:r>
      <w:r>
        <w:rPr>
          <w:sz w:val="18"/>
        </w:rPr>
        <w:t>and</w:t>
      </w:r>
      <w:r>
        <w:rPr>
          <w:spacing w:val="-8"/>
          <w:sz w:val="18"/>
        </w:rPr>
        <w:t> </w:t>
      </w:r>
      <w:r>
        <w:rPr>
          <w:sz w:val="18"/>
        </w:rPr>
        <w:t>Mortality</w:t>
      </w:r>
      <w:r>
        <w:rPr>
          <w:spacing w:val="-8"/>
          <w:sz w:val="18"/>
        </w:rPr>
        <w:t> </w:t>
      </w:r>
      <w:r>
        <w:rPr>
          <w:sz w:val="18"/>
        </w:rPr>
        <w:t>on</w:t>
      </w:r>
      <w:r>
        <w:rPr>
          <w:spacing w:val="-8"/>
          <w:sz w:val="18"/>
        </w:rPr>
        <w:t> </w:t>
      </w:r>
      <w:r>
        <w:rPr>
          <w:sz w:val="18"/>
        </w:rPr>
        <w:t>the</w:t>
      </w:r>
      <w:r>
        <w:rPr>
          <w:spacing w:val="-8"/>
          <w:sz w:val="18"/>
        </w:rPr>
        <w:t> </w:t>
      </w:r>
      <w:r>
        <w:rPr>
          <w:sz w:val="18"/>
        </w:rPr>
        <w:t>Island</w:t>
      </w:r>
      <w:r>
        <w:rPr>
          <w:spacing w:val="-8"/>
          <w:sz w:val="18"/>
        </w:rPr>
        <w:t> </w:t>
      </w:r>
      <w:r>
        <w:rPr>
          <w:sz w:val="18"/>
        </w:rPr>
        <w:t>of</w:t>
      </w:r>
      <w:r>
        <w:rPr>
          <w:spacing w:val="-8"/>
          <w:sz w:val="18"/>
        </w:rPr>
        <w:t> </w:t>
      </w:r>
      <w:r>
        <w:rPr>
          <w:sz w:val="18"/>
        </w:rPr>
        <w:t>Ireland’</w:t>
      </w:r>
      <w:r>
        <w:rPr>
          <w:spacing w:val="-8"/>
          <w:sz w:val="18"/>
        </w:rPr>
        <w:t> </w:t>
      </w:r>
      <w:r>
        <w:rPr>
          <w:sz w:val="18"/>
        </w:rPr>
        <w:t>(QUB</w:t>
      </w:r>
      <w:r>
        <w:rPr>
          <w:spacing w:val="-8"/>
          <w:sz w:val="18"/>
        </w:rPr>
        <w:t> </w:t>
      </w:r>
      <w:r>
        <w:rPr>
          <w:sz w:val="18"/>
        </w:rPr>
        <w:t>and TUD, 2023).</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UK</w:t>
      </w:r>
      <w:r>
        <w:rPr>
          <w:spacing w:val="-7"/>
          <w:sz w:val="18"/>
        </w:rPr>
        <w:t> </w:t>
      </w:r>
      <w:r>
        <w:rPr>
          <w:sz w:val="18"/>
        </w:rPr>
        <w:t>Climate</w:t>
      </w:r>
      <w:r>
        <w:rPr>
          <w:spacing w:val="-6"/>
          <w:sz w:val="18"/>
        </w:rPr>
        <w:t> </w:t>
      </w:r>
      <w:r>
        <w:rPr>
          <w:sz w:val="18"/>
        </w:rPr>
        <w:t>Change</w:t>
      </w:r>
      <w:r>
        <w:rPr>
          <w:spacing w:val="-7"/>
          <w:sz w:val="18"/>
        </w:rPr>
        <w:t> </w:t>
      </w:r>
      <w:r>
        <w:rPr>
          <w:sz w:val="18"/>
        </w:rPr>
        <w:t>Committee,</w:t>
      </w:r>
      <w:r>
        <w:rPr>
          <w:spacing w:val="-6"/>
          <w:sz w:val="18"/>
        </w:rPr>
        <w:t> </w:t>
      </w:r>
      <w:r>
        <w:rPr>
          <w:sz w:val="18"/>
        </w:rPr>
        <w:t>‘Adapting</w:t>
      </w:r>
      <w:r>
        <w:rPr>
          <w:spacing w:val="-7"/>
          <w:sz w:val="18"/>
        </w:rPr>
        <w:t> </w:t>
      </w:r>
      <w:r>
        <w:rPr>
          <w:sz w:val="18"/>
        </w:rPr>
        <w:t>to</w:t>
      </w:r>
      <w:r>
        <w:rPr>
          <w:spacing w:val="-7"/>
          <w:sz w:val="18"/>
        </w:rPr>
        <w:t> </w:t>
      </w:r>
      <w:r>
        <w:rPr>
          <w:sz w:val="18"/>
        </w:rPr>
        <w:t>Climate</w:t>
      </w:r>
      <w:r>
        <w:rPr>
          <w:spacing w:val="-6"/>
          <w:sz w:val="18"/>
        </w:rPr>
        <w:t> </w:t>
      </w:r>
      <w:r>
        <w:rPr>
          <w:sz w:val="18"/>
        </w:rPr>
        <w:t>Change:</w:t>
      </w:r>
      <w:r>
        <w:rPr>
          <w:spacing w:val="-7"/>
          <w:sz w:val="18"/>
        </w:rPr>
        <w:t> </w:t>
      </w:r>
      <w:r>
        <w:rPr>
          <w:sz w:val="18"/>
        </w:rPr>
        <w:t>Progress</w:t>
      </w:r>
      <w:r>
        <w:rPr>
          <w:spacing w:val="-7"/>
          <w:sz w:val="18"/>
        </w:rPr>
        <w:t> </w:t>
      </w:r>
      <w:r>
        <w:rPr>
          <w:sz w:val="18"/>
        </w:rPr>
        <w:t>in</w:t>
      </w:r>
      <w:r>
        <w:rPr>
          <w:spacing w:val="-7"/>
          <w:sz w:val="18"/>
        </w:rPr>
        <w:t> </w:t>
      </w:r>
      <w:r>
        <w:rPr>
          <w:sz w:val="18"/>
        </w:rPr>
        <w:t>NI’</w:t>
      </w:r>
      <w:r>
        <w:rPr>
          <w:spacing w:val="-7"/>
          <w:sz w:val="18"/>
        </w:rPr>
        <w:t> </w:t>
      </w:r>
      <w:r>
        <w:rPr>
          <w:sz w:val="18"/>
        </w:rPr>
        <w:t>(UKCC,</w:t>
      </w:r>
      <w:r>
        <w:rPr>
          <w:spacing w:val="-6"/>
          <w:sz w:val="18"/>
        </w:rPr>
        <w:t> </w:t>
      </w:r>
      <w:r>
        <w:rPr>
          <w:spacing w:val="-2"/>
          <w:sz w:val="18"/>
        </w:rPr>
        <w:t>2023).</w:t>
      </w:r>
    </w:p>
    <w:p>
      <w:pPr>
        <w:pStyle w:val="ListParagraph"/>
        <w:numPr>
          <w:ilvl w:val="0"/>
          <w:numId w:val="11"/>
        </w:numPr>
        <w:tabs>
          <w:tab w:pos="1853" w:val="left" w:leader="none"/>
        </w:tabs>
        <w:spacing w:line="235" w:lineRule="auto" w:before="1" w:after="0"/>
        <w:ind w:left="1853" w:right="1423" w:hanging="720"/>
        <w:jc w:val="left"/>
        <w:rPr>
          <w:sz w:val="18"/>
        </w:rPr>
      </w:pPr>
      <w:r>
        <w:rPr>
          <w:sz w:val="18"/>
        </w:rPr>
        <w:t>Department of Agriculture, Environment and Rural Affairs, ‘Consultation on NI’s 2030 and 2040 Emissions Reduction Targets</w:t>
      </w:r>
      <w:r>
        <w:rPr>
          <w:spacing w:val="-6"/>
          <w:sz w:val="18"/>
        </w:rPr>
        <w:t> </w:t>
      </w:r>
      <w:r>
        <w:rPr>
          <w:sz w:val="18"/>
        </w:rPr>
        <w:t>and</w:t>
      </w:r>
      <w:r>
        <w:rPr>
          <w:spacing w:val="-6"/>
          <w:sz w:val="18"/>
        </w:rPr>
        <w:t> </w:t>
      </w:r>
      <w:r>
        <w:rPr>
          <w:sz w:val="18"/>
        </w:rPr>
        <w:t>First</w:t>
      </w:r>
      <w:r>
        <w:rPr>
          <w:spacing w:val="-5"/>
          <w:sz w:val="18"/>
        </w:rPr>
        <w:t> </w:t>
      </w:r>
      <w:r>
        <w:rPr>
          <w:sz w:val="18"/>
        </w:rPr>
        <w:t>Three</w:t>
      </w:r>
      <w:r>
        <w:rPr>
          <w:spacing w:val="-5"/>
          <w:sz w:val="18"/>
        </w:rPr>
        <w:t> </w:t>
      </w:r>
      <w:r>
        <w:rPr>
          <w:sz w:val="18"/>
        </w:rPr>
        <w:t>Carbon</w:t>
      </w:r>
      <w:r>
        <w:rPr>
          <w:spacing w:val="-6"/>
          <w:sz w:val="18"/>
        </w:rPr>
        <w:t> </w:t>
      </w:r>
      <w:r>
        <w:rPr>
          <w:sz w:val="18"/>
        </w:rPr>
        <w:t>Budgets</w:t>
      </w:r>
      <w:r>
        <w:rPr>
          <w:spacing w:val="-6"/>
          <w:sz w:val="18"/>
        </w:rPr>
        <w:t> </w:t>
      </w:r>
      <w:r>
        <w:rPr>
          <w:sz w:val="18"/>
        </w:rPr>
        <w:t>and</w:t>
      </w:r>
      <w:r>
        <w:rPr>
          <w:spacing w:val="-6"/>
          <w:sz w:val="18"/>
        </w:rPr>
        <w:t> </w:t>
      </w:r>
      <w:r>
        <w:rPr>
          <w:sz w:val="18"/>
        </w:rPr>
        <w:t>Seeking</w:t>
      </w:r>
      <w:r>
        <w:rPr>
          <w:spacing w:val="-5"/>
          <w:sz w:val="18"/>
        </w:rPr>
        <w:t> </w:t>
      </w:r>
      <w:r>
        <w:rPr>
          <w:sz w:val="18"/>
        </w:rPr>
        <w:t>Views</w:t>
      </w:r>
      <w:r>
        <w:rPr>
          <w:spacing w:val="-6"/>
          <w:sz w:val="18"/>
        </w:rPr>
        <w:t> </w:t>
      </w:r>
      <w:r>
        <w:rPr>
          <w:sz w:val="18"/>
        </w:rPr>
        <w:t>on</w:t>
      </w:r>
      <w:r>
        <w:rPr>
          <w:spacing w:val="-6"/>
          <w:sz w:val="18"/>
        </w:rPr>
        <w:t> </w:t>
      </w:r>
      <w:r>
        <w:rPr>
          <w:sz w:val="18"/>
        </w:rPr>
        <w:t>Climate</w:t>
      </w:r>
      <w:r>
        <w:rPr>
          <w:spacing w:val="-5"/>
          <w:sz w:val="18"/>
        </w:rPr>
        <w:t> </w:t>
      </w:r>
      <w:r>
        <w:rPr>
          <w:sz w:val="18"/>
        </w:rPr>
        <w:t>Change</w:t>
      </w:r>
      <w:r>
        <w:rPr>
          <w:spacing w:val="-5"/>
          <w:sz w:val="18"/>
        </w:rPr>
        <w:t> </w:t>
      </w:r>
      <w:r>
        <w:rPr>
          <w:sz w:val="18"/>
        </w:rPr>
        <w:t>Committee</w:t>
      </w:r>
      <w:r>
        <w:rPr>
          <w:spacing w:val="-5"/>
          <w:sz w:val="18"/>
        </w:rPr>
        <w:t> </w:t>
      </w:r>
      <w:r>
        <w:rPr>
          <w:sz w:val="18"/>
        </w:rPr>
        <w:t>Advice</w:t>
      </w:r>
      <w:r>
        <w:rPr>
          <w:spacing w:val="-5"/>
          <w:sz w:val="18"/>
        </w:rPr>
        <w:t> </w:t>
      </w:r>
      <w:r>
        <w:rPr>
          <w:sz w:val="18"/>
        </w:rPr>
        <w:t>Report:</w:t>
      </w:r>
      <w:r>
        <w:rPr>
          <w:spacing w:val="-5"/>
          <w:sz w:val="18"/>
        </w:rPr>
        <w:t> </w:t>
      </w:r>
      <w:r>
        <w:rPr>
          <w:sz w:val="18"/>
        </w:rPr>
        <w:t>The</w:t>
      </w:r>
      <w:r>
        <w:rPr>
          <w:spacing w:val="-5"/>
          <w:sz w:val="18"/>
        </w:rPr>
        <w:t> </w:t>
      </w:r>
      <w:r>
        <w:rPr>
          <w:sz w:val="18"/>
        </w:rPr>
        <w:t>Path</w:t>
      </w:r>
      <w:r>
        <w:rPr>
          <w:spacing w:val="-6"/>
          <w:sz w:val="18"/>
        </w:rPr>
        <w:t> </w:t>
      </w:r>
      <w:r>
        <w:rPr>
          <w:sz w:val="18"/>
        </w:rPr>
        <w:t>to</w:t>
      </w:r>
      <w:r>
        <w:rPr>
          <w:spacing w:val="-6"/>
          <w:sz w:val="18"/>
        </w:rPr>
        <w:t> </w:t>
      </w:r>
      <w:r>
        <w:rPr>
          <w:sz w:val="18"/>
        </w:rPr>
        <w:t>a Net Zero NI’ (DAERA, 2023).</w:t>
      </w:r>
    </w:p>
    <w:p>
      <w:pPr>
        <w:pStyle w:val="ListParagraph"/>
        <w:numPr>
          <w:ilvl w:val="0"/>
          <w:numId w:val="11"/>
        </w:numPr>
        <w:tabs>
          <w:tab w:pos="1853" w:val="left" w:leader="none"/>
        </w:tabs>
        <w:spacing w:line="235" w:lineRule="auto" w:before="2" w:after="0"/>
        <w:ind w:left="1853" w:right="1660" w:hanging="720"/>
        <w:jc w:val="left"/>
        <w:rPr>
          <w:sz w:val="18"/>
        </w:rPr>
      </w:pPr>
      <w:r>
        <w:rPr>
          <w:sz w:val="18"/>
        </w:rPr>
        <w:t>Letter</w:t>
      </w:r>
      <w:r>
        <w:rPr>
          <w:spacing w:val="-5"/>
          <w:sz w:val="18"/>
        </w:rPr>
        <w:t> </w:t>
      </w:r>
      <w:r>
        <w:rPr>
          <w:sz w:val="18"/>
        </w:rPr>
        <w:t>from</w:t>
      </w:r>
      <w:r>
        <w:rPr>
          <w:spacing w:val="-5"/>
          <w:sz w:val="18"/>
        </w:rPr>
        <w:t> </w:t>
      </w:r>
      <w:r>
        <w:rPr>
          <w:sz w:val="18"/>
        </w:rPr>
        <w:t>the</w:t>
      </w:r>
      <w:r>
        <w:rPr>
          <w:spacing w:val="-5"/>
          <w:sz w:val="18"/>
        </w:rPr>
        <w:t> </w:t>
      </w:r>
      <w:r>
        <w:rPr>
          <w:sz w:val="18"/>
        </w:rPr>
        <w:t>NI</w:t>
      </w:r>
      <w:r>
        <w:rPr>
          <w:spacing w:val="-5"/>
          <w:sz w:val="18"/>
        </w:rPr>
        <w:t> </w:t>
      </w:r>
      <w:r>
        <w:rPr>
          <w:sz w:val="18"/>
        </w:rPr>
        <w:t>Human</w:t>
      </w:r>
      <w:r>
        <w:rPr>
          <w:spacing w:val="-6"/>
          <w:sz w:val="18"/>
        </w:rPr>
        <w:t> </w:t>
      </w:r>
      <w:r>
        <w:rPr>
          <w:sz w:val="18"/>
        </w:rPr>
        <w:t>Rights</w:t>
      </w:r>
      <w:r>
        <w:rPr>
          <w:spacing w:val="-6"/>
          <w:sz w:val="18"/>
        </w:rPr>
        <w:t> </w:t>
      </w:r>
      <w:r>
        <w:rPr>
          <w:sz w:val="18"/>
        </w:rPr>
        <w:t>Commission</w:t>
      </w:r>
      <w:r>
        <w:rPr>
          <w:spacing w:val="-6"/>
          <w:sz w:val="18"/>
        </w:rPr>
        <w:t> </w:t>
      </w:r>
      <w:r>
        <w:rPr>
          <w:sz w:val="18"/>
        </w:rPr>
        <w:t>to</w:t>
      </w:r>
      <w:r>
        <w:rPr>
          <w:spacing w:val="-6"/>
          <w:sz w:val="18"/>
        </w:rPr>
        <w:t> </w:t>
      </w:r>
      <w:r>
        <w:rPr>
          <w:sz w:val="18"/>
        </w:rPr>
        <w:t>the</w:t>
      </w:r>
      <w:r>
        <w:rPr>
          <w:spacing w:val="-5"/>
          <w:sz w:val="18"/>
        </w:rPr>
        <w:t> </w:t>
      </w:r>
      <w:r>
        <w:rPr>
          <w:sz w:val="18"/>
        </w:rPr>
        <w:t>Department</w:t>
      </w:r>
      <w:r>
        <w:rPr>
          <w:spacing w:val="-5"/>
          <w:sz w:val="18"/>
        </w:rPr>
        <w:t> </w:t>
      </w:r>
      <w:r>
        <w:rPr>
          <w:sz w:val="18"/>
        </w:rPr>
        <w:t>for</w:t>
      </w:r>
      <w:r>
        <w:rPr>
          <w:spacing w:val="-5"/>
          <w:sz w:val="18"/>
        </w:rPr>
        <w:t> </w:t>
      </w:r>
      <w:r>
        <w:rPr>
          <w:sz w:val="18"/>
        </w:rPr>
        <w:t>Agriculture,</w:t>
      </w:r>
      <w:r>
        <w:rPr>
          <w:spacing w:val="-5"/>
          <w:sz w:val="18"/>
        </w:rPr>
        <w:t> </w:t>
      </w:r>
      <w:r>
        <w:rPr>
          <w:sz w:val="18"/>
        </w:rPr>
        <w:t>Environment,</w:t>
      </w:r>
      <w:r>
        <w:rPr>
          <w:spacing w:val="-5"/>
          <w:sz w:val="18"/>
        </w:rPr>
        <w:t> </w:t>
      </w:r>
      <w:r>
        <w:rPr>
          <w:sz w:val="18"/>
        </w:rPr>
        <w:t>and</w:t>
      </w:r>
      <w:r>
        <w:rPr>
          <w:spacing w:val="-6"/>
          <w:sz w:val="18"/>
        </w:rPr>
        <w:t> </w:t>
      </w:r>
      <w:r>
        <w:rPr>
          <w:sz w:val="18"/>
        </w:rPr>
        <w:t>Rural</w:t>
      </w:r>
      <w:r>
        <w:rPr>
          <w:spacing w:val="-6"/>
          <w:sz w:val="18"/>
        </w:rPr>
        <w:t> </w:t>
      </w:r>
      <w:r>
        <w:rPr>
          <w:sz w:val="18"/>
        </w:rPr>
        <w:t>Affairs,</w:t>
      </w:r>
      <w:r>
        <w:rPr>
          <w:spacing w:val="-5"/>
          <w:sz w:val="18"/>
        </w:rPr>
        <w:t> </w:t>
      </w:r>
      <w:r>
        <w:rPr>
          <w:sz w:val="18"/>
        </w:rPr>
        <w:t>11 October 2023.</w:t>
      </w:r>
    </w:p>
    <w:p>
      <w:pPr>
        <w:pStyle w:val="ListParagraph"/>
        <w:numPr>
          <w:ilvl w:val="0"/>
          <w:numId w:val="11"/>
        </w:numPr>
        <w:tabs>
          <w:tab w:pos="1853" w:val="left" w:leader="none"/>
        </w:tabs>
        <w:spacing w:line="218" w:lineRule="exact" w:before="0" w:after="0"/>
        <w:ind w:left="1853" w:right="0" w:hanging="720"/>
        <w:jc w:val="left"/>
        <w:rPr>
          <w:sz w:val="18"/>
        </w:rPr>
      </w:pPr>
      <w:r>
        <w:rPr>
          <w:spacing w:val="-4"/>
          <w:sz w:val="18"/>
        </w:rPr>
        <w:t>Ibid.</w:t>
      </w:r>
    </w:p>
    <w:p>
      <w:pPr>
        <w:spacing w:after="0" w:line="218" w:lineRule="exact"/>
        <w:jc w:val="left"/>
        <w:rPr>
          <w:sz w:val="18"/>
        </w:rPr>
        <w:sectPr>
          <w:pgSz w:w="11910" w:h="16840"/>
          <w:pgMar w:header="496" w:footer="367" w:top="1220" w:bottom="560" w:left="0" w:right="0"/>
        </w:sectPr>
      </w:pPr>
    </w:p>
    <w:p>
      <w:pPr>
        <w:pStyle w:val="BodyText"/>
        <w:spacing w:before="181"/>
      </w:pPr>
    </w:p>
    <w:p>
      <w:pPr>
        <w:pStyle w:val="ListParagraph"/>
        <w:numPr>
          <w:ilvl w:val="1"/>
          <w:numId w:val="7"/>
        </w:numPr>
        <w:tabs>
          <w:tab w:pos="1853" w:val="left" w:leader="none"/>
        </w:tabs>
        <w:spacing w:line="225" w:lineRule="auto" w:before="0" w:after="0"/>
        <w:ind w:left="1853" w:right="1179" w:hanging="720"/>
        <w:jc w:val="left"/>
        <w:rPr>
          <w:sz w:val="28"/>
        </w:rPr>
      </w:pPr>
      <w:bookmarkStart w:name="_bookmark42" w:id="93"/>
      <w:bookmarkEnd w:id="93"/>
      <w:r>
        <w:rPr/>
      </w:r>
      <w:r>
        <w:rPr>
          <w:sz w:val="28"/>
        </w:rPr>
        <w:t>In July 2023, the Department for Agriculture, Environment, and Rural Affairs missed the deadline for publishing its first Environmental Improvement Plan,</w:t>
      </w:r>
      <w:r>
        <w:rPr>
          <w:sz w:val="28"/>
        </w:rPr>
        <w:t> a statutory requirement under the UK Environment Act 2021. In March 2024, the Department confirmed that a draft of the Environmental Improvement Plan</w:t>
      </w:r>
      <w:r>
        <w:rPr>
          <w:spacing w:val="-7"/>
          <w:sz w:val="28"/>
        </w:rPr>
        <w:t> </w:t>
      </w:r>
      <w:r>
        <w:rPr>
          <w:sz w:val="28"/>
        </w:rPr>
        <w:t>has</w:t>
      </w:r>
      <w:r>
        <w:rPr>
          <w:spacing w:val="-7"/>
          <w:sz w:val="28"/>
        </w:rPr>
        <w:t> </w:t>
      </w:r>
      <w:r>
        <w:rPr>
          <w:sz w:val="28"/>
        </w:rPr>
        <w:t>been</w:t>
      </w:r>
      <w:r>
        <w:rPr>
          <w:spacing w:val="-7"/>
          <w:sz w:val="28"/>
        </w:rPr>
        <w:t> </w:t>
      </w:r>
      <w:r>
        <w:rPr>
          <w:sz w:val="28"/>
        </w:rPr>
        <w:t>approved</w:t>
      </w:r>
      <w:r>
        <w:rPr>
          <w:spacing w:val="-7"/>
          <w:sz w:val="28"/>
        </w:rPr>
        <w:t> </w:t>
      </w:r>
      <w:r>
        <w:rPr>
          <w:sz w:val="28"/>
        </w:rPr>
        <w:t>by</w:t>
      </w:r>
      <w:r>
        <w:rPr>
          <w:spacing w:val="-6"/>
          <w:sz w:val="28"/>
        </w:rPr>
        <w:t> </w:t>
      </w:r>
      <w:r>
        <w:rPr>
          <w:sz w:val="28"/>
        </w:rPr>
        <w:t>the</w:t>
      </w:r>
      <w:r>
        <w:rPr>
          <w:spacing w:val="-6"/>
          <w:sz w:val="28"/>
        </w:rPr>
        <w:t> </w:t>
      </w:r>
      <w:r>
        <w:rPr>
          <w:sz w:val="28"/>
        </w:rPr>
        <w:t>Minister</w:t>
      </w:r>
      <w:r>
        <w:rPr>
          <w:spacing w:val="-6"/>
          <w:sz w:val="28"/>
        </w:rPr>
        <w:t> </w:t>
      </w:r>
      <w:r>
        <w:rPr>
          <w:sz w:val="28"/>
        </w:rPr>
        <w:t>of</w:t>
      </w:r>
      <w:r>
        <w:rPr>
          <w:spacing w:val="-7"/>
          <w:sz w:val="28"/>
        </w:rPr>
        <w:t> </w:t>
      </w:r>
      <w:r>
        <w:rPr>
          <w:sz w:val="28"/>
        </w:rPr>
        <w:t>Agriculture,</w:t>
      </w:r>
      <w:r>
        <w:rPr>
          <w:spacing w:val="-6"/>
          <w:sz w:val="28"/>
        </w:rPr>
        <w:t> </w:t>
      </w:r>
      <w:r>
        <w:rPr>
          <w:sz w:val="28"/>
        </w:rPr>
        <w:t>Environment</w:t>
      </w:r>
      <w:r>
        <w:rPr>
          <w:spacing w:val="-6"/>
          <w:sz w:val="28"/>
        </w:rPr>
        <w:t> </w:t>
      </w:r>
      <w:r>
        <w:rPr>
          <w:sz w:val="28"/>
        </w:rPr>
        <w:t>and</w:t>
      </w:r>
      <w:r>
        <w:rPr>
          <w:spacing w:val="-7"/>
          <w:sz w:val="28"/>
        </w:rPr>
        <w:t> </w:t>
      </w:r>
      <w:r>
        <w:rPr>
          <w:sz w:val="28"/>
        </w:rPr>
        <w:t>Rural Affairs and that the Minister intends to seek the Executive’s approval of the draft Plan at the earliest opportunity.</w:t>
      </w:r>
      <w:r>
        <w:rPr>
          <w:sz w:val="28"/>
          <w:vertAlign w:val="superscript"/>
        </w:rPr>
        <w:t>680</w:t>
      </w:r>
    </w:p>
    <w:p>
      <w:pPr>
        <w:pStyle w:val="ListParagraph"/>
        <w:numPr>
          <w:ilvl w:val="1"/>
          <w:numId w:val="7"/>
        </w:numPr>
        <w:tabs>
          <w:tab w:pos="1853" w:val="left" w:leader="none"/>
        </w:tabs>
        <w:spacing w:line="225" w:lineRule="auto" w:before="311" w:after="0"/>
        <w:ind w:left="1853" w:right="1400" w:hanging="720"/>
        <w:jc w:val="left"/>
        <w:rPr>
          <w:sz w:val="28"/>
        </w:rPr>
      </w:pPr>
      <w:r>
        <w:rPr>
          <w:sz w:val="28"/>
        </w:rPr>
        <w:t>The NIHRC has commissioned research into the environment, human rights and</w:t>
      </w:r>
      <w:r>
        <w:rPr>
          <w:spacing w:val="-5"/>
          <w:sz w:val="28"/>
        </w:rPr>
        <w:t> </w:t>
      </w:r>
      <w:r>
        <w:rPr>
          <w:sz w:val="28"/>
        </w:rPr>
        <w:t>Windsor</w:t>
      </w:r>
      <w:r>
        <w:rPr>
          <w:spacing w:val="-4"/>
          <w:sz w:val="28"/>
        </w:rPr>
        <w:t> </w:t>
      </w:r>
      <w:r>
        <w:rPr>
          <w:sz w:val="28"/>
        </w:rPr>
        <w:t>Framework</w:t>
      </w:r>
      <w:r>
        <w:rPr>
          <w:spacing w:val="-4"/>
          <w:sz w:val="28"/>
        </w:rPr>
        <w:t> </w:t>
      </w:r>
      <w:r>
        <w:rPr>
          <w:sz w:val="28"/>
        </w:rPr>
        <w:t>Article</w:t>
      </w:r>
      <w:r>
        <w:rPr>
          <w:spacing w:val="-4"/>
          <w:sz w:val="28"/>
        </w:rPr>
        <w:t> </w:t>
      </w:r>
      <w:r>
        <w:rPr>
          <w:sz w:val="28"/>
        </w:rPr>
        <w:t>2,</w:t>
      </w:r>
      <w:r>
        <w:rPr>
          <w:spacing w:val="-4"/>
          <w:sz w:val="28"/>
        </w:rPr>
        <w:t> </w:t>
      </w:r>
      <w:r>
        <w:rPr>
          <w:sz w:val="28"/>
        </w:rPr>
        <w:t>which</w:t>
      </w:r>
      <w:r>
        <w:rPr>
          <w:spacing w:val="-5"/>
          <w:sz w:val="28"/>
        </w:rPr>
        <w:t> </w:t>
      </w:r>
      <w:r>
        <w:rPr>
          <w:sz w:val="28"/>
        </w:rPr>
        <w:t>is</w:t>
      </w:r>
      <w:r>
        <w:rPr>
          <w:spacing w:val="-5"/>
          <w:sz w:val="28"/>
        </w:rPr>
        <w:t> </w:t>
      </w:r>
      <w:r>
        <w:rPr>
          <w:sz w:val="28"/>
        </w:rPr>
        <w:t>due</w:t>
      </w:r>
      <w:r>
        <w:rPr>
          <w:spacing w:val="-4"/>
          <w:sz w:val="28"/>
        </w:rPr>
        <w:t> </w:t>
      </w:r>
      <w:r>
        <w:rPr>
          <w:sz w:val="28"/>
        </w:rPr>
        <w:t>to</w:t>
      </w:r>
      <w:r>
        <w:rPr>
          <w:spacing w:val="-5"/>
          <w:sz w:val="28"/>
        </w:rPr>
        <w:t> </w:t>
      </w:r>
      <w:r>
        <w:rPr>
          <w:sz w:val="28"/>
        </w:rPr>
        <w:t>be</w:t>
      </w:r>
      <w:r>
        <w:rPr>
          <w:spacing w:val="-4"/>
          <w:sz w:val="28"/>
        </w:rPr>
        <w:t> </w:t>
      </w:r>
      <w:r>
        <w:rPr>
          <w:sz w:val="28"/>
        </w:rPr>
        <w:t>published</w:t>
      </w:r>
      <w:r>
        <w:rPr>
          <w:spacing w:val="-5"/>
          <w:sz w:val="28"/>
        </w:rPr>
        <w:t> </w:t>
      </w:r>
      <w:r>
        <w:rPr>
          <w:sz w:val="28"/>
        </w:rPr>
        <w:t>in</w:t>
      </w:r>
      <w:r>
        <w:rPr>
          <w:spacing w:val="-5"/>
          <w:sz w:val="28"/>
        </w:rPr>
        <w:t> </w:t>
      </w:r>
      <w:r>
        <w:rPr>
          <w:sz w:val="28"/>
        </w:rPr>
        <w:t>late</w:t>
      </w:r>
      <w:r>
        <w:rPr>
          <w:spacing w:val="-4"/>
          <w:sz w:val="28"/>
        </w:rPr>
        <w:t> </w:t>
      </w:r>
      <w:r>
        <w:rPr>
          <w:sz w:val="28"/>
        </w:rPr>
        <w:t>2024.</w:t>
      </w:r>
    </w:p>
    <w:p>
      <w:pPr>
        <w:pStyle w:val="BodyText"/>
        <w:spacing w:before="3"/>
        <w:rPr>
          <w:sz w:val="14"/>
        </w:rPr>
      </w:pPr>
      <w:r>
        <w:rPr/>
        <mc:AlternateContent>
          <mc:Choice Requires="wps">
            <w:drawing>
              <wp:anchor distT="0" distB="0" distL="0" distR="0" allowOverlap="1" layoutInCell="1" locked="0" behindDoc="1" simplePos="0" relativeHeight="487700992">
                <wp:simplePos x="0" y="0"/>
                <wp:positionH relativeFrom="page">
                  <wp:posOffset>720001</wp:posOffset>
                </wp:positionH>
                <wp:positionV relativeFrom="paragraph">
                  <wp:posOffset>126023</wp:posOffset>
                </wp:positionV>
                <wp:extent cx="6120130" cy="360045"/>
                <wp:effectExtent l="0" t="0" r="0" b="0"/>
                <wp:wrapTopAndBottom/>
                <wp:docPr id="526" name="Textbox 526"/>
                <wp:cNvGraphicFramePr>
                  <a:graphicFrameLocks/>
                </wp:cNvGraphicFramePr>
                <a:graphic>
                  <a:graphicData uri="http://schemas.microsoft.com/office/word/2010/wordprocessingShape">
                    <wps:wsp>
                      <wps:cNvPr id="526" name="Textbox 526"/>
                      <wps:cNvSpPr txBox="1"/>
                      <wps:spPr>
                        <a:xfrm>
                          <a:off x="0" y="0"/>
                          <a:ext cx="6120130" cy="360045"/>
                        </a:xfrm>
                        <a:prstGeom prst="rect">
                          <a:avLst/>
                        </a:prstGeom>
                        <a:solidFill>
                          <a:srgbClr val="393B80"/>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9.923079pt;width:481.9pt;height:28.35pt;mso-position-horizontal-relative:page;mso-position-vertical-relative:paragraph;z-index:-15615488;mso-wrap-distance-left:0;mso-wrap-distance-right:0" type="#_x0000_t202" id="docshape471" filled="true" fillcolor="#393b80"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208" w:after="0"/>
        <w:ind w:left="1853" w:right="1389" w:hanging="720"/>
        <w:jc w:val="left"/>
        <w:rPr>
          <w:b/>
          <w:color w:val="67287F"/>
          <w:sz w:val="28"/>
        </w:rPr>
      </w:pPr>
      <w:r>
        <w:rPr>
          <w:b/>
          <w:color w:val="67287F"/>
          <w:sz w:val="28"/>
        </w:rPr>
        <w:t>The NIHRC recommends that any legislative or policy decisions by the Department</w:t>
      </w:r>
      <w:r>
        <w:rPr>
          <w:b/>
          <w:color w:val="67287F"/>
          <w:spacing w:val="-9"/>
          <w:sz w:val="28"/>
        </w:rPr>
        <w:t> </w:t>
      </w:r>
      <w:r>
        <w:rPr>
          <w:b/>
          <w:color w:val="67287F"/>
          <w:sz w:val="28"/>
        </w:rPr>
        <w:t>of</w:t>
      </w:r>
      <w:r>
        <w:rPr>
          <w:b/>
          <w:color w:val="67287F"/>
          <w:spacing w:val="-10"/>
          <w:sz w:val="28"/>
        </w:rPr>
        <w:t> </w:t>
      </w:r>
      <w:r>
        <w:rPr>
          <w:b/>
          <w:color w:val="67287F"/>
          <w:sz w:val="28"/>
        </w:rPr>
        <w:t>Environment,</w:t>
      </w:r>
      <w:r>
        <w:rPr>
          <w:b/>
          <w:color w:val="67287F"/>
          <w:spacing w:val="-9"/>
          <w:sz w:val="28"/>
        </w:rPr>
        <w:t> </w:t>
      </w:r>
      <w:r>
        <w:rPr>
          <w:b/>
          <w:color w:val="67287F"/>
          <w:sz w:val="28"/>
        </w:rPr>
        <w:t>Agriculture</w:t>
      </w:r>
      <w:r>
        <w:rPr>
          <w:b/>
          <w:color w:val="67287F"/>
          <w:spacing w:val="-10"/>
          <w:sz w:val="28"/>
        </w:rPr>
        <w:t> </w:t>
      </w:r>
      <w:r>
        <w:rPr>
          <w:b/>
          <w:color w:val="67287F"/>
          <w:sz w:val="28"/>
        </w:rPr>
        <w:t>and</w:t>
      </w:r>
      <w:r>
        <w:rPr>
          <w:b/>
          <w:color w:val="67287F"/>
          <w:spacing w:val="-9"/>
          <w:sz w:val="28"/>
        </w:rPr>
        <w:t> </w:t>
      </w:r>
      <w:r>
        <w:rPr>
          <w:b/>
          <w:color w:val="67287F"/>
          <w:sz w:val="28"/>
        </w:rPr>
        <w:t>Rural</w:t>
      </w:r>
      <w:r>
        <w:rPr>
          <w:b/>
          <w:color w:val="67287F"/>
          <w:spacing w:val="-9"/>
          <w:sz w:val="28"/>
        </w:rPr>
        <w:t> </w:t>
      </w:r>
      <w:r>
        <w:rPr>
          <w:b/>
          <w:color w:val="67287F"/>
          <w:sz w:val="28"/>
        </w:rPr>
        <w:t>Affairs</w:t>
      </w:r>
      <w:r>
        <w:rPr>
          <w:b/>
          <w:color w:val="67287F"/>
          <w:spacing w:val="-9"/>
          <w:sz w:val="28"/>
        </w:rPr>
        <w:t> </w:t>
      </w:r>
      <w:r>
        <w:rPr>
          <w:b/>
          <w:color w:val="67287F"/>
          <w:sz w:val="28"/>
        </w:rPr>
        <w:t>made</w:t>
      </w:r>
      <w:r>
        <w:rPr>
          <w:b/>
          <w:color w:val="67287F"/>
          <w:spacing w:val="-10"/>
          <w:sz w:val="28"/>
        </w:rPr>
        <w:t> </w:t>
      </w:r>
      <w:r>
        <w:rPr>
          <w:b/>
          <w:color w:val="67287F"/>
          <w:sz w:val="28"/>
        </w:rPr>
        <w:t>in</w:t>
      </w:r>
      <w:r>
        <w:rPr>
          <w:b/>
          <w:color w:val="67287F"/>
          <w:spacing w:val="-9"/>
          <w:sz w:val="28"/>
        </w:rPr>
        <w:t> </w:t>
      </w:r>
      <w:r>
        <w:rPr>
          <w:b/>
          <w:color w:val="67287F"/>
          <w:sz w:val="28"/>
        </w:rPr>
        <w:t>relation to climate change and environmental regulation consider the interplay of the ECHR, the EU Charter of Fundamental Rights and Windsor Framework Article 2.</w:t>
      </w:r>
    </w:p>
    <w:p>
      <w:pPr>
        <w:pStyle w:val="BodyText"/>
        <w:rPr>
          <w:b/>
        </w:rPr>
      </w:pPr>
    </w:p>
    <w:p>
      <w:pPr>
        <w:pStyle w:val="Heading3"/>
      </w:pPr>
      <w:bookmarkStart w:name="Administration of Justice" w:id="94"/>
      <w:bookmarkEnd w:id="94"/>
      <w:r>
        <w:rPr>
          <w:b w:val="0"/>
        </w:rPr>
      </w:r>
      <w:r>
        <w:rPr>
          <w:color w:val="67287F"/>
        </w:rPr>
        <w:t>Administration</w:t>
      </w:r>
      <w:r>
        <w:rPr>
          <w:color w:val="67287F"/>
          <w:spacing w:val="-14"/>
        </w:rPr>
        <w:t> </w:t>
      </w:r>
      <w:r>
        <w:rPr>
          <w:color w:val="67287F"/>
        </w:rPr>
        <w:t>of</w:t>
      </w:r>
      <w:r>
        <w:rPr>
          <w:color w:val="67287F"/>
          <w:spacing w:val="-13"/>
        </w:rPr>
        <w:t> </w:t>
      </w:r>
      <w:r>
        <w:rPr>
          <w:color w:val="67287F"/>
          <w:spacing w:val="-2"/>
        </w:rPr>
        <w:t>Justice</w:t>
      </w:r>
    </w:p>
    <w:p>
      <w:pPr>
        <w:pStyle w:val="BodyText"/>
        <w:spacing w:before="4"/>
        <w:rPr>
          <w:b/>
          <w:sz w:val="5"/>
        </w:rPr>
      </w:pPr>
      <w:r>
        <w:rPr/>
        <mc:AlternateContent>
          <mc:Choice Requires="wps">
            <w:drawing>
              <wp:anchor distT="0" distB="0" distL="0" distR="0" allowOverlap="1" layoutInCell="1" locked="0" behindDoc="1" simplePos="0" relativeHeight="487701504">
                <wp:simplePos x="0" y="0"/>
                <wp:positionH relativeFrom="page">
                  <wp:posOffset>719997</wp:posOffset>
                </wp:positionH>
                <wp:positionV relativeFrom="paragraph">
                  <wp:posOffset>56879</wp:posOffset>
                </wp:positionV>
                <wp:extent cx="6120130" cy="1270"/>
                <wp:effectExtent l="0" t="0" r="0" b="0"/>
                <wp:wrapTopAndBottom/>
                <wp:docPr id="527" name="Graphic 527"/>
                <wp:cNvGraphicFramePr>
                  <a:graphicFrameLocks/>
                </wp:cNvGraphicFramePr>
                <a:graphic>
                  <a:graphicData uri="http://schemas.microsoft.com/office/word/2010/wordprocessingShape">
                    <wps:wsp>
                      <wps:cNvPr id="527" name="Graphic 527"/>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4.478734pt;width:481.9pt;height:.1pt;mso-position-horizontal-relative:page;mso-position-vertical-relative:paragraph;z-index:-15614976;mso-wrap-distance-left:0;mso-wrap-distance-right:0" id="docshape472" coordorigin="1134,90" coordsize="9638,0" path="m10772,90l1134,90e" filled="false" stroked="true" strokeweight="1pt" strokecolor="#67287f">
                <v:path arrowok="t"/>
                <v:stroke dashstyle="solid"/>
                <w10:wrap type="topAndBottom"/>
              </v:shape>
            </w:pict>
          </mc:Fallback>
        </mc:AlternateContent>
      </w:r>
    </w:p>
    <w:p>
      <w:pPr>
        <w:pStyle w:val="Heading5"/>
        <w:spacing w:before="316"/>
        <w:ind w:left="1133" w:firstLine="0"/>
      </w:pPr>
      <w:bookmarkStart w:name="Access to Justice" w:id="95"/>
      <w:bookmarkEnd w:id="95"/>
      <w:r>
        <w:rPr>
          <w:b w:val="0"/>
        </w:rPr>
      </w:r>
      <w:r>
        <w:rPr>
          <w:color w:val="393B7F"/>
        </w:rPr>
        <w:t>Access</w:t>
      </w:r>
      <w:r>
        <w:rPr>
          <w:color w:val="393B7F"/>
          <w:spacing w:val="-2"/>
        </w:rPr>
        <w:t> </w:t>
      </w:r>
      <w:r>
        <w:rPr>
          <w:color w:val="393B7F"/>
        </w:rPr>
        <w:t>to</w:t>
      </w:r>
      <w:r>
        <w:rPr>
          <w:color w:val="393B7F"/>
          <w:spacing w:val="-1"/>
        </w:rPr>
        <w:t> </w:t>
      </w:r>
      <w:r>
        <w:rPr>
          <w:color w:val="393B7F"/>
          <w:spacing w:val="-2"/>
        </w:rPr>
        <w:t>Justice</w:t>
      </w:r>
    </w:p>
    <w:p>
      <w:pPr>
        <w:pStyle w:val="ListParagraph"/>
        <w:numPr>
          <w:ilvl w:val="1"/>
          <w:numId w:val="7"/>
        </w:numPr>
        <w:tabs>
          <w:tab w:pos="1853" w:val="left" w:leader="none"/>
        </w:tabs>
        <w:spacing w:line="225" w:lineRule="auto" w:before="330" w:after="0"/>
        <w:ind w:left="1853" w:right="1153" w:hanging="720"/>
        <w:jc w:val="left"/>
        <w:rPr>
          <w:sz w:val="28"/>
        </w:rPr>
      </w:pPr>
      <w:r>
        <w:rPr>
          <w:sz w:val="28"/>
        </w:rPr>
        <w:t>In</w:t>
      </w:r>
      <w:r>
        <w:rPr>
          <w:spacing w:val="-4"/>
          <w:sz w:val="28"/>
        </w:rPr>
        <w:t> </w:t>
      </w:r>
      <w:r>
        <w:rPr>
          <w:sz w:val="28"/>
        </w:rPr>
        <w:t>2017,</w:t>
      </w:r>
      <w:r>
        <w:rPr>
          <w:spacing w:val="-3"/>
          <w:sz w:val="28"/>
        </w:rPr>
        <w:t> </w:t>
      </w:r>
      <w:r>
        <w:rPr>
          <w:sz w:val="28"/>
        </w:rPr>
        <w:t>the</w:t>
      </w:r>
      <w:r>
        <w:rPr>
          <w:spacing w:val="-3"/>
          <w:sz w:val="28"/>
        </w:rPr>
        <w:t> </w:t>
      </w:r>
      <w:r>
        <w:rPr>
          <w:sz w:val="28"/>
        </w:rPr>
        <w:t>UN</w:t>
      </w:r>
      <w:r>
        <w:rPr>
          <w:spacing w:val="-3"/>
          <w:sz w:val="28"/>
        </w:rPr>
        <w:t> </w:t>
      </w:r>
      <w:r>
        <w:rPr>
          <w:sz w:val="28"/>
        </w:rPr>
        <w:t>CRPD</w:t>
      </w:r>
      <w:r>
        <w:rPr>
          <w:spacing w:val="-4"/>
          <w:sz w:val="28"/>
        </w:rPr>
        <w:t> </w:t>
      </w:r>
      <w:r>
        <w:rPr>
          <w:sz w:val="28"/>
        </w:rPr>
        <w:t>Committee</w:t>
      </w:r>
      <w:r>
        <w:rPr>
          <w:spacing w:val="-3"/>
          <w:sz w:val="28"/>
        </w:rPr>
        <w:t> </w:t>
      </w:r>
      <w:r>
        <w:rPr>
          <w:sz w:val="28"/>
        </w:rPr>
        <w:t>recommended</w:t>
      </w:r>
      <w:r>
        <w:rPr>
          <w:spacing w:val="-4"/>
          <w:sz w:val="28"/>
        </w:rPr>
        <w:t> </w:t>
      </w:r>
      <w:r>
        <w:rPr>
          <w:sz w:val="28"/>
        </w:rPr>
        <w:t>that</w:t>
      </w:r>
      <w:r>
        <w:rPr>
          <w:spacing w:val="-3"/>
          <w:sz w:val="28"/>
        </w:rPr>
        <w:t> </w:t>
      </w:r>
      <w:r>
        <w:rPr>
          <w:sz w:val="28"/>
        </w:rPr>
        <w:t>the</w:t>
      </w:r>
      <w:r>
        <w:rPr>
          <w:spacing w:val="-3"/>
          <w:sz w:val="28"/>
        </w:rPr>
        <w:t> </w:t>
      </w:r>
      <w:r>
        <w:rPr>
          <w:sz w:val="28"/>
        </w:rPr>
        <w:t>UK</w:t>
      </w:r>
      <w:r>
        <w:rPr>
          <w:spacing w:val="-3"/>
          <w:sz w:val="28"/>
        </w:rPr>
        <w:t> </w:t>
      </w:r>
      <w:r>
        <w:rPr>
          <w:sz w:val="28"/>
        </w:rPr>
        <w:t>Government</w:t>
      </w:r>
      <w:r>
        <w:rPr>
          <w:spacing w:val="-3"/>
          <w:sz w:val="28"/>
        </w:rPr>
        <w:t> </w:t>
      </w:r>
      <w:r>
        <w:rPr>
          <w:sz w:val="28"/>
        </w:rPr>
        <w:t>and NI Executive ensure that “all persons with disabilities are provided with the right</w:t>
      </w:r>
      <w:r>
        <w:rPr>
          <w:spacing w:val="-3"/>
          <w:sz w:val="28"/>
        </w:rPr>
        <w:t> </w:t>
      </w:r>
      <w:r>
        <w:rPr>
          <w:sz w:val="28"/>
        </w:rPr>
        <w:t>and</w:t>
      </w:r>
      <w:r>
        <w:rPr>
          <w:spacing w:val="-3"/>
          <w:sz w:val="28"/>
        </w:rPr>
        <w:t> </w:t>
      </w:r>
      <w:r>
        <w:rPr>
          <w:sz w:val="28"/>
        </w:rPr>
        <w:t>adequate</w:t>
      </w:r>
      <w:r>
        <w:rPr>
          <w:spacing w:val="-3"/>
          <w:sz w:val="28"/>
        </w:rPr>
        <w:t> </w:t>
      </w:r>
      <w:r>
        <w:rPr>
          <w:sz w:val="28"/>
        </w:rPr>
        <w:t>procedural</w:t>
      </w:r>
      <w:r>
        <w:rPr>
          <w:spacing w:val="-3"/>
          <w:sz w:val="28"/>
        </w:rPr>
        <w:t> </w:t>
      </w:r>
      <w:r>
        <w:rPr>
          <w:sz w:val="28"/>
        </w:rPr>
        <w:t>accommodation</w:t>
      </w:r>
      <w:r>
        <w:rPr>
          <w:spacing w:val="-3"/>
          <w:sz w:val="28"/>
        </w:rPr>
        <w:t> </w:t>
      </w:r>
      <w:r>
        <w:rPr>
          <w:sz w:val="28"/>
        </w:rPr>
        <w:t>within</w:t>
      </w:r>
      <w:r>
        <w:rPr>
          <w:spacing w:val="-3"/>
          <w:sz w:val="28"/>
        </w:rPr>
        <w:t> </w:t>
      </w:r>
      <w:r>
        <w:rPr>
          <w:sz w:val="28"/>
        </w:rPr>
        <w:t>the</w:t>
      </w:r>
      <w:r>
        <w:rPr>
          <w:spacing w:val="-3"/>
          <w:sz w:val="28"/>
        </w:rPr>
        <w:t> </w:t>
      </w:r>
      <w:r>
        <w:rPr>
          <w:sz w:val="28"/>
        </w:rPr>
        <w:t>justice</w:t>
      </w:r>
      <w:r>
        <w:rPr>
          <w:spacing w:val="-3"/>
          <w:sz w:val="28"/>
        </w:rPr>
        <w:t> </w:t>
      </w:r>
      <w:r>
        <w:rPr>
          <w:sz w:val="28"/>
        </w:rPr>
        <w:t>system”</w:t>
      </w:r>
      <w:r>
        <w:rPr>
          <w:spacing w:val="-3"/>
          <w:sz w:val="28"/>
        </w:rPr>
        <w:t> </w:t>
      </w:r>
      <w:r>
        <w:rPr>
          <w:sz w:val="28"/>
        </w:rPr>
        <w:t>and in</w:t>
      </w:r>
      <w:r>
        <w:rPr>
          <w:spacing w:val="-6"/>
          <w:sz w:val="28"/>
        </w:rPr>
        <w:t> </w:t>
      </w:r>
      <w:r>
        <w:rPr>
          <w:sz w:val="28"/>
        </w:rPr>
        <w:t>addition</w:t>
      </w:r>
      <w:r>
        <w:rPr>
          <w:spacing w:val="-6"/>
          <w:sz w:val="28"/>
        </w:rPr>
        <w:t> </w:t>
      </w:r>
      <w:r>
        <w:rPr>
          <w:sz w:val="28"/>
        </w:rPr>
        <w:t>“enable</w:t>
      </w:r>
      <w:r>
        <w:rPr>
          <w:spacing w:val="-5"/>
          <w:sz w:val="28"/>
        </w:rPr>
        <w:t> </w:t>
      </w:r>
      <w:r>
        <w:rPr>
          <w:sz w:val="28"/>
        </w:rPr>
        <w:t>in</w:t>
      </w:r>
      <w:r>
        <w:rPr>
          <w:spacing w:val="-6"/>
          <w:sz w:val="28"/>
        </w:rPr>
        <w:t> </w:t>
      </w:r>
      <w:r>
        <w:rPr>
          <w:sz w:val="28"/>
        </w:rPr>
        <w:t>particular</w:t>
      </w:r>
      <w:r>
        <w:rPr>
          <w:spacing w:val="-5"/>
          <w:sz w:val="28"/>
        </w:rPr>
        <w:t> </w:t>
      </w:r>
      <w:r>
        <w:rPr>
          <w:sz w:val="28"/>
        </w:rPr>
        <w:t>deaf</w:t>
      </w:r>
      <w:r>
        <w:rPr>
          <w:spacing w:val="-6"/>
          <w:sz w:val="28"/>
        </w:rPr>
        <w:t> </w:t>
      </w:r>
      <w:r>
        <w:rPr>
          <w:sz w:val="28"/>
        </w:rPr>
        <w:t>persons</w:t>
      </w:r>
      <w:r>
        <w:rPr>
          <w:spacing w:val="-6"/>
          <w:sz w:val="28"/>
        </w:rPr>
        <w:t> </w:t>
      </w:r>
      <w:r>
        <w:rPr>
          <w:sz w:val="28"/>
        </w:rPr>
        <w:t>through</w:t>
      </w:r>
      <w:r>
        <w:rPr>
          <w:spacing w:val="-6"/>
          <w:sz w:val="28"/>
        </w:rPr>
        <w:t> </w:t>
      </w:r>
      <w:r>
        <w:rPr>
          <w:sz w:val="28"/>
        </w:rPr>
        <w:t>the</w:t>
      </w:r>
      <w:r>
        <w:rPr>
          <w:spacing w:val="-5"/>
          <w:sz w:val="28"/>
        </w:rPr>
        <w:t> </w:t>
      </w:r>
      <w:r>
        <w:rPr>
          <w:sz w:val="28"/>
        </w:rPr>
        <w:t>use</w:t>
      </w:r>
      <w:r>
        <w:rPr>
          <w:spacing w:val="-5"/>
          <w:sz w:val="28"/>
        </w:rPr>
        <w:t> </w:t>
      </w:r>
      <w:r>
        <w:rPr>
          <w:sz w:val="28"/>
        </w:rPr>
        <w:t>of</w:t>
      </w:r>
      <w:r>
        <w:rPr>
          <w:spacing w:val="-6"/>
          <w:sz w:val="28"/>
        </w:rPr>
        <w:t> </w:t>
      </w:r>
      <w:r>
        <w:rPr>
          <w:sz w:val="28"/>
        </w:rPr>
        <w:t>sign</w:t>
      </w:r>
      <w:r>
        <w:rPr>
          <w:spacing w:val="-6"/>
          <w:sz w:val="28"/>
        </w:rPr>
        <w:t> </w:t>
      </w:r>
      <w:r>
        <w:rPr>
          <w:sz w:val="28"/>
        </w:rPr>
        <w:t>language interpreters to fully and equally participate as jurors in court proceedings”.</w:t>
      </w:r>
      <w:r>
        <w:rPr>
          <w:sz w:val="28"/>
          <w:vertAlign w:val="superscript"/>
        </w:rPr>
        <w:t>681</w:t>
      </w:r>
    </w:p>
    <w:p>
      <w:pPr>
        <w:pStyle w:val="ListParagraph"/>
        <w:numPr>
          <w:ilvl w:val="1"/>
          <w:numId w:val="7"/>
        </w:numPr>
        <w:tabs>
          <w:tab w:pos="1853" w:val="left" w:leader="none"/>
        </w:tabs>
        <w:spacing w:line="225" w:lineRule="auto" w:before="314" w:after="0"/>
        <w:ind w:left="1853" w:right="1643" w:hanging="720"/>
        <w:jc w:val="both"/>
        <w:rPr>
          <w:sz w:val="28"/>
        </w:rPr>
      </w:pPr>
      <w:r>
        <w:rPr>
          <w:sz w:val="28"/>
        </w:rPr>
        <w:t>The EU Victims’ Directive includes the right of victims to understand and be understood in the context of criminal proceedings and for the right to interpretation and translation services, to that end.</w:t>
      </w:r>
      <w:r>
        <w:rPr>
          <w:sz w:val="28"/>
          <w:vertAlign w:val="superscript"/>
        </w:rPr>
        <w:t>682</w:t>
      </w:r>
      <w:r>
        <w:rPr>
          <w:spacing w:val="40"/>
          <w:sz w:val="28"/>
          <w:vertAlign w:val="baseline"/>
        </w:rPr>
        <w:t> </w:t>
      </w:r>
      <w:r>
        <w:rPr>
          <w:sz w:val="28"/>
          <w:vertAlign w:val="baseline"/>
        </w:rPr>
        <w:t>In addition, the EU Interpretation</w:t>
      </w:r>
      <w:r>
        <w:rPr>
          <w:spacing w:val="-13"/>
          <w:sz w:val="28"/>
          <w:vertAlign w:val="baseline"/>
        </w:rPr>
        <w:t> </w:t>
      </w:r>
      <w:r>
        <w:rPr>
          <w:sz w:val="28"/>
          <w:vertAlign w:val="baseline"/>
        </w:rPr>
        <w:t>Directive</w:t>
      </w:r>
      <w:r>
        <w:rPr>
          <w:spacing w:val="-12"/>
          <w:sz w:val="28"/>
          <w:vertAlign w:val="baseline"/>
        </w:rPr>
        <w:t> </w:t>
      </w:r>
      <w:r>
        <w:rPr>
          <w:sz w:val="28"/>
          <w:vertAlign w:val="baseline"/>
        </w:rPr>
        <w:t>establishes</w:t>
      </w:r>
      <w:r>
        <w:rPr>
          <w:spacing w:val="-13"/>
          <w:sz w:val="28"/>
          <w:vertAlign w:val="baseline"/>
        </w:rPr>
        <w:t> </w:t>
      </w:r>
      <w:r>
        <w:rPr>
          <w:sz w:val="28"/>
          <w:vertAlign w:val="baseline"/>
        </w:rPr>
        <w:t>minimum</w:t>
      </w:r>
      <w:r>
        <w:rPr>
          <w:spacing w:val="-12"/>
          <w:sz w:val="28"/>
          <w:vertAlign w:val="baseline"/>
        </w:rPr>
        <w:t> </w:t>
      </w:r>
      <w:r>
        <w:rPr>
          <w:sz w:val="28"/>
          <w:vertAlign w:val="baseline"/>
        </w:rPr>
        <w:t>protections</w:t>
      </w:r>
      <w:r>
        <w:rPr>
          <w:spacing w:val="-13"/>
          <w:sz w:val="28"/>
          <w:vertAlign w:val="baseline"/>
        </w:rPr>
        <w:t> </w:t>
      </w:r>
      <w:r>
        <w:rPr>
          <w:sz w:val="28"/>
          <w:vertAlign w:val="baseline"/>
        </w:rPr>
        <w:t>for</w:t>
      </w:r>
      <w:r>
        <w:rPr>
          <w:spacing w:val="-12"/>
          <w:sz w:val="28"/>
          <w:vertAlign w:val="baseline"/>
        </w:rPr>
        <w:t> </w:t>
      </w:r>
      <w:r>
        <w:rPr>
          <w:sz w:val="28"/>
          <w:vertAlign w:val="baseline"/>
        </w:rPr>
        <w:t>suspected</w:t>
      </w:r>
      <w:r>
        <w:rPr>
          <w:spacing w:val="-13"/>
          <w:sz w:val="28"/>
          <w:vertAlign w:val="baseline"/>
        </w:rPr>
        <w:t> </w:t>
      </w:r>
      <w:r>
        <w:rPr>
          <w:sz w:val="28"/>
          <w:vertAlign w:val="baseline"/>
        </w:rPr>
        <w:t>or</w:t>
      </w:r>
    </w:p>
    <w:p>
      <w:pPr>
        <w:pStyle w:val="BodyText"/>
        <w:spacing w:line="225" w:lineRule="auto"/>
        <w:ind w:left="1853" w:right="1167"/>
        <w:jc w:val="both"/>
      </w:pPr>
      <w:r>
        <w:rPr/>
        <w:t>accused</w:t>
      </w:r>
      <w:r>
        <w:rPr>
          <w:spacing w:val="-5"/>
        </w:rPr>
        <w:t> </w:t>
      </w:r>
      <w:r>
        <w:rPr/>
        <w:t>persons</w:t>
      </w:r>
      <w:r>
        <w:rPr>
          <w:spacing w:val="-5"/>
        </w:rPr>
        <w:t> </w:t>
      </w:r>
      <w:r>
        <w:rPr/>
        <w:t>who</w:t>
      </w:r>
      <w:r>
        <w:rPr>
          <w:spacing w:val="-5"/>
        </w:rPr>
        <w:t> </w:t>
      </w:r>
      <w:r>
        <w:rPr/>
        <w:t>do</w:t>
      </w:r>
      <w:r>
        <w:rPr>
          <w:spacing w:val="-5"/>
        </w:rPr>
        <w:t> </w:t>
      </w:r>
      <w:r>
        <w:rPr/>
        <w:t>not</w:t>
      </w:r>
      <w:r>
        <w:rPr>
          <w:spacing w:val="-4"/>
        </w:rPr>
        <w:t> </w:t>
      </w:r>
      <w:r>
        <w:rPr/>
        <w:t>speak</w:t>
      </w:r>
      <w:r>
        <w:rPr>
          <w:spacing w:val="-4"/>
        </w:rPr>
        <w:t> </w:t>
      </w:r>
      <w:r>
        <w:rPr/>
        <w:t>or</w:t>
      </w:r>
      <w:r>
        <w:rPr>
          <w:spacing w:val="-4"/>
        </w:rPr>
        <w:t> </w:t>
      </w:r>
      <w:r>
        <w:rPr/>
        <w:t>understand</w:t>
      </w:r>
      <w:r>
        <w:rPr>
          <w:spacing w:val="-5"/>
        </w:rPr>
        <w:t> </w:t>
      </w:r>
      <w:r>
        <w:rPr/>
        <w:t>the</w:t>
      </w:r>
      <w:r>
        <w:rPr>
          <w:spacing w:val="-4"/>
        </w:rPr>
        <w:t> </w:t>
      </w:r>
      <w:r>
        <w:rPr/>
        <w:t>language</w:t>
      </w:r>
      <w:r>
        <w:rPr>
          <w:spacing w:val="-4"/>
        </w:rPr>
        <w:t> </w:t>
      </w:r>
      <w:r>
        <w:rPr/>
        <w:t>of</w:t>
      </w:r>
      <w:r>
        <w:rPr>
          <w:spacing w:val="-5"/>
        </w:rPr>
        <w:t> </w:t>
      </w:r>
      <w:r>
        <w:rPr/>
        <w:t>the</w:t>
      </w:r>
      <w:r>
        <w:rPr>
          <w:spacing w:val="-4"/>
        </w:rPr>
        <w:t> </w:t>
      </w:r>
      <w:r>
        <w:rPr/>
        <w:t>criminal proceedings and facilitates the application of Article 6 ECHR.</w:t>
      </w:r>
      <w:r>
        <w:rPr>
          <w:vertAlign w:val="superscript"/>
        </w:rPr>
        <w:t>683</w:t>
      </w:r>
    </w:p>
    <w:p>
      <w:pPr>
        <w:pStyle w:val="BodyText"/>
        <w:rPr>
          <w:sz w:val="20"/>
        </w:rPr>
      </w:pPr>
    </w:p>
    <w:p>
      <w:pPr>
        <w:pStyle w:val="BodyText"/>
        <w:spacing w:before="112"/>
        <w:rPr>
          <w:sz w:val="20"/>
        </w:rPr>
      </w:pPr>
      <w:r>
        <w:rPr/>
        <mc:AlternateContent>
          <mc:Choice Requires="wps">
            <w:drawing>
              <wp:anchor distT="0" distB="0" distL="0" distR="0" allowOverlap="1" layoutInCell="1" locked="0" behindDoc="1" simplePos="0" relativeHeight="487702016">
                <wp:simplePos x="0" y="0"/>
                <wp:positionH relativeFrom="page">
                  <wp:posOffset>719996</wp:posOffset>
                </wp:positionH>
                <wp:positionV relativeFrom="paragraph">
                  <wp:posOffset>241606</wp:posOffset>
                </wp:positionV>
                <wp:extent cx="6120130" cy="1270"/>
                <wp:effectExtent l="0" t="0" r="0" b="0"/>
                <wp:wrapTopAndBottom/>
                <wp:docPr id="528" name="Graphic 528"/>
                <wp:cNvGraphicFramePr>
                  <a:graphicFrameLocks/>
                </wp:cNvGraphicFramePr>
                <a:graphic>
                  <a:graphicData uri="http://schemas.microsoft.com/office/word/2010/wordprocessingShape">
                    <wps:wsp>
                      <wps:cNvPr id="528" name="Graphic 528"/>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9.024141pt;width:481.9pt;height:.1pt;mso-position-horizontal-relative:page;mso-position-vertical-relative:paragraph;z-index:-15614464;mso-wrap-distance-left:0;mso-wrap-distance-right:0" id="docshape473" coordorigin="1134,380" coordsize="9638,0" path="m10772,380l1134,380e" filled="false" stroked="true" strokeweight="1pt" strokecolor="#67287f">
                <v:path arrowok="t"/>
                <v:stroke dashstyle="solid"/>
                <w10:wrap type="topAndBottom"/>
              </v:shape>
            </w:pict>
          </mc:Fallback>
        </mc:AlternateContent>
      </w:r>
    </w:p>
    <w:p>
      <w:pPr>
        <w:pStyle w:val="ListParagraph"/>
        <w:numPr>
          <w:ilvl w:val="0"/>
          <w:numId w:val="11"/>
        </w:numPr>
        <w:tabs>
          <w:tab w:pos="1853" w:val="left" w:leader="none"/>
        </w:tabs>
        <w:spacing w:line="218" w:lineRule="exact" w:before="130" w:after="0"/>
        <w:ind w:left="1853" w:right="0" w:hanging="720"/>
        <w:jc w:val="left"/>
        <w:rPr>
          <w:sz w:val="18"/>
        </w:rPr>
      </w:pPr>
      <w:r>
        <w:rPr>
          <w:sz w:val="18"/>
        </w:rPr>
        <w:t>Email</w:t>
      </w:r>
      <w:r>
        <w:rPr>
          <w:spacing w:val="-7"/>
          <w:sz w:val="18"/>
        </w:rPr>
        <w:t> </w:t>
      </w:r>
      <w:r>
        <w:rPr>
          <w:sz w:val="18"/>
        </w:rPr>
        <w:t>correspondence</w:t>
      </w:r>
      <w:r>
        <w:rPr>
          <w:spacing w:val="-5"/>
          <w:sz w:val="18"/>
        </w:rPr>
        <w:t> </w:t>
      </w:r>
      <w:r>
        <w:rPr>
          <w:sz w:val="18"/>
        </w:rPr>
        <w:t>from</w:t>
      </w:r>
      <w:r>
        <w:rPr>
          <w:spacing w:val="-5"/>
          <w:sz w:val="18"/>
        </w:rPr>
        <w:t> </w:t>
      </w:r>
      <w:r>
        <w:rPr>
          <w:sz w:val="18"/>
        </w:rPr>
        <w:t>the</w:t>
      </w:r>
      <w:r>
        <w:rPr>
          <w:spacing w:val="-6"/>
          <w:sz w:val="18"/>
        </w:rPr>
        <w:t> </w:t>
      </w:r>
      <w:r>
        <w:rPr>
          <w:sz w:val="18"/>
        </w:rPr>
        <w:t>Department</w:t>
      </w:r>
      <w:r>
        <w:rPr>
          <w:spacing w:val="-5"/>
          <w:sz w:val="18"/>
        </w:rPr>
        <w:t> </w:t>
      </w:r>
      <w:r>
        <w:rPr>
          <w:sz w:val="18"/>
        </w:rPr>
        <w:t>for</w:t>
      </w:r>
      <w:r>
        <w:rPr>
          <w:spacing w:val="-6"/>
          <w:sz w:val="18"/>
        </w:rPr>
        <w:t> </w:t>
      </w:r>
      <w:r>
        <w:rPr>
          <w:sz w:val="18"/>
        </w:rPr>
        <w:t>Agriculture,</w:t>
      </w:r>
      <w:r>
        <w:rPr>
          <w:spacing w:val="-5"/>
          <w:sz w:val="18"/>
        </w:rPr>
        <w:t> </w:t>
      </w:r>
      <w:r>
        <w:rPr>
          <w:sz w:val="18"/>
        </w:rPr>
        <w:t>Environment,</w:t>
      </w:r>
      <w:r>
        <w:rPr>
          <w:spacing w:val="-5"/>
          <w:sz w:val="18"/>
        </w:rPr>
        <w:t> </w:t>
      </w:r>
      <w:r>
        <w:rPr>
          <w:sz w:val="18"/>
        </w:rPr>
        <w:t>and</w:t>
      </w:r>
      <w:r>
        <w:rPr>
          <w:spacing w:val="-7"/>
          <w:sz w:val="18"/>
        </w:rPr>
        <w:t> </w:t>
      </w:r>
      <w:r>
        <w:rPr>
          <w:sz w:val="18"/>
        </w:rPr>
        <w:t>Rural</w:t>
      </w:r>
      <w:r>
        <w:rPr>
          <w:spacing w:val="-6"/>
          <w:sz w:val="18"/>
        </w:rPr>
        <w:t> </w:t>
      </w:r>
      <w:r>
        <w:rPr>
          <w:sz w:val="18"/>
        </w:rPr>
        <w:t>Affairs,</w:t>
      </w:r>
      <w:r>
        <w:rPr>
          <w:spacing w:val="-5"/>
          <w:sz w:val="18"/>
        </w:rPr>
        <w:t> </w:t>
      </w:r>
      <w:r>
        <w:rPr>
          <w:sz w:val="18"/>
        </w:rPr>
        <w:t>25</w:t>
      </w:r>
      <w:r>
        <w:rPr>
          <w:spacing w:val="-6"/>
          <w:sz w:val="18"/>
        </w:rPr>
        <w:t> </w:t>
      </w:r>
      <w:r>
        <w:rPr>
          <w:sz w:val="18"/>
        </w:rPr>
        <w:t>March</w:t>
      </w:r>
      <w:r>
        <w:rPr>
          <w:spacing w:val="-6"/>
          <w:sz w:val="18"/>
        </w:rPr>
        <w:t> </w:t>
      </w:r>
      <w:r>
        <w:rPr>
          <w:spacing w:val="-2"/>
          <w:sz w:val="18"/>
        </w:rPr>
        <w:t>2024.</w:t>
      </w:r>
    </w:p>
    <w:p>
      <w:pPr>
        <w:pStyle w:val="ListParagraph"/>
        <w:numPr>
          <w:ilvl w:val="0"/>
          <w:numId w:val="11"/>
        </w:numPr>
        <w:tabs>
          <w:tab w:pos="1853" w:val="left" w:leader="none"/>
        </w:tabs>
        <w:spacing w:line="235" w:lineRule="auto" w:before="2" w:after="0"/>
        <w:ind w:left="1853" w:right="1175" w:hanging="720"/>
        <w:jc w:val="left"/>
        <w:rPr>
          <w:sz w:val="18"/>
        </w:rPr>
      </w:pPr>
      <w:r>
        <w:rPr>
          <w:sz w:val="18"/>
        </w:rPr>
        <w:t>CRPD/C/GBR/CO/1,</w:t>
      </w:r>
      <w:r>
        <w:rPr>
          <w:spacing w:val="-4"/>
          <w:sz w:val="18"/>
        </w:rPr>
        <w:t> </w:t>
      </w:r>
      <w:r>
        <w:rPr>
          <w:sz w:val="18"/>
        </w:rPr>
        <w:t>‘UN</w:t>
      </w:r>
      <w:r>
        <w:rPr>
          <w:spacing w:val="-4"/>
          <w:sz w:val="18"/>
        </w:rPr>
        <w:t> </w:t>
      </w:r>
      <w:r>
        <w:rPr>
          <w:sz w:val="18"/>
        </w:rPr>
        <w:t>CRPD</w:t>
      </w:r>
      <w:r>
        <w:rPr>
          <w:spacing w:val="-5"/>
          <w:sz w:val="18"/>
        </w:rPr>
        <w:t> </w:t>
      </w:r>
      <w:r>
        <w:rPr>
          <w:sz w:val="18"/>
        </w:rPr>
        <w:t>Committee</w:t>
      </w:r>
      <w:r>
        <w:rPr>
          <w:spacing w:val="-4"/>
          <w:sz w:val="18"/>
        </w:rPr>
        <w:t> </w:t>
      </w:r>
      <w:r>
        <w:rPr>
          <w:sz w:val="18"/>
        </w:rPr>
        <w:t>Concluding</w:t>
      </w:r>
      <w:r>
        <w:rPr>
          <w:spacing w:val="-4"/>
          <w:sz w:val="18"/>
        </w:rPr>
        <w:t> </w:t>
      </w:r>
      <w:r>
        <w:rPr>
          <w:sz w:val="18"/>
        </w:rPr>
        <w:t>Observations</w:t>
      </w:r>
      <w:r>
        <w:rPr>
          <w:spacing w:val="-5"/>
          <w:sz w:val="18"/>
        </w:rPr>
        <w:t> </w:t>
      </w:r>
      <w:r>
        <w:rPr>
          <w:sz w:val="18"/>
        </w:rPr>
        <w:t>on</w:t>
      </w:r>
      <w:r>
        <w:rPr>
          <w:spacing w:val="-5"/>
          <w:sz w:val="18"/>
        </w:rPr>
        <w:t> </w:t>
      </w:r>
      <w:r>
        <w:rPr>
          <w:sz w:val="18"/>
        </w:rPr>
        <w:t>the</w:t>
      </w:r>
      <w:r>
        <w:rPr>
          <w:spacing w:val="-4"/>
          <w:sz w:val="18"/>
        </w:rPr>
        <w:t> </w:t>
      </w:r>
      <w:r>
        <w:rPr>
          <w:sz w:val="18"/>
        </w:rPr>
        <w:t>Initial</w:t>
      </w:r>
      <w:r>
        <w:rPr>
          <w:spacing w:val="-5"/>
          <w:sz w:val="18"/>
        </w:rPr>
        <w:t> </w:t>
      </w:r>
      <w:r>
        <w:rPr>
          <w:sz w:val="18"/>
        </w:rPr>
        <w:t>Report</w:t>
      </w:r>
      <w:r>
        <w:rPr>
          <w:spacing w:val="-4"/>
          <w:sz w:val="18"/>
        </w:rPr>
        <w:t> </w:t>
      </w:r>
      <w:r>
        <w:rPr>
          <w:sz w:val="18"/>
        </w:rPr>
        <w:t>of</w:t>
      </w:r>
      <w:r>
        <w:rPr>
          <w:spacing w:val="-5"/>
          <w:sz w:val="18"/>
        </w:rPr>
        <w:t> </w:t>
      </w:r>
      <w:r>
        <w:rPr>
          <w:sz w:val="18"/>
        </w:rPr>
        <w:t>the</w:t>
      </w:r>
      <w:r>
        <w:rPr>
          <w:spacing w:val="-4"/>
          <w:sz w:val="18"/>
        </w:rPr>
        <w:t> </w:t>
      </w:r>
      <w:r>
        <w:rPr>
          <w:sz w:val="18"/>
        </w:rPr>
        <w:t>UK</w:t>
      </w:r>
      <w:r>
        <w:rPr>
          <w:spacing w:val="-4"/>
          <w:sz w:val="18"/>
        </w:rPr>
        <w:t> </w:t>
      </w:r>
      <w:r>
        <w:rPr>
          <w:sz w:val="18"/>
        </w:rPr>
        <w:t>of</w:t>
      </w:r>
      <w:r>
        <w:rPr>
          <w:spacing w:val="-5"/>
          <w:sz w:val="18"/>
        </w:rPr>
        <w:t> </w:t>
      </w:r>
      <w:r>
        <w:rPr>
          <w:sz w:val="18"/>
        </w:rPr>
        <w:t>Great</w:t>
      </w:r>
      <w:r>
        <w:rPr>
          <w:spacing w:val="-4"/>
          <w:sz w:val="18"/>
        </w:rPr>
        <w:t> </w:t>
      </w:r>
      <w:r>
        <w:rPr>
          <w:sz w:val="18"/>
        </w:rPr>
        <w:t>Britain</w:t>
      </w:r>
      <w:r>
        <w:rPr>
          <w:spacing w:val="-5"/>
          <w:sz w:val="18"/>
        </w:rPr>
        <w:t> </w:t>
      </w:r>
      <w:r>
        <w:rPr>
          <w:sz w:val="18"/>
        </w:rPr>
        <w:t>and</w:t>
      </w:r>
      <w:r>
        <w:rPr>
          <w:spacing w:val="-5"/>
          <w:sz w:val="18"/>
        </w:rPr>
        <w:t> </w:t>
      </w:r>
      <w:r>
        <w:rPr>
          <w:sz w:val="18"/>
        </w:rPr>
        <w:t>NI’, 3 October 2017, at para 33.</w:t>
      </w:r>
    </w:p>
    <w:p>
      <w:pPr>
        <w:pStyle w:val="ListParagraph"/>
        <w:numPr>
          <w:ilvl w:val="0"/>
          <w:numId w:val="11"/>
        </w:numPr>
        <w:tabs>
          <w:tab w:pos="1853" w:val="left" w:leader="none"/>
        </w:tabs>
        <w:spacing w:line="235" w:lineRule="auto" w:before="1" w:after="0"/>
        <w:ind w:left="1853" w:right="1303" w:hanging="720"/>
        <w:jc w:val="left"/>
        <w:rPr>
          <w:sz w:val="18"/>
        </w:rPr>
      </w:pPr>
      <w:r>
        <w:rPr>
          <w:sz w:val="18"/>
        </w:rPr>
        <w:t>Directive</w:t>
      </w:r>
      <w:r>
        <w:rPr>
          <w:spacing w:val="-4"/>
          <w:sz w:val="18"/>
        </w:rPr>
        <w:t> </w:t>
      </w:r>
      <w:r>
        <w:rPr>
          <w:sz w:val="18"/>
        </w:rPr>
        <w:t>2012/29/EU,</w:t>
      </w:r>
      <w:r>
        <w:rPr>
          <w:spacing w:val="-4"/>
          <w:sz w:val="18"/>
        </w:rPr>
        <w:t> </w:t>
      </w:r>
      <w:r>
        <w:rPr>
          <w:sz w:val="18"/>
        </w:rPr>
        <w:t>‘EU</w:t>
      </w:r>
      <w:r>
        <w:rPr>
          <w:spacing w:val="-4"/>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Directive</w:t>
      </w:r>
      <w:r>
        <w:rPr>
          <w:spacing w:val="-4"/>
          <w:sz w:val="18"/>
        </w:rPr>
        <w:t> </w:t>
      </w:r>
      <w:r>
        <w:rPr>
          <w:sz w:val="18"/>
        </w:rPr>
        <w:t>Establishing</w:t>
      </w:r>
      <w:r>
        <w:rPr>
          <w:spacing w:val="-4"/>
          <w:sz w:val="18"/>
        </w:rPr>
        <w:t> </w:t>
      </w:r>
      <w:r>
        <w:rPr>
          <w:sz w:val="18"/>
        </w:rPr>
        <w:t>Minimum</w:t>
      </w:r>
      <w:r>
        <w:rPr>
          <w:spacing w:val="-4"/>
          <w:sz w:val="18"/>
        </w:rPr>
        <w:t> </w:t>
      </w:r>
      <w:r>
        <w:rPr>
          <w:sz w:val="18"/>
        </w:rPr>
        <w:t>Standards</w:t>
      </w:r>
      <w:r>
        <w:rPr>
          <w:spacing w:val="-5"/>
          <w:sz w:val="18"/>
        </w:rPr>
        <w:t> </w:t>
      </w:r>
      <w:r>
        <w:rPr>
          <w:sz w:val="18"/>
        </w:rPr>
        <w:t>on</w:t>
      </w:r>
      <w:r>
        <w:rPr>
          <w:spacing w:val="-5"/>
          <w:sz w:val="18"/>
        </w:rPr>
        <w:t> </w:t>
      </w:r>
      <w:r>
        <w:rPr>
          <w:sz w:val="18"/>
        </w:rPr>
        <w:t>the</w:t>
      </w:r>
      <w:r>
        <w:rPr>
          <w:spacing w:val="-4"/>
          <w:sz w:val="18"/>
        </w:rPr>
        <w:t> </w:t>
      </w:r>
      <w:r>
        <w:rPr>
          <w:sz w:val="18"/>
        </w:rPr>
        <w:t>Rights,</w:t>
      </w:r>
      <w:r>
        <w:rPr>
          <w:spacing w:val="-4"/>
          <w:sz w:val="18"/>
        </w:rPr>
        <w:t> </w:t>
      </w:r>
      <w:r>
        <w:rPr>
          <w:sz w:val="18"/>
        </w:rPr>
        <w:t>Support</w:t>
      </w:r>
      <w:r>
        <w:rPr>
          <w:spacing w:val="-4"/>
          <w:sz w:val="18"/>
        </w:rPr>
        <w:t> </w:t>
      </w:r>
      <w:r>
        <w:rPr>
          <w:sz w:val="18"/>
        </w:rPr>
        <w:t>and Protection of Victims of Crime’, 25 October 2012.</w:t>
      </w:r>
    </w:p>
    <w:p>
      <w:pPr>
        <w:pStyle w:val="ListParagraph"/>
        <w:numPr>
          <w:ilvl w:val="0"/>
          <w:numId w:val="11"/>
        </w:numPr>
        <w:tabs>
          <w:tab w:pos="1853" w:val="left" w:leader="none"/>
        </w:tabs>
        <w:spacing w:line="235" w:lineRule="auto" w:before="2" w:after="0"/>
        <w:ind w:left="1853" w:right="1281" w:hanging="720"/>
        <w:jc w:val="left"/>
        <w:rPr>
          <w:sz w:val="18"/>
        </w:rPr>
      </w:pPr>
      <w:r>
        <w:rPr>
          <w:sz w:val="18"/>
        </w:rPr>
        <w:t>Recital 14, Directive 2010/64/EU, ‘EU Parliament and Council Directive on the Right to Interpretation and Translation in Criminal</w:t>
      </w:r>
      <w:r>
        <w:rPr>
          <w:spacing w:val="-4"/>
          <w:sz w:val="18"/>
        </w:rPr>
        <w:t> </w:t>
      </w:r>
      <w:r>
        <w:rPr>
          <w:sz w:val="18"/>
        </w:rPr>
        <w:t>Proceedings’,</w:t>
      </w:r>
      <w:r>
        <w:rPr>
          <w:spacing w:val="-3"/>
          <w:sz w:val="18"/>
        </w:rPr>
        <w:t> </w:t>
      </w:r>
      <w:r>
        <w:rPr>
          <w:sz w:val="18"/>
        </w:rPr>
        <w:t>20</w:t>
      </w:r>
      <w:r>
        <w:rPr>
          <w:spacing w:val="-3"/>
          <w:sz w:val="18"/>
        </w:rPr>
        <w:t> </w:t>
      </w:r>
      <w:r>
        <w:rPr>
          <w:sz w:val="18"/>
        </w:rPr>
        <w:t>October</w:t>
      </w:r>
      <w:r>
        <w:rPr>
          <w:spacing w:val="-3"/>
          <w:sz w:val="18"/>
        </w:rPr>
        <w:t> </w:t>
      </w:r>
      <w:r>
        <w:rPr>
          <w:sz w:val="18"/>
        </w:rPr>
        <w:t>2010.</w:t>
      </w:r>
      <w:r>
        <w:rPr>
          <w:spacing w:val="-4"/>
          <w:sz w:val="18"/>
        </w:rPr>
        <w:t> </w:t>
      </w:r>
      <w:r>
        <w:rPr>
          <w:sz w:val="18"/>
        </w:rPr>
        <w:t>Article</w:t>
      </w:r>
      <w:r>
        <w:rPr>
          <w:spacing w:val="-3"/>
          <w:sz w:val="18"/>
        </w:rPr>
        <w:t> </w:t>
      </w:r>
      <w:r>
        <w:rPr>
          <w:sz w:val="18"/>
        </w:rPr>
        <w:t>6(3)(e)</w:t>
      </w:r>
      <w:r>
        <w:rPr>
          <w:spacing w:val="-4"/>
          <w:sz w:val="18"/>
        </w:rPr>
        <w:t> </w:t>
      </w:r>
      <w:r>
        <w:rPr>
          <w:sz w:val="18"/>
        </w:rPr>
        <w:t>of</w:t>
      </w:r>
      <w:r>
        <w:rPr>
          <w:spacing w:val="-4"/>
          <w:sz w:val="18"/>
        </w:rPr>
        <w:t> </w:t>
      </w:r>
      <w:r>
        <w:rPr>
          <w:sz w:val="18"/>
        </w:rPr>
        <w:t>the</w:t>
      </w:r>
      <w:r>
        <w:rPr>
          <w:spacing w:val="-3"/>
          <w:sz w:val="18"/>
        </w:rPr>
        <w:t> </w:t>
      </w:r>
      <w:r>
        <w:rPr>
          <w:sz w:val="18"/>
        </w:rPr>
        <w:t>ECHR</w:t>
      </w:r>
      <w:r>
        <w:rPr>
          <w:spacing w:val="-3"/>
          <w:sz w:val="18"/>
        </w:rPr>
        <w:t> </w:t>
      </w:r>
      <w:r>
        <w:rPr>
          <w:sz w:val="18"/>
        </w:rPr>
        <w:t>states</w:t>
      </w:r>
      <w:r>
        <w:rPr>
          <w:spacing w:val="-4"/>
          <w:sz w:val="18"/>
        </w:rPr>
        <w:t> </w:t>
      </w:r>
      <w:r>
        <w:rPr>
          <w:sz w:val="18"/>
        </w:rPr>
        <w:t>that</w:t>
      </w:r>
      <w:r>
        <w:rPr>
          <w:spacing w:val="-3"/>
          <w:sz w:val="18"/>
        </w:rPr>
        <w:t> </w:t>
      </w:r>
      <w:r>
        <w:rPr>
          <w:sz w:val="18"/>
        </w:rPr>
        <w:t>everyone</w:t>
      </w:r>
      <w:r>
        <w:rPr>
          <w:spacing w:val="-3"/>
          <w:sz w:val="18"/>
        </w:rPr>
        <w:t> </w:t>
      </w:r>
      <w:r>
        <w:rPr>
          <w:sz w:val="18"/>
        </w:rPr>
        <w:t>charged</w:t>
      </w:r>
      <w:r>
        <w:rPr>
          <w:spacing w:val="-4"/>
          <w:sz w:val="18"/>
        </w:rPr>
        <w:t> </w:t>
      </w:r>
      <w:r>
        <w:rPr>
          <w:sz w:val="18"/>
        </w:rPr>
        <w:t>with</w:t>
      </w:r>
      <w:r>
        <w:rPr>
          <w:spacing w:val="-4"/>
          <w:sz w:val="18"/>
        </w:rPr>
        <w:t> </w:t>
      </w:r>
      <w:r>
        <w:rPr>
          <w:sz w:val="18"/>
        </w:rPr>
        <w:t>a</w:t>
      </w:r>
      <w:r>
        <w:rPr>
          <w:spacing w:val="-4"/>
          <w:sz w:val="18"/>
        </w:rPr>
        <w:t> </w:t>
      </w:r>
      <w:r>
        <w:rPr>
          <w:sz w:val="18"/>
        </w:rPr>
        <w:t>criminal</w:t>
      </w:r>
      <w:r>
        <w:rPr>
          <w:spacing w:val="-4"/>
          <w:sz w:val="18"/>
        </w:rPr>
        <w:t> </w:t>
      </w:r>
      <w:r>
        <w:rPr>
          <w:sz w:val="18"/>
        </w:rPr>
        <w:t>offence has</w:t>
      </w:r>
      <w:r>
        <w:rPr>
          <w:spacing w:val="-5"/>
          <w:sz w:val="18"/>
        </w:rPr>
        <w:t> </w:t>
      </w:r>
      <w:r>
        <w:rPr>
          <w:sz w:val="18"/>
        </w:rPr>
        <w:t>the</w:t>
      </w:r>
      <w:r>
        <w:rPr>
          <w:spacing w:val="-4"/>
          <w:sz w:val="18"/>
        </w:rPr>
        <w:t> </w:t>
      </w:r>
      <w:r>
        <w:rPr>
          <w:sz w:val="18"/>
        </w:rPr>
        <w:t>right</w:t>
      </w:r>
      <w:r>
        <w:rPr>
          <w:spacing w:val="-4"/>
          <w:sz w:val="18"/>
        </w:rPr>
        <w:t> </w:t>
      </w:r>
      <w:r>
        <w:rPr>
          <w:sz w:val="18"/>
        </w:rPr>
        <w:t>“to</w:t>
      </w:r>
      <w:r>
        <w:rPr>
          <w:spacing w:val="-5"/>
          <w:sz w:val="18"/>
        </w:rPr>
        <w:t> </w:t>
      </w:r>
      <w:r>
        <w:rPr>
          <w:sz w:val="18"/>
        </w:rPr>
        <w:t>have</w:t>
      </w:r>
      <w:r>
        <w:rPr>
          <w:spacing w:val="-4"/>
          <w:sz w:val="18"/>
        </w:rPr>
        <w:t> </w:t>
      </w:r>
      <w:r>
        <w:rPr>
          <w:sz w:val="18"/>
        </w:rPr>
        <w:t>the</w:t>
      </w:r>
      <w:r>
        <w:rPr>
          <w:spacing w:val="-4"/>
          <w:sz w:val="18"/>
        </w:rPr>
        <w:t> </w:t>
      </w:r>
      <w:r>
        <w:rPr>
          <w:sz w:val="18"/>
        </w:rPr>
        <w:t>free</w:t>
      </w:r>
      <w:r>
        <w:rPr>
          <w:spacing w:val="-4"/>
          <w:sz w:val="18"/>
        </w:rPr>
        <w:t> </w:t>
      </w:r>
      <w:r>
        <w:rPr>
          <w:sz w:val="18"/>
        </w:rPr>
        <w:t>assistance</w:t>
      </w:r>
      <w:r>
        <w:rPr>
          <w:spacing w:val="-4"/>
          <w:sz w:val="18"/>
        </w:rPr>
        <w:t> </w:t>
      </w:r>
      <w:r>
        <w:rPr>
          <w:sz w:val="18"/>
        </w:rPr>
        <w:t>of</w:t>
      </w:r>
      <w:r>
        <w:rPr>
          <w:spacing w:val="-5"/>
          <w:sz w:val="18"/>
        </w:rPr>
        <w:t> </w:t>
      </w:r>
      <w:r>
        <w:rPr>
          <w:sz w:val="18"/>
        </w:rPr>
        <w:t>an</w:t>
      </w:r>
      <w:r>
        <w:rPr>
          <w:spacing w:val="-5"/>
          <w:sz w:val="18"/>
        </w:rPr>
        <w:t> </w:t>
      </w:r>
      <w:r>
        <w:rPr>
          <w:sz w:val="18"/>
        </w:rPr>
        <w:t>interpreter</w:t>
      </w:r>
      <w:r>
        <w:rPr>
          <w:spacing w:val="-4"/>
          <w:sz w:val="18"/>
        </w:rPr>
        <w:t> </w:t>
      </w:r>
      <w:r>
        <w:rPr>
          <w:sz w:val="18"/>
        </w:rPr>
        <w:t>if</w:t>
      </w:r>
      <w:r>
        <w:rPr>
          <w:spacing w:val="-5"/>
          <w:sz w:val="18"/>
        </w:rPr>
        <w:t> </w:t>
      </w:r>
      <w:r>
        <w:rPr>
          <w:sz w:val="18"/>
        </w:rPr>
        <w:t>he</w:t>
      </w:r>
      <w:r>
        <w:rPr>
          <w:spacing w:val="-4"/>
          <w:sz w:val="18"/>
        </w:rPr>
        <w:t> </w:t>
      </w:r>
      <w:r>
        <w:rPr>
          <w:sz w:val="18"/>
        </w:rPr>
        <w:t>cannot</w:t>
      </w:r>
      <w:r>
        <w:rPr>
          <w:spacing w:val="-4"/>
          <w:sz w:val="18"/>
        </w:rPr>
        <w:t> </w:t>
      </w:r>
      <w:r>
        <w:rPr>
          <w:sz w:val="18"/>
        </w:rPr>
        <w:t>understand</w:t>
      </w:r>
      <w:r>
        <w:rPr>
          <w:spacing w:val="-5"/>
          <w:sz w:val="18"/>
        </w:rPr>
        <w:t> </w:t>
      </w:r>
      <w:r>
        <w:rPr>
          <w:sz w:val="18"/>
        </w:rPr>
        <w:t>or</w:t>
      </w:r>
      <w:r>
        <w:rPr>
          <w:spacing w:val="-4"/>
          <w:sz w:val="18"/>
        </w:rPr>
        <w:t> </w:t>
      </w:r>
      <w:r>
        <w:rPr>
          <w:sz w:val="18"/>
        </w:rPr>
        <w:t>speak</w:t>
      </w:r>
      <w:r>
        <w:rPr>
          <w:spacing w:val="-4"/>
          <w:sz w:val="18"/>
        </w:rPr>
        <w:t> </w:t>
      </w:r>
      <w:r>
        <w:rPr>
          <w:sz w:val="18"/>
        </w:rPr>
        <w:t>the</w:t>
      </w:r>
      <w:r>
        <w:rPr>
          <w:spacing w:val="-4"/>
          <w:sz w:val="18"/>
        </w:rPr>
        <w:t> </w:t>
      </w:r>
      <w:r>
        <w:rPr>
          <w:sz w:val="18"/>
        </w:rPr>
        <w:t>language</w:t>
      </w:r>
      <w:r>
        <w:rPr>
          <w:spacing w:val="-4"/>
          <w:sz w:val="18"/>
        </w:rPr>
        <w:t> </w:t>
      </w:r>
      <w:r>
        <w:rPr>
          <w:sz w:val="18"/>
        </w:rPr>
        <w:t>used</w:t>
      </w:r>
      <w:r>
        <w:rPr>
          <w:spacing w:val="-5"/>
          <w:sz w:val="18"/>
        </w:rPr>
        <w:t> </w:t>
      </w:r>
      <w:r>
        <w:rPr>
          <w:sz w:val="18"/>
        </w:rPr>
        <w:t>in</w:t>
      </w:r>
      <w:r>
        <w:rPr>
          <w:spacing w:val="-5"/>
          <w:sz w:val="18"/>
        </w:rPr>
        <w:t> </w:t>
      </w:r>
      <w:r>
        <w:rPr>
          <w:sz w:val="18"/>
        </w:rPr>
        <w:t>court”.</w:t>
      </w:r>
    </w:p>
    <w:p>
      <w:pPr>
        <w:spacing w:after="0" w:line="235" w:lineRule="auto"/>
        <w:jc w:val="left"/>
        <w:rPr>
          <w:sz w:val="18"/>
        </w:rPr>
        <w:sectPr>
          <w:headerReference w:type="even" r:id="rId190"/>
          <w:headerReference w:type="default" r:id="rId191"/>
          <w:footerReference w:type="even" r:id="rId192"/>
          <w:footerReference w:type="default" r:id="rId193"/>
          <w:pgSz w:w="11910" w:h="16840"/>
          <w:pgMar w:header="496" w:footer="367" w:top="1220" w:bottom="560" w:left="0" w:right="0"/>
          <w:pgNumType w:start="122"/>
        </w:sectPr>
      </w:pPr>
    </w:p>
    <w:p>
      <w:pPr>
        <w:pStyle w:val="BodyText"/>
        <w:spacing w:before="182"/>
      </w:pPr>
    </w:p>
    <w:p>
      <w:pPr>
        <w:pStyle w:val="Heading6"/>
        <w:rPr>
          <w:i/>
        </w:rPr>
      </w:pPr>
      <w:r>
        <w:rPr>
          <w:i/>
          <w:color w:val="67287F"/>
        </w:rPr>
        <w:t>Live</w:t>
      </w:r>
      <w:r>
        <w:rPr>
          <w:i/>
          <w:color w:val="67287F"/>
          <w:spacing w:val="-4"/>
        </w:rPr>
        <w:t> </w:t>
      </w:r>
      <w:r>
        <w:rPr>
          <w:i/>
          <w:color w:val="67287F"/>
          <w:spacing w:val="-2"/>
        </w:rPr>
        <w:t>Links</w:t>
      </w:r>
    </w:p>
    <w:p>
      <w:pPr>
        <w:pStyle w:val="ListParagraph"/>
        <w:numPr>
          <w:ilvl w:val="1"/>
          <w:numId w:val="7"/>
        </w:numPr>
        <w:tabs>
          <w:tab w:pos="1853" w:val="left" w:leader="none"/>
        </w:tabs>
        <w:spacing w:line="225" w:lineRule="auto" w:before="5" w:after="0"/>
        <w:ind w:left="1853" w:right="1307" w:hanging="720"/>
        <w:jc w:val="left"/>
        <w:rPr>
          <w:sz w:val="28"/>
        </w:rPr>
      </w:pPr>
      <w:r>
        <w:rPr>
          <w:sz w:val="28"/>
        </w:rPr>
        <w:t>In 2020 and 2022, the Department of Justice consulted on the use of new technologies</w:t>
      </w:r>
      <w:r>
        <w:rPr>
          <w:spacing w:val="-8"/>
          <w:sz w:val="28"/>
        </w:rPr>
        <w:t> </w:t>
      </w:r>
      <w:r>
        <w:rPr>
          <w:sz w:val="28"/>
        </w:rPr>
        <w:t>by</w:t>
      </w:r>
      <w:r>
        <w:rPr>
          <w:spacing w:val="-7"/>
          <w:sz w:val="28"/>
        </w:rPr>
        <w:t> </w:t>
      </w:r>
      <w:r>
        <w:rPr>
          <w:sz w:val="28"/>
        </w:rPr>
        <w:t>the</w:t>
      </w:r>
      <w:r>
        <w:rPr>
          <w:spacing w:val="-7"/>
          <w:sz w:val="28"/>
        </w:rPr>
        <w:t> </w:t>
      </w:r>
      <w:r>
        <w:rPr>
          <w:sz w:val="28"/>
        </w:rPr>
        <w:t>Police</w:t>
      </w:r>
      <w:r>
        <w:rPr>
          <w:spacing w:val="-7"/>
          <w:sz w:val="28"/>
        </w:rPr>
        <w:t> </w:t>
      </w:r>
      <w:r>
        <w:rPr>
          <w:sz w:val="28"/>
        </w:rPr>
        <w:t>Service</w:t>
      </w:r>
      <w:r>
        <w:rPr>
          <w:spacing w:val="-7"/>
          <w:sz w:val="28"/>
        </w:rPr>
        <w:t> </w:t>
      </w:r>
      <w:r>
        <w:rPr>
          <w:sz w:val="28"/>
        </w:rPr>
        <w:t>of</w:t>
      </w:r>
      <w:r>
        <w:rPr>
          <w:spacing w:val="-8"/>
          <w:sz w:val="28"/>
        </w:rPr>
        <w:t> </w:t>
      </w:r>
      <w:r>
        <w:rPr>
          <w:sz w:val="28"/>
        </w:rPr>
        <w:t>NI</w:t>
      </w:r>
      <w:r>
        <w:rPr>
          <w:spacing w:val="-7"/>
          <w:sz w:val="28"/>
        </w:rPr>
        <w:t> </w:t>
      </w:r>
      <w:r>
        <w:rPr>
          <w:sz w:val="28"/>
        </w:rPr>
        <w:t>and</w:t>
      </w:r>
      <w:r>
        <w:rPr>
          <w:spacing w:val="-8"/>
          <w:sz w:val="28"/>
        </w:rPr>
        <w:t> </w:t>
      </w:r>
      <w:r>
        <w:rPr>
          <w:sz w:val="28"/>
        </w:rPr>
        <w:t>NI</w:t>
      </w:r>
      <w:r>
        <w:rPr>
          <w:spacing w:val="-7"/>
          <w:sz w:val="28"/>
        </w:rPr>
        <w:t> </w:t>
      </w:r>
      <w:r>
        <w:rPr>
          <w:sz w:val="28"/>
        </w:rPr>
        <w:t>Court</w:t>
      </w:r>
      <w:r>
        <w:rPr>
          <w:spacing w:val="-7"/>
          <w:sz w:val="28"/>
        </w:rPr>
        <w:t> </w:t>
      </w:r>
      <w:r>
        <w:rPr>
          <w:sz w:val="28"/>
        </w:rPr>
        <w:t>and</w:t>
      </w:r>
      <w:r>
        <w:rPr>
          <w:spacing w:val="-8"/>
          <w:sz w:val="28"/>
        </w:rPr>
        <w:t> </w:t>
      </w:r>
      <w:r>
        <w:rPr>
          <w:sz w:val="28"/>
        </w:rPr>
        <w:t>Tribunals</w:t>
      </w:r>
      <w:r>
        <w:rPr>
          <w:spacing w:val="-8"/>
          <w:sz w:val="28"/>
        </w:rPr>
        <w:t> </w:t>
      </w:r>
      <w:r>
        <w:rPr>
          <w:sz w:val="28"/>
        </w:rPr>
        <w:t>Service.</w:t>
      </w:r>
      <w:r>
        <w:rPr>
          <w:sz w:val="28"/>
          <w:vertAlign w:val="superscript"/>
        </w:rPr>
        <w:t>684</w:t>
      </w:r>
      <w:r>
        <w:rPr>
          <w:sz w:val="28"/>
          <w:vertAlign w:val="baseline"/>
        </w:rPr>
        <w:t> In response, the NIHRC highlighted that the adoption of new technologies and ways of working should not inadvertently hinder access to justice for individuals with specific needs, including children, persons with disabilities and unrepresented litigants.</w:t>
      </w:r>
      <w:r>
        <w:rPr>
          <w:sz w:val="28"/>
          <w:vertAlign w:val="superscript"/>
        </w:rPr>
        <w:t>685</w:t>
      </w:r>
      <w:r>
        <w:rPr>
          <w:sz w:val="28"/>
          <w:vertAlign w:val="baseline"/>
        </w:rPr>
        <w:t> The NIHRC also highlighted the relevance</w:t>
      </w:r>
    </w:p>
    <w:p>
      <w:pPr>
        <w:pStyle w:val="BodyText"/>
        <w:spacing w:line="225" w:lineRule="auto"/>
        <w:ind w:left="1853" w:right="1171"/>
      </w:pPr>
      <w:r>
        <w:rPr/>
        <w:t>of</w:t>
      </w:r>
      <w:r>
        <w:rPr>
          <w:spacing w:val="-3"/>
        </w:rPr>
        <w:t> </w:t>
      </w:r>
      <w:r>
        <w:rPr/>
        <w:t>Windsor</w:t>
      </w:r>
      <w:r>
        <w:rPr>
          <w:spacing w:val="-2"/>
        </w:rPr>
        <w:t> </w:t>
      </w:r>
      <w:r>
        <w:rPr/>
        <w:t>Framework</w:t>
      </w:r>
      <w:r>
        <w:rPr>
          <w:spacing w:val="-2"/>
        </w:rPr>
        <w:t> </w:t>
      </w:r>
      <w:r>
        <w:rPr/>
        <w:t>Article</w:t>
      </w:r>
      <w:r>
        <w:rPr>
          <w:spacing w:val="-2"/>
        </w:rPr>
        <w:t> </w:t>
      </w:r>
      <w:r>
        <w:rPr/>
        <w:t>2</w:t>
      </w:r>
      <w:r>
        <w:rPr>
          <w:spacing w:val="-2"/>
        </w:rPr>
        <w:t> </w:t>
      </w:r>
      <w:r>
        <w:rPr/>
        <w:t>and</w:t>
      </w:r>
      <w:r>
        <w:rPr>
          <w:spacing w:val="-3"/>
        </w:rPr>
        <w:t> </w:t>
      </w:r>
      <w:r>
        <w:rPr/>
        <w:t>advised</w:t>
      </w:r>
      <w:r>
        <w:rPr>
          <w:spacing w:val="-3"/>
        </w:rPr>
        <w:t> </w:t>
      </w:r>
      <w:r>
        <w:rPr/>
        <w:t>the</w:t>
      </w:r>
      <w:r>
        <w:rPr>
          <w:spacing w:val="-2"/>
        </w:rPr>
        <w:t> </w:t>
      </w:r>
      <w:r>
        <w:rPr/>
        <w:t>Department</w:t>
      </w:r>
      <w:r>
        <w:rPr>
          <w:spacing w:val="-2"/>
        </w:rPr>
        <w:t> </w:t>
      </w:r>
      <w:r>
        <w:rPr/>
        <w:t>of</w:t>
      </w:r>
      <w:r>
        <w:rPr>
          <w:spacing w:val="-3"/>
        </w:rPr>
        <w:t> </w:t>
      </w:r>
      <w:r>
        <w:rPr/>
        <w:t>Justice</w:t>
      </w:r>
      <w:r>
        <w:rPr>
          <w:spacing w:val="-2"/>
        </w:rPr>
        <w:t> </w:t>
      </w:r>
      <w:r>
        <w:rPr/>
        <w:t>to carefully</w:t>
      </w:r>
      <w:r>
        <w:rPr>
          <w:spacing w:val="-8"/>
        </w:rPr>
        <w:t> </w:t>
      </w:r>
      <w:r>
        <w:rPr/>
        <w:t>consider</w:t>
      </w:r>
      <w:r>
        <w:rPr>
          <w:spacing w:val="-8"/>
        </w:rPr>
        <w:t> </w:t>
      </w:r>
      <w:r>
        <w:rPr/>
        <w:t>the</w:t>
      </w:r>
      <w:r>
        <w:rPr>
          <w:spacing w:val="-8"/>
        </w:rPr>
        <w:t> </w:t>
      </w:r>
      <w:r>
        <w:rPr/>
        <w:t>provisions</w:t>
      </w:r>
      <w:r>
        <w:rPr>
          <w:spacing w:val="-9"/>
        </w:rPr>
        <w:t> </w:t>
      </w:r>
      <w:r>
        <w:rPr/>
        <w:t>of</w:t>
      </w:r>
      <w:r>
        <w:rPr>
          <w:spacing w:val="-9"/>
        </w:rPr>
        <w:t> </w:t>
      </w:r>
      <w:r>
        <w:rPr/>
        <w:t>the</w:t>
      </w:r>
      <w:r>
        <w:rPr>
          <w:spacing w:val="-8"/>
        </w:rPr>
        <w:t> </w:t>
      </w:r>
      <w:r>
        <w:rPr/>
        <w:t>EU</w:t>
      </w:r>
      <w:r>
        <w:rPr>
          <w:spacing w:val="-8"/>
        </w:rPr>
        <w:t> </w:t>
      </w:r>
      <w:r>
        <w:rPr/>
        <w:t>Victims’</w:t>
      </w:r>
      <w:r>
        <w:rPr>
          <w:spacing w:val="-8"/>
        </w:rPr>
        <w:t> </w:t>
      </w:r>
      <w:r>
        <w:rPr/>
        <w:t>Directive</w:t>
      </w:r>
      <w:r>
        <w:rPr>
          <w:vertAlign w:val="superscript"/>
        </w:rPr>
        <w:t>686</w:t>
      </w:r>
      <w:r>
        <w:rPr>
          <w:spacing w:val="-9"/>
          <w:vertAlign w:val="baseline"/>
        </w:rPr>
        <w:t> </w:t>
      </w:r>
      <w:r>
        <w:rPr>
          <w:vertAlign w:val="baseline"/>
        </w:rPr>
        <w:t>and</w:t>
      </w:r>
      <w:r>
        <w:rPr>
          <w:spacing w:val="-9"/>
          <w:vertAlign w:val="baseline"/>
        </w:rPr>
        <w:t> </w:t>
      </w:r>
      <w:r>
        <w:rPr>
          <w:vertAlign w:val="baseline"/>
        </w:rPr>
        <w:t>the</w:t>
      </w:r>
      <w:r>
        <w:rPr>
          <w:spacing w:val="-8"/>
          <w:vertAlign w:val="baseline"/>
        </w:rPr>
        <w:t> </w:t>
      </w:r>
      <w:r>
        <w:rPr>
          <w:vertAlign w:val="baseline"/>
        </w:rPr>
        <w:t>EU Interpretation Directive</w:t>
      </w:r>
      <w:r>
        <w:rPr>
          <w:vertAlign w:val="superscript"/>
        </w:rPr>
        <w:t>687</w:t>
      </w:r>
      <w:r>
        <w:rPr>
          <w:vertAlign w:val="baseline"/>
        </w:rPr>
        <w:t> in respect of the person suspected or accused, victims with disabilities and people who do not speak English as a first </w:t>
      </w:r>
      <w:r>
        <w:rPr>
          <w:spacing w:val="-2"/>
          <w:vertAlign w:val="baseline"/>
        </w:rPr>
        <w:t>language.</w:t>
      </w:r>
      <w:r>
        <w:rPr>
          <w:spacing w:val="-2"/>
          <w:vertAlign w:val="superscript"/>
        </w:rPr>
        <w:t>688</w:t>
      </w:r>
    </w:p>
    <w:p>
      <w:pPr>
        <w:pStyle w:val="ListParagraph"/>
        <w:numPr>
          <w:ilvl w:val="1"/>
          <w:numId w:val="7"/>
        </w:numPr>
        <w:tabs>
          <w:tab w:pos="1853" w:val="left" w:leader="none"/>
        </w:tabs>
        <w:spacing w:line="225" w:lineRule="auto" w:before="306" w:after="0"/>
        <w:ind w:left="1853" w:right="1172" w:hanging="720"/>
        <w:jc w:val="left"/>
        <w:rPr>
          <w:sz w:val="28"/>
        </w:rPr>
      </w:pPr>
      <w:r>
        <w:rPr>
          <w:sz w:val="28"/>
        </w:rPr>
        <w:t>In September 2023, the Department of Justice introduced a Belfast Remote Evidence</w:t>
      </w:r>
      <w:r>
        <w:rPr>
          <w:spacing w:val="-7"/>
          <w:sz w:val="28"/>
        </w:rPr>
        <w:t> </w:t>
      </w:r>
      <w:r>
        <w:rPr>
          <w:sz w:val="28"/>
        </w:rPr>
        <w:t>Centre.</w:t>
      </w:r>
      <w:r>
        <w:rPr>
          <w:sz w:val="28"/>
          <w:vertAlign w:val="superscript"/>
        </w:rPr>
        <w:t>689</w:t>
      </w:r>
      <w:r>
        <w:rPr>
          <w:spacing w:val="-8"/>
          <w:sz w:val="28"/>
          <w:vertAlign w:val="baseline"/>
        </w:rPr>
        <w:t> </w:t>
      </w:r>
      <w:r>
        <w:rPr>
          <w:sz w:val="28"/>
          <w:vertAlign w:val="baseline"/>
        </w:rPr>
        <w:t>It</w:t>
      </w:r>
      <w:r>
        <w:rPr>
          <w:spacing w:val="-7"/>
          <w:sz w:val="28"/>
          <w:vertAlign w:val="baseline"/>
        </w:rPr>
        <w:t> </w:t>
      </w:r>
      <w:r>
        <w:rPr>
          <w:sz w:val="28"/>
          <w:vertAlign w:val="baseline"/>
        </w:rPr>
        <w:t>provides</w:t>
      </w:r>
      <w:r>
        <w:rPr>
          <w:spacing w:val="-8"/>
          <w:sz w:val="28"/>
          <w:vertAlign w:val="baseline"/>
        </w:rPr>
        <w:t> </w:t>
      </w:r>
      <w:r>
        <w:rPr>
          <w:sz w:val="28"/>
          <w:vertAlign w:val="baseline"/>
        </w:rPr>
        <w:t>a</w:t>
      </w:r>
      <w:r>
        <w:rPr>
          <w:spacing w:val="-8"/>
          <w:sz w:val="28"/>
          <w:vertAlign w:val="baseline"/>
        </w:rPr>
        <w:t> </w:t>
      </w:r>
      <w:r>
        <w:rPr>
          <w:sz w:val="28"/>
          <w:vertAlign w:val="baseline"/>
        </w:rPr>
        <w:t>space</w:t>
      </w:r>
      <w:r>
        <w:rPr>
          <w:spacing w:val="-7"/>
          <w:sz w:val="28"/>
          <w:vertAlign w:val="baseline"/>
        </w:rPr>
        <w:t> </w:t>
      </w:r>
      <w:r>
        <w:rPr>
          <w:sz w:val="28"/>
          <w:vertAlign w:val="baseline"/>
        </w:rPr>
        <w:t>for</w:t>
      </w:r>
      <w:r>
        <w:rPr>
          <w:spacing w:val="-7"/>
          <w:sz w:val="28"/>
          <w:vertAlign w:val="baseline"/>
        </w:rPr>
        <w:t> </w:t>
      </w:r>
      <w:r>
        <w:rPr>
          <w:sz w:val="28"/>
          <w:vertAlign w:val="baseline"/>
        </w:rPr>
        <w:t>witnesses</w:t>
      </w:r>
      <w:r>
        <w:rPr>
          <w:spacing w:val="-8"/>
          <w:sz w:val="28"/>
          <w:vertAlign w:val="baseline"/>
        </w:rPr>
        <w:t> </w:t>
      </w:r>
      <w:r>
        <w:rPr>
          <w:sz w:val="28"/>
          <w:vertAlign w:val="baseline"/>
        </w:rPr>
        <w:t>to</w:t>
      </w:r>
      <w:r>
        <w:rPr>
          <w:spacing w:val="-8"/>
          <w:sz w:val="28"/>
          <w:vertAlign w:val="baseline"/>
        </w:rPr>
        <w:t> </w:t>
      </w:r>
      <w:r>
        <w:rPr>
          <w:sz w:val="28"/>
          <w:vertAlign w:val="baseline"/>
        </w:rPr>
        <w:t>give</w:t>
      </w:r>
      <w:r>
        <w:rPr>
          <w:spacing w:val="-7"/>
          <w:sz w:val="28"/>
          <w:vertAlign w:val="baseline"/>
        </w:rPr>
        <w:t> </w:t>
      </w:r>
      <w:r>
        <w:rPr>
          <w:sz w:val="28"/>
          <w:vertAlign w:val="baseline"/>
        </w:rPr>
        <w:t>evidence</w:t>
      </w:r>
      <w:r>
        <w:rPr>
          <w:spacing w:val="-7"/>
          <w:sz w:val="28"/>
          <w:vertAlign w:val="baseline"/>
        </w:rPr>
        <w:t> </w:t>
      </w:r>
      <w:r>
        <w:rPr>
          <w:sz w:val="28"/>
          <w:vertAlign w:val="baseline"/>
        </w:rPr>
        <w:t>via</w:t>
      </w:r>
      <w:r>
        <w:rPr>
          <w:spacing w:val="-8"/>
          <w:sz w:val="28"/>
          <w:vertAlign w:val="baseline"/>
        </w:rPr>
        <w:t> </w:t>
      </w:r>
      <w:r>
        <w:rPr>
          <w:sz w:val="28"/>
          <w:vertAlign w:val="baseline"/>
        </w:rPr>
        <w:t>video link and to have direct access to support from Victims Support and the Young Witness Service.</w:t>
      </w:r>
      <w:r>
        <w:rPr>
          <w:sz w:val="28"/>
          <w:vertAlign w:val="superscript"/>
        </w:rPr>
        <w:t>690</w:t>
      </w:r>
    </w:p>
    <w:p>
      <w:pPr>
        <w:pStyle w:val="ListParagraph"/>
        <w:numPr>
          <w:ilvl w:val="1"/>
          <w:numId w:val="7"/>
        </w:numPr>
        <w:tabs>
          <w:tab w:pos="1853" w:val="left" w:leader="none"/>
        </w:tabs>
        <w:spacing w:line="225" w:lineRule="auto" w:before="315" w:after="0"/>
        <w:ind w:left="1853" w:right="1241" w:hanging="720"/>
        <w:jc w:val="left"/>
        <w:rPr>
          <w:sz w:val="28"/>
        </w:rPr>
      </w:pPr>
      <w:r>
        <w:rPr>
          <w:sz w:val="28"/>
        </w:rPr>
        <w:t>In February 2024, the NIHRC wrote to the Minister for Justice reiterating concerns about the extension of live links technology without undertaking specific research to determine whether the use of live links had any adverse consequences for court users with disabilities and/or those for whom English is not their first language.</w:t>
      </w:r>
      <w:r>
        <w:rPr>
          <w:sz w:val="28"/>
          <w:vertAlign w:val="superscript"/>
        </w:rPr>
        <w:t>691</w:t>
      </w:r>
      <w:r>
        <w:rPr>
          <w:sz w:val="28"/>
          <w:vertAlign w:val="baseline"/>
        </w:rPr>
        <w:t> The NIHRC also advised the Department to consider Windsor Framework Article 2 within its current impact assessment framework, including Human Rights Impact Assessments, to ensure the continued protection of human rights and equality. In March 2024, the Minister responded stating she considered that courts are able to conduct case-by-case consideration of the individual needs of people with disabilities or</w:t>
      </w:r>
      <w:r>
        <w:rPr>
          <w:spacing w:val="-4"/>
          <w:sz w:val="28"/>
          <w:vertAlign w:val="baseline"/>
        </w:rPr>
        <w:t> </w:t>
      </w:r>
      <w:r>
        <w:rPr>
          <w:sz w:val="28"/>
          <w:vertAlign w:val="baseline"/>
        </w:rPr>
        <w:t>for</w:t>
      </w:r>
      <w:r>
        <w:rPr>
          <w:spacing w:val="-4"/>
          <w:sz w:val="28"/>
          <w:vertAlign w:val="baseline"/>
        </w:rPr>
        <w:t> </w:t>
      </w:r>
      <w:r>
        <w:rPr>
          <w:sz w:val="28"/>
          <w:vertAlign w:val="baseline"/>
        </w:rPr>
        <w:t>whom</w:t>
      </w:r>
      <w:r>
        <w:rPr>
          <w:spacing w:val="-4"/>
          <w:sz w:val="28"/>
          <w:vertAlign w:val="baseline"/>
        </w:rPr>
        <w:t> </w:t>
      </w:r>
      <w:r>
        <w:rPr>
          <w:sz w:val="28"/>
          <w:vertAlign w:val="baseline"/>
        </w:rPr>
        <w:t>English</w:t>
      </w:r>
      <w:r>
        <w:rPr>
          <w:spacing w:val="-5"/>
          <w:sz w:val="28"/>
          <w:vertAlign w:val="baseline"/>
        </w:rPr>
        <w:t> </w:t>
      </w:r>
      <w:r>
        <w:rPr>
          <w:sz w:val="28"/>
          <w:vertAlign w:val="baseline"/>
        </w:rPr>
        <w:t>is</w:t>
      </w:r>
      <w:r>
        <w:rPr>
          <w:spacing w:val="-5"/>
          <w:sz w:val="28"/>
          <w:vertAlign w:val="baseline"/>
        </w:rPr>
        <w:t> </w:t>
      </w:r>
      <w:r>
        <w:rPr>
          <w:sz w:val="28"/>
          <w:vertAlign w:val="baseline"/>
        </w:rPr>
        <w:t>not</w:t>
      </w:r>
      <w:r>
        <w:rPr>
          <w:spacing w:val="-4"/>
          <w:sz w:val="28"/>
          <w:vertAlign w:val="baseline"/>
        </w:rPr>
        <w:t> </w:t>
      </w:r>
      <w:r>
        <w:rPr>
          <w:sz w:val="28"/>
          <w:vertAlign w:val="baseline"/>
        </w:rPr>
        <w:t>their</w:t>
      </w:r>
      <w:r>
        <w:rPr>
          <w:spacing w:val="-4"/>
          <w:sz w:val="28"/>
          <w:vertAlign w:val="baseline"/>
        </w:rPr>
        <w:t> </w:t>
      </w:r>
      <w:r>
        <w:rPr>
          <w:sz w:val="28"/>
          <w:vertAlign w:val="baseline"/>
        </w:rPr>
        <w:t>first</w:t>
      </w:r>
      <w:r>
        <w:rPr>
          <w:spacing w:val="-4"/>
          <w:sz w:val="28"/>
          <w:vertAlign w:val="baseline"/>
        </w:rPr>
        <w:t> </w:t>
      </w:r>
      <w:r>
        <w:rPr>
          <w:sz w:val="28"/>
          <w:vertAlign w:val="baseline"/>
        </w:rPr>
        <w:t>language</w:t>
      </w:r>
      <w:r>
        <w:rPr>
          <w:spacing w:val="-4"/>
          <w:sz w:val="28"/>
          <w:vertAlign w:val="baseline"/>
        </w:rPr>
        <w:t> </w:t>
      </w:r>
      <w:r>
        <w:rPr>
          <w:sz w:val="28"/>
          <w:vertAlign w:val="baseline"/>
        </w:rPr>
        <w:t>when</w:t>
      </w:r>
      <w:r>
        <w:rPr>
          <w:spacing w:val="-5"/>
          <w:sz w:val="28"/>
          <w:vertAlign w:val="baseline"/>
        </w:rPr>
        <w:t> </w:t>
      </w:r>
      <w:r>
        <w:rPr>
          <w:sz w:val="28"/>
          <w:vertAlign w:val="baseline"/>
        </w:rPr>
        <w:t>determining</w:t>
      </w:r>
      <w:r>
        <w:rPr>
          <w:spacing w:val="-4"/>
          <w:sz w:val="28"/>
          <w:vertAlign w:val="baseline"/>
        </w:rPr>
        <w:t> </w:t>
      </w:r>
      <w:r>
        <w:rPr>
          <w:sz w:val="28"/>
          <w:vertAlign w:val="baseline"/>
        </w:rPr>
        <w:t>whether</w:t>
      </w:r>
      <w:r>
        <w:rPr>
          <w:spacing w:val="-4"/>
          <w:sz w:val="28"/>
          <w:vertAlign w:val="baseline"/>
        </w:rPr>
        <w:t> </w:t>
      </w:r>
      <w:r>
        <w:rPr>
          <w:sz w:val="28"/>
          <w:vertAlign w:val="baseline"/>
        </w:rPr>
        <w:t>it</w:t>
      </w:r>
      <w:r>
        <w:rPr>
          <w:spacing w:val="-4"/>
          <w:sz w:val="28"/>
          <w:vertAlign w:val="baseline"/>
        </w:rPr>
        <w:t> </w:t>
      </w:r>
      <w:r>
        <w:rPr>
          <w:sz w:val="28"/>
          <w:vertAlign w:val="baseline"/>
        </w:rPr>
        <w:t>is in the interests of justice to use live links.</w:t>
      </w:r>
      <w:r>
        <w:rPr>
          <w:sz w:val="28"/>
          <w:vertAlign w:val="superscript"/>
        </w:rPr>
        <w:t>692</w:t>
      </w:r>
    </w:p>
    <w:p>
      <w:pPr>
        <w:pStyle w:val="BodyText"/>
        <w:rPr>
          <w:sz w:val="20"/>
        </w:rPr>
      </w:pPr>
    </w:p>
    <w:p>
      <w:pPr>
        <w:pStyle w:val="BodyText"/>
        <w:spacing w:before="23"/>
        <w:rPr>
          <w:sz w:val="20"/>
        </w:rPr>
      </w:pPr>
      <w:r>
        <w:rPr/>
        <mc:AlternateContent>
          <mc:Choice Requires="wps">
            <w:drawing>
              <wp:anchor distT="0" distB="0" distL="0" distR="0" allowOverlap="1" layoutInCell="1" locked="0" behindDoc="1" simplePos="0" relativeHeight="487702528">
                <wp:simplePos x="0" y="0"/>
                <wp:positionH relativeFrom="page">
                  <wp:posOffset>719996</wp:posOffset>
                </wp:positionH>
                <wp:positionV relativeFrom="paragraph">
                  <wp:posOffset>184874</wp:posOffset>
                </wp:positionV>
                <wp:extent cx="6120130" cy="1270"/>
                <wp:effectExtent l="0" t="0" r="0" b="0"/>
                <wp:wrapTopAndBottom/>
                <wp:docPr id="529" name="Graphic 529"/>
                <wp:cNvGraphicFramePr>
                  <a:graphicFrameLocks/>
                </wp:cNvGraphicFramePr>
                <a:graphic>
                  <a:graphicData uri="http://schemas.microsoft.com/office/word/2010/wordprocessingShape">
                    <wps:wsp>
                      <wps:cNvPr id="529" name="Graphic 52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4.557069pt;width:481.9pt;height:.1pt;mso-position-horizontal-relative:page;mso-position-vertical-relative:paragraph;z-index:-15613952;mso-wrap-distance-left:0;mso-wrap-distance-right:0" id="docshape474" coordorigin="1134,291" coordsize="9638,0" path="m10772,291l1134,291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35" w:lineRule="auto" w:before="146" w:after="0"/>
        <w:ind w:left="1853" w:right="1167" w:hanging="720"/>
        <w:jc w:val="left"/>
        <w:rPr>
          <w:sz w:val="18"/>
        </w:rPr>
      </w:pPr>
      <w:r>
        <w:rPr>
          <w:sz w:val="18"/>
        </w:rPr>
        <w:t>Department of Justice, ‘Consultation on Proposals on the Use of Live Links for Police Detention/Interviews’ (DoJ, 2020); Department of Justice, ‘Consultation on Use of Live Links for Courts and Tribunals’ (DoJ, 2022). This work is linked to implementing</w:t>
      </w:r>
      <w:r>
        <w:rPr>
          <w:spacing w:val="-7"/>
          <w:sz w:val="18"/>
        </w:rPr>
        <w:t> </w:t>
      </w:r>
      <w:r>
        <w:rPr>
          <w:sz w:val="18"/>
        </w:rPr>
        <w:t>the</w:t>
      </w:r>
      <w:r>
        <w:rPr>
          <w:spacing w:val="-7"/>
          <w:sz w:val="18"/>
        </w:rPr>
        <w:t> </w:t>
      </w:r>
      <w:r>
        <w:rPr>
          <w:sz w:val="18"/>
        </w:rPr>
        <w:t>Gillen</w:t>
      </w:r>
      <w:r>
        <w:rPr>
          <w:spacing w:val="-7"/>
          <w:sz w:val="18"/>
        </w:rPr>
        <w:t> </w:t>
      </w:r>
      <w:r>
        <w:rPr>
          <w:sz w:val="18"/>
        </w:rPr>
        <w:t>review’s</w:t>
      </w:r>
      <w:r>
        <w:rPr>
          <w:spacing w:val="-7"/>
          <w:sz w:val="18"/>
        </w:rPr>
        <w:t> </w:t>
      </w:r>
      <w:r>
        <w:rPr>
          <w:sz w:val="18"/>
        </w:rPr>
        <w:t>recommendations</w:t>
      </w:r>
      <w:r>
        <w:rPr>
          <w:spacing w:val="-7"/>
          <w:sz w:val="18"/>
        </w:rPr>
        <w:t> </w:t>
      </w:r>
      <w:r>
        <w:rPr>
          <w:sz w:val="18"/>
        </w:rPr>
        <w:t>on</w:t>
      </w:r>
      <w:r>
        <w:rPr>
          <w:spacing w:val="-7"/>
          <w:sz w:val="18"/>
        </w:rPr>
        <w:t> </w:t>
      </w:r>
      <w:r>
        <w:rPr>
          <w:sz w:val="18"/>
        </w:rPr>
        <w:t>improving</w:t>
      </w:r>
      <w:r>
        <w:rPr>
          <w:spacing w:val="-7"/>
          <w:sz w:val="18"/>
        </w:rPr>
        <w:t> </w:t>
      </w:r>
      <w:r>
        <w:rPr>
          <w:sz w:val="18"/>
        </w:rPr>
        <w:t>law</w:t>
      </w:r>
      <w:r>
        <w:rPr>
          <w:spacing w:val="-7"/>
          <w:sz w:val="18"/>
        </w:rPr>
        <w:t> </w:t>
      </w:r>
      <w:r>
        <w:rPr>
          <w:sz w:val="18"/>
        </w:rPr>
        <w:t>and</w:t>
      </w:r>
      <w:r>
        <w:rPr>
          <w:spacing w:val="-7"/>
          <w:sz w:val="18"/>
        </w:rPr>
        <w:t> </w:t>
      </w:r>
      <w:r>
        <w:rPr>
          <w:sz w:val="18"/>
        </w:rPr>
        <w:t>procedures</w:t>
      </w:r>
      <w:r>
        <w:rPr>
          <w:spacing w:val="-7"/>
          <w:sz w:val="18"/>
        </w:rPr>
        <w:t> </w:t>
      </w:r>
      <w:r>
        <w:rPr>
          <w:sz w:val="18"/>
        </w:rPr>
        <w:t>regarding</w:t>
      </w:r>
      <w:r>
        <w:rPr>
          <w:spacing w:val="-7"/>
          <w:sz w:val="18"/>
        </w:rPr>
        <w:t> </w:t>
      </w:r>
      <w:r>
        <w:rPr>
          <w:sz w:val="18"/>
        </w:rPr>
        <w:t>serious</w:t>
      </w:r>
      <w:r>
        <w:rPr>
          <w:spacing w:val="-7"/>
          <w:sz w:val="18"/>
        </w:rPr>
        <w:t> </w:t>
      </w:r>
      <w:r>
        <w:rPr>
          <w:sz w:val="18"/>
        </w:rPr>
        <w:t>sexual</w:t>
      </w:r>
      <w:r>
        <w:rPr>
          <w:spacing w:val="-7"/>
          <w:sz w:val="18"/>
        </w:rPr>
        <w:t> </w:t>
      </w:r>
      <w:r>
        <w:rPr>
          <w:sz w:val="18"/>
        </w:rPr>
        <w:t>offences</w:t>
      </w:r>
      <w:r>
        <w:rPr>
          <w:spacing w:val="-7"/>
          <w:sz w:val="18"/>
        </w:rPr>
        <w:t> </w:t>
      </w:r>
      <w:r>
        <w:rPr>
          <w:sz w:val="18"/>
        </w:rPr>
        <w:t>in NI. Sir John Gillen, ‘Report into the Law and Procedures in Serious Sexual Offences in NI: Recommendations’ (DoJ, 2019).</w:t>
      </w:r>
    </w:p>
    <w:p>
      <w:pPr>
        <w:pStyle w:val="ListParagraph"/>
        <w:numPr>
          <w:ilvl w:val="0"/>
          <w:numId w:val="11"/>
        </w:numPr>
        <w:tabs>
          <w:tab w:pos="1853" w:val="left" w:leader="none"/>
        </w:tabs>
        <w:spacing w:line="235" w:lineRule="auto" w:before="2" w:after="0"/>
        <w:ind w:left="1853" w:right="1227" w:hanging="720"/>
        <w:jc w:val="left"/>
        <w:rPr>
          <w:sz w:val="18"/>
        </w:rPr>
      </w:pPr>
      <w:r>
        <w:rPr>
          <w:sz w:val="18"/>
        </w:rPr>
        <w:t>NI Human Rights Commission, ‘Consultation on Proposals on the Use of Live Links for Police Detention/Interviews’ (DoJ, 2020);</w:t>
      </w:r>
      <w:r>
        <w:rPr>
          <w:spacing w:val="-4"/>
          <w:sz w:val="18"/>
        </w:rPr>
        <w:t> </w:t>
      </w: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‘Response</w:t>
      </w:r>
      <w:r>
        <w:rPr>
          <w:spacing w:val="-4"/>
          <w:sz w:val="18"/>
        </w:rPr>
        <w:t> </w:t>
      </w:r>
      <w:r>
        <w:rPr>
          <w:sz w:val="18"/>
        </w:rPr>
        <w:t>to</w:t>
      </w:r>
      <w:r>
        <w:rPr>
          <w:spacing w:val="-5"/>
          <w:sz w:val="18"/>
        </w:rPr>
        <w:t> </w:t>
      </w:r>
      <w:r>
        <w:rPr>
          <w:sz w:val="18"/>
        </w:rPr>
        <w:t>the</w:t>
      </w:r>
      <w:r>
        <w:rPr>
          <w:spacing w:val="-4"/>
          <w:sz w:val="18"/>
        </w:rPr>
        <w:t> </w:t>
      </w:r>
      <w:r>
        <w:rPr>
          <w:sz w:val="18"/>
        </w:rPr>
        <w:t>Department</w:t>
      </w:r>
      <w:r>
        <w:rPr>
          <w:spacing w:val="-4"/>
          <w:sz w:val="18"/>
        </w:rPr>
        <w:t> </w:t>
      </w:r>
      <w:r>
        <w:rPr>
          <w:sz w:val="18"/>
        </w:rPr>
        <w:t>of</w:t>
      </w:r>
      <w:r>
        <w:rPr>
          <w:spacing w:val="-5"/>
          <w:sz w:val="18"/>
        </w:rPr>
        <w:t> </w:t>
      </w:r>
      <w:r>
        <w:rPr>
          <w:sz w:val="18"/>
        </w:rPr>
        <w:t>Justice’s</w:t>
      </w:r>
      <w:r>
        <w:rPr>
          <w:spacing w:val="-5"/>
          <w:sz w:val="18"/>
        </w:rPr>
        <w:t> </w:t>
      </w:r>
      <w:r>
        <w:rPr>
          <w:sz w:val="18"/>
        </w:rPr>
        <w:t>Consultation</w:t>
      </w:r>
      <w:r>
        <w:rPr>
          <w:spacing w:val="-5"/>
          <w:sz w:val="18"/>
        </w:rPr>
        <w:t> </w:t>
      </w:r>
      <w:r>
        <w:rPr>
          <w:sz w:val="18"/>
        </w:rPr>
        <w:t>on</w:t>
      </w:r>
      <w:r>
        <w:rPr>
          <w:spacing w:val="-5"/>
          <w:sz w:val="18"/>
        </w:rPr>
        <w:t> </w:t>
      </w:r>
      <w:r>
        <w:rPr>
          <w:sz w:val="18"/>
        </w:rPr>
        <w:t>Audio</w:t>
      </w:r>
      <w:r>
        <w:rPr>
          <w:spacing w:val="-5"/>
          <w:sz w:val="18"/>
        </w:rPr>
        <w:t> </w:t>
      </w:r>
      <w:r>
        <w:rPr>
          <w:sz w:val="18"/>
        </w:rPr>
        <w:t>and</w:t>
      </w:r>
      <w:r>
        <w:rPr>
          <w:spacing w:val="-5"/>
          <w:sz w:val="18"/>
        </w:rPr>
        <w:t> </w:t>
      </w:r>
      <w:r>
        <w:rPr>
          <w:sz w:val="18"/>
        </w:rPr>
        <w:t>Video</w:t>
      </w:r>
      <w:r>
        <w:rPr>
          <w:spacing w:val="-5"/>
          <w:sz w:val="18"/>
        </w:rPr>
        <w:t> </w:t>
      </w:r>
      <w:r>
        <w:rPr>
          <w:sz w:val="18"/>
        </w:rPr>
        <w:t>Links</w:t>
      </w:r>
      <w:r>
        <w:rPr>
          <w:spacing w:val="-5"/>
          <w:sz w:val="18"/>
        </w:rPr>
        <w:t> </w:t>
      </w:r>
      <w:r>
        <w:rPr>
          <w:sz w:val="18"/>
        </w:rPr>
        <w:t>for NI Court and Tribunal Hearings’ (NIHRC, 2022).</w:t>
      </w:r>
    </w:p>
    <w:p>
      <w:pPr>
        <w:pStyle w:val="ListParagraph"/>
        <w:numPr>
          <w:ilvl w:val="0"/>
          <w:numId w:val="11"/>
        </w:numPr>
        <w:tabs>
          <w:tab w:pos="1853" w:val="left" w:leader="none"/>
        </w:tabs>
        <w:spacing w:line="235" w:lineRule="auto" w:before="2" w:after="0"/>
        <w:ind w:left="1853" w:right="1303" w:hanging="720"/>
        <w:jc w:val="left"/>
        <w:rPr>
          <w:sz w:val="18"/>
        </w:rPr>
      </w:pPr>
      <w:r>
        <w:rPr>
          <w:sz w:val="18"/>
        </w:rPr>
        <w:t>Directive</w:t>
      </w:r>
      <w:r>
        <w:rPr>
          <w:spacing w:val="-4"/>
          <w:sz w:val="18"/>
        </w:rPr>
        <w:t> </w:t>
      </w:r>
      <w:r>
        <w:rPr>
          <w:sz w:val="18"/>
        </w:rPr>
        <w:t>2012/29/EU,</w:t>
      </w:r>
      <w:r>
        <w:rPr>
          <w:spacing w:val="-4"/>
          <w:sz w:val="18"/>
        </w:rPr>
        <w:t> </w:t>
      </w:r>
      <w:r>
        <w:rPr>
          <w:sz w:val="18"/>
        </w:rPr>
        <w:t>‘EU</w:t>
      </w:r>
      <w:r>
        <w:rPr>
          <w:spacing w:val="-4"/>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Directive</w:t>
      </w:r>
      <w:r>
        <w:rPr>
          <w:spacing w:val="-4"/>
          <w:sz w:val="18"/>
        </w:rPr>
        <w:t> </w:t>
      </w:r>
      <w:r>
        <w:rPr>
          <w:sz w:val="18"/>
        </w:rPr>
        <w:t>Establishing</w:t>
      </w:r>
      <w:r>
        <w:rPr>
          <w:spacing w:val="-4"/>
          <w:sz w:val="18"/>
        </w:rPr>
        <w:t> </w:t>
      </w:r>
      <w:r>
        <w:rPr>
          <w:sz w:val="18"/>
        </w:rPr>
        <w:t>Minimum</w:t>
      </w:r>
      <w:r>
        <w:rPr>
          <w:spacing w:val="-4"/>
          <w:sz w:val="18"/>
        </w:rPr>
        <w:t> </w:t>
      </w:r>
      <w:r>
        <w:rPr>
          <w:sz w:val="18"/>
        </w:rPr>
        <w:t>Standards</w:t>
      </w:r>
      <w:r>
        <w:rPr>
          <w:spacing w:val="-5"/>
          <w:sz w:val="18"/>
        </w:rPr>
        <w:t> </w:t>
      </w:r>
      <w:r>
        <w:rPr>
          <w:sz w:val="18"/>
        </w:rPr>
        <w:t>on</w:t>
      </w:r>
      <w:r>
        <w:rPr>
          <w:spacing w:val="-5"/>
          <w:sz w:val="18"/>
        </w:rPr>
        <w:t> </w:t>
      </w:r>
      <w:r>
        <w:rPr>
          <w:sz w:val="18"/>
        </w:rPr>
        <w:t>the</w:t>
      </w:r>
      <w:r>
        <w:rPr>
          <w:spacing w:val="-4"/>
          <w:sz w:val="18"/>
        </w:rPr>
        <w:t> </w:t>
      </w:r>
      <w:r>
        <w:rPr>
          <w:sz w:val="18"/>
        </w:rPr>
        <w:t>Rights,</w:t>
      </w:r>
      <w:r>
        <w:rPr>
          <w:spacing w:val="-4"/>
          <w:sz w:val="18"/>
        </w:rPr>
        <w:t> </w:t>
      </w:r>
      <w:r>
        <w:rPr>
          <w:sz w:val="18"/>
        </w:rPr>
        <w:t>Support</w:t>
      </w:r>
      <w:r>
        <w:rPr>
          <w:spacing w:val="-4"/>
          <w:sz w:val="18"/>
        </w:rPr>
        <w:t> </w:t>
      </w:r>
      <w:r>
        <w:rPr>
          <w:sz w:val="18"/>
        </w:rPr>
        <w:t>and Protection of Victims of Crime’, 25 October 2012.</w:t>
      </w:r>
    </w:p>
    <w:p>
      <w:pPr>
        <w:pStyle w:val="ListParagraph"/>
        <w:numPr>
          <w:ilvl w:val="0"/>
          <w:numId w:val="11"/>
        </w:numPr>
        <w:tabs>
          <w:tab w:pos="1853" w:val="left" w:leader="none"/>
        </w:tabs>
        <w:spacing w:line="235" w:lineRule="auto" w:before="2" w:after="0"/>
        <w:ind w:left="1853" w:right="1397" w:hanging="720"/>
        <w:jc w:val="left"/>
        <w:rPr>
          <w:sz w:val="18"/>
        </w:rPr>
      </w:pPr>
      <w:r>
        <w:rPr>
          <w:sz w:val="18"/>
        </w:rPr>
        <w:t>Recital</w:t>
      </w:r>
      <w:r>
        <w:rPr>
          <w:spacing w:val="-7"/>
          <w:sz w:val="18"/>
        </w:rPr>
        <w:t> </w:t>
      </w:r>
      <w:r>
        <w:rPr>
          <w:sz w:val="18"/>
        </w:rPr>
        <w:t>14,</w:t>
      </w:r>
      <w:r>
        <w:rPr>
          <w:spacing w:val="-6"/>
          <w:sz w:val="18"/>
        </w:rPr>
        <w:t> </w:t>
      </w:r>
      <w:r>
        <w:rPr>
          <w:sz w:val="18"/>
        </w:rPr>
        <w:t>Directive</w:t>
      </w:r>
      <w:r>
        <w:rPr>
          <w:spacing w:val="-6"/>
          <w:sz w:val="18"/>
        </w:rPr>
        <w:t> </w:t>
      </w:r>
      <w:r>
        <w:rPr>
          <w:sz w:val="18"/>
        </w:rPr>
        <w:t>2010/64/EU,</w:t>
      </w:r>
      <w:r>
        <w:rPr>
          <w:spacing w:val="-6"/>
          <w:sz w:val="18"/>
        </w:rPr>
        <w:t> </w:t>
      </w:r>
      <w:r>
        <w:rPr>
          <w:sz w:val="18"/>
        </w:rPr>
        <w:t>‘EU</w:t>
      </w:r>
      <w:r>
        <w:rPr>
          <w:spacing w:val="-6"/>
          <w:sz w:val="18"/>
        </w:rPr>
        <w:t> </w:t>
      </w:r>
      <w:r>
        <w:rPr>
          <w:sz w:val="18"/>
        </w:rPr>
        <w:t>Parliament</w:t>
      </w:r>
      <w:r>
        <w:rPr>
          <w:spacing w:val="-6"/>
          <w:sz w:val="18"/>
        </w:rPr>
        <w:t> </w:t>
      </w:r>
      <w:r>
        <w:rPr>
          <w:sz w:val="18"/>
        </w:rPr>
        <w:t>and</w:t>
      </w:r>
      <w:r>
        <w:rPr>
          <w:spacing w:val="-7"/>
          <w:sz w:val="18"/>
        </w:rPr>
        <w:t> </w:t>
      </w:r>
      <w:r>
        <w:rPr>
          <w:sz w:val="18"/>
        </w:rPr>
        <w:t>Council</w:t>
      </w:r>
      <w:r>
        <w:rPr>
          <w:spacing w:val="-7"/>
          <w:sz w:val="18"/>
        </w:rPr>
        <w:t> </w:t>
      </w:r>
      <w:r>
        <w:rPr>
          <w:sz w:val="18"/>
        </w:rPr>
        <w:t>Directive</w:t>
      </w:r>
      <w:r>
        <w:rPr>
          <w:spacing w:val="-6"/>
          <w:sz w:val="18"/>
        </w:rPr>
        <w:t> </w:t>
      </w:r>
      <w:r>
        <w:rPr>
          <w:sz w:val="18"/>
        </w:rPr>
        <w:t>on</w:t>
      </w:r>
      <w:r>
        <w:rPr>
          <w:spacing w:val="-7"/>
          <w:sz w:val="18"/>
        </w:rPr>
        <w:t> </w:t>
      </w:r>
      <w:r>
        <w:rPr>
          <w:sz w:val="18"/>
        </w:rPr>
        <w:t>the</w:t>
      </w:r>
      <w:r>
        <w:rPr>
          <w:spacing w:val="-6"/>
          <w:sz w:val="18"/>
        </w:rPr>
        <w:t> </w:t>
      </w:r>
      <w:r>
        <w:rPr>
          <w:sz w:val="18"/>
        </w:rPr>
        <w:t>Right</w:t>
      </w:r>
      <w:r>
        <w:rPr>
          <w:spacing w:val="-6"/>
          <w:sz w:val="18"/>
        </w:rPr>
        <w:t> </w:t>
      </w:r>
      <w:r>
        <w:rPr>
          <w:sz w:val="18"/>
        </w:rPr>
        <w:t>to</w:t>
      </w:r>
      <w:r>
        <w:rPr>
          <w:spacing w:val="-7"/>
          <w:sz w:val="18"/>
        </w:rPr>
        <w:t> </w:t>
      </w:r>
      <w:r>
        <w:rPr>
          <w:sz w:val="18"/>
        </w:rPr>
        <w:t>Interpretation</w:t>
      </w:r>
      <w:r>
        <w:rPr>
          <w:spacing w:val="-7"/>
          <w:sz w:val="18"/>
        </w:rPr>
        <w:t> </w:t>
      </w:r>
      <w:r>
        <w:rPr>
          <w:sz w:val="18"/>
        </w:rPr>
        <w:t>and</w:t>
      </w:r>
      <w:r>
        <w:rPr>
          <w:spacing w:val="-7"/>
          <w:sz w:val="18"/>
        </w:rPr>
        <w:t> </w:t>
      </w:r>
      <w:r>
        <w:rPr>
          <w:sz w:val="18"/>
        </w:rPr>
        <w:t>Translation</w:t>
      </w:r>
      <w:r>
        <w:rPr>
          <w:spacing w:val="-7"/>
          <w:sz w:val="18"/>
        </w:rPr>
        <w:t> </w:t>
      </w:r>
      <w:r>
        <w:rPr>
          <w:sz w:val="18"/>
        </w:rPr>
        <w:t>in Criminal Proceedings’, 20 October 2010.</w:t>
      </w:r>
    </w:p>
    <w:p>
      <w:pPr>
        <w:pStyle w:val="ListParagraph"/>
        <w:numPr>
          <w:ilvl w:val="0"/>
          <w:numId w:val="11"/>
        </w:numPr>
        <w:tabs>
          <w:tab w:pos="1853" w:val="left" w:leader="none"/>
        </w:tabs>
        <w:spacing w:line="235" w:lineRule="auto" w:before="1" w:after="0"/>
        <w:ind w:left="1853" w:right="1533" w:hanging="720"/>
        <w:jc w:val="left"/>
        <w:rPr>
          <w:sz w:val="18"/>
        </w:rPr>
      </w:pP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‘Response</w:t>
      </w:r>
      <w:r>
        <w:rPr>
          <w:spacing w:val="-4"/>
          <w:sz w:val="18"/>
        </w:rPr>
        <w:t> </w:t>
      </w:r>
      <w:r>
        <w:rPr>
          <w:sz w:val="18"/>
        </w:rPr>
        <w:t>to</w:t>
      </w:r>
      <w:r>
        <w:rPr>
          <w:spacing w:val="-5"/>
          <w:sz w:val="18"/>
        </w:rPr>
        <w:t> </w:t>
      </w:r>
      <w:r>
        <w:rPr>
          <w:sz w:val="18"/>
        </w:rPr>
        <w:t>the</w:t>
      </w:r>
      <w:r>
        <w:rPr>
          <w:spacing w:val="-4"/>
          <w:sz w:val="18"/>
        </w:rPr>
        <w:t> </w:t>
      </w:r>
      <w:r>
        <w:rPr>
          <w:sz w:val="18"/>
        </w:rPr>
        <w:t>Department</w:t>
      </w:r>
      <w:r>
        <w:rPr>
          <w:spacing w:val="-4"/>
          <w:sz w:val="18"/>
        </w:rPr>
        <w:t> </w:t>
      </w:r>
      <w:r>
        <w:rPr>
          <w:sz w:val="18"/>
        </w:rPr>
        <w:t>of</w:t>
      </w:r>
      <w:r>
        <w:rPr>
          <w:spacing w:val="-5"/>
          <w:sz w:val="18"/>
        </w:rPr>
        <w:t> </w:t>
      </w:r>
      <w:r>
        <w:rPr>
          <w:sz w:val="18"/>
        </w:rPr>
        <w:t>Justice’s</w:t>
      </w:r>
      <w:r>
        <w:rPr>
          <w:spacing w:val="-5"/>
          <w:sz w:val="18"/>
        </w:rPr>
        <w:t> </w:t>
      </w:r>
      <w:r>
        <w:rPr>
          <w:sz w:val="18"/>
        </w:rPr>
        <w:t>Consultation</w:t>
      </w:r>
      <w:r>
        <w:rPr>
          <w:spacing w:val="-5"/>
          <w:sz w:val="18"/>
        </w:rPr>
        <w:t> </w:t>
      </w:r>
      <w:r>
        <w:rPr>
          <w:sz w:val="18"/>
        </w:rPr>
        <w:t>on</w:t>
      </w:r>
      <w:r>
        <w:rPr>
          <w:spacing w:val="-5"/>
          <w:sz w:val="18"/>
        </w:rPr>
        <w:t> </w:t>
      </w:r>
      <w:r>
        <w:rPr>
          <w:sz w:val="18"/>
        </w:rPr>
        <w:t>Audio</w:t>
      </w:r>
      <w:r>
        <w:rPr>
          <w:spacing w:val="-5"/>
          <w:sz w:val="18"/>
        </w:rPr>
        <w:t> </w:t>
      </w:r>
      <w:r>
        <w:rPr>
          <w:sz w:val="18"/>
        </w:rPr>
        <w:t>and</w:t>
      </w:r>
      <w:r>
        <w:rPr>
          <w:spacing w:val="-5"/>
          <w:sz w:val="18"/>
        </w:rPr>
        <w:t> </w:t>
      </w:r>
      <w:r>
        <w:rPr>
          <w:sz w:val="18"/>
        </w:rPr>
        <w:t>Video</w:t>
      </w:r>
      <w:r>
        <w:rPr>
          <w:spacing w:val="-5"/>
          <w:sz w:val="18"/>
        </w:rPr>
        <w:t> </w:t>
      </w:r>
      <w:r>
        <w:rPr>
          <w:sz w:val="18"/>
        </w:rPr>
        <w:t>Links</w:t>
      </w:r>
      <w:r>
        <w:rPr>
          <w:spacing w:val="-5"/>
          <w:sz w:val="18"/>
        </w:rPr>
        <w:t> </w:t>
      </w:r>
      <w:r>
        <w:rPr>
          <w:sz w:val="18"/>
        </w:rPr>
        <w:t>for</w:t>
      </w:r>
      <w:r>
        <w:rPr>
          <w:spacing w:val="-4"/>
          <w:sz w:val="18"/>
        </w:rPr>
        <w:t> </w:t>
      </w:r>
      <w:r>
        <w:rPr>
          <w:sz w:val="18"/>
        </w:rPr>
        <w:t>NI Court and Tribunal Hearings’ (NIHRC, 2022).</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Department</w:t>
      </w:r>
      <w:r>
        <w:rPr>
          <w:spacing w:val="-7"/>
          <w:sz w:val="18"/>
        </w:rPr>
        <w:t> </w:t>
      </w:r>
      <w:r>
        <w:rPr>
          <w:sz w:val="18"/>
        </w:rPr>
        <w:t>of</w:t>
      </w:r>
      <w:r>
        <w:rPr>
          <w:spacing w:val="-8"/>
          <w:sz w:val="18"/>
        </w:rPr>
        <w:t> </w:t>
      </w:r>
      <w:r>
        <w:rPr>
          <w:sz w:val="18"/>
        </w:rPr>
        <w:t>Justice,</w:t>
      </w:r>
      <w:r>
        <w:rPr>
          <w:spacing w:val="-7"/>
          <w:sz w:val="18"/>
        </w:rPr>
        <w:t> </w:t>
      </w:r>
      <w:r>
        <w:rPr>
          <w:sz w:val="18"/>
        </w:rPr>
        <w:t>‘Press</w:t>
      </w:r>
      <w:r>
        <w:rPr>
          <w:spacing w:val="-8"/>
          <w:sz w:val="18"/>
        </w:rPr>
        <w:t> </w:t>
      </w:r>
      <w:r>
        <w:rPr>
          <w:sz w:val="18"/>
        </w:rPr>
        <w:t>Release:</w:t>
      </w:r>
      <w:r>
        <w:rPr>
          <w:spacing w:val="-7"/>
          <w:sz w:val="18"/>
        </w:rPr>
        <w:t> </w:t>
      </w:r>
      <w:r>
        <w:rPr>
          <w:sz w:val="18"/>
        </w:rPr>
        <w:t>Official</w:t>
      </w:r>
      <w:r>
        <w:rPr>
          <w:spacing w:val="-8"/>
          <w:sz w:val="18"/>
        </w:rPr>
        <w:t> </w:t>
      </w:r>
      <w:r>
        <w:rPr>
          <w:sz w:val="18"/>
        </w:rPr>
        <w:t>opening</w:t>
      </w:r>
      <w:r>
        <w:rPr>
          <w:spacing w:val="-7"/>
          <w:sz w:val="18"/>
        </w:rPr>
        <w:t> </w:t>
      </w:r>
      <w:r>
        <w:rPr>
          <w:sz w:val="18"/>
        </w:rPr>
        <w:t>of</w:t>
      </w:r>
      <w:r>
        <w:rPr>
          <w:spacing w:val="-8"/>
          <w:sz w:val="18"/>
        </w:rPr>
        <w:t> </w:t>
      </w:r>
      <w:r>
        <w:rPr>
          <w:sz w:val="18"/>
        </w:rPr>
        <w:t>Belfast</w:t>
      </w:r>
      <w:r>
        <w:rPr>
          <w:spacing w:val="-7"/>
          <w:sz w:val="18"/>
        </w:rPr>
        <w:t> </w:t>
      </w:r>
      <w:r>
        <w:rPr>
          <w:sz w:val="18"/>
        </w:rPr>
        <w:t>Remote</w:t>
      </w:r>
      <w:r>
        <w:rPr>
          <w:spacing w:val="-7"/>
          <w:sz w:val="18"/>
        </w:rPr>
        <w:t> </w:t>
      </w:r>
      <w:r>
        <w:rPr>
          <w:sz w:val="18"/>
        </w:rPr>
        <w:t>Evidence</w:t>
      </w:r>
      <w:r>
        <w:rPr>
          <w:spacing w:val="-7"/>
          <w:sz w:val="18"/>
        </w:rPr>
        <w:t> </w:t>
      </w:r>
      <w:r>
        <w:rPr>
          <w:sz w:val="18"/>
        </w:rPr>
        <w:t>Centre’,</w:t>
      </w:r>
      <w:r>
        <w:rPr>
          <w:spacing w:val="-7"/>
          <w:sz w:val="18"/>
        </w:rPr>
        <w:t> </w:t>
      </w:r>
      <w:r>
        <w:rPr>
          <w:sz w:val="18"/>
        </w:rPr>
        <w:t>28</w:t>
      </w:r>
      <w:r>
        <w:rPr>
          <w:spacing w:val="-7"/>
          <w:sz w:val="18"/>
        </w:rPr>
        <w:t> </w:t>
      </w:r>
      <w:r>
        <w:rPr>
          <w:sz w:val="18"/>
        </w:rPr>
        <w:t>September</w:t>
      </w:r>
      <w:r>
        <w:rPr>
          <w:spacing w:val="-7"/>
          <w:sz w:val="18"/>
        </w:rPr>
        <w:t> </w:t>
      </w:r>
      <w:r>
        <w:rPr>
          <w:spacing w:val="-2"/>
          <w:sz w:val="18"/>
        </w:rPr>
        <w:t>2023.</w:t>
      </w:r>
    </w:p>
    <w:p>
      <w:pPr>
        <w:pStyle w:val="ListParagraph"/>
        <w:numPr>
          <w:ilvl w:val="0"/>
          <w:numId w:val="11"/>
        </w:numPr>
        <w:tabs>
          <w:tab w:pos="1853" w:val="left" w:leader="none"/>
        </w:tabs>
        <w:spacing w:line="216" w:lineRule="exact" w:before="0" w:after="0"/>
        <w:ind w:left="1853" w:right="0" w:hanging="720"/>
        <w:jc w:val="left"/>
        <w:rPr>
          <w:sz w:val="18"/>
        </w:rPr>
      </w:pPr>
      <w:r>
        <w:rPr>
          <w:spacing w:val="-4"/>
          <w:sz w:val="18"/>
        </w:rPr>
        <w:t>Ibid.</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Letter</w:t>
      </w:r>
      <w:r>
        <w:rPr>
          <w:spacing w:val="-4"/>
          <w:sz w:val="18"/>
        </w:rPr>
        <w:t> </w:t>
      </w:r>
      <w:r>
        <w:rPr>
          <w:sz w:val="18"/>
        </w:rPr>
        <w:t>from</w:t>
      </w:r>
      <w:r>
        <w:rPr>
          <w:spacing w:val="-3"/>
          <w:sz w:val="18"/>
        </w:rPr>
        <w:t> </w:t>
      </w:r>
      <w:r>
        <w:rPr>
          <w:sz w:val="18"/>
        </w:rPr>
        <w:t>the</w:t>
      </w:r>
      <w:r>
        <w:rPr>
          <w:spacing w:val="-4"/>
          <w:sz w:val="18"/>
        </w:rPr>
        <w:t> </w:t>
      </w: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5"/>
          <w:sz w:val="18"/>
        </w:rPr>
        <w:t> </w:t>
      </w:r>
      <w:r>
        <w:rPr>
          <w:sz w:val="18"/>
        </w:rPr>
        <w:t>to</w:t>
      </w:r>
      <w:r>
        <w:rPr>
          <w:spacing w:val="-4"/>
          <w:sz w:val="18"/>
        </w:rPr>
        <w:t> </w:t>
      </w:r>
      <w:r>
        <w:rPr>
          <w:sz w:val="18"/>
        </w:rPr>
        <w:t>the</w:t>
      </w:r>
      <w:r>
        <w:rPr>
          <w:spacing w:val="-3"/>
          <w:sz w:val="18"/>
        </w:rPr>
        <w:t> </w:t>
      </w:r>
      <w:r>
        <w:rPr>
          <w:sz w:val="18"/>
        </w:rPr>
        <w:t>Minister</w:t>
      </w:r>
      <w:r>
        <w:rPr>
          <w:spacing w:val="-4"/>
          <w:sz w:val="18"/>
        </w:rPr>
        <w:t> </w:t>
      </w:r>
      <w:r>
        <w:rPr>
          <w:sz w:val="18"/>
        </w:rPr>
        <w:t>of</w:t>
      </w:r>
      <w:r>
        <w:rPr>
          <w:spacing w:val="-4"/>
          <w:sz w:val="18"/>
        </w:rPr>
        <w:t> </w:t>
      </w:r>
      <w:r>
        <w:rPr>
          <w:sz w:val="18"/>
        </w:rPr>
        <w:t>Justice,</w:t>
      </w:r>
      <w:r>
        <w:rPr>
          <w:spacing w:val="-3"/>
          <w:sz w:val="18"/>
        </w:rPr>
        <w:t> </w:t>
      </w:r>
      <w:r>
        <w:rPr>
          <w:sz w:val="18"/>
        </w:rPr>
        <w:t>Naomi</w:t>
      </w:r>
      <w:r>
        <w:rPr>
          <w:spacing w:val="-4"/>
          <w:sz w:val="18"/>
        </w:rPr>
        <w:t> </w:t>
      </w:r>
      <w:r>
        <w:rPr>
          <w:sz w:val="18"/>
        </w:rPr>
        <w:t>Long</w:t>
      </w:r>
      <w:r>
        <w:rPr>
          <w:spacing w:val="-4"/>
          <w:sz w:val="18"/>
        </w:rPr>
        <w:t> </w:t>
      </w:r>
      <w:r>
        <w:rPr>
          <w:sz w:val="18"/>
        </w:rPr>
        <w:t>MLA,</w:t>
      </w:r>
      <w:r>
        <w:rPr>
          <w:spacing w:val="-3"/>
          <w:sz w:val="18"/>
        </w:rPr>
        <w:t> </w:t>
      </w:r>
      <w:r>
        <w:rPr>
          <w:sz w:val="18"/>
        </w:rPr>
        <w:t>26</w:t>
      </w:r>
      <w:r>
        <w:rPr>
          <w:spacing w:val="-4"/>
          <w:sz w:val="18"/>
        </w:rPr>
        <w:t> </w:t>
      </w:r>
      <w:r>
        <w:rPr>
          <w:sz w:val="18"/>
        </w:rPr>
        <w:t>February</w:t>
      </w:r>
      <w:r>
        <w:rPr>
          <w:spacing w:val="-3"/>
          <w:sz w:val="18"/>
        </w:rPr>
        <w:t> </w:t>
      </w:r>
      <w:r>
        <w:rPr>
          <w:spacing w:val="-2"/>
          <w:sz w:val="18"/>
        </w:rPr>
        <w:t>2024.</w:t>
      </w:r>
    </w:p>
    <w:p>
      <w:pPr>
        <w:pStyle w:val="ListParagraph"/>
        <w:numPr>
          <w:ilvl w:val="0"/>
          <w:numId w:val="11"/>
        </w:numPr>
        <w:tabs>
          <w:tab w:pos="1853" w:val="left" w:leader="none"/>
        </w:tabs>
        <w:spacing w:line="218" w:lineRule="exact" w:before="0" w:after="0"/>
        <w:ind w:left="1853" w:right="0" w:hanging="720"/>
        <w:jc w:val="left"/>
        <w:rPr>
          <w:sz w:val="18"/>
        </w:rPr>
      </w:pPr>
      <w:r>
        <w:rPr>
          <w:sz w:val="18"/>
        </w:rPr>
        <w:t>Letter</w:t>
      </w:r>
      <w:r>
        <w:rPr>
          <w:spacing w:val="-3"/>
          <w:sz w:val="18"/>
        </w:rPr>
        <w:t> </w:t>
      </w:r>
      <w:r>
        <w:rPr>
          <w:sz w:val="18"/>
        </w:rPr>
        <w:t>from</w:t>
      </w:r>
      <w:r>
        <w:rPr>
          <w:spacing w:val="-3"/>
          <w:sz w:val="18"/>
        </w:rPr>
        <w:t> </w:t>
      </w:r>
      <w:r>
        <w:rPr>
          <w:sz w:val="18"/>
        </w:rPr>
        <w:t>the</w:t>
      </w:r>
      <w:r>
        <w:rPr>
          <w:spacing w:val="-3"/>
          <w:sz w:val="18"/>
        </w:rPr>
        <w:t> </w:t>
      </w:r>
      <w:r>
        <w:rPr>
          <w:sz w:val="18"/>
        </w:rPr>
        <w:t>Minister</w:t>
      </w:r>
      <w:r>
        <w:rPr>
          <w:spacing w:val="-3"/>
          <w:sz w:val="18"/>
        </w:rPr>
        <w:t> </w:t>
      </w:r>
      <w:r>
        <w:rPr>
          <w:sz w:val="18"/>
        </w:rPr>
        <w:t>of</w:t>
      </w:r>
      <w:r>
        <w:rPr>
          <w:spacing w:val="-4"/>
          <w:sz w:val="18"/>
        </w:rPr>
        <w:t> </w:t>
      </w:r>
      <w:r>
        <w:rPr>
          <w:sz w:val="18"/>
        </w:rPr>
        <w:t>Justice,</w:t>
      </w:r>
      <w:r>
        <w:rPr>
          <w:spacing w:val="-3"/>
          <w:sz w:val="18"/>
        </w:rPr>
        <w:t> </w:t>
      </w:r>
      <w:r>
        <w:rPr>
          <w:sz w:val="18"/>
        </w:rPr>
        <w:t>Naomi</w:t>
      </w:r>
      <w:r>
        <w:rPr>
          <w:spacing w:val="-3"/>
          <w:sz w:val="18"/>
        </w:rPr>
        <w:t> </w:t>
      </w:r>
      <w:r>
        <w:rPr>
          <w:sz w:val="18"/>
        </w:rPr>
        <w:t>Long</w:t>
      </w:r>
      <w:r>
        <w:rPr>
          <w:spacing w:val="-3"/>
          <w:sz w:val="18"/>
        </w:rPr>
        <w:t> </w:t>
      </w:r>
      <w:r>
        <w:rPr>
          <w:sz w:val="18"/>
        </w:rPr>
        <w:t>MLA,</w:t>
      </w:r>
      <w:r>
        <w:rPr>
          <w:spacing w:val="-3"/>
          <w:sz w:val="18"/>
        </w:rPr>
        <w:t> </w:t>
      </w:r>
      <w:r>
        <w:rPr>
          <w:sz w:val="18"/>
        </w:rPr>
        <w:t>to</w:t>
      </w:r>
      <w:r>
        <w:rPr>
          <w:spacing w:val="-4"/>
          <w:sz w:val="18"/>
        </w:rPr>
        <w:t> </w:t>
      </w:r>
      <w:r>
        <w:rPr>
          <w:sz w:val="18"/>
        </w:rPr>
        <w:t>the</w:t>
      </w:r>
      <w:r>
        <w:rPr>
          <w:spacing w:val="-3"/>
          <w:sz w:val="18"/>
        </w:rPr>
        <w:t> </w:t>
      </w:r>
      <w:r>
        <w:rPr>
          <w:sz w:val="18"/>
        </w:rPr>
        <w:t>NI</w:t>
      </w:r>
      <w:r>
        <w:rPr>
          <w:spacing w:val="-3"/>
          <w:sz w:val="18"/>
        </w:rPr>
        <w:t> </w:t>
      </w:r>
      <w:r>
        <w:rPr>
          <w:sz w:val="18"/>
        </w:rPr>
        <w:t>Human</w:t>
      </w:r>
      <w:r>
        <w:rPr>
          <w:spacing w:val="-4"/>
          <w:sz w:val="18"/>
        </w:rPr>
        <w:t> </w:t>
      </w:r>
      <w:r>
        <w:rPr>
          <w:sz w:val="18"/>
        </w:rPr>
        <w:t>Rights</w:t>
      </w:r>
      <w:r>
        <w:rPr>
          <w:spacing w:val="-3"/>
          <w:sz w:val="18"/>
        </w:rPr>
        <w:t> </w:t>
      </w:r>
      <w:r>
        <w:rPr>
          <w:sz w:val="18"/>
        </w:rPr>
        <w:t>Commission,</w:t>
      </w:r>
      <w:r>
        <w:rPr>
          <w:spacing w:val="-3"/>
          <w:sz w:val="18"/>
        </w:rPr>
        <w:t> </w:t>
      </w:r>
      <w:r>
        <w:rPr>
          <w:sz w:val="18"/>
        </w:rPr>
        <w:t>7</w:t>
      </w:r>
      <w:r>
        <w:rPr>
          <w:spacing w:val="-3"/>
          <w:sz w:val="18"/>
        </w:rPr>
        <w:t> </w:t>
      </w:r>
      <w:r>
        <w:rPr>
          <w:sz w:val="18"/>
        </w:rPr>
        <w:t>March</w:t>
      </w:r>
      <w:r>
        <w:rPr>
          <w:spacing w:val="-4"/>
          <w:sz w:val="18"/>
        </w:rPr>
        <w:t> </w:t>
      </w:r>
      <w:r>
        <w:rPr>
          <w:spacing w:val="-2"/>
          <w:sz w:val="18"/>
        </w:rPr>
        <w:t>2024.</w:t>
      </w:r>
    </w:p>
    <w:p>
      <w:pPr>
        <w:spacing w:after="0" w:line="218" w:lineRule="exact"/>
        <w:jc w:val="left"/>
        <w:rPr>
          <w:sz w:val="18"/>
        </w:rPr>
        <w:sectPr>
          <w:pgSz w:w="11910" w:h="16840"/>
          <w:pgMar w:header="496" w:footer="367" w:top="1220" w:bottom="560" w:left="0" w:right="0"/>
        </w:sectPr>
      </w:pPr>
    </w:p>
    <w:p>
      <w:pPr>
        <w:pStyle w:val="BodyText"/>
        <w:spacing w:before="198"/>
      </w:pPr>
    </w:p>
    <w:p>
      <w:pPr>
        <w:pStyle w:val="ListParagraph"/>
        <w:numPr>
          <w:ilvl w:val="1"/>
          <w:numId w:val="7"/>
        </w:numPr>
        <w:tabs>
          <w:tab w:pos="1853" w:val="left" w:leader="none"/>
        </w:tabs>
        <w:spacing w:line="225" w:lineRule="auto" w:before="0" w:after="0"/>
        <w:ind w:left="1853" w:right="1890" w:hanging="720"/>
        <w:jc w:val="left"/>
        <w:rPr>
          <w:sz w:val="28"/>
        </w:rPr>
      </w:pPr>
      <w:bookmarkStart w:name="_bookmark43" w:id="96"/>
      <w:bookmarkEnd w:id="96"/>
      <w:r>
        <w:rPr/>
      </w:r>
      <w:r>
        <w:rPr>
          <w:sz w:val="28"/>
        </w:rPr>
        <w:t>In</w:t>
      </w:r>
      <w:r>
        <w:rPr>
          <w:spacing w:val="-7"/>
          <w:sz w:val="28"/>
        </w:rPr>
        <w:t> </w:t>
      </w:r>
      <w:r>
        <w:rPr>
          <w:sz w:val="28"/>
        </w:rPr>
        <w:t>March</w:t>
      </w:r>
      <w:r>
        <w:rPr>
          <w:spacing w:val="-7"/>
          <w:sz w:val="28"/>
        </w:rPr>
        <w:t> </w:t>
      </w:r>
      <w:r>
        <w:rPr>
          <w:sz w:val="28"/>
        </w:rPr>
        <w:t>2024,</w:t>
      </w:r>
      <w:r>
        <w:rPr>
          <w:spacing w:val="-6"/>
          <w:sz w:val="28"/>
        </w:rPr>
        <w:t> </w:t>
      </w:r>
      <w:r>
        <w:rPr>
          <w:sz w:val="28"/>
        </w:rPr>
        <w:t>the</w:t>
      </w:r>
      <w:r>
        <w:rPr>
          <w:spacing w:val="-6"/>
          <w:sz w:val="28"/>
        </w:rPr>
        <w:t> </w:t>
      </w:r>
      <w:r>
        <w:rPr>
          <w:sz w:val="28"/>
        </w:rPr>
        <w:t>Department</w:t>
      </w:r>
      <w:r>
        <w:rPr>
          <w:spacing w:val="-6"/>
          <w:sz w:val="28"/>
        </w:rPr>
        <w:t> </w:t>
      </w:r>
      <w:r>
        <w:rPr>
          <w:sz w:val="28"/>
        </w:rPr>
        <w:t>of</w:t>
      </w:r>
      <w:r>
        <w:rPr>
          <w:spacing w:val="-7"/>
          <w:sz w:val="28"/>
        </w:rPr>
        <w:t> </w:t>
      </w:r>
      <w:r>
        <w:rPr>
          <w:sz w:val="28"/>
        </w:rPr>
        <w:t>Justice</w:t>
      </w:r>
      <w:r>
        <w:rPr>
          <w:spacing w:val="-6"/>
          <w:sz w:val="28"/>
        </w:rPr>
        <w:t> </w:t>
      </w:r>
      <w:r>
        <w:rPr>
          <w:sz w:val="28"/>
        </w:rPr>
        <w:t>laid</w:t>
      </w:r>
      <w:r>
        <w:rPr>
          <w:spacing w:val="-7"/>
          <w:sz w:val="28"/>
        </w:rPr>
        <w:t> </w:t>
      </w:r>
      <w:r>
        <w:rPr>
          <w:sz w:val="28"/>
        </w:rPr>
        <w:t>regulations</w:t>
      </w:r>
      <w:r>
        <w:rPr>
          <w:spacing w:val="-7"/>
          <w:sz w:val="28"/>
        </w:rPr>
        <w:t> </w:t>
      </w:r>
      <w:r>
        <w:rPr>
          <w:sz w:val="28"/>
        </w:rPr>
        <w:t>extending</w:t>
      </w:r>
      <w:r>
        <w:rPr>
          <w:spacing w:val="-6"/>
          <w:sz w:val="28"/>
        </w:rPr>
        <w:t> </w:t>
      </w:r>
      <w:r>
        <w:rPr>
          <w:sz w:val="28"/>
        </w:rPr>
        <w:t>the provisions relating to live links for courts and tribunals for a further six </w:t>
      </w:r>
      <w:r>
        <w:rPr>
          <w:spacing w:val="-2"/>
          <w:sz w:val="28"/>
        </w:rPr>
        <w:t>months.</w:t>
      </w:r>
      <w:r>
        <w:rPr>
          <w:spacing w:val="-2"/>
          <w:sz w:val="28"/>
          <w:vertAlign w:val="superscript"/>
        </w:rPr>
        <w:t>693</w:t>
      </w:r>
    </w:p>
    <w:p>
      <w:pPr>
        <w:pStyle w:val="BodyText"/>
        <w:spacing w:before="2"/>
        <w:rPr>
          <w:sz w:val="14"/>
        </w:rPr>
      </w:pPr>
      <w:r>
        <w:rPr/>
        <mc:AlternateContent>
          <mc:Choice Requires="wps">
            <w:drawing>
              <wp:anchor distT="0" distB="0" distL="0" distR="0" allowOverlap="1" layoutInCell="1" locked="0" behindDoc="1" simplePos="0" relativeHeight="487703040">
                <wp:simplePos x="0" y="0"/>
                <wp:positionH relativeFrom="page">
                  <wp:posOffset>720001</wp:posOffset>
                </wp:positionH>
                <wp:positionV relativeFrom="paragraph">
                  <wp:posOffset>125282</wp:posOffset>
                </wp:positionV>
                <wp:extent cx="6120130" cy="360045"/>
                <wp:effectExtent l="0" t="0" r="0" b="0"/>
                <wp:wrapTopAndBottom/>
                <wp:docPr id="530" name="Textbox 530"/>
                <wp:cNvGraphicFramePr>
                  <a:graphicFrameLocks/>
                </wp:cNvGraphicFramePr>
                <a:graphic>
                  <a:graphicData uri="http://schemas.microsoft.com/office/word/2010/wordprocessingShape">
                    <wps:wsp>
                      <wps:cNvPr id="530" name="Textbox 530"/>
                      <wps:cNvSpPr txBox="1"/>
                      <wps:spPr>
                        <a:xfrm>
                          <a:off x="0" y="0"/>
                          <a:ext cx="6120130" cy="360045"/>
                        </a:xfrm>
                        <a:prstGeom prst="rect">
                          <a:avLst/>
                        </a:prstGeom>
                        <a:solidFill>
                          <a:srgbClr val="393B7F"/>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9.864797pt;width:481.9pt;height:28.35pt;mso-position-horizontal-relative:page;mso-position-vertical-relative:paragraph;z-index:-15613440;mso-wrap-distance-left:0;mso-wrap-distance-right:0" type="#_x0000_t202" id="docshape475" filled="true" fillcolor="#393b7f"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208" w:after="0"/>
        <w:ind w:left="1853" w:right="1535" w:hanging="720"/>
        <w:jc w:val="left"/>
        <w:rPr>
          <w:b/>
          <w:color w:val="67287F"/>
          <w:sz w:val="28"/>
        </w:rPr>
      </w:pPr>
      <w:r>
        <w:rPr>
          <w:b/>
          <w:color w:val="67287F"/>
          <w:sz w:val="28"/>
        </w:rPr>
        <w:t>The NIHRC recommends that the Department of Justice, in line with international human rights standards and Windsor Framework Article 2, including the EU Victims’ Directive and the EU Interpretation Directive, continues</w:t>
      </w:r>
      <w:r>
        <w:rPr>
          <w:b/>
          <w:color w:val="67287F"/>
          <w:spacing w:val="-5"/>
          <w:sz w:val="28"/>
        </w:rPr>
        <w:t> </w:t>
      </w:r>
      <w:r>
        <w:rPr>
          <w:b/>
          <w:color w:val="67287F"/>
          <w:sz w:val="28"/>
        </w:rPr>
        <w:t>to</w:t>
      </w:r>
      <w:r>
        <w:rPr>
          <w:b/>
          <w:color w:val="67287F"/>
          <w:spacing w:val="-5"/>
          <w:sz w:val="28"/>
        </w:rPr>
        <w:t> </w:t>
      </w:r>
      <w:r>
        <w:rPr>
          <w:b/>
          <w:color w:val="67287F"/>
          <w:sz w:val="28"/>
        </w:rPr>
        <w:t>monitor</w:t>
      </w:r>
      <w:r>
        <w:rPr>
          <w:b/>
          <w:color w:val="67287F"/>
          <w:spacing w:val="-6"/>
          <w:sz w:val="28"/>
        </w:rPr>
        <w:t> </w:t>
      </w:r>
      <w:r>
        <w:rPr>
          <w:b/>
          <w:color w:val="67287F"/>
          <w:sz w:val="28"/>
        </w:rPr>
        <w:t>the</w:t>
      </w:r>
      <w:r>
        <w:rPr>
          <w:b/>
          <w:color w:val="67287F"/>
          <w:spacing w:val="-6"/>
          <w:sz w:val="28"/>
        </w:rPr>
        <w:t> </w:t>
      </w:r>
      <w:r>
        <w:rPr>
          <w:b/>
          <w:color w:val="67287F"/>
          <w:sz w:val="28"/>
        </w:rPr>
        <w:t>use</w:t>
      </w:r>
      <w:r>
        <w:rPr>
          <w:b/>
          <w:color w:val="67287F"/>
          <w:spacing w:val="-6"/>
          <w:sz w:val="28"/>
        </w:rPr>
        <w:t> </w:t>
      </w:r>
      <w:r>
        <w:rPr>
          <w:b/>
          <w:color w:val="67287F"/>
          <w:sz w:val="28"/>
        </w:rPr>
        <w:t>of</w:t>
      </w:r>
      <w:r>
        <w:rPr>
          <w:b/>
          <w:color w:val="67287F"/>
          <w:spacing w:val="-6"/>
          <w:sz w:val="28"/>
        </w:rPr>
        <w:t> </w:t>
      </w:r>
      <w:r>
        <w:rPr>
          <w:b/>
          <w:color w:val="67287F"/>
          <w:sz w:val="28"/>
        </w:rPr>
        <w:t>live</w:t>
      </w:r>
      <w:r>
        <w:rPr>
          <w:b/>
          <w:color w:val="67287F"/>
          <w:spacing w:val="-6"/>
          <w:sz w:val="28"/>
        </w:rPr>
        <w:t> </w:t>
      </w:r>
      <w:r>
        <w:rPr>
          <w:b/>
          <w:color w:val="67287F"/>
          <w:sz w:val="28"/>
        </w:rPr>
        <w:t>links</w:t>
      </w:r>
      <w:r>
        <w:rPr>
          <w:b/>
          <w:color w:val="67287F"/>
          <w:spacing w:val="-5"/>
          <w:sz w:val="28"/>
        </w:rPr>
        <w:t> </w:t>
      </w:r>
      <w:r>
        <w:rPr>
          <w:b/>
          <w:color w:val="67287F"/>
          <w:sz w:val="28"/>
        </w:rPr>
        <w:t>to</w:t>
      </w:r>
      <w:r>
        <w:rPr>
          <w:b/>
          <w:color w:val="67287F"/>
          <w:spacing w:val="-5"/>
          <w:sz w:val="28"/>
        </w:rPr>
        <w:t> </w:t>
      </w:r>
      <w:r>
        <w:rPr>
          <w:b/>
          <w:color w:val="67287F"/>
          <w:sz w:val="28"/>
        </w:rPr>
        <w:t>identify</w:t>
      </w:r>
      <w:r>
        <w:rPr>
          <w:b/>
          <w:color w:val="67287F"/>
          <w:spacing w:val="-5"/>
          <w:sz w:val="28"/>
        </w:rPr>
        <w:t> </w:t>
      </w:r>
      <w:r>
        <w:rPr>
          <w:b/>
          <w:color w:val="67287F"/>
          <w:sz w:val="28"/>
        </w:rPr>
        <w:t>individuals</w:t>
      </w:r>
      <w:r>
        <w:rPr>
          <w:b/>
          <w:color w:val="67287F"/>
          <w:spacing w:val="-5"/>
          <w:sz w:val="28"/>
        </w:rPr>
        <w:t> </w:t>
      </w:r>
      <w:r>
        <w:rPr>
          <w:b/>
          <w:color w:val="67287F"/>
          <w:sz w:val="28"/>
        </w:rPr>
        <w:t>for</w:t>
      </w:r>
      <w:r>
        <w:rPr>
          <w:b/>
          <w:color w:val="67287F"/>
          <w:spacing w:val="-6"/>
          <w:sz w:val="28"/>
        </w:rPr>
        <w:t> </w:t>
      </w:r>
      <w:r>
        <w:rPr>
          <w:b/>
          <w:color w:val="67287F"/>
          <w:sz w:val="28"/>
        </w:rPr>
        <w:t>whom it is not suitable, particularly in the</w:t>
      </w:r>
      <w:r>
        <w:rPr>
          <w:b/>
          <w:color w:val="67287F"/>
          <w:spacing w:val="-1"/>
          <w:sz w:val="28"/>
        </w:rPr>
        <w:t> </w:t>
      </w:r>
      <w:r>
        <w:rPr>
          <w:b/>
          <w:color w:val="67287F"/>
          <w:sz w:val="28"/>
        </w:rPr>
        <w:t>context of</w:t>
      </w:r>
      <w:r>
        <w:rPr>
          <w:b/>
          <w:color w:val="67287F"/>
          <w:spacing w:val="-1"/>
          <w:sz w:val="28"/>
        </w:rPr>
        <w:t> </w:t>
      </w:r>
      <w:r>
        <w:rPr>
          <w:b/>
          <w:color w:val="67287F"/>
          <w:sz w:val="28"/>
        </w:rPr>
        <w:t>reviews, hearings or</w:t>
      </w:r>
      <w:r>
        <w:rPr>
          <w:b/>
          <w:color w:val="67287F"/>
          <w:spacing w:val="-1"/>
          <w:sz w:val="28"/>
        </w:rPr>
        <w:t> </w:t>
      </w:r>
      <w:r>
        <w:rPr>
          <w:b/>
          <w:color w:val="67287F"/>
          <w:sz w:val="28"/>
        </w:rPr>
        <w:t>police </w:t>
      </w:r>
      <w:r>
        <w:rPr>
          <w:b/>
          <w:color w:val="67287F"/>
          <w:spacing w:val="-2"/>
          <w:sz w:val="28"/>
        </w:rPr>
        <w:t>interviews.</w:t>
      </w:r>
    </w:p>
    <w:p>
      <w:pPr>
        <w:pStyle w:val="ListParagraph"/>
        <w:numPr>
          <w:ilvl w:val="1"/>
          <w:numId w:val="7"/>
        </w:numPr>
        <w:tabs>
          <w:tab w:pos="1853" w:val="left" w:leader="none"/>
        </w:tabs>
        <w:spacing w:line="225" w:lineRule="auto" w:before="313" w:after="0"/>
        <w:ind w:left="1853" w:right="1359" w:hanging="720"/>
        <w:jc w:val="left"/>
        <w:rPr>
          <w:b/>
          <w:color w:val="67287F"/>
          <w:sz w:val="28"/>
        </w:rPr>
      </w:pPr>
      <w:r>
        <w:rPr>
          <w:b/>
          <w:color w:val="67287F"/>
          <w:sz w:val="28"/>
        </w:rPr>
        <w:t>The NIHRC continues to recommend that the Department of Justice issue clear</w:t>
      </w:r>
      <w:r>
        <w:rPr>
          <w:b/>
          <w:color w:val="67287F"/>
          <w:spacing w:val="-5"/>
          <w:sz w:val="28"/>
        </w:rPr>
        <w:t> </w:t>
      </w:r>
      <w:r>
        <w:rPr>
          <w:b/>
          <w:color w:val="67287F"/>
          <w:sz w:val="28"/>
        </w:rPr>
        <w:t>guidance</w:t>
      </w:r>
      <w:r>
        <w:rPr>
          <w:b/>
          <w:color w:val="67287F"/>
          <w:spacing w:val="-5"/>
          <w:sz w:val="28"/>
        </w:rPr>
        <w:t> </w:t>
      </w:r>
      <w:r>
        <w:rPr>
          <w:b/>
          <w:color w:val="67287F"/>
          <w:sz w:val="28"/>
        </w:rPr>
        <w:t>on</w:t>
      </w:r>
      <w:r>
        <w:rPr>
          <w:b/>
          <w:color w:val="67287F"/>
          <w:spacing w:val="-4"/>
          <w:sz w:val="28"/>
        </w:rPr>
        <w:t> </w:t>
      </w:r>
      <w:r>
        <w:rPr>
          <w:b/>
          <w:color w:val="67287F"/>
          <w:sz w:val="28"/>
        </w:rPr>
        <w:t>the</w:t>
      </w:r>
      <w:r>
        <w:rPr>
          <w:b/>
          <w:color w:val="67287F"/>
          <w:spacing w:val="-5"/>
          <w:sz w:val="28"/>
        </w:rPr>
        <w:t> </w:t>
      </w:r>
      <w:r>
        <w:rPr>
          <w:b/>
          <w:color w:val="67287F"/>
          <w:sz w:val="28"/>
        </w:rPr>
        <w:t>circumstances</w:t>
      </w:r>
      <w:r>
        <w:rPr>
          <w:b/>
          <w:color w:val="67287F"/>
          <w:spacing w:val="-4"/>
          <w:sz w:val="28"/>
        </w:rPr>
        <w:t> </w:t>
      </w:r>
      <w:r>
        <w:rPr>
          <w:b/>
          <w:color w:val="67287F"/>
          <w:sz w:val="28"/>
        </w:rPr>
        <w:t>in</w:t>
      </w:r>
      <w:r>
        <w:rPr>
          <w:b/>
          <w:color w:val="67287F"/>
          <w:spacing w:val="-4"/>
          <w:sz w:val="28"/>
        </w:rPr>
        <w:t> </w:t>
      </w:r>
      <w:r>
        <w:rPr>
          <w:b/>
          <w:color w:val="67287F"/>
          <w:sz w:val="28"/>
        </w:rPr>
        <w:t>which</w:t>
      </w:r>
      <w:r>
        <w:rPr>
          <w:b/>
          <w:color w:val="67287F"/>
          <w:spacing w:val="-4"/>
          <w:sz w:val="28"/>
        </w:rPr>
        <w:t> </w:t>
      </w:r>
      <w:r>
        <w:rPr>
          <w:b/>
          <w:color w:val="67287F"/>
          <w:sz w:val="28"/>
        </w:rPr>
        <w:t>live</w:t>
      </w:r>
      <w:r>
        <w:rPr>
          <w:b/>
          <w:color w:val="67287F"/>
          <w:spacing w:val="-5"/>
          <w:sz w:val="28"/>
        </w:rPr>
        <w:t> </w:t>
      </w:r>
      <w:r>
        <w:rPr>
          <w:b/>
          <w:color w:val="67287F"/>
          <w:sz w:val="28"/>
        </w:rPr>
        <w:t>links</w:t>
      </w:r>
      <w:r>
        <w:rPr>
          <w:b/>
          <w:color w:val="67287F"/>
          <w:spacing w:val="-4"/>
          <w:sz w:val="28"/>
        </w:rPr>
        <w:t> </w:t>
      </w:r>
      <w:r>
        <w:rPr>
          <w:b/>
          <w:color w:val="67287F"/>
          <w:sz w:val="28"/>
        </w:rPr>
        <w:t>can</w:t>
      </w:r>
      <w:r>
        <w:rPr>
          <w:b/>
          <w:color w:val="67287F"/>
          <w:spacing w:val="-4"/>
          <w:sz w:val="28"/>
        </w:rPr>
        <w:t> </w:t>
      </w:r>
      <w:r>
        <w:rPr>
          <w:b/>
          <w:color w:val="67287F"/>
          <w:sz w:val="28"/>
        </w:rPr>
        <w:t>be</w:t>
      </w:r>
      <w:r>
        <w:rPr>
          <w:b/>
          <w:color w:val="67287F"/>
          <w:spacing w:val="-5"/>
          <w:sz w:val="28"/>
        </w:rPr>
        <w:t> </w:t>
      </w:r>
      <w:r>
        <w:rPr>
          <w:b/>
          <w:color w:val="67287F"/>
          <w:sz w:val="28"/>
        </w:rPr>
        <w:t>used</w:t>
      </w:r>
      <w:r>
        <w:rPr>
          <w:b/>
          <w:color w:val="67287F"/>
          <w:spacing w:val="-4"/>
          <w:sz w:val="28"/>
        </w:rPr>
        <w:t> </w:t>
      </w:r>
      <w:r>
        <w:rPr>
          <w:b/>
          <w:color w:val="67287F"/>
          <w:sz w:val="28"/>
        </w:rPr>
        <w:t>and</w:t>
      </w:r>
      <w:r>
        <w:rPr>
          <w:b/>
          <w:color w:val="67287F"/>
          <w:spacing w:val="-4"/>
          <w:sz w:val="28"/>
        </w:rPr>
        <w:t> </w:t>
      </w:r>
      <w:r>
        <w:rPr>
          <w:b/>
          <w:color w:val="67287F"/>
          <w:sz w:val="28"/>
        </w:rPr>
        <w:t>the safeguards that should be in place to ensure such technology is accessible and used appropriately.</w:t>
      </w:r>
    </w:p>
    <w:p>
      <w:pPr>
        <w:pStyle w:val="BodyText"/>
        <w:rPr>
          <w:b/>
        </w:rPr>
      </w:pPr>
    </w:p>
    <w:p>
      <w:pPr>
        <w:pStyle w:val="Heading3"/>
      </w:pPr>
      <w:bookmarkStart w:name="Freedom of Expression" w:id="97"/>
      <w:bookmarkEnd w:id="97"/>
      <w:r>
        <w:rPr>
          <w:b w:val="0"/>
        </w:rPr>
      </w:r>
      <w:r>
        <w:rPr>
          <w:color w:val="67287F"/>
        </w:rPr>
        <w:t>Freedom</w:t>
      </w:r>
      <w:r>
        <w:rPr>
          <w:color w:val="67287F"/>
          <w:spacing w:val="-7"/>
        </w:rPr>
        <w:t> </w:t>
      </w:r>
      <w:r>
        <w:rPr>
          <w:color w:val="67287F"/>
        </w:rPr>
        <w:t>of</w:t>
      </w:r>
      <w:r>
        <w:rPr>
          <w:color w:val="67287F"/>
          <w:spacing w:val="-6"/>
        </w:rPr>
        <w:t> </w:t>
      </w:r>
      <w:r>
        <w:rPr>
          <w:color w:val="67287F"/>
          <w:spacing w:val="-2"/>
        </w:rPr>
        <w:t>Expression</w:t>
      </w:r>
    </w:p>
    <w:p>
      <w:pPr>
        <w:pStyle w:val="BodyText"/>
        <w:spacing w:before="6"/>
        <w:rPr>
          <w:b/>
          <w:sz w:val="5"/>
        </w:rPr>
      </w:pPr>
      <w:r>
        <w:rPr/>
        <mc:AlternateContent>
          <mc:Choice Requires="wps">
            <w:drawing>
              <wp:anchor distT="0" distB="0" distL="0" distR="0" allowOverlap="1" layoutInCell="1" locked="0" behindDoc="1" simplePos="0" relativeHeight="487703552">
                <wp:simplePos x="0" y="0"/>
                <wp:positionH relativeFrom="page">
                  <wp:posOffset>719997</wp:posOffset>
                </wp:positionH>
                <wp:positionV relativeFrom="paragraph">
                  <wp:posOffset>58305</wp:posOffset>
                </wp:positionV>
                <wp:extent cx="6120130" cy="1270"/>
                <wp:effectExtent l="0" t="0" r="0" b="0"/>
                <wp:wrapTopAndBottom/>
                <wp:docPr id="531" name="Graphic 531"/>
                <wp:cNvGraphicFramePr>
                  <a:graphicFrameLocks/>
                </wp:cNvGraphicFramePr>
                <a:graphic>
                  <a:graphicData uri="http://schemas.microsoft.com/office/word/2010/wordprocessingShape">
                    <wps:wsp>
                      <wps:cNvPr id="531" name="Graphic 531"/>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4.590969pt;width:481.9pt;height:.1pt;mso-position-horizontal-relative:page;mso-position-vertical-relative:paragraph;z-index:-15612928;mso-wrap-distance-left:0;mso-wrap-distance-right:0" id="docshape476" coordorigin="1134,92" coordsize="9638,0" path="m10772,92l1134,92e" filled="false" stroked="true" strokeweight="1pt" strokecolor="#67287f">
                <v:path arrowok="t"/>
                <v:stroke dashstyle="solid"/>
                <w10:wrap type="topAndBottom"/>
              </v:shape>
            </w:pict>
          </mc:Fallback>
        </mc:AlternateContent>
      </w:r>
    </w:p>
    <w:p>
      <w:pPr>
        <w:pStyle w:val="Heading5"/>
        <w:spacing w:before="311"/>
        <w:ind w:left="1133" w:firstLine="0"/>
      </w:pPr>
      <w:bookmarkStart w:name="Defamation (NI) Act 2022" w:id="98"/>
      <w:bookmarkEnd w:id="98"/>
      <w:r>
        <w:rPr>
          <w:b w:val="0"/>
        </w:rPr>
      </w:r>
      <w:r>
        <w:rPr>
          <w:color w:val="393B80"/>
        </w:rPr>
        <w:t>Defamation</w:t>
      </w:r>
      <w:r>
        <w:rPr>
          <w:color w:val="393B80"/>
          <w:spacing w:val="-6"/>
        </w:rPr>
        <w:t> </w:t>
      </w:r>
      <w:r>
        <w:rPr>
          <w:color w:val="393B80"/>
        </w:rPr>
        <w:t>(NI)</w:t>
      </w:r>
      <w:r>
        <w:rPr>
          <w:color w:val="393B80"/>
          <w:spacing w:val="-5"/>
        </w:rPr>
        <w:t> </w:t>
      </w:r>
      <w:r>
        <w:rPr>
          <w:color w:val="393B80"/>
        </w:rPr>
        <w:t>Act</w:t>
      </w:r>
      <w:r>
        <w:rPr>
          <w:color w:val="393B80"/>
          <w:spacing w:val="-5"/>
        </w:rPr>
        <w:t> </w:t>
      </w:r>
      <w:r>
        <w:rPr>
          <w:color w:val="393B80"/>
          <w:spacing w:val="-4"/>
        </w:rPr>
        <w:t>2022</w:t>
      </w:r>
    </w:p>
    <w:p>
      <w:pPr>
        <w:pStyle w:val="ListParagraph"/>
        <w:numPr>
          <w:ilvl w:val="1"/>
          <w:numId w:val="7"/>
        </w:numPr>
        <w:tabs>
          <w:tab w:pos="1853" w:val="left" w:leader="none"/>
        </w:tabs>
        <w:spacing w:line="225" w:lineRule="auto" w:before="331" w:after="0"/>
        <w:ind w:left="1853" w:right="1178" w:hanging="720"/>
        <w:jc w:val="left"/>
        <w:rPr>
          <w:sz w:val="28"/>
        </w:rPr>
      </w:pPr>
      <w:r>
        <w:rPr>
          <w:sz w:val="28"/>
        </w:rPr>
        <w:t>In 2008, the UN Human Rights Committee raised concerns that defamation laws</w:t>
      </w:r>
      <w:r>
        <w:rPr>
          <w:spacing w:val="-5"/>
          <w:sz w:val="28"/>
        </w:rPr>
        <w:t> </w:t>
      </w:r>
      <w:r>
        <w:rPr>
          <w:sz w:val="28"/>
        </w:rPr>
        <w:t>in</w:t>
      </w:r>
      <w:r>
        <w:rPr>
          <w:spacing w:val="-5"/>
          <w:sz w:val="28"/>
        </w:rPr>
        <w:t> </w:t>
      </w:r>
      <w:r>
        <w:rPr>
          <w:sz w:val="28"/>
        </w:rPr>
        <w:t>the</w:t>
      </w:r>
      <w:r>
        <w:rPr>
          <w:spacing w:val="-5"/>
          <w:sz w:val="28"/>
        </w:rPr>
        <w:t> </w:t>
      </w:r>
      <w:r>
        <w:rPr>
          <w:sz w:val="28"/>
        </w:rPr>
        <w:t>UK</w:t>
      </w:r>
      <w:r>
        <w:rPr>
          <w:spacing w:val="-5"/>
          <w:sz w:val="28"/>
        </w:rPr>
        <w:t> </w:t>
      </w:r>
      <w:r>
        <w:rPr>
          <w:sz w:val="28"/>
        </w:rPr>
        <w:t>were</w:t>
      </w:r>
      <w:r>
        <w:rPr>
          <w:spacing w:val="-5"/>
          <w:sz w:val="28"/>
        </w:rPr>
        <w:t> </w:t>
      </w:r>
      <w:r>
        <w:rPr>
          <w:sz w:val="28"/>
        </w:rPr>
        <w:t>“unduly</w:t>
      </w:r>
      <w:r>
        <w:rPr>
          <w:spacing w:val="-5"/>
          <w:sz w:val="28"/>
        </w:rPr>
        <w:t> </w:t>
      </w:r>
      <w:r>
        <w:rPr>
          <w:sz w:val="28"/>
        </w:rPr>
        <w:t>restrictive”,</w:t>
      </w:r>
      <w:r>
        <w:rPr>
          <w:spacing w:val="-5"/>
          <w:sz w:val="28"/>
        </w:rPr>
        <w:t> </w:t>
      </w:r>
      <w:r>
        <w:rPr>
          <w:sz w:val="28"/>
        </w:rPr>
        <w:t>noting</w:t>
      </w:r>
      <w:r>
        <w:rPr>
          <w:spacing w:val="-5"/>
          <w:sz w:val="28"/>
        </w:rPr>
        <w:t> </w:t>
      </w:r>
      <w:r>
        <w:rPr>
          <w:sz w:val="28"/>
        </w:rPr>
        <w:t>the</w:t>
      </w:r>
      <w:r>
        <w:rPr>
          <w:spacing w:val="-5"/>
          <w:sz w:val="28"/>
        </w:rPr>
        <w:t> </w:t>
      </w:r>
      <w:r>
        <w:rPr>
          <w:sz w:val="28"/>
        </w:rPr>
        <w:t>potential</w:t>
      </w:r>
      <w:r>
        <w:rPr>
          <w:spacing w:val="-5"/>
          <w:sz w:val="28"/>
        </w:rPr>
        <w:t> </w:t>
      </w:r>
      <w:r>
        <w:rPr>
          <w:sz w:val="28"/>
        </w:rPr>
        <w:t>chilling</w:t>
      </w:r>
      <w:r>
        <w:rPr>
          <w:spacing w:val="-5"/>
          <w:sz w:val="28"/>
        </w:rPr>
        <w:t> </w:t>
      </w:r>
      <w:r>
        <w:rPr>
          <w:sz w:val="28"/>
        </w:rPr>
        <w:t>effect</w:t>
      </w:r>
      <w:r>
        <w:rPr>
          <w:spacing w:val="-5"/>
          <w:sz w:val="28"/>
        </w:rPr>
        <w:t> </w:t>
      </w:r>
      <w:r>
        <w:rPr>
          <w:sz w:val="28"/>
        </w:rPr>
        <w:t>on freedom</w:t>
      </w:r>
      <w:r>
        <w:rPr>
          <w:spacing w:val="-13"/>
          <w:sz w:val="28"/>
        </w:rPr>
        <w:t> </w:t>
      </w:r>
      <w:r>
        <w:rPr>
          <w:sz w:val="28"/>
        </w:rPr>
        <w:t>of</w:t>
      </w:r>
      <w:r>
        <w:rPr>
          <w:spacing w:val="-14"/>
          <w:sz w:val="28"/>
        </w:rPr>
        <w:t> </w:t>
      </w:r>
      <w:r>
        <w:rPr>
          <w:sz w:val="28"/>
        </w:rPr>
        <w:t>expression</w:t>
      </w:r>
      <w:r>
        <w:rPr>
          <w:spacing w:val="-14"/>
          <w:sz w:val="28"/>
        </w:rPr>
        <w:t> </w:t>
      </w:r>
      <w:r>
        <w:rPr>
          <w:sz w:val="28"/>
        </w:rPr>
        <w:t>regarding</w:t>
      </w:r>
      <w:r>
        <w:rPr>
          <w:spacing w:val="-13"/>
          <w:sz w:val="28"/>
        </w:rPr>
        <w:t> </w:t>
      </w:r>
      <w:r>
        <w:rPr>
          <w:sz w:val="28"/>
        </w:rPr>
        <w:t>matters</w:t>
      </w:r>
      <w:r>
        <w:rPr>
          <w:spacing w:val="-14"/>
          <w:sz w:val="28"/>
        </w:rPr>
        <w:t> </w:t>
      </w:r>
      <w:r>
        <w:rPr>
          <w:sz w:val="28"/>
        </w:rPr>
        <w:t>of</w:t>
      </w:r>
      <w:r>
        <w:rPr>
          <w:spacing w:val="-14"/>
          <w:sz w:val="28"/>
        </w:rPr>
        <w:t> </w:t>
      </w:r>
      <w:r>
        <w:rPr>
          <w:sz w:val="28"/>
        </w:rPr>
        <w:t>public</w:t>
      </w:r>
      <w:r>
        <w:rPr>
          <w:spacing w:val="-13"/>
          <w:sz w:val="28"/>
        </w:rPr>
        <w:t> </w:t>
      </w:r>
      <w:r>
        <w:rPr>
          <w:sz w:val="28"/>
        </w:rPr>
        <w:t>interest.</w:t>
      </w:r>
      <w:r>
        <w:rPr>
          <w:sz w:val="28"/>
          <w:vertAlign w:val="superscript"/>
        </w:rPr>
        <w:t>694</w:t>
      </w:r>
      <w:r>
        <w:rPr>
          <w:spacing w:val="37"/>
          <w:sz w:val="28"/>
          <w:vertAlign w:val="baseline"/>
        </w:rPr>
        <w:t> </w:t>
      </w:r>
      <w:r>
        <w:rPr>
          <w:sz w:val="28"/>
          <w:vertAlign w:val="baseline"/>
        </w:rPr>
        <w:t>The</w:t>
      </w:r>
      <w:r>
        <w:rPr>
          <w:spacing w:val="-13"/>
          <w:sz w:val="28"/>
          <w:vertAlign w:val="baseline"/>
        </w:rPr>
        <w:t> </w:t>
      </w:r>
      <w:r>
        <w:rPr>
          <w:sz w:val="28"/>
          <w:vertAlign w:val="baseline"/>
        </w:rPr>
        <w:t>Defamation Act 2013, which does not extend to NI, addressed the UN Committee’s recommendation. In 2016 and 2017, the Department of Finance</w:t>
      </w:r>
      <w:r>
        <w:rPr>
          <w:sz w:val="28"/>
          <w:vertAlign w:val="superscript"/>
        </w:rPr>
        <w:t>695</w:t>
      </w:r>
      <w:r>
        <w:rPr>
          <w:sz w:val="28"/>
          <w:vertAlign w:val="baseline"/>
        </w:rPr>
        <w:t> and Sir John Gillen</w:t>
      </w:r>
      <w:r>
        <w:rPr>
          <w:sz w:val="28"/>
          <w:vertAlign w:val="superscript"/>
        </w:rPr>
        <w:t>696</w:t>
      </w:r>
      <w:r>
        <w:rPr>
          <w:sz w:val="28"/>
          <w:vertAlign w:val="baseline"/>
        </w:rPr>
        <w:t> recommended that a similar approach was taken in NI.</w:t>
      </w:r>
    </w:p>
    <w:p>
      <w:pPr>
        <w:pStyle w:val="ListParagraph"/>
        <w:numPr>
          <w:ilvl w:val="1"/>
          <w:numId w:val="7"/>
        </w:numPr>
        <w:tabs>
          <w:tab w:pos="1853" w:val="left" w:leader="none"/>
        </w:tabs>
        <w:spacing w:line="225" w:lineRule="auto" w:before="312" w:after="0"/>
        <w:ind w:left="1853" w:right="1485" w:hanging="720"/>
        <w:jc w:val="left"/>
        <w:rPr>
          <w:sz w:val="28"/>
        </w:rPr>
      </w:pPr>
      <w:r>
        <w:rPr>
          <w:sz w:val="28"/>
        </w:rPr>
        <w:t>In</w:t>
      </w:r>
      <w:r>
        <w:rPr>
          <w:spacing w:val="-8"/>
          <w:sz w:val="28"/>
        </w:rPr>
        <w:t> </w:t>
      </w:r>
      <w:r>
        <w:rPr>
          <w:sz w:val="28"/>
        </w:rPr>
        <w:t>2021,</w:t>
      </w:r>
      <w:r>
        <w:rPr>
          <w:spacing w:val="-7"/>
          <w:sz w:val="28"/>
        </w:rPr>
        <w:t> </w:t>
      </w:r>
      <w:r>
        <w:rPr>
          <w:sz w:val="28"/>
        </w:rPr>
        <w:t>Mike</w:t>
      </w:r>
      <w:r>
        <w:rPr>
          <w:spacing w:val="-7"/>
          <w:sz w:val="28"/>
        </w:rPr>
        <w:t> </w:t>
      </w:r>
      <w:r>
        <w:rPr>
          <w:sz w:val="28"/>
        </w:rPr>
        <w:t>Nesbitt</w:t>
      </w:r>
      <w:r>
        <w:rPr>
          <w:spacing w:val="-8"/>
          <w:sz w:val="28"/>
        </w:rPr>
        <w:t> </w:t>
      </w:r>
      <w:r>
        <w:rPr>
          <w:sz w:val="28"/>
        </w:rPr>
        <w:t>MLA</w:t>
      </w:r>
      <w:r>
        <w:rPr>
          <w:spacing w:val="-7"/>
          <w:sz w:val="28"/>
        </w:rPr>
        <w:t> </w:t>
      </w:r>
      <w:r>
        <w:rPr>
          <w:sz w:val="28"/>
        </w:rPr>
        <w:t>introduced</w:t>
      </w:r>
      <w:r>
        <w:rPr>
          <w:spacing w:val="-8"/>
          <w:sz w:val="28"/>
        </w:rPr>
        <w:t> </w:t>
      </w:r>
      <w:r>
        <w:rPr>
          <w:sz w:val="28"/>
        </w:rPr>
        <w:t>a</w:t>
      </w:r>
      <w:r>
        <w:rPr>
          <w:spacing w:val="-8"/>
          <w:sz w:val="28"/>
        </w:rPr>
        <w:t> </w:t>
      </w:r>
      <w:r>
        <w:rPr>
          <w:sz w:val="28"/>
        </w:rPr>
        <w:t>Private</w:t>
      </w:r>
      <w:r>
        <w:rPr>
          <w:spacing w:val="-7"/>
          <w:sz w:val="28"/>
        </w:rPr>
        <w:t> </w:t>
      </w:r>
      <w:r>
        <w:rPr>
          <w:sz w:val="28"/>
        </w:rPr>
        <w:t>Member’s</w:t>
      </w:r>
      <w:r>
        <w:rPr>
          <w:spacing w:val="-8"/>
          <w:sz w:val="28"/>
        </w:rPr>
        <w:t> </w:t>
      </w:r>
      <w:r>
        <w:rPr>
          <w:sz w:val="28"/>
        </w:rPr>
        <w:t>Bill</w:t>
      </w:r>
      <w:r>
        <w:rPr>
          <w:spacing w:val="-8"/>
          <w:sz w:val="28"/>
        </w:rPr>
        <w:t> </w:t>
      </w:r>
      <w:r>
        <w:rPr>
          <w:sz w:val="28"/>
        </w:rPr>
        <w:t>before</w:t>
      </w:r>
      <w:r>
        <w:rPr>
          <w:spacing w:val="-7"/>
          <w:sz w:val="28"/>
        </w:rPr>
        <w:t> </w:t>
      </w:r>
      <w:r>
        <w:rPr>
          <w:sz w:val="28"/>
        </w:rPr>
        <w:t>the</w:t>
      </w:r>
      <w:r>
        <w:rPr>
          <w:spacing w:val="-7"/>
          <w:sz w:val="28"/>
        </w:rPr>
        <w:t> </w:t>
      </w:r>
      <w:r>
        <w:rPr>
          <w:sz w:val="28"/>
        </w:rPr>
        <w:t>NI Assembly to replicate provisions in the Defamation Act 2013.</w:t>
      </w:r>
      <w:r>
        <w:rPr>
          <w:sz w:val="28"/>
          <w:vertAlign w:val="superscript"/>
        </w:rPr>
        <w:t>697</w:t>
      </w:r>
      <w:r>
        <w:rPr>
          <w:sz w:val="28"/>
          <w:vertAlign w:val="baseline"/>
        </w:rPr>
        <w:t> However, some</w:t>
      </w:r>
      <w:r>
        <w:rPr>
          <w:spacing w:val="-1"/>
          <w:sz w:val="28"/>
          <w:vertAlign w:val="baseline"/>
        </w:rPr>
        <w:t> </w:t>
      </w:r>
      <w:r>
        <w:rPr>
          <w:sz w:val="28"/>
          <w:vertAlign w:val="baseline"/>
        </w:rPr>
        <w:t>provisions</w:t>
      </w:r>
      <w:r>
        <w:rPr>
          <w:spacing w:val="-2"/>
          <w:sz w:val="28"/>
          <w:vertAlign w:val="baseline"/>
        </w:rPr>
        <w:t> </w:t>
      </w:r>
      <w:r>
        <w:rPr>
          <w:sz w:val="28"/>
          <w:vertAlign w:val="baseline"/>
        </w:rPr>
        <w:t>were</w:t>
      </w:r>
      <w:r>
        <w:rPr>
          <w:spacing w:val="-1"/>
          <w:sz w:val="28"/>
          <w:vertAlign w:val="baseline"/>
        </w:rPr>
        <w:t> </w:t>
      </w:r>
      <w:r>
        <w:rPr>
          <w:sz w:val="28"/>
          <w:vertAlign w:val="baseline"/>
        </w:rPr>
        <w:t>removed</w:t>
      </w:r>
      <w:r>
        <w:rPr>
          <w:spacing w:val="-2"/>
          <w:sz w:val="28"/>
          <w:vertAlign w:val="baseline"/>
        </w:rPr>
        <w:t> </w:t>
      </w:r>
      <w:r>
        <w:rPr>
          <w:sz w:val="28"/>
          <w:vertAlign w:val="baseline"/>
        </w:rPr>
        <w:t>from</w:t>
      </w:r>
      <w:r>
        <w:rPr>
          <w:spacing w:val="-1"/>
          <w:sz w:val="28"/>
          <w:vertAlign w:val="baseline"/>
        </w:rPr>
        <w:t> </w:t>
      </w:r>
      <w:r>
        <w:rPr>
          <w:sz w:val="28"/>
          <w:vertAlign w:val="baseline"/>
        </w:rPr>
        <w:t>the</w:t>
      </w:r>
      <w:r>
        <w:rPr>
          <w:spacing w:val="-1"/>
          <w:sz w:val="28"/>
          <w:vertAlign w:val="baseline"/>
        </w:rPr>
        <w:t> </w:t>
      </w:r>
      <w:r>
        <w:rPr>
          <w:sz w:val="28"/>
          <w:vertAlign w:val="baseline"/>
        </w:rPr>
        <w:t>Bill</w:t>
      </w:r>
      <w:r>
        <w:rPr>
          <w:spacing w:val="-2"/>
          <w:sz w:val="28"/>
          <w:vertAlign w:val="baseline"/>
        </w:rPr>
        <w:t> </w:t>
      </w:r>
      <w:r>
        <w:rPr>
          <w:sz w:val="28"/>
          <w:vertAlign w:val="baseline"/>
        </w:rPr>
        <w:t>as</w:t>
      </w:r>
      <w:r>
        <w:rPr>
          <w:spacing w:val="-2"/>
          <w:sz w:val="28"/>
          <w:vertAlign w:val="baseline"/>
        </w:rPr>
        <w:t> </w:t>
      </w:r>
      <w:r>
        <w:rPr>
          <w:sz w:val="28"/>
          <w:vertAlign w:val="baseline"/>
        </w:rPr>
        <w:t>it</w:t>
      </w:r>
      <w:r>
        <w:rPr>
          <w:spacing w:val="-1"/>
          <w:sz w:val="28"/>
          <w:vertAlign w:val="baseline"/>
        </w:rPr>
        <w:t> </w:t>
      </w:r>
      <w:r>
        <w:rPr>
          <w:sz w:val="28"/>
          <w:vertAlign w:val="baseline"/>
        </w:rPr>
        <w:t>made</w:t>
      </w:r>
      <w:r>
        <w:rPr>
          <w:spacing w:val="-1"/>
          <w:sz w:val="28"/>
          <w:vertAlign w:val="baseline"/>
        </w:rPr>
        <w:t> </w:t>
      </w:r>
      <w:r>
        <w:rPr>
          <w:sz w:val="28"/>
          <w:vertAlign w:val="baseline"/>
        </w:rPr>
        <w:t>its</w:t>
      </w:r>
      <w:r>
        <w:rPr>
          <w:spacing w:val="-2"/>
          <w:sz w:val="28"/>
          <w:vertAlign w:val="baseline"/>
        </w:rPr>
        <w:t> </w:t>
      </w:r>
      <w:r>
        <w:rPr>
          <w:sz w:val="28"/>
          <w:vertAlign w:val="baseline"/>
        </w:rPr>
        <w:t>way</w:t>
      </w:r>
      <w:r>
        <w:rPr>
          <w:spacing w:val="-1"/>
          <w:sz w:val="28"/>
          <w:vertAlign w:val="baseline"/>
        </w:rPr>
        <w:t> </w:t>
      </w:r>
      <w:r>
        <w:rPr>
          <w:sz w:val="28"/>
          <w:vertAlign w:val="baseline"/>
        </w:rPr>
        <w:t>through</w:t>
      </w:r>
      <w:r>
        <w:rPr>
          <w:spacing w:val="-2"/>
          <w:sz w:val="28"/>
          <w:vertAlign w:val="baseline"/>
        </w:rPr>
        <w:t> </w:t>
      </w:r>
      <w:r>
        <w:rPr>
          <w:sz w:val="28"/>
          <w:vertAlign w:val="baseline"/>
        </w:rPr>
        <w:t>the Assembly, most notably the serious harm test. This amendment ensured defamation cases could still be taken in NI even if no ‘serious harm’ is evidenced. In 2022, the Defamation (NI) Act 2022 received Royal Assent.</w:t>
      </w:r>
    </w:p>
    <w:p>
      <w:pPr>
        <w:pStyle w:val="BodyText"/>
        <w:rPr>
          <w:sz w:val="20"/>
        </w:rPr>
      </w:pPr>
    </w:p>
    <w:p>
      <w:pPr>
        <w:pStyle w:val="BodyText"/>
        <w:rPr>
          <w:sz w:val="20"/>
        </w:rPr>
      </w:pPr>
    </w:p>
    <w:p>
      <w:pPr>
        <w:pStyle w:val="BodyText"/>
        <w:spacing w:before="66"/>
        <w:rPr>
          <w:sz w:val="20"/>
        </w:rPr>
      </w:pPr>
      <w:r>
        <w:rPr/>
        <mc:AlternateContent>
          <mc:Choice Requires="wps">
            <w:drawing>
              <wp:anchor distT="0" distB="0" distL="0" distR="0" allowOverlap="1" layoutInCell="1" locked="0" behindDoc="1" simplePos="0" relativeHeight="487704064">
                <wp:simplePos x="0" y="0"/>
                <wp:positionH relativeFrom="page">
                  <wp:posOffset>719996</wp:posOffset>
                </wp:positionH>
                <wp:positionV relativeFrom="paragraph">
                  <wp:posOffset>212687</wp:posOffset>
                </wp:positionV>
                <wp:extent cx="6120130" cy="1270"/>
                <wp:effectExtent l="0" t="0" r="0" b="0"/>
                <wp:wrapTopAndBottom/>
                <wp:docPr id="532" name="Graphic 532"/>
                <wp:cNvGraphicFramePr>
                  <a:graphicFrameLocks/>
                </wp:cNvGraphicFramePr>
                <a:graphic>
                  <a:graphicData uri="http://schemas.microsoft.com/office/word/2010/wordprocessingShape">
                    <wps:wsp>
                      <wps:cNvPr id="532" name="Graphic 532"/>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6.747057pt;width:481.9pt;height:.1pt;mso-position-horizontal-relative:page;mso-position-vertical-relative:paragraph;z-index:-15612416;mso-wrap-distance-left:0;mso-wrap-distance-right:0" id="docshape477" coordorigin="1134,335" coordsize="9638,0" path="m10772,335l1134,335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18" w:lineRule="exact" w:before="134" w:after="0"/>
        <w:ind w:left="1853" w:right="0" w:hanging="720"/>
        <w:jc w:val="left"/>
        <w:rPr>
          <w:sz w:val="18"/>
        </w:rPr>
      </w:pPr>
      <w:r>
        <w:rPr>
          <w:sz w:val="18"/>
        </w:rPr>
        <w:t>The</w:t>
      </w:r>
      <w:r>
        <w:rPr>
          <w:spacing w:val="-5"/>
          <w:sz w:val="18"/>
        </w:rPr>
        <w:t> </w:t>
      </w:r>
      <w:r>
        <w:rPr>
          <w:sz w:val="18"/>
        </w:rPr>
        <w:t>Coronavirus</w:t>
      </w:r>
      <w:r>
        <w:rPr>
          <w:spacing w:val="-5"/>
          <w:sz w:val="18"/>
        </w:rPr>
        <w:t> </w:t>
      </w:r>
      <w:r>
        <w:rPr>
          <w:sz w:val="18"/>
        </w:rPr>
        <w:t>Act</w:t>
      </w:r>
      <w:r>
        <w:rPr>
          <w:spacing w:val="-5"/>
          <w:sz w:val="18"/>
        </w:rPr>
        <w:t> </w:t>
      </w:r>
      <w:r>
        <w:rPr>
          <w:sz w:val="18"/>
        </w:rPr>
        <w:t>2020</w:t>
      </w:r>
      <w:r>
        <w:rPr>
          <w:spacing w:val="-4"/>
          <w:sz w:val="18"/>
        </w:rPr>
        <w:t> </w:t>
      </w:r>
      <w:r>
        <w:rPr>
          <w:sz w:val="18"/>
        </w:rPr>
        <w:t>(Extension</w:t>
      </w:r>
      <w:r>
        <w:rPr>
          <w:spacing w:val="-5"/>
          <w:sz w:val="18"/>
        </w:rPr>
        <w:t> </w:t>
      </w:r>
      <w:r>
        <w:rPr>
          <w:sz w:val="18"/>
        </w:rPr>
        <w:t>of</w:t>
      </w:r>
      <w:r>
        <w:rPr>
          <w:spacing w:val="-5"/>
          <w:sz w:val="18"/>
        </w:rPr>
        <w:t> </w:t>
      </w:r>
      <w:r>
        <w:rPr>
          <w:sz w:val="18"/>
        </w:rPr>
        <w:t>Provisions</w:t>
      </w:r>
      <w:r>
        <w:rPr>
          <w:spacing w:val="-6"/>
          <w:sz w:val="18"/>
        </w:rPr>
        <w:t> </w:t>
      </w:r>
      <w:r>
        <w:rPr>
          <w:sz w:val="18"/>
        </w:rPr>
        <w:t>Relating</w:t>
      </w:r>
      <w:r>
        <w:rPr>
          <w:spacing w:val="-4"/>
          <w:sz w:val="18"/>
        </w:rPr>
        <w:t> </w:t>
      </w:r>
      <w:r>
        <w:rPr>
          <w:sz w:val="18"/>
        </w:rPr>
        <w:t>to</w:t>
      </w:r>
      <w:r>
        <w:rPr>
          <w:spacing w:val="-5"/>
          <w:sz w:val="18"/>
        </w:rPr>
        <w:t> </w:t>
      </w:r>
      <w:r>
        <w:rPr>
          <w:sz w:val="18"/>
        </w:rPr>
        <w:t>Live</w:t>
      </w:r>
      <w:r>
        <w:rPr>
          <w:spacing w:val="-5"/>
          <w:sz w:val="18"/>
        </w:rPr>
        <w:t> </w:t>
      </w:r>
      <w:r>
        <w:rPr>
          <w:sz w:val="18"/>
        </w:rPr>
        <w:t>Links</w:t>
      </w:r>
      <w:r>
        <w:rPr>
          <w:spacing w:val="-5"/>
          <w:sz w:val="18"/>
        </w:rPr>
        <w:t> </w:t>
      </w:r>
      <w:r>
        <w:rPr>
          <w:sz w:val="18"/>
        </w:rPr>
        <w:t>for</w:t>
      </w:r>
      <w:r>
        <w:rPr>
          <w:spacing w:val="-4"/>
          <w:sz w:val="18"/>
        </w:rPr>
        <w:t> </w:t>
      </w:r>
      <w:r>
        <w:rPr>
          <w:sz w:val="18"/>
        </w:rPr>
        <w:t>Courts</w:t>
      </w:r>
      <w:r>
        <w:rPr>
          <w:spacing w:val="-6"/>
          <w:sz w:val="18"/>
        </w:rPr>
        <w:t> </w:t>
      </w:r>
      <w:r>
        <w:rPr>
          <w:sz w:val="18"/>
        </w:rPr>
        <w:t>and</w:t>
      </w:r>
      <w:r>
        <w:rPr>
          <w:spacing w:val="-5"/>
          <w:sz w:val="18"/>
        </w:rPr>
        <w:t> </w:t>
      </w:r>
      <w:r>
        <w:rPr>
          <w:sz w:val="18"/>
        </w:rPr>
        <w:t>Tribunals)</w:t>
      </w:r>
      <w:r>
        <w:rPr>
          <w:spacing w:val="-5"/>
          <w:sz w:val="18"/>
        </w:rPr>
        <w:t> </w:t>
      </w:r>
      <w:r>
        <w:rPr>
          <w:sz w:val="18"/>
        </w:rPr>
        <w:t>(No</w:t>
      </w:r>
      <w:r>
        <w:rPr>
          <w:spacing w:val="-5"/>
          <w:sz w:val="18"/>
        </w:rPr>
        <w:t> </w:t>
      </w:r>
      <w:r>
        <w:rPr>
          <w:sz w:val="18"/>
        </w:rPr>
        <w:t>2)</w:t>
      </w:r>
      <w:r>
        <w:rPr>
          <w:spacing w:val="-6"/>
          <w:sz w:val="18"/>
        </w:rPr>
        <w:t> </w:t>
      </w:r>
      <w:r>
        <w:rPr>
          <w:sz w:val="18"/>
        </w:rPr>
        <w:t>Order</w:t>
      </w:r>
      <w:r>
        <w:rPr>
          <w:spacing w:val="-4"/>
          <w:sz w:val="18"/>
        </w:rPr>
        <w:t> </w:t>
      </w:r>
      <w:r>
        <w:rPr>
          <w:sz w:val="18"/>
        </w:rPr>
        <w:t>(NI)</w:t>
      </w:r>
      <w:r>
        <w:rPr>
          <w:spacing w:val="-5"/>
          <w:sz w:val="18"/>
        </w:rPr>
        <w:t> </w:t>
      </w:r>
      <w:r>
        <w:rPr>
          <w:spacing w:val="-2"/>
          <w:sz w:val="18"/>
        </w:rPr>
        <w:t>2023.</w:t>
      </w:r>
    </w:p>
    <w:p>
      <w:pPr>
        <w:pStyle w:val="ListParagraph"/>
        <w:numPr>
          <w:ilvl w:val="0"/>
          <w:numId w:val="11"/>
        </w:numPr>
        <w:tabs>
          <w:tab w:pos="1853" w:val="left" w:leader="none"/>
        </w:tabs>
        <w:spacing w:line="235" w:lineRule="auto" w:before="1" w:after="0"/>
        <w:ind w:left="1853" w:right="1312" w:hanging="720"/>
        <w:jc w:val="left"/>
        <w:rPr>
          <w:sz w:val="18"/>
        </w:rPr>
      </w:pPr>
      <w:r>
        <w:rPr>
          <w:sz w:val="18"/>
        </w:rPr>
        <w:t>CCPR/C/GBR/CO/6</w:t>
      </w:r>
      <w:r>
        <w:rPr>
          <w:spacing w:val="-5"/>
          <w:sz w:val="18"/>
        </w:rPr>
        <w:t> </w:t>
      </w:r>
      <w:r>
        <w:rPr>
          <w:sz w:val="18"/>
        </w:rPr>
        <w:t>‘Concluding</w:t>
      </w:r>
      <w:r>
        <w:rPr>
          <w:spacing w:val="-5"/>
          <w:sz w:val="18"/>
        </w:rPr>
        <w:t> </w:t>
      </w:r>
      <w:r>
        <w:rPr>
          <w:sz w:val="18"/>
        </w:rPr>
        <w:t>Observations</w:t>
      </w:r>
      <w:r>
        <w:rPr>
          <w:spacing w:val="-5"/>
          <w:sz w:val="18"/>
        </w:rPr>
        <w:t> </w:t>
      </w:r>
      <w:r>
        <w:rPr>
          <w:sz w:val="18"/>
        </w:rPr>
        <w:t>of</w:t>
      </w:r>
      <w:r>
        <w:rPr>
          <w:spacing w:val="-5"/>
          <w:sz w:val="18"/>
        </w:rPr>
        <w:t> </w:t>
      </w:r>
      <w:r>
        <w:rPr>
          <w:sz w:val="18"/>
        </w:rPr>
        <w:t>the</w:t>
      </w:r>
      <w:r>
        <w:rPr>
          <w:spacing w:val="-5"/>
          <w:sz w:val="18"/>
        </w:rPr>
        <w:t> </w:t>
      </w:r>
      <w:r>
        <w:rPr>
          <w:sz w:val="18"/>
        </w:rPr>
        <w:t>UN</w:t>
      </w:r>
      <w:r>
        <w:rPr>
          <w:spacing w:val="-5"/>
          <w:sz w:val="18"/>
        </w:rPr>
        <w:t> </w:t>
      </w:r>
      <w:r>
        <w:rPr>
          <w:sz w:val="18"/>
        </w:rPr>
        <w:t>Human</w:t>
      </w:r>
      <w:r>
        <w:rPr>
          <w:spacing w:val="-5"/>
          <w:sz w:val="18"/>
        </w:rPr>
        <w:t> </w:t>
      </w:r>
      <w:r>
        <w:rPr>
          <w:sz w:val="18"/>
        </w:rPr>
        <w:t>Rights</w:t>
      </w:r>
      <w:r>
        <w:rPr>
          <w:spacing w:val="-5"/>
          <w:sz w:val="18"/>
        </w:rPr>
        <w:t> </w:t>
      </w:r>
      <w:r>
        <w:rPr>
          <w:sz w:val="18"/>
        </w:rPr>
        <w:t>Committee</w:t>
      </w:r>
      <w:r>
        <w:rPr>
          <w:spacing w:val="-5"/>
          <w:sz w:val="18"/>
        </w:rPr>
        <w:t> </w:t>
      </w:r>
      <w:r>
        <w:rPr>
          <w:sz w:val="18"/>
        </w:rPr>
        <w:t>on</w:t>
      </w:r>
      <w:r>
        <w:rPr>
          <w:spacing w:val="-5"/>
          <w:sz w:val="18"/>
        </w:rPr>
        <w:t> </w:t>
      </w:r>
      <w:r>
        <w:rPr>
          <w:sz w:val="18"/>
        </w:rPr>
        <w:t>Sixth</w:t>
      </w:r>
      <w:r>
        <w:rPr>
          <w:spacing w:val="-5"/>
          <w:sz w:val="18"/>
        </w:rPr>
        <w:t> </w:t>
      </w:r>
      <w:r>
        <w:rPr>
          <w:sz w:val="18"/>
        </w:rPr>
        <w:t>Periodic</w:t>
      </w:r>
      <w:r>
        <w:rPr>
          <w:spacing w:val="-5"/>
          <w:sz w:val="18"/>
        </w:rPr>
        <w:t> </w:t>
      </w:r>
      <w:r>
        <w:rPr>
          <w:sz w:val="18"/>
        </w:rPr>
        <w:t>Report</w:t>
      </w:r>
      <w:r>
        <w:rPr>
          <w:spacing w:val="-5"/>
          <w:sz w:val="18"/>
        </w:rPr>
        <w:t> </w:t>
      </w:r>
      <w:r>
        <w:rPr>
          <w:sz w:val="18"/>
        </w:rPr>
        <w:t>Submitted</w:t>
      </w:r>
      <w:r>
        <w:rPr>
          <w:spacing w:val="-5"/>
          <w:sz w:val="18"/>
        </w:rPr>
        <w:t> </w:t>
      </w:r>
      <w:r>
        <w:rPr>
          <w:sz w:val="18"/>
        </w:rPr>
        <w:t>by the UK’, 30 July 2008.</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Andrew</w:t>
      </w:r>
      <w:r>
        <w:rPr>
          <w:spacing w:val="-7"/>
          <w:sz w:val="18"/>
        </w:rPr>
        <w:t> </w:t>
      </w:r>
      <w:r>
        <w:rPr>
          <w:sz w:val="18"/>
        </w:rPr>
        <w:t>Scott,</w:t>
      </w:r>
      <w:r>
        <w:rPr>
          <w:spacing w:val="-6"/>
          <w:sz w:val="18"/>
        </w:rPr>
        <w:t> </w:t>
      </w:r>
      <w:r>
        <w:rPr>
          <w:sz w:val="18"/>
        </w:rPr>
        <w:t>‘Reform</w:t>
      </w:r>
      <w:r>
        <w:rPr>
          <w:spacing w:val="-6"/>
          <w:sz w:val="18"/>
        </w:rPr>
        <w:t> </w:t>
      </w:r>
      <w:r>
        <w:rPr>
          <w:sz w:val="18"/>
        </w:rPr>
        <w:t>of</w:t>
      </w:r>
      <w:r>
        <w:rPr>
          <w:spacing w:val="-7"/>
          <w:sz w:val="18"/>
        </w:rPr>
        <w:t> </w:t>
      </w:r>
      <w:r>
        <w:rPr>
          <w:sz w:val="18"/>
        </w:rPr>
        <w:t>Defamation</w:t>
      </w:r>
      <w:r>
        <w:rPr>
          <w:spacing w:val="-7"/>
          <w:sz w:val="18"/>
        </w:rPr>
        <w:t> </w:t>
      </w:r>
      <w:r>
        <w:rPr>
          <w:sz w:val="18"/>
        </w:rPr>
        <w:t>Law</w:t>
      </w:r>
      <w:r>
        <w:rPr>
          <w:spacing w:val="-6"/>
          <w:sz w:val="18"/>
        </w:rPr>
        <w:t> </w:t>
      </w:r>
      <w:r>
        <w:rPr>
          <w:sz w:val="18"/>
        </w:rPr>
        <w:t>in</w:t>
      </w:r>
      <w:r>
        <w:rPr>
          <w:spacing w:val="-7"/>
          <w:sz w:val="18"/>
        </w:rPr>
        <w:t> </w:t>
      </w:r>
      <w:r>
        <w:rPr>
          <w:sz w:val="18"/>
        </w:rPr>
        <w:t>NI:</w:t>
      </w:r>
      <w:r>
        <w:rPr>
          <w:spacing w:val="-6"/>
          <w:sz w:val="18"/>
        </w:rPr>
        <w:t> </w:t>
      </w:r>
      <w:r>
        <w:rPr>
          <w:sz w:val="18"/>
        </w:rPr>
        <w:t>Recommendations</w:t>
      </w:r>
      <w:r>
        <w:rPr>
          <w:spacing w:val="-7"/>
          <w:sz w:val="18"/>
        </w:rPr>
        <w:t> </w:t>
      </w:r>
      <w:r>
        <w:rPr>
          <w:sz w:val="18"/>
        </w:rPr>
        <w:t>to</w:t>
      </w:r>
      <w:r>
        <w:rPr>
          <w:spacing w:val="-7"/>
          <w:sz w:val="18"/>
        </w:rPr>
        <w:t> </w:t>
      </w:r>
      <w:r>
        <w:rPr>
          <w:sz w:val="18"/>
        </w:rPr>
        <w:t>the</w:t>
      </w:r>
      <w:r>
        <w:rPr>
          <w:spacing w:val="-6"/>
          <w:sz w:val="18"/>
        </w:rPr>
        <w:t> </w:t>
      </w:r>
      <w:r>
        <w:rPr>
          <w:sz w:val="18"/>
        </w:rPr>
        <w:t>Department</w:t>
      </w:r>
      <w:r>
        <w:rPr>
          <w:spacing w:val="-6"/>
          <w:sz w:val="18"/>
        </w:rPr>
        <w:t> </w:t>
      </w:r>
      <w:r>
        <w:rPr>
          <w:sz w:val="18"/>
        </w:rPr>
        <w:t>of</w:t>
      </w:r>
      <w:r>
        <w:rPr>
          <w:spacing w:val="-7"/>
          <w:sz w:val="18"/>
        </w:rPr>
        <w:t> </w:t>
      </w:r>
      <w:r>
        <w:rPr>
          <w:sz w:val="18"/>
        </w:rPr>
        <w:t>Finance’</w:t>
      </w:r>
      <w:r>
        <w:rPr>
          <w:spacing w:val="-6"/>
          <w:sz w:val="18"/>
        </w:rPr>
        <w:t> </w:t>
      </w:r>
      <w:r>
        <w:rPr>
          <w:sz w:val="18"/>
        </w:rPr>
        <w:t>(DoF,</w:t>
      </w:r>
      <w:r>
        <w:rPr>
          <w:spacing w:val="-6"/>
          <w:sz w:val="18"/>
        </w:rPr>
        <w:t> </w:t>
      </w:r>
      <w:r>
        <w:rPr>
          <w:spacing w:val="-2"/>
          <w:sz w:val="18"/>
        </w:rPr>
        <w:t>2016).</w:t>
      </w:r>
    </w:p>
    <w:p>
      <w:pPr>
        <w:pStyle w:val="ListParagraph"/>
        <w:numPr>
          <w:ilvl w:val="0"/>
          <w:numId w:val="11"/>
        </w:numPr>
        <w:tabs>
          <w:tab w:pos="1853" w:val="left" w:leader="none"/>
        </w:tabs>
        <w:spacing w:line="235" w:lineRule="auto" w:before="2" w:after="0"/>
        <w:ind w:left="1853" w:right="2004" w:hanging="720"/>
        <w:jc w:val="left"/>
        <w:rPr>
          <w:sz w:val="18"/>
        </w:rPr>
      </w:pPr>
      <w:r>
        <w:rPr>
          <w:sz w:val="18"/>
        </w:rPr>
        <w:t>Office</w:t>
      </w:r>
      <w:r>
        <w:rPr>
          <w:spacing w:val="-5"/>
          <w:sz w:val="18"/>
        </w:rPr>
        <w:t> </w:t>
      </w:r>
      <w:r>
        <w:rPr>
          <w:sz w:val="18"/>
        </w:rPr>
        <w:t>of</w:t>
      </w:r>
      <w:r>
        <w:rPr>
          <w:spacing w:val="-5"/>
          <w:sz w:val="18"/>
        </w:rPr>
        <w:t> </w:t>
      </w:r>
      <w:r>
        <w:rPr>
          <w:sz w:val="18"/>
        </w:rPr>
        <w:t>the</w:t>
      </w:r>
      <w:r>
        <w:rPr>
          <w:spacing w:val="-5"/>
          <w:sz w:val="18"/>
        </w:rPr>
        <w:t> </w:t>
      </w:r>
      <w:r>
        <w:rPr>
          <w:sz w:val="18"/>
        </w:rPr>
        <w:t>Lord</w:t>
      </w:r>
      <w:r>
        <w:rPr>
          <w:spacing w:val="-5"/>
          <w:sz w:val="18"/>
        </w:rPr>
        <w:t> </w:t>
      </w:r>
      <w:r>
        <w:rPr>
          <w:sz w:val="18"/>
        </w:rPr>
        <w:t>Chief</w:t>
      </w:r>
      <w:r>
        <w:rPr>
          <w:spacing w:val="-5"/>
          <w:sz w:val="18"/>
        </w:rPr>
        <w:t> </w:t>
      </w:r>
      <w:r>
        <w:rPr>
          <w:sz w:val="18"/>
        </w:rPr>
        <w:t>Justice,</w:t>
      </w:r>
      <w:r>
        <w:rPr>
          <w:spacing w:val="-5"/>
          <w:sz w:val="18"/>
        </w:rPr>
        <w:t> </w:t>
      </w:r>
      <w:r>
        <w:rPr>
          <w:sz w:val="18"/>
        </w:rPr>
        <w:t>‘Reform</w:t>
      </w:r>
      <w:r>
        <w:rPr>
          <w:spacing w:val="-5"/>
          <w:sz w:val="18"/>
        </w:rPr>
        <w:t> </w:t>
      </w:r>
      <w:r>
        <w:rPr>
          <w:sz w:val="18"/>
        </w:rPr>
        <w:t>of</w:t>
      </w:r>
      <w:r>
        <w:rPr>
          <w:spacing w:val="-5"/>
          <w:sz w:val="18"/>
        </w:rPr>
        <w:t> </w:t>
      </w:r>
      <w:r>
        <w:rPr>
          <w:sz w:val="18"/>
        </w:rPr>
        <w:t>Civil</w:t>
      </w:r>
      <w:r>
        <w:rPr>
          <w:spacing w:val="-5"/>
          <w:sz w:val="18"/>
        </w:rPr>
        <w:t> </w:t>
      </w:r>
      <w:r>
        <w:rPr>
          <w:sz w:val="18"/>
        </w:rPr>
        <w:t>and</w:t>
      </w:r>
      <w:r>
        <w:rPr>
          <w:spacing w:val="-5"/>
          <w:sz w:val="18"/>
        </w:rPr>
        <w:t> </w:t>
      </w:r>
      <w:r>
        <w:rPr>
          <w:sz w:val="18"/>
        </w:rPr>
        <w:t>Family</w:t>
      </w:r>
      <w:r>
        <w:rPr>
          <w:spacing w:val="-5"/>
          <w:sz w:val="18"/>
        </w:rPr>
        <w:t> </w:t>
      </w:r>
      <w:r>
        <w:rPr>
          <w:sz w:val="18"/>
        </w:rPr>
        <w:t>Justice</w:t>
      </w:r>
      <w:r>
        <w:rPr>
          <w:spacing w:val="-5"/>
          <w:sz w:val="18"/>
        </w:rPr>
        <w:t> </w:t>
      </w:r>
      <w:r>
        <w:rPr>
          <w:sz w:val="18"/>
        </w:rPr>
        <w:t>in</w:t>
      </w:r>
      <w:r>
        <w:rPr>
          <w:spacing w:val="-5"/>
          <w:sz w:val="18"/>
        </w:rPr>
        <w:t> </w:t>
      </w:r>
      <w:r>
        <w:rPr>
          <w:sz w:val="18"/>
        </w:rPr>
        <w:t>NI:</w:t>
      </w:r>
      <w:r>
        <w:rPr>
          <w:spacing w:val="-5"/>
          <w:sz w:val="18"/>
        </w:rPr>
        <w:t> </w:t>
      </w:r>
      <w:r>
        <w:rPr>
          <w:sz w:val="18"/>
        </w:rPr>
        <w:t>Review</w:t>
      </w:r>
      <w:r>
        <w:rPr>
          <w:spacing w:val="-5"/>
          <w:sz w:val="18"/>
        </w:rPr>
        <w:t> </w:t>
      </w:r>
      <w:r>
        <w:rPr>
          <w:sz w:val="18"/>
        </w:rPr>
        <w:t>Group’s</w:t>
      </w:r>
      <w:r>
        <w:rPr>
          <w:spacing w:val="-5"/>
          <w:sz w:val="18"/>
        </w:rPr>
        <w:t> </w:t>
      </w:r>
      <w:r>
        <w:rPr>
          <w:sz w:val="18"/>
        </w:rPr>
        <w:t>Report</w:t>
      </w:r>
      <w:r>
        <w:rPr>
          <w:spacing w:val="-5"/>
          <w:sz w:val="18"/>
        </w:rPr>
        <w:t> </w:t>
      </w:r>
      <w:r>
        <w:rPr>
          <w:sz w:val="18"/>
        </w:rPr>
        <w:t>on</w:t>
      </w:r>
      <w:r>
        <w:rPr>
          <w:spacing w:val="-5"/>
          <w:sz w:val="18"/>
        </w:rPr>
        <w:t> </w:t>
      </w:r>
      <w:r>
        <w:rPr>
          <w:sz w:val="18"/>
        </w:rPr>
        <w:t>Civil</w:t>
      </w:r>
      <w:r>
        <w:rPr>
          <w:spacing w:val="-5"/>
          <w:sz w:val="18"/>
        </w:rPr>
        <w:t> </w:t>
      </w:r>
      <w:r>
        <w:rPr>
          <w:sz w:val="18"/>
        </w:rPr>
        <w:t>Justice’ (OLCJ, 2017).</w:t>
      </w:r>
    </w:p>
    <w:p>
      <w:pPr>
        <w:pStyle w:val="ListParagraph"/>
        <w:numPr>
          <w:ilvl w:val="0"/>
          <w:numId w:val="11"/>
        </w:numPr>
        <w:tabs>
          <w:tab w:pos="1853" w:val="left" w:leader="none"/>
        </w:tabs>
        <w:spacing w:line="218" w:lineRule="exact" w:before="0" w:after="0"/>
        <w:ind w:left="1853" w:right="0" w:hanging="720"/>
        <w:jc w:val="left"/>
        <w:rPr>
          <w:sz w:val="18"/>
        </w:rPr>
      </w:pPr>
      <w:r>
        <w:rPr>
          <w:sz w:val="18"/>
        </w:rPr>
        <w:t>NI</w:t>
      </w:r>
      <w:r>
        <w:rPr>
          <w:spacing w:val="-5"/>
          <w:sz w:val="18"/>
        </w:rPr>
        <w:t> </w:t>
      </w:r>
      <w:r>
        <w:rPr>
          <w:sz w:val="18"/>
        </w:rPr>
        <w:t>Assembly,</w:t>
      </w:r>
      <w:r>
        <w:rPr>
          <w:spacing w:val="-4"/>
          <w:sz w:val="18"/>
        </w:rPr>
        <w:t> </w:t>
      </w:r>
      <w:r>
        <w:rPr>
          <w:sz w:val="18"/>
        </w:rPr>
        <w:t>‘Defamation</w:t>
      </w:r>
      <w:r>
        <w:rPr>
          <w:spacing w:val="-5"/>
          <w:sz w:val="18"/>
        </w:rPr>
        <w:t> </w:t>
      </w:r>
      <w:r>
        <w:rPr>
          <w:sz w:val="18"/>
        </w:rPr>
        <w:t>Bill</w:t>
      </w:r>
      <w:r>
        <w:rPr>
          <w:spacing w:val="-4"/>
          <w:sz w:val="18"/>
        </w:rPr>
        <w:t> </w:t>
      </w:r>
      <w:r>
        <w:rPr>
          <w:sz w:val="18"/>
        </w:rPr>
        <w:t>–</w:t>
      </w:r>
      <w:r>
        <w:rPr>
          <w:spacing w:val="-5"/>
          <w:sz w:val="18"/>
        </w:rPr>
        <w:t> </w:t>
      </w:r>
      <w:r>
        <w:rPr>
          <w:sz w:val="18"/>
        </w:rPr>
        <w:t>Bill</w:t>
      </w:r>
      <w:r>
        <w:rPr>
          <w:spacing w:val="-5"/>
          <w:sz w:val="18"/>
        </w:rPr>
        <w:t> </w:t>
      </w:r>
      <w:r>
        <w:rPr>
          <w:sz w:val="18"/>
        </w:rPr>
        <w:t>25/17-22’</w:t>
      </w:r>
      <w:r>
        <w:rPr>
          <w:spacing w:val="-4"/>
          <w:sz w:val="18"/>
        </w:rPr>
        <w:t> </w:t>
      </w:r>
      <w:r>
        <w:rPr>
          <w:sz w:val="18"/>
        </w:rPr>
        <w:t>(NIA,</w:t>
      </w:r>
      <w:r>
        <w:rPr>
          <w:spacing w:val="-4"/>
          <w:sz w:val="18"/>
        </w:rPr>
        <w:t> </w:t>
      </w:r>
      <w:r>
        <w:rPr>
          <w:spacing w:val="-2"/>
          <w:sz w:val="18"/>
        </w:rPr>
        <w:t>2021).</w:t>
      </w:r>
    </w:p>
    <w:p>
      <w:pPr>
        <w:spacing w:after="0" w:line="218" w:lineRule="exact"/>
        <w:jc w:val="left"/>
        <w:rPr>
          <w:sz w:val="18"/>
        </w:rPr>
        <w:sectPr>
          <w:pgSz w:w="11910" w:h="16840"/>
          <w:pgMar w:header="496" w:footer="367" w:top="1220" w:bottom="560" w:left="0" w:right="0"/>
        </w:sectPr>
      </w:pPr>
    </w:p>
    <w:p>
      <w:pPr>
        <w:pStyle w:val="BodyText"/>
        <w:spacing w:before="198"/>
      </w:pPr>
    </w:p>
    <w:p>
      <w:pPr>
        <w:pStyle w:val="ListParagraph"/>
        <w:numPr>
          <w:ilvl w:val="1"/>
          <w:numId w:val="7"/>
        </w:numPr>
        <w:tabs>
          <w:tab w:pos="1853" w:val="left" w:leader="none"/>
        </w:tabs>
        <w:spacing w:line="225" w:lineRule="auto" w:before="0" w:after="0"/>
        <w:ind w:left="1853" w:right="1373" w:hanging="720"/>
        <w:jc w:val="left"/>
        <w:rPr>
          <w:sz w:val="28"/>
        </w:rPr>
      </w:pPr>
      <w:r>
        <w:rPr>
          <w:sz w:val="28"/>
        </w:rPr>
        <w:t>In November 2023, the Department of Finance consulted on how the 2022 Act</w:t>
      </w:r>
      <w:r>
        <w:rPr>
          <w:spacing w:val="-6"/>
          <w:sz w:val="28"/>
        </w:rPr>
        <w:t> </w:t>
      </w:r>
      <w:r>
        <w:rPr>
          <w:sz w:val="28"/>
        </w:rPr>
        <w:t>was</w:t>
      </w:r>
      <w:r>
        <w:rPr>
          <w:spacing w:val="-7"/>
          <w:sz w:val="28"/>
        </w:rPr>
        <w:t> </w:t>
      </w:r>
      <w:r>
        <w:rPr>
          <w:sz w:val="28"/>
        </w:rPr>
        <w:t>operating.</w:t>
      </w:r>
      <w:r>
        <w:rPr>
          <w:spacing w:val="-7"/>
          <w:sz w:val="28"/>
        </w:rPr>
        <w:t> </w:t>
      </w:r>
      <w:r>
        <w:rPr>
          <w:sz w:val="28"/>
        </w:rPr>
        <w:t>In</w:t>
      </w:r>
      <w:r>
        <w:rPr>
          <w:spacing w:val="-7"/>
          <w:sz w:val="28"/>
        </w:rPr>
        <w:t> </w:t>
      </w:r>
      <w:r>
        <w:rPr>
          <w:sz w:val="28"/>
        </w:rPr>
        <w:t>February</w:t>
      </w:r>
      <w:r>
        <w:rPr>
          <w:spacing w:val="-6"/>
          <w:sz w:val="28"/>
        </w:rPr>
        <w:t> </w:t>
      </w:r>
      <w:r>
        <w:rPr>
          <w:sz w:val="28"/>
        </w:rPr>
        <w:t>2024,</w:t>
      </w:r>
      <w:r>
        <w:rPr>
          <w:spacing w:val="-6"/>
          <w:sz w:val="28"/>
        </w:rPr>
        <w:t> </w:t>
      </w:r>
      <w:r>
        <w:rPr>
          <w:sz w:val="28"/>
        </w:rPr>
        <w:t>the</w:t>
      </w:r>
      <w:r>
        <w:rPr>
          <w:spacing w:val="-6"/>
          <w:sz w:val="28"/>
        </w:rPr>
        <w:t> </w:t>
      </w:r>
      <w:r>
        <w:rPr>
          <w:sz w:val="28"/>
        </w:rPr>
        <w:t>NIHRC</w:t>
      </w:r>
      <w:r>
        <w:rPr>
          <w:spacing w:val="-7"/>
          <w:sz w:val="28"/>
        </w:rPr>
        <w:t> </w:t>
      </w:r>
      <w:r>
        <w:rPr>
          <w:sz w:val="28"/>
        </w:rPr>
        <w:t>response</w:t>
      </w:r>
      <w:r>
        <w:rPr>
          <w:spacing w:val="-6"/>
          <w:sz w:val="28"/>
        </w:rPr>
        <w:t> </w:t>
      </w:r>
      <w:r>
        <w:rPr>
          <w:sz w:val="28"/>
        </w:rPr>
        <w:t>expressed</w:t>
      </w:r>
      <w:r>
        <w:rPr>
          <w:spacing w:val="-7"/>
          <w:sz w:val="28"/>
        </w:rPr>
        <w:t> </w:t>
      </w:r>
      <w:r>
        <w:rPr>
          <w:sz w:val="28"/>
        </w:rPr>
        <w:t>concern regarding the balance struck between freedom of expression and respect</w:t>
      </w:r>
      <w:r>
        <w:rPr>
          <w:sz w:val="28"/>
        </w:rPr>
        <w:t> for private and family life, the lack of a serious harm threshold test, the potential</w:t>
      </w:r>
      <w:r>
        <w:rPr>
          <w:spacing w:val="-6"/>
          <w:sz w:val="28"/>
        </w:rPr>
        <w:t> </w:t>
      </w:r>
      <w:r>
        <w:rPr>
          <w:sz w:val="28"/>
        </w:rPr>
        <w:t>for</w:t>
      </w:r>
      <w:r>
        <w:rPr>
          <w:spacing w:val="-5"/>
          <w:sz w:val="28"/>
        </w:rPr>
        <w:t> </w:t>
      </w:r>
      <w:r>
        <w:rPr>
          <w:sz w:val="28"/>
        </w:rPr>
        <w:t>an</w:t>
      </w:r>
      <w:r>
        <w:rPr>
          <w:spacing w:val="-6"/>
          <w:sz w:val="28"/>
        </w:rPr>
        <w:t> </w:t>
      </w:r>
      <w:r>
        <w:rPr>
          <w:sz w:val="28"/>
        </w:rPr>
        <w:t>increase</w:t>
      </w:r>
      <w:r>
        <w:rPr>
          <w:spacing w:val="-5"/>
          <w:sz w:val="28"/>
        </w:rPr>
        <w:t> </w:t>
      </w:r>
      <w:r>
        <w:rPr>
          <w:sz w:val="28"/>
        </w:rPr>
        <w:t>in</w:t>
      </w:r>
      <w:r>
        <w:rPr>
          <w:spacing w:val="-6"/>
          <w:sz w:val="28"/>
        </w:rPr>
        <w:t> </w:t>
      </w:r>
      <w:r>
        <w:rPr>
          <w:sz w:val="28"/>
        </w:rPr>
        <w:t>libel</w:t>
      </w:r>
      <w:r>
        <w:rPr>
          <w:spacing w:val="-6"/>
          <w:sz w:val="28"/>
        </w:rPr>
        <w:t> </w:t>
      </w:r>
      <w:r>
        <w:rPr>
          <w:sz w:val="28"/>
        </w:rPr>
        <w:t>tourism</w:t>
      </w:r>
      <w:r>
        <w:rPr>
          <w:spacing w:val="-5"/>
          <w:sz w:val="28"/>
        </w:rPr>
        <w:t> </w:t>
      </w:r>
      <w:r>
        <w:rPr>
          <w:sz w:val="28"/>
        </w:rPr>
        <w:t>and</w:t>
      </w:r>
      <w:r>
        <w:rPr>
          <w:spacing w:val="-6"/>
          <w:sz w:val="28"/>
        </w:rPr>
        <w:t> </w:t>
      </w:r>
      <w:r>
        <w:rPr>
          <w:sz w:val="28"/>
        </w:rPr>
        <w:t>strategic</w:t>
      </w:r>
      <w:r>
        <w:rPr>
          <w:spacing w:val="-5"/>
          <w:sz w:val="28"/>
        </w:rPr>
        <w:t> </w:t>
      </w:r>
      <w:r>
        <w:rPr>
          <w:sz w:val="28"/>
        </w:rPr>
        <w:t>lawsuits</w:t>
      </w:r>
      <w:r>
        <w:rPr>
          <w:spacing w:val="-6"/>
          <w:sz w:val="28"/>
        </w:rPr>
        <w:t> </w:t>
      </w:r>
      <w:r>
        <w:rPr>
          <w:sz w:val="28"/>
        </w:rPr>
        <w:t>against</w:t>
      </w:r>
      <w:r>
        <w:rPr>
          <w:spacing w:val="-5"/>
          <w:sz w:val="28"/>
        </w:rPr>
        <w:t> </w:t>
      </w:r>
      <w:r>
        <w:rPr>
          <w:sz w:val="28"/>
        </w:rPr>
        <w:t>public </w:t>
      </w:r>
      <w:r>
        <w:rPr>
          <w:spacing w:val="-2"/>
          <w:sz w:val="28"/>
        </w:rPr>
        <w:t>participation.</w:t>
      </w:r>
      <w:r>
        <w:rPr>
          <w:spacing w:val="-2"/>
          <w:sz w:val="28"/>
          <w:vertAlign w:val="superscript"/>
        </w:rPr>
        <w:t>698</w:t>
      </w:r>
    </w:p>
    <w:p>
      <w:pPr>
        <w:pStyle w:val="ListParagraph"/>
        <w:numPr>
          <w:ilvl w:val="1"/>
          <w:numId w:val="7"/>
        </w:numPr>
        <w:tabs>
          <w:tab w:pos="1853" w:val="left" w:leader="none"/>
        </w:tabs>
        <w:spacing w:line="225" w:lineRule="auto" w:before="313" w:after="0"/>
        <w:ind w:left="1853" w:right="1130" w:hanging="720"/>
        <w:jc w:val="left"/>
        <w:rPr>
          <w:sz w:val="28"/>
        </w:rPr>
      </w:pPr>
      <w:r>
        <w:rPr>
          <w:sz w:val="28"/>
        </w:rPr>
        <w:t>The NIHRC also noted EU proposals for a new EU directive to protect individuals and organisations targeted by strategic lawsuits against public participation.</w:t>
      </w:r>
      <w:r>
        <w:rPr>
          <w:sz w:val="28"/>
          <w:vertAlign w:val="superscript"/>
        </w:rPr>
        <w:t>699</w:t>
      </w:r>
      <w:r>
        <w:rPr>
          <w:spacing w:val="-11"/>
          <w:sz w:val="28"/>
          <w:vertAlign w:val="baseline"/>
        </w:rPr>
        <w:t> </w:t>
      </w:r>
      <w:r>
        <w:rPr>
          <w:sz w:val="28"/>
          <w:vertAlign w:val="baseline"/>
        </w:rPr>
        <w:t>The</w:t>
      </w:r>
      <w:r>
        <w:rPr>
          <w:spacing w:val="-11"/>
          <w:sz w:val="28"/>
          <w:vertAlign w:val="baseline"/>
        </w:rPr>
        <w:t> </w:t>
      </w:r>
      <w:r>
        <w:rPr>
          <w:sz w:val="28"/>
          <w:vertAlign w:val="baseline"/>
        </w:rPr>
        <w:t>proposed</w:t>
      </w:r>
      <w:r>
        <w:rPr>
          <w:spacing w:val="-11"/>
          <w:sz w:val="28"/>
          <w:vertAlign w:val="baseline"/>
        </w:rPr>
        <w:t> </w:t>
      </w:r>
      <w:r>
        <w:rPr>
          <w:sz w:val="28"/>
          <w:vertAlign w:val="baseline"/>
        </w:rPr>
        <w:t>EU</w:t>
      </w:r>
      <w:r>
        <w:rPr>
          <w:spacing w:val="-11"/>
          <w:sz w:val="28"/>
          <w:vertAlign w:val="baseline"/>
        </w:rPr>
        <w:t> </w:t>
      </w:r>
      <w:r>
        <w:rPr>
          <w:sz w:val="28"/>
          <w:vertAlign w:val="baseline"/>
        </w:rPr>
        <w:t>Directive</w:t>
      </w:r>
      <w:r>
        <w:rPr>
          <w:spacing w:val="-11"/>
          <w:sz w:val="28"/>
          <w:vertAlign w:val="baseline"/>
        </w:rPr>
        <w:t> </w:t>
      </w:r>
      <w:r>
        <w:rPr>
          <w:sz w:val="28"/>
          <w:vertAlign w:val="baseline"/>
        </w:rPr>
        <w:t>aims</w:t>
      </w:r>
      <w:r>
        <w:rPr>
          <w:spacing w:val="-11"/>
          <w:sz w:val="28"/>
          <w:vertAlign w:val="baseline"/>
        </w:rPr>
        <w:t> </w:t>
      </w:r>
      <w:r>
        <w:rPr>
          <w:sz w:val="28"/>
          <w:vertAlign w:val="baseline"/>
        </w:rPr>
        <w:t>to</w:t>
      </w:r>
      <w:r>
        <w:rPr>
          <w:spacing w:val="-11"/>
          <w:sz w:val="28"/>
          <w:vertAlign w:val="baseline"/>
        </w:rPr>
        <w:t> </w:t>
      </w:r>
      <w:r>
        <w:rPr>
          <w:sz w:val="28"/>
          <w:vertAlign w:val="baseline"/>
        </w:rPr>
        <w:t>strengthen</w:t>
      </w:r>
      <w:r>
        <w:rPr>
          <w:spacing w:val="-11"/>
          <w:sz w:val="28"/>
          <w:vertAlign w:val="baseline"/>
        </w:rPr>
        <w:t> </w:t>
      </w:r>
      <w:r>
        <w:rPr>
          <w:sz w:val="28"/>
          <w:vertAlign w:val="baseline"/>
        </w:rPr>
        <w:t>media</w:t>
      </w:r>
      <w:r>
        <w:rPr>
          <w:spacing w:val="-11"/>
          <w:sz w:val="28"/>
          <w:vertAlign w:val="baseline"/>
        </w:rPr>
        <w:t> </w:t>
      </w:r>
      <w:r>
        <w:rPr>
          <w:sz w:val="28"/>
          <w:vertAlign w:val="baseline"/>
        </w:rPr>
        <w:t>pluralism in the EU and protect human rights defenders.</w:t>
      </w:r>
      <w:r>
        <w:rPr>
          <w:sz w:val="28"/>
          <w:vertAlign w:val="superscript"/>
        </w:rPr>
        <w:t>700</w:t>
      </w:r>
      <w:r>
        <w:rPr>
          <w:sz w:val="28"/>
          <w:vertAlign w:val="baseline"/>
        </w:rPr>
        <w:t> Given NI’s unique position in the UK of sharing a land-border with Ireland, an EU member state, the NIHRC highlighted</w:t>
      </w:r>
      <w:r>
        <w:rPr>
          <w:spacing w:val="-3"/>
          <w:sz w:val="28"/>
          <w:vertAlign w:val="baseline"/>
        </w:rPr>
        <w:t> </w:t>
      </w:r>
      <w:r>
        <w:rPr>
          <w:sz w:val="28"/>
          <w:vertAlign w:val="baseline"/>
        </w:rPr>
        <w:t>the</w:t>
      </w:r>
      <w:r>
        <w:rPr>
          <w:spacing w:val="-2"/>
          <w:sz w:val="28"/>
          <w:vertAlign w:val="baseline"/>
        </w:rPr>
        <w:t> </w:t>
      </w:r>
      <w:r>
        <w:rPr>
          <w:sz w:val="28"/>
          <w:vertAlign w:val="baseline"/>
        </w:rPr>
        <w:t>potential</w:t>
      </w:r>
      <w:r>
        <w:rPr>
          <w:spacing w:val="-3"/>
          <w:sz w:val="28"/>
          <w:vertAlign w:val="baseline"/>
        </w:rPr>
        <w:t> </w:t>
      </w:r>
      <w:r>
        <w:rPr>
          <w:sz w:val="28"/>
          <w:vertAlign w:val="baseline"/>
        </w:rPr>
        <w:t>for</w:t>
      </w:r>
      <w:r>
        <w:rPr>
          <w:spacing w:val="-2"/>
          <w:sz w:val="28"/>
          <w:vertAlign w:val="baseline"/>
        </w:rPr>
        <w:t> </w:t>
      </w:r>
      <w:r>
        <w:rPr>
          <w:sz w:val="28"/>
          <w:vertAlign w:val="baseline"/>
        </w:rPr>
        <w:t>a</w:t>
      </w:r>
      <w:r>
        <w:rPr>
          <w:spacing w:val="-3"/>
          <w:sz w:val="28"/>
          <w:vertAlign w:val="baseline"/>
        </w:rPr>
        <w:t> </w:t>
      </w:r>
      <w:r>
        <w:rPr>
          <w:sz w:val="28"/>
          <w:vertAlign w:val="baseline"/>
        </w:rPr>
        <w:t>divergence</w:t>
      </w:r>
      <w:r>
        <w:rPr>
          <w:spacing w:val="-2"/>
          <w:sz w:val="28"/>
          <w:vertAlign w:val="baseline"/>
        </w:rPr>
        <w:t> </w:t>
      </w:r>
      <w:r>
        <w:rPr>
          <w:sz w:val="28"/>
          <w:vertAlign w:val="baseline"/>
        </w:rPr>
        <w:t>of</w:t>
      </w:r>
      <w:r>
        <w:rPr>
          <w:spacing w:val="-3"/>
          <w:sz w:val="28"/>
          <w:vertAlign w:val="baseline"/>
        </w:rPr>
        <w:t> </w:t>
      </w:r>
      <w:r>
        <w:rPr>
          <w:sz w:val="28"/>
          <w:vertAlign w:val="baseline"/>
        </w:rPr>
        <w:t>rights</w:t>
      </w:r>
      <w:r>
        <w:rPr>
          <w:spacing w:val="-3"/>
          <w:sz w:val="28"/>
          <w:vertAlign w:val="baseline"/>
        </w:rPr>
        <w:t> </w:t>
      </w:r>
      <w:r>
        <w:rPr>
          <w:sz w:val="28"/>
          <w:vertAlign w:val="baseline"/>
        </w:rPr>
        <w:t>across</w:t>
      </w:r>
      <w:r>
        <w:rPr>
          <w:spacing w:val="-3"/>
          <w:sz w:val="28"/>
          <w:vertAlign w:val="baseline"/>
        </w:rPr>
        <w:t> </w:t>
      </w:r>
      <w:r>
        <w:rPr>
          <w:sz w:val="28"/>
          <w:vertAlign w:val="baseline"/>
        </w:rPr>
        <w:t>the</w:t>
      </w:r>
      <w:r>
        <w:rPr>
          <w:spacing w:val="-2"/>
          <w:sz w:val="28"/>
          <w:vertAlign w:val="baseline"/>
        </w:rPr>
        <w:t> </w:t>
      </w:r>
      <w:r>
        <w:rPr>
          <w:sz w:val="28"/>
          <w:vertAlign w:val="baseline"/>
        </w:rPr>
        <w:t>island</w:t>
      </w:r>
      <w:r>
        <w:rPr>
          <w:spacing w:val="-3"/>
          <w:sz w:val="28"/>
          <w:vertAlign w:val="baseline"/>
        </w:rPr>
        <w:t> </w:t>
      </w:r>
      <w:r>
        <w:rPr>
          <w:sz w:val="28"/>
          <w:vertAlign w:val="baseline"/>
        </w:rPr>
        <w:t>of</w:t>
      </w:r>
      <w:r>
        <w:rPr>
          <w:spacing w:val="-3"/>
          <w:sz w:val="28"/>
          <w:vertAlign w:val="baseline"/>
        </w:rPr>
        <w:t> </w:t>
      </w:r>
      <w:r>
        <w:rPr>
          <w:sz w:val="28"/>
          <w:vertAlign w:val="baseline"/>
        </w:rPr>
        <w:t>Ireland. The NIHRC noted that the NI Assembly could voluntarily choose to align with EU developments, even where it is not required to do so under the Windsor Framework, to strengthen protections and to ensure equivalence of rights on the island.</w:t>
      </w:r>
      <w:r>
        <w:rPr>
          <w:sz w:val="28"/>
          <w:vertAlign w:val="superscript"/>
        </w:rPr>
        <w:t>701</w:t>
      </w:r>
    </w:p>
    <w:p>
      <w:pPr>
        <w:pStyle w:val="BodyText"/>
        <w:spacing w:before="4"/>
        <w:rPr>
          <w:sz w:val="13"/>
        </w:rPr>
      </w:pPr>
      <w:r>
        <w:rPr/>
        <mc:AlternateContent>
          <mc:Choice Requires="wps">
            <w:drawing>
              <wp:anchor distT="0" distB="0" distL="0" distR="0" allowOverlap="1" layoutInCell="1" locked="0" behindDoc="1" simplePos="0" relativeHeight="487704576">
                <wp:simplePos x="0" y="0"/>
                <wp:positionH relativeFrom="page">
                  <wp:posOffset>720001</wp:posOffset>
                </wp:positionH>
                <wp:positionV relativeFrom="paragraph">
                  <wp:posOffset>119086</wp:posOffset>
                </wp:positionV>
                <wp:extent cx="6120130" cy="360045"/>
                <wp:effectExtent l="0" t="0" r="0" b="0"/>
                <wp:wrapTopAndBottom/>
                <wp:docPr id="533" name="Textbox 533"/>
                <wp:cNvGraphicFramePr>
                  <a:graphicFrameLocks/>
                </wp:cNvGraphicFramePr>
                <a:graphic>
                  <a:graphicData uri="http://schemas.microsoft.com/office/word/2010/wordprocessingShape">
                    <wps:wsp>
                      <wps:cNvPr id="533" name="Textbox 533"/>
                      <wps:cNvSpPr txBox="1"/>
                      <wps:spPr>
                        <a:xfrm>
                          <a:off x="0" y="0"/>
                          <a:ext cx="6120130" cy="360045"/>
                        </a:xfrm>
                        <a:prstGeom prst="rect">
                          <a:avLst/>
                        </a:prstGeom>
                        <a:solidFill>
                          <a:srgbClr val="393B7F"/>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9.376906pt;width:481.9pt;height:28.35pt;mso-position-horizontal-relative:page;mso-position-vertical-relative:paragraph;z-index:-15611904;mso-wrap-distance-left:0;mso-wrap-distance-right:0" type="#_x0000_t202" id="docshape478" filled="true" fillcolor="#393b7f"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7"/>
        </w:numPr>
        <w:tabs>
          <w:tab w:pos="1853" w:val="left" w:leader="none"/>
        </w:tabs>
        <w:spacing w:line="225" w:lineRule="auto" w:before="208" w:after="0"/>
        <w:ind w:left="1853" w:right="1704" w:hanging="720"/>
        <w:jc w:val="left"/>
        <w:rPr>
          <w:b/>
          <w:color w:val="67287F"/>
          <w:sz w:val="28"/>
        </w:rPr>
      </w:pPr>
      <w:r>
        <w:rPr>
          <w:b/>
          <w:color w:val="67287F"/>
          <w:sz w:val="28"/>
        </w:rPr>
        <w:t>The</w:t>
      </w:r>
      <w:r>
        <w:rPr>
          <w:b/>
          <w:color w:val="67287F"/>
          <w:spacing w:val="-6"/>
          <w:sz w:val="28"/>
        </w:rPr>
        <w:t> </w:t>
      </w:r>
      <w:r>
        <w:rPr>
          <w:b/>
          <w:color w:val="67287F"/>
          <w:sz w:val="28"/>
        </w:rPr>
        <w:t>NIHRC</w:t>
      </w:r>
      <w:r>
        <w:rPr>
          <w:b/>
          <w:color w:val="67287F"/>
          <w:spacing w:val="-6"/>
          <w:sz w:val="28"/>
        </w:rPr>
        <w:t> </w:t>
      </w:r>
      <w:r>
        <w:rPr>
          <w:b/>
          <w:color w:val="67287F"/>
          <w:sz w:val="28"/>
        </w:rPr>
        <w:t>recommends</w:t>
      </w:r>
      <w:r>
        <w:rPr>
          <w:b/>
          <w:color w:val="67287F"/>
          <w:spacing w:val="-5"/>
          <w:sz w:val="28"/>
        </w:rPr>
        <w:t> </w:t>
      </w:r>
      <w:r>
        <w:rPr>
          <w:b/>
          <w:color w:val="67287F"/>
          <w:sz w:val="28"/>
        </w:rPr>
        <w:t>that</w:t>
      </w:r>
      <w:r>
        <w:rPr>
          <w:b/>
          <w:color w:val="67287F"/>
          <w:spacing w:val="-5"/>
          <w:sz w:val="28"/>
        </w:rPr>
        <w:t> </w:t>
      </w:r>
      <w:r>
        <w:rPr>
          <w:b/>
          <w:color w:val="67287F"/>
          <w:sz w:val="28"/>
        </w:rPr>
        <w:t>the</w:t>
      </w:r>
      <w:r>
        <w:rPr>
          <w:b/>
          <w:color w:val="67287F"/>
          <w:spacing w:val="-6"/>
          <w:sz w:val="28"/>
        </w:rPr>
        <w:t> </w:t>
      </w:r>
      <w:r>
        <w:rPr>
          <w:b/>
          <w:color w:val="67287F"/>
          <w:sz w:val="28"/>
        </w:rPr>
        <w:t>Department</w:t>
      </w:r>
      <w:r>
        <w:rPr>
          <w:b/>
          <w:color w:val="67287F"/>
          <w:spacing w:val="-5"/>
          <w:sz w:val="28"/>
        </w:rPr>
        <w:t> </w:t>
      </w:r>
      <w:r>
        <w:rPr>
          <w:b/>
          <w:color w:val="67287F"/>
          <w:sz w:val="28"/>
        </w:rPr>
        <w:t>of</w:t>
      </w:r>
      <w:r>
        <w:rPr>
          <w:b/>
          <w:color w:val="67287F"/>
          <w:spacing w:val="-6"/>
          <w:sz w:val="28"/>
        </w:rPr>
        <w:t> </w:t>
      </w:r>
      <w:r>
        <w:rPr>
          <w:b/>
          <w:color w:val="67287F"/>
          <w:sz w:val="28"/>
        </w:rPr>
        <w:t>Finance</w:t>
      </w:r>
      <w:r>
        <w:rPr>
          <w:b/>
          <w:color w:val="67287F"/>
          <w:spacing w:val="-6"/>
          <w:sz w:val="28"/>
        </w:rPr>
        <w:t> </w:t>
      </w:r>
      <w:r>
        <w:rPr>
          <w:b/>
          <w:color w:val="67287F"/>
          <w:sz w:val="28"/>
        </w:rPr>
        <w:t>works</w:t>
      </w:r>
      <w:r>
        <w:rPr>
          <w:b/>
          <w:color w:val="67287F"/>
          <w:spacing w:val="-5"/>
          <w:sz w:val="28"/>
        </w:rPr>
        <w:t> </w:t>
      </w:r>
      <w:r>
        <w:rPr>
          <w:b/>
          <w:color w:val="67287F"/>
          <w:sz w:val="28"/>
        </w:rPr>
        <w:t>with</w:t>
      </w:r>
      <w:r>
        <w:rPr>
          <w:b/>
          <w:color w:val="67287F"/>
          <w:spacing w:val="-5"/>
          <w:sz w:val="28"/>
        </w:rPr>
        <w:t> </w:t>
      </w:r>
      <w:r>
        <w:rPr>
          <w:b/>
          <w:color w:val="67287F"/>
          <w:sz w:val="28"/>
        </w:rPr>
        <w:t>the NI</w:t>
      </w:r>
      <w:r>
        <w:rPr>
          <w:b/>
          <w:color w:val="67287F"/>
          <w:spacing w:val="-2"/>
          <w:sz w:val="28"/>
        </w:rPr>
        <w:t> </w:t>
      </w:r>
      <w:r>
        <w:rPr>
          <w:b/>
          <w:color w:val="67287F"/>
          <w:sz w:val="28"/>
        </w:rPr>
        <w:t>Executive</w:t>
      </w:r>
      <w:r>
        <w:rPr>
          <w:b/>
          <w:color w:val="67287F"/>
          <w:spacing w:val="-3"/>
          <w:sz w:val="28"/>
        </w:rPr>
        <w:t> </w:t>
      </w:r>
      <w:r>
        <w:rPr>
          <w:b/>
          <w:color w:val="67287F"/>
          <w:sz w:val="28"/>
        </w:rPr>
        <w:t>and</w:t>
      </w:r>
      <w:r>
        <w:rPr>
          <w:b/>
          <w:color w:val="67287F"/>
          <w:spacing w:val="-2"/>
          <w:sz w:val="28"/>
        </w:rPr>
        <w:t> </w:t>
      </w:r>
      <w:r>
        <w:rPr>
          <w:b/>
          <w:color w:val="67287F"/>
          <w:sz w:val="28"/>
        </w:rPr>
        <w:t>NI</w:t>
      </w:r>
      <w:r>
        <w:rPr>
          <w:b/>
          <w:color w:val="67287F"/>
          <w:spacing w:val="-2"/>
          <w:sz w:val="28"/>
        </w:rPr>
        <w:t> </w:t>
      </w:r>
      <w:r>
        <w:rPr>
          <w:b/>
          <w:color w:val="67287F"/>
          <w:sz w:val="28"/>
        </w:rPr>
        <w:t>Assembly</w:t>
      </w:r>
      <w:r>
        <w:rPr>
          <w:b/>
          <w:color w:val="67287F"/>
          <w:spacing w:val="-2"/>
          <w:sz w:val="28"/>
        </w:rPr>
        <w:t> </w:t>
      </w:r>
      <w:r>
        <w:rPr>
          <w:b/>
          <w:color w:val="67287F"/>
          <w:sz w:val="28"/>
        </w:rPr>
        <w:t>to</w:t>
      </w:r>
      <w:r>
        <w:rPr>
          <w:b/>
          <w:color w:val="67287F"/>
          <w:spacing w:val="-2"/>
          <w:sz w:val="28"/>
        </w:rPr>
        <w:t> </w:t>
      </w:r>
      <w:r>
        <w:rPr>
          <w:b/>
          <w:color w:val="67287F"/>
          <w:sz w:val="28"/>
        </w:rPr>
        <w:t>introduce</w:t>
      </w:r>
      <w:r>
        <w:rPr>
          <w:b/>
          <w:color w:val="67287F"/>
          <w:spacing w:val="-3"/>
          <w:sz w:val="28"/>
        </w:rPr>
        <w:t> </w:t>
      </w:r>
      <w:r>
        <w:rPr>
          <w:b/>
          <w:color w:val="67287F"/>
          <w:sz w:val="28"/>
        </w:rPr>
        <w:t>legislation</w:t>
      </w:r>
      <w:r>
        <w:rPr>
          <w:b/>
          <w:color w:val="67287F"/>
          <w:spacing w:val="-2"/>
          <w:sz w:val="28"/>
        </w:rPr>
        <w:t> </w:t>
      </w:r>
      <w:r>
        <w:rPr>
          <w:b/>
          <w:color w:val="67287F"/>
          <w:sz w:val="28"/>
        </w:rPr>
        <w:t>to</w:t>
      </w:r>
      <w:r>
        <w:rPr>
          <w:b/>
          <w:color w:val="67287F"/>
          <w:spacing w:val="-2"/>
          <w:sz w:val="28"/>
        </w:rPr>
        <w:t> </w:t>
      </w:r>
      <w:r>
        <w:rPr>
          <w:b/>
          <w:color w:val="67287F"/>
          <w:sz w:val="28"/>
        </w:rPr>
        <w:t>tackle</w:t>
      </w:r>
      <w:r>
        <w:rPr>
          <w:b/>
          <w:color w:val="67287F"/>
          <w:spacing w:val="-3"/>
          <w:sz w:val="28"/>
        </w:rPr>
        <w:t> </w:t>
      </w:r>
      <w:r>
        <w:rPr>
          <w:b/>
          <w:color w:val="67287F"/>
          <w:sz w:val="28"/>
        </w:rPr>
        <w:t>strategic lawsuits against public participation in line with its obligations under international human rights law.</w:t>
      </w:r>
    </w:p>
    <w:p>
      <w:pPr>
        <w:pStyle w:val="ListParagraph"/>
        <w:numPr>
          <w:ilvl w:val="1"/>
          <w:numId w:val="7"/>
        </w:numPr>
        <w:tabs>
          <w:tab w:pos="1853" w:val="left" w:leader="none"/>
        </w:tabs>
        <w:spacing w:line="225" w:lineRule="auto" w:before="315" w:after="0"/>
        <w:ind w:left="1853" w:right="1183" w:hanging="720"/>
        <w:jc w:val="left"/>
        <w:rPr>
          <w:b/>
          <w:color w:val="67287F"/>
          <w:sz w:val="28"/>
        </w:rPr>
      </w:pPr>
      <w:r>
        <w:rPr>
          <w:b/>
          <w:color w:val="67287F"/>
          <w:sz w:val="28"/>
        </w:rPr>
        <w:t>The</w:t>
      </w:r>
      <w:r>
        <w:rPr>
          <w:b/>
          <w:color w:val="67287F"/>
          <w:spacing w:val="-7"/>
          <w:sz w:val="28"/>
        </w:rPr>
        <w:t> </w:t>
      </w:r>
      <w:r>
        <w:rPr>
          <w:b/>
          <w:color w:val="67287F"/>
          <w:sz w:val="28"/>
        </w:rPr>
        <w:t>NIHRC</w:t>
      </w:r>
      <w:r>
        <w:rPr>
          <w:b/>
          <w:color w:val="67287F"/>
          <w:spacing w:val="-7"/>
          <w:sz w:val="28"/>
        </w:rPr>
        <w:t> </w:t>
      </w:r>
      <w:r>
        <w:rPr>
          <w:b/>
          <w:color w:val="67287F"/>
          <w:sz w:val="28"/>
        </w:rPr>
        <w:t>further</w:t>
      </w:r>
      <w:r>
        <w:rPr>
          <w:b/>
          <w:color w:val="67287F"/>
          <w:spacing w:val="-7"/>
          <w:sz w:val="28"/>
        </w:rPr>
        <w:t> </w:t>
      </w:r>
      <w:r>
        <w:rPr>
          <w:b/>
          <w:color w:val="67287F"/>
          <w:sz w:val="28"/>
        </w:rPr>
        <w:t>recommends</w:t>
      </w:r>
      <w:r>
        <w:rPr>
          <w:b/>
          <w:color w:val="67287F"/>
          <w:spacing w:val="-6"/>
          <w:sz w:val="28"/>
        </w:rPr>
        <w:t> </w:t>
      </w:r>
      <w:r>
        <w:rPr>
          <w:b/>
          <w:color w:val="67287F"/>
          <w:sz w:val="28"/>
        </w:rPr>
        <w:t>that</w:t>
      </w:r>
      <w:r>
        <w:rPr>
          <w:b/>
          <w:color w:val="67287F"/>
          <w:spacing w:val="-6"/>
          <w:sz w:val="28"/>
        </w:rPr>
        <w:t> </w:t>
      </w:r>
      <w:r>
        <w:rPr>
          <w:b/>
          <w:color w:val="67287F"/>
          <w:sz w:val="28"/>
        </w:rPr>
        <w:t>the</w:t>
      </w:r>
      <w:r>
        <w:rPr>
          <w:b/>
          <w:color w:val="67287F"/>
          <w:spacing w:val="-7"/>
          <w:sz w:val="28"/>
        </w:rPr>
        <w:t> </w:t>
      </w:r>
      <w:r>
        <w:rPr>
          <w:b/>
          <w:color w:val="67287F"/>
          <w:sz w:val="28"/>
        </w:rPr>
        <w:t>Department</w:t>
      </w:r>
      <w:r>
        <w:rPr>
          <w:b/>
          <w:color w:val="67287F"/>
          <w:spacing w:val="-6"/>
          <w:sz w:val="28"/>
        </w:rPr>
        <w:t> </w:t>
      </w:r>
      <w:r>
        <w:rPr>
          <w:b/>
          <w:color w:val="67287F"/>
          <w:sz w:val="28"/>
        </w:rPr>
        <w:t>of</w:t>
      </w:r>
      <w:r>
        <w:rPr>
          <w:b/>
          <w:color w:val="67287F"/>
          <w:spacing w:val="-7"/>
          <w:sz w:val="28"/>
        </w:rPr>
        <w:t> </w:t>
      </w:r>
      <w:r>
        <w:rPr>
          <w:b/>
          <w:color w:val="67287F"/>
          <w:sz w:val="28"/>
        </w:rPr>
        <w:t>Finance,</w:t>
      </w:r>
      <w:r>
        <w:rPr>
          <w:b/>
          <w:color w:val="67287F"/>
          <w:spacing w:val="-6"/>
          <w:sz w:val="28"/>
        </w:rPr>
        <w:t> </w:t>
      </w:r>
      <w:r>
        <w:rPr>
          <w:b/>
          <w:color w:val="67287F"/>
          <w:sz w:val="28"/>
        </w:rPr>
        <w:t>as</w:t>
      </w:r>
      <w:r>
        <w:rPr>
          <w:b/>
          <w:color w:val="67287F"/>
          <w:spacing w:val="-6"/>
          <w:sz w:val="28"/>
        </w:rPr>
        <w:t> </w:t>
      </w:r>
      <w:r>
        <w:rPr>
          <w:b/>
          <w:color w:val="67287F"/>
          <w:sz w:val="28"/>
        </w:rPr>
        <w:t>a</w:t>
      </w:r>
      <w:r>
        <w:rPr>
          <w:b/>
          <w:color w:val="67287F"/>
          <w:spacing w:val="-6"/>
          <w:sz w:val="28"/>
        </w:rPr>
        <w:t> </w:t>
      </w:r>
      <w:r>
        <w:rPr>
          <w:b/>
          <w:color w:val="67287F"/>
          <w:sz w:val="28"/>
        </w:rPr>
        <w:t>matter of good practice, monitor any enhancement to human rights pursuant to</w:t>
      </w:r>
    </w:p>
    <w:p>
      <w:pPr>
        <w:spacing w:line="225" w:lineRule="auto" w:before="0"/>
        <w:ind w:left="1853" w:right="1171" w:firstLine="0"/>
        <w:jc w:val="left"/>
        <w:rPr>
          <w:b/>
          <w:sz w:val="28"/>
        </w:rPr>
      </w:pPr>
      <w:r>
        <w:rPr>
          <w:b/>
          <w:color w:val="67287F"/>
          <w:sz w:val="28"/>
        </w:rPr>
        <w:t>the proposed EU directive on strategic lawsuits against public participation and,</w:t>
      </w:r>
      <w:r>
        <w:rPr>
          <w:b/>
          <w:color w:val="67287F"/>
          <w:spacing w:val="-4"/>
          <w:sz w:val="28"/>
        </w:rPr>
        <w:t> </w:t>
      </w:r>
      <w:r>
        <w:rPr>
          <w:b/>
          <w:color w:val="67287F"/>
          <w:sz w:val="28"/>
        </w:rPr>
        <w:t>if</w:t>
      </w:r>
      <w:r>
        <w:rPr>
          <w:b/>
          <w:color w:val="67287F"/>
          <w:spacing w:val="-5"/>
          <w:sz w:val="28"/>
        </w:rPr>
        <w:t> </w:t>
      </w:r>
      <w:r>
        <w:rPr>
          <w:b/>
          <w:color w:val="67287F"/>
          <w:sz w:val="28"/>
        </w:rPr>
        <w:t>adopted,</w:t>
      </w:r>
      <w:r>
        <w:rPr>
          <w:b/>
          <w:color w:val="67287F"/>
          <w:spacing w:val="-4"/>
          <w:sz w:val="28"/>
        </w:rPr>
        <w:t> </w:t>
      </w:r>
      <w:r>
        <w:rPr>
          <w:b/>
          <w:color w:val="67287F"/>
          <w:sz w:val="28"/>
        </w:rPr>
        <w:t>ensure</w:t>
      </w:r>
      <w:r>
        <w:rPr>
          <w:b/>
          <w:color w:val="67287F"/>
          <w:spacing w:val="-5"/>
          <w:sz w:val="28"/>
        </w:rPr>
        <w:t> </w:t>
      </w:r>
      <w:r>
        <w:rPr>
          <w:b/>
          <w:color w:val="67287F"/>
          <w:sz w:val="28"/>
        </w:rPr>
        <w:t>NI</w:t>
      </w:r>
      <w:r>
        <w:rPr>
          <w:b/>
          <w:color w:val="67287F"/>
          <w:spacing w:val="-4"/>
          <w:sz w:val="28"/>
        </w:rPr>
        <w:t> </w:t>
      </w:r>
      <w:r>
        <w:rPr>
          <w:b/>
          <w:color w:val="67287F"/>
          <w:sz w:val="28"/>
        </w:rPr>
        <w:t>law</w:t>
      </w:r>
      <w:r>
        <w:rPr>
          <w:b/>
          <w:color w:val="67287F"/>
          <w:spacing w:val="-5"/>
          <w:sz w:val="28"/>
        </w:rPr>
        <w:t> </w:t>
      </w:r>
      <w:r>
        <w:rPr>
          <w:b/>
          <w:color w:val="67287F"/>
          <w:sz w:val="28"/>
        </w:rPr>
        <w:t>aligns</w:t>
      </w:r>
      <w:r>
        <w:rPr>
          <w:b/>
          <w:color w:val="67287F"/>
          <w:spacing w:val="-4"/>
          <w:sz w:val="28"/>
        </w:rPr>
        <w:t> </w:t>
      </w:r>
      <w:r>
        <w:rPr>
          <w:b/>
          <w:color w:val="67287F"/>
          <w:sz w:val="28"/>
        </w:rPr>
        <w:t>on</w:t>
      </w:r>
      <w:r>
        <w:rPr>
          <w:b/>
          <w:color w:val="67287F"/>
          <w:spacing w:val="-4"/>
          <w:sz w:val="28"/>
        </w:rPr>
        <w:t> </w:t>
      </w:r>
      <w:r>
        <w:rPr>
          <w:b/>
          <w:color w:val="67287F"/>
          <w:sz w:val="28"/>
        </w:rPr>
        <w:t>a</w:t>
      </w:r>
      <w:r>
        <w:rPr>
          <w:b/>
          <w:color w:val="67287F"/>
          <w:spacing w:val="-4"/>
          <w:sz w:val="28"/>
        </w:rPr>
        <w:t> </w:t>
      </w:r>
      <w:r>
        <w:rPr>
          <w:b/>
          <w:color w:val="67287F"/>
          <w:sz w:val="28"/>
        </w:rPr>
        <w:t>voluntary</w:t>
      </w:r>
      <w:r>
        <w:rPr>
          <w:b/>
          <w:color w:val="67287F"/>
          <w:spacing w:val="-4"/>
          <w:sz w:val="28"/>
        </w:rPr>
        <w:t> </w:t>
      </w:r>
      <w:r>
        <w:rPr>
          <w:b/>
          <w:color w:val="67287F"/>
          <w:sz w:val="28"/>
        </w:rPr>
        <w:t>basis</w:t>
      </w:r>
      <w:r>
        <w:rPr>
          <w:b/>
          <w:color w:val="67287F"/>
          <w:spacing w:val="-4"/>
          <w:sz w:val="28"/>
        </w:rPr>
        <w:t> </w:t>
      </w:r>
      <w:r>
        <w:rPr>
          <w:b/>
          <w:color w:val="67287F"/>
          <w:sz w:val="28"/>
        </w:rPr>
        <w:t>with</w:t>
      </w:r>
      <w:r>
        <w:rPr>
          <w:b/>
          <w:color w:val="67287F"/>
          <w:spacing w:val="-4"/>
          <w:sz w:val="28"/>
        </w:rPr>
        <w:t> </w:t>
      </w:r>
      <w:r>
        <w:rPr>
          <w:b/>
          <w:color w:val="67287F"/>
          <w:sz w:val="28"/>
        </w:rPr>
        <w:t>such</w:t>
      </w:r>
      <w:r>
        <w:rPr>
          <w:b/>
          <w:color w:val="67287F"/>
          <w:spacing w:val="-4"/>
          <w:sz w:val="28"/>
        </w:rPr>
        <w:t> </w:t>
      </w:r>
      <w:r>
        <w:rPr>
          <w:b/>
          <w:color w:val="67287F"/>
          <w:sz w:val="28"/>
        </w:rPr>
        <w:t>changes where this strengthens protections and aligns with international human rights standards.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0"/>
        </w:rPr>
      </w:pPr>
      <w:r>
        <w:rPr/>
        <mc:AlternateContent>
          <mc:Choice Requires="wps">
            <w:drawing>
              <wp:anchor distT="0" distB="0" distL="0" distR="0" allowOverlap="1" layoutInCell="1" locked="0" behindDoc="1" simplePos="0" relativeHeight="487705088">
                <wp:simplePos x="0" y="0"/>
                <wp:positionH relativeFrom="page">
                  <wp:posOffset>719996</wp:posOffset>
                </wp:positionH>
                <wp:positionV relativeFrom="paragraph">
                  <wp:posOffset>174002</wp:posOffset>
                </wp:positionV>
                <wp:extent cx="6120130" cy="1270"/>
                <wp:effectExtent l="0" t="0" r="0" b="0"/>
                <wp:wrapTopAndBottom/>
                <wp:docPr id="534" name="Graphic 534"/>
                <wp:cNvGraphicFramePr>
                  <a:graphicFrameLocks/>
                </wp:cNvGraphicFramePr>
                <a:graphic>
                  <a:graphicData uri="http://schemas.microsoft.com/office/word/2010/wordprocessingShape">
                    <wps:wsp>
                      <wps:cNvPr id="534" name="Graphic 534"/>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3.700981pt;width:481.9pt;height:.1pt;mso-position-horizontal-relative:page;mso-position-vertical-relative:paragraph;z-index:-15611392;mso-wrap-distance-left:0;mso-wrap-distance-right:0" id="docshape479" coordorigin="1134,274" coordsize="9638,0" path="m10772,274l1134,274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35" w:lineRule="auto" w:before="126" w:after="0"/>
        <w:ind w:left="1853" w:right="1221" w:hanging="720"/>
        <w:jc w:val="left"/>
        <w:rPr>
          <w:sz w:val="18"/>
        </w:rPr>
      </w:pP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3"/>
          <w:sz w:val="18"/>
        </w:rPr>
        <w:t> </w:t>
      </w:r>
      <w:r>
        <w:rPr>
          <w:sz w:val="18"/>
        </w:rPr>
        <w:t>‘Response</w:t>
      </w:r>
      <w:r>
        <w:rPr>
          <w:spacing w:val="-3"/>
          <w:sz w:val="18"/>
        </w:rPr>
        <w:t> </w:t>
      </w:r>
      <w:r>
        <w:rPr>
          <w:sz w:val="18"/>
        </w:rPr>
        <w:t>to</w:t>
      </w:r>
      <w:r>
        <w:rPr>
          <w:spacing w:val="-4"/>
          <w:sz w:val="18"/>
        </w:rPr>
        <w:t> </w:t>
      </w:r>
      <w:r>
        <w:rPr>
          <w:sz w:val="18"/>
        </w:rPr>
        <w:t>the</w:t>
      </w:r>
      <w:r>
        <w:rPr>
          <w:spacing w:val="-3"/>
          <w:sz w:val="18"/>
        </w:rPr>
        <w:t> </w:t>
      </w:r>
      <w:r>
        <w:rPr>
          <w:sz w:val="18"/>
        </w:rPr>
        <w:t>Department</w:t>
      </w:r>
      <w:r>
        <w:rPr>
          <w:spacing w:val="-3"/>
          <w:sz w:val="18"/>
        </w:rPr>
        <w:t> </w:t>
      </w:r>
      <w:r>
        <w:rPr>
          <w:sz w:val="18"/>
        </w:rPr>
        <w:t>of</w:t>
      </w:r>
      <w:r>
        <w:rPr>
          <w:spacing w:val="-4"/>
          <w:sz w:val="18"/>
        </w:rPr>
        <w:t> </w:t>
      </w:r>
      <w:r>
        <w:rPr>
          <w:sz w:val="18"/>
        </w:rPr>
        <w:t>Finance</w:t>
      </w:r>
      <w:r>
        <w:rPr>
          <w:spacing w:val="-3"/>
          <w:sz w:val="18"/>
        </w:rPr>
        <w:t> </w:t>
      </w:r>
      <w:r>
        <w:rPr>
          <w:sz w:val="18"/>
        </w:rPr>
        <w:t>Consultation</w:t>
      </w:r>
      <w:r>
        <w:rPr>
          <w:spacing w:val="-4"/>
          <w:sz w:val="18"/>
        </w:rPr>
        <w:t> </w:t>
      </w:r>
      <w:r>
        <w:rPr>
          <w:sz w:val="18"/>
        </w:rPr>
        <w:t>on</w:t>
      </w:r>
      <w:r>
        <w:rPr>
          <w:spacing w:val="-4"/>
          <w:sz w:val="18"/>
        </w:rPr>
        <w:t> </w:t>
      </w:r>
      <w:r>
        <w:rPr>
          <w:sz w:val="18"/>
        </w:rPr>
        <w:t>the</w:t>
      </w:r>
      <w:r>
        <w:rPr>
          <w:spacing w:val="-3"/>
          <w:sz w:val="18"/>
        </w:rPr>
        <w:t> </w:t>
      </w:r>
      <w:r>
        <w:rPr>
          <w:sz w:val="18"/>
        </w:rPr>
        <w:t>Review</w:t>
      </w:r>
      <w:r>
        <w:rPr>
          <w:spacing w:val="-3"/>
          <w:sz w:val="18"/>
        </w:rPr>
        <w:t> </w:t>
      </w:r>
      <w:r>
        <w:rPr>
          <w:sz w:val="18"/>
        </w:rPr>
        <w:t>of</w:t>
      </w:r>
      <w:r>
        <w:rPr>
          <w:spacing w:val="-4"/>
          <w:sz w:val="18"/>
        </w:rPr>
        <w:t> </w:t>
      </w:r>
      <w:r>
        <w:rPr>
          <w:sz w:val="18"/>
        </w:rPr>
        <w:t>Defamation</w:t>
      </w:r>
      <w:r>
        <w:rPr>
          <w:spacing w:val="-4"/>
          <w:sz w:val="18"/>
        </w:rPr>
        <w:t> </w:t>
      </w:r>
      <w:r>
        <w:rPr>
          <w:sz w:val="18"/>
        </w:rPr>
        <w:t>Law</w:t>
      </w:r>
      <w:r>
        <w:rPr>
          <w:spacing w:val="-3"/>
          <w:sz w:val="18"/>
        </w:rPr>
        <w:t> </w:t>
      </w:r>
      <w:r>
        <w:rPr>
          <w:sz w:val="18"/>
        </w:rPr>
        <w:t>in NI’ (NIHRC, 2024).</w:t>
      </w:r>
    </w:p>
    <w:p>
      <w:pPr>
        <w:pStyle w:val="ListParagraph"/>
        <w:numPr>
          <w:ilvl w:val="0"/>
          <w:numId w:val="11"/>
        </w:numPr>
        <w:tabs>
          <w:tab w:pos="1853" w:val="left" w:leader="none"/>
        </w:tabs>
        <w:spacing w:line="235" w:lineRule="auto" w:before="1" w:after="0"/>
        <w:ind w:left="1853" w:right="1261" w:hanging="720"/>
        <w:jc w:val="left"/>
        <w:rPr>
          <w:sz w:val="18"/>
        </w:rPr>
      </w:pPr>
      <w:r>
        <w:rPr>
          <w:sz w:val="18"/>
        </w:rPr>
        <w:t>EU</w:t>
      </w:r>
      <w:r>
        <w:rPr>
          <w:spacing w:val="-5"/>
          <w:sz w:val="18"/>
        </w:rPr>
        <w:t> </w:t>
      </w:r>
      <w:r>
        <w:rPr>
          <w:sz w:val="18"/>
        </w:rPr>
        <w:t>Commission,</w:t>
      </w:r>
      <w:r>
        <w:rPr>
          <w:spacing w:val="-5"/>
          <w:sz w:val="18"/>
        </w:rPr>
        <w:t> </w:t>
      </w:r>
      <w:r>
        <w:rPr>
          <w:sz w:val="18"/>
        </w:rPr>
        <w:t>‘Press</w:t>
      </w:r>
      <w:r>
        <w:rPr>
          <w:spacing w:val="-6"/>
          <w:sz w:val="18"/>
        </w:rPr>
        <w:t> </w:t>
      </w:r>
      <w:r>
        <w:rPr>
          <w:sz w:val="18"/>
        </w:rPr>
        <w:t>Release:</w:t>
      </w:r>
      <w:r>
        <w:rPr>
          <w:spacing w:val="-5"/>
          <w:sz w:val="18"/>
        </w:rPr>
        <w:t> </w:t>
      </w:r>
      <w:r>
        <w:rPr>
          <w:sz w:val="18"/>
        </w:rPr>
        <w:t>Commission</w:t>
      </w:r>
      <w:r>
        <w:rPr>
          <w:spacing w:val="-6"/>
          <w:sz w:val="18"/>
        </w:rPr>
        <w:t> </w:t>
      </w:r>
      <w:r>
        <w:rPr>
          <w:sz w:val="18"/>
        </w:rPr>
        <w:t>welcomes</w:t>
      </w:r>
      <w:r>
        <w:rPr>
          <w:spacing w:val="-6"/>
          <w:sz w:val="18"/>
        </w:rPr>
        <w:t> </w:t>
      </w:r>
      <w:r>
        <w:rPr>
          <w:sz w:val="18"/>
        </w:rPr>
        <w:t>political</w:t>
      </w:r>
      <w:r>
        <w:rPr>
          <w:spacing w:val="-6"/>
          <w:sz w:val="18"/>
        </w:rPr>
        <w:t> </w:t>
      </w:r>
      <w:r>
        <w:rPr>
          <w:sz w:val="18"/>
        </w:rPr>
        <w:t>agreement</w:t>
      </w:r>
      <w:r>
        <w:rPr>
          <w:spacing w:val="-5"/>
          <w:sz w:val="18"/>
        </w:rPr>
        <w:t> </w:t>
      </w:r>
      <w:r>
        <w:rPr>
          <w:sz w:val="18"/>
        </w:rPr>
        <w:t>on</w:t>
      </w:r>
      <w:r>
        <w:rPr>
          <w:spacing w:val="-6"/>
          <w:sz w:val="18"/>
        </w:rPr>
        <w:t> </w:t>
      </w:r>
      <w:r>
        <w:rPr>
          <w:sz w:val="18"/>
        </w:rPr>
        <w:t>countering</w:t>
      </w:r>
      <w:r>
        <w:rPr>
          <w:spacing w:val="-5"/>
          <w:sz w:val="18"/>
        </w:rPr>
        <w:t> </w:t>
      </w:r>
      <w:r>
        <w:rPr>
          <w:sz w:val="18"/>
        </w:rPr>
        <w:t>abusive</w:t>
      </w:r>
      <w:r>
        <w:rPr>
          <w:spacing w:val="-5"/>
          <w:sz w:val="18"/>
        </w:rPr>
        <w:t> </w:t>
      </w:r>
      <w:r>
        <w:rPr>
          <w:sz w:val="18"/>
        </w:rPr>
        <w:t>lawsuits</w:t>
      </w:r>
      <w:r>
        <w:rPr>
          <w:spacing w:val="-6"/>
          <w:sz w:val="18"/>
        </w:rPr>
        <w:t> </w:t>
      </w:r>
      <w:r>
        <w:rPr>
          <w:sz w:val="18"/>
        </w:rPr>
        <w:t>against</w:t>
      </w:r>
      <w:r>
        <w:rPr>
          <w:spacing w:val="-5"/>
          <w:sz w:val="18"/>
        </w:rPr>
        <w:t> </w:t>
      </w:r>
      <w:r>
        <w:rPr>
          <w:sz w:val="18"/>
        </w:rPr>
        <w:t>public participation (SLAPPs)’, 30 November 2023.</w:t>
      </w:r>
    </w:p>
    <w:p>
      <w:pPr>
        <w:pStyle w:val="ListParagraph"/>
        <w:numPr>
          <w:ilvl w:val="0"/>
          <w:numId w:val="11"/>
        </w:numPr>
        <w:tabs>
          <w:tab w:pos="1853" w:val="left" w:leader="none"/>
        </w:tabs>
        <w:spacing w:line="235" w:lineRule="auto" w:before="2" w:after="0"/>
        <w:ind w:left="1853" w:right="1604" w:hanging="720"/>
        <w:jc w:val="left"/>
        <w:rPr>
          <w:sz w:val="18"/>
        </w:rPr>
      </w:pPr>
      <w:r>
        <w:rPr>
          <w:sz w:val="18"/>
        </w:rPr>
        <w:t>EU Commission, ‘Proposal</w:t>
      </w:r>
      <w:r>
        <w:rPr>
          <w:spacing w:val="-1"/>
          <w:sz w:val="18"/>
        </w:rPr>
        <w:t> </w:t>
      </w:r>
      <w:r>
        <w:rPr>
          <w:sz w:val="18"/>
        </w:rPr>
        <w:t>for a</w:t>
      </w:r>
      <w:r>
        <w:rPr>
          <w:spacing w:val="-1"/>
          <w:sz w:val="18"/>
        </w:rPr>
        <w:t> </w:t>
      </w:r>
      <w:r>
        <w:rPr>
          <w:sz w:val="18"/>
        </w:rPr>
        <w:t>Directive of</w:t>
      </w:r>
      <w:r>
        <w:rPr>
          <w:spacing w:val="-1"/>
          <w:sz w:val="18"/>
        </w:rPr>
        <w:t> </w:t>
      </w:r>
      <w:r>
        <w:rPr>
          <w:sz w:val="18"/>
        </w:rPr>
        <w:t>the European</w:t>
      </w:r>
      <w:r>
        <w:rPr>
          <w:spacing w:val="-1"/>
          <w:sz w:val="18"/>
        </w:rPr>
        <w:t> </w:t>
      </w:r>
      <w:r>
        <w:rPr>
          <w:sz w:val="18"/>
        </w:rPr>
        <w:t>Parliament and</w:t>
      </w:r>
      <w:r>
        <w:rPr>
          <w:spacing w:val="-1"/>
          <w:sz w:val="18"/>
        </w:rPr>
        <w:t> </w:t>
      </w:r>
      <w:r>
        <w:rPr>
          <w:sz w:val="18"/>
        </w:rPr>
        <w:t>of</w:t>
      </w:r>
      <w:r>
        <w:rPr>
          <w:spacing w:val="-1"/>
          <w:sz w:val="18"/>
        </w:rPr>
        <w:t> </w:t>
      </w:r>
      <w:r>
        <w:rPr>
          <w:sz w:val="18"/>
        </w:rPr>
        <w:t>the Council</w:t>
      </w:r>
      <w:r>
        <w:rPr>
          <w:spacing w:val="-1"/>
          <w:sz w:val="18"/>
        </w:rPr>
        <w:t> </w:t>
      </w:r>
      <w:r>
        <w:rPr>
          <w:sz w:val="18"/>
        </w:rPr>
        <w:t>on</w:t>
      </w:r>
      <w:r>
        <w:rPr>
          <w:spacing w:val="-1"/>
          <w:sz w:val="18"/>
        </w:rPr>
        <w:t> </w:t>
      </w:r>
      <w:r>
        <w:rPr>
          <w:sz w:val="18"/>
        </w:rPr>
        <w:t>Protecting Persons</w:t>
      </w:r>
      <w:r>
        <w:rPr>
          <w:spacing w:val="-1"/>
          <w:sz w:val="18"/>
        </w:rPr>
        <w:t> </w:t>
      </w:r>
      <w:r>
        <w:rPr>
          <w:sz w:val="18"/>
        </w:rPr>
        <w:t>who Engage</w:t>
      </w:r>
      <w:r>
        <w:rPr>
          <w:spacing w:val="-6"/>
          <w:sz w:val="18"/>
        </w:rPr>
        <w:t> </w:t>
      </w:r>
      <w:r>
        <w:rPr>
          <w:sz w:val="18"/>
        </w:rPr>
        <w:t>in</w:t>
      </w:r>
      <w:r>
        <w:rPr>
          <w:spacing w:val="-7"/>
          <w:sz w:val="18"/>
        </w:rPr>
        <w:t> </w:t>
      </w:r>
      <w:r>
        <w:rPr>
          <w:sz w:val="18"/>
        </w:rPr>
        <w:t>public</w:t>
      </w:r>
      <w:r>
        <w:rPr>
          <w:spacing w:val="-6"/>
          <w:sz w:val="18"/>
        </w:rPr>
        <w:t> </w:t>
      </w:r>
      <w:r>
        <w:rPr>
          <w:sz w:val="18"/>
        </w:rPr>
        <w:t>participation</w:t>
      </w:r>
      <w:r>
        <w:rPr>
          <w:spacing w:val="-7"/>
          <w:sz w:val="18"/>
        </w:rPr>
        <w:t> </w:t>
      </w:r>
      <w:r>
        <w:rPr>
          <w:sz w:val="18"/>
        </w:rPr>
        <w:t>from</w:t>
      </w:r>
      <w:r>
        <w:rPr>
          <w:spacing w:val="-6"/>
          <w:sz w:val="18"/>
        </w:rPr>
        <w:t> </w:t>
      </w:r>
      <w:r>
        <w:rPr>
          <w:sz w:val="18"/>
        </w:rPr>
        <w:t>Manifestly</w:t>
      </w:r>
      <w:r>
        <w:rPr>
          <w:spacing w:val="-6"/>
          <w:sz w:val="18"/>
        </w:rPr>
        <w:t> </w:t>
      </w:r>
      <w:r>
        <w:rPr>
          <w:sz w:val="18"/>
        </w:rPr>
        <w:t>Unfounded</w:t>
      </w:r>
      <w:r>
        <w:rPr>
          <w:spacing w:val="-7"/>
          <w:sz w:val="18"/>
        </w:rPr>
        <w:t> </w:t>
      </w:r>
      <w:r>
        <w:rPr>
          <w:sz w:val="18"/>
        </w:rPr>
        <w:t>or</w:t>
      </w:r>
      <w:r>
        <w:rPr>
          <w:spacing w:val="-6"/>
          <w:sz w:val="18"/>
        </w:rPr>
        <w:t> </w:t>
      </w:r>
      <w:r>
        <w:rPr>
          <w:sz w:val="18"/>
        </w:rPr>
        <w:t>Abusive</w:t>
      </w:r>
      <w:r>
        <w:rPr>
          <w:spacing w:val="-6"/>
          <w:sz w:val="18"/>
        </w:rPr>
        <w:t> </w:t>
      </w:r>
      <w:r>
        <w:rPr>
          <w:sz w:val="18"/>
        </w:rPr>
        <w:t>Court</w:t>
      </w:r>
      <w:r>
        <w:rPr>
          <w:spacing w:val="-6"/>
          <w:sz w:val="18"/>
        </w:rPr>
        <w:t> </w:t>
      </w:r>
      <w:r>
        <w:rPr>
          <w:sz w:val="18"/>
        </w:rPr>
        <w:t>Proceedings</w:t>
      </w:r>
      <w:r>
        <w:rPr>
          <w:spacing w:val="-7"/>
          <w:sz w:val="18"/>
        </w:rPr>
        <w:t> </w:t>
      </w:r>
      <w:r>
        <w:rPr>
          <w:sz w:val="18"/>
        </w:rPr>
        <w:t>(“Strategic</w:t>
      </w:r>
      <w:r>
        <w:rPr>
          <w:spacing w:val="-6"/>
          <w:sz w:val="18"/>
        </w:rPr>
        <w:t> </w:t>
      </w:r>
      <w:r>
        <w:rPr>
          <w:sz w:val="18"/>
        </w:rPr>
        <w:t>Lawsuits</w:t>
      </w:r>
      <w:r>
        <w:rPr>
          <w:spacing w:val="-7"/>
          <w:sz w:val="18"/>
        </w:rPr>
        <w:t> </w:t>
      </w:r>
      <w:r>
        <w:rPr>
          <w:sz w:val="18"/>
        </w:rPr>
        <w:t>against Public Participation”) - COM(2022) 177’ (EU Commission, 2022).</w:t>
      </w:r>
    </w:p>
    <w:p>
      <w:pPr>
        <w:pStyle w:val="ListParagraph"/>
        <w:numPr>
          <w:ilvl w:val="0"/>
          <w:numId w:val="11"/>
        </w:numPr>
        <w:tabs>
          <w:tab w:pos="1853" w:val="left" w:leader="none"/>
        </w:tabs>
        <w:spacing w:line="235" w:lineRule="auto" w:before="2" w:after="0"/>
        <w:ind w:left="1853" w:right="1233" w:hanging="720"/>
        <w:jc w:val="left"/>
        <w:rPr>
          <w:sz w:val="18"/>
        </w:rPr>
      </w:pPr>
      <w:r>
        <w:rPr>
          <w:sz w:val="18"/>
        </w:rPr>
        <w:t>Equality Commission for NI, NI Human Rights Commission and Irish Human Rights and Equality Commission, ‘Policy Recommendations:</w:t>
      </w:r>
      <w:r>
        <w:rPr>
          <w:spacing w:val="-4"/>
          <w:sz w:val="18"/>
        </w:rPr>
        <w:t> </w:t>
      </w:r>
      <w:r>
        <w:rPr>
          <w:sz w:val="18"/>
        </w:rPr>
        <w:t>European</w:t>
      </w:r>
      <w:r>
        <w:rPr>
          <w:spacing w:val="-5"/>
          <w:sz w:val="18"/>
        </w:rPr>
        <w:t> </w:t>
      </w:r>
      <w:r>
        <w:rPr>
          <w:sz w:val="18"/>
        </w:rPr>
        <w:t>Union</w:t>
      </w:r>
      <w:r>
        <w:rPr>
          <w:spacing w:val="-5"/>
          <w:sz w:val="18"/>
        </w:rPr>
        <w:t> </w:t>
      </w:r>
      <w:r>
        <w:rPr>
          <w:sz w:val="18"/>
        </w:rPr>
        <w:t>developments</w:t>
      </w:r>
      <w:r>
        <w:rPr>
          <w:spacing w:val="-5"/>
          <w:sz w:val="18"/>
        </w:rPr>
        <w:t> </w:t>
      </w:r>
      <w:r>
        <w:rPr>
          <w:sz w:val="18"/>
        </w:rPr>
        <w:t>in</w:t>
      </w:r>
      <w:r>
        <w:rPr>
          <w:spacing w:val="-5"/>
          <w:sz w:val="18"/>
        </w:rPr>
        <w:t> </w:t>
      </w:r>
      <w:r>
        <w:rPr>
          <w:sz w:val="18"/>
        </w:rPr>
        <w:t>Equality</w:t>
      </w:r>
      <w:r>
        <w:rPr>
          <w:spacing w:val="-4"/>
          <w:sz w:val="18"/>
        </w:rPr>
        <w:t> </w:t>
      </w:r>
      <w:r>
        <w:rPr>
          <w:sz w:val="18"/>
        </w:rPr>
        <w:t>and</w:t>
      </w:r>
      <w:r>
        <w:rPr>
          <w:spacing w:val="-5"/>
          <w:sz w:val="18"/>
        </w:rPr>
        <w:t> </w:t>
      </w:r>
      <w:r>
        <w:rPr>
          <w:sz w:val="18"/>
        </w:rPr>
        <w:t>Human</w:t>
      </w:r>
      <w:r>
        <w:rPr>
          <w:spacing w:val="-5"/>
          <w:sz w:val="18"/>
        </w:rPr>
        <w:t> </w:t>
      </w:r>
      <w:r>
        <w:rPr>
          <w:sz w:val="18"/>
        </w:rPr>
        <w:t>Rights: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the</w:t>
      </w:r>
      <w:r>
        <w:rPr>
          <w:spacing w:val="-4"/>
          <w:sz w:val="18"/>
        </w:rPr>
        <w:t> </w:t>
      </w:r>
      <w:r>
        <w:rPr>
          <w:sz w:val="18"/>
        </w:rPr>
        <w:t>divergence of rights and best practice on the island of Ireland’ (ECNI, NIHRC and IHREC, 2023).</w:t>
      </w:r>
    </w:p>
    <w:p>
      <w:pPr>
        <w:spacing w:after="0" w:line="235" w:lineRule="auto"/>
        <w:jc w:val="left"/>
        <w:rPr>
          <w:sz w:val="18"/>
        </w:rPr>
        <w:sectPr>
          <w:pgSz w:w="11910" w:h="16840"/>
          <w:pgMar w:header="496" w:footer="367" w:top="1220" w:bottom="560" w:left="0" w:right="0"/>
        </w:sectPr>
      </w:pPr>
    </w:p>
    <w:p>
      <w:pPr>
        <w:pStyle w:val="BodyText"/>
        <w:spacing w:before="68"/>
        <w:rPr>
          <w:sz w:val="36"/>
        </w:rPr>
      </w:pPr>
    </w:p>
    <w:p>
      <w:pPr>
        <w:pStyle w:val="Heading3"/>
        <w:spacing w:before="1"/>
      </w:pPr>
      <w:bookmarkStart w:name="_bookmark44" w:id="99"/>
      <w:bookmarkEnd w:id="99"/>
      <w:r>
        <w:rPr>
          <w:b w:val="0"/>
        </w:rPr>
      </w:r>
      <w:bookmarkStart w:name="Data Protection" w:id="100"/>
      <w:bookmarkEnd w:id="100"/>
      <w:r>
        <w:rPr>
          <w:b w:val="0"/>
        </w:rPr>
      </w:r>
      <w:r>
        <w:rPr>
          <w:color w:val="67287F"/>
        </w:rPr>
        <w:t>Data</w:t>
      </w:r>
      <w:r>
        <w:rPr>
          <w:color w:val="67287F"/>
          <w:spacing w:val="-8"/>
        </w:rPr>
        <w:t> </w:t>
      </w:r>
      <w:r>
        <w:rPr>
          <w:color w:val="67287F"/>
          <w:spacing w:val="-2"/>
        </w:rPr>
        <w:t>Protection</w:t>
      </w:r>
    </w:p>
    <w:p>
      <w:pPr>
        <w:pStyle w:val="BodyText"/>
        <w:spacing w:before="2"/>
        <w:rPr>
          <w:b/>
          <w:sz w:val="5"/>
        </w:rPr>
      </w:pPr>
      <w:r>
        <w:rPr/>
        <mc:AlternateContent>
          <mc:Choice Requires="wps">
            <w:drawing>
              <wp:anchor distT="0" distB="0" distL="0" distR="0" allowOverlap="1" layoutInCell="1" locked="0" behindDoc="1" simplePos="0" relativeHeight="487705600">
                <wp:simplePos x="0" y="0"/>
                <wp:positionH relativeFrom="page">
                  <wp:posOffset>719997</wp:posOffset>
                </wp:positionH>
                <wp:positionV relativeFrom="paragraph">
                  <wp:posOffset>55605</wp:posOffset>
                </wp:positionV>
                <wp:extent cx="6120130" cy="1270"/>
                <wp:effectExtent l="0" t="0" r="0" b="0"/>
                <wp:wrapTopAndBottom/>
                <wp:docPr id="535" name="Graphic 535"/>
                <wp:cNvGraphicFramePr>
                  <a:graphicFrameLocks/>
                </wp:cNvGraphicFramePr>
                <a:graphic>
                  <a:graphicData uri="http://schemas.microsoft.com/office/word/2010/wordprocessingShape">
                    <wps:wsp>
                      <wps:cNvPr id="535" name="Graphic 535"/>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4.378387pt;width:481.9pt;height:.1pt;mso-position-horizontal-relative:page;mso-position-vertical-relative:paragraph;z-index:-15610880;mso-wrap-distance-left:0;mso-wrap-distance-right:0" id="docshape480" coordorigin="1134,88" coordsize="9638,0" path="m10772,88l1134,88e" filled="false" stroked="true" strokeweight="1pt" strokecolor="#67287f">
                <v:path arrowok="t"/>
                <v:stroke dashstyle="solid"/>
                <w10:wrap type="topAndBottom"/>
              </v:shape>
            </w:pict>
          </mc:Fallback>
        </mc:AlternateContent>
      </w:r>
    </w:p>
    <w:p>
      <w:pPr>
        <w:pStyle w:val="ListParagraph"/>
        <w:numPr>
          <w:ilvl w:val="1"/>
          <w:numId w:val="7"/>
        </w:numPr>
        <w:tabs>
          <w:tab w:pos="1853" w:val="left" w:leader="none"/>
        </w:tabs>
        <w:spacing w:line="225" w:lineRule="auto" w:before="315" w:after="0"/>
        <w:ind w:left="1853" w:right="1678" w:hanging="720"/>
        <w:jc w:val="left"/>
        <w:rPr>
          <w:sz w:val="28"/>
        </w:rPr>
      </w:pPr>
      <w:r>
        <w:rPr>
          <w:sz w:val="28"/>
        </w:rPr>
        <w:t>In</w:t>
      </w:r>
      <w:r>
        <w:rPr>
          <w:spacing w:val="-6"/>
          <w:sz w:val="28"/>
        </w:rPr>
        <w:t> </w:t>
      </w:r>
      <w:r>
        <w:rPr>
          <w:sz w:val="28"/>
        </w:rPr>
        <w:t>the</w:t>
      </w:r>
      <w:r>
        <w:rPr>
          <w:spacing w:val="-5"/>
          <w:sz w:val="28"/>
        </w:rPr>
        <w:t> </w:t>
      </w:r>
      <w:r>
        <w:rPr>
          <w:sz w:val="28"/>
        </w:rPr>
        <w:t>rights,</w:t>
      </w:r>
      <w:r>
        <w:rPr>
          <w:spacing w:val="-5"/>
          <w:sz w:val="28"/>
        </w:rPr>
        <w:t> </w:t>
      </w:r>
      <w:r>
        <w:rPr>
          <w:sz w:val="28"/>
        </w:rPr>
        <w:t>safeguards</w:t>
      </w:r>
      <w:r>
        <w:rPr>
          <w:spacing w:val="-6"/>
          <w:sz w:val="28"/>
        </w:rPr>
        <w:t> </w:t>
      </w:r>
      <w:r>
        <w:rPr>
          <w:sz w:val="28"/>
        </w:rPr>
        <w:t>and</w:t>
      </w:r>
      <w:r>
        <w:rPr>
          <w:spacing w:val="-6"/>
          <w:sz w:val="28"/>
        </w:rPr>
        <w:t> </w:t>
      </w:r>
      <w:r>
        <w:rPr>
          <w:sz w:val="28"/>
        </w:rPr>
        <w:t>equality</w:t>
      </w:r>
      <w:r>
        <w:rPr>
          <w:spacing w:val="-5"/>
          <w:sz w:val="28"/>
        </w:rPr>
        <w:t> </w:t>
      </w:r>
      <w:r>
        <w:rPr>
          <w:sz w:val="28"/>
        </w:rPr>
        <w:t>of</w:t>
      </w:r>
      <w:r>
        <w:rPr>
          <w:spacing w:val="-6"/>
          <w:sz w:val="28"/>
        </w:rPr>
        <w:t> </w:t>
      </w:r>
      <w:r>
        <w:rPr>
          <w:sz w:val="28"/>
        </w:rPr>
        <w:t>opportunity</w:t>
      </w:r>
      <w:r>
        <w:rPr>
          <w:spacing w:val="-5"/>
          <w:sz w:val="28"/>
        </w:rPr>
        <w:t> </w:t>
      </w:r>
      <w:r>
        <w:rPr>
          <w:sz w:val="28"/>
        </w:rPr>
        <w:t>section</w:t>
      </w:r>
      <w:r>
        <w:rPr>
          <w:spacing w:val="-6"/>
          <w:sz w:val="28"/>
        </w:rPr>
        <w:t> </w:t>
      </w:r>
      <w:r>
        <w:rPr>
          <w:sz w:val="28"/>
        </w:rPr>
        <w:t>of</w:t>
      </w:r>
      <w:r>
        <w:rPr>
          <w:spacing w:val="-6"/>
          <w:sz w:val="28"/>
        </w:rPr>
        <w:t> </w:t>
      </w:r>
      <w:r>
        <w:rPr>
          <w:sz w:val="28"/>
        </w:rPr>
        <w:t>the</w:t>
      </w:r>
      <w:r>
        <w:rPr>
          <w:spacing w:val="-5"/>
          <w:sz w:val="28"/>
        </w:rPr>
        <w:t> </w:t>
      </w:r>
      <w:r>
        <w:rPr>
          <w:sz w:val="28"/>
        </w:rPr>
        <w:t>Belfast (Good Friday) Agreement the parties affirmed their “commitment to … the civil rights and religious liberties of everyone in the community”.</w:t>
      </w:r>
      <w:r>
        <w:rPr>
          <w:sz w:val="28"/>
          <w:vertAlign w:val="superscript"/>
        </w:rPr>
        <w:t>702</w:t>
      </w:r>
      <w:r>
        <w:rPr>
          <w:sz w:val="28"/>
          <w:vertAlign w:val="baseline"/>
        </w:rPr>
        <w:t> In</w:t>
      </w:r>
    </w:p>
    <w:p>
      <w:pPr>
        <w:pStyle w:val="BodyText"/>
        <w:spacing w:line="225" w:lineRule="auto"/>
        <w:ind w:left="1853" w:right="1171"/>
      </w:pPr>
      <w:r>
        <w:rPr/>
        <w:t>February</w:t>
      </w:r>
      <w:r>
        <w:rPr>
          <w:spacing w:val="-6"/>
        </w:rPr>
        <w:t> </w:t>
      </w:r>
      <w:r>
        <w:rPr/>
        <w:t>2024,</w:t>
      </w:r>
      <w:r>
        <w:rPr>
          <w:spacing w:val="-6"/>
        </w:rPr>
        <w:t> </w:t>
      </w:r>
      <w:r>
        <w:rPr/>
        <w:t>the</w:t>
      </w:r>
      <w:r>
        <w:rPr>
          <w:spacing w:val="-6"/>
        </w:rPr>
        <w:t> </w:t>
      </w:r>
      <w:r>
        <w:rPr/>
        <w:t>High</w:t>
      </w:r>
      <w:r>
        <w:rPr>
          <w:spacing w:val="-7"/>
        </w:rPr>
        <w:t> </w:t>
      </w:r>
      <w:r>
        <w:rPr/>
        <w:t>Court</w:t>
      </w:r>
      <w:r>
        <w:rPr>
          <w:spacing w:val="-6"/>
        </w:rPr>
        <w:t> </w:t>
      </w:r>
      <w:r>
        <w:rPr/>
        <w:t>adopted</w:t>
      </w:r>
      <w:r>
        <w:rPr>
          <w:spacing w:val="-7"/>
        </w:rPr>
        <w:t> </w:t>
      </w:r>
      <w:r>
        <w:rPr/>
        <w:t>a</w:t>
      </w:r>
      <w:r>
        <w:rPr>
          <w:spacing w:val="-7"/>
        </w:rPr>
        <w:t> </w:t>
      </w:r>
      <w:r>
        <w:rPr/>
        <w:t>‘generous</w:t>
      </w:r>
      <w:r>
        <w:rPr>
          <w:spacing w:val="-7"/>
        </w:rPr>
        <w:t> </w:t>
      </w:r>
      <w:r>
        <w:rPr/>
        <w:t>and</w:t>
      </w:r>
      <w:r>
        <w:rPr>
          <w:spacing w:val="-7"/>
        </w:rPr>
        <w:t> </w:t>
      </w:r>
      <w:r>
        <w:rPr/>
        <w:t>purposive’</w:t>
      </w:r>
      <w:r>
        <w:rPr>
          <w:spacing w:val="-6"/>
        </w:rPr>
        <w:t> </w:t>
      </w:r>
      <w:r>
        <w:rPr/>
        <w:t>approach to the interpretation of the relevant chapter of the Belfast (Good Friday) Agreement.</w:t>
      </w:r>
      <w:r>
        <w:rPr>
          <w:vertAlign w:val="superscript"/>
        </w:rPr>
        <w:t>703</w:t>
      </w:r>
      <w:r>
        <w:rPr>
          <w:spacing w:val="40"/>
          <w:vertAlign w:val="baseline"/>
        </w:rPr>
        <w:t> </w:t>
      </w:r>
      <w:r>
        <w:rPr>
          <w:vertAlign w:val="baseline"/>
        </w:rPr>
        <w:t>The High Court held that, “a narrow interpretation of ‘civil rights’ undermines the forward-facing dimension of the non-diminution commitment in [Windsor Framework] Article 2(1)”.</w:t>
      </w:r>
      <w:r>
        <w:rPr>
          <w:vertAlign w:val="superscript"/>
        </w:rPr>
        <w:t>704</w:t>
      </w:r>
    </w:p>
    <w:p>
      <w:pPr>
        <w:pStyle w:val="ListParagraph"/>
        <w:numPr>
          <w:ilvl w:val="1"/>
          <w:numId w:val="7"/>
        </w:numPr>
        <w:tabs>
          <w:tab w:pos="1853" w:val="left" w:leader="none"/>
        </w:tabs>
        <w:spacing w:line="225" w:lineRule="auto" w:before="309" w:after="0"/>
        <w:ind w:left="1853" w:right="1734" w:hanging="720"/>
        <w:jc w:val="both"/>
        <w:rPr>
          <w:sz w:val="28"/>
        </w:rPr>
      </w:pPr>
      <w:r>
        <w:rPr>
          <w:sz w:val="28"/>
        </w:rPr>
        <w:t>In</w:t>
      </w:r>
      <w:r>
        <w:rPr>
          <w:spacing w:val="-4"/>
          <w:sz w:val="28"/>
        </w:rPr>
        <w:t> </w:t>
      </w:r>
      <w:r>
        <w:rPr>
          <w:sz w:val="28"/>
        </w:rPr>
        <w:t>particular,</w:t>
      </w:r>
      <w:r>
        <w:rPr>
          <w:spacing w:val="-3"/>
          <w:sz w:val="28"/>
        </w:rPr>
        <w:t> </w:t>
      </w:r>
      <w:r>
        <w:rPr>
          <w:sz w:val="28"/>
        </w:rPr>
        <w:t>the</w:t>
      </w:r>
      <w:r>
        <w:rPr>
          <w:spacing w:val="-3"/>
          <w:sz w:val="28"/>
        </w:rPr>
        <w:t> </w:t>
      </w:r>
      <w:r>
        <w:rPr>
          <w:sz w:val="28"/>
        </w:rPr>
        <w:t>Commissions</w:t>
      </w:r>
      <w:r>
        <w:rPr>
          <w:spacing w:val="-4"/>
          <w:sz w:val="28"/>
        </w:rPr>
        <w:t> </w:t>
      </w:r>
      <w:r>
        <w:rPr>
          <w:sz w:val="28"/>
        </w:rPr>
        <w:t>consider</w:t>
      </w:r>
      <w:r>
        <w:rPr>
          <w:spacing w:val="-3"/>
          <w:sz w:val="28"/>
        </w:rPr>
        <w:t> </w:t>
      </w:r>
      <w:r>
        <w:rPr>
          <w:sz w:val="28"/>
        </w:rPr>
        <w:t>that</w:t>
      </w:r>
      <w:r>
        <w:rPr>
          <w:spacing w:val="-3"/>
          <w:sz w:val="28"/>
        </w:rPr>
        <w:t> </w:t>
      </w:r>
      <w:r>
        <w:rPr>
          <w:sz w:val="28"/>
        </w:rPr>
        <w:t>the</w:t>
      </w:r>
      <w:r>
        <w:rPr>
          <w:spacing w:val="-3"/>
          <w:sz w:val="28"/>
        </w:rPr>
        <w:t> </w:t>
      </w:r>
      <w:r>
        <w:rPr>
          <w:sz w:val="28"/>
        </w:rPr>
        <w:t>full</w:t>
      </w:r>
      <w:r>
        <w:rPr>
          <w:spacing w:val="-4"/>
          <w:sz w:val="28"/>
        </w:rPr>
        <w:t> </w:t>
      </w:r>
      <w:r>
        <w:rPr>
          <w:sz w:val="28"/>
        </w:rPr>
        <w:t>range</w:t>
      </w:r>
      <w:r>
        <w:rPr>
          <w:spacing w:val="-3"/>
          <w:sz w:val="28"/>
        </w:rPr>
        <w:t> </w:t>
      </w:r>
      <w:r>
        <w:rPr>
          <w:sz w:val="28"/>
        </w:rPr>
        <w:t>of</w:t>
      </w:r>
      <w:r>
        <w:rPr>
          <w:spacing w:val="-4"/>
          <w:sz w:val="28"/>
        </w:rPr>
        <w:t> </w:t>
      </w:r>
      <w:r>
        <w:rPr>
          <w:sz w:val="28"/>
        </w:rPr>
        <w:t>rights</w:t>
      </w:r>
      <w:r>
        <w:rPr>
          <w:spacing w:val="-4"/>
          <w:sz w:val="28"/>
        </w:rPr>
        <w:t> </w:t>
      </w:r>
      <w:r>
        <w:rPr>
          <w:sz w:val="28"/>
        </w:rPr>
        <w:t>in</w:t>
      </w:r>
      <w:r>
        <w:rPr>
          <w:spacing w:val="-4"/>
          <w:sz w:val="28"/>
        </w:rPr>
        <w:t> </w:t>
      </w:r>
      <w:r>
        <w:rPr>
          <w:sz w:val="28"/>
        </w:rPr>
        <w:t>the ECHR,</w:t>
      </w:r>
      <w:r>
        <w:rPr>
          <w:spacing w:val="-5"/>
          <w:sz w:val="28"/>
        </w:rPr>
        <w:t> </w:t>
      </w:r>
      <w:r>
        <w:rPr>
          <w:sz w:val="28"/>
        </w:rPr>
        <w:t>to</w:t>
      </w:r>
      <w:r>
        <w:rPr>
          <w:spacing w:val="-6"/>
          <w:sz w:val="28"/>
        </w:rPr>
        <w:t> </w:t>
      </w:r>
      <w:r>
        <w:rPr>
          <w:sz w:val="28"/>
        </w:rPr>
        <w:t>the</w:t>
      </w:r>
      <w:r>
        <w:rPr>
          <w:spacing w:val="-5"/>
          <w:sz w:val="28"/>
        </w:rPr>
        <w:t> </w:t>
      </w:r>
      <w:r>
        <w:rPr>
          <w:sz w:val="28"/>
        </w:rPr>
        <w:t>extent</w:t>
      </w:r>
      <w:r>
        <w:rPr>
          <w:spacing w:val="-5"/>
          <w:sz w:val="28"/>
        </w:rPr>
        <w:t> </w:t>
      </w:r>
      <w:r>
        <w:rPr>
          <w:sz w:val="28"/>
        </w:rPr>
        <w:t>that</w:t>
      </w:r>
      <w:r>
        <w:rPr>
          <w:spacing w:val="-5"/>
          <w:sz w:val="28"/>
        </w:rPr>
        <w:t> </w:t>
      </w:r>
      <w:r>
        <w:rPr>
          <w:sz w:val="28"/>
        </w:rPr>
        <w:t>they</w:t>
      </w:r>
      <w:r>
        <w:rPr>
          <w:spacing w:val="-5"/>
          <w:sz w:val="28"/>
        </w:rPr>
        <w:t> </w:t>
      </w:r>
      <w:r>
        <w:rPr>
          <w:sz w:val="28"/>
        </w:rPr>
        <w:t>are</w:t>
      </w:r>
      <w:r>
        <w:rPr>
          <w:spacing w:val="-5"/>
          <w:sz w:val="28"/>
        </w:rPr>
        <w:t> </w:t>
      </w:r>
      <w:r>
        <w:rPr>
          <w:sz w:val="28"/>
        </w:rPr>
        <w:t>underpinned</w:t>
      </w:r>
      <w:r>
        <w:rPr>
          <w:spacing w:val="-6"/>
          <w:sz w:val="28"/>
        </w:rPr>
        <w:t> </w:t>
      </w:r>
      <w:r>
        <w:rPr>
          <w:sz w:val="28"/>
        </w:rPr>
        <w:t>by</w:t>
      </w:r>
      <w:r>
        <w:rPr>
          <w:spacing w:val="-5"/>
          <w:sz w:val="28"/>
        </w:rPr>
        <w:t> </w:t>
      </w:r>
      <w:r>
        <w:rPr>
          <w:sz w:val="28"/>
        </w:rPr>
        <w:t>EU</w:t>
      </w:r>
      <w:r>
        <w:rPr>
          <w:spacing w:val="-5"/>
          <w:sz w:val="28"/>
        </w:rPr>
        <w:t> </w:t>
      </w:r>
      <w:r>
        <w:rPr>
          <w:sz w:val="28"/>
        </w:rPr>
        <w:t>law</w:t>
      </w:r>
      <w:r>
        <w:rPr>
          <w:spacing w:val="-5"/>
          <w:sz w:val="28"/>
        </w:rPr>
        <w:t> </w:t>
      </w:r>
      <w:r>
        <w:rPr>
          <w:sz w:val="28"/>
        </w:rPr>
        <w:t>in</w:t>
      </w:r>
      <w:r>
        <w:rPr>
          <w:spacing w:val="-6"/>
          <w:sz w:val="28"/>
        </w:rPr>
        <w:t> </w:t>
      </w:r>
      <w:r>
        <w:rPr>
          <w:sz w:val="28"/>
        </w:rPr>
        <w:t>force</w:t>
      </w:r>
      <w:r>
        <w:rPr>
          <w:spacing w:val="-5"/>
          <w:sz w:val="28"/>
        </w:rPr>
        <w:t> </w:t>
      </w:r>
      <w:r>
        <w:rPr>
          <w:sz w:val="28"/>
        </w:rPr>
        <w:t>in</w:t>
      </w:r>
      <w:r>
        <w:rPr>
          <w:spacing w:val="-6"/>
          <w:sz w:val="28"/>
        </w:rPr>
        <w:t> </w:t>
      </w:r>
      <w:r>
        <w:rPr>
          <w:sz w:val="28"/>
        </w:rPr>
        <w:t>NI</w:t>
      </w:r>
      <w:r>
        <w:rPr>
          <w:spacing w:val="-5"/>
          <w:sz w:val="28"/>
        </w:rPr>
        <w:t> </w:t>
      </w:r>
      <w:r>
        <w:rPr>
          <w:sz w:val="28"/>
        </w:rPr>
        <w:t>on or</w:t>
      </w:r>
      <w:r>
        <w:rPr>
          <w:spacing w:val="-1"/>
          <w:sz w:val="28"/>
        </w:rPr>
        <w:t> </w:t>
      </w:r>
      <w:r>
        <w:rPr>
          <w:sz w:val="28"/>
        </w:rPr>
        <w:t>before</w:t>
      </w:r>
      <w:r>
        <w:rPr>
          <w:spacing w:val="-1"/>
          <w:sz w:val="28"/>
        </w:rPr>
        <w:t> </w:t>
      </w:r>
      <w:r>
        <w:rPr>
          <w:sz w:val="28"/>
        </w:rPr>
        <w:t>31</w:t>
      </w:r>
      <w:r>
        <w:rPr>
          <w:spacing w:val="-1"/>
          <w:sz w:val="28"/>
        </w:rPr>
        <w:t> </w:t>
      </w:r>
      <w:r>
        <w:rPr>
          <w:sz w:val="28"/>
        </w:rPr>
        <w:t>December</w:t>
      </w:r>
      <w:r>
        <w:rPr>
          <w:spacing w:val="-1"/>
          <w:sz w:val="28"/>
        </w:rPr>
        <w:t> </w:t>
      </w:r>
      <w:r>
        <w:rPr>
          <w:sz w:val="28"/>
        </w:rPr>
        <w:t>2020,</w:t>
      </w:r>
      <w:r>
        <w:rPr>
          <w:spacing w:val="-1"/>
          <w:sz w:val="28"/>
        </w:rPr>
        <w:t> </w:t>
      </w:r>
      <w:r>
        <w:rPr>
          <w:sz w:val="28"/>
        </w:rPr>
        <w:t>fall</w:t>
      </w:r>
      <w:r>
        <w:rPr>
          <w:spacing w:val="-2"/>
          <w:sz w:val="28"/>
        </w:rPr>
        <w:t> </w:t>
      </w:r>
      <w:r>
        <w:rPr>
          <w:sz w:val="28"/>
        </w:rPr>
        <w:t>within</w:t>
      </w:r>
      <w:r>
        <w:rPr>
          <w:spacing w:val="-2"/>
          <w:sz w:val="28"/>
        </w:rPr>
        <w:t> </w:t>
      </w:r>
      <w:r>
        <w:rPr>
          <w:sz w:val="28"/>
        </w:rPr>
        <w:t>the</w:t>
      </w:r>
      <w:r>
        <w:rPr>
          <w:spacing w:val="-1"/>
          <w:sz w:val="28"/>
        </w:rPr>
        <w:t> </w:t>
      </w:r>
      <w:r>
        <w:rPr>
          <w:sz w:val="28"/>
        </w:rPr>
        <w:t>scope</w:t>
      </w:r>
      <w:r>
        <w:rPr>
          <w:spacing w:val="-1"/>
          <w:sz w:val="28"/>
        </w:rPr>
        <w:t> </w:t>
      </w:r>
      <w:r>
        <w:rPr>
          <w:sz w:val="28"/>
        </w:rPr>
        <w:t>of</w:t>
      </w:r>
      <w:r>
        <w:rPr>
          <w:spacing w:val="-2"/>
          <w:sz w:val="28"/>
        </w:rPr>
        <w:t> </w:t>
      </w:r>
      <w:r>
        <w:rPr>
          <w:sz w:val="28"/>
        </w:rPr>
        <w:t>the</w:t>
      </w:r>
      <w:r>
        <w:rPr>
          <w:spacing w:val="-1"/>
          <w:sz w:val="28"/>
        </w:rPr>
        <w:t> </w:t>
      </w:r>
      <w:r>
        <w:rPr>
          <w:sz w:val="28"/>
        </w:rPr>
        <w:t>non-diminution</w:t>
      </w:r>
    </w:p>
    <w:p>
      <w:pPr>
        <w:pStyle w:val="BodyText"/>
        <w:spacing w:line="225" w:lineRule="auto"/>
        <w:ind w:left="1853" w:right="1171"/>
      </w:pPr>
      <w:r>
        <w:rPr/>
        <w:t>commitment</w:t>
      </w:r>
      <w:r>
        <w:rPr>
          <w:spacing w:val="-5"/>
        </w:rPr>
        <w:t> </w:t>
      </w:r>
      <w:r>
        <w:rPr/>
        <w:t>in</w:t>
      </w:r>
      <w:r>
        <w:rPr>
          <w:spacing w:val="-6"/>
        </w:rPr>
        <w:t> </w:t>
      </w:r>
      <w:r>
        <w:rPr/>
        <w:t>Windsor</w:t>
      </w:r>
      <w:r>
        <w:rPr>
          <w:spacing w:val="-5"/>
        </w:rPr>
        <w:t> </w:t>
      </w:r>
      <w:r>
        <w:rPr/>
        <w:t>Framework</w:t>
      </w:r>
      <w:r>
        <w:rPr>
          <w:spacing w:val="-5"/>
        </w:rPr>
        <w:t> </w:t>
      </w:r>
      <w:r>
        <w:rPr/>
        <w:t>Article</w:t>
      </w:r>
      <w:r>
        <w:rPr>
          <w:spacing w:val="-5"/>
        </w:rPr>
        <w:t> </w:t>
      </w:r>
      <w:r>
        <w:rPr/>
        <w:t>2.</w:t>
      </w:r>
      <w:r>
        <w:rPr>
          <w:spacing w:val="40"/>
        </w:rPr>
        <w:t> </w:t>
      </w:r>
      <w:r>
        <w:rPr/>
        <w:t>The</w:t>
      </w:r>
      <w:r>
        <w:rPr>
          <w:spacing w:val="-5"/>
        </w:rPr>
        <w:t> </w:t>
      </w:r>
      <w:r>
        <w:rPr/>
        <w:t>ECtHR</w:t>
      </w:r>
      <w:r>
        <w:rPr>
          <w:spacing w:val="-6"/>
        </w:rPr>
        <w:t> </w:t>
      </w:r>
      <w:r>
        <w:rPr/>
        <w:t>has</w:t>
      </w:r>
      <w:r>
        <w:rPr>
          <w:spacing w:val="-6"/>
        </w:rPr>
        <w:t> </w:t>
      </w:r>
      <w:r>
        <w:rPr/>
        <w:t>recognised</w:t>
      </w:r>
      <w:r>
        <w:rPr>
          <w:spacing w:val="-6"/>
        </w:rPr>
        <w:t> </w:t>
      </w:r>
      <w:r>
        <w:rPr/>
        <w:t>that the protection of personal data is of fundamental importance to a person’s enjoyment of her or his right to respect for private and family life in Article 8 of the ECHR.</w:t>
      </w:r>
      <w:r>
        <w:rPr>
          <w:vertAlign w:val="superscript"/>
        </w:rPr>
        <w:t>705</w:t>
      </w:r>
    </w:p>
    <w:p>
      <w:pPr>
        <w:pStyle w:val="ListParagraph"/>
        <w:numPr>
          <w:ilvl w:val="1"/>
          <w:numId w:val="7"/>
        </w:numPr>
        <w:tabs>
          <w:tab w:pos="1853" w:val="left" w:leader="none"/>
        </w:tabs>
        <w:spacing w:line="225" w:lineRule="auto" w:before="311" w:after="0"/>
        <w:ind w:left="1853" w:right="1679" w:hanging="720"/>
        <w:jc w:val="left"/>
        <w:rPr>
          <w:sz w:val="28"/>
        </w:rPr>
      </w:pPr>
      <w:r>
        <w:rPr>
          <w:sz w:val="28"/>
        </w:rPr>
        <w:t>The</w:t>
      </w:r>
      <w:r>
        <w:rPr>
          <w:spacing w:val="-6"/>
          <w:sz w:val="28"/>
        </w:rPr>
        <w:t> </w:t>
      </w:r>
      <w:r>
        <w:rPr>
          <w:sz w:val="28"/>
        </w:rPr>
        <w:t>EU</w:t>
      </w:r>
      <w:r>
        <w:rPr>
          <w:spacing w:val="-6"/>
          <w:sz w:val="28"/>
        </w:rPr>
        <w:t> </w:t>
      </w:r>
      <w:r>
        <w:rPr>
          <w:sz w:val="28"/>
        </w:rPr>
        <w:t>Charter</w:t>
      </w:r>
      <w:r>
        <w:rPr>
          <w:spacing w:val="-6"/>
          <w:sz w:val="28"/>
        </w:rPr>
        <w:t> </w:t>
      </w:r>
      <w:r>
        <w:rPr>
          <w:sz w:val="28"/>
        </w:rPr>
        <w:t>of</w:t>
      </w:r>
      <w:r>
        <w:rPr>
          <w:spacing w:val="-7"/>
          <w:sz w:val="28"/>
        </w:rPr>
        <w:t> </w:t>
      </w:r>
      <w:r>
        <w:rPr>
          <w:sz w:val="28"/>
        </w:rPr>
        <w:t>Fundamental</w:t>
      </w:r>
      <w:r>
        <w:rPr>
          <w:spacing w:val="-7"/>
          <w:sz w:val="28"/>
        </w:rPr>
        <w:t> </w:t>
      </w:r>
      <w:r>
        <w:rPr>
          <w:sz w:val="28"/>
        </w:rPr>
        <w:t>Rights</w:t>
      </w:r>
      <w:r>
        <w:rPr>
          <w:spacing w:val="-7"/>
          <w:sz w:val="28"/>
        </w:rPr>
        <w:t> </w:t>
      </w:r>
      <w:r>
        <w:rPr>
          <w:sz w:val="28"/>
        </w:rPr>
        <w:t>also</w:t>
      </w:r>
      <w:r>
        <w:rPr>
          <w:spacing w:val="-7"/>
          <w:sz w:val="28"/>
        </w:rPr>
        <w:t> </w:t>
      </w:r>
      <w:r>
        <w:rPr>
          <w:sz w:val="28"/>
        </w:rPr>
        <w:t>continues</w:t>
      </w:r>
      <w:r>
        <w:rPr>
          <w:spacing w:val="-7"/>
          <w:sz w:val="28"/>
        </w:rPr>
        <w:t> </w:t>
      </w:r>
      <w:r>
        <w:rPr>
          <w:sz w:val="28"/>
        </w:rPr>
        <w:t>to</w:t>
      </w:r>
      <w:r>
        <w:rPr>
          <w:spacing w:val="-7"/>
          <w:sz w:val="28"/>
        </w:rPr>
        <w:t> </w:t>
      </w:r>
      <w:r>
        <w:rPr>
          <w:sz w:val="28"/>
        </w:rPr>
        <w:t>have</w:t>
      </w:r>
      <w:r>
        <w:rPr>
          <w:spacing w:val="-6"/>
          <w:sz w:val="28"/>
        </w:rPr>
        <w:t> </w:t>
      </w:r>
      <w:r>
        <w:rPr>
          <w:sz w:val="28"/>
        </w:rPr>
        <w:t>relevance</w:t>
      </w:r>
      <w:r>
        <w:rPr>
          <w:spacing w:val="-6"/>
          <w:sz w:val="28"/>
        </w:rPr>
        <w:t> </w:t>
      </w:r>
      <w:r>
        <w:rPr>
          <w:sz w:val="28"/>
        </w:rPr>
        <w:t>in the</w:t>
      </w:r>
      <w:r>
        <w:rPr>
          <w:spacing w:val="-6"/>
          <w:sz w:val="28"/>
        </w:rPr>
        <w:t> </w:t>
      </w:r>
      <w:r>
        <w:rPr>
          <w:sz w:val="28"/>
        </w:rPr>
        <w:t>application</w:t>
      </w:r>
      <w:r>
        <w:rPr>
          <w:spacing w:val="-7"/>
          <w:sz w:val="28"/>
        </w:rPr>
        <w:t> </w:t>
      </w:r>
      <w:r>
        <w:rPr>
          <w:sz w:val="28"/>
        </w:rPr>
        <w:t>and</w:t>
      </w:r>
      <w:r>
        <w:rPr>
          <w:spacing w:val="-7"/>
          <w:sz w:val="28"/>
        </w:rPr>
        <w:t> </w:t>
      </w:r>
      <w:r>
        <w:rPr>
          <w:sz w:val="28"/>
        </w:rPr>
        <w:t>interpretation</w:t>
      </w:r>
      <w:r>
        <w:rPr>
          <w:spacing w:val="-7"/>
          <w:sz w:val="28"/>
        </w:rPr>
        <w:t> </w:t>
      </w:r>
      <w:r>
        <w:rPr>
          <w:sz w:val="28"/>
        </w:rPr>
        <w:t>of</w:t>
      </w:r>
      <w:r>
        <w:rPr>
          <w:spacing w:val="-7"/>
          <w:sz w:val="28"/>
        </w:rPr>
        <w:t> </w:t>
      </w:r>
      <w:r>
        <w:rPr>
          <w:sz w:val="28"/>
        </w:rPr>
        <w:t>those</w:t>
      </w:r>
      <w:r>
        <w:rPr>
          <w:spacing w:val="-6"/>
          <w:sz w:val="28"/>
        </w:rPr>
        <w:t> </w:t>
      </w:r>
      <w:r>
        <w:rPr>
          <w:sz w:val="28"/>
        </w:rPr>
        <w:t>provisions</w:t>
      </w:r>
      <w:r>
        <w:rPr>
          <w:spacing w:val="-7"/>
          <w:sz w:val="28"/>
        </w:rPr>
        <w:t> </w:t>
      </w:r>
      <w:r>
        <w:rPr>
          <w:sz w:val="28"/>
        </w:rPr>
        <w:t>of</w:t>
      </w:r>
      <w:r>
        <w:rPr>
          <w:spacing w:val="-7"/>
          <w:sz w:val="28"/>
        </w:rPr>
        <w:t> </w:t>
      </w:r>
      <w:r>
        <w:rPr>
          <w:sz w:val="28"/>
        </w:rPr>
        <w:t>EU</w:t>
      </w:r>
      <w:r>
        <w:rPr>
          <w:spacing w:val="-6"/>
          <w:sz w:val="28"/>
        </w:rPr>
        <w:t> </w:t>
      </w:r>
      <w:r>
        <w:rPr>
          <w:sz w:val="28"/>
        </w:rPr>
        <w:t>law</w:t>
      </w:r>
      <w:r>
        <w:rPr>
          <w:spacing w:val="-6"/>
          <w:sz w:val="28"/>
        </w:rPr>
        <w:t> </w:t>
      </w:r>
      <w:r>
        <w:rPr>
          <w:sz w:val="28"/>
        </w:rPr>
        <w:t>which</w:t>
      </w:r>
      <w:r>
        <w:rPr>
          <w:spacing w:val="-7"/>
          <w:sz w:val="28"/>
        </w:rPr>
        <w:t> </w:t>
      </w:r>
      <w:r>
        <w:rPr>
          <w:sz w:val="28"/>
        </w:rPr>
        <w:t>are</w:t>
      </w:r>
    </w:p>
    <w:p>
      <w:pPr>
        <w:pStyle w:val="BodyText"/>
        <w:spacing w:line="225" w:lineRule="auto"/>
        <w:ind w:left="1853" w:right="1171"/>
      </w:pPr>
      <w:r>
        <w:rPr/>
        <w:t>relevant</w:t>
      </w:r>
      <w:r>
        <w:rPr>
          <w:spacing w:val="-5"/>
        </w:rPr>
        <w:t> </w:t>
      </w:r>
      <w:r>
        <w:rPr/>
        <w:t>to</w:t>
      </w:r>
      <w:r>
        <w:rPr>
          <w:spacing w:val="-6"/>
        </w:rPr>
        <w:t> </w:t>
      </w:r>
      <w:r>
        <w:rPr/>
        <w:t>the</w:t>
      </w:r>
      <w:r>
        <w:rPr>
          <w:spacing w:val="-5"/>
        </w:rPr>
        <w:t> </w:t>
      </w:r>
      <w:r>
        <w:rPr/>
        <w:t>application</w:t>
      </w:r>
      <w:r>
        <w:rPr>
          <w:spacing w:val="-6"/>
        </w:rPr>
        <w:t> </w:t>
      </w:r>
      <w:r>
        <w:rPr/>
        <w:t>of</w:t>
      </w:r>
      <w:r>
        <w:rPr>
          <w:spacing w:val="-6"/>
        </w:rPr>
        <w:t> </w:t>
      </w:r>
      <w:r>
        <w:rPr/>
        <w:t>Windsor</w:t>
      </w:r>
      <w:r>
        <w:rPr>
          <w:spacing w:val="-5"/>
        </w:rPr>
        <w:t> </w:t>
      </w:r>
      <w:r>
        <w:rPr/>
        <w:t>Framework</w:t>
      </w:r>
      <w:r>
        <w:rPr>
          <w:spacing w:val="-5"/>
        </w:rPr>
        <w:t> </w:t>
      </w:r>
      <w:r>
        <w:rPr/>
        <w:t>Article</w:t>
      </w:r>
      <w:r>
        <w:rPr>
          <w:spacing w:val="-5"/>
        </w:rPr>
        <w:t> </w:t>
      </w:r>
      <w:r>
        <w:rPr/>
        <w:t>2.</w:t>
      </w:r>
      <w:r>
        <w:rPr>
          <w:spacing w:val="40"/>
        </w:rPr>
        <w:t> </w:t>
      </w:r>
      <w:r>
        <w:rPr/>
        <w:t>The</w:t>
      </w:r>
      <w:r>
        <w:rPr>
          <w:spacing w:val="-5"/>
        </w:rPr>
        <w:t> </w:t>
      </w:r>
      <w:r>
        <w:rPr/>
        <w:t>NI</w:t>
      </w:r>
      <w:r>
        <w:rPr>
          <w:spacing w:val="-5"/>
        </w:rPr>
        <w:t> </w:t>
      </w:r>
      <w:r>
        <w:rPr/>
        <w:t>High</w:t>
      </w:r>
      <w:r>
        <w:rPr>
          <w:spacing w:val="-6"/>
        </w:rPr>
        <w:t> </w:t>
      </w:r>
      <w:r>
        <w:rPr/>
        <w:t>Court also affirmed the continued enforceability and relevance of the EU Charter</w:t>
      </w:r>
    </w:p>
    <w:p>
      <w:pPr>
        <w:pStyle w:val="BodyText"/>
        <w:spacing w:line="225" w:lineRule="auto"/>
        <w:ind w:left="1853" w:right="1600"/>
      </w:pPr>
      <w:r>
        <w:rPr/>
        <w:t>for Windsor Framework Article 2.</w:t>
      </w:r>
      <w:r>
        <w:rPr>
          <w:vertAlign w:val="superscript"/>
        </w:rPr>
        <w:t>706</w:t>
      </w:r>
      <w:r>
        <w:rPr>
          <w:vertAlign w:val="baseline"/>
        </w:rPr>
        <w:t> The EU Charter guarantees the right to</w:t>
      </w:r>
      <w:r>
        <w:rPr>
          <w:spacing w:val="-7"/>
          <w:vertAlign w:val="baseline"/>
        </w:rPr>
        <w:t> </w:t>
      </w:r>
      <w:r>
        <w:rPr>
          <w:vertAlign w:val="baseline"/>
        </w:rPr>
        <w:t>respect</w:t>
      </w:r>
      <w:r>
        <w:rPr>
          <w:spacing w:val="-6"/>
          <w:vertAlign w:val="baseline"/>
        </w:rPr>
        <w:t> </w:t>
      </w:r>
      <w:r>
        <w:rPr>
          <w:vertAlign w:val="baseline"/>
        </w:rPr>
        <w:t>for</w:t>
      </w:r>
      <w:r>
        <w:rPr>
          <w:spacing w:val="-6"/>
          <w:vertAlign w:val="baseline"/>
        </w:rPr>
        <w:t> </w:t>
      </w:r>
      <w:r>
        <w:rPr>
          <w:vertAlign w:val="baseline"/>
        </w:rPr>
        <w:t>private</w:t>
      </w:r>
      <w:r>
        <w:rPr>
          <w:spacing w:val="-6"/>
          <w:vertAlign w:val="baseline"/>
        </w:rPr>
        <w:t> </w:t>
      </w:r>
      <w:r>
        <w:rPr>
          <w:vertAlign w:val="baseline"/>
        </w:rPr>
        <w:t>life</w:t>
      </w:r>
      <w:r>
        <w:rPr>
          <w:spacing w:val="-6"/>
          <w:vertAlign w:val="baseline"/>
        </w:rPr>
        <w:t> </w:t>
      </w:r>
      <w:r>
        <w:rPr>
          <w:vertAlign w:val="baseline"/>
        </w:rPr>
        <w:t>in</w:t>
      </w:r>
      <w:r>
        <w:rPr>
          <w:spacing w:val="-7"/>
          <w:vertAlign w:val="baseline"/>
        </w:rPr>
        <w:t> </w:t>
      </w:r>
      <w:r>
        <w:rPr>
          <w:vertAlign w:val="baseline"/>
        </w:rPr>
        <w:t>Article</w:t>
      </w:r>
      <w:r>
        <w:rPr>
          <w:spacing w:val="-6"/>
          <w:vertAlign w:val="baseline"/>
        </w:rPr>
        <w:t> </w:t>
      </w:r>
      <w:r>
        <w:rPr>
          <w:vertAlign w:val="baseline"/>
        </w:rPr>
        <w:t>7</w:t>
      </w:r>
      <w:r>
        <w:rPr>
          <w:spacing w:val="-6"/>
          <w:vertAlign w:val="baseline"/>
        </w:rPr>
        <w:t> </w:t>
      </w:r>
      <w:r>
        <w:rPr>
          <w:vertAlign w:val="baseline"/>
        </w:rPr>
        <w:t>and</w:t>
      </w:r>
      <w:r>
        <w:rPr>
          <w:spacing w:val="-7"/>
          <w:vertAlign w:val="baseline"/>
        </w:rPr>
        <w:t> </w:t>
      </w:r>
      <w:r>
        <w:rPr>
          <w:vertAlign w:val="baseline"/>
        </w:rPr>
        <w:t>the</w:t>
      </w:r>
      <w:r>
        <w:rPr>
          <w:spacing w:val="-6"/>
          <w:vertAlign w:val="baseline"/>
        </w:rPr>
        <w:t> </w:t>
      </w:r>
      <w:r>
        <w:rPr>
          <w:vertAlign w:val="baseline"/>
        </w:rPr>
        <w:t>protection</w:t>
      </w:r>
      <w:r>
        <w:rPr>
          <w:spacing w:val="-7"/>
          <w:vertAlign w:val="baseline"/>
        </w:rPr>
        <w:t> </w:t>
      </w:r>
      <w:r>
        <w:rPr>
          <w:vertAlign w:val="baseline"/>
        </w:rPr>
        <w:t>of</w:t>
      </w:r>
      <w:r>
        <w:rPr>
          <w:spacing w:val="-7"/>
          <w:vertAlign w:val="baseline"/>
        </w:rPr>
        <w:t> </w:t>
      </w:r>
      <w:r>
        <w:rPr>
          <w:vertAlign w:val="baseline"/>
        </w:rPr>
        <w:t>personal</w:t>
      </w:r>
      <w:r>
        <w:rPr>
          <w:spacing w:val="-7"/>
          <w:vertAlign w:val="baseline"/>
        </w:rPr>
        <w:t> </w:t>
      </w:r>
      <w:r>
        <w:rPr>
          <w:vertAlign w:val="baseline"/>
        </w:rPr>
        <w:t>data</w:t>
      </w:r>
      <w:r>
        <w:rPr>
          <w:spacing w:val="-7"/>
          <w:vertAlign w:val="baseline"/>
        </w:rPr>
        <w:t> </w:t>
      </w:r>
      <w:r>
        <w:rPr>
          <w:vertAlign w:val="baseline"/>
        </w:rPr>
        <w:t>in</w:t>
      </w:r>
    </w:p>
    <w:p>
      <w:pPr>
        <w:pStyle w:val="BodyText"/>
        <w:spacing w:line="225" w:lineRule="auto"/>
        <w:ind w:left="1853" w:right="1171"/>
      </w:pPr>
      <w:r>
        <w:rPr/>
        <w:t>Article</w:t>
      </w:r>
      <w:r>
        <w:rPr>
          <w:spacing w:val="-6"/>
        </w:rPr>
        <w:t> </w:t>
      </w:r>
      <w:r>
        <w:rPr/>
        <w:t>8.</w:t>
      </w:r>
      <w:r>
        <w:rPr>
          <w:spacing w:val="-7"/>
        </w:rPr>
        <w:t> </w:t>
      </w:r>
      <w:r>
        <w:rPr/>
        <w:t>The</w:t>
      </w:r>
      <w:r>
        <w:rPr>
          <w:spacing w:val="-6"/>
        </w:rPr>
        <w:t> </w:t>
      </w:r>
      <w:r>
        <w:rPr/>
        <w:t>Commissions</w:t>
      </w:r>
      <w:r>
        <w:rPr>
          <w:spacing w:val="-7"/>
        </w:rPr>
        <w:t> </w:t>
      </w:r>
      <w:r>
        <w:rPr/>
        <w:t>have</w:t>
      </w:r>
      <w:r>
        <w:rPr>
          <w:spacing w:val="-6"/>
        </w:rPr>
        <w:t> </w:t>
      </w:r>
      <w:r>
        <w:rPr/>
        <w:t>identified</w:t>
      </w:r>
      <w:r>
        <w:rPr>
          <w:spacing w:val="-7"/>
        </w:rPr>
        <w:t> </w:t>
      </w:r>
      <w:r>
        <w:rPr/>
        <w:t>that</w:t>
      </w:r>
      <w:r>
        <w:rPr>
          <w:spacing w:val="-6"/>
        </w:rPr>
        <w:t> </w:t>
      </w:r>
      <w:r>
        <w:rPr/>
        <w:t>the</w:t>
      </w:r>
      <w:r>
        <w:rPr>
          <w:spacing w:val="-7"/>
        </w:rPr>
        <w:t> </w:t>
      </w:r>
      <w:r>
        <w:rPr/>
        <w:t>right</w:t>
      </w:r>
      <w:r>
        <w:rPr>
          <w:spacing w:val="-6"/>
        </w:rPr>
        <w:t> </w:t>
      </w:r>
      <w:r>
        <w:rPr/>
        <w:t>to</w:t>
      </w:r>
      <w:r>
        <w:rPr>
          <w:spacing w:val="-7"/>
        </w:rPr>
        <w:t> </w:t>
      </w:r>
      <w:r>
        <w:rPr/>
        <w:t>data</w:t>
      </w:r>
      <w:r>
        <w:rPr>
          <w:spacing w:val="-7"/>
        </w:rPr>
        <w:t> </w:t>
      </w:r>
      <w:r>
        <w:rPr/>
        <w:t>protection falls within the scope of the non-diminution commitment in Windsor Framework Article 2.</w:t>
      </w:r>
      <w:r>
        <w:rPr>
          <w:vertAlign w:val="superscript"/>
        </w:rPr>
        <w:t>707</w:t>
      </w:r>
    </w:p>
    <w:p>
      <w:pPr>
        <w:pStyle w:val="ListParagraph"/>
        <w:numPr>
          <w:ilvl w:val="1"/>
          <w:numId w:val="7"/>
        </w:numPr>
        <w:tabs>
          <w:tab w:pos="1853" w:val="left" w:leader="none"/>
        </w:tabs>
        <w:spacing w:line="225" w:lineRule="auto" w:before="309" w:after="0"/>
        <w:ind w:left="1853" w:right="1199" w:hanging="720"/>
        <w:jc w:val="left"/>
        <w:rPr>
          <w:sz w:val="28"/>
        </w:rPr>
      </w:pPr>
      <w:r>
        <w:rPr>
          <w:sz w:val="28"/>
        </w:rPr>
        <w:t>Data protection is given effect across a number of EU measures including the EU GDPR, which is clear that “the protection of natural persons in relation to the</w:t>
      </w:r>
      <w:r>
        <w:rPr>
          <w:spacing w:val="-9"/>
          <w:sz w:val="28"/>
        </w:rPr>
        <w:t> </w:t>
      </w:r>
      <w:r>
        <w:rPr>
          <w:sz w:val="28"/>
        </w:rPr>
        <w:t>processing</w:t>
      </w:r>
      <w:r>
        <w:rPr>
          <w:spacing w:val="-9"/>
          <w:sz w:val="28"/>
        </w:rPr>
        <w:t> </w:t>
      </w:r>
      <w:r>
        <w:rPr>
          <w:sz w:val="28"/>
        </w:rPr>
        <w:t>of</w:t>
      </w:r>
      <w:r>
        <w:rPr>
          <w:spacing w:val="-10"/>
          <w:sz w:val="28"/>
        </w:rPr>
        <w:t> </w:t>
      </w:r>
      <w:r>
        <w:rPr>
          <w:sz w:val="28"/>
        </w:rPr>
        <w:t>personal</w:t>
      </w:r>
      <w:r>
        <w:rPr>
          <w:spacing w:val="-10"/>
          <w:sz w:val="28"/>
        </w:rPr>
        <w:t> </w:t>
      </w:r>
      <w:r>
        <w:rPr>
          <w:sz w:val="28"/>
        </w:rPr>
        <w:t>data</w:t>
      </w:r>
      <w:r>
        <w:rPr>
          <w:spacing w:val="-10"/>
          <w:sz w:val="28"/>
        </w:rPr>
        <w:t> </w:t>
      </w:r>
      <w:r>
        <w:rPr>
          <w:sz w:val="28"/>
        </w:rPr>
        <w:t>is</w:t>
      </w:r>
      <w:r>
        <w:rPr>
          <w:spacing w:val="-10"/>
          <w:sz w:val="28"/>
        </w:rPr>
        <w:t> </w:t>
      </w:r>
      <w:r>
        <w:rPr>
          <w:sz w:val="28"/>
        </w:rPr>
        <w:t>a</w:t>
      </w:r>
      <w:r>
        <w:rPr>
          <w:spacing w:val="-10"/>
          <w:sz w:val="28"/>
        </w:rPr>
        <w:t> </w:t>
      </w:r>
      <w:r>
        <w:rPr>
          <w:sz w:val="28"/>
        </w:rPr>
        <w:t>fundamental</w:t>
      </w:r>
      <w:r>
        <w:rPr>
          <w:spacing w:val="-10"/>
          <w:sz w:val="28"/>
        </w:rPr>
        <w:t> </w:t>
      </w:r>
      <w:r>
        <w:rPr>
          <w:sz w:val="28"/>
        </w:rPr>
        <w:t>right”.</w:t>
      </w:r>
      <w:r>
        <w:rPr>
          <w:sz w:val="28"/>
          <w:vertAlign w:val="superscript"/>
        </w:rPr>
        <w:t>708</w:t>
      </w:r>
      <w:r>
        <w:rPr>
          <w:spacing w:val="-10"/>
          <w:sz w:val="28"/>
          <w:vertAlign w:val="baseline"/>
        </w:rPr>
        <w:t> </w:t>
      </w:r>
      <w:r>
        <w:rPr>
          <w:sz w:val="28"/>
          <w:vertAlign w:val="baseline"/>
        </w:rPr>
        <w:t>As</w:t>
      </w:r>
      <w:r>
        <w:rPr>
          <w:spacing w:val="-10"/>
          <w:sz w:val="28"/>
          <w:vertAlign w:val="baseline"/>
        </w:rPr>
        <w:t> </w:t>
      </w:r>
      <w:r>
        <w:rPr>
          <w:sz w:val="28"/>
          <w:vertAlign w:val="baseline"/>
        </w:rPr>
        <w:t>a</w:t>
      </w:r>
      <w:r>
        <w:rPr>
          <w:spacing w:val="-10"/>
          <w:sz w:val="28"/>
          <w:vertAlign w:val="baseline"/>
        </w:rPr>
        <w:t> </w:t>
      </w:r>
      <w:r>
        <w:rPr>
          <w:sz w:val="28"/>
          <w:vertAlign w:val="baseline"/>
        </w:rPr>
        <w:t>Regulation,</w:t>
      </w:r>
      <w:r>
        <w:rPr>
          <w:spacing w:val="-9"/>
          <w:sz w:val="28"/>
          <w:vertAlign w:val="baseline"/>
        </w:rPr>
        <w:t> </w:t>
      </w:r>
      <w:r>
        <w:rPr>
          <w:sz w:val="28"/>
          <w:vertAlign w:val="baseline"/>
        </w:rPr>
        <w:t>the EU GDPR is a binding legislative act that must be applied in its entirety across</w:t>
      </w:r>
    </w:p>
    <w:p>
      <w:pPr>
        <w:pStyle w:val="BodyText"/>
        <w:spacing w:before="10"/>
        <w:rPr>
          <w:sz w:val="3"/>
        </w:rPr>
      </w:pPr>
      <w:r>
        <w:rPr/>
        <mc:AlternateContent>
          <mc:Choice Requires="wps">
            <w:drawing>
              <wp:anchor distT="0" distB="0" distL="0" distR="0" allowOverlap="1" layoutInCell="1" locked="0" behindDoc="1" simplePos="0" relativeHeight="487706112">
                <wp:simplePos x="0" y="0"/>
                <wp:positionH relativeFrom="page">
                  <wp:posOffset>719996</wp:posOffset>
                </wp:positionH>
                <wp:positionV relativeFrom="paragraph">
                  <wp:posOffset>45311</wp:posOffset>
                </wp:positionV>
                <wp:extent cx="6120130" cy="1270"/>
                <wp:effectExtent l="0" t="0" r="0" b="0"/>
                <wp:wrapTopAndBottom/>
                <wp:docPr id="536" name="Graphic 536"/>
                <wp:cNvGraphicFramePr>
                  <a:graphicFrameLocks/>
                </wp:cNvGraphicFramePr>
                <a:graphic>
                  <a:graphicData uri="http://schemas.microsoft.com/office/word/2010/wordprocessingShape">
                    <wps:wsp>
                      <wps:cNvPr id="536" name="Graphic 536"/>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3.567812pt;width:481.9pt;height:.1pt;mso-position-horizontal-relative:page;mso-position-vertical-relative:paragraph;z-index:-15610368;mso-wrap-distance-left:0;mso-wrap-distance-right:0" id="docshape481" coordorigin="1134,71" coordsize="9638,0" path="m10772,71l1134,71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35" w:lineRule="auto" w:before="128" w:after="0"/>
        <w:ind w:left="1853" w:right="1495" w:hanging="720"/>
        <w:jc w:val="left"/>
        <w:rPr>
          <w:sz w:val="18"/>
        </w:rPr>
      </w:pPr>
      <w:r>
        <w:rPr>
          <w:sz w:val="18"/>
        </w:rPr>
        <w:t>Belfast</w:t>
      </w:r>
      <w:r>
        <w:rPr>
          <w:spacing w:val="-4"/>
          <w:sz w:val="18"/>
        </w:rPr>
        <w:t> </w:t>
      </w:r>
      <w:r>
        <w:rPr>
          <w:sz w:val="18"/>
        </w:rPr>
        <w:t>(Good</w:t>
      </w:r>
      <w:r>
        <w:rPr>
          <w:spacing w:val="-5"/>
          <w:sz w:val="18"/>
        </w:rPr>
        <w:t> </w:t>
      </w:r>
      <w:r>
        <w:rPr>
          <w:sz w:val="18"/>
        </w:rPr>
        <w:t>Friday)</w:t>
      </w:r>
      <w:r>
        <w:rPr>
          <w:spacing w:val="-5"/>
          <w:sz w:val="18"/>
        </w:rPr>
        <w:t> </w:t>
      </w:r>
      <w:r>
        <w:rPr>
          <w:sz w:val="18"/>
        </w:rPr>
        <w:t>Agreement,</w:t>
      </w:r>
      <w:r>
        <w:rPr>
          <w:spacing w:val="-4"/>
          <w:sz w:val="18"/>
        </w:rPr>
        <w:t> </w:t>
      </w:r>
      <w:r>
        <w:rPr>
          <w:sz w:val="18"/>
        </w:rPr>
        <w:t>10</w:t>
      </w:r>
      <w:r>
        <w:rPr>
          <w:spacing w:val="-4"/>
          <w:sz w:val="18"/>
        </w:rPr>
        <w:t> </w:t>
      </w:r>
      <w:r>
        <w:rPr>
          <w:sz w:val="18"/>
        </w:rPr>
        <w:t>April</w:t>
      </w:r>
      <w:r>
        <w:rPr>
          <w:spacing w:val="-5"/>
          <w:sz w:val="18"/>
        </w:rPr>
        <w:t> </w:t>
      </w:r>
      <w:r>
        <w:rPr>
          <w:sz w:val="18"/>
        </w:rPr>
        <w:t>1998,</w:t>
      </w:r>
      <w:r>
        <w:rPr>
          <w:spacing w:val="-4"/>
          <w:sz w:val="18"/>
        </w:rPr>
        <w:t> </w:t>
      </w:r>
      <w:r>
        <w:rPr>
          <w:sz w:val="18"/>
        </w:rPr>
        <w:t>Part</w:t>
      </w:r>
      <w:r>
        <w:rPr>
          <w:spacing w:val="-4"/>
          <w:sz w:val="18"/>
        </w:rPr>
        <w:t> </w:t>
      </w:r>
      <w:r>
        <w:rPr>
          <w:sz w:val="18"/>
        </w:rPr>
        <w:t>6</w:t>
      </w:r>
      <w:r>
        <w:rPr>
          <w:spacing w:val="-4"/>
          <w:sz w:val="18"/>
        </w:rPr>
        <w:t> </w:t>
      </w:r>
      <w:r>
        <w:rPr>
          <w:sz w:val="18"/>
        </w:rPr>
        <w:t>on</w:t>
      </w:r>
      <w:r>
        <w:rPr>
          <w:spacing w:val="-5"/>
          <w:sz w:val="18"/>
        </w:rPr>
        <w:t> </w:t>
      </w:r>
      <w:r>
        <w:rPr>
          <w:sz w:val="18"/>
        </w:rPr>
        <w:t>Rights,</w:t>
      </w:r>
      <w:r>
        <w:rPr>
          <w:spacing w:val="-4"/>
          <w:sz w:val="18"/>
        </w:rPr>
        <w:t> </w:t>
      </w:r>
      <w:r>
        <w:rPr>
          <w:sz w:val="18"/>
        </w:rPr>
        <w:t>Safeguards</w:t>
      </w:r>
      <w:r>
        <w:rPr>
          <w:spacing w:val="-5"/>
          <w:sz w:val="18"/>
        </w:rPr>
        <w:t> </w:t>
      </w:r>
      <w:r>
        <w:rPr>
          <w:sz w:val="18"/>
        </w:rPr>
        <w:t>and</w:t>
      </w:r>
      <w:r>
        <w:rPr>
          <w:spacing w:val="-5"/>
          <w:sz w:val="18"/>
        </w:rPr>
        <w:t> </w:t>
      </w:r>
      <w:r>
        <w:rPr>
          <w:sz w:val="18"/>
        </w:rPr>
        <w:t>Equality</w:t>
      </w:r>
      <w:r>
        <w:rPr>
          <w:spacing w:val="-4"/>
          <w:sz w:val="18"/>
        </w:rPr>
        <w:t> </w:t>
      </w:r>
      <w:r>
        <w:rPr>
          <w:sz w:val="18"/>
        </w:rPr>
        <w:t>of</w:t>
      </w:r>
      <w:r>
        <w:rPr>
          <w:spacing w:val="-5"/>
          <w:sz w:val="18"/>
        </w:rPr>
        <w:t> </w:t>
      </w:r>
      <w:r>
        <w:rPr>
          <w:sz w:val="18"/>
        </w:rPr>
        <w:t>Opportunity.</w:t>
      </w:r>
      <w:r>
        <w:rPr>
          <w:spacing w:val="-5"/>
          <w:sz w:val="18"/>
        </w:rPr>
        <w:t> </w:t>
      </w:r>
      <w:r>
        <w:rPr>
          <w:sz w:val="18"/>
        </w:rPr>
        <w:t>See</w:t>
      </w:r>
      <w:r>
        <w:rPr>
          <w:spacing w:val="-4"/>
          <w:sz w:val="18"/>
        </w:rPr>
        <w:t> </w:t>
      </w:r>
      <w:r>
        <w:rPr>
          <w:sz w:val="18"/>
        </w:rPr>
        <w:t>also</w:t>
      </w:r>
      <w:r>
        <w:rPr>
          <w:spacing w:val="-5"/>
          <w:sz w:val="18"/>
        </w:rPr>
        <w:t> </w:t>
      </w:r>
      <w:r>
        <w:rPr>
          <w:sz w:val="18"/>
        </w:rPr>
        <w:t>UK Government, ‘UK Government commitment to no-diminution of rights, safeguards and equality of opportunity</w:t>
      </w:r>
    </w:p>
    <w:p>
      <w:pPr>
        <w:spacing w:line="235" w:lineRule="auto" w:before="1"/>
        <w:ind w:left="1853" w:right="1171" w:firstLine="0"/>
        <w:jc w:val="left"/>
        <w:rPr>
          <w:sz w:val="18"/>
        </w:rPr>
      </w:pPr>
      <w:r>
        <w:rPr>
          <w:sz w:val="18"/>
        </w:rPr>
        <w:t>in</w:t>
      </w:r>
      <w:r>
        <w:rPr>
          <w:spacing w:val="-4"/>
          <w:sz w:val="18"/>
        </w:rPr>
        <w:t> </w:t>
      </w:r>
      <w:r>
        <w:rPr>
          <w:sz w:val="18"/>
        </w:rPr>
        <w:t>Northern</w:t>
      </w:r>
      <w:r>
        <w:rPr>
          <w:spacing w:val="-4"/>
          <w:sz w:val="18"/>
        </w:rPr>
        <w:t> </w:t>
      </w:r>
      <w:r>
        <w:rPr>
          <w:sz w:val="18"/>
        </w:rPr>
        <w:t>Ireland’</w:t>
      </w:r>
      <w:r>
        <w:rPr>
          <w:spacing w:val="-3"/>
          <w:sz w:val="18"/>
        </w:rPr>
        <w:t> </w:t>
      </w:r>
      <w:r>
        <w:rPr>
          <w:sz w:val="18"/>
        </w:rPr>
        <w:t>(NIO,</w:t>
      </w:r>
      <w:r>
        <w:rPr>
          <w:spacing w:val="-3"/>
          <w:sz w:val="18"/>
        </w:rPr>
        <w:t> </w:t>
      </w:r>
      <w:r>
        <w:rPr>
          <w:sz w:val="18"/>
        </w:rPr>
        <w:t>2020);</w:t>
      </w:r>
      <w:r>
        <w:rPr>
          <w:spacing w:val="-4"/>
          <w:sz w:val="18"/>
        </w:rPr>
        <w:t> </w:t>
      </w:r>
      <w:r>
        <w:rPr>
          <w:i/>
          <w:sz w:val="18"/>
        </w:rPr>
        <w:t>In</w:t>
      </w:r>
      <w:r>
        <w:rPr>
          <w:i/>
          <w:spacing w:val="-4"/>
          <w:sz w:val="18"/>
        </w:rPr>
        <w:t> </w:t>
      </w:r>
      <w:r>
        <w:rPr>
          <w:i/>
          <w:sz w:val="18"/>
        </w:rPr>
        <w:t>the</w:t>
      </w:r>
      <w:r>
        <w:rPr>
          <w:i/>
          <w:spacing w:val="-3"/>
          <w:sz w:val="18"/>
        </w:rPr>
        <w:t> </w:t>
      </w:r>
      <w:r>
        <w:rPr>
          <w:i/>
          <w:sz w:val="18"/>
        </w:rPr>
        <w:t>matter</w:t>
      </w:r>
      <w:r>
        <w:rPr>
          <w:i/>
          <w:spacing w:val="-3"/>
          <w:sz w:val="18"/>
        </w:rPr>
        <w:t> </w:t>
      </w:r>
      <w:r>
        <w:rPr>
          <w:i/>
          <w:sz w:val="18"/>
        </w:rPr>
        <w:t>of</w:t>
      </w:r>
      <w:r>
        <w:rPr>
          <w:i/>
          <w:spacing w:val="-4"/>
          <w:sz w:val="18"/>
        </w:rPr>
        <w:t> </w:t>
      </w:r>
      <w:r>
        <w:rPr>
          <w:i/>
          <w:sz w:val="18"/>
        </w:rPr>
        <w:t>an</w:t>
      </w:r>
      <w:r>
        <w:rPr>
          <w:i/>
          <w:spacing w:val="-4"/>
          <w:sz w:val="18"/>
        </w:rPr>
        <w:t> </w:t>
      </w:r>
      <w:r>
        <w:rPr>
          <w:i/>
          <w:sz w:val="18"/>
        </w:rPr>
        <w:t>application</w:t>
      </w:r>
      <w:r>
        <w:rPr>
          <w:i/>
          <w:spacing w:val="-4"/>
          <w:sz w:val="18"/>
        </w:rPr>
        <w:t> </w:t>
      </w:r>
      <w:r>
        <w:rPr>
          <w:i/>
          <w:sz w:val="18"/>
        </w:rPr>
        <w:t>by</w:t>
      </w:r>
      <w:r>
        <w:rPr>
          <w:i/>
          <w:spacing w:val="-4"/>
          <w:sz w:val="18"/>
        </w:rPr>
        <w:t> </w:t>
      </w:r>
      <w:r>
        <w:rPr>
          <w:i/>
          <w:sz w:val="18"/>
        </w:rPr>
        <w:t>Martina</w:t>
      </w:r>
      <w:r>
        <w:rPr>
          <w:i/>
          <w:spacing w:val="-4"/>
          <w:sz w:val="18"/>
        </w:rPr>
        <w:t> </w:t>
      </w:r>
      <w:r>
        <w:rPr>
          <w:i/>
          <w:sz w:val="18"/>
        </w:rPr>
        <w:t>Dillon</w:t>
      </w:r>
      <w:r>
        <w:rPr>
          <w:i/>
          <w:spacing w:val="-4"/>
          <w:sz w:val="18"/>
        </w:rPr>
        <w:t> </w:t>
      </w:r>
      <w:r>
        <w:rPr>
          <w:i/>
          <w:sz w:val="18"/>
        </w:rPr>
        <w:t>and</w:t>
      </w:r>
      <w:r>
        <w:rPr>
          <w:i/>
          <w:spacing w:val="-4"/>
          <w:sz w:val="18"/>
        </w:rPr>
        <w:t> </w:t>
      </w:r>
      <w:r>
        <w:rPr>
          <w:i/>
          <w:sz w:val="18"/>
        </w:rPr>
        <w:t>others</w:t>
      </w:r>
      <w:r>
        <w:rPr>
          <w:i/>
          <w:spacing w:val="-4"/>
          <w:sz w:val="18"/>
        </w:rPr>
        <w:t> </w:t>
      </w:r>
      <w:r>
        <w:rPr>
          <w:i/>
          <w:sz w:val="18"/>
        </w:rPr>
        <w:t>for</w:t>
      </w:r>
      <w:r>
        <w:rPr>
          <w:i/>
          <w:spacing w:val="-3"/>
          <w:sz w:val="18"/>
        </w:rPr>
        <w:t> </w:t>
      </w:r>
      <w:r>
        <w:rPr>
          <w:i/>
          <w:sz w:val="18"/>
        </w:rPr>
        <w:t>Judicial</w:t>
      </w:r>
      <w:r>
        <w:rPr>
          <w:i/>
          <w:spacing w:val="-4"/>
          <w:sz w:val="18"/>
        </w:rPr>
        <w:t> </w:t>
      </w:r>
      <w:r>
        <w:rPr>
          <w:i/>
          <w:sz w:val="18"/>
        </w:rPr>
        <w:t>Review</w:t>
      </w:r>
      <w:r>
        <w:rPr>
          <w:i/>
          <w:spacing w:val="-4"/>
          <w:sz w:val="18"/>
        </w:rPr>
        <w:t> </w:t>
      </w:r>
      <w:r>
        <w:rPr>
          <w:sz w:val="18"/>
        </w:rPr>
        <w:t>[2024] NIKB 11, at para 540.</w:t>
      </w:r>
    </w:p>
    <w:p>
      <w:pPr>
        <w:pStyle w:val="ListParagraph"/>
        <w:numPr>
          <w:ilvl w:val="0"/>
          <w:numId w:val="11"/>
        </w:numPr>
        <w:tabs>
          <w:tab w:pos="1853" w:val="left" w:leader="none"/>
        </w:tabs>
        <w:spacing w:line="216" w:lineRule="exact" w:before="0" w:after="0"/>
        <w:ind w:left="1853" w:right="0" w:hanging="720"/>
        <w:jc w:val="left"/>
        <w:rPr>
          <w:sz w:val="18"/>
        </w:rPr>
      </w:pPr>
      <w:r>
        <w:rPr>
          <w:i/>
          <w:sz w:val="18"/>
        </w:rPr>
        <w:t>In</w:t>
      </w:r>
      <w:r>
        <w:rPr>
          <w:i/>
          <w:spacing w:val="-5"/>
          <w:sz w:val="18"/>
        </w:rPr>
        <w:t> </w:t>
      </w:r>
      <w:r>
        <w:rPr>
          <w:i/>
          <w:sz w:val="18"/>
        </w:rPr>
        <w:t>the</w:t>
      </w:r>
      <w:r>
        <w:rPr>
          <w:i/>
          <w:spacing w:val="-4"/>
          <w:sz w:val="18"/>
        </w:rPr>
        <w:t> </w:t>
      </w:r>
      <w:r>
        <w:rPr>
          <w:i/>
          <w:sz w:val="18"/>
        </w:rPr>
        <w:t>Matter</w:t>
      </w:r>
      <w:r>
        <w:rPr>
          <w:i/>
          <w:spacing w:val="-4"/>
          <w:sz w:val="18"/>
        </w:rPr>
        <w:t> </w:t>
      </w:r>
      <w:r>
        <w:rPr>
          <w:i/>
          <w:sz w:val="18"/>
        </w:rPr>
        <w:t>of</w:t>
      </w:r>
      <w:r>
        <w:rPr>
          <w:i/>
          <w:spacing w:val="-5"/>
          <w:sz w:val="18"/>
        </w:rPr>
        <w:t> </w:t>
      </w:r>
      <w:r>
        <w:rPr>
          <w:i/>
          <w:sz w:val="18"/>
        </w:rPr>
        <w:t>an</w:t>
      </w:r>
      <w:r>
        <w:rPr>
          <w:i/>
          <w:spacing w:val="-4"/>
          <w:sz w:val="18"/>
        </w:rPr>
        <w:t> </w:t>
      </w:r>
      <w:r>
        <w:rPr>
          <w:i/>
          <w:sz w:val="18"/>
        </w:rPr>
        <w:t>Application</w:t>
      </w:r>
      <w:r>
        <w:rPr>
          <w:i/>
          <w:spacing w:val="-5"/>
          <w:sz w:val="18"/>
        </w:rPr>
        <w:t> </w:t>
      </w:r>
      <w:r>
        <w:rPr>
          <w:i/>
          <w:sz w:val="18"/>
        </w:rPr>
        <w:t>by</w:t>
      </w:r>
      <w:r>
        <w:rPr>
          <w:i/>
          <w:spacing w:val="-5"/>
          <w:sz w:val="18"/>
        </w:rPr>
        <w:t> </w:t>
      </w:r>
      <w:r>
        <w:rPr>
          <w:i/>
          <w:sz w:val="18"/>
        </w:rPr>
        <w:t>Martina</w:t>
      </w:r>
      <w:r>
        <w:rPr>
          <w:i/>
          <w:spacing w:val="-4"/>
          <w:sz w:val="18"/>
        </w:rPr>
        <w:t> </w:t>
      </w:r>
      <w:r>
        <w:rPr>
          <w:i/>
          <w:sz w:val="18"/>
        </w:rPr>
        <w:t>Dillon</w:t>
      </w:r>
      <w:r>
        <w:rPr>
          <w:i/>
          <w:spacing w:val="-5"/>
          <w:sz w:val="18"/>
        </w:rPr>
        <w:t> </w:t>
      </w:r>
      <w:r>
        <w:rPr>
          <w:i/>
          <w:sz w:val="18"/>
        </w:rPr>
        <w:t>and</w:t>
      </w:r>
      <w:r>
        <w:rPr>
          <w:i/>
          <w:spacing w:val="-5"/>
          <w:sz w:val="18"/>
        </w:rPr>
        <w:t> </w:t>
      </w:r>
      <w:r>
        <w:rPr>
          <w:i/>
          <w:sz w:val="18"/>
        </w:rPr>
        <w:t>Others</w:t>
      </w:r>
      <w:r>
        <w:rPr>
          <w:i/>
          <w:spacing w:val="-4"/>
          <w:sz w:val="18"/>
        </w:rPr>
        <w:t> </w:t>
      </w:r>
      <w:r>
        <w:rPr>
          <w:i/>
          <w:sz w:val="18"/>
        </w:rPr>
        <w:t>for</w:t>
      </w:r>
      <w:r>
        <w:rPr>
          <w:i/>
          <w:spacing w:val="-4"/>
          <w:sz w:val="18"/>
        </w:rPr>
        <w:t> </w:t>
      </w:r>
      <w:r>
        <w:rPr>
          <w:i/>
          <w:sz w:val="18"/>
        </w:rPr>
        <w:t>Judicial</w:t>
      </w:r>
      <w:r>
        <w:rPr>
          <w:i/>
          <w:spacing w:val="-5"/>
          <w:sz w:val="18"/>
        </w:rPr>
        <w:t> </w:t>
      </w:r>
      <w:r>
        <w:rPr>
          <w:i/>
          <w:sz w:val="18"/>
        </w:rPr>
        <w:t>Review</w:t>
      </w:r>
      <w:r>
        <w:rPr>
          <w:i/>
          <w:spacing w:val="-5"/>
          <w:sz w:val="18"/>
        </w:rPr>
        <w:t> </w:t>
      </w:r>
      <w:r>
        <w:rPr>
          <w:sz w:val="18"/>
        </w:rPr>
        <w:t>[2024]</w:t>
      </w:r>
      <w:r>
        <w:rPr>
          <w:spacing w:val="-3"/>
          <w:sz w:val="18"/>
        </w:rPr>
        <w:t> </w:t>
      </w:r>
      <w:r>
        <w:rPr>
          <w:sz w:val="18"/>
        </w:rPr>
        <w:t>NIKB</w:t>
      </w:r>
      <w:r>
        <w:rPr>
          <w:spacing w:val="-4"/>
          <w:sz w:val="18"/>
        </w:rPr>
        <w:t> </w:t>
      </w:r>
      <w:r>
        <w:rPr>
          <w:sz w:val="18"/>
        </w:rPr>
        <w:t>11,</w:t>
      </w:r>
      <w:r>
        <w:rPr>
          <w:spacing w:val="-4"/>
          <w:sz w:val="18"/>
        </w:rPr>
        <w:t> </w:t>
      </w:r>
      <w:r>
        <w:rPr>
          <w:sz w:val="18"/>
        </w:rPr>
        <w:t>at</w:t>
      </w:r>
      <w:r>
        <w:rPr>
          <w:spacing w:val="-4"/>
          <w:sz w:val="18"/>
        </w:rPr>
        <w:t> </w:t>
      </w:r>
      <w:r>
        <w:rPr>
          <w:sz w:val="18"/>
        </w:rPr>
        <w:t>para</w:t>
      </w:r>
      <w:r>
        <w:rPr>
          <w:spacing w:val="-5"/>
          <w:sz w:val="18"/>
        </w:rPr>
        <w:t> </w:t>
      </w:r>
      <w:r>
        <w:rPr>
          <w:spacing w:val="-4"/>
          <w:sz w:val="18"/>
        </w:rPr>
        <w:t>547.</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para</w:t>
      </w:r>
      <w:r>
        <w:rPr>
          <w:spacing w:val="-2"/>
          <w:sz w:val="18"/>
        </w:rPr>
        <w:t> </w:t>
      </w:r>
      <w:r>
        <w:rPr>
          <w:spacing w:val="-4"/>
          <w:sz w:val="18"/>
        </w:rPr>
        <w:t>554.</w:t>
      </w:r>
    </w:p>
    <w:p>
      <w:pPr>
        <w:pStyle w:val="ListParagraph"/>
        <w:numPr>
          <w:ilvl w:val="0"/>
          <w:numId w:val="11"/>
        </w:numPr>
        <w:tabs>
          <w:tab w:pos="1853" w:val="left" w:leader="none"/>
        </w:tabs>
        <w:spacing w:line="216" w:lineRule="exact" w:before="0" w:after="0"/>
        <w:ind w:left="1853" w:right="0" w:hanging="720"/>
        <w:jc w:val="left"/>
        <w:rPr>
          <w:sz w:val="18"/>
        </w:rPr>
      </w:pPr>
      <w:r>
        <w:rPr>
          <w:i/>
          <w:sz w:val="18"/>
        </w:rPr>
        <w:t>Z</w:t>
      </w:r>
      <w:r>
        <w:rPr>
          <w:i/>
          <w:spacing w:val="-7"/>
          <w:sz w:val="18"/>
        </w:rPr>
        <w:t> </w:t>
      </w:r>
      <w:r>
        <w:rPr>
          <w:i/>
          <w:sz w:val="18"/>
        </w:rPr>
        <w:t>v</w:t>
      </w:r>
      <w:r>
        <w:rPr>
          <w:i/>
          <w:spacing w:val="-4"/>
          <w:sz w:val="18"/>
        </w:rPr>
        <w:t> </w:t>
      </w:r>
      <w:r>
        <w:rPr>
          <w:i/>
          <w:sz w:val="18"/>
        </w:rPr>
        <w:t>Finland</w:t>
      </w:r>
      <w:r>
        <w:rPr>
          <w:i/>
          <w:spacing w:val="-4"/>
          <w:sz w:val="18"/>
        </w:rPr>
        <w:t> </w:t>
      </w:r>
      <w:r>
        <w:rPr>
          <w:sz w:val="18"/>
        </w:rPr>
        <w:t>(1997)</w:t>
      </w:r>
      <w:r>
        <w:rPr>
          <w:spacing w:val="-5"/>
          <w:sz w:val="18"/>
        </w:rPr>
        <w:t> </w:t>
      </w:r>
      <w:r>
        <w:rPr>
          <w:sz w:val="18"/>
        </w:rPr>
        <w:t>ECHR</w:t>
      </w:r>
      <w:r>
        <w:rPr>
          <w:spacing w:val="-4"/>
          <w:sz w:val="18"/>
        </w:rPr>
        <w:t> </w:t>
      </w:r>
      <w:r>
        <w:rPr>
          <w:sz w:val="18"/>
        </w:rPr>
        <w:t>10;</w:t>
      </w:r>
      <w:r>
        <w:rPr>
          <w:spacing w:val="-4"/>
          <w:sz w:val="18"/>
        </w:rPr>
        <w:t> </w:t>
      </w:r>
      <w:r>
        <w:rPr>
          <w:i/>
          <w:sz w:val="18"/>
        </w:rPr>
        <w:t>Satakunnan</w:t>
      </w:r>
      <w:r>
        <w:rPr>
          <w:i/>
          <w:spacing w:val="-5"/>
          <w:sz w:val="18"/>
        </w:rPr>
        <w:t> </w:t>
      </w:r>
      <w:r>
        <w:rPr>
          <w:i/>
          <w:sz w:val="18"/>
        </w:rPr>
        <w:t>Markkinapörssi</w:t>
      </w:r>
      <w:r>
        <w:rPr>
          <w:i/>
          <w:spacing w:val="-5"/>
          <w:sz w:val="18"/>
        </w:rPr>
        <w:t> </w:t>
      </w:r>
      <w:r>
        <w:rPr>
          <w:i/>
          <w:sz w:val="18"/>
        </w:rPr>
        <w:t>Oy</w:t>
      </w:r>
      <w:r>
        <w:rPr>
          <w:i/>
          <w:spacing w:val="-5"/>
          <w:sz w:val="18"/>
        </w:rPr>
        <w:t> </w:t>
      </w:r>
      <w:r>
        <w:rPr>
          <w:i/>
          <w:sz w:val="18"/>
        </w:rPr>
        <w:t>and</w:t>
      </w:r>
      <w:r>
        <w:rPr>
          <w:i/>
          <w:spacing w:val="-5"/>
          <w:sz w:val="18"/>
        </w:rPr>
        <w:t> </w:t>
      </w:r>
      <w:r>
        <w:rPr>
          <w:i/>
          <w:sz w:val="18"/>
        </w:rPr>
        <w:t>Satamedia</w:t>
      </w:r>
      <w:r>
        <w:rPr>
          <w:i/>
          <w:spacing w:val="-5"/>
          <w:sz w:val="18"/>
        </w:rPr>
        <w:t> </w:t>
      </w:r>
      <w:r>
        <w:rPr>
          <w:i/>
          <w:sz w:val="18"/>
        </w:rPr>
        <w:t>Oy</w:t>
      </w:r>
      <w:r>
        <w:rPr>
          <w:i/>
          <w:spacing w:val="-5"/>
          <w:sz w:val="18"/>
        </w:rPr>
        <w:t> </w:t>
      </w:r>
      <w:r>
        <w:rPr>
          <w:i/>
          <w:sz w:val="18"/>
        </w:rPr>
        <w:t>v</w:t>
      </w:r>
      <w:r>
        <w:rPr>
          <w:i/>
          <w:spacing w:val="-4"/>
          <w:sz w:val="18"/>
        </w:rPr>
        <w:t> </w:t>
      </w:r>
      <w:r>
        <w:rPr>
          <w:i/>
          <w:sz w:val="18"/>
        </w:rPr>
        <w:t>Finland</w:t>
      </w:r>
      <w:r>
        <w:rPr>
          <w:i/>
          <w:spacing w:val="-3"/>
          <w:sz w:val="18"/>
        </w:rPr>
        <w:t> </w:t>
      </w:r>
      <w:r>
        <w:rPr>
          <w:sz w:val="18"/>
        </w:rPr>
        <w:t>(2015)</w:t>
      </w:r>
      <w:r>
        <w:rPr>
          <w:spacing w:val="-5"/>
          <w:sz w:val="18"/>
        </w:rPr>
        <w:t> </w:t>
      </w:r>
      <w:r>
        <w:rPr>
          <w:sz w:val="18"/>
        </w:rPr>
        <w:t>ECHR</w:t>
      </w:r>
      <w:r>
        <w:rPr>
          <w:spacing w:val="-3"/>
          <w:sz w:val="18"/>
        </w:rPr>
        <w:t> </w:t>
      </w:r>
      <w:r>
        <w:rPr>
          <w:spacing w:val="-4"/>
          <w:sz w:val="18"/>
        </w:rPr>
        <w:t>713.</w:t>
      </w:r>
    </w:p>
    <w:p>
      <w:pPr>
        <w:pStyle w:val="ListParagraph"/>
        <w:numPr>
          <w:ilvl w:val="0"/>
          <w:numId w:val="11"/>
        </w:numPr>
        <w:tabs>
          <w:tab w:pos="1853" w:val="left" w:leader="none"/>
        </w:tabs>
        <w:spacing w:line="235" w:lineRule="auto" w:before="2" w:after="0"/>
        <w:ind w:left="1853" w:right="1263" w:hanging="720"/>
        <w:jc w:val="left"/>
        <w:rPr>
          <w:sz w:val="18"/>
        </w:rPr>
      </w:pPr>
      <w:r>
        <w:rPr>
          <w:sz w:val="18"/>
        </w:rPr>
        <w:t>In the Matter of an Application by Aman Angesom for Judicial Review [2023] NIKB 102, at para 93. See also </w:t>
      </w:r>
      <w:r>
        <w:rPr>
          <w:i/>
          <w:sz w:val="18"/>
        </w:rPr>
        <w:t>Secretary of</w:t>
      </w:r>
      <w:r>
        <w:rPr>
          <w:i/>
          <w:sz w:val="18"/>
        </w:rPr>
        <w:t> State</w:t>
      </w:r>
      <w:r>
        <w:rPr>
          <w:i/>
          <w:spacing w:val="-4"/>
          <w:sz w:val="18"/>
        </w:rPr>
        <w:t> </w:t>
      </w:r>
      <w:r>
        <w:rPr>
          <w:i/>
          <w:sz w:val="18"/>
        </w:rPr>
        <w:t>for</w:t>
      </w:r>
      <w:r>
        <w:rPr>
          <w:i/>
          <w:spacing w:val="-4"/>
          <w:sz w:val="18"/>
        </w:rPr>
        <w:t> </w:t>
      </w:r>
      <w:r>
        <w:rPr>
          <w:i/>
          <w:sz w:val="18"/>
        </w:rPr>
        <w:t>Work</w:t>
      </w:r>
      <w:r>
        <w:rPr>
          <w:i/>
          <w:spacing w:val="-4"/>
          <w:sz w:val="18"/>
        </w:rPr>
        <w:t> </w:t>
      </w:r>
      <w:r>
        <w:rPr>
          <w:i/>
          <w:sz w:val="18"/>
        </w:rPr>
        <w:t>and</w:t>
      </w:r>
      <w:r>
        <w:rPr>
          <w:i/>
          <w:spacing w:val="-5"/>
          <w:sz w:val="18"/>
        </w:rPr>
        <w:t> </w:t>
      </w:r>
      <w:r>
        <w:rPr>
          <w:i/>
          <w:sz w:val="18"/>
        </w:rPr>
        <w:t>Pensions</w:t>
      </w:r>
      <w:r>
        <w:rPr>
          <w:i/>
          <w:spacing w:val="-5"/>
          <w:sz w:val="18"/>
        </w:rPr>
        <w:t> </w:t>
      </w:r>
      <w:r>
        <w:rPr>
          <w:i/>
          <w:sz w:val="18"/>
        </w:rPr>
        <w:t>v</w:t>
      </w:r>
      <w:r>
        <w:rPr>
          <w:i/>
          <w:spacing w:val="-4"/>
          <w:sz w:val="18"/>
        </w:rPr>
        <w:t> </w:t>
      </w:r>
      <w:r>
        <w:rPr>
          <w:i/>
          <w:sz w:val="18"/>
        </w:rPr>
        <w:t>AT</w:t>
      </w:r>
      <w:r>
        <w:rPr>
          <w:i/>
          <w:spacing w:val="-5"/>
          <w:sz w:val="18"/>
        </w:rPr>
        <w:t> </w:t>
      </w:r>
      <w:r>
        <w:rPr>
          <w:sz w:val="18"/>
        </w:rPr>
        <w:t>[2023]</w:t>
      </w:r>
      <w:r>
        <w:rPr>
          <w:spacing w:val="-4"/>
          <w:sz w:val="18"/>
        </w:rPr>
        <w:t> </w:t>
      </w:r>
      <w:r>
        <w:rPr>
          <w:sz w:val="18"/>
        </w:rPr>
        <w:t>EWCA</w:t>
      </w:r>
      <w:r>
        <w:rPr>
          <w:spacing w:val="-4"/>
          <w:sz w:val="18"/>
        </w:rPr>
        <w:t> </w:t>
      </w:r>
      <w:r>
        <w:rPr>
          <w:sz w:val="18"/>
        </w:rPr>
        <w:t>Civ</w:t>
      </w:r>
      <w:r>
        <w:rPr>
          <w:spacing w:val="-4"/>
          <w:sz w:val="18"/>
        </w:rPr>
        <w:t> </w:t>
      </w:r>
      <w:r>
        <w:rPr>
          <w:sz w:val="18"/>
        </w:rPr>
        <w:t>1307;</w:t>
      </w:r>
      <w:r>
        <w:rPr>
          <w:spacing w:val="-5"/>
          <w:sz w:val="18"/>
        </w:rPr>
        <w:t> </w:t>
      </w:r>
      <w:r>
        <w:rPr>
          <w:i/>
          <w:sz w:val="18"/>
        </w:rPr>
        <w:t>In</w:t>
      </w:r>
      <w:r>
        <w:rPr>
          <w:i/>
          <w:spacing w:val="-5"/>
          <w:sz w:val="18"/>
        </w:rPr>
        <w:t> </w:t>
      </w:r>
      <w:r>
        <w:rPr>
          <w:i/>
          <w:sz w:val="18"/>
        </w:rPr>
        <w:t>the</w:t>
      </w:r>
      <w:r>
        <w:rPr>
          <w:i/>
          <w:spacing w:val="-4"/>
          <w:sz w:val="18"/>
        </w:rPr>
        <w:t> </w:t>
      </w:r>
      <w:r>
        <w:rPr>
          <w:i/>
          <w:sz w:val="18"/>
        </w:rPr>
        <w:t>Matter</w:t>
      </w:r>
      <w:r>
        <w:rPr>
          <w:i/>
          <w:spacing w:val="-4"/>
          <w:sz w:val="18"/>
        </w:rPr>
        <w:t> </w:t>
      </w:r>
      <w:r>
        <w:rPr>
          <w:i/>
          <w:sz w:val="18"/>
        </w:rPr>
        <w:t>of</w:t>
      </w:r>
      <w:r>
        <w:rPr>
          <w:i/>
          <w:spacing w:val="-5"/>
          <w:sz w:val="18"/>
        </w:rPr>
        <w:t> </w:t>
      </w:r>
      <w:r>
        <w:rPr>
          <w:i/>
          <w:sz w:val="18"/>
        </w:rPr>
        <w:t>an</w:t>
      </w:r>
      <w:r>
        <w:rPr>
          <w:i/>
          <w:spacing w:val="-5"/>
          <w:sz w:val="18"/>
        </w:rPr>
        <w:t> </w:t>
      </w:r>
      <w:r>
        <w:rPr>
          <w:i/>
          <w:sz w:val="18"/>
        </w:rPr>
        <w:t>Application</w:t>
      </w:r>
      <w:r>
        <w:rPr>
          <w:i/>
          <w:spacing w:val="-5"/>
          <w:sz w:val="18"/>
        </w:rPr>
        <w:t> </w:t>
      </w:r>
      <w:r>
        <w:rPr>
          <w:i/>
          <w:sz w:val="18"/>
        </w:rPr>
        <w:t>by</w:t>
      </w:r>
      <w:r>
        <w:rPr>
          <w:i/>
          <w:spacing w:val="-5"/>
          <w:sz w:val="18"/>
        </w:rPr>
        <w:t> </w:t>
      </w:r>
      <w:r>
        <w:rPr>
          <w:i/>
          <w:sz w:val="18"/>
        </w:rPr>
        <w:t>Martina</w:t>
      </w:r>
      <w:r>
        <w:rPr>
          <w:i/>
          <w:spacing w:val="-5"/>
          <w:sz w:val="18"/>
        </w:rPr>
        <w:t> </w:t>
      </w:r>
      <w:r>
        <w:rPr>
          <w:i/>
          <w:sz w:val="18"/>
        </w:rPr>
        <w:t>Dillon</w:t>
      </w:r>
      <w:r>
        <w:rPr>
          <w:i/>
          <w:spacing w:val="-5"/>
          <w:sz w:val="18"/>
        </w:rPr>
        <w:t> </w:t>
      </w:r>
      <w:r>
        <w:rPr>
          <w:i/>
          <w:sz w:val="18"/>
        </w:rPr>
        <w:t>and</w:t>
      </w:r>
      <w:r>
        <w:rPr>
          <w:i/>
          <w:spacing w:val="-5"/>
          <w:sz w:val="18"/>
        </w:rPr>
        <w:t> </w:t>
      </w:r>
      <w:r>
        <w:rPr>
          <w:i/>
          <w:sz w:val="18"/>
        </w:rPr>
        <w:t>Others</w:t>
      </w:r>
      <w:r>
        <w:rPr>
          <w:i/>
          <w:spacing w:val="-5"/>
          <w:sz w:val="18"/>
        </w:rPr>
        <w:t> </w:t>
      </w:r>
      <w:r>
        <w:rPr>
          <w:i/>
          <w:sz w:val="18"/>
        </w:rPr>
        <w:t>for</w:t>
      </w:r>
      <w:r>
        <w:rPr>
          <w:i/>
          <w:sz w:val="18"/>
        </w:rPr>
        <w:t> Judicial Review </w:t>
      </w:r>
      <w:r>
        <w:rPr>
          <w:sz w:val="18"/>
        </w:rPr>
        <w:t>[2024] NIKB 11.</w:t>
      </w:r>
    </w:p>
    <w:p>
      <w:pPr>
        <w:pStyle w:val="ListParagraph"/>
        <w:numPr>
          <w:ilvl w:val="0"/>
          <w:numId w:val="11"/>
        </w:numPr>
        <w:tabs>
          <w:tab w:pos="1853" w:val="left" w:leader="none"/>
        </w:tabs>
        <w:spacing w:line="235" w:lineRule="auto" w:before="2" w:after="0"/>
        <w:ind w:left="1853" w:right="1388" w:hanging="720"/>
        <w:jc w:val="left"/>
        <w:rPr>
          <w:sz w:val="18"/>
        </w:rPr>
      </w:pP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and</w:t>
      </w:r>
      <w:r>
        <w:rPr>
          <w:spacing w:val="-4"/>
          <w:sz w:val="18"/>
        </w:rPr>
        <w:t> </w:t>
      </w:r>
      <w:r>
        <w:rPr>
          <w:sz w:val="18"/>
        </w:rPr>
        <w:t>Equality</w:t>
      </w:r>
      <w:r>
        <w:rPr>
          <w:spacing w:val="-3"/>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‘Working</w:t>
      </w:r>
      <w:r>
        <w:rPr>
          <w:spacing w:val="-3"/>
          <w:sz w:val="18"/>
        </w:rPr>
        <w:t> </w:t>
      </w:r>
      <w:r>
        <w:rPr>
          <w:sz w:val="18"/>
        </w:rPr>
        <w:t>Paper:</w:t>
      </w:r>
      <w:r>
        <w:rPr>
          <w:spacing w:val="-3"/>
          <w:sz w:val="18"/>
        </w:rPr>
        <w:t> </w:t>
      </w:r>
      <w:r>
        <w:rPr>
          <w:sz w:val="18"/>
        </w:rPr>
        <w:t>The</w:t>
      </w:r>
      <w:r>
        <w:rPr>
          <w:spacing w:val="-3"/>
          <w:sz w:val="18"/>
        </w:rPr>
        <w:t> </w:t>
      </w:r>
      <w:r>
        <w:rPr>
          <w:sz w:val="18"/>
        </w:rPr>
        <w:t>Scope</w:t>
      </w:r>
      <w:r>
        <w:rPr>
          <w:spacing w:val="-3"/>
          <w:sz w:val="18"/>
        </w:rPr>
        <w:t> </w:t>
      </w:r>
      <w:r>
        <w:rPr>
          <w:sz w:val="18"/>
        </w:rPr>
        <w:t>of</w:t>
      </w:r>
      <w:r>
        <w:rPr>
          <w:spacing w:val="-4"/>
          <w:sz w:val="18"/>
        </w:rPr>
        <w:t> </w:t>
      </w:r>
      <w:r>
        <w:rPr>
          <w:sz w:val="18"/>
        </w:rPr>
        <w:t>Article</w:t>
      </w:r>
      <w:r>
        <w:rPr>
          <w:spacing w:val="-3"/>
          <w:sz w:val="18"/>
        </w:rPr>
        <w:t> </w:t>
      </w:r>
      <w:r>
        <w:rPr>
          <w:sz w:val="18"/>
        </w:rPr>
        <w:t>2(1)</w:t>
      </w:r>
      <w:r>
        <w:rPr>
          <w:spacing w:val="-4"/>
          <w:sz w:val="18"/>
        </w:rPr>
        <w:t> </w:t>
      </w:r>
      <w:r>
        <w:rPr>
          <w:sz w:val="18"/>
        </w:rPr>
        <w:t>of</w:t>
      </w:r>
      <w:r>
        <w:rPr>
          <w:spacing w:val="-4"/>
          <w:sz w:val="18"/>
        </w:rPr>
        <w:t> </w:t>
      </w:r>
      <w:r>
        <w:rPr>
          <w:sz w:val="18"/>
        </w:rPr>
        <w:t>the</w:t>
      </w:r>
      <w:r>
        <w:rPr>
          <w:spacing w:val="-3"/>
          <w:sz w:val="18"/>
        </w:rPr>
        <w:t> </w:t>
      </w:r>
      <w:r>
        <w:rPr>
          <w:sz w:val="18"/>
        </w:rPr>
        <w:t>Ireland/ Northern Ireland Protocol’ (NIHRC and ECNI, 2022), at 13.</w:t>
      </w:r>
    </w:p>
    <w:p>
      <w:pPr>
        <w:pStyle w:val="ListParagraph"/>
        <w:numPr>
          <w:ilvl w:val="0"/>
          <w:numId w:val="11"/>
        </w:numPr>
        <w:tabs>
          <w:tab w:pos="1853" w:val="left" w:leader="none"/>
        </w:tabs>
        <w:spacing w:line="235" w:lineRule="auto" w:before="1" w:after="0"/>
        <w:ind w:left="1853" w:right="1612" w:hanging="720"/>
        <w:jc w:val="left"/>
        <w:rPr>
          <w:sz w:val="18"/>
        </w:rPr>
      </w:pPr>
      <w:r>
        <w:rPr>
          <w:sz w:val="18"/>
        </w:rPr>
        <w:t>Recital</w:t>
      </w:r>
      <w:r>
        <w:rPr>
          <w:spacing w:val="-6"/>
          <w:sz w:val="18"/>
        </w:rPr>
        <w:t> </w:t>
      </w:r>
      <w:r>
        <w:rPr>
          <w:sz w:val="18"/>
        </w:rPr>
        <w:t>1,</w:t>
      </w:r>
      <w:r>
        <w:rPr>
          <w:spacing w:val="-5"/>
          <w:sz w:val="18"/>
        </w:rPr>
        <w:t> </w:t>
      </w:r>
      <w:r>
        <w:rPr>
          <w:sz w:val="18"/>
        </w:rPr>
        <w:t>Regulation</w:t>
      </w:r>
      <w:r>
        <w:rPr>
          <w:spacing w:val="-6"/>
          <w:sz w:val="18"/>
        </w:rPr>
        <w:t> </w:t>
      </w:r>
      <w:r>
        <w:rPr>
          <w:sz w:val="18"/>
        </w:rPr>
        <w:t>2016/679/EU,</w:t>
      </w:r>
      <w:r>
        <w:rPr>
          <w:spacing w:val="-5"/>
          <w:sz w:val="18"/>
        </w:rPr>
        <w:t> </w:t>
      </w:r>
      <w:r>
        <w:rPr>
          <w:sz w:val="18"/>
        </w:rPr>
        <w:t>‘EU</w:t>
      </w:r>
      <w:r>
        <w:rPr>
          <w:spacing w:val="-5"/>
          <w:sz w:val="18"/>
        </w:rPr>
        <w:t> </w:t>
      </w:r>
      <w:r>
        <w:rPr>
          <w:sz w:val="18"/>
        </w:rPr>
        <w:t>Parliament</w:t>
      </w:r>
      <w:r>
        <w:rPr>
          <w:spacing w:val="-5"/>
          <w:sz w:val="18"/>
        </w:rPr>
        <w:t> </w:t>
      </w:r>
      <w:r>
        <w:rPr>
          <w:sz w:val="18"/>
        </w:rPr>
        <w:t>and</w:t>
      </w:r>
      <w:r>
        <w:rPr>
          <w:spacing w:val="-6"/>
          <w:sz w:val="18"/>
        </w:rPr>
        <w:t> </w:t>
      </w:r>
      <w:r>
        <w:rPr>
          <w:sz w:val="18"/>
        </w:rPr>
        <w:t>Council</w:t>
      </w:r>
      <w:r>
        <w:rPr>
          <w:spacing w:val="-6"/>
          <w:sz w:val="18"/>
        </w:rPr>
        <w:t> </w:t>
      </w:r>
      <w:r>
        <w:rPr>
          <w:sz w:val="18"/>
        </w:rPr>
        <w:t>Regulation</w:t>
      </w:r>
      <w:r>
        <w:rPr>
          <w:spacing w:val="-6"/>
          <w:sz w:val="18"/>
        </w:rPr>
        <w:t> </w:t>
      </w:r>
      <w:r>
        <w:rPr>
          <w:sz w:val="18"/>
        </w:rPr>
        <w:t>on</w:t>
      </w:r>
      <w:r>
        <w:rPr>
          <w:spacing w:val="-6"/>
          <w:sz w:val="18"/>
        </w:rPr>
        <w:t> </w:t>
      </w:r>
      <w:r>
        <w:rPr>
          <w:sz w:val="18"/>
        </w:rPr>
        <w:t>the</w:t>
      </w:r>
      <w:r>
        <w:rPr>
          <w:spacing w:val="-5"/>
          <w:sz w:val="18"/>
        </w:rPr>
        <w:t> </w:t>
      </w:r>
      <w:r>
        <w:rPr>
          <w:sz w:val="18"/>
        </w:rPr>
        <w:t>protection</w:t>
      </w:r>
      <w:r>
        <w:rPr>
          <w:spacing w:val="-6"/>
          <w:sz w:val="18"/>
        </w:rPr>
        <w:t> </w:t>
      </w:r>
      <w:r>
        <w:rPr>
          <w:sz w:val="18"/>
        </w:rPr>
        <w:t>of</w:t>
      </w:r>
      <w:r>
        <w:rPr>
          <w:spacing w:val="-6"/>
          <w:sz w:val="18"/>
        </w:rPr>
        <w:t> </w:t>
      </w:r>
      <w:r>
        <w:rPr>
          <w:sz w:val="18"/>
        </w:rPr>
        <w:t>natural</w:t>
      </w:r>
      <w:r>
        <w:rPr>
          <w:spacing w:val="-6"/>
          <w:sz w:val="18"/>
        </w:rPr>
        <w:t> </w:t>
      </w:r>
      <w:r>
        <w:rPr>
          <w:sz w:val="18"/>
        </w:rPr>
        <w:t>persons</w:t>
      </w:r>
      <w:r>
        <w:rPr>
          <w:spacing w:val="-6"/>
          <w:sz w:val="18"/>
        </w:rPr>
        <w:t> </w:t>
      </w:r>
      <w:r>
        <w:rPr>
          <w:sz w:val="18"/>
        </w:rPr>
        <w:t>with regard to the processing of personal data and on the free movement of such data’, 27 April 2016.</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595"/>
      </w:pPr>
      <w:bookmarkStart w:name="_bookmark45" w:id="101"/>
      <w:bookmarkEnd w:id="101"/>
      <w:r>
        <w:rPr/>
      </w:r>
      <w:r>
        <w:rPr/>
        <w:t>the</w:t>
      </w:r>
      <w:r>
        <w:rPr>
          <w:spacing w:val="-4"/>
        </w:rPr>
        <w:t> </w:t>
      </w:r>
      <w:r>
        <w:rPr/>
        <w:t>EU</w:t>
      </w:r>
      <w:r>
        <w:rPr>
          <w:spacing w:val="-4"/>
        </w:rPr>
        <w:t> </w:t>
      </w:r>
      <w:r>
        <w:rPr/>
        <w:t>in</w:t>
      </w:r>
      <w:r>
        <w:rPr>
          <w:spacing w:val="-5"/>
        </w:rPr>
        <w:t> </w:t>
      </w:r>
      <w:r>
        <w:rPr/>
        <w:t>all</w:t>
      </w:r>
      <w:r>
        <w:rPr>
          <w:spacing w:val="-5"/>
        </w:rPr>
        <w:t> </w:t>
      </w:r>
      <w:r>
        <w:rPr/>
        <w:t>Member</w:t>
      </w:r>
      <w:r>
        <w:rPr>
          <w:spacing w:val="-4"/>
        </w:rPr>
        <w:t> </w:t>
      </w:r>
      <w:r>
        <w:rPr/>
        <w:t>States.</w:t>
      </w:r>
      <w:r>
        <w:rPr>
          <w:spacing w:val="-5"/>
        </w:rPr>
        <w:t> </w:t>
      </w:r>
      <w:r>
        <w:rPr/>
        <w:t>The</w:t>
      </w:r>
      <w:r>
        <w:rPr>
          <w:spacing w:val="-4"/>
        </w:rPr>
        <w:t> </w:t>
      </w:r>
      <w:r>
        <w:rPr/>
        <w:t>UK</w:t>
      </w:r>
      <w:r>
        <w:rPr>
          <w:spacing w:val="-4"/>
        </w:rPr>
        <w:t> </w:t>
      </w:r>
      <w:r>
        <w:rPr/>
        <w:t>further</w:t>
      </w:r>
      <w:r>
        <w:rPr>
          <w:spacing w:val="-4"/>
        </w:rPr>
        <w:t> </w:t>
      </w:r>
      <w:r>
        <w:rPr/>
        <w:t>implemented</w:t>
      </w:r>
      <w:r>
        <w:rPr>
          <w:spacing w:val="-5"/>
        </w:rPr>
        <w:t> </w:t>
      </w:r>
      <w:r>
        <w:rPr/>
        <w:t>the</w:t>
      </w:r>
      <w:r>
        <w:rPr>
          <w:spacing w:val="-4"/>
        </w:rPr>
        <w:t> </w:t>
      </w:r>
      <w:r>
        <w:rPr/>
        <w:t>EU</w:t>
      </w:r>
      <w:r>
        <w:rPr>
          <w:spacing w:val="-4"/>
        </w:rPr>
        <w:t> </w:t>
      </w:r>
      <w:r>
        <w:rPr/>
        <w:t>GDPR</w:t>
      </w:r>
      <w:r>
        <w:rPr>
          <w:spacing w:val="-5"/>
        </w:rPr>
        <w:t> </w:t>
      </w:r>
      <w:r>
        <w:rPr/>
        <w:t>in domestic law with the Data Protection Act 2018.</w:t>
      </w:r>
    </w:p>
    <w:p>
      <w:pPr>
        <w:pStyle w:val="ListParagraph"/>
        <w:numPr>
          <w:ilvl w:val="1"/>
          <w:numId w:val="7"/>
        </w:numPr>
        <w:tabs>
          <w:tab w:pos="1853" w:val="left" w:leader="none"/>
        </w:tabs>
        <w:spacing w:line="225" w:lineRule="auto" w:before="318" w:after="0"/>
        <w:ind w:left="1853" w:right="1324" w:hanging="720"/>
        <w:jc w:val="left"/>
        <w:rPr>
          <w:sz w:val="28"/>
        </w:rPr>
      </w:pPr>
      <w:r>
        <w:rPr>
          <w:sz w:val="28"/>
        </w:rPr>
        <w:t>The</w:t>
      </w:r>
      <w:r>
        <w:rPr>
          <w:spacing w:val="-4"/>
          <w:sz w:val="28"/>
        </w:rPr>
        <w:t> </w:t>
      </w:r>
      <w:r>
        <w:rPr>
          <w:sz w:val="28"/>
        </w:rPr>
        <w:t>UK</w:t>
      </w:r>
      <w:r>
        <w:rPr>
          <w:spacing w:val="-4"/>
          <w:sz w:val="28"/>
        </w:rPr>
        <w:t> </w:t>
      </w:r>
      <w:r>
        <w:rPr>
          <w:sz w:val="28"/>
        </w:rPr>
        <w:t>High</w:t>
      </w:r>
      <w:r>
        <w:rPr>
          <w:spacing w:val="-5"/>
          <w:sz w:val="28"/>
        </w:rPr>
        <w:t> </w:t>
      </w:r>
      <w:r>
        <w:rPr>
          <w:sz w:val="28"/>
        </w:rPr>
        <w:t>Court</w:t>
      </w:r>
      <w:r>
        <w:rPr>
          <w:spacing w:val="-4"/>
          <w:sz w:val="28"/>
        </w:rPr>
        <w:t> </w:t>
      </w:r>
      <w:r>
        <w:rPr>
          <w:sz w:val="28"/>
        </w:rPr>
        <w:t>has</w:t>
      </w:r>
      <w:r>
        <w:rPr>
          <w:spacing w:val="-5"/>
          <w:sz w:val="28"/>
        </w:rPr>
        <w:t> </w:t>
      </w:r>
      <w:r>
        <w:rPr>
          <w:sz w:val="28"/>
        </w:rPr>
        <w:t>confirmed</w:t>
      </w:r>
      <w:r>
        <w:rPr>
          <w:spacing w:val="-5"/>
          <w:sz w:val="28"/>
        </w:rPr>
        <w:t> </w:t>
      </w:r>
      <w:r>
        <w:rPr>
          <w:sz w:val="28"/>
        </w:rPr>
        <w:t>that</w:t>
      </w:r>
      <w:r>
        <w:rPr>
          <w:spacing w:val="-4"/>
          <w:sz w:val="28"/>
        </w:rPr>
        <w:t> </w:t>
      </w:r>
      <w:r>
        <w:rPr>
          <w:sz w:val="28"/>
        </w:rPr>
        <w:t>the</w:t>
      </w:r>
      <w:r>
        <w:rPr>
          <w:spacing w:val="-4"/>
          <w:sz w:val="28"/>
        </w:rPr>
        <w:t> </w:t>
      </w:r>
      <w:r>
        <w:rPr>
          <w:sz w:val="28"/>
        </w:rPr>
        <w:t>UK</w:t>
      </w:r>
      <w:r>
        <w:rPr>
          <w:spacing w:val="-4"/>
          <w:sz w:val="28"/>
        </w:rPr>
        <w:t> </w:t>
      </w:r>
      <w:r>
        <w:rPr>
          <w:sz w:val="28"/>
        </w:rPr>
        <w:t>GDPR</w:t>
      </w:r>
      <w:r>
        <w:rPr>
          <w:spacing w:val="-5"/>
          <w:sz w:val="28"/>
        </w:rPr>
        <w:t> </w:t>
      </w:r>
      <w:r>
        <w:rPr>
          <w:sz w:val="28"/>
        </w:rPr>
        <w:t>is</w:t>
      </w:r>
      <w:r>
        <w:rPr>
          <w:spacing w:val="-5"/>
          <w:sz w:val="28"/>
        </w:rPr>
        <w:t> </w:t>
      </w:r>
      <w:r>
        <w:rPr>
          <w:sz w:val="28"/>
        </w:rPr>
        <w:t>the</w:t>
      </w:r>
      <w:r>
        <w:rPr>
          <w:spacing w:val="-4"/>
          <w:sz w:val="28"/>
        </w:rPr>
        <w:t> </w:t>
      </w:r>
      <w:r>
        <w:rPr>
          <w:sz w:val="28"/>
        </w:rPr>
        <w:t>retained</w:t>
      </w:r>
      <w:r>
        <w:rPr>
          <w:spacing w:val="-5"/>
          <w:sz w:val="28"/>
        </w:rPr>
        <w:t> </w:t>
      </w:r>
      <w:r>
        <w:rPr>
          <w:sz w:val="28"/>
        </w:rPr>
        <w:t>version</w:t>
      </w:r>
      <w:r>
        <w:rPr>
          <w:spacing w:val="-5"/>
          <w:sz w:val="28"/>
        </w:rPr>
        <w:t> </w:t>
      </w:r>
      <w:r>
        <w:rPr>
          <w:sz w:val="28"/>
        </w:rPr>
        <w:t>of the EU GDPR with amendments made to secure its political effectiveness,</w:t>
      </w:r>
      <w:r>
        <w:rPr>
          <w:sz w:val="28"/>
          <w:vertAlign w:val="superscript"/>
        </w:rPr>
        <w:t>709</w:t>
      </w:r>
      <w:r>
        <w:rPr>
          <w:sz w:val="28"/>
          <w:vertAlign w:val="baseline"/>
        </w:rPr>
        <w:t> read together with the Data Protection Act 2018.</w:t>
      </w:r>
      <w:r>
        <w:rPr>
          <w:sz w:val="28"/>
          <w:vertAlign w:val="superscript"/>
        </w:rPr>
        <w:t>710</w:t>
      </w:r>
      <w:r>
        <w:rPr>
          <w:sz w:val="28"/>
          <w:vertAlign w:val="baseline"/>
        </w:rPr>
        <w:t> Currently, the UK GDPR aligns with the EU GDPR.</w:t>
      </w:r>
    </w:p>
    <w:p>
      <w:pPr>
        <w:pStyle w:val="ListParagraph"/>
        <w:numPr>
          <w:ilvl w:val="1"/>
          <w:numId w:val="7"/>
        </w:numPr>
        <w:tabs>
          <w:tab w:pos="1853" w:val="left" w:leader="none"/>
        </w:tabs>
        <w:spacing w:line="225" w:lineRule="auto" w:before="315" w:after="0"/>
        <w:ind w:left="1853" w:right="1385" w:hanging="720"/>
        <w:jc w:val="left"/>
        <w:rPr>
          <w:sz w:val="28"/>
        </w:rPr>
      </w:pPr>
      <w:r>
        <w:rPr>
          <w:sz w:val="28"/>
        </w:rPr>
        <w:t>After the UK’s exit from the EU, two data adequacy decisions</w:t>
      </w:r>
      <w:r>
        <w:rPr>
          <w:sz w:val="28"/>
          <w:vertAlign w:val="superscript"/>
        </w:rPr>
        <w:t>711</w:t>
      </w:r>
      <w:r>
        <w:rPr>
          <w:sz w:val="28"/>
          <w:vertAlign w:val="baseline"/>
        </w:rPr>
        <w:t> by the EU Commission recognise the “essentially equivalent level of protection” in the UK</w:t>
      </w:r>
      <w:r>
        <w:rPr>
          <w:spacing w:val="-7"/>
          <w:sz w:val="28"/>
          <w:vertAlign w:val="baseline"/>
        </w:rPr>
        <w:t> </w:t>
      </w:r>
      <w:r>
        <w:rPr>
          <w:sz w:val="28"/>
          <w:vertAlign w:val="baseline"/>
        </w:rPr>
        <w:t>and</w:t>
      </w:r>
      <w:r>
        <w:rPr>
          <w:spacing w:val="-8"/>
          <w:sz w:val="28"/>
          <w:vertAlign w:val="baseline"/>
        </w:rPr>
        <w:t> </w:t>
      </w:r>
      <w:r>
        <w:rPr>
          <w:sz w:val="28"/>
          <w:vertAlign w:val="baseline"/>
        </w:rPr>
        <w:t>the</w:t>
      </w:r>
      <w:r>
        <w:rPr>
          <w:spacing w:val="-7"/>
          <w:sz w:val="28"/>
          <w:vertAlign w:val="baseline"/>
        </w:rPr>
        <w:t> </w:t>
      </w:r>
      <w:r>
        <w:rPr>
          <w:sz w:val="28"/>
          <w:vertAlign w:val="baseline"/>
        </w:rPr>
        <w:t>EU</w:t>
      </w:r>
      <w:r>
        <w:rPr>
          <w:spacing w:val="-7"/>
          <w:sz w:val="28"/>
          <w:vertAlign w:val="baseline"/>
        </w:rPr>
        <w:t> </w:t>
      </w:r>
      <w:r>
        <w:rPr>
          <w:sz w:val="28"/>
          <w:vertAlign w:val="baseline"/>
        </w:rPr>
        <w:t>guarantee</w:t>
      </w:r>
      <w:r>
        <w:rPr>
          <w:spacing w:val="-7"/>
          <w:sz w:val="28"/>
          <w:vertAlign w:val="baseline"/>
        </w:rPr>
        <w:t> </w:t>
      </w:r>
      <w:r>
        <w:rPr>
          <w:sz w:val="28"/>
          <w:vertAlign w:val="baseline"/>
        </w:rPr>
        <w:t>the</w:t>
      </w:r>
      <w:r>
        <w:rPr>
          <w:spacing w:val="-7"/>
          <w:sz w:val="28"/>
          <w:vertAlign w:val="baseline"/>
        </w:rPr>
        <w:t> </w:t>
      </w:r>
      <w:r>
        <w:rPr>
          <w:sz w:val="28"/>
          <w:vertAlign w:val="baseline"/>
        </w:rPr>
        <w:t>free</w:t>
      </w:r>
      <w:r>
        <w:rPr>
          <w:spacing w:val="-7"/>
          <w:sz w:val="28"/>
          <w:vertAlign w:val="baseline"/>
        </w:rPr>
        <w:t> </w:t>
      </w:r>
      <w:r>
        <w:rPr>
          <w:sz w:val="28"/>
          <w:vertAlign w:val="baseline"/>
        </w:rPr>
        <w:t>flow</w:t>
      </w:r>
      <w:r>
        <w:rPr>
          <w:spacing w:val="-7"/>
          <w:sz w:val="28"/>
          <w:vertAlign w:val="baseline"/>
        </w:rPr>
        <w:t> </w:t>
      </w:r>
      <w:r>
        <w:rPr>
          <w:sz w:val="28"/>
          <w:vertAlign w:val="baseline"/>
        </w:rPr>
        <w:t>of</w:t>
      </w:r>
      <w:r>
        <w:rPr>
          <w:spacing w:val="-8"/>
          <w:sz w:val="28"/>
          <w:vertAlign w:val="baseline"/>
        </w:rPr>
        <w:t> </w:t>
      </w:r>
      <w:r>
        <w:rPr>
          <w:sz w:val="28"/>
          <w:vertAlign w:val="baseline"/>
        </w:rPr>
        <w:t>data</w:t>
      </w:r>
      <w:r>
        <w:rPr>
          <w:spacing w:val="-8"/>
          <w:sz w:val="28"/>
          <w:vertAlign w:val="baseline"/>
        </w:rPr>
        <w:t> </w:t>
      </w:r>
      <w:r>
        <w:rPr>
          <w:sz w:val="28"/>
          <w:vertAlign w:val="baseline"/>
        </w:rPr>
        <w:t>between</w:t>
      </w:r>
      <w:r>
        <w:rPr>
          <w:spacing w:val="-8"/>
          <w:sz w:val="28"/>
          <w:vertAlign w:val="baseline"/>
        </w:rPr>
        <w:t> </w:t>
      </w:r>
      <w:r>
        <w:rPr>
          <w:sz w:val="28"/>
          <w:vertAlign w:val="baseline"/>
        </w:rPr>
        <w:t>both</w:t>
      </w:r>
      <w:r>
        <w:rPr>
          <w:spacing w:val="-8"/>
          <w:sz w:val="28"/>
          <w:vertAlign w:val="baseline"/>
        </w:rPr>
        <w:t> </w:t>
      </w:r>
      <w:r>
        <w:rPr>
          <w:sz w:val="28"/>
          <w:vertAlign w:val="baseline"/>
        </w:rPr>
        <w:t>jurisdictions.</w:t>
      </w:r>
      <w:r>
        <w:rPr>
          <w:sz w:val="28"/>
          <w:vertAlign w:val="superscript"/>
        </w:rPr>
        <w:t>712</w:t>
      </w:r>
    </w:p>
    <w:p>
      <w:pPr>
        <w:spacing w:before="300"/>
        <w:ind w:left="1133" w:right="0" w:firstLine="0"/>
        <w:jc w:val="left"/>
        <w:rPr>
          <w:b/>
          <w:sz w:val="28"/>
        </w:rPr>
      </w:pPr>
      <w:bookmarkStart w:name="Data Protection and Digital Information " w:id="102"/>
      <w:bookmarkEnd w:id="102"/>
      <w:r>
        <w:rPr/>
      </w:r>
      <w:r>
        <w:rPr>
          <w:b/>
          <w:color w:val="393B7F"/>
          <w:sz w:val="28"/>
        </w:rPr>
        <w:t>Data</w:t>
      </w:r>
      <w:r>
        <w:rPr>
          <w:b/>
          <w:color w:val="393B7F"/>
          <w:spacing w:val="-8"/>
          <w:sz w:val="28"/>
        </w:rPr>
        <w:t> </w:t>
      </w:r>
      <w:r>
        <w:rPr>
          <w:b/>
          <w:color w:val="393B7F"/>
          <w:sz w:val="28"/>
        </w:rPr>
        <w:t>Protection</w:t>
      </w:r>
      <w:r>
        <w:rPr>
          <w:b/>
          <w:color w:val="393B7F"/>
          <w:spacing w:val="-8"/>
          <w:sz w:val="28"/>
        </w:rPr>
        <w:t> </w:t>
      </w:r>
      <w:r>
        <w:rPr>
          <w:b/>
          <w:color w:val="393B7F"/>
          <w:sz w:val="28"/>
        </w:rPr>
        <w:t>and</w:t>
      </w:r>
      <w:r>
        <w:rPr>
          <w:b/>
          <w:color w:val="393B7F"/>
          <w:spacing w:val="-8"/>
          <w:sz w:val="28"/>
        </w:rPr>
        <w:t> </w:t>
      </w:r>
      <w:r>
        <w:rPr>
          <w:b/>
          <w:color w:val="393B7F"/>
          <w:sz w:val="28"/>
        </w:rPr>
        <w:t>Digital</w:t>
      </w:r>
      <w:r>
        <w:rPr>
          <w:b/>
          <w:color w:val="393B7F"/>
          <w:spacing w:val="-8"/>
          <w:sz w:val="28"/>
        </w:rPr>
        <w:t> </w:t>
      </w:r>
      <w:r>
        <w:rPr>
          <w:b/>
          <w:color w:val="393B7F"/>
          <w:sz w:val="28"/>
        </w:rPr>
        <w:t>Information</w:t>
      </w:r>
      <w:r>
        <w:rPr>
          <w:b/>
          <w:color w:val="393B7F"/>
          <w:spacing w:val="-8"/>
          <w:sz w:val="28"/>
        </w:rPr>
        <w:t> </w:t>
      </w:r>
      <w:r>
        <w:rPr>
          <w:b/>
          <w:color w:val="393B7F"/>
          <w:spacing w:val="-2"/>
          <w:sz w:val="28"/>
        </w:rPr>
        <w:t>Bill</w:t>
      </w:r>
      <w:r>
        <w:rPr>
          <w:b/>
          <w:color w:val="393B7F"/>
          <w:spacing w:val="-2"/>
          <w:sz w:val="28"/>
          <w:vertAlign w:val="superscript"/>
        </w:rPr>
        <w:t>713</w:t>
      </w:r>
    </w:p>
    <w:p>
      <w:pPr>
        <w:pStyle w:val="ListParagraph"/>
        <w:numPr>
          <w:ilvl w:val="1"/>
          <w:numId w:val="7"/>
        </w:numPr>
        <w:tabs>
          <w:tab w:pos="1853" w:val="left" w:leader="none"/>
        </w:tabs>
        <w:spacing w:line="225" w:lineRule="auto" w:before="330" w:after="0"/>
        <w:ind w:left="1853" w:right="1939" w:hanging="720"/>
        <w:jc w:val="left"/>
        <w:rPr>
          <w:sz w:val="28"/>
        </w:rPr>
      </w:pPr>
      <w:r>
        <w:rPr>
          <w:sz w:val="28"/>
        </w:rPr>
        <w:t>In</w:t>
      </w:r>
      <w:r>
        <w:rPr>
          <w:spacing w:val="-8"/>
          <w:sz w:val="28"/>
        </w:rPr>
        <w:t> </w:t>
      </w:r>
      <w:r>
        <w:rPr>
          <w:sz w:val="28"/>
        </w:rPr>
        <w:t>2022,</w:t>
      </w:r>
      <w:r>
        <w:rPr>
          <w:spacing w:val="-7"/>
          <w:sz w:val="28"/>
        </w:rPr>
        <w:t> </w:t>
      </w:r>
      <w:r>
        <w:rPr>
          <w:sz w:val="28"/>
        </w:rPr>
        <w:t>the</w:t>
      </w:r>
      <w:r>
        <w:rPr>
          <w:spacing w:val="-7"/>
          <w:sz w:val="28"/>
        </w:rPr>
        <w:t> </w:t>
      </w:r>
      <w:r>
        <w:rPr>
          <w:sz w:val="28"/>
        </w:rPr>
        <w:t>UK</w:t>
      </w:r>
      <w:r>
        <w:rPr>
          <w:spacing w:val="-7"/>
          <w:sz w:val="28"/>
        </w:rPr>
        <w:t> </w:t>
      </w:r>
      <w:r>
        <w:rPr>
          <w:sz w:val="28"/>
        </w:rPr>
        <w:t>Government</w:t>
      </w:r>
      <w:r>
        <w:rPr>
          <w:spacing w:val="-7"/>
          <w:sz w:val="28"/>
        </w:rPr>
        <w:t> </w:t>
      </w:r>
      <w:r>
        <w:rPr>
          <w:sz w:val="28"/>
        </w:rPr>
        <w:t>introduced</w:t>
      </w:r>
      <w:r>
        <w:rPr>
          <w:spacing w:val="-8"/>
          <w:sz w:val="28"/>
        </w:rPr>
        <w:t> </w:t>
      </w:r>
      <w:r>
        <w:rPr>
          <w:sz w:val="28"/>
        </w:rPr>
        <w:t>the</w:t>
      </w:r>
      <w:r>
        <w:rPr>
          <w:spacing w:val="-7"/>
          <w:sz w:val="28"/>
        </w:rPr>
        <w:t> </w:t>
      </w:r>
      <w:r>
        <w:rPr>
          <w:sz w:val="28"/>
        </w:rPr>
        <w:t>Data</w:t>
      </w:r>
      <w:r>
        <w:rPr>
          <w:spacing w:val="-8"/>
          <w:sz w:val="28"/>
        </w:rPr>
        <w:t> </w:t>
      </w:r>
      <w:r>
        <w:rPr>
          <w:sz w:val="28"/>
        </w:rPr>
        <w:t>Protection</w:t>
      </w:r>
      <w:r>
        <w:rPr>
          <w:spacing w:val="-8"/>
          <w:sz w:val="28"/>
        </w:rPr>
        <w:t> </w:t>
      </w:r>
      <w:r>
        <w:rPr>
          <w:sz w:val="28"/>
        </w:rPr>
        <w:t>and</w:t>
      </w:r>
      <w:r>
        <w:rPr>
          <w:spacing w:val="-8"/>
          <w:sz w:val="28"/>
        </w:rPr>
        <w:t> </w:t>
      </w:r>
      <w:r>
        <w:rPr>
          <w:sz w:val="28"/>
        </w:rPr>
        <w:t>Digital Information Bill. The Bill aims to simplify and update current UK data protection framework whilst maintaining data protection standards.</w:t>
      </w:r>
      <w:r>
        <w:rPr>
          <w:sz w:val="28"/>
          <w:vertAlign w:val="superscript"/>
        </w:rPr>
        <w:t>714</w:t>
      </w:r>
    </w:p>
    <w:p>
      <w:pPr>
        <w:pStyle w:val="ListParagraph"/>
        <w:numPr>
          <w:ilvl w:val="1"/>
          <w:numId w:val="7"/>
        </w:numPr>
        <w:tabs>
          <w:tab w:pos="1853" w:val="left" w:leader="none"/>
        </w:tabs>
        <w:spacing w:line="225" w:lineRule="auto" w:before="316" w:after="0"/>
        <w:ind w:left="1853" w:right="1280" w:hanging="720"/>
        <w:jc w:val="left"/>
        <w:rPr>
          <w:sz w:val="28"/>
        </w:rPr>
      </w:pPr>
      <w:r>
        <w:rPr>
          <w:sz w:val="28"/>
        </w:rPr>
        <w:t>In Part 1 (Data Protection), the Bill proposes changes to the UK GDPR, and to the</w:t>
      </w:r>
      <w:r>
        <w:rPr>
          <w:spacing w:val="-9"/>
          <w:sz w:val="28"/>
        </w:rPr>
        <w:t> </w:t>
      </w:r>
      <w:r>
        <w:rPr>
          <w:sz w:val="28"/>
        </w:rPr>
        <w:t>Data</w:t>
      </w:r>
      <w:r>
        <w:rPr>
          <w:spacing w:val="-10"/>
          <w:sz w:val="28"/>
        </w:rPr>
        <w:t> </w:t>
      </w:r>
      <w:r>
        <w:rPr>
          <w:sz w:val="28"/>
        </w:rPr>
        <w:t>Protection</w:t>
      </w:r>
      <w:r>
        <w:rPr>
          <w:spacing w:val="-10"/>
          <w:sz w:val="28"/>
        </w:rPr>
        <w:t> </w:t>
      </w:r>
      <w:r>
        <w:rPr>
          <w:sz w:val="28"/>
        </w:rPr>
        <w:t>Act</w:t>
      </w:r>
      <w:r>
        <w:rPr>
          <w:spacing w:val="-9"/>
          <w:sz w:val="28"/>
        </w:rPr>
        <w:t> </w:t>
      </w:r>
      <w:r>
        <w:rPr>
          <w:sz w:val="28"/>
        </w:rPr>
        <w:t>2018</w:t>
      </w:r>
      <w:r>
        <w:rPr>
          <w:spacing w:val="-9"/>
          <w:sz w:val="28"/>
        </w:rPr>
        <w:t> </w:t>
      </w:r>
      <w:r>
        <w:rPr>
          <w:sz w:val="28"/>
        </w:rPr>
        <w:t>that</w:t>
      </w:r>
      <w:r>
        <w:rPr>
          <w:spacing w:val="-9"/>
          <w:sz w:val="28"/>
        </w:rPr>
        <w:t> </w:t>
      </w:r>
      <w:r>
        <w:rPr>
          <w:sz w:val="28"/>
        </w:rPr>
        <w:t>aim</w:t>
      </w:r>
      <w:r>
        <w:rPr>
          <w:spacing w:val="-9"/>
          <w:sz w:val="28"/>
        </w:rPr>
        <w:t> </w:t>
      </w:r>
      <w:r>
        <w:rPr>
          <w:sz w:val="28"/>
        </w:rPr>
        <w:t>to</w:t>
      </w:r>
      <w:r>
        <w:rPr>
          <w:spacing w:val="-10"/>
          <w:sz w:val="28"/>
        </w:rPr>
        <w:t> </w:t>
      </w:r>
      <w:r>
        <w:rPr>
          <w:sz w:val="28"/>
        </w:rPr>
        <w:t>offer</w:t>
      </w:r>
      <w:r>
        <w:rPr>
          <w:spacing w:val="-9"/>
          <w:sz w:val="28"/>
        </w:rPr>
        <w:t> </w:t>
      </w:r>
      <w:r>
        <w:rPr>
          <w:sz w:val="28"/>
        </w:rPr>
        <w:t>organisations</w:t>
      </w:r>
      <w:r>
        <w:rPr>
          <w:spacing w:val="-10"/>
          <w:sz w:val="28"/>
        </w:rPr>
        <w:t> </w:t>
      </w:r>
      <w:r>
        <w:rPr>
          <w:sz w:val="28"/>
        </w:rPr>
        <w:t>greater</w:t>
      </w:r>
      <w:r>
        <w:rPr>
          <w:spacing w:val="-9"/>
          <w:sz w:val="28"/>
        </w:rPr>
        <w:t> </w:t>
      </w:r>
      <w:r>
        <w:rPr>
          <w:sz w:val="28"/>
        </w:rPr>
        <w:t>flexibility on how to comply with certain aspects of the data protection legislation and improve the clarity of the legal framework on data protection.</w:t>
      </w:r>
      <w:r>
        <w:rPr>
          <w:sz w:val="28"/>
          <w:vertAlign w:val="superscript"/>
        </w:rPr>
        <w:t>715</w:t>
      </w:r>
      <w:r>
        <w:rPr>
          <w:sz w:val="28"/>
          <w:vertAlign w:val="baseline"/>
        </w:rPr>
        <w:t> The Bill is also proposing amendments to Part 3 and 4 of the Data Protection Act 2018, which</w:t>
      </w:r>
      <w:r>
        <w:rPr>
          <w:spacing w:val="-4"/>
          <w:sz w:val="28"/>
          <w:vertAlign w:val="baseline"/>
        </w:rPr>
        <w:t> </w:t>
      </w:r>
      <w:r>
        <w:rPr>
          <w:sz w:val="28"/>
          <w:vertAlign w:val="baseline"/>
        </w:rPr>
        <w:t>further</w:t>
      </w:r>
      <w:r>
        <w:rPr>
          <w:spacing w:val="-3"/>
          <w:sz w:val="28"/>
          <w:vertAlign w:val="baseline"/>
        </w:rPr>
        <w:t> </w:t>
      </w:r>
      <w:r>
        <w:rPr>
          <w:sz w:val="28"/>
          <w:vertAlign w:val="baseline"/>
        </w:rPr>
        <w:t>enforced</w:t>
      </w:r>
      <w:r>
        <w:rPr>
          <w:spacing w:val="-4"/>
          <w:sz w:val="28"/>
          <w:vertAlign w:val="baseline"/>
        </w:rPr>
        <w:t> </w:t>
      </w:r>
      <w:r>
        <w:rPr>
          <w:sz w:val="28"/>
          <w:vertAlign w:val="baseline"/>
        </w:rPr>
        <w:t>the</w:t>
      </w:r>
      <w:r>
        <w:rPr>
          <w:spacing w:val="-3"/>
          <w:sz w:val="28"/>
          <w:vertAlign w:val="baseline"/>
        </w:rPr>
        <w:t> </w:t>
      </w:r>
      <w:r>
        <w:rPr>
          <w:sz w:val="28"/>
          <w:vertAlign w:val="baseline"/>
        </w:rPr>
        <w:t>EU</w:t>
      </w:r>
      <w:r>
        <w:rPr>
          <w:spacing w:val="-3"/>
          <w:sz w:val="28"/>
          <w:vertAlign w:val="baseline"/>
        </w:rPr>
        <w:t> </w:t>
      </w:r>
      <w:r>
        <w:rPr>
          <w:sz w:val="28"/>
          <w:vertAlign w:val="baseline"/>
        </w:rPr>
        <w:t>GDPR</w:t>
      </w:r>
      <w:r>
        <w:rPr>
          <w:spacing w:val="-4"/>
          <w:sz w:val="28"/>
          <w:vertAlign w:val="baseline"/>
        </w:rPr>
        <w:t> </w:t>
      </w:r>
      <w:r>
        <w:rPr>
          <w:sz w:val="28"/>
          <w:vertAlign w:val="baseline"/>
        </w:rPr>
        <w:t>in</w:t>
      </w:r>
      <w:r>
        <w:rPr>
          <w:spacing w:val="-4"/>
          <w:sz w:val="28"/>
          <w:vertAlign w:val="baseline"/>
        </w:rPr>
        <w:t> </w:t>
      </w:r>
      <w:r>
        <w:rPr>
          <w:sz w:val="28"/>
          <w:vertAlign w:val="baseline"/>
        </w:rPr>
        <w:t>UK</w:t>
      </w:r>
      <w:r>
        <w:rPr>
          <w:spacing w:val="-3"/>
          <w:sz w:val="28"/>
          <w:vertAlign w:val="baseline"/>
        </w:rPr>
        <w:t> </w:t>
      </w:r>
      <w:r>
        <w:rPr>
          <w:sz w:val="28"/>
          <w:vertAlign w:val="baseline"/>
        </w:rPr>
        <w:t>domestic</w:t>
      </w:r>
      <w:r>
        <w:rPr>
          <w:spacing w:val="-3"/>
          <w:sz w:val="28"/>
          <w:vertAlign w:val="baseline"/>
        </w:rPr>
        <w:t> </w:t>
      </w:r>
      <w:r>
        <w:rPr>
          <w:sz w:val="28"/>
          <w:vertAlign w:val="baseline"/>
        </w:rPr>
        <w:t>law.</w:t>
      </w:r>
      <w:r>
        <w:rPr>
          <w:spacing w:val="-4"/>
          <w:sz w:val="28"/>
          <w:vertAlign w:val="baseline"/>
        </w:rPr>
        <w:t> </w:t>
      </w:r>
      <w:r>
        <w:rPr>
          <w:sz w:val="28"/>
          <w:vertAlign w:val="baseline"/>
        </w:rPr>
        <w:t>These</w:t>
      </w:r>
      <w:r>
        <w:rPr>
          <w:spacing w:val="-3"/>
          <w:sz w:val="28"/>
          <w:vertAlign w:val="baseline"/>
        </w:rPr>
        <w:t> </w:t>
      </w:r>
      <w:r>
        <w:rPr>
          <w:sz w:val="28"/>
          <w:vertAlign w:val="baseline"/>
        </w:rPr>
        <w:t>amendments concern the rules on law enforcement processing and intelligence service </w:t>
      </w:r>
      <w:r>
        <w:rPr>
          <w:spacing w:val="-2"/>
          <w:sz w:val="28"/>
          <w:vertAlign w:val="baseline"/>
        </w:rPr>
        <w:t>processing.</w:t>
      </w:r>
      <w:r>
        <w:rPr>
          <w:spacing w:val="-2"/>
          <w:sz w:val="28"/>
          <w:vertAlign w:val="superscript"/>
        </w:rPr>
        <w:t>716</w:t>
      </w:r>
    </w:p>
    <w:p>
      <w:pPr>
        <w:pStyle w:val="ListParagraph"/>
        <w:numPr>
          <w:ilvl w:val="1"/>
          <w:numId w:val="7"/>
        </w:numPr>
        <w:tabs>
          <w:tab w:pos="1853" w:val="left" w:leader="none"/>
        </w:tabs>
        <w:spacing w:line="225" w:lineRule="auto" w:before="310" w:after="0"/>
        <w:ind w:left="1853" w:right="2190" w:hanging="720"/>
        <w:jc w:val="left"/>
        <w:rPr>
          <w:sz w:val="28"/>
        </w:rPr>
      </w:pPr>
      <w:r>
        <w:rPr>
          <w:sz w:val="28"/>
        </w:rPr>
        <w:t>In 2024, the Commissions published separate briefings highlighting the</w:t>
      </w:r>
      <w:r>
        <w:rPr>
          <w:spacing w:val="-8"/>
          <w:sz w:val="28"/>
        </w:rPr>
        <w:t> </w:t>
      </w:r>
      <w:r>
        <w:rPr>
          <w:sz w:val="28"/>
        </w:rPr>
        <w:t>potential</w:t>
      </w:r>
      <w:r>
        <w:rPr>
          <w:spacing w:val="-9"/>
          <w:sz w:val="28"/>
        </w:rPr>
        <w:t> </w:t>
      </w:r>
      <w:r>
        <w:rPr>
          <w:sz w:val="28"/>
        </w:rPr>
        <w:t>for</w:t>
      </w:r>
      <w:r>
        <w:rPr>
          <w:spacing w:val="-8"/>
          <w:sz w:val="28"/>
        </w:rPr>
        <w:t> </w:t>
      </w:r>
      <w:r>
        <w:rPr>
          <w:sz w:val="28"/>
        </w:rPr>
        <w:t>the</w:t>
      </w:r>
      <w:r>
        <w:rPr>
          <w:spacing w:val="-8"/>
          <w:sz w:val="28"/>
        </w:rPr>
        <w:t> </w:t>
      </w:r>
      <w:r>
        <w:rPr>
          <w:sz w:val="28"/>
        </w:rPr>
        <w:t>Bill</w:t>
      </w:r>
      <w:r>
        <w:rPr>
          <w:spacing w:val="-9"/>
          <w:sz w:val="28"/>
        </w:rPr>
        <w:t> </w:t>
      </w:r>
      <w:r>
        <w:rPr>
          <w:sz w:val="28"/>
        </w:rPr>
        <w:t>to</w:t>
      </w:r>
      <w:r>
        <w:rPr>
          <w:spacing w:val="-9"/>
          <w:sz w:val="28"/>
        </w:rPr>
        <w:t> </w:t>
      </w:r>
      <w:r>
        <w:rPr>
          <w:sz w:val="28"/>
        </w:rPr>
        <w:t>weaken</w:t>
      </w:r>
      <w:r>
        <w:rPr>
          <w:spacing w:val="-9"/>
          <w:sz w:val="28"/>
        </w:rPr>
        <w:t> </w:t>
      </w:r>
      <w:r>
        <w:rPr>
          <w:sz w:val="28"/>
        </w:rPr>
        <w:t>current</w:t>
      </w:r>
      <w:r>
        <w:rPr>
          <w:spacing w:val="-8"/>
          <w:sz w:val="28"/>
        </w:rPr>
        <w:t> </w:t>
      </w:r>
      <w:r>
        <w:rPr>
          <w:sz w:val="28"/>
        </w:rPr>
        <w:t>data</w:t>
      </w:r>
      <w:r>
        <w:rPr>
          <w:spacing w:val="-9"/>
          <w:sz w:val="28"/>
        </w:rPr>
        <w:t> </w:t>
      </w:r>
      <w:r>
        <w:rPr>
          <w:sz w:val="28"/>
        </w:rPr>
        <w:t>protection</w:t>
      </w:r>
      <w:r>
        <w:rPr>
          <w:spacing w:val="-9"/>
          <w:sz w:val="28"/>
        </w:rPr>
        <w:t> </w:t>
      </w:r>
      <w:r>
        <w:rPr>
          <w:sz w:val="28"/>
        </w:rPr>
        <w:t>rights</w:t>
      </w:r>
      <w:r>
        <w:rPr>
          <w:spacing w:val="-9"/>
          <w:sz w:val="28"/>
        </w:rPr>
        <w:t> </w:t>
      </w:r>
      <w:r>
        <w:rPr>
          <w:sz w:val="28"/>
        </w:rPr>
        <w:t>and </w:t>
      </w:r>
      <w:r>
        <w:rPr>
          <w:spacing w:val="-2"/>
          <w:sz w:val="28"/>
        </w:rPr>
        <w:t>safeguards.</w:t>
      </w:r>
      <w:r>
        <w:rPr>
          <w:spacing w:val="-2"/>
          <w:sz w:val="28"/>
          <w:vertAlign w:val="superscript"/>
        </w:rPr>
        <w:t>717</w:t>
      </w:r>
    </w:p>
    <w:p>
      <w:pPr>
        <w:pStyle w:val="BodyText"/>
        <w:rPr>
          <w:sz w:val="20"/>
        </w:rPr>
      </w:pPr>
    </w:p>
    <w:p>
      <w:pPr>
        <w:pStyle w:val="BodyText"/>
        <w:spacing w:before="14"/>
        <w:rPr>
          <w:sz w:val="20"/>
        </w:rPr>
      </w:pPr>
      <w:r>
        <w:rPr/>
        <mc:AlternateContent>
          <mc:Choice Requires="wps">
            <w:drawing>
              <wp:anchor distT="0" distB="0" distL="0" distR="0" allowOverlap="1" layoutInCell="1" locked="0" behindDoc="1" simplePos="0" relativeHeight="487706624">
                <wp:simplePos x="0" y="0"/>
                <wp:positionH relativeFrom="page">
                  <wp:posOffset>719996</wp:posOffset>
                </wp:positionH>
                <wp:positionV relativeFrom="paragraph">
                  <wp:posOffset>179562</wp:posOffset>
                </wp:positionV>
                <wp:extent cx="6120130" cy="1270"/>
                <wp:effectExtent l="0" t="0" r="0" b="0"/>
                <wp:wrapTopAndBottom/>
                <wp:docPr id="537" name="Graphic 537"/>
                <wp:cNvGraphicFramePr>
                  <a:graphicFrameLocks/>
                </wp:cNvGraphicFramePr>
                <a:graphic>
                  <a:graphicData uri="http://schemas.microsoft.com/office/word/2010/wordprocessingShape">
                    <wps:wsp>
                      <wps:cNvPr id="537" name="Graphic 537"/>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4.13876pt;width:481.9pt;height:.1pt;mso-position-horizontal-relative:page;mso-position-vertical-relative:paragraph;z-index:-15609856;mso-wrap-distance-left:0;mso-wrap-distance-right:0" id="docshape482" coordorigin="1134,283" coordsize="9638,0" path="m10772,283l1134,283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18" w:lineRule="exact" w:before="146" w:after="0"/>
        <w:ind w:left="1853" w:right="0" w:hanging="720"/>
        <w:jc w:val="left"/>
        <w:rPr>
          <w:sz w:val="18"/>
        </w:rPr>
      </w:pPr>
      <w:r>
        <w:rPr>
          <w:sz w:val="18"/>
        </w:rPr>
        <w:t>Data</w:t>
      </w:r>
      <w:r>
        <w:rPr>
          <w:spacing w:val="-8"/>
          <w:sz w:val="18"/>
        </w:rPr>
        <w:t> </w:t>
      </w:r>
      <w:r>
        <w:rPr>
          <w:sz w:val="18"/>
        </w:rPr>
        <w:t>Protection,</w:t>
      </w:r>
      <w:r>
        <w:rPr>
          <w:spacing w:val="-6"/>
          <w:sz w:val="18"/>
        </w:rPr>
        <w:t> </w:t>
      </w:r>
      <w:r>
        <w:rPr>
          <w:sz w:val="18"/>
        </w:rPr>
        <w:t>Privacy</w:t>
      </w:r>
      <w:r>
        <w:rPr>
          <w:spacing w:val="-6"/>
          <w:sz w:val="18"/>
        </w:rPr>
        <w:t> </w:t>
      </w:r>
      <w:r>
        <w:rPr>
          <w:sz w:val="18"/>
        </w:rPr>
        <w:t>and</w:t>
      </w:r>
      <w:r>
        <w:rPr>
          <w:spacing w:val="-7"/>
          <w:sz w:val="18"/>
        </w:rPr>
        <w:t> </w:t>
      </w:r>
      <w:r>
        <w:rPr>
          <w:sz w:val="18"/>
        </w:rPr>
        <w:t>Electronic</w:t>
      </w:r>
      <w:r>
        <w:rPr>
          <w:spacing w:val="-6"/>
          <w:sz w:val="18"/>
        </w:rPr>
        <w:t> </w:t>
      </w:r>
      <w:r>
        <w:rPr>
          <w:sz w:val="18"/>
        </w:rPr>
        <w:t>Communications</w:t>
      </w:r>
      <w:r>
        <w:rPr>
          <w:spacing w:val="-7"/>
          <w:sz w:val="18"/>
        </w:rPr>
        <w:t> </w:t>
      </w:r>
      <w:r>
        <w:rPr>
          <w:sz w:val="18"/>
        </w:rPr>
        <w:t>(Amendments,</w:t>
      </w:r>
      <w:r>
        <w:rPr>
          <w:spacing w:val="-6"/>
          <w:sz w:val="18"/>
        </w:rPr>
        <w:t> </w:t>
      </w:r>
      <w:r>
        <w:rPr>
          <w:sz w:val="18"/>
        </w:rPr>
        <w:t>etc)</w:t>
      </w:r>
      <w:r>
        <w:rPr>
          <w:spacing w:val="-7"/>
          <w:sz w:val="18"/>
        </w:rPr>
        <w:t> </w:t>
      </w:r>
      <w:r>
        <w:rPr>
          <w:sz w:val="18"/>
        </w:rPr>
        <w:t>(EU</w:t>
      </w:r>
      <w:r>
        <w:rPr>
          <w:spacing w:val="-7"/>
          <w:sz w:val="18"/>
        </w:rPr>
        <w:t> </w:t>
      </w:r>
      <w:r>
        <w:rPr>
          <w:sz w:val="18"/>
        </w:rPr>
        <w:t>Exit)</w:t>
      </w:r>
      <w:r>
        <w:rPr>
          <w:spacing w:val="-7"/>
          <w:sz w:val="18"/>
        </w:rPr>
        <w:t> </w:t>
      </w:r>
      <w:r>
        <w:rPr>
          <w:sz w:val="18"/>
        </w:rPr>
        <w:t>Regulations</w:t>
      </w:r>
      <w:r>
        <w:rPr>
          <w:spacing w:val="-7"/>
          <w:sz w:val="18"/>
        </w:rPr>
        <w:t> </w:t>
      </w:r>
      <w:r>
        <w:rPr>
          <w:spacing w:val="-2"/>
          <w:sz w:val="18"/>
        </w:rPr>
        <w:t>2019.</w:t>
      </w:r>
    </w:p>
    <w:p>
      <w:pPr>
        <w:pStyle w:val="ListParagraph"/>
        <w:numPr>
          <w:ilvl w:val="0"/>
          <w:numId w:val="11"/>
        </w:numPr>
        <w:tabs>
          <w:tab w:pos="1853" w:val="left" w:leader="none"/>
        </w:tabs>
        <w:spacing w:line="235" w:lineRule="auto" w:before="2" w:after="0"/>
        <w:ind w:left="1853" w:right="2245" w:hanging="720"/>
        <w:jc w:val="left"/>
        <w:rPr>
          <w:sz w:val="18"/>
        </w:rPr>
      </w:pPr>
      <w:r>
        <w:rPr>
          <w:i/>
          <w:sz w:val="18"/>
        </w:rPr>
        <w:t>The3million</w:t>
      </w:r>
      <w:r>
        <w:rPr>
          <w:i/>
          <w:spacing w:val="-4"/>
          <w:sz w:val="18"/>
        </w:rPr>
        <w:t> </w:t>
      </w:r>
      <w:r>
        <w:rPr>
          <w:i/>
          <w:sz w:val="18"/>
        </w:rPr>
        <w:t>&amp;</w:t>
      </w:r>
      <w:r>
        <w:rPr>
          <w:i/>
          <w:spacing w:val="-4"/>
          <w:sz w:val="18"/>
        </w:rPr>
        <w:t> </w:t>
      </w:r>
      <w:r>
        <w:rPr>
          <w:i/>
          <w:sz w:val="18"/>
        </w:rPr>
        <w:t>Open</w:t>
      </w:r>
      <w:r>
        <w:rPr>
          <w:i/>
          <w:spacing w:val="-4"/>
          <w:sz w:val="18"/>
        </w:rPr>
        <w:t> </w:t>
      </w:r>
      <w:r>
        <w:rPr>
          <w:i/>
          <w:sz w:val="18"/>
        </w:rPr>
        <w:t>Rights</w:t>
      </w:r>
      <w:r>
        <w:rPr>
          <w:i/>
          <w:spacing w:val="-4"/>
          <w:sz w:val="18"/>
        </w:rPr>
        <w:t> </w:t>
      </w:r>
      <w:r>
        <w:rPr>
          <w:i/>
          <w:sz w:val="18"/>
        </w:rPr>
        <w:t>Group</w:t>
      </w:r>
      <w:r>
        <w:rPr>
          <w:i/>
          <w:spacing w:val="-4"/>
          <w:sz w:val="18"/>
        </w:rPr>
        <w:t> </w:t>
      </w:r>
      <w:r>
        <w:rPr>
          <w:i/>
          <w:sz w:val="18"/>
        </w:rPr>
        <w:t>v</w:t>
      </w:r>
      <w:r>
        <w:rPr>
          <w:i/>
          <w:spacing w:val="-3"/>
          <w:sz w:val="18"/>
        </w:rPr>
        <w:t> </w:t>
      </w:r>
      <w:r>
        <w:rPr>
          <w:i/>
          <w:sz w:val="18"/>
        </w:rPr>
        <w:t>Secretary</w:t>
      </w:r>
      <w:r>
        <w:rPr>
          <w:i/>
          <w:spacing w:val="-4"/>
          <w:sz w:val="18"/>
        </w:rPr>
        <w:t> </w:t>
      </w:r>
      <w:r>
        <w:rPr>
          <w:i/>
          <w:sz w:val="18"/>
        </w:rPr>
        <w:t>of</w:t>
      </w:r>
      <w:r>
        <w:rPr>
          <w:i/>
          <w:spacing w:val="-4"/>
          <w:sz w:val="18"/>
        </w:rPr>
        <w:t> </w:t>
      </w:r>
      <w:r>
        <w:rPr>
          <w:i/>
          <w:sz w:val="18"/>
        </w:rPr>
        <w:t>State</w:t>
      </w:r>
      <w:r>
        <w:rPr>
          <w:i/>
          <w:spacing w:val="-3"/>
          <w:sz w:val="18"/>
        </w:rPr>
        <w:t> </w:t>
      </w:r>
      <w:r>
        <w:rPr>
          <w:i/>
          <w:sz w:val="18"/>
        </w:rPr>
        <w:t>for</w:t>
      </w:r>
      <w:r>
        <w:rPr>
          <w:i/>
          <w:spacing w:val="-3"/>
          <w:sz w:val="18"/>
        </w:rPr>
        <w:t> </w:t>
      </w:r>
      <w:r>
        <w:rPr>
          <w:i/>
          <w:sz w:val="18"/>
        </w:rPr>
        <w:t>the</w:t>
      </w:r>
      <w:r>
        <w:rPr>
          <w:i/>
          <w:spacing w:val="-3"/>
          <w:sz w:val="18"/>
        </w:rPr>
        <w:t> </w:t>
      </w:r>
      <w:r>
        <w:rPr>
          <w:i/>
          <w:sz w:val="18"/>
        </w:rPr>
        <w:t>Home</w:t>
      </w:r>
      <w:r>
        <w:rPr>
          <w:i/>
          <w:spacing w:val="-3"/>
          <w:sz w:val="18"/>
        </w:rPr>
        <w:t> </w:t>
      </w:r>
      <w:r>
        <w:rPr>
          <w:i/>
          <w:sz w:val="18"/>
        </w:rPr>
        <w:t>Department</w:t>
      </w:r>
      <w:r>
        <w:rPr>
          <w:i/>
          <w:spacing w:val="-4"/>
          <w:sz w:val="18"/>
        </w:rPr>
        <w:t> </w:t>
      </w:r>
      <w:r>
        <w:rPr>
          <w:sz w:val="18"/>
        </w:rPr>
        <w:t>[2023]</w:t>
      </w:r>
      <w:r>
        <w:rPr>
          <w:spacing w:val="-3"/>
          <w:sz w:val="18"/>
        </w:rPr>
        <w:t> </w:t>
      </w:r>
      <w:r>
        <w:rPr>
          <w:sz w:val="18"/>
        </w:rPr>
        <w:t>EWHC</w:t>
      </w:r>
      <w:r>
        <w:rPr>
          <w:spacing w:val="-4"/>
          <w:sz w:val="18"/>
        </w:rPr>
        <w:t> </w:t>
      </w:r>
      <w:r>
        <w:rPr>
          <w:sz w:val="18"/>
        </w:rPr>
        <w:t>713</w:t>
      </w:r>
      <w:r>
        <w:rPr>
          <w:spacing w:val="-3"/>
          <w:sz w:val="18"/>
        </w:rPr>
        <w:t> </w:t>
      </w:r>
      <w:r>
        <w:rPr>
          <w:sz w:val="18"/>
        </w:rPr>
        <w:t>(Admin), at para 9.</w:t>
      </w:r>
    </w:p>
    <w:p>
      <w:pPr>
        <w:pStyle w:val="ListParagraph"/>
        <w:numPr>
          <w:ilvl w:val="0"/>
          <w:numId w:val="11"/>
        </w:numPr>
        <w:tabs>
          <w:tab w:pos="1853" w:val="left" w:leader="none"/>
        </w:tabs>
        <w:spacing w:line="235" w:lineRule="auto" w:before="1" w:after="0"/>
        <w:ind w:left="1853" w:right="1176" w:hanging="720"/>
        <w:jc w:val="left"/>
        <w:rPr>
          <w:sz w:val="18"/>
        </w:rPr>
      </w:pPr>
      <w:r>
        <w:rPr>
          <w:sz w:val="18"/>
        </w:rPr>
        <w:t>Commission Implementing Decision (EU) 2021/1772, pursuant to Regulation (EU) 2016/679 of the EU Parliament and of the</w:t>
      </w:r>
      <w:r>
        <w:rPr>
          <w:spacing w:val="-6"/>
          <w:sz w:val="18"/>
        </w:rPr>
        <w:t> </w:t>
      </w:r>
      <w:r>
        <w:rPr>
          <w:sz w:val="18"/>
        </w:rPr>
        <w:t>Council</w:t>
      </w:r>
      <w:r>
        <w:rPr>
          <w:spacing w:val="-6"/>
          <w:sz w:val="18"/>
        </w:rPr>
        <w:t> </w:t>
      </w:r>
      <w:r>
        <w:rPr>
          <w:sz w:val="18"/>
        </w:rPr>
        <w:t>on</w:t>
      </w:r>
      <w:r>
        <w:rPr>
          <w:spacing w:val="-6"/>
          <w:sz w:val="18"/>
        </w:rPr>
        <w:t> </w:t>
      </w:r>
      <w:r>
        <w:rPr>
          <w:sz w:val="18"/>
        </w:rPr>
        <w:t>the</w:t>
      </w:r>
      <w:r>
        <w:rPr>
          <w:spacing w:val="-6"/>
          <w:sz w:val="18"/>
        </w:rPr>
        <w:t> </w:t>
      </w:r>
      <w:r>
        <w:rPr>
          <w:sz w:val="18"/>
        </w:rPr>
        <w:t>adequate</w:t>
      </w:r>
      <w:r>
        <w:rPr>
          <w:spacing w:val="-6"/>
          <w:sz w:val="18"/>
        </w:rPr>
        <w:t> </w:t>
      </w:r>
      <w:r>
        <w:rPr>
          <w:sz w:val="18"/>
        </w:rPr>
        <w:t>protection</w:t>
      </w:r>
      <w:r>
        <w:rPr>
          <w:spacing w:val="-6"/>
          <w:sz w:val="18"/>
        </w:rPr>
        <w:t> </w:t>
      </w:r>
      <w:r>
        <w:rPr>
          <w:sz w:val="18"/>
        </w:rPr>
        <w:t>of</w:t>
      </w:r>
      <w:r>
        <w:rPr>
          <w:spacing w:val="-6"/>
          <w:sz w:val="18"/>
        </w:rPr>
        <w:t> </w:t>
      </w:r>
      <w:r>
        <w:rPr>
          <w:sz w:val="18"/>
        </w:rPr>
        <w:t>personal</w:t>
      </w:r>
      <w:r>
        <w:rPr>
          <w:spacing w:val="-6"/>
          <w:sz w:val="18"/>
        </w:rPr>
        <w:t> </w:t>
      </w:r>
      <w:r>
        <w:rPr>
          <w:sz w:val="18"/>
        </w:rPr>
        <w:t>data</w:t>
      </w:r>
      <w:r>
        <w:rPr>
          <w:spacing w:val="-6"/>
          <w:sz w:val="18"/>
        </w:rPr>
        <w:t> </w:t>
      </w:r>
      <w:r>
        <w:rPr>
          <w:sz w:val="18"/>
        </w:rPr>
        <w:t>by</w:t>
      </w:r>
      <w:r>
        <w:rPr>
          <w:spacing w:val="-6"/>
          <w:sz w:val="18"/>
        </w:rPr>
        <w:t> </w:t>
      </w:r>
      <w:r>
        <w:rPr>
          <w:sz w:val="18"/>
        </w:rPr>
        <w:t>the</w:t>
      </w:r>
      <w:r>
        <w:rPr>
          <w:spacing w:val="-6"/>
          <w:sz w:val="18"/>
        </w:rPr>
        <w:t> </w:t>
      </w:r>
      <w:r>
        <w:rPr>
          <w:sz w:val="18"/>
        </w:rPr>
        <w:t>United</w:t>
      </w:r>
      <w:r>
        <w:rPr>
          <w:spacing w:val="-6"/>
          <w:sz w:val="18"/>
        </w:rPr>
        <w:t> </w:t>
      </w:r>
      <w:r>
        <w:rPr>
          <w:sz w:val="18"/>
        </w:rPr>
        <w:t>Kingdom,</w:t>
      </w:r>
      <w:r>
        <w:rPr>
          <w:spacing w:val="-6"/>
          <w:sz w:val="18"/>
        </w:rPr>
        <w:t> </w:t>
      </w:r>
      <w:r>
        <w:rPr>
          <w:sz w:val="18"/>
        </w:rPr>
        <w:t>28</w:t>
      </w:r>
      <w:r>
        <w:rPr>
          <w:spacing w:val="-6"/>
          <w:sz w:val="18"/>
        </w:rPr>
        <w:t> </w:t>
      </w:r>
      <w:r>
        <w:rPr>
          <w:sz w:val="18"/>
        </w:rPr>
        <w:t>June</w:t>
      </w:r>
      <w:r>
        <w:rPr>
          <w:spacing w:val="-6"/>
          <w:sz w:val="18"/>
        </w:rPr>
        <w:t> </w:t>
      </w:r>
      <w:r>
        <w:rPr>
          <w:sz w:val="18"/>
        </w:rPr>
        <w:t>2021.</w:t>
      </w:r>
      <w:r>
        <w:rPr>
          <w:spacing w:val="-6"/>
          <w:sz w:val="18"/>
        </w:rPr>
        <w:t> </w:t>
      </w:r>
      <w:r>
        <w:rPr>
          <w:sz w:val="18"/>
        </w:rPr>
        <w:t>Commission</w:t>
      </w:r>
      <w:r>
        <w:rPr>
          <w:spacing w:val="-6"/>
          <w:sz w:val="18"/>
        </w:rPr>
        <w:t> </w:t>
      </w:r>
      <w:r>
        <w:rPr>
          <w:sz w:val="18"/>
        </w:rPr>
        <w:t>Implementing Decision (EU) 2021/1773, pursuant to Directive (EU) 2016/680 of the EU Parliament and of the Council on the adequate protection of personal data by the United Kingdom, 28 June 2021.</w:t>
      </w:r>
    </w:p>
    <w:p>
      <w:pPr>
        <w:pStyle w:val="ListParagraph"/>
        <w:numPr>
          <w:ilvl w:val="0"/>
          <w:numId w:val="11"/>
        </w:numPr>
        <w:tabs>
          <w:tab w:pos="1853" w:val="left" w:leader="none"/>
        </w:tabs>
        <w:spacing w:line="217" w:lineRule="exact" w:before="0" w:after="0"/>
        <w:ind w:left="1853" w:right="0" w:hanging="720"/>
        <w:jc w:val="left"/>
        <w:rPr>
          <w:sz w:val="18"/>
        </w:rPr>
      </w:pPr>
      <w:r>
        <w:rPr>
          <w:sz w:val="18"/>
        </w:rPr>
        <w:t>Ibid;</w:t>
      </w:r>
      <w:r>
        <w:rPr>
          <w:spacing w:val="-5"/>
          <w:sz w:val="18"/>
        </w:rPr>
        <w:t> </w:t>
      </w:r>
      <w:r>
        <w:rPr>
          <w:sz w:val="18"/>
        </w:rPr>
        <w:t>EU</w:t>
      </w:r>
      <w:r>
        <w:rPr>
          <w:spacing w:val="-5"/>
          <w:sz w:val="18"/>
        </w:rPr>
        <w:t> </w:t>
      </w:r>
      <w:r>
        <w:rPr>
          <w:sz w:val="18"/>
        </w:rPr>
        <w:t>Commission</w:t>
      </w:r>
      <w:r>
        <w:rPr>
          <w:spacing w:val="-6"/>
          <w:sz w:val="18"/>
        </w:rPr>
        <w:t> </w:t>
      </w:r>
      <w:r>
        <w:rPr>
          <w:sz w:val="18"/>
        </w:rPr>
        <w:t>‘Press</w:t>
      </w:r>
      <w:r>
        <w:rPr>
          <w:spacing w:val="-5"/>
          <w:sz w:val="18"/>
        </w:rPr>
        <w:t> </w:t>
      </w:r>
      <w:r>
        <w:rPr>
          <w:sz w:val="18"/>
        </w:rPr>
        <w:t>Release:</w:t>
      </w:r>
      <w:r>
        <w:rPr>
          <w:spacing w:val="-5"/>
          <w:sz w:val="18"/>
        </w:rPr>
        <w:t> </w:t>
      </w:r>
      <w:r>
        <w:rPr>
          <w:sz w:val="18"/>
        </w:rPr>
        <w:t>Data</w:t>
      </w:r>
      <w:r>
        <w:rPr>
          <w:spacing w:val="-6"/>
          <w:sz w:val="18"/>
        </w:rPr>
        <w:t> </w:t>
      </w:r>
      <w:r>
        <w:rPr>
          <w:sz w:val="18"/>
        </w:rPr>
        <w:t>protection:</w:t>
      </w:r>
      <w:r>
        <w:rPr>
          <w:spacing w:val="-5"/>
          <w:sz w:val="18"/>
        </w:rPr>
        <w:t> </w:t>
      </w:r>
      <w:r>
        <w:rPr>
          <w:sz w:val="18"/>
        </w:rPr>
        <w:t>Commission</w:t>
      </w:r>
      <w:r>
        <w:rPr>
          <w:spacing w:val="-5"/>
          <w:sz w:val="18"/>
        </w:rPr>
        <w:t> </w:t>
      </w:r>
      <w:r>
        <w:rPr>
          <w:sz w:val="18"/>
        </w:rPr>
        <w:t>adopts</w:t>
      </w:r>
      <w:r>
        <w:rPr>
          <w:spacing w:val="-6"/>
          <w:sz w:val="18"/>
        </w:rPr>
        <w:t> </w:t>
      </w:r>
      <w:r>
        <w:rPr>
          <w:sz w:val="18"/>
        </w:rPr>
        <w:t>adequacy</w:t>
      </w:r>
      <w:r>
        <w:rPr>
          <w:spacing w:val="-5"/>
          <w:sz w:val="18"/>
        </w:rPr>
        <w:t> </w:t>
      </w:r>
      <w:r>
        <w:rPr>
          <w:sz w:val="18"/>
        </w:rPr>
        <w:t>decisions</w:t>
      </w:r>
      <w:r>
        <w:rPr>
          <w:spacing w:val="-6"/>
          <w:sz w:val="18"/>
        </w:rPr>
        <w:t> </w:t>
      </w:r>
      <w:r>
        <w:rPr>
          <w:sz w:val="18"/>
        </w:rPr>
        <w:t>for</w:t>
      </w:r>
      <w:r>
        <w:rPr>
          <w:spacing w:val="-4"/>
          <w:sz w:val="18"/>
        </w:rPr>
        <w:t> </w:t>
      </w:r>
      <w:r>
        <w:rPr>
          <w:sz w:val="18"/>
        </w:rPr>
        <w:t>the</w:t>
      </w:r>
      <w:r>
        <w:rPr>
          <w:spacing w:val="-5"/>
          <w:sz w:val="18"/>
        </w:rPr>
        <w:t> </w:t>
      </w:r>
      <w:r>
        <w:rPr>
          <w:sz w:val="18"/>
        </w:rPr>
        <w:t>UK’,</w:t>
      </w:r>
      <w:r>
        <w:rPr>
          <w:spacing w:val="-5"/>
          <w:sz w:val="18"/>
        </w:rPr>
        <w:t> </w:t>
      </w:r>
      <w:r>
        <w:rPr>
          <w:sz w:val="18"/>
        </w:rPr>
        <w:t>28</w:t>
      </w:r>
      <w:r>
        <w:rPr>
          <w:spacing w:val="-5"/>
          <w:sz w:val="18"/>
        </w:rPr>
        <w:t> </w:t>
      </w:r>
      <w:r>
        <w:rPr>
          <w:sz w:val="18"/>
        </w:rPr>
        <w:t>June</w:t>
      </w:r>
      <w:r>
        <w:rPr>
          <w:spacing w:val="-5"/>
          <w:sz w:val="18"/>
        </w:rPr>
        <w:t> </w:t>
      </w:r>
      <w:r>
        <w:rPr>
          <w:spacing w:val="-2"/>
          <w:sz w:val="18"/>
        </w:rPr>
        <w:t>2021.</w:t>
      </w:r>
    </w:p>
    <w:p>
      <w:pPr>
        <w:pStyle w:val="ListParagraph"/>
        <w:numPr>
          <w:ilvl w:val="0"/>
          <w:numId w:val="11"/>
        </w:numPr>
        <w:tabs>
          <w:tab w:pos="1853" w:val="left" w:leader="none"/>
        </w:tabs>
        <w:spacing w:line="235" w:lineRule="auto" w:before="1" w:after="0"/>
        <w:ind w:left="1853" w:right="1168" w:hanging="720"/>
        <w:jc w:val="left"/>
        <w:rPr>
          <w:sz w:val="18"/>
        </w:rPr>
      </w:pPr>
      <w:r>
        <w:rPr>
          <w:sz w:val="18"/>
        </w:rPr>
        <w:t>All</w:t>
      </w:r>
      <w:r>
        <w:rPr>
          <w:spacing w:val="-6"/>
          <w:sz w:val="18"/>
        </w:rPr>
        <w:t> </w:t>
      </w:r>
      <w:r>
        <w:rPr>
          <w:sz w:val="18"/>
        </w:rPr>
        <w:t>references</w:t>
      </w:r>
      <w:r>
        <w:rPr>
          <w:spacing w:val="-6"/>
          <w:sz w:val="18"/>
        </w:rPr>
        <w:t> </w:t>
      </w:r>
      <w:r>
        <w:rPr>
          <w:sz w:val="18"/>
        </w:rPr>
        <w:t>to</w:t>
      </w:r>
      <w:r>
        <w:rPr>
          <w:spacing w:val="-6"/>
          <w:sz w:val="18"/>
        </w:rPr>
        <w:t> </w:t>
      </w:r>
      <w:r>
        <w:rPr>
          <w:sz w:val="18"/>
        </w:rPr>
        <w:t>the</w:t>
      </w:r>
      <w:r>
        <w:rPr>
          <w:spacing w:val="-6"/>
          <w:sz w:val="18"/>
        </w:rPr>
        <w:t> </w:t>
      </w:r>
      <w:r>
        <w:rPr>
          <w:sz w:val="18"/>
        </w:rPr>
        <w:t>Data</w:t>
      </w:r>
      <w:r>
        <w:rPr>
          <w:spacing w:val="-6"/>
          <w:sz w:val="18"/>
        </w:rPr>
        <w:t> </w:t>
      </w:r>
      <w:r>
        <w:rPr>
          <w:sz w:val="18"/>
        </w:rPr>
        <w:t>Protection</w:t>
      </w:r>
      <w:r>
        <w:rPr>
          <w:spacing w:val="-6"/>
          <w:sz w:val="18"/>
        </w:rPr>
        <w:t> </w:t>
      </w:r>
      <w:r>
        <w:rPr>
          <w:sz w:val="18"/>
        </w:rPr>
        <w:t>and</w:t>
      </w:r>
      <w:r>
        <w:rPr>
          <w:spacing w:val="-6"/>
          <w:sz w:val="18"/>
        </w:rPr>
        <w:t> </w:t>
      </w:r>
      <w:r>
        <w:rPr>
          <w:sz w:val="18"/>
        </w:rPr>
        <w:t>Digital</w:t>
      </w:r>
      <w:r>
        <w:rPr>
          <w:spacing w:val="-6"/>
          <w:sz w:val="18"/>
        </w:rPr>
        <w:t> </w:t>
      </w:r>
      <w:r>
        <w:rPr>
          <w:sz w:val="18"/>
        </w:rPr>
        <w:t>Information</w:t>
      </w:r>
      <w:r>
        <w:rPr>
          <w:spacing w:val="-6"/>
          <w:sz w:val="18"/>
        </w:rPr>
        <w:t> </w:t>
      </w:r>
      <w:r>
        <w:rPr>
          <w:sz w:val="18"/>
        </w:rPr>
        <w:t>Bill</w:t>
      </w:r>
      <w:r>
        <w:rPr>
          <w:spacing w:val="-6"/>
          <w:sz w:val="18"/>
        </w:rPr>
        <w:t> </w:t>
      </w:r>
      <w:r>
        <w:rPr>
          <w:sz w:val="18"/>
        </w:rPr>
        <w:t>relate</w:t>
      </w:r>
      <w:r>
        <w:rPr>
          <w:spacing w:val="-6"/>
          <w:sz w:val="18"/>
        </w:rPr>
        <w:t> </w:t>
      </w:r>
      <w:r>
        <w:rPr>
          <w:sz w:val="18"/>
        </w:rPr>
        <w:t>to</w:t>
      </w:r>
      <w:r>
        <w:rPr>
          <w:spacing w:val="-6"/>
          <w:sz w:val="18"/>
        </w:rPr>
        <w:t> </w:t>
      </w:r>
      <w:r>
        <w:rPr>
          <w:sz w:val="18"/>
        </w:rPr>
        <w:t>the</w:t>
      </w:r>
      <w:r>
        <w:rPr>
          <w:spacing w:val="-6"/>
          <w:sz w:val="18"/>
        </w:rPr>
        <w:t> </w:t>
      </w:r>
      <w:r>
        <w:rPr>
          <w:sz w:val="18"/>
        </w:rPr>
        <w:t>version</w:t>
      </w:r>
      <w:r>
        <w:rPr>
          <w:spacing w:val="-6"/>
          <w:sz w:val="18"/>
        </w:rPr>
        <w:t> </w:t>
      </w:r>
      <w:r>
        <w:rPr>
          <w:sz w:val="18"/>
        </w:rPr>
        <w:t>as</w:t>
      </w:r>
      <w:r>
        <w:rPr>
          <w:spacing w:val="-6"/>
          <w:sz w:val="18"/>
        </w:rPr>
        <w:t> </w:t>
      </w:r>
      <w:r>
        <w:rPr>
          <w:sz w:val="18"/>
        </w:rPr>
        <w:t>presented</w:t>
      </w:r>
      <w:r>
        <w:rPr>
          <w:spacing w:val="-6"/>
          <w:sz w:val="18"/>
        </w:rPr>
        <w:t> </w:t>
      </w:r>
      <w:r>
        <w:rPr>
          <w:sz w:val="18"/>
        </w:rPr>
        <w:t>in</w:t>
      </w:r>
      <w:r>
        <w:rPr>
          <w:spacing w:val="-6"/>
          <w:sz w:val="18"/>
        </w:rPr>
        <w:t> </w:t>
      </w:r>
      <w:r>
        <w:rPr>
          <w:sz w:val="18"/>
        </w:rPr>
        <w:t>the</w:t>
      </w:r>
      <w:r>
        <w:rPr>
          <w:spacing w:val="-6"/>
          <w:sz w:val="18"/>
        </w:rPr>
        <w:t> </w:t>
      </w:r>
      <w:r>
        <w:rPr>
          <w:sz w:val="18"/>
        </w:rPr>
        <w:t>House</w:t>
      </w:r>
      <w:r>
        <w:rPr>
          <w:spacing w:val="-6"/>
          <w:sz w:val="18"/>
        </w:rPr>
        <w:t> </w:t>
      </w:r>
      <w:r>
        <w:rPr>
          <w:sz w:val="18"/>
        </w:rPr>
        <w:t>of</w:t>
      </w:r>
      <w:r>
        <w:rPr>
          <w:spacing w:val="-6"/>
          <w:sz w:val="18"/>
        </w:rPr>
        <w:t> </w:t>
      </w:r>
      <w:r>
        <w:rPr>
          <w:sz w:val="18"/>
        </w:rPr>
        <w:t>Lords</w:t>
      </w:r>
      <w:r>
        <w:rPr>
          <w:spacing w:val="-6"/>
          <w:sz w:val="18"/>
        </w:rPr>
        <w:t> </w:t>
      </w:r>
      <w:r>
        <w:rPr>
          <w:sz w:val="18"/>
        </w:rPr>
        <w:t>in December 2023 - HL Bill 30 (as brought from the Commons).</w:t>
      </w:r>
    </w:p>
    <w:p>
      <w:pPr>
        <w:pStyle w:val="ListParagraph"/>
        <w:numPr>
          <w:ilvl w:val="0"/>
          <w:numId w:val="11"/>
        </w:numPr>
        <w:tabs>
          <w:tab w:pos="1853" w:val="left" w:leader="none"/>
        </w:tabs>
        <w:spacing w:line="235" w:lineRule="auto" w:before="2" w:after="0"/>
        <w:ind w:left="1853" w:right="1585" w:hanging="720"/>
        <w:jc w:val="left"/>
        <w:rPr>
          <w:sz w:val="18"/>
        </w:rPr>
      </w:pPr>
      <w:r>
        <w:rPr>
          <w:sz w:val="18"/>
        </w:rPr>
        <w:t>Department</w:t>
      </w:r>
      <w:r>
        <w:rPr>
          <w:spacing w:val="-6"/>
          <w:sz w:val="18"/>
        </w:rPr>
        <w:t> </w:t>
      </w:r>
      <w:r>
        <w:rPr>
          <w:sz w:val="18"/>
        </w:rPr>
        <w:t>of</w:t>
      </w:r>
      <w:r>
        <w:rPr>
          <w:spacing w:val="-7"/>
          <w:sz w:val="18"/>
        </w:rPr>
        <w:t> </w:t>
      </w:r>
      <w:r>
        <w:rPr>
          <w:sz w:val="18"/>
        </w:rPr>
        <w:t>Science,</w:t>
      </w:r>
      <w:r>
        <w:rPr>
          <w:spacing w:val="-6"/>
          <w:sz w:val="18"/>
        </w:rPr>
        <w:t> </w:t>
      </w:r>
      <w:r>
        <w:rPr>
          <w:sz w:val="18"/>
        </w:rPr>
        <w:t>Innovation</w:t>
      </w:r>
      <w:r>
        <w:rPr>
          <w:spacing w:val="-7"/>
          <w:sz w:val="18"/>
        </w:rPr>
        <w:t> </w:t>
      </w:r>
      <w:r>
        <w:rPr>
          <w:sz w:val="18"/>
        </w:rPr>
        <w:t>and</w:t>
      </w:r>
      <w:r>
        <w:rPr>
          <w:spacing w:val="-7"/>
          <w:sz w:val="18"/>
        </w:rPr>
        <w:t> </w:t>
      </w:r>
      <w:r>
        <w:rPr>
          <w:sz w:val="18"/>
        </w:rPr>
        <w:t>Technology,</w:t>
      </w:r>
      <w:r>
        <w:rPr>
          <w:spacing w:val="-6"/>
          <w:sz w:val="18"/>
        </w:rPr>
        <w:t> </w:t>
      </w:r>
      <w:r>
        <w:rPr>
          <w:sz w:val="18"/>
        </w:rPr>
        <w:t>‘Data</w:t>
      </w:r>
      <w:r>
        <w:rPr>
          <w:spacing w:val="-7"/>
          <w:sz w:val="18"/>
        </w:rPr>
        <w:t> </w:t>
      </w:r>
      <w:r>
        <w:rPr>
          <w:sz w:val="18"/>
        </w:rPr>
        <w:t>Protection</w:t>
      </w:r>
      <w:r>
        <w:rPr>
          <w:spacing w:val="-7"/>
          <w:sz w:val="18"/>
        </w:rPr>
        <w:t> </w:t>
      </w:r>
      <w:r>
        <w:rPr>
          <w:sz w:val="18"/>
        </w:rPr>
        <w:t>and</w:t>
      </w:r>
      <w:r>
        <w:rPr>
          <w:spacing w:val="-7"/>
          <w:sz w:val="18"/>
        </w:rPr>
        <w:t> </w:t>
      </w:r>
      <w:r>
        <w:rPr>
          <w:sz w:val="18"/>
        </w:rPr>
        <w:t>Digital</w:t>
      </w:r>
      <w:r>
        <w:rPr>
          <w:spacing w:val="-7"/>
          <w:sz w:val="18"/>
        </w:rPr>
        <w:t> </w:t>
      </w:r>
      <w:r>
        <w:rPr>
          <w:sz w:val="18"/>
        </w:rPr>
        <w:t>Information</w:t>
      </w:r>
      <w:r>
        <w:rPr>
          <w:spacing w:val="-7"/>
          <w:sz w:val="18"/>
        </w:rPr>
        <w:t> </w:t>
      </w:r>
      <w:r>
        <w:rPr>
          <w:sz w:val="18"/>
        </w:rPr>
        <w:t>(No</w:t>
      </w:r>
      <w:r>
        <w:rPr>
          <w:spacing w:val="-7"/>
          <w:sz w:val="18"/>
        </w:rPr>
        <w:t> </w:t>
      </w:r>
      <w:r>
        <w:rPr>
          <w:sz w:val="18"/>
        </w:rPr>
        <w:t>2)</w:t>
      </w:r>
      <w:r>
        <w:rPr>
          <w:spacing w:val="-7"/>
          <w:sz w:val="18"/>
        </w:rPr>
        <w:t> </w:t>
      </w:r>
      <w:r>
        <w:rPr>
          <w:sz w:val="18"/>
        </w:rPr>
        <w:t>Bill</w:t>
      </w:r>
      <w:r>
        <w:rPr>
          <w:spacing w:val="-7"/>
          <w:sz w:val="18"/>
        </w:rPr>
        <w:t> </w:t>
      </w:r>
      <w:r>
        <w:rPr>
          <w:sz w:val="18"/>
        </w:rPr>
        <w:t>-</w:t>
      </w:r>
      <w:r>
        <w:rPr>
          <w:spacing w:val="-7"/>
          <w:sz w:val="18"/>
        </w:rPr>
        <w:t> </w:t>
      </w:r>
      <w:r>
        <w:rPr>
          <w:sz w:val="18"/>
        </w:rPr>
        <w:t>Explanatory Notes’ (DSIT, 2023), at para 1.</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para</w:t>
      </w:r>
      <w:r>
        <w:rPr>
          <w:spacing w:val="-2"/>
          <w:sz w:val="18"/>
        </w:rPr>
        <w:t> </w:t>
      </w:r>
      <w:r>
        <w:rPr>
          <w:spacing w:val="-5"/>
          <w:sz w:val="18"/>
        </w:rPr>
        <w:t>2.</w:t>
      </w:r>
    </w:p>
    <w:p>
      <w:pPr>
        <w:pStyle w:val="ListParagraph"/>
        <w:numPr>
          <w:ilvl w:val="0"/>
          <w:numId w:val="11"/>
        </w:numPr>
        <w:tabs>
          <w:tab w:pos="1853" w:val="left" w:leader="none"/>
        </w:tabs>
        <w:spacing w:line="235" w:lineRule="auto" w:before="1" w:after="0"/>
        <w:ind w:left="1853" w:right="1177" w:hanging="720"/>
        <w:jc w:val="left"/>
        <w:rPr>
          <w:sz w:val="18"/>
        </w:rPr>
      </w:pPr>
      <w:r>
        <w:rPr>
          <w:sz w:val="18"/>
        </w:rPr>
        <w:t>Clause</w:t>
      </w:r>
      <w:r>
        <w:rPr>
          <w:spacing w:val="-5"/>
          <w:sz w:val="18"/>
        </w:rPr>
        <w:t> </w:t>
      </w:r>
      <w:r>
        <w:rPr>
          <w:sz w:val="18"/>
        </w:rPr>
        <w:t>21</w:t>
      </w:r>
      <w:r>
        <w:rPr>
          <w:spacing w:val="-5"/>
          <w:sz w:val="18"/>
        </w:rPr>
        <w:t> </w:t>
      </w:r>
      <w:r>
        <w:rPr>
          <w:sz w:val="18"/>
        </w:rPr>
        <w:t>(Law</w:t>
      </w:r>
      <w:r>
        <w:rPr>
          <w:spacing w:val="-5"/>
          <w:sz w:val="18"/>
        </w:rPr>
        <w:t> </w:t>
      </w:r>
      <w:r>
        <w:rPr>
          <w:sz w:val="18"/>
        </w:rPr>
        <w:t>enforcement</w:t>
      </w:r>
      <w:r>
        <w:rPr>
          <w:spacing w:val="-5"/>
          <w:sz w:val="18"/>
        </w:rPr>
        <w:t> </w:t>
      </w:r>
      <w:r>
        <w:rPr>
          <w:sz w:val="18"/>
        </w:rPr>
        <w:t>processing</w:t>
      </w:r>
      <w:r>
        <w:rPr>
          <w:spacing w:val="-5"/>
          <w:sz w:val="18"/>
        </w:rPr>
        <w:t> </w:t>
      </w:r>
      <w:r>
        <w:rPr>
          <w:sz w:val="18"/>
        </w:rPr>
        <w:t>and</w:t>
      </w:r>
      <w:r>
        <w:rPr>
          <w:spacing w:val="-5"/>
          <w:sz w:val="18"/>
        </w:rPr>
        <w:t> </w:t>
      </w:r>
      <w:r>
        <w:rPr>
          <w:sz w:val="18"/>
        </w:rPr>
        <w:t>codes</w:t>
      </w:r>
      <w:r>
        <w:rPr>
          <w:spacing w:val="-5"/>
          <w:sz w:val="18"/>
        </w:rPr>
        <w:t> </w:t>
      </w:r>
      <w:r>
        <w:rPr>
          <w:sz w:val="18"/>
        </w:rPr>
        <w:t>of</w:t>
      </w:r>
      <w:r>
        <w:rPr>
          <w:spacing w:val="-5"/>
          <w:sz w:val="18"/>
        </w:rPr>
        <w:t> </w:t>
      </w:r>
      <w:r>
        <w:rPr>
          <w:sz w:val="18"/>
        </w:rPr>
        <w:t>conduct)</w:t>
      </w:r>
      <w:r>
        <w:rPr>
          <w:spacing w:val="-5"/>
          <w:sz w:val="18"/>
        </w:rPr>
        <w:t> </w:t>
      </w:r>
      <w:r>
        <w:rPr>
          <w:sz w:val="18"/>
        </w:rPr>
        <w:t>and</w:t>
      </w:r>
      <w:r>
        <w:rPr>
          <w:spacing w:val="-5"/>
          <w:sz w:val="18"/>
        </w:rPr>
        <w:t> </w:t>
      </w:r>
      <w:r>
        <w:rPr>
          <w:sz w:val="18"/>
        </w:rPr>
        <w:t>Clause</w:t>
      </w:r>
      <w:r>
        <w:rPr>
          <w:spacing w:val="-5"/>
          <w:sz w:val="18"/>
        </w:rPr>
        <w:t> </w:t>
      </w:r>
      <w:r>
        <w:rPr>
          <w:sz w:val="18"/>
        </w:rPr>
        <w:t>27</w:t>
      </w:r>
      <w:r>
        <w:rPr>
          <w:spacing w:val="-5"/>
          <w:sz w:val="18"/>
        </w:rPr>
        <w:t> </w:t>
      </w:r>
      <w:r>
        <w:rPr>
          <w:sz w:val="18"/>
        </w:rPr>
        <w:t>(Joint</w:t>
      </w:r>
      <w:r>
        <w:rPr>
          <w:spacing w:val="-5"/>
          <w:sz w:val="18"/>
        </w:rPr>
        <w:t> </w:t>
      </w:r>
      <w:r>
        <w:rPr>
          <w:sz w:val="18"/>
        </w:rPr>
        <w:t>processing</w:t>
      </w:r>
      <w:r>
        <w:rPr>
          <w:spacing w:val="-5"/>
          <w:sz w:val="18"/>
        </w:rPr>
        <w:t> </w:t>
      </w:r>
      <w:r>
        <w:rPr>
          <w:sz w:val="18"/>
        </w:rPr>
        <w:t>by</w:t>
      </w:r>
      <w:r>
        <w:rPr>
          <w:spacing w:val="-5"/>
          <w:sz w:val="18"/>
        </w:rPr>
        <w:t> </w:t>
      </w:r>
      <w:r>
        <w:rPr>
          <w:sz w:val="18"/>
        </w:rPr>
        <w:t>intelligence</w:t>
      </w:r>
      <w:r>
        <w:rPr>
          <w:spacing w:val="-5"/>
          <w:sz w:val="18"/>
        </w:rPr>
        <w:t> </w:t>
      </w:r>
      <w:r>
        <w:rPr>
          <w:sz w:val="18"/>
        </w:rPr>
        <w:t>services</w:t>
      </w:r>
      <w:r>
        <w:rPr>
          <w:spacing w:val="-5"/>
          <w:sz w:val="18"/>
        </w:rPr>
        <w:t> </w:t>
      </w:r>
      <w:r>
        <w:rPr>
          <w:sz w:val="18"/>
        </w:rPr>
        <w:t>and competent authorities), Data Protection and Digital Information Bill.</w:t>
      </w:r>
    </w:p>
    <w:p>
      <w:pPr>
        <w:pStyle w:val="ListParagraph"/>
        <w:numPr>
          <w:ilvl w:val="0"/>
          <w:numId w:val="11"/>
        </w:numPr>
        <w:tabs>
          <w:tab w:pos="1853" w:val="left" w:leader="none"/>
        </w:tabs>
        <w:spacing w:line="235" w:lineRule="auto" w:before="2" w:after="0"/>
        <w:ind w:left="1853" w:right="1486" w:hanging="720"/>
        <w:jc w:val="left"/>
        <w:rPr>
          <w:sz w:val="18"/>
        </w:rPr>
      </w:pP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‘Briefing</w:t>
      </w:r>
      <w:r>
        <w:rPr>
          <w:spacing w:val="-4"/>
          <w:sz w:val="18"/>
        </w:rPr>
        <w:t> </w:t>
      </w:r>
      <w:r>
        <w:rPr>
          <w:sz w:val="18"/>
        </w:rPr>
        <w:t>on</w:t>
      </w:r>
      <w:r>
        <w:rPr>
          <w:spacing w:val="-5"/>
          <w:sz w:val="18"/>
        </w:rPr>
        <w:t> </w:t>
      </w:r>
      <w:r>
        <w:rPr>
          <w:sz w:val="18"/>
        </w:rPr>
        <w:t>the</w:t>
      </w:r>
      <w:r>
        <w:rPr>
          <w:spacing w:val="-4"/>
          <w:sz w:val="18"/>
        </w:rPr>
        <w:t> </w:t>
      </w:r>
      <w:r>
        <w:rPr>
          <w:sz w:val="18"/>
        </w:rPr>
        <w:t>Data</w:t>
      </w:r>
      <w:r>
        <w:rPr>
          <w:spacing w:val="-5"/>
          <w:sz w:val="18"/>
        </w:rPr>
        <w:t> </w:t>
      </w:r>
      <w:r>
        <w:rPr>
          <w:sz w:val="18"/>
        </w:rPr>
        <w:t>Protection</w:t>
      </w:r>
      <w:r>
        <w:rPr>
          <w:spacing w:val="-5"/>
          <w:sz w:val="18"/>
        </w:rPr>
        <w:t> </w:t>
      </w:r>
      <w:r>
        <w:rPr>
          <w:sz w:val="18"/>
        </w:rPr>
        <w:t>and</w:t>
      </w:r>
      <w:r>
        <w:rPr>
          <w:spacing w:val="-5"/>
          <w:sz w:val="18"/>
        </w:rPr>
        <w:t> </w:t>
      </w:r>
      <w:r>
        <w:rPr>
          <w:sz w:val="18"/>
        </w:rPr>
        <w:t>Digital</w:t>
      </w:r>
      <w:r>
        <w:rPr>
          <w:spacing w:val="-5"/>
          <w:sz w:val="18"/>
        </w:rPr>
        <w:t> </w:t>
      </w:r>
      <w:r>
        <w:rPr>
          <w:sz w:val="18"/>
        </w:rPr>
        <w:t>Information</w:t>
      </w:r>
      <w:r>
        <w:rPr>
          <w:spacing w:val="-5"/>
          <w:sz w:val="18"/>
        </w:rPr>
        <w:t> </w:t>
      </w:r>
      <w:r>
        <w:rPr>
          <w:sz w:val="18"/>
        </w:rPr>
        <w:t>Bill’</w:t>
      </w:r>
      <w:r>
        <w:rPr>
          <w:spacing w:val="-4"/>
          <w:sz w:val="18"/>
        </w:rPr>
        <w:t> </w:t>
      </w:r>
      <w:r>
        <w:rPr>
          <w:sz w:val="18"/>
        </w:rPr>
        <w:t>(NIHRC,</w:t>
      </w:r>
      <w:r>
        <w:rPr>
          <w:spacing w:val="-4"/>
          <w:sz w:val="18"/>
        </w:rPr>
        <w:t> </w:t>
      </w:r>
      <w:r>
        <w:rPr>
          <w:sz w:val="18"/>
        </w:rPr>
        <w:t>2024),</w:t>
      </w:r>
      <w:r>
        <w:rPr>
          <w:spacing w:val="-4"/>
          <w:sz w:val="18"/>
        </w:rPr>
        <w:t> </w:t>
      </w:r>
      <w:r>
        <w:rPr>
          <w:sz w:val="18"/>
        </w:rPr>
        <w:t>at</w:t>
      </w:r>
      <w:r>
        <w:rPr>
          <w:spacing w:val="-4"/>
          <w:sz w:val="18"/>
        </w:rPr>
        <w:t> </w:t>
      </w:r>
      <w:r>
        <w:rPr>
          <w:sz w:val="18"/>
        </w:rPr>
        <w:t>para</w:t>
      </w:r>
      <w:r>
        <w:rPr>
          <w:spacing w:val="-5"/>
          <w:sz w:val="18"/>
        </w:rPr>
        <w:t> </w:t>
      </w:r>
      <w:r>
        <w:rPr>
          <w:sz w:val="18"/>
        </w:rPr>
        <w:t>3.9; Equality Commission for NI, ‘Submission on the Data Protection and Digital Information Bill’ (ECNI, 2024).</w:t>
      </w:r>
    </w:p>
    <w:p>
      <w:pPr>
        <w:spacing w:after="0" w:line="235" w:lineRule="auto"/>
        <w:jc w:val="left"/>
        <w:rPr>
          <w:sz w:val="18"/>
        </w:rPr>
        <w:sectPr>
          <w:pgSz w:w="11910" w:h="16840"/>
          <w:pgMar w:header="496" w:footer="367" w:top="1220" w:bottom="560" w:left="0" w:right="0"/>
        </w:sectPr>
      </w:pPr>
    </w:p>
    <w:p>
      <w:pPr>
        <w:pStyle w:val="BodyText"/>
        <w:spacing w:before="198"/>
      </w:pPr>
    </w:p>
    <w:p>
      <w:pPr>
        <w:pStyle w:val="ListParagraph"/>
        <w:numPr>
          <w:ilvl w:val="1"/>
          <w:numId w:val="7"/>
        </w:numPr>
        <w:tabs>
          <w:tab w:pos="1853" w:val="left" w:leader="none"/>
        </w:tabs>
        <w:spacing w:line="225" w:lineRule="auto" w:before="0" w:after="0"/>
        <w:ind w:left="1853" w:right="1824" w:hanging="720"/>
        <w:jc w:val="left"/>
        <w:rPr>
          <w:sz w:val="28"/>
        </w:rPr>
      </w:pPr>
      <w:r>
        <w:rPr>
          <w:sz w:val="28"/>
        </w:rPr>
        <w:t>The</w:t>
      </w:r>
      <w:r>
        <w:rPr>
          <w:spacing w:val="-5"/>
          <w:sz w:val="28"/>
        </w:rPr>
        <w:t> </w:t>
      </w:r>
      <w:r>
        <w:rPr>
          <w:sz w:val="28"/>
        </w:rPr>
        <w:t>NIHRC</w:t>
      </w:r>
      <w:r>
        <w:rPr>
          <w:spacing w:val="-6"/>
          <w:sz w:val="28"/>
        </w:rPr>
        <w:t> </w:t>
      </w:r>
      <w:r>
        <w:rPr>
          <w:sz w:val="28"/>
        </w:rPr>
        <w:t>briefing</w:t>
      </w:r>
      <w:r>
        <w:rPr>
          <w:spacing w:val="-5"/>
          <w:sz w:val="28"/>
        </w:rPr>
        <w:t> </w:t>
      </w:r>
      <w:r>
        <w:rPr>
          <w:sz w:val="28"/>
        </w:rPr>
        <w:t>also</w:t>
      </w:r>
      <w:r>
        <w:rPr>
          <w:spacing w:val="-6"/>
          <w:sz w:val="28"/>
        </w:rPr>
        <w:t> </w:t>
      </w:r>
      <w:r>
        <w:rPr>
          <w:sz w:val="28"/>
        </w:rPr>
        <w:t>cautions</w:t>
      </w:r>
      <w:r>
        <w:rPr>
          <w:spacing w:val="-6"/>
          <w:sz w:val="28"/>
        </w:rPr>
        <w:t> </w:t>
      </w:r>
      <w:r>
        <w:rPr>
          <w:sz w:val="28"/>
        </w:rPr>
        <w:t>that</w:t>
      </w:r>
      <w:r>
        <w:rPr>
          <w:spacing w:val="-5"/>
          <w:sz w:val="28"/>
        </w:rPr>
        <w:t> </w:t>
      </w:r>
      <w:r>
        <w:rPr>
          <w:sz w:val="28"/>
        </w:rPr>
        <w:t>the</w:t>
      </w:r>
      <w:r>
        <w:rPr>
          <w:spacing w:val="-5"/>
          <w:sz w:val="28"/>
        </w:rPr>
        <w:t> </w:t>
      </w:r>
      <w:r>
        <w:rPr>
          <w:sz w:val="28"/>
        </w:rPr>
        <w:t>Bill</w:t>
      </w:r>
      <w:r>
        <w:rPr>
          <w:spacing w:val="-6"/>
          <w:sz w:val="28"/>
        </w:rPr>
        <w:t> </w:t>
      </w:r>
      <w:r>
        <w:rPr>
          <w:sz w:val="28"/>
        </w:rPr>
        <w:t>has</w:t>
      </w:r>
      <w:r>
        <w:rPr>
          <w:spacing w:val="-6"/>
          <w:sz w:val="28"/>
        </w:rPr>
        <w:t> </w:t>
      </w:r>
      <w:r>
        <w:rPr>
          <w:sz w:val="28"/>
        </w:rPr>
        <w:t>the</w:t>
      </w:r>
      <w:r>
        <w:rPr>
          <w:spacing w:val="-5"/>
          <w:sz w:val="28"/>
        </w:rPr>
        <w:t> </w:t>
      </w:r>
      <w:r>
        <w:rPr>
          <w:sz w:val="28"/>
        </w:rPr>
        <w:t>potential</w:t>
      </w:r>
      <w:r>
        <w:rPr>
          <w:spacing w:val="-6"/>
          <w:sz w:val="28"/>
        </w:rPr>
        <w:t> </w:t>
      </w:r>
      <w:r>
        <w:rPr>
          <w:sz w:val="28"/>
        </w:rPr>
        <w:t>to</w:t>
      </w:r>
      <w:r>
        <w:rPr>
          <w:spacing w:val="-6"/>
          <w:sz w:val="28"/>
        </w:rPr>
        <w:t> </w:t>
      </w:r>
      <w:r>
        <w:rPr>
          <w:sz w:val="28"/>
        </w:rPr>
        <w:t>disrupt the data adequacy agreements between the UK and the EU.</w:t>
      </w:r>
      <w:r>
        <w:rPr>
          <w:sz w:val="28"/>
          <w:vertAlign w:val="superscript"/>
        </w:rPr>
        <w:t>718</w:t>
      </w:r>
      <w:r>
        <w:rPr>
          <w:sz w:val="28"/>
          <w:vertAlign w:val="baseline"/>
        </w:rPr>
        <w:t> The data</w:t>
      </w:r>
    </w:p>
    <w:p>
      <w:pPr>
        <w:pStyle w:val="BodyText"/>
        <w:spacing w:line="225" w:lineRule="auto"/>
        <w:ind w:left="1853" w:right="1124"/>
      </w:pPr>
      <w:r>
        <w:rPr/>
        <w:t>adequacy decisions are vital for ensuring that data can continue to flow freely between the UK and the EU. This is particularly important for the purposes of facilitating</w:t>
      </w:r>
      <w:r>
        <w:rPr>
          <w:spacing w:val="-7"/>
        </w:rPr>
        <w:t> </w:t>
      </w:r>
      <w:r>
        <w:rPr/>
        <w:t>the</w:t>
      </w:r>
      <w:r>
        <w:rPr>
          <w:spacing w:val="-7"/>
        </w:rPr>
        <w:t> </w:t>
      </w:r>
      <w:r>
        <w:rPr/>
        <w:t>cross-border</w:t>
      </w:r>
      <w:r>
        <w:rPr>
          <w:spacing w:val="-7"/>
        </w:rPr>
        <w:t> </w:t>
      </w:r>
      <w:r>
        <w:rPr/>
        <w:t>and</w:t>
      </w:r>
      <w:r>
        <w:rPr>
          <w:spacing w:val="-8"/>
        </w:rPr>
        <w:t> </w:t>
      </w:r>
      <w:r>
        <w:rPr/>
        <w:t>all-island</w:t>
      </w:r>
      <w:r>
        <w:rPr>
          <w:spacing w:val="-8"/>
        </w:rPr>
        <w:t> </w:t>
      </w:r>
      <w:r>
        <w:rPr/>
        <w:t>aspects</w:t>
      </w:r>
      <w:r>
        <w:rPr>
          <w:spacing w:val="-8"/>
        </w:rPr>
        <w:t> </w:t>
      </w:r>
      <w:r>
        <w:rPr/>
        <w:t>of</w:t>
      </w:r>
      <w:r>
        <w:rPr>
          <w:spacing w:val="-8"/>
        </w:rPr>
        <w:t> </w:t>
      </w:r>
      <w:r>
        <w:rPr/>
        <w:t>health,</w:t>
      </w:r>
      <w:r>
        <w:rPr>
          <w:spacing w:val="-7"/>
        </w:rPr>
        <w:t> </w:t>
      </w:r>
      <w:r>
        <w:rPr/>
        <w:t>education,</w:t>
      </w:r>
      <w:r>
        <w:rPr>
          <w:spacing w:val="-7"/>
        </w:rPr>
        <w:t> </w:t>
      </w:r>
      <w:r>
        <w:rPr/>
        <w:t>justice, policing, and environmental protection on the island of Ireland.</w:t>
      </w:r>
      <w:r>
        <w:rPr>
          <w:vertAlign w:val="superscript"/>
        </w:rPr>
        <w:t>719</w:t>
      </w:r>
    </w:p>
    <w:p>
      <w:pPr>
        <w:pStyle w:val="ListParagraph"/>
        <w:numPr>
          <w:ilvl w:val="1"/>
          <w:numId w:val="7"/>
        </w:numPr>
        <w:tabs>
          <w:tab w:pos="1853" w:val="left" w:leader="none"/>
        </w:tabs>
        <w:spacing w:line="225" w:lineRule="auto" w:before="313" w:after="0"/>
        <w:ind w:left="1853" w:right="1260" w:hanging="720"/>
        <w:jc w:val="left"/>
        <w:rPr>
          <w:sz w:val="28"/>
        </w:rPr>
      </w:pPr>
      <w:r>
        <w:rPr>
          <w:sz w:val="28"/>
        </w:rPr>
        <w:t>In light of the breadth of the Data Protection and Digital Information Bill, the NIHRC identified some key areas of concern, including automated decision- making (Clause 14); the transfer of data to third countries (Clause 25 and Schedule</w:t>
      </w:r>
      <w:r>
        <w:rPr>
          <w:spacing w:val="-5"/>
          <w:sz w:val="28"/>
        </w:rPr>
        <w:t> </w:t>
      </w:r>
      <w:r>
        <w:rPr>
          <w:sz w:val="28"/>
        </w:rPr>
        <w:t>5);</w:t>
      </w:r>
      <w:r>
        <w:rPr>
          <w:spacing w:val="-5"/>
          <w:sz w:val="28"/>
        </w:rPr>
        <w:t> </w:t>
      </w:r>
      <w:r>
        <w:rPr>
          <w:sz w:val="28"/>
        </w:rPr>
        <w:t>and</w:t>
      </w:r>
      <w:r>
        <w:rPr>
          <w:spacing w:val="-6"/>
          <w:sz w:val="28"/>
        </w:rPr>
        <w:t> </w:t>
      </w:r>
      <w:r>
        <w:rPr>
          <w:sz w:val="28"/>
        </w:rPr>
        <w:t>the</w:t>
      </w:r>
      <w:r>
        <w:rPr>
          <w:spacing w:val="-5"/>
          <w:sz w:val="28"/>
        </w:rPr>
        <w:t> </w:t>
      </w:r>
      <w:r>
        <w:rPr>
          <w:sz w:val="28"/>
        </w:rPr>
        <w:t>processing</w:t>
      </w:r>
      <w:r>
        <w:rPr>
          <w:spacing w:val="-5"/>
          <w:sz w:val="28"/>
        </w:rPr>
        <w:t> </w:t>
      </w:r>
      <w:r>
        <w:rPr>
          <w:sz w:val="28"/>
        </w:rPr>
        <w:t>of</w:t>
      </w:r>
      <w:r>
        <w:rPr>
          <w:spacing w:val="-6"/>
          <w:sz w:val="28"/>
        </w:rPr>
        <w:t> </w:t>
      </w:r>
      <w:r>
        <w:rPr>
          <w:sz w:val="28"/>
        </w:rPr>
        <w:t>personal</w:t>
      </w:r>
      <w:r>
        <w:rPr>
          <w:spacing w:val="-6"/>
          <w:sz w:val="28"/>
        </w:rPr>
        <w:t> </w:t>
      </w:r>
      <w:r>
        <w:rPr>
          <w:sz w:val="28"/>
        </w:rPr>
        <w:t>data</w:t>
      </w:r>
      <w:r>
        <w:rPr>
          <w:spacing w:val="-6"/>
          <w:sz w:val="28"/>
        </w:rPr>
        <w:t> </w:t>
      </w:r>
      <w:r>
        <w:rPr>
          <w:sz w:val="28"/>
        </w:rPr>
        <w:t>for</w:t>
      </w:r>
      <w:r>
        <w:rPr>
          <w:spacing w:val="-5"/>
          <w:sz w:val="28"/>
        </w:rPr>
        <w:t> </w:t>
      </w:r>
      <w:r>
        <w:rPr>
          <w:sz w:val="28"/>
        </w:rPr>
        <w:t>the</w:t>
      </w:r>
      <w:r>
        <w:rPr>
          <w:spacing w:val="-5"/>
          <w:sz w:val="28"/>
        </w:rPr>
        <w:t> </w:t>
      </w:r>
      <w:r>
        <w:rPr>
          <w:sz w:val="28"/>
        </w:rPr>
        <w:t>purposes</w:t>
      </w:r>
      <w:r>
        <w:rPr>
          <w:spacing w:val="-6"/>
          <w:sz w:val="28"/>
        </w:rPr>
        <w:t> </w:t>
      </w:r>
      <w:r>
        <w:rPr>
          <w:sz w:val="28"/>
        </w:rPr>
        <w:t>of</w:t>
      </w:r>
      <w:r>
        <w:rPr>
          <w:spacing w:val="-6"/>
          <w:sz w:val="28"/>
        </w:rPr>
        <w:t> </w:t>
      </w:r>
      <w:r>
        <w:rPr>
          <w:sz w:val="28"/>
        </w:rPr>
        <w:t>research (Clauses 2, 5 and 6).</w:t>
      </w:r>
      <w:r>
        <w:rPr>
          <w:sz w:val="28"/>
          <w:vertAlign w:val="superscript"/>
        </w:rPr>
        <w:t>720</w:t>
      </w:r>
      <w:r>
        <w:rPr>
          <w:sz w:val="28"/>
          <w:vertAlign w:val="baseline"/>
        </w:rPr>
        <w:t> The ECNI in its submission made clear it supported these concerns raised by NIHRC and also raised concerns with regard to subject access requests (Clause 9); the requirement to produce data impact assessments (Clauses 20 and 21); and the power of the Department of Work and Pensions to access the bank accounts of benefit claimants (Clause 128 and Schedule 11).</w:t>
      </w:r>
      <w:r>
        <w:rPr>
          <w:sz w:val="28"/>
          <w:vertAlign w:val="superscript"/>
        </w:rPr>
        <w:t>721</w:t>
      </w:r>
      <w:r>
        <w:rPr>
          <w:sz w:val="28"/>
          <w:vertAlign w:val="baseline"/>
        </w:rPr>
        <w:t> The Commissions were of the view that, should the Bill be passed into law in its current form, it may result in a diminution of rights contrary to Windsor Framework Article 2.</w:t>
      </w:r>
    </w:p>
    <w:p>
      <w:pPr>
        <w:pStyle w:val="ListParagraph"/>
        <w:numPr>
          <w:ilvl w:val="1"/>
          <w:numId w:val="7"/>
        </w:numPr>
        <w:tabs>
          <w:tab w:pos="1853" w:val="left" w:leader="none"/>
        </w:tabs>
        <w:spacing w:line="225" w:lineRule="auto" w:before="304" w:after="0"/>
        <w:ind w:left="1853" w:right="1358" w:hanging="720"/>
        <w:jc w:val="left"/>
        <w:rPr>
          <w:sz w:val="28"/>
        </w:rPr>
      </w:pPr>
      <w:r>
        <w:rPr>
          <w:sz w:val="28"/>
        </w:rPr>
        <w:t>For</w:t>
      </w:r>
      <w:r>
        <w:rPr>
          <w:spacing w:val="-6"/>
          <w:sz w:val="28"/>
        </w:rPr>
        <w:t> </w:t>
      </w:r>
      <w:r>
        <w:rPr>
          <w:sz w:val="28"/>
        </w:rPr>
        <w:t>example,</w:t>
      </w:r>
      <w:r>
        <w:rPr>
          <w:spacing w:val="-6"/>
          <w:sz w:val="28"/>
        </w:rPr>
        <w:t> </w:t>
      </w:r>
      <w:r>
        <w:rPr>
          <w:sz w:val="28"/>
        </w:rPr>
        <w:t>automated</w:t>
      </w:r>
      <w:r>
        <w:rPr>
          <w:spacing w:val="-7"/>
          <w:sz w:val="28"/>
        </w:rPr>
        <w:t> </w:t>
      </w:r>
      <w:r>
        <w:rPr>
          <w:sz w:val="28"/>
        </w:rPr>
        <w:t>decision-making</w:t>
      </w:r>
      <w:r>
        <w:rPr>
          <w:spacing w:val="-6"/>
          <w:sz w:val="28"/>
        </w:rPr>
        <w:t> </w:t>
      </w:r>
      <w:r>
        <w:rPr>
          <w:sz w:val="28"/>
        </w:rPr>
        <w:t>is</w:t>
      </w:r>
      <w:r>
        <w:rPr>
          <w:spacing w:val="-7"/>
          <w:sz w:val="28"/>
        </w:rPr>
        <w:t> </w:t>
      </w:r>
      <w:r>
        <w:rPr>
          <w:sz w:val="28"/>
        </w:rPr>
        <w:t>the</w:t>
      </w:r>
      <w:r>
        <w:rPr>
          <w:spacing w:val="-6"/>
          <w:sz w:val="28"/>
        </w:rPr>
        <w:t> </w:t>
      </w:r>
      <w:r>
        <w:rPr>
          <w:sz w:val="28"/>
        </w:rPr>
        <w:t>process</w:t>
      </w:r>
      <w:r>
        <w:rPr>
          <w:spacing w:val="-7"/>
          <w:sz w:val="28"/>
        </w:rPr>
        <w:t> </w:t>
      </w:r>
      <w:r>
        <w:rPr>
          <w:sz w:val="28"/>
        </w:rPr>
        <w:t>of</w:t>
      </w:r>
      <w:r>
        <w:rPr>
          <w:spacing w:val="-7"/>
          <w:sz w:val="28"/>
        </w:rPr>
        <w:t> </w:t>
      </w:r>
      <w:r>
        <w:rPr>
          <w:sz w:val="28"/>
        </w:rPr>
        <w:t>making</w:t>
      </w:r>
      <w:r>
        <w:rPr>
          <w:spacing w:val="-6"/>
          <w:sz w:val="28"/>
        </w:rPr>
        <w:t> </w:t>
      </w:r>
      <w:r>
        <w:rPr>
          <w:sz w:val="28"/>
        </w:rPr>
        <w:t>a</w:t>
      </w:r>
      <w:r>
        <w:rPr>
          <w:spacing w:val="-7"/>
          <w:sz w:val="28"/>
        </w:rPr>
        <w:t> </w:t>
      </w:r>
      <w:r>
        <w:rPr>
          <w:sz w:val="28"/>
        </w:rPr>
        <w:t>decision solely by automated means, without any human involvement.</w:t>
      </w:r>
      <w:r>
        <w:rPr>
          <w:sz w:val="28"/>
          <w:vertAlign w:val="superscript"/>
        </w:rPr>
        <w:t>722</w:t>
      </w:r>
      <w:r>
        <w:rPr>
          <w:sz w:val="28"/>
          <w:vertAlign w:val="baseline"/>
        </w:rPr>
        <w:t> The provisions of UK GDPR and EU GDPR currently align in recognising the right of data subjects not to be subject to a decision based solely on automated processing, including profiling, which produces a legal effect concerning the</w:t>
      </w:r>
    </w:p>
    <w:p>
      <w:pPr>
        <w:pStyle w:val="BodyText"/>
        <w:spacing w:line="225" w:lineRule="auto"/>
        <w:ind w:left="1853" w:right="1215"/>
      </w:pPr>
      <w:r>
        <w:rPr/>
        <w:t>data</w:t>
      </w:r>
      <w:r>
        <w:rPr>
          <w:spacing w:val="-11"/>
        </w:rPr>
        <w:t> </w:t>
      </w:r>
      <w:r>
        <w:rPr/>
        <w:t>subject</w:t>
      </w:r>
      <w:r>
        <w:rPr>
          <w:spacing w:val="-10"/>
        </w:rPr>
        <w:t> </w:t>
      </w:r>
      <w:r>
        <w:rPr/>
        <w:t>or</w:t>
      </w:r>
      <w:r>
        <w:rPr>
          <w:spacing w:val="-10"/>
        </w:rPr>
        <w:t> </w:t>
      </w:r>
      <w:r>
        <w:rPr/>
        <w:t>has</w:t>
      </w:r>
      <w:r>
        <w:rPr>
          <w:spacing w:val="-11"/>
        </w:rPr>
        <w:t> </w:t>
      </w:r>
      <w:r>
        <w:rPr/>
        <w:t>a</w:t>
      </w:r>
      <w:r>
        <w:rPr>
          <w:spacing w:val="-11"/>
        </w:rPr>
        <w:t> </w:t>
      </w:r>
      <w:r>
        <w:rPr/>
        <w:t>similarly</w:t>
      </w:r>
      <w:r>
        <w:rPr>
          <w:spacing w:val="-10"/>
        </w:rPr>
        <w:t> </w:t>
      </w:r>
      <w:r>
        <w:rPr/>
        <w:t>significant</w:t>
      </w:r>
      <w:r>
        <w:rPr>
          <w:spacing w:val="-10"/>
        </w:rPr>
        <w:t> </w:t>
      </w:r>
      <w:r>
        <w:rPr/>
        <w:t>effect</w:t>
      </w:r>
      <w:r>
        <w:rPr>
          <w:spacing w:val="-10"/>
        </w:rPr>
        <w:t> </w:t>
      </w:r>
      <w:r>
        <w:rPr/>
        <w:t>on</w:t>
      </w:r>
      <w:r>
        <w:rPr>
          <w:spacing w:val="-11"/>
        </w:rPr>
        <w:t> </w:t>
      </w:r>
      <w:r>
        <w:rPr/>
        <w:t>the</w:t>
      </w:r>
      <w:r>
        <w:rPr>
          <w:spacing w:val="-10"/>
        </w:rPr>
        <w:t> </w:t>
      </w:r>
      <w:r>
        <w:rPr/>
        <w:t>data</w:t>
      </w:r>
      <w:r>
        <w:rPr>
          <w:spacing w:val="-11"/>
        </w:rPr>
        <w:t> </w:t>
      </w:r>
      <w:r>
        <w:rPr/>
        <w:t>subject.</w:t>
      </w:r>
      <w:r>
        <w:rPr>
          <w:vertAlign w:val="superscript"/>
        </w:rPr>
        <w:t>723</w:t>
      </w:r>
      <w:r>
        <w:rPr>
          <w:spacing w:val="-11"/>
          <w:vertAlign w:val="baseline"/>
        </w:rPr>
        <w:t> </w:t>
      </w:r>
      <w:r>
        <w:rPr>
          <w:vertAlign w:val="baseline"/>
        </w:rPr>
        <w:t>Further, UK GDPR currently protects individuals from automated decision-making based on the processing of all types of data, not just personal or sensitive </w:t>
      </w:r>
      <w:r>
        <w:rPr>
          <w:spacing w:val="-4"/>
          <w:vertAlign w:val="baseline"/>
        </w:rPr>
        <w:t>data.</w:t>
      </w:r>
    </w:p>
    <w:p>
      <w:pPr>
        <w:pStyle w:val="ListParagraph"/>
        <w:numPr>
          <w:ilvl w:val="1"/>
          <w:numId w:val="7"/>
        </w:numPr>
        <w:tabs>
          <w:tab w:pos="1853" w:val="left" w:leader="none"/>
        </w:tabs>
        <w:spacing w:line="225" w:lineRule="auto" w:before="309" w:after="0"/>
        <w:ind w:left="1853" w:right="1311" w:hanging="720"/>
        <w:jc w:val="left"/>
        <w:rPr>
          <w:sz w:val="28"/>
        </w:rPr>
      </w:pPr>
      <w:r>
        <w:rPr>
          <w:sz w:val="28"/>
        </w:rPr>
        <w:t>The Bill intends to replace current rules with new provisions allowing fully automated</w:t>
      </w:r>
      <w:r>
        <w:rPr>
          <w:spacing w:val="-7"/>
          <w:sz w:val="28"/>
        </w:rPr>
        <w:t> </w:t>
      </w:r>
      <w:r>
        <w:rPr>
          <w:sz w:val="28"/>
        </w:rPr>
        <w:t>decision-making</w:t>
      </w:r>
      <w:r>
        <w:rPr>
          <w:spacing w:val="-6"/>
          <w:sz w:val="28"/>
        </w:rPr>
        <w:t> </w:t>
      </w:r>
      <w:r>
        <w:rPr>
          <w:sz w:val="28"/>
        </w:rPr>
        <w:t>based</w:t>
      </w:r>
      <w:r>
        <w:rPr>
          <w:spacing w:val="-7"/>
          <w:sz w:val="28"/>
        </w:rPr>
        <w:t> </w:t>
      </w:r>
      <w:r>
        <w:rPr>
          <w:sz w:val="28"/>
        </w:rPr>
        <w:t>on</w:t>
      </w:r>
      <w:r>
        <w:rPr>
          <w:spacing w:val="-7"/>
          <w:sz w:val="28"/>
        </w:rPr>
        <w:t> </w:t>
      </w:r>
      <w:r>
        <w:rPr>
          <w:sz w:val="28"/>
        </w:rPr>
        <w:t>the</w:t>
      </w:r>
      <w:r>
        <w:rPr>
          <w:spacing w:val="-6"/>
          <w:sz w:val="28"/>
        </w:rPr>
        <w:t> </w:t>
      </w:r>
      <w:r>
        <w:rPr>
          <w:sz w:val="28"/>
        </w:rPr>
        <w:t>processing</w:t>
      </w:r>
      <w:r>
        <w:rPr>
          <w:spacing w:val="-6"/>
          <w:sz w:val="28"/>
        </w:rPr>
        <w:t> </w:t>
      </w:r>
      <w:r>
        <w:rPr>
          <w:sz w:val="28"/>
        </w:rPr>
        <w:t>of</w:t>
      </w:r>
      <w:r>
        <w:rPr>
          <w:spacing w:val="-7"/>
          <w:sz w:val="28"/>
        </w:rPr>
        <w:t> </w:t>
      </w:r>
      <w:r>
        <w:rPr>
          <w:sz w:val="28"/>
        </w:rPr>
        <w:t>the</w:t>
      </w:r>
      <w:r>
        <w:rPr>
          <w:spacing w:val="-6"/>
          <w:sz w:val="28"/>
        </w:rPr>
        <w:t> </w:t>
      </w:r>
      <w:r>
        <w:rPr>
          <w:sz w:val="28"/>
        </w:rPr>
        <w:t>broader</w:t>
      </w:r>
      <w:r>
        <w:rPr>
          <w:spacing w:val="-6"/>
          <w:sz w:val="28"/>
        </w:rPr>
        <w:t> </w:t>
      </w:r>
      <w:r>
        <w:rPr>
          <w:sz w:val="28"/>
        </w:rPr>
        <w:t>category of personal data. Automated decision-making based on the narrower special</w:t>
      </w:r>
    </w:p>
    <w:p>
      <w:pPr>
        <w:pStyle w:val="BodyText"/>
        <w:spacing w:before="10"/>
        <w:rPr>
          <w:sz w:val="16"/>
        </w:rPr>
      </w:pPr>
      <w:r>
        <w:rPr/>
        <mc:AlternateContent>
          <mc:Choice Requires="wps">
            <w:drawing>
              <wp:anchor distT="0" distB="0" distL="0" distR="0" allowOverlap="1" layoutInCell="1" locked="0" behindDoc="1" simplePos="0" relativeHeight="487707136">
                <wp:simplePos x="0" y="0"/>
                <wp:positionH relativeFrom="page">
                  <wp:posOffset>719996</wp:posOffset>
                </wp:positionH>
                <wp:positionV relativeFrom="paragraph">
                  <wp:posOffset>146010</wp:posOffset>
                </wp:positionV>
                <wp:extent cx="6120130" cy="1270"/>
                <wp:effectExtent l="0" t="0" r="0" b="0"/>
                <wp:wrapTopAndBottom/>
                <wp:docPr id="549" name="Graphic 549"/>
                <wp:cNvGraphicFramePr>
                  <a:graphicFrameLocks/>
                </wp:cNvGraphicFramePr>
                <a:graphic>
                  <a:graphicData uri="http://schemas.microsoft.com/office/word/2010/wordprocessingShape">
                    <wps:wsp>
                      <wps:cNvPr id="549" name="Graphic 54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1.496862pt;width:481.9pt;height:.1pt;mso-position-horizontal-relative:page;mso-position-vertical-relative:paragraph;z-index:-15609344;mso-wrap-distance-left:0;mso-wrap-distance-right:0" id="docshape494" coordorigin="1134,230" coordsize="9638,0" path="m10772,230l1134,230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18" w:lineRule="exact" w:before="147" w:after="0"/>
        <w:ind w:left="1853" w:right="0" w:hanging="720"/>
        <w:jc w:val="left"/>
        <w:rPr>
          <w:sz w:val="18"/>
        </w:rPr>
      </w:pP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3"/>
          <w:sz w:val="18"/>
        </w:rPr>
        <w:t> </w:t>
      </w:r>
      <w:r>
        <w:rPr>
          <w:sz w:val="18"/>
        </w:rPr>
        <w:t>‘Briefing</w:t>
      </w:r>
      <w:r>
        <w:rPr>
          <w:spacing w:val="-4"/>
          <w:sz w:val="18"/>
        </w:rPr>
        <w:t> </w:t>
      </w:r>
      <w:r>
        <w:rPr>
          <w:sz w:val="18"/>
        </w:rPr>
        <w:t>on</w:t>
      </w:r>
      <w:r>
        <w:rPr>
          <w:spacing w:val="-5"/>
          <w:sz w:val="18"/>
        </w:rPr>
        <w:t> </w:t>
      </w:r>
      <w:r>
        <w:rPr>
          <w:sz w:val="18"/>
        </w:rPr>
        <w:t>the</w:t>
      </w:r>
      <w:r>
        <w:rPr>
          <w:spacing w:val="-4"/>
          <w:sz w:val="18"/>
        </w:rPr>
        <w:t> </w:t>
      </w:r>
      <w:r>
        <w:rPr>
          <w:sz w:val="18"/>
        </w:rPr>
        <w:t>Data</w:t>
      </w:r>
      <w:r>
        <w:rPr>
          <w:spacing w:val="-4"/>
          <w:sz w:val="18"/>
        </w:rPr>
        <w:t> </w:t>
      </w:r>
      <w:r>
        <w:rPr>
          <w:sz w:val="18"/>
        </w:rPr>
        <w:t>Protection</w:t>
      </w:r>
      <w:r>
        <w:rPr>
          <w:spacing w:val="-5"/>
          <w:sz w:val="18"/>
        </w:rPr>
        <w:t> </w:t>
      </w:r>
      <w:r>
        <w:rPr>
          <w:sz w:val="18"/>
        </w:rPr>
        <w:t>and</w:t>
      </w:r>
      <w:r>
        <w:rPr>
          <w:spacing w:val="-5"/>
          <w:sz w:val="18"/>
        </w:rPr>
        <w:t> </w:t>
      </w:r>
      <w:r>
        <w:rPr>
          <w:sz w:val="18"/>
        </w:rPr>
        <w:t>Digital</w:t>
      </w:r>
      <w:r>
        <w:rPr>
          <w:spacing w:val="-4"/>
          <w:sz w:val="18"/>
        </w:rPr>
        <w:t> </w:t>
      </w:r>
      <w:r>
        <w:rPr>
          <w:sz w:val="18"/>
        </w:rPr>
        <w:t>Information</w:t>
      </w:r>
      <w:r>
        <w:rPr>
          <w:spacing w:val="-5"/>
          <w:sz w:val="18"/>
        </w:rPr>
        <w:t> </w:t>
      </w:r>
      <w:r>
        <w:rPr>
          <w:sz w:val="18"/>
        </w:rPr>
        <w:t>Bill’</w:t>
      </w:r>
      <w:r>
        <w:rPr>
          <w:spacing w:val="-4"/>
          <w:sz w:val="18"/>
        </w:rPr>
        <w:t> </w:t>
      </w:r>
      <w:r>
        <w:rPr>
          <w:sz w:val="18"/>
        </w:rPr>
        <w:t>(NIHRC,</w:t>
      </w:r>
      <w:r>
        <w:rPr>
          <w:spacing w:val="-4"/>
          <w:sz w:val="18"/>
        </w:rPr>
        <w:t> </w:t>
      </w:r>
      <w:r>
        <w:rPr>
          <w:sz w:val="18"/>
        </w:rPr>
        <w:t>2024),</w:t>
      </w:r>
      <w:r>
        <w:rPr>
          <w:spacing w:val="-3"/>
          <w:sz w:val="18"/>
        </w:rPr>
        <w:t> </w:t>
      </w:r>
      <w:r>
        <w:rPr>
          <w:sz w:val="18"/>
        </w:rPr>
        <w:t>at</w:t>
      </w:r>
      <w:r>
        <w:rPr>
          <w:spacing w:val="-4"/>
          <w:sz w:val="18"/>
        </w:rPr>
        <w:t> </w:t>
      </w:r>
      <w:r>
        <w:rPr>
          <w:sz w:val="18"/>
        </w:rPr>
        <w:t>para</w:t>
      </w:r>
      <w:r>
        <w:rPr>
          <w:spacing w:val="-5"/>
          <w:sz w:val="18"/>
        </w:rPr>
        <w:t> </w:t>
      </w:r>
      <w:r>
        <w:rPr>
          <w:spacing w:val="-2"/>
          <w:sz w:val="18"/>
        </w:rPr>
        <w:t>3.10.</w:t>
      </w:r>
    </w:p>
    <w:p>
      <w:pPr>
        <w:pStyle w:val="ListParagraph"/>
        <w:numPr>
          <w:ilvl w:val="0"/>
          <w:numId w:val="11"/>
        </w:numPr>
        <w:tabs>
          <w:tab w:pos="1853" w:val="left" w:leader="none"/>
        </w:tabs>
        <w:spacing w:line="235" w:lineRule="auto" w:before="1" w:after="0"/>
        <w:ind w:left="1853" w:right="1269" w:hanging="720"/>
        <w:jc w:val="left"/>
        <w:rPr>
          <w:sz w:val="18"/>
        </w:rPr>
      </w:pPr>
      <w:r>
        <w:rPr>
          <w:sz w:val="18"/>
        </w:rPr>
        <w:t>The</w:t>
      </w:r>
      <w:r>
        <w:rPr>
          <w:spacing w:val="-4"/>
          <w:sz w:val="18"/>
        </w:rPr>
        <w:t> </w:t>
      </w:r>
      <w:r>
        <w:rPr>
          <w:sz w:val="18"/>
        </w:rPr>
        <w:t>NIHRC</w:t>
      </w:r>
      <w:r>
        <w:rPr>
          <w:spacing w:val="-5"/>
          <w:sz w:val="18"/>
        </w:rPr>
        <w:t> </w:t>
      </w:r>
      <w:r>
        <w:rPr>
          <w:sz w:val="18"/>
        </w:rPr>
        <w:t>has</w:t>
      </w:r>
      <w:r>
        <w:rPr>
          <w:spacing w:val="-5"/>
          <w:sz w:val="18"/>
        </w:rPr>
        <w:t> </w:t>
      </w:r>
      <w:r>
        <w:rPr>
          <w:sz w:val="18"/>
        </w:rPr>
        <w:t>commissioned</w:t>
      </w:r>
      <w:r>
        <w:rPr>
          <w:spacing w:val="-5"/>
          <w:sz w:val="18"/>
        </w:rPr>
        <w:t> </w:t>
      </w:r>
      <w:r>
        <w:rPr>
          <w:sz w:val="18"/>
        </w:rPr>
        <w:t>several</w:t>
      </w:r>
      <w:r>
        <w:rPr>
          <w:spacing w:val="-5"/>
          <w:sz w:val="18"/>
        </w:rPr>
        <w:t> </w:t>
      </w:r>
      <w:r>
        <w:rPr>
          <w:sz w:val="18"/>
        </w:rPr>
        <w:t>research</w:t>
      </w:r>
      <w:r>
        <w:rPr>
          <w:spacing w:val="-5"/>
          <w:sz w:val="18"/>
        </w:rPr>
        <w:t> </w:t>
      </w:r>
      <w:r>
        <w:rPr>
          <w:sz w:val="18"/>
        </w:rPr>
        <w:t>projects</w:t>
      </w:r>
      <w:r>
        <w:rPr>
          <w:spacing w:val="-5"/>
          <w:sz w:val="18"/>
        </w:rPr>
        <w:t> </w:t>
      </w:r>
      <w:r>
        <w:rPr>
          <w:sz w:val="18"/>
        </w:rPr>
        <w:t>that</w:t>
      </w:r>
      <w:r>
        <w:rPr>
          <w:spacing w:val="-4"/>
          <w:sz w:val="18"/>
        </w:rPr>
        <w:t> </w:t>
      </w:r>
      <w:r>
        <w:rPr>
          <w:sz w:val="18"/>
        </w:rPr>
        <w:t>describe</w:t>
      </w:r>
      <w:r>
        <w:rPr>
          <w:spacing w:val="-4"/>
          <w:sz w:val="18"/>
        </w:rPr>
        <w:t> </w:t>
      </w:r>
      <w:r>
        <w:rPr>
          <w:sz w:val="18"/>
        </w:rPr>
        <w:t>the</w:t>
      </w:r>
      <w:r>
        <w:rPr>
          <w:spacing w:val="-4"/>
          <w:sz w:val="18"/>
        </w:rPr>
        <w:t> </w:t>
      </w:r>
      <w:r>
        <w:rPr>
          <w:sz w:val="18"/>
        </w:rPr>
        <w:t>challenges</w:t>
      </w:r>
      <w:r>
        <w:rPr>
          <w:spacing w:val="-5"/>
          <w:sz w:val="18"/>
        </w:rPr>
        <w:t> </w:t>
      </w:r>
      <w:r>
        <w:rPr>
          <w:sz w:val="18"/>
        </w:rPr>
        <w:t>and</w:t>
      </w:r>
      <w:r>
        <w:rPr>
          <w:spacing w:val="-5"/>
          <w:sz w:val="18"/>
        </w:rPr>
        <w:t> </w:t>
      </w:r>
      <w:r>
        <w:rPr>
          <w:sz w:val="18"/>
        </w:rPr>
        <w:t>complexities</w:t>
      </w:r>
      <w:r>
        <w:rPr>
          <w:spacing w:val="-5"/>
          <w:sz w:val="18"/>
        </w:rPr>
        <w:t> </w:t>
      </w:r>
      <w:r>
        <w:rPr>
          <w:sz w:val="18"/>
        </w:rPr>
        <w:t>of</w:t>
      </w:r>
      <w:r>
        <w:rPr>
          <w:spacing w:val="-5"/>
          <w:sz w:val="18"/>
        </w:rPr>
        <w:t> </w:t>
      </w:r>
      <w:r>
        <w:rPr>
          <w:sz w:val="18"/>
        </w:rPr>
        <w:t>shared</w:t>
      </w:r>
      <w:r>
        <w:rPr>
          <w:spacing w:val="-5"/>
          <w:sz w:val="18"/>
        </w:rPr>
        <w:t> </w:t>
      </w:r>
      <w:r>
        <w:rPr>
          <w:sz w:val="18"/>
        </w:rPr>
        <w:t>services, facilities and resources on the island of Ireland for health, justice and workers’ rights, among other issues, The free</w:t>
      </w:r>
    </w:p>
    <w:p>
      <w:pPr>
        <w:spacing w:line="235" w:lineRule="auto" w:before="2"/>
        <w:ind w:left="1853" w:right="1171" w:firstLine="0"/>
        <w:jc w:val="left"/>
        <w:rPr>
          <w:sz w:val="18"/>
        </w:rPr>
      </w:pPr>
      <w:r>
        <w:rPr>
          <w:sz w:val="18"/>
        </w:rPr>
        <w:t>flow</w:t>
      </w:r>
      <w:r>
        <w:rPr>
          <w:spacing w:val="-3"/>
          <w:sz w:val="18"/>
        </w:rPr>
        <w:t> </w:t>
      </w:r>
      <w:r>
        <w:rPr>
          <w:sz w:val="18"/>
        </w:rPr>
        <w:t>of</w:t>
      </w:r>
      <w:r>
        <w:rPr>
          <w:spacing w:val="-4"/>
          <w:sz w:val="18"/>
        </w:rPr>
        <w:t> </w:t>
      </w:r>
      <w:r>
        <w:rPr>
          <w:sz w:val="18"/>
        </w:rPr>
        <w:t>data</w:t>
      </w:r>
      <w:r>
        <w:rPr>
          <w:spacing w:val="-4"/>
          <w:sz w:val="18"/>
        </w:rPr>
        <w:t> </w:t>
      </w:r>
      <w:r>
        <w:rPr>
          <w:sz w:val="18"/>
        </w:rPr>
        <w:t>is</w:t>
      </w:r>
      <w:r>
        <w:rPr>
          <w:spacing w:val="-4"/>
          <w:sz w:val="18"/>
        </w:rPr>
        <w:t> </w:t>
      </w:r>
      <w:r>
        <w:rPr>
          <w:sz w:val="18"/>
        </w:rPr>
        <w:t>a</w:t>
      </w:r>
      <w:r>
        <w:rPr>
          <w:spacing w:val="-4"/>
          <w:sz w:val="18"/>
        </w:rPr>
        <w:t> </w:t>
      </w:r>
      <w:r>
        <w:rPr>
          <w:sz w:val="18"/>
        </w:rPr>
        <w:t>key</w:t>
      </w:r>
      <w:r>
        <w:rPr>
          <w:spacing w:val="-3"/>
          <w:sz w:val="18"/>
        </w:rPr>
        <w:t> </w:t>
      </w:r>
      <w:r>
        <w:rPr>
          <w:sz w:val="18"/>
        </w:rPr>
        <w:t>condition</w:t>
      </w:r>
      <w:r>
        <w:rPr>
          <w:spacing w:val="-4"/>
          <w:sz w:val="18"/>
        </w:rPr>
        <w:t> </w:t>
      </w:r>
      <w:r>
        <w:rPr>
          <w:sz w:val="18"/>
        </w:rPr>
        <w:t>underpinning</w:t>
      </w:r>
      <w:r>
        <w:rPr>
          <w:spacing w:val="-3"/>
          <w:sz w:val="18"/>
        </w:rPr>
        <w:t> </w:t>
      </w:r>
      <w:r>
        <w:rPr>
          <w:sz w:val="18"/>
        </w:rPr>
        <w:t>the</w:t>
      </w:r>
      <w:r>
        <w:rPr>
          <w:spacing w:val="-3"/>
          <w:sz w:val="18"/>
        </w:rPr>
        <w:t> </w:t>
      </w:r>
      <w:r>
        <w:rPr>
          <w:sz w:val="18"/>
        </w:rPr>
        <w:t>all-island</w:t>
      </w:r>
      <w:r>
        <w:rPr>
          <w:spacing w:val="-4"/>
          <w:sz w:val="18"/>
        </w:rPr>
        <w:t> </w:t>
      </w:r>
      <w:r>
        <w:rPr>
          <w:sz w:val="18"/>
        </w:rPr>
        <w:t>aspects</w:t>
      </w:r>
      <w:r>
        <w:rPr>
          <w:spacing w:val="-4"/>
          <w:sz w:val="18"/>
        </w:rPr>
        <w:t> </w:t>
      </w:r>
      <w:r>
        <w:rPr>
          <w:sz w:val="18"/>
        </w:rPr>
        <w:t>of</w:t>
      </w:r>
      <w:r>
        <w:rPr>
          <w:spacing w:val="-4"/>
          <w:sz w:val="18"/>
        </w:rPr>
        <w:t> </w:t>
      </w:r>
      <w:r>
        <w:rPr>
          <w:sz w:val="18"/>
        </w:rPr>
        <w:t>life</w:t>
      </w:r>
      <w:r>
        <w:rPr>
          <w:spacing w:val="-3"/>
          <w:sz w:val="18"/>
        </w:rPr>
        <w:t> </w:t>
      </w:r>
      <w:r>
        <w:rPr>
          <w:sz w:val="18"/>
        </w:rPr>
        <w:t>in</w:t>
      </w:r>
      <w:r>
        <w:rPr>
          <w:spacing w:val="-4"/>
          <w:sz w:val="18"/>
        </w:rPr>
        <w:t> </w:t>
      </w:r>
      <w:r>
        <w:rPr>
          <w:sz w:val="18"/>
        </w:rPr>
        <w:t>NI.</w:t>
      </w:r>
      <w:r>
        <w:rPr>
          <w:spacing w:val="-4"/>
          <w:sz w:val="18"/>
        </w:rPr>
        <w:t> </w:t>
      </w:r>
      <w:r>
        <w:rPr>
          <w:sz w:val="18"/>
        </w:rPr>
        <w:t>See</w:t>
      </w:r>
      <w:r>
        <w:rPr>
          <w:spacing w:val="-3"/>
          <w:sz w:val="18"/>
        </w:rPr>
        <w:t> </w:t>
      </w:r>
      <w:r>
        <w:rPr>
          <w:sz w:val="18"/>
        </w:rPr>
        <w:t>NIHRC,</w:t>
      </w:r>
      <w:r>
        <w:rPr>
          <w:spacing w:val="-3"/>
          <w:sz w:val="18"/>
        </w:rPr>
        <w:t> </w:t>
      </w:r>
      <w:r>
        <w:rPr>
          <w:sz w:val="18"/>
        </w:rPr>
        <w:t>‘Brexit</w:t>
      </w:r>
      <w:r>
        <w:rPr>
          <w:spacing w:val="-3"/>
          <w:sz w:val="18"/>
        </w:rPr>
        <w:t> </w:t>
      </w:r>
      <w:r>
        <w:rPr>
          <w:sz w:val="18"/>
        </w:rPr>
        <w:t>and</w:t>
      </w:r>
      <w:r>
        <w:rPr>
          <w:spacing w:val="-4"/>
          <w:sz w:val="18"/>
        </w:rPr>
        <w:t> </w:t>
      </w:r>
      <w:r>
        <w:rPr>
          <w:sz w:val="18"/>
        </w:rPr>
        <w:t>the</w:t>
      </w:r>
      <w:r>
        <w:rPr>
          <w:spacing w:val="-3"/>
          <w:sz w:val="18"/>
        </w:rPr>
        <w:t> </w:t>
      </w:r>
      <w:r>
        <w:rPr>
          <w:sz w:val="18"/>
        </w:rPr>
        <w:t>Implications</w:t>
      </w:r>
      <w:r>
        <w:rPr>
          <w:spacing w:val="-4"/>
          <w:sz w:val="18"/>
        </w:rPr>
        <w:t> </w:t>
      </w:r>
      <w:r>
        <w:rPr>
          <w:sz w:val="18"/>
        </w:rPr>
        <w:t>for Justice Co-operation’ (NIHRC, 2019); Tamara Hervey, ‘Brexit, Health and its potential impact on Article 2 of the Ireland/ Northern Ireland Protocol’ (NIHRC, 2022); Sylvia de Mars and Charolotte O’Brien, ‘Frontier workers and their Families: Rights after Brexit’ (NIHRC, 2023).</w:t>
      </w:r>
    </w:p>
    <w:p>
      <w:pPr>
        <w:pStyle w:val="ListParagraph"/>
        <w:numPr>
          <w:ilvl w:val="0"/>
          <w:numId w:val="11"/>
        </w:numPr>
        <w:tabs>
          <w:tab w:pos="1853" w:val="left" w:leader="none"/>
        </w:tabs>
        <w:spacing w:line="217" w:lineRule="exact" w:before="0" w:after="0"/>
        <w:ind w:left="1853" w:right="0" w:hanging="720"/>
        <w:jc w:val="left"/>
        <w:rPr>
          <w:sz w:val="18"/>
        </w:rPr>
      </w:pPr>
      <w:r>
        <w:rPr>
          <w:sz w:val="18"/>
        </w:rPr>
        <w:t>NI</w:t>
      </w:r>
      <w:r>
        <w:rPr>
          <w:spacing w:val="-5"/>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‘Briefing</w:t>
      </w:r>
      <w:r>
        <w:rPr>
          <w:spacing w:val="-4"/>
          <w:sz w:val="18"/>
        </w:rPr>
        <w:t> </w:t>
      </w:r>
      <w:r>
        <w:rPr>
          <w:sz w:val="18"/>
        </w:rPr>
        <w:t>on</w:t>
      </w:r>
      <w:r>
        <w:rPr>
          <w:spacing w:val="-5"/>
          <w:sz w:val="18"/>
        </w:rPr>
        <w:t> </w:t>
      </w:r>
      <w:r>
        <w:rPr>
          <w:sz w:val="18"/>
        </w:rPr>
        <w:t>the</w:t>
      </w:r>
      <w:r>
        <w:rPr>
          <w:spacing w:val="-4"/>
          <w:sz w:val="18"/>
        </w:rPr>
        <w:t> </w:t>
      </w:r>
      <w:r>
        <w:rPr>
          <w:sz w:val="18"/>
        </w:rPr>
        <w:t>Data</w:t>
      </w:r>
      <w:r>
        <w:rPr>
          <w:spacing w:val="-5"/>
          <w:sz w:val="18"/>
        </w:rPr>
        <w:t> </w:t>
      </w:r>
      <w:r>
        <w:rPr>
          <w:sz w:val="18"/>
        </w:rPr>
        <w:t>Protection</w:t>
      </w:r>
      <w:r>
        <w:rPr>
          <w:spacing w:val="-5"/>
          <w:sz w:val="18"/>
        </w:rPr>
        <w:t> </w:t>
      </w:r>
      <w:r>
        <w:rPr>
          <w:sz w:val="18"/>
        </w:rPr>
        <w:t>and</w:t>
      </w:r>
      <w:r>
        <w:rPr>
          <w:spacing w:val="-5"/>
          <w:sz w:val="18"/>
        </w:rPr>
        <w:t> </w:t>
      </w:r>
      <w:r>
        <w:rPr>
          <w:sz w:val="18"/>
        </w:rPr>
        <w:t>Digital</w:t>
      </w:r>
      <w:r>
        <w:rPr>
          <w:spacing w:val="-5"/>
          <w:sz w:val="18"/>
        </w:rPr>
        <w:t> </w:t>
      </w:r>
      <w:r>
        <w:rPr>
          <w:sz w:val="18"/>
        </w:rPr>
        <w:t>Information</w:t>
      </w:r>
      <w:r>
        <w:rPr>
          <w:spacing w:val="-5"/>
          <w:sz w:val="18"/>
        </w:rPr>
        <w:t> </w:t>
      </w:r>
      <w:r>
        <w:rPr>
          <w:sz w:val="18"/>
        </w:rPr>
        <w:t>Bill’</w:t>
      </w:r>
      <w:r>
        <w:rPr>
          <w:spacing w:val="-5"/>
          <w:sz w:val="18"/>
        </w:rPr>
        <w:t> </w:t>
      </w:r>
      <w:r>
        <w:rPr>
          <w:sz w:val="18"/>
        </w:rPr>
        <w:t>(NIHRC,</w:t>
      </w:r>
      <w:r>
        <w:rPr>
          <w:spacing w:val="-4"/>
          <w:sz w:val="18"/>
        </w:rPr>
        <w:t> </w:t>
      </w:r>
      <w:r>
        <w:rPr>
          <w:spacing w:val="-2"/>
          <w:sz w:val="18"/>
        </w:rPr>
        <w:t>2024).</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Equality</w:t>
      </w:r>
      <w:r>
        <w:rPr>
          <w:spacing w:val="-5"/>
          <w:sz w:val="18"/>
        </w:rPr>
        <w:t> </w:t>
      </w:r>
      <w:r>
        <w:rPr>
          <w:sz w:val="18"/>
        </w:rPr>
        <w:t>Commission</w:t>
      </w:r>
      <w:r>
        <w:rPr>
          <w:spacing w:val="-6"/>
          <w:sz w:val="18"/>
        </w:rPr>
        <w:t> </w:t>
      </w:r>
      <w:r>
        <w:rPr>
          <w:sz w:val="18"/>
        </w:rPr>
        <w:t>for</w:t>
      </w:r>
      <w:r>
        <w:rPr>
          <w:spacing w:val="-5"/>
          <w:sz w:val="18"/>
        </w:rPr>
        <w:t> </w:t>
      </w:r>
      <w:r>
        <w:rPr>
          <w:sz w:val="18"/>
        </w:rPr>
        <w:t>NI,</w:t>
      </w:r>
      <w:r>
        <w:rPr>
          <w:spacing w:val="-5"/>
          <w:sz w:val="18"/>
        </w:rPr>
        <w:t> </w:t>
      </w:r>
      <w:r>
        <w:rPr>
          <w:sz w:val="18"/>
        </w:rPr>
        <w:t>‘Submission</w:t>
      </w:r>
      <w:r>
        <w:rPr>
          <w:spacing w:val="-6"/>
          <w:sz w:val="18"/>
        </w:rPr>
        <w:t> </w:t>
      </w:r>
      <w:r>
        <w:rPr>
          <w:sz w:val="18"/>
        </w:rPr>
        <w:t>on</w:t>
      </w:r>
      <w:r>
        <w:rPr>
          <w:spacing w:val="-6"/>
          <w:sz w:val="18"/>
        </w:rPr>
        <w:t> </w:t>
      </w:r>
      <w:r>
        <w:rPr>
          <w:sz w:val="18"/>
        </w:rPr>
        <w:t>the</w:t>
      </w:r>
      <w:r>
        <w:rPr>
          <w:spacing w:val="-5"/>
          <w:sz w:val="18"/>
        </w:rPr>
        <w:t> </w:t>
      </w:r>
      <w:r>
        <w:rPr>
          <w:sz w:val="18"/>
        </w:rPr>
        <w:t>Data</w:t>
      </w:r>
      <w:r>
        <w:rPr>
          <w:spacing w:val="-6"/>
          <w:sz w:val="18"/>
        </w:rPr>
        <w:t> </w:t>
      </w:r>
      <w:r>
        <w:rPr>
          <w:sz w:val="18"/>
        </w:rPr>
        <w:t>Protection</w:t>
      </w:r>
      <w:r>
        <w:rPr>
          <w:spacing w:val="-6"/>
          <w:sz w:val="18"/>
        </w:rPr>
        <w:t> </w:t>
      </w:r>
      <w:r>
        <w:rPr>
          <w:sz w:val="18"/>
        </w:rPr>
        <w:t>and</w:t>
      </w:r>
      <w:r>
        <w:rPr>
          <w:spacing w:val="-5"/>
          <w:sz w:val="18"/>
        </w:rPr>
        <w:t> </w:t>
      </w:r>
      <w:r>
        <w:rPr>
          <w:sz w:val="18"/>
        </w:rPr>
        <w:t>Digital</w:t>
      </w:r>
      <w:r>
        <w:rPr>
          <w:spacing w:val="-6"/>
          <w:sz w:val="18"/>
        </w:rPr>
        <w:t> </w:t>
      </w:r>
      <w:r>
        <w:rPr>
          <w:sz w:val="18"/>
        </w:rPr>
        <w:t>Information</w:t>
      </w:r>
      <w:r>
        <w:rPr>
          <w:spacing w:val="-6"/>
          <w:sz w:val="18"/>
        </w:rPr>
        <w:t> </w:t>
      </w:r>
      <w:r>
        <w:rPr>
          <w:sz w:val="18"/>
        </w:rPr>
        <w:t>Bill’</w:t>
      </w:r>
      <w:r>
        <w:rPr>
          <w:spacing w:val="-5"/>
          <w:sz w:val="18"/>
        </w:rPr>
        <w:t> </w:t>
      </w:r>
      <w:r>
        <w:rPr>
          <w:sz w:val="18"/>
        </w:rPr>
        <w:t>(ECNI,</w:t>
      </w:r>
      <w:r>
        <w:rPr>
          <w:spacing w:val="-5"/>
          <w:sz w:val="18"/>
        </w:rPr>
        <w:t> </w:t>
      </w:r>
      <w:r>
        <w:rPr>
          <w:spacing w:val="-2"/>
          <w:sz w:val="18"/>
        </w:rPr>
        <w:t>2024).</w:t>
      </w:r>
    </w:p>
    <w:p>
      <w:pPr>
        <w:pStyle w:val="ListParagraph"/>
        <w:numPr>
          <w:ilvl w:val="0"/>
          <w:numId w:val="11"/>
        </w:numPr>
        <w:tabs>
          <w:tab w:pos="1853" w:val="left" w:leader="none"/>
        </w:tabs>
        <w:spacing w:line="235" w:lineRule="auto" w:before="1" w:after="0"/>
        <w:ind w:left="1853" w:right="1736" w:hanging="720"/>
        <w:jc w:val="left"/>
        <w:rPr>
          <w:sz w:val="18"/>
        </w:rPr>
      </w:pPr>
      <w:r>
        <w:rPr>
          <w:sz w:val="18"/>
        </w:rPr>
        <w:t>EU</w:t>
      </w:r>
      <w:r>
        <w:rPr>
          <w:spacing w:val="-3"/>
          <w:sz w:val="18"/>
        </w:rPr>
        <w:t> </w:t>
      </w:r>
      <w:r>
        <w:rPr>
          <w:sz w:val="18"/>
        </w:rPr>
        <w:t>GDPR</w:t>
      </w:r>
      <w:r>
        <w:rPr>
          <w:spacing w:val="-3"/>
          <w:sz w:val="18"/>
        </w:rPr>
        <w:t> </w:t>
      </w:r>
      <w:r>
        <w:rPr>
          <w:sz w:val="18"/>
        </w:rPr>
        <w:t>provides</w:t>
      </w:r>
      <w:r>
        <w:rPr>
          <w:spacing w:val="-4"/>
          <w:sz w:val="18"/>
        </w:rPr>
        <w:t> </w:t>
      </w:r>
      <w:r>
        <w:rPr>
          <w:sz w:val="18"/>
        </w:rPr>
        <w:t>a</w:t>
      </w:r>
      <w:r>
        <w:rPr>
          <w:spacing w:val="-4"/>
          <w:sz w:val="18"/>
        </w:rPr>
        <w:t> </w:t>
      </w:r>
      <w:r>
        <w:rPr>
          <w:sz w:val="18"/>
        </w:rPr>
        <w:t>definition</w:t>
      </w:r>
      <w:r>
        <w:rPr>
          <w:spacing w:val="-4"/>
          <w:sz w:val="18"/>
        </w:rPr>
        <w:t> </w:t>
      </w:r>
      <w:r>
        <w:rPr>
          <w:sz w:val="18"/>
        </w:rPr>
        <w:t>of</w:t>
      </w:r>
      <w:r>
        <w:rPr>
          <w:spacing w:val="-4"/>
          <w:sz w:val="18"/>
        </w:rPr>
        <w:t> </w:t>
      </w:r>
      <w:r>
        <w:rPr>
          <w:sz w:val="18"/>
        </w:rPr>
        <w:t>automated</w:t>
      </w:r>
      <w:r>
        <w:rPr>
          <w:spacing w:val="-4"/>
          <w:sz w:val="18"/>
        </w:rPr>
        <w:t> </w:t>
      </w:r>
      <w:r>
        <w:rPr>
          <w:sz w:val="18"/>
        </w:rPr>
        <w:t>decision-making</w:t>
      </w:r>
      <w:r>
        <w:rPr>
          <w:spacing w:val="-3"/>
          <w:sz w:val="18"/>
        </w:rPr>
        <w:t> </w:t>
      </w:r>
      <w:r>
        <w:rPr>
          <w:sz w:val="18"/>
        </w:rPr>
        <w:t>in</w:t>
      </w:r>
      <w:r>
        <w:rPr>
          <w:spacing w:val="-4"/>
          <w:sz w:val="18"/>
        </w:rPr>
        <w:t> </w:t>
      </w:r>
      <w:r>
        <w:rPr>
          <w:sz w:val="18"/>
        </w:rPr>
        <w:t>Article</w:t>
      </w:r>
      <w:r>
        <w:rPr>
          <w:spacing w:val="-3"/>
          <w:sz w:val="18"/>
        </w:rPr>
        <w:t> </w:t>
      </w:r>
      <w:r>
        <w:rPr>
          <w:sz w:val="18"/>
        </w:rPr>
        <w:t>22</w:t>
      </w:r>
      <w:r>
        <w:rPr>
          <w:spacing w:val="-3"/>
          <w:sz w:val="18"/>
        </w:rPr>
        <w:t> </w:t>
      </w:r>
      <w:r>
        <w:rPr>
          <w:sz w:val="18"/>
        </w:rPr>
        <w:t>(Automated</w:t>
      </w:r>
      <w:r>
        <w:rPr>
          <w:spacing w:val="-4"/>
          <w:sz w:val="18"/>
        </w:rPr>
        <w:t> </w:t>
      </w:r>
      <w:r>
        <w:rPr>
          <w:sz w:val="18"/>
        </w:rPr>
        <w:t>individual</w:t>
      </w:r>
      <w:r>
        <w:rPr>
          <w:spacing w:val="-4"/>
          <w:sz w:val="18"/>
        </w:rPr>
        <w:t> </w:t>
      </w:r>
      <w:r>
        <w:rPr>
          <w:sz w:val="18"/>
        </w:rPr>
        <w:t>decision</w:t>
      </w:r>
      <w:r>
        <w:rPr>
          <w:spacing w:val="-4"/>
          <w:sz w:val="18"/>
        </w:rPr>
        <w:t> </w:t>
      </w:r>
      <w:r>
        <w:rPr>
          <w:sz w:val="18"/>
        </w:rPr>
        <w:t>making, including profiling). See Article 22(1), Regulation 2016/679/EU, ‘Protection of natural persons with regard to the processing of personal data and on the free movement of such data (EU GDPR)’, 27 April 2016.</w:t>
      </w:r>
    </w:p>
    <w:p>
      <w:pPr>
        <w:pStyle w:val="ListParagraph"/>
        <w:numPr>
          <w:ilvl w:val="0"/>
          <w:numId w:val="11"/>
        </w:numPr>
        <w:tabs>
          <w:tab w:pos="1853" w:val="left" w:leader="none"/>
        </w:tabs>
        <w:spacing w:line="235" w:lineRule="auto" w:before="2" w:after="0"/>
        <w:ind w:left="1853" w:right="1657" w:hanging="720"/>
        <w:jc w:val="left"/>
        <w:rPr>
          <w:sz w:val="18"/>
        </w:rPr>
      </w:pPr>
      <w:r>
        <w:rPr>
          <w:sz w:val="18"/>
        </w:rPr>
        <w:t>Article</w:t>
      </w:r>
      <w:r>
        <w:rPr>
          <w:spacing w:val="-5"/>
          <w:sz w:val="18"/>
        </w:rPr>
        <w:t> </w:t>
      </w:r>
      <w:r>
        <w:rPr>
          <w:sz w:val="18"/>
        </w:rPr>
        <w:t>22</w:t>
      </w:r>
      <w:r>
        <w:rPr>
          <w:spacing w:val="-5"/>
          <w:sz w:val="18"/>
        </w:rPr>
        <w:t> </w:t>
      </w:r>
      <w:r>
        <w:rPr>
          <w:sz w:val="18"/>
        </w:rPr>
        <w:t>(1),</w:t>
      </w:r>
      <w:r>
        <w:rPr>
          <w:spacing w:val="-5"/>
          <w:sz w:val="18"/>
        </w:rPr>
        <w:t> </w:t>
      </w:r>
      <w:r>
        <w:rPr>
          <w:sz w:val="18"/>
        </w:rPr>
        <w:t>Regulation</w:t>
      </w:r>
      <w:r>
        <w:rPr>
          <w:spacing w:val="-5"/>
          <w:sz w:val="18"/>
        </w:rPr>
        <w:t> </w:t>
      </w:r>
      <w:r>
        <w:rPr>
          <w:sz w:val="18"/>
        </w:rPr>
        <w:t>2016/679/EU,</w:t>
      </w:r>
      <w:r>
        <w:rPr>
          <w:spacing w:val="-5"/>
          <w:sz w:val="18"/>
        </w:rPr>
        <w:t> </w:t>
      </w:r>
      <w:r>
        <w:rPr>
          <w:sz w:val="18"/>
        </w:rPr>
        <w:t>‘EU</w:t>
      </w:r>
      <w:r>
        <w:rPr>
          <w:spacing w:val="-5"/>
          <w:sz w:val="18"/>
        </w:rPr>
        <w:t> </w:t>
      </w:r>
      <w:r>
        <w:rPr>
          <w:sz w:val="18"/>
        </w:rPr>
        <w:t>Parliament</w:t>
      </w:r>
      <w:r>
        <w:rPr>
          <w:spacing w:val="-5"/>
          <w:sz w:val="18"/>
        </w:rPr>
        <w:t> </w:t>
      </w:r>
      <w:r>
        <w:rPr>
          <w:sz w:val="18"/>
        </w:rPr>
        <w:t>and</w:t>
      </w:r>
      <w:r>
        <w:rPr>
          <w:spacing w:val="-5"/>
          <w:sz w:val="18"/>
        </w:rPr>
        <w:t> </w:t>
      </w:r>
      <w:r>
        <w:rPr>
          <w:sz w:val="18"/>
        </w:rPr>
        <w:t>Council</w:t>
      </w:r>
      <w:r>
        <w:rPr>
          <w:spacing w:val="-5"/>
          <w:sz w:val="18"/>
        </w:rPr>
        <w:t> </w:t>
      </w:r>
      <w:r>
        <w:rPr>
          <w:sz w:val="18"/>
        </w:rPr>
        <w:t>Regulation</w:t>
      </w:r>
      <w:r>
        <w:rPr>
          <w:spacing w:val="-5"/>
          <w:sz w:val="18"/>
        </w:rPr>
        <w:t> </w:t>
      </w:r>
      <w:r>
        <w:rPr>
          <w:sz w:val="18"/>
        </w:rPr>
        <w:t>on</w:t>
      </w:r>
      <w:r>
        <w:rPr>
          <w:spacing w:val="-5"/>
          <w:sz w:val="18"/>
        </w:rPr>
        <w:t> </w:t>
      </w:r>
      <w:r>
        <w:rPr>
          <w:sz w:val="18"/>
        </w:rPr>
        <w:t>the</w:t>
      </w:r>
      <w:r>
        <w:rPr>
          <w:spacing w:val="-5"/>
          <w:sz w:val="18"/>
        </w:rPr>
        <w:t> </w:t>
      </w:r>
      <w:r>
        <w:rPr>
          <w:sz w:val="18"/>
        </w:rPr>
        <w:t>protection</w:t>
      </w:r>
      <w:r>
        <w:rPr>
          <w:spacing w:val="-5"/>
          <w:sz w:val="18"/>
        </w:rPr>
        <w:t> </w:t>
      </w:r>
      <w:r>
        <w:rPr>
          <w:sz w:val="18"/>
        </w:rPr>
        <w:t>of</w:t>
      </w:r>
      <w:r>
        <w:rPr>
          <w:spacing w:val="-5"/>
          <w:sz w:val="18"/>
        </w:rPr>
        <w:t> </w:t>
      </w:r>
      <w:r>
        <w:rPr>
          <w:sz w:val="18"/>
        </w:rPr>
        <w:t>natural</w:t>
      </w:r>
      <w:r>
        <w:rPr>
          <w:spacing w:val="-5"/>
          <w:sz w:val="18"/>
        </w:rPr>
        <w:t> </w:t>
      </w:r>
      <w:r>
        <w:rPr>
          <w:sz w:val="18"/>
        </w:rPr>
        <w:t>persons with regard to the processing of personal data and on the free movement of such data’, 27 April 2016.</w:t>
      </w:r>
    </w:p>
    <w:p>
      <w:pPr>
        <w:spacing w:after="0" w:line="235" w:lineRule="auto"/>
        <w:jc w:val="left"/>
        <w:rPr>
          <w:sz w:val="18"/>
        </w:rPr>
        <w:sectPr>
          <w:headerReference w:type="even" r:id="rId194"/>
          <w:headerReference w:type="default" r:id="rId195"/>
          <w:footerReference w:type="even" r:id="rId196"/>
          <w:footerReference w:type="default" r:id="rId197"/>
          <w:pgSz w:w="11910" w:h="16840"/>
          <w:pgMar w:header="496" w:footer="367" w:top="1220" w:bottom="560" w:left="0" w:right="0"/>
          <w:pgNumType w:start="128"/>
        </w:sectPr>
      </w:pPr>
    </w:p>
    <w:p>
      <w:pPr>
        <w:pStyle w:val="BodyText"/>
        <w:spacing w:before="198"/>
      </w:pPr>
    </w:p>
    <w:p>
      <w:pPr>
        <w:pStyle w:val="BodyText"/>
        <w:spacing w:line="225" w:lineRule="auto"/>
        <w:ind w:left="1853" w:right="1503"/>
      </w:pPr>
      <w:r>
        <w:rPr/>
        <w:t>categories</w:t>
      </w:r>
      <w:r>
        <w:rPr>
          <w:spacing w:val="-10"/>
        </w:rPr>
        <w:t> </w:t>
      </w:r>
      <w:r>
        <w:rPr/>
        <w:t>of</w:t>
      </w:r>
      <w:r>
        <w:rPr>
          <w:spacing w:val="-10"/>
        </w:rPr>
        <w:t> </w:t>
      </w:r>
      <w:r>
        <w:rPr/>
        <w:t>personal</w:t>
      </w:r>
      <w:r>
        <w:rPr>
          <w:spacing w:val="-10"/>
        </w:rPr>
        <w:t> </w:t>
      </w:r>
      <w:r>
        <w:rPr/>
        <w:t>data</w:t>
      </w:r>
      <w:r>
        <w:rPr>
          <w:spacing w:val="-10"/>
        </w:rPr>
        <w:t> </w:t>
      </w:r>
      <w:r>
        <w:rPr/>
        <w:t>is</w:t>
      </w:r>
      <w:r>
        <w:rPr>
          <w:spacing w:val="-10"/>
        </w:rPr>
        <w:t> </w:t>
      </w:r>
      <w:r>
        <w:rPr/>
        <w:t>still</w:t>
      </w:r>
      <w:r>
        <w:rPr>
          <w:spacing w:val="-10"/>
        </w:rPr>
        <w:t> </w:t>
      </w:r>
      <w:r>
        <w:rPr/>
        <w:t>restricted.</w:t>
      </w:r>
      <w:r>
        <w:rPr>
          <w:vertAlign w:val="superscript"/>
        </w:rPr>
        <w:t>724</w:t>
      </w:r>
      <w:r>
        <w:rPr>
          <w:spacing w:val="-10"/>
          <w:vertAlign w:val="baseline"/>
        </w:rPr>
        <w:t> </w:t>
      </w:r>
      <w:r>
        <w:rPr>
          <w:vertAlign w:val="baseline"/>
        </w:rPr>
        <w:t>Of</w:t>
      </w:r>
      <w:r>
        <w:rPr>
          <w:spacing w:val="-10"/>
          <w:vertAlign w:val="baseline"/>
        </w:rPr>
        <w:t> </w:t>
      </w:r>
      <w:r>
        <w:rPr>
          <w:vertAlign w:val="baseline"/>
        </w:rPr>
        <w:t>particular</w:t>
      </w:r>
      <w:r>
        <w:rPr>
          <w:spacing w:val="-9"/>
          <w:vertAlign w:val="baseline"/>
        </w:rPr>
        <w:t> </w:t>
      </w:r>
      <w:r>
        <w:rPr>
          <w:vertAlign w:val="baseline"/>
        </w:rPr>
        <w:t>concern</w:t>
      </w:r>
      <w:r>
        <w:rPr>
          <w:spacing w:val="-10"/>
          <w:vertAlign w:val="baseline"/>
        </w:rPr>
        <w:t> </w:t>
      </w:r>
      <w:r>
        <w:rPr>
          <w:vertAlign w:val="baseline"/>
        </w:rPr>
        <w:t>is</w:t>
      </w:r>
      <w:r>
        <w:rPr>
          <w:spacing w:val="-10"/>
          <w:vertAlign w:val="baseline"/>
        </w:rPr>
        <w:t> </w:t>
      </w:r>
      <w:r>
        <w:rPr>
          <w:vertAlign w:val="baseline"/>
        </w:rPr>
        <w:t>that, although subject to some safeguards, this provision would make changes</w:t>
      </w:r>
      <w:r>
        <w:rPr>
          <w:vertAlign w:val="baseline"/>
        </w:rPr>
        <w:t> to</w:t>
      </w:r>
      <w:r>
        <w:rPr>
          <w:spacing w:val="-5"/>
          <w:vertAlign w:val="baseline"/>
        </w:rPr>
        <w:t> </w:t>
      </w:r>
      <w:r>
        <w:rPr>
          <w:vertAlign w:val="baseline"/>
        </w:rPr>
        <w:t>generally</w:t>
      </w:r>
      <w:r>
        <w:rPr>
          <w:spacing w:val="-4"/>
          <w:vertAlign w:val="baseline"/>
        </w:rPr>
        <w:t> </w:t>
      </w:r>
      <w:r>
        <w:rPr>
          <w:vertAlign w:val="baseline"/>
        </w:rPr>
        <w:t>allow</w:t>
      </w:r>
      <w:r>
        <w:rPr>
          <w:spacing w:val="-4"/>
          <w:vertAlign w:val="baseline"/>
        </w:rPr>
        <w:t> </w:t>
      </w:r>
      <w:r>
        <w:rPr>
          <w:vertAlign w:val="baseline"/>
        </w:rPr>
        <w:t>automated</w:t>
      </w:r>
      <w:r>
        <w:rPr>
          <w:spacing w:val="-5"/>
          <w:vertAlign w:val="baseline"/>
        </w:rPr>
        <w:t> </w:t>
      </w:r>
      <w:r>
        <w:rPr>
          <w:vertAlign w:val="baseline"/>
        </w:rPr>
        <w:t>decision-making,</w:t>
      </w:r>
      <w:r>
        <w:rPr>
          <w:spacing w:val="-4"/>
          <w:vertAlign w:val="baseline"/>
        </w:rPr>
        <w:t> </w:t>
      </w:r>
      <w:r>
        <w:rPr>
          <w:vertAlign w:val="baseline"/>
        </w:rPr>
        <w:t>including</w:t>
      </w:r>
      <w:r>
        <w:rPr>
          <w:spacing w:val="-4"/>
          <w:vertAlign w:val="baseline"/>
        </w:rPr>
        <w:t> </w:t>
      </w:r>
      <w:r>
        <w:rPr>
          <w:vertAlign w:val="baseline"/>
        </w:rPr>
        <w:t>profiling,</w:t>
      </w:r>
      <w:r>
        <w:rPr>
          <w:spacing w:val="-4"/>
          <w:vertAlign w:val="baseline"/>
        </w:rPr>
        <w:t> </w:t>
      </w:r>
      <w:r>
        <w:rPr>
          <w:vertAlign w:val="baseline"/>
        </w:rPr>
        <w:t>and</w:t>
      </w:r>
      <w:r>
        <w:rPr>
          <w:spacing w:val="-5"/>
          <w:vertAlign w:val="baseline"/>
        </w:rPr>
        <w:t> </w:t>
      </w:r>
      <w:r>
        <w:rPr>
          <w:vertAlign w:val="baseline"/>
        </w:rPr>
        <w:t>may</w:t>
      </w:r>
    </w:p>
    <w:p>
      <w:pPr>
        <w:pStyle w:val="BodyText"/>
        <w:spacing w:line="225" w:lineRule="auto"/>
        <w:ind w:left="1853" w:right="1171"/>
      </w:pPr>
      <w:r>
        <w:rPr/>
        <w:t>result in unfair and discriminatory outcomes of decisions as a result of there being no meaningful human oversight. The Commissions are concerned that this</w:t>
      </w:r>
      <w:r>
        <w:rPr>
          <w:spacing w:val="-7"/>
        </w:rPr>
        <w:t> </w:t>
      </w:r>
      <w:r>
        <w:rPr/>
        <w:t>change</w:t>
      </w:r>
      <w:r>
        <w:rPr>
          <w:spacing w:val="-6"/>
        </w:rPr>
        <w:t> </w:t>
      </w:r>
      <w:r>
        <w:rPr/>
        <w:t>essentially</w:t>
      </w:r>
      <w:r>
        <w:rPr>
          <w:spacing w:val="-6"/>
        </w:rPr>
        <w:t> </w:t>
      </w:r>
      <w:r>
        <w:rPr/>
        <w:t>limits</w:t>
      </w:r>
      <w:r>
        <w:rPr>
          <w:spacing w:val="-7"/>
        </w:rPr>
        <w:t> </w:t>
      </w:r>
      <w:r>
        <w:rPr/>
        <w:t>some</w:t>
      </w:r>
      <w:r>
        <w:rPr>
          <w:spacing w:val="-6"/>
        </w:rPr>
        <w:t> </w:t>
      </w:r>
      <w:r>
        <w:rPr/>
        <w:t>of</w:t>
      </w:r>
      <w:r>
        <w:rPr>
          <w:spacing w:val="-7"/>
        </w:rPr>
        <w:t> </w:t>
      </w:r>
      <w:r>
        <w:rPr/>
        <w:t>the</w:t>
      </w:r>
      <w:r>
        <w:rPr>
          <w:spacing w:val="-6"/>
        </w:rPr>
        <w:t> </w:t>
      </w:r>
      <w:r>
        <w:rPr/>
        <w:t>important</w:t>
      </w:r>
      <w:r>
        <w:rPr>
          <w:spacing w:val="-6"/>
        </w:rPr>
        <w:t> </w:t>
      </w:r>
      <w:r>
        <w:rPr/>
        <w:t>protections</w:t>
      </w:r>
      <w:r>
        <w:rPr>
          <w:spacing w:val="-7"/>
        </w:rPr>
        <w:t> </w:t>
      </w:r>
      <w:r>
        <w:rPr/>
        <w:t>data</w:t>
      </w:r>
      <w:r>
        <w:rPr>
          <w:spacing w:val="-7"/>
        </w:rPr>
        <w:t> </w:t>
      </w:r>
      <w:r>
        <w:rPr/>
        <w:t>subjects currently enjoy, albeit retaining some of the safeguards.</w:t>
      </w:r>
    </w:p>
    <w:p>
      <w:pPr>
        <w:pStyle w:val="ListParagraph"/>
        <w:numPr>
          <w:ilvl w:val="1"/>
          <w:numId w:val="7"/>
        </w:numPr>
        <w:tabs>
          <w:tab w:pos="1853" w:val="left" w:leader="none"/>
        </w:tabs>
        <w:spacing w:line="225" w:lineRule="auto" w:before="311" w:after="0"/>
        <w:ind w:left="1853" w:right="1344" w:hanging="720"/>
        <w:jc w:val="left"/>
        <w:rPr>
          <w:sz w:val="28"/>
        </w:rPr>
      </w:pPr>
      <w:r>
        <w:rPr>
          <w:sz w:val="28"/>
        </w:rPr>
        <w:t>Given the considerations outlined above, the Commissions are concerned that neither the Explanatory Notes nor the Human Rights Memorandum to the</w:t>
      </w:r>
      <w:r>
        <w:rPr>
          <w:spacing w:val="-7"/>
          <w:sz w:val="28"/>
        </w:rPr>
        <w:t> </w:t>
      </w:r>
      <w:r>
        <w:rPr>
          <w:sz w:val="28"/>
        </w:rPr>
        <w:t>Bill</w:t>
      </w:r>
      <w:r>
        <w:rPr>
          <w:spacing w:val="-8"/>
          <w:sz w:val="28"/>
        </w:rPr>
        <w:t> </w:t>
      </w:r>
      <w:r>
        <w:rPr>
          <w:sz w:val="28"/>
        </w:rPr>
        <w:t>made</w:t>
      </w:r>
      <w:r>
        <w:rPr>
          <w:spacing w:val="-7"/>
          <w:sz w:val="28"/>
        </w:rPr>
        <w:t> </w:t>
      </w:r>
      <w:r>
        <w:rPr>
          <w:sz w:val="28"/>
        </w:rPr>
        <w:t>any</w:t>
      </w:r>
      <w:r>
        <w:rPr>
          <w:spacing w:val="-7"/>
          <w:sz w:val="28"/>
        </w:rPr>
        <w:t> </w:t>
      </w:r>
      <w:r>
        <w:rPr>
          <w:sz w:val="28"/>
        </w:rPr>
        <w:t>reference</w:t>
      </w:r>
      <w:r>
        <w:rPr>
          <w:spacing w:val="-7"/>
          <w:sz w:val="28"/>
        </w:rPr>
        <w:t> </w:t>
      </w:r>
      <w:r>
        <w:rPr>
          <w:sz w:val="28"/>
        </w:rPr>
        <w:t>to</w:t>
      </w:r>
      <w:r>
        <w:rPr>
          <w:spacing w:val="-8"/>
          <w:sz w:val="28"/>
        </w:rPr>
        <w:t> </w:t>
      </w:r>
      <w:r>
        <w:rPr>
          <w:sz w:val="28"/>
        </w:rPr>
        <w:t>consideration</w:t>
      </w:r>
      <w:r>
        <w:rPr>
          <w:spacing w:val="-8"/>
          <w:sz w:val="28"/>
        </w:rPr>
        <w:t> </w:t>
      </w:r>
      <w:r>
        <w:rPr>
          <w:sz w:val="28"/>
        </w:rPr>
        <w:t>of</w:t>
      </w:r>
      <w:r>
        <w:rPr>
          <w:spacing w:val="-8"/>
          <w:sz w:val="28"/>
        </w:rPr>
        <w:t> </w:t>
      </w:r>
      <w:r>
        <w:rPr>
          <w:sz w:val="28"/>
        </w:rPr>
        <w:t>Windsor</w:t>
      </w:r>
      <w:r>
        <w:rPr>
          <w:spacing w:val="-7"/>
          <w:sz w:val="28"/>
        </w:rPr>
        <w:t> </w:t>
      </w:r>
      <w:r>
        <w:rPr>
          <w:sz w:val="28"/>
        </w:rPr>
        <w:t>Framework</w:t>
      </w:r>
      <w:r>
        <w:rPr>
          <w:spacing w:val="-7"/>
          <w:sz w:val="28"/>
        </w:rPr>
        <w:t> </w:t>
      </w:r>
      <w:r>
        <w:rPr>
          <w:sz w:val="28"/>
        </w:rPr>
        <w:t>Article</w:t>
      </w:r>
      <w:r>
        <w:rPr>
          <w:spacing w:val="-7"/>
          <w:sz w:val="28"/>
        </w:rPr>
        <w:t> </w:t>
      </w:r>
      <w:r>
        <w:rPr>
          <w:sz w:val="28"/>
        </w:rPr>
        <w:t>2 </w:t>
      </w:r>
      <w:r>
        <w:rPr>
          <w:spacing w:val="-2"/>
          <w:sz w:val="28"/>
        </w:rPr>
        <w:t>compliance.</w:t>
      </w:r>
      <w:r>
        <w:rPr>
          <w:spacing w:val="-2"/>
          <w:sz w:val="28"/>
          <w:vertAlign w:val="superscript"/>
        </w:rPr>
        <w:t>725</w:t>
      </w:r>
    </w:p>
    <w:p>
      <w:pPr>
        <w:pStyle w:val="ListParagraph"/>
        <w:numPr>
          <w:ilvl w:val="1"/>
          <w:numId w:val="7"/>
        </w:numPr>
        <w:tabs>
          <w:tab w:pos="1853" w:val="left" w:leader="none"/>
        </w:tabs>
        <w:spacing w:line="225" w:lineRule="auto" w:before="315" w:after="0"/>
        <w:ind w:left="1853" w:right="1660" w:hanging="720"/>
        <w:jc w:val="left"/>
        <w:rPr>
          <w:sz w:val="28"/>
        </w:rPr>
      </w:pPr>
      <w:r>
        <w:rPr>
          <w:sz w:val="28"/>
        </w:rPr>
        <w:t>The</w:t>
      </w:r>
      <w:r>
        <w:rPr>
          <w:spacing w:val="-4"/>
          <w:sz w:val="28"/>
        </w:rPr>
        <w:t> </w:t>
      </w:r>
      <w:r>
        <w:rPr>
          <w:sz w:val="28"/>
        </w:rPr>
        <w:t>Commissions</w:t>
      </w:r>
      <w:r>
        <w:rPr>
          <w:spacing w:val="-5"/>
          <w:sz w:val="28"/>
        </w:rPr>
        <w:t> </w:t>
      </w:r>
      <w:r>
        <w:rPr>
          <w:sz w:val="28"/>
        </w:rPr>
        <w:t>will</w:t>
      </w:r>
      <w:r>
        <w:rPr>
          <w:spacing w:val="-5"/>
          <w:sz w:val="28"/>
        </w:rPr>
        <w:t> </w:t>
      </w:r>
      <w:r>
        <w:rPr>
          <w:sz w:val="28"/>
        </w:rPr>
        <w:t>continue</w:t>
      </w:r>
      <w:r>
        <w:rPr>
          <w:spacing w:val="-4"/>
          <w:sz w:val="28"/>
        </w:rPr>
        <w:t> </w:t>
      </w:r>
      <w:r>
        <w:rPr>
          <w:sz w:val="28"/>
        </w:rPr>
        <w:t>monitoring</w:t>
      </w:r>
      <w:r>
        <w:rPr>
          <w:spacing w:val="-4"/>
          <w:sz w:val="28"/>
        </w:rPr>
        <w:t> </w:t>
      </w:r>
      <w:r>
        <w:rPr>
          <w:sz w:val="28"/>
        </w:rPr>
        <w:t>the</w:t>
      </w:r>
      <w:r>
        <w:rPr>
          <w:spacing w:val="-4"/>
          <w:sz w:val="28"/>
        </w:rPr>
        <w:t> </w:t>
      </w:r>
      <w:r>
        <w:rPr>
          <w:sz w:val="28"/>
        </w:rPr>
        <w:t>progress</w:t>
      </w:r>
      <w:r>
        <w:rPr>
          <w:spacing w:val="-5"/>
          <w:sz w:val="28"/>
        </w:rPr>
        <w:t> </w:t>
      </w:r>
      <w:r>
        <w:rPr>
          <w:sz w:val="28"/>
        </w:rPr>
        <w:t>of</w:t>
      </w:r>
      <w:r>
        <w:rPr>
          <w:spacing w:val="-5"/>
          <w:sz w:val="28"/>
        </w:rPr>
        <w:t> </w:t>
      </w:r>
      <w:r>
        <w:rPr>
          <w:sz w:val="28"/>
        </w:rPr>
        <w:t>the</w:t>
      </w:r>
      <w:r>
        <w:rPr>
          <w:spacing w:val="-4"/>
          <w:sz w:val="28"/>
        </w:rPr>
        <w:t> </w:t>
      </w:r>
      <w:r>
        <w:rPr>
          <w:sz w:val="28"/>
        </w:rPr>
        <w:t>Bill</w:t>
      </w:r>
      <w:r>
        <w:rPr>
          <w:spacing w:val="-5"/>
          <w:sz w:val="28"/>
        </w:rPr>
        <w:t> </w:t>
      </w:r>
      <w:r>
        <w:rPr>
          <w:sz w:val="28"/>
        </w:rPr>
        <w:t>and</w:t>
      </w:r>
      <w:r>
        <w:rPr>
          <w:spacing w:val="-5"/>
          <w:sz w:val="28"/>
        </w:rPr>
        <w:t> </w:t>
      </w:r>
      <w:r>
        <w:rPr>
          <w:sz w:val="28"/>
        </w:rPr>
        <w:t>the possibility of any diminution of data protection rights.</w:t>
      </w:r>
    </w:p>
    <w:p>
      <w:pPr>
        <w:pStyle w:val="Heading6"/>
        <w:spacing w:line="225" w:lineRule="auto" w:before="318"/>
        <w:ind w:left="1842" w:right="1171" w:hanging="1"/>
      </w:pPr>
      <w:r>
        <w:rPr>
          <w:i/>
          <w:color w:val="67287F"/>
        </w:rPr>
        <w:t>Data</w:t>
      </w:r>
      <w:r>
        <w:rPr>
          <w:i/>
          <w:color w:val="67287F"/>
          <w:spacing w:val="-9"/>
        </w:rPr>
        <w:t> </w:t>
      </w:r>
      <w:r>
        <w:rPr>
          <w:i/>
          <w:color w:val="67287F"/>
        </w:rPr>
        <w:t>Protection</w:t>
      </w:r>
      <w:r>
        <w:rPr>
          <w:i/>
          <w:color w:val="67287F"/>
          <w:spacing w:val="-10"/>
        </w:rPr>
        <w:t> </w:t>
      </w:r>
      <w:r>
        <w:rPr>
          <w:i/>
          <w:color w:val="67287F"/>
        </w:rPr>
        <w:t>(Fundamental</w:t>
      </w:r>
      <w:r>
        <w:rPr>
          <w:i/>
          <w:color w:val="67287F"/>
          <w:spacing w:val="-9"/>
        </w:rPr>
        <w:t> </w:t>
      </w:r>
      <w:r>
        <w:rPr>
          <w:i/>
          <w:color w:val="67287F"/>
        </w:rPr>
        <w:t>Rights</w:t>
      </w:r>
      <w:r>
        <w:rPr>
          <w:i/>
          <w:color w:val="67287F"/>
          <w:spacing w:val="-10"/>
        </w:rPr>
        <w:t> </w:t>
      </w:r>
      <w:r>
        <w:rPr>
          <w:i/>
          <w:color w:val="67287F"/>
        </w:rPr>
        <w:t>and</w:t>
      </w:r>
      <w:r>
        <w:rPr>
          <w:i/>
          <w:color w:val="67287F"/>
          <w:spacing w:val="-9"/>
        </w:rPr>
        <w:t> </w:t>
      </w:r>
      <w:r>
        <w:rPr>
          <w:i/>
          <w:color w:val="67287F"/>
        </w:rPr>
        <w:t>Freedoms)</w:t>
      </w:r>
      <w:r>
        <w:rPr>
          <w:i/>
          <w:color w:val="67287F"/>
          <w:spacing w:val="-9"/>
        </w:rPr>
        <w:t> </w:t>
      </w:r>
      <w:r>
        <w:rPr>
          <w:i/>
          <w:color w:val="67287F"/>
        </w:rPr>
        <w:t>(Amendment)</w:t>
      </w:r>
      <w:r>
        <w:rPr>
          <w:color w:val="67287F"/>
        </w:rPr>
        <w:t> Regulations 2023</w:t>
      </w:r>
    </w:p>
    <w:p>
      <w:pPr>
        <w:pStyle w:val="ListParagraph"/>
        <w:numPr>
          <w:ilvl w:val="1"/>
          <w:numId w:val="7"/>
        </w:numPr>
        <w:tabs>
          <w:tab w:pos="1853" w:val="left" w:leader="none"/>
        </w:tabs>
        <w:spacing w:line="225" w:lineRule="auto" w:before="0" w:after="0"/>
        <w:ind w:left="1853" w:right="1258" w:hanging="720"/>
        <w:jc w:val="left"/>
        <w:rPr>
          <w:sz w:val="28"/>
        </w:rPr>
      </w:pPr>
      <w:r>
        <w:rPr>
          <w:sz w:val="28"/>
        </w:rPr>
        <w:t>The ECNI has highlighted its concerns regarding Regulations passed by the Department for Science, Innovation and Technology in the data protection field</w:t>
      </w:r>
      <w:r>
        <w:rPr>
          <w:spacing w:val="-8"/>
          <w:sz w:val="28"/>
        </w:rPr>
        <w:t> </w:t>
      </w:r>
      <w:r>
        <w:rPr>
          <w:sz w:val="28"/>
        </w:rPr>
        <w:t>in</w:t>
      </w:r>
      <w:r>
        <w:rPr>
          <w:spacing w:val="-8"/>
          <w:sz w:val="28"/>
        </w:rPr>
        <w:t> </w:t>
      </w:r>
      <w:r>
        <w:rPr>
          <w:sz w:val="28"/>
        </w:rPr>
        <w:t>2023,</w:t>
      </w:r>
      <w:r>
        <w:rPr>
          <w:spacing w:val="-8"/>
          <w:sz w:val="28"/>
        </w:rPr>
        <w:t> </w:t>
      </w:r>
      <w:r>
        <w:rPr>
          <w:sz w:val="28"/>
        </w:rPr>
        <w:t>which</w:t>
      </w:r>
      <w:r>
        <w:rPr>
          <w:spacing w:val="-8"/>
          <w:sz w:val="28"/>
        </w:rPr>
        <w:t> </w:t>
      </w:r>
      <w:r>
        <w:rPr>
          <w:sz w:val="28"/>
        </w:rPr>
        <w:t>extend</w:t>
      </w:r>
      <w:r>
        <w:rPr>
          <w:spacing w:val="-8"/>
          <w:sz w:val="28"/>
        </w:rPr>
        <w:t> </w:t>
      </w:r>
      <w:r>
        <w:rPr>
          <w:sz w:val="28"/>
        </w:rPr>
        <w:t>to</w:t>
      </w:r>
      <w:r>
        <w:rPr>
          <w:spacing w:val="-8"/>
          <w:sz w:val="28"/>
        </w:rPr>
        <w:t> </w:t>
      </w:r>
      <w:r>
        <w:rPr>
          <w:sz w:val="28"/>
        </w:rPr>
        <w:t>NI.</w:t>
      </w:r>
      <w:r>
        <w:rPr>
          <w:sz w:val="28"/>
          <w:vertAlign w:val="superscript"/>
        </w:rPr>
        <w:t>726</w:t>
      </w:r>
      <w:r>
        <w:rPr>
          <w:spacing w:val="40"/>
          <w:sz w:val="28"/>
          <w:vertAlign w:val="baseline"/>
        </w:rPr>
        <w:t> </w:t>
      </w:r>
      <w:r>
        <w:rPr>
          <w:sz w:val="28"/>
          <w:vertAlign w:val="baseline"/>
        </w:rPr>
        <w:t>The</w:t>
      </w:r>
      <w:r>
        <w:rPr>
          <w:spacing w:val="-8"/>
          <w:sz w:val="28"/>
          <w:vertAlign w:val="baseline"/>
        </w:rPr>
        <w:t> </w:t>
      </w:r>
      <w:r>
        <w:rPr>
          <w:sz w:val="28"/>
          <w:vertAlign w:val="baseline"/>
        </w:rPr>
        <w:t>Data</w:t>
      </w:r>
      <w:r>
        <w:rPr>
          <w:spacing w:val="-8"/>
          <w:sz w:val="28"/>
          <w:vertAlign w:val="baseline"/>
        </w:rPr>
        <w:t> </w:t>
      </w:r>
      <w:r>
        <w:rPr>
          <w:sz w:val="28"/>
          <w:vertAlign w:val="baseline"/>
        </w:rPr>
        <w:t>Protection</w:t>
      </w:r>
      <w:r>
        <w:rPr>
          <w:spacing w:val="-8"/>
          <w:sz w:val="28"/>
          <w:vertAlign w:val="baseline"/>
        </w:rPr>
        <w:t> </w:t>
      </w:r>
      <w:r>
        <w:rPr>
          <w:sz w:val="28"/>
          <w:vertAlign w:val="baseline"/>
        </w:rPr>
        <w:t>(Fundamental</w:t>
      </w:r>
      <w:r>
        <w:rPr>
          <w:spacing w:val="-8"/>
          <w:sz w:val="28"/>
          <w:vertAlign w:val="baseline"/>
        </w:rPr>
        <w:t> </w:t>
      </w:r>
      <w:r>
        <w:rPr>
          <w:sz w:val="28"/>
          <w:vertAlign w:val="baseline"/>
        </w:rPr>
        <w:t>Rights and Freedoms) (Amendment) Regulations 2023, which came into force on 31 December</w:t>
      </w:r>
      <w:r>
        <w:rPr>
          <w:spacing w:val="-5"/>
          <w:sz w:val="28"/>
          <w:vertAlign w:val="baseline"/>
        </w:rPr>
        <w:t> </w:t>
      </w:r>
      <w:r>
        <w:rPr>
          <w:sz w:val="28"/>
          <w:vertAlign w:val="baseline"/>
        </w:rPr>
        <w:t>2023,</w:t>
      </w:r>
      <w:r>
        <w:rPr>
          <w:spacing w:val="-5"/>
          <w:sz w:val="28"/>
          <w:vertAlign w:val="baseline"/>
        </w:rPr>
        <w:t> </w:t>
      </w:r>
      <w:r>
        <w:rPr>
          <w:sz w:val="28"/>
          <w:vertAlign w:val="baseline"/>
        </w:rPr>
        <w:t>amended</w:t>
      </w:r>
      <w:r>
        <w:rPr>
          <w:spacing w:val="-5"/>
          <w:sz w:val="28"/>
          <w:vertAlign w:val="baseline"/>
        </w:rPr>
        <w:t> </w:t>
      </w:r>
      <w:r>
        <w:rPr>
          <w:sz w:val="28"/>
          <w:vertAlign w:val="baseline"/>
        </w:rPr>
        <w:t>the</w:t>
      </w:r>
      <w:r>
        <w:rPr>
          <w:spacing w:val="-5"/>
          <w:sz w:val="28"/>
          <w:vertAlign w:val="baseline"/>
        </w:rPr>
        <w:t> </w:t>
      </w:r>
      <w:r>
        <w:rPr>
          <w:sz w:val="28"/>
          <w:vertAlign w:val="baseline"/>
        </w:rPr>
        <w:t>definition</w:t>
      </w:r>
      <w:r>
        <w:rPr>
          <w:spacing w:val="-5"/>
          <w:sz w:val="28"/>
          <w:vertAlign w:val="baseline"/>
        </w:rPr>
        <w:t> </w:t>
      </w:r>
      <w:r>
        <w:rPr>
          <w:sz w:val="28"/>
          <w:vertAlign w:val="baseline"/>
        </w:rPr>
        <w:t>of</w:t>
      </w:r>
      <w:r>
        <w:rPr>
          <w:spacing w:val="-5"/>
          <w:sz w:val="28"/>
          <w:vertAlign w:val="baseline"/>
        </w:rPr>
        <w:t> </w:t>
      </w:r>
      <w:r>
        <w:rPr>
          <w:sz w:val="28"/>
          <w:vertAlign w:val="baseline"/>
        </w:rPr>
        <w:t>fundamental</w:t>
      </w:r>
      <w:r>
        <w:rPr>
          <w:spacing w:val="-5"/>
          <w:sz w:val="28"/>
          <w:vertAlign w:val="baseline"/>
        </w:rPr>
        <w:t> </w:t>
      </w:r>
      <w:r>
        <w:rPr>
          <w:sz w:val="28"/>
          <w:vertAlign w:val="baseline"/>
        </w:rPr>
        <w:t>rights</w:t>
      </w:r>
      <w:r>
        <w:rPr>
          <w:spacing w:val="-5"/>
          <w:sz w:val="28"/>
          <w:vertAlign w:val="baseline"/>
        </w:rPr>
        <w:t> </w:t>
      </w:r>
      <w:r>
        <w:rPr>
          <w:sz w:val="28"/>
          <w:vertAlign w:val="baseline"/>
        </w:rPr>
        <w:t>and</w:t>
      </w:r>
      <w:r>
        <w:rPr>
          <w:spacing w:val="-5"/>
          <w:sz w:val="28"/>
          <w:vertAlign w:val="baseline"/>
        </w:rPr>
        <w:t> </w:t>
      </w:r>
      <w:r>
        <w:rPr>
          <w:sz w:val="28"/>
          <w:vertAlign w:val="baseline"/>
        </w:rPr>
        <w:t>freedoms in the UK GDPR and the Data Protection Act 2018 to refer to those set out under the ECHR as opposed to the EU Charter of Fundamental Rights.</w:t>
      </w:r>
    </w:p>
    <w:p>
      <w:pPr>
        <w:pStyle w:val="ListParagraph"/>
        <w:numPr>
          <w:ilvl w:val="1"/>
          <w:numId w:val="7"/>
        </w:numPr>
        <w:tabs>
          <w:tab w:pos="1853" w:val="left" w:leader="none"/>
        </w:tabs>
        <w:spacing w:line="225" w:lineRule="auto" w:before="308" w:after="0"/>
        <w:ind w:left="1853" w:right="1149" w:hanging="720"/>
        <w:jc w:val="left"/>
        <w:rPr>
          <w:sz w:val="28"/>
        </w:rPr>
      </w:pPr>
      <w:r>
        <w:rPr>
          <w:sz w:val="28"/>
        </w:rPr>
        <w:t>The EU Charter contains a specific right that governs the use of personal data and the EU GDPR was promulgated under Article 8, EU Charter. The ECNI therefore</w:t>
      </w:r>
      <w:r>
        <w:rPr>
          <w:spacing w:val="-7"/>
          <w:sz w:val="28"/>
        </w:rPr>
        <w:t> </w:t>
      </w:r>
      <w:r>
        <w:rPr>
          <w:sz w:val="28"/>
        </w:rPr>
        <w:t>considers</w:t>
      </w:r>
      <w:r>
        <w:rPr>
          <w:spacing w:val="-8"/>
          <w:sz w:val="28"/>
        </w:rPr>
        <w:t> </w:t>
      </w:r>
      <w:r>
        <w:rPr>
          <w:sz w:val="28"/>
        </w:rPr>
        <w:t>that</w:t>
      </w:r>
      <w:r>
        <w:rPr>
          <w:spacing w:val="-7"/>
          <w:sz w:val="28"/>
        </w:rPr>
        <w:t> </w:t>
      </w:r>
      <w:r>
        <w:rPr>
          <w:sz w:val="28"/>
        </w:rPr>
        <w:t>removing</w:t>
      </w:r>
      <w:r>
        <w:rPr>
          <w:spacing w:val="-7"/>
          <w:sz w:val="28"/>
        </w:rPr>
        <w:t> </w:t>
      </w:r>
      <w:r>
        <w:rPr>
          <w:sz w:val="28"/>
        </w:rPr>
        <w:t>the</w:t>
      </w:r>
      <w:r>
        <w:rPr>
          <w:spacing w:val="-7"/>
          <w:sz w:val="28"/>
        </w:rPr>
        <w:t> </w:t>
      </w:r>
      <w:r>
        <w:rPr>
          <w:sz w:val="28"/>
        </w:rPr>
        <w:t>EU</w:t>
      </w:r>
      <w:r>
        <w:rPr>
          <w:spacing w:val="-7"/>
          <w:sz w:val="28"/>
        </w:rPr>
        <w:t> </w:t>
      </w:r>
      <w:r>
        <w:rPr>
          <w:sz w:val="28"/>
        </w:rPr>
        <w:t>Charter</w:t>
      </w:r>
      <w:r>
        <w:rPr>
          <w:spacing w:val="-7"/>
          <w:sz w:val="28"/>
        </w:rPr>
        <w:t> </w:t>
      </w:r>
      <w:r>
        <w:rPr>
          <w:sz w:val="28"/>
        </w:rPr>
        <w:t>from</w:t>
      </w:r>
      <w:r>
        <w:rPr>
          <w:spacing w:val="-7"/>
          <w:sz w:val="28"/>
        </w:rPr>
        <w:t> </w:t>
      </w:r>
      <w:r>
        <w:rPr>
          <w:sz w:val="28"/>
        </w:rPr>
        <w:t>the</w:t>
      </w:r>
      <w:r>
        <w:rPr>
          <w:spacing w:val="-7"/>
          <w:sz w:val="28"/>
        </w:rPr>
        <w:t> </w:t>
      </w:r>
      <w:r>
        <w:rPr>
          <w:sz w:val="28"/>
        </w:rPr>
        <w:t>range</w:t>
      </w:r>
      <w:r>
        <w:rPr>
          <w:spacing w:val="-7"/>
          <w:sz w:val="28"/>
        </w:rPr>
        <w:t> </w:t>
      </w:r>
      <w:r>
        <w:rPr>
          <w:sz w:val="28"/>
        </w:rPr>
        <w:t>of</w:t>
      </w:r>
      <w:r>
        <w:rPr>
          <w:spacing w:val="-8"/>
          <w:sz w:val="28"/>
        </w:rPr>
        <w:t> </w:t>
      </w:r>
      <w:r>
        <w:rPr>
          <w:sz w:val="28"/>
        </w:rPr>
        <w:t>applicable fundamental rights in the Data Protection Act 2018 may diminish the rights protection provided on or before the end of the Brexit transition period. The ECNI considers</w:t>
      </w:r>
      <w:r>
        <w:rPr>
          <w:spacing w:val="-1"/>
          <w:sz w:val="28"/>
        </w:rPr>
        <w:t> </w:t>
      </w:r>
      <w:r>
        <w:rPr>
          <w:sz w:val="28"/>
        </w:rPr>
        <w:t>there may also</w:t>
      </w:r>
      <w:r>
        <w:rPr>
          <w:spacing w:val="-1"/>
          <w:sz w:val="28"/>
        </w:rPr>
        <w:t> </w:t>
      </w:r>
      <w:r>
        <w:rPr>
          <w:sz w:val="28"/>
        </w:rPr>
        <w:t>be a</w:t>
      </w:r>
      <w:r>
        <w:rPr>
          <w:spacing w:val="-1"/>
          <w:sz w:val="28"/>
        </w:rPr>
        <w:t> </w:t>
      </w:r>
      <w:r>
        <w:rPr>
          <w:sz w:val="28"/>
        </w:rPr>
        <w:t>diminution</w:t>
      </w:r>
      <w:r>
        <w:rPr>
          <w:spacing w:val="-1"/>
          <w:sz w:val="28"/>
        </w:rPr>
        <w:t> </w:t>
      </w:r>
      <w:r>
        <w:rPr>
          <w:sz w:val="28"/>
        </w:rPr>
        <w:t>of</w:t>
      </w:r>
      <w:r>
        <w:rPr>
          <w:spacing w:val="-1"/>
          <w:sz w:val="28"/>
        </w:rPr>
        <w:t> </w:t>
      </w:r>
      <w:r>
        <w:rPr>
          <w:sz w:val="28"/>
        </w:rPr>
        <w:t>rights</w:t>
      </w:r>
      <w:r>
        <w:rPr>
          <w:spacing w:val="-1"/>
          <w:sz w:val="28"/>
        </w:rPr>
        <w:t> </w:t>
      </w:r>
      <w:r>
        <w:rPr>
          <w:sz w:val="28"/>
        </w:rPr>
        <w:t>protections</w:t>
      </w:r>
      <w:r>
        <w:rPr>
          <w:spacing w:val="-1"/>
          <w:sz w:val="28"/>
        </w:rPr>
        <w:t> </w:t>
      </w:r>
      <w:r>
        <w:rPr>
          <w:sz w:val="28"/>
        </w:rPr>
        <w:t>in</w:t>
      </w:r>
      <w:r>
        <w:rPr>
          <w:spacing w:val="-1"/>
          <w:sz w:val="28"/>
        </w:rPr>
        <w:t> </w:t>
      </w:r>
      <w:r>
        <w:rPr>
          <w:sz w:val="28"/>
        </w:rPr>
        <w:t>the fact that an individual could not now rely on case law of the CJEU in relation to those</w:t>
      </w:r>
      <w:r>
        <w:rPr>
          <w:spacing w:val="-1"/>
          <w:sz w:val="28"/>
        </w:rPr>
        <w:t> </w:t>
      </w:r>
      <w:r>
        <w:rPr>
          <w:sz w:val="28"/>
        </w:rPr>
        <w:t>rights.</w:t>
      </w:r>
      <w:r>
        <w:rPr>
          <w:spacing w:val="-2"/>
          <w:sz w:val="28"/>
        </w:rPr>
        <w:t> </w:t>
      </w:r>
      <w:r>
        <w:rPr>
          <w:sz w:val="28"/>
        </w:rPr>
        <w:t>The</w:t>
      </w:r>
      <w:r>
        <w:rPr>
          <w:spacing w:val="-1"/>
          <w:sz w:val="28"/>
        </w:rPr>
        <w:t> </w:t>
      </w:r>
      <w:r>
        <w:rPr>
          <w:sz w:val="28"/>
        </w:rPr>
        <w:t>ECNI</w:t>
      </w:r>
      <w:r>
        <w:rPr>
          <w:spacing w:val="-1"/>
          <w:sz w:val="28"/>
        </w:rPr>
        <w:t> </w:t>
      </w:r>
      <w:r>
        <w:rPr>
          <w:sz w:val="28"/>
        </w:rPr>
        <w:t>therefore</w:t>
      </w:r>
      <w:r>
        <w:rPr>
          <w:spacing w:val="-1"/>
          <w:sz w:val="28"/>
        </w:rPr>
        <w:t> </w:t>
      </w:r>
      <w:r>
        <w:rPr>
          <w:sz w:val="28"/>
        </w:rPr>
        <w:t>considers</w:t>
      </w:r>
      <w:r>
        <w:rPr>
          <w:spacing w:val="-2"/>
          <w:sz w:val="28"/>
        </w:rPr>
        <w:t> </w:t>
      </w:r>
      <w:r>
        <w:rPr>
          <w:sz w:val="28"/>
        </w:rPr>
        <w:t>that</w:t>
      </w:r>
      <w:r>
        <w:rPr>
          <w:spacing w:val="-1"/>
          <w:sz w:val="28"/>
        </w:rPr>
        <w:t> </w:t>
      </w:r>
      <w:r>
        <w:rPr>
          <w:sz w:val="28"/>
        </w:rPr>
        <w:t>these</w:t>
      </w:r>
      <w:r>
        <w:rPr>
          <w:spacing w:val="-1"/>
          <w:sz w:val="28"/>
        </w:rPr>
        <w:t> </w:t>
      </w:r>
      <w:r>
        <w:rPr>
          <w:sz w:val="28"/>
        </w:rPr>
        <w:t>Regulations</w:t>
      </w:r>
      <w:r>
        <w:rPr>
          <w:spacing w:val="-2"/>
          <w:sz w:val="28"/>
        </w:rPr>
        <w:t> </w:t>
      </w:r>
      <w:r>
        <w:rPr>
          <w:sz w:val="28"/>
        </w:rPr>
        <w:t>amount</w:t>
      </w:r>
      <w:r>
        <w:rPr>
          <w:spacing w:val="-1"/>
          <w:sz w:val="28"/>
        </w:rPr>
        <w:t> </w:t>
      </w:r>
      <w:r>
        <w:rPr>
          <w:sz w:val="28"/>
        </w:rPr>
        <w:t>to</w:t>
      </w:r>
      <w:r>
        <w:rPr>
          <w:spacing w:val="-2"/>
          <w:sz w:val="28"/>
        </w:rPr>
        <w:t> </w:t>
      </w:r>
      <w:r>
        <w:rPr>
          <w:sz w:val="28"/>
        </w:rPr>
        <w:t>a potential breach of Windsor Framework Article 2.</w:t>
      </w:r>
    </w:p>
    <w:p>
      <w:pPr>
        <w:pStyle w:val="BodyText"/>
        <w:rPr>
          <w:sz w:val="20"/>
        </w:rPr>
      </w:pPr>
    </w:p>
    <w:p>
      <w:pPr>
        <w:pStyle w:val="BodyText"/>
        <w:rPr>
          <w:sz w:val="20"/>
        </w:rPr>
      </w:pPr>
    </w:p>
    <w:p>
      <w:pPr>
        <w:pStyle w:val="BodyText"/>
        <w:rPr>
          <w:sz w:val="20"/>
        </w:rPr>
      </w:pPr>
    </w:p>
    <w:p>
      <w:pPr>
        <w:pStyle w:val="BodyText"/>
        <w:spacing w:before="98"/>
        <w:rPr>
          <w:sz w:val="20"/>
        </w:rPr>
      </w:pPr>
      <w:r>
        <w:rPr/>
        <mc:AlternateContent>
          <mc:Choice Requires="wps">
            <w:drawing>
              <wp:anchor distT="0" distB="0" distL="0" distR="0" allowOverlap="1" layoutInCell="1" locked="0" behindDoc="1" simplePos="0" relativeHeight="487707648">
                <wp:simplePos x="0" y="0"/>
                <wp:positionH relativeFrom="page">
                  <wp:posOffset>727196</wp:posOffset>
                </wp:positionH>
                <wp:positionV relativeFrom="paragraph">
                  <wp:posOffset>232891</wp:posOffset>
                </wp:positionV>
                <wp:extent cx="6120130" cy="1270"/>
                <wp:effectExtent l="0" t="0" r="0" b="0"/>
                <wp:wrapTopAndBottom/>
                <wp:docPr id="550" name="Graphic 550"/>
                <wp:cNvGraphicFramePr>
                  <a:graphicFrameLocks/>
                </wp:cNvGraphicFramePr>
                <a:graphic>
                  <a:graphicData uri="http://schemas.microsoft.com/office/word/2010/wordprocessingShape">
                    <wps:wsp>
                      <wps:cNvPr id="550" name="Graphic 55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7.259602pt;margin-top:18.337915pt;width:481.9pt;height:.1pt;mso-position-horizontal-relative:page;mso-position-vertical-relative:paragraph;z-index:-15608832;mso-wrap-distance-left:0;mso-wrap-distance-right:0" id="docshape495" coordorigin="1145,367" coordsize="9638,0" path="m10783,367l1145,367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35" w:lineRule="auto" w:before="146" w:after="0"/>
        <w:ind w:left="1853" w:right="1557" w:hanging="720"/>
        <w:jc w:val="left"/>
        <w:rPr>
          <w:sz w:val="18"/>
        </w:rPr>
      </w:pPr>
      <w:r>
        <w:rPr>
          <w:sz w:val="18"/>
        </w:rPr>
        <w:t>Clause</w:t>
      </w:r>
      <w:r>
        <w:rPr>
          <w:spacing w:val="-3"/>
          <w:sz w:val="18"/>
        </w:rPr>
        <w:t> </w:t>
      </w:r>
      <w:r>
        <w:rPr>
          <w:sz w:val="18"/>
        </w:rPr>
        <w:t>14,</w:t>
      </w:r>
      <w:r>
        <w:rPr>
          <w:spacing w:val="-3"/>
          <w:sz w:val="18"/>
        </w:rPr>
        <w:t> </w:t>
      </w:r>
      <w:r>
        <w:rPr>
          <w:sz w:val="18"/>
        </w:rPr>
        <w:t>Data</w:t>
      </w:r>
      <w:r>
        <w:rPr>
          <w:spacing w:val="-4"/>
          <w:sz w:val="18"/>
        </w:rPr>
        <w:t> </w:t>
      </w:r>
      <w:r>
        <w:rPr>
          <w:sz w:val="18"/>
        </w:rPr>
        <w:t>Protection</w:t>
      </w:r>
      <w:r>
        <w:rPr>
          <w:spacing w:val="-4"/>
          <w:sz w:val="18"/>
        </w:rPr>
        <w:t> </w:t>
      </w:r>
      <w:r>
        <w:rPr>
          <w:sz w:val="18"/>
        </w:rPr>
        <w:t>and</w:t>
      </w:r>
      <w:r>
        <w:rPr>
          <w:spacing w:val="-4"/>
          <w:sz w:val="18"/>
        </w:rPr>
        <w:t> </w:t>
      </w:r>
      <w:r>
        <w:rPr>
          <w:sz w:val="18"/>
        </w:rPr>
        <w:t>Digital</w:t>
      </w:r>
      <w:r>
        <w:rPr>
          <w:spacing w:val="-4"/>
          <w:sz w:val="18"/>
        </w:rPr>
        <w:t> </w:t>
      </w:r>
      <w:r>
        <w:rPr>
          <w:sz w:val="18"/>
        </w:rPr>
        <w:t>Information</w:t>
      </w:r>
      <w:r>
        <w:rPr>
          <w:spacing w:val="-4"/>
          <w:sz w:val="18"/>
        </w:rPr>
        <w:t> </w:t>
      </w:r>
      <w:r>
        <w:rPr>
          <w:sz w:val="18"/>
        </w:rPr>
        <w:t>Bill.</w:t>
      </w:r>
      <w:r>
        <w:rPr>
          <w:spacing w:val="-4"/>
          <w:sz w:val="18"/>
        </w:rPr>
        <w:t> </w:t>
      </w:r>
      <w:r>
        <w:rPr>
          <w:sz w:val="18"/>
        </w:rPr>
        <w:t>Currently</w:t>
      </w:r>
      <w:r>
        <w:rPr>
          <w:spacing w:val="-3"/>
          <w:sz w:val="18"/>
        </w:rPr>
        <w:t> </w:t>
      </w:r>
      <w:r>
        <w:rPr>
          <w:sz w:val="18"/>
        </w:rPr>
        <w:t>the</w:t>
      </w:r>
      <w:r>
        <w:rPr>
          <w:spacing w:val="-3"/>
          <w:sz w:val="18"/>
        </w:rPr>
        <w:t> </w:t>
      </w:r>
      <w:r>
        <w:rPr>
          <w:sz w:val="18"/>
        </w:rPr>
        <w:t>rules</w:t>
      </w:r>
      <w:r>
        <w:rPr>
          <w:spacing w:val="-4"/>
          <w:sz w:val="18"/>
        </w:rPr>
        <w:t> </w:t>
      </w:r>
      <w:r>
        <w:rPr>
          <w:sz w:val="18"/>
        </w:rPr>
        <w:t>in</w:t>
      </w:r>
      <w:r>
        <w:rPr>
          <w:spacing w:val="-4"/>
          <w:sz w:val="18"/>
        </w:rPr>
        <w:t> </w:t>
      </w:r>
      <w:r>
        <w:rPr>
          <w:sz w:val="18"/>
        </w:rPr>
        <w:t>UK</w:t>
      </w:r>
      <w:r>
        <w:rPr>
          <w:spacing w:val="-3"/>
          <w:sz w:val="18"/>
        </w:rPr>
        <w:t> </w:t>
      </w:r>
      <w:r>
        <w:rPr>
          <w:sz w:val="18"/>
        </w:rPr>
        <w:t>GDPR</w:t>
      </w:r>
      <w:r>
        <w:rPr>
          <w:spacing w:val="-3"/>
          <w:sz w:val="18"/>
        </w:rPr>
        <w:t> </w:t>
      </w:r>
      <w:r>
        <w:rPr>
          <w:sz w:val="18"/>
        </w:rPr>
        <w:t>and</w:t>
      </w:r>
      <w:r>
        <w:rPr>
          <w:spacing w:val="-4"/>
          <w:sz w:val="18"/>
        </w:rPr>
        <w:t> </w:t>
      </w:r>
      <w:r>
        <w:rPr>
          <w:sz w:val="18"/>
        </w:rPr>
        <w:t>EU</w:t>
      </w:r>
      <w:r>
        <w:rPr>
          <w:spacing w:val="-3"/>
          <w:sz w:val="18"/>
        </w:rPr>
        <w:t> </w:t>
      </w:r>
      <w:r>
        <w:rPr>
          <w:sz w:val="18"/>
        </w:rPr>
        <w:t>GDPR</w:t>
      </w:r>
      <w:r>
        <w:rPr>
          <w:spacing w:val="-3"/>
          <w:sz w:val="18"/>
        </w:rPr>
        <w:t> </w:t>
      </w:r>
      <w:r>
        <w:rPr>
          <w:sz w:val="18"/>
        </w:rPr>
        <w:t>are</w:t>
      </w:r>
      <w:r>
        <w:rPr>
          <w:spacing w:val="-3"/>
          <w:sz w:val="18"/>
        </w:rPr>
        <w:t> </w:t>
      </w:r>
      <w:r>
        <w:rPr>
          <w:sz w:val="18"/>
        </w:rPr>
        <w:t>in</w:t>
      </w:r>
      <w:r>
        <w:rPr>
          <w:spacing w:val="-4"/>
          <w:sz w:val="18"/>
        </w:rPr>
        <w:t> </w:t>
      </w:r>
      <w:r>
        <w:rPr>
          <w:sz w:val="18"/>
        </w:rPr>
        <w:t>substance identical – see Commission Implementing Decision (EU) 2021/1772, pursuant to Regulation (EU) 2016/679 of</w:t>
      </w:r>
    </w:p>
    <w:p>
      <w:pPr>
        <w:spacing w:line="235" w:lineRule="auto" w:before="1"/>
        <w:ind w:left="1853" w:right="1383" w:firstLine="0"/>
        <w:jc w:val="left"/>
        <w:rPr>
          <w:sz w:val="18"/>
        </w:rPr>
      </w:pPr>
      <w:r>
        <w:rPr>
          <w:sz w:val="18"/>
        </w:rPr>
        <w:t>the</w:t>
      </w:r>
      <w:r>
        <w:rPr>
          <w:spacing w:val="-3"/>
          <w:sz w:val="18"/>
        </w:rPr>
        <w:t> </w:t>
      </w:r>
      <w:r>
        <w:rPr>
          <w:sz w:val="18"/>
        </w:rPr>
        <w:t>EU</w:t>
      </w:r>
      <w:r>
        <w:rPr>
          <w:spacing w:val="-3"/>
          <w:sz w:val="18"/>
        </w:rPr>
        <w:t> </w:t>
      </w:r>
      <w:r>
        <w:rPr>
          <w:sz w:val="18"/>
        </w:rPr>
        <w:t>Parliament</w:t>
      </w:r>
      <w:r>
        <w:rPr>
          <w:spacing w:val="-3"/>
          <w:sz w:val="18"/>
        </w:rPr>
        <w:t> </w:t>
      </w:r>
      <w:r>
        <w:rPr>
          <w:sz w:val="18"/>
        </w:rPr>
        <w:t>and</w:t>
      </w:r>
      <w:r>
        <w:rPr>
          <w:spacing w:val="-4"/>
          <w:sz w:val="18"/>
        </w:rPr>
        <w:t> </w:t>
      </w:r>
      <w:r>
        <w:rPr>
          <w:sz w:val="18"/>
        </w:rPr>
        <w:t>the</w:t>
      </w:r>
      <w:r>
        <w:rPr>
          <w:spacing w:val="-3"/>
          <w:sz w:val="18"/>
        </w:rPr>
        <w:t> </w:t>
      </w:r>
      <w:r>
        <w:rPr>
          <w:sz w:val="18"/>
        </w:rPr>
        <w:t>Council</w:t>
      </w:r>
      <w:r>
        <w:rPr>
          <w:spacing w:val="-4"/>
          <w:sz w:val="18"/>
        </w:rPr>
        <w:t> </w:t>
      </w:r>
      <w:r>
        <w:rPr>
          <w:sz w:val="18"/>
        </w:rPr>
        <w:t>on</w:t>
      </w:r>
      <w:r>
        <w:rPr>
          <w:spacing w:val="-4"/>
          <w:sz w:val="18"/>
        </w:rPr>
        <w:t> </w:t>
      </w:r>
      <w:r>
        <w:rPr>
          <w:sz w:val="18"/>
        </w:rPr>
        <w:t>the</w:t>
      </w:r>
      <w:r>
        <w:rPr>
          <w:spacing w:val="-3"/>
          <w:sz w:val="18"/>
        </w:rPr>
        <w:t> </w:t>
      </w:r>
      <w:r>
        <w:rPr>
          <w:sz w:val="18"/>
        </w:rPr>
        <w:t>adequate</w:t>
      </w:r>
      <w:r>
        <w:rPr>
          <w:spacing w:val="-3"/>
          <w:sz w:val="18"/>
        </w:rPr>
        <w:t> </w:t>
      </w:r>
      <w:r>
        <w:rPr>
          <w:sz w:val="18"/>
        </w:rPr>
        <w:t>protection</w:t>
      </w:r>
      <w:r>
        <w:rPr>
          <w:spacing w:val="-4"/>
          <w:sz w:val="18"/>
        </w:rPr>
        <w:t> </w:t>
      </w:r>
      <w:r>
        <w:rPr>
          <w:sz w:val="18"/>
        </w:rPr>
        <w:t>of</w:t>
      </w:r>
      <w:r>
        <w:rPr>
          <w:spacing w:val="-4"/>
          <w:sz w:val="18"/>
        </w:rPr>
        <w:t> </w:t>
      </w:r>
      <w:r>
        <w:rPr>
          <w:sz w:val="18"/>
        </w:rPr>
        <w:t>personal</w:t>
      </w:r>
      <w:r>
        <w:rPr>
          <w:spacing w:val="-4"/>
          <w:sz w:val="18"/>
        </w:rPr>
        <w:t> </w:t>
      </w:r>
      <w:r>
        <w:rPr>
          <w:sz w:val="18"/>
        </w:rPr>
        <w:t>data</w:t>
      </w:r>
      <w:r>
        <w:rPr>
          <w:spacing w:val="-4"/>
          <w:sz w:val="18"/>
        </w:rPr>
        <w:t> </w:t>
      </w:r>
      <w:r>
        <w:rPr>
          <w:sz w:val="18"/>
        </w:rPr>
        <w:t>by</w:t>
      </w:r>
      <w:r>
        <w:rPr>
          <w:spacing w:val="-3"/>
          <w:sz w:val="18"/>
        </w:rPr>
        <w:t> </w:t>
      </w:r>
      <w:r>
        <w:rPr>
          <w:sz w:val="18"/>
        </w:rPr>
        <w:t>the</w:t>
      </w:r>
      <w:r>
        <w:rPr>
          <w:spacing w:val="-3"/>
          <w:sz w:val="18"/>
        </w:rPr>
        <w:t> </w:t>
      </w:r>
      <w:r>
        <w:rPr>
          <w:sz w:val="18"/>
        </w:rPr>
        <w:t>United</w:t>
      </w:r>
      <w:r>
        <w:rPr>
          <w:spacing w:val="-4"/>
          <w:sz w:val="18"/>
        </w:rPr>
        <w:t> </w:t>
      </w:r>
      <w:r>
        <w:rPr>
          <w:sz w:val="18"/>
        </w:rPr>
        <w:t>Kingdom,</w:t>
      </w:r>
      <w:r>
        <w:rPr>
          <w:spacing w:val="-3"/>
          <w:sz w:val="18"/>
        </w:rPr>
        <w:t> </w:t>
      </w:r>
      <w:r>
        <w:rPr>
          <w:sz w:val="18"/>
        </w:rPr>
        <w:t>28</w:t>
      </w:r>
      <w:r>
        <w:rPr>
          <w:spacing w:val="-3"/>
          <w:sz w:val="18"/>
        </w:rPr>
        <w:t> </w:t>
      </w:r>
      <w:r>
        <w:rPr>
          <w:sz w:val="18"/>
        </w:rPr>
        <w:t>June</w:t>
      </w:r>
      <w:r>
        <w:rPr>
          <w:spacing w:val="-3"/>
          <w:sz w:val="18"/>
        </w:rPr>
        <w:t> </w:t>
      </w:r>
      <w:r>
        <w:rPr>
          <w:sz w:val="18"/>
        </w:rPr>
        <w:t>2021, at para 75.</w:t>
      </w:r>
    </w:p>
    <w:p>
      <w:pPr>
        <w:pStyle w:val="ListParagraph"/>
        <w:numPr>
          <w:ilvl w:val="0"/>
          <w:numId w:val="11"/>
        </w:numPr>
        <w:tabs>
          <w:tab w:pos="1853" w:val="left" w:leader="none"/>
        </w:tabs>
        <w:spacing w:line="235" w:lineRule="auto" w:before="1" w:after="0"/>
        <w:ind w:left="1853" w:right="1395" w:hanging="720"/>
        <w:jc w:val="left"/>
        <w:rPr>
          <w:sz w:val="18"/>
        </w:rPr>
      </w:pP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‘Briefing</w:t>
      </w:r>
      <w:r>
        <w:rPr>
          <w:spacing w:val="-4"/>
          <w:sz w:val="18"/>
        </w:rPr>
        <w:t> </w:t>
      </w:r>
      <w:r>
        <w:rPr>
          <w:sz w:val="18"/>
        </w:rPr>
        <w:t>on</w:t>
      </w:r>
      <w:r>
        <w:rPr>
          <w:spacing w:val="-5"/>
          <w:sz w:val="18"/>
        </w:rPr>
        <w:t> </w:t>
      </w:r>
      <w:r>
        <w:rPr>
          <w:sz w:val="18"/>
        </w:rPr>
        <w:t>the</w:t>
      </w:r>
      <w:r>
        <w:rPr>
          <w:spacing w:val="-4"/>
          <w:sz w:val="18"/>
        </w:rPr>
        <w:t> </w:t>
      </w:r>
      <w:r>
        <w:rPr>
          <w:sz w:val="18"/>
        </w:rPr>
        <w:t>Data</w:t>
      </w:r>
      <w:r>
        <w:rPr>
          <w:spacing w:val="-5"/>
          <w:sz w:val="18"/>
        </w:rPr>
        <w:t> </w:t>
      </w:r>
      <w:r>
        <w:rPr>
          <w:sz w:val="18"/>
        </w:rPr>
        <w:t>Protection</w:t>
      </w:r>
      <w:r>
        <w:rPr>
          <w:spacing w:val="-5"/>
          <w:sz w:val="18"/>
        </w:rPr>
        <w:t> </w:t>
      </w:r>
      <w:r>
        <w:rPr>
          <w:sz w:val="18"/>
        </w:rPr>
        <w:t>and</w:t>
      </w:r>
      <w:r>
        <w:rPr>
          <w:spacing w:val="-5"/>
          <w:sz w:val="18"/>
        </w:rPr>
        <w:t> </w:t>
      </w:r>
      <w:r>
        <w:rPr>
          <w:sz w:val="18"/>
        </w:rPr>
        <w:t>Digital</w:t>
      </w:r>
      <w:r>
        <w:rPr>
          <w:spacing w:val="-5"/>
          <w:sz w:val="18"/>
        </w:rPr>
        <w:t> </w:t>
      </w:r>
      <w:r>
        <w:rPr>
          <w:sz w:val="18"/>
        </w:rPr>
        <w:t>Information</w:t>
      </w:r>
      <w:r>
        <w:rPr>
          <w:spacing w:val="-5"/>
          <w:sz w:val="18"/>
        </w:rPr>
        <w:t> </w:t>
      </w:r>
      <w:r>
        <w:rPr>
          <w:sz w:val="18"/>
        </w:rPr>
        <w:t>Bill’</w:t>
      </w:r>
      <w:r>
        <w:rPr>
          <w:spacing w:val="-4"/>
          <w:sz w:val="18"/>
        </w:rPr>
        <w:t> </w:t>
      </w:r>
      <w:r>
        <w:rPr>
          <w:sz w:val="18"/>
        </w:rPr>
        <w:t>(NIHRC,</w:t>
      </w:r>
      <w:r>
        <w:rPr>
          <w:spacing w:val="-4"/>
          <w:sz w:val="18"/>
        </w:rPr>
        <w:t> </w:t>
      </w:r>
      <w:r>
        <w:rPr>
          <w:sz w:val="18"/>
        </w:rPr>
        <w:t>2024),</w:t>
      </w:r>
      <w:r>
        <w:rPr>
          <w:spacing w:val="-4"/>
          <w:sz w:val="18"/>
        </w:rPr>
        <w:t> </w:t>
      </w:r>
      <w:r>
        <w:rPr>
          <w:sz w:val="18"/>
        </w:rPr>
        <w:t>at</w:t>
      </w:r>
      <w:r>
        <w:rPr>
          <w:spacing w:val="-4"/>
          <w:sz w:val="18"/>
        </w:rPr>
        <w:t> </w:t>
      </w:r>
      <w:r>
        <w:rPr>
          <w:sz w:val="18"/>
        </w:rPr>
        <w:t>para</w:t>
      </w:r>
      <w:r>
        <w:rPr>
          <w:spacing w:val="-5"/>
          <w:sz w:val="18"/>
        </w:rPr>
        <w:t> </w:t>
      </w:r>
      <w:r>
        <w:rPr>
          <w:sz w:val="18"/>
        </w:rPr>
        <w:t>3.13; Equality Commission for NI, ‘Submission on the Data Protection and Digital Information Bill’ (ECNI, 2024).</w:t>
      </w:r>
    </w:p>
    <w:p>
      <w:pPr>
        <w:pStyle w:val="ListParagraph"/>
        <w:numPr>
          <w:ilvl w:val="0"/>
          <w:numId w:val="11"/>
        </w:numPr>
        <w:tabs>
          <w:tab w:pos="1853" w:val="left" w:leader="none"/>
        </w:tabs>
        <w:spacing w:line="218" w:lineRule="exact" w:before="0" w:after="0"/>
        <w:ind w:left="1853" w:right="0" w:hanging="720"/>
        <w:jc w:val="left"/>
        <w:rPr>
          <w:sz w:val="18"/>
        </w:rPr>
      </w:pPr>
      <w:r>
        <w:rPr>
          <w:sz w:val="18"/>
        </w:rPr>
        <w:t>Equality</w:t>
      </w:r>
      <w:r>
        <w:rPr>
          <w:spacing w:val="-5"/>
          <w:sz w:val="18"/>
        </w:rPr>
        <w:t> </w:t>
      </w:r>
      <w:r>
        <w:rPr>
          <w:sz w:val="18"/>
        </w:rPr>
        <w:t>Commission</w:t>
      </w:r>
      <w:r>
        <w:rPr>
          <w:spacing w:val="-5"/>
          <w:sz w:val="18"/>
        </w:rPr>
        <w:t> </w:t>
      </w:r>
      <w:r>
        <w:rPr>
          <w:sz w:val="18"/>
        </w:rPr>
        <w:t>for</w:t>
      </w:r>
      <w:r>
        <w:rPr>
          <w:spacing w:val="-5"/>
          <w:sz w:val="18"/>
        </w:rPr>
        <w:t> </w:t>
      </w:r>
      <w:r>
        <w:rPr>
          <w:sz w:val="18"/>
        </w:rPr>
        <w:t>NI,</w:t>
      </w:r>
      <w:r>
        <w:rPr>
          <w:spacing w:val="-4"/>
          <w:sz w:val="18"/>
        </w:rPr>
        <w:t> </w:t>
      </w:r>
      <w:r>
        <w:rPr>
          <w:sz w:val="18"/>
        </w:rPr>
        <w:t>‘Submission</w:t>
      </w:r>
      <w:r>
        <w:rPr>
          <w:spacing w:val="-6"/>
          <w:sz w:val="18"/>
        </w:rPr>
        <w:t> </w:t>
      </w:r>
      <w:r>
        <w:rPr>
          <w:sz w:val="18"/>
        </w:rPr>
        <w:t>on</w:t>
      </w:r>
      <w:r>
        <w:rPr>
          <w:spacing w:val="-5"/>
          <w:sz w:val="18"/>
        </w:rPr>
        <w:t> </w:t>
      </w:r>
      <w:r>
        <w:rPr>
          <w:sz w:val="18"/>
        </w:rPr>
        <w:t>the</w:t>
      </w:r>
      <w:r>
        <w:rPr>
          <w:spacing w:val="-4"/>
          <w:sz w:val="18"/>
        </w:rPr>
        <w:t> </w:t>
      </w:r>
      <w:r>
        <w:rPr>
          <w:sz w:val="18"/>
        </w:rPr>
        <w:t>Data</w:t>
      </w:r>
      <w:r>
        <w:rPr>
          <w:spacing w:val="-6"/>
          <w:sz w:val="18"/>
        </w:rPr>
        <w:t> </w:t>
      </w:r>
      <w:r>
        <w:rPr>
          <w:sz w:val="18"/>
        </w:rPr>
        <w:t>Protection</w:t>
      </w:r>
      <w:r>
        <w:rPr>
          <w:spacing w:val="-5"/>
          <w:sz w:val="18"/>
        </w:rPr>
        <w:t> </w:t>
      </w:r>
      <w:r>
        <w:rPr>
          <w:sz w:val="18"/>
        </w:rPr>
        <w:t>and</w:t>
      </w:r>
      <w:r>
        <w:rPr>
          <w:spacing w:val="-5"/>
          <w:sz w:val="18"/>
        </w:rPr>
        <w:t> </w:t>
      </w:r>
      <w:r>
        <w:rPr>
          <w:sz w:val="18"/>
        </w:rPr>
        <w:t>Digital</w:t>
      </w:r>
      <w:r>
        <w:rPr>
          <w:spacing w:val="-6"/>
          <w:sz w:val="18"/>
        </w:rPr>
        <w:t> </w:t>
      </w:r>
      <w:r>
        <w:rPr>
          <w:sz w:val="18"/>
        </w:rPr>
        <w:t>Information</w:t>
      </w:r>
      <w:r>
        <w:rPr>
          <w:spacing w:val="-5"/>
          <w:sz w:val="18"/>
        </w:rPr>
        <w:t> </w:t>
      </w:r>
      <w:r>
        <w:rPr>
          <w:sz w:val="18"/>
        </w:rPr>
        <w:t>Bill’</w:t>
      </w:r>
      <w:r>
        <w:rPr>
          <w:spacing w:val="-5"/>
          <w:sz w:val="18"/>
        </w:rPr>
        <w:t> </w:t>
      </w:r>
      <w:r>
        <w:rPr>
          <w:sz w:val="18"/>
        </w:rPr>
        <w:t>(ECNI,</w:t>
      </w:r>
      <w:r>
        <w:rPr>
          <w:spacing w:val="-4"/>
          <w:sz w:val="18"/>
        </w:rPr>
        <w:t> </w:t>
      </w:r>
      <w:r>
        <w:rPr>
          <w:sz w:val="18"/>
        </w:rPr>
        <w:t>2024),</w:t>
      </w:r>
      <w:r>
        <w:rPr>
          <w:spacing w:val="-5"/>
          <w:sz w:val="18"/>
        </w:rPr>
        <w:t> </w:t>
      </w:r>
      <w:r>
        <w:rPr>
          <w:sz w:val="18"/>
        </w:rPr>
        <w:t>at</w:t>
      </w:r>
      <w:r>
        <w:rPr>
          <w:spacing w:val="-4"/>
          <w:sz w:val="18"/>
        </w:rPr>
        <w:t> </w:t>
      </w:r>
      <w:r>
        <w:rPr>
          <w:spacing w:val="-5"/>
          <w:sz w:val="18"/>
        </w:rPr>
        <w:t>14.</w:t>
      </w:r>
    </w:p>
    <w:p>
      <w:pPr>
        <w:spacing w:after="0" w:line="218" w:lineRule="exact"/>
        <w:jc w:val="left"/>
        <w:rPr>
          <w:sz w:val="18"/>
        </w:rPr>
        <w:sectPr>
          <w:pgSz w:w="11910" w:h="16840"/>
          <w:pgMar w:header="496" w:footer="367" w:top="1220" w:bottom="560" w:left="0" w:right="0"/>
        </w:sectPr>
      </w:pPr>
    </w:p>
    <w:p>
      <w:pPr>
        <w:pStyle w:val="BodyText"/>
        <w:spacing w:before="176" w:after="1"/>
        <w:rPr>
          <w:sz w:val="20"/>
        </w:rPr>
      </w:pPr>
    </w:p>
    <w:p>
      <w:pPr>
        <w:pStyle w:val="BodyText"/>
        <w:ind w:left="1133"/>
        <w:rPr>
          <w:sz w:val="20"/>
        </w:rPr>
      </w:pPr>
      <w:r>
        <w:rPr>
          <w:sz w:val="20"/>
        </w:rPr>
        <mc:AlternateContent>
          <mc:Choice Requires="wps">
            <w:drawing>
              <wp:inline distT="0" distB="0" distL="0" distR="0">
                <wp:extent cx="6120130" cy="360045"/>
                <wp:effectExtent l="0" t="0" r="0" b="0"/>
                <wp:docPr id="551" name="Textbox 551"/>
                <wp:cNvGraphicFramePr>
                  <a:graphicFrameLocks/>
                </wp:cNvGraphicFramePr>
                <a:graphic>
                  <a:graphicData uri="http://schemas.microsoft.com/office/word/2010/wordprocessingShape">
                    <wps:wsp>
                      <wps:cNvPr id="551" name="Textbox 551"/>
                      <wps:cNvSpPr txBox="1"/>
                      <wps:spPr>
                        <a:xfrm>
                          <a:off x="0" y="0"/>
                          <a:ext cx="6120130" cy="360045"/>
                        </a:xfrm>
                        <a:prstGeom prst="rect">
                          <a:avLst/>
                        </a:prstGeom>
                        <a:solidFill>
                          <a:srgbClr val="393B7F"/>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inline>
            </w:drawing>
          </mc:Choice>
          <mc:Fallback>
            <w:pict>
              <v:shape style="width:481.9pt;height:28.35pt;mso-position-horizontal-relative:char;mso-position-vertical-relative:line" type="#_x0000_t202" id="docshape496" filled="true" fillcolor="#393b7f" stroked="false">
                <w10:anchorlock/>
                <v:textbox inset="0,0,0,0">
                  <w:txbxContent>
                    <w:p>
                      <w:pPr>
                        <w:spacing w:before="103"/>
                        <w:ind w:left="800" w:right="0" w:firstLine="0"/>
                        <w:jc w:val="left"/>
                        <w:rPr>
                          <w:b/>
                          <w:color w:val="000000"/>
                          <w:sz w:val="28"/>
                        </w:rPr>
                      </w:pPr>
                      <w:r>
                        <w:rPr>
                          <w:b/>
                          <w:color w:val="FFFFFF"/>
                          <w:spacing w:val="-2"/>
                          <w:sz w:val="28"/>
                        </w:rPr>
                        <w:t>Recommendations</w:t>
                      </w:r>
                    </w:p>
                  </w:txbxContent>
                </v:textbox>
                <v:fill type="solid"/>
              </v:shape>
            </w:pict>
          </mc:Fallback>
        </mc:AlternateContent>
      </w:r>
      <w:r>
        <w:rPr>
          <w:sz w:val="20"/>
        </w:rPr>
      </w:r>
    </w:p>
    <w:p>
      <w:pPr>
        <w:pStyle w:val="ListParagraph"/>
        <w:numPr>
          <w:ilvl w:val="1"/>
          <w:numId w:val="7"/>
        </w:numPr>
        <w:tabs>
          <w:tab w:pos="1853" w:val="left" w:leader="none"/>
        </w:tabs>
        <w:spacing w:line="225" w:lineRule="auto" w:before="190" w:after="0"/>
        <w:ind w:left="1853" w:right="1493" w:hanging="720"/>
        <w:jc w:val="left"/>
        <w:rPr>
          <w:b/>
          <w:color w:val="67287F"/>
          <w:sz w:val="28"/>
        </w:rPr>
      </w:pPr>
      <w:r>
        <w:rPr>
          <w:b/>
          <w:color w:val="67287F"/>
          <w:sz w:val="28"/>
        </w:rPr>
        <w:t>The Commissions recommends that the Secretary of State for Science, Innovation and Technology amends the Human Rights Memorandum to set</w:t>
      </w:r>
      <w:r>
        <w:rPr>
          <w:b/>
          <w:color w:val="67287F"/>
          <w:spacing w:val="-1"/>
          <w:sz w:val="28"/>
        </w:rPr>
        <w:t> </w:t>
      </w:r>
      <w:r>
        <w:rPr>
          <w:b/>
          <w:color w:val="67287F"/>
          <w:sz w:val="28"/>
        </w:rPr>
        <w:t>out</w:t>
      </w:r>
      <w:r>
        <w:rPr>
          <w:b/>
          <w:color w:val="67287F"/>
          <w:spacing w:val="-1"/>
          <w:sz w:val="28"/>
        </w:rPr>
        <w:t> </w:t>
      </w:r>
      <w:r>
        <w:rPr>
          <w:b/>
          <w:color w:val="67287F"/>
          <w:sz w:val="28"/>
        </w:rPr>
        <w:t>in</w:t>
      </w:r>
      <w:r>
        <w:rPr>
          <w:b/>
          <w:color w:val="67287F"/>
          <w:spacing w:val="-1"/>
          <w:sz w:val="28"/>
        </w:rPr>
        <w:t> </w:t>
      </w:r>
      <w:r>
        <w:rPr>
          <w:b/>
          <w:color w:val="67287F"/>
          <w:sz w:val="28"/>
        </w:rPr>
        <w:t>detail</w:t>
      </w:r>
      <w:r>
        <w:rPr>
          <w:b/>
          <w:color w:val="67287F"/>
          <w:spacing w:val="-1"/>
          <w:sz w:val="28"/>
        </w:rPr>
        <w:t> </w:t>
      </w:r>
      <w:r>
        <w:rPr>
          <w:b/>
          <w:color w:val="67287F"/>
          <w:sz w:val="28"/>
        </w:rPr>
        <w:t>an</w:t>
      </w:r>
      <w:r>
        <w:rPr>
          <w:b/>
          <w:color w:val="67287F"/>
          <w:spacing w:val="-1"/>
          <w:sz w:val="28"/>
        </w:rPr>
        <w:t> </w:t>
      </w:r>
      <w:r>
        <w:rPr>
          <w:b/>
          <w:color w:val="67287F"/>
          <w:sz w:val="28"/>
        </w:rPr>
        <w:t>assessment</w:t>
      </w:r>
      <w:r>
        <w:rPr>
          <w:b/>
          <w:color w:val="67287F"/>
          <w:spacing w:val="-1"/>
          <w:sz w:val="28"/>
        </w:rPr>
        <w:t> </w:t>
      </w:r>
      <w:r>
        <w:rPr>
          <w:b/>
          <w:color w:val="67287F"/>
          <w:sz w:val="28"/>
        </w:rPr>
        <w:t>of</w:t>
      </w:r>
      <w:r>
        <w:rPr>
          <w:b/>
          <w:color w:val="67287F"/>
          <w:spacing w:val="-2"/>
          <w:sz w:val="28"/>
        </w:rPr>
        <w:t> </w:t>
      </w:r>
      <w:r>
        <w:rPr>
          <w:b/>
          <w:color w:val="67287F"/>
          <w:sz w:val="28"/>
        </w:rPr>
        <w:t>the</w:t>
      </w:r>
      <w:r>
        <w:rPr>
          <w:b/>
          <w:color w:val="67287F"/>
          <w:spacing w:val="-2"/>
          <w:sz w:val="28"/>
        </w:rPr>
        <w:t> </w:t>
      </w:r>
      <w:r>
        <w:rPr>
          <w:b/>
          <w:color w:val="67287F"/>
          <w:sz w:val="28"/>
        </w:rPr>
        <w:t>compliance</w:t>
      </w:r>
      <w:r>
        <w:rPr>
          <w:b/>
          <w:color w:val="67287F"/>
          <w:spacing w:val="-2"/>
          <w:sz w:val="28"/>
        </w:rPr>
        <w:t> </w:t>
      </w:r>
      <w:r>
        <w:rPr>
          <w:b/>
          <w:color w:val="67287F"/>
          <w:sz w:val="28"/>
        </w:rPr>
        <w:t>of</w:t>
      </w:r>
      <w:r>
        <w:rPr>
          <w:b/>
          <w:color w:val="67287F"/>
          <w:spacing w:val="-2"/>
          <w:sz w:val="28"/>
        </w:rPr>
        <w:t> </w:t>
      </w:r>
      <w:r>
        <w:rPr>
          <w:b/>
          <w:color w:val="67287F"/>
          <w:sz w:val="28"/>
        </w:rPr>
        <w:t>the</w:t>
      </w:r>
      <w:r>
        <w:rPr>
          <w:b/>
          <w:color w:val="67287F"/>
          <w:spacing w:val="-2"/>
          <w:sz w:val="28"/>
        </w:rPr>
        <w:t> </w:t>
      </w:r>
      <w:r>
        <w:rPr>
          <w:b/>
          <w:color w:val="67287F"/>
          <w:sz w:val="28"/>
        </w:rPr>
        <w:t>Bill</w:t>
      </w:r>
      <w:r>
        <w:rPr>
          <w:b/>
          <w:color w:val="67287F"/>
          <w:spacing w:val="-1"/>
          <w:sz w:val="28"/>
        </w:rPr>
        <w:t> </w:t>
      </w:r>
      <w:r>
        <w:rPr>
          <w:b/>
          <w:color w:val="67287F"/>
          <w:sz w:val="28"/>
        </w:rPr>
        <w:t>with</w:t>
      </w:r>
      <w:r>
        <w:rPr>
          <w:b/>
          <w:color w:val="67287F"/>
          <w:spacing w:val="-1"/>
          <w:sz w:val="28"/>
        </w:rPr>
        <w:t> </w:t>
      </w:r>
      <w:r>
        <w:rPr>
          <w:b/>
          <w:color w:val="67287F"/>
          <w:sz w:val="28"/>
        </w:rPr>
        <w:t>Windsor Framework</w:t>
      </w:r>
      <w:r>
        <w:rPr>
          <w:b/>
          <w:color w:val="67287F"/>
          <w:spacing w:val="-9"/>
          <w:sz w:val="28"/>
        </w:rPr>
        <w:t> </w:t>
      </w:r>
      <w:r>
        <w:rPr>
          <w:b/>
          <w:color w:val="67287F"/>
          <w:sz w:val="28"/>
        </w:rPr>
        <w:t>Article</w:t>
      </w:r>
      <w:r>
        <w:rPr>
          <w:b/>
          <w:color w:val="67287F"/>
          <w:spacing w:val="-9"/>
          <w:sz w:val="28"/>
        </w:rPr>
        <w:t> </w:t>
      </w:r>
      <w:r>
        <w:rPr>
          <w:b/>
          <w:color w:val="67287F"/>
          <w:sz w:val="28"/>
        </w:rPr>
        <w:t>2,</w:t>
      </w:r>
      <w:r>
        <w:rPr>
          <w:b/>
          <w:color w:val="67287F"/>
          <w:spacing w:val="-8"/>
          <w:sz w:val="28"/>
        </w:rPr>
        <w:t> </w:t>
      </w:r>
      <w:r>
        <w:rPr>
          <w:b/>
          <w:color w:val="67287F"/>
          <w:sz w:val="28"/>
        </w:rPr>
        <w:t>including</w:t>
      </w:r>
      <w:r>
        <w:rPr>
          <w:b/>
          <w:color w:val="67287F"/>
          <w:spacing w:val="-9"/>
          <w:sz w:val="28"/>
        </w:rPr>
        <w:t> </w:t>
      </w:r>
      <w:r>
        <w:rPr>
          <w:b/>
          <w:color w:val="67287F"/>
          <w:sz w:val="28"/>
        </w:rPr>
        <w:t>all</w:t>
      </w:r>
      <w:r>
        <w:rPr>
          <w:b/>
          <w:color w:val="67287F"/>
          <w:spacing w:val="-8"/>
          <w:sz w:val="28"/>
        </w:rPr>
        <w:t> </w:t>
      </w:r>
      <w:r>
        <w:rPr>
          <w:b/>
          <w:color w:val="67287F"/>
          <w:sz w:val="28"/>
        </w:rPr>
        <w:t>relevant</w:t>
      </w:r>
      <w:r>
        <w:rPr>
          <w:b/>
          <w:color w:val="67287F"/>
          <w:spacing w:val="-8"/>
          <w:sz w:val="28"/>
        </w:rPr>
        <w:t> </w:t>
      </w:r>
      <w:r>
        <w:rPr>
          <w:b/>
          <w:color w:val="67287F"/>
          <w:sz w:val="28"/>
        </w:rPr>
        <w:t>EU</w:t>
      </w:r>
      <w:r>
        <w:rPr>
          <w:b/>
          <w:color w:val="67287F"/>
          <w:spacing w:val="-8"/>
          <w:sz w:val="28"/>
        </w:rPr>
        <w:t> </w:t>
      </w:r>
      <w:r>
        <w:rPr>
          <w:b/>
          <w:color w:val="67287F"/>
          <w:sz w:val="28"/>
        </w:rPr>
        <w:t>data</w:t>
      </w:r>
      <w:r>
        <w:rPr>
          <w:b/>
          <w:color w:val="67287F"/>
          <w:spacing w:val="-8"/>
          <w:sz w:val="28"/>
        </w:rPr>
        <w:t> </w:t>
      </w:r>
      <w:r>
        <w:rPr>
          <w:b/>
          <w:color w:val="67287F"/>
          <w:sz w:val="28"/>
        </w:rPr>
        <w:t>protection</w:t>
      </w:r>
      <w:r>
        <w:rPr>
          <w:b/>
          <w:color w:val="67287F"/>
          <w:spacing w:val="-8"/>
          <w:sz w:val="28"/>
        </w:rPr>
        <w:t> </w:t>
      </w:r>
      <w:r>
        <w:rPr>
          <w:b/>
          <w:color w:val="67287F"/>
          <w:sz w:val="28"/>
        </w:rPr>
        <w:t>laws,</w:t>
      </w:r>
      <w:r>
        <w:rPr>
          <w:b/>
          <w:color w:val="67287F"/>
          <w:spacing w:val="-8"/>
          <w:sz w:val="28"/>
        </w:rPr>
        <w:t> </w:t>
      </w:r>
      <w:r>
        <w:rPr>
          <w:b/>
          <w:color w:val="67287F"/>
          <w:sz w:val="28"/>
        </w:rPr>
        <w:t>which continue to set standards in NI.</w:t>
      </w:r>
    </w:p>
    <w:p>
      <w:pPr>
        <w:pStyle w:val="ListParagraph"/>
        <w:numPr>
          <w:ilvl w:val="1"/>
          <w:numId w:val="7"/>
        </w:numPr>
        <w:tabs>
          <w:tab w:pos="1853" w:val="left" w:leader="none"/>
        </w:tabs>
        <w:spacing w:line="225" w:lineRule="auto" w:before="314" w:after="0"/>
        <w:ind w:left="1853" w:right="1401" w:hanging="720"/>
        <w:jc w:val="left"/>
        <w:rPr>
          <w:b/>
          <w:color w:val="67287F"/>
          <w:sz w:val="28"/>
        </w:rPr>
      </w:pPr>
      <w:r>
        <w:rPr>
          <w:b/>
          <w:color w:val="67287F"/>
          <w:sz w:val="28"/>
        </w:rPr>
        <w:t>The Commissions recommend that the Secretary of State for Science, Innovation and Technology brings forward amendments required to the Data Protection and Digital Information Bill to ensure that none of the data protection rights contained in EU GDPR and other relevant EU data protection</w:t>
      </w:r>
      <w:r>
        <w:rPr>
          <w:b/>
          <w:color w:val="67287F"/>
          <w:spacing w:val="-10"/>
          <w:sz w:val="28"/>
        </w:rPr>
        <w:t> </w:t>
      </w:r>
      <w:r>
        <w:rPr>
          <w:b/>
          <w:color w:val="67287F"/>
          <w:sz w:val="28"/>
        </w:rPr>
        <w:t>law</w:t>
      </w:r>
      <w:r>
        <w:rPr>
          <w:b/>
          <w:color w:val="67287F"/>
          <w:spacing w:val="-10"/>
          <w:sz w:val="28"/>
        </w:rPr>
        <w:t> </w:t>
      </w:r>
      <w:r>
        <w:rPr>
          <w:b/>
          <w:color w:val="67287F"/>
          <w:sz w:val="28"/>
        </w:rPr>
        <w:t>are</w:t>
      </w:r>
      <w:r>
        <w:rPr>
          <w:b/>
          <w:color w:val="67287F"/>
          <w:spacing w:val="-10"/>
          <w:sz w:val="28"/>
        </w:rPr>
        <w:t> </w:t>
      </w:r>
      <w:r>
        <w:rPr>
          <w:b/>
          <w:color w:val="67287F"/>
          <w:sz w:val="28"/>
        </w:rPr>
        <w:t>weakened</w:t>
      </w:r>
      <w:r>
        <w:rPr>
          <w:b/>
          <w:color w:val="67287F"/>
          <w:spacing w:val="-10"/>
          <w:sz w:val="28"/>
        </w:rPr>
        <w:t> </w:t>
      </w:r>
      <w:r>
        <w:rPr>
          <w:b/>
          <w:color w:val="67287F"/>
          <w:sz w:val="28"/>
        </w:rPr>
        <w:t>or</w:t>
      </w:r>
      <w:r>
        <w:rPr>
          <w:b/>
          <w:color w:val="67287F"/>
          <w:spacing w:val="-10"/>
          <w:sz w:val="28"/>
        </w:rPr>
        <w:t> </w:t>
      </w:r>
      <w:r>
        <w:rPr>
          <w:b/>
          <w:color w:val="67287F"/>
          <w:sz w:val="28"/>
        </w:rPr>
        <w:t>removed,</w:t>
      </w:r>
      <w:r>
        <w:rPr>
          <w:b/>
          <w:color w:val="67287F"/>
          <w:spacing w:val="-10"/>
          <w:sz w:val="28"/>
        </w:rPr>
        <w:t> </w:t>
      </w:r>
      <w:r>
        <w:rPr>
          <w:b/>
          <w:color w:val="67287F"/>
          <w:sz w:val="28"/>
        </w:rPr>
        <w:t>contrary</w:t>
      </w:r>
      <w:r>
        <w:rPr>
          <w:b/>
          <w:color w:val="67287F"/>
          <w:spacing w:val="-10"/>
          <w:sz w:val="28"/>
        </w:rPr>
        <w:t> </w:t>
      </w:r>
      <w:r>
        <w:rPr>
          <w:b/>
          <w:color w:val="67287F"/>
          <w:sz w:val="28"/>
        </w:rPr>
        <w:t>to</w:t>
      </w:r>
      <w:r>
        <w:rPr>
          <w:b/>
          <w:color w:val="67287F"/>
          <w:spacing w:val="-10"/>
          <w:sz w:val="28"/>
        </w:rPr>
        <w:t> </w:t>
      </w:r>
      <w:r>
        <w:rPr>
          <w:b/>
          <w:color w:val="67287F"/>
          <w:sz w:val="28"/>
        </w:rPr>
        <w:t>Windsor</w:t>
      </w:r>
      <w:r>
        <w:rPr>
          <w:b/>
          <w:color w:val="67287F"/>
          <w:spacing w:val="-10"/>
          <w:sz w:val="28"/>
        </w:rPr>
        <w:t> </w:t>
      </w:r>
      <w:r>
        <w:rPr>
          <w:b/>
          <w:color w:val="67287F"/>
          <w:sz w:val="28"/>
        </w:rPr>
        <w:t>Framework Article 2.</w:t>
      </w:r>
    </w:p>
    <w:p>
      <w:pPr>
        <w:pStyle w:val="ListParagraph"/>
        <w:numPr>
          <w:ilvl w:val="1"/>
          <w:numId w:val="7"/>
        </w:numPr>
        <w:tabs>
          <w:tab w:pos="1853" w:val="left" w:leader="none"/>
        </w:tabs>
        <w:spacing w:line="225" w:lineRule="auto" w:before="312" w:after="0"/>
        <w:ind w:left="1853" w:right="1185" w:hanging="720"/>
        <w:jc w:val="left"/>
        <w:rPr>
          <w:b/>
          <w:color w:val="67287F"/>
          <w:sz w:val="28"/>
        </w:rPr>
      </w:pPr>
      <w:r>
        <w:rPr>
          <w:b/>
          <w:color w:val="67287F"/>
          <w:sz w:val="28"/>
        </w:rPr>
        <w:t>In particular, the Commissions recommend that the Secretary of State for Science,</w:t>
      </w:r>
      <w:r>
        <w:rPr>
          <w:b/>
          <w:color w:val="67287F"/>
          <w:spacing w:val="-11"/>
          <w:sz w:val="28"/>
        </w:rPr>
        <w:t> </w:t>
      </w:r>
      <w:r>
        <w:rPr>
          <w:b/>
          <w:color w:val="67287F"/>
          <w:sz w:val="28"/>
        </w:rPr>
        <w:t>Innovation</w:t>
      </w:r>
      <w:r>
        <w:rPr>
          <w:b/>
          <w:color w:val="67287F"/>
          <w:spacing w:val="-11"/>
          <w:sz w:val="28"/>
        </w:rPr>
        <w:t> </w:t>
      </w:r>
      <w:r>
        <w:rPr>
          <w:b/>
          <w:color w:val="67287F"/>
          <w:sz w:val="28"/>
        </w:rPr>
        <w:t>and</w:t>
      </w:r>
      <w:r>
        <w:rPr>
          <w:b/>
          <w:color w:val="67287F"/>
          <w:spacing w:val="-11"/>
          <w:sz w:val="28"/>
        </w:rPr>
        <w:t> </w:t>
      </w:r>
      <w:r>
        <w:rPr>
          <w:b/>
          <w:color w:val="67287F"/>
          <w:sz w:val="28"/>
        </w:rPr>
        <w:t>Technology</w:t>
      </w:r>
      <w:r>
        <w:rPr>
          <w:b/>
          <w:color w:val="67287F"/>
          <w:spacing w:val="-11"/>
          <w:sz w:val="28"/>
        </w:rPr>
        <w:t> </w:t>
      </w:r>
      <w:r>
        <w:rPr>
          <w:b/>
          <w:color w:val="67287F"/>
          <w:sz w:val="28"/>
        </w:rPr>
        <w:t>brings</w:t>
      </w:r>
      <w:r>
        <w:rPr>
          <w:b/>
          <w:color w:val="67287F"/>
          <w:spacing w:val="-11"/>
          <w:sz w:val="28"/>
        </w:rPr>
        <w:t> </w:t>
      </w:r>
      <w:r>
        <w:rPr>
          <w:b/>
          <w:color w:val="67287F"/>
          <w:sz w:val="28"/>
        </w:rPr>
        <w:t>forward</w:t>
      </w:r>
      <w:r>
        <w:rPr>
          <w:b/>
          <w:color w:val="67287F"/>
          <w:spacing w:val="-11"/>
          <w:sz w:val="28"/>
        </w:rPr>
        <w:t> </w:t>
      </w:r>
      <w:r>
        <w:rPr>
          <w:b/>
          <w:color w:val="67287F"/>
          <w:sz w:val="28"/>
        </w:rPr>
        <w:t>amendments</w:t>
      </w:r>
      <w:r>
        <w:rPr>
          <w:b/>
          <w:color w:val="67287F"/>
          <w:spacing w:val="-11"/>
          <w:sz w:val="28"/>
        </w:rPr>
        <w:t> </w:t>
      </w:r>
      <w:r>
        <w:rPr>
          <w:b/>
          <w:color w:val="67287F"/>
          <w:sz w:val="28"/>
        </w:rPr>
        <w:t>as</w:t>
      </w:r>
      <w:r>
        <w:rPr>
          <w:b/>
          <w:color w:val="67287F"/>
          <w:spacing w:val="-11"/>
          <w:sz w:val="28"/>
        </w:rPr>
        <w:t> </w:t>
      </w:r>
      <w:r>
        <w:rPr>
          <w:b/>
          <w:color w:val="67287F"/>
          <w:sz w:val="28"/>
        </w:rPr>
        <w:t>required to ensure compliance with Windsor Framework Article 2 and no diminution of rights in NI measured against relevant EU GDPR standards relating to:</w:t>
      </w:r>
    </w:p>
    <w:p>
      <w:pPr>
        <w:pStyle w:val="ListParagraph"/>
        <w:numPr>
          <w:ilvl w:val="2"/>
          <w:numId w:val="7"/>
        </w:numPr>
        <w:tabs>
          <w:tab w:pos="2573" w:val="left" w:leader="none"/>
        </w:tabs>
        <w:spacing w:line="321" w:lineRule="exact" w:before="0" w:after="0"/>
        <w:ind w:left="2573" w:right="0" w:hanging="371"/>
        <w:jc w:val="left"/>
        <w:rPr>
          <w:b/>
          <w:sz w:val="28"/>
        </w:rPr>
      </w:pPr>
      <w:r>
        <w:rPr>
          <w:b/>
          <w:color w:val="67287F"/>
          <w:sz w:val="28"/>
        </w:rPr>
        <w:t>automated</w:t>
      </w:r>
      <w:r>
        <w:rPr>
          <w:b/>
          <w:color w:val="67287F"/>
          <w:spacing w:val="-11"/>
          <w:sz w:val="28"/>
        </w:rPr>
        <w:t> </w:t>
      </w:r>
      <w:r>
        <w:rPr>
          <w:b/>
          <w:color w:val="67287F"/>
          <w:sz w:val="28"/>
        </w:rPr>
        <w:t>decision-making</w:t>
      </w:r>
      <w:r>
        <w:rPr>
          <w:b/>
          <w:color w:val="67287F"/>
          <w:spacing w:val="-11"/>
          <w:sz w:val="28"/>
        </w:rPr>
        <w:t> </w:t>
      </w:r>
      <w:r>
        <w:rPr>
          <w:b/>
          <w:color w:val="67287F"/>
          <w:sz w:val="28"/>
        </w:rPr>
        <w:t>(Clause</w:t>
      </w:r>
      <w:r>
        <w:rPr>
          <w:b/>
          <w:color w:val="67287F"/>
          <w:spacing w:val="-10"/>
          <w:sz w:val="28"/>
        </w:rPr>
        <w:t> </w:t>
      </w:r>
      <w:r>
        <w:rPr>
          <w:b/>
          <w:color w:val="67287F"/>
          <w:spacing w:val="-4"/>
          <w:sz w:val="28"/>
        </w:rPr>
        <w:t>14);</w:t>
      </w:r>
    </w:p>
    <w:p>
      <w:pPr>
        <w:pStyle w:val="ListParagraph"/>
        <w:numPr>
          <w:ilvl w:val="2"/>
          <w:numId w:val="7"/>
        </w:numPr>
        <w:tabs>
          <w:tab w:pos="2573" w:val="left" w:leader="none"/>
        </w:tabs>
        <w:spacing w:line="240" w:lineRule="auto" w:before="83" w:after="0"/>
        <w:ind w:left="2573" w:right="0" w:hanging="371"/>
        <w:jc w:val="left"/>
        <w:rPr>
          <w:b/>
          <w:sz w:val="28"/>
        </w:rPr>
      </w:pPr>
      <w:r>
        <w:rPr>
          <w:b/>
          <w:color w:val="67287F"/>
          <w:sz w:val="28"/>
        </w:rPr>
        <w:t>data</w:t>
      </w:r>
      <w:r>
        <w:rPr>
          <w:b/>
          <w:color w:val="67287F"/>
          <w:spacing w:val="-8"/>
          <w:sz w:val="28"/>
        </w:rPr>
        <w:t> </w:t>
      </w:r>
      <w:r>
        <w:rPr>
          <w:b/>
          <w:color w:val="67287F"/>
          <w:sz w:val="28"/>
        </w:rPr>
        <w:t>transfer</w:t>
      </w:r>
      <w:r>
        <w:rPr>
          <w:b/>
          <w:color w:val="67287F"/>
          <w:spacing w:val="-9"/>
          <w:sz w:val="28"/>
        </w:rPr>
        <w:t> </w:t>
      </w:r>
      <w:r>
        <w:rPr>
          <w:b/>
          <w:color w:val="67287F"/>
          <w:sz w:val="28"/>
        </w:rPr>
        <w:t>to</w:t>
      </w:r>
      <w:r>
        <w:rPr>
          <w:b/>
          <w:color w:val="67287F"/>
          <w:spacing w:val="-7"/>
          <w:sz w:val="28"/>
        </w:rPr>
        <w:t> </w:t>
      </w:r>
      <w:r>
        <w:rPr>
          <w:b/>
          <w:color w:val="67287F"/>
          <w:sz w:val="28"/>
        </w:rPr>
        <w:t>third</w:t>
      </w:r>
      <w:r>
        <w:rPr>
          <w:b/>
          <w:color w:val="67287F"/>
          <w:spacing w:val="-8"/>
          <w:sz w:val="28"/>
        </w:rPr>
        <w:t> </w:t>
      </w:r>
      <w:r>
        <w:rPr>
          <w:b/>
          <w:color w:val="67287F"/>
          <w:sz w:val="28"/>
        </w:rPr>
        <w:t>countries</w:t>
      </w:r>
      <w:r>
        <w:rPr>
          <w:b/>
          <w:color w:val="67287F"/>
          <w:spacing w:val="-8"/>
          <w:sz w:val="28"/>
        </w:rPr>
        <w:t> </w:t>
      </w:r>
      <w:r>
        <w:rPr>
          <w:b/>
          <w:color w:val="67287F"/>
          <w:sz w:val="28"/>
        </w:rPr>
        <w:t>(Schedule</w:t>
      </w:r>
      <w:r>
        <w:rPr>
          <w:b/>
          <w:color w:val="67287F"/>
          <w:spacing w:val="-8"/>
          <w:sz w:val="28"/>
        </w:rPr>
        <w:t> </w:t>
      </w:r>
      <w:r>
        <w:rPr>
          <w:b/>
          <w:color w:val="67287F"/>
          <w:spacing w:val="-5"/>
          <w:sz w:val="28"/>
        </w:rPr>
        <w:t>5);</w:t>
      </w:r>
    </w:p>
    <w:p>
      <w:pPr>
        <w:pStyle w:val="ListParagraph"/>
        <w:numPr>
          <w:ilvl w:val="2"/>
          <w:numId w:val="7"/>
        </w:numPr>
        <w:tabs>
          <w:tab w:pos="2562" w:val="left" w:leader="none"/>
        </w:tabs>
        <w:spacing w:line="240" w:lineRule="auto" w:before="84" w:after="0"/>
        <w:ind w:left="2562" w:right="0" w:hanging="360"/>
        <w:jc w:val="left"/>
        <w:rPr>
          <w:b/>
          <w:sz w:val="28"/>
        </w:rPr>
      </w:pPr>
      <w:r>
        <w:rPr>
          <w:b/>
          <w:color w:val="67287F"/>
          <w:sz w:val="28"/>
        </w:rPr>
        <w:t>the</w:t>
      </w:r>
      <w:r>
        <w:rPr>
          <w:b/>
          <w:color w:val="67287F"/>
          <w:spacing w:val="-7"/>
          <w:sz w:val="28"/>
        </w:rPr>
        <w:t> </w:t>
      </w:r>
      <w:r>
        <w:rPr>
          <w:b/>
          <w:color w:val="67287F"/>
          <w:sz w:val="28"/>
        </w:rPr>
        <w:t>processing</w:t>
      </w:r>
      <w:r>
        <w:rPr>
          <w:b/>
          <w:color w:val="67287F"/>
          <w:spacing w:val="-7"/>
          <w:sz w:val="28"/>
        </w:rPr>
        <w:t> </w:t>
      </w:r>
      <w:r>
        <w:rPr>
          <w:b/>
          <w:color w:val="67287F"/>
          <w:sz w:val="28"/>
        </w:rPr>
        <w:t>of</w:t>
      </w:r>
      <w:r>
        <w:rPr>
          <w:b/>
          <w:color w:val="67287F"/>
          <w:spacing w:val="-7"/>
          <w:sz w:val="28"/>
        </w:rPr>
        <w:t> </w:t>
      </w:r>
      <w:r>
        <w:rPr>
          <w:b/>
          <w:color w:val="67287F"/>
          <w:sz w:val="28"/>
        </w:rPr>
        <w:t>personal</w:t>
      </w:r>
      <w:r>
        <w:rPr>
          <w:b/>
          <w:color w:val="67287F"/>
          <w:spacing w:val="-5"/>
          <w:sz w:val="28"/>
        </w:rPr>
        <w:t> </w:t>
      </w:r>
      <w:r>
        <w:rPr>
          <w:b/>
          <w:color w:val="67287F"/>
          <w:sz w:val="28"/>
        </w:rPr>
        <w:t>data</w:t>
      </w:r>
      <w:r>
        <w:rPr>
          <w:b/>
          <w:color w:val="67287F"/>
          <w:spacing w:val="-6"/>
          <w:sz w:val="28"/>
        </w:rPr>
        <w:t> </w:t>
      </w:r>
      <w:r>
        <w:rPr>
          <w:b/>
          <w:color w:val="67287F"/>
          <w:sz w:val="28"/>
        </w:rPr>
        <w:t>for</w:t>
      </w:r>
      <w:r>
        <w:rPr>
          <w:b/>
          <w:color w:val="67287F"/>
          <w:spacing w:val="-7"/>
          <w:sz w:val="28"/>
        </w:rPr>
        <w:t> </w:t>
      </w:r>
      <w:r>
        <w:rPr>
          <w:b/>
          <w:color w:val="67287F"/>
          <w:sz w:val="28"/>
        </w:rPr>
        <w:t>scientific</w:t>
      </w:r>
      <w:r>
        <w:rPr>
          <w:b/>
          <w:color w:val="67287F"/>
          <w:spacing w:val="-6"/>
          <w:sz w:val="28"/>
        </w:rPr>
        <w:t> </w:t>
      </w:r>
      <w:r>
        <w:rPr>
          <w:b/>
          <w:color w:val="67287F"/>
          <w:sz w:val="28"/>
        </w:rPr>
        <w:t>purposes</w:t>
      </w:r>
      <w:r>
        <w:rPr>
          <w:b/>
          <w:color w:val="67287F"/>
          <w:spacing w:val="-6"/>
          <w:sz w:val="28"/>
        </w:rPr>
        <w:t> </w:t>
      </w:r>
      <w:r>
        <w:rPr>
          <w:b/>
          <w:color w:val="67287F"/>
          <w:sz w:val="28"/>
        </w:rPr>
        <w:t>(Clause</w:t>
      </w:r>
      <w:r>
        <w:rPr>
          <w:b/>
          <w:color w:val="67287F"/>
          <w:spacing w:val="-7"/>
          <w:sz w:val="28"/>
        </w:rPr>
        <w:t> </w:t>
      </w:r>
      <w:r>
        <w:rPr>
          <w:b/>
          <w:color w:val="67287F"/>
          <w:spacing w:val="-5"/>
          <w:sz w:val="28"/>
        </w:rPr>
        <w:t>2);</w:t>
      </w:r>
    </w:p>
    <w:p>
      <w:pPr>
        <w:pStyle w:val="ListParagraph"/>
        <w:numPr>
          <w:ilvl w:val="2"/>
          <w:numId w:val="7"/>
        </w:numPr>
        <w:tabs>
          <w:tab w:pos="2562" w:val="left" w:leader="none"/>
        </w:tabs>
        <w:spacing w:line="240" w:lineRule="auto" w:before="83" w:after="0"/>
        <w:ind w:left="2562" w:right="0" w:hanging="360"/>
        <w:jc w:val="left"/>
        <w:rPr>
          <w:b/>
          <w:sz w:val="28"/>
        </w:rPr>
      </w:pPr>
      <w:r>
        <w:rPr>
          <w:b/>
          <w:color w:val="67287F"/>
          <w:sz w:val="28"/>
        </w:rPr>
        <w:t>subject</w:t>
      </w:r>
      <w:r>
        <w:rPr>
          <w:b/>
          <w:color w:val="67287F"/>
          <w:spacing w:val="-6"/>
          <w:sz w:val="28"/>
        </w:rPr>
        <w:t> </w:t>
      </w:r>
      <w:r>
        <w:rPr>
          <w:b/>
          <w:color w:val="67287F"/>
          <w:sz w:val="28"/>
        </w:rPr>
        <w:t>access</w:t>
      </w:r>
      <w:r>
        <w:rPr>
          <w:b/>
          <w:color w:val="67287F"/>
          <w:spacing w:val="-5"/>
          <w:sz w:val="28"/>
        </w:rPr>
        <w:t> </w:t>
      </w:r>
      <w:r>
        <w:rPr>
          <w:b/>
          <w:color w:val="67287F"/>
          <w:sz w:val="28"/>
        </w:rPr>
        <w:t>requirements</w:t>
      </w:r>
      <w:r>
        <w:rPr>
          <w:b/>
          <w:color w:val="67287F"/>
          <w:spacing w:val="-5"/>
          <w:sz w:val="28"/>
        </w:rPr>
        <w:t> </w:t>
      </w:r>
      <w:r>
        <w:rPr>
          <w:b/>
          <w:color w:val="67287F"/>
          <w:sz w:val="28"/>
        </w:rPr>
        <w:t>(Clause</w:t>
      </w:r>
      <w:r>
        <w:rPr>
          <w:b/>
          <w:color w:val="67287F"/>
          <w:spacing w:val="-5"/>
          <w:sz w:val="28"/>
        </w:rPr>
        <w:t> 9);</w:t>
      </w:r>
    </w:p>
    <w:p>
      <w:pPr>
        <w:pStyle w:val="ListParagraph"/>
        <w:numPr>
          <w:ilvl w:val="2"/>
          <w:numId w:val="7"/>
        </w:numPr>
        <w:tabs>
          <w:tab w:pos="2562" w:val="left" w:leader="none"/>
        </w:tabs>
        <w:spacing w:line="240" w:lineRule="auto" w:before="83" w:after="0"/>
        <w:ind w:left="2562" w:right="0" w:hanging="360"/>
        <w:jc w:val="left"/>
        <w:rPr>
          <w:b/>
          <w:sz w:val="28"/>
        </w:rPr>
      </w:pPr>
      <w:r>
        <w:rPr>
          <w:b/>
          <w:color w:val="67287F"/>
          <w:sz w:val="28"/>
        </w:rPr>
        <w:t>data</w:t>
      </w:r>
      <w:r>
        <w:rPr>
          <w:b/>
          <w:color w:val="67287F"/>
          <w:spacing w:val="-3"/>
          <w:sz w:val="28"/>
        </w:rPr>
        <w:t> </w:t>
      </w:r>
      <w:r>
        <w:rPr>
          <w:b/>
          <w:color w:val="67287F"/>
          <w:sz w:val="28"/>
        </w:rPr>
        <w:t>impact</w:t>
      </w:r>
      <w:r>
        <w:rPr>
          <w:b/>
          <w:color w:val="67287F"/>
          <w:spacing w:val="-2"/>
          <w:sz w:val="28"/>
        </w:rPr>
        <w:t> </w:t>
      </w:r>
      <w:r>
        <w:rPr>
          <w:b/>
          <w:color w:val="67287F"/>
          <w:sz w:val="28"/>
        </w:rPr>
        <w:t>assessments</w:t>
      </w:r>
      <w:r>
        <w:rPr>
          <w:b/>
          <w:color w:val="67287F"/>
          <w:spacing w:val="-2"/>
          <w:sz w:val="28"/>
        </w:rPr>
        <w:t> </w:t>
      </w:r>
      <w:r>
        <w:rPr>
          <w:b/>
          <w:color w:val="67287F"/>
          <w:sz w:val="28"/>
        </w:rPr>
        <w:t>(Clause</w:t>
      </w:r>
      <w:r>
        <w:rPr>
          <w:b/>
          <w:color w:val="67287F"/>
          <w:spacing w:val="-3"/>
          <w:sz w:val="28"/>
        </w:rPr>
        <w:t> </w:t>
      </w:r>
      <w:r>
        <w:rPr>
          <w:b/>
          <w:color w:val="67287F"/>
          <w:sz w:val="28"/>
        </w:rPr>
        <w:t>20</w:t>
      </w:r>
      <w:r>
        <w:rPr>
          <w:b/>
          <w:color w:val="67287F"/>
          <w:spacing w:val="-2"/>
          <w:sz w:val="28"/>
        </w:rPr>
        <w:t> </w:t>
      </w:r>
      <w:r>
        <w:rPr>
          <w:b/>
          <w:color w:val="67287F"/>
          <w:sz w:val="28"/>
        </w:rPr>
        <w:t>and</w:t>
      </w:r>
      <w:r>
        <w:rPr>
          <w:b/>
          <w:color w:val="67287F"/>
          <w:spacing w:val="-2"/>
          <w:sz w:val="28"/>
        </w:rPr>
        <w:t> </w:t>
      </w:r>
      <w:r>
        <w:rPr>
          <w:b/>
          <w:color w:val="67287F"/>
          <w:sz w:val="28"/>
        </w:rPr>
        <w:t>21);</w:t>
      </w:r>
      <w:r>
        <w:rPr>
          <w:b/>
          <w:color w:val="67287F"/>
          <w:spacing w:val="-2"/>
          <w:sz w:val="28"/>
        </w:rPr>
        <w:t> </w:t>
      </w:r>
      <w:r>
        <w:rPr>
          <w:b/>
          <w:color w:val="67287F"/>
          <w:spacing w:val="-5"/>
          <w:sz w:val="28"/>
        </w:rPr>
        <w:t>and</w:t>
      </w:r>
    </w:p>
    <w:p>
      <w:pPr>
        <w:pStyle w:val="ListParagraph"/>
        <w:numPr>
          <w:ilvl w:val="2"/>
          <w:numId w:val="7"/>
        </w:numPr>
        <w:tabs>
          <w:tab w:pos="2562" w:val="left" w:leader="none"/>
        </w:tabs>
        <w:spacing w:line="225" w:lineRule="auto" w:before="100" w:after="0"/>
        <w:ind w:left="2562" w:right="1576" w:hanging="360"/>
        <w:jc w:val="left"/>
        <w:rPr>
          <w:b/>
          <w:sz w:val="28"/>
        </w:rPr>
      </w:pPr>
      <w:r>
        <w:rPr>
          <w:b/>
          <w:color w:val="67287F"/>
          <w:sz w:val="28"/>
        </w:rPr>
        <w:t>power</w:t>
      </w:r>
      <w:r>
        <w:rPr>
          <w:b/>
          <w:color w:val="67287F"/>
          <w:spacing w:val="-6"/>
          <w:sz w:val="28"/>
        </w:rPr>
        <w:t> </w:t>
      </w:r>
      <w:r>
        <w:rPr>
          <w:b/>
          <w:color w:val="67287F"/>
          <w:sz w:val="28"/>
        </w:rPr>
        <w:t>of</w:t>
      </w:r>
      <w:r>
        <w:rPr>
          <w:b/>
          <w:color w:val="67287F"/>
          <w:spacing w:val="-6"/>
          <w:sz w:val="28"/>
        </w:rPr>
        <w:t> </w:t>
      </w:r>
      <w:r>
        <w:rPr>
          <w:b/>
          <w:color w:val="67287F"/>
          <w:sz w:val="28"/>
        </w:rPr>
        <w:t>the</w:t>
      </w:r>
      <w:r>
        <w:rPr>
          <w:b/>
          <w:color w:val="67287F"/>
          <w:spacing w:val="-6"/>
          <w:sz w:val="28"/>
        </w:rPr>
        <w:t> </w:t>
      </w:r>
      <w:r>
        <w:rPr>
          <w:b/>
          <w:color w:val="67287F"/>
          <w:sz w:val="28"/>
        </w:rPr>
        <w:t>Department</w:t>
      </w:r>
      <w:r>
        <w:rPr>
          <w:b/>
          <w:color w:val="67287F"/>
          <w:spacing w:val="-5"/>
          <w:sz w:val="28"/>
        </w:rPr>
        <w:t> </w:t>
      </w:r>
      <w:r>
        <w:rPr>
          <w:b/>
          <w:color w:val="67287F"/>
          <w:sz w:val="28"/>
        </w:rPr>
        <w:t>of</w:t>
      </w:r>
      <w:r>
        <w:rPr>
          <w:b/>
          <w:color w:val="67287F"/>
          <w:spacing w:val="-6"/>
          <w:sz w:val="28"/>
        </w:rPr>
        <w:t> </w:t>
      </w:r>
      <w:r>
        <w:rPr>
          <w:b/>
          <w:color w:val="67287F"/>
          <w:sz w:val="28"/>
        </w:rPr>
        <w:t>Work</w:t>
      </w:r>
      <w:r>
        <w:rPr>
          <w:b/>
          <w:color w:val="67287F"/>
          <w:spacing w:val="-6"/>
          <w:sz w:val="28"/>
        </w:rPr>
        <w:t> </w:t>
      </w:r>
      <w:r>
        <w:rPr>
          <w:b/>
          <w:color w:val="67287F"/>
          <w:sz w:val="28"/>
        </w:rPr>
        <w:t>and</w:t>
      </w:r>
      <w:r>
        <w:rPr>
          <w:b/>
          <w:color w:val="67287F"/>
          <w:spacing w:val="-5"/>
          <w:sz w:val="28"/>
        </w:rPr>
        <w:t> </w:t>
      </w:r>
      <w:r>
        <w:rPr>
          <w:b/>
          <w:color w:val="67287F"/>
          <w:sz w:val="28"/>
        </w:rPr>
        <w:t>Pensions</w:t>
      </w:r>
      <w:r>
        <w:rPr>
          <w:b/>
          <w:color w:val="67287F"/>
          <w:spacing w:val="-5"/>
          <w:sz w:val="28"/>
        </w:rPr>
        <w:t> </w:t>
      </w:r>
      <w:r>
        <w:rPr>
          <w:b/>
          <w:color w:val="67287F"/>
          <w:sz w:val="28"/>
        </w:rPr>
        <w:t>to</w:t>
      </w:r>
      <w:r>
        <w:rPr>
          <w:b/>
          <w:color w:val="67287F"/>
          <w:spacing w:val="-5"/>
          <w:sz w:val="28"/>
        </w:rPr>
        <w:t> </w:t>
      </w:r>
      <w:r>
        <w:rPr>
          <w:b/>
          <w:color w:val="67287F"/>
          <w:sz w:val="28"/>
        </w:rPr>
        <w:t>access</w:t>
      </w:r>
      <w:r>
        <w:rPr>
          <w:b/>
          <w:color w:val="67287F"/>
          <w:spacing w:val="-5"/>
          <w:sz w:val="28"/>
        </w:rPr>
        <w:t> </w:t>
      </w:r>
      <w:r>
        <w:rPr>
          <w:b/>
          <w:color w:val="67287F"/>
          <w:sz w:val="28"/>
        </w:rPr>
        <w:t>the</w:t>
      </w:r>
      <w:r>
        <w:rPr>
          <w:b/>
          <w:color w:val="67287F"/>
          <w:spacing w:val="-6"/>
          <w:sz w:val="28"/>
        </w:rPr>
        <w:t> </w:t>
      </w:r>
      <w:r>
        <w:rPr>
          <w:b/>
          <w:color w:val="67287F"/>
          <w:sz w:val="28"/>
        </w:rPr>
        <w:t>bank accounts of benefit claimants (Clause 128 and Schedule 11).</w:t>
      </w:r>
    </w:p>
    <w:p>
      <w:pPr>
        <w:pStyle w:val="BodyText"/>
        <w:spacing w:before="95"/>
        <w:rPr>
          <w:b/>
        </w:rPr>
      </w:pPr>
    </w:p>
    <w:p>
      <w:pPr>
        <w:pStyle w:val="ListParagraph"/>
        <w:numPr>
          <w:ilvl w:val="1"/>
          <w:numId w:val="7"/>
        </w:numPr>
        <w:tabs>
          <w:tab w:pos="1853" w:val="left" w:leader="none"/>
        </w:tabs>
        <w:spacing w:line="225" w:lineRule="auto" w:before="0" w:after="0"/>
        <w:ind w:left="1853" w:right="1250" w:hanging="720"/>
        <w:jc w:val="left"/>
        <w:rPr>
          <w:b/>
          <w:color w:val="67287F"/>
          <w:sz w:val="28"/>
        </w:rPr>
      </w:pPr>
      <w:r>
        <w:rPr>
          <w:b/>
          <w:color w:val="67287F"/>
          <w:sz w:val="28"/>
        </w:rPr>
        <w:t>The NIHRC recommends that the Secretary of State for Science, Innovation and Technology reviews the provisions of the Bill and brings forward amendments</w:t>
      </w:r>
      <w:r>
        <w:rPr>
          <w:b/>
          <w:color w:val="67287F"/>
          <w:spacing w:val="-9"/>
          <w:sz w:val="28"/>
        </w:rPr>
        <w:t> </w:t>
      </w:r>
      <w:r>
        <w:rPr>
          <w:b/>
          <w:color w:val="67287F"/>
          <w:sz w:val="28"/>
        </w:rPr>
        <w:t>as</w:t>
      </w:r>
      <w:r>
        <w:rPr>
          <w:b/>
          <w:color w:val="67287F"/>
          <w:spacing w:val="-9"/>
          <w:sz w:val="28"/>
        </w:rPr>
        <w:t> </w:t>
      </w:r>
      <w:r>
        <w:rPr>
          <w:b/>
          <w:color w:val="67287F"/>
          <w:sz w:val="28"/>
        </w:rPr>
        <w:t>required</w:t>
      </w:r>
      <w:r>
        <w:rPr>
          <w:b/>
          <w:color w:val="67287F"/>
          <w:spacing w:val="-9"/>
          <w:sz w:val="28"/>
        </w:rPr>
        <w:t> </w:t>
      </w:r>
      <w:r>
        <w:rPr>
          <w:b/>
          <w:color w:val="67287F"/>
          <w:sz w:val="28"/>
        </w:rPr>
        <w:t>to</w:t>
      </w:r>
      <w:r>
        <w:rPr>
          <w:b/>
          <w:color w:val="67287F"/>
          <w:spacing w:val="-9"/>
          <w:sz w:val="28"/>
        </w:rPr>
        <w:t> </w:t>
      </w:r>
      <w:r>
        <w:rPr>
          <w:b/>
          <w:color w:val="67287F"/>
          <w:sz w:val="28"/>
        </w:rPr>
        <w:t>avoid</w:t>
      </w:r>
      <w:r>
        <w:rPr>
          <w:b/>
          <w:color w:val="67287F"/>
          <w:spacing w:val="-9"/>
          <w:sz w:val="28"/>
        </w:rPr>
        <w:t> </w:t>
      </w:r>
      <w:r>
        <w:rPr>
          <w:b/>
          <w:color w:val="67287F"/>
          <w:sz w:val="28"/>
        </w:rPr>
        <w:t>a</w:t>
      </w:r>
      <w:r>
        <w:rPr>
          <w:b/>
          <w:color w:val="67287F"/>
          <w:spacing w:val="-9"/>
          <w:sz w:val="28"/>
        </w:rPr>
        <w:t> </w:t>
      </w:r>
      <w:r>
        <w:rPr>
          <w:b/>
          <w:color w:val="67287F"/>
          <w:sz w:val="28"/>
        </w:rPr>
        <w:t>divergence</w:t>
      </w:r>
      <w:r>
        <w:rPr>
          <w:b/>
          <w:color w:val="67287F"/>
          <w:spacing w:val="-10"/>
          <w:sz w:val="28"/>
        </w:rPr>
        <w:t> </w:t>
      </w:r>
      <w:r>
        <w:rPr>
          <w:b/>
          <w:color w:val="67287F"/>
          <w:sz w:val="28"/>
        </w:rPr>
        <w:t>of</w:t>
      </w:r>
      <w:r>
        <w:rPr>
          <w:b/>
          <w:color w:val="67287F"/>
          <w:spacing w:val="-10"/>
          <w:sz w:val="28"/>
        </w:rPr>
        <w:t> </w:t>
      </w:r>
      <w:r>
        <w:rPr>
          <w:b/>
          <w:color w:val="67287F"/>
          <w:sz w:val="28"/>
        </w:rPr>
        <w:t>data</w:t>
      </w:r>
      <w:r>
        <w:rPr>
          <w:b/>
          <w:color w:val="67287F"/>
          <w:spacing w:val="-9"/>
          <w:sz w:val="28"/>
        </w:rPr>
        <w:t> </w:t>
      </w:r>
      <w:r>
        <w:rPr>
          <w:b/>
          <w:color w:val="67287F"/>
          <w:sz w:val="28"/>
        </w:rPr>
        <w:t>protection</w:t>
      </w:r>
      <w:r>
        <w:rPr>
          <w:b/>
          <w:color w:val="67287F"/>
          <w:spacing w:val="-9"/>
          <w:sz w:val="28"/>
        </w:rPr>
        <w:t> </w:t>
      </w:r>
      <w:r>
        <w:rPr>
          <w:b/>
          <w:color w:val="67287F"/>
          <w:sz w:val="28"/>
        </w:rPr>
        <w:t>standards between the UK and the EU that might result in the free flow of data between the UK and the EU being compromised.</w:t>
      </w:r>
    </w:p>
    <w:p>
      <w:pPr>
        <w:pStyle w:val="ListParagraph"/>
        <w:numPr>
          <w:ilvl w:val="1"/>
          <w:numId w:val="7"/>
        </w:numPr>
        <w:tabs>
          <w:tab w:pos="1853" w:val="left" w:leader="none"/>
        </w:tabs>
        <w:spacing w:line="225" w:lineRule="auto" w:before="314" w:after="0"/>
        <w:ind w:left="1853" w:right="1457" w:hanging="720"/>
        <w:jc w:val="left"/>
        <w:rPr>
          <w:b/>
          <w:color w:val="67287F"/>
          <w:sz w:val="28"/>
        </w:rPr>
      </w:pPr>
      <w:r>
        <w:rPr>
          <w:b/>
          <w:color w:val="67287F"/>
          <w:sz w:val="28"/>
        </w:rPr>
        <w:t>The Commissions recommend that the Secretary of State for Science, Innovation and Technology makes all required amendments to the Data Protection</w:t>
      </w:r>
      <w:r>
        <w:rPr>
          <w:b/>
          <w:color w:val="67287F"/>
          <w:spacing w:val="-10"/>
          <w:sz w:val="28"/>
        </w:rPr>
        <w:t> </w:t>
      </w:r>
      <w:r>
        <w:rPr>
          <w:b/>
          <w:color w:val="67287F"/>
          <w:sz w:val="28"/>
        </w:rPr>
        <w:t>(Fundamental</w:t>
      </w:r>
      <w:r>
        <w:rPr>
          <w:b/>
          <w:color w:val="67287F"/>
          <w:spacing w:val="-10"/>
          <w:sz w:val="28"/>
        </w:rPr>
        <w:t> </w:t>
      </w:r>
      <w:r>
        <w:rPr>
          <w:b/>
          <w:color w:val="67287F"/>
          <w:sz w:val="28"/>
        </w:rPr>
        <w:t>Rights</w:t>
      </w:r>
      <w:r>
        <w:rPr>
          <w:b/>
          <w:color w:val="67287F"/>
          <w:spacing w:val="-10"/>
          <w:sz w:val="28"/>
        </w:rPr>
        <w:t> </w:t>
      </w:r>
      <w:r>
        <w:rPr>
          <w:b/>
          <w:color w:val="67287F"/>
          <w:sz w:val="28"/>
        </w:rPr>
        <w:t>and</w:t>
      </w:r>
      <w:r>
        <w:rPr>
          <w:b/>
          <w:color w:val="67287F"/>
          <w:spacing w:val="-10"/>
          <w:sz w:val="28"/>
        </w:rPr>
        <w:t> </w:t>
      </w:r>
      <w:r>
        <w:rPr>
          <w:b/>
          <w:color w:val="67287F"/>
          <w:sz w:val="28"/>
        </w:rPr>
        <w:t>Freedoms)</w:t>
      </w:r>
      <w:r>
        <w:rPr>
          <w:b/>
          <w:color w:val="67287F"/>
          <w:spacing w:val="-10"/>
          <w:sz w:val="28"/>
        </w:rPr>
        <w:t> </w:t>
      </w:r>
      <w:r>
        <w:rPr>
          <w:b/>
          <w:color w:val="67287F"/>
          <w:sz w:val="28"/>
        </w:rPr>
        <w:t>(Amendment)</w:t>
      </w:r>
      <w:r>
        <w:rPr>
          <w:b/>
          <w:color w:val="67287F"/>
          <w:spacing w:val="-10"/>
          <w:sz w:val="28"/>
        </w:rPr>
        <w:t> </w:t>
      </w:r>
      <w:r>
        <w:rPr>
          <w:b/>
          <w:color w:val="67287F"/>
          <w:sz w:val="28"/>
        </w:rPr>
        <w:t>Regulations 2023 so as to ensure compliance with Windsor Framework Article 2.</w:t>
      </w:r>
    </w:p>
    <w:p>
      <w:pPr>
        <w:spacing w:after="0" w:line="225" w:lineRule="auto"/>
        <w:jc w:val="left"/>
        <w:rPr>
          <w:sz w:val="28"/>
        </w:rPr>
        <w:sectPr>
          <w:pgSz w:w="11910" w:h="16840"/>
          <w:pgMar w:header="496" w:footer="367" w:top="1220" w:bottom="560" w:left="0" w:right="0"/>
        </w:sectPr>
      </w:pPr>
    </w:p>
    <w:p>
      <w:pPr>
        <w:pStyle w:val="Heading2"/>
        <w:numPr>
          <w:ilvl w:val="1"/>
          <w:numId w:val="12"/>
        </w:numPr>
        <w:tabs>
          <w:tab w:pos="1916" w:val="left" w:leader="none"/>
        </w:tabs>
        <w:spacing w:line="235" w:lineRule="auto" w:before="486" w:after="0"/>
        <w:ind w:left="1133" w:right="1505" w:firstLine="0"/>
        <w:jc w:val="left"/>
      </w:pPr>
      <w:bookmarkStart w:name="_bookmark46" w:id="103"/>
      <w:bookmarkEnd w:id="103"/>
      <w:r>
        <w:rPr>
          <w:b w:val="0"/>
        </w:rPr>
      </w:r>
      <w:bookmarkStart w:name="4.0 Human Rights and Equality after Brex" w:id="104"/>
      <w:bookmarkEnd w:id="104"/>
      <w:r>
        <w:rPr>
          <w:b w:val="0"/>
        </w:rPr>
      </w:r>
      <w:r>
        <w:rPr>
          <w:color w:val="393B7F"/>
        </w:rPr>
        <w:t>Human</w:t>
      </w:r>
      <w:r>
        <w:rPr>
          <w:color w:val="393B7F"/>
          <w:spacing w:val="-16"/>
        </w:rPr>
        <w:t> </w:t>
      </w:r>
      <w:r>
        <w:rPr>
          <w:color w:val="393B7F"/>
        </w:rPr>
        <w:t>Rights</w:t>
      </w:r>
      <w:r>
        <w:rPr>
          <w:color w:val="393B7F"/>
          <w:spacing w:val="-16"/>
        </w:rPr>
        <w:t> </w:t>
      </w:r>
      <w:r>
        <w:rPr>
          <w:color w:val="393B7F"/>
        </w:rPr>
        <w:t>and</w:t>
      </w:r>
      <w:r>
        <w:rPr>
          <w:color w:val="393B7F"/>
          <w:spacing w:val="-16"/>
        </w:rPr>
        <w:t> </w:t>
      </w:r>
      <w:r>
        <w:rPr>
          <w:color w:val="393B7F"/>
        </w:rPr>
        <w:t>Equality</w:t>
      </w:r>
      <w:r>
        <w:rPr>
          <w:color w:val="393B7F"/>
          <w:spacing w:val="-16"/>
        </w:rPr>
        <w:t> </w:t>
      </w:r>
      <w:r>
        <w:rPr>
          <w:color w:val="393B7F"/>
        </w:rPr>
        <w:t>after</w:t>
      </w:r>
      <w:r>
        <w:rPr>
          <w:color w:val="393B7F"/>
          <w:spacing w:val="-17"/>
        </w:rPr>
        <w:t> </w:t>
      </w:r>
      <w:r>
        <w:rPr>
          <w:color w:val="393B7F"/>
        </w:rPr>
        <w:t>Brexit: Article 2 and Beyond</w:t>
      </w:r>
    </w:p>
    <w:p>
      <w:pPr>
        <w:pStyle w:val="BodyText"/>
        <w:rPr>
          <w:b/>
          <w:sz w:val="14"/>
        </w:rPr>
      </w:pPr>
      <w:r>
        <w:rPr/>
        <mc:AlternateContent>
          <mc:Choice Requires="wps">
            <w:drawing>
              <wp:anchor distT="0" distB="0" distL="0" distR="0" allowOverlap="1" layoutInCell="1" locked="0" behindDoc="1" simplePos="0" relativeHeight="487708672">
                <wp:simplePos x="0" y="0"/>
                <wp:positionH relativeFrom="page">
                  <wp:posOffset>719997</wp:posOffset>
                </wp:positionH>
                <wp:positionV relativeFrom="paragraph">
                  <wp:posOffset>123797</wp:posOffset>
                </wp:positionV>
                <wp:extent cx="6120130" cy="1270"/>
                <wp:effectExtent l="0" t="0" r="0" b="0"/>
                <wp:wrapTopAndBottom/>
                <wp:docPr id="552" name="Graphic 552"/>
                <wp:cNvGraphicFramePr>
                  <a:graphicFrameLocks/>
                </wp:cNvGraphicFramePr>
                <a:graphic>
                  <a:graphicData uri="http://schemas.microsoft.com/office/word/2010/wordprocessingShape">
                    <wps:wsp>
                      <wps:cNvPr id="552" name="Graphic 552"/>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9.747869pt;width:481.9pt;height:.1pt;mso-position-horizontal-relative:page;mso-position-vertical-relative:paragraph;z-index:-15607808;mso-wrap-distance-left:0;mso-wrap-distance-right:0" id="docshape497" coordorigin="1134,195" coordsize="9638,0" path="m10772,195l1134,195e" filled="false" stroked="true" strokeweight="1pt" strokecolor="#393b80">
                <v:path arrowok="t"/>
                <v:stroke dashstyle="solid"/>
                <w10:wrap type="topAndBottom"/>
              </v:shape>
            </w:pict>
          </mc:Fallback>
        </mc:AlternateContent>
      </w:r>
    </w:p>
    <w:p>
      <w:pPr>
        <w:pStyle w:val="ListParagraph"/>
        <w:numPr>
          <w:ilvl w:val="1"/>
          <w:numId w:val="13"/>
        </w:numPr>
        <w:tabs>
          <w:tab w:pos="1853" w:val="left" w:leader="none"/>
        </w:tabs>
        <w:spacing w:line="225" w:lineRule="auto" w:before="289" w:after="0"/>
        <w:ind w:left="1853" w:right="1373" w:hanging="720"/>
        <w:jc w:val="left"/>
        <w:rPr>
          <w:sz w:val="28"/>
        </w:rPr>
      </w:pPr>
      <w:r>
        <w:rPr>
          <w:sz w:val="28"/>
        </w:rPr>
        <w:t>The UK’s withdrawal from the EU has implications for human rights and equality</w:t>
      </w:r>
      <w:r>
        <w:rPr>
          <w:spacing w:val="-5"/>
          <w:sz w:val="28"/>
        </w:rPr>
        <w:t> </w:t>
      </w:r>
      <w:r>
        <w:rPr>
          <w:sz w:val="28"/>
        </w:rPr>
        <w:t>that</w:t>
      </w:r>
      <w:r>
        <w:rPr>
          <w:spacing w:val="-5"/>
          <w:sz w:val="28"/>
        </w:rPr>
        <w:t> </w:t>
      </w:r>
      <w:r>
        <w:rPr>
          <w:sz w:val="28"/>
        </w:rPr>
        <w:t>are</w:t>
      </w:r>
      <w:r>
        <w:rPr>
          <w:spacing w:val="-5"/>
          <w:sz w:val="28"/>
        </w:rPr>
        <w:t> </w:t>
      </w:r>
      <w:r>
        <w:rPr>
          <w:sz w:val="28"/>
        </w:rPr>
        <w:t>not</w:t>
      </w:r>
      <w:r>
        <w:rPr>
          <w:spacing w:val="-5"/>
          <w:sz w:val="28"/>
        </w:rPr>
        <w:t> </w:t>
      </w:r>
      <w:r>
        <w:rPr>
          <w:sz w:val="28"/>
        </w:rPr>
        <w:t>fully</w:t>
      </w:r>
      <w:r>
        <w:rPr>
          <w:spacing w:val="-5"/>
          <w:sz w:val="28"/>
        </w:rPr>
        <w:t> </w:t>
      </w:r>
      <w:r>
        <w:rPr>
          <w:sz w:val="28"/>
        </w:rPr>
        <w:t>encompassed</w:t>
      </w:r>
      <w:r>
        <w:rPr>
          <w:spacing w:val="-6"/>
          <w:sz w:val="28"/>
        </w:rPr>
        <w:t> </w:t>
      </w:r>
      <w:r>
        <w:rPr>
          <w:sz w:val="28"/>
        </w:rPr>
        <w:t>by</w:t>
      </w:r>
      <w:r>
        <w:rPr>
          <w:spacing w:val="-5"/>
          <w:sz w:val="28"/>
        </w:rPr>
        <w:t> </w:t>
      </w:r>
      <w:r>
        <w:rPr>
          <w:sz w:val="28"/>
        </w:rPr>
        <w:t>Windsor</w:t>
      </w:r>
      <w:r>
        <w:rPr>
          <w:spacing w:val="-5"/>
          <w:sz w:val="28"/>
        </w:rPr>
        <w:t> </w:t>
      </w:r>
      <w:r>
        <w:rPr>
          <w:sz w:val="28"/>
        </w:rPr>
        <w:t>Framework</w:t>
      </w:r>
      <w:r>
        <w:rPr>
          <w:spacing w:val="-5"/>
          <w:sz w:val="28"/>
        </w:rPr>
        <w:t> </w:t>
      </w:r>
      <w:r>
        <w:rPr>
          <w:sz w:val="28"/>
        </w:rPr>
        <w:t>Article</w:t>
      </w:r>
      <w:r>
        <w:rPr>
          <w:spacing w:val="-5"/>
          <w:sz w:val="28"/>
        </w:rPr>
        <w:t> </w:t>
      </w:r>
      <w:r>
        <w:rPr>
          <w:sz w:val="28"/>
        </w:rPr>
        <w:t>2</w:t>
      </w:r>
      <w:r>
        <w:rPr>
          <w:spacing w:val="-5"/>
          <w:sz w:val="28"/>
        </w:rPr>
        <w:t> </w:t>
      </w:r>
      <w:r>
        <w:rPr>
          <w:sz w:val="28"/>
        </w:rPr>
        <w:t>but are connected to the work of the Dedicated Mechanism. The Commissions have</w:t>
      </w:r>
      <w:r>
        <w:rPr>
          <w:spacing w:val="-2"/>
          <w:sz w:val="28"/>
        </w:rPr>
        <w:t> </w:t>
      </w:r>
      <w:r>
        <w:rPr>
          <w:sz w:val="28"/>
        </w:rPr>
        <w:t>set</w:t>
      </w:r>
      <w:r>
        <w:rPr>
          <w:spacing w:val="-2"/>
          <w:sz w:val="28"/>
        </w:rPr>
        <w:t> </w:t>
      </w:r>
      <w:r>
        <w:rPr>
          <w:sz w:val="28"/>
        </w:rPr>
        <w:t>out</w:t>
      </w:r>
      <w:r>
        <w:rPr>
          <w:spacing w:val="-2"/>
          <w:sz w:val="28"/>
        </w:rPr>
        <w:t> </w:t>
      </w:r>
      <w:r>
        <w:rPr>
          <w:sz w:val="28"/>
        </w:rPr>
        <w:t>below</w:t>
      </w:r>
      <w:r>
        <w:rPr>
          <w:spacing w:val="-2"/>
          <w:sz w:val="28"/>
        </w:rPr>
        <w:t> </w:t>
      </w:r>
      <w:r>
        <w:rPr>
          <w:sz w:val="28"/>
        </w:rPr>
        <w:t>their</w:t>
      </w:r>
      <w:r>
        <w:rPr>
          <w:spacing w:val="-2"/>
          <w:sz w:val="28"/>
        </w:rPr>
        <w:t> </w:t>
      </w:r>
      <w:r>
        <w:rPr>
          <w:sz w:val="28"/>
        </w:rPr>
        <w:t>recommendations</w:t>
      </w:r>
      <w:r>
        <w:rPr>
          <w:spacing w:val="-3"/>
          <w:sz w:val="28"/>
        </w:rPr>
        <w:t> </w:t>
      </w:r>
      <w:r>
        <w:rPr>
          <w:sz w:val="28"/>
        </w:rPr>
        <w:t>on</w:t>
      </w:r>
      <w:r>
        <w:rPr>
          <w:spacing w:val="-3"/>
          <w:sz w:val="28"/>
        </w:rPr>
        <w:t> </w:t>
      </w:r>
      <w:r>
        <w:rPr>
          <w:sz w:val="28"/>
        </w:rPr>
        <w:t>the</w:t>
      </w:r>
      <w:r>
        <w:rPr>
          <w:spacing w:val="-2"/>
          <w:sz w:val="28"/>
        </w:rPr>
        <w:t> </w:t>
      </w:r>
      <w:r>
        <w:rPr>
          <w:sz w:val="28"/>
        </w:rPr>
        <w:t>wider</w:t>
      </w:r>
      <w:r>
        <w:rPr>
          <w:spacing w:val="-2"/>
          <w:sz w:val="28"/>
        </w:rPr>
        <w:t> </w:t>
      </w:r>
      <w:r>
        <w:rPr>
          <w:sz w:val="28"/>
        </w:rPr>
        <w:t>impact</w:t>
      </w:r>
      <w:r>
        <w:rPr>
          <w:spacing w:val="-2"/>
          <w:sz w:val="28"/>
        </w:rPr>
        <w:t> </w:t>
      </w:r>
      <w:r>
        <w:rPr>
          <w:sz w:val="28"/>
        </w:rPr>
        <w:t>of</w:t>
      </w:r>
      <w:r>
        <w:rPr>
          <w:spacing w:val="-3"/>
          <w:sz w:val="28"/>
        </w:rPr>
        <w:t> </w:t>
      </w:r>
      <w:r>
        <w:rPr>
          <w:sz w:val="28"/>
        </w:rPr>
        <w:t>Brexit</w:t>
      </w:r>
      <w:r>
        <w:rPr>
          <w:spacing w:val="-2"/>
          <w:sz w:val="28"/>
        </w:rPr>
        <w:t> </w:t>
      </w:r>
      <w:r>
        <w:rPr>
          <w:sz w:val="28"/>
        </w:rPr>
        <w:t>on the equalities and human rights landscape in NI, aligned to their respective remits and statutory roles.</w:t>
      </w:r>
    </w:p>
    <w:p>
      <w:pPr>
        <w:pStyle w:val="Heading4"/>
        <w:spacing w:before="339"/>
      </w:pPr>
      <w:bookmarkStart w:name="Birthright" w:id="105"/>
      <w:bookmarkEnd w:id="105"/>
      <w:r>
        <w:rPr>
          <w:b w:val="0"/>
        </w:rPr>
      </w:r>
      <w:r>
        <w:rPr>
          <w:color w:val="67287F"/>
          <w:spacing w:val="-2"/>
        </w:rPr>
        <w:t>Birthright</w:t>
      </w:r>
    </w:p>
    <w:p>
      <w:pPr>
        <w:pStyle w:val="BodyText"/>
        <w:spacing w:before="10"/>
        <w:rPr>
          <w:b/>
          <w:sz w:val="9"/>
        </w:rPr>
      </w:pPr>
      <w:r>
        <w:rPr/>
        <mc:AlternateContent>
          <mc:Choice Requires="wps">
            <w:drawing>
              <wp:anchor distT="0" distB="0" distL="0" distR="0" allowOverlap="1" layoutInCell="1" locked="0" behindDoc="1" simplePos="0" relativeHeight="487709184">
                <wp:simplePos x="0" y="0"/>
                <wp:positionH relativeFrom="page">
                  <wp:posOffset>719996</wp:posOffset>
                </wp:positionH>
                <wp:positionV relativeFrom="paragraph">
                  <wp:posOffset>91594</wp:posOffset>
                </wp:positionV>
                <wp:extent cx="6120130" cy="1270"/>
                <wp:effectExtent l="0" t="0" r="0" b="0"/>
                <wp:wrapTopAndBottom/>
                <wp:docPr id="553" name="Graphic 553"/>
                <wp:cNvGraphicFramePr>
                  <a:graphicFrameLocks/>
                </wp:cNvGraphicFramePr>
                <a:graphic>
                  <a:graphicData uri="http://schemas.microsoft.com/office/word/2010/wordprocessingShape">
                    <wps:wsp>
                      <wps:cNvPr id="553" name="Graphic 553"/>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7.212131pt;width:481.9pt;height:.1pt;mso-position-horizontal-relative:page;mso-position-vertical-relative:paragraph;z-index:-15607296;mso-wrap-distance-left:0;mso-wrap-distance-right:0" id="docshape498" coordorigin="1134,144" coordsize="9638,0" path="m10772,144l1134,144e" filled="false" stroked="true" strokeweight="1pt" strokecolor="#67287f">
                <v:path arrowok="t"/>
                <v:stroke dashstyle="solid"/>
                <w10:wrap type="topAndBottom"/>
              </v:shape>
            </w:pict>
          </mc:Fallback>
        </mc:AlternateContent>
      </w:r>
    </w:p>
    <w:p>
      <w:pPr>
        <w:pStyle w:val="ListParagraph"/>
        <w:numPr>
          <w:ilvl w:val="1"/>
          <w:numId w:val="13"/>
        </w:numPr>
        <w:tabs>
          <w:tab w:pos="1853" w:val="left" w:leader="none"/>
        </w:tabs>
        <w:spacing w:line="218" w:lineRule="auto" w:before="207" w:after="0"/>
        <w:ind w:left="1853" w:right="1354" w:hanging="720"/>
        <w:jc w:val="left"/>
        <w:rPr>
          <w:sz w:val="28"/>
        </w:rPr>
      </w:pPr>
      <w:r>
        <w:rPr>
          <w:sz w:val="28"/>
        </w:rPr>
        <w:t>Recognition in the Belfast (Good Friday) Agreement, of the “birthright of all the people of NI to identify themselves and be accepted as Irish or British,</w:t>
      </w:r>
      <w:r>
        <w:rPr>
          <w:spacing w:val="40"/>
          <w:sz w:val="28"/>
        </w:rPr>
        <w:t> </w:t>
      </w:r>
      <w:r>
        <w:rPr>
          <w:sz w:val="28"/>
        </w:rPr>
        <w:t>or both”, has attracted renewed focus in the context of EU withdrawal, due to the implications for access to EU free movement rights. In accordance with</w:t>
      </w:r>
      <w:r>
        <w:rPr>
          <w:spacing w:val="-4"/>
          <w:sz w:val="28"/>
        </w:rPr>
        <w:t> </w:t>
      </w:r>
      <w:r>
        <w:rPr>
          <w:sz w:val="28"/>
        </w:rPr>
        <w:t>Section</w:t>
      </w:r>
      <w:r>
        <w:rPr>
          <w:spacing w:val="-4"/>
          <w:sz w:val="28"/>
        </w:rPr>
        <w:t> </w:t>
      </w:r>
      <w:r>
        <w:rPr>
          <w:sz w:val="28"/>
        </w:rPr>
        <w:t>1</w:t>
      </w:r>
      <w:r>
        <w:rPr>
          <w:spacing w:val="-3"/>
          <w:sz w:val="28"/>
        </w:rPr>
        <w:t> </w:t>
      </w:r>
      <w:r>
        <w:rPr>
          <w:sz w:val="28"/>
        </w:rPr>
        <w:t>of</w:t>
      </w:r>
      <w:r>
        <w:rPr>
          <w:spacing w:val="-4"/>
          <w:sz w:val="28"/>
        </w:rPr>
        <w:t> </w:t>
      </w:r>
      <w:r>
        <w:rPr>
          <w:sz w:val="28"/>
        </w:rPr>
        <w:t>the</w:t>
      </w:r>
      <w:r>
        <w:rPr>
          <w:spacing w:val="-3"/>
          <w:sz w:val="28"/>
        </w:rPr>
        <w:t> </w:t>
      </w:r>
      <w:r>
        <w:rPr>
          <w:sz w:val="28"/>
        </w:rPr>
        <w:t>British</w:t>
      </w:r>
      <w:r>
        <w:rPr>
          <w:spacing w:val="-4"/>
          <w:sz w:val="28"/>
        </w:rPr>
        <w:t> </w:t>
      </w:r>
      <w:r>
        <w:rPr>
          <w:sz w:val="28"/>
        </w:rPr>
        <w:t>Nationality</w:t>
      </w:r>
      <w:r>
        <w:rPr>
          <w:spacing w:val="-3"/>
          <w:sz w:val="28"/>
        </w:rPr>
        <w:t> </w:t>
      </w:r>
      <w:r>
        <w:rPr>
          <w:sz w:val="28"/>
        </w:rPr>
        <w:t>Act</w:t>
      </w:r>
      <w:r>
        <w:rPr>
          <w:spacing w:val="-3"/>
          <w:sz w:val="28"/>
        </w:rPr>
        <w:t> </w:t>
      </w:r>
      <w:r>
        <w:rPr>
          <w:sz w:val="28"/>
        </w:rPr>
        <w:t>1981,</w:t>
      </w:r>
      <w:r>
        <w:rPr>
          <w:spacing w:val="-3"/>
          <w:sz w:val="28"/>
        </w:rPr>
        <w:t> </w:t>
      </w:r>
      <w:r>
        <w:rPr>
          <w:sz w:val="28"/>
        </w:rPr>
        <w:t>anyone</w:t>
      </w:r>
      <w:r>
        <w:rPr>
          <w:spacing w:val="-3"/>
          <w:sz w:val="28"/>
        </w:rPr>
        <w:t> </w:t>
      </w:r>
      <w:r>
        <w:rPr>
          <w:sz w:val="28"/>
        </w:rPr>
        <w:t>born</w:t>
      </w:r>
      <w:r>
        <w:rPr>
          <w:spacing w:val="-4"/>
          <w:sz w:val="28"/>
        </w:rPr>
        <w:t> </w:t>
      </w:r>
      <w:r>
        <w:rPr>
          <w:sz w:val="28"/>
        </w:rPr>
        <w:t>in</w:t>
      </w:r>
      <w:r>
        <w:rPr>
          <w:spacing w:val="-4"/>
          <w:sz w:val="28"/>
        </w:rPr>
        <w:t> </w:t>
      </w:r>
      <w:r>
        <w:rPr>
          <w:sz w:val="28"/>
        </w:rPr>
        <w:t>the</w:t>
      </w:r>
      <w:r>
        <w:rPr>
          <w:spacing w:val="-3"/>
          <w:sz w:val="28"/>
        </w:rPr>
        <w:t> </w:t>
      </w:r>
      <w:r>
        <w:rPr>
          <w:sz w:val="28"/>
        </w:rPr>
        <w:t>UK</w:t>
      </w:r>
      <w:r>
        <w:rPr>
          <w:spacing w:val="-3"/>
          <w:sz w:val="28"/>
        </w:rPr>
        <w:t> </w:t>
      </w:r>
      <w:r>
        <w:rPr>
          <w:sz w:val="28"/>
        </w:rPr>
        <w:t>to</w:t>
      </w:r>
      <w:r>
        <w:rPr>
          <w:spacing w:val="-4"/>
          <w:sz w:val="28"/>
        </w:rPr>
        <w:t> </w:t>
      </w:r>
      <w:r>
        <w:rPr>
          <w:sz w:val="28"/>
        </w:rPr>
        <w:t>a British, Irish, or settled parent, is deemed British.</w:t>
      </w:r>
    </w:p>
    <w:p>
      <w:pPr>
        <w:pStyle w:val="ListParagraph"/>
        <w:numPr>
          <w:ilvl w:val="1"/>
          <w:numId w:val="13"/>
        </w:numPr>
        <w:tabs>
          <w:tab w:pos="1853" w:val="left" w:leader="none"/>
        </w:tabs>
        <w:spacing w:line="218" w:lineRule="auto" w:before="234" w:after="0"/>
        <w:ind w:left="1853" w:right="1153" w:hanging="720"/>
        <w:jc w:val="left"/>
        <w:rPr>
          <w:sz w:val="28"/>
        </w:rPr>
      </w:pPr>
      <w:r>
        <w:rPr>
          <w:sz w:val="28"/>
        </w:rPr>
        <w:t>In 2022, the NI Court of Appeal found that the appellant’s case in </w:t>
      </w:r>
      <w:r>
        <w:rPr>
          <w:i/>
          <w:sz w:val="28"/>
        </w:rPr>
        <w:t>Ní</w:t>
      </w:r>
      <w:r>
        <w:rPr>
          <w:i/>
          <w:sz w:val="28"/>
        </w:rPr>
        <w:t> Chuinneagain</w:t>
      </w:r>
      <w:r>
        <w:rPr>
          <w:i/>
          <w:spacing w:val="-6"/>
          <w:sz w:val="28"/>
        </w:rPr>
        <w:t> </w:t>
      </w:r>
      <w:r>
        <w:rPr>
          <w:sz w:val="28"/>
        </w:rPr>
        <w:t>failed</w:t>
      </w:r>
      <w:r>
        <w:rPr>
          <w:spacing w:val="-6"/>
          <w:sz w:val="28"/>
        </w:rPr>
        <w:t> </w:t>
      </w:r>
      <w:r>
        <w:rPr>
          <w:sz w:val="28"/>
        </w:rPr>
        <w:t>to</w:t>
      </w:r>
      <w:r>
        <w:rPr>
          <w:spacing w:val="-7"/>
          <w:sz w:val="28"/>
        </w:rPr>
        <w:t> </w:t>
      </w:r>
      <w:r>
        <w:rPr>
          <w:sz w:val="28"/>
        </w:rPr>
        <w:t>identify</w:t>
      </w:r>
      <w:r>
        <w:rPr>
          <w:spacing w:val="-6"/>
          <w:sz w:val="28"/>
        </w:rPr>
        <w:t> </w:t>
      </w:r>
      <w:r>
        <w:rPr>
          <w:sz w:val="28"/>
        </w:rPr>
        <w:t>any</w:t>
      </w:r>
      <w:r>
        <w:rPr>
          <w:spacing w:val="-6"/>
          <w:sz w:val="28"/>
        </w:rPr>
        <w:t> </w:t>
      </w:r>
      <w:r>
        <w:rPr>
          <w:sz w:val="28"/>
        </w:rPr>
        <w:t>consequences</w:t>
      </w:r>
      <w:r>
        <w:rPr>
          <w:spacing w:val="-6"/>
          <w:sz w:val="28"/>
        </w:rPr>
        <w:t> </w:t>
      </w:r>
      <w:r>
        <w:rPr>
          <w:sz w:val="28"/>
        </w:rPr>
        <w:t>of</w:t>
      </w:r>
      <w:r>
        <w:rPr>
          <w:spacing w:val="-7"/>
          <w:sz w:val="28"/>
        </w:rPr>
        <w:t> </w:t>
      </w:r>
      <w:r>
        <w:rPr>
          <w:sz w:val="28"/>
        </w:rPr>
        <w:t>the</w:t>
      </w:r>
      <w:r>
        <w:rPr>
          <w:spacing w:val="-6"/>
          <w:sz w:val="28"/>
        </w:rPr>
        <w:t> </w:t>
      </w:r>
      <w:r>
        <w:rPr>
          <w:sz w:val="28"/>
        </w:rPr>
        <w:t>operation</w:t>
      </w:r>
      <w:r>
        <w:rPr>
          <w:spacing w:val="-6"/>
          <w:sz w:val="28"/>
        </w:rPr>
        <w:t> </w:t>
      </w:r>
      <w:r>
        <w:rPr>
          <w:sz w:val="28"/>
        </w:rPr>
        <w:t>of</w:t>
      </w:r>
      <w:r>
        <w:rPr>
          <w:spacing w:val="-7"/>
          <w:sz w:val="28"/>
        </w:rPr>
        <w:t> </w:t>
      </w:r>
      <w:r>
        <w:rPr>
          <w:sz w:val="28"/>
        </w:rPr>
        <w:t>1981</w:t>
      </w:r>
      <w:r>
        <w:rPr>
          <w:spacing w:val="-6"/>
          <w:sz w:val="28"/>
        </w:rPr>
        <w:t> </w:t>
      </w:r>
      <w:r>
        <w:rPr>
          <w:sz w:val="28"/>
        </w:rPr>
        <w:t>Act or arbitrariness in its provisions which constituted an interference with her private</w:t>
      </w:r>
      <w:r>
        <w:rPr>
          <w:spacing w:val="-7"/>
          <w:sz w:val="28"/>
        </w:rPr>
        <w:t> </w:t>
      </w:r>
      <w:r>
        <w:rPr>
          <w:sz w:val="28"/>
        </w:rPr>
        <w:t>and</w:t>
      </w:r>
      <w:r>
        <w:rPr>
          <w:spacing w:val="-8"/>
          <w:sz w:val="28"/>
        </w:rPr>
        <w:t> </w:t>
      </w:r>
      <w:r>
        <w:rPr>
          <w:sz w:val="28"/>
        </w:rPr>
        <w:t>family</w:t>
      </w:r>
      <w:r>
        <w:rPr>
          <w:spacing w:val="-7"/>
          <w:sz w:val="28"/>
        </w:rPr>
        <w:t> </w:t>
      </w:r>
      <w:r>
        <w:rPr>
          <w:sz w:val="28"/>
        </w:rPr>
        <w:t>life</w:t>
      </w:r>
      <w:r>
        <w:rPr>
          <w:spacing w:val="-7"/>
          <w:sz w:val="28"/>
        </w:rPr>
        <w:t> </w:t>
      </w:r>
      <w:r>
        <w:rPr>
          <w:sz w:val="28"/>
        </w:rPr>
        <w:t>as</w:t>
      </w:r>
      <w:r>
        <w:rPr>
          <w:spacing w:val="-8"/>
          <w:sz w:val="28"/>
        </w:rPr>
        <w:t> </w:t>
      </w:r>
      <w:r>
        <w:rPr>
          <w:sz w:val="28"/>
        </w:rPr>
        <w:t>protected</w:t>
      </w:r>
      <w:r>
        <w:rPr>
          <w:spacing w:val="-8"/>
          <w:sz w:val="28"/>
        </w:rPr>
        <w:t> </w:t>
      </w:r>
      <w:r>
        <w:rPr>
          <w:sz w:val="28"/>
        </w:rPr>
        <w:t>by</w:t>
      </w:r>
      <w:r>
        <w:rPr>
          <w:spacing w:val="-7"/>
          <w:sz w:val="28"/>
        </w:rPr>
        <w:t> </w:t>
      </w:r>
      <w:r>
        <w:rPr>
          <w:sz w:val="28"/>
        </w:rPr>
        <w:t>Article</w:t>
      </w:r>
      <w:r>
        <w:rPr>
          <w:spacing w:val="-7"/>
          <w:sz w:val="28"/>
        </w:rPr>
        <w:t> </w:t>
      </w:r>
      <w:r>
        <w:rPr>
          <w:sz w:val="28"/>
        </w:rPr>
        <w:t>8</w:t>
      </w:r>
      <w:r>
        <w:rPr>
          <w:spacing w:val="-7"/>
          <w:sz w:val="28"/>
        </w:rPr>
        <w:t> </w:t>
      </w:r>
      <w:r>
        <w:rPr>
          <w:sz w:val="28"/>
        </w:rPr>
        <w:t>of</w:t>
      </w:r>
      <w:r>
        <w:rPr>
          <w:spacing w:val="-8"/>
          <w:sz w:val="28"/>
        </w:rPr>
        <w:t> </w:t>
      </w:r>
      <w:r>
        <w:rPr>
          <w:sz w:val="28"/>
        </w:rPr>
        <w:t>the</w:t>
      </w:r>
      <w:r>
        <w:rPr>
          <w:spacing w:val="-7"/>
          <w:sz w:val="28"/>
        </w:rPr>
        <w:t> </w:t>
      </w:r>
      <w:r>
        <w:rPr>
          <w:sz w:val="28"/>
        </w:rPr>
        <w:t>ECHR.</w:t>
      </w:r>
      <w:r>
        <w:rPr>
          <w:sz w:val="28"/>
          <w:vertAlign w:val="superscript"/>
        </w:rPr>
        <w:t>727</w:t>
      </w:r>
      <w:r>
        <w:rPr>
          <w:spacing w:val="-8"/>
          <w:sz w:val="28"/>
          <w:vertAlign w:val="baseline"/>
        </w:rPr>
        <w:t> </w:t>
      </w:r>
      <w:r>
        <w:rPr>
          <w:sz w:val="28"/>
          <w:vertAlign w:val="baseline"/>
        </w:rPr>
        <w:t>The</w:t>
      </w:r>
      <w:r>
        <w:rPr>
          <w:spacing w:val="-7"/>
          <w:sz w:val="28"/>
          <w:vertAlign w:val="baseline"/>
        </w:rPr>
        <w:t> </w:t>
      </w:r>
      <w:r>
        <w:rPr>
          <w:sz w:val="28"/>
          <w:vertAlign w:val="baseline"/>
        </w:rPr>
        <w:t>court</w:t>
      </w:r>
      <w:r>
        <w:rPr>
          <w:spacing w:val="-7"/>
          <w:sz w:val="28"/>
          <w:vertAlign w:val="baseline"/>
        </w:rPr>
        <w:t> </w:t>
      </w:r>
      <w:r>
        <w:rPr>
          <w:sz w:val="28"/>
          <w:vertAlign w:val="baseline"/>
        </w:rPr>
        <w:t>noted that</w:t>
      </w:r>
      <w:r>
        <w:rPr>
          <w:spacing w:val="-5"/>
          <w:sz w:val="28"/>
          <w:vertAlign w:val="baseline"/>
        </w:rPr>
        <w:t> </w:t>
      </w:r>
      <w:r>
        <w:rPr>
          <w:sz w:val="28"/>
          <w:vertAlign w:val="baseline"/>
        </w:rPr>
        <w:t>Section</w:t>
      </w:r>
      <w:r>
        <w:rPr>
          <w:spacing w:val="-5"/>
          <w:sz w:val="28"/>
          <w:vertAlign w:val="baseline"/>
        </w:rPr>
        <w:t> </w:t>
      </w:r>
      <w:r>
        <w:rPr>
          <w:sz w:val="28"/>
          <w:vertAlign w:val="baseline"/>
        </w:rPr>
        <w:t>1</w:t>
      </w:r>
      <w:r>
        <w:rPr>
          <w:spacing w:val="-5"/>
          <w:sz w:val="28"/>
          <w:vertAlign w:val="baseline"/>
        </w:rPr>
        <w:t> </w:t>
      </w:r>
      <w:r>
        <w:rPr>
          <w:sz w:val="28"/>
          <w:vertAlign w:val="baseline"/>
        </w:rPr>
        <w:t>of</w:t>
      </w:r>
      <w:r>
        <w:rPr>
          <w:spacing w:val="-5"/>
          <w:sz w:val="28"/>
          <w:vertAlign w:val="baseline"/>
        </w:rPr>
        <w:t> </w:t>
      </w:r>
      <w:r>
        <w:rPr>
          <w:sz w:val="28"/>
          <w:vertAlign w:val="baseline"/>
        </w:rPr>
        <w:t>the</w:t>
      </w:r>
      <w:r>
        <w:rPr>
          <w:spacing w:val="-5"/>
          <w:sz w:val="28"/>
          <w:vertAlign w:val="baseline"/>
        </w:rPr>
        <w:t> </w:t>
      </w:r>
      <w:r>
        <w:rPr>
          <w:sz w:val="28"/>
          <w:vertAlign w:val="baseline"/>
        </w:rPr>
        <w:t>British</w:t>
      </w:r>
      <w:r>
        <w:rPr>
          <w:spacing w:val="-5"/>
          <w:sz w:val="28"/>
          <w:vertAlign w:val="baseline"/>
        </w:rPr>
        <w:t> </w:t>
      </w:r>
      <w:r>
        <w:rPr>
          <w:sz w:val="28"/>
          <w:vertAlign w:val="baseline"/>
        </w:rPr>
        <w:t>Nationality</w:t>
      </w:r>
      <w:r>
        <w:rPr>
          <w:spacing w:val="-5"/>
          <w:sz w:val="28"/>
          <w:vertAlign w:val="baseline"/>
        </w:rPr>
        <w:t> </w:t>
      </w:r>
      <w:r>
        <w:rPr>
          <w:sz w:val="28"/>
          <w:vertAlign w:val="baseline"/>
        </w:rPr>
        <w:t>Act</w:t>
      </w:r>
      <w:r>
        <w:rPr>
          <w:spacing w:val="-5"/>
          <w:sz w:val="28"/>
          <w:vertAlign w:val="baseline"/>
        </w:rPr>
        <w:t> </w:t>
      </w:r>
      <w:r>
        <w:rPr>
          <w:sz w:val="28"/>
          <w:vertAlign w:val="baseline"/>
        </w:rPr>
        <w:t>1981</w:t>
      </w:r>
      <w:r>
        <w:rPr>
          <w:spacing w:val="-5"/>
          <w:sz w:val="28"/>
          <w:vertAlign w:val="baseline"/>
        </w:rPr>
        <w:t> </w:t>
      </w:r>
      <w:r>
        <w:rPr>
          <w:sz w:val="28"/>
          <w:vertAlign w:val="baseline"/>
        </w:rPr>
        <w:t>was</w:t>
      </w:r>
      <w:r>
        <w:rPr>
          <w:spacing w:val="-5"/>
          <w:sz w:val="28"/>
          <w:vertAlign w:val="baseline"/>
        </w:rPr>
        <w:t> </w:t>
      </w:r>
      <w:r>
        <w:rPr>
          <w:sz w:val="28"/>
          <w:vertAlign w:val="baseline"/>
        </w:rPr>
        <w:t>compatible</w:t>
      </w:r>
      <w:r>
        <w:rPr>
          <w:spacing w:val="-5"/>
          <w:sz w:val="28"/>
          <w:vertAlign w:val="baseline"/>
        </w:rPr>
        <w:t> </w:t>
      </w:r>
      <w:r>
        <w:rPr>
          <w:sz w:val="28"/>
          <w:vertAlign w:val="baseline"/>
        </w:rPr>
        <w:t>with</w:t>
      </w:r>
      <w:r>
        <w:rPr>
          <w:spacing w:val="-5"/>
          <w:sz w:val="28"/>
          <w:vertAlign w:val="baseline"/>
        </w:rPr>
        <w:t> </w:t>
      </w:r>
      <w:r>
        <w:rPr>
          <w:sz w:val="28"/>
          <w:vertAlign w:val="baseline"/>
        </w:rPr>
        <w:t>the</w:t>
      </w:r>
      <w:r>
        <w:rPr>
          <w:spacing w:val="-5"/>
          <w:sz w:val="28"/>
          <w:vertAlign w:val="baseline"/>
        </w:rPr>
        <w:t> </w:t>
      </w:r>
      <w:r>
        <w:rPr>
          <w:sz w:val="28"/>
          <w:vertAlign w:val="baseline"/>
        </w:rPr>
        <w:t>UK’s international obligation to protect individuals against statelessness and that the Section 12 of the Act provides for a right to renounce one’s citizenship.</w:t>
      </w:r>
      <w:r>
        <w:rPr>
          <w:sz w:val="28"/>
          <w:vertAlign w:val="superscript"/>
        </w:rPr>
        <w:t>728</w:t>
      </w:r>
    </w:p>
    <w:p>
      <w:pPr>
        <w:pStyle w:val="ListParagraph"/>
        <w:numPr>
          <w:ilvl w:val="1"/>
          <w:numId w:val="13"/>
        </w:numPr>
        <w:tabs>
          <w:tab w:pos="1853" w:val="left" w:leader="none"/>
        </w:tabs>
        <w:spacing w:line="218" w:lineRule="auto" w:before="303" w:after="0"/>
        <w:ind w:left="1853" w:right="1131" w:hanging="720"/>
        <w:jc w:val="left"/>
        <w:rPr>
          <w:sz w:val="28"/>
        </w:rPr>
      </w:pPr>
      <w:r>
        <w:rPr>
          <w:sz w:val="28"/>
        </w:rPr>
        <w:t>In 2020, the Joint Committee of the NIHRC and the Irish Human Rights and Equality Commission published a legal analysis and proposals for reform to enshrine</w:t>
      </w:r>
      <w:r>
        <w:rPr>
          <w:spacing w:val="-11"/>
          <w:sz w:val="28"/>
        </w:rPr>
        <w:t> </w:t>
      </w:r>
      <w:r>
        <w:rPr>
          <w:sz w:val="28"/>
        </w:rPr>
        <w:t>the</w:t>
      </w:r>
      <w:r>
        <w:rPr>
          <w:spacing w:val="-12"/>
          <w:sz w:val="28"/>
        </w:rPr>
        <w:t> </w:t>
      </w:r>
      <w:r>
        <w:rPr>
          <w:sz w:val="28"/>
        </w:rPr>
        <w:t>commitment</w:t>
      </w:r>
      <w:r>
        <w:rPr>
          <w:spacing w:val="-12"/>
          <w:sz w:val="28"/>
        </w:rPr>
        <w:t> </w:t>
      </w:r>
      <w:r>
        <w:rPr>
          <w:sz w:val="28"/>
        </w:rPr>
        <w:t>in</w:t>
      </w:r>
      <w:r>
        <w:rPr>
          <w:spacing w:val="-11"/>
          <w:sz w:val="28"/>
        </w:rPr>
        <w:t> </w:t>
      </w:r>
      <w:r>
        <w:rPr>
          <w:sz w:val="28"/>
        </w:rPr>
        <w:t>domestic</w:t>
      </w:r>
      <w:r>
        <w:rPr>
          <w:spacing w:val="-11"/>
          <w:sz w:val="28"/>
        </w:rPr>
        <w:t> </w:t>
      </w:r>
      <w:r>
        <w:rPr>
          <w:sz w:val="28"/>
        </w:rPr>
        <w:t>law.</w:t>
      </w:r>
      <w:r>
        <w:rPr>
          <w:sz w:val="28"/>
          <w:vertAlign w:val="superscript"/>
        </w:rPr>
        <w:t>729</w:t>
      </w:r>
      <w:r>
        <w:rPr>
          <w:spacing w:val="-12"/>
          <w:sz w:val="28"/>
          <w:vertAlign w:val="baseline"/>
        </w:rPr>
        <w:t> </w:t>
      </w:r>
      <w:r>
        <w:rPr>
          <w:sz w:val="28"/>
          <w:vertAlign w:val="baseline"/>
        </w:rPr>
        <w:t>In</w:t>
      </w:r>
      <w:r>
        <w:rPr>
          <w:spacing w:val="-11"/>
          <w:sz w:val="28"/>
          <w:vertAlign w:val="baseline"/>
        </w:rPr>
        <w:t> </w:t>
      </w:r>
      <w:r>
        <w:rPr>
          <w:sz w:val="28"/>
          <w:vertAlign w:val="baseline"/>
        </w:rPr>
        <w:t>2020,</w:t>
      </w:r>
      <w:r>
        <w:rPr>
          <w:spacing w:val="-12"/>
          <w:sz w:val="28"/>
          <w:vertAlign w:val="baseline"/>
        </w:rPr>
        <w:t> </w:t>
      </w:r>
      <w:r>
        <w:rPr>
          <w:sz w:val="28"/>
          <w:vertAlign w:val="baseline"/>
        </w:rPr>
        <w:t>following</w:t>
      </w:r>
      <w:r>
        <w:rPr>
          <w:spacing w:val="-11"/>
          <w:sz w:val="28"/>
          <w:vertAlign w:val="baseline"/>
        </w:rPr>
        <w:t> </w:t>
      </w:r>
      <w:r>
        <w:rPr>
          <w:sz w:val="28"/>
          <w:vertAlign w:val="baseline"/>
        </w:rPr>
        <w:t>a</w:t>
      </w:r>
      <w:r>
        <w:rPr>
          <w:spacing w:val="-11"/>
          <w:sz w:val="28"/>
          <w:vertAlign w:val="baseline"/>
        </w:rPr>
        <w:t> </w:t>
      </w:r>
      <w:r>
        <w:rPr>
          <w:sz w:val="28"/>
          <w:vertAlign w:val="baseline"/>
        </w:rPr>
        <w:t>commitment in New Decade, New Approach agreement,</w:t>
      </w:r>
      <w:r>
        <w:rPr>
          <w:sz w:val="28"/>
          <w:vertAlign w:val="superscript"/>
        </w:rPr>
        <w:t>730</w:t>
      </w:r>
      <w:r>
        <w:rPr>
          <w:sz w:val="28"/>
          <w:vertAlign w:val="baseline"/>
        </w:rPr>
        <w:t> temporary changes came into force to allow for a “relevant person of NI” to access EU free movement</w:t>
      </w:r>
    </w:p>
    <w:p>
      <w:pPr>
        <w:pStyle w:val="BodyText"/>
        <w:spacing w:line="225" w:lineRule="auto"/>
        <w:ind w:left="1853" w:right="1171"/>
      </w:pPr>
      <w:r>
        <w:rPr/>
        <mc:AlternateContent>
          <mc:Choice Requires="wps">
            <w:drawing>
              <wp:anchor distT="0" distB="0" distL="0" distR="0" allowOverlap="1" layoutInCell="1" locked="0" behindDoc="1" simplePos="0" relativeHeight="487709696">
                <wp:simplePos x="0" y="0"/>
                <wp:positionH relativeFrom="page">
                  <wp:posOffset>719996</wp:posOffset>
                </wp:positionH>
                <wp:positionV relativeFrom="paragraph">
                  <wp:posOffset>438306</wp:posOffset>
                </wp:positionV>
                <wp:extent cx="6120130" cy="1270"/>
                <wp:effectExtent l="0" t="0" r="0" b="0"/>
                <wp:wrapTopAndBottom/>
                <wp:docPr id="554" name="Graphic 554"/>
                <wp:cNvGraphicFramePr>
                  <a:graphicFrameLocks/>
                </wp:cNvGraphicFramePr>
                <a:graphic>
                  <a:graphicData uri="http://schemas.microsoft.com/office/word/2010/wordprocessingShape">
                    <wps:wsp>
                      <wps:cNvPr id="554" name="Graphic 554"/>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34.51236pt;width:481.9pt;height:.1pt;mso-position-horizontal-relative:page;mso-position-vertical-relative:paragraph;z-index:-15606784;mso-wrap-distance-left:0;mso-wrap-distance-right:0" id="docshape499" coordorigin="1134,690" coordsize="9638,0" path="m10772,690l1134,690e" filled="false" stroked="true" strokeweight="1pt" strokecolor="#393b80">
                <v:path arrowok="t"/>
                <v:stroke dashstyle="solid"/>
                <w10:wrap type="topAndBottom"/>
              </v:shape>
            </w:pict>
          </mc:Fallback>
        </mc:AlternateContent>
      </w:r>
      <w:r>
        <w:rPr/>
        <w:t>law</w:t>
      </w:r>
      <w:r>
        <w:rPr>
          <w:spacing w:val="-5"/>
        </w:rPr>
        <w:t> </w:t>
      </w:r>
      <w:r>
        <w:rPr/>
        <w:t>protections.</w:t>
      </w:r>
      <w:r>
        <w:rPr>
          <w:vertAlign w:val="superscript"/>
        </w:rPr>
        <w:t>731</w:t>
      </w:r>
      <w:r>
        <w:rPr>
          <w:spacing w:val="-6"/>
          <w:vertAlign w:val="baseline"/>
        </w:rPr>
        <w:t> </w:t>
      </w:r>
      <w:r>
        <w:rPr>
          <w:vertAlign w:val="baseline"/>
        </w:rPr>
        <w:t>This</w:t>
      </w:r>
      <w:r>
        <w:rPr>
          <w:spacing w:val="-6"/>
          <w:vertAlign w:val="baseline"/>
        </w:rPr>
        <w:t> </w:t>
      </w:r>
      <w:r>
        <w:rPr>
          <w:vertAlign w:val="baseline"/>
        </w:rPr>
        <w:t>scheme</w:t>
      </w:r>
      <w:r>
        <w:rPr>
          <w:spacing w:val="-5"/>
          <w:vertAlign w:val="baseline"/>
        </w:rPr>
        <w:t> </w:t>
      </w:r>
      <w:r>
        <w:rPr>
          <w:vertAlign w:val="baseline"/>
        </w:rPr>
        <w:t>closed</w:t>
      </w:r>
      <w:r>
        <w:rPr>
          <w:spacing w:val="-6"/>
          <w:vertAlign w:val="baseline"/>
        </w:rPr>
        <w:t> </w:t>
      </w:r>
      <w:r>
        <w:rPr>
          <w:vertAlign w:val="baseline"/>
        </w:rPr>
        <w:t>on</w:t>
      </w:r>
      <w:r>
        <w:rPr>
          <w:spacing w:val="-6"/>
          <w:vertAlign w:val="baseline"/>
        </w:rPr>
        <w:t> </w:t>
      </w:r>
      <w:r>
        <w:rPr>
          <w:vertAlign w:val="baseline"/>
        </w:rPr>
        <w:t>30</w:t>
      </w:r>
      <w:r>
        <w:rPr>
          <w:spacing w:val="-5"/>
          <w:vertAlign w:val="baseline"/>
        </w:rPr>
        <w:t> </w:t>
      </w:r>
      <w:r>
        <w:rPr>
          <w:vertAlign w:val="baseline"/>
        </w:rPr>
        <w:t>June</w:t>
      </w:r>
      <w:r>
        <w:rPr>
          <w:spacing w:val="-5"/>
          <w:vertAlign w:val="baseline"/>
        </w:rPr>
        <w:t> </w:t>
      </w:r>
      <w:r>
        <w:rPr>
          <w:vertAlign w:val="baseline"/>
        </w:rPr>
        <w:t>2021</w:t>
      </w:r>
      <w:r>
        <w:rPr>
          <w:spacing w:val="-5"/>
          <w:vertAlign w:val="baseline"/>
        </w:rPr>
        <w:t> </w:t>
      </w:r>
      <w:r>
        <w:rPr>
          <w:vertAlign w:val="baseline"/>
        </w:rPr>
        <w:t>in</w:t>
      </w:r>
      <w:r>
        <w:rPr>
          <w:spacing w:val="-6"/>
          <w:vertAlign w:val="baseline"/>
        </w:rPr>
        <w:t> </w:t>
      </w:r>
      <w:r>
        <w:rPr>
          <w:vertAlign w:val="baseline"/>
        </w:rPr>
        <w:t>line</w:t>
      </w:r>
      <w:r>
        <w:rPr>
          <w:spacing w:val="-5"/>
          <w:vertAlign w:val="baseline"/>
        </w:rPr>
        <w:t> </w:t>
      </w:r>
      <w:r>
        <w:rPr>
          <w:vertAlign w:val="baseline"/>
        </w:rPr>
        <w:t>with</w:t>
      </w:r>
      <w:r>
        <w:rPr>
          <w:spacing w:val="-6"/>
          <w:vertAlign w:val="baseline"/>
        </w:rPr>
        <w:t> </w:t>
      </w:r>
      <w:r>
        <w:rPr>
          <w:vertAlign w:val="baseline"/>
        </w:rPr>
        <w:t>the</w:t>
      </w:r>
      <w:r>
        <w:rPr>
          <w:spacing w:val="-5"/>
          <w:vertAlign w:val="baseline"/>
        </w:rPr>
        <w:t> </w:t>
      </w:r>
      <w:r>
        <w:rPr>
          <w:vertAlign w:val="baseline"/>
        </w:rPr>
        <w:t>EU Settlement Scheme.</w:t>
      </w:r>
      <w:r>
        <w:rPr>
          <w:vertAlign w:val="superscript"/>
        </w:rPr>
        <w:t>732</w:t>
      </w:r>
    </w:p>
    <w:p>
      <w:pPr>
        <w:pStyle w:val="ListParagraph"/>
        <w:numPr>
          <w:ilvl w:val="0"/>
          <w:numId w:val="11"/>
        </w:numPr>
        <w:tabs>
          <w:tab w:pos="1853" w:val="left" w:leader="none"/>
        </w:tabs>
        <w:spacing w:line="218" w:lineRule="exact" w:before="61" w:after="0"/>
        <w:ind w:left="1853" w:right="0" w:hanging="720"/>
        <w:jc w:val="both"/>
        <w:rPr>
          <w:sz w:val="18"/>
        </w:rPr>
      </w:pPr>
      <w:r>
        <w:rPr>
          <w:i/>
          <w:sz w:val="18"/>
        </w:rPr>
        <w:t>In</w:t>
      </w:r>
      <w:r>
        <w:rPr>
          <w:i/>
          <w:spacing w:val="-5"/>
          <w:sz w:val="18"/>
        </w:rPr>
        <w:t> </w:t>
      </w:r>
      <w:r>
        <w:rPr>
          <w:i/>
          <w:sz w:val="18"/>
        </w:rPr>
        <w:t>the</w:t>
      </w:r>
      <w:r>
        <w:rPr>
          <w:i/>
          <w:spacing w:val="-3"/>
          <w:sz w:val="18"/>
        </w:rPr>
        <w:t> </w:t>
      </w:r>
      <w:r>
        <w:rPr>
          <w:i/>
          <w:sz w:val="18"/>
        </w:rPr>
        <w:t>Matter</w:t>
      </w:r>
      <w:r>
        <w:rPr>
          <w:i/>
          <w:spacing w:val="-4"/>
          <w:sz w:val="18"/>
        </w:rPr>
        <w:t> </w:t>
      </w:r>
      <w:r>
        <w:rPr>
          <w:i/>
          <w:sz w:val="18"/>
        </w:rPr>
        <w:t>of</w:t>
      </w:r>
      <w:r>
        <w:rPr>
          <w:i/>
          <w:spacing w:val="-4"/>
          <w:sz w:val="18"/>
        </w:rPr>
        <w:t> </w:t>
      </w:r>
      <w:r>
        <w:rPr>
          <w:i/>
          <w:sz w:val="18"/>
        </w:rPr>
        <w:t>Ní</w:t>
      </w:r>
      <w:r>
        <w:rPr>
          <w:i/>
          <w:spacing w:val="-4"/>
          <w:sz w:val="18"/>
        </w:rPr>
        <w:t> </w:t>
      </w:r>
      <w:r>
        <w:rPr>
          <w:i/>
          <w:sz w:val="18"/>
        </w:rPr>
        <w:t>Chuinneagain</w:t>
      </w:r>
      <w:r>
        <w:rPr>
          <w:i/>
          <w:spacing w:val="-4"/>
          <w:sz w:val="18"/>
        </w:rPr>
        <w:t> </w:t>
      </w:r>
      <w:r>
        <w:rPr>
          <w:sz w:val="18"/>
        </w:rPr>
        <w:t>[2022]</w:t>
      </w:r>
      <w:r>
        <w:rPr>
          <w:spacing w:val="-3"/>
          <w:sz w:val="18"/>
        </w:rPr>
        <w:t> </w:t>
      </w:r>
      <w:r>
        <w:rPr>
          <w:sz w:val="18"/>
        </w:rPr>
        <w:t>NICA</w:t>
      </w:r>
      <w:r>
        <w:rPr>
          <w:spacing w:val="-4"/>
          <w:sz w:val="18"/>
        </w:rPr>
        <w:t> </w:t>
      </w:r>
      <w:r>
        <w:rPr>
          <w:sz w:val="18"/>
        </w:rPr>
        <w:t>56,</w:t>
      </w:r>
      <w:r>
        <w:rPr>
          <w:spacing w:val="-3"/>
          <w:sz w:val="18"/>
        </w:rPr>
        <w:t> </w:t>
      </w:r>
      <w:r>
        <w:rPr>
          <w:sz w:val="18"/>
        </w:rPr>
        <w:t>at</w:t>
      </w:r>
      <w:r>
        <w:rPr>
          <w:spacing w:val="-3"/>
          <w:sz w:val="18"/>
        </w:rPr>
        <w:t> </w:t>
      </w:r>
      <w:r>
        <w:rPr>
          <w:sz w:val="18"/>
        </w:rPr>
        <w:t>paras</w:t>
      </w:r>
      <w:r>
        <w:rPr>
          <w:spacing w:val="-5"/>
          <w:sz w:val="18"/>
        </w:rPr>
        <w:t> </w:t>
      </w:r>
      <w:r>
        <w:rPr>
          <w:sz w:val="18"/>
        </w:rPr>
        <w:t>92-</w:t>
      </w:r>
      <w:r>
        <w:rPr>
          <w:spacing w:val="-5"/>
          <w:sz w:val="18"/>
        </w:rPr>
        <w:t>93.</w:t>
      </w:r>
    </w:p>
    <w:p>
      <w:pPr>
        <w:pStyle w:val="ListParagraph"/>
        <w:numPr>
          <w:ilvl w:val="0"/>
          <w:numId w:val="11"/>
        </w:numPr>
        <w:tabs>
          <w:tab w:pos="1853" w:val="left" w:leader="none"/>
        </w:tabs>
        <w:spacing w:line="235" w:lineRule="auto" w:before="1" w:after="0"/>
        <w:ind w:left="1853" w:right="1172" w:hanging="720"/>
        <w:jc w:val="both"/>
        <w:rPr>
          <w:sz w:val="18"/>
        </w:rPr>
      </w:pPr>
      <w:r>
        <w:rPr>
          <w:sz w:val="18"/>
        </w:rPr>
        <w:t>Ibid,</w:t>
      </w:r>
      <w:r>
        <w:rPr>
          <w:spacing w:val="-1"/>
          <w:sz w:val="18"/>
        </w:rPr>
        <w:t> </w:t>
      </w:r>
      <w:r>
        <w:rPr>
          <w:sz w:val="18"/>
        </w:rPr>
        <w:t>at</w:t>
      </w:r>
      <w:r>
        <w:rPr>
          <w:spacing w:val="-1"/>
          <w:sz w:val="18"/>
        </w:rPr>
        <w:t> </w:t>
      </w:r>
      <w:r>
        <w:rPr>
          <w:sz w:val="18"/>
        </w:rPr>
        <w:t>paras</w:t>
      </w:r>
      <w:r>
        <w:rPr>
          <w:spacing w:val="-2"/>
          <w:sz w:val="18"/>
        </w:rPr>
        <w:t> </w:t>
      </w:r>
      <w:r>
        <w:rPr>
          <w:sz w:val="18"/>
        </w:rPr>
        <w:t>75-76.</w:t>
      </w:r>
      <w:r>
        <w:rPr>
          <w:spacing w:val="37"/>
          <w:sz w:val="18"/>
        </w:rPr>
        <w:t> </w:t>
      </w:r>
      <w:r>
        <w:rPr>
          <w:sz w:val="18"/>
        </w:rPr>
        <w:t>In</w:t>
      </w:r>
      <w:r>
        <w:rPr>
          <w:spacing w:val="-2"/>
          <w:sz w:val="18"/>
        </w:rPr>
        <w:t> </w:t>
      </w:r>
      <w:r>
        <w:rPr>
          <w:sz w:val="18"/>
        </w:rPr>
        <w:t>2019</w:t>
      </w:r>
      <w:r>
        <w:rPr>
          <w:spacing w:val="-1"/>
          <w:sz w:val="18"/>
        </w:rPr>
        <w:t> </w:t>
      </w:r>
      <w:r>
        <w:rPr>
          <w:sz w:val="18"/>
        </w:rPr>
        <w:t>and</w:t>
      </w:r>
      <w:r>
        <w:rPr>
          <w:spacing w:val="-2"/>
          <w:sz w:val="18"/>
        </w:rPr>
        <w:t> </w:t>
      </w:r>
      <w:r>
        <w:rPr>
          <w:sz w:val="18"/>
        </w:rPr>
        <w:t>2021,</w:t>
      </w:r>
      <w:r>
        <w:rPr>
          <w:spacing w:val="-1"/>
          <w:sz w:val="18"/>
        </w:rPr>
        <w:t> </w:t>
      </w:r>
      <w:r>
        <w:rPr>
          <w:sz w:val="18"/>
        </w:rPr>
        <w:t>unsuccessful</w:t>
      </w:r>
      <w:r>
        <w:rPr>
          <w:spacing w:val="-2"/>
          <w:sz w:val="18"/>
        </w:rPr>
        <w:t> </w:t>
      </w:r>
      <w:r>
        <w:rPr>
          <w:sz w:val="18"/>
        </w:rPr>
        <w:t>attempts</w:t>
      </w:r>
      <w:r>
        <w:rPr>
          <w:spacing w:val="-2"/>
          <w:sz w:val="18"/>
        </w:rPr>
        <w:t> </w:t>
      </w:r>
      <w:r>
        <w:rPr>
          <w:sz w:val="18"/>
        </w:rPr>
        <w:t>were</w:t>
      </w:r>
      <w:r>
        <w:rPr>
          <w:spacing w:val="-1"/>
          <w:sz w:val="18"/>
        </w:rPr>
        <w:t> </w:t>
      </w:r>
      <w:r>
        <w:rPr>
          <w:sz w:val="18"/>
        </w:rPr>
        <w:t>made</w:t>
      </w:r>
      <w:r>
        <w:rPr>
          <w:spacing w:val="-1"/>
          <w:sz w:val="18"/>
        </w:rPr>
        <w:t> </w:t>
      </w:r>
      <w:r>
        <w:rPr>
          <w:sz w:val="18"/>
        </w:rPr>
        <w:t>to</w:t>
      </w:r>
      <w:r>
        <w:rPr>
          <w:spacing w:val="-2"/>
          <w:sz w:val="18"/>
        </w:rPr>
        <w:t> </w:t>
      </w:r>
      <w:r>
        <w:rPr>
          <w:sz w:val="18"/>
        </w:rPr>
        <w:t>challenge</w:t>
      </w:r>
      <w:r>
        <w:rPr>
          <w:spacing w:val="-1"/>
          <w:sz w:val="18"/>
        </w:rPr>
        <w:t> </w:t>
      </w:r>
      <w:r>
        <w:rPr>
          <w:sz w:val="18"/>
        </w:rPr>
        <w:t>these</w:t>
      </w:r>
      <w:r>
        <w:rPr>
          <w:spacing w:val="-1"/>
          <w:sz w:val="18"/>
        </w:rPr>
        <w:t> </w:t>
      </w:r>
      <w:r>
        <w:rPr>
          <w:sz w:val="18"/>
        </w:rPr>
        <w:t>provisions</w:t>
      </w:r>
      <w:r>
        <w:rPr>
          <w:spacing w:val="-2"/>
          <w:sz w:val="18"/>
        </w:rPr>
        <w:t> </w:t>
      </w:r>
      <w:r>
        <w:rPr>
          <w:sz w:val="18"/>
        </w:rPr>
        <w:t>before</w:t>
      </w:r>
      <w:r>
        <w:rPr>
          <w:spacing w:val="-1"/>
          <w:sz w:val="18"/>
        </w:rPr>
        <w:t> </w:t>
      </w:r>
      <w:r>
        <w:rPr>
          <w:sz w:val="18"/>
        </w:rPr>
        <w:t>the</w:t>
      </w:r>
      <w:r>
        <w:rPr>
          <w:spacing w:val="-1"/>
          <w:sz w:val="18"/>
        </w:rPr>
        <w:t> </w:t>
      </w:r>
      <w:r>
        <w:rPr>
          <w:sz w:val="18"/>
        </w:rPr>
        <w:t>Upper Immigration</w:t>
      </w:r>
      <w:r>
        <w:rPr>
          <w:spacing w:val="-6"/>
          <w:sz w:val="18"/>
        </w:rPr>
        <w:t> </w:t>
      </w:r>
      <w:r>
        <w:rPr>
          <w:sz w:val="18"/>
        </w:rPr>
        <w:t>and</w:t>
      </w:r>
      <w:r>
        <w:rPr>
          <w:spacing w:val="-6"/>
          <w:sz w:val="18"/>
        </w:rPr>
        <w:t> </w:t>
      </w:r>
      <w:r>
        <w:rPr>
          <w:sz w:val="18"/>
        </w:rPr>
        <w:t>Asylum</w:t>
      </w:r>
      <w:r>
        <w:rPr>
          <w:spacing w:val="-6"/>
          <w:sz w:val="18"/>
        </w:rPr>
        <w:t> </w:t>
      </w:r>
      <w:r>
        <w:rPr>
          <w:sz w:val="18"/>
        </w:rPr>
        <w:t>Tribunal</w:t>
      </w:r>
      <w:r>
        <w:rPr>
          <w:spacing w:val="-6"/>
          <w:sz w:val="18"/>
        </w:rPr>
        <w:t> </w:t>
      </w:r>
      <w:r>
        <w:rPr>
          <w:sz w:val="18"/>
        </w:rPr>
        <w:t>and</w:t>
      </w:r>
      <w:r>
        <w:rPr>
          <w:spacing w:val="-6"/>
          <w:sz w:val="18"/>
        </w:rPr>
        <w:t> </w:t>
      </w:r>
      <w:r>
        <w:rPr>
          <w:sz w:val="18"/>
        </w:rPr>
        <w:t>NI</w:t>
      </w:r>
      <w:r>
        <w:rPr>
          <w:spacing w:val="-6"/>
          <w:sz w:val="18"/>
        </w:rPr>
        <w:t> </w:t>
      </w:r>
      <w:r>
        <w:rPr>
          <w:sz w:val="18"/>
        </w:rPr>
        <w:t>High</w:t>
      </w:r>
      <w:r>
        <w:rPr>
          <w:spacing w:val="-6"/>
          <w:sz w:val="18"/>
        </w:rPr>
        <w:t> </w:t>
      </w:r>
      <w:r>
        <w:rPr>
          <w:sz w:val="18"/>
        </w:rPr>
        <w:t>Court.</w:t>
      </w:r>
      <w:r>
        <w:rPr>
          <w:spacing w:val="-7"/>
          <w:sz w:val="18"/>
        </w:rPr>
        <w:t> </w:t>
      </w:r>
      <w:r>
        <w:rPr>
          <w:i/>
          <w:sz w:val="18"/>
        </w:rPr>
        <w:t>See</w:t>
      </w:r>
      <w:r>
        <w:rPr>
          <w:i/>
          <w:spacing w:val="-6"/>
          <w:sz w:val="18"/>
        </w:rPr>
        <w:t> </w:t>
      </w:r>
      <w:r>
        <w:rPr>
          <w:i/>
          <w:sz w:val="18"/>
        </w:rPr>
        <w:t>De</w:t>
      </w:r>
      <w:r>
        <w:rPr>
          <w:i/>
          <w:spacing w:val="-6"/>
          <w:sz w:val="18"/>
        </w:rPr>
        <w:t> </w:t>
      </w:r>
      <w:r>
        <w:rPr>
          <w:i/>
          <w:sz w:val="18"/>
        </w:rPr>
        <w:t>Souza</w:t>
      </w:r>
      <w:r>
        <w:rPr>
          <w:i/>
          <w:spacing w:val="-6"/>
          <w:sz w:val="18"/>
        </w:rPr>
        <w:t> </w:t>
      </w:r>
      <w:r>
        <w:rPr>
          <w:i/>
          <w:sz w:val="18"/>
        </w:rPr>
        <w:t>(Good</w:t>
      </w:r>
      <w:r>
        <w:rPr>
          <w:i/>
          <w:spacing w:val="-6"/>
          <w:sz w:val="18"/>
        </w:rPr>
        <w:t> </w:t>
      </w:r>
      <w:r>
        <w:rPr>
          <w:i/>
          <w:sz w:val="18"/>
        </w:rPr>
        <w:t>Friday</w:t>
      </w:r>
      <w:r>
        <w:rPr>
          <w:i/>
          <w:spacing w:val="-6"/>
          <w:sz w:val="18"/>
        </w:rPr>
        <w:t> </w:t>
      </w:r>
      <w:r>
        <w:rPr>
          <w:i/>
          <w:sz w:val="18"/>
        </w:rPr>
        <w:t>Agreement:</w:t>
      </w:r>
      <w:r>
        <w:rPr>
          <w:i/>
          <w:spacing w:val="-6"/>
          <w:sz w:val="18"/>
        </w:rPr>
        <w:t> </w:t>
      </w:r>
      <w:r>
        <w:rPr>
          <w:i/>
          <w:sz w:val="18"/>
        </w:rPr>
        <w:t>Nationality)</w:t>
      </w:r>
      <w:r>
        <w:rPr>
          <w:i/>
          <w:spacing w:val="-7"/>
          <w:sz w:val="18"/>
        </w:rPr>
        <w:t> </w:t>
      </w:r>
      <w:r>
        <w:rPr>
          <w:sz w:val="18"/>
        </w:rPr>
        <w:t>[2019]</w:t>
      </w:r>
      <w:r>
        <w:rPr>
          <w:spacing w:val="-6"/>
          <w:sz w:val="18"/>
        </w:rPr>
        <w:t> </w:t>
      </w:r>
      <w:r>
        <w:rPr>
          <w:sz w:val="18"/>
        </w:rPr>
        <w:t>UKUT</w:t>
      </w:r>
      <w:r>
        <w:rPr>
          <w:spacing w:val="-6"/>
          <w:sz w:val="18"/>
        </w:rPr>
        <w:t> </w:t>
      </w:r>
      <w:r>
        <w:rPr>
          <w:sz w:val="18"/>
        </w:rPr>
        <w:t>355, at para 54-57; </w:t>
      </w:r>
      <w:r>
        <w:rPr>
          <w:i/>
          <w:sz w:val="18"/>
        </w:rPr>
        <w:t>In the Matter of Ní Chuinneagain </w:t>
      </w:r>
      <w:r>
        <w:rPr>
          <w:sz w:val="18"/>
        </w:rPr>
        <w:t>[2021] NIQB 79, at para 17.</w:t>
      </w:r>
    </w:p>
    <w:p>
      <w:pPr>
        <w:pStyle w:val="ListParagraph"/>
        <w:numPr>
          <w:ilvl w:val="0"/>
          <w:numId w:val="11"/>
        </w:numPr>
        <w:tabs>
          <w:tab w:pos="1853" w:val="left" w:leader="none"/>
        </w:tabs>
        <w:spacing w:line="235" w:lineRule="auto" w:before="2" w:after="0"/>
        <w:ind w:left="1853" w:right="1310" w:hanging="720"/>
        <w:jc w:val="both"/>
        <w:rPr>
          <w:sz w:val="18"/>
        </w:rPr>
      </w:pPr>
      <w:r>
        <w:rPr>
          <w:sz w:val="18"/>
        </w:rPr>
        <w:t>Alison</w:t>
      </w:r>
      <w:r>
        <w:rPr>
          <w:spacing w:val="-6"/>
          <w:sz w:val="18"/>
        </w:rPr>
        <w:t> </w:t>
      </w:r>
      <w:r>
        <w:rPr>
          <w:sz w:val="18"/>
        </w:rPr>
        <w:t>Harvey,</w:t>
      </w:r>
      <w:r>
        <w:rPr>
          <w:spacing w:val="-6"/>
          <w:sz w:val="18"/>
        </w:rPr>
        <w:t> </w:t>
      </w:r>
      <w:r>
        <w:rPr>
          <w:sz w:val="18"/>
        </w:rPr>
        <w:t>‘A</w:t>
      </w:r>
      <w:r>
        <w:rPr>
          <w:spacing w:val="-6"/>
          <w:sz w:val="18"/>
        </w:rPr>
        <w:t> </w:t>
      </w:r>
      <w:r>
        <w:rPr>
          <w:sz w:val="18"/>
        </w:rPr>
        <w:t>Legal</w:t>
      </w:r>
      <w:r>
        <w:rPr>
          <w:spacing w:val="-6"/>
          <w:sz w:val="18"/>
        </w:rPr>
        <w:t> </w:t>
      </w:r>
      <w:r>
        <w:rPr>
          <w:sz w:val="18"/>
        </w:rPr>
        <w:t>Analysis</w:t>
      </w:r>
      <w:r>
        <w:rPr>
          <w:spacing w:val="-6"/>
          <w:sz w:val="18"/>
        </w:rPr>
        <w:t> </w:t>
      </w:r>
      <w:r>
        <w:rPr>
          <w:sz w:val="18"/>
        </w:rPr>
        <w:t>of</w:t>
      </w:r>
      <w:r>
        <w:rPr>
          <w:spacing w:val="-6"/>
          <w:sz w:val="18"/>
        </w:rPr>
        <w:t> </w:t>
      </w:r>
      <w:r>
        <w:rPr>
          <w:sz w:val="18"/>
        </w:rPr>
        <w:t>Incorporating</w:t>
      </w:r>
      <w:r>
        <w:rPr>
          <w:spacing w:val="-6"/>
          <w:sz w:val="18"/>
        </w:rPr>
        <w:t> </w:t>
      </w:r>
      <w:r>
        <w:rPr>
          <w:sz w:val="18"/>
        </w:rPr>
        <w:t>into</w:t>
      </w:r>
      <w:r>
        <w:rPr>
          <w:spacing w:val="-6"/>
          <w:sz w:val="18"/>
        </w:rPr>
        <w:t> </w:t>
      </w:r>
      <w:r>
        <w:rPr>
          <w:sz w:val="18"/>
        </w:rPr>
        <w:t>UK</w:t>
      </w:r>
      <w:r>
        <w:rPr>
          <w:spacing w:val="-6"/>
          <w:sz w:val="18"/>
        </w:rPr>
        <w:t> </w:t>
      </w:r>
      <w:r>
        <w:rPr>
          <w:sz w:val="18"/>
        </w:rPr>
        <w:t>Law</w:t>
      </w:r>
      <w:r>
        <w:rPr>
          <w:spacing w:val="-6"/>
          <w:sz w:val="18"/>
        </w:rPr>
        <w:t> </w:t>
      </w:r>
      <w:r>
        <w:rPr>
          <w:sz w:val="18"/>
        </w:rPr>
        <w:t>the</w:t>
      </w:r>
      <w:r>
        <w:rPr>
          <w:spacing w:val="-6"/>
          <w:sz w:val="18"/>
        </w:rPr>
        <w:t> </w:t>
      </w:r>
      <w:r>
        <w:rPr>
          <w:sz w:val="18"/>
        </w:rPr>
        <w:t>Birthright</w:t>
      </w:r>
      <w:r>
        <w:rPr>
          <w:spacing w:val="-6"/>
          <w:sz w:val="18"/>
        </w:rPr>
        <w:t> </w:t>
      </w:r>
      <w:r>
        <w:rPr>
          <w:sz w:val="18"/>
        </w:rPr>
        <w:t>Commitment</w:t>
      </w:r>
      <w:r>
        <w:rPr>
          <w:spacing w:val="-6"/>
          <w:sz w:val="18"/>
        </w:rPr>
        <w:t> </w:t>
      </w:r>
      <w:r>
        <w:rPr>
          <w:sz w:val="18"/>
        </w:rPr>
        <w:t>under</w:t>
      </w:r>
      <w:r>
        <w:rPr>
          <w:spacing w:val="-6"/>
          <w:sz w:val="18"/>
        </w:rPr>
        <w:t> </w:t>
      </w:r>
      <w:r>
        <w:rPr>
          <w:sz w:val="18"/>
        </w:rPr>
        <w:t>the</w:t>
      </w:r>
      <w:r>
        <w:rPr>
          <w:spacing w:val="-6"/>
          <w:sz w:val="18"/>
        </w:rPr>
        <w:t> </w:t>
      </w:r>
      <w:r>
        <w:rPr>
          <w:sz w:val="18"/>
        </w:rPr>
        <w:t>Belfast</w:t>
      </w:r>
      <w:r>
        <w:rPr>
          <w:spacing w:val="-6"/>
          <w:sz w:val="18"/>
        </w:rPr>
        <w:t> </w:t>
      </w:r>
      <w:r>
        <w:rPr>
          <w:sz w:val="18"/>
        </w:rPr>
        <w:t>(Good</w:t>
      </w:r>
      <w:r>
        <w:rPr>
          <w:spacing w:val="-6"/>
          <w:sz w:val="18"/>
        </w:rPr>
        <w:t> </w:t>
      </w:r>
      <w:r>
        <w:rPr>
          <w:sz w:val="18"/>
        </w:rPr>
        <w:t>Friday) Agreement 1998’ (NIHRC and IHREC, 2020).</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NI</w:t>
      </w:r>
      <w:r>
        <w:rPr>
          <w:spacing w:val="-4"/>
          <w:sz w:val="18"/>
        </w:rPr>
        <w:t> </w:t>
      </w:r>
      <w:r>
        <w:rPr>
          <w:sz w:val="18"/>
        </w:rPr>
        <w:t>Office,</w:t>
      </w:r>
      <w:r>
        <w:rPr>
          <w:spacing w:val="-3"/>
          <w:sz w:val="18"/>
        </w:rPr>
        <w:t> </w:t>
      </w:r>
      <w:r>
        <w:rPr>
          <w:sz w:val="18"/>
        </w:rPr>
        <w:t>‘New</w:t>
      </w:r>
      <w:r>
        <w:rPr>
          <w:spacing w:val="-3"/>
          <w:sz w:val="18"/>
        </w:rPr>
        <w:t> </w:t>
      </w:r>
      <w:r>
        <w:rPr>
          <w:sz w:val="18"/>
        </w:rPr>
        <w:t>Decade,</w:t>
      </w:r>
      <w:r>
        <w:rPr>
          <w:spacing w:val="-3"/>
          <w:sz w:val="18"/>
        </w:rPr>
        <w:t> </w:t>
      </w:r>
      <w:r>
        <w:rPr>
          <w:sz w:val="18"/>
        </w:rPr>
        <w:t>New</w:t>
      </w:r>
      <w:r>
        <w:rPr>
          <w:spacing w:val="-3"/>
          <w:sz w:val="18"/>
        </w:rPr>
        <w:t> </w:t>
      </w:r>
      <w:r>
        <w:rPr>
          <w:sz w:val="18"/>
        </w:rPr>
        <w:t>Approach’</w:t>
      </w:r>
      <w:r>
        <w:rPr>
          <w:spacing w:val="-4"/>
          <w:sz w:val="18"/>
        </w:rPr>
        <w:t> </w:t>
      </w:r>
      <w:r>
        <w:rPr>
          <w:sz w:val="18"/>
        </w:rPr>
        <w:t>(NIO,</w:t>
      </w:r>
      <w:r>
        <w:rPr>
          <w:spacing w:val="-3"/>
          <w:sz w:val="18"/>
        </w:rPr>
        <w:t> </w:t>
      </w:r>
      <w:r>
        <w:rPr>
          <w:sz w:val="18"/>
        </w:rPr>
        <w:t>2020),</w:t>
      </w:r>
      <w:r>
        <w:rPr>
          <w:spacing w:val="-3"/>
          <w:sz w:val="18"/>
        </w:rPr>
        <w:t> </w:t>
      </w:r>
      <w:r>
        <w:rPr>
          <w:sz w:val="18"/>
        </w:rPr>
        <w:t>at</w:t>
      </w:r>
      <w:r>
        <w:rPr>
          <w:spacing w:val="-3"/>
          <w:sz w:val="18"/>
        </w:rPr>
        <w:t> </w:t>
      </w:r>
      <w:r>
        <w:rPr>
          <w:spacing w:val="-5"/>
          <w:sz w:val="18"/>
        </w:rPr>
        <w:t>48.</w:t>
      </w:r>
    </w:p>
    <w:p>
      <w:pPr>
        <w:pStyle w:val="ListParagraph"/>
        <w:numPr>
          <w:ilvl w:val="0"/>
          <w:numId w:val="11"/>
        </w:numPr>
        <w:tabs>
          <w:tab w:pos="1853" w:val="left" w:leader="none"/>
        </w:tabs>
        <w:spacing w:line="235" w:lineRule="auto" w:before="2" w:after="0"/>
        <w:ind w:left="1853" w:right="1340" w:hanging="720"/>
        <w:jc w:val="left"/>
        <w:rPr>
          <w:sz w:val="18"/>
        </w:rPr>
      </w:pPr>
      <w:r>
        <w:rPr>
          <w:sz w:val="18"/>
        </w:rPr>
        <w:t>Home</w:t>
      </w:r>
      <w:r>
        <w:rPr>
          <w:spacing w:val="-4"/>
          <w:sz w:val="18"/>
        </w:rPr>
        <w:t> </w:t>
      </w:r>
      <w:r>
        <w:rPr>
          <w:sz w:val="18"/>
        </w:rPr>
        <w:t>Office,</w:t>
      </w:r>
      <w:r>
        <w:rPr>
          <w:spacing w:val="-4"/>
          <w:sz w:val="18"/>
        </w:rPr>
        <w:t> </w:t>
      </w:r>
      <w:r>
        <w:rPr>
          <w:sz w:val="18"/>
        </w:rPr>
        <w:t>‘Statement</w:t>
      </w:r>
      <w:r>
        <w:rPr>
          <w:spacing w:val="-4"/>
          <w:sz w:val="18"/>
        </w:rPr>
        <w:t> </w:t>
      </w:r>
      <w:r>
        <w:rPr>
          <w:sz w:val="18"/>
        </w:rPr>
        <w:t>of</w:t>
      </w:r>
      <w:r>
        <w:rPr>
          <w:spacing w:val="-5"/>
          <w:sz w:val="18"/>
        </w:rPr>
        <w:t> </w:t>
      </w:r>
      <w:r>
        <w:rPr>
          <w:sz w:val="18"/>
        </w:rPr>
        <w:t>Changes</w:t>
      </w:r>
      <w:r>
        <w:rPr>
          <w:spacing w:val="-5"/>
          <w:sz w:val="18"/>
        </w:rPr>
        <w:t> </w:t>
      </w:r>
      <w:r>
        <w:rPr>
          <w:sz w:val="18"/>
        </w:rPr>
        <w:t>in</w:t>
      </w:r>
      <w:r>
        <w:rPr>
          <w:spacing w:val="-5"/>
          <w:sz w:val="18"/>
        </w:rPr>
        <w:t> </w:t>
      </w:r>
      <w:r>
        <w:rPr>
          <w:sz w:val="18"/>
        </w:rPr>
        <w:t>Immigration</w:t>
      </w:r>
      <w:r>
        <w:rPr>
          <w:spacing w:val="-5"/>
          <w:sz w:val="18"/>
        </w:rPr>
        <w:t> </w:t>
      </w:r>
      <w:r>
        <w:rPr>
          <w:sz w:val="18"/>
        </w:rPr>
        <w:t>Rules</w:t>
      </w:r>
      <w:r>
        <w:rPr>
          <w:spacing w:val="-5"/>
          <w:sz w:val="18"/>
        </w:rPr>
        <w:t> </w:t>
      </w:r>
      <w:r>
        <w:rPr>
          <w:sz w:val="18"/>
        </w:rPr>
        <w:t>CP232’</w:t>
      </w:r>
      <w:r>
        <w:rPr>
          <w:spacing w:val="-4"/>
          <w:sz w:val="18"/>
        </w:rPr>
        <w:t> </w:t>
      </w:r>
      <w:r>
        <w:rPr>
          <w:sz w:val="18"/>
        </w:rPr>
        <w:t>(HO,</w:t>
      </w:r>
      <w:r>
        <w:rPr>
          <w:spacing w:val="-4"/>
          <w:sz w:val="18"/>
        </w:rPr>
        <w:t> </w:t>
      </w:r>
      <w:r>
        <w:rPr>
          <w:sz w:val="18"/>
        </w:rPr>
        <w:t>2020),</w:t>
      </w:r>
      <w:r>
        <w:rPr>
          <w:spacing w:val="-4"/>
          <w:sz w:val="18"/>
        </w:rPr>
        <w:t> </w:t>
      </w:r>
      <w:r>
        <w:rPr>
          <w:sz w:val="18"/>
        </w:rPr>
        <w:t>at</w:t>
      </w:r>
      <w:r>
        <w:rPr>
          <w:spacing w:val="-4"/>
          <w:sz w:val="18"/>
        </w:rPr>
        <w:t> </w:t>
      </w:r>
      <w:r>
        <w:rPr>
          <w:sz w:val="18"/>
        </w:rPr>
        <w:t>10.</w:t>
      </w:r>
      <w:r>
        <w:rPr>
          <w:spacing w:val="-5"/>
          <w:sz w:val="18"/>
        </w:rPr>
        <w:t> </w:t>
      </w:r>
      <w:r>
        <w:rPr>
          <w:sz w:val="18"/>
        </w:rPr>
        <w:t>A</w:t>
      </w:r>
      <w:r>
        <w:rPr>
          <w:spacing w:val="-4"/>
          <w:sz w:val="18"/>
        </w:rPr>
        <w:t> </w:t>
      </w:r>
      <w:r>
        <w:rPr>
          <w:sz w:val="18"/>
        </w:rPr>
        <w:t>relevant</w:t>
      </w:r>
      <w:r>
        <w:rPr>
          <w:spacing w:val="-4"/>
          <w:sz w:val="18"/>
        </w:rPr>
        <w:t> </w:t>
      </w:r>
      <w:r>
        <w:rPr>
          <w:sz w:val="18"/>
        </w:rPr>
        <w:t>person</w:t>
      </w:r>
      <w:r>
        <w:rPr>
          <w:spacing w:val="-5"/>
          <w:sz w:val="18"/>
        </w:rPr>
        <w:t> </w:t>
      </w:r>
      <w:r>
        <w:rPr>
          <w:sz w:val="18"/>
        </w:rPr>
        <w:t>of</w:t>
      </w:r>
      <w:r>
        <w:rPr>
          <w:spacing w:val="-5"/>
          <w:sz w:val="18"/>
        </w:rPr>
        <w:t> </w:t>
      </w:r>
      <w:r>
        <w:rPr>
          <w:sz w:val="18"/>
        </w:rPr>
        <w:t>NI</w:t>
      </w:r>
      <w:r>
        <w:rPr>
          <w:spacing w:val="-4"/>
          <w:sz w:val="18"/>
        </w:rPr>
        <w:t> </w:t>
      </w:r>
      <w:r>
        <w:rPr>
          <w:sz w:val="18"/>
        </w:rPr>
        <w:t>was</w:t>
      </w:r>
      <w:r>
        <w:rPr>
          <w:spacing w:val="-5"/>
          <w:sz w:val="18"/>
        </w:rPr>
        <w:t> </w:t>
      </w:r>
      <w:r>
        <w:rPr>
          <w:sz w:val="18"/>
        </w:rPr>
        <w:t>defined as someone who is a British citizen, an Irish citizen, or both British and Irish, and was born in NI to a parent who was British, Irish, or both, or otherwise entitled to reside in NI without any restriction on their period of residence.</w:t>
      </w:r>
    </w:p>
    <w:p>
      <w:pPr>
        <w:pStyle w:val="ListParagraph"/>
        <w:numPr>
          <w:ilvl w:val="0"/>
          <w:numId w:val="11"/>
        </w:numPr>
        <w:tabs>
          <w:tab w:pos="1853" w:val="left" w:leader="none"/>
        </w:tabs>
        <w:spacing w:line="218" w:lineRule="exact" w:before="0" w:after="0"/>
        <w:ind w:left="1853" w:right="0" w:hanging="720"/>
        <w:jc w:val="left"/>
        <w:rPr>
          <w:sz w:val="18"/>
        </w:rPr>
      </w:pPr>
      <w:r>
        <w:rPr>
          <w:sz w:val="18"/>
        </w:rPr>
        <w:t>NI</w:t>
      </w:r>
      <w:r>
        <w:rPr>
          <w:spacing w:val="-4"/>
          <w:sz w:val="18"/>
        </w:rPr>
        <w:t> </w:t>
      </w:r>
      <w:r>
        <w:rPr>
          <w:sz w:val="18"/>
        </w:rPr>
        <w:t>Human</w:t>
      </w:r>
      <w:r>
        <w:rPr>
          <w:spacing w:val="-4"/>
          <w:sz w:val="18"/>
        </w:rPr>
        <w:t> </w:t>
      </w:r>
      <w:r>
        <w:rPr>
          <w:sz w:val="18"/>
        </w:rPr>
        <w:t>Rights</w:t>
      </w:r>
      <w:r>
        <w:rPr>
          <w:spacing w:val="-5"/>
          <w:sz w:val="18"/>
        </w:rPr>
        <w:t> </w:t>
      </w:r>
      <w:r>
        <w:rPr>
          <w:sz w:val="18"/>
        </w:rPr>
        <w:t>Commission,</w:t>
      </w:r>
      <w:r>
        <w:rPr>
          <w:spacing w:val="-3"/>
          <w:sz w:val="18"/>
        </w:rPr>
        <w:t> </w:t>
      </w:r>
      <w:r>
        <w:rPr>
          <w:sz w:val="18"/>
        </w:rPr>
        <w:t>‘EU</w:t>
      </w:r>
      <w:r>
        <w:rPr>
          <w:spacing w:val="-3"/>
          <w:sz w:val="18"/>
        </w:rPr>
        <w:t> </w:t>
      </w:r>
      <w:r>
        <w:rPr>
          <w:sz w:val="18"/>
        </w:rPr>
        <w:t>Settlement</w:t>
      </w:r>
      <w:r>
        <w:rPr>
          <w:spacing w:val="-4"/>
          <w:sz w:val="18"/>
        </w:rPr>
        <w:t> </w:t>
      </w:r>
      <w:r>
        <w:rPr>
          <w:sz w:val="18"/>
        </w:rPr>
        <w:t>Scheme</w:t>
      </w:r>
      <w:r>
        <w:rPr>
          <w:spacing w:val="-3"/>
          <w:sz w:val="18"/>
        </w:rPr>
        <w:t> </w:t>
      </w:r>
      <w:r>
        <w:rPr>
          <w:sz w:val="18"/>
        </w:rPr>
        <w:t>extended</w:t>
      </w:r>
      <w:r>
        <w:rPr>
          <w:spacing w:val="-4"/>
          <w:sz w:val="18"/>
        </w:rPr>
        <w:t> </w:t>
      </w:r>
      <w:r>
        <w:rPr>
          <w:sz w:val="18"/>
        </w:rPr>
        <w:t>to</w:t>
      </w:r>
      <w:r>
        <w:rPr>
          <w:spacing w:val="-5"/>
          <w:sz w:val="18"/>
        </w:rPr>
        <w:t> </w:t>
      </w:r>
      <w:r>
        <w:rPr>
          <w:sz w:val="18"/>
        </w:rPr>
        <w:t>the</w:t>
      </w:r>
      <w:r>
        <w:rPr>
          <w:spacing w:val="-3"/>
          <w:sz w:val="18"/>
        </w:rPr>
        <w:t> </w:t>
      </w:r>
      <w:r>
        <w:rPr>
          <w:sz w:val="18"/>
        </w:rPr>
        <w:t>people</w:t>
      </w:r>
      <w:r>
        <w:rPr>
          <w:spacing w:val="-4"/>
          <w:sz w:val="18"/>
        </w:rPr>
        <w:t> </w:t>
      </w:r>
      <w:r>
        <w:rPr>
          <w:sz w:val="18"/>
        </w:rPr>
        <w:t>of</w:t>
      </w:r>
      <w:r>
        <w:rPr>
          <w:spacing w:val="-4"/>
          <w:sz w:val="18"/>
        </w:rPr>
        <w:t> </w:t>
      </w:r>
      <w:r>
        <w:rPr>
          <w:sz w:val="18"/>
        </w:rPr>
        <w:t>Northern</w:t>
      </w:r>
      <w:r>
        <w:rPr>
          <w:spacing w:val="-4"/>
          <w:sz w:val="18"/>
        </w:rPr>
        <w:t> </w:t>
      </w:r>
      <w:r>
        <w:rPr>
          <w:sz w:val="18"/>
        </w:rPr>
        <w:t>Ireland:</w:t>
      </w:r>
      <w:r>
        <w:rPr>
          <w:spacing w:val="-4"/>
          <w:sz w:val="18"/>
        </w:rPr>
        <w:t> </w:t>
      </w:r>
      <w:r>
        <w:rPr>
          <w:sz w:val="18"/>
        </w:rPr>
        <w:t>what</w:t>
      </w:r>
      <w:r>
        <w:rPr>
          <w:spacing w:val="-3"/>
          <w:sz w:val="18"/>
        </w:rPr>
        <w:t> </w:t>
      </w:r>
      <w:r>
        <w:rPr>
          <w:sz w:val="18"/>
        </w:rPr>
        <w:t>does</w:t>
      </w:r>
      <w:r>
        <w:rPr>
          <w:spacing w:val="-4"/>
          <w:sz w:val="18"/>
        </w:rPr>
        <w:t> </w:t>
      </w:r>
      <w:r>
        <w:rPr>
          <w:sz w:val="18"/>
        </w:rPr>
        <w:t>it</w:t>
      </w:r>
      <w:r>
        <w:rPr>
          <w:spacing w:val="-4"/>
          <w:sz w:val="18"/>
        </w:rPr>
        <w:t> </w:t>
      </w:r>
      <w:r>
        <w:rPr>
          <w:sz w:val="18"/>
        </w:rPr>
        <w:t>mean</w:t>
      </w:r>
      <w:r>
        <w:rPr>
          <w:spacing w:val="-4"/>
          <w:sz w:val="18"/>
        </w:rPr>
        <w:t> </w:t>
      </w:r>
      <w:r>
        <w:rPr>
          <w:spacing w:val="-5"/>
          <w:sz w:val="18"/>
        </w:rPr>
        <w:t>for</w:t>
      </w:r>
    </w:p>
    <w:p>
      <w:pPr>
        <w:spacing w:after="0" w:line="218" w:lineRule="exact"/>
        <w:jc w:val="left"/>
        <w:rPr>
          <w:sz w:val="18"/>
        </w:rPr>
        <w:sectPr>
          <w:pgSz w:w="11910" w:h="16840"/>
          <w:pgMar w:header="496" w:footer="367" w:top="1220" w:bottom="560" w:left="0" w:right="0"/>
        </w:sectPr>
      </w:pPr>
    </w:p>
    <w:p>
      <w:pPr>
        <w:pStyle w:val="BodyText"/>
        <w:spacing w:before="181"/>
      </w:pPr>
    </w:p>
    <w:p>
      <w:pPr>
        <w:pStyle w:val="ListParagraph"/>
        <w:numPr>
          <w:ilvl w:val="1"/>
          <w:numId w:val="13"/>
        </w:numPr>
        <w:tabs>
          <w:tab w:pos="1853" w:val="left" w:leader="none"/>
        </w:tabs>
        <w:spacing w:line="225" w:lineRule="auto" w:before="0" w:after="0"/>
        <w:ind w:left="1853" w:right="1135" w:hanging="720"/>
        <w:jc w:val="left"/>
        <w:rPr>
          <w:sz w:val="28"/>
        </w:rPr>
      </w:pPr>
      <w:bookmarkStart w:name="_bookmark47" w:id="106"/>
      <w:bookmarkEnd w:id="106"/>
      <w:r>
        <w:rPr/>
      </w:r>
      <w:r>
        <w:rPr>
          <w:sz w:val="28"/>
        </w:rPr>
        <w:t>In 2021, following written and oral evidence from the NIHRC,</w:t>
      </w:r>
      <w:r>
        <w:rPr>
          <w:sz w:val="28"/>
          <w:vertAlign w:val="superscript"/>
        </w:rPr>
        <w:t>733</w:t>
      </w:r>
      <w:r>
        <w:rPr>
          <w:sz w:val="28"/>
          <w:vertAlign w:val="baseline"/>
        </w:rPr>
        <w:t> the NI Affairs Committee further called on the UK Government to “clarify the meaning of</w:t>
      </w:r>
      <w:r>
        <w:rPr>
          <w:sz w:val="28"/>
          <w:vertAlign w:val="baseline"/>
        </w:rPr>
        <w:t> the phrase ‘to be accepted as’ in Article 1(vi) of the Agreement, including how it is respected and upheld in the [UK] Government’s approach towards the birthright</w:t>
      </w:r>
      <w:r>
        <w:rPr>
          <w:spacing w:val="-9"/>
          <w:sz w:val="28"/>
          <w:vertAlign w:val="baseline"/>
        </w:rPr>
        <w:t> </w:t>
      </w:r>
      <w:r>
        <w:rPr>
          <w:sz w:val="28"/>
          <w:vertAlign w:val="baseline"/>
        </w:rPr>
        <w:t>provisions</w:t>
      </w:r>
      <w:r>
        <w:rPr>
          <w:spacing w:val="-10"/>
          <w:sz w:val="28"/>
          <w:vertAlign w:val="baseline"/>
        </w:rPr>
        <w:t> </w:t>
      </w:r>
      <w:r>
        <w:rPr>
          <w:sz w:val="28"/>
          <w:vertAlign w:val="baseline"/>
        </w:rPr>
        <w:t>for</w:t>
      </w:r>
      <w:r>
        <w:rPr>
          <w:spacing w:val="-9"/>
          <w:sz w:val="28"/>
          <w:vertAlign w:val="baseline"/>
        </w:rPr>
        <w:t> </w:t>
      </w:r>
      <w:r>
        <w:rPr>
          <w:sz w:val="28"/>
          <w:vertAlign w:val="baseline"/>
        </w:rPr>
        <w:t>the</w:t>
      </w:r>
      <w:r>
        <w:rPr>
          <w:spacing w:val="-9"/>
          <w:sz w:val="28"/>
          <w:vertAlign w:val="baseline"/>
        </w:rPr>
        <w:t> </w:t>
      </w:r>
      <w:r>
        <w:rPr>
          <w:sz w:val="28"/>
          <w:vertAlign w:val="baseline"/>
        </w:rPr>
        <w:t>people</w:t>
      </w:r>
      <w:r>
        <w:rPr>
          <w:spacing w:val="-9"/>
          <w:sz w:val="28"/>
          <w:vertAlign w:val="baseline"/>
        </w:rPr>
        <w:t> </w:t>
      </w:r>
      <w:r>
        <w:rPr>
          <w:sz w:val="28"/>
          <w:vertAlign w:val="baseline"/>
        </w:rPr>
        <w:t>of</w:t>
      </w:r>
      <w:r>
        <w:rPr>
          <w:spacing w:val="-10"/>
          <w:sz w:val="28"/>
          <w:vertAlign w:val="baseline"/>
        </w:rPr>
        <w:t> </w:t>
      </w:r>
      <w:r>
        <w:rPr>
          <w:sz w:val="28"/>
          <w:vertAlign w:val="baseline"/>
        </w:rPr>
        <w:t>NI”.</w:t>
      </w:r>
      <w:r>
        <w:rPr>
          <w:sz w:val="28"/>
          <w:vertAlign w:val="superscript"/>
        </w:rPr>
        <w:t>734</w:t>
      </w:r>
      <w:r>
        <w:rPr>
          <w:spacing w:val="40"/>
          <w:sz w:val="28"/>
          <w:vertAlign w:val="baseline"/>
        </w:rPr>
        <w:t> </w:t>
      </w:r>
      <w:r>
        <w:rPr>
          <w:sz w:val="28"/>
          <w:vertAlign w:val="baseline"/>
        </w:rPr>
        <w:t>In</w:t>
      </w:r>
      <w:r>
        <w:rPr>
          <w:spacing w:val="-10"/>
          <w:sz w:val="28"/>
          <w:vertAlign w:val="baseline"/>
        </w:rPr>
        <w:t> </w:t>
      </w:r>
      <w:r>
        <w:rPr>
          <w:sz w:val="28"/>
          <w:vertAlign w:val="baseline"/>
        </w:rPr>
        <w:t>its</w:t>
      </w:r>
      <w:r>
        <w:rPr>
          <w:spacing w:val="-10"/>
          <w:sz w:val="28"/>
          <w:vertAlign w:val="baseline"/>
        </w:rPr>
        <w:t> </w:t>
      </w:r>
      <w:r>
        <w:rPr>
          <w:sz w:val="28"/>
          <w:vertAlign w:val="baseline"/>
        </w:rPr>
        <w:t>response</w:t>
      </w:r>
      <w:r>
        <w:rPr>
          <w:spacing w:val="-9"/>
          <w:sz w:val="28"/>
          <w:vertAlign w:val="baseline"/>
        </w:rPr>
        <w:t> </w:t>
      </w:r>
      <w:r>
        <w:rPr>
          <w:sz w:val="28"/>
          <w:vertAlign w:val="baseline"/>
        </w:rPr>
        <w:t>to</w:t>
      </w:r>
      <w:r>
        <w:rPr>
          <w:spacing w:val="-10"/>
          <w:sz w:val="28"/>
          <w:vertAlign w:val="baseline"/>
        </w:rPr>
        <w:t> </w:t>
      </w:r>
      <w:r>
        <w:rPr>
          <w:sz w:val="28"/>
          <w:vertAlign w:val="baseline"/>
        </w:rPr>
        <w:t>the</w:t>
      </w:r>
      <w:r>
        <w:rPr>
          <w:spacing w:val="-9"/>
          <w:sz w:val="28"/>
          <w:vertAlign w:val="baseline"/>
        </w:rPr>
        <w:t> </w:t>
      </w:r>
      <w:r>
        <w:rPr>
          <w:sz w:val="28"/>
          <w:vertAlign w:val="baseline"/>
        </w:rPr>
        <w:t>Committee, the UK Government restated its view that “UK nationality legislation - including</w:t>
      </w:r>
      <w:r>
        <w:rPr>
          <w:spacing w:val="-2"/>
          <w:sz w:val="28"/>
          <w:vertAlign w:val="baseline"/>
        </w:rPr>
        <w:t> </w:t>
      </w:r>
      <w:r>
        <w:rPr>
          <w:sz w:val="28"/>
          <w:vertAlign w:val="baseline"/>
        </w:rPr>
        <w:t>the</w:t>
      </w:r>
      <w:r>
        <w:rPr>
          <w:spacing w:val="-2"/>
          <w:sz w:val="28"/>
          <w:vertAlign w:val="baseline"/>
        </w:rPr>
        <w:t> </w:t>
      </w:r>
      <w:r>
        <w:rPr>
          <w:sz w:val="28"/>
          <w:vertAlign w:val="baseline"/>
        </w:rPr>
        <w:t>British</w:t>
      </w:r>
      <w:r>
        <w:rPr>
          <w:spacing w:val="-3"/>
          <w:sz w:val="28"/>
          <w:vertAlign w:val="baseline"/>
        </w:rPr>
        <w:t> </w:t>
      </w:r>
      <w:r>
        <w:rPr>
          <w:sz w:val="28"/>
          <w:vertAlign w:val="baseline"/>
        </w:rPr>
        <w:t>Nationality</w:t>
      </w:r>
      <w:r>
        <w:rPr>
          <w:spacing w:val="-2"/>
          <w:sz w:val="28"/>
          <w:vertAlign w:val="baseline"/>
        </w:rPr>
        <w:t> </w:t>
      </w:r>
      <w:r>
        <w:rPr>
          <w:sz w:val="28"/>
          <w:vertAlign w:val="baseline"/>
        </w:rPr>
        <w:t>Act</w:t>
      </w:r>
      <w:r>
        <w:rPr>
          <w:spacing w:val="-2"/>
          <w:sz w:val="28"/>
          <w:vertAlign w:val="baseline"/>
        </w:rPr>
        <w:t> </w:t>
      </w:r>
      <w:r>
        <w:rPr>
          <w:sz w:val="28"/>
          <w:vertAlign w:val="baseline"/>
        </w:rPr>
        <w:t>1981</w:t>
      </w:r>
      <w:r>
        <w:rPr>
          <w:spacing w:val="-2"/>
          <w:sz w:val="28"/>
          <w:vertAlign w:val="baseline"/>
        </w:rPr>
        <w:t> </w:t>
      </w:r>
      <w:r>
        <w:rPr>
          <w:sz w:val="28"/>
          <w:vertAlign w:val="baseline"/>
        </w:rPr>
        <w:t>-</w:t>
      </w:r>
      <w:r>
        <w:rPr>
          <w:spacing w:val="-3"/>
          <w:sz w:val="28"/>
          <w:vertAlign w:val="baseline"/>
        </w:rPr>
        <w:t> </w:t>
      </w:r>
      <w:r>
        <w:rPr>
          <w:sz w:val="28"/>
          <w:vertAlign w:val="baseline"/>
        </w:rPr>
        <w:t>is</w:t>
      </w:r>
      <w:r>
        <w:rPr>
          <w:spacing w:val="-3"/>
          <w:sz w:val="28"/>
          <w:vertAlign w:val="baseline"/>
        </w:rPr>
        <w:t> </w:t>
      </w:r>
      <w:r>
        <w:rPr>
          <w:sz w:val="28"/>
          <w:vertAlign w:val="baseline"/>
        </w:rPr>
        <w:t>compliant</w:t>
      </w:r>
      <w:r>
        <w:rPr>
          <w:spacing w:val="-2"/>
          <w:sz w:val="28"/>
          <w:vertAlign w:val="baseline"/>
        </w:rPr>
        <w:t> </w:t>
      </w:r>
      <w:r>
        <w:rPr>
          <w:sz w:val="28"/>
          <w:vertAlign w:val="baseline"/>
        </w:rPr>
        <w:t>with</w:t>
      </w:r>
      <w:r>
        <w:rPr>
          <w:spacing w:val="-3"/>
          <w:sz w:val="28"/>
          <w:vertAlign w:val="baseline"/>
        </w:rPr>
        <w:t> </w:t>
      </w:r>
      <w:r>
        <w:rPr>
          <w:sz w:val="28"/>
          <w:vertAlign w:val="baseline"/>
        </w:rPr>
        <w:t>the</w:t>
      </w:r>
      <w:r>
        <w:rPr>
          <w:spacing w:val="-2"/>
          <w:sz w:val="28"/>
          <w:vertAlign w:val="baseline"/>
        </w:rPr>
        <w:t> </w:t>
      </w:r>
      <w:r>
        <w:rPr>
          <w:sz w:val="28"/>
          <w:vertAlign w:val="baseline"/>
        </w:rPr>
        <w:t>agreed</w:t>
      </w:r>
      <w:r>
        <w:rPr>
          <w:spacing w:val="-3"/>
          <w:sz w:val="28"/>
          <w:vertAlign w:val="baseline"/>
        </w:rPr>
        <w:t> </w:t>
      </w:r>
      <w:r>
        <w:rPr>
          <w:sz w:val="28"/>
          <w:vertAlign w:val="baseline"/>
        </w:rPr>
        <w:t>text</w:t>
      </w:r>
      <w:r>
        <w:rPr>
          <w:spacing w:val="-2"/>
          <w:sz w:val="28"/>
          <w:vertAlign w:val="baseline"/>
        </w:rPr>
        <w:t> </w:t>
      </w:r>
      <w:r>
        <w:rPr>
          <w:sz w:val="28"/>
          <w:vertAlign w:val="baseline"/>
        </w:rPr>
        <w:t>of the Belfast (Good Friday) Agreement”.</w:t>
      </w:r>
      <w:r>
        <w:rPr>
          <w:sz w:val="28"/>
          <w:vertAlign w:val="superscript"/>
        </w:rPr>
        <w:t>735</w:t>
      </w:r>
    </w:p>
    <w:p>
      <w:pPr>
        <w:pStyle w:val="ListParagraph"/>
        <w:numPr>
          <w:ilvl w:val="1"/>
          <w:numId w:val="13"/>
        </w:numPr>
        <w:tabs>
          <w:tab w:pos="1853" w:val="left" w:leader="none"/>
        </w:tabs>
        <w:spacing w:line="225" w:lineRule="auto" w:before="310" w:after="0"/>
        <w:ind w:left="1853" w:right="1503" w:hanging="720"/>
        <w:jc w:val="left"/>
        <w:rPr>
          <w:sz w:val="28"/>
        </w:rPr>
      </w:pPr>
      <w:r>
        <w:rPr>
          <w:sz w:val="28"/>
        </w:rPr>
        <w:t>In 2021, the NIHRC recommended that the then Nationality and Borders Bill</w:t>
      </w:r>
      <w:r>
        <w:rPr>
          <w:spacing w:val="-8"/>
          <w:sz w:val="28"/>
        </w:rPr>
        <w:t> </w:t>
      </w:r>
      <w:r>
        <w:rPr>
          <w:sz w:val="28"/>
        </w:rPr>
        <w:t>be</w:t>
      </w:r>
      <w:r>
        <w:rPr>
          <w:spacing w:val="-7"/>
          <w:sz w:val="28"/>
        </w:rPr>
        <w:t> </w:t>
      </w:r>
      <w:r>
        <w:rPr>
          <w:sz w:val="28"/>
        </w:rPr>
        <w:t>amended</w:t>
      </w:r>
      <w:r>
        <w:rPr>
          <w:spacing w:val="-8"/>
          <w:sz w:val="28"/>
        </w:rPr>
        <w:t> </w:t>
      </w:r>
      <w:r>
        <w:rPr>
          <w:sz w:val="28"/>
        </w:rPr>
        <w:t>to</w:t>
      </w:r>
      <w:r>
        <w:rPr>
          <w:spacing w:val="-8"/>
          <w:sz w:val="28"/>
        </w:rPr>
        <w:t> </w:t>
      </w:r>
      <w:r>
        <w:rPr>
          <w:sz w:val="28"/>
        </w:rPr>
        <w:t>recognise</w:t>
      </w:r>
      <w:r>
        <w:rPr>
          <w:spacing w:val="-7"/>
          <w:sz w:val="28"/>
        </w:rPr>
        <w:t> </w:t>
      </w:r>
      <w:r>
        <w:rPr>
          <w:sz w:val="28"/>
        </w:rPr>
        <w:t>the</w:t>
      </w:r>
      <w:r>
        <w:rPr>
          <w:spacing w:val="-7"/>
          <w:sz w:val="28"/>
        </w:rPr>
        <w:t> </w:t>
      </w:r>
      <w:r>
        <w:rPr>
          <w:sz w:val="28"/>
        </w:rPr>
        <w:t>birthright</w:t>
      </w:r>
      <w:r>
        <w:rPr>
          <w:spacing w:val="-7"/>
          <w:sz w:val="28"/>
        </w:rPr>
        <w:t> </w:t>
      </w:r>
      <w:r>
        <w:rPr>
          <w:sz w:val="28"/>
        </w:rPr>
        <w:t>commitment.</w:t>
      </w:r>
      <w:r>
        <w:rPr>
          <w:sz w:val="28"/>
          <w:vertAlign w:val="superscript"/>
        </w:rPr>
        <w:t>736</w:t>
      </w:r>
      <w:r>
        <w:rPr>
          <w:spacing w:val="-8"/>
          <w:sz w:val="28"/>
          <w:vertAlign w:val="baseline"/>
        </w:rPr>
        <w:t> </w:t>
      </w:r>
      <w:r>
        <w:rPr>
          <w:sz w:val="28"/>
          <w:vertAlign w:val="baseline"/>
        </w:rPr>
        <w:t>In</w:t>
      </w:r>
      <w:r>
        <w:rPr>
          <w:spacing w:val="-8"/>
          <w:sz w:val="28"/>
          <w:vertAlign w:val="baseline"/>
        </w:rPr>
        <w:t> </w:t>
      </w:r>
      <w:r>
        <w:rPr>
          <w:sz w:val="28"/>
          <w:vertAlign w:val="baseline"/>
        </w:rPr>
        <w:t>2022,</w:t>
      </w:r>
      <w:r>
        <w:rPr>
          <w:spacing w:val="-7"/>
          <w:sz w:val="28"/>
          <w:vertAlign w:val="baseline"/>
        </w:rPr>
        <w:t> </w:t>
      </w:r>
      <w:r>
        <w:rPr>
          <w:sz w:val="28"/>
          <w:vertAlign w:val="baseline"/>
        </w:rPr>
        <w:t>the</w:t>
      </w:r>
      <w:r>
        <w:rPr>
          <w:spacing w:val="-7"/>
          <w:sz w:val="28"/>
          <w:vertAlign w:val="baseline"/>
        </w:rPr>
        <w:t> </w:t>
      </w:r>
      <w:r>
        <w:rPr>
          <w:sz w:val="28"/>
          <w:vertAlign w:val="baseline"/>
        </w:rPr>
        <w:t>UK Government confirmed its view that the birthright provisions were already</w:t>
      </w:r>
    </w:p>
    <w:p>
      <w:pPr>
        <w:pStyle w:val="BodyText"/>
        <w:spacing w:line="225" w:lineRule="auto"/>
        <w:ind w:left="1853" w:right="1171"/>
      </w:pPr>
      <w:r>
        <w:rPr/>
        <w:t>clear</w:t>
      </w:r>
      <w:r>
        <w:rPr>
          <w:spacing w:val="-5"/>
        </w:rPr>
        <w:t> </w:t>
      </w:r>
      <w:r>
        <w:rPr/>
        <w:t>and</w:t>
      </w:r>
      <w:r>
        <w:rPr>
          <w:spacing w:val="-6"/>
        </w:rPr>
        <w:t> </w:t>
      </w:r>
      <w:r>
        <w:rPr/>
        <w:t>that</w:t>
      </w:r>
      <w:r>
        <w:rPr>
          <w:spacing w:val="-5"/>
        </w:rPr>
        <w:t> </w:t>
      </w:r>
      <w:r>
        <w:rPr/>
        <w:t>further</w:t>
      </w:r>
      <w:r>
        <w:rPr>
          <w:spacing w:val="-5"/>
        </w:rPr>
        <w:t> </w:t>
      </w:r>
      <w:r>
        <w:rPr/>
        <w:t>legislation</w:t>
      </w:r>
      <w:r>
        <w:rPr>
          <w:spacing w:val="-6"/>
        </w:rPr>
        <w:t> </w:t>
      </w:r>
      <w:r>
        <w:rPr/>
        <w:t>stipulating</w:t>
      </w:r>
      <w:r>
        <w:rPr>
          <w:spacing w:val="-5"/>
        </w:rPr>
        <w:t> </w:t>
      </w:r>
      <w:r>
        <w:rPr/>
        <w:t>a</w:t>
      </w:r>
      <w:r>
        <w:rPr>
          <w:spacing w:val="-6"/>
        </w:rPr>
        <w:t> </w:t>
      </w:r>
      <w:r>
        <w:rPr/>
        <w:t>particular</w:t>
      </w:r>
      <w:r>
        <w:rPr>
          <w:spacing w:val="-5"/>
        </w:rPr>
        <w:t> </w:t>
      </w:r>
      <w:r>
        <w:rPr/>
        <w:t>view</w:t>
      </w:r>
      <w:r>
        <w:rPr>
          <w:spacing w:val="-5"/>
        </w:rPr>
        <w:t> </w:t>
      </w:r>
      <w:r>
        <w:rPr/>
        <w:t>of</w:t>
      </w:r>
      <w:r>
        <w:rPr>
          <w:spacing w:val="-6"/>
        </w:rPr>
        <w:t> </w:t>
      </w:r>
      <w:r>
        <w:rPr/>
        <w:t>identity</w:t>
      </w:r>
      <w:r>
        <w:rPr>
          <w:spacing w:val="-5"/>
        </w:rPr>
        <w:t> </w:t>
      </w:r>
      <w:r>
        <w:rPr/>
        <w:t>would risk impinging upon the freedom of the people of NI to choose what their identity means to them.</w:t>
      </w:r>
      <w:r>
        <w:rPr>
          <w:vertAlign w:val="superscript"/>
        </w:rPr>
        <w:t>737</w:t>
      </w:r>
      <w:r>
        <w:rPr>
          <w:spacing w:val="40"/>
          <w:vertAlign w:val="baseline"/>
        </w:rPr>
        <w:t> </w:t>
      </w:r>
      <w:r>
        <w:rPr>
          <w:vertAlign w:val="baseline"/>
        </w:rPr>
        <w:t>The Nationality and Borders Act 2022 became law without addressing the issue of birthright.</w:t>
      </w:r>
    </w:p>
    <w:p>
      <w:pPr>
        <w:pStyle w:val="BodyText"/>
        <w:rPr>
          <w:sz w:val="17"/>
        </w:rPr>
      </w:pPr>
      <w:r>
        <w:rPr/>
        <mc:AlternateContent>
          <mc:Choice Requires="wps">
            <w:drawing>
              <wp:anchor distT="0" distB="0" distL="0" distR="0" allowOverlap="1" layoutInCell="1" locked="0" behindDoc="1" simplePos="0" relativeHeight="487710208">
                <wp:simplePos x="0" y="0"/>
                <wp:positionH relativeFrom="page">
                  <wp:posOffset>720001</wp:posOffset>
                </wp:positionH>
                <wp:positionV relativeFrom="paragraph">
                  <wp:posOffset>147095</wp:posOffset>
                </wp:positionV>
                <wp:extent cx="6120130" cy="360680"/>
                <wp:effectExtent l="0" t="0" r="0" b="0"/>
                <wp:wrapTopAndBottom/>
                <wp:docPr id="555" name="Textbox 555"/>
                <wp:cNvGraphicFramePr>
                  <a:graphicFrameLocks/>
                </wp:cNvGraphicFramePr>
                <a:graphic>
                  <a:graphicData uri="http://schemas.microsoft.com/office/word/2010/wordprocessingShape">
                    <wps:wsp>
                      <wps:cNvPr id="555" name="Textbox 555"/>
                      <wps:cNvSpPr txBox="1"/>
                      <wps:spPr>
                        <a:xfrm>
                          <a:off x="0" y="0"/>
                          <a:ext cx="6120130" cy="360680"/>
                        </a:xfrm>
                        <a:prstGeom prst="rect">
                          <a:avLst/>
                        </a:prstGeom>
                        <a:solidFill>
                          <a:srgbClr val="393B80"/>
                        </a:solidFill>
                      </wps:spPr>
                      <wps:txbx>
                        <w:txbxContent>
                          <w:p>
                            <w:pPr>
                              <w:spacing w:before="103"/>
                              <w:ind w:left="783"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11.582359pt;width:481.9pt;height:28.4pt;mso-position-horizontal-relative:page;mso-position-vertical-relative:paragraph;z-index:-15606272;mso-wrap-distance-left:0;mso-wrap-distance-right:0" type="#_x0000_t202" id="docshape500" filled="true" fillcolor="#393b80" stroked="false">
                <v:textbox inset="0,0,0,0">
                  <w:txbxContent>
                    <w:p>
                      <w:pPr>
                        <w:spacing w:before="103"/>
                        <w:ind w:left="783"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13"/>
        </w:numPr>
        <w:tabs>
          <w:tab w:pos="1853" w:val="left" w:leader="none"/>
        </w:tabs>
        <w:spacing w:line="225" w:lineRule="auto" w:before="232" w:after="0"/>
        <w:ind w:left="1853" w:right="1159" w:hanging="720"/>
        <w:jc w:val="left"/>
        <w:rPr>
          <w:b/>
          <w:color w:val="67287F"/>
          <w:sz w:val="28"/>
        </w:rPr>
      </w:pPr>
      <w:r>
        <w:rPr>
          <w:b/>
          <w:color w:val="67287F"/>
          <w:sz w:val="28"/>
        </w:rPr>
        <w:t>The</w:t>
      </w:r>
      <w:r>
        <w:rPr>
          <w:b/>
          <w:color w:val="67287F"/>
          <w:spacing w:val="-7"/>
          <w:sz w:val="28"/>
        </w:rPr>
        <w:t> </w:t>
      </w:r>
      <w:r>
        <w:rPr>
          <w:b/>
          <w:color w:val="67287F"/>
          <w:sz w:val="28"/>
        </w:rPr>
        <w:t>NIHRC</w:t>
      </w:r>
      <w:r>
        <w:rPr>
          <w:b/>
          <w:color w:val="67287F"/>
          <w:spacing w:val="-7"/>
          <w:sz w:val="28"/>
        </w:rPr>
        <w:t> </w:t>
      </w:r>
      <w:r>
        <w:rPr>
          <w:b/>
          <w:color w:val="67287F"/>
          <w:sz w:val="28"/>
        </w:rPr>
        <w:t>continues</w:t>
      </w:r>
      <w:r>
        <w:rPr>
          <w:b/>
          <w:color w:val="67287F"/>
          <w:spacing w:val="-6"/>
          <w:sz w:val="28"/>
        </w:rPr>
        <w:t> </w:t>
      </w:r>
      <w:r>
        <w:rPr>
          <w:b/>
          <w:color w:val="67287F"/>
          <w:sz w:val="28"/>
        </w:rPr>
        <w:t>to</w:t>
      </w:r>
      <w:r>
        <w:rPr>
          <w:b/>
          <w:color w:val="67287F"/>
          <w:spacing w:val="-7"/>
          <w:sz w:val="28"/>
        </w:rPr>
        <w:t> </w:t>
      </w:r>
      <w:r>
        <w:rPr>
          <w:b/>
          <w:color w:val="67287F"/>
          <w:sz w:val="28"/>
        </w:rPr>
        <w:t>recommend</w:t>
      </w:r>
      <w:r>
        <w:rPr>
          <w:b/>
          <w:color w:val="67287F"/>
          <w:spacing w:val="-6"/>
          <w:sz w:val="28"/>
        </w:rPr>
        <w:t> </w:t>
      </w:r>
      <w:r>
        <w:rPr>
          <w:b/>
          <w:color w:val="67287F"/>
          <w:sz w:val="28"/>
        </w:rPr>
        <w:t>that</w:t>
      </w:r>
      <w:r>
        <w:rPr>
          <w:b/>
          <w:color w:val="67287F"/>
          <w:spacing w:val="-7"/>
          <w:sz w:val="28"/>
        </w:rPr>
        <w:t> </w:t>
      </w:r>
      <w:r>
        <w:rPr>
          <w:b/>
          <w:color w:val="67287F"/>
          <w:sz w:val="28"/>
        </w:rPr>
        <w:t>the</w:t>
      </w:r>
      <w:r>
        <w:rPr>
          <w:b/>
          <w:color w:val="67287F"/>
          <w:spacing w:val="-7"/>
          <w:sz w:val="28"/>
        </w:rPr>
        <w:t> </w:t>
      </w:r>
      <w:r>
        <w:rPr>
          <w:b/>
          <w:color w:val="67287F"/>
          <w:sz w:val="28"/>
        </w:rPr>
        <w:t>Home</w:t>
      </w:r>
      <w:r>
        <w:rPr>
          <w:b/>
          <w:color w:val="67287F"/>
          <w:spacing w:val="-7"/>
          <w:sz w:val="28"/>
        </w:rPr>
        <w:t> </w:t>
      </w:r>
      <w:r>
        <w:rPr>
          <w:b/>
          <w:color w:val="67287F"/>
          <w:sz w:val="28"/>
        </w:rPr>
        <w:t>Office</w:t>
      </w:r>
      <w:r>
        <w:rPr>
          <w:b/>
          <w:color w:val="67287F"/>
          <w:spacing w:val="-7"/>
          <w:sz w:val="28"/>
        </w:rPr>
        <w:t> </w:t>
      </w:r>
      <w:r>
        <w:rPr>
          <w:b/>
          <w:color w:val="67287F"/>
          <w:sz w:val="28"/>
        </w:rPr>
        <w:t>amend</w:t>
      </w:r>
      <w:r>
        <w:rPr>
          <w:b/>
          <w:color w:val="67287F"/>
          <w:spacing w:val="-6"/>
          <w:sz w:val="28"/>
        </w:rPr>
        <w:t> </w:t>
      </w:r>
      <w:r>
        <w:rPr>
          <w:b/>
          <w:color w:val="67287F"/>
          <w:sz w:val="28"/>
        </w:rPr>
        <w:t>nationality and immigration laws to reflect the commitment under the Belfast (Good Friday) Agreement 1998, that it is the birthright of all the people of NI to identify, and be accepted, as Irish or British or both, without any loss of rights or entitlements.</w:t>
      </w:r>
    </w:p>
    <w:p>
      <w:pPr>
        <w:pStyle w:val="BodyText"/>
        <w:spacing w:before="80"/>
        <w:rPr>
          <w:b/>
        </w:rPr>
      </w:pPr>
    </w:p>
    <w:p>
      <w:pPr>
        <w:pStyle w:val="Heading3"/>
      </w:pPr>
      <w:bookmarkStart w:name="Common Travel Area " w:id="107"/>
      <w:bookmarkEnd w:id="107"/>
      <w:r>
        <w:rPr>
          <w:b w:val="0"/>
        </w:rPr>
      </w:r>
      <w:r>
        <w:rPr>
          <w:color w:val="67287F"/>
        </w:rPr>
        <w:t>Common</w:t>
      </w:r>
      <w:r>
        <w:rPr>
          <w:color w:val="67287F"/>
          <w:spacing w:val="-19"/>
        </w:rPr>
        <w:t> </w:t>
      </w:r>
      <w:r>
        <w:rPr>
          <w:color w:val="67287F"/>
        </w:rPr>
        <w:t>Travel</w:t>
      </w:r>
      <w:r>
        <w:rPr>
          <w:color w:val="67287F"/>
          <w:spacing w:val="-18"/>
        </w:rPr>
        <w:t> </w:t>
      </w:r>
      <w:r>
        <w:rPr>
          <w:color w:val="67287F"/>
          <w:spacing w:val="-4"/>
        </w:rPr>
        <w:t>Area</w:t>
      </w:r>
    </w:p>
    <w:p>
      <w:pPr>
        <w:pStyle w:val="BodyText"/>
        <w:rPr>
          <w:b/>
          <w:sz w:val="6"/>
        </w:rPr>
      </w:pPr>
      <w:r>
        <w:rPr/>
        <mc:AlternateContent>
          <mc:Choice Requires="wps">
            <w:drawing>
              <wp:anchor distT="0" distB="0" distL="0" distR="0" allowOverlap="1" layoutInCell="1" locked="0" behindDoc="1" simplePos="0" relativeHeight="487710720">
                <wp:simplePos x="0" y="0"/>
                <wp:positionH relativeFrom="page">
                  <wp:posOffset>719997</wp:posOffset>
                </wp:positionH>
                <wp:positionV relativeFrom="paragraph">
                  <wp:posOffset>62165</wp:posOffset>
                </wp:positionV>
                <wp:extent cx="6120130" cy="1270"/>
                <wp:effectExtent l="0" t="0" r="0" b="0"/>
                <wp:wrapTopAndBottom/>
                <wp:docPr id="556" name="Graphic 556"/>
                <wp:cNvGraphicFramePr>
                  <a:graphicFrameLocks/>
                </wp:cNvGraphicFramePr>
                <a:graphic>
                  <a:graphicData uri="http://schemas.microsoft.com/office/word/2010/wordprocessingShape">
                    <wps:wsp>
                      <wps:cNvPr id="556" name="Graphic 556"/>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4.894934pt;width:481.9pt;height:.1pt;mso-position-horizontal-relative:page;mso-position-vertical-relative:paragraph;z-index:-15605760;mso-wrap-distance-left:0;mso-wrap-distance-right:0" id="docshape501" coordorigin="1134,98" coordsize="9638,0" path="m10772,98l1134,98e" filled="false" stroked="true" strokeweight="1pt" strokecolor="#67287f">
                <v:path arrowok="t"/>
                <v:stroke dashstyle="solid"/>
                <w10:wrap type="topAndBottom"/>
              </v:shape>
            </w:pict>
          </mc:Fallback>
        </mc:AlternateContent>
      </w:r>
    </w:p>
    <w:p>
      <w:pPr>
        <w:pStyle w:val="ListParagraph"/>
        <w:numPr>
          <w:ilvl w:val="1"/>
          <w:numId w:val="13"/>
        </w:numPr>
        <w:tabs>
          <w:tab w:pos="1853" w:val="left" w:leader="none"/>
        </w:tabs>
        <w:spacing w:line="225" w:lineRule="auto" w:before="305" w:after="0"/>
        <w:ind w:left="1853" w:right="1689" w:hanging="720"/>
        <w:jc w:val="left"/>
        <w:rPr>
          <w:sz w:val="28"/>
        </w:rPr>
      </w:pPr>
      <w:r>
        <w:rPr>
          <w:sz w:val="28"/>
        </w:rPr>
        <w:t>Article 3 of the Windsor Framework recognises that the UK and Ireland “may continue to make arrangements between themselves relating to</w:t>
      </w:r>
      <w:r>
        <w:rPr>
          <w:sz w:val="28"/>
        </w:rPr>
        <w:t> the movement of persons between their territories”, subject to Ireland’s obligations</w:t>
      </w:r>
      <w:r>
        <w:rPr>
          <w:spacing w:val="-8"/>
          <w:sz w:val="28"/>
        </w:rPr>
        <w:t> </w:t>
      </w:r>
      <w:r>
        <w:rPr>
          <w:sz w:val="28"/>
        </w:rPr>
        <w:t>under</w:t>
      </w:r>
      <w:r>
        <w:rPr>
          <w:spacing w:val="-8"/>
          <w:sz w:val="28"/>
        </w:rPr>
        <w:t> </w:t>
      </w:r>
      <w:r>
        <w:rPr>
          <w:sz w:val="28"/>
        </w:rPr>
        <w:t>EU</w:t>
      </w:r>
      <w:r>
        <w:rPr>
          <w:spacing w:val="-8"/>
          <w:sz w:val="28"/>
        </w:rPr>
        <w:t> </w:t>
      </w:r>
      <w:r>
        <w:rPr>
          <w:sz w:val="28"/>
        </w:rPr>
        <w:t>law.</w:t>
      </w:r>
      <w:r>
        <w:rPr>
          <w:spacing w:val="-8"/>
          <w:sz w:val="28"/>
        </w:rPr>
        <w:t> </w:t>
      </w:r>
      <w:r>
        <w:rPr>
          <w:sz w:val="28"/>
        </w:rPr>
        <w:t>The</w:t>
      </w:r>
      <w:r>
        <w:rPr>
          <w:spacing w:val="-8"/>
          <w:sz w:val="28"/>
        </w:rPr>
        <w:t> </w:t>
      </w:r>
      <w:r>
        <w:rPr>
          <w:sz w:val="28"/>
        </w:rPr>
        <w:t>UK</w:t>
      </w:r>
      <w:r>
        <w:rPr>
          <w:spacing w:val="-8"/>
          <w:sz w:val="28"/>
        </w:rPr>
        <w:t> </w:t>
      </w:r>
      <w:r>
        <w:rPr>
          <w:sz w:val="28"/>
        </w:rPr>
        <w:t>Government</w:t>
      </w:r>
      <w:r>
        <w:rPr>
          <w:spacing w:val="-8"/>
          <w:sz w:val="28"/>
        </w:rPr>
        <w:t> </w:t>
      </w:r>
      <w:r>
        <w:rPr>
          <w:sz w:val="28"/>
        </w:rPr>
        <w:t>advised</w:t>
      </w:r>
      <w:r>
        <w:rPr>
          <w:spacing w:val="-8"/>
          <w:sz w:val="28"/>
        </w:rPr>
        <w:t> </w:t>
      </w:r>
      <w:r>
        <w:rPr>
          <w:sz w:val="28"/>
        </w:rPr>
        <w:t>Irish</w:t>
      </w:r>
      <w:r>
        <w:rPr>
          <w:spacing w:val="-8"/>
          <w:sz w:val="28"/>
        </w:rPr>
        <w:t> </w:t>
      </w:r>
      <w:r>
        <w:rPr>
          <w:sz w:val="28"/>
        </w:rPr>
        <w:t>nationals</w:t>
      </w:r>
      <w:r>
        <w:rPr>
          <w:spacing w:val="-8"/>
          <w:sz w:val="28"/>
        </w:rPr>
        <w:t> </w:t>
      </w:r>
      <w:r>
        <w:rPr>
          <w:sz w:val="28"/>
        </w:rPr>
        <w:t>that</w:t>
      </w:r>
    </w:p>
    <w:p>
      <w:pPr>
        <w:pStyle w:val="BodyText"/>
        <w:spacing w:line="321" w:lineRule="exact"/>
        <w:ind w:left="1853"/>
      </w:pPr>
      <w:r>
        <w:rPr/>
        <w:t>they</w:t>
      </w:r>
      <w:r>
        <w:rPr>
          <w:spacing w:val="-5"/>
        </w:rPr>
        <w:t> </w:t>
      </w:r>
      <w:r>
        <w:rPr/>
        <w:t>need</w:t>
      </w:r>
      <w:r>
        <w:rPr>
          <w:spacing w:val="-4"/>
        </w:rPr>
        <w:t> </w:t>
      </w:r>
      <w:r>
        <w:rPr/>
        <w:t>not</w:t>
      </w:r>
      <w:r>
        <w:rPr>
          <w:spacing w:val="-4"/>
        </w:rPr>
        <w:t> </w:t>
      </w:r>
      <w:r>
        <w:rPr/>
        <w:t>apply</w:t>
      </w:r>
      <w:r>
        <w:rPr>
          <w:spacing w:val="-4"/>
        </w:rPr>
        <w:t> </w:t>
      </w:r>
      <w:r>
        <w:rPr/>
        <w:t>for</w:t>
      </w:r>
      <w:r>
        <w:rPr>
          <w:spacing w:val="-5"/>
        </w:rPr>
        <w:t> </w:t>
      </w:r>
      <w:r>
        <w:rPr/>
        <w:t>the</w:t>
      </w:r>
      <w:r>
        <w:rPr>
          <w:spacing w:val="-4"/>
        </w:rPr>
        <w:t> </w:t>
      </w:r>
      <w:r>
        <w:rPr/>
        <w:t>EU</w:t>
      </w:r>
      <w:r>
        <w:rPr>
          <w:spacing w:val="-4"/>
        </w:rPr>
        <w:t> </w:t>
      </w:r>
      <w:r>
        <w:rPr/>
        <w:t>Settlement</w:t>
      </w:r>
      <w:r>
        <w:rPr>
          <w:spacing w:val="-4"/>
        </w:rPr>
        <w:t> </w:t>
      </w:r>
      <w:r>
        <w:rPr/>
        <w:t>Scheme</w:t>
      </w:r>
      <w:r>
        <w:rPr>
          <w:spacing w:val="-4"/>
        </w:rPr>
        <w:t> </w:t>
      </w:r>
      <w:r>
        <w:rPr/>
        <w:t>and</w:t>
      </w:r>
      <w:r>
        <w:rPr>
          <w:spacing w:val="-5"/>
        </w:rPr>
        <w:t> </w:t>
      </w:r>
      <w:r>
        <w:rPr/>
        <w:t>that</w:t>
      </w:r>
      <w:r>
        <w:rPr>
          <w:spacing w:val="-4"/>
        </w:rPr>
        <w:t> </w:t>
      </w:r>
      <w:r>
        <w:rPr/>
        <w:t>their</w:t>
      </w:r>
      <w:r>
        <w:rPr>
          <w:spacing w:val="-4"/>
        </w:rPr>
        <w:t> </w:t>
      </w:r>
      <w:r>
        <w:rPr/>
        <w:t>rights</w:t>
      </w:r>
      <w:r>
        <w:rPr>
          <w:spacing w:val="-5"/>
        </w:rPr>
        <w:t> </w:t>
      </w:r>
      <w:r>
        <w:rPr>
          <w:spacing w:val="-4"/>
        </w:rPr>
        <w:t>were</w:t>
      </w:r>
    </w:p>
    <w:p>
      <w:pPr>
        <w:pStyle w:val="BodyText"/>
        <w:spacing w:before="11"/>
        <w:rPr>
          <w:sz w:val="9"/>
        </w:rPr>
      </w:pPr>
      <w:r>
        <w:rPr/>
        <mc:AlternateContent>
          <mc:Choice Requires="wps">
            <w:drawing>
              <wp:anchor distT="0" distB="0" distL="0" distR="0" allowOverlap="1" layoutInCell="1" locked="0" behindDoc="1" simplePos="0" relativeHeight="487711232">
                <wp:simplePos x="0" y="0"/>
                <wp:positionH relativeFrom="page">
                  <wp:posOffset>710996</wp:posOffset>
                </wp:positionH>
                <wp:positionV relativeFrom="paragraph">
                  <wp:posOffset>92196</wp:posOffset>
                </wp:positionV>
                <wp:extent cx="6120130" cy="1270"/>
                <wp:effectExtent l="0" t="0" r="0" b="0"/>
                <wp:wrapTopAndBottom/>
                <wp:docPr id="557" name="Graphic 557"/>
                <wp:cNvGraphicFramePr>
                  <a:graphicFrameLocks/>
                </wp:cNvGraphicFramePr>
                <a:graphic>
                  <a:graphicData uri="http://schemas.microsoft.com/office/word/2010/wordprocessingShape">
                    <wps:wsp>
                      <wps:cNvPr id="557" name="Graphic 557"/>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5.984001pt;margin-top:7.259561pt;width:481.9pt;height:.1pt;mso-position-horizontal-relative:page;mso-position-vertical-relative:paragraph;z-index:-15605248;mso-wrap-distance-left:0;mso-wrap-distance-right:0" id="docshape502" coordorigin="1120,145" coordsize="9638,0" path="m10757,145l1120,145e" filled="false" stroked="true" strokeweight="1pt" strokecolor="#393b80">
                <v:path arrowok="t"/>
                <v:stroke dashstyle="solid"/>
                <w10:wrap type="topAndBottom"/>
              </v:shape>
            </w:pict>
          </mc:Fallback>
        </mc:AlternateContent>
      </w:r>
    </w:p>
    <w:p>
      <w:pPr>
        <w:spacing w:line="218" w:lineRule="exact" w:before="150"/>
        <w:ind w:left="1853" w:right="0" w:firstLine="0"/>
        <w:jc w:val="left"/>
        <w:rPr>
          <w:sz w:val="18"/>
        </w:rPr>
      </w:pPr>
      <w:r>
        <w:rPr>
          <w:sz w:val="18"/>
        </w:rPr>
        <w:t>me?’</w:t>
      </w:r>
      <w:r>
        <w:rPr>
          <w:spacing w:val="-2"/>
          <w:sz w:val="18"/>
        </w:rPr>
        <w:t> </w:t>
      </w:r>
      <w:r>
        <w:rPr>
          <w:sz w:val="18"/>
        </w:rPr>
        <w:t>(NIHRC,</w:t>
      </w:r>
      <w:r>
        <w:rPr>
          <w:spacing w:val="-1"/>
          <w:sz w:val="18"/>
        </w:rPr>
        <w:t> </w:t>
      </w:r>
      <w:r>
        <w:rPr>
          <w:spacing w:val="-2"/>
          <w:sz w:val="18"/>
        </w:rPr>
        <w:t>2020).</w:t>
      </w:r>
    </w:p>
    <w:p>
      <w:pPr>
        <w:pStyle w:val="ListParagraph"/>
        <w:numPr>
          <w:ilvl w:val="0"/>
          <w:numId w:val="11"/>
        </w:numPr>
        <w:tabs>
          <w:tab w:pos="1853" w:val="left" w:leader="none"/>
        </w:tabs>
        <w:spacing w:line="235" w:lineRule="auto" w:before="1" w:after="0"/>
        <w:ind w:left="1853" w:right="1397" w:hanging="720"/>
        <w:jc w:val="left"/>
        <w:rPr>
          <w:sz w:val="18"/>
        </w:rPr>
      </w:pPr>
      <w:r>
        <w:rPr>
          <w:sz w:val="18"/>
        </w:rPr>
        <w:t>NI</w:t>
      </w:r>
      <w:r>
        <w:rPr>
          <w:spacing w:val="-5"/>
          <w:sz w:val="18"/>
        </w:rPr>
        <w:t> </w:t>
      </w:r>
      <w:r>
        <w:rPr>
          <w:sz w:val="18"/>
        </w:rPr>
        <w:t>Human</w:t>
      </w:r>
      <w:r>
        <w:rPr>
          <w:spacing w:val="-5"/>
          <w:sz w:val="18"/>
        </w:rPr>
        <w:t> </w:t>
      </w:r>
      <w:r>
        <w:rPr>
          <w:sz w:val="18"/>
        </w:rPr>
        <w:t>Rights</w:t>
      </w:r>
      <w:r>
        <w:rPr>
          <w:spacing w:val="-5"/>
          <w:sz w:val="18"/>
        </w:rPr>
        <w:t> </w:t>
      </w:r>
      <w:r>
        <w:rPr>
          <w:sz w:val="18"/>
        </w:rPr>
        <w:t>Commission,</w:t>
      </w:r>
      <w:r>
        <w:rPr>
          <w:spacing w:val="-5"/>
          <w:sz w:val="18"/>
        </w:rPr>
        <w:t> </w:t>
      </w:r>
      <w:r>
        <w:rPr>
          <w:sz w:val="18"/>
        </w:rPr>
        <w:t>‘Submission</w:t>
      </w:r>
      <w:r>
        <w:rPr>
          <w:spacing w:val="-5"/>
          <w:sz w:val="18"/>
        </w:rPr>
        <w:t> </w:t>
      </w:r>
      <w:r>
        <w:rPr>
          <w:sz w:val="18"/>
        </w:rPr>
        <w:t>to</w:t>
      </w:r>
      <w:r>
        <w:rPr>
          <w:spacing w:val="-5"/>
          <w:sz w:val="18"/>
        </w:rPr>
        <w:t> </w:t>
      </w:r>
      <w:r>
        <w:rPr>
          <w:sz w:val="18"/>
        </w:rPr>
        <w:t>the</w:t>
      </w:r>
      <w:r>
        <w:rPr>
          <w:spacing w:val="-5"/>
          <w:sz w:val="18"/>
        </w:rPr>
        <w:t> </w:t>
      </w:r>
      <w:r>
        <w:rPr>
          <w:sz w:val="18"/>
        </w:rPr>
        <w:t>NI</w:t>
      </w:r>
      <w:r>
        <w:rPr>
          <w:spacing w:val="-5"/>
          <w:sz w:val="18"/>
        </w:rPr>
        <w:t> </w:t>
      </w:r>
      <w:r>
        <w:rPr>
          <w:sz w:val="18"/>
        </w:rPr>
        <w:t>Affairs</w:t>
      </w:r>
      <w:r>
        <w:rPr>
          <w:spacing w:val="-5"/>
          <w:sz w:val="18"/>
        </w:rPr>
        <w:t> </w:t>
      </w:r>
      <w:r>
        <w:rPr>
          <w:sz w:val="18"/>
        </w:rPr>
        <w:t>Committee</w:t>
      </w:r>
      <w:r>
        <w:rPr>
          <w:spacing w:val="-5"/>
          <w:sz w:val="18"/>
        </w:rPr>
        <w:t> </w:t>
      </w:r>
      <w:r>
        <w:rPr>
          <w:sz w:val="18"/>
        </w:rPr>
        <w:t>Inquiry</w:t>
      </w:r>
      <w:r>
        <w:rPr>
          <w:spacing w:val="-5"/>
          <w:sz w:val="18"/>
        </w:rPr>
        <w:t> </w:t>
      </w:r>
      <w:r>
        <w:rPr>
          <w:sz w:val="18"/>
        </w:rPr>
        <w:t>into</w:t>
      </w:r>
      <w:r>
        <w:rPr>
          <w:spacing w:val="-5"/>
          <w:sz w:val="18"/>
        </w:rPr>
        <w:t> </w:t>
      </w:r>
      <w:r>
        <w:rPr>
          <w:sz w:val="18"/>
        </w:rPr>
        <w:t>Citizenship</w:t>
      </w:r>
      <w:r>
        <w:rPr>
          <w:spacing w:val="-5"/>
          <w:sz w:val="18"/>
        </w:rPr>
        <w:t> </w:t>
      </w:r>
      <w:r>
        <w:rPr>
          <w:sz w:val="18"/>
        </w:rPr>
        <w:t>and</w:t>
      </w:r>
      <w:r>
        <w:rPr>
          <w:spacing w:val="-5"/>
          <w:sz w:val="18"/>
        </w:rPr>
        <w:t> </w:t>
      </w:r>
      <w:r>
        <w:rPr>
          <w:sz w:val="18"/>
        </w:rPr>
        <w:t>Passport</w:t>
      </w:r>
      <w:r>
        <w:rPr>
          <w:spacing w:val="-5"/>
          <w:sz w:val="18"/>
        </w:rPr>
        <w:t> </w:t>
      </w:r>
      <w:r>
        <w:rPr>
          <w:sz w:val="18"/>
        </w:rPr>
        <w:t>Processes’ (NIHRC, 2021); UK Parliament Hansard, ‘NI Affairs</w:t>
      </w:r>
      <w:r>
        <w:rPr>
          <w:spacing w:val="-1"/>
          <w:sz w:val="18"/>
        </w:rPr>
        <w:t> </w:t>
      </w:r>
      <w:r>
        <w:rPr>
          <w:sz w:val="18"/>
        </w:rPr>
        <w:t>Committee Inquiry into</w:t>
      </w:r>
      <w:r>
        <w:rPr>
          <w:spacing w:val="-1"/>
          <w:sz w:val="18"/>
        </w:rPr>
        <w:t> </w:t>
      </w:r>
      <w:r>
        <w:rPr>
          <w:sz w:val="18"/>
        </w:rPr>
        <w:t>Citizenship</w:t>
      </w:r>
      <w:r>
        <w:rPr>
          <w:spacing w:val="-1"/>
          <w:sz w:val="18"/>
        </w:rPr>
        <w:t> </w:t>
      </w:r>
      <w:r>
        <w:rPr>
          <w:sz w:val="18"/>
        </w:rPr>
        <w:t>and</w:t>
      </w:r>
      <w:r>
        <w:rPr>
          <w:spacing w:val="-1"/>
          <w:sz w:val="18"/>
        </w:rPr>
        <w:t> </w:t>
      </w:r>
      <w:r>
        <w:rPr>
          <w:sz w:val="18"/>
        </w:rPr>
        <w:t>Passport Processes</w:t>
      </w:r>
      <w:r>
        <w:rPr>
          <w:spacing w:val="-1"/>
          <w:sz w:val="18"/>
        </w:rPr>
        <w:t> </w:t>
      </w:r>
      <w:r>
        <w:rPr>
          <w:sz w:val="18"/>
        </w:rPr>
        <w:t>in</w:t>
      </w:r>
      <w:r>
        <w:rPr>
          <w:spacing w:val="-1"/>
          <w:sz w:val="18"/>
        </w:rPr>
        <w:t> </w:t>
      </w:r>
      <w:r>
        <w:rPr>
          <w:sz w:val="18"/>
        </w:rPr>
        <w:t>NI -</w:t>
      </w:r>
      <w:r>
        <w:rPr>
          <w:spacing w:val="-1"/>
          <w:sz w:val="18"/>
        </w:rPr>
        <w:t> </w:t>
      </w:r>
      <w:r>
        <w:rPr>
          <w:sz w:val="18"/>
        </w:rPr>
        <w:t>NI Human Rights Commission’, 10 March 2021; NI Human Rights Commission, ‘NI Affairs Committee Inquiry into</w:t>
      </w:r>
    </w:p>
    <w:p>
      <w:pPr>
        <w:spacing w:line="235" w:lineRule="auto" w:before="2"/>
        <w:ind w:left="1853" w:right="1171" w:firstLine="0"/>
        <w:jc w:val="left"/>
        <w:rPr>
          <w:sz w:val="18"/>
        </w:rPr>
      </w:pPr>
      <w:r>
        <w:rPr>
          <w:sz w:val="18"/>
        </w:rPr>
        <w:t>Citizenship</w:t>
      </w:r>
      <w:r>
        <w:rPr>
          <w:spacing w:val="-5"/>
          <w:sz w:val="18"/>
        </w:rPr>
        <w:t> </w:t>
      </w:r>
      <w:r>
        <w:rPr>
          <w:sz w:val="18"/>
        </w:rPr>
        <w:t>and</w:t>
      </w:r>
      <w:r>
        <w:rPr>
          <w:spacing w:val="-5"/>
          <w:sz w:val="18"/>
        </w:rPr>
        <w:t> </w:t>
      </w:r>
      <w:r>
        <w:rPr>
          <w:sz w:val="18"/>
        </w:rPr>
        <w:t>Passport</w:t>
      </w:r>
      <w:r>
        <w:rPr>
          <w:spacing w:val="-4"/>
          <w:sz w:val="18"/>
        </w:rPr>
        <w:t> </w:t>
      </w:r>
      <w:r>
        <w:rPr>
          <w:sz w:val="18"/>
        </w:rPr>
        <w:t>Processes</w:t>
      </w:r>
      <w:r>
        <w:rPr>
          <w:spacing w:val="-5"/>
          <w:sz w:val="18"/>
        </w:rPr>
        <w:t> </w:t>
      </w:r>
      <w:r>
        <w:rPr>
          <w:sz w:val="18"/>
        </w:rPr>
        <w:t>in</w:t>
      </w:r>
      <w:r>
        <w:rPr>
          <w:spacing w:val="-5"/>
          <w:sz w:val="18"/>
        </w:rPr>
        <w:t> </w:t>
      </w:r>
      <w:r>
        <w:rPr>
          <w:sz w:val="18"/>
        </w:rPr>
        <w:t>NI:</w:t>
      </w:r>
      <w:r>
        <w:rPr>
          <w:spacing w:val="-4"/>
          <w:sz w:val="18"/>
        </w:rPr>
        <w:t> </w:t>
      </w:r>
      <w:r>
        <w:rPr>
          <w:sz w:val="18"/>
        </w:rPr>
        <w:t>NIHRC</w:t>
      </w:r>
      <w:r>
        <w:rPr>
          <w:spacing w:val="-5"/>
          <w:sz w:val="18"/>
        </w:rPr>
        <w:t> </w:t>
      </w:r>
      <w:r>
        <w:rPr>
          <w:sz w:val="18"/>
        </w:rPr>
        <w:t>Commentary</w:t>
      </w:r>
      <w:r>
        <w:rPr>
          <w:spacing w:val="-4"/>
          <w:sz w:val="18"/>
        </w:rPr>
        <w:t> </w:t>
      </w:r>
      <w:r>
        <w:rPr>
          <w:sz w:val="18"/>
        </w:rPr>
        <w:t>on</w:t>
      </w:r>
      <w:r>
        <w:rPr>
          <w:spacing w:val="-5"/>
          <w:sz w:val="18"/>
        </w:rPr>
        <w:t> </w:t>
      </w:r>
      <w:r>
        <w:rPr>
          <w:sz w:val="18"/>
        </w:rPr>
        <w:t>the</w:t>
      </w:r>
      <w:r>
        <w:rPr>
          <w:spacing w:val="-4"/>
          <w:sz w:val="18"/>
        </w:rPr>
        <w:t> </w:t>
      </w:r>
      <w:r>
        <w:rPr>
          <w:sz w:val="18"/>
        </w:rPr>
        <w:t>NI</w:t>
      </w:r>
      <w:r>
        <w:rPr>
          <w:spacing w:val="-4"/>
          <w:sz w:val="18"/>
        </w:rPr>
        <w:t> </w:t>
      </w:r>
      <w:r>
        <w:rPr>
          <w:sz w:val="18"/>
        </w:rPr>
        <w:t>Office/Home</w:t>
      </w:r>
      <w:r>
        <w:rPr>
          <w:spacing w:val="-4"/>
          <w:sz w:val="18"/>
        </w:rPr>
        <w:t> </w:t>
      </w:r>
      <w:r>
        <w:rPr>
          <w:sz w:val="18"/>
        </w:rPr>
        <w:t>Office</w:t>
      </w:r>
      <w:r>
        <w:rPr>
          <w:spacing w:val="-4"/>
          <w:sz w:val="18"/>
        </w:rPr>
        <w:t> </w:t>
      </w:r>
      <w:r>
        <w:rPr>
          <w:sz w:val="18"/>
        </w:rPr>
        <w:t>Submission</w:t>
      </w:r>
      <w:r>
        <w:rPr>
          <w:spacing w:val="-5"/>
          <w:sz w:val="18"/>
        </w:rPr>
        <w:t> </w:t>
      </w:r>
      <w:r>
        <w:rPr>
          <w:sz w:val="18"/>
        </w:rPr>
        <w:t>to</w:t>
      </w:r>
      <w:r>
        <w:rPr>
          <w:spacing w:val="-5"/>
          <w:sz w:val="18"/>
        </w:rPr>
        <w:t> </w:t>
      </w:r>
      <w:r>
        <w:rPr>
          <w:sz w:val="18"/>
        </w:rPr>
        <w:t>the</w:t>
      </w:r>
      <w:r>
        <w:rPr>
          <w:spacing w:val="-4"/>
          <w:sz w:val="18"/>
        </w:rPr>
        <w:t> </w:t>
      </w:r>
      <w:r>
        <w:rPr>
          <w:sz w:val="18"/>
        </w:rPr>
        <w:t>Committee’ (NIHRC, 2021).</w:t>
      </w:r>
    </w:p>
    <w:p>
      <w:pPr>
        <w:pStyle w:val="ListParagraph"/>
        <w:numPr>
          <w:ilvl w:val="0"/>
          <w:numId w:val="11"/>
        </w:numPr>
        <w:tabs>
          <w:tab w:pos="1853" w:val="left" w:leader="none"/>
        </w:tabs>
        <w:spacing w:line="235" w:lineRule="auto" w:before="2" w:after="0"/>
        <w:ind w:left="1853" w:right="1173" w:hanging="720"/>
        <w:jc w:val="left"/>
        <w:rPr>
          <w:sz w:val="18"/>
        </w:rPr>
      </w:pPr>
      <w:r>
        <w:rPr>
          <w:sz w:val="18"/>
        </w:rPr>
        <w:t>NI</w:t>
      </w:r>
      <w:r>
        <w:rPr>
          <w:spacing w:val="-7"/>
          <w:sz w:val="18"/>
        </w:rPr>
        <w:t> </w:t>
      </w:r>
      <w:r>
        <w:rPr>
          <w:sz w:val="18"/>
        </w:rPr>
        <w:t>Affairs</w:t>
      </w:r>
      <w:r>
        <w:rPr>
          <w:spacing w:val="-7"/>
          <w:sz w:val="18"/>
        </w:rPr>
        <w:t> </w:t>
      </w:r>
      <w:r>
        <w:rPr>
          <w:sz w:val="18"/>
        </w:rPr>
        <w:t>Committee,</w:t>
      </w:r>
      <w:r>
        <w:rPr>
          <w:spacing w:val="-7"/>
          <w:sz w:val="18"/>
        </w:rPr>
        <w:t> </w:t>
      </w:r>
      <w:r>
        <w:rPr>
          <w:sz w:val="18"/>
        </w:rPr>
        <w:t>‘First</w:t>
      </w:r>
      <w:r>
        <w:rPr>
          <w:spacing w:val="-7"/>
          <w:sz w:val="18"/>
        </w:rPr>
        <w:t> </w:t>
      </w:r>
      <w:r>
        <w:rPr>
          <w:sz w:val="18"/>
        </w:rPr>
        <w:t>Report</w:t>
      </w:r>
      <w:r>
        <w:rPr>
          <w:spacing w:val="-7"/>
          <w:sz w:val="18"/>
        </w:rPr>
        <w:t> </w:t>
      </w:r>
      <w:r>
        <w:rPr>
          <w:sz w:val="18"/>
        </w:rPr>
        <w:t>of</w:t>
      </w:r>
      <w:r>
        <w:rPr>
          <w:spacing w:val="-7"/>
          <w:sz w:val="18"/>
        </w:rPr>
        <w:t> </w:t>
      </w:r>
      <w:r>
        <w:rPr>
          <w:sz w:val="18"/>
        </w:rPr>
        <w:t>Session</w:t>
      </w:r>
      <w:r>
        <w:rPr>
          <w:spacing w:val="-7"/>
          <w:sz w:val="18"/>
        </w:rPr>
        <w:t> </w:t>
      </w:r>
      <w:r>
        <w:rPr>
          <w:sz w:val="18"/>
        </w:rPr>
        <w:t>2021/2022</w:t>
      </w:r>
      <w:r>
        <w:rPr>
          <w:spacing w:val="-7"/>
          <w:sz w:val="18"/>
        </w:rPr>
        <w:t> </w:t>
      </w:r>
      <w:r>
        <w:rPr>
          <w:sz w:val="18"/>
        </w:rPr>
        <w:t>on</w:t>
      </w:r>
      <w:r>
        <w:rPr>
          <w:spacing w:val="-7"/>
          <w:sz w:val="18"/>
        </w:rPr>
        <w:t> </w:t>
      </w:r>
      <w:r>
        <w:rPr>
          <w:sz w:val="18"/>
        </w:rPr>
        <w:t>Citizenship</w:t>
      </w:r>
      <w:r>
        <w:rPr>
          <w:spacing w:val="-7"/>
          <w:sz w:val="18"/>
        </w:rPr>
        <w:t> </w:t>
      </w:r>
      <w:r>
        <w:rPr>
          <w:sz w:val="18"/>
        </w:rPr>
        <w:t>and</w:t>
      </w:r>
      <w:r>
        <w:rPr>
          <w:spacing w:val="-7"/>
          <w:sz w:val="18"/>
        </w:rPr>
        <w:t> </w:t>
      </w:r>
      <w:r>
        <w:rPr>
          <w:sz w:val="18"/>
        </w:rPr>
        <w:t>Passport</w:t>
      </w:r>
      <w:r>
        <w:rPr>
          <w:spacing w:val="-7"/>
          <w:sz w:val="18"/>
        </w:rPr>
        <w:t> </w:t>
      </w:r>
      <w:r>
        <w:rPr>
          <w:sz w:val="18"/>
        </w:rPr>
        <w:t>Processes</w:t>
      </w:r>
      <w:r>
        <w:rPr>
          <w:spacing w:val="-7"/>
          <w:sz w:val="18"/>
        </w:rPr>
        <w:t> </w:t>
      </w:r>
      <w:r>
        <w:rPr>
          <w:sz w:val="18"/>
        </w:rPr>
        <w:t>relating</w:t>
      </w:r>
      <w:r>
        <w:rPr>
          <w:spacing w:val="-7"/>
          <w:sz w:val="18"/>
        </w:rPr>
        <w:t> </w:t>
      </w:r>
      <w:r>
        <w:rPr>
          <w:sz w:val="18"/>
        </w:rPr>
        <w:t>to</w:t>
      </w:r>
      <w:r>
        <w:rPr>
          <w:spacing w:val="-7"/>
          <w:sz w:val="18"/>
        </w:rPr>
        <w:t> </w:t>
      </w:r>
      <w:r>
        <w:rPr>
          <w:sz w:val="18"/>
        </w:rPr>
        <w:t>NI’</w:t>
      </w:r>
      <w:r>
        <w:rPr>
          <w:spacing w:val="-7"/>
          <w:sz w:val="18"/>
        </w:rPr>
        <w:t> </w:t>
      </w:r>
      <w:r>
        <w:rPr>
          <w:sz w:val="18"/>
        </w:rPr>
        <w:t>(HoC,</w:t>
      </w:r>
      <w:r>
        <w:rPr>
          <w:spacing w:val="-7"/>
          <w:sz w:val="18"/>
        </w:rPr>
        <w:t> </w:t>
      </w:r>
      <w:r>
        <w:rPr>
          <w:sz w:val="18"/>
        </w:rPr>
        <w:t>2021), at para 14.</w:t>
      </w:r>
    </w:p>
    <w:p>
      <w:pPr>
        <w:pStyle w:val="ListParagraph"/>
        <w:numPr>
          <w:ilvl w:val="0"/>
          <w:numId w:val="11"/>
        </w:numPr>
        <w:tabs>
          <w:tab w:pos="1853" w:val="left" w:leader="none"/>
        </w:tabs>
        <w:spacing w:line="235" w:lineRule="auto" w:before="1" w:after="0"/>
        <w:ind w:left="1853" w:right="1324" w:hanging="720"/>
        <w:jc w:val="left"/>
        <w:rPr>
          <w:sz w:val="18"/>
        </w:rPr>
      </w:pPr>
      <w:r>
        <w:rPr>
          <w:sz w:val="18"/>
        </w:rPr>
        <w:t>NI</w:t>
      </w:r>
      <w:r>
        <w:rPr>
          <w:spacing w:val="-5"/>
          <w:sz w:val="18"/>
        </w:rPr>
        <w:t> </w:t>
      </w:r>
      <w:r>
        <w:rPr>
          <w:sz w:val="18"/>
        </w:rPr>
        <w:t>Affairs</w:t>
      </w:r>
      <w:r>
        <w:rPr>
          <w:spacing w:val="-6"/>
          <w:sz w:val="18"/>
        </w:rPr>
        <w:t> </w:t>
      </w:r>
      <w:r>
        <w:rPr>
          <w:sz w:val="18"/>
        </w:rPr>
        <w:t>Committee,</w:t>
      </w:r>
      <w:r>
        <w:rPr>
          <w:spacing w:val="-5"/>
          <w:sz w:val="18"/>
        </w:rPr>
        <w:t> </w:t>
      </w:r>
      <w:r>
        <w:rPr>
          <w:sz w:val="18"/>
        </w:rPr>
        <w:t>‘Second</w:t>
      </w:r>
      <w:r>
        <w:rPr>
          <w:spacing w:val="-6"/>
          <w:sz w:val="18"/>
        </w:rPr>
        <w:t> </w:t>
      </w:r>
      <w:r>
        <w:rPr>
          <w:sz w:val="18"/>
        </w:rPr>
        <w:t>Special</w:t>
      </w:r>
      <w:r>
        <w:rPr>
          <w:spacing w:val="-6"/>
          <w:sz w:val="18"/>
        </w:rPr>
        <w:t> </w:t>
      </w:r>
      <w:r>
        <w:rPr>
          <w:sz w:val="18"/>
        </w:rPr>
        <w:t>Report</w:t>
      </w:r>
      <w:r>
        <w:rPr>
          <w:spacing w:val="-5"/>
          <w:sz w:val="18"/>
        </w:rPr>
        <w:t> </w:t>
      </w:r>
      <w:r>
        <w:rPr>
          <w:sz w:val="18"/>
        </w:rPr>
        <w:t>of</w:t>
      </w:r>
      <w:r>
        <w:rPr>
          <w:spacing w:val="-6"/>
          <w:sz w:val="18"/>
        </w:rPr>
        <w:t> </w:t>
      </w:r>
      <w:r>
        <w:rPr>
          <w:sz w:val="18"/>
        </w:rPr>
        <w:t>Session</w:t>
      </w:r>
      <w:r>
        <w:rPr>
          <w:spacing w:val="-6"/>
          <w:sz w:val="18"/>
        </w:rPr>
        <w:t> </w:t>
      </w:r>
      <w:r>
        <w:rPr>
          <w:sz w:val="18"/>
        </w:rPr>
        <w:t>2021/2022</w:t>
      </w:r>
      <w:r>
        <w:rPr>
          <w:spacing w:val="-5"/>
          <w:sz w:val="18"/>
        </w:rPr>
        <w:t> </w:t>
      </w:r>
      <w:r>
        <w:rPr>
          <w:sz w:val="18"/>
        </w:rPr>
        <w:t>on</w:t>
      </w:r>
      <w:r>
        <w:rPr>
          <w:spacing w:val="-6"/>
          <w:sz w:val="18"/>
        </w:rPr>
        <w:t> </w:t>
      </w:r>
      <w:r>
        <w:rPr>
          <w:sz w:val="18"/>
        </w:rPr>
        <w:t>Citizenship</w:t>
      </w:r>
      <w:r>
        <w:rPr>
          <w:spacing w:val="-6"/>
          <w:sz w:val="18"/>
        </w:rPr>
        <w:t> </w:t>
      </w:r>
      <w:r>
        <w:rPr>
          <w:sz w:val="18"/>
        </w:rPr>
        <w:t>and</w:t>
      </w:r>
      <w:r>
        <w:rPr>
          <w:spacing w:val="-6"/>
          <w:sz w:val="18"/>
        </w:rPr>
        <w:t> </w:t>
      </w:r>
      <w:r>
        <w:rPr>
          <w:sz w:val="18"/>
        </w:rPr>
        <w:t>Passport</w:t>
      </w:r>
      <w:r>
        <w:rPr>
          <w:spacing w:val="-5"/>
          <w:sz w:val="18"/>
        </w:rPr>
        <w:t> </w:t>
      </w:r>
      <w:r>
        <w:rPr>
          <w:sz w:val="18"/>
        </w:rPr>
        <w:t>Processes</w:t>
      </w:r>
      <w:r>
        <w:rPr>
          <w:spacing w:val="-6"/>
          <w:sz w:val="18"/>
        </w:rPr>
        <w:t> </w:t>
      </w:r>
      <w:r>
        <w:rPr>
          <w:sz w:val="18"/>
        </w:rPr>
        <w:t>relating</w:t>
      </w:r>
      <w:r>
        <w:rPr>
          <w:spacing w:val="-5"/>
          <w:sz w:val="18"/>
        </w:rPr>
        <w:t> </w:t>
      </w:r>
      <w:r>
        <w:rPr>
          <w:sz w:val="18"/>
        </w:rPr>
        <w:t>to</w:t>
      </w:r>
      <w:r>
        <w:rPr>
          <w:spacing w:val="-6"/>
          <w:sz w:val="18"/>
        </w:rPr>
        <w:t> </w:t>
      </w:r>
      <w:r>
        <w:rPr>
          <w:sz w:val="18"/>
        </w:rPr>
        <w:t>NI: Government Response to the Committee’s First Report of Session 2021-2’ (HoC, 2022), at paras 12 and 16.</w:t>
      </w:r>
    </w:p>
    <w:p>
      <w:pPr>
        <w:pStyle w:val="ListParagraph"/>
        <w:numPr>
          <w:ilvl w:val="0"/>
          <w:numId w:val="11"/>
        </w:numPr>
        <w:tabs>
          <w:tab w:pos="1853" w:val="left" w:leader="none"/>
        </w:tabs>
        <w:spacing w:line="235" w:lineRule="auto" w:before="1" w:after="0"/>
        <w:ind w:left="1853" w:right="1236" w:hanging="720"/>
        <w:jc w:val="left"/>
        <w:rPr>
          <w:sz w:val="18"/>
        </w:rPr>
      </w:pP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3"/>
          <w:sz w:val="18"/>
        </w:rPr>
        <w:t> </w:t>
      </w:r>
      <w:r>
        <w:rPr>
          <w:sz w:val="18"/>
        </w:rPr>
        <w:t>‘Response</w:t>
      </w:r>
      <w:r>
        <w:rPr>
          <w:spacing w:val="-3"/>
          <w:sz w:val="18"/>
        </w:rPr>
        <w:t> </w:t>
      </w:r>
      <w:r>
        <w:rPr>
          <w:sz w:val="18"/>
        </w:rPr>
        <w:t>to</w:t>
      </w:r>
      <w:r>
        <w:rPr>
          <w:spacing w:val="-4"/>
          <w:sz w:val="18"/>
        </w:rPr>
        <w:t> </w:t>
      </w:r>
      <w:r>
        <w:rPr>
          <w:sz w:val="18"/>
        </w:rPr>
        <w:t>Call</w:t>
      </w:r>
      <w:r>
        <w:rPr>
          <w:spacing w:val="-4"/>
          <w:sz w:val="18"/>
        </w:rPr>
        <w:t> </w:t>
      </w:r>
      <w:r>
        <w:rPr>
          <w:sz w:val="18"/>
        </w:rPr>
        <w:t>for</w:t>
      </w:r>
      <w:r>
        <w:rPr>
          <w:spacing w:val="-3"/>
          <w:sz w:val="18"/>
        </w:rPr>
        <w:t> </w:t>
      </w:r>
      <w:r>
        <w:rPr>
          <w:sz w:val="18"/>
        </w:rPr>
        <w:t>Evidence</w:t>
      </w:r>
      <w:r>
        <w:rPr>
          <w:spacing w:val="-3"/>
          <w:sz w:val="18"/>
        </w:rPr>
        <w:t> </w:t>
      </w:r>
      <w:r>
        <w:rPr>
          <w:sz w:val="18"/>
        </w:rPr>
        <w:t>by</w:t>
      </w:r>
      <w:r>
        <w:rPr>
          <w:spacing w:val="-3"/>
          <w:sz w:val="18"/>
        </w:rPr>
        <w:t> </w:t>
      </w:r>
      <w:r>
        <w:rPr>
          <w:sz w:val="18"/>
        </w:rPr>
        <w:t>the</w:t>
      </w:r>
      <w:r>
        <w:rPr>
          <w:spacing w:val="-3"/>
          <w:sz w:val="18"/>
        </w:rPr>
        <w:t> </w:t>
      </w:r>
      <w:r>
        <w:rPr>
          <w:sz w:val="18"/>
        </w:rPr>
        <w:t>Joint</w:t>
      </w:r>
      <w:r>
        <w:rPr>
          <w:spacing w:val="-3"/>
          <w:sz w:val="18"/>
        </w:rPr>
        <w:t> </w:t>
      </w:r>
      <w:r>
        <w:rPr>
          <w:sz w:val="18"/>
        </w:rPr>
        <w:t>Committee</w:t>
      </w:r>
      <w:r>
        <w:rPr>
          <w:spacing w:val="-3"/>
          <w:sz w:val="18"/>
        </w:rPr>
        <w:t> </w:t>
      </w:r>
      <w:r>
        <w:rPr>
          <w:sz w:val="18"/>
        </w:rPr>
        <w:t>on</w:t>
      </w:r>
      <w:r>
        <w:rPr>
          <w:spacing w:val="-4"/>
          <w:sz w:val="18"/>
        </w:rPr>
        <w:t> </w:t>
      </w:r>
      <w:r>
        <w:rPr>
          <w:sz w:val="18"/>
        </w:rPr>
        <w:t>Human</w:t>
      </w:r>
      <w:r>
        <w:rPr>
          <w:spacing w:val="-4"/>
          <w:sz w:val="18"/>
        </w:rPr>
        <w:t> </w:t>
      </w:r>
      <w:r>
        <w:rPr>
          <w:sz w:val="18"/>
        </w:rPr>
        <w:t>Rights</w:t>
      </w:r>
      <w:r>
        <w:rPr>
          <w:spacing w:val="-4"/>
          <w:sz w:val="18"/>
        </w:rPr>
        <w:t> </w:t>
      </w:r>
      <w:r>
        <w:rPr>
          <w:sz w:val="18"/>
        </w:rPr>
        <w:t>on</w:t>
      </w:r>
      <w:r>
        <w:rPr>
          <w:spacing w:val="-4"/>
          <w:sz w:val="18"/>
        </w:rPr>
        <w:t> </w:t>
      </w:r>
      <w:r>
        <w:rPr>
          <w:sz w:val="18"/>
        </w:rPr>
        <w:t>the</w:t>
      </w:r>
      <w:r>
        <w:rPr>
          <w:spacing w:val="-3"/>
          <w:sz w:val="18"/>
        </w:rPr>
        <w:t> </w:t>
      </w:r>
      <w:r>
        <w:rPr>
          <w:sz w:val="18"/>
        </w:rPr>
        <w:t>Nationality and Borders Bill’ (NIHRC, 2021), at paras 3.1-3.4.</w:t>
      </w:r>
    </w:p>
    <w:p>
      <w:pPr>
        <w:pStyle w:val="ListParagraph"/>
        <w:numPr>
          <w:ilvl w:val="0"/>
          <w:numId w:val="11"/>
        </w:numPr>
        <w:tabs>
          <w:tab w:pos="1853" w:val="left" w:leader="none"/>
        </w:tabs>
        <w:spacing w:line="235" w:lineRule="auto" w:before="2" w:after="0"/>
        <w:ind w:left="1853" w:right="1177" w:hanging="720"/>
        <w:jc w:val="left"/>
        <w:rPr>
          <w:sz w:val="18"/>
        </w:rPr>
      </w:pPr>
      <w:r>
        <w:rPr>
          <w:sz w:val="18"/>
        </w:rPr>
        <w:t>UK</w:t>
      </w:r>
      <w:r>
        <w:rPr>
          <w:spacing w:val="-5"/>
          <w:sz w:val="18"/>
        </w:rPr>
        <w:t> </w:t>
      </w:r>
      <w:r>
        <w:rPr>
          <w:sz w:val="18"/>
        </w:rPr>
        <w:t>Parliament</w:t>
      </w:r>
      <w:r>
        <w:rPr>
          <w:spacing w:val="-5"/>
          <w:sz w:val="18"/>
        </w:rPr>
        <w:t> </w:t>
      </w:r>
      <w:r>
        <w:rPr>
          <w:sz w:val="18"/>
        </w:rPr>
        <w:t>Hansard,</w:t>
      </w:r>
      <w:r>
        <w:rPr>
          <w:spacing w:val="-5"/>
          <w:sz w:val="18"/>
        </w:rPr>
        <w:t> </w:t>
      </w:r>
      <w:r>
        <w:rPr>
          <w:sz w:val="18"/>
        </w:rPr>
        <w:t>‘House</w:t>
      </w:r>
      <w:r>
        <w:rPr>
          <w:spacing w:val="-5"/>
          <w:sz w:val="18"/>
        </w:rPr>
        <w:t> </w:t>
      </w:r>
      <w:r>
        <w:rPr>
          <w:sz w:val="18"/>
        </w:rPr>
        <w:t>of</w:t>
      </w:r>
      <w:r>
        <w:rPr>
          <w:spacing w:val="-5"/>
          <w:sz w:val="18"/>
        </w:rPr>
        <w:t> </w:t>
      </w:r>
      <w:r>
        <w:rPr>
          <w:sz w:val="18"/>
        </w:rPr>
        <w:t>Lords:</w:t>
      </w:r>
      <w:r>
        <w:rPr>
          <w:spacing w:val="-5"/>
          <w:sz w:val="18"/>
        </w:rPr>
        <w:t> </w:t>
      </w:r>
      <w:r>
        <w:rPr>
          <w:sz w:val="18"/>
        </w:rPr>
        <w:t>Nationality</w:t>
      </w:r>
      <w:r>
        <w:rPr>
          <w:spacing w:val="-5"/>
          <w:sz w:val="18"/>
        </w:rPr>
        <w:t> </w:t>
      </w:r>
      <w:r>
        <w:rPr>
          <w:sz w:val="18"/>
        </w:rPr>
        <w:t>and</w:t>
      </w:r>
      <w:r>
        <w:rPr>
          <w:spacing w:val="-5"/>
          <w:sz w:val="18"/>
        </w:rPr>
        <w:t> </w:t>
      </w:r>
      <w:r>
        <w:rPr>
          <w:sz w:val="18"/>
        </w:rPr>
        <w:t>Borders</w:t>
      </w:r>
      <w:r>
        <w:rPr>
          <w:spacing w:val="-5"/>
          <w:sz w:val="18"/>
        </w:rPr>
        <w:t> </w:t>
      </w:r>
      <w:r>
        <w:rPr>
          <w:sz w:val="18"/>
        </w:rPr>
        <w:t>Bill</w:t>
      </w:r>
      <w:r>
        <w:rPr>
          <w:spacing w:val="-5"/>
          <w:sz w:val="18"/>
        </w:rPr>
        <w:t> </w:t>
      </w:r>
      <w:r>
        <w:rPr>
          <w:sz w:val="18"/>
        </w:rPr>
        <w:t>(Committee</w:t>
      </w:r>
      <w:r>
        <w:rPr>
          <w:spacing w:val="-5"/>
          <w:sz w:val="18"/>
        </w:rPr>
        <w:t> </w:t>
      </w:r>
      <w:r>
        <w:rPr>
          <w:sz w:val="18"/>
        </w:rPr>
        <w:t>Stage)</w:t>
      </w:r>
      <w:r>
        <w:rPr>
          <w:spacing w:val="-5"/>
          <w:sz w:val="18"/>
        </w:rPr>
        <w:t> </w:t>
      </w:r>
      <w:r>
        <w:rPr>
          <w:sz w:val="18"/>
        </w:rPr>
        <w:t>–</w:t>
      </w:r>
      <w:r>
        <w:rPr>
          <w:spacing w:val="-5"/>
          <w:sz w:val="18"/>
        </w:rPr>
        <w:t> </w:t>
      </w:r>
      <w:r>
        <w:rPr>
          <w:sz w:val="18"/>
        </w:rPr>
        <w:t>Lord</w:t>
      </w:r>
      <w:r>
        <w:rPr>
          <w:spacing w:val="-5"/>
          <w:sz w:val="18"/>
        </w:rPr>
        <w:t> </w:t>
      </w:r>
      <w:r>
        <w:rPr>
          <w:sz w:val="18"/>
        </w:rPr>
        <w:t>Sharpe</w:t>
      </w:r>
      <w:r>
        <w:rPr>
          <w:spacing w:val="-5"/>
          <w:sz w:val="18"/>
        </w:rPr>
        <w:t> </w:t>
      </w:r>
      <w:r>
        <w:rPr>
          <w:sz w:val="18"/>
        </w:rPr>
        <w:t>of</w:t>
      </w:r>
      <w:r>
        <w:rPr>
          <w:spacing w:val="-5"/>
          <w:sz w:val="18"/>
        </w:rPr>
        <w:t> </w:t>
      </w:r>
      <w:r>
        <w:rPr>
          <w:sz w:val="18"/>
        </w:rPr>
        <w:t>Epsom</w:t>
      </w:r>
      <w:r>
        <w:rPr>
          <w:spacing w:val="-5"/>
          <w:sz w:val="18"/>
        </w:rPr>
        <w:t> </w:t>
      </w:r>
      <w:r>
        <w:rPr>
          <w:sz w:val="18"/>
        </w:rPr>
        <w:t>–</w:t>
      </w:r>
      <w:r>
        <w:rPr>
          <w:spacing w:val="-5"/>
          <w:sz w:val="18"/>
        </w:rPr>
        <w:t> </w:t>
      </w:r>
      <w:r>
        <w:rPr>
          <w:sz w:val="18"/>
        </w:rPr>
        <w:t>Column 1937’, 10 February 2022.</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316"/>
      </w:pPr>
      <w:bookmarkStart w:name="_bookmark48" w:id="108"/>
      <w:bookmarkEnd w:id="108"/>
      <w:r>
        <w:rPr/>
      </w:r>
      <w:r>
        <w:rPr/>
        <w:t>protected</w:t>
      </w:r>
      <w:r>
        <w:rPr>
          <w:spacing w:val="-11"/>
        </w:rPr>
        <w:t> </w:t>
      </w:r>
      <w:r>
        <w:rPr/>
        <w:t>through</w:t>
      </w:r>
      <w:r>
        <w:rPr>
          <w:spacing w:val="-11"/>
        </w:rPr>
        <w:t> </w:t>
      </w:r>
      <w:r>
        <w:rPr/>
        <w:t>the</w:t>
      </w:r>
      <w:r>
        <w:rPr>
          <w:spacing w:val="-10"/>
        </w:rPr>
        <w:t> </w:t>
      </w:r>
      <w:r>
        <w:rPr/>
        <w:t>Common</w:t>
      </w:r>
      <w:r>
        <w:rPr>
          <w:spacing w:val="-11"/>
        </w:rPr>
        <w:t> </w:t>
      </w:r>
      <w:r>
        <w:rPr/>
        <w:t>Travel</w:t>
      </w:r>
      <w:r>
        <w:rPr>
          <w:spacing w:val="-11"/>
        </w:rPr>
        <w:t> </w:t>
      </w:r>
      <w:r>
        <w:rPr/>
        <w:t>Area</w:t>
      </w:r>
      <w:r>
        <w:rPr>
          <w:spacing w:val="-11"/>
        </w:rPr>
        <w:t> </w:t>
      </w:r>
      <w:r>
        <w:rPr/>
        <w:t>arrangements.</w:t>
      </w:r>
      <w:r>
        <w:rPr>
          <w:vertAlign w:val="superscript"/>
        </w:rPr>
        <w:t>738</w:t>
      </w:r>
      <w:r>
        <w:rPr>
          <w:spacing w:val="40"/>
          <w:vertAlign w:val="baseline"/>
        </w:rPr>
        <w:t> </w:t>
      </w:r>
      <w:r>
        <w:rPr>
          <w:vertAlign w:val="baseline"/>
        </w:rPr>
        <w:t>The</w:t>
      </w:r>
      <w:r>
        <w:rPr>
          <w:spacing w:val="-10"/>
          <w:vertAlign w:val="baseline"/>
        </w:rPr>
        <w:t> </w:t>
      </w:r>
      <w:r>
        <w:rPr>
          <w:vertAlign w:val="baseline"/>
        </w:rPr>
        <w:t>NIHRC</w:t>
      </w:r>
      <w:r>
        <w:rPr>
          <w:spacing w:val="-11"/>
          <w:vertAlign w:val="baseline"/>
        </w:rPr>
        <w:t> </w:t>
      </w:r>
      <w:r>
        <w:rPr>
          <w:vertAlign w:val="baseline"/>
        </w:rPr>
        <w:t>has long-standing concerns about rights protections under the Common Travel Area. Research published by NIHRC and Irish Human Rights and Equality Commission found that what limited legal underpinning it had was largely dependent on EU rights.</w:t>
      </w:r>
      <w:r>
        <w:rPr>
          <w:vertAlign w:val="superscript"/>
        </w:rPr>
        <w:t>739</w:t>
      </w:r>
      <w:r>
        <w:rPr>
          <w:vertAlign w:val="baseline"/>
        </w:rPr>
        <w:t> Rights under the EU Settlement Scheme are, by contrast,</w:t>
      </w:r>
      <w:r>
        <w:rPr>
          <w:spacing w:val="-14"/>
          <w:vertAlign w:val="baseline"/>
        </w:rPr>
        <w:t> </w:t>
      </w:r>
      <w:r>
        <w:rPr>
          <w:vertAlign w:val="baseline"/>
        </w:rPr>
        <w:t>anchored</w:t>
      </w:r>
      <w:r>
        <w:rPr>
          <w:spacing w:val="-15"/>
          <w:vertAlign w:val="baseline"/>
        </w:rPr>
        <w:t> </w:t>
      </w:r>
      <w:r>
        <w:rPr>
          <w:vertAlign w:val="baseline"/>
        </w:rPr>
        <w:t>in</w:t>
      </w:r>
      <w:r>
        <w:rPr>
          <w:spacing w:val="-15"/>
          <w:vertAlign w:val="baseline"/>
        </w:rPr>
        <w:t> </w:t>
      </w:r>
      <w:r>
        <w:rPr>
          <w:vertAlign w:val="baseline"/>
        </w:rPr>
        <w:t>an</w:t>
      </w:r>
      <w:r>
        <w:rPr>
          <w:spacing w:val="-15"/>
          <w:vertAlign w:val="baseline"/>
        </w:rPr>
        <w:t> </w:t>
      </w:r>
      <w:r>
        <w:rPr>
          <w:vertAlign w:val="baseline"/>
        </w:rPr>
        <w:t>international</w:t>
      </w:r>
      <w:r>
        <w:rPr>
          <w:spacing w:val="-15"/>
          <w:vertAlign w:val="baseline"/>
        </w:rPr>
        <w:t> </w:t>
      </w:r>
      <w:r>
        <w:rPr>
          <w:vertAlign w:val="baseline"/>
        </w:rPr>
        <w:t>treaty,</w:t>
      </w:r>
      <w:r>
        <w:rPr>
          <w:spacing w:val="-14"/>
          <w:vertAlign w:val="baseline"/>
        </w:rPr>
        <w:t> </w:t>
      </w:r>
      <w:r>
        <w:rPr>
          <w:vertAlign w:val="baseline"/>
        </w:rPr>
        <w:t>incorporated</w:t>
      </w:r>
      <w:r>
        <w:rPr>
          <w:spacing w:val="-15"/>
          <w:vertAlign w:val="baseline"/>
        </w:rPr>
        <w:t> </w:t>
      </w:r>
      <w:r>
        <w:rPr>
          <w:vertAlign w:val="baseline"/>
        </w:rPr>
        <w:t>into</w:t>
      </w:r>
      <w:r>
        <w:rPr>
          <w:spacing w:val="-15"/>
          <w:vertAlign w:val="baseline"/>
        </w:rPr>
        <w:t> </w:t>
      </w:r>
      <w:r>
        <w:rPr>
          <w:vertAlign w:val="baseline"/>
        </w:rPr>
        <w:t>domestic</w:t>
      </w:r>
      <w:r>
        <w:rPr>
          <w:spacing w:val="-14"/>
          <w:vertAlign w:val="baseline"/>
        </w:rPr>
        <w:t> </w:t>
      </w:r>
      <w:r>
        <w:rPr>
          <w:vertAlign w:val="baseline"/>
        </w:rPr>
        <w:t>law.</w:t>
      </w:r>
    </w:p>
    <w:p>
      <w:pPr>
        <w:pStyle w:val="ListParagraph"/>
        <w:numPr>
          <w:ilvl w:val="1"/>
          <w:numId w:val="13"/>
        </w:numPr>
        <w:tabs>
          <w:tab w:pos="1853" w:val="left" w:leader="none"/>
        </w:tabs>
        <w:spacing w:line="225" w:lineRule="auto" w:before="313" w:after="0"/>
        <w:ind w:left="1853" w:right="1140" w:hanging="720"/>
        <w:jc w:val="left"/>
        <w:rPr>
          <w:sz w:val="28"/>
        </w:rPr>
      </w:pPr>
      <w:r>
        <w:rPr>
          <w:sz w:val="28"/>
        </w:rPr>
        <w:t>Since</w:t>
      </w:r>
      <w:r>
        <w:rPr>
          <w:spacing w:val="-6"/>
          <w:sz w:val="28"/>
        </w:rPr>
        <w:t> </w:t>
      </w:r>
      <w:r>
        <w:rPr>
          <w:sz w:val="28"/>
        </w:rPr>
        <w:t>2021,</w:t>
      </w:r>
      <w:r>
        <w:rPr>
          <w:spacing w:val="-6"/>
          <w:sz w:val="28"/>
        </w:rPr>
        <w:t> </w:t>
      </w:r>
      <w:r>
        <w:rPr>
          <w:sz w:val="28"/>
        </w:rPr>
        <w:t>travellers</w:t>
      </w:r>
      <w:r>
        <w:rPr>
          <w:spacing w:val="-7"/>
          <w:sz w:val="28"/>
        </w:rPr>
        <w:t> </w:t>
      </w:r>
      <w:r>
        <w:rPr>
          <w:sz w:val="28"/>
        </w:rPr>
        <w:t>into</w:t>
      </w:r>
      <w:r>
        <w:rPr>
          <w:spacing w:val="-7"/>
          <w:sz w:val="28"/>
        </w:rPr>
        <w:t> </w:t>
      </w:r>
      <w:r>
        <w:rPr>
          <w:sz w:val="28"/>
        </w:rPr>
        <w:t>Great</w:t>
      </w:r>
      <w:r>
        <w:rPr>
          <w:spacing w:val="-6"/>
          <w:sz w:val="28"/>
        </w:rPr>
        <w:t> </w:t>
      </w:r>
      <w:r>
        <w:rPr>
          <w:sz w:val="28"/>
        </w:rPr>
        <w:t>Britain</w:t>
      </w:r>
      <w:r>
        <w:rPr>
          <w:spacing w:val="-7"/>
          <w:sz w:val="28"/>
        </w:rPr>
        <w:t> </w:t>
      </w:r>
      <w:r>
        <w:rPr>
          <w:sz w:val="28"/>
        </w:rPr>
        <w:t>from</w:t>
      </w:r>
      <w:r>
        <w:rPr>
          <w:spacing w:val="-6"/>
          <w:sz w:val="28"/>
        </w:rPr>
        <w:t> </w:t>
      </w:r>
      <w:r>
        <w:rPr>
          <w:sz w:val="28"/>
        </w:rPr>
        <w:t>Ireland</w:t>
      </w:r>
      <w:r>
        <w:rPr>
          <w:spacing w:val="-7"/>
          <w:sz w:val="28"/>
        </w:rPr>
        <w:t> </w:t>
      </w:r>
      <w:r>
        <w:rPr>
          <w:sz w:val="28"/>
        </w:rPr>
        <w:t>need</w:t>
      </w:r>
      <w:r>
        <w:rPr>
          <w:spacing w:val="-7"/>
          <w:sz w:val="28"/>
        </w:rPr>
        <w:t> </w:t>
      </w:r>
      <w:r>
        <w:rPr>
          <w:sz w:val="28"/>
        </w:rPr>
        <w:t>not</w:t>
      </w:r>
      <w:r>
        <w:rPr>
          <w:spacing w:val="-6"/>
          <w:sz w:val="28"/>
        </w:rPr>
        <w:t> </w:t>
      </w:r>
      <w:r>
        <w:rPr>
          <w:sz w:val="28"/>
        </w:rPr>
        <w:t>show</w:t>
      </w:r>
      <w:r>
        <w:rPr>
          <w:spacing w:val="-6"/>
          <w:sz w:val="28"/>
        </w:rPr>
        <w:t> </w:t>
      </w:r>
      <w:r>
        <w:rPr>
          <w:sz w:val="28"/>
        </w:rPr>
        <w:t>a</w:t>
      </w:r>
      <w:r>
        <w:rPr>
          <w:spacing w:val="-7"/>
          <w:sz w:val="28"/>
        </w:rPr>
        <w:t> </w:t>
      </w:r>
      <w:r>
        <w:rPr>
          <w:sz w:val="28"/>
        </w:rPr>
        <w:t>passport to a Border Force officer but may be asked to show a document confirming their identity and nationality.</w:t>
      </w:r>
      <w:r>
        <w:rPr>
          <w:sz w:val="28"/>
          <w:vertAlign w:val="superscript"/>
        </w:rPr>
        <w:t>740</w:t>
      </w:r>
      <w:r>
        <w:rPr>
          <w:sz w:val="28"/>
          <w:vertAlign w:val="baseline"/>
        </w:rPr>
        <w:t> European Economic Area and Swiss citizens may be asked to show their passport or identity card to enter Great Britain when travelling from Ireland if they are encountered by Border Force.</w:t>
      </w:r>
    </w:p>
    <w:p>
      <w:pPr>
        <w:pStyle w:val="ListParagraph"/>
        <w:numPr>
          <w:ilvl w:val="1"/>
          <w:numId w:val="13"/>
        </w:numPr>
        <w:tabs>
          <w:tab w:pos="1853" w:val="left" w:leader="none"/>
        </w:tabs>
        <w:spacing w:line="225" w:lineRule="auto" w:before="313" w:after="0"/>
        <w:ind w:left="1853" w:right="1532" w:hanging="720"/>
        <w:jc w:val="left"/>
        <w:rPr>
          <w:sz w:val="28"/>
        </w:rPr>
      </w:pPr>
      <w:r>
        <w:rPr>
          <w:sz w:val="28"/>
        </w:rPr>
        <w:t>Following</w:t>
      </w:r>
      <w:r>
        <w:rPr>
          <w:spacing w:val="-6"/>
          <w:sz w:val="28"/>
        </w:rPr>
        <w:t> </w:t>
      </w:r>
      <w:r>
        <w:rPr>
          <w:sz w:val="28"/>
        </w:rPr>
        <w:t>research</w:t>
      </w:r>
      <w:r>
        <w:rPr>
          <w:spacing w:val="-7"/>
          <w:sz w:val="28"/>
        </w:rPr>
        <w:t> </w:t>
      </w:r>
      <w:r>
        <w:rPr>
          <w:sz w:val="28"/>
        </w:rPr>
        <w:t>published</w:t>
      </w:r>
      <w:r>
        <w:rPr>
          <w:spacing w:val="-7"/>
          <w:sz w:val="28"/>
        </w:rPr>
        <w:t> </w:t>
      </w:r>
      <w:r>
        <w:rPr>
          <w:sz w:val="28"/>
        </w:rPr>
        <w:t>in</w:t>
      </w:r>
      <w:r>
        <w:rPr>
          <w:spacing w:val="-7"/>
          <w:sz w:val="28"/>
        </w:rPr>
        <w:t> </w:t>
      </w:r>
      <w:r>
        <w:rPr>
          <w:sz w:val="28"/>
        </w:rPr>
        <w:t>2022</w:t>
      </w:r>
      <w:r>
        <w:rPr>
          <w:spacing w:val="-6"/>
          <w:sz w:val="28"/>
        </w:rPr>
        <w:t> </w:t>
      </w:r>
      <w:r>
        <w:rPr>
          <w:sz w:val="28"/>
        </w:rPr>
        <w:t>which</w:t>
      </w:r>
      <w:r>
        <w:rPr>
          <w:spacing w:val="-7"/>
          <w:sz w:val="28"/>
        </w:rPr>
        <w:t> </w:t>
      </w:r>
      <w:r>
        <w:rPr>
          <w:sz w:val="28"/>
        </w:rPr>
        <w:t>identified</w:t>
      </w:r>
      <w:r>
        <w:rPr>
          <w:spacing w:val="-7"/>
          <w:sz w:val="28"/>
        </w:rPr>
        <w:t> </w:t>
      </w:r>
      <w:r>
        <w:rPr>
          <w:sz w:val="28"/>
        </w:rPr>
        <w:t>a</w:t>
      </w:r>
      <w:r>
        <w:rPr>
          <w:spacing w:val="-7"/>
          <w:sz w:val="28"/>
        </w:rPr>
        <w:t> </w:t>
      </w:r>
      <w:r>
        <w:rPr>
          <w:sz w:val="28"/>
        </w:rPr>
        <w:t>range</w:t>
      </w:r>
      <w:r>
        <w:rPr>
          <w:spacing w:val="-6"/>
          <w:sz w:val="28"/>
        </w:rPr>
        <w:t> </w:t>
      </w:r>
      <w:r>
        <w:rPr>
          <w:sz w:val="28"/>
        </w:rPr>
        <w:t>of</w:t>
      </w:r>
      <w:r>
        <w:rPr>
          <w:spacing w:val="-7"/>
          <w:sz w:val="28"/>
        </w:rPr>
        <w:t> </w:t>
      </w:r>
      <w:r>
        <w:rPr>
          <w:sz w:val="28"/>
        </w:rPr>
        <w:t>significant concerns,</w:t>
      </w:r>
      <w:r>
        <w:rPr>
          <w:sz w:val="28"/>
          <w:vertAlign w:val="superscript"/>
        </w:rPr>
        <w:t>741</w:t>
      </w:r>
      <w:r>
        <w:rPr>
          <w:sz w:val="28"/>
          <w:vertAlign w:val="baseline"/>
        </w:rPr>
        <w:t> in September 2023, the NIHRC published a briefing on access to healthcare in NI and on the island of Ireland after the UK’s withdrawal from the EU.</w:t>
      </w:r>
      <w:r>
        <w:rPr>
          <w:sz w:val="28"/>
          <w:vertAlign w:val="superscript"/>
        </w:rPr>
        <w:t>742</w:t>
      </w:r>
      <w:r>
        <w:rPr>
          <w:sz w:val="28"/>
          <w:vertAlign w:val="baseline"/>
        </w:rPr>
        <w:t> The NIHRC made several recommendations, including that the Common Travel Area and associated rights are enshrined in law by a</w:t>
      </w:r>
    </w:p>
    <w:p>
      <w:pPr>
        <w:pStyle w:val="BodyText"/>
        <w:spacing w:line="225" w:lineRule="auto"/>
        <w:ind w:left="1853" w:right="1140"/>
      </w:pPr>
      <w:r>
        <w:rPr/>
        <w:t>comprehensive</w:t>
      </w:r>
      <w:r>
        <w:rPr>
          <w:spacing w:val="-9"/>
        </w:rPr>
        <w:t> </w:t>
      </w:r>
      <w:r>
        <w:rPr/>
        <w:t>bilateral</w:t>
      </w:r>
      <w:r>
        <w:rPr>
          <w:spacing w:val="-10"/>
        </w:rPr>
        <w:t> </w:t>
      </w:r>
      <w:r>
        <w:rPr/>
        <w:t>treaty</w:t>
      </w:r>
      <w:r>
        <w:rPr>
          <w:spacing w:val="-9"/>
        </w:rPr>
        <w:t> </w:t>
      </w:r>
      <w:r>
        <w:rPr/>
        <w:t>and</w:t>
      </w:r>
      <w:r>
        <w:rPr>
          <w:spacing w:val="-10"/>
        </w:rPr>
        <w:t> </w:t>
      </w:r>
      <w:r>
        <w:rPr/>
        <w:t>incorporated</w:t>
      </w:r>
      <w:r>
        <w:rPr>
          <w:spacing w:val="-10"/>
        </w:rPr>
        <w:t> </w:t>
      </w:r>
      <w:r>
        <w:rPr/>
        <w:t>into</w:t>
      </w:r>
      <w:r>
        <w:rPr>
          <w:spacing w:val="-10"/>
        </w:rPr>
        <w:t> </w:t>
      </w:r>
      <w:r>
        <w:rPr/>
        <w:t>domestic</w:t>
      </w:r>
      <w:r>
        <w:rPr>
          <w:spacing w:val="-9"/>
        </w:rPr>
        <w:t> </w:t>
      </w:r>
      <w:r>
        <w:rPr/>
        <w:t>legislation;</w:t>
      </w:r>
      <w:r>
        <w:rPr>
          <w:spacing w:val="-9"/>
        </w:rPr>
        <w:t> </w:t>
      </w:r>
      <w:r>
        <w:rPr/>
        <w:t>and that</w:t>
      </w:r>
      <w:r>
        <w:rPr>
          <w:spacing w:val="-12"/>
        </w:rPr>
        <w:t> </w:t>
      </w:r>
      <w:r>
        <w:rPr/>
        <w:t>the</w:t>
      </w:r>
      <w:r>
        <w:rPr>
          <w:spacing w:val="-12"/>
        </w:rPr>
        <w:t> </w:t>
      </w:r>
      <w:r>
        <w:rPr/>
        <w:t>residency</w:t>
      </w:r>
      <w:r>
        <w:rPr>
          <w:spacing w:val="-12"/>
        </w:rPr>
        <w:t> </w:t>
      </w:r>
      <w:r>
        <w:rPr/>
        <w:t>requirements</w:t>
      </w:r>
      <w:r>
        <w:rPr>
          <w:spacing w:val="-12"/>
        </w:rPr>
        <w:t> </w:t>
      </w:r>
      <w:r>
        <w:rPr/>
        <w:t>for</w:t>
      </w:r>
      <w:r>
        <w:rPr>
          <w:spacing w:val="-12"/>
        </w:rPr>
        <w:t> </w:t>
      </w:r>
      <w:r>
        <w:rPr/>
        <w:t>Common</w:t>
      </w:r>
      <w:r>
        <w:rPr>
          <w:spacing w:val="-12"/>
        </w:rPr>
        <w:t> </w:t>
      </w:r>
      <w:r>
        <w:rPr/>
        <w:t>Travel</w:t>
      </w:r>
      <w:r>
        <w:rPr>
          <w:spacing w:val="-12"/>
        </w:rPr>
        <w:t> </w:t>
      </w:r>
      <w:r>
        <w:rPr/>
        <w:t>Area</w:t>
      </w:r>
      <w:r>
        <w:rPr>
          <w:spacing w:val="-12"/>
        </w:rPr>
        <w:t> </w:t>
      </w:r>
      <w:r>
        <w:rPr/>
        <w:t>entitlements</w:t>
      </w:r>
      <w:r>
        <w:rPr>
          <w:spacing w:val="-12"/>
        </w:rPr>
        <w:t> </w:t>
      </w:r>
      <w:r>
        <w:rPr/>
        <w:t>relating to cross-border and all-island healthcare are reviewed to ensure that the</w:t>
      </w:r>
      <w:r>
        <w:rPr/>
        <w:t> rights of access are clear, comprehensible and generous.</w:t>
      </w:r>
      <w:r>
        <w:rPr>
          <w:vertAlign w:val="superscript"/>
        </w:rPr>
        <w:t>743</w:t>
      </w:r>
    </w:p>
    <w:p>
      <w:pPr>
        <w:pStyle w:val="Heading5"/>
        <w:spacing w:before="293"/>
        <w:ind w:left="1133" w:firstLine="0"/>
      </w:pPr>
      <w:bookmarkStart w:name="Electronic Travel Authorisations" w:id="109"/>
      <w:bookmarkEnd w:id="109"/>
      <w:r>
        <w:rPr>
          <w:b w:val="0"/>
        </w:rPr>
      </w:r>
      <w:r>
        <w:rPr>
          <w:color w:val="393B80"/>
          <w:spacing w:val="-2"/>
        </w:rPr>
        <w:t>Electronic</w:t>
      </w:r>
      <w:r>
        <w:rPr>
          <w:color w:val="393B80"/>
          <w:spacing w:val="-6"/>
        </w:rPr>
        <w:t> </w:t>
      </w:r>
      <w:r>
        <w:rPr>
          <w:color w:val="393B80"/>
          <w:spacing w:val="-2"/>
        </w:rPr>
        <w:t>Travel</w:t>
      </w:r>
      <w:r>
        <w:rPr>
          <w:color w:val="393B80"/>
          <w:spacing w:val="-4"/>
        </w:rPr>
        <w:t> </w:t>
      </w:r>
      <w:r>
        <w:rPr>
          <w:color w:val="393B80"/>
          <w:spacing w:val="-2"/>
        </w:rPr>
        <w:t>Authorisations</w:t>
      </w:r>
    </w:p>
    <w:p>
      <w:pPr>
        <w:pStyle w:val="ListParagraph"/>
        <w:numPr>
          <w:ilvl w:val="1"/>
          <w:numId w:val="13"/>
        </w:numPr>
        <w:tabs>
          <w:tab w:pos="1853" w:val="left" w:leader="none"/>
        </w:tabs>
        <w:spacing w:line="225" w:lineRule="auto" w:before="330" w:after="0"/>
        <w:ind w:left="1853" w:right="1265" w:hanging="720"/>
        <w:jc w:val="left"/>
        <w:rPr>
          <w:sz w:val="28"/>
        </w:rPr>
      </w:pPr>
      <w:r>
        <w:rPr>
          <w:sz w:val="28"/>
        </w:rPr>
        <w:t>The</w:t>
      </w:r>
      <w:r>
        <w:rPr>
          <w:spacing w:val="-11"/>
          <w:sz w:val="28"/>
        </w:rPr>
        <w:t> </w:t>
      </w:r>
      <w:r>
        <w:rPr>
          <w:sz w:val="28"/>
        </w:rPr>
        <w:t>Nationality</w:t>
      </w:r>
      <w:r>
        <w:rPr>
          <w:spacing w:val="-11"/>
          <w:sz w:val="28"/>
        </w:rPr>
        <w:t> </w:t>
      </w:r>
      <w:r>
        <w:rPr>
          <w:sz w:val="28"/>
        </w:rPr>
        <w:t>and</w:t>
      </w:r>
      <w:r>
        <w:rPr>
          <w:spacing w:val="-11"/>
          <w:sz w:val="28"/>
        </w:rPr>
        <w:t> </w:t>
      </w:r>
      <w:r>
        <w:rPr>
          <w:sz w:val="28"/>
        </w:rPr>
        <w:t>Borders</w:t>
      </w:r>
      <w:r>
        <w:rPr>
          <w:spacing w:val="-11"/>
          <w:sz w:val="28"/>
        </w:rPr>
        <w:t> </w:t>
      </w:r>
      <w:r>
        <w:rPr>
          <w:sz w:val="28"/>
        </w:rPr>
        <w:t>Act</w:t>
      </w:r>
      <w:r>
        <w:rPr>
          <w:spacing w:val="-11"/>
          <w:sz w:val="28"/>
        </w:rPr>
        <w:t> </w:t>
      </w:r>
      <w:r>
        <w:rPr>
          <w:sz w:val="28"/>
        </w:rPr>
        <w:t>provided</w:t>
      </w:r>
      <w:r>
        <w:rPr>
          <w:spacing w:val="-11"/>
          <w:sz w:val="28"/>
        </w:rPr>
        <w:t> </w:t>
      </w:r>
      <w:r>
        <w:rPr>
          <w:sz w:val="28"/>
        </w:rPr>
        <w:t>for</w:t>
      </w:r>
      <w:r>
        <w:rPr>
          <w:spacing w:val="-11"/>
          <w:sz w:val="28"/>
        </w:rPr>
        <w:t> </w:t>
      </w:r>
      <w:r>
        <w:rPr>
          <w:sz w:val="28"/>
        </w:rPr>
        <w:t>Electronic</w:t>
      </w:r>
      <w:r>
        <w:rPr>
          <w:spacing w:val="-11"/>
          <w:sz w:val="28"/>
        </w:rPr>
        <w:t> </w:t>
      </w:r>
      <w:r>
        <w:rPr>
          <w:sz w:val="28"/>
        </w:rPr>
        <w:t>Travel</w:t>
      </w:r>
      <w:r>
        <w:rPr>
          <w:spacing w:val="-11"/>
          <w:sz w:val="28"/>
        </w:rPr>
        <w:t> </w:t>
      </w:r>
      <w:r>
        <w:rPr>
          <w:sz w:val="28"/>
        </w:rPr>
        <w:t>Authorisations, which will be required for all non-British citizens who require leave to enter the UK when travelling from Ireland to the UK. Irish citizens are excluded as individuals not requiring leave to enter the UK.</w:t>
      </w:r>
      <w:r>
        <w:rPr>
          <w:sz w:val="28"/>
          <w:vertAlign w:val="superscript"/>
        </w:rPr>
        <w:t>744</w:t>
      </w:r>
      <w:r>
        <w:rPr>
          <w:sz w:val="28"/>
          <w:vertAlign w:val="baseline"/>
        </w:rPr>
        <w:t> The permission of British and Irish citizens to travel “will be their nationality, demonstrated by their </w:t>
      </w:r>
      <w:r>
        <w:rPr>
          <w:spacing w:val="-2"/>
          <w:sz w:val="28"/>
          <w:vertAlign w:val="baseline"/>
        </w:rPr>
        <w:t>passports”.</w:t>
      </w:r>
      <w:r>
        <w:rPr>
          <w:spacing w:val="-2"/>
          <w:sz w:val="28"/>
          <w:vertAlign w:val="superscript"/>
        </w:rPr>
        <w:t>745</w:t>
      </w:r>
    </w:p>
    <w:p>
      <w:pPr>
        <w:pStyle w:val="ListParagraph"/>
        <w:numPr>
          <w:ilvl w:val="1"/>
          <w:numId w:val="13"/>
        </w:numPr>
        <w:tabs>
          <w:tab w:pos="1853" w:val="left" w:leader="none"/>
        </w:tabs>
        <w:spacing w:line="225" w:lineRule="auto" w:before="312" w:after="0"/>
        <w:ind w:left="1853" w:right="1434" w:hanging="720"/>
        <w:jc w:val="left"/>
        <w:rPr>
          <w:sz w:val="28"/>
        </w:rPr>
      </w:pPr>
      <w:r>
        <w:rPr>
          <w:sz w:val="28"/>
        </w:rPr>
        <w:t>In 2021, the NIHRC wrote to the Home Secretary, to raise concerns about proposals</w:t>
      </w:r>
      <w:r>
        <w:rPr>
          <w:spacing w:val="-16"/>
          <w:sz w:val="28"/>
        </w:rPr>
        <w:t> </w:t>
      </w:r>
      <w:r>
        <w:rPr>
          <w:sz w:val="28"/>
        </w:rPr>
        <w:t>to</w:t>
      </w:r>
      <w:r>
        <w:rPr>
          <w:spacing w:val="-16"/>
          <w:sz w:val="28"/>
        </w:rPr>
        <w:t> </w:t>
      </w:r>
      <w:r>
        <w:rPr>
          <w:sz w:val="28"/>
        </w:rPr>
        <w:t>introduce</w:t>
      </w:r>
      <w:r>
        <w:rPr>
          <w:spacing w:val="-16"/>
          <w:sz w:val="28"/>
        </w:rPr>
        <w:t> </w:t>
      </w:r>
      <w:r>
        <w:rPr>
          <w:sz w:val="28"/>
        </w:rPr>
        <w:t>Electronic</w:t>
      </w:r>
      <w:r>
        <w:rPr>
          <w:spacing w:val="-16"/>
          <w:sz w:val="28"/>
        </w:rPr>
        <w:t> </w:t>
      </w:r>
      <w:r>
        <w:rPr>
          <w:sz w:val="28"/>
        </w:rPr>
        <w:t>Travel</w:t>
      </w:r>
      <w:r>
        <w:rPr>
          <w:spacing w:val="-16"/>
          <w:sz w:val="28"/>
        </w:rPr>
        <w:t> </w:t>
      </w:r>
      <w:r>
        <w:rPr>
          <w:sz w:val="28"/>
        </w:rPr>
        <w:t>Authorisations.</w:t>
      </w:r>
      <w:r>
        <w:rPr>
          <w:sz w:val="28"/>
          <w:vertAlign w:val="superscript"/>
        </w:rPr>
        <w:t>746</w:t>
      </w:r>
      <w:r>
        <w:rPr>
          <w:spacing w:val="-15"/>
          <w:sz w:val="28"/>
          <w:vertAlign w:val="baseline"/>
        </w:rPr>
        <w:t> </w:t>
      </w:r>
      <w:r>
        <w:rPr>
          <w:sz w:val="28"/>
          <w:vertAlign w:val="baseline"/>
        </w:rPr>
        <w:t>The</w:t>
      </w:r>
      <w:r>
        <w:rPr>
          <w:spacing w:val="-16"/>
          <w:sz w:val="28"/>
          <w:vertAlign w:val="baseline"/>
        </w:rPr>
        <w:t> </w:t>
      </w:r>
      <w:r>
        <w:rPr>
          <w:sz w:val="28"/>
          <w:vertAlign w:val="baseline"/>
        </w:rPr>
        <w:t>letter</w:t>
      </w:r>
      <w:r>
        <w:rPr>
          <w:spacing w:val="-16"/>
          <w:sz w:val="28"/>
          <w:vertAlign w:val="baseline"/>
        </w:rPr>
        <w:t> </w:t>
      </w:r>
      <w:r>
        <w:rPr>
          <w:sz w:val="28"/>
          <w:vertAlign w:val="baseline"/>
        </w:rPr>
        <w:t>advised</w:t>
      </w:r>
    </w:p>
    <w:p>
      <w:pPr>
        <w:pStyle w:val="BodyText"/>
        <w:spacing w:before="89"/>
        <w:rPr>
          <w:sz w:val="20"/>
        </w:rPr>
      </w:pPr>
      <w:r>
        <w:rPr/>
        <mc:AlternateContent>
          <mc:Choice Requires="wps">
            <w:drawing>
              <wp:anchor distT="0" distB="0" distL="0" distR="0" allowOverlap="1" layoutInCell="1" locked="0" behindDoc="1" simplePos="0" relativeHeight="487711744">
                <wp:simplePos x="0" y="0"/>
                <wp:positionH relativeFrom="page">
                  <wp:posOffset>719996</wp:posOffset>
                </wp:positionH>
                <wp:positionV relativeFrom="paragraph">
                  <wp:posOffset>227080</wp:posOffset>
                </wp:positionV>
                <wp:extent cx="6120130" cy="1270"/>
                <wp:effectExtent l="0" t="0" r="0" b="0"/>
                <wp:wrapTopAndBottom/>
                <wp:docPr id="558" name="Graphic 558"/>
                <wp:cNvGraphicFramePr>
                  <a:graphicFrameLocks/>
                </wp:cNvGraphicFramePr>
                <a:graphic>
                  <a:graphicData uri="http://schemas.microsoft.com/office/word/2010/wordprocessingShape">
                    <wps:wsp>
                      <wps:cNvPr id="558" name="Graphic 558"/>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7.880325pt;width:481.9pt;height:.1pt;mso-position-horizontal-relative:page;mso-position-vertical-relative:paragraph;z-index:-15604736;mso-wrap-distance-left:0;mso-wrap-distance-right:0" id="docshape503" coordorigin="1134,358" coordsize="9638,0" path="m10772,358l1134,358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18" w:lineRule="exact" w:before="117" w:after="0"/>
        <w:ind w:left="1853" w:right="0" w:hanging="720"/>
        <w:jc w:val="left"/>
        <w:rPr>
          <w:sz w:val="18"/>
        </w:rPr>
      </w:pPr>
      <w:r>
        <w:rPr>
          <w:sz w:val="18"/>
        </w:rPr>
        <w:t>Home</w:t>
      </w:r>
      <w:r>
        <w:rPr>
          <w:spacing w:val="-7"/>
          <w:sz w:val="18"/>
        </w:rPr>
        <w:t> </w:t>
      </w:r>
      <w:r>
        <w:rPr>
          <w:sz w:val="18"/>
        </w:rPr>
        <w:t>Office,</w:t>
      </w:r>
      <w:r>
        <w:rPr>
          <w:spacing w:val="-6"/>
          <w:sz w:val="18"/>
        </w:rPr>
        <w:t> </w:t>
      </w:r>
      <w:r>
        <w:rPr>
          <w:sz w:val="18"/>
        </w:rPr>
        <w:t>‘Common</w:t>
      </w:r>
      <w:r>
        <w:rPr>
          <w:spacing w:val="-7"/>
          <w:sz w:val="18"/>
        </w:rPr>
        <w:t> </w:t>
      </w:r>
      <w:r>
        <w:rPr>
          <w:sz w:val="18"/>
        </w:rPr>
        <w:t>Travel</w:t>
      </w:r>
      <w:r>
        <w:rPr>
          <w:spacing w:val="-7"/>
          <w:sz w:val="18"/>
        </w:rPr>
        <w:t> </w:t>
      </w:r>
      <w:r>
        <w:rPr>
          <w:sz w:val="18"/>
        </w:rPr>
        <w:t>Area</w:t>
      </w:r>
      <w:r>
        <w:rPr>
          <w:spacing w:val="-7"/>
          <w:sz w:val="18"/>
        </w:rPr>
        <w:t> </w:t>
      </w:r>
      <w:r>
        <w:rPr>
          <w:sz w:val="18"/>
        </w:rPr>
        <w:t>Guidance’</w:t>
      </w:r>
      <w:r>
        <w:rPr>
          <w:spacing w:val="-6"/>
          <w:sz w:val="18"/>
        </w:rPr>
        <w:t> </w:t>
      </w:r>
      <w:r>
        <w:rPr>
          <w:sz w:val="18"/>
        </w:rPr>
        <w:t>(HO,</w:t>
      </w:r>
      <w:r>
        <w:rPr>
          <w:spacing w:val="-6"/>
          <w:sz w:val="18"/>
        </w:rPr>
        <w:t> </w:t>
      </w:r>
      <w:r>
        <w:rPr>
          <w:sz w:val="18"/>
        </w:rPr>
        <w:t>2021),</w:t>
      </w:r>
      <w:r>
        <w:rPr>
          <w:spacing w:val="-6"/>
          <w:sz w:val="18"/>
        </w:rPr>
        <w:t> </w:t>
      </w:r>
      <w:r>
        <w:rPr>
          <w:sz w:val="18"/>
        </w:rPr>
        <w:t>at</w:t>
      </w:r>
      <w:r>
        <w:rPr>
          <w:spacing w:val="-6"/>
          <w:sz w:val="18"/>
        </w:rPr>
        <w:t> </w:t>
      </w:r>
      <w:r>
        <w:rPr>
          <w:sz w:val="18"/>
        </w:rPr>
        <w:t>section</w:t>
      </w:r>
      <w:r>
        <w:rPr>
          <w:spacing w:val="-7"/>
          <w:sz w:val="18"/>
        </w:rPr>
        <w:t> </w:t>
      </w:r>
      <w:r>
        <w:rPr>
          <w:spacing w:val="-5"/>
          <w:sz w:val="18"/>
        </w:rPr>
        <w:t>8A.</w:t>
      </w:r>
    </w:p>
    <w:p>
      <w:pPr>
        <w:pStyle w:val="ListParagraph"/>
        <w:numPr>
          <w:ilvl w:val="0"/>
          <w:numId w:val="11"/>
        </w:numPr>
        <w:tabs>
          <w:tab w:pos="1853" w:val="left" w:leader="none"/>
        </w:tabs>
        <w:spacing w:line="235" w:lineRule="auto" w:before="1" w:after="0"/>
        <w:ind w:left="1853" w:right="1764" w:hanging="720"/>
        <w:jc w:val="left"/>
        <w:rPr>
          <w:sz w:val="18"/>
        </w:rPr>
      </w:pPr>
      <w:r>
        <w:rPr>
          <w:sz w:val="18"/>
        </w:rPr>
        <w:t>Sylvia</w:t>
      </w:r>
      <w:r>
        <w:rPr>
          <w:spacing w:val="-7"/>
          <w:sz w:val="18"/>
        </w:rPr>
        <w:t> </w:t>
      </w:r>
      <w:r>
        <w:rPr>
          <w:sz w:val="18"/>
        </w:rPr>
        <w:t>de</w:t>
      </w:r>
      <w:r>
        <w:rPr>
          <w:spacing w:val="-6"/>
          <w:sz w:val="18"/>
        </w:rPr>
        <w:t> </w:t>
      </w:r>
      <w:r>
        <w:rPr>
          <w:sz w:val="18"/>
        </w:rPr>
        <w:t>Mars,</w:t>
      </w:r>
      <w:r>
        <w:rPr>
          <w:spacing w:val="-6"/>
          <w:sz w:val="18"/>
        </w:rPr>
        <w:t> </w:t>
      </w:r>
      <w:r>
        <w:rPr>
          <w:sz w:val="18"/>
        </w:rPr>
        <w:t>Colin</w:t>
      </w:r>
      <w:r>
        <w:rPr>
          <w:spacing w:val="-7"/>
          <w:sz w:val="18"/>
        </w:rPr>
        <w:t> </w:t>
      </w:r>
      <w:r>
        <w:rPr>
          <w:sz w:val="18"/>
        </w:rPr>
        <w:t>Murray,</w:t>
      </w:r>
      <w:r>
        <w:rPr>
          <w:spacing w:val="-6"/>
          <w:sz w:val="18"/>
        </w:rPr>
        <w:t> </w:t>
      </w:r>
      <w:r>
        <w:rPr>
          <w:sz w:val="18"/>
        </w:rPr>
        <w:t>Aoife</w:t>
      </w:r>
      <w:r>
        <w:rPr>
          <w:spacing w:val="-6"/>
          <w:sz w:val="18"/>
        </w:rPr>
        <w:t> </w:t>
      </w:r>
      <w:r>
        <w:rPr>
          <w:sz w:val="18"/>
        </w:rPr>
        <w:t>O’Donoghue</w:t>
      </w:r>
      <w:r>
        <w:rPr>
          <w:spacing w:val="-6"/>
          <w:sz w:val="18"/>
        </w:rPr>
        <w:t> </w:t>
      </w:r>
      <w:r>
        <w:rPr>
          <w:sz w:val="18"/>
        </w:rPr>
        <w:t>and</w:t>
      </w:r>
      <w:r>
        <w:rPr>
          <w:spacing w:val="-7"/>
          <w:sz w:val="18"/>
        </w:rPr>
        <w:t> </w:t>
      </w:r>
      <w:r>
        <w:rPr>
          <w:sz w:val="18"/>
        </w:rPr>
        <w:t>Ben</w:t>
      </w:r>
      <w:r>
        <w:rPr>
          <w:spacing w:val="-7"/>
          <w:sz w:val="18"/>
        </w:rPr>
        <w:t> </w:t>
      </w:r>
      <w:r>
        <w:rPr>
          <w:sz w:val="18"/>
        </w:rPr>
        <w:t>Warwick,</w:t>
      </w:r>
      <w:r>
        <w:rPr>
          <w:spacing w:val="-6"/>
          <w:sz w:val="18"/>
        </w:rPr>
        <w:t> </w:t>
      </w:r>
      <w:r>
        <w:rPr>
          <w:sz w:val="18"/>
        </w:rPr>
        <w:t>‘Discussion</w:t>
      </w:r>
      <w:r>
        <w:rPr>
          <w:spacing w:val="-7"/>
          <w:sz w:val="18"/>
        </w:rPr>
        <w:t> </w:t>
      </w:r>
      <w:r>
        <w:rPr>
          <w:sz w:val="18"/>
        </w:rPr>
        <w:t>Paper</w:t>
      </w:r>
      <w:r>
        <w:rPr>
          <w:spacing w:val="-6"/>
          <w:sz w:val="18"/>
        </w:rPr>
        <w:t> </w:t>
      </w:r>
      <w:r>
        <w:rPr>
          <w:sz w:val="18"/>
        </w:rPr>
        <w:t>on</w:t>
      </w:r>
      <w:r>
        <w:rPr>
          <w:spacing w:val="-7"/>
          <w:sz w:val="18"/>
        </w:rPr>
        <w:t> </w:t>
      </w:r>
      <w:r>
        <w:rPr>
          <w:sz w:val="18"/>
        </w:rPr>
        <w:t>the</w:t>
      </w:r>
      <w:r>
        <w:rPr>
          <w:spacing w:val="-6"/>
          <w:sz w:val="18"/>
        </w:rPr>
        <w:t> </w:t>
      </w:r>
      <w:r>
        <w:rPr>
          <w:sz w:val="18"/>
        </w:rPr>
        <w:t>Common</w:t>
      </w:r>
      <w:r>
        <w:rPr>
          <w:spacing w:val="-7"/>
          <w:sz w:val="18"/>
        </w:rPr>
        <w:t> </w:t>
      </w:r>
      <w:r>
        <w:rPr>
          <w:sz w:val="18"/>
        </w:rPr>
        <w:t>Travel</w:t>
      </w:r>
      <w:r>
        <w:rPr>
          <w:spacing w:val="-7"/>
          <w:sz w:val="18"/>
        </w:rPr>
        <w:t> </w:t>
      </w:r>
      <w:r>
        <w:rPr>
          <w:sz w:val="18"/>
        </w:rPr>
        <w:t>Area’ (IHREC and NIHRC, 2018).</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Cabinet</w:t>
      </w:r>
      <w:r>
        <w:rPr>
          <w:spacing w:val="-6"/>
          <w:sz w:val="18"/>
        </w:rPr>
        <w:t> </w:t>
      </w:r>
      <w:r>
        <w:rPr>
          <w:sz w:val="18"/>
        </w:rPr>
        <w:t>Office</w:t>
      </w:r>
      <w:r>
        <w:rPr>
          <w:spacing w:val="-5"/>
          <w:sz w:val="18"/>
        </w:rPr>
        <w:t> </w:t>
      </w:r>
      <w:r>
        <w:rPr>
          <w:sz w:val="18"/>
        </w:rPr>
        <w:t>and</w:t>
      </w:r>
      <w:r>
        <w:rPr>
          <w:spacing w:val="-6"/>
          <w:sz w:val="18"/>
        </w:rPr>
        <w:t> </w:t>
      </w:r>
      <w:r>
        <w:rPr>
          <w:sz w:val="18"/>
        </w:rPr>
        <w:t>Home</w:t>
      </w:r>
      <w:r>
        <w:rPr>
          <w:spacing w:val="-6"/>
          <w:sz w:val="18"/>
        </w:rPr>
        <w:t> </w:t>
      </w:r>
      <w:r>
        <w:rPr>
          <w:sz w:val="18"/>
        </w:rPr>
        <w:t>Office,</w:t>
      </w:r>
      <w:r>
        <w:rPr>
          <w:spacing w:val="-5"/>
          <w:sz w:val="18"/>
        </w:rPr>
        <w:t> </w:t>
      </w:r>
      <w:r>
        <w:rPr>
          <w:sz w:val="18"/>
        </w:rPr>
        <w:t>‘Common</w:t>
      </w:r>
      <w:r>
        <w:rPr>
          <w:spacing w:val="-6"/>
          <w:sz w:val="18"/>
        </w:rPr>
        <w:t> </w:t>
      </w:r>
      <w:r>
        <w:rPr>
          <w:sz w:val="18"/>
        </w:rPr>
        <w:t>Travel</w:t>
      </w:r>
      <w:r>
        <w:rPr>
          <w:spacing w:val="-7"/>
          <w:sz w:val="18"/>
        </w:rPr>
        <w:t> </w:t>
      </w:r>
      <w:r>
        <w:rPr>
          <w:sz w:val="18"/>
        </w:rPr>
        <w:t>Area</w:t>
      </w:r>
      <w:r>
        <w:rPr>
          <w:spacing w:val="-6"/>
          <w:sz w:val="18"/>
        </w:rPr>
        <w:t> </w:t>
      </w:r>
      <w:r>
        <w:rPr>
          <w:sz w:val="18"/>
        </w:rPr>
        <w:t>Guidance’</w:t>
      </w:r>
      <w:r>
        <w:rPr>
          <w:spacing w:val="-5"/>
          <w:sz w:val="18"/>
        </w:rPr>
        <w:t> </w:t>
      </w:r>
      <w:r>
        <w:rPr>
          <w:sz w:val="18"/>
        </w:rPr>
        <w:t>(CO</w:t>
      </w:r>
      <w:r>
        <w:rPr>
          <w:spacing w:val="-6"/>
          <w:sz w:val="18"/>
        </w:rPr>
        <w:t> </w:t>
      </w:r>
      <w:r>
        <w:rPr>
          <w:sz w:val="18"/>
        </w:rPr>
        <w:t>and</w:t>
      </w:r>
      <w:r>
        <w:rPr>
          <w:spacing w:val="-6"/>
          <w:sz w:val="18"/>
        </w:rPr>
        <w:t> </w:t>
      </w:r>
      <w:r>
        <w:rPr>
          <w:sz w:val="18"/>
        </w:rPr>
        <w:t>HO,</w:t>
      </w:r>
      <w:r>
        <w:rPr>
          <w:spacing w:val="-6"/>
          <w:sz w:val="18"/>
        </w:rPr>
        <w:t> </w:t>
      </w:r>
      <w:r>
        <w:rPr>
          <w:spacing w:val="-2"/>
          <w:sz w:val="18"/>
        </w:rPr>
        <w:t>2021).</w:t>
      </w:r>
    </w:p>
    <w:p>
      <w:pPr>
        <w:pStyle w:val="ListParagraph"/>
        <w:numPr>
          <w:ilvl w:val="0"/>
          <w:numId w:val="11"/>
        </w:numPr>
        <w:tabs>
          <w:tab w:pos="1853" w:val="left" w:leader="none"/>
        </w:tabs>
        <w:spacing w:line="235" w:lineRule="auto" w:before="2" w:after="0"/>
        <w:ind w:left="1853" w:right="2171" w:hanging="720"/>
        <w:jc w:val="left"/>
        <w:rPr>
          <w:sz w:val="18"/>
        </w:rPr>
      </w:pPr>
      <w:r>
        <w:rPr>
          <w:sz w:val="18"/>
        </w:rPr>
        <w:t>Tamara</w:t>
      </w:r>
      <w:r>
        <w:rPr>
          <w:spacing w:val="-7"/>
          <w:sz w:val="18"/>
        </w:rPr>
        <w:t> </w:t>
      </w:r>
      <w:r>
        <w:rPr>
          <w:sz w:val="18"/>
        </w:rPr>
        <w:t>Hervey,</w:t>
      </w:r>
      <w:r>
        <w:rPr>
          <w:spacing w:val="-6"/>
          <w:sz w:val="18"/>
        </w:rPr>
        <w:t> </w:t>
      </w:r>
      <w:r>
        <w:rPr>
          <w:sz w:val="18"/>
        </w:rPr>
        <w:t>‘Brexit,</w:t>
      </w:r>
      <w:r>
        <w:rPr>
          <w:spacing w:val="-6"/>
          <w:sz w:val="18"/>
        </w:rPr>
        <w:t> </w:t>
      </w:r>
      <w:r>
        <w:rPr>
          <w:sz w:val="18"/>
        </w:rPr>
        <w:t>Health</w:t>
      </w:r>
      <w:r>
        <w:rPr>
          <w:spacing w:val="-7"/>
          <w:sz w:val="18"/>
        </w:rPr>
        <w:t> </w:t>
      </w:r>
      <w:r>
        <w:rPr>
          <w:sz w:val="18"/>
        </w:rPr>
        <w:t>and</w:t>
      </w:r>
      <w:r>
        <w:rPr>
          <w:spacing w:val="-7"/>
          <w:sz w:val="18"/>
        </w:rPr>
        <w:t> </w:t>
      </w:r>
      <w:r>
        <w:rPr>
          <w:sz w:val="18"/>
        </w:rPr>
        <w:t>Its</w:t>
      </w:r>
      <w:r>
        <w:rPr>
          <w:spacing w:val="-7"/>
          <w:sz w:val="18"/>
        </w:rPr>
        <w:t> </w:t>
      </w:r>
      <w:r>
        <w:rPr>
          <w:sz w:val="18"/>
        </w:rPr>
        <w:t>Potential</w:t>
      </w:r>
      <w:r>
        <w:rPr>
          <w:spacing w:val="-7"/>
          <w:sz w:val="18"/>
        </w:rPr>
        <w:t> </w:t>
      </w:r>
      <w:r>
        <w:rPr>
          <w:sz w:val="18"/>
        </w:rPr>
        <w:t>Impact</w:t>
      </w:r>
      <w:r>
        <w:rPr>
          <w:spacing w:val="-6"/>
          <w:sz w:val="18"/>
        </w:rPr>
        <w:t> </w:t>
      </w:r>
      <w:r>
        <w:rPr>
          <w:sz w:val="18"/>
        </w:rPr>
        <w:t>on</w:t>
      </w:r>
      <w:r>
        <w:rPr>
          <w:spacing w:val="-7"/>
          <w:sz w:val="18"/>
        </w:rPr>
        <w:t> </w:t>
      </w:r>
      <w:r>
        <w:rPr>
          <w:sz w:val="18"/>
        </w:rPr>
        <w:t>Article</w:t>
      </w:r>
      <w:r>
        <w:rPr>
          <w:spacing w:val="-6"/>
          <w:sz w:val="18"/>
        </w:rPr>
        <w:t> </w:t>
      </w:r>
      <w:r>
        <w:rPr>
          <w:sz w:val="18"/>
        </w:rPr>
        <w:t>2</w:t>
      </w:r>
      <w:r>
        <w:rPr>
          <w:spacing w:val="-6"/>
          <w:sz w:val="18"/>
        </w:rPr>
        <w:t> </w:t>
      </w:r>
      <w:r>
        <w:rPr>
          <w:sz w:val="18"/>
        </w:rPr>
        <w:t>of</w:t>
      </w:r>
      <w:r>
        <w:rPr>
          <w:spacing w:val="-7"/>
          <w:sz w:val="18"/>
        </w:rPr>
        <w:t> </w:t>
      </w:r>
      <w:r>
        <w:rPr>
          <w:sz w:val="18"/>
        </w:rPr>
        <w:t>the</w:t>
      </w:r>
      <w:r>
        <w:rPr>
          <w:spacing w:val="-6"/>
          <w:sz w:val="18"/>
        </w:rPr>
        <w:t> </w:t>
      </w:r>
      <w:r>
        <w:rPr>
          <w:sz w:val="18"/>
        </w:rPr>
        <w:t>Ireland/Northern</w:t>
      </w:r>
      <w:r>
        <w:rPr>
          <w:spacing w:val="-7"/>
          <w:sz w:val="18"/>
        </w:rPr>
        <w:t> </w:t>
      </w:r>
      <w:r>
        <w:rPr>
          <w:sz w:val="18"/>
        </w:rPr>
        <w:t>Ireland</w:t>
      </w:r>
      <w:r>
        <w:rPr>
          <w:spacing w:val="-7"/>
          <w:sz w:val="18"/>
        </w:rPr>
        <w:t> </w:t>
      </w:r>
      <w:r>
        <w:rPr>
          <w:sz w:val="18"/>
        </w:rPr>
        <w:t>Protocol’ (NIHRC, 2022).</w:t>
      </w:r>
    </w:p>
    <w:p>
      <w:pPr>
        <w:pStyle w:val="ListParagraph"/>
        <w:numPr>
          <w:ilvl w:val="0"/>
          <w:numId w:val="11"/>
        </w:numPr>
        <w:tabs>
          <w:tab w:pos="1853" w:val="left" w:leader="none"/>
        </w:tabs>
        <w:spacing w:line="235" w:lineRule="auto" w:before="1" w:after="0"/>
        <w:ind w:left="1853" w:right="1231" w:hanging="720"/>
        <w:jc w:val="left"/>
        <w:rPr>
          <w:sz w:val="18"/>
        </w:rPr>
      </w:pP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‘Briefing</w:t>
      </w:r>
      <w:r>
        <w:rPr>
          <w:spacing w:val="-4"/>
          <w:sz w:val="18"/>
        </w:rPr>
        <w:t> </w:t>
      </w:r>
      <w:r>
        <w:rPr>
          <w:sz w:val="18"/>
        </w:rPr>
        <w:t>Paper</w:t>
      </w:r>
      <w:r>
        <w:rPr>
          <w:spacing w:val="-4"/>
          <w:sz w:val="18"/>
        </w:rPr>
        <w:t> </w:t>
      </w:r>
      <w:r>
        <w:rPr>
          <w:sz w:val="18"/>
        </w:rPr>
        <w:t>and</w:t>
      </w:r>
      <w:r>
        <w:rPr>
          <w:spacing w:val="-5"/>
          <w:sz w:val="18"/>
        </w:rPr>
        <w:t> </w:t>
      </w:r>
      <w:r>
        <w:rPr>
          <w:sz w:val="18"/>
        </w:rPr>
        <w:t>Recommendations</w:t>
      </w:r>
      <w:r>
        <w:rPr>
          <w:spacing w:val="-5"/>
          <w:sz w:val="18"/>
        </w:rPr>
        <w:t> </w:t>
      </w:r>
      <w:r>
        <w:rPr>
          <w:sz w:val="18"/>
        </w:rPr>
        <w:t>on</w:t>
      </w:r>
      <w:r>
        <w:rPr>
          <w:spacing w:val="-5"/>
          <w:sz w:val="18"/>
        </w:rPr>
        <w:t> </w:t>
      </w:r>
      <w:r>
        <w:rPr>
          <w:sz w:val="18"/>
        </w:rPr>
        <w:t>Brexit,</w:t>
      </w:r>
      <w:r>
        <w:rPr>
          <w:spacing w:val="-4"/>
          <w:sz w:val="18"/>
        </w:rPr>
        <w:t> </w:t>
      </w:r>
      <w:r>
        <w:rPr>
          <w:sz w:val="18"/>
        </w:rPr>
        <w:t>Health</w:t>
      </w:r>
      <w:r>
        <w:rPr>
          <w:spacing w:val="-5"/>
          <w:sz w:val="18"/>
        </w:rPr>
        <w:t> </w:t>
      </w:r>
      <w:r>
        <w:rPr>
          <w:sz w:val="18"/>
        </w:rPr>
        <w:t>and</w:t>
      </w:r>
      <w:r>
        <w:rPr>
          <w:spacing w:val="-5"/>
          <w:sz w:val="18"/>
        </w:rPr>
        <w:t> </w:t>
      </w:r>
      <w:r>
        <w:rPr>
          <w:sz w:val="18"/>
        </w:rPr>
        <w:t>Its</w:t>
      </w:r>
      <w:r>
        <w:rPr>
          <w:spacing w:val="-5"/>
          <w:sz w:val="18"/>
        </w:rPr>
        <w:t> </w:t>
      </w:r>
      <w:r>
        <w:rPr>
          <w:sz w:val="18"/>
        </w:rPr>
        <w:t>Potential</w:t>
      </w:r>
      <w:r>
        <w:rPr>
          <w:spacing w:val="-5"/>
          <w:sz w:val="18"/>
        </w:rPr>
        <w:t> </w:t>
      </w:r>
      <w:r>
        <w:rPr>
          <w:sz w:val="18"/>
        </w:rPr>
        <w:t>Impact</w:t>
      </w:r>
      <w:r>
        <w:rPr>
          <w:spacing w:val="-4"/>
          <w:sz w:val="18"/>
        </w:rPr>
        <w:t> </w:t>
      </w:r>
      <w:r>
        <w:rPr>
          <w:sz w:val="18"/>
        </w:rPr>
        <w:t>on</w:t>
      </w:r>
      <w:r>
        <w:rPr>
          <w:spacing w:val="-5"/>
          <w:sz w:val="18"/>
        </w:rPr>
        <w:t> </w:t>
      </w:r>
      <w:r>
        <w:rPr>
          <w:sz w:val="18"/>
        </w:rPr>
        <w:t>Article 2 of the Windsor Framework’ (NIHRC, 2023).</w:t>
      </w:r>
    </w:p>
    <w:p>
      <w:pPr>
        <w:pStyle w:val="ListParagraph"/>
        <w:numPr>
          <w:ilvl w:val="0"/>
          <w:numId w:val="11"/>
        </w:numPr>
        <w:tabs>
          <w:tab w:pos="1853" w:val="left" w:leader="none"/>
        </w:tabs>
        <w:spacing w:line="216" w:lineRule="exact" w:before="0" w:after="0"/>
        <w:ind w:left="1853" w:right="0" w:hanging="720"/>
        <w:jc w:val="left"/>
        <w:rPr>
          <w:sz w:val="18"/>
        </w:rPr>
      </w:pPr>
      <w:r>
        <w:rPr>
          <w:spacing w:val="-4"/>
          <w:sz w:val="18"/>
        </w:rPr>
        <w:t>Ibid.</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Section</w:t>
      </w:r>
      <w:r>
        <w:rPr>
          <w:spacing w:val="-7"/>
          <w:sz w:val="18"/>
        </w:rPr>
        <w:t> </w:t>
      </w:r>
      <w:r>
        <w:rPr>
          <w:sz w:val="18"/>
        </w:rPr>
        <w:t>3ZA,</w:t>
      </w:r>
      <w:r>
        <w:rPr>
          <w:spacing w:val="-7"/>
          <w:sz w:val="18"/>
        </w:rPr>
        <w:t> </w:t>
      </w:r>
      <w:r>
        <w:rPr>
          <w:sz w:val="18"/>
        </w:rPr>
        <w:t>Immigration</w:t>
      </w:r>
      <w:r>
        <w:rPr>
          <w:spacing w:val="-7"/>
          <w:sz w:val="18"/>
        </w:rPr>
        <w:t> </w:t>
      </w:r>
      <w:r>
        <w:rPr>
          <w:sz w:val="18"/>
        </w:rPr>
        <w:t>Act</w:t>
      </w:r>
      <w:r>
        <w:rPr>
          <w:spacing w:val="-6"/>
          <w:sz w:val="18"/>
        </w:rPr>
        <w:t> </w:t>
      </w:r>
      <w:r>
        <w:rPr>
          <w:spacing w:val="-2"/>
          <w:sz w:val="18"/>
        </w:rPr>
        <w:t>1971.</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Explanatory</w:t>
      </w:r>
      <w:r>
        <w:rPr>
          <w:spacing w:val="-3"/>
          <w:sz w:val="18"/>
        </w:rPr>
        <w:t> </w:t>
      </w:r>
      <w:r>
        <w:rPr>
          <w:sz w:val="18"/>
        </w:rPr>
        <w:t>Notes</w:t>
      </w:r>
      <w:r>
        <w:rPr>
          <w:spacing w:val="-4"/>
          <w:sz w:val="18"/>
        </w:rPr>
        <w:t> </w:t>
      </w:r>
      <w:r>
        <w:rPr>
          <w:sz w:val="18"/>
        </w:rPr>
        <w:t>to</w:t>
      </w:r>
      <w:r>
        <w:rPr>
          <w:spacing w:val="-4"/>
          <w:sz w:val="18"/>
        </w:rPr>
        <w:t> </w:t>
      </w:r>
      <w:r>
        <w:rPr>
          <w:sz w:val="18"/>
        </w:rPr>
        <w:t>the</w:t>
      </w:r>
      <w:r>
        <w:rPr>
          <w:spacing w:val="-3"/>
          <w:sz w:val="18"/>
        </w:rPr>
        <w:t> </w:t>
      </w:r>
      <w:r>
        <w:rPr>
          <w:sz w:val="18"/>
        </w:rPr>
        <w:t>Nationality</w:t>
      </w:r>
      <w:r>
        <w:rPr>
          <w:spacing w:val="-3"/>
          <w:sz w:val="18"/>
        </w:rPr>
        <w:t> </w:t>
      </w:r>
      <w:r>
        <w:rPr>
          <w:sz w:val="18"/>
        </w:rPr>
        <w:t>and</w:t>
      </w:r>
      <w:r>
        <w:rPr>
          <w:spacing w:val="-3"/>
          <w:sz w:val="18"/>
        </w:rPr>
        <w:t> </w:t>
      </w:r>
      <w:r>
        <w:rPr>
          <w:sz w:val="18"/>
        </w:rPr>
        <w:t>Borders</w:t>
      </w:r>
      <w:r>
        <w:rPr>
          <w:spacing w:val="-4"/>
          <w:sz w:val="18"/>
        </w:rPr>
        <w:t> </w:t>
      </w:r>
      <w:r>
        <w:rPr>
          <w:sz w:val="18"/>
        </w:rPr>
        <w:t>Act</w:t>
      </w:r>
      <w:r>
        <w:rPr>
          <w:spacing w:val="-3"/>
          <w:sz w:val="18"/>
        </w:rPr>
        <w:t> </w:t>
      </w:r>
      <w:r>
        <w:rPr>
          <w:sz w:val="18"/>
        </w:rPr>
        <w:t>2022,</w:t>
      </w:r>
      <w:r>
        <w:rPr>
          <w:spacing w:val="-3"/>
          <w:sz w:val="18"/>
        </w:rPr>
        <w:t> </w:t>
      </w:r>
      <w:r>
        <w:rPr>
          <w:sz w:val="18"/>
        </w:rPr>
        <w:t>at</w:t>
      </w:r>
      <w:r>
        <w:rPr>
          <w:spacing w:val="-3"/>
          <w:sz w:val="18"/>
        </w:rPr>
        <w:t> </w:t>
      </w:r>
      <w:r>
        <w:rPr>
          <w:sz w:val="18"/>
        </w:rPr>
        <w:t>para</w:t>
      </w:r>
      <w:r>
        <w:rPr>
          <w:spacing w:val="-4"/>
          <w:sz w:val="18"/>
        </w:rPr>
        <w:t> 720.</w:t>
      </w:r>
    </w:p>
    <w:p>
      <w:pPr>
        <w:pStyle w:val="ListParagraph"/>
        <w:numPr>
          <w:ilvl w:val="0"/>
          <w:numId w:val="11"/>
        </w:numPr>
        <w:tabs>
          <w:tab w:pos="1853" w:val="left" w:leader="none"/>
        </w:tabs>
        <w:spacing w:line="218" w:lineRule="exact" w:before="0" w:after="0"/>
        <w:ind w:left="1853" w:right="0" w:hanging="720"/>
        <w:jc w:val="left"/>
        <w:rPr>
          <w:sz w:val="18"/>
        </w:rPr>
      </w:pPr>
      <w:r>
        <w:rPr>
          <w:sz w:val="18"/>
        </w:rPr>
        <w:t>Letter</w:t>
      </w:r>
      <w:r>
        <w:rPr>
          <w:spacing w:val="-7"/>
          <w:sz w:val="18"/>
        </w:rPr>
        <w:t> </w:t>
      </w:r>
      <w:r>
        <w:rPr>
          <w:sz w:val="18"/>
        </w:rPr>
        <w:t>from</w:t>
      </w:r>
      <w:r>
        <w:rPr>
          <w:spacing w:val="-7"/>
          <w:sz w:val="18"/>
        </w:rPr>
        <w:t> </w:t>
      </w:r>
      <w:r>
        <w:rPr>
          <w:sz w:val="18"/>
        </w:rPr>
        <w:t>NI</w:t>
      </w:r>
      <w:r>
        <w:rPr>
          <w:spacing w:val="-7"/>
          <w:sz w:val="18"/>
        </w:rPr>
        <w:t> </w:t>
      </w:r>
      <w:r>
        <w:rPr>
          <w:sz w:val="18"/>
        </w:rPr>
        <w:t>Human</w:t>
      </w:r>
      <w:r>
        <w:rPr>
          <w:spacing w:val="-7"/>
          <w:sz w:val="18"/>
        </w:rPr>
        <w:t> </w:t>
      </w:r>
      <w:r>
        <w:rPr>
          <w:sz w:val="18"/>
        </w:rPr>
        <w:t>Rights</w:t>
      </w:r>
      <w:r>
        <w:rPr>
          <w:spacing w:val="-8"/>
          <w:sz w:val="18"/>
        </w:rPr>
        <w:t> </w:t>
      </w:r>
      <w:r>
        <w:rPr>
          <w:sz w:val="18"/>
        </w:rPr>
        <w:t>Commission</w:t>
      </w:r>
      <w:r>
        <w:rPr>
          <w:spacing w:val="-7"/>
          <w:sz w:val="18"/>
        </w:rPr>
        <w:t> </w:t>
      </w:r>
      <w:r>
        <w:rPr>
          <w:sz w:val="18"/>
        </w:rPr>
        <w:t>to</w:t>
      </w:r>
      <w:r>
        <w:rPr>
          <w:spacing w:val="-8"/>
          <w:sz w:val="18"/>
        </w:rPr>
        <w:t> </w:t>
      </w:r>
      <w:r>
        <w:rPr>
          <w:sz w:val="18"/>
        </w:rPr>
        <w:t>Priti</w:t>
      </w:r>
      <w:r>
        <w:rPr>
          <w:spacing w:val="-7"/>
          <w:sz w:val="18"/>
        </w:rPr>
        <w:t> </w:t>
      </w:r>
      <w:r>
        <w:rPr>
          <w:sz w:val="18"/>
        </w:rPr>
        <w:t>Patel</w:t>
      </w:r>
      <w:r>
        <w:rPr>
          <w:spacing w:val="-8"/>
          <w:sz w:val="18"/>
        </w:rPr>
        <w:t> </w:t>
      </w:r>
      <w:r>
        <w:rPr>
          <w:sz w:val="18"/>
        </w:rPr>
        <w:t>MP,</w:t>
      </w:r>
      <w:r>
        <w:rPr>
          <w:spacing w:val="-7"/>
          <w:sz w:val="18"/>
        </w:rPr>
        <w:t> </w:t>
      </w:r>
      <w:r>
        <w:rPr>
          <w:sz w:val="18"/>
        </w:rPr>
        <w:t>Home</w:t>
      </w:r>
      <w:r>
        <w:rPr>
          <w:spacing w:val="-7"/>
          <w:sz w:val="18"/>
        </w:rPr>
        <w:t> </w:t>
      </w:r>
      <w:r>
        <w:rPr>
          <w:sz w:val="18"/>
        </w:rPr>
        <w:t>Secretary,</w:t>
      </w:r>
      <w:r>
        <w:rPr>
          <w:spacing w:val="-6"/>
          <w:sz w:val="18"/>
        </w:rPr>
        <w:t> </w:t>
      </w:r>
      <w:r>
        <w:rPr>
          <w:sz w:val="18"/>
        </w:rPr>
        <w:t>20</w:t>
      </w:r>
      <w:r>
        <w:rPr>
          <w:spacing w:val="-7"/>
          <w:sz w:val="18"/>
        </w:rPr>
        <w:t> </w:t>
      </w:r>
      <w:r>
        <w:rPr>
          <w:sz w:val="18"/>
        </w:rPr>
        <w:t>December</w:t>
      </w:r>
      <w:r>
        <w:rPr>
          <w:spacing w:val="-7"/>
          <w:sz w:val="18"/>
        </w:rPr>
        <w:t> </w:t>
      </w:r>
      <w:r>
        <w:rPr>
          <w:spacing w:val="-2"/>
          <w:sz w:val="18"/>
        </w:rPr>
        <w:t>2021.</w:t>
      </w:r>
    </w:p>
    <w:p>
      <w:pPr>
        <w:spacing w:after="0" w:line="218" w:lineRule="exact"/>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595"/>
      </w:pPr>
      <w:bookmarkStart w:name="_bookmark49" w:id="110"/>
      <w:bookmarkEnd w:id="110"/>
      <w:r>
        <w:rPr/>
      </w:r>
      <w:r>
        <w:rPr/>
        <w:t>that</w:t>
      </w:r>
      <w:r>
        <w:rPr>
          <w:spacing w:val="-5"/>
        </w:rPr>
        <w:t> </w:t>
      </w:r>
      <w:r>
        <w:rPr/>
        <w:t>the</w:t>
      </w:r>
      <w:r>
        <w:rPr>
          <w:spacing w:val="-5"/>
        </w:rPr>
        <w:t> </w:t>
      </w:r>
      <w:r>
        <w:rPr/>
        <w:t>imposition</w:t>
      </w:r>
      <w:r>
        <w:rPr>
          <w:spacing w:val="-6"/>
        </w:rPr>
        <w:t> </w:t>
      </w:r>
      <w:r>
        <w:rPr/>
        <w:t>of</w:t>
      </w:r>
      <w:r>
        <w:rPr>
          <w:spacing w:val="-6"/>
        </w:rPr>
        <w:t> </w:t>
      </w:r>
      <w:r>
        <w:rPr/>
        <w:t>restrictions</w:t>
      </w:r>
      <w:r>
        <w:rPr>
          <w:spacing w:val="-6"/>
        </w:rPr>
        <w:t> </w:t>
      </w:r>
      <w:r>
        <w:rPr/>
        <w:t>engages</w:t>
      </w:r>
      <w:r>
        <w:rPr>
          <w:spacing w:val="-6"/>
        </w:rPr>
        <w:t> </w:t>
      </w:r>
      <w:r>
        <w:rPr/>
        <w:t>Article</w:t>
      </w:r>
      <w:r>
        <w:rPr>
          <w:spacing w:val="-5"/>
        </w:rPr>
        <w:t> </w:t>
      </w:r>
      <w:r>
        <w:rPr/>
        <w:t>8</w:t>
      </w:r>
      <w:r>
        <w:rPr>
          <w:spacing w:val="-5"/>
        </w:rPr>
        <w:t> </w:t>
      </w:r>
      <w:r>
        <w:rPr/>
        <w:t>of</w:t>
      </w:r>
      <w:r>
        <w:rPr>
          <w:spacing w:val="-6"/>
        </w:rPr>
        <w:t> </w:t>
      </w:r>
      <w:r>
        <w:rPr/>
        <w:t>the</w:t>
      </w:r>
      <w:r>
        <w:rPr>
          <w:spacing w:val="-5"/>
        </w:rPr>
        <w:t> </w:t>
      </w:r>
      <w:r>
        <w:rPr/>
        <w:t>ECHR</w:t>
      </w:r>
      <w:r>
        <w:rPr>
          <w:spacing w:val="-6"/>
        </w:rPr>
        <w:t> </w:t>
      </w:r>
      <w:r>
        <w:rPr/>
        <w:t>and</w:t>
      </w:r>
      <w:r>
        <w:rPr>
          <w:spacing w:val="-6"/>
        </w:rPr>
        <w:t> </w:t>
      </w:r>
      <w:r>
        <w:rPr/>
        <w:t>that related checks raised the risk of racial profiling.</w:t>
      </w:r>
      <w:r>
        <w:rPr>
          <w:vertAlign w:val="superscript"/>
        </w:rPr>
        <w:t>747</w:t>
      </w:r>
    </w:p>
    <w:p>
      <w:pPr>
        <w:pStyle w:val="ListParagraph"/>
        <w:numPr>
          <w:ilvl w:val="1"/>
          <w:numId w:val="13"/>
        </w:numPr>
        <w:tabs>
          <w:tab w:pos="1853" w:val="left" w:leader="none"/>
        </w:tabs>
        <w:spacing w:line="225" w:lineRule="auto" w:before="318" w:after="0"/>
        <w:ind w:left="1853" w:right="1289" w:hanging="720"/>
        <w:jc w:val="left"/>
        <w:rPr>
          <w:sz w:val="28"/>
        </w:rPr>
      </w:pPr>
      <w:r>
        <w:rPr>
          <w:sz w:val="28"/>
        </w:rPr>
        <w:t>In</w:t>
      </w:r>
      <w:r>
        <w:rPr>
          <w:spacing w:val="-6"/>
          <w:sz w:val="28"/>
        </w:rPr>
        <w:t> </w:t>
      </w:r>
      <w:r>
        <w:rPr>
          <w:sz w:val="28"/>
        </w:rPr>
        <w:t>2022,</w:t>
      </w:r>
      <w:r>
        <w:rPr>
          <w:spacing w:val="-5"/>
          <w:sz w:val="28"/>
        </w:rPr>
        <w:t> </w:t>
      </w:r>
      <w:r>
        <w:rPr>
          <w:sz w:val="28"/>
        </w:rPr>
        <w:t>the</w:t>
      </w:r>
      <w:r>
        <w:rPr>
          <w:spacing w:val="-5"/>
          <w:sz w:val="28"/>
        </w:rPr>
        <w:t> </w:t>
      </w:r>
      <w:r>
        <w:rPr>
          <w:sz w:val="28"/>
        </w:rPr>
        <w:t>Commissions</w:t>
      </w:r>
      <w:r>
        <w:rPr>
          <w:spacing w:val="-6"/>
          <w:sz w:val="28"/>
        </w:rPr>
        <w:t> </w:t>
      </w:r>
      <w:r>
        <w:rPr>
          <w:sz w:val="28"/>
        </w:rPr>
        <w:t>called</w:t>
      </w:r>
      <w:r>
        <w:rPr>
          <w:spacing w:val="-6"/>
          <w:sz w:val="28"/>
        </w:rPr>
        <w:t> </w:t>
      </w:r>
      <w:r>
        <w:rPr>
          <w:sz w:val="28"/>
        </w:rPr>
        <w:t>for</w:t>
      </w:r>
      <w:r>
        <w:rPr>
          <w:spacing w:val="-5"/>
          <w:sz w:val="28"/>
        </w:rPr>
        <w:t> </w:t>
      </w:r>
      <w:r>
        <w:rPr>
          <w:sz w:val="28"/>
        </w:rPr>
        <w:t>all</w:t>
      </w:r>
      <w:r>
        <w:rPr>
          <w:spacing w:val="-6"/>
          <w:sz w:val="28"/>
        </w:rPr>
        <w:t> </w:t>
      </w:r>
      <w:r>
        <w:rPr>
          <w:sz w:val="28"/>
        </w:rPr>
        <w:t>journeys</w:t>
      </w:r>
      <w:r>
        <w:rPr>
          <w:spacing w:val="-6"/>
          <w:sz w:val="28"/>
        </w:rPr>
        <w:t> </w:t>
      </w:r>
      <w:r>
        <w:rPr>
          <w:sz w:val="28"/>
        </w:rPr>
        <w:t>to</w:t>
      </w:r>
      <w:r>
        <w:rPr>
          <w:spacing w:val="-6"/>
          <w:sz w:val="28"/>
        </w:rPr>
        <w:t> </w:t>
      </w:r>
      <w:r>
        <w:rPr>
          <w:sz w:val="28"/>
        </w:rPr>
        <w:t>NI</w:t>
      </w:r>
      <w:r>
        <w:rPr>
          <w:spacing w:val="-5"/>
          <w:sz w:val="28"/>
        </w:rPr>
        <w:t> </w:t>
      </w:r>
      <w:r>
        <w:rPr>
          <w:sz w:val="28"/>
        </w:rPr>
        <w:t>from</w:t>
      </w:r>
      <w:r>
        <w:rPr>
          <w:spacing w:val="-5"/>
          <w:sz w:val="28"/>
        </w:rPr>
        <w:t> </w:t>
      </w:r>
      <w:r>
        <w:rPr>
          <w:sz w:val="28"/>
        </w:rPr>
        <w:t>Ireland</w:t>
      </w:r>
      <w:r>
        <w:rPr>
          <w:spacing w:val="-6"/>
          <w:sz w:val="28"/>
        </w:rPr>
        <w:t> </w:t>
      </w:r>
      <w:r>
        <w:rPr>
          <w:sz w:val="28"/>
        </w:rPr>
        <w:t>be</w:t>
      </w:r>
      <w:r>
        <w:rPr>
          <w:spacing w:val="-5"/>
          <w:sz w:val="28"/>
        </w:rPr>
        <w:t> </w:t>
      </w:r>
      <w:r>
        <w:rPr>
          <w:sz w:val="28"/>
        </w:rPr>
        <w:t>exempt from Electronic Travel Authorisation requirements and outlined potential Windsor Framework Article 2 concerns with Electronic Travel Authorisations with the UK and Irish Governments.</w:t>
      </w:r>
      <w:r>
        <w:rPr>
          <w:sz w:val="28"/>
          <w:vertAlign w:val="superscript"/>
        </w:rPr>
        <w:t>748</w:t>
      </w:r>
    </w:p>
    <w:p>
      <w:pPr>
        <w:pStyle w:val="ListParagraph"/>
        <w:numPr>
          <w:ilvl w:val="1"/>
          <w:numId w:val="13"/>
        </w:numPr>
        <w:tabs>
          <w:tab w:pos="1853" w:val="left" w:leader="none"/>
        </w:tabs>
        <w:spacing w:line="225" w:lineRule="auto" w:before="315" w:after="0"/>
        <w:ind w:left="1853" w:right="1408" w:hanging="720"/>
        <w:jc w:val="left"/>
        <w:rPr>
          <w:sz w:val="28"/>
        </w:rPr>
      </w:pPr>
      <w:r>
        <w:rPr>
          <w:sz w:val="28"/>
        </w:rPr>
        <w:t>In 2022, the Home Office Minister stated that exemptions for journeys into NI from Ireland would pose too much of a risk to UK border control and to efforts</w:t>
      </w:r>
      <w:r>
        <w:rPr>
          <w:spacing w:val="-6"/>
          <w:sz w:val="28"/>
        </w:rPr>
        <w:t> </w:t>
      </w:r>
      <w:r>
        <w:rPr>
          <w:sz w:val="28"/>
        </w:rPr>
        <w:t>to</w:t>
      </w:r>
      <w:r>
        <w:rPr>
          <w:spacing w:val="-6"/>
          <w:sz w:val="28"/>
        </w:rPr>
        <w:t> </w:t>
      </w:r>
      <w:r>
        <w:rPr>
          <w:sz w:val="28"/>
        </w:rPr>
        <w:t>strengthen</w:t>
      </w:r>
      <w:r>
        <w:rPr>
          <w:spacing w:val="-6"/>
          <w:sz w:val="28"/>
        </w:rPr>
        <w:t> </w:t>
      </w:r>
      <w:r>
        <w:rPr>
          <w:sz w:val="28"/>
        </w:rPr>
        <w:t>borders</w:t>
      </w:r>
      <w:r>
        <w:rPr>
          <w:spacing w:val="-6"/>
          <w:sz w:val="28"/>
        </w:rPr>
        <w:t> </w:t>
      </w:r>
      <w:r>
        <w:rPr>
          <w:sz w:val="28"/>
        </w:rPr>
        <w:t>and</w:t>
      </w:r>
      <w:r>
        <w:rPr>
          <w:spacing w:val="-6"/>
          <w:sz w:val="28"/>
        </w:rPr>
        <w:t> </w:t>
      </w:r>
      <w:r>
        <w:rPr>
          <w:sz w:val="28"/>
        </w:rPr>
        <w:t>advised</w:t>
      </w:r>
      <w:r>
        <w:rPr>
          <w:spacing w:val="-6"/>
          <w:sz w:val="28"/>
        </w:rPr>
        <w:t> </w:t>
      </w:r>
      <w:r>
        <w:rPr>
          <w:sz w:val="28"/>
        </w:rPr>
        <w:t>the</w:t>
      </w:r>
      <w:r>
        <w:rPr>
          <w:spacing w:val="-5"/>
          <w:sz w:val="28"/>
        </w:rPr>
        <w:t> </w:t>
      </w:r>
      <w:r>
        <w:rPr>
          <w:sz w:val="28"/>
        </w:rPr>
        <w:t>UK</w:t>
      </w:r>
      <w:r>
        <w:rPr>
          <w:spacing w:val="-5"/>
          <w:sz w:val="28"/>
        </w:rPr>
        <w:t> </w:t>
      </w:r>
      <w:r>
        <w:rPr>
          <w:sz w:val="28"/>
        </w:rPr>
        <w:t>would</w:t>
      </w:r>
      <w:r>
        <w:rPr>
          <w:spacing w:val="-6"/>
          <w:sz w:val="28"/>
        </w:rPr>
        <w:t> </w:t>
      </w:r>
      <w:r>
        <w:rPr>
          <w:sz w:val="28"/>
        </w:rPr>
        <w:t>not</w:t>
      </w:r>
      <w:r>
        <w:rPr>
          <w:spacing w:val="-5"/>
          <w:sz w:val="28"/>
        </w:rPr>
        <w:t> </w:t>
      </w:r>
      <w:r>
        <w:rPr>
          <w:sz w:val="28"/>
        </w:rPr>
        <w:t>operate</w:t>
      </w:r>
      <w:r>
        <w:rPr>
          <w:spacing w:val="-5"/>
          <w:sz w:val="28"/>
        </w:rPr>
        <w:t> </w:t>
      </w:r>
      <w:r>
        <w:rPr>
          <w:sz w:val="28"/>
        </w:rPr>
        <w:t>routine immigration controls on journeys from within the Common Travel Area,</w:t>
      </w:r>
      <w:r>
        <w:rPr>
          <w:sz w:val="28"/>
        </w:rPr>
        <w:t> with</w:t>
      </w:r>
      <w:r>
        <w:rPr>
          <w:spacing w:val="-13"/>
          <w:sz w:val="28"/>
        </w:rPr>
        <w:t> </w:t>
      </w:r>
      <w:r>
        <w:rPr>
          <w:sz w:val="28"/>
        </w:rPr>
        <w:t>no</w:t>
      </w:r>
      <w:r>
        <w:rPr>
          <w:spacing w:val="-13"/>
          <w:sz w:val="28"/>
        </w:rPr>
        <w:t> </w:t>
      </w:r>
      <w:r>
        <w:rPr>
          <w:sz w:val="28"/>
        </w:rPr>
        <w:t>immigration</w:t>
      </w:r>
      <w:r>
        <w:rPr>
          <w:spacing w:val="-13"/>
          <w:sz w:val="28"/>
        </w:rPr>
        <w:t> </w:t>
      </w:r>
      <w:r>
        <w:rPr>
          <w:sz w:val="28"/>
        </w:rPr>
        <w:t>controls</w:t>
      </w:r>
      <w:r>
        <w:rPr>
          <w:spacing w:val="-13"/>
          <w:sz w:val="28"/>
        </w:rPr>
        <w:t> </w:t>
      </w:r>
      <w:r>
        <w:rPr>
          <w:sz w:val="28"/>
        </w:rPr>
        <w:t>whatsoever</w:t>
      </w:r>
      <w:r>
        <w:rPr>
          <w:spacing w:val="-12"/>
          <w:sz w:val="28"/>
        </w:rPr>
        <w:t> </w:t>
      </w:r>
      <w:r>
        <w:rPr>
          <w:sz w:val="28"/>
        </w:rPr>
        <w:t>on</w:t>
      </w:r>
      <w:r>
        <w:rPr>
          <w:spacing w:val="-13"/>
          <w:sz w:val="28"/>
        </w:rPr>
        <w:t> </w:t>
      </w:r>
      <w:r>
        <w:rPr>
          <w:sz w:val="28"/>
        </w:rPr>
        <w:t>the</w:t>
      </w:r>
      <w:r>
        <w:rPr>
          <w:spacing w:val="-12"/>
          <w:sz w:val="28"/>
        </w:rPr>
        <w:t> </w:t>
      </w:r>
      <w:r>
        <w:rPr>
          <w:sz w:val="28"/>
        </w:rPr>
        <w:t>Ireland-NI</w:t>
      </w:r>
      <w:r>
        <w:rPr>
          <w:spacing w:val="-12"/>
          <w:sz w:val="28"/>
        </w:rPr>
        <w:t> </w:t>
      </w:r>
      <w:r>
        <w:rPr>
          <w:sz w:val="28"/>
        </w:rPr>
        <w:t>land</w:t>
      </w:r>
      <w:r>
        <w:rPr>
          <w:spacing w:val="-13"/>
          <w:sz w:val="28"/>
        </w:rPr>
        <w:t> </w:t>
      </w:r>
      <w:r>
        <w:rPr>
          <w:sz w:val="28"/>
        </w:rPr>
        <w:t>border.</w:t>
      </w:r>
      <w:r>
        <w:rPr>
          <w:sz w:val="28"/>
          <w:vertAlign w:val="superscript"/>
        </w:rPr>
        <w:t>749</w:t>
      </w:r>
      <w:r>
        <w:rPr>
          <w:spacing w:val="-13"/>
          <w:sz w:val="28"/>
          <w:vertAlign w:val="baseline"/>
        </w:rPr>
        <w:t> </w:t>
      </w:r>
      <w:r>
        <w:rPr>
          <w:sz w:val="28"/>
          <w:vertAlign w:val="baseline"/>
        </w:rPr>
        <w:t>In March 2023, the UK Government updated its guidance on Electronic Travel Authorisations confirming that third country nationals, who are resident in</w:t>
      </w:r>
    </w:p>
    <w:p>
      <w:pPr>
        <w:pStyle w:val="BodyText"/>
        <w:spacing w:line="225" w:lineRule="auto"/>
        <w:ind w:left="1853" w:right="1171"/>
      </w:pPr>
      <w:r>
        <w:rPr/>
        <w:t>Ireland and from a nationality that does not usually require a visa to visit the UK, are exempt from requiring an Electronic Travel Authorisation to enter the UK. This partially addressed the NIHRC’s concerns, however, individuals not resident</w:t>
      </w:r>
      <w:r>
        <w:rPr>
          <w:spacing w:val="-8"/>
        </w:rPr>
        <w:t> </w:t>
      </w:r>
      <w:r>
        <w:rPr/>
        <w:t>in</w:t>
      </w:r>
      <w:r>
        <w:rPr>
          <w:spacing w:val="-9"/>
        </w:rPr>
        <w:t> </w:t>
      </w:r>
      <w:r>
        <w:rPr/>
        <w:t>Ireland</w:t>
      </w:r>
      <w:r>
        <w:rPr>
          <w:spacing w:val="-9"/>
        </w:rPr>
        <w:t> </w:t>
      </w:r>
      <w:r>
        <w:rPr/>
        <w:t>will</w:t>
      </w:r>
      <w:r>
        <w:rPr>
          <w:spacing w:val="-9"/>
        </w:rPr>
        <w:t> </w:t>
      </w:r>
      <w:r>
        <w:rPr/>
        <w:t>still</w:t>
      </w:r>
      <w:r>
        <w:rPr>
          <w:spacing w:val="-9"/>
        </w:rPr>
        <w:t> </w:t>
      </w:r>
      <w:r>
        <w:rPr/>
        <w:t>need</w:t>
      </w:r>
      <w:r>
        <w:rPr>
          <w:spacing w:val="-9"/>
        </w:rPr>
        <w:t> </w:t>
      </w:r>
      <w:r>
        <w:rPr/>
        <w:t>to</w:t>
      </w:r>
      <w:r>
        <w:rPr>
          <w:spacing w:val="-9"/>
        </w:rPr>
        <w:t> </w:t>
      </w:r>
      <w:r>
        <w:rPr/>
        <w:t>apply</w:t>
      </w:r>
      <w:r>
        <w:rPr>
          <w:spacing w:val="-8"/>
        </w:rPr>
        <w:t> </w:t>
      </w:r>
      <w:r>
        <w:rPr/>
        <w:t>for</w:t>
      </w:r>
      <w:r>
        <w:rPr>
          <w:spacing w:val="-8"/>
        </w:rPr>
        <w:t> </w:t>
      </w:r>
      <w:r>
        <w:rPr/>
        <w:t>an</w:t>
      </w:r>
      <w:r>
        <w:rPr>
          <w:spacing w:val="-9"/>
        </w:rPr>
        <w:t> </w:t>
      </w:r>
      <w:r>
        <w:rPr/>
        <w:t>Electronic</w:t>
      </w:r>
      <w:r>
        <w:rPr>
          <w:spacing w:val="-8"/>
        </w:rPr>
        <w:t> </w:t>
      </w:r>
      <w:r>
        <w:rPr/>
        <w:t>Travel</w:t>
      </w:r>
      <w:r>
        <w:rPr>
          <w:spacing w:val="-9"/>
        </w:rPr>
        <w:t> </w:t>
      </w:r>
      <w:r>
        <w:rPr/>
        <w:t>Authorisation when travelling from Ireland to NI.</w:t>
      </w:r>
      <w:r>
        <w:rPr>
          <w:vertAlign w:val="superscript"/>
        </w:rPr>
        <w:t>750</w:t>
      </w:r>
    </w:p>
    <w:p>
      <w:pPr>
        <w:pStyle w:val="ListParagraph"/>
        <w:numPr>
          <w:ilvl w:val="1"/>
          <w:numId w:val="13"/>
        </w:numPr>
        <w:tabs>
          <w:tab w:pos="1853" w:val="left" w:leader="none"/>
        </w:tabs>
        <w:spacing w:line="225" w:lineRule="auto" w:before="304" w:after="0"/>
        <w:ind w:left="1853" w:right="1350" w:hanging="720"/>
        <w:jc w:val="left"/>
        <w:rPr>
          <w:sz w:val="28"/>
        </w:rPr>
      </w:pPr>
      <w:r>
        <w:rPr>
          <w:sz w:val="28"/>
        </w:rPr>
        <w:t>In October 2023, the Sovereign Affairs Committee to the British Irish Parliamentary Assembly raised concerns about the incompatibility of the Electronic Travel Authorisation system with tourism on the island of Ireland and recommended that all permanent residents in NI or Ireland be exempt from</w:t>
      </w:r>
      <w:r>
        <w:rPr>
          <w:spacing w:val="-8"/>
          <w:sz w:val="28"/>
        </w:rPr>
        <w:t> </w:t>
      </w:r>
      <w:r>
        <w:rPr>
          <w:sz w:val="28"/>
        </w:rPr>
        <w:t>the</w:t>
      </w:r>
      <w:r>
        <w:rPr>
          <w:spacing w:val="-8"/>
          <w:sz w:val="28"/>
        </w:rPr>
        <w:t> </w:t>
      </w:r>
      <w:r>
        <w:rPr>
          <w:sz w:val="28"/>
        </w:rPr>
        <w:t>requirement</w:t>
      </w:r>
      <w:r>
        <w:rPr>
          <w:spacing w:val="-8"/>
          <w:sz w:val="28"/>
        </w:rPr>
        <w:t> </w:t>
      </w:r>
      <w:r>
        <w:rPr>
          <w:sz w:val="28"/>
        </w:rPr>
        <w:t>to</w:t>
      </w:r>
      <w:r>
        <w:rPr>
          <w:spacing w:val="-8"/>
          <w:sz w:val="28"/>
        </w:rPr>
        <w:t> </w:t>
      </w:r>
      <w:r>
        <w:rPr>
          <w:sz w:val="28"/>
        </w:rPr>
        <w:t>obtain</w:t>
      </w:r>
      <w:r>
        <w:rPr>
          <w:spacing w:val="-8"/>
          <w:sz w:val="28"/>
        </w:rPr>
        <w:t> </w:t>
      </w:r>
      <w:r>
        <w:rPr>
          <w:sz w:val="28"/>
        </w:rPr>
        <w:t>a</w:t>
      </w:r>
      <w:r>
        <w:rPr>
          <w:spacing w:val="-8"/>
          <w:sz w:val="28"/>
        </w:rPr>
        <w:t> </w:t>
      </w:r>
      <w:r>
        <w:rPr>
          <w:sz w:val="28"/>
        </w:rPr>
        <w:t>visa</w:t>
      </w:r>
      <w:r>
        <w:rPr>
          <w:spacing w:val="-8"/>
          <w:sz w:val="28"/>
        </w:rPr>
        <w:t> </w:t>
      </w:r>
      <w:r>
        <w:rPr>
          <w:sz w:val="28"/>
        </w:rPr>
        <w:t>for</w:t>
      </w:r>
      <w:r>
        <w:rPr>
          <w:spacing w:val="-8"/>
          <w:sz w:val="28"/>
        </w:rPr>
        <w:t> </w:t>
      </w:r>
      <w:r>
        <w:rPr>
          <w:sz w:val="28"/>
        </w:rPr>
        <w:t>short</w:t>
      </w:r>
      <w:r>
        <w:rPr>
          <w:spacing w:val="-8"/>
          <w:sz w:val="28"/>
        </w:rPr>
        <w:t> </w:t>
      </w:r>
      <w:r>
        <w:rPr>
          <w:sz w:val="28"/>
        </w:rPr>
        <w:t>visits</w:t>
      </w:r>
      <w:r>
        <w:rPr>
          <w:spacing w:val="-8"/>
          <w:sz w:val="28"/>
        </w:rPr>
        <w:t> </w:t>
      </w:r>
      <w:r>
        <w:rPr>
          <w:sz w:val="28"/>
        </w:rPr>
        <w:t>to</w:t>
      </w:r>
      <w:r>
        <w:rPr>
          <w:spacing w:val="-8"/>
          <w:sz w:val="28"/>
        </w:rPr>
        <w:t> </w:t>
      </w:r>
      <w:r>
        <w:rPr>
          <w:sz w:val="28"/>
        </w:rPr>
        <w:t>other</w:t>
      </w:r>
      <w:r>
        <w:rPr>
          <w:spacing w:val="-8"/>
          <w:sz w:val="28"/>
        </w:rPr>
        <w:t> </w:t>
      </w:r>
      <w:r>
        <w:rPr>
          <w:sz w:val="28"/>
        </w:rPr>
        <w:t>jurisdictions.</w:t>
      </w:r>
      <w:r>
        <w:rPr>
          <w:sz w:val="28"/>
          <w:vertAlign w:val="superscript"/>
        </w:rPr>
        <w:t>751</w:t>
      </w:r>
    </w:p>
    <w:p>
      <w:pPr>
        <w:pStyle w:val="Heading5"/>
        <w:spacing w:before="298"/>
        <w:ind w:left="1133" w:firstLine="0"/>
      </w:pPr>
      <w:bookmarkStart w:name="Racial Profiling and Immigration Control" w:id="111"/>
      <w:bookmarkEnd w:id="111"/>
      <w:r>
        <w:rPr>
          <w:b w:val="0"/>
        </w:rPr>
      </w:r>
      <w:r>
        <w:rPr>
          <w:color w:val="393B7F"/>
        </w:rPr>
        <w:t>Racial</w:t>
      </w:r>
      <w:r>
        <w:rPr>
          <w:color w:val="393B7F"/>
          <w:spacing w:val="-10"/>
        </w:rPr>
        <w:t> </w:t>
      </w:r>
      <w:r>
        <w:rPr>
          <w:color w:val="393B7F"/>
        </w:rPr>
        <w:t>Profiling</w:t>
      </w:r>
      <w:r>
        <w:rPr>
          <w:color w:val="393B7F"/>
          <w:spacing w:val="-10"/>
        </w:rPr>
        <w:t> </w:t>
      </w:r>
      <w:r>
        <w:rPr>
          <w:color w:val="393B7F"/>
        </w:rPr>
        <w:t>and</w:t>
      </w:r>
      <w:r>
        <w:rPr>
          <w:color w:val="393B7F"/>
          <w:spacing w:val="-10"/>
        </w:rPr>
        <w:t> </w:t>
      </w:r>
      <w:r>
        <w:rPr>
          <w:color w:val="393B7F"/>
        </w:rPr>
        <w:t>Immigration</w:t>
      </w:r>
      <w:r>
        <w:rPr>
          <w:color w:val="393B7F"/>
          <w:spacing w:val="-9"/>
        </w:rPr>
        <w:t> </w:t>
      </w:r>
      <w:r>
        <w:rPr>
          <w:color w:val="393B7F"/>
          <w:spacing w:val="-2"/>
        </w:rPr>
        <w:t>Control</w:t>
      </w:r>
    </w:p>
    <w:p>
      <w:pPr>
        <w:pStyle w:val="ListParagraph"/>
        <w:numPr>
          <w:ilvl w:val="1"/>
          <w:numId w:val="13"/>
        </w:numPr>
        <w:tabs>
          <w:tab w:pos="1853" w:val="left" w:leader="none"/>
        </w:tabs>
        <w:spacing w:line="225" w:lineRule="auto" w:before="330" w:after="0"/>
        <w:ind w:left="1853" w:right="1488" w:hanging="720"/>
        <w:jc w:val="left"/>
        <w:rPr>
          <w:sz w:val="28"/>
        </w:rPr>
      </w:pPr>
      <w:r>
        <w:rPr>
          <w:sz w:val="28"/>
        </w:rPr>
        <w:t>The Commissions have raised concerns about the risk of racial profiling in the context of additional checks arising from EU exit, including in relation</w:t>
      </w:r>
      <w:r>
        <w:rPr>
          <w:sz w:val="28"/>
        </w:rPr>
        <w:t> to changes to Home Office Guidance on the Common Travel Area,</w:t>
      </w:r>
      <w:r>
        <w:rPr>
          <w:sz w:val="28"/>
          <w:vertAlign w:val="superscript"/>
        </w:rPr>
        <w:t>752</w:t>
      </w:r>
      <w:r>
        <w:rPr>
          <w:sz w:val="28"/>
          <w:vertAlign w:val="baseline"/>
        </w:rPr>
        <w:t> the introduction</w:t>
      </w:r>
      <w:r>
        <w:rPr>
          <w:spacing w:val="-10"/>
          <w:sz w:val="28"/>
          <w:vertAlign w:val="baseline"/>
        </w:rPr>
        <w:t> </w:t>
      </w:r>
      <w:r>
        <w:rPr>
          <w:sz w:val="28"/>
          <w:vertAlign w:val="baseline"/>
        </w:rPr>
        <w:t>of</w:t>
      </w:r>
      <w:r>
        <w:rPr>
          <w:spacing w:val="-11"/>
          <w:sz w:val="28"/>
          <w:vertAlign w:val="baseline"/>
        </w:rPr>
        <w:t> </w:t>
      </w:r>
      <w:r>
        <w:rPr>
          <w:sz w:val="28"/>
          <w:vertAlign w:val="baseline"/>
        </w:rPr>
        <w:t>Electronic</w:t>
      </w:r>
      <w:r>
        <w:rPr>
          <w:spacing w:val="-10"/>
          <w:sz w:val="28"/>
          <w:vertAlign w:val="baseline"/>
        </w:rPr>
        <w:t> </w:t>
      </w:r>
      <w:r>
        <w:rPr>
          <w:sz w:val="28"/>
          <w:vertAlign w:val="baseline"/>
        </w:rPr>
        <w:t>Travel</w:t>
      </w:r>
      <w:r>
        <w:rPr>
          <w:spacing w:val="-10"/>
          <w:sz w:val="28"/>
          <w:vertAlign w:val="baseline"/>
        </w:rPr>
        <w:t> </w:t>
      </w:r>
      <w:r>
        <w:rPr>
          <w:sz w:val="28"/>
          <w:vertAlign w:val="baseline"/>
        </w:rPr>
        <w:t>Authorisations</w:t>
      </w:r>
      <w:r>
        <w:rPr>
          <w:spacing w:val="-11"/>
          <w:sz w:val="28"/>
          <w:vertAlign w:val="baseline"/>
        </w:rPr>
        <w:t> </w:t>
      </w:r>
      <w:r>
        <w:rPr>
          <w:sz w:val="28"/>
          <w:vertAlign w:val="baseline"/>
        </w:rPr>
        <w:t>and</w:t>
      </w:r>
      <w:r>
        <w:rPr>
          <w:spacing w:val="-10"/>
          <w:sz w:val="28"/>
          <w:vertAlign w:val="baseline"/>
        </w:rPr>
        <w:t> </w:t>
      </w:r>
      <w:r>
        <w:rPr>
          <w:sz w:val="28"/>
          <w:vertAlign w:val="baseline"/>
        </w:rPr>
        <w:t>the</w:t>
      </w:r>
      <w:r>
        <w:rPr>
          <w:spacing w:val="-10"/>
          <w:sz w:val="28"/>
          <w:vertAlign w:val="baseline"/>
        </w:rPr>
        <w:t> </w:t>
      </w:r>
      <w:r>
        <w:rPr>
          <w:sz w:val="28"/>
          <w:vertAlign w:val="baseline"/>
        </w:rPr>
        <w:t>use</w:t>
      </w:r>
      <w:r>
        <w:rPr>
          <w:spacing w:val="-10"/>
          <w:sz w:val="28"/>
          <w:vertAlign w:val="baseline"/>
        </w:rPr>
        <w:t> </w:t>
      </w:r>
      <w:r>
        <w:rPr>
          <w:sz w:val="28"/>
          <w:vertAlign w:val="baseline"/>
        </w:rPr>
        <w:t>of</w:t>
      </w:r>
      <w:r>
        <w:rPr>
          <w:spacing w:val="-10"/>
          <w:sz w:val="28"/>
          <w:vertAlign w:val="baseline"/>
        </w:rPr>
        <w:t> </w:t>
      </w:r>
      <w:r>
        <w:rPr>
          <w:sz w:val="28"/>
          <w:vertAlign w:val="baseline"/>
        </w:rPr>
        <w:t>‘intelligence- led’ immigration checks.</w:t>
      </w:r>
    </w:p>
    <w:p>
      <w:pPr>
        <w:pStyle w:val="BodyText"/>
        <w:spacing w:before="11"/>
        <w:rPr>
          <w:sz w:val="4"/>
        </w:rPr>
      </w:pPr>
      <w:r>
        <w:rPr/>
        <mc:AlternateContent>
          <mc:Choice Requires="wps">
            <w:drawing>
              <wp:anchor distT="0" distB="0" distL="0" distR="0" allowOverlap="1" layoutInCell="1" locked="0" behindDoc="1" simplePos="0" relativeHeight="487712256">
                <wp:simplePos x="0" y="0"/>
                <wp:positionH relativeFrom="page">
                  <wp:posOffset>719996</wp:posOffset>
                </wp:positionH>
                <wp:positionV relativeFrom="paragraph">
                  <wp:posOffset>53539</wp:posOffset>
                </wp:positionV>
                <wp:extent cx="6120130" cy="1270"/>
                <wp:effectExtent l="0" t="0" r="0" b="0"/>
                <wp:wrapTopAndBottom/>
                <wp:docPr id="559" name="Graphic 559"/>
                <wp:cNvGraphicFramePr>
                  <a:graphicFrameLocks/>
                </wp:cNvGraphicFramePr>
                <a:graphic>
                  <a:graphicData uri="http://schemas.microsoft.com/office/word/2010/wordprocessingShape">
                    <wps:wsp>
                      <wps:cNvPr id="559" name="Graphic 55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4.215725pt;width:481.9pt;height:.1pt;mso-position-horizontal-relative:page;mso-position-vertical-relative:paragraph;z-index:-15604224;mso-wrap-distance-left:0;mso-wrap-distance-right:0" id="docshape504" coordorigin="1134,84" coordsize="9638,0" path="m10772,84l1134,84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18" w:lineRule="auto" w:before="146" w:after="0"/>
        <w:ind w:left="1853" w:right="1375" w:hanging="720"/>
        <w:jc w:val="left"/>
        <w:rPr>
          <w:sz w:val="18"/>
        </w:rPr>
      </w:pPr>
      <w:r>
        <w:rPr>
          <w:sz w:val="18"/>
        </w:rPr>
        <w:t>Under</w:t>
      </w:r>
      <w:r>
        <w:rPr>
          <w:spacing w:val="-5"/>
          <w:sz w:val="18"/>
        </w:rPr>
        <w:t> </w:t>
      </w:r>
      <w:r>
        <w:rPr>
          <w:sz w:val="18"/>
        </w:rPr>
        <w:t>the</w:t>
      </w:r>
      <w:r>
        <w:rPr>
          <w:spacing w:val="-5"/>
          <w:sz w:val="18"/>
        </w:rPr>
        <w:t> </w:t>
      </w:r>
      <w:r>
        <w:rPr>
          <w:sz w:val="18"/>
        </w:rPr>
        <w:t>Windsor</w:t>
      </w:r>
      <w:r>
        <w:rPr>
          <w:spacing w:val="-5"/>
          <w:sz w:val="18"/>
        </w:rPr>
        <w:t> </w:t>
      </w:r>
      <w:r>
        <w:rPr>
          <w:sz w:val="18"/>
        </w:rPr>
        <w:t>Framework,</w:t>
      </w:r>
      <w:r>
        <w:rPr>
          <w:spacing w:val="-5"/>
          <w:sz w:val="18"/>
        </w:rPr>
        <w:t> </w:t>
      </w:r>
      <w:r>
        <w:rPr>
          <w:sz w:val="18"/>
        </w:rPr>
        <w:t>the</w:t>
      </w:r>
      <w:r>
        <w:rPr>
          <w:spacing w:val="-5"/>
          <w:sz w:val="18"/>
        </w:rPr>
        <w:t> </w:t>
      </w:r>
      <w:r>
        <w:rPr>
          <w:sz w:val="18"/>
        </w:rPr>
        <w:t>UK</w:t>
      </w:r>
      <w:r>
        <w:rPr>
          <w:spacing w:val="-5"/>
          <w:sz w:val="18"/>
        </w:rPr>
        <w:t> </w:t>
      </w:r>
      <w:r>
        <w:rPr>
          <w:sz w:val="18"/>
        </w:rPr>
        <w:t>Government</w:t>
      </w:r>
      <w:r>
        <w:rPr>
          <w:spacing w:val="-5"/>
          <w:sz w:val="18"/>
        </w:rPr>
        <w:t> </w:t>
      </w:r>
      <w:r>
        <w:rPr>
          <w:sz w:val="18"/>
        </w:rPr>
        <w:t>committed</w:t>
      </w:r>
      <w:r>
        <w:rPr>
          <w:spacing w:val="-6"/>
          <w:sz w:val="18"/>
        </w:rPr>
        <w:t> </w:t>
      </w:r>
      <w:r>
        <w:rPr>
          <w:sz w:val="18"/>
        </w:rPr>
        <w:t>to</w:t>
      </w:r>
      <w:r>
        <w:rPr>
          <w:spacing w:val="-6"/>
          <w:sz w:val="18"/>
        </w:rPr>
        <w:t> </w:t>
      </w:r>
      <w:r>
        <w:rPr>
          <w:sz w:val="18"/>
        </w:rPr>
        <w:t>avoiding</w:t>
      </w:r>
      <w:r>
        <w:rPr>
          <w:spacing w:val="-5"/>
          <w:sz w:val="18"/>
        </w:rPr>
        <w:t> </w:t>
      </w:r>
      <w:r>
        <w:rPr>
          <w:sz w:val="18"/>
        </w:rPr>
        <w:t>a</w:t>
      </w:r>
      <w:r>
        <w:rPr>
          <w:spacing w:val="-6"/>
          <w:sz w:val="18"/>
        </w:rPr>
        <w:t> </w:t>
      </w:r>
      <w:r>
        <w:rPr>
          <w:sz w:val="18"/>
        </w:rPr>
        <w:t>hard</w:t>
      </w:r>
      <w:r>
        <w:rPr>
          <w:spacing w:val="-6"/>
          <w:sz w:val="18"/>
        </w:rPr>
        <w:t> </w:t>
      </w:r>
      <w:r>
        <w:rPr>
          <w:sz w:val="18"/>
        </w:rPr>
        <w:t>border,</w:t>
      </w:r>
      <w:r>
        <w:rPr>
          <w:spacing w:val="-5"/>
          <w:sz w:val="18"/>
        </w:rPr>
        <w:t> </w:t>
      </w:r>
      <w:r>
        <w:rPr>
          <w:sz w:val="18"/>
        </w:rPr>
        <w:t>including</w:t>
      </w:r>
      <w:r>
        <w:rPr>
          <w:spacing w:val="-5"/>
          <w:sz w:val="18"/>
        </w:rPr>
        <w:t> </w:t>
      </w:r>
      <w:r>
        <w:rPr>
          <w:sz w:val="18"/>
        </w:rPr>
        <w:t>related</w:t>
      </w:r>
      <w:r>
        <w:rPr>
          <w:spacing w:val="-6"/>
          <w:sz w:val="18"/>
        </w:rPr>
        <w:t> </w:t>
      </w:r>
      <w:r>
        <w:rPr>
          <w:sz w:val="18"/>
        </w:rPr>
        <w:t>checks</w:t>
      </w:r>
      <w:r>
        <w:rPr>
          <w:spacing w:val="-6"/>
          <w:sz w:val="18"/>
        </w:rPr>
        <w:t> </w:t>
      </w:r>
      <w:r>
        <w:rPr>
          <w:sz w:val="18"/>
        </w:rPr>
        <w:t>and controls, and gave undertakings in respect of protecting North-South co-operation and the Common Travel Area.</w:t>
      </w:r>
    </w:p>
    <w:p>
      <w:pPr>
        <w:pStyle w:val="ListParagraph"/>
        <w:numPr>
          <w:ilvl w:val="0"/>
          <w:numId w:val="11"/>
        </w:numPr>
        <w:tabs>
          <w:tab w:pos="1853" w:val="left" w:leader="none"/>
        </w:tabs>
        <w:spacing w:line="218" w:lineRule="auto" w:before="0" w:after="0"/>
        <w:ind w:left="1853" w:right="1304" w:hanging="720"/>
        <w:jc w:val="left"/>
        <w:rPr>
          <w:sz w:val="18"/>
        </w:rPr>
      </w:pP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and</w:t>
      </w:r>
      <w:r>
        <w:rPr>
          <w:spacing w:val="-4"/>
          <w:sz w:val="18"/>
        </w:rPr>
        <w:t> </w:t>
      </w:r>
      <w:r>
        <w:rPr>
          <w:sz w:val="18"/>
        </w:rPr>
        <w:t>Equality</w:t>
      </w:r>
      <w:r>
        <w:rPr>
          <w:spacing w:val="-3"/>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‘Joint</w:t>
      </w:r>
      <w:r>
        <w:rPr>
          <w:spacing w:val="-3"/>
          <w:sz w:val="18"/>
        </w:rPr>
        <w:t> </w:t>
      </w: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Commission/Equality</w:t>
      </w:r>
      <w:r>
        <w:rPr>
          <w:spacing w:val="-3"/>
          <w:sz w:val="18"/>
        </w:rPr>
        <w:t> </w:t>
      </w:r>
      <w:r>
        <w:rPr>
          <w:sz w:val="18"/>
        </w:rPr>
        <w:t>Commission for NI Briefing Paper in the Modern Slavery and Human Trafficking and Electronic Travel Authorisation Provisions in the Nationality and Borders Bill’ (NIHRC and ECNI, 2022), at 13-14. Letter from NI Human Rights Commission and Equality Commission</w:t>
      </w:r>
      <w:r>
        <w:rPr>
          <w:spacing w:val="-5"/>
          <w:sz w:val="18"/>
        </w:rPr>
        <w:t> </w:t>
      </w:r>
      <w:r>
        <w:rPr>
          <w:sz w:val="18"/>
        </w:rPr>
        <w:t>for</w:t>
      </w:r>
      <w:r>
        <w:rPr>
          <w:spacing w:val="-4"/>
          <w:sz w:val="18"/>
        </w:rPr>
        <w:t> </w:t>
      </w:r>
      <w:r>
        <w:rPr>
          <w:sz w:val="18"/>
        </w:rPr>
        <w:t>NI</w:t>
      </w:r>
      <w:r>
        <w:rPr>
          <w:spacing w:val="-4"/>
          <w:sz w:val="18"/>
        </w:rPr>
        <w:t> </w:t>
      </w:r>
      <w:r>
        <w:rPr>
          <w:sz w:val="18"/>
        </w:rPr>
        <w:t>to</w:t>
      </w:r>
      <w:r>
        <w:rPr>
          <w:spacing w:val="-5"/>
          <w:sz w:val="18"/>
        </w:rPr>
        <w:t> </w:t>
      </w:r>
      <w:r>
        <w:rPr>
          <w:sz w:val="18"/>
        </w:rPr>
        <w:t>Home</w:t>
      </w:r>
      <w:r>
        <w:rPr>
          <w:spacing w:val="-4"/>
          <w:sz w:val="18"/>
        </w:rPr>
        <w:t> </w:t>
      </w:r>
      <w:r>
        <w:rPr>
          <w:sz w:val="18"/>
        </w:rPr>
        <w:t>Office,</w:t>
      </w:r>
      <w:r>
        <w:rPr>
          <w:spacing w:val="-4"/>
          <w:sz w:val="18"/>
        </w:rPr>
        <w:t> </w:t>
      </w:r>
      <w:r>
        <w:rPr>
          <w:sz w:val="18"/>
        </w:rPr>
        <w:t>9</w:t>
      </w:r>
      <w:r>
        <w:rPr>
          <w:spacing w:val="-4"/>
          <w:sz w:val="18"/>
        </w:rPr>
        <w:t> </w:t>
      </w:r>
      <w:r>
        <w:rPr>
          <w:sz w:val="18"/>
        </w:rPr>
        <w:t>February</w:t>
      </w:r>
      <w:r>
        <w:rPr>
          <w:spacing w:val="-4"/>
          <w:sz w:val="18"/>
        </w:rPr>
        <w:t> </w:t>
      </w:r>
      <w:r>
        <w:rPr>
          <w:sz w:val="18"/>
        </w:rPr>
        <w:t>2022;</w:t>
      </w:r>
      <w:r>
        <w:rPr>
          <w:spacing w:val="-4"/>
          <w:sz w:val="18"/>
        </w:rPr>
        <w:t> </w:t>
      </w:r>
      <w:r>
        <w:rPr>
          <w:sz w:val="18"/>
        </w:rPr>
        <w:t>Letter</w:t>
      </w:r>
      <w:r>
        <w:rPr>
          <w:spacing w:val="-4"/>
          <w:sz w:val="18"/>
        </w:rPr>
        <w:t> </w:t>
      </w:r>
      <w:r>
        <w:rPr>
          <w:sz w:val="18"/>
        </w:rPr>
        <w:t>from</w:t>
      </w:r>
      <w:r>
        <w:rPr>
          <w:spacing w:val="-4"/>
          <w:sz w:val="18"/>
        </w:rPr>
        <w:t> </w:t>
      </w: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5"/>
          <w:sz w:val="18"/>
        </w:rPr>
        <w:t> </w:t>
      </w:r>
      <w:r>
        <w:rPr>
          <w:sz w:val="18"/>
        </w:rPr>
        <w:t>and</w:t>
      </w:r>
      <w:r>
        <w:rPr>
          <w:spacing w:val="-5"/>
          <w:sz w:val="18"/>
        </w:rPr>
        <w:t> </w:t>
      </w:r>
      <w:r>
        <w:rPr>
          <w:sz w:val="18"/>
        </w:rPr>
        <w:t>Equality</w:t>
      </w:r>
      <w:r>
        <w:rPr>
          <w:spacing w:val="-4"/>
          <w:sz w:val="18"/>
        </w:rPr>
        <w:t> </w:t>
      </w:r>
      <w:r>
        <w:rPr>
          <w:sz w:val="18"/>
        </w:rPr>
        <w:t>Commission for NI to NI Office, 9 February 2022.</w:t>
      </w:r>
    </w:p>
    <w:p>
      <w:pPr>
        <w:pStyle w:val="ListParagraph"/>
        <w:numPr>
          <w:ilvl w:val="0"/>
          <w:numId w:val="11"/>
        </w:numPr>
        <w:tabs>
          <w:tab w:pos="1853" w:val="left" w:leader="none"/>
        </w:tabs>
        <w:spacing w:line="218" w:lineRule="auto" w:before="0" w:after="0"/>
        <w:ind w:left="1853" w:right="1411" w:hanging="720"/>
        <w:jc w:val="left"/>
        <w:rPr>
          <w:sz w:val="18"/>
        </w:rPr>
      </w:pPr>
      <w:r>
        <w:rPr>
          <w:sz w:val="18"/>
        </w:rPr>
        <w:t>Letter</w:t>
      </w:r>
      <w:r>
        <w:rPr>
          <w:spacing w:val="-5"/>
          <w:sz w:val="18"/>
        </w:rPr>
        <w:t> </w:t>
      </w:r>
      <w:r>
        <w:rPr>
          <w:sz w:val="18"/>
        </w:rPr>
        <w:t>from</w:t>
      </w:r>
      <w:r>
        <w:rPr>
          <w:spacing w:val="-5"/>
          <w:sz w:val="18"/>
        </w:rPr>
        <w:t> </w:t>
      </w:r>
      <w:r>
        <w:rPr>
          <w:sz w:val="18"/>
        </w:rPr>
        <w:t>Minister</w:t>
      </w:r>
      <w:r>
        <w:rPr>
          <w:spacing w:val="-5"/>
          <w:sz w:val="18"/>
        </w:rPr>
        <w:t> </w:t>
      </w:r>
      <w:r>
        <w:rPr>
          <w:sz w:val="18"/>
        </w:rPr>
        <w:t>for</w:t>
      </w:r>
      <w:r>
        <w:rPr>
          <w:spacing w:val="-5"/>
          <w:sz w:val="18"/>
        </w:rPr>
        <w:t> </w:t>
      </w:r>
      <w:r>
        <w:rPr>
          <w:sz w:val="18"/>
        </w:rPr>
        <w:t>the</w:t>
      </w:r>
      <w:r>
        <w:rPr>
          <w:spacing w:val="-5"/>
          <w:sz w:val="18"/>
        </w:rPr>
        <w:t> </w:t>
      </w:r>
      <w:r>
        <w:rPr>
          <w:sz w:val="18"/>
        </w:rPr>
        <w:t>Home</w:t>
      </w:r>
      <w:r>
        <w:rPr>
          <w:spacing w:val="-5"/>
          <w:sz w:val="18"/>
        </w:rPr>
        <w:t> </w:t>
      </w:r>
      <w:r>
        <w:rPr>
          <w:sz w:val="18"/>
        </w:rPr>
        <w:t>Office,</w:t>
      </w:r>
      <w:r>
        <w:rPr>
          <w:spacing w:val="-5"/>
          <w:sz w:val="18"/>
        </w:rPr>
        <w:t> </w:t>
      </w:r>
      <w:r>
        <w:rPr>
          <w:sz w:val="18"/>
        </w:rPr>
        <w:t>Baroness</w:t>
      </w:r>
      <w:r>
        <w:rPr>
          <w:spacing w:val="-6"/>
          <w:sz w:val="18"/>
        </w:rPr>
        <w:t> </w:t>
      </w:r>
      <w:r>
        <w:rPr>
          <w:sz w:val="18"/>
        </w:rPr>
        <w:t>Williams</w:t>
      </w:r>
      <w:r>
        <w:rPr>
          <w:spacing w:val="-6"/>
          <w:sz w:val="18"/>
        </w:rPr>
        <w:t> </w:t>
      </w:r>
      <w:r>
        <w:rPr>
          <w:sz w:val="18"/>
        </w:rPr>
        <w:t>of</w:t>
      </w:r>
      <w:r>
        <w:rPr>
          <w:spacing w:val="-6"/>
          <w:sz w:val="18"/>
        </w:rPr>
        <w:t> </w:t>
      </w:r>
      <w:r>
        <w:rPr>
          <w:sz w:val="18"/>
        </w:rPr>
        <w:t>Trafford,</w:t>
      </w:r>
      <w:r>
        <w:rPr>
          <w:spacing w:val="-5"/>
          <w:sz w:val="18"/>
        </w:rPr>
        <w:t> </w:t>
      </w:r>
      <w:r>
        <w:rPr>
          <w:sz w:val="18"/>
        </w:rPr>
        <w:t>to</w:t>
      </w:r>
      <w:r>
        <w:rPr>
          <w:spacing w:val="-6"/>
          <w:sz w:val="18"/>
        </w:rPr>
        <w:t> </w:t>
      </w:r>
      <w:r>
        <w:rPr>
          <w:sz w:val="18"/>
        </w:rPr>
        <w:t>the</w:t>
      </w:r>
      <w:r>
        <w:rPr>
          <w:spacing w:val="-5"/>
          <w:sz w:val="18"/>
        </w:rPr>
        <w:t> </w:t>
      </w:r>
      <w:r>
        <w:rPr>
          <w:sz w:val="18"/>
        </w:rPr>
        <w:t>Chair</w:t>
      </w:r>
      <w:r>
        <w:rPr>
          <w:spacing w:val="-5"/>
          <w:sz w:val="18"/>
        </w:rPr>
        <w:t> </w:t>
      </w:r>
      <w:r>
        <w:rPr>
          <w:sz w:val="18"/>
        </w:rPr>
        <w:t>of</w:t>
      </w:r>
      <w:r>
        <w:rPr>
          <w:spacing w:val="-6"/>
          <w:sz w:val="18"/>
        </w:rPr>
        <w:t> </w:t>
      </w:r>
      <w:r>
        <w:rPr>
          <w:sz w:val="18"/>
        </w:rPr>
        <w:t>the</w:t>
      </w:r>
      <w:r>
        <w:rPr>
          <w:spacing w:val="-5"/>
          <w:sz w:val="18"/>
        </w:rPr>
        <w:t> </w:t>
      </w:r>
      <w:r>
        <w:rPr>
          <w:sz w:val="18"/>
        </w:rPr>
        <w:t>Protocol</w:t>
      </w:r>
      <w:r>
        <w:rPr>
          <w:spacing w:val="-6"/>
          <w:sz w:val="18"/>
        </w:rPr>
        <w:t> </w:t>
      </w:r>
      <w:r>
        <w:rPr>
          <w:sz w:val="18"/>
        </w:rPr>
        <w:t>on</w:t>
      </w:r>
      <w:r>
        <w:rPr>
          <w:spacing w:val="-6"/>
          <w:sz w:val="18"/>
        </w:rPr>
        <w:t> </w:t>
      </w:r>
      <w:r>
        <w:rPr>
          <w:sz w:val="18"/>
        </w:rPr>
        <w:t>Ireland/NI</w:t>
      </w:r>
      <w:r>
        <w:rPr>
          <w:spacing w:val="-5"/>
          <w:sz w:val="18"/>
        </w:rPr>
        <w:t> </w:t>
      </w:r>
      <w:r>
        <w:rPr>
          <w:sz w:val="18"/>
        </w:rPr>
        <w:t>Sub- Committee, Lord Jay of Ewelme, 1 April 2022. In response to Letter from Chair of the Protocol on Ireland/NI Sub- Committee, Lord Jay of Ewelme, to Minister for the Home Office, Baroness Williams of Trafford, 3 March 2022.</w:t>
      </w:r>
    </w:p>
    <w:p>
      <w:pPr>
        <w:pStyle w:val="ListParagraph"/>
        <w:numPr>
          <w:ilvl w:val="0"/>
          <w:numId w:val="11"/>
        </w:numPr>
        <w:tabs>
          <w:tab w:pos="1853" w:val="left" w:leader="none"/>
        </w:tabs>
        <w:spacing w:line="210" w:lineRule="exact" w:before="1" w:after="0"/>
        <w:ind w:left="1853" w:right="0" w:hanging="720"/>
        <w:jc w:val="left"/>
        <w:rPr>
          <w:sz w:val="18"/>
        </w:rPr>
      </w:pPr>
      <w:r>
        <w:rPr>
          <w:sz w:val="18"/>
        </w:rPr>
        <w:t>Home</w:t>
      </w:r>
      <w:r>
        <w:rPr>
          <w:spacing w:val="-5"/>
          <w:sz w:val="18"/>
        </w:rPr>
        <w:t> </w:t>
      </w:r>
      <w:r>
        <w:rPr>
          <w:sz w:val="18"/>
        </w:rPr>
        <w:t>Office,</w:t>
      </w:r>
      <w:r>
        <w:rPr>
          <w:spacing w:val="-5"/>
          <w:sz w:val="18"/>
        </w:rPr>
        <w:t> </w:t>
      </w:r>
      <w:r>
        <w:rPr>
          <w:sz w:val="18"/>
        </w:rPr>
        <w:t>‘Statement</w:t>
      </w:r>
      <w:r>
        <w:rPr>
          <w:spacing w:val="-5"/>
          <w:sz w:val="18"/>
        </w:rPr>
        <w:t> </w:t>
      </w:r>
      <w:r>
        <w:rPr>
          <w:sz w:val="18"/>
        </w:rPr>
        <w:t>of</w:t>
      </w:r>
      <w:r>
        <w:rPr>
          <w:spacing w:val="-6"/>
          <w:sz w:val="18"/>
        </w:rPr>
        <w:t> </w:t>
      </w:r>
      <w:r>
        <w:rPr>
          <w:sz w:val="18"/>
        </w:rPr>
        <w:t>changes</w:t>
      </w:r>
      <w:r>
        <w:rPr>
          <w:spacing w:val="-5"/>
          <w:sz w:val="18"/>
        </w:rPr>
        <w:t> </w:t>
      </w:r>
      <w:r>
        <w:rPr>
          <w:sz w:val="18"/>
        </w:rPr>
        <w:t>to</w:t>
      </w:r>
      <w:r>
        <w:rPr>
          <w:spacing w:val="-6"/>
          <w:sz w:val="18"/>
        </w:rPr>
        <w:t> </w:t>
      </w:r>
      <w:r>
        <w:rPr>
          <w:sz w:val="18"/>
        </w:rPr>
        <w:t>the</w:t>
      </w:r>
      <w:r>
        <w:rPr>
          <w:spacing w:val="-5"/>
          <w:sz w:val="18"/>
        </w:rPr>
        <w:t> </w:t>
      </w:r>
      <w:r>
        <w:rPr>
          <w:sz w:val="18"/>
        </w:rPr>
        <w:t>immigration</w:t>
      </w:r>
      <w:r>
        <w:rPr>
          <w:spacing w:val="-6"/>
          <w:sz w:val="18"/>
        </w:rPr>
        <w:t> </w:t>
      </w:r>
      <w:r>
        <w:rPr>
          <w:sz w:val="18"/>
        </w:rPr>
        <w:t>rules</w:t>
      </w:r>
      <w:r>
        <w:rPr>
          <w:spacing w:val="-5"/>
          <w:sz w:val="18"/>
        </w:rPr>
        <w:t> </w:t>
      </w:r>
      <w:r>
        <w:rPr>
          <w:sz w:val="18"/>
        </w:rPr>
        <w:t>-</w:t>
      </w:r>
      <w:r>
        <w:rPr>
          <w:spacing w:val="-6"/>
          <w:sz w:val="18"/>
        </w:rPr>
        <w:t> </w:t>
      </w:r>
      <w:r>
        <w:rPr>
          <w:sz w:val="18"/>
        </w:rPr>
        <w:t>HC</w:t>
      </w:r>
      <w:r>
        <w:rPr>
          <w:spacing w:val="-6"/>
          <w:sz w:val="18"/>
        </w:rPr>
        <w:t> </w:t>
      </w:r>
      <w:r>
        <w:rPr>
          <w:sz w:val="18"/>
        </w:rPr>
        <w:t>1160’,</w:t>
      </w:r>
      <w:r>
        <w:rPr>
          <w:spacing w:val="-4"/>
          <w:sz w:val="18"/>
        </w:rPr>
        <w:t> </w:t>
      </w:r>
      <w:r>
        <w:rPr>
          <w:sz w:val="18"/>
        </w:rPr>
        <w:t>9</w:t>
      </w:r>
      <w:r>
        <w:rPr>
          <w:spacing w:val="-5"/>
          <w:sz w:val="18"/>
        </w:rPr>
        <w:t> </w:t>
      </w:r>
      <w:r>
        <w:rPr>
          <w:sz w:val="18"/>
        </w:rPr>
        <w:t>March</w:t>
      </w:r>
      <w:r>
        <w:rPr>
          <w:spacing w:val="-6"/>
          <w:sz w:val="18"/>
        </w:rPr>
        <w:t> </w:t>
      </w:r>
      <w:r>
        <w:rPr>
          <w:spacing w:val="-2"/>
          <w:sz w:val="18"/>
        </w:rPr>
        <w:t>2023.</w:t>
      </w:r>
    </w:p>
    <w:p>
      <w:pPr>
        <w:pStyle w:val="ListParagraph"/>
        <w:numPr>
          <w:ilvl w:val="0"/>
          <w:numId w:val="11"/>
        </w:numPr>
        <w:tabs>
          <w:tab w:pos="1853" w:val="left" w:leader="none"/>
        </w:tabs>
        <w:spacing w:line="218" w:lineRule="auto" w:before="5" w:after="0"/>
        <w:ind w:left="1853" w:right="1401" w:hanging="720"/>
        <w:jc w:val="left"/>
        <w:rPr>
          <w:sz w:val="18"/>
        </w:rPr>
      </w:pPr>
      <w:r>
        <w:rPr>
          <w:sz w:val="18"/>
        </w:rPr>
        <w:t>Sovereign</w:t>
      </w:r>
      <w:r>
        <w:rPr>
          <w:spacing w:val="-9"/>
          <w:sz w:val="18"/>
        </w:rPr>
        <w:t> </w:t>
      </w:r>
      <w:r>
        <w:rPr>
          <w:sz w:val="18"/>
        </w:rPr>
        <w:t>Affairs</w:t>
      </w:r>
      <w:r>
        <w:rPr>
          <w:spacing w:val="-9"/>
          <w:sz w:val="18"/>
        </w:rPr>
        <w:t> </w:t>
      </w:r>
      <w:r>
        <w:rPr>
          <w:sz w:val="18"/>
        </w:rPr>
        <w:t>Committee</w:t>
      </w:r>
      <w:r>
        <w:rPr>
          <w:spacing w:val="-8"/>
          <w:sz w:val="18"/>
        </w:rPr>
        <w:t> </w:t>
      </w:r>
      <w:r>
        <w:rPr>
          <w:sz w:val="18"/>
        </w:rPr>
        <w:t>(Committee</w:t>
      </w:r>
      <w:r>
        <w:rPr>
          <w:spacing w:val="-8"/>
          <w:sz w:val="18"/>
        </w:rPr>
        <w:t> </w:t>
      </w:r>
      <w:r>
        <w:rPr>
          <w:sz w:val="18"/>
        </w:rPr>
        <w:t>A)</w:t>
      </w:r>
      <w:r>
        <w:rPr>
          <w:spacing w:val="-9"/>
          <w:sz w:val="18"/>
        </w:rPr>
        <w:t> </w:t>
      </w:r>
      <w:r>
        <w:rPr>
          <w:sz w:val="18"/>
        </w:rPr>
        <w:t>of</w:t>
      </w:r>
      <w:r>
        <w:rPr>
          <w:spacing w:val="-9"/>
          <w:sz w:val="18"/>
        </w:rPr>
        <w:t> </w:t>
      </w:r>
      <w:r>
        <w:rPr>
          <w:sz w:val="18"/>
        </w:rPr>
        <w:t>the</w:t>
      </w:r>
      <w:r>
        <w:rPr>
          <w:spacing w:val="-8"/>
          <w:sz w:val="18"/>
        </w:rPr>
        <w:t> </w:t>
      </w:r>
      <w:r>
        <w:rPr>
          <w:sz w:val="18"/>
        </w:rPr>
        <w:t>British</w:t>
      </w:r>
      <w:r>
        <w:rPr>
          <w:spacing w:val="-9"/>
          <w:sz w:val="18"/>
        </w:rPr>
        <w:t> </w:t>
      </w:r>
      <w:r>
        <w:rPr>
          <w:sz w:val="18"/>
        </w:rPr>
        <w:t>Irish</w:t>
      </w:r>
      <w:r>
        <w:rPr>
          <w:spacing w:val="-9"/>
          <w:sz w:val="18"/>
        </w:rPr>
        <w:t> </w:t>
      </w:r>
      <w:r>
        <w:rPr>
          <w:sz w:val="18"/>
        </w:rPr>
        <w:t>Parliamentary</w:t>
      </w:r>
      <w:r>
        <w:rPr>
          <w:spacing w:val="-8"/>
          <w:sz w:val="18"/>
        </w:rPr>
        <w:t> </w:t>
      </w:r>
      <w:r>
        <w:rPr>
          <w:sz w:val="18"/>
        </w:rPr>
        <w:t>Assembly,</w:t>
      </w:r>
      <w:r>
        <w:rPr>
          <w:spacing w:val="-8"/>
          <w:sz w:val="18"/>
        </w:rPr>
        <w:t> </w:t>
      </w:r>
      <w:r>
        <w:rPr>
          <w:sz w:val="18"/>
        </w:rPr>
        <w:t>‘Protecting</w:t>
      </w:r>
      <w:r>
        <w:rPr>
          <w:spacing w:val="-8"/>
          <w:sz w:val="18"/>
        </w:rPr>
        <w:t> </w:t>
      </w:r>
      <w:r>
        <w:rPr>
          <w:sz w:val="18"/>
        </w:rPr>
        <w:t>the</w:t>
      </w:r>
      <w:r>
        <w:rPr>
          <w:spacing w:val="-8"/>
          <w:sz w:val="18"/>
        </w:rPr>
        <w:t> </w:t>
      </w:r>
      <w:r>
        <w:rPr>
          <w:sz w:val="18"/>
        </w:rPr>
        <w:t>Common</w:t>
      </w:r>
      <w:r>
        <w:rPr>
          <w:spacing w:val="-9"/>
          <w:sz w:val="18"/>
        </w:rPr>
        <w:t> </w:t>
      </w:r>
      <w:r>
        <w:rPr>
          <w:sz w:val="18"/>
        </w:rPr>
        <w:t>Travel Area in the Post-Brexit Era’ (BIPA, 2023).</w:t>
      </w:r>
    </w:p>
    <w:p>
      <w:pPr>
        <w:pStyle w:val="ListParagraph"/>
        <w:numPr>
          <w:ilvl w:val="0"/>
          <w:numId w:val="11"/>
        </w:numPr>
        <w:tabs>
          <w:tab w:pos="1853" w:val="left" w:leader="none"/>
        </w:tabs>
        <w:spacing w:line="240" w:lineRule="auto" w:before="1" w:after="0"/>
        <w:ind w:left="1853" w:right="0" w:hanging="720"/>
        <w:jc w:val="left"/>
        <w:rPr>
          <w:sz w:val="18"/>
        </w:rPr>
      </w:pPr>
      <w:r>
        <w:rPr>
          <w:sz w:val="18"/>
        </w:rPr>
        <w:t>Home</w:t>
      </w:r>
      <w:r>
        <w:rPr>
          <w:spacing w:val="-8"/>
          <w:sz w:val="18"/>
        </w:rPr>
        <w:t> </w:t>
      </w:r>
      <w:r>
        <w:rPr>
          <w:sz w:val="18"/>
        </w:rPr>
        <w:t>Office,</w:t>
      </w:r>
      <w:r>
        <w:rPr>
          <w:spacing w:val="-8"/>
          <w:sz w:val="18"/>
        </w:rPr>
        <w:t> </w:t>
      </w:r>
      <w:r>
        <w:rPr>
          <w:sz w:val="18"/>
        </w:rPr>
        <w:t>‘Common</w:t>
      </w:r>
      <w:r>
        <w:rPr>
          <w:spacing w:val="-9"/>
          <w:sz w:val="18"/>
        </w:rPr>
        <w:t> </w:t>
      </w:r>
      <w:r>
        <w:rPr>
          <w:sz w:val="18"/>
        </w:rPr>
        <w:t>Travel</w:t>
      </w:r>
      <w:r>
        <w:rPr>
          <w:spacing w:val="-8"/>
          <w:sz w:val="18"/>
        </w:rPr>
        <w:t> </w:t>
      </w:r>
      <w:r>
        <w:rPr>
          <w:sz w:val="18"/>
        </w:rPr>
        <w:t>Area</w:t>
      </w:r>
      <w:r>
        <w:rPr>
          <w:spacing w:val="-9"/>
          <w:sz w:val="18"/>
        </w:rPr>
        <w:t> </w:t>
      </w:r>
      <w:r>
        <w:rPr>
          <w:sz w:val="18"/>
        </w:rPr>
        <w:t>(Immigration</w:t>
      </w:r>
      <w:r>
        <w:rPr>
          <w:spacing w:val="-9"/>
          <w:sz w:val="18"/>
        </w:rPr>
        <w:t> </w:t>
      </w:r>
      <w:r>
        <w:rPr>
          <w:sz w:val="18"/>
        </w:rPr>
        <w:t>Staff</w:t>
      </w:r>
      <w:r>
        <w:rPr>
          <w:spacing w:val="-8"/>
          <w:sz w:val="18"/>
        </w:rPr>
        <w:t> </w:t>
      </w:r>
      <w:r>
        <w:rPr>
          <w:sz w:val="18"/>
        </w:rPr>
        <w:t>Guidance)</w:t>
      </w:r>
      <w:r>
        <w:rPr>
          <w:spacing w:val="-9"/>
          <w:sz w:val="18"/>
        </w:rPr>
        <w:t> </w:t>
      </w:r>
      <w:r>
        <w:rPr>
          <w:sz w:val="18"/>
        </w:rPr>
        <w:t>–</w:t>
      </w:r>
      <w:r>
        <w:rPr>
          <w:spacing w:val="-8"/>
          <w:sz w:val="18"/>
        </w:rPr>
        <w:t> </w:t>
      </w:r>
      <w:r>
        <w:rPr>
          <w:sz w:val="18"/>
        </w:rPr>
        <w:t>Version</w:t>
      </w:r>
      <w:r>
        <w:rPr>
          <w:spacing w:val="-9"/>
          <w:sz w:val="18"/>
        </w:rPr>
        <w:t> </w:t>
      </w:r>
      <w:r>
        <w:rPr>
          <w:sz w:val="18"/>
        </w:rPr>
        <w:t>12.0’</w:t>
      </w:r>
      <w:r>
        <w:rPr>
          <w:spacing w:val="-8"/>
          <w:sz w:val="18"/>
        </w:rPr>
        <w:t> </w:t>
      </w:r>
      <w:r>
        <w:rPr>
          <w:sz w:val="18"/>
        </w:rPr>
        <w:t>(HO,</w:t>
      </w:r>
      <w:r>
        <w:rPr>
          <w:spacing w:val="-8"/>
          <w:sz w:val="18"/>
        </w:rPr>
        <w:t> </w:t>
      </w:r>
      <w:r>
        <w:rPr>
          <w:spacing w:val="-2"/>
          <w:sz w:val="18"/>
        </w:rPr>
        <w:t>2022).</w:t>
      </w:r>
    </w:p>
    <w:p>
      <w:pPr>
        <w:spacing w:after="0" w:line="240" w:lineRule="auto"/>
        <w:jc w:val="left"/>
        <w:rPr>
          <w:sz w:val="18"/>
        </w:rPr>
        <w:sectPr>
          <w:pgSz w:w="11910" w:h="16840"/>
          <w:pgMar w:header="496" w:footer="367" w:top="1220" w:bottom="560" w:left="0" w:right="0"/>
        </w:sectPr>
      </w:pPr>
    </w:p>
    <w:p>
      <w:pPr>
        <w:pStyle w:val="BodyText"/>
        <w:spacing w:before="198"/>
      </w:pPr>
    </w:p>
    <w:p>
      <w:pPr>
        <w:pStyle w:val="ListParagraph"/>
        <w:numPr>
          <w:ilvl w:val="1"/>
          <w:numId w:val="13"/>
        </w:numPr>
        <w:tabs>
          <w:tab w:pos="1853" w:val="left" w:leader="none"/>
        </w:tabs>
        <w:spacing w:line="225" w:lineRule="auto" w:before="0" w:after="0"/>
        <w:ind w:left="1853" w:right="1235" w:hanging="720"/>
        <w:jc w:val="left"/>
        <w:rPr>
          <w:sz w:val="28"/>
        </w:rPr>
      </w:pPr>
      <w:r>
        <w:rPr>
          <w:sz w:val="28"/>
        </w:rPr>
        <w:t>In</w:t>
      </w:r>
      <w:r>
        <w:rPr>
          <w:spacing w:val="-4"/>
          <w:sz w:val="28"/>
        </w:rPr>
        <w:t> </w:t>
      </w:r>
      <w:r>
        <w:rPr>
          <w:sz w:val="28"/>
        </w:rPr>
        <w:t>2021/2022,</w:t>
      </w:r>
      <w:r>
        <w:rPr>
          <w:spacing w:val="-4"/>
          <w:sz w:val="28"/>
        </w:rPr>
        <w:t> </w:t>
      </w:r>
      <w:r>
        <w:rPr>
          <w:sz w:val="28"/>
        </w:rPr>
        <w:t>the</w:t>
      </w:r>
      <w:r>
        <w:rPr>
          <w:spacing w:val="-4"/>
          <w:sz w:val="28"/>
        </w:rPr>
        <w:t> </w:t>
      </w:r>
      <w:r>
        <w:rPr>
          <w:sz w:val="28"/>
        </w:rPr>
        <w:t>Commissions</w:t>
      </w:r>
      <w:r>
        <w:rPr>
          <w:spacing w:val="-4"/>
          <w:sz w:val="28"/>
        </w:rPr>
        <w:t> </w:t>
      </w:r>
      <w:r>
        <w:rPr>
          <w:sz w:val="28"/>
        </w:rPr>
        <w:t>wrote</w:t>
      </w:r>
      <w:r>
        <w:rPr>
          <w:spacing w:val="-4"/>
          <w:sz w:val="28"/>
        </w:rPr>
        <w:t> </w:t>
      </w:r>
      <w:r>
        <w:rPr>
          <w:sz w:val="28"/>
        </w:rPr>
        <w:t>separately</w:t>
      </w:r>
      <w:r>
        <w:rPr>
          <w:spacing w:val="-4"/>
          <w:sz w:val="28"/>
        </w:rPr>
        <w:t> </w:t>
      </w:r>
      <w:r>
        <w:rPr>
          <w:sz w:val="28"/>
        </w:rPr>
        <w:t>to</w:t>
      </w:r>
      <w:r>
        <w:rPr>
          <w:spacing w:val="-4"/>
          <w:sz w:val="28"/>
        </w:rPr>
        <w:t> </w:t>
      </w:r>
      <w:r>
        <w:rPr>
          <w:sz w:val="28"/>
        </w:rPr>
        <w:t>the</w:t>
      </w:r>
      <w:r>
        <w:rPr>
          <w:spacing w:val="-4"/>
          <w:sz w:val="28"/>
        </w:rPr>
        <w:t> </w:t>
      </w:r>
      <w:r>
        <w:rPr>
          <w:sz w:val="28"/>
        </w:rPr>
        <w:t>Secretary</w:t>
      </w:r>
      <w:r>
        <w:rPr>
          <w:spacing w:val="-4"/>
          <w:sz w:val="28"/>
        </w:rPr>
        <w:t> </w:t>
      </w:r>
      <w:r>
        <w:rPr>
          <w:sz w:val="28"/>
        </w:rPr>
        <w:t>of</w:t>
      </w:r>
      <w:r>
        <w:rPr>
          <w:spacing w:val="-4"/>
          <w:sz w:val="28"/>
        </w:rPr>
        <w:t> </w:t>
      </w:r>
      <w:r>
        <w:rPr>
          <w:sz w:val="28"/>
        </w:rPr>
        <w:t>State</w:t>
      </w:r>
      <w:r>
        <w:rPr>
          <w:spacing w:val="-4"/>
          <w:sz w:val="28"/>
        </w:rPr>
        <w:t> </w:t>
      </w:r>
      <w:r>
        <w:rPr>
          <w:sz w:val="28"/>
        </w:rPr>
        <w:t>for the Home Department to raise their concerns.</w:t>
      </w:r>
      <w:r>
        <w:rPr>
          <w:sz w:val="28"/>
          <w:vertAlign w:val="superscript"/>
        </w:rPr>
        <w:t>753</w:t>
      </w:r>
      <w:r>
        <w:rPr>
          <w:sz w:val="28"/>
          <w:vertAlign w:val="baseline"/>
        </w:rPr>
        <w:t> In 2022, the Home Office responded to the NIHRC and the ECNI correspondence.</w:t>
      </w:r>
      <w:r>
        <w:rPr>
          <w:sz w:val="28"/>
          <w:vertAlign w:val="superscript"/>
        </w:rPr>
        <w:t>754</w:t>
      </w:r>
      <w:r>
        <w:rPr>
          <w:spacing w:val="40"/>
          <w:sz w:val="28"/>
          <w:vertAlign w:val="baseline"/>
        </w:rPr>
        <w:t> </w:t>
      </w:r>
      <w:r>
        <w:rPr>
          <w:sz w:val="28"/>
          <w:vertAlign w:val="baseline"/>
        </w:rPr>
        <w:t>The Home Office reiterated its position that intelligence-led checks were conducted under Common Travel Area guidance on journeys between Ireland and the UK, to identify people who need permission to enter the UK and to identify anyone attempting</w:t>
      </w:r>
      <w:r>
        <w:rPr>
          <w:spacing w:val="-14"/>
          <w:sz w:val="28"/>
          <w:vertAlign w:val="baseline"/>
        </w:rPr>
        <w:t> </w:t>
      </w:r>
      <w:r>
        <w:rPr>
          <w:sz w:val="28"/>
          <w:vertAlign w:val="baseline"/>
        </w:rPr>
        <w:t>to</w:t>
      </w:r>
      <w:r>
        <w:rPr>
          <w:spacing w:val="-15"/>
          <w:sz w:val="28"/>
          <w:vertAlign w:val="baseline"/>
        </w:rPr>
        <w:t> </w:t>
      </w:r>
      <w:r>
        <w:rPr>
          <w:sz w:val="28"/>
          <w:vertAlign w:val="baseline"/>
        </w:rPr>
        <w:t>circumvent</w:t>
      </w:r>
      <w:r>
        <w:rPr>
          <w:spacing w:val="-14"/>
          <w:sz w:val="28"/>
          <w:vertAlign w:val="baseline"/>
        </w:rPr>
        <w:t> </w:t>
      </w:r>
      <w:r>
        <w:rPr>
          <w:sz w:val="28"/>
          <w:vertAlign w:val="baseline"/>
        </w:rPr>
        <w:t>UK</w:t>
      </w:r>
      <w:r>
        <w:rPr>
          <w:spacing w:val="-14"/>
          <w:sz w:val="28"/>
          <w:vertAlign w:val="baseline"/>
        </w:rPr>
        <w:t> </w:t>
      </w:r>
      <w:r>
        <w:rPr>
          <w:sz w:val="28"/>
          <w:vertAlign w:val="baseline"/>
        </w:rPr>
        <w:t>immigration</w:t>
      </w:r>
      <w:r>
        <w:rPr>
          <w:spacing w:val="-15"/>
          <w:sz w:val="28"/>
          <w:vertAlign w:val="baseline"/>
        </w:rPr>
        <w:t> </w:t>
      </w:r>
      <w:r>
        <w:rPr>
          <w:sz w:val="28"/>
          <w:vertAlign w:val="baseline"/>
        </w:rPr>
        <w:t>controls.</w:t>
      </w:r>
      <w:r>
        <w:rPr>
          <w:spacing w:val="-15"/>
          <w:sz w:val="28"/>
          <w:vertAlign w:val="baseline"/>
        </w:rPr>
        <w:t> </w:t>
      </w:r>
      <w:r>
        <w:rPr>
          <w:sz w:val="28"/>
          <w:vertAlign w:val="baseline"/>
        </w:rPr>
        <w:t>However,</w:t>
      </w:r>
      <w:r>
        <w:rPr>
          <w:spacing w:val="-14"/>
          <w:sz w:val="28"/>
          <w:vertAlign w:val="baseline"/>
        </w:rPr>
        <w:t> </w:t>
      </w:r>
      <w:r>
        <w:rPr>
          <w:sz w:val="28"/>
          <w:vertAlign w:val="baseline"/>
        </w:rPr>
        <w:t>the</w:t>
      </w:r>
      <w:r>
        <w:rPr>
          <w:spacing w:val="-14"/>
          <w:sz w:val="28"/>
          <w:vertAlign w:val="baseline"/>
        </w:rPr>
        <w:t> </w:t>
      </w:r>
      <w:r>
        <w:rPr>
          <w:sz w:val="28"/>
          <w:vertAlign w:val="baseline"/>
        </w:rPr>
        <w:t>Home</w:t>
      </w:r>
      <w:r>
        <w:rPr>
          <w:spacing w:val="-14"/>
          <w:sz w:val="28"/>
          <w:vertAlign w:val="baseline"/>
        </w:rPr>
        <w:t> </w:t>
      </w:r>
      <w:r>
        <w:rPr>
          <w:sz w:val="28"/>
          <w:vertAlign w:val="baseline"/>
        </w:rPr>
        <w:t>Office confirmed that it does not operate routine immigration controls on journeys from within the Common Travel Area and that there are no immigration controls whatsoever on the Ireland-NI border.</w:t>
      </w:r>
      <w:r>
        <w:rPr>
          <w:sz w:val="28"/>
          <w:vertAlign w:val="superscript"/>
        </w:rPr>
        <w:t>755</w:t>
      </w:r>
    </w:p>
    <w:p>
      <w:pPr>
        <w:pStyle w:val="ListParagraph"/>
        <w:numPr>
          <w:ilvl w:val="1"/>
          <w:numId w:val="13"/>
        </w:numPr>
        <w:tabs>
          <w:tab w:pos="1853" w:val="left" w:leader="none"/>
        </w:tabs>
        <w:spacing w:line="225" w:lineRule="auto" w:before="308" w:after="0"/>
        <w:ind w:left="1853" w:right="1475" w:hanging="720"/>
        <w:jc w:val="left"/>
        <w:rPr>
          <w:sz w:val="28"/>
        </w:rPr>
      </w:pPr>
      <w:r>
        <w:rPr>
          <w:sz w:val="28"/>
        </w:rPr>
        <w:t>The Home Office advised that officials are strictly prohibited from using racial profiling and that all staff undergo mandatory training to ensure that they</w:t>
      </w:r>
      <w:r>
        <w:rPr>
          <w:spacing w:val="-7"/>
          <w:sz w:val="28"/>
        </w:rPr>
        <w:t> </w:t>
      </w:r>
      <w:r>
        <w:rPr>
          <w:sz w:val="28"/>
        </w:rPr>
        <w:t>comply</w:t>
      </w:r>
      <w:r>
        <w:rPr>
          <w:spacing w:val="-7"/>
          <w:sz w:val="28"/>
        </w:rPr>
        <w:t> </w:t>
      </w:r>
      <w:r>
        <w:rPr>
          <w:sz w:val="28"/>
        </w:rPr>
        <w:t>with</w:t>
      </w:r>
      <w:r>
        <w:rPr>
          <w:spacing w:val="-8"/>
          <w:sz w:val="28"/>
        </w:rPr>
        <w:t> </w:t>
      </w:r>
      <w:r>
        <w:rPr>
          <w:sz w:val="28"/>
        </w:rPr>
        <w:t>human</w:t>
      </w:r>
      <w:r>
        <w:rPr>
          <w:spacing w:val="-8"/>
          <w:sz w:val="28"/>
        </w:rPr>
        <w:t> </w:t>
      </w:r>
      <w:r>
        <w:rPr>
          <w:sz w:val="28"/>
        </w:rPr>
        <w:t>rights</w:t>
      </w:r>
      <w:r>
        <w:rPr>
          <w:spacing w:val="-8"/>
          <w:sz w:val="28"/>
        </w:rPr>
        <w:t> </w:t>
      </w:r>
      <w:r>
        <w:rPr>
          <w:sz w:val="28"/>
        </w:rPr>
        <w:t>and</w:t>
      </w:r>
      <w:r>
        <w:rPr>
          <w:spacing w:val="-8"/>
          <w:sz w:val="28"/>
        </w:rPr>
        <w:t> </w:t>
      </w:r>
      <w:r>
        <w:rPr>
          <w:sz w:val="28"/>
        </w:rPr>
        <w:t>equality</w:t>
      </w:r>
      <w:r>
        <w:rPr>
          <w:spacing w:val="-7"/>
          <w:sz w:val="28"/>
        </w:rPr>
        <w:t> </w:t>
      </w:r>
      <w:r>
        <w:rPr>
          <w:sz w:val="28"/>
        </w:rPr>
        <w:t>legislation.</w:t>
      </w:r>
      <w:r>
        <w:rPr>
          <w:sz w:val="28"/>
          <w:vertAlign w:val="superscript"/>
        </w:rPr>
        <w:t>756</w:t>
      </w:r>
      <w:r>
        <w:rPr>
          <w:spacing w:val="-8"/>
          <w:sz w:val="28"/>
          <w:vertAlign w:val="baseline"/>
        </w:rPr>
        <w:t> </w:t>
      </w:r>
      <w:r>
        <w:rPr>
          <w:sz w:val="28"/>
          <w:vertAlign w:val="baseline"/>
        </w:rPr>
        <w:t>The</w:t>
      </w:r>
      <w:r>
        <w:rPr>
          <w:spacing w:val="-7"/>
          <w:sz w:val="28"/>
          <w:vertAlign w:val="baseline"/>
        </w:rPr>
        <w:t> </w:t>
      </w:r>
      <w:r>
        <w:rPr>
          <w:sz w:val="28"/>
          <w:vertAlign w:val="baseline"/>
        </w:rPr>
        <w:t>reason</w:t>
      </w:r>
      <w:r>
        <w:rPr>
          <w:spacing w:val="-8"/>
          <w:sz w:val="28"/>
          <w:vertAlign w:val="baseline"/>
        </w:rPr>
        <w:t> </w:t>
      </w:r>
      <w:r>
        <w:rPr>
          <w:sz w:val="28"/>
          <w:vertAlign w:val="baseline"/>
        </w:rPr>
        <w:t>for</w:t>
      </w:r>
      <w:r>
        <w:rPr>
          <w:spacing w:val="-7"/>
          <w:sz w:val="28"/>
          <w:vertAlign w:val="baseline"/>
        </w:rPr>
        <w:t> </w:t>
      </w:r>
      <w:r>
        <w:rPr>
          <w:sz w:val="28"/>
          <w:vertAlign w:val="baseline"/>
        </w:rPr>
        <w:t>all examinations</w:t>
      </w:r>
      <w:r>
        <w:rPr>
          <w:spacing w:val="-5"/>
          <w:sz w:val="28"/>
          <w:vertAlign w:val="baseline"/>
        </w:rPr>
        <w:t> </w:t>
      </w:r>
      <w:r>
        <w:rPr>
          <w:sz w:val="28"/>
          <w:vertAlign w:val="baseline"/>
        </w:rPr>
        <w:t>of</w:t>
      </w:r>
      <w:r>
        <w:rPr>
          <w:spacing w:val="-5"/>
          <w:sz w:val="28"/>
          <w:vertAlign w:val="baseline"/>
        </w:rPr>
        <w:t> </w:t>
      </w:r>
      <w:r>
        <w:rPr>
          <w:sz w:val="28"/>
          <w:vertAlign w:val="baseline"/>
        </w:rPr>
        <w:t>members</w:t>
      </w:r>
      <w:r>
        <w:rPr>
          <w:spacing w:val="-5"/>
          <w:sz w:val="28"/>
          <w:vertAlign w:val="baseline"/>
        </w:rPr>
        <w:t> </w:t>
      </w:r>
      <w:r>
        <w:rPr>
          <w:sz w:val="28"/>
          <w:vertAlign w:val="baseline"/>
        </w:rPr>
        <w:t>of</w:t>
      </w:r>
      <w:r>
        <w:rPr>
          <w:spacing w:val="-5"/>
          <w:sz w:val="28"/>
          <w:vertAlign w:val="baseline"/>
        </w:rPr>
        <w:t> </w:t>
      </w:r>
      <w:r>
        <w:rPr>
          <w:sz w:val="28"/>
          <w:vertAlign w:val="baseline"/>
        </w:rPr>
        <w:t>the</w:t>
      </w:r>
      <w:r>
        <w:rPr>
          <w:spacing w:val="-4"/>
          <w:sz w:val="28"/>
          <w:vertAlign w:val="baseline"/>
        </w:rPr>
        <w:t> </w:t>
      </w:r>
      <w:r>
        <w:rPr>
          <w:sz w:val="28"/>
          <w:vertAlign w:val="baseline"/>
        </w:rPr>
        <w:t>public</w:t>
      </w:r>
      <w:r>
        <w:rPr>
          <w:spacing w:val="-4"/>
          <w:sz w:val="28"/>
          <w:vertAlign w:val="baseline"/>
        </w:rPr>
        <w:t> </w:t>
      </w:r>
      <w:r>
        <w:rPr>
          <w:sz w:val="28"/>
          <w:vertAlign w:val="baseline"/>
        </w:rPr>
        <w:t>are</w:t>
      </w:r>
      <w:r>
        <w:rPr>
          <w:spacing w:val="-4"/>
          <w:sz w:val="28"/>
          <w:vertAlign w:val="baseline"/>
        </w:rPr>
        <w:t> </w:t>
      </w:r>
      <w:r>
        <w:rPr>
          <w:sz w:val="28"/>
          <w:vertAlign w:val="baseline"/>
        </w:rPr>
        <w:t>recorded</w:t>
      </w:r>
      <w:r>
        <w:rPr>
          <w:spacing w:val="-5"/>
          <w:sz w:val="28"/>
          <w:vertAlign w:val="baseline"/>
        </w:rPr>
        <w:t> </w:t>
      </w:r>
      <w:r>
        <w:rPr>
          <w:sz w:val="28"/>
          <w:vertAlign w:val="baseline"/>
        </w:rPr>
        <w:t>in</w:t>
      </w:r>
      <w:r>
        <w:rPr>
          <w:spacing w:val="-5"/>
          <w:sz w:val="28"/>
          <w:vertAlign w:val="baseline"/>
        </w:rPr>
        <w:t> </w:t>
      </w:r>
      <w:r>
        <w:rPr>
          <w:sz w:val="28"/>
          <w:vertAlign w:val="baseline"/>
        </w:rPr>
        <w:t>officers’</w:t>
      </w:r>
      <w:r>
        <w:rPr>
          <w:spacing w:val="-4"/>
          <w:sz w:val="28"/>
          <w:vertAlign w:val="baseline"/>
        </w:rPr>
        <w:t> </w:t>
      </w:r>
      <w:r>
        <w:rPr>
          <w:sz w:val="28"/>
          <w:vertAlign w:val="baseline"/>
        </w:rPr>
        <w:t>notebooks, but that the Home Office does not record racial profiles. It also confirmed that officers do not record racial profiles in the reasons for examination of</w:t>
      </w:r>
    </w:p>
    <w:p>
      <w:pPr>
        <w:pStyle w:val="BodyText"/>
        <w:spacing w:line="225" w:lineRule="auto"/>
        <w:ind w:left="1853" w:right="1190"/>
        <w:jc w:val="both"/>
      </w:pPr>
      <w:r>
        <w:rPr/>
        <w:t>members</w:t>
      </w:r>
      <w:r>
        <w:rPr>
          <w:spacing w:val="-3"/>
        </w:rPr>
        <w:t> </w:t>
      </w:r>
      <w:r>
        <w:rPr/>
        <w:t>of</w:t>
      </w:r>
      <w:r>
        <w:rPr>
          <w:spacing w:val="-3"/>
        </w:rPr>
        <w:t> </w:t>
      </w:r>
      <w:r>
        <w:rPr/>
        <w:t>the</w:t>
      </w:r>
      <w:r>
        <w:rPr>
          <w:spacing w:val="-2"/>
        </w:rPr>
        <w:t> </w:t>
      </w:r>
      <w:r>
        <w:rPr/>
        <w:t>public.</w:t>
      </w:r>
      <w:r>
        <w:rPr>
          <w:vertAlign w:val="superscript"/>
        </w:rPr>
        <w:t>757</w:t>
      </w:r>
      <w:r>
        <w:rPr>
          <w:spacing w:val="40"/>
          <w:vertAlign w:val="baseline"/>
        </w:rPr>
        <w:t> </w:t>
      </w:r>
      <w:r>
        <w:rPr>
          <w:vertAlign w:val="baseline"/>
        </w:rPr>
        <w:t>The</w:t>
      </w:r>
      <w:r>
        <w:rPr>
          <w:spacing w:val="-2"/>
          <w:vertAlign w:val="baseline"/>
        </w:rPr>
        <w:t> </w:t>
      </w:r>
      <w:r>
        <w:rPr>
          <w:vertAlign w:val="baseline"/>
        </w:rPr>
        <w:t>Home</w:t>
      </w:r>
      <w:r>
        <w:rPr>
          <w:spacing w:val="-2"/>
          <w:vertAlign w:val="baseline"/>
        </w:rPr>
        <w:t> </w:t>
      </w:r>
      <w:r>
        <w:rPr>
          <w:vertAlign w:val="baseline"/>
        </w:rPr>
        <w:t>Office</w:t>
      </w:r>
      <w:r>
        <w:rPr>
          <w:spacing w:val="-2"/>
          <w:vertAlign w:val="baseline"/>
        </w:rPr>
        <w:t> </w:t>
      </w:r>
      <w:r>
        <w:rPr>
          <w:vertAlign w:val="baseline"/>
        </w:rPr>
        <w:t>also</w:t>
      </w:r>
      <w:r>
        <w:rPr>
          <w:spacing w:val="-3"/>
          <w:vertAlign w:val="baseline"/>
        </w:rPr>
        <w:t> </w:t>
      </w:r>
      <w:r>
        <w:rPr>
          <w:vertAlign w:val="baseline"/>
        </w:rPr>
        <w:t>stated</w:t>
      </w:r>
      <w:r>
        <w:rPr>
          <w:spacing w:val="-3"/>
          <w:vertAlign w:val="baseline"/>
        </w:rPr>
        <w:t> </w:t>
      </w:r>
      <w:r>
        <w:rPr>
          <w:vertAlign w:val="baseline"/>
        </w:rPr>
        <w:t>that</w:t>
      </w:r>
      <w:r>
        <w:rPr>
          <w:spacing w:val="-2"/>
          <w:vertAlign w:val="baseline"/>
        </w:rPr>
        <w:t> </w:t>
      </w:r>
      <w:r>
        <w:rPr>
          <w:vertAlign w:val="baseline"/>
        </w:rPr>
        <w:t>racial</w:t>
      </w:r>
      <w:r>
        <w:rPr>
          <w:spacing w:val="-3"/>
          <w:vertAlign w:val="baseline"/>
        </w:rPr>
        <w:t> </w:t>
      </w:r>
      <w:r>
        <w:rPr>
          <w:vertAlign w:val="baseline"/>
        </w:rPr>
        <w:t>profiling,</w:t>
      </w:r>
      <w:r>
        <w:rPr>
          <w:spacing w:val="-2"/>
          <w:vertAlign w:val="baseline"/>
        </w:rPr>
        <w:t> </w:t>
      </w:r>
      <w:r>
        <w:rPr>
          <w:vertAlign w:val="baseline"/>
        </w:rPr>
        <w:t>or any</w:t>
      </w:r>
      <w:r>
        <w:rPr>
          <w:spacing w:val="-7"/>
          <w:vertAlign w:val="baseline"/>
        </w:rPr>
        <w:t> </w:t>
      </w:r>
      <w:r>
        <w:rPr>
          <w:vertAlign w:val="baseline"/>
        </w:rPr>
        <w:t>profiling</w:t>
      </w:r>
      <w:r>
        <w:rPr>
          <w:spacing w:val="-7"/>
          <w:vertAlign w:val="baseline"/>
        </w:rPr>
        <w:t> </w:t>
      </w:r>
      <w:r>
        <w:rPr>
          <w:vertAlign w:val="baseline"/>
        </w:rPr>
        <w:t>using</w:t>
      </w:r>
      <w:r>
        <w:rPr>
          <w:spacing w:val="-7"/>
          <w:vertAlign w:val="baseline"/>
        </w:rPr>
        <w:t> </w:t>
      </w:r>
      <w:r>
        <w:rPr>
          <w:vertAlign w:val="baseline"/>
        </w:rPr>
        <w:t>protected</w:t>
      </w:r>
      <w:r>
        <w:rPr>
          <w:spacing w:val="-8"/>
          <w:vertAlign w:val="baseline"/>
        </w:rPr>
        <w:t> </w:t>
      </w:r>
      <w:r>
        <w:rPr>
          <w:vertAlign w:val="baseline"/>
        </w:rPr>
        <w:t>characteristics,</w:t>
      </w:r>
      <w:r>
        <w:rPr>
          <w:spacing w:val="-7"/>
          <w:vertAlign w:val="baseline"/>
        </w:rPr>
        <w:t> </w:t>
      </w:r>
      <w:r>
        <w:rPr>
          <w:vertAlign w:val="baseline"/>
        </w:rPr>
        <w:t>does</w:t>
      </w:r>
      <w:r>
        <w:rPr>
          <w:spacing w:val="-8"/>
          <w:vertAlign w:val="baseline"/>
        </w:rPr>
        <w:t> </w:t>
      </w:r>
      <w:r>
        <w:rPr>
          <w:vertAlign w:val="baseline"/>
        </w:rPr>
        <w:t>not</w:t>
      </w:r>
      <w:r>
        <w:rPr>
          <w:spacing w:val="-7"/>
          <w:vertAlign w:val="baseline"/>
        </w:rPr>
        <w:t> </w:t>
      </w:r>
      <w:r>
        <w:rPr>
          <w:vertAlign w:val="baseline"/>
        </w:rPr>
        <w:t>and</w:t>
      </w:r>
      <w:r>
        <w:rPr>
          <w:spacing w:val="-8"/>
          <w:vertAlign w:val="baseline"/>
        </w:rPr>
        <w:t> </w:t>
      </w:r>
      <w:r>
        <w:rPr>
          <w:vertAlign w:val="baseline"/>
        </w:rPr>
        <w:t>would</w:t>
      </w:r>
      <w:r>
        <w:rPr>
          <w:spacing w:val="-8"/>
          <w:vertAlign w:val="baseline"/>
        </w:rPr>
        <w:t> </w:t>
      </w:r>
      <w:r>
        <w:rPr>
          <w:vertAlign w:val="baseline"/>
        </w:rPr>
        <w:t>not</w:t>
      </w:r>
      <w:r>
        <w:rPr>
          <w:spacing w:val="-7"/>
          <w:vertAlign w:val="baseline"/>
        </w:rPr>
        <w:t> </w:t>
      </w:r>
      <w:r>
        <w:rPr>
          <w:vertAlign w:val="baseline"/>
        </w:rPr>
        <w:t>form</w:t>
      </w:r>
      <w:r>
        <w:rPr>
          <w:spacing w:val="-7"/>
          <w:vertAlign w:val="baseline"/>
        </w:rPr>
        <w:t> </w:t>
      </w:r>
      <w:r>
        <w:rPr>
          <w:vertAlign w:val="baseline"/>
        </w:rPr>
        <w:t>any part of their intelligence-led checks.</w:t>
      </w:r>
      <w:r>
        <w:rPr>
          <w:vertAlign w:val="superscript"/>
        </w:rPr>
        <w:t>758</w:t>
      </w:r>
    </w:p>
    <w:p>
      <w:pPr>
        <w:pStyle w:val="ListParagraph"/>
        <w:numPr>
          <w:ilvl w:val="1"/>
          <w:numId w:val="13"/>
        </w:numPr>
        <w:tabs>
          <w:tab w:pos="1853" w:val="left" w:leader="none"/>
        </w:tabs>
        <w:spacing w:line="225" w:lineRule="auto" w:before="308" w:after="0"/>
        <w:ind w:left="1853" w:right="1151" w:hanging="720"/>
        <w:jc w:val="left"/>
        <w:rPr>
          <w:sz w:val="28"/>
        </w:rPr>
      </w:pPr>
      <w:r>
        <w:rPr>
          <w:sz w:val="28"/>
        </w:rPr>
        <w:t>The Home Office also stated that it considered the Electronic Travel Authorisation</w:t>
      </w:r>
      <w:r>
        <w:rPr>
          <w:spacing w:val="-6"/>
          <w:sz w:val="28"/>
        </w:rPr>
        <w:t> </w:t>
      </w:r>
      <w:r>
        <w:rPr>
          <w:sz w:val="28"/>
        </w:rPr>
        <w:t>scheme</w:t>
      </w:r>
      <w:r>
        <w:rPr>
          <w:spacing w:val="-5"/>
          <w:sz w:val="28"/>
        </w:rPr>
        <w:t> </w:t>
      </w:r>
      <w:r>
        <w:rPr>
          <w:sz w:val="28"/>
        </w:rPr>
        <w:t>to</w:t>
      </w:r>
      <w:r>
        <w:rPr>
          <w:spacing w:val="-6"/>
          <w:sz w:val="28"/>
        </w:rPr>
        <w:t> </w:t>
      </w:r>
      <w:r>
        <w:rPr>
          <w:sz w:val="28"/>
        </w:rPr>
        <w:t>be</w:t>
      </w:r>
      <w:r>
        <w:rPr>
          <w:spacing w:val="-5"/>
          <w:sz w:val="28"/>
        </w:rPr>
        <w:t> </w:t>
      </w:r>
      <w:r>
        <w:rPr>
          <w:sz w:val="28"/>
        </w:rPr>
        <w:t>compliant</w:t>
      </w:r>
      <w:r>
        <w:rPr>
          <w:spacing w:val="-5"/>
          <w:sz w:val="28"/>
        </w:rPr>
        <w:t> </w:t>
      </w:r>
      <w:r>
        <w:rPr>
          <w:sz w:val="28"/>
        </w:rPr>
        <w:t>with</w:t>
      </w:r>
      <w:r>
        <w:rPr>
          <w:spacing w:val="-6"/>
          <w:sz w:val="28"/>
        </w:rPr>
        <w:t> </w:t>
      </w:r>
      <w:r>
        <w:rPr>
          <w:sz w:val="28"/>
        </w:rPr>
        <w:t>its</w:t>
      </w:r>
      <w:r>
        <w:rPr>
          <w:spacing w:val="-6"/>
          <w:sz w:val="28"/>
        </w:rPr>
        <w:t> </w:t>
      </w:r>
      <w:r>
        <w:rPr>
          <w:sz w:val="28"/>
        </w:rPr>
        <w:t>obligations</w:t>
      </w:r>
      <w:r>
        <w:rPr>
          <w:spacing w:val="-6"/>
          <w:sz w:val="28"/>
        </w:rPr>
        <w:t> </w:t>
      </w:r>
      <w:r>
        <w:rPr>
          <w:sz w:val="28"/>
        </w:rPr>
        <w:t>under</w:t>
      </w:r>
      <w:r>
        <w:rPr>
          <w:spacing w:val="-5"/>
          <w:sz w:val="28"/>
        </w:rPr>
        <w:t> </w:t>
      </w:r>
      <w:r>
        <w:rPr>
          <w:sz w:val="28"/>
        </w:rPr>
        <w:t>the</w:t>
      </w:r>
      <w:r>
        <w:rPr>
          <w:spacing w:val="-5"/>
          <w:sz w:val="28"/>
        </w:rPr>
        <w:t> </w:t>
      </w:r>
      <w:r>
        <w:rPr>
          <w:sz w:val="28"/>
        </w:rPr>
        <w:t>ECHR</w:t>
      </w:r>
      <w:r>
        <w:rPr>
          <w:spacing w:val="-6"/>
          <w:sz w:val="28"/>
        </w:rPr>
        <w:t> </w:t>
      </w:r>
      <w:r>
        <w:rPr>
          <w:sz w:val="28"/>
        </w:rPr>
        <w:t>and the Windsor Framework.</w:t>
      </w:r>
      <w:r>
        <w:rPr>
          <w:spacing w:val="40"/>
          <w:sz w:val="28"/>
        </w:rPr>
        <w:t> </w:t>
      </w:r>
      <w:r>
        <w:rPr>
          <w:sz w:val="28"/>
        </w:rPr>
        <w:t>In addition, the letter highlighted that the UK and Ireland had agreed to work together to establish whether there is scope for a workable UK/Ireland data-sharing solution to determine whether a person is</w:t>
      </w:r>
    </w:p>
    <w:p>
      <w:pPr>
        <w:pStyle w:val="BodyText"/>
        <w:spacing w:line="225" w:lineRule="auto"/>
        <w:ind w:left="1853" w:right="1171"/>
      </w:pPr>
      <w:r>
        <w:rPr/>
        <w:t>a</w:t>
      </w:r>
      <w:r>
        <w:rPr>
          <w:spacing w:val="-8"/>
        </w:rPr>
        <w:t> </w:t>
      </w:r>
      <w:r>
        <w:rPr/>
        <w:t>lawful</w:t>
      </w:r>
      <w:r>
        <w:rPr>
          <w:spacing w:val="-8"/>
        </w:rPr>
        <w:t> </w:t>
      </w:r>
      <w:r>
        <w:rPr/>
        <w:t>resident</w:t>
      </w:r>
      <w:r>
        <w:rPr>
          <w:spacing w:val="-7"/>
        </w:rPr>
        <w:t> </w:t>
      </w:r>
      <w:r>
        <w:rPr/>
        <w:t>of</w:t>
      </w:r>
      <w:r>
        <w:rPr>
          <w:spacing w:val="-8"/>
        </w:rPr>
        <w:t> </w:t>
      </w:r>
      <w:r>
        <w:rPr/>
        <w:t>Ireland</w:t>
      </w:r>
      <w:r>
        <w:rPr>
          <w:spacing w:val="-8"/>
        </w:rPr>
        <w:t> </w:t>
      </w:r>
      <w:r>
        <w:rPr/>
        <w:t>and</w:t>
      </w:r>
      <w:r>
        <w:rPr>
          <w:spacing w:val="-8"/>
        </w:rPr>
        <w:t> </w:t>
      </w:r>
      <w:r>
        <w:rPr/>
        <w:t>could</w:t>
      </w:r>
      <w:r>
        <w:rPr>
          <w:spacing w:val="-8"/>
        </w:rPr>
        <w:t> </w:t>
      </w:r>
      <w:r>
        <w:rPr/>
        <w:t>therefore</w:t>
      </w:r>
      <w:r>
        <w:rPr>
          <w:spacing w:val="-7"/>
        </w:rPr>
        <w:t> </w:t>
      </w:r>
      <w:r>
        <w:rPr/>
        <w:t>be</w:t>
      </w:r>
      <w:r>
        <w:rPr>
          <w:spacing w:val="-7"/>
        </w:rPr>
        <w:t> </w:t>
      </w:r>
      <w:r>
        <w:rPr/>
        <w:t>exempt</w:t>
      </w:r>
      <w:r>
        <w:rPr>
          <w:spacing w:val="-7"/>
        </w:rPr>
        <w:t> </w:t>
      </w:r>
      <w:r>
        <w:rPr/>
        <w:t>from</w:t>
      </w:r>
      <w:r>
        <w:rPr>
          <w:spacing w:val="-7"/>
        </w:rPr>
        <w:t> </w:t>
      </w:r>
      <w:r>
        <w:rPr/>
        <w:t>the</w:t>
      </w:r>
      <w:r>
        <w:rPr>
          <w:spacing w:val="-7"/>
        </w:rPr>
        <w:t> </w:t>
      </w:r>
      <w:r>
        <w:rPr/>
        <w:t>Electronic Travel Authorisation requirement for travel to the UK.</w:t>
      </w:r>
      <w:r>
        <w:rPr>
          <w:vertAlign w:val="superscript"/>
        </w:rPr>
        <w:t>759</w:t>
      </w:r>
    </w:p>
    <w:p>
      <w:pPr>
        <w:pStyle w:val="ListParagraph"/>
        <w:numPr>
          <w:ilvl w:val="1"/>
          <w:numId w:val="13"/>
        </w:numPr>
        <w:tabs>
          <w:tab w:pos="1853" w:val="left" w:leader="none"/>
        </w:tabs>
        <w:spacing w:line="225" w:lineRule="auto" w:before="311" w:after="0"/>
        <w:ind w:left="1853" w:right="1486" w:hanging="720"/>
        <w:jc w:val="left"/>
        <w:rPr>
          <w:sz w:val="28"/>
        </w:rPr>
      </w:pPr>
      <w:r>
        <w:rPr>
          <w:sz w:val="28"/>
        </w:rPr>
        <w:t>In</w:t>
      </w:r>
      <w:r>
        <w:rPr>
          <w:spacing w:val="-6"/>
          <w:sz w:val="28"/>
        </w:rPr>
        <w:t> </w:t>
      </w:r>
      <w:r>
        <w:rPr>
          <w:sz w:val="28"/>
        </w:rPr>
        <w:t>March</w:t>
      </w:r>
      <w:r>
        <w:rPr>
          <w:spacing w:val="-6"/>
          <w:sz w:val="28"/>
        </w:rPr>
        <w:t> </w:t>
      </w:r>
      <w:r>
        <w:rPr>
          <w:sz w:val="28"/>
        </w:rPr>
        <w:t>2023,</w:t>
      </w:r>
      <w:r>
        <w:rPr>
          <w:spacing w:val="-5"/>
          <w:sz w:val="28"/>
        </w:rPr>
        <w:t> </w:t>
      </w:r>
      <w:r>
        <w:rPr>
          <w:sz w:val="28"/>
        </w:rPr>
        <w:t>the</w:t>
      </w:r>
      <w:r>
        <w:rPr>
          <w:spacing w:val="-5"/>
          <w:sz w:val="28"/>
        </w:rPr>
        <w:t> </w:t>
      </w:r>
      <w:r>
        <w:rPr>
          <w:sz w:val="28"/>
        </w:rPr>
        <w:t>UK</w:t>
      </w:r>
      <w:r>
        <w:rPr>
          <w:spacing w:val="-5"/>
          <w:sz w:val="28"/>
        </w:rPr>
        <w:t> </w:t>
      </w:r>
      <w:r>
        <w:rPr>
          <w:sz w:val="28"/>
        </w:rPr>
        <w:t>Government</w:t>
      </w:r>
      <w:r>
        <w:rPr>
          <w:spacing w:val="-5"/>
          <w:sz w:val="28"/>
        </w:rPr>
        <w:t> </w:t>
      </w:r>
      <w:r>
        <w:rPr>
          <w:sz w:val="28"/>
        </w:rPr>
        <w:t>announced</w:t>
      </w:r>
      <w:r>
        <w:rPr>
          <w:spacing w:val="-6"/>
          <w:sz w:val="28"/>
        </w:rPr>
        <w:t> </w:t>
      </w:r>
      <w:r>
        <w:rPr>
          <w:sz w:val="28"/>
        </w:rPr>
        <w:t>that</w:t>
      </w:r>
      <w:r>
        <w:rPr>
          <w:spacing w:val="-5"/>
          <w:sz w:val="28"/>
        </w:rPr>
        <w:t> </w:t>
      </w:r>
      <w:r>
        <w:rPr>
          <w:sz w:val="28"/>
        </w:rPr>
        <w:t>third</w:t>
      </w:r>
      <w:r>
        <w:rPr>
          <w:spacing w:val="-6"/>
          <w:sz w:val="28"/>
        </w:rPr>
        <w:t> </w:t>
      </w:r>
      <w:r>
        <w:rPr>
          <w:sz w:val="28"/>
        </w:rPr>
        <w:t>country</w:t>
      </w:r>
      <w:r>
        <w:rPr>
          <w:spacing w:val="-5"/>
          <w:sz w:val="28"/>
        </w:rPr>
        <w:t> </w:t>
      </w:r>
      <w:r>
        <w:rPr>
          <w:sz w:val="28"/>
        </w:rPr>
        <w:t>nationals who are resident in Ireland and from a nationality that does not usually require</w:t>
      </w:r>
      <w:r>
        <w:rPr>
          <w:spacing w:val="-2"/>
          <w:sz w:val="28"/>
        </w:rPr>
        <w:t> </w:t>
      </w:r>
      <w:r>
        <w:rPr>
          <w:sz w:val="28"/>
        </w:rPr>
        <w:t>a</w:t>
      </w:r>
      <w:r>
        <w:rPr>
          <w:spacing w:val="-3"/>
          <w:sz w:val="28"/>
        </w:rPr>
        <w:t> </w:t>
      </w:r>
      <w:r>
        <w:rPr>
          <w:sz w:val="28"/>
        </w:rPr>
        <w:t>visa</w:t>
      </w:r>
      <w:r>
        <w:rPr>
          <w:spacing w:val="-3"/>
          <w:sz w:val="28"/>
        </w:rPr>
        <w:t> </w:t>
      </w:r>
      <w:r>
        <w:rPr>
          <w:sz w:val="28"/>
        </w:rPr>
        <w:t>to</w:t>
      </w:r>
      <w:r>
        <w:rPr>
          <w:spacing w:val="-3"/>
          <w:sz w:val="28"/>
        </w:rPr>
        <w:t> </w:t>
      </w:r>
      <w:r>
        <w:rPr>
          <w:sz w:val="28"/>
        </w:rPr>
        <w:t>visit</w:t>
      </w:r>
      <w:r>
        <w:rPr>
          <w:spacing w:val="-2"/>
          <w:sz w:val="28"/>
        </w:rPr>
        <w:t> </w:t>
      </w:r>
      <w:r>
        <w:rPr>
          <w:sz w:val="28"/>
        </w:rPr>
        <w:t>the</w:t>
      </w:r>
      <w:r>
        <w:rPr>
          <w:spacing w:val="-2"/>
          <w:sz w:val="28"/>
        </w:rPr>
        <w:t> </w:t>
      </w:r>
      <w:r>
        <w:rPr>
          <w:sz w:val="28"/>
        </w:rPr>
        <w:t>UK,</w:t>
      </w:r>
      <w:r>
        <w:rPr>
          <w:spacing w:val="-2"/>
          <w:sz w:val="28"/>
        </w:rPr>
        <w:t> </w:t>
      </w:r>
      <w:r>
        <w:rPr>
          <w:sz w:val="28"/>
        </w:rPr>
        <w:t>would</w:t>
      </w:r>
      <w:r>
        <w:rPr>
          <w:spacing w:val="-3"/>
          <w:sz w:val="28"/>
        </w:rPr>
        <w:t> </w:t>
      </w:r>
      <w:r>
        <w:rPr>
          <w:sz w:val="28"/>
        </w:rPr>
        <w:t>be</w:t>
      </w:r>
      <w:r>
        <w:rPr>
          <w:spacing w:val="-2"/>
          <w:sz w:val="28"/>
        </w:rPr>
        <w:t> </w:t>
      </w:r>
      <w:r>
        <w:rPr>
          <w:sz w:val="28"/>
        </w:rPr>
        <w:t>exempt</w:t>
      </w:r>
      <w:r>
        <w:rPr>
          <w:spacing w:val="-2"/>
          <w:sz w:val="28"/>
        </w:rPr>
        <w:t> </w:t>
      </w:r>
      <w:r>
        <w:rPr>
          <w:sz w:val="28"/>
        </w:rPr>
        <w:t>from</w:t>
      </w:r>
      <w:r>
        <w:rPr>
          <w:spacing w:val="-2"/>
          <w:sz w:val="28"/>
        </w:rPr>
        <w:t> </w:t>
      </w:r>
      <w:r>
        <w:rPr>
          <w:sz w:val="28"/>
        </w:rPr>
        <w:t>requiring</w:t>
      </w:r>
      <w:r>
        <w:rPr>
          <w:spacing w:val="-2"/>
          <w:sz w:val="28"/>
        </w:rPr>
        <w:t> </w:t>
      </w:r>
      <w:r>
        <w:rPr>
          <w:sz w:val="28"/>
        </w:rPr>
        <w:t>an</w:t>
      </w:r>
      <w:r>
        <w:rPr>
          <w:spacing w:val="-3"/>
          <w:sz w:val="28"/>
        </w:rPr>
        <w:t> </w:t>
      </w:r>
      <w:r>
        <w:rPr>
          <w:sz w:val="28"/>
        </w:rPr>
        <w:t>Electronic Travel</w:t>
      </w:r>
      <w:r>
        <w:rPr>
          <w:spacing w:val="-2"/>
          <w:sz w:val="28"/>
        </w:rPr>
        <w:t> </w:t>
      </w:r>
      <w:r>
        <w:rPr>
          <w:sz w:val="28"/>
        </w:rPr>
        <w:t>Authorisation</w:t>
      </w:r>
      <w:r>
        <w:rPr>
          <w:spacing w:val="-2"/>
          <w:sz w:val="28"/>
        </w:rPr>
        <w:t> </w:t>
      </w:r>
      <w:r>
        <w:rPr>
          <w:sz w:val="28"/>
        </w:rPr>
        <w:t>to</w:t>
      </w:r>
      <w:r>
        <w:rPr>
          <w:spacing w:val="-2"/>
          <w:sz w:val="28"/>
        </w:rPr>
        <w:t> </w:t>
      </w:r>
      <w:r>
        <w:rPr>
          <w:sz w:val="28"/>
        </w:rPr>
        <w:t>enter</w:t>
      </w:r>
      <w:r>
        <w:rPr>
          <w:spacing w:val="-1"/>
          <w:sz w:val="28"/>
        </w:rPr>
        <w:t> </w:t>
      </w:r>
      <w:r>
        <w:rPr>
          <w:sz w:val="28"/>
        </w:rPr>
        <w:t>the</w:t>
      </w:r>
      <w:r>
        <w:rPr>
          <w:spacing w:val="-1"/>
          <w:sz w:val="28"/>
        </w:rPr>
        <w:t> </w:t>
      </w:r>
      <w:r>
        <w:rPr>
          <w:sz w:val="28"/>
        </w:rPr>
        <w:t>UK,</w:t>
      </w:r>
      <w:r>
        <w:rPr>
          <w:spacing w:val="-1"/>
          <w:sz w:val="28"/>
        </w:rPr>
        <w:t> </w:t>
      </w:r>
      <w:r>
        <w:rPr>
          <w:sz w:val="28"/>
        </w:rPr>
        <w:t>which</w:t>
      </w:r>
      <w:r>
        <w:rPr>
          <w:spacing w:val="-2"/>
          <w:sz w:val="28"/>
        </w:rPr>
        <w:t> </w:t>
      </w:r>
      <w:r>
        <w:rPr>
          <w:sz w:val="28"/>
        </w:rPr>
        <w:t>partially</w:t>
      </w:r>
      <w:r>
        <w:rPr>
          <w:spacing w:val="-1"/>
          <w:sz w:val="28"/>
        </w:rPr>
        <w:t> </w:t>
      </w:r>
      <w:r>
        <w:rPr>
          <w:sz w:val="28"/>
        </w:rPr>
        <w:t>addresses</w:t>
      </w:r>
      <w:r>
        <w:rPr>
          <w:spacing w:val="-2"/>
          <w:sz w:val="28"/>
        </w:rPr>
        <w:t> </w:t>
      </w:r>
      <w:r>
        <w:rPr>
          <w:sz w:val="28"/>
        </w:rPr>
        <w:t>the</w:t>
      </w:r>
      <w:r>
        <w:rPr>
          <w:spacing w:val="-1"/>
          <w:sz w:val="28"/>
        </w:rPr>
        <w:t> </w:t>
      </w:r>
      <w:r>
        <w:rPr>
          <w:sz w:val="28"/>
        </w:rPr>
        <w:t>NIHRC’s recommendation.</w:t>
      </w:r>
      <w:r>
        <w:rPr>
          <w:spacing w:val="-11"/>
          <w:sz w:val="28"/>
        </w:rPr>
        <w:t> </w:t>
      </w:r>
      <w:r>
        <w:rPr>
          <w:sz w:val="28"/>
        </w:rPr>
        <w:t>However,</w:t>
      </w:r>
      <w:r>
        <w:rPr>
          <w:spacing w:val="-10"/>
          <w:sz w:val="28"/>
        </w:rPr>
        <w:t> </w:t>
      </w:r>
      <w:r>
        <w:rPr>
          <w:sz w:val="28"/>
        </w:rPr>
        <w:t>individuals</w:t>
      </w:r>
      <w:r>
        <w:rPr>
          <w:spacing w:val="-11"/>
          <w:sz w:val="28"/>
        </w:rPr>
        <w:t> </w:t>
      </w:r>
      <w:r>
        <w:rPr>
          <w:sz w:val="28"/>
        </w:rPr>
        <w:t>not</w:t>
      </w:r>
      <w:r>
        <w:rPr>
          <w:spacing w:val="-10"/>
          <w:sz w:val="28"/>
        </w:rPr>
        <w:t> </w:t>
      </w:r>
      <w:r>
        <w:rPr>
          <w:sz w:val="28"/>
        </w:rPr>
        <w:t>resident</w:t>
      </w:r>
      <w:r>
        <w:rPr>
          <w:spacing w:val="-10"/>
          <w:sz w:val="28"/>
        </w:rPr>
        <w:t> </w:t>
      </w:r>
      <w:r>
        <w:rPr>
          <w:sz w:val="28"/>
        </w:rPr>
        <w:t>in</w:t>
      </w:r>
      <w:r>
        <w:rPr>
          <w:spacing w:val="-11"/>
          <w:sz w:val="28"/>
        </w:rPr>
        <w:t> </w:t>
      </w:r>
      <w:r>
        <w:rPr>
          <w:sz w:val="28"/>
        </w:rPr>
        <w:t>Ireland</w:t>
      </w:r>
      <w:r>
        <w:rPr>
          <w:spacing w:val="-11"/>
          <w:sz w:val="28"/>
        </w:rPr>
        <w:t> </w:t>
      </w:r>
      <w:r>
        <w:rPr>
          <w:sz w:val="28"/>
        </w:rPr>
        <w:t>will</w:t>
      </w:r>
      <w:r>
        <w:rPr>
          <w:spacing w:val="-11"/>
          <w:sz w:val="28"/>
        </w:rPr>
        <w:t> </w:t>
      </w:r>
      <w:r>
        <w:rPr>
          <w:sz w:val="28"/>
        </w:rPr>
        <w:t>still</w:t>
      </w:r>
      <w:r>
        <w:rPr>
          <w:spacing w:val="-11"/>
          <w:sz w:val="28"/>
        </w:rPr>
        <w:t> </w:t>
      </w:r>
      <w:r>
        <w:rPr>
          <w:sz w:val="28"/>
        </w:rPr>
        <w:t>need</w:t>
      </w:r>
    </w:p>
    <w:p>
      <w:pPr>
        <w:pStyle w:val="BodyText"/>
        <w:rPr>
          <w:sz w:val="9"/>
        </w:rPr>
      </w:pPr>
      <w:r>
        <w:rPr/>
        <mc:AlternateContent>
          <mc:Choice Requires="wps">
            <w:drawing>
              <wp:anchor distT="0" distB="0" distL="0" distR="0" allowOverlap="1" layoutInCell="1" locked="0" behindDoc="1" simplePos="0" relativeHeight="487712768">
                <wp:simplePos x="0" y="0"/>
                <wp:positionH relativeFrom="page">
                  <wp:posOffset>719996</wp:posOffset>
                </wp:positionH>
                <wp:positionV relativeFrom="paragraph">
                  <wp:posOffset>85356</wp:posOffset>
                </wp:positionV>
                <wp:extent cx="6120130" cy="1270"/>
                <wp:effectExtent l="0" t="0" r="0" b="0"/>
                <wp:wrapTopAndBottom/>
                <wp:docPr id="560" name="Graphic 560"/>
                <wp:cNvGraphicFramePr>
                  <a:graphicFrameLocks/>
                </wp:cNvGraphicFramePr>
                <a:graphic>
                  <a:graphicData uri="http://schemas.microsoft.com/office/word/2010/wordprocessingShape">
                    <wps:wsp>
                      <wps:cNvPr id="560" name="Graphic 56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6.721009pt;width:481.9pt;height:.1pt;mso-position-horizontal-relative:page;mso-position-vertical-relative:paragraph;z-index:-15603712;mso-wrap-distance-left:0;mso-wrap-distance-right:0" id="docshape505" coordorigin="1134,134" coordsize="9638,0" path="m10772,134l1134,134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35" w:lineRule="auto" w:before="139" w:after="0"/>
        <w:ind w:left="1853" w:right="1176" w:hanging="720"/>
        <w:jc w:val="left"/>
        <w:rPr>
          <w:sz w:val="18"/>
        </w:rPr>
      </w:pPr>
      <w:r>
        <w:rPr>
          <w:sz w:val="18"/>
        </w:rPr>
        <w:t>Letter from the NI Human Rights Commission to the Secretary of State for the Home Department, Priti Patel MP, 20 December</w:t>
      </w:r>
      <w:r>
        <w:rPr>
          <w:spacing w:val="-7"/>
          <w:sz w:val="18"/>
        </w:rPr>
        <w:t> </w:t>
      </w:r>
      <w:r>
        <w:rPr>
          <w:sz w:val="18"/>
        </w:rPr>
        <w:t>2021;</w:t>
      </w:r>
      <w:r>
        <w:rPr>
          <w:spacing w:val="-7"/>
          <w:sz w:val="18"/>
        </w:rPr>
        <w:t> </w:t>
      </w:r>
      <w:r>
        <w:rPr>
          <w:sz w:val="18"/>
        </w:rPr>
        <w:t>Letter</w:t>
      </w:r>
      <w:r>
        <w:rPr>
          <w:spacing w:val="-7"/>
          <w:sz w:val="18"/>
        </w:rPr>
        <w:t> </w:t>
      </w:r>
      <w:r>
        <w:rPr>
          <w:sz w:val="18"/>
        </w:rPr>
        <w:t>from</w:t>
      </w:r>
      <w:r>
        <w:rPr>
          <w:spacing w:val="-7"/>
          <w:sz w:val="18"/>
        </w:rPr>
        <w:t> </w:t>
      </w:r>
      <w:r>
        <w:rPr>
          <w:sz w:val="18"/>
        </w:rPr>
        <w:t>the</w:t>
      </w:r>
      <w:r>
        <w:rPr>
          <w:spacing w:val="-7"/>
          <w:sz w:val="18"/>
        </w:rPr>
        <w:t> </w:t>
      </w:r>
      <w:r>
        <w:rPr>
          <w:sz w:val="18"/>
        </w:rPr>
        <w:t>Equality</w:t>
      </w:r>
      <w:r>
        <w:rPr>
          <w:spacing w:val="-7"/>
          <w:sz w:val="18"/>
        </w:rPr>
        <w:t> </w:t>
      </w:r>
      <w:r>
        <w:rPr>
          <w:sz w:val="18"/>
        </w:rPr>
        <w:t>Commission</w:t>
      </w:r>
      <w:r>
        <w:rPr>
          <w:spacing w:val="-7"/>
          <w:sz w:val="18"/>
        </w:rPr>
        <w:t> </w:t>
      </w:r>
      <w:r>
        <w:rPr>
          <w:sz w:val="18"/>
        </w:rPr>
        <w:t>for</w:t>
      </w:r>
      <w:r>
        <w:rPr>
          <w:spacing w:val="-7"/>
          <w:sz w:val="18"/>
        </w:rPr>
        <w:t> </w:t>
      </w:r>
      <w:r>
        <w:rPr>
          <w:sz w:val="18"/>
        </w:rPr>
        <w:t>NI</w:t>
      </w:r>
      <w:r>
        <w:rPr>
          <w:spacing w:val="-7"/>
          <w:sz w:val="18"/>
        </w:rPr>
        <w:t> </w:t>
      </w:r>
      <w:r>
        <w:rPr>
          <w:sz w:val="18"/>
        </w:rPr>
        <w:t>to</w:t>
      </w:r>
      <w:r>
        <w:rPr>
          <w:spacing w:val="-7"/>
          <w:sz w:val="18"/>
        </w:rPr>
        <w:t> </w:t>
      </w:r>
      <w:r>
        <w:rPr>
          <w:sz w:val="18"/>
        </w:rPr>
        <w:t>the</w:t>
      </w:r>
      <w:r>
        <w:rPr>
          <w:spacing w:val="-7"/>
          <w:sz w:val="18"/>
        </w:rPr>
        <w:t> </w:t>
      </w:r>
      <w:r>
        <w:rPr>
          <w:sz w:val="18"/>
        </w:rPr>
        <w:t>Secretary</w:t>
      </w:r>
      <w:r>
        <w:rPr>
          <w:spacing w:val="-7"/>
          <w:sz w:val="18"/>
        </w:rPr>
        <w:t> </w:t>
      </w:r>
      <w:r>
        <w:rPr>
          <w:sz w:val="18"/>
        </w:rPr>
        <w:t>of</w:t>
      </w:r>
      <w:r>
        <w:rPr>
          <w:spacing w:val="-7"/>
          <w:sz w:val="18"/>
        </w:rPr>
        <w:t> </w:t>
      </w:r>
      <w:r>
        <w:rPr>
          <w:sz w:val="18"/>
        </w:rPr>
        <w:t>State</w:t>
      </w:r>
      <w:r>
        <w:rPr>
          <w:spacing w:val="-7"/>
          <w:sz w:val="18"/>
        </w:rPr>
        <w:t> </w:t>
      </w:r>
      <w:r>
        <w:rPr>
          <w:sz w:val="18"/>
        </w:rPr>
        <w:t>for</w:t>
      </w:r>
      <w:r>
        <w:rPr>
          <w:spacing w:val="-7"/>
          <w:sz w:val="18"/>
        </w:rPr>
        <w:t> </w:t>
      </w:r>
      <w:r>
        <w:rPr>
          <w:sz w:val="18"/>
        </w:rPr>
        <w:t>the</w:t>
      </w:r>
      <w:r>
        <w:rPr>
          <w:spacing w:val="-7"/>
          <w:sz w:val="18"/>
        </w:rPr>
        <w:t> </w:t>
      </w:r>
      <w:r>
        <w:rPr>
          <w:sz w:val="18"/>
        </w:rPr>
        <w:t>Home</w:t>
      </w:r>
      <w:r>
        <w:rPr>
          <w:spacing w:val="-7"/>
          <w:sz w:val="18"/>
        </w:rPr>
        <w:t> </w:t>
      </w:r>
      <w:r>
        <w:rPr>
          <w:sz w:val="18"/>
        </w:rPr>
        <w:t>Department,</w:t>
      </w:r>
      <w:r>
        <w:rPr>
          <w:spacing w:val="-7"/>
          <w:sz w:val="18"/>
        </w:rPr>
        <w:t> </w:t>
      </w:r>
      <w:r>
        <w:rPr>
          <w:sz w:val="18"/>
        </w:rPr>
        <w:t>Priti</w:t>
      </w:r>
      <w:r>
        <w:rPr>
          <w:spacing w:val="-7"/>
          <w:sz w:val="18"/>
        </w:rPr>
        <w:t> </w:t>
      </w:r>
      <w:r>
        <w:rPr>
          <w:sz w:val="18"/>
        </w:rPr>
        <w:t>Patel MP, 26 January 2022.</w:t>
      </w:r>
    </w:p>
    <w:p>
      <w:pPr>
        <w:pStyle w:val="ListParagraph"/>
        <w:numPr>
          <w:ilvl w:val="0"/>
          <w:numId w:val="11"/>
        </w:numPr>
        <w:tabs>
          <w:tab w:pos="1853" w:val="left" w:leader="none"/>
        </w:tabs>
        <w:spacing w:line="235" w:lineRule="auto" w:before="2" w:after="0"/>
        <w:ind w:left="1853" w:right="1166" w:hanging="720"/>
        <w:jc w:val="left"/>
        <w:rPr>
          <w:sz w:val="18"/>
        </w:rPr>
      </w:pPr>
      <w:r>
        <w:rPr>
          <w:sz w:val="18"/>
        </w:rPr>
        <w:t>Letter</w:t>
      </w:r>
      <w:r>
        <w:rPr>
          <w:spacing w:val="-4"/>
          <w:sz w:val="18"/>
        </w:rPr>
        <w:t> </w:t>
      </w:r>
      <w:r>
        <w:rPr>
          <w:sz w:val="18"/>
        </w:rPr>
        <w:t>from</w:t>
      </w:r>
      <w:r>
        <w:rPr>
          <w:spacing w:val="-4"/>
          <w:sz w:val="18"/>
        </w:rPr>
        <w:t> </w:t>
      </w:r>
      <w:r>
        <w:rPr>
          <w:sz w:val="18"/>
        </w:rPr>
        <w:t>the</w:t>
      </w:r>
      <w:r>
        <w:rPr>
          <w:spacing w:val="-4"/>
          <w:sz w:val="18"/>
        </w:rPr>
        <w:t> </w:t>
      </w:r>
      <w:r>
        <w:rPr>
          <w:sz w:val="18"/>
        </w:rPr>
        <w:t>Home</w:t>
      </w:r>
      <w:r>
        <w:rPr>
          <w:spacing w:val="-4"/>
          <w:sz w:val="18"/>
        </w:rPr>
        <w:t> </w:t>
      </w:r>
      <w:r>
        <w:rPr>
          <w:sz w:val="18"/>
        </w:rPr>
        <w:t>Office</w:t>
      </w:r>
      <w:r>
        <w:rPr>
          <w:spacing w:val="-4"/>
          <w:sz w:val="18"/>
        </w:rPr>
        <w:t> </w:t>
      </w:r>
      <w:r>
        <w:rPr>
          <w:sz w:val="18"/>
        </w:rPr>
        <w:t>to</w:t>
      </w:r>
      <w:r>
        <w:rPr>
          <w:spacing w:val="-4"/>
          <w:sz w:val="18"/>
        </w:rPr>
        <w:t> </w:t>
      </w:r>
      <w:r>
        <w:rPr>
          <w:sz w:val="18"/>
        </w:rPr>
        <w:t>the</w:t>
      </w:r>
      <w:r>
        <w:rPr>
          <w:spacing w:val="-4"/>
          <w:sz w:val="18"/>
        </w:rPr>
        <w:t> </w:t>
      </w:r>
      <w:r>
        <w:rPr>
          <w:sz w:val="18"/>
        </w:rPr>
        <w:t>NI</w:t>
      </w:r>
      <w:r>
        <w:rPr>
          <w:spacing w:val="-4"/>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5</w:t>
      </w:r>
      <w:r>
        <w:rPr>
          <w:spacing w:val="-4"/>
          <w:sz w:val="18"/>
        </w:rPr>
        <w:t> </w:t>
      </w:r>
      <w:r>
        <w:rPr>
          <w:sz w:val="18"/>
        </w:rPr>
        <w:t>July</w:t>
      </w:r>
      <w:r>
        <w:rPr>
          <w:spacing w:val="-4"/>
          <w:sz w:val="18"/>
        </w:rPr>
        <w:t> </w:t>
      </w:r>
      <w:r>
        <w:rPr>
          <w:sz w:val="18"/>
        </w:rPr>
        <w:t>2022;</w:t>
      </w:r>
      <w:r>
        <w:rPr>
          <w:spacing w:val="-4"/>
          <w:sz w:val="18"/>
        </w:rPr>
        <w:t> </w:t>
      </w:r>
      <w:r>
        <w:rPr>
          <w:sz w:val="18"/>
        </w:rPr>
        <w:t>Letter</w:t>
      </w:r>
      <w:r>
        <w:rPr>
          <w:spacing w:val="-4"/>
          <w:sz w:val="18"/>
        </w:rPr>
        <w:t> </w:t>
      </w:r>
      <w:r>
        <w:rPr>
          <w:sz w:val="18"/>
        </w:rPr>
        <w:t>from</w:t>
      </w:r>
      <w:r>
        <w:rPr>
          <w:spacing w:val="-4"/>
          <w:sz w:val="18"/>
        </w:rPr>
        <w:t> </w:t>
      </w:r>
      <w:r>
        <w:rPr>
          <w:sz w:val="18"/>
        </w:rPr>
        <w:t>the</w:t>
      </w:r>
      <w:r>
        <w:rPr>
          <w:spacing w:val="-4"/>
          <w:sz w:val="18"/>
        </w:rPr>
        <w:t> </w:t>
      </w:r>
      <w:r>
        <w:rPr>
          <w:sz w:val="18"/>
        </w:rPr>
        <w:t>Home</w:t>
      </w:r>
      <w:r>
        <w:rPr>
          <w:spacing w:val="-4"/>
          <w:sz w:val="18"/>
        </w:rPr>
        <w:t> </w:t>
      </w:r>
      <w:r>
        <w:rPr>
          <w:sz w:val="18"/>
        </w:rPr>
        <w:t>Office</w:t>
      </w:r>
      <w:r>
        <w:rPr>
          <w:spacing w:val="-4"/>
          <w:sz w:val="18"/>
        </w:rPr>
        <w:t> </w:t>
      </w:r>
      <w:r>
        <w:rPr>
          <w:sz w:val="18"/>
        </w:rPr>
        <w:t>to</w:t>
      </w:r>
      <w:r>
        <w:rPr>
          <w:spacing w:val="-4"/>
          <w:sz w:val="18"/>
        </w:rPr>
        <w:t> </w:t>
      </w:r>
      <w:r>
        <w:rPr>
          <w:sz w:val="18"/>
        </w:rPr>
        <w:t>the</w:t>
      </w:r>
      <w:r>
        <w:rPr>
          <w:spacing w:val="-4"/>
          <w:sz w:val="18"/>
        </w:rPr>
        <w:t> </w:t>
      </w:r>
      <w:r>
        <w:rPr>
          <w:sz w:val="18"/>
        </w:rPr>
        <w:t>Equality Commission for NI, 16 May 2022.</w:t>
      </w:r>
    </w:p>
    <w:p>
      <w:pPr>
        <w:pStyle w:val="ListParagraph"/>
        <w:numPr>
          <w:ilvl w:val="0"/>
          <w:numId w:val="11"/>
        </w:numPr>
        <w:tabs>
          <w:tab w:pos="1853" w:val="left" w:leader="none"/>
        </w:tabs>
        <w:spacing w:line="235" w:lineRule="auto" w:before="2" w:after="0"/>
        <w:ind w:left="1853" w:right="1342" w:hanging="720"/>
        <w:jc w:val="left"/>
        <w:rPr>
          <w:sz w:val="18"/>
        </w:rPr>
      </w:pPr>
      <w:r>
        <w:rPr>
          <w:sz w:val="18"/>
        </w:rPr>
        <w:t>This</w:t>
      </w:r>
      <w:r>
        <w:rPr>
          <w:spacing w:val="-5"/>
          <w:sz w:val="18"/>
        </w:rPr>
        <w:t> </w:t>
      </w:r>
      <w:r>
        <w:rPr>
          <w:sz w:val="18"/>
        </w:rPr>
        <w:t>was</w:t>
      </w:r>
      <w:r>
        <w:rPr>
          <w:spacing w:val="-5"/>
          <w:sz w:val="18"/>
        </w:rPr>
        <w:t> </w:t>
      </w:r>
      <w:r>
        <w:rPr>
          <w:sz w:val="18"/>
        </w:rPr>
        <w:t>further</w:t>
      </w:r>
      <w:r>
        <w:rPr>
          <w:spacing w:val="-4"/>
          <w:sz w:val="18"/>
        </w:rPr>
        <w:t> </w:t>
      </w:r>
      <w:r>
        <w:rPr>
          <w:sz w:val="18"/>
        </w:rPr>
        <w:t>confirmed</w:t>
      </w:r>
      <w:r>
        <w:rPr>
          <w:spacing w:val="-5"/>
          <w:sz w:val="18"/>
        </w:rPr>
        <w:t> </w:t>
      </w:r>
      <w:r>
        <w:rPr>
          <w:sz w:val="18"/>
        </w:rPr>
        <w:t>in</w:t>
      </w:r>
      <w:r>
        <w:rPr>
          <w:spacing w:val="-5"/>
          <w:sz w:val="18"/>
        </w:rPr>
        <w:t> </w:t>
      </w:r>
      <w:r>
        <w:rPr>
          <w:sz w:val="18"/>
        </w:rPr>
        <w:t>correspondence</w:t>
      </w:r>
      <w:r>
        <w:rPr>
          <w:spacing w:val="-4"/>
          <w:sz w:val="18"/>
        </w:rPr>
        <w:t> </w:t>
      </w:r>
      <w:r>
        <w:rPr>
          <w:sz w:val="18"/>
        </w:rPr>
        <w:t>with</w:t>
      </w:r>
      <w:r>
        <w:rPr>
          <w:spacing w:val="-5"/>
          <w:sz w:val="18"/>
        </w:rPr>
        <w:t> </w:t>
      </w:r>
      <w:r>
        <w:rPr>
          <w:sz w:val="18"/>
        </w:rPr>
        <w:t>the</w:t>
      </w:r>
      <w:r>
        <w:rPr>
          <w:spacing w:val="-4"/>
          <w:sz w:val="18"/>
        </w:rPr>
        <w:t> </w:t>
      </w:r>
      <w:r>
        <w:rPr>
          <w:sz w:val="18"/>
        </w:rPr>
        <w:t>House</w:t>
      </w:r>
      <w:r>
        <w:rPr>
          <w:spacing w:val="-4"/>
          <w:sz w:val="18"/>
        </w:rPr>
        <w:t> </w:t>
      </w:r>
      <w:r>
        <w:rPr>
          <w:sz w:val="18"/>
        </w:rPr>
        <w:t>of</w:t>
      </w:r>
      <w:r>
        <w:rPr>
          <w:spacing w:val="-5"/>
          <w:sz w:val="18"/>
        </w:rPr>
        <w:t> </w:t>
      </w:r>
      <w:r>
        <w:rPr>
          <w:sz w:val="18"/>
        </w:rPr>
        <w:t>Lords</w:t>
      </w:r>
      <w:r>
        <w:rPr>
          <w:spacing w:val="-5"/>
          <w:sz w:val="18"/>
        </w:rPr>
        <w:t> </w:t>
      </w:r>
      <w:r>
        <w:rPr>
          <w:sz w:val="18"/>
        </w:rPr>
        <w:t>Sub-Committee</w:t>
      </w:r>
      <w:r>
        <w:rPr>
          <w:spacing w:val="-4"/>
          <w:sz w:val="18"/>
        </w:rPr>
        <w:t> </w:t>
      </w:r>
      <w:r>
        <w:rPr>
          <w:sz w:val="18"/>
        </w:rPr>
        <w:t>on</w:t>
      </w:r>
      <w:r>
        <w:rPr>
          <w:spacing w:val="-5"/>
          <w:sz w:val="18"/>
        </w:rPr>
        <w:t> </w:t>
      </w:r>
      <w:r>
        <w:rPr>
          <w:sz w:val="18"/>
        </w:rPr>
        <w:t>the</w:t>
      </w:r>
      <w:r>
        <w:rPr>
          <w:spacing w:val="-4"/>
          <w:sz w:val="18"/>
        </w:rPr>
        <w:t> </w:t>
      </w:r>
      <w:r>
        <w:rPr>
          <w:sz w:val="18"/>
        </w:rPr>
        <w:t>Protocol.</w:t>
      </w:r>
      <w:r>
        <w:rPr>
          <w:spacing w:val="-5"/>
          <w:sz w:val="18"/>
        </w:rPr>
        <w:t> </w:t>
      </w:r>
      <w:r>
        <w:rPr>
          <w:sz w:val="18"/>
        </w:rPr>
        <w:t>See</w:t>
      </w:r>
      <w:r>
        <w:rPr>
          <w:spacing w:val="-4"/>
          <w:sz w:val="18"/>
        </w:rPr>
        <w:t> </w:t>
      </w:r>
      <w:r>
        <w:rPr>
          <w:sz w:val="18"/>
        </w:rPr>
        <w:t>Letter</w:t>
      </w:r>
      <w:r>
        <w:rPr>
          <w:spacing w:val="-4"/>
          <w:sz w:val="18"/>
        </w:rPr>
        <w:t> </w:t>
      </w:r>
      <w:r>
        <w:rPr>
          <w:sz w:val="18"/>
        </w:rPr>
        <w:t>from Chair of the Protocol on Ireland/NI Sub-Committee, Lord Jay of Ewelme, to Minister for the Home Office, Baroness Williams of Trafford, 1 April 2022. See also Letter from Chair of the Protocol on Ireland/NI Sub-Committee, Lord</w:t>
      </w:r>
    </w:p>
    <w:p>
      <w:pPr>
        <w:spacing w:line="216" w:lineRule="exact" w:before="0"/>
        <w:ind w:left="1853" w:right="0" w:firstLine="0"/>
        <w:jc w:val="left"/>
        <w:rPr>
          <w:sz w:val="18"/>
        </w:rPr>
      </w:pPr>
      <w:r>
        <w:rPr>
          <w:sz w:val="18"/>
        </w:rPr>
        <w:t>Jay</w:t>
      </w:r>
      <w:r>
        <w:rPr>
          <w:spacing w:val="-6"/>
          <w:sz w:val="18"/>
        </w:rPr>
        <w:t> </w:t>
      </w:r>
      <w:r>
        <w:rPr>
          <w:sz w:val="18"/>
        </w:rPr>
        <w:t>of</w:t>
      </w:r>
      <w:r>
        <w:rPr>
          <w:spacing w:val="-7"/>
          <w:sz w:val="18"/>
        </w:rPr>
        <w:t> </w:t>
      </w:r>
      <w:r>
        <w:rPr>
          <w:sz w:val="18"/>
        </w:rPr>
        <w:t>Ewelme,</w:t>
      </w:r>
      <w:r>
        <w:rPr>
          <w:spacing w:val="-5"/>
          <w:sz w:val="18"/>
        </w:rPr>
        <w:t> </w:t>
      </w:r>
      <w:r>
        <w:rPr>
          <w:sz w:val="18"/>
        </w:rPr>
        <w:t>to</w:t>
      </w:r>
      <w:r>
        <w:rPr>
          <w:spacing w:val="-7"/>
          <w:sz w:val="18"/>
        </w:rPr>
        <w:t> </w:t>
      </w:r>
      <w:r>
        <w:rPr>
          <w:sz w:val="18"/>
        </w:rPr>
        <w:t>Minister</w:t>
      </w:r>
      <w:r>
        <w:rPr>
          <w:spacing w:val="-5"/>
          <w:sz w:val="18"/>
        </w:rPr>
        <w:t> </w:t>
      </w:r>
      <w:r>
        <w:rPr>
          <w:sz w:val="18"/>
        </w:rPr>
        <w:t>for</w:t>
      </w:r>
      <w:r>
        <w:rPr>
          <w:spacing w:val="-6"/>
          <w:sz w:val="18"/>
        </w:rPr>
        <w:t> </w:t>
      </w:r>
      <w:r>
        <w:rPr>
          <w:sz w:val="18"/>
        </w:rPr>
        <w:t>the</w:t>
      </w:r>
      <w:r>
        <w:rPr>
          <w:spacing w:val="-5"/>
          <w:sz w:val="18"/>
        </w:rPr>
        <w:t> </w:t>
      </w:r>
      <w:r>
        <w:rPr>
          <w:sz w:val="18"/>
        </w:rPr>
        <w:t>Home</w:t>
      </w:r>
      <w:r>
        <w:rPr>
          <w:spacing w:val="-6"/>
          <w:sz w:val="18"/>
        </w:rPr>
        <w:t> </w:t>
      </w:r>
      <w:r>
        <w:rPr>
          <w:sz w:val="18"/>
        </w:rPr>
        <w:t>Office,</w:t>
      </w:r>
      <w:r>
        <w:rPr>
          <w:spacing w:val="-6"/>
          <w:sz w:val="18"/>
        </w:rPr>
        <w:t> </w:t>
      </w:r>
      <w:r>
        <w:rPr>
          <w:sz w:val="18"/>
        </w:rPr>
        <w:t>Baroness</w:t>
      </w:r>
      <w:r>
        <w:rPr>
          <w:spacing w:val="-6"/>
          <w:sz w:val="18"/>
        </w:rPr>
        <w:t> </w:t>
      </w:r>
      <w:r>
        <w:rPr>
          <w:sz w:val="18"/>
        </w:rPr>
        <w:t>Williams</w:t>
      </w:r>
      <w:r>
        <w:rPr>
          <w:spacing w:val="-6"/>
          <w:sz w:val="18"/>
        </w:rPr>
        <w:t> </w:t>
      </w:r>
      <w:r>
        <w:rPr>
          <w:sz w:val="18"/>
        </w:rPr>
        <w:t>of</w:t>
      </w:r>
      <w:r>
        <w:rPr>
          <w:spacing w:val="-7"/>
          <w:sz w:val="18"/>
        </w:rPr>
        <w:t> </w:t>
      </w:r>
      <w:r>
        <w:rPr>
          <w:sz w:val="18"/>
        </w:rPr>
        <w:t>Trafford,</w:t>
      </w:r>
      <w:r>
        <w:rPr>
          <w:spacing w:val="-6"/>
          <w:sz w:val="18"/>
        </w:rPr>
        <w:t> </w:t>
      </w:r>
      <w:r>
        <w:rPr>
          <w:sz w:val="18"/>
        </w:rPr>
        <w:t>3</w:t>
      </w:r>
      <w:r>
        <w:rPr>
          <w:spacing w:val="-5"/>
          <w:sz w:val="18"/>
        </w:rPr>
        <w:t> </w:t>
      </w:r>
      <w:r>
        <w:rPr>
          <w:sz w:val="18"/>
        </w:rPr>
        <w:t>March</w:t>
      </w:r>
      <w:r>
        <w:rPr>
          <w:spacing w:val="-7"/>
          <w:sz w:val="18"/>
        </w:rPr>
        <w:t> </w:t>
      </w:r>
      <w:r>
        <w:rPr>
          <w:spacing w:val="-2"/>
          <w:sz w:val="18"/>
        </w:rPr>
        <w:t>2022.</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Letter</w:t>
      </w:r>
      <w:r>
        <w:rPr>
          <w:spacing w:val="-3"/>
          <w:sz w:val="18"/>
        </w:rPr>
        <w:t> </w:t>
      </w:r>
      <w:r>
        <w:rPr>
          <w:sz w:val="18"/>
        </w:rPr>
        <w:t>from</w:t>
      </w:r>
      <w:r>
        <w:rPr>
          <w:spacing w:val="-3"/>
          <w:sz w:val="18"/>
        </w:rPr>
        <w:t> </w:t>
      </w:r>
      <w:r>
        <w:rPr>
          <w:sz w:val="18"/>
        </w:rPr>
        <w:t>the</w:t>
      </w:r>
      <w:r>
        <w:rPr>
          <w:spacing w:val="-2"/>
          <w:sz w:val="18"/>
        </w:rPr>
        <w:t> </w:t>
      </w:r>
      <w:r>
        <w:rPr>
          <w:sz w:val="18"/>
        </w:rPr>
        <w:t>Home</w:t>
      </w:r>
      <w:r>
        <w:rPr>
          <w:spacing w:val="-3"/>
          <w:sz w:val="18"/>
        </w:rPr>
        <w:t> </w:t>
      </w:r>
      <w:r>
        <w:rPr>
          <w:sz w:val="18"/>
        </w:rPr>
        <w:t>Office</w:t>
      </w:r>
      <w:r>
        <w:rPr>
          <w:spacing w:val="-3"/>
          <w:sz w:val="18"/>
        </w:rPr>
        <w:t> </w:t>
      </w:r>
      <w:r>
        <w:rPr>
          <w:sz w:val="18"/>
        </w:rPr>
        <w:t>to</w:t>
      </w:r>
      <w:r>
        <w:rPr>
          <w:spacing w:val="-3"/>
          <w:sz w:val="18"/>
        </w:rPr>
        <w:t> </w:t>
      </w:r>
      <w:r>
        <w:rPr>
          <w:sz w:val="18"/>
        </w:rPr>
        <w:t>the</w:t>
      </w:r>
      <w:r>
        <w:rPr>
          <w:spacing w:val="-3"/>
          <w:sz w:val="18"/>
        </w:rPr>
        <w:t> </w:t>
      </w:r>
      <w:r>
        <w:rPr>
          <w:sz w:val="18"/>
        </w:rPr>
        <w:t>NI</w:t>
      </w:r>
      <w:r>
        <w:rPr>
          <w:spacing w:val="-2"/>
          <w:sz w:val="18"/>
        </w:rPr>
        <w:t> </w:t>
      </w:r>
      <w:r>
        <w:rPr>
          <w:sz w:val="18"/>
        </w:rPr>
        <w:t>Human</w:t>
      </w:r>
      <w:r>
        <w:rPr>
          <w:spacing w:val="-4"/>
          <w:sz w:val="18"/>
        </w:rPr>
        <w:t> </w:t>
      </w:r>
      <w:r>
        <w:rPr>
          <w:sz w:val="18"/>
        </w:rPr>
        <w:t>Rights</w:t>
      </w:r>
      <w:r>
        <w:rPr>
          <w:spacing w:val="-4"/>
          <w:sz w:val="18"/>
        </w:rPr>
        <w:t> </w:t>
      </w:r>
      <w:r>
        <w:rPr>
          <w:sz w:val="18"/>
        </w:rPr>
        <w:t>Commission,</w:t>
      </w:r>
      <w:r>
        <w:rPr>
          <w:spacing w:val="-2"/>
          <w:sz w:val="18"/>
        </w:rPr>
        <w:t> </w:t>
      </w:r>
      <w:r>
        <w:rPr>
          <w:sz w:val="18"/>
        </w:rPr>
        <w:t>5</w:t>
      </w:r>
      <w:r>
        <w:rPr>
          <w:spacing w:val="-3"/>
          <w:sz w:val="18"/>
        </w:rPr>
        <w:t> </w:t>
      </w:r>
      <w:r>
        <w:rPr>
          <w:sz w:val="18"/>
        </w:rPr>
        <w:t>July</w:t>
      </w:r>
      <w:r>
        <w:rPr>
          <w:spacing w:val="-2"/>
          <w:sz w:val="18"/>
        </w:rPr>
        <w:t> 2022.</w:t>
      </w:r>
    </w:p>
    <w:p>
      <w:pPr>
        <w:pStyle w:val="ListParagraph"/>
        <w:numPr>
          <w:ilvl w:val="0"/>
          <w:numId w:val="11"/>
        </w:numPr>
        <w:tabs>
          <w:tab w:pos="1853" w:val="left" w:leader="none"/>
        </w:tabs>
        <w:spacing w:line="216" w:lineRule="exact" w:before="0" w:after="0"/>
        <w:ind w:left="1853" w:right="0" w:hanging="720"/>
        <w:jc w:val="left"/>
        <w:rPr>
          <w:sz w:val="18"/>
        </w:rPr>
      </w:pPr>
      <w:r>
        <w:rPr>
          <w:spacing w:val="-4"/>
          <w:sz w:val="18"/>
        </w:rPr>
        <w:t>Ibid.</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Letter</w:t>
      </w:r>
      <w:r>
        <w:rPr>
          <w:spacing w:val="-4"/>
          <w:sz w:val="18"/>
        </w:rPr>
        <w:t> </w:t>
      </w:r>
      <w:r>
        <w:rPr>
          <w:sz w:val="18"/>
        </w:rPr>
        <w:t>from</w:t>
      </w:r>
      <w:r>
        <w:rPr>
          <w:spacing w:val="-3"/>
          <w:sz w:val="18"/>
        </w:rPr>
        <w:t> </w:t>
      </w:r>
      <w:r>
        <w:rPr>
          <w:sz w:val="18"/>
        </w:rPr>
        <w:t>the</w:t>
      </w:r>
      <w:r>
        <w:rPr>
          <w:spacing w:val="-4"/>
          <w:sz w:val="18"/>
        </w:rPr>
        <w:t> </w:t>
      </w:r>
      <w:r>
        <w:rPr>
          <w:sz w:val="18"/>
        </w:rPr>
        <w:t>Home</w:t>
      </w:r>
      <w:r>
        <w:rPr>
          <w:spacing w:val="-3"/>
          <w:sz w:val="18"/>
        </w:rPr>
        <w:t> </w:t>
      </w:r>
      <w:r>
        <w:rPr>
          <w:sz w:val="18"/>
        </w:rPr>
        <w:t>Office</w:t>
      </w:r>
      <w:r>
        <w:rPr>
          <w:spacing w:val="-3"/>
          <w:sz w:val="18"/>
        </w:rPr>
        <w:t> </w:t>
      </w:r>
      <w:r>
        <w:rPr>
          <w:sz w:val="18"/>
        </w:rPr>
        <w:t>to</w:t>
      </w:r>
      <w:r>
        <w:rPr>
          <w:spacing w:val="-5"/>
          <w:sz w:val="18"/>
        </w:rPr>
        <w:t> </w:t>
      </w:r>
      <w:r>
        <w:rPr>
          <w:sz w:val="18"/>
        </w:rPr>
        <w:t>the</w:t>
      </w:r>
      <w:r>
        <w:rPr>
          <w:spacing w:val="-3"/>
          <w:sz w:val="18"/>
        </w:rPr>
        <w:t> </w:t>
      </w:r>
      <w:r>
        <w:rPr>
          <w:sz w:val="18"/>
        </w:rPr>
        <w:t>Equality</w:t>
      </w:r>
      <w:r>
        <w:rPr>
          <w:spacing w:val="-4"/>
          <w:sz w:val="18"/>
        </w:rPr>
        <w:t> </w:t>
      </w:r>
      <w:r>
        <w:rPr>
          <w:sz w:val="18"/>
        </w:rPr>
        <w:t>Commission</w:t>
      </w:r>
      <w:r>
        <w:rPr>
          <w:spacing w:val="-4"/>
          <w:sz w:val="18"/>
        </w:rPr>
        <w:t> </w:t>
      </w:r>
      <w:r>
        <w:rPr>
          <w:sz w:val="18"/>
        </w:rPr>
        <w:t>for</w:t>
      </w:r>
      <w:r>
        <w:rPr>
          <w:spacing w:val="-3"/>
          <w:sz w:val="18"/>
        </w:rPr>
        <w:t> </w:t>
      </w:r>
      <w:r>
        <w:rPr>
          <w:sz w:val="18"/>
        </w:rPr>
        <w:t>NI,</w:t>
      </w:r>
      <w:r>
        <w:rPr>
          <w:spacing w:val="-4"/>
          <w:sz w:val="18"/>
        </w:rPr>
        <w:t> </w:t>
      </w:r>
      <w:r>
        <w:rPr>
          <w:sz w:val="18"/>
        </w:rPr>
        <w:t>16</w:t>
      </w:r>
      <w:r>
        <w:rPr>
          <w:spacing w:val="-3"/>
          <w:sz w:val="18"/>
        </w:rPr>
        <w:t> </w:t>
      </w:r>
      <w:r>
        <w:rPr>
          <w:sz w:val="18"/>
        </w:rPr>
        <w:t>May</w:t>
      </w:r>
      <w:r>
        <w:rPr>
          <w:spacing w:val="-3"/>
          <w:sz w:val="18"/>
        </w:rPr>
        <w:t> </w:t>
      </w:r>
      <w:r>
        <w:rPr>
          <w:spacing w:val="-2"/>
          <w:sz w:val="18"/>
        </w:rPr>
        <w:t>2022.</w:t>
      </w:r>
    </w:p>
    <w:p>
      <w:pPr>
        <w:pStyle w:val="ListParagraph"/>
        <w:numPr>
          <w:ilvl w:val="0"/>
          <w:numId w:val="11"/>
        </w:numPr>
        <w:tabs>
          <w:tab w:pos="1853" w:val="left" w:leader="none"/>
        </w:tabs>
        <w:spacing w:line="218" w:lineRule="exact" w:before="0" w:after="0"/>
        <w:ind w:left="1853" w:right="0" w:hanging="720"/>
        <w:jc w:val="left"/>
        <w:rPr>
          <w:sz w:val="18"/>
        </w:rPr>
      </w:pPr>
      <w:r>
        <w:rPr>
          <w:spacing w:val="-4"/>
          <w:sz w:val="18"/>
        </w:rPr>
        <w:t>Ibid.</w:t>
      </w:r>
    </w:p>
    <w:p>
      <w:pPr>
        <w:spacing w:after="0" w:line="218" w:lineRule="exact"/>
        <w:jc w:val="left"/>
        <w:rPr>
          <w:sz w:val="18"/>
        </w:rPr>
        <w:sectPr>
          <w:pgSz w:w="11910" w:h="16840"/>
          <w:pgMar w:header="496" w:footer="367" w:top="1220" w:bottom="560" w:left="0" w:right="0"/>
        </w:sectPr>
      </w:pPr>
    </w:p>
    <w:p>
      <w:pPr>
        <w:pStyle w:val="BodyText"/>
        <w:spacing w:before="209"/>
      </w:pPr>
    </w:p>
    <w:p>
      <w:pPr>
        <w:pStyle w:val="BodyText"/>
        <w:spacing w:line="216" w:lineRule="auto"/>
        <w:ind w:left="1853" w:right="1171"/>
        <w:rPr>
          <w:sz w:val="16"/>
        </w:rPr>
      </w:pPr>
      <w:r>
        <w:rPr/>
        <w:t>to</w:t>
      </w:r>
      <w:r>
        <w:rPr>
          <w:spacing w:val="-10"/>
        </w:rPr>
        <w:t> </w:t>
      </w:r>
      <w:r>
        <w:rPr/>
        <w:t>apply</w:t>
      </w:r>
      <w:r>
        <w:rPr>
          <w:spacing w:val="-9"/>
        </w:rPr>
        <w:t> </w:t>
      </w:r>
      <w:r>
        <w:rPr/>
        <w:t>for</w:t>
      </w:r>
      <w:r>
        <w:rPr>
          <w:spacing w:val="-9"/>
        </w:rPr>
        <w:t> </w:t>
      </w:r>
      <w:r>
        <w:rPr/>
        <w:t>an</w:t>
      </w:r>
      <w:r>
        <w:rPr>
          <w:spacing w:val="-10"/>
        </w:rPr>
        <w:t> </w:t>
      </w:r>
      <w:r>
        <w:rPr/>
        <w:t>Electronic</w:t>
      </w:r>
      <w:r>
        <w:rPr>
          <w:spacing w:val="-9"/>
        </w:rPr>
        <w:t> </w:t>
      </w:r>
      <w:r>
        <w:rPr/>
        <w:t>Travel</w:t>
      </w:r>
      <w:r>
        <w:rPr>
          <w:spacing w:val="-10"/>
        </w:rPr>
        <w:t> </w:t>
      </w:r>
      <w:r>
        <w:rPr/>
        <w:t>Authorisation</w:t>
      </w:r>
      <w:r>
        <w:rPr>
          <w:spacing w:val="-10"/>
        </w:rPr>
        <w:t> </w:t>
      </w:r>
      <w:r>
        <w:rPr/>
        <w:t>when</w:t>
      </w:r>
      <w:r>
        <w:rPr>
          <w:spacing w:val="-10"/>
        </w:rPr>
        <w:t> </w:t>
      </w:r>
      <w:r>
        <w:rPr/>
        <w:t>traveling</w:t>
      </w:r>
      <w:r>
        <w:rPr>
          <w:spacing w:val="-9"/>
        </w:rPr>
        <w:t> </w:t>
      </w:r>
      <w:r>
        <w:rPr/>
        <w:t>from</w:t>
      </w:r>
      <w:r>
        <w:rPr>
          <w:spacing w:val="-9"/>
        </w:rPr>
        <w:t> </w:t>
      </w:r>
      <w:r>
        <w:rPr/>
        <w:t>Ireland</w:t>
      </w:r>
      <w:r>
        <w:rPr>
          <w:spacing w:val="-10"/>
        </w:rPr>
        <w:t> </w:t>
      </w:r>
      <w:r>
        <w:rPr/>
        <w:t>to </w:t>
      </w:r>
      <w:r>
        <w:rPr>
          <w:spacing w:val="-2"/>
          <w:position w:val="-8"/>
        </w:rPr>
        <w:t>NI.</w:t>
      </w:r>
      <w:r>
        <w:rPr>
          <w:spacing w:val="-2"/>
          <w:sz w:val="16"/>
        </w:rPr>
        <w:t>760</w:t>
      </w:r>
    </w:p>
    <w:p>
      <w:pPr>
        <w:pStyle w:val="ListParagraph"/>
        <w:numPr>
          <w:ilvl w:val="1"/>
          <w:numId w:val="13"/>
        </w:numPr>
        <w:tabs>
          <w:tab w:pos="1853" w:val="left" w:leader="none"/>
        </w:tabs>
        <w:spacing w:line="225" w:lineRule="auto" w:before="334" w:after="0"/>
        <w:ind w:left="1853" w:right="1541" w:hanging="720"/>
        <w:jc w:val="left"/>
        <w:rPr>
          <w:sz w:val="28"/>
        </w:rPr>
      </w:pPr>
      <w:r>
        <w:rPr>
          <w:sz w:val="28"/>
        </w:rPr>
        <w:t>In</w:t>
      </w:r>
      <w:r>
        <w:rPr>
          <w:spacing w:val="-6"/>
          <w:sz w:val="28"/>
        </w:rPr>
        <w:t> </w:t>
      </w:r>
      <w:r>
        <w:rPr>
          <w:sz w:val="28"/>
        </w:rPr>
        <w:t>June</w:t>
      </w:r>
      <w:r>
        <w:rPr>
          <w:spacing w:val="-5"/>
          <w:sz w:val="28"/>
        </w:rPr>
        <w:t> </w:t>
      </w:r>
      <w:r>
        <w:rPr>
          <w:sz w:val="28"/>
        </w:rPr>
        <w:t>2023,</w:t>
      </w:r>
      <w:r>
        <w:rPr>
          <w:spacing w:val="-5"/>
          <w:sz w:val="28"/>
        </w:rPr>
        <w:t> </w:t>
      </w:r>
      <w:r>
        <w:rPr>
          <w:sz w:val="28"/>
        </w:rPr>
        <w:t>the</w:t>
      </w:r>
      <w:r>
        <w:rPr>
          <w:spacing w:val="-5"/>
          <w:sz w:val="28"/>
        </w:rPr>
        <w:t> </w:t>
      </w:r>
      <w:r>
        <w:rPr>
          <w:sz w:val="28"/>
        </w:rPr>
        <w:t>ECNI</w:t>
      </w:r>
      <w:r>
        <w:rPr>
          <w:spacing w:val="-5"/>
          <w:sz w:val="28"/>
        </w:rPr>
        <w:t> </w:t>
      </w:r>
      <w:r>
        <w:rPr>
          <w:sz w:val="28"/>
        </w:rPr>
        <w:t>published</w:t>
      </w:r>
      <w:r>
        <w:rPr>
          <w:spacing w:val="-6"/>
          <w:sz w:val="28"/>
        </w:rPr>
        <w:t> </w:t>
      </w:r>
      <w:r>
        <w:rPr>
          <w:sz w:val="28"/>
        </w:rPr>
        <w:t>its</w:t>
      </w:r>
      <w:r>
        <w:rPr>
          <w:spacing w:val="-6"/>
          <w:sz w:val="28"/>
        </w:rPr>
        <w:t> </w:t>
      </w:r>
      <w:r>
        <w:rPr>
          <w:sz w:val="28"/>
        </w:rPr>
        <w:t>independently</w:t>
      </w:r>
      <w:r>
        <w:rPr>
          <w:spacing w:val="-5"/>
          <w:sz w:val="28"/>
        </w:rPr>
        <w:t> </w:t>
      </w:r>
      <w:r>
        <w:rPr>
          <w:sz w:val="28"/>
        </w:rPr>
        <w:t>commissioned</w:t>
      </w:r>
      <w:r>
        <w:rPr>
          <w:spacing w:val="-6"/>
          <w:sz w:val="28"/>
        </w:rPr>
        <w:t> </w:t>
      </w:r>
      <w:r>
        <w:rPr>
          <w:sz w:val="28"/>
        </w:rPr>
        <w:t>research report on the ‘Impact of Brexit on minority ethnic and migrant people in Northern Ireland’.</w:t>
      </w:r>
      <w:r>
        <w:rPr>
          <w:sz w:val="28"/>
          <w:vertAlign w:val="superscript"/>
        </w:rPr>
        <w:t>761</w:t>
      </w:r>
      <w:r>
        <w:rPr>
          <w:spacing w:val="40"/>
          <w:sz w:val="28"/>
          <w:vertAlign w:val="baseline"/>
        </w:rPr>
        <w:t> </w:t>
      </w:r>
      <w:r>
        <w:rPr>
          <w:sz w:val="28"/>
          <w:vertAlign w:val="baseline"/>
        </w:rPr>
        <w:t>The research report noted experiences by research participants of what they considered to be racial profiling by the Borders and</w:t>
      </w:r>
      <w:r>
        <w:rPr>
          <w:spacing w:val="-6"/>
          <w:sz w:val="28"/>
          <w:vertAlign w:val="baseline"/>
        </w:rPr>
        <w:t> </w:t>
      </w:r>
      <w:r>
        <w:rPr>
          <w:sz w:val="28"/>
          <w:vertAlign w:val="baseline"/>
        </w:rPr>
        <w:t>Immigration</w:t>
      </w:r>
      <w:r>
        <w:rPr>
          <w:spacing w:val="-6"/>
          <w:sz w:val="28"/>
          <w:vertAlign w:val="baseline"/>
        </w:rPr>
        <w:t> </w:t>
      </w:r>
      <w:r>
        <w:rPr>
          <w:sz w:val="28"/>
          <w:vertAlign w:val="baseline"/>
        </w:rPr>
        <w:t>Agency</w:t>
      </w:r>
      <w:r>
        <w:rPr>
          <w:spacing w:val="-5"/>
          <w:sz w:val="28"/>
          <w:vertAlign w:val="baseline"/>
        </w:rPr>
        <w:t> </w:t>
      </w:r>
      <w:r>
        <w:rPr>
          <w:sz w:val="28"/>
          <w:vertAlign w:val="baseline"/>
        </w:rPr>
        <w:t>and</w:t>
      </w:r>
      <w:r>
        <w:rPr>
          <w:spacing w:val="-6"/>
          <w:sz w:val="28"/>
          <w:vertAlign w:val="baseline"/>
        </w:rPr>
        <w:t> </w:t>
      </w:r>
      <w:r>
        <w:rPr>
          <w:sz w:val="28"/>
          <w:vertAlign w:val="baseline"/>
        </w:rPr>
        <w:t>by</w:t>
      </w:r>
      <w:r>
        <w:rPr>
          <w:spacing w:val="-5"/>
          <w:sz w:val="28"/>
          <w:vertAlign w:val="baseline"/>
        </w:rPr>
        <w:t> </w:t>
      </w:r>
      <w:r>
        <w:rPr>
          <w:sz w:val="28"/>
          <w:vertAlign w:val="baseline"/>
        </w:rPr>
        <w:t>the</w:t>
      </w:r>
      <w:r>
        <w:rPr>
          <w:spacing w:val="-5"/>
          <w:sz w:val="28"/>
          <w:vertAlign w:val="baseline"/>
        </w:rPr>
        <w:t> </w:t>
      </w:r>
      <w:r>
        <w:rPr>
          <w:sz w:val="28"/>
          <w:vertAlign w:val="baseline"/>
        </w:rPr>
        <w:t>Police</w:t>
      </w:r>
      <w:r>
        <w:rPr>
          <w:spacing w:val="-5"/>
          <w:sz w:val="28"/>
          <w:vertAlign w:val="baseline"/>
        </w:rPr>
        <w:t> </w:t>
      </w:r>
      <w:r>
        <w:rPr>
          <w:sz w:val="28"/>
          <w:vertAlign w:val="baseline"/>
        </w:rPr>
        <w:t>Service</w:t>
      </w:r>
      <w:r>
        <w:rPr>
          <w:spacing w:val="-5"/>
          <w:sz w:val="28"/>
          <w:vertAlign w:val="baseline"/>
        </w:rPr>
        <w:t> </w:t>
      </w:r>
      <w:r>
        <w:rPr>
          <w:sz w:val="28"/>
          <w:vertAlign w:val="baseline"/>
        </w:rPr>
        <w:t>of</w:t>
      </w:r>
      <w:r>
        <w:rPr>
          <w:spacing w:val="-6"/>
          <w:sz w:val="28"/>
          <w:vertAlign w:val="baseline"/>
        </w:rPr>
        <w:t> </w:t>
      </w:r>
      <w:r>
        <w:rPr>
          <w:sz w:val="28"/>
          <w:vertAlign w:val="baseline"/>
        </w:rPr>
        <w:t>NI.</w:t>
      </w:r>
      <w:r>
        <w:rPr>
          <w:spacing w:val="-6"/>
          <w:sz w:val="28"/>
          <w:vertAlign w:val="baseline"/>
        </w:rPr>
        <w:t> </w:t>
      </w:r>
      <w:r>
        <w:rPr>
          <w:sz w:val="28"/>
          <w:vertAlign w:val="baseline"/>
        </w:rPr>
        <w:t>Examples</w:t>
      </w:r>
      <w:r>
        <w:rPr>
          <w:spacing w:val="-6"/>
          <w:sz w:val="28"/>
          <w:vertAlign w:val="baseline"/>
        </w:rPr>
        <w:t> </w:t>
      </w:r>
      <w:r>
        <w:rPr>
          <w:sz w:val="28"/>
          <w:vertAlign w:val="baseline"/>
        </w:rPr>
        <w:t>included singling out black people at airports and on cross-border bus journeys.</w:t>
      </w:r>
      <w:r>
        <w:rPr>
          <w:sz w:val="28"/>
          <w:vertAlign w:val="superscript"/>
        </w:rPr>
        <w:t>762</w:t>
      </w:r>
    </w:p>
    <w:p>
      <w:pPr>
        <w:pStyle w:val="BodyText"/>
        <w:spacing w:line="225" w:lineRule="auto"/>
        <w:ind w:left="1853" w:right="1582"/>
        <w:jc w:val="both"/>
      </w:pPr>
      <w:r>
        <w:rPr/>
        <w:t>In</w:t>
      </w:r>
      <w:r>
        <w:rPr>
          <w:spacing w:val="-8"/>
        </w:rPr>
        <w:t> </w:t>
      </w:r>
      <w:r>
        <w:rPr/>
        <w:t>addition,</w:t>
      </w:r>
      <w:r>
        <w:rPr>
          <w:spacing w:val="-7"/>
        </w:rPr>
        <w:t> </w:t>
      </w:r>
      <w:r>
        <w:rPr/>
        <w:t>concerns</w:t>
      </w:r>
      <w:r>
        <w:rPr>
          <w:spacing w:val="-8"/>
        </w:rPr>
        <w:t> </w:t>
      </w:r>
      <w:r>
        <w:rPr/>
        <w:t>have</w:t>
      </w:r>
      <w:r>
        <w:rPr>
          <w:spacing w:val="-7"/>
        </w:rPr>
        <w:t> </w:t>
      </w:r>
      <w:r>
        <w:rPr/>
        <w:t>been</w:t>
      </w:r>
      <w:r>
        <w:rPr>
          <w:spacing w:val="-8"/>
        </w:rPr>
        <w:t> </w:t>
      </w:r>
      <w:r>
        <w:rPr/>
        <w:t>raised</w:t>
      </w:r>
      <w:r>
        <w:rPr>
          <w:spacing w:val="-8"/>
        </w:rPr>
        <w:t> </w:t>
      </w:r>
      <w:r>
        <w:rPr/>
        <w:t>by</w:t>
      </w:r>
      <w:r>
        <w:rPr>
          <w:spacing w:val="-7"/>
        </w:rPr>
        <w:t> </w:t>
      </w:r>
      <w:r>
        <w:rPr/>
        <w:t>the</w:t>
      </w:r>
      <w:r>
        <w:rPr>
          <w:spacing w:val="-7"/>
        </w:rPr>
        <w:t> </w:t>
      </w:r>
      <w:r>
        <w:rPr/>
        <w:t>North</w:t>
      </w:r>
      <w:r>
        <w:rPr>
          <w:spacing w:val="-8"/>
        </w:rPr>
        <w:t> </w:t>
      </w:r>
      <w:r>
        <w:rPr/>
        <w:t>West</w:t>
      </w:r>
      <w:r>
        <w:rPr>
          <w:spacing w:val="-7"/>
        </w:rPr>
        <w:t> </w:t>
      </w:r>
      <w:r>
        <w:rPr/>
        <w:t>Migrants</w:t>
      </w:r>
      <w:r>
        <w:rPr>
          <w:spacing w:val="-8"/>
        </w:rPr>
        <w:t> </w:t>
      </w:r>
      <w:r>
        <w:rPr/>
        <w:t>Forum, the</w:t>
      </w:r>
      <w:r>
        <w:rPr>
          <w:spacing w:val="-9"/>
        </w:rPr>
        <w:t> </w:t>
      </w:r>
      <w:r>
        <w:rPr/>
        <w:t>Committee</w:t>
      </w:r>
      <w:r>
        <w:rPr>
          <w:spacing w:val="-9"/>
        </w:rPr>
        <w:t> </w:t>
      </w:r>
      <w:r>
        <w:rPr/>
        <w:t>on</w:t>
      </w:r>
      <w:r>
        <w:rPr>
          <w:spacing w:val="-10"/>
        </w:rPr>
        <w:t> </w:t>
      </w:r>
      <w:r>
        <w:rPr/>
        <w:t>the</w:t>
      </w:r>
      <w:r>
        <w:rPr>
          <w:spacing w:val="-9"/>
        </w:rPr>
        <w:t> </w:t>
      </w:r>
      <w:r>
        <w:rPr/>
        <w:t>Administration</w:t>
      </w:r>
      <w:r>
        <w:rPr>
          <w:spacing w:val="-10"/>
        </w:rPr>
        <w:t> </w:t>
      </w:r>
      <w:r>
        <w:rPr/>
        <w:t>of</w:t>
      </w:r>
      <w:r>
        <w:rPr>
          <w:spacing w:val="-10"/>
        </w:rPr>
        <w:t> </w:t>
      </w:r>
      <w:r>
        <w:rPr/>
        <w:t>Justice</w:t>
      </w:r>
      <w:r>
        <w:rPr>
          <w:spacing w:val="-9"/>
        </w:rPr>
        <w:t> </w:t>
      </w:r>
      <w:r>
        <w:rPr/>
        <w:t>and</w:t>
      </w:r>
      <w:r>
        <w:rPr>
          <w:spacing w:val="-10"/>
        </w:rPr>
        <w:t> </w:t>
      </w:r>
      <w:r>
        <w:rPr/>
        <w:t>others</w:t>
      </w:r>
      <w:r>
        <w:rPr>
          <w:spacing w:val="-10"/>
        </w:rPr>
        <w:t> </w:t>
      </w:r>
      <w:r>
        <w:rPr/>
        <w:t>regarding</w:t>
      </w:r>
      <w:r>
        <w:rPr>
          <w:spacing w:val="-9"/>
        </w:rPr>
        <w:t> </w:t>
      </w:r>
      <w:r>
        <w:rPr/>
        <w:t>racial profiling on cross-border transport, and airport buses in particular.</w:t>
      </w:r>
      <w:r>
        <w:rPr>
          <w:vertAlign w:val="superscript"/>
        </w:rPr>
        <w:t>763</w:t>
      </w:r>
    </w:p>
    <w:p>
      <w:pPr>
        <w:pStyle w:val="BodyText"/>
        <w:spacing w:before="6"/>
        <w:rPr>
          <w:sz w:val="13"/>
        </w:rPr>
      </w:pPr>
      <w:r>
        <w:rPr/>
        <mc:AlternateContent>
          <mc:Choice Requires="wps">
            <w:drawing>
              <wp:anchor distT="0" distB="0" distL="0" distR="0" allowOverlap="1" layoutInCell="1" locked="0" behindDoc="1" simplePos="0" relativeHeight="487713280">
                <wp:simplePos x="0" y="0"/>
                <wp:positionH relativeFrom="page">
                  <wp:posOffset>720001</wp:posOffset>
                </wp:positionH>
                <wp:positionV relativeFrom="paragraph">
                  <wp:posOffset>120222</wp:posOffset>
                </wp:positionV>
                <wp:extent cx="6120130" cy="360045"/>
                <wp:effectExtent l="0" t="0" r="0" b="0"/>
                <wp:wrapTopAndBottom/>
                <wp:docPr id="561" name="Textbox 561"/>
                <wp:cNvGraphicFramePr>
                  <a:graphicFrameLocks/>
                </wp:cNvGraphicFramePr>
                <a:graphic>
                  <a:graphicData uri="http://schemas.microsoft.com/office/word/2010/wordprocessingShape">
                    <wps:wsp>
                      <wps:cNvPr id="561" name="Textbox 561"/>
                      <wps:cNvSpPr txBox="1"/>
                      <wps:spPr>
                        <a:xfrm>
                          <a:off x="0" y="0"/>
                          <a:ext cx="6120130" cy="360045"/>
                        </a:xfrm>
                        <a:prstGeom prst="rect">
                          <a:avLst/>
                        </a:prstGeom>
                        <a:solidFill>
                          <a:srgbClr val="393B80"/>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9.466359pt;width:481.9pt;height:28.35pt;mso-position-horizontal-relative:page;mso-position-vertical-relative:paragraph;z-index:-15603200;mso-wrap-distance-left:0;mso-wrap-distance-right:0" type="#_x0000_t202" id="docshape506" filled="true" fillcolor="#393b80"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13"/>
        </w:numPr>
        <w:tabs>
          <w:tab w:pos="1853" w:val="left" w:leader="none"/>
        </w:tabs>
        <w:spacing w:line="225" w:lineRule="auto" w:before="208" w:after="0"/>
        <w:ind w:left="1853" w:right="1447" w:hanging="720"/>
        <w:jc w:val="left"/>
        <w:rPr>
          <w:b/>
          <w:color w:val="67287F"/>
          <w:sz w:val="28"/>
        </w:rPr>
      </w:pPr>
      <w:r>
        <w:rPr>
          <w:b/>
          <w:color w:val="67287F"/>
          <w:sz w:val="28"/>
        </w:rPr>
        <w:t>The Commissions continue to recommend that the Home Office enforce the prohibition on racial profiling and ensure it does not occur in the implementation of the revised guidance on the Common Travel Area and the Electronic Travel Authorisation requirements, including at entry to NI at</w:t>
      </w:r>
      <w:r>
        <w:rPr>
          <w:b/>
          <w:color w:val="67287F"/>
          <w:spacing w:val="-2"/>
          <w:sz w:val="28"/>
        </w:rPr>
        <w:t> </w:t>
      </w:r>
      <w:r>
        <w:rPr>
          <w:b/>
          <w:color w:val="67287F"/>
          <w:sz w:val="28"/>
        </w:rPr>
        <w:t>ports</w:t>
      </w:r>
      <w:r>
        <w:rPr>
          <w:b/>
          <w:color w:val="67287F"/>
          <w:spacing w:val="-2"/>
          <w:sz w:val="28"/>
        </w:rPr>
        <w:t> </w:t>
      </w:r>
      <w:r>
        <w:rPr>
          <w:b/>
          <w:color w:val="67287F"/>
          <w:sz w:val="28"/>
        </w:rPr>
        <w:t>and</w:t>
      </w:r>
      <w:r>
        <w:rPr>
          <w:b/>
          <w:color w:val="67287F"/>
          <w:spacing w:val="-2"/>
          <w:sz w:val="28"/>
        </w:rPr>
        <w:t> </w:t>
      </w:r>
      <w:r>
        <w:rPr>
          <w:b/>
          <w:color w:val="67287F"/>
          <w:sz w:val="28"/>
        </w:rPr>
        <w:t>airports</w:t>
      </w:r>
      <w:r>
        <w:rPr>
          <w:b/>
          <w:color w:val="67287F"/>
          <w:spacing w:val="-2"/>
          <w:sz w:val="28"/>
        </w:rPr>
        <w:t> </w:t>
      </w:r>
      <w:r>
        <w:rPr>
          <w:b/>
          <w:color w:val="67287F"/>
          <w:sz w:val="28"/>
        </w:rPr>
        <w:t>and</w:t>
      </w:r>
      <w:r>
        <w:rPr>
          <w:b/>
          <w:color w:val="67287F"/>
          <w:spacing w:val="-2"/>
          <w:sz w:val="28"/>
        </w:rPr>
        <w:t> </w:t>
      </w:r>
      <w:r>
        <w:rPr>
          <w:b/>
          <w:color w:val="67287F"/>
          <w:sz w:val="28"/>
        </w:rPr>
        <w:t>in</w:t>
      </w:r>
      <w:r>
        <w:rPr>
          <w:b/>
          <w:color w:val="67287F"/>
          <w:spacing w:val="-2"/>
          <w:sz w:val="28"/>
        </w:rPr>
        <w:t> </w:t>
      </w:r>
      <w:r>
        <w:rPr>
          <w:b/>
          <w:color w:val="67287F"/>
          <w:sz w:val="28"/>
        </w:rPr>
        <w:t>the</w:t>
      </w:r>
      <w:r>
        <w:rPr>
          <w:b/>
          <w:color w:val="67287F"/>
          <w:spacing w:val="-3"/>
          <w:sz w:val="28"/>
        </w:rPr>
        <w:t> </w:t>
      </w:r>
      <w:r>
        <w:rPr>
          <w:b/>
          <w:color w:val="67287F"/>
          <w:sz w:val="28"/>
        </w:rPr>
        <w:t>context</w:t>
      </w:r>
      <w:r>
        <w:rPr>
          <w:b/>
          <w:color w:val="67287F"/>
          <w:spacing w:val="-2"/>
          <w:sz w:val="28"/>
        </w:rPr>
        <w:t> </w:t>
      </w:r>
      <w:r>
        <w:rPr>
          <w:b/>
          <w:color w:val="67287F"/>
          <w:sz w:val="28"/>
        </w:rPr>
        <w:t>of</w:t>
      </w:r>
      <w:r>
        <w:rPr>
          <w:b/>
          <w:color w:val="67287F"/>
          <w:spacing w:val="-3"/>
          <w:sz w:val="28"/>
        </w:rPr>
        <w:t> </w:t>
      </w:r>
      <w:r>
        <w:rPr>
          <w:b/>
          <w:color w:val="67287F"/>
          <w:sz w:val="28"/>
        </w:rPr>
        <w:t>cross-border</w:t>
      </w:r>
      <w:r>
        <w:rPr>
          <w:b/>
          <w:color w:val="67287F"/>
          <w:spacing w:val="-3"/>
          <w:sz w:val="28"/>
        </w:rPr>
        <w:t> </w:t>
      </w:r>
      <w:r>
        <w:rPr>
          <w:b/>
          <w:color w:val="67287F"/>
          <w:sz w:val="28"/>
        </w:rPr>
        <w:t>travel.</w:t>
      </w:r>
      <w:r>
        <w:rPr>
          <w:b/>
          <w:color w:val="67287F"/>
          <w:spacing w:val="-3"/>
          <w:sz w:val="28"/>
        </w:rPr>
        <w:t> </w:t>
      </w:r>
      <w:r>
        <w:rPr>
          <w:b/>
          <w:color w:val="67287F"/>
          <w:sz w:val="28"/>
        </w:rPr>
        <w:t>This</w:t>
      </w:r>
      <w:r>
        <w:rPr>
          <w:b/>
          <w:color w:val="67287F"/>
          <w:spacing w:val="-2"/>
          <w:sz w:val="28"/>
        </w:rPr>
        <w:t> </w:t>
      </w:r>
      <w:r>
        <w:rPr>
          <w:b/>
          <w:color w:val="67287F"/>
          <w:sz w:val="28"/>
        </w:rPr>
        <w:t>should include effective monitoring of training for enforcement officers, so as to avoid</w:t>
      </w:r>
      <w:r>
        <w:rPr>
          <w:b/>
          <w:color w:val="67287F"/>
          <w:spacing w:val="-6"/>
          <w:sz w:val="28"/>
        </w:rPr>
        <w:t> </w:t>
      </w:r>
      <w:r>
        <w:rPr>
          <w:b/>
          <w:color w:val="67287F"/>
          <w:sz w:val="28"/>
        </w:rPr>
        <w:t>racial</w:t>
      </w:r>
      <w:r>
        <w:rPr>
          <w:b/>
          <w:color w:val="67287F"/>
          <w:spacing w:val="-6"/>
          <w:sz w:val="28"/>
        </w:rPr>
        <w:t> </w:t>
      </w:r>
      <w:r>
        <w:rPr>
          <w:b/>
          <w:color w:val="67287F"/>
          <w:sz w:val="28"/>
        </w:rPr>
        <w:t>profiling.</w:t>
      </w:r>
      <w:r>
        <w:rPr>
          <w:b/>
          <w:color w:val="67287F"/>
          <w:spacing w:val="-7"/>
          <w:sz w:val="28"/>
        </w:rPr>
        <w:t> </w:t>
      </w:r>
      <w:r>
        <w:rPr>
          <w:b/>
          <w:color w:val="67287F"/>
          <w:sz w:val="28"/>
        </w:rPr>
        <w:t>It</w:t>
      </w:r>
      <w:r>
        <w:rPr>
          <w:b/>
          <w:color w:val="67287F"/>
          <w:spacing w:val="-6"/>
          <w:sz w:val="28"/>
        </w:rPr>
        <w:t> </w:t>
      </w:r>
      <w:r>
        <w:rPr>
          <w:b/>
          <w:color w:val="67287F"/>
          <w:sz w:val="28"/>
        </w:rPr>
        <w:t>should</w:t>
      </w:r>
      <w:r>
        <w:rPr>
          <w:b/>
          <w:color w:val="67287F"/>
          <w:spacing w:val="-6"/>
          <w:sz w:val="28"/>
        </w:rPr>
        <w:t> </w:t>
      </w:r>
      <w:r>
        <w:rPr>
          <w:b/>
          <w:color w:val="67287F"/>
          <w:sz w:val="28"/>
        </w:rPr>
        <w:t>also</w:t>
      </w:r>
      <w:r>
        <w:rPr>
          <w:b/>
          <w:color w:val="67287F"/>
          <w:spacing w:val="-6"/>
          <w:sz w:val="28"/>
        </w:rPr>
        <w:t> </w:t>
      </w:r>
      <w:r>
        <w:rPr>
          <w:b/>
          <w:color w:val="67287F"/>
          <w:sz w:val="28"/>
        </w:rPr>
        <w:t>include</w:t>
      </w:r>
      <w:r>
        <w:rPr>
          <w:b/>
          <w:color w:val="67287F"/>
          <w:spacing w:val="-7"/>
          <w:sz w:val="28"/>
        </w:rPr>
        <w:t> </w:t>
      </w:r>
      <w:r>
        <w:rPr>
          <w:b/>
          <w:color w:val="67287F"/>
          <w:sz w:val="28"/>
        </w:rPr>
        <w:t>the</w:t>
      </w:r>
      <w:r>
        <w:rPr>
          <w:b/>
          <w:color w:val="67287F"/>
          <w:spacing w:val="-7"/>
          <w:sz w:val="28"/>
        </w:rPr>
        <w:t> </w:t>
      </w:r>
      <w:r>
        <w:rPr>
          <w:b/>
          <w:color w:val="67287F"/>
          <w:sz w:val="28"/>
        </w:rPr>
        <w:t>collection,</w:t>
      </w:r>
      <w:r>
        <w:rPr>
          <w:b/>
          <w:color w:val="67287F"/>
          <w:spacing w:val="-6"/>
          <w:sz w:val="28"/>
        </w:rPr>
        <w:t> </w:t>
      </w:r>
      <w:r>
        <w:rPr>
          <w:b/>
          <w:color w:val="67287F"/>
          <w:sz w:val="28"/>
        </w:rPr>
        <w:t>monitoring,</w:t>
      </w:r>
      <w:r>
        <w:rPr>
          <w:b/>
          <w:color w:val="67287F"/>
          <w:spacing w:val="-6"/>
          <w:sz w:val="28"/>
        </w:rPr>
        <w:t> </w:t>
      </w:r>
      <w:r>
        <w:rPr>
          <w:b/>
          <w:color w:val="67287F"/>
          <w:sz w:val="28"/>
        </w:rPr>
        <w:t>and evaluation of appropriate data, including disaggregated ethnic data, to ensure effective policy / service development and delivery.</w:t>
      </w:r>
    </w:p>
    <w:p>
      <w:pPr>
        <w:pStyle w:val="ListParagraph"/>
        <w:numPr>
          <w:ilvl w:val="1"/>
          <w:numId w:val="13"/>
        </w:numPr>
        <w:tabs>
          <w:tab w:pos="1853" w:val="left" w:leader="none"/>
        </w:tabs>
        <w:spacing w:line="225" w:lineRule="auto" w:before="309" w:after="0"/>
        <w:ind w:left="1853" w:right="1437" w:hanging="720"/>
        <w:jc w:val="left"/>
        <w:rPr>
          <w:b/>
          <w:color w:val="67287F"/>
          <w:sz w:val="28"/>
        </w:rPr>
      </w:pPr>
      <w:r>
        <w:rPr>
          <w:b/>
          <w:color w:val="67287F"/>
          <w:sz w:val="28"/>
        </w:rPr>
        <w:t>The NIHRC continues to recommend that the Common Travel Area and associated rights are enshrined in law by agreeing a comprehensive bilateral</w:t>
      </w:r>
      <w:r>
        <w:rPr>
          <w:b/>
          <w:color w:val="67287F"/>
          <w:spacing w:val="-3"/>
          <w:sz w:val="28"/>
        </w:rPr>
        <w:t> </w:t>
      </w:r>
      <w:r>
        <w:rPr>
          <w:b/>
          <w:color w:val="67287F"/>
          <w:sz w:val="28"/>
        </w:rPr>
        <w:t>treaty</w:t>
      </w:r>
      <w:r>
        <w:rPr>
          <w:b/>
          <w:color w:val="67287F"/>
          <w:spacing w:val="-3"/>
          <w:sz w:val="28"/>
        </w:rPr>
        <w:t> </w:t>
      </w:r>
      <w:r>
        <w:rPr>
          <w:b/>
          <w:color w:val="67287F"/>
          <w:sz w:val="28"/>
        </w:rPr>
        <w:t>between</w:t>
      </w:r>
      <w:r>
        <w:rPr>
          <w:b/>
          <w:color w:val="67287F"/>
          <w:spacing w:val="-3"/>
          <w:sz w:val="28"/>
        </w:rPr>
        <w:t> </w:t>
      </w:r>
      <w:r>
        <w:rPr>
          <w:b/>
          <w:color w:val="67287F"/>
          <w:sz w:val="28"/>
        </w:rPr>
        <w:t>the</w:t>
      </w:r>
      <w:r>
        <w:rPr>
          <w:b/>
          <w:color w:val="67287F"/>
          <w:spacing w:val="-4"/>
          <w:sz w:val="28"/>
        </w:rPr>
        <w:t> </w:t>
      </w:r>
      <w:r>
        <w:rPr>
          <w:b/>
          <w:color w:val="67287F"/>
          <w:sz w:val="28"/>
        </w:rPr>
        <w:t>UK</w:t>
      </w:r>
      <w:r>
        <w:rPr>
          <w:b/>
          <w:color w:val="67287F"/>
          <w:spacing w:val="-3"/>
          <w:sz w:val="28"/>
        </w:rPr>
        <w:t> </w:t>
      </w:r>
      <w:r>
        <w:rPr>
          <w:b/>
          <w:color w:val="67287F"/>
          <w:sz w:val="28"/>
        </w:rPr>
        <w:t>and</w:t>
      </w:r>
      <w:r>
        <w:rPr>
          <w:b/>
          <w:color w:val="67287F"/>
          <w:spacing w:val="-3"/>
          <w:sz w:val="28"/>
        </w:rPr>
        <w:t> </w:t>
      </w:r>
      <w:r>
        <w:rPr>
          <w:b/>
          <w:color w:val="67287F"/>
          <w:sz w:val="28"/>
        </w:rPr>
        <w:t>Irish</w:t>
      </w:r>
      <w:r>
        <w:rPr>
          <w:b/>
          <w:color w:val="67287F"/>
          <w:spacing w:val="-3"/>
          <w:sz w:val="28"/>
        </w:rPr>
        <w:t> </w:t>
      </w:r>
      <w:r>
        <w:rPr>
          <w:b/>
          <w:color w:val="67287F"/>
          <w:sz w:val="28"/>
        </w:rPr>
        <w:t>governments.</w:t>
      </w:r>
      <w:r>
        <w:rPr>
          <w:b/>
          <w:color w:val="67287F"/>
          <w:spacing w:val="-4"/>
          <w:sz w:val="28"/>
        </w:rPr>
        <w:t> </w:t>
      </w:r>
      <w:r>
        <w:rPr>
          <w:b/>
          <w:color w:val="67287F"/>
          <w:sz w:val="28"/>
        </w:rPr>
        <w:t>The</w:t>
      </w:r>
      <w:r>
        <w:rPr>
          <w:b/>
          <w:color w:val="67287F"/>
          <w:spacing w:val="-4"/>
          <w:sz w:val="28"/>
        </w:rPr>
        <w:t> </w:t>
      </w:r>
      <w:r>
        <w:rPr>
          <w:b/>
          <w:color w:val="67287F"/>
          <w:sz w:val="28"/>
        </w:rPr>
        <w:t>NIHRC</w:t>
      </w:r>
      <w:r>
        <w:rPr>
          <w:b/>
          <w:color w:val="67287F"/>
          <w:spacing w:val="-4"/>
          <w:sz w:val="28"/>
        </w:rPr>
        <w:t> </w:t>
      </w:r>
      <w:r>
        <w:rPr>
          <w:b/>
          <w:color w:val="67287F"/>
          <w:sz w:val="28"/>
        </w:rPr>
        <w:t>further recommends</w:t>
      </w:r>
      <w:r>
        <w:rPr>
          <w:b/>
          <w:color w:val="67287F"/>
          <w:spacing w:val="-9"/>
          <w:sz w:val="28"/>
        </w:rPr>
        <w:t> </w:t>
      </w:r>
      <w:r>
        <w:rPr>
          <w:b/>
          <w:color w:val="67287F"/>
          <w:sz w:val="28"/>
        </w:rPr>
        <w:t>that</w:t>
      </w:r>
      <w:r>
        <w:rPr>
          <w:b/>
          <w:color w:val="67287F"/>
          <w:spacing w:val="-9"/>
          <w:sz w:val="28"/>
        </w:rPr>
        <w:t> </w:t>
      </w:r>
      <w:r>
        <w:rPr>
          <w:b/>
          <w:color w:val="67287F"/>
          <w:sz w:val="28"/>
        </w:rPr>
        <w:t>this</w:t>
      </w:r>
      <w:r>
        <w:rPr>
          <w:b/>
          <w:color w:val="67287F"/>
          <w:spacing w:val="-9"/>
          <w:sz w:val="28"/>
        </w:rPr>
        <w:t> </w:t>
      </w:r>
      <w:r>
        <w:rPr>
          <w:b/>
          <w:color w:val="67287F"/>
          <w:sz w:val="28"/>
        </w:rPr>
        <w:t>agreement</w:t>
      </w:r>
      <w:r>
        <w:rPr>
          <w:b/>
          <w:color w:val="67287F"/>
          <w:spacing w:val="-9"/>
          <w:sz w:val="28"/>
        </w:rPr>
        <w:t> </w:t>
      </w:r>
      <w:r>
        <w:rPr>
          <w:b/>
          <w:color w:val="67287F"/>
          <w:sz w:val="28"/>
        </w:rPr>
        <w:t>codifies</w:t>
      </w:r>
      <w:r>
        <w:rPr>
          <w:b/>
          <w:color w:val="67287F"/>
          <w:spacing w:val="-9"/>
          <w:sz w:val="28"/>
        </w:rPr>
        <w:t> </w:t>
      </w:r>
      <w:r>
        <w:rPr>
          <w:b/>
          <w:color w:val="67287F"/>
          <w:sz w:val="28"/>
        </w:rPr>
        <w:t>reciprocal</w:t>
      </w:r>
      <w:r>
        <w:rPr>
          <w:b/>
          <w:color w:val="67287F"/>
          <w:spacing w:val="-9"/>
          <w:sz w:val="28"/>
        </w:rPr>
        <w:t> </w:t>
      </w:r>
      <w:r>
        <w:rPr>
          <w:b/>
          <w:color w:val="67287F"/>
          <w:sz w:val="28"/>
        </w:rPr>
        <w:t>free</w:t>
      </w:r>
      <w:r>
        <w:rPr>
          <w:b/>
          <w:color w:val="67287F"/>
          <w:spacing w:val="-10"/>
          <w:sz w:val="28"/>
        </w:rPr>
        <w:t> </w:t>
      </w:r>
      <w:r>
        <w:rPr>
          <w:b/>
          <w:color w:val="67287F"/>
          <w:sz w:val="28"/>
        </w:rPr>
        <w:t>movement</w:t>
      </w:r>
      <w:r>
        <w:rPr>
          <w:b/>
          <w:color w:val="67287F"/>
          <w:spacing w:val="-9"/>
          <w:sz w:val="28"/>
        </w:rPr>
        <w:t> </w:t>
      </w:r>
      <w:r>
        <w:rPr>
          <w:b/>
          <w:color w:val="67287F"/>
          <w:sz w:val="28"/>
        </w:rPr>
        <w:t>rights</w:t>
      </w:r>
    </w:p>
    <w:p>
      <w:pPr>
        <w:spacing w:line="225" w:lineRule="auto" w:before="0"/>
        <w:ind w:left="1853" w:right="1171" w:firstLine="0"/>
        <w:jc w:val="left"/>
        <w:rPr>
          <w:b/>
          <w:sz w:val="28"/>
        </w:rPr>
      </w:pPr>
      <w:r>
        <w:rPr>
          <w:b/>
          <w:color w:val="67287F"/>
          <w:sz w:val="28"/>
        </w:rPr>
        <w:t>and</w:t>
      </w:r>
      <w:r>
        <w:rPr>
          <w:b/>
          <w:color w:val="67287F"/>
          <w:spacing w:val="-6"/>
          <w:sz w:val="28"/>
        </w:rPr>
        <w:t> </w:t>
      </w:r>
      <w:r>
        <w:rPr>
          <w:b/>
          <w:color w:val="67287F"/>
          <w:sz w:val="28"/>
        </w:rPr>
        <w:t>rights</w:t>
      </w:r>
      <w:r>
        <w:rPr>
          <w:b/>
          <w:color w:val="67287F"/>
          <w:spacing w:val="-6"/>
          <w:sz w:val="28"/>
        </w:rPr>
        <w:t> </w:t>
      </w:r>
      <w:r>
        <w:rPr>
          <w:b/>
          <w:color w:val="67287F"/>
          <w:sz w:val="28"/>
        </w:rPr>
        <w:t>to</w:t>
      </w:r>
      <w:r>
        <w:rPr>
          <w:b/>
          <w:color w:val="67287F"/>
          <w:spacing w:val="-6"/>
          <w:sz w:val="28"/>
        </w:rPr>
        <w:t> </w:t>
      </w:r>
      <w:r>
        <w:rPr>
          <w:b/>
          <w:color w:val="67287F"/>
          <w:sz w:val="28"/>
        </w:rPr>
        <w:t>employment,</w:t>
      </w:r>
      <w:r>
        <w:rPr>
          <w:b/>
          <w:color w:val="67287F"/>
          <w:spacing w:val="-6"/>
          <w:sz w:val="28"/>
        </w:rPr>
        <w:t> </w:t>
      </w:r>
      <w:r>
        <w:rPr>
          <w:b/>
          <w:color w:val="67287F"/>
          <w:sz w:val="28"/>
        </w:rPr>
        <w:t>education,</w:t>
      </w:r>
      <w:r>
        <w:rPr>
          <w:b/>
          <w:color w:val="67287F"/>
          <w:spacing w:val="-6"/>
          <w:sz w:val="28"/>
        </w:rPr>
        <w:t> </w:t>
      </w:r>
      <w:r>
        <w:rPr>
          <w:b/>
          <w:color w:val="67287F"/>
          <w:sz w:val="28"/>
        </w:rPr>
        <w:t>health</w:t>
      </w:r>
      <w:r>
        <w:rPr>
          <w:b/>
          <w:color w:val="67287F"/>
          <w:spacing w:val="-6"/>
          <w:sz w:val="28"/>
        </w:rPr>
        <w:t> </w:t>
      </w:r>
      <w:r>
        <w:rPr>
          <w:b/>
          <w:color w:val="67287F"/>
          <w:sz w:val="28"/>
        </w:rPr>
        <w:t>care</w:t>
      </w:r>
      <w:r>
        <w:rPr>
          <w:b/>
          <w:color w:val="67287F"/>
          <w:spacing w:val="-7"/>
          <w:sz w:val="28"/>
        </w:rPr>
        <w:t> </w:t>
      </w:r>
      <w:r>
        <w:rPr>
          <w:b/>
          <w:color w:val="67287F"/>
          <w:sz w:val="28"/>
        </w:rPr>
        <w:t>and</w:t>
      </w:r>
      <w:r>
        <w:rPr>
          <w:b/>
          <w:color w:val="67287F"/>
          <w:spacing w:val="-6"/>
          <w:sz w:val="28"/>
        </w:rPr>
        <w:t> </w:t>
      </w:r>
      <w:r>
        <w:rPr>
          <w:b/>
          <w:color w:val="67287F"/>
          <w:sz w:val="28"/>
        </w:rPr>
        <w:t>justice</w:t>
      </w:r>
      <w:r>
        <w:rPr>
          <w:b/>
          <w:color w:val="67287F"/>
          <w:spacing w:val="-7"/>
          <w:sz w:val="28"/>
        </w:rPr>
        <w:t> </w:t>
      </w:r>
      <w:r>
        <w:rPr>
          <w:b/>
          <w:color w:val="67287F"/>
          <w:sz w:val="28"/>
        </w:rPr>
        <w:t>and</w:t>
      </w:r>
      <w:r>
        <w:rPr>
          <w:b/>
          <w:color w:val="67287F"/>
          <w:spacing w:val="-6"/>
          <w:sz w:val="28"/>
        </w:rPr>
        <w:t> </w:t>
      </w:r>
      <w:r>
        <w:rPr>
          <w:b/>
          <w:color w:val="67287F"/>
          <w:sz w:val="28"/>
        </w:rPr>
        <w:t>security</w:t>
      </w:r>
      <w:r>
        <w:rPr>
          <w:b/>
          <w:color w:val="67287F"/>
          <w:spacing w:val="-6"/>
          <w:sz w:val="28"/>
        </w:rPr>
        <w:t> </w:t>
      </w:r>
      <w:r>
        <w:rPr>
          <w:b/>
          <w:color w:val="67287F"/>
          <w:sz w:val="28"/>
        </w:rPr>
        <w:t>to maintain the same level of protection as existed on 31 December 2020 and that it is incorporated into domestic legislation.</w:t>
      </w:r>
    </w:p>
    <w:p>
      <w:pPr>
        <w:pStyle w:val="ListParagraph"/>
        <w:numPr>
          <w:ilvl w:val="1"/>
          <w:numId w:val="13"/>
        </w:numPr>
        <w:tabs>
          <w:tab w:pos="1853" w:val="left" w:leader="none"/>
        </w:tabs>
        <w:spacing w:line="225" w:lineRule="auto" w:before="311" w:after="0"/>
        <w:ind w:left="1853" w:right="1407" w:hanging="720"/>
        <w:jc w:val="left"/>
        <w:rPr>
          <w:b/>
          <w:color w:val="67287F"/>
          <w:sz w:val="28"/>
        </w:rPr>
      </w:pPr>
      <w:r>
        <w:rPr>
          <w:b/>
          <w:color w:val="67287F"/>
          <w:sz w:val="28"/>
        </w:rPr>
        <w:t>The</w:t>
      </w:r>
      <w:r>
        <w:rPr>
          <w:b/>
          <w:color w:val="67287F"/>
          <w:spacing w:val="-7"/>
          <w:sz w:val="28"/>
        </w:rPr>
        <w:t> </w:t>
      </w:r>
      <w:r>
        <w:rPr>
          <w:b/>
          <w:color w:val="67287F"/>
          <w:sz w:val="28"/>
        </w:rPr>
        <w:t>NIHRC</w:t>
      </w:r>
      <w:r>
        <w:rPr>
          <w:b/>
          <w:color w:val="67287F"/>
          <w:spacing w:val="-7"/>
          <w:sz w:val="28"/>
        </w:rPr>
        <w:t> </w:t>
      </w:r>
      <w:r>
        <w:rPr>
          <w:b/>
          <w:color w:val="67287F"/>
          <w:sz w:val="28"/>
        </w:rPr>
        <w:t>continues</w:t>
      </w:r>
      <w:r>
        <w:rPr>
          <w:b/>
          <w:color w:val="67287F"/>
          <w:spacing w:val="-7"/>
          <w:sz w:val="28"/>
        </w:rPr>
        <w:t> </w:t>
      </w:r>
      <w:r>
        <w:rPr>
          <w:b/>
          <w:color w:val="67287F"/>
          <w:sz w:val="28"/>
        </w:rPr>
        <w:t>to</w:t>
      </w:r>
      <w:r>
        <w:rPr>
          <w:b/>
          <w:color w:val="67287F"/>
          <w:spacing w:val="-7"/>
          <w:sz w:val="28"/>
        </w:rPr>
        <w:t> </w:t>
      </w:r>
      <w:r>
        <w:rPr>
          <w:b/>
          <w:color w:val="67287F"/>
          <w:sz w:val="28"/>
        </w:rPr>
        <w:t>recommend</w:t>
      </w:r>
      <w:r>
        <w:rPr>
          <w:b/>
          <w:color w:val="67287F"/>
          <w:spacing w:val="-7"/>
          <w:sz w:val="28"/>
        </w:rPr>
        <w:t> </w:t>
      </w:r>
      <w:r>
        <w:rPr>
          <w:b/>
          <w:color w:val="67287F"/>
          <w:sz w:val="28"/>
        </w:rPr>
        <w:t>that</w:t>
      </w:r>
      <w:r>
        <w:rPr>
          <w:b/>
          <w:color w:val="67287F"/>
          <w:spacing w:val="-7"/>
          <w:sz w:val="28"/>
        </w:rPr>
        <w:t> </w:t>
      </w:r>
      <w:r>
        <w:rPr>
          <w:b/>
          <w:color w:val="67287F"/>
          <w:sz w:val="28"/>
        </w:rPr>
        <w:t>all</w:t>
      </w:r>
      <w:r>
        <w:rPr>
          <w:b/>
          <w:color w:val="67287F"/>
          <w:spacing w:val="-7"/>
          <w:sz w:val="28"/>
        </w:rPr>
        <w:t> </w:t>
      </w:r>
      <w:r>
        <w:rPr>
          <w:b/>
          <w:color w:val="67287F"/>
          <w:sz w:val="28"/>
        </w:rPr>
        <w:t>journeys</w:t>
      </w:r>
      <w:r>
        <w:rPr>
          <w:b/>
          <w:color w:val="67287F"/>
          <w:spacing w:val="-7"/>
          <w:sz w:val="28"/>
        </w:rPr>
        <w:t> </w:t>
      </w:r>
      <w:r>
        <w:rPr>
          <w:b/>
          <w:color w:val="67287F"/>
          <w:sz w:val="28"/>
        </w:rPr>
        <w:t>into</w:t>
      </w:r>
      <w:r>
        <w:rPr>
          <w:b/>
          <w:color w:val="67287F"/>
          <w:spacing w:val="-7"/>
          <w:sz w:val="28"/>
        </w:rPr>
        <w:t> </w:t>
      </w:r>
      <w:r>
        <w:rPr>
          <w:b/>
          <w:color w:val="67287F"/>
          <w:sz w:val="28"/>
        </w:rPr>
        <w:t>NI</w:t>
      </w:r>
      <w:r>
        <w:rPr>
          <w:b/>
          <w:color w:val="67287F"/>
          <w:spacing w:val="-7"/>
          <w:sz w:val="28"/>
        </w:rPr>
        <w:t> </w:t>
      </w:r>
      <w:r>
        <w:rPr>
          <w:b/>
          <w:color w:val="67287F"/>
          <w:sz w:val="28"/>
        </w:rPr>
        <w:t>that</w:t>
      </w:r>
      <w:r>
        <w:rPr>
          <w:b/>
          <w:color w:val="67287F"/>
          <w:spacing w:val="-7"/>
          <w:sz w:val="28"/>
        </w:rPr>
        <w:t> </w:t>
      </w:r>
      <w:r>
        <w:rPr>
          <w:b/>
          <w:color w:val="67287F"/>
          <w:sz w:val="28"/>
        </w:rPr>
        <w:t>originate from Ireland should be exempt from Electronic Travel Authorisation </w:t>
      </w:r>
      <w:r>
        <w:rPr>
          <w:b/>
          <w:color w:val="67287F"/>
          <w:spacing w:val="-2"/>
          <w:sz w:val="28"/>
        </w:rPr>
        <w:t>requirements.</w:t>
      </w:r>
    </w:p>
    <w:p>
      <w:pPr>
        <w:pStyle w:val="BodyText"/>
        <w:rPr>
          <w:b/>
          <w:sz w:val="20"/>
        </w:rPr>
      </w:pPr>
    </w:p>
    <w:p>
      <w:pPr>
        <w:pStyle w:val="BodyText"/>
        <w:rPr>
          <w:b/>
          <w:sz w:val="20"/>
        </w:rPr>
      </w:pPr>
    </w:p>
    <w:p>
      <w:pPr>
        <w:pStyle w:val="BodyText"/>
        <w:rPr>
          <w:b/>
          <w:sz w:val="20"/>
        </w:rPr>
      </w:pPr>
    </w:p>
    <w:p>
      <w:pPr>
        <w:pStyle w:val="BodyText"/>
        <w:spacing w:before="195"/>
        <w:rPr>
          <w:b/>
          <w:sz w:val="20"/>
        </w:rPr>
      </w:pPr>
      <w:r>
        <w:rPr/>
        <mc:AlternateContent>
          <mc:Choice Requires="wps">
            <w:drawing>
              <wp:anchor distT="0" distB="0" distL="0" distR="0" allowOverlap="1" layoutInCell="1" locked="0" behindDoc="1" simplePos="0" relativeHeight="487713792">
                <wp:simplePos x="0" y="0"/>
                <wp:positionH relativeFrom="page">
                  <wp:posOffset>719996</wp:posOffset>
                </wp:positionH>
                <wp:positionV relativeFrom="paragraph">
                  <wp:posOffset>294248</wp:posOffset>
                </wp:positionV>
                <wp:extent cx="6120130" cy="1270"/>
                <wp:effectExtent l="0" t="0" r="0" b="0"/>
                <wp:wrapTopAndBottom/>
                <wp:docPr id="562" name="Graphic 562"/>
                <wp:cNvGraphicFramePr>
                  <a:graphicFrameLocks/>
                </wp:cNvGraphicFramePr>
                <a:graphic>
                  <a:graphicData uri="http://schemas.microsoft.com/office/word/2010/wordprocessingShape">
                    <wps:wsp>
                      <wps:cNvPr id="562" name="Graphic 562"/>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3.169197pt;width:481.9pt;height:.1pt;mso-position-horizontal-relative:page;mso-position-vertical-relative:paragraph;z-index:-15602688;mso-wrap-distance-left:0;mso-wrap-distance-right:0" id="docshape507" coordorigin="1134,463" coordsize="9638,0" path="m10772,463l1134,463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18" w:lineRule="exact" w:before="149" w:after="0"/>
        <w:ind w:left="1853" w:right="0" w:hanging="720"/>
        <w:jc w:val="left"/>
        <w:rPr>
          <w:sz w:val="18"/>
        </w:rPr>
      </w:pPr>
      <w:r>
        <w:rPr>
          <w:sz w:val="18"/>
        </w:rPr>
        <w:t>Home</w:t>
      </w:r>
      <w:r>
        <w:rPr>
          <w:spacing w:val="-5"/>
          <w:sz w:val="18"/>
        </w:rPr>
        <w:t> </w:t>
      </w:r>
      <w:r>
        <w:rPr>
          <w:sz w:val="18"/>
        </w:rPr>
        <w:t>Office,</w:t>
      </w:r>
      <w:r>
        <w:rPr>
          <w:spacing w:val="-4"/>
          <w:sz w:val="18"/>
        </w:rPr>
        <w:t> </w:t>
      </w:r>
      <w:r>
        <w:rPr>
          <w:sz w:val="18"/>
        </w:rPr>
        <w:t>‘Statement</w:t>
      </w:r>
      <w:r>
        <w:rPr>
          <w:spacing w:val="-4"/>
          <w:sz w:val="18"/>
        </w:rPr>
        <w:t> </w:t>
      </w:r>
      <w:r>
        <w:rPr>
          <w:sz w:val="18"/>
        </w:rPr>
        <w:t>of</w:t>
      </w:r>
      <w:r>
        <w:rPr>
          <w:spacing w:val="-4"/>
          <w:sz w:val="18"/>
        </w:rPr>
        <w:t> </w:t>
      </w:r>
      <w:r>
        <w:rPr>
          <w:sz w:val="18"/>
        </w:rPr>
        <w:t>changes</w:t>
      </w:r>
      <w:r>
        <w:rPr>
          <w:spacing w:val="-5"/>
          <w:sz w:val="18"/>
        </w:rPr>
        <w:t> </w:t>
      </w:r>
      <w:r>
        <w:rPr>
          <w:sz w:val="18"/>
        </w:rPr>
        <w:t>to</w:t>
      </w:r>
      <w:r>
        <w:rPr>
          <w:spacing w:val="-5"/>
          <w:sz w:val="18"/>
        </w:rPr>
        <w:t> </w:t>
      </w:r>
      <w:r>
        <w:rPr>
          <w:sz w:val="18"/>
        </w:rPr>
        <w:t>the</w:t>
      </w:r>
      <w:r>
        <w:rPr>
          <w:spacing w:val="-4"/>
          <w:sz w:val="18"/>
        </w:rPr>
        <w:t> </w:t>
      </w:r>
      <w:r>
        <w:rPr>
          <w:sz w:val="18"/>
        </w:rPr>
        <w:t>immigration</w:t>
      </w:r>
      <w:r>
        <w:rPr>
          <w:spacing w:val="-5"/>
          <w:sz w:val="18"/>
        </w:rPr>
        <w:t> </w:t>
      </w:r>
      <w:r>
        <w:rPr>
          <w:sz w:val="18"/>
        </w:rPr>
        <w:t>rules</w:t>
      </w:r>
      <w:r>
        <w:rPr>
          <w:spacing w:val="-5"/>
          <w:sz w:val="18"/>
        </w:rPr>
        <w:t> </w:t>
      </w:r>
      <w:r>
        <w:rPr>
          <w:sz w:val="18"/>
        </w:rPr>
        <w:t>-</w:t>
      </w:r>
      <w:r>
        <w:rPr>
          <w:spacing w:val="-5"/>
          <w:sz w:val="18"/>
        </w:rPr>
        <w:t> </w:t>
      </w:r>
      <w:r>
        <w:rPr>
          <w:sz w:val="18"/>
        </w:rPr>
        <w:t>HC</w:t>
      </w:r>
      <w:r>
        <w:rPr>
          <w:spacing w:val="-5"/>
          <w:sz w:val="18"/>
        </w:rPr>
        <w:t> </w:t>
      </w:r>
      <w:r>
        <w:rPr>
          <w:sz w:val="18"/>
        </w:rPr>
        <w:t>1160’</w:t>
      </w:r>
      <w:r>
        <w:rPr>
          <w:spacing w:val="-4"/>
          <w:sz w:val="18"/>
        </w:rPr>
        <w:t> </w:t>
      </w:r>
      <w:r>
        <w:rPr>
          <w:sz w:val="18"/>
        </w:rPr>
        <w:t>(HO,</w:t>
      </w:r>
      <w:r>
        <w:rPr>
          <w:spacing w:val="-4"/>
          <w:sz w:val="18"/>
        </w:rPr>
        <w:t> </w:t>
      </w:r>
      <w:r>
        <w:rPr>
          <w:spacing w:val="-2"/>
          <w:sz w:val="18"/>
        </w:rPr>
        <w:t>2023).</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Pivotal,</w:t>
      </w:r>
      <w:r>
        <w:rPr>
          <w:spacing w:val="-5"/>
          <w:sz w:val="18"/>
        </w:rPr>
        <w:t> </w:t>
      </w:r>
      <w:r>
        <w:rPr>
          <w:sz w:val="18"/>
        </w:rPr>
        <w:t>‘Impact</w:t>
      </w:r>
      <w:r>
        <w:rPr>
          <w:spacing w:val="-2"/>
          <w:sz w:val="18"/>
        </w:rPr>
        <w:t> </w:t>
      </w:r>
      <w:r>
        <w:rPr>
          <w:sz w:val="18"/>
        </w:rPr>
        <w:t>of</w:t>
      </w:r>
      <w:r>
        <w:rPr>
          <w:spacing w:val="-3"/>
          <w:sz w:val="18"/>
        </w:rPr>
        <w:t> </w:t>
      </w:r>
      <w:r>
        <w:rPr>
          <w:sz w:val="18"/>
        </w:rPr>
        <w:t>Brexit</w:t>
      </w:r>
      <w:r>
        <w:rPr>
          <w:spacing w:val="-2"/>
          <w:sz w:val="18"/>
        </w:rPr>
        <w:t> </w:t>
      </w:r>
      <w:r>
        <w:rPr>
          <w:sz w:val="18"/>
        </w:rPr>
        <w:t>on</w:t>
      </w:r>
      <w:r>
        <w:rPr>
          <w:spacing w:val="-3"/>
          <w:sz w:val="18"/>
        </w:rPr>
        <w:t> </w:t>
      </w:r>
      <w:r>
        <w:rPr>
          <w:sz w:val="18"/>
        </w:rPr>
        <w:t>Minority</w:t>
      </w:r>
      <w:r>
        <w:rPr>
          <w:spacing w:val="-2"/>
          <w:sz w:val="18"/>
        </w:rPr>
        <w:t> </w:t>
      </w:r>
      <w:r>
        <w:rPr>
          <w:sz w:val="18"/>
        </w:rPr>
        <w:t>Ethnic</w:t>
      </w:r>
      <w:r>
        <w:rPr>
          <w:spacing w:val="-2"/>
          <w:sz w:val="18"/>
        </w:rPr>
        <w:t> </w:t>
      </w:r>
      <w:r>
        <w:rPr>
          <w:sz w:val="18"/>
        </w:rPr>
        <w:t>People</w:t>
      </w:r>
      <w:r>
        <w:rPr>
          <w:spacing w:val="-2"/>
          <w:sz w:val="18"/>
        </w:rPr>
        <w:t> </w:t>
      </w:r>
      <w:r>
        <w:rPr>
          <w:sz w:val="18"/>
        </w:rPr>
        <w:t>in</w:t>
      </w:r>
      <w:r>
        <w:rPr>
          <w:spacing w:val="-3"/>
          <w:sz w:val="18"/>
        </w:rPr>
        <w:t> </w:t>
      </w:r>
      <w:r>
        <w:rPr>
          <w:sz w:val="18"/>
        </w:rPr>
        <w:t>NI’</w:t>
      </w:r>
      <w:r>
        <w:rPr>
          <w:spacing w:val="-2"/>
          <w:sz w:val="18"/>
        </w:rPr>
        <w:t> </w:t>
      </w:r>
      <w:r>
        <w:rPr>
          <w:sz w:val="18"/>
        </w:rPr>
        <w:t>(ECNI,</w:t>
      </w:r>
      <w:r>
        <w:rPr>
          <w:spacing w:val="-2"/>
          <w:sz w:val="18"/>
        </w:rPr>
        <w:t> 2023).</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See </w:t>
      </w:r>
      <w:r>
        <w:rPr>
          <w:spacing w:val="-2"/>
          <w:sz w:val="18"/>
        </w:rPr>
        <w:t>Ibid.</w:t>
      </w:r>
    </w:p>
    <w:p>
      <w:pPr>
        <w:pStyle w:val="ListParagraph"/>
        <w:numPr>
          <w:ilvl w:val="0"/>
          <w:numId w:val="11"/>
        </w:numPr>
        <w:tabs>
          <w:tab w:pos="1853" w:val="left" w:leader="none"/>
        </w:tabs>
        <w:spacing w:line="235" w:lineRule="auto" w:before="2" w:after="0"/>
        <w:ind w:left="1853" w:right="1359" w:hanging="720"/>
        <w:jc w:val="left"/>
        <w:rPr>
          <w:sz w:val="18"/>
        </w:rPr>
      </w:pPr>
      <w:r>
        <w:rPr>
          <w:sz w:val="18"/>
        </w:rPr>
        <w:t>As</w:t>
      </w:r>
      <w:r>
        <w:rPr>
          <w:spacing w:val="-5"/>
          <w:sz w:val="18"/>
        </w:rPr>
        <w:t> </w:t>
      </w:r>
      <w:r>
        <w:rPr>
          <w:sz w:val="18"/>
        </w:rPr>
        <w:t>noted</w:t>
      </w:r>
      <w:r>
        <w:rPr>
          <w:spacing w:val="-5"/>
          <w:sz w:val="18"/>
        </w:rPr>
        <w:t> </w:t>
      </w:r>
      <w:r>
        <w:rPr>
          <w:sz w:val="18"/>
        </w:rPr>
        <w:t>in</w:t>
      </w:r>
      <w:r>
        <w:rPr>
          <w:spacing w:val="-5"/>
          <w:sz w:val="18"/>
        </w:rPr>
        <w:t> </w:t>
      </w: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‘Policy</w:t>
      </w:r>
      <w:r>
        <w:rPr>
          <w:spacing w:val="-4"/>
          <w:sz w:val="18"/>
        </w:rPr>
        <w:t> </w:t>
      </w:r>
      <w:r>
        <w:rPr>
          <w:sz w:val="18"/>
        </w:rPr>
        <w:t>Recommendations: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Minority</w:t>
      </w:r>
      <w:r>
        <w:rPr>
          <w:spacing w:val="-4"/>
          <w:sz w:val="18"/>
        </w:rPr>
        <w:t> </w:t>
      </w:r>
      <w:r>
        <w:rPr>
          <w:sz w:val="18"/>
        </w:rPr>
        <w:t>Ethnic</w:t>
      </w:r>
      <w:r>
        <w:rPr>
          <w:spacing w:val="-4"/>
          <w:sz w:val="18"/>
        </w:rPr>
        <w:t> </w:t>
      </w:r>
      <w:r>
        <w:rPr>
          <w:sz w:val="18"/>
        </w:rPr>
        <w:t>and</w:t>
      </w:r>
      <w:r>
        <w:rPr>
          <w:spacing w:val="-5"/>
          <w:sz w:val="18"/>
        </w:rPr>
        <w:t> </w:t>
      </w:r>
      <w:r>
        <w:rPr>
          <w:sz w:val="18"/>
        </w:rPr>
        <w:t>Migrant People in NI’ (ECNI, 2024).</w:t>
      </w:r>
    </w:p>
    <w:p>
      <w:pPr>
        <w:spacing w:after="0" w:line="235" w:lineRule="auto"/>
        <w:jc w:val="left"/>
        <w:rPr>
          <w:sz w:val="18"/>
        </w:rPr>
        <w:sectPr>
          <w:pgSz w:w="11910" w:h="16840"/>
          <w:pgMar w:header="496" w:footer="367" w:top="1220" w:bottom="560" w:left="0" w:right="0"/>
        </w:sectPr>
      </w:pPr>
    </w:p>
    <w:p>
      <w:pPr>
        <w:pStyle w:val="BodyText"/>
        <w:spacing w:before="68"/>
        <w:rPr>
          <w:sz w:val="36"/>
        </w:rPr>
      </w:pPr>
    </w:p>
    <w:p>
      <w:pPr>
        <w:pStyle w:val="Heading3"/>
        <w:spacing w:before="1"/>
      </w:pPr>
      <w:bookmarkStart w:name="_bookmark50" w:id="112"/>
      <w:bookmarkEnd w:id="112"/>
      <w:r>
        <w:rPr>
          <w:b w:val="0"/>
        </w:rPr>
      </w:r>
      <w:bookmarkStart w:name="Cross-Border Justice Arrangements" w:id="113"/>
      <w:bookmarkEnd w:id="113"/>
      <w:r>
        <w:rPr>
          <w:b w:val="0"/>
        </w:rPr>
      </w:r>
      <w:r>
        <w:rPr>
          <w:color w:val="67287F"/>
        </w:rPr>
        <w:t>Cross-Border</w:t>
      </w:r>
      <w:r>
        <w:rPr>
          <w:color w:val="67287F"/>
          <w:spacing w:val="-17"/>
        </w:rPr>
        <w:t> </w:t>
      </w:r>
      <w:r>
        <w:rPr>
          <w:color w:val="67287F"/>
        </w:rPr>
        <w:t>Justice</w:t>
      </w:r>
      <w:r>
        <w:rPr>
          <w:color w:val="67287F"/>
          <w:spacing w:val="-17"/>
        </w:rPr>
        <w:t> </w:t>
      </w:r>
      <w:r>
        <w:rPr>
          <w:color w:val="67287F"/>
          <w:spacing w:val="-2"/>
        </w:rPr>
        <w:t>Arrangements</w:t>
      </w:r>
    </w:p>
    <w:p>
      <w:pPr>
        <w:pStyle w:val="BodyText"/>
        <w:spacing w:before="7"/>
        <w:rPr>
          <w:b/>
          <w:sz w:val="5"/>
        </w:rPr>
      </w:pPr>
      <w:r>
        <w:rPr/>
        <mc:AlternateContent>
          <mc:Choice Requires="wps">
            <w:drawing>
              <wp:anchor distT="0" distB="0" distL="0" distR="0" allowOverlap="1" layoutInCell="1" locked="0" behindDoc="1" simplePos="0" relativeHeight="487714304">
                <wp:simplePos x="0" y="0"/>
                <wp:positionH relativeFrom="page">
                  <wp:posOffset>719997</wp:posOffset>
                </wp:positionH>
                <wp:positionV relativeFrom="paragraph">
                  <wp:posOffset>58771</wp:posOffset>
                </wp:positionV>
                <wp:extent cx="6120130" cy="1270"/>
                <wp:effectExtent l="0" t="0" r="0" b="0"/>
                <wp:wrapTopAndBottom/>
                <wp:docPr id="563" name="Graphic 563"/>
                <wp:cNvGraphicFramePr>
                  <a:graphicFrameLocks/>
                </wp:cNvGraphicFramePr>
                <a:graphic>
                  <a:graphicData uri="http://schemas.microsoft.com/office/word/2010/wordprocessingShape">
                    <wps:wsp>
                      <wps:cNvPr id="563" name="Graphic 563"/>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4.627687pt;width:481.9pt;height:.1pt;mso-position-horizontal-relative:page;mso-position-vertical-relative:paragraph;z-index:-15602176;mso-wrap-distance-left:0;mso-wrap-distance-right:0" id="docshape508" coordorigin="1134,93" coordsize="9638,0" path="m10772,93l1134,93e" filled="false" stroked="true" strokeweight="1pt" strokecolor="#67287f">
                <v:path arrowok="t"/>
                <v:stroke dashstyle="solid"/>
                <w10:wrap type="topAndBottom"/>
              </v:shape>
            </w:pict>
          </mc:Fallback>
        </mc:AlternateContent>
      </w:r>
    </w:p>
    <w:p>
      <w:pPr>
        <w:pStyle w:val="Heading5"/>
        <w:spacing w:before="294"/>
        <w:ind w:left="1133" w:firstLine="0"/>
      </w:pPr>
      <w:bookmarkStart w:name="Policing, Security and Criminal Justice" w:id="114"/>
      <w:bookmarkEnd w:id="114"/>
      <w:r>
        <w:rPr>
          <w:b w:val="0"/>
        </w:rPr>
      </w:r>
      <w:r>
        <w:rPr>
          <w:color w:val="393B80"/>
        </w:rPr>
        <w:t>Policing,</w:t>
      </w:r>
      <w:r>
        <w:rPr>
          <w:color w:val="393B80"/>
          <w:spacing w:val="-4"/>
        </w:rPr>
        <w:t> </w:t>
      </w:r>
      <w:r>
        <w:rPr>
          <w:color w:val="393B80"/>
        </w:rPr>
        <w:t>Security</w:t>
      </w:r>
      <w:r>
        <w:rPr>
          <w:color w:val="393B80"/>
          <w:spacing w:val="-2"/>
        </w:rPr>
        <w:t> </w:t>
      </w:r>
      <w:r>
        <w:rPr>
          <w:color w:val="393B80"/>
        </w:rPr>
        <w:t>and</w:t>
      </w:r>
      <w:r>
        <w:rPr>
          <w:color w:val="393B80"/>
          <w:spacing w:val="-2"/>
        </w:rPr>
        <w:t> </w:t>
      </w:r>
      <w:r>
        <w:rPr>
          <w:color w:val="393B80"/>
        </w:rPr>
        <w:t>Criminal</w:t>
      </w:r>
      <w:r>
        <w:rPr>
          <w:color w:val="393B80"/>
          <w:spacing w:val="-2"/>
        </w:rPr>
        <w:t> Justice</w:t>
      </w:r>
    </w:p>
    <w:p>
      <w:pPr>
        <w:pStyle w:val="ListParagraph"/>
        <w:numPr>
          <w:ilvl w:val="1"/>
          <w:numId w:val="13"/>
        </w:numPr>
        <w:tabs>
          <w:tab w:pos="1853" w:val="left" w:leader="none"/>
        </w:tabs>
        <w:spacing w:line="225" w:lineRule="auto" w:before="330" w:after="0"/>
        <w:ind w:left="1853" w:right="1356" w:hanging="720"/>
        <w:jc w:val="left"/>
        <w:rPr>
          <w:sz w:val="28"/>
        </w:rPr>
      </w:pPr>
      <w:r>
        <w:rPr>
          <w:sz w:val="28"/>
        </w:rPr>
        <w:t>The UK-EU Trade and Cooperation Agreement provides that criminal justice cooperation is based on respect for democracy, the rule of law and the protection of fundamental rights and freedoms of individuals, including as set</w:t>
      </w:r>
      <w:r>
        <w:rPr>
          <w:spacing w:val="-6"/>
          <w:sz w:val="28"/>
        </w:rPr>
        <w:t> </w:t>
      </w:r>
      <w:r>
        <w:rPr>
          <w:sz w:val="28"/>
        </w:rPr>
        <w:t>out</w:t>
      </w:r>
      <w:r>
        <w:rPr>
          <w:spacing w:val="-6"/>
          <w:sz w:val="28"/>
        </w:rPr>
        <w:t> </w:t>
      </w:r>
      <w:r>
        <w:rPr>
          <w:sz w:val="28"/>
        </w:rPr>
        <w:t>in</w:t>
      </w:r>
      <w:r>
        <w:rPr>
          <w:spacing w:val="-7"/>
          <w:sz w:val="28"/>
        </w:rPr>
        <w:t> </w:t>
      </w:r>
      <w:r>
        <w:rPr>
          <w:sz w:val="28"/>
        </w:rPr>
        <w:t>the</w:t>
      </w:r>
      <w:r>
        <w:rPr>
          <w:spacing w:val="-6"/>
          <w:sz w:val="28"/>
        </w:rPr>
        <w:t> </w:t>
      </w:r>
      <w:r>
        <w:rPr>
          <w:sz w:val="28"/>
        </w:rPr>
        <w:t>Universal</w:t>
      </w:r>
      <w:r>
        <w:rPr>
          <w:spacing w:val="-7"/>
          <w:sz w:val="28"/>
        </w:rPr>
        <w:t> </w:t>
      </w:r>
      <w:r>
        <w:rPr>
          <w:sz w:val="28"/>
        </w:rPr>
        <w:t>Declaration</w:t>
      </w:r>
      <w:r>
        <w:rPr>
          <w:spacing w:val="-7"/>
          <w:sz w:val="28"/>
        </w:rPr>
        <w:t> </w:t>
      </w:r>
      <w:r>
        <w:rPr>
          <w:sz w:val="28"/>
        </w:rPr>
        <w:t>of</w:t>
      </w:r>
      <w:r>
        <w:rPr>
          <w:spacing w:val="-7"/>
          <w:sz w:val="28"/>
        </w:rPr>
        <w:t> </w:t>
      </w:r>
      <w:r>
        <w:rPr>
          <w:sz w:val="28"/>
        </w:rPr>
        <w:t>Human</w:t>
      </w:r>
      <w:r>
        <w:rPr>
          <w:spacing w:val="-7"/>
          <w:sz w:val="28"/>
        </w:rPr>
        <w:t> </w:t>
      </w:r>
      <w:r>
        <w:rPr>
          <w:sz w:val="28"/>
        </w:rPr>
        <w:t>Rights</w:t>
      </w:r>
      <w:r>
        <w:rPr>
          <w:spacing w:val="-7"/>
          <w:sz w:val="28"/>
        </w:rPr>
        <w:t> </w:t>
      </w:r>
      <w:r>
        <w:rPr>
          <w:sz w:val="28"/>
        </w:rPr>
        <w:t>and</w:t>
      </w:r>
      <w:r>
        <w:rPr>
          <w:spacing w:val="-7"/>
          <w:sz w:val="28"/>
        </w:rPr>
        <w:t> </w:t>
      </w:r>
      <w:r>
        <w:rPr>
          <w:sz w:val="28"/>
        </w:rPr>
        <w:t>in</w:t>
      </w:r>
      <w:r>
        <w:rPr>
          <w:spacing w:val="-7"/>
          <w:sz w:val="28"/>
        </w:rPr>
        <w:t> </w:t>
      </w:r>
      <w:r>
        <w:rPr>
          <w:sz w:val="28"/>
        </w:rPr>
        <w:t>the</w:t>
      </w:r>
      <w:r>
        <w:rPr>
          <w:spacing w:val="-6"/>
          <w:sz w:val="28"/>
        </w:rPr>
        <w:t> </w:t>
      </w:r>
      <w:r>
        <w:rPr>
          <w:sz w:val="28"/>
        </w:rPr>
        <w:t>ECHR.</w:t>
      </w:r>
      <w:r>
        <w:rPr>
          <w:sz w:val="28"/>
          <w:vertAlign w:val="superscript"/>
        </w:rPr>
        <w:t>764</w:t>
      </w:r>
      <w:r>
        <w:rPr>
          <w:spacing w:val="40"/>
          <w:sz w:val="28"/>
          <w:vertAlign w:val="baseline"/>
        </w:rPr>
        <w:t> </w:t>
      </w:r>
      <w:r>
        <w:rPr>
          <w:sz w:val="28"/>
          <w:vertAlign w:val="baseline"/>
        </w:rPr>
        <w:t>The Agreement established a fast-track system which enables the extradition of either UK or EU nationals.</w:t>
      </w:r>
      <w:r>
        <w:rPr>
          <w:sz w:val="28"/>
          <w:vertAlign w:val="superscript"/>
        </w:rPr>
        <w:t>765</w:t>
      </w:r>
    </w:p>
    <w:p>
      <w:pPr>
        <w:pStyle w:val="ListParagraph"/>
        <w:numPr>
          <w:ilvl w:val="1"/>
          <w:numId w:val="13"/>
        </w:numPr>
        <w:tabs>
          <w:tab w:pos="1853" w:val="left" w:leader="none"/>
        </w:tabs>
        <w:spacing w:line="225" w:lineRule="auto" w:before="312" w:after="0"/>
        <w:ind w:left="1853" w:right="1419" w:hanging="720"/>
        <w:jc w:val="left"/>
        <w:rPr>
          <w:sz w:val="28"/>
        </w:rPr>
      </w:pPr>
      <w:r>
        <w:rPr>
          <w:sz w:val="28"/>
        </w:rPr>
        <w:t>After the UK’s exit from the EU, the free flow of data between the EU and the</w:t>
      </w:r>
      <w:r>
        <w:rPr>
          <w:spacing w:val="-4"/>
          <w:sz w:val="28"/>
        </w:rPr>
        <w:t> </w:t>
      </w:r>
      <w:r>
        <w:rPr>
          <w:sz w:val="28"/>
        </w:rPr>
        <w:t>UK</w:t>
      </w:r>
      <w:r>
        <w:rPr>
          <w:spacing w:val="-4"/>
          <w:sz w:val="28"/>
        </w:rPr>
        <w:t> </w:t>
      </w:r>
      <w:r>
        <w:rPr>
          <w:sz w:val="28"/>
        </w:rPr>
        <w:t>is</w:t>
      </w:r>
      <w:r>
        <w:rPr>
          <w:spacing w:val="-5"/>
          <w:sz w:val="28"/>
        </w:rPr>
        <w:t> </w:t>
      </w:r>
      <w:r>
        <w:rPr>
          <w:sz w:val="28"/>
        </w:rPr>
        <w:t>currently</w:t>
      </w:r>
      <w:r>
        <w:rPr>
          <w:spacing w:val="-4"/>
          <w:sz w:val="28"/>
        </w:rPr>
        <w:t> </w:t>
      </w:r>
      <w:r>
        <w:rPr>
          <w:sz w:val="28"/>
        </w:rPr>
        <w:t>made</w:t>
      </w:r>
      <w:r>
        <w:rPr>
          <w:spacing w:val="-4"/>
          <w:sz w:val="28"/>
        </w:rPr>
        <w:t> </w:t>
      </w:r>
      <w:r>
        <w:rPr>
          <w:sz w:val="28"/>
        </w:rPr>
        <w:t>possible</w:t>
      </w:r>
      <w:r>
        <w:rPr>
          <w:spacing w:val="-4"/>
          <w:sz w:val="28"/>
        </w:rPr>
        <w:t> </w:t>
      </w:r>
      <w:r>
        <w:rPr>
          <w:sz w:val="28"/>
        </w:rPr>
        <w:t>by</w:t>
      </w:r>
      <w:r>
        <w:rPr>
          <w:spacing w:val="-4"/>
          <w:sz w:val="28"/>
        </w:rPr>
        <w:t> </w:t>
      </w:r>
      <w:r>
        <w:rPr>
          <w:sz w:val="28"/>
        </w:rPr>
        <w:t>two</w:t>
      </w:r>
      <w:r>
        <w:rPr>
          <w:spacing w:val="-5"/>
          <w:sz w:val="28"/>
        </w:rPr>
        <w:t> </w:t>
      </w:r>
      <w:r>
        <w:rPr>
          <w:sz w:val="28"/>
        </w:rPr>
        <w:t>data</w:t>
      </w:r>
      <w:r>
        <w:rPr>
          <w:spacing w:val="-5"/>
          <w:sz w:val="28"/>
        </w:rPr>
        <w:t> </w:t>
      </w:r>
      <w:r>
        <w:rPr>
          <w:sz w:val="28"/>
        </w:rPr>
        <w:t>adequacy</w:t>
      </w:r>
      <w:r>
        <w:rPr>
          <w:spacing w:val="-4"/>
          <w:sz w:val="28"/>
        </w:rPr>
        <w:t> </w:t>
      </w:r>
      <w:r>
        <w:rPr>
          <w:sz w:val="28"/>
        </w:rPr>
        <w:t>decisions</w:t>
      </w:r>
      <w:r>
        <w:rPr>
          <w:spacing w:val="-5"/>
          <w:sz w:val="28"/>
        </w:rPr>
        <w:t> </w:t>
      </w:r>
      <w:r>
        <w:rPr>
          <w:sz w:val="28"/>
        </w:rPr>
        <w:t>by</w:t>
      </w:r>
      <w:r>
        <w:rPr>
          <w:spacing w:val="-4"/>
          <w:sz w:val="28"/>
        </w:rPr>
        <w:t> </w:t>
      </w:r>
      <w:r>
        <w:rPr>
          <w:sz w:val="28"/>
        </w:rPr>
        <w:t>the</w:t>
      </w:r>
      <w:r>
        <w:rPr>
          <w:spacing w:val="-4"/>
          <w:sz w:val="28"/>
        </w:rPr>
        <w:t> </w:t>
      </w:r>
      <w:r>
        <w:rPr>
          <w:sz w:val="28"/>
        </w:rPr>
        <w:t>EU which recognise the “essentially equivalent level of protection” of personal data</w:t>
      </w:r>
      <w:r>
        <w:rPr>
          <w:spacing w:val="-1"/>
          <w:sz w:val="28"/>
        </w:rPr>
        <w:t> </w:t>
      </w:r>
      <w:r>
        <w:rPr>
          <w:sz w:val="28"/>
        </w:rPr>
        <w:t>in</w:t>
      </w:r>
      <w:r>
        <w:rPr>
          <w:spacing w:val="-1"/>
          <w:sz w:val="28"/>
        </w:rPr>
        <w:t> </w:t>
      </w:r>
      <w:r>
        <w:rPr>
          <w:sz w:val="28"/>
        </w:rPr>
        <w:t>the UK and</w:t>
      </w:r>
      <w:r>
        <w:rPr>
          <w:spacing w:val="-1"/>
          <w:sz w:val="28"/>
        </w:rPr>
        <w:t> </w:t>
      </w:r>
      <w:r>
        <w:rPr>
          <w:sz w:val="28"/>
        </w:rPr>
        <w:t>the EU.</w:t>
      </w:r>
      <w:r>
        <w:rPr>
          <w:sz w:val="28"/>
          <w:vertAlign w:val="superscript"/>
        </w:rPr>
        <w:t>766</w:t>
      </w:r>
      <w:r>
        <w:rPr>
          <w:spacing w:val="-1"/>
          <w:sz w:val="28"/>
          <w:vertAlign w:val="baseline"/>
        </w:rPr>
        <w:t> </w:t>
      </w:r>
      <w:r>
        <w:rPr>
          <w:sz w:val="28"/>
          <w:vertAlign w:val="baseline"/>
        </w:rPr>
        <w:t>The data</w:t>
      </w:r>
      <w:r>
        <w:rPr>
          <w:spacing w:val="-1"/>
          <w:sz w:val="28"/>
          <w:vertAlign w:val="baseline"/>
        </w:rPr>
        <w:t> </w:t>
      </w:r>
      <w:r>
        <w:rPr>
          <w:sz w:val="28"/>
          <w:vertAlign w:val="baseline"/>
        </w:rPr>
        <w:t>adequacy decisions</w:t>
      </w:r>
      <w:r>
        <w:rPr>
          <w:spacing w:val="-1"/>
          <w:sz w:val="28"/>
          <w:vertAlign w:val="baseline"/>
        </w:rPr>
        <w:t> </w:t>
      </w:r>
      <w:r>
        <w:rPr>
          <w:sz w:val="28"/>
          <w:vertAlign w:val="baseline"/>
        </w:rPr>
        <w:t>are under the EU</w:t>
      </w:r>
    </w:p>
    <w:p>
      <w:pPr>
        <w:pStyle w:val="BodyText"/>
        <w:spacing w:line="225" w:lineRule="auto"/>
        <w:ind w:left="1853" w:right="1124"/>
      </w:pPr>
      <w:r>
        <w:rPr/>
        <w:t>GDPR</w:t>
      </w:r>
      <w:r>
        <w:rPr>
          <w:vertAlign w:val="superscript"/>
        </w:rPr>
        <w:t>767</w:t>
      </w:r>
      <w:r>
        <w:rPr>
          <w:spacing w:val="-16"/>
          <w:vertAlign w:val="baseline"/>
        </w:rPr>
        <w:t> </w:t>
      </w:r>
      <w:r>
        <w:rPr>
          <w:vertAlign w:val="baseline"/>
        </w:rPr>
        <w:t>and</w:t>
      </w:r>
      <w:r>
        <w:rPr>
          <w:spacing w:val="-16"/>
          <w:vertAlign w:val="baseline"/>
        </w:rPr>
        <w:t> </w:t>
      </w:r>
      <w:r>
        <w:rPr>
          <w:vertAlign w:val="baseline"/>
        </w:rPr>
        <w:t>the</w:t>
      </w:r>
      <w:r>
        <w:rPr>
          <w:spacing w:val="-16"/>
          <w:vertAlign w:val="baseline"/>
        </w:rPr>
        <w:t> </w:t>
      </w:r>
      <w:r>
        <w:rPr>
          <w:vertAlign w:val="baseline"/>
        </w:rPr>
        <w:t>EU</w:t>
      </w:r>
      <w:r>
        <w:rPr>
          <w:spacing w:val="-16"/>
          <w:vertAlign w:val="baseline"/>
        </w:rPr>
        <w:t> </w:t>
      </w:r>
      <w:r>
        <w:rPr>
          <w:vertAlign w:val="baseline"/>
        </w:rPr>
        <w:t>Data</w:t>
      </w:r>
      <w:r>
        <w:rPr>
          <w:spacing w:val="-16"/>
          <w:vertAlign w:val="baseline"/>
        </w:rPr>
        <w:t> </w:t>
      </w:r>
      <w:r>
        <w:rPr>
          <w:vertAlign w:val="baseline"/>
        </w:rPr>
        <w:t>Protection</w:t>
      </w:r>
      <w:r>
        <w:rPr>
          <w:spacing w:val="-15"/>
          <w:vertAlign w:val="baseline"/>
        </w:rPr>
        <w:t> </w:t>
      </w:r>
      <w:r>
        <w:rPr>
          <w:vertAlign w:val="baseline"/>
        </w:rPr>
        <w:t>Law</w:t>
      </w:r>
      <w:r>
        <w:rPr>
          <w:spacing w:val="-16"/>
          <w:vertAlign w:val="baseline"/>
        </w:rPr>
        <w:t> </w:t>
      </w:r>
      <w:r>
        <w:rPr>
          <w:vertAlign w:val="baseline"/>
        </w:rPr>
        <w:t>Enforcement</w:t>
      </w:r>
      <w:r>
        <w:rPr>
          <w:spacing w:val="-16"/>
          <w:vertAlign w:val="baseline"/>
        </w:rPr>
        <w:t> </w:t>
      </w:r>
      <w:r>
        <w:rPr>
          <w:vertAlign w:val="baseline"/>
        </w:rPr>
        <w:t>Directive</w:t>
      </w:r>
      <w:r>
        <w:rPr>
          <w:spacing w:val="-16"/>
          <w:vertAlign w:val="baseline"/>
        </w:rPr>
        <w:t> </w:t>
      </w:r>
      <w:r>
        <w:rPr>
          <w:vertAlign w:val="baseline"/>
        </w:rPr>
        <w:t>respectively.</w:t>
      </w:r>
      <w:r>
        <w:rPr>
          <w:vertAlign w:val="superscript"/>
        </w:rPr>
        <w:t>768</w:t>
      </w:r>
      <w:r>
        <w:rPr>
          <w:vertAlign w:val="baseline"/>
        </w:rPr>
        <w:t> The</w:t>
      </w:r>
      <w:r>
        <w:rPr>
          <w:spacing w:val="-6"/>
          <w:vertAlign w:val="baseline"/>
        </w:rPr>
        <w:t> </w:t>
      </w:r>
      <w:r>
        <w:rPr>
          <w:vertAlign w:val="baseline"/>
        </w:rPr>
        <w:t>NIHRC</w:t>
      </w:r>
      <w:r>
        <w:rPr>
          <w:spacing w:val="-7"/>
          <w:vertAlign w:val="baseline"/>
        </w:rPr>
        <w:t> </w:t>
      </w:r>
      <w:r>
        <w:rPr>
          <w:vertAlign w:val="baseline"/>
        </w:rPr>
        <w:t>welcomes</w:t>
      </w:r>
      <w:r>
        <w:rPr>
          <w:spacing w:val="-7"/>
          <w:vertAlign w:val="baseline"/>
        </w:rPr>
        <w:t> </w:t>
      </w:r>
      <w:r>
        <w:rPr>
          <w:vertAlign w:val="baseline"/>
        </w:rPr>
        <w:t>the</w:t>
      </w:r>
      <w:r>
        <w:rPr>
          <w:spacing w:val="-6"/>
          <w:vertAlign w:val="baseline"/>
        </w:rPr>
        <w:t> </w:t>
      </w:r>
      <w:r>
        <w:rPr>
          <w:vertAlign w:val="baseline"/>
        </w:rPr>
        <w:t>EU’s</w:t>
      </w:r>
      <w:r>
        <w:rPr>
          <w:spacing w:val="-7"/>
          <w:vertAlign w:val="baseline"/>
        </w:rPr>
        <w:t> </w:t>
      </w:r>
      <w:r>
        <w:rPr>
          <w:vertAlign w:val="baseline"/>
        </w:rPr>
        <w:t>data</w:t>
      </w:r>
      <w:r>
        <w:rPr>
          <w:spacing w:val="-7"/>
          <w:vertAlign w:val="baseline"/>
        </w:rPr>
        <w:t> </w:t>
      </w:r>
      <w:r>
        <w:rPr>
          <w:vertAlign w:val="baseline"/>
        </w:rPr>
        <w:t>adequacy</w:t>
      </w:r>
      <w:r>
        <w:rPr>
          <w:spacing w:val="-6"/>
          <w:vertAlign w:val="baseline"/>
        </w:rPr>
        <w:t> </w:t>
      </w:r>
      <w:r>
        <w:rPr>
          <w:vertAlign w:val="baseline"/>
        </w:rPr>
        <w:t>decisions</w:t>
      </w:r>
      <w:r>
        <w:rPr>
          <w:spacing w:val="-7"/>
          <w:vertAlign w:val="baseline"/>
        </w:rPr>
        <w:t> </w:t>
      </w:r>
      <w:r>
        <w:rPr>
          <w:vertAlign w:val="baseline"/>
        </w:rPr>
        <w:t>in</w:t>
      </w:r>
      <w:r>
        <w:rPr>
          <w:spacing w:val="-7"/>
          <w:vertAlign w:val="baseline"/>
        </w:rPr>
        <w:t> </w:t>
      </w:r>
      <w:r>
        <w:rPr>
          <w:vertAlign w:val="baseline"/>
        </w:rPr>
        <w:t>respect</w:t>
      </w:r>
      <w:r>
        <w:rPr>
          <w:spacing w:val="-6"/>
          <w:vertAlign w:val="baseline"/>
        </w:rPr>
        <w:t> </w:t>
      </w:r>
      <w:r>
        <w:rPr>
          <w:vertAlign w:val="baseline"/>
        </w:rPr>
        <w:t>of</w:t>
      </w:r>
      <w:r>
        <w:rPr>
          <w:spacing w:val="-7"/>
          <w:vertAlign w:val="baseline"/>
        </w:rPr>
        <w:t> </w:t>
      </w:r>
      <w:r>
        <w:rPr>
          <w:vertAlign w:val="baseline"/>
        </w:rPr>
        <w:t>the</w:t>
      </w:r>
      <w:r>
        <w:rPr>
          <w:spacing w:val="-6"/>
          <w:vertAlign w:val="baseline"/>
        </w:rPr>
        <w:t> </w:t>
      </w:r>
      <w:r>
        <w:rPr>
          <w:vertAlign w:val="baseline"/>
        </w:rPr>
        <w:t>UK,</w:t>
      </w:r>
      <w:r>
        <w:rPr>
          <w:vertAlign w:val="superscript"/>
        </w:rPr>
        <w:t>769</w:t>
      </w:r>
      <w:r>
        <w:rPr>
          <w:vertAlign w:val="baseline"/>
        </w:rPr>
        <w:t> which allow for the sharing of some information but regrets that access to information sharing tools such as Schengen Information System II has been </w:t>
      </w:r>
      <w:r>
        <w:rPr>
          <w:spacing w:val="-2"/>
          <w:vertAlign w:val="baseline"/>
        </w:rPr>
        <w:t>lost.</w:t>
      </w:r>
      <w:r>
        <w:rPr>
          <w:spacing w:val="-2"/>
          <w:vertAlign w:val="superscript"/>
        </w:rPr>
        <w:t>770</w:t>
      </w:r>
    </w:p>
    <w:p>
      <w:pPr>
        <w:pStyle w:val="ListParagraph"/>
        <w:numPr>
          <w:ilvl w:val="1"/>
          <w:numId w:val="13"/>
        </w:numPr>
        <w:tabs>
          <w:tab w:pos="1853" w:val="left" w:leader="none"/>
        </w:tabs>
        <w:spacing w:line="225" w:lineRule="auto" w:before="309" w:after="0"/>
        <w:ind w:left="1853" w:right="1540" w:hanging="720"/>
        <w:jc w:val="left"/>
        <w:rPr>
          <w:sz w:val="28"/>
        </w:rPr>
      </w:pPr>
      <w:r>
        <w:rPr>
          <w:sz w:val="28"/>
        </w:rPr>
        <w:t>In 2019, the NIHRC and the Irish Human Rights and Equality Commission published</w:t>
      </w:r>
      <w:r>
        <w:rPr>
          <w:spacing w:val="-12"/>
          <w:sz w:val="28"/>
        </w:rPr>
        <w:t> </w:t>
      </w:r>
      <w:r>
        <w:rPr>
          <w:sz w:val="28"/>
        </w:rPr>
        <w:t>independent</w:t>
      </w:r>
      <w:r>
        <w:rPr>
          <w:spacing w:val="-11"/>
          <w:sz w:val="28"/>
        </w:rPr>
        <w:t> </w:t>
      </w:r>
      <w:r>
        <w:rPr>
          <w:sz w:val="28"/>
        </w:rPr>
        <w:t>research</w:t>
      </w:r>
      <w:r>
        <w:rPr>
          <w:spacing w:val="-12"/>
          <w:sz w:val="28"/>
        </w:rPr>
        <w:t> </w:t>
      </w:r>
      <w:r>
        <w:rPr>
          <w:sz w:val="28"/>
        </w:rPr>
        <w:t>on</w:t>
      </w:r>
      <w:r>
        <w:rPr>
          <w:spacing w:val="-12"/>
          <w:sz w:val="28"/>
        </w:rPr>
        <w:t> </w:t>
      </w:r>
      <w:r>
        <w:rPr>
          <w:sz w:val="28"/>
        </w:rPr>
        <w:t>post-Brexit</w:t>
      </w:r>
      <w:r>
        <w:rPr>
          <w:spacing w:val="-11"/>
          <w:sz w:val="28"/>
        </w:rPr>
        <w:t> </w:t>
      </w:r>
      <w:r>
        <w:rPr>
          <w:sz w:val="28"/>
        </w:rPr>
        <w:t>justice</w:t>
      </w:r>
      <w:r>
        <w:rPr>
          <w:spacing w:val="-11"/>
          <w:sz w:val="28"/>
        </w:rPr>
        <w:t> </w:t>
      </w:r>
      <w:r>
        <w:rPr>
          <w:sz w:val="28"/>
        </w:rPr>
        <w:t>arrangements</w:t>
      </w:r>
      <w:r>
        <w:rPr>
          <w:spacing w:val="-12"/>
          <w:sz w:val="28"/>
        </w:rPr>
        <w:t> </w:t>
      </w:r>
      <w:r>
        <w:rPr>
          <w:sz w:val="28"/>
        </w:rPr>
        <w:t>which emphasised that “data sharing has become an essential tool for justice</w:t>
      </w:r>
    </w:p>
    <w:p>
      <w:pPr>
        <w:pStyle w:val="BodyText"/>
        <w:spacing w:line="225" w:lineRule="auto"/>
        <w:ind w:left="1853" w:right="1171"/>
      </w:pPr>
      <w:r>
        <w:rPr/>
        <w:t>and security cooperation between the EU and UK.”</w:t>
      </w:r>
      <w:r>
        <w:rPr>
          <w:vertAlign w:val="superscript"/>
        </w:rPr>
        <w:t>771</w:t>
      </w:r>
      <w:r>
        <w:rPr>
          <w:vertAlign w:val="baseline"/>
        </w:rPr>
        <w:t> The ability to share information</w:t>
      </w:r>
      <w:r>
        <w:rPr>
          <w:spacing w:val="-8"/>
          <w:vertAlign w:val="baseline"/>
        </w:rPr>
        <w:t> </w:t>
      </w:r>
      <w:r>
        <w:rPr>
          <w:vertAlign w:val="baseline"/>
        </w:rPr>
        <w:t>in</w:t>
      </w:r>
      <w:r>
        <w:rPr>
          <w:spacing w:val="-8"/>
          <w:vertAlign w:val="baseline"/>
        </w:rPr>
        <w:t> </w:t>
      </w:r>
      <w:r>
        <w:rPr>
          <w:vertAlign w:val="baseline"/>
        </w:rPr>
        <w:t>relation</w:t>
      </w:r>
      <w:r>
        <w:rPr>
          <w:spacing w:val="-8"/>
          <w:vertAlign w:val="baseline"/>
        </w:rPr>
        <w:t> </w:t>
      </w:r>
      <w:r>
        <w:rPr>
          <w:vertAlign w:val="baseline"/>
        </w:rPr>
        <w:t>to</w:t>
      </w:r>
      <w:r>
        <w:rPr>
          <w:spacing w:val="-8"/>
          <w:vertAlign w:val="baseline"/>
        </w:rPr>
        <w:t> </w:t>
      </w:r>
      <w:r>
        <w:rPr>
          <w:vertAlign w:val="baseline"/>
        </w:rPr>
        <w:t>crime</w:t>
      </w:r>
      <w:r>
        <w:rPr>
          <w:spacing w:val="-7"/>
          <w:vertAlign w:val="baseline"/>
        </w:rPr>
        <w:t> </w:t>
      </w:r>
      <w:r>
        <w:rPr>
          <w:vertAlign w:val="baseline"/>
        </w:rPr>
        <w:t>prevention</w:t>
      </w:r>
      <w:r>
        <w:rPr>
          <w:spacing w:val="-8"/>
          <w:vertAlign w:val="baseline"/>
        </w:rPr>
        <w:t> </w:t>
      </w:r>
      <w:r>
        <w:rPr>
          <w:vertAlign w:val="baseline"/>
        </w:rPr>
        <w:t>and</w:t>
      </w:r>
      <w:r>
        <w:rPr>
          <w:spacing w:val="-8"/>
          <w:vertAlign w:val="baseline"/>
        </w:rPr>
        <w:t> </w:t>
      </w:r>
      <w:r>
        <w:rPr>
          <w:vertAlign w:val="baseline"/>
        </w:rPr>
        <w:t>criminal</w:t>
      </w:r>
      <w:r>
        <w:rPr>
          <w:spacing w:val="-8"/>
          <w:vertAlign w:val="baseline"/>
        </w:rPr>
        <w:t> </w:t>
      </w:r>
      <w:r>
        <w:rPr>
          <w:vertAlign w:val="baseline"/>
        </w:rPr>
        <w:t>cases</w:t>
      </w:r>
      <w:r>
        <w:rPr>
          <w:spacing w:val="-8"/>
          <w:vertAlign w:val="baseline"/>
        </w:rPr>
        <w:t> </w:t>
      </w:r>
      <w:r>
        <w:rPr>
          <w:vertAlign w:val="baseline"/>
        </w:rPr>
        <w:t>is</w:t>
      </w:r>
      <w:r>
        <w:rPr>
          <w:spacing w:val="-8"/>
          <w:vertAlign w:val="baseline"/>
        </w:rPr>
        <w:t> </w:t>
      </w:r>
      <w:r>
        <w:rPr>
          <w:vertAlign w:val="baseline"/>
        </w:rPr>
        <w:t>an</w:t>
      </w:r>
      <w:r>
        <w:rPr>
          <w:spacing w:val="-8"/>
          <w:vertAlign w:val="baseline"/>
        </w:rPr>
        <w:t> </w:t>
      </w:r>
      <w:r>
        <w:rPr>
          <w:vertAlign w:val="baseline"/>
        </w:rPr>
        <w:t>important component of protecting and promoting human rights in NI and to ensure justice</w:t>
      </w:r>
      <w:r>
        <w:rPr>
          <w:spacing w:val="-3"/>
          <w:vertAlign w:val="baseline"/>
        </w:rPr>
        <w:t> </w:t>
      </w:r>
      <w:r>
        <w:rPr>
          <w:vertAlign w:val="baseline"/>
        </w:rPr>
        <w:t>is</w:t>
      </w:r>
      <w:r>
        <w:rPr>
          <w:spacing w:val="-4"/>
          <w:vertAlign w:val="baseline"/>
        </w:rPr>
        <w:t> </w:t>
      </w:r>
      <w:r>
        <w:rPr>
          <w:vertAlign w:val="baseline"/>
        </w:rPr>
        <w:t>not</w:t>
      </w:r>
      <w:r>
        <w:rPr>
          <w:spacing w:val="-3"/>
          <w:vertAlign w:val="baseline"/>
        </w:rPr>
        <w:t> </w:t>
      </w:r>
      <w:r>
        <w:rPr>
          <w:vertAlign w:val="baseline"/>
        </w:rPr>
        <w:t>unduly</w:t>
      </w:r>
      <w:r>
        <w:rPr>
          <w:spacing w:val="-3"/>
          <w:vertAlign w:val="baseline"/>
        </w:rPr>
        <w:t> </w:t>
      </w:r>
      <w:r>
        <w:rPr>
          <w:vertAlign w:val="baseline"/>
        </w:rPr>
        <w:t>delayed</w:t>
      </w:r>
      <w:r>
        <w:rPr>
          <w:spacing w:val="-4"/>
          <w:vertAlign w:val="baseline"/>
        </w:rPr>
        <w:t> </w:t>
      </w:r>
      <w:r>
        <w:rPr>
          <w:vertAlign w:val="baseline"/>
        </w:rPr>
        <w:t>for</w:t>
      </w:r>
      <w:r>
        <w:rPr>
          <w:spacing w:val="-3"/>
          <w:vertAlign w:val="baseline"/>
        </w:rPr>
        <w:t> </w:t>
      </w:r>
      <w:r>
        <w:rPr>
          <w:vertAlign w:val="baseline"/>
        </w:rPr>
        <w:t>suspects</w:t>
      </w:r>
      <w:r>
        <w:rPr>
          <w:spacing w:val="-4"/>
          <w:vertAlign w:val="baseline"/>
        </w:rPr>
        <w:t> </w:t>
      </w:r>
      <w:r>
        <w:rPr>
          <w:vertAlign w:val="baseline"/>
        </w:rPr>
        <w:t>or</w:t>
      </w:r>
      <w:r>
        <w:rPr>
          <w:spacing w:val="-3"/>
          <w:vertAlign w:val="baseline"/>
        </w:rPr>
        <w:t> </w:t>
      </w:r>
      <w:r>
        <w:rPr>
          <w:vertAlign w:val="baseline"/>
        </w:rPr>
        <w:t>victims</w:t>
      </w:r>
      <w:r>
        <w:rPr>
          <w:spacing w:val="-4"/>
          <w:vertAlign w:val="baseline"/>
        </w:rPr>
        <w:t> </w:t>
      </w:r>
      <w:r>
        <w:rPr>
          <w:vertAlign w:val="baseline"/>
        </w:rPr>
        <w:t>of</w:t>
      </w:r>
      <w:r>
        <w:rPr>
          <w:spacing w:val="-4"/>
          <w:vertAlign w:val="baseline"/>
        </w:rPr>
        <w:t> </w:t>
      </w:r>
      <w:r>
        <w:rPr>
          <w:vertAlign w:val="baseline"/>
        </w:rPr>
        <w:t>crime.</w:t>
      </w:r>
      <w:r>
        <w:rPr>
          <w:vertAlign w:val="superscript"/>
        </w:rPr>
        <w:t>772</w:t>
      </w:r>
      <w:r>
        <w:rPr>
          <w:spacing w:val="-4"/>
          <w:vertAlign w:val="baseline"/>
        </w:rPr>
        <w:t> </w:t>
      </w:r>
      <w:r>
        <w:rPr>
          <w:vertAlign w:val="baseline"/>
        </w:rPr>
        <w:t>Where</w:t>
      </w:r>
      <w:r>
        <w:rPr>
          <w:spacing w:val="-3"/>
          <w:vertAlign w:val="baseline"/>
        </w:rPr>
        <w:t> </w:t>
      </w:r>
      <w:r>
        <w:rPr>
          <w:vertAlign w:val="baseline"/>
        </w:rPr>
        <w:t>delays result in a diminution of the current levels of protection for victims, these have the potential to engage Windsor Framework Article 2.</w:t>
      </w:r>
    </w:p>
    <w:p>
      <w:pPr>
        <w:pStyle w:val="BodyText"/>
        <w:spacing w:before="102"/>
        <w:rPr>
          <w:sz w:val="20"/>
        </w:rPr>
      </w:pPr>
      <w:r>
        <w:rPr/>
        <mc:AlternateContent>
          <mc:Choice Requires="wps">
            <w:drawing>
              <wp:anchor distT="0" distB="0" distL="0" distR="0" allowOverlap="1" layoutInCell="1" locked="0" behindDoc="1" simplePos="0" relativeHeight="487714816">
                <wp:simplePos x="0" y="0"/>
                <wp:positionH relativeFrom="page">
                  <wp:posOffset>719996</wp:posOffset>
                </wp:positionH>
                <wp:positionV relativeFrom="paragraph">
                  <wp:posOffset>235545</wp:posOffset>
                </wp:positionV>
                <wp:extent cx="6120130" cy="1270"/>
                <wp:effectExtent l="0" t="0" r="0" b="0"/>
                <wp:wrapTopAndBottom/>
                <wp:docPr id="564" name="Graphic 564"/>
                <wp:cNvGraphicFramePr>
                  <a:graphicFrameLocks/>
                </wp:cNvGraphicFramePr>
                <a:graphic>
                  <a:graphicData uri="http://schemas.microsoft.com/office/word/2010/wordprocessingShape">
                    <wps:wsp>
                      <wps:cNvPr id="564" name="Graphic 564"/>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8.546881pt;width:481.9pt;height:.1pt;mso-position-horizontal-relative:page;mso-position-vertical-relative:paragraph;z-index:-15601664;mso-wrap-distance-left:0;mso-wrap-distance-right:0" id="docshape509" coordorigin="1134,371" coordsize="9638,0" path="m10772,371l1134,371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18" w:lineRule="exact" w:before="114" w:after="0"/>
        <w:ind w:left="1853" w:right="0" w:hanging="720"/>
        <w:jc w:val="left"/>
        <w:rPr>
          <w:sz w:val="18"/>
        </w:rPr>
      </w:pPr>
      <w:r>
        <w:rPr>
          <w:sz w:val="18"/>
        </w:rPr>
        <w:t>Article</w:t>
      </w:r>
      <w:r>
        <w:rPr>
          <w:spacing w:val="-7"/>
          <w:sz w:val="18"/>
        </w:rPr>
        <w:t> </w:t>
      </w:r>
      <w:r>
        <w:rPr>
          <w:sz w:val="18"/>
        </w:rPr>
        <w:t>524,</w:t>
      </w:r>
      <w:r>
        <w:rPr>
          <w:spacing w:val="-7"/>
          <w:sz w:val="18"/>
        </w:rPr>
        <w:t> </w:t>
      </w:r>
      <w:r>
        <w:rPr>
          <w:sz w:val="18"/>
        </w:rPr>
        <w:t>UK-EU</w:t>
      </w:r>
      <w:r>
        <w:rPr>
          <w:spacing w:val="-7"/>
          <w:sz w:val="18"/>
        </w:rPr>
        <w:t> </w:t>
      </w:r>
      <w:r>
        <w:rPr>
          <w:sz w:val="18"/>
        </w:rPr>
        <w:t>Trade</w:t>
      </w:r>
      <w:r>
        <w:rPr>
          <w:spacing w:val="-7"/>
          <w:sz w:val="18"/>
        </w:rPr>
        <w:t> </w:t>
      </w:r>
      <w:r>
        <w:rPr>
          <w:sz w:val="18"/>
        </w:rPr>
        <w:t>and</w:t>
      </w:r>
      <w:r>
        <w:rPr>
          <w:spacing w:val="-8"/>
          <w:sz w:val="18"/>
        </w:rPr>
        <w:t> </w:t>
      </w:r>
      <w:r>
        <w:rPr>
          <w:sz w:val="18"/>
        </w:rPr>
        <w:t>Cooperation</w:t>
      </w:r>
      <w:r>
        <w:rPr>
          <w:spacing w:val="-7"/>
          <w:sz w:val="18"/>
        </w:rPr>
        <w:t> </w:t>
      </w:r>
      <w:r>
        <w:rPr>
          <w:sz w:val="18"/>
        </w:rPr>
        <w:t>Agreement</w:t>
      </w:r>
      <w:r>
        <w:rPr>
          <w:spacing w:val="-7"/>
          <w:sz w:val="18"/>
        </w:rPr>
        <w:t> </w:t>
      </w:r>
      <w:r>
        <w:rPr>
          <w:spacing w:val="-2"/>
          <w:sz w:val="18"/>
        </w:rPr>
        <w:t>2020.</w:t>
      </w:r>
    </w:p>
    <w:p>
      <w:pPr>
        <w:pStyle w:val="ListParagraph"/>
        <w:numPr>
          <w:ilvl w:val="0"/>
          <w:numId w:val="11"/>
        </w:numPr>
        <w:tabs>
          <w:tab w:pos="1853" w:val="left" w:leader="none"/>
        </w:tabs>
        <w:spacing w:line="235" w:lineRule="auto" w:before="2" w:after="0"/>
        <w:ind w:left="1853" w:right="1380" w:hanging="720"/>
        <w:jc w:val="left"/>
        <w:rPr>
          <w:sz w:val="18"/>
        </w:rPr>
      </w:pPr>
      <w:r>
        <w:rPr>
          <w:sz w:val="18"/>
        </w:rPr>
        <w:t>Article</w:t>
      </w:r>
      <w:r>
        <w:rPr>
          <w:spacing w:val="-5"/>
          <w:sz w:val="18"/>
        </w:rPr>
        <w:t> </w:t>
      </w:r>
      <w:r>
        <w:rPr>
          <w:sz w:val="18"/>
        </w:rPr>
        <w:t>596-632,</w:t>
      </w:r>
      <w:r>
        <w:rPr>
          <w:spacing w:val="-5"/>
          <w:sz w:val="18"/>
        </w:rPr>
        <w:t> </w:t>
      </w:r>
      <w:r>
        <w:rPr>
          <w:sz w:val="18"/>
        </w:rPr>
        <w:t>UK-EU</w:t>
      </w:r>
      <w:r>
        <w:rPr>
          <w:spacing w:val="-5"/>
          <w:sz w:val="18"/>
        </w:rPr>
        <w:t> </w:t>
      </w:r>
      <w:r>
        <w:rPr>
          <w:sz w:val="18"/>
        </w:rPr>
        <w:t>Trade</w:t>
      </w:r>
      <w:r>
        <w:rPr>
          <w:spacing w:val="-5"/>
          <w:sz w:val="18"/>
        </w:rPr>
        <w:t> </w:t>
      </w:r>
      <w:r>
        <w:rPr>
          <w:sz w:val="18"/>
        </w:rPr>
        <w:t>and</w:t>
      </w:r>
      <w:r>
        <w:rPr>
          <w:spacing w:val="-6"/>
          <w:sz w:val="18"/>
        </w:rPr>
        <w:t> </w:t>
      </w:r>
      <w:r>
        <w:rPr>
          <w:sz w:val="18"/>
        </w:rPr>
        <w:t>Cooperation</w:t>
      </w:r>
      <w:r>
        <w:rPr>
          <w:spacing w:val="-6"/>
          <w:sz w:val="18"/>
        </w:rPr>
        <w:t> </w:t>
      </w:r>
      <w:r>
        <w:rPr>
          <w:sz w:val="18"/>
        </w:rPr>
        <w:t>Agreement</w:t>
      </w:r>
      <w:r>
        <w:rPr>
          <w:spacing w:val="-5"/>
          <w:sz w:val="18"/>
        </w:rPr>
        <w:t> </w:t>
      </w:r>
      <w:r>
        <w:rPr>
          <w:sz w:val="18"/>
        </w:rPr>
        <w:t>2020.</w:t>
      </w:r>
      <w:r>
        <w:rPr>
          <w:spacing w:val="30"/>
          <w:sz w:val="18"/>
        </w:rPr>
        <w:t> </w:t>
      </w:r>
      <w:r>
        <w:rPr>
          <w:sz w:val="18"/>
        </w:rPr>
        <w:t>See</w:t>
      </w:r>
      <w:r>
        <w:rPr>
          <w:spacing w:val="-5"/>
          <w:sz w:val="18"/>
        </w:rPr>
        <w:t> </w:t>
      </w:r>
      <w:r>
        <w:rPr>
          <w:sz w:val="18"/>
        </w:rPr>
        <w:t>Section</w:t>
      </w:r>
      <w:r>
        <w:rPr>
          <w:spacing w:val="-6"/>
          <w:sz w:val="18"/>
        </w:rPr>
        <w:t> </w:t>
      </w:r>
      <w:r>
        <w:rPr>
          <w:sz w:val="18"/>
        </w:rPr>
        <w:t>12,</w:t>
      </w:r>
      <w:r>
        <w:rPr>
          <w:spacing w:val="-5"/>
          <w:sz w:val="18"/>
        </w:rPr>
        <w:t> </w:t>
      </w:r>
      <w:r>
        <w:rPr>
          <w:sz w:val="18"/>
        </w:rPr>
        <w:t>European</w:t>
      </w:r>
      <w:r>
        <w:rPr>
          <w:spacing w:val="-6"/>
          <w:sz w:val="18"/>
        </w:rPr>
        <w:t> </w:t>
      </w:r>
      <w:r>
        <w:rPr>
          <w:sz w:val="18"/>
        </w:rPr>
        <w:t>Union</w:t>
      </w:r>
      <w:r>
        <w:rPr>
          <w:spacing w:val="-6"/>
          <w:sz w:val="18"/>
        </w:rPr>
        <w:t> </w:t>
      </w:r>
      <w:r>
        <w:rPr>
          <w:sz w:val="18"/>
        </w:rPr>
        <w:t>(Future</w:t>
      </w:r>
      <w:r>
        <w:rPr>
          <w:spacing w:val="-5"/>
          <w:sz w:val="18"/>
        </w:rPr>
        <w:t> </w:t>
      </w:r>
      <w:r>
        <w:rPr>
          <w:sz w:val="18"/>
        </w:rPr>
        <w:t>Relationship) Act 2020 has repealed Sections 64 and 65, Extradition Act 2003 which previously contained a waiver in relation to the requirement of dual criminality.</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EU</w:t>
      </w:r>
      <w:r>
        <w:rPr>
          <w:spacing w:val="-5"/>
          <w:sz w:val="18"/>
        </w:rPr>
        <w:t> </w:t>
      </w:r>
      <w:r>
        <w:rPr>
          <w:sz w:val="18"/>
        </w:rPr>
        <w:t>Commission,</w:t>
      </w:r>
      <w:r>
        <w:rPr>
          <w:spacing w:val="-5"/>
          <w:sz w:val="18"/>
        </w:rPr>
        <w:t> </w:t>
      </w:r>
      <w:r>
        <w:rPr>
          <w:sz w:val="18"/>
        </w:rPr>
        <w:t>‘Press</w:t>
      </w:r>
      <w:r>
        <w:rPr>
          <w:spacing w:val="-5"/>
          <w:sz w:val="18"/>
        </w:rPr>
        <w:t> </w:t>
      </w:r>
      <w:r>
        <w:rPr>
          <w:sz w:val="18"/>
        </w:rPr>
        <w:t>Release:</w:t>
      </w:r>
      <w:r>
        <w:rPr>
          <w:spacing w:val="-5"/>
          <w:sz w:val="18"/>
        </w:rPr>
        <w:t> </w:t>
      </w:r>
      <w:r>
        <w:rPr>
          <w:sz w:val="18"/>
        </w:rPr>
        <w:t>Data</w:t>
      </w:r>
      <w:r>
        <w:rPr>
          <w:spacing w:val="-5"/>
          <w:sz w:val="18"/>
        </w:rPr>
        <w:t> </w:t>
      </w:r>
      <w:r>
        <w:rPr>
          <w:sz w:val="18"/>
        </w:rPr>
        <w:t>protection:</w:t>
      </w:r>
      <w:r>
        <w:rPr>
          <w:spacing w:val="-5"/>
          <w:sz w:val="18"/>
        </w:rPr>
        <w:t> </w:t>
      </w:r>
      <w:r>
        <w:rPr>
          <w:sz w:val="18"/>
        </w:rPr>
        <w:t>Commission</w:t>
      </w:r>
      <w:r>
        <w:rPr>
          <w:spacing w:val="-5"/>
          <w:sz w:val="18"/>
        </w:rPr>
        <w:t> </w:t>
      </w:r>
      <w:r>
        <w:rPr>
          <w:sz w:val="18"/>
        </w:rPr>
        <w:t>adopts</w:t>
      </w:r>
      <w:r>
        <w:rPr>
          <w:spacing w:val="-6"/>
          <w:sz w:val="18"/>
        </w:rPr>
        <w:t> </w:t>
      </w:r>
      <w:r>
        <w:rPr>
          <w:sz w:val="18"/>
        </w:rPr>
        <w:t>adequacy</w:t>
      </w:r>
      <w:r>
        <w:rPr>
          <w:spacing w:val="-4"/>
          <w:sz w:val="18"/>
        </w:rPr>
        <w:t> </w:t>
      </w:r>
      <w:r>
        <w:rPr>
          <w:sz w:val="18"/>
        </w:rPr>
        <w:t>decisions</w:t>
      </w:r>
      <w:r>
        <w:rPr>
          <w:spacing w:val="-6"/>
          <w:sz w:val="18"/>
        </w:rPr>
        <w:t> </w:t>
      </w:r>
      <w:r>
        <w:rPr>
          <w:sz w:val="18"/>
        </w:rPr>
        <w:t>for</w:t>
      </w:r>
      <w:r>
        <w:rPr>
          <w:spacing w:val="-4"/>
          <w:sz w:val="18"/>
        </w:rPr>
        <w:t> </w:t>
      </w:r>
      <w:r>
        <w:rPr>
          <w:sz w:val="18"/>
        </w:rPr>
        <w:t>the</w:t>
      </w:r>
      <w:r>
        <w:rPr>
          <w:spacing w:val="-5"/>
          <w:sz w:val="18"/>
        </w:rPr>
        <w:t> </w:t>
      </w:r>
      <w:r>
        <w:rPr>
          <w:sz w:val="18"/>
        </w:rPr>
        <w:t>UK’,</w:t>
      </w:r>
      <w:r>
        <w:rPr>
          <w:spacing w:val="-4"/>
          <w:sz w:val="18"/>
        </w:rPr>
        <w:t> </w:t>
      </w:r>
      <w:r>
        <w:rPr>
          <w:sz w:val="18"/>
        </w:rPr>
        <w:t>28</w:t>
      </w:r>
      <w:r>
        <w:rPr>
          <w:spacing w:val="-5"/>
          <w:sz w:val="18"/>
        </w:rPr>
        <w:t> </w:t>
      </w:r>
      <w:r>
        <w:rPr>
          <w:sz w:val="18"/>
        </w:rPr>
        <w:t>June</w:t>
      </w:r>
      <w:r>
        <w:rPr>
          <w:spacing w:val="-5"/>
          <w:sz w:val="18"/>
        </w:rPr>
        <w:t> </w:t>
      </w:r>
      <w:r>
        <w:rPr>
          <w:spacing w:val="-2"/>
          <w:sz w:val="18"/>
        </w:rPr>
        <w:t>2021.</w:t>
      </w:r>
    </w:p>
    <w:p>
      <w:pPr>
        <w:pStyle w:val="ListParagraph"/>
        <w:numPr>
          <w:ilvl w:val="0"/>
          <w:numId w:val="11"/>
        </w:numPr>
        <w:tabs>
          <w:tab w:pos="1853" w:val="left" w:leader="none"/>
        </w:tabs>
        <w:spacing w:line="235" w:lineRule="auto" w:before="1" w:after="0"/>
        <w:ind w:left="1853" w:right="1337" w:hanging="720"/>
        <w:jc w:val="left"/>
        <w:rPr>
          <w:sz w:val="18"/>
        </w:rPr>
      </w:pPr>
      <w:r>
        <w:rPr>
          <w:sz w:val="18"/>
        </w:rPr>
        <w:t>Commission</w:t>
      </w:r>
      <w:r>
        <w:rPr>
          <w:spacing w:val="-5"/>
          <w:sz w:val="18"/>
        </w:rPr>
        <w:t> </w:t>
      </w:r>
      <w:r>
        <w:rPr>
          <w:sz w:val="18"/>
        </w:rPr>
        <w:t>Implementing</w:t>
      </w:r>
      <w:r>
        <w:rPr>
          <w:spacing w:val="-4"/>
          <w:sz w:val="18"/>
        </w:rPr>
        <w:t> </w:t>
      </w:r>
      <w:r>
        <w:rPr>
          <w:sz w:val="18"/>
        </w:rPr>
        <w:t>Decision</w:t>
      </w:r>
      <w:r>
        <w:rPr>
          <w:spacing w:val="-5"/>
          <w:sz w:val="18"/>
        </w:rPr>
        <w:t> </w:t>
      </w:r>
      <w:r>
        <w:rPr>
          <w:sz w:val="18"/>
        </w:rPr>
        <w:t>(EU)</w:t>
      </w:r>
      <w:r>
        <w:rPr>
          <w:spacing w:val="-5"/>
          <w:sz w:val="18"/>
        </w:rPr>
        <w:t> </w:t>
      </w:r>
      <w:r>
        <w:rPr>
          <w:sz w:val="18"/>
        </w:rPr>
        <w:t>2021/1772,</w:t>
      </w:r>
      <w:r>
        <w:rPr>
          <w:spacing w:val="-4"/>
          <w:sz w:val="18"/>
        </w:rPr>
        <w:t> </w:t>
      </w:r>
      <w:r>
        <w:rPr>
          <w:sz w:val="18"/>
        </w:rPr>
        <w:t>pursuant</w:t>
      </w:r>
      <w:r>
        <w:rPr>
          <w:spacing w:val="-4"/>
          <w:sz w:val="18"/>
        </w:rPr>
        <w:t> </w:t>
      </w:r>
      <w:r>
        <w:rPr>
          <w:sz w:val="18"/>
        </w:rPr>
        <w:t>to</w:t>
      </w:r>
      <w:r>
        <w:rPr>
          <w:spacing w:val="-5"/>
          <w:sz w:val="18"/>
        </w:rPr>
        <w:t> </w:t>
      </w:r>
      <w:r>
        <w:rPr>
          <w:sz w:val="18"/>
        </w:rPr>
        <w:t>Regulation</w:t>
      </w:r>
      <w:r>
        <w:rPr>
          <w:spacing w:val="-5"/>
          <w:sz w:val="18"/>
        </w:rPr>
        <w:t> </w:t>
      </w:r>
      <w:r>
        <w:rPr>
          <w:sz w:val="18"/>
        </w:rPr>
        <w:t>(EU)</w:t>
      </w:r>
      <w:r>
        <w:rPr>
          <w:spacing w:val="-5"/>
          <w:sz w:val="18"/>
        </w:rPr>
        <w:t> </w:t>
      </w:r>
      <w:r>
        <w:rPr>
          <w:sz w:val="18"/>
        </w:rPr>
        <w:t>2016/679</w:t>
      </w:r>
      <w:r>
        <w:rPr>
          <w:spacing w:val="-4"/>
          <w:sz w:val="18"/>
        </w:rPr>
        <w:t> </w:t>
      </w:r>
      <w:r>
        <w:rPr>
          <w:sz w:val="18"/>
        </w:rPr>
        <w:t>of</w:t>
      </w:r>
      <w:r>
        <w:rPr>
          <w:spacing w:val="-5"/>
          <w:sz w:val="18"/>
        </w:rPr>
        <w:t> </w:t>
      </w:r>
      <w:r>
        <w:rPr>
          <w:sz w:val="18"/>
        </w:rPr>
        <w:t>the</w:t>
      </w:r>
      <w:r>
        <w:rPr>
          <w:spacing w:val="-4"/>
          <w:sz w:val="18"/>
        </w:rPr>
        <w:t> </w:t>
      </w:r>
      <w:r>
        <w:rPr>
          <w:sz w:val="18"/>
        </w:rPr>
        <w:t>European</w:t>
      </w:r>
      <w:r>
        <w:rPr>
          <w:spacing w:val="-5"/>
          <w:sz w:val="18"/>
        </w:rPr>
        <w:t> </w:t>
      </w:r>
      <w:r>
        <w:rPr>
          <w:sz w:val="18"/>
        </w:rPr>
        <w:t>Parliament and of the Council on the adequate protection of personal data by the United Kingdom, 28 June 2021.</w:t>
      </w:r>
    </w:p>
    <w:p>
      <w:pPr>
        <w:pStyle w:val="ListParagraph"/>
        <w:numPr>
          <w:ilvl w:val="0"/>
          <w:numId w:val="11"/>
        </w:numPr>
        <w:tabs>
          <w:tab w:pos="1853" w:val="left" w:leader="none"/>
        </w:tabs>
        <w:spacing w:line="235" w:lineRule="auto" w:before="1" w:after="0"/>
        <w:ind w:left="1853" w:right="1173" w:hanging="720"/>
        <w:jc w:val="left"/>
        <w:rPr>
          <w:sz w:val="18"/>
        </w:rPr>
      </w:pPr>
      <w:r>
        <w:rPr>
          <w:sz w:val="18"/>
        </w:rPr>
        <w:t>Commission</w:t>
      </w:r>
      <w:r>
        <w:rPr>
          <w:spacing w:val="-6"/>
          <w:sz w:val="18"/>
        </w:rPr>
        <w:t> </w:t>
      </w:r>
      <w:r>
        <w:rPr>
          <w:sz w:val="18"/>
        </w:rPr>
        <w:t>Implementing</w:t>
      </w:r>
      <w:r>
        <w:rPr>
          <w:spacing w:val="-6"/>
          <w:sz w:val="18"/>
        </w:rPr>
        <w:t> </w:t>
      </w:r>
      <w:r>
        <w:rPr>
          <w:sz w:val="18"/>
        </w:rPr>
        <w:t>Decision</w:t>
      </w:r>
      <w:r>
        <w:rPr>
          <w:spacing w:val="-6"/>
          <w:sz w:val="18"/>
        </w:rPr>
        <w:t> </w:t>
      </w:r>
      <w:r>
        <w:rPr>
          <w:sz w:val="18"/>
        </w:rPr>
        <w:t>(EU)</w:t>
      </w:r>
      <w:r>
        <w:rPr>
          <w:spacing w:val="-6"/>
          <w:sz w:val="18"/>
        </w:rPr>
        <w:t> </w:t>
      </w:r>
      <w:r>
        <w:rPr>
          <w:sz w:val="18"/>
        </w:rPr>
        <w:t>2021/1773,</w:t>
      </w:r>
      <w:r>
        <w:rPr>
          <w:spacing w:val="-6"/>
          <w:sz w:val="18"/>
        </w:rPr>
        <w:t> </w:t>
      </w:r>
      <w:r>
        <w:rPr>
          <w:sz w:val="18"/>
        </w:rPr>
        <w:t>pursuant</w:t>
      </w:r>
      <w:r>
        <w:rPr>
          <w:spacing w:val="-6"/>
          <w:sz w:val="18"/>
        </w:rPr>
        <w:t> </w:t>
      </w:r>
      <w:r>
        <w:rPr>
          <w:sz w:val="18"/>
        </w:rPr>
        <w:t>to</w:t>
      </w:r>
      <w:r>
        <w:rPr>
          <w:spacing w:val="-6"/>
          <w:sz w:val="18"/>
        </w:rPr>
        <w:t> </w:t>
      </w:r>
      <w:r>
        <w:rPr>
          <w:sz w:val="18"/>
        </w:rPr>
        <w:t>Directive</w:t>
      </w:r>
      <w:r>
        <w:rPr>
          <w:spacing w:val="-6"/>
          <w:sz w:val="18"/>
        </w:rPr>
        <w:t> </w:t>
      </w:r>
      <w:r>
        <w:rPr>
          <w:sz w:val="18"/>
        </w:rPr>
        <w:t>(EU)</w:t>
      </w:r>
      <w:r>
        <w:rPr>
          <w:spacing w:val="-6"/>
          <w:sz w:val="18"/>
        </w:rPr>
        <w:t> </w:t>
      </w:r>
      <w:r>
        <w:rPr>
          <w:sz w:val="18"/>
        </w:rPr>
        <w:t>2016/680</w:t>
      </w:r>
      <w:r>
        <w:rPr>
          <w:spacing w:val="-6"/>
          <w:sz w:val="18"/>
        </w:rPr>
        <w:t> </w:t>
      </w:r>
      <w:r>
        <w:rPr>
          <w:sz w:val="18"/>
        </w:rPr>
        <w:t>of</w:t>
      </w:r>
      <w:r>
        <w:rPr>
          <w:spacing w:val="-6"/>
          <w:sz w:val="18"/>
        </w:rPr>
        <w:t> </w:t>
      </w:r>
      <w:r>
        <w:rPr>
          <w:sz w:val="18"/>
        </w:rPr>
        <w:t>the</w:t>
      </w:r>
      <w:r>
        <w:rPr>
          <w:spacing w:val="-6"/>
          <w:sz w:val="18"/>
        </w:rPr>
        <w:t> </w:t>
      </w:r>
      <w:r>
        <w:rPr>
          <w:sz w:val="18"/>
        </w:rPr>
        <w:t>European</w:t>
      </w:r>
      <w:r>
        <w:rPr>
          <w:spacing w:val="-6"/>
          <w:sz w:val="18"/>
        </w:rPr>
        <w:t> </w:t>
      </w:r>
      <w:r>
        <w:rPr>
          <w:sz w:val="18"/>
        </w:rPr>
        <w:t>Parliament</w:t>
      </w:r>
      <w:r>
        <w:rPr>
          <w:spacing w:val="-6"/>
          <w:sz w:val="18"/>
        </w:rPr>
        <w:t> </w:t>
      </w:r>
      <w:r>
        <w:rPr>
          <w:sz w:val="18"/>
        </w:rPr>
        <w:t>and of the Council on the adequate protection of personal data by the United Kingdom, 28 June 2021.</w:t>
      </w:r>
    </w:p>
    <w:p>
      <w:pPr>
        <w:pStyle w:val="ListParagraph"/>
        <w:numPr>
          <w:ilvl w:val="0"/>
          <w:numId w:val="11"/>
        </w:numPr>
        <w:tabs>
          <w:tab w:pos="1853" w:val="left" w:leader="none"/>
        </w:tabs>
        <w:spacing w:line="235" w:lineRule="auto" w:before="2" w:after="0"/>
        <w:ind w:left="1853" w:right="1176" w:hanging="720"/>
        <w:jc w:val="left"/>
        <w:rPr>
          <w:sz w:val="18"/>
        </w:rPr>
      </w:pPr>
      <w:r>
        <w:rPr>
          <w:sz w:val="18"/>
        </w:rPr>
        <w:t>Commission</w:t>
      </w:r>
      <w:r>
        <w:rPr>
          <w:spacing w:val="-8"/>
          <w:sz w:val="18"/>
        </w:rPr>
        <w:t> </w:t>
      </w:r>
      <w:r>
        <w:rPr>
          <w:sz w:val="18"/>
        </w:rPr>
        <w:t>Implementing</w:t>
      </w:r>
      <w:r>
        <w:rPr>
          <w:spacing w:val="-8"/>
          <w:sz w:val="18"/>
        </w:rPr>
        <w:t> </w:t>
      </w:r>
      <w:r>
        <w:rPr>
          <w:sz w:val="18"/>
        </w:rPr>
        <w:t>Decision</w:t>
      </w:r>
      <w:r>
        <w:rPr>
          <w:spacing w:val="-8"/>
          <w:sz w:val="18"/>
        </w:rPr>
        <w:t> </w:t>
      </w:r>
      <w:r>
        <w:rPr>
          <w:sz w:val="18"/>
        </w:rPr>
        <w:t>pursuant</w:t>
      </w:r>
      <w:r>
        <w:rPr>
          <w:spacing w:val="-8"/>
          <w:sz w:val="18"/>
        </w:rPr>
        <w:t> </w:t>
      </w:r>
      <w:r>
        <w:rPr>
          <w:sz w:val="18"/>
        </w:rPr>
        <w:t>to</w:t>
      </w:r>
      <w:r>
        <w:rPr>
          <w:spacing w:val="-8"/>
          <w:sz w:val="18"/>
        </w:rPr>
        <w:t> </w:t>
      </w:r>
      <w:r>
        <w:rPr>
          <w:sz w:val="18"/>
        </w:rPr>
        <w:t>Regulation</w:t>
      </w:r>
      <w:r>
        <w:rPr>
          <w:spacing w:val="-8"/>
          <w:sz w:val="18"/>
        </w:rPr>
        <w:t> </w:t>
      </w:r>
      <w:r>
        <w:rPr>
          <w:sz w:val="18"/>
        </w:rPr>
        <w:t>(EU)</w:t>
      </w:r>
      <w:r>
        <w:rPr>
          <w:spacing w:val="-8"/>
          <w:sz w:val="18"/>
        </w:rPr>
        <w:t> </w:t>
      </w:r>
      <w:r>
        <w:rPr>
          <w:sz w:val="18"/>
        </w:rPr>
        <w:t>2016/679</w:t>
      </w:r>
      <w:r>
        <w:rPr>
          <w:spacing w:val="-8"/>
          <w:sz w:val="18"/>
        </w:rPr>
        <w:t> </w:t>
      </w:r>
      <w:r>
        <w:rPr>
          <w:sz w:val="18"/>
        </w:rPr>
        <w:t>on</w:t>
      </w:r>
      <w:r>
        <w:rPr>
          <w:spacing w:val="-8"/>
          <w:sz w:val="18"/>
        </w:rPr>
        <w:t> </w:t>
      </w:r>
      <w:r>
        <w:rPr>
          <w:sz w:val="18"/>
        </w:rPr>
        <w:t>the</w:t>
      </w:r>
      <w:r>
        <w:rPr>
          <w:spacing w:val="-8"/>
          <w:sz w:val="18"/>
        </w:rPr>
        <w:t> </w:t>
      </w:r>
      <w:r>
        <w:rPr>
          <w:sz w:val="18"/>
        </w:rPr>
        <w:t>adequate</w:t>
      </w:r>
      <w:r>
        <w:rPr>
          <w:spacing w:val="-8"/>
          <w:sz w:val="18"/>
        </w:rPr>
        <w:t> </w:t>
      </w:r>
      <w:r>
        <w:rPr>
          <w:sz w:val="18"/>
        </w:rPr>
        <w:t>protection</w:t>
      </w:r>
      <w:r>
        <w:rPr>
          <w:spacing w:val="-8"/>
          <w:sz w:val="18"/>
        </w:rPr>
        <w:t> </w:t>
      </w:r>
      <w:r>
        <w:rPr>
          <w:sz w:val="18"/>
        </w:rPr>
        <w:t>of</w:t>
      </w:r>
      <w:r>
        <w:rPr>
          <w:spacing w:val="-8"/>
          <w:sz w:val="18"/>
        </w:rPr>
        <w:t> </w:t>
      </w:r>
      <w:r>
        <w:rPr>
          <w:sz w:val="18"/>
        </w:rPr>
        <w:t>personal</w:t>
      </w:r>
      <w:r>
        <w:rPr>
          <w:spacing w:val="-8"/>
          <w:sz w:val="18"/>
        </w:rPr>
        <w:t> </w:t>
      </w:r>
      <w:r>
        <w:rPr>
          <w:sz w:val="18"/>
        </w:rPr>
        <w:t>data</w:t>
      </w:r>
      <w:r>
        <w:rPr>
          <w:spacing w:val="-8"/>
          <w:sz w:val="18"/>
        </w:rPr>
        <w:t> </w:t>
      </w:r>
      <w:r>
        <w:rPr>
          <w:sz w:val="18"/>
        </w:rPr>
        <w:t>by the United Kingdom, C(2001) 4800, 28 June 2021; and Commission Implementing Decision pursuant to Regulation (EU) 2016/680 on the adequate protection of personal data by the United Kingdom, C(2001) 4801, 28 June 2021.</w:t>
      </w:r>
    </w:p>
    <w:p>
      <w:pPr>
        <w:pStyle w:val="ListParagraph"/>
        <w:numPr>
          <w:ilvl w:val="0"/>
          <w:numId w:val="11"/>
        </w:numPr>
        <w:tabs>
          <w:tab w:pos="1853" w:val="left" w:leader="none"/>
        </w:tabs>
        <w:spacing w:line="235" w:lineRule="auto" w:before="2" w:after="0"/>
        <w:ind w:left="1853" w:right="1168" w:hanging="720"/>
        <w:jc w:val="left"/>
        <w:rPr>
          <w:sz w:val="18"/>
        </w:rPr>
      </w:pPr>
      <w:r>
        <w:rPr>
          <w:sz w:val="18"/>
        </w:rPr>
        <w:t>Schengen</w:t>
      </w:r>
      <w:r>
        <w:rPr>
          <w:spacing w:val="-4"/>
          <w:sz w:val="18"/>
        </w:rPr>
        <w:t> </w:t>
      </w:r>
      <w:r>
        <w:rPr>
          <w:sz w:val="18"/>
        </w:rPr>
        <w:t>Information</w:t>
      </w:r>
      <w:r>
        <w:rPr>
          <w:spacing w:val="-4"/>
          <w:sz w:val="18"/>
        </w:rPr>
        <w:t> </w:t>
      </w:r>
      <w:r>
        <w:rPr>
          <w:sz w:val="18"/>
        </w:rPr>
        <w:t>System</w:t>
      </w:r>
      <w:r>
        <w:rPr>
          <w:spacing w:val="-4"/>
          <w:sz w:val="18"/>
        </w:rPr>
        <w:t> </w:t>
      </w:r>
      <w:r>
        <w:rPr>
          <w:sz w:val="18"/>
        </w:rPr>
        <w:t>(SIS</w:t>
      </w:r>
      <w:r>
        <w:rPr>
          <w:spacing w:val="-4"/>
          <w:sz w:val="18"/>
        </w:rPr>
        <w:t> </w:t>
      </w:r>
      <w:r>
        <w:rPr>
          <w:sz w:val="18"/>
        </w:rPr>
        <w:t>II)</w:t>
      </w:r>
      <w:r>
        <w:rPr>
          <w:spacing w:val="-4"/>
          <w:sz w:val="18"/>
        </w:rPr>
        <w:t> </w:t>
      </w:r>
      <w:r>
        <w:rPr>
          <w:sz w:val="18"/>
        </w:rPr>
        <w:t>is</w:t>
      </w:r>
      <w:r>
        <w:rPr>
          <w:spacing w:val="-4"/>
          <w:sz w:val="18"/>
        </w:rPr>
        <w:t> </w:t>
      </w:r>
      <w:r>
        <w:rPr>
          <w:sz w:val="18"/>
        </w:rPr>
        <w:t>a</w:t>
      </w:r>
      <w:r>
        <w:rPr>
          <w:spacing w:val="-4"/>
          <w:sz w:val="18"/>
        </w:rPr>
        <w:t> </w:t>
      </w:r>
      <w:r>
        <w:rPr>
          <w:sz w:val="18"/>
        </w:rPr>
        <w:t>European</w:t>
      </w:r>
      <w:r>
        <w:rPr>
          <w:spacing w:val="-4"/>
          <w:sz w:val="18"/>
        </w:rPr>
        <w:t> </w:t>
      </w:r>
      <w:r>
        <w:rPr>
          <w:sz w:val="18"/>
        </w:rPr>
        <w:t>database,</w:t>
      </w:r>
      <w:r>
        <w:rPr>
          <w:spacing w:val="-4"/>
          <w:sz w:val="18"/>
        </w:rPr>
        <w:t> </w:t>
      </w:r>
      <w:r>
        <w:rPr>
          <w:sz w:val="18"/>
        </w:rPr>
        <w:t>which</w:t>
      </w:r>
      <w:r>
        <w:rPr>
          <w:spacing w:val="-4"/>
          <w:sz w:val="18"/>
        </w:rPr>
        <w:t> </w:t>
      </w:r>
      <w:r>
        <w:rPr>
          <w:sz w:val="18"/>
        </w:rPr>
        <w:t>provides</w:t>
      </w:r>
      <w:r>
        <w:rPr>
          <w:spacing w:val="-4"/>
          <w:sz w:val="18"/>
        </w:rPr>
        <w:t> </w:t>
      </w:r>
      <w:r>
        <w:rPr>
          <w:sz w:val="18"/>
        </w:rPr>
        <w:t>alerts</w:t>
      </w:r>
      <w:r>
        <w:rPr>
          <w:spacing w:val="-4"/>
          <w:sz w:val="18"/>
        </w:rPr>
        <w:t> </w:t>
      </w:r>
      <w:r>
        <w:rPr>
          <w:sz w:val="18"/>
        </w:rPr>
        <w:t>on</w:t>
      </w:r>
      <w:r>
        <w:rPr>
          <w:spacing w:val="-4"/>
          <w:sz w:val="18"/>
        </w:rPr>
        <w:t> </w:t>
      </w:r>
      <w:r>
        <w:rPr>
          <w:sz w:val="18"/>
        </w:rPr>
        <w:t>the</w:t>
      </w:r>
      <w:r>
        <w:rPr>
          <w:spacing w:val="-4"/>
          <w:sz w:val="18"/>
        </w:rPr>
        <w:t> </w:t>
      </w:r>
      <w:r>
        <w:rPr>
          <w:sz w:val="18"/>
        </w:rPr>
        <w:t>movement</w:t>
      </w:r>
      <w:r>
        <w:rPr>
          <w:spacing w:val="-3"/>
          <w:sz w:val="18"/>
        </w:rPr>
        <w:t> </w:t>
      </w:r>
      <w:r>
        <w:rPr>
          <w:sz w:val="18"/>
        </w:rPr>
        <w:t>of</w:t>
      </w:r>
      <w:r>
        <w:rPr>
          <w:spacing w:val="-4"/>
          <w:sz w:val="18"/>
        </w:rPr>
        <w:t> </w:t>
      </w:r>
      <w:r>
        <w:rPr>
          <w:sz w:val="18"/>
        </w:rPr>
        <w:t>people</w:t>
      </w:r>
      <w:r>
        <w:rPr>
          <w:spacing w:val="-4"/>
          <w:sz w:val="18"/>
        </w:rPr>
        <w:t> </w:t>
      </w:r>
      <w:r>
        <w:rPr>
          <w:sz w:val="18"/>
        </w:rPr>
        <w:t>or</w:t>
      </w:r>
      <w:r>
        <w:rPr>
          <w:spacing w:val="-4"/>
          <w:sz w:val="18"/>
        </w:rPr>
        <w:t> </w:t>
      </w:r>
      <w:r>
        <w:rPr>
          <w:sz w:val="18"/>
        </w:rPr>
        <w:t>objects of interest as they cross EU borders. Regulation 1987/2006, ‘EU Parliament and Council Regulation on the Establishment, Operation and Use of the Second Generation Schengen Information System (SIS II)’, 28 December 2006.</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Amanda</w:t>
      </w:r>
      <w:r>
        <w:rPr>
          <w:spacing w:val="-8"/>
          <w:sz w:val="18"/>
        </w:rPr>
        <w:t> </w:t>
      </w:r>
      <w:r>
        <w:rPr>
          <w:sz w:val="18"/>
        </w:rPr>
        <w:t>Kramer,</w:t>
      </w:r>
      <w:r>
        <w:rPr>
          <w:spacing w:val="-6"/>
          <w:sz w:val="18"/>
        </w:rPr>
        <w:t> </w:t>
      </w:r>
      <w:r>
        <w:rPr>
          <w:sz w:val="18"/>
        </w:rPr>
        <w:t>Rachael</w:t>
      </w:r>
      <w:r>
        <w:rPr>
          <w:spacing w:val="-7"/>
          <w:sz w:val="18"/>
        </w:rPr>
        <w:t> </w:t>
      </w:r>
      <w:r>
        <w:rPr>
          <w:sz w:val="18"/>
        </w:rPr>
        <w:t>Dickson</w:t>
      </w:r>
      <w:r>
        <w:rPr>
          <w:spacing w:val="-8"/>
          <w:sz w:val="18"/>
        </w:rPr>
        <w:t> </w:t>
      </w:r>
      <w:r>
        <w:rPr>
          <w:sz w:val="18"/>
        </w:rPr>
        <w:t>and</w:t>
      </w:r>
      <w:r>
        <w:rPr>
          <w:spacing w:val="-7"/>
          <w:sz w:val="18"/>
        </w:rPr>
        <w:t> </w:t>
      </w:r>
      <w:r>
        <w:rPr>
          <w:sz w:val="18"/>
        </w:rPr>
        <w:t>Anni</w:t>
      </w:r>
      <w:r>
        <w:rPr>
          <w:spacing w:val="-7"/>
          <w:sz w:val="18"/>
        </w:rPr>
        <w:t> </w:t>
      </w:r>
      <w:r>
        <w:rPr>
          <w:sz w:val="18"/>
        </w:rPr>
        <w:t>Pues,</w:t>
      </w:r>
      <w:r>
        <w:rPr>
          <w:spacing w:val="-7"/>
          <w:sz w:val="18"/>
        </w:rPr>
        <w:t> </w:t>
      </w:r>
      <w:r>
        <w:rPr>
          <w:sz w:val="18"/>
        </w:rPr>
        <w:t>‘Evolving</w:t>
      </w:r>
      <w:r>
        <w:rPr>
          <w:spacing w:val="-6"/>
          <w:sz w:val="18"/>
        </w:rPr>
        <w:t> </w:t>
      </w:r>
      <w:r>
        <w:rPr>
          <w:sz w:val="18"/>
        </w:rPr>
        <w:t>Justice</w:t>
      </w:r>
      <w:r>
        <w:rPr>
          <w:spacing w:val="-7"/>
          <w:sz w:val="18"/>
        </w:rPr>
        <w:t> </w:t>
      </w:r>
      <w:r>
        <w:rPr>
          <w:sz w:val="18"/>
        </w:rPr>
        <w:t>Arrangements</w:t>
      </w:r>
      <w:r>
        <w:rPr>
          <w:spacing w:val="-7"/>
          <w:sz w:val="18"/>
        </w:rPr>
        <w:t> </w:t>
      </w:r>
      <w:r>
        <w:rPr>
          <w:sz w:val="18"/>
        </w:rPr>
        <w:t>Post-Brexit’</w:t>
      </w:r>
      <w:r>
        <w:rPr>
          <w:spacing w:val="-6"/>
          <w:sz w:val="18"/>
        </w:rPr>
        <w:t> </w:t>
      </w:r>
      <w:r>
        <w:rPr>
          <w:sz w:val="18"/>
        </w:rPr>
        <w:t>(IHREC</w:t>
      </w:r>
      <w:r>
        <w:rPr>
          <w:spacing w:val="-7"/>
          <w:sz w:val="18"/>
        </w:rPr>
        <w:t> </w:t>
      </w:r>
      <w:r>
        <w:rPr>
          <w:sz w:val="18"/>
        </w:rPr>
        <w:t>and</w:t>
      </w:r>
      <w:r>
        <w:rPr>
          <w:spacing w:val="-8"/>
          <w:sz w:val="18"/>
        </w:rPr>
        <w:t> </w:t>
      </w:r>
      <w:r>
        <w:rPr>
          <w:sz w:val="18"/>
        </w:rPr>
        <w:t>NIHRC,</w:t>
      </w:r>
      <w:r>
        <w:rPr>
          <w:spacing w:val="-6"/>
          <w:sz w:val="18"/>
        </w:rPr>
        <w:t> </w:t>
      </w:r>
      <w:r>
        <w:rPr>
          <w:spacing w:val="-2"/>
          <w:sz w:val="18"/>
        </w:rPr>
        <w:t>2019).</w:t>
      </w:r>
    </w:p>
    <w:p>
      <w:pPr>
        <w:pStyle w:val="ListParagraph"/>
        <w:numPr>
          <w:ilvl w:val="0"/>
          <w:numId w:val="11"/>
        </w:numPr>
        <w:tabs>
          <w:tab w:pos="1853" w:val="left" w:leader="none"/>
        </w:tabs>
        <w:spacing w:line="218" w:lineRule="exact" w:before="0" w:after="0"/>
        <w:ind w:left="1853" w:right="0" w:hanging="720"/>
        <w:jc w:val="left"/>
        <w:rPr>
          <w:sz w:val="18"/>
        </w:rPr>
      </w:pPr>
      <w:r>
        <w:rPr>
          <w:sz w:val="18"/>
        </w:rPr>
        <w:t>NI</w:t>
      </w:r>
      <w:r>
        <w:rPr>
          <w:spacing w:val="-5"/>
          <w:sz w:val="18"/>
        </w:rPr>
        <w:t> </w:t>
      </w:r>
      <w:r>
        <w:rPr>
          <w:sz w:val="18"/>
        </w:rPr>
        <w:t>Human</w:t>
      </w:r>
      <w:r>
        <w:rPr>
          <w:spacing w:val="-5"/>
          <w:sz w:val="18"/>
        </w:rPr>
        <w:t> </w:t>
      </w:r>
      <w:r>
        <w:rPr>
          <w:sz w:val="18"/>
        </w:rPr>
        <w:t>Rights</w:t>
      </w:r>
      <w:r>
        <w:rPr>
          <w:spacing w:val="-6"/>
          <w:sz w:val="18"/>
        </w:rPr>
        <w:t> </w:t>
      </w:r>
      <w:r>
        <w:rPr>
          <w:sz w:val="18"/>
        </w:rPr>
        <w:t>Commission,</w:t>
      </w:r>
      <w:r>
        <w:rPr>
          <w:spacing w:val="-4"/>
          <w:sz w:val="18"/>
        </w:rPr>
        <w:t> </w:t>
      </w:r>
      <w:r>
        <w:rPr>
          <w:sz w:val="18"/>
        </w:rPr>
        <w:t>‘Brexit</w:t>
      </w:r>
      <w:r>
        <w:rPr>
          <w:spacing w:val="-4"/>
          <w:sz w:val="18"/>
        </w:rPr>
        <w:t> </w:t>
      </w:r>
      <w:r>
        <w:rPr>
          <w:sz w:val="18"/>
        </w:rPr>
        <w:t>and</w:t>
      </w:r>
      <w:r>
        <w:rPr>
          <w:spacing w:val="-6"/>
          <w:sz w:val="18"/>
        </w:rPr>
        <w:t> </w:t>
      </w:r>
      <w:r>
        <w:rPr>
          <w:sz w:val="18"/>
        </w:rPr>
        <w:t>the</w:t>
      </w:r>
      <w:r>
        <w:rPr>
          <w:spacing w:val="-4"/>
          <w:sz w:val="18"/>
        </w:rPr>
        <w:t> </w:t>
      </w:r>
      <w:r>
        <w:rPr>
          <w:sz w:val="18"/>
        </w:rPr>
        <w:t>Implications</w:t>
      </w:r>
      <w:r>
        <w:rPr>
          <w:spacing w:val="-5"/>
          <w:sz w:val="18"/>
        </w:rPr>
        <w:t> </w:t>
      </w:r>
      <w:r>
        <w:rPr>
          <w:sz w:val="18"/>
        </w:rPr>
        <w:t>for</w:t>
      </w:r>
      <w:r>
        <w:rPr>
          <w:spacing w:val="-5"/>
          <w:sz w:val="18"/>
        </w:rPr>
        <w:t> </w:t>
      </w:r>
      <w:r>
        <w:rPr>
          <w:sz w:val="18"/>
        </w:rPr>
        <w:t>Justice</w:t>
      </w:r>
      <w:r>
        <w:rPr>
          <w:spacing w:val="-4"/>
          <w:sz w:val="18"/>
        </w:rPr>
        <w:t> </w:t>
      </w:r>
      <w:r>
        <w:rPr>
          <w:sz w:val="18"/>
        </w:rPr>
        <w:t>Co-operation’</w:t>
      </w:r>
      <w:r>
        <w:rPr>
          <w:spacing w:val="-5"/>
          <w:sz w:val="18"/>
        </w:rPr>
        <w:t> </w:t>
      </w:r>
      <w:r>
        <w:rPr>
          <w:sz w:val="18"/>
        </w:rPr>
        <w:t>(NIHRC,</w:t>
      </w:r>
      <w:r>
        <w:rPr>
          <w:spacing w:val="-4"/>
          <w:sz w:val="18"/>
        </w:rPr>
        <w:t> </w:t>
      </w:r>
      <w:r>
        <w:rPr>
          <w:spacing w:val="-2"/>
          <w:sz w:val="18"/>
        </w:rPr>
        <w:t>2019).</w:t>
      </w:r>
    </w:p>
    <w:p>
      <w:pPr>
        <w:spacing w:after="0" w:line="218" w:lineRule="exact"/>
        <w:jc w:val="left"/>
        <w:rPr>
          <w:sz w:val="18"/>
        </w:rPr>
        <w:sectPr>
          <w:pgSz w:w="11910" w:h="16840"/>
          <w:pgMar w:header="496" w:footer="367" w:top="1220" w:bottom="560" w:left="0" w:right="0"/>
        </w:sectPr>
      </w:pPr>
    </w:p>
    <w:p>
      <w:pPr>
        <w:pStyle w:val="BodyText"/>
      </w:pPr>
    </w:p>
    <w:p>
      <w:pPr>
        <w:pStyle w:val="BodyText"/>
        <w:spacing w:before="176"/>
      </w:pPr>
    </w:p>
    <w:p>
      <w:pPr>
        <w:pStyle w:val="ListParagraph"/>
        <w:numPr>
          <w:ilvl w:val="1"/>
          <w:numId w:val="13"/>
        </w:numPr>
        <w:tabs>
          <w:tab w:pos="1853" w:val="left" w:leader="none"/>
        </w:tabs>
        <w:spacing w:line="225" w:lineRule="auto" w:before="1" w:after="0"/>
        <w:ind w:left="1853" w:right="1675" w:hanging="720"/>
        <w:jc w:val="left"/>
        <w:rPr>
          <w:sz w:val="28"/>
        </w:rPr>
      </w:pPr>
      <w:r>
        <w:rPr>
          <w:sz w:val="28"/>
        </w:rPr>
        <w:t>In the absence of access to Schengen Information System II,</w:t>
      </w:r>
      <w:r>
        <w:rPr>
          <w:sz w:val="28"/>
          <w:vertAlign w:val="superscript"/>
        </w:rPr>
        <w:t>773</w:t>
      </w:r>
      <w:r>
        <w:rPr>
          <w:sz w:val="28"/>
          <w:vertAlign w:val="baseline"/>
        </w:rPr>
        <w:t> the UK Government has indicated its intention to work with EU and Irish law enforcement partners to strengthen international law enforcement cooperation</w:t>
      </w:r>
      <w:r>
        <w:rPr>
          <w:sz w:val="28"/>
          <w:vertAlign w:val="superscript"/>
        </w:rPr>
        <w:t>774</w:t>
      </w:r>
      <w:r>
        <w:rPr>
          <w:sz w:val="28"/>
          <w:vertAlign w:val="baseline"/>
        </w:rPr>
        <w:t> and, specifically, to improve the exchange of alert data, between the UK, EU and third countries through the International Law Enforcement</w:t>
      </w:r>
      <w:r>
        <w:rPr>
          <w:spacing w:val="-12"/>
          <w:sz w:val="28"/>
          <w:vertAlign w:val="baseline"/>
        </w:rPr>
        <w:t> </w:t>
      </w:r>
      <w:r>
        <w:rPr>
          <w:sz w:val="28"/>
          <w:vertAlign w:val="baseline"/>
        </w:rPr>
        <w:t>Alert</w:t>
      </w:r>
      <w:r>
        <w:rPr>
          <w:spacing w:val="-12"/>
          <w:sz w:val="28"/>
          <w:vertAlign w:val="baseline"/>
        </w:rPr>
        <w:t> </w:t>
      </w:r>
      <w:r>
        <w:rPr>
          <w:sz w:val="28"/>
          <w:vertAlign w:val="baseline"/>
        </w:rPr>
        <w:t>Platform</w:t>
      </w:r>
      <w:r>
        <w:rPr>
          <w:spacing w:val="-12"/>
          <w:sz w:val="28"/>
          <w:vertAlign w:val="baseline"/>
        </w:rPr>
        <w:t> </w:t>
      </w:r>
      <w:r>
        <w:rPr>
          <w:sz w:val="28"/>
          <w:vertAlign w:val="baseline"/>
        </w:rPr>
        <w:t>(I-LEAP).</w:t>
      </w:r>
      <w:r>
        <w:rPr>
          <w:sz w:val="28"/>
          <w:vertAlign w:val="superscript"/>
        </w:rPr>
        <w:t>775</w:t>
      </w:r>
      <w:r>
        <w:rPr>
          <w:spacing w:val="-12"/>
          <w:sz w:val="28"/>
          <w:vertAlign w:val="baseline"/>
        </w:rPr>
        <w:t> </w:t>
      </w:r>
      <w:r>
        <w:rPr>
          <w:sz w:val="28"/>
          <w:vertAlign w:val="baseline"/>
        </w:rPr>
        <w:t>In</w:t>
      </w:r>
      <w:r>
        <w:rPr>
          <w:spacing w:val="-12"/>
          <w:sz w:val="28"/>
          <w:vertAlign w:val="baseline"/>
        </w:rPr>
        <w:t> </w:t>
      </w:r>
      <w:r>
        <w:rPr>
          <w:sz w:val="28"/>
          <w:vertAlign w:val="baseline"/>
        </w:rPr>
        <w:t>February</w:t>
      </w:r>
      <w:r>
        <w:rPr>
          <w:spacing w:val="-12"/>
          <w:sz w:val="28"/>
          <w:vertAlign w:val="baseline"/>
        </w:rPr>
        <w:t> </w:t>
      </w:r>
      <w:r>
        <w:rPr>
          <w:sz w:val="28"/>
          <w:vertAlign w:val="baseline"/>
        </w:rPr>
        <w:t>2023,</w:t>
      </w:r>
      <w:r>
        <w:rPr>
          <w:spacing w:val="-12"/>
          <w:sz w:val="28"/>
          <w:vertAlign w:val="baseline"/>
        </w:rPr>
        <w:t> </w:t>
      </w:r>
      <w:r>
        <w:rPr>
          <w:sz w:val="28"/>
          <w:vertAlign w:val="baseline"/>
        </w:rPr>
        <w:t>the</w:t>
      </w:r>
      <w:r>
        <w:rPr>
          <w:spacing w:val="-12"/>
          <w:sz w:val="28"/>
          <w:vertAlign w:val="baseline"/>
        </w:rPr>
        <w:t> </w:t>
      </w:r>
      <w:r>
        <w:rPr>
          <w:sz w:val="28"/>
          <w:vertAlign w:val="baseline"/>
        </w:rPr>
        <w:t>Home</w:t>
      </w:r>
      <w:r>
        <w:rPr>
          <w:spacing w:val="-12"/>
          <w:sz w:val="28"/>
          <w:vertAlign w:val="baseline"/>
        </w:rPr>
        <w:t> </w:t>
      </w:r>
      <w:r>
        <w:rPr>
          <w:sz w:val="28"/>
          <w:vertAlign w:val="baseline"/>
        </w:rPr>
        <w:t>Office indicated</w:t>
      </w:r>
      <w:r>
        <w:rPr>
          <w:spacing w:val="-6"/>
          <w:sz w:val="28"/>
          <w:vertAlign w:val="baseline"/>
        </w:rPr>
        <w:t> </w:t>
      </w:r>
      <w:r>
        <w:rPr>
          <w:sz w:val="28"/>
          <w:vertAlign w:val="baseline"/>
        </w:rPr>
        <w:t>that</w:t>
      </w:r>
      <w:r>
        <w:rPr>
          <w:spacing w:val="-5"/>
          <w:sz w:val="28"/>
          <w:vertAlign w:val="baseline"/>
        </w:rPr>
        <w:t> </w:t>
      </w:r>
      <w:r>
        <w:rPr>
          <w:sz w:val="28"/>
          <w:vertAlign w:val="baseline"/>
        </w:rPr>
        <w:t>co-operation</w:t>
      </w:r>
      <w:r>
        <w:rPr>
          <w:spacing w:val="-6"/>
          <w:sz w:val="28"/>
          <w:vertAlign w:val="baseline"/>
        </w:rPr>
        <w:t> </w:t>
      </w:r>
      <w:r>
        <w:rPr>
          <w:sz w:val="28"/>
          <w:vertAlign w:val="baseline"/>
        </w:rPr>
        <w:t>with</w:t>
      </w:r>
      <w:r>
        <w:rPr>
          <w:spacing w:val="-6"/>
          <w:sz w:val="28"/>
          <w:vertAlign w:val="baseline"/>
        </w:rPr>
        <w:t> </w:t>
      </w:r>
      <w:r>
        <w:rPr>
          <w:sz w:val="28"/>
          <w:vertAlign w:val="baseline"/>
        </w:rPr>
        <w:t>the</w:t>
      </w:r>
      <w:r>
        <w:rPr>
          <w:spacing w:val="-5"/>
          <w:sz w:val="28"/>
          <w:vertAlign w:val="baseline"/>
        </w:rPr>
        <w:t> </w:t>
      </w:r>
      <w:r>
        <w:rPr>
          <w:sz w:val="28"/>
          <w:vertAlign w:val="baseline"/>
        </w:rPr>
        <w:t>EU</w:t>
      </w:r>
      <w:r>
        <w:rPr>
          <w:spacing w:val="-5"/>
          <w:sz w:val="28"/>
          <w:vertAlign w:val="baseline"/>
        </w:rPr>
        <w:t> </w:t>
      </w:r>
      <w:r>
        <w:rPr>
          <w:sz w:val="28"/>
          <w:vertAlign w:val="baseline"/>
        </w:rPr>
        <w:t>under</w:t>
      </w:r>
      <w:r>
        <w:rPr>
          <w:spacing w:val="-5"/>
          <w:sz w:val="28"/>
          <w:vertAlign w:val="baseline"/>
        </w:rPr>
        <w:t> </w:t>
      </w:r>
      <w:r>
        <w:rPr>
          <w:sz w:val="28"/>
          <w:vertAlign w:val="baseline"/>
        </w:rPr>
        <w:t>I-LEAP</w:t>
      </w:r>
      <w:r>
        <w:rPr>
          <w:spacing w:val="-5"/>
          <w:sz w:val="28"/>
          <w:vertAlign w:val="baseline"/>
        </w:rPr>
        <w:t> </w:t>
      </w:r>
      <w:r>
        <w:rPr>
          <w:sz w:val="28"/>
          <w:vertAlign w:val="baseline"/>
        </w:rPr>
        <w:t>would</w:t>
      </w:r>
      <w:r>
        <w:rPr>
          <w:spacing w:val="-6"/>
          <w:sz w:val="28"/>
          <w:vertAlign w:val="baseline"/>
        </w:rPr>
        <w:t> </w:t>
      </w:r>
      <w:r>
        <w:rPr>
          <w:sz w:val="28"/>
          <w:vertAlign w:val="baseline"/>
        </w:rPr>
        <w:t>not</w:t>
      </w:r>
      <w:r>
        <w:rPr>
          <w:spacing w:val="-5"/>
          <w:sz w:val="28"/>
          <w:vertAlign w:val="baseline"/>
        </w:rPr>
        <w:t> </w:t>
      </w:r>
      <w:r>
        <w:rPr>
          <w:sz w:val="28"/>
          <w:vertAlign w:val="baseline"/>
        </w:rPr>
        <w:t>complete until 2027/8.</w:t>
      </w:r>
      <w:r>
        <w:rPr>
          <w:sz w:val="28"/>
          <w:vertAlign w:val="superscript"/>
        </w:rPr>
        <w:t>776</w:t>
      </w:r>
    </w:p>
    <w:p>
      <w:pPr>
        <w:pStyle w:val="ListParagraph"/>
        <w:numPr>
          <w:ilvl w:val="1"/>
          <w:numId w:val="13"/>
        </w:numPr>
        <w:tabs>
          <w:tab w:pos="1853" w:val="left" w:leader="none"/>
        </w:tabs>
        <w:spacing w:line="225" w:lineRule="auto" w:before="309" w:after="0"/>
        <w:ind w:left="1853" w:right="1159" w:hanging="720"/>
        <w:jc w:val="left"/>
        <w:rPr>
          <w:sz w:val="28"/>
        </w:rPr>
      </w:pPr>
      <w:r>
        <w:rPr>
          <w:sz w:val="28"/>
        </w:rPr>
        <w:t>In separate briefings on the Data Protection and Digital Information Bill, the Commissions advised that any right to personal data protection afforded by</w:t>
      </w:r>
      <w:r>
        <w:rPr>
          <w:sz w:val="28"/>
        </w:rPr>
        <w:t> EU law, by which the UK was bound on 31 December 2020, falls within the scope of the non-diminution commitment in Windsor Framework Article 2.</w:t>
      </w:r>
      <w:r>
        <w:rPr>
          <w:sz w:val="28"/>
          <w:vertAlign w:val="superscript"/>
        </w:rPr>
        <w:t>777</w:t>
      </w:r>
      <w:r>
        <w:rPr>
          <w:sz w:val="28"/>
          <w:vertAlign w:val="baseline"/>
        </w:rPr>
        <w:t> The</w:t>
      </w:r>
      <w:r>
        <w:rPr>
          <w:spacing w:val="-6"/>
          <w:sz w:val="28"/>
          <w:vertAlign w:val="baseline"/>
        </w:rPr>
        <w:t> </w:t>
      </w:r>
      <w:r>
        <w:rPr>
          <w:sz w:val="28"/>
          <w:vertAlign w:val="baseline"/>
        </w:rPr>
        <w:t>NIHRC</w:t>
      </w:r>
      <w:r>
        <w:rPr>
          <w:spacing w:val="-7"/>
          <w:sz w:val="28"/>
          <w:vertAlign w:val="baseline"/>
        </w:rPr>
        <w:t> </w:t>
      </w:r>
      <w:r>
        <w:rPr>
          <w:sz w:val="28"/>
          <w:vertAlign w:val="baseline"/>
        </w:rPr>
        <w:t>also</w:t>
      </w:r>
      <w:r>
        <w:rPr>
          <w:spacing w:val="-7"/>
          <w:sz w:val="28"/>
          <w:vertAlign w:val="baseline"/>
        </w:rPr>
        <w:t> </w:t>
      </w:r>
      <w:r>
        <w:rPr>
          <w:sz w:val="28"/>
          <w:vertAlign w:val="baseline"/>
        </w:rPr>
        <w:t>raised</w:t>
      </w:r>
      <w:r>
        <w:rPr>
          <w:spacing w:val="-7"/>
          <w:sz w:val="28"/>
          <w:vertAlign w:val="baseline"/>
        </w:rPr>
        <w:t> </w:t>
      </w:r>
      <w:r>
        <w:rPr>
          <w:sz w:val="28"/>
          <w:vertAlign w:val="baseline"/>
        </w:rPr>
        <w:t>concerns</w:t>
      </w:r>
      <w:r>
        <w:rPr>
          <w:spacing w:val="-7"/>
          <w:sz w:val="28"/>
          <w:vertAlign w:val="baseline"/>
        </w:rPr>
        <w:t> </w:t>
      </w:r>
      <w:r>
        <w:rPr>
          <w:sz w:val="28"/>
          <w:vertAlign w:val="baseline"/>
        </w:rPr>
        <w:t>that</w:t>
      </w:r>
      <w:r>
        <w:rPr>
          <w:spacing w:val="-6"/>
          <w:sz w:val="28"/>
          <w:vertAlign w:val="baseline"/>
        </w:rPr>
        <w:t> </w:t>
      </w:r>
      <w:r>
        <w:rPr>
          <w:sz w:val="28"/>
          <w:vertAlign w:val="baseline"/>
        </w:rPr>
        <w:t>changes</w:t>
      </w:r>
      <w:r>
        <w:rPr>
          <w:spacing w:val="-7"/>
          <w:sz w:val="28"/>
          <w:vertAlign w:val="baseline"/>
        </w:rPr>
        <w:t> </w:t>
      </w:r>
      <w:r>
        <w:rPr>
          <w:sz w:val="28"/>
          <w:vertAlign w:val="baseline"/>
        </w:rPr>
        <w:t>to</w:t>
      </w:r>
      <w:r>
        <w:rPr>
          <w:spacing w:val="-7"/>
          <w:sz w:val="28"/>
          <w:vertAlign w:val="baseline"/>
        </w:rPr>
        <w:t> </w:t>
      </w:r>
      <w:r>
        <w:rPr>
          <w:sz w:val="28"/>
          <w:vertAlign w:val="baseline"/>
        </w:rPr>
        <w:t>the</w:t>
      </w:r>
      <w:r>
        <w:rPr>
          <w:spacing w:val="-6"/>
          <w:sz w:val="28"/>
          <w:vertAlign w:val="baseline"/>
        </w:rPr>
        <w:t> </w:t>
      </w:r>
      <w:r>
        <w:rPr>
          <w:sz w:val="28"/>
          <w:vertAlign w:val="baseline"/>
        </w:rPr>
        <w:t>UK</w:t>
      </w:r>
      <w:r>
        <w:rPr>
          <w:spacing w:val="-6"/>
          <w:sz w:val="28"/>
          <w:vertAlign w:val="baseline"/>
        </w:rPr>
        <w:t> </w:t>
      </w:r>
      <w:r>
        <w:rPr>
          <w:sz w:val="28"/>
          <w:vertAlign w:val="baseline"/>
        </w:rPr>
        <w:t>data</w:t>
      </w:r>
      <w:r>
        <w:rPr>
          <w:spacing w:val="-7"/>
          <w:sz w:val="28"/>
          <w:vertAlign w:val="baseline"/>
        </w:rPr>
        <w:t> </w:t>
      </w:r>
      <w:r>
        <w:rPr>
          <w:sz w:val="28"/>
          <w:vertAlign w:val="baseline"/>
        </w:rPr>
        <w:t>protection</w:t>
      </w:r>
      <w:r>
        <w:rPr>
          <w:spacing w:val="-7"/>
          <w:sz w:val="28"/>
          <w:vertAlign w:val="baseline"/>
        </w:rPr>
        <w:t> </w:t>
      </w:r>
      <w:r>
        <w:rPr>
          <w:sz w:val="28"/>
          <w:vertAlign w:val="baseline"/>
        </w:rPr>
        <w:t>regime pursuant to the Bill could lead to divergences in the level of data protection rights in the UK and the EU. Where such a divergence results in a lowering</w:t>
      </w:r>
    </w:p>
    <w:p>
      <w:pPr>
        <w:pStyle w:val="BodyText"/>
        <w:spacing w:line="225" w:lineRule="auto"/>
        <w:ind w:left="1853" w:right="1171"/>
      </w:pPr>
      <w:r>
        <w:rPr/>
        <w:t>of</w:t>
      </w:r>
      <w:r>
        <w:rPr>
          <w:spacing w:val="-8"/>
        </w:rPr>
        <w:t> </w:t>
      </w:r>
      <w:r>
        <w:rPr/>
        <w:t>data</w:t>
      </w:r>
      <w:r>
        <w:rPr>
          <w:spacing w:val="-8"/>
        </w:rPr>
        <w:t> </w:t>
      </w:r>
      <w:r>
        <w:rPr/>
        <w:t>protection,</w:t>
      </w:r>
      <w:r>
        <w:rPr>
          <w:spacing w:val="-7"/>
        </w:rPr>
        <w:t> </w:t>
      </w:r>
      <w:r>
        <w:rPr/>
        <w:t>this</w:t>
      </w:r>
      <w:r>
        <w:rPr>
          <w:spacing w:val="-8"/>
        </w:rPr>
        <w:t> </w:t>
      </w:r>
      <w:r>
        <w:rPr/>
        <w:t>could</w:t>
      </w:r>
      <w:r>
        <w:rPr>
          <w:spacing w:val="-8"/>
        </w:rPr>
        <w:t> </w:t>
      </w:r>
      <w:r>
        <w:rPr/>
        <w:t>impact</w:t>
      </w:r>
      <w:r>
        <w:rPr>
          <w:spacing w:val="-7"/>
        </w:rPr>
        <w:t> </w:t>
      </w:r>
      <w:r>
        <w:rPr/>
        <w:t>on</w:t>
      </w:r>
      <w:r>
        <w:rPr>
          <w:spacing w:val="-8"/>
        </w:rPr>
        <w:t> </w:t>
      </w:r>
      <w:r>
        <w:rPr/>
        <w:t>the</w:t>
      </w:r>
      <w:r>
        <w:rPr>
          <w:spacing w:val="-7"/>
        </w:rPr>
        <w:t> </w:t>
      </w:r>
      <w:r>
        <w:rPr/>
        <w:t>data</w:t>
      </w:r>
      <w:r>
        <w:rPr>
          <w:spacing w:val="-8"/>
        </w:rPr>
        <w:t> </w:t>
      </w:r>
      <w:r>
        <w:rPr/>
        <w:t>adequacy</w:t>
      </w:r>
      <w:r>
        <w:rPr>
          <w:spacing w:val="-7"/>
        </w:rPr>
        <w:t> </w:t>
      </w:r>
      <w:r>
        <w:rPr/>
        <w:t>decisions.</w:t>
      </w:r>
      <w:r>
        <w:rPr>
          <w:vertAlign w:val="superscript"/>
        </w:rPr>
        <w:t>778</w:t>
      </w:r>
      <w:r>
        <w:rPr>
          <w:spacing w:val="40"/>
          <w:vertAlign w:val="baseline"/>
        </w:rPr>
        <w:t> </w:t>
      </w:r>
      <w:r>
        <w:rPr>
          <w:vertAlign w:val="baseline"/>
        </w:rPr>
        <w:t>Any resulting disruption to cross-border data sharing could have a detrimental effect on NI, particularly in the area of cross border cooperation on policing and justice.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r>
        <w:rPr/>
        <mc:AlternateContent>
          <mc:Choice Requires="wps">
            <w:drawing>
              <wp:anchor distT="0" distB="0" distL="0" distR="0" allowOverlap="1" layoutInCell="1" locked="0" behindDoc="1" simplePos="0" relativeHeight="487715328">
                <wp:simplePos x="0" y="0"/>
                <wp:positionH relativeFrom="page">
                  <wp:posOffset>719996</wp:posOffset>
                </wp:positionH>
                <wp:positionV relativeFrom="paragraph">
                  <wp:posOffset>171155</wp:posOffset>
                </wp:positionV>
                <wp:extent cx="6120130" cy="1270"/>
                <wp:effectExtent l="0" t="0" r="0" b="0"/>
                <wp:wrapTopAndBottom/>
                <wp:docPr id="565" name="Graphic 565"/>
                <wp:cNvGraphicFramePr>
                  <a:graphicFrameLocks/>
                </wp:cNvGraphicFramePr>
                <a:graphic>
                  <a:graphicData uri="http://schemas.microsoft.com/office/word/2010/wordprocessingShape">
                    <wps:wsp>
                      <wps:cNvPr id="565" name="Graphic 56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3.476847pt;width:481.9pt;height:.1pt;mso-position-horizontal-relative:page;mso-position-vertical-relative:paragraph;z-index:-15601152;mso-wrap-distance-left:0;mso-wrap-distance-right:0" id="docshape510" coordorigin="1134,270" coordsize="9638,0" path="m10772,270l1134,270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35" w:lineRule="auto" w:before="128" w:after="0"/>
        <w:ind w:left="1853" w:right="1168" w:hanging="720"/>
        <w:jc w:val="left"/>
        <w:rPr>
          <w:sz w:val="18"/>
        </w:rPr>
      </w:pPr>
      <w:r>
        <w:rPr>
          <w:sz w:val="18"/>
        </w:rPr>
        <w:t>Schengen</w:t>
      </w:r>
      <w:r>
        <w:rPr>
          <w:spacing w:val="-4"/>
          <w:sz w:val="18"/>
        </w:rPr>
        <w:t> </w:t>
      </w:r>
      <w:r>
        <w:rPr>
          <w:sz w:val="18"/>
        </w:rPr>
        <w:t>Information</w:t>
      </w:r>
      <w:r>
        <w:rPr>
          <w:spacing w:val="-4"/>
          <w:sz w:val="18"/>
        </w:rPr>
        <w:t> </w:t>
      </w:r>
      <w:r>
        <w:rPr>
          <w:sz w:val="18"/>
        </w:rPr>
        <w:t>System</w:t>
      </w:r>
      <w:r>
        <w:rPr>
          <w:spacing w:val="-4"/>
          <w:sz w:val="18"/>
        </w:rPr>
        <w:t> </w:t>
      </w:r>
      <w:r>
        <w:rPr>
          <w:sz w:val="18"/>
        </w:rPr>
        <w:t>(SIS</w:t>
      </w:r>
      <w:r>
        <w:rPr>
          <w:spacing w:val="-4"/>
          <w:sz w:val="18"/>
        </w:rPr>
        <w:t> </w:t>
      </w:r>
      <w:r>
        <w:rPr>
          <w:sz w:val="18"/>
        </w:rPr>
        <w:t>II)</w:t>
      </w:r>
      <w:r>
        <w:rPr>
          <w:spacing w:val="-4"/>
          <w:sz w:val="18"/>
        </w:rPr>
        <w:t> </w:t>
      </w:r>
      <w:r>
        <w:rPr>
          <w:sz w:val="18"/>
        </w:rPr>
        <w:t>is</w:t>
      </w:r>
      <w:r>
        <w:rPr>
          <w:spacing w:val="-4"/>
          <w:sz w:val="18"/>
        </w:rPr>
        <w:t> </w:t>
      </w:r>
      <w:r>
        <w:rPr>
          <w:sz w:val="18"/>
        </w:rPr>
        <w:t>a</w:t>
      </w:r>
      <w:r>
        <w:rPr>
          <w:spacing w:val="-4"/>
          <w:sz w:val="18"/>
        </w:rPr>
        <w:t> </w:t>
      </w:r>
      <w:r>
        <w:rPr>
          <w:sz w:val="18"/>
        </w:rPr>
        <w:t>European</w:t>
      </w:r>
      <w:r>
        <w:rPr>
          <w:spacing w:val="-4"/>
          <w:sz w:val="18"/>
        </w:rPr>
        <w:t> </w:t>
      </w:r>
      <w:r>
        <w:rPr>
          <w:sz w:val="18"/>
        </w:rPr>
        <w:t>database,</w:t>
      </w:r>
      <w:r>
        <w:rPr>
          <w:spacing w:val="-4"/>
          <w:sz w:val="18"/>
        </w:rPr>
        <w:t> </w:t>
      </w:r>
      <w:r>
        <w:rPr>
          <w:sz w:val="18"/>
        </w:rPr>
        <w:t>which</w:t>
      </w:r>
      <w:r>
        <w:rPr>
          <w:spacing w:val="-4"/>
          <w:sz w:val="18"/>
        </w:rPr>
        <w:t> </w:t>
      </w:r>
      <w:r>
        <w:rPr>
          <w:sz w:val="18"/>
        </w:rPr>
        <w:t>provides</w:t>
      </w:r>
      <w:r>
        <w:rPr>
          <w:spacing w:val="-4"/>
          <w:sz w:val="18"/>
        </w:rPr>
        <w:t> </w:t>
      </w:r>
      <w:r>
        <w:rPr>
          <w:sz w:val="18"/>
        </w:rPr>
        <w:t>alerts</w:t>
      </w:r>
      <w:r>
        <w:rPr>
          <w:spacing w:val="-4"/>
          <w:sz w:val="18"/>
        </w:rPr>
        <w:t> </w:t>
      </w:r>
      <w:r>
        <w:rPr>
          <w:sz w:val="18"/>
        </w:rPr>
        <w:t>on</w:t>
      </w:r>
      <w:r>
        <w:rPr>
          <w:spacing w:val="-4"/>
          <w:sz w:val="18"/>
        </w:rPr>
        <w:t> </w:t>
      </w:r>
      <w:r>
        <w:rPr>
          <w:sz w:val="18"/>
        </w:rPr>
        <w:t>the</w:t>
      </w:r>
      <w:r>
        <w:rPr>
          <w:spacing w:val="-4"/>
          <w:sz w:val="18"/>
        </w:rPr>
        <w:t> </w:t>
      </w:r>
      <w:r>
        <w:rPr>
          <w:sz w:val="18"/>
        </w:rPr>
        <w:t>movement</w:t>
      </w:r>
      <w:r>
        <w:rPr>
          <w:spacing w:val="-3"/>
          <w:sz w:val="18"/>
        </w:rPr>
        <w:t> </w:t>
      </w:r>
      <w:r>
        <w:rPr>
          <w:sz w:val="18"/>
        </w:rPr>
        <w:t>of</w:t>
      </w:r>
      <w:r>
        <w:rPr>
          <w:spacing w:val="-4"/>
          <w:sz w:val="18"/>
        </w:rPr>
        <w:t> </w:t>
      </w:r>
      <w:r>
        <w:rPr>
          <w:sz w:val="18"/>
        </w:rPr>
        <w:t>people</w:t>
      </w:r>
      <w:r>
        <w:rPr>
          <w:spacing w:val="-4"/>
          <w:sz w:val="18"/>
        </w:rPr>
        <w:t> </w:t>
      </w:r>
      <w:r>
        <w:rPr>
          <w:sz w:val="18"/>
        </w:rPr>
        <w:t>or</w:t>
      </w:r>
      <w:r>
        <w:rPr>
          <w:spacing w:val="-4"/>
          <w:sz w:val="18"/>
        </w:rPr>
        <w:t> </w:t>
      </w:r>
      <w:r>
        <w:rPr>
          <w:sz w:val="18"/>
        </w:rPr>
        <w:t>objects of interest as they cross EU borders. Regulation 1987/2006, ‘EU Parliament and Council Regulation on the Establishment, Operation and Use of the Second Generation Schengen Information System (SIS II)’, 28 December 2006.</w:t>
      </w:r>
    </w:p>
    <w:p>
      <w:pPr>
        <w:pStyle w:val="ListParagraph"/>
        <w:numPr>
          <w:ilvl w:val="0"/>
          <w:numId w:val="11"/>
        </w:numPr>
        <w:tabs>
          <w:tab w:pos="1853" w:val="left" w:leader="none"/>
        </w:tabs>
        <w:spacing w:line="235" w:lineRule="auto" w:before="2" w:after="0"/>
        <w:ind w:left="1853" w:right="1656" w:hanging="720"/>
        <w:jc w:val="left"/>
        <w:rPr>
          <w:sz w:val="18"/>
        </w:rPr>
      </w:pPr>
      <w:r>
        <w:rPr>
          <w:sz w:val="18"/>
        </w:rPr>
        <w:t>NI</w:t>
      </w:r>
      <w:r>
        <w:rPr>
          <w:spacing w:val="-6"/>
          <w:sz w:val="18"/>
        </w:rPr>
        <w:t> </w:t>
      </w:r>
      <w:r>
        <w:rPr>
          <w:sz w:val="18"/>
        </w:rPr>
        <w:t>Affairs</w:t>
      </w:r>
      <w:r>
        <w:rPr>
          <w:spacing w:val="-7"/>
          <w:sz w:val="18"/>
        </w:rPr>
        <w:t> </w:t>
      </w:r>
      <w:r>
        <w:rPr>
          <w:sz w:val="18"/>
        </w:rPr>
        <w:t>Committee,</w:t>
      </w:r>
      <w:r>
        <w:rPr>
          <w:spacing w:val="-6"/>
          <w:sz w:val="18"/>
        </w:rPr>
        <w:t> </w:t>
      </w:r>
      <w:r>
        <w:rPr>
          <w:sz w:val="18"/>
        </w:rPr>
        <w:t>‘Cross-border</w:t>
      </w:r>
      <w:r>
        <w:rPr>
          <w:spacing w:val="-6"/>
          <w:sz w:val="18"/>
        </w:rPr>
        <w:t> </w:t>
      </w:r>
      <w:r>
        <w:rPr>
          <w:sz w:val="18"/>
        </w:rPr>
        <w:t>co-operation</w:t>
      </w:r>
      <w:r>
        <w:rPr>
          <w:spacing w:val="-7"/>
          <w:sz w:val="18"/>
        </w:rPr>
        <w:t> </w:t>
      </w:r>
      <w:r>
        <w:rPr>
          <w:sz w:val="18"/>
        </w:rPr>
        <w:t>on</w:t>
      </w:r>
      <w:r>
        <w:rPr>
          <w:spacing w:val="-7"/>
          <w:sz w:val="18"/>
        </w:rPr>
        <w:t> </w:t>
      </w:r>
      <w:r>
        <w:rPr>
          <w:sz w:val="18"/>
        </w:rPr>
        <w:t>policing,</w:t>
      </w:r>
      <w:r>
        <w:rPr>
          <w:spacing w:val="-6"/>
          <w:sz w:val="18"/>
        </w:rPr>
        <w:t> </w:t>
      </w:r>
      <w:r>
        <w:rPr>
          <w:sz w:val="18"/>
        </w:rPr>
        <w:t>security</w:t>
      </w:r>
      <w:r>
        <w:rPr>
          <w:spacing w:val="-6"/>
          <w:sz w:val="18"/>
        </w:rPr>
        <w:t> </w:t>
      </w:r>
      <w:r>
        <w:rPr>
          <w:sz w:val="18"/>
        </w:rPr>
        <w:t>and</w:t>
      </w:r>
      <w:r>
        <w:rPr>
          <w:spacing w:val="-7"/>
          <w:sz w:val="18"/>
        </w:rPr>
        <w:t> </w:t>
      </w:r>
      <w:r>
        <w:rPr>
          <w:sz w:val="18"/>
        </w:rPr>
        <w:t>criminal</w:t>
      </w:r>
      <w:r>
        <w:rPr>
          <w:spacing w:val="-7"/>
          <w:sz w:val="18"/>
        </w:rPr>
        <w:t> </w:t>
      </w:r>
      <w:r>
        <w:rPr>
          <w:sz w:val="18"/>
        </w:rPr>
        <w:t>justice</w:t>
      </w:r>
      <w:r>
        <w:rPr>
          <w:spacing w:val="-6"/>
          <w:sz w:val="18"/>
        </w:rPr>
        <w:t> </w:t>
      </w:r>
      <w:r>
        <w:rPr>
          <w:sz w:val="18"/>
        </w:rPr>
        <w:t>after</w:t>
      </w:r>
      <w:r>
        <w:rPr>
          <w:spacing w:val="-6"/>
          <w:sz w:val="18"/>
        </w:rPr>
        <w:t> </w:t>
      </w:r>
      <w:r>
        <w:rPr>
          <w:sz w:val="18"/>
        </w:rPr>
        <w:t>Brexit:</w:t>
      </w:r>
      <w:r>
        <w:rPr>
          <w:spacing w:val="-6"/>
          <w:sz w:val="18"/>
        </w:rPr>
        <w:t> </w:t>
      </w:r>
      <w:r>
        <w:rPr>
          <w:sz w:val="18"/>
        </w:rPr>
        <w:t>Government Response to the Committee’s Fourth Report of Session 2019–21’ (NIAC, 2021).</w:t>
      </w:r>
    </w:p>
    <w:p>
      <w:pPr>
        <w:pStyle w:val="ListParagraph"/>
        <w:numPr>
          <w:ilvl w:val="0"/>
          <w:numId w:val="11"/>
        </w:numPr>
        <w:tabs>
          <w:tab w:pos="1853" w:val="left" w:leader="none"/>
        </w:tabs>
        <w:spacing w:line="235" w:lineRule="auto" w:before="2" w:after="0"/>
        <w:ind w:left="1853" w:right="1171" w:hanging="720"/>
        <w:jc w:val="left"/>
        <w:rPr>
          <w:sz w:val="18"/>
        </w:rPr>
      </w:pPr>
      <w:r>
        <w:rPr>
          <w:sz w:val="18"/>
        </w:rPr>
        <w:t>House</w:t>
      </w:r>
      <w:r>
        <w:rPr>
          <w:spacing w:val="-7"/>
          <w:sz w:val="18"/>
        </w:rPr>
        <w:t> </w:t>
      </w:r>
      <w:r>
        <w:rPr>
          <w:sz w:val="18"/>
        </w:rPr>
        <w:t>of</w:t>
      </w:r>
      <w:r>
        <w:rPr>
          <w:spacing w:val="-7"/>
          <w:sz w:val="18"/>
        </w:rPr>
        <w:t> </w:t>
      </w:r>
      <w:r>
        <w:rPr>
          <w:sz w:val="18"/>
        </w:rPr>
        <w:t>Lords</w:t>
      </w:r>
      <w:r>
        <w:rPr>
          <w:spacing w:val="-7"/>
          <w:sz w:val="18"/>
        </w:rPr>
        <w:t> </w:t>
      </w:r>
      <w:r>
        <w:rPr>
          <w:sz w:val="18"/>
        </w:rPr>
        <w:t>European</w:t>
      </w:r>
      <w:r>
        <w:rPr>
          <w:spacing w:val="-7"/>
          <w:sz w:val="18"/>
        </w:rPr>
        <w:t> </w:t>
      </w:r>
      <w:r>
        <w:rPr>
          <w:sz w:val="18"/>
        </w:rPr>
        <w:t>Union</w:t>
      </w:r>
      <w:r>
        <w:rPr>
          <w:spacing w:val="-7"/>
          <w:sz w:val="18"/>
        </w:rPr>
        <w:t> </w:t>
      </w:r>
      <w:r>
        <w:rPr>
          <w:sz w:val="18"/>
        </w:rPr>
        <w:t>Committee</w:t>
      </w:r>
      <w:r>
        <w:rPr>
          <w:spacing w:val="-7"/>
          <w:sz w:val="18"/>
        </w:rPr>
        <w:t> </w:t>
      </w:r>
      <w:r>
        <w:rPr>
          <w:sz w:val="18"/>
        </w:rPr>
        <w:t>‘Beyond</w:t>
      </w:r>
      <w:r>
        <w:rPr>
          <w:spacing w:val="-7"/>
          <w:sz w:val="18"/>
        </w:rPr>
        <w:t> </w:t>
      </w:r>
      <w:r>
        <w:rPr>
          <w:sz w:val="18"/>
        </w:rPr>
        <w:t>Brexit:</w:t>
      </w:r>
      <w:r>
        <w:rPr>
          <w:spacing w:val="-7"/>
          <w:sz w:val="18"/>
        </w:rPr>
        <w:t> </w:t>
      </w:r>
      <w:r>
        <w:rPr>
          <w:sz w:val="18"/>
        </w:rPr>
        <w:t>policing,</w:t>
      </w:r>
      <w:r>
        <w:rPr>
          <w:spacing w:val="-7"/>
          <w:sz w:val="18"/>
        </w:rPr>
        <w:t> </w:t>
      </w:r>
      <w:r>
        <w:rPr>
          <w:sz w:val="18"/>
        </w:rPr>
        <w:t>law</w:t>
      </w:r>
      <w:r>
        <w:rPr>
          <w:spacing w:val="-7"/>
          <w:sz w:val="18"/>
        </w:rPr>
        <w:t> </w:t>
      </w:r>
      <w:r>
        <w:rPr>
          <w:sz w:val="18"/>
        </w:rPr>
        <w:t>enforcement</w:t>
      </w:r>
      <w:r>
        <w:rPr>
          <w:spacing w:val="-6"/>
          <w:sz w:val="18"/>
        </w:rPr>
        <w:t> </w:t>
      </w:r>
      <w:r>
        <w:rPr>
          <w:sz w:val="18"/>
        </w:rPr>
        <w:t>and</w:t>
      </w:r>
      <w:r>
        <w:rPr>
          <w:spacing w:val="-7"/>
          <w:sz w:val="18"/>
        </w:rPr>
        <w:t> </w:t>
      </w:r>
      <w:r>
        <w:rPr>
          <w:sz w:val="18"/>
        </w:rPr>
        <w:t>security’,</w:t>
      </w:r>
      <w:r>
        <w:rPr>
          <w:spacing w:val="-7"/>
          <w:sz w:val="18"/>
        </w:rPr>
        <w:t> </w:t>
      </w:r>
      <w:r>
        <w:rPr>
          <w:sz w:val="18"/>
        </w:rPr>
        <w:t>25</w:t>
      </w:r>
      <w:r>
        <w:rPr>
          <w:sz w:val="18"/>
          <w:vertAlign w:val="superscript"/>
        </w:rPr>
        <w:t>th</w:t>
      </w:r>
      <w:r>
        <w:rPr>
          <w:spacing w:val="-7"/>
          <w:sz w:val="18"/>
          <w:vertAlign w:val="baseline"/>
        </w:rPr>
        <w:t> </w:t>
      </w:r>
      <w:r>
        <w:rPr>
          <w:sz w:val="18"/>
          <w:vertAlign w:val="baseline"/>
        </w:rPr>
        <w:t>Report</w:t>
      </w:r>
      <w:r>
        <w:rPr>
          <w:spacing w:val="-6"/>
          <w:sz w:val="18"/>
          <w:vertAlign w:val="baseline"/>
        </w:rPr>
        <w:t> </w:t>
      </w:r>
      <w:r>
        <w:rPr>
          <w:sz w:val="18"/>
          <w:vertAlign w:val="baseline"/>
        </w:rPr>
        <w:t>of</w:t>
      </w:r>
      <w:r>
        <w:rPr>
          <w:spacing w:val="-7"/>
          <w:sz w:val="18"/>
          <w:vertAlign w:val="baseline"/>
        </w:rPr>
        <w:t> </w:t>
      </w:r>
      <w:r>
        <w:rPr>
          <w:sz w:val="18"/>
          <w:vertAlign w:val="baseline"/>
        </w:rPr>
        <w:t>Session 2019–21 (European Union Committee, 2021) at para 74.</w:t>
      </w:r>
    </w:p>
    <w:p>
      <w:pPr>
        <w:pStyle w:val="ListParagraph"/>
        <w:numPr>
          <w:ilvl w:val="0"/>
          <w:numId w:val="11"/>
        </w:numPr>
        <w:tabs>
          <w:tab w:pos="1853" w:val="left" w:leader="none"/>
        </w:tabs>
        <w:spacing w:line="235" w:lineRule="auto" w:before="1" w:after="0"/>
        <w:ind w:left="1853" w:right="1390" w:hanging="720"/>
        <w:jc w:val="left"/>
        <w:rPr>
          <w:sz w:val="18"/>
        </w:rPr>
      </w:pPr>
      <w:r>
        <w:rPr>
          <w:sz w:val="18"/>
        </w:rPr>
        <w:t>Home</w:t>
      </w:r>
      <w:r>
        <w:rPr>
          <w:spacing w:val="-7"/>
          <w:sz w:val="18"/>
        </w:rPr>
        <w:t> </w:t>
      </w:r>
      <w:r>
        <w:rPr>
          <w:sz w:val="18"/>
        </w:rPr>
        <w:t>Office,</w:t>
      </w:r>
      <w:r>
        <w:rPr>
          <w:spacing w:val="-7"/>
          <w:sz w:val="18"/>
        </w:rPr>
        <w:t> </w:t>
      </w:r>
      <w:r>
        <w:rPr>
          <w:sz w:val="18"/>
        </w:rPr>
        <w:t>’24</w:t>
      </w:r>
      <w:r>
        <w:rPr>
          <w:spacing w:val="-7"/>
          <w:sz w:val="18"/>
        </w:rPr>
        <w:t> </w:t>
      </w:r>
      <w:r>
        <w:rPr>
          <w:sz w:val="18"/>
        </w:rPr>
        <w:t>February</w:t>
      </w:r>
      <w:r>
        <w:rPr>
          <w:spacing w:val="-7"/>
          <w:sz w:val="18"/>
        </w:rPr>
        <w:t> </w:t>
      </w:r>
      <w:r>
        <w:rPr>
          <w:sz w:val="18"/>
        </w:rPr>
        <w:t>2023:</w:t>
      </w:r>
      <w:r>
        <w:rPr>
          <w:spacing w:val="-7"/>
          <w:sz w:val="18"/>
        </w:rPr>
        <w:t> </w:t>
      </w:r>
      <w:r>
        <w:rPr>
          <w:sz w:val="18"/>
        </w:rPr>
        <w:t>International</w:t>
      </w:r>
      <w:r>
        <w:rPr>
          <w:spacing w:val="-8"/>
          <w:sz w:val="18"/>
        </w:rPr>
        <w:t> </w:t>
      </w:r>
      <w:r>
        <w:rPr>
          <w:sz w:val="18"/>
        </w:rPr>
        <w:t>Law</w:t>
      </w:r>
      <w:r>
        <w:rPr>
          <w:spacing w:val="-7"/>
          <w:sz w:val="18"/>
        </w:rPr>
        <w:t> </w:t>
      </w:r>
      <w:r>
        <w:rPr>
          <w:sz w:val="18"/>
        </w:rPr>
        <w:t>Enforcement</w:t>
      </w:r>
      <w:r>
        <w:rPr>
          <w:spacing w:val="-7"/>
          <w:sz w:val="18"/>
        </w:rPr>
        <w:t> </w:t>
      </w:r>
      <w:r>
        <w:rPr>
          <w:sz w:val="18"/>
        </w:rPr>
        <w:t>Alerts</w:t>
      </w:r>
      <w:r>
        <w:rPr>
          <w:spacing w:val="-8"/>
          <w:sz w:val="18"/>
        </w:rPr>
        <w:t> </w:t>
      </w:r>
      <w:r>
        <w:rPr>
          <w:sz w:val="18"/>
        </w:rPr>
        <w:t>Platform</w:t>
      </w:r>
      <w:r>
        <w:rPr>
          <w:spacing w:val="-7"/>
          <w:sz w:val="18"/>
        </w:rPr>
        <w:t> </w:t>
      </w:r>
      <w:r>
        <w:rPr>
          <w:sz w:val="18"/>
        </w:rPr>
        <w:t>(I-LEAP)</w:t>
      </w:r>
      <w:r>
        <w:rPr>
          <w:spacing w:val="-8"/>
          <w:sz w:val="18"/>
        </w:rPr>
        <w:t> </w:t>
      </w:r>
      <w:r>
        <w:rPr>
          <w:sz w:val="18"/>
        </w:rPr>
        <w:t>Programme</w:t>
      </w:r>
      <w:r>
        <w:rPr>
          <w:spacing w:val="-7"/>
          <w:sz w:val="18"/>
        </w:rPr>
        <w:t> </w:t>
      </w:r>
      <w:r>
        <w:rPr>
          <w:sz w:val="18"/>
        </w:rPr>
        <w:t>accounting</w:t>
      </w:r>
      <w:r>
        <w:rPr>
          <w:spacing w:val="-7"/>
          <w:sz w:val="18"/>
        </w:rPr>
        <w:t> </w:t>
      </w:r>
      <w:r>
        <w:rPr>
          <w:sz w:val="18"/>
        </w:rPr>
        <w:t>officer assessment’ (HO, 2023)</w:t>
      </w:r>
    </w:p>
    <w:p>
      <w:pPr>
        <w:pStyle w:val="ListParagraph"/>
        <w:numPr>
          <w:ilvl w:val="0"/>
          <w:numId w:val="11"/>
        </w:numPr>
        <w:tabs>
          <w:tab w:pos="1853" w:val="left" w:leader="none"/>
        </w:tabs>
        <w:spacing w:line="235" w:lineRule="auto" w:before="1" w:after="0"/>
        <w:ind w:left="1853" w:right="1168" w:hanging="720"/>
        <w:jc w:val="left"/>
        <w:rPr>
          <w:sz w:val="18"/>
        </w:rPr>
      </w:pPr>
      <w:r>
        <w:rPr>
          <w:sz w:val="18"/>
        </w:rPr>
        <w:t>NI Human</w:t>
      </w:r>
      <w:r>
        <w:rPr>
          <w:spacing w:val="-1"/>
          <w:sz w:val="18"/>
        </w:rPr>
        <w:t> </w:t>
      </w:r>
      <w:r>
        <w:rPr>
          <w:sz w:val="18"/>
        </w:rPr>
        <w:t>Rights</w:t>
      </w:r>
      <w:r>
        <w:rPr>
          <w:spacing w:val="-1"/>
          <w:sz w:val="18"/>
        </w:rPr>
        <w:t> </w:t>
      </w:r>
      <w:r>
        <w:rPr>
          <w:sz w:val="18"/>
        </w:rPr>
        <w:t>Commission, ‘NIHRC</w:t>
      </w:r>
      <w:r>
        <w:rPr>
          <w:spacing w:val="-1"/>
          <w:sz w:val="18"/>
        </w:rPr>
        <w:t> </w:t>
      </w:r>
      <w:r>
        <w:rPr>
          <w:sz w:val="18"/>
        </w:rPr>
        <w:t>Briefing on</w:t>
      </w:r>
      <w:r>
        <w:rPr>
          <w:spacing w:val="-1"/>
          <w:sz w:val="18"/>
        </w:rPr>
        <w:t> </w:t>
      </w:r>
      <w:r>
        <w:rPr>
          <w:sz w:val="18"/>
        </w:rPr>
        <w:t>the Data</w:t>
      </w:r>
      <w:r>
        <w:rPr>
          <w:spacing w:val="-1"/>
          <w:sz w:val="18"/>
        </w:rPr>
        <w:t> </w:t>
      </w:r>
      <w:r>
        <w:rPr>
          <w:sz w:val="18"/>
        </w:rPr>
        <w:t>Protection</w:t>
      </w:r>
      <w:r>
        <w:rPr>
          <w:spacing w:val="-1"/>
          <w:sz w:val="18"/>
        </w:rPr>
        <w:t> </w:t>
      </w:r>
      <w:r>
        <w:rPr>
          <w:sz w:val="18"/>
        </w:rPr>
        <w:t>and</w:t>
      </w:r>
      <w:r>
        <w:rPr>
          <w:spacing w:val="-1"/>
          <w:sz w:val="18"/>
        </w:rPr>
        <w:t> </w:t>
      </w:r>
      <w:r>
        <w:rPr>
          <w:sz w:val="18"/>
        </w:rPr>
        <w:t>Digital</w:t>
      </w:r>
      <w:r>
        <w:rPr>
          <w:spacing w:val="-1"/>
          <w:sz w:val="18"/>
        </w:rPr>
        <w:t> </w:t>
      </w:r>
      <w:r>
        <w:rPr>
          <w:sz w:val="18"/>
        </w:rPr>
        <w:t>Information</w:t>
      </w:r>
      <w:r>
        <w:rPr>
          <w:spacing w:val="-1"/>
          <w:sz w:val="18"/>
        </w:rPr>
        <w:t> </w:t>
      </w:r>
      <w:r>
        <w:rPr>
          <w:sz w:val="18"/>
        </w:rPr>
        <w:t>Bill’ (NIHRC, 2024); Equality Commission for NI, ‘Submission on the Data Protection and Digital Information Bill’ (ECNI, 2024).</w:t>
      </w:r>
      <w:r>
        <w:rPr>
          <w:spacing w:val="40"/>
          <w:sz w:val="18"/>
        </w:rPr>
        <w:t> </w:t>
      </w:r>
      <w:r>
        <w:rPr>
          <w:sz w:val="18"/>
        </w:rPr>
        <w:t>Relevant EU law includes, EU GDPR (Regulation</w:t>
      </w:r>
      <w:r>
        <w:rPr>
          <w:spacing w:val="-1"/>
          <w:sz w:val="18"/>
        </w:rPr>
        <w:t> </w:t>
      </w:r>
      <w:r>
        <w:rPr>
          <w:sz w:val="18"/>
        </w:rPr>
        <w:t>2016/679/EU, ‘EU Parliament and</w:t>
      </w:r>
      <w:r>
        <w:rPr>
          <w:spacing w:val="-1"/>
          <w:sz w:val="18"/>
        </w:rPr>
        <w:t> </w:t>
      </w:r>
      <w:r>
        <w:rPr>
          <w:sz w:val="18"/>
        </w:rPr>
        <w:t>Council</w:t>
      </w:r>
      <w:r>
        <w:rPr>
          <w:spacing w:val="-1"/>
          <w:sz w:val="18"/>
        </w:rPr>
        <w:t> </w:t>
      </w:r>
      <w:r>
        <w:rPr>
          <w:sz w:val="18"/>
        </w:rPr>
        <w:t>Regulation</w:t>
      </w:r>
      <w:r>
        <w:rPr>
          <w:spacing w:val="-1"/>
          <w:sz w:val="18"/>
        </w:rPr>
        <w:t> </w:t>
      </w:r>
      <w:r>
        <w:rPr>
          <w:sz w:val="18"/>
        </w:rPr>
        <w:t>on</w:t>
      </w:r>
      <w:r>
        <w:rPr>
          <w:spacing w:val="-1"/>
          <w:sz w:val="18"/>
        </w:rPr>
        <w:t> </w:t>
      </w:r>
      <w:r>
        <w:rPr>
          <w:sz w:val="18"/>
        </w:rPr>
        <w:t>the protection</w:t>
      </w:r>
      <w:r>
        <w:rPr>
          <w:spacing w:val="-1"/>
          <w:sz w:val="18"/>
        </w:rPr>
        <w:t> </w:t>
      </w:r>
      <w:r>
        <w:rPr>
          <w:sz w:val="18"/>
        </w:rPr>
        <w:t>of</w:t>
      </w:r>
      <w:r>
        <w:rPr>
          <w:spacing w:val="-1"/>
          <w:sz w:val="18"/>
        </w:rPr>
        <w:t> </w:t>
      </w:r>
      <w:r>
        <w:rPr>
          <w:sz w:val="18"/>
        </w:rPr>
        <w:t>natural</w:t>
      </w:r>
      <w:r>
        <w:rPr>
          <w:spacing w:val="-1"/>
          <w:sz w:val="18"/>
        </w:rPr>
        <w:t> </w:t>
      </w:r>
      <w:r>
        <w:rPr>
          <w:sz w:val="18"/>
        </w:rPr>
        <w:t>persons with</w:t>
      </w:r>
      <w:r>
        <w:rPr>
          <w:spacing w:val="-6"/>
          <w:sz w:val="18"/>
        </w:rPr>
        <w:t> </w:t>
      </w:r>
      <w:r>
        <w:rPr>
          <w:sz w:val="18"/>
        </w:rPr>
        <w:t>regard</w:t>
      </w:r>
      <w:r>
        <w:rPr>
          <w:spacing w:val="-6"/>
          <w:sz w:val="18"/>
        </w:rPr>
        <w:t> </w:t>
      </w:r>
      <w:r>
        <w:rPr>
          <w:sz w:val="18"/>
        </w:rPr>
        <w:t>to</w:t>
      </w:r>
      <w:r>
        <w:rPr>
          <w:spacing w:val="-6"/>
          <w:sz w:val="18"/>
        </w:rPr>
        <w:t> </w:t>
      </w:r>
      <w:r>
        <w:rPr>
          <w:sz w:val="18"/>
        </w:rPr>
        <w:t>the</w:t>
      </w:r>
      <w:r>
        <w:rPr>
          <w:spacing w:val="-6"/>
          <w:sz w:val="18"/>
        </w:rPr>
        <w:t> </w:t>
      </w:r>
      <w:r>
        <w:rPr>
          <w:sz w:val="18"/>
        </w:rPr>
        <w:t>processing</w:t>
      </w:r>
      <w:r>
        <w:rPr>
          <w:spacing w:val="-6"/>
          <w:sz w:val="18"/>
        </w:rPr>
        <w:t> </w:t>
      </w:r>
      <w:r>
        <w:rPr>
          <w:sz w:val="18"/>
        </w:rPr>
        <w:t>of</w:t>
      </w:r>
      <w:r>
        <w:rPr>
          <w:spacing w:val="-6"/>
          <w:sz w:val="18"/>
        </w:rPr>
        <w:t> </w:t>
      </w:r>
      <w:r>
        <w:rPr>
          <w:sz w:val="18"/>
        </w:rPr>
        <w:t>personal</w:t>
      </w:r>
      <w:r>
        <w:rPr>
          <w:spacing w:val="-6"/>
          <w:sz w:val="18"/>
        </w:rPr>
        <w:t> </w:t>
      </w:r>
      <w:r>
        <w:rPr>
          <w:sz w:val="18"/>
        </w:rPr>
        <w:t>data</w:t>
      </w:r>
      <w:r>
        <w:rPr>
          <w:spacing w:val="-6"/>
          <w:sz w:val="18"/>
        </w:rPr>
        <w:t> </w:t>
      </w:r>
      <w:r>
        <w:rPr>
          <w:sz w:val="18"/>
        </w:rPr>
        <w:t>and</w:t>
      </w:r>
      <w:r>
        <w:rPr>
          <w:spacing w:val="-6"/>
          <w:sz w:val="18"/>
        </w:rPr>
        <w:t> </w:t>
      </w:r>
      <w:r>
        <w:rPr>
          <w:sz w:val="18"/>
        </w:rPr>
        <w:t>on</w:t>
      </w:r>
      <w:r>
        <w:rPr>
          <w:spacing w:val="-6"/>
          <w:sz w:val="18"/>
        </w:rPr>
        <w:t> </w:t>
      </w:r>
      <w:r>
        <w:rPr>
          <w:sz w:val="18"/>
        </w:rPr>
        <w:t>the</w:t>
      </w:r>
      <w:r>
        <w:rPr>
          <w:spacing w:val="-6"/>
          <w:sz w:val="18"/>
        </w:rPr>
        <w:t> </w:t>
      </w:r>
      <w:r>
        <w:rPr>
          <w:sz w:val="18"/>
        </w:rPr>
        <w:t>free</w:t>
      </w:r>
      <w:r>
        <w:rPr>
          <w:spacing w:val="-6"/>
          <w:sz w:val="18"/>
        </w:rPr>
        <w:t> </w:t>
      </w:r>
      <w:r>
        <w:rPr>
          <w:sz w:val="18"/>
        </w:rPr>
        <w:t>movement</w:t>
      </w:r>
      <w:r>
        <w:rPr>
          <w:spacing w:val="-6"/>
          <w:sz w:val="18"/>
        </w:rPr>
        <w:t> </w:t>
      </w:r>
      <w:r>
        <w:rPr>
          <w:sz w:val="18"/>
        </w:rPr>
        <w:t>of</w:t>
      </w:r>
      <w:r>
        <w:rPr>
          <w:spacing w:val="-6"/>
          <w:sz w:val="18"/>
        </w:rPr>
        <w:t> </w:t>
      </w:r>
      <w:r>
        <w:rPr>
          <w:sz w:val="18"/>
        </w:rPr>
        <w:t>such</w:t>
      </w:r>
      <w:r>
        <w:rPr>
          <w:spacing w:val="-6"/>
          <w:sz w:val="18"/>
        </w:rPr>
        <w:t> </w:t>
      </w:r>
      <w:r>
        <w:rPr>
          <w:sz w:val="18"/>
        </w:rPr>
        <w:t>data’,</w:t>
      </w:r>
      <w:r>
        <w:rPr>
          <w:spacing w:val="-6"/>
          <w:sz w:val="18"/>
        </w:rPr>
        <w:t> </w:t>
      </w:r>
      <w:r>
        <w:rPr>
          <w:sz w:val="18"/>
        </w:rPr>
        <w:t>27</w:t>
      </w:r>
      <w:r>
        <w:rPr>
          <w:spacing w:val="-6"/>
          <w:sz w:val="18"/>
        </w:rPr>
        <w:t> </w:t>
      </w:r>
      <w:r>
        <w:rPr>
          <w:sz w:val="18"/>
        </w:rPr>
        <w:t>April</w:t>
      </w:r>
      <w:r>
        <w:rPr>
          <w:spacing w:val="-6"/>
          <w:sz w:val="18"/>
        </w:rPr>
        <w:t> </w:t>
      </w:r>
      <w:r>
        <w:rPr>
          <w:sz w:val="18"/>
        </w:rPr>
        <w:t>2016);</w:t>
      </w:r>
      <w:r>
        <w:rPr>
          <w:spacing w:val="-6"/>
          <w:sz w:val="18"/>
        </w:rPr>
        <w:t> </w:t>
      </w:r>
      <w:r>
        <w:rPr>
          <w:sz w:val="18"/>
        </w:rPr>
        <w:t>EU</w:t>
      </w:r>
      <w:r>
        <w:rPr>
          <w:spacing w:val="-6"/>
          <w:sz w:val="18"/>
        </w:rPr>
        <w:t> </w:t>
      </w:r>
      <w:r>
        <w:rPr>
          <w:sz w:val="18"/>
        </w:rPr>
        <w:t>Data</w:t>
      </w:r>
      <w:r>
        <w:rPr>
          <w:spacing w:val="-6"/>
          <w:sz w:val="18"/>
        </w:rPr>
        <w:t> </w:t>
      </w:r>
      <w:r>
        <w:rPr>
          <w:sz w:val="18"/>
        </w:rPr>
        <w:t>Protection Law Enforcement (Directive 2016/680/EU, ‘EU Parliament and Council Regulation on the protection of natural persons with</w:t>
      </w:r>
      <w:r>
        <w:rPr>
          <w:spacing w:val="-5"/>
          <w:sz w:val="18"/>
        </w:rPr>
        <w:t> </w:t>
      </w:r>
      <w:r>
        <w:rPr>
          <w:sz w:val="18"/>
        </w:rPr>
        <w:t>regard</w:t>
      </w:r>
      <w:r>
        <w:rPr>
          <w:spacing w:val="-5"/>
          <w:sz w:val="18"/>
        </w:rPr>
        <w:t> </w:t>
      </w:r>
      <w:r>
        <w:rPr>
          <w:sz w:val="18"/>
        </w:rPr>
        <w:t>to</w:t>
      </w:r>
      <w:r>
        <w:rPr>
          <w:spacing w:val="-5"/>
          <w:sz w:val="18"/>
        </w:rPr>
        <w:t> </w:t>
      </w:r>
      <w:r>
        <w:rPr>
          <w:sz w:val="18"/>
        </w:rPr>
        <w:t>the</w:t>
      </w:r>
      <w:r>
        <w:rPr>
          <w:spacing w:val="-4"/>
          <w:sz w:val="18"/>
        </w:rPr>
        <w:t> </w:t>
      </w:r>
      <w:r>
        <w:rPr>
          <w:sz w:val="18"/>
        </w:rPr>
        <w:t>processing</w:t>
      </w:r>
      <w:r>
        <w:rPr>
          <w:spacing w:val="-4"/>
          <w:sz w:val="18"/>
        </w:rPr>
        <w:t> </w:t>
      </w:r>
      <w:r>
        <w:rPr>
          <w:sz w:val="18"/>
        </w:rPr>
        <w:t>of</w:t>
      </w:r>
      <w:r>
        <w:rPr>
          <w:spacing w:val="-5"/>
          <w:sz w:val="18"/>
        </w:rPr>
        <w:t> </w:t>
      </w:r>
      <w:r>
        <w:rPr>
          <w:sz w:val="18"/>
        </w:rPr>
        <w:t>personal</w:t>
      </w:r>
      <w:r>
        <w:rPr>
          <w:spacing w:val="-5"/>
          <w:sz w:val="18"/>
        </w:rPr>
        <w:t> </w:t>
      </w:r>
      <w:r>
        <w:rPr>
          <w:sz w:val="18"/>
        </w:rPr>
        <w:t>data</w:t>
      </w:r>
      <w:r>
        <w:rPr>
          <w:spacing w:val="-5"/>
          <w:sz w:val="18"/>
        </w:rPr>
        <w:t> </w:t>
      </w:r>
      <w:r>
        <w:rPr>
          <w:sz w:val="18"/>
        </w:rPr>
        <w:t>by</w:t>
      </w:r>
      <w:r>
        <w:rPr>
          <w:spacing w:val="-4"/>
          <w:sz w:val="18"/>
        </w:rPr>
        <w:t> </w:t>
      </w:r>
      <w:r>
        <w:rPr>
          <w:sz w:val="18"/>
        </w:rPr>
        <w:t>competent</w:t>
      </w:r>
      <w:r>
        <w:rPr>
          <w:spacing w:val="-4"/>
          <w:sz w:val="18"/>
        </w:rPr>
        <w:t> </w:t>
      </w:r>
      <w:r>
        <w:rPr>
          <w:sz w:val="18"/>
        </w:rPr>
        <w:t>authorities</w:t>
      </w:r>
      <w:r>
        <w:rPr>
          <w:spacing w:val="-5"/>
          <w:sz w:val="18"/>
        </w:rPr>
        <w:t> </w:t>
      </w:r>
      <w:r>
        <w:rPr>
          <w:sz w:val="18"/>
        </w:rPr>
        <w:t>for</w:t>
      </w:r>
      <w:r>
        <w:rPr>
          <w:spacing w:val="-4"/>
          <w:sz w:val="18"/>
        </w:rPr>
        <w:t> </w:t>
      </w:r>
      <w:r>
        <w:rPr>
          <w:sz w:val="18"/>
        </w:rPr>
        <w:t>the</w:t>
      </w:r>
      <w:r>
        <w:rPr>
          <w:spacing w:val="-4"/>
          <w:sz w:val="18"/>
        </w:rPr>
        <w:t> </w:t>
      </w:r>
      <w:r>
        <w:rPr>
          <w:sz w:val="18"/>
        </w:rPr>
        <w:t>purposes</w:t>
      </w:r>
      <w:r>
        <w:rPr>
          <w:spacing w:val="-5"/>
          <w:sz w:val="18"/>
        </w:rPr>
        <w:t> </w:t>
      </w:r>
      <w:r>
        <w:rPr>
          <w:sz w:val="18"/>
        </w:rPr>
        <w:t>of</w:t>
      </w:r>
      <w:r>
        <w:rPr>
          <w:spacing w:val="-5"/>
          <w:sz w:val="18"/>
        </w:rPr>
        <w:t> </w:t>
      </w:r>
      <w:r>
        <w:rPr>
          <w:sz w:val="18"/>
        </w:rPr>
        <w:t>the</w:t>
      </w:r>
      <w:r>
        <w:rPr>
          <w:spacing w:val="-4"/>
          <w:sz w:val="18"/>
        </w:rPr>
        <w:t> </w:t>
      </w:r>
      <w:r>
        <w:rPr>
          <w:sz w:val="18"/>
        </w:rPr>
        <w:t>prevention,</w:t>
      </w:r>
      <w:r>
        <w:rPr>
          <w:spacing w:val="-4"/>
          <w:sz w:val="18"/>
        </w:rPr>
        <w:t> </w:t>
      </w:r>
      <w:r>
        <w:rPr>
          <w:sz w:val="18"/>
        </w:rPr>
        <w:t>investigation, detection or prosecution of criminal offences or the execution of criminal penalties, and on the free movement of such data’, 27 April 2016); EU E-Privacy Directive (</w:t>
      </w:r>
      <w:hyperlink r:id="rId198">
        <w:r>
          <w:rPr>
            <w:sz w:val="18"/>
          </w:rPr>
          <w:t>Directive 2009/136/EC</w:t>
        </w:r>
      </w:hyperlink>
      <w:r>
        <w:rPr>
          <w:sz w:val="18"/>
        </w:rPr>
        <w:t>, ‘EU Parliament and Council Directive amending Directive 2002/22/EC on universal service and users’ rights relating to electronic communications networks and services, Directive 2002/58/EC concerning the processing of personal data and the protection of privacy in the electronic communications sector and Regulation (EC) 2006/2004 on cooperation between national authorities responsible</w:t>
      </w:r>
    </w:p>
    <w:p>
      <w:pPr>
        <w:spacing w:line="235" w:lineRule="auto" w:before="8"/>
        <w:ind w:left="1853" w:right="1438" w:firstLine="0"/>
        <w:jc w:val="left"/>
        <w:rPr>
          <w:sz w:val="18"/>
        </w:rPr>
      </w:pPr>
      <w:r>
        <w:rPr>
          <w:sz w:val="18"/>
        </w:rPr>
        <w:t>for the enforcement of consumer protection laws’, 25 November 2009); and rules regarding the processing of personal</w:t>
      </w:r>
      <w:r>
        <w:rPr>
          <w:spacing w:val="-5"/>
          <w:sz w:val="18"/>
        </w:rPr>
        <w:t> </w:t>
      </w:r>
      <w:r>
        <w:rPr>
          <w:sz w:val="18"/>
        </w:rPr>
        <w:t>data</w:t>
      </w:r>
      <w:r>
        <w:rPr>
          <w:spacing w:val="-5"/>
          <w:sz w:val="18"/>
        </w:rPr>
        <w:t> </w:t>
      </w:r>
      <w:r>
        <w:rPr>
          <w:sz w:val="18"/>
        </w:rPr>
        <w:t>by</w:t>
      </w:r>
      <w:r>
        <w:rPr>
          <w:spacing w:val="-4"/>
          <w:sz w:val="18"/>
        </w:rPr>
        <w:t> </w:t>
      </w:r>
      <w:r>
        <w:rPr>
          <w:sz w:val="18"/>
        </w:rPr>
        <w:t>EU</w:t>
      </w:r>
      <w:r>
        <w:rPr>
          <w:spacing w:val="-4"/>
          <w:sz w:val="18"/>
        </w:rPr>
        <w:t> </w:t>
      </w:r>
      <w:r>
        <w:rPr>
          <w:sz w:val="18"/>
        </w:rPr>
        <w:t>bodies</w:t>
      </w:r>
      <w:r>
        <w:rPr>
          <w:spacing w:val="-5"/>
          <w:sz w:val="18"/>
        </w:rPr>
        <w:t> </w:t>
      </w:r>
      <w:r>
        <w:rPr>
          <w:sz w:val="18"/>
        </w:rPr>
        <w:t>and</w:t>
      </w:r>
      <w:r>
        <w:rPr>
          <w:spacing w:val="-5"/>
          <w:sz w:val="18"/>
        </w:rPr>
        <w:t> </w:t>
      </w:r>
      <w:r>
        <w:rPr>
          <w:sz w:val="18"/>
        </w:rPr>
        <w:t>institutions</w:t>
      </w:r>
      <w:r>
        <w:rPr>
          <w:spacing w:val="-5"/>
          <w:sz w:val="18"/>
        </w:rPr>
        <w:t> </w:t>
      </w:r>
      <w:r>
        <w:rPr>
          <w:sz w:val="18"/>
        </w:rPr>
        <w:t>(Regulation</w:t>
      </w:r>
      <w:r>
        <w:rPr>
          <w:spacing w:val="-5"/>
          <w:sz w:val="18"/>
        </w:rPr>
        <w:t> </w:t>
      </w:r>
      <w:r>
        <w:rPr>
          <w:sz w:val="18"/>
        </w:rPr>
        <w:t>2018/1725/EU,</w:t>
      </w:r>
      <w:r>
        <w:rPr>
          <w:spacing w:val="-4"/>
          <w:sz w:val="18"/>
        </w:rPr>
        <w:t> </w:t>
      </w:r>
      <w:r>
        <w:rPr>
          <w:sz w:val="18"/>
        </w:rPr>
        <w:t>‘EU</w:t>
      </w:r>
      <w:r>
        <w:rPr>
          <w:spacing w:val="-4"/>
          <w:sz w:val="18"/>
        </w:rPr>
        <w:t> </w:t>
      </w:r>
      <w:r>
        <w:rPr>
          <w:sz w:val="18"/>
        </w:rPr>
        <w:t>Parliament</w:t>
      </w:r>
      <w:r>
        <w:rPr>
          <w:spacing w:val="-4"/>
          <w:sz w:val="18"/>
        </w:rPr>
        <w:t> </w:t>
      </w:r>
      <w:r>
        <w:rPr>
          <w:sz w:val="18"/>
        </w:rPr>
        <w:t>and</w:t>
      </w:r>
      <w:r>
        <w:rPr>
          <w:spacing w:val="-5"/>
          <w:sz w:val="18"/>
        </w:rPr>
        <w:t> </w:t>
      </w:r>
      <w:r>
        <w:rPr>
          <w:sz w:val="18"/>
        </w:rPr>
        <w:t>Council</w:t>
      </w:r>
      <w:r>
        <w:rPr>
          <w:spacing w:val="-5"/>
          <w:sz w:val="18"/>
        </w:rPr>
        <w:t> </w:t>
      </w:r>
      <w:r>
        <w:rPr>
          <w:sz w:val="18"/>
        </w:rPr>
        <w:t>Regulation</w:t>
      </w:r>
      <w:r>
        <w:rPr>
          <w:spacing w:val="-5"/>
          <w:sz w:val="18"/>
        </w:rPr>
        <w:t> </w:t>
      </w:r>
      <w:r>
        <w:rPr>
          <w:sz w:val="18"/>
        </w:rPr>
        <w:t>on</w:t>
      </w:r>
      <w:r>
        <w:rPr>
          <w:spacing w:val="-5"/>
          <w:sz w:val="18"/>
        </w:rPr>
        <w:t> </w:t>
      </w:r>
      <w:r>
        <w:rPr>
          <w:sz w:val="18"/>
        </w:rPr>
        <w:t>the</w:t>
      </w:r>
    </w:p>
    <w:p>
      <w:pPr>
        <w:spacing w:line="235" w:lineRule="auto" w:before="1"/>
        <w:ind w:left="1853" w:right="1224" w:firstLine="0"/>
        <w:jc w:val="both"/>
        <w:rPr>
          <w:sz w:val="18"/>
        </w:rPr>
      </w:pPr>
      <w:r>
        <w:rPr>
          <w:sz w:val="18"/>
        </w:rPr>
        <w:t>protection</w:t>
      </w:r>
      <w:r>
        <w:rPr>
          <w:spacing w:val="-5"/>
          <w:sz w:val="18"/>
        </w:rPr>
        <w:t> </w:t>
      </w:r>
      <w:r>
        <w:rPr>
          <w:sz w:val="18"/>
        </w:rPr>
        <w:t>of</w:t>
      </w:r>
      <w:r>
        <w:rPr>
          <w:spacing w:val="-5"/>
          <w:sz w:val="18"/>
        </w:rPr>
        <w:t> </w:t>
      </w:r>
      <w:r>
        <w:rPr>
          <w:sz w:val="18"/>
        </w:rPr>
        <w:t>natural</w:t>
      </w:r>
      <w:r>
        <w:rPr>
          <w:spacing w:val="-5"/>
          <w:sz w:val="18"/>
        </w:rPr>
        <w:t> </w:t>
      </w:r>
      <w:r>
        <w:rPr>
          <w:sz w:val="18"/>
        </w:rPr>
        <w:t>persons</w:t>
      </w:r>
      <w:r>
        <w:rPr>
          <w:spacing w:val="-5"/>
          <w:sz w:val="18"/>
        </w:rPr>
        <w:t> </w:t>
      </w:r>
      <w:r>
        <w:rPr>
          <w:sz w:val="18"/>
        </w:rPr>
        <w:t>with</w:t>
      </w:r>
      <w:r>
        <w:rPr>
          <w:spacing w:val="-5"/>
          <w:sz w:val="18"/>
        </w:rPr>
        <w:t> </w:t>
      </w:r>
      <w:r>
        <w:rPr>
          <w:sz w:val="18"/>
        </w:rPr>
        <w:t>regard</w:t>
      </w:r>
      <w:r>
        <w:rPr>
          <w:spacing w:val="-5"/>
          <w:sz w:val="18"/>
        </w:rPr>
        <w:t> </w:t>
      </w:r>
      <w:r>
        <w:rPr>
          <w:sz w:val="18"/>
        </w:rPr>
        <w:t>to</w:t>
      </w:r>
      <w:r>
        <w:rPr>
          <w:spacing w:val="-5"/>
          <w:sz w:val="18"/>
        </w:rPr>
        <w:t> </w:t>
      </w:r>
      <w:r>
        <w:rPr>
          <w:sz w:val="18"/>
        </w:rPr>
        <w:t>the</w:t>
      </w:r>
      <w:r>
        <w:rPr>
          <w:spacing w:val="-4"/>
          <w:sz w:val="18"/>
        </w:rPr>
        <w:t> </w:t>
      </w:r>
      <w:r>
        <w:rPr>
          <w:sz w:val="18"/>
        </w:rPr>
        <w:t>processing</w:t>
      </w:r>
      <w:r>
        <w:rPr>
          <w:spacing w:val="-4"/>
          <w:sz w:val="18"/>
        </w:rPr>
        <w:t> </w:t>
      </w:r>
      <w:r>
        <w:rPr>
          <w:sz w:val="18"/>
        </w:rPr>
        <w:t>of</w:t>
      </w:r>
      <w:r>
        <w:rPr>
          <w:spacing w:val="-5"/>
          <w:sz w:val="18"/>
        </w:rPr>
        <w:t> </w:t>
      </w:r>
      <w:r>
        <w:rPr>
          <w:sz w:val="18"/>
        </w:rPr>
        <w:t>personal</w:t>
      </w:r>
      <w:r>
        <w:rPr>
          <w:spacing w:val="-5"/>
          <w:sz w:val="18"/>
        </w:rPr>
        <w:t> </w:t>
      </w:r>
      <w:r>
        <w:rPr>
          <w:sz w:val="18"/>
        </w:rPr>
        <w:t>data</w:t>
      </w:r>
      <w:r>
        <w:rPr>
          <w:spacing w:val="-5"/>
          <w:sz w:val="18"/>
        </w:rPr>
        <w:t> </w:t>
      </w:r>
      <w:r>
        <w:rPr>
          <w:sz w:val="18"/>
        </w:rPr>
        <w:t>by</w:t>
      </w:r>
      <w:r>
        <w:rPr>
          <w:spacing w:val="-4"/>
          <w:sz w:val="18"/>
        </w:rPr>
        <w:t> </w:t>
      </w:r>
      <w:r>
        <w:rPr>
          <w:sz w:val="18"/>
        </w:rPr>
        <w:t>the</w:t>
      </w:r>
      <w:r>
        <w:rPr>
          <w:spacing w:val="-4"/>
          <w:sz w:val="18"/>
        </w:rPr>
        <w:t> </w:t>
      </w:r>
      <w:r>
        <w:rPr>
          <w:sz w:val="18"/>
        </w:rPr>
        <w:t>Union</w:t>
      </w:r>
      <w:r>
        <w:rPr>
          <w:spacing w:val="-5"/>
          <w:sz w:val="18"/>
        </w:rPr>
        <w:t> </w:t>
      </w:r>
      <w:r>
        <w:rPr>
          <w:sz w:val="18"/>
        </w:rPr>
        <w:t>institutions,</w:t>
      </w:r>
      <w:r>
        <w:rPr>
          <w:spacing w:val="-4"/>
          <w:sz w:val="18"/>
        </w:rPr>
        <w:t> </w:t>
      </w:r>
      <w:r>
        <w:rPr>
          <w:sz w:val="18"/>
        </w:rPr>
        <w:t>bodies,</w:t>
      </w:r>
      <w:r>
        <w:rPr>
          <w:spacing w:val="-4"/>
          <w:sz w:val="18"/>
        </w:rPr>
        <w:t> </w:t>
      </w:r>
      <w:r>
        <w:rPr>
          <w:sz w:val="18"/>
        </w:rPr>
        <w:t>offices</w:t>
      </w:r>
      <w:r>
        <w:rPr>
          <w:spacing w:val="-5"/>
          <w:sz w:val="18"/>
        </w:rPr>
        <w:t> </w:t>
      </w:r>
      <w:r>
        <w:rPr>
          <w:sz w:val="18"/>
        </w:rPr>
        <w:t>and agencies</w:t>
      </w:r>
      <w:r>
        <w:rPr>
          <w:spacing w:val="-3"/>
          <w:sz w:val="18"/>
        </w:rPr>
        <w:t> </w:t>
      </w:r>
      <w:r>
        <w:rPr>
          <w:sz w:val="18"/>
        </w:rPr>
        <w:t>and</w:t>
      </w:r>
      <w:r>
        <w:rPr>
          <w:spacing w:val="-3"/>
          <w:sz w:val="18"/>
        </w:rPr>
        <w:t> </w:t>
      </w:r>
      <w:r>
        <w:rPr>
          <w:sz w:val="18"/>
        </w:rPr>
        <w:t>on</w:t>
      </w:r>
      <w:r>
        <w:rPr>
          <w:spacing w:val="-3"/>
          <w:sz w:val="18"/>
        </w:rPr>
        <w:t> </w:t>
      </w:r>
      <w:r>
        <w:rPr>
          <w:sz w:val="18"/>
        </w:rPr>
        <w:t>the</w:t>
      </w:r>
      <w:r>
        <w:rPr>
          <w:spacing w:val="-2"/>
          <w:sz w:val="18"/>
        </w:rPr>
        <w:t> </w:t>
      </w:r>
      <w:r>
        <w:rPr>
          <w:sz w:val="18"/>
        </w:rPr>
        <w:t>free</w:t>
      </w:r>
      <w:r>
        <w:rPr>
          <w:spacing w:val="-2"/>
          <w:sz w:val="18"/>
        </w:rPr>
        <w:t> </w:t>
      </w:r>
      <w:r>
        <w:rPr>
          <w:sz w:val="18"/>
        </w:rPr>
        <w:t>movement</w:t>
      </w:r>
      <w:r>
        <w:rPr>
          <w:spacing w:val="-2"/>
          <w:sz w:val="18"/>
        </w:rPr>
        <w:t> </w:t>
      </w:r>
      <w:r>
        <w:rPr>
          <w:sz w:val="18"/>
        </w:rPr>
        <w:t>of</w:t>
      </w:r>
      <w:r>
        <w:rPr>
          <w:spacing w:val="-3"/>
          <w:sz w:val="18"/>
        </w:rPr>
        <w:t> </w:t>
      </w:r>
      <w:r>
        <w:rPr>
          <w:sz w:val="18"/>
        </w:rPr>
        <w:t>such</w:t>
      </w:r>
      <w:r>
        <w:rPr>
          <w:spacing w:val="-3"/>
          <w:sz w:val="18"/>
        </w:rPr>
        <w:t> </w:t>
      </w:r>
      <w:r>
        <w:rPr>
          <w:sz w:val="18"/>
        </w:rPr>
        <w:t>data’,</w:t>
      </w:r>
      <w:r>
        <w:rPr>
          <w:spacing w:val="-2"/>
          <w:sz w:val="18"/>
        </w:rPr>
        <w:t> </w:t>
      </w:r>
      <w:r>
        <w:rPr>
          <w:sz w:val="18"/>
        </w:rPr>
        <w:t>23</w:t>
      </w:r>
      <w:r>
        <w:rPr>
          <w:spacing w:val="-2"/>
          <w:sz w:val="18"/>
        </w:rPr>
        <w:t> </w:t>
      </w:r>
      <w:r>
        <w:rPr>
          <w:sz w:val="18"/>
        </w:rPr>
        <w:t>October</w:t>
      </w:r>
      <w:r>
        <w:rPr>
          <w:spacing w:val="-2"/>
          <w:sz w:val="18"/>
        </w:rPr>
        <w:t> </w:t>
      </w:r>
      <w:r>
        <w:rPr>
          <w:sz w:val="18"/>
        </w:rPr>
        <w:t>2018).</w:t>
      </w:r>
      <w:r>
        <w:rPr>
          <w:spacing w:val="-3"/>
          <w:sz w:val="18"/>
        </w:rPr>
        <w:t> </w:t>
      </w:r>
      <w:r>
        <w:rPr>
          <w:sz w:val="18"/>
        </w:rPr>
        <w:t>Further</w:t>
      </w:r>
      <w:r>
        <w:rPr>
          <w:spacing w:val="-2"/>
          <w:sz w:val="18"/>
        </w:rPr>
        <w:t> </w:t>
      </w:r>
      <w:r>
        <w:rPr>
          <w:sz w:val="18"/>
        </w:rPr>
        <w:t>discussion</w:t>
      </w:r>
      <w:r>
        <w:rPr>
          <w:spacing w:val="-3"/>
          <w:sz w:val="18"/>
        </w:rPr>
        <w:t> </w:t>
      </w:r>
      <w:r>
        <w:rPr>
          <w:sz w:val="18"/>
        </w:rPr>
        <w:t>on</w:t>
      </w:r>
      <w:r>
        <w:rPr>
          <w:spacing w:val="-3"/>
          <w:sz w:val="18"/>
        </w:rPr>
        <w:t> </w:t>
      </w:r>
      <w:r>
        <w:rPr>
          <w:sz w:val="18"/>
        </w:rPr>
        <w:t>data</w:t>
      </w:r>
      <w:r>
        <w:rPr>
          <w:spacing w:val="-3"/>
          <w:sz w:val="18"/>
        </w:rPr>
        <w:t> </w:t>
      </w:r>
      <w:r>
        <w:rPr>
          <w:sz w:val="18"/>
        </w:rPr>
        <w:t>protection</w:t>
      </w:r>
      <w:r>
        <w:rPr>
          <w:spacing w:val="-3"/>
          <w:sz w:val="18"/>
        </w:rPr>
        <w:t> </w:t>
      </w:r>
      <w:r>
        <w:rPr>
          <w:sz w:val="18"/>
        </w:rPr>
        <w:t>is</w:t>
      </w:r>
      <w:r>
        <w:rPr>
          <w:spacing w:val="-3"/>
          <w:sz w:val="18"/>
        </w:rPr>
        <w:t> </w:t>
      </w:r>
      <w:r>
        <w:rPr>
          <w:sz w:val="18"/>
        </w:rPr>
        <w:t>available</w:t>
      </w:r>
      <w:r>
        <w:rPr>
          <w:spacing w:val="-2"/>
          <w:sz w:val="18"/>
        </w:rPr>
        <w:t> </w:t>
      </w:r>
      <w:r>
        <w:rPr>
          <w:sz w:val="18"/>
        </w:rPr>
        <w:t>in Chapter 3.</w:t>
      </w:r>
    </w:p>
    <w:p>
      <w:pPr>
        <w:pStyle w:val="ListParagraph"/>
        <w:numPr>
          <w:ilvl w:val="0"/>
          <w:numId w:val="11"/>
        </w:numPr>
        <w:tabs>
          <w:tab w:pos="1853" w:val="left" w:leader="none"/>
        </w:tabs>
        <w:spacing w:line="218" w:lineRule="exact" w:before="0" w:after="0"/>
        <w:ind w:left="1853" w:right="0" w:hanging="720"/>
        <w:jc w:val="both"/>
        <w:rPr>
          <w:sz w:val="18"/>
        </w:rPr>
      </w:pP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‘NIHRC</w:t>
      </w:r>
      <w:r>
        <w:rPr>
          <w:spacing w:val="-5"/>
          <w:sz w:val="18"/>
        </w:rPr>
        <w:t> </w:t>
      </w:r>
      <w:r>
        <w:rPr>
          <w:sz w:val="18"/>
        </w:rPr>
        <w:t>Briefing</w:t>
      </w:r>
      <w:r>
        <w:rPr>
          <w:spacing w:val="-4"/>
          <w:sz w:val="18"/>
        </w:rPr>
        <w:t> </w:t>
      </w:r>
      <w:r>
        <w:rPr>
          <w:sz w:val="18"/>
        </w:rPr>
        <w:t>on</w:t>
      </w:r>
      <w:r>
        <w:rPr>
          <w:spacing w:val="-5"/>
          <w:sz w:val="18"/>
        </w:rPr>
        <w:t> </w:t>
      </w:r>
      <w:r>
        <w:rPr>
          <w:sz w:val="18"/>
        </w:rPr>
        <w:t>the</w:t>
      </w:r>
      <w:r>
        <w:rPr>
          <w:spacing w:val="-4"/>
          <w:sz w:val="18"/>
        </w:rPr>
        <w:t> </w:t>
      </w:r>
      <w:r>
        <w:rPr>
          <w:sz w:val="18"/>
        </w:rPr>
        <w:t>Data</w:t>
      </w:r>
      <w:r>
        <w:rPr>
          <w:spacing w:val="-5"/>
          <w:sz w:val="18"/>
        </w:rPr>
        <w:t> </w:t>
      </w:r>
      <w:r>
        <w:rPr>
          <w:sz w:val="18"/>
        </w:rPr>
        <w:t>Protection</w:t>
      </w:r>
      <w:r>
        <w:rPr>
          <w:spacing w:val="-5"/>
          <w:sz w:val="18"/>
        </w:rPr>
        <w:t> </w:t>
      </w:r>
      <w:r>
        <w:rPr>
          <w:sz w:val="18"/>
        </w:rPr>
        <w:t>and</w:t>
      </w:r>
      <w:r>
        <w:rPr>
          <w:spacing w:val="-5"/>
          <w:sz w:val="18"/>
        </w:rPr>
        <w:t> </w:t>
      </w:r>
      <w:r>
        <w:rPr>
          <w:sz w:val="18"/>
        </w:rPr>
        <w:t>Digital</w:t>
      </w:r>
      <w:r>
        <w:rPr>
          <w:spacing w:val="-5"/>
          <w:sz w:val="18"/>
        </w:rPr>
        <w:t> </w:t>
      </w:r>
      <w:r>
        <w:rPr>
          <w:sz w:val="18"/>
        </w:rPr>
        <w:t>Information</w:t>
      </w:r>
      <w:r>
        <w:rPr>
          <w:spacing w:val="-5"/>
          <w:sz w:val="18"/>
        </w:rPr>
        <w:t> </w:t>
      </w:r>
      <w:r>
        <w:rPr>
          <w:sz w:val="18"/>
        </w:rPr>
        <w:t>Bill’</w:t>
      </w:r>
      <w:r>
        <w:rPr>
          <w:spacing w:val="-4"/>
          <w:sz w:val="18"/>
        </w:rPr>
        <w:t> </w:t>
      </w:r>
      <w:r>
        <w:rPr>
          <w:sz w:val="18"/>
        </w:rPr>
        <w:t>(NIHRC,</w:t>
      </w:r>
      <w:r>
        <w:rPr>
          <w:spacing w:val="-4"/>
          <w:sz w:val="18"/>
        </w:rPr>
        <w:t> </w:t>
      </w:r>
      <w:r>
        <w:rPr>
          <w:spacing w:val="-2"/>
          <w:sz w:val="18"/>
        </w:rPr>
        <w:t>2023).</w:t>
      </w:r>
    </w:p>
    <w:p>
      <w:pPr>
        <w:spacing w:after="0" w:line="218" w:lineRule="exact"/>
        <w:jc w:val="both"/>
        <w:rPr>
          <w:sz w:val="18"/>
        </w:rPr>
        <w:sectPr>
          <w:pgSz w:w="11910" w:h="16840"/>
          <w:pgMar w:header="496" w:footer="367" w:top="1220" w:bottom="560" w:left="0" w:right="0"/>
        </w:sectPr>
      </w:pPr>
    </w:p>
    <w:p>
      <w:pPr>
        <w:pStyle w:val="BodyText"/>
        <w:spacing w:before="201" w:after="1"/>
        <w:rPr>
          <w:sz w:val="20"/>
        </w:rPr>
      </w:pPr>
    </w:p>
    <w:p>
      <w:pPr>
        <w:pStyle w:val="BodyText"/>
        <w:ind w:left="1133"/>
        <w:rPr>
          <w:sz w:val="20"/>
        </w:rPr>
      </w:pPr>
      <w:bookmarkStart w:name="_bookmark51" w:id="115"/>
      <w:bookmarkEnd w:id="115"/>
      <w:r>
        <w:rPr/>
      </w:r>
      <w:r>
        <w:rPr>
          <w:sz w:val="20"/>
        </w:rPr>
        <mc:AlternateContent>
          <mc:Choice Requires="wps">
            <w:drawing>
              <wp:inline distT="0" distB="0" distL="0" distR="0">
                <wp:extent cx="6120130" cy="360045"/>
                <wp:effectExtent l="0" t="0" r="0" b="0"/>
                <wp:docPr id="566" name="Textbox 566"/>
                <wp:cNvGraphicFramePr>
                  <a:graphicFrameLocks/>
                </wp:cNvGraphicFramePr>
                <a:graphic>
                  <a:graphicData uri="http://schemas.microsoft.com/office/word/2010/wordprocessingShape">
                    <wps:wsp>
                      <wps:cNvPr id="566" name="Textbox 566"/>
                      <wps:cNvSpPr txBox="1"/>
                      <wps:spPr>
                        <a:xfrm>
                          <a:off x="0" y="0"/>
                          <a:ext cx="6120130" cy="360045"/>
                        </a:xfrm>
                        <a:prstGeom prst="rect">
                          <a:avLst/>
                        </a:prstGeom>
                        <a:solidFill>
                          <a:srgbClr val="393B80"/>
                        </a:solidFill>
                      </wps:spPr>
                      <wps:txbx>
                        <w:txbxContent>
                          <w:p>
                            <w:pPr>
                              <w:spacing w:before="103"/>
                              <w:ind w:left="783"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inline>
            </w:drawing>
          </mc:Choice>
          <mc:Fallback>
            <w:pict>
              <v:shape style="width:481.9pt;height:28.35pt;mso-position-horizontal-relative:char;mso-position-vertical-relative:line" type="#_x0000_t202" id="docshape511" filled="true" fillcolor="#393b80" stroked="false">
                <w10:anchorlock/>
                <v:textbox inset="0,0,0,0">
                  <w:txbxContent>
                    <w:p>
                      <w:pPr>
                        <w:spacing w:before="103"/>
                        <w:ind w:left="783" w:right="0" w:firstLine="0"/>
                        <w:jc w:val="left"/>
                        <w:rPr>
                          <w:b/>
                          <w:color w:val="000000"/>
                          <w:sz w:val="28"/>
                        </w:rPr>
                      </w:pPr>
                      <w:r>
                        <w:rPr>
                          <w:b/>
                          <w:color w:val="FFFFFF"/>
                          <w:spacing w:val="-2"/>
                          <w:sz w:val="28"/>
                        </w:rPr>
                        <w:t>Recommendations</w:t>
                      </w:r>
                    </w:p>
                  </w:txbxContent>
                </v:textbox>
                <v:fill type="solid"/>
              </v:shape>
            </w:pict>
          </mc:Fallback>
        </mc:AlternateContent>
      </w:r>
      <w:r>
        <w:rPr>
          <w:sz w:val="20"/>
        </w:rPr>
      </w:r>
    </w:p>
    <w:p>
      <w:pPr>
        <w:pStyle w:val="ListParagraph"/>
        <w:numPr>
          <w:ilvl w:val="1"/>
          <w:numId w:val="13"/>
        </w:numPr>
        <w:tabs>
          <w:tab w:pos="1853" w:val="left" w:leader="none"/>
        </w:tabs>
        <w:spacing w:line="225" w:lineRule="auto" w:before="214" w:after="0"/>
        <w:ind w:left="1853" w:right="1483" w:hanging="720"/>
        <w:jc w:val="left"/>
        <w:rPr>
          <w:b/>
          <w:color w:val="67287F"/>
          <w:sz w:val="28"/>
        </w:rPr>
      </w:pPr>
      <w:r>
        <w:rPr>
          <w:b/>
          <w:color w:val="67287F"/>
          <w:sz w:val="28"/>
        </w:rPr>
        <w:t>The</w:t>
      </w:r>
      <w:r>
        <w:rPr>
          <w:b/>
          <w:color w:val="67287F"/>
          <w:spacing w:val="-8"/>
          <w:sz w:val="28"/>
        </w:rPr>
        <w:t> </w:t>
      </w:r>
      <w:r>
        <w:rPr>
          <w:b/>
          <w:color w:val="67287F"/>
          <w:sz w:val="28"/>
        </w:rPr>
        <w:t>NIHRC</w:t>
      </w:r>
      <w:r>
        <w:rPr>
          <w:b/>
          <w:color w:val="67287F"/>
          <w:spacing w:val="-8"/>
          <w:sz w:val="28"/>
        </w:rPr>
        <w:t> </w:t>
      </w:r>
      <w:r>
        <w:rPr>
          <w:b/>
          <w:color w:val="67287F"/>
          <w:sz w:val="28"/>
        </w:rPr>
        <w:t>continues</w:t>
      </w:r>
      <w:r>
        <w:rPr>
          <w:b/>
          <w:color w:val="67287F"/>
          <w:spacing w:val="-7"/>
          <w:sz w:val="28"/>
        </w:rPr>
        <w:t> </w:t>
      </w:r>
      <w:r>
        <w:rPr>
          <w:b/>
          <w:color w:val="67287F"/>
          <w:sz w:val="28"/>
        </w:rPr>
        <w:t>to</w:t>
      </w:r>
      <w:r>
        <w:rPr>
          <w:b/>
          <w:color w:val="67287F"/>
          <w:spacing w:val="-7"/>
          <w:sz w:val="28"/>
        </w:rPr>
        <w:t> </w:t>
      </w:r>
      <w:r>
        <w:rPr>
          <w:b/>
          <w:color w:val="67287F"/>
          <w:sz w:val="28"/>
        </w:rPr>
        <w:t>recommend</w:t>
      </w:r>
      <w:r>
        <w:rPr>
          <w:b/>
          <w:color w:val="67287F"/>
          <w:spacing w:val="-7"/>
          <w:sz w:val="28"/>
        </w:rPr>
        <w:t> </w:t>
      </w:r>
      <w:r>
        <w:rPr>
          <w:b/>
          <w:color w:val="67287F"/>
          <w:sz w:val="28"/>
        </w:rPr>
        <w:t>that</w:t>
      </w:r>
      <w:r>
        <w:rPr>
          <w:b/>
          <w:color w:val="67287F"/>
          <w:spacing w:val="-7"/>
          <w:sz w:val="28"/>
        </w:rPr>
        <w:t> </w:t>
      </w:r>
      <w:r>
        <w:rPr>
          <w:b/>
          <w:color w:val="67287F"/>
          <w:sz w:val="28"/>
        </w:rPr>
        <w:t>the</w:t>
      </w:r>
      <w:r>
        <w:rPr>
          <w:b/>
          <w:color w:val="67287F"/>
          <w:spacing w:val="-8"/>
          <w:sz w:val="28"/>
        </w:rPr>
        <w:t> </w:t>
      </w:r>
      <w:r>
        <w:rPr>
          <w:b/>
          <w:color w:val="67287F"/>
          <w:sz w:val="28"/>
        </w:rPr>
        <w:t>highest</w:t>
      </w:r>
      <w:r>
        <w:rPr>
          <w:b/>
          <w:color w:val="67287F"/>
          <w:spacing w:val="-7"/>
          <w:sz w:val="28"/>
        </w:rPr>
        <w:t> </w:t>
      </w:r>
      <w:r>
        <w:rPr>
          <w:b/>
          <w:color w:val="67287F"/>
          <w:sz w:val="28"/>
        </w:rPr>
        <w:t>standards</w:t>
      </w:r>
      <w:r>
        <w:rPr>
          <w:b/>
          <w:color w:val="67287F"/>
          <w:spacing w:val="-7"/>
          <w:sz w:val="28"/>
        </w:rPr>
        <w:t> </w:t>
      </w:r>
      <w:r>
        <w:rPr>
          <w:b/>
          <w:color w:val="67287F"/>
          <w:sz w:val="28"/>
        </w:rPr>
        <w:t>of</w:t>
      </w:r>
      <w:r>
        <w:rPr>
          <w:b/>
          <w:color w:val="67287F"/>
          <w:spacing w:val="-8"/>
          <w:sz w:val="28"/>
        </w:rPr>
        <w:t> </w:t>
      </w:r>
      <w:r>
        <w:rPr>
          <w:b/>
          <w:color w:val="67287F"/>
          <w:sz w:val="28"/>
        </w:rPr>
        <w:t>victims’ rights and rights of accused persons are central to cross-border criminal justice cooperation.</w:t>
      </w:r>
    </w:p>
    <w:p>
      <w:pPr>
        <w:pStyle w:val="ListParagraph"/>
        <w:numPr>
          <w:ilvl w:val="1"/>
          <w:numId w:val="13"/>
        </w:numPr>
        <w:tabs>
          <w:tab w:pos="1853" w:val="left" w:leader="none"/>
        </w:tabs>
        <w:spacing w:line="225" w:lineRule="auto" w:before="316" w:after="0"/>
        <w:ind w:left="1853" w:right="1131" w:hanging="720"/>
        <w:jc w:val="left"/>
        <w:rPr>
          <w:b/>
          <w:color w:val="67287F"/>
          <w:sz w:val="28"/>
        </w:rPr>
      </w:pPr>
      <w:r>
        <w:rPr>
          <w:b/>
          <w:color w:val="67287F"/>
          <w:sz w:val="28"/>
        </w:rPr>
        <w:t>The NIHRC continues to recommend that, in the absence of CJEU oversight</w:t>
      </w:r>
      <w:r>
        <w:rPr>
          <w:b/>
          <w:color w:val="67287F"/>
          <w:spacing w:val="40"/>
          <w:sz w:val="28"/>
        </w:rPr>
        <w:t> </w:t>
      </w:r>
      <w:r>
        <w:rPr>
          <w:b/>
          <w:color w:val="67287F"/>
          <w:sz w:val="28"/>
        </w:rPr>
        <w:t>of the extradition process, the UK and EU establish clear safeguards within the Trade and Cooperation Agreement oversight mechanisms to ensure robust</w:t>
      </w:r>
      <w:r>
        <w:rPr>
          <w:b/>
          <w:color w:val="67287F"/>
          <w:spacing w:val="-7"/>
          <w:sz w:val="28"/>
        </w:rPr>
        <w:t> </w:t>
      </w:r>
      <w:r>
        <w:rPr>
          <w:b/>
          <w:color w:val="67287F"/>
          <w:sz w:val="28"/>
        </w:rPr>
        <w:t>human</w:t>
      </w:r>
      <w:r>
        <w:rPr>
          <w:b/>
          <w:color w:val="67287F"/>
          <w:spacing w:val="-7"/>
          <w:sz w:val="28"/>
        </w:rPr>
        <w:t> </w:t>
      </w:r>
      <w:r>
        <w:rPr>
          <w:b/>
          <w:color w:val="67287F"/>
          <w:sz w:val="28"/>
        </w:rPr>
        <w:t>rights</w:t>
      </w:r>
      <w:r>
        <w:rPr>
          <w:b/>
          <w:color w:val="67287F"/>
          <w:spacing w:val="-7"/>
          <w:sz w:val="28"/>
        </w:rPr>
        <w:t> </w:t>
      </w:r>
      <w:r>
        <w:rPr>
          <w:b/>
          <w:color w:val="67287F"/>
          <w:sz w:val="28"/>
        </w:rPr>
        <w:t>and</w:t>
      </w:r>
      <w:r>
        <w:rPr>
          <w:b/>
          <w:color w:val="67287F"/>
          <w:spacing w:val="-7"/>
          <w:sz w:val="28"/>
        </w:rPr>
        <w:t> </w:t>
      </w:r>
      <w:r>
        <w:rPr>
          <w:b/>
          <w:color w:val="67287F"/>
          <w:sz w:val="28"/>
        </w:rPr>
        <w:t>legal</w:t>
      </w:r>
      <w:r>
        <w:rPr>
          <w:b/>
          <w:color w:val="67287F"/>
          <w:spacing w:val="-7"/>
          <w:sz w:val="28"/>
        </w:rPr>
        <w:t> </w:t>
      </w:r>
      <w:r>
        <w:rPr>
          <w:b/>
          <w:color w:val="67287F"/>
          <w:sz w:val="28"/>
        </w:rPr>
        <w:t>safeguards</w:t>
      </w:r>
      <w:r>
        <w:rPr>
          <w:b/>
          <w:color w:val="67287F"/>
          <w:spacing w:val="-7"/>
          <w:sz w:val="28"/>
        </w:rPr>
        <w:t> </w:t>
      </w:r>
      <w:r>
        <w:rPr>
          <w:b/>
          <w:color w:val="67287F"/>
          <w:sz w:val="28"/>
        </w:rPr>
        <w:t>for</w:t>
      </w:r>
      <w:r>
        <w:rPr>
          <w:b/>
          <w:color w:val="67287F"/>
          <w:spacing w:val="-7"/>
          <w:sz w:val="28"/>
        </w:rPr>
        <w:t> </w:t>
      </w:r>
      <w:r>
        <w:rPr>
          <w:b/>
          <w:color w:val="67287F"/>
          <w:sz w:val="28"/>
        </w:rPr>
        <w:t>accused</w:t>
      </w:r>
      <w:r>
        <w:rPr>
          <w:b/>
          <w:color w:val="67287F"/>
          <w:spacing w:val="-8"/>
          <w:sz w:val="28"/>
        </w:rPr>
        <w:t> </w:t>
      </w:r>
      <w:r>
        <w:rPr>
          <w:b/>
          <w:color w:val="67287F"/>
          <w:sz w:val="28"/>
        </w:rPr>
        <w:t>persons</w:t>
      </w:r>
      <w:r>
        <w:rPr>
          <w:b/>
          <w:color w:val="67287F"/>
          <w:spacing w:val="-7"/>
          <w:sz w:val="28"/>
        </w:rPr>
        <w:t> </w:t>
      </w:r>
      <w:r>
        <w:rPr>
          <w:b/>
          <w:color w:val="67287F"/>
          <w:sz w:val="28"/>
        </w:rPr>
        <w:t>and</w:t>
      </w:r>
      <w:r>
        <w:rPr>
          <w:b/>
          <w:color w:val="67287F"/>
          <w:spacing w:val="-8"/>
          <w:sz w:val="28"/>
        </w:rPr>
        <w:t> </w:t>
      </w:r>
      <w:r>
        <w:rPr>
          <w:b/>
          <w:color w:val="67287F"/>
          <w:sz w:val="28"/>
        </w:rPr>
        <w:t>for</w:t>
      </w:r>
      <w:r>
        <w:rPr>
          <w:b/>
          <w:color w:val="67287F"/>
          <w:spacing w:val="-7"/>
          <w:sz w:val="28"/>
        </w:rPr>
        <w:t> </w:t>
      </w:r>
      <w:r>
        <w:rPr>
          <w:b/>
          <w:color w:val="67287F"/>
          <w:sz w:val="28"/>
        </w:rPr>
        <w:t>victims of crimes.</w:t>
      </w:r>
    </w:p>
    <w:p>
      <w:pPr>
        <w:pStyle w:val="ListParagraph"/>
        <w:numPr>
          <w:ilvl w:val="1"/>
          <w:numId w:val="13"/>
        </w:numPr>
        <w:tabs>
          <w:tab w:pos="1853" w:val="left" w:leader="none"/>
        </w:tabs>
        <w:spacing w:line="225" w:lineRule="auto" w:before="314" w:after="0"/>
        <w:ind w:left="1853" w:right="1211" w:hanging="720"/>
        <w:jc w:val="left"/>
        <w:rPr>
          <w:b/>
          <w:color w:val="67287F"/>
          <w:sz w:val="28"/>
        </w:rPr>
      </w:pPr>
      <w:r>
        <w:rPr>
          <w:b/>
          <w:color w:val="67287F"/>
          <w:sz w:val="28"/>
        </w:rPr>
        <w:t>The Commissions recommends that the Secretary of State for Science, Innovation and Technology review and table amendments as required to ensure</w:t>
      </w:r>
      <w:r>
        <w:rPr>
          <w:b/>
          <w:color w:val="67287F"/>
          <w:spacing w:val="-6"/>
          <w:sz w:val="28"/>
        </w:rPr>
        <w:t> </w:t>
      </w:r>
      <w:r>
        <w:rPr>
          <w:b/>
          <w:color w:val="67287F"/>
          <w:sz w:val="28"/>
        </w:rPr>
        <w:t>that</w:t>
      </w:r>
      <w:r>
        <w:rPr>
          <w:b/>
          <w:color w:val="67287F"/>
          <w:spacing w:val="-5"/>
          <w:sz w:val="28"/>
        </w:rPr>
        <w:t> </w:t>
      </w:r>
      <w:r>
        <w:rPr>
          <w:b/>
          <w:color w:val="67287F"/>
          <w:sz w:val="28"/>
        </w:rPr>
        <w:t>none</w:t>
      </w:r>
      <w:r>
        <w:rPr>
          <w:b/>
          <w:color w:val="67287F"/>
          <w:spacing w:val="-6"/>
          <w:sz w:val="28"/>
        </w:rPr>
        <w:t> </w:t>
      </w:r>
      <w:r>
        <w:rPr>
          <w:b/>
          <w:color w:val="67287F"/>
          <w:sz w:val="28"/>
        </w:rPr>
        <w:t>of</w:t>
      </w:r>
      <w:r>
        <w:rPr>
          <w:b/>
          <w:color w:val="67287F"/>
          <w:spacing w:val="-6"/>
          <w:sz w:val="28"/>
        </w:rPr>
        <w:t> </w:t>
      </w:r>
      <w:r>
        <w:rPr>
          <w:b/>
          <w:color w:val="67287F"/>
          <w:sz w:val="28"/>
        </w:rPr>
        <w:t>the</w:t>
      </w:r>
      <w:r>
        <w:rPr>
          <w:b/>
          <w:color w:val="67287F"/>
          <w:spacing w:val="-6"/>
          <w:sz w:val="28"/>
        </w:rPr>
        <w:t> </w:t>
      </w:r>
      <w:r>
        <w:rPr>
          <w:b/>
          <w:color w:val="67287F"/>
          <w:sz w:val="28"/>
        </w:rPr>
        <w:t>data</w:t>
      </w:r>
      <w:r>
        <w:rPr>
          <w:b/>
          <w:color w:val="67287F"/>
          <w:spacing w:val="-5"/>
          <w:sz w:val="28"/>
        </w:rPr>
        <w:t> </w:t>
      </w:r>
      <w:r>
        <w:rPr>
          <w:b/>
          <w:color w:val="67287F"/>
          <w:sz w:val="28"/>
        </w:rPr>
        <w:t>protection</w:t>
      </w:r>
      <w:r>
        <w:rPr>
          <w:b/>
          <w:color w:val="67287F"/>
          <w:spacing w:val="-5"/>
          <w:sz w:val="28"/>
        </w:rPr>
        <w:t> </w:t>
      </w:r>
      <w:r>
        <w:rPr>
          <w:b/>
          <w:color w:val="67287F"/>
          <w:sz w:val="28"/>
        </w:rPr>
        <w:t>rights</w:t>
      </w:r>
      <w:r>
        <w:rPr>
          <w:b/>
          <w:color w:val="67287F"/>
          <w:spacing w:val="-5"/>
          <w:sz w:val="28"/>
        </w:rPr>
        <w:t> </w:t>
      </w:r>
      <w:r>
        <w:rPr>
          <w:b/>
          <w:color w:val="67287F"/>
          <w:sz w:val="28"/>
        </w:rPr>
        <w:t>contained</w:t>
      </w:r>
      <w:r>
        <w:rPr>
          <w:b/>
          <w:color w:val="67287F"/>
          <w:spacing w:val="-5"/>
          <w:sz w:val="28"/>
        </w:rPr>
        <w:t> </w:t>
      </w:r>
      <w:r>
        <w:rPr>
          <w:b/>
          <w:color w:val="67287F"/>
          <w:sz w:val="28"/>
        </w:rPr>
        <w:t>in</w:t>
      </w:r>
      <w:r>
        <w:rPr>
          <w:b/>
          <w:color w:val="67287F"/>
          <w:spacing w:val="-5"/>
          <w:sz w:val="28"/>
        </w:rPr>
        <w:t> </w:t>
      </w:r>
      <w:r>
        <w:rPr>
          <w:b/>
          <w:color w:val="67287F"/>
          <w:sz w:val="28"/>
        </w:rPr>
        <w:t>EU</w:t>
      </w:r>
      <w:r>
        <w:rPr>
          <w:b/>
          <w:color w:val="67287F"/>
          <w:spacing w:val="-5"/>
          <w:sz w:val="28"/>
        </w:rPr>
        <w:t> </w:t>
      </w:r>
      <w:r>
        <w:rPr>
          <w:b/>
          <w:color w:val="67287F"/>
          <w:sz w:val="28"/>
        </w:rPr>
        <w:t>GDPR,</w:t>
      </w:r>
      <w:r>
        <w:rPr>
          <w:b/>
          <w:color w:val="67287F"/>
          <w:spacing w:val="-5"/>
          <w:sz w:val="28"/>
        </w:rPr>
        <w:t> </w:t>
      </w:r>
      <w:r>
        <w:rPr>
          <w:b/>
          <w:color w:val="67287F"/>
          <w:sz w:val="28"/>
        </w:rPr>
        <w:t>the</w:t>
      </w:r>
      <w:r>
        <w:rPr>
          <w:b/>
          <w:color w:val="67287F"/>
          <w:spacing w:val="-6"/>
          <w:sz w:val="28"/>
        </w:rPr>
        <w:t> </w:t>
      </w:r>
      <w:r>
        <w:rPr>
          <w:b/>
          <w:color w:val="67287F"/>
          <w:sz w:val="28"/>
        </w:rPr>
        <w:t>EU Data Protection Law Enforcement Directive and the EU E-Privacy Directive are weakened or removed via the Data Protection and Digital Information Bill, contrary to Windsor Framework Article 2.</w:t>
      </w:r>
    </w:p>
    <w:p>
      <w:pPr>
        <w:pStyle w:val="ListParagraph"/>
        <w:numPr>
          <w:ilvl w:val="1"/>
          <w:numId w:val="13"/>
        </w:numPr>
        <w:tabs>
          <w:tab w:pos="1853" w:val="left" w:leader="none"/>
        </w:tabs>
        <w:spacing w:line="225" w:lineRule="auto" w:before="312" w:after="0"/>
        <w:ind w:left="1853" w:right="1461" w:hanging="720"/>
        <w:jc w:val="left"/>
        <w:rPr>
          <w:b/>
          <w:color w:val="67287F"/>
          <w:sz w:val="28"/>
        </w:rPr>
      </w:pPr>
      <w:r>
        <w:rPr>
          <w:b/>
          <w:color w:val="67287F"/>
          <w:sz w:val="28"/>
        </w:rPr>
        <w:t>The Commissions recommend that the Secretary of State reviews the provisions of Data Protection and Digital Information Bill and brings forward</w:t>
      </w:r>
      <w:r>
        <w:rPr>
          <w:b/>
          <w:color w:val="67287F"/>
          <w:spacing w:val="-9"/>
          <w:sz w:val="28"/>
        </w:rPr>
        <w:t> </w:t>
      </w:r>
      <w:r>
        <w:rPr>
          <w:b/>
          <w:color w:val="67287F"/>
          <w:sz w:val="28"/>
        </w:rPr>
        <w:t>amendments</w:t>
      </w:r>
      <w:r>
        <w:rPr>
          <w:b/>
          <w:color w:val="67287F"/>
          <w:spacing w:val="-9"/>
          <w:sz w:val="28"/>
        </w:rPr>
        <w:t> </w:t>
      </w:r>
      <w:r>
        <w:rPr>
          <w:b/>
          <w:color w:val="67287F"/>
          <w:sz w:val="28"/>
        </w:rPr>
        <w:t>as</w:t>
      </w:r>
      <w:r>
        <w:rPr>
          <w:b/>
          <w:color w:val="67287F"/>
          <w:spacing w:val="-9"/>
          <w:sz w:val="28"/>
        </w:rPr>
        <w:t> </w:t>
      </w:r>
      <w:r>
        <w:rPr>
          <w:b/>
          <w:color w:val="67287F"/>
          <w:sz w:val="28"/>
        </w:rPr>
        <w:t>required</w:t>
      </w:r>
      <w:r>
        <w:rPr>
          <w:b/>
          <w:color w:val="67287F"/>
          <w:spacing w:val="-9"/>
          <w:sz w:val="28"/>
        </w:rPr>
        <w:t> </w:t>
      </w:r>
      <w:r>
        <w:rPr>
          <w:b/>
          <w:color w:val="67287F"/>
          <w:sz w:val="28"/>
        </w:rPr>
        <w:t>to</w:t>
      </w:r>
      <w:r>
        <w:rPr>
          <w:b/>
          <w:color w:val="67287F"/>
          <w:spacing w:val="-9"/>
          <w:sz w:val="28"/>
        </w:rPr>
        <w:t> </w:t>
      </w:r>
      <w:r>
        <w:rPr>
          <w:b/>
          <w:color w:val="67287F"/>
          <w:sz w:val="28"/>
        </w:rPr>
        <w:t>avoid</w:t>
      </w:r>
      <w:r>
        <w:rPr>
          <w:b/>
          <w:color w:val="67287F"/>
          <w:spacing w:val="-9"/>
          <w:sz w:val="28"/>
        </w:rPr>
        <w:t> </w:t>
      </w:r>
      <w:r>
        <w:rPr>
          <w:b/>
          <w:color w:val="67287F"/>
          <w:sz w:val="28"/>
        </w:rPr>
        <w:t>a</w:t>
      </w:r>
      <w:r>
        <w:rPr>
          <w:b/>
          <w:color w:val="67287F"/>
          <w:spacing w:val="-9"/>
          <w:sz w:val="28"/>
        </w:rPr>
        <w:t> </w:t>
      </w:r>
      <w:r>
        <w:rPr>
          <w:b/>
          <w:color w:val="67287F"/>
          <w:sz w:val="28"/>
        </w:rPr>
        <w:t>divergence</w:t>
      </w:r>
      <w:r>
        <w:rPr>
          <w:b/>
          <w:color w:val="67287F"/>
          <w:spacing w:val="-10"/>
          <w:sz w:val="28"/>
        </w:rPr>
        <w:t> </w:t>
      </w:r>
      <w:r>
        <w:rPr>
          <w:b/>
          <w:color w:val="67287F"/>
          <w:sz w:val="28"/>
        </w:rPr>
        <w:t>of</w:t>
      </w:r>
      <w:r>
        <w:rPr>
          <w:b/>
          <w:color w:val="67287F"/>
          <w:spacing w:val="-10"/>
          <w:sz w:val="28"/>
        </w:rPr>
        <w:t> </w:t>
      </w:r>
      <w:r>
        <w:rPr>
          <w:b/>
          <w:color w:val="67287F"/>
          <w:sz w:val="28"/>
        </w:rPr>
        <w:t>data</w:t>
      </w:r>
      <w:r>
        <w:rPr>
          <w:b/>
          <w:color w:val="67287F"/>
          <w:spacing w:val="-9"/>
          <w:sz w:val="28"/>
        </w:rPr>
        <w:t> </w:t>
      </w:r>
      <w:r>
        <w:rPr>
          <w:b/>
          <w:color w:val="67287F"/>
          <w:sz w:val="28"/>
        </w:rPr>
        <w:t>protection standards</w:t>
      </w:r>
      <w:r>
        <w:rPr>
          <w:b/>
          <w:color w:val="67287F"/>
          <w:spacing w:val="-3"/>
          <w:sz w:val="28"/>
        </w:rPr>
        <w:t> </w:t>
      </w:r>
      <w:r>
        <w:rPr>
          <w:b/>
          <w:color w:val="67287F"/>
          <w:sz w:val="28"/>
        </w:rPr>
        <w:t>between</w:t>
      </w:r>
      <w:r>
        <w:rPr>
          <w:b/>
          <w:color w:val="67287F"/>
          <w:spacing w:val="-3"/>
          <w:sz w:val="28"/>
        </w:rPr>
        <w:t> </w:t>
      </w:r>
      <w:r>
        <w:rPr>
          <w:b/>
          <w:color w:val="67287F"/>
          <w:sz w:val="28"/>
        </w:rPr>
        <w:t>the</w:t>
      </w:r>
      <w:r>
        <w:rPr>
          <w:b/>
          <w:color w:val="67287F"/>
          <w:spacing w:val="-4"/>
          <w:sz w:val="28"/>
        </w:rPr>
        <w:t> </w:t>
      </w:r>
      <w:r>
        <w:rPr>
          <w:b/>
          <w:color w:val="67287F"/>
          <w:sz w:val="28"/>
        </w:rPr>
        <w:t>UK</w:t>
      </w:r>
      <w:r>
        <w:rPr>
          <w:b/>
          <w:color w:val="67287F"/>
          <w:spacing w:val="-3"/>
          <w:sz w:val="28"/>
        </w:rPr>
        <w:t> </w:t>
      </w:r>
      <w:r>
        <w:rPr>
          <w:b/>
          <w:color w:val="67287F"/>
          <w:sz w:val="28"/>
        </w:rPr>
        <w:t>and</w:t>
      </w:r>
      <w:r>
        <w:rPr>
          <w:b/>
          <w:color w:val="67287F"/>
          <w:spacing w:val="-3"/>
          <w:sz w:val="28"/>
        </w:rPr>
        <w:t> </w:t>
      </w:r>
      <w:r>
        <w:rPr>
          <w:b/>
          <w:color w:val="67287F"/>
          <w:sz w:val="28"/>
        </w:rPr>
        <w:t>the</w:t>
      </w:r>
      <w:r>
        <w:rPr>
          <w:b/>
          <w:color w:val="67287F"/>
          <w:spacing w:val="-4"/>
          <w:sz w:val="28"/>
        </w:rPr>
        <w:t> </w:t>
      </w:r>
      <w:r>
        <w:rPr>
          <w:b/>
          <w:color w:val="67287F"/>
          <w:sz w:val="28"/>
        </w:rPr>
        <w:t>EU</w:t>
      </w:r>
      <w:r>
        <w:rPr>
          <w:b/>
          <w:color w:val="67287F"/>
          <w:spacing w:val="-3"/>
          <w:sz w:val="28"/>
        </w:rPr>
        <w:t> </w:t>
      </w:r>
      <w:r>
        <w:rPr>
          <w:b/>
          <w:color w:val="67287F"/>
          <w:sz w:val="28"/>
        </w:rPr>
        <w:t>that</w:t>
      </w:r>
      <w:r>
        <w:rPr>
          <w:b/>
          <w:color w:val="67287F"/>
          <w:spacing w:val="-3"/>
          <w:sz w:val="28"/>
        </w:rPr>
        <w:t> </w:t>
      </w:r>
      <w:r>
        <w:rPr>
          <w:b/>
          <w:color w:val="67287F"/>
          <w:sz w:val="28"/>
        </w:rPr>
        <w:t>might</w:t>
      </w:r>
      <w:r>
        <w:rPr>
          <w:b/>
          <w:color w:val="67287F"/>
          <w:spacing w:val="-3"/>
          <w:sz w:val="28"/>
        </w:rPr>
        <w:t> </w:t>
      </w:r>
      <w:r>
        <w:rPr>
          <w:b/>
          <w:color w:val="67287F"/>
          <w:sz w:val="28"/>
        </w:rPr>
        <w:t>result</w:t>
      </w:r>
      <w:r>
        <w:rPr>
          <w:b/>
          <w:color w:val="67287F"/>
          <w:spacing w:val="-3"/>
          <w:sz w:val="28"/>
        </w:rPr>
        <w:t> </w:t>
      </w:r>
      <w:r>
        <w:rPr>
          <w:b/>
          <w:color w:val="67287F"/>
          <w:sz w:val="28"/>
        </w:rPr>
        <w:t>in</w:t>
      </w:r>
      <w:r>
        <w:rPr>
          <w:b/>
          <w:color w:val="67287F"/>
          <w:spacing w:val="-3"/>
          <w:sz w:val="28"/>
        </w:rPr>
        <w:t> </w:t>
      </w:r>
      <w:r>
        <w:rPr>
          <w:b/>
          <w:color w:val="67287F"/>
          <w:sz w:val="28"/>
        </w:rPr>
        <w:t>the</w:t>
      </w:r>
      <w:r>
        <w:rPr>
          <w:b/>
          <w:color w:val="67287F"/>
          <w:spacing w:val="-4"/>
          <w:sz w:val="28"/>
        </w:rPr>
        <w:t> </w:t>
      </w:r>
      <w:r>
        <w:rPr>
          <w:b/>
          <w:color w:val="67287F"/>
          <w:sz w:val="28"/>
        </w:rPr>
        <w:t>free</w:t>
      </w:r>
      <w:r>
        <w:rPr>
          <w:b/>
          <w:color w:val="67287F"/>
          <w:spacing w:val="-4"/>
          <w:sz w:val="28"/>
        </w:rPr>
        <w:t> </w:t>
      </w:r>
      <w:r>
        <w:rPr>
          <w:b/>
          <w:color w:val="67287F"/>
          <w:sz w:val="28"/>
        </w:rPr>
        <w:t>flow</w:t>
      </w:r>
      <w:r>
        <w:rPr>
          <w:b/>
          <w:color w:val="67287F"/>
          <w:spacing w:val="-4"/>
          <w:sz w:val="28"/>
        </w:rPr>
        <w:t> </w:t>
      </w:r>
      <w:r>
        <w:rPr>
          <w:b/>
          <w:color w:val="67287F"/>
          <w:sz w:val="28"/>
        </w:rPr>
        <w:t>of data between the UK and the EU being compromised, which could have a detrimental effect on cross-border justice in NI.</w:t>
      </w:r>
    </w:p>
    <w:p>
      <w:pPr>
        <w:pStyle w:val="ListParagraph"/>
        <w:numPr>
          <w:ilvl w:val="1"/>
          <w:numId w:val="13"/>
        </w:numPr>
        <w:tabs>
          <w:tab w:pos="1853" w:val="left" w:leader="none"/>
        </w:tabs>
        <w:spacing w:line="225" w:lineRule="auto" w:before="312" w:after="0"/>
        <w:ind w:left="1853" w:right="1150" w:hanging="720"/>
        <w:jc w:val="left"/>
        <w:rPr>
          <w:b/>
          <w:color w:val="67287F"/>
          <w:sz w:val="28"/>
        </w:rPr>
      </w:pPr>
      <w:r>
        <w:rPr>
          <w:b/>
          <w:color w:val="67287F"/>
          <w:sz w:val="28"/>
        </w:rPr>
        <w:t>The NIHRC recommends that the UK and the EU ensure that information sharing</w:t>
      </w:r>
      <w:r>
        <w:rPr>
          <w:b/>
          <w:color w:val="67287F"/>
          <w:spacing w:val="-12"/>
          <w:sz w:val="28"/>
        </w:rPr>
        <w:t> </w:t>
      </w:r>
      <w:r>
        <w:rPr>
          <w:b/>
          <w:color w:val="67287F"/>
          <w:sz w:val="28"/>
        </w:rPr>
        <w:t>arrangements</w:t>
      </w:r>
      <w:r>
        <w:rPr>
          <w:b/>
          <w:color w:val="67287F"/>
          <w:spacing w:val="-12"/>
          <w:sz w:val="28"/>
        </w:rPr>
        <w:t> </w:t>
      </w:r>
      <w:r>
        <w:rPr>
          <w:b/>
          <w:color w:val="67287F"/>
          <w:sz w:val="28"/>
        </w:rPr>
        <w:t>are</w:t>
      </w:r>
      <w:r>
        <w:rPr>
          <w:b/>
          <w:color w:val="67287F"/>
          <w:spacing w:val="-12"/>
          <w:sz w:val="28"/>
        </w:rPr>
        <w:t> </w:t>
      </w:r>
      <w:r>
        <w:rPr>
          <w:b/>
          <w:color w:val="67287F"/>
          <w:sz w:val="28"/>
        </w:rPr>
        <w:t>sufficient</w:t>
      </w:r>
      <w:r>
        <w:rPr>
          <w:b/>
          <w:color w:val="67287F"/>
          <w:spacing w:val="-12"/>
          <w:sz w:val="28"/>
        </w:rPr>
        <w:t> </w:t>
      </w:r>
      <w:r>
        <w:rPr>
          <w:b/>
          <w:color w:val="67287F"/>
          <w:sz w:val="28"/>
        </w:rPr>
        <w:t>to</w:t>
      </w:r>
      <w:r>
        <w:rPr>
          <w:b/>
          <w:color w:val="67287F"/>
          <w:spacing w:val="-12"/>
          <w:sz w:val="28"/>
        </w:rPr>
        <w:t> </w:t>
      </w:r>
      <w:r>
        <w:rPr>
          <w:b/>
          <w:color w:val="67287F"/>
          <w:sz w:val="28"/>
        </w:rPr>
        <w:t>ensure</w:t>
      </w:r>
      <w:r>
        <w:rPr>
          <w:b/>
          <w:color w:val="67287F"/>
          <w:spacing w:val="-12"/>
          <w:sz w:val="28"/>
        </w:rPr>
        <w:t> </w:t>
      </w:r>
      <w:r>
        <w:rPr>
          <w:b/>
          <w:color w:val="67287F"/>
          <w:sz w:val="28"/>
        </w:rPr>
        <w:t>investigations</w:t>
      </w:r>
      <w:r>
        <w:rPr>
          <w:b/>
          <w:color w:val="67287F"/>
          <w:spacing w:val="-12"/>
          <w:sz w:val="28"/>
        </w:rPr>
        <w:t> </w:t>
      </w:r>
      <w:r>
        <w:rPr>
          <w:b/>
          <w:color w:val="67287F"/>
          <w:sz w:val="28"/>
        </w:rPr>
        <w:t>and</w:t>
      </w:r>
      <w:r>
        <w:rPr>
          <w:b/>
          <w:color w:val="67287F"/>
          <w:spacing w:val="-12"/>
          <w:sz w:val="28"/>
        </w:rPr>
        <w:t> </w:t>
      </w:r>
      <w:r>
        <w:rPr>
          <w:b/>
          <w:color w:val="67287F"/>
          <w:sz w:val="28"/>
        </w:rPr>
        <w:t>proceedings are conducted in an efficient manner, in full compliance with the ECHR and EU Victims’ Directive.</w:t>
      </w:r>
    </w:p>
    <w:p>
      <w:pPr>
        <w:pStyle w:val="BodyText"/>
        <w:spacing w:before="1"/>
        <w:rPr>
          <w:b/>
        </w:rPr>
      </w:pPr>
    </w:p>
    <w:p>
      <w:pPr>
        <w:pStyle w:val="Heading3"/>
      </w:pPr>
      <w:bookmarkStart w:name="Racial Profiling and Policing: Stop and " w:id="116"/>
      <w:bookmarkEnd w:id="116"/>
      <w:r>
        <w:rPr>
          <w:b w:val="0"/>
        </w:rPr>
      </w:r>
      <w:r>
        <w:rPr>
          <w:color w:val="67287F"/>
        </w:rPr>
        <w:t>Racial</w:t>
      </w:r>
      <w:r>
        <w:rPr>
          <w:color w:val="67287F"/>
          <w:spacing w:val="-6"/>
        </w:rPr>
        <w:t> </w:t>
      </w:r>
      <w:r>
        <w:rPr>
          <w:color w:val="67287F"/>
        </w:rPr>
        <w:t>Profiling</w:t>
      </w:r>
      <w:r>
        <w:rPr>
          <w:color w:val="67287F"/>
          <w:spacing w:val="-7"/>
        </w:rPr>
        <w:t> </w:t>
      </w:r>
      <w:r>
        <w:rPr>
          <w:color w:val="67287F"/>
        </w:rPr>
        <w:t>and</w:t>
      </w:r>
      <w:r>
        <w:rPr>
          <w:color w:val="67287F"/>
          <w:spacing w:val="-5"/>
        </w:rPr>
        <w:t> </w:t>
      </w:r>
      <w:r>
        <w:rPr>
          <w:color w:val="67287F"/>
        </w:rPr>
        <w:t>Policing:</w:t>
      </w:r>
      <w:r>
        <w:rPr>
          <w:color w:val="67287F"/>
          <w:spacing w:val="-6"/>
        </w:rPr>
        <w:t> </w:t>
      </w:r>
      <w:r>
        <w:rPr>
          <w:color w:val="67287F"/>
        </w:rPr>
        <w:t>Stop</w:t>
      </w:r>
      <w:r>
        <w:rPr>
          <w:color w:val="67287F"/>
          <w:spacing w:val="-5"/>
        </w:rPr>
        <w:t> </w:t>
      </w:r>
      <w:r>
        <w:rPr>
          <w:color w:val="67287F"/>
        </w:rPr>
        <w:t>and</w:t>
      </w:r>
      <w:r>
        <w:rPr>
          <w:color w:val="67287F"/>
          <w:spacing w:val="-6"/>
        </w:rPr>
        <w:t> </w:t>
      </w:r>
      <w:r>
        <w:rPr>
          <w:color w:val="67287F"/>
          <w:spacing w:val="-2"/>
        </w:rPr>
        <w:t>Search</w:t>
      </w:r>
    </w:p>
    <w:p>
      <w:pPr>
        <w:pStyle w:val="BodyText"/>
        <w:rPr>
          <w:b/>
          <w:sz w:val="5"/>
        </w:rPr>
      </w:pPr>
      <w:r>
        <w:rPr/>
        <mc:AlternateContent>
          <mc:Choice Requires="wps">
            <w:drawing>
              <wp:anchor distT="0" distB="0" distL="0" distR="0" allowOverlap="1" layoutInCell="1" locked="0" behindDoc="1" simplePos="0" relativeHeight="487716352">
                <wp:simplePos x="0" y="0"/>
                <wp:positionH relativeFrom="page">
                  <wp:posOffset>719997</wp:posOffset>
                </wp:positionH>
                <wp:positionV relativeFrom="paragraph">
                  <wp:posOffset>54344</wp:posOffset>
                </wp:positionV>
                <wp:extent cx="6120130" cy="1270"/>
                <wp:effectExtent l="0" t="0" r="0" b="0"/>
                <wp:wrapTopAndBottom/>
                <wp:docPr id="567" name="Graphic 567"/>
                <wp:cNvGraphicFramePr>
                  <a:graphicFrameLocks/>
                </wp:cNvGraphicFramePr>
                <a:graphic>
                  <a:graphicData uri="http://schemas.microsoft.com/office/word/2010/wordprocessingShape">
                    <wps:wsp>
                      <wps:cNvPr id="567" name="Graphic 567"/>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4.279125pt;width:481.9pt;height:.1pt;mso-position-horizontal-relative:page;mso-position-vertical-relative:paragraph;z-index:-15600128;mso-wrap-distance-left:0;mso-wrap-distance-right:0" id="docshape512" coordorigin="1134,86" coordsize="9638,0" path="m10772,86l1134,86e" filled="false" stroked="true" strokeweight="1pt" strokecolor="#67287f">
                <v:path arrowok="t"/>
                <v:stroke dashstyle="solid"/>
                <w10:wrap type="topAndBottom"/>
              </v:shape>
            </w:pict>
          </mc:Fallback>
        </mc:AlternateContent>
      </w:r>
    </w:p>
    <w:p>
      <w:pPr>
        <w:pStyle w:val="ListParagraph"/>
        <w:numPr>
          <w:ilvl w:val="1"/>
          <w:numId w:val="13"/>
        </w:numPr>
        <w:tabs>
          <w:tab w:pos="1853" w:val="left" w:leader="none"/>
        </w:tabs>
        <w:spacing w:line="225" w:lineRule="auto" w:before="317" w:after="0"/>
        <w:ind w:left="1853" w:right="1359" w:hanging="720"/>
        <w:jc w:val="left"/>
        <w:rPr>
          <w:sz w:val="28"/>
        </w:rPr>
      </w:pPr>
      <w:r>
        <w:rPr>
          <w:sz w:val="28"/>
        </w:rPr>
        <w:t>In June 2023, the UN CRC Committee raised concerns about the continued used of “unnecessary stop-and-search checks on children and the fact that the</w:t>
      </w:r>
      <w:r>
        <w:rPr>
          <w:spacing w:val="-4"/>
          <w:sz w:val="28"/>
        </w:rPr>
        <w:t> </w:t>
      </w:r>
      <w:r>
        <w:rPr>
          <w:sz w:val="28"/>
        </w:rPr>
        <w:t>majority</w:t>
      </w:r>
      <w:r>
        <w:rPr>
          <w:spacing w:val="-4"/>
          <w:sz w:val="28"/>
        </w:rPr>
        <w:t> </w:t>
      </w:r>
      <w:r>
        <w:rPr>
          <w:sz w:val="28"/>
        </w:rPr>
        <w:t>of</w:t>
      </w:r>
      <w:r>
        <w:rPr>
          <w:spacing w:val="-5"/>
          <w:sz w:val="28"/>
        </w:rPr>
        <w:t> </w:t>
      </w:r>
      <w:r>
        <w:rPr>
          <w:sz w:val="28"/>
        </w:rPr>
        <w:t>them</w:t>
      </w:r>
      <w:r>
        <w:rPr>
          <w:spacing w:val="-4"/>
          <w:sz w:val="28"/>
        </w:rPr>
        <w:t> </w:t>
      </w:r>
      <w:r>
        <w:rPr>
          <w:sz w:val="28"/>
        </w:rPr>
        <w:t>are</w:t>
      </w:r>
      <w:r>
        <w:rPr>
          <w:spacing w:val="-4"/>
          <w:sz w:val="28"/>
        </w:rPr>
        <w:t> </w:t>
      </w:r>
      <w:r>
        <w:rPr>
          <w:sz w:val="28"/>
        </w:rPr>
        <w:t>conducted</w:t>
      </w:r>
      <w:r>
        <w:rPr>
          <w:spacing w:val="-5"/>
          <w:sz w:val="28"/>
        </w:rPr>
        <w:t> </w:t>
      </w:r>
      <w:r>
        <w:rPr>
          <w:sz w:val="28"/>
        </w:rPr>
        <w:t>on</w:t>
      </w:r>
      <w:r>
        <w:rPr>
          <w:spacing w:val="-5"/>
          <w:sz w:val="28"/>
        </w:rPr>
        <w:t> </w:t>
      </w:r>
      <w:r>
        <w:rPr>
          <w:sz w:val="28"/>
        </w:rPr>
        <w:t>children</w:t>
      </w:r>
      <w:r>
        <w:rPr>
          <w:spacing w:val="-5"/>
          <w:sz w:val="28"/>
        </w:rPr>
        <w:t> </w:t>
      </w:r>
      <w:r>
        <w:rPr>
          <w:sz w:val="28"/>
        </w:rPr>
        <w:t>belonging</w:t>
      </w:r>
      <w:r>
        <w:rPr>
          <w:spacing w:val="-4"/>
          <w:sz w:val="28"/>
        </w:rPr>
        <w:t> </w:t>
      </w:r>
      <w:r>
        <w:rPr>
          <w:sz w:val="28"/>
        </w:rPr>
        <w:t>to</w:t>
      </w:r>
      <w:r>
        <w:rPr>
          <w:spacing w:val="-5"/>
          <w:sz w:val="28"/>
        </w:rPr>
        <w:t> </w:t>
      </w:r>
      <w:r>
        <w:rPr>
          <w:sz w:val="28"/>
        </w:rPr>
        <w:t>ethnic</w:t>
      </w:r>
      <w:r>
        <w:rPr>
          <w:spacing w:val="-4"/>
          <w:sz w:val="28"/>
        </w:rPr>
        <w:t> </w:t>
      </w:r>
      <w:r>
        <w:rPr>
          <w:sz w:val="28"/>
        </w:rPr>
        <w:t>minority group” and urged the state to improve monitoring of such checks though</w:t>
      </w:r>
      <w:r>
        <w:rPr>
          <w:sz w:val="28"/>
        </w:rPr>
        <w:t> the collection and publication of disaggregated data.</w:t>
      </w:r>
      <w:r>
        <w:rPr>
          <w:sz w:val="28"/>
          <w:vertAlign w:val="superscript"/>
        </w:rPr>
        <w:t>779</w:t>
      </w:r>
      <w:r>
        <w:rPr>
          <w:sz w:val="28"/>
          <w:vertAlign w:val="baseline"/>
        </w:rPr>
        <w:t> In March 2024, the</w:t>
      </w:r>
    </w:p>
    <w:p>
      <w:pPr>
        <w:pStyle w:val="BodyText"/>
        <w:spacing w:before="5"/>
        <w:rPr>
          <w:sz w:val="3"/>
        </w:rPr>
      </w:pPr>
      <w:r>
        <w:rPr/>
        <mc:AlternateContent>
          <mc:Choice Requires="wps">
            <w:drawing>
              <wp:anchor distT="0" distB="0" distL="0" distR="0" allowOverlap="1" layoutInCell="1" locked="0" behindDoc="1" simplePos="0" relativeHeight="487716864">
                <wp:simplePos x="0" y="0"/>
                <wp:positionH relativeFrom="page">
                  <wp:posOffset>719996</wp:posOffset>
                </wp:positionH>
                <wp:positionV relativeFrom="paragraph">
                  <wp:posOffset>42249</wp:posOffset>
                </wp:positionV>
                <wp:extent cx="6120130" cy="1270"/>
                <wp:effectExtent l="0" t="0" r="0" b="0"/>
                <wp:wrapTopAndBottom/>
                <wp:docPr id="568" name="Graphic 568"/>
                <wp:cNvGraphicFramePr>
                  <a:graphicFrameLocks/>
                </wp:cNvGraphicFramePr>
                <a:graphic>
                  <a:graphicData uri="http://schemas.microsoft.com/office/word/2010/wordprocessingShape">
                    <wps:wsp>
                      <wps:cNvPr id="568" name="Graphic 568"/>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3.326734pt;width:481.9pt;height:.1pt;mso-position-horizontal-relative:page;mso-position-vertical-relative:paragraph;z-index:-15599616;mso-wrap-distance-left:0;mso-wrap-distance-right:0" id="docshape513" coordorigin="1134,67" coordsize="9638,0" path="m10772,67l1134,67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35" w:lineRule="auto" w:before="135" w:after="0"/>
        <w:ind w:left="1853" w:right="1592" w:hanging="720"/>
        <w:jc w:val="both"/>
        <w:rPr>
          <w:sz w:val="18"/>
        </w:rPr>
      </w:pPr>
      <w:r>
        <w:rPr>
          <w:sz w:val="18"/>
        </w:rPr>
        <w:t>CRC/C/GBR/CO/6-7,</w:t>
      </w:r>
      <w:r>
        <w:rPr>
          <w:spacing w:val="-1"/>
          <w:sz w:val="18"/>
        </w:rPr>
        <w:t> </w:t>
      </w:r>
      <w:r>
        <w:rPr>
          <w:sz w:val="18"/>
        </w:rPr>
        <w:t>‘UN</w:t>
      </w:r>
      <w:r>
        <w:rPr>
          <w:spacing w:val="-1"/>
          <w:sz w:val="18"/>
        </w:rPr>
        <w:t> </w:t>
      </w:r>
      <w:r>
        <w:rPr>
          <w:sz w:val="18"/>
        </w:rPr>
        <w:t>CRC</w:t>
      </w:r>
      <w:r>
        <w:rPr>
          <w:spacing w:val="-2"/>
          <w:sz w:val="18"/>
        </w:rPr>
        <w:t> </w:t>
      </w:r>
      <w:r>
        <w:rPr>
          <w:sz w:val="18"/>
        </w:rPr>
        <w:t>Committee</w:t>
      </w:r>
      <w:r>
        <w:rPr>
          <w:spacing w:val="-1"/>
          <w:sz w:val="18"/>
        </w:rPr>
        <w:t> </w:t>
      </w:r>
      <w:r>
        <w:rPr>
          <w:sz w:val="18"/>
        </w:rPr>
        <w:t>Concluding</w:t>
      </w:r>
      <w:r>
        <w:rPr>
          <w:spacing w:val="-1"/>
          <w:sz w:val="18"/>
        </w:rPr>
        <w:t> </w:t>
      </w:r>
      <w:r>
        <w:rPr>
          <w:sz w:val="18"/>
        </w:rPr>
        <w:t>Observations</w:t>
      </w:r>
      <w:r>
        <w:rPr>
          <w:spacing w:val="-2"/>
          <w:sz w:val="18"/>
        </w:rPr>
        <w:t> </w:t>
      </w:r>
      <w:r>
        <w:rPr>
          <w:sz w:val="18"/>
        </w:rPr>
        <w:t>on</w:t>
      </w:r>
      <w:r>
        <w:rPr>
          <w:spacing w:val="-2"/>
          <w:sz w:val="18"/>
        </w:rPr>
        <w:t> </w:t>
      </w:r>
      <w:r>
        <w:rPr>
          <w:sz w:val="18"/>
        </w:rPr>
        <w:t>the</w:t>
      </w:r>
      <w:r>
        <w:rPr>
          <w:spacing w:val="-1"/>
          <w:sz w:val="18"/>
        </w:rPr>
        <w:t> </w:t>
      </w:r>
      <w:r>
        <w:rPr>
          <w:sz w:val="18"/>
        </w:rPr>
        <w:t>Sixth</w:t>
      </w:r>
      <w:r>
        <w:rPr>
          <w:spacing w:val="-2"/>
          <w:sz w:val="18"/>
        </w:rPr>
        <w:t> </w:t>
      </w:r>
      <w:r>
        <w:rPr>
          <w:sz w:val="18"/>
        </w:rPr>
        <w:t>and</w:t>
      </w:r>
      <w:r>
        <w:rPr>
          <w:spacing w:val="-2"/>
          <w:sz w:val="18"/>
        </w:rPr>
        <w:t> </w:t>
      </w:r>
      <w:r>
        <w:rPr>
          <w:sz w:val="18"/>
        </w:rPr>
        <w:t>Seven</w:t>
      </w:r>
      <w:r>
        <w:rPr>
          <w:spacing w:val="-2"/>
          <w:sz w:val="18"/>
        </w:rPr>
        <w:t> </w:t>
      </w:r>
      <w:r>
        <w:rPr>
          <w:sz w:val="18"/>
        </w:rPr>
        <w:t>Periodic</w:t>
      </w:r>
      <w:r>
        <w:rPr>
          <w:spacing w:val="-1"/>
          <w:sz w:val="18"/>
        </w:rPr>
        <w:t> </w:t>
      </w:r>
      <w:r>
        <w:rPr>
          <w:sz w:val="18"/>
        </w:rPr>
        <w:t>Report</w:t>
      </w:r>
      <w:r>
        <w:rPr>
          <w:spacing w:val="-1"/>
          <w:sz w:val="18"/>
        </w:rPr>
        <w:t> </w:t>
      </w:r>
      <w:r>
        <w:rPr>
          <w:sz w:val="18"/>
        </w:rPr>
        <w:t>of</w:t>
      </w:r>
      <w:r>
        <w:rPr>
          <w:spacing w:val="-2"/>
          <w:sz w:val="18"/>
        </w:rPr>
        <w:t> </w:t>
      </w:r>
      <w:r>
        <w:rPr>
          <w:sz w:val="18"/>
        </w:rPr>
        <w:t>the</w:t>
      </w:r>
      <w:r>
        <w:rPr>
          <w:spacing w:val="-1"/>
          <w:sz w:val="18"/>
        </w:rPr>
        <w:t> </w:t>
      </w:r>
      <w:r>
        <w:rPr>
          <w:sz w:val="18"/>
        </w:rPr>
        <w:t>UK of</w:t>
      </w:r>
      <w:r>
        <w:rPr>
          <w:spacing w:val="-4"/>
          <w:sz w:val="18"/>
        </w:rPr>
        <w:t> </w:t>
      </w:r>
      <w:r>
        <w:rPr>
          <w:sz w:val="18"/>
        </w:rPr>
        <w:t>Great</w:t>
      </w:r>
      <w:r>
        <w:rPr>
          <w:spacing w:val="-3"/>
          <w:sz w:val="18"/>
        </w:rPr>
        <w:t> </w:t>
      </w:r>
      <w:r>
        <w:rPr>
          <w:sz w:val="18"/>
        </w:rPr>
        <w:t>Britain</w:t>
      </w:r>
      <w:r>
        <w:rPr>
          <w:spacing w:val="-4"/>
          <w:sz w:val="18"/>
        </w:rPr>
        <w:t> </w:t>
      </w:r>
      <w:r>
        <w:rPr>
          <w:sz w:val="18"/>
        </w:rPr>
        <w:t>and</w:t>
      </w:r>
      <w:r>
        <w:rPr>
          <w:spacing w:val="-4"/>
          <w:sz w:val="18"/>
        </w:rPr>
        <w:t> </w:t>
      </w:r>
      <w:r>
        <w:rPr>
          <w:sz w:val="18"/>
        </w:rPr>
        <w:t>NI’,</w:t>
      </w:r>
      <w:r>
        <w:rPr>
          <w:spacing w:val="-3"/>
          <w:sz w:val="18"/>
        </w:rPr>
        <w:t> </w:t>
      </w:r>
      <w:r>
        <w:rPr>
          <w:sz w:val="18"/>
        </w:rPr>
        <w:t>2</w:t>
      </w:r>
      <w:r>
        <w:rPr>
          <w:spacing w:val="-3"/>
          <w:sz w:val="18"/>
        </w:rPr>
        <w:t> </w:t>
      </w:r>
      <w:r>
        <w:rPr>
          <w:sz w:val="18"/>
        </w:rPr>
        <w:t>June</w:t>
      </w:r>
      <w:r>
        <w:rPr>
          <w:spacing w:val="-3"/>
          <w:sz w:val="18"/>
        </w:rPr>
        <w:t> </w:t>
      </w:r>
      <w:r>
        <w:rPr>
          <w:sz w:val="18"/>
        </w:rPr>
        <w:t>2023,</w:t>
      </w:r>
      <w:r>
        <w:rPr>
          <w:spacing w:val="-3"/>
          <w:sz w:val="18"/>
        </w:rPr>
        <w:t> </w:t>
      </w:r>
      <w:r>
        <w:rPr>
          <w:sz w:val="18"/>
        </w:rPr>
        <w:t>at</w:t>
      </w:r>
      <w:r>
        <w:rPr>
          <w:spacing w:val="-3"/>
          <w:sz w:val="18"/>
        </w:rPr>
        <w:t> </w:t>
      </w:r>
      <w:r>
        <w:rPr>
          <w:sz w:val="18"/>
        </w:rPr>
        <w:t>paras</w:t>
      </w:r>
      <w:r>
        <w:rPr>
          <w:spacing w:val="-4"/>
          <w:sz w:val="18"/>
        </w:rPr>
        <w:t> </w:t>
      </w:r>
      <w:r>
        <w:rPr>
          <w:sz w:val="18"/>
        </w:rPr>
        <w:t>12(c)</w:t>
      </w:r>
      <w:r>
        <w:rPr>
          <w:spacing w:val="-4"/>
          <w:sz w:val="18"/>
        </w:rPr>
        <w:t> </w:t>
      </w:r>
      <w:r>
        <w:rPr>
          <w:sz w:val="18"/>
        </w:rPr>
        <w:t>and</w:t>
      </w:r>
      <w:r>
        <w:rPr>
          <w:spacing w:val="-4"/>
          <w:sz w:val="18"/>
        </w:rPr>
        <w:t> </w:t>
      </w:r>
      <w:r>
        <w:rPr>
          <w:sz w:val="18"/>
        </w:rPr>
        <w:t>28(c).</w:t>
      </w:r>
      <w:r>
        <w:rPr>
          <w:spacing w:val="-4"/>
          <w:sz w:val="18"/>
        </w:rPr>
        <w:t> </w:t>
      </w:r>
      <w:r>
        <w:rPr>
          <w:sz w:val="18"/>
        </w:rPr>
        <w:t>See</w:t>
      </w:r>
      <w:r>
        <w:rPr>
          <w:spacing w:val="-3"/>
          <w:sz w:val="18"/>
        </w:rPr>
        <w:t> </w:t>
      </w:r>
      <w:r>
        <w:rPr>
          <w:sz w:val="18"/>
        </w:rPr>
        <w:t>also</w:t>
      </w:r>
      <w:r>
        <w:rPr>
          <w:spacing w:val="-4"/>
          <w:sz w:val="18"/>
        </w:rPr>
        <w:t> </w:t>
      </w: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3"/>
          <w:sz w:val="18"/>
        </w:rPr>
        <w:t> </w:t>
      </w:r>
      <w:r>
        <w:rPr>
          <w:sz w:val="18"/>
        </w:rPr>
        <w:t>‘Submission</w:t>
      </w:r>
      <w:r>
        <w:rPr>
          <w:spacing w:val="-4"/>
          <w:sz w:val="18"/>
        </w:rPr>
        <w:t> </w:t>
      </w:r>
      <w:r>
        <w:rPr>
          <w:sz w:val="18"/>
        </w:rPr>
        <w:t>to the UN Committee on the Rights of the Child – Parallel Report to the Pre-Session on the Combined Sixth and</w:t>
      </w:r>
    </w:p>
    <w:p>
      <w:pPr>
        <w:spacing w:line="235" w:lineRule="auto" w:before="2"/>
        <w:ind w:left="1853" w:right="1258" w:firstLine="0"/>
        <w:jc w:val="left"/>
        <w:rPr>
          <w:sz w:val="18"/>
        </w:rPr>
      </w:pPr>
      <w:r>
        <w:rPr>
          <w:sz w:val="18"/>
        </w:rPr>
        <w:t>Seventh</w:t>
      </w:r>
      <w:r>
        <w:rPr>
          <w:spacing w:val="-5"/>
          <w:sz w:val="18"/>
        </w:rPr>
        <w:t> </w:t>
      </w:r>
      <w:r>
        <w:rPr>
          <w:sz w:val="18"/>
        </w:rPr>
        <w:t>Reports</w:t>
      </w:r>
      <w:r>
        <w:rPr>
          <w:spacing w:val="-5"/>
          <w:sz w:val="18"/>
        </w:rPr>
        <w:t> </w:t>
      </w:r>
      <w:r>
        <w:rPr>
          <w:sz w:val="18"/>
        </w:rPr>
        <w:t>of</w:t>
      </w:r>
      <w:r>
        <w:rPr>
          <w:spacing w:val="-5"/>
          <w:sz w:val="18"/>
        </w:rPr>
        <w:t> </w:t>
      </w:r>
      <w:r>
        <w:rPr>
          <w:sz w:val="18"/>
        </w:rPr>
        <w:t>the</w:t>
      </w:r>
      <w:r>
        <w:rPr>
          <w:spacing w:val="-4"/>
          <w:sz w:val="18"/>
        </w:rPr>
        <w:t> </w:t>
      </w:r>
      <w:r>
        <w:rPr>
          <w:sz w:val="18"/>
        </w:rPr>
        <w:t>UK</w:t>
      </w:r>
      <w:r>
        <w:rPr>
          <w:spacing w:val="-4"/>
          <w:sz w:val="18"/>
        </w:rPr>
        <w:t> </w:t>
      </w:r>
      <w:r>
        <w:rPr>
          <w:sz w:val="18"/>
        </w:rPr>
        <w:t>of</w:t>
      </w:r>
      <w:r>
        <w:rPr>
          <w:spacing w:val="-5"/>
          <w:sz w:val="18"/>
        </w:rPr>
        <w:t> </w:t>
      </w:r>
      <w:r>
        <w:rPr>
          <w:sz w:val="18"/>
        </w:rPr>
        <w:t>Great</w:t>
      </w:r>
      <w:r>
        <w:rPr>
          <w:spacing w:val="-4"/>
          <w:sz w:val="18"/>
        </w:rPr>
        <w:t> </w:t>
      </w:r>
      <w:r>
        <w:rPr>
          <w:sz w:val="18"/>
        </w:rPr>
        <w:t>Britain</w:t>
      </w:r>
      <w:r>
        <w:rPr>
          <w:spacing w:val="-5"/>
          <w:sz w:val="18"/>
        </w:rPr>
        <w:t> </w:t>
      </w:r>
      <w:r>
        <w:rPr>
          <w:sz w:val="18"/>
        </w:rPr>
        <w:t>and</w:t>
      </w:r>
      <w:r>
        <w:rPr>
          <w:spacing w:val="-5"/>
          <w:sz w:val="18"/>
        </w:rPr>
        <w:t> </w:t>
      </w:r>
      <w:r>
        <w:rPr>
          <w:sz w:val="18"/>
        </w:rPr>
        <w:t>NI’</w:t>
      </w:r>
      <w:r>
        <w:rPr>
          <w:spacing w:val="-4"/>
          <w:sz w:val="18"/>
        </w:rPr>
        <w:t> </w:t>
      </w:r>
      <w:r>
        <w:rPr>
          <w:sz w:val="18"/>
        </w:rPr>
        <w:t>(NIHRC,</w:t>
      </w:r>
      <w:r>
        <w:rPr>
          <w:spacing w:val="-4"/>
          <w:sz w:val="18"/>
        </w:rPr>
        <w:t> </w:t>
      </w:r>
      <w:r>
        <w:rPr>
          <w:sz w:val="18"/>
        </w:rPr>
        <w:t>2023);</w:t>
      </w:r>
      <w:r>
        <w:rPr>
          <w:spacing w:val="-4"/>
          <w:sz w:val="18"/>
        </w:rPr>
        <w:t> </w:t>
      </w: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‘Annual</w:t>
      </w:r>
      <w:r>
        <w:rPr>
          <w:spacing w:val="-5"/>
          <w:sz w:val="18"/>
        </w:rPr>
        <w:t> </w:t>
      </w:r>
      <w:r>
        <w:rPr>
          <w:sz w:val="18"/>
        </w:rPr>
        <w:t>Statement</w:t>
      </w:r>
      <w:r>
        <w:rPr>
          <w:spacing w:val="-4"/>
          <w:sz w:val="18"/>
        </w:rPr>
        <w:t> </w:t>
      </w:r>
      <w:r>
        <w:rPr>
          <w:sz w:val="18"/>
        </w:rPr>
        <w:t>2023 – Human Rights in NI’ (NIHRC, 2023) and NI Human Rights Commission, ‘Annual Statement 2022 – Human Rights in NI’ (NIHRC, 2022).</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468"/>
      </w:pPr>
      <w:r>
        <w:rPr/>
        <w:t>UN Human Rights Committee called on the UK Government to, “redouble its efforts to prevent, combat and eradicate all forms of racial and ethnic discrimination…</w:t>
      </w:r>
      <w:r>
        <w:rPr>
          <w:spacing w:val="-8"/>
        </w:rPr>
        <w:t> </w:t>
      </w:r>
      <w:r>
        <w:rPr/>
        <w:t>in</w:t>
      </w:r>
      <w:r>
        <w:rPr>
          <w:spacing w:val="-8"/>
        </w:rPr>
        <w:t> </w:t>
      </w:r>
      <w:r>
        <w:rPr/>
        <w:t>the</w:t>
      </w:r>
      <w:r>
        <w:rPr>
          <w:spacing w:val="-7"/>
        </w:rPr>
        <w:t> </w:t>
      </w:r>
      <w:r>
        <w:rPr/>
        <w:t>criminal</w:t>
      </w:r>
      <w:r>
        <w:rPr>
          <w:spacing w:val="-8"/>
        </w:rPr>
        <w:t> </w:t>
      </w:r>
      <w:r>
        <w:rPr/>
        <w:t>justice</w:t>
      </w:r>
      <w:r>
        <w:rPr>
          <w:spacing w:val="-7"/>
        </w:rPr>
        <w:t> </w:t>
      </w:r>
      <w:r>
        <w:rPr/>
        <w:t>system,</w:t>
      </w:r>
      <w:r>
        <w:rPr>
          <w:spacing w:val="-7"/>
        </w:rPr>
        <w:t> </w:t>
      </w:r>
      <w:r>
        <w:rPr/>
        <w:t>stop</w:t>
      </w:r>
      <w:r>
        <w:rPr>
          <w:spacing w:val="-8"/>
        </w:rPr>
        <w:t> </w:t>
      </w:r>
      <w:r>
        <w:rPr/>
        <w:t>and</w:t>
      </w:r>
      <w:r>
        <w:rPr>
          <w:spacing w:val="-8"/>
        </w:rPr>
        <w:t> </w:t>
      </w:r>
      <w:r>
        <w:rPr/>
        <w:t>search</w:t>
      </w:r>
      <w:r>
        <w:rPr>
          <w:spacing w:val="-8"/>
        </w:rPr>
        <w:t> </w:t>
      </w:r>
      <w:r>
        <w:rPr/>
        <w:t>powers,</w:t>
      </w:r>
      <w:r>
        <w:rPr>
          <w:spacing w:val="-7"/>
        </w:rPr>
        <w:t> </w:t>
      </w:r>
      <w:r>
        <w:rPr/>
        <w:t>and public</w:t>
      </w:r>
      <w:r>
        <w:rPr>
          <w:spacing w:val="-1"/>
        </w:rPr>
        <w:t> </w:t>
      </w:r>
      <w:r>
        <w:rPr/>
        <w:t>services,</w:t>
      </w:r>
      <w:r>
        <w:rPr>
          <w:spacing w:val="-1"/>
        </w:rPr>
        <w:t> </w:t>
      </w:r>
      <w:r>
        <w:rPr/>
        <w:t>including</w:t>
      </w:r>
      <w:r>
        <w:rPr>
          <w:spacing w:val="-1"/>
        </w:rPr>
        <w:t> </w:t>
      </w:r>
      <w:r>
        <w:rPr/>
        <w:t>by</w:t>
      </w:r>
      <w:r>
        <w:rPr>
          <w:spacing w:val="-1"/>
        </w:rPr>
        <w:t> </w:t>
      </w:r>
      <w:r>
        <w:rPr/>
        <w:t>monitoring</w:t>
      </w:r>
      <w:r>
        <w:rPr>
          <w:spacing w:val="-1"/>
        </w:rPr>
        <w:t> </w:t>
      </w:r>
      <w:r>
        <w:rPr/>
        <w:t>and</w:t>
      </w:r>
      <w:r>
        <w:rPr>
          <w:spacing w:val="-2"/>
        </w:rPr>
        <w:t> </w:t>
      </w:r>
      <w:r>
        <w:rPr/>
        <w:t>assessing</w:t>
      </w:r>
      <w:r>
        <w:rPr>
          <w:spacing w:val="-1"/>
        </w:rPr>
        <w:t> </w:t>
      </w:r>
      <w:r>
        <w:rPr/>
        <w:t>legislative</w:t>
      </w:r>
      <w:r>
        <w:rPr>
          <w:spacing w:val="-1"/>
        </w:rPr>
        <w:t> </w:t>
      </w:r>
      <w:r>
        <w:rPr/>
        <w:t>and</w:t>
      </w:r>
      <w:r>
        <w:rPr>
          <w:spacing w:val="-2"/>
        </w:rPr>
        <w:t> </w:t>
      </w:r>
      <w:r>
        <w:rPr/>
        <w:t>policy measures on racism and non-discrimination”.</w:t>
      </w:r>
      <w:r>
        <w:rPr>
          <w:vertAlign w:val="superscript"/>
        </w:rPr>
        <w:t>780</w:t>
      </w:r>
    </w:p>
    <w:p>
      <w:pPr>
        <w:pStyle w:val="ListParagraph"/>
        <w:numPr>
          <w:ilvl w:val="1"/>
          <w:numId w:val="13"/>
        </w:numPr>
        <w:tabs>
          <w:tab w:pos="1853" w:val="left" w:leader="none"/>
        </w:tabs>
        <w:spacing w:line="225" w:lineRule="auto" w:before="314" w:after="0"/>
        <w:ind w:left="1853" w:right="1221" w:hanging="720"/>
        <w:jc w:val="left"/>
        <w:rPr>
          <w:sz w:val="28"/>
        </w:rPr>
      </w:pPr>
      <w:r>
        <w:rPr>
          <w:sz w:val="28"/>
        </w:rPr>
        <w:t>The ECNI commissioned research report into the impact of Brexit on minority ethnic</w:t>
      </w:r>
      <w:r>
        <w:rPr>
          <w:spacing w:val="-4"/>
          <w:sz w:val="28"/>
        </w:rPr>
        <w:t> </w:t>
      </w:r>
      <w:r>
        <w:rPr>
          <w:sz w:val="28"/>
        </w:rPr>
        <w:t>and</w:t>
      </w:r>
      <w:r>
        <w:rPr>
          <w:spacing w:val="-5"/>
          <w:sz w:val="28"/>
        </w:rPr>
        <w:t> </w:t>
      </w:r>
      <w:r>
        <w:rPr>
          <w:sz w:val="28"/>
        </w:rPr>
        <w:t>migrant</w:t>
      </w:r>
      <w:r>
        <w:rPr>
          <w:spacing w:val="-4"/>
          <w:sz w:val="28"/>
        </w:rPr>
        <w:t> </w:t>
      </w:r>
      <w:r>
        <w:rPr>
          <w:sz w:val="28"/>
        </w:rPr>
        <w:t>people</w:t>
      </w:r>
      <w:r>
        <w:rPr>
          <w:spacing w:val="-4"/>
          <w:sz w:val="28"/>
        </w:rPr>
        <w:t> </w:t>
      </w:r>
      <w:r>
        <w:rPr>
          <w:sz w:val="28"/>
        </w:rPr>
        <w:t>in</w:t>
      </w:r>
      <w:r>
        <w:rPr>
          <w:spacing w:val="-5"/>
          <w:sz w:val="28"/>
        </w:rPr>
        <w:t> </w:t>
      </w:r>
      <w:r>
        <w:rPr>
          <w:sz w:val="28"/>
        </w:rPr>
        <w:t>NI</w:t>
      </w:r>
      <w:r>
        <w:rPr>
          <w:spacing w:val="-4"/>
          <w:sz w:val="28"/>
        </w:rPr>
        <w:t> </w:t>
      </w:r>
      <w:r>
        <w:rPr>
          <w:sz w:val="28"/>
        </w:rPr>
        <w:t>(2023)</w:t>
      </w:r>
      <w:r>
        <w:rPr>
          <w:spacing w:val="-5"/>
          <w:sz w:val="28"/>
        </w:rPr>
        <w:t> </w:t>
      </w:r>
      <w:r>
        <w:rPr>
          <w:sz w:val="28"/>
        </w:rPr>
        <w:t>highlighted</w:t>
      </w:r>
      <w:r>
        <w:rPr>
          <w:spacing w:val="-5"/>
          <w:sz w:val="28"/>
        </w:rPr>
        <w:t> </w:t>
      </w:r>
      <w:r>
        <w:rPr>
          <w:sz w:val="28"/>
        </w:rPr>
        <w:t>that</w:t>
      </w:r>
      <w:r>
        <w:rPr>
          <w:spacing w:val="-4"/>
          <w:sz w:val="28"/>
        </w:rPr>
        <w:t> </w:t>
      </w:r>
      <w:r>
        <w:rPr>
          <w:sz w:val="28"/>
        </w:rPr>
        <w:t>NI</w:t>
      </w:r>
      <w:r>
        <w:rPr>
          <w:spacing w:val="-4"/>
          <w:sz w:val="28"/>
        </w:rPr>
        <w:t> </w:t>
      </w:r>
      <w:r>
        <w:rPr>
          <w:sz w:val="28"/>
        </w:rPr>
        <w:t>has</w:t>
      </w:r>
      <w:r>
        <w:rPr>
          <w:spacing w:val="-5"/>
          <w:sz w:val="28"/>
        </w:rPr>
        <w:t> </w:t>
      </w:r>
      <w:r>
        <w:rPr>
          <w:sz w:val="28"/>
        </w:rPr>
        <w:t>very</w:t>
      </w:r>
      <w:r>
        <w:rPr>
          <w:spacing w:val="-4"/>
          <w:sz w:val="28"/>
        </w:rPr>
        <w:t> </w:t>
      </w:r>
      <w:r>
        <w:rPr>
          <w:sz w:val="28"/>
        </w:rPr>
        <w:t>high</w:t>
      </w:r>
      <w:r>
        <w:rPr>
          <w:spacing w:val="-5"/>
          <w:sz w:val="28"/>
        </w:rPr>
        <w:t> </w:t>
      </w:r>
      <w:r>
        <w:rPr>
          <w:sz w:val="28"/>
        </w:rPr>
        <w:t>levels of Stop and Search which are carried out disproportionately on minority ethnic</w:t>
      </w:r>
      <w:r>
        <w:rPr>
          <w:spacing w:val="-8"/>
          <w:sz w:val="28"/>
        </w:rPr>
        <w:t> </w:t>
      </w:r>
      <w:r>
        <w:rPr>
          <w:sz w:val="28"/>
        </w:rPr>
        <w:t>people,</w:t>
      </w:r>
      <w:r>
        <w:rPr>
          <w:spacing w:val="-8"/>
          <w:sz w:val="28"/>
        </w:rPr>
        <w:t> </w:t>
      </w:r>
      <w:r>
        <w:rPr>
          <w:sz w:val="28"/>
        </w:rPr>
        <w:t>with</w:t>
      </w:r>
      <w:r>
        <w:rPr>
          <w:spacing w:val="-9"/>
          <w:sz w:val="28"/>
        </w:rPr>
        <w:t> </w:t>
      </w:r>
      <w:r>
        <w:rPr>
          <w:sz w:val="28"/>
        </w:rPr>
        <w:t>Irish</w:t>
      </w:r>
      <w:r>
        <w:rPr>
          <w:spacing w:val="-9"/>
          <w:sz w:val="28"/>
        </w:rPr>
        <w:t> </w:t>
      </w:r>
      <w:r>
        <w:rPr>
          <w:sz w:val="28"/>
        </w:rPr>
        <w:t>Travellers</w:t>
      </w:r>
      <w:r>
        <w:rPr>
          <w:spacing w:val="-9"/>
          <w:sz w:val="28"/>
        </w:rPr>
        <w:t> </w:t>
      </w:r>
      <w:r>
        <w:rPr>
          <w:sz w:val="28"/>
        </w:rPr>
        <w:t>the</w:t>
      </w:r>
      <w:r>
        <w:rPr>
          <w:spacing w:val="-8"/>
          <w:sz w:val="28"/>
        </w:rPr>
        <w:t> </w:t>
      </w:r>
      <w:r>
        <w:rPr>
          <w:sz w:val="28"/>
        </w:rPr>
        <w:t>ethnic</w:t>
      </w:r>
      <w:r>
        <w:rPr>
          <w:spacing w:val="-8"/>
          <w:sz w:val="28"/>
        </w:rPr>
        <w:t> </w:t>
      </w:r>
      <w:r>
        <w:rPr>
          <w:sz w:val="28"/>
        </w:rPr>
        <w:t>group</w:t>
      </w:r>
      <w:r>
        <w:rPr>
          <w:spacing w:val="-9"/>
          <w:sz w:val="28"/>
        </w:rPr>
        <w:t> </w:t>
      </w:r>
      <w:r>
        <w:rPr>
          <w:sz w:val="28"/>
        </w:rPr>
        <w:t>most</w:t>
      </w:r>
      <w:r>
        <w:rPr>
          <w:spacing w:val="-8"/>
          <w:sz w:val="28"/>
        </w:rPr>
        <w:t> </w:t>
      </w:r>
      <w:r>
        <w:rPr>
          <w:sz w:val="28"/>
        </w:rPr>
        <w:t>likely</w:t>
      </w:r>
      <w:r>
        <w:rPr>
          <w:spacing w:val="-8"/>
          <w:sz w:val="28"/>
        </w:rPr>
        <w:t> </w:t>
      </w:r>
      <w:r>
        <w:rPr>
          <w:sz w:val="28"/>
        </w:rPr>
        <w:t>to</w:t>
      </w:r>
      <w:r>
        <w:rPr>
          <w:spacing w:val="-9"/>
          <w:sz w:val="28"/>
        </w:rPr>
        <w:t> </w:t>
      </w:r>
      <w:r>
        <w:rPr>
          <w:sz w:val="28"/>
        </w:rPr>
        <w:t>be</w:t>
      </w:r>
      <w:r>
        <w:rPr>
          <w:spacing w:val="-8"/>
          <w:sz w:val="28"/>
        </w:rPr>
        <w:t> </w:t>
      </w:r>
      <w:r>
        <w:rPr>
          <w:sz w:val="28"/>
        </w:rPr>
        <w:t>affected, followed by Black and ‘other ethnic’ groups.</w:t>
      </w:r>
      <w:r>
        <w:rPr>
          <w:sz w:val="28"/>
          <w:vertAlign w:val="superscript"/>
        </w:rPr>
        <w:t>781</w:t>
      </w:r>
      <w:r>
        <w:rPr>
          <w:sz w:val="28"/>
          <w:vertAlign w:val="baseline"/>
        </w:rPr>
        <w:t> In light of this, the ECNI has highlighted the need for the PSNI to take effective actions to ensure racial profiling does not occur during Stop and Search. These actions include the robust collection, analysis, and regular publication of Stop and Search data</w:t>
      </w:r>
    </w:p>
    <w:p>
      <w:pPr>
        <w:pStyle w:val="BodyText"/>
        <w:spacing w:line="225" w:lineRule="auto"/>
        <w:ind w:left="1853" w:right="1301"/>
      </w:pPr>
      <w:r>
        <w:rPr/>
        <w:t>on minority ethnic groups to increase transparency and accountability and identify</w:t>
      </w:r>
      <w:r>
        <w:rPr>
          <w:spacing w:val="-9"/>
        </w:rPr>
        <w:t> </w:t>
      </w:r>
      <w:r>
        <w:rPr/>
        <w:t>trends</w:t>
      </w:r>
      <w:r>
        <w:rPr>
          <w:spacing w:val="-10"/>
        </w:rPr>
        <w:t> </w:t>
      </w:r>
      <w:r>
        <w:rPr/>
        <w:t>resulting</w:t>
      </w:r>
      <w:r>
        <w:rPr>
          <w:spacing w:val="-9"/>
        </w:rPr>
        <w:t> </w:t>
      </w:r>
      <w:r>
        <w:rPr/>
        <w:t>from</w:t>
      </w:r>
      <w:r>
        <w:rPr>
          <w:spacing w:val="-9"/>
        </w:rPr>
        <w:t> </w:t>
      </w:r>
      <w:r>
        <w:rPr/>
        <w:t>Brexit.</w:t>
      </w:r>
      <w:r>
        <w:rPr>
          <w:spacing w:val="-10"/>
        </w:rPr>
        <w:t> </w:t>
      </w:r>
      <w:r>
        <w:rPr/>
        <w:t>It</w:t>
      </w:r>
      <w:r>
        <w:rPr>
          <w:spacing w:val="-9"/>
        </w:rPr>
        <w:t> </w:t>
      </w:r>
      <w:r>
        <w:rPr/>
        <w:t>called</w:t>
      </w:r>
      <w:r>
        <w:rPr>
          <w:spacing w:val="-10"/>
        </w:rPr>
        <w:t> </w:t>
      </w:r>
      <w:r>
        <w:rPr/>
        <w:t>for</w:t>
      </w:r>
      <w:r>
        <w:rPr>
          <w:spacing w:val="-9"/>
        </w:rPr>
        <w:t> </w:t>
      </w:r>
      <w:r>
        <w:rPr/>
        <w:t>effective</w:t>
      </w:r>
      <w:r>
        <w:rPr>
          <w:spacing w:val="-9"/>
        </w:rPr>
        <w:t> </w:t>
      </w:r>
      <w:r>
        <w:rPr/>
        <w:t>action</w:t>
      </w:r>
      <w:r>
        <w:rPr>
          <w:spacing w:val="-10"/>
        </w:rPr>
        <w:t> </w:t>
      </w:r>
      <w:r>
        <w:rPr/>
        <w:t>to</w:t>
      </w:r>
      <w:r>
        <w:rPr>
          <w:spacing w:val="-10"/>
        </w:rPr>
        <w:t> </w:t>
      </w:r>
      <w:r>
        <w:rPr/>
        <w:t>be</w:t>
      </w:r>
      <w:r>
        <w:rPr>
          <w:spacing w:val="-9"/>
        </w:rPr>
        <w:t> </w:t>
      </w:r>
      <w:r>
        <w:rPr/>
        <w:t>taken to address any identified impact of Brexit on levels of Stop and Search on minority ethnic people in NI.</w:t>
      </w:r>
      <w:r>
        <w:rPr>
          <w:vertAlign w:val="superscript"/>
        </w:rPr>
        <w:t>782</w:t>
      </w:r>
    </w:p>
    <w:p>
      <w:pPr>
        <w:pStyle w:val="ListParagraph"/>
        <w:numPr>
          <w:ilvl w:val="1"/>
          <w:numId w:val="13"/>
        </w:numPr>
        <w:tabs>
          <w:tab w:pos="1853" w:val="left" w:leader="none"/>
        </w:tabs>
        <w:spacing w:line="225" w:lineRule="auto" w:before="304" w:after="0"/>
        <w:ind w:left="1853" w:right="1135" w:hanging="720"/>
        <w:jc w:val="left"/>
        <w:rPr>
          <w:sz w:val="28"/>
        </w:rPr>
      </w:pPr>
      <w:r>
        <w:rPr>
          <w:sz w:val="28"/>
        </w:rPr>
        <w:t>The ECNI has previously called for measures to be taken to implement guidance and training for criminal justice agencies, including the PSNI, which should include training on equality rights, awareness of the particular needs</w:t>
      </w:r>
      <w:r>
        <w:rPr>
          <w:spacing w:val="40"/>
          <w:sz w:val="28"/>
        </w:rPr>
        <w:t> </w:t>
      </w:r>
      <w:r>
        <w:rPr>
          <w:sz w:val="28"/>
        </w:rPr>
        <w:t>of equality groups, and on tackling prejudicial attitudes. Further to that, the ECNI</w:t>
      </w:r>
      <w:r>
        <w:rPr>
          <w:spacing w:val="-7"/>
          <w:sz w:val="28"/>
        </w:rPr>
        <w:t> </w:t>
      </w:r>
      <w:r>
        <w:rPr>
          <w:sz w:val="28"/>
        </w:rPr>
        <w:t>consider</w:t>
      </w:r>
      <w:r>
        <w:rPr>
          <w:spacing w:val="-7"/>
          <w:sz w:val="28"/>
        </w:rPr>
        <w:t> </w:t>
      </w:r>
      <w:r>
        <w:rPr>
          <w:sz w:val="28"/>
        </w:rPr>
        <w:t>it</w:t>
      </w:r>
      <w:r>
        <w:rPr>
          <w:spacing w:val="-7"/>
          <w:sz w:val="28"/>
        </w:rPr>
        <w:t> </w:t>
      </w:r>
      <w:r>
        <w:rPr>
          <w:sz w:val="28"/>
        </w:rPr>
        <w:t>important</w:t>
      </w:r>
      <w:r>
        <w:rPr>
          <w:spacing w:val="-7"/>
          <w:sz w:val="28"/>
        </w:rPr>
        <w:t> </w:t>
      </w:r>
      <w:r>
        <w:rPr>
          <w:sz w:val="28"/>
        </w:rPr>
        <w:t>that</w:t>
      </w:r>
      <w:r>
        <w:rPr>
          <w:spacing w:val="-7"/>
          <w:sz w:val="28"/>
        </w:rPr>
        <w:t> </w:t>
      </w:r>
      <w:r>
        <w:rPr>
          <w:sz w:val="28"/>
        </w:rPr>
        <w:t>the</w:t>
      </w:r>
      <w:r>
        <w:rPr>
          <w:spacing w:val="-7"/>
          <w:sz w:val="28"/>
        </w:rPr>
        <w:t> </w:t>
      </w:r>
      <w:r>
        <w:rPr>
          <w:sz w:val="28"/>
        </w:rPr>
        <w:t>PSNI</w:t>
      </w:r>
      <w:r>
        <w:rPr>
          <w:spacing w:val="-7"/>
          <w:sz w:val="28"/>
        </w:rPr>
        <w:t> </w:t>
      </w:r>
      <w:r>
        <w:rPr>
          <w:sz w:val="28"/>
        </w:rPr>
        <w:t>ensures</w:t>
      </w:r>
      <w:r>
        <w:rPr>
          <w:spacing w:val="-8"/>
          <w:sz w:val="28"/>
        </w:rPr>
        <w:t> </w:t>
      </w:r>
      <w:r>
        <w:rPr>
          <w:sz w:val="28"/>
        </w:rPr>
        <w:t>regular</w:t>
      </w:r>
      <w:r>
        <w:rPr>
          <w:spacing w:val="-7"/>
          <w:sz w:val="28"/>
        </w:rPr>
        <w:t> </w:t>
      </w:r>
      <w:r>
        <w:rPr>
          <w:sz w:val="28"/>
        </w:rPr>
        <w:t>and</w:t>
      </w:r>
      <w:r>
        <w:rPr>
          <w:spacing w:val="-8"/>
          <w:sz w:val="28"/>
        </w:rPr>
        <w:t> </w:t>
      </w:r>
      <w:r>
        <w:rPr>
          <w:sz w:val="28"/>
        </w:rPr>
        <w:t>effective</w:t>
      </w:r>
      <w:r>
        <w:rPr>
          <w:spacing w:val="-7"/>
          <w:sz w:val="28"/>
        </w:rPr>
        <w:t> </w:t>
      </w:r>
      <w:r>
        <w:rPr>
          <w:sz w:val="28"/>
        </w:rPr>
        <w:t>training, supported by guidance, including for frontline officers who are carrying out Stop and Search, so as to prevent any racial profiling.</w:t>
      </w:r>
      <w:r>
        <w:rPr>
          <w:sz w:val="28"/>
          <w:vertAlign w:val="superscript"/>
        </w:rPr>
        <w:t>783</w:t>
      </w:r>
    </w:p>
    <w:p>
      <w:pPr>
        <w:pStyle w:val="ListParagraph"/>
        <w:numPr>
          <w:ilvl w:val="1"/>
          <w:numId w:val="13"/>
        </w:numPr>
        <w:tabs>
          <w:tab w:pos="1853" w:val="left" w:leader="none"/>
        </w:tabs>
        <w:spacing w:line="225" w:lineRule="auto" w:before="311" w:after="0"/>
        <w:ind w:left="1853" w:right="1147" w:hanging="720"/>
        <w:jc w:val="left"/>
        <w:rPr>
          <w:sz w:val="28"/>
        </w:rPr>
      </w:pPr>
      <w:r>
        <w:rPr>
          <w:sz w:val="28"/>
        </w:rPr>
        <w:t>In December 2023, the ECNI responded to the NI Office consultation on an updated</w:t>
      </w:r>
      <w:r>
        <w:rPr>
          <w:spacing w:val="-7"/>
          <w:sz w:val="28"/>
        </w:rPr>
        <w:t> </w:t>
      </w:r>
      <w:r>
        <w:rPr>
          <w:sz w:val="28"/>
        </w:rPr>
        <w:t>Code</w:t>
      </w:r>
      <w:r>
        <w:rPr>
          <w:spacing w:val="-6"/>
          <w:sz w:val="28"/>
        </w:rPr>
        <w:t> </w:t>
      </w:r>
      <w:r>
        <w:rPr>
          <w:sz w:val="28"/>
        </w:rPr>
        <w:t>of</w:t>
      </w:r>
      <w:r>
        <w:rPr>
          <w:spacing w:val="-7"/>
          <w:sz w:val="28"/>
        </w:rPr>
        <w:t> </w:t>
      </w:r>
      <w:r>
        <w:rPr>
          <w:sz w:val="28"/>
        </w:rPr>
        <w:t>Practice</w:t>
      </w:r>
      <w:r>
        <w:rPr>
          <w:spacing w:val="-6"/>
          <w:sz w:val="28"/>
        </w:rPr>
        <w:t> </w:t>
      </w:r>
      <w:r>
        <w:rPr>
          <w:sz w:val="28"/>
        </w:rPr>
        <w:t>on</w:t>
      </w:r>
      <w:r>
        <w:rPr>
          <w:spacing w:val="-7"/>
          <w:sz w:val="28"/>
        </w:rPr>
        <w:t> </w:t>
      </w:r>
      <w:r>
        <w:rPr>
          <w:sz w:val="28"/>
        </w:rPr>
        <w:t>the</w:t>
      </w:r>
      <w:r>
        <w:rPr>
          <w:spacing w:val="-6"/>
          <w:sz w:val="28"/>
        </w:rPr>
        <w:t> </w:t>
      </w:r>
      <w:r>
        <w:rPr>
          <w:sz w:val="28"/>
        </w:rPr>
        <w:t>exercise</w:t>
      </w:r>
      <w:r>
        <w:rPr>
          <w:spacing w:val="-7"/>
          <w:sz w:val="28"/>
        </w:rPr>
        <w:t> </w:t>
      </w:r>
      <w:r>
        <w:rPr>
          <w:sz w:val="28"/>
        </w:rPr>
        <w:t>of</w:t>
      </w:r>
      <w:r>
        <w:rPr>
          <w:spacing w:val="-7"/>
          <w:sz w:val="28"/>
        </w:rPr>
        <w:t> </w:t>
      </w:r>
      <w:r>
        <w:rPr>
          <w:sz w:val="28"/>
        </w:rPr>
        <w:t>stop</w:t>
      </w:r>
      <w:r>
        <w:rPr>
          <w:spacing w:val="-7"/>
          <w:sz w:val="28"/>
        </w:rPr>
        <w:t> </w:t>
      </w:r>
      <w:r>
        <w:rPr>
          <w:sz w:val="28"/>
        </w:rPr>
        <w:t>and</w:t>
      </w:r>
      <w:r>
        <w:rPr>
          <w:spacing w:val="-7"/>
          <w:sz w:val="28"/>
        </w:rPr>
        <w:t> </w:t>
      </w:r>
      <w:r>
        <w:rPr>
          <w:sz w:val="28"/>
        </w:rPr>
        <w:t>search</w:t>
      </w:r>
      <w:r>
        <w:rPr>
          <w:spacing w:val="-7"/>
          <w:sz w:val="28"/>
        </w:rPr>
        <w:t> </w:t>
      </w:r>
      <w:r>
        <w:rPr>
          <w:sz w:val="28"/>
        </w:rPr>
        <w:t>powers</w:t>
      </w:r>
      <w:r>
        <w:rPr>
          <w:spacing w:val="-7"/>
          <w:sz w:val="28"/>
        </w:rPr>
        <w:t> </w:t>
      </w:r>
      <w:r>
        <w:rPr>
          <w:sz w:val="28"/>
        </w:rPr>
        <w:t>in</w:t>
      </w:r>
      <w:r>
        <w:rPr>
          <w:spacing w:val="-7"/>
          <w:sz w:val="28"/>
        </w:rPr>
        <w:t> </w:t>
      </w:r>
      <w:r>
        <w:rPr>
          <w:sz w:val="28"/>
        </w:rPr>
        <w:t>relation to the Terrorism Act 2000.</w:t>
      </w:r>
      <w:r>
        <w:rPr>
          <w:spacing w:val="40"/>
          <w:sz w:val="28"/>
        </w:rPr>
        <w:t> </w:t>
      </w:r>
      <w:r>
        <w:rPr>
          <w:sz w:val="28"/>
        </w:rPr>
        <w:t>In its response, the ECNI reinforced the need for the PSNI to take action to ensure that individuals are not subjected to racial profiling when officers are carrying out Stop and Search functions.</w:t>
      </w:r>
      <w:r>
        <w:rPr>
          <w:sz w:val="28"/>
          <w:vertAlign w:val="superscript"/>
        </w:rPr>
        <w:t>784</w:t>
      </w:r>
    </w:p>
    <w:p>
      <w:pPr>
        <w:pStyle w:val="BodyText"/>
        <w:rPr>
          <w:sz w:val="20"/>
        </w:rPr>
      </w:pPr>
    </w:p>
    <w:p>
      <w:pPr>
        <w:pStyle w:val="BodyText"/>
        <w:rPr>
          <w:sz w:val="20"/>
        </w:rPr>
      </w:pPr>
    </w:p>
    <w:p>
      <w:pPr>
        <w:pStyle w:val="BodyText"/>
        <w:rPr>
          <w:sz w:val="20"/>
        </w:rPr>
      </w:pPr>
    </w:p>
    <w:p>
      <w:pPr>
        <w:pStyle w:val="BodyText"/>
        <w:spacing w:before="210"/>
        <w:rPr>
          <w:sz w:val="20"/>
        </w:rPr>
      </w:pPr>
      <w:r>
        <w:rPr/>
        <mc:AlternateContent>
          <mc:Choice Requires="wps">
            <w:drawing>
              <wp:anchor distT="0" distB="0" distL="0" distR="0" allowOverlap="1" layoutInCell="1" locked="0" behindDoc="1" simplePos="0" relativeHeight="487717376">
                <wp:simplePos x="0" y="0"/>
                <wp:positionH relativeFrom="page">
                  <wp:posOffset>719996</wp:posOffset>
                </wp:positionH>
                <wp:positionV relativeFrom="paragraph">
                  <wp:posOffset>304233</wp:posOffset>
                </wp:positionV>
                <wp:extent cx="6120130" cy="1270"/>
                <wp:effectExtent l="0" t="0" r="0" b="0"/>
                <wp:wrapTopAndBottom/>
                <wp:docPr id="569" name="Graphic 569"/>
                <wp:cNvGraphicFramePr>
                  <a:graphicFrameLocks/>
                </wp:cNvGraphicFramePr>
                <a:graphic>
                  <a:graphicData uri="http://schemas.microsoft.com/office/word/2010/wordprocessingShape">
                    <wps:wsp>
                      <wps:cNvPr id="569" name="Graphic 56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3.955421pt;width:481.9pt;height:.1pt;mso-position-horizontal-relative:page;mso-position-vertical-relative:paragraph;z-index:-15599104;mso-wrap-distance-left:0;mso-wrap-distance-right:0" id="docshape514" coordorigin="1134,479" coordsize="9638,0" path="m10772,479l1134,479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35" w:lineRule="auto" w:before="135" w:after="0"/>
        <w:ind w:left="1853" w:right="1219" w:hanging="720"/>
        <w:jc w:val="left"/>
        <w:rPr>
          <w:sz w:val="18"/>
        </w:rPr>
      </w:pPr>
      <w:r>
        <w:rPr>
          <w:sz w:val="18"/>
        </w:rPr>
        <w:t>CCPR/C/GBR/CO/8,</w:t>
      </w:r>
      <w:r>
        <w:rPr>
          <w:spacing w:val="-4"/>
          <w:sz w:val="18"/>
        </w:rPr>
        <w:t> </w:t>
      </w:r>
      <w:r>
        <w:rPr>
          <w:sz w:val="18"/>
        </w:rPr>
        <w:t>‘Concluding</w:t>
      </w:r>
      <w:r>
        <w:rPr>
          <w:spacing w:val="-4"/>
          <w:sz w:val="18"/>
        </w:rPr>
        <w:t> </w:t>
      </w:r>
      <w:r>
        <w:rPr>
          <w:sz w:val="18"/>
        </w:rPr>
        <w:t>observations</w:t>
      </w:r>
      <w:r>
        <w:rPr>
          <w:spacing w:val="-5"/>
          <w:sz w:val="18"/>
        </w:rPr>
        <w:t> </w:t>
      </w:r>
      <w:r>
        <w:rPr>
          <w:sz w:val="18"/>
        </w:rPr>
        <w:t>on</w:t>
      </w:r>
      <w:r>
        <w:rPr>
          <w:spacing w:val="-5"/>
          <w:sz w:val="18"/>
        </w:rPr>
        <w:t> </w:t>
      </w:r>
      <w:r>
        <w:rPr>
          <w:sz w:val="18"/>
        </w:rPr>
        <w:t>the</w:t>
      </w:r>
      <w:r>
        <w:rPr>
          <w:spacing w:val="-4"/>
          <w:sz w:val="18"/>
        </w:rPr>
        <w:t> </w:t>
      </w:r>
      <w:r>
        <w:rPr>
          <w:sz w:val="18"/>
        </w:rPr>
        <w:t>eighth</w:t>
      </w:r>
      <w:r>
        <w:rPr>
          <w:spacing w:val="-5"/>
          <w:sz w:val="18"/>
        </w:rPr>
        <w:t> </w:t>
      </w:r>
      <w:r>
        <w:rPr>
          <w:sz w:val="18"/>
        </w:rPr>
        <w:t>periodic</w:t>
      </w:r>
      <w:r>
        <w:rPr>
          <w:spacing w:val="-4"/>
          <w:sz w:val="18"/>
        </w:rPr>
        <w:t> </w:t>
      </w:r>
      <w:r>
        <w:rPr>
          <w:sz w:val="18"/>
        </w:rPr>
        <w:t>report</w:t>
      </w:r>
      <w:r>
        <w:rPr>
          <w:spacing w:val="-4"/>
          <w:sz w:val="18"/>
        </w:rPr>
        <w:t> </w:t>
      </w:r>
      <w:r>
        <w:rPr>
          <w:sz w:val="18"/>
        </w:rPr>
        <w:t>of</w:t>
      </w:r>
      <w:r>
        <w:rPr>
          <w:spacing w:val="-5"/>
          <w:sz w:val="18"/>
        </w:rPr>
        <w:t> </w:t>
      </w:r>
      <w:r>
        <w:rPr>
          <w:sz w:val="18"/>
        </w:rPr>
        <w:t>UK</w:t>
      </w:r>
      <w:r>
        <w:rPr>
          <w:spacing w:val="-4"/>
          <w:sz w:val="18"/>
        </w:rPr>
        <w:t> </w:t>
      </w:r>
      <w:r>
        <w:rPr>
          <w:sz w:val="18"/>
        </w:rPr>
        <w:t>of</w:t>
      </w:r>
      <w:r>
        <w:rPr>
          <w:spacing w:val="-5"/>
          <w:sz w:val="18"/>
        </w:rPr>
        <w:t> </w:t>
      </w:r>
      <w:r>
        <w:rPr>
          <w:sz w:val="18"/>
        </w:rPr>
        <w:t>Great</w:t>
      </w:r>
      <w:r>
        <w:rPr>
          <w:spacing w:val="-4"/>
          <w:sz w:val="18"/>
        </w:rPr>
        <w:t> </w:t>
      </w:r>
      <w:r>
        <w:rPr>
          <w:sz w:val="18"/>
        </w:rPr>
        <w:t>Britain</w:t>
      </w:r>
      <w:r>
        <w:rPr>
          <w:spacing w:val="-5"/>
          <w:sz w:val="18"/>
        </w:rPr>
        <w:t> </w:t>
      </w:r>
      <w:r>
        <w:rPr>
          <w:sz w:val="18"/>
        </w:rPr>
        <w:t>and</w:t>
      </w:r>
      <w:r>
        <w:rPr>
          <w:spacing w:val="-5"/>
          <w:sz w:val="18"/>
        </w:rPr>
        <w:t> </w:t>
      </w:r>
      <w:r>
        <w:rPr>
          <w:sz w:val="18"/>
        </w:rPr>
        <w:t>NI’,</w:t>
      </w:r>
      <w:r>
        <w:rPr>
          <w:spacing w:val="-4"/>
          <w:sz w:val="18"/>
        </w:rPr>
        <w:t> </w:t>
      </w:r>
      <w:r>
        <w:rPr>
          <w:sz w:val="18"/>
        </w:rPr>
        <w:t>28</w:t>
      </w:r>
      <w:r>
        <w:rPr>
          <w:spacing w:val="-4"/>
          <w:sz w:val="18"/>
        </w:rPr>
        <w:t> </w:t>
      </w:r>
      <w:r>
        <w:rPr>
          <w:sz w:val="18"/>
        </w:rPr>
        <w:t>March</w:t>
      </w:r>
      <w:r>
        <w:rPr>
          <w:spacing w:val="-5"/>
          <w:sz w:val="18"/>
        </w:rPr>
        <w:t> </w:t>
      </w:r>
      <w:r>
        <w:rPr>
          <w:sz w:val="18"/>
        </w:rPr>
        <w:t>2024, at para 15.</w:t>
      </w:r>
      <w:r>
        <w:rPr>
          <w:spacing w:val="40"/>
          <w:sz w:val="18"/>
        </w:rPr>
        <w:t> </w:t>
      </w:r>
      <w:r>
        <w:rPr>
          <w:sz w:val="18"/>
        </w:rPr>
        <w:t>See also NI Human Rights Commission, ‘Submission to the UN Human Rights Committee on the United Kingdom’s Eighth Periodic Report on Compliance with the International Covenant on Civil and Political Rights’</w:t>
      </w:r>
    </w:p>
    <w:p>
      <w:pPr>
        <w:spacing w:line="216" w:lineRule="exact" w:before="0"/>
        <w:ind w:left="1853" w:right="0" w:firstLine="0"/>
        <w:jc w:val="left"/>
        <w:rPr>
          <w:sz w:val="18"/>
        </w:rPr>
      </w:pPr>
      <w:r>
        <w:rPr>
          <w:sz w:val="18"/>
        </w:rPr>
        <w:t>(NIHRC,</w:t>
      </w:r>
      <w:r>
        <w:rPr>
          <w:spacing w:val="-3"/>
          <w:sz w:val="18"/>
        </w:rPr>
        <w:t> </w:t>
      </w:r>
      <w:r>
        <w:rPr>
          <w:spacing w:val="-2"/>
          <w:sz w:val="18"/>
        </w:rPr>
        <w:t>2024).</w:t>
      </w:r>
    </w:p>
    <w:p>
      <w:pPr>
        <w:pStyle w:val="ListParagraph"/>
        <w:numPr>
          <w:ilvl w:val="0"/>
          <w:numId w:val="11"/>
        </w:numPr>
        <w:tabs>
          <w:tab w:pos="1853" w:val="left" w:leader="none"/>
        </w:tabs>
        <w:spacing w:line="216" w:lineRule="exact" w:before="0" w:after="0"/>
        <w:ind w:left="1853" w:right="0" w:hanging="720"/>
        <w:jc w:val="both"/>
        <w:rPr>
          <w:sz w:val="18"/>
        </w:rPr>
      </w:pPr>
      <w:r>
        <w:rPr>
          <w:sz w:val="18"/>
        </w:rPr>
        <w:t>Pivotal,</w:t>
      </w:r>
      <w:r>
        <w:rPr>
          <w:spacing w:val="-5"/>
          <w:sz w:val="18"/>
        </w:rPr>
        <w:t> </w:t>
      </w:r>
      <w:r>
        <w:rPr>
          <w:sz w:val="18"/>
        </w:rPr>
        <w:t>‘Impact</w:t>
      </w:r>
      <w:r>
        <w:rPr>
          <w:spacing w:val="-2"/>
          <w:sz w:val="18"/>
        </w:rPr>
        <w:t> </w:t>
      </w:r>
      <w:r>
        <w:rPr>
          <w:sz w:val="18"/>
        </w:rPr>
        <w:t>of</w:t>
      </w:r>
      <w:r>
        <w:rPr>
          <w:spacing w:val="-3"/>
          <w:sz w:val="18"/>
        </w:rPr>
        <w:t> </w:t>
      </w:r>
      <w:r>
        <w:rPr>
          <w:sz w:val="18"/>
        </w:rPr>
        <w:t>Brexit</w:t>
      </w:r>
      <w:r>
        <w:rPr>
          <w:spacing w:val="-2"/>
          <w:sz w:val="18"/>
        </w:rPr>
        <w:t> </w:t>
      </w:r>
      <w:r>
        <w:rPr>
          <w:sz w:val="18"/>
        </w:rPr>
        <w:t>on</w:t>
      </w:r>
      <w:r>
        <w:rPr>
          <w:spacing w:val="-3"/>
          <w:sz w:val="18"/>
        </w:rPr>
        <w:t> </w:t>
      </w:r>
      <w:r>
        <w:rPr>
          <w:sz w:val="18"/>
        </w:rPr>
        <w:t>Minority</w:t>
      </w:r>
      <w:r>
        <w:rPr>
          <w:spacing w:val="-2"/>
          <w:sz w:val="18"/>
        </w:rPr>
        <w:t> </w:t>
      </w:r>
      <w:r>
        <w:rPr>
          <w:sz w:val="18"/>
        </w:rPr>
        <w:t>Ethnic</w:t>
      </w:r>
      <w:r>
        <w:rPr>
          <w:spacing w:val="-2"/>
          <w:sz w:val="18"/>
        </w:rPr>
        <w:t> </w:t>
      </w:r>
      <w:r>
        <w:rPr>
          <w:sz w:val="18"/>
        </w:rPr>
        <w:t>People</w:t>
      </w:r>
      <w:r>
        <w:rPr>
          <w:spacing w:val="-2"/>
          <w:sz w:val="18"/>
        </w:rPr>
        <w:t> </w:t>
      </w:r>
      <w:r>
        <w:rPr>
          <w:sz w:val="18"/>
        </w:rPr>
        <w:t>in</w:t>
      </w:r>
      <w:r>
        <w:rPr>
          <w:spacing w:val="-3"/>
          <w:sz w:val="18"/>
        </w:rPr>
        <w:t> </w:t>
      </w:r>
      <w:r>
        <w:rPr>
          <w:sz w:val="18"/>
        </w:rPr>
        <w:t>NI’</w:t>
      </w:r>
      <w:r>
        <w:rPr>
          <w:spacing w:val="-2"/>
          <w:sz w:val="18"/>
        </w:rPr>
        <w:t> </w:t>
      </w:r>
      <w:r>
        <w:rPr>
          <w:sz w:val="18"/>
        </w:rPr>
        <w:t>(ECNI,</w:t>
      </w:r>
      <w:r>
        <w:rPr>
          <w:spacing w:val="-2"/>
          <w:sz w:val="18"/>
        </w:rPr>
        <w:t> 2023).</w:t>
      </w:r>
    </w:p>
    <w:p>
      <w:pPr>
        <w:pStyle w:val="ListParagraph"/>
        <w:numPr>
          <w:ilvl w:val="0"/>
          <w:numId w:val="11"/>
        </w:numPr>
        <w:tabs>
          <w:tab w:pos="1853" w:val="left" w:leader="none"/>
        </w:tabs>
        <w:spacing w:line="235" w:lineRule="auto" w:before="1" w:after="0"/>
        <w:ind w:left="1853" w:right="1259" w:hanging="720"/>
        <w:jc w:val="left"/>
        <w:rPr>
          <w:sz w:val="18"/>
        </w:rPr>
      </w:pP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’Policy</w:t>
      </w:r>
      <w:r>
        <w:rPr>
          <w:spacing w:val="-4"/>
          <w:sz w:val="18"/>
        </w:rPr>
        <w:t> </w:t>
      </w:r>
      <w:r>
        <w:rPr>
          <w:sz w:val="18"/>
        </w:rPr>
        <w:t>Recommendations: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Minority</w:t>
      </w:r>
      <w:r>
        <w:rPr>
          <w:spacing w:val="-4"/>
          <w:sz w:val="18"/>
        </w:rPr>
        <w:t> </w:t>
      </w:r>
      <w:r>
        <w:rPr>
          <w:sz w:val="18"/>
        </w:rPr>
        <w:t>Ethnic</w:t>
      </w:r>
      <w:r>
        <w:rPr>
          <w:spacing w:val="-4"/>
          <w:sz w:val="18"/>
        </w:rPr>
        <w:t> </w:t>
      </w:r>
      <w:r>
        <w:rPr>
          <w:sz w:val="18"/>
        </w:rPr>
        <w:t>and</w:t>
      </w:r>
      <w:r>
        <w:rPr>
          <w:spacing w:val="-5"/>
          <w:sz w:val="18"/>
        </w:rPr>
        <w:t> </w:t>
      </w:r>
      <w:r>
        <w:rPr>
          <w:sz w:val="18"/>
        </w:rPr>
        <w:t>Migrant</w:t>
      </w:r>
      <w:r>
        <w:rPr>
          <w:spacing w:val="-4"/>
          <w:sz w:val="18"/>
        </w:rPr>
        <w:t> </w:t>
      </w:r>
      <w:r>
        <w:rPr>
          <w:sz w:val="18"/>
        </w:rPr>
        <w:t>People</w:t>
      </w:r>
      <w:r>
        <w:rPr>
          <w:spacing w:val="-4"/>
          <w:sz w:val="18"/>
        </w:rPr>
        <w:t> </w:t>
      </w:r>
      <w:r>
        <w:rPr>
          <w:sz w:val="18"/>
        </w:rPr>
        <w:t>in</w:t>
      </w:r>
      <w:r>
        <w:rPr>
          <w:spacing w:val="-5"/>
          <w:sz w:val="18"/>
        </w:rPr>
        <w:t> </w:t>
      </w:r>
      <w:r>
        <w:rPr>
          <w:sz w:val="18"/>
        </w:rPr>
        <w:t>NI’ (ECNI, 2024).</w:t>
      </w:r>
    </w:p>
    <w:p>
      <w:pPr>
        <w:pStyle w:val="ListParagraph"/>
        <w:numPr>
          <w:ilvl w:val="0"/>
          <w:numId w:val="11"/>
        </w:numPr>
        <w:tabs>
          <w:tab w:pos="1853" w:val="left" w:leader="none"/>
        </w:tabs>
        <w:spacing w:line="216" w:lineRule="exact" w:before="0" w:after="0"/>
        <w:ind w:left="1853" w:right="0" w:hanging="720"/>
        <w:jc w:val="both"/>
        <w:rPr>
          <w:sz w:val="18"/>
        </w:rPr>
      </w:pPr>
      <w:r>
        <w:rPr>
          <w:sz w:val="18"/>
        </w:rPr>
        <w:t>Ibid,</w:t>
      </w:r>
      <w:r>
        <w:rPr>
          <w:spacing w:val="-3"/>
          <w:sz w:val="18"/>
        </w:rPr>
        <w:t> </w:t>
      </w:r>
      <w:r>
        <w:rPr>
          <w:sz w:val="18"/>
        </w:rPr>
        <w:t>at</w:t>
      </w:r>
      <w:r>
        <w:rPr>
          <w:spacing w:val="-2"/>
          <w:sz w:val="18"/>
        </w:rPr>
        <w:t> </w:t>
      </w:r>
      <w:r>
        <w:rPr>
          <w:sz w:val="18"/>
        </w:rPr>
        <w:t>46-</w:t>
      </w:r>
      <w:r>
        <w:rPr>
          <w:spacing w:val="-5"/>
          <w:sz w:val="18"/>
        </w:rPr>
        <w:t>48.</w:t>
      </w:r>
    </w:p>
    <w:p>
      <w:pPr>
        <w:pStyle w:val="ListParagraph"/>
        <w:numPr>
          <w:ilvl w:val="0"/>
          <w:numId w:val="11"/>
        </w:numPr>
        <w:tabs>
          <w:tab w:pos="1853" w:val="left" w:leader="none"/>
        </w:tabs>
        <w:spacing w:line="235" w:lineRule="auto" w:before="2" w:after="0"/>
        <w:ind w:left="1853" w:right="1232" w:hanging="720"/>
        <w:jc w:val="both"/>
        <w:rPr>
          <w:sz w:val="18"/>
        </w:rPr>
      </w:pPr>
      <w:r>
        <w:rPr>
          <w:sz w:val="18"/>
        </w:rPr>
        <w:t>Equality</w:t>
      </w:r>
      <w:r>
        <w:rPr>
          <w:spacing w:val="-2"/>
          <w:sz w:val="18"/>
        </w:rPr>
        <w:t> </w:t>
      </w:r>
      <w:r>
        <w:rPr>
          <w:sz w:val="18"/>
        </w:rPr>
        <w:t>Commission</w:t>
      </w:r>
      <w:r>
        <w:rPr>
          <w:spacing w:val="-3"/>
          <w:sz w:val="18"/>
        </w:rPr>
        <w:t> </w:t>
      </w:r>
      <w:r>
        <w:rPr>
          <w:sz w:val="18"/>
        </w:rPr>
        <w:t>for</w:t>
      </w:r>
      <w:r>
        <w:rPr>
          <w:spacing w:val="-2"/>
          <w:sz w:val="18"/>
        </w:rPr>
        <w:t> </w:t>
      </w:r>
      <w:r>
        <w:rPr>
          <w:sz w:val="18"/>
        </w:rPr>
        <w:t>NI,</w:t>
      </w:r>
      <w:r>
        <w:rPr>
          <w:spacing w:val="-2"/>
          <w:sz w:val="18"/>
        </w:rPr>
        <w:t> </w:t>
      </w:r>
      <w:r>
        <w:rPr>
          <w:sz w:val="18"/>
        </w:rPr>
        <w:t>‘Response</w:t>
      </w:r>
      <w:r>
        <w:rPr>
          <w:spacing w:val="-2"/>
          <w:sz w:val="18"/>
        </w:rPr>
        <w:t> </w:t>
      </w:r>
      <w:r>
        <w:rPr>
          <w:sz w:val="18"/>
        </w:rPr>
        <w:t>to</w:t>
      </w:r>
      <w:r>
        <w:rPr>
          <w:spacing w:val="-3"/>
          <w:sz w:val="18"/>
        </w:rPr>
        <w:t> </w:t>
      </w:r>
      <w:r>
        <w:rPr>
          <w:sz w:val="18"/>
        </w:rPr>
        <w:t>the</w:t>
      </w:r>
      <w:r>
        <w:rPr>
          <w:spacing w:val="-2"/>
          <w:sz w:val="18"/>
        </w:rPr>
        <w:t> </w:t>
      </w:r>
      <w:r>
        <w:rPr>
          <w:sz w:val="18"/>
        </w:rPr>
        <w:t>consultation</w:t>
      </w:r>
      <w:r>
        <w:rPr>
          <w:spacing w:val="-3"/>
          <w:sz w:val="18"/>
        </w:rPr>
        <w:t> </w:t>
      </w:r>
      <w:r>
        <w:rPr>
          <w:sz w:val="18"/>
        </w:rPr>
        <w:t>by</w:t>
      </w:r>
      <w:r>
        <w:rPr>
          <w:spacing w:val="-2"/>
          <w:sz w:val="18"/>
        </w:rPr>
        <w:t> </w:t>
      </w:r>
      <w:r>
        <w:rPr>
          <w:sz w:val="18"/>
        </w:rPr>
        <w:t>the</w:t>
      </w:r>
      <w:r>
        <w:rPr>
          <w:spacing w:val="-2"/>
          <w:sz w:val="18"/>
        </w:rPr>
        <w:t> </w:t>
      </w:r>
      <w:r>
        <w:rPr>
          <w:sz w:val="18"/>
        </w:rPr>
        <w:t>Northern</w:t>
      </w:r>
      <w:r>
        <w:rPr>
          <w:spacing w:val="-3"/>
          <w:sz w:val="18"/>
        </w:rPr>
        <w:t> </w:t>
      </w:r>
      <w:r>
        <w:rPr>
          <w:sz w:val="18"/>
        </w:rPr>
        <w:t>Ireland</w:t>
      </w:r>
      <w:r>
        <w:rPr>
          <w:spacing w:val="-3"/>
          <w:sz w:val="18"/>
        </w:rPr>
        <w:t> </w:t>
      </w:r>
      <w:r>
        <w:rPr>
          <w:sz w:val="18"/>
        </w:rPr>
        <w:t>Office:</w:t>
      </w:r>
      <w:r>
        <w:rPr>
          <w:spacing w:val="-2"/>
          <w:sz w:val="18"/>
        </w:rPr>
        <w:t> </w:t>
      </w:r>
      <w:r>
        <w:rPr>
          <w:sz w:val="18"/>
        </w:rPr>
        <w:t>Update</w:t>
      </w:r>
      <w:r>
        <w:rPr>
          <w:spacing w:val="-2"/>
          <w:sz w:val="18"/>
        </w:rPr>
        <w:t> </w:t>
      </w:r>
      <w:r>
        <w:rPr>
          <w:sz w:val="18"/>
        </w:rPr>
        <w:t>of</w:t>
      </w:r>
      <w:r>
        <w:rPr>
          <w:spacing w:val="-3"/>
          <w:sz w:val="18"/>
        </w:rPr>
        <w:t> </w:t>
      </w:r>
      <w:r>
        <w:rPr>
          <w:sz w:val="18"/>
        </w:rPr>
        <w:t>the</w:t>
      </w:r>
      <w:r>
        <w:rPr>
          <w:spacing w:val="-2"/>
          <w:sz w:val="18"/>
        </w:rPr>
        <w:t> </w:t>
      </w:r>
      <w:r>
        <w:rPr>
          <w:sz w:val="18"/>
        </w:rPr>
        <w:t>Code</w:t>
      </w:r>
      <w:r>
        <w:rPr>
          <w:spacing w:val="-2"/>
          <w:sz w:val="18"/>
        </w:rPr>
        <w:t> </w:t>
      </w:r>
      <w:r>
        <w:rPr>
          <w:sz w:val="18"/>
        </w:rPr>
        <w:t>of</w:t>
      </w:r>
      <w:r>
        <w:rPr>
          <w:spacing w:val="-3"/>
          <w:sz w:val="18"/>
        </w:rPr>
        <w:t> </w:t>
      </w:r>
      <w:r>
        <w:rPr>
          <w:sz w:val="18"/>
        </w:rPr>
        <w:t>Practice (Northern</w:t>
      </w:r>
      <w:r>
        <w:rPr>
          <w:spacing w:val="-5"/>
          <w:sz w:val="18"/>
        </w:rPr>
        <w:t> </w:t>
      </w:r>
      <w:r>
        <w:rPr>
          <w:sz w:val="18"/>
        </w:rPr>
        <w:t>Ireland)</w:t>
      </w:r>
      <w:r>
        <w:rPr>
          <w:spacing w:val="-5"/>
          <w:sz w:val="18"/>
        </w:rPr>
        <w:t> </w:t>
      </w:r>
      <w:r>
        <w:rPr>
          <w:sz w:val="18"/>
        </w:rPr>
        <w:t>for</w:t>
      </w:r>
      <w:r>
        <w:rPr>
          <w:spacing w:val="-4"/>
          <w:sz w:val="18"/>
        </w:rPr>
        <w:t> </w:t>
      </w:r>
      <w:r>
        <w:rPr>
          <w:sz w:val="18"/>
        </w:rPr>
        <w:t>the</w:t>
      </w:r>
      <w:r>
        <w:rPr>
          <w:spacing w:val="-4"/>
          <w:sz w:val="18"/>
        </w:rPr>
        <w:t> </w:t>
      </w:r>
      <w:r>
        <w:rPr>
          <w:sz w:val="18"/>
        </w:rPr>
        <w:t>Authorisation</w:t>
      </w:r>
      <w:r>
        <w:rPr>
          <w:spacing w:val="-5"/>
          <w:sz w:val="18"/>
        </w:rPr>
        <w:t> </w:t>
      </w:r>
      <w:r>
        <w:rPr>
          <w:sz w:val="18"/>
        </w:rPr>
        <w:t>and</w:t>
      </w:r>
      <w:r>
        <w:rPr>
          <w:spacing w:val="-5"/>
          <w:sz w:val="18"/>
        </w:rPr>
        <w:t> </w:t>
      </w:r>
      <w:r>
        <w:rPr>
          <w:sz w:val="18"/>
        </w:rPr>
        <w:t>Exercise</w:t>
      </w:r>
      <w:r>
        <w:rPr>
          <w:spacing w:val="-4"/>
          <w:sz w:val="18"/>
        </w:rPr>
        <w:t> </w:t>
      </w:r>
      <w:r>
        <w:rPr>
          <w:sz w:val="18"/>
        </w:rPr>
        <w:t>of</w:t>
      </w:r>
      <w:r>
        <w:rPr>
          <w:spacing w:val="-5"/>
          <w:sz w:val="18"/>
        </w:rPr>
        <w:t> </w:t>
      </w:r>
      <w:r>
        <w:rPr>
          <w:sz w:val="18"/>
        </w:rPr>
        <w:t>Stop</w:t>
      </w:r>
      <w:r>
        <w:rPr>
          <w:spacing w:val="-5"/>
          <w:sz w:val="18"/>
        </w:rPr>
        <w:t> </w:t>
      </w:r>
      <w:r>
        <w:rPr>
          <w:sz w:val="18"/>
        </w:rPr>
        <w:t>and</w:t>
      </w:r>
      <w:r>
        <w:rPr>
          <w:spacing w:val="-5"/>
          <w:sz w:val="18"/>
        </w:rPr>
        <w:t> </w:t>
      </w:r>
      <w:r>
        <w:rPr>
          <w:sz w:val="18"/>
        </w:rPr>
        <w:t>search</w:t>
      </w:r>
      <w:r>
        <w:rPr>
          <w:spacing w:val="-5"/>
          <w:sz w:val="18"/>
        </w:rPr>
        <w:t> </w:t>
      </w:r>
      <w:r>
        <w:rPr>
          <w:sz w:val="18"/>
        </w:rPr>
        <w:t>Powers</w:t>
      </w:r>
      <w:r>
        <w:rPr>
          <w:spacing w:val="-5"/>
          <w:sz w:val="18"/>
        </w:rPr>
        <w:t> </w:t>
      </w:r>
      <w:r>
        <w:rPr>
          <w:sz w:val="18"/>
        </w:rPr>
        <w:t>relating</w:t>
      </w:r>
      <w:r>
        <w:rPr>
          <w:spacing w:val="-4"/>
          <w:sz w:val="18"/>
        </w:rPr>
        <w:t> </w:t>
      </w:r>
      <w:r>
        <w:rPr>
          <w:sz w:val="18"/>
        </w:rPr>
        <w:t>to</w:t>
      </w:r>
      <w:r>
        <w:rPr>
          <w:spacing w:val="-5"/>
          <w:sz w:val="18"/>
        </w:rPr>
        <w:t> </w:t>
      </w:r>
      <w:r>
        <w:rPr>
          <w:sz w:val="18"/>
        </w:rPr>
        <w:t>Sections,</w:t>
      </w:r>
      <w:r>
        <w:rPr>
          <w:spacing w:val="-4"/>
          <w:sz w:val="18"/>
        </w:rPr>
        <w:t> </w:t>
      </w:r>
      <w:r>
        <w:rPr>
          <w:sz w:val="18"/>
        </w:rPr>
        <w:t>43,</w:t>
      </w:r>
      <w:r>
        <w:rPr>
          <w:spacing w:val="-4"/>
          <w:sz w:val="18"/>
        </w:rPr>
        <w:t> </w:t>
      </w:r>
      <w:r>
        <w:rPr>
          <w:sz w:val="18"/>
        </w:rPr>
        <w:t>43A,</w:t>
      </w:r>
      <w:r>
        <w:rPr>
          <w:spacing w:val="-4"/>
          <w:sz w:val="18"/>
        </w:rPr>
        <w:t> </w:t>
      </w:r>
      <w:r>
        <w:rPr>
          <w:sz w:val="18"/>
        </w:rPr>
        <w:t>and</w:t>
      </w:r>
      <w:r>
        <w:rPr>
          <w:spacing w:val="-5"/>
          <w:sz w:val="18"/>
        </w:rPr>
        <w:t> </w:t>
      </w:r>
      <w:r>
        <w:rPr>
          <w:sz w:val="18"/>
        </w:rPr>
        <w:t>47A</w:t>
      </w:r>
      <w:r>
        <w:rPr>
          <w:spacing w:val="-4"/>
          <w:sz w:val="18"/>
        </w:rPr>
        <w:t> </w:t>
      </w:r>
      <w:r>
        <w:rPr>
          <w:sz w:val="18"/>
        </w:rPr>
        <w:t>of, and Schedule 6B to, the Terrorism Act 2000’ (ECNI, 2024), at 8 and 1.</w:t>
      </w:r>
    </w:p>
    <w:p>
      <w:pPr>
        <w:spacing w:after="0" w:line="235" w:lineRule="auto"/>
        <w:jc w:val="both"/>
        <w:rPr>
          <w:sz w:val="18"/>
        </w:rPr>
        <w:sectPr>
          <w:pgSz w:w="11910" w:h="16840"/>
          <w:pgMar w:header="496" w:footer="367" w:top="1220" w:bottom="560" w:left="0" w:right="0"/>
        </w:sectPr>
      </w:pPr>
    </w:p>
    <w:p>
      <w:pPr>
        <w:pStyle w:val="BodyText"/>
        <w:spacing w:before="201"/>
        <w:rPr>
          <w:sz w:val="20"/>
        </w:rPr>
      </w:pPr>
    </w:p>
    <w:p>
      <w:pPr>
        <w:pStyle w:val="BodyText"/>
        <w:ind w:left="1133"/>
        <w:rPr>
          <w:sz w:val="20"/>
        </w:rPr>
      </w:pPr>
      <w:bookmarkStart w:name="_bookmark52" w:id="117"/>
      <w:bookmarkEnd w:id="117"/>
      <w:r>
        <w:rPr/>
      </w:r>
      <w:r>
        <w:rPr>
          <w:sz w:val="20"/>
        </w:rPr>
        <mc:AlternateContent>
          <mc:Choice Requires="wps">
            <w:drawing>
              <wp:inline distT="0" distB="0" distL="0" distR="0">
                <wp:extent cx="6120130" cy="360680"/>
                <wp:effectExtent l="0" t="0" r="0" b="0"/>
                <wp:docPr id="581" name="Textbox 581"/>
                <wp:cNvGraphicFramePr>
                  <a:graphicFrameLocks/>
                </wp:cNvGraphicFramePr>
                <a:graphic>
                  <a:graphicData uri="http://schemas.microsoft.com/office/word/2010/wordprocessingShape">
                    <wps:wsp>
                      <wps:cNvPr id="581" name="Textbox 581"/>
                      <wps:cNvSpPr txBox="1"/>
                      <wps:spPr>
                        <a:xfrm>
                          <a:off x="0" y="0"/>
                          <a:ext cx="6120130" cy="360680"/>
                        </a:xfrm>
                        <a:prstGeom prst="rect">
                          <a:avLst/>
                        </a:prstGeom>
                        <a:solidFill>
                          <a:srgbClr val="393B7F"/>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inline>
            </w:drawing>
          </mc:Choice>
          <mc:Fallback>
            <w:pict>
              <v:shape style="width:481.9pt;height:28.4pt;mso-position-horizontal-relative:char;mso-position-vertical-relative:line" type="#_x0000_t202" id="docshape526" filled="true" fillcolor="#393b7f" stroked="false">
                <w10:anchorlock/>
                <v:textbox inset="0,0,0,0">
                  <w:txbxContent>
                    <w:p>
                      <w:pPr>
                        <w:spacing w:before="103"/>
                        <w:ind w:left="800" w:right="0" w:firstLine="0"/>
                        <w:jc w:val="left"/>
                        <w:rPr>
                          <w:b/>
                          <w:color w:val="000000"/>
                          <w:sz w:val="28"/>
                        </w:rPr>
                      </w:pPr>
                      <w:r>
                        <w:rPr>
                          <w:b/>
                          <w:color w:val="FFFFFF"/>
                          <w:spacing w:val="-2"/>
                          <w:sz w:val="28"/>
                        </w:rPr>
                        <w:t>Recommendations</w:t>
                      </w:r>
                    </w:p>
                  </w:txbxContent>
                </v:textbox>
                <v:fill type="solid"/>
              </v:shape>
            </w:pict>
          </mc:Fallback>
        </mc:AlternateContent>
      </w:r>
      <w:r>
        <w:rPr>
          <w:sz w:val="20"/>
        </w:rPr>
      </w:r>
    </w:p>
    <w:p>
      <w:pPr>
        <w:pStyle w:val="ListParagraph"/>
        <w:numPr>
          <w:ilvl w:val="1"/>
          <w:numId w:val="13"/>
        </w:numPr>
        <w:tabs>
          <w:tab w:pos="1853" w:val="left" w:leader="none"/>
        </w:tabs>
        <w:spacing w:line="225" w:lineRule="auto" w:before="190" w:after="0"/>
        <w:ind w:left="1853" w:right="1272" w:hanging="720"/>
        <w:jc w:val="left"/>
        <w:rPr>
          <w:b/>
          <w:color w:val="67287F"/>
          <w:sz w:val="28"/>
        </w:rPr>
      </w:pPr>
      <w:r>
        <w:rPr>
          <w:b/>
          <w:color w:val="67287F"/>
          <w:sz w:val="28"/>
        </w:rPr>
        <w:t>The</w:t>
      </w:r>
      <w:r>
        <w:rPr>
          <w:b/>
          <w:color w:val="67287F"/>
          <w:spacing w:val="-6"/>
          <w:sz w:val="28"/>
        </w:rPr>
        <w:t> </w:t>
      </w:r>
      <w:r>
        <w:rPr>
          <w:b/>
          <w:color w:val="67287F"/>
          <w:sz w:val="28"/>
        </w:rPr>
        <w:t>ECNI</w:t>
      </w:r>
      <w:r>
        <w:rPr>
          <w:b/>
          <w:color w:val="67287F"/>
          <w:spacing w:val="-5"/>
          <w:sz w:val="28"/>
        </w:rPr>
        <w:t> </w:t>
      </w:r>
      <w:r>
        <w:rPr>
          <w:b/>
          <w:color w:val="67287F"/>
          <w:sz w:val="28"/>
        </w:rPr>
        <w:t>recommends</w:t>
      </w:r>
      <w:r>
        <w:rPr>
          <w:b/>
          <w:color w:val="67287F"/>
          <w:spacing w:val="-5"/>
          <w:sz w:val="28"/>
        </w:rPr>
        <w:t> </w:t>
      </w:r>
      <w:r>
        <w:rPr>
          <w:b/>
          <w:color w:val="67287F"/>
          <w:sz w:val="28"/>
        </w:rPr>
        <w:t>the</w:t>
      </w:r>
      <w:r>
        <w:rPr>
          <w:b/>
          <w:color w:val="67287F"/>
          <w:spacing w:val="-6"/>
          <w:sz w:val="28"/>
        </w:rPr>
        <w:t> </w:t>
      </w:r>
      <w:r>
        <w:rPr>
          <w:b/>
          <w:color w:val="67287F"/>
          <w:sz w:val="28"/>
        </w:rPr>
        <w:t>Police</w:t>
      </w:r>
      <w:r>
        <w:rPr>
          <w:b/>
          <w:color w:val="67287F"/>
          <w:spacing w:val="-6"/>
          <w:sz w:val="28"/>
        </w:rPr>
        <w:t> </w:t>
      </w:r>
      <w:r>
        <w:rPr>
          <w:b/>
          <w:color w:val="67287F"/>
          <w:sz w:val="28"/>
        </w:rPr>
        <w:t>Service</w:t>
      </w:r>
      <w:r>
        <w:rPr>
          <w:b/>
          <w:color w:val="67287F"/>
          <w:spacing w:val="-6"/>
          <w:sz w:val="28"/>
        </w:rPr>
        <w:t> </w:t>
      </w:r>
      <w:r>
        <w:rPr>
          <w:b/>
          <w:color w:val="67287F"/>
          <w:sz w:val="28"/>
        </w:rPr>
        <w:t>of</w:t>
      </w:r>
      <w:r>
        <w:rPr>
          <w:b/>
          <w:color w:val="67287F"/>
          <w:spacing w:val="-6"/>
          <w:sz w:val="28"/>
        </w:rPr>
        <w:t> </w:t>
      </w:r>
      <w:r>
        <w:rPr>
          <w:b/>
          <w:color w:val="67287F"/>
          <w:sz w:val="28"/>
        </w:rPr>
        <w:t>NI</w:t>
      </w:r>
      <w:r>
        <w:rPr>
          <w:b/>
          <w:color w:val="67287F"/>
          <w:spacing w:val="-5"/>
          <w:sz w:val="28"/>
        </w:rPr>
        <w:t> </w:t>
      </w:r>
      <w:r>
        <w:rPr>
          <w:b/>
          <w:color w:val="67287F"/>
          <w:sz w:val="28"/>
        </w:rPr>
        <w:t>consider</w:t>
      </w:r>
      <w:r>
        <w:rPr>
          <w:b/>
          <w:color w:val="67287F"/>
          <w:spacing w:val="-6"/>
          <w:sz w:val="28"/>
        </w:rPr>
        <w:t> </w:t>
      </w:r>
      <w:r>
        <w:rPr>
          <w:b/>
          <w:color w:val="67287F"/>
          <w:sz w:val="28"/>
        </w:rPr>
        <w:t>any</w:t>
      </w:r>
      <w:r>
        <w:rPr>
          <w:b/>
          <w:color w:val="67287F"/>
          <w:spacing w:val="-5"/>
          <w:sz w:val="28"/>
        </w:rPr>
        <w:t> </w:t>
      </w:r>
      <w:r>
        <w:rPr>
          <w:b/>
          <w:color w:val="67287F"/>
          <w:sz w:val="28"/>
        </w:rPr>
        <w:t>impact</w:t>
      </w:r>
      <w:r>
        <w:rPr>
          <w:b/>
          <w:color w:val="67287F"/>
          <w:spacing w:val="-5"/>
          <w:sz w:val="28"/>
        </w:rPr>
        <w:t> </w:t>
      </w:r>
      <w:r>
        <w:rPr>
          <w:b/>
          <w:color w:val="67287F"/>
          <w:sz w:val="28"/>
        </w:rPr>
        <w:t>of</w:t>
      </w:r>
      <w:r>
        <w:rPr>
          <w:b/>
          <w:color w:val="67287F"/>
          <w:spacing w:val="-6"/>
          <w:sz w:val="28"/>
        </w:rPr>
        <w:t> </w:t>
      </w:r>
      <w:r>
        <w:rPr>
          <w:b/>
          <w:color w:val="67287F"/>
          <w:sz w:val="28"/>
        </w:rPr>
        <w:t>Brexit on levels of Stop and Search on minority ethnic people and take effective action to address any identified impact.</w:t>
      </w:r>
      <w:r>
        <w:rPr>
          <w:b/>
          <w:color w:val="67287F"/>
          <w:spacing w:val="80"/>
          <w:sz w:val="28"/>
        </w:rPr>
        <w:t> </w:t>
      </w:r>
      <w:r>
        <w:rPr>
          <w:b/>
          <w:color w:val="67287F"/>
          <w:sz w:val="28"/>
        </w:rPr>
        <w:t>The Police Service of NI should</w:t>
      </w:r>
      <w:r>
        <w:rPr>
          <w:b/>
          <w:color w:val="67287F"/>
          <w:sz w:val="28"/>
        </w:rPr>
        <w:t> also ensure the robust collection and analysis, and regular publication, of Stop and Search data on minority ethnic people and effective training and guidance, including for officers carrying out stop and search, on anti-racism</w:t>
      </w:r>
    </w:p>
    <w:p>
      <w:pPr>
        <w:spacing w:line="318" w:lineRule="exact" w:before="0"/>
        <w:ind w:left="1853" w:right="0" w:firstLine="0"/>
        <w:jc w:val="left"/>
        <w:rPr>
          <w:b/>
          <w:sz w:val="28"/>
        </w:rPr>
      </w:pPr>
      <w:r>
        <w:rPr>
          <w:b/>
          <w:color w:val="67287F"/>
          <w:sz w:val="28"/>
        </w:rPr>
        <w:t>and</w:t>
      </w:r>
      <w:r>
        <w:rPr>
          <w:b/>
          <w:color w:val="67287F"/>
          <w:spacing w:val="-6"/>
          <w:sz w:val="28"/>
        </w:rPr>
        <w:t> </w:t>
      </w:r>
      <w:r>
        <w:rPr>
          <w:b/>
          <w:color w:val="67287F"/>
          <w:sz w:val="28"/>
        </w:rPr>
        <w:t>cultural</w:t>
      </w:r>
      <w:r>
        <w:rPr>
          <w:b/>
          <w:color w:val="67287F"/>
          <w:spacing w:val="-6"/>
          <w:sz w:val="28"/>
        </w:rPr>
        <w:t> </w:t>
      </w:r>
      <w:r>
        <w:rPr>
          <w:b/>
          <w:color w:val="67287F"/>
          <w:sz w:val="28"/>
        </w:rPr>
        <w:t>diversity</w:t>
      </w:r>
      <w:r>
        <w:rPr>
          <w:b/>
          <w:color w:val="67287F"/>
          <w:spacing w:val="-6"/>
          <w:sz w:val="28"/>
        </w:rPr>
        <w:t> </w:t>
      </w:r>
      <w:r>
        <w:rPr>
          <w:b/>
          <w:color w:val="67287F"/>
          <w:sz w:val="28"/>
        </w:rPr>
        <w:t>so</w:t>
      </w:r>
      <w:r>
        <w:rPr>
          <w:b/>
          <w:color w:val="67287F"/>
          <w:spacing w:val="-5"/>
          <w:sz w:val="28"/>
        </w:rPr>
        <w:t> </w:t>
      </w:r>
      <w:r>
        <w:rPr>
          <w:b/>
          <w:color w:val="67287F"/>
          <w:sz w:val="28"/>
        </w:rPr>
        <w:t>as</w:t>
      </w:r>
      <w:r>
        <w:rPr>
          <w:b/>
          <w:color w:val="67287F"/>
          <w:spacing w:val="-6"/>
          <w:sz w:val="28"/>
        </w:rPr>
        <w:t> </w:t>
      </w:r>
      <w:r>
        <w:rPr>
          <w:b/>
          <w:color w:val="67287F"/>
          <w:sz w:val="28"/>
        </w:rPr>
        <w:t>to</w:t>
      </w:r>
      <w:r>
        <w:rPr>
          <w:b/>
          <w:color w:val="67287F"/>
          <w:spacing w:val="-6"/>
          <w:sz w:val="28"/>
        </w:rPr>
        <w:t> </w:t>
      </w:r>
      <w:r>
        <w:rPr>
          <w:b/>
          <w:color w:val="67287F"/>
          <w:sz w:val="28"/>
        </w:rPr>
        <w:t>prevent</w:t>
      </w:r>
      <w:r>
        <w:rPr>
          <w:b/>
          <w:color w:val="67287F"/>
          <w:spacing w:val="-6"/>
          <w:sz w:val="28"/>
        </w:rPr>
        <w:t> </w:t>
      </w:r>
      <w:r>
        <w:rPr>
          <w:b/>
          <w:color w:val="67287F"/>
          <w:sz w:val="28"/>
        </w:rPr>
        <w:t>any</w:t>
      </w:r>
      <w:r>
        <w:rPr>
          <w:b/>
          <w:color w:val="67287F"/>
          <w:spacing w:val="-5"/>
          <w:sz w:val="28"/>
        </w:rPr>
        <w:t> </w:t>
      </w:r>
      <w:r>
        <w:rPr>
          <w:b/>
          <w:color w:val="67287F"/>
          <w:sz w:val="28"/>
        </w:rPr>
        <w:t>racial</w:t>
      </w:r>
      <w:r>
        <w:rPr>
          <w:b/>
          <w:color w:val="67287F"/>
          <w:spacing w:val="-6"/>
          <w:sz w:val="28"/>
        </w:rPr>
        <w:t> </w:t>
      </w:r>
      <w:r>
        <w:rPr>
          <w:b/>
          <w:color w:val="67287F"/>
          <w:sz w:val="28"/>
        </w:rPr>
        <w:t>profiling</w:t>
      </w:r>
      <w:r>
        <w:rPr>
          <w:b/>
          <w:color w:val="67287F"/>
          <w:spacing w:val="-7"/>
          <w:sz w:val="28"/>
        </w:rPr>
        <w:t> </w:t>
      </w:r>
      <w:r>
        <w:rPr>
          <w:b/>
          <w:color w:val="67287F"/>
          <w:sz w:val="28"/>
        </w:rPr>
        <w:t>in</w:t>
      </w:r>
      <w:r>
        <w:rPr>
          <w:b/>
          <w:color w:val="67287F"/>
          <w:spacing w:val="-5"/>
          <w:sz w:val="28"/>
        </w:rPr>
        <w:t> </w:t>
      </w:r>
      <w:r>
        <w:rPr>
          <w:b/>
          <w:color w:val="67287F"/>
          <w:sz w:val="28"/>
        </w:rPr>
        <w:t>Stop</w:t>
      </w:r>
      <w:r>
        <w:rPr>
          <w:b/>
          <w:color w:val="67287F"/>
          <w:spacing w:val="-6"/>
          <w:sz w:val="28"/>
        </w:rPr>
        <w:t> </w:t>
      </w:r>
      <w:r>
        <w:rPr>
          <w:b/>
          <w:color w:val="67287F"/>
          <w:sz w:val="28"/>
        </w:rPr>
        <w:t>and</w:t>
      </w:r>
      <w:r>
        <w:rPr>
          <w:b/>
          <w:color w:val="67287F"/>
          <w:spacing w:val="-6"/>
          <w:sz w:val="28"/>
        </w:rPr>
        <w:t> </w:t>
      </w:r>
      <w:r>
        <w:rPr>
          <w:b/>
          <w:color w:val="67287F"/>
          <w:spacing w:val="-2"/>
          <w:sz w:val="28"/>
        </w:rPr>
        <w:t>Search.</w:t>
      </w:r>
    </w:p>
    <w:p>
      <w:pPr>
        <w:pStyle w:val="BodyText"/>
        <w:spacing w:before="80"/>
        <w:rPr>
          <w:b/>
        </w:rPr>
      </w:pPr>
    </w:p>
    <w:p>
      <w:pPr>
        <w:pStyle w:val="Heading3"/>
        <w:spacing w:before="1"/>
      </w:pPr>
      <w:bookmarkStart w:name="EU Settlement Scheme" w:id="118"/>
      <w:bookmarkEnd w:id="118"/>
      <w:r>
        <w:rPr>
          <w:b w:val="0"/>
        </w:rPr>
      </w:r>
      <w:r>
        <w:rPr>
          <w:color w:val="67287F"/>
        </w:rPr>
        <w:t>EU</w:t>
      </w:r>
      <w:r>
        <w:rPr>
          <w:color w:val="67287F"/>
          <w:spacing w:val="-16"/>
        </w:rPr>
        <w:t> </w:t>
      </w:r>
      <w:r>
        <w:rPr>
          <w:color w:val="67287F"/>
        </w:rPr>
        <w:t>Settlement</w:t>
      </w:r>
      <w:r>
        <w:rPr>
          <w:color w:val="67287F"/>
          <w:spacing w:val="-15"/>
        </w:rPr>
        <w:t> </w:t>
      </w:r>
      <w:r>
        <w:rPr>
          <w:color w:val="67287F"/>
          <w:spacing w:val="-2"/>
        </w:rPr>
        <w:t>Scheme</w:t>
      </w:r>
    </w:p>
    <w:p>
      <w:pPr>
        <w:pStyle w:val="BodyText"/>
        <w:spacing w:before="3"/>
        <w:rPr>
          <w:b/>
          <w:sz w:val="5"/>
        </w:rPr>
      </w:pPr>
      <w:r>
        <w:rPr/>
        <mc:AlternateContent>
          <mc:Choice Requires="wps">
            <w:drawing>
              <wp:anchor distT="0" distB="0" distL="0" distR="0" allowOverlap="1" layoutInCell="1" locked="0" behindDoc="1" simplePos="0" relativeHeight="487718400">
                <wp:simplePos x="0" y="0"/>
                <wp:positionH relativeFrom="page">
                  <wp:posOffset>719996</wp:posOffset>
                </wp:positionH>
                <wp:positionV relativeFrom="paragraph">
                  <wp:posOffset>56016</wp:posOffset>
                </wp:positionV>
                <wp:extent cx="6120130" cy="1270"/>
                <wp:effectExtent l="0" t="0" r="0" b="0"/>
                <wp:wrapTopAndBottom/>
                <wp:docPr id="582" name="Graphic 582"/>
                <wp:cNvGraphicFramePr>
                  <a:graphicFrameLocks/>
                </wp:cNvGraphicFramePr>
                <a:graphic>
                  <a:graphicData uri="http://schemas.microsoft.com/office/word/2010/wordprocessingShape">
                    <wps:wsp>
                      <wps:cNvPr id="582" name="Graphic 582"/>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4.410761pt;width:481.9pt;height:.1pt;mso-position-horizontal-relative:page;mso-position-vertical-relative:paragraph;z-index:-15598080;mso-wrap-distance-left:0;mso-wrap-distance-right:0" id="docshape527" coordorigin="1134,88" coordsize="9638,0" path="m10772,88l1134,88e" filled="false" stroked="true" strokeweight="1pt" strokecolor="#67287f">
                <v:path arrowok="t"/>
                <v:stroke dashstyle="solid"/>
                <w10:wrap type="topAndBottom"/>
              </v:shape>
            </w:pict>
          </mc:Fallback>
        </mc:AlternateContent>
      </w:r>
    </w:p>
    <w:p>
      <w:pPr>
        <w:pStyle w:val="BodyText"/>
        <w:spacing w:before="172"/>
        <w:rPr>
          <w:b/>
        </w:rPr>
      </w:pPr>
    </w:p>
    <w:p>
      <w:pPr>
        <w:pStyle w:val="ListParagraph"/>
        <w:numPr>
          <w:ilvl w:val="1"/>
          <w:numId w:val="13"/>
        </w:numPr>
        <w:tabs>
          <w:tab w:pos="1853" w:val="left" w:leader="none"/>
        </w:tabs>
        <w:spacing w:line="225" w:lineRule="auto" w:before="0" w:after="0"/>
        <w:ind w:left="1853" w:right="1331" w:hanging="720"/>
        <w:jc w:val="left"/>
        <w:rPr>
          <w:sz w:val="28"/>
        </w:rPr>
      </w:pPr>
      <w:r>
        <w:rPr>
          <w:sz w:val="28"/>
        </w:rPr>
        <w:t>The EU Settlement Scheme is relevant to the Commissions’ role under Windsor Framework Article 2 as it concerns the rights of EU nationals living in</w:t>
      </w:r>
      <w:r>
        <w:rPr>
          <w:spacing w:val="-6"/>
          <w:sz w:val="28"/>
        </w:rPr>
        <w:t> </w:t>
      </w:r>
      <w:r>
        <w:rPr>
          <w:sz w:val="28"/>
        </w:rPr>
        <w:t>NI</w:t>
      </w:r>
      <w:r>
        <w:rPr>
          <w:spacing w:val="-5"/>
          <w:sz w:val="28"/>
        </w:rPr>
        <w:t> </w:t>
      </w:r>
      <w:r>
        <w:rPr>
          <w:sz w:val="28"/>
        </w:rPr>
        <w:t>prior</w:t>
      </w:r>
      <w:r>
        <w:rPr>
          <w:spacing w:val="-5"/>
          <w:sz w:val="28"/>
        </w:rPr>
        <w:t> </w:t>
      </w:r>
      <w:r>
        <w:rPr>
          <w:sz w:val="28"/>
        </w:rPr>
        <w:t>to</w:t>
      </w:r>
      <w:r>
        <w:rPr>
          <w:spacing w:val="-6"/>
          <w:sz w:val="28"/>
        </w:rPr>
        <w:t> </w:t>
      </w:r>
      <w:r>
        <w:rPr>
          <w:sz w:val="28"/>
        </w:rPr>
        <w:t>1</w:t>
      </w:r>
      <w:r>
        <w:rPr>
          <w:spacing w:val="-5"/>
          <w:sz w:val="28"/>
        </w:rPr>
        <w:t> </w:t>
      </w:r>
      <w:r>
        <w:rPr>
          <w:sz w:val="28"/>
        </w:rPr>
        <w:t>January</w:t>
      </w:r>
      <w:r>
        <w:rPr>
          <w:spacing w:val="-5"/>
          <w:sz w:val="28"/>
        </w:rPr>
        <w:t> </w:t>
      </w:r>
      <w:r>
        <w:rPr>
          <w:sz w:val="28"/>
        </w:rPr>
        <w:t>2021</w:t>
      </w:r>
      <w:r>
        <w:rPr>
          <w:spacing w:val="-5"/>
          <w:sz w:val="28"/>
        </w:rPr>
        <w:t> </w:t>
      </w:r>
      <w:r>
        <w:rPr>
          <w:sz w:val="28"/>
        </w:rPr>
        <w:t>and</w:t>
      </w:r>
      <w:r>
        <w:rPr>
          <w:spacing w:val="-6"/>
          <w:sz w:val="28"/>
        </w:rPr>
        <w:t> </w:t>
      </w:r>
      <w:r>
        <w:rPr>
          <w:sz w:val="28"/>
        </w:rPr>
        <w:t>therefore</w:t>
      </w:r>
      <w:r>
        <w:rPr>
          <w:spacing w:val="-5"/>
          <w:sz w:val="28"/>
        </w:rPr>
        <w:t> </w:t>
      </w:r>
      <w:r>
        <w:rPr>
          <w:sz w:val="28"/>
        </w:rPr>
        <w:t>interacts</w:t>
      </w:r>
      <w:r>
        <w:rPr>
          <w:spacing w:val="-6"/>
          <w:sz w:val="28"/>
        </w:rPr>
        <w:t> </w:t>
      </w:r>
      <w:r>
        <w:rPr>
          <w:sz w:val="28"/>
        </w:rPr>
        <w:t>with</w:t>
      </w:r>
      <w:r>
        <w:rPr>
          <w:spacing w:val="-6"/>
          <w:sz w:val="28"/>
        </w:rPr>
        <w:t> </w:t>
      </w:r>
      <w:r>
        <w:rPr>
          <w:sz w:val="28"/>
        </w:rPr>
        <w:t>the</w:t>
      </w:r>
      <w:r>
        <w:rPr>
          <w:spacing w:val="-5"/>
          <w:sz w:val="28"/>
        </w:rPr>
        <w:t> </w:t>
      </w:r>
      <w:r>
        <w:rPr>
          <w:sz w:val="28"/>
        </w:rPr>
        <w:t>‘no</w:t>
      </w:r>
      <w:r>
        <w:rPr>
          <w:spacing w:val="-6"/>
          <w:sz w:val="28"/>
        </w:rPr>
        <w:t> </w:t>
      </w:r>
      <w:r>
        <w:rPr>
          <w:sz w:val="28"/>
        </w:rPr>
        <w:t>diminution’ commitment. The Independent Monitoring Authority has responsibility for monitoring the EU Settlement Scheme.</w:t>
      </w:r>
    </w:p>
    <w:p>
      <w:pPr>
        <w:pStyle w:val="BodyText"/>
        <w:spacing w:before="92"/>
      </w:pPr>
    </w:p>
    <w:p>
      <w:pPr>
        <w:pStyle w:val="ListParagraph"/>
        <w:numPr>
          <w:ilvl w:val="1"/>
          <w:numId w:val="13"/>
        </w:numPr>
        <w:tabs>
          <w:tab w:pos="1853" w:val="left" w:leader="none"/>
        </w:tabs>
        <w:spacing w:line="225" w:lineRule="auto" w:before="0" w:after="0"/>
        <w:ind w:left="1853" w:right="1201" w:hanging="720"/>
        <w:jc w:val="left"/>
        <w:rPr>
          <w:sz w:val="28"/>
        </w:rPr>
      </w:pPr>
      <w:r>
        <w:rPr>
          <w:sz w:val="28"/>
        </w:rPr>
        <w:t>The EU Settlement Scheme gives effect to the Citizens’ Rights provisions in</w:t>
      </w:r>
      <w:r>
        <w:rPr>
          <w:sz w:val="28"/>
        </w:rPr>
        <w:t> the</w:t>
      </w:r>
      <w:r>
        <w:rPr>
          <w:spacing w:val="-6"/>
          <w:sz w:val="28"/>
        </w:rPr>
        <w:t> </w:t>
      </w:r>
      <w:r>
        <w:rPr>
          <w:sz w:val="28"/>
        </w:rPr>
        <w:t>UK-EU</w:t>
      </w:r>
      <w:r>
        <w:rPr>
          <w:spacing w:val="-6"/>
          <w:sz w:val="28"/>
        </w:rPr>
        <w:t> </w:t>
      </w:r>
      <w:r>
        <w:rPr>
          <w:sz w:val="28"/>
        </w:rPr>
        <w:t>Withdrawal</w:t>
      </w:r>
      <w:r>
        <w:rPr>
          <w:spacing w:val="-7"/>
          <w:sz w:val="28"/>
        </w:rPr>
        <w:t> </w:t>
      </w:r>
      <w:r>
        <w:rPr>
          <w:sz w:val="28"/>
        </w:rPr>
        <w:t>Agreement</w:t>
      </w:r>
      <w:r>
        <w:rPr>
          <w:spacing w:val="-6"/>
          <w:sz w:val="28"/>
        </w:rPr>
        <w:t> </w:t>
      </w:r>
      <w:r>
        <w:rPr>
          <w:sz w:val="28"/>
        </w:rPr>
        <w:t>and</w:t>
      </w:r>
      <w:r>
        <w:rPr>
          <w:spacing w:val="-7"/>
          <w:sz w:val="28"/>
        </w:rPr>
        <w:t> </w:t>
      </w:r>
      <w:r>
        <w:rPr>
          <w:sz w:val="28"/>
        </w:rPr>
        <w:t>protects</w:t>
      </w:r>
      <w:r>
        <w:rPr>
          <w:spacing w:val="-7"/>
          <w:sz w:val="28"/>
        </w:rPr>
        <w:t> </w:t>
      </w:r>
      <w:r>
        <w:rPr>
          <w:sz w:val="28"/>
        </w:rPr>
        <w:t>the</w:t>
      </w:r>
      <w:r>
        <w:rPr>
          <w:spacing w:val="-6"/>
          <w:sz w:val="28"/>
        </w:rPr>
        <w:t> </w:t>
      </w:r>
      <w:r>
        <w:rPr>
          <w:sz w:val="28"/>
        </w:rPr>
        <w:t>rights</w:t>
      </w:r>
      <w:r>
        <w:rPr>
          <w:spacing w:val="-7"/>
          <w:sz w:val="28"/>
        </w:rPr>
        <w:t> </w:t>
      </w:r>
      <w:r>
        <w:rPr>
          <w:sz w:val="28"/>
        </w:rPr>
        <w:t>of</w:t>
      </w:r>
      <w:r>
        <w:rPr>
          <w:spacing w:val="-7"/>
          <w:sz w:val="28"/>
        </w:rPr>
        <w:t> </w:t>
      </w:r>
      <w:r>
        <w:rPr>
          <w:sz w:val="28"/>
        </w:rPr>
        <w:t>EU</w:t>
      </w:r>
      <w:r>
        <w:rPr>
          <w:spacing w:val="-6"/>
          <w:sz w:val="28"/>
        </w:rPr>
        <w:t> </w:t>
      </w:r>
      <w:r>
        <w:rPr>
          <w:sz w:val="28"/>
        </w:rPr>
        <w:t>and</w:t>
      </w:r>
      <w:r>
        <w:rPr>
          <w:spacing w:val="-7"/>
          <w:sz w:val="28"/>
        </w:rPr>
        <w:t> </w:t>
      </w:r>
      <w:r>
        <w:rPr>
          <w:sz w:val="28"/>
        </w:rPr>
        <w:t>European</w:t>
      </w:r>
    </w:p>
    <w:p>
      <w:pPr>
        <w:pStyle w:val="BodyText"/>
        <w:spacing w:line="225" w:lineRule="auto"/>
        <w:ind w:left="1853" w:right="1124"/>
      </w:pPr>
      <w:r>
        <w:rPr/>
        <w:t>Economic</w:t>
      </w:r>
      <w:r>
        <w:rPr>
          <w:spacing w:val="-5"/>
        </w:rPr>
        <w:t> </w:t>
      </w:r>
      <w:r>
        <w:rPr/>
        <w:t>Area</w:t>
      </w:r>
      <w:r>
        <w:rPr>
          <w:spacing w:val="-6"/>
        </w:rPr>
        <w:t> </w:t>
      </w:r>
      <w:r>
        <w:rPr/>
        <w:t>(EEA)</w:t>
      </w:r>
      <w:r>
        <w:rPr>
          <w:spacing w:val="-6"/>
        </w:rPr>
        <w:t> </w:t>
      </w:r>
      <w:r>
        <w:rPr/>
        <w:t>citizens</w:t>
      </w:r>
      <w:r>
        <w:rPr>
          <w:spacing w:val="-6"/>
        </w:rPr>
        <w:t> </w:t>
      </w:r>
      <w:r>
        <w:rPr/>
        <w:t>and</w:t>
      </w:r>
      <w:r>
        <w:rPr>
          <w:spacing w:val="-6"/>
        </w:rPr>
        <w:t> </w:t>
      </w:r>
      <w:r>
        <w:rPr/>
        <w:t>their</w:t>
      </w:r>
      <w:r>
        <w:rPr>
          <w:spacing w:val="-6"/>
        </w:rPr>
        <w:t> </w:t>
      </w:r>
      <w:r>
        <w:rPr/>
        <w:t>family</w:t>
      </w:r>
      <w:r>
        <w:rPr>
          <w:spacing w:val="-6"/>
        </w:rPr>
        <w:t> </w:t>
      </w:r>
      <w:r>
        <w:rPr/>
        <w:t>members</w:t>
      </w:r>
      <w:r>
        <w:rPr>
          <w:spacing w:val="-6"/>
        </w:rPr>
        <w:t> </w:t>
      </w:r>
      <w:r>
        <w:rPr/>
        <w:t>already</w:t>
      </w:r>
      <w:r>
        <w:rPr>
          <w:spacing w:val="-6"/>
        </w:rPr>
        <w:t> </w:t>
      </w:r>
      <w:r>
        <w:rPr/>
        <w:t>living</w:t>
      </w:r>
      <w:r>
        <w:rPr>
          <w:spacing w:val="-5"/>
        </w:rPr>
        <w:t> </w:t>
      </w:r>
      <w:r>
        <w:rPr/>
        <w:t>in</w:t>
      </w:r>
      <w:r>
        <w:rPr>
          <w:spacing w:val="-6"/>
        </w:rPr>
        <w:t> </w:t>
      </w:r>
      <w:r>
        <w:rPr/>
        <w:t>the</w:t>
      </w:r>
      <w:r>
        <w:rPr>
          <w:spacing w:val="-6"/>
        </w:rPr>
        <w:t> </w:t>
      </w:r>
      <w:r>
        <w:rPr/>
        <w:t>UK prior to 1 January 2021.</w:t>
      </w:r>
      <w:r>
        <w:rPr>
          <w:vertAlign w:val="superscript"/>
        </w:rPr>
        <w:t>785</w:t>
      </w:r>
      <w:r>
        <w:rPr>
          <w:vertAlign w:val="baseline"/>
        </w:rPr>
        <w:t> Applicants and their families can be granted either settled status (indefinite leave to remain) or pre-settled status (temporary</w:t>
      </w:r>
      <w:r>
        <w:rPr>
          <w:vertAlign w:val="baseline"/>
        </w:rPr>
        <w:t> right to reside for five years). EU, EEA and Swiss citizens who come to the UK from</w:t>
      </w:r>
      <w:r>
        <w:rPr>
          <w:spacing w:val="-1"/>
          <w:vertAlign w:val="baseline"/>
        </w:rPr>
        <w:t> </w:t>
      </w:r>
      <w:r>
        <w:rPr>
          <w:vertAlign w:val="baseline"/>
        </w:rPr>
        <w:t>1</w:t>
      </w:r>
      <w:r>
        <w:rPr>
          <w:spacing w:val="-1"/>
          <w:vertAlign w:val="baseline"/>
        </w:rPr>
        <w:t> </w:t>
      </w:r>
      <w:r>
        <w:rPr>
          <w:vertAlign w:val="baseline"/>
        </w:rPr>
        <w:t>January</w:t>
      </w:r>
      <w:r>
        <w:rPr>
          <w:spacing w:val="-1"/>
          <w:vertAlign w:val="baseline"/>
        </w:rPr>
        <w:t> </w:t>
      </w:r>
      <w:r>
        <w:rPr>
          <w:vertAlign w:val="baseline"/>
        </w:rPr>
        <w:t>2021</w:t>
      </w:r>
      <w:r>
        <w:rPr>
          <w:spacing w:val="-1"/>
          <w:vertAlign w:val="baseline"/>
        </w:rPr>
        <w:t> </w:t>
      </w:r>
      <w:r>
        <w:rPr>
          <w:vertAlign w:val="baseline"/>
        </w:rPr>
        <w:t>are</w:t>
      </w:r>
      <w:r>
        <w:rPr>
          <w:spacing w:val="-1"/>
          <w:vertAlign w:val="baseline"/>
        </w:rPr>
        <w:t> </w:t>
      </w:r>
      <w:r>
        <w:rPr>
          <w:vertAlign w:val="baseline"/>
        </w:rPr>
        <w:t>subject</w:t>
      </w:r>
      <w:r>
        <w:rPr>
          <w:spacing w:val="-1"/>
          <w:vertAlign w:val="baseline"/>
        </w:rPr>
        <w:t> </w:t>
      </w:r>
      <w:r>
        <w:rPr>
          <w:vertAlign w:val="baseline"/>
        </w:rPr>
        <w:t>to</w:t>
      </w:r>
      <w:r>
        <w:rPr>
          <w:spacing w:val="-2"/>
          <w:vertAlign w:val="baseline"/>
        </w:rPr>
        <w:t> </w:t>
      </w:r>
      <w:r>
        <w:rPr>
          <w:vertAlign w:val="baseline"/>
        </w:rPr>
        <w:t>the</w:t>
      </w:r>
      <w:r>
        <w:rPr>
          <w:spacing w:val="-1"/>
          <w:vertAlign w:val="baseline"/>
        </w:rPr>
        <w:t> </w:t>
      </w:r>
      <w:r>
        <w:rPr>
          <w:vertAlign w:val="baseline"/>
        </w:rPr>
        <w:t>UK’s</w:t>
      </w:r>
      <w:r>
        <w:rPr>
          <w:spacing w:val="-2"/>
          <w:vertAlign w:val="baseline"/>
        </w:rPr>
        <w:t> </w:t>
      </w:r>
      <w:r>
        <w:rPr>
          <w:vertAlign w:val="baseline"/>
        </w:rPr>
        <w:t>points-based</w:t>
      </w:r>
      <w:r>
        <w:rPr>
          <w:spacing w:val="-2"/>
          <w:vertAlign w:val="baseline"/>
        </w:rPr>
        <w:t> </w:t>
      </w:r>
      <w:r>
        <w:rPr>
          <w:vertAlign w:val="baseline"/>
        </w:rPr>
        <w:t>immigration</w:t>
      </w:r>
      <w:r>
        <w:rPr>
          <w:spacing w:val="-2"/>
          <w:vertAlign w:val="baseline"/>
        </w:rPr>
        <w:t> </w:t>
      </w:r>
      <w:r>
        <w:rPr>
          <w:vertAlign w:val="baseline"/>
        </w:rPr>
        <w:t>system.</w:t>
      </w:r>
    </w:p>
    <w:p>
      <w:pPr>
        <w:pStyle w:val="ListParagraph"/>
        <w:numPr>
          <w:ilvl w:val="1"/>
          <w:numId w:val="13"/>
        </w:numPr>
        <w:tabs>
          <w:tab w:pos="1853" w:val="left" w:leader="none"/>
        </w:tabs>
        <w:spacing w:line="225" w:lineRule="auto" w:before="311" w:after="0"/>
        <w:ind w:left="1853" w:right="1526" w:hanging="720"/>
        <w:jc w:val="left"/>
        <w:rPr>
          <w:sz w:val="28"/>
        </w:rPr>
      </w:pPr>
      <w:r>
        <w:rPr>
          <w:sz w:val="28"/>
        </w:rPr>
        <w:t>In</w:t>
      </w:r>
      <w:r>
        <w:rPr>
          <w:spacing w:val="-6"/>
          <w:sz w:val="28"/>
        </w:rPr>
        <w:t> </w:t>
      </w:r>
      <w:r>
        <w:rPr>
          <w:sz w:val="28"/>
        </w:rPr>
        <w:t>July</w:t>
      </w:r>
      <w:r>
        <w:rPr>
          <w:spacing w:val="-5"/>
          <w:sz w:val="28"/>
        </w:rPr>
        <w:t> </w:t>
      </w:r>
      <w:r>
        <w:rPr>
          <w:sz w:val="28"/>
        </w:rPr>
        <w:t>2023,</w:t>
      </w:r>
      <w:r>
        <w:rPr>
          <w:spacing w:val="-5"/>
          <w:sz w:val="28"/>
        </w:rPr>
        <w:t> </w:t>
      </w:r>
      <w:r>
        <w:rPr>
          <w:sz w:val="28"/>
        </w:rPr>
        <w:t>the</w:t>
      </w:r>
      <w:r>
        <w:rPr>
          <w:spacing w:val="-5"/>
          <w:sz w:val="28"/>
        </w:rPr>
        <w:t> </w:t>
      </w:r>
      <w:r>
        <w:rPr>
          <w:sz w:val="28"/>
        </w:rPr>
        <w:t>Home</w:t>
      </w:r>
      <w:r>
        <w:rPr>
          <w:spacing w:val="-5"/>
          <w:sz w:val="28"/>
        </w:rPr>
        <w:t> </w:t>
      </w:r>
      <w:r>
        <w:rPr>
          <w:sz w:val="28"/>
        </w:rPr>
        <w:t>Office</w:t>
      </w:r>
      <w:r>
        <w:rPr>
          <w:spacing w:val="-5"/>
          <w:sz w:val="28"/>
        </w:rPr>
        <w:t> </w:t>
      </w:r>
      <w:r>
        <w:rPr>
          <w:sz w:val="28"/>
        </w:rPr>
        <w:t>announced</w:t>
      </w:r>
      <w:r>
        <w:rPr>
          <w:spacing w:val="-6"/>
          <w:sz w:val="28"/>
        </w:rPr>
        <w:t> </w:t>
      </w:r>
      <w:r>
        <w:rPr>
          <w:sz w:val="28"/>
        </w:rPr>
        <w:t>several</w:t>
      </w:r>
      <w:r>
        <w:rPr>
          <w:spacing w:val="-6"/>
          <w:sz w:val="28"/>
        </w:rPr>
        <w:t> </w:t>
      </w:r>
      <w:r>
        <w:rPr>
          <w:sz w:val="28"/>
        </w:rPr>
        <w:t>further</w:t>
      </w:r>
      <w:r>
        <w:rPr>
          <w:spacing w:val="-5"/>
          <w:sz w:val="28"/>
        </w:rPr>
        <w:t> </w:t>
      </w:r>
      <w:r>
        <w:rPr>
          <w:sz w:val="28"/>
        </w:rPr>
        <w:t>changes</w:t>
      </w:r>
      <w:r>
        <w:rPr>
          <w:spacing w:val="-6"/>
          <w:sz w:val="28"/>
        </w:rPr>
        <w:t> </w:t>
      </w:r>
      <w:r>
        <w:rPr>
          <w:sz w:val="28"/>
        </w:rPr>
        <w:t>to</w:t>
      </w:r>
      <w:r>
        <w:rPr>
          <w:spacing w:val="-6"/>
          <w:sz w:val="28"/>
        </w:rPr>
        <w:t> </w:t>
      </w:r>
      <w:r>
        <w:rPr>
          <w:sz w:val="28"/>
        </w:rPr>
        <w:t>the</w:t>
      </w:r>
      <w:r>
        <w:rPr>
          <w:spacing w:val="-5"/>
          <w:sz w:val="28"/>
        </w:rPr>
        <w:t> </w:t>
      </w:r>
      <w:r>
        <w:rPr>
          <w:sz w:val="28"/>
        </w:rPr>
        <w:t>EU Settlement Scheme application process.</w:t>
      </w:r>
      <w:r>
        <w:rPr>
          <w:sz w:val="28"/>
          <w:vertAlign w:val="superscript"/>
        </w:rPr>
        <w:t>786</w:t>
      </w:r>
      <w:r>
        <w:rPr>
          <w:sz w:val="28"/>
          <w:vertAlign w:val="baseline"/>
        </w:rPr>
        <w:t> From August 2023, the Home Office closed the Family Member and the Qualifying British Citizen routes for applications to the EU Settlement Scheme, on the basis that they were temporary measures.</w:t>
      </w:r>
      <w:r>
        <w:rPr>
          <w:sz w:val="28"/>
          <w:vertAlign w:val="superscript"/>
        </w:rPr>
        <w:t>787</w:t>
      </w:r>
    </w:p>
    <w:p>
      <w:pPr>
        <w:pStyle w:val="ListParagraph"/>
        <w:numPr>
          <w:ilvl w:val="1"/>
          <w:numId w:val="13"/>
        </w:numPr>
        <w:tabs>
          <w:tab w:pos="1853" w:val="left" w:leader="none"/>
        </w:tabs>
        <w:spacing w:line="225" w:lineRule="auto" w:before="314" w:after="0"/>
        <w:ind w:left="1853" w:right="1254" w:hanging="720"/>
        <w:jc w:val="left"/>
        <w:rPr>
          <w:sz w:val="28"/>
        </w:rPr>
      </w:pPr>
      <w:r>
        <w:rPr>
          <w:sz w:val="28"/>
        </w:rPr>
        <w:t>NI</w:t>
      </w:r>
      <w:r>
        <w:rPr>
          <w:spacing w:val="-7"/>
          <w:sz w:val="28"/>
        </w:rPr>
        <w:t> </w:t>
      </w:r>
      <w:r>
        <w:rPr>
          <w:sz w:val="28"/>
        </w:rPr>
        <w:t>civil</w:t>
      </w:r>
      <w:r>
        <w:rPr>
          <w:spacing w:val="-8"/>
          <w:sz w:val="28"/>
        </w:rPr>
        <w:t> </w:t>
      </w:r>
      <w:r>
        <w:rPr>
          <w:sz w:val="28"/>
        </w:rPr>
        <w:t>society</w:t>
      </w:r>
      <w:r>
        <w:rPr>
          <w:spacing w:val="-7"/>
          <w:sz w:val="28"/>
        </w:rPr>
        <w:t> </w:t>
      </w:r>
      <w:r>
        <w:rPr>
          <w:sz w:val="28"/>
        </w:rPr>
        <w:t>organisations</w:t>
      </w:r>
      <w:r>
        <w:rPr>
          <w:spacing w:val="-8"/>
          <w:sz w:val="28"/>
        </w:rPr>
        <w:t> </w:t>
      </w:r>
      <w:r>
        <w:rPr>
          <w:sz w:val="28"/>
        </w:rPr>
        <w:t>continue</w:t>
      </w:r>
      <w:r>
        <w:rPr>
          <w:spacing w:val="-7"/>
          <w:sz w:val="28"/>
        </w:rPr>
        <w:t> </w:t>
      </w:r>
      <w:r>
        <w:rPr>
          <w:sz w:val="28"/>
        </w:rPr>
        <w:t>to</w:t>
      </w:r>
      <w:r>
        <w:rPr>
          <w:spacing w:val="-8"/>
          <w:sz w:val="28"/>
        </w:rPr>
        <w:t> </w:t>
      </w:r>
      <w:r>
        <w:rPr>
          <w:sz w:val="28"/>
        </w:rPr>
        <w:t>raise</w:t>
      </w:r>
      <w:r>
        <w:rPr>
          <w:spacing w:val="-7"/>
          <w:sz w:val="28"/>
        </w:rPr>
        <w:t> </w:t>
      </w:r>
      <w:r>
        <w:rPr>
          <w:sz w:val="28"/>
        </w:rPr>
        <w:t>issues</w:t>
      </w:r>
      <w:r>
        <w:rPr>
          <w:spacing w:val="-8"/>
          <w:sz w:val="28"/>
        </w:rPr>
        <w:t> </w:t>
      </w:r>
      <w:r>
        <w:rPr>
          <w:sz w:val="28"/>
        </w:rPr>
        <w:t>with</w:t>
      </w:r>
      <w:r>
        <w:rPr>
          <w:spacing w:val="-8"/>
          <w:sz w:val="28"/>
        </w:rPr>
        <w:t> </w:t>
      </w:r>
      <w:r>
        <w:rPr>
          <w:sz w:val="28"/>
        </w:rPr>
        <w:t>the</w:t>
      </w:r>
      <w:r>
        <w:rPr>
          <w:spacing w:val="-7"/>
          <w:sz w:val="28"/>
        </w:rPr>
        <w:t> </w:t>
      </w:r>
      <w:r>
        <w:rPr>
          <w:sz w:val="28"/>
        </w:rPr>
        <w:t>implementation of the EU Settlement Scheme, including proving the length of residence required to secure permanent residence; challenges with the digital immigration status, including technical issues;</w:t>
      </w:r>
      <w:r>
        <w:rPr>
          <w:sz w:val="28"/>
          <w:vertAlign w:val="superscript"/>
        </w:rPr>
        <w:t>788</w:t>
      </w:r>
      <w:r>
        <w:rPr>
          <w:sz w:val="28"/>
          <w:vertAlign w:val="baseline"/>
        </w:rPr>
        <w:t> anecdotal evidence that it is</w:t>
      </w:r>
    </w:p>
    <w:p>
      <w:pPr>
        <w:pStyle w:val="BodyText"/>
        <w:spacing w:before="65"/>
        <w:rPr>
          <w:sz w:val="20"/>
        </w:rPr>
      </w:pPr>
      <w:r>
        <w:rPr/>
        <mc:AlternateContent>
          <mc:Choice Requires="wps">
            <w:drawing>
              <wp:anchor distT="0" distB="0" distL="0" distR="0" allowOverlap="1" layoutInCell="1" locked="0" behindDoc="1" simplePos="0" relativeHeight="487718912">
                <wp:simplePos x="0" y="0"/>
                <wp:positionH relativeFrom="page">
                  <wp:posOffset>719996</wp:posOffset>
                </wp:positionH>
                <wp:positionV relativeFrom="paragraph">
                  <wp:posOffset>211974</wp:posOffset>
                </wp:positionV>
                <wp:extent cx="6120130" cy="1270"/>
                <wp:effectExtent l="0" t="0" r="0" b="0"/>
                <wp:wrapTopAndBottom/>
                <wp:docPr id="583" name="Graphic 583"/>
                <wp:cNvGraphicFramePr>
                  <a:graphicFrameLocks/>
                </wp:cNvGraphicFramePr>
                <a:graphic>
                  <a:graphicData uri="http://schemas.microsoft.com/office/word/2010/wordprocessingShape">
                    <wps:wsp>
                      <wps:cNvPr id="583" name="Graphic 583"/>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6.690897pt;width:481.9pt;height:.1pt;mso-position-horizontal-relative:page;mso-position-vertical-relative:paragraph;z-index:-15597568;mso-wrap-distance-left:0;mso-wrap-distance-right:0" id="docshape528" coordorigin="1134,334" coordsize="9638,0" path="m10772,334l1134,334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18" w:lineRule="exact" w:before="129" w:after="0"/>
        <w:ind w:left="1853" w:right="0" w:hanging="720"/>
        <w:jc w:val="left"/>
        <w:rPr>
          <w:sz w:val="18"/>
        </w:rPr>
      </w:pPr>
      <w:r>
        <w:rPr>
          <w:sz w:val="18"/>
        </w:rPr>
        <w:t>Part</w:t>
      </w:r>
      <w:r>
        <w:rPr>
          <w:spacing w:val="-8"/>
          <w:sz w:val="18"/>
        </w:rPr>
        <w:t> </w:t>
      </w:r>
      <w:r>
        <w:rPr>
          <w:sz w:val="18"/>
        </w:rPr>
        <w:t>2,</w:t>
      </w:r>
      <w:r>
        <w:rPr>
          <w:spacing w:val="-5"/>
          <w:sz w:val="18"/>
        </w:rPr>
        <w:t> </w:t>
      </w:r>
      <w:r>
        <w:rPr>
          <w:sz w:val="18"/>
        </w:rPr>
        <w:t>UK-EU</w:t>
      </w:r>
      <w:r>
        <w:rPr>
          <w:spacing w:val="-6"/>
          <w:sz w:val="18"/>
        </w:rPr>
        <w:t> </w:t>
      </w:r>
      <w:r>
        <w:rPr>
          <w:sz w:val="18"/>
        </w:rPr>
        <w:t>Withdrawal</w:t>
      </w:r>
      <w:r>
        <w:rPr>
          <w:spacing w:val="-6"/>
          <w:sz w:val="18"/>
        </w:rPr>
        <w:t> </w:t>
      </w:r>
      <w:r>
        <w:rPr>
          <w:sz w:val="18"/>
        </w:rPr>
        <w:t>Agreement</w:t>
      </w:r>
      <w:r>
        <w:rPr>
          <w:spacing w:val="-5"/>
          <w:sz w:val="18"/>
        </w:rPr>
        <w:t> </w:t>
      </w:r>
      <w:r>
        <w:rPr>
          <w:spacing w:val="-2"/>
          <w:sz w:val="18"/>
        </w:rPr>
        <w:t>2020.</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Home</w:t>
      </w:r>
      <w:r>
        <w:rPr>
          <w:spacing w:val="-6"/>
          <w:sz w:val="18"/>
        </w:rPr>
        <w:t> </w:t>
      </w:r>
      <w:r>
        <w:rPr>
          <w:sz w:val="18"/>
        </w:rPr>
        <w:t>Office,</w:t>
      </w:r>
      <w:r>
        <w:rPr>
          <w:spacing w:val="-6"/>
          <w:sz w:val="18"/>
        </w:rPr>
        <w:t> </w:t>
      </w:r>
      <w:r>
        <w:rPr>
          <w:sz w:val="18"/>
        </w:rPr>
        <w:t>‘Statement</w:t>
      </w:r>
      <w:r>
        <w:rPr>
          <w:spacing w:val="-6"/>
          <w:sz w:val="18"/>
        </w:rPr>
        <w:t> </w:t>
      </w:r>
      <w:r>
        <w:rPr>
          <w:sz w:val="18"/>
        </w:rPr>
        <w:t>of</w:t>
      </w:r>
      <w:r>
        <w:rPr>
          <w:spacing w:val="-6"/>
          <w:sz w:val="18"/>
        </w:rPr>
        <w:t> </w:t>
      </w:r>
      <w:r>
        <w:rPr>
          <w:sz w:val="18"/>
        </w:rPr>
        <w:t>Changes</w:t>
      </w:r>
      <w:r>
        <w:rPr>
          <w:spacing w:val="-7"/>
          <w:sz w:val="18"/>
        </w:rPr>
        <w:t> </w:t>
      </w:r>
      <w:r>
        <w:rPr>
          <w:sz w:val="18"/>
        </w:rPr>
        <w:t>in</w:t>
      </w:r>
      <w:r>
        <w:rPr>
          <w:spacing w:val="-6"/>
          <w:sz w:val="18"/>
        </w:rPr>
        <w:t> </w:t>
      </w:r>
      <w:r>
        <w:rPr>
          <w:sz w:val="18"/>
        </w:rPr>
        <w:t>Immigration</w:t>
      </w:r>
      <w:r>
        <w:rPr>
          <w:spacing w:val="-7"/>
          <w:sz w:val="18"/>
        </w:rPr>
        <w:t> </w:t>
      </w:r>
      <w:r>
        <w:rPr>
          <w:sz w:val="18"/>
        </w:rPr>
        <w:t>Rules’,</w:t>
      </w:r>
      <w:r>
        <w:rPr>
          <w:spacing w:val="-6"/>
          <w:sz w:val="18"/>
        </w:rPr>
        <w:t> </w:t>
      </w:r>
      <w:r>
        <w:rPr>
          <w:sz w:val="18"/>
        </w:rPr>
        <w:t>17</w:t>
      </w:r>
      <w:r>
        <w:rPr>
          <w:spacing w:val="-5"/>
          <w:sz w:val="18"/>
        </w:rPr>
        <w:t> </w:t>
      </w:r>
      <w:r>
        <w:rPr>
          <w:sz w:val="18"/>
        </w:rPr>
        <w:t>July</w:t>
      </w:r>
      <w:r>
        <w:rPr>
          <w:spacing w:val="-6"/>
          <w:sz w:val="18"/>
        </w:rPr>
        <w:t> </w:t>
      </w:r>
      <w:r>
        <w:rPr>
          <w:spacing w:val="-2"/>
          <w:sz w:val="18"/>
        </w:rPr>
        <w:t>2023.</w:t>
      </w:r>
    </w:p>
    <w:p>
      <w:pPr>
        <w:pStyle w:val="ListParagraph"/>
        <w:numPr>
          <w:ilvl w:val="0"/>
          <w:numId w:val="11"/>
        </w:numPr>
        <w:tabs>
          <w:tab w:pos="1853" w:val="left" w:leader="none"/>
        </w:tabs>
        <w:spacing w:line="216" w:lineRule="exact" w:before="0" w:after="0"/>
        <w:ind w:left="1853" w:right="0" w:hanging="720"/>
        <w:jc w:val="left"/>
        <w:rPr>
          <w:sz w:val="18"/>
        </w:rPr>
      </w:pPr>
      <w:r>
        <w:rPr>
          <w:spacing w:val="-4"/>
          <w:sz w:val="18"/>
        </w:rPr>
        <w:t>Ibid.</w:t>
      </w:r>
    </w:p>
    <w:p>
      <w:pPr>
        <w:pStyle w:val="ListParagraph"/>
        <w:numPr>
          <w:ilvl w:val="0"/>
          <w:numId w:val="11"/>
        </w:numPr>
        <w:tabs>
          <w:tab w:pos="1853" w:val="left" w:leader="none"/>
        </w:tabs>
        <w:spacing w:line="235" w:lineRule="auto" w:before="1" w:after="0"/>
        <w:ind w:left="1853" w:right="1209" w:hanging="720"/>
        <w:jc w:val="both"/>
        <w:rPr>
          <w:sz w:val="18"/>
        </w:rPr>
      </w:pPr>
      <w:r>
        <w:rPr>
          <w:sz w:val="18"/>
        </w:rPr>
        <w:t>Work</w:t>
      </w:r>
      <w:r>
        <w:rPr>
          <w:spacing w:val="-4"/>
          <w:sz w:val="18"/>
        </w:rPr>
        <w:t> </w:t>
      </w:r>
      <w:r>
        <w:rPr>
          <w:sz w:val="18"/>
        </w:rPr>
        <w:t>Rights</w:t>
      </w:r>
      <w:r>
        <w:rPr>
          <w:spacing w:val="-5"/>
          <w:sz w:val="18"/>
        </w:rPr>
        <w:t> </w:t>
      </w:r>
      <w:r>
        <w:rPr>
          <w:sz w:val="18"/>
        </w:rPr>
        <w:t>Centre</w:t>
      </w:r>
      <w:r>
        <w:rPr>
          <w:spacing w:val="-4"/>
          <w:sz w:val="18"/>
        </w:rPr>
        <w:t> </w:t>
      </w:r>
      <w:r>
        <w:rPr>
          <w:sz w:val="18"/>
        </w:rPr>
        <w:t>and</w:t>
      </w:r>
      <w:r>
        <w:rPr>
          <w:spacing w:val="-5"/>
          <w:sz w:val="18"/>
        </w:rPr>
        <w:t> </w:t>
      </w:r>
      <w:r>
        <w:rPr>
          <w:sz w:val="18"/>
        </w:rPr>
        <w:t>the</w:t>
      </w:r>
      <w:r>
        <w:rPr>
          <w:spacing w:val="-4"/>
          <w:sz w:val="18"/>
        </w:rPr>
        <w:t> </w:t>
      </w:r>
      <w:r>
        <w:rPr>
          <w:sz w:val="18"/>
        </w:rPr>
        <w:t>3million,</w:t>
      </w:r>
      <w:r>
        <w:rPr>
          <w:spacing w:val="-4"/>
          <w:sz w:val="18"/>
        </w:rPr>
        <w:t> </w:t>
      </w:r>
      <w:r>
        <w:rPr>
          <w:sz w:val="18"/>
        </w:rPr>
        <w:t>‘Letter</w:t>
      </w:r>
      <w:r>
        <w:rPr>
          <w:spacing w:val="-4"/>
          <w:sz w:val="18"/>
        </w:rPr>
        <w:t> </w:t>
      </w:r>
      <w:r>
        <w:rPr>
          <w:sz w:val="18"/>
        </w:rPr>
        <w:t>to</w:t>
      </w:r>
      <w:r>
        <w:rPr>
          <w:spacing w:val="-5"/>
          <w:sz w:val="18"/>
        </w:rPr>
        <w:t> </w:t>
      </w:r>
      <w:r>
        <w:rPr>
          <w:sz w:val="18"/>
        </w:rPr>
        <w:t>The</w:t>
      </w:r>
      <w:r>
        <w:rPr>
          <w:spacing w:val="-4"/>
          <w:sz w:val="18"/>
        </w:rPr>
        <w:t> </w:t>
      </w:r>
      <w:r>
        <w:rPr>
          <w:sz w:val="18"/>
        </w:rPr>
        <w:t>Rt</w:t>
      </w:r>
      <w:r>
        <w:rPr>
          <w:spacing w:val="-4"/>
          <w:sz w:val="18"/>
        </w:rPr>
        <w:t> </w:t>
      </w:r>
      <w:r>
        <w:rPr>
          <w:sz w:val="18"/>
        </w:rPr>
        <w:t>Hon</w:t>
      </w:r>
      <w:r>
        <w:rPr>
          <w:spacing w:val="-5"/>
          <w:sz w:val="18"/>
        </w:rPr>
        <w:t> </w:t>
      </w:r>
      <w:r>
        <w:rPr>
          <w:sz w:val="18"/>
        </w:rPr>
        <w:t>Mel</w:t>
      </w:r>
      <w:r>
        <w:rPr>
          <w:spacing w:val="-5"/>
          <w:sz w:val="18"/>
        </w:rPr>
        <w:t> </w:t>
      </w:r>
      <w:r>
        <w:rPr>
          <w:sz w:val="18"/>
        </w:rPr>
        <w:t>Stride</w:t>
      </w:r>
      <w:r>
        <w:rPr>
          <w:spacing w:val="-4"/>
          <w:sz w:val="18"/>
        </w:rPr>
        <w:t> </w:t>
      </w:r>
      <w:r>
        <w:rPr>
          <w:sz w:val="18"/>
        </w:rPr>
        <w:t>MP</w:t>
      </w:r>
      <w:r>
        <w:rPr>
          <w:spacing w:val="-4"/>
          <w:sz w:val="18"/>
        </w:rPr>
        <w:t> </w:t>
      </w:r>
      <w:r>
        <w:rPr>
          <w:sz w:val="18"/>
        </w:rPr>
        <w:t>–</w:t>
      </w:r>
      <w:r>
        <w:rPr>
          <w:spacing w:val="-5"/>
          <w:sz w:val="18"/>
        </w:rPr>
        <w:t> </w:t>
      </w:r>
      <w:r>
        <w:rPr>
          <w:sz w:val="18"/>
        </w:rPr>
        <w:t>Secretary</w:t>
      </w:r>
      <w:r>
        <w:rPr>
          <w:spacing w:val="-4"/>
          <w:sz w:val="18"/>
        </w:rPr>
        <w:t> </w:t>
      </w:r>
      <w:r>
        <w:rPr>
          <w:sz w:val="18"/>
        </w:rPr>
        <w:t>of</w:t>
      </w:r>
      <w:r>
        <w:rPr>
          <w:spacing w:val="-5"/>
          <w:sz w:val="18"/>
        </w:rPr>
        <w:t> </w:t>
      </w:r>
      <w:r>
        <w:rPr>
          <w:sz w:val="18"/>
        </w:rPr>
        <w:t>State</w:t>
      </w:r>
      <w:r>
        <w:rPr>
          <w:spacing w:val="-4"/>
          <w:sz w:val="18"/>
        </w:rPr>
        <w:t> </w:t>
      </w:r>
      <w:r>
        <w:rPr>
          <w:sz w:val="18"/>
        </w:rPr>
        <w:t>for</w:t>
      </w:r>
      <w:r>
        <w:rPr>
          <w:spacing w:val="-4"/>
          <w:sz w:val="18"/>
        </w:rPr>
        <w:t> </w:t>
      </w:r>
      <w:r>
        <w:rPr>
          <w:sz w:val="18"/>
        </w:rPr>
        <w:t>Work</w:t>
      </w:r>
      <w:r>
        <w:rPr>
          <w:spacing w:val="-4"/>
          <w:sz w:val="18"/>
        </w:rPr>
        <w:t> </w:t>
      </w:r>
      <w:r>
        <w:rPr>
          <w:sz w:val="18"/>
        </w:rPr>
        <w:t>and</w:t>
      </w:r>
      <w:r>
        <w:rPr>
          <w:spacing w:val="-5"/>
          <w:sz w:val="18"/>
        </w:rPr>
        <w:t> </w:t>
      </w:r>
      <w:r>
        <w:rPr>
          <w:sz w:val="18"/>
        </w:rPr>
        <w:t>Pensions,</w:t>
      </w:r>
      <w:r>
        <w:rPr>
          <w:spacing w:val="-4"/>
          <w:sz w:val="18"/>
        </w:rPr>
        <w:t> </w:t>
      </w:r>
      <w:r>
        <w:rPr>
          <w:sz w:val="18"/>
        </w:rPr>
        <w:t>The Rt</w:t>
      </w:r>
      <w:r>
        <w:rPr>
          <w:spacing w:val="-2"/>
          <w:sz w:val="18"/>
        </w:rPr>
        <w:t> </w:t>
      </w:r>
      <w:r>
        <w:rPr>
          <w:sz w:val="18"/>
        </w:rPr>
        <w:t>Hon</w:t>
      </w:r>
      <w:r>
        <w:rPr>
          <w:spacing w:val="-3"/>
          <w:sz w:val="18"/>
        </w:rPr>
        <w:t> </w:t>
      </w:r>
      <w:r>
        <w:rPr>
          <w:sz w:val="18"/>
        </w:rPr>
        <w:t>Robert</w:t>
      </w:r>
      <w:r>
        <w:rPr>
          <w:spacing w:val="-2"/>
          <w:sz w:val="18"/>
        </w:rPr>
        <w:t> </w:t>
      </w:r>
      <w:r>
        <w:rPr>
          <w:sz w:val="18"/>
        </w:rPr>
        <w:t>Jenrick</w:t>
      </w:r>
      <w:r>
        <w:rPr>
          <w:spacing w:val="-2"/>
          <w:sz w:val="18"/>
        </w:rPr>
        <w:t> </w:t>
      </w:r>
      <w:r>
        <w:rPr>
          <w:sz w:val="18"/>
        </w:rPr>
        <w:t>MP</w:t>
      </w:r>
      <w:r>
        <w:rPr>
          <w:spacing w:val="-2"/>
          <w:sz w:val="18"/>
        </w:rPr>
        <w:t> </w:t>
      </w:r>
      <w:r>
        <w:rPr>
          <w:sz w:val="18"/>
        </w:rPr>
        <w:t>–</w:t>
      </w:r>
      <w:r>
        <w:rPr>
          <w:spacing w:val="-3"/>
          <w:sz w:val="18"/>
        </w:rPr>
        <w:t> </w:t>
      </w:r>
      <w:r>
        <w:rPr>
          <w:sz w:val="18"/>
        </w:rPr>
        <w:t>Minister</w:t>
      </w:r>
      <w:r>
        <w:rPr>
          <w:spacing w:val="-2"/>
          <w:sz w:val="18"/>
        </w:rPr>
        <w:t> </w:t>
      </w:r>
      <w:r>
        <w:rPr>
          <w:sz w:val="18"/>
        </w:rPr>
        <w:t>for</w:t>
      </w:r>
      <w:r>
        <w:rPr>
          <w:spacing w:val="-2"/>
          <w:sz w:val="18"/>
        </w:rPr>
        <w:t> </w:t>
      </w:r>
      <w:r>
        <w:rPr>
          <w:sz w:val="18"/>
        </w:rPr>
        <w:t>Immigration,</w:t>
      </w:r>
      <w:r>
        <w:rPr>
          <w:spacing w:val="-2"/>
          <w:sz w:val="18"/>
        </w:rPr>
        <w:t> </w:t>
      </w:r>
      <w:r>
        <w:rPr>
          <w:sz w:val="18"/>
        </w:rPr>
        <w:t>Lord</w:t>
      </w:r>
      <w:r>
        <w:rPr>
          <w:spacing w:val="-3"/>
          <w:sz w:val="18"/>
        </w:rPr>
        <w:t> </w:t>
      </w:r>
      <w:r>
        <w:rPr>
          <w:sz w:val="18"/>
        </w:rPr>
        <w:t>Murray</w:t>
      </w:r>
      <w:r>
        <w:rPr>
          <w:spacing w:val="-2"/>
          <w:sz w:val="18"/>
        </w:rPr>
        <w:t> </w:t>
      </w:r>
      <w:r>
        <w:rPr>
          <w:sz w:val="18"/>
        </w:rPr>
        <w:t>of</w:t>
      </w:r>
      <w:r>
        <w:rPr>
          <w:spacing w:val="-3"/>
          <w:sz w:val="18"/>
        </w:rPr>
        <w:t> </w:t>
      </w:r>
      <w:r>
        <w:rPr>
          <w:sz w:val="18"/>
        </w:rPr>
        <w:t>Blidworth</w:t>
      </w:r>
      <w:r>
        <w:rPr>
          <w:spacing w:val="-3"/>
          <w:sz w:val="18"/>
        </w:rPr>
        <w:t> </w:t>
      </w:r>
      <w:r>
        <w:rPr>
          <w:sz w:val="18"/>
        </w:rPr>
        <w:t>–</w:t>
      </w:r>
      <w:r>
        <w:rPr>
          <w:spacing w:val="-3"/>
          <w:sz w:val="18"/>
        </w:rPr>
        <w:t> </w:t>
      </w:r>
      <w:r>
        <w:rPr>
          <w:sz w:val="18"/>
        </w:rPr>
        <w:t>Parliamentary</w:t>
      </w:r>
      <w:r>
        <w:rPr>
          <w:spacing w:val="-2"/>
          <w:sz w:val="18"/>
        </w:rPr>
        <w:t> </w:t>
      </w:r>
      <w:r>
        <w:rPr>
          <w:sz w:val="18"/>
        </w:rPr>
        <w:t>Under</w:t>
      </w:r>
      <w:r>
        <w:rPr>
          <w:spacing w:val="-2"/>
          <w:sz w:val="18"/>
        </w:rPr>
        <w:t> </w:t>
      </w:r>
      <w:r>
        <w:rPr>
          <w:sz w:val="18"/>
        </w:rPr>
        <w:t>Secretary</w:t>
      </w:r>
      <w:r>
        <w:rPr>
          <w:spacing w:val="-2"/>
          <w:sz w:val="18"/>
        </w:rPr>
        <w:t> </w:t>
      </w:r>
      <w:r>
        <w:rPr>
          <w:sz w:val="18"/>
        </w:rPr>
        <w:t>of</w:t>
      </w:r>
      <w:r>
        <w:rPr>
          <w:spacing w:val="-3"/>
          <w:sz w:val="18"/>
        </w:rPr>
        <w:t> </w:t>
      </w:r>
      <w:r>
        <w:rPr>
          <w:sz w:val="18"/>
        </w:rPr>
        <w:t>State at the Home Office’, 22 March 2023.</w:t>
      </w:r>
    </w:p>
    <w:p>
      <w:pPr>
        <w:spacing w:after="0" w:line="235" w:lineRule="auto"/>
        <w:jc w:val="both"/>
        <w:rPr>
          <w:sz w:val="18"/>
        </w:rPr>
        <w:sectPr>
          <w:headerReference w:type="default" r:id="rId199"/>
          <w:headerReference w:type="even" r:id="rId200"/>
          <w:footerReference w:type="default" r:id="rId201"/>
          <w:footerReference w:type="even" r:id="rId202"/>
          <w:pgSz w:w="11910" w:h="16840"/>
          <w:pgMar w:header="496" w:footer="367" w:top="1220" w:bottom="560" w:left="0" w:right="0"/>
          <w:pgNumType w:start="141"/>
        </w:sectPr>
      </w:pPr>
    </w:p>
    <w:p>
      <w:pPr>
        <w:pStyle w:val="BodyText"/>
        <w:spacing w:before="198"/>
      </w:pPr>
    </w:p>
    <w:p>
      <w:pPr>
        <w:pStyle w:val="BodyText"/>
        <w:spacing w:line="225" w:lineRule="auto"/>
        <w:ind w:left="1853" w:right="1124"/>
      </w:pPr>
      <w:r>
        <w:rPr/>
        <w:t>increasingly</w:t>
      </w:r>
      <w:r>
        <w:rPr>
          <w:spacing w:val="-16"/>
        </w:rPr>
        <w:t> </w:t>
      </w:r>
      <w:r>
        <w:rPr/>
        <w:t>not</w:t>
      </w:r>
      <w:r>
        <w:rPr>
          <w:spacing w:val="-10"/>
        </w:rPr>
        <w:t> </w:t>
      </w:r>
      <w:r>
        <w:rPr/>
        <w:t>accepted</w:t>
      </w:r>
      <w:r>
        <w:rPr>
          <w:spacing w:val="-11"/>
        </w:rPr>
        <w:t> </w:t>
      </w:r>
      <w:r>
        <w:rPr/>
        <w:t>as</w:t>
      </w:r>
      <w:r>
        <w:rPr>
          <w:spacing w:val="-11"/>
        </w:rPr>
        <w:t> </w:t>
      </w:r>
      <w:r>
        <w:rPr/>
        <w:t>proof</w:t>
      </w:r>
      <w:r>
        <w:rPr>
          <w:spacing w:val="-11"/>
        </w:rPr>
        <w:t> </w:t>
      </w:r>
      <w:r>
        <w:rPr/>
        <w:t>of</w:t>
      </w:r>
      <w:r>
        <w:rPr>
          <w:spacing w:val="-11"/>
        </w:rPr>
        <w:t> </w:t>
      </w:r>
      <w:r>
        <w:rPr/>
        <w:t>immigration</w:t>
      </w:r>
      <w:r>
        <w:rPr>
          <w:spacing w:val="-11"/>
        </w:rPr>
        <w:t> </w:t>
      </w:r>
      <w:r>
        <w:rPr/>
        <w:t>status;</w:t>
      </w:r>
      <w:r>
        <w:rPr>
          <w:spacing w:val="-29"/>
        </w:rPr>
        <w:t> </w:t>
      </w:r>
      <w:r>
        <w:rPr>
          <w:vertAlign w:val="superscript"/>
        </w:rPr>
        <w:t>789</w:t>
      </w:r>
      <w:r>
        <w:rPr>
          <w:spacing w:val="-11"/>
          <w:vertAlign w:val="baseline"/>
        </w:rPr>
        <w:t> </w:t>
      </w:r>
      <w:r>
        <w:rPr>
          <w:vertAlign w:val="baseline"/>
        </w:rPr>
        <w:t>and</w:t>
      </w:r>
      <w:r>
        <w:rPr>
          <w:spacing w:val="-11"/>
          <w:vertAlign w:val="baseline"/>
        </w:rPr>
        <w:t> </w:t>
      </w:r>
      <w:r>
        <w:rPr>
          <w:vertAlign w:val="baseline"/>
        </w:rPr>
        <w:t>reintroduction of banking checks making it more difficult for individuals to access financial service.</w:t>
      </w:r>
      <w:r>
        <w:rPr>
          <w:vertAlign w:val="superscript"/>
        </w:rPr>
        <w:t>790</w:t>
      </w:r>
      <w:r>
        <w:rPr>
          <w:vertAlign w:val="baseline"/>
        </w:rPr>
        <w:t> NI civil society organisations have also raised concerns regarding</w:t>
      </w:r>
    </w:p>
    <w:p>
      <w:pPr>
        <w:pStyle w:val="BodyText"/>
        <w:spacing w:line="225" w:lineRule="auto"/>
        <w:ind w:left="1853" w:right="1383"/>
      </w:pPr>
      <w:r>
        <w:rPr/>
        <w:t>EU citizens with a pending application for pre-settled and settled status being charged for NHS treatment whilst awaiting decision and in case of an unsuccessful</w:t>
      </w:r>
      <w:r>
        <w:rPr>
          <w:spacing w:val="-11"/>
        </w:rPr>
        <w:t> </w:t>
      </w:r>
      <w:r>
        <w:rPr/>
        <w:t>application.</w:t>
      </w:r>
      <w:r>
        <w:rPr>
          <w:vertAlign w:val="superscript"/>
        </w:rPr>
        <w:t>791</w:t>
      </w:r>
      <w:r>
        <w:rPr>
          <w:spacing w:val="-11"/>
          <w:vertAlign w:val="baseline"/>
        </w:rPr>
        <w:t> </w:t>
      </w:r>
      <w:r>
        <w:rPr>
          <w:vertAlign w:val="baseline"/>
        </w:rPr>
        <w:t>In</w:t>
      </w:r>
      <w:r>
        <w:rPr>
          <w:spacing w:val="-11"/>
          <w:vertAlign w:val="baseline"/>
        </w:rPr>
        <w:t> </w:t>
      </w:r>
      <w:r>
        <w:rPr>
          <w:vertAlign w:val="baseline"/>
        </w:rPr>
        <w:t>December</w:t>
      </w:r>
      <w:r>
        <w:rPr>
          <w:spacing w:val="-10"/>
          <w:vertAlign w:val="baseline"/>
        </w:rPr>
        <w:t> </w:t>
      </w:r>
      <w:r>
        <w:rPr>
          <w:vertAlign w:val="baseline"/>
        </w:rPr>
        <w:t>2023,</w:t>
      </w:r>
      <w:r>
        <w:rPr>
          <w:spacing w:val="-10"/>
          <w:vertAlign w:val="baseline"/>
        </w:rPr>
        <w:t> </w:t>
      </w:r>
      <w:r>
        <w:rPr>
          <w:vertAlign w:val="baseline"/>
        </w:rPr>
        <w:t>the</w:t>
      </w:r>
      <w:r>
        <w:rPr>
          <w:spacing w:val="-10"/>
          <w:vertAlign w:val="baseline"/>
        </w:rPr>
        <w:t> </w:t>
      </w:r>
      <w:r>
        <w:rPr>
          <w:vertAlign w:val="baseline"/>
        </w:rPr>
        <w:t>Independent</w:t>
      </w:r>
      <w:r>
        <w:rPr>
          <w:spacing w:val="-10"/>
          <w:vertAlign w:val="baseline"/>
        </w:rPr>
        <w:t> </w:t>
      </w:r>
      <w:r>
        <w:rPr>
          <w:vertAlign w:val="baseline"/>
        </w:rPr>
        <w:t>Monitoring</w:t>
      </w:r>
    </w:p>
    <w:p>
      <w:pPr>
        <w:pStyle w:val="BodyText"/>
        <w:spacing w:line="225" w:lineRule="auto"/>
        <w:ind w:left="1853" w:right="1171"/>
      </w:pPr>
      <w:r>
        <w:rPr/>
        <w:t>Authority</w:t>
      </w:r>
      <w:r>
        <w:rPr>
          <w:spacing w:val="-6"/>
        </w:rPr>
        <w:t> </w:t>
      </w:r>
      <w:r>
        <w:rPr/>
        <w:t>published</w:t>
      </w:r>
      <w:r>
        <w:rPr>
          <w:spacing w:val="-7"/>
        </w:rPr>
        <w:t> </w:t>
      </w:r>
      <w:r>
        <w:rPr/>
        <w:t>the</w:t>
      </w:r>
      <w:r>
        <w:rPr>
          <w:spacing w:val="-6"/>
        </w:rPr>
        <w:t> </w:t>
      </w:r>
      <w:r>
        <w:rPr/>
        <w:t>findings</w:t>
      </w:r>
      <w:r>
        <w:rPr>
          <w:spacing w:val="-7"/>
        </w:rPr>
        <w:t> </w:t>
      </w:r>
      <w:r>
        <w:rPr/>
        <w:t>of</w:t>
      </w:r>
      <w:r>
        <w:rPr>
          <w:spacing w:val="-7"/>
        </w:rPr>
        <w:t> </w:t>
      </w:r>
      <w:r>
        <w:rPr/>
        <w:t>their</w:t>
      </w:r>
      <w:r>
        <w:rPr>
          <w:spacing w:val="-6"/>
        </w:rPr>
        <w:t> </w:t>
      </w:r>
      <w:r>
        <w:rPr/>
        <w:t>third</w:t>
      </w:r>
      <w:r>
        <w:rPr>
          <w:spacing w:val="-7"/>
        </w:rPr>
        <w:t> </w:t>
      </w:r>
      <w:r>
        <w:rPr/>
        <w:t>annual</w:t>
      </w:r>
      <w:r>
        <w:rPr>
          <w:spacing w:val="-7"/>
        </w:rPr>
        <w:t> </w:t>
      </w:r>
      <w:r>
        <w:rPr/>
        <w:t>survey,</w:t>
      </w:r>
      <w:r>
        <w:rPr>
          <w:spacing w:val="-6"/>
        </w:rPr>
        <w:t> </w:t>
      </w:r>
      <w:r>
        <w:rPr/>
        <w:t>which</w:t>
      </w:r>
      <w:r>
        <w:rPr>
          <w:spacing w:val="-7"/>
        </w:rPr>
        <w:t> </w:t>
      </w:r>
      <w:r>
        <w:rPr/>
        <w:t>found</w:t>
      </w:r>
      <w:r>
        <w:rPr>
          <w:spacing w:val="-7"/>
        </w:rPr>
        <w:t> </w:t>
      </w:r>
      <w:r>
        <w:rPr/>
        <w:t>the top three areas where citizens continued to experience difficulties accessing their rights were employment, travel and healthcare.</w:t>
      </w:r>
      <w:r>
        <w:rPr>
          <w:vertAlign w:val="superscript"/>
        </w:rPr>
        <w:t>792</w:t>
      </w:r>
    </w:p>
    <w:p>
      <w:pPr>
        <w:pStyle w:val="ListParagraph"/>
        <w:numPr>
          <w:ilvl w:val="1"/>
          <w:numId w:val="13"/>
        </w:numPr>
        <w:tabs>
          <w:tab w:pos="1853" w:val="left" w:leader="none"/>
        </w:tabs>
        <w:spacing w:line="225" w:lineRule="auto" w:before="309" w:after="0"/>
        <w:ind w:left="1853" w:right="1182" w:hanging="720"/>
        <w:jc w:val="left"/>
        <w:rPr>
          <w:sz w:val="28"/>
        </w:rPr>
      </w:pPr>
      <w:r>
        <w:rPr>
          <w:sz w:val="28"/>
        </w:rPr>
        <w:t>In June 2023, the Independent Monitoring Authority’s inquiry into EU Settlement Scheme Certificates of Application found that in some cases the Home</w:t>
      </w:r>
      <w:r>
        <w:rPr>
          <w:spacing w:val="-7"/>
          <w:sz w:val="28"/>
        </w:rPr>
        <w:t> </w:t>
      </w:r>
      <w:r>
        <w:rPr>
          <w:sz w:val="28"/>
        </w:rPr>
        <w:t>Office</w:t>
      </w:r>
      <w:r>
        <w:rPr>
          <w:spacing w:val="-7"/>
          <w:sz w:val="28"/>
        </w:rPr>
        <w:t> </w:t>
      </w:r>
      <w:r>
        <w:rPr>
          <w:sz w:val="28"/>
        </w:rPr>
        <w:t>failed</w:t>
      </w:r>
      <w:r>
        <w:rPr>
          <w:spacing w:val="-8"/>
          <w:sz w:val="28"/>
        </w:rPr>
        <w:t> </w:t>
      </w:r>
      <w:r>
        <w:rPr>
          <w:sz w:val="28"/>
        </w:rPr>
        <w:t>to</w:t>
      </w:r>
      <w:r>
        <w:rPr>
          <w:spacing w:val="-8"/>
          <w:sz w:val="28"/>
        </w:rPr>
        <w:t> </w:t>
      </w:r>
      <w:r>
        <w:rPr>
          <w:sz w:val="28"/>
        </w:rPr>
        <w:t>comply</w:t>
      </w:r>
      <w:r>
        <w:rPr>
          <w:spacing w:val="-7"/>
          <w:sz w:val="28"/>
        </w:rPr>
        <w:t> </w:t>
      </w:r>
      <w:r>
        <w:rPr>
          <w:sz w:val="28"/>
        </w:rPr>
        <w:t>with</w:t>
      </w:r>
      <w:r>
        <w:rPr>
          <w:spacing w:val="-8"/>
          <w:sz w:val="28"/>
        </w:rPr>
        <w:t> </w:t>
      </w:r>
      <w:r>
        <w:rPr>
          <w:sz w:val="28"/>
        </w:rPr>
        <w:t>the</w:t>
      </w:r>
      <w:r>
        <w:rPr>
          <w:spacing w:val="-7"/>
          <w:sz w:val="28"/>
        </w:rPr>
        <w:t> </w:t>
      </w:r>
      <w:r>
        <w:rPr>
          <w:sz w:val="28"/>
        </w:rPr>
        <w:t>obligation</w:t>
      </w:r>
      <w:r>
        <w:rPr>
          <w:spacing w:val="-8"/>
          <w:sz w:val="28"/>
        </w:rPr>
        <w:t> </w:t>
      </w:r>
      <w:r>
        <w:rPr>
          <w:sz w:val="28"/>
        </w:rPr>
        <w:t>under</w:t>
      </w:r>
      <w:r>
        <w:rPr>
          <w:spacing w:val="-7"/>
          <w:sz w:val="28"/>
        </w:rPr>
        <w:t> </w:t>
      </w:r>
      <w:r>
        <w:rPr>
          <w:sz w:val="28"/>
        </w:rPr>
        <w:t>the</w:t>
      </w:r>
      <w:r>
        <w:rPr>
          <w:spacing w:val="-7"/>
          <w:sz w:val="28"/>
        </w:rPr>
        <w:t> </w:t>
      </w:r>
      <w:r>
        <w:rPr>
          <w:sz w:val="28"/>
        </w:rPr>
        <w:t>UK-EU</w:t>
      </w:r>
      <w:r>
        <w:rPr>
          <w:spacing w:val="-7"/>
          <w:sz w:val="28"/>
        </w:rPr>
        <w:t> </w:t>
      </w:r>
      <w:r>
        <w:rPr>
          <w:sz w:val="28"/>
        </w:rPr>
        <w:t>Withdrawal Agreement to issue a Certificate of Application immediately.</w:t>
      </w:r>
      <w:r>
        <w:rPr>
          <w:sz w:val="28"/>
          <w:vertAlign w:val="superscript"/>
        </w:rPr>
        <w:t>793</w:t>
      </w:r>
      <w:r>
        <w:rPr>
          <w:sz w:val="28"/>
          <w:vertAlign w:val="baseline"/>
        </w:rPr>
        <w:t> Obtaining a Certificate of Application protects the applicant’s rights pending a decision</w:t>
      </w:r>
    </w:p>
    <w:p>
      <w:pPr>
        <w:pStyle w:val="BodyText"/>
        <w:spacing w:line="225" w:lineRule="auto"/>
        <w:ind w:left="1853" w:right="1171"/>
      </w:pPr>
      <w:r>
        <w:rPr/>
        <w:t>on their status.</w:t>
      </w:r>
      <w:r>
        <w:rPr>
          <w:vertAlign w:val="superscript"/>
        </w:rPr>
        <w:t>794</w:t>
      </w:r>
      <w:r>
        <w:rPr>
          <w:vertAlign w:val="baseline"/>
        </w:rPr>
        <w:t> In September 2023, the UK Government published a response</w:t>
      </w:r>
      <w:r>
        <w:rPr>
          <w:spacing w:val="-1"/>
          <w:vertAlign w:val="baseline"/>
        </w:rPr>
        <w:t> </w:t>
      </w:r>
      <w:r>
        <w:rPr>
          <w:vertAlign w:val="baseline"/>
        </w:rPr>
        <w:t>to</w:t>
      </w:r>
      <w:r>
        <w:rPr>
          <w:spacing w:val="-2"/>
          <w:vertAlign w:val="baseline"/>
        </w:rPr>
        <w:t> </w:t>
      </w:r>
      <w:r>
        <w:rPr>
          <w:vertAlign w:val="baseline"/>
        </w:rPr>
        <w:t>the</w:t>
      </w:r>
      <w:r>
        <w:rPr>
          <w:spacing w:val="-1"/>
          <w:vertAlign w:val="baseline"/>
        </w:rPr>
        <w:t> </w:t>
      </w:r>
      <w:r>
        <w:rPr>
          <w:vertAlign w:val="baseline"/>
        </w:rPr>
        <w:t>report</w:t>
      </w:r>
      <w:r>
        <w:rPr>
          <w:spacing w:val="-1"/>
          <w:vertAlign w:val="baseline"/>
        </w:rPr>
        <w:t> </w:t>
      </w:r>
      <w:r>
        <w:rPr>
          <w:vertAlign w:val="baseline"/>
        </w:rPr>
        <w:t>accepting</w:t>
      </w:r>
      <w:r>
        <w:rPr>
          <w:spacing w:val="-1"/>
          <w:vertAlign w:val="baseline"/>
        </w:rPr>
        <w:t> </w:t>
      </w:r>
      <w:r>
        <w:rPr>
          <w:vertAlign w:val="baseline"/>
        </w:rPr>
        <w:t>some</w:t>
      </w:r>
      <w:r>
        <w:rPr>
          <w:spacing w:val="-1"/>
          <w:vertAlign w:val="baseline"/>
        </w:rPr>
        <w:t> </w:t>
      </w:r>
      <w:r>
        <w:rPr>
          <w:vertAlign w:val="baseline"/>
        </w:rPr>
        <w:t>of</w:t>
      </w:r>
      <w:r>
        <w:rPr>
          <w:spacing w:val="-2"/>
          <w:vertAlign w:val="baseline"/>
        </w:rPr>
        <w:t> </w:t>
      </w:r>
      <w:r>
        <w:rPr>
          <w:vertAlign w:val="baseline"/>
        </w:rPr>
        <w:t>the</w:t>
      </w:r>
      <w:r>
        <w:rPr>
          <w:spacing w:val="-1"/>
          <w:vertAlign w:val="baseline"/>
        </w:rPr>
        <w:t> </w:t>
      </w:r>
      <w:r>
        <w:rPr>
          <w:vertAlign w:val="baseline"/>
        </w:rPr>
        <w:t>recommendations</w:t>
      </w:r>
      <w:r>
        <w:rPr>
          <w:spacing w:val="-2"/>
          <w:vertAlign w:val="baseline"/>
        </w:rPr>
        <w:t> </w:t>
      </w:r>
      <w:r>
        <w:rPr>
          <w:vertAlign w:val="baseline"/>
        </w:rPr>
        <w:t>and</w:t>
      </w:r>
      <w:r>
        <w:rPr>
          <w:spacing w:val="-2"/>
          <w:vertAlign w:val="baseline"/>
        </w:rPr>
        <w:t> </w:t>
      </w:r>
      <w:r>
        <w:rPr>
          <w:vertAlign w:val="baseline"/>
        </w:rPr>
        <w:t>agreeing to consider whether the extraction of meaningful data from systems would enhance</w:t>
      </w:r>
      <w:r>
        <w:rPr>
          <w:spacing w:val="-5"/>
          <w:vertAlign w:val="baseline"/>
        </w:rPr>
        <w:t> </w:t>
      </w:r>
      <w:r>
        <w:rPr>
          <w:vertAlign w:val="baseline"/>
        </w:rPr>
        <w:t>the</w:t>
      </w:r>
      <w:r>
        <w:rPr>
          <w:spacing w:val="-5"/>
          <w:vertAlign w:val="baseline"/>
        </w:rPr>
        <w:t> </w:t>
      </w:r>
      <w:r>
        <w:rPr>
          <w:vertAlign w:val="baseline"/>
        </w:rPr>
        <w:t>ability</w:t>
      </w:r>
      <w:r>
        <w:rPr>
          <w:spacing w:val="-5"/>
          <w:vertAlign w:val="baseline"/>
        </w:rPr>
        <w:t> </w:t>
      </w:r>
      <w:r>
        <w:rPr>
          <w:vertAlign w:val="baseline"/>
        </w:rPr>
        <w:t>to</w:t>
      </w:r>
      <w:r>
        <w:rPr>
          <w:spacing w:val="-6"/>
          <w:vertAlign w:val="baseline"/>
        </w:rPr>
        <w:t> </w:t>
      </w:r>
      <w:r>
        <w:rPr>
          <w:vertAlign w:val="baseline"/>
        </w:rPr>
        <w:t>monitor</w:t>
      </w:r>
      <w:r>
        <w:rPr>
          <w:spacing w:val="-5"/>
          <w:vertAlign w:val="baseline"/>
        </w:rPr>
        <w:t> </w:t>
      </w:r>
      <w:r>
        <w:rPr>
          <w:vertAlign w:val="baseline"/>
        </w:rPr>
        <w:t>and</w:t>
      </w:r>
      <w:r>
        <w:rPr>
          <w:spacing w:val="-6"/>
          <w:vertAlign w:val="baseline"/>
        </w:rPr>
        <w:t> </w:t>
      </w:r>
      <w:r>
        <w:rPr>
          <w:vertAlign w:val="baseline"/>
        </w:rPr>
        <w:t>manage</w:t>
      </w:r>
      <w:r>
        <w:rPr>
          <w:spacing w:val="-5"/>
          <w:vertAlign w:val="baseline"/>
        </w:rPr>
        <w:t> </w:t>
      </w:r>
      <w:r>
        <w:rPr>
          <w:vertAlign w:val="baseline"/>
        </w:rPr>
        <w:t>the</w:t>
      </w:r>
      <w:r>
        <w:rPr>
          <w:spacing w:val="-5"/>
          <w:vertAlign w:val="baseline"/>
        </w:rPr>
        <w:t> </w:t>
      </w:r>
      <w:r>
        <w:rPr>
          <w:vertAlign w:val="baseline"/>
        </w:rPr>
        <w:t>process</w:t>
      </w:r>
      <w:r>
        <w:rPr>
          <w:spacing w:val="-6"/>
          <w:vertAlign w:val="baseline"/>
        </w:rPr>
        <w:t> </w:t>
      </w:r>
      <w:r>
        <w:rPr>
          <w:vertAlign w:val="baseline"/>
        </w:rPr>
        <w:t>for</w:t>
      </w:r>
      <w:r>
        <w:rPr>
          <w:spacing w:val="-5"/>
          <w:vertAlign w:val="baseline"/>
        </w:rPr>
        <w:t> </w:t>
      </w:r>
      <w:r>
        <w:rPr>
          <w:vertAlign w:val="baseline"/>
        </w:rPr>
        <w:t>issuing</w:t>
      </w:r>
      <w:r>
        <w:rPr>
          <w:spacing w:val="-5"/>
          <w:vertAlign w:val="baseline"/>
        </w:rPr>
        <w:t> </w:t>
      </w:r>
      <w:r>
        <w:rPr>
          <w:vertAlign w:val="baseline"/>
        </w:rPr>
        <w:t>Certificates of Application.</w:t>
      </w:r>
      <w:r>
        <w:rPr>
          <w:vertAlign w:val="superscript"/>
        </w:rPr>
        <w:t>795</w:t>
      </w:r>
    </w:p>
    <w:p>
      <w:pPr>
        <w:pStyle w:val="ListParagraph"/>
        <w:numPr>
          <w:ilvl w:val="1"/>
          <w:numId w:val="13"/>
        </w:numPr>
        <w:tabs>
          <w:tab w:pos="1853" w:val="left" w:leader="none"/>
        </w:tabs>
        <w:spacing w:line="225" w:lineRule="auto" w:before="307" w:after="0"/>
        <w:ind w:left="1853" w:right="1777" w:hanging="720"/>
        <w:jc w:val="left"/>
        <w:rPr>
          <w:sz w:val="28"/>
        </w:rPr>
      </w:pPr>
      <w:r>
        <w:rPr>
          <w:sz w:val="28"/>
        </w:rPr>
        <w:t>In</w:t>
      </w:r>
      <w:r>
        <w:rPr>
          <w:spacing w:val="-7"/>
          <w:sz w:val="28"/>
        </w:rPr>
        <w:t> </w:t>
      </w:r>
      <w:r>
        <w:rPr>
          <w:sz w:val="28"/>
        </w:rPr>
        <w:t>September</w:t>
      </w:r>
      <w:r>
        <w:rPr>
          <w:spacing w:val="-6"/>
          <w:sz w:val="28"/>
        </w:rPr>
        <w:t> </w:t>
      </w:r>
      <w:r>
        <w:rPr>
          <w:sz w:val="28"/>
        </w:rPr>
        <w:t>2023,</w:t>
      </w:r>
      <w:r>
        <w:rPr>
          <w:spacing w:val="-6"/>
          <w:sz w:val="28"/>
        </w:rPr>
        <w:t> </w:t>
      </w:r>
      <w:r>
        <w:rPr>
          <w:sz w:val="28"/>
        </w:rPr>
        <w:t>the</w:t>
      </w:r>
      <w:r>
        <w:rPr>
          <w:spacing w:val="-6"/>
          <w:sz w:val="28"/>
        </w:rPr>
        <w:t> </w:t>
      </w:r>
      <w:r>
        <w:rPr>
          <w:sz w:val="28"/>
        </w:rPr>
        <w:t>Independent</w:t>
      </w:r>
      <w:r>
        <w:rPr>
          <w:spacing w:val="-6"/>
          <w:sz w:val="28"/>
        </w:rPr>
        <w:t> </w:t>
      </w:r>
      <w:r>
        <w:rPr>
          <w:sz w:val="28"/>
        </w:rPr>
        <w:t>Monitoring</w:t>
      </w:r>
      <w:r>
        <w:rPr>
          <w:spacing w:val="-6"/>
          <w:sz w:val="28"/>
        </w:rPr>
        <w:t> </w:t>
      </w:r>
      <w:r>
        <w:rPr>
          <w:sz w:val="28"/>
        </w:rPr>
        <w:t>Authority</w:t>
      </w:r>
      <w:r>
        <w:rPr>
          <w:spacing w:val="-6"/>
          <w:sz w:val="28"/>
        </w:rPr>
        <w:t> </w:t>
      </w:r>
      <w:r>
        <w:rPr>
          <w:sz w:val="28"/>
        </w:rPr>
        <w:t>responded</w:t>
      </w:r>
      <w:r>
        <w:rPr>
          <w:spacing w:val="-7"/>
          <w:sz w:val="28"/>
        </w:rPr>
        <w:t> </w:t>
      </w:r>
      <w:r>
        <w:rPr>
          <w:sz w:val="28"/>
        </w:rPr>
        <w:t>to the UK Government, reiterating its view that establishing a timescale for</w:t>
      </w:r>
    </w:p>
    <w:p>
      <w:pPr>
        <w:pStyle w:val="BodyText"/>
        <w:spacing w:line="225" w:lineRule="auto"/>
        <w:ind w:left="1853" w:right="1171"/>
      </w:pPr>
      <w:r>
        <w:rPr/>
        <w:t>issuing</w:t>
      </w:r>
      <w:r>
        <w:rPr>
          <w:spacing w:val="-5"/>
        </w:rPr>
        <w:t> </w:t>
      </w:r>
      <w:r>
        <w:rPr/>
        <w:t>Certificates</w:t>
      </w:r>
      <w:r>
        <w:rPr>
          <w:spacing w:val="-6"/>
        </w:rPr>
        <w:t> </w:t>
      </w:r>
      <w:r>
        <w:rPr/>
        <w:t>of</w:t>
      </w:r>
      <w:r>
        <w:rPr>
          <w:spacing w:val="-6"/>
        </w:rPr>
        <w:t> </w:t>
      </w:r>
      <w:r>
        <w:rPr/>
        <w:t>Application</w:t>
      </w:r>
      <w:r>
        <w:rPr>
          <w:spacing w:val="-6"/>
        </w:rPr>
        <w:t> </w:t>
      </w:r>
      <w:r>
        <w:rPr/>
        <w:t>would</w:t>
      </w:r>
      <w:r>
        <w:rPr>
          <w:spacing w:val="-6"/>
        </w:rPr>
        <w:t> </w:t>
      </w:r>
      <w:r>
        <w:rPr/>
        <w:t>be</w:t>
      </w:r>
      <w:r>
        <w:rPr>
          <w:spacing w:val="-5"/>
        </w:rPr>
        <w:t> </w:t>
      </w:r>
      <w:r>
        <w:rPr/>
        <w:t>helpful</w:t>
      </w:r>
      <w:r>
        <w:rPr>
          <w:spacing w:val="-6"/>
        </w:rPr>
        <w:t> </w:t>
      </w:r>
      <w:r>
        <w:rPr/>
        <w:t>as</w:t>
      </w:r>
      <w:r>
        <w:rPr>
          <w:spacing w:val="-6"/>
        </w:rPr>
        <w:t> </w:t>
      </w:r>
      <w:r>
        <w:rPr/>
        <w:t>it</w:t>
      </w:r>
      <w:r>
        <w:rPr>
          <w:spacing w:val="-5"/>
        </w:rPr>
        <w:t> </w:t>
      </w:r>
      <w:r>
        <w:rPr/>
        <w:t>would</w:t>
      </w:r>
      <w:r>
        <w:rPr>
          <w:spacing w:val="-6"/>
        </w:rPr>
        <w:t> </w:t>
      </w:r>
      <w:r>
        <w:rPr/>
        <w:t>provide</w:t>
      </w:r>
      <w:r>
        <w:rPr>
          <w:spacing w:val="-5"/>
        </w:rPr>
        <w:t> </w:t>
      </w:r>
      <w:r>
        <w:rPr/>
        <w:t>clarity for applicants.</w:t>
      </w:r>
      <w:r>
        <w:rPr>
          <w:vertAlign w:val="superscript"/>
        </w:rPr>
        <w:t>796</w:t>
      </w:r>
      <w:r>
        <w:rPr>
          <w:vertAlign w:val="baseline"/>
        </w:rPr>
        <w:t> The Independent Monitoring Authority launched a further inquiry to investigate EU Settlement Scheme application delays.</w:t>
      </w:r>
      <w:r>
        <w:rPr>
          <w:vertAlign w:val="superscript"/>
        </w:rPr>
        <w:t>797</w:t>
      </w:r>
    </w:p>
    <w:p>
      <w:pPr>
        <w:pStyle w:val="ListParagraph"/>
        <w:numPr>
          <w:ilvl w:val="1"/>
          <w:numId w:val="13"/>
        </w:numPr>
        <w:tabs>
          <w:tab w:pos="1853" w:val="left" w:leader="none"/>
        </w:tabs>
        <w:spacing w:line="225" w:lineRule="auto" w:before="313" w:after="0"/>
        <w:ind w:left="1853" w:right="2123" w:hanging="720"/>
        <w:jc w:val="left"/>
        <w:rPr>
          <w:sz w:val="28"/>
        </w:rPr>
      </w:pPr>
      <w:r>
        <w:rPr>
          <w:sz w:val="28"/>
        </w:rPr>
        <w:t>In</w:t>
      </w:r>
      <w:r>
        <w:rPr>
          <w:spacing w:val="-6"/>
          <w:sz w:val="28"/>
        </w:rPr>
        <w:t> </w:t>
      </w:r>
      <w:r>
        <w:rPr>
          <w:sz w:val="28"/>
        </w:rPr>
        <w:t>June</w:t>
      </w:r>
      <w:r>
        <w:rPr>
          <w:spacing w:val="-5"/>
          <w:sz w:val="28"/>
        </w:rPr>
        <w:t> </w:t>
      </w:r>
      <w:r>
        <w:rPr>
          <w:sz w:val="28"/>
        </w:rPr>
        <w:t>2023,</w:t>
      </w:r>
      <w:r>
        <w:rPr>
          <w:spacing w:val="-5"/>
          <w:sz w:val="28"/>
        </w:rPr>
        <w:t> </w:t>
      </w:r>
      <w:r>
        <w:rPr>
          <w:sz w:val="28"/>
        </w:rPr>
        <w:t>the</w:t>
      </w:r>
      <w:r>
        <w:rPr>
          <w:spacing w:val="-5"/>
          <w:sz w:val="28"/>
        </w:rPr>
        <w:t> </w:t>
      </w:r>
      <w:r>
        <w:rPr>
          <w:sz w:val="28"/>
        </w:rPr>
        <w:t>ECNI</w:t>
      </w:r>
      <w:r>
        <w:rPr>
          <w:spacing w:val="-5"/>
          <w:sz w:val="28"/>
        </w:rPr>
        <w:t> </w:t>
      </w:r>
      <w:r>
        <w:rPr>
          <w:sz w:val="28"/>
        </w:rPr>
        <w:t>published</w:t>
      </w:r>
      <w:r>
        <w:rPr>
          <w:spacing w:val="-6"/>
          <w:sz w:val="28"/>
        </w:rPr>
        <w:t> </w:t>
      </w:r>
      <w:r>
        <w:rPr>
          <w:sz w:val="28"/>
        </w:rPr>
        <w:t>independent</w:t>
      </w:r>
      <w:r>
        <w:rPr>
          <w:spacing w:val="-5"/>
          <w:sz w:val="28"/>
        </w:rPr>
        <w:t> </w:t>
      </w:r>
      <w:r>
        <w:rPr>
          <w:sz w:val="28"/>
        </w:rPr>
        <w:t>research</w:t>
      </w:r>
      <w:r>
        <w:rPr>
          <w:spacing w:val="-6"/>
          <w:sz w:val="28"/>
        </w:rPr>
        <w:t> </w:t>
      </w:r>
      <w:r>
        <w:rPr>
          <w:sz w:val="28"/>
        </w:rPr>
        <w:t>on</w:t>
      </w:r>
      <w:r>
        <w:rPr>
          <w:spacing w:val="-6"/>
          <w:sz w:val="28"/>
        </w:rPr>
        <w:t> </w:t>
      </w:r>
      <w:r>
        <w:rPr>
          <w:sz w:val="28"/>
        </w:rPr>
        <w:t>the</w:t>
      </w:r>
      <w:r>
        <w:rPr>
          <w:spacing w:val="-5"/>
          <w:sz w:val="28"/>
        </w:rPr>
        <w:t> </w:t>
      </w:r>
      <w:r>
        <w:rPr>
          <w:sz w:val="28"/>
        </w:rPr>
        <w:t>impact of Brexit on minority ethnic and migrant people in NI, which includes</w:t>
      </w:r>
    </w:p>
    <w:p>
      <w:pPr>
        <w:pStyle w:val="BodyText"/>
        <w:spacing w:line="225" w:lineRule="auto"/>
        <w:ind w:left="1853" w:right="1171"/>
      </w:pPr>
      <w:r>
        <w:rPr/>
        <w:t>consideration</w:t>
      </w:r>
      <w:r>
        <w:rPr>
          <w:spacing w:val="-8"/>
        </w:rPr>
        <w:t> </w:t>
      </w:r>
      <w:r>
        <w:rPr/>
        <w:t>of</w:t>
      </w:r>
      <w:r>
        <w:rPr>
          <w:spacing w:val="-8"/>
        </w:rPr>
        <w:t> </w:t>
      </w:r>
      <w:r>
        <w:rPr/>
        <w:t>the</w:t>
      </w:r>
      <w:r>
        <w:rPr>
          <w:spacing w:val="-7"/>
        </w:rPr>
        <w:t> </w:t>
      </w:r>
      <w:r>
        <w:rPr/>
        <w:t>experiences</w:t>
      </w:r>
      <w:r>
        <w:rPr>
          <w:spacing w:val="-8"/>
        </w:rPr>
        <w:t> </w:t>
      </w:r>
      <w:r>
        <w:rPr/>
        <w:t>of</w:t>
      </w:r>
      <w:r>
        <w:rPr>
          <w:spacing w:val="-8"/>
        </w:rPr>
        <w:t> </w:t>
      </w:r>
      <w:r>
        <w:rPr/>
        <w:t>applicants</w:t>
      </w:r>
      <w:r>
        <w:rPr>
          <w:spacing w:val="-8"/>
        </w:rPr>
        <w:t> </w:t>
      </w:r>
      <w:r>
        <w:rPr/>
        <w:t>to</w:t>
      </w:r>
      <w:r>
        <w:rPr>
          <w:spacing w:val="-8"/>
        </w:rPr>
        <w:t> </w:t>
      </w:r>
      <w:r>
        <w:rPr/>
        <w:t>the</w:t>
      </w:r>
      <w:r>
        <w:rPr>
          <w:spacing w:val="-7"/>
        </w:rPr>
        <w:t> </w:t>
      </w:r>
      <w:r>
        <w:rPr/>
        <w:t>EU</w:t>
      </w:r>
      <w:r>
        <w:rPr>
          <w:spacing w:val="-7"/>
        </w:rPr>
        <w:t> </w:t>
      </w:r>
      <w:r>
        <w:rPr/>
        <w:t>Settlement</w:t>
      </w:r>
      <w:r>
        <w:rPr>
          <w:spacing w:val="-7"/>
        </w:rPr>
        <w:t> </w:t>
      </w:r>
      <w:r>
        <w:rPr/>
        <w:t>Scheme. The Commission published its policy recommendations in 2024.</w:t>
      </w:r>
      <w:r>
        <w:rPr>
          <w:vertAlign w:val="superscript"/>
        </w:rPr>
        <w:t>798</w:t>
      </w:r>
    </w:p>
    <w:p>
      <w:pPr>
        <w:pStyle w:val="BodyText"/>
        <w:spacing w:before="4"/>
        <w:rPr>
          <w:sz w:val="15"/>
        </w:rPr>
      </w:pPr>
      <w:r>
        <w:rPr/>
        <mc:AlternateContent>
          <mc:Choice Requires="wps">
            <w:drawing>
              <wp:anchor distT="0" distB="0" distL="0" distR="0" allowOverlap="1" layoutInCell="1" locked="0" behindDoc="1" simplePos="0" relativeHeight="487719424">
                <wp:simplePos x="0" y="0"/>
                <wp:positionH relativeFrom="page">
                  <wp:posOffset>719996</wp:posOffset>
                </wp:positionH>
                <wp:positionV relativeFrom="paragraph">
                  <wp:posOffset>134443</wp:posOffset>
                </wp:positionV>
                <wp:extent cx="6120130" cy="1270"/>
                <wp:effectExtent l="0" t="0" r="0" b="0"/>
                <wp:wrapTopAndBottom/>
                <wp:docPr id="584" name="Graphic 584"/>
                <wp:cNvGraphicFramePr>
                  <a:graphicFrameLocks/>
                </wp:cNvGraphicFramePr>
                <a:graphic>
                  <a:graphicData uri="http://schemas.microsoft.com/office/word/2010/wordprocessingShape">
                    <wps:wsp>
                      <wps:cNvPr id="584" name="Graphic 584"/>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0.586069pt;width:481.9pt;height:.1pt;mso-position-horizontal-relative:page;mso-position-vertical-relative:paragraph;z-index:-15597056;mso-wrap-distance-left:0;mso-wrap-distance-right:0" id="docshape529" coordorigin="1134,212" coordsize="9638,0" path="m10772,212l1134,212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35" w:lineRule="auto" w:before="160" w:after="0"/>
        <w:ind w:left="1853" w:right="1794" w:hanging="720"/>
        <w:jc w:val="left"/>
        <w:rPr>
          <w:sz w:val="18"/>
        </w:rPr>
      </w:pPr>
      <w:r>
        <w:rPr>
          <w:sz w:val="18"/>
        </w:rPr>
        <w:t>Committee</w:t>
      </w:r>
      <w:r>
        <w:rPr>
          <w:spacing w:val="-5"/>
          <w:sz w:val="18"/>
        </w:rPr>
        <w:t> </w:t>
      </w:r>
      <w:r>
        <w:rPr>
          <w:sz w:val="18"/>
        </w:rPr>
        <w:t>on</w:t>
      </w:r>
      <w:r>
        <w:rPr>
          <w:spacing w:val="-6"/>
          <w:sz w:val="18"/>
        </w:rPr>
        <w:t> </w:t>
      </w:r>
      <w:r>
        <w:rPr>
          <w:sz w:val="18"/>
        </w:rPr>
        <w:t>Administration</w:t>
      </w:r>
      <w:r>
        <w:rPr>
          <w:spacing w:val="-6"/>
          <w:sz w:val="18"/>
        </w:rPr>
        <w:t> </w:t>
      </w:r>
      <w:r>
        <w:rPr>
          <w:sz w:val="18"/>
        </w:rPr>
        <w:t>of</w:t>
      </w:r>
      <w:r>
        <w:rPr>
          <w:spacing w:val="-6"/>
          <w:sz w:val="18"/>
        </w:rPr>
        <w:t> </w:t>
      </w:r>
      <w:r>
        <w:rPr>
          <w:sz w:val="18"/>
        </w:rPr>
        <w:t>Justice,</w:t>
      </w:r>
      <w:r>
        <w:rPr>
          <w:spacing w:val="-5"/>
          <w:sz w:val="18"/>
        </w:rPr>
        <w:t> </w:t>
      </w:r>
      <w:r>
        <w:rPr>
          <w:sz w:val="18"/>
        </w:rPr>
        <w:t>‘Frontline</w:t>
      </w:r>
      <w:r>
        <w:rPr>
          <w:spacing w:val="-5"/>
          <w:sz w:val="18"/>
        </w:rPr>
        <w:t> </w:t>
      </w:r>
      <w:r>
        <w:rPr>
          <w:sz w:val="18"/>
        </w:rPr>
        <w:t>Lessons</w:t>
      </w:r>
      <w:r>
        <w:rPr>
          <w:spacing w:val="-6"/>
          <w:sz w:val="18"/>
        </w:rPr>
        <w:t> </w:t>
      </w:r>
      <w:r>
        <w:rPr>
          <w:sz w:val="18"/>
        </w:rPr>
        <w:t>for</w:t>
      </w:r>
      <w:r>
        <w:rPr>
          <w:spacing w:val="-5"/>
          <w:sz w:val="18"/>
        </w:rPr>
        <w:t> </w:t>
      </w:r>
      <w:r>
        <w:rPr>
          <w:sz w:val="18"/>
        </w:rPr>
        <w:t>the</w:t>
      </w:r>
      <w:r>
        <w:rPr>
          <w:spacing w:val="-5"/>
          <w:sz w:val="18"/>
        </w:rPr>
        <w:t> </w:t>
      </w:r>
      <w:r>
        <w:rPr>
          <w:sz w:val="18"/>
        </w:rPr>
        <w:t>Future</w:t>
      </w:r>
      <w:r>
        <w:rPr>
          <w:spacing w:val="-5"/>
          <w:sz w:val="18"/>
        </w:rPr>
        <w:t> </w:t>
      </w:r>
      <w:r>
        <w:rPr>
          <w:sz w:val="18"/>
        </w:rPr>
        <w:t>Collaborative</w:t>
      </w:r>
      <w:r>
        <w:rPr>
          <w:spacing w:val="-5"/>
          <w:sz w:val="18"/>
        </w:rPr>
        <w:t> </w:t>
      </w:r>
      <w:r>
        <w:rPr>
          <w:sz w:val="18"/>
        </w:rPr>
        <w:t>research</w:t>
      </w:r>
      <w:r>
        <w:rPr>
          <w:spacing w:val="-6"/>
          <w:sz w:val="18"/>
        </w:rPr>
        <w:t> </w:t>
      </w:r>
      <w:r>
        <w:rPr>
          <w:sz w:val="18"/>
        </w:rPr>
        <w:t>on</w:t>
      </w:r>
      <w:r>
        <w:rPr>
          <w:spacing w:val="-6"/>
          <w:sz w:val="18"/>
        </w:rPr>
        <w:t> </w:t>
      </w:r>
      <w:r>
        <w:rPr>
          <w:sz w:val="18"/>
        </w:rPr>
        <w:t>the</w:t>
      </w:r>
      <w:r>
        <w:rPr>
          <w:spacing w:val="-5"/>
          <w:sz w:val="18"/>
        </w:rPr>
        <w:t> </w:t>
      </w:r>
      <w:r>
        <w:rPr>
          <w:sz w:val="18"/>
        </w:rPr>
        <w:t>impact</w:t>
      </w:r>
      <w:r>
        <w:rPr>
          <w:spacing w:val="-5"/>
          <w:sz w:val="18"/>
        </w:rPr>
        <w:t> </w:t>
      </w:r>
      <w:r>
        <w:rPr>
          <w:sz w:val="18"/>
        </w:rPr>
        <w:t>of immigration law and policy in post-Brexit Northern Ireland’ (CAJ, 2022), at page 46.</w:t>
      </w:r>
    </w:p>
    <w:p>
      <w:pPr>
        <w:pStyle w:val="ListParagraph"/>
        <w:numPr>
          <w:ilvl w:val="0"/>
          <w:numId w:val="11"/>
        </w:numPr>
        <w:tabs>
          <w:tab w:pos="1853" w:val="left" w:leader="none"/>
        </w:tabs>
        <w:spacing w:line="235" w:lineRule="auto" w:before="1" w:after="0"/>
        <w:ind w:left="1853" w:right="1722" w:hanging="720"/>
        <w:jc w:val="left"/>
        <w:rPr>
          <w:sz w:val="18"/>
        </w:rPr>
      </w:pPr>
      <w:r>
        <w:rPr>
          <w:sz w:val="18"/>
        </w:rPr>
        <w:t>The</w:t>
      </w:r>
      <w:r>
        <w:rPr>
          <w:spacing w:val="-7"/>
          <w:sz w:val="18"/>
        </w:rPr>
        <w:t> </w:t>
      </w:r>
      <w:r>
        <w:rPr>
          <w:sz w:val="18"/>
        </w:rPr>
        <w:t>Rt</w:t>
      </w:r>
      <w:r>
        <w:rPr>
          <w:spacing w:val="-7"/>
          <w:sz w:val="18"/>
        </w:rPr>
        <w:t> </w:t>
      </w:r>
      <w:r>
        <w:rPr>
          <w:sz w:val="18"/>
        </w:rPr>
        <w:t>Hon</w:t>
      </w:r>
      <w:r>
        <w:rPr>
          <w:spacing w:val="-8"/>
          <w:sz w:val="18"/>
        </w:rPr>
        <w:t> </w:t>
      </w:r>
      <w:r>
        <w:rPr>
          <w:sz w:val="18"/>
        </w:rPr>
        <w:t>Robert</w:t>
      </w:r>
      <w:r>
        <w:rPr>
          <w:spacing w:val="-7"/>
          <w:sz w:val="18"/>
        </w:rPr>
        <w:t> </w:t>
      </w:r>
      <w:r>
        <w:rPr>
          <w:sz w:val="18"/>
        </w:rPr>
        <w:t>Jenrick</w:t>
      </w:r>
      <w:r>
        <w:rPr>
          <w:spacing w:val="-7"/>
          <w:sz w:val="18"/>
        </w:rPr>
        <w:t> </w:t>
      </w:r>
      <w:r>
        <w:rPr>
          <w:sz w:val="18"/>
        </w:rPr>
        <w:t>MP,</w:t>
      </w:r>
      <w:r>
        <w:rPr>
          <w:spacing w:val="-7"/>
          <w:sz w:val="18"/>
        </w:rPr>
        <w:t> </w:t>
      </w:r>
      <w:r>
        <w:rPr>
          <w:sz w:val="18"/>
        </w:rPr>
        <w:t>‘Press</w:t>
      </w:r>
      <w:r>
        <w:rPr>
          <w:spacing w:val="-8"/>
          <w:sz w:val="18"/>
        </w:rPr>
        <w:t> </w:t>
      </w:r>
      <w:r>
        <w:rPr>
          <w:sz w:val="18"/>
        </w:rPr>
        <w:t>release:</w:t>
      </w:r>
      <w:r>
        <w:rPr>
          <w:spacing w:val="-7"/>
          <w:sz w:val="18"/>
        </w:rPr>
        <w:t> </w:t>
      </w:r>
      <w:r>
        <w:rPr>
          <w:sz w:val="18"/>
        </w:rPr>
        <w:t>New</w:t>
      </w:r>
      <w:r>
        <w:rPr>
          <w:spacing w:val="-7"/>
          <w:sz w:val="18"/>
        </w:rPr>
        <w:t> </w:t>
      </w:r>
      <w:r>
        <w:rPr>
          <w:sz w:val="18"/>
        </w:rPr>
        <w:t>crackdown</w:t>
      </w:r>
      <w:r>
        <w:rPr>
          <w:spacing w:val="-8"/>
          <w:sz w:val="18"/>
        </w:rPr>
        <w:t> </w:t>
      </w:r>
      <w:r>
        <w:rPr>
          <w:sz w:val="18"/>
        </w:rPr>
        <w:t>to</w:t>
      </w:r>
      <w:r>
        <w:rPr>
          <w:spacing w:val="-8"/>
          <w:sz w:val="18"/>
        </w:rPr>
        <w:t> </w:t>
      </w:r>
      <w:r>
        <w:rPr>
          <w:sz w:val="18"/>
        </w:rPr>
        <w:t>prevent</w:t>
      </w:r>
      <w:r>
        <w:rPr>
          <w:spacing w:val="-7"/>
          <w:sz w:val="18"/>
        </w:rPr>
        <w:t> </w:t>
      </w:r>
      <w:r>
        <w:rPr>
          <w:sz w:val="18"/>
        </w:rPr>
        <w:t>illegal</w:t>
      </w:r>
      <w:r>
        <w:rPr>
          <w:spacing w:val="-8"/>
          <w:sz w:val="18"/>
        </w:rPr>
        <w:t> </w:t>
      </w:r>
      <w:r>
        <w:rPr>
          <w:sz w:val="18"/>
        </w:rPr>
        <w:t>migrants</w:t>
      </w:r>
      <w:r>
        <w:rPr>
          <w:spacing w:val="-8"/>
          <w:sz w:val="18"/>
        </w:rPr>
        <w:t> </w:t>
      </w:r>
      <w:r>
        <w:rPr>
          <w:sz w:val="18"/>
        </w:rPr>
        <w:t>accessing</w:t>
      </w:r>
      <w:r>
        <w:rPr>
          <w:spacing w:val="-7"/>
          <w:sz w:val="18"/>
        </w:rPr>
        <w:t> </w:t>
      </w:r>
      <w:r>
        <w:rPr>
          <w:sz w:val="18"/>
        </w:rPr>
        <w:t>bank</w:t>
      </w:r>
      <w:r>
        <w:rPr>
          <w:spacing w:val="-7"/>
          <w:sz w:val="18"/>
        </w:rPr>
        <w:t> </w:t>
      </w:r>
      <w:r>
        <w:rPr>
          <w:sz w:val="18"/>
        </w:rPr>
        <w:t>accounts’, Home Office</w:t>
      </w:r>
      <w:r>
        <w:rPr>
          <w:i/>
          <w:sz w:val="18"/>
        </w:rPr>
        <w:t>, </w:t>
      </w:r>
      <w:r>
        <w:rPr>
          <w:sz w:val="18"/>
        </w:rPr>
        <w:t>6 April 2023.</w:t>
      </w:r>
    </w:p>
    <w:p>
      <w:pPr>
        <w:pStyle w:val="ListParagraph"/>
        <w:numPr>
          <w:ilvl w:val="0"/>
          <w:numId w:val="11"/>
        </w:numPr>
        <w:tabs>
          <w:tab w:pos="1853" w:val="left" w:leader="none"/>
        </w:tabs>
        <w:spacing w:line="235" w:lineRule="auto" w:before="2" w:after="0"/>
        <w:ind w:left="1853" w:right="1794" w:hanging="720"/>
        <w:jc w:val="left"/>
        <w:rPr>
          <w:sz w:val="18"/>
        </w:rPr>
      </w:pPr>
      <w:r>
        <w:rPr>
          <w:sz w:val="18"/>
        </w:rPr>
        <w:t>Committee</w:t>
      </w:r>
      <w:r>
        <w:rPr>
          <w:spacing w:val="-5"/>
          <w:sz w:val="18"/>
        </w:rPr>
        <w:t> </w:t>
      </w:r>
      <w:r>
        <w:rPr>
          <w:sz w:val="18"/>
        </w:rPr>
        <w:t>on</w:t>
      </w:r>
      <w:r>
        <w:rPr>
          <w:spacing w:val="-6"/>
          <w:sz w:val="18"/>
        </w:rPr>
        <w:t> </w:t>
      </w:r>
      <w:r>
        <w:rPr>
          <w:sz w:val="18"/>
        </w:rPr>
        <w:t>Administration</w:t>
      </w:r>
      <w:r>
        <w:rPr>
          <w:spacing w:val="-6"/>
          <w:sz w:val="18"/>
        </w:rPr>
        <w:t> </w:t>
      </w:r>
      <w:r>
        <w:rPr>
          <w:sz w:val="18"/>
        </w:rPr>
        <w:t>of</w:t>
      </w:r>
      <w:r>
        <w:rPr>
          <w:spacing w:val="-6"/>
          <w:sz w:val="18"/>
        </w:rPr>
        <w:t> </w:t>
      </w:r>
      <w:r>
        <w:rPr>
          <w:sz w:val="18"/>
        </w:rPr>
        <w:t>Justice,</w:t>
      </w:r>
      <w:r>
        <w:rPr>
          <w:spacing w:val="-5"/>
          <w:sz w:val="18"/>
        </w:rPr>
        <w:t> </w:t>
      </w:r>
      <w:r>
        <w:rPr>
          <w:sz w:val="18"/>
        </w:rPr>
        <w:t>‘Frontline</w:t>
      </w:r>
      <w:r>
        <w:rPr>
          <w:spacing w:val="-5"/>
          <w:sz w:val="18"/>
        </w:rPr>
        <w:t> </w:t>
      </w:r>
      <w:r>
        <w:rPr>
          <w:sz w:val="18"/>
        </w:rPr>
        <w:t>Lessons</w:t>
      </w:r>
      <w:r>
        <w:rPr>
          <w:spacing w:val="-6"/>
          <w:sz w:val="18"/>
        </w:rPr>
        <w:t> </w:t>
      </w:r>
      <w:r>
        <w:rPr>
          <w:sz w:val="18"/>
        </w:rPr>
        <w:t>for</w:t>
      </w:r>
      <w:r>
        <w:rPr>
          <w:spacing w:val="-5"/>
          <w:sz w:val="18"/>
        </w:rPr>
        <w:t> </w:t>
      </w:r>
      <w:r>
        <w:rPr>
          <w:sz w:val="18"/>
        </w:rPr>
        <w:t>the</w:t>
      </w:r>
      <w:r>
        <w:rPr>
          <w:spacing w:val="-5"/>
          <w:sz w:val="18"/>
        </w:rPr>
        <w:t> </w:t>
      </w:r>
      <w:r>
        <w:rPr>
          <w:sz w:val="18"/>
        </w:rPr>
        <w:t>Future</w:t>
      </w:r>
      <w:r>
        <w:rPr>
          <w:spacing w:val="-5"/>
          <w:sz w:val="18"/>
        </w:rPr>
        <w:t> </w:t>
      </w:r>
      <w:r>
        <w:rPr>
          <w:sz w:val="18"/>
        </w:rPr>
        <w:t>Collaborative</w:t>
      </w:r>
      <w:r>
        <w:rPr>
          <w:spacing w:val="-5"/>
          <w:sz w:val="18"/>
        </w:rPr>
        <w:t> </w:t>
      </w:r>
      <w:r>
        <w:rPr>
          <w:sz w:val="18"/>
        </w:rPr>
        <w:t>research</w:t>
      </w:r>
      <w:r>
        <w:rPr>
          <w:spacing w:val="-6"/>
          <w:sz w:val="18"/>
        </w:rPr>
        <w:t> </w:t>
      </w:r>
      <w:r>
        <w:rPr>
          <w:sz w:val="18"/>
        </w:rPr>
        <w:t>on</w:t>
      </w:r>
      <w:r>
        <w:rPr>
          <w:spacing w:val="-6"/>
          <w:sz w:val="18"/>
        </w:rPr>
        <w:t> </w:t>
      </w:r>
      <w:r>
        <w:rPr>
          <w:sz w:val="18"/>
        </w:rPr>
        <w:t>the</w:t>
      </w:r>
      <w:r>
        <w:rPr>
          <w:spacing w:val="-5"/>
          <w:sz w:val="18"/>
        </w:rPr>
        <w:t> </w:t>
      </w:r>
      <w:r>
        <w:rPr>
          <w:sz w:val="18"/>
        </w:rPr>
        <w:t>impact</w:t>
      </w:r>
      <w:r>
        <w:rPr>
          <w:spacing w:val="-5"/>
          <w:sz w:val="18"/>
        </w:rPr>
        <w:t> </w:t>
      </w:r>
      <w:r>
        <w:rPr>
          <w:sz w:val="18"/>
        </w:rPr>
        <w:t>of immigration law and policy in post-Brexit Northern Ireland’ (CAJ, 2022), at page 49.</w:t>
      </w:r>
    </w:p>
    <w:p>
      <w:pPr>
        <w:pStyle w:val="ListParagraph"/>
        <w:numPr>
          <w:ilvl w:val="0"/>
          <w:numId w:val="11"/>
        </w:numPr>
        <w:tabs>
          <w:tab w:pos="1853" w:val="left" w:leader="none"/>
        </w:tabs>
        <w:spacing w:line="235" w:lineRule="auto" w:before="1" w:after="0"/>
        <w:ind w:left="1853" w:right="1263" w:hanging="720"/>
        <w:jc w:val="left"/>
        <w:rPr>
          <w:sz w:val="18"/>
        </w:rPr>
      </w:pPr>
      <w:r>
        <w:rPr>
          <w:sz w:val="18"/>
        </w:rPr>
        <w:t>Independent</w:t>
      </w:r>
      <w:r>
        <w:rPr>
          <w:spacing w:val="-5"/>
          <w:sz w:val="18"/>
        </w:rPr>
        <w:t> </w:t>
      </w:r>
      <w:r>
        <w:rPr>
          <w:sz w:val="18"/>
        </w:rPr>
        <w:t>Monitoring</w:t>
      </w:r>
      <w:r>
        <w:rPr>
          <w:spacing w:val="-5"/>
          <w:sz w:val="18"/>
        </w:rPr>
        <w:t> </w:t>
      </w:r>
      <w:r>
        <w:rPr>
          <w:sz w:val="18"/>
        </w:rPr>
        <w:t>Authority,</w:t>
      </w:r>
      <w:r>
        <w:rPr>
          <w:spacing w:val="-5"/>
          <w:sz w:val="18"/>
        </w:rPr>
        <w:t> </w:t>
      </w:r>
      <w:r>
        <w:rPr>
          <w:sz w:val="18"/>
        </w:rPr>
        <w:t>‘Press</w:t>
      </w:r>
      <w:r>
        <w:rPr>
          <w:spacing w:val="-6"/>
          <w:sz w:val="18"/>
        </w:rPr>
        <w:t> </w:t>
      </w:r>
      <w:r>
        <w:rPr>
          <w:sz w:val="18"/>
        </w:rPr>
        <w:t>release:</w:t>
      </w:r>
      <w:r>
        <w:rPr>
          <w:spacing w:val="-5"/>
          <w:sz w:val="18"/>
        </w:rPr>
        <w:t> </w:t>
      </w:r>
      <w:r>
        <w:rPr>
          <w:sz w:val="18"/>
        </w:rPr>
        <w:t>IMA</w:t>
      </w:r>
      <w:r>
        <w:rPr>
          <w:spacing w:val="-5"/>
          <w:sz w:val="18"/>
        </w:rPr>
        <w:t> </w:t>
      </w:r>
      <w:r>
        <w:rPr>
          <w:sz w:val="18"/>
        </w:rPr>
        <w:t>survey</w:t>
      </w:r>
      <w:r>
        <w:rPr>
          <w:spacing w:val="-5"/>
          <w:sz w:val="18"/>
        </w:rPr>
        <w:t> </w:t>
      </w:r>
      <w:r>
        <w:rPr>
          <w:sz w:val="18"/>
        </w:rPr>
        <w:t>identifies</w:t>
      </w:r>
      <w:r>
        <w:rPr>
          <w:spacing w:val="-6"/>
          <w:sz w:val="18"/>
        </w:rPr>
        <w:t> </w:t>
      </w:r>
      <w:r>
        <w:rPr>
          <w:sz w:val="18"/>
        </w:rPr>
        <w:t>concerns</w:t>
      </w:r>
      <w:r>
        <w:rPr>
          <w:spacing w:val="-6"/>
          <w:sz w:val="18"/>
        </w:rPr>
        <w:t> </w:t>
      </w:r>
      <w:r>
        <w:rPr>
          <w:sz w:val="18"/>
        </w:rPr>
        <w:t>about</w:t>
      </w:r>
      <w:r>
        <w:rPr>
          <w:spacing w:val="-5"/>
          <w:sz w:val="18"/>
        </w:rPr>
        <w:t> </w:t>
      </w:r>
      <w:r>
        <w:rPr>
          <w:sz w:val="18"/>
        </w:rPr>
        <w:t>current</w:t>
      </w:r>
      <w:r>
        <w:rPr>
          <w:spacing w:val="-5"/>
          <w:sz w:val="18"/>
        </w:rPr>
        <w:t> </w:t>
      </w:r>
      <w:r>
        <w:rPr>
          <w:sz w:val="18"/>
        </w:rPr>
        <w:t>and</w:t>
      </w:r>
      <w:r>
        <w:rPr>
          <w:spacing w:val="-6"/>
          <w:sz w:val="18"/>
        </w:rPr>
        <w:t> </w:t>
      </w:r>
      <w:r>
        <w:rPr>
          <w:sz w:val="18"/>
        </w:rPr>
        <w:t>future</w:t>
      </w:r>
      <w:r>
        <w:rPr>
          <w:spacing w:val="-5"/>
          <w:sz w:val="18"/>
        </w:rPr>
        <w:t> </w:t>
      </w:r>
      <w:r>
        <w:rPr>
          <w:sz w:val="18"/>
        </w:rPr>
        <w:t>protection</w:t>
      </w:r>
      <w:r>
        <w:rPr>
          <w:spacing w:val="-6"/>
          <w:sz w:val="18"/>
        </w:rPr>
        <w:t> </w:t>
      </w:r>
      <w:r>
        <w:rPr>
          <w:sz w:val="18"/>
        </w:rPr>
        <w:t>of citizens’ rights’, 15 December 2023.</w:t>
      </w:r>
    </w:p>
    <w:p>
      <w:pPr>
        <w:pStyle w:val="ListParagraph"/>
        <w:numPr>
          <w:ilvl w:val="0"/>
          <w:numId w:val="11"/>
        </w:numPr>
        <w:tabs>
          <w:tab w:pos="1853" w:val="left" w:leader="none"/>
        </w:tabs>
        <w:spacing w:line="235" w:lineRule="auto" w:before="1" w:after="0"/>
        <w:ind w:left="1853" w:right="1702" w:hanging="720"/>
        <w:jc w:val="left"/>
        <w:rPr>
          <w:sz w:val="18"/>
        </w:rPr>
      </w:pPr>
      <w:r>
        <w:rPr>
          <w:sz w:val="18"/>
        </w:rPr>
        <w:t>Independent</w:t>
      </w:r>
      <w:r>
        <w:rPr>
          <w:spacing w:val="-6"/>
          <w:sz w:val="18"/>
        </w:rPr>
        <w:t> </w:t>
      </w:r>
      <w:r>
        <w:rPr>
          <w:sz w:val="18"/>
        </w:rPr>
        <w:t>Monitoring</w:t>
      </w:r>
      <w:r>
        <w:rPr>
          <w:spacing w:val="-6"/>
          <w:sz w:val="18"/>
        </w:rPr>
        <w:t> </w:t>
      </w:r>
      <w:r>
        <w:rPr>
          <w:sz w:val="18"/>
        </w:rPr>
        <w:t>Authority</w:t>
      </w:r>
      <w:r>
        <w:rPr>
          <w:spacing w:val="-6"/>
          <w:sz w:val="18"/>
        </w:rPr>
        <w:t> </w:t>
      </w:r>
      <w:r>
        <w:rPr>
          <w:sz w:val="18"/>
        </w:rPr>
        <w:t>for</w:t>
      </w:r>
      <w:r>
        <w:rPr>
          <w:spacing w:val="-6"/>
          <w:sz w:val="18"/>
        </w:rPr>
        <w:t> </w:t>
      </w:r>
      <w:r>
        <w:rPr>
          <w:sz w:val="18"/>
        </w:rPr>
        <w:t>the</w:t>
      </w:r>
      <w:r>
        <w:rPr>
          <w:spacing w:val="-6"/>
          <w:sz w:val="18"/>
        </w:rPr>
        <w:t> </w:t>
      </w:r>
      <w:r>
        <w:rPr>
          <w:sz w:val="18"/>
        </w:rPr>
        <w:t>Citizens’</w:t>
      </w:r>
      <w:r>
        <w:rPr>
          <w:spacing w:val="-6"/>
          <w:sz w:val="18"/>
        </w:rPr>
        <w:t> </w:t>
      </w:r>
      <w:r>
        <w:rPr>
          <w:sz w:val="18"/>
        </w:rPr>
        <w:t>Rights</w:t>
      </w:r>
      <w:r>
        <w:rPr>
          <w:spacing w:val="-6"/>
          <w:sz w:val="18"/>
        </w:rPr>
        <w:t> </w:t>
      </w:r>
      <w:r>
        <w:rPr>
          <w:sz w:val="18"/>
        </w:rPr>
        <w:t>Agreements,</w:t>
      </w:r>
      <w:r>
        <w:rPr>
          <w:spacing w:val="-6"/>
          <w:sz w:val="18"/>
        </w:rPr>
        <w:t> </w:t>
      </w:r>
      <w:r>
        <w:rPr>
          <w:sz w:val="18"/>
        </w:rPr>
        <w:t>‘An</w:t>
      </w:r>
      <w:r>
        <w:rPr>
          <w:spacing w:val="-6"/>
          <w:sz w:val="18"/>
        </w:rPr>
        <w:t> </w:t>
      </w:r>
      <w:r>
        <w:rPr>
          <w:sz w:val="18"/>
        </w:rPr>
        <w:t>Inquiry</w:t>
      </w:r>
      <w:r>
        <w:rPr>
          <w:spacing w:val="-6"/>
          <w:sz w:val="18"/>
        </w:rPr>
        <w:t> </w:t>
      </w:r>
      <w:r>
        <w:rPr>
          <w:sz w:val="18"/>
        </w:rPr>
        <w:t>by</w:t>
      </w:r>
      <w:r>
        <w:rPr>
          <w:spacing w:val="-6"/>
          <w:sz w:val="18"/>
        </w:rPr>
        <w:t> </w:t>
      </w:r>
      <w:r>
        <w:rPr>
          <w:sz w:val="18"/>
        </w:rPr>
        <w:t>the</w:t>
      </w:r>
      <w:r>
        <w:rPr>
          <w:spacing w:val="-6"/>
          <w:sz w:val="18"/>
        </w:rPr>
        <w:t> </w:t>
      </w:r>
      <w:r>
        <w:rPr>
          <w:sz w:val="18"/>
        </w:rPr>
        <w:t>Independent</w:t>
      </w:r>
      <w:r>
        <w:rPr>
          <w:spacing w:val="-6"/>
          <w:sz w:val="18"/>
        </w:rPr>
        <w:t> </w:t>
      </w:r>
      <w:r>
        <w:rPr>
          <w:sz w:val="18"/>
        </w:rPr>
        <w:t>Monitoring Authority for the Citizens’ Rights Agreements into Certificates of Application’ (IMA, 2023).</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UK</w:t>
      </w:r>
      <w:r>
        <w:rPr>
          <w:spacing w:val="-6"/>
          <w:sz w:val="18"/>
        </w:rPr>
        <w:t> </w:t>
      </w:r>
      <w:r>
        <w:rPr>
          <w:sz w:val="18"/>
        </w:rPr>
        <w:t>Government,</w:t>
      </w:r>
      <w:r>
        <w:rPr>
          <w:spacing w:val="-6"/>
          <w:sz w:val="18"/>
        </w:rPr>
        <w:t> </w:t>
      </w:r>
      <w:r>
        <w:rPr>
          <w:sz w:val="18"/>
        </w:rPr>
        <w:t>‘Guidance:</w:t>
      </w:r>
      <w:r>
        <w:rPr>
          <w:spacing w:val="-6"/>
          <w:sz w:val="18"/>
        </w:rPr>
        <w:t> </w:t>
      </w:r>
      <w:r>
        <w:rPr>
          <w:sz w:val="18"/>
        </w:rPr>
        <w:t>Apply</w:t>
      </w:r>
      <w:r>
        <w:rPr>
          <w:spacing w:val="-6"/>
          <w:sz w:val="18"/>
        </w:rPr>
        <w:t> </w:t>
      </w:r>
      <w:r>
        <w:rPr>
          <w:sz w:val="18"/>
        </w:rPr>
        <w:t>to</w:t>
      </w:r>
      <w:r>
        <w:rPr>
          <w:spacing w:val="-6"/>
          <w:sz w:val="18"/>
        </w:rPr>
        <w:t> </w:t>
      </w:r>
      <w:r>
        <w:rPr>
          <w:sz w:val="18"/>
        </w:rPr>
        <w:t>the</w:t>
      </w:r>
      <w:r>
        <w:rPr>
          <w:spacing w:val="-6"/>
          <w:sz w:val="18"/>
        </w:rPr>
        <w:t> </w:t>
      </w:r>
      <w:r>
        <w:rPr>
          <w:sz w:val="18"/>
        </w:rPr>
        <w:t>EU</w:t>
      </w:r>
      <w:r>
        <w:rPr>
          <w:spacing w:val="-5"/>
          <w:sz w:val="18"/>
        </w:rPr>
        <w:t> </w:t>
      </w:r>
      <w:r>
        <w:rPr>
          <w:sz w:val="18"/>
        </w:rPr>
        <w:t>Settlement</w:t>
      </w:r>
      <w:r>
        <w:rPr>
          <w:spacing w:val="-6"/>
          <w:sz w:val="18"/>
        </w:rPr>
        <w:t> </w:t>
      </w:r>
      <w:r>
        <w:rPr>
          <w:sz w:val="18"/>
        </w:rPr>
        <w:t>Scheme</w:t>
      </w:r>
      <w:r>
        <w:rPr>
          <w:spacing w:val="-7"/>
          <w:sz w:val="18"/>
        </w:rPr>
        <w:t> </w:t>
      </w:r>
      <w:r>
        <w:rPr>
          <w:sz w:val="18"/>
        </w:rPr>
        <w:t>(Settled</w:t>
      </w:r>
      <w:r>
        <w:rPr>
          <w:spacing w:val="-6"/>
          <w:sz w:val="18"/>
        </w:rPr>
        <w:t> </w:t>
      </w:r>
      <w:r>
        <w:rPr>
          <w:sz w:val="18"/>
        </w:rPr>
        <w:t>and</w:t>
      </w:r>
      <w:r>
        <w:rPr>
          <w:spacing w:val="-6"/>
          <w:sz w:val="18"/>
        </w:rPr>
        <w:t> </w:t>
      </w:r>
      <w:r>
        <w:rPr>
          <w:sz w:val="18"/>
        </w:rPr>
        <w:t>Pre-settled</w:t>
      </w:r>
      <w:r>
        <w:rPr>
          <w:spacing w:val="-7"/>
          <w:sz w:val="18"/>
        </w:rPr>
        <w:t> </w:t>
      </w:r>
      <w:r>
        <w:rPr>
          <w:spacing w:val="-2"/>
          <w:sz w:val="18"/>
        </w:rPr>
        <w:t>Status)’.</w:t>
      </w:r>
    </w:p>
    <w:p>
      <w:pPr>
        <w:pStyle w:val="ListParagraph"/>
        <w:numPr>
          <w:ilvl w:val="0"/>
          <w:numId w:val="11"/>
        </w:numPr>
        <w:tabs>
          <w:tab w:pos="1853" w:val="left" w:leader="none"/>
        </w:tabs>
        <w:spacing w:line="235" w:lineRule="auto" w:before="2" w:after="0"/>
        <w:ind w:left="1853" w:right="1274" w:hanging="720"/>
        <w:jc w:val="left"/>
        <w:rPr>
          <w:sz w:val="18"/>
        </w:rPr>
      </w:pPr>
      <w:r>
        <w:rPr>
          <w:sz w:val="18"/>
        </w:rPr>
        <w:t>Home</w:t>
      </w:r>
      <w:r>
        <w:rPr>
          <w:spacing w:val="-4"/>
          <w:sz w:val="18"/>
        </w:rPr>
        <w:t> </w:t>
      </w:r>
      <w:r>
        <w:rPr>
          <w:sz w:val="18"/>
        </w:rPr>
        <w:t>Office,</w:t>
      </w:r>
      <w:r>
        <w:rPr>
          <w:spacing w:val="-4"/>
          <w:sz w:val="18"/>
        </w:rPr>
        <w:t> </w:t>
      </w:r>
      <w:r>
        <w:rPr>
          <w:sz w:val="18"/>
        </w:rPr>
        <w:t>‘Response</w:t>
      </w:r>
      <w:r>
        <w:rPr>
          <w:spacing w:val="-4"/>
          <w:sz w:val="18"/>
        </w:rPr>
        <w:t> </w:t>
      </w:r>
      <w:r>
        <w:rPr>
          <w:sz w:val="18"/>
        </w:rPr>
        <w:t>to</w:t>
      </w:r>
      <w:r>
        <w:rPr>
          <w:spacing w:val="-5"/>
          <w:sz w:val="18"/>
        </w:rPr>
        <w:t> </w:t>
      </w:r>
      <w:r>
        <w:rPr>
          <w:sz w:val="18"/>
        </w:rPr>
        <w:t>the</w:t>
      </w:r>
      <w:r>
        <w:rPr>
          <w:spacing w:val="-4"/>
          <w:sz w:val="18"/>
        </w:rPr>
        <w:t> </w:t>
      </w:r>
      <w:r>
        <w:rPr>
          <w:sz w:val="18"/>
        </w:rPr>
        <w:t>Independent</w:t>
      </w:r>
      <w:r>
        <w:rPr>
          <w:spacing w:val="-4"/>
          <w:sz w:val="18"/>
        </w:rPr>
        <w:t> </w:t>
      </w:r>
      <w:r>
        <w:rPr>
          <w:sz w:val="18"/>
        </w:rPr>
        <w:t>Monitoring</w:t>
      </w:r>
      <w:r>
        <w:rPr>
          <w:spacing w:val="-4"/>
          <w:sz w:val="18"/>
        </w:rPr>
        <w:t> </w:t>
      </w:r>
      <w:r>
        <w:rPr>
          <w:sz w:val="18"/>
        </w:rPr>
        <w:t>Authority</w:t>
      </w:r>
      <w:r>
        <w:rPr>
          <w:spacing w:val="-4"/>
          <w:sz w:val="18"/>
        </w:rPr>
        <w:t> </w:t>
      </w:r>
      <w:r>
        <w:rPr>
          <w:sz w:val="18"/>
        </w:rPr>
        <w:t>for</w:t>
      </w:r>
      <w:r>
        <w:rPr>
          <w:spacing w:val="-4"/>
          <w:sz w:val="18"/>
        </w:rPr>
        <w:t> </w:t>
      </w:r>
      <w:r>
        <w:rPr>
          <w:sz w:val="18"/>
        </w:rPr>
        <w:t>the</w:t>
      </w:r>
      <w:r>
        <w:rPr>
          <w:spacing w:val="-4"/>
          <w:sz w:val="18"/>
        </w:rPr>
        <w:t> </w:t>
      </w:r>
      <w:r>
        <w:rPr>
          <w:sz w:val="18"/>
        </w:rPr>
        <w:t>Citizens’</w:t>
      </w:r>
      <w:r>
        <w:rPr>
          <w:spacing w:val="-4"/>
          <w:sz w:val="18"/>
        </w:rPr>
        <w:t> </w:t>
      </w:r>
      <w:r>
        <w:rPr>
          <w:sz w:val="18"/>
        </w:rPr>
        <w:t>Rights</w:t>
      </w:r>
      <w:r>
        <w:rPr>
          <w:spacing w:val="-5"/>
          <w:sz w:val="18"/>
        </w:rPr>
        <w:t> </w:t>
      </w:r>
      <w:r>
        <w:rPr>
          <w:sz w:val="18"/>
        </w:rPr>
        <w:t>Agreements</w:t>
      </w:r>
      <w:r>
        <w:rPr>
          <w:spacing w:val="-5"/>
          <w:sz w:val="18"/>
        </w:rPr>
        <w:t> </w:t>
      </w:r>
      <w:r>
        <w:rPr>
          <w:sz w:val="18"/>
        </w:rPr>
        <w:t>Report:</w:t>
      </w:r>
      <w:r>
        <w:rPr>
          <w:spacing w:val="-4"/>
          <w:sz w:val="18"/>
        </w:rPr>
        <w:t> </w:t>
      </w:r>
      <w:r>
        <w:rPr>
          <w:sz w:val="18"/>
        </w:rPr>
        <w:t>An</w:t>
      </w:r>
      <w:r>
        <w:rPr>
          <w:spacing w:val="-5"/>
          <w:sz w:val="18"/>
        </w:rPr>
        <w:t> </w:t>
      </w:r>
      <w:r>
        <w:rPr>
          <w:sz w:val="18"/>
        </w:rPr>
        <w:t>Inquiry by the Independent Monitoring Authority into Certificates of Application’ (HO, 2023).</w:t>
      </w:r>
    </w:p>
    <w:p>
      <w:pPr>
        <w:pStyle w:val="ListParagraph"/>
        <w:numPr>
          <w:ilvl w:val="0"/>
          <w:numId w:val="11"/>
        </w:numPr>
        <w:tabs>
          <w:tab w:pos="1853" w:val="left" w:leader="none"/>
        </w:tabs>
        <w:spacing w:line="235" w:lineRule="auto" w:before="1" w:after="0"/>
        <w:ind w:left="1853" w:right="1323" w:hanging="720"/>
        <w:jc w:val="left"/>
        <w:rPr>
          <w:sz w:val="18"/>
        </w:rPr>
      </w:pPr>
      <w:r>
        <w:rPr>
          <w:sz w:val="18"/>
        </w:rPr>
        <w:t>Independent</w:t>
      </w:r>
      <w:r>
        <w:rPr>
          <w:spacing w:val="-7"/>
          <w:sz w:val="18"/>
        </w:rPr>
        <w:t> </w:t>
      </w:r>
      <w:r>
        <w:rPr>
          <w:sz w:val="18"/>
        </w:rPr>
        <w:t>Monitoring</w:t>
      </w:r>
      <w:r>
        <w:rPr>
          <w:spacing w:val="-7"/>
          <w:sz w:val="18"/>
        </w:rPr>
        <w:t> </w:t>
      </w:r>
      <w:r>
        <w:rPr>
          <w:sz w:val="18"/>
        </w:rPr>
        <w:t>Authority,</w:t>
      </w:r>
      <w:r>
        <w:rPr>
          <w:spacing w:val="-7"/>
          <w:sz w:val="18"/>
        </w:rPr>
        <w:t> </w:t>
      </w:r>
      <w:r>
        <w:rPr>
          <w:sz w:val="18"/>
        </w:rPr>
        <w:t>‘Press</w:t>
      </w:r>
      <w:r>
        <w:rPr>
          <w:spacing w:val="-8"/>
          <w:sz w:val="18"/>
        </w:rPr>
        <w:t> </w:t>
      </w:r>
      <w:r>
        <w:rPr>
          <w:sz w:val="18"/>
        </w:rPr>
        <w:t>Release:</w:t>
      </w:r>
      <w:r>
        <w:rPr>
          <w:spacing w:val="-7"/>
          <w:sz w:val="18"/>
        </w:rPr>
        <w:t> </w:t>
      </w:r>
      <w:r>
        <w:rPr>
          <w:sz w:val="18"/>
        </w:rPr>
        <w:t>Independent</w:t>
      </w:r>
      <w:r>
        <w:rPr>
          <w:spacing w:val="-7"/>
          <w:sz w:val="18"/>
        </w:rPr>
        <w:t> </w:t>
      </w:r>
      <w:r>
        <w:rPr>
          <w:sz w:val="18"/>
        </w:rPr>
        <w:t>Monitoring</w:t>
      </w:r>
      <w:r>
        <w:rPr>
          <w:spacing w:val="-7"/>
          <w:sz w:val="18"/>
        </w:rPr>
        <w:t> </w:t>
      </w:r>
      <w:r>
        <w:rPr>
          <w:sz w:val="18"/>
        </w:rPr>
        <w:t>Authority</w:t>
      </w:r>
      <w:r>
        <w:rPr>
          <w:spacing w:val="-7"/>
          <w:sz w:val="18"/>
        </w:rPr>
        <w:t> </w:t>
      </w:r>
      <w:r>
        <w:rPr>
          <w:sz w:val="18"/>
        </w:rPr>
        <w:t>issues</w:t>
      </w:r>
      <w:r>
        <w:rPr>
          <w:spacing w:val="-8"/>
          <w:sz w:val="18"/>
        </w:rPr>
        <w:t> </w:t>
      </w:r>
      <w:r>
        <w:rPr>
          <w:sz w:val="18"/>
        </w:rPr>
        <w:t>statement</w:t>
      </w:r>
      <w:r>
        <w:rPr>
          <w:spacing w:val="-7"/>
          <w:sz w:val="18"/>
        </w:rPr>
        <w:t> </w:t>
      </w:r>
      <w:r>
        <w:rPr>
          <w:sz w:val="18"/>
        </w:rPr>
        <w:t>following</w:t>
      </w:r>
      <w:r>
        <w:rPr>
          <w:spacing w:val="-7"/>
          <w:sz w:val="18"/>
        </w:rPr>
        <w:t> </w:t>
      </w:r>
      <w:r>
        <w:rPr>
          <w:sz w:val="18"/>
        </w:rPr>
        <w:t>Home Office response to inquiry findings’, 6 September 2023.</w:t>
      </w:r>
    </w:p>
    <w:p>
      <w:pPr>
        <w:pStyle w:val="ListParagraph"/>
        <w:numPr>
          <w:ilvl w:val="0"/>
          <w:numId w:val="11"/>
        </w:numPr>
        <w:tabs>
          <w:tab w:pos="1853" w:val="left" w:leader="none"/>
        </w:tabs>
        <w:spacing w:line="216" w:lineRule="exact" w:before="0" w:after="0"/>
        <w:ind w:left="1853" w:right="0" w:hanging="720"/>
        <w:jc w:val="left"/>
        <w:rPr>
          <w:sz w:val="18"/>
        </w:rPr>
      </w:pPr>
      <w:r>
        <w:rPr>
          <w:spacing w:val="-4"/>
          <w:sz w:val="18"/>
        </w:rPr>
        <w:t>Ibid</w:t>
      </w:r>
    </w:p>
    <w:p>
      <w:pPr>
        <w:pStyle w:val="ListParagraph"/>
        <w:numPr>
          <w:ilvl w:val="0"/>
          <w:numId w:val="11"/>
        </w:numPr>
        <w:tabs>
          <w:tab w:pos="1853" w:val="left" w:leader="none"/>
        </w:tabs>
        <w:spacing w:line="218" w:lineRule="exact" w:before="0" w:after="0"/>
        <w:ind w:left="1853" w:right="0" w:hanging="720"/>
        <w:jc w:val="left"/>
        <w:rPr>
          <w:sz w:val="18"/>
        </w:rPr>
      </w:pPr>
      <w:r>
        <w:rPr>
          <w:sz w:val="18"/>
        </w:rPr>
        <w:t>Pivotal,</w:t>
      </w:r>
      <w:r>
        <w:rPr>
          <w:spacing w:val="-5"/>
          <w:sz w:val="18"/>
        </w:rPr>
        <w:t> </w:t>
      </w:r>
      <w:r>
        <w:rPr>
          <w:sz w:val="18"/>
        </w:rPr>
        <w:t>‘Impact</w:t>
      </w:r>
      <w:r>
        <w:rPr>
          <w:spacing w:val="-3"/>
          <w:sz w:val="18"/>
        </w:rPr>
        <w:t> </w:t>
      </w:r>
      <w:r>
        <w:rPr>
          <w:sz w:val="18"/>
        </w:rPr>
        <w:t>of</w:t>
      </w:r>
      <w:r>
        <w:rPr>
          <w:spacing w:val="-3"/>
          <w:sz w:val="18"/>
        </w:rPr>
        <w:t> </w:t>
      </w:r>
      <w:r>
        <w:rPr>
          <w:sz w:val="18"/>
        </w:rPr>
        <w:t>Brexit</w:t>
      </w:r>
      <w:r>
        <w:rPr>
          <w:spacing w:val="-3"/>
          <w:sz w:val="18"/>
        </w:rPr>
        <w:t> </w:t>
      </w:r>
      <w:r>
        <w:rPr>
          <w:sz w:val="18"/>
        </w:rPr>
        <w:t>on</w:t>
      </w:r>
      <w:r>
        <w:rPr>
          <w:spacing w:val="-4"/>
          <w:sz w:val="18"/>
        </w:rPr>
        <w:t> </w:t>
      </w:r>
      <w:r>
        <w:rPr>
          <w:sz w:val="18"/>
        </w:rPr>
        <w:t>minority</w:t>
      </w:r>
      <w:r>
        <w:rPr>
          <w:spacing w:val="-2"/>
          <w:sz w:val="18"/>
        </w:rPr>
        <w:t> </w:t>
      </w:r>
      <w:r>
        <w:rPr>
          <w:sz w:val="18"/>
        </w:rPr>
        <w:t>ethnic</w:t>
      </w:r>
      <w:r>
        <w:rPr>
          <w:spacing w:val="-3"/>
          <w:sz w:val="18"/>
        </w:rPr>
        <w:t> </w:t>
      </w:r>
      <w:r>
        <w:rPr>
          <w:sz w:val="18"/>
        </w:rPr>
        <w:t>and</w:t>
      </w:r>
      <w:r>
        <w:rPr>
          <w:spacing w:val="-4"/>
          <w:sz w:val="18"/>
        </w:rPr>
        <w:t> </w:t>
      </w:r>
      <w:r>
        <w:rPr>
          <w:sz w:val="18"/>
        </w:rPr>
        <w:t>migrant</w:t>
      </w:r>
      <w:r>
        <w:rPr>
          <w:spacing w:val="-2"/>
          <w:sz w:val="18"/>
        </w:rPr>
        <w:t> </w:t>
      </w:r>
      <w:r>
        <w:rPr>
          <w:sz w:val="18"/>
        </w:rPr>
        <w:t>people</w:t>
      </w:r>
      <w:r>
        <w:rPr>
          <w:spacing w:val="-3"/>
          <w:sz w:val="18"/>
        </w:rPr>
        <w:t> </w:t>
      </w:r>
      <w:r>
        <w:rPr>
          <w:sz w:val="18"/>
        </w:rPr>
        <w:t>in</w:t>
      </w:r>
      <w:r>
        <w:rPr>
          <w:spacing w:val="-4"/>
          <w:sz w:val="18"/>
        </w:rPr>
        <w:t> </w:t>
      </w:r>
      <w:r>
        <w:rPr>
          <w:sz w:val="18"/>
        </w:rPr>
        <w:t>Northern</w:t>
      </w:r>
      <w:r>
        <w:rPr>
          <w:spacing w:val="-3"/>
          <w:sz w:val="18"/>
        </w:rPr>
        <w:t> </w:t>
      </w:r>
      <w:r>
        <w:rPr>
          <w:sz w:val="18"/>
        </w:rPr>
        <w:t>Ireland’</w:t>
      </w:r>
      <w:r>
        <w:rPr>
          <w:spacing w:val="-3"/>
          <w:sz w:val="18"/>
        </w:rPr>
        <w:t> </w:t>
      </w:r>
      <w:r>
        <w:rPr>
          <w:sz w:val="18"/>
        </w:rPr>
        <w:t>(ECNI,</w:t>
      </w:r>
      <w:r>
        <w:rPr>
          <w:spacing w:val="-2"/>
          <w:sz w:val="18"/>
        </w:rPr>
        <w:t> 2023).</w:t>
      </w:r>
    </w:p>
    <w:p>
      <w:pPr>
        <w:spacing w:after="0" w:line="218" w:lineRule="exact"/>
        <w:jc w:val="left"/>
        <w:rPr>
          <w:sz w:val="18"/>
        </w:rPr>
        <w:sectPr>
          <w:pgSz w:w="11910" w:h="16840"/>
          <w:pgMar w:header="496" w:footer="367" w:top="1220" w:bottom="560" w:left="0" w:right="0"/>
        </w:sectPr>
      </w:pPr>
    </w:p>
    <w:p>
      <w:pPr>
        <w:pStyle w:val="BodyText"/>
        <w:spacing w:before="198"/>
      </w:pPr>
    </w:p>
    <w:p>
      <w:pPr>
        <w:pStyle w:val="ListParagraph"/>
        <w:numPr>
          <w:ilvl w:val="1"/>
          <w:numId w:val="13"/>
        </w:numPr>
        <w:tabs>
          <w:tab w:pos="1853" w:val="left" w:leader="none"/>
        </w:tabs>
        <w:spacing w:line="225" w:lineRule="auto" w:before="0" w:after="0"/>
        <w:ind w:left="1853" w:right="1300" w:hanging="720"/>
        <w:jc w:val="left"/>
        <w:rPr>
          <w:sz w:val="28"/>
        </w:rPr>
      </w:pPr>
      <w:bookmarkStart w:name="_bookmark53" w:id="119"/>
      <w:bookmarkEnd w:id="119"/>
      <w:r>
        <w:rPr/>
      </w:r>
      <w:r>
        <w:rPr>
          <w:sz w:val="28"/>
        </w:rPr>
        <w:t>Research participants experienced a range of issues regarding the EUSS, including</w:t>
      </w:r>
      <w:r>
        <w:rPr>
          <w:spacing w:val="-6"/>
          <w:sz w:val="28"/>
        </w:rPr>
        <w:t> </w:t>
      </w:r>
      <w:r>
        <w:rPr>
          <w:sz w:val="28"/>
        </w:rPr>
        <w:t>difficulty</w:t>
      </w:r>
      <w:r>
        <w:rPr>
          <w:spacing w:val="-6"/>
          <w:sz w:val="28"/>
        </w:rPr>
        <w:t> </w:t>
      </w:r>
      <w:r>
        <w:rPr>
          <w:sz w:val="28"/>
        </w:rPr>
        <w:t>in</w:t>
      </w:r>
      <w:r>
        <w:rPr>
          <w:spacing w:val="-7"/>
          <w:sz w:val="28"/>
        </w:rPr>
        <w:t> </w:t>
      </w:r>
      <w:r>
        <w:rPr>
          <w:sz w:val="28"/>
        </w:rPr>
        <w:t>navigating</w:t>
      </w:r>
      <w:r>
        <w:rPr>
          <w:spacing w:val="-6"/>
          <w:sz w:val="28"/>
        </w:rPr>
        <w:t> </w:t>
      </w:r>
      <w:r>
        <w:rPr>
          <w:sz w:val="28"/>
        </w:rPr>
        <w:t>the</w:t>
      </w:r>
      <w:r>
        <w:rPr>
          <w:spacing w:val="-6"/>
          <w:sz w:val="28"/>
        </w:rPr>
        <w:t> </w:t>
      </w:r>
      <w:r>
        <w:rPr>
          <w:sz w:val="28"/>
        </w:rPr>
        <w:t>scheme,</w:t>
      </w:r>
      <w:r>
        <w:rPr>
          <w:spacing w:val="-6"/>
          <w:sz w:val="28"/>
        </w:rPr>
        <w:t> </w:t>
      </w:r>
      <w:r>
        <w:rPr>
          <w:sz w:val="28"/>
        </w:rPr>
        <w:t>language</w:t>
      </w:r>
      <w:r>
        <w:rPr>
          <w:spacing w:val="-6"/>
          <w:sz w:val="28"/>
        </w:rPr>
        <w:t> </w:t>
      </w:r>
      <w:r>
        <w:rPr>
          <w:sz w:val="28"/>
        </w:rPr>
        <w:t>and</w:t>
      </w:r>
      <w:r>
        <w:rPr>
          <w:spacing w:val="-7"/>
          <w:sz w:val="28"/>
        </w:rPr>
        <w:t> </w:t>
      </w:r>
      <w:r>
        <w:rPr>
          <w:sz w:val="28"/>
        </w:rPr>
        <w:t>literacy</w:t>
      </w:r>
      <w:r>
        <w:rPr>
          <w:spacing w:val="-6"/>
          <w:sz w:val="28"/>
        </w:rPr>
        <w:t> </w:t>
      </w:r>
      <w:r>
        <w:rPr>
          <w:sz w:val="28"/>
        </w:rPr>
        <w:t>issues</w:t>
      </w:r>
      <w:r>
        <w:rPr>
          <w:spacing w:val="-7"/>
          <w:sz w:val="28"/>
        </w:rPr>
        <w:t> </w:t>
      </w:r>
      <w:r>
        <w:rPr>
          <w:sz w:val="28"/>
        </w:rPr>
        <w:t>and lack of digital access capabilities. Participants also reported that the lack of clear information on the EU Settlement Scheme and the application process had led to misinformation and, in some instances, exploitation. The report noted that particular issues with the Scheme were experienced by women, victims of domestic violence, Roma and older people.</w:t>
      </w:r>
      <w:r>
        <w:rPr>
          <w:sz w:val="28"/>
          <w:vertAlign w:val="superscript"/>
        </w:rPr>
        <w:t>799</w:t>
      </w:r>
    </w:p>
    <w:p>
      <w:pPr>
        <w:pStyle w:val="ListParagraph"/>
        <w:numPr>
          <w:ilvl w:val="1"/>
          <w:numId w:val="13"/>
        </w:numPr>
        <w:tabs>
          <w:tab w:pos="1853" w:val="left" w:leader="none"/>
        </w:tabs>
        <w:spacing w:line="225" w:lineRule="auto" w:before="311" w:after="0"/>
        <w:ind w:left="1853" w:right="1224" w:hanging="720"/>
        <w:jc w:val="left"/>
        <w:rPr>
          <w:sz w:val="28"/>
        </w:rPr>
      </w:pPr>
      <w:r>
        <w:rPr>
          <w:sz w:val="28"/>
        </w:rPr>
        <w:t>Service providers reported that they were continuing to provide support to individuals affected by on-going problems with the EU Settlement Scheme, despite</w:t>
      </w:r>
      <w:r>
        <w:rPr>
          <w:spacing w:val="-8"/>
          <w:sz w:val="28"/>
        </w:rPr>
        <w:t> </w:t>
      </w:r>
      <w:r>
        <w:rPr>
          <w:sz w:val="28"/>
        </w:rPr>
        <w:t>not</w:t>
      </w:r>
      <w:r>
        <w:rPr>
          <w:spacing w:val="-8"/>
          <w:sz w:val="28"/>
        </w:rPr>
        <w:t> </w:t>
      </w:r>
      <w:r>
        <w:rPr>
          <w:sz w:val="28"/>
        </w:rPr>
        <w:t>being</w:t>
      </w:r>
      <w:r>
        <w:rPr>
          <w:spacing w:val="-8"/>
          <w:sz w:val="28"/>
        </w:rPr>
        <w:t> </w:t>
      </w:r>
      <w:r>
        <w:rPr>
          <w:sz w:val="28"/>
        </w:rPr>
        <w:t>funded</w:t>
      </w:r>
      <w:r>
        <w:rPr>
          <w:spacing w:val="-9"/>
          <w:sz w:val="28"/>
        </w:rPr>
        <w:t> </w:t>
      </w:r>
      <w:r>
        <w:rPr>
          <w:sz w:val="28"/>
        </w:rPr>
        <w:t>to</w:t>
      </w:r>
      <w:r>
        <w:rPr>
          <w:spacing w:val="-9"/>
          <w:sz w:val="28"/>
        </w:rPr>
        <w:t> </w:t>
      </w:r>
      <w:r>
        <w:rPr>
          <w:sz w:val="28"/>
        </w:rPr>
        <w:t>do</w:t>
      </w:r>
      <w:r>
        <w:rPr>
          <w:spacing w:val="-9"/>
          <w:sz w:val="28"/>
        </w:rPr>
        <w:t> </w:t>
      </w:r>
      <w:r>
        <w:rPr>
          <w:sz w:val="28"/>
        </w:rPr>
        <w:t>so.</w:t>
      </w:r>
      <w:r>
        <w:rPr>
          <w:sz w:val="28"/>
          <w:vertAlign w:val="superscript"/>
        </w:rPr>
        <w:t>800</w:t>
      </w:r>
      <w:r>
        <w:rPr>
          <w:spacing w:val="-9"/>
          <w:sz w:val="28"/>
          <w:vertAlign w:val="baseline"/>
        </w:rPr>
        <w:t> </w:t>
      </w:r>
      <w:r>
        <w:rPr>
          <w:sz w:val="28"/>
          <w:vertAlign w:val="baseline"/>
        </w:rPr>
        <w:t>For</w:t>
      </w:r>
      <w:r>
        <w:rPr>
          <w:spacing w:val="-8"/>
          <w:sz w:val="28"/>
          <w:vertAlign w:val="baseline"/>
        </w:rPr>
        <w:t> </w:t>
      </w:r>
      <w:r>
        <w:rPr>
          <w:sz w:val="28"/>
          <w:vertAlign w:val="baseline"/>
        </w:rPr>
        <w:t>further</w:t>
      </w:r>
      <w:r>
        <w:rPr>
          <w:spacing w:val="-8"/>
          <w:sz w:val="28"/>
          <w:vertAlign w:val="baseline"/>
        </w:rPr>
        <w:t> </w:t>
      </w:r>
      <w:r>
        <w:rPr>
          <w:sz w:val="28"/>
          <w:vertAlign w:val="baseline"/>
        </w:rPr>
        <w:t>recommendations</w:t>
      </w:r>
      <w:r>
        <w:rPr>
          <w:spacing w:val="-9"/>
          <w:sz w:val="28"/>
          <w:vertAlign w:val="baseline"/>
        </w:rPr>
        <w:t> </w:t>
      </w:r>
      <w:r>
        <w:rPr>
          <w:sz w:val="28"/>
          <w:vertAlign w:val="baseline"/>
        </w:rPr>
        <w:t>relating</w:t>
      </w:r>
      <w:r>
        <w:rPr>
          <w:spacing w:val="-8"/>
          <w:sz w:val="28"/>
          <w:vertAlign w:val="baseline"/>
        </w:rPr>
        <w:t> </w:t>
      </w:r>
      <w:r>
        <w:rPr>
          <w:sz w:val="28"/>
          <w:vertAlign w:val="baseline"/>
        </w:rPr>
        <w:t>to the funding of third sector organisations who provide advice and support to migrant groups see the Racial Equality section in Chapter 3.</w:t>
      </w:r>
    </w:p>
    <w:p>
      <w:pPr>
        <w:pStyle w:val="ListParagraph"/>
        <w:numPr>
          <w:ilvl w:val="1"/>
          <w:numId w:val="13"/>
        </w:numPr>
        <w:tabs>
          <w:tab w:pos="1853" w:val="left" w:leader="none"/>
        </w:tabs>
        <w:spacing w:line="225" w:lineRule="auto" w:before="314" w:after="0"/>
        <w:ind w:left="1853" w:right="1739" w:hanging="720"/>
        <w:jc w:val="left"/>
        <w:rPr>
          <w:sz w:val="28"/>
        </w:rPr>
      </w:pPr>
      <w:r>
        <w:rPr>
          <w:sz w:val="28"/>
        </w:rPr>
        <w:t>The research identified issues with obtaining digital proof of settled or pre-settled</w:t>
      </w:r>
      <w:r>
        <w:rPr>
          <w:spacing w:val="-11"/>
          <w:sz w:val="28"/>
        </w:rPr>
        <w:t> </w:t>
      </w:r>
      <w:r>
        <w:rPr>
          <w:sz w:val="28"/>
        </w:rPr>
        <w:t>status.</w:t>
      </w:r>
      <w:r>
        <w:rPr>
          <w:sz w:val="28"/>
          <w:vertAlign w:val="superscript"/>
        </w:rPr>
        <w:t>801</w:t>
      </w:r>
      <w:r>
        <w:rPr>
          <w:spacing w:val="-11"/>
          <w:sz w:val="28"/>
          <w:vertAlign w:val="baseline"/>
        </w:rPr>
        <w:t> </w:t>
      </w:r>
      <w:r>
        <w:rPr>
          <w:sz w:val="28"/>
          <w:vertAlign w:val="baseline"/>
        </w:rPr>
        <w:t>The</w:t>
      </w:r>
      <w:r>
        <w:rPr>
          <w:spacing w:val="-10"/>
          <w:sz w:val="28"/>
          <w:vertAlign w:val="baseline"/>
        </w:rPr>
        <w:t> </w:t>
      </w:r>
      <w:r>
        <w:rPr>
          <w:sz w:val="28"/>
          <w:vertAlign w:val="baseline"/>
        </w:rPr>
        <w:t>ECNI</w:t>
      </w:r>
      <w:r>
        <w:rPr>
          <w:spacing w:val="-10"/>
          <w:sz w:val="28"/>
          <w:vertAlign w:val="baseline"/>
        </w:rPr>
        <w:t> </w:t>
      </w:r>
      <w:r>
        <w:rPr>
          <w:sz w:val="28"/>
          <w:vertAlign w:val="baseline"/>
        </w:rPr>
        <w:t>considers</w:t>
      </w:r>
      <w:r>
        <w:rPr>
          <w:spacing w:val="-11"/>
          <w:sz w:val="28"/>
          <w:vertAlign w:val="baseline"/>
        </w:rPr>
        <w:t> </w:t>
      </w:r>
      <w:r>
        <w:rPr>
          <w:sz w:val="28"/>
          <w:vertAlign w:val="baseline"/>
        </w:rPr>
        <w:t>there</w:t>
      </w:r>
      <w:r>
        <w:rPr>
          <w:spacing w:val="-10"/>
          <w:sz w:val="28"/>
          <w:vertAlign w:val="baseline"/>
        </w:rPr>
        <w:t> </w:t>
      </w:r>
      <w:r>
        <w:rPr>
          <w:sz w:val="28"/>
          <w:vertAlign w:val="baseline"/>
        </w:rPr>
        <w:t>is</w:t>
      </w:r>
      <w:r>
        <w:rPr>
          <w:spacing w:val="-11"/>
          <w:sz w:val="28"/>
          <w:vertAlign w:val="baseline"/>
        </w:rPr>
        <w:t> </w:t>
      </w:r>
      <w:r>
        <w:rPr>
          <w:sz w:val="28"/>
          <w:vertAlign w:val="baseline"/>
        </w:rPr>
        <w:t>value</w:t>
      </w:r>
      <w:r>
        <w:rPr>
          <w:spacing w:val="-10"/>
          <w:sz w:val="28"/>
          <w:vertAlign w:val="baseline"/>
        </w:rPr>
        <w:t> </w:t>
      </w:r>
      <w:r>
        <w:rPr>
          <w:sz w:val="28"/>
          <w:vertAlign w:val="baseline"/>
        </w:rPr>
        <w:t>in</w:t>
      </w:r>
      <w:r>
        <w:rPr>
          <w:spacing w:val="-11"/>
          <w:sz w:val="28"/>
          <w:vertAlign w:val="baseline"/>
        </w:rPr>
        <w:t> </w:t>
      </w:r>
      <w:r>
        <w:rPr>
          <w:sz w:val="28"/>
          <w:vertAlign w:val="baseline"/>
        </w:rPr>
        <w:t>the</w:t>
      </w:r>
      <w:r>
        <w:rPr>
          <w:spacing w:val="-10"/>
          <w:sz w:val="28"/>
          <w:vertAlign w:val="baseline"/>
        </w:rPr>
        <w:t> </w:t>
      </w:r>
      <w:r>
        <w:rPr>
          <w:sz w:val="28"/>
          <w:vertAlign w:val="baseline"/>
        </w:rPr>
        <w:t>Home</w:t>
      </w:r>
      <w:r>
        <w:rPr>
          <w:spacing w:val="-10"/>
          <w:sz w:val="28"/>
          <w:vertAlign w:val="baseline"/>
        </w:rPr>
        <w:t> </w:t>
      </w:r>
      <w:r>
        <w:rPr>
          <w:sz w:val="28"/>
          <w:vertAlign w:val="baseline"/>
        </w:rPr>
        <w:t>Office</w:t>
      </w:r>
    </w:p>
    <w:p>
      <w:pPr>
        <w:pStyle w:val="BodyText"/>
        <w:spacing w:line="225" w:lineRule="auto"/>
        <w:ind w:left="1853" w:right="1171"/>
      </w:pPr>
      <w:r>
        <w:rPr/>
        <w:t>providing an option for EU citizens to obtain physical proof of pre-settled or settled</w:t>
      </w:r>
      <w:r>
        <w:rPr>
          <w:spacing w:val="-7"/>
        </w:rPr>
        <w:t> </w:t>
      </w:r>
      <w:r>
        <w:rPr/>
        <w:t>status.</w:t>
      </w:r>
      <w:r>
        <w:rPr>
          <w:spacing w:val="-7"/>
        </w:rPr>
        <w:t> </w:t>
      </w:r>
      <w:r>
        <w:rPr/>
        <w:t>It</w:t>
      </w:r>
      <w:r>
        <w:rPr>
          <w:spacing w:val="-6"/>
        </w:rPr>
        <w:t> </w:t>
      </w:r>
      <w:r>
        <w:rPr/>
        <w:t>will</w:t>
      </w:r>
      <w:r>
        <w:rPr>
          <w:spacing w:val="-7"/>
        </w:rPr>
        <w:t> </w:t>
      </w:r>
      <w:r>
        <w:rPr/>
        <w:t>be</w:t>
      </w:r>
      <w:r>
        <w:rPr>
          <w:spacing w:val="-6"/>
        </w:rPr>
        <w:t> </w:t>
      </w:r>
      <w:r>
        <w:rPr/>
        <w:t>noted</w:t>
      </w:r>
      <w:r>
        <w:rPr>
          <w:spacing w:val="-7"/>
        </w:rPr>
        <w:t> </w:t>
      </w:r>
      <w:r>
        <w:rPr/>
        <w:t>that</w:t>
      </w:r>
      <w:r>
        <w:rPr>
          <w:spacing w:val="-6"/>
        </w:rPr>
        <w:t> </w:t>
      </w:r>
      <w:r>
        <w:rPr/>
        <w:t>‘the3million’</w:t>
      </w:r>
      <w:r>
        <w:rPr>
          <w:spacing w:val="-6"/>
        </w:rPr>
        <w:t> </w:t>
      </w:r>
      <w:r>
        <w:rPr/>
        <w:t>campaign</w:t>
      </w:r>
      <w:r>
        <w:rPr>
          <w:spacing w:val="-7"/>
        </w:rPr>
        <w:t> </w:t>
      </w:r>
      <w:r>
        <w:rPr/>
        <w:t>called</w:t>
      </w:r>
      <w:r>
        <w:rPr>
          <w:spacing w:val="-7"/>
        </w:rPr>
        <w:t> </w:t>
      </w:r>
      <w:r>
        <w:rPr/>
        <w:t>for</w:t>
      </w:r>
      <w:r>
        <w:rPr>
          <w:spacing w:val="-6"/>
        </w:rPr>
        <w:t> </w:t>
      </w:r>
      <w:r>
        <w:rPr/>
        <w:t>measures to secure an offline and/or physical back up proof of status for the digitally excluded or for instances when online Home Office systems fail.</w:t>
      </w:r>
      <w:r>
        <w:rPr>
          <w:vertAlign w:val="superscript"/>
        </w:rPr>
        <w:t>802</w:t>
      </w:r>
    </w:p>
    <w:p>
      <w:pPr>
        <w:pStyle w:val="ListParagraph"/>
        <w:numPr>
          <w:ilvl w:val="1"/>
          <w:numId w:val="13"/>
        </w:numPr>
        <w:tabs>
          <w:tab w:pos="1853" w:val="left" w:leader="none"/>
        </w:tabs>
        <w:spacing w:line="225" w:lineRule="auto" w:before="312" w:after="0"/>
        <w:ind w:left="1853" w:right="1456" w:hanging="720"/>
        <w:jc w:val="both"/>
        <w:rPr>
          <w:sz w:val="28"/>
        </w:rPr>
      </w:pPr>
      <w:r>
        <w:rPr>
          <w:sz w:val="28"/>
        </w:rPr>
        <w:t>In</w:t>
      </w:r>
      <w:r>
        <w:rPr>
          <w:spacing w:val="-4"/>
          <w:sz w:val="28"/>
        </w:rPr>
        <w:t> </w:t>
      </w:r>
      <w:r>
        <w:rPr>
          <w:sz w:val="28"/>
        </w:rPr>
        <w:t>light</w:t>
      </w:r>
      <w:r>
        <w:rPr>
          <w:spacing w:val="-3"/>
          <w:sz w:val="28"/>
        </w:rPr>
        <w:t> </w:t>
      </w:r>
      <w:r>
        <w:rPr>
          <w:sz w:val="28"/>
        </w:rPr>
        <w:t>of</w:t>
      </w:r>
      <w:r>
        <w:rPr>
          <w:spacing w:val="-4"/>
          <w:sz w:val="28"/>
        </w:rPr>
        <w:t> </w:t>
      </w:r>
      <w:r>
        <w:rPr>
          <w:sz w:val="28"/>
        </w:rPr>
        <w:t>the</w:t>
      </w:r>
      <w:r>
        <w:rPr>
          <w:spacing w:val="-3"/>
          <w:sz w:val="28"/>
        </w:rPr>
        <w:t> </w:t>
      </w:r>
      <w:r>
        <w:rPr>
          <w:sz w:val="28"/>
        </w:rPr>
        <w:t>significant</w:t>
      </w:r>
      <w:r>
        <w:rPr>
          <w:spacing w:val="-3"/>
          <w:sz w:val="28"/>
        </w:rPr>
        <w:t> </w:t>
      </w:r>
      <w:r>
        <w:rPr>
          <w:sz w:val="28"/>
        </w:rPr>
        <w:t>barriers</w:t>
      </w:r>
      <w:r>
        <w:rPr>
          <w:spacing w:val="-4"/>
          <w:sz w:val="28"/>
        </w:rPr>
        <w:t> </w:t>
      </w:r>
      <w:r>
        <w:rPr>
          <w:sz w:val="28"/>
        </w:rPr>
        <w:t>identified</w:t>
      </w:r>
      <w:r>
        <w:rPr>
          <w:spacing w:val="-4"/>
          <w:sz w:val="28"/>
        </w:rPr>
        <w:t> </w:t>
      </w:r>
      <w:r>
        <w:rPr>
          <w:sz w:val="28"/>
        </w:rPr>
        <w:t>by</w:t>
      </w:r>
      <w:r>
        <w:rPr>
          <w:spacing w:val="-3"/>
          <w:sz w:val="28"/>
        </w:rPr>
        <w:t> </w:t>
      </w:r>
      <w:r>
        <w:rPr>
          <w:sz w:val="28"/>
        </w:rPr>
        <w:t>applicants,</w:t>
      </w:r>
      <w:r>
        <w:rPr>
          <w:spacing w:val="-3"/>
          <w:sz w:val="28"/>
        </w:rPr>
        <w:t> </w:t>
      </w:r>
      <w:r>
        <w:rPr>
          <w:sz w:val="28"/>
        </w:rPr>
        <w:t>as</w:t>
      </w:r>
      <w:r>
        <w:rPr>
          <w:spacing w:val="-4"/>
          <w:sz w:val="28"/>
        </w:rPr>
        <w:t> </w:t>
      </w:r>
      <w:r>
        <w:rPr>
          <w:sz w:val="28"/>
        </w:rPr>
        <w:t>captured</w:t>
      </w:r>
      <w:r>
        <w:rPr>
          <w:spacing w:val="-4"/>
          <w:sz w:val="28"/>
        </w:rPr>
        <w:t> </w:t>
      </w:r>
      <w:r>
        <w:rPr>
          <w:sz w:val="28"/>
        </w:rPr>
        <w:t>in</w:t>
      </w:r>
      <w:r>
        <w:rPr>
          <w:spacing w:val="-4"/>
          <w:sz w:val="28"/>
        </w:rPr>
        <w:t> </w:t>
      </w:r>
      <w:r>
        <w:rPr>
          <w:sz w:val="28"/>
        </w:rPr>
        <w:t>the research</w:t>
      </w:r>
      <w:r>
        <w:rPr>
          <w:spacing w:val="-7"/>
          <w:sz w:val="28"/>
        </w:rPr>
        <w:t> </w:t>
      </w:r>
      <w:r>
        <w:rPr>
          <w:sz w:val="28"/>
        </w:rPr>
        <w:t>report,</w:t>
      </w:r>
      <w:r>
        <w:rPr>
          <w:spacing w:val="-6"/>
          <w:sz w:val="28"/>
        </w:rPr>
        <w:t> </w:t>
      </w:r>
      <w:r>
        <w:rPr>
          <w:sz w:val="28"/>
        </w:rPr>
        <w:t>the</w:t>
      </w:r>
      <w:r>
        <w:rPr>
          <w:spacing w:val="-6"/>
          <w:sz w:val="28"/>
        </w:rPr>
        <w:t> </w:t>
      </w:r>
      <w:r>
        <w:rPr>
          <w:sz w:val="28"/>
        </w:rPr>
        <w:t>ECNI</w:t>
      </w:r>
      <w:r>
        <w:rPr>
          <w:spacing w:val="-6"/>
          <w:sz w:val="28"/>
        </w:rPr>
        <w:t> </w:t>
      </w:r>
      <w:r>
        <w:rPr>
          <w:sz w:val="28"/>
        </w:rPr>
        <w:t>also</w:t>
      </w:r>
      <w:r>
        <w:rPr>
          <w:spacing w:val="-7"/>
          <w:sz w:val="28"/>
        </w:rPr>
        <w:t> </w:t>
      </w:r>
      <w:r>
        <w:rPr>
          <w:sz w:val="28"/>
        </w:rPr>
        <w:t>considers</w:t>
      </w:r>
      <w:r>
        <w:rPr>
          <w:spacing w:val="-7"/>
          <w:sz w:val="28"/>
        </w:rPr>
        <w:t> </w:t>
      </w:r>
      <w:r>
        <w:rPr>
          <w:sz w:val="28"/>
        </w:rPr>
        <w:t>that</w:t>
      </w:r>
      <w:r>
        <w:rPr>
          <w:spacing w:val="-6"/>
          <w:sz w:val="28"/>
        </w:rPr>
        <w:t> </w:t>
      </w:r>
      <w:r>
        <w:rPr>
          <w:sz w:val="28"/>
        </w:rPr>
        <w:t>there</w:t>
      </w:r>
      <w:r>
        <w:rPr>
          <w:spacing w:val="-6"/>
          <w:sz w:val="28"/>
        </w:rPr>
        <w:t> </w:t>
      </w:r>
      <w:r>
        <w:rPr>
          <w:sz w:val="28"/>
        </w:rPr>
        <w:t>is</w:t>
      </w:r>
      <w:r>
        <w:rPr>
          <w:spacing w:val="-7"/>
          <w:sz w:val="28"/>
        </w:rPr>
        <w:t> </w:t>
      </w:r>
      <w:r>
        <w:rPr>
          <w:sz w:val="28"/>
        </w:rPr>
        <w:t>an</w:t>
      </w:r>
      <w:r>
        <w:rPr>
          <w:spacing w:val="-7"/>
          <w:sz w:val="28"/>
        </w:rPr>
        <w:t> </w:t>
      </w:r>
      <w:r>
        <w:rPr>
          <w:sz w:val="28"/>
        </w:rPr>
        <w:t>urgent</w:t>
      </w:r>
      <w:r>
        <w:rPr>
          <w:spacing w:val="-6"/>
          <w:sz w:val="28"/>
        </w:rPr>
        <w:t> </w:t>
      </w:r>
      <w:r>
        <w:rPr>
          <w:sz w:val="28"/>
        </w:rPr>
        <w:t>need</w:t>
      </w:r>
      <w:r>
        <w:rPr>
          <w:spacing w:val="-7"/>
          <w:sz w:val="28"/>
        </w:rPr>
        <w:t> </w:t>
      </w:r>
      <w:r>
        <w:rPr>
          <w:sz w:val="28"/>
        </w:rPr>
        <w:t>for</w:t>
      </w:r>
      <w:r>
        <w:rPr>
          <w:spacing w:val="-6"/>
          <w:sz w:val="28"/>
        </w:rPr>
        <w:t> </w:t>
      </w:r>
      <w:r>
        <w:rPr>
          <w:sz w:val="28"/>
        </w:rPr>
        <w:t>the Home Office to review the operation of EU Settlement Scheme in NI.</w:t>
      </w:r>
    </w:p>
    <w:p>
      <w:pPr>
        <w:pStyle w:val="Heading5"/>
        <w:spacing w:before="300"/>
        <w:ind w:left="1133" w:firstLine="0"/>
      </w:pPr>
      <w:bookmarkStart w:name="Pre-Settled Status " w:id="120"/>
      <w:bookmarkEnd w:id="120"/>
      <w:r>
        <w:rPr>
          <w:b w:val="0"/>
        </w:rPr>
      </w:r>
      <w:r>
        <w:rPr>
          <w:color w:val="393B7F"/>
          <w:spacing w:val="-2"/>
        </w:rPr>
        <w:t>Pre-Settled</w:t>
      </w:r>
      <w:r>
        <w:rPr>
          <w:color w:val="393B7F"/>
        </w:rPr>
        <w:t> </w:t>
      </w:r>
      <w:r>
        <w:rPr>
          <w:color w:val="393B7F"/>
          <w:spacing w:val="-2"/>
        </w:rPr>
        <w:t>Status</w:t>
      </w:r>
    </w:p>
    <w:p>
      <w:pPr>
        <w:pStyle w:val="ListParagraph"/>
        <w:numPr>
          <w:ilvl w:val="1"/>
          <w:numId w:val="13"/>
        </w:numPr>
        <w:tabs>
          <w:tab w:pos="1853" w:val="left" w:leader="none"/>
        </w:tabs>
        <w:spacing w:line="225" w:lineRule="auto" w:before="331" w:after="0"/>
        <w:ind w:left="1853" w:right="1153" w:hanging="720"/>
        <w:jc w:val="left"/>
        <w:rPr>
          <w:sz w:val="28"/>
        </w:rPr>
      </w:pPr>
      <w:r>
        <w:rPr>
          <w:sz w:val="28"/>
        </w:rPr>
        <w:t>Pre-settled</w:t>
      </w:r>
      <w:r>
        <w:rPr>
          <w:spacing w:val="-1"/>
          <w:sz w:val="28"/>
        </w:rPr>
        <w:t> </w:t>
      </w:r>
      <w:r>
        <w:rPr>
          <w:sz w:val="28"/>
        </w:rPr>
        <w:t>status</w:t>
      </w:r>
      <w:r>
        <w:rPr>
          <w:spacing w:val="-1"/>
          <w:sz w:val="28"/>
        </w:rPr>
        <w:t> </w:t>
      </w:r>
      <w:r>
        <w:rPr>
          <w:sz w:val="28"/>
        </w:rPr>
        <w:t>under the EU Settlement Scheme is</w:t>
      </w:r>
      <w:r>
        <w:rPr>
          <w:spacing w:val="-1"/>
          <w:sz w:val="28"/>
        </w:rPr>
        <w:t> </w:t>
      </w:r>
      <w:r>
        <w:rPr>
          <w:sz w:val="28"/>
        </w:rPr>
        <w:t>limited</w:t>
      </w:r>
      <w:r>
        <w:rPr>
          <w:spacing w:val="-1"/>
          <w:sz w:val="28"/>
        </w:rPr>
        <w:t> </w:t>
      </w:r>
      <w:r>
        <w:rPr>
          <w:sz w:val="28"/>
        </w:rPr>
        <w:t>leave to</w:t>
      </w:r>
      <w:r>
        <w:rPr>
          <w:spacing w:val="-1"/>
          <w:sz w:val="28"/>
        </w:rPr>
        <w:t> </w:t>
      </w:r>
      <w:r>
        <w:rPr>
          <w:sz w:val="28"/>
        </w:rPr>
        <w:t>remain. Under the Universal Credit Regulations, access to this benefit is limited to applicants</w:t>
      </w:r>
      <w:r>
        <w:rPr>
          <w:spacing w:val="-6"/>
          <w:sz w:val="28"/>
        </w:rPr>
        <w:t> </w:t>
      </w:r>
      <w:r>
        <w:rPr>
          <w:sz w:val="28"/>
        </w:rPr>
        <w:t>who</w:t>
      </w:r>
      <w:r>
        <w:rPr>
          <w:spacing w:val="-6"/>
          <w:sz w:val="28"/>
        </w:rPr>
        <w:t> </w:t>
      </w:r>
      <w:r>
        <w:rPr>
          <w:sz w:val="28"/>
        </w:rPr>
        <w:t>are</w:t>
      </w:r>
      <w:r>
        <w:rPr>
          <w:spacing w:val="-5"/>
          <w:sz w:val="28"/>
        </w:rPr>
        <w:t> </w:t>
      </w:r>
      <w:r>
        <w:rPr>
          <w:sz w:val="28"/>
        </w:rPr>
        <w:t>habitually</w:t>
      </w:r>
      <w:r>
        <w:rPr>
          <w:spacing w:val="-5"/>
          <w:sz w:val="28"/>
        </w:rPr>
        <w:t> </w:t>
      </w:r>
      <w:r>
        <w:rPr>
          <w:sz w:val="28"/>
        </w:rPr>
        <w:t>resident</w:t>
      </w:r>
      <w:r>
        <w:rPr>
          <w:spacing w:val="-5"/>
          <w:sz w:val="28"/>
        </w:rPr>
        <w:t> </w:t>
      </w:r>
      <w:r>
        <w:rPr>
          <w:sz w:val="28"/>
        </w:rPr>
        <w:t>in</w:t>
      </w:r>
      <w:r>
        <w:rPr>
          <w:spacing w:val="-6"/>
          <w:sz w:val="28"/>
        </w:rPr>
        <w:t> </w:t>
      </w:r>
      <w:r>
        <w:rPr>
          <w:sz w:val="28"/>
        </w:rPr>
        <w:t>the</w:t>
      </w:r>
      <w:r>
        <w:rPr>
          <w:spacing w:val="-5"/>
          <w:sz w:val="28"/>
        </w:rPr>
        <w:t> </w:t>
      </w:r>
      <w:r>
        <w:rPr>
          <w:sz w:val="28"/>
        </w:rPr>
        <w:t>UK</w:t>
      </w:r>
      <w:r>
        <w:rPr>
          <w:spacing w:val="-5"/>
          <w:sz w:val="28"/>
        </w:rPr>
        <w:t> </w:t>
      </w:r>
      <w:r>
        <w:rPr>
          <w:sz w:val="28"/>
        </w:rPr>
        <w:t>and</w:t>
      </w:r>
      <w:r>
        <w:rPr>
          <w:spacing w:val="-6"/>
          <w:sz w:val="28"/>
        </w:rPr>
        <w:t> </w:t>
      </w:r>
      <w:r>
        <w:rPr>
          <w:sz w:val="28"/>
        </w:rPr>
        <w:t>this</w:t>
      </w:r>
      <w:r>
        <w:rPr>
          <w:spacing w:val="-6"/>
          <w:sz w:val="28"/>
        </w:rPr>
        <w:t> </w:t>
      </w:r>
      <w:r>
        <w:rPr>
          <w:sz w:val="28"/>
        </w:rPr>
        <w:t>excluded</w:t>
      </w:r>
      <w:r>
        <w:rPr>
          <w:spacing w:val="-6"/>
          <w:sz w:val="28"/>
        </w:rPr>
        <w:t> </w:t>
      </w:r>
      <w:r>
        <w:rPr>
          <w:sz w:val="28"/>
        </w:rPr>
        <w:t>people</w:t>
      </w:r>
      <w:r>
        <w:rPr>
          <w:spacing w:val="-5"/>
          <w:sz w:val="28"/>
        </w:rPr>
        <w:t> </w:t>
      </w:r>
      <w:r>
        <w:rPr>
          <w:sz w:val="28"/>
        </w:rPr>
        <w:t>with pre-settled status from this benefit.</w:t>
      </w:r>
      <w:r>
        <w:rPr>
          <w:sz w:val="28"/>
          <w:vertAlign w:val="superscript"/>
        </w:rPr>
        <w:t>803</w:t>
      </w:r>
      <w:r>
        <w:rPr>
          <w:sz w:val="28"/>
          <w:vertAlign w:val="baseline"/>
        </w:rPr>
        <w:t> In 2021 CJEU found that applications</w:t>
      </w:r>
    </w:p>
    <w:p>
      <w:pPr>
        <w:pStyle w:val="BodyText"/>
        <w:spacing w:line="225" w:lineRule="auto"/>
        <w:ind w:left="1853" w:right="1215"/>
      </w:pPr>
      <w:r>
        <w:rPr/>
        <w:t>for Universal Credit by applicants with pre-settled status can only be refused</w:t>
      </w:r>
      <w:r>
        <w:rPr/>
        <w:t> if</w:t>
      </w:r>
      <w:r>
        <w:rPr>
          <w:spacing w:val="-5"/>
        </w:rPr>
        <w:t> </w:t>
      </w:r>
      <w:r>
        <w:rPr/>
        <w:t>the</w:t>
      </w:r>
      <w:r>
        <w:rPr>
          <w:spacing w:val="-4"/>
        </w:rPr>
        <w:t> </w:t>
      </w:r>
      <w:r>
        <w:rPr/>
        <w:t>claimants</w:t>
      </w:r>
      <w:r>
        <w:rPr>
          <w:spacing w:val="-5"/>
        </w:rPr>
        <w:t> </w:t>
      </w:r>
      <w:r>
        <w:rPr/>
        <w:t>and</w:t>
      </w:r>
      <w:r>
        <w:rPr>
          <w:spacing w:val="-5"/>
        </w:rPr>
        <w:t> </w:t>
      </w:r>
      <w:r>
        <w:rPr/>
        <w:t>their</w:t>
      </w:r>
      <w:r>
        <w:rPr>
          <w:spacing w:val="-4"/>
        </w:rPr>
        <w:t> </w:t>
      </w:r>
      <w:r>
        <w:rPr/>
        <w:t>dependents</w:t>
      </w:r>
      <w:r>
        <w:rPr>
          <w:spacing w:val="-5"/>
        </w:rPr>
        <w:t> </w:t>
      </w:r>
      <w:r>
        <w:rPr/>
        <w:t>would</w:t>
      </w:r>
      <w:r>
        <w:rPr>
          <w:spacing w:val="-5"/>
        </w:rPr>
        <w:t> </w:t>
      </w:r>
      <w:r>
        <w:rPr/>
        <w:t>not</w:t>
      </w:r>
      <w:r>
        <w:rPr>
          <w:spacing w:val="-4"/>
        </w:rPr>
        <w:t> </w:t>
      </w:r>
      <w:r>
        <w:rPr/>
        <w:t>be</w:t>
      </w:r>
      <w:r>
        <w:rPr>
          <w:spacing w:val="-4"/>
        </w:rPr>
        <w:t> </w:t>
      </w:r>
      <w:r>
        <w:rPr/>
        <w:t>exposed</w:t>
      </w:r>
      <w:r>
        <w:rPr>
          <w:spacing w:val="-5"/>
        </w:rPr>
        <w:t> </w:t>
      </w:r>
      <w:r>
        <w:rPr/>
        <w:t>to</w:t>
      </w:r>
      <w:r>
        <w:rPr>
          <w:spacing w:val="-5"/>
        </w:rPr>
        <w:t> </w:t>
      </w:r>
      <w:r>
        <w:rPr/>
        <w:t>“an</w:t>
      </w:r>
      <w:r>
        <w:rPr>
          <w:spacing w:val="-5"/>
        </w:rPr>
        <w:t> </w:t>
      </w:r>
      <w:r>
        <w:rPr/>
        <w:t>actual</w:t>
      </w:r>
      <w:r>
        <w:rPr>
          <w:spacing w:val="-5"/>
        </w:rPr>
        <w:t> </w:t>
      </w:r>
      <w:r>
        <w:rPr/>
        <w:t>and current risk of violation of their fundamental rights”.</w:t>
      </w:r>
      <w:r>
        <w:rPr>
          <w:vertAlign w:val="superscript"/>
        </w:rPr>
        <w:t>804</w:t>
      </w:r>
    </w:p>
    <w:p>
      <w:pPr>
        <w:pStyle w:val="BodyText"/>
        <w:rPr>
          <w:sz w:val="20"/>
        </w:rPr>
      </w:pPr>
    </w:p>
    <w:p>
      <w:pPr>
        <w:pStyle w:val="BodyText"/>
        <w:rPr>
          <w:sz w:val="20"/>
        </w:rPr>
      </w:pPr>
    </w:p>
    <w:p>
      <w:pPr>
        <w:pStyle w:val="BodyText"/>
        <w:spacing w:before="209"/>
        <w:rPr>
          <w:sz w:val="20"/>
        </w:rPr>
      </w:pPr>
      <w:r>
        <w:rPr/>
        <mc:AlternateContent>
          <mc:Choice Requires="wps">
            <w:drawing>
              <wp:anchor distT="0" distB="0" distL="0" distR="0" allowOverlap="1" layoutInCell="1" locked="0" behindDoc="1" simplePos="0" relativeHeight="487719936">
                <wp:simplePos x="0" y="0"/>
                <wp:positionH relativeFrom="page">
                  <wp:posOffset>719996</wp:posOffset>
                </wp:positionH>
                <wp:positionV relativeFrom="paragraph">
                  <wp:posOffset>303275</wp:posOffset>
                </wp:positionV>
                <wp:extent cx="6120130" cy="1270"/>
                <wp:effectExtent l="0" t="0" r="0" b="0"/>
                <wp:wrapTopAndBottom/>
                <wp:docPr id="599" name="Graphic 599"/>
                <wp:cNvGraphicFramePr>
                  <a:graphicFrameLocks/>
                </wp:cNvGraphicFramePr>
                <a:graphic>
                  <a:graphicData uri="http://schemas.microsoft.com/office/word/2010/wordprocessingShape">
                    <wps:wsp>
                      <wps:cNvPr id="599" name="Graphic 59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3.879963pt;width:481.9pt;height:.1pt;mso-position-horizontal-relative:page;mso-position-vertical-relative:paragraph;z-index:-15596544;mso-wrap-distance-left:0;mso-wrap-distance-right:0" id="docshape543" coordorigin="1134,478" coordsize="9638,0" path="m10772,478l1134,478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18" w:lineRule="exact" w:before="150" w:after="0"/>
        <w:ind w:left="1853" w:right="0" w:hanging="720"/>
        <w:jc w:val="left"/>
        <w:rPr>
          <w:sz w:val="18"/>
        </w:rPr>
      </w:pPr>
      <w:r>
        <w:rPr>
          <w:sz w:val="18"/>
        </w:rPr>
        <w:t>Ibid,</w:t>
      </w:r>
      <w:r>
        <w:rPr>
          <w:spacing w:val="-3"/>
          <w:sz w:val="18"/>
        </w:rPr>
        <w:t> </w:t>
      </w:r>
      <w:r>
        <w:rPr>
          <w:sz w:val="18"/>
        </w:rPr>
        <w:t>at</w:t>
      </w:r>
      <w:r>
        <w:rPr>
          <w:spacing w:val="-2"/>
          <w:sz w:val="18"/>
        </w:rPr>
        <w:t> </w:t>
      </w:r>
      <w:r>
        <w:rPr>
          <w:sz w:val="18"/>
        </w:rPr>
        <w:t>68-</w:t>
      </w:r>
      <w:r>
        <w:rPr>
          <w:spacing w:val="-5"/>
          <w:sz w:val="18"/>
        </w:rPr>
        <w:t>75.</w:t>
      </w:r>
    </w:p>
    <w:p>
      <w:pPr>
        <w:pStyle w:val="ListParagraph"/>
        <w:numPr>
          <w:ilvl w:val="0"/>
          <w:numId w:val="11"/>
        </w:numPr>
        <w:tabs>
          <w:tab w:pos="1853" w:val="left" w:leader="none"/>
        </w:tabs>
        <w:spacing w:line="235" w:lineRule="auto" w:before="1" w:after="0"/>
        <w:ind w:left="1853" w:right="1835" w:hanging="720"/>
        <w:jc w:val="left"/>
        <w:rPr>
          <w:sz w:val="18"/>
        </w:rPr>
      </w:pP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‘Policy</w:t>
      </w:r>
      <w:r>
        <w:rPr>
          <w:spacing w:val="-4"/>
          <w:sz w:val="18"/>
        </w:rPr>
        <w:t> </w:t>
      </w:r>
      <w:r>
        <w:rPr>
          <w:sz w:val="18"/>
        </w:rPr>
        <w:t>Recommendations.</w:t>
      </w:r>
      <w:r>
        <w:rPr>
          <w:spacing w:val="-5"/>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minority</w:t>
      </w:r>
      <w:r>
        <w:rPr>
          <w:spacing w:val="-4"/>
          <w:sz w:val="18"/>
        </w:rPr>
        <w:t> </w:t>
      </w:r>
      <w:r>
        <w:rPr>
          <w:sz w:val="18"/>
        </w:rPr>
        <w:t>ethnic</w:t>
      </w:r>
      <w:r>
        <w:rPr>
          <w:spacing w:val="-4"/>
          <w:sz w:val="18"/>
        </w:rPr>
        <w:t> </w:t>
      </w:r>
      <w:r>
        <w:rPr>
          <w:sz w:val="18"/>
        </w:rPr>
        <w:t>and</w:t>
      </w:r>
      <w:r>
        <w:rPr>
          <w:spacing w:val="-5"/>
          <w:sz w:val="18"/>
        </w:rPr>
        <w:t> </w:t>
      </w:r>
      <w:r>
        <w:rPr>
          <w:sz w:val="18"/>
        </w:rPr>
        <w:t>migrant</w:t>
      </w:r>
      <w:r>
        <w:rPr>
          <w:spacing w:val="-4"/>
          <w:sz w:val="18"/>
        </w:rPr>
        <w:t> </w:t>
      </w:r>
      <w:r>
        <w:rPr>
          <w:sz w:val="18"/>
        </w:rPr>
        <w:t>people</w:t>
      </w:r>
      <w:r>
        <w:rPr>
          <w:spacing w:val="-4"/>
          <w:sz w:val="18"/>
        </w:rPr>
        <w:t> </w:t>
      </w:r>
      <w:r>
        <w:rPr>
          <w:sz w:val="18"/>
        </w:rPr>
        <w:t>in Northern Ireland’ (ECNI, 2024), at 61.</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Pivotal,</w:t>
      </w:r>
      <w:r>
        <w:rPr>
          <w:spacing w:val="-5"/>
          <w:sz w:val="18"/>
        </w:rPr>
        <w:t> </w:t>
      </w:r>
      <w:r>
        <w:rPr>
          <w:sz w:val="18"/>
        </w:rPr>
        <w:t>‘Impact</w:t>
      </w:r>
      <w:r>
        <w:rPr>
          <w:spacing w:val="-2"/>
          <w:sz w:val="18"/>
        </w:rPr>
        <w:t> </w:t>
      </w:r>
      <w:r>
        <w:rPr>
          <w:sz w:val="18"/>
        </w:rPr>
        <w:t>of</w:t>
      </w:r>
      <w:r>
        <w:rPr>
          <w:spacing w:val="-4"/>
          <w:sz w:val="18"/>
        </w:rPr>
        <w:t> </w:t>
      </w:r>
      <w:r>
        <w:rPr>
          <w:sz w:val="18"/>
        </w:rPr>
        <w:t>Brexit</w:t>
      </w:r>
      <w:r>
        <w:rPr>
          <w:spacing w:val="-2"/>
          <w:sz w:val="18"/>
        </w:rPr>
        <w:t> </w:t>
      </w:r>
      <w:r>
        <w:rPr>
          <w:sz w:val="18"/>
        </w:rPr>
        <w:t>on</w:t>
      </w:r>
      <w:r>
        <w:rPr>
          <w:spacing w:val="-4"/>
          <w:sz w:val="18"/>
        </w:rPr>
        <w:t> </w:t>
      </w:r>
      <w:r>
        <w:rPr>
          <w:sz w:val="18"/>
        </w:rPr>
        <w:t>minority</w:t>
      </w:r>
      <w:r>
        <w:rPr>
          <w:spacing w:val="-2"/>
          <w:sz w:val="18"/>
        </w:rPr>
        <w:t> </w:t>
      </w:r>
      <w:r>
        <w:rPr>
          <w:sz w:val="18"/>
        </w:rPr>
        <w:t>ethnic</w:t>
      </w:r>
      <w:r>
        <w:rPr>
          <w:spacing w:val="-3"/>
          <w:sz w:val="18"/>
        </w:rPr>
        <w:t> </w:t>
      </w:r>
      <w:r>
        <w:rPr>
          <w:sz w:val="18"/>
        </w:rPr>
        <w:t>and</w:t>
      </w:r>
      <w:r>
        <w:rPr>
          <w:spacing w:val="-3"/>
          <w:sz w:val="18"/>
        </w:rPr>
        <w:t> </w:t>
      </w:r>
      <w:r>
        <w:rPr>
          <w:sz w:val="18"/>
        </w:rPr>
        <w:t>migrant</w:t>
      </w:r>
      <w:r>
        <w:rPr>
          <w:spacing w:val="-2"/>
          <w:sz w:val="18"/>
        </w:rPr>
        <w:t> </w:t>
      </w:r>
      <w:r>
        <w:rPr>
          <w:sz w:val="18"/>
        </w:rPr>
        <w:t>people</w:t>
      </w:r>
      <w:r>
        <w:rPr>
          <w:spacing w:val="-3"/>
          <w:sz w:val="18"/>
        </w:rPr>
        <w:t> </w:t>
      </w:r>
      <w:r>
        <w:rPr>
          <w:sz w:val="18"/>
        </w:rPr>
        <w:t>in</w:t>
      </w:r>
      <w:r>
        <w:rPr>
          <w:spacing w:val="-3"/>
          <w:sz w:val="18"/>
        </w:rPr>
        <w:t> </w:t>
      </w:r>
      <w:r>
        <w:rPr>
          <w:sz w:val="18"/>
        </w:rPr>
        <w:t>Northern</w:t>
      </w:r>
      <w:r>
        <w:rPr>
          <w:spacing w:val="-4"/>
          <w:sz w:val="18"/>
        </w:rPr>
        <w:t> </w:t>
      </w:r>
      <w:r>
        <w:rPr>
          <w:sz w:val="18"/>
        </w:rPr>
        <w:t>Ireland’</w:t>
      </w:r>
      <w:r>
        <w:rPr>
          <w:spacing w:val="-2"/>
          <w:sz w:val="18"/>
        </w:rPr>
        <w:t> </w:t>
      </w:r>
      <w:r>
        <w:rPr>
          <w:sz w:val="18"/>
        </w:rPr>
        <w:t>(ECNI,</w:t>
      </w:r>
      <w:r>
        <w:rPr>
          <w:spacing w:val="-3"/>
          <w:sz w:val="18"/>
        </w:rPr>
        <w:t> </w:t>
      </w:r>
      <w:r>
        <w:rPr>
          <w:sz w:val="18"/>
        </w:rPr>
        <w:t>2023),</w:t>
      </w:r>
      <w:r>
        <w:rPr>
          <w:spacing w:val="-2"/>
          <w:sz w:val="18"/>
        </w:rPr>
        <w:t> </w:t>
      </w:r>
      <w:r>
        <w:rPr>
          <w:sz w:val="18"/>
        </w:rPr>
        <w:t>at</w:t>
      </w:r>
      <w:r>
        <w:rPr>
          <w:spacing w:val="-2"/>
          <w:sz w:val="18"/>
        </w:rPr>
        <w:t> </w:t>
      </w:r>
      <w:r>
        <w:rPr>
          <w:spacing w:val="-5"/>
          <w:sz w:val="18"/>
        </w:rPr>
        <w:t>74.</w:t>
      </w:r>
    </w:p>
    <w:p>
      <w:pPr>
        <w:pStyle w:val="ListParagraph"/>
        <w:numPr>
          <w:ilvl w:val="0"/>
          <w:numId w:val="11"/>
        </w:numPr>
        <w:tabs>
          <w:tab w:pos="1853" w:val="left" w:leader="none"/>
        </w:tabs>
        <w:spacing w:line="235" w:lineRule="auto" w:before="2" w:after="0"/>
        <w:ind w:left="1853" w:right="1308" w:hanging="720"/>
        <w:jc w:val="left"/>
        <w:rPr>
          <w:sz w:val="18"/>
        </w:rPr>
      </w:pPr>
      <w:r>
        <w:rPr>
          <w:sz w:val="18"/>
        </w:rPr>
        <w:t>The3million, ‘Briefing calling on the Government to give everyone with pre-settled status access to welfare support, provide’</w:t>
      </w:r>
      <w:r>
        <w:rPr>
          <w:spacing w:val="-6"/>
          <w:sz w:val="18"/>
        </w:rPr>
        <w:t> </w:t>
      </w:r>
      <w:r>
        <w:rPr>
          <w:sz w:val="18"/>
        </w:rPr>
        <w:t>(The3million,</w:t>
      </w:r>
      <w:r>
        <w:rPr>
          <w:spacing w:val="-5"/>
          <w:sz w:val="18"/>
        </w:rPr>
        <w:t> </w:t>
      </w:r>
      <w:r>
        <w:rPr>
          <w:sz w:val="18"/>
        </w:rPr>
        <w:t>2023),</w:t>
      </w:r>
      <w:r>
        <w:rPr>
          <w:spacing w:val="-5"/>
          <w:sz w:val="18"/>
        </w:rPr>
        <w:t> </w:t>
      </w:r>
      <w:r>
        <w:rPr>
          <w:sz w:val="18"/>
        </w:rPr>
        <w:t>at</w:t>
      </w:r>
      <w:r>
        <w:rPr>
          <w:spacing w:val="-5"/>
          <w:sz w:val="18"/>
        </w:rPr>
        <w:t> </w:t>
      </w:r>
      <w:r>
        <w:rPr>
          <w:sz w:val="18"/>
        </w:rPr>
        <w:t>3.</w:t>
      </w:r>
      <w:r>
        <w:rPr>
          <w:spacing w:val="-6"/>
          <w:sz w:val="18"/>
        </w:rPr>
        <w:t> </w:t>
      </w:r>
      <w:r>
        <w:rPr>
          <w:sz w:val="18"/>
        </w:rPr>
        <w:t>See</w:t>
      </w:r>
      <w:r>
        <w:rPr>
          <w:spacing w:val="-5"/>
          <w:sz w:val="18"/>
        </w:rPr>
        <w:t> </w:t>
      </w:r>
      <w:r>
        <w:rPr>
          <w:sz w:val="18"/>
        </w:rPr>
        <w:t>also:</w:t>
      </w:r>
      <w:r>
        <w:rPr>
          <w:spacing w:val="-5"/>
          <w:sz w:val="18"/>
        </w:rPr>
        <w:t> </w:t>
      </w:r>
      <w:r>
        <w:rPr>
          <w:sz w:val="18"/>
        </w:rPr>
        <w:t>The3million,</w:t>
      </w:r>
      <w:r>
        <w:rPr>
          <w:spacing w:val="-5"/>
          <w:sz w:val="18"/>
        </w:rPr>
        <w:t> </w:t>
      </w:r>
      <w:r>
        <w:rPr>
          <w:sz w:val="18"/>
        </w:rPr>
        <w:t>‘</w:t>
      </w:r>
      <w:hyperlink r:id="rId207">
        <w:r>
          <w:rPr>
            <w:sz w:val="18"/>
          </w:rPr>
          <w:t>Reply</w:t>
        </w:r>
        <w:r>
          <w:rPr>
            <w:spacing w:val="-5"/>
            <w:sz w:val="18"/>
          </w:rPr>
          <w:t> </w:t>
        </w:r>
        <w:r>
          <w:rPr>
            <w:sz w:val="18"/>
          </w:rPr>
          <w:t>to</w:t>
        </w:r>
        <w:r>
          <w:rPr>
            <w:spacing w:val="-6"/>
            <w:sz w:val="18"/>
          </w:rPr>
          <w:t> </w:t>
        </w:r>
        <w:r>
          <w:rPr>
            <w:sz w:val="18"/>
          </w:rPr>
          <w:t>Home</w:t>
        </w:r>
        <w:r>
          <w:rPr>
            <w:spacing w:val="-5"/>
            <w:sz w:val="18"/>
          </w:rPr>
          <w:t> </w:t>
        </w:r>
        <w:r>
          <w:rPr>
            <w:sz w:val="18"/>
          </w:rPr>
          <w:t>Office</w:t>
        </w:r>
        <w:r>
          <w:rPr>
            <w:spacing w:val="-5"/>
            <w:sz w:val="18"/>
          </w:rPr>
          <w:t> </w:t>
        </w:r>
        <w:r>
          <w:rPr>
            <w:sz w:val="18"/>
          </w:rPr>
          <w:t>regarding</w:t>
        </w:r>
        <w:r>
          <w:rPr>
            <w:spacing w:val="-5"/>
            <w:sz w:val="18"/>
          </w:rPr>
          <w:t> </w:t>
        </w:r>
        <w:r>
          <w:rPr>
            <w:sz w:val="18"/>
          </w:rPr>
          <w:t>online-only</w:t>
        </w:r>
        <w:r>
          <w:rPr>
            <w:spacing w:val="-5"/>
            <w:sz w:val="18"/>
          </w:rPr>
          <w:t> </w:t>
        </w:r>
        <w:r>
          <w:rPr>
            <w:sz w:val="18"/>
          </w:rPr>
          <w:t>immigration</w:t>
        </w:r>
        <w:r>
          <w:rPr>
            <w:spacing w:val="-6"/>
            <w:sz w:val="18"/>
          </w:rPr>
          <w:t> </w:t>
        </w:r>
        <w:r>
          <w:rPr>
            <w:sz w:val="18"/>
          </w:rPr>
          <w:t>status</w:t>
        </w:r>
      </w:hyperlink>
      <w:r>
        <w:rPr>
          <w:sz w:val="18"/>
        </w:rPr>
        <w:t> </w:t>
      </w:r>
      <w:hyperlink r:id="rId207">
        <w:r>
          <w:rPr>
            <w:sz w:val="18"/>
          </w:rPr>
          <w:t>and discussions around alternative solutions</w:t>
        </w:r>
      </w:hyperlink>
      <w:r>
        <w:rPr>
          <w:sz w:val="18"/>
        </w:rPr>
        <w:t>’ (The3million, 2023).</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Regulation</w:t>
      </w:r>
      <w:r>
        <w:rPr>
          <w:spacing w:val="-8"/>
          <w:sz w:val="18"/>
        </w:rPr>
        <w:t> </w:t>
      </w:r>
      <w:r>
        <w:rPr>
          <w:sz w:val="18"/>
        </w:rPr>
        <w:t>9(3)(d),</w:t>
      </w:r>
      <w:r>
        <w:rPr>
          <w:spacing w:val="-7"/>
          <w:sz w:val="18"/>
        </w:rPr>
        <w:t> </w:t>
      </w:r>
      <w:r>
        <w:rPr>
          <w:sz w:val="18"/>
        </w:rPr>
        <w:t>Universal</w:t>
      </w:r>
      <w:r>
        <w:rPr>
          <w:spacing w:val="-7"/>
          <w:sz w:val="18"/>
        </w:rPr>
        <w:t> </w:t>
      </w:r>
      <w:r>
        <w:rPr>
          <w:sz w:val="18"/>
        </w:rPr>
        <w:t>Credit</w:t>
      </w:r>
      <w:r>
        <w:rPr>
          <w:spacing w:val="-7"/>
          <w:sz w:val="18"/>
        </w:rPr>
        <w:t> </w:t>
      </w:r>
      <w:r>
        <w:rPr>
          <w:sz w:val="18"/>
        </w:rPr>
        <w:t>Regulations</w:t>
      </w:r>
      <w:r>
        <w:rPr>
          <w:spacing w:val="-7"/>
          <w:sz w:val="18"/>
        </w:rPr>
        <w:t> </w:t>
      </w:r>
      <w:r>
        <w:rPr>
          <w:sz w:val="18"/>
        </w:rPr>
        <w:t>(NI)</w:t>
      </w:r>
      <w:r>
        <w:rPr>
          <w:spacing w:val="-8"/>
          <w:sz w:val="18"/>
        </w:rPr>
        <w:t> </w:t>
      </w:r>
      <w:r>
        <w:rPr>
          <w:spacing w:val="-2"/>
          <w:sz w:val="18"/>
        </w:rPr>
        <w:t>2016.</w:t>
      </w:r>
    </w:p>
    <w:p>
      <w:pPr>
        <w:pStyle w:val="ListParagraph"/>
        <w:numPr>
          <w:ilvl w:val="0"/>
          <w:numId w:val="11"/>
        </w:numPr>
        <w:tabs>
          <w:tab w:pos="1853" w:val="left" w:leader="none"/>
        </w:tabs>
        <w:spacing w:line="218" w:lineRule="exact" w:before="0" w:after="0"/>
        <w:ind w:left="1853" w:right="0" w:hanging="720"/>
        <w:jc w:val="left"/>
        <w:rPr>
          <w:sz w:val="18"/>
        </w:rPr>
      </w:pPr>
      <w:r>
        <w:rPr>
          <w:i/>
          <w:sz w:val="18"/>
        </w:rPr>
        <w:t>CG</w:t>
      </w:r>
      <w:r>
        <w:rPr>
          <w:i/>
          <w:spacing w:val="-4"/>
          <w:sz w:val="18"/>
        </w:rPr>
        <w:t> </w:t>
      </w:r>
      <w:r>
        <w:rPr>
          <w:i/>
          <w:sz w:val="18"/>
        </w:rPr>
        <w:t>v</w:t>
      </w:r>
      <w:r>
        <w:rPr>
          <w:i/>
          <w:spacing w:val="-3"/>
          <w:sz w:val="18"/>
        </w:rPr>
        <w:t> </w:t>
      </w:r>
      <w:r>
        <w:rPr>
          <w:i/>
          <w:sz w:val="18"/>
        </w:rPr>
        <w:t>Department</w:t>
      </w:r>
      <w:r>
        <w:rPr>
          <w:i/>
          <w:spacing w:val="-4"/>
          <w:sz w:val="18"/>
        </w:rPr>
        <w:t> </w:t>
      </w:r>
      <w:r>
        <w:rPr>
          <w:i/>
          <w:sz w:val="18"/>
        </w:rPr>
        <w:t>for</w:t>
      </w:r>
      <w:r>
        <w:rPr>
          <w:i/>
          <w:spacing w:val="-3"/>
          <w:sz w:val="18"/>
        </w:rPr>
        <w:t> </w:t>
      </w:r>
      <w:r>
        <w:rPr>
          <w:i/>
          <w:sz w:val="18"/>
        </w:rPr>
        <w:t>Communities</w:t>
      </w:r>
      <w:r>
        <w:rPr>
          <w:sz w:val="18"/>
        </w:rPr>
        <w:t>,</w:t>
      </w:r>
      <w:r>
        <w:rPr>
          <w:spacing w:val="-4"/>
          <w:sz w:val="18"/>
        </w:rPr>
        <w:t> </w:t>
      </w:r>
      <w:r>
        <w:rPr>
          <w:sz w:val="18"/>
        </w:rPr>
        <w:t>Case</w:t>
      </w:r>
      <w:r>
        <w:rPr>
          <w:spacing w:val="-3"/>
          <w:sz w:val="18"/>
        </w:rPr>
        <w:t> </w:t>
      </w:r>
      <w:r>
        <w:rPr>
          <w:sz w:val="18"/>
        </w:rPr>
        <w:t>C-709/20,</w:t>
      </w:r>
      <w:r>
        <w:rPr>
          <w:spacing w:val="-4"/>
          <w:sz w:val="18"/>
        </w:rPr>
        <w:t> </w:t>
      </w:r>
      <w:r>
        <w:rPr>
          <w:sz w:val="18"/>
        </w:rPr>
        <w:t>15</w:t>
      </w:r>
      <w:r>
        <w:rPr>
          <w:spacing w:val="-3"/>
          <w:sz w:val="18"/>
        </w:rPr>
        <w:t> </w:t>
      </w:r>
      <w:r>
        <w:rPr>
          <w:sz w:val="18"/>
        </w:rPr>
        <w:t>July</w:t>
      </w:r>
      <w:r>
        <w:rPr>
          <w:spacing w:val="-4"/>
          <w:sz w:val="18"/>
        </w:rPr>
        <w:t> </w:t>
      </w:r>
      <w:r>
        <w:rPr>
          <w:sz w:val="18"/>
        </w:rPr>
        <w:t>2021,</w:t>
      </w:r>
      <w:r>
        <w:rPr>
          <w:spacing w:val="-3"/>
          <w:sz w:val="18"/>
        </w:rPr>
        <w:t> </w:t>
      </w:r>
      <w:r>
        <w:rPr>
          <w:sz w:val="18"/>
        </w:rPr>
        <w:t>at</w:t>
      </w:r>
      <w:r>
        <w:rPr>
          <w:spacing w:val="-4"/>
          <w:sz w:val="18"/>
        </w:rPr>
        <w:t> </w:t>
      </w:r>
      <w:r>
        <w:rPr>
          <w:sz w:val="18"/>
        </w:rPr>
        <w:t>para</w:t>
      </w:r>
      <w:r>
        <w:rPr>
          <w:spacing w:val="-4"/>
          <w:sz w:val="18"/>
        </w:rPr>
        <w:t> </w:t>
      </w:r>
      <w:r>
        <w:rPr>
          <w:spacing w:val="-5"/>
          <w:sz w:val="18"/>
        </w:rPr>
        <w:t>93.</w:t>
      </w:r>
    </w:p>
    <w:p>
      <w:pPr>
        <w:spacing w:after="0" w:line="218" w:lineRule="exact"/>
        <w:jc w:val="left"/>
        <w:rPr>
          <w:sz w:val="18"/>
        </w:rPr>
        <w:sectPr>
          <w:headerReference w:type="default" r:id="rId203"/>
          <w:headerReference w:type="even" r:id="rId204"/>
          <w:footerReference w:type="default" r:id="rId205"/>
          <w:footerReference w:type="even" r:id="rId206"/>
          <w:pgSz w:w="11910" w:h="16840"/>
          <w:pgMar w:header="496" w:footer="367" w:top="1220" w:bottom="560" w:left="0" w:right="0"/>
          <w:pgNumType w:start="143"/>
        </w:sectPr>
      </w:pPr>
    </w:p>
    <w:p>
      <w:pPr>
        <w:pStyle w:val="BodyText"/>
        <w:spacing w:before="198"/>
      </w:pPr>
    </w:p>
    <w:p>
      <w:pPr>
        <w:pStyle w:val="ListParagraph"/>
        <w:numPr>
          <w:ilvl w:val="1"/>
          <w:numId w:val="13"/>
        </w:numPr>
        <w:tabs>
          <w:tab w:pos="1853" w:val="left" w:leader="none"/>
        </w:tabs>
        <w:spacing w:line="225" w:lineRule="auto" w:before="0" w:after="0"/>
        <w:ind w:left="1853" w:right="1174" w:hanging="720"/>
        <w:jc w:val="left"/>
        <w:rPr>
          <w:sz w:val="28"/>
        </w:rPr>
      </w:pPr>
      <w:bookmarkStart w:name="_bookmark54" w:id="121"/>
      <w:bookmarkEnd w:id="121"/>
      <w:r>
        <w:rPr/>
      </w:r>
      <w:r>
        <w:rPr>
          <w:sz w:val="28"/>
        </w:rPr>
        <w:t>In</w:t>
      </w:r>
      <w:r>
        <w:rPr>
          <w:spacing w:val="-4"/>
          <w:sz w:val="28"/>
        </w:rPr>
        <w:t> </w:t>
      </w:r>
      <w:r>
        <w:rPr>
          <w:sz w:val="28"/>
        </w:rPr>
        <w:t>May</w:t>
      </w:r>
      <w:r>
        <w:rPr>
          <w:spacing w:val="-3"/>
          <w:sz w:val="28"/>
        </w:rPr>
        <w:t> </w:t>
      </w:r>
      <w:r>
        <w:rPr>
          <w:sz w:val="28"/>
        </w:rPr>
        <w:t>2023,</w:t>
      </w:r>
      <w:r>
        <w:rPr>
          <w:spacing w:val="-3"/>
          <w:sz w:val="28"/>
        </w:rPr>
        <w:t> </w:t>
      </w:r>
      <w:r>
        <w:rPr>
          <w:sz w:val="28"/>
        </w:rPr>
        <w:t>in</w:t>
      </w:r>
      <w:r>
        <w:rPr>
          <w:spacing w:val="-4"/>
          <w:sz w:val="28"/>
        </w:rPr>
        <w:t> </w:t>
      </w:r>
      <w:r>
        <w:rPr>
          <w:sz w:val="28"/>
        </w:rPr>
        <w:t>line</w:t>
      </w:r>
      <w:r>
        <w:rPr>
          <w:spacing w:val="-3"/>
          <w:sz w:val="28"/>
        </w:rPr>
        <w:t> </w:t>
      </w:r>
      <w:r>
        <w:rPr>
          <w:sz w:val="28"/>
        </w:rPr>
        <w:t>with</w:t>
      </w:r>
      <w:r>
        <w:rPr>
          <w:spacing w:val="-4"/>
          <w:sz w:val="28"/>
        </w:rPr>
        <w:t> </w:t>
      </w:r>
      <w:r>
        <w:rPr>
          <w:sz w:val="28"/>
        </w:rPr>
        <w:t>this</w:t>
      </w:r>
      <w:r>
        <w:rPr>
          <w:spacing w:val="-4"/>
          <w:sz w:val="28"/>
        </w:rPr>
        <w:t> </w:t>
      </w:r>
      <w:r>
        <w:rPr>
          <w:sz w:val="28"/>
        </w:rPr>
        <w:t>case,</w:t>
      </w:r>
      <w:r>
        <w:rPr>
          <w:spacing w:val="-3"/>
          <w:sz w:val="28"/>
        </w:rPr>
        <w:t> </w:t>
      </w:r>
      <w:r>
        <w:rPr>
          <w:sz w:val="28"/>
        </w:rPr>
        <w:t>a</w:t>
      </w:r>
      <w:r>
        <w:rPr>
          <w:spacing w:val="-4"/>
          <w:sz w:val="28"/>
        </w:rPr>
        <w:t> </w:t>
      </w:r>
      <w:r>
        <w:rPr>
          <w:sz w:val="28"/>
        </w:rPr>
        <w:t>new</w:t>
      </w:r>
      <w:r>
        <w:rPr>
          <w:spacing w:val="-3"/>
          <w:sz w:val="28"/>
        </w:rPr>
        <w:t> </w:t>
      </w:r>
      <w:r>
        <w:rPr>
          <w:sz w:val="28"/>
        </w:rPr>
        <w:t>interim</w:t>
      </w:r>
      <w:r>
        <w:rPr>
          <w:spacing w:val="-3"/>
          <w:sz w:val="28"/>
        </w:rPr>
        <w:t> </w:t>
      </w:r>
      <w:r>
        <w:rPr>
          <w:sz w:val="28"/>
        </w:rPr>
        <w:t>policy</w:t>
      </w:r>
      <w:r>
        <w:rPr>
          <w:spacing w:val="-3"/>
          <w:sz w:val="28"/>
        </w:rPr>
        <w:t> </w:t>
      </w:r>
      <w:r>
        <w:rPr>
          <w:sz w:val="28"/>
        </w:rPr>
        <w:t>was</w:t>
      </w:r>
      <w:r>
        <w:rPr>
          <w:spacing w:val="-4"/>
          <w:sz w:val="28"/>
        </w:rPr>
        <w:t> </w:t>
      </w:r>
      <w:r>
        <w:rPr>
          <w:sz w:val="28"/>
        </w:rPr>
        <w:t>introduced</w:t>
      </w:r>
      <w:r>
        <w:rPr>
          <w:spacing w:val="-4"/>
          <w:sz w:val="28"/>
        </w:rPr>
        <w:t> </w:t>
      </w:r>
      <w:r>
        <w:rPr>
          <w:sz w:val="28"/>
        </w:rPr>
        <w:t>by</w:t>
      </w:r>
      <w:r>
        <w:rPr>
          <w:spacing w:val="-3"/>
          <w:sz w:val="28"/>
        </w:rPr>
        <w:t> </w:t>
      </w:r>
      <w:r>
        <w:rPr>
          <w:sz w:val="28"/>
        </w:rPr>
        <w:t>the Department</w:t>
      </w:r>
      <w:r>
        <w:rPr>
          <w:spacing w:val="-2"/>
          <w:sz w:val="28"/>
        </w:rPr>
        <w:t> </w:t>
      </w:r>
      <w:r>
        <w:rPr>
          <w:sz w:val="28"/>
        </w:rPr>
        <w:t>of</w:t>
      </w:r>
      <w:r>
        <w:rPr>
          <w:spacing w:val="-3"/>
          <w:sz w:val="28"/>
        </w:rPr>
        <w:t> </w:t>
      </w:r>
      <w:r>
        <w:rPr>
          <w:sz w:val="28"/>
        </w:rPr>
        <w:t>Work</w:t>
      </w:r>
      <w:r>
        <w:rPr>
          <w:spacing w:val="-2"/>
          <w:sz w:val="28"/>
        </w:rPr>
        <w:t> </w:t>
      </w:r>
      <w:r>
        <w:rPr>
          <w:sz w:val="28"/>
        </w:rPr>
        <w:t>and</w:t>
      </w:r>
      <w:r>
        <w:rPr>
          <w:spacing w:val="-3"/>
          <w:sz w:val="28"/>
        </w:rPr>
        <w:t> </w:t>
      </w:r>
      <w:r>
        <w:rPr>
          <w:sz w:val="28"/>
        </w:rPr>
        <w:t>Pensions,</w:t>
      </w:r>
      <w:r>
        <w:rPr>
          <w:spacing w:val="-2"/>
          <w:sz w:val="28"/>
        </w:rPr>
        <w:t> </w:t>
      </w:r>
      <w:r>
        <w:rPr>
          <w:sz w:val="28"/>
        </w:rPr>
        <w:t>which</w:t>
      </w:r>
      <w:r>
        <w:rPr>
          <w:spacing w:val="-3"/>
          <w:sz w:val="28"/>
        </w:rPr>
        <w:t> </w:t>
      </w:r>
      <w:r>
        <w:rPr>
          <w:sz w:val="28"/>
        </w:rPr>
        <w:t>allows</w:t>
      </w:r>
      <w:r>
        <w:rPr>
          <w:spacing w:val="-3"/>
          <w:sz w:val="28"/>
        </w:rPr>
        <w:t> </w:t>
      </w:r>
      <w:r>
        <w:rPr>
          <w:sz w:val="28"/>
        </w:rPr>
        <w:t>any</w:t>
      </w:r>
      <w:r>
        <w:rPr>
          <w:spacing w:val="-2"/>
          <w:sz w:val="28"/>
        </w:rPr>
        <w:t> </w:t>
      </w:r>
      <w:r>
        <w:rPr>
          <w:sz w:val="28"/>
        </w:rPr>
        <w:t>EU</w:t>
      </w:r>
      <w:r>
        <w:rPr>
          <w:spacing w:val="-2"/>
          <w:sz w:val="28"/>
        </w:rPr>
        <w:t> </w:t>
      </w:r>
      <w:r>
        <w:rPr>
          <w:sz w:val="28"/>
        </w:rPr>
        <w:t>citizen</w:t>
      </w:r>
      <w:r>
        <w:rPr>
          <w:spacing w:val="-3"/>
          <w:sz w:val="28"/>
        </w:rPr>
        <w:t> </w:t>
      </w:r>
      <w:r>
        <w:rPr>
          <w:sz w:val="28"/>
        </w:rPr>
        <w:t>in</w:t>
      </w:r>
      <w:r>
        <w:rPr>
          <w:spacing w:val="-3"/>
          <w:sz w:val="28"/>
        </w:rPr>
        <w:t> </w:t>
      </w:r>
      <w:r>
        <w:rPr>
          <w:sz w:val="28"/>
        </w:rPr>
        <w:t>NI</w:t>
      </w:r>
      <w:r>
        <w:rPr>
          <w:spacing w:val="-2"/>
          <w:sz w:val="28"/>
        </w:rPr>
        <w:t> </w:t>
      </w:r>
      <w:r>
        <w:rPr>
          <w:sz w:val="28"/>
        </w:rPr>
        <w:t>with</w:t>
      </w:r>
      <w:r>
        <w:rPr>
          <w:spacing w:val="-3"/>
          <w:sz w:val="28"/>
        </w:rPr>
        <w:t> </w:t>
      </w:r>
      <w:r>
        <w:rPr>
          <w:sz w:val="28"/>
        </w:rPr>
        <w:t>pre- settled status, who is unable to work, to be assessed individually to establish whether</w:t>
      </w:r>
      <w:r>
        <w:rPr>
          <w:spacing w:val="-5"/>
          <w:sz w:val="28"/>
        </w:rPr>
        <w:t> </w:t>
      </w:r>
      <w:r>
        <w:rPr>
          <w:sz w:val="28"/>
        </w:rPr>
        <w:t>they,</w:t>
      </w:r>
      <w:r>
        <w:rPr>
          <w:spacing w:val="-5"/>
          <w:sz w:val="28"/>
        </w:rPr>
        <w:t> </w:t>
      </w:r>
      <w:r>
        <w:rPr>
          <w:sz w:val="28"/>
        </w:rPr>
        <w:t>or</w:t>
      </w:r>
      <w:r>
        <w:rPr>
          <w:spacing w:val="-5"/>
          <w:sz w:val="28"/>
        </w:rPr>
        <w:t> </w:t>
      </w:r>
      <w:r>
        <w:rPr>
          <w:sz w:val="28"/>
        </w:rPr>
        <w:t>their</w:t>
      </w:r>
      <w:r>
        <w:rPr>
          <w:spacing w:val="-5"/>
          <w:sz w:val="28"/>
        </w:rPr>
        <w:t> </w:t>
      </w:r>
      <w:r>
        <w:rPr>
          <w:sz w:val="28"/>
        </w:rPr>
        <w:t>children,</w:t>
      </w:r>
      <w:r>
        <w:rPr>
          <w:spacing w:val="-5"/>
          <w:sz w:val="28"/>
        </w:rPr>
        <w:t> </w:t>
      </w:r>
      <w:r>
        <w:rPr>
          <w:sz w:val="28"/>
        </w:rPr>
        <w:t>are</w:t>
      </w:r>
      <w:r>
        <w:rPr>
          <w:spacing w:val="-5"/>
          <w:sz w:val="28"/>
        </w:rPr>
        <w:t> </w:t>
      </w:r>
      <w:r>
        <w:rPr>
          <w:sz w:val="28"/>
        </w:rPr>
        <w:t>living</w:t>
      </w:r>
      <w:r>
        <w:rPr>
          <w:spacing w:val="-5"/>
          <w:sz w:val="28"/>
        </w:rPr>
        <w:t> </w:t>
      </w:r>
      <w:r>
        <w:rPr>
          <w:sz w:val="28"/>
        </w:rPr>
        <w:t>in</w:t>
      </w:r>
      <w:r>
        <w:rPr>
          <w:spacing w:val="-6"/>
          <w:sz w:val="28"/>
        </w:rPr>
        <w:t> </w:t>
      </w:r>
      <w:r>
        <w:rPr>
          <w:sz w:val="28"/>
        </w:rPr>
        <w:t>hardship</w:t>
      </w:r>
      <w:r>
        <w:rPr>
          <w:spacing w:val="-6"/>
          <w:sz w:val="28"/>
        </w:rPr>
        <w:t> </w:t>
      </w:r>
      <w:r>
        <w:rPr>
          <w:sz w:val="28"/>
        </w:rPr>
        <w:t>and</w:t>
      </w:r>
      <w:r>
        <w:rPr>
          <w:spacing w:val="-6"/>
          <w:sz w:val="28"/>
        </w:rPr>
        <w:t> </w:t>
      </w:r>
      <w:r>
        <w:rPr>
          <w:sz w:val="28"/>
        </w:rPr>
        <w:t>unable</w:t>
      </w:r>
      <w:r>
        <w:rPr>
          <w:spacing w:val="-5"/>
          <w:sz w:val="28"/>
        </w:rPr>
        <w:t> </w:t>
      </w:r>
      <w:r>
        <w:rPr>
          <w:sz w:val="28"/>
        </w:rPr>
        <w:t>to</w:t>
      </w:r>
      <w:r>
        <w:rPr>
          <w:spacing w:val="-6"/>
          <w:sz w:val="28"/>
        </w:rPr>
        <w:t> </w:t>
      </w:r>
      <w:r>
        <w:rPr>
          <w:sz w:val="28"/>
        </w:rPr>
        <w:t>meet</w:t>
      </w:r>
      <w:r>
        <w:rPr>
          <w:spacing w:val="-5"/>
          <w:sz w:val="28"/>
        </w:rPr>
        <w:t> </w:t>
      </w:r>
      <w:r>
        <w:rPr>
          <w:sz w:val="28"/>
        </w:rPr>
        <w:t>their most basic needs</w:t>
      </w:r>
      <w:r>
        <w:rPr>
          <w:spacing w:val="-1"/>
          <w:sz w:val="28"/>
        </w:rPr>
        <w:t> </w:t>
      </w:r>
      <w:r>
        <w:rPr>
          <w:sz w:val="28"/>
        </w:rPr>
        <w:t>and</w:t>
      </w:r>
      <w:r>
        <w:rPr>
          <w:spacing w:val="-1"/>
          <w:sz w:val="28"/>
        </w:rPr>
        <w:t> </w:t>
      </w:r>
      <w:r>
        <w:rPr>
          <w:sz w:val="28"/>
        </w:rPr>
        <w:t>if</w:t>
      </w:r>
      <w:r>
        <w:rPr>
          <w:spacing w:val="-1"/>
          <w:sz w:val="28"/>
        </w:rPr>
        <w:t> </w:t>
      </w:r>
      <w:r>
        <w:rPr>
          <w:sz w:val="28"/>
        </w:rPr>
        <w:t>so, then</w:t>
      </w:r>
      <w:r>
        <w:rPr>
          <w:spacing w:val="-1"/>
          <w:sz w:val="28"/>
        </w:rPr>
        <w:t> </w:t>
      </w:r>
      <w:r>
        <w:rPr>
          <w:sz w:val="28"/>
        </w:rPr>
        <w:t>they will</w:t>
      </w:r>
      <w:r>
        <w:rPr>
          <w:spacing w:val="-1"/>
          <w:sz w:val="28"/>
        </w:rPr>
        <w:t> </w:t>
      </w:r>
      <w:r>
        <w:rPr>
          <w:sz w:val="28"/>
        </w:rPr>
        <w:t>be entitled</w:t>
      </w:r>
      <w:r>
        <w:rPr>
          <w:spacing w:val="-1"/>
          <w:sz w:val="28"/>
        </w:rPr>
        <w:t> </w:t>
      </w:r>
      <w:r>
        <w:rPr>
          <w:sz w:val="28"/>
        </w:rPr>
        <w:t>to</w:t>
      </w:r>
      <w:r>
        <w:rPr>
          <w:spacing w:val="-1"/>
          <w:sz w:val="28"/>
        </w:rPr>
        <w:t> </w:t>
      </w:r>
      <w:r>
        <w:rPr>
          <w:sz w:val="28"/>
        </w:rPr>
        <w:t>Universal</w:t>
      </w:r>
      <w:r>
        <w:rPr>
          <w:spacing w:val="-1"/>
          <w:sz w:val="28"/>
        </w:rPr>
        <w:t> </w:t>
      </w:r>
      <w:r>
        <w:rPr>
          <w:sz w:val="28"/>
        </w:rPr>
        <w:t>Credit.</w:t>
      </w:r>
      <w:r>
        <w:rPr>
          <w:sz w:val="28"/>
          <w:vertAlign w:val="superscript"/>
        </w:rPr>
        <w:t>805</w:t>
      </w:r>
      <w:r>
        <w:rPr>
          <w:spacing w:val="40"/>
          <w:sz w:val="28"/>
          <w:vertAlign w:val="baseline"/>
        </w:rPr>
        <w:t> </w:t>
      </w:r>
      <w:r>
        <w:rPr>
          <w:sz w:val="28"/>
          <w:vertAlign w:val="baseline"/>
        </w:rPr>
        <w:t>In November 2023, the requirement to undertake an individual assessment for EU citizens with pre-settled status who apply for Universal Credit was upheld by the England and Wales Court of Appeal.</w:t>
      </w:r>
      <w:r>
        <w:rPr>
          <w:sz w:val="28"/>
          <w:vertAlign w:val="superscript"/>
        </w:rPr>
        <w:t>806</w:t>
      </w:r>
    </w:p>
    <w:p>
      <w:pPr>
        <w:pStyle w:val="ListParagraph"/>
        <w:numPr>
          <w:ilvl w:val="1"/>
          <w:numId w:val="13"/>
        </w:numPr>
        <w:tabs>
          <w:tab w:pos="1853" w:val="left" w:leader="none"/>
        </w:tabs>
        <w:spacing w:line="225" w:lineRule="auto" w:before="310" w:after="0"/>
        <w:ind w:left="1853" w:right="1430" w:hanging="720"/>
        <w:jc w:val="left"/>
        <w:rPr>
          <w:sz w:val="28"/>
        </w:rPr>
      </w:pPr>
      <w:r>
        <w:rPr>
          <w:sz w:val="28"/>
        </w:rPr>
        <w:t>In 2022, the High Court confirmed that applicants with pre-settled status have</w:t>
      </w:r>
      <w:r>
        <w:rPr>
          <w:spacing w:val="-6"/>
          <w:sz w:val="28"/>
        </w:rPr>
        <w:t> </w:t>
      </w:r>
      <w:r>
        <w:rPr>
          <w:sz w:val="28"/>
        </w:rPr>
        <w:t>the</w:t>
      </w:r>
      <w:r>
        <w:rPr>
          <w:spacing w:val="-6"/>
          <w:sz w:val="28"/>
        </w:rPr>
        <w:t> </w:t>
      </w:r>
      <w:r>
        <w:rPr>
          <w:sz w:val="28"/>
        </w:rPr>
        <w:t>right</w:t>
      </w:r>
      <w:r>
        <w:rPr>
          <w:spacing w:val="-6"/>
          <w:sz w:val="28"/>
        </w:rPr>
        <w:t> </w:t>
      </w:r>
      <w:r>
        <w:rPr>
          <w:sz w:val="28"/>
        </w:rPr>
        <w:t>to</w:t>
      </w:r>
      <w:r>
        <w:rPr>
          <w:spacing w:val="-7"/>
          <w:sz w:val="28"/>
        </w:rPr>
        <w:t> </w:t>
      </w:r>
      <w:r>
        <w:rPr>
          <w:sz w:val="28"/>
        </w:rPr>
        <w:t>reside</w:t>
      </w:r>
      <w:r>
        <w:rPr>
          <w:spacing w:val="-6"/>
          <w:sz w:val="28"/>
        </w:rPr>
        <w:t> </w:t>
      </w:r>
      <w:r>
        <w:rPr>
          <w:sz w:val="28"/>
        </w:rPr>
        <w:t>permanently</w:t>
      </w:r>
      <w:r>
        <w:rPr>
          <w:spacing w:val="-6"/>
          <w:sz w:val="28"/>
        </w:rPr>
        <w:t> </w:t>
      </w:r>
      <w:r>
        <w:rPr>
          <w:sz w:val="28"/>
        </w:rPr>
        <w:t>in</w:t>
      </w:r>
      <w:r>
        <w:rPr>
          <w:spacing w:val="-7"/>
          <w:sz w:val="28"/>
        </w:rPr>
        <w:t> </w:t>
      </w:r>
      <w:r>
        <w:rPr>
          <w:sz w:val="28"/>
        </w:rPr>
        <w:t>the</w:t>
      </w:r>
      <w:r>
        <w:rPr>
          <w:spacing w:val="-6"/>
          <w:sz w:val="28"/>
        </w:rPr>
        <w:t> </w:t>
      </w:r>
      <w:r>
        <w:rPr>
          <w:sz w:val="28"/>
        </w:rPr>
        <w:t>UK</w:t>
      </w:r>
      <w:r>
        <w:rPr>
          <w:spacing w:val="-6"/>
          <w:sz w:val="28"/>
        </w:rPr>
        <w:t> </w:t>
      </w:r>
      <w:r>
        <w:rPr>
          <w:sz w:val="28"/>
        </w:rPr>
        <w:t>after</w:t>
      </w:r>
      <w:r>
        <w:rPr>
          <w:spacing w:val="-6"/>
          <w:sz w:val="28"/>
        </w:rPr>
        <w:t> </w:t>
      </w:r>
      <w:r>
        <w:rPr>
          <w:sz w:val="28"/>
        </w:rPr>
        <w:t>they</w:t>
      </w:r>
      <w:r>
        <w:rPr>
          <w:spacing w:val="-6"/>
          <w:sz w:val="28"/>
        </w:rPr>
        <w:t> </w:t>
      </w:r>
      <w:r>
        <w:rPr>
          <w:sz w:val="28"/>
        </w:rPr>
        <w:t>have</w:t>
      </w:r>
      <w:r>
        <w:rPr>
          <w:spacing w:val="-6"/>
          <w:sz w:val="28"/>
        </w:rPr>
        <w:t> </w:t>
      </w:r>
      <w:r>
        <w:rPr>
          <w:sz w:val="28"/>
        </w:rPr>
        <w:t>resided</w:t>
      </w:r>
      <w:r>
        <w:rPr>
          <w:spacing w:val="-7"/>
          <w:sz w:val="28"/>
        </w:rPr>
        <w:t> </w:t>
      </w:r>
      <w:r>
        <w:rPr>
          <w:sz w:val="28"/>
        </w:rPr>
        <w:t>there for the required five-year period.</w:t>
      </w:r>
      <w:r>
        <w:rPr>
          <w:sz w:val="28"/>
          <w:vertAlign w:val="superscript"/>
        </w:rPr>
        <w:t>807</w:t>
      </w:r>
      <w:r>
        <w:rPr>
          <w:spacing w:val="40"/>
          <w:sz w:val="28"/>
          <w:vertAlign w:val="baseline"/>
        </w:rPr>
        <w:t> </w:t>
      </w:r>
      <w:r>
        <w:rPr>
          <w:sz w:val="28"/>
          <w:vertAlign w:val="baseline"/>
        </w:rPr>
        <w:t>In July 2023, the Home Office updated the</w:t>
      </w:r>
      <w:r>
        <w:rPr>
          <w:spacing w:val="-3"/>
          <w:sz w:val="28"/>
          <w:vertAlign w:val="baseline"/>
        </w:rPr>
        <w:t> </w:t>
      </w:r>
      <w:r>
        <w:rPr>
          <w:sz w:val="28"/>
          <w:vertAlign w:val="baseline"/>
        </w:rPr>
        <w:t>guidance</w:t>
      </w:r>
      <w:r>
        <w:rPr>
          <w:spacing w:val="-3"/>
          <w:sz w:val="28"/>
          <w:vertAlign w:val="baseline"/>
        </w:rPr>
        <w:t> </w:t>
      </w:r>
      <w:r>
        <w:rPr>
          <w:sz w:val="28"/>
          <w:vertAlign w:val="baseline"/>
        </w:rPr>
        <w:t>on</w:t>
      </w:r>
      <w:r>
        <w:rPr>
          <w:spacing w:val="-4"/>
          <w:sz w:val="28"/>
          <w:vertAlign w:val="baseline"/>
        </w:rPr>
        <w:t> </w:t>
      </w:r>
      <w:r>
        <w:rPr>
          <w:sz w:val="28"/>
          <w:vertAlign w:val="baseline"/>
        </w:rPr>
        <w:t>the</w:t>
      </w:r>
      <w:r>
        <w:rPr>
          <w:spacing w:val="-3"/>
          <w:sz w:val="28"/>
          <w:vertAlign w:val="baseline"/>
        </w:rPr>
        <w:t> </w:t>
      </w:r>
      <w:r>
        <w:rPr>
          <w:sz w:val="28"/>
          <w:vertAlign w:val="baseline"/>
        </w:rPr>
        <w:t>EU</w:t>
      </w:r>
      <w:r>
        <w:rPr>
          <w:spacing w:val="-3"/>
          <w:sz w:val="28"/>
          <w:vertAlign w:val="baseline"/>
        </w:rPr>
        <w:t> </w:t>
      </w:r>
      <w:r>
        <w:rPr>
          <w:sz w:val="28"/>
          <w:vertAlign w:val="baseline"/>
        </w:rPr>
        <w:t>Settlement</w:t>
      </w:r>
      <w:r>
        <w:rPr>
          <w:spacing w:val="-3"/>
          <w:sz w:val="28"/>
          <w:vertAlign w:val="baseline"/>
        </w:rPr>
        <w:t> </w:t>
      </w:r>
      <w:r>
        <w:rPr>
          <w:sz w:val="28"/>
          <w:vertAlign w:val="baseline"/>
        </w:rPr>
        <w:t>Scheme</w:t>
      </w:r>
      <w:r>
        <w:rPr>
          <w:spacing w:val="-3"/>
          <w:sz w:val="28"/>
          <w:vertAlign w:val="baseline"/>
        </w:rPr>
        <w:t> </w:t>
      </w:r>
      <w:r>
        <w:rPr>
          <w:sz w:val="28"/>
          <w:vertAlign w:val="baseline"/>
        </w:rPr>
        <w:t>and</w:t>
      </w:r>
      <w:r>
        <w:rPr>
          <w:spacing w:val="-4"/>
          <w:sz w:val="28"/>
          <w:vertAlign w:val="baseline"/>
        </w:rPr>
        <w:t> </w:t>
      </w:r>
      <w:r>
        <w:rPr>
          <w:sz w:val="28"/>
          <w:vertAlign w:val="baseline"/>
        </w:rPr>
        <w:t>confirmed</w:t>
      </w:r>
      <w:r>
        <w:rPr>
          <w:spacing w:val="-4"/>
          <w:sz w:val="28"/>
          <w:vertAlign w:val="baseline"/>
        </w:rPr>
        <w:t> </w:t>
      </w:r>
      <w:r>
        <w:rPr>
          <w:sz w:val="28"/>
          <w:vertAlign w:val="baseline"/>
        </w:rPr>
        <w:t>that</w:t>
      </w:r>
      <w:r>
        <w:rPr>
          <w:spacing w:val="-3"/>
          <w:sz w:val="28"/>
          <w:vertAlign w:val="baseline"/>
        </w:rPr>
        <w:t> </w:t>
      </w:r>
      <w:r>
        <w:rPr>
          <w:sz w:val="28"/>
          <w:vertAlign w:val="baseline"/>
        </w:rPr>
        <w:t>people</w:t>
      </w:r>
      <w:r>
        <w:rPr>
          <w:spacing w:val="-3"/>
          <w:sz w:val="28"/>
          <w:vertAlign w:val="baseline"/>
        </w:rPr>
        <w:t> </w:t>
      </w:r>
      <w:r>
        <w:rPr>
          <w:sz w:val="28"/>
          <w:vertAlign w:val="baseline"/>
        </w:rPr>
        <w:t>with pre-settled status under the EU Settlement Scheme will automatically have their status extended by two years before it expires.</w:t>
      </w:r>
      <w:r>
        <w:rPr>
          <w:sz w:val="28"/>
          <w:vertAlign w:val="superscript"/>
        </w:rPr>
        <w:t>808</w:t>
      </w:r>
      <w:r>
        <w:rPr>
          <w:sz w:val="28"/>
          <w:vertAlign w:val="baseline"/>
        </w:rPr>
        <w:t> This extension will</w:t>
      </w:r>
      <w:r>
        <w:rPr>
          <w:sz w:val="28"/>
          <w:vertAlign w:val="baseline"/>
        </w:rPr>
        <w:t> be automated, the applicant will be notified and it will be reflected on their digital status. In addition, from 2024, the Home Office has committed to</w:t>
      </w:r>
    </w:p>
    <w:p>
      <w:pPr>
        <w:pStyle w:val="BodyText"/>
        <w:spacing w:line="225" w:lineRule="auto"/>
        <w:ind w:left="1853" w:right="1171"/>
      </w:pPr>
      <w:r>
        <w:rPr/>
        <w:t>automatically</w:t>
      </w:r>
      <w:r>
        <w:rPr>
          <w:spacing w:val="-10"/>
        </w:rPr>
        <w:t> </w:t>
      </w:r>
      <w:r>
        <w:rPr/>
        <w:t>convert</w:t>
      </w:r>
      <w:r>
        <w:rPr>
          <w:spacing w:val="-10"/>
        </w:rPr>
        <w:t> </w:t>
      </w:r>
      <w:r>
        <w:rPr/>
        <w:t>applicants</w:t>
      </w:r>
      <w:r>
        <w:rPr>
          <w:spacing w:val="-11"/>
        </w:rPr>
        <w:t> </w:t>
      </w:r>
      <w:r>
        <w:rPr/>
        <w:t>from</w:t>
      </w:r>
      <w:r>
        <w:rPr>
          <w:spacing w:val="-10"/>
        </w:rPr>
        <w:t> </w:t>
      </w:r>
      <w:r>
        <w:rPr/>
        <w:t>pre-settled</w:t>
      </w:r>
      <w:r>
        <w:rPr>
          <w:spacing w:val="-11"/>
        </w:rPr>
        <w:t> </w:t>
      </w:r>
      <w:r>
        <w:rPr/>
        <w:t>to</w:t>
      </w:r>
      <w:r>
        <w:rPr>
          <w:spacing w:val="-11"/>
        </w:rPr>
        <w:t> </w:t>
      </w:r>
      <w:r>
        <w:rPr/>
        <w:t>settled</w:t>
      </w:r>
      <w:r>
        <w:rPr>
          <w:spacing w:val="-11"/>
        </w:rPr>
        <w:t> </w:t>
      </w:r>
      <w:r>
        <w:rPr/>
        <w:t>status,</w:t>
      </w:r>
      <w:r>
        <w:rPr>
          <w:spacing w:val="-10"/>
        </w:rPr>
        <w:t> </w:t>
      </w:r>
      <w:r>
        <w:rPr/>
        <w:t>if</w:t>
      </w:r>
      <w:r>
        <w:rPr>
          <w:spacing w:val="-11"/>
        </w:rPr>
        <w:t> </w:t>
      </w:r>
      <w:r>
        <w:rPr/>
        <w:t>they</w:t>
      </w:r>
      <w:r>
        <w:rPr>
          <w:spacing w:val="-10"/>
        </w:rPr>
        <w:t> </w:t>
      </w:r>
      <w:r>
        <w:rPr/>
        <w:t>are eligible.</w:t>
      </w:r>
      <w:r>
        <w:rPr>
          <w:vertAlign w:val="superscript"/>
        </w:rPr>
        <w:t>809</w:t>
      </w:r>
      <w:r>
        <w:rPr>
          <w:spacing w:val="40"/>
          <w:vertAlign w:val="baseline"/>
        </w:rPr>
        <w:t> </w:t>
      </w:r>
      <w:r>
        <w:rPr>
          <w:vertAlign w:val="baseline"/>
        </w:rPr>
        <w:t>The Independent Monitoring Authority expressed concern about the implementation of the High Court’s judgment and will continue to seek assurance from the Home Office that action will be taken.</w:t>
      </w:r>
      <w:r>
        <w:rPr>
          <w:vertAlign w:val="superscript"/>
        </w:rPr>
        <w:t>810</w:t>
      </w:r>
    </w:p>
    <w:p>
      <w:pPr>
        <w:pStyle w:val="Heading5"/>
        <w:spacing w:before="289"/>
        <w:ind w:left="1133" w:firstLine="0"/>
      </w:pPr>
      <w:bookmarkStart w:name="Late Applications " w:id="122"/>
      <w:bookmarkEnd w:id="122"/>
      <w:r>
        <w:rPr>
          <w:b w:val="0"/>
        </w:rPr>
      </w:r>
      <w:r>
        <w:rPr>
          <w:color w:val="393B80"/>
        </w:rPr>
        <w:t>Late</w:t>
      </w:r>
      <w:r>
        <w:rPr>
          <w:color w:val="393B80"/>
          <w:spacing w:val="-10"/>
        </w:rPr>
        <w:t> </w:t>
      </w:r>
      <w:r>
        <w:rPr>
          <w:color w:val="393B80"/>
          <w:spacing w:val="-2"/>
        </w:rPr>
        <w:t>Applications</w:t>
      </w:r>
    </w:p>
    <w:p>
      <w:pPr>
        <w:pStyle w:val="ListParagraph"/>
        <w:numPr>
          <w:ilvl w:val="1"/>
          <w:numId w:val="13"/>
        </w:numPr>
        <w:tabs>
          <w:tab w:pos="1853" w:val="left" w:leader="none"/>
        </w:tabs>
        <w:spacing w:line="225" w:lineRule="auto" w:before="330" w:after="0"/>
        <w:ind w:left="1853" w:right="1225" w:hanging="720"/>
        <w:jc w:val="left"/>
        <w:rPr>
          <w:sz w:val="28"/>
        </w:rPr>
      </w:pPr>
      <w:r>
        <w:rPr>
          <w:sz w:val="28"/>
        </w:rPr>
        <w:t>The</w:t>
      </w:r>
      <w:r>
        <w:rPr>
          <w:spacing w:val="-5"/>
          <w:sz w:val="28"/>
        </w:rPr>
        <w:t> </w:t>
      </w:r>
      <w:r>
        <w:rPr>
          <w:sz w:val="28"/>
        </w:rPr>
        <w:t>deadline</w:t>
      </w:r>
      <w:r>
        <w:rPr>
          <w:spacing w:val="-5"/>
          <w:sz w:val="28"/>
        </w:rPr>
        <w:t> </w:t>
      </w:r>
      <w:r>
        <w:rPr>
          <w:sz w:val="28"/>
        </w:rPr>
        <w:t>for</w:t>
      </w:r>
      <w:r>
        <w:rPr>
          <w:spacing w:val="-5"/>
          <w:sz w:val="28"/>
        </w:rPr>
        <w:t> </w:t>
      </w:r>
      <w:r>
        <w:rPr>
          <w:sz w:val="28"/>
        </w:rPr>
        <w:t>applications</w:t>
      </w:r>
      <w:r>
        <w:rPr>
          <w:spacing w:val="-6"/>
          <w:sz w:val="28"/>
        </w:rPr>
        <w:t> </w:t>
      </w:r>
      <w:r>
        <w:rPr>
          <w:sz w:val="28"/>
        </w:rPr>
        <w:t>to</w:t>
      </w:r>
      <w:r>
        <w:rPr>
          <w:spacing w:val="-6"/>
          <w:sz w:val="28"/>
        </w:rPr>
        <w:t> </w:t>
      </w:r>
      <w:r>
        <w:rPr>
          <w:sz w:val="28"/>
        </w:rPr>
        <w:t>the</w:t>
      </w:r>
      <w:r>
        <w:rPr>
          <w:spacing w:val="-5"/>
          <w:sz w:val="28"/>
        </w:rPr>
        <w:t> </w:t>
      </w:r>
      <w:r>
        <w:rPr>
          <w:sz w:val="28"/>
        </w:rPr>
        <w:t>EU</w:t>
      </w:r>
      <w:r>
        <w:rPr>
          <w:spacing w:val="-5"/>
          <w:sz w:val="28"/>
        </w:rPr>
        <w:t> </w:t>
      </w:r>
      <w:r>
        <w:rPr>
          <w:sz w:val="28"/>
        </w:rPr>
        <w:t>Settlement</w:t>
      </w:r>
      <w:r>
        <w:rPr>
          <w:spacing w:val="-5"/>
          <w:sz w:val="28"/>
        </w:rPr>
        <w:t> </w:t>
      </w:r>
      <w:r>
        <w:rPr>
          <w:sz w:val="28"/>
        </w:rPr>
        <w:t>Scheme</w:t>
      </w:r>
      <w:r>
        <w:rPr>
          <w:spacing w:val="-5"/>
          <w:sz w:val="28"/>
        </w:rPr>
        <w:t> </w:t>
      </w:r>
      <w:r>
        <w:rPr>
          <w:sz w:val="28"/>
        </w:rPr>
        <w:t>was</w:t>
      </w:r>
      <w:r>
        <w:rPr>
          <w:spacing w:val="-6"/>
          <w:sz w:val="28"/>
        </w:rPr>
        <w:t> </w:t>
      </w:r>
      <w:r>
        <w:rPr>
          <w:sz w:val="28"/>
        </w:rPr>
        <w:t>30</w:t>
      </w:r>
      <w:r>
        <w:rPr>
          <w:spacing w:val="-5"/>
          <w:sz w:val="28"/>
        </w:rPr>
        <w:t> </w:t>
      </w:r>
      <w:r>
        <w:rPr>
          <w:sz w:val="28"/>
        </w:rPr>
        <w:t>June</w:t>
      </w:r>
      <w:r>
        <w:rPr>
          <w:spacing w:val="-5"/>
          <w:sz w:val="28"/>
        </w:rPr>
        <w:t> </w:t>
      </w:r>
      <w:r>
        <w:rPr>
          <w:sz w:val="28"/>
        </w:rPr>
        <w:t>2021. The UK Government confirmed that late applications would be accepted where there are reasonable grounds for failing to meet the deadline.</w:t>
      </w:r>
      <w:r>
        <w:rPr>
          <w:sz w:val="28"/>
          <w:vertAlign w:val="superscript"/>
        </w:rPr>
        <w:t>811</w:t>
      </w:r>
      <w:r>
        <w:rPr>
          <w:sz w:val="28"/>
          <w:vertAlign w:val="baseline"/>
        </w:rPr>
        <w:t> In</w:t>
      </w:r>
    </w:p>
    <w:p>
      <w:pPr>
        <w:pStyle w:val="BodyText"/>
        <w:spacing w:line="225" w:lineRule="auto"/>
        <w:ind w:left="1853" w:right="1171"/>
      </w:pPr>
      <w:r>
        <w:rPr/>
        <w:t>July</w:t>
      </w:r>
      <w:r>
        <w:rPr>
          <w:spacing w:val="-6"/>
        </w:rPr>
        <w:t> </w:t>
      </w:r>
      <w:r>
        <w:rPr/>
        <w:t>2023,</w:t>
      </w:r>
      <w:r>
        <w:rPr>
          <w:spacing w:val="-6"/>
        </w:rPr>
        <w:t> </w:t>
      </w:r>
      <w:r>
        <w:rPr/>
        <w:t>the</w:t>
      </w:r>
      <w:r>
        <w:rPr>
          <w:spacing w:val="-6"/>
        </w:rPr>
        <w:t> </w:t>
      </w:r>
      <w:r>
        <w:rPr/>
        <w:t>Home</w:t>
      </w:r>
      <w:r>
        <w:rPr>
          <w:spacing w:val="-6"/>
        </w:rPr>
        <w:t> </w:t>
      </w:r>
      <w:r>
        <w:rPr/>
        <w:t>Office</w:t>
      </w:r>
      <w:r>
        <w:rPr>
          <w:spacing w:val="-6"/>
        </w:rPr>
        <w:t> </w:t>
      </w:r>
      <w:r>
        <w:rPr/>
        <w:t>announced</w:t>
      </w:r>
      <w:r>
        <w:rPr>
          <w:spacing w:val="-6"/>
        </w:rPr>
        <w:t> </w:t>
      </w:r>
      <w:r>
        <w:rPr/>
        <w:t>changes</w:t>
      </w:r>
      <w:r>
        <w:rPr>
          <w:spacing w:val="-6"/>
        </w:rPr>
        <w:t> </w:t>
      </w:r>
      <w:r>
        <w:rPr/>
        <w:t>to</w:t>
      </w:r>
      <w:r>
        <w:rPr>
          <w:spacing w:val="-6"/>
        </w:rPr>
        <w:t> </w:t>
      </w:r>
      <w:r>
        <w:rPr/>
        <w:t>the</w:t>
      </w:r>
      <w:r>
        <w:rPr>
          <w:spacing w:val="-6"/>
        </w:rPr>
        <w:t> </w:t>
      </w:r>
      <w:r>
        <w:rPr/>
        <w:t>EU</w:t>
      </w:r>
      <w:r>
        <w:rPr>
          <w:spacing w:val="-6"/>
        </w:rPr>
        <w:t> </w:t>
      </w:r>
      <w:r>
        <w:rPr/>
        <w:t>Settlement</w:t>
      </w:r>
      <w:r>
        <w:rPr>
          <w:spacing w:val="-6"/>
        </w:rPr>
        <w:t> </w:t>
      </w:r>
      <w:r>
        <w:rPr/>
        <w:t>Scheme application process regarding late applications. The new guidelines stipulate that previously accepted reasonable grounds for late applications, such as serious illness or undergoing significant medical treatment, will no longer</w:t>
      </w:r>
    </w:p>
    <w:p>
      <w:pPr>
        <w:pStyle w:val="BodyText"/>
        <w:spacing w:line="225" w:lineRule="auto"/>
        <w:ind w:left="1853" w:right="1171"/>
      </w:pPr>
      <w:r>
        <w:rPr/>
        <w:t>be</w:t>
      </w:r>
      <w:r>
        <w:rPr>
          <w:spacing w:val="-10"/>
        </w:rPr>
        <w:t> </w:t>
      </w:r>
      <w:r>
        <w:rPr/>
        <w:t>considered.</w:t>
      </w:r>
      <w:r>
        <w:rPr>
          <w:vertAlign w:val="superscript"/>
        </w:rPr>
        <w:t>812</w:t>
      </w:r>
      <w:r>
        <w:rPr>
          <w:spacing w:val="-11"/>
          <w:vertAlign w:val="baseline"/>
        </w:rPr>
        <w:t> </w:t>
      </w:r>
      <w:r>
        <w:rPr>
          <w:vertAlign w:val="baseline"/>
        </w:rPr>
        <w:t>Further,</w:t>
      </w:r>
      <w:r>
        <w:rPr>
          <w:spacing w:val="-10"/>
          <w:vertAlign w:val="baseline"/>
        </w:rPr>
        <w:t> </w:t>
      </w:r>
      <w:r>
        <w:rPr>
          <w:vertAlign w:val="baseline"/>
        </w:rPr>
        <w:t>an</w:t>
      </w:r>
      <w:r>
        <w:rPr>
          <w:spacing w:val="-11"/>
          <w:vertAlign w:val="baseline"/>
        </w:rPr>
        <w:t> </w:t>
      </w:r>
      <w:r>
        <w:rPr>
          <w:vertAlign w:val="baseline"/>
        </w:rPr>
        <w:t>applicant</w:t>
      </w:r>
      <w:r>
        <w:rPr>
          <w:spacing w:val="-10"/>
          <w:vertAlign w:val="baseline"/>
        </w:rPr>
        <w:t> </w:t>
      </w:r>
      <w:r>
        <w:rPr>
          <w:vertAlign w:val="baseline"/>
        </w:rPr>
        <w:t>who</w:t>
      </w:r>
      <w:r>
        <w:rPr>
          <w:spacing w:val="-11"/>
          <w:vertAlign w:val="baseline"/>
        </w:rPr>
        <w:t> </w:t>
      </w:r>
      <w:r>
        <w:rPr>
          <w:vertAlign w:val="baseline"/>
        </w:rPr>
        <w:t>has</w:t>
      </w:r>
      <w:r>
        <w:rPr>
          <w:spacing w:val="-11"/>
          <w:vertAlign w:val="baseline"/>
        </w:rPr>
        <w:t> </w:t>
      </w:r>
      <w:r>
        <w:rPr>
          <w:vertAlign w:val="baseline"/>
        </w:rPr>
        <w:t>had</w:t>
      </w:r>
      <w:r>
        <w:rPr>
          <w:spacing w:val="-11"/>
          <w:vertAlign w:val="baseline"/>
        </w:rPr>
        <w:t> </w:t>
      </w:r>
      <w:r>
        <w:rPr>
          <w:vertAlign w:val="baseline"/>
        </w:rPr>
        <w:t>an</w:t>
      </w:r>
      <w:r>
        <w:rPr>
          <w:spacing w:val="-11"/>
          <w:vertAlign w:val="baseline"/>
        </w:rPr>
        <w:t> </w:t>
      </w:r>
      <w:r>
        <w:rPr>
          <w:vertAlign w:val="baseline"/>
        </w:rPr>
        <w:t>in-time</w:t>
      </w:r>
      <w:r>
        <w:rPr>
          <w:spacing w:val="-10"/>
          <w:vertAlign w:val="baseline"/>
        </w:rPr>
        <w:t> </w:t>
      </w:r>
      <w:r>
        <w:rPr>
          <w:vertAlign w:val="baseline"/>
        </w:rPr>
        <w:t>application refused will not be able to make a late application based on reasonable grounds for delay.</w:t>
      </w:r>
      <w:r>
        <w:rPr>
          <w:vertAlign w:val="superscript"/>
        </w:rPr>
        <w:t>813</w:t>
      </w:r>
    </w:p>
    <w:p>
      <w:pPr>
        <w:pStyle w:val="BodyText"/>
        <w:spacing w:before="4"/>
        <w:rPr>
          <w:sz w:val="8"/>
        </w:rPr>
      </w:pPr>
      <w:r>
        <w:rPr/>
        <mc:AlternateContent>
          <mc:Choice Requires="wps">
            <w:drawing>
              <wp:anchor distT="0" distB="0" distL="0" distR="0" allowOverlap="1" layoutInCell="1" locked="0" behindDoc="1" simplePos="0" relativeHeight="487720448">
                <wp:simplePos x="0" y="0"/>
                <wp:positionH relativeFrom="page">
                  <wp:posOffset>719996</wp:posOffset>
                </wp:positionH>
                <wp:positionV relativeFrom="paragraph">
                  <wp:posOffset>80064</wp:posOffset>
                </wp:positionV>
                <wp:extent cx="6120130" cy="1270"/>
                <wp:effectExtent l="0" t="0" r="0" b="0"/>
                <wp:wrapTopAndBottom/>
                <wp:docPr id="600" name="Graphic 600"/>
                <wp:cNvGraphicFramePr>
                  <a:graphicFrameLocks/>
                </wp:cNvGraphicFramePr>
                <a:graphic>
                  <a:graphicData uri="http://schemas.microsoft.com/office/word/2010/wordprocessingShape">
                    <wps:wsp>
                      <wps:cNvPr id="600" name="Graphic 60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6.304319pt;width:481.9pt;height:.1pt;mso-position-horizontal-relative:page;mso-position-vertical-relative:paragraph;z-index:-15596032;mso-wrap-distance-left:0;mso-wrap-distance-right:0" id="docshape544" coordorigin="1134,126" coordsize="9638,0" path="m10772,126l1134,126e" filled="false" stroked="true" strokeweight="1pt" strokecolor="#393b80">
                <v:path arrowok="t"/>
                <v:stroke dashstyle="solid"/>
                <w10:wrap type="topAndBottom"/>
              </v:shape>
            </w:pict>
          </mc:Fallback>
        </mc:AlternateContent>
      </w:r>
    </w:p>
    <w:p>
      <w:pPr>
        <w:pStyle w:val="ListParagraph"/>
        <w:numPr>
          <w:ilvl w:val="0"/>
          <w:numId w:val="11"/>
        </w:numPr>
        <w:tabs>
          <w:tab w:pos="1853" w:val="left" w:leader="none"/>
        </w:tabs>
        <w:spacing w:line="218" w:lineRule="exact" w:before="122" w:after="0"/>
        <w:ind w:left="1853" w:right="0" w:hanging="720"/>
        <w:jc w:val="left"/>
        <w:rPr>
          <w:sz w:val="18"/>
        </w:rPr>
      </w:pPr>
      <w:r>
        <w:rPr>
          <w:sz w:val="18"/>
        </w:rPr>
        <w:t>Law</w:t>
      </w:r>
      <w:r>
        <w:rPr>
          <w:spacing w:val="-4"/>
          <w:sz w:val="18"/>
        </w:rPr>
        <w:t> </w:t>
      </w:r>
      <w:r>
        <w:rPr>
          <w:sz w:val="18"/>
        </w:rPr>
        <w:t>Centre</w:t>
      </w:r>
      <w:r>
        <w:rPr>
          <w:spacing w:val="-4"/>
          <w:sz w:val="18"/>
        </w:rPr>
        <w:t> </w:t>
      </w:r>
      <w:r>
        <w:rPr>
          <w:sz w:val="18"/>
        </w:rPr>
        <w:t>NI,</w:t>
      </w:r>
      <w:r>
        <w:rPr>
          <w:spacing w:val="-4"/>
          <w:sz w:val="18"/>
        </w:rPr>
        <w:t> </w:t>
      </w:r>
      <w:r>
        <w:rPr>
          <w:sz w:val="18"/>
        </w:rPr>
        <w:t>‘Press</w:t>
      </w:r>
      <w:r>
        <w:rPr>
          <w:spacing w:val="-5"/>
          <w:sz w:val="18"/>
        </w:rPr>
        <w:t> </w:t>
      </w:r>
      <w:r>
        <w:rPr>
          <w:sz w:val="18"/>
        </w:rPr>
        <w:t>release:</w:t>
      </w:r>
      <w:r>
        <w:rPr>
          <w:spacing w:val="-4"/>
          <w:sz w:val="18"/>
        </w:rPr>
        <w:t> </w:t>
      </w:r>
      <w:r>
        <w:rPr>
          <w:sz w:val="18"/>
        </w:rPr>
        <w:t>Positive</w:t>
      </w:r>
      <w:r>
        <w:rPr>
          <w:spacing w:val="-4"/>
          <w:sz w:val="18"/>
        </w:rPr>
        <w:t> </w:t>
      </w:r>
      <w:r>
        <w:rPr>
          <w:sz w:val="18"/>
        </w:rPr>
        <w:t>change</w:t>
      </w:r>
      <w:r>
        <w:rPr>
          <w:spacing w:val="-4"/>
          <w:sz w:val="18"/>
        </w:rPr>
        <w:t> </w:t>
      </w:r>
      <w:r>
        <w:rPr>
          <w:sz w:val="18"/>
        </w:rPr>
        <w:t>in</w:t>
      </w:r>
      <w:r>
        <w:rPr>
          <w:spacing w:val="-5"/>
          <w:sz w:val="18"/>
        </w:rPr>
        <w:t> </w:t>
      </w:r>
      <w:r>
        <w:rPr>
          <w:sz w:val="18"/>
        </w:rPr>
        <w:t>social</w:t>
      </w:r>
      <w:r>
        <w:rPr>
          <w:spacing w:val="-5"/>
          <w:sz w:val="18"/>
        </w:rPr>
        <w:t> </w:t>
      </w:r>
      <w:r>
        <w:rPr>
          <w:sz w:val="18"/>
        </w:rPr>
        <w:t>security</w:t>
      </w:r>
      <w:r>
        <w:rPr>
          <w:spacing w:val="-4"/>
          <w:sz w:val="18"/>
        </w:rPr>
        <w:t> </w:t>
      </w:r>
      <w:r>
        <w:rPr>
          <w:sz w:val="18"/>
        </w:rPr>
        <w:t>policy’,</w:t>
      </w:r>
      <w:r>
        <w:rPr>
          <w:spacing w:val="-4"/>
          <w:sz w:val="18"/>
        </w:rPr>
        <w:t> </w:t>
      </w:r>
      <w:r>
        <w:rPr>
          <w:sz w:val="18"/>
        </w:rPr>
        <w:t>25</w:t>
      </w:r>
      <w:r>
        <w:rPr>
          <w:spacing w:val="-3"/>
          <w:sz w:val="18"/>
        </w:rPr>
        <w:t> </w:t>
      </w:r>
      <w:r>
        <w:rPr>
          <w:sz w:val="18"/>
        </w:rPr>
        <w:t>May</w:t>
      </w:r>
      <w:r>
        <w:rPr>
          <w:spacing w:val="-4"/>
          <w:sz w:val="18"/>
        </w:rPr>
        <w:t> </w:t>
      </w:r>
      <w:r>
        <w:rPr>
          <w:spacing w:val="-2"/>
          <w:sz w:val="18"/>
        </w:rPr>
        <w:t>2023.</w:t>
      </w:r>
    </w:p>
    <w:p>
      <w:pPr>
        <w:pStyle w:val="ListParagraph"/>
        <w:numPr>
          <w:ilvl w:val="0"/>
          <w:numId w:val="11"/>
        </w:numPr>
        <w:tabs>
          <w:tab w:pos="1853" w:val="left" w:leader="none"/>
        </w:tabs>
        <w:spacing w:line="216" w:lineRule="exact" w:before="0" w:after="0"/>
        <w:ind w:left="1853" w:right="0" w:hanging="720"/>
        <w:jc w:val="left"/>
        <w:rPr>
          <w:sz w:val="18"/>
        </w:rPr>
      </w:pPr>
      <w:r>
        <w:rPr>
          <w:i/>
          <w:sz w:val="18"/>
        </w:rPr>
        <w:t>Secretary</w:t>
      </w:r>
      <w:r>
        <w:rPr>
          <w:i/>
          <w:spacing w:val="-8"/>
          <w:sz w:val="18"/>
        </w:rPr>
        <w:t> </w:t>
      </w:r>
      <w:r>
        <w:rPr>
          <w:i/>
          <w:sz w:val="18"/>
        </w:rPr>
        <w:t>of</w:t>
      </w:r>
      <w:r>
        <w:rPr>
          <w:i/>
          <w:spacing w:val="-5"/>
          <w:sz w:val="18"/>
        </w:rPr>
        <w:t> </w:t>
      </w:r>
      <w:r>
        <w:rPr>
          <w:i/>
          <w:sz w:val="18"/>
        </w:rPr>
        <w:t>State</w:t>
      </w:r>
      <w:r>
        <w:rPr>
          <w:i/>
          <w:spacing w:val="-4"/>
          <w:sz w:val="18"/>
        </w:rPr>
        <w:t> </w:t>
      </w:r>
      <w:r>
        <w:rPr>
          <w:i/>
          <w:sz w:val="18"/>
        </w:rPr>
        <w:t>for</w:t>
      </w:r>
      <w:r>
        <w:rPr>
          <w:i/>
          <w:spacing w:val="-4"/>
          <w:sz w:val="18"/>
        </w:rPr>
        <w:t> </w:t>
      </w:r>
      <w:r>
        <w:rPr>
          <w:i/>
          <w:sz w:val="18"/>
        </w:rPr>
        <w:t>Work</w:t>
      </w:r>
      <w:r>
        <w:rPr>
          <w:i/>
          <w:spacing w:val="-5"/>
          <w:sz w:val="18"/>
        </w:rPr>
        <w:t> </w:t>
      </w:r>
      <w:r>
        <w:rPr>
          <w:i/>
          <w:sz w:val="18"/>
        </w:rPr>
        <w:t>and</w:t>
      </w:r>
      <w:r>
        <w:rPr>
          <w:i/>
          <w:spacing w:val="-5"/>
          <w:sz w:val="18"/>
        </w:rPr>
        <w:t> </w:t>
      </w:r>
      <w:r>
        <w:rPr>
          <w:i/>
          <w:sz w:val="18"/>
        </w:rPr>
        <w:t>Pensions</w:t>
      </w:r>
      <w:r>
        <w:rPr>
          <w:i/>
          <w:spacing w:val="-5"/>
          <w:sz w:val="18"/>
        </w:rPr>
        <w:t> </w:t>
      </w:r>
      <w:r>
        <w:rPr>
          <w:i/>
          <w:sz w:val="18"/>
        </w:rPr>
        <w:t>v</w:t>
      </w:r>
      <w:r>
        <w:rPr>
          <w:i/>
          <w:spacing w:val="-4"/>
          <w:sz w:val="18"/>
        </w:rPr>
        <w:t> </w:t>
      </w:r>
      <w:r>
        <w:rPr>
          <w:i/>
          <w:sz w:val="18"/>
        </w:rPr>
        <w:t>AT</w:t>
      </w:r>
      <w:r>
        <w:rPr>
          <w:i/>
          <w:spacing w:val="-6"/>
          <w:sz w:val="18"/>
        </w:rPr>
        <w:t> </w:t>
      </w:r>
      <w:r>
        <w:rPr>
          <w:sz w:val="18"/>
        </w:rPr>
        <w:t>[2023]</w:t>
      </w:r>
      <w:r>
        <w:rPr>
          <w:spacing w:val="-4"/>
          <w:sz w:val="18"/>
        </w:rPr>
        <w:t> </w:t>
      </w:r>
      <w:r>
        <w:rPr>
          <w:sz w:val="18"/>
        </w:rPr>
        <w:t>EWCA</w:t>
      </w:r>
      <w:r>
        <w:rPr>
          <w:spacing w:val="-4"/>
          <w:sz w:val="18"/>
        </w:rPr>
        <w:t> </w:t>
      </w:r>
      <w:r>
        <w:rPr>
          <w:sz w:val="18"/>
        </w:rPr>
        <w:t>Civ</w:t>
      </w:r>
      <w:r>
        <w:rPr>
          <w:spacing w:val="-4"/>
          <w:sz w:val="18"/>
        </w:rPr>
        <w:t> </w:t>
      </w:r>
      <w:r>
        <w:rPr>
          <w:spacing w:val="-2"/>
          <w:sz w:val="18"/>
        </w:rPr>
        <w:t>1307.</w:t>
      </w:r>
    </w:p>
    <w:p>
      <w:pPr>
        <w:pStyle w:val="ListParagraph"/>
        <w:numPr>
          <w:ilvl w:val="0"/>
          <w:numId w:val="11"/>
        </w:numPr>
        <w:tabs>
          <w:tab w:pos="1853" w:val="left" w:leader="none"/>
        </w:tabs>
        <w:spacing w:line="235" w:lineRule="auto" w:before="1" w:after="0"/>
        <w:ind w:left="1853" w:right="1254" w:hanging="720"/>
        <w:jc w:val="left"/>
        <w:rPr>
          <w:sz w:val="18"/>
        </w:rPr>
      </w:pPr>
      <w:r>
        <w:rPr>
          <w:i/>
          <w:sz w:val="18"/>
        </w:rPr>
        <w:t>R</w:t>
      </w:r>
      <w:r>
        <w:rPr>
          <w:i/>
          <w:spacing w:val="-3"/>
          <w:sz w:val="18"/>
        </w:rPr>
        <w:t> </w:t>
      </w:r>
      <w:r>
        <w:rPr>
          <w:i/>
          <w:sz w:val="18"/>
        </w:rPr>
        <w:t>(Independent</w:t>
      </w:r>
      <w:r>
        <w:rPr>
          <w:i/>
          <w:spacing w:val="-3"/>
          <w:sz w:val="18"/>
        </w:rPr>
        <w:t> </w:t>
      </w:r>
      <w:r>
        <w:rPr>
          <w:i/>
          <w:sz w:val="18"/>
        </w:rPr>
        <w:t>Monitoring</w:t>
      </w:r>
      <w:r>
        <w:rPr>
          <w:i/>
          <w:spacing w:val="-4"/>
          <w:sz w:val="18"/>
        </w:rPr>
        <w:t> </w:t>
      </w:r>
      <w:r>
        <w:rPr>
          <w:i/>
          <w:sz w:val="18"/>
        </w:rPr>
        <w:t>Authority</w:t>
      </w:r>
      <w:r>
        <w:rPr>
          <w:i/>
          <w:spacing w:val="-4"/>
          <w:sz w:val="18"/>
        </w:rPr>
        <w:t> </w:t>
      </w:r>
      <w:r>
        <w:rPr>
          <w:i/>
          <w:sz w:val="18"/>
        </w:rPr>
        <w:t>for</w:t>
      </w:r>
      <w:r>
        <w:rPr>
          <w:i/>
          <w:spacing w:val="-3"/>
          <w:sz w:val="18"/>
        </w:rPr>
        <w:t> </w:t>
      </w:r>
      <w:r>
        <w:rPr>
          <w:i/>
          <w:sz w:val="18"/>
        </w:rPr>
        <w:t>the</w:t>
      </w:r>
      <w:r>
        <w:rPr>
          <w:i/>
          <w:spacing w:val="-3"/>
          <w:sz w:val="18"/>
        </w:rPr>
        <w:t> </w:t>
      </w:r>
      <w:r>
        <w:rPr>
          <w:i/>
          <w:sz w:val="18"/>
        </w:rPr>
        <w:t>Citizens’</w:t>
      </w:r>
      <w:r>
        <w:rPr>
          <w:i/>
          <w:spacing w:val="-3"/>
          <w:sz w:val="18"/>
        </w:rPr>
        <w:t> </w:t>
      </w:r>
      <w:r>
        <w:rPr>
          <w:i/>
          <w:sz w:val="18"/>
        </w:rPr>
        <w:t>Rights)</w:t>
      </w:r>
      <w:r>
        <w:rPr>
          <w:i/>
          <w:spacing w:val="-4"/>
          <w:sz w:val="18"/>
        </w:rPr>
        <w:t> </w:t>
      </w:r>
      <w:r>
        <w:rPr>
          <w:i/>
          <w:sz w:val="18"/>
        </w:rPr>
        <w:t>v</w:t>
      </w:r>
      <w:r>
        <w:rPr>
          <w:i/>
          <w:spacing w:val="-3"/>
          <w:sz w:val="18"/>
        </w:rPr>
        <w:t> </w:t>
      </w:r>
      <w:r>
        <w:rPr>
          <w:i/>
          <w:sz w:val="18"/>
        </w:rPr>
        <w:t>Secretary</w:t>
      </w:r>
      <w:r>
        <w:rPr>
          <w:i/>
          <w:spacing w:val="-4"/>
          <w:sz w:val="18"/>
        </w:rPr>
        <w:t> </w:t>
      </w:r>
      <w:r>
        <w:rPr>
          <w:i/>
          <w:sz w:val="18"/>
        </w:rPr>
        <w:t>of</w:t>
      </w:r>
      <w:r>
        <w:rPr>
          <w:i/>
          <w:spacing w:val="-4"/>
          <w:sz w:val="18"/>
        </w:rPr>
        <w:t> </w:t>
      </w:r>
      <w:r>
        <w:rPr>
          <w:i/>
          <w:sz w:val="18"/>
        </w:rPr>
        <w:t>State</w:t>
      </w:r>
      <w:r>
        <w:rPr>
          <w:i/>
          <w:spacing w:val="-3"/>
          <w:sz w:val="18"/>
        </w:rPr>
        <w:t> </w:t>
      </w:r>
      <w:r>
        <w:rPr>
          <w:i/>
          <w:sz w:val="18"/>
        </w:rPr>
        <w:t>for</w:t>
      </w:r>
      <w:r>
        <w:rPr>
          <w:i/>
          <w:spacing w:val="-3"/>
          <w:sz w:val="18"/>
        </w:rPr>
        <w:t> </w:t>
      </w:r>
      <w:r>
        <w:rPr>
          <w:i/>
          <w:sz w:val="18"/>
        </w:rPr>
        <w:t>the</w:t>
      </w:r>
      <w:r>
        <w:rPr>
          <w:i/>
          <w:spacing w:val="-3"/>
          <w:sz w:val="18"/>
        </w:rPr>
        <w:t> </w:t>
      </w:r>
      <w:r>
        <w:rPr>
          <w:i/>
          <w:sz w:val="18"/>
        </w:rPr>
        <w:t>Home</w:t>
      </w:r>
      <w:r>
        <w:rPr>
          <w:i/>
          <w:spacing w:val="-3"/>
          <w:sz w:val="18"/>
        </w:rPr>
        <w:t> </w:t>
      </w:r>
      <w:r>
        <w:rPr>
          <w:i/>
          <w:sz w:val="18"/>
        </w:rPr>
        <w:t>Department</w:t>
      </w:r>
      <w:r>
        <w:rPr>
          <w:i/>
          <w:spacing w:val="-4"/>
          <w:sz w:val="18"/>
        </w:rPr>
        <w:t> </w:t>
      </w:r>
      <w:r>
        <w:rPr>
          <w:sz w:val="18"/>
        </w:rPr>
        <w:t>[2022]</w:t>
      </w:r>
      <w:r>
        <w:rPr>
          <w:spacing w:val="-3"/>
          <w:sz w:val="18"/>
        </w:rPr>
        <w:t> </w:t>
      </w:r>
      <w:r>
        <w:rPr>
          <w:sz w:val="18"/>
        </w:rPr>
        <w:t>EWHC 3274 (Admin), 192.</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Home</w:t>
      </w:r>
      <w:r>
        <w:rPr>
          <w:spacing w:val="-8"/>
          <w:sz w:val="18"/>
        </w:rPr>
        <w:t> </w:t>
      </w:r>
      <w:r>
        <w:rPr>
          <w:sz w:val="18"/>
        </w:rPr>
        <w:t>Office,</w:t>
      </w:r>
      <w:r>
        <w:rPr>
          <w:spacing w:val="-7"/>
          <w:sz w:val="18"/>
        </w:rPr>
        <w:t> </w:t>
      </w:r>
      <w:r>
        <w:rPr>
          <w:sz w:val="18"/>
        </w:rPr>
        <w:t>‘News</w:t>
      </w:r>
      <w:r>
        <w:rPr>
          <w:spacing w:val="-8"/>
          <w:sz w:val="18"/>
        </w:rPr>
        <w:t> </w:t>
      </w:r>
      <w:r>
        <w:rPr>
          <w:sz w:val="18"/>
        </w:rPr>
        <w:t>release:</w:t>
      </w:r>
      <w:r>
        <w:rPr>
          <w:spacing w:val="-7"/>
          <w:sz w:val="18"/>
        </w:rPr>
        <w:t> </w:t>
      </w:r>
      <w:r>
        <w:rPr>
          <w:sz w:val="18"/>
        </w:rPr>
        <w:t>EU</w:t>
      </w:r>
      <w:r>
        <w:rPr>
          <w:spacing w:val="-7"/>
          <w:sz w:val="18"/>
        </w:rPr>
        <w:t> </w:t>
      </w:r>
      <w:r>
        <w:rPr>
          <w:sz w:val="18"/>
        </w:rPr>
        <w:t>Settlement</w:t>
      </w:r>
      <w:r>
        <w:rPr>
          <w:spacing w:val="-7"/>
          <w:sz w:val="18"/>
        </w:rPr>
        <w:t> </w:t>
      </w:r>
      <w:r>
        <w:rPr>
          <w:sz w:val="18"/>
        </w:rPr>
        <w:t>Scheme</w:t>
      </w:r>
      <w:r>
        <w:rPr>
          <w:spacing w:val="-7"/>
          <w:sz w:val="18"/>
        </w:rPr>
        <w:t> </w:t>
      </w:r>
      <w:r>
        <w:rPr>
          <w:sz w:val="18"/>
        </w:rPr>
        <w:t>enhancements</w:t>
      </w:r>
      <w:r>
        <w:rPr>
          <w:spacing w:val="-8"/>
          <w:sz w:val="18"/>
        </w:rPr>
        <w:t> </w:t>
      </w:r>
      <w:r>
        <w:rPr>
          <w:sz w:val="18"/>
        </w:rPr>
        <w:t>confirmed’,</w:t>
      </w:r>
      <w:r>
        <w:rPr>
          <w:spacing w:val="-7"/>
          <w:sz w:val="18"/>
        </w:rPr>
        <w:t> </w:t>
      </w:r>
      <w:r>
        <w:rPr>
          <w:sz w:val="18"/>
        </w:rPr>
        <w:t>17</w:t>
      </w:r>
      <w:r>
        <w:rPr>
          <w:spacing w:val="-7"/>
          <w:sz w:val="18"/>
        </w:rPr>
        <w:t> </w:t>
      </w:r>
      <w:r>
        <w:rPr>
          <w:sz w:val="18"/>
        </w:rPr>
        <w:t>July</w:t>
      </w:r>
      <w:r>
        <w:rPr>
          <w:spacing w:val="-7"/>
          <w:sz w:val="18"/>
        </w:rPr>
        <w:t> </w:t>
      </w:r>
      <w:r>
        <w:rPr>
          <w:spacing w:val="-2"/>
          <w:sz w:val="18"/>
        </w:rPr>
        <w:t>2023.</w:t>
      </w:r>
    </w:p>
    <w:p>
      <w:pPr>
        <w:pStyle w:val="ListParagraph"/>
        <w:numPr>
          <w:ilvl w:val="0"/>
          <w:numId w:val="11"/>
        </w:numPr>
        <w:tabs>
          <w:tab w:pos="1853" w:val="left" w:leader="none"/>
        </w:tabs>
        <w:spacing w:line="216" w:lineRule="exact" w:before="0" w:after="0"/>
        <w:ind w:left="1853" w:right="0" w:hanging="720"/>
        <w:jc w:val="left"/>
        <w:rPr>
          <w:sz w:val="18"/>
        </w:rPr>
      </w:pPr>
      <w:r>
        <w:rPr>
          <w:spacing w:val="-4"/>
          <w:sz w:val="18"/>
        </w:rPr>
        <w:t>Ibid.</w:t>
      </w:r>
    </w:p>
    <w:p>
      <w:pPr>
        <w:pStyle w:val="ListParagraph"/>
        <w:numPr>
          <w:ilvl w:val="0"/>
          <w:numId w:val="11"/>
        </w:numPr>
        <w:tabs>
          <w:tab w:pos="1853" w:val="left" w:leader="none"/>
        </w:tabs>
        <w:spacing w:line="235" w:lineRule="auto" w:before="2" w:after="0"/>
        <w:ind w:left="1853" w:right="1192" w:hanging="720"/>
        <w:jc w:val="left"/>
        <w:rPr>
          <w:sz w:val="18"/>
        </w:rPr>
      </w:pPr>
      <w:r>
        <w:rPr>
          <w:sz w:val="18"/>
        </w:rPr>
        <w:t>Independent</w:t>
      </w:r>
      <w:r>
        <w:rPr>
          <w:spacing w:val="-7"/>
          <w:sz w:val="18"/>
        </w:rPr>
        <w:t> </w:t>
      </w:r>
      <w:r>
        <w:rPr>
          <w:sz w:val="18"/>
        </w:rPr>
        <w:t>Monitoring</w:t>
      </w:r>
      <w:r>
        <w:rPr>
          <w:spacing w:val="-7"/>
          <w:sz w:val="18"/>
        </w:rPr>
        <w:t> </w:t>
      </w:r>
      <w:r>
        <w:rPr>
          <w:sz w:val="18"/>
        </w:rPr>
        <w:t>Authority,</w:t>
      </w:r>
      <w:r>
        <w:rPr>
          <w:spacing w:val="-7"/>
          <w:sz w:val="18"/>
        </w:rPr>
        <w:t> </w:t>
      </w:r>
      <w:r>
        <w:rPr>
          <w:sz w:val="18"/>
        </w:rPr>
        <w:t>‘Press</w:t>
      </w:r>
      <w:r>
        <w:rPr>
          <w:spacing w:val="-7"/>
          <w:sz w:val="18"/>
        </w:rPr>
        <w:t> </w:t>
      </w:r>
      <w:r>
        <w:rPr>
          <w:sz w:val="18"/>
        </w:rPr>
        <w:t>release:</w:t>
      </w:r>
      <w:r>
        <w:rPr>
          <w:spacing w:val="-7"/>
          <w:sz w:val="18"/>
        </w:rPr>
        <w:t> </w:t>
      </w:r>
      <w:r>
        <w:rPr>
          <w:sz w:val="18"/>
        </w:rPr>
        <w:t>Citizens’</w:t>
      </w:r>
      <w:r>
        <w:rPr>
          <w:spacing w:val="-7"/>
          <w:sz w:val="18"/>
        </w:rPr>
        <w:t> </w:t>
      </w:r>
      <w:r>
        <w:rPr>
          <w:sz w:val="18"/>
        </w:rPr>
        <w:t>Rights</w:t>
      </w:r>
      <w:r>
        <w:rPr>
          <w:spacing w:val="-7"/>
          <w:sz w:val="18"/>
        </w:rPr>
        <w:t> </w:t>
      </w:r>
      <w:r>
        <w:rPr>
          <w:sz w:val="18"/>
        </w:rPr>
        <w:t>Watchdog</w:t>
      </w:r>
      <w:r>
        <w:rPr>
          <w:spacing w:val="-7"/>
          <w:sz w:val="18"/>
        </w:rPr>
        <w:t> </w:t>
      </w:r>
      <w:r>
        <w:rPr>
          <w:sz w:val="18"/>
        </w:rPr>
        <w:t>Gives</w:t>
      </w:r>
      <w:r>
        <w:rPr>
          <w:spacing w:val="-7"/>
          <w:sz w:val="18"/>
        </w:rPr>
        <w:t> </w:t>
      </w:r>
      <w:r>
        <w:rPr>
          <w:sz w:val="18"/>
        </w:rPr>
        <w:t>Update</w:t>
      </w:r>
      <w:r>
        <w:rPr>
          <w:spacing w:val="-7"/>
          <w:sz w:val="18"/>
        </w:rPr>
        <w:t> </w:t>
      </w:r>
      <w:r>
        <w:rPr>
          <w:sz w:val="18"/>
        </w:rPr>
        <w:t>on</w:t>
      </w:r>
      <w:r>
        <w:rPr>
          <w:spacing w:val="-7"/>
          <w:sz w:val="18"/>
        </w:rPr>
        <w:t> </w:t>
      </w:r>
      <w:r>
        <w:rPr>
          <w:sz w:val="18"/>
        </w:rPr>
        <w:t>Judicial</w:t>
      </w:r>
      <w:r>
        <w:rPr>
          <w:spacing w:val="-8"/>
          <w:sz w:val="18"/>
        </w:rPr>
        <w:t> </w:t>
      </w:r>
      <w:r>
        <w:rPr>
          <w:sz w:val="18"/>
        </w:rPr>
        <w:t>Review’,</w:t>
      </w:r>
      <w:r>
        <w:rPr>
          <w:spacing w:val="-7"/>
          <w:sz w:val="18"/>
        </w:rPr>
        <w:t> </w:t>
      </w:r>
      <w:r>
        <w:rPr>
          <w:sz w:val="18"/>
        </w:rPr>
        <w:t>17</w:t>
      </w:r>
      <w:r>
        <w:rPr>
          <w:spacing w:val="-7"/>
          <w:sz w:val="18"/>
        </w:rPr>
        <w:t> </w:t>
      </w:r>
      <w:r>
        <w:rPr>
          <w:sz w:val="18"/>
        </w:rPr>
        <w:t>January 2024. See also: Independent Monitoring Authority, ‘Press release: Citizens’ Rights’ Watchdog Calls For Resolution On Landmark High Court Case Implementation’, 30 April 2024.</w:t>
      </w:r>
    </w:p>
    <w:p>
      <w:pPr>
        <w:pStyle w:val="ListParagraph"/>
        <w:numPr>
          <w:ilvl w:val="0"/>
          <w:numId w:val="11"/>
        </w:numPr>
        <w:tabs>
          <w:tab w:pos="1853" w:val="left" w:leader="none"/>
        </w:tabs>
        <w:spacing w:line="216" w:lineRule="exact" w:before="0" w:after="0"/>
        <w:ind w:left="1853" w:right="0" w:hanging="720"/>
        <w:jc w:val="left"/>
        <w:rPr>
          <w:sz w:val="18"/>
        </w:rPr>
      </w:pPr>
      <w:r>
        <w:rPr>
          <w:sz w:val="18"/>
        </w:rPr>
        <w:t>Home</w:t>
      </w:r>
      <w:r>
        <w:rPr>
          <w:spacing w:val="-5"/>
          <w:sz w:val="18"/>
        </w:rPr>
        <w:t> </w:t>
      </w:r>
      <w:r>
        <w:rPr>
          <w:sz w:val="18"/>
        </w:rPr>
        <w:t>Office,</w:t>
      </w:r>
      <w:r>
        <w:rPr>
          <w:spacing w:val="-4"/>
          <w:sz w:val="18"/>
        </w:rPr>
        <w:t> </w:t>
      </w:r>
      <w:r>
        <w:rPr>
          <w:sz w:val="18"/>
        </w:rPr>
        <w:t>‘EU</w:t>
      </w:r>
      <w:r>
        <w:rPr>
          <w:spacing w:val="-4"/>
          <w:sz w:val="18"/>
        </w:rPr>
        <w:t> </w:t>
      </w:r>
      <w:r>
        <w:rPr>
          <w:sz w:val="18"/>
        </w:rPr>
        <w:t>Settlement</w:t>
      </w:r>
      <w:r>
        <w:rPr>
          <w:spacing w:val="-5"/>
          <w:sz w:val="18"/>
        </w:rPr>
        <w:t> </w:t>
      </w:r>
      <w:r>
        <w:rPr>
          <w:sz w:val="18"/>
        </w:rPr>
        <w:t>Scheme:</w:t>
      </w:r>
      <w:r>
        <w:rPr>
          <w:spacing w:val="-4"/>
          <w:sz w:val="18"/>
        </w:rPr>
        <w:t> </w:t>
      </w:r>
      <w:r>
        <w:rPr>
          <w:sz w:val="18"/>
        </w:rPr>
        <w:t>EU,</w:t>
      </w:r>
      <w:r>
        <w:rPr>
          <w:spacing w:val="-4"/>
          <w:sz w:val="18"/>
        </w:rPr>
        <w:t> </w:t>
      </w:r>
      <w:r>
        <w:rPr>
          <w:sz w:val="18"/>
        </w:rPr>
        <w:t>Other</w:t>
      </w:r>
      <w:r>
        <w:rPr>
          <w:spacing w:val="-5"/>
          <w:sz w:val="18"/>
        </w:rPr>
        <w:t> </w:t>
      </w:r>
      <w:r>
        <w:rPr>
          <w:sz w:val="18"/>
        </w:rPr>
        <w:t>EEA</w:t>
      </w:r>
      <w:r>
        <w:rPr>
          <w:spacing w:val="-4"/>
          <w:sz w:val="18"/>
        </w:rPr>
        <w:t> </w:t>
      </w:r>
      <w:r>
        <w:rPr>
          <w:sz w:val="18"/>
        </w:rPr>
        <w:t>and</w:t>
      </w:r>
      <w:r>
        <w:rPr>
          <w:spacing w:val="-5"/>
          <w:sz w:val="18"/>
        </w:rPr>
        <w:t> </w:t>
      </w:r>
      <w:r>
        <w:rPr>
          <w:sz w:val="18"/>
        </w:rPr>
        <w:t>Swiss</w:t>
      </w:r>
      <w:r>
        <w:rPr>
          <w:spacing w:val="-5"/>
          <w:sz w:val="18"/>
        </w:rPr>
        <w:t> </w:t>
      </w:r>
      <w:r>
        <w:rPr>
          <w:sz w:val="18"/>
        </w:rPr>
        <w:t>Citizens</w:t>
      </w:r>
      <w:r>
        <w:rPr>
          <w:spacing w:val="-6"/>
          <w:sz w:val="18"/>
        </w:rPr>
        <w:t> </w:t>
      </w:r>
      <w:r>
        <w:rPr>
          <w:sz w:val="18"/>
        </w:rPr>
        <w:t>and</w:t>
      </w:r>
      <w:r>
        <w:rPr>
          <w:spacing w:val="-5"/>
          <w:sz w:val="18"/>
        </w:rPr>
        <w:t> </w:t>
      </w:r>
      <w:r>
        <w:rPr>
          <w:sz w:val="18"/>
        </w:rPr>
        <w:t>their</w:t>
      </w:r>
      <w:r>
        <w:rPr>
          <w:spacing w:val="-4"/>
          <w:sz w:val="18"/>
        </w:rPr>
        <w:t> </w:t>
      </w:r>
      <w:r>
        <w:rPr>
          <w:sz w:val="18"/>
        </w:rPr>
        <w:t>Family</w:t>
      </w:r>
      <w:r>
        <w:rPr>
          <w:spacing w:val="-5"/>
          <w:sz w:val="18"/>
        </w:rPr>
        <w:t> </w:t>
      </w:r>
      <w:r>
        <w:rPr>
          <w:sz w:val="18"/>
        </w:rPr>
        <w:t>Members’</w:t>
      </w:r>
      <w:r>
        <w:rPr>
          <w:spacing w:val="-4"/>
          <w:sz w:val="18"/>
        </w:rPr>
        <w:t> </w:t>
      </w:r>
      <w:r>
        <w:rPr>
          <w:sz w:val="18"/>
        </w:rPr>
        <w:t>(HO,</w:t>
      </w:r>
      <w:r>
        <w:rPr>
          <w:spacing w:val="-4"/>
          <w:sz w:val="18"/>
        </w:rPr>
        <w:t> </w:t>
      </w:r>
      <w:r>
        <w:rPr>
          <w:sz w:val="18"/>
        </w:rPr>
        <w:t>2021),</w:t>
      </w:r>
      <w:r>
        <w:rPr>
          <w:spacing w:val="-4"/>
          <w:sz w:val="18"/>
        </w:rPr>
        <w:t> </w:t>
      </w:r>
      <w:r>
        <w:rPr>
          <w:sz w:val="18"/>
        </w:rPr>
        <w:t>at</w:t>
      </w:r>
      <w:r>
        <w:rPr>
          <w:spacing w:val="-5"/>
          <w:sz w:val="18"/>
        </w:rPr>
        <w:t> </w:t>
      </w:r>
      <w:r>
        <w:rPr>
          <w:sz w:val="18"/>
        </w:rPr>
        <w:t>31-</w:t>
      </w:r>
      <w:r>
        <w:rPr>
          <w:spacing w:val="-5"/>
          <w:sz w:val="18"/>
        </w:rPr>
        <w:t>34.</w:t>
      </w:r>
    </w:p>
    <w:p>
      <w:pPr>
        <w:pStyle w:val="ListParagraph"/>
        <w:numPr>
          <w:ilvl w:val="0"/>
          <w:numId w:val="11"/>
        </w:numPr>
        <w:tabs>
          <w:tab w:pos="1853" w:val="left" w:leader="none"/>
        </w:tabs>
        <w:spacing w:line="235" w:lineRule="auto" w:before="2" w:after="0"/>
        <w:ind w:left="1853" w:right="1878" w:hanging="720"/>
        <w:jc w:val="left"/>
        <w:rPr>
          <w:sz w:val="18"/>
        </w:rPr>
      </w:pPr>
      <w:r>
        <w:rPr>
          <w:sz w:val="18"/>
        </w:rPr>
        <w:t>Home</w:t>
      </w:r>
      <w:r>
        <w:rPr>
          <w:spacing w:val="-5"/>
          <w:sz w:val="18"/>
        </w:rPr>
        <w:t> </w:t>
      </w:r>
      <w:r>
        <w:rPr>
          <w:sz w:val="18"/>
        </w:rPr>
        <w:t>Office,</w:t>
      </w:r>
      <w:r>
        <w:rPr>
          <w:spacing w:val="-5"/>
          <w:sz w:val="18"/>
        </w:rPr>
        <w:t> </w:t>
      </w:r>
      <w:r>
        <w:rPr>
          <w:sz w:val="18"/>
        </w:rPr>
        <w:t>‘EU</w:t>
      </w:r>
      <w:r>
        <w:rPr>
          <w:spacing w:val="-5"/>
          <w:sz w:val="18"/>
        </w:rPr>
        <w:t> </w:t>
      </w:r>
      <w:r>
        <w:rPr>
          <w:sz w:val="18"/>
        </w:rPr>
        <w:t>Settlement</w:t>
      </w:r>
      <w:r>
        <w:rPr>
          <w:spacing w:val="-5"/>
          <w:sz w:val="18"/>
        </w:rPr>
        <w:t> </w:t>
      </w:r>
      <w:r>
        <w:rPr>
          <w:sz w:val="18"/>
        </w:rPr>
        <w:t>Scheme:</w:t>
      </w:r>
      <w:r>
        <w:rPr>
          <w:spacing w:val="-5"/>
          <w:sz w:val="18"/>
        </w:rPr>
        <w:t> </w:t>
      </w:r>
      <w:r>
        <w:rPr>
          <w:sz w:val="18"/>
        </w:rPr>
        <w:t>EU,</w:t>
      </w:r>
      <w:r>
        <w:rPr>
          <w:spacing w:val="-5"/>
          <w:sz w:val="18"/>
        </w:rPr>
        <w:t> </w:t>
      </w:r>
      <w:r>
        <w:rPr>
          <w:sz w:val="18"/>
        </w:rPr>
        <w:t>Other</w:t>
      </w:r>
      <w:r>
        <w:rPr>
          <w:spacing w:val="-5"/>
          <w:sz w:val="18"/>
        </w:rPr>
        <w:t> </w:t>
      </w:r>
      <w:r>
        <w:rPr>
          <w:sz w:val="18"/>
        </w:rPr>
        <w:t>EEA</w:t>
      </w:r>
      <w:r>
        <w:rPr>
          <w:spacing w:val="-5"/>
          <w:sz w:val="18"/>
        </w:rPr>
        <w:t> </w:t>
      </w:r>
      <w:r>
        <w:rPr>
          <w:sz w:val="18"/>
        </w:rPr>
        <w:t>and</w:t>
      </w:r>
      <w:r>
        <w:rPr>
          <w:spacing w:val="-6"/>
          <w:sz w:val="18"/>
        </w:rPr>
        <w:t> </w:t>
      </w:r>
      <w:r>
        <w:rPr>
          <w:sz w:val="18"/>
        </w:rPr>
        <w:t>Swiss</w:t>
      </w:r>
      <w:r>
        <w:rPr>
          <w:spacing w:val="-6"/>
          <w:sz w:val="18"/>
        </w:rPr>
        <w:t> </w:t>
      </w:r>
      <w:r>
        <w:rPr>
          <w:sz w:val="18"/>
        </w:rPr>
        <w:t>Citizens</w:t>
      </w:r>
      <w:r>
        <w:rPr>
          <w:spacing w:val="-6"/>
          <w:sz w:val="18"/>
        </w:rPr>
        <w:t> </w:t>
      </w:r>
      <w:r>
        <w:rPr>
          <w:sz w:val="18"/>
        </w:rPr>
        <w:t>and</w:t>
      </w:r>
      <w:r>
        <w:rPr>
          <w:spacing w:val="-6"/>
          <w:sz w:val="18"/>
        </w:rPr>
        <w:t> </w:t>
      </w:r>
      <w:r>
        <w:rPr>
          <w:sz w:val="18"/>
        </w:rPr>
        <w:t>their</w:t>
      </w:r>
      <w:r>
        <w:rPr>
          <w:spacing w:val="-5"/>
          <w:sz w:val="18"/>
        </w:rPr>
        <w:t> </w:t>
      </w:r>
      <w:r>
        <w:rPr>
          <w:sz w:val="18"/>
        </w:rPr>
        <w:t>Family</w:t>
      </w:r>
      <w:r>
        <w:rPr>
          <w:spacing w:val="-5"/>
          <w:sz w:val="18"/>
        </w:rPr>
        <w:t> </w:t>
      </w:r>
      <w:r>
        <w:rPr>
          <w:sz w:val="18"/>
        </w:rPr>
        <w:t>Members.</w:t>
      </w:r>
      <w:r>
        <w:rPr>
          <w:spacing w:val="-6"/>
          <w:sz w:val="18"/>
        </w:rPr>
        <w:t> </w:t>
      </w:r>
      <w:r>
        <w:rPr>
          <w:sz w:val="18"/>
        </w:rPr>
        <w:t>Version</w:t>
      </w:r>
      <w:r>
        <w:rPr>
          <w:spacing w:val="-6"/>
          <w:sz w:val="18"/>
        </w:rPr>
        <w:t> </w:t>
      </w:r>
      <w:r>
        <w:rPr>
          <w:sz w:val="18"/>
        </w:rPr>
        <w:t>20.0’ (HO, 2023), at 38.</w:t>
      </w:r>
    </w:p>
    <w:p>
      <w:pPr>
        <w:spacing w:after="0" w:line="235" w:lineRule="auto"/>
        <w:jc w:val="left"/>
        <w:rPr>
          <w:sz w:val="18"/>
        </w:rPr>
        <w:sectPr>
          <w:pgSz w:w="11910" w:h="16840"/>
          <w:pgMar w:header="496" w:footer="1025" w:top="1220" w:bottom="1220" w:left="0" w:right="0"/>
        </w:sectPr>
      </w:pPr>
    </w:p>
    <w:p>
      <w:pPr>
        <w:pStyle w:val="BodyText"/>
        <w:spacing w:before="198"/>
      </w:pPr>
    </w:p>
    <w:p>
      <w:pPr>
        <w:pStyle w:val="ListParagraph"/>
        <w:numPr>
          <w:ilvl w:val="1"/>
          <w:numId w:val="13"/>
        </w:numPr>
        <w:tabs>
          <w:tab w:pos="1853" w:val="left" w:leader="none"/>
        </w:tabs>
        <w:spacing w:line="225" w:lineRule="auto" w:before="0" w:after="0"/>
        <w:ind w:left="1853" w:right="1153" w:hanging="720"/>
        <w:jc w:val="left"/>
        <w:rPr>
          <w:sz w:val="28"/>
        </w:rPr>
      </w:pPr>
      <w:r>
        <w:rPr>
          <w:sz w:val="28"/>
        </w:rPr>
        <w:t>Despite the deadline for applications to the Settlement Scheme ending on 31 December 2020 the scheme is still active and late applications are still being processed. As of 31 December 2023, 2,660 applications were still awaiting an outcome;</w:t>
      </w:r>
      <w:r>
        <w:rPr>
          <w:spacing w:val="-6"/>
          <w:sz w:val="28"/>
        </w:rPr>
        <w:t> </w:t>
      </w:r>
      <w:r>
        <w:rPr>
          <w:sz w:val="28"/>
        </w:rPr>
        <w:t>and</w:t>
      </w:r>
      <w:r>
        <w:rPr>
          <w:spacing w:val="-7"/>
          <w:sz w:val="28"/>
        </w:rPr>
        <w:t> </w:t>
      </w:r>
      <w:r>
        <w:rPr>
          <w:sz w:val="28"/>
        </w:rPr>
        <w:t>144,</w:t>
      </w:r>
      <w:r>
        <w:rPr>
          <w:spacing w:val="-6"/>
          <w:sz w:val="28"/>
        </w:rPr>
        <w:t> </w:t>
      </w:r>
      <w:r>
        <w:rPr>
          <w:sz w:val="28"/>
        </w:rPr>
        <w:t>890</w:t>
      </w:r>
      <w:r>
        <w:rPr>
          <w:spacing w:val="-6"/>
          <w:sz w:val="28"/>
        </w:rPr>
        <w:t> </w:t>
      </w:r>
      <w:r>
        <w:rPr>
          <w:sz w:val="28"/>
        </w:rPr>
        <w:t>were</w:t>
      </w:r>
      <w:r>
        <w:rPr>
          <w:spacing w:val="-6"/>
          <w:sz w:val="28"/>
        </w:rPr>
        <w:t> </w:t>
      </w:r>
      <w:r>
        <w:rPr>
          <w:sz w:val="28"/>
        </w:rPr>
        <w:t>refused,</w:t>
      </w:r>
      <w:r>
        <w:rPr>
          <w:spacing w:val="-6"/>
          <w:sz w:val="28"/>
        </w:rPr>
        <w:t> </w:t>
      </w:r>
      <w:r>
        <w:rPr>
          <w:sz w:val="28"/>
        </w:rPr>
        <w:t>invalid,</w:t>
      </w:r>
      <w:r>
        <w:rPr>
          <w:spacing w:val="-6"/>
          <w:sz w:val="28"/>
        </w:rPr>
        <w:t> </w:t>
      </w:r>
      <w:r>
        <w:rPr>
          <w:sz w:val="28"/>
        </w:rPr>
        <w:t>void</w:t>
      </w:r>
      <w:r>
        <w:rPr>
          <w:spacing w:val="-7"/>
          <w:sz w:val="28"/>
        </w:rPr>
        <w:t> </w:t>
      </w:r>
      <w:r>
        <w:rPr>
          <w:sz w:val="28"/>
        </w:rPr>
        <w:t>or</w:t>
      </w:r>
      <w:r>
        <w:rPr>
          <w:spacing w:val="-6"/>
          <w:sz w:val="28"/>
        </w:rPr>
        <w:t> </w:t>
      </w:r>
      <w:r>
        <w:rPr>
          <w:sz w:val="28"/>
        </w:rPr>
        <w:t>withdrawn,</w:t>
      </w:r>
      <w:r>
        <w:rPr>
          <w:spacing w:val="-6"/>
          <w:sz w:val="28"/>
        </w:rPr>
        <w:t> </w:t>
      </w:r>
      <w:r>
        <w:rPr>
          <w:sz w:val="28"/>
        </w:rPr>
        <w:t>which</w:t>
      </w:r>
      <w:r>
        <w:rPr>
          <w:spacing w:val="-7"/>
          <w:sz w:val="28"/>
        </w:rPr>
        <w:t> </w:t>
      </w:r>
      <w:r>
        <w:rPr>
          <w:sz w:val="28"/>
        </w:rPr>
        <w:t>means some of the applicants could apply again.</w:t>
      </w:r>
      <w:r>
        <w:rPr>
          <w:sz w:val="28"/>
          <w:vertAlign w:val="superscript"/>
        </w:rPr>
        <w:t>814</w:t>
      </w:r>
    </w:p>
    <w:p>
      <w:pPr>
        <w:pStyle w:val="ListParagraph"/>
        <w:numPr>
          <w:ilvl w:val="1"/>
          <w:numId w:val="13"/>
        </w:numPr>
        <w:tabs>
          <w:tab w:pos="1853" w:val="left" w:leader="none"/>
        </w:tabs>
        <w:spacing w:line="225" w:lineRule="auto" w:before="314" w:after="0"/>
        <w:ind w:left="1853" w:right="1387" w:hanging="720"/>
        <w:jc w:val="left"/>
        <w:rPr>
          <w:sz w:val="28"/>
        </w:rPr>
      </w:pPr>
      <w:r>
        <w:rPr>
          <w:sz w:val="28"/>
        </w:rPr>
        <w:t>The</w:t>
      </w:r>
      <w:r>
        <w:rPr>
          <w:spacing w:val="-5"/>
          <w:sz w:val="28"/>
        </w:rPr>
        <w:t> </w:t>
      </w:r>
      <w:r>
        <w:rPr>
          <w:sz w:val="28"/>
        </w:rPr>
        <w:t>Commissions</w:t>
      </w:r>
      <w:r>
        <w:rPr>
          <w:spacing w:val="-6"/>
          <w:sz w:val="28"/>
        </w:rPr>
        <w:t> </w:t>
      </w:r>
      <w:r>
        <w:rPr>
          <w:sz w:val="28"/>
        </w:rPr>
        <w:t>will</w:t>
      </w:r>
      <w:r>
        <w:rPr>
          <w:spacing w:val="-6"/>
          <w:sz w:val="28"/>
        </w:rPr>
        <w:t> </w:t>
      </w:r>
      <w:r>
        <w:rPr>
          <w:sz w:val="28"/>
        </w:rPr>
        <w:t>continue</w:t>
      </w:r>
      <w:r>
        <w:rPr>
          <w:spacing w:val="-5"/>
          <w:sz w:val="28"/>
        </w:rPr>
        <w:t> </w:t>
      </w:r>
      <w:r>
        <w:rPr>
          <w:sz w:val="28"/>
        </w:rPr>
        <w:t>to</w:t>
      </w:r>
      <w:r>
        <w:rPr>
          <w:spacing w:val="-6"/>
          <w:sz w:val="28"/>
        </w:rPr>
        <w:t> </w:t>
      </w:r>
      <w:r>
        <w:rPr>
          <w:sz w:val="28"/>
        </w:rPr>
        <w:t>monitor</w:t>
      </w:r>
      <w:r>
        <w:rPr>
          <w:spacing w:val="-5"/>
          <w:sz w:val="28"/>
        </w:rPr>
        <w:t> </w:t>
      </w:r>
      <w:r>
        <w:rPr>
          <w:sz w:val="28"/>
        </w:rPr>
        <w:t>the</w:t>
      </w:r>
      <w:r>
        <w:rPr>
          <w:spacing w:val="-5"/>
          <w:sz w:val="28"/>
        </w:rPr>
        <w:t> </w:t>
      </w:r>
      <w:r>
        <w:rPr>
          <w:sz w:val="28"/>
        </w:rPr>
        <w:t>application</w:t>
      </w:r>
      <w:r>
        <w:rPr>
          <w:spacing w:val="-6"/>
          <w:sz w:val="28"/>
        </w:rPr>
        <w:t> </w:t>
      </w:r>
      <w:r>
        <w:rPr>
          <w:sz w:val="28"/>
        </w:rPr>
        <w:t>process</w:t>
      </w:r>
      <w:r>
        <w:rPr>
          <w:spacing w:val="-6"/>
          <w:sz w:val="28"/>
        </w:rPr>
        <w:t> </w:t>
      </w:r>
      <w:r>
        <w:rPr>
          <w:sz w:val="28"/>
        </w:rPr>
        <w:t>under</w:t>
      </w:r>
      <w:r>
        <w:rPr>
          <w:spacing w:val="-5"/>
          <w:sz w:val="28"/>
        </w:rPr>
        <w:t> </w:t>
      </w:r>
      <w:r>
        <w:rPr>
          <w:sz w:val="28"/>
        </w:rPr>
        <w:t>the EU Settlement Scheme and its implementation.</w:t>
      </w:r>
    </w:p>
    <w:p>
      <w:pPr>
        <w:pStyle w:val="BodyText"/>
        <w:spacing w:before="3"/>
        <w:rPr>
          <w:sz w:val="14"/>
        </w:rPr>
      </w:pPr>
      <w:r>
        <w:rPr/>
        <mc:AlternateContent>
          <mc:Choice Requires="wps">
            <w:drawing>
              <wp:anchor distT="0" distB="0" distL="0" distR="0" allowOverlap="1" layoutInCell="1" locked="0" behindDoc="1" simplePos="0" relativeHeight="487720960">
                <wp:simplePos x="0" y="0"/>
                <wp:positionH relativeFrom="page">
                  <wp:posOffset>720001</wp:posOffset>
                </wp:positionH>
                <wp:positionV relativeFrom="paragraph">
                  <wp:posOffset>125818</wp:posOffset>
                </wp:positionV>
                <wp:extent cx="6120130" cy="360045"/>
                <wp:effectExtent l="0" t="0" r="0" b="0"/>
                <wp:wrapTopAndBottom/>
                <wp:docPr id="614" name="Textbox 614"/>
                <wp:cNvGraphicFramePr>
                  <a:graphicFrameLocks/>
                </wp:cNvGraphicFramePr>
                <a:graphic>
                  <a:graphicData uri="http://schemas.microsoft.com/office/word/2010/wordprocessingShape">
                    <wps:wsp>
                      <wps:cNvPr id="614" name="Textbox 614"/>
                      <wps:cNvSpPr txBox="1"/>
                      <wps:spPr>
                        <a:xfrm>
                          <a:off x="0" y="0"/>
                          <a:ext cx="6120130" cy="360045"/>
                        </a:xfrm>
                        <a:prstGeom prst="rect">
                          <a:avLst/>
                        </a:prstGeom>
                        <a:solidFill>
                          <a:srgbClr val="393B80"/>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9.906984pt;width:481.9pt;height:28.35pt;mso-position-horizontal-relative:page;mso-position-vertical-relative:paragraph;z-index:-15595520;mso-wrap-distance-left:0;mso-wrap-distance-right:0" type="#_x0000_t202" id="docshape558" filled="true" fillcolor="#393b80"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13"/>
        </w:numPr>
        <w:tabs>
          <w:tab w:pos="1853" w:val="left" w:leader="none"/>
        </w:tabs>
        <w:spacing w:line="218" w:lineRule="auto" w:before="206" w:after="0"/>
        <w:ind w:left="1853" w:right="1215" w:hanging="720"/>
        <w:jc w:val="left"/>
        <w:rPr>
          <w:b/>
          <w:color w:val="67287F"/>
          <w:sz w:val="28"/>
        </w:rPr>
      </w:pPr>
      <w:r>
        <w:rPr>
          <w:b/>
          <w:color w:val="67287F"/>
          <w:sz w:val="28"/>
        </w:rPr>
        <w:t>The Commissions welcome the Home Office proposals to automatically transition</w:t>
      </w:r>
      <w:r>
        <w:rPr>
          <w:b/>
          <w:color w:val="67287F"/>
          <w:spacing w:val="-9"/>
          <w:sz w:val="28"/>
        </w:rPr>
        <w:t> </w:t>
      </w:r>
      <w:r>
        <w:rPr>
          <w:b/>
          <w:color w:val="67287F"/>
          <w:sz w:val="28"/>
        </w:rPr>
        <w:t>all</w:t>
      </w:r>
      <w:r>
        <w:rPr>
          <w:b/>
          <w:color w:val="67287F"/>
          <w:spacing w:val="-9"/>
          <w:sz w:val="28"/>
        </w:rPr>
        <w:t> </w:t>
      </w:r>
      <w:r>
        <w:rPr>
          <w:b/>
          <w:color w:val="67287F"/>
          <w:sz w:val="28"/>
        </w:rPr>
        <w:t>eligible</w:t>
      </w:r>
      <w:r>
        <w:rPr>
          <w:b/>
          <w:color w:val="67287F"/>
          <w:spacing w:val="-9"/>
          <w:sz w:val="28"/>
        </w:rPr>
        <w:t> </w:t>
      </w:r>
      <w:r>
        <w:rPr>
          <w:b/>
          <w:color w:val="67287F"/>
          <w:sz w:val="28"/>
        </w:rPr>
        <w:t>EU</w:t>
      </w:r>
      <w:r>
        <w:rPr>
          <w:b/>
          <w:color w:val="67287F"/>
          <w:spacing w:val="-9"/>
          <w:sz w:val="28"/>
        </w:rPr>
        <w:t> </w:t>
      </w:r>
      <w:r>
        <w:rPr>
          <w:b/>
          <w:color w:val="67287F"/>
          <w:sz w:val="28"/>
        </w:rPr>
        <w:t>citizens</w:t>
      </w:r>
      <w:r>
        <w:rPr>
          <w:b/>
          <w:color w:val="67287F"/>
          <w:spacing w:val="-9"/>
          <w:sz w:val="28"/>
        </w:rPr>
        <w:t> </w:t>
      </w:r>
      <w:r>
        <w:rPr>
          <w:b/>
          <w:color w:val="67287F"/>
          <w:sz w:val="28"/>
        </w:rPr>
        <w:t>with</w:t>
      </w:r>
      <w:r>
        <w:rPr>
          <w:b/>
          <w:color w:val="67287F"/>
          <w:spacing w:val="-9"/>
          <w:sz w:val="28"/>
        </w:rPr>
        <w:t> </w:t>
      </w:r>
      <w:r>
        <w:rPr>
          <w:b/>
          <w:color w:val="67287F"/>
          <w:sz w:val="28"/>
        </w:rPr>
        <w:t>pre-settled</w:t>
      </w:r>
      <w:r>
        <w:rPr>
          <w:b/>
          <w:color w:val="67287F"/>
          <w:spacing w:val="-9"/>
          <w:sz w:val="28"/>
        </w:rPr>
        <w:t> </w:t>
      </w:r>
      <w:r>
        <w:rPr>
          <w:b/>
          <w:color w:val="67287F"/>
          <w:sz w:val="28"/>
        </w:rPr>
        <w:t>status</w:t>
      </w:r>
      <w:r>
        <w:rPr>
          <w:b/>
          <w:color w:val="67287F"/>
          <w:spacing w:val="-9"/>
          <w:sz w:val="28"/>
        </w:rPr>
        <w:t> </w:t>
      </w:r>
      <w:r>
        <w:rPr>
          <w:b/>
          <w:color w:val="67287F"/>
          <w:sz w:val="28"/>
        </w:rPr>
        <w:t>to</w:t>
      </w:r>
      <w:r>
        <w:rPr>
          <w:b/>
          <w:color w:val="67287F"/>
          <w:spacing w:val="-9"/>
          <w:sz w:val="28"/>
        </w:rPr>
        <w:t> </w:t>
      </w:r>
      <w:r>
        <w:rPr>
          <w:b/>
          <w:color w:val="67287F"/>
          <w:sz w:val="28"/>
        </w:rPr>
        <w:t>the</w:t>
      </w:r>
      <w:r>
        <w:rPr>
          <w:b/>
          <w:color w:val="67287F"/>
          <w:spacing w:val="-9"/>
          <w:sz w:val="28"/>
        </w:rPr>
        <w:t> </w:t>
      </w:r>
      <w:r>
        <w:rPr>
          <w:b/>
          <w:color w:val="67287F"/>
          <w:sz w:val="28"/>
        </w:rPr>
        <w:t>EU</w:t>
      </w:r>
      <w:r>
        <w:rPr>
          <w:b/>
          <w:color w:val="67287F"/>
          <w:spacing w:val="-9"/>
          <w:sz w:val="28"/>
        </w:rPr>
        <w:t> </w:t>
      </w:r>
      <w:r>
        <w:rPr>
          <w:b/>
          <w:color w:val="67287F"/>
          <w:sz w:val="28"/>
        </w:rPr>
        <w:t>Settlement Scheme and recommends that appropriate monitoring and safeguards are</w:t>
      </w:r>
      <w:r>
        <w:rPr>
          <w:b/>
          <w:color w:val="67287F"/>
          <w:sz w:val="28"/>
        </w:rPr>
        <w:t> in place to ensure that no eligible EU citizens experience a loss of rights or </w:t>
      </w:r>
      <w:r>
        <w:rPr>
          <w:b/>
          <w:color w:val="67287F"/>
          <w:spacing w:val="-2"/>
          <w:sz w:val="28"/>
        </w:rPr>
        <w:t>entitlements.</w:t>
      </w:r>
    </w:p>
    <w:p>
      <w:pPr>
        <w:pStyle w:val="ListParagraph"/>
        <w:numPr>
          <w:ilvl w:val="1"/>
          <w:numId w:val="13"/>
        </w:numPr>
        <w:tabs>
          <w:tab w:pos="1853" w:val="left" w:leader="none"/>
        </w:tabs>
        <w:spacing w:line="218" w:lineRule="auto" w:before="305" w:after="0"/>
        <w:ind w:left="1853" w:right="1569" w:hanging="720"/>
        <w:jc w:val="left"/>
        <w:rPr>
          <w:b/>
          <w:color w:val="67287F"/>
          <w:sz w:val="28"/>
        </w:rPr>
      </w:pPr>
      <w:r>
        <w:rPr>
          <w:b/>
          <w:color w:val="67287F"/>
          <w:sz w:val="28"/>
        </w:rPr>
        <w:t>The</w:t>
      </w:r>
      <w:r>
        <w:rPr>
          <w:b/>
          <w:color w:val="67287F"/>
          <w:spacing w:val="-3"/>
          <w:sz w:val="28"/>
        </w:rPr>
        <w:t> </w:t>
      </w:r>
      <w:r>
        <w:rPr>
          <w:b/>
          <w:color w:val="67287F"/>
          <w:sz w:val="28"/>
        </w:rPr>
        <w:t>NIHRC</w:t>
      </w:r>
      <w:r>
        <w:rPr>
          <w:b/>
          <w:color w:val="67287F"/>
          <w:spacing w:val="-3"/>
          <w:sz w:val="28"/>
        </w:rPr>
        <w:t> </w:t>
      </w:r>
      <w:r>
        <w:rPr>
          <w:b/>
          <w:color w:val="67287F"/>
          <w:sz w:val="28"/>
        </w:rPr>
        <w:t>continues</w:t>
      </w:r>
      <w:r>
        <w:rPr>
          <w:b/>
          <w:color w:val="67287F"/>
          <w:spacing w:val="-2"/>
          <w:sz w:val="28"/>
        </w:rPr>
        <w:t> </w:t>
      </w:r>
      <w:r>
        <w:rPr>
          <w:b/>
          <w:color w:val="67287F"/>
          <w:sz w:val="28"/>
        </w:rPr>
        <w:t>to</w:t>
      </w:r>
      <w:r>
        <w:rPr>
          <w:b/>
          <w:color w:val="67287F"/>
          <w:spacing w:val="-2"/>
          <w:sz w:val="28"/>
        </w:rPr>
        <w:t> </w:t>
      </w:r>
      <w:r>
        <w:rPr>
          <w:b/>
          <w:color w:val="67287F"/>
          <w:sz w:val="28"/>
        </w:rPr>
        <w:t>recommend</w:t>
      </w:r>
      <w:r>
        <w:rPr>
          <w:b/>
          <w:color w:val="67287F"/>
          <w:spacing w:val="-2"/>
          <w:sz w:val="28"/>
        </w:rPr>
        <w:t> </w:t>
      </w:r>
      <w:r>
        <w:rPr>
          <w:b/>
          <w:color w:val="67287F"/>
          <w:sz w:val="28"/>
        </w:rPr>
        <w:t>that</w:t>
      </w:r>
      <w:r>
        <w:rPr>
          <w:b/>
          <w:color w:val="67287F"/>
          <w:spacing w:val="-2"/>
          <w:sz w:val="28"/>
        </w:rPr>
        <w:t> </w:t>
      </w:r>
      <w:r>
        <w:rPr>
          <w:b/>
          <w:color w:val="67287F"/>
          <w:sz w:val="28"/>
        </w:rPr>
        <w:t>the</w:t>
      </w:r>
      <w:r>
        <w:rPr>
          <w:b/>
          <w:color w:val="67287F"/>
          <w:spacing w:val="-3"/>
          <w:sz w:val="28"/>
        </w:rPr>
        <w:t> </w:t>
      </w:r>
      <w:r>
        <w:rPr>
          <w:b/>
          <w:color w:val="67287F"/>
          <w:sz w:val="28"/>
        </w:rPr>
        <w:t>Home</w:t>
      </w:r>
      <w:r>
        <w:rPr>
          <w:b/>
          <w:color w:val="67287F"/>
          <w:spacing w:val="-3"/>
          <w:sz w:val="28"/>
        </w:rPr>
        <w:t> </w:t>
      </w:r>
      <w:r>
        <w:rPr>
          <w:b/>
          <w:color w:val="67287F"/>
          <w:sz w:val="28"/>
        </w:rPr>
        <w:t>Office</w:t>
      </w:r>
      <w:r>
        <w:rPr>
          <w:b/>
          <w:color w:val="67287F"/>
          <w:spacing w:val="-3"/>
          <w:sz w:val="28"/>
        </w:rPr>
        <w:t> </w:t>
      </w:r>
      <w:r>
        <w:rPr>
          <w:b/>
          <w:color w:val="67287F"/>
          <w:sz w:val="28"/>
        </w:rPr>
        <w:t>ensure</w:t>
      </w:r>
      <w:r>
        <w:rPr>
          <w:b/>
          <w:color w:val="67287F"/>
          <w:spacing w:val="-3"/>
          <w:sz w:val="28"/>
        </w:rPr>
        <w:t> </w:t>
      </w:r>
      <w:r>
        <w:rPr>
          <w:b/>
          <w:color w:val="67287F"/>
          <w:sz w:val="28"/>
        </w:rPr>
        <w:t>that</w:t>
      </w:r>
      <w:r>
        <w:rPr>
          <w:b/>
          <w:color w:val="67287F"/>
          <w:spacing w:val="-2"/>
          <w:sz w:val="28"/>
        </w:rPr>
        <w:t> </w:t>
      </w:r>
      <w:r>
        <w:rPr>
          <w:b/>
          <w:color w:val="67287F"/>
          <w:sz w:val="28"/>
        </w:rPr>
        <w:t>all eligible</w:t>
      </w:r>
      <w:r>
        <w:rPr>
          <w:b/>
          <w:color w:val="67287F"/>
          <w:spacing w:val="-7"/>
          <w:sz w:val="28"/>
        </w:rPr>
        <w:t> </w:t>
      </w:r>
      <w:r>
        <w:rPr>
          <w:b/>
          <w:color w:val="67287F"/>
          <w:sz w:val="28"/>
        </w:rPr>
        <w:t>vulnerable</w:t>
      </w:r>
      <w:r>
        <w:rPr>
          <w:b/>
          <w:color w:val="67287F"/>
          <w:spacing w:val="-7"/>
          <w:sz w:val="28"/>
        </w:rPr>
        <w:t> </w:t>
      </w:r>
      <w:r>
        <w:rPr>
          <w:b/>
          <w:color w:val="67287F"/>
          <w:sz w:val="28"/>
        </w:rPr>
        <w:t>individuals,</w:t>
      </w:r>
      <w:r>
        <w:rPr>
          <w:b/>
          <w:color w:val="67287F"/>
          <w:spacing w:val="-6"/>
          <w:sz w:val="28"/>
        </w:rPr>
        <w:t> </w:t>
      </w:r>
      <w:r>
        <w:rPr>
          <w:b/>
          <w:color w:val="67287F"/>
          <w:sz w:val="28"/>
        </w:rPr>
        <w:t>who</w:t>
      </w:r>
      <w:r>
        <w:rPr>
          <w:b/>
          <w:color w:val="67287F"/>
          <w:spacing w:val="-6"/>
          <w:sz w:val="28"/>
        </w:rPr>
        <w:t> </w:t>
      </w:r>
      <w:r>
        <w:rPr>
          <w:b/>
          <w:color w:val="67287F"/>
          <w:sz w:val="28"/>
        </w:rPr>
        <w:t>had</w:t>
      </w:r>
      <w:r>
        <w:rPr>
          <w:b/>
          <w:color w:val="67287F"/>
          <w:spacing w:val="-6"/>
          <w:sz w:val="28"/>
        </w:rPr>
        <w:t> </w:t>
      </w:r>
      <w:r>
        <w:rPr>
          <w:b/>
          <w:color w:val="67287F"/>
          <w:sz w:val="28"/>
        </w:rPr>
        <w:t>not</w:t>
      </w:r>
      <w:r>
        <w:rPr>
          <w:b/>
          <w:color w:val="67287F"/>
          <w:spacing w:val="-6"/>
          <w:sz w:val="28"/>
        </w:rPr>
        <w:t> </w:t>
      </w:r>
      <w:r>
        <w:rPr>
          <w:b/>
          <w:color w:val="67287F"/>
          <w:sz w:val="28"/>
        </w:rPr>
        <w:t>applied</w:t>
      </w:r>
      <w:r>
        <w:rPr>
          <w:b/>
          <w:color w:val="67287F"/>
          <w:spacing w:val="-6"/>
          <w:sz w:val="28"/>
        </w:rPr>
        <w:t> </w:t>
      </w:r>
      <w:r>
        <w:rPr>
          <w:b/>
          <w:color w:val="67287F"/>
          <w:sz w:val="28"/>
        </w:rPr>
        <w:t>to</w:t>
      </w:r>
      <w:r>
        <w:rPr>
          <w:b/>
          <w:color w:val="67287F"/>
          <w:spacing w:val="-6"/>
          <w:sz w:val="28"/>
        </w:rPr>
        <w:t> </w:t>
      </w:r>
      <w:r>
        <w:rPr>
          <w:b/>
          <w:color w:val="67287F"/>
          <w:sz w:val="28"/>
        </w:rPr>
        <w:t>the</w:t>
      </w:r>
      <w:r>
        <w:rPr>
          <w:b/>
          <w:color w:val="67287F"/>
          <w:spacing w:val="-7"/>
          <w:sz w:val="28"/>
        </w:rPr>
        <w:t> </w:t>
      </w:r>
      <w:r>
        <w:rPr>
          <w:b/>
          <w:color w:val="67287F"/>
          <w:sz w:val="28"/>
        </w:rPr>
        <w:t>EU</w:t>
      </w:r>
      <w:r>
        <w:rPr>
          <w:b/>
          <w:color w:val="67287F"/>
          <w:spacing w:val="-6"/>
          <w:sz w:val="28"/>
        </w:rPr>
        <w:t> </w:t>
      </w:r>
      <w:r>
        <w:rPr>
          <w:b/>
          <w:color w:val="67287F"/>
          <w:sz w:val="28"/>
        </w:rPr>
        <w:t>Settlement Scheme by 30 June 2021, are supported to regularise their status in an efficient and timely way.</w:t>
      </w:r>
    </w:p>
    <w:p>
      <w:pPr>
        <w:pStyle w:val="ListParagraph"/>
        <w:numPr>
          <w:ilvl w:val="1"/>
          <w:numId w:val="13"/>
        </w:numPr>
        <w:tabs>
          <w:tab w:pos="1853" w:val="left" w:leader="none"/>
        </w:tabs>
        <w:spacing w:line="218" w:lineRule="auto" w:before="306" w:after="0"/>
        <w:ind w:left="1853" w:right="1357" w:hanging="720"/>
        <w:jc w:val="left"/>
        <w:rPr>
          <w:b/>
          <w:color w:val="67287F"/>
          <w:sz w:val="28"/>
        </w:rPr>
      </w:pPr>
      <w:r>
        <w:rPr>
          <w:b/>
          <w:color w:val="67287F"/>
          <w:sz w:val="28"/>
        </w:rPr>
        <w:t>The</w:t>
      </w:r>
      <w:r>
        <w:rPr>
          <w:b/>
          <w:color w:val="67287F"/>
          <w:spacing w:val="-9"/>
          <w:sz w:val="28"/>
        </w:rPr>
        <w:t> </w:t>
      </w:r>
      <w:r>
        <w:rPr>
          <w:b/>
          <w:color w:val="67287F"/>
          <w:sz w:val="28"/>
        </w:rPr>
        <w:t>NIHRC</w:t>
      </w:r>
      <w:r>
        <w:rPr>
          <w:b/>
          <w:color w:val="67287F"/>
          <w:spacing w:val="-9"/>
          <w:sz w:val="28"/>
        </w:rPr>
        <w:t> </w:t>
      </w:r>
      <w:r>
        <w:rPr>
          <w:b/>
          <w:color w:val="67287F"/>
          <w:sz w:val="28"/>
        </w:rPr>
        <w:t>continues</w:t>
      </w:r>
      <w:r>
        <w:rPr>
          <w:b/>
          <w:color w:val="67287F"/>
          <w:spacing w:val="-8"/>
          <w:sz w:val="28"/>
        </w:rPr>
        <w:t> </w:t>
      </w:r>
      <w:r>
        <w:rPr>
          <w:b/>
          <w:color w:val="67287F"/>
          <w:sz w:val="28"/>
        </w:rPr>
        <w:t>to</w:t>
      </w:r>
      <w:r>
        <w:rPr>
          <w:b/>
          <w:color w:val="67287F"/>
          <w:spacing w:val="-8"/>
          <w:sz w:val="28"/>
        </w:rPr>
        <w:t> </w:t>
      </w:r>
      <w:r>
        <w:rPr>
          <w:b/>
          <w:color w:val="67287F"/>
          <w:sz w:val="28"/>
        </w:rPr>
        <w:t>recommend</w:t>
      </w:r>
      <w:r>
        <w:rPr>
          <w:b/>
          <w:color w:val="67287F"/>
          <w:spacing w:val="-8"/>
          <w:sz w:val="28"/>
        </w:rPr>
        <w:t> </w:t>
      </w:r>
      <w:r>
        <w:rPr>
          <w:b/>
          <w:color w:val="67287F"/>
          <w:sz w:val="28"/>
        </w:rPr>
        <w:t>that</w:t>
      </w:r>
      <w:r>
        <w:rPr>
          <w:b/>
          <w:color w:val="67287F"/>
          <w:spacing w:val="-8"/>
          <w:sz w:val="28"/>
        </w:rPr>
        <w:t> </w:t>
      </w:r>
      <w:r>
        <w:rPr>
          <w:b/>
          <w:color w:val="67287F"/>
          <w:sz w:val="28"/>
        </w:rPr>
        <w:t>the</w:t>
      </w:r>
      <w:r>
        <w:rPr>
          <w:b/>
          <w:color w:val="67287F"/>
          <w:spacing w:val="-9"/>
          <w:sz w:val="28"/>
        </w:rPr>
        <w:t> </w:t>
      </w:r>
      <w:r>
        <w:rPr>
          <w:b/>
          <w:color w:val="67287F"/>
          <w:sz w:val="28"/>
        </w:rPr>
        <w:t>Home</w:t>
      </w:r>
      <w:r>
        <w:rPr>
          <w:b/>
          <w:color w:val="67287F"/>
          <w:spacing w:val="-9"/>
          <w:sz w:val="28"/>
        </w:rPr>
        <w:t> </w:t>
      </w:r>
      <w:r>
        <w:rPr>
          <w:b/>
          <w:color w:val="67287F"/>
          <w:sz w:val="28"/>
        </w:rPr>
        <w:t>Office</w:t>
      </w:r>
      <w:r>
        <w:rPr>
          <w:b/>
          <w:color w:val="67287F"/>
          <w:spacing w:val="-9"/>
          <w:sz w:val="28"/>
        </w:rPr>
        <w:t> </w:t>
      </w:r>
      <w:r>
        <w:rPr>
          <w:b/>
          <w:color w:val="67287F"/>
          <w:sz w:val="28"/>
        </w:rPr>
        <w:t>takes</w:t>
      </w:r>
      <w:r>
        <w:rPr>
          <w:b/>
          <w:color w:val="67287F"/>
          <w:spacing w:val="-8"/>
          <w:sz w:val="28"/>
        </w:rPr>
        <w:t> </w:t>
      </w:r>
      <w:r>
        <w:rPr>
          <w:b/>
          <w:color w:val="67287F"/>
          <w:sz w:val="28"/>
        </w:rPr>
        <w:t>immediate action to resolve all outstanding applications under the EU Settlement Scheme and ensures that no one is left without the ability to prove their right to live and work in the UK on the basis of pending minor criminal prosecutions that would otherwise not meet the threshold for refusal.</w:t>
      </w:r>
    </w:p>
    <w:p>
      <w:pPr>
        <w:pStyle w:val="ListParagraph"/>
        <w:numPr>
          <w:ilvl w:val="1"/>
          <w:numId w:val="13"/>
        </w:numPr>
        <w:tabs>
          <w:tab w:pos="1853" w:val="left" w:leader="none"/>
        </w:tabs>
        <w:spacing w:line="218" w:lineRule="auto" w:before="305" w:after="0"/>
        <w:ind w:left="1853" w:right="1226" w:hanging="720"/>
        <w:jc w:val="left"/>
        <w:rPr>
          <w:b/>
          <w:color w:val="67287F"/>
          <w:sz w:val="28"/>
        </w:rPr>
      </w:pPr>
      <w:r>
        <w:rPr>
          <w:b/>
          <w:color w:val="67287F"/>
          <w:sz w:val="28"/>
        </w:rPr>
        <w:t>The ECNI recommends that the Home Office should urgently review the operation of EU Settlement Scheme in NI in light of the significant barriers identified by applicants, and ensure lessons are learnt and reflected in current and future schemes or processes relating to the EU Settlement Scheme.</w:t>
      </w:r>
      <w:r>
        <w:rPr>
          <w:b/>
          <w:color w:val="67287F"/>
          <w:spacing w:val="40"/>
          <w:sz w:val="28"/>
        </w:rPr>
        <w:t> </w:t>
      </w:r>
      <w:r>
        <w:rPr>
          <w:b/>
          <w:color w:val="67287F"/>
          <w:sz w:val="28"/>
        </w:rPr>
        <w:t>This should include a review of the barriers experienced by women,</w:t>
      </w:r>
      <w:r>
        <w:rPr>
          <w:b/>
          <w:color w:val="67287F"/>
          <w:spacing w:val="-4"/>
          <w:sz w:val="28"/>
        </w:rPr>
        <w:t> </w:t>
      </w:r>
      <w:r>
        <w:rPr>
          <w:b/>
          <w:color w:val="67287F"/>
          <w:sz w:val="28"/>
        </w:rPr>
        <w:t>older</w:t>
      </w:r>
      <w:r>
        <w:rPr>
          <w:b/>
          <w:color w:val="67287F"/>
          <w:spacing w:val="-5"/>
          <w:sz w:val="28"/>
        </w:rPr>
        <w:t> </w:t>
      </w:r>
      <w:r>
        <w:rPr>
          <w:b/>
          <w:color w:val="67287F"/>
          <w:sz w:val="28"/>
        </w:rPr>
        <w:t>people</w:t>
      </w:r>
      <w:r>
        <w:rPr>
          <w:b/>
          <w:color w:val="67287F"/>
          <w:spacing w:val="-5"/>
          <w:sz w:val="28"/>
        </w:rPr>
        <w:t> </w:t>
      </w:r>
      <w:r>
        <w:rPr>
          <w:b/>
          <w:color w:val="67287F"/>
          <w:sz w:val="28"/>
        </w:rPr>
        <w:t>and</w:t>
      </w:r>
      <w:r>
        <w:rPr>
          <w:b/>
          <w:color w:val="67287F"/>
          <w:spacing w:val="-4"/>
          <w:sz w:val="28"/>
        </w:rPr>
        <w:t> </w:t>
      </w:r>
      <w:r>
        <w:rPr>
          <w:b/>
          <w:color w:val="67287F"/>
          <w:sz w:val="28"/>
        </w:rPr>
        <w:t>children,</w:t>
      </w:r>
      <w:r>
        <w:rPr>
          <w:b/>
          <w:color w:val="67287F"/>
          <w:spacing w:val="-4"/>
          <w:sz w:val="28"/>
        </w:rPr>
        <w:t> </w:t>
      </w:r>
      <w:r>
        <w:rPr>
          <w:b/>
          <w:color w:val="67287F"/>
          <w:sz w:val="28"/>
        </w:rPr>
        <w:t>and</w:t>
      </w:r>
      <w:r>
        <w:rPr>
          <w:b/>
          <w:color w:val="67287F"/>
          <w:spacing w:val="-4"/>
          <w:sz w:val="28"/>
        </w:rPr>
        <w:t> </w:t>
      </w:r>
      <w:r>
        <w:rPr>
          <w:b/>
          <w:color w:val="67287F"/>
          <w:sz w:val="28"/>
        </w:rPr>
        <w:t>disabled</w:t>
      </w:r>
      <w:r>
        <w:rPr>
          <w:b/>
          <w:color w:val="67287F"/>
          <w:spacing w:val="-4"/>
          <w:sz w:val="28"/>
        </w:rPr>
        <w:t> </w:t>
      </w:r>
      <w:r>
        <w:rPr>
          <w:b/>
          <w:color w:val="67287F"/>
          <w:sz w:val="28"/>
        </w:rPr>
        <w:t>people</w:t>
      </w:r>
      <w:r>
        <w:rPr>
          <w:b/>
          <w:color w:val="67287F"/>
          <w:spacing w:val="-5"/>
          <w:sz w:val="28"/>
        </w:rPr>
        <w:t> </w:t>
      </w:r>
      <w:r>
        <w:rPr>
          <w:b/>
          <w:color w:val="67287F"/>
          <w:sz w:val="28"/>
        </w:rPr>
        <w:t>when</w:t>
      </w:r>
      <w:r>
        <w:rPr>
          <w:b/>
          <w:color w:val="67287F"/>
          <w:spacing w:val="-4"/>
          <w:sz w:val="28"/>
        </w:rPr>
        <w:t> </w:t>
      </w:r>
      <w:r>
        <w:rPr>
          <w:b/>
          <w:color w:val="67287F"/>
          <w:sz w:val="28"/>
        </w:rPr>
        <w:t>applying;</w:t>
      </w:r>
      <w:r>
        <w:rPr>
          <w:b/>
          <w:color w:val="67287F"/>
          <w:spacing w:val="-4"/>
          <w:sz w:val="28"/>
        </w:rPr>
        <w:t> </w:t>
      </w:r>
      <w:r>
        <w:rPr>
          <w:b/>
          <w:color w:val="67287F"/>
          <w:sz w:val="28"/>
        </w:rPr>
        <w:t>and barriers to accessing support, lack of clear and accessible information by applicants, as well as relating to English language proficiency, literacy, and digital skills.</w:t>
      </w:r>
    </w:p>
    <w:p>
      <w:pPr>
        <w:pStyle w:val="ListParagraph"/>
        <w:numPr>
          <w:ilvl w:val="1"/>
          <w:numId w:val="13"/>
        </w:numPr>
        <w:tabs>
          <w:tab w:pos="1853" w:val="left" w:leader="none"/>
        </w:tabs>
        <w:spacing w:line="218" w:lineRule="auto" w:before="301" w:after="0"/>
        <w:ind w:left="1853" w:right="1333" w:hanging="720"/>
        <w:jc w:val="left"/>
        <w:rPr>
          <w:b/>
          <w:color w:val="67287F"/>
          <w:sz w:val="28"/>
        </w:rPr>
      </w:pPr>
      <w:r>
        <w:rPr>
          <w:b/>
          <w:color w:val="67287F"/>
          <w:sz w:val="28"/>
        </w:rPr>
        <w:t>The</w:t>
      </w:r>
      <w:r>
        <w:rPr>
          <w:b/>
          <w:color w:val="67287F"/>
          <w:spacing w:val="-7"/>
          <w:sz w:val="28"/>
        </w:rPr>
        <w:t> </w:t>
      </w:r>
      <w:r>
        <w:rPr>
          <w:b/>
          <w:color w:val="67287F"/>
          <w:sz w:val="28"/>
        </w:rPr>
        <w:t>ECNI</w:t>
      </w:r>
      <w:r>
        <w:rPr>
          <w:b/>
          <w:color w:val="67287F"/>
          <w:spacing w:val="-6"/>
          <w:sz w:val="28"/>
        </w:rPr>
        <w:t> </w:t>
      </w:r>
      <w:r>
        <w:rPr>
          <w:b/>
          <w:color w:val="67287F"/>
          <w:sz w:val="28"/>
        </w:rPr>
        <w:t>recommends</w:t>
      </w:r>
      <w:r>
        <w:rPr>
          <w:b/>
          <w:color w:val="67287F"/>
          <w:spacing w:val="-6"/>
          <w:sz w:val="28"/>
        </w:rPr>
        <w:t> </w:t>
      </w:r>
      <w:r>
        <w:rPr>
          <w:b/>
          <w:color w:val="67287F"/>
          <w:sz w:val="28"/>
        </w:rPr>
        <w:t>the</w:t>
      </w:r>
      <w:r>
        <w:rPr>
          <w:b/>
          <w:color w:val="67287F"/>
          <w:spacing w:val="-7"/>
          <w:sz w:val="28"/>
        </w:rPr>
        <w:t> </w:t>
      </w:r>
      <w:r>
        <w:rPr>
          <w:b/>
          <w:color w:val="67287F"/>
          <w:sz w:val="28"/>
        </w:rPr>
        <w:t>Home</w:t>
      </w:r>
      <w:r>
        <w:rPr>
          <w:b/>
          <w:color w:val="67287F"/>
          <w:spacing w:val="-7"/>
          <w:sz w:val="28"/>
        </w:rPr>
        <w:t> </w:t>
      </w:r>
      <w:r>
        <w:rPr>
          <w:b/>
          <w:color w:val="67287F"/>
          <w:sz w:val="28"/>
        </w:rPr>
        <w:t>Office</w:t>
      </w:r>
      <w:r>
        <w:rPr>
          <w:b/>
          <w:color w:val="67287F"/>
          <w:spacing w:val="-7"/>
          <w:sz w:val="28"/>
        </w:rPr>
        <w:t> </w:t>
      </w:r>
      <w:r>
        <w:rPr>
          <w:b/>
          <w:color w:val="67287F"/>
          <w:sz w:val="28"/>
        </w:rPr>
        <w:t>should</w:t>
      </w:r>
      <w:r>
        <w:rPr>
          <w:b/>
          <w:color w:val="67287F"/>
          <w:spacing w:val="-6"/>
          <w:sz w:val="28"/>
        </w:rPr>
        <w:t> </w:t>
      </w:r>
      <w:r>
        <w:rPr>
          <w:b/>
          <w:color w:val="67287F"/>
          <w:sz w:val="28"/>
        </w:rPr>
        <w:t>review</w:t>
      </w:r>
      <w:r>
        <w:rPr>
          <w:b/>
          <w:color w:val="67287F"/>
          <w:spacing w:val="-7"/>
          <w:sz w:val="28"/>
        </w:rPr>
        <w:t> </w:t>
      </w:r>
      <w:r>
        <w:rPr>
          <w:b/>
          <w:color w:val="67287F"/>
          <w:sz w:val="28"/>
        </w:rPr>
        <w:t>the</w:t>
      </w:r>
      <w:r>
        <w:rPr>
          <w:b/>
          <w:color w:val="67287F"/>
          <w:spacing w:val="-7"/>
          <w:sz w:val="28"/>
        </w:rPr>
        <w:t> </w:t>
      </w:r>
      <w:r>
        <w:rPr>
          <w:b/>
          <w:color w:val="67287F"/>
          <w:sz w:val="28"/>
        </w:rPr>
        <w:t>barriers</w:t>
      </w:r>
      <w:r>
        <w:rPr>
          <w:b/>
          <w:color w:val="67287F"/>
          <w:spacing w:val="-6"/>
          <w:sz w:val="28"/>
        </w:rPr>
        <w:t> </w:t>
      </w:r>
      <w:r>
        <w:rPr>
          <w:b/>
          <w:color w:val="67287F"/>
          <w:sz w:val="28"/>
        </w:rPr>
        <w:t>faced</w:t>
      </w:r>
      <w:r>
        <w:rPr>
          <w:b/>
          <w:color w:val="67287F"/>
          <w:spacing w:val="-6"/>
          <w:sz w:val="28"/>
        </w:rPr>
        <w:t> </w:t>
      </w:r>
      <w:r>
        <w:rPr>
          <w:b/>
          <w:color w:val="67287F"/>
          <w:sz w:val="28"/>
        </w:rPr>
        <w:t>by those experiencing domestic abuse, including women, whose pre-settled status precludes them from accessing the public funds they may need</w:t>
      </w:r>
    </w:p>
    <w:p>
      <w:pPr>
        <w:spacing w:line="225" w:lineRule="auto" w:before="0"/>
        <w:ind w:left="1853" w:right="1595" w:firstLine="0"/>
        <w:jc w:val="left"/>
        <w:rPr>
          <w:b/>
          <w:sz w:val="28"/>
        </w:rPr>
      </w:pPr>
      <w:r>
        <w:rPr>
          <w:b/>
          <w:color w:val="67287F"/>
          <w:sz w:val="28"/>
        </w:rPr>
        <w:t>to</w:t>
      </w:r>
      <w:r>
        <w:rPr>
          <w:b/>
          <w:color w:val="67287F"/>
          <w:spacing w:val="-8"/>
          <w:sz w:val="28"/>
        </w:rPr>
        <w:t> </w:t>
      </w:r>
      <w:r>
        <w:rPr>
          <w:b/>
          <w:color w:val="67287F"/>
          <w:sz w:val="28"/>
        </w:rPr>
        <w:t>secure</w:t>
      </w:r>
      <w:r>
        <w:rPr>
          <w:b/>
          <w:color w:val="67287F"/>
          <w:spacing w:val="-9"/>
          <w:sz w:val="28"/>
        </w:rPr>
        <w:t> </w:t>
      </w:r>
      <w:r>
        <w:rPr>
          <w:b/>
          <w:color w:val="67287F"/>
          <w:sz w:val="28"/>
        </w:rPr>
        <w:t>alternative</w:t>
      </w:r>
      <w:r>
        <w:rPr>
          <w:b/>
          <w:color w:val="67287F"/>
          <w:spacing w:val="-9"/>
          <w:sz w:val="28"/>
        </w:rPr>
        <w:t> </w:t>
      </w:r>
      <w:r>
        <w:rPr>
          <w:b/>
          <w:color w:val="67287F"/>
          <w:sz w:val="28"/>
        </w:rPr>
        <w:t>accommodation</w:t>
      </w:r>
      <w:r>
        <w:rPr>
          <w:b/>
          <w:color w:val="67287F"/>
          <w:spacing w:val="-8"/>
          <w:sz w:val="28"/>
        </w:rPr>
        <w:t> </w:t>
      </w:r>
      <w:r>
        <w:rPr>
          <w:b/>
          <w:color w:val="67287F"/>
          <w:sz w:val="28"/>
        </w:rPr>
        <w:t>or</w:t>
      </w:r>
      <w:r>
        <w:rPr>
          <w:b/>
          <w:color w:val="67287F"/>
          <w:spacing w:val="-9"/>
          <w:sz w:val="28"/>
        </w:rPr>
        <w:t> </w:t>
      </w:r>
      <w:r>
        <w:rPr>
          <w:b/>
          <w:color w:val="67287F"/>
          <w:sz w:val="28"/>
        </w:rPr>
        <w:t>refuges</w:t>
      </w:r>
      <w:r>
        <w:rPr>
          <w:b/>
          <w:color w:val="67287F"/>
          <w:spacing w:val="-8"/>
          <w:sz w:val="28"/>
        </w:rPr>
        <w:t> </w:t>
      </w:r>
      <w:r>
        <w:rPr>
          <w:b/>
          <w:color w:val="67287F"/>
          <w:sz w:val="28"/>
        </w:rPr>
        <w:t>for</w:t>
      </w:r>
      <w:r>
        <w:rPr>
          <w:b/>
          <w:color w:val="67287F"/>
          <w:spacing w:val="-9"/>
          <w:sz w:val="28"/>
        </w:rPr>
        <w:t> </w:t>
      </w:r>
      <w:r>
        <w:rPr>
          <w:b/>
          <w:color w:val="67287F"/>
          <w:sz w:val="28"/>
        </w:rPr>
        <w:t>victims</w:t>
      </w:r>
      <w:r>
        <w:rPr>
          <w:b/>
          <w:color w:val="67287F"/>
          <w:spacing w:val="-8"/>
          <w:sz w:val="28"/>
        </w:rPr>
        <w:t> </w:t>
      </w:r>
      <w:r>
        <w:rPr>
          <w:b/>
          <w:color w:val="67287F"/>
          <w:sz w:val="28"/>
        </w:rPr>
        <w:t>of</w:t>
      </w:r>
      <w:r>
        <w:rPr>
          <w:b/>
          <w:color w:val="67287F"/>
          <w:spacing w:val="-9"/>
          <w:sz w:val="28"/>
        </w:rPr>
        <w:t> </w:t>
      </w:r>
      <w:r>
        <w:rPr>
          <w:b/>
          <w:color w:val="67287F"/>
          <w:sz w:val="28"/>
        </w:rPr>
        <w:t>domestic </w:t>
      </w:r>
      <w:r>
        <w:rPr>
          <w:b/>
          <w:color w:val="67287F"/>
          <w:spacing w:val="-2"/>
          <w:sz w:val="28"/>
        </w:rPr>
        <w:t>violence.</w:t>
      </w:r>
    </w:p>
    <w:p>
      <w:pPr>
        <w:pStyle w:val="BodyText"/>
        <w:spacing w:before="9"/>
        <w:rPr>
          <w:b/>
          <w:sz w:val="9"/>
        </w:rPr>
      </w:pPr>
      <w:r>
        <w:rPr/>
        <mc:AlternateContent>
          <mc:Choice Requires="wps">
            <w:drawing>
              <wp:anchor distT="0" distB="0" distL="0" distR="0" allowOverlap="1" layoutInCell="1" locked="0" behindDoc="1" simplePos="0" relativeHeight="487721472">
                <wp:simplePos x="0" y="0"/>
                <wp:positionH relativeFrom="page">
                  <wp:posOffset>719996</wp:posOffset>
                </wp:positionH>
                <wp:positionV relativeFrom="paragraph">
                  <wp:posOffset>90736</wp:posOffset>
                </wp:positionV>
                <wp:extent cx="6120130" cy="1270"/>
                <wp:effectExtent l="0" t="0" r="0" b="0"/>
                <wp:wrapTopAndBottom/>
                <wp:docPr id="615" name="Graphic 615"/>
                <wp:cNvGraphicFramePr>
                  <a:graphicFrameLocks/>
                </wp:cNvGraphicFramePr>
                <a:graphic>
                  <a:graphicData uri="http://schemas.microsoft.com/office/word/2010/wordprocessingShape">
                    <wps:wsp>
                      <wps:cNvPr id="615" name="Graphic 61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7.144591pt;width:481.9pt;height:.1pt;mso-position-horizontal-relative:page;mso-position-vertical-relative:paragraph;z-index:-15595008;mso-wrap-distance-left:0;mso-wrap-distance-right:0" id="docshape559" coordorigin="1134,143" coordsize="9638,0" path="m10772,143l1134,143e" filled="false" stroked="true" strokeweight="1pt" strokecolor="#393b80">
                <v:path arrowok="t"/>
                <v:stroke dashstyle="solid"/>
                <w10:wrap type="topAndBottom"/>
              </v:shape>
            </w:pict>
          </mc:Fallback>
        </mc:AlternateContent>
      </w:r>
    </w:p>
    <w:p>
      <w:pPr>
        <w:pStyle w:val="ListParagraph"/>
        <w:numPr>
          <w:ilvl w:val="0"/>
          <w:numId w:val="14"/>
        </w:numPr>
        <w:tabs>
          <w:tab w:pos="1853" w:val="left" w:leader="none"/>
        </w:tabs>
        <w:spacing w:line="240" w:lineRule="auto" w:before="126" w:after="0"/>
        <w:ind w:left="1853" w:right="0" w:hanging="720"/>
        <w:jc w:val="left"/>
        <w:rPr>
          <w:sz w:val="18"/>
        </w:rPr>
      </w:pPr>
      <w:r>
        <w:rPr>
          <w:sz w:val="18"/>
        </w:rPr>
        <w:t>Home</w:t>
      </w:r>
      <w:r>
        <w:rPr>
          <w:spacing w:val="-8"/>
          <w:sz w:val="18"/>
        </w:rPr>
        <w:t> </w:t>
      </w:r>
      <w:r>
        <w:rPr>
          <w:sz w:val="18"/>
        </w:rPr>
        <w:t>Office,</w:t>
      </w:r>
      <w:r>
        <w:rPr>
          <w:spacing w:val="-8"/>
          <w:sz w:val="18"/>
        </w:rPr>
        <w:t> </w:t>
      </w:r>
      <w:r>
        <w:rPr>
          <w:sz w:val="18"/>
        </w:rPr>
        <w:t>‘Official</w:t>
      </w:r>
      <w:r>
        <w:rPr>
          <w:spacing w:val="-8"/>
          <w:sz w:val="18"/>
        </w:rPr>
        <w:t> </w:t>
      </w:r>
      <w:r>
        <w:rPr>
          <w:sz w:val="18"/>
        </w:rPr>
        <w:t>Statistics</w:t>
      </w:r>
      <w:r>
        <w:rPr>
          <w:spacing w:val="-9"/>
          <w:sz w:val="18"/>
        </w:rPr>
        <w:t> </w:t>
      </w:r>
      <w:r>
        <w:rPr>
          <w:sz w:val="18"/>
        </w:rPr>
        <w:t>EU</w:t>
      </w:r>
      <w:r>
        <w:rPr>
          <w:spacing w:val="-7"/>
          <w:sz w:val="18"/>
        </w:rPr>
        <w:t> </w:t>
      </w:r>
      <w:r>
        <w:rPr>
          <w:sz w:val="18"/>
        </w:rPr>
        <w:t>Settlement</w:t>
      </w:r>
      <w:r>
        <w:rPr>
          <w:spacing w:val="-8"/>
          <w:sz w:val="18"/>
        </w:rPr>
        <w:t> </w:t>
      </w:r>
      <w:r>
        <w:rPr>
          <w:sz w:val="18"/>
        </w:rPr>
        <w:t>Scheme</w:t>
      </w:r>
      <w:r>
        <w:rPr>
          <w:spacing w:val="-8"/>
          <w:sz w:val="18"/>
        </w:rPr>
        <w:t> </w:t>
      </w:r>
      <w:r>
        <w:rPr>
          <w:sz w:val="18"/>
        </w:rPr>
        <w:t>quarterly</w:t>
      </w:r>
      <w:r>
        <w:rPr>
          <w:spacing w:val="-7"/>
          <w:sz w:val="18"/>
        </w:rPr>
        <w:t> </w:t>
      </w:r>
      <w:r>
        <w:rPr>
          <w:sz w:val="18"/>
        </w:rPr>
        <w:t>statistics,</w:t>
      </w:r>
      <w:r>
        <w:rPr>
          <w:spacing w:val="-8"/>
          <w:sz w:val="18"/>
        </w:rPr>
        <w:t> </w:t>
      </w:r>
      <w:r>
        <w:rPr>
          <w:sz w:val="18"/>
        </w:rPr>
        <w:t>December</w:t>
      </w:r>
      <w:r>
        <w:rPr>
          <w:spacing w:val="-8"/>
          <w:sz w:val="18"/>
        </w:rPr>
        <w:t> </w:t>
      </w:r>
      <w:r>
        <w:rPr>
          <w:sz w:val="18"/>
        </w:rPr>
        <w:t>2023’</w:t>
      </w:r>
      <w:r>
        <w:rPr>
          <w:spacing w:val="-7"/>
          <w:sz w:val="18"/>
        </w:rPr>
        <w:t> </w:t>
      </w:r>
      <w:r>
        <w:rPr>
          <w:sz w:val="18"/>
        </w:rPr>
        <w:t>(HO,</w:t>
      </w:r>
      <w:r>
        <w:rPr>
          <w:spacing w:val="-8"/>
          <w:sz w:val="18"/>
        </w:rPr>
        <w:t> </w:t>
      </w:r>
      <w:r>
        <w:rPr>
          <w:spacing w:val="-2"/>
          <w:sz w:val="18"/>
        </w:rPr>
        <w:t>2023).</w:t>
      </w:r>
    </w:p>
    <w:p>
      <w:pPr>
        <w:spacing w:after="0" w:line="240" w:lineRule="auto"/>
        <w:jc w:val="left"/>
        <w:rPr>
          <w:sz w:val="18"/>
        </w:rPr>
        <w:sectPr>
          <w:headerReference w:type="default" r:id="rId208"/>
          <w:headerReference w:type="even" r:id="rId209"/>
          <w:footerReference w:type="default" r:id="rId210"/>
          <w:footerReference w:type="even" r:id="rId211"/>
          <w:pgSz w:w="11910" w:h="16840"/>
          <w:pgMar w:header="496" w:footer="367" w:top="1220" w:bottom="560" w:left="0" w:right="0"/>
          <w:pgNumType w:start="145"/>
        </w:sectPr>
      </w:pPr>
    </w:p>
    <w:p>
      <w:pPr>
        <w:pStyle w:val="BodyText"/>
        <w:spacing w:before="198"/>
      </w:pPr>
    </w:p>
    <w:p>
      <w:pPr>
        <w:pStyle w:val="ListParagraph"/>
        <w:numPr>
          <w:ilvl w:val="1"/>
          <w:numId w:val="13"/>
        </w:numPr>
        <w:tabs>
          <w:tab w:pos="1853" w:val="left" w:leader="none"/>
        </w:tabs>
        <w:spacing w:line="225" w:lineRule="auto" w:before="0" w:after="0"/>
        <w:ind w:left="1853" w:right="1316" w:hanging="720"/>
        <w:jc w:val="left"/>
        <w:rPr>
          <w:b/>
          <w:color w:val="67287F"/>
          <w:sz w:val="28"/>
        </w:rPr>
      </w:pPr>
      <w:bookmarkStart w:name="_bookmark55" w:id="123"/>
      <w:bookmarkEnd w:id="123"/>
      <w:r>
        <w:rPr/>
      </w:r>
      <w:r>
        <w:rPr>
          <w:b/>
          <w:color w:val="67287F"/>
          <w:sz w:val="28"/>
        </w:rPr>
        <w:t>The</w:t>
      </w:r>
      <w:r>
        <w:rPr>
          <w:b/>
          <w:color w:val="67287F"/>
          <w:spacing w:val="-7"/>
          <w:sz w:val="28"/>
        </w:rPr>
        <w:t> </w:t>
      </w:r>
      <w:r>
        <w:rPr>
          <w:b/>
          <w:color w:val="67287F"/>
          <w:sz w:val="28"/>
        </w:rPr>
        <w:t>Commissions</w:t>
      </w:r>
      <w:r>
        <w:rPr>
          <w:b/>
          <w:color w:val="67287F"/>
          <w:spacing w:val="-6"/>
          <w:sz w:val="28"/>
        </w:rPr>
        <w:t> </w:t>
      </w:r>
      <w:r>
        <w:rPr>
          <w:b/>
          <w:color w:val="67287F"/>
          <w:sz w:val="28"/>
        </w:rPr>
        <w:t>recommend</w:t>
      </w:r>
      <w:r>
        <w:rPr>
          <w:b/>
          <w:color w:val="67287F"/>
          <w:spacing w:val="-6"/>
          <w:sz w:val="28"/>
        </w:rPr>
        <w:t> </w:t>
      </w:r>
      <w:r>
        <w:rPr>
          <w:b/>
          <w:color w:val="67287F"/>
          <w:sz w:val="28"/>
        </w:rPr>
        <w:t>that</w:t>
      </w:r>
      <w:r>
        <w:rPr>
          <w:b/>
          <w:color w:val="67287F"/>
          <w:spacing w:val="-6"/>
          <w:sz w:val="28"/>
        </w:rPr>
        <w:t> </w:t>
      </w:r>
      <w:r>
        <w:rPr>
          <w:b/>
          <w:color w:val="67287F"/>
          <w:sz w:val="28"/>
        </w:rPr>
        <w:t>the</w:t>
      </w:r>
      <w:r>
        <w:rPr>
          <w:b/>
          <w:color w:val="67287F"/>
          <w:spacing w:val="-7"/>
          <w:sz w:val="28"/>
        </w:rPr>
        <w:t> </w:t>
      </w:r>
      <w:r>
        <w:rPr>
          <w:b/>
          <w:color w:val="67287F"/>
          <w:sz w:val="28"/>
        </w:rPr>
        <w:t>Home</w:t>
      </w:r>
      <w:r>
        <w:rPr>
          <w:b/>
          <w:color w:val="67287F"/>
          <w:spacing w:val="-7"/>
          <w:sz w:val="28"/>
        </w:rPr>
        <w:t> </w:t>
      </w:r>
      <w:r>
        <w:rPr>
          <w:b/>
          <w:color w:val="67287F"/>
          <w:sz w:val="28"/>
        </w:rPr>
        <w:t>Office</w:t>
      </w:r>
      <w:r>
        <w:rPr>
          <w:b/>
          <w:color w:val="67287F"/>
          <w:spacing w:val="-7"/>
          <w:sz w:val="28"/>
        </w:rPr>
        <w:t> </w:t>
      </w:r>
      <w:r>
        <w:rPr>
          <w:b/>
          <w:color w:val="67287F"/>
          <w:sz w:val="28"/>
        </w:rPr>
        <w:t>ensure</w:t>
      </w:r>
      <w:r>
        <w:rPr>
          <w:b/>
          <w:color w:val="67287F"/>
          <w:spacing w:val="-7"/>
          <w:sz w:val="28"/>
        </w:rPr>
        <w:t> </w:t>
      </w:r>
      <w:r>
        <w:rPr>
          <w:b/>
          <w:color w:val="67287F"/>
          <w:sz w:val="28"/>
        </w:rPr>
        <w:t>the</w:t>
      </w:r>
      <w:r>
        <w:rPr>
          <w:b/>
          <w:color w:val="67287F"/>
          <w:spacing w:val="-7"/>
          <w:sz w:val="28"/>
        </w:rPr>
        <w:t> </w:t>
      </w:r>
      <w:r>
        <w:rPr>
          <w:b/>
          <w:color w:val="67287F"/>
          <w:sz w:val="28"/>
        </w:rPr>
        <w:t>provision</w:t>
      </w:r>
      <w:r>
        <w:rPr>
          <w:b/>
          <w:color w:val="67287F"/>
          <w:spacing w:val="-6"/>
          <w:sz w:val="28"/>
        </w:rPr>
        <w:t> </w:t>
      </w:r>
      <w:r>
        <w:rPr>
          <w:b/>
          <w:color w:val="67287F"/>
          <w:sz w:val="28"/>
        </w:rPr>
        <w:t>of an option for EU citizens to obtain physical proof of pre-settled or settled </w:t>
      </w:r>
      <w:r>
        <w:rPr>
          <w:b/>
          <w:color w:val="67287F"/>
          <w:spacing w:val="-2"/>
          <w:sz w:val="28"/>
        </w:rPr>
        <w:t>status.</w:t>
      </w:r>
    </w:p>
    <w:p>
      <w:pPr>
        <w:pStyle w:val="ListParagraph"/>
        <w:numPr>
          <w:ilvl w:val="1"/>
          <w:numId w:val="13"/>
        </w:numPr>
        <w:tabs>
          <w:tab w:pos="1853" w:val="left" w:leader="none"/>
        </w:tabs>
        <w:spacing w:line="225" w:lineRule="auto" w:before="317" w:after="0"/>
        <w:ind w:left="1853" w:right="1203" w:hanging="720"/>
        <w:jc w:val="both"/>
        <w:rPr>
          <w:b/>
          <w:color w:val="67287F"/>
          <w:sz w:val="28"/>
        </w:rPr>
      </w:pPr>
      <w:r>
        <w:rPr>
          <w:b/>
          <w:color w:val="67287F"/>
          <w:sz w:val="28"/>
        </w:rPr>
        <w:t>The Commissions recommend that the Home Office take immediate action to resolve any outstanding applications under the EU Settlement Scheme in NI</w:t>
      </w:r>
      <w:r>
        <w:rPr>
          <w:b/>
          <w:color w:val="67287F"/>
          <w:spacing w:val="-9"/>
          <w:sz w:val="28"/>
        </w:rPr>
        <w:t> </w:t>
      </w:r>
      <w:r>
        <w:rPr>
          <w:b/>
          <w:color w:val="67287F"/>
          <w:sz w:val="28"/>
        </w:rPr>
        <w:t>and</w:t>
      </w:r>
      <w:r>
        <w:rPr>
          <w:b/>
          <w:color w:val="67287F"/>
          <w:spacing w:val="-9"/>
          <w:sz w:val="28"/>
        </w:rPr>
        <w:t> </w:t>
      </w:r>
      <w:r>
        <w:rPr>
          <w:b/>
          <w:color w:val="67287F"/>
          <w:sz w:val="28"/>
        </w:rPr>
        <w:t>ensure</w:t>
      </w:r>
      <w:r>
        <w:rPr>
          <w:b/>
          <w:color w:val="67287F"/>
          <w:spacing w:val="-10"/>
          <w:sz w:val="28"/>
        </w:rPr>
        <w:t> </w:t>
      </w:r>
      <w:r>
        <w:rPr>
          <w:b/>
          <w:color w:val="67287F"/>
          <w:sz w:val="28"/>
        </w:rPr>
        <w:t>all</w:t>
      </w:r>
      <w:r>
        <w:rPr>
          <w:b/>
          <w:color w:val="67287F"/>
          <w:spacing w:val="-9"/>
          <w:sz w:val="28"/>
        </w:rPr>
        <w:t> </w:t>
      </w:r>
      <w:r>
        <w:rPr>
          <w:b/>
          <w:color w:val="67287F"/>
          <w:sz w:val="28"/>
        </w:rPr>
        <w:t>future</w:t>
      </w:r>
      <w:r>
        <w:rPr>
          <w:b/>
          <w:color w:val="67287F"/>
          <w:spacing w:val="-10"/>
          <w:sz w:val="28"/>
        </w:rPr>
        <w:t> </w:t>
      </w:r>
      <w:r>
        <w:rPr>
          <w:b/>
          <w:color w:val="67287F"/>
          <w:sz w:val="28"/>
        </w:rPr>
        <w:t>applications</w:t>
      </w:r>
      <w:r>
        <w:rPr>
          <w:b/>
          <w:color w:val="67287F"/>
          <w:spacing w:val="-9"/>
          <w:sz w:val="28"/>
        </w:rPr>
        <w:t> </w:t>
      </w:r>
      <w:r>
        <w:rPr>
          <w:b/>
          <w:color w:val="67287F"/>
          <w:sz w:val="28"/>
        </w:rPr>
        <w:t>are</w:t>
      </w:r>
      <w:r>
        <w:rPr>
          <w:b/>
          <w:color w:val="67287F"/>
          <w:spacing w:val="-10"/>
          <w:sz w:val="28"/>
        </w:rPr>
        <w:t> </w:t>
      </w:r>
      <w:r>
        <w:rPr>
          <w:b/>
          <w:color w:val="67287F"/>
          <w:sz w:val="28"/>
        </w:rPr>
        <w:t>dealt</w:t>
      </w:r>
      <w:r>
        <w:rPr>
          <w:b/>
          <w:color w:val="67287F"/>
          <w:spacing w:val="-9"/>
          <w:sz w:val="28"/>
        </w:rPr>
        <w:t> </w:t>
      </w:r>
      <w:r>
        <w:rPr>
          <w:b/>
          <w:color w:val="67287F"/>
          <w:sz w:val="28"/>
        </w:rPr>
        <w:t>with</w:t>
      </w:r>
      <w:r>
        <w:rPr>
          <w:b/>
          <w:color w:val="67287F"/>
          <w:spacing w:val="-9"/>
          <w:sz w:val="28"/>
        </w:rPr>
        <w:t> </w:t>
      </w:r>
      <w:r>
        <w:rPr>
          <w:b/>
          <w:color w:val="67287F"/>
          <w:sz w:val="28"/>
        </w:rPr>
        <w:t>promptly</w:t>
      </w:r>
      <w:r>
        <w:rPr>
          <w:b/>
          <w:color w:val="67287F"/>
          <w:spacing w:val="-9"/>
          <w:sz w:val="28"/>
        </w:rPr>
        <w:t> </w:t>
      </w:r>
      <w:r>
        <w:rPr>
          <w:b/>
          <w:color w:val="67287F"/>
          <w:sz w:val="28"/>
        </w:rPr>
        <w:t>and</w:t>
      </w:r>
      <w:r>
        <w:rPr>
          <w:b/>
          <w:color w:val="67287F"/>
          <w:spacing w:val="-9"/>
          <w:sz w:val="28"/>
        </w:rPr>
        <w:t> </w:t>
      </w:r>
      <w:r>
        <w:rPr>
          <w:b/>
          <w:color w:val="67287F"/>
          <w:sz w:val="28"/>
        </w:rPr>
        <w:t>effectively.</w:t>
      </w:r>
    </w:p>
    <w:p>
      <w:pPr>
        <w:pStyle w:val="BodyText"/>
        <w:spacing w:before="2"/>
        <w:rPr>
          <w:b/>
        </w:rPr>
      </w:pPr>
    </w:p>
    <w:p>
      <w:pPr>
        <w:pStyle w:val="Heading3"/>
      </w:pPr>
      <w:bookmarkStart w:name="EU Citizenship and Workers’ Rights" w:id="124"/>
      <w:bookmarkEnd w:id="124"/>
      <w:r>
        <w:rPr>
          <w:b w:val="0"/>
        </w:rPr>
      </w:r>
      <w:r>
        <w:rPr>
          <w:color w:val="67287F"/>
        </w:rPr>
        <w:t>EU</w:t>
      </w:r>
      <w:r>
        <w:rPr>
          <w:color w:val="67287F"/>
          <w:spacing w:val="-13"/>
        </w:rPr>
        <w:t> </w:t>
      </w:r>
      <w:r>
        <w:rPr>
          <w:color w:val="67287F"/>
        </w:rPr>
        <w:t>Citizenship</w:t>
      </w:r>
      <w:r>
        <w:rPr>
          <w:color w:val="67287F"/>
          <w:spacing w:val="-12"/>
        </w:rPr>
        <w:t> </w:t>
      </w:r>
      <w:r>
        <w:rPr>
          <w:color w:val="67287F"/>
        </w:rPr>
        <w:t>and</w:t>
      </w:r>
      <w:r>
        <w:rPr>
          <w:color w:val="67287F"/>
          <w:spacing w:val="-12"/>
        </w:rPr>
        <w:t> </w:t>
      </w:r>
      <w:r>
        <w:rPr>
          <w:color w:val="67287F"/>
        </w:rPr>
        <w:t>Workers’</w:t>
      </w:r>
      <w:r>
        <w:rPr>
          <w:color w:val="67287F"/>
          <w:spacing w:val="-12"/>
        </w:rPr>
        <w:t> </w:t>
      </w:r>
      <w:r>
        <w:rPr>
          <w:color w:val="67287F"/>
          <w:spacing w:val="-2"/>
        </w:rPr>
        <w:t>Rights</w:t>
      </w:r>
    </w:p>
    <w:p>
      <w:pPr>
        <w:pStyle w:val="BodyText"/>
        <w:spacing w:before="4"/>
        <w:rPr>
          <w:b/>
          <w:sz w:val="5"/>
        </w:rPr>
      </w:pPr>
      <w:r>
        <w:rPr/>
        <mc:AlternateContent>
          <mc:Choice Requires="wps">
            <w:drawing>
              <wp:anchor distT="0" distB="0" distL="0" distR="0" allowOverlap="1" layoutInCell="1" locked="0" behindDoc="1" simplePos="0" relativeHeight="487721984">
                <wp:simplePos x="0" y="0"/>
                <wp:positionH relativeFrom="page">
                  <wp:posOffset>719996</wp:posOffset>
                </wp:positionH>
                <wp:positionV relativeFrom="paragraph">
                  <wp:posOffset>56714</wp:posOffset>
                </wp:positionV>
                <wp:extent cx="6120130" cy="1270"/>
                <wp:effectExtent l="0" t="0" r="0" b="0"/>
                <wp:wrapTopAndBottom/>
                <wp:docPr id="616" name="Graphic 616"/>
                <wp:cNvGraphicFramePr>
                  <a:graphicFrameLocks/>
                </wp:cNvGraphicFramePr>
                <a:graphic>
                  <a:graphicData uri="http://schemas.microsoft.com/office/word/2010/wordprocessingShape">
                    <wps:wsp>
                      <wps:cNvPr id="616" name="Graphic 616"/>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4.465737pt;width:481.9pt;height:.1pt;mso-position-horizontal-relative:page;mso-position-vertical-relative:paragraph;z-index:-15594496;mso-wrap-distance-left:0;mso-wrap-distance-right:0" id="docshape560" coordorigin="1134,89" coordsize="9638,0" path="m10772,89l1134,89e" filled="false" stroked="true" strokeweight="1pt" strokecolor="#67287f">
                <v:path arrowok="t"/>
                <v:stroke dashstyle="solid"/>
                <w10:wrap type="topAndBottom"/>
              </v:shape>
            </w:pict>
          </mc:Fallback>
        </mc:AlternateContent>
      </w:r>
    </w:p>
    <w:p>
      <w:pPr>
        <w:pStyle w:val="ListParagraph"/>
        <w:numPr>
          <w:ilvl w:val="1"/>
          <w:numId w:val="13"/>
        </w:numPr>
        <w:tabs>
          <w:tab w:pos="1853" w:val="left" w:leader="none"/>
        </w:tabs>
        <w:spacing w:line="225" w:lineRule="auto" w:before="335" w:after="0"/>
        <w:ind w:left="1853" w:right="1129" w:hanging="720"/>
        <w:jc w:val="left"/>
        <w:rPr>
          <w:sz w:val="28"/>
        </w:rPr>
      </w:pPr>
      <w:r>
        <w:rPr>
          <w:sz w:val="28"/>
        </w:rPr>
        <w:t>Under Article 26 of the UK-EU Withdrawal Agreement, frontier workers are entitled to be issued with appropriate documentation which certifies their rights as frontier workers.</w:t>
      </w:r>
      <w:r>
        <w:rPr>
          <w:sz w:val="28"/>
          <w:vertAlign w:val="superscript"/>
        </w:rPr>
        <w:t>815</w:t>
      </w:r>
      <w:r>
        <w:rPr>
          <w:sz w:val="28"/>
          <w:vertAlign w:val="baseline"/>
        </w:rPr>
        <w:t> In practical terms, this means that Irish, British and</w:t>
      </w:r>
      <w:r>
        <w:rPr>
          <w:spacing w:val="-5"/>
          <w:sz w:val="28"/>
          <w:vertAlign w:val="baseline"/>
        </w:rPr>
        <w:t> </w:t>
      </w:r>
      <w:r>
        <w:rPr>
          <w:sz w:val="28"/>
          <w:vertAlign w:val="baseline"/>
        </w:rPr>
        <w:t>EU</w:t>
      </w:r>
      <w:r>
        <w:rPr>
          <w:spacing w:val="-5"/>
          <w:sz w:val="28"/>
          <w:vertAlign w:val="baseline"/>
        </w:rPr>
        <w:t> </w:t>
      </w:r>
      <w:r>
        <w:rPr>
          <w:sz w:val="28"/>
          <w:vertAlign w:val="baseline"/>
        </w:rPr>
        <w:t>citizens</w:t>
      </w:r>
      <w:r>
        <w:rPr>
          <w:spacing w:val="-6"/>
          <w:sz w:val="28"/>
          <w:vertAlign w:val="baseline"/>
        </w:rPr>
        <w:t> </w:t>
      </w:r>
      <w:r>
        <w:rPr>
          <w:sz w:val="28"/>
          <w:vertAlign w:val="baseline"/>
        </w:rPr>
        <w:t>who</w:t>
      </w:r>
      <w:r>
        <w:rPr>
          <w:spacing w:val="-6"/>
          <w:sz w:val="28"/>
          <w:vertAlign w:val="baseline"/>
        </w:rPr>
        <w:t> </w:t>
      </w:r>
      <w:r>
        <w:rPr>
          <w:sz w:val="28"/>
          <w:vertAlign w:val="baseline"/>
        </w:rPr>
        <w:t>commenced</w:t>
      </w:r>
      <w:r>
        <w:rPr>
          <w:spacing w:val="-6"/>
          <w:sz w:val="28"/>
          <w:vertAlign w:val="baseline"/>
        </w:rPr>
        <w:t> </w:t>
      </w:r>
      <w:r>
        <w:rPr>
          <w:sz w:val="28"/>
          <w:vertAlign w:val="baseline"/>
        </w:rPr>
        <w:t>a</w:t>
      </w:r>
      <w:r>
        <w:rPr>
          <w:spacing w:val="-6"/>
          <w:sz w:val="28"/>
          <w:vertAlign w:val="baseline"/>
        </w:rPr>
        <w:t> </w:t>
      </w:r>
      <w:r>
        <w:rPr>
          <w:sz w:val="28"/>
          <w:vertAlign w:val="baseline"/>
        </w:rPr>
        <w:t>cross-border</w:t>
      </w:r>
      <w:r>
        <w:rPr>
          <w:spacing w:val="-5"/>
          <w:sz w:val="28"/>
          <w:vertAlign w:val="baseline"/>
        </w:rPr>
        <w:t> </w:t>
      </w:r>
      <w:r>
        <w:rPr>
          <w:sz w:val="28"/>
          <w:vertAlign w:val="baseline"/>
        </w:rPr>
        <w:t>job</w:t>
      </w:r>
      <w:r>
        <w:rPr>
          <w:spacing w:val="-5"/>
          <w:sz w:val="28"/>
          <w:vertAlign w:val="baseline"/>
        </w:rPr>
        <w:t> </w:t>
      </w:r>
      <w:r>
        <w:rPr>
          <w:sz w:val="28"/>
          <w:vertAlign w:val="baseline"/>
        </w:rPr>
        <w:t>on</w:t>
      </w:r>
      <w:r>
        <w:rPr>
          <w:spacing w:val="-5"/>
          <w:sz w:val="28"/>
          <w:vertAlign w:val="baseline"/>
        </w:rPr>
        <w:t> </w:t>
      </w:r>
      <w:r>
        <w:rPr>
          <w:sz w:val="28"/>
          <w:vertAlign w:val="baseline"/>
        </w:rPr>
        <w:t>or</w:t>
      </w:r>
      <w:r>
        <w:rPr>
          <w:spacing w:val="-5"/>
          <w:sz w:val="28"/>
          <w:vertAlign w:val="baseline"/>
        </w:rPr>
        <w:t> </w:t>
      </w:r>
      <w:r>
        <w:rPr>
          <w:sz w:val="28"/>
          <w:vertAlign w:val="baseline"/>
        </w:rPr>
        <w:t>before</w:t>
      </w:r>
      <w:r>
        <w:rPr>
          <w:spacing w:val="-6"/>
          <w:sz w:val="28"/>
          <w:vertAlign w:val="baseline"/>
        </w:rPr>
        <w:t> </w:t>
      </w:r>
      <w:r>
        <w:rPr>
          <w:sz w:val="28"/>
          <w:vertAlign w:val="baseline"/>
        </w:rPr>
        <w:t>31</w:t>
      </w:r>
      <w:r>
        <w:rPr>
          <w:spacing w:val="-5"/>
          <w:sz w:val="28"/>
          <w:vertAlign w:val="baseline"/>
        </w:rPr>
        <w:t> </w:t>
      </w:r>
      <w:r>
        <w:rPr>
          <w:sz w:val="28"/>
          <w:vertAlign w:val="baseline"/>
        </w:rPr>
        <w:t>December 2020 will benefit from the UK-EU Withdrawal Agreement.</w:t>
      </w:r>
    </w:p>
    <w:p>
      <w:pPr>
        <w:pStyle w:val="ListParagraph"/>
        <w:numPr>
          <w:ilvl w:val="1"/>
          <w:numId w:val="13"/>
        </w:numPr>
        <w:tabs>
          <w:tab w:pos="1853" w:val="left" w:leader="none"/>
        </w:tabs>
        <w:spacing w:line="225" w:lineRule="auto" w:before="314" w:after="0"/>
        <w:ind w:left="1853" w:right="1302" w:hanging="720"/>
        <w:jc w:val="left"/>
        <w:rPr>
          <w:sz w:val="28"/>
        </w:rPr>
      </w:pPr>
      <w:r>
        <w:rPr>
          <w:sz w:val="28"/>
        </w:rPr>
        <w:t>The</w:t>
      </w:r>
      <w:r>
        <w:rPr>
          <w:spacing w:val="-4"/>
          <w:sz w:val="28"/>
        </w:rPr>
        <w:t> </w:t>
      </w:r>
      <w:r>
        <w:rPr>
          <w:sz w:val="28"/>
        </w:rPr>
        <w:t>Frontier</w:t>
      </w:r>
      <w:r>
        <w:rPr>
          <w:spacing w:val="-4"/>
          <w:sz w:val="28"/>
        </w:rPr>
        <w:t> </w:t>
      </w:r>
      <w:r>
        <w:rPr>
          <w:sz w:val="28"/>
        </w:rPr>
        <w:t>Workers</w:t>
      </w:r>
      <w:r>
        <w:rPr>
          <w:spacing w:val="-5"/>
          <w:sz w:val="28"/>
        </w:rPr>
        <w:t> </w:t>
      </w:r>
      <w:r>
        <w:rPr>
          <w:sz w:val="28"/>
        </w:rPr>
        <w:t>Permit</w:t>
      </w:r>
      <w:r>
        <w:rPr>
          <w:spacing w:val="-4"/>
          <w:sz w:val="28"/>
        </w:rPr>
        <w:t> </w:t>
      </w:r>
      <w:r>
        <w:rPr>
          <w:sz w:val="28"/>
        </w:rPr>
        <w:t>Scheme</w:t>
      </w:r>
      <w:r>
        <w:rPr>
          <w:spacing w:val="-4"/>
          <w:sz w:val="28"/>
        </w:rPr>
        <w:t> </w:t>
      </w:r>
      <w:r>
        <w:rPr>
          <w:sz w:val="28"/>
        </w:rPr>
        <w:t>was</w:t>
      </w:r>
      <w:r>
        <w:rPr>
          <w:spacing w:val="-5"/>
          <w:sz w:val="28"/>
        </w:rPr>
        <w:t> </w:t>
      </w:r>
      <w:r>
        <w:rPr>
          <w:sz w:val="28"/>
        </w:rPr>
        <w:t>established</w:t>
      </w:r>
      <w:r>
        <w:rPr>
          <w:spacing w:val="-5"/>
          <w:sz w:val="28"/>
        </w:rPr>
        <w:t> </w:t>
      </w:r>
      <w:r>
        <w:rPr>
          <w:sz w:val="28"/>
        </w:rPr>
        <w:t>by</w:t>
      </w:r>
      <w:r>
        <w:rPr>
          <w:spacing w:val="-4"/>
          <w:sz w:val="28"/>
        </w:rPr>
        <w:t> </w:t>
      </w:r>
      <w:r>
        <w:rPr>
          <w:sz w:val="28"/>
        </w:rPr>
        <w:t>the</w:t>
      </w:r>
      <w:r>
        <w:rPr>
          <w:spacing w:val="-4"/>
          <w:sz w:val="28"/>
        </w:rPr>
        <w:t> </w:t>
      </w:r>
      <w:r>
        <w:rPr>
          <w:sz w:val="28"/>
        </w:rPr>
        <w:t>UK</w:t>
      </w:r>
      <w:r>
        <w:rPr>
          <w:spacing w:val="-4"/>
          <w:sz w:val="28"/>
        </w:rPr>
        <w:t> </w:t>
      </w:r>
      <w:r>
        <w:rPr>
          <w:sz w:val="28"/>
        </w:rPr>
        <w:t>Government to ensure that EU citizens living in Ireland but working in NI on or after 1 July 2021 can prove their right to work in the UK.</w:t>
      </w:r>
      <w:r>
        <w:rPr>
          <w:sz w:val="28"/>
          <w:vertAlign w:val="superscript"/>
        </w:rPr>
        <w:t>816</w:t>
      </w:r>
      <w:r>
        <w:rPr>
          <w:sz w:val="28"/>
          <w:vertAlign w:val="baseline"/>
        </w:rPr>
        <w:t> Any EU citizens wishing to come</w:t>
      </w:r>
      <w:r>
        <w:rPr>
          <w:spacing w:val="-4"/>
          <w:sz w:val="28"/>
          <w:vertAlign w:val="baseline"/>
        </w:rPr>
        <w:t> </w:t>
      </w:r>
      <w:r>
        <w:rPr>
          <w:sz w:val="28"/>
          <w:vertAlign w:val="baseline"/>
        </w:rPr>
        <w:t>to</w:t>
      </w:r>
      <w:r>
        <w:rPr>
          <w:spacing w:val="-5"/>
          <w:sz w:val="28"/>
          <w:vertAlign w:val="baseline"/>
        </w:rPr>
        <w:t> </w:t>
      </w:r>
      <w:r>
        <w:rPr>
          <w:sz w:val="28"/>
          <w:vertAlign w:val="baseline"/>
        </w:rPr>
        <w:t>the</w:t>
      </w:r>
      <w:r>
        <w:rPr>
          <w:spacing w:val="-4"/>
          <w:sz w:val="28"/>
          <w:vertAlign w:val="baseline"/>
        </w:rPr>
        <w:t> </w:t>
      </w:r>
      <w:r>
        <w:rPr>
          <w:sz w:val="28"/>
          <w:vertAlign w:val="baseline"/>
        </w:rPr>
        <w:t>UK</w:t>
      </w:r>
      <w:r>
        <w:rPr>
          <w:spacing w:val="-4"/>
          <w:sz w:val="28"/>
          <w:vertAlign w:val="baseline"/>
        </w:rPr>
        <w:t> </w:t>
      </w:r>
      <w:r>
        <w:rPr>
          <w:sz w:val="28"/>
          <w:vertAlign w:val="baseline"/>
        </w:rPr>
        <w:t>to</w:t>
      </w:r>
      <w:r>
        <w:rPr>
          <w:spacing w:val="-5"/>
          <w:sz w:val="28"/>
          <w:vertAlign w:val="baseline"/>
        </w:rPr>
        <w:t> </w:t>
      </w:r>
      <w:r>
        <w:rPr>
          <w:sz w:val="28"/>
          <w:vertAlign w:val="baseline"/>
        </w:rPr>
        <w:t>work</w:t>
      </w:r>
      <w:r>
        <w:rPr>
          <w:spacing w:val="-4"/>
          <w:sz w:val="28"/>
          <w:vertAlign w:val="baseline"/>
        </w:rPr>
        <w:t> </w:t>
      </w:r>
      <w:r>
        <w:rPr>
          <w:sz w:val="28"/>
          <w:vertAlign w:val="baseline"/>
        </w:rPr>
        <w:t>on</w:t>
      </w:r>
      <w:r>
        <w:rPr>
          <w:spacing w:val="-5"/>
          <w:sz w:val="28"/>
          <w:vertAlign w:val="baseline"/>
        </w:rPr>
        <w:t> </w:t>
      </w:r>
      <w:r>
        <w:rPr>
          <w:sz w:val="28"/>
          <w:vertAlign w:val="baseline"/>
        </w:rPr>
        <w:t>or</w:t>
      </w:r>
      <w:r>
        <w:rPr>
          <w:spacing w:val="-4"/>
          <w:sz w:val="28"/>
          <w:vertAlign w:val="baseline"/>
        </w:rPr>
        <w:t> </w:t>
      </w:r>
      <w:r>
        <w:rPr>
          <w:sz w:val="28"/>
          <w:vertAlign w:val="baseline"/>
        </w:rPr>
        <w:t>after</w:t>
      </w:r>
      <w:r>
        <w:rPr>
          <w:spacing w:val="-4"/>
          <w:sz w:val="28"/>
          <w:vertAlign w:val="baseline"/>
        </w:rPr>
        <w:t> </w:t>
      </w:r>
      <w:r>
        <w:rPr>
          <w:sz w:val="28"/>
          <w:vertAlign w:val="baseline"/>
        </w:rPr>
        <w:t>1</w:t>
      </w:r>
      <w:r>
        <w:rPr>
          <w:spacing w:val="-4"/>
          <w:sz w:val="28"/>
          <w:vertAlign w:val="baseline"/>
        </w:rPr>
        <w:t> </w:t>
      </w:r>
      <w:r>
        <w:rPr>
          <w:sz w:val="28"/>
          <w:vertAlign w:val="baseline"/>
        </w:rPr>
        <w:t>January</w:t>
      </w:r>
      <w:r>
        <w:rPr>
          <w:spacing w:val="-4"/>
          <w:sz w:val="28"/>
          <w:vertAlign w:val="baseline"/>
        </w:rPr>
        <w:t> </w:t>
      </w:r>
      <w:r>
        <w:rPr>
          <w:sz w:val="28"/>
          <w:vertAlign w:val="baseline"/>
        </w:rPr>
        <w:t>2021</w:t>
      </w:r>
      <w:r>
        <w:rPr>
          <w:spacing w:val="-4"/>
          <w:sz w:val="28"/>
          <w:vertAlign w:val="baseline"/>
        </w:rPr>
        <w:t> </w:t>
      </w:r>
      <w:r>
        <w:rPr>
          <w:sz w:val="28"/>
          <w:vertAlign w:val="baseline"/>
        </w:rPr>
        <w:t>have</w:t>
      </w:r>
      <w:r>
        <w:rPr>
          <w:spacing w:val="-4"/>
          <w:sz w:val="28"/>
          <w:vertAlign w:val="baseline"/>
        </w:rPr>
        <w:t> </w:t>
      </w:r>
      <w:r>
        <w:rPr>
          <w:sz w:val="28"/>
          <w:vertAlign w:val="baseline"/>
        </w:rPr>
        <w:t>to</w:t>
      </w:r>
      <w:r>
        <w:rPr>
          <w:spacing w:val="-5"/>
          <w:sz w:val="28"/>
          <w:vertAlign w:val="baseline"/>
        </w:rPr>
        <w:t> </w:t>
      </w:r>
      <w:r>
        <w:rPr>
          <w:sz w:val="28"/>
          <w:vertAlign w:val="baseline"/>
        </w:rPr>
        <w:t>apply</w:t>
      </w:r>
      <w:r>
        <w:rPr>
          <w:spacing w:val="-4"/>
          <w:sz w:val="28"/>
          <w:vertAlign w:val="baseline"/>
        </w:rPr>
        <w:t> </w:t>
      </w:r>
      <w:r>
        <w:rPr>
          <w:sz w:val="28"/>
          <w:vertAlign w:val="baseline"/>
        </w:rPr>
        <w:t>through</w:t>
      </w:r>
      <w:r>
        <w:rPr>
          <w:spacing w:val="-5"/>
          <w:sz w:val="28"/>
          <w:vertAlign w:val="baseline"/>
        </w:rPr>
        <w:t> </w:t>
      </w:r>
      <w:r>
        <w:rPr>
          <w:sz w:val="28"/>
          <w:vertAlign w:val="baseline"/>
        </w:rPr>
        <w:t>the new points-based immigration system.</w:t>
      </w:r>
    </w:p>
    <w:p>
      <w:pPr>
        <w:pStyle w:val="ListParagraph"/>
        <w:numPr>
          <w:ilvl w:val="1"/>
          <w:numId w:val="13"/>
        </w:numPr>
        <w:tabs>
          <w:tab w:pos="1853" w:val="left" w:leader="none"/>
        </w:tabs>
        <w:spacing w:line="225" w:lineRule="auto" w:before="314" w:after="0"/>
        <w:ind w:left="1853" w:right="1131" w:hanging="720"/>
        <w:jc w:val="left"/>
        <w:rPr>
          <w:sz w:val="28"/>
        </w:rPr>
      </w:pPr>
      <w:r>
        <w:rPr>
          <w:sz w:val="28"/>
        </w:rPr>
        <w:t>EU citizens, including Irish citizens, living in NI and working in Ireland on or after</w:t>
      </w:r>
      <w:r>
        <w:rPr>
          <w:spacing w:val="-4"/>
          <w:sz w:val="28"/>
        </w:rPr>
        <w:t> </w:t>
      </w:r>
      <w:r>
        <w:rPr>
          <w:sz w:val="28"/>
        </w:rPr>
        <w:t>1</w:t>
      </w:r>
      <w:r>
        <w:rPr>
          <w:spacing w:val="-4"/>
          <w:sz w:val="28"/>
        </w:rPr>
        <w:t> </w:t>
      </w:r>
      <w:r>
        <w:rPr>
          <w:sz w:val="28"/>
        </w:rPr>
        <w:t>January</w:t>
      </w:r>
      <w:r>
        <w:rPr>
          <w:spacing w:val="-4"/>
          <w:sz w:val="28"/>
        </w:rPr>
        <w:t> </w:t>
      </w:r>
      <w:r>
        <w:rPr>
          <w:sz w:val="28"/>
        </w:rPr>
        <w:t>2021</w:t>
      </w:r>
      <w:r>
        <w:rPr>
          <w:spacing w:val="-4"/>
          <w:sz w:val="28"/>
        </w:rPr>
        <w:t> </w:t>
      </w:r>
      <w:r>
        <w:rPr>
          <w:sz w:val="28"/>
        </w:rPr>
        <w:t>do</w:t>
      </w:r>
      <w:r>
        <w:rPr>
          <w:spacing w:val="-5"/>
          <w:sz w:val="28"/>
        </w:rPr>
        <w:t> </w:t>
      </w:r>
      <w:r>
        <w:rPr>
          <w:sz w:val="28"/>
        </w:rPr>
        <w:t>not</w:t>
      </w:r>
      <w:r>
        <w:rPr>
          <w:spacing w:val="-4"/>
          <w:sz w:val="28"/>
        </w:rPr>
        <w:t> </w:t>
      </w:r>
      <w:r>
        <w:rPr>
          <w:sz w:val="28"/>
        </w:rPr>
        <w:t>have</w:t>
      </w:r>
      <w:r>
        <w:rPr>
          <w:spacing w:val="-4"/>
          <w:sz w:val="28"/>
        </w:rPr>
        <w:t> </w:t>
      </w:r>
      <w:r>
        <w:rPr>
          <w:sz w:val="28"/>
        </w:rPr>
        <w:t>to</w:t>
      </w:r>
      <w:r>
        <w:rPr>
          <w:spacing w:val="-5"/>
          <w:sz w:val="28"/>
        </w:rPr>
        <w:t> </w:t>
      </w:r>
      <w:r>
        <w:rPr>
          <w:sz w:val="28"/>
        </w:rPr>
        <w:t>apply</w:t>
      </w:r>
      <w:r>
        <w:rPr>
          <w:spacing w:val="-4"/>
          <w:sz w:val="28"/>
        </w:rPr>
        <w:t> </w:t>
      </w:r>
      <w:r>
        <w:rPr>
          <w:sz w:val="28"/>
        </w:rPr>
        <w:t>to</w:t>
      </w:r>
      <w:r>
        <w:rPr>
          <w:spacing w:val="-5"/>
          <w:sz w:val="28"/>
        </w:rPr>
        <w:t> </w:t>
      </w:r>
      <w:r>
        <w:rPr>
          <w:sz w:val="28"/>
        </w:rPr>
        <w:t>a</w:t>
      </w:r>
      <w:r>
        <w:rPr>
          <w:spacing w:val="-5"/>
          <w:sz w:val="28"/>
        </w:rPr>
        <w:t> </w:t>
      </w:r>
      <w:r>
        <w:rPr>
          <w:sz w:val="28"/>
        </w:rPr>
        <w:t>similar</w:t>
      </w:r>
      <w:r>
        <w:rPr>
          <w:spacing w:val="-4"/>
          <w:sz w:val="28"/>
        </w:rPr>
        <w:t> </w:t>
      </w:r>
      <w:r>
        <w:rPr>
          <w:sz w:val="28"/>
        </w:rPr>
        <w:t>scheme</w:t>
      </w:r>
      <w:r>
        <w:rPr>
          <w:spacing w:val="-4"/>
          <w:sz w:val="28"/>
        </w:rPr>
        <w:t> </w:t>
      </w:r>
      <w:r>
        <w:rPr>
          <w:sz w:val="28"/>
        </w:rPr>
        <w:t>as</w:t>
      </w:r>
      <w:r>
        <w:rPr>
          <w:spacing w:val="-5"/>
          <w:sz w:val="28"/>
        </w:rPr>
        <w:t> </w:t>
      </w:r>
      <w:r>
        <w:rPr>
          <w:sz w:val="28"/>
        </w:rPr>
        <w:t>they</w:t>
      </w:r>
      <w:r>
        <w:rPr>
          <w:spacing w:val="-4"/>
          <w:sz w:val="28"/>
        </w:rPr>
        <w:t> </w:t>
      </w:r>
      <w:r>
        <w:rPr>
          <w:sz w:val="28"/>
        </w:rPr>
        <w:t>maintain their right to work in the EU as an EU citizen. Similarly, British citizens living</w:t>
      </w:r>
    </w:p>
    <w:p>
      <w:pPr>
        <w:pStyle w:val="BodyText"/>
        <w:spacing w:line="225" w:lineRule="auto"/>
        <w:ind w:left="1853" w:right="1171"/>
      </w:pPr>
      <w:r>
        <w:rPr/>
        <w:t>in</w:t>
      </w:r>
      <w:r>
        <w:rPr>
          <w:spacing w:val="-5"/>
        </w:rPr>
        <w:t> </w:t>
      </w:r>
      <w:r>
        <w:rPr/>
        <w:t>NI</w:t>
      </w:r>
      <w:r>
        <w:rPr>
          <w:spacing w:val="-5"/>
        </w:rPr>
        <w:t> </w:t>
      </w:r>
      <w:r>
        <w:rPr/>
        <w:t>and</w:t>
      </w:r>
      <w:r>
        <w:rPr>
          <w:spacing w:val="-5"/>
        </w:rPr>
        <w:t> </w:t>
      </w:r>
      <w:r>
        <w:rPr/>
        <w:t>working</w:t>
      </w:r>
      <w:r>
        <w:rPr>
          <w:spacing w:val="-5"/>
        </w:rPr>
        <w:t> </w:t>
      </w:r>
      <w:r>
        <w:rPr/>
        <w:t>in</w:t>
      </w:r>
      <w:r>
        <w:rPr>
          <w:spacing w:val="-5"/>
        </w:rPr>
        <w:t> </w:t>
      </w:r>
      <w:r>
        <w:rPr/>
        <w:t>Ireland</w:t>
      </w:r>
      <w:r>
        <w:rPr>
          <w:spacing w:val="-5"/>
        </w:rPr>
        <w:t> </w:t>
      </w:r>
      <w:r>
        <w:rPr/>
        <w:t>will</w:t>
      </w:r>
      <w:r>
        <w:rPr>
          <w:spacing w:val="-5"/>
        </w:rPr>
        <w:t> </w:t>
      </w:r>
      <w:r>
        <w:rPr/>
        <w:t>have</w:t>
      </w:r>
      <w:r>
        <w:rPr>
          <w:spacing w:val="-5"/>
        </w:rPr>
        <w:t> </w:t>
      </w:r>
      <w:r>
        <w:rPr/>
        <w:t>their</w:t>
      </w:r>
      <w:r>
        <w:rPr>
          <w:spacing w:val="-5"/>
        </w:rPr>
        <w:t> </w:t>
      </w:r>
      <w:r>
        <w:rPr/>
        <w:t>right</w:t>
      </w:r>
      <w:r>
        <w:rPr>
          <w:spacing w:val="-5"/>
        </w:rPr>
        <w:t> </w:t>
      </w:r>
      <w:r>
        <w:rPr/>
        <w:t>to</w:t>
      </w:r>
      <w:r>
        <w:rPr>
          <w:spacing w:val="-5"/>
        </w:rPr>
        <w:t> </w:t>
      </w:r>
      <w:r>
        <w:rPr/>
        <w:t>work</w:t>
      </w:r>
      <w:r>
        <w:rPr>
          <w:spacing w:val="-5"/>
        </w:rPr>
        <w:t> </w:t>
      </w:r>
      <w:r>
        <w:rPr/>
        <w:t>protected</w:t>
      </w:r>
      <w:r>
        <w:rPr>
          <w:spacing w:val="-5"/>
        </w:rPr>
        <w:t> </w:t>
      </w:r>
      <w:r>
        <w:rPr/>
        <w:t>under</w:t>
      </w:r>
      <w:r>
        <w:rPr>
          <w:spacing w:val="-5"/>
        </w:rPr>
        <w:t> </w:t>
      </w:r>
      <w:r>
        <w:rPr/>
        <w:t>the reciprocal guarantees associated with the Common Travel Area.</w:t>
      </w:r>
      <w:r>
        <w:rPr>
          <w:vertAlign w:val="superscript"/>
        </w:rPr>
        <w:t>817</w:t>
      </w:r>
    </w:p>
    <w:p>
      <w:pPr>
        <w:pStyle w:val="ListParagraph"/>
        <w:numPr>
          <w:ilvl w:val="1"/>
          <w:numId w:val="13"/>
        </w:numPr>
        <w:tabs>
          <w:tab w:pos="1853" w:val="left" w:leader="none"/>
        </w:tabs>
        <w:spacing w:line="225" w:lineRule="auto" w:before="313" w:after="0"/>
        <w:ind w:left="1853" w:right="1444" w:hanging="720"/>
        <w:jc w:val="both"/>
        <w:rPr>
          <w:sz w:val="28"/>
        </w:rPr>
      </w:pPr>
      <w:r>
        <w:rPr>
          <w:sz w:val="28"/>
        </w:rPr>
        <w:t>Following</w:t>
      </w:r>
      <w:r>
        <w:rPr>
          <w:spacing w:val="-7"/>
          <w:sz w:val="28"/>
        </w:rPr>
        <w:t> </w:t>
      </w:r>
      <w:r>
        <w:rPr>
          <w:sz w:val="28"/>
        </w:rPr>
        <w:t>earlier</w:t>
      </w:r>
      <w:r>
        <w:rPr>
          <w:spacing w:val="-7"/>
          <w:sz w:val="28"/>
        </w:rPr>
        <w:t> </w:t>
      </w:r>
      <w:r>
        <w:rPr>
          <w:sz w:val="28"/>
        </w:rPr>
        <w:t>research</w:t>
      </w:r>
      <w:r>
        <w:rPr>
          <w:spacing w:val="-8"/>
          <w:sz w:val="28"/>
        </w:rPr>
        <w:t> </w:t>
      </w:r>
      <w:r>
        <w:rPr>
          <w:sz w:val="28"/>
        </w:rPr>
        <w:t>in</w:t>
      </w:r>
      <w:r>
        <w:rPr>
          <w:spacing w:val="-8"/>
          <w:sz w:val="28"/>
        </w:rPr>
        <w:t> </w:t>
      </w:r>
      <w:r>
        <w:rPr>
          <w:sz w:val="28"/>
        </w:rPr>
        <w:t>October</w:t>
      </w:r>
      <w:r>
        <w:rPr>
          <w:spacing w:val="-7"/>
          <w:sz w:val="28"/>
        </w:rPr>
        <w:t> </w:t>
      </w:r>
      <w:r>
        <w:rPr>
          <w:sz w:val="28"/>
        </w:rPr>
        <w:t>2023,</w:t>
      </w:r>
      <w:r>
        <w:rPr>
          <w:sz w:val="28"/>
          <w:vertAlign w:val="superscript"/>
        </w:rPr>
        <w:t>818</w:t>
      </w:r>
      <w:r>
        <w:rPr>
          <w:spacing w:val="-8"/>
          <w:sz w:val="28"/>
          <w:vertAlign w:val="baseline"/>
        </w:rPr>
        <w:t> </w:t>
      </w:r>
      <w:r>
        <w:rPr>
          <w:sz w:val="28"/>
          <w:vertAlign w:val="baseline"/>
        </w:rPr>
        <w:t>the</w:t>
      </w:r>
      <w:r>
        <w:rPr>
          <w:spacing w:val="-7"/>
          <w:sz w:val="28"/>
          <w:vertAlign w:val="baseline"/>
        </w:rPr>
        <w:t> </w:t>
      </w:r>
      <w:r>
        <w:rPr>
          <w:sz w:val="28"/>
          <w:vertAlign w:val="baseline"/>
        </w:rPr>
        <w:t>NIHRC</w:t>
      </w:r>
      <w:r>
        <w:rPr>
          <w:spacing w:val="-8"/>
          <w:sz w:val="28"/>
          <w:vertAlign w:val="baseline"/>
        </w:rPr>
        <w:t> </w:t>
      </w:r>
      <w:r>
        <w:rPr>
          <w:sz w:val="28"/>
          <w:vertAlign w:val="baseline"/>
        </w:rPr>
        <w:t>published</w:t>
      </w:r>
      <w:r>
        <w:rPr>
          <w:spacing w:val="-8"/>
          <w:sz w:val="28"/>
          <w:vertAlign w:val="baseline"/>
        </w:rPr>
        <w:t> </w:t>
      </w:r>
      <w:r>
        <w:rPr>
          <w:sz w:val="28"/>
          <w:vertAlign w:val="baseline"/>
        </w:rPr>
        <w:t>research on</w:t>
      </w:r>
      <w:r>
        <w:rPr>
          <w:spacing w:val="-7"/>
          <w:sz w:val="28"/>
          <w:vertAlign w:val="baseline"/>
        </w:rPr>
        <w:t> </w:t>
      </w:r>
      <w:r>
        <w:rPr>
          <w:sz w:val="28"/>
          <w:vertAlign w:val="baseline"/>
        </w:rPr>
        <w:t>Windsor</w:t>
      </w:r>
      <w:r>
        <w:rPr>
          <w:spacing w:val="-6"/>
          <w:sz w:val="28"/>
          <w:vertAlign w:val="baseline"/>
        </w:rPr>
        <w:t> </w:t>
      </w:r>
      <w:r>
        <w:rPr>
          <w:sz w:val="28"/>
          <w:vertAlign w:val="baseline"/>
        </w:rPr>
        <w:t>Framework</w:t>
      </w:r>
      <w:r>
        <w:rPr>
          <w:spacing w:val="-6"/>
          <w:sz w:val="28"/>
          <w:vertAlign w:val="baseline"/>
        </w:rPr>
        <w:t> </w:t>
      </w:r>
      <w:r>
        <w:rPr>
          <w:sz w:val="28"/>
          <w:vertAlign w:val="baseline"/>
        </w:rPr>
        <w:t>Article</w:t>
      </w:r>
      <w:r>
        <w:rPr>
          <w:spacing w:val="-6"/>
          <w:sz w:val="28"/>
          <w:vertAlign w:val="baseline"/>
        </w:rPr>
        <w:t> </w:t>
      </w:r>
      <w:r>
        <w:rPr>
          <w:sz w:val="28"/>
          <w:vertAlign w:val="baseline"/>
        </w:rPr>
        <w:t>2</w:t>
      </w:r>
      <w:r>
        <w:rPr>
          <w:spacing w:val="-6"/>
          <w:sz w:val="28"/>
          <w:vertAlign w:val="baseline"/>
        </w:rPr>
        <w:t> </w:t>
      </w:r>
      <w:r>
        <w:rPr>
          <w:sz w:val="28"/>
          <w:vertAlign w:val="baseline"/>
        </w:rPr>
        <w:t>and</w:t>
      </w:r>
      <w:r>
        <w:rPr>
          <w:spacing w:val="-7"/>
          <w:sz w:val="28"/>
          <w:vertAlign w:val="baseline"/>
        </w:rPr>
        <w:t> </w:t>
      </w:r>
      <w:r>
        <w:rPr>
          <w:sz w:val="28"/>
          <w:vertAlign w:val="baseline"/>
        </w:rPr>
        <w:t>the</w:t>
      </w:r>
      <w:r>
        <w:rPr>
          <w:spacing w:val="-6"/>
          <w:sz w:val="28"/>
          <w:vertAlign w:val="baseline"/>
        </w:rPr>
        <w:t> </w:t>
      </w:r>
      <w:r>
        <w:rPr>
          <w:sz w:val="28"/>
          <w:vertAlign w:val="baseline"/>
        </w:rPr>
        <w:t>rights</w:t>
      </w:r>
      <w:r>
        <w:rPr>
          <w:spacing w:val="-7"/>
          <w:sz w:val="28"/>
          <w:vertAlign w:val="baseline"/>
        </w:rPr>
        <w:t> </w:t>
      </w:r>
      <w:r>
        <w:rPr>
          <w:sz w:val="28"/>
          <w:vertAlign w:val="baseline"/>
        </w:rPr>
        <w:t>of</w:t>
      </w:r>
      <w:r>
        <w:rPr>
          <w:spacing w:val="-7"/>
          <w:sz w:val="28"/>
          <w:vertAlign w:val="baseline"/>
        </w:rPr>
        <w:t> </w:t>
      </w:r>
      <w:r>
        <w:rPr>
          <w:sz w:val="28"/>
          <w:vertAlign w:val="baseline"/>
        </w:rPr>
        <w:t>frontier</w:t>
      </w:r>
      <w:r>
        <w:rPr>
          <w:spacing w:val="-6"/>
          <w:sz w:val="28"/>
          <w:vertAlign w:val="baseline"/>
        </w:rPr>
        <w:t> </w:t>
      </w:r>
      <w:r>
        <w:rPr>
          <w:sz w:val="28"/>
          <w:vertAlign w:val="baseline"/>
        </w:rPr>
        <w:t>workers</w:t>
      </w:r>
      <w:r>
        <w:rPr>
          <w:spacing w:val="-7"/>
          <w:sz w:val="28"/>
          <w:vertAlign w:val="baseline"/>
        </w:rPr>
        <w:t> </w:t>
      </w:r>
      <w:r>
        <w:rPr>
          <w:sz w:val="28"/>
          <w:vertAlign w:val="baseline"/>
        </w:rPr>
        <w:t>and</w:t>
      </w:r>
      <w:r>
        <w:rPr>
          <w:spacing w:val="-7"/>
          <w:sz w:val="28"/>
          <w:vertAlign w:val="baseline"/>
        </w:rPr>
        <w:t> </w:t>
      </w:r>
      <w:r>
        <w:rPr>
          <w:sz w:val="28"/>
          <w:vertAlign w:val="baseline"/>
        </w:rPr>
        <w:t>their families.</w:t>
      </w:r>
      <w:r>
        <w:rPr>
          <w:sz w:val="28"/>
          <w:vertAlign w:val="superscript"/>
        </w:rPr>
        <w:t>819</w:t>
      </w:r>
      <w:r>
        <w:rPr>
          <w:sz w:val="28"/>
          <w:vertAlign w:val="baseline"/>
        </w:rPr>
        <w:t> The report highlights the complex, layered way in which rights</w:t>
      </w:r>
    </w:p>
    <w:p>
      <w:pPr>
        <w:pStyle w:val="BodyText"/>
        <w:spacing w:line="225" w:lineRule="auto"/>
        <w:ind w:left="1853" w:right="1171"/>
      </w:pPr>
      <w:r>
        <w:rPr/>
        <w:t>of frontier workers are protected following UK withdrawal from the EU, and the pre-existing and current gaps in the legal framework, including potential diminutions</w:t>
      </w:r>
      <w:r>
        <w:rPr>
          <w:spacing w:val="-12"/>
        </w:rPr>
        <w:t> </w:t>
      </w:r>
      <w:r>
        <w:rPr/>
        <w:t>under</w:t>
      </w:r>
      <w:r>
        <w:rPr>
          <w:spacing w:val="-11"/>
        </w:rPr>
        <w:t> </w:t>
      </w:r>
      <w:r>
        <w:rPr/>
        <w:t>Windsor</w:t>
      </w:r>
      <w:r>
        <w:rPr>
          <w:spacing w:val="-11"/>
        </w:rPr>
        <w:t> </w:t>
      </w:r>
      <w:r>
        <w:rPr/>
        <w:t>Framework</w:t>
      </w:r>
      <w:r>
        <w:rPr>
          <w:spacing w:val="-11"/>
        </w:rPr>
        <w:t> </w:t>
      </w:r>
      <w:r>
        <w:rPr/>
        <w:t>Article</w:t>
      </w:r>
      <w:r>
        <w:rPr>
          <w:spacing w:val="-11"/>
        </w:rPr>
        <w:t> </w:t>
      </w:r>
      <w:r>
        <w:rPr/>
        <w:t>2.</w:t>
      </w:r>
      <w:r>
        <w:rPr>
          <w:vertAlign w:val="superscript"/>
        </w:rPr>
        <w:t>820</w:t>
      </w:r>
      <w:r>
        <w:rPr>
          <w:spacing w:val="-12"/>
          <w:vertAlign w:val="baseline"/>
        </w:rPr>
        <w:t> </w:t>
      </w:r>
      <w:r>
        <w:rPr>
          <w:vertAlign w:val="baseline"/>
        </w:rPr>
        <w:t>The</w:t>
      </w:r>
      <w:r>
        <w:rPr>
          <w:spacing w:val="-11"/>
          <w:vertAlign w:val="baseline"/>
        </w:rPr>
        <w:t> </w:t>
      </w:r>
      <w:r>
        <w:rPr>
          <w:vertAlign w:val="baseline"/>
        </w:rPr>
        <w:t>research</w:t>
      </w:r>
      <w:r>
        <w:rPr>
          <w:spacing w:val="-12"/>
          <w:vertAlign w:val="baseline"/>
        </w:rPr>
        <w:t> </w:t>
      </w:r>
      <w:r>
        <w:rPr>
          <w:vertAlign w:val="baseline"/>
        </w:rPr>
        <w:t>recommends several changes to clarify and implement rights including through a new,</w:t>
      </w:r>
    </w:p>
    <w:p>
      <w:pPr>
        <w:pStyle w:val="BodyText"/>
        <w:spacing w:before="6"/>
        <w:rPr>
          <w:sz w:val="14"/>
        </w:rPr>
      </w:pPr>
      <w:r>
        <w:rPr/>
        <mc:AlternateContent>
          <mc:Choice Requires="wps">
            <w:drawing>
              <wp:anchor distT="0" distB="0" distL="0" distR="0" allowOverlap="1" layoutInCell="1" locked="0" behindDoc="1" simplePos="0" relativeHeight="487722496">
                <wp:simplePos x="0" y="0"/>
                <wp:positionH relativeFrom="page">
                  <wp:posOffset>719996</wp:posOffset>
                </wp:positionH>
                <wp:positionV relativeFrom="paragraph">
                  <wp:posOffset>128073</wp:posOffset>
                </wp:positionV>
                <wp:extent cx="6120130" cy="1270"/>
                <wp:effectExtent l="0" t="0" r="0" b="0"/>
                <wp:wrapTopAndBottom/>
                <wp:docPr id="617" name="Graphic 617"/>
                <wp:cNvGraphicFramePr>
                  <a:graphicFrameLocks/>
                </wp:cNvGraphicFramePr>
                <a:graphic>
                  <a:graphicData uri="http://schemas.microsoft.com/office/word/2010/wordprocessingShape">
                    <wps:wsp>
                      <wps:cNvPr id="617" name="Graphic 617"/>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0.084531pt;width:481.9pt;height:.1pt;mso-position-horizontal-relative:page;mso-position-vertical-relative:paragraph;z-index:-15593984;mso-wrap-distance-left:0;mso-wrap-distance-right:0" id="docshape561" coordorigin="1134,202" coordsize="9638,0" path="m10772,202l1134,202e" filled="false" stroked="true" strokeweight="1pt" strokecolor="#393b80">
                <v:path arrowok="t"/>
                <v:stroke dashstyle="solid"/>
                <w10:wrap type="topAndBottom"/>
              </v:shape>
            </w:pict>
          </mc:Fallback>
        </mc:AlternateContent>
      </w:r>
    </w:p>
    <w:p>
      <w:pPr>
        <w:pStyle w:val="ListParagraph"/>
        <w:numPr>
          <w:ilvl w:val="0"/>
          <w:numId w:val="14"/>
        </w:numPr>
        <w:tabs>
          <w:tab w:pos="1853" w:val="left" w:leader="none"/>
        </w:tabs>
        <w:spacing w:line="235" w:lineRule="auto" w:before="135" w:after="0"/>
        <w:ind w:left="1853" w:right="1234" w:hanging="720"/>
        <w:jc w:val="left"/>
        <w:rPr>
          <w:sz w:val="18"/>
        </w:rPr>
      </w:pPr>
      <w:r>
        <w:rPr>
          <w:sz w:val="18"/>
        </w:rPr>
        <w:t>Article</w:t>
      </w:r>
      <w:r>
        <w:rPr>
          <w:spacing w:val="-5"/>
          <w:sz w:val="18"/>
        </w:rPr>
        <w:t> </w:t>
      </w:r>
      <w:r>
        <w:rPr>
          <w:sz w:val="18"/>
        </w:rPr>
        <w:t>10(1)(c),</w:t>
      </w:r>
      <w:r>
        <w:rPr>
          <w:spacing w:val="-5"/>
          <w:sz w:val="18"/>
        </w:rPr>
        <w:t> </w:t>
      </w:r>
      <w:r>
        <w:rPr>
          <w:sz w:val="18"/>
        </w:rPr>
        <w:t>UK-EU</w:t>
      </w:r>
      <w:r>
        <w:rPr>
          <w:spacing w:val="-5"/>
          <w:sz w:val="18"/>
        </w:rPr>
        <w:t> </w:t>
      </w:r>
      <w:r>
        <w:rPr>
          <w:sz w:val="18"/>
        </w:rPr>
        <w:t>Withdrawal</w:t>
      </w:r>
      <w:r>
        <w:rPr>
          <w:spacing w:val="-6"/>
          <w:sz w:val="18"/>
        </w:rPr>
        <w:t> </w:t>
      </w:r>
      <w:r>
        <w:rPr>
          <w:sz w:val="18"/>
        </w:rPr>
        <w:t>Agreement</w:t>
      </w:r>
      <w:r>
        <w:rPr>
          <w:spacing w:val="-5"/>
          <w:sz w:val="18"/>
        </w:rPr>
        <w:t> </w:t>
      </w:r>
      <w:r>
        <w:rPr>
          <w:sz w:val="18"/>
        </w:rPr>
        <w:t>extends</w:t>
      </w:r>
      <w:r>
        <w:rPr>
          <w:spacing w:val="-6"/>
          <w:sz w:val="18"/>
        </w:rPr>
        <w:t> </w:t>
      </w:r>
      <w:r>
        <w:rPr>
          <w:sz w:val="18"/>
        </w:rPr>
        <w:t>the</w:t>
      </w:r>
      <w:r>
        <w:rPr>
          <w:spacing w:val="-5"/>
          <w:sz w:val="18"/>
        </w:rPr>
        <w:t> </w:t>
      </w:r>
      <w:r>
        <w:rPr>
          <w:sz w:val="18"/>
        </w:rPr>
        <w:t>rights</w:t>
      </w:r>
      <w:r>
        <w:rPr>
          <w:spacing w:val="-6"/>
          <w:sz w:val="18"/>
        </w:rPr>
        <w:t> </w:t>
      </w:r>
      <w:r>
        <w:rPr>
          <w:sz w:val="18"/>
        </w:rPr>
        <w:t>set</w:t>
      </w:r>
      <w:r>
        <w:rPr>
          <w:spacing w:val="-5"/>
          <w:sz w:val="18"/>
        </w:rPr>
        <w:t> </w:t>
      </w:r>
      <w:r>
        <w:rPr>
          <w:sz w:val="18"/>
        </w:rPr>
        <w:t>out</w:t>
      </w:r>
      <w:r>
        <w:rPr>
          <w:spacing w:val="-5"/>
          <w:sz w:val="18"/>
        </w:rPr>
        <w:t> </w:t>
      </w:r>
      <w:r>
        <w:rPr>
          <w:sz w:val="18"/>
        </w:rPr>
        <w:t>in</w:t>
      </w:r>
      <w:r>
        <w:rPr>
          <w:spacing w:val="-6"/>
          <w:sz w:val="18"/>
        </w:rPr>
        <w:t> </w:t>
      </w:r>
      <w:r>
        <w:rPr>
          <w:sz w:val="18"/>
        </w:rPr>
        <w:t>Part</w:t>
      </w:r>
      <w:r>
        <w:rPr>
          <w:spacing w:val="-5"/>
          <w:sz w:val="18"/>
        </w:rPr>
        <w:t> </w:t>
      </w:r>
      <w:r>
        <w:rPr>
          <w:sz w:val="18"/>
        </w:rPr>
        <w:t>Two</w:t>
      </w:r>
      <w:r>
        <w:rPr>
          <w:spacing w:val="-6"/>
          <w:sz w:val="18"/>
        </w:rPr>
        <w:t> </w:t>
      </w:r>
      <w:r>
        <w:rPr>
          <w:sz w:val="18"/>
        </w:rPr>
        <w:t>of</w:t>
      </w:r>
      <w:r>
        <w:rPr>
          <w:spacing w:val="-6"/>
          <w:sz w:val="18"/>
        </w:rPr>
        <w:t> </w:t>
      </w:r>
      <w:r>
        <w:rPr>
          <w:sz w:val="18"/>
        </w:rPr>
        <w:t>the</w:t>
      </w:r>
      <w:r>
        <w:rPr>
          <w:spacing w:val="-5"/>
          <w:sz w:val="18"/>
        </w:rPr>
        <w:t> </w:t>
      </w:r>
      <w:r>
        <w:rPr>
          <w:sz w:val="18"/>
        </w:rPr>
        <w:t>treaty,</w:t>
      </w:r>
      <w:r>
        <w:rPr>
          <w:spacing w:val="-5"/>
          <w:sz w:val="18"/>
        </w:rPr>
        <w:t> </w:t>
      </w:r>
      <w:r>
        <w:rPr>
          <w:sz w:val="18"/>
        </w:rPr>
        <w:t>to</w:t>
      </w:r>
      <w:r>
        <w:rPr>
          <w:spacing w:val="-6"/>
          <w:sz w:val="18"/>
        </w:rPr>
        <w:t> </w:t>
      </w:r>
      <w:r>
        <w:rPr>
          <w:sz w:val="18"/>
        </w:rPr>
        <w:t>“Union</w:t>
      </w:r>
      <w:r>
        <w:rPr>
          <w:spacing w:val="-6"/>
          <w:sz w:val="18"/>
        </w:rPr>
        <w:t> </w:t>
      </w:r>
      <w:r>
        <w:rPr>
          <w:sz w:val="18"/>
        </w:rPr>
        <w:t>citizens</w:t>
      </w:r>
      <w:r>
        <w:rPr>
          <w:spacing w:val="-6"/>
          <w:sz w:val="18"/>
        </w:rPr>
        <w:t> </w:t>
      </w:r>
      <w:r>
        <w:rPr>
          <w:sz w:val="18"/>
        </w:rPr>
        <w:t>who exercised their right as frontier workers in the UK in accordance with Union law before the end of the transition period and continue to do so thereafter”.</w:t>
      </w:r>
    </w:p>
    <w:p>
      <w:pPr>
        <w:pStyle w:val="ListParagraph"/>
        <w:numPr>
          <w:ilvl w:val="0"/>
          <w:numId w:val="14"/>
        </w:numPr>
        <w:tabs>
          <w:tab w:pos="1853" w:val="left" w:leader="none"/>
        </w:tabs>
        <w:spacing w:line="216" w:lineRule="exact" w:before="0" w:after="0"/>
        <w:ind w:left="1853" w:right="0" w:hanging="720"/>
        <w:jc w:val="left"/>
        <w:rPr>
          <w:sz w:val="18"/>
        </w:rPr>
      </w:pPr>
      <w:r>
        <w:rPr>
          <w:sz w:val="18"/>
        </w:rPr>
        <w:t>Citizens’</w:t>
      </w:r>
      <w:r>
        <w:rPr>
          <w:spacing w:val="-9"/>
          <w:sz w:val="18"/>
        </w:rPr>
        <w:t> </w:t>
      </w:r>
      <w:r>
        <w:rPr>
          <w:sz w:val="18"/>
        </w:rPr>
        <w:t>Rights</w:t>
      </w:r>
      <w:r>
        <w:rPr>
          <w:spacing w:val="-9"/>
          <w:sz w:val="18"/>
        </w:rPr>
        <w:t> </w:t>
      </w:r>
      <w:r>
        <w:rPr>
          <w:sz w:val="18"/>
        </w:rPr>
        <w:t>(Frontier</w:t>
      </w:r>
      <w:r>
        <w:rPr>
          <w:spacing w:val="-8"/>
          <w:sz w:val="18"/>
        </w:rPr>
        <w:t> </w:t>
      </w:r>
      <w:r>
        <w:rPr>
          <w:sz w:val="18"/>
        </w:rPr>
        <w:t>Workers)</w:t>
      </w:r>
      <w:r>
        <w:rPr>
          <w:spacing w:val="-9"/>
          <w:sz w:val="18"/>
        </w:rPr>
        <w:t> </w:t>
      </w:r>
      <w:r>
        <w:rPr>
          <w:sz w:val="18"/>
        </w:rPr>
        <w:t>(EU</w:t>
      </w:r>
      <w:r>
        <w:rPr>
          <w:spacing w:val="-9"/>
          <w:sz w:val="18"/>
        </w:rPr>
        <w:t> </w:t>
      </w:r>
      <w:r>
        <w:rPr>
          <w:sz w:val="18"/>
        </w:rPr>
        <w:t>Exit)</w:t>
      </w:r>
      <w:r>
        <w:rPr>
          <w:spacing w:val="-9"/>
          <w:sz w:val="18"/>
        </w:rPr>
        <w:t> </w:t>
      </w:r>
      <w:r>
        <w:rPr>
          <w:sz w:val="18"/>
        </w:rPr>
        <w:t>Regulations</w:t>
      </w:r>
      <w:r>
        <w:rPr>
          <w:spacing w:val="-9"/>
          <w:sz w:val="18"/>
        </w:rPr>
        <w:t> </w:t>
      </w:r>
      <w:r>
        <w:rPr>
          <w:spacing w:val="-2"/>
          <w:sz w:val="18"/>
        </w:rPr>
        <w:t>2020.</w:t>
      </w:r>
    </w:p>
    <w:p>
      <w:pPr>
        <w:pStyle w:val="ListParagraph"/>
        <w:numPr>
          <w:ilvl w:val="0"/>
          <w:numId w:val="14"/>
        </w:numPr>
        <w:tabs>
          <w:tab w:pos="1853" w:val="left" w:leader="none"/>
        </w:tabs>
        <w:spacing w:line="235" w:lineRule="auto" w:before="2" w:after="0"/>
        <w:ind w:left="1853" w:right="1169" w:hanging="720"/>
        <w:jc w:val="left"/>
        <w:rPr>
          <w:sz w:val="18"/>
        </w:rPr>
      </w:pPr>
      <w:r>
        <w:rPr>
          <w:sz w:val="18"/>
        </w:rPr>
        <w:t>Memorandum of Understanding between the Government of the United Kingdom of Great Britain and Northern Ireland and</w:t>
      </w:r>
      <w:r>
        <w:rPr>
          <w:spacing w:val="-5"/>
          <w:sz w:val="18"/>
        </w:rPr>
        <w:t> </w:t>
      </w:r>
      <w:r>
        <w:rPr>
          <w:sz w:val="18"/>
        </w:rPr>
        <w:t>the</w:t>
      </w:r>
      <w:r>
        <w:rPr>
          <w:spacing w:val="-5"/>
          <w:sz w:val="18"/>
        </w:rPr>
        <w:t> </w:t>
      </w:r>
      <w:r>
        <w:rPr>
          <w:sz w:val="18"/>
        </w:rPr>
        <w:t>Government</w:t>
      </w:r>
      <w:r>
        <w:rPr>
          <w:spacing w:val="-4"/>
          <w:sz w:val="18"/>
        </w:rPr>
        <w:t> </w:t>
      </w:r>
      <w:r>
        <w:rPr>
          <w:sz w:val="18"/>
        </w:rPr>
        <w:t>of</w:t>
      </w:r>
      <w:r>
        <w:rPr>
          <w:spacing w:val="-5"/>
          <w:sz w:val="18"/>
        </w:rPr>
        <w:t> </w:t>
      </w:r>
      <w:r>
        <w:rPr>
          <w:sz w:val="18"/>
        </w:rPr>
        <w:t>Ireland</w:t>
      </w:r>
      <w:r>
        <w:rPr>
          <w:spacing w:val="-5"/>
          <w:sz w:val="18"/>
        </w:rPr>
        <w:t> </w:t>
      </w:r>
      <w:r>
        <w:rPr>
          <w:sz w:val="18"/>
        </w:rPr>
        <w:t>concerning</w:t>
      </w:r>
      <w:r>
        <w:rPr>
          <w:spacing w:val="-5"/>
          <w:sz w:val="18"/>
        </w:rPr>
        <w:t> </w:t>
      </w:r>
      <w:r>
        <w:rPr>
          <w:sz w:val="18"/>
        </w:rPr>
        <w:t>the</w:t>
      </w:r>
      <w:r>
        <w:rPr>
          <w:spacing w:val="-5"/>
          <w:sz w:val="18"/>
        </w:rPr>
        <w:t> </w:t>
      </w:r>
      <w:r>
        <w:rPr>
          <w:sz w:val="18"/>
        </w:rPr>
        <w:t>Common</w:t>
      </w:r>
      <w:r>
        <w:rPr>
          <w:spacing w:val="-5"/>
          <w:sz w:val="18"/>
        </w:rPr>
        <w:t> </w:t>
      </w:r>
      <w:r>
        <w:rPr>
          <w:sz w:val="18"/>
        </w:rPr>
        <w:t>Travel</w:t>
      </w:r>
      <w:r>
        <w:rPr>
          <w:spacing w:val="-5"/>
          <w:sz w:val="18"/>
        </w:rPr>
        <w:t> </w:t>
      </w:r>
      <w:r>
        <w:rPr>
          <w:sz w:val="18"/>
        </w:rPr>
        <w:t>Area</w:t>
      </w:r>
      <w:r>
        <w:rPr>
          <w:spacing w:val="-5"/>
          <w:sz w:val="18"/>
        </w:rPr>
        <w:t> </w:t>
      </w:r>
      <w:r>
        <w:rPr>
          <w:sz w:val="18"/>
        </w:rPr>
        <w:t>and</w:t>
      </w:r>
      <w:r>
        <w:rPr>
          <w:spacing w:val="-5"/>
          <w:sz w:val="18"/>
        </w:rPr>
        <w:t> </w:t>
      </w:r>
      <w:r>
        <w:rPr>
          <w:sz w:val="18"/>
        </w:rPr>
        <w:t>associated</w:t>
      </w:r>
      <w:r>
        <w:rPr>
          <w:spacing w:val="-5"/>
          <w:sz w:val="18"/>
        </w:rPr>
        <w:t> </w:t>
      </w:r>
      <w:r>
        <w:rPr>
          <w:sz w:val="18"/>
        </w:rPr>
        <w:t>reciprocal</w:t>
      </w:r>
      <w:r>
        <w:rPr>
          <w:spacing w:val="-5"/>
          <w:sz w:val="18"/>
        </w:rPr>
        <w:t> </w:t>
      </w:r>
      <w:r>
        <w:rPr>
          <w:sz w:val="18"/>
        </w:rPr>
        <w:t>rights</w:t>
      </w:r>
      <w:r>
        <w:rPr>
          <w:spacing w:val="-5"/>
          <w:sz w:val="18"/>
        </w:rPr>
        <w:t> </w:t>
      </w:r>
      <w:r>
        <w:rPr>
          <w:sz w:val="18"/>
        </w:rPr>
        <w:t>and</w:t>
      </w:r>
      <w:r>
        <w:rPr>
          <w:spacing w:val="-5"/>
          <w:sz w:val="18"/>
        </w:rPr>
        <w:t> </w:t>
      </w:r>
      <w:r>
        <w:rPr>
          <w:sz w:val="18"/>
        </w:rPr>
        <w:t>privileges,</w:t>
      </w:r>
      <w:r>
        <w:rPr>
          <w:spacing w:val="-5"/>
          <w:sz w:val="18"/>
        </w:rPr>
        <w:t> </w:t>
      </w:r>
      <w:r>
        <w:rPr>
          <w:sz w:val="18"/>
        </w:rPr>
        <w:t>8</w:t>
      </w:r>
      <w:r>
        <w:rPr>
          <w:spacing w:val="-4"/>
          <w:sz w:val="18"/>
        </w:rPr>
        <w:t> </w:t>
      </w:r>
      <w:r>
        <w:rPr>
          <w:sz w:val="18"/>
        </w:rPr>
        <w:t>May </w:t>
      </w:r>
      <w:r>
        <w:rPr>
          <w:spacing w:val="-2"/>
          <w:sz w:val="18"/>
        </w:rPr>
        <w:t>2019.</w:t>
      </w:r>
    </w:p>
    <w:p>
      <w:pPr>
        <w:pStyle w:val="ListParagraph"/>
        <w:numPr>
          <w:ilvl w:val="0"/>
          <w:numId w:val="14"/>
        </w:numPr>
        <w:tabs>
          <w:tab w:pos="1853" w:val="left" w:leader="none"/>
        </w:tabs>
        <w:spacing w:line="216" w:lineRule="exact" w:before="0" w:after="0"/>
        <w:ind w:left="1853" w:right="0" w:hanging="720"/>
        <w:jc w:val="left"/>
        <w:rPr>
          <w:sz w:val="18"/>
        </w:rPr>
      </w:pPr>
      <w:r>
        <w:rPr>
          <w:sz w:val="18"/>
        </w:rPr>
        <w:t>Tamara</w:t>
      </w:r>
      <w:r>
        <w:rPr>
          <w:spacing w:val="-7"/>
          <w:sz w:val="18"/>
        </w:rPr>
        <w:t> </w:t>
      </w:r>
      <w:r>
        <w:rPr>
          <w:sz w:val="18"/>
        </w:rPr>
        <w:t>Hervey,</w:t>
      </w:r>
      <w:r>
        <w:rPr>
          <w:spacing w:val="-5"/>
          <w:sz w:val="18"/>
        </w:rPr>
        <w:t> </w:t>
      </w:r>
      <w:r>
        <w:rPr>
          <w:sz w:val="18"/>
        </w:rPr>
        <w:t>‘Brexit,</w:t>
      </w:r>
      <w:r>
        <w:rPr>
          <w:spacing w:val="-5"/>
          <w:sz w:val="18"/>
        </w:rPr>
        <w:t> </w:t>
      </w:r>
      <w:r>
        <w:rPr>
          <w:sz w:val="18"/>
        </w:rPr>
        <w:t>Health</w:t>
      </w:r>
      <w:r>
        <w:rPr>
          <w:spacing w:val="-6"/>
          <w:sz w:val="18"/>
        </w:rPr>
        <w:t> </w:t>
      </w:r>
      <w:r>
        <w:rPr>
          <w:sz w:val="18"/>
        </w:rPr>
        <w:t>and</w:t>
      </w:r>
      <w:r>
        <w:rPr>
          <w:spacing w:val="-7"/>
          <w:sz w:val="18"/>
        </w:rPr>
        <w:t> </w:t>
      </w:r>
      <w:r>
        <w:rPr>
          <w:sz w:val="18"/>
        </w:rPr>
        <w:t>Its</w:t>
      </w:r>
      <w:r>
        <w:rPr>
          <w:spacing w:val="-6"/>
          <w:sz w:val="18"/>
        </w:rPr>
        <w:t> </w:t>
      </w:r>
      <w:r>
        <w:rPr>
          <w:sz w:val="18"/>
        </w:rPr>
        <w:t>Potential</w:t>
      </w:r>
      <w:r>
        <w:rPr>
          <w:spacing w:val="-6"/>
          <w:sz w:val="18"/>
        </w:rPr>
        <w:t> </w:t>
      </w:r>
      <w:r>
        <w:rPr>
          <w:sz w:val="18"/>
        </w:rPr>
        <w:t>Impact</w:t>
      </w:r>
      <w:r>
        <w:rPr>
          <w:spacing w:val="-5"/>
          <w:sz w:val="18"/>
        </w:rPr>
        <w:t> </w:t>
      </w:r>
      <w:r>
        <w:rPr>
          <w:sz w:val="18"/>
        </w:rPr>
        <w:t>on</w:t>
      </w:r>
      <w:r>
        <w:rPr>
          <w:spacing w:val="-6"/>
          <w:sz w:val="18"/>
        </w:rPr>
        <w:t> </w:t>
      </w:r>
      <w:r>
        <w:rPr>
          <w:sz w:val="18"/>
        </w:rPr>
        <w:t>Article</w:t>
      </w:r>
      <w:r>
        <w:rPr>
          <w:spacing w:val="-6"/>
          <w:sz w:val="18"/>
        </w:rPr>
        <w:t> </w:t>
      </w:r>
      <w:r>
        <w:rPr>
          <w:sz w:val="18"/>
        </w:rPr>
        <w:t>2</w:t>
      </w:r>
      <w:r>
        <w:rPr>
          <w:spacing w:val="-5"/>
          <w:sz w:val="18"/>
        </w:rPr>
        <w:t> </w:t>
      </w:r>
      <w:r>
        <w:rPr>
          <w:sz w:val="18"/>
        </w:rPr>
        <w:t>of</w:t>
      </w:r>
      <w:r>
        <w:rPr>
          <w:spacing w:val="-6"/>
          <w:sz w:val="18"/>
        </w:rPr>
        <w:t> </w:t>
      </w:r>
      <w:r>
        <w:rPr>
          <w:sz w:val="18"/>
        </w:rPr>
        <w:t>the</w:t>
      </w:r>
      <w:r>
        <w:rPr>
          <w:spacing w:val="-6"/>
          <w:sz w:val="18"/>
        </w:rPr>
        <w:t> </w:t>
      </w:r>
      <w:r>
        <w:rPr>
          <w:sz w:val="18"/>
        </w:rPr>
        <w:t>Ireland/NI</w:t>
      </w:r>
      <w:r>
        <w:rPr>
          <w:spacing w:val="-5"/>
          <w:sz w:val="18"/>
        </w:rPr>
        <w:t> </w:t>
      </w:r>
      <w:r>
        <w:rPr>
          <w:sz w:val="18"/>
        </w:rPr>
        <w:t>Protocol’</w:t>
      </w:r>
      <w:r>
        <w:rPr>
          <w:spacing w:val="-5"/>
          <w:sz w:val="18"/>
        </w:rPr>
        <w:t> </w:t>
      </w:r>
      <w:r>
        <w:rPr>
          <w:sz w:val="18"/>
        </w:rPr>
        <w:t>(NIHRC,</w:t>
      </w:r>
      <w:r>
        <w:rPr>
          <w:spacing w:val="-6"/>
          <w:sz w:val="18"/>
        </w:rPr>
        <w:t> </w:t>
      </w:r>
      <w:r>
        <w:rPr>
          <w:spacing w:val="-2"/>
          <w:sz w:val="18"/>
        </w:rPr>
        <w:t>2022).</w:t>
      </w:r>
    </w:p>
    <w:p>
      <w:pPr>
        <w:pStyle w:val="ListParagraph"/>
        <w:numPr>
          <w:ilvl w:val="0"/>
          <w:numId w:val="14"/>
        </w:numPr>
        <w:tabs>
          <w:tab w:pos="1853" w:val="left" w:leader="none"/>
        </w:tabs>
        <w:spacing w:line="218" w:lineRule="exact" w:before="0" w:after="0"/>
        <w:ind w:left="1853" w:right="0" w:hanging="720"/>
        <w:jc w:val="left"/>
        <w:rPr>
          <w:sz w:val="18"/>
        </w:rPr>
      </w:pPr>
      <w:r>
        <w:rPr>
          <w:sz w:val="18"/>
        </w:rPr>
        <w:t>Sylvia</w:t>
      </w:r>
      <w:r>
        <w:rPr>
          <w:spacing w:val="-7"/>
          <w:sz w:val="18"/>
        </w:rPr>
        <w:t> </w:t>
      </w:r>
      <w:r>
        <w:rPr>
          <w:sz w:val="18"/>
        </w:rPr>
        <w:t>de</w:t>
      </w:r>
      <w:r>
        <w:rPr>
          <w:spacing w:val="-5"/>
          <w:sz w:val="18"/>
        </w:rPr>
        <w:t> </w:t>
      </w:r>
      <w:r>
        <w:rPr>
          <w:sz w:val="18"/>
        </w:rPr>
        <w:t>Mars</w:t>
      </w:r>
      <w:r>
        <w:rPr>
          <w:spacing w:val="-7"/>
          <w:sz w:val="18"/>
        </w:rPr>
        <w:t> </w:t>
      </w:r>
      <w:r>
        <w:rPr>
          <w:sz w:val="18"/>
        </w:rPr>
        <w:t>and</w:t>
      </w:r>
      <w:r>
        <w:rPr>
          <w:spacing w:val="-6"/>
          <w:sz w:val="18"/>
        </w:rPr>
        <w:t> </w:t>
      </w:r>
      <w:r>
        <w:rPr>
          <w:sz w:val="18"/>
        </w:rPr>
        <w:t>Charlotte</w:t>
      </w:r>
      <w:r>
        <w:rPr>
          <w:spacing w:val="-6"/>
          <w:sz w:val="18"/>
        </w:rPr>
        <w:t> </w:t>
      </w:r>
      <w:r>
        <w:rPr>
          <w:sz w:val="18"/>
        </w:rPr>
        <w:t>O’Brien,</w:t>
      </w:r>
      <w:r>
        <w:rPr>
          <w:spacing w:val="-5"/>
          <w:sz w:val="18"/>
        </w:rPr>
        <w:t> </w:t>
      </w:r>
      <w:r>
        <w:rPr>
          <w:sz w:val="18"/>
        </w:rPr>
        <w:t>‘Frontier</w:t>
      </w:r>
      <w:r>
        <w:rPr>
          <w:spacing w:val="-6"/>
          <w:sz w:val="18"/>
        </w:rPr>
        <w:t> </w:t>
      </w:r>
      <w:r>
        <w:rPr>
          <w:sz w:val="18"/>
        </w:rPr>
        <w:t>Workers</w:t>
      </w:r>
      <w:r>
        <w:rPr>
          <w:spacing w:val="-6"/>
          <w:sz w:val="18"/>
        </w:rPr>
        <w:t> </w:t>
      </w:r>
      <w:r>
        <w:rPr>
          <w:sz w:val="18"/>
        </w:rPr>
        <w:t>and</w:t>
      </w:r>
      <w:r>
        <w:rPr>
          <w:spacing w:val="-7"/>
          <w:sz w:val="18"/>
        </w:rPr>
        <w:t> </w:t>
      </w:r>
      <w:r>
        <w:rPr>
          <w:sz w:val="18"/>
        </w:rPr>
        <w:t>Their</w:t>
      </w:r>
      <w:r>
        <w:rPr>
          <w:spacing w:val="-5"/>
          <w:sz w:val="18"/>
        </w:rPr>
        <w:t> </w:t>
      </w:r>
      <w:r>
        <w:rPr>
          <w:sz w:val="18"/>
        </w:rPr>
        <w:t>Families:</w:t>
      </w:r>
      <w:r>
        <w:rPr>
          <w:spacing w:val="-6"/>
          <w:sz w:val="18"/>
        </w:rPr>
        <w:t> </w:t>
      </w:r>
      <w:r>
        <w:rPr>
          <w:sz w:val="18"/>
        </w:rPr>
        <w:t>Rights</w:t>
      </w:r>
      <w:r>
        <w:rPr>
          <w:spacing w:val="-6"/>
          <w:sz w:val="18"/>
        </w:rPr>
        <w:t> </w:t>
      </w:r>
      <w:r>
        <w:rPr>
          <w:sz w:val="18"/>
        </w:rPr>
        <w:t>After</w:t>
      </w:r>
      <w:r>
        <w:rPr>
          <w:spacing w:val="-5"/>
          <w:sz w:val="18"/>
        </w:rPr>
        <w:t> </w:t>
      </w:r>
      <w:r>
        <w:rPr>
          <w:sz w:val="18"/>
        </w:rPr>
        <w:t>Brexit’</w:t>
      </w:r>
      <w:r>
        <w:rPr>
          <w:spacing w:val="-6"/>
          <w:sz w:val="18"/>
        </w:rPr>
        <w:t> </w:t>
      </w:r>
      <w:r>
        <w:rPr>
          <w:sz w:val="18"/>
        </w:rPr>
        <w:t>(NIHRC,</w:t>
      </w:r>
      <w:r>
        <w:rPr>
          <w:spacing w:val="-6"/>
          <w:sz w:val="18"/>
        </w:rPr>
        <w:t> </w:t>
      </w:r>
      <w:r>
        <w:rPr>
          <w:spacing w:val="-2"/>
          <w:sz w:val="18"/>
        </w:rPr>
        <w:t>2023).</w:t>
      </w:r>
    </w:p>
    <w:p>
      <w:pPr>
        <w:spacing w:after="0" w:line="218" w:lineRule="exact"/>
        <w:jc w:val="left"/>
        <w:rPr>
          <w:sz w:val="18"/>
        </w:rPr>
        <w:sectPr>
          <w:pgSz w:w="11910" w:h="16840"/>
          <w:pgMar w:header="496" w:footer="1025" w:top="1220" w:bottom="1220" w:left="0" w:right="0"/>
        </w:sectPr>
      </w:pPr>
    </w:p>
    <w:p>
      <w:pPr>
        <w:pStyle w:val="BodyText"/>
        <w:spacing w:before="198"/>
      </w:pPr>
    </w:p>
    <w:p>
      <w:pPr>
        <w:pStyle w:val="BodyText"/>
        <w:spacing w:line="225" w:lineRule="auto"/>
        <w:ind w:left="1853" w:right="1171"/>
      </w:pPr>
      <w:r>
        <w:rPr/>
        <w:t>domestically enforceable, UK-Ireland bilateral treaty on the Common Travel Area,</w:t>
      </w:r>
      <w:r>
        <w:rPr>
          <w:spacing w:val="-9"/>
        </w:rPr>
        <w:t> </w:t>
      </w:r>
      <w:r>
        <w:rPr/>
        <w:t>better</w:t>
      </w:r>
      <w:r>
        <w:rPr>
          <w:spacing w:val="-9"/>
        </w:rPr>
        <w:t> </w:t>
      </w:r>
      <w:r>
        <w:rPr/>
        <w:t>guidance</w:t>
      </w:r>
      <w:r>
        <w:rPr>
          <w:spacing w:val="-9"/>
        </w:rPr>
        <w:t> </w:t>
      </w:r>
      <w:r>
        <w:rPr/>
        <w:t>directed</w:t>
      </w:r>
      <w:r>
        <w:rPr>
          <w:spacing w:val="-10"/>
        </w:rPr>
        <w:t> </w:t>
      </w:r>
      <w:r>
        <w:rPr/>
        <w:t>at</w:t>
      </w:r>
      <w:r>
        <w:rPr>
          <w:spacing w:val="-9"/>
        </w:rPr>
        <w:t> </w:t>
      </w:r>
      <w:r>
        <w:rPr/>
        <w:t>frontier</w:t>
      </w:r>
      <w:r>
        <w:rPr>
          <w:spacing w:val="-9"/>
        </w:rPr>
        <w:t> </w:t>
      </w:r>
      <w:r>
        <w:rPr/>
        <w:t>workers</w:t>
      </w:r>
      <w:r>
        <w:rPr>
          <w:spacing w:val="-10"/>
        </w:rPr>
        <w:t> </w:t>
      </w:r>
      <w:r>
        <w:rPr/>
        <w:t>and</w:t>
      </w:r>
      <w:r>
        <w:rPr>
          <w:spacing w:val="-10"/>
        </w:rPr>
        <w:t> </w:t>
      </w:r>
      <w:r>
        <w:rPr/>
        <w:t>advisers</w:t>
      </w:r>
      <w:r>
        <w:rPr>
          <w:spacing w:val="-10"/>
        </w:rPr>
        <w:t> </w:t>
      </w:r>
      <w:r>
        <w:rPr/>
        <w:t>and</w:t>
      </w:r>
      <w:r>
        <w:rPr>
          <w:spacing w:val="-10"/>
        </w:rPr>
        <w:t> </w:t>
      </w:r>
      <w:r>
        <w:rPr/>
        <w:t>definitions of different categories of frontier workers.</w:t>
      </w:r>
      <w:r>
        <w:rPr>
          <w:vertAlign w:val="superscript"/>
        </w:rPr>
        <w:t>821</w:t>
      </w:r>
    </w:p>
    <w:p>
      <w:pPr>
        <w:pStyle w:val="ListParagraph"/>
        <w:numPr>
          <w:ilvl w:val="1"/>
          <w:numId w:val="13"/>
        </w:numPr>
        <w:tabs>
          <w:tab w:pos="1853" w:val="left" w:leader="none"/>
        </w:tabs>
        <w:spacing w:line="225" w:lineRule="auto" w:before="317" w:after="0"/>
        <w:ind w:left="1853" w:right="1217" w:hanging="720"/>
        <w:jc w:val="left"/>
        <w:rPr>
          <w:sz w:val="28"/>
        </w:rPr>
      </w:pPr>
      <w:r>
        <w:rPr>
          <w:sz w:val="28"/>
        </w:rPr>
        <w:t>The ECNI’s independent research report on the impact of Brexit on minority ethnic</w:t>
      </w:r>
      <w:r>
        <w:rPr>
          <w:spacing w:val="-5"/>
          <w:sz w:val="28"/>
        </w:rPr>
        <w:t> </w:t>
      </w:r>
      <w:r>
        <w:rPr>
          <w:sz w:val="28"/>
        </w:rPr>
        <w:t>and</w:t>
      </w:r>
      <w:r>
        <w:rPr>
          <w:spacing w:val="-6"/>
          <w:sz w:val="28"/>
        </w:rPr>
        <w:t> </w:t>
      </w:r>
      <w:r>
        <w:rPr>
          <w:sz w:val="28"/>
        </w:rPr>
        <w:t>migrant</w:t>
      </w:r>
      <w:r>
        <w:rPr>
          <w:spacing w:val="-5"/>
          <w:sz w:val="28"/>
        </w:rPr>
        <w:t> </w:t>
      </w:r>
      <w:r>
        <w:rPr>
          <w:sz w:val="28"/>
        </w:rPr>
        <w:t>people</w:t>
      </w:r>
      <w:r>
        <w:rPr>
          <w:spacing w:val="-5"/>
          <w:sz w:val="28"/>
        </w:rPr>
        <w:t> </w:t>
      </w:r>
      <w:r>
        <w:rPr>
          <w:sz w:val="28"/>
        </w:rPr>
        <w:t>in</w:t>
      </w:r>
      <w:r>
        <w:rPr>
          <w:spacing w:val="-6"/>
          <w:sz w:val="28"/>
        </w:rPr>
        <w:t> </w:t>
      </w:r>
      <w:r>
        <w:rPr>
          <w:sz w:val="28"/>
        </w:rPr>
        <w:t>NI</w:t>
      </w:r>
      <w:r>
        <w:rPr>
          <w:spacing w:val="-5"/>
          <w:sz w:val="28"/>
        </w:rPr>
        <w:t> </w:t>
      </w:r>
      <w:r>
        <w:rPr>
          <w:sz w:val="28"/>
        </w:rPr>
        <w:t>highlighted</w:t>
      </w:r>
      <w:r>
        <w:rPr>
          <w:spacing w:val="-6"/>
          <w:sz w:val="28"/>
        </w:rPr>
        <w:t> </w:t>
      </w:r>
      <w:r>
        <w:rPr>
          <w:sz w:val="28"/>
        </w:rPr>
        <w:t>serious</w:t>
      </w:r>
      <w:r>
        <w:rPr>
          <w:spacing w:val="-6"/>
          <w:sz w:val="28"/>
        </w:rPr>
        <w:t> </w:t>
      </w:r>
      <w:r>
        <w:rPr>
          <w:sz w:val="28"/>
        </w:rPr>
        <w:t>concerns</w:t>
      </w:r>
      <w:r>
        <w:rPr>
          <w:spacing w:val="-6"/>
          <w:sz w:val="28"/>
        </w:rPr>
        <w:t> </w:t>
      </w:r>
      <w:r>
        <w:rPr>
          <w:sz w:val="28"/>
        </w:rPr>
        <w:t>raised</w:t>
      </w:r>
      <w:r>
        <w:rPr>
          <w:spacing w:val="-6"/>
          <w:sz w:val="28"/>
        </w:rPr>
        <w:t> </w:t>
      </w:r>
      <w:r>
        <w:rPr>
          <w:sz w:val="28"/>
        </w:rPr>
        <w:t>by</w:t>
      </w:r>
      <w:r>
        <w:rPr>
          <w:spacing w:val="-5"/>
          <w:sz w:val="28"/>
        </w:rPr>
        <w:t> </w:t>
      </w:r>
      <w:r>
        <w:rPr>
          <w:sz w:val="28"/>
        </w:rPr>
        <w:t>service providers regarding the impact of Brexit on cross-border workers, who they felt had been unsupported through the process of the Brexit transition.</w:t>
      </w:r>
    </w:p>
    <w:p>
      <w:pPr>
        <w:pStyle w:val="BodyText"/>
        <w:spacing w:line="225" w:lineRule="auto"/>
        <w:ind w:left="1853" w:right="1301"/>
      </w:pPr>
      <w:r>
        <w:rPr/>
        <w:t>They</w:t>
      </w:r>
      <w:r>
        <w:rPr>
          <w:spacing w:val="-8"/>
        </w:rPr>
        <w:t> </w:t>
      </w:r>
      <w:r>
        <w:rPr/>
        <w:t>reported</w:t>
      </w:r>
      <w:r>
        <w:rPr>
          <w:spacing w:val="-8"/>
        </w:rPr>
        <w:t> </w:t>
      </w:r>
      <w:r>
        <w:rPr/>
        <w:t>that</w:t>
      </w:r>
      <w:r>
        <w:rPr>
          <w:spacing w:val="-8"/>
        </w:rPr>
        <w:t> </w:t>
      </w:r>
      <w:r>
        <w:rPr/>
        <w:t>there</w:t>
      </w:r>
      <w:r>
        <w:rPr>
          <w:spacing w:val="-8"/>
        </w:rPr>
        <w:t> </w:t>
      </w:r>
      <w:r>
        <w:rPr/>
        <w:t>was</w:t>
      </w:r>
      <w:r>
        <w:rPr>
          <w:spacing w:val="-8"/>
        </w:rPr>
        <w:t> </w:t>
      </w:r>
      <w:r>
        <w:rPr/>
        <w:t>no</w:t>
      </w:r>
      <w:r>
        <w:rPr>
          <w:spacing w:val="-8"/>
        </w:rPr>
        <w:t> </w:t>
      </w:r>
      <w:r>
        <w:rPr/>
        <w:t>funding</w:t>
      </w:r>
      <w:r>
        <w:rPr>
          <w:spacing w:val="-8"/>
        </w:rPr>
        <w:t> </w:t>
      </w:r>
      <w:r>
        <w:rPr/>
        <w:t>provided</w:t>
      </w:r>
      <w:r>
        <w:rPr>
          <w:spacing w:val="-8"/>
        </w:rPr>
        <w:t> </w:t>
      </w:r>
      <w:r>
        <w:rPr/>
        <w:t>for</w:t>
      </w:r>
      <w:r>
        <w:rPr>
          <w:spacing w:val="-8"/>
        </w:rPr>
        <w:t> </w:t>
      </w:r>
      <w:r>
        <w:rPr/>
        <w:t>support</w:t>
      </w:r>
      <w:r>
        <w:rPr>
          <w:spacing w:val="-8"/>
        </w:rPr>
        <w:t> </w:t>
      </w:r>
      <w:r>
        <w:rPr/>
        <w:t>organisations to provide assistance to clients who were applying for the Frontier Worker scheme</w:t>
      </w:r>
      <w:r>
        <w:rPr>
          <w:spacing w:val="-4"/>
        </w:rPr>
        <w:t> </w:t>
      </w:r>
      <w:r>
        <w:rPr/>
        <w:t>and</w:t>
      </w:r>
      <w:r>
        <w:rPr>
          <w:spacing w:val="-5"/>
        </w:rPr>
        <w:t> </w:t>
      </w:r>
      <w:r>
        <w:rPr/>
        <w:t>very</w:t>
      </w:r>
      <w:r>
        <w:rPr>
          <w:spacing w:val="-4"/>
        </w:rPr>
        <w:t> </w:t>
      </w:r>
      <w:r>
        <w:rPr/>
        <w:t>limited</w:t>
      </w:r>
      <w:r>
        <w:rPr>
          <w:spacing w:val="-5"/>
        </w:rPr>
        <w:t> </w:t>
      </w:r>
      <w:r>
        <w:rPr/>
        <w:t>information</w:t>
      </w:r>
      <w:r>
        <w:rPr>
          <w:spacing w:val="-5"/>
        </w:rPr>
        <w:t> </w:t>
      </w:r>
      <w:r>
        <w:rPr/>
        <w:t>available</w:t>
      </w:r>
      <w:r>
        <w:rPr>
          <w:spacing w:val="-4"/>
        </w:rPr>
        <w:t> </w:t>
      </w:r>
      <w:r>
        <w:rPr/>
        <w:t>on</w:t>
      </w:r>
      <w:r>
        <w:rPr>
          <w:spacing w:val="-5"/>
        </w:rPr>
        <w:t> </w:t>
      </w:r>
      <w:r>
        <w:rPr/>
        <w:t>the</w:t>
      </w:r>
      <w:r>
        <w:rPr>
          <w:spacing w:val="-4"/>
        </w:rPr>
        <w:t> </w:t>
      </w:r>
      <w:r>
        <w:rPr/>
        <w:t>scheme</w:t>
      </w:r>
      <w:r>
        <w:rPr>
          <w:spacing w:val="-4"/>
        </w:rPr>
        <w:t> </w:t>
      </w:r>
      <w:r>
        <w:rPr/>
        <w:t>with</w:t>
      </w:r>
      <w:r>
        <w:rPr>
          <w:spacing w:val="-5"/>
        </w:rPr>
        <w:t> </w:t>
      </w:r>
      <w:r>
        <w:rPr/>
        <w:t>which</w:t>
      </w:r>
      <w:r>
        <w:rPr>
          <w:spacing w:val="-5"/>
        </w:rPr>
        <w:t> </w:t>
      </w:r>
      <w:r>
        <w:rPr/>
        <w:t>to advise their clients.</w:t>
      </w:r>
      <w:r>
        <w:rPr>
          <w:vertAlign w:val="superscript"/>
        </w:rPr>
        <w:t>822</w:t>
      </w:r>
    </w:p>
    <w:p>
      <w:pPr>
        <w:pStyle w:val="ListParagraph"/>
        <w:numPr>
          <w:ilvl w:val="1"/>
          <w:numId w:val="13"/>
        </w:numPr>
        <w:tabs>
          <w:tab w:pos="1853" w:val="left" w:leader="none"/>
        </w:tabs>
        <w:spacing w:line="225" w:lineRule="auto" w:before="309" w:after="0"/>
        <w:ind w:left="1853" w:right="1222" w:hanging="720"/>
        <w:jc w:val="left"/>
        <w:rPr>
          <w:sz w:val="28"/>
        </w:rPr>
      </w:pPr>
      <w:r>
        <w:rPr>
          <w:sz w:val="28"/>
        </w:rPr>
        <w:t>Further, research participants expressed their concern that as a result of the lack of</w:t>
      </w:r>
      <w:r>
        <w:rPr>
          <w:spacing w:val="-1"/>
          <w:sz w:val="28"/>
        </w:rPr>
        <w:t> </w:t>
      </w:r>
      <w:r>
        <w:rPr>
          <w:sz w:val="28"/>
        </w:rPr>
        <w:t>information</w:t>
      </w:r>
      <w:r>
        <w:rPr>
          <w:spacing w:val="-1"/>
          <w:sz w:val="28"/>
        </w:rPr>
        <w:t> </w:t>
      </w:r>
      <w:r>
        <w:rPr>
          <w:sz w:val="28"/>
        </w:rPr>
        <w:t>and</w:t>
      </w:r>
      <w:r>
        <w:rPr>
          <w:spacing w:val="-1"/>
          <w:sz w:val="28"/>
        </w:rPr>
        <w:t> </w:t>
      </w:r>
      <w:r>
        <w:rPr>
          <w:sz w:val="28"/>
        </w:rPr>
        <w:t>support regarding the Frontier Worker scheme, there were</w:t>
      </w:r>
      <w:r>
        <w:rPr>
          <w:spacing w:val="-7"/>
          <w:sz w:val="28"/>
        </w:rPr>
        <w:t> </w:t>
      </w:r>
      <w:r>
        <w:rPr>
          <w:sz w:val="28"/>
        </w:rPr>
        <w:t>likely</w:t>
      </w:r>
      <w:r>
        <w:rPr>
          <w:spacing w:val="-7"/>
          <w:sz w:val="28"/>
        </w:rPr>
        <w:t> </w:t>
      </w:r>
      <w:r>
        <w:rPr>
          <w:sz w:val="28"/>
        </w:rPr>
        <w:t>to</w:t>
      </w:r>
      <w:r>
        <w:rPr>
          <w:spacing w:val="-8"/>
          <w:sz w:val="28"/>
        </w:rPr>
        <w:t> </w:t>
      </w:r>
      <w:r>
        <w:rPr>
          <w:sz w:val="28"/>
        </w:rPr>
        <w:t>be</w:t>
      </w:r>
      <w:r>
        <w:rPr>
          <w:spacing w:val="-7"/>
          <w:sz w:val="28"/>
        </w:rPr>
        <w:t> </w:t>
      </w:r>
      <w:r>
        <w:rPr>
          <w:sz w:val="28"/>
        </w:rPr>
        <w:t>many</w:t>
      </w:r>
      <w:r>
        <w:rPr>
          <w:spacing w:val="-7"/>
          <w:sz w:val="28"/>
        </w:rPr>
        <w:t> </w:t>
      </w:r>
      <w:r>
        <w:rPr>
          <w:sz w:val="28"/>
        </w:rPr>
        <w:t>cross-border</w:t>
      </w:r>
      <w:r>
        <w:rPr>
          <w:spacing w:val="-7"/>
          <w:sz w:val="28"/>
        </w:rPr>
        <w:t> </w:t>
      </w:r>
      <w:r>
        <w:rPr>
          <w:sz w:val="28"/>
        </w:rPr>
        <w:t>workers</w:t>
      </w:r>
      <w:r>
        <w:rPr>
          <w:spacing w:val="-8"/>
          <w:sz w:val="28"/>
        </w:rPr>
        <w:t> </w:t>
      </w:r>
      <w:r>
        <w:rPr>
          <w:sz w:val="28"/>
        </w:rPr>
        <w:t>who</w:t>
      </w:r>
      <w:r>
        <w:rPr>
          <w:spacing w:val="-8"/>
          <w:sz w:val="28"/>
        </w:rPr>
        <w:t> </w:t>
      </w:r>
      <w:r>
        <w:rPr>
          <w:sz w:val="28"/>
        </w:rPr>
        <w:t>will</w:t>
      </w:r>
      <w:r>
        <w:rPr>
          <w:spacing w:val="-8"/>
          <w:sz w:val="28"/>
        </w:rPr>
        <w:t> </w:t>
      </w:r>
      <w:r>
        <w:rPr>
          <w:sz w:val="28"/>
        </w:rPr>
        <w:t>have</w:t>
      </w:r>
      <w:r>
        <w:rPr>
          <w:spacing w:val="-7"/>
          <w:sz w:val="28"/>
        </w:rPr>
        <w:t> </w:t>
      </w:r>
      <w:r>
        <w:rPr>
          <w:sz w:val="28"/>
        </w:rPr>
        <w:t>‘fallen</w:t>
      </w:r>
      <w:r>
        <w:rPr>
          <w:spacing w:val="-8"/>
          <w:sz w:val="28"/>
        </w:rPr>
        <w:t> </w:t>
      </w:r>
      <w:r>
        <w:rPr>
          <w:sz w:val="28"/>
        </w:rPr>
        <w:t>through</w:t>
      </w:r>
      <w:r>
        <w:rPr>
          <w:spacing w:val="-8"/>
          <w:sz w:val="28"/>
        </w:rPr>
        <w:t> </w:t>
      </w:r>
      <w:r>
        <w:rPr>
          <w:sz w:val="28"/>
        </w:rPr>
        <w:t>the cracks’.</w:t>
      </w:r>
      <w:r>
        <w:rPr>
          <w:sz w:val="28"/>
          <w:vertAlign w:val="superscript"/>
        </w:rPr>
        <w:t>823</w:t>
      </w:r>
      <w:r>
        <w:rPr>
          <w:spacing w:val="22"/>
          <w:sz w:val="28"/>
          <w:vertAlign w:val="baseline"/>
        </w:rPr>
        <w:t> </w:t>
      </w:r>
      <w:r>
        <w:rPr>
          <w:sz w:val="28"/>
          <w:vertAlign w:val="baseline"/>
        </w:rPr>
        <w:t>The</w:t>
      </w:r>
      <w:r>
        <w:rPr>
          <w:spacing w:val="-9"/>
          <w:sz w:val="28"/>
          <w:vertAlign w:val="baseline"/>
        </w:rPr>
        <w:t> </w:t>
      </w:r>
      <w:r>
        <w:rPr>
          <w:sz w:val="28"/>
          <w:vertAlign w:val="baseline"/>
        </w:rPr>
        <w:t>ECNI</w:t>
      </w:r>
      <w:r>
        <w:rPr>
          <w:spacing w:val="-9"/>
          <w:sz w:val="28"/>
          <w:vertAlign w:val="baseline"/>
        </w:rPr>
        <w:t> </w:t>
      </w:r>
      <w:r>
        <w:rPr>
          <w:sz w:val="28"/>
          <w:vertAlign w:val="baseline"/>
        </w:rPr>
        <w:t>has</w:t>
      </w:r>
      <w:r>
        <w:rPr>
          <w:spacing w:val="-10"/>
          <w:sz w:val="28"/>
          <w:vertAlign w:val="baseline"/>
        </w:rPr>
        <w:t> </w:t>
      </w:r>
      <w:r>
        <w:rPr>
          <w:sz w:val="28"/>
          <w:vertAlign w:val="baseline"/>
        </w:rPr>
        <w:t>highlighted</w:t>
      </w:r>
      <w:r>
        <w:rPr>
          <w:spacing w:val="-10"/>
          <w:sz w:val="28"/>
          <w:vertAlign w:val="baseline"/>
        </w:rPr>
        <w:t> </w:t>
      </w:r>
      <w:r>
        <w:rPr>
          <w:sz w:val="28"/>
          <w:vertAlign w:val="baseline"/>
        </w:rPr>
        <w:t>the</w:t>
      </w:r>
      <w:r>
        <w:rPr>
          <w:spacing w:val="-9"/>
          <w:sz w:val="28"/>
          <w:vertAlign w:val="baseline"/>
        </w:rPr>
        <w:t> </w:t>
      </w:r>
      <w:r>
        <w:rPr>
          <w:sz w:val="28"/>
          <w:vertAlign w:val="baseline"/>
        </w:rPr>
        <w:t>need</w:t>
      </w:r>
      <w:r>
        <w:rPr>
          <w:spacing w:val="-10"/>
          <w:sz w:val="28"/>
          <w:vertAlign w:val="baseline"/>
        </w:rPr>
        <w:t> </w:t>
      </w:r>
      <w:r>
        <w:rPr>
          <w:sz w:val="28"/>
          <w:vertAlign w:val="baseline"/>
        </w:rPr>
        <w:t>for</w:t>
      </w:r>
      <w:r>
        <w:rPr>
          <w:spacing w:val="-9"/>
          <w:sz w:val="28"/>
          <w:vertAlign w:val="baseline"/>
        </w:rPr>
        <w:t> </w:t>
      </w:r>
      <w:r>
        <w:rPr>
          <w:sz w:val="28"/>
          <w:vertAlign w:val="baseline"/>
        </w:rPr>
        <w:t>clearer</w:t>
      </w:r>
      <w:r>
        <w:rPr>
          <w:spacing w:val="-10"/>
          <w:sz w:val="28"/>
          <w:vertAlign w:val="baseline"/>
        </w:rPr>
        <w:t> </w:t>
      </w:r>
      <w:r>
        <w:rPr>
          <w:sz w:val="28"/>
          <w:vertAlign w:val="baseline"/>
        </w:rPr>
        <w:t>guidance</w:t>
      </w:r>
      <w:r>
        <w:rPr>
          <w:spacing w:val="-9"/>
          <w:sz w:val="28"/>
          <w:vertAlign w:val="baseline"/>
        </w:rPr>
        <w:t> </w:t>
      </w:r>
      <w:r>
        <w:rPr>
          <w:sz w:val="28"/>
          <w:vertAlign w:val="baseline"/>
        </w:rPr>
        <w:t>from</w:t>
      </w:r>
      <w:r>
        <w:rPr>
          <w:spacing w:val="-9"/>
          <w:sz w:val="28"/>
          <w:vertAlign w:val="baseline"/>
        </w:rPr>
        <w:t> </w:t>
      </w:r>
      <w:r>
        <w:rPr>
          <w:sz w:val="28"/>
          <w:vertAlign w:val="baseline"/>
        </w:rPr>
        <w:t>the</w:t>
      </w:r>
      <w:r>
        <w:rPr>
          <w:spacing w:val="-9"/>
          <w:sz w:val="28"/>
          <w:vertAlign w:val="baseline"/>
        </w:rPr>
        <w:t> </w:t>
      </w:r>
      <w:r>
        <w:rPr>
          <w:sz w:val="28"/>
          <w:vertAlign w:val="baseline"/>
        </w:rPr>
        <w:t>UK Government on the rights and entitlements of frontier workers, post Brexit,</w:t>
      </w:r>
      <w:r>
        <w:rPr>
          <w:sz w:val="28"/>
          <w:vertAlign w:val="baseline"/>
        </w:rPr>
        <w:t> as well as for measures to raise awareness of those rights and entitlements amongst frontier workers and their families.</w:t>
      </w:r>
    </w:p>
    <w:p>
      <w:pPr>
        <w:pStyle w:val="BodyText"/>
        <w:spacing w:before="9"/>
        <w:rPr>
          <w:sz w:val="13"/>
        </w:rPr>
      </w:pPr>
      <w:r>
        <w:rPr/>
        <mc:AlternateContent>
          <mc:Choice Requires="wps">
            <w:drawing>
              <wp:anchor distT="0" distB="0" distL="0" distR="0" allowOverlap="1" layoutInCell="1" locked="0" behindDoc="1" simplePos="0" relativeHeight="487723008">
                <wp:simplePos x="0" y="0"/>
                <wp:positionH relativeFrom="page">
                  <wp:posOffset>720001</wp:posOffset>
                </wp:positionH>
                <wp:positionV relativeFrom="paragraph">
                  <wp:posOffset>121894</wp:posOffset>
                </wp:positionV>
                <wp:extent cx="6120130" cy="360045"/>
                <wp:effectExtent l="0" t="0" r="0" b="0"/>
                <wp:wrapTopAndBottom/>
                <wp:docPr id="618" name="Textbox 618"/>
                <wp:cNvGraphicFramePr>
                  <a:graphicFrameLocks/>
                </wp:cNvGraphicFramePr>
                <a:graphic>
                  <a:graphicData uri="http://schemas.microsoft.com/office/word/2010/wordprocessingShape">
                    <wps:wsp>
                      <wps:cNvPr id="618" name="Textbox 618"/>
                      <wps:cNvSpPr txBox="1"/>
                      <wps:spPr>
                        <a:xfrm>
                          <a:off x="0" y="0"/>
                          <a:ext cx="6120130" cy="360045"/>
                        </a:xfrm>
                        <a:prstGeom prst="rect">
                          <a:avLst/>
                        </a:prstGeom>
                        <a:solidFill>
                          <a:srgbClr val="393B7F"/>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9.598pt;width:481.9pt;height:28.35pt;mso-position-horizontal-relative:page;mso-position-vertical-relative:paragraph;z-index:-15593472;mso-wrap-distance-left:0;mso-wrap-distance-right:0" type="#_x0000_t202" id="docshape562" filled="true" fillcolor="#393b7f"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13"/>
        </w:numPr>
        <w:tabs>
          <w:tab w:pos="1853" w:val="left" w:leader="none"/>
        </w:tabs>
        <w:spacing w:line="225" w:lineRule="auto" w:before="208" w:after="0"/>
        <w:ind w:left="1853" w:right="1489" w:hanging="720"/>
        <w:jc w:val="left"/>
        <w:rPr>
          <w:b/>
          <w:color w:val="67287F"/>
          <w:sz w:val="28"/>
        </w:rPr>
      </w:pPr>
      <w:r>
        <w:rPr>
          <w:b/>
          <w:color w:val="67287F"/>
          <w:sz w:val="28"/>
        </w:rPr>
        <w:t>The</w:t>
      </w:r>
      <w:r>
        <w:rPr>
          <w:b/>
          <w:color w:val="67287F"/>
          <w:spacing w:val="-5"/>
          <w:sz w:val="28"/>
        </w:rPr>
        <w:t> </w:t>
      </w:r>
      <w:r>
        <w:rPr>
          <w:b/>
          <w:color w:val="67287F"/>
          <w:sz w:val="28"/>
        </w:rPr>
        <w:t>NIHRC</w:t>
      </w:r>
      <w:r>
        <w:rPr>
          <w:b/>
          <w:color w:val="67287F"/>
          <w:spacing w:val="-5"/>
          <w:sz w:val="28"/>
        </w:rPr>
        <w:t> </w:t>
      </w:r>
      <w:r>
        <w:rPr>
          <w:b/>
          <w:color w:val="67287F"/>
          <w:sz w:val="28"/>
        </w:rPr>
        <w:t>advises</w:t>
      </w:r>
      <w:r>
        <w:rPr>
          <w:b/>
          <w:color w:val="67287F"/>
          <w:spacing w:val="-4"/>
          <w:sz w:val="28"/>
        </w:rPr>
        <w:t> </w:t>
      </w:r>
      <w:r>
        <w:rPr>
          <w:b/>
          <w:color w:val="67287F"/>
          <w:sz w:val="28"/>
        </w:rPr>
        <w:t>that</w:t>
      </w:r>
      <w:r>
        <w:rPr>
          <w:b/>
          <w:color w:val="67287F"/>
          <w:spacing w:val="-4"/>
          <w:sz w:val="28"/>
        </w:rPr>
        <w:t> </w:t>
      </w:r>
      <w:r>
        <w:rPr>
          <w:b/>
          <w:color w:val="67287F"/>
          <w:sz w:val="28"/>
        </w:rPr>
        <w:t>people</w:t>
      </w:r>
      <w:r>
        <w:rPr>
          <w:b/>
          <w:color w:val="67287F"/>
          <w:spacing w:val="-5"/>
          <w:sz w:val="28"/>
        </w:rPr>
        <w:t> </w:t>
      </w:r>
      <w:r>
        <w:rPr>
          <w:b/>
          <w:color w:val="67287F"/>
          <w:sz w:val="28"/>
        </w:rPr>
        <w:t>living</w:t>
      </w:r>
      <w:r>
        <w:rPr>
          <w:b/>
          <w:color w:val="67287F"/>
          <w:spacing w:val="-5"/>
          <w:sz w:val="28"/>
        </w:rPr>
        <w:t> </w:t>
      </w:r>
      <w:r>
        <w:rPr>
          <w:b/>
          <w:color w:val="67287F"/>
          <w:sz w:val="28"/>
        </w:rPr>
        <w:t>and</w:t>
      </w:r>
      <w:r>
        <w:rPr>
          <w:b/>
          <w:color w:val="67287F"/>
          <w:spacing w:val="-4"/>
          <w:sz w:val="28"/>
        </w:rPr>
        <w:t> </w:t>
      </w:r>
      <w:r>
        <w:rPr>
          <w:b/>
          <w:color w:val="67287F"/>
          <w:sz w:val="28"/>
        </w:rPr>
        <w:t>working</w:t>
      </w:r>
      <w:r>
        <w:rPr>
          <w:b/>
          <w:color w:val="67287F"/>
          <w:spacing w:val="-5"/>
          <w:sz w:val="28"/>
        </w:rPr>
        <w:t> </w:t>
      </w:r>
      <w:r>
        <w:rPr>
          <w:b/>
          <w:color w:val="67287F"/>
          <w:sz w:val="28"/>
        </w:rPr>
        <w:t>across</w:t>
      </w:r>
      <w:r>
        <w:rPr>
          <w:b/>
          <w:color w:val="67287F"/>
          <w:spacing w:val="-4"/>
          <w:sz w:val="28"/>
        </w:rPr>
        <w:t> </w:t>
      </w:r>
      <w:r>
        <w:rPr>
          <w:b/>
          <w:color w:val="67287F"/>
          <w:sz w:val="28"/>
        </w:rPr>
        <w:t>the</w:t>
      </w:r>
      <w:r>
        <w:rPr>
          <w:b/>
          <w:color w:val="67287F"/>
          <w:spacing w:val="-5"/>
          <w:sz w:val="28"/>
        </w:rPr>
        <w:t> </w:t>
      </w:r>
      <w:r>
        <w:rPr>
          <w:b/>
          <w:color w:val="67287F"/>
          <w:sz w:val="28"/>
        </w:rPr>
        <w:t>border</w:t>
      </w:r>
      <w:r>
        <w:rPr>
          <w:b/>
          <w:color w:val="67287F"/>
          <w:spacing w:val="-5"/>
          <w:sz w:val="28"/>
        </w:rPr>
        <w:t> </w:t>
      </w:r>
      <w:r>
        <w:rPr>
          <w:b/>
          <w:color w:val="67287F"/>
          <w:sz w:val="28"/>
        </w:rPr>
        <w:t>are</w:t>
      </w:r>
      <w:r>
        <w:rPr>
          <w:b/>
          <w:color w:val="67287F"/>
          <w:spacing w:val="-5"/>
          <w:sz w:val="28"/>
        </w:rPr>
        <w:t> </w:t>
      </w:r>
      <w:r>
        <w:rPr>
          <w:b/>
          <w:color w:val="67287F"/>
          <w:sz w:val="28"/>
        </w:rPr>
        <w:t>in a particularly vulnerable</w:t>
      </w:r>
      <w:r>
        <w:rPr>
          <w:b/>
          <w:color w:val="67287F"/>
          <w:spacing w:val="-1"/>
          <w:sz w:val="28"/>
        </w:rPr>
        <w:t> </w:t>
      </w:r>
      <w:r>
        <w:rPr>
          <w:b/>
          <w:color w:val="67287F"/>
          <w:sz w:val="28"/>
        </w:rPr>
        <w:t>situation and recommends that the</w:t>
      </w:r>
      <w:r>
        <w:rPr>
          <w:b/>
          <w:color w:val="67287F"/>
          <w:spacing w:val="-1"/>
          <w:sz w:val="28"/>
        </w:rPr>
        <w:t> </w:t>
      </w:r>
      <w:r>
        <w:rPr>
          <w:b/>
          <w:color w:val="67287F"/>
          <w:sz w:val="28"/>
        </w:rPr>
        <w:t>Home</w:t>
      </w:r>
      <w:r>
        <w:rPr>
          <w:b/>
          <w:color w:val="67287F"/>
          <w:spacing w:val="-1"/>
          <w:sz w:val="28"/>
        </w:rPr>
        <w:t> </w:t>
      </w:r>
      <w:r>
        <w:rPr>
          <w:b/>
          <w:color w:val="67287F"/>
          <w:sz w:val="28"/>
        </w:rPr>
        <w:t>Office adopts a flexible approach to late applications to the Frontier Workers </w:t>
      </w:r>
      <w:r>
        <w:rPr>
          <w:b/>
          <w:color w:val="67287F"/>
          <w:spacing w:val="-2"/>
          <w:sz w:val="28"/>
        </w:rPr>
        <w:t>Scheme.</w:t>
      </w:r>
    </w:p>
    <w:p>
      <w:pPr>
        <w:pStyle w:val="ListParagraph"/>
        <w:numPr>
          <w:ilvl w:val="1"/>
          <w:numId w:val="13"/>
        </w:numPr>
        <w:tabs>
          <w:tab w:pos="1853" w:val="left" w:leader="none"/>
        </w:tabs>
        <w:spacing w:line="225" w:lineRule="auto" w:before="315" w:after="0"/>
        <w:ind w:left="1853" w:right="1256" w:hanging="720"/>
        <w:jc w:val="left"/>
        <w:rPr>
          <w:b/>
          <w:color w:val="67287F"/>
          <w:sz w:val="28"/>
        </w:rPr>
      </w:pPr>
      <w:r>
        <w:rPr>
          <w:b/>
          <w:color w:val="67287F"/>
          <w:sz w:val="28"/>
        </w:rPr>
        <w:t>The</w:t>
      </w:r>
      <w:r>
        <w:rPr>
          <w:b/>
          <w:color w:val="67287F"/>
          <w:spacing w:val="-6"/>
          <w:sz w:val="28"/>
        </w:rPr>
        <w:t> </w:t>
      </w:r>
      <w:r>
        <w:rPr>
          <w:b/>
          <w:color w:val="67287F"/>
          <w:sz w:val="28"/>
        </w:rPr>
        <w:t>Commissions</w:t>
      </w:r>
      <w:r>
        <w:rPr>
          <w:b/>
          <w:color w:val="67287F"/>
          <w:spacing w:val="-6"/>
          <w:sz w:val="28"/>
        </w:rPr>
        <w:t> </w:t>
      </w:r>
      <w:r>
        <w:rPr>
          <w:b/>
          <w:color w:val="67287F"/>
          <w:sz w:val="28"/>
        </w:rPr>
        <w:t>recommend</w:t>
      </w:r>
      <w:r>
        <w:rPr>
          <w:b/>
          <w:color w:val="67287F"/>
          <w:spacing w:val="-6"/>
          <w:sz w:val="28"/>
        </w:rPr>
        <w:t> </w:t>
      </w:r>
      <w:r>
        <w:rPr>
          <w:b/>
          <w:color w:val="67287F"/>
          <w:sz w:val="28"/>
        </w:rPr>
        <w:t>that</w:t>
      </w:r>
      <w:r>
        <w:rPr>
          <w:b/>
          <w:color w:val="67287F"/>
          <w:spacing w:val="-6"/>
          <w:sz w:val="28"/>
        </w:rPr>
        <w:t> </w:t>
      </w:r>
      <w:r>
        <w:rPr>
          <w:b/>
          <w:color w:val="67287F"/>
          <w:sz w:val="28"/>
        </w:rPr>
        <w:t>the</w:t>
      </w:r>
      <w:r>
        <w:rPr>
          <w:b/>
          <w:color w:val="67287F"/>
          <w:spacing w:val="-6"/>
          <w:sz w:val="28"/>
        </w:rPr>
        <w:t> </w:t>
      </w:r>
      <w:r>
        <w:rPr>
          <w:b/>
          <w:color w:val="67287F"/>
          <w:sz w:val="28"/>
        </w:rPr>
        <w:t>Home</w:t>
      </w:r>
      <w:r>
        <w:rPr>
          <w:b/>
          <w:color w:val="67287F"/>
          <w:spacing w:val="-6"/>
          <w:sz w:val="28"/>
        </w:rPr>
        <w:t> </w:t>
      </w:r>
      <w:r>
        <w:rPr>
          <w:b/>
          <w:color w:val="67287F"/>
          <w:sz w:val="28"/>
        </w:rPr>
        <w:t>Office</w:t>
      </w:r>
      <w:r>
        <w:rPr>
          <w:b/>
          <w:color w:val="67287F"/>
          <w:spacing w:val="-6"/>
          <w:sz w:val="28"/>
        </w:rPr>
        <w:t> </w:t>
      </w:r>
      <w:r>
        <w:rPr>
          <w:b/>
          <w:color w:val="67287F"/>
          <w:sz w:val="28"/>
        </w:rPr>
        <w:t>ensure</w:t>
      </w:r>
      <w:r>
        <w:rPr>
          <w:b/>
          <w:color w:val="67287F"/>
          <w:spacing w:val="-6"/>
          <w:sz w:val="28"/>
        </w:rPr>
        <w:t> </w:t>
      </w:r>
      <w:r>
        <w:rPr>
          <w:b/>
          <w:color w:val="67287F"/>
          <w:sz w:val="28"/>
        </w:rPr>
        <w:t>that</w:t>
      </w:r>
      <w:r>
        <w:rPr>
          <w:b/>
          <w:color w:val="67287F"/>
          <w:spacing w:val="-6"/>
          <w:sz w:val="28"/>
        </w:rPr>
        <w:t> </w:t>
      </w:r>
      <w:r>
        <w:rPr>
          <w:b/>
          <w:color w:val="67287F"/>
          <w:sz w:val="28"/>
        </w:rPr>
        <w:t>that</w:t>
      </w:r>
      <w:r>
        <w:rPr>
          <w:b/>
          <w:color w:val="67287F"/>
          <w:spacing w:val="-6"/>
          <w:sz w:val="28"/>
        </w:rPr>
        <w:t> </w:t>
      </w:r>
      <w:r>
        <w:rPr>
          <w:b/>
          <w:color w:val="67287F"/>
          <w:sz w:val="28"/>
        </w:rPr>
        <w:t>no</w:t>
      </w:r>
      <w:r>
        <w:rPr>
          <w:b/>
          <w:color w:val="67287F"/>
          <w:spacing w:val="-6"/>
          <w:sz w:val="28"/>
        </w:rPr>
        <w:t> </w:t>
      </w:r>
      <w:r>
        <w:rPr>
          <w:b/>
          <w:color w:val="67287F"/>
          <w:sz w:val="28"/>
        </w:rPr>
        <w:t>one is deprived of frontier worker status in NI in breach of Windsor Framework Article 2.</w:t>
      </w:r>
    </w:p>
    <w:p>
      <w:pPr>
        <w:pStyle w:val="ListParagraph"/>
        <w:numPr>
          <w:ilvl w:val="1"/>
          <w:numId w:val="13"/>
        </w:numPr>
        <w:tabs>
          <w:tab w:pos="1853" w:val="left" w:leader="none"/>
        </w:tabs>
        <w:spacing w:line="225" w:lineRule="auto" w:before="316" w:after="0"/>
        <w:ind w:left="1853" w:right="1132" w:hanging="720"/>
        <w:jc w:val="left"/>
        <w:rPr>
          <w:b/>
          <w:color w:val="67287F"/>
          <w:sz w:val="28"/>
        </w:rPr>
      </w:pPr>
      <w:r>
        <w:rPr>
          <w:b/>
          <w:color w:val="67287F"/>
          <w:sz w:val="28"/>
        </w:rPr>
        <w:t>The Commissions recommend that the UK Government, and the Home Office,</w:t>
      </w:r>
      <w:r>
        <w:rPr>
          <w:b/>
          <w:color w:val="67287F"/>
          <w:spacing w:val="-6"/>
          <w:sz w:val="28"/>
        </w:rPr>
        <w:t> </w:t>
      </w:r>
      <w:r>
        <w:rPr>
          <w:b/>
          <w:color w:val="67287F"/>
          <w:sz w:val="28"/>
        </w:rPr>
        <w:t>ensure</w:t>
      </w:r>
      <w:r>
        <w:rPr>
          <w:b/>
          <w:color w:val="67287F"/>
          <w:spacing w:val="-7"/>
          <w:sz w:val="28"/>
        </w:rPr>
        <w:t> </w:t>
      </w:r>
      <w:r>
        <w:rPr>
          <w:b/>
          <w:color w:val="67287F"/>
          <w:sz w:val="28"/>
        </w:rPr>
        <w:t>there</w:t>
      </w:r>
      <w:r>
        <w:rPr>
          <w:b/>
          <w:color w:val="67287F"/>
          <w:spacing w:val="-7"/>
          <w:sz w:val="28"/>
        </w:rPr>
        <w:t> </w:t>
      </w:r>
      <w:r>
        <w:rPr>
          <w:b/>
          <w:color w:val="67287F"/>
          <w:sz w:val="28"/>
        </w:rPr>
        <w:t>is</w:t>
      </w:r>
      <w:r>
        <w:rPr>
          <w:b/>
          <w:color w:val="67287F"/>
          <w:spacing w:val="-6"/>
          <w:sz w:val="28"/>
        </w:rPr>
        <w:t> </w:t>
      </w:r>
      <w:r>
        <w:rPr>
          <w:b/>
          <w:color w:val="67287F"/>
          <w:sz w:val="28"/>
        </w:rPr>
        <w:t>no</w:t>
      </w:r>
      <w:r>
        <w:rPr>
          <w:b/>
          <w:color w:val="67287F"/>
          <w:spacing w:val="-7"/>
          <w:sz w:val="28"/>
        </w:rPr>
        <w:t> </w:t>
      </w:r>
      <w:r>
        <w:rPr>
          <w:b/>
          <w:color w:val="67287F"/>
          <w:sz w:val="28"/>
        </w:rPr>
        <w:t>reduction</w:t>
      </w:r>
      <w:r>
        <w:rPr>
          <w:b/>
          <w:color w:val="67287F"/>
          <w:spacing w:val="-7"/>
          <w:sz w:val="28"/>
        </w:rPr>
        <w:t> </w:t>
      </w:r>
      <w:r>
        <w:rPr>
          <w:b/>
          <w:color w:val="67287F"/>
          <w:sz w:val="28"/>
        </w:rPr>
        <w:t>of</w:t>
      </w:r>
      <w:r>
        <w:rPr>
          <w:b/>
          <w:color w:val="67287F"/>
          <w:spacing w:val="-7"/>
          <w:sz w:val="28"/>
        </w:rPr>
        <w:t> </w:t>
      </w:r>
      <w:r>
        <w:rPr>
          <w:b/>
          <w:color w:val="67287F"/>
          <w:sz w:val="28"/>
        </w:rPr>
        <w:t>the</w:t>
      </w:r>
      <w:r>
        <w:rPr>
          <w:b/>
          <w:color w:val="67287F"/>
          <w:spacing w:val="-6"/>
          <w:sz w:val="28"/>
        </w:rPr>
        <w:t> </w:t>
      </w:r>
      <w:r>
        <w:rPr>
          <w:b/>
          <w:color w:val="67287F"/>
          <w:sz w:val="28"/>
        </w:rPr>
        <w:t>rights</w:t>
      </w:r>
      <w:r>
        <w:rPr>
          <w:b/>
          <w:color w:val="67287F"/>
          <w:spacing w:val="-7"/>
          <w:sz w:val="28"/>
        </w:rPr>
        <w:t> </w:t>
      </w:r>
      <w:r>
        <w:rPr>
          <w:b/>
          <w:color w:val="67287F"/>
          <w:sz w:val="28"/>
        </w:rPr>
        <w:t>of</w:t>
      </w:r>
      <w:r>
        <w:rPr>
          <w:b/>
          <w:color w:val="67287F"/>
          <w:spacing w:val="-7"/>
          <w:sz w:val="28"/>
        </w:rPr>
        <w:t> </w:t>
      </w:r>
      <w:r>
        <w:rPr>
          <w:b/>
          <w:color w:val="67287F"/>
          <w:sz w:val="28"/>
        </w:rPr>
        <w:t>frontier</w:t>
      </w:r>
      <w:r>
        <w:rPr>
          <w:b/>
          <w:color w:val="67287F"/>
          <w:spacing w:val="-6"/>
          <w:sz w:val="28"/>
        </w:rPr>
        <w:t> </w:t>
      </w:r>
      <w:r>
        <w:rPr>
          <w:b/>
          <w:color w:val="67287F"/>
          <w:sz w:val="28"/>
        </w:rPr>
        <w:t>workers</w:t>
      </w:r>
      <w:r>
        <w:rPr>
          <w:b/>
          <w:color w:val="67287F"/>
          <w:spacing w:val="-7"/>
          <w:sz w:val="28"/>
        </w:rPr>
        <w:t> </w:t>
      </w:r>
      <w:r>
        <w:rPr>
          <w:b/>
          <w:color w:val="67287F"/>
          <w:sz w:val="28"/>
        </w:rPr>
        <w:t>in</w:t>
      </w:r>
      <w:r>
        <w:rPr>
          <w:b/>
          <w:color w:val="67287F"/>
          <w:spacing w:val="-7"/>
          <w:sz w:val="28"/>
        </w:rPr>
        <w:t> </w:t>
      </w:r>
      <w:r>
        <w:rPr>
          <w:b/>
          <w:color w:val="67287F"/>
          <w:sz w:val="28"/>
        </w:rPr>
        <w:t>NI</w:t>
      </w:r>
      <w:r>
        <w:rPr>
          <w:b/>
          <w:color w:val="67287F"/>
          <w:spacing w:val="-7"/>
          <w:sz w:val="28"/>
        </w:rPr>
        <w:t> </w:t>
      </w:r>
      <w:r>
        <w:rPr>
          <w:b/>
          <w:color w:val="67287F"/>
          <w:sz w:val="28"/>
        </w:rPr>
        <w:t>due to Brexit, including no breach of Windsor Framework Article 2.</w:t>
      </w:r>
    </w:p>
    <w:p>
      <w:pPr>
        <w:pStyle w:val="ListParagraph"/>
        <w:numPr>
          <w:ilvl w:val="1"/>
          <w:numId w:val="13"/>
        </w:numPr>
        <w:tabs>
          <w:tab w:pos="1853" w:val="left" w:leader="none"/>
        </w:tabs>
        <w:spacing w:line="225" w:lineRule="auto" w:before="316" w:after="0"/>
        <w:ind w:left="1853" w:right="1208" w:hanging="720"/>
        <w:jc w:val="left"/>
        <w:rPr>
          <w:b/>
          <w:color w:val="67287F"/>
          <w:sz w:val="28"/>
        </w:rPr>
      </w:pPr>
      <w:r>
        <w:rPr>
          <w:b/>
          <w:color w:val="67287F"/>
          <w:sz w:val="28"/>
        </w:rPr>
        <w:t>The Commissions recommend that the UK Government, and the Home Office, clarify and raise awareness of rules and entitlements relating to frontier</w:t>
      </w:r>
      <w:r>
        <w:rPr>
          <w:b/>
          <w:color w:val="67287F"/>
          <w:spacing w:val="-10"/>
          <w:sz w:val="28"/>
        </w:rPr>
        <w:t> </w:t>
      </w:r>
      <w:r>
        <w:rPr>
          <w:b/>
          <w:color w:val="67287F"/>
          <w:sz w:val="28"/>
        </w:rPr>
        <w:t>workers</w:t>
      </w:r>
      <w:r>
        <w:rPr>
          <w:b/>
          <w:color w:val="67287F"/>
          <w:spacing w:val="-9"/>
          <w:sz w:val="28"/>
        </w:rPr>
        <w:t> </w:t>
      </w:r>
      <w:r>
        <w:rPr>
          <w:b/>
          <w:color w:val="67287F"/>
          <w:sz w:val="28"/>
        </w:rPr>
        <w:t>and</w:t>
      </w:r>
      <w:r>
        <w:rPr>
          <w:b/>
          <w:color w:val="67287F"/>
          <w:spacing w:val="-9"/>
          <w:sz w:val="28"/>
        </w:rPr>
        <w:t> </w:t>
      </w:r>
      <w:r>
        <w:rPr>
          <w:b/>
          <w:color w:val="67287F"/>
          <w:sz w:val="28"/>
        </w:rPr>
        <w:t>their</w:t>
      </w:r>
      <w:r>
        <w:rPr>
          <w:b/>
          <w:color w:val="67287F"/>
          <w:spacing w:val="-10"/>
          <w:sz w:val="28"/>
        </w:rPr>
        <w:t> </w:t>
      </w:r>
      <w:r>
        <w:rPr>
          <w:b/>
          <w:color w:val="67287F"/>
          <w:sz w:val="28"/>
        </w:rPr>
        <w:t>families,</w:t>
      </w:r>
      <w:r>
        <w:rPr>
          <w:b/>
          <w:color w:val="67287F"/>
          <w:spacing w:val="-9"/>
          <w:sz w:val="28"/>
        </w:rPr>
        <w:t> </w:t>
      </w:r>
      <w:r>
        <w:rPr>
          <w:b/>
          <w:color w:val="67287F"/>
          <w:sz w:val="28"/>
        </w:rPr>
        <w:t>particularly</w:t>
      </w:r>
      <w:r>
        <w:rPr>
          <w:b/>
          <w:color w:val="67287F"/>
          <w:spacing w:val="-9"/>
          <w:sz w:val="28"/>
        </w:rPr>
        <w:t> </w:t>
      </w:r>
      <w:r>
        <w:rPr>
          <w:b/>
          <w:color w:val="67287F"/>
          <w:sz w:val="28"/>
        </w:rPr>
        <w:t>as</w:t>
      </w:r>
      <w:r>
        <w:rPr>
          <w:b/>
          <w:color w:val="67287F"/>
          <w:spacing w:val="-9"/>
          <w:sz w:val="28"/>
        </w:rPr>
        <w:t> </w:t>
      </w:r>
      <w:r>
        <w:rPr>
          <w:b/>
          <w:color w:val="67287F"/>
          <w:sz w:val="28"/>
        </w:rPr>
        <w:t>regards</w:t>
      </w:r>
      <w:r>
        <w:rPr>
          <w:b/>
          <w:color w:val="67287F"/>
          <w:spacing w:val="-9"/>
          <w:sz w:val="28"/>
        </w:rPr>
        <w:t> </w:t>
      </w:r>
      <w:r>
        <w:rPr>
          <w:b/>
          <w:color w:val="67287F"/>
          <w:sz w:val="28"/>
        </w:rPr>
        <w:t>changes</w:t>
      </w:r>
      <w:r>
        <w:rPr>
          <w:b/>
          <w:color w:val="67287F"/>
          <w:spacing w:val="-9"/>
          <w:sz w:val="28"/>
        </w:rPr>
        <w:t> </w:t>
      </w:r>
      <w:r>
        <w:rPr>
          <w:b/>
          <w:color w:val="67287F"/>
          <w:sz w:val="28"/>
        </w:rPr>
        <w:t>that</w:t>
      </w:r>
      <w:r>
        <w:rPr>
          <w:b/>
          <w:color w:val="67287F"/>
          <w:spacing w:val="-9"/>
          <w:sz w:val="28"/>
        </w:rPr>
        <w:t> </w:t>
      </w:r>
      <w:r>
        <w:rPr>
          <w:b/>
          <w:color w:val="67287F"/>
          <w:sz w:val="28"/>
        </w:rPr>
        <w:t>have occurred as a result of Brexit.</w:t>
      </w:r>
    </w:p>
    <w:p>
      <w:pPr>
        <w:pStyle w:val="BodyText"/>
        <w:spacing w:before="3"/>
        <w:rPr>
          <w:b/>
          <w:sz w:val="9"/>
        </w:rPr>
      </w:pPr>
      <w:r>
        <w:rPr/>
        <mc:AlternateContent>
          <mc:Choice Requires="wps">
            <w:drawing>
              <wp:anchor distT="0" distB="0" distL="0" distR="0" allowOverlap="1" layoutInCell="1" locked="0" behindDoc="1" simplePos="0" relativeHeight="487723520">
                <wp:simplePos x="0" y="0"/>
                <wp:positionH relativeFrom="page">
                  <wp:posOffset>719996</wp:posOffset>
                </wp:positionH>
                <wp:positionV relativeFrom="paragraph">
                  <wp:posOffset>87183</wp:posOffset>
                </wp:positionV>
                <wp:extent cx="6120130" cy="1270"/>
                <wp:effectExtent l="0" t="0" r="0" b="0"/>
                <wp:wrapTopAndBottom/>
                <wp:docPr id="619" name="Graphic 619"/>
                <wp:cNvGraphicFramePr>
                  <a:graphicFrameLocks/>
                </wp:cNvGraphicFramePr>
                <a:graphic>
                  <a:graphicData uri="http://schemas.microsoft.com/office/word/2010/wordprocessingShape">
                    <wps:wsp>
                      <wps:cNvPr id="619" name="Graphic 61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6.864856pt;width:481.9pt;height:.1pt;mso-position-horizontal-relative:page;mso-position-vertical-relative:paragraph;z-index:-15592960;mso-wrap-distance-left:0;mso-wrap-distance-right:0" id="docshape563" coordorigin="1134,137" coordsize="9638,0" path="m10772,137l1134,137e" filled="false" stroked="true" strokeweight="1pt" strokecolor="#393b80">
                <v:path arrowok="t"/>
                <v:stroke dashstyle="solid"/>
                <w10:wrap type="topAndBottom"/>
              </v:shape>
            </w:pict>
          </mc:Fallback>
        </mc:AlternateContent>
      </w:r>
    </w:p>
    <w:p>
      <w:pPr>
        <w:pStyle w:val="ListParagraph"/>
        <w:numPr>
          <w:ilvl w:val="0"/>
          <w:numId w:val="15"/>
        </w:numPr>
        <w:tabs>
          <w:tab w:pos="1853" w:val="left" w:leader="none"/>
        </w:tabs>
        <w:spacing w:line="218" w:lineRule="exact" w:before="143" w:after="0"/>
        <w:ind w:left="1853" w:right="0" w:hanging="720"/>
        <w:jc w:val="left"/>
        <w:rPr>
          <w:sz w:val="18"/>
        </w:rPr>
      </w:pPr>
      <w:r>
        <w:rPr>
          <w:sz w:val="18"/>
        </w:rPr>
        <w:t>Sylvia</w:t>
      </w:r>
      <w:r>
        <w:rPr>
          <w:spacing w:val="-7"/>
          <w:sz w:val="18"/>
        </w:rPr>
        <w:t> </w:t>
      </w:r>
      <w:r>
        <w:rPr>
          <w:sz w:val="18"/>
        </w:rPr>
        <w:t>de</w:t>
      </w:r>
      <w:r>
        <w:rPr>
          <w:spacing w:val="-5"/>
          <w:sz w:val="18"/>
        </w:rPr>
        <w:t> </w:t>
      </w:r>
      <w:r>
        <w:rPr>
          <w:sz w:val="18"/>
        </w:rPr>
        <w:t>Mars</w:t>
      </w:r>
      <w:r>
        <w:rPr>
          <w:spacing w:val="-7"/>
          <w:sz w:val="18"/>
        </w:rPr>
        <w:t> </w:t>
      </w:r>
      <w:r>
        <w:rPr>
          <w:sz w:val="18"/>
        </w:rPr>
        <w:t>and</w:t>
      </w:r>
      <w:r>
        <w:rPr>
          <w:spacing w:val="-6"/>
          <w:sz w:val="18"/>
        </w:rPr>
        <w:t> </w:t>
      </w:r>
      <w:r>
        <w:rPr>
          <w:sz w:val="18"/>
        </w:rPr>
        <w:t>Charlotte</w:t>
      </w:r>
      <w:r>
        <w:rPr>
          <w:spacing w:val="-6"/>
          <w:sz w:val="18"/>
        </w:rPr>
        <w:t> </w:t>
      </w:r>
      <w:r>
        <w:rPr>
          <w:sz w:val="18"/>
        </w:rPr>
        <w:t>O’Brien,</w:t>
      </w:r>
      <w:r>
        <w:rPr>
          <w:spacing w:val="-5"/>
          <w:sz w:val="18"/>
        </w:rPr>
        <w:t> </w:t>
      </w:r>
      <w:r>
        <w:rPr>
          <w:sz w:val="18"/>
        </w:rPr>
        <w:t>‘Frontier</w:t>
      </w:r>
      <w:r>
        <w:rPr>
          <w:spacing w:val="-6"/>
          <w:sz w:val="18"/>
        </w:rPr>
        <w:t> </w:t>
      </w:r>
      <w:r>
        <w:rPr>
          <w:sz w:val="18"/>
        </w:rPr>
        <w:t>Workers</w:t>
      </w:r>
      <w:r>
        <w:rPr>
          <w:spacing w:val="-6"/>
          <w:sz w:val="18"/>
        </w:rPr>
        <w:t> </w:t>
      </w:r>
      <w:r>
        <w:rPr>
          <w:sz w:val="18"/>
        </w:rPr>
        <w:t>and</w:t>
      </w:r>
      <w:r>
        <w:rPr>
          <w:spacing w:val="-7"/>
          <w:sz w:val="18"/>
        </w:rPr>
        <w:t> </w:t>
      </w:r>
      <w:r>
        <w:rPr>
          <w:sz w:val="18"/>
        </w:rPr>
        <w:t>Their</w:t>
      </w:r>
      <w:r>
        <w:rPr>
          <w:spacing w:val="-5"/>
          <w:sz w:val="18"/>
        </w:rPr>
        <w:t> </w:t>
      </w:r>
      <w:r>
        <w:rPr>
          <w:sz w:val="18"/>
        </w:rPr>
        <w:t>Families:</w:t>
      </w:r>
      <w:r>
        <w:rPr>
          <w:spacing w:val="-6"/>
          <w:sz w:val="18"/>
        </w:rPr>
        <w:t> </w:t>
      </w:r>
      <w:r>
        <w:rPr>
          <w:sz w:val="18"/>
        </w:rPr>
        <w:t>Rights</w:t>
      </w:r>
      <w:r>
        <w:rPr>
          <w:spacing w:val="-6"/>
          <w:sz w:val="18"/>
        </w:rPr>
        <w:t> </w:t>
      </w:r>
      <w:r>
        <w:rPr>
          <w:sz w:val="18"/>
        </w:rPr>
        <w:t>After</w:t>
      </w:r>
      <w:r>
        <w:rPr>
          <w:spacing w:val="-5"/>
          <w:sz w:val="18"/>
        </w:rPr>
        <w:t> </w:t>
      </w:r>
      <w:r>
        <w:rPr>
          <w:sz w:val="18"/>
        </w:rPr>
        <w:t>Brexit’</w:t>
      </w:r>
      <w:r>
        <w:rPr>
          <w:spacing w:val="-6"/>
          <w:sz w:val="18"/>
        </w:rPr>
        <w:t> </w:t>
      </w:r>
      <w:r>
        <w:rPr>
          <w:sz w:val="18"/>
        </w:rPr>
        <w:t>(NIHRC,</w:t>
      </w:r>
      <w:r>
        <w:rPr>
          <w:spacing w:val="-6"/>
          <w:sz w:val="18"/>
        </w:rPr>
        <w:t> </w:t>
      </w:r>
      <w:r>
        <w:rPr>
          <w:spacing w:val="-2"/>
          <w:sz w:val="18"/>
        </w:rPr>
        <w:t>2023).</w:t>
      </w:r>
    </w:p>
    <w:p>
      <w:pPr>
        <w:pStyle w:val="ListParagraph"/>
        <w:numPr>
          <w:ilvl w:val="0"/>
          <w:numId w:val="15"/>
        </w:numPr>
        <w:tabs>
          <w:tab w:pos="1853" w:val="left" w:leader="none"/>
        </w:tabs>
        <w:spacing w:line="216" w:lineRule="exact" w:before="0" w:after="0"/>
        <w:ind w:left="1853" w:right="0" w:hanging="720"/>
        <w:jc w:val="left"/>
        <w:rPr>
          <w:sz w:val="18"/>
        </w:rPr>
      </w:pPr>
      <w:r>
        <w:rPr>
          <w:sz w:val="18"/>
        </w:rPr>
        <w:t>Pivotal,</w:t>
      </w:r>
      <w:r>
        <w:rPr>
          <w:spacing w:val="-5"/>
          <w:sz w:val="18"/>
        </w:rPr>
        <w:t> </w:t>
      </w:r>
      <w:r>
        <w:rPr>
          <w:sz w:val="18"/>
        </w:rPr>
        <w:t>‘Impact</w:t>
      </w:r>
      <w:r>
        <w:rPr>
          <w:spacing w:val="-3"/>
          <w:sz w:val="18"/>
        </w:rPr>
        <w:t> </w:t>
      </w:r>
      <w:r>
        <w:rPr>
          <w:sz w:val="18"/>
        </w:rPr>
        <w:t>of</w:t>
      </w:r>
      <w:r>
        <w:rPr>
          <w:spacing w:val="-4"/>
          <w:sz w:val="18"/>
        </w:rPr>
        <w:t> </w:t>
      </w:r>
      <w:r>
        <w:rPr>
          <w:sz w:val="18"/>
        </w:rPr>
        <w:t>Brexit</w:t>
      </w:r>
      <w:r>
        <w:rPr>
          <w:spacing w:val="-3"/>
          <w:sz w:val="18"/>
        </w:rPr>
        <w:t> </w:t>
      </w:r>
      <w:r>
        <w:rPr>
          <w:sz w:val="18"/>
        </w:rPr>
        <w:t>on</w:t>
      </w:r>
      <w:r>
        <w:rPr>
          <w:spacing w:val="-3"/>
          <w:sz w:val="18"/>
        </w:rPr>
        <w:t> </w:t>
      </w:r>
      <w:r>
        <w:rPr>
          <w:sz w:val="18"/>
        </w:rPr>
        <w:t>Minority</w:t>
      </w:r>
      <w:r>
        <w:rPr>
          <w:spacing w:val="-3"/>
          <w:sz w:val="18"/>
        </w:rPr>
        <w:t> </w:t>
      </w:r>
      <w:r>
        <w:rPr>
          <w:sz w:val="18"/>
        </w:rPr>
        <w:t>Ethnic</w:t>
      </w:r>
      <w:r>
        <w:rPr>
          <w:spacing w:val="-3"/>
          <w:sz w:val="18"/>
        </w:rPr>
        <w:t> </w:t>
      </w:r>
      <w:r>
        <w:rPr>
          <w:sz w:val="18"/>
        </w:rPr>
        <w:t>and</w:t>
      </w:r>
      <w:r>
        <w:rPr>
          <w:spacing w:val="-3"/>
          <w:sz w:val="18"/>
        </w:rPr>
        <w:t> </w:t>
      </w:r>
      <w:r>
        <w:rPr>
          <w:sz w:val="18"/>
        </w:rPr>
        <w:t>Migrant</w:t>
      </w:r>
      <w:r>
        <w:rPr>
          <w:spacing w:val="-3"/>
          <w:sz w:val="18"/>
        </w:rPr>
        <w:t> </w:t>
      </w:r>
      <w:r>
        <w:rPr>
          <w:sz w:val="18"/>
        </w:rPr>
        <w:t>People</w:t>
      </w:r>
      <w:r>
        <w:rPr>
          <w:spacing w:val="-3"/>
          <w:sz w:val="18"/>
        </w:rPr>
        <w:t> </w:t>
      </w:r>
      <w:r>
        <w:rPr>
          <w:sz w:val="18"/>
        </w:rPr>
        <w:t>in</w:t>
      </w:r>
      <w:r>
        <w:rPr>
          <w:spacing w:val="-4"/>
          <w:sz w:val="18"/>
        </w:rPr>
        <w:t> </w:t>
      </w:r>
      <w:r>
        <w:rPr>
          <w:sz w:val="18"/>
        </w:rPr>
        <w:t>Northern</w:t>
      </w:r>
      <w:r>
        <w:rPr>
          <w:spacing w:val="-3"/>
          <w:sz w:val="18"/>
        </w:rPr>
        <w:t> </w:t>
      </w:r>
      <w:r>
        <w:rPr>
          <w:sz w:val="18"/>
        </w:rPr>
        <w:t>Ireland’</w:t>
      </w:r>
      <w:r>
        <w:rPr>
          <w:spacing w:val="-3"/>
          <w:sz w:val="18"/>
        </w:rPr>
        <w:t> </w:t>
      </w:r>
      <w:r>
        <w:rPr>
          <w:sz w:val="18"/>
        </w:rPr>
        <w:t>(ECNI,</w:t>
      </w:r>
      <w:r>
        <w:rPr>
          <w:spacing w:val="-3"/>
          <w:sz w:val="18"/>
        </w:rPr>
        <w:t> </w:t>
      </w:r>
      <w:r>
        <w:rPr>
          <w:sz w:val="18"/>
        </w:rPr>
        <w:t>2023),</w:t>
      </w:r>
      <w:r>
        <w:rPr>
          <w:spacing w:val="-3"/>
          <w:sz w:val="18"/>
        </w:rPr>
        <w:t> </w:t>
      </w:r>
      <w:r>
        <w:rPr>
          <w:sz w:val="18"/>
        </w:rPr>
        <w:t>at</w:t>
      </w:r>
      <w:r>
        <w:rPr>
          <w:spacing w:val="-2"/>
          <w:sz w:val="18"/>
        </w:rPr>
        <w:t> </w:t>
      </w:r>
      <w:r>
        <w:rPr>
          <w:spacing w:val="-4"/>
          <w:sz w:val="18"/>
        </w:rPr>
        <w:t>103.</w:t>
      </w:r>
    </w:p>
    <w:p>
      <w:pPr>
        <w:pStyle w:val="ListParagraph"/>
        <w:numPr>
          <w:ilvl w:val="0"/>
          <w:numId w:val="15"/>
        </w:numPr>
        <w:tabs>
          <w:tab w:pos="1853" w:val="left" w:leader="none"/>
        </w:tabs>
        <w:spacing w:line="235" w:lineRule="auto" w:before="2" w:after="0"/>
        <w:ind w:left="1853" w:right="1209" w:hanging="720"/>
        <w:jc w:val="left"/>
        <w:rPr>
          <w:sz w:val="18"/>
        </w:rPr>
      </w:pPr>
      <w:r>
        <w:rPr>
          <w:sz w:val="18"/>
        </w:rPr>
        <w:t>Ibid,</w:t>
      </w:r>
      <w:r>
        <w:rPr>
          <w:spacing w:val="-4"/>
          <w:sz w:val="18"/>
        </w:rPr>
        <w:t> </w:t>
      </w:r>
      <w:r>
        <w:rPr>
          <w:sz w:val="18"/>
        </w:rPr>
        <w:t>at</w:t>
      </w:r>
      <w:r>
        <w:rPr>
          <w:spacing w:val="-4"/>
          <w:sz w:val="18"/>
        </w:rPr>
        <w:t> </w:t>
      </w:r>
      <w:r>
        <w:rPr>
          <w:sz w:val="18"/>
        </w:rPr>
        <w:t>103.</w:t>
      </w:r>
      <w:r>
        <w:rPr>
          <w:spacing w:val="-5"/>
          <w:sz w:val="18"/>
        </w:rPr>
        <w:t> </w:t>
      </w:r>
      <w:r>
        <w:rPr>
          <w:sz w:val="18"/>
        </w:rPr>
        <w:t>See</w:t>
      </w:r>
      <w:r>
        <w:rPr>
          <w:spacing w:val="-4"/>
          <w:sz w:val="18"/>
        </w:rPr>
        <w:t> </w:t>
      </w:r>
      <w:r>
        <w:rPr>
          <w:sz w:val="18"/>
        </w:rPr>
        <w:t>Chapter</w:t>
      </w:r>
      <w:r>
        <w:rPr>
          <w:spacing w:val="-4"/>
          <w:sz w:val="18"/>
        </w:rPr>
        <w:t> </w:t>
      </w:r>
      <w:r>
        <w:rPr>
          <w:sz w:val="18"/>
        </w:rPr>
        <w:t>1</w:t>
      </w:r>
      <w:r>
        <w:rPr>
          <w:spacing w:val="-4"/>
          <w:sz w:val="18"/>
        </w:rPr>
        <w:t> </w:t>
      </w:r>
      <w:r>
        <w:rPr>
          <w:sz w:val="18"/>
        </w:rPr>
        <w:t>for</w:t>
      </w:r>
      <w:r>
        <w:rPr>
          <w:spacing w:val="-4"/>
          <w:sz w:val="18"/>
        </w:rPr>
        <w:t> </w:t>
      </w:r>
      <w:r>
        <w:rPr>
          <w:sz w:val="18"/>
        </w:rPr>
        <w:t>ECNI</w:t>
      </w:r>
      <w:r>
        <w:rPr>
          <w:spacing w:val="-4"/>
          <w:sz w:val="18"/>
        </w:rPr>
        <w:t> </w:t>
      </w:r>
      <w:r>
        <w:rPr>
          <w:sz w:val="18"/>
        </w:rPr>
        <w:t>recommendations</w:t>
      </w:r>
      <w:r>
        <w:rPr>
          <w:spacing w:val="-5"/>
          <w:sz w:val="18"/>
        </w:rPr>
        <w:t> </w:t>
      </w:r>
      <w:r>
        <w:rPr>
          <w:sz w:val="18"/>
        </w:rPr>
        <w:t>regarding</w:t>
      </w:r>
      <w:r>
        <w:rPr>
          <w:spacing w:val="-4"/>
          <w:sz w:val="18"/>
        </w:rPr>
        <w:t> </w:t>
      </w:r>
      <w:r>
        <w:rPr>
          <w:sz w:val="18"/>
        </w:rPr>
        <w:t>the</w:t>
      </w:r>
      <w:r>
        <w:rPr>
          <w:spacing w:val="-4"/>
          <w:sz w:val="18"/>
        </w:rPr>
        <w:t> </w:t>
      </w:r>
      <w:r>
        <w:rPr>
          <w:sz w:val="18"/>
        </w:rPr>
        <w:t>need</w:t>
      </w:r>
      <w:r>
        <w:rPr>
          <w:spacing w:val="-5"/>
          <w:sz w:val="18"/>
        </w:rPr>
        <w:t> </w:t>
      </w:r>
      <w:r>
        <w:rPr>
          <w:sz w:val="18"/>
        </w:rPr>
        <w:t>for</w:t>
      </w:r>
      <w:r>
        <w:rPr>
          <w:spacing w:val="-4"/>
          <w:sz w:val="18"/>
        </w:rPr>
        <w:t> </w:t>
      </w:r>
      <w:r>
        <w:rPr>
          <w:sz w:val="18"/>
        </w:rPr>
        <w:t>adequate</w:t>
      </w:r>
      <w:r>
        <w:rPr>
          <w:spacing w:val="-4"/>
          <w:sz w:val="18"/>
        </w:rPr>
        <w:t> </w:t>
      </w:r>
      <w:r>
        <w:rPr>
          <w:sz w:val="18"/>
        </w:rPr>
        <w:t>funding</w:t>
      </w:r>
      <w:r>
        <w:rPr>
          <w:spacing w:val="-4"/>
          <w:sz w:val="18"/>
        </w:rPr>
        <w:t> </w:t>
      </w:r>
      <w:r>
        <w:rPr>
          <w:sz w:val="18"/>
        </w:rPr>
        <w:t>to</w:t>
      </w:r>
      <w:r>
        <w:rPr>
          <w:spacing w:val="-5"/>
          <w:sz w:val="18"/>
        </w:rPr>
        <w:t> </w:t>
      </w:r>
      <w:r>
        <w:rPr>
          <w:sz w:val="18"/>
        </w:rPr>
        <w:t>meet</w:t>
      </w:r>
      <w:r>
        <w:rPr>
          <w:spacing w:val="-4"/>
          <w:sz w:val="18"/>
        </w:rPr>
        <w:t> </w:t>
      </w:r>
      <w:r>
        <w:rPr>
          <w:sz w:val="18"/>
        </w:rPr>
        <w:t>additional</w:t>
      </w:r>
      <w:r>
        <w:rPr>
          <w:spacing w:val="-5"/>
          <w:sz w:val="18"/>
        </w:rPr>
        <w:t> </w:t>
      </w:r>
      <w:r>
        <w:rPr>
          <w:sz w:val="18"/>
        </w:rPr>
        <w:t>advice and support needs for EU nationals and frontier workers that have occurred as a result of Brexit.</w:t>
      </w:r>
    </w:p>
    <w:p>
      <w:pPr>
        <w:spacing w:after="0" w:line="235" w:lineRule="auto"/>
        <w:jc w:val="left"/>
        <w:rPr>
          <w:sz w:val="18"/>
        </w:rPr>
        <w:sectPr>
          <w:pgSz w:w="11910" w:h="16840"/>
          <w:pgMar w:header="496" w:footer="367" w:top="1220" w:bottom="560" w:left="0" w:right="0"/>
        </w:sectPr>
      </w:pPr>
    </w:p>
    <w:p>
      <w:pPr>
        <w:pStyle w:val="BodyText"/>
        <w:spacing w:before="198"/>
      </w:pPr>
    </w:p>
    <w:p>
      <w:pPr>
        <w:pStyle w:val="ListParagraph"/>
        <w:numPr>
          <w:ilvl w:val="1"/>
          <w:numId w:val="13"/>
        </w:numPr>
        <w:tabs>
          <w:tab w:pos="1853" w:val="left" w:leader="none"/>
        </w:tabs>
        <w:spacing w:line="225" w:lineRule="auto" w:before="0" w:after="0"/>
        <w:ind w:left="1853" w:right="1228" w:hanging="720"/>
        <w:jc w:val="left"/>
        <w:rPr>
          <w:b/>
          <w:color w:val="67287F"/>
          <w:sz w:val="28"/>
        </w:rPr>
      </w:pPr>
      <w:bookmarkStart w:name="_bookmark56" w:id="125"/>
      <w:bookmarkEnd w:id="125"/>
      <w:r>
        <w:rPr/>
      </w:r>
      <w:r>
        <w:rPr>
          <w:b/>
          <w:color w:val="67287F"/>
          <w:sz w:val="28"/>
        </w:rPr>
        <w:t>The NIHRC recommends that the Home Office, clarify the relationship between</w:t>
      </w:r>
      <w:r>
        <w:rPr>
          <w:b/>
          <w:color w:val="67287F"/>
          <w:spacing w:val="-10"/>
          <w:sz w:val="28"/>
        </w:rPr>
        <w:t> </w:t>
      </w:r>
      <w:r>
        <w:rPr>
          <w:b/>
          <w:color w:val="67287F"/>
          <w:sz w:val="28"/>
        </w:rPr>
        <w:t>the</w:t>
      </w:r>
      <w:r>
        <w:rPr>
          <w:b/>
          <w:color w:val="67287F"/>
          <w:spacing w:val="-11"/>
          <w:sz w:val="28"/>
        </w:rPr>
        <w:t> </w:t>
      </w:r>
      <w:r>
        <w:rPr>
          <w:b/>
          <w:color w:val="67287F"/>
          <w:sz w:val="28"/>
        </w:rPr>
        <w:t>Frontier</w:t>
      </w:r>
      <w:r>
        <w:rPr>
          <w:b/>
          <w:color w:val="67287F"/>
          <w:spacing w:val="-11"/>
          <w:sz w:val="28"/>
        </w:rPr>
        <w:t> </w:t>
      </w:r>
      <w:r>
        <w:rPr>
          <w:b/>
          <w:color w:val="67287F"/>
          <w:sz w:val="28"/>
        </w:rPr>
        <w:t>Workers’</w:t>
      </w:r>
      <w:r>
        <w:rPr>
          <w:b/>
          <w:color w:val="67287F"/>
          <w:spacing w:val="-10"/>
          <w:sz w:val="28"/>
        </w:rPr>
        <w:t> </w:t>
      </w:r>
      <w:r>
        <w:rPr>
          <w:b/>
          <w:color w:val="67287F"/>
          <w:sz w:val="28"/>
        </w:rPr>
        <w:t>Permit</w:t>
      </w:r>
      <w:r>
        <w:rPr>
          <w:b/>
          <w:color w:val="67287F"/>
          <w:spacing w:val="-10"/>
          <w:sz w:val="28"/>
        </w:rPr>
        <w:t> </w:t>
      </w:r>
      <w:r>
        <w:rPr>
          <w:b/>
          <w:color w:val="67287F"/>
          <w:sz w:val="28"/>
        </w:rPr>
        <w:t>Scheme</w:t>
      </w:r>
      <w:r>
        <w:rPr>
          <w:b/>
          <w:color w:val="67287F"/>
          <w:spacing w:val="-11"/>
          <w:sz w:val="28"/>
        </w:rPr>
        <w:t> </w:t>
      </w:r>
      <w:r>
        <w:rPr>
          <w:b/>
          <w:color w:val="67287F"/>
          <w:sz w:val="28"/>
        </w:rPr>
        <w:t>and</w:t>
      </w:r>
      <w:r>
        <w:rPr>
          <w:b/>
          <w:color w:val="67287F"/>
          <w:spacing w:val="-10"/>
          <w:sz w:val="28"/>
        </w:rPr>
        <w:t> </w:t>
      </w:r>
      <w:r>
        <w:rPr>
          <w:b/>
          <w:color w:val="67287F"/>
          <w:sz w:val="28"/>
        </w:rPr>
        <w:t>the</w:t>
      </w:r>
      <w:r>
        <w:rPr>
          <w:b/>
          <w:color w:val="67287F"/>
          <w:spacing w:val="-11"/>
          <w:sz w:val="28"/>
        </w:rPr>
        <w:t> </w:t>
      </w:r>
      <w:r>
        <w:rPr>
          <w:b/>
          <w:color w:val="67287F"/>
          <w:sz w:val="28"/>
        </w:rPr>
        <w:t>Common</w:t>
      </w:r>
      <w:r>
        <w:rPr>
          <w:b/>
          <w:color w:val="67287F"/>
          <w:spacing w:val="-10"/>
          <w:sz w:val="28"/>
        </w:rPr>
        <w:t> </w:t>
      </w:r>
      <w:r>
        <w:rPr>
          <w:b/>
          <w:color w:val="67287F"/>
          <w:sz w:val="28"/>
        </w:rPr>
        <w:t>Travel</w:t>
      </w:r>
      <w:r>
        <w:rPr>
          <w:b/>
          <w:color w:val="67287F"/>
          <w:spacing w:val="-10"/>
          <w:sz w:val="28"/>
        </w:rPr>
        <w:t> </w:t>
      </w:r>
      <w:r>
        <w:rPr>
          <w:b/>
          <w:color w:val="67287F"/>
          <w:sz w:val="28"/>
        </w:rPr>
        <w:t>Area rules that govern access to healthcare for frontier workers and ensure that those who are not obliged to apply for the Scheme are still able enjoy the same right to healthcare in their place of residence and their place of work as before Brexit.</w:t>
      </w:r>
    </w:p>
    <w:p>
      <w:pPr>
        <w:pStyle w:val="Heading3"/>
        <w:spacing w:before="340"/>
      </w:pPr>
      <w:bookmarkStart w:name="Migrant Workers" w:id="126"/>
      <w:bookmarkEnd w:id="126"/>
      <w:r>
        <w:rPr>
          <w:b w:val="0"/>
        </w:rPr>
      </w:r>
      <w:r>
        <w:rPr>
          <w:color w:val="67287F"/>
        </w:rPr>
        <w:t>Migrant</w:t>
      </w:r>
      <w:r>
        <w:rPr>
          <w:color w:val="67287F"/>
          <w:spacing w:val="-16"/>
        </w:rPr>
        <w:t> </w:t>
      </w:r>
      <w:r>
        <w:rPr>
          <w:color w:val="67287F"/>
          <w:spacing w:val="-2"/>
        </w:rPr>
        <w:t>Workers</w:t>
      </w:r>
    </w:p>
    <w:p>
      <w:pPr>
        <w:pStyle w:val="BodyText"/>
        <w:spacing w:before="5"/>
        <w:rPr>
          <w:b/>
          <w:sz w:val="5"/>
        </w:rPr>
      </w:pPr>
      <w:r>
        <w:rPr/>
        <mc:AlternateContent>
          <mc:Choice Requires="wps">
            <w:drawing>
              <wp:anchor distT="0" distB="0" distL="0" distR="0" allowOverlap="1" layoutInCell="1" locked="0" behindDoc="1" simplePos="0" relativeHeight="487724032">
                <wp:simplePos x="0" y="0"/>
                <wp:positionH relativeFrom="page">
                  <wp:posOffset>719997</wp:posOffset>
                </wp:positionH>
                <wp:positionV relativeFrom="paragraph">
                  <wp:posOffset>57220</wp:posOffset>
                </wp:positionV>
                <wp:extent cx="6120130" cy="1270"/>
                <wp:effectExtent l="0" t="0" r="0" b="0"/>
                <wp:wrapTopAndBottom/>
                <wp:docPr id="631" name="Graphic 631"/>
                <wp:cNvGraphicFramePr>
                  <a:graphicFrameLocks/>
                </wp:cNvGraphicFramePr>
                <a:graphic>
                  <a:graphicData uri="http://schemas.microsoft.com/office/word/2010/wordprocessingShape">
                    <wps:wsp>
                      <wps:cNvPr id="631" name="Graphic 631"/>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4.505581pt;width:481.9pt;height:.1pt;mso-position-horizontal-relative:page;mso-position-vertical-relative:paragraph;z-index:-15592448;mso-wrap-distance-left:0;mso-wrap-distance-right:0" id="docshape575" coordorigin="1134,90" coordsize="9638,0" path="m10772,90l1134,90e" filled="false" stroked="true" strokeweight="1pt" strokecolor="#67287f">
                <v:path arrowok="t"/>
                <v:stroke dashstyle="solid"/>
                <w10:wrap type="topAndBottom"/>
              </v:shape>
            </w:pict>
          </mc:Fallback>
        </mc:AlternateContent>
      </w:r>
    </w:p>
    <w:p>
      <w:pPr>
        <w:pStyle w:val="Heading5"/>
        <w:spacing w:before="321"/>
        <w:ind w:left="1133" w:firstLine="0"/>
      </w:pPr>
      <w:bookmarkStart w:name="Recognition of Qualifications" w:id="127"/>
      <w:bookmarkEnd w:id="127"/>
      <w:r>
        <w:rPr>
          <w:b w:val="0"/>
        </w:rPr>
      </w:r>
      <w:r>
        <w:rPr>
          <w:color w:val="393B7F"/>
        </w:rPr>
        <w:t>Recognition</w:t>
      </w:r>
      <w:r>
        <w:rPr>
          <w:color w:val="393B7F"/>
          <w:spacing w:val="-10"/>
        </w:rPr>
        <w:t> </w:t>
      </w:r>
      <w:r>
        <w:rPr>
          <w:color w:val="393B7F"/>
        </w:rPr>
        <w:t>of</w:t>
      </w:r>
      <w:r>
        <w:rPr>
          <w:color w:val="393B7F"/>
          <w:spacing w:val="-10"/>
        </w:rPr>
        <w:t> </w:t>
      </w:r>
      <w:r>
        <w:rPr>
          <w:color w:val="393B7F"/>
          <w:spacing w:val="-2"/>
        </w:rPr>
        <w:t>Qualifications</w:t>
      </w:r>
    </w:p>
    <w:p>
      <w:pPr>
        <w:pStyle w:val="ListParagraph"/>
        <w:numPr>
          <w:ilvl w:val="1"/>
          <w:numId w:val="13"/>
        </w:numPr>
        <w:tabs>
          <w:tab w:pos="1853" w:val="left" w:leader="none"/>
        </w:tabs>
        <w:spacing w:line="225" w:lineRule="auto" w:before="314" w:after="0"/>
        <w:ind w:left="1853" w:right="1375" w:hanging="720"/>
        <w:jc w:val="left"/>
        <w:rPr>
          <w:sz w:val="28"/>
        </w:rPr>
      </w:pPr>
      <w:r>
        <w:rPr>
          <w:sz w:val="28"/>
        </w:rPr>
        <w:t>Prior to Brexit, the EU Recognition of Qualifications Directive provided for the</w:t>
      </w:r>
      <w:r>
        <w:rPr>
          <w:spacing w:val="-7"/>
          <w:sz w:val="28"/>
        </w:rPr>
        <w:t> </w:t>
      </w:r>
      <w:r>
        <w:rPr>
          <w:sz w:val="28"/>
        </w:rPr>
        <w:t>recognition</w:t>
      </w:r>
      <w:r>
        <w:rPr>
          <w:spacing w:val="-7"/>
          <w:sz w:val="28"/>
        </w:rPr>
        <w:t> </w:t>
      </w:r>
      <w:r>
        <w:rPr>
          <w:sz w:val="28"/>
        </w:rPr>
        <w:t>of</w:t>
      </w:r>
      <w:r>
        <w:rPr>
          <w:spacing w:val="-7"/>
          <w:sz w:val="28"/>
        </w:rPr>
        <w:t> </w:t>
      </w:r>
      <w:r>
        <w:rPr>
          <w:sz w:val="28"/>
        </w:rPr>
        <w:t>professional</w:t>
      </w:r>
      <w:r>
        <w:rPr>
          <w:spacing w:val="-7"/>
          <w:sz w:val="28"/>
        </w:rPr>
        <w:t> </w:t>
      </w:r>
      <w:r>
        <w:rPr>
          <w:sz w:val="28"/>
        </w:rPr>
        <w:t>qualifications</w:t>
      </w:r>
      <w:r>
        <w:rPr>
          <w:spacing w:val="-8"/>
          <w:sz w:val="28"/>
        </w:rPr>
        <w:t> </w:t>
      </w:r>
      <w:r>
        <w:rPr>
          <w:sz w:val="28"/>
        </w:rPr>
        <w:t>for</w:t>
      </w:r>
      <w:r>
        <w:rPr>
          <w:spacing w:val="-7"/>
          <w:sz w:val="28"/>
        </w:rPr>
        <w:t> </w:t>
      </w:r>
      <w:r>
        <w:rPr>
          <w:sz w:val="28"/>
        </w:rPr>
        <w:t>people</w:t>
      </w:r>
      <w:r>
        <w:rPr>
          <w:spacing w:val="-7"/>
          <w:sz w:val="28"/>
        </w:rPr>
        <w:t> </w:t>
      </w:r>
      <w:r>
        <w:rPr>
          <w:sz w:val="28"/>
        </w:rPr>
        <w:t>who</w:t>
      </w:r>
      <w:r>
        <w:rPr>
          <w:spacing w:val="-7"/>
          <w:sz w:val="28"/>
        </w:rPr>
        <w:t> </w:t>
      </w:r>
      <w:r>
        <w:rPr>
          <w:sz w:val="28"/>
        </w:rPr>
        <w:t>qualified</w:t>
      </w:r>
      <w:r>
        <w:rPr>
          <w:spacing w:val="-7"/>
          <w:sz w:val="28"/>
        </w:rPr>
        <w:t> </w:t>
      </w:r>
      <w:r>
        <w:rPr>
          <w:sz w:val="28"/>
        </w:rPr>
        <w:t>in</w:t>
      </w:r>
      <w:r>
        <w:rPr>
          <w:spacing w:val="-7"/>
          <w:sz w:val="28"/>
        </w:rPr>
        <w:t> </w:t>
      </w:r>
      <w:r>
        <w:rPr>
          <w:sz w:val="28"/>
        </w:rPr>
        <w:t>one Member State and moved to another.</w:t>
      </w:r>
      <w:r>
        <w:rPr>
          <w:sz w:val="28"/>
          <w:vertAlign w:val="superscript"/>
        </w:rPr>
        <w:t>824</w:t>
      </w:r>
      <w:r>
        <w:rPr>
          <w:spacing w:val="40"/>
          <w:sz w:val="28"/>
          <w:vertAlign w:val="baseline"/>
        </w:rPr>
        <w:t> </w:t>
      </w:r>
      <w:r>
        <w:rPr>
          <w:sz w:val="28"/>
          <w:vertAlign w:val="baseline"/>
        </w:rPr>
        <w:t>Under the Directive, EU citizens have the right to pursue a regulated profession, on an employed or self- employed</w:t>
      </w:r>
      <w:r>
        <w:rPr>
          <w:spacing w:val="-2"/>
          <w:sz w:val="28"/>
          <w:vertAlign w:val="baseline"/>
        </w:rPr>
        <w:t> </w:t>
      </w:r>
      <w:r>
        <w:rPr>
          <w:sz w:val="28"/>
          <w:vertAlign w:val="baseline"/>
        </w:rPr>
        <w:t>basis,</w:t>
      </w:r>
      <w:r>
        <w:rPr>
          <w:spacing w:val="-1"/>
          <w:sz w:val="28"/>
          <w:vertAlign w:val="baseline"/>
        </w:rPr>
        <w:t> </w:t>
      </w:r>
      <w:r>
        <w:rPr>
          <w:sz w:val="28"/>
          <w:vertAlign w:val="baseline"/>
        </w:rPr>
        <w:t>in</w:t>
      </w:r>
      <w:r>
        <w:rPr>
          <w:spacing w:val="-2"/>
          <w:sz w:val="28"/>
          <w:vertAlign w:val="baseline"/>
        </w:rPr>
        <w:t> </w:t>
      </w:r>
      <w:r>
        <w:rPr>
          <w:sz w:val="28"/>
          <w:vertAlign w:val="baseline"/>
        </w:rPr>
        <w:t>an</w:t>
      </w:r>
      <w:r>
        <w:rPr>
          <w:spacing w:val="-2"/>
          <w:sz w:val="28"/>
          <w:vertAlign w:val="baseline"/>
        </w:rPr>
        <w:t> </w:t>
      </w:r>
      <w:r>
        <w:rPr>
          <w:sz w:val="28"/>
          <w:vertAlign w:val="baseline"/>
        </w:rPr>
        <w:t>EU</w:t>
      </w:r>
      <w:r>
        <w:rPr>
          <w:spacing w:val="-1"/>
          <w:sz w:val="28"/>
          <w:vertAlign w:val="baseline"/>
        </w:rPr>
        <w:t> </w:t>
      </w:r>
      <w:r>
        <w:rPr>
          <w:sz w:val="28"/>
          <w:vertAlign w:val="baseline"/>
        </w:rPr>
        <w:t>country</w:t>
      </w:r>
      <w:r>
        <w:rPr>
          <w:spacing w:val="-1"/>
          <w:sz w:val="28"/>
          <w:vertAlign w:val="baseline"/>
        </w:rPr>
        <w:t> </w:t>
      </w:r>
      <w:r>
        <w:rPr>
          <w:sz w:val="28"/>
          <w:vertAlign w:val="baseline"/>
        </w:rPr>
        <w:t>other</w:t>
      </w:r>
      <w:r>
        <w:rPr>
          <w:spacing w:val="-1"/>
          <w:sz w:val="28"/>
          <w:vertAlign w:val="baseline"/>
        </w:rPr>
        <w:t> </w:t>
      </w:r>
      <w:r>
        <w:rPr>
          <w:sz w:val="28"/>
          <w:vertAlign w:val="baseline"/>
        </w:rPr>
        <w:t>than</w:t>
      </w:r>
      <w:r>
        <w:rPr>
          <w:spacing w:val="-2"/>
          <w:sz w:val="28"/>
          <w:vertAlign w:val="baseline"/>
        </w:rPr>
        <w:t> </w:t>
      </w:r>
      <w:r>
        <w:rPr>
          <w:sz w:val="28"/>
          <w:vertAlign w:val="baseline"/>
        </w:rPr>
        <w:t>the</w:t>
      </w:r>
      <w:r>
        <w:rPr>
          <w:spacing w:val="-1"/>
          <w:sz w:val="28"/>
          <w:vertAlign w:val="baseline"/>
        </w:rPr>
        <w:t> </w:t>
      </w:r>
      <w:r>
        <w:rPr>
          <w:sz w:val="28"/>
          <w:vertAlign w:val="baseline"/>
        </w:rPr>
        <w:t>one</w:t>
      </w:r>
      <w:r>
        <w:rPr>
          <w:spacing w:val="-1"/>
          <w:sz w:val="28"/>
          <w:vertAlign w:val="baseline"/>
        </w:rPr>
        <w:t> </w:t>
      </w:r>
      <w:r>
        <w:rPr>
          <w:sz w:val="28"/>
          <w:vertAlign w:val="baseline"/>
        </w:rPr>
        <w:t>in</w:t>
      </w:r>
      <w:r>
        <w:rPr>
          <w:spacing w:val="-2"/>
          <w:sz w:val="28"/>
          <w:vertAlign w:val="baseline"/>
        </w:rPr>
        <w:t> </w:t>
      </w:r>
      <w:r>
        <w:rPr>
          <w:sz w:val="28"/>
          <w:vertAlign w:val="baseline"/>
        </w:rPr>
        <w:t>which</w:t>
      </w:r>
      <w:r>
        <w:rPr>
          <w:spacing w:val="-2"/>
          <w:sz w:val="28"/>
          <w:vertAlign w:val="baseline"/>
        </w:rPr>
        <w:t> </w:t>
      </w:r>
      <w:r>
        <w:rPr>
          <w:sz w:val="28"/>
          <w:vertAlign w:val="baseline"/>
        </w:rPr>
        <w:t>they</w:t>
      </w:r>
      <w:r>
        <w:rPr>
          <w:spacing w:val="-1"/>
          <w:sz w:val="28"/>
          <w:vertAlign w:val="baseline"/>
        </w:rPr>
        <w:t> </w:t>
      </w:r>
      <w:r>
        <w:rPr>
          <w:sz w:val="28"/>
          <w:vertAlign w:val="baseline"/>
        </w:rPr>
        <w:t>obtained their</w:t>
      </w:r>
      <w:r>
        <w:rPr>
          <w:spacing w:val="-6"/>
          <w:sz w:val="28"/>
          <w:vertAlign w:val="baseline"/>
        </w:rPr>
        <w:t> </w:t>
      </w:r>
      <w:r>
        <w:rPr>
          <w:sz w:val="28"/>
          <w:vertAlign w:val="baseline"/>
        </w:rPr>
        <w:t>qualification.</w:t>
      </w:r>
      <w:r>
        <w:rPr>
          <w:spacing w:val="-6"/>
          <w:sz w:val="28"/>
          <w:vertAlign w:val="baseline"/>
        </w:rPr>
        <w:t> </w:t>
      </w:r>
      <w:r>
        <w:rPr>
          <w:sz w:val="28"/>
          <w:vertAlign w:val="baseline"/>
        </w:rPr>
        <w:t>In</w:t>
      </w:r>
      <w:r>
        <w:rPr>
          <w:spacing w:val="-6"/>
          <w:sz w:val="28"/>
          <w:vertAlign w:val="baseline"/>
        </w:rPr>
        <w:t> </w:t>
      </w:r>
      <w:r>
        <w:rPr>
          <w:sz w:val="28"/>
          <w:vertAlign w:val="baseline"/>
        </w:rPr>
        <w:t>that</w:t>
      </w:r>
      <w:r>
        <w:rPr>
          <w:spacing w:val="-6"/>
          <w:sz w:val="28"/>
          <w:vertAlign w:val="baseline"/>
        </w:rPr>
        <w:t> </w:t>
      </w:r>
      <w:r>
        <w:rPr>
          <w:sz w:val="28"/>
          <w:vertAlign w:val="baseline"/>
        </w:rPr>
        <w:t>context,</w:t>
      </w:r>
      <w:r>
        <w:rPr>
          <w:spacing w:val="-6"/>
          <w:sz w:val="28"/>
          <w:vertAlign w:val="baseline"/>
        </w:rPr>
        <w:t> </w:t>
      </w:r>
      <w:r>
        <w:rPr>
          <w:sz w:val="28"/>
          <w:vertAlign w:val="baseline"/>
        </w:rPr>
        <w:t>EU</w:t>
      </w:r>
      <w:r>
        <w:rPr>
          <w:spacing w:val="-6"/>
          <w:sz w:val="28"/>
          <w:vertAlign w:val="baseline"/>
        </w:rPr>
        <w:t> </w:t>
      </w:r>
      <w:r>
        <w:rPr>
          <w:sz w:val="28"/>
          <w:vertAlign w:val="baseline"/>
        </w:rPr>
        <w:t>nationals</w:t>
      </w:r>
      <w:r>
        <w:rPr>
          <w:spacing w:val="-6"/>
          <w:sz w:val="28"/>
          <w:vertAlign w:val="baseline"/>
        </w:rPr>
        <w:t> </w:t>
      </w:r>
      <w:r>
        <w:rPr>
          <w:sz w:val="28"/>
          <w:vertAlign w:val="baseline"/>
        </w:rPr>
        <w:t>have</w:t>
      </w:r>
      <w:r>
        <w:rPr>
          <w:spacing w:val="-6"/>
          <w:sz w:val="28"/>
          <w:vertAlign w:val="baseline"/>
        </w:rPr>
        <w:t> </w:t>
      </w:r>
      <w:r>
        <w:rPr>
          <w:sz w:val="28"/>
          <w:vertAlign w:val="baseline"/>
        </w:rPr>
        <w:t>specific</w:t>
      </w:r>
      <w:r>
        <w:rPr>
          <w:spacing w:val="-6"/>
          <w:sz w:val="28"/>
          <w:vertAlign w:val="baseline"/>
        </w:rPr>
        <w:t> </w:t>
      </w:r>
      <w:r>
        <w:rPr>
          <w:sz w:val="28"/>
          <w:vertAlign w:val="baseline"/>
        </w:rPr>
        <w:t>procedural</w:t>
      </w:r>
      <w:r>
        <w:rPr>
          <w:spacing w:val="-6"/>
          <w:sz w:val="28"/>
          <w:vertAlign w:val="baseline"/>
        </w:rPr>
        <w:t> </w:t>
      </w:r>
      <w:r>
        <w:rPr>
          <w:sz w:val="28"/>
          <w:vertAlign w:val="baseline"/>
        </w:rPr>
        <w:t>and substantive rights regarding the recognition of their qualifications by an EU country different from the one where they acquired their qualifications.</w:t>
      </w:r>
    </w:p>
    <w:p>
      <w:pPr>
        <w:pStyle w:val="ListParagraph"/>
        <w:numPr>
          <w:ilvl w:val="1"/>
          <w:numId w:val="13"/>
        </w:numPr>
        <w:tabs>
          <w:tab w:pos="1853" w:val="left" w:leader="none"/>
        </w:tabs>
        <w:spacing w:line="225" w:lineRule="auto" w:before="310" w:after="0"/>
        <w:ind w:left="1853" w:right="1152" w:hanging="720"/>
        <w:jc w:val="left"/>
        <w:rPr>
          <w:sz w:val="28"/>
        </w:rPr>
      </w:pPr>
      <w:r>
        <w:rPr>
          <w:sz w:val="28"/>
        </w:rPr>
        <w:t>Since 1 January 2021 the EU Recognition of Qualifications Directive no longer applies</w:t>
      </w:r>
      <w:r>
        <w:rPr>
          <w:spacing w:val="-7"/>
          <w:sz w:val="28"/>
        </w:rPr>
        <w:t> </w:t>
      </w:r>
      <w:r>
        <w:rPr>
          <w:sz w:val="28"/>
        </w:rPr>
        <w:t>in</w:t>
      </w:r>
      <w:r>
        <w:rPr>
          <w:spacing w:val="-7"/>
          <w:sz w:val="28"/>
        </w:rPr>
        <w:t> </w:t>
      </w:r>
      <w:r>
        <w:rPr>
          <w:sz w:val="28"/>
        </w:rPr>
        <w:t>the</w:t>
      </w:r>
      <w:r>
        <w:rPr>
          <w:spacing w:val="-6"/>
          <w:sz w:val="28"/>
        </w:rPr>
        <w:t> </w:t>
      </w:r>
      <w:r>
        <w:rPr>
          <w:sz w:val="28"/>
        </w:rPr>
        <w:t>UK.</w:t>
      </w:r>
      <w:r>
        <w:rPr>
          <w:sz w:val="28"/>
          <w:vertAlign w:val="superscript"/>
        </w:rPr>
        <w:t>825</w:t>
      </w:r>
      <w:r>
        <w:rPr>
          <w:spacing w:val="-7"/>
          <w:sz w:val="28"/>
          <w:vertAlign w:val="baseline"/>
        </w:rPr>
        <w:t> </w:t>
      </w:r>
      <w:r>
        <w:rPr>
          <w:sz w:val="28"/>
          <w:vertAlign w:val="baseline"/>
        </w:rPr>
        <w:t>While</w:t>
      </w:r>
      <w:r>
        <w:rPr>
          <w:spacing w:val="-6"/>
          <w:sz w:val="28"/>
          <w:vertAlign w:val="baseline"/>
        </w:rPr>
        <w:t> </w:t>
      </w:r>
      <w:r>
        <w:rPr>
          <w:sz w:val="28"/>
          <w:vertAlign w:val="baseline"/>
        </w:rPr>
        <w:t>the</w:t>
      </w:r>
      <w:r>
        <w:rPr>
          <w:spacing w:val="-6"/>
          <w:sz w:val="28"/>
          <w:vertAlign w:val="baseline"/>
        </w:rPr>
        <w:t> </w:t>
      </w:r>
      <w:r>
        <w:rPr>
          <w:sz w:val="28"/>
          <w:vertAlign w:val="baseline"/>
        </w:rPr>
        <w:t>qualifications</w:t>
      </w:r>
      <w:r>
        <w:rPr>
          <w:spacing w:val="-7"/>
          <w:sz w:val="28"/>
          <w:vertAlign w:val="baseline"/>
        </w:rPr>
        <w:t> </w:t>
      </w:r>
      <w:r>
        <w:rPr>
          <w:sz w:val="28"/>
          <w:vertAlign w:val="baseline"/>
        </w:rPr>
        <w:t>of</w:t>
      </w:r>
      <w:r>
        <w:rPr>
          <w:spacing w:val="-7"/>
          <w:sz w:val="28"/>
          <w:vertAlign w:val="baseline"/>
        </w:rPr>
        <w:t> </w:t>
      </w:r>
      <w:r>
        <w:rPr>
          <w:sz w:val="28"/>
          <w:vertAlign w:val="baseline"/>
        </w:rPr>
        <w:t>EU</w:t>
      </w:r>
      <w:r>
        <w:rPr>
          <w:spacing w:val="-6"/>
          <w:sz w:val="28"/>
          <w:vertAlign w:val="baseline"/>
        </w:rPr>
        <w:t> </w:t>
      </w:r>
      <w:r>
        <w:rPr>
          <w:sz w:val="28"/>
          <w:vertAlign w:val="baseline"/>
        </w:rPr>
        <w:t>professionals</w:t>
      </w:r>
      <w:r>
        <w:rPr>
          <w:spacing w:val="-7"/>
          <w:sz w:val="28"/>
          <w:vertAlign w:val="baseline"/>
        </w:rPr>
        <w:t> </w:t>
      </w:r>
      <w:r>
        <w:rPr>
          <w:sz w:val="28"/>
          <w:vertAlign w:val="baseline"/>
        </w:rPr>
        <w:t>who</w:t>
      </w:r>
      <w:r>
        <w:rPr>
          <w:spacing w:val="-7"/>
          <w:sz w:val="28"/>
          <w:vertAlign w:val="baseline"/>
        </w:rPr>
        <w:t> </w:t>
      </w:r>
      <w:r>
        <w:rPr>
          <w:sz w:val="28"/>
          <w:vertAlign w:val="baseline"/>
        </w:rPr>
        <w:t>had</w:t>
      </w:r>
      <w:r>
        <w:rPr>
          <w:spacing w:val="-7"/>
          <w:sz w:val="28"/>
          <w:vertAlign w:val="baseline"/>
        </w:rPr>
        <w:t> </w:t>
      </w:r>
      <w:r>
        <w:rPr>
          <w:sz w:val="28"/>
          <w:vertAlign w:val="baseline"/>
        </w:rPr>
        <w:t>been working in the UK prior to 1 January 2021 are officially recognised and remain valid, EU migrants arriving after the end of the Brexit transition period will need to have their professional qualification officially recognised if they want to work in a profession that is regulated in the UK.</w:t>
      </w:r>
      <w:r>
        <w:rPr>
          <w:sz w:val="28"/>
          <w:vertAlign w:val="superscript"/>
        </w:rPr>
        <w:t>826</w:t>
      </w:r>
    </w:p>
    <w:p>
      <w:pPr>
        <w:pStyle w:val="ListParagraph"/>
        <w:numPr>
          <w:ilvl w:val="1"/>
          <w:numId w:val="13"/>
        </w:numPr>
        <w:tabs>
          <w:tab w:pos="1853" w:val="left" w:leader="none"/>
        </w:tabs>
        <w:spacing w:line="225" w:lineRule="auto" w:before="312" w:after="0"/>
        <w:ind w:left="1853" w:right="1851" w:hanging="720"/>
        <w:jc w:val="left"/>
        <w:rPr>
          <w:sz w:val="28"/>
        </w:rPr>
      </w:pPr>
      <w:r>
        <w:rPr>
          <w:sz w:val="28"/>
        </w:rPr>
        <w:t>As noted in independent research commissioned by ECNI, the UK has not</w:t>
      </w:r>
      <w:r>
        <w:rPr>
          <w:spacing w:val="-10"/>
          <w:sz w:val="28"/>
        </w:rPr>
        <w:t> </w:t>
      </w:r>
      <w:r>
        <w:rPr>
          <w:sz w:val="28"/>
        </w:rPr>
        <w:t>yet</w:t>
      </w:r>
      <w:r>
        <w:rPr>
          <w:spacing w:val="-10"/>
          <w:sz w:val="28"/>
        </w:rPr>
        <w:t> </w:t>
      </w:r>
      <w:r>
        <w:rPr>
          <w:sz w:val="28"/>
        </w:rPr>
        <w:t>created</w:t>
      </w:r>
      <w:r>
        <w:rPr>
          <w:spacing w:val="-11"/>
          <w:sz w:val="28"/>
        </w:rPr>
        <w:t> </w:t>
      </w:r>
      <w:r>
        <w:rPr>
          <w:sz w:val="28"/>
        </w:rPr>
        <w:t>a</w:t>
      </w:r>
      <w:r>
        <w:rPr>
          <w:spacing w:val="-11"/>
          <w:sz w:val="28"/>
        </w:rPr>
        <w:t> </w:t>
      </w:r>
      <w:r>
        <w:rPr>
          <w:sz w:val="28"/>
        </w:rPr>
        <w:t>comprehensive</w:t>
      </w:r>
      <w:r>
        <w:rPr>
          <w:spacing w:val="-10"/>
          <w:sz w:val="28"/>
        </w:rPr>
        <w:t> </w:t>
      </w:r>
      <w:r>
        <w:rPr>
          <w:sz w:val="28"/>
        </w:rPr>
        <w:t>system</w:t>
      </w:r>
      <w:r>
        <w:rPr>
          <w:spacing w:val="-10"/>
          <w:sz w:val="28"/>
        </w:rPr>
        <w:t> </w:t>
      </w:r>
      <w:r>
        <w:rPr>
          <w:sz w:val="28"/>
        </w:rPr>
        <w:t>for</w:t>
      </w:r>
      <w:r>
        <w:rPr>
          <w:spacing w:val="-10"/>
          <w:sz w:val="28"/>
        </w:rPr>
        <w:t> </w:t>
      </w:r>
      <w:r>
        <w:rPr>
          <w:sz w:val="28"/>
        </w:rPr>
        <w:t>recognition</w:t>
      </w:r>
      <w:r>
        <w:rPr>
          <w:spacing w:val="-11"/>
          <w:sz w:val="28"/>
        </w:rPr>
        <w:t> </w:t>
      </w:r>
      <w:r>
        <w:rPr>
          <w:sz w:val="28"/>
        </w:rPr>
        <w:t>of</w:t>
      </w:r>
      <w:r>
        <w:rPr>
          <w:spacing w:val="-11"/>
          <w:sz w:val="28"/>
        </w:rPr>
        <w:t> </w:t>
      </w:r>
      <w:r>
        <w:rPr>
          <w:sz w:val="28"/>
        </w:rPr>
        <w:t>qualifications after</w:t>
      </w:r>
      <w:r>
        <w:rPr>
          <w:spacing w:val="-3"/>
          <w:sz w:val="28"/>
        </w:rPr>
        <w:t> </w:t>
      </w:r>
      <w:r>
        <w:rPr>
          <w:sz w:val="28"/>
        </w:rPr>
        <w:t>Brexit.</w:t>
      </w:r>
      <w:r>
        <w:rPr>
          <w:sz w:val="28"/>
          <w:vertAlign w:val="superscript"/>
        </w:rPr>
        <w:t>827</w:t>
      </w:r>
      <w:r>
        <w:rPr>
          <w:spacing w:val="40"/>
          <w:sz w:val="28"/>
          <w:vertAlign w:val="baseline"/>
        </w:rPr>
        <w:t> </w:t>
      </w:r>
      <w:r>
        <w:rPr>
          <w:sz w:val="28"/>
          <w:vertAlign w:val="baseline"/>
        </w:rPr>
        <w:t>While</w:t>
      </w:r>
      <w:r>
        <w:rPr>
          <w:spacing w:val="-3"/>
          <w:sz w:val="28"/>
          <w:vertAlign w:val="baseline"/>
        </w:rPr>
        <w:t> </w:t>
      </w:r>
      <w:r>
        <w:rPr>
          <w:sz w:val="28"/>
          <w:vertAlign w:val="baseline"/>
        </w:rPr>
        <w:t>the</w:t>
      </w:r>
      <w:r>
        <w:rPr>
          <w:spacing w:val="-3"/>
          <w:sz w:val="28"/>
          <w:vertAlign w:val="baseline"/>
        </w:rPr>
        <w:t> </w:t>
      </w:r>
      <w:r>
        <w:rPr>
          <w:sz w:val="28"/>
          <w:vertAlign w:val="baseline"/>
        </w:rPr>
        <w:t>UK-EU</w:t>
      </w:r>
      <w:r>
        <w:rPr>
          <w:spacing w:val="-3"/>
          <w:sz w:val="28"/>
          <w:vertAlign w:val="baseline"/>
        </w:rPr>
        <w:t> </w:t>
      </w:r>
      <w:r>
        <w:rPr>
          <w:sz w:val="28"/>
          <w:vertAlign w:val="baseline"/>
        </w:rPr>
        <w:t>Trade</w:t>
      </w:r>
      <w:r>
        <w:rPr>
          <w:spacing w:val="-3"/>
          <w:sz w:val="28"/>
          <w:vertAlign w:val="baseline"/>
        </w:rPr>
        <w:t> </w:t>
      </w:r>
      <w:r>
        <w:rPr>
          <w:sz w:val="28"/>
          <w:vertAlign w:val="baseline"/>
        </w:rPr>
        <w:t>and</w:t>
      </w:r>
      <w:r>
        <w:rPr>
          <w:spacing w:val="-4"/>
          <w:sz w:val="28"/>
          <w:vertAlign w:val="baseline"/>
        </w:rPr>
        <w:t> </w:t>
      </w:r>
      <w:r>
        <w:rPr>
          <w:sz w:val="28"/>
          <w:vertAlign w:val="baseline"/>
        </w:rPr>
        <w:t>Cooperation</w:t>
      </w:r>
      <w:r>
        <w:rPr>
          <w:spacing w:val="-4"/>
          <w:sz w:val="28"/>
          <w:vertAlign w:val="baseline"/>
        </w:rPr>
        <w:t> </w:t>
      </w:r>
      <w:r>
        <w:rPr>
          <w:sz w:val="28"/>
          <w:vertAlign w:val="baseline"/>
        </w:rPr>
        <w:t>Agreement</w:t>
      </w:r>
      <w:r>
        <w:rPr>
          <w:spacing w:val="-3"/>
          <w:sz w:val="28"/>
          <w:vertAlign w:val="baseline"/>
        </w:rPr>
        <w:t> </w:t>
      </w:r>
      <w:r>
        <w:rPr>
          <w:sz w:val="28"/>
          <w:vertAlign w:val="baseline"/>
        </w:rPr>
        <w:t>sets</w:t>
      </w:r>
    </w:p>
    <w:p>
      <w:pPr>
        <w:pStyle w:val="BodyText"/>
        <w:spacing w:line="225" w:lineRule="auto"/>
        <w:ind w:left="1853" w:right="1171"/>
      </w:pPr>
      <w:r>
        <w:rPr/>
        <w:t>up a framework for the mutual recognition of qualifications, this relies on bilateral</w:t>
      </w:r>
      <w:r>
        <w:rPr>
          <w:spacing w:val="-11"/>
        </w:rPr>
        <w:t> </w:t>
      </w:r>
      <w:r>
        <w:rPr/>
        <w:t>agreements</w:t>
      </w:r>
      <w:r>
        <w:rPr>
          <w:spacing w:val="-11"/>
        </w:rPr>
        <w:t> </w:t>
      </w:r>
      <w:r>
        <w:rPr/>
        <w:t>between</w:t>
      </w:r>
      <w:r>
        <w:rPr>
          <w:spacing w:val="-11"/>
        </w:rPr>
        <w:t> </w:t>
      </w:r>
      <w:r>
        <w:rPr/>
        <w:t>industry</w:t>
      </w:r>
      <w:r>
        <w:rPr>
          <w:spacing w:val="-10"/>
        </w:rPr>
        <w:t> </w:t>
      </w:r>
      <w:r>
        <w:rPr/>
        <w:t>regulators</w:t>
      </w:r>
      <w:r>
        <w:rPr>
          <w:spacing w:val="-11"/>
        </w:rPr>
        <w:t> </w:t>
      </w:r>
      <w:r>
        <w:rPr/>
        <w:t>rather</w:t>
      </w:r>
      <w:r>
        <w:rPr>
          <w:spacing w:val="-10"/>
        </w:rPr>
        <w:t> </w:t>
      </w:r>
      <w:r>
        <w:rPr/>
        <w:t>than</w:t>
      </w:r>
      <w:r>
        <w:rPr>
          <w:spacing w:val="-11"/>
        </w:rPr>
        <w:t> </w:t>
      </w:r>
      <w:r>
        <w:rPr/>
        <w:t>a</w:t>
      </w:r>
      <w:r>
        <w:rPr>
          <w:spacing w:val="-11"/>
        </w:rPr>
        <w:t> </w:t>
      </w:r>
      <w:r>
        <w:rPr/>
        <w:t>formalised comprehensive framework.</w:t>
      </w:r>
      <w:r>
        <w:rPr>
          <w:vertAlign w:val="superscript"/>
        </w:rPr>
        <w:t>828</w:t>
      </w:r>
    </w:p>
    <w:p>
      <w:pPr>
        <w:pStyle w:val="ListParagraph"/>
        <w:numPr>
          <w:ilvl w:val="1"/>
          <w:numId w:val="13"/>
        </w:numPr>
        <w:tabs>
          <w:tab w:pos="1853" w:val="left" w:leader="none"/>
        </w:tabs>
        <w:spacing w:line="225" w:lineRule="auto" w:before="312" w:after="0"/>
        <w:ind w:left="1853" w:right="1353" w:hanging="720"/>
        <w:jc w:val="left"/>
        <w:rPr>
          <w:sz w:val="28"/>
        </w:rPr>
      </w:pPr>
      <w:r>
        <w:rPr>
          <w:sz w:val="28"/>
        </w:rPr>
        <w:t>The</w:t>
      </w:r>
      <w:r>
        <w:rPr>
          <w:spacing w:val="-5"/>
          <w:sz w:val="28"/>
        </w:rPr>
        <w:t> </w:t>
      </w:r>
      <w:r>
        <w:rPr>
          <w:sz w:val="28"/>
        </w:rPr>
        <w:t>UK</w:t>
      </w:r>
      <w:r>
        <w:rPr>
          <w:spacing w:val="-5"/>
          <w:sz w:val="28"/>
        </w:rPr>
        <w:t> </w:t>
      </w:r>
      <w:r>
        <w:rPr>
          <w:sz w:val="28"/>
        </w:rPr>
        <w:t>Government</w:t>
      </w:r>
      <w:r>
        <w:rPr>
          <w:spacing w:val="-5"/>
          <w:sz w:val="28"/>
        </w:rPr>
        <w:t> </w:t>
      </w:r>
      <w:r>
        <w:rPr>
          <w:sz w:val="28"/>
        </w:rPr>
        <w:t>has</w:t>
      </w:r>
      <w:r>
        <w:rPr>
          <w:spacing w:val="-5"/>
          <w:sz w:val="28"/>
        </w:rPr>
        <w:t> </w:t>
      </w:r>
      <w:r>
        <w:rPr>
          <w:sz w:val="28"/>
        </w:rPr>
        <w:t>said</w:t>
      </w:r>
      <w:r>
        <w:rPr>
          <w:spacing w:val="-5"/>
          <w:sz w:val="28"/>
        </w:rPr>
        <w:t> </w:t>
      </w:r>
      <w:r>
        <w:rPr>
          <w:sz w:val="28"/>
        </w:rPr>
        <w:t>that</w:t>
      </w:r>
      <w:r>
        <w:rPr>
          <w:spacing w:val="-5"/>
          <w:sz w:val="28"/>
        </w:rPr>
        <w:t> </w:t>
      </w:r>
      <w:r>
        <w:rPr>
          <w:sz w:val="28"/>
        </w:rPr>
        <w:t>Scotland,</w:t>
      </w:r>
      <w:r>
        <w:rPr>
          <w:spacing w:val="-5"/>
          <w:sz w:val="28"/>
        </w:rPr>
        <w:t> </w:t>
      </w:r>
      <w:r>
        <w:rPr>
          <w:sz w:val="28"/>
        </w:rPr>
        <w:t>Wales</w:t>
      </w:r>
      <w:r>
        <w:rPr>
          <w:spacing w:val="-5"/>
          <w:sz w:val="28"/>
        </w:rPr>
        <w:t> </w:t>
      </w:r>
      <w:r>
        <w:rPr>
          <w:sz w:val="28"/>
        </w:rPr>
        <w:t>and</w:t>
      </w:r>
      <w:r>
        <w:rPr>
          <w:spacing w:val="-5"/>
          <w:sz w:val="28"/>
        </w:rPr>
        <w:t> </w:t>
      </w:r>
      <w:r>
        <w:rPr>
          <w:sz w:val="28"/>
        </w:rPr>
        <w:t>NI</w:t>
      </w:r>
      <w:r>
        <w:rPr>
          <w:spacing w:val="-5"/>
          <w:sz w:val="28"/>
        </w:rPr>
        <w:t> </w:t>
      </w:r>
      <w:r>
        <w:rPr>
          <w:sz w:val="28"/>
        </w:rPr>
        <w:t>can</w:t>
      </w:r>
      <w:r>
        <w:rPr>
          <w:spacing w:val="-5"/>
          <w:sz w:val="28"/>
        </w:rPr>
        <w:t> </w:t>
      </w:r>
      <w:r>
        <w:rPr>
          <w:sz w:val="28"/>
        </w:rPr>
        <w:t>specify</w:t>
      </w:r>
      <w:r>
        <w:rPr>
          <w:spacing w:val="-5"/>
          <w:sz w:val="28"/>
        </w:rPr>
        <w:t> </w:t>
      </w:r>
      <w:r>
        <w:rPr>
          <w:sz w:val="28"/>
        </w:rPr>
        <w:t>priority professions where their regulation is within their legislative competence.</w:t>
      </w:r>
      <w:r>
        <w:rPr>
          <w:sz w:val="28"/>
          <w:vertAlign w:val="superscript"/>
        </w:rPr>
        <w:t>829</w:t>
      </w:r>
    </w:p>
    <w:p>
      <w:pPr>
        <w:pStyle w:val="BodyText"/>
        <w:spacing w:before="8"/>
        <w:rPr>
          <w:sz w:val="5"/>
        </w:rPr>
      </w:pPr>
      <w:r>
        <w:rPr/>
        <mc:AlternateContent>
          <mc:Choice Requires="wps">
            <w:drawing>
              <wp:anchor distT="0" distB="0" distL="0" distR="0" allowOverlap="1" layoutInCell="1" locked="0" behindDoc="1" simplePos="0" relativeHeight="487724544">
                <wp:simplePos x="0" y="0"/>
                <wp:positionH relativeFrom="page">
                  <wp:posOffset>719996</wp:posOffset>
                </wp:positionH>
                <wp:positionV relativeFrom="paragraph">
                  <wp:posOffset>59477</wp:posOffset>
                </wp:positionV>
                <wp:extent cx="6120130" cy="1270"/>
                <wp:effectExtent l="0" t="0" r="0" b="0"/>
                <wp:wrapTopAndBottom/>
                <wp:docPr id="632" name="Graphic 632"/>
                <wp:cNvGraphicFramePr>
                  <a:graphicFrameLocks/>
                </wp:cNvGraphicFramePr>
                <a:graphic>
                  <a:graphicData uri="http://schemas.microsoft.com/office/word/2010/wordprocessingShape">
                    <wps:wsp>
                      <wps:cNvPr id="632" name="Graphic 632"/>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4.683288pt;width:481.9pt;height:.1pt;mso-position-horizontal-relative:page;mso-position-vertical-relative:paragraph;z-index:-15591936;mso-wrap-distance-left:0;mso-wrap-distance-right:0" id="docshape576" coordorigin="1134,94" coordsize="9638,0" path="m10772,94l1134,94e" filled="false" stroked="true" strokeweight="1pt" strokecolor="#393b80">
                <v:path arrowok="t"/>
                <v:stroke dashstyle="solid"/>
                <w10:wrap type="topAndBottom"/>
              </v:shape>
            </w:pict>
          </mc:Fallback>
        </mc:AlternateContent>
      </w:r>
    </w:p>
    <w:p>
      <w:pPr>
        <w:pStyle w:val="ListParagraph"/>
        <w:numPr>
          <w:ilvl w:val="0"/>
          <w:numId w:val="15"/>
        </w:numPr>
        <w:tabs>
          <w:tab w:pos="1853" w:val="left" w:leader="none"/>
        </w:tabs>
        <w:spacing w:line="218" w:lineRule="exact" w:before="141" w:after="0"/>
        <w:ind w:left="1853" w:right="0" w:hanging="720"/>
        <w:jc w:val="left"/>
        <w:rPr>
          <w:sz w:val="18"/>
        </w:rPr>
      </w:pPr>
      <w:r>
        <w:rPr>
          <w:sz w:val="18"/>
        </w:rPr>
        <w:t>Pivotal,</w:t>
      </w:r>
      <w:r>
        <w:rPr>
          <w:spacing w:val="-7"/>
          <w:sz w:val="18"/>
        </w:rPr>
        <w:t> </w:t>
      </w:r>
      <w:hyperlink r:id="rId130">
        <w:r>
          <w:rPr>
            <w:sz w:val="18"/>
          </w:rPr>
          <w:t>‘Impact</w:t>
        </w:r>
        <w:r>
          <w:rPr>
            <w:spacing w:val="-3"/>
            <w:sz w:val="18"/>
          </w:rPr>
          <w:t> </w:t>
        </w:r>
        <w:r>
          <w:rPr>
            <w:sz w:val="18"/>
          </w:rPr>
          <w:t>of</w:t>
        </w:r>
        <w:r>
          <w:rPr>
            <w:spacing w:val="-4"/>
            <w:sz w:val="18"/>
          </w:rPr>
          <w:t> </w:t>
        </w:r>
        <w:r>
          <w:rPr>
            <w:sz w:val="18"/>
          </w:rPr>
          <w:t>Brexit</w:t>
        </w:r>
        <w:r>
          <w:rPr>
            <w:spacing w:val="-3"/>
            <w:sz w:val="18"/>
          </w:rPr>
          <w:t> </w:t>
        </w:r>
        <w:r>
          <w:rPr>
            <w:sz w:val="18"/>
          </w:rPr>
          <w:t>on</w:t>
        </w:r>
        <w:r>
          <w:rPr>
            <w:spacing w:val="-4"/>
            <w:sz w:val="18"/>
          </w:rPr>
          <w:t> </w:t>
        </w:r>
        <w:r>
          <w:rPr>
            <w:sz w:val="18"/>
          </w:rPr>
          <w:t>Minority</w:t>
        </w:r>
        <w:r>
          <w:rPr>
            <w:spacing w:val="-3"/>
            <w:sz w:val="18"/>
          </w:rPr>
          <w:t> </w:t>
        </w:r>
        <w:r>
          <w:rPr>
            <w:sz w:val="18"/>
          </w:rPr>
          <w:t>Ethnic</w:t>
        </w:r>
        <w:r>
          <w:rPr>
            <w:spacing w:val="-3"/>
            <w:sz w:val="18"/>
          </w:rPr>
          <w:t> </w:t>
        </w:r>
        <w:r>
          <w:rPr>
            <w:sz w:val="18"/>
          </w:rPr>
          <w:t>and</w:t>
        </w:r>
        <w:r>
          <w:rPr>
            <w:spacing w:val="-4"/>
            <w:sz w:val="18"/>
          </w:rPr>
          <w:t> </w:t>
        </w:r>
        <w:r>
          <w:rPr>
            <w:sz w:val="18"/>
          </w:rPr>
          <w:t>Migrant</w:t>
        </w:r>
        <w:r>
          <w:rPr>
            <w:spacing w:val="-4"/>
            <w:sz w:val="18"/>
          </w:rPr>
          <w:t> </w:t>
        </w:r>
        <w:r>
          <w:rPr>
            <w:sz w:val="18"/>
          </w:rPr>
          <w:t>People</w:t>
        </w:r>
        <w:r>
          <w:rPr>
            <w:spacing w:val="-3"/>
            <w:sz w:val="18"/>
          </w:rPr>
          <w:t> </w:t>
        </w:r>
        <w:r>
          <w:rPr>
            <w:sz w:val="18"/>
          </w:rPr>
          <w:t>in</w:t>
        </w:r>
        <w:r>
          <w:rPr>
            <w:spacing w:val="-4"/>
            <w:sz w:val="18"/>
          </w:rPr>
          <w:t> </w:t>
        </w:r>
        <w:r>
          <w:rPr>
            <w:sz w:val="18"/>
          </w:rPr>
          <w:t>Northern</w:t>
        </w:r>
        <w:r>
          <w:rPr>
            <w:spacing w:val="-4"/>
            <w:sz w:val="18"/>
          </w:rPr>
          <w:t> </w:t>
        </w:r>
        <w:r>
          <w:rPr>
            <w:sz w:val="18"/>
          </w:rPr>
          <w:t>Ireland</w:t>
        </w:r>
      </w:hyperlink>
      <w:r>
        <w:rPr>
          <w:sz w:val="18"/>
        </w:rPr>
        <w:t>’</w:t>
      </w:r>
      <w:r>
        <w:rPr>
          <w:spacing w:val="-3"/>
          <w:sz w:val="18"/>
        </w:rPr>
        <w:t> </w:t>
      </w:r>
      <w:r>
        <w:rPr>
          <w:sz w:val="18"/>
        </w:rPr>
        <w:t>(ECNI,</w:t>
      </w:r>
      <w:r>
        <w:rPr>
          <w:spacing w:val="-3"/>
          <w:sz w:val="18"/>
        </w:rPr>
        <w:t> </w:t>
      </w:r>
      <w:r>
        <w:rPr>
          <w:sz w:val="18"/>
        </w:rPr>
        <w:t>2023),</w:t>
      </w:r>
      <w:r>
        <w:rPr>
          <w:spacing w:val="-3"/>
          <w:sz w:val="18"/>
        </w:rPr>
        <w:t> </w:t>
      </w:r>
      <w:r>
        <w:rPr>
          <w:sz w:val="18"/>
        </w:rPr>
        <w:t>at</w:t>
      </w:r>
      <w:r>
        <w:rPr>
          <w:spacing w:val="-3"/>
          <w:sz w:val="18"/>
        </w:rPr>
        <w:t> </w:t>
      </w:r>
      <w:r>
        <w:rPr>
          <w:spacing w:val="-5"/>
          <w:sz w:val="18"/>
        </w:rPr>
        <w:t>18.</w:t>
      </w:r>
    </w:p>
    <w:p>
      <w:pPr>
        <w:pStyle w:val="ListParagraph"/>
        <w:numPr>
          <w:ilvl w:val="0"/>
          <w:numId w:val="15"/>
        </w:numPr>
        <w:tabs>
          <w:tab w:pos="1853" w:val="left" w:leader="none"/>
        </w:tabs>
        <w:spacing w:line="216" w:lineRule="exact" w:before="0" w:after="0"/>
        <w:ind w:left="1853" w:right="0" w:hanging="720"/>
        <w:jc w:val="left"/>
        <w:rPr>
          <w:sz w:val="18"/>
        </w:rPr>
      </w:pPr>
      <w:r>
        <w:rPr>
          <w:sz w:val="18"/>
        </w:rPr>
        <w:t>Department</w:t>
      </w:r>
      <w:r>
        <w:rPr>
          <w:spacing w:val="-8"/>
          <w:sz w:val="18"/>
        </w:rPr>
        <w:t> </w:t>
      </w:r>
      <w:r>
        <w:rPr>
          <w:sz w:val="18"/>
        </w:rPr>
        <w:t>for</w:t>
      </w:r>
      <w:r>
        <w:rPr>
          <w:spacing w:val="-7"/>
          <w:sz w:val="18"/>
        </w:rPr>
        <w:t> </w:t>
      </w:r>
      <w:r>
        <w:rPr>
          <w:sz w:val="18"/>
        </w:rPr>
        <w:t>Business</w:t>
      </w:r>
      <w:r>
        <w:rPr>
          <w:spacing w:val="-9"/>
          <w:sz w:val="18"/>
        </w:rPr>
        <w:t> </w:t>
      </w:r>
      <w:r>
        <w:rPr>
          <w:sz w:val="18"/>
        </w:rPr>
        <w:t>and</w:t>
      </w:r>
      <w:r>
        <w:rPr>
          <w:spacing w:val="-8"/>
          <w:sz w:val="18"/>
        </w:rPr>
        <w:t> </w:t>
      </w:r>
      <w:r>
        <w:rPr>
          <w:sz w:val="18"/>
        </w:rPr>
        <w:t>Trade,</w:t>
      </w:r>
      <w:r>
        <w:rPr>
          <w:spacing w:val="-7"/>
          <w:sz w:val="18"/>
        </w:rPr>
        <w:t> </w:t>
      </w:r>
      <w:r>
        <w:rPr>
          <w:sz w:val="18"/>
        </w:rPr>
        <w:t>‘</w:t>
      </w:r>
      <w:hyperlink r:id="rId216">
        <w:r>
          <w:rPr>
            <w:sz w:val="18"/>
          </w:rPr>
          <w:t>Guidance</w:t>
        </w:r>
        <w:r>
          <w:rPr>
            <w:spacing w:val="-8"/>
            <w:sz w:val="18"/>
          </w:rPr>
          <w:t> </w:t>
        </w:r>
        <w:r>
          <w:rPr>
            <w:sz w:val="18"/>
          </w:rPr>
          <w:t>on</w:t>
        </w:r>
        <w:r>
          <w:rPr>
            <w:spacing w:val="-8"/>
            <w:sz w:val="18"/>
          </w:rPr>
          <w:t> </w:t>
        </w:r>
        <w:r>
          <w:rPr>
            <w:sz w:val="18"/>
          </w:rPr>
          <w:t>Recognition</w:t>
        </w:r>
        <w:r>
          <w:rPr>
            <w:spacing w:val="-8"/>
            <w:sz w:val="18"/>
          </w:rPr>
          <w:t> </w:t>
        </w:r>
        <w:r>
          <w:rPr>
            <w:sz w:val="18"/>
          </w:rPr>
          <w:t>of</w:t>
        </w:r>
        <w:r>
          <w:rPr>
            <w:spacing w:val="-8"/>
            <w:sz w:val="18"/>
          </w:rPr>
          <w:t> </w:t>
        </w:r>
        <w:r>
          <w:rPr>
            <w:sz w:val="18"/>
          </w:rPr>
          <w:t>professional</w:t>
        </w:r>
        <w:r>
          <w:rPr>
            <w:spacing w:val="-9"/>
            <w:sz w:val="18"/>
          </w:rPr>
          <w:t> </w:t>
        </w:r>
        <w:r>
          <w:rPr>
            <w:sz w:val="18"/>
          </w:rPr>
          <w:t>qualifications</w:t>
        </w:r>
        <w:r>
          <w:rPr>
            <w:spacing w:val="-8"/>
            <w:sz w:val="18"/>
          </w:rPr>
          <w:t> </w:t>
        </w:r>
        <w:r>
          <w:rPr>
            <w:sz w:val="18"/>
          </w:rPr>
          <w:t>in</w:t>
        </w:r>
        <w:r>
          <w:rPr>
            <w:spacing w:val="-8"/>
            <w:sz w:val="18"/>
          </w:rPr>
          <w:t> </w:t>
        </w:r>
        <w:r>
          <w:rPr>
            <w:sz w:val="18"/>
          </w:rPr>
          <w:t>the</w:t>
        </w:r>
        <w:r>
          <w:rPr>
            <w:spacing w:val="-7"/>
            <w:sz w:val="18"/>
          </w:rPr>
          <w:t> </w:t>
        </w:r>
        <w:r>
          <w:rPr>
            <w:spacing w:val="-4"/>
            <w:sz w:val="18"/>
          </w:rPr>
          <w:t>UK’.</w:t>
        </w:r>
      </w:hyperlink>
    </w:p>
    <w:p>
      <w:pPr>
        <w:pStyle w:val="ListParagraph"/>
        <w:numPr>
          <w:ilvl w:val="0"/>
          <w:numId w:val="15"/>
        </w:numPr>
        <w:tabs>
          <w:tab w:pos="1853" w:val="left" w:leader="none"/>
        </w:tabs>
        <w:spacing w:line="216" w:lineRule="exact" w:before="0" w:after="0"/>
        <w:ind w:left="1853" w:right="0" w:hanging="720"/>
        <w:jc w:val="left"/>
        <w:rPr>
          <w:sz w:val="18"/>
        </w:rPr>
      </w:pPr>
      <w:r>
        <w:rPr>
          <w:spacing w:val="-4"/>
          <w:sz w:val="18"/>
        </w:rPr>
        <w:t>Ibid.</w:t>
      </w:r>
    </w:p>
    <w:p>
      <w:pPr>
        <w:pStyle w:val="ListParagraph"/>
        <w:numPr>
          <w:ilvl w:val="0"/>
          <w:numId w:val="15"/>
        </w:numPr>
        <w:tabs>
          <w:tab w:pos="1853" w:val="left" w:leader="none"/>
        </w:tabs>
        <w:spacing w:line="235" w:lineRule="auto" w:before="2" w:after="0"/>
        <w:ind w:left="1853" w:right="1951" w:hanging="720"/>
        <w:jc w:val="left"/>
        <w:rPr>
          <w:sz w:val="18"/>
        </w:rPr>
      </w:pPr>
      <w:r>
        <w:rPr>
          <w:sz w:val="18"/>
        </w:rPr>
        <w:t>Equality</w:t>
      </w:r>
      <w:r>
        <w:rPr>
          <w:spacing w:val="-5"/>
          <w:sz w:val="18"/>
        </w:rPr>
        <w:t> </w:t>
      </w:r>
      <w:r>
        <w:rPr>
          <w:sz w:val="18"/>
        </w:rPr>
        <w:t>Commission</w:t>
      </w:r>
      <w:r>
        <w:rPr>
          <w:spacing w:val="-6"/>
          <w:sz w:val="18"/>
        </w:rPr>
        <w:t> </w:t>
      </w:r>
      <w:r>
        <w:rPr>
          <w:sz w:val="18"/>
        </w:rPr>
        <w:t>for</w:t>
      </w:r>
      <w:r>
        <w:rPr>
          <w:spacing w:val="-5"/>
          <w:sz w:val="18"/>
        </w:rPr>
        <w:t> </w:t>
      </w:r>
      <w:r>
        <w:rPr>
          <w:sz w:val="18"/>
        </w:rPr>
        <w:t>NI,</w:t>
      </w:r>
      <w:r>
        <w:rPr>
          <w:spacing w:val="-5"/>
          <w:sz w:val="18"/>
        </w:rPr>
        <w:t> </w:t>
      </w:r>
      <w:r>
        <w:rPr>
          <w:sz w:val="18"/>
        </w:rPr>
        <w:t>‘Policy</w:t>
      </w:r>
      <w:r>
        <w:rPr>
          <w:spacing w:val="-5"/>
          <w:sz w:val="18"/>
        </w:rPr>
        <w:t> </w:t>
      </w:r>
      <w:r>
        <w:rPr>
          <w:sz w:val="18"/>
        </w:rPr>
        <w:t>Recommendations:</w:t>
      </w:r>
      <w:r>
        <w:rPr>
          <w:spacing w:val="-5"/>
          <w:sz w:val="18"/>
        </w:rPr>
        <w:t> </w:t>
      </w:r>
      <w:r>
        <w:rPr>
          <w:sz w:val="18"/>
        </w:rPr>
        <w:t>Impact</w:t>
      </w:r>
      <w:r>
        <w:rPr>
          <w:spacing w:val="-5"/>
          <w:sz w:val="18"/>
        </w:rPr>
        <w:t> </w:t>
      </w:r>
      <w:r>
        <w:rPr>
          <w:sz w:val="18"/>
        </w:rPr>
        <w:t>of</w:t>
      </w:r>
      <w:r>
        <w:rPr>
          <w:spacing w:val="-6"/>
          <w:sz w:val="18"/>
        </w:rPr>
        <w:t> </w:t>
      </w:r>
      <w:r>
        <w:rPr>
          <w:sz w:val="18"/>
        </w:rPr>
        <w:t>Brexit</w:t>
      </w:r>
      <w:r>
        <w:rPr>
          <w:spacing w:val="-5"/>
          <w:sz w:val="18"/>
        </w:rPr>
        <w:t> </w:t>
      </w:r>
      <w:r>
        <w:rPr>
          <w:sz w:val="18"/>
        </w:rPr>
        <w:t>on</w:t>
      </w:r>
      <w:r>
        <w:rPr>
          <w:spacing w:val="-6"/>
          <w:sz w:val="18"/>
        </w:rPr>
        <w:t> </w:t>
      </w:r>
      <w:r>
        <w:rPr>
          <w:sz w:val="18"/>
        </w:rPr>
        <w:t>Minority</w:t>
      </w:r>
      <w:r>
        <w:rPr>
          <w:spacing w:val="-5"/>
          <w:sz w:val="18"/>
        </w:rPr>
        <w:t> </w:t>
      </w:r>
      <w:r>
        <w:rPr>
          <w:sz w:val="18"/>
        </w:rPr>
        <w:t>Ethnic</w:t>
      </w:r>
      <w:r>
        <w:rPr>
          <w:spacing w:val="-5"/>
          <w:sz w:val="18"/>
        </w:rPr>
        <w:t> </w:t>
      </w:r>
      <w:r>
        <w:rPr>
          <w:sz w:val="18"/>
        </w:rPr>
        <w:t>and</w:t>
      </w:r>
      <w:r>
        <w:rPr>
          <w:spacing w:val="-6"/>
          <w:sz w:val="18"/>
        </w:rPr>
        <w:t> </w:t>
      </w:r>
      <w:r>
        <w:rPr>
          <w:sz w:val="18"/>
        </w:rPr>
        <w:t>Migrant</w:t>
      </w:r>
      <w:r>
        <w:rPr>
          <w:spacing w:val="-5"/>
          <w:sz w:val="18"/>
        </w:rPr>
        <w:t> </w:t>
      </w:r>
      <w:r>
        <w:rPr>
          <w:sz w:val="18"/>
        </w:rPr>
        <w:t>People’ (ECNI 2024), at 81.</w:t>
      </w:r>
    </w:p>
    <w:p>
      <w:pPr>
        <w:pStyle w:val="ListParagraph"/>
        <w:numPr>
          <w:ilvl w:val="0"/>
          <w:numId w:val="15"/>
        </w:numPr>
        <w:tabs>
          <w:tab w:pos="1853" w:val="left" w:leader="none"/>
        </w:tabs>
        <w:spacing w:line="235" w:lineRule="auto" w:before="1" w:after="0"/>
        <w:ind w:left="1853" w:right="1385" w:hanging="720"/>
        <w:jc w:val="left"/>
        <w:rPr>
          <w:sz w:val="18"/>
        </w:rPr>
      </w:pPr>
      <w:r>
        <w:rPr>
          <w:sz w:val="18"/>
        </w:rPr>
        <w:t>Jozepa,</w:t>
      </w:r>
      <w:r>
        <w:rPr>
          <w:spacing w:val="-6"/>
          <w:sz w:val="18"/>
        </w:rPr>
        <w:t> </w:t>
      </w:r>
      <w:r>
        <w:rPr>
          <w:sz w:val="18"/>
        </w:rPr>
        <w:t>Ilze,</w:t>
      </w:r>
      <w:r>
        <w:rPr>
          <w:spacing w:val="-6"/>
          <w:sz w:val="18"/>
        </w:rPr>
        <w:t> </w:t>
      </w:r>
      <w:r>
        <w:rPr>
          <w:sz w:val="18"/>
        </w:rPr>
        <w:t>‘UK-EU</w:t>
      </w:r>
      <w:r>
        <w:rPr>
          <w:spacing w:val="-6"/>
          <w:sz w:val="18"/>
        </w:rPr>
        <w:t> </w:t>
      </w:r>
      <w:r>
        <w:rPr>
          <w:sz w:val="18"/>
        </w:rPr>
        <w:t>Trade</w:t>
      </w:r>
      <w:r>
        <w:rPr>
          <w:spacing w:val="-6"/>
          <w:sz w:val="18"/>
        </w:rPr>
        <w:t> </w:t>
      </w:r>
      <w:r>
        <w:rPr>
          <w:sz w:val="18"/>
        </w:rPr>
        <w:t>and</w:t>
      </w:r>
      <w:r>
        <w:rPr>
          <w:spacing w:val="-7"/>
          <w:sz w:val="18"/>
        </w:rPr>
        <w:t> </w:t>
      </w:r>
      <w:r>
        <w:rPr>
          <w:sz w:val="18"/>
        </w:rPr>
        <w:t>Cooperation</w:t>
      </w:r>
      <w:r>
        <w:rPr>
          <w:spacing w:val="-7"/>
          <w:sz w:val="18"/>
        </w:rPr>
        <w:t> </w:t>
      </w:r>
      <w:r>
        <w:rPr>
          <w:sz w:val="18"/>
        </w:rPr>
        <w:t>agreement:</w:t>
      </w:r>
      <w:r>
        <w:rPr>
          <w:spacing w:val="-6"/>
          <w:sz w:val="18"/>
        </w:rPr>
        <w:t> </w:t>
      </w:r>
      <w:r>
        <w:rPr>
          <w:sz w:val="18"/>
        </w:rPr>
        <w:t>professional</w:t>
      </w:r>
      <w:r>
        <w:rPr>
          <w:spacing w:val="-7"/>
          <w:sz w:val="18"/>
        </w:rPr>
        <w:t> </w:t>
      </w:r>
      <w:r>
        <w:rPr>
          <w:sz w:val="18"/>
        </w:rPr>
        <w:t>qualifications</w:t>
      </w:r>
      <w:r>
        <w:rPr>
          <w:spacing w:val="-7"/>
          <w:sz w:val="18"/>
        </w:rPr>
        <w:t> </w:t>
      </w:r>
      <w:r>
        <w:rPr>
          <w:sz w:val="18"/>
        </w:rPr>
        <w:t>-</w:t>
      </w:r>
      <w:r>
        <w:rPr>
          <w:spacing w:val="-7"/>
          <w:sz w:val="18"/>
        </w:rPr>
        <w:t> </w:t>
      </w:r>
      <w:r>
        <w:rPr>
          <w:sz w:val="18"/>
        </w:rPr>
        <w:t>House</w:t>
      </w:r>
      <w:r>
        <w:rPr>
          <w:spacing w:val="-6"/>
          <w:sz w:val="18"/>
        </w:rPr>
        <w:t> </w:t>
      </w:r>
      <w:r>
        <w:rPr>
          <w:sz w:val="18"/>
        </w:rPr>
        <w:t>of</w:t>
      </w:r>
      <w:r>
        <w:rPr>
          <w:spacing w:val="-7"/>
          <w:sz w:val="18"/>
        </w:rPr>
        <w:t> </w:t>
      </w:r>
      <w:r>
        <w:rPr>
          <w:sz w:val="18"/>
        </w:rPr>
        <w:t>Commons</w:t>
      </w:r>
      <w:r>
        <w:rPr>
          <w:spacing w:val="-7"/>
          <w:sz w:val="18"/>
        </w:rPr>
        <w:t> </w:t>
      </w:r>
      <w:r>
        <w:rPr>
          <w:sz w:val="18"/>
        </w:rPr>
        <w:t>Library</w:t>
      </w:r>
      <w:r>
        <w:rPr>
          <w:spacing w:val="-6"/>
          <w:sz w:val="18"/>
        </w:rPr>
        <w:t> </w:t>
      </w:r>
      <w:r>
        <w:rPr>
          <w:sz w:val="18"/>
        </w:rPr>
        <w:t>Briefing Paper Number 9172’ (HOC, 2021).</w:t>
      </w:r>
    </w:p>
    <w:p>
      <w:pPr>
        <w:pStyle w:val="ListParagraph"/>
        <w:numPr>
          <w:ilvl w:val="0"/>
          <w:numId w:val="15"/>
        </w:numPr>
        <w:tabs>
          <w:tab w:pos="1853" w:val="left" w:leader="none"/>
        </w:tabs>
        <w:spacing w:line="235" w:lineRule="auto" w:before="1" w:after="0"/>
        <w:ind w:left="1853" w:right="1181" w:hanging="720"/>
        <w:jc w:val="left"/>
        <w:rPr>
          <w:sz w:val="18"/>
        </w:rPr>
      </w:pPr>
      <w:r>
        <w:rPr>
          <w:sz w:val="18"/>
        </w:rPr>
        <w:t>Department</w:t>
      </w:r>
      <w:r>
        <w:rPr>
          <w:spacing w:val="-6"/>
          <w:sz w:val="18"/>
        </w:rPr>
        <w:t> </w:t>
      </w:r>
      <w:r>
        <w:rPr>
          <w:sz w:val="18"/>
        </w:rPr>
        <w:t>for</w:t>
      </w:r>
      <w:r>
        <w:rPr>
          <w:spacing w:val="-6"/>
          <w:sz w:val="18"/>
        </w:rPr>
        <w:t> </w:t>
      </w:r>
      <w:r>
        <w:rPr>
          <w:sz w:val="18"/>
        </w:rPr>
        <w:t>Business,</w:t>
      </w:r>
      <w:r>
        <w:rPr>
          <w:spacing w:val="-6"/>
          <w:sz w:val="18"/>
        </w:rPr>
        <w:t> </w:t>
      </w:r>
      <w:r>
        <w:rPr>
          <w:sz w:val="18"/>
        </w:rPr>
        <w:t>Energy</w:t>
      </w:r>
      <w:r>
        <w:rPr>
          <w:spacing w:val="-6"/>
          <w:sz w:val="18"/>
        </w:rPr>
        <w:t> </w:t>
      </w:r>
      <w:r>
        <w:rPr>
          <w:sz w:val="18"/>
        </w:rPr>
        <w:t>and</w:t>
      </w:r>
      <w:r>
        <w:rPr>
          <w:spacing w:val="-7"/>
          <w:sz w:val="18"/>
        </w:rPr>
        <w:t> </w:t>
      </w:r>
      <w:r>
        <w:rPr>
          <w:sz w:val="18"/>
        </w:rPr>
        <w:t>Industrial</w:t>
      </w:r>
      <w:r>
        <w:rPr>
          <w:spacing w:val="-7"/>
          <w:sz w:val="18"/>
        </w:rPr>
        <w:t> </w:t>
      </w:r>
      <w:r>
        <w:rPr>
          <w:sz w:val="18"/>
        </w:rPr>
        <w:t>Strategy,</w:t>
      </w:r>
      <w:r>
        <w:rPr>
          <w:spacing w:val="-6"/>
          <w:sz w:val="18"/>
        </w:rPr>
        <w:t> </w:t>
      </w:r>
      <w:r>
        <w:rPr>
          <w:sz w:val="18"/>
        </w:rPr>
        <w:t>‘The</w:t>
      </w:r>
      <w:r>
        <w:rPr>
          <w:spacing w:val="-6"/>
          <w:sz w:val="18"/>
        </w:rPr>
        <w:t> </w:t>
      </w:r>
      <w:r>
        <w:rPr>
          <w:sz w:val="18"/>
        </w:rPr>
        <w:t>Recognition</w:t>
      </w:r>
      <w:r>
        <w:rPr>
          <w:spacing w:val="-7"/>
          <w:sz w:val="18"/>
        </w:rPr>
        <w:t> </w:t>
      </w:r>
      <w:r>
        <w:rPr>
          <w:sz w:val="18"/>
        </w:rPr>
        <w:t>of</w:t>
      </w:r>
      <w:r>
        <w:rPr>
          <w:spacing w:val="-7"/>
          <w:sz w:val="18"/>
        </w:rPr>
        <w:t> </w:t>
      </w:r>
      <w:r>
        <w:rPr>
          <w:sz w:val="18"/>
        </w:rPr>
        <w:t>Professional</w:t>
      </w:r>
      <w:r>
        <w:rPr>
          <w:spacing w:val="-7"/>
          <w:sz w:val="18"/>
        </w:rPr>
        <w:t> </w:t>
      </w:r>
      <w:r>
        <w:rPr>
          <w:sz w:val="18"/>
        </w:rPr>
        <w:t>Qualifications</w:t>
      </w:r>
      <w:r>
        <w:rPr>
          <w:spacing w:val="-7"/>
          <w:sz w:val="18"/>
        </w:rPr>
        <w:t> </w:t>
      </w:r>
      <w:r>
        <w:rPr>
          <w:sz w:val="18"/>
        </w:rPr>
        <w:t>and</w:t>
      </w:r>
      <w:r>
        <w:rPr>
          <w:spacing w:val="-7"/>
          <w:sz w:val="18"/>
        </w:rPr>
        <w:t> </w:t>
      </w:r>
      <w:r>
        <w:rPr>
          <w:sz w:val="18"/>
        </w:rPr>
        <w:t>Regulation</w:t>
      </w:r>
      <w:r>
        <w:rPr>
          <w:spacing w:val="-7"/>
          <w:sz w:val="18"/>
        </w:rPr>
        <w:t> </w:t>
      </w:r>
      <w:r>
        <w:rPr>
          <w:sz w:val="18"/>
        </w:rPr>
        <w:t>of Professions: policy statement’ (DBEIS, 2021).</w:t>
      </w:r>
    </w:p>
    <w:p>
      <w:pPr>
        <w:spacing w:after="0" w:line="235" w:lineRule="auto"/>
        <w:jc w:val="left"/>
        <w:rPr>
          <w:sz w:val="18"/>
        </w:rPr>
        <w:sectPr>
          <w:headerReference w:type="even" r:id="rId212"/>
          <w:headerReference w:type="default" r:id="rId213"/>
          <w:footerReference w:type="even" r:id="rId214"/>
          <w:footerReference w:type="default" r:id="rId215"/>
          <w:pgSz w:w="11910" w:h="16840"/>
          <w:pgMar w:header="496" w:footer="367" w:top="1220" w:bottom="560" w:left="0" w:right="0"/>
          <w:pgNumType w:start="148"/>
        </w:sectPr>
      </w:pPr>
    </w:p>
    <w:p>
      <w:pPr>
        <w:pStyle w:val="BodyText"/>
        <w:spacing w:before="198"/>
      </w:pPr>
    </w:p>
    <w:p>
      <w:pPr>
        <w:pStyle w:val="BodyText"/>
        <w:spacing w:line="225" w:lineRule="auto"/>
        <w:ind w:left="1853" w:right="1171"/>
      </w:pPr>
      <w:bookmarkStart w:name="_bookmark57" w:id="128"/>
      <w:bookmarkEnd w:id="128"/>
      <w:r>
        <w:rPr/>
      </w:r>
      <w:r>
        <w:rPr/>
        <w:t>However, the NI Executive has not to date, and since Brexit, published any information</w:t>
      </w:r>
      <w:r>
        <w:rPr>
          <w:spacing w:val="-16"/>
        </w:rPr>
        <w:t> </w:t>
      </w:r>
      <w:r>
        <w:rPr/>
        <w:t>regarding</w:t>
      </w:r>
      <w:r>
        <w:rPr>
          <w:spacing w:val="-16"/>
        </w:rPr>
        <w:t> </w:t>
      </w:r>
      <w:r>
        <w:rPr/>
        <w:t>the</w:t>
      </w:r>
      <w:r>
        <w:rPr>
          <w:spacing w:val="-16"/>
        </w:rPr>
        <w:t> </w:t>
      </w:r>
      <w:r>
        <w:rPr/>
        <w:t>post-Brexit</w:t>
      </w:r>
      <w:r>
        <w:rPr>
          <w:spacing w:val="-16"/>
        </w:rPr>
        <w:t> </w:t>
      </w:r>
      <w:r>
        <w:rPr/>
        <w:t>system</w:t>
      </w:r>
      <w:r>
        <w:rPr>
          <w:spacing w:val="-16"/>
        </w:rPr>
        <w:t> </w:t>
      </w:r>
      <w:r>
        <w:rPr/>
        <w:t>of</w:t>
      </w:r>
      <w:r>
        <w:rPr>
          <w:spacing w:val="-15"/>
        </w:rPr>
        <w:t> </w:t>
      </w:r>
      <w:r>
        <w:rPr/>
        <w:t>recognising</w:t>
      </w:r>
      <w:r>
        <w:rPr>
          <w:spacing w:val="-16"/>
        </w:rPr>
        <w:t> </w:t>
      </w:r>
      <w:r>
        <w:rPr/>
        <w:t>qualifications.</w:t>
      </w:r>
      <w:r>
        <w:rPr>
          <w:vertAlign w:val="superscript"/>
        </w:rPr>
        <w:t>830</w:t>
      </w:r>
    </w:p>
    <w:p>
      <w:pPr>
        <w:pStyle w:val="ListParagraph"/>
        <w:numPr>
          <w:ilvl w:val="1"/>
          <w:numId w:val="13"/>
        </w:numPr>
        <w:tabs>
          <w:tab w:pos="1853" w:val="left" w:leader="none"/>
        </w:tabs>
        <w:spacing w:line="225" w:lineRule="auto" w:before="318" w:after="0"/>
        <w:ind w:left="1853" w:right="1402" w:hanging="720"/>
        <w:jc w:val="left"/>
        <w:rPr>
          <w:sz w:val="28"/>
        </w:rPr>
      </w:pPr>
      <w:r>
        <w:rPr>
          <w:sz w:val="28"/>
        </w:rPr>
        <w:t>The ECNI has previously identified the recognition of qualifications as a key barrier to employment for migrant workers and refugees.</w:t>
      </w:r>
      <w:r>
        <w:rPr>
          <w:sz w:val="28"/>
          <w:vertAlign w:val="superscript"/>
        </w:rPr>
        <w:t>831</w:t>
      </w:r>
      <w:r>
        <w:rPr>
          <w:spacing w:val="40"/>
          <w:sz w:val="28"/>
          <w:vertAlign w:val="baseline"/>
        </w:rPr>
        <w:t> </w:t>
      </w:r>
      <w:r>
        <w:rPr>
          <w:sz w:val="28"/>
          <w:vertAlign w:val="baseline"/>
        </w:rPr>
        <w:t>Independent research</w:t>
      </w:r>
      <w:r>
        <w:rPr>
          <w:spacing w:val="-1"/>
          <w:sz w:val="28"/>
          <w:vertAlign w:val="baseline"/>
        </w:rPr>
        <w:t> </w:t>
      </w:r>
      <w:r>
        <w:rPr>
          <w:sz w:val="28"/>
          <w:vertAlign w:val="baseline"/>
        </w:rPr>
        <w:t>commissioned</w:t>
      </w:r>
      <w:r>
        <w:rPr>
          <w:spacing w:val="-1"/>
          <w:sz w:val="28"/>
          <w:vertAlign w:val="baseline"/>
        </w:rPr>
        <w:t> </w:t>
      </w:r>
      <w:r>
        <w:rPr>
          <w:sz w:val="28"/>
          <w:vertAlign w:val="baseline"/>
        </w:rPr>
        <w:t>by ECNI recognised</w:t>
      </w:r>
      <w:r>
        <w:rPr>
          <w:spacing w:val="-1"/>
          <w:sz w:val="28"/>
          <w:vertAlign w:val="baseline"/>
        </w:rPr>
        <w:t> </w:t>
      </w:r>
      <w:r>
        <w:rPr>
          <w:sz w:val="28"/>
          <w:vertAlign w:val="baseline"/>
        </w:rPr>
        <w:t>that the lack of</w:t>
      </w:r>
      <w:r>
        <w:rPr>
          <w:spacing w:val="-1"/>
          <w:sz w:val="28"/>
          <w:vertAlign w:val="baseline"/>
        </w:rPr>
        <w:t> </w:t>
      </w:r>
      <w:r>
        <w:rPr>
          <w:sz w:val="28"/>
          <w:vertAlign w:val="baseline"/>
        </w:rPr>
        <w:t>a</w:t>
      </w:r>
      <w:r>
        <w:rPr>
          <w:spacing w:val="-1"/>
          <w:sz w:val="28"/>
          <w:vertAlign w:val="baseline"/>
        </w:rPr>
        <w:t> </w:t>
      </w:r>
      <w:r>
        <w:rPr>
          <w:sz w:val="28"/>
          <w:vertAlign w:val="baseline"/>
        </w:rPr>
        <w:t>framework for recognition of qualifications may deter migrants moving to NI.</w:t>
      </w:r>
      <w:r>
        <w:rPr>
          <w:sz w:val="28"/>
          <w:vertAlign w:val="superscript"/>
        </w:rPr>
        <w:t>832</w:t>
      </w:r>
      <w:r>
        <w:rPr>
          <w:sz w:val="28"/>
          <w:vertAlign w:val="baseline"/>
        </w:rPr>
        <w:t> Research participants reported that issues regarding recognition of their non-UK qualifications had impacted on their ability to access employment and expressed</w:t>
      </w:r>
      <w:r>
        <w:rPr>
          <w:spacing w:val="-8"/>
          <w:sz w:val="28"/>
          <w:vertAlign w:val="baseline"/>
        </w:rPr>
        <w:t> </w:t>
      </w:r>
      <w:r>
        <w:rPr>
          <w:sz w:val="28"/>
          <w:vertAlign w:val="baseline"/>
        </w:rPr>
        <w:t>concern</w:t>
      </w:r>
      <w:r>
        <w:rPr>
          <w:spacing w:val="-8"/>
          <w:sz w:val="28"/>
          <w:vertAlign w:val="baseline"/>
        </w:rPr>
        <w:t> </w:t>
      </w:r>
      <w:r>
        <w:rPr>
          <w:sz w:val="28"/>
          <w:vertAlign w:val="baseline"/>
        </w:rPr>
        <w:t>that</w:t>
      </w:r>
      <w:r>
        <w:rPr>
          <w:spacing w:val="-7"/>
          <w:sz w:val="28"/>
          <w:vertAlign w:val="baseline"/>
        </w:rPr>
        <w:t> </w:t>
      </w:r>
      <w:r>
        <w:rPr>
          <w:sz w:val="28"/>
          <w:vertAlign w:val="baseline"/>
        </w:rPr>
        <w:t>this</w:t>
      </w:r>
      <w:r>
        <w:rPr>
          <w:spacing w:val="-8"/>
          <w:sz w:val="28"/>
          <w:vertAlign w:val="baseline"/>
        </w:rPr>
        <w:t> </w:t>
      </w:r>
      <w:r>
        <w:rPr>
          <w:sz w:val="28"/>
          <w:vertAlign w:val="baseline"/>
        </w:rPr>
        <w:t>could</w:t>
      </w:r>
      <w:r>
        <w:rPr>
          <w:spacing w:val="-8"/>
          <w:sz w:val="28"/>
          <w:vertAlign w:val="baseline"/>
        </w:rPr>
        <w:t> </w:t>
      </w:r>
      <w:r>
        <w:rPr>
          <w:sz w:val="28"/>
          <w:vertAlign w:val="baseline"/>
        </w:rPr>
        <w:t>be</w:t>
      </w:r>
      <w:r>
        <w:rPr>
          <w:spacing w:val="-7"/>
          <w:sz w:val="28"/>
          <w:vertAlign w:val="baseline"/>
        </w:rPr>
        <w:t> </w:t>
      </w:r>
      <w:r>
        <w:rPr>
          <w:sz w:val="28"/>
          <w:vertAlign w:val="baseline"/>
        </w:rPr>
        <w:t>used</w:t>
      </w:r>
      <w:r>
        <w:rPr>
          <w:spacing w:val="-8"/>
          <w:sz w:val="28"/>
          <w:vertAlign w:val="baseline"/>
        </w:rPr>
        <w:t> </w:t>
      </w:r>
      <w:r>
        <w:rPr>
          <w:sz w:val="28"/>
          <w:vertAlign w:val="baseline"/>
        </w:rPr>
        <w:t>intentionally</w:t>
      </w:r>
      <w:r>
        <w:rPr>
          <w:spacing w:val="-7"/>
          <w:sz w:val="28"/>
          <w:vertAlign w:val="baseline"/>
        </w:rPr>
        <w:t> </w:t>
      </w:r>
      <w:r>
        <w:rPr>
          <w:sz w:val="28"/>
          <w:vertAlign w:val="baseline"/>
        </w:rPr>
        <w:t>or</w:t>
      </w:r>
      <w:r>
        <w:rPr>
          <w:spacing w:val="-7"/>
          <w:sz w:val="28"/>
          <w:vertAlign w:val="baseline"/>
        </w:rPr>
        <w:t> </w:t>
      </w:r>
      <w:r>
        <w:rPr>
          <w:sz w:val="28"/>
          <w:vertAlign w:val="baseline"/>
        </w:rPr>
        <w:t>unintentionally</w:t>
      </w:r>
      <w:r>
        <w:rPr>
          <w:spacing w:val="-7"/>
          <w:sz w:val="28"/>
          <w:vertAlign w:val="baseline"/>
        </w:rPr>
        <w:t> </w:t>
      </w:r>
      <w:r>
        <w:rPr>
          <w:sz w:val="28"/>
          <w:vertAlign w:val="baseline"/>
        </w:rPr>
        <w:t>to exclude a candidate who is a non-UK applicant.</w:t>
      </w:r>
      <w:r>
        <w:rPr>
          <w:sz w:val="28"/>
          <w:vertAlign w:val="superscript"/>
        </w:rPr>
        <w:t>833</w:t>
      </w:r>
    </w:p>
    <w:p>
      <w:pPr>
        <w:pStyle w:val="Heading5"/>
        <w:spacing w:before="294"/>
        <w:ind w:left="1133" w:firstLine="0"/>
      </w:pPr>
      <w:bookmarkStart w:name="Hiring of Migrant Workers " w:id="129"/>
      <w:bookmarkEnd w:id="129"/>
      <w:r>
        <w:rPr>
          <w:b w:val="0"/>
        </w:rPr>
      </w:r>
      <w:r>
        <w:rPr>
          <w:color w:val="393B80"/>
        </w:rPr>
        <w:t>Hiring</w:t>
      </w:r>
      <w:r>
        <w:rPr>
          <w:color w:val="393B80"/>
          <w:spacing w:val="-8"/>
        </w:rPr>
        <w:t> </w:t>
      </w:r>
      <w:r>
        <w:rPr>
          <w:color w:val="393B80"/>
        </w:rPr>
        <w:t>of</w:t>
      </w:r>
      <w:r>
        <w:rPr>
          <w:color w:val="393B80"/>
          <w:spacing w:val="-7"/>
        </w:rPr>
        <w:t> </w:t>
      </w:r>
      <w:r>
        <w:rPr>
          <w:color w:val="393B80"/>
        </w:rPr>
        <w:t>Migrant</w:t>
      </w:r>
      <w:r>
        <w:rPr>
          <w:color w:val="393B80"/>
          <w:spacing w:val="-6"/>
        </w:rPr>
        <w:t> </w:t>
      </w:r>
      <w:r>
        <w:rPr>
          <w:color w:val="393B80"/>
          <w:spacing w:val="-2"/>
        </w:rPr>
        <w:t>Workers</w:t>
      </w:r>
    </w:p>
    <w:p>
      <w:pPr>
        <w:pStyle w:val="ListParagraph"/>
        <w:numPr>
          <w:ilvl w:val="1"/>
          <w:numId w:val="13"/>
        </w:numPr>
        <w:tabs>
          <w:tab w:pos="1853" w:val="left" w:leader="none"/>
        </w:tabs>
        <w:spacing w:line="225" w:lineRule="auto" w:before="330" w:after="0"/>
        <w:ind w:left="1853" w:right="1403" w:hanging="720"/>
        <w:jc w:val="left"/>
        <w:rPr>
          <w:sz w:val="28"/>
        </w:rPr>
      </w:pPr>
      <w:r>
        <w:rPr>
          <w:sz w:val="28"/>
        </w:rPr>
        <w:t>The ECNI’s policy recommendations on the impact of Brexit on minority ethnic and migrant people in NI (2024) highlighted concerns raised by the Migrant Centre NI regarding insufficient awareness among employers of their obligations or of the procedures necessary to hire an EU national with EU</w:t>
      </w:r>
      <w:r>
        <w:rPr>
          <w:spacing w:val="-7"/>
          <w:sz w:val="28"/>
        </w:rPr>
        <w:t> </w:t>
      </w:r>
      <w:r>
        <w:rPr>
          <w:sz w:val="28"/>
        </w:rPr>
        <w:t>Settled</w:t>
      </w:r>
      <w:r>
        <w:rPr>
          <w:spacing w:val="-8"/>
          <w:sz w:val="28"/>
        </w:rPr>
        <w:t> </w:t>
      </w:r>
      <w:r>
        <w:rPr>
          <w:sz w:val="28"/>
        </w:rPr>
        <w:t>Status.</w:t>
      </w:r>
      <w:r>
        <w:rPr>
          <w:spacing w:val="-8"/>
          <w:sz w:val="28"/>
        </w:rPr>
        <w:t> </w:t>
      </w:r>
      <w:r>
        <w:rPr>
          <w:sz w:val="28"/>
        </w:rPr>
        <w:t>It</w:t>
      </w:r>
      <w:r>
        <w:rPr>
          <w:spacing w:val="-7"/>
          <w:sz w:val="28"/>
        </w:rPr>
        <w:t> </w:t>
      </w:r>
      <w:r>
        <w:rPr>
          <w:sz w:val="28"/>
        </w:rPr>
        <w:t>argued</w:t>
      </w:r>
      <w:r>
        <w:rPr>
          <w:spacing w:val="-8"/>
          <w:sz w:val="28"/>
        </w:rPr>
        <w:t> </w:t>
      </w:r>
      <w:r>
        <w:rPr>
          <w:sz w:val="28"/>
        </w:rPr>
        <w:t>that</w:t>
      </w:r>
      <w:r>
        <w:rPr>
          <w:spacing w:val="-7"/>
          <w:sz w:val="28"/>
        </w:rPr>
        <w:t> </w:t>
      </w:r>
      <w:r>
        <w:rPr>
          <w:sz w:val="28"/>
        </w:rPr>
        <w:t>this</w:t>
      </w:r>
      <w:r>
        <w:rPr>
          <w:spacing w:val="-8"/>
          <w:sz w:val="28"/>
        </w:rPr>
        <w:t> </w:t>
      </w:r>
      <w:r>
        <w:rPr>
          <w:sz w:val="28"/>
        </w:rPr>
        <w:t>has</w:t>
      </w:r>
      <w:r>
        <w:rPr>
          <w:spacing w:val="-8"/>
          <w:sz w:val="28"/>
        </w:rPr>
        <w:t> </w:t>
      </w:r>
      <w:r>
        <w:rPr>
          <w:sz w:val="28"/>
        </w:rPr>
        <w:t>created</w:t>
      </w:r>
      <w:r>
        <w:rPr>
          <w:spacing w:val="-8"/>
          <w:sz w:val="28"/>
        </w:rPr>
        <w:t> </w:t>
      </w:r>
      <w:r>
        <w:rPr>
          <w:sz w:val="28"/>
        </w:rPr>
        <w:t>the</w:t>
      </w:r>
      <w:r>
        <w:rPr>
          <w:spacing w:val="-7"/>
          <w:sz w:val="28"/>
        </w:rPr>
        <w:t> </w:t>
      </w:r>
      <w:r>
        <w:rPr>
          <w:sz w:val="28"/>
        </w:rPr>
        <w:t>potential</w:t>
      </w:r>
      <w:r>
        <w:rPr>
          <w:spacing w:val="-8"/>
          <w:sz w:val="28"/>
        </w:rPr>
        <w:t> </w:t>
      </w:r>
      <w:r>
        <w:rPr>
          <w:sz w:val="28"/>
        </w:rPr>
        <w:t>for</w:t>
      </w:r>
      <w:r>
        <w:rPr>
          <w:spacing w:val="-7"/>
          <w:sz w:val="28"/>
        </w:rPr>
        <w:t> </w:t>
      </w:r>
      <w:r>
        <w:rPr>
          <w:sz w:val="28"/>
        </w:rPr>
        <w:t>employers to discriminate against EU migrants in their hiring practices by rejecting an applicant due to their lack of understanding of the applicant’s immigration status and their eligibility to work.</w:t>
      </w:r>
    </w:p>
    <w:p>
      <w:pPr>
        <w:pStyle w:val="ListParagraph"/>
        <w:numPr>
          <w:ilvl w:val="1"/>
          <w:numId w:val="13"/>
        </w:numPr>
        <w:tabs>
          <w:tab w:pos="1853" w:val="left" w:leader="none"/>
        </w:tabs>
        <w:spacing w:line="225" w:lineRule="auto" w:before="309" w:after="0"/>
        <w:ind w:left="1853" w:right="1591" w:hanging="720"/>
        <w:jc w:val="left"/>
        <w:rPr>
          <w:sz w:val="28"/>
        </w:rPr>
      </w:pPr>
      <w:r>
        <w:rPr>
          <w:sz w:val="28"/>
        </w:rPr>
        <w:t>The Commissions have previously raised concerns with the Independent Monitoring</w:t>
      </w:r>
      <w:r>
        <w:rPr>
          <w:spacing w:val="-6"/>
          <w:sz w:val="28"/>
        </w:rPr>
        <w:t> </w:t>
      </w:r>
      <w:r>
        <w:rPr>
          <w:sz w:val="28"/>
        </w:rPr>
        <w:t>Authority</w:t>
      </w:r>
      <w:r>
        <w:rPr>
          <w:spacing w:val="-6"/>
          <w:sz w:val="28"/>
        </w:rPr>
        <w:t> </w:t>
      </w:r>
      <w:r>
        <w:rPr>
          <w:sz w:val="28"/>
        </w:rPr>
        <w:t>about</w:t>
      </w:r>
      <w:r>
        <w:rPr>
          <w:spacing w:val="-6"/>
          <w:sz w:val="28"/>
        </w:rPr>
        <w:t> </w:t>
      </w:r>
      <w:r>
        <w:rPr>
          <w:sz w:val="28"/>
        </w:rPr>
        <w:t>individuals</w:t>
      </w:r>
      <w:r>
        <w:rPr>
          <w:spacing w:val="-7"/>
          <w:sz w:val="28"/>
        </w:rPr>
        <w:t> </w:t>
      </w:r>
      <w:r>
        <w:rPr>
          <w:sz w:val="28"/>
        </w:rPr>
        <w:t>being</w:t>
      </w:r>
      <w:r>
        <w:rPr>
          <w:spacing w:val="-6"/>
          <w:sz w:val="28"/>
        </w:rPr>
        <w:t> </w:t>
      </w:r>
      <w:r>
        <w:rPr>
          <w:sz w:val="28"/>
        </w:rPr>
        <w:t>denied</w:t>
      </w:r>
      <w:r>
        <w:rPr>
          <w:spacing w:val="-7"/>
          <w:sz w:val="28"/>
        </w:rPr>
        <w:t> </w:t>
      </w:r>
      <w:r>
        <w:rPr>
          <w:sz w:val="28"/>
        </w:rPr>
        <w:t>employment,</w:t>
      </w:r>
      <w:r>
        <w:rPr>
          <w:spacing w:val="-6"/>
          <w:sz w:val="28"/>
        </w:rPr>
        <w:t> </w:t>
      </w:r>
      <w:r>
        <w:rPr>
          <w:sz w:val="28"/>
        </w:rPr>
        <w:t>despite being able to prove that they had applied for settled status.</w:t>
      </w:r>
      <w:r>
        <w:rPr>
          <w:sz w:val="28"/>
          <w:vertAlign w:val="superscript"/>
        </w:rPr>
        <w:t>834</w:t>
      </w:r>
    </w:p>
    <w:p>
      <w:pPr>
        <w:pStyle w:val="Heading5"/>
        <w:spacing w:before="301"/>
        <w:ind w:left="1133" w:firstLine="0"/>
      </w:pPr>
      <w:bookmarkStart w:name="Exploitation of Migrant Workers" w:id="130"/>
      <w:bookmarkEnd w:id="130"/>
      <w:r>
        <w:rPr>
          <w:b w:val="0"/>
        </w:rPr>
      </w:r>
      <w:r>
        <w:rPr>
          <w:color w:val="393B7F"/>
        </w:rPr>
        <w:t>Exploitation</w:t>
      </w:r>
      <w:r>
        <w:rPr>
          <w:color w:val="393B7F"/>
          <w:spacing w:val="-9"/>
        </w:rPr>
        <w:t> </w:t>
      </w:r>
      <w:r>
        <w:rPr>
          <w:color w:val="393B7F"/>
        </w:rPr>
        <w:t>of</w:t>
      </w:r>
      <w:r>
        <w:rPr>
          <w:color w:val="393B7F"/>
          <w:spacing w:val="-10"/>
        </w:rPr>
        <w:t> </w:t>
      </w:r>
      <w:r>
        <w:rPr>
          <w:color w:val="393B7F"/>
        </w:rPr>
        <w:t>Migrant</w:t>
      </w:r>
      <w:r>
        <w:rPr>
          <w:color w:val="393B7F"/>
          <w:spacing w:val="-8"/>
        </w:rPr>
        <w:t> </w:t>
      </w:r>
      <w:r>
        <w:rPr>
          <w:color w:val="393B7F"/>
          <w:spacing w:val="-2"/>
        </w:rPr>
        <w:t>Workers</w:t>
      </w:r>
    </w:p>
    <w:p>
      <w:pPr>
        <w:pStyle w:val="ListParagraph"/>
        <w:numPr>
          <w:ilvl w:val="1"/>
          <w:numId w:val="13"/>
        </w:numPr>
        <w:tabs>
          <w:tab w:pos="1853" w:val="left" w:leader="none"/>
        </w:tabs>
        <w:spacing w:line="225" w:lineRule="auto" w:before="330" w:after="0"/>
        <w:ind w:left="1853" w:right="1196" w:hanging="720"/>
        <w:jc w:val="left"/>
        <w:rPr>
          <w:sz w:val="28"/>
        </w:rPr>
      </w:pPr>
      <w:r>
        <w:rPr>
          <w:sz w:val="28"/>
        </w:rPr>
        <w:t>In</w:t>
      </w:r>
      <w:r>
        <w:rPr>
          <w:spacing w:val="-8"/>
          <w:sz w:val="28"/>
        </w:rPr>
        <w:t> </w:t>
      </w:r>
      <w:r>
        <w:rPr>
          <w:sz w:val="28"/>
        </w:rPr>
        <w:t>2024,</w:t>
      </w:r>
      <w:r>
        <w:rPr>
          <w:spacing w:val="-7"/>
          <w:sz w:val="28"/>
        </w:rPr>
        <w:t> </w:t>
      </w:r>
      <w:r>
        <w:rPr>
          <w:sz w:val="28"/>
        </w:rPr>
        <w:t>the</w:t>
      </w:r>
      <w:r>
        <w:rPr>
          <w:spacing w:val="-7"/>
          <w:sz w:val="28"/>
        </w:rPr>
        <w:t> </w:t>
      </w:r>
      <w:r>
        <w:rPr>
          <w:sz w:val="28"/>
        </w:rPr>
        <w:t>ECNI’s</w:t>
      </w:r>
      <w:r>
        <w:rPr>
          <w:spacing w:val="-8"/>
          <w:sz w:val="28"/>
        </w:rPr>
        <w:t> </w:t>
      </w:r>
      <w:r>
        <w:rPr>
          <w:sz w:val="28"/>
        </w:rPr>
        <w:t>commissioned</w:t>
      </w:r>
      <w:r>
        <w:rPr>
          <w:spacing w:val="-8"/>
          <w:sz w:val="28"/>
        </w:rPr>
        <w:t> </w:t>
      </w:r>
      <w:r>
        <w:rPr>
          <w:sz w:val="28"/>
        </w:rPr>
        <w:t>research</w:t>
      </w:r>
      <w:r>
        <w:rPr>
          <w:spacing w:val="-8"/>
          <w:sz w:val="28"/>
        </w:rPr>
        <w:t> </w:t>
      </w:r>
      <w:r>
        <w:rPr>
          <w:sz w:val="28"/>
        </w:rPr>
        <w:t>on</w:t>
      </w:r>
      <w:r>
        <w:rPr>
          <w:spacing w:val="-8"/>
          <w:sz w:val="28"/>
        </w:rPr>
        <w:t> </w:t>
      </w:r>
      <w:r>
        <w:rPr>
          <w:sz w:val="28"/>
        </w:rPr>
        <w:t>the</w:t>
      </w:r>
      <w:r>
        <w:rPr>
          <w:spacing w:val="-7"/>
          <w:sz w:val="28"/>
        </w:rPr>
        <w:t> </w:t>
      </w:r>
      <w:r>
        <w:rPr>
          <w:sz w:val="28"/>
        </w:rPr>
        <w:t>Impact</w:t>
      </w:r>
      <w:r>
        <w:rPr>
          <w:spacing w:val="-7"/>
          <w:sz w:val="28"/>
        </w:rPr>
        <w:t> </w:t>
      </w:r>
      <w:r>
        <w:rPr>
          <w:sz w:val="28"/>
        </w:rPr>
        <w:t>of</w:t>
      </w:r>
      <w:r>
        <w:rPr>
          <w:spacing w:val="-8"/>
          <w:sz w:val="28"/>
        </w:rPr>
        <w:t> </w:t>
      </w:r>
      <w:r>
        <w:rPr>
          <w:sz w:val="28"/>
        </w:rPr>
        <w:t>Brexit</w:t>
      </w:r>
      <w:r>
        <w:rPr>
          <w:spacing w:val="-7"/>
          <w:sz w:val="28"/>
        </w:rPr>
        <w:t> </w:t>
      </w:r>
      <w:r>
        <w:rPr>
          <w:sz w:val="28"/>
        </w:rPr>
        <w:t>on</w:t>
      </w:r>
      <w:r>
        <w:rPr>
          <w:spacing w:val="-8"/>
          <w:sz w:val="28"/>
        </w:rPr>
        <w:t> </w:t>
      </w:r>
      <w:r>
        <w:rPr>
          <w:sz w:val="28"/>
        </w:rPr>
        <w:t>Women in NI identified that a lack of reliable information and sometimes deliberate misinformation on Brexit has had implications on day-to-day life, particularly for migrant women for whom English is a second language.</w:t>
      </w:r>
      <w:r>
        <w:rPr>
          <w:sz w:val="28"/>
          <w:vertAlign w:val="superscript"/>
        </w:rPr>
        <w:t>835</w:t>
      </w:r>
      <w:r>
        <w:rPr>
          <w:spacing w:val="40"/>
          <w:sz w:val="28"/>
          <w:vertAlign w:val="baseline"/>
        </w:rPr>
        <w:t> </w:t>
      </w:r>
      <w:r>
        <w:rPr>
          <w:sz w:val="28"/>
          <w:vertAlign w:val="baseline"/>
        </w:rPr>
        <w:t>Service providers reported that a core part of their work has been countering</w:t>
      </w:r>
    </w:p>
    <w:p>
      <w:pPr>
        <w:pStyle w:val="BodyText"/>
        <w:rPr>
          <w:sz w:val="20"/>
        </w:rPr>
      </w:pPr>
    </w:p>
    <w:p>
      <w:pPr>
        <w:pStyle w:val="BodyText"/>
        <w:spacing w:before="51"/>
        <w:rPr>
          <w:sz w:val="20"/>
        </w:rPr>
      </w:pPr>
      <w:r>
        <w:rPr/>
        <mc:AlternateContent>
          <mc:Choice Requires="wps">
            <w:drawing>
              <wp:anchor distT="0" distB="0" distL="0" distR="0" allowOverlap="1" layoutInCell="1" locked="0" behindDoc="1" simplePos="0" relativeHeight="487725056">
                <wp:simplePos x="0" y="0"/>
                <wp:positionH relativeFrom="page">
                  <wp:posOffset>719996</wp:posOffset>
                </wp:positionH>
                <wp:positionV relativeFrom="paragraph">
                  <wp:posOffset>203213</wp:posOffset>
                </wp:positionV>
                <wp:extent cx="6120130" cy="1270"/>
                <wp:effectExtent l="0" t="0" r="0" b="0"/>
                <wp:wrapTopAndBottom/>
                <wp:docPr id="633" name="Graphic 633"/>
                <wp:cNvGraphicFramePr>
                  <a:graphicFrameLocks/>
                </wp:cNvGraphicFramePr>
                <a:graphic>
                  <a:graphicData uri="http://schemas.microsoft.com/office/word/2010/wordprocessingShape">
                    <wps:wsp>
                      <wps:cNvPr id="633" name="Graphic 633"/>
                      <wps:cNvSpPr/>
                      <wps:spPr>
                        <a:xfrm>
                          <a:off x="0" y="0"/>
                          <a:ext cx="6120130" cy="1270"/>
                        </a:xfrm>
                        <a:custGeom>
                          <a:avLst/>
                          <a:gdLst/>
                          <a:ahLst/>
                          <a:cxnLst/>
                          <a:rect l="l" t="t" r="r" b="b"/>
                          <a:pathLst>
                            <a:path w="6120130" h="0">
                              <a:moveTo>
                                <a:pt x="6120003" y="0"/>
                              </a:moveTo>
                              <a:lnTo>
                                <a:pt x="0"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6.001057pt;width:481.9pt;height:.1pt;mso-position-horizontal-relative:page;mso-position-vertical-relative:paragraph;z-index:-15591424;mso-wrap-distance-left:0;mso-wrap-distance-right:0" id="docshape577" coordorigin="1134,320" coordsize="9638,0" path="m10772,320l1134,320e" filled="false" stroked="true" strokeweight="1pt" strokecolor="#393b7f">
                <v:path arrowok="t"/>
                <v:stroke dashstyle="solid"/>
                <w10:wrap type="topAndBottom"/>
              </v:shape>
            </w:pict>
          </mc:Fallback>
        </mc:AlternateContent>
      </w:r>
    </w:p>
    <w:p>
      <w:pPr>
        <w:pStyle w:val="ListParagraph"/>
        <w:numPr>
          <w:ilvl w:val="0"/>
          <w:numId w:val="15"/>
        </w:numPr>
        <w:tabs>
          <w:tab w:pos="1853" w:val="left" w:leader="none"/>
        </w:tabs>
        <w:spacing w:line="235" w:lineRule="auto" w:before="326" w:after="0"/>
        <w:ind w:left="1853" w:right="1819" w:hanging="720"/>
        <w:jc w:val="left"/>
        <w:rPr>
          <w:sz w:val="18"/>
        </w:rPr>
      </w:pP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‘Policy</w:t>
      </w:r>
      <w:r>
        <w:rPr>
          <w:spacing w:val="-4"/>
          <w:sz w:val="18"/>
        </w:rPr>
        <w:t> </w:t>
      </w:r>
      <w:r>
        <w:rPr>
          <w:sz w:val="18"/>
        </w:rPr>
        <w:t>Recommendations:</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Minority</w:t>
      </w:r>
      <w:r>
        <w:rPr>
          <w:spacing w:val="-4"/>
          <w:sz w:val="18"/>
        </w:rPr>
        <w:t> </w:t>
      </w:r>
      <w:r>
        <w:rPr>
          <w:sz w:val="18"/>
        </w:rPr>
        <w:t>Ethnic</w:t>
      </w:r>
      <w:r>
        <w:rPr>
          <w:spacing w:val="-4"/>
          <w:sz w:val="18"/>
        </w:rPr>
        <w:t> </w:t>
      </w:r>
      <w:r>
        <w:rPr>
          <w:sz w:val="18"/>
        </w:rPr>
        <w:t>and</w:t>
      </w:r>
      <w:r>
        <w:rPr>
          <w:spacing w:val="-5"/>
          <w:sz w:val="18"/>
        </w:rPr>
        <w:t> </w:t>
      </w:r>
      <w:r>
        <w:rPr>
          <w:sz w:val="18"/>
        </w:rPr>
        <w:t>Migrant</w:t>
      </w:r>
      <w:r>
        <w:rPr>
          <w:spacing w:val="-4"/>
          <w:sz w:val="18"/>
        </w:rPr>
        <w:t> </w:t>
      </w:r>
      <w:r>
        <w:rPr>
          <w:sz w:val="18"/>
        </w:rPr>
        <w:t>People</w:t>
      </w:r>
      <w:r>
        <w:rPr>
          <w:spacing w:val="-4"/>
          <w:sz w:val="18"/>
        </w:rPr>
        <w:t> </w:t>
      </w:r>
      <w:r>
        <w:rPr>
          <w:sz w:val="18"/>
        </w:rPr>
        <w:t>in Northern Ireland’ (ECNI 2024).</w:t>
      </w:r>
    </w:p>
    <w:p>
      <w:pPr>
        <w:pStyle w:val="ListParagraph"/>
        <w:numPr>
          <w:ilvl w:val="0"/>
          <w:numId w:val="15"/>
        </w:numPr>
        <w:tabs>
          <w:tab w:pos="1853" w:val="left" w:leader="none"/>
        </w:tabs>
        <w:spacing w:line="235" w:lineRule="auto" w:before="1" w:after="0"/>
        <w:ind w:left="1853" w:right="1236" w:hanging="720"/>
        <w:jc w:val="left"/>
        <w:rPr>
          <w:sz w:val="18"/>
        </w:rPr>
      </w:pPr>
      <w:r>
        <w:rPr>
          <w:sz w:val="18"/>
        </w:rPr>
        <w:t>Equality</w:t>
      </w:r>
      <w:r>
        <w:rPr>
          <w:spacing w:val="-5"/>
          <w:sz w:val="18"/>
        </w:rPr>
        <w:t> </w:t>
      </w:r>
      <w:r>
        <w:rPr>
          <w:sz w:val="18"/>
        </w:rPr>
        <w:t>Commission</w:t>
      </w:r>
      <w:r>
        <w:rPr>
          <w:spacing w:val="-6"/>
          <w:sz w:val="18"/>
        </w:rPr>
        <w:t> </w:t>
      </w:r>
      <w:r>
        <w:rPr>
          <w:sz w:val="18"/>
        </w:rPr>
        <w:t>for</w:t>
      </w:r>
      <w:r>
        <w:rPr>
          <w:spacing w:val="-5"/>
          <w:sz w:val="18"/>
        </w:rPr>
        <w:t> </w:t>
      </w:r>
      <w:r>
        <w:rPr>
          <w:sz w:val="18"/>
        </w:rPr>
        <w:t>NI,</w:t>
      </w:r>
      <w:r>
        <w:rPr>
          <w:spacing w:val="-5"/>
          <w:sz w:val="18"/>
        </w:rPr>
        <w:t> </w:t>
      </w:r>
      <w:r>
        <w:rPr>
          <w:sz w:val="18"/>
        </w:rPr>
        <w:t>‘Shadow</w:t>
      </w:r>
      <w:r>
        <w:rPr>
          <w:spacing w:val="-5"/>
          <w:sz w:val="18"/>
        </w:rPr>
        <w:t> </w:t>
      </w:r>
      <w:r>
        <w:rPr>
          <w:sz w:val="18"/>
        </w:rPr>
        <w:t>Report</w:t>
      </w:r>
      <w:r>
        <w:rPr>
          <w:spacing w:val="-5"/>
          <w:sz w:val="18"/>
        </w:rPr>
        <w:t> </w:t>
      </w:r>
      <w:r>
        <w:rPr>
          <w:sz w:val="18"/>
        </w:rPr>
        <w:t>from</w:t>
      </w:r>
      <w:r>
        <w:rPr>
          <w:spacing w:val="-5"/>
          <w:sz w:val="18"/>
        </w:rPr>
        <w:t> </w:t>
      </w:r>
      <w:r>
        <w:rPr>
          <w:sz w:val="18"/>
        </w:rPr>
        <w:t>the</w:t>
      </w:r>
      <w:r>
        <w:rPr>
          <w:spacing w:val="-5"/>
          <w:sz w:val="18"/>
        </w:rPr>
        <w:t> </w:t>
      </w:r>
      <w:r>
        <w:rPr>
          <w:sz w:val="18"/>
        </w:rPr>
        <w:t>ECNI</w:t>
      </w:r>
      <w:r>
        <w:rPr>
          <w:spacing w:val="-5"/>
          <w:sz w:val="18"/>
        </w:rPr>
        <w:t> </w:t>
      </w:r>
      <w:r>
        <w:rPr>
          <w:sz w:val="18"/>
        </w:rPr>
        <w:t>to</w:t>
      </w:r>
      <w:r>
        <w:rPr>
          <w:spacing w:val="-6"/>
          <w:sz w:val="18"/>
        </w:rPr>
        <w:t> </w:t>
      </w:r>
      <w:r>
        <w:rPr>
          <w:sz w:val="18"/>
        </w:rPr>
        <w:t>the</w:t>
      </w:r>
      <w:r>
        <w:rPr>
          <w:spacing w:val="-5"/>
          <w:sz w:val="18"/>
        </w:rPr>
        <w:t> </w:t>
      </w:r>
      <w:r>
        <w:rPr>
          <w:sz w:val="18"/>
        </w:rPr>
        <w:t>Advisory</w:t>
      </w:r>
      <w:r>
        <w:rPr>
          <w:spacing w:val="-5"/>
          <w:sz w:val="18"/>
        </w:rPr>
        <w:t> </w:t>
      </w:r>
      <w:r>
        <w:rPr>
          <w:sz w:val="18"/>
        </w:rPr>
        <w:t>Committee</w:t>
      </w:r>
      <w:r>
        <w:rPr>
          <w:spacing w:val="-5"/>
          <w:sz w:val="18"/>
        </w:rPr>
        <w:t> </w:t>
      </w:r>
      <w:r>
        <w:rPr>
          <w:sz w:val="18"/>
        </w:rPr>
        <w:t>for</w:t>
      </w:r>
      <w:r>
        <w:rPr>
          <w:spacing w:val="-5"/>
          <w:sz w:val="18"/>
        </w:rPr>
        <w:t> </w:t>
      </w:r>
      <w:r>
        <w:rPr>
          <w:sz w:val="18"/>
        </w:rPr>
        <w:t>the</w:t>
      </w:r>
      <w:r>
        <w:rPr>
          <w:spacing w:val="-5"/>
          <w:sz w:val="18"/>
        </w:rPr>
        <w:t> </w:t>
      </w:r>
      <w:r>
        <w:rPr>
          <w:sz w:val="18"/>
        </w:rPr>
        <w:t>Framework</w:t>
      </w:r>
      <w:r>
        <w:rPr>
          <w:spacing w:val="-5"/>
          <w:sz w:val="18"/>
        </w:rPr>
        <w:t> </w:t>
      </w:r>
      <w:r>
        <w:rPr>
          <w:sz w:val="18"/>
        </w:rPr>
        <w:t>Convention</w:t>
      </w:r>
      <w:r>
        <w:rPr>
          <w:spacing w:val="-6"/>
          <w:sz w:val="18"/>
        </w:rPr>
        <w:t> </w:t>
      </w:r>
      <w:r>
        <w:rPr>
          <w:sz w:val="18"/>
        </w:rPr>
        <w:t>for the Protection of National Minorities on the Fifth Monitoring Report of the UK’ (ECNI, 2022).</w:t>
      </w:r>
    </w:p>
    <w:p>
      <w:pPr>
        <w:pStyle w:val="ListParagraph"/>
        <w:numPr>
          <w:ilvl w:val="0"/>
          <w:numId w:val="15"/>
        </w:numPr>
        <w:tabs>
          <w:tab w:pos="1853" w:val="left" w:leader="none"/>
        </w:tabs>
        <w:spacing w:line="216" w:lineRule="exact" w:before="0" w:after="0"/>
        <w:ind w:left="1853" w:right="0" w:hanging="720"/>
        <w:jc w:val="left"/>
        <w:rPr>
          <w:sz w:val="18"/>
        </w:rPr>
      </w:pPr>
      <w:r>
        <w:rPr>
          <w:sz w:val="18"/>
        </w:rPr>
        <w:t>Pivotal,</w:t>
      </w:r>
      <w:r>
        <w:rPr>
          <w:spacing w:val="-6"/>
          <w:sz w:val="18"/>
        </w:rPr>
        <w:t> </w:t>
      </w:r>
      <w:r>
        <w:rPr>
          <w:sz w:val="18"/>
        </w:rPr>
        <w:t>‘Impact</w:t>
      </w:r>
      <w:r>
        <w:rPr>
          <w:spacing w:val="-3"/>
          <w:sz w:val="18"/>
        </w:rPr>
        <w:t> </w:t>
      </w:r>
      <w:r>
        <w:rPr>
          <w:sz w:val="18"/>
        </w:rPr>
        <w:t>of</w:t>
      </w:r>
      <w:r>
        <w:rPr>
          <w:spacing w:val="-3"/>
          <w:sz w:val="18"/>
        </w:rPr>
        <w:t> </w:t>
      </w:r>
      <w:r>
        <w:rPr>
          <w:sz w:val="18"/>
        </w:rPr>
        <w:t>Brexit</w:t>
      </w:r>
      <w:r>
        <w:rPr>
          <w:spacing w:val="-4"/>
          <w:sz w:val="18"/>
        </w:rPr>
        <w:t> </w:t>
      </w:r>
      <w:r>
        <w:rPr>
          <w:sz w:val="18"/>
        </w:rPr>
        <w:t>on</w:t>
      </w:r>
      <w:r>
        <w:rPr>
          <w:spacing w:val="-3"/>
          <w:sz w:val="18"/>
        </w:rPr>
        <w:t> </w:t>
      </w:r>
      <w:r>
        <w:rPr>
          <w:sz w:val="18"/>
        </w:rPr>
        <w:t>Minority</w:t>
      </w:r>
      <w:r>
        <w:rPr>
          <w:spacing w:val="-4"/>
          <w:sz w:val="18"/>
        </w:rPr>
        <w:t> </w:t>
      </w:r>
      <w:r>
        <w:rPr>
          <w:sz w:val="18"/>
        </w:rPr>
        <w:t>Ethnic</w:t>
      </w:r>
      <w:r>
        <w:rPr>
          <w:spacing w:val="-3"/>
          <w:sz w:val="18"/>
        </w:rPr>
        <w:t> </w:t>
      </w:r>
      <w:r>
        <w:rPr>
          <w:sz w:val="18"/>
        </w:rPr>
        <w:t>and</w:t>
      </w:r>
      <w:r>
        <w:rPr>
          <w:spacing w:val="-3"/>
          <w:sz w:val="18"/>
        </w:rPr>
        <w:t> </w:t>
      </w:r>
      <w:r>
        <w:rPr>
          <w:sz w:val="18"/>
        </w:rPr>
        <w:t>Migrant</w:t>
      </w:r>
      <w:r>
        <w:rPr>
          <w:spacing w:val="-4"/>
          <w:sz w:val="18"/>
        </w:rPr>
        <w:t> </w:t>
      </w:r>
      <w:r>
        <w:rPr>
          <w:sz w:val="18"/>
        </w:rPr>
        <w:t>People</w:t>
      </w:r>
      <w:r>
        <w:rPr>
          <w:spacing w:val="-3"/>
          <w:sz w:val="18"/>
        </w:rPr>
        <w:t> </w:t>
      </w:r>
      <w:r>
        <w:rPr>
          <w:sz w:val="18"/>
        </w:rPr>
        <w:t>in</w:t>
      </w:r>
      <w:r>
        <w:rPr>
          <w:spacing w:val="-3"/>
          <w:sz w:val="18"/>
        </w:rPr>
        <w:t> </w:t>
      </w:r>
      <w:r>
        <w:rPr>
          <w:sz w:val="18"/>
        </w:rPr>
        <w:t>Northern</w:t>
      </w:r>
      <w:r>
        <w:rPr>
          <w:spacing w:val="-4"/>
          <w:sz w:val="18"/>
        </w:rPr>
        <w:t> </w:t>
      </w:r>
      <w:r>
        <w:rPr>
          <w:sz w:val="18"/>
        </w:rPr>
        <w:t>Ireland’</w:t>
      </w:r>
      <w:r>
        <w:rPr>
          <w:spacing w:val="-3"/>
          <w:sz w:val="18"/>
        </w:rPr>
        <w:t> </w:t>
      </w:r>
      <w:r>
        <w:rPr>
          <w:sz w:val="18"/>
        </w:rPr>
        <w:t>(ECNI,</w:t>
      </w:r>
      <w:r>
        <w:rPr>
          <w:spacing w:val="-3"/>
          <w:sz w:val="18"/>
        </w:rPr>
        <w:t> </w:t>
      </w:r>
      <w:r>
        <w:rPr>
          <w:spacing w:val="-2"/>
          <w:sz w:val="18"/>
        </w:rPr>
        <w:t>2023).</w:t>
      </w:r>
    </w:p>
    <w:p>
      <w:pPr>
        <w:pStyle w:val="ListParagraph"/>
        <w:numPr>
          <w:ilvl w:val="0"/>
          <w:numId w:val="15"/>
        </w:numPr>
        <w:tabs>
          <w:tab w:pos="1853" w:val="left" w:leader="none"/>
        </w:tabs>
        <w:spacing w:line="216" w:lineRule="exact" w:before="0" w:after="0"/>
        <w:ind w:left="1853" w:right="0" w:hanging="720"/>
        <w:jc w:val="left"/>
        <w:rPr>
          <w:sz w:val="18"/>
        </w:rPr>
      </w:pPr>
      <w:r>
        <w:rPr>
          <w:sz w:val="18"/>
        </w:rPr>
        <w:t>Ibid,</w:t>
      </w:r>
      <w:r>
        <w:rPr>
          <w:spacing w:val="-1"/>
          <w:sz w:val="18"/>
        </w:rPr>
        <w:t> </w:t>
      </w:r>
      <w:r>
        <w:rPr>
          <w:sz w:val="18"/>
        </w:rPr>
        <w:t>at</w:t>
      </w:r>
      <w:r>
        <w:rPr>
          <w:spacing w:val="-1"/>
          <w:sz w:val="18"/>
        </w:rPr>
        <w:t> </w:t>
      </w:r>
      <w:r>
        <w:rPr>
          <w:spacing w:val="-5"/>
          <w:sz w:val="18"/>
        </w:rPr>
        <w:t>51.</w:t>
      </w:r>
    </w:p>
    <w:p>
      <w:pPr>
        <w:pStyle w:val="ListParagraph"/>
        <w:numPr>
          <w:ilvl w:val="0"/>
          <w:numId w:val="15"/>
        </w:numPr>
        <w:tabs>
          <w:tab w:pos="1853" w:val="left" w:leader="none"/>
        </w:tabs>
        <w:spacing w:line="235" w:lineRule="auto" w:before="1" w:after="0"/>
        <w:ind w:left="1853" w:right="1919" w:hanging="720"/>
        <w:jc w:val="left"/>
        <w:rPr>
          <w:sz w:val="18"/>
        </w:rPr>
      </w:pP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4"/>
          <w:sz w:val="18"/>
        </w:rPr>
        <w:t> </w:t>
      </w:r>
      <w:r>
        <w:rPr>
          <w:sz w:val="18"/>
        </w:rPr>
        <w:t>and</w:t>
      </w:r>
      <w:r>
        <w:rPr>
          <w:spacing w:val="-4"/>
          <w:sz w:val="18"/>
        </w:rPr>
        <w:t> </w:t>
      </w:r>
      <w:r>
        <w:rPr>
          <w:sz w:val="18"/>
        </w:rPr>
        <w:t>Equality</w:t>
      </w:r>
      <w:r>
        <w:rPr>
          <w:spacing w:val="-3"/>
          <w:sz w:val="18"/>
        </w:rPr>
        <w:t> </w:t>
      </w:r>
      <w:r>
        <w:rPr>
          <w:sz w:val="18"/>
        </w:rPr>
        <w:t>Commission</w:t>
      </w:r>
      <w:r>
        <w:rPr>
          <w:spacing w:val="-4"/>
          <w:sz w:val="18"/>
        </w:rPr>
        <w:t> </w:t>
      </w:r>
      <w:r>
        <w:rPr>
          <w:sz w:val="18"/>
        </w:rPr>
        <w:t>for</w:t>
      </w:r>
      <w:r>
        <w:rPr>
          <w:spacing w:val="-3"/>
          <w:sz w:val="18"/>
        </w:rPr>
        <w:t> </w:t>
      </w:r>
      <w:r>
        <w:rPr>
          <w:sz w:val="18"/>
        </w:rPr>
        <w:t>NI,</w:t>
      </w:r>
      <w:r>
        <w:rPr>
          <w:spacing w:val="-3"/>
          <w:sz w:val="18"/>
        </w:rPr>
        <w:t> </w:t>
      </w:r>
      <w:r>
        <w:rPr>
          <w:sz w:val="18"/>
        </w:rPr>
        <w:t>‘Annual</w:t>
      </w:r>
      <w:r>
        <w:rPr>
          <w:spacing w:val="-4"/>
          <w:sz w:val="18"/>
        </w:rPr>
        <w:t> </w:t>
      </w:r>
      <w:r>
        <w:rPr>
          <w:sz w:val="18"/>
        </w:rPr>
        <w:t>Report</w:t>
      </w:r>
      <w:r>
        <w:rPr>
          <w:spacing w:val="-3"/>
          <w:sz w:val="18"/>
        </w:rPr>
        <w:t> </w:t>
      </w:r>
      <w:r>
        <w:rPr>
          <w:sz w:val="18"/>
        </w:rPr>
        <w:t>of</w:t>
      </w:r>
      <w:r>
        <w:rPr>
          <w:spacing w:val="-4"/>
          <w:sz w:val="18"/>
        </w:rPr>
        <w:t> </w:t>
      </w:r>
      <w:r>
        <w:rPr>
          <w:sz w:val="18"/>
        </w:rPr>
        <w:t>the</w:t>
      </w:r>
      <w:r>
        <w:rPr>
          <w:spacing w:val="-3"/>
          <w:sz w:val="18"/>
        </w:rPr>
        <w:t> </w:t>
      </w:r>
      <w:r>
        <w:rPr>
          <w:sz w:val="18"/>
        </w:rPr>
        <w:t>NIHRC</w:t>
      </w:r>
      <w:r>
        <w:rPr>
          <w:spacing w:val="-4"/>
          <w:sz w:val="18"/>
        </w:rPr>
        <w:t> </w:t>
      </w:r>
      <w:r>
        <w:rPr>
          <w:sz w:val="18"/>
        </w:rPr>
        <w:t>and</w:t>
      </w:r>
      <w:r>
        <w:rPr>
          <w:spacing w:val="-4"/>
          <w:sz w:val="18"/>
        </w:rPr>
        <w:t> </w:t>
      </w:r>
      <w:r>
        <w:rPr>
          <w:sz w:val="18"/>
        </w:rPr>
        <w:t>the</w:t>
      </w:r>
      <w:r>
        <w:rPr>
          <w:spacing w:val="-3"/>
          <w:sz w:val="18"/>
        </w:rPr>
        <w:t> </w:t>
      </w:r>
      <w:r>
        <w:rPr>
          <w:sz w:val="18"/>
        </w:rPr>
        <w:t>ECNI</w:t>
      </w:r>
      <w:r>
        <w:rPr>
          <w:spacing w:val="-3"/>
          <w:sz w:val="18"/>
        </w:rPr>
        <w:t> </w:t>
      </w:r>
      <w:r>
        <w:rPr>
          <w:sz w:val="18"/>
        </w:rPr>
        <w:t>on</w:t>
      </w:r>
      <w:r>
        <w:rPr>
          <w:spacing w:val="-4"/>
          <w:sz w:val="18"/>
        </w:rPr>
        <w:t> </w:t>
      </w:r>
      <w:r>
        <w:rPr>
          <w:sz w:val="18"/>
        </w:rPr>
        <w:t>the implementation of Protocol Article 2 2021 – 2022’ (NIHRC and ECNI, 2022), at para 5.56.</w:t>
      </w:r>
    </w:p>
    <w:p>
      <w:pPr>
        <w:pStyle w:val="ListParagraph"/>
        <w:numPr>
          <w:ilvl w:val="0"/>
          <w:numId w:val="15"/>
        </w:numPr>
        <w:tabs>
          <w:tab w:pos="1853" w:val="left" w:leader="none"/>
        </w:tabs>
        <w:spacing w:line="235" w:lineRule="auto" w:before="2" w:after="0"/>
        <w:ind w:left="1853" w:right="1827" w:hanging="720"/>
        <w:jc w:val="left"/>
        <w:rPr>
          <w:sz w:val="18"/>
        </w:rPr>
      </w:pPr>
      <w:r>
        <w:rPr>
          <w:sz w:val="18"/>
        </w:rPr>
        <w:t>Katharine</w:t>
      </w:r>
      <w:r>
        <w:rPr>
          <w:spacing w:val="-4"/>
          <w:sz w:val="18"/>
        </w:rPr>
        <w:t> </w:t>
      </w:r>
      <w:r>
        <w:rPr>
          <w:sz w:val="18"/>
        </w:rPr>
        <w:t>Wright,</w:t>
      </w:r>
      <w:r>
        <w:rPr>
          <w:spacing w:val="-4"/>
          <w:sz w:val="18"/>
        </w:rPr>
        <w:t> </w:t>
      </w:r>
      <w:r>
        <w:rPr>
          <w:sz w:val="18"/>
        </w:rPr>
        <w:t>Ruth</w:t>
      </w:r>
      <w:r>
        <w:rPr>
          <w:spacing w:val="-5"/>
          <w:sz w:val="18"/>
        </w:rPr>
        <w:t> </w:t>
      </w:r>
      <w:r>
        <w:rPr>
          <w:sz w:val="18"/>
        </w:rPr>
        <w:t>McAreavey</w:t>
      </w:r>
      <w:r>
        <w:rPr>
          <w:spacing w:val="-4"/>
          <w:sz w:val="18"/>
        </w:rPr>
        <w:t> </w:t>
      </w:r>
      <w:r>
        <w:rPr>
          <w:sz w:val="18"/>
        </w:rPr>
        <w:t>and</w:t>
      </w:r>
      <w:r>
        <w:rPr>
          <w:spacing w:val="-5"/>
          <w:sz w:val="18"/>
        </w:rPr>
        <w:t> </w:t>
      </w:r>
      <w:r>
        <w:rPr>
          <w:sz w:val="18"/>
        </w:rPr>
        <w:t>Rebecca</w:t>
      </w:r>
      <w:r>
        <w:rPr>
          <w:spacing w:val="-5"/>
          <w:sz w:val="18"/>
        </w:rPr>
        <w:t> </w:t>
      </w:r>
      <w:r>
        <w:rPr>
          <w:sz w:val="18"/>
        </w:rPr>
        <w:t>Donaldson</w:t>
      </w:r>
      <w:r>
        <w:rPr>
          <w:spacing w:val="-5"/>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Women</w:t>
      </w:r>
      <w:r>
        <w:rPr>
          <w:spacing w:val="-5"/>
          <w:sz w:val="18"/>
        </w:rPr>
        <w:t> </w:t>
      </w:r>
      <w:r>
        <w:rPr>
          <w:sz w:val="18"/>
        </w:rPr>
        <w:t>in</w:t>
      </w:r>
      <w:r>
        <w:rPr>
          <w:spacing w:val="-5"/>
          <w:sz w:val="18"/>
        </w:rPr>
        <w:t> </w:t>
      </w:r>
      <w:r>
        <w:rPr>
          <w:sz w:val="18"/>
        </w:rPr>
        <w:t>Northern</w:t>
      </w:r>
      <w:r>
        <w:rPr>
          <w:spacing w:val="-5"/>
          <w:sz w:val="18"/>
        </w:rPr>
        <w:t> </w:t>
      </w:r>
      <w:r>
        <w:rPr>
          <w:sz w:val="18"/>
        </w:rPr>
        <w:t>Ireland’ (ECNI, 2024), at 46-48</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firstLine="63"/>
      </w:pPr>
      <w:r>
        <w:rPr/>
        <w:t>misinformation.</w:t>
      </w:r>
      <w:r>
        <w:rPr>
          <w:vertAlign w:val="superscript"/>
        </w:rPr>
        <w:t>836</w:t>
      </w:r>
      <w:r>
        <w:rPr>
          <w:spacing w:val="-14"/>
          <w:vertAlign w:val="baseline"/>
        </w:rPr>
        <w:t> </w:t>
      </w:r>
      <w:r>
        <w:rPr>
          <w:vertAlign w:val="baseline"/>
        </w:rPr>
        <w:t>In</w:t>
      </w:r>
      <w:r>
        <w:rPr>
          <w:spacing w:val="-14"/>
          <w:vertAlign w:val="baseline"/>
        </w:rPr>
        <w:t> </w:t>
      </w:r>
      <w:r>
        <w:rPr>
          <w:vertAlign w:val="baseline"/>
        </w:rPr>
        <w:t>addition,</w:t>
      </w:r>
      <w:r>
        <w:rPr>
          <w:spacing w:val="-13"/>
          <w:vertAlign w:val="baseline"/>
        </w:rPr>
        <w:t> </w:t>
      </w:r>
      <w:r>
        <w:rPr>
          <w:vertAlign w:val="baseline"/>
        </w:rPr>
        <w:t>misinformation</w:t>
      </w:r>
      <w:r>
        <w:rPr>
          <w:spacing w:val="-14"/>
          <w:vertAlign w:val="baseline"/>
        </w:rPr>
        <w:t> </w:t>
      </w:r>
      <w:r>
        <w:rPr>
          <w:vertAlign w:val="baseline"/>
        </w:rPr>
        <w:t>has</w:t>
      </w:r>
      <w:r>
        <w:rPr>
          <w:spacing w:val="-14"/>
          <w:vertAlign w:val="baseline"/>
        </w:rPr>
        <w:t> </w:t>
      </w:r>
      <w:r>
        <w:rPr>
          <w:vertAlign w:val="baseline"/>
        </w:rPr>
        <w:t>often</w:t>
      </w:r>
      <w:r>
        <w:rPr>
          <w:spacing w:val="-14"/>
          <w:vertAlign w:val="baseline"/>
        </w:rPr>
        <w:t> </w:t>
      </w:r>
      <w:r>
        <w:rPr>
          <w:vertAlign w:val="baseline"/>
        </w:rPr>
        <w:t>resulted</w:t>
      </w:r>
      <w:r>
        <w:rPr>
          <w:spacing w:val="-14"/>
          <w:vertAlign w:val="baseline"/>
        </w:rPr>
        <w:t> </w:t>
      </w:r>
      <w:r>
        <w:rPr>
          <w:vertAlign w:val="baseline"/>
        </w:rPr>
        <w:t>in</w:t>
      </w:r>
      <w:r>
        <w:rPr>
          <w:spacing w:val="-14"/>
          <w:vertAlign w:val="baseline"/>
        </w:rPr>
        <w:t> </w:t>
      </w:r>
      <w:r>
        <w:rPr>
          <w:vertAlign w:val="baseline"/>
        </w:rPr>
        <w:t>migrant workers being left particularly vulnerable to exploitation.</w:t>
      </w:r>
    </w:p>
    <w:p>
      <w:pPr>
        <w:pStyle w:val="ListParagraph"/>
        <w:numPr>
          <w:ilvl w:val="1"/>
          <w:numId w:val="13"/>
        </w:numPr>
        <w:tabs>
          <w:tab w:pos="1853" w:val="left" w:leader="none"/>
        </w:tabs>
        <w:spacing w:line="225" w:lineRule="auto" w:before="318" w:after="0"/>
        <w:ind w:left="1853" w:right="1472" w:hanging="720"/>
        <w:jc w:val="left"/>
        <w:rPr>
          <w:sz w:val="28"/>
        </w:rPr>
      </w:pPr>
      <w:r>
        <w:rPr>
          <w:sz w:val="28"/>
        </w:rPr>
        <w:t>Participants at ECNI engagement events outlined a number of common areas of exploitation experienced by migrant workers, including being charged</w:t>
      </w:r>
      <w:r>
        <w:rPr>
          <w:spacing w:val="-8"/>
          <w:sz w:val="28"/>
        </w:rPr>
        <w:t> </w:t>
      </w:r>
      <w:r>
        <w:rPr>
          <w:sz w:val="28"/>
        </w:rPr>
        <w:t>extortionate</w:t>
      </w:r>
      <w:r>
        <w:rPr>
          <w:spacing w:val="-7"/>
          <w:sz w:val="28"/>
        </w:rPr>
        <w:t> </w:t>
      </w:r>
      <w:r>
        <w:rPr>
          <w:sz w:val="28"/>
        </w:rPr>
        <w:t>amounts</w:t>
      </w:r>
      <w:r>
        <w:rPr>
          <w:spacing w:val="-8"/>
          <w:sz w:val="28"/>
        </w:rPr>
        <w:t> </w:t>
      </w:r>
      <w:r>
        <w:rPr>
          <w:sz w:val="28"/>
        </w:rPr>
        <w:t>for</w:t>
      </w:r>
      <w:r>
        <w:rPr>
          <w:spacing w:val="-7"/>
          <w:sz w:val="28"/>
        </w:rPr>
        <w:t> </w:t>
      </w:r>
      <w:r>
        <w:rPr>
          <w:sz w:val="28"/>
        </w:rPr>
        <w:t>P45</w:t>
      </w:r>
      <w:r>
        <w:rPr>
          <w:spacing w:val="-7"/>
          <w:sz w:val="28"/>
        </w:rPr>
        <w:t> </w:t>
      </w:r>
      <w:r>
        <w:rPr>
          <w:sz w:val="28"/>
        </w:rPr>
        <w:t>forms</w:t>
      </w:r>
      <w:r>
        <w:rPr>
          <w:spacing w:val="-8"/>
          <w:sz w:val="28"/>
        </w:rPr>
        <w:t> </w:t>
      </w:r>
      <w:r>
        <w:rPr>
          <w:sz w:val="28"/>
        </w:rPr>
        <w:t>or</w:t>
      </w:r>
      <w:r>
        <w:rPr>
          <w:spacing w:val="-7"/>
          <w:sz w:val="28"/>
        </w:rPr>
        <w:t> </w:t>
      </w:r>
      <w:r>
        <w:rPr>
          <w:sz w:val="28"/>
        </w:rPr>
        <w:t>denied</w:t>
      </w:r>
      <w:r>
        <w:rPr>
          <w:spacing w:val="-8"/>
          <w:sz w:val="28"/>
        </w:rPr>
        <w:t> </w:t>
      </w:r>
      <w:r>
        <w:rPr>
          <w:sz w:val="28"/>
        </w:rPr>
        <w:t>access</w:t>
      </w:r>
      <w:r>
        <w:rPr>
          <w:spacing w:val="-8"/>
          <w:sz w:val="28"/>
        </w:rPr>
        <w:t> </w:t>
      </w:r>
      <w:r>
        <w:rPr>
          <w:sz w:val="28"/>
        </w:rPr>
        <w:t>to</w:t>
      </w:r>
      <w:r>
        <w:rPr>
          <w:spacing w:val="-8"/>
          <w:sz w:val="28"/>
        </w:rPr>
        <w:t> </w:t>
      </w:r>
      <w:r>
        <w:rPr>
          <w:sz w:val="28"/>
        </w:rPr>
        <w:t>P60</w:t>
      </w:r>
      <w:r>
        <w:rPr>
          <w:spacing w:val="-7"/>
          <w:sz w:val="28"/>
        </w:rPr>
        <w:t> </w:t>
      </w:r>
      <w:r>
        <w:rPr>
          <w:sz w:val="28"/>
        </w:rPr>
        <w:t>forms, sick pay or general human resources support, with instances of employers taking advantage of language barriers. One participant gave an account of recruitment</w:t>
      </w:r>
      <w:r>
        <w:rPr>
          <w:spacing w:val="-7"/>
          <w:sz w:val="28"/>
        </w:rPr>
        <w:t> </w:t>
      </w:r>
      <w:r>
        <w:rPr>
          <w:sz w:val="28"/>
        </w:rPr>
        <w:t>agencies</w:t>
      </w:r>
      <w:r>
        <w:rPr>
          <w:spacing w:val="-8"/>
          <w:sz w:val="28"/>
        </w:rPr>
        <w:t> </w:t>
      </w:r>
      <w:r>
        <w:rPr>
          <w:sz w:val="28"/>
        </w:rPr>
        <w:t>falsely</w:t>
      </w:r>
      <w:r>
        <w:rPr>
          <w:spacing w:val="-7"/>
          <w:sz w:val="28"/>
        </w:rPr>
        <w:t> </w:t>
      </w:r>
      <w:r>
        <w:rPr>
          <w:sz w:val="28"/>
        </w:rPr>
        <w:t>treating</w:t>
      </w:r>
      <w:r>
        <w:rPr>
          <w:spacing w:val="-7"/>
          <w:sz w:val="28"/>
        </w:rPr>
        <w:t> </w:t>
      </w:r>
      <w:r>
        <w:rPr>
          <w:sz w:val="28"/>
        </w:rPr>
        <w:t>the</w:t>
      </w:r>
      <w:r>
        <w:rPr>
          <w:spacing w:val="-7"/>
          <w:sz w:val="28"/>
        </w:rPr>
        <w:t> </w:t>
      </w:r>
      <w:r>
        <w:rPr>
          <w:sz w:val="28"/>
        </w:rPr>
        <w:t>EU</w:t>
      </w:r>
      <w:r>
        <w:rPr>
          <w:spacing w:val="-7"/>
          <w:sz w:val="28"/>
        </w:rPr>
        <w:t> </w:t>
      </w:r>
      <w:r>
        <w:rPr>
          <w:sz w:val="28"/>
        </w:rPr>
        <w:t>Settlement</w:t>
      </w:r>
      <w:r>
        <w:rPr>
          <w:spacing w:val="-7"/>
          <w:sz w:val="28"/>
        </w:rPr>
        <w:t> </w:t>
      </w:r>
      <w:r>
        <w:rPr>
          <w:sz w:val="28"/>
        </w:rPr>
        <w:t>Scheme</w:t>
      </w:r>
      <w:r>
        <w:rPr>
          <w:spacing w:val="-7"/>
          <w:sz w:val="28"/>
        </w:rPr>
        <w:t> </w:t>
      </w:r>
      <w:r>
        <w:rPr>
          <w:sz w:val="28"/>
        </w:rPr>
        <w:t>application process</w:t>
      </w:r>
      <w:r>
        <w:rPr>
          <w:spacing w:val="-7"/>
          <w:sz w:val="28"/>
        </w:rPr>
        <w:t> </w:t>
      </w:r>
      <w:r>
        <w:rPr>
          <w:sz w:val="28"/>
        </w:rPr>
        <w:t>as</w:t>
      </w:r>
      <w:r>
        <w:rPr>
          <w:spacing w:val="-7"/>
          <w:sz w:val="28"/>
        </w:rPr>
        <w:t> </w:t>
      </w:r>
      <w:r>
        <w:rPr>
          <w:sz w:val="28"/>
        </w:rPr>
        <w:t>a</w:t>
      </w:r>
      <w:r>
        <w:rPr>
          <w:spacing w:val="-7"/>
          <w:sz w:val="28"/>
        </w:rPr>
        <w:t> </w:t>
      </w:r>
      <w:r>
        <w:rPr>
          <w:sz w:val="28"/>
        </w:rPr>
        <w:t>work</w:t>
      </w:r>
      <w:r>
        <w:rPr>
          <w:spacing w:val="-7"/>
          <w:sz w:val="28"/>
        </w:rPr>
        <w:t> </w:t>
      </w:r>
      <w:r>
        <w:rPr>
          <w:sz w:val="28"/>
        </w:rPr>
        <w:t>visa,</w:t>
      </w:r>
      <w:r>
        <w:rPr>
          <w:spacing w:val="-7"/>
          <w:sz w:val="28"/>
        </w:rPr>
        <w:t> </w:t>
      </w:r>
      <w:r>
        <w:rPr>
          <w:sz w:val="28"/>
        </w:rPr>
        <w:t>leaving</w:t>
      </w:r>
      <w:r>
        <w:rPr>
          <w:spacing w:val="-7"/>
          <w:sz w:val="28"/>
        </w:rPr>
        <w:t> </w:t>
      </w:r>
      <w:r>
        <w:rPr>
          <w:sz w:val="28"/>
        </w:rPr>
        <w:t>migrant</w:t>
      </w:r>
      <w:r>
        <w:rPr>
          <w:spacing w:val="-7"/>
          <w:sz w:val="28"/>
        </w:rPr>
        <w:t> </w:t>
      </w:r>
      <w:r>
        <w:rPr>
          <w:sz w:val="28"/>
        </w:rPr>
        <w:t>workers</w:t>
      </w:r>
      <w:r>
        <w:rPr>
          <w:spacing w:val="-7"/>
          <w:sz w:val="28"/>
        </w:rPr>
        <w:t> </w:t>
      </w:r>
      <w:r>
        <w:rPr>
          <w:sz w:val="28"/>
        </w:rPr>
        <w:t>vulnerable</w:t>
      </w:r>
      <w:r>
        <w:rPr>
          <w:spacing w:val="-7"/>
          <w:sz w:val="28"/>
        </w:rPr>
        <w:t> </w:t>
      </w:r>
      <w:r>
        <w:rPr>
          <w:sz w:val="28"/>
        </w:rPr>
        <w:t>to</w:t>
      </w:r>
      <w:r>
        <w:rPr>
          <w:spacing w:val="-7"/>
          <w:sz w:val="28"/>
        </w:rPr>
        <w:t> </w:t>
      </w:r>
      <w:r>
        <w:rPr>
          <w:sz w:val="28"/>
        </w:rPr>
        <w:t>homelessness and destitution in the case of a failed application.</w:t>
      </w:r>
      <w:r>
        <w:rPr>
          <w:sz w:val="28"/>
          <w:vertAlign w:val="superscript"/>
        </w:rPr>
        <w:t>837</w:t>
      </w:r>
    </w:p>
    <w:p>
      <w:pPr>
        <w:pStyle w:val="ListParagraph"/>
        <w:numPr>
          <w:ilvl w:val="1"/>
          <w:numId w:val="13"/>
        </w:numPr>
        <w:tabs>
          <w:tab w:pos="1853" w:val="left" w:leader="none"/>
        </w:tabs>
        <w:spacing w:line="225" w:lineRule="auto" w:before="310" w:after="0"/>
        <w:ind w:left="1853" w:right="1260" w:hanging="720"/>
        <w:jc w:val="left"/>
        <w:rPr>
          <w:sz w:val="28"/>
        </w:rPr>
      </w:pPr>
      <w:r>
        <w:rPr>
          <w:sz w:val="28"/>
        </w:rPr>
        <w:t>Trade union representatives pointed to a lack of English language skills as a significant barrier to vulnerable workers exercising their rights, highlighting that the Department for the Economy has previously committed to review funding</w:t>
      </w:r>
      <w:r>
        <w:rPr>
          <w:spacing w:val="-6"/>
          <w:sz w:val="28"/>
        </w:rPr>
        <w:t> </w:t>
      </w:r>
      <w:r>
        <w:rPr>
          <w:sz w:val="28"/>
        </w:rPr>
        <w:t>for</w:t>
      </w:r>
      <w:r>
        <w:rPr>
          <w:spacing w:val="-6"/>
          <w:sz w:val="28"/>
        </w:rPr>
        <w:t> </w:t>
      </w:r>
      <w:r>
        <w:rPr>
          <w:sz w:val="28"/>
        </w:rPr>
        <w:t>English</w:t>
      </w:r>
      <w:r>
        <w:rPr>
          <w:spacing w:val="-7"/>
          <w:sz w:val="28"/>
        </w:rPr>
        <w:t> </w:t>
      </w:r>
      <w:r>
        <w:rPr>
          <w:sz w:val="28"/>
        </w:rPr>
        <w:t>for</w:t>
      </w:r>
      <w:r>
        <w:rPr>
          <w:spacing w:val="-6"/>
          <w:sz w:val="28"/>
        </w:rPr>
        <w:t> </w:t>
      </w:r>
      <w:r>
        <w:rPr>
          <w:sz w:val="28"/>
        </w:rPr>
        <w:t>speakers</w:t>
      </w:r>
      <w:r>
        <w:rPr>
          <w:spacing w:val="-7"/>
          <w:sz w:val="28"/>
        </w:rPr>
        <w:t> </w:t>
      </w:r>
      <w:r>
        <w:rPr>
          <w:sz w:val="28"/>
        </w:rPr>
        <w:t>of</w:t>
      </w:r>
      <w:r>
        <w:rPr>
          <w:spacing w:val="-7"/>
          <w:sz w:val="28"/>
        </w:rPr>
        <w:t> </w:t>
      </w:r>
      <w:r>
        <w:rPr>
          <w:sz w:val="28"/>
        </w:rPr>
        <w:t>other</w:t>
      </w:r>
      <w:r>
        <w:rPr>
          <w:spacing w:val="-6"/>
          <w:sz w:val="28"/>
        </w:rPr>
        <w:t> </w:t>
      </w:r>
      <w:r>
        <w:rPr>
          <w:sz w:val="28"/>
        </w:rPr>
        <w:t>languages</w:t>
      </w:r>
      <w:r>
        <w:rPr>
          <w:spacing w:val="-7"/>
          <w:sz w:val="28"/>
        </w:rPr>
        <w:t> </w:t>
      </w:r>
      <w:r>
        <w:rPr>
          <w:sz w:val="28"/>
        </w:rPr>
        <w:t>classes</w:t>
      </w:r>
      <w:r>
        <w:rPr>
          <w:spacing w:val="-7"/>
          <w:sz w:val="28"/>
        </w:rPr>
        <w:t> </w:t>
      </w:r>
      <w:r>
        <w:rPr>
          <w:sz w:val="28"/>
        </w:rPr>
        <w:t>for</w:t>
      </w:r>
      <w:r>
        <w:rPr>
          <w:spacing w:val="-6"/>
          <w:sz w:val="28"/>
        </w:rPr>
        <w:t> </w:t>
      </w:r>
      <w:r>
        <w:rPr>
          <w:sz w:val="28"/>
        </w:rPr>
        <w:t>minority</w:t>
      </w:r>
      <w:r>
        <w:rPr>
          <w:spacing w:val="-6"/>
          <w:sz w:val="28"/>
        </w:rPr>
        <w:t> </w:t>
      </w:r>
      <w:r>
        <w:rPr>
          <w:sz w:val="28"/>
        </w:rPr>
        <w:t>ethnic and migrant workers.</w:t>
      </w:r>
      <w:r>
        <w:rPr>
          <w:sz w:val="28"/>
          <w:vertAlign w:val="superscript"/>
        </w:rPr>
        <w:t>838</w:t>
      </w:r>
    </w:p>
    <w:p>
      <w:pPr>
        <w:pStyle w:val="ListParagraph"/>
        <w:numPr>
          <w:ilvl w:val="1"/>
          <w:numId w:val="13"/>
        </w:numPr>
        <w:tabs>
          <w:tab w:pos="1853" w:val="left" w:leader="none"/>
        </w:tabs>
        <w:spacing w:line="225" w:lineRule="auto" w:before="313" w:after="0"/>
        <w:ind w:left="1853" w:right="1458" w:hanging="720"/>
        <w:jc w:val="left"/>
        <w:rPr>
          <w:sz w:val="28"/>
        </w:rPr>
      </w:pPr>
      <w:r>
        <w:rPr>
          <w:sz w:val="28"/>
        </w:rPr>
        <w:t>Service</w:t>
      </w:r>
      <w:r>
        <w:rPr>
          <w:spacing w:val="-4"/>
          <w:sz w:val="28"/>
        </w:rPr>
        <w:t> </w:t>
      </w:r>
      <w:r>
        <w:rPr>
          <w:sz w:val="28"/>
        </w:rPr>
        <w:t>providers</w:t>
      </w:r>
      <w:r>
        <w:rPr>
          <w:spacing w:val="-5"/>
          <w:sz w:val="28"/>
        </w:rPr>
        <w:t> </w:t>
      </w:r>
      <w:r>
        <w:rPr>
          <w:sz w:val="28"/>
        </w:rPr>
        <w:t>who</w:t>
      </w:r>
      <w:r>
        <w:rPr>
          <w:spacing w:val="-5"/>
          <w:sz w:val="28"/>
        </w:rPr>
        <w:t> </w:t>
      </w:r>
      <w:r>
        <w:rPr>
          <w:sz w:val="28"/>
        </w:rPr>
        <w:t>participated</w:t>
      </w:r>
      <w:r>
        <w:rPr>
          <w:spacing w:val="-5"/>
          <w:sz w:val="28"/>
        </w:rPr>
        <w:t> </w:t>
      </w:r>
      <w:r>
        <w:rPr>
          <w:sz w:val="28"/>
        </w:rPr>
        <w:t>in</w:t>
      </w:r>
      <w:r>
        <w:rPr>
          <w:spacing w:val="-5"/>
          <w:sz w:val="28"/>
        </w:rPr>
        <w:t> </w:t>
      </w:r>
      <w:r>
        <w:rPr>
          <w:sz w:val="28"/>
        </w:rPr>
        <w:t>the</w:t>
      </w:r>
      <w:r>
        <w:rPr>
          <w:spacing w:val="-4"/>
          <w:sz w:val="28"/>
        </w:rPr>
        <w:t> </w:t>
      </w:r>
      <w:r>
        <w:rPr>
          <w:sz w:val="28"/>
        </w:rPr>
        <w:t>research</w:t>
      </w:r>
      <w:r>
        <w:rPr>
          <w:spacing w:val="-5"/>
          <w:sz w:val="28"/>
        </w:rPr>
        <w:t> </w:t>
      </w:r>
      <w:r>
        <w:rPr>
          <w:sz w:val="28"/>
        </w:rPr>
        <w:t>report</w:t>
      </w:r>
      <w:r>
        <w:rPr>
          <w:spacing w:val="-4"/>
          <w:sz w:val="28"/>
        </w:rPr>
        <w:t> </w:t>
      </w:r>
      <w:r>
        <w:rPr>
          <w:sz w:val="28"/>
        </w:rPr>
        <w:t>into</w:t>
      </w:r>
      <w:r>
        <w:rPr>
          <w:spacing w:val="-5"/>
          <w:sz w:val="28"/>
        </w:rPr>
        <w:t> </w:t>
      </w:r>
      <w:r>
        <w:rPr>
          <w:sz w:val="28"/>
        </w:rPr>
        <w:t>the</w:t>
      </w:r>
      <w:r>
        <w:rPr>
          <w:spacing w:val="-4"/>
          <w:sz w:val="28"/>
        </w:rPr>
        <w:t> </w:t>
      </w:r>
      <w:r>
        <w:rPr>
          <w:sz w:val="28"/>
        </w:rPr>
        <w:t>impact</w:t>
      </w:r>
      <w:r>
        <w:rPr>
          <w:spacing w:val="-4"/>
          <w:sz w:val="28"/>
        </w:rPr>
        <w:t> </w:t>
      </w:r>
      <w:r>
        <w:rPr>
          <w:sz w:val="28"/>
        </w:rPr>
        <w:t>of Brexit</w:t>
      </w:r>
      <w:r>
        <w:rPr>
          <w:spacing w:val="-6"/>
          <w:sz w:val="28"/>
        </w:rPr>
        <w:t> </w:t>
      </w:r>
      <w:r>
        <w:rPr>
          <w:sz w:val="28"/>
        </w:rPr>
        <w:t>on</w:t>
      </w:r>
      <w:r>
        <w:rPr>
          <w:spacing w:val="-7"/>
          <w:sz w:val="28"/>
        </w:rPr>
        <w:t> </w:t>
      </w:r>
      <w:r>
        <w:rPr>
          <w:sz w:val="28"/>
        </w:rPr>
        <w:t>minority</w:t>
      </w:r>
      <w:r>
        <w:rPr>
          <w:spacing w:val="-6"/>
          <w:sz w:val="28"/>
        </w:rPr>
        <w:t> </w:t>
      </w:r>
      <w:r>
        <w:rPr>
          <w:sz w:val="28"/>
        </w:rPr>
        <w:t>ethnic</w:t>
      </w:r>
      <w:r>
        <w:rPr>
          <w:spacing w:val="-6"/>
          <w:sz w:val="28"/>
        </w:rPr>
        <w:t> </w:t>
      </w:r>
      <w:r>
        <w:rPr>
          <w:sz w:val="28"/>
        </w:rPr>
        <w:t>and</w:t>
      </w:r>
      <w:r>
        <w:rPr>
          <w:spacing w:val="-7"/>
          <w:sz w:val="28"/>
        </w:rPr>
        <w:t> </w:t>
      </w:r>
      <w:r>
        <w:rPr>
          <w:sz w:val="28"/>
        </w:rPr>
        <w:t>migrant</w:t>
      </w:r>
      <w:r>
        <w:rPr>
          <w:spacing w:val="-6"/>
          <w:sz w:val="28"/>
        </w:rPr>
        <w:t> </w:t>
      </w:r>
      <w:r>
        <w:rPr>
          <w:sz w:val="28"/>
        </w:rPr>
        <w:t>people</w:t>
      </w:r>
      <w:r>
        <w:rPr>
          <w:spacing w:val="-6"/>
          <w:sz w:val="28"/>
        </w:rPr>
        <w:t> </w:t>
      </w:r>
      <w:r>
        <w:rPr>
          <w:sz w:val="28"/>
        </w:rPr>
        <w:t>in</w:t>
      </w:r>
      <w:r>
        <w:rPr>
          <w:spacing w:val="-7"/>
          <w:sz w:val="28"/>
        </w:rPr>
        <w:t> </w:t>
      </w:r>
      <w:r>
        <w:rPr>
          <w:sz w:val="28"/>
        </w:rPr>
        <w:t>NI</w:t>
      </w:r>
      <w:r>
        <w:rPr>
          <w:spacing w:val="-6"/>
          <w:sz w:val="28"/>
        </w:rPr>
        <w:t> </w:t>
      </w:r>
      <w:r>
        <w:rPr>
          <w:sz w:val="28"/>
        </w:rPr>
        <w:t>(2023)</w:t>
      </w:r>
      <w:r>
        <w:rPr>
          <w:spacing w:val="-7"/>
          <w:sz w:val="28"/>
        </w:rPr>
        <w:t> </w:t>
      </w:r>
      <w:r>
        <w:rPr>
          <w:sz w:val="28"/>
        </w:rPr>
        <w:t>reported</w:t>
      </w:r>
      <w:r>
        <w:rPr>
          <w:spacing w:val="-7"/>
          <w:sz w:val="28"/>
        </w:rPr>
        <w:t> </w:t>
      </w:r>
      <w:r>
        <w:rPr>
          <w:sz w:val="28"/>
        </w:rPr>
        <w:t>negative experiences of some workers who were employed through a sponsorship arrangement. These workers were often unable to leave their employment due to repayment clauses in their contracts and had experienced poor employment conditions.</w:t>
      </w:r>
      <w:r>
        <w:rPr>
          <w:sz w:val="28"/>
          <w:vertAlign w:val="superscript"/>
        </w:rPr>
        <w:t>839</w:t>
      </w:r>
    </w:p>
    <w:p>
      <w:pPr>
        <w:pStyle w:val="ListParagraph"/>
        <w:numPr>
          <w:ilvl w:val="1"/>
          <w:numId w:val="13"/>
        </w:numPr>
        <w:tabs>
          <w:tab w:pos="1853" w:val="left" w:leader="none"/>
        </w:tabs>
        <w:spacing w:line="225" w:lineRule="auto" w:before="312" w:after="0"/>
        <w:ind w:left="1853" w:right="1803" w:hanging="720"/>
        <w:jc w:val="left"/>
        <w:rPr>
          <w:sz w:val="28"/>
        </w:rPr>
      </w:pPr>
      <w:r>
        <w:rPr>
          <w:sz w:val="28"/>
        </w:rPr>
        <w:t>Concerns have also been raised with the ECNI by trade unions assisting migrant</w:t>
      </w:r>
      <w:r>
        <w:rPr>
          <w:spacing w:val="-9"/>
          <w:sz w:val="28"/>
        </w:rPr>
        <w:t> </w:t>
      </w:r>
      <w:r>
        <w:rPr>
          <w:sz w:val="28"/>
        </w:rPr>
        <w:t>workers</w:t>
      </w:r>
      <w:r>
        <w:rPr>
          <w:spacing w:val="-10"/>
          <w:sz w:val="28"/>
        </w:rPr>
        <w:t> </w:t>
      </w:r>
      <w:r>
        <w:rPr>
          <w:sz w:val="28"/>
        </w:rPr>
        <w:t>experiencing</w:t>
      </w:r>
      <w:r>
        <w:rPr>
          <w:spacing w:val="-9"/>
          <w:sz w:val="28"/>
        </w:rPr>
        <w:t> </w:t>
      </w:r>
      <w:r>
        <w:rPr>
          <w:sz w:val="28"/>
        </w:rPr>
        <w:t>issues</w:t>
      </w:r>
      <w:r>
        <w:rPr>
          <w:spacing w:val="-10"/>
          <w:sz w:val="28"/>
        </w:rPr>
        <w:t> </w:t>
      </w:r>
      <w:r>
        <w:rPr>
          <w:sz w:val="28"/>
        </w:rPr>
        <w:t>with</w:t>
      </w:r>
      <w:r>
        <w:rPr>
          <w:spacing w:val="-10"/>
          <w:sz w:val="28"/>
        </w:rPr>
        <w:t> </w:t>
      </w:r>
      <w:r>
        <w:rPr>
          <w:sz w:val="28"/>
        </w:rPr>
        <w:t>repayment</w:t>
      </w:r>
      <w:r>
        <w:rPr>
          <w:spacing w:val="-9"/>
          <w:sz w:val="28"/>
        </w:rPr>
        <w:t> </w:t>
      </w:r>
      <w:r>
        <w:rPr>
          <w:sz w:val="28"/>
        </w:rPr>
        <w:t>clauses.</w:t>
      </w:r>
      <w:r>
        <w:rPr>
          <w:spacing w:val="-10"/>
          <w:sz w:val="28"/>
        </w:rPr>
        <w:t> </w:t>
      </w:r>
      <w:r>
        <w:rPr>
          <w:sz w:val="28"/>
        </w:rPr>
        <w:t>The</w:t>
      </w:r>
      <w:r>
        <w:rPr>
          <w:spacing w:val="-9"/>
          <w:sz w:val="28"/>
        </w:rPr>
        <w:t> </w:t>
      </w:r>
      <w:r>
        <w:rPr>
          <w:sz w:val="28"/>
        </w:rPr>
        <w:t>unions reported potentially low levels of awareness of the codes of practice governing such clauses within the health and social care sector.</w:t>
      </w:r>
      <w:r>
        <w:rPr>
          <w:sz w:val="28"/>
          <w:vertAlign w:val="superscript"/>
        </w:rPr>
        <w:t>840</w:t>
      </w:r>
    </w:p>
    <w:p>
      <w:pPr>
        <w:pStyle w:val="ListParagraph"/>
        <w:numPr>
          <w:ilvl w:val="1"/>
          <w:numId w:val="13"/>
        </w:numPr>
        <w:tabs>
          <w:tab w:pos="1853" w:val="left" w:leader="none"/>
        </w:tabs>
        <w:spacing w:line="225" w:lineRule="auto" w:before="315" w:after="0"/>
        <w:ind w:left="1853" w:right="1246" w:hanging="720"/>
        <w:jc w:val="left"/>
        <w:rPr>
          <w:sz w:val="28"/>
        </w:rPr>
      </w:pPr>
      <w:r>
        <w:rPr>
          <w:sz w:val="28"/>
        </w:rPr>
        <w:t>The ECNI’s research report notes that there was no clear evidence of issues relating to repayment clauses having been directly affected by Brexit.</w:t>
      </w:r>
      <w:r>
        <w:rPr>
          <w:sz w:val="28"/>
          <w:vertAlign w:val="superscript"/>
        </w:rPr>
        <w:t>841</w:t>
      </w:r>
      <w:r>
        <w:rPr>
          <w:sz w:val="28"/>
          <w:vertAlign w:val="baseline"/>
        </w:rPr>
        <w:t> However, evidence from some participants at ECNI engagement events has indicated that given the loss of free movement due to Brexit, the number of non-EU</w:t>
      </w:r>
      <w:r>
        <w:rPr>
          <w:spacing w:val="-6"/>
          <w:sz w:val="28"/>
          <w:vertAlign w:val="baseline"/>
        </w:rPr>
        <w:t> </w:t>
      </w:r>
      <w:r>
        <w:rPr>
          <w:sz w:val="28"/>
          <w:vertAlign w:val="baseline"/>
        </w:rPr>
        <w:t>migrant</w:t>
      </w:r>
      <w:r>
        <w:rPr>
          <w:spacing w:val="-6"/>
          <w:sz w:val="28"/>
          <w:vertAlign w:val="baseline"/>
        </w:rPr>
        <w:t> </w:t>
      </w:r>
      <w:r>
        <w:rPr>
          <w:sz w:val="28"/>
          <w:vertAlign w:val="baseline"/>
        </w:rPr>
        <w:t>workers</w:t>
      </w:r>
      <w:r>
        <w:rPr>
          <w:spacing w:val="-7"/>
          <w:sz w:val="28"/>
          <w:vertAlign w:val="baseline"/>
        </w:rPr>
        <w:t> </w:t>
      </w:r>
      <w:r>
        <w:rPr>
          <w:sz w:val="28"/>
          <w:vertAlign w:val="baseline"/>
        </w:rPr>
        <w:t>being</w:t>
      </w:r>
      <w:r>
        <w:rPr>
          <w:spacing w:val="-6"/>
          <w:sz w:val="28"/>
          <w:vertAlign w:val="baseline"/>
        </w:rPr>
        <w:t> </w:t>
      </w:r>
      <w:r>
        <w:rPr>
          <w:sz w:val="28"/>
          <w:vertAlign w:val="baseline"/>
        </w:rPr>
        <w:t>sought</w:t>
      </w:r>
      <w:r>
        <w:rPr>
          <w:spacing w:val="-6"/>
          <w:sz w:val="28"/>
          <w:vertAlign w:val="baseline"/>
        </w:rPr>
        <w:t> </w:t>
      </w:r>
      <w:r>
        <w:rPr>
          <w:sz w:val="28"/>
          <w:vertAlign w:val="baseline"/>
        </w:rPr>
        <w:t>to</w:t>
      </w:r>
      <w:r>
        <w:rPr>
          <w:spacing w:val="-7"/>
          <w:sz w:val="28"/>
          <w:vertAlign w:val="baseline"/>
        </w:rPr>
        <w:t> </w:t>
      </w:r>
      <w:r>
        <w:rPr>
          <w:sz w:val="28"/>
          <w:vertAlign w:val="baseline"/>
        </w:rPr>
        <w:t>fill</w:t>
      </w:r>
      <w:r>
        <w:rPr>
          <w:spacing w:val="-7"/>
          <w:sz w:val="28"/>
          <w:vertAlign w:val="baseline"/>
        </w:rPr>
        <w:t> </w:t>
      </w:r>
      <w:r>
        <w:rPr>
          <w:sz w:val="28"/>
          <w:vertAlign w:val="baseline"/>
        </w:rPr>
        <w:t>skilled</w:t>
      </w:r>
      <w:r>
        <w:rPr>
          <w:spacing w:val="-7"/>
          <w:sz w:val="28"/>
          <w:vertAlign w:val="baseline"/>
        </w:rPr>
        <w:t> </w:t>
      </w:r>
      <w:r>
        <w:rPr>
          <w:sz w:val="28"/>
          <w:vertAlign w:val="baseline"/>
        </w:rPr>
        <w:t>and</w:t>
      </w:r>
      <w:r>
        <w:rPr>
          <w:spacing w:val="-7"/>
          <w:sz w:val="28"/>
          <w:vertAlign w:val="baseline"/>
        </w:rPr>
        <w:t> </w:t>
      </w:r>
      <w:r>
        <w:rPr>
          <w:sz w:val="28"/>
          <w:vertAlign w:val="baseline"/>
        </w:rPr>
        <w:t>critical</w:t>
      </w:r>
      <w:r>
        <w:rPr>
          <w:spacing w:val="-7"/>
          <w:sz w:val="28"/>
          <w:vertAlign w:val="baseline"/>
        </w:rPr>
        <w:t> </w:t>
      </w:r>
      <w:r>
        <w:rPr>
          <w:sz w:val="28"/>
          <w:vertAlign w:val="baseline"/>
        </w:rPr>
        <w:t>posts,</w:t>
      </w:r>
      <w:r>
        <w:rPr>
          <w:spacing w:val="-6"/>
          <w:sz w:val="28"/>
          <w:vertAlign w:val="baseline"/>
        </w:rPr>
        <w:t> </w:t>
      </w:r>
      <w:r>
        <w:rPr>
          <w:sz w:val="28"/>
          <w:vertAlign w:val="baseline"/>
        </w:rPr>
        <w:t>and</w:t>
      </w:r>
      <w:r>
        <w:rPr>
          <w:spacing w:val="-7"/>
          <w:sz w:val="28"/>
          <w:vertAlign w:val="baseline"/>
        </w:rPr>
        <w:t> </w:t>
      </w:r>
      <w:r>
        <w:rPr>
          <w:sz w:val="28"/>
          <w:vertAlign w:val="baseline"/>
        </w:rPr>
        <w:t>who could potentially be impacted by sponsorship arrangements, has risen.</w:t>
      </w:r>
    </w:p>
    <w:p>
      <w:pPr>
        <w:pStyle w:val="BodyText"/>
        <w:rPr>
          <w:sz w:val="20"/>
        </w:rPr>
      </w:pPr>
    </w:p>
    <w:p>
      <w:pPr>
        <w:pStyle w:val="BodyText"/>
        <w:spacing w:before="67"/>
        <w:rPr>
          <w:sz w:val="20"/>
        </w:rPr>
      </w:pPr>
      <w:r>
        <w:rPr/>
        <mc:AlternateContent>
          <mc:Choice Requires="wps">
            <w:drawing>
              <wp:anchor distT="0" distB="0" distL="0" distR="0" allowOverlap="1" layoutInCell="1" locked="0" behindDoc="1" simplePos="0" relativeHeight="487725568">
                <wp:simplePos x="0" y="0"/>
                <wp:positionH relativeFrom="page">
                  <wp:posOffset>719996</wp:posOffset>
                </wp:positionH>
                <wp:positionV relativeFrom="paragraph">
                  <wp:posOffset>213289</wp:posOffset>
                </wp:positionV>
                <wp:extent cx="6120130" cy="1270"/>
                <wp:effectExtent l="0" t="0" r="0" b="0"/>
                <wp:wrapTopAndBottom/>
                <wp:docPr id="634" name="Graphic 634"/>
                <wp:cNvGraphicFramePr>
                  <a:graphicFrameLocks/>
                </wp:cNvGraphicFramePr>
                <a:graphic>
                  <a:graphicData uri="http://schemas.microsoft.com/office/word/2010/wordprocessingShape">
                    <wps:wsp>
                      <wps:cNvPr id="634" name="Graphic 634"/>
                      <wps:cNvSpPr/>
                      <wps:spPr>
                        <a:xfrm>
                          <a:off x="0" y="0"/>
                          <a:ext cx="6120130" cy="1270"/>
                        </a:xfrm>
                        <a:custGeom>
                          <a:avLst/>
                          <a:gdLst/>
                          <a:ahLst/>
                          <a:cxnLst/>
                          <a:rect l="l" t="t" r="r" b="b"/>
                          <a:pathLst>
                            <a:path w="6120130" h="0">
                              <a:moveTo>
                                <a:pt x="6120003" y="0"/>
                              </a:moveTo>
                              <a:lnTo>
                                <a:pt x="0" y="0"/>
                              </a:lnTo>
                            </a:path>
                          </a:pathLst>
                        </a:custGeom>
                        <a:ln w="12700">
                          <a:solidFill>
                            <a:srgbClr val="393B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6.794477pt;width:481.9pt;height:.1pt;mso-position-horizontal-relative:page;mso-position-vertical-relative:paragraph;z-index:-15590912;mso-wrap-distance-left:0;mso-wrap-distance-right:0" id="docshape578" coordorigin="1134,336" coordsize="9638,0" path="m10772,336l1134,336e" filled="false" stroked="true" strokeweight="1pt" strokecolor="#393b7f">
                <v:path arrowok="t"/>
                <v:stroke dashstyle="solid"/>
                <w10:wrap type="topAndBottom"/>
              </v:shape>
            </w:pict>
          </mc:Fallback>
        </mc:AlternateContent>
      </w:r>
    </w:p>
    <w:p>
      <w:pPr>
        <w:pStyle w:val="ListParagraph"/>
        <w:numPr>
          <w:ilvl w:val="0"/>
          <w:numId w:val="15"/>
        </w:numPr>
        <w:tabs>
          <w:tab w:pos="1853" w:val="left" w:leader="none"/>
        </w:tabs>
        <w:spacing w:line="218" w:lineRule="exact" w:before="129" w:after="0"/>
        <w:ind w:left="1853" w:right="0" w:hanging="720"/>
        <w:jc w:val="left"/>
        <w:rPr>
          <w:sz w:val="18"/>
        </w:rPr>
      </w:pPr>
      <w:r>
        <w:rPr>
          <w:sz w:val="18"/>
        </w:rPr>
        <w:t>Ibid,</w:t>
      </w:r>
      <w:r>
        <w:rPr>
          <w:spacing w:val="-1"/>
          <w:sz w:val="18"/>
        </w:rPr>
        <w:t> </w:t>
      </w:r>
      <w:r>
        <w:rPr>
          <w:sz w:val="18"/>
        </w:rPr>
        <w:t>at</w:t>
      </w:r>
      <w:r>
        <w:rPr>
          <w:spacing w:val="-1"/>
          <w:sz w:val="18"/>
        </w:rPr>
        <w:t> </w:t>
      </w:r>
      <w:r>
        <w:rPr>
          <w:spacing w:val="-5"/>
          <w:sz w:val="18"/>
        </w:rPr>
        <w:t>47</w:t>
      </w:r>
    </w:p>
    <w:p>
      <w:pPr>
        <w:pStyle w:val="ListParagraph"/>
        <w:numPr>
          <w:ilvl w:val="0"/>
          <w:numId w:val="15"/>
        </w:numPr>
        <w:tabs>
          <w:tab w:pos="1853" w:val="left" w:leader="none"/>
        </w:tabs>
        <w:spacing w:line="216" w:lineRule="exact" w:before="0" w:after="0"/>
        <w:ind w:left="1853" w:right="0" w:hanging="720"/>
        <w:jc w:val="left"/>
        <w:rPr>
          <w:sz w:val="18"/>
        </w:rPr>
      </w:pPr>
      <w:r>
        <w:rPr>
          <w:sz w:val="18"/>
        </w:rPr>
        <w:t>Ibid,</w:t>
      </w:r>
      <w:r>
        <w:rPr>
          <w:spacing w:val="-1"/>
          <w:sz w:val="18"/>
        </w:rPr>
        <w:t> </w:t>
      </w:r>
      <w:r>
        <w:rPr>
          <w:sz w:val="18"/>
        </w:rPr>
        <w:t>at</w:t>
      </w:r>
      <w:r>
        <w:rPr>
          <w:spacing w:val="-1"/>
          <w:sz w:val="18"/>
        </w:rPr>
        <w:t> </w:t>
      </w:r>
      <w:r>
        <w:rPr>
          <w:spacing w:val="-5"/>
          <w:sz w:val="18"/>
        </w:rPr>
        <w:t>86.</w:t>
      </w:r>
    </w:p>
    <w:p>
      <w:pPr>
        <w:pStyle w:val="ListParagraph"/>
        <w:numPr>
          <w:ilvl w:val="0"/>
          <w:numId w:val="15"/>
        </w:numPr>
        <w:tabs>
          <w:tab w:pos="1853" w:val="left" w:leader="none"/>
        </w:tabs>
        <w:spacing w:line="216" w:lineRule="exact" w:before="0" w:after="0"/>
        <w:ind w:left="1853" w:right="0" w:hanging="720"/>
        <w:jc w:val="left"/>
        <w:rPr>
          <w:sz w:val="18"/>
        </w:rPr>
      </w:pPr>
      <w:r>
        <w:rPr>
          <w:sz w:val="18"/>
        </w:rPr>
        <w:t>Ibid,</w:t>
      </w:r>
      <w:r>
        <w:rPr>
          <w:spacing w:val="-1"/>
          <w:sz w:val="18"/>
        </w:rPr>
        <w:t> </w:t>
      </w:r>
      <w:r>
        <w:rPr>
          <w:sz w:val="18"/>
        </w:rPr>
        <w:t>at</w:t>
      </w:r>
      <w:r>
        <w:rPr>
          <w:spacing w:val="-1"/>
          <w:sz w:val="18"/>
        </w:rPr>
        <w:t> </w:t>
      </w:r>
      <w:r>
        <w:rPr>
          <w:spacing w:val="-5"/>
          <w:sz w:val="18"/>
        </w:rPr>
        <w:t>88.</w:t>
      </w:r>
    </w:p>
    <w:p>
      <w:pPr>
        <w:pStyle w:val="ListParagraph"/>
        <w:numPr>
          <w:ilvl w:val="0"/>
          <w:numId w:val="15"/>
        </w:numPr>
        <w:tabs>
          <w:tab w:pos="1853" w:val="left" w:leader="none"/>
        </w:tabs>
        <w:spacing w:line="216" w:lineRule="exact" w:before="0" w:after="0"/>
        <w:ind w:left="1853" w:right="0" w:hanging="720"/>
        <w:jc w:val="left"/>
        <w:rPr>
          <w:sz w:val="18"/>
        </w:rPr>
      </w:pPr>
      <w:r>
        <w:rPr>
          <w:sz w:val="18"/>
        </w:rPr>
        <w:t>Pivotal,</w:t>
      </w:r>
      <w:r>
        <w:rPr>
          <w:spacing w:val="-5"/>
          <w:sz w:val="18"/>
        </w:rPr>
        <w:t> </w:t>
      </w:r>
      <w:r>
        <w:rPr>
          <w:sz w:val="18"/>
        </w:rPr>
        <w:t>‘Impact</w:t>
      </w:r>
      <w:r>
        <w:rPr>
          <w:spacing w:val="-3"/>
          <w:sz w:val="18"/>
        </w:rPr>
        <w:t> </w:t>
      </w:r>
      <w:r>
        <w:rPr>
          <w:sz w:val="18"/>
        </w:rPr>
        <w:t>of</w:t>
      </w:r>
      <w:r>
        <w:rPr>
          <w:spacing w:val="-4"/>
          <w:sz w:val="18"/>
        </w:rPr>
        <w:t> </w:t>
      </w:r>
      <w:r>
        <w:rPr>
          <w:sz w:val="18"/>
        </w:rPr>
        <w:t>Brexit</w:t>
      </w:r>
      <w:r>
        <w:rPr>
          <w:spacing w:val="-3"/>
          <w:sz w:val="18"/>
        </w:rPr>
        <w:t> </w:t>
      </w:r>
      <w:r>
        <w:rPr>
          <w:sz w:val="18"/>
        </w:rPr>
        <w:t>on</w:t>
      </w:r>
      <w:r>
        <w:rPr>
          <w:spacing w:val="-3"/>
          <w:sz w:val="18"/>
        </w:rPr>
        <w:t> </w:t>
      </w:r>
      <w:r>
        <w:rPr>
          <w:sz w:val="18"/>
        </w:rPr>
        <w:t>Minority</w:t>
      </w:r>
      <w:r>
        <w:rPr>
          <w:spacing w:val="-3"/>
          <w:sz w:val="18"/>
        </w:rPr>
        <w:t> </w:t>
      </w:r>
      <w:r>
        <w:rPr>
          <w:sz w:val="18"/>
        </w:rPr>
        <w:t>Ethnic</w:t>
      </w:r>
      <w:r>
        <w:rPr>
          <w:spacing w:val="-3"/>
          <w:sz w:val="18"/>
        </w:rPr>
        <w:t> </w:t>
      </w:r>
      <w:r>
        <w:rPr>
          <w:sz w:val="18"/>
        </w:rPr>
        <w:t>and</w:t>
      </w:r>
      <w:r>
        <w:rPr>
          <w:spacing w:val="-3"/>
          <w:sz w:val="18"/>
        </w:rPr>
        <w:t> </w:t>
      </w:r>
      <w:r>
        <w:rPr>
          <w:sz w:val="18"/>
        </w:rPr>
        <w:t>Migrant</w:t>
      </w:r>
      <w:r>
        <w:rPr>
          <w:spacing w:val="-3"/>
          <w:sz w:val="18"/>
        </w:rPr>
        <w:t> </w:t>
      </w:r>
      <w:r>
        <w:rPr>
          <w:sz w:val="18"/>
        </w:rPr>
        <w:t>People</w:t>
      </w:r>
      <w:r>
        <w:rPr>
          <w:spacing w:val="-3"/>
          <w:sz w:val="18"/>
        </w:rPr>
        <w:t> </w:t>
      </w:r>
      <w:r>
        <w:rPr>
          <w:sz w:val="18"/>
        </w:rPr>
        <w:t>in</w:t>
      </w:r>
      <w:r>
        <w:rPr>
          <w:spacing w:val="-4"/>
          <w:sz w:val="18"/>
        </w:rPr>
        <w:t> </w:t>
      </w:r>
      <w:r>
        <w:rPr>
          <w:sz w:val="18"/>
        </w:rPr>
        <w:t>Northern</w:t>
      </w:r>
      <w:r>
        <w:rPr>
          <w:spacing w:val="-3"/>
          <w:sz w:val="18"/>
        </w:rPr>
        <w:t> </w:t>
      </w:r>
      <w:r>
        <w:rPr>
          <w:sz w:val="18"/>
        </w:rPr>
        <w:t>Ireland’</w:t>
      </w:r>
      <w:r>
        <w:rPr>
          <w:spacing w:val="-3"/>
          <w:sz w:val="18"/>
        </w:rPr>
        <w:t> </w:t>
      </w:r>
      <w:r>
        <w:rPr>
          <w:sz w:val="18"/>
        </w:rPr>
        <w:t>(ECNI,</w:t>
      </w:r>
      <w:r>
        <w:rPr>
          <w:spacing w:val="-3"/>
          <w:sz w:val="18"/>
        </w:rPr>
        <w:t> </w:t>
      </w:r>
      <w:r>
        <w:rPr>
          <w:sz w:val="18"/>
        </w:rPr>
        <w:t>2023),</w:t>
      </w:r>
      <w:r>
        <w:rPr>
          <w:spacing w:val="-3"/>
          <w:sz w:val="18"/>
        </w:rPr>
        <w:t> </w:t>
      </w:r>
      <w:r>
        <w:rPr>
          <w:sz w:val="18"/>
        </w:rPr>
        <w:t>at</w:t>
      </w:r>
      <w:r>
        <w:rPr>
          <w:spacing w:val="-2"/>
          <w:sz w:val="18"/>
        </w:rPr>
        <w:t> </w:t>
      </w:r>
      <w:r>
        <w:rPr>
          <w:spacing w:val="-4"/>
          <w:sz w:val="18"/>
        </w:rPr>
        <w:t>105.</w:t>
      </w:r>
    </w:p>
    <w:p>
      <w:pPr>
        <w:pStyle w:val="ListParagraph"/>
        <w:numPr>
          <w:ilvl w:val="0"/>
          <w:numId w:val="15"/>
        </w:numPr>
        <w:tabs>
          <w:tab w:pos="1853" w:val="left" w:leader="none"/>
        </w:tabs>
        <w:spacing w:line="235" w:lineRule="auto" w:before="2" w:after="0"/>
        <w:ind w:left="1853" w:right="1264" w:hanging="720"/>
        <w:jc w:val="both"/>
        <w:rPr>
          <w:sz w:val="18"/>
        </w:rPr>
      </w:pPr>
      <w:r>
        <w:rPr>
          <w:sz w:val="18"/>
        </w:rPr>
        <w:t>Specifically,</w:t>
      </w:r>
      <w:r>
        <w:rPr>
          <w:spacing w:val="-4"/>
          <w:sz w:val="18"/>
        </w:rPr>
        <w:t> </w:t>
      </w:r>
      <w:r>
        <w:rPr>
          <w:sz w:val="18"/>
        </w:rPr>
        <w:t>the</w:t>
      </w:r>
      <w:r>
        <w:rPr>
          <w:spacing w:val="-4"/>
          <w:sz w:val="18"/>
        </w:rPr>
        <w:t> </w:t>
      </w:r>
      <w:r>
        <w:rPr>
          <w:sz w:val="18"/>
        </w:rPr>
        <w:t>Commission</w:t>
      </w:r>
      <w:r>
        <w:rPr>
          <w:spacing w:val="-5"/>
          <w:sz w:val="18"/>
        </w:rPr>
        <w:t> </w:t>
      </w:r>
      <w:r>
        <w:rPr>
          <w:sz w:val="18"/>
        </w:rPr>
        <w:t>was</w:t>
      </w:r>
      <w:r>
        <w:rPr>
          <w:spacing w:val="-5"/>
          <w:sz w:val="18"/>
        </w:rPr>
        <w:t> </w:t>
      </w:r>
      <w:r>
        <w:rPr>
          <w:sz w:val="18"/>
        </w:rPr>
        <w:t>made</w:t>
      </w:r>
      <w:r>
        <w:rPr>
          <w:spacing w:val="-4"/>
          <w:sz w:val="18"/>
        </w:rPr>
        <w:t> </w:t>
      </w:r>
      <w:r>
        <w:rPr>
          <w:sz w:val="18"/>
        </w:rPr>
        <w:t>aware</w:t>
      </w:r>
      <w:r>
        <w:rPr>
          <w:spacing w:val="-4"/>
          <w:sz w:val="18"/>
        </w:rPr>
        <w:t> </w:t>
      </w:r>
      <w:r>
        <w:rPr>
          <w:sz w:val="18"/>
        </w:rPr>
        <w:t>of</w:t>
      </w:r>
      <w:r>
        <w:rPr>
          <w:spacing w:val="-5"/>
          <w:sz w:val="18"/>
        </w:rPr>
        <w:t> </w:t>
      </w:r>
      <w:r>
        <w:rPr>
          <w:sz w:val="18"/>
        </w:rPr>
        <w:t>a</w:t>
      </w:r>
      <w:r>
        <w:rPr>
          <w:spacing w:val="-5"/>
          <w:sz w:val="18"/>
        </w:rPr>
        <w:t> </w:t>
      </w:r>
      <w:r>
        <w:rPr>
          <w:sz w:val="18"/>
        </w:rPr>
        <w:t>low</w:t>
      </w:r>
      <w:r>
        <w:rPr>
          <w:spacing w:val="-4"/>
          <w:sz w:val="18"/>
        </w:rPr>
        <w:t> </w:t>
      </w:r>
      <w:r>
        <w:rPr>
          <w:sz w:val="18"/>
        </w:rPr>
        <w:t>level</w:t>
      </w:r>
      <w:r>
        <w:rPr>
          <w:spacing w:val="-5"/>
          <w:sz w:val="18"/>
        </w:rPr>
        <w:t> </w:t>
      </w:r>
      <w:r>
        <w:rPr>
          <w:sz w:val="18"/>
        </w:rPr>
        <w:t>of</w:t>
      </w:r>
      <w:r>
        <w:rPr>
          <w:spacing w:val="-5"/>
          <w:sz w:val="18"/>
        </w:rPr>
        <w:t> </w:t>
      </w:r>
      <w:r>
        <w:rPr>
          <w:sz w:val="18"/>
        </w:rPr>
        <w:t>awareness</w:t>
      </w:r>
      <w:r>
        <w:rPr>
          <w:spacing w:val="-5"/>
          <w:sz w:val="18"/>
        </w:rPr>
        <w:t> </w:t>
      </w:r>
      <w:r>
        <w:rPr>
          <w:sz w:val="18"/>
        </w:rPr>
        <w:t>within</w:t>
      </w:r>
      <w:r>
        <w:rPr>
          <w:spacing w:val="-5"/>
          <w:sz w:val="18"/>
        </w:rPr>
        <w:t> </w:t>
      </w:r>
      <w:r>
        <w:rPr>
          <w:sz w:val="18"/>
        </w:rPr>
        <w:t>the</w:t>
      </w:r>
      <w:r>
        <w:rPr>
          <w:spacing w:val="-4"/>
          <w:sz w:val="18"/>
        </w:rPr>
        <w:t> </w:t>
      </w:r>
      <w:r>
        <w:rPr>
          <w:sz w:val="18"/>
        </w:rPr>
        <w:t>private</w:t>
      </w:r>
      <w:r>
        <w:rPr>
          <w:spacing w:val="-4"/>
          <w:sz w:val="18"/>
        </w:rPr>
        <w:t> </w:t>
      </w:r>
      <w:r>
        <w:rPr>
          <w:sz w:val="18"/>
        </w:rPr>
        <w:t>health</w:t>
      </w:r>
      <w:r>
        <w:rPr>
          <w:spacing w:val="-5"/>
          <w:sz w:val="18"/>
        </w:rPr>
        <w:t> </w:t>
      </w:r>
      <w:r>
        <w:rPr>
          <w:sz w:val="18"/>
        </w:rPr>
        <w:t>and</w:t>
      </w:r>
      <w:r>
        <w:rPr>
          <w:spacing w:val="-5"/>
          <w:sz w:val="18"/>
        </w:rPr>
        <w:t> </w:t>
      </w:r>
      <w:r>
        <w:rPr>
          <w:sz w:val="18"/>
        </w:rPr>
        <w:t>social</w:t>
      </w:r>
      <w:r>
        <w:rPr>
          <w:spacing w:val="-5"/>
          <w:sz w:val="18"/>
        </w:rPr>
        <w:t> </w:t>
      </w:r>
      <w:r>
        <w:rPr>
          <w:sz w:val="18"/>
        </w:rPr>
        <w:t>care</w:t>
      </w:r>
      <w:r>
        <w:rPr>
          <w:spacing w:val="-4"/>
          <w:sz w:val="18"/>
        </w:rPr>
        <w:t> </w:t>
      </w:r>
      <w:r>
        <w:rPr>
          <w:sz w:val="18"/>
        </w:rPr>
        <w:t>sector of</w:t>
      </w:r>
      <w:r>
        <w:rPr>
          <w:spacing w:val="-2"/>
          <w:sz w:val="18"/>
        </w:rPr>
        <w:t> </w:t>
      </w:r>
      <w:r>
        <w:rPr>
          <w:sz w:val="18"/>
        </w:rPr>
        <w:t>the</w:t>
      </w:r>
      <w:r>
        <w:rPr>
          <w:spacing w:val="-1"/>
          <w:sz w:val="18"/>
        </w:rPr>
        <w:t> </w:t>
      </w:r>
      <w:r>
        <w:rPr>
          <w:sz w:val="18"/>
        </w:rPr>
        <w:t>Department</w:t>
      </w:r>
      <w:r>
        <w:rPr>
          <w:spacing w:val="-1"/>
          <w:sz w:val="18"/>
        </w:rPr>
        <w:t> </w:t>
      </w:r>
      <w:r>
        <w:rPr>
          <w:sz w:val="18"/>
        </w:rPr>
        <w:t>of</w:t>
      </w:r>
      <w:r>
        <w:rPr>
          <w:spacing w:val="-2"/>
          <w:sz w:val="18"/>
        </w:rPr>
        <w:t> </w:t>
      </w:r>
      <w:r>
        <w:rPr>
          <w:sz w:val="18"/>
        </w:rPr>
        <w:t>Health</w:t>
      </w:r>
      <w:r>
        <w:rPr>
          <w:spacing w:val="-2"/>
          <w:sz w:val="18"/>
        </w:rPr>
        <w:t> </w:t>
      </w:r>
      <w:r>
        <w:rPr>
          <w:sz w:val="18"/>
        </w:rPr>
        <w:t>Code</w:t>
      </w:r>
      <w:r>
        <w:rPr>
          <w:spacing w:val="-1"/>
          <w:sz w:val="18"/>
        </w:rPr>
        <w:t> </w:t>
      </w:r>
      <w:r>
        <w:rPr>
          <w:sz w:val="18"/>
        </w:rPr>
        <w:t>of</w:t>
      </w:r>
      <w:r>
        <w:rPr>
          <w:spacing w:val="-2"/>
          <w:sz w:val="18"/>
        </w:rPr>
        <w:t> </w:t>
      </w:r>
      <w:r>
        <w:rPr>
          <w:sz w:val="18"/>
        </w:rPr>
        <w:t>Practice</w:t>
      </w:r>
      <w:r>
        <w:rPr>
          <w:spacing w:val="-1"/>
          <w:sz w:val="18"/>
        </w:rPr>
        <w:t> </w:t>
      </w:r>
      <w:r>
        <w:rPr>
          <w:sz w:val="18"/>
        </w:rPr>
        <w:t>for</w:t>
      </w:r>
      <w:r>
        <w:rPr>
          <w:spacing w:val="-1"/>
          <w:sz w:val="18"/>
        </w:rPr>
        <w:t> </w:t>
      </w:r>
      <w:r>
        <w:rPr>
          <w:sz w:val="18"/>
        </w:rPr>
        <w:t>the</w:t>
      </w:r>
      <w:r>
        <w:rPr>
          <w:spacing w:val="-1"/>
          <w:sz w:val="18"/>
        </w:rPr>
        <w:t> </w:t>
      </w:r>
      <w:r>
        <w:rPr>
          <w:sz w:val="18"/>
        </w:rPr>
        <w:t>International</w:t>
      </w:r>
      <w:r>
        <w:rPr>
          <w:spacing w:val="-2"/>
          <w:sz w:val="18"/>
        </w:rPr>
        <w:t> </w:t>
      </w:r>
      <w:r>
        <w:rPr>
          <w:sz w:val="18"/>
        </w:rPr>
        <w:t>Recruitment</w:t>
      </w:r>
      <w:r>
        <w:rPr>
          <w:spacing w:val="-1"/>
          <w:sz w:val="18"/>
        </w:rPr>
        <w:t> </w:t>
      </w:r>
      <w:r>
        <w:rPr>
          <w:sz w:val="18"/>
        </w:rPr>
        <w:t>of</w:t>
      </w:r>
      <w:r>
        <w:rPr>
          <w:spacing w:val="-2"/>
          <w:sz w:val="18"/>
        </w:rPr>
        <w:t> </w:t>
      </w:r>
      <w:r>
        <w:rPr>
          <w:sz w:val="18"/>
        </w:rPr>
        <w:t>Health</w:t>
      </w:r>
      <w:r>
        <w:rPr>
          <w:spacing w:val="-2"/>
          <w:sz w:val="18"/>
        </w:rPr>
        <w:t> </w:t>
      </w:r>
      <w:r>
        <w:rPr>
          <w:sz w:val="18"/>
        </w:rPr>
        <w:t>and</w:t>
      </w:r>
      <w:r>
        <w:rPr>
          <w:spacing w:val="-2"/>
          <w:sz w:val="18"/>
        </w:rPr>
        <w:t> </w:t>
      </w:r>
      <w:r>
        <w:rPr>
          <w:sz w:val="18"/>
        </w:rPr>
        <w:t>Social</w:t>
      </w:r>
      <w:r>
        <w:rPr>
          <w:spacing w:val="-2"/>
          <w:sz w:val="18"/>
        </w:rPr>
        <w:t> </w:t>
      </w:r>
      <w:r>
        <w:rPr>
          <w:sz w:val="18"/>
        </w:rPr>
        <w:t>Care</w:t>
      </w:r>
      <w:r>
        <w:rPr>
          <w:spacing w:val="-1"/>
          <w:sz w:val="18"/>
        </w:rPr>
        <w:t> </w:t>
      </w:r>
      <w:r>
        <w:rPr>
          <w:sz w:val="18"/>
        </w:rPr>
        <w:t>Personnel</w:t>
      </w:r>
      <w:r>
        <w:rPr>
          <w:spacing w:val="-2"/>
          <w:sz w:val="18"/>
        </w:rPr>
        <w:t> </w:t>
      </w:r>
      <w:r>
        <w:rPr>
          <w:sz w:val="18"/>
        </w:rPr>
        <w:t>as</w:t>
      </w:r>
      <w:r>
        <w:rPr>
          <w:spacing w:val="-2"/>
          <w:sz w:val="18"/>
        </w:rPr>
        <w:t> </w:t>
      </w:r>
      <w:r>
        <w:rPr>
          <w:sz w:val="18"/>
        </w:rPr>
        <w:t>it pertains to repayment clauses.</w:t>
      </w:r>
    </w:p>
    <w:p>
      <w:pPr>
        <w:pStyle w:val="ListParagraph"/>
        <w:numPr>
          <w:ilvl w:val="0"/>
          <w:numId w:val="15"/>
        </w:numPr>
        <w:tabs>
          <w:tab w:pos="1853" w:val="left" w:leader="none"/>
        </w:tabs>
        <w:spacing w:line="218" w:lineRule="exact" w:before="0" w:after="0"/>
        <w:ind w:left="1853" w:right="0" w:hanging="720"/>
        <w:jc w:val="both"/>
        <w:rPr>
          <w:sz w:val="18"/>
        </w:rPr>
      </w:pPr>
      <w:r>
        <w:rPr>
          <w:sz w:val="18"/>
        </w:rPr>
        <w:t>Pivotal,</w:t>
      </w:r>
      <w:r>
        <w:rPr>
          <w:spacing w:val="-5"/>
          <w:sz w:val="18"/>
        </w:rPr>
        <w:t> </w:t>
      </w:r>
      <w:r>
        <w:rPr>
          <w:sz w:val="18"/>
        </w:rPr>
        <w:t>‘Impact</w:t>
      </w:r>
      <w:r>
        <w:rPr>
          <w:spacing w:val="-3"/>
          <w:sz w:val="18"/>
        </w:rPr>
        <w:t> </w:t>
      </w:r>
      <w:r>
        <w:rPr>
          <w:sz w:val="18"/>
        </w:rPr>
        <w:t>of</w:t>
      </w:r>
      <w:r>
        <w:rPr>
          <w:spacing w:val="-4"/>
          <w:sz w:val="18"/>
        </w:rPr>
        <w:t> </w:t>
      </w:r>
      <w:r>
        <w:rPr>
          <w:sz w:val="18"/>
        </w:rPr>
        <w:t>Brexit</w:t>
      </w:r>
      <w:r>
        <w:rPr>
          <w:spacing w:val="-3"/>
          <w:sz w:val="18"/>
        </w:rPr>
        <w:t> </w:t>
      </w:r>
      <w:r>
        <w:rPr>
          <w:sz w:val="18"/>
        </w:rPr>
        <w:t>on</w:t>
      </w:r>
      <w:r>
        <w:rPr>
          <w:spacing w:val="-3"/>
          <w:sz w:val="18"/>
        </w:rPr>
        <w:t> </w:t>
      </w:r>
      <w:r>
        <w:rPr>
          <w:sz w:val="18"/>
        </w:rPr>
        <w:t>Minority</w:t>
      </w:r>
      <w:r>
        <w:rPr>
          <w:spacing w:val="-3"/>
          <w:sz w:val="18"/>
        </w:rPr>
        <w:t> </w:t>
      </w:r>
      <w:r>
        <w:rPr>
          <w:sz w:val="18"/>
        </w:rPr>
        <w:t>Ethnic</w:t>
      </w:r>
      <w:r>
        <w:rPr>
          <w:spacing w:val="-3"/>
          <w:sz w:val="18"/>
        </w:rPr>
        <w:t> </w:t>
      </w:r>
      <w:r>
        <w:rPr>
          <w:sz w:val="18"/>
        </w:rPr>
        <w:t>and</w:t>
      </w:r>
      <w:r>
        <w:rPr>
          <w:spacing w:val="-3"/>
          <w:sz w:val="18"/>
        </w:rPr>
        <w:t> </w:t>
      </w:r>
      <w:r>
        <w:rPr>
          <w:sz w:val="18"/>
        </w:rPr>
        <w:t>Migrant</w:t>
      </w:r>
      <w:r>
        <w:rPr>
          <w:spacing w:val="-3"/>
          <w:sz w:val="18"/>
        </w:rPr>
        <w:t> </w:t>
      </w:r>
      <w:r>
        <w:rPr>
          <w:sz w:val="18"/>
        </w:rPr>
        <w:t>People</w:t>
      </w:r>
      <w:r>
        <w:rPr>
          <w:spacing w:val="-3"/>
          <w:sz w:val="18"/>
        </w:rPr>
        <w:t> </w:t>
      </w:r>
      <w:r>
        <w:rPr>
          <w:sz w:val="18"/>
        </w:rPr>
        <w:t>in</w:t>
      </w:r>
      <w:r>
        <w:rPr>
          <w:spacing w:val="-4"/>
          <w:sz w:val="18"/>
        </w:rPr>
        <w:t> </w:t>
      </w:r>
      <w:r>
        <w:rPr>
          <w:sz w:val="18"/>
        </w:rPr>
        <w:t>Northern</w:t>
      </w:r>
      <w:r>
        <w:rPr>
          <w:spacing w:val="-3"/>
          <w:sz w:val="18"/>
        </w:rPr>
        <w:t> </w:t>
      </w:r>
      <w:r>
        <w:rPr>
          <w:sz w:val="18"/>
        </w:rPr>
        <w:t>Ireland’</w:t>
      </w:r>
      <w:r>
        <w:rPr>
          <w:spacing w:val="-3"/>
          <w:sz w:val="18"/>
        </w:rPr>
        <w:t> </w:t>
      </w:r>
      <w:r>
        <w:rPr>
          <w:sz w:val="18"/>
        </w:rPr>
        <w:t>(ECNI,</w:t>
      </w:r>
      <w:r>
        <w:rPr>
          <w:spacing w:val="-3"/>
          <w:sz w:val="18"/>
        </w:rPr>
        <w:t> </w:t>
      </w:r>
      <w:r>
        <w:rPr>
          <w:sz w:val="18"/>
        </w:rPr>
        <w:t>2023),</w:t>
      </w:r>
      <w:r>
        <w:rPr>
          <w:spacing w:val="-3"/>
          <w:sz w:val="18"/>
        </w:rPr>
        <w:t> </w:t>
      </w:r>
      <w:r>
        <w:rPr>
          <w:sz w:val="18"/>
        </w:rPr>
        <w:t>at</w:t>
      </w:r>
      <w:r>
        <w:rPr>
          <w:spacing w:val="-2"/>
          <w:sz w:val="18"/>
        </w:rPr>
        <w:t> </w:t>
      </w:r>
      <w:r>
        <w:rPr>
          <w:spacing w:val="-4"/>
          <w:sz w:val="18"/>
        </w:rPr>
        <w:t>105.</w:t>
      </w:r>
    </w:p>
    <w:p>
      <w:pPr>
        <w:spacing w:after="0" w:line="218" w:lineRule="exact"/>
        <w:jc w:val="both"/>
        <w:rPr>
          <w:sz w:val="18"/>
        </w:rPr>
        <w:sectPr>
          <w:pgSz w:w="11910" w:h="16840"/>
          <w:pgMar w:header="496" w:footer="367" w:top="1220" w:bottom="560" w:left="0" w:right="0"/>
        </w:sectPr>
      </w:pPr>
    </w:p>
    <w:p>
      <w:pPr>
        <w:pStyle w:val="BodyText"/>
        <w:spacing w:before="181"/>
      </w:pPr>
    </w:p>
    <w:p>
      <w:pPr>
        <w:pStyle w:val="ListParagraph"/>
        <w:numPr>
          <w:ilvl w:val="1"/>
          <w:numId w:val="13"/>
        </w:numPr>
        <w:tabs>
          <w:tab w:pos="1853" w:val="left" w:leader="none"/>
        </w:tabs>
        <w:spacing w:line="225" w:lineRule="auto" w:before="0" w:after="0"/>
        <w:ind w:left="1853" w:right="1268" w:hanging="657"/>
        <w:jc w:val="left"/>
        <w:rPr>
          <w:sz w:val="28"/>
        </w:rPr>
      </w:pPr>
      <w:r>
        <w:rPr>
          <w:sz w:val="28"/>
        </w:rPr>
        <w:t>The</w:t>
      </w:r>
      <w:r>
        <w:rPr>
          <w:spacing w:val="-8"/>
          <w:sz w:val="28"/>
        </w:rPr>
        <w:t> </w:t>
      </w:r>
      <w:r>
        <w:rPr>
          <w:sz w:val="28"/>
        </w:rPr>
        <w:t>research</w:t>
      </w:r>
      <w:r>
        <w:rPr>
          <w:spacing w:val="-9"/>
          <w:sz w:val="28"/>
        </w:rPr>
        <w:t> </w:t>
      </w:r>
      <w:r>
        <w:rPr>
          <w:sz w:val="28"/>
        </w:rPr>
        <w:t>also</w:t>
      </w:r>
      <w:r>
        <w:rPr>
          <w:spacing w:val="-9"/>
          <w:sz w:val="28"/>
        </w:rPr>
        <w:t> </w:t>
      </w:r>
      <w:r>
        <w:rPr>
          <w:sz w:val="28"/>
        </w:rPr>
        <w:t>notes</w:t>
      </w:r>
      <w:r>
        <w:rPr>
          <w:spacing w:val="-9"/>
          <w:sz w:val="28"/>
        </w:rPr>
        <w:t> </w:t>
      </w:r>
      <w:r>
        <w:rPr>
          <w:sz w:val="28"/>
        </w:rPr>
        <w:t>that</w:t>
      </w:r>
      <w:r>
        <w:rPr>
          <w:spacing w:val="-8"/>
          <w:sz w:val="28"/>
        </w:rPr>
        <w:t> </w:t>
      </w:r>
      <w:r>
        <w:rPr>
          <w:sz w:val="28"/>
        </w:rPr>
        <w:t>new</w:t>
      </w:r>
      <w:r>
        <w:rPr>
          <w:spacing w:val="-8"/>
          <w:sz w:val="28"/>
        </w:rPr>
        <w:t> </w:t>
      </w:r>
      <w:r>
        <w:rPr>
          <w:sz w:val="28"/>
        </w:rPr>
        <w:t>national</w:t>
      </w:r>
      <w:r>
        <w:rPr>
          <w:spacing w:val="-9"/>
          <w:sz w:val="28"/>
        </w:rPr>
        <w:t> </w:t>
      </w:r>
      <w:r>
        <w:rPr>
          <w:sz w:val="28"/>
        </w:rPr>
        <w:t>insurance</w:t>
      </w:r>
      <w:r>
        <w:rPr>
          <w:spacing w:val="-8"/>
          <w:sz w:val="28"/>
        </w:rPr>
        <w:t> </w:t>
      </w:r>
      <w:r>
        <w:rPr>
          <w:sz w:val="28"/>
        </w:rPr>
        <w:t>registrations</w:t>
      </w:r>
      <w:r>
        <w:rPr>
          <w:spacing w:val="-9"/>
          <w:sz w:val="28"/>
        </w:rPr>
        <w:t> </w:t>
      </w:r>
      <w:r>
        <w:rPr>
          <w:sz w:val="28"/>
        </w:rPr>
        <w:t>by</w:t>
      </w:r>
      <w:r>
        <w:rPr>
          <w:spacing w:val="-8"/>
          <w:sz w:val="28"/>
        </w:rPr>
        <w:t> </w:t>
      </w:r>
      <w:r>
        <w:rPr>
          <w:sz w:val="28"/>
        </w:rPr>
        <w:t>overseas EU nationals have fallen sharply since 2017, suggesting that Brexit has had</w:t>
      </w:r>
    </w:p>
    <w:p>
      <w:pPr>
        <w:pStyle w:val="BodyText"/>
        <w:spacing w:line="225" w:lineRule="auto"/>
        <w:ind w:left="1853" w:right="1235"/>
      </w:pPr>
      <w:r>
        <w:rPr/>
        <w:t>an impact on the attractiveness of NI for EU migration.</w:t>
      </w:r>
      <w:r>
        <w:rPr>
          <w:vertAlign w:val="superscript"/>
        </w:rPr>
        <w:t>842</w:t>
      </w:r>
      <w:r>
        <w:rPr>
          <w:vertAlign w:val="baseline"/>
        </w:rPr>
        <w:t> Further, an analysis of</w:t>
      </w:r>
      <w:r>
        <w:rPr>
          <w:spacing w:val="-1"/>
          <w:vertAlign w:val="baseline"/>
        </w:rPr>
        <w:t> </w:t>
      </w:r>
      <w:r>
        <w:rPr>
          <w:vertAlign w:val="baseline"/>
        </w:rPr>
        <w:t>new national</w:t>
      </w:r>
      <w:r>
        <w:rPr>
          <w:spacing w:val="-1"/>
          <w:vertAlign w:val="baseline"/>
        </w:rPr>
        <w:t> </w:t>
      </w:r>
      <w:r>
        <w:rPr>
          <w:vertAlign w:val="baseline"/>
        </w:rPr>
        <w:t>insurance number registrations</w:t>
      </w:r>
      <w:r>
        <w:rPr>
          <w:vertAlign w:val="superscript"/>
        </w:rPr>
        <w:t>843</w:t>
      </w:r>
      <w:r>
        <w:rPr>
          <w:spacing w:val="-1"/>
          <w:vertAlign w:val="baseline"/>
        </w:rPr>
        <w:t> </w:t>
      </w:r>
      <w:r>
        <w:rPr>
          <w:vertAlign w:val="baseline"/>
        </w:rPr>
        <w:t>by Ulster University (2023) shows</w:t>
      </w:r>
      <w:r>
        <w:rPr>
          <w:spacing w:val="-11"/>
          <w:vertAlign w:val="baseline"/>
        </w:rPr>
        <w:t> </w:t>
      </w:r>
      <w:r>
        <w:rPr>
          <w:vertAlign w:val="baseline"/>
        </w:rPr>
        <w:t>that</w:t>
      </w:r>
      <w:r>
        <w:rPr>
          <w:spacing w:val="-11"/>
          <w:vertAlign w:val="baseline"/>
        </w:rPr>
        <w:t> </w:t>
      </w:r>
      <w:r>
        <w:rPr>
          <w:vertAlign w:val="baseline"/>
        </w:rPr>
        <w:t>NI</w:t>
      </w:r>
      <w:r>
        <w:rPr>
          <w:spacing w:val="-11"/>
          <w:vertAlign w:val="baseline"/>
        </w:rPr>
        <w:t> </w:t>
      </w:r>
      <w:r>
        <w:rPr>
          <w:vertAlign w:val="baseline"/>
        </w:rPr>
        <w:t>migration</w:t>
      </w:r>
      <w:r>
        <w:rPr>
          <w:spacing w:val="-11"/>
          <w:vertAlign w:val="baseline"/>
        </w:rPr>
        <w:t> </w:t>
      </w:r>
      <w:r>
        <w:rPr>
          <w:vertAlign w:val="baseline"/>
        </w:rPr>
        <w:t>patterns</w:t>
      </w:r>
      <w:r>
        <w:rPr>
          <w:spacing w:val="-11"/>
          <w:vertAlign w:val="baseline"/>
        </w:rPr>
        <w:t> </w:t>
      </w:r>
      <w:r>
        <w:rPr>
          <w:vertAlign w:val="baseline"/>
        </w:rPr>
        <w:t>post-Brexit</w:t>
      </w:r>
      <w:r>
        <w:rPr>
          <w:spacing w:val="-11"/>
          <w:vertAlign w:val="baseline"/>
        </w:rPr>
        <w:t> </w:t>
      </w:r>
      <w:r>
        <w:rPr>
          <w:vertAlign w:val="baseline"/>
        </w:rPr>
        <w:t>have</w:t>
      </w:r>
      <w:r>
        <w:rPr>
          <w:spacing w:val="-11"/>
          <w:vertAlign w:val="baseline"/>
        </w:rPr>
        <w:t> </w:t>
      </w:r>
      <w:r>
        <w:rPr>
          <w:vertAlign w:val="baseline"/>
        </w:rPr>
        <w:t>shifted</w:t>
      </w:r>
      <w:r>
        <w:rPr>
          <w:spacing w:val="-11"/>
          <w:vertAlign w:val="baseline"/>
        </w:rPr>
        <w:t> </w:t>
      </w:r>
      <w:r>
        <w:rPr>
          <w:vertAlign w:val="baseline"/>
        </w:rPr>
        <w:t>from</w:t>
      </w:r>
      <w:r>
        <w:rPr>
          <w:spacing w:val="-11"/>
          <w:vertAlign w:val="baseline"/>
        </w:rPr>
        <w:t> </w:t>
      </w:r>
      <w:r>
        <w:rPr>
          <w:vertAlign w:val="baseline"/>
        </w:rPr>
        <w:t>EU</w:t>
      </w:r>
      <w:r>
        <w:rPr>
          <w:spacing w:val="-11"/>
          <w:vertAlign w:val="baseline"/>
        </w:rPr>
        <w:t> </w:t>
      </w:r>
      <w:r>
        <w:rPr>
          <w:vertAlign w:val="baseline"/>
        </w:rPr>
        <w:t>migrants</w:t>
      </w:r>
      <w:r>
        <w:rPr>
          <w:spacing w:val="-11"/>
          <w:vertAlign w:val="baseline"/>
        </w:rPr>
        <w:t> </w:t>
      </w:r>
      <w:r>
        <w:rPr>
          <w:vertAlign w:val="baseline"/>
        </w:rPr>
        <w:t>to non-EU migrants.</w:t>
      </w:r>
      <w:r>
        <w:rPr>
          <w:vertAlign w:val="superscript"/>
        </w:rPr>
        <w:t>844</w:t>
      </w:r>
    </w:p>
    <w:p>
      <w:pPr>
        <w:pStyle w:val="ListParagraph"/>
        <w:numPr>
          <w:ilvl w:val="1"/>
          <w:numId w:val="13"/>
        </w:numPr>
        <w:tabs>
          <w:tab w:pos="1853" w:val="left" w:leader="none"/>
        </w:tabs>
        <w:spacing w:line="225" w:lineRule="auto" w:before="313" w:after="0"/>
        <w:ind w:left="1853" w:right="1609" w:hanging="720"/>
        <w:jc w:val="left"/>
        <w:rPr>
          <w:sz w:val="28"/>
        </w:rPr>
      </w:pPr>
      <w:r>
        <w:rPr>
          <w:sz w:val="28"/>
        </w:rPr>
        <w:t>Without further research it is not clear how much of the recent fall in EU migrants</w:t>
      </w:r>
      <w:r>
        <w:rPr>
          <w:spacing w:val="-5"/>
          <w:sz w:val="28"/>
        </w:rPr>
        <w:t> </w:t>
      </w:r>
      <w:r>
        <w:rPr>
          <w:sz w:val="28"/>
        </w:rPr>
        <w:t>arriving</w:t>
      </w:r>
      <w:r>
        <w:rPr>
          <w:spacing w:val="-4"/>
          <w:sz w:val="28"/>
        </w:rPr>
        <w:t> </w:t>
      </w:r>
      <w:r>
        <w:rPr>
          <w:sz w:val="28"/>
        </w:rPr>
        <w:t>in</w:t>
      </w:r>
      <w:r>
        <w:rPr>
          <w:spacing w:val="-5"/>
          <w:sz w:val="28"/>
        </w:rPr>
        <w:t> </w:t>
      </w:r>
      <w:r>
        <w:rPr>
          <w:sz w:val="28"/>
        </w:rPr>
        <w:t>NI</w:t>
      </w:r>
      <w:r>
        <w:rPr>
          <w:spacing w:val="-4"/>
          <w:sz w:val="28"/>
        </w:rPr>
        <w:t> </w:t>
      </w:r>
      <w:r>
        <w:rPr>
          <w:sz w:val="28"/>
        </w:rPr>
        <w:t>is</w:t>
      </w:r>
      <w:r>
        <w:rPr>
          <w:spacing w:val="-5"/>
          <w:sz w:val="28"/>
        </w:rPr>
        <w:t> </w:t>
      </w:r>
      <w:r>
        <w:rPr>
          <w:sz w:val="28"/>
        </w:rPr>
        <w:t>due</w:t>
      </w:r>
      <w:r>
        <w:rPr>
          <w:spacing w:val="-4"/>
          <w:sz w:val="28"/>
        </w:rPr>
        <w:t> </w:t>
      </w:r>
      <w:r>
        <w:rPr>
          <w:sz w:val="28"/>
        </w:rPr>
        <w:t>to</w:t>
      </w:r>
      <w:r>
        <w:rPr>
          <w:spacing w:val="-5"/>
          <w:sz w:val="28"/>
        </w:rPr>
        <w:t> </w:t>
      </w:r>
      <w:r>
        <w:rPr>
          <w:sz w:val="28"/>
        </w:rPr>
        <w:t>Brexit</w:t>
      </w:r>
      <w:r>
        <w:rPr>
          <w:spacing w:val="-4"/>
          <w:sz w:val="28"/>
        </w:rPr>
        <w:t> </w:t>
      </w:r>
      <w:r>
        <w:rPr>
          <w:sz w:val="28"/>
        </w:rPr>
        <w:t>or</w:t>
      </w:r>
      <w:r>
        <w:rPr>
          <w:spacing w:val="-4"/>
          <w:sz w:val="28"/>
        </w:rPr>
        <w:t> </w:t>
      </w:r>
      <w:r>
        <w:rPr>
          <w:sz w:val="28"/>
        </w:rPr>
        <w:t>to</w:t>
      </w:r>
      <w:r>
        <w:rPr>
          <w:spacing w:val="-5"/>
          <w:sz w:val="28"/>
        </w:rPr>
        <w:t> </w:t>
      </w:r>
      <w:r>
        <w:rPr>
          <w:sz w:val="28"/>
        </w:rPr>
        <w:t>other</w:t>
      </w:r>
      <w:r>
        <w:rPr>
          <w:spacing w:val="-4"/>
          <w:sz w:val="28"/>
        </w:rPr>
        <w:t> </w:t>
      </w:r>
      <w:r>
        <w:rPr>
          <w:sz w:val="28"/>
        </w:rPr>
        <w:t>factors</w:t>
      </w:r>
      <w:r>
        <w:rPr>
          <w:spacing w:val="-5"/>
          <w:sz w:val="28"/>
        </w:rPr>
        <w:t> </w:t>
      </w:r>
      <w:r>
        <w:rPr>
          <w:sz w:val="28"/>
        </w:rPr>
        <w:t>such</w:t>
      </w:r>
      <w:r>
        <w:rPr>
          <w:spacing w:val="-5"/>
          <w:sz w:val="28"/>
        </w:rPr>
        <w:t> </w:t>
      </w:r>
      <w:r>
        <w:rPr>
          <w:sz w:val="28"/>
        </w:rPr>
        <w:t>as</w:t>
      </w:r>
      <w:r>
        <w:rPr>
          <w:spacing w:val="-5"/>
          <w:sz w:val="28"/>
        </w:rPr>
        <w:t> </w:t>
      </w:r>
      <w:r>
        <w:rPr>
          <w:sz w:val="28"/>
        </w:rPr>
        <w:t>the</w:t>
      </w:r>
      <w:r>
        <w:rPr>
          <w:spacing w:val="-4"/>
          <w:sz w:val="28"/>
        </w:rPr>
        <w:t> </w:t>
      </w:r>
      <w:r>
        <w:rPr>
          <w:sz w:val="28"/>
        </w:rPr>
        <w:t>Covid </w:t>
      </w:r>
      <w:r>
        <w:rPr>
          <w:spacing w:val="-2"/>
          <w:sz w:val="28"/>
        </w:rPr>
        <w:t>pandemic.</w:t>
      </w:r>
      <w:r>
        <w:rPr>
          <w:spacing w:val="-2"/>
          <w:sz w:val="28"/>
          <w:vertAlign w:val="superscript"/>
        </w:rPr>
        <w:t>845</w:t>
      </w:r>
    </w:p>
    <w:p>
      <w:pPr>
        <w:pStyle w:val="BodyText"/>
        <w:spacing w:before="5"/>
        <w:rPr>
          <w:sz w:val="16"/>
        </w:rPr>
      </w:pPr>
      <w:r>
        <w:rPr/>
        <mc:AlternateContent>
          <mc:Choice Requires="wps">
            <w:drawing>
              <wp:anchor distT="0" distB="0" distL="0" distR="0" allowOverlap="1" layoutInCell="1" locked="0" behindDoc="1" simplePos="0" relativeHeight="487726080">
                <wp:simplePos x="0" y="0"/>
                <wp:positionH relativeFrom="page">
                  <wp:posOffset>720001</wp:posOffset>
                </wp:positionH>
                <wp:positionV relativeFrom="paragraph">
                  <wp:posOffset>142863</wp:posOffset>
                </wp:positionV>
                <wp:extent cx="6120130" cy="360045"/>
                <wp:effectExtent l="0" t="0" r="0" b="0"/>
                <wp:wrapTopAndBottom/>
                <wp:docPr id="635" name="Textbox 635"/>
                <wp:cNvGraphicFramePr>
                  <a:graphicFrameLocks/>
                </wp:cNvGraphicFramePr>
                <a:graphic>
                  <a:graphicData uri="http://schemas.microsoft.com/office/word/2010/wordprocessingShape">
                    <wps:wsp>
                      <wps:cNvPr id="635" name="Textbox 635"/>
                      <wps:cNvSpPr txBox="1"/>
                      <wps:spPr>
                        <a:xfrm>
                          <a:off x="0" y="0"/>
                          <a:ext cx="6120130" cy="360045"/>
                        </a:xfrm>
                        <a:prstGeom prst="rect">
                          <a:avLst/>
                        </a:prstGeom>
                        <a:solidFill>
                          <a:srgbClr val="393B7F"/>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11.249078pt;width:481.9pt;height:28.35pt;mso-position-horizontal-relative:page;mso-position-vertical-relative:paragraph;z-index:-15590400;mso-wrap-distance-left:0;mso-wrap-distance-right:0" type="#_x0000_t202" id="docshape579" filled="true" fillcolor="#393b7f"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13"/>
        </w:numPr>
        <w:tabs>
          <w:tab w:pos="1853" w:val="left" w:leader="none"/>
        </w:tabs>
        <w:spacing w:line="225" w:lineRule="auto" w:before="208" w:after="0"/>
        <w:ind w:left="1853" w:right="1740" w:hanging="720"/>
        <w:jc w:val="left"/>
        <w:rPr>
          <w:b/>
          <w:color w:val="67287F"/>
          <w:sz w:val="28"/>
        </w:rPr>
      </w:pPr>
      <w:r>
        <w:rPr>
          <w:b/>
          <w:color w:val="67287F"/>
          <w:sz w:val="28"/>
        </w:rPr>
        <w:t>The</w:t>
      </w:r>
      <w:r>
        <w:rPr>
          <w:b/>
          <w:color w:val="67287F"/>
          <w:spacing w:val="-9"/>
          <w:sz w:val="28"/>
        </w:rPr>
        <w:t> </w:t>
      </w:r>
      <w:r>
        <w:rPr>
          <w:b/>
          <w:color w:val="67287F"/>
          <w:sz w:val="28"/>
        </w:rPr>
        <w:t>ECNI</w:t>
      </w:r>
      <w:r>
        <w:rPr>
          <w:b/>
          <w:color w:val="67287F"/>
          <w:spacing w:val="-8"/>
          <w:sz w:val="28"/>
        </w:rPr>
        <w:t> </w:t>
      </w:r>
      <w:r>
        <w:rPr>
          <w:b/>
          <w:color w:val="67287F"/>
          <w:sz w:val="28"/>
        </w:rPr>
        <w:t>recommends</w:t>
      </w:r>
      <w:r>
        <w:rPr>
          <w:b/>
          <w:color w:val="67287F"/>
          <w:spacing w:val="-8"/>
          <w:sz w:val="28"/>
        </w:rPr>
        <w:t> </w:t>
      </w:r>
      <w:r>
        <w:rPr>
          <w:b/>
          <w:color w:val="67287F"/>
          <w:sz w:val="28"/>
        </w:rPr>
        <w:t>that</w:t>
      </w:r>
      <w:r>
        <w:rPr>
          <w:b/>
          <w:color w:val="67287F"/>
          <w:spacing w:val="-8"/>
          <w:sz w:val="28"/>
        </w:rPr>
        <w:t> </w:t>
      </w:r>
      <w:r>
        <w:rPr>
          <w:b/>
          <w:color w:val="67287F"/>
          <w:sz w:val="28"/>
        </w:rPr>
        <w:t>the</w:t>
      </w:r>
      <w:r>
        <w:rPr>
          <w:b/>
          <w:color w:val="67287F"/>
          <w:spacing w:val="-9"/>
          <w:sz w:val="28"/>
        </w:rPr>
        <w:t> </w:t>
      </w:r>
      <w:r>
        <w:rPr>
          <w:b/>
          <w:color w:val="67287F"/>
          <w:sz w:val="28"/>
        </w:rPr>
        <w:t>Department</w:t>
      </w:r>
      <w:r>
        <w:rPr>
          <w:b/>
          <w:color w:val="67287F"/>
          <w:spacing w:val="-8"/>
          <w:sz w:val="28"/>
        </w:rPr>
        <w:t> </w:t>
      </w:r>
      <w:r>
        <w:rPr>
          <w:b/>
          <w:color w:val="67287F"/>
          <w:sz w:val="28"/>
        </w:rPr>
        <w:t>for</w:t>
      </w:r>
      <w:r>
        <w:rPr>
          <w:b/>
          <w:color w:val="67287F"/>
          <w:spacing w:val="-9"/>
          <w:sz w:val="28"/>
        </w:rPr>
        <w:t> </w:t>
      </w:r>
      <w:r>
        <w:rPr>
          <w:b/>
          <w:color w:val="67287F"/>
          <w:sz w:val="28"/>
        </w:rPr>
        <w:t>the</w:t>
      </w:r>
      <w:r>
        <w:rPr>
          <w:b/>
          <w:color w:val="67287F"/>
          <w:spacing w:val="-9"/>
          <w:sz w:val="28"/>
        </w:rPr>
        <w:t> </w:t>
      </w:r>
      <w:r>
        <w:rPr>
          <w:b/>
          <w:color w:val="67287F"/>
          <w:sz w:val="28"/>
        </w:rPr>
        <w:t>Economy,</w:t>
      </w:r>
      <w:r>
        <w:rPr>
          <w:b/>
          <w:color w:val="67287F"/>
          <w:spacing w:val="-8"/>
          <w:sz w:val="28"/>
        </w:rPr>
        <w:t> </w:t>
      </w:r>
      <w:r>
        <w:rPr>
          <w:b/>
          <w:color w:val="67287F"/>
          <w:sz w:val="28"/>
        </w:rPr>
        <w:t>and</w:t>
      </w:r>
      <w:r>
        <w:rPr>
          <w:b/>
          <w:color w:val="67287F"/>
          <w:spacing w:val="-8"/>
          <w:sz w:val="28"/>
        </w:rPr>
        <w:t> </w:t>
      </w:r>
      <w:r>
        <w:rPr>
          <w:b/>
          <w:color w:val="67287F"/>
          <w:sz w:val="28"/>
        </w:rPr>
        <w:t>other relevant NI departments, should ensure there is an effective system to recognise</w:t>
      </w:r>
      <w:r>
        <w:rPr>
          <w:b/>
          <w:color w:val="67287F"/>
          <w:spacing w:val="-9"/>
          <w:sz w:val="28"/>
        </w:rPr>
        <w:t> </w:t>
      </w:r>
      <w:r>
        <w:rPr>
          <w:b/>
          <w:color w:val="67287F"/>
          <w:sz w:val="28"/>
        </w:rPr>
        <w:t>qualifications</w:t>
      </w:r>
      <w:r>
        <w:rPr>
          <w:b/>
          <w:color w:val="67287F"/>
          <w:spacing w:val="-8"/>
          <w:sz w:val="28"/>
        </w:rPr>
        <w:t> </w:t>
      </w:r>
      <w:r>
        <w:rPr>
          <w:b/>
          <w:color w:val="67287F"/>
          <w:sz w:val="28"/>
        </w:rPr>
        <w:t>to</w:t>
      </w:r>
      <w:r>
        <w:rPr>
          <w:b/>
          <w:color w:val="67287F"/>
          <w:spacing w:val="-8"/>
          <w:sz w:val="28"/>
        </w:rPr>
        <w:t> </w:t>
      </w:r>
      <w:r>
        <w:rPr>
          <w:b/>
          <w:color w:val="67287F"/>
          <w:sz w:val="28"/>
        </w:rPr>
        <w:t>help</w:t>
      </w:r>
      <w:r>
        <w:rPr>
          <w:b/>
          <w:color w:val="67287F"/>
          <w:spacing w:val="-8"/>
          <w:sz w:val="28"/>
        </w:rPr>
        <w:t> </w:t>
      </w:r>
      <w:r>
        <w:rPr>
          <w:b/>
          <w:color w:val="67287F"/>
          <w:sz w:val="28"/>
        </w:rPr>
        <w:t>address</w:t>
      </w:r>
      <w:r>
        <w:rPr>
          <w:b/>
          <w:color w:val="67287F"/>
          <w:spacing w:val="-8"/>
          <w:sz w:val="28"/>
        </w:rPr>
        <w:t> </w:t>
      </w:r>
      <w:r>
        <w:rPr>
          <w:b/>
          <w:color w:val="67287F"/>
          <w:sz w:val="28"/>
        </w:rPr>
        <w:t>any</w:t>
      </w:r>
      <w:r>
        <w:rPr>
          <w:b/>
          <w:color w:val="67287F"/>
          <w:spacing w:val="-8"/>
          <w:sz w:val="28"/>
        </w:rPr>
        <w:t> </w:t>
      </w:r>
      <w:r>
        <w:rPr>
          <w:b/>
          <w:color w:val="67287F"/>
          <w:sz w:val="28"/>
        </w:rPr>
        <w:t>barriers</w:t>
      </w:r>
      <w:r>
        <w:rPr>
          <w:b/>
          <w:color w:val="67287F"/>
          <w:spacing w:val="-8"/>
          <w:sz w:val="28"/>
        </w:rPr>
        <w:t> </w:t>
      </w:r>
      <w:r>
        <w:rPr>
          <w:b/>
          <w:color w:val="67287F"/>
          <w:sz w:val="28"/>
        </w:rPr>
        <w:t>to</w:t>
      </w:r>
      <w:r>
        <w:rPr>
          <w:b/>
          <w:color w:val="67287F"/>
          <w:spacing w:val="-8"/>
          <w:sz w:val="28"/>
        </w:rPr>
        <w:t> </w:t>
      </w:r>
      <w:r>
        <w:rPr>
          <w:b/>
          <w:color w:val="67287F"/>
          <w:sz w:val="28"/>
        </w:rPr>
        <w:t>migrant</w:t>
      </w:r>
      <w:r>
        <w:rPr>
          <w:b/>
          <w:color w:val="67287F"/>
          <w:spacing w:val="-8"/>
          <w:sz w:val="28"/>
        </w:rPr>
        <w:t> </w:t>
      </w:r>
      <w:r>
        <w:rPr>
          <w:b/>
          <w:color w:val="67287F"/>
          <w:sz w:val="28"/>
        </w:rPr>
        <w:t>workers accessing employment in NI, including in areas where there are labour shortfalls, due to Brexit.</w:t>
      </w:r>
    </w:p>
    <w:p>
      <w:pPr>
        <w:pStyle w:val="ListParagraph"/>
        <w:numPr>
          <w:ilvl w:val="1"/>
          <w:numId w:val="13"/>
        </w:numPr>
        <w:tabs>
          <w:tab w:pos="1853" w:val="left" w:leader="none"/>
        </w:tabs>
        <w:spacing w:line="225" w:lineRule="auto" w:before="314" w:after="0"/>
        <w:ind w:left="1853" w:right="1668" w:hanging="720"/>
        <w:jc w:val="left"/>
        <w:rPr>
          <w:b/>
          <w:color w:val="67287F"/>
          <w:sz w:val="28"/>
        </w:rPr>
      </w:pPr>
      <w:r>
        <w:rPr>
          <w:b/>
          <w:color w:val="67287F"/>
          <w:sz w:val="28"/>
        </w:rPr>
        <w:t>The</w:t>
      </w:r>
      <w:r>
        <w:rPr>
          <w:b/>
          <w:color w:val="67287F"/>
          <w:spacing w:val="-7"/>
          <w:sz w:val="28"/>
        </w:rPr>
        <w:t> </w:t>
      </w:r>
      <w:r>
        <w:rPr>
          <w:b/>
          <w:color w:val="67287F"/>
          <w:sz w:val="28"/>
        </w:rPr>
        <w:t>ECNI</w:t>
      </w:r>
      <w:r>
        <w:rPr>
          <w:b/>
          <w:color w:val="67287F"/>
          <w:spacing w:val="-6"/>
          <w:sz w:val="28"/>
        </w:rPr>
        <w:t> </w:t>
      </w:r>
      <w:r>
        <w:rPr>
          <w:b/>
          <w:color w:val="67287F"/>
          <w:sz w:val="28"/>
        </w:rPr>
        <w:t>recommends</w:t>
      </w:r>
      <w:r>
        <w:rPr>
          <w:b/>
          <w:color w:val="67287F"/>
          <w:spacing w:val="-6"/>
          <w:sz w:val="28"/>
        </w:rPr>
        <w:t> </w:t>
      </w:r>
      <w:r>
        <w:rPr>
          <w:b/>
          <w:color w:val="67287F"/>
          <w:sz w:val="28"/>
        </w:rPr>
        <w:t>that</w:t>
      </w:r>
      <w:r>
        <w:rPr>
          <w:b/>
          <w:color w:val="67287F"/>
          <w:spacing w:val="-6"/>
          <w:sz w:val="28"/>
        </w:rPr>
        <w:t> </w:t>
      </w:r>
      <w:r>
        <w:rPr>
          <w:b/>
          <w:color w:val="67287F"/>
          <w:sz w:val="28"/>
        </w:rPr>
        <w:t>the</w:t>
      </w:r>
      <w:r>
        <w:rPr>
          <w:b/>
          <w:color w:val="67287F"/>
          <w:spacing w:val="-7"/>
          <w:sz w:val="28"/>
        </w:rPr>
        <w:t> </w:t>
      </w:r>
      <w:r>
        <w:rPr>
          <w:b/>
          <w:color w:val="67287F"/>
          <w:sz w:val="28"/>
        </w:rPr>
        <w:t>UK</w:t>
      </w:r>
      <w:r>
        <w:rPr>
          <w:b/>
          <w:color w:val="67287F"/>
          <w:spacing w:val="-6"/>
          <w:sz w:val="28"/>
        </w:rPr>
        <w:t> </w:t>
      </w:r>
      <w:r>
        <w:rPr>
          <w:b/>
          <w:color w:val="67287F"/>
          <w:sz w:val="28"/>
        </w:rPr>
        <w:t>Government,</w:t>
      </w:r>
      <w:r>
        <w:rPr>
          <w:b/>
          <w:color w:val="67287F"/>
          <w:spacing w:val="-6"/>
          <w:sz w:val="28"/>
        </w:rPr>
        <w:t> </w:t>
      </w:r>
      <w:r>
        <w:rPr>
          <w:b/>
          <w:color w:val="67287F"/>
          <w:sz w:val="28"/>
        </w:rPr>
        <w:t>the</w:t>
      </w:r>
      <w:r>
        <w:rPr>
          <w:b/>
          <w:color w:val="67287F"/>
          <w:spacing w:val="-7"/>
          <w:sz w:val="28"/>
        </w:rPr>
        <w:t> </w:t>
      </w:r>
      <w:r>
        <w:rPr>
          <w:b/>
          <w:color w:val="67287F"/>
          <w:sz w:val="28"/>
        </w:rPr>
        <w:t>Department</w:t>
      </w:r>
      <w:r>
        <w:rPr>
          <w:b/>
          <w:color w:val="67287F"/>
          <w:spacing w:val="-6"/>
          <w:sz w:val="28"/>
        </w:rPr>
        <w:t> </w:t>
      </w:r>
      <w:r>
        <w:rPr>
          <w:b/>
          <w:color w:val="67287F"/>
          <w:sz w:val="28"/>
        </w:rPr>
        <w:t>for</w:t>
      </w:r>
      <w:r>
        <w:rPr>
          <w:b/>
          <w:color w:val="67287F"/>
          <w:spacing w:val="-7"/>
          <w:sz w:val="28"/>
        </w:rPr>
        <w:t> </w:t>
      </w:r>
      <w:r>
        <w:rPr>
          <w:b/>
          <w:color w:val="67287F"/>
          <w:sz w:val="28"/>
        </w:rPr>
        <w:t>the Economy and other relevant NI departments take additional measures to raise awareness amongst employers in NI of the rights of EU migrant</w:t>
      </w:r>
    </w:p>
    <w:p>
      <w:pPr>
        <w:spacing w:line="225" w:lineRule="auto" w:before="0"/>
        <w:ind w:left="1853" w:right="1171" w:firstLine="0"/>
        <w:jc w:val="left"/>
        <w:rPr>
          <w:b/>
          <w:sz w:val="28"/>
        </w:rPr>
      </w:pPr>
      <w:r>
        <w:rPr>
          <w:b/>
          <w:color w:val="67287F"/>
          <w:sz w:val="28"/>
        </w:rPr>
        <w:t>workers,</w:t>
      </w:r>
      <w:r>
        <w:rPr>
          <w:b/>
          <w:color w:val="67287F"/>
          <w:spacing w:val="-8"/>
          <w:sz w:val="28"/>
        </w:rPr>
        <w:t> </w:t>
      </w:r>
      <w:r>
        <w:rPr>
          <w:b/>
          <w:color w:val="67287F"/>
          <w:sz w:val="28"/>
        </w:rPr>
        <w:t>in</w:t>
      </w:r>
      <w:r>
        <w:rPr>
          <w:b/>
          <w:color w:val="67287F"/>
          <w:spacing w:val="-8"/>
          <w:sz w:val="28"/>
        </w:rPr>
        <w:t> </w:t>
      </w:r>
      <w:r>
        <w:rPr>
          <w:b/>
          <w:color w:val="67287F"/>
          <w:sz w:val="28"/>
        </w:rPr>
        <w:t>terms</w:t>
      </w:r>
      <w:r>
        <w:rPr>
          <w:b/>
          <w:color w:val="67287F"/>
          <w:spacing w:val="-8"/>
          <w:sz w:val="28"/>
        </w:rPr>
        <w:t> </w:t>
      </w:r>
      <w:r>
        <w:rPr>
          <w:b/>
          <w:color w:val="67287F"/>
          <w:sz w:val="28"/>
        </w:rPr>
        <w:t>of</w:t>
      </w:r>
      <w:r>
        <w:rPr>
          <w:b/>
          <w:color w:val="67287F"/>
          <w:spacing w:val="-9"/>
          <w:sz w:val="28"/>
        </w:rPr>
        <w:t> </w:t>
      </w:r>
      <w:r>
        <w:rPr>
          <w:b/>
          <w:color w:val="67287F"/>
          <w:sz w:val="28"/>
        </w:rPr>
        <w:t>the</w:t>
      </w:r>
      <w:r>
        <w:rPr>
          <w:b/>
          <w:color w:val="67287F"/>
          <w:spacing w:val="-9"/>
          <w:sz w:val="28"/>
        </w:rPr>
        <w:t> </w:t>
      </w:r>
      <w:r>
        <w:rPr>
          <w:b/>
          <w:color w:val="67287F"/>
          <w:sz w:val="28"/>
        </w:rPr>
        <w:t>process</w:t>
      </w:r>
      <w:r>
        <w:rPr>
          <w:b/>
          <w:color w:val="67287F"/>
          <w:spacing w:val="-8"/>
          <w:sz w:val="28"/>
        </w:rPr>
        <w:t> </w:t>
      </w:r>
      <w:r>
        <w:rPr>
          <w:b/>
          <w:color w:val="67287F"/>
          <w:sz w:val="28"/>
        </w:rPr>
        <w:t>for</w:t>
      </w:r>
      <w:r>
        <w:rPr>
          <w:b/>
          <w:color w:val="67287F"/>
          <w:spacing w:val="-9"/>
          <w:sz w:val="28"/>
        </w:rPr>
        <w:t> </w:t>
      </w:r>
      <w:r>
        <w:rPr>
          <w:b/>
          <w:color w:val="67287F"/>
          <w:sz w:val="28"/>
        </w:rPr>
        <w:t>hiring</w:t>
      </w:r>
      <w:r>
        <w:rPr>
          <w:b/>
          <w:color w:val="67287F"/>
          <w:spacing w:val="-9"/>
          <w:sz w:val="28"/>
        </w:rPr>
        <w:t> </w:t>
      </w:r>
      <w:r>
        <w:rPr>
          <w:b/>
          <w:color w:val="67287F"/>
          <w:sz w:val="28"/>
        </w:rPr>
        <w:t>workers</w:t>
      </w:r>
      <w:r>
        <w:rPr>
          <w:b/>
          <w:color w:val="67287F"/>
          <w:spacing w:val="-8"/>
          <w:sz w:val="28"/>
        </w:rPr>
        <w:t> </w:t>
      </w:r>
      <w:r>
        <w:rPr>
          <w:b/>
          <w:color w:val="67287F"/>
          <w:sz w:val="28"/>
        </w:rPr>
        <w:t>after</w:t>
      </w:r>
      <w:r>
        <w:rPr>
          <w:b/>
          <w:color w:val="67287F"/>
          <w:spacing w:val="-9"/>
          <w:sz w:val="28"/>
        </w:rPr>
        <w:t> </w:t>
      </w:r>
      <w:r>
        <w:rPr>
          <w:b/>
          <w:color w:val="67287F"/>
          <w:sz w:val="28"/>
        </w:rPr>
        <w:t>Brexit,</w:t>
      </w:r>
      <w:r>
        <w:rPr>
          <w:b/>
          <w:color w:val="67287F"/>
          <w:spacing w:val="-8"/>
          <w:sz w:val="28"/>
        </w:rPr>
        <w:t> </w:t>
      </w:r>
      <w:r>
        <w:rPr>
          <w:b/>
          <w:color w:val="67287F"/>
          <w:sz w:val="28"/>
        </w:rPr>
        <w:t>including</w:t>
      </w:r>
      <w:r>
        <w:rPr>
          <w:b/>
          <w:color w:val="67287F"/>
          <w:spacing w:val="-9"/>
          <w:sz w:val="28"/>
        </w:rPr>
        <w:t> </w:t>
      </w:r>
      <w:r>
        <w:rPr>
          <w:b/>
          <w:color w:val="67287F"/>
          <w:sz w:val="28"/>
        </w:rPr>
        <w:t>so as to avoid racial discrimination.</w:t>
      </w:r>
    </w:p>
    <w:p>
      <w:pPr>
        <w:pStyle w:val="ListParagraph"/>
        <w:numPr>
          <w:ilvl w:val="1"/>
          <w:numId w:val="13"/>
        </w:numPr>
        <w:tabs>
          <w:tab w:pos="1853" w:val="left" w:leader="none"/>
        </w:tabs>
        <w:spacing w:line="225" w:lineRule="auto" w:before="313" w:after="0"/>
        <w:ind w:left="1853" w:right="1208" w:hanging="720"/>
        <w:jc w:val="left"/>
        <w:rPr>
          <w:b/>
          <w:color w:val="67287F"/>
          <w:sz w:val="28"/>
        </w:rPr>
      </w:pPr>
      <w:r>
        <w:rPr>
          <w:b/>
          <w:color w:val="67287F"/>
          <w:sz w:val="28"/>
        </w:rPr>
        <w:t>The</w:t>
      </w:r>
      <w:r>
        <w:rPr>
          <w:b/>
          <w:color w:val="67287F"/>
          <w:spacing w:val="-7"/>
          <w:sz w:val="28"/>
        </w:rPr>
        <w:t> </w:t>
      </w:r>
      <w:r>
        <w:rPr>
          <w:b/>
          <w:color w:val="67287F"/>
          <w:sz w:val="28"/>
        </w:rPr>
        <w:t>ECNI</w:t>
      </w:r>
      <w:r>
        <w:rPr>
          <w:b/>
          <w:color w:val="67287F"/>
          <w:spacing w:val="-6"/>
          <w:sz w:val="28"/>
        </w:rPr>
        <w:t> </w:t>
      </w:r>
      <w:r>
        <w:rPr>
          <w:b/>
          <w:color w:val="67287F"/>
          <w:sz w:val="28"/>
        </w:rPr>
        <w:t>recommends</w:t>
      </w:r>
      <w:r>
        <w:rPr>
          <w:b/>
          <w:color w:val="67287F"/>
          <w:spacing w:val="-6"/>
          <w:sz w:val="28"/>
        </w:rPr>
        <w:t> </w:t>
      </w:r>
      <w:r>
        <w:rPr>
          <w:b/>
          <w:color w:val="67287F"/>
          <w:sz w:val="28"/>
        </w:rPr>
        <w:t>that</w:t>
      </w:r>
      <w:r>
        <w:rPr>
          <w:b/>
          <w:color w:val="67287F"/>
          <w:spacing w:val="-6"/>
          <w:sz w:val="28"/>
        </w:rPr>
        <w:t> </w:t>
      </w:r>
      <w:r>
        <w:rPr>
          <w:b/>
          <w:color w:val="67287F"/>
          <w:sz w:val="28"/>
        </w:rPr>
        <w:t>the</w:t>
      </w:r>
      <w:r>
        <w:rPr>
          <w:b/>
          <w:color w:val="67287F"/>
          <w:spacing w:val="-7"/>
          <w:sz w:val="28"/>
        </w:rPr>
        <w:t> </w:t>
      </w:r>
      <w:r>
        <w:rPr>
          <w:b/>
          <w:color w:val="67287F"/>
          <w:sz w:val="28"/>
        </w:rPr>
        <w:t>Department</w:t>
      </w:r>
      <w:r>
        <w:rPr>
          <w:b/>
          <w:color w:val="67287F"/>
          <w:spacing w:val="-6"/>
          <w:sz w:val="28"/>
        </w:rPr>
        <w:t> </w:t>
      </w:r>
      <w:r>
        <w:rPr>
          <w:b/>
          <w:color w:val="67287F"/>
          <w:sz w:val="28"/>
        </w:rPr>
        <w:t>of</w:t>
      </w:r>
      <w:r>
        <w:rPr>
          <w:b/>
          <w:color w:val="67287F"/>
          <w:spacing w:val="-7"/>
          <w:sz w:val="28"/>
        </w:rPr>
        <w:t> </w:t>
      </w:r>
      <w:r>
        <w:rPr>
          <w:b/>
          <w:color w:val="67287F"/>
          <w:sz w:val="28"/>
        </w:rPr>
        <w:t>Justice,</w:t>
      </w:r>
      <w:r>
        <w:rPr>
          <w:b/>
          <w:color w:val="67287F"/>
          <w:spacing w:val="-6"/>
          <w:sz w:val="28"/>
        </w:rPr>
        <w:t> </w:t>
      </w:r>
      <w:r>
        <w:rPr>
          <w:b/>
          <w:color w:val="67287F"/>
          <w:sz w:val="28"/>
        </w:rPr>
        <w:t>and</w:t>
      </w:r>
      <w:r>
        <w:rPr>
          <w:b/>
          <w:color w:val="67287F"/>
          <w:spacing w:val="-6"/>
          <w:sz w:val="28"/>
        </w:rPr>
        <w:t> </w:t>
      </w:r>
      <w:r>
        <w:rPr>
          <w:b/>
          <w:color w:val="67287F"/>
          <w:sz w:val="28"/>
        </w:rPr>
        <w:t>other</w:t>
      </w:r>
      <w:r>
        <w:rPr>
          <w:b/>
          <w:color w:val="67287F"/>
          <w:spacing w:val="-7"/>
          <w:sz w:val="28"/>
        </w:rPr>
        <w:t> </w:t>
      </w:r>
      <w:r>
        <w:rPr>
          <w:b/>
          <w:color w:val="67287F"/>
          <w:sz w:val="28"/>
        </w:rPr>
        <w:t>relevant</w:t>
      </w:r>
      <w:r>
        <w:rPr>
          <w:b/>
          <w:color w:val="67287F"/>
          <w:spacing w:val="-6"/>
          <w:sz w:val="28"/>
        </w:rPr>
        <w:t> </w:t>
      </w:r>
      <w:r>
        <w:rPr>
          <w:b/>
          <w:color w:val="67287F"/>
          <w:sz w:val="28"/>
        </w:rPr>
        <w:t>NI departments,</w:t>
      </w:r>
      <w:r>
        <w:rPr>
          <w:b/>
          <w:color w:val="67287F"/>
          <w:spacing w:val="-7"/>
          <w:sz w:val="28"/>
        </w:rPr>
        <w:t> </w:t>
      </w:r>
      <w:r>
        <w:rPr>
          <w:b/>
          <w:color w:val="67287F"/>
          <w:sz w:val="28"/>
        </w:rPr>
        <w:t>should</w:t>
      </w:r>
      <w:r>
        <w:rPr>
          <w:b/>
          <w:color w:val="67287F"/>
          <w:spacing w:val="-7"/>
          <w:sz w:val="28"/>
        </w:rPr>
        <w:t> </w:t>
      </w:r>
      <w:r>
        <w:rPr>
          <w:b/>
          <w:color w:val="67287F"/>
          <w:sz w:val="28"/>
        </w:rPr>
        <w:t>consider</w:t>
      </w:r>
      <w:r>
        <w:rPr>
          <w:b/>
          <w:color w:val="67287F"/>
          <w:spacing w:val="-8"/>
          <w:sz w:val="28"/>
        </w:rPr>
        <w:t> </w:t>
      </w:r>
      <w:r>
        <w:rPr>
          <w:b/>
          <w:color w:val="67287F"/>
          <w:sz w:val="28"/>
        </w:rPr>
        <w:t>what</w:t>
      </w:r>
      <w:r>
        <w:rPr>
          <w:b/>
          <w:color w:val="67287F"/>
          <w:spacing w:val="-7"/>
          <w:sz w:val="28"/>
        </w:rPr>
        <w:t> </w:t>
      </w:r>
      <w:r>
        <w:rPr>
          <w:b/>
          <w:color w:val="67287F"/>
          <w:sz w:val="28"/>
        </w:rPr>
        <w:t>additional</w:t>
      </w:r>
      <w:r>
        <w:rPr>
          <w:b/>
          <w:color w:val="67287F"/>
          <w:spacing w:val="-7"/>
          <w:sz w:val="28"/>
        </w:rPr>
        <w:t> </w:t>
      </w:r>
      <w:r>
        <w:rPr>
          <w:b/>
          <w:color w:val="67287F"/>
          <w:sz w:val="28"/>
        </w:rPr>
        <w:t>steps</w:t>
      </w:r>
      <w:r>
        <w:rPr>
          <w:b/>
          <w:color w:val="67287F"/>
          <w:spacing w:val="-7"/>
          <w:sz w:val="28"/>
        </w:rPr>
        <w:t> </w:t>
      </w:r>
      <w:r>
        <w:rPr>
          <w:b/>
          <w:color w:val="67287F"/>
          <w:sz w:val="28"/>
        </w:rPr>
        <w:t>can</w:t>
      </w:r>
      <w:r>
        <w:rPr>
          <w:b/>
          <w:color w:val="67287F"/>
          <w:spacing w:val="-7"/>
          <w:sz w:val="28"/>
        </w:rPr>
        <w:t> </w:t>
      </w:r>
      <w:r>
        <w:rPr>
          <w:b/>
          <w:color w:val="67287F"/>
          <w:sz w:val="28"/>
        </w:rPr>
        <w:t>be</w:t>
      </w:r>
      <w:r>
        <w:rPr>
          <w:b/>
          <w:color w:val="67287F"/>
          <w:spacing w:val="-8"/>
          <w:sz w:val="28"/>
        </w:rPr>
        <w:t> </w:t>
      </w:r>
      <w:r>
        <w:rPr>
          <w:b/>
          <w:color w:val="67287F"/>
          <w:sz w:val="28"/>
        </w:rPr>
        <w:t>taken</w:t>
      </w:r>
      <w:r>
        <w:rPr>
          <w:b/>
          <w:color w:val="67287F"/>
          <w:spacing w:val="-7"/>
          <w:sz w:val="28"/>
        </w:rPr>
        <w:t> </w:t>
      </w:r>
      <w:r>
        <w:rPr>
          <w:b/>
          <w:color w:val="67287F"/>
          <w:sz w:val="28"/>
        </w:rPr>
        <w:t>to</w:t>
      </w:r>
      <w:r>
        <w:rPr>
          <w:b/>
          <w:color w:val="67287F"/>
          <w:spacing w:val="-7"/>
          <w:sz w:val="28"/>
        </w:rPr>
        <w:t> </w:t>
      </w:r>
      <w:r>
        <w:rPr>
          <w:b/>
          <w:color w:val="67287F"/>
          <w:sz w:val="28"/>
        </w:rPr>
        <w:t>address the exploitation experienced by migrant workers, and take appropriate action to address the issues identified.</w:t>
      </w:r>
    </w:p>
    <w:p>
      <w:pPr>
        <w:pStyle w:val="ListParagraph"/>
        <w:numPr>
          <w:ilvl w:val="1"/>
          <w:numId w:val="13"/>
        </w:numPr>
        <w:tabs>
          <w:tab w:pos="1853" w:val="left" w:leader="none"/>
        </w:tabs>
        <w:spacing w:line="225" w:lineRule="auto" w:before="315" w:after="0"/>
        <w:ind w:left="1853" w:right="1269" w:hanging="720"/>
        <w:jc w:val="left"/>
        <w:rPr>
          <w:b/>
          <w:color w:val="67287F"/>
          <w:sz w:val="28"/>
        </w:rPr>
      </w:pPr>
      <w:r>
        <w:rPr>
          <w:b/>
          <w:color w:val="67287F"/>
          <w:sz w:val="28"/>
        </w:rPr>
        <w:t>The ECNI recommends that the Department of Justice, and other relevant NI departments commission research to assess any impact of Brexit on the exploitation</w:t>
      </w:r>
      <w:r>
        <w:rPr>
          <w:b/>
          <w:color w:val="67287F"/>
          <w:spacing w:val="-11"/>
          <w:sz w:val="28"/>
        </w:rPr>
        <w:t> </w:t>
      </w:r>
      <w:r>
        <w:rPr>
          <w:b/>
          <w:color w:val="67287F"/>
          <w:sz w:val="28"/>
        </w:rPr>
        <w:t>of</w:t>
      </w:r>
      <w:r>
        <w:rPr>
          <w:b/>
          <w:color w:val="67287F"/>
          <w:spacing w:val="-11"/>
          <w:sz w:val="28"/>
        </w:rPr>
        <w:t> </w:t>
      </w:r>
      <w:r>
        <w:rPr>
          <w:b/>
          <w:color w:val="67287F"/>
          <w:sz w:val="28"/>
        </w:rPr>
        <w:t>migrant</w:t>
      </w:r>
      <w:r>
        <w:rPr>
          <w:b/>
          <w:color w:val="67287F"/>
          <w:spacing w:val="-11"/>
          <w:sz w:val="28"/>
        </w:rPr>
        <w:t> </w:t>
      </w:r>
      <w:r>
        <w:rPr>
          <w:b/>
          <w:color w:val="67287F"/>
          <w:sz w:val="28"/>
        </w:rPr>
        <w:t>workers</w:t>
      </w:r>
      <w:r>
        <w:rPr>
          <w:b/>
          <w:color w:val="67287F"/>
          <w:spacing w:val="-11"/>
          <w:sz w:val="28"/>
        </w:rPr>
        <w:t> </w:t>
      </w:r>
      <w:r>
        <w:rPr>
          <w:b/>
          <w:color w:val="67287F"/>
          <w:sz w:val="28"/>
        </w:rPr>
        <w:t>and</w:t>
      </w:r>
      <w:r>
        <w:rPr>
          <w:b/>
          <w:color w:val="67287F"/>
          <w:spacing w:val="-11"/>
          <w:sz w:val="28"/>
        </w:rPr>
        <w:t> </w:t>
      </w:r>
      <w:r>
        <w:rPr>
          <w:b/>
          <w:color w:val="67287F"/>
          <w:sz w:val="28"/>
        </w:rPr>
        <w:t>address</w:t>
      </w:r>
      <w:r>
        <w:rPr>
          <w:b/>
          <w:color w:val="67287F"/>
          <w:spacing w:val="-11"/>
          <w:sz w:val="28"/>
        </w:rPr>
        <w:t> </w:t>
      </w:r>
      <w:r>
        <w:rPr>
          <w:b/>
          <w:color w:val="67287F"/>
          <w:sz w:val="28"/>
        </w:rPr>
        <w:t>any</w:t>
      </w:r>
      <w:r>
        <w:rPr>
          <w:b/>
          <w:color w:val="67287F"/>
          <w:spacing w:val="-11"/>
          <w:sz w:val="28"/>
        </w:rPr>
        <w:t> </w:t>
      </w:r>
      <w:r>
        <w:rPr>
          <w:b/>
          <w:color w:val="67287F"/>
          <w:sz w:val="28"/>
        </w:rPr>
        <w:t>negative</w:t>
      </w:r>
      <w:r>
        <w:rPr>
          <w:b/>
          <w:color w:val="67287F"/>
          <w:spacing w:val="-11"/>
          <w:sz w:val="28"/>
        </w:rPr>
        <w:t> </w:t>
      </w:r>
      <w:r>
        <w:rPr>
          <w:b/>
          <w:color w:val="67287F"/>
          <w:sz w:val="28"/>
        </w:rPr>
        <w:t>impact</w:t>
      </w:r>
      <w:r>
        <w:rPr>
          <w:b/>
          <w:color w:val="67287F"/>
          <w:spacing w:val="-11"/>
          <w:sz w:val="28"/>
        </w:rPr>
        <w:t> </w:t>
      </w:r>
      <w:r>
        <w:rPr>
          <w:b/>
          <w:color w:val="67287F"/>
          <w:sz w:val="28"/>
        </w:rPr>
        <w:t>identified.</w:t>
      </w:r>
    </w:p>
    <w:p>
      <w:pPr>
        <w:pStyle w:val="ListParagraph"/>
        <w:numPr>
          <w:ilvl w:val="1"/>
          <w:numId w:val="13"/>
        </w:numPr>
        <w:tabs>
          <w:tab w:pos="1853" w:val="left" w:leader="none"/>
        </w:tabs>
        <w:spacing w:line="225" w:lineRule="auto" w:before="316" w:after="0"/>
        <w:ind w:left="1853" w:right="1363" w:hanging="720"/>
        <w:jc w:val="left"/>
        <w:rPr>
          <w:b/>
          <w:color w:val="67287F"/>
          <w:sz w:val="28"/>
        </w:rPr>
      </w:pPr>
      <w:r>
        <w:rPr>
          <w:b/>
          <w:color w:val="67287F"/>
          <w:sz w:val="28"/>
        </w:rPr>
        <w:t>The</w:t>
      </w:r>
      <w:r>
        <w:rPr>
          <w:b/>
          <w:color w:val="67287F"/>
          <w:spacing w:val="-8"/>
          <w:sz w:val="28"/>
        </w:rPr>
        <w:t> </w:t>
      </w:r>
      <w:r>
        <w:rPr>
          <w:b/>
          <w:color w:val="67287F"/>
          <w:sz w:val="28"/>
        </w:rPr>
        <w:t>ECNI</w:t>
      </w:r>
      <w:r>
        <w:rPr>
          <w:b/>
          <w:color w:val="67287F"/>
          <w:spacing w:val="-7"/>
          <w:sz w:val="28"/>
        </w:rPr>
        <w:t> </w:t>
      </w:r>
      <w:r>
        <w:rPr>
          <w:b/>
          <w:color w:val="67287F"/>
          <w:sz w:val="28"/>
        </w:rPr>
        <w:t>recommends</w:t>
      </w:r>
      <w:r>
        <w:rPr>
          <w:b/>
          <w:color w:val="67287F"/>
          <w:spacing w:val="-7"/>
          <w:sz w:val="28"/>
        </w:rPr>
        <w:t> </w:t>
      </w:r>
      <w:r>
        <w:rPr>
          <w:b/>
          <w:color w:val="67287F"/>
          <w:sz w:val="28"/>
        </w:rPr>
        <w:t>support</w:t>
      </w:r>
      <w:r>
        <w:rPr>
          <w:b/>
          <w:color w:val="67287F"/>
          <w:spacing w:val="-7"/>
          <w:sz w:val="28"/>
        </w:rPr>
        <w:t> </w:t>
      </w:r>
      <w:r>
        <w:rPr>
          <w:b/>
          <w:color w:val="67287F"/>
          <w:sz w:val="28"/>
        </w:rPr>
        <w:t>for</w:t>
      </w:r>
      <w:r>
        <w:rPr>
          <w:b/>
          <w:color w:val="67287F"/>
          <w:spacing w:val="-8"/>
          <w:sz w:val="28"/>
        </w:rPr>
        <w:t> </w:t>
      </w:r>
      <w:r>
        <w:rPr>
          <w:b/>
          <w:color w:val="67287F"/>
          <w:sz w:val="28"/>
        </w:rPr>
        <w:t>initiatives</w:t>
      </w:r>
      <w:r>
        <w:rPr>
          <w:b/>
          <w:color w:val="67287F"/>
          <w:spacing w:val="-7"/>
          <w:sz w:val="28"/>
        </w:rPr>
        <w:t> </w:t>
      </w:r>
      <w:r>
        <w:rPr>
          <w:b/>
          <w:color w:val="67287F"/>
          <w:sz w:val="28"/>
        </w:rPr>
        <w:t>aimed</w:t>
      </w:r>
      <w:r>
        <w:rPr>
          <w:b/>
          <w:color w:val="67287F"/>
          <w:spacing w:val="-7"/>
          <w:sz w:val="28"/>
        </w:rPr>
        <w:t> </w:t>
      </w:r>
      <w:r>
        <w:rPr>
          <w:b/>
          <w:color w:val="67287F"/>
          <w:sz w:val="28"/>
        </w:rPr>
        <w:t>at</w:t>
      </w:r>
      <w:r>
        <w:rPr>
          <w:b/>
          <w:color w:val="67287F"/>
          <w:spacing w:val="-7"/>
          <w:sz w:val="28"/>
        </w:rPr>
        <w:t> </w:t>
      </w:r>
      <w:r>
        <w:rPr>
          <w:b/>
          <w:color w:val="67287F"/>
          <w:sz w:val="28"/>
        </w:rPr>
        <w:t>raising</w:t>
      </w:r>
      <w:r>
        <w:rPr>
          <w:b/>
          <w:color w:val="67287F"/>
          <w:spacing w:val="-8"/>
          <w:sz w:val="28"/>
        </w:rPr>
        <w:t> </w:t>
      </w:r>
      <w:r>
        <w:rPr>
          <w:b/>
          <w:color w:val="67287F"/>
          <w:sz w:val="28"/>
        </w:rPr>
        <w:t>awareness</w:t>
      </w:r>
      <w:r>
        <w:rPr>
          <w:b/>
          <w:color w:val="67287F"/>
          <w:spacing w:val="-7"/>
          <w:sz w:val="28"/>
        </w:rPr>
        <w:t> </w:t>
      </w:r>
      <w:r>
        <w:rPr>
          <w:b/>
          <w:color w:val="67287F"/>
          <w:sz w:val="28"/>
        </w:rPr>
        <w:t>of the rights of migrant workers as well as to improve access to appropriate employment support, including childcare and English for speakers of other </w:t>
      </w:r>
      <w:r>
        <w:rPr>
          <w:b/>
          <w:color w:val="67287F"/>
          <w:spacing w:val="-2"/>
          <w:sz w:val="28"/>
        </w:rPr>
        <w:t>languages.</w:t>
      </w:r>
    </w:p>
    <w:p>
      <w:pPr>
        <w:pStyle w:val="BodyText"/>
        <w:spacing w:before="71"/>
        <w:rPr>
          <w:b/>
          <w:sz w:val="20"/>
        </w:rPr>
      </w:pPr>
      <w:r>
        <w:rPr/>
        <mc:AlternateContent>
          <mc:Choice Requires="wps">
            <w:drawing>
              <wp:anchor distT="0" distB="0" distL="0" distR="0" allowOverlap="1" layoutInCell="1" locked="0" behindDoc="1" simplePos="0" relativeHeight="487726592">
                <wp:simplePos x="0" y="0"/>
                <wp:positionH relativeFrom="page">
                  <wp:posOffset>719996</wp:posOffset>
                </wp:positionH>
                <wp:positionV relativeFrom="paragraph">
                  <wp:posOffset>215617</wp:posOffset>
                </wp:positionV>
                <wp:extent cx="6120130" cy="1270"/>
                <wp:effectExtent l="0" t="0" r="0" b="0"/>
                <wp:wrapTopAndBottom/>
                <wp:docPr id="636" name="Graphic 636"/>
                <wp:cNvGraphicFramePr>
                  <a:graphicFrameLocks/>
                </wp:cNvGraphicFramePr>
                <a:graphic>
                  <a:graphicData uri="http://schemas.microsoft.com/office/word/2010/wordprocessingShape">
                    <wps:wsp>
                      <wps:cNvPr id="636" name="Graphic 636"/>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6.977785pt;width:481.9pt;height:.1pt;mso-position-horizontal-relative:page;mso-position-vertical-relative:paragraph;z-index:-15589888;mso-wrap-distance-left:0;mso-wrap-distance-right:0" id="docshape580" coordorigin="1134,340" coordsize="9638,0" path="m10772,340l1134,340e" filled="false" stroked="true" strokeweight="1pt" strokecolor="#393b80">
                <v:path arrowok="t"/>
                <v:stroke dashstyle="solid"/>
                <w10:wrap type="topAndBottom"/>
              </v:shape>
            </w:pict>
          </mc:Fallback>
        </mc:AlternateContent>
      </w:r>
    </w:p>
    <w:p>
      <w:pPr>
        <w:pStyle w:val="ListParagraph"/>
        <w:numPr>
          <w:ilvl w:val="0"/>
          <w:numId w:val="15"/>
        </w:numPr>
        <w:tabs>
          <w:tab w:pos="1853" w:val="left" w:leader="none"/>
        </w:tabs>
        <w:spacing w:line="235" w:lineRule="auto" w:before="124" w:after="0"/>
        <w:ind w:left="1853" w:right="1506" w:hanging="720"/>
        <w:jc w:val="left"/>
        <w:rPr>
          <w:sz w:val="18"/>
        </w:rPr>
      </w:pP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‘Policy</w:t>
      </w:r>
      <w:r>
        <w:rPr>
          <w:spacing w:val="-4"/>
          <w:sz w:val="18"/>
        </w:rPr>
        <w:t> </w:t>
      </w:r>
      <w:r>
        <w:rPr>
          <w:sz w:val="18"/>
        </w:rPr>
        <w:t>Recommendations: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Minority</w:t>
      </w:r>
      <w:r>
        <w:rPr>
          <w:spacing w:val="-4"/>
          <w:sz w:val="18"/>
        </w:rPr>
        <w:t> </w:t>
      </w:r>
      <w:r>
        <w:rPr>
          <w:sz w:val="18"/>
        </w:rPr>
        <w:t>Ethnic</w:t>
      </w:r>
      <w:r>
        <w:rPr>
          <w:spacing w:val="-4"/>
          <w:sz w:val="18"/>
        </w:rPr>
        <w:t> </w:t>
      </w:r>
      <w:r>
        <w:rPr>
          <w:sz w:val="18"/>
        </w:rPr>
        <w:t>and</w:t>
      </w:r>
      <w:r>
        <w:rPr>
          <w:spacing w:val="-5"/>
          <w:sz w:val="18"/>
        </w:rPr>
        <w:t> </w:t>
      </w:r>
      <w:r>
        <w:rPr>
          <w:sz w:val="18"/>
        </w:rPr>
        <w:t>Migrant</w:t>
      </w:r>
      <w:r>
        <w:rPr>
          <w:spacing w:val="-4"/>
          <w:sz w:val="18"/>
        </w:rPr>
        <w:t> </w:t>
      </w:r>
      <w:r>
        <w:rPr>
          <w:sz w:val="18"/>
        </w:rPr>
        <w:t>People</w:t>
      </w:r>
      <w:r>
        <w:rPr>
          <w:spacing w:val="-4"/>
          <w:sz w:val="18"/>
        </w:rPr>
        <w:t> </w:t>
      </w:r>
      <w:r>
        <w:rPr>
          <w:sz w:val="18"/>
        </w:rPr>
        <w:t>in Northern Ireland’ (ECNI, 2024).</w:t>
      </w:r>
    </w:p>
    <w:p>
      <w:pPr>
        <w:pStyle w:val="ListParagraph"/>
        <w:numPr>
          <w:ilvl w:val="0"/>
          <w:numId w:val="15"/>
        </w:numPr>
        <w:tabs>
          <w:tab w:pos="1853" w:val="left" w:leader="none"/>
        </w:tabs>
        <w:spacing w:line="216" w:lineRule="exact" w:before="0" w:after="0"/>
        <w:ind w:left="1853" w:right="0" w:hanging="720"/>
        <w:jc w:val="left"/>
        <w:rPr>
          <w:sz w:val="18"/>
        </w:rPr>
      </w:pPr>
      <w:r>
        <w:rPr>
          <w:sz w:val="18"/>
        </w:rPr>
        <w:t>New</w:t>
      </w:r>
      <w:r>
        <w:rPr>
          <w:spacing w:val="-8"/>
          <w:sz w:val="18"/>
        </w:rPr>
        <w:t> </w:t>
      </w:r>
      <w:r>
        <w:rPr>
          <w:sz w:val="18"/>
        </w:rPr>
        <w:t>national</w:t>
      </w:r>
      <w:r>
        <w:rPr>
          <w:spacing w:val="-7"/>
          <w:sz w:val="18"/>
        </w:rPr>
        <w:t> </w:t>
      </w:r>
      <w:r>
        <w:rPr>
          <w:sz w:val="18"/>
        </w:rPr>
        <w:t>insurance</w:t>
      </w:r>
      <w:r>
        <w:rPr>
          <w:spacing w:val="-8"/>
          <w:sz w:val="18"/>
        </w:rPr>
        <w:t> </w:t>
      </w:r>
      <w:r>
        <w:rPr>
          <w:sz w:val="18"/>
        </w:rPr>
        <w:t>registrations</w:t>
      </w:r>
      <w:r>
        <w:rPr>
          <w:spacing w:val="-7"/>
          <w:sz w:val="18"/>
        </w:rPr>
        <w:t> </w:t>
      </w:r>
      <w:r>
        <w:rPr>
          <w:sz w:val="18"/>
        </w:rPr>
        <w:t>to</w:t>
      </w:r>
      <w:r>
        <w:rPr>
          <w:spacing w:val="-8"/>
          <w:sz w:val="18"/>
        </w:rPr>
        <w:t> </w:t>
      </w:r>
      <w:r>
        <w:rPr>
          <w:sz w:val="18"/>
        </w:rPr>
        <w:t>adult</w:t>
      </w:r>
      <w:r>
        <w:rPr>
          <w:spacing w:val="-7"/>
          <w:sz w:val="18"/>
        </w:rPr>
        <w:t> </w:t>
      </w:r>
      <w:r>
        <w:rPr>
          <w:sz w:val="18"/>
        </w:rPr>
        <w:t>overseas</w:t>
      </w:r>
      <w:r>
        <w:rPr>
          <w:spacing w:val="-8"/>
          <w:sz w:val="18"/>
        </w:rPr>
        <w:t> </w:t>
      </w:r>
      <w:r>
        <w:rPr>
          <w:sz w:val="18"/>
        </w:rPr>
        <w:t>nationals</w:t>
      </w:r>
      <w:r>
        <w:rPr>
          <w:spacing w:val="-8"/>
          <w:sz w:val="18"/>
        </w:rPr>
        <w:t> </w:t>
      </w:r>
      <w:r>
        <w:rPr>
          <w:sz w:val="18"/>
        </w:rPr>
        <w:t>are</w:t>
      </w:r>
      <w:r>
        <w:rPr>
          <w:spacing w:val="-7"/>
          <w:sz w:val="18"/>
        </w:rPr>
        <w:t> </w:t>
      </w:r>
      <w:r>
        <w:rPr>
          <w:sz w:val="18"/>
        </w:rPr>
        <w:t>one</w:t>
      </w:r>
      <w:r>
        <w:rPr>
          <w:spacing w:val="-7"/>
          <w:sz w:val="18"/>
        </w:rPr>
        <w:t> </w:t>
      </w:r>
      <w:r>
        <w:rPr>
          <w:sz w:val="18"/>
        </w:rPr>
        <w:t>way</w:t>
      </w:r>
      <w:r>
        <w:rPr>
          <w:spacing w:val="-8"/>
          <w:sz w:val="18"/>
        </w:rPr>
        <w:t> </w:t>
      </w:r>
      <w:r>
        <w:rPr>
          <w:sz w:val="18"/>
        </w:rPr>
        <w:t>to</w:t>
      </w:r>
      <w:r>
        <w:rPr>
          <w:spacing w:val="-7"/>
          <w:sz w:val="18"/>
        </w:rPr>
        <w:t> </w:t>
      </w:r>
      <w:r>
        <w:rPr>
          <w:sz w:val="18"/>
        </w:rPr>
        <w:t>estimate</w:t>
      </w:r>
      <w:r>
        <w:rPr>
          <w:spacing w:val="-8"/>
          <w:sz w:val="18"/>
        </w:rPr>
        <w:t> </w:t>
      </w:r>
      <w:r>
        <w:rPr>
          <w:sz w:val="18"/>
        </w:rPr>
        <w:t>migration</w:t>
      </w:r>
      <w:r>
        <w:rPr>
          <w:spacing w:val="-7"/>
          <w:sz w:val="18"/>
        </w:rPr>
        <w:t> </w:t>
      </w:r>
      <w:r>
        <w:rPr>
          <w:spacing w:val="-2"/>
          <w:sz w:val="18"/>
        </w:rPr>
        <w:t>flow.</w:t>
      </w:r>
    </w:p>
    <w:p>
      <w:pPr>
        <w:pStyle w:val="ListParagraph"/>
        <w:numPr>
          <w:ilvl w:val="0"/>
          <w:numId w:val="15"/>
        </w:numPr>
        <w:tabs>
          <w:tab w:pos="1853" w:val="left" w:leader="none"/>
        </w:tabs>
        <w:spacing w:line="216" w:lineRule="exact" w:before="0" w:after="0"/>
        <w:ind w:left="1853" w:right="0" w:hanging="720"/>
        <w:jc w:val="left"/>
        <w:rPr>
          <w:sz w:val="18"/>
        </w:rPr>
      </w:pPr>
      <w:r>
        <w:rPr>
          <w:sz w:val="18"/>
        </w:rPr>
        <w:t>John</w:t>
      </w:r>
      <w:r>
        <w:rPr>
          <w:spacing w:val="-8"/>
          <w:sz w:val="18"/>
        </w:rPr>
        <w:t> </w:t>
      </w:r>
      <w:r>
        <w:rPr>
          <w:sz w:val="18"/>
        </w:rPr>
        <w:t>Campbell,</w:t>
      </w:r>
      <w:r>
        <w:rPr>
          <w:spacing w:val="-6"/>
          <w:sz w:val="18"/>
        </w:rPr>
        <w:t> </w:t>
      </w:r>
      <w:r>
        <w:rPr>
          <w:sz w:val="18"/>
        </w:rPr>
        <w:t>‘Northern</w:t>
      </w:r>
      <w:r>
        <w:rPr>
          <w:spacing w:val="-7"/>
          <w:sz w:val="18"/>
        </w:rPr>
        <w:t> </w:t>
      </w:r>
      <w:r>
        <w:rPr>
          <w:sz w:val="18"/>
        </w:rPr>
        <w:t>Ireland</w:t>
      </w:r>
      <w:r>
        <w:rPr>
          <w:spacing w:val="-8"/>
          <w:sz w:val="18"/>
        </w:rPr>
        <w:t> </w:t>
      </w:r>
      <w:r>
        <w:rPr>
          <w:sz w:val="18"/>
        </w:rPr>
        <w:t>migration</w:t>
      </w:r>
      <w:r>
        <w:rPr>
          <w:spacing w:val="-7"/>
          <w:sz w:val="18"/>
        </w:rPr>
        <w:t> </w:t>
      </w:r>
      <w:r>
        <w:rPr>
          <w:sz w:val="18"/>
        </w:rPr>
        <w:t>patterns</w:t>
      </w:r>
      <w:r>
        <w:rPr>
          <w:spacing w:val="-7"/>
          <w:sz w:val="18"/>
        </w:rPr>
        <w:t> </w:t>
      </w:r>
      <w:r>
        <w:rPr>
          <w:sz w:val="18"/>
        </w:rPr>
        <w:t>‘shifting</w:t>
      </w:r>
      <w:r>
        <w:rPr>
          <w:spacing w:val="-6"/>
          <w:sz w:val="18"/>
        </w:rPr>
        <w:t> </w:t>
      </w:r>
      <w:r>
        <w:rPr>
          <w:sz w:val="18"/>
        </w:rPr>
        <w:t>outside</w:t>
      </w:r>
      <w:r>
        <w:rPr>
          <w:spacing w:val="-7"/>
          <w:sz w:val="18"/>
        </w:rPr>
        <w:t> </w:t>
      </w:r>
      <w:r>
        <w:rPr>
          <w:sz w:val="18"/>
        </w:rPr>
        <w:t>EU’’,</w:t>
      </w:r>
      <w:r>
        <w:rPr>
          <w:spacing w:val="-8"/>
          <w:sz w:val="18"/>
        </w:rPr>
        <w:t> </w:t>
      </w:r>
      <w:r>
        <w:rPr>
          <w:i/>
          <w:sz w:val="18"/>
        </w:rPr>
        <w:t>BBC</w:t>
      </w:r>
      <w:r>
        <w:rPr>
          <w:i/>
          <w:spacing w:val="-7"/>
          <w:sz w:val="18"/>
        </w:rPr>
        <w:t> </w:t>
      </w:r>
      <w:r>
        <w:rPr>
          <w:i/>
          <w:sz w:val="18"/>
        </w:rPr>
        <w:t>News</w:t>
      </w:r>
      <w:r>
        <w:rPr>
          <w:sz w:val="18"/>
        </w:rPr>
        <w:t>,</w:t>
      </w:r>
      <w:r>
        <w:rPr>
          <w:spacing w:val="-6"/>
          <w:sz w:val="18"/>
        </w:rPr>
        <w:t> </w:t>
      </w:r>
      <w:r>
        <w:rPr>
          <w:sz w:val="18"/>
        </w:rPr>
        <w:t>10</w:t>
      </w:r>
      <w:r>
        <w:rPr>
          <w:spacing w:val="-7"/>
          <w:sz w:val="18"/>
        </w:rPr>
        <w:t> </w:t>
      </w:r>
      <w:r>
        <w:rPr>
          <w:sz w:val="18"/>
        </w:rPr>
        <w:t>March</w:t>
      </w:r>
      <w:r>
        <w:rPr>
          <w:spacing w:val="-7"/>
          <w:sz w:val="18"/>
        </w:rPr>
        <w:t> </w:t>
      </w:r>
      <w:r>
        <w:rPr>
          <w:spacing w:val="-2"/>
          <w:sz w:val="18"/>
        </w:rPr>
        <w:t>2023.</w:t>
      </w:r>
    </w:p>
    <w:p>
      <w:pPr>
        <w:pStyle w:val="ListParagraph"/>
        <w:numPr>
          <w:ilvl w:val="0"/>
          <w:numId w:val="15"/>
        </w:numPr>
        <w:tabs>
          <w:tab w:pos="1853" w:val="left" w:leader="none"/>
        </w:tabs>
        <w:spacing w:line="235" w:lineRule="auto" w:before="1" w:after="0"/>
        <w:ind w:left="1853" w:right="1506" w:hanging="720"/>
        <w:jc w:val="left"/>
        <w:rPr>
          <w:sz w:val="18"/>
        </w:rPr>
      </w:pP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‘Policy</w:t>
      </w:r>
      <w:r>
        <w:rPr>
          <w:spacing w:val="-4"/>
          <w:sz w:val="18"/>
        </w:rPr>
        <w:t> </w:t>
      </w:r>
      <w:r>
        <w:rPr>
          <w:sz w:val="18"/>
        </w:rPr>
        <w:t>Recommendations: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Minority</w:t>
      </w:r>
      <w:r>
        <w:rPr>
          <w:spacing w:val="-4"/>
          <w:sz w:val="18"/>
        </w:rPr>
        <w:t> </w:t>
      </w:r>
      <w:r>
        <w:rPr>
          <w:sz w:val="18"/>
        </w:rPr>
        <w:t>Ethnic</w:t>
      </w:r>
      <w:r>
        <w:rPr>
          <w:spacing w:val="-4"/>
          <w:sz w:val="18"/>
        </w:rPr>
        <w:t> </w:t>
      </w:r>
      <w:r>
        <w:rPr>
          <w:sz w:val="18"/>
        </w:rPr>
        <w:t>and</w:t>
      </w:r>
      <w:r>
        <w:rPr>
          <w:spacing w:val="-5"/>
          <w:sz w:val="18"/>
        </w:rPr>
        <w:t> </w:t>
      </w:r>
      <w:r>
        <w:rPr>
          <w:sz w:val="18"/>
        </w:rPr>
        <w:t>Migrant</w:t>
      </w:r>
      <w:r>
        <w:rPr>
          <w:spacing w:val="-4"/>
          <w:sz w:val="18"/>
        </w:rPr>
        <w:t> </w:t>
      </w:r>
      <w:r>
        <w:rPr>
          <w:sz w:val="18"/>
        </w:rPr>
        <w:t>People</w:t>
      </w:r>
      <w:r>
        <w:rPr>
          <w:spacing w:val="-4"/>
          <w:sz w:val="18"/>
        </w:rPr>
        <w:t> </w:t>
      </w:r>
      <w:r>
        <w:rPr>
          <w:sz w:val="18"/>
        </w:rPr>
        <w:t>in Northern Ireland’ (ECNI, 2024), at 83.</w:t>
      </w:r>
    </w:p>
    <w:p>
      <w:pPr>
        <w:spacing w:after="0" w:line="235" w:lineRule="auto"/>
        <w:jc w:val="left"/>
        <w:rPr>
          <w:sz w:val="18"/>
        </w:rPr>
        <w:sectPr>
          <w:pgSz w:w="11910" w:h="16840"/>
          <w:pgMar w:header="496" w:footer="367" w:top="1220" w:bottom="560" w:left="0" w:right="0"/>
        </w:sectPr>
      </w:pPr>
    </w:p>
    <w:p>
      <w:pPr>
        <w:pStyle w:val="BodyText"/>
        <w:spacing w:before="198"/>
      </w:pPr>
    </w:p>
    <w:p>
      <w:pPr>
        <w:pStyle w:val="ListParagraph"/>
        <w:numPr>
          <w:ilvl w:val="1"/>
          <w:numId w:val="13"/>
        </w:numPr>
        <w:tabs>
          <w:tab w:pos="1853" w:val="left" w:leader="none"/>
        </w:tabs>
        <w:spacing w:line="225" w:lineRule="auto" w:before="0" w:after="0"/>
        <w:ind w:left="1853" w:right="1215" w:hanging="720"/>
        <w:jc w:val="left"/>
        <w:rPr>
          <w:b/>
          <w:color w:val="67287F"/>
          <w:sz w:val="28"/>
        </w:rPr>
      </w:pPr>
      <w:bookmarkStart w:name="_bookmark58" w:id="131"/>
      <w:bookmarkEnd w:id="131"/>
      <w:r>
        <w:rPr/>
      </w:r>
      <w:r>
        <w:rPr>
          <w:b/>
          <w:color w:val="67287F"/>
          <w:sz w:val="28"/>
        </w:rPr>
        <w:t>The ECNI recommends that the Department of Health undertakes research into the degree to which Brexit has impacted on migrant workers who have been</w:t>
      </w:r>
      <w:r>
        <w:rPr>
          <w:b/>
          <w:color w:val="67287F"/>
          <w:spacing w:val="-5"/>
          <w:sz w:val="28"/>
        </w:rPr>
        <w:t> </w:t>
      </w:r>
      <w:r>
        <w:rPr>
          <w:b/>
          <w:color w:val="67287F"/>
          <w:sz w:val="28"/>
        </w:rPr>
        <w:t>sponsored</w:t>
      </w:r>
      <w:r>
        <w:rPr>
          <w:b/>
          <w:color w:val="67287F"/>
          <w:spacing w:val="-5"/>
          <w:sz w:val="28"/>
        </w:rPr>
        <w:t> </w:t>
      </w:r>
      <w:r>
        <w:rPr>
          <w:b/>
          <w:color w:val="67287F"/>
          <w:sz w:val="28"/>
        </w:rPr>
        <w:t>to</w:t>
      </w:r>
      <w:r>
        <w:rPr>
          <w:b/>
          <w:color w:val="67287F"/>
          <w:spacing w:val="-5"/>
          <w:sz w:val="28"/>
        </w:rPr>
        <w:t> </w:t>
      </w:r>
      <w:r>
        <w:rPr>
          <w:b/>
          <w:color w:val="67287F"/>
          <w:sz w:val="28"/>
        </w:rPr>
        <w:t>work</w:t>
      </w:r>
      <w:r>
        <w:rPr>
          <w:b/>
          <w:color w:val="67287F"/>
          <w:spacing w:val="-6"/>
          <w:sz w:val="28"/>
        </w:rPr>
        <w:t> </w:t>
      </w:r>
      <w:r>
        <w:rPr>
          <w:b/>
          <w:color w:val="67287F"/>
          <w:sz w:val="28"/>
        </w:rPr>
        <w:t>in</w:t>
      </w:r>
      <w:r>
        <w:rPr>
          <w:b/>
          <w:color w:val="67287F"/>
          <w:spacing w:val="-5"/>
          <w:sz w:val="28"/>
        </w:rPr>
        <w:t> </w:t>
      </w:r>
      <w:r>
        <w:rPr>
          <w:b/>
          <w:color w:val="67287F"/>
          <w:sz w:val="28"/>
        </w:rPr>
        <w:t>health</w:t>
      </w:r>
      <w:r>
        <w:rPr>
          <w:b/>
          <w:color w:val="67287F"/>
          <w:spacing w:val="-5"/>
          <w:sz w:val="28"/>
        </w:rPr>
        <w:t> </w:t>
      </w:r>
      <w:r>
        <w:rPr>
          <w:b/>
          <w:color w:val="67287F"/>
          <w:sz w:val="28"/>
        </w:rPr>
        <w:t>and</w:t>
      </w:r>
      <w:r>
        <w:rPr>
          <w:b/>
          <w:color w:val="67287F"/>
          <w:spacing w:val="-5"/>
          <w:sz w:val="28"/>
        </w:rPr>
        <w:t> </w:t>
      </w:r>
      <w:r>
        <w:rPr>
          <w:b/>
          <w:color w:val="67287F"/>
          <w:sz w:val="28"/>
        </w:rPr>
        <w:t>social</w:t>
      </w:r>
      <w:r>
        <w:rPr>
          <w:b/>
          <w:color w:val="67287F"/>
          <w:spacing w:val="-5"/>
          <w:sz w:val="28"/>
        </w:rPr>
        <w:t> </w:t>
      </w:r>
      <w:r>
        <w:rPr>
          <w:b/>
          <w:color w:val="67287F"/>
          <w:sz w:val="28"/>
        </w:rPr>
        <w:t>care</w:t>
      </w:r>
      <w:r>
        <w:rPr>
          <w:b/>
          <w:color w:val="67287F"/>
          <w:spacing w:val="-6"/>
          <w:sz w:val="28"/>
        </w:rPr>
        <w:t> </w:t>
      </w:r>
      <w:r>
        <w:rPr>
          <w:b/>
          <w:color w:val="67287F"/>
          <w:sz w:val="28"/>
        </w:rPr>
        <w:t>in</w:t>
      </w:r>
      <w:r>
        <w:rPr>
          <w:b/>
          <w:color w:val="67287F"/>
          <w:spacing w:val="-5"/>
          <w:sz w:val="28"/>
        </w:rPr>
        <w:t> </w:t>
      </w:r>
      <w:r>
        <w:rPr>
          <w:b/>
          <w:color w:val="67287F"/>
          <w:sz w:val="28"/>
        </w:rPr>
        <w:t>NI,</w:t>
      </w:r>
      <w:r>
        <w:rPr>
          <w:b/>
          <w:color w:val="67287F"/>
          <w:spacing w:val="-5"/>
          <w:sz w:val="28"/>
        </w:rPr>
        <w:t> </w:t>
      </w:r>
      <w:r>
        <w:rPr>
          <w:b/>
          <w:color w:val="67287F"/>
          <w:sz w:val="28"/>
        </w:rPr>
        <w:t>including</w:t>
      </w:r>
      <w:r>
        <w:rPr>
          <w:b/>
          <w:color w:val="67287F"/>
          <w:spacing w:val="-6"/>
          <w:sz w:val="28"/>
        </w:rPr>
        <w:t> </w:t>
      </w:r>
      <w:r>
        <w:rPr>
          <w:b/>
          <w:color w:val="67287F"/>
          <w:sz w:val="28"/>
        </w:rPr>
        <w:t>employers’ awareness of, and compliance with, the code of practice governing repayment clauses relating to such migrant workers, and takes effective measures to address issues identified.</w:t>
      </w:r>
    </w:p>
    <w:p>
      <w:pPr>
        <w:pStyle w:val="ListParagraph"/>
        <w:numPr>
          <w:ilvl w:val="1"/>
          <w:numId w:val="13"/>
        </w:numPr>
        <w:tabs>
          <w:tab w:pos="1853" w:val="left" w:leader="none"/>
        </w:tabs>
        <w:spacing w:line="225" w:lineRule="auto" w:before="313" w:after="0"/>
        <w:ind w:left="1853" w:right="1157" w:hanging="720"/>
        <w:jc w:val="left"/>
        <w:rPr>
          <w:b/>
          <w:color w:val="67287F"/>
          <w:sz w:val="28"/>
        </w:rPr>
      </w:pPr>
      <w:r>
        <w:rPr>
          <w:b/>
          <w:color w:val="67287F"/>
          <w:sz w:val="28"/>
        </w:rPr>
        <w:t>The</w:t>
      </w:r>
      <w:r>
        <w:rPr>
          <w:b/>
          <w:color w:val="67287F"/>
          <w:spacing w:val="-8"/>
          <w:sz w:val="28"/>
        </w:rPr>
        <w:t> </w:t>
      </w:r>
      <w:r>
        <w:rPr>
          <w:b/>
          <w:color w:val="67287F"/>
          <w:sz w:val="28"/>
        </w:rPr>
        <w:t>ECNI</w:t>
      </w:r>
      <w:r>
        <w:rPr>
          <w:b/>
          <w:color w:val="67287F"/>
          <w:spacing w:val="-7"/>
          <w:sz w:val="28"/>
        </w:rPr>
        <w:t> </w:t>
      </w:r>
      <w:r>
        <w:rPr>
          <w:b/>
          <w:color w:val="67287F"/>
          <w:sz w:val="28"/>
        </w:rPr>
        <w:t>recommends</w:t>
      </w:r>
      <w:r>
        <w:rPr>
          <w:b/>
          <w:color w:val="67287F"/>
          <w:spacing w:val="-7"/>
          <w:sz w:val="28"/>
        </w:rPr>
        <w:t> </w:t>
      </w:r>
      <w:r>
        <w:rPr>
          <w:b/>
          <w:color w:val="67287F"/>
          <w:sz w:val="28"/>
        </w:rPr>
        <w:t>that</w:t>
      </w:r>
      <w:r>
        <w:rPr>
          <w:b/>
          <w:color w:val="67287F"/>
          <w:spacing w:val="-7"/>
          <w:sz w:val="28"/>
        </w:rPr>
        <w:t> </w:t>
      </w:r>
      <w:r>
        <w:rPr>
          <w:b/>
          <w:color w:val="67287F"/>
          <w:sz w:val="28"/>
        </w:rPr>
        <w:t>the</w:t>
      </w:r>
      <w:r>
        <w:rPr>
          <w:b/>
          <w:color w:val="67287F"/>
          <w:spacing w:val="-8"/>
          <w:sz w:val="28"/>
        </w:rPr>
        <w:t> </w:t>
      </w:r>
      <w:r>
        <w:rPr>
          <w:b/>
          <w:color w:val="67287F"/>
          <w:sz w:val="28"/>
        </w:rPr>
        <w:t>Department</w:t>
      </w:r>
      <w:r>
        <w:rPr>
          <w:b/>
          <w:color w:val="67287F"/>
          <w:spacing w:val="-7"/>
          <w:sz w:val="28"/>
        </w:rPr>
        <w:t> </w:t>
      </w:r>
      <w:r>
        <w:rPr>
          <w:b/>
          <w:color w:val="67287F"/>
          <w:sz w:val="28"/>
        </w:rPr>
        <w:t>for</w:t>
      </w:r>
      <w:r>
        <w:rPr>
          <w:b/>
          <w:color w:val="67287F"/>
          <w:spacing w:val="-8"/>
          <w:sz w:val="28"/>
        </w:rPr>
        <w:t> </w:t>
      </w:r>
      <w:r>
        <w:rPr>
          <w:b/>
          <w:color w:val="67287F"/>
          <w:sz w:val="28"/>
        </w:rPr>
        <w:t>Economy</w:t>
      </w:r>
      <w:r>
        <w:rPr>
          <w:b/>
          <w:color w:val="67287F"/>
          <w:spacing w:val="-7"/>
          <w:sz w:val="28"/>
        </w:rPr>
        <w:t> </w:t>
      </w:r>
      <w:r>
        <w:rPr>
          <w:b/>
          <w:color w:val="67287F"/>
          <w:sz w:val="28"/>
        </w:rPr>
        <w:t>should</w:t>
      </w:r>
      <w:r>
        <w:rPr>
          <w:b/>
          <w:color w:val="67287F"/>
          <w:spacing w:val="-7"/>
          <w:sz w:val="28"/>
        </w:rPr>
        <w:t> </w:t>
      </w:r>
      <w:r>
        <w:rPr>
          <w:b/>
          <w:color w:val="67287F"/>
          <w:sz w:val="28"/>
        </w:rPr>
        <w:t>commission research to provide a clearer understanding of the impact of Brexit on the flow of EU migrants into and from NI, so as to inform the identification and addressing</w:t>
      </w:r>
      <w:r>
        <w:rPr>
          <w:b/>
          <w:color w:val="67287F"/>
          <w:spacing w:val="-3"/>
          <w:sz w:val="28"/>
        </w:rPr>
        <w:t> </w:t>
      </w:r>
      <w:r>
        <w:rPr>
          <w:b/>
          <w:color w:val="67287F"/>
          <w:sz w:val="28"/>
        </w:rPr>
        <w:t>of</w:t>
      </w:r>
      <w:r>
        <w:rPr>
          <w:b/>
          <w:color w:val="67287F"/>
          <w:spacing w:val="-3"/>
          <w:sz w:val="28"/>
        </w:rPr>
        <w:t> </w:t>
      </w:r>
      <w:r>
        <w:rPr>
          <w:b/>
          <w:color w:val="67287F"/>
          <w:sz w:val="28"/>
        </w:rPr>
        <w:t>barriers,</w:t>
      </w:r>
      <w:r>
        <w:rPr>
          <w:b/>
          <w:color w:val="67287F"/>
          <w:spacing w:val="-2"/>
          <w:sz w:val="28"/>
        </w:rPr>
        <w:t> </w:t>
      </w:r>
      <w:r>
        <w:rPr>
          <w:b/>
          <w:color w:val="67287F"/>
          <w:sz w:val="28"/>
        </w:rPr>
        <w:t>including</w:t>
      </w:r>
      <w:r>
        <w:rPr>
          <w:b/>
          <w:color w:val="67287F"/>
          <w:spacing w:val="-3"/>
          <w:sz w:val="28"/>
        </w:rPr>
        <w:t> </w:t>
      </w:r>
      <w:r>
        <w:rPr>
          <w:b/>
          <w:color w:val="67287F"/>
          <w:sz w:val="28"/>
        </w:rPr>
        <w:t>in</w:t>
      </w:r>
      <w:r>
        <w:rPr>
          <w:b/>
          <w:color w:val="67287F"/>
          <w:spacing w:val="-2"/>
          <w:sz w:val="28"/>
        </w:rPr>
        <w:t> </w:t>
      </w:r>
      <w:r>
        <w:rPr>
          <w:b/>
          <w:color w:val="67287F"/>
          <w:sz w:val="28"/>
        </w:rPr>
        <w:t>the</w:t>
      </w:r>
      <w:r>
        <w:rPr>
          <w:b/>
          <w:color w:val="67287F"/>
          <w:spacing w:val="-3"/>
          <w:sz w:val="28"/>
        </w:rPr>
        <w:t> </w:t>
      </w:r>
      <w:r>
        <w:rPr>
          <w:b/>
          <w:color w:val="67287F"/>
          <w:sz w:val="28"/>
        </w:rPr>
        <w:t>context</w:t>
      </w:r>
      <w:r>
        <w:rPr>
          <w:b/>
          <w:color w:val="67287F"/>
          <w:spacing w:val="-2"/>
          <w:sz w:val="28"/>
        </w:rPr>
        <w:t> </w:t>
      </w:r>
      <w:r>
        <w:rPr>
          <w:b/>
          <w:color w:val="67287F"/>
          <w:sz w:val="28"/>
        </w:rPr>
        <w:t>of</w:t>
      </w:r>
      <w:r>
        <w:rPr>
          <w:b/>
          <w:color w:val="67287F"/>
          <w:spacing w:val="-3"/>
          <w:sz w:val="28"/>
        </w:rPr>
        <w:t> </w:t>
      </w:r>
      <w:r>
        <w:rPr>
          <w:b/>
          <w:color w:val="67287F"/>
          <w:sz w:val="28"/>
        </w:rPr>
        <w:t>accessing</w:t>
      </w:r>
      <w:r>
        <w:rPr>
          <w:b/>
          <w:color w:val="67287F"/>
          <w:spacing w:val="-3"/>
          <w:sz w:val="28"/>
        </w:rPr>
        <w:t> </w:t>
      </w:r>
      <w:r>
        <w:rPr>
          <w:b/>
          <w:color w:val="67287F"/>
          <w:sz w:val="28"/>
        </w:rPr>
        <w:t>and</w:t>
      </w:r>
      <w:r>
        <w:rPr>
          <w:b/>
          <w:color w:val="67287F"/>
          <w:spacing w:val="-2"/>
          <w:sz w:val="28"/>
        </w:rPr>
        <w:t> </w:t>
      </w:r>
      <w:r>
        <w:rPr>
          <w:b/>
          <w:color w:val="67287F"/>
          <w:sz w:val="28"/>
        </w:rPr>
        <w:t>remaining</w:t>
      </w:r>
      <w:r>
        <w:rPr>
          <w:b/>
          <w:color w:val="67287F"/>
          <w:spacing w:val="-3"/>
          <w:sz w:val="28"/>
        </w:rPr>
        <w:t> </w:t>
      </w:r>
      <w:r>
        <w:rPr>
          <w:b/>
          <w:color w:val="67287F"/>
          <w:sz w:val="28"/>
        </w:rPr>
        <w:t>in </w:t>
      </w:r>
      <w:r>
        <w:rPr>
          <w:b/>
          <w:color w:val="67287F"/>
          <w:spacing w:val="-2"/>
          <w:sz w:val="28"/>
        </w:rPr>
        <w:t>employment.</w:t>
      </w:r>
    </w:p>
    <w:p>
      <w:pPr>
        <w:pStyle w:val="Heading3"/>
        <w:spacing w:before="341"/>
      </w:pPr>
      <w:bookmarkStart w:name="Right to Health" w:id="132"/>
      <w:bookmarkEnd w:id="132"/>
      <w:r>
        <w:rPr>
          <w:b w:val="0"/>
        </w:rPr>
      </w:r>
      <w:r>
        <w:rPr>
          <w:color w:val="67287F"/>
        </w:rPr>
        <w:t>Right</w:t>
      </w:r>
      <w:r>
        <w:rPr>
          <w:color w:val="67287F"/>
          <w:spacing w:val="-4"/>
        </w:rPr>
        <w:t> </w:t>
      </w:r>
      <w:r>
        <w:rPr>
          <w:color w:val="67287F"/>
        </w:rPr>
        <w:t>to</w:t>
      </w:r>
      <w:r>
        <w:rPr>
          <w:color w:val="67287F"/>
          <w:spacing w:val="-4"/>
        </w:rPr>
        <w:t> </w:t>
      </w:r>
      <w:r>
        <w:rPr>
          <w:color w:val="67287F"/>
          <w:spacing w:val="-2"/>
        </w:rPr>
        <w:t>Health</w:t>
      </w:r>
    </w:p>
    <w:p>
      <w:pPr>
        <w:pStyle w:val="BodyText"/>
        <w:spacing w:before="4"/>
        <w:rPr>
          <w:b/>
          <w:sz w:val="5"/>
        </w:rPr>
      </w:pPr>
      <w:r>
        <w:rPr/>
        <mc:AlternateContent>
          <mc:Choice Requires="wps">
            <w:drawing>
              <wp:anchor distT="0" distB="0" distL="0" distR="0" allowOverlap="1" layoutInCell="1" locked="0" behindDoc="1" simplePos="0" relativeHeight="487727104">
                <wp:simplePos x="0" y="0"/>
                <wp:positionH relativeFrom="page">
                  <wp:posOffset>719997</wp:posOffset>
                </wp:positionH>
                <wp:positionV relativeFrom="paragraph">
                  <wp:posOffset>56938</wp:posOffset>
                </wp:positionV>
                <wp:extent cx="6120130" cy="1270"/>
                <wp:effectExtent l="0" t="0" r="0" b="0"/>
                <wp:wrapTopAndBottom/>
                <wp:docPr id="637" name="Graphic 637"/>
                <wp:cNvGraphicFramePr>
                  <a:graphicFrameLocks/>
                </wp:cNvGraphicFramePr>
                <a:graphic>
                  <a:graphicData uri="http://schemas.microsoft.com/office/word/2010/wordprocessingShape">
                    <wps:wsp>
                      <wps:cNvPr id="637" name="Graphic 637"/>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4.483315pt;width:481.9pt;height:.1pt;mso-position-horizontal-relative:page;mso-position-vertical-relative:paragraph;z-index:-15589376;mso-wrap-distance-left:0;mso-wrap-distance-right:0" id="docshape581" coordorigin="1134,90" coordsize="9638,0" path="m10772,90l1134,90e" filled="false" stroked="true" strokeweight="1pt" strokecolor="#67287f">
                <v:path arrowok="t"/>
                <v:stroke dashstyle="solid"/>
                <w10:wrap type="topAndBottom"/>
              </v:shape>
            </w:pict>
          </mc:Fallback>
        </mc:AlternateContent>
      </w:r>
    </w:p>
    <w:p>
      <w:pPr>
        <w:pStyle w:val="ListParagraph"/>
        <w:numPr>
          <w:ilvl w:val="1"/>
          <w:numId w:val="13"/>
        </w:numPr>
        <w:tabs>
          <w:tab w:pos="1853" w:val="left" w:leader="none"/>
        </w:tabs>
        <w:spacing w:line="225" w:lineRule="auto" w:before="331" w:after="0"/>
        <w:ind w:left="1853" w:right="1367" w:hanging="720"/>
        <w:jc w:val="left"/>
        <w:rPr>
          <w:sz w:val="28"/>
        </w:rPr>
      </w:pPr>
      <w:r>
        <w:rPr>
          <w:sz w:val="28"/>
        </w:rPr>
        <w:t>The</w:t>
      </w:r>
      <w:r>
        <w:rPr>
          <w:spacing w:val="-1"/>
          <w:sz w:val="28"/>
        </w:rPr>
        <w:t> </w:t>
      </w:r>
      <w:r>
        <w:rPr>
          <w:sz w:val="28"/>
        </w:rPr>
        <w:t>right</w:t>
      </w:r>
      <w:r>
        <w:rPr>
          <w:spacing w:val="-1"/>
          <w:sz w:val="28"/>
        </w:rPr>
        <w:t> </w:t>
      </w:r>
      <w:r>
        <w:rPr>
          <w:sz w:val="28"/>
        </w:rPr>
        <w:t>to</w:t>
      </w:r>
      <w:r>
        <w:rPr>
          <w:spacing w:val="-2"/>
          <w:sz w:val="28"/>
        </w:rPr>
        <w:t> </w:t>
      </w:r>
      <w:r>
        <w:rPr>
          <w:sz w:val="28"/>
        </w:rPr>
        <w:t>the</w:t>
      </w:r>
      <w:r>
        <w:rPr>
          <w:spacing w:val="-1"/>
          <w:sz w:val="28"/>
        </w:rPr>
        <w:t> </w:t>
      </w:r>
      <w:r>
        <w:rPr>
          <w:sz w:val="28"/>
        </w:rPr>
        <w:t>highest</w:t>
      </w:r>
      <w:r>
        <w:rPr>
          <w:spacing w:val="-1"/>
          <w:sz w:val="28"/>
        </w:rPr>
        <w:t> </w:t>
      </w:r>
      <w:r>
        <w:rPr>
          <w:sz w:val="28"/>
        </w:rPr>
        <w:t>attainable</w:t>
      </w:r>
      <w:r>
        <w:rPr>
          <w:spacing w:val="-1"/>
          <w:sz w:val="28"/>
        </w:rPr>
        <w:t> </w:t>
      </w:r>
      <w:r>
        <w:rPr>
          <w:sz w:val="28"/>
        </w:rPr>
        <w:t>standard</w:t>
      </w:r>
      <w:r>
        <w:rPr>
          <w:spacing w:val="-2"/>
          <w:sz w:val="28"/>
        </w:rPr>
        <w:t> </w:t>
      </w:r>
      <w:r>
        <w:rPr>
          <w:sz w:val="28"/>
        </w:rPr>
        <w:t>to</w:t>
      </w:r>
      <w:r>
        <w:rPr>
          <w:spacing w:val="-2"/>
          <w:sz w:val="28"/>
        </w:rPr>
        <w:t> </w:t>
      </w:r>
      <w:r>
        <w:rPr>
          <w:sz w:val="28"/>
        </w:rPr>
        <w:t>health</w:t>
      </w:r>
      <w:r>
        <w:rPr>
          <w:spacing w:val="-2"/>
          <w:sz w:val="28"/>
        </w:rPr>
        <w:t> </w:t>
      </w:r>
      <w:r>
        <w:rPr>
          <w:sz w:val="28"/>
        </w:rPr>
        <w:t>is</w:t>
      </w:r>
      <w:r>
        <w:rPr>
          <w:spacing w:val="-2"/>
          <w:sz w:val="28"/>
        </w:rPr>
        <w:t> </w:t>
      </w:r>
      <w:r>
        <w:rPr>
          <w:sz w:val="28"/>
        </w:rPr>
        <w:t>protected</w:t>
      </w:r>
      <w:r>
        <w:rPr>
          <w:spacing w:val="-2"/>
          <w:sz w:val="28"/>
        </w:rPr>
        <w:t> </w:t>
      </w:r>
      <w:r>
        <w:rPr>
          <w:sz w:val="28"/>
        </w:rPr>
        <w:t>under</w:t>
      </w:r>
      <w:r>
        <w:rPr>
          <w:spacing w:val="-1"/>
          <w:sz w:val="28"/>
        </w:rPr>
        <w:t> </w:t>
      </w:r>
      <w:r>
        <w:rPr>
          <w:sz w:val="28"/>
        </w:rPr>
        <w:t>the UN ICESCR, UN CRC and UN CRPD.</w:t>
      </w:r>
      <w:r>
        <w:rPr>
          <w:sz w:val="28"/>
          <w:vertAlign w:val="superscript"/>
        </w:rPr>
        <w:t>846</w:t>
      </w:r>
      <w:r>
        <w:rPr>
          <w:spacing w:val="40"/>
          <w:sz w:val="28"/>
          <w:vertAlign w:val="baseline"/>
        </w:rPr>
        <w:t> </w:t>
      </w:r>
      <w:r>
        <w:rPr>
          <w:sz w:val="28"/>
          <w:vertAlign w:val="baseline"/>
        </w:rPr>
        <w:t>As a minimum, respect for the right to health</w:t>
      </w:r>
      <w:r>
        <w:rPr>
          <w:spacing w:val="-5"/>
          <w:sz w:val="28"/>
          <w:vertAlign w:val="baseline"/>
        </w:rPr>
        <w:t> </w:t>
      </w:r>
      <w:r>
        <w:rPr>
          <w:sz w:val="28"/>
          <w:vertAlign w:val="baseline"/>
        </w:rPr>
        <w:t>includes</w:t>
      </w:r>
      <w:r>
        <w:rPr>
          <w:spacing w:val="-5"/>
          <w:sz w:val="28"/>
          <w:vertAlign w:val="baseline"/>
        </w:rPr>
        <w:t> </w:t>
      </w:r>
      <w:r>
        <w:rPr>
          <w:sz w:val="28"/>
          <w:vertAlign w:val="baseline"/>
        </w:rPr>
        <w:t>the</w:t>
      </w:r>
      <w:r>
        <w:rPr>
          <w:spacing w:val="-4"/>
          <w:sz w:val="28"/>
          <w:vertAlign w:val="baseline"/>
        </w:rPr>
        <w:t> </w:t>
      </w:r>
      <w:r>
        <w:rPr>
          <w:sz w:val="28"/>
          <w:vertAlign w:val="baseline"/>
        </w:rPr>
        <w:t>prohibition</w:t>
      </w:r>
      <w:r>
        <w:rPr>
          <w:spacing w:val="-5"/>
          <w:sz w:val="28"/>
          <w:vertAlign w:val="baseline"/>
        </w:rPr>
        <w:t> </w:t>
      </w:r>
      <w:r>
        <w:rPr>
          <w:sz w:val="28"/>
          <w:vertAlign w:val="baseline"/>
        </w:rPr>
        <w:t>of</w:t>
      </w:r>
      <w:r>
        <w:rPr>
          <w:spacing w:val="-5"/>
          <w:sz w:val="28"/>
          <w:vertAlign w:val="baseline"/>
        </w:rPr>
        <w:t> </w:t>
      </w:r>
      <w:r>
        <w:rPr>
          <w:sz w:val="28"/>
          <w:vertAlign w:val="baseline"/>
        </w:rPr>
        <w:t>unlawful</w:t>
      </w:r>
      <w:r>
        <w:rPr>
          <w:spacing w:val="-5"/>
          <w:sz w:val="28"/>
          <w:vertAlign w:val="baseline"/>
        </w:rPr>
        <w:t> </w:t>
      </w:r>
      <w:r>
        <w:rPr>
          <w:sz w:val="28"/>
          <w:vertAlign w:val="baseline"/>
        </w:rPr>
        <w:t>discrimination</w:t>
      </w:r>
      <w:r>
        <w:rPr>
          <w:spacing w:val="-5"/>
          <w:sz w:val="28"/>
          <w:vertAlign w:val="baseline"/>
        </w:rPr>
        <w:t> </w:t>
      </w:r>
      <w:r>
        <w:rPr>
          <w:sz w:val="28"/>
          <w:vertAlign w:val="baseline"/>
        </w:rPr>
        <w:t>in</w:t>
      </w:r>
      <w:r>
        <w:rPr>
          <w:spacing w:val="-5"/>
          <w:sz w:val="28"/>
          <w:vertAlign w:val="baseline"/>
        </w:rPr>
        <w:t> </w:t>
      </w:r>
      <w:r>
        <w:rPr>
          <w:sz w:val="28"/>
          <w:vertAlign w:val="baseline"/>
        </w:rPr>
        <w:t>access</w:t>
      </w:r>
      <w:r>
        <w:rPr>
          <w:spacing w:val="-5"/>
          <w:sz w:val="28"/>
          <w:vertAlign w:val="baseline"/>
        </w:rPr>
        <w:t> </w:t>
      </w:r>
      <w:r>
        <w:rPr>
          <w:sz w:val="28"/>
          <w:vertAlign w:val="baseline"/>
        </w:rPr>
        <w:t>to</w:t>
      </w:r>
      <w:r>
        <w:rPr>
          <w:spacing w:val="-5"/>
          <w:sz w:val="28"/>
          <w:vertAlign w:val="baseline"/>
        </w:rPr>
        <w:t> </w:t>
      </w:r>
      <w:r>
        <w:rPr>
          <w:sz w:val="28"/>
          <w:vertAlign w:val="baseline"/>
        </w:rPr>
        <w:t>health services.</w:t>
      </w:r>
      <w:r>
        <w:rPr>
          <w:spacing w:val="40"/>
          <w:sz w:val="28"/>
          <w:vertAlign w:val="baseline"/>
        </w:rPr>
        <w:t> </w:t>
      </w:r>
      <w:r>
        <w:rPr>
          <w:sz w:val="28"/>
          <w:vertAlign w:val="baseline"/>
        </w:rPr>
        <w:t>As noted above, the obligation to keep pace in respect of the six Annex 1 equality directives includes the EU Racial Equality Directive</w:t>
      </w:r>
      <w:r>
        <w:rPr>
          <w:sz w:val="28"/>
          <w:vertAlign w:val="superscript"/>
        </w:rPr>
        <w:t>847</w:t>
      </w:r>
      <w:r>
        <w:rPr>
          <w:sz w:val="28"/>
          <w:vertAlign w:val="baseline"/>
        </w:rPr>
        <w:t> and the EU Gender Equality (Goods and Services) Directive,</w:t>
      </w:r>
      <w:r>
        <w:rPr>
          <w:sz w:val="28"/>
          <w:vertAlign w:val="superscript"/>
        </w:rPr>
        <w:t>848</w:t>
      </w:r>
      <w:r>
        <w:rPr>
          <w:sz w:val="28"/>
          <w:vertAlign w:val="baseline"/>
        </w:rPr>
        <w:t> which prohibit discrimination</w:t>
      </w:r>
      <w:r>
        <w:rPr>
          <w:spacing w:val="-2"/>
          <w:sz w:val="28"/>
          <w:vertAlign w:val="baseline"/>
        </w:rPr>
        <w:t> </w:t>
      </w:r>
      <w:r>
        <w:rPr>
          <w:sz w:val="28"/>
          <w:vertAlign w:val="baseline"/>
        </w:rPr>
        <w:t>in</w:t>
      </w:r>
      <w:r>
        <w:rPr>
          <w:spacing w:val="-2"/>
          <w:sz w:val="28"/>
          <w:vertAlign w:val="baseline"/>
        </w:rPr>
        <w:t> </w:t>
      </w:r>
      <w:r>
        <w:rPr>
          <w:sz w:val="28"/>
          <w:vertAlign w:val="baseline"/>
        </w:rPr>
        <w:t>access</w:t>
      </w:r>
      <w:r>
        <w:rPr>
          <w:spacing w:val="-2"/>
          <w:sz w:val="28"/>
          <w:vertAlign w:val="baseline"/>
        </w:rPr>
        <w:t> </w:t>
      </w:r>
      <w:r>
        <w:rPr>
          <w:sz w:val="28"/>
          <w:vertAlign w:val="baseline"/>
        </w:rPr>
        <w:t>to</w:t>
      </w:r>
      <w:r>
        <w:rPr>
          <w:spacing w:val="-2"/>
          <w:sz w:val="28"/>
          <w:vertAlign w:val="baseline"/>
        </w:rPr>
        <w:t> </w:t>
      </w:r>
      <w:r>
        <w:rPr>
          <w:sz w:val="28"/>
          <w:vertAlign w:val="baseline"/>
        </w:rPr>
        <w:t>goods</w:t>
      </w:r>
      <w:r>
        <w:rPr>
          <w:spacing w:val="-2"/>
          <w:sz w:val="28"/>
          <w:vertAlign w:val="baseline"/>
        </w:rPr>
        <w:t> </w:t>
      </w:r>
      <w:r>
        <w:rPr>
          <w:sz w:val="28"/>
          <w:vertAlign w:val="baseline"/>
        </w:rPr>
        <w:t>and</w:t>
      </w:r>
      <w:r>
        <w:rPr>
          <w:spacing w:val="-2"/>
          <w:sz w:val="28"/>
          <w:vertAlign w:val="baseline"/>
        </w:rPr>
        <w:t> </w:t>
      </w:r>
      <w:r>
        <w:rPr>
          <w:sz w:val="28"/>
          <w:vertAlign w:val="baseline"/>
        </w:rPr>
        <w:t>services</w:t>
      </w:r>
      <w:r>
        <w:rPr>
          <w:spacing w:val="-2"/>
          <w:sz w:val="28"/>
          <w:vertAlign w:val="baseline"/>
        </w:rPr>
        <w:t> </w:t>
      </w:r>
      <w:r>
        <w:rPr>
          <w:sz w:val="28"/>
          <w:vertAlign w:val="baseline"/>
        </w:rPr>
        <w:t>on</w:t>
      </w:r>
      <w:r>
        <w:rPr>
          <w:spacing w:val="-2"/>
          <w:sz w:val="28"/>
          <w:vertAlign w:val="baseline"/>
        </w:rPr>
        <w:t> </w:t>
      </w:r>
      <w:r>
        <w:rPr>
          <w:sz w:val="28"/>
          <w:vertAlign w:val="baseline"/>
        </w:rPr>
        <w:t>grounds</w:t>
      </w:r>
      <w:r>
        <w:rPr>
          <w:spacing w:val="-2"/>
          <w:sz w:val="28"/>
          <w:vertAlign w:val="baseline"/>
        </w:rPr>
        <w:t> </w:t>
      </w:r>
      <w:r>
        <w:rPr>
          <w:sz w:val="28"/>
          <w:vertAlign w:val="baseline"/>
        </w:rPr>
        <w:t>of</w:t>
      </w:r>
      <w:r>
        <w:rPr>
          <w:spacing w:val="-2"/>
          <w:sz w:val="28"/>
          <w:vertAlign w:val="baseline"/>
        </w:rPr>
        <w:t> </w:t>
      </w:r>
      <w:r>
        <w:rPr>
          <w:sz w:val="28"/>
          <w:vertAlign w:val="baseline"/>
        </w:rPr>
        <w:t>race</w:t>
      </w:r>
      <w:r>
        <w:rPr>
          <w:spacing w:val="-1"/>
          <w:sz w:val="28"/>
          <w:vertAlign w:val="baseline"/>
        </w:rPr>
        <w:t> </w:t>
      </w:r>
      <w:r>
        <w:rPr>
          <w:sz w:val="28"/>
          <w:vertAlign w:val="baseline"/>
        </w:rPr>
        <w:t>and</w:t>
      </w:r>
      <w:r>
        <w:rPr>
          <w:spacing w:val="-2"/>
          <w:sz w:val="28"/>
          <w:vertAlign w:val="baseline"/>
        </w:rPr>
        <w:t> </w:t>
      </w:r>
      <w:r>
        <w:rPr>
          <w:sz w:val="28"/>
          <w:vertAlign w:val="baseline"/>
        </w:rPr>
        <w:t>ethnic origin and on grounds of sex respectively.</w:t>
      </w:r>
    </w:p>
    <w:p>
      <w:pPr>
        <w:pStyle w:val="ListParagraph"/>
        <w:numPr>
          <w:ilvl w:val="1"/>
          <w:numId w:val="13"/>
        </w:numPr>
        <w:tabs>
          <w:tab w:pos="1853" w:val="left" w:leader="none"/>
        </w:tabs>
        <w:spacing w:line="225" w:lineRule="auto" w:before="310" w:after="0"/>
        <w:ind w:left="1853" w:right="1282" w:hanging="720"/>
        <w:jc w:val="left"/>
        <w:rPr>
          <w:sz w:val="28"/>
        </w:rPr>
      </w:pPr>
      <w:r>
        <w:rPr>
          <w:sz w:val="28"/>
        </w:rPr>
        <w:t>In 2022, the NIHRC published research on the implications of UK withdrawal from</w:t>
      </w:r>
      <w:r>
        <w:rPr>
          <w:spacing w:val="-4"/>
          <w:sz w:val="28"/>
        </w:rPr>
        <w:t> </w:t>
      </w:r>
      <w:r>
        <w:rPr>
          <w:sz w:val="28"/>
        </w:rPr>
        <w:t>the</w:t>
      </w:r>
      <w:r>
        <w:rPr>
          <w:spacing w:val="-4"/>
          <w:sz w:val="28"/>
        </w:rPr>
        <w:t> </w:t>
      </w:r>
      <w:r>
        <w:rPr>
          <w:sz w:val="28"/>
        </w:rPr>
        <w:t>EU</w:t>
      </w:r>
      <w:r>
        <w:rPr>
          <w:spacing w:val="-4"/>
          <w:sz w:val="28"/>
        </w:rPr>
        <w:t> </w:t>
      </w:r>
      <w:r>
        <w:rPr>
          <w:sz w:val="28"/>
        </w:rPr>
        <w:t>on</w:t>
      </w:r>
      <w:r>
        <w:rPr>
          <w:spacing w:val="-5"/>
          <w:sz w:val="28"/>
        </w:rPr>
        <w:t> </w:t>
      </w:r>
      <w:r>
        <w:rPr>
          <w:sz w:val="28"/>
        </w:rPr>
        <w:t>access</w:t>
      </w:r>
      <w:r>
        <w:rPr>
          <w:spacing w:val="-5"/>
          <w:sz w:val="28"/>
        </w:rPr>
        <w:t> </w:t>
      </w:r>
      <w:r>
        <w:rPr>
          <w:sz w:val="28"/>
        </w:rPr>
        <w:t>to</w:t>
      </w:r>
      <w:r>
        <w:rPr>
          <w:spacing w:val="-5"/>
          <w:sz w:val="28"/>
        </w:rPr>
        <w:t> </w:t>
      </w:r>
      <w:r>
        <w:rPr>
          <w:sz w:val="28"/>
        </w:rPr>
        <w:t>healthcare</w:t>
      </w:r>
      <w:r>
        <w:rPr>
          <w:spacing w:val="-4"/>
          <w:sz w:val="28"/>
        </w:rPr>
        <w:t> </w:t>
      </w:r>
      <w:r>
        <w:rPr>
          <w:sz w:val="28"/>
        </w:rPr>
        <w:t>on</w:t>
      </w:r>
      <w:r>
        <w:rPr>
          <w:spacing w:val="-5"/>
          <w:sz w:val="28"/>
        </w:rPr>
        <w:t> </w:t>
      </w:r>
      <w:r>
        <w:rPr>
          <w:sz w:val="28"/>
        </w:rPr>
        <w:t>the</w:t>
      </w:r>
      <w:r>
        <w:rPr>
          <w:spacing w:val="-4"/>
          <w:sz w:val="28"/>
        </w:rPr>
        <w:t> </w:t>
      </w:r>
      <w:r>
        <w:rPr>
          <w:sz w:val="28"/>
        </w:rPr>
        <w:t>island</w:t>
      </w:r>
      <w:r>
        <w:rPr>
          <w:spacing w:val="-5"/>
          <w:sz w:val="28"/>
        </w:rPr>
        <w:t> </w:t>
      </w:r>
      <w:r>
        <w:rPr>
          <w:sz w:val="28"/>
        </w:rPr>
        <w:t>of</w:t>
      </w:r>
      <w:r>
        <w:rPr>
          <w:spacing w:val="-5"/>
          <w:sz w:val="28"/>
        </w:rPr>
        <w:t> </w:t>
      </w:r>
      <w:r>
        <w:rPr>
          <w:sz w:val="28"/>
        </w:rPr>
        <w:t>Ireland,</w:t>
      </w:r>
      <w:r>
        <w:rPr>
          <w:spacing w:val="-4"/>
          <w:sz w:val="28"/>
        </w:rPr>
        <w:t> </w:t>
      </w:r>
      <w:r>
        <w:rPr>
          <w:sz w:val="28"/>
        </w:rPr>
        <w:t>which</w:t>
      </w:r>
      <w:r>
        <w:rPr>
          <w:spacing w:val="-5"/>
          <w:sz w:val="28"/>
        </w:rPr>
        <w:t> </w:t>
      </w:r>
      <w:r>
        <w:rPr>
          <w:sz w:val="28"/>
        </w:rPr>
        <w:t>examined the interaction of various international commitments including Citizens’ rights provisions of the UK-EU Withdrawal Agreement, Windsor Framework Article 2 and the Common Travel Area.</w:t>
      </w:r>
      <w:r>
        <w:rPr>
          <w:spacing w:val="40"/>
          <w:sz w:val="28"/>
        </w:rPr>
        <w:t> </w:t>
      </w:r>
      <w:r>
        <w:rPr>
          <w:sz w:val="28"/>
        </w:rPr>
        <w:t>The NIHRC also wished to explore arrangements for continuing access to cross-border and all-island services. The research found that in a number of cases, current access to healthcare could amount to a diminution of rights.</w:t>
      </w:r>
      <w:r>
        <w:rPr>
          <w:sz w:val="28"/>
          <w:vertAlign w:val="superscript"/>
        </w:rPr>
        <w:t>849</w:t>
      </w:r>
    </w:p>
    <w:p>
      <w:pPr>
        <w:pStyle w:val="ListParagraph"/>
        <w:numPr>
          <w:ilvl w:val="1"/>
          <w:numId w:val="13"/>
        </w:numPr>
        <w:tabs>
          <w:tab w:pos="1853" w:val="left" w:leader="none"/>
        </w:tabs>
        <w:spacing w:line="225" w:lineRule="auto" w:before="310" w:after="0"/>
        <w:ind w:left="1853" w:right="1375" w:hanging="720"/>
        <w:jc w:val="left"/>
        <w:rPr>
          <w:sz w:val="28"/>
        </w:rPr>
      </w:pPr>
      <w:r>
        <w:rPr>
          <w:sz w:val="28"/>
        </w:rPr>
        <w:t>The ECNI’s independent research</w:t>
      </w:r>
      <w:r>
        <w:rPr>
          <w:sz w:val="28"/>
          <w:vertAlign w:val="superscript"/>
        </w:rPr>
        <w:t>850</w:t>
      </w:r>
      <w:r>
        <w:rPr>
          <w:sz w:val="28"/>
          <w:vertAlign w:val="baseline"/>
        </w:rPr>
        <w:t> and policy recommendations</w:t>
      </w:r>
      <w:r>
        <w:rPr>
          <w:sz w:val="28"/>
          <w:vertAlign w:val="superscript"/>
        </w:rPr>
        <w:t>851</w:t>
      </w:r>
      <w:r>
        <w:rPr>
          <w:sz w:val="28"/>
          <w:vertAlign w:val="baseline"/>
        </w:rPr>
        <w:t> on the impact</w:t>
      </w:r>
      <w:r>
        <w:rPr>
          <w:spacing w:val="-5"/>
          <w:sz w:val="28"/>
          <w:vertAlign w:val="baseline"/>
        </w:rPr>
        <w:t> </w:t>
      </w:r>
      <w:r>
        <w:rPr>
          <w:sz w:val="28"/>
          <w:vertAlign w:val="baseline"/>
        </w:rPr>
        <w:t>of</w:t>
      </w:r>
      <w:r>
        <w:rPr>
          <w:spacing w:val="-6"/>
          <w:sz w:val="28"/>
          <w:vertAlign w:val="baseline"/>
        </w:rPr>
        <w:t> </w:t>
      </w:r>
      <w:r>
        <w:rPr>
          <w:sz w:val="28"/>
          <w:vertAlign w:val="baseline"/>
        </w:rPr>
        <w:t>Brexit</w:t>
      </w:r>
      <w:r>
        <w:rPr>
          <w:spacing w:val="-5"/>
          <w:sz w:val="28"/>
          <w:vertAlign w:val="baseline"/>
        </w:rPr>
        <w:t> </w:t>
      </w:r>
      <w:r>
        <w:rPr>
          <w:sz w:val="28"/>
          <w:vertAlign w:val="baseline"/>
        </w:rPr>
        <w:t>on</w:t>
      </w:r>
      <w:r>
        <w:rPr>
          <w:spacing w:val="-6"/>
          <w:sz w:val="28"/>
          <w:vertAlign w:val="baseline"/>
        </w:rPr>
        <w:t> </w:t>
      </w:r>
      <w:r>
        <w:rPr>
          <w:sz w:val="28"/>
          <w:vertAlign w:val="baseline"/>
        </w:rPr>
        <w:t>minority</w:t>
      </w:r>
      <w:r>
        <w:rPr>
          <w:spacing w:val="-5"/>
          <w:sz w:val="28"/>
          <w:vertAlign w:val="baseline"/>
        </w:rPr>
        <w:t> </w:t>
      </w:r>
      <w:r>
        <w:rPr>
          <w:sz w:val="28"/>
          <w:vertAlign w:val="baseline"/>
        </w:rPr>
        <w:t>ethnic</w:t>
      </w:r>
      <w:r>
        <w:rPr>
          <w:spacing w:val="-5"/>
          <w:sz w:val="28"/>
          <w:vertAlign w:val="baseline"/>
        </w:rPr>
        <w:t> </w:t>
      </w:r>
      <w:r>
        <w:rPr>
          <w:sz w:val="28"/>
          <w:vertAlign w:val="baseline"/>
        </w:rPr>
        <w:t>and</w:t>
      </w:r>
      <w:r>
        <w:rPr>
          <w:spacing w:val="-6"/>
          <w:sz w:val="28"/>
          <w:vertAlign w:val="baseline"/>
        </w:rPr>
        <w:t> </w:t>
      </w:r>
      <w:r>
        <w:rPr>
          <w:sz w:val="28"/>
          <w:vertAlign w:val="baseline"/>
        </w:rPr>
        <w:t>migrant</w:t>
      </w:r>
      <w:r>
        <w:rPr>
          <w:spacing w:val="-5"/>
          <w:sz w:val="28"/>
          <w:vertAlign w:val="baseline"/>
        </w:rPr>
        <w:t> </w:t>
      </w:r>
      <w:r>
        <w:rPr>
          <w:sz w:val="28"/>
          <w:vertAlign w:val="baseline"/>
        </w:rPr>
        <w:t>people</w:t>
      </w:r>
      <w:r>
        <w:rPr>
          <w:spacing w:val="-5"/>
          <w:sz w:val="28"/>
          <w:vertAlign w:val="baseline"/>
        </w:rPr>
        <w:t> </w:t>
      </w:r>
      <w:r>
        <w:rPr>
          <w:sz w:val="28"/>
          <w:vertAlign w:val="baseline"/>
        </w:rPr>
        <w:t>in</w:t>
      </w:r>
      <w:r>
        <w:rPr>
          <w:spacing w:val="-6"/>
          <w:sz w:val="28"/>
          <w:vertAlign w:val="baseline"/>
        </w:rPr>
        <w:t> </w:t>
      </w:r>
      <w:r>
        <w:rPr>
          <w:sz w:val="28"/>
          <w:vertAlign w:val="baseline"/>
        </w:rPr>
        <w:t>NI,</w:t>
      </w:r>
      <w:r>
        <w:rPr>
          <w:spacing w:val="-5"/>
          <w:sz w:val="28"/>
          <w:vertAlign w:val="baseline"/>
        </w:rPr>
        <w:t> </w:t>
      </w:r>
      <w:r>
        <w:rPr>
          <w:sz w:val="28"/>
          <w:vertAlign w:val="baseline"/>
        </w:rPr>
        <w:t>explores</w:t>
      </w:r>
      <w:r>
        <w:rPr>
          <w:spacing w:val="-6"/>
          <w:sz w:val="28"/>
          <w:vertAlign w:val="baseline"/>
        </w:rPr>
        <w:t> </w:t>
      </w:r>
      <w:r>
        <w:rPr>
          <w:sz w:val="28"/>
          <w:vertAlign w:val="baseline"/>
        </w:rPr>
        <w:t>issues</w:t>
      </w:r>
    </w:p>
    <w:p>
      <w:pPr>
        <w:pStyle w:val="BodyText"/>
        <w:spacing w:before="4"/>
        <w:rPr>
          <w:sz w:val="15"/>
        </w:rPr>
      </w:pPr>
      <w:r>
        <w:rPr/>
        <mc:AlternateContent>
          <mc:Choice Requires="wps">
            <w:drawing>
              <wp:anchor distT="0" distB="0" distL="0" distR="0" allowOverlap="1" layoutInCell="1" locked="0" behindDoc="1" simplePos="0" relativeHeight="487727616">
                <wp:simplePos x="0" y="0"/>
                <wp:positionH relativeFrom="page">
                  <wp:posOffset>719996</wp:posOffset>
                </wp:positionH>
                <wp:positionV relativeFrom="paragraph">
                  <wp:posOffset>134522</wp:posOffset>
                </wp:positionV>
                <wp:extent cx="6120130" cy="1270"/>
                <wp:effectExtent l="0" t="0" r="0" b="0"/>
                <wp:wrapTopAndBottom/>
                <wp:docPr id="638" name="Graphic 638"/>
                <wp:cNvGraphicFramePr>
                  <a:graphicFrameLocks/>
                </wp:cNvGraphicFramePr>
                <a:graphic>
                  <a:graphicData uri="http://schemas.microsoft.com/office/word/2010/wordprocessingShape">
                    <wps:wsp>
                      <wps:cNvPr id="638" name="Graphic 638"/>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0.592343pt;width:481.9pt;height:.1pt;mso-position-horizontal-relative:page;mso-position-vertical-relative:paragraph;z-index:-15588864;mso-wrap-distance-left:0;mso-wrap-distance-right:0" id="docshape582" coordorigin="1134,212" coordsize="9638,0" path="m10772,212l1134,212e" filled="false" stroked="true" strokeweight="1pt" strokecolor="#393b80">
                <v:path arrowok="t"/>
                <v:stroke dashstyle="solid"/>
                <w10:wrap type="topAndBottom"/>
              </v:shape>
            </w:pict>
          </mc:Fallback>
        </mc:AlternateContent>
      </w:r>
    </w:p>
    <w:p>
      <w:pPr>
        <w:pStyle w:val="ListParagraph"/>
        <w:numPr>
          <w:ilvl w:val="0"/>
          <w:numId w:val="15"/>
        </w:numPr>
        <w:tabs>
          <w:tab w:pos="1853" w:val="left" w:leader="none"/>
        </w:tabs>
        <w:spacing w:line="235" w:lineRule="auto" w:before="135" w:after="0"/>
        <w:ind w:left="1853" w:right="1278" w:hanging="720"/>
        <w:jc w:val="left"/>
        <w:rPr>
          <w:sz w:val="18"/>
        </w:rPr>
      </w:pPr>
      <w:r>
        <w:rPr>
          <w:sz w:val="18"/>
        </w:rPr>
        <w:t>Article</w:t>
      </w:r>
      <w:r>
        <w:rPr>
          <w:spacing w:val="-4"/>
          <w:sz w:val="18"/>
        </w:rPr>
        <w:t> </w:t>
      </w:r>
      <w:r>
        <w:rPr>
          <w:sz w:val="18"/>
        </w:rPr>
        <w:t>12,</w:t>
      </w:r>
      <w:r>
        <w:rPr>
          <w:spacing w:val="-4"/>
          <w:sz w:val="18"/>
        </w:rPr>
        <w:t> </w:t>
      </w:r>
      <w:r>
        <w:rPr>
          <w:sz w:val="18"/>
        </w:rPr>
        <w:t>UN</w:t>
      </w:r>
      <w:r>
        <w:rPr>
          <w:spacing w:val="-4"/>
          <w:sz w:val="18"/>
        </w:rPr>
        <w:t> </w:t>
      </w:r>
      <w:r>
        <w:rPr>
          <w:sz w:val="18"/>
        </w:rPr>
        <w:t>International</w:t>
      </w:r>
      <w:r>
        <w:rPr>
          <w:spacing w:val="-5"/>
          <w:sz w:val="18"/>
        </w:rPr>
        <w:t> </w:t>
      </w:r>
      <w:r>
        <w:rPr>
          <w:sz w:val="18"/>
        </w:rPr>
        <w:t>Covenant</w:t>
      </w:r>
      <w:r>
        <w:rPr>
          <w:spacing w:val="-4"/>
          <w:sz w:val="18"/>
        </w:rPr>
        <w:t> </w:t>
      </w:r>
      <w:r>
        <w:rPr>
          <w:sz w:val="18"/>
        </w:rPr>
        <w:t>of</w:t>
      </w:r>
      <w:r>
        <w:rPr>
          <w:spacing w:val="-5"/>
          <w:sz w:val="18"/>
        </w:rPr>
        <w:t> </w:t>
      </w:r>
      <w:r>
        <w:rPr>
          <w:sz w:val="18"/>
        </w:rPr>
        <w:t>Economic,</w:t>
      </w:r>
      <w:r>
        <w:rPr>
          <w:spacing w:val="-4"/>
          <w:sz w:val="18"/>
        </w:rPr>
        <w:t> </w:t>
      </w:r>
      <w:r>
        <w:rPr>
          <w:sz w:val="18"/>
        </w:rPr>
        <w:t>Social</w:t>
      </w:r>
      <w:r>
        <w:rPr>
          <w:spacing w:val="-5"/>
          <w:sz w:val="18"/>
        </w:rPr>
        <w:t> </w:t>
      </w:r>
      <w:r>
        <w:rPr>
          <w:sz w:val="18"/>
        </w:rPr>
        <w:t>and</w:t>
      </w:r>
      <w:r>
        <w:rPr>
          <w:spacing w:val="-5"/>
          <w:sz w:val="18"/>
        </w:rPr>
        <w:t> </w:t>
      </w:r>
      <w:r>
        <w:rPr>
          <w:sz w:val="18"/>
        </w:rPr>
        <w:t>Cultural</w:t>
      </w:r>
      <w:r>
        <w:rPr>
          <w:spacing w:val="-5"/>
          <w:sz w:val="18"/>
        </w:rPr>
        <w:t> </w:t>
      </w:r>
      <w:r>
        <w:rPr>
          <w:sz w:val="18"/>
        </w:rPr>
        <w:t>Rights;</w:t>
      </w:r>
      <w:r>
        <w:rPr>
          <w:spacing w:val="-4"/>
          <w:sz w:val="18"/>
        </w:rPr>
        <w:t> </w:t>
      </w:r>
      <w:r>
        <w:rPr>
          <w:sz w:val="18"/>
        </w:rPr>
        <w:t>Article</w:t>
      </w:r>
      <w:r>
        <w:rPr>
          <w:spacing w:val="-4"/>
          <w:sz w:val="18"/>
        </w:rPr>
        <w:t> </w:t>
      </w:r>
      <w:r>
        <w:rPr>
          <w:sz w:val="18"/>
        </w:rPr>
        <w:t>24,</w:t>
      </w:r>
      <w:r>
        <w:rPr>
          <w:spacing w:val="-4"/>
          <w:sz w:val="18"/>
        </w:rPr>
        <w:t> </w:t>
      </w:r>
      <w:r>
        <w:rPr>
          <w:sz w:val="18"/>
        </w:rPr>
        <w:t>UN</w:t>
      </w:r>
      <w:r>
        <w:rPr>
          <w:spacing w:val="-4"/>
          <w:sz w:val="18"/>
        </w:rPr>
        <w:t> </w:t>
      </w:r>
      <w:r>
        <w:rPr>
          <w:sz w:val="18"/>
        </w:rPr>
        <w:t>Convention</w:t>
      </w:r>
      <w:r>
        <w:rPr>
          <w:spacing w:val="-5"/>
          <w:sz w:val="18"/>
        </w:rPr>
        <w:t> </w:t>
      </w:r>
      <w:r>
        <w:rPr>
          <w:sz w:val="18"/>
        </w:rPr>
        <w:t>on</w:t>
      </w:r>
      <w:r>
        <w:rPr>
          <w:spacing w:val="-5"/>
          <w:sz w:val="18"/>
        </w:rPr>
        <w:t> </w:t>
      </w:r>
      <w:r>
        <w:rPr>
          <w:sz w:val="18"/>
        </w:rPr>
        <w:t>the</w:t>
      </w:r>
      <w:r>
        <w:rPr>
          <w:spacing w:val="-4"/>
          <w:sz w:val="18"/>
        </w:rPr>
        <w:t> </w:t>
      </w:r>
      <w:r>
        <w:rPr>
          <w:sz w:val="18"/>
        </w:rPr>
        <w:t>Rights</w:t>
      </w:r>
      <w:r>
        <w:rPr>
          <w:spacing w:val="-5"/>
          <w:sz w:val="18"/>
        </w:rPr>
        <w:t> </w:t>
      </w:r>
      <w:r>
        <w:rPr>
          <w:sz w:val="18"/>
        </w:rPr>
        <w:t>of the Child; and Article 25, UN Convention on the Rights of People with Disabilities.</w:t>
      </w:r>
    </w:p>
    <w:p>
      <w:pPr>
        <w:pStyle w:val="ListParagraph"/>
        <w:numPr>
          <w:ilvl w:val="0"/>
          <w:numId w:val="15"/>
        </w:numPr>
        <w:tabs>
          <w:tab w:pos="1853" w:val="left" w:leader="none"/>
        </w:tabs>
        <w:spacing w:line="235" w:lineRule="auto" w:before="2" w:after="0"/>
        <w:ind w:left="1853" w:right="1914" w:hanging="720"/>
        <w:jc w:val="left"/>
        <w:rPr>
          <w:sz w:val="18"/>
        </w:rPr>
      </w:pPr>
      <w:r>
        <w:rPr>
          <w:sz w:val="18"/>
        </w:rPr>
        <w:t>Directive</w:t>
      </w:r>
      <w:r>
        <w:rPr>
          <w:spacing w:val="-6"/>
          <w:sz w:val="18"/>
        </w:rPr>
        <w:t> </w:t>
      </w:r>
      <w:r>
        <w:rPr>
          <w:sz w:val="18"/>
        </w:rPr>
        <w:t>2000/43/EC,</w:t>
      </w:r>
      <w:r>
        <w:rPr>
          <w:spacing w:val="-6"/>
          <w:sz w:val="18"/>
        </w:rPr>
        <w:t> </w:t>
      </w:r>
      <w:r>
        <w:rPr>
          <w:sz w:val="18"/>
        </w:rPr>
        <w:t>‘EU</w:t>
      </w:r>
      <w:r>
        <w:rPr>
          <w:spacing w:val="-6"/>
          <w:sz w:val="18"/>
        </w:rPr>
        <w:t> </w:t>
      </w:r>
      <w:r>
        <w:rPr>
          <w:sz w:val="18"/>
        </w:rPr>
        <w:t>Council</w:t>
      </w:r>
      <w:r>
        <w:rPr>
          <w:spacing w:val="-7"/>
          <w:sz w:val="18"/>
        </w:rPr>
        <w:t> </w:t>
      </w:r>
      <w:r>
        <w:rPr>
          <w:sz w:val="18"/>
        </w:rPr>
        <w:t>Directive</w:t>
      </w:r>
      <w:r>
        <w:rPr>
          <w:spacing w:val="-6"/>
          <w:sz w:val="18"/>
        </w:rPr>
        <w:t> </w:t>
      </w:r>
      <w:r>
        <w:rPr>
          <w:sz w:val="18"/>
        </w:rPr>
        <w:t>on</w:t>
      </w:r>
      <w:r>
        <w:rPr>
          <w:spacing w:val="-7"/>
          <w:sz w:val="18"/>
        </w:rPr>
        <w:t> </w:t>
      </w:r>
      <w:r>
        <w:rPr>
          <w:sz w:val="18"/>
        </w:rPr>
        <w:t>Implementing</w:t>
      </w:r>
      <w:r>
        <w:rPr>
          <w:spacing w:val="-6"/>
          <w:sz w:val="18"/>
        </w:rPr>
        <w:t> </w:t>
      </w:r>
      <w:r>
        <w:rPr>
          <w:sz w:val="18"/>
        </w:rPr>
        <w:t>the</w:t>
      </w:r>
      <w:r>
        <w:rPr>
          <w:spacing w:val="-6"/>
          <w:sz w:val="18"/>
        </w:rPr>
        <w:t> </w:t>
      </w:r>
      <w:r>
        <w:rPr>
          <w:sz w:val="18"/>
        </w:rPr>
        <w:t>Principle</w:t>
      </w:r>
      <w:r>
        <w:rPr>
          <w:spacing w:val="-6"/>
          <w:sz w:val="18"/>
        </w:rPr>
        <w:t> </w:t>
      </w:r>
      <w:r>
        <w:rPr>
          <w:sz w:val="18"/>
        </w:rPr>
        <w:t>of</w:t>
      </w:r>
      <w:r>
        <w:rPr>
          <w:spacing w:val="-7"/>
          <w:sz w:val="18"/>
        </w:rPr>
        <w:t> </w:t>
      </w:r>
      <w:r>
        <w:rPr>
          <w:sz w:val="18"/>
        </w:rPr>
        <w:t>Equal</w:t>
      </w:r>
      <w:r>
        <w:rPr>
          <w:spacing w:val="-7"/>
          <w:sz w:val="18"/>
        </w:rPr>
        <w:t> </w:t>
      </w:r>
      <w:r>
        <w:rPr>
          <w:sz w:val="18"/>
        </w:rPr>
        <w:t>Treatment</w:t>
      </w:r>
      <w:r>
        <w:rPr>
          <w:spacing w:val="-6"/>
          <w:sz w:val="18"/>
        </w:rPr>
        <w:t> </w:t>
      </w:r>
      <w:r>
        <w:rPr>
          <w:sz w:val="18"/>
        </w:rPr>
        <w:t>between</w:t>
      </w:r>
      <w:r>
        <w:rPr>
          <w:spacing w:val="-7"/>
          <w:sz w:val="18"/>
        </w:rPr>
        <w:t> </w:t>
      </w:r>
      <w:r>
        <w:rPr>
          <w:sz w:val="18"/>
        </w:rPr>
        <w:t>Persons Irrespective of Racial or Ethnic Origin’, 29 June 2000.</w:t>
      </w:r>
    </w:p>
    <w:p>
      <w:pPr>
        <w:pStyle w:val="ListParagraph"/>
        <w:numPr>
          <w:ilvl w:val="0"/>
          <w:numId w:val="15"/>
        </w:numPr>
        <w:tabs>
          <w:tab w:pos="1853" w:val="left" w:leader="none"/>
        </w:tabs>
        <w:spacing w:line="235" w:lineRule="auto" w:before="1" w:after="0"/>
        <w:ind w:left="1853" w:right="1738" w:hanging="720"/>
        <w:jc w:val="left"/>
        <w:rPr>
          <w:sz w:val="18"/>
        </w:rPr>
      </w:pPr>
      <w:r>
        <w:rPr>
          <w:sz w:val="18"/>
        </w:rPr>
        <w:t>Directive</w:t>
      </w:r>
      <w:r>
        <w:rPr>
          <w:spacing w:val="-5"/>
          <w:sz w:val="18"/>
        </w:rPr>
        <w:t> </w:t>
      </w:r>
      <w:r>
        <w:rPr>
          <w:sz w:val="18"/>
        </w:rPr>
        <w:t>2004/113/EC,</w:t>
      </w:r>
      <w:r>
        <w:rPr>
          <w:spacing w:val="-5"/>
          <w:sz w:val="18"/>
        </w:rPr>
        <w:t> </w:t>
      </w:r>
      <w:r>
        <w:rPr>
          <w:sz w:val="18"/>
        </w:rPr>
        <w:t>‘EU</w:t>
      </w:r>
      <w:r>
        <w:rPr>
          <w:spacing w:val="-5"/>
          <w:sz w:val="18"/>
        </w:rPr>
        <w:t> </w:t>
      </w:r>
      <w:r>
        <w:rPr>
          <w:sz w:val="18"/>
        </w:rPr>
        <w:t>Council</w:t>
      </w:r>
      <w:r>
        <w:rPr>
          <w:spacing w:val="-6"/>
          <w:sz w:val="18"/>
        </w:rPr>
        <w:t> </w:t>
      </w:r>
      <w:r>
        <w:rPr>
          <w:sz w:val="18"/>
        </w:rPr>
        <w:t>Directive</w:t>
      </w:r>
      <w:r>
        <w:rPr>
          <w:spacing w:val="-5"/>
          <w:sz w:val="18"/>
        </w:rPr>
        <w:t> </w:t>
      </w:r>
      <w:r>
        <w:rPr>
          <w:sz w:val="18"/>
        </w:rPr>
        <w:t>on</w:t>
      </w:r>
      <w:r>
        <w:rPr>
          <w:spacing w:val="-6"/>
          <w:sz w:val="18"/>
        </w:rPr>
        <w:t> </w:t>
      </w:r>
      <w:r>
        <w:rPr>
          <w:sz w:val="18"/>
        </w:rPr>
        <w:t>Implementing</w:t>
      </w:r>
      <w:r>
        <w:rPr>
          <w:spacing w:val="-5"/>
          <w:sz w:val="18"/>
        </w:rPr>
        <w:t> </w:t>
      </w:r>
      <w:r>
        <w:rPr>
          <w:sz w:val="18"/>
        </w:rPr>
        <w:t>the</w:t>
      </w:r>
      <w:r>
        <w:rPr>
          <w:spacing w:val="-5"/>
          <w:sz w:val="18"/>
        </w:rPr>
        <w:t> </w:t>
      </w:r>
      <w:r>
        <w:rPr>
          <w:sz w:val="18"/>
        </w:rPr>
        <w:t>Principle</w:t>
      </w:r>
      <w:r>
        <w:rPr>
          <w:spacing w:val="-5"/>
          <w:sz w:val="18"/>
        </w:rPr>
        <w:t> </w:t>
      </w:r>
      <w:r>
        <w:rPr>
          <w:sz w:val="18"/>
        </w:rPr>
        <w:t>of</w:t>
      </w:r>
      <w:r>
        <w:rPr>
          <w:spacing w:val="-6"/>
          <w:sz w:val="18"/>
        </w:rPr>
        <w:t> </w:t>
      </w:r>
      <w:r>
        <w:rPr>
          <w:sz w:val="18"/>
        </w:rPr>
        <w:t>Equal</w:t>
      </w:r>
      <w:r>
        <w:rPr>
          <w:spacing w:val="-6"/>
          <w:sz w:val="18"/>
        </w:rPr>
        <w:t> </w:t>
      </w:r>
      <w:r>
        <w:rPr>
          <w:sz w:val="18"/>
        </w:rPr>
        <w:t>Treatment</w:t>
      </w:r>
      <w:r>
        <w:rPr>
          <w:spacing w:val="-5"/>
          <w:sz w:val="18"/>
        </w:rPr>
        <w:t> </w:t>
      </w:r>
      <w:r>
        <w:rPr>
          <w:sz w:val="18"/>
        </w:rPr>
        <w:t>between</w:t>
      </w:r>
      <w:r>
        <w:rPr>
          <w:spacing w:val="-6"/>
          <w:sz w:val="18"/>
        </w:rPr>
        <w:t> </w:t>
      </w:r>
      <w:r>
        <w:rPr>
          <w:sz w:val="18"/>
        </w:rPr>
        <w:t>Men</w:t>
      </w:r>
      <w:r>
        <w:rPr>
          <w:spacing w:val="-6"/>
          <w:sz w:val="18"/>
        </w:rPr>
        <w:t> </w:t>
      </w:r>
      <w:r>
        <w:rPr>
          <w:sz w:val="18"/>
        </w:rPr>
        <w:t>and Women in the access to and supply of goods and Services’, 13 December 2004.</w:t>
      </w:r>
    </w:p>
    <w:p>
      <w:pPr>
        <w:pStyle w:val="ListParagraph"/>
        <w:numPr>
          <w:ilvl w:val="0"/>
          <w:numId w:val="15"/>
        </w:numPr>
        <w:tabs>
          <w:tab w:pos="1853" w:val="left" w:leader="none"/>
        </w:tabs>
        <w:spacing w:line="216" w:lineRule="exact" w:before="0" w:after="0"/>
        <w:ind w:left="1853" w:right="0" w:hanging="720"/>
        <w:jc w:val="left"/>
        <w:rPr>
          <w:sz w:val="18"/>
        </w:rPr>
      </w:pPr>
      <w:r>
        <w:rPr>
          <w:sz w:val="18"/>
        </w:rPr>
        <w:t>Tamara</w:t>
      </w:r>
      <w:r>
        <w:rPr>
          <w:spacing w:val="-6"/>
          <w:sz w:val="18"/>
        </w:rPr>
        <w:t> </w:t>
      </w:r>
      <w:r>
        <w:rPr>
          <w:sz w:val="18"/>
        </w:rPr>
        <w:t>Hervey,</w:t>
      </w:r>
      <w:r>
        <w:rPr>
          <w:spacing w:val="-5"/>
          <w:sz w:val="18"/>
        </w:rPr>
        <w:t> </w:t>
      </w:r>
      <w:r>
        <w:rPr>
          <w:sz w:val="18"/>
        </w:rPr>
        <w:t>‘Brexit,</w:t>
      </w:r>
      <w:r>
        <w:rPr>
          <w:spacing w:val="-6"/>
          <w:sz w:val="18"/>
        </w:rPr>
        <w:t> </w:t>
      </w:r>
      <w:r>
        <w:rPr>
          <w:sz w:val="18"/>
        </w:rPr>
        <w:t>Health</w:t>
      </w:r>
      <w:r>
        <w:rPr>
          <w:spacing w:val="-5"/>
          <w:sz w:val="18"/>
        </w:rPr>
        <w:t> </w:t>
      </w:r>
      <w:r>
        <w:rPr>
          <w:sz w:val="18"/>
        </w:rPr>
        <w:t>and</w:t>
      </w:r>
      <w:r>
        <w:rPr>
          <w:spacing w:val="-6"/>
          <w:sz w:val="18"/>
        </w:rPr>
        <w:t> </w:t>
      </w:r>
      <w:r>
        <w:rPr>
          <w:sz w:val="18"/>
        </w:rPr>
        <w:t>its</w:t>
      </w:r>
      <w:r>
        <w:rPr>
          <w:spacing w:val="-6"/>
          <w:sz w:val="18"/>
        </w:rPr>
        <w:t> </w:t>
      </w:r>
      <w:r>
        <w:rPr>
          <w:sz w:val="18"/>
        </w:rPr>
        <w:t>potential</w:t>
      </w:r>
      <w:r>
        <w:rPr>
          <w:spacing w:val="-6"/>
          <w:sz w:val="18"/>
        </w:rPr>
        <w:t> </w:t>
      </w:r>
      <w:r>
        <w:rPr>
          <w:sz w:val="18"/>
        </w:rPr>
        <w:t>impact</w:t>
      </w:r>
      <w:r>
        <w:rPr>
          <w:spacing w:val="-5"/>
          <w:sz w:val="18"/>
        </w:rPr>
        <w:t> </w:t>
      </w:r>
      <w:r>
        <w:rPr>
          <w:sz w:val="18"/>
        </w:rPr>
        <w:t>on</w:t>
      </w:r>
      <w:r>
        <w:rPr>
          <w:spacing w:val="-6"/>
          <w:sz w:val="18"/>
        </w:rPr>
        <w:t> </w:t>
      </w:r>
      <w:r>
        <w:rPr>
          <w:sz w:val="18"/>
        </w:rPr>
        <w:t>Article</w:t>
      </w:r>
      <w:r>
        <w:rPr>
          <w:spacing w:val="-5"/>
          <w:sz w:val="18"/>
        </w:rPr>
        <w:t> </w:t>
      </w:r>
      <w:r>
        <w:rPr>
          <w:sz w:val="18"/>
        </w:rPr>
        <w:t>2</w:t>
      </w:r>
      <w:r>
        <w:rPr>
          <w:spacing w:val="-5"/>
          <w:sz w:val="18"/>
        </w:rPr>
        <w:t> </w:t>
      </w:r>
      <w:r>
        <w:rPr>
          <w:sz w:val="18"/>
        </w:rPr>
        <w:t>of</w:t>
      </w:r>
      <w:r>
        <w:rPr>
          <w:spacing w:val="-6"/>
          <w:sz w:val="18"/>
        </w:rPr>
        <w:t> </w:t>
      </w:r>
      <w:r>
        <w:rPr>
          <w:sz w:val="18"/>
        </w:rPr>
        <w:t>the</w:t>
      </w:r>
      <w:r>
        <w:rPr>
          <w:spacing w:val="-5"/>
          <w:sz w:val="18"/>
        </w:rPr>
        <w:t> </w:t>
      </w:r>
      <w:r>
        <w:rPr>
          <w:sz w:val="18"/>
        </w:rPr>
        <w:t>Ireland/NI</w:t>
      </w:r>
      <w:r>
        <w:rPr>
          <w:spacing w:val="-5"/>
          <w:sz w:val="18"/>
        </w:rPr>
        <w:t> </w:t>
      </w:r>
      <w:r>
        <w:rPr>
          <w:sz w:val="18"/>
        </w:rPr>
        <w:t>Protocol’</w:t>
      </w:r>
      <w:r>
        <w:rPr>
          <w:spacing w:val="-5"/>
          <w:sz w:val="18"/>
        </w:rPr>
        <w:t> </w:t>
      </w:r>
      <w:r>
        <w:rPr>
          <w:sz w:val="18"/>
        </w:rPr>
        <w:t>(NIHRC,</w:t>
      </w:r>
      <w:r>
        <w:rPr>
          <w:spacing w:val="-6"/>
          <w:sz w:val="18"/>
        </w:rPr>
        <w:t> </w:t>
      </w:r>
      <w:r>
        <w:rPr>
          <w:spacing w:val="-2"/>
          <w:sz w:val="18"/>
        </w:rPr>
        <w:t>2022).</w:t>
      </w:r>
    </w:p>
    <w:p>
      <w:pPr>
        <w:pStyle w:val="ListParagraph"/>
        <w:numPr>
          <w:ilvl w:val="0"/>
          <w:numId w:val="15"/>
        </w:numPr>
        <w:tabs>
          <w:tab w:pos="1853" w:val="left" w:leader="none"/>
        </w:tabs>
        <w:spacing w:line="216" w:lineRule="exact" w:before="0" w:after="0"/>
        <w:ind w:left="1853" w:right="0" w:hanging="720"/>
        <w:jc w:val="left"/>
        <w:rPr>
          <w:sz w:val="18"/>
        </w:rPr>
      </w:pPr>
      <w:r>
        <w:rPr>
          <w:sz w:val="18"/>
        </w:rPr>
        <w:t>Pivotal,</w:t>
      </w:r>
      <w:r>
        <w:rPr>
          <w:spacing w:val="-3"/>
          <w:sz w:val="18"/>
        </w:rPr>
        <w:t> </w:t>
      </w:r>
      <w:r>
        <w:rPr>
          <w:sz w:val="18"/>
        </w:rPr>
        <w:t>‘The</w:t>
      </w:r>
      <w:r>
        <w:rPr>
          <w:spacing w:val="-2"/>
          <w:sz w:val="18"/>
        </w:rPr>
        <w:t> </w:t>
      </w:r>
      <w:r>
        <w:rPr>
          <w:sz w:val="18"/>
        </w:rPr>
        <w:t>Impact</w:t>
      </w:r>
      <w:r>
        <w:rPr>
          <w:spacing w:val="-2"/>
          <w:sz w:val="18"/>
        </w:rPr>
        <w:t> </w:t>
      </w:r>
      <w:r>
        <w:rPr>
          <w:sz w:val="18"/>
        </w:rPr>
        <w:t>of</w:t>
      </w:r>
      <w:r>
        <w:rPr>
          <w:spacing w:val="-4"/>
          <w:sz w:val="18"/>
        </w:rPr>
        <w:t> </w:t>
      </w:r>
      <w:r>
        <w:rPr>
          <w:sz w:val="18"/>
        </w:rPr>
        <w:t>Brexit</w:t>
      </w:r>
      <w:r>
        <w:rPr>
          <w:spacing w:val="-2"/>
          <w:sz w:val="18"/>
        </w:rPr>
        <w:t> </w:t>
      </w:r>
      <w:r>
        <w:rPr>
          <w:sz w:val="18"/>
        </w:rPr>
        <w:t>on</w:t>
      </w:r>
      <w:r>
        <w:rPr>
          <w:spacing w:val="-3"/>
          <w:sz w:val="18"/>
        </w:rPr>
        <w:t> </w:t>
      </w:r>
      <w:r>
        <w:rPr>
          <w:sz w:val="18"/>
        </w:rPr>
        <w:t>Minority</w:t>
      </w:r>
      <w:r>
        <w:rPr>
          <w:spacing w:val="-2"/>
          <w:sz w:val="18"/>
        </w:rPr>
        <w:t> </w:t>
      </w:r>
      <w:r>
        <w:rPr>
          <w:sz w:val="18"/>
        </w:rPr>
        <w:t>Ethnic</w:t>
      </w:r>
      <w:r>
        <w:rPr>
          <w:spacing w:val="-3"/>
          <w:sz w:val="18"/>
        </w:rPr>
        <w:t> </w:t>
      </w:r>
      <w:r>
        <w:rPr>
          <w:sz w:val="18"/>
        </w:rPr>
        <w:t>and</w:t>
      </w:r>
      <w:r>
        <w:rPr>
          <w:spacing w:val="-3"/>
          <w:sz w:val="18"/>
        </w:rPr>
        <w:t> </w:t>
      </w:r>
      <w:r>
        <w:rPr>
          <w:sz w:val="18"/>
        </w:rPr>
        <w:t>Migrant</w:t>
      </w:r>
      <w:r>
        <w:rPr>
          <w:spacing w:val="-2"/>
          <w:sz w:val="18"/>
        </w:rPr>
        <w:t> </w:t>
      </w:r>
      <w:r>
        <w:rPr>
          <w:sz w:val="18"/>
        </w:rPr>
        <w:t>People</w:t>
      </w:r>
      <w:r>
        <w:rPr>
          <w:spacing w:val="-2"/>
          <w:sz w:val="18"/>
        </w:rPr>
        <w:t> </w:t>
      </w:r>
      <w:r>
        <w:rPr>
          <w:sz w:val="18"/>
        </w:rPr>
        <w:t>in</w:t>
      </w:r>
      <w:r>
        <w:rPr>
          <w:spacing w:val="-4"/>
          <w:sz w:val="18"/>
        </w:rPr>
        <w:t> </w:t>
      </w:r>
      <w:r>
        <w:rPr>
          <w:sz w:val="18"/>
        </w:rPr>
        <w:t>Northern</w:t>
      </w:r>
      <w:r>
        <w:rPr>
          <w:spacing w:val="-3"/>
          <w:sz w:val="18"/>
        </w:rPr>
        <w:t> </w:t>
      </w:r>
      <w:r>
        <w:rPr>
          <w:sz w:val="18"/>
        </w:rPr>
        <w:t>Ireland’</w:t>
      </w:r>
      <w:r>
        <w:rPr>
          <w:spacing w:val="-2"/>
          <w:sz w:val="18"/>
        </w:rPr>
        <w:t> </w:t>
      </w:r>
      <w:r>
        <w:rPr>
          <w:sz w:val="18"/>
        </w:rPr>
        <w:t>(ECNI,</w:t>
      </w:r>
      <w:r>
        <w:rPr>
          <w:spacing w:val="-2"/>
          <w:sz w:val="18"/>
        </w:rPr>
        <w:t> 2023).</w:t>
      </w:r>
    </w:p>
    <w:p>
      <w:pPr>
        <w:pStyle w:val="ListParagraph"/>
        <w:numPr>
          <w:ilvl w:val="0"/>
          <w:numId w:val="15"/>
        </w:numPr>
        <w:tabs>
          <w:tab w:pos="1853" w:val="left" w:leader="none"/>
        </w:tabs>
        <w:spacing w:line="235" w:lineRule="auto" w:before="2" w:after="0"/>
        <w:ind w:left="1853" w:right="1506" w:hanging="720"/>
        <w:jc w:val="left"/>
        <w:rPr>
          <w:sz w:val="18"/>
        </w:rPr>
      </w:pP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‘Policy</w:t>
      </w:r>
      <w:r>
        <w:rPr>
          <w:spacing w:val="-4"/>
          <w:sz w:val="18"/>
        </w:rPr>
        <w:t> </w:t>
      </w:r>
      <w:r>
        <w:rPr>
          <w:sz w:val="18"/>
        </w:rPr>
        <w:t>Recommendations: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Minority</w:t>
      </w:r>
      <w:r>
        <w:rPr>
          <w:spacing w:val="-4"/>
          <w:sz w:val="18"/>
        </w:rPr>
        <w:t> </w:t>
      </w:r>
      <w:r>
        <w:rPr>
          <w:sz w:val="18"/>
        </w:rPr>
        <w:t>Ethnic</w:t>
      </w:r>
      <w:r>
        <w:rPr>
          <w:spacing w:val="-4"/>
          <w:sz w:val="18"/>
        </w:rPr>
        <w:t> </w:t>
      </w:r>
      <w:r>
        <w:rPr>
          <w:sz w:val="18"/>
        </w:rPr>
        <w:t>and</w:t>
      </w:r>
      <w:r>
        <w:rPr>
          <w:spacing w:val="-5"/>
          <w:sz w:val="18"/>
        </w:rPr>
        <w:t> </w:t>
      </w:r>
      <w:r>
        <w:rPr>
          <w:sz w:val="18"/>
        </w:rPr>
        <w:t>Migrant</w:t>
      </w:r>
      <w:r>
        <w:rPr>
          <w:spacing w:val="-4"/>
          <w:sz w:val="18"/>
        </w:rPr>
        <w:t> </w:t>
      </w:r>
      <w:r>
        <w:rPr>
          <w:sz w:val="18"/>
        </w:rPr>
        <w:t>People</w:t>
      </w:r>
      <w:r>
        <w:rPr>
          <w:spacing w:val="-4"/>
          <w:sz w:val="18"/>
        </w:rPr>
        <w:t> </w:t>
      </w:r>
      <w:r>
        <w:rPr>
          <w:sz w:val="18"/>
        </w:rPr>
        <w:t>in Northern Ireland’ (ECNI, 2024).</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28"/>
        <w:jc w:val="both"/>
      </w:pPr>
      <w:bookmarkStart w:name="_bookmark59" w:id="133"/>
      <w:bookmarkEnd w:id="133"/>
      <w:r>
        <w:rPr/>
      </w:r>
      <w:r>
        <w:rPr/>
        <w:t>relating</w:t>
      </w:r>
      <w:r>
        <w:rPr>
          <w:spacing w:val="-5"/>
        </w:rPr>
        <w:t> </w:t>
      </w:r>
      <w:r>
        <w:rPr/>
        <w:t>to</w:t>
      </w:r>
      <w:r>
        <w:rPr>
          <w:spacing w:val="-5"/>
        </w:rPr>
        <w:t> </w:t>
      </w:r>
      <w:r>
        <w:rPr/>
        <w:t>access</w:t>
      </w:r>
      <w:r>
        <w:rPr>
          <w:spacing w:val="-5"/>
        </w:rPr>
        <w:t> </w:t>
      </w:r>
      <w:r>
        <w:rPr/>
        <w:t>to</w:t>
      </w:r>
      <w:r>
        <w:rPr>
          <w:spacing w:val="-5"/>
        </w:rPr>
        <w:t> </w:t>
      </w:r>
      <w:r>
        <w:rPr/>
        <w:t>public</w:t>
      </w:r>
      <w:r>
        <w:rPr>
          <w:spacing w:val="-4"/>
        </w:rPr>
        <w:t> </w:t>
      </w:r>
      <w:r>
        <w:rPr/>
        <w:t>services</w:t>
      </w:r>
      <w:r>
        <w:rPr>
          <w:spacing w:val="-5"/>
        </w:rPr>
        <w:t> </w:t>
      </w:r>
      <w:r>
        <w:rPr/>
        <w:t>including</w:t>
      </w:r>
      <w:r>
        <w:rPr>
          <w:spacing w:val="-4"/>
        </w:rPr>
        <w:t> </w:t>
      </w:r>
      <w:r>
        <w:rPr/>
        <w:t>health.</w:t>
      </w:r>
      <w:r>
        <w:rPr>
          <w:spacing w:val="40"/>
        </w:rPr>
        <w:t> </w:t>
      </w:r>
      <w:r>
        <w:rPr/>
        <w:t>In</w:t>
      </w:r>
      <w:r>
        <w:rPr>
          <w:spacing w:val="-5"/>
        </w:rPr>
        <w:t> </w:t>
      </w:r>
      <w:r>
        <w:rPr/>
        <w:t>addition,</w:t>
      </w:r>
      <w:r>
        <w:rPr>
          <w:spacing w:val="-4"/>
        </w:rPr>
        <w:t> </w:t>
      </w:r>
      <w:r>
        <w:rPr/>
        <w:t>similar</w:t>
      </w:r>
      <w:r>
        <w:rPr>
          <w:spacing w:val="-4"/>
        </w:rPr>
        <w:t> </w:t>
      </w:r>
      <w:r>
        <w:rPr/>
        <w:t>issues were raised in the ECNI’s commissioned research, published in March 2024,</w:t>
      </w:r>
    </w:p>
    <w:p>
      <w:pPr>
        <w:pStyle w:val="BodyText"/>
        <w:spacing w:line="225" w:lineRule="auto"/>
        <w:ind w:left="1853" w:right="1395"/>
        <w:jc w:val="both"/>
      </w:pPr>
      <w:r>
        <w:rPr/>
        <w:t>on</w:t>
      </w:r>
      <w:r>
        <w:rPr>
          <w:spacing w:val="-7"/>
        </w:rPr>
        <w:t> </w:t>
      </w:r>
      <w:r>
        <w:rPr/>
        <w:t>the</w:t>
      </w:r>
      <w:r>
        <w:rPr>
          <w:spacing w:val="-6"/>
        </w:rPr>
        <w:t> </w:t>
      </w:r>
      <w:r>
        <w:rPr/>
        <w:t>impact</w:t>
      </w:r>
      <w:r>
        <w:rPr>
          <w:spacing w:val="-6"/>
        </w:rPr>
        <w:t> </w:t>
      </w:r>
      <w:r>
        <w:rPr/>
        <w:t>of</w:t>
      </w:r>
      <w:r>
        <w:rPr>
          <w:spacing w:val="-7"/>
        </w:rPr>
        <w:t> </w:t>
      </w:r>
      <w:r>
        <w:rPr/>
        <w:t>Brexit</w:t>
      </w:r>
      <w:r>
        <w:rPr>
          <w:spacing w:val="-6"/>
        </w:rPr>
        <w:t> </w:t>
      </w:r>
      <w:r>
        <w:rPr/>
        <w:t>on</w:t>
      </w:r>
      <w:r>
        <w:rPr>
          <w:spacing w:val="-7"/>
        </w:rPr>
        <w:t> </w:t>
      </w:r>
      <w:r>
        <w:rPr/>
        <w:t>women</w:t>
      </w:r>
      <w:r>
        <w:rPr>
          <w:spacing w:val="-7"/>
        </w:rPr>
        <w:t> </w:t>
      </w:r>
      <w:r>
        <w:rPr/>
        <w:t>in</w:t>
      </w:r>
      <w:r>
        <w:rPr>
          <w:spacing w:val="-7"/>
        </w:rPr>
        <w:t> </w:t>
      </w:r>
      <w:r>
        <w:rPr/>
        <w:t>NI.</w:t>
      </w:r>
      <w:r>
        <w:rPr>
          <w:vertAlign w:val="superscript"/>
        </w:rPr>
        <w:t>852</w:t>
      </w:r>
      <w:r>
        <w:rPr>
          <w:spacing w:val="40"/>
          <w:vertAlign w:val="baseline"/>
        </w:rPr>
        <w:t> </w:t>
      </w:r>
      <w:r>
        <w:rPr>
          <w:vertAlign w:val="baseline"/>
        </w:rPr>
        <w:t>This</w:t>
      </w:r>
      <w:r>
        <w:rPr>
          <w:spacing w:val="-7"/>
          <w:vertAlign w:val="baseline"/>
        </w:rPr>
        <w:t> </w:t>
      </w:r>
      <w:r>
        <w:rPr>
          <w:vertAlign w:val="baseline"/>
        </w:rPr>
        <w:t>research</w:t>
      </w:r>
      <w:r>
        <w:rPr>
          <w:spacing w:val="-7"/>
          <w:vertAlign w:val="baseline"/>
        </w:rPr>
        <w:t> </w:t>
      </w:r>
      <w:r>
        <w:rPr>
          <w:vertAlign w:val="baseline"/>
        </w:rPr>
        <w:t>highlighted</w:t>
      </w:r>
      <w:r>
        <w:rPr>
          <w:spacing w:val="-7"/>
          <w:vertAlign w:val="baseline"/>
        </w:rPr>
        <w:t> </w:t>
      </w:r>
      <w:r>
        <w:rPr>
          <w:vertAlign w:val="baseline"/>
        </w:rPr>
        <w:t>specific issues</w:t>
      </w:r>
      <w:r>
        <w:rPr>
          <w:spacing w:val="-3"/>
          <w:vertAlign w:val="baseline"/>
        </w:rPr>
        <w:t> </w:t>
      </w:r>
      <w:r>
        <w:rPr>
          <w:vertAlign w:val="baseline"/>
        </w:rPr>
        <w:t>in</w:t>
      </w:r>
      <w:r>
        <w:rPr>
          <w:spacing w:val="-3"/>
          <w:vertAlign w:val="baseline"/>
        </w:rPr>
        <w:t> </w:t>
      </w:r>
      <w:r>
        <w:rPr>
          <w:vertAlign w:val="baseline"/>
        </w:rPr>
        <w:t>accessing</w:t>
      </w:r>
      <w:r>
        <w:rPr>
          <w:spacing w:val="-2"/>
          <w:vertAlign w:val="baseline"/>
        </w:rPr>
        <w:t> </w:t>
      </w:r>
      <w:r>
        <w:rPr>
          <w:vertAlign w:val="baseline"/>
        </w:rPr>
        <w:t>public</w:t>
      </w:r>
      <w:r>
        <w:rPr>
          <w:spacing w:val="-2"/>
          <w:vertAlign w:val="baseline"/>
        </w:rPr>
        <w:t> </w:t>
      </w:r>
      <w:r>
        <w:rPr>
          <w:vertAlign w:val="baseline"/>
        </w:rPr>
        <w:t>services,</w:t>
      </w:r>
      <w:r>
        <w:rPr>
          <w:spacing w:val="-2"/>
          <w:vertAlign w:val="baseline"/>
        </w:rPr>
        <w:t> </w:t>
      </w:r>
      <w:r>
        <w:rPr>
          <w:vertAlign w:val="baseline"/>
        </w:rPr>
        <w:t>including</w:t>
      </w:r>
      <w:r>
        <w:rPr>
          <w:spacing w:val="-2"/>
          <w:vertAlign w:val="baseline"/>
        </w:rPr>
        <w:t> </w:t>
      </w:r>
      <w:r>
        <w:rPr>
          <w:vertAlign w:val="baseline"/>
        </w:rPr>
        <w:t>healthcare</w:t>
      </w:r>
      <w:r>
        <w:rPr>
          <w:spacing w:val="-2"/>
          <w:vertAlign w:val="baseline"/>
        </w:rPr>
        <w:t> </w:t>
      </w:r>
      <w:r>
        <w:rPr>
          <w:vertAlign w:val="baseline"/>
        </w:rPr>
        <w:t>services,</w:t>
      </w:r>
      <w:r>
        <w:rPr>
          <w:spacing w:val="-2"/>
          <w:vertAlign w:val="baseline"/>
        </w:rPr>
        <w:t> </w:t>
      </w:r>
      <w:r>
        <w:rPr>
          <w:vertAlign w:val="baseline"/>
        </w:rPr>
        <w:t>which</w:t>
      </w:r>
      <w:r>
        <w:rPr>
          <w:spacing w:val="-3"/>
          <w:vertAlign w:val="baseline"/>
        </w:rPr>
        <w:t> </w:t>
      </w:r>
      <w:r>
        <w:rPr>
          <w:vertAlign w:val="baseline"/>
        </w:rPr>
        <w:t>have disproportionately impacted on women.</w:t>
      </w:r>
    </w:p>
    <w:p>
      <w:pPr>
        <w:pStyle w:val="Heading5"/>
        <w:spacing w:before="298"/>
        <w:ind w:left="1133" w:firstLine="0"/>
      </w:pPr>
      <w:bookmarkStart w:name="Access to Healthcare for Migrants" w:id="134"/>
      <w:bookmarkEnd w:id="134"/>
      <w:r>
        <w:rPr>
          <w:b w:val="0"/>
        </w:rPr>
      </w:r>
      <w:r>
        <w:rPr>
          <w:color w:val="393B80"/>
        </w:rPr>
        <w:t>Access</w:t>
      </w:r>
      <w:r>
        <w:rPr>
          <w:color w:val="393B80"/>
          <w:spacing w:val="-6"/>
        </w:rPr>
        <w:t> </w:t>
      </w:r>
      <w:r>
        <w:rPr>
          <w:color w:val="393B80"/>
        </w:rPr>
        <w:t>to</w:t>
      </w:r>
      <w:r>
        <w:rPr>
          <w:color w:val="393B80"/>
          <w:spacing w:val="-6"/>
        </w:rPr>
        <w:t> </w:t>
      </w:r>
      <w:r>
        <w:rPr>
          <w:color w:val="393B80"/>
        </w:rPr>
        <w:t>Healthcare</w:t>
      </w:r>
      <w:r>
        <w:rPr>
          <w:color w:val="393B80"/>
          <w:spacing w:val="-7"/>
        </w:rPr>
        <w:t> </w:t>
      </w:r>
      <w:r>
        <w:rPr>
          <w:color w:val="393B80"/>
        </w:rPr>
        <w:t>for</w:t>
      </w:r>
      <w:r>
        <w:rPr>
          <w:color w:val="393B80"/>
          <w:spacing w:val="-6"/>
        </w:rPr>
        <w:t> </w:t>
      </w:r>
      <w:r>
        <w:rPr>
          <w:color w:val="393B80"/>
          <w:spacing w:val="-2"/>
        </w:rPr>
        <w:t>Migrants</w:t>
      </w:r>
    </w:p>
    <w:p>
      <w:pPr>
        <w:pStyle w:val="ListParagraph"/>
        <w:numPr>
          <w:ilvl w:val="1"/>
          <w:numId w:val="13"/>
        </w:numPr>
        <w:tabs>
          <w:tab w:pos="1853" w:val="left" w:leader="none"/>
        </w:tabs>
        <w:spacing w:line="225" w:lineRule="auto" w:before="314" w:after="0"/>
        <w:ind w:left="1853" w:right="1188" w:hanging="720"/>
        <w:jc w:val="left"/>
        <w:rPr>
          <w:sz w:val="28"/>
        </w:rPr>
      </w:pPr>
      <w:r>
        <w:rPr>
          <w:sz w:val="28"/>
        </w:rPr>
        <w:t>Everyone</w:t>
      </w:r>
      <w:r>
        <w:rPr>
          <w:spacing w:val="-5"/>
          <w:sz w:val="28"/>
        </w:rPr>
        <w:t> </w:t>
      </w:r>
      <w:r>
        <w:rPr>
          <w:sz w:val="28"/>
        </w:rPr>
        <w:t>in</w:t>
      </w:r>
      <w:r>
        <w:rPr>
          <w:spacing w:val="-6"/>
          <w:sz w:val="28"/>
        </w:rPr>
        <w:t> </w:t>
      </w:r>
      <w:r>
        <w:rPr>
          <w:sz w:val="28"/>
        </w:rPr>
        <w:t>NI</w:t>
      </w:r>
      <w:r>
        <w:rPr>
          <w:spacing w:val="-5"/>
          <w:sz w:val="28"/>
        </w:rPr>
        <w:t> </w:t>
      </w:r>
      <w:r>
        <w:rPr>
          <w:sz w:val="28"/>
        </w:rPr>
        <w:t>is</w:t>
      </w:r>
      <w:r>
        <w:rPr>
          <w:spacing w:val="-6"/>
          <w:sz w:val="28"/>
        </w:rPr>
        <w:t> </w:t>
      </w:r>
      <w:r>
        <w:rPr>
          <w:sz w:val="28"/>
        </w:rPr>
        <w:t>entitled</w:t>
      </w:r>
      <w:r>
        <w:rPr>
          <w:spacing w:val="-6"/>
          <w:sz w:val="28"/>
        </w:rPr>
        <w:t> </w:t>
      </w:r>
      <w:r>
        <w:rPr>
          <w:sz w:val="28"/>
        </w:rPr>
        <w:t>to</w:t>
      </w:r>
      <w:r>
        <w:rPr>
          <w:spacing w:val="-6"/>
          <w:sz w:val="28"/>
        </w:rPr>
        <w:t> </w:t>
      </w:r>
      <w:r>
        <w:rPr>
          <w:sz w:val="28"/>
        </w:rPr>
        <w:t>free</w:t>
      </w:r>
      <w:r>
        <w:rPr>
          <w:spacing w:val="-5"/>
          <w:sz w:val="28"/>
        </w:rPr>
        <w:t> </w:t>
      </w:r>
      <w:r>
        <w:rPr>
          <w:sz w:val="28"/>
        </w:rPr>
        <w:t>emergency</w:t>
      </w:r>
      <w:r>
        <w:rPr>
          <w:spacing w:val="-5"/>
          <w:sz w:val="28"/>
        </w:rPr>
        <w:t> </w:t>
      </w:r>
      <w:r>
        <w:rPr>
          <w:sz w:val="28"/>
        </w:rPr>
        <w:t>healthcare</w:t>
      </w:r>
      <w:r>
        <w:rPr>
          <w:spacing w:val="-5"/>
          <w:sz w:val="28"/>
        </w:rPr>
        <w:t> </w:t>
      </w:r>
      <w:r>
        <w:rPr>
          <w:sz w:val="28"/>
        </w:rPr>
        <w:t>at</w:t>
      </w:r>
      <w:r>
        <w:rPr>
          <w:spacing w:val="-5"/>
          <w:sz w:val="28"/>
        </w:rPr>
        <w:t> </w:t>
      </w:r>
      <w:r>
        <w:rPr>
          <w:sz w:val="28"/>
        </w:rPr>
        <w:t>the</w:t>
      </w:r>
      <w:r>
        <w:rPr>
          <w:spacing w:val="-5"/>
          <w:sz w:val="28"/>
        </w:rPr>
        <w:t> </w:t>
      </w:r>
      <w:r>
        <w:rPr>
          <w:sz w:val="28"/>
        </w:rPr>
        <w:t>point</w:t>
      </w:r>
      <w:r>
        <w:rPr>
          <w:spacing w:val="-5"/>
          <w:sz w:val="28"/>
        </w:rPr>
        <w:t> </w:t>
      </w:r>
      <w:r>
        <w:rPr>
          <w:sz w:val="28"/>
        </w:rPr>
        <w:t>of</w:t>
      </w:r>
      <w:r>
        <w:rPr>
          <w:spacing w:val="-6"/>
          <w:sz w:val="28"/>
        </w:rPr>
        <w:t> </w:t>
      </w:r>
      <w:r>
        <w:rPr>
          <w:sz w:val="28"/>
        </w:rPr>
        <w:t>service, including irregular migrants. It is important that information regarding the right to emergency healthcare is communicated to irregular migrants to ensure they can access this type of healthcare when they need it.</w:t>
      </w:r>
    </w:p>
    <w:p>
      <w:pPr>
        <w:pStyle w:val="ListParagraph"/>
        <w:numPr>
          <w:ilvl w:val="1"/>
          <w:numId w:val="13"/>
        </w:numPr>
        <w:tabs>
          <w:tab w:pos="1853" w:val="left" w:leader="none"/>
        </w:tabs>
        <w:spacing w:line="225" w:lineRule="auto" w:before="315" w:after="0"/>
        <w:ind w:left="1853" w:right="1431" w:hanging="720"/>
        <w:jc w:val="left"/>
        <w:rPr>
          <w:sz w:val="28"/>
        </w:rPr>
      </w:pPr>
      <w:r>
        <w:rPr>
          <w:sz w:val="28"/>
        </w:rPr>
        <w:t>The Commissions have received reports that there are several barriers to migrants, including irregular migrants, accessing healthcare and there have been reports of a lack of access to translation and interpretation services</w:t>
      </w:r>
      <w:r>
        <w:rPr>
          <w:sz w:val="28"/>
          <w:vertAlign w:val="superscript"/>
        </w:rPr>
        <w:t>853</w:t>
      </w:r>
      <w:r>
        <w:rPr>
          <w:sz w:val="28"/>
          <w:vertAlign w:val="baseline"/>
        </w:rPr>
        <w:t> and questions about immigration status.</w:t>
      </w:r>
      <w:r>
        <w:rPr>
          <w:sz w:val="28"/>
          <w:vertAlign w:val="superscript"/>
        </w:rPr>
        <w:t>854</w:t>
      </w:r>
      <w:r>
        <w:rPr>
          <w:sz w:val="28"/>
          <w:vertAlign w:val="baseline"/>
        </w:rPr>
        <w:t> EU, EEA and Swiss citizens living in</w:t>
      </w:r>
      <w:r>
        <w:rPr>
          <w:spacing w:val="-3"/>
          <w:sz w:val="28"/>
          <w:vertAlign w:val="baseline"/>
        </w:rPr>
        <w:t> </w:t>
      </w:r>
      <w:r>
        <w:rPr>
          <w:sz w:val="28"/>
          <w:vertAlign w:val="baseline"/>
        </w:rPr>
        <w:t>the</w:t>
      </w:r>
      <w:r>
        <w:rPr>
          <w:spacing w:val="-2"/>
          <w:sz w:val="28"/>
          <w:vertAlign w:val="baseline"/>
        </w:rPr>
        <w:t> </w:t>
      </w:r>
      <w:r>
        <w:rPr>
          <w:sz w:val="28"/>
          <w:vertAlign w:val="baseline"/>
        </w:rPr>
        <w:t>UK</w:t>
      </w:r>
      <w:r>
        <w:rPr>
          <w:spacing w:val="-2"/>
          <w:sz w:val="28"/>
          <w:vertAlign w:val="baseline"/>
        </w:rPr>
        <w:t> </w:t>
      </w:r>
      <w:r>
        <w:rPr>
          <w:sz w:val="28"/>
          <w:vertAlign w:val="baseline"/>
        </w:rPr>
        <w:t>prior</w:t>
      </w:r>
      <w:r>
        <w:rPr>
          <w:spacing w:val="-2"/>
          <w:sz w:val="28"/>
          <w:vertAlign w:val="baseline"/>
        </w:rPr>
        <w:t> </w:t>
      </w:r>
      <w:r>
        <w:rPr>
          <w:sz w:val="28"/>
          <w:vertAlign w:val="baseline"/>
        </w:rPr>
        <w:t>to</w:t>
      </w:r>
      <w:r>
        <w:rPr>
          <w:spacing w:val="-3"/>
          <w:sz w:val="28"/>
          <w:vertAlign w:val="baseline"/>
        </w:rPr>
        <w:t> </w:t>
      </w:r>
      <w:r>
        <w:rPr>
          <w:sz w:val="28"/>
          <w:vertAlign w:val="baseline"/>
        </w:rPr>
        <w:t>EU</w:t>
      </w:r>
      <w:r>
        <w:rPr>
          <w:spacing w:val="-2"/>
          <w:sz w:val="28"/>
          <w:vertAlign w:val="baseline"/>
        </w:rPr>
        <w:t> </w:t>
      </w:r>
      <w:r>
        <w:rPr>
          <w:sz w:val="28"/>
          <w:vertAlign w:val="baseline"/>
        </w:rPr>
        <w:t>withdrawal</w:t>
      </w:r>
      <w:r>
        <w:rPr>
          <w:spacing w:val="-3"/>
          <w:sz w:val="28"/>
          <w:vertAlign w:val="baseline"/>
        </w:rPr>
        <w:t> </w:t>
      </w:r>
      <w:r>
        <w:rPr>
          <w:sz w:val="28"/>
          <w:vertAlign w:val="baseline"/>
        </w:rPr>
        <w:t>are</w:t>
      </w:r>
      <w:r>
        <w:rPr>
          <w:spacing w:val="-2"/>
          <w:sz w:val="28"/>
          <w:vertAlign w:val="baseline"/>
        </w:rPr>
        <w:t> </w:t>
      </w:r>
      <w:r>
        <w:rPr>
          <w:sz w:val="28"/>
          <w:vertAlign w:val="baseline"/>
        </w:rPr>
        <w:t>required</w:t>
      </w:r>
      <w:r>
        <w:rPr>
          <w:spacing w:val="-3"/>
          <w:sz w:val="28"/>
          <w:vertAlign w:val="baseline"/>
        </w:rPr>
        <w:t> </w:t>
      </w:r>
      <w:r>
        <w:rPr>
          <w:sz w:val="28"/>
          <w:vertAlign w:val="baseline"/>
        </w:rPr>
        <w:t>to</w:t>
      </w:r>
      <w:r>
        <w:rPr>
          <w:spacing w:val="-3"/>
          <w:sz w:val="28"/>
          <w:vertAlign w:val="baseline"/>
        </w:rPr>
        <w:t> </w:t>
      </w:r>
      <w:r>
        <w:rPr>
          <w:sz w:val="28"/>
          <w:vertAlign w:val="baseline"/>
        </w:rPr>
        <w:t>apply</w:t>
      </w:r>
      <w:r>
        <w:rPr>
          <w:spacing w:val="-2"/>
          <w:sz w:val="28"/>
          <w:vertAlign w:val="baseline"/>
        </w:rPr>
        <w:t> </w:t>
      </w:r>
      <w:r>
        <w:rPr>
          <w:sz w:val="28"/>
          <w:vertAlign w:val="baseline"/>
        </w:rPr>
        <w:t>to</w:t>
      </w:r>
      <w:r>
        <w:rPr>
          <w:spacing w:val="-3"/>
          <w:sz w:val="28"/>
          <w:vertAlign w:val="baseline"/>
        </w:rPr>
        <w:t> </w:t>
      </w:r>
      <w:r>
        <w:rPr>
          <w:sz w:val="28"/>
          <w:vertAlign w:val="baseline"/>
        </w:rPr>
        <w:t>the</w:t>
      </w:r>
      <w:r>
        <w:rPr>
          <w:spacing w:val="-2"/>
          <w:sz w:val="28"/>
          <w:vertAlign w:val="baseline"/>
        </w:rPr>
        <w:t> </w:t>
      </w:r>
      <w:r>
        <w:rPr>
          <w:sz w:val="28"/>
          <w:vertAlign w:val="baseline"/>
        </w:rPr>
        <w:t>EU</w:t>
      </w:r>
      <w:r>
        <w:rPr>
          <w:spacing w:val="-2"/>
          <w:sz w:val="28"/>
          <w:vertAlign w:val="baseline"/>
        </w:rPr>
        <w:t> </w:t>
      </w:r>
      <w:r>
        <w:rPr>
          <w:sz w:val="28"/>
          <w:vertAlign w:val="baseline"/>
        </w:rPr>
        <w:t>Settlement Scheme to demonstrate they have leave to remain in the UK.</w:t>
      </w:r>
      <w:r>
        <w:rPr>
          <w:sz w:val="28"/>
          <w:vertAlign w:val="superscript"/>
        </w:rPr>
        <w:t>855</w:t>
      </w:r>
      <w:r>
        <w:rPr>
          <w:sz w:val="28"/>
          <w:vertAlign w:val="baseline"/>
        </w:rPr>
        <w:t> NIHRC health</w:t>
      </w:r>
      <w:r>
        <w:rPr>
          <w:spacing w:val="-4"/>
          <w:sz w:val="28"/>
          <w:vertAlign w:val="baseline"/>
        </w:rPr>
        <w:t> </w:t>
      </w:r>
      <w:r>
        <w:rPr>
          <w:sz w:val="28"/>
          <w:vertAlign w:val="baseline"/>
        </w:rPr>
        <w:t>research</w:t>
      </w:r>
      <w:r>
        <w:rPr>
          <w:spacing w:val="-4"/>
          <w:sz w:val="28"/>
          <w:vertAlign w:val="baseline"/>
        </w:rPr>
        <w:t> </w:t>
      </w:r>
      <w:r>
        <w:rPr>
          <w:sz w:val="28"/>
          <w:vertAlign w:val="baseline"/>
        </w:rPr>
        <w:t>demonstrated</w:t>
      </w:r>
      <w:r>
        <w:rPr>
          <w:spacing w:val="-4"/>
          <w:sz w:val="28"/>
          <w:vertAlign w:val="baseline"/>
        </w:rPr>
        <w:t> </w:t>
      </w:r>
      <w:r>
        <w:rPr>
          <w:sz w:val="28"/>
          <w:vertAlign w:val="baseline"/>
        </w:rPr>
        <w:t>that</w:t>
      </w:r>
      <w:r>
        <w:rPr>
          <w:spacing w:val="-4"/>
          <w:sz w:val="28"/>
          <w:vertAlign w:val="baseline"/>
        </w:rPr>
        <w:t> </w:t>
      </w:r>
      <w:r>
        <w:rPr>
          <w:sz w:val="28"/>
          <w:vertAlign w:val="baseline"/>
        </w:rPr>
        <w:t>frontline</w:t>
      </w:r>
      <w:r>
        <w:rPr>
          <w:spacing w:val="-4"/>
          <w:sz w:val="28"/>
          <w:vertAlign w:val="baseline"/>
        </w:rPr>
        <w:t> </w:t>
      </w:r>
      <w:r>
        <w:rPr>
          <w:sz w:val="28"/>
          <w:vertAlign w:val="baseline"/>
        </w:rPr>
        <w:t>health</w:t>
      </w:r>
      <w:r>
        <w:rPr>
          <w:spacing w:val="-4"/>
          <w:sz w:val="28"/>
          <w:vertAlign w:val="baseline"/>
        </w:rPr>
        <w:t> </w:t>
      </w:r>
      <w:r>
        <w:rPr>
          <w:sz w:val="28"/>
          <w:vertAlign w:val="baseline"/>
        </w:rPr>
        <w:t>staff</w:t>
      </w:r>
      <w:r>
        <w:rPr>
          <w:spacing w:val="-4"/>
          <w:sz w:val="28"/>
          <w:vertAlign w:val="baseline"/>
        </w:rPr>
        <w:t> </w:t>
      </w:r>
      <w:r>
        <w:rPr>
          <w:sz w:val="28"/>
          <w:vertAlign w:val="baseline"/>
        </w:rPr>
        <w:t>currently</w:t>
      </w:r>
      <w:r>
        <w:rPr>
          <w:spacing w:val="-4"/>
          <w:sz w:val="28"/>
          <w:vertAlign w:val="baseline"/>
        </w:rPr>
        <w:t> </w:t>
      </w:r>
      <w:r>
        <w:rPr>
          <w:sz w:val="28"/>
          <w:vertAlign w:val="baseline"/>
        </w:rPr>
        <w:t>lack</w:t>
      </w:r>
      <w:r>
        <w:rPr>
          <w:spacing w:val="-4"/>
          <w:sz w:val="28"/>
          <w:vertAlign w:val="baseline"/>
        </w:rPr>
        <w:t> </w:t>
      </w:r>
      <w:r>
        <w:rPr>
          <w:sz w:val="28"/>
          <w:vertAlign w:val="baseline"/>
        </w:rPr>
        <w:t>clear information</w:t>
      </w:r>
      <w:r>
        <w:rPr>
          <w:spacing w:val="-10"/>
          <w:sz w:val="28"/>
          <w:vertAlign w:val="baseline"/>
        </w:rPr>
        <w:t> </w:t>
      </w:r>
      <w:r>
        <w:rPr>
          <w:sz w:val="28"/>
          <w:vertAlign w:val="baseline"/>
        </w:rPr>
        <w:t>about</w:t>
      </w:r>
      <w:r>
        <w:rPr>
          <w:spacing w:val="-9"/>
          <w:sz w:val="28"/>
          <w:vertAlign w:val="baseline"/>
        </w:rPr>
        <w:t> </w:t>
      </w:r>
      <w:r>
        <w:rPr>
          <w:sz w:val="28"/>
          <w:vertAlign w:val="baseline"/>
        </w:rPr>
        <w:t>the</w:t>
      </w:r>
      <w:r>
        <w:rPr>
          <w:spacing w:val="-9"/>
          <w:sz w:val="28"/>
          <w:vertAlign w:val="baseline"/>
        </w:rPr>
        <w:t> </w:t>
      </w:r>
      <w:r>
        <w:rPr>
          <w:sz w:val="28"/>
          <w:vertAlign w:val="baseline"/>
        </w:rPr>
        <w:t>applicable</w:t>
      </w:r>
      <w:r>
        <w:rPr>
          <w:spacing w:val="-9"/>
          <w:sz w:val="28"/>
          <w:vertAlign w:val="baseline"/>
        </w:rPr>
        <w:t> </w:t>
      </w:r>
      <w:r>
        <w:rPr>
          <w:sz w:val="28"/>
          <w:vertAlign w:val="baseline"/>
        </w:rPr>
        <w:t>law</w:t>
      </w:r>
      <w:r>
        <w:rPr>
          <w:spacing w:val="-9"/>
          <w:sz w:val="28"/>
          <w:vertAlign w:val="baseline"/>
        </w:rPr>
        <w:t> </w:t>
      </w:r>
      <w:r>
        <w:rPr>
          <w:sz w:val="28"/>
          <w:vertAlign w:val="baseline"/>
        </w:rPr>
        <w:t>for</w:t>
      </w:r>
      <w:r>
        <w:rPr>
          <w:spacing w:val="-9"/>
          <w:sz w:val="28"/>
          <w:vertAlign w:val="baseline"/>
        </w:rPr>
        <w:t> </w:t>
      </w:r>
      <w:r>
        <w:rPr>
          <w:sz w:val="28"/>
          <w:vertAlign w:val="baseline"/>
        </w:rPr>
        <w:t>patients</w:t>
      </w:r>
      <w:r>
        <w:rPr>
          <w:spacing w:val="-10"/>
          <w:sz w:val="28"/>
          <w:vertAlign w:val="baseline"/>
        </w:rPr>
        <w:t> </w:t>
      </w:r>
      <w:r>
        <w:rPr>
          <w:sz w:val="28"/>
          <w:vertAlign w:val="baseline"/>
        </w:rPr>
        <w:t>accessing</w:t>
      </w:r>
      <w:r>
        <w:rPr>
          <w:spacing w:val="-9"/>
          <w:sz w:val="28"/>
          <w:vertAlign w:val="baseline"/>
        </w:rPr>
        <w:t> </w:t>
      </w:r>
      <w:r>
        <w:rPr>
          <w:sz w:val="28"/>
          <w:vertAlign w:val="baseline"/>
        </w:rPr>
        <w:t>healthcare</w:t>
      </w:r>
      <w:r>
        <w:rPr>
          <w:spacing w:val="-9"/>
          <w:sz w:val="28"/>
          <w:vertAlign w:val="baseline"/>
        </w:rPr>
        <w:t> </w:t>
      </w:r>
      <w:r>
        <w:rPr>
          <w:sz w:val="28"/>
          <w:vertAlign w:val="baseline"/>
        </w:rPr>
        <w:t>post- </w:t>
      </w:r>
      <w:r>
        <w:rPr>
          <w:spacing w:val="-2"/>
          <w:sz w:val="28"/>
          <w:vertAlign w:val="baseline"/>
        </w:rPr>
        <w:t>Brexit.</w:t>
      </w:r>
      <w:r>
        <w:rPr>
          <w:spacing w:val="-2"/>
          <w:sz w:val="28"/>
          <w:vertAlign w:val="superscript"/>
        </w:rPr>
        <w:t>856</w:t>
      </w:r>
    </w:p>
    <w:p>
      <w:pPr>
        <w:pStyle w:val="ListParagraph"/>
        <w:numPr>
          <w:ilvl w:val="1"/>
          <w:numId w:val="13"/>
        </w:numPr>
        <w:tabs>
          <w:tab w:pos="1853" w:val="left" w:leader="none"/>
          <w:tab w:pos="1915" w:val="left" w:leader="none"/>
        </w:tabs>
        <w:spacing w:line="225" w:lineRule="auto" w:before="308" w:after="0"/>
        <w:ind w:left="1853" w:right="1344" w:hanging="720"/>
        <w:jc w:val="left"/>
        <w:rPr>
          <w:sz w:val="28"/>
        </w:rPr>
      </w:pPr>
      <w:r>
        <w:rPr>
          <w:sz w:val="28"/>
        </w:rPr>
        <w:tab/>
        <w:t>In</w:t>
      </w:r>
      <w:r>
        <w:rPr>
          <w:spacing w:val="-16"/>
          <w:sz w:val="28"/>
        </w:rPr>
        <w:t> </w:t>
      </w:r>
      <w:r>
        <w:rPr>
          <w:sz w:val="28"/>
        </w:rPr>
        <w:t>addition,</w:t>
      </w:r>
      <w:r>
        <w:rPr>
          <w:spacing w:val="-16"/>
          <w:sz w:val="28"/>
        </w:rPr>
        <w:t> </w:t>
      </w:r>
      <w:r>
        <w:rPr>
          <w:sz w:val="28"/>
        </w:rPr>
        <w:t>evidence</w:t>
      </w:r>
      <w:r>
        <w:rPr>
          <w:spacing w:val="-16"/>
          <w:sz w:val="28"/>
        </w:rPr>
        <w:t> </w:t>
      </w:r>
      <w:r>
        <w:rPr>
          <w:sz w:val="28"/>
        </w:rPr>
        <w:t>from</w:t>
      </w:r>
      <w:r>
        <w:rPr>
          <w:spacing w:val="-16"/>
          <w:sz w:val="28"/>
        </w:rPr>
        <w:t> </w:t>
      </w:r>
      <w:r>
        <w:rPr>
          <w:sz w:val="28"/>
        </w:rPr>
        <w:t>ECNI’s</w:t>
      </w:r>
      <w:r>
        <w:rPr>
          <w:spacing w:val="-16"/>
          <w:sz w:val="28"/>
        </w:rPr>
        <w:t> </w:t>
      </w:r>
      <w:r>
        <w:rPr>
          <w:sz w:val="28"/>
        </w:rPr>
        <w:t>research</w:t>
      </w:r>
      <w:r>
        <w:rPr>
          <w:sz w:val="28"/>
          <w:vertAlign w:val="superscript"/>
        </w:rPr>
        <w:t>857</w:t>
      </w:r>
      <w:r>
        <w:rPr>
          <w:spacing w:val="-15"/>
          <w:sz w:val="28"/>
          <w:vertAlign w:val="baseline"/>
        </w:rPr>
        <w:t> </w:t>
      </w:r>
      <w:r>
        <w:rPr>
          <w:sz w:val="28"/>
          <w:vertAlign w:val="baseline"/>
        </w:rPr>
        <w:t>and</w:t>
      </w:r>
      <w:r>
        <w:rPr>
          <w:spacing w:val="-16"/>
          <w:sz w:val="28"/>
          <w:vertAlign w:val="baseline"/>
        </w:rPr>
        <w:t> </w:t>
      </w:r>
      <w:r>
        <w:rPr>
          <w:sz w:val="28"/>
          <w:vertAlign w:val="baseline"/>
        </w:rPr>
        <w:t>policy</w:t>
      </w:r>
      <w:r>
        <w:rPr>
          <w:spacing w:val="-16"/>
          <w:sz w:val="28"/>
          <w:vertAlign w:val="baseline"/>
        </w:rPr>
        <w:t> </w:t>
      </w:r>
      <w:r>
        <w:rPr>
          <w:sz w:val="28"/>
          <w:vertAlign w:val="baseline"/>
        </w:rPr>
        <w:t>recommendations</w:t>
      </w:r>
      <w:r>
        <w:rPr>
          <w:sz w:val="28"/>
          <w:vertAlign w:val="superscript"/>
        </w:rPr>
        <w:t>858</w:t>
      </w:r>
      <w:r>
        <w:rPr>
          <w:sz w:val="28"/>
          <w:vertAlign w:val="baseline"/>
        </w:rPr>
        <w:t> on the impact of Brexit on minority ethnic and migrant people identified</w:t>
      </w:r>
    </w:p>
    <w:p>
      <w:pPr>
        <w:pStyle w:val="BodyText"/>
        <w:spacing w:line="225" w:lineRule="auto"/>
        <w:ind w:left="1853" w:right="1667"/>
      </w:pPr>
      <w:r>
        <w:rPr/>
        <w:t>a perception that some staff in public services were not trained to deal with</w:t>
      </w:r>
      <w:r>
        <w:rPr>
          <w:spacing w:val="-5"/>
        </w:rPr>
        <w:t> </w:t>
      </w:r>
      <w:r>
        <w:rPr/>
        <w:t>the</w:t>
      </w:r>
      <w:r>
        <w:rPr>
          <w:spacing w:val="-4"/>
        </w:rPr>
        <w:t> </w:t>
      </w:r>
      <w:r>
        <w:rPr/>
        <w:t>new</w:t>
      </w:r>
      <w:r>
        <w:rPr>
          <w:spacing w:val="-4"/>
        </w:rPr>
        <w:t> </w:t>
      </w:r>
      <w:r>
        <w:rPr/>
        <w:t>categories</w:t>
      </w:r>
      <w:r>
        <w:rPr>
          <w:spacing w:val="-5"/>
        </w:rPr>
        <w:t> </w:t>
      </w:r>
      <w:r>
        <w:rPr/>
        <w:t>of</w:t>
      </w:r>
      <w:r>
        <w:rPr>
          <w:spacing w:val="-5"/>
        </w:rPr>
        <w:t> </w:t>
      </w:r>
      <w:r>
        <w:rPr/>
        <w:t>rights</w:t>
      </w:r>
      <w:r>
        <w:rPr>
          <w:spacing w:val="-5"/>
        </w:rPr>
        <w:t> </w:t>
      </w:r>
      <w:r>
        <w:rPr/>
        <w:t>holders.</w:t>
      </w:r>
      <w:r>
        <w:rPr>
          <w:spacing w:val="40"/>
        </w:rPr>
        <w:t> </w:t>
      </w:r>
      <w:r>
        <w:rPr/>
        <w:t>Moreover,</w:t>
      </w:r>
      <w:r>
        <w:rPr>
          <w:spacing w:val="-4"/>
        </w:rPr>
        <w:t> </w:t>
      </w:r>
      <w:r>
        <w:rPr/>
        <w:t>they</w:t>
      </w:r>
      <w:r>
        <w:rPr>
          <w:spacing w:val="-4"/>
        </w:rPr>
        <w:t> </w:t>
      </w:r>
      <w:r>
        <w:rPr/>
        <w:t>did</w:t>
      </w:r>
      <w:r>
        <w:rPr>
          <w:spacing w:val="-5"/>
        </w:rPr>
        <w:t> </w:t>
      </w:r>
      <w:r>
        <w:rPr/>
        <w:t>not</w:t>
      </w:r>
      <w:r>
        <w:rPr>
          <w:spacing w:val="-4"/>
        </w:rPr>
        <w:t> </w:t>
      </w:r>
      <w:r>
        <w:rPr/>
        <w:t>appear to</w:t>
      </w:r>
      <w:r>
        <w:rPr>
          <w:spacing w:val="-11"/>
        </w:rPr>
        <w:t> </w:t>
      </w:r>
      <w:r>
        <w:rPr/>
        <w:t>understand</w:t>
      </w:r>
      <w:r>
        <w:rPr>
          <w:spacing w:val="-11"/>
        </w:rPr>
        <w:t> </w:t>
      </w:r>
      <w:r>
        <w:rPr/>
        <w:t>the</w:t>
      </w:r>
      <w:r>
        <w:rPr>
          <w:spacing w:val="-11"/>
        </w:rPr>
        <w:t> </w:t>
      </w:r>
      <w:r>
        <w:rPr/>
        <w:t>different</w:t>
      </w:r>
      <w:r>
        <w:rPr>
          <w:spacing w:val="-11"/>
        </w:rPr>
        <w:t> </w:t>
      </w:r>
      <w:r>
        <w:rPr/>
        <w:t>statuses</w:t>
      </w:r>
      <w:r>
        <w:rPr>
          <w:spacing w:val="-11"/>
        </w:rPr>
        <w:t> </w:t>
      </w:r>
      <w:r>
        <w:rPr/>
        <w:t>that</w:t>
      </w:r>
      <w:r>
        <w:rPr>
          <w:spacing w:val="-11"/>
        </w:rPr>
        <w:t> </w:t>
      </w:r>
      <w:r>
        <w:rPr/>
        <w:t>resulted</w:t>
      </w:r>
      <w:r>
        <w:rPr>
          <w:spacing w:val="-11"/>
        </w:rPr>
        <w:t> </w:t>
      </w:r>
      <w:r>
        <w:rPr/>
        <w:t>from</w:t>
      </w:r>
      <w:r>
        <w:rPr>
          <w:spacing w:val="-11"/>
        </w:rPr>
        <w:t> </w:t>
      </w:r>
      <w:r>
        <w:rPr/>
        <w:t>the</w:t>
      </w:r>
      <w:r>
        <w:rPr>
          <w:spacing w:val="-11"/>
        </w:rPr>
        <w:t> </w:t>
      </w:r>
      <w:r>
        <w:rPr/>
        <w:t>EU</w:t>
      </w:r>
      <w:r>
        <w:rPr>
          <w:spacing w:val="-11"/>
        </w:rPr>
        <w:t> </w:t>
      </w:r>
      <w:r>
        <w:rPr/>
        <w:t>Settlement Scheme</w:t>
      </w:r>
      <w:r>
        <w:rPr>
          <w:spacing w:val="-7"/>
        </w:rPr>
        <w:t> </w:t>
      </w:r>
      <w:r>
        <w:rPr/>
        <w:t>process</w:t>
      </w:r>
      <w:r>
        <w:rPr>
          <w:spacing w:val="-8"/>
        </w:rPr>
        <w:t> </w:t>
      </w:r>
      <w:r>
        <w:rPr/>
        <w:t>or</w:t>
      </w:r>
      <w:r>
        <w:rPr>
          <w:spacing w:val="-7"/>
        </w:rPr>
        <w:t> </w:t>
      </w:r>
      <w:r>
        <w:rPr/>
        <w:t>what</w:t>
      </w:r>
      <w:r>
        <w:rPr>
          <w:spacing w:val="-7"/>
        </w:rPr>
        <w:t> </w:t>
      </w:r>
      <w:r>
        <w:rPr/>
        <w:t>the</w:t>
      </w:r>
      <w:r>
        <w:rPr>
          <w:spacing w:val="-7"/>
        </w:rPr>
        <w:t> </w:t>
      </w:r>
      <w:r>
        <w:rPr/>
        <w:t>implications</w:t>
      </w:r>
      <w:r>
        <w:rPr>
          <w:spacing w:val="-7"/>
        </w:rPr>
        <w:t> </w:t>
      </w:r>
      <w:r>
        <w:rPr/>
        <w:t>of</w:t>
      </w:r>
      <w:r>
        <w:rPr>
          <w:spacing w:val="-8"/>
        </w:rPr>
        <w:t> </w:t>
      </w:r>
      <w:r>
        <w:rPr/>
        <w:t>those</w:t>
      </w:r>
      <w:r>
        <w:rPr>
          <w:spacing w:val="-7"/>
        </w:rPr>
        <w:t> </w:t>
      </w:r>
      <w:r>
        <w:rPr/>
        <w:t>different</w:t>
      </w:r>
      <w:r>
        <w:rPr>
          <w:spacing w:val="-7"/>
        </w:rPr>
        <w:t> </w:t>
      </w:r>
      <w:r>
        <w:rPr/>
        <w:t>statuses</w:t>
      </w:r>
      <w:r>
        <w:rPr>
          <w:spacing w:val="-8"/>
        </w:rPr>
        <w:t> </w:t>
      </w:r>
      <w:r>
        <w:rPr>
          <w:spacing w:val="-4"/>
        </w:rPr>
        <w:t>were</w:t>
      </w:r>
    </w:p>
    <w:p>
      <w:pPr>
        <w:pStyle w:val="BodyText"/>
        <w:spacing w:line="225" w:lineRule="auto"/>
        <w:ind w:left="1853" w:right="1171"/>
      </w:pPr>
      <w:r>
        <w:rPr/>
        <w:t>for</w:t>
      </w:r>
      <w:r>
        <w:rPr>
          <w:spacing w:val="-5"/>
        </w:rPr>
        <w:t> </w:t>
      </w:r>
      <w:r>
        <w:rPr/>
        <w:t>rights</w:t>
      </w:r>
      <w:r>
        <w:rPr>
          <w:spacing w:val="-6"/>
        </w:rPr>
        <w:t> </w:t>
      </w:r>
      <w:r>
        <w:rPr/>
        <w:t>and</w:t>
      </w:r>
      <w:r>
        <w:rPr>
          <w:spacing w:val="-6"/>
        </w:rPr>
        <w:t> </w:t>
      </w:r>
      <w:r>
        <w:rPr/>
        <w:t>entitlements</w:t>
      </w:r>
      <w:r>
        <w:rPr>
          <w:spacing w:val="-6"/>
        </w:rPr>
        <w:t> </w:t>
      </w:r>
      <w:r>
        <w:rPr/>
        <w:t>to</w:t>
      </w:r>
      <w:r>
        <w:rPr>
          <w:spacing w:val="-6"/>
        </w:rPr>
        <w:t> </w:t>
      </w:r>
      <w:r>
        <w:rPr/>
        <w:t>public</w:t>
      </w:r>
      <w:r>
        <w:rPr>
          <w:spacing w:val="-5"/>
        </w:rPr>
        <w:t> </w:t>
      </w:r>
      <w:r>
        <w:rPr/>
        <w:t>services.</w:t>
      </w:r>
      <w:r>
        <w:rPr>
          <w:spacing w:val="-6"/>
        </w:rPr>
        <w:t> </w:t>
      </w:r>
      <w:r>
        <w:rPr/>
        <w:t>Research</w:t>
      </w:r>
      <w:r>
        <w:rPr>
          <w:spacing w:val="-6"/>
        </w:rPr>
        <w:t> </w:t>
      </w:r>
      <w:r>
        <w:rPr/>
        <w:t>participants</w:t>
      </w:r>
      <w:r>
        <w:rPr>
          <w:spacing w:val="-6"/>
        </w:rPr>
        <w:t> </w:t>
      </w:r>
      <w:r>
        <w:rPr/>
        <w:t>reported having</w:t>
      </w:r>
      <w:r>
        <w:rPr>
          <w:spacing w:val="-7"/>
        </w:rPr>
        <w:t> </w:t>
      </w:r>
      <w:r>
        <w:rPr/>
        <w:t>to</w:t>
      </w:r>
      <w:r>
        <w:rPr>
          <w:spacing w:val="-5"/>
        </w:rPr>
        <w:t> </w:t>
      </w:r>
      <w:r>
        <w:rPr/>
        <w:t>repeatedly</w:t>
      </w:r>
      <w:r>
        <w:rPr>
          <w:spacing w:val="-4"/>
        </w:rPr>
        <w:t> </w:t>
      </w:r>
      <w:r>
        <w:rPr/>
        <w:t>prove</w:t>
      </w:r>
      <w:r>
        <w:rPr>
          <w:spacing w:val="-4"/>
        </w:rPr>
        <w:t> </w:t>
      </w:r>
      <w:r>
        <w:rPr/>
        <w:t>their</w:t>
      </w:r>
      <w:r>
        <w:rPr>
          <w:spacing w:val="-4"/>
        </w:rPr>
        <w:t> </w:t>
      </w:r>
      <w:r>
        <w:rPr/>
        <w:t>status</w:t>
      </w:r>
      <w:r>
        <w:rPr>
          <w:spacing w:val="-5"/>
        </w:rPr>
        <w:t> </w:t>
      </w:r>
      <w:r>
        <w:rPr/>
        <w:t>to</w:t>
      </w:r>
      <w:r>
        <w:rPr>
          <w:spacing w:val="-6"/>
        </w:rPr>
        <w:t> </w:t>
      </w:r>
      <w:r>
        <w:rPr/>
        <w:t>access</w:t>
      </w:r>
      <w:r>
        <w:rPr>
          <w:spacing w:val="-5"/>
        </w:rPr>
        <w:t> </w:t>
      </w:r>
      <w:r>
        <w:rPr/>
        <w:t>public</w:t>
      </w:r>
      <w:r>
        <w:rPr>
          <w:spacing w:val="-4"/>
        </w:rPr>
        <w:t> </w:t>
      </w:r>
      <w:r>
        <w:rPr/>
        <w:t>services</w:t>
      </w:r>
      <w:r>
        <w:rPr>
          <w:spacing w:val="-5"/>
        </w:rPr>
        <w:t> </w:t>
      </w:r>
      <w:r>
        <w:rPr/>
        <w:t>due</w:t>
      </w:r>
      <w:r>
        <w:rPr>
          <w:spacing w:val="-4"/>
        </w:rPr>
        <w:t> </w:t>
      </w:r>
      <w:r>
        <w:rPr/>
        <w:t>to</w:t>
      </w:r>
      <w:r>
        <w:rPr>
          <w:spacing w:val="-5"/>
        </w:rPr>
        <w:t> </w:t>
      </w:r>
      <w:r>
        <w:rPr/>
        <w:t>a</w:t>
      </w:r>
      <w:r>
        <w:rPr>
          <w:spacing w:val="-5"/>
        </w:rPr>
        <w:t> </w:t>
      </w:r>
      <w:r>
        <w:rPr>
          <w:spacing w:val="-4"/>
        </w:rPr>
        <w:t>lack</w:t>
      </w:r>
    </w:p>
    <w:p>
      <w:pPr>
        <w:pStyle w:val="BodyText"/>
        <w:rPr>
          <w:sz w:val="15"/>
        </w:rPr>
      </w:pPr>
      <w:r>
        <w:rPr/>
        <mc:AlternateContent>
          <mc:Choice Requires="wps">
            <w:drawing>
              <wp:anchor distT="0" distB="0" distL="0" distR="0" allowOverlap="1" layoutInCell="1" locked="0" behindDoc="1" simplePos="0" relativeHeight="487728128">
                <wp:simplePos x="0" y="0"/>
                <wp:positionH relativeFrom="page">
                  <wp:posOffset>719996</wp:posOffset>
                </wp:positionH>
                <wp:positionV relativeFrom="paragraph">
                  <wp:posOffset>131826</wp:posOffset>
                </wp:positionV>
                <wp:extent cx="6120130" cy="1270"/>
                <wp:effectExtent l="0" t="0" r="0" b="0"/>
                <wp:wrapTopAndBottom/>
                <wp:docPr id="639" name="Graphic 639"/>
                <wp:cNvGraphicFramePr>
                  <a:graphicFrameLocks/>
                </wp:cNvGraphicFramePr>
                <a:graphic>
                  <a:graphicData uri="http://schemas.microsoft.com/office/word/2010/wordprocessingShape">
                    <wps:wsp>
                      <wps:cNvPr id="639" name="Graphic 63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0.380032pt;width:481.9pt;height:.1pt;mso-position-horizontal-relative:page;mso-position-vertical-relative:paragraph;z-index:-15588352;mso-wrap-distance-left:0;mso-wrap-distance-right:0" id="docshape583" coordorigin="1134,208" coordsize="9638,0" path="m10772,208l1134,208e" filled="false" stroked="true" strokeweight="1pt" strokecolor="#393b80">
                <v:path arrowok="t"/>
                <v:stroke dashstyle="solid"/>
                <w10:wrap type="topAndBottom"/>
              </v:shape>
            </w:pict>
          </mc:Fallback>
        </mc:AlternateContent>
      </w:r>
    </w:p>
    <w:p>
      <w:pPr>
        <w:pStyle w:val="ListParagraph"/>
        <w:numPr>
          <w:ilvl w:val="0"/>
          <w:numId w:val="15"/>
        </w:numPr>
        <w:tabs>
          <w:tab w:pos="1853" w:val="left" w:leader="none"/>
        </w:tabs>
        <w:spacing w:line="235" w:lineRule="auto" w:before="159" w:after="0"/>
        <w:ind w:left="1853" w:right="1780" w:hanging="720"/>
        <w:jc w:val="left"/>
        <w:rPr>
          <w:sz w:val="18"/>
        </w:rPr>
      </w:pPr>
      <w:r>
        <w:rPr>
          <w:sz w:val="18"/>
        </w:rPr>
        <w:t>Katharine</w:t>
      </w:r>
      <w:r>
        <w:rPr>
          <w:spacing w:val="-4"/>
          <w:sz w:val="18"/>
        </w:rPr>
        <w:t> </w:t>
      </w:r>
      <w:r>
        <w:rPr>
          <w:sz w:val="18"/>
        </w:rPr>
        <w:t>Wright,</w:t>
      </w:r>
      <w:r>
        <w:rPr>
          <w:spacing w:val="-4"/>
          <w:sz w:val="18"/>
        </w:rPr>
        <w:t> </w:t>
      </w:r>
      <w:r>
        <w:rPr>
          <w:sz w:val="18"/>
        </w:rPr>
        <w:t>Ruth</w:t>
      </w:r>
      <w:r>
        <w:rPr>
          <w:spacing w:val="-5"/>
          <w:sz w:val="18"/>
        </w:rPr>
        <w:t> </w:t>
      </w:r>
      <w:r>
        <w:rPr>
          <w:sz w:val="18"/>
        </w:rPr>
        <w:t>McAreavey</w:t>
      </w:r>
      <w:r>
        <w:rPr>
          <w:spacing w:val="-4"/>
          <w:sz w:val="18"/>
        </w:rPr>
        <w:t> </w:t>
      </w:r>
      <w:r>
        <w:rPr>
          <w:sz w:val="18"/>
        </w:rPr>
        <w:t>and</w:t>
      </w:r>
      <w:r>
        <w:rPr>
          <w:spacing w:val="-5"/>
          <w:sz w:val="18"/>
        </w:rPr>
        <w:t> </w:t>
      </w:r>
      <w:r>
        <w:rPr>
          <w:sz w:val="18"/>
        </w:rPr>
        <w:t>Rebecca</w:t>
      </w:r>
      <w:r>
        <w:rPr>
          <w:spacing w:val="-5"/>
          <w:sz w:val="18"/>
        </w:rPr>
        <w:t> </w:t>
      </w:r>
      <w:r>
        <w:rPr>
          <w:sz w:val="18"/>
        </w:rPr>
        <w:t>Donaldson,</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Women</w:t>
      </w:r>
      <w:r>
        <w:rPr>
          <w:spacing w:val="-5"/>
          <w:sz w:val="18"/>
        </w:rPr>
        <w:t> </w:t>
      </w:r>
      <w:r>
        <w:rPr>
          <w:sz w:val="18"/>
        </w:rPr>
        <w:t>in</w:t>
      </w:r>
      <w:r>
        <w:rPr>
          <w:spacing w:val="-5"/>
          <w:sz w:val="18"/>
        </w:rPr>
        <w:t> </w:t>
      </w:r>
      <w:r>
        <w:rPr>
          <w:sz w:val="18"/>
        </w:rPr>
        <w:t>Northern</w:t>
      </w:r>
      <w:r>
        <w:rPr>
          <w:spacing w:val="-5"/>
          <w:sz w:val="18"/>
        </w:rPr>
        <w:t> </w:t>
      </w:r>
      <w:r>
        <w:rPr>
          <w:sz w:val="18"/>
        </w:rPr>
        <w:t>Ireland’ (ECNI, 2024).</w:t>
      </w:r>
    </w:p>
    <w:p>
      <w:pPr>
        <w:pStyle w:val="ListParagraph"/>
        <w:numPr>
          <w:ilvl w:val="0"/>
          <w:numId w:val="15"/>
        </w:numPr>
        <w:tabs>
          <w:tab w:pos="1853" w:val="left" w:leader="none"/>
        </w:tabs>
        <w:spacing w:line="235" w:lineRule="auto" w:before="1" w:after="0"/>
        <w:ind w:left="1853" w:right="1510" w:hanging="720"/>
        <w:jc w:val="left"/>
        <w:rPr>
          <w:sz w:val="18"/>
        </w:rPr>
      </w:pP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3"/>
          <w:sz w:val="18"/>
        </w:rPr>
        <w:t> </w:t>
      </w:r>
      <w:r>
        <w:rPr>
          <w:sz w:val="18"/>
        </w:rPr>
        <w:t>‘Submission</w:t>
      </w:r>
      <w:r>
        <w:rPr>
          <w:spacing w:val="-4"/>
          <w:sz w:val="18"/>
        </w:rPr>
        <w:t> </w:t>
      </w:r>
      <w:r>
        <w:rPr>
          <w:sz w:val="18"/>
        </w:rPr>
        <w:t>to</w:t>
      </w:r>
      <w:r>
        <w:rPr>
          <w:spacing w:val="-4"/>
          <w:sz w:val="18"/>
        </w:rPr>
        <w:t> </w:t>
      </w:r>
      <w:r>
        <w:rPr>
          <w:sz w:val="18"/>
        </w:rPr>
        <w:t>the</w:t>
      </w:r>
      <w:r>
        <w:rPr>
          <w:spacing w:val="-3"/>
          <w:sz w:val="18"/>
        </w:rPr>
        <w:t> </w:t>
      </w:r>
      <w:r>
        <w:rPr>
          <w:sz w:val="18"/>
        </w:rPr>
        <w:t>NI</w:t>
      </w:r>
      <w:r>
        <w:rPr>
          <w:spacing w:val="-3"/>
          <w:sz w:val="18"/>
        </w:rPr>
        <w:t> </w:t>
      </w:r>
      <w:r>
        <w:rPr>
          <w:sz w:val="18"/>
        </w:rPr>
        <w:t>Affairs</w:t>
      </w:r>
      <w:r>
        <w:rPr>
          <w:spacing w:val="-4"/>
          <w:sz w:val="18"/>
        </w:rPr>
        <w:t> </w:t>
      </w:r>
      <w:r>
        <w:rPr>
          <w:sz w:val="18"/>
        </w:rPr>
        <w:t>Committee</w:t>
      </w:r>
      <w:r>
        <w:rPr>
          <w:spacing w:val="-3"/>
          <w:sz w:val="18"/>
        </w:rPr>
        <w:t> </w:t>
      </w:r>
      <w:r>
        <w:rPr>
          <w:sz w:val="18"/>
        </w:rPr>
        <w:t>Inquiry</w:t>
      </w:r>
      <w:r>
        <w:rPr>
          <w:spacing w:val="-3"/>
          <w:sz w:val="18"/>
        </w:rPr>
        <w:t> </w:t>
      </w:r>
      <w:r>
        <w:rPr>
          <w:sz w:val="18"/>
        </w:rPr>
        <w:t>into</w:t>
      </w:r>
      <w:r>
        <w:rPr>
          <w:spacing w:val="-4"/>
          <w:sz w:val="18"/>
        </w:rPr>
        <w:t> </w:t>
      </w:r>
      <w:r>
        <w:rPr>
          <w:sz w:val="18"/>
        </w:rPr>
        <w:t>the</w:t>
      </w:r>
      <w:r>
        <w:rPr>
          <w:spacing w:val="-3"/>
          <w:sz w:val="18"/>
        </w:rPr>
        <w:t> </w:t>
      </w:r>
      <w:r>
        <w:rPr>
          <w:sz w:val="18"/>
        </w:rPr>
        <w:t>Experience</w:t>
      </w:r>
      <w:r>
        <w:rPr>
          <w:spacing w:val="-3"/>
          <w:sz w:val="18"/>
        </w:rPr>
        <w:t> </w:t>
      </w:r>
      <w:r>
        <w:rPr>
          <w:sz w:val="18"/>
        </w:rPr>
        <w:t>of</w:t>
      </w:r>
      <w:r>
        <w:rPr>
          <w:spacing w:val="-4"/>
          <w:sz w:val="18"/>
        </w:rPr>
        <w:t> </w:t>
      </w:r>
      <w:r>
        <w:rPr>
          <w:sz w:val="18"/>
        </w:rPr>
        <w:t>Minority</w:t>
      </w:r>
      <w:r>
        <w:rPr>
          <w:spacing w:val="-3"/>
          <w:sz w:val="18"/>
        </w:rPr>
        <w:t> </w:t>
      </w:r>
      <w:r>
        <w:rPr>
          <w:sz w:val="18"/>
        </w:rPr>
        <w:t>Ethnic and</w:t>
      </w:r>
      <w:r>
        <w:rPr>
          <w:spacing w:val="-5"/>
          <w:sz w:val="18"/>
        </w:rPr>
        <w:t> </w:t>
      </w:r>
      <w:r>
        <w:rPr>
          <w:sz w:val="18"/>
        </w:rPr>
        <w:t>Migrant</w:t>
      </w:r>
      <w:r>
        <w:rPr>
          <w:spacing w:val="-4"/>
          <w:sz w:val="18"/>
        </w:rPr>
        <w:t> </w:t>
      </w:r>
      <w:r>
        <w:rPr>
          <w:sz w:val="18"/>
        </w:rPr>
        <w:t>People</w:t>
      </w:r>
      <w:r>
        <w:rPr>
          <w:spacing w:val="-4"/>
          <w:sz w:val="18"/>
        </w:rPr>
        <w:t> </w:t>
      </w:r>
      <w:r>
        <w:rPr>
          <w:sz w:val="18"/>
        </w:rPr>
        <w:t>in</w:t>
      </w:r>
      <w:r>
        <w:rPr>
          <w:spacing w:val="-5"/>
          <w:sz w:val="18"/>
        </w:rPr>
        <w:t> </w:t>
      </w:r>
      <w:r>
        <w:rPr>
          <w:sz w:val="18"/>
        </w:rPr>
        <w:t>NI’</w:t>
      </w:r>
      <w:r>
        <w:rPr>
          <w:spacing w:val="-4"/>
          <w:sz w:val="18"/>
        </w:rPr>
        <w:t> </w:t>
      </w:r>
      <w:r>
        <w:rPr>
          <w:sz w:val="18"/>
        </w:rPr>
        <w:t>(NIHRC,</w:t>
      </w:r>
      <w:r>
        <w:rPr>
          <w:spacing w:val="-4"/>
          <w:sz w:val="18"/>
        </w:rPr>
        <w:t> </w:t>
      </w:r>
      <w:r>
        <w:rPr>
          <w:sz w:val="18"/>
        </w:rPr>
        <w:t>2021);</w:t>
      </w:r>
      <w:r>
        <w:rPr>
          <w:spacing w:val="-4"/>
          <w:sz w:val="18"/>
        </w:rPr>
        <w:t> </w:t>
      </w:r>
      <w:r>
        <w:rPr>
          <w:sz w:val="18"/>
        </w:rPr>
        <w:t>Equality</w:t>
      </w:r>
      <w:r>
        <w:rPr>
          <w:spacing w:val="-4"/>
          <w:sz w:val="18"/>
        </w:rPr>
        <w:t> </w:t>
      </w:r>
      <w:r>
        <w:rPr>
          <w:sz w:val="18"/>
        </w:rPr>
        <w:t>Commissions</w:t>
      </w:r>
      <w:r>
        <w:rPr>
          <w:spacing w:val="-5"/>
          <w:sz w:val="18"/>
        </w:rPr>
        <w:t> </w:t>
      </w:r>
      <w:r>
        <w:rPr>
          <w:sz w:val="18"/>
        </w:rPr>
        <w:t>for</w:t>
      </w:r>
      <w:r>
        <w:rPr>
          <w:spacing w:val="-4"/>
          <w:sz w:val="18"/>
        </w:rPr>
        <w:t> </w:t>
      </w:r>
      <w:r>
        <w:rPr>
          <w:sz w:val="18"/>
        </w:rPr>
        <w:t>NI,</w:t>
      </w:r>
      <w:r>
        <w:rPr>
          <w:spacing w:val="-4"/>
          <w:sz w:val="18"/>
        </w:rPr>
        <w:t> </w:t>
      </w:r>
      <w:r>
        <w:rPr>
          <w:sz w:val="18"/>
        </w:rPr>
        <w:t>‘Shadow</w:t>
      </w:r>
      <w:r>
        <w:rPr>
          <w:spacing w:val="-4"/>
          <w:sz w:val="18"/>
        </w:rPr>
        <w:t> </w:t>
      </w:r>
      <w:r>
        <w:rPr>
          <w:sz w:val="18"/>
        </w:rPr>
        <w:t>Report</w:t>
      </w:r>
      <w:r>
        <w:rPr>
          <w:spacing w:val="-4"/>
          <w:sz w:val="18"/>
        </w:rPr>
        <w:t> </w:t>
      </w:r>
      <w:r>
        <w:rPr>
          <w:sz w:val="18"/>
        </w:rPr>
        <w:t>from</w:t>
      </w:r>
      <w:r>
        <w:rPr>
          <w:spacing w:val="-4"/>
          <w:sz w:val="18"/>
        </w:rPr>
        <w:t> </w:t>
      </w:r>
      <w:r>
        <w:rPr>
          <w:sz w:val="18"/>
        </w:rPr>
        <w:t>the</w:t>
      </w:r>
      <w:r>
        <w:rPr>
          <w:spacing w:val="-4"/>
          <w:sz w:val="18"/>
        </w:rPr>
        <w:t> </w:t>
      </w:r>
      <w:r>
        <w:rPr>
          <w:sz w:val="18"/>
        </w:rPr>
        <w:t>Equality</w:t>
      </w:r>
      <w:r>
        <w:rPr>
          <w:spacing w:val="-4"/>
          <w:sz w:val="18"/>
        </w:rPr>
        <w:t> </w:t>
      </w:r>
      <w:r>
        <w:rPr>
          <w:sz w:val="18"/>
        </w:rPr>
        <w:t>Commission for Northern Ireland to the Advisory Committee for the Framework Convention for the Protection of National Minorities on the Fifth Monitoring Report of the United Kingdom’ (ECNI, 2022); Equality Commission for NI, ‘Policy</w:t>
      </w:r>
    </w:p>
    <w:p>
      <w:pPr>
        <w:tabs>
          <w:tab w:pos="1853" w:val="left" w:leader="none"/>
        </w:tabs>
        <w:spacing w:line="235" w:lineRule="auto" w:before="3"/>
        <w:ind w:left="1133" w:right="1258" w:firstLine="720"/>
        <w:jc w:val="left"/>
        <w:rPr>
          <w:sz w:val="18"/>
        </w:rPr>
      </w:pPr>
      <w:r>
        <w:rPr>
          <w:sz w:val="18"/>
        </w:rPr>
        <w:t>Recommendations: The Impact of</w:t>
      </w:r>
      <w:r>
        <w:rPr>
          <w:spacing w:val="-1"/>
          <w:sz w:val="18"/>
        </w:rPr>
        <w:t> </w:t>
      </w:r>
      <w:r>
        <w:rPr>
          <w:sz w:val="18"/>
        </w:rPr>
        <w:t>Brexit on</w:t>
      </w:r>
      <w:r>
        <w:rPr>
          <w:spacing w:val="-1"/>
          <w:sz w:val="18"/>
        </w:rPr>
        <w:t> </w:t>
      </w:r>
      <w:r>
        <w:rPr>
          <w:sz w:val="18"/>
        </w:rPr>
        <w:t>Minority Ethnic and</w:t>
      </w:r>
      <w:r>
        <w:rPr>
          <w:spacing w:val="-1"/>
          <w:sz w:val="18"/>
        </w:rPr>
        <w:t> </w:t>
      </w:r>
      <w:r>
        <w:rPr>
          <w:sz w:val="18"/>
        </w:rPr>
        <w:t>Migrant People in</w:t>
      </w:r>
      <w:r>
        <w:rPr>
          <w:spacing w:val="-1"/>
          <w:sz w:val="18"/>
        </w:rPr>
        <w:t> </w:t>
      </w:r>
      <w:r>
        <w:rPr>
          <w:sz w:val="18"/>
        </w:rPr>
        <w:t>Northern</w:t>
      </w:r>
      <w:r>
        <w:rPr>
          <w:spacing w:val="-1"/>
          <w:sz w:val="18"/>
        </w:rPr>
        <w:t> </w:t>
      </w:r>
      <w:r>
        <w:rPr>
          <w:sz w:val="18"/>
        </w:rPr>
        <w:t>Ireland’ (ECNI, 2024), at 67. </w:t>
      </w:r>
      <w:r>
        <w:rPr>
          <w:spacing w:val="-4"/>
          <w:sz w:val="18"/>
        </w:rPr>
        <w:t>854</w:t>
      </w:r>
      <w:r>
        <w:rPr>
          <w:sz w:val="18"/>
        </w:rPr>
        <w:tab/>
        <w:t>Roundtable</w:t>
      </w:r>
      <w:r>
        <w:rPr>
          <w:spacing w:val="-3"/>
          <w:sz w:val="18"/>
        </w:rPr>
        <w:t> </w:t>
      </w:r>
      <w:r>
        <w:rPr>
          <w:sz w:val="18"/>
        </w:rPr>
        <w:t>on</w:t>
      </w:r>
      <w:r>
        <w:rPr>
          <w:spacing w:val="-4"/>
          <w:sz w:val="18"/>
        </w:rPr>
        <w:t> </w:t>
      </w:r>
      <w:r>
        <w:rPr>
          <w:sz w:val="18"/>
        </w:rPr>
        <w:t>Access</w:t>
      </w:r>
      <w:r>
        <w:rPr>
          <w:spacing w:val="-4"/>
          <w:sz w:val="18"/>
        </w:rPr>
        <w:t> </w:t>
      </w:r>
      <w:r>
        <w:rPr>
          <w:sz w:val="18"/>
        </w:rPr>
        <w:t>to</w:t>
      </w:r>
      <w:r>
        <w:rPr>
          <w:spacing w:val="-4"/>
          <w:sz w:val="18"/>
        </w:rPr>
        <w:t> </w:t>
      </w:r>
      <w:r>
        <w:rPr>
          <w:sz w:val="18"/>
        </w:rPr>
        <w:t>Healthcare</w:t>
      </w:r>
      <w:r>
        <w:rPr>
          <w:spacing w:val="-3"/>
          <w:sz w:val="18"/>
        </w:rPr>
        <w:t> </w:t>
      </w:r>
      <w:r>
        <w:rPr>
          <w:sz w:val="18"/>
        </w:rPr>
        <w:t>and</w:t>
      </w:r>
      <w:r>
        <w:rPr>
          <w:spacing w:val="-4"/>
          <w:sz w:val="18"/>
        </w:rPr>
        <w:t> </w:t>
      </w:r>
      <w:r>
        <w:rPr>
          <w:sz w:val="18"/>
        </w:rPr>
        <w:t>Protocol</w:t>
      </w:r>
      <w:r>
        <w:rPr>
          <w:spacing w:val="-4"/>
          <w:sz w:val="18"/>
        </w:rPr>
        <w:t> </w:t>
      </w:r>
      <w:r>
        <w:rPr>
          <w:sz w:val="18"/>
        </w:rPr>
        <w:t>Article</w:t>
      </w:r>
      <w:r>
        <w:rPr>
          <w:spacing w:val="-3"/>
          <w:sz w:val="18"/>
        </w:rPr>
        <w:t> </w:t>
      </w:r>
      <w:r>
        <w:rPr>
          <w:sz w:val="18"/>
        </w:rPr>
        <w:t>2</w:t>
      </w:r>
      <w:r>
        <w:rPr>
          <w:spacing w:val="-3"/>
          <w:sz w:val="18"/>
        </w:rPr>
        <w:t> </w:t>
      </w:r>
      <w:r>
        <w:rPr>
          <w:sz w:val="18"/>
        </w:rPr>
        <w:t>hosted</w:t>
      </w:r>
      <w:r>
        <w:rPr>
          <w:spacing w:val="-4"/>
          <w:sz w:val="18"/>
        </w:rPr>
        <w:t> </w:t>
      </w:r>
      <w:r>
        <w:rPr>
          <w:sz w:val="18"/>
        </w:rPr>
        <w:t>by</w:t>
      </w:r>
      <w:r>
        <w:rPr>
          <w:spacing w:val="-3"/>
          <w:sz w:val="18"/>
        </w:rPr>
        <w:t> </w:t>
      </w:r>
      <w:r>
        <w:rPr>
          <w:sz w:val="18"/>
        </w:rPr>
        <w:t>the</w:t>
      </w:r>
      <w:r>
        <w:rPr>
          <w:spacing w:val="-3"/>
          <w:sz w:val="18"/>
        </w:rPr>
        <w:t> </w:t>
      </w:r>
      <w:r>
        <w:rPr>
          <w:sz w:val="18"/>
        </w:rPr>
        <w:t>NI</w:t>
      </w:r>
      <w:r>
        <w:rPr>
          <w:spacing w:val="-3"/>
          <w:sz w:val="18"/>
        </w:rPr>
        <w:t> </w:t>
      </w:r>
      <w:r>
        <w:rPr>
          <w:sz w:val="18"/>
        </w:rPr>
        <w:t>Human</w:t>
      </w:r>
      <w:r>
        <w:rPr>
          <w:spacing w:val="-4"/>
          <w:sz w:val="18"/>
        </w:rPr>
        <w:t> </w:t>
      </w:r>
      <w:r>
        <w:rPr>
          <w:sz w:val="18"/>
        </w:rPr>
        <w:t>Rights</w:t>
      </w:r>
      <w:r>
        <w:rPr>
          <w:spacing w:val="-4"/>
          <w:sz w:val="18"/>
        </w:rPr>
        <w:t> </w:t>
      </w:r>
      <w:r>
        <w:rPr>
          <w:sz w:val="18"/>
        </w:rPr>
        <w:t>Commission,</w:t>
      </w:r>
      <w:r>
        <w:rPr>
          <w:spacing w:val="-3"/>
          <w:sz w:val="18"/>
        </w:rPr>
        <w:t> </w:t>
      </w:r>
      <w:r>
        <w:rPr>
          <w:sz w:val="18"/>
        </w:rPr>
        <w:t>6</w:t>
      </w:r>
      <w:r>
        <w:rPr>
          <w:spacing w:val="-3"/>
          <w:sz w:val="18"/>
        </w:rPr>
        <w:t> </w:t>
      </w:r>
      <w:r>
        <w:rPr>
          <w:sz w:val="18"/>
        </w:rPr>
        <w:t>June</w:t>
      </w:r>
      <w:r>
        <w:rPr>
          <w:spacing w:val="-3"/>
          <w:sz w:val="18"/>
        </w:rPr>
        <w:t> </w:t>
      </w:r>
      <w:r>
        <w:rPr>
          <w:sz w:val="18"/>
        </w:rPr>
        <w:t>2022.</w:t>
      </w:r>
      <w:r>
        <w:rPr>
          <w:spacing w:val="-4"/>
          <w:sz w:val="18"/>
        </w:rPr>
        <w:t> </w:t>
      </w:r>
      <w:r>
        <w:rPr>
          <w:sz w:val="18"/>
        </w:rPr>
        <w:t>See</w:t>
      </w:r>
    </w:p>
    <w:p>
      <w:pPr>
        <w:spacing w:line="235" w:lineRule="auto" w:before="1"/>
        <w:ind w:left="1853" w:right="1171" w:firstLine="0"/>
        <w:jc w:val="left"/>
        <w:rPr>
          <w:sz w:val="18"/>
        </w:rPr>
      </w:pPr>
      <w:r>
        <w:rPr>
          <w:sz w:val="18"/>
        </w:rPr>
        <w:t>also</w:t>
      </w:r>
      <w:r>
        <w:rPr>
          <w:spacing w:val="-4"/>
          <w:sz w:val="18"/>
        </w:rPr>
        <w:t> </w:t>
      </w:r>
      <w:r>
        <w:rPr>
          <w:sz w:val="18"/>
        </w:rPr>
        <w:t>Pivotal,</w:t>
      </w:r>
      <w:r>
        <w:rPr>
          <w:spacing w:val="-3"/>
          <w:sz w:val="18"/>
        </w:rPr>
        <w:t> </w:t>
      </w:r>
      <w:r>
        <w:rPr>
          <w:sz w:val="18"/>
        </w:rPr>
        <w:t>‘The</w:t>
      </w:r>
      <w:r>
        <w:rPr>
          <w:spacing w:val="-3"/>
          <w:sz w:val="18"/>
        </w:rPr>
        <w:t> </w:t>
      </w:r>
      <w:r>
        <w:rPr>
          <w:sz w:val="18"/>
        </w:rPr>
        <w:t>Impact</w:t>
      </w:r>
      <w:r>
        <w:rPr>
          <w:spacing w:val="-3"/>
          <w:sz w:val="18"/>
        </w:rPr>
        <w:t> </w:t>
      </w:r>
      <w:r>
        <w:rPr>
          <w:sz w:val="18"/>
        </w:rPr>
        <w:t>of</w:t>
      </w:r>
      <w:r>
        <w:rPr>
          <w:spacing w:val="-4"/>
          <w:sz w:val="18"/>
        </w:rPr>
        <w:t> </w:t>
      </w:r>
      <w:r>
        <w:rPr>
          <w:sz w:val="18"/>
        </w:rPr>
        <w:t>Brexit</w:t>
      </w:r>
      <w:r>
        <w:rPr>
          <w:spacing w:val="-3"/>
          <w:sz w:val="18"/>
        </w:rPr>
        <w:t> </w:t>
      </w:r>
      <w:r>
        <w:rPr>
          <w:sz w:val="18"/>
        </w:rPr>
        <w:t>on</w:t>
      </w:r>
      <w:r>
        <w:rPr>
          <w:spacing w:val="-4"/>
          <w:sz w:val="18"/>
        </w:rPr>
        <w:t> </w:t>
      </w:r>
      <w:r>
        <w:rPr>
          <w:sz w:val="18"/>
        </w:rPr>
        <w:t>Minority</w:t>
      </w:r>
      <w:r>
        <w:rPr>
          <w:spacing w:val="-3"/>
          <w:sz w:val="18"/>
        </w:rPr>
        <w:t> </w:t>
      </w:r>
      <w:r>
        <w:rPr>
          <w:sz w:val="18"/>
        </w:rPr>
        <w:t>Ethnic</w:t>
      </w:r>
      <w:r>
        <w:rPr>
          <w:spacing w:val="-3"/>
          <w:sz w:val="18"/>
        </w:rPr>
        <w:t> </w:t>
      </w:r>
      <w:r>
        <w:rPr>
          <w:sz w:val="18"/>
        </w:rPr>
        <w:t>and</w:t>
      </w:r>
      <w:r>
        <w:rPr>
          <w:spacing w:val="-4"/>
          <w:sz w:val="18"/>
        </w:rPr>
        <w:t> </w:t>
      </w:r>
      <w:r>
        <w:rPr>
          <w:sz w:val="18"/>
        </w:rPr>
        <w:t>Migrant</w:t>
      </w:r>
      <w:r>
        <w:rPr>
          <w:spacing w:val="-3"/>
          <w:sz w:val="18"/>
        </w:rPr>
        <w:t> </w:t>
      </w:r>
      <w:r>
        <w:rPr>
          <w:sz w:val="18"/>
        </w:rPr>
        <w:t>People</w:t>
      </w:r>
      <w:r>
        <w:rPr>
          <w:spacing w:val="-3"/>
          <w:sz w:val="18"/>
        </w:rPr>
        <w:t> </w:t>
      </w:r>
      <w:r>
        <w:rPr>
          <w:sz w:val="18"/>
        </w:rPr>
        <w:t>in</w:t>
      </w:r>
      <w:r>
        <w:rPr>
          <w:spacing w:val="-4"/>
          <w:sz w:val="18"/>
        </w:rPr>
        <w:t> </w:t>
      </w:r>
      <w:r>
        <w:rPr>
          <w:sz w:val="18"/>
        </w:rPr>
        <w:t>Northern</w:t>
      </w:r>
      <w:r>
        <w:rPr>
          <w:spacing w:val="-4"/>
          <w:sz w:val="18"/>
        </w:rPr>
        <w:t> </w:t>
      </w:r>
      <w:r>
        <w:rPr>
          <w:sz w:val="18"/>
        </w:rPr>
        <w:t>Ireland’</w:t>
      </w:r>
      <w:r>
        <w:rPr>
          <w:spacing w:val="-3"/>
          <w:sz w:val="18"/>
        </w:rPr>
        <w:t> </w:t>
      </w:r>
      <w:r>
        <w:rPr>
          <w:sz w:val="18"/>
        </w:rPr>
        <w:t>(ECNI,</w:t>
      </w:r>
      <w:r>
        <w:rPr>
          <w:spacing w:val="-3"/>
          <w:sz w:val="18"/>
        </w:rPr>
        <w:t> </w:t>
      </w:r>
      <w:r>
        <w:rPr>
          <w:sz w:val="18"/>
        </w:rPr>
        <w:t>2023);</w:t>
      </w:r>
      <w:r>
        <w:rPr>
          <w:spacing w:val="-3"/>
          <w:sz w:val="18"/>
        </w:rPr>
        <w:t> </w:t>
      </w:r>
      <w:r>
        <w:rPr>
          <w:sz w:val="18"/>
        </w:rPr>
        <w:t>Katharine Wright, Ruth McAreavey and Rebecca Donaldson ‘The Impact of Brexit on Women in Northern Ireland’ (ECNI, 2024); 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‘Policy</w:t>
      </w:r>
      <w:r>
        <w:rPr>
          <w:spacing w:val="-4"/>
          <w:sz w:val="18"/>
        </w:rPr>
        <w:t> </w:t>
      </w:r>
      <w:r>
        <w:rPr>
          <w:sz w:val="18"/>
        </w:rPr>
        <w:t>Recommendations: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Minority</w:t>
      </w:r>
      <w:r>
        <w:rPr>
          <w:spacing w:val="-4"/>
          <w:sz w:val="18"/>
        </w:rPr>
        <w:t> </w:t>
      </w:r>
      <w:r>
        <w:rPr>
          <w:sz w:val="18"/>
        </w:rPr>
        <w:t>Ethnic</w:t>
      </w:r>
      <w:r>
        <w:rPr>
          <w:spacing w:val="-4"/>
          <w:sz w:val="18"/>
        </w:rPr>
        <w:t> </w:t>
      </w:r>
      <w:r>
        <w:rPr>
          <w:sz w:val="18"/>
        </w:rPr>
        <w:t>and</w:t>
      </w:r>
      <w:r>
        <w:rPr>
          <w:spacing w:val="-5"/>
          <w:sz w:val="18"/>
        </w:rPr>
        <w:t> </w:t>
      </w:r>
      <w:r>
        <w:rPr>
          <w:sz w:val="18"/>
        </w:rPr>
        <w:t>Migrant</w:t>
      </w:r>
      <w:r>
        <w:rPr>
          <w:spacing w:val="-4"/>
          <w:sz w:val="18"/>
        </w:rPr>
        <w:t> </w:t>
      </w:r>
      <w:r>
        <w:rPr>
          <w:sz w:val="18"/>
        </w:rPr>
        <w:t>People</w:t>
      </w:r>
      <w:r>
        <w:rPr>
          <w:spacing w:val="-4"/>
          <w:sz w:val="18"/>
        </w:rPr>
        <w:t> </w:t>
      </w:r>
      <w:r>
        <w:rPr>
          <w:sz w:val="18"/>
        </w:rPr>
        <w:t>in Northern Ireland’ (ECNI, 2024).</w:t>
      </w:r>
    </w:p>
    <w:p>
      <w:pPr>
        <w:pStyle w:val="ListParagraph"/>
        <w:numPr>
          <w:ilvl w:val="0"/>
          <w:numId w:val="16"/>
        </w:numPr>
        <w:tabs>
          <w:tab w:pos="1853" w:val="left" w:leader="none"/>
        </w:tabs>
        <w:spacing w:line="217" w:lineRule="exact" w:before="0" w:after="0"/>
        <w:ind w:left="1853" w:right="0" w:hanging="720"/>
        <w:jc w:val="left"/>
        <w:rPr>
          <w:sz w:val="18"/>
        </w:rPr>
      </w:pPr>
      <w:r>
        <w:rPr>
          <w:sz w:val="18"/>
        </w:rPr>
        <w:t>UK</w:t>
      </w:r>
      <w:r>
        <w:rPr>
          <w:spacing w:val="-5"/>
          <w:sz w:val="18"/>
        </w:rPr>
        <w:t> </w:t>
      </w:r>
      <w:r>
        <w:rPr>
          <w:sz w:val="18"/>
        </w:rPr>
        <w:t>Government,</w:t>
      </w:r>
      <w:r>
        <w:rPr>
          <w:spacing w:val="-5"/>
          <w:sz w:val="18"/>
        </w:rPr>
        <w:t> </w:t>
      </w:r>
      <w:hyperlink r:id="rId217">
        <w:r>
          <w:rPr>
            <w:sz w:val="18"/>
          </w:rPr>
          <w:t>‘Stay</w:t>
        </w:r>
        <w:r>
          <w:rPr>
            <w:spacing w:val="-5"/>
            <w:sz w:val="18"/>
          </w:rPr>
          <w:t> </w:t>
        </w:r>
        <w:r>
          <w:rPr>
            <w:sz w:val="18"/>
          </w:rPr>
          <w:t>in</w:t>
        </w:r>
        <w:r>
          <w:rPr>
            <w:spacing w:val="-5"/>
            <w:sz w:val="18"/>
          </w:rPr>
          <w:t> </w:t>
        </w:r>
        <w:r>
          <w:rPr>
            <w:sz w:val="18"/>
          </w:rPr>
          <w:t>the</w:t>
        </w:r>
        <w:r>
          <w:rPr>
            <w:spacing w:val="-5"/>
            <w:sz w:val="18"/>
          </w:rPr>
          <w:t> </w:t>
        </w:r>
        <w:r>
          <w:rPr>
            <w:sz w:val="18"/>
          </w:rPr>
          <w:t>UK</w:t>
        </w:r>
        <w:r>
          <w:rPr>
            <w:spacing w:val="-5"/>
            <w:sz w:val="18"/>
          </w:rPr>
          <w:t> </w:t>
        </w:r>
        <w:r>
          <w:rPr>
            <w:sz w:val="18"/>
          </w:rPr>
          <w:t>(‘settled</w:t>
        </w:r>
        <w:r>
          <w:rPr>
            <w:spacing w:val="-5"/>
            <w:sz w:val="18"/>
          </w:rPr>
          <w:t> </w:t>
        </w:r>
        <w:r>
          <w:rPr>
            <w:sz w:val="18"/>
          </w:rPr>
          <w:t>status’):</w:t>
        </w:r>
        <w:r>
          <w:rPr>
            <w:spacing w:val="-5"/>
            <w:sz w:val="18"/>
          </w:rPr>
          <w:t> </w:t>
        </w:r>
        <w:r>
          <w:rPr>
            <w:sz w:val="18"/>
          </w:rPr>
          <w:t>Step</w:t>
        </w:r>
        <w:r>
          <w:rPr>
            <w:spacing w:val="-6"/>
            <w:sz w:val="18"/>
          </w:rPr>
          <w:t> </w:t>
        </w:r>
        <w:r>
          <w:rPr>
            <w:sz w:val="18"/>
          </w:rPr>
          <w:t>by</w:t>
        </w:r>
        <w:r>
          <w:rPr>
            <w:spacing w:val="-4"/>
            <w:sz w:val="18"/>
          </w:rPr>
          <w:t> </w:t>
        </w:r>
        <w:r>
          <w:rPr>
            <w:spacing w:val="-2"/>
            <w:sz w:val="18"/>
          </w:rPr>
          <w:t>Step’</w:t>
        </w:r>
      </w:hyperlink>
      <w:r>
        <w:rPr>
          <w:spacing w:val="-2"/>
          <w:sz w:val="18"/>
        </w:rPr>
        <w:t>.</w:t>
      </w:r>
    </w:p>
    <w:p>
      <w:pPr>
        <w:pStyle w:val="ListParagraph"/>
        <w:numPr>
          <w:ilvl w:val="0"/>
          <w:numId w:val="16"/>
        </w:numPr>
        <w:tabs>
          <w:tab w:pos="1853" w:val="left" w:leader="none"/>
        </w:tabs>
        <w:spacing w:line="216" w:lineRule="exact" w:before="0" w:after="0"/>
        <w:ind w:left="1853" w:right="0" w:hanging="720"/>
        <w:jc w:val="left"/>
        <w:rPr>
          <w:sz w:val="18"/>
        </w:rPr>
      </w:pPr>
      <w:r>
        <w:rPr>
          <w:sz w:val="18"/>
        </w:rPr>
        <w:t>Tamara</w:t>
      </w:r>
      <w:r>
        <w:rPr>
          <w:spacing w:val="-6"/>
          <w:sz w:val="18"/>
        </w:rPr>
        <w:t> </w:t>
      </w:r>
      <w:r>
        <w:rPr>
          <w:sz w:val="18"/>
        </w:rPr>
        <w:t>Hervey,</w:t>
      </w:r>
      <w:r>
        <w:rPr>
          <w:spacing w:val="-5"/>
          <w:sz w:val="18"/>
        </w:rPr>
        <w:t> </w:t>
      </w:r>
      <w:r>
        <w:rPr>
          <w:sz w:val="18"/>
        </w:rPr>
        <w:t>‘Brexit,</w:t>
      </w:r>
      <w:r>
        <w:rPr>
          <w:spacing w:val="-6"/>
          <w:sz w:val="18"/>
        </w:rPr>
        <w:t> </w:t>
      </w:r>
      <w:r>
        <w:rPr>
          <w:sz w:val="18"/>
        </w:rPr>
        <w:t>Health</w:t>
      </w:r>
      <w:r>
        <w:rPr>
          <w:spacing w:val="-5"/>
          <w:sz w:val="18"/>
        </w:rPr>
        <w:t> </w:t>
      </w:r>
      <w:r>
        <w:rPr>
          <w:sz w:val="18"/>
        </w:rPr>
        <w:t>and</w:t>
      </w:r>
      <w:r>
        <w:rPr>
          <w:spacing w:val="-6"/>
          <w:sz w:val="18"/>
        </w:rPr>
        <w:t> </w:t>
      </w:r>
      <w:r>
        <w:rPr>
          <w:sz w:val="18"/>
        </w:rPr>
        <w:t>its</w:t>
      </w:r>
      <w:r>
        <w:rPr>
          <w:spacing w:val="-6"/>
          <w:sz w:val="18"/>
        </w:rPr>
        <w:t> </w:t>
      </w:r>
      <w:r>
        <w:rPr>
          <w:sz w:val="18"/>
        </w:rPr>
        <w:t>potential</w:t>
      </w:r>
      <w:r>
        <w:rPr>
          <w:spacing w:val="-6"/>
          <w:sz w:val="18"/>
        </w:rPr>
        <w:t> </w:t>
      </w:r>
      <w:r>
        <w:rPr>
          <w:sz w:val="18"/>
        </w:rPr>
        <w:t>impact</w:t>
      </w:r>
      <w:r>
        <w:rPr>
          <w:spacing w:val="-5"/>
          <w:sz w:val="18"/>
        </w:rPr>
        <w:t> </w:t>
      </w:r>
      <w:r>
        <w:rPr>
          <w:sz w:val="18"/>
        </w:rPr>
        <w:t>on</w:t>
      </w:r>
      <w:r>
        <w:rPr>
          <w:spacing w:val="-6"/>
          <w:sz w:val="18"/>
        </w:rPr>
        <w:t> </w:t>
      </w:r>
      <w:r>
        <w:rPr>
          <w:sz w:val="18"/>
        </w:rPr>
        <w:t>Article</w:t>
      </w:r>
      <w:r>
        <w:rPr>
          <w:spacing w:val="-5"/>
          <w:sz w:val="18"/>
        </w:rPr>
        <w:t> </w:t>
      </w:r>
      <w:r>
        <w:rPr>
          <w:sz w:val="18"/>
        </w:rPr>
        <w:t>2</w:t>
      </w:r>
      <w:r>
        <w:rPr>
          <w:spacing w:val="-5"/>
          <w:sz w:val="18"/>
        </w:rPr>
        <w:t> </w:t>
      </w:r>
      <w:r>
        <w:rPr>
          <w:sz w:val="18"/>
        </w:rPr>
        <w:t>of</w:t>
      </w:r>
      <w:r>
        <w:rPr>
          <w:spacing w:val="-6"/>
          <w:sz w:val="18"/>
        </w:rPr>
        <w:t> </w:t>
      </w:r>
      <w:r>
        <w:rPr>
          <w:sz w:val="18"/>
        </w:rPr>
        <w:t>the</w:t>
      </w:r>
      <w:r>
        <w:rPr>
          <w:spacing w:val="-5"/>
          <w:sz w:val="18"/>
        </w:rPr>
        <w:t> </w:t>
      </w:r>
      <w:r>
        <w:rPr>
          <w:sz w:val="18"/>
        </w:rPr>
        <w:t>Ireland/NI</w:t>
      </w:r>
      <w:r>
        <w:rPr>
          <w:spacing w:val="-5"/>
          <w:sz w:val="18"/>
        </w:rPr>
        <w:t> </w:t>
      </w:r>
      <w:r>
        <w:rPr>
          <w:sz w:val="18"/>
        </w:rPr>
        <w:t>Protocol’</w:t>
      </w:r>
      <w:r>
        <w:rPr>
          <w:spacing w:val="-5"/>
          <w:sz w:val="18"/>
        </w:rPr>
        <w:t> </w:t>
      </w:r>
      <w:r>
        <w:rPr>
          <w:sz w:val="18"/>
        </w:rPr>
        <w:t>(NIHRC,</w:t>
      </w:r>
      <w:r>
        <w:rPr>
          <w:spacing w:val="-6"/>
          <w:sz w:val="18"/>
        </w:rPr>
        <w:t> </w:t>
      </w:r>
      <w:r>
        <w:rPr>
          <w:spacing w:val="-2"/>
          <w:sz w:val="18"/>
        </w:rPr>
        <w:t>2022).</w:t>
      </w:r>
    </w:p>
    <w:p>
      <w:pPr>
        <w:pStyle w:val="ListParagraph"/>
        <w:numPr>
          <w:ilvl w:val="0"/>
          <w:numId w:val="16"/>
        </w:numPr>
        <w:tabs>
          <w:tab w:pos="1853" w:val="left" w:leader="none"/>
        </w:tabs>
        <w:spacing w:line="216" w:lineRule="exact" w:before="0" w:after="0"/>
        <w:ind w:left="1853" w:right="0" w:hanging="720"/>
        <w:jc w:val="left"/>
        <w:rPr>
          <w:sz w:val="18"/>
        </w:rPr>
      </w:pPr>
      <w:r>
        <w:rPr>
          <w:sz w:val="18"/>
        </w:rPr>
        <w:t>Pivotal,</w:t>
      </w:r>
      <w:r>
        <w:rPr>
          <w:spacing w:val="-3"/>
          <w:sz w:val="18"/>
        </w:rPr>
        <w:t> </w:t>
      </w:r>
      <w:r>
        <w:rPr>
          <w:sz w:val="18"/>
        </w:rPr>
        <w:t>‘The</w:t>
      </w:r>
      <w:r>
        <w:rPr>
          <w:spacing w:val="-2"/>
          <w:sz w:val="18"/>
        </w:rPr>
        <w:t> </w:t>
      </w:r>
      <w:r>
        <w:rPr>
          <w:sz w:val="18"/>
        </w:rPr>
        <w:t>Impact</w:t>
      </w:r>
      <w:r>
        <w:rPr>
          <w:spacing w:val="-2"/>
          <w:sz w:val="18"/>
        </w:rPr>
        <w:t> </w:t>
      </w:r>
      <w:r>
        <w:rPr>
          <w:sz w:val="18"/>
        </w:rPr>
        <w:t>of</w:t>
      </w:r>
      <w:r>
        <w:rPr>
          <w:spacing w:val="-4"/>
          <w:sz w:val="18"/>
        </w:rPr>
        <w:t> </w:t>
      </w:r>
      <w:r>
        <w:rPr>
          <w:sz w:val="18"/>
        </w:rPr>
        <w:t>Brexit</w:t>
      </w:r>
      <w:r>
        <w:rPr>
          <w:spacing w:val="-2"/>
          <w:sz w:val="18"/>
        </w:rPr>
        <w:t> </w:t>
      </w:r>
      <w:r>
        <w:rPr>
          <w:sz w:val="18"/>
        </w:rPr>
        <w:t>on</w:t>
      </w:r>
      <w:r>
        <w:rPr>
          <w:spacing w:val="-3"/>
          <w:sz w:val="18"/>
        </w:rPr>
        <w:t> </w:t>
      </w:r>
      <w:r>
        <w:rPr>
          <w:sz w:val="18"/>
        </w:rPr>
        <w:t>Minority</w:t>
      </w:r>
      <w:r>
        <w:rPr>
          <w:spacing w:val="-2"/>
          <w:sz w:val="18"/>
        </w:rPr>
        <w:t> </w:t>
      </w:r>
      <w:r>
        <w:rPr>
          <w:sz w:val="18"/>
        </w:rPr>
        <w:t>Ethnic</w:t>
      </w:r>
      <w:r>
        <w:rPr>
          <w:spacing w:val="-3"/>
          <w:sz w:val="18"/>
        </w:rPr>
        <w:t> </w:t>
      </w:r>
      <w:r>
        <w:rPr>
          <w:sz w:val="18"/>
        </w:rPr>
        <w:t>and</w:t>
      </w:r>
      <w:r>
        <w:rPr>
          <w:spacing w:val="-3"/>
          <w:sz w:val="18"/>
        </w:rPr>
        <w:t> </w:t>
      </w:r>
      <w:r>
        <w:rPr>
          <w:sz w:val="18"/>
        </w:rPr>
        <w:t>Migrant</w:t>
      </w:r>
      <w:r>
        <w:rPr>
          <w:spacing w:val="-2"/>
          <w:sz w:val="18"/>
        </w:rPr>
        <w:t> </w:t>
      </w:r>
      <w:r>
        <w:rPr>
          <w:sz w:val="18"/>
        </w:rPr>
        <w:t>People</w:t>
      </w:r>
      <w:r>
        <w:rPr>
          <w:spacing w:val="-2"/>
          <w:sz w:val="18"/>
        </w:rPr>
        <w:t> </w:t>
      </w:r>
      <w:r>
        <w:rPr>
          <w:sz w:val="18"/>
        </w:rPr>
        <w:t>in</w:t>
      </w:r>
      <w:r>
        <w:rPr>
          <w:spacing w:val="-4"/>
          <w:sz w:val="18"/>
        </w:rPr>
        <w:t> </w:t>
      </w:r>
      <w:r>
        <w:rPr>
          <w:sz w:val="18"/>
        </w:rPr>
        <w:t>Northern</w:t>
      </w:r>
      <w:r>
        <w:rPr>
          <w:spacing w:val="-3"/>
          <w:sz w:val="18"/>
        </w:rPr>
        <w:t> </w:t>
      </w:r>
      <w:r>
        <w:rPr>
          <w:sz w:val="18"/>
        </w:rPr>
        <w:t>Ireland’</w:t>
      </w:r>
      <w:r>
        <w:rPr>
          <w:spacing w:val="-2"/>
          <w:sz w:val="18"/>
        </w:rPr>
        <w:t> </w:t>
      </w:r>
      <w:r>
        <w:rPr>
          <w:sz w:val="18"/>
        </w:rPr>
        <w:t>(ECNI,</w:t>
      </w:r>
      <w:r>
        <w:rPr>
          <w:spacing w:val="-2"/>
          <w:sz w:val="18"/>
        </w:rPr>
        <w:t> 2023).</w:t>
      </w:r>
    </w:p>
    <w:p>
      <w:pPr>
        <w:pStyle w:val="ListParagraph"/>
        <w:numPr>
          <w:ilvl w:val="0"/>
          <w:numId w:val="16"/>
        </w:numPr>
        <w:tabs>
          <w:tab w:pos="1853" w:val="left" w:leader="none"/>
        </w:tabs>
        <w:spacing w:line="235" w:lineRule="auto" w:before="2" w:after="0"/>
        <w:ind w:left="1853" w:right="1506" w:hanging="720"/>
        <w:jc w:val="left"/>
        <w:rPr>
          <w:sz w:val="18"/>
        </w:rPr>
      </w:pP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‘Policy</w:t>
      </w:r>
      <w:r>
        <w:rPr>
          <w:spacing w:val="-4"/>
          <w:sz w:val="18"/>
        </w:rPr>
        <w:t> </w:t>
      </w:r>
      <w:r>
        <w:rPr>
          <w:sz w:val="18"/>
        </w:rPr>
        <w:t>Recommendations: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Minority</w:t>
      </w:r>
      <w:r>
        <w:rPr>
          <w:spacing w:val="-4"/>
          <w:sz w:val="18"/>
        </w:rPr>
        <w:t> </w:t>
      </w:r>
      <w:r>
        <w:rPr>
          <w:sz w:val="18"/>
        </w:rPr>
        <w:t>Ethnic</w:t>
      </w:r>
      <w:r>
        <w:rPr>
          <w:spacing w:val="-4"/>
          <w:sz w:val="18"/>
        </w:rPr>
        <w:t> </w:t>
      </w:r>
      <w:r>
        <w:rPr>
          <w:sz w:val="18"/>
        </w:rPr>
        <w:t>and</w:t>
      </w:r>
      <w:r>
        <w:rPr>
          <w:spacing w:val="-5"/>
          <w:sz w:val="18"/>
        </w:rPr>
        <w:t> </w:t>
      </w:r>
      <w:r>
        <w:rPr>
          <w:sz w:val="18"/>
        </w:rPr>
        <w:t>Migrant</w:t>
      </w:r>
      <w:r>
        <w:rPr>
          <w:spacing w:val="-4"/>
          <w:sz w:val="18"/>
        </w:rPr>
        <w:t> </w:t>
      </w:r>
      <w:r>
        <w:rPr>
          <w:sz w:val="18"/>
        </w:rPr>
        <w:t>People</w:t>
      </w:r>
      <w:r>
        <w:rPr>
          <w:spacing w:val="-4"/>
          <w:sz w:val="18"/>
        </w:rPr>
        <w:t> </w:t>
      </w:r>
      <w:r>
        <w:rPr>
          <w:sz w:val="18"/>
        </w:rPr>
        <w:t>in Northern Ireland’ (ECNI, 2024).</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pPr>
      <w:r>
        <w:rPr/>
        <w:t>of</w:t>
      </w:r>
      <w:r>
        <w:rPr>
          <w:spacing w:val="-10"/>
        </w:rPr>
        <w:t> </w:t>
      </w:r>
      <w:r>
        <w:rPr/>
        <w:t>proactive</w:t>
      </w:r>
      <w:r>
        <w:rPr>
          <w:spacing w:val="-9"/>
        </w:rPr>
        <w:t> </w:t>
      </w:r>
      <w:r>
        <w:rPr/>
        <w:t>or</w:t>
      </w:r>
      <w:r>
        <w:rPr>
          <w:spacing w:val="-9"/>
        </w:rPr>
        <w:t> </w:t>
      </w:r>
      <w:r>
        <w:rPr/>
        <w:t>systematic</w:t>
      </w:r>
      <w:r>
        <w:rPr>
          <w:spacing w:val="-9"/>
        </w:rPr>
        <w:t> </w:t>
      </w:r>
      <w:r>
        <w:rPr/>
        <w:t>approach</w:t>
      </w:r>
      <w:r>
        <w:rPr>
          <w:spacing w:val="-10"/>
        </w:rPr>
        <w:t> </w:t>
      </w:r>
      <w:r>
        <w:rPr/>
        <w:t>to</w:t>
      </w:r>
      <w:r>
        <w:rPr>
          <w:spacing w:val="-10"/>
        </w:rPr>
        <w:t> </w:t>
      </w:r>
      <w:r>
        <w:rPr/>
        <w:t>information</w:t>
      </w:r>
      <w:r>
        <w:rPr>
          <w:spacing w:val="-10"/>
        </w:rPr>
        <w:t> </w:t>
      </w:r>
      <w:r>
        <w:rPr/>
        <w:t>sharing</w:t>
      </w:r>
      <w:r>
        <w:rPr>
          <w:spacing w:val="-9"/>
        </w:rPr>
        <w:t> </w:t>
      </w:r>
      <w:r>
        <w:rPr/>
        <w:t>between</w:t>
      </w:r>
      <w:r>
        <w:rPr>
          <w:spacing w:val="-10"/>
        </w:rPr>
        <w:t> </w:t>
      </w:r>
      <w:r>
        <w:rPr/>
        <w:t>public service providers.</w:t>
      </w:r>
      <w:r>
        <w:rPr>
          <w:vertAlign w:val="superscript"/>
        </w:rPr>
        <w:t>859</w:t>
      </w:r>
    </w:p>
    <w:p>
      <w:pPr>
        <w:pStyle w:val="ListParagraph"/>
        <w:numPr>
          <w:ilvl w:val="1"/>
          <w:numId w:val="13"/>
        </w:numPr>
        <w:tabs>
          <w:tab w:pos="1853" w:val="left" w:leader="none"/>
        </w:tabs>
        <w:spacing w:line="225" w:lineRule="auto" w:before="318" w:after="0"/>
        <w:ind w:left="1853" w:right="1511" w:hanging="720"/>
        <w:jc w:val="left"/>
        <w:rPr>
          <w:sz w:val="28"/>
        </w:rPr>
      </w:pPr>
      <w:r>
        <w:rPr>
          <w:sz w:val="28"/>
        </w:rPr>
        <w:t>The</w:t>
      </w:r>
      <w:r>
        <w:rPr>
          <w:spacing w:val="-6"/>
          <w:sz w:val="28"/>
        </w:rPr>
        <w:t> </w:t>
      </w:r>
      <w:r>
        <w:rPr>
          <w:sz w:val="28"/>
        </w:rPr>
        <w:t>ECNI’s</w:t>
      </w:r>
      <w:r>
        <w:rPr>
          <w:spacing w:val="-7"/>
          <w:sz w:val="28"/>
        </w:rPr>
        <w:t> </w:t>
      </w:r>
      <w:r>
        <w:rPr>
          <w:sz w:val="28"/>
        </w:rPr>
        <w:t>research</w:t>
      </w:r>
      <w:r>
        <w:rPr>
          <w:spacing w:val="-7"/>
          <w:sz w:val="28"/>
        </w:rPr>
        <w:t> </w:t>
      </w:r>
      <w:r>
        <w:rPr>
          <w:sz w:val="28"/>
        </w:rPr>
        <w:t>on</w:t>
      </w:r>
      <w:r>
        <w:rPr>
          <w:spacing w:val="-7"/>
          <w:sz w:val="28"/>
        </w:rPr>
        <w:t> </w:t>
      </w:r>
      <w:r>
        <w:rPr>
          <w:sz w:val="28"/>
        </w:rPr>
        <w:t>the</w:t>
      </w:r>
      <w:r>
        <w:rPr>
          <w:spacing w:val="-6"/>
          <w:sz w:val="28"/>
        </w:rPr>
        <w:t> </w:t>
      </w:r>
      <w:r>
        <w:rPr>
          <w:sz w:val="28"/>
        </w:rPr>
        <w:t>impact</w:t>
      </w:r>
      <w:r>
        <w:rPr>
          <w:spacing w:val="-6"/>
          <w:sz w:val="28"/>
        </w:rPr>
        <w:t> </w:t>
      </w:r>
      <w:r>
        <w:rPr>
          <w:sz w:val="28"/>
        </w:rPr>
        <w:t>of</w:t>
      </w:r>
      <w:r>
        <w:rPr>
          <w:spacing w:val="-7"/>
          <w:sz w:val="28"/>
        </w:rPr>
        <w:t> </w:t>
      </w:r>
      <w:r>
        <w:rPr>
          <w:sz w:val="28"/>
        </w:rPr>
        <w:t>Brexit</w:t>
      </w:r>
      <w:r>
        <w:rPr>
          <w:spacing w:val="-6"/>
          <w:sz w:val="28"/>
        </w:rPr>
        <w:t> </w:t>
      </w:r>
      <w:r>
        <w:rPr>
          <w:sz w:val="28"/>
        </w:rPr>
        <w:t>on</w:t>
      </w:r>
      <w:r>
        <w:rPr>
          <w:spacing w:val="-7"/>
          <w:sz w:val="28"/>
        </w:rPr>
        <w:t> </w:t>
      </w:r>
      <w:r>
        <w:rPr>
          <w:sz w:val="28"/>
        </w:rPr>
        <w:t>women</w:t>
      </w:r>
      <w:r>
        <w:rPr>
          <w:spacing w:val="-7"/>
          <w:sz w:val="28"/>
        </w:rPr>
        <w:t> </w:t>
      </w:r>
      <w:r>
        <w:rPr>
          <w:sz w:val="28"/>
        </w:rPr>
        <w:t>also</w:t>
      </w:r>
      <w:r>
        <w:rPr>
          <w:spacing w:val="-7"/>
          <w:sz w:val="28"/>
        </w:rPr>
        <w:t> </w:t>
      </w:r>
      <w:r>
        <w:rPr>
          <w:sz w:val="28"/>
        </w:rPr>
        <w:t>identified</w:t>
      </w:r>
      <w:r>
        <w:rPr>
          <w:spacing w:val="-7"/>
          <w:sz w:val="28"/>
        </w:rPr>
        <w:t> </w:t>
      </w:r>
      <w:r>
        <w:rPr>
          <w:sz w:val="28"/>
        </w:rPr>
        <w:t>a</w:t>
      </w:r>
      <w:r>
        <w:rPr>
          <w:spacing w:val="-7"/>
          <w:sz w:val="28"/>
        </w:rPr>
        <w:t> </w:t>
      </w:r>
      <w:r>
        <w:rPr>
          <w:sz w:val="28"/>
        </w:rPr>
        <w:t>lack of information on Brexit and its implications for day-to-day life in NI, with research participants reporting that some migrant women had been given</w:t>
      </w:r>
    </w:p>
    <w:p>
      <w:pPr>
        <w:pStyle w:val="BodyText"/>
        <w:spacing w:line="225" w:lineRule="auto"/>
        <w:ind w:left="1853" w:right="1124"/>
      </w:pPr>
      <w:r>
        <w:rPr/>
        <w:t>incorrect</w:t>
      </w:r>
      <w:r>
        <w:rPr>
          <w:spacing w:val="-5"/>
        </w:rPr>
        <w:t> </w:t>
      </w:r>
      <w:r>
        <w:rPr/>
        <w:t>advice</w:t>
      </w:r>
      <w:r>
        <w:rPr>
          <w:spacing w:val="-5"/>
        </w:rPr>
        <w:t> </w:t>
      </w:r>
      <w:r>
        <w:rPr/>
        <w:t>on</w:t>
      </w:r>
      <w:r>
        <w:rPr>
          <w:spacing w:val="-6"/>
        </w:rPr>
        <w:t> </w:t>
      </w:r>
      <w:r>
        <w:rPr/>
        <w:t>eligibility</w:t>
      </w:r>
      <w:r>
        <w:rPr>
          <w:spacing w:val="-5"/>
        </w:rPr>
        <w:t> </w:t>
      </w:r>
      <w:r>
        <w:rPr/>
        <w:t>for</w:t>
      </w:r>
      <w:r>
        <w:rPr>
          <w:spacing w:val="-5"/>
        </w:rPr>
        <w:t> </w:t>
      </w:r>
      <w:r>
        <w:rPr/>
        <w:t>healthcare</w:t>
      </w:r>
      <w:r>
        <w:rPr>
          <w:spacing w:val="-5"/>
        </w:rPr>
        <w:t> </w:t>
      </w:r>
      <w:r>
        <w:rPr/>
        <w:t>and</w:t>
      </w:r>
      <w:r>
        <w:rPr>
          <w:spacing w:val="-6"/>
        </w:rPr>
        <w:t> </w:t>
      </w:r>
      <w:r>
        <w:rPr/>
        <w:t>that</w:t>
      </w:r>
      <w:r>
        <w:rPr>
          <w:spacing w:val="-5"/>
        </w:rPr>
        <w:t> </w:t>
      </w:r>
      <w:r>
        <w:rPr/>
        <w:t>this</w:t>
      </w:r>
      <w:r>
        <w:rPr>
          <w:spacing w:val="-6"/>
        </w:rPr>
        <w:t> </w:t>
      </w:r>
      <w:r>
        <w:rPr/>
        <w:t>extended</w:t>
      </w:r>
      <w:r>
        <w:rPr>
          <w:spacing w:val="-6"/>
        </w:rPr>
        <w:t> </w:t>
      </w:r>
      <w:r>
        <w:rPr/>
        <w:t>to</w:t>
      </w:r>
      <w:r>
        <w:rPr>
          <w:spacing w:val="-6"/>
        </w:rPr>
        <w:t> </w:t>
      </w:r>
      <w:r>
        <w:rPr/>
        <w:t>minority ethnic women too.</w:t>
      </w:r>
      <w:r>
        <w:rPr>
          <w:vertAlign w:val="superscript"/>
        </w:rPr>
        <w:t>860</w:t>
      </w:r>
      <w:r>
        <w:rPr>
          <w:spacing w:val="40"/>
          <w:vertAlign w:val="baseline"/>
        </w:rPr>
        <w:t> </w:t>
      </w:r>
      <w:r>
        <w:rPr>
          <w:vertAlign w:val="baseline"/>
        </w:rPr>
        <w:t>The report notes “the disproportionate impact on women of the changing health policy context as a result of Brexit has meant that women with different types of immigration status, who are eligible for healthcare, do not have guaranteed access to that care”.</w:t>
      </w:r>
      <w:r>
        <w:rPr>
          <w:vertAlign w:val="superscript"/>
        </w:rPr>
        <w:t>861</w:t>
      </w:r>
    </w:p>
    <w:p>
      <w:pPr>
        <w:pStyle w:val="ListParagraph"/>
        <w:numPr>
          <w:ilvl w:val="1"/>
          <w:numId w:val="13"/>
        </w:numPr>
        <w:tabs>
          <w:tab w:pos="1853" w:val="left" w:leader="none"/>
        </w:tabs>
        <w:spacing w:line="225" w:lineRule="auto" w:before="310" w:after="0"/>
        <w:ind w:left="1853" w:right="1362" w:hanging="720"/>
        <w:jc w:val="left"/>
        <w:rPr>
          <w:sz w:val="28"/>
        </w:rPr>
      </w:pPr>
      <w:r>
        <w:rPr>
          <w:sz w:val="28"/>
        </w:rPr>
        <w:t>The ECNI’s research on the impact of Brexit on minority ethnic and migrant people demonstrated examples of EU migrants with settled or pre-settled status</w:t>
      </w:r>
      <w:r>
        <w:rPr>
          <w:spacing w:val="-8"/>
          <w:sz w:val="28"/>
        </w:rPr>
        <w:t> </w:t>
      </w:r>
      <w:r>
        <w:rPr>
          <w:sz w:val="28"/>
        </w:rPr>
        <w:t>being</w:t>
      </w:r>
      <w:r>
        <w:rPr>
          <w:spacing w:val="-7"/>
          <w:sz w:val="28"/>
        </w:rPr>
        <w:t> </w:t>
      </w:r>
      <w:r>
        <w:rPr>
          <w:sz w:val="28"/>
        </w:rPr>
        <w:t>incorrectly</w:t>
      </w:r>
      <w:r>
        <w:rPr>
          <w:spacing w:val="-7"/>
          <w:sz w:val="28"/>
        </w:rPr>
        <w:t> </w:t>
      </w:r>
      <w:r>
        <w:rPr>
          <w:sz w:val="28"/>
        </w:rPr>
        <w:t>refused</w:t>
      </w:r>
      <w:r>
        <w:rPr>
          <w:spacing w:val="-8"/>
          <w:sz w:val="28"/>
        </w:rPr>
        <w:t> </w:t>
      </w:r>
      <w:r>
        <w:rPr>
          <w:sz w:val="28"/>
        </w:rPr>
        <w:t>access</w:t>
      </w:r>
      <w:r>
        <w:rPr>
          <w:spacing w:val="-8"/>
          <w:sz w:val="28"/>
        </w:rPr>
        <w:t> </w:t>
      </w:r>
      <w:r>
        <w:rPr>
          <w:sz w:val="28"/>
        </w:rPr>
        <w:t>to</w:t>
      </w:r>
      <w:r>
        <w:rPr>
          <w:spacing w:val="-8"/>
          <w:sz w:val="28"/>
        </w:rPr>
        <w:t> </w:t>
      </w:r>
      <w:r>
        <w:rPr>
          <w:sz w:val="28"/>
        </w:rPr>
        <w:t>healthcare</w:t>
      </w:r>
      <w:r>
        <w:rPr>
          <w:spacing w:val="-7"/>
          <w:sz w:val="28"/>
        </w:rPr>
        <w:t> </w:t>
      </w:r>
      <w:r>
        <w:rPr>
          <w:sz w:val="28"/>
        </w:rPr>
        <w:t>because</w:t>
      </w:r>
      <w:r>
        <w:rPr>
          <w:spacing w:val="-7"/>
          <w:sz w:val="28"/>
        </w:rPr>
        <w:t> </w:t>
      </w:r>
      <w:r>
        <w:rPr>
          <w:sz w:val="28"/>
        </w:rPr>
        <w:t>their</w:t>
      </w:r>
      <w:r>
        <w:rPr>
          <w:spacing w:val="-7"/>
          <w:sz w:val="28"/>
        </w:rPr>
        <w:t> </w:t>
      </w:r>
      <w:r>
        <w:rPr>
          <w:sz w:val="28"/>
        </w:rPr>
        <w:t>residency information had not been updated</w:t>
      </w:r>
      <w:r>
        <w:rPr>
          <w:sz w:val="28"/>
          <w:vertAlign w:val="superscript"/>
        </w:rPr>
        <w:t>862</w:t>
      </w:r>
      <w:r>
        <w:rPr>
          <w:sz w:val="28"/>
          <w:vertAlign w:val="baseline"/>
        </w:rPr>
        <w:t> or there were issues with proving residency, which disproportionately impacted on women, young people</w:t>
      </w:r>
    </w:p>
    <w:p>
      <w:pPr>
        <w:pStyle w:val="BodyText"/>
        <w:spacing w:line="225" w:lineRule="auto"/>
        <w:ind w:left="1853" w:right="1171"/>
      </w:pPr>
      <w:r>
        <w:rPr/>
        <w:t>and older people.</w:t>
      </w:r>
      <w:r>
        <w:rPr>
          <w:vertAlign w:val="superscript"/>
        </w:rPr>
        <w:t>863</w:t>
      </w:r>
      <w:r>
        <w:rPr>
          <w:vertAlign w:val="baseline"/>
        </w:rPr>
        <w:t> This included people who were charged for healthcare services,</w:t>
      </w:r>
      <w:r>
        <w:rPr>
          <w:spacing w:val="-7"/>
          <w:vertAlign w:val="baseline"/>
        </w:rPr>
        <w:t> </w:t>
      </w:r>
      <w:r>
        <w:rPr>
          <w:vertAlign w:val="baseline"/>
        </w:rPr>
        <w:t>despite</w:t>
      </w:r>
      <w:r>
        <w:rPr>
          <w:spacing w:val="-7"/>
          <w:vertAlign w:val="baseline"/>
        </w:rPr>
        <w:t> </w:t>
      </w:r>
      <w:r>
        <w:rPr>
          <w:vertAlign w:val="baseline"/>
        </w:rPr>
        <w:t>being</w:t>
      </w:r>
      <w:r>
        <w:rPr>
          <w:spacing w:val="-7"/>
          <w:vertAlign w:val="baseline"/>
        </w:rPr>
        <w:t> </w:t>
      </w:r>
      <w:r>
        <w:rPr>
          <w:vertAlign w:val="baseline"/>
        </w:rPr>
        <w:t>exempt</w:t>
      </w:r>
      <w:r>
        <w:rPr>
          <w:spacing w:val="-7"/>
          <w:vertAlign w:val="baseline"/>
        </w:rPr>
        <w:t> </w:t>
      </w:r>
      <w:r>
        <w:rPr>
          <w:vertAlign w:val="baseline"/>
        </w:rPr>
        <w:t>from</w:t>
      </w:r>
      <w:r>
        <w:rPr>
          <w:spacing w:val="-7"/>
          <w:vertAlign w:val="baseline"/>
        </w:rPr>
        <w:t> </w:t>
      </w:r>
      <w:r>
        <w:rPr>
          <w:vertAlign w:val="baseline"/>
        </w:rPr>
        <w:t>charges,</w:t>
      </w:r>
      <w:r>
        <w:rPr>
          <w:spacing w:val="-7"/>
          <w:vertAlign w:val="baseline"/>
        </w:rPr>
        <w:t> </w:t>
      </w:r>
      <w:r>
        <w:rPr>
          <w:vertAlign w:val="baseline"/>
        </w:rPr>
        <w:t>including</w:t>
      </w:r>
      <w:r>
        <w:rPr>
          <w:spacing w:val="-7"/>
          <w:vertAlign w:val="baseline"/>
        </w:rPr>
        <w:t> </w:t>
      </w:r>
      <w:r>
        <w:rPr>
          <w:vertAlign w:val="baseline"/>
        </w:rPr>
        <w:t>for</w:t>
      </w:r>
      <w:r>
        <w:rPr>
          <w:spacing w:val="-7"/>
          <w:vertAlign w:val="baseline"/>
        </w:rPr>
        <w:t> </w:t>
      </w:r>
      <w:r>
        <w:rPr>
          <w:vertAlign w:val="baseline"/>
        </w:rPr>
        <w:t>maternity</w:t>
      </w:r>
      <w:r>
        <w:rPr>
          <w:spacing w:val="-7"/>
          <w:vertAlign w:val="baseline"/>
        </w:rPr>
        <w:t> </w:t>
      </w:r>
      <w:r>
        <w:rPr>
          <w:vertAlign w:val="baseline"/>
        </w:rPr>
        <w:t>and</w:t>
      </w:r>
      <w:r>
        <w:rPr>
          <w:spacing w:val="-8"/>
          <w:vertAlign w:val="baseline"/>
        </w:rPr>
        <w:t> </w:t>
      </w:r>
      <w:r>
        <w:rPr>
          <w:vertAlign w:val="baseline"/>
        </w:rPr>
        <w:t>neo- natal care.</w:t>
      </w:r>
      <w:r>
        <w:rPr>
          <w:vertAlign w:val="superscript"/>
        </w:rPr>
        <w:t>864</w:t>
      </w:r>
      <w:r>
        <w:rPr>
          <w:vertAlign w:val="baseline"/>
        </w:rPr>
        <w:t> In addition, the Independent Monitoring Authority have raised concerns regarding EU citizens with a pending application for pre-settled and settled</w:t>
      </w:r>
      <w:r>
        <w:rPr>
          <w:spacing w:val="-4"/>
          <w:vertAlign w:val="baseline"/>
        </w:rPr>
        <w:t> </w:t>
      </w:r>
      <w:r>
        <w:rPr>
          <w:vertAlign w:val="baseline"/>
        </w:rPr>
        <w:t>status</w:t>
      </w:r>
      <w:r>
        <w:rPr>
          <w:spacing w:val="-4"/>
          <w:vertAlign w:val="baseline"/>
        </w:rPr>
        <w:t> </w:t>
      </w:r>
      <w:r>
        <w:rPr>
          <w:vertAlign w:val="baseline"/>
        </w:rPr>
        <w:t>being</w:t>
      </w:r>
      <w:r>
        <w:rPr>
          <w:spacing w:val="-3"/>
          <w:vertAlign w:val="baseline"/>
        </w:rPr>
        <w:t> </w:t>
      </w:r>
      <w:r>
        <w:rPr>
          <w:vertAlign w:val="baseline"/>
        </w:rPr>
        <w:t>charged</w:t>
      </w:r>
      <w:r>
        <w:rPr>
          <w:spacing w:val="-4"/>
          <w:vertAlign w:val="baseline"/>
        </w:rPr>
        <w:t> </w:t>
      </w:r>
      <w:r>
        <w:rPr>
          <w:vertAlign w:val="baseline"/>
        </w:rPr>
        <w:t>for</w:t>
      </w:r>
      <w:r>
        <w:rPr>
          <w:spacing w:val="-3"/>
          <w:vertAlign w:val="baseline"/>
        </w:rPr>
        <w:t> </w:t>
      </w:r>
      <w:r>
        <w:rPr>
          <w:vertAlign w:val="baseline"/>
        </w:rPr>
        <w:t>NHS</w:t>
      </w:r>
      <w:r>
        <w:rPr>
          <w:spacing w:val="-4"/>
          <w:vertAlign w:val="baseline"/>
        </w:rPr>
        <w:t> </w:t>
      </w:r>
      <w:r>
        <w:rPr>
          <w:vertAlign w:val="baseline"/>
        </w:rPr>
        <w:t>treatment</w:t>
      </w:r>
      <w:r>
        <w:rPr>
          <w:spacing w:val="-3"/>
          <w:vertAlign w:val="baseline"/>
        </w:rPr>
        <w:t> </w:t>
      </w:r>
      <w:r>
        <w:rPr>
          <w:vertAlign w:val="baseline"/>
        </w:rPr>
        <w:t>whilst</w:t>
      </w:r>
      <w:r>
        <w:rPr>
          <w:spacing w:val="-3"/>
          <w:vertAlign w:val="baseline"/>
        </w:rPr>
        <w:t> </w:t>
      </w:r>
      <w:r>
        <w:rPr>
          <w:vertAlign w:val="baseline"/>
        </w:rPr>
        <w:t>awaiting</w:t>
      </w:r>
      <w:r>
        <w:rPr>
          <w:spacing w:val="-3"/>
          <w:vertAlign w:val="baseline"/>
        </w:rPr>
        <w:t> </w:t>
      </w:r>
      <w:r>
        <w:rPr>
          <w:vertAlign w:val="baseline"/>
        </w:rPr>
        <w:t>a</w:t>
      </w:r>
      <w:r>
        <w:rPr>
          <w:spacing w:val="-4"/>
          <w:vertAlign w:val="baseline"/>
        </w:rPr>
        <w:t> </w:t>
      </w:r>
      <w:r>
        <w:rPr>
          <w:vertAlign w:val="baseline"/>
        </w:rPr>
        <w:t>decision</w:t>
      </w:r>
      <w:r>
        <w:rPr>
          <w:spacing w:val="-4"/>
          <w:vertAlign w:val="baseline"/>
        </w:rPr>
        <w:t> </w:t>
      </w:r>
      <w:r>
        <w:rPr>
          <w:vertAlign w:val="baseline"/>
        </w:rPr>
        <w:t>and in case of an unsuccessful application.</w:t>
      </w:r>
      <w:r>
        <w:rPr>
          <w:vertAlign w:val="superscript"/>
        </w:rPr>
        <w:t>865</w:t>
      </w:r>
    </w:p>
    <w:p>
      <w:pPr>
        <w:pStyle w:val="ListParagraph"/>
        <w:numPr>
          <w:ilvl w:val="1"/>
          <w:numId w:val="13"/>
        </w:numPr>
        <w:tabs>
          <w:tab w:pos="1853" w:val="left" w:leader="none"/>
        </w:tabs>
        <w:spacing w:line="225" w:lineRule="auto" w:before="305" w:after="0"/>
        <w:ind w:left="1853" w:right="1215" w:hanging="720"/>
        <w:jc w:val="left"/>
        <w:rPr>
          <w:sz w:val="28"/>
        </w:rPr>
      </w:pPr>
      <w:r>
        <w:rPr>
          <w:sz w:val="28"/>
        </w:rPr>
        <w:t>In</w:t>
      </w:r>
      <w:r>
        <w:rPr>
          <w:spacing w:val="-5"/>
          <w:sz w:val="28"/>
        </w:rPr>
        <w:t> </w:t>
      </w:r>
      <w:r>
        <w:rPr>
          <w:sz w:val="28"/>
        </w:rPr>
        <w:t>June</w:t>
      </w:r>
      <w:r>
        <w:rPr>
          <w:spacing w:val="-4"/>
          <w:sz w:val="28"/>
        </w:rPr>
        <w:t> </w:t>
      </w:r>
      <w:r>
        <w:rPr>
          <w:sz w:val="28"/>
        </w:rPr>
        <w:t>2023,</w:t>
      </w:r>
      <w:r>
        <w:rPr>
          <w:spacing w:val="-4"/>
          <w:sz w:val="28"/>
        </w:rPr>
        <w:t> </w:t>
      </w:r>
      <w:r>
        <w:rPr>
          <w:sz w:val="28"/>
        </w:rPr>
        <w:t>the</w:t>
      </w:r>
      <w:r>
        <w:rPr>
          <w:spacing w:val="-4"/>
          <w:sz w:val="28"/>
        </w:rPr>
        <w:t> </w:t>
      </w:r>
      <w:r>
        <w:rPr>
          <w:sz w:val="28"/>
        </w:rPr>
        <w:t>Independent</w:t>
      </w:r>
      <w:r>
        <w:rPr>
          <w:spacing w:val="-4"/>
          <w:sz w:val="28"/>
        </w:rPr>
        <w:t> </w:t>
      </w:r>
      <w:r>
        <w:rPr>
          <w:sz w:val="28"/>
        </w:rPr>
        <w:t>Monitoring</w:t>
      </w:r>
      <w:r>
        <w:rPr>
          <w:spacing w:val="-4"/>
          <w:sz w:val="28"/>
        </w:rPr>
        <w:t> </w:t>
      </w:r>
      <w:r>
        <w:rPr>
          <w:sz w:val="28"/>
        </w:rPr>
        <w:t>Authority</w:t>
      </w:r>
      <w:r>
        <w:rPr>
          <w:spacing w:val="-4"/>
          <w:sz w:val="28"/>
        </w:rPr>
        <w:t> </w:t>
      </w:r>
      <w:r>
        <w:rPr>
          <w:sz w:val="28"/>
        </w:rPr>
        <w:t>published</w:t>
      </w:r>
      <w:r>
        <w:rPr>
          <w:spacing w:val="-5"/>
          <w:sz w:val="28"/>
        </w:rPr>
        <w:t> </w:t>
      </w:r>
      <w:r>
        <w:rPr>
          <w:sz w:val="28"/>
        </w:rPr>
        <w:t>the</w:t>
      </w:r>
      <w:r>
        <w:rPr>
          <w:spacing w:val="-4"/>
          <w:sz w:val="28"/>
        </w:rPr>
        <w:t> </w:t>
      </w:r>
      <w:r>
        <w:rPr>
          <w:sz w:val="28"/>
        </w:rPr>
        <w:t>findings</w:t>
      </w:r>
      <w:r>
        <w:rPr>
          <w:spacing w:val="-5"/>
          <w:sz w:val="28"/>
        </w:rPr>
        <w:t> </w:t>
      </w:r>
      <w:r>
        <w:rPr>
          <w:sz w:val="28"/>
        </w:rPr>
        <w:t>of an inquiry which concluded that the Home Office failed in its duty to provide a Certificate of Application immediately to some EU Settlement Scheme applicants and that delay would put the applicant at risk of not being able to receive free healthcare.</w:t>
      </w:r>
      <w:r>
        <w:rPr>
          <w:sz w:val="28"/>
          <w:vertAlign w:val="superscript"/>
        </w:rPr>
        <w:t>866</w:t>
      </w:r>
    </w:p>
    <w:p>
      <w:pPr>
        <w:pStyle w:val="ListParagraph"/>
        <w:numPr>
          <w:ilvl w:val="1"/>
          <w:numId w:val="13"/>
        </w:numPr>
        <w:tabs>
          <w:tab w:pos="1853" w:val="left" w:leader="none"/>
        </w:tabs>
        <w:spacing w:line="225" w:lineRule="auto" w:before="314" w:after="0"/>
        <w:ind w:left="1853" w:right="1428" w:hanging="720"/>
        <w:jc w:val="left"/>
        <w:rPr>
          <w:sz w:val="28"/>
        </w:rPr>
      </w:pPr>
      <w:r>
        <w:rPr>
          <w:sz w:val="28"/>
        </w:rPr>
        <w:t>In August 2023, the Home Office published guidelines which include a further</w:t>
      </w:r>
      <w:r>
        <w:rPr>
          <w:spacing w:val="-6"/>
          <w:sz w:val="28"/>
        </w:rPr>
        <w:t> </w:t>
      </w:r>
      <w:r>
        <w:rPr>
          <w:sz w:val="28"/>
        </w:rPr>
        <w:t>restriction</w:t>
      </w:r>
      <w:r>
        <w:rPr>
          <w:spacing w:val="-6"/>
          <w:sz w:val="28"/>
        </w:rPr>
        <w:t> </w:t>
      </w:r>
      <w:r>
        <w:rPr>
          <w:sz w:val="28"/>
        </w:rPr>
        <w:t>on</w:t>
      </w:r>
      <w:r>
        <w:rPr>
          <w:spacing w:val="-6"/>
          <w:sz w:val="28"/>
        </w:rPr>
        <w:t> </w:t>
      </w:r>
      <w:r>
        <w:rPr>
          <w:sz w:val="28"/>
        </w:rPr>
        <w:t>what</w:t>
      </w:r>
      <w:r>
        <w:rPr>
          <w:spacing w:val="-6"/>
          <w:sz w:val="28"/>
        </w:rPr>
        <w:t> </w:t>
      </w:r>
      <w:r>
        <w:rPr>
          <w:sz w:val="28"/>
        </w:rPr>
        <w:t>will</w:t>
      </w:r>
      <w:r>
        <w:rPr>
          <w:spacing w:val="-6"/>
          <w:sz w:val="28"/>
        </w:rPr>
        <w:t> </w:t>
      </w:r>
      <w:r>
        <w:rPr>
          <w:sz w:val="28"/>
        </w:rPr>
        <w:t>be</w:t>
      </w:r>
      <w:r>
        <w:rPr>
          <w:spacing w:val="-6"/>
          <w:sz w:val="28"/>
        </w:rPr>
        <w:t> </w:t>
      </w:r>
      <w:r>
        <w:rPr>
          <w:sz w:val="28"/>
        </w:rPr>
        <w:t>accepted</w:t>
      </w:r>
      <w:r>
        <w:rPr>
          <w:spacing w:val="-6"/>
          <w:sz w:val="28"/>
        </w:rPr>
        <w:t> </w:t>
      </w:r>
      <w:r>
        <w:rPr>
          <w:sz w:val="28"/>
        </w:rPr>
        <w:t>as</w:t>
      </w:r>
      <w:r>
        <w:rPr>
          <w:spacing w:val="-6"/>
          <w:sz w:val="28"/>
        </w:rPr>
        <w:t> </w:t>
      </w:r>
      <w:r>
        <w:rPr>
          <w:sz w:val="28"/>
        </w:rPr>
        <w:t>reasonable</w:t>
      </w:r>
      <w:r>
        <w:rPr>
          <w:spacing w:val="-6"/>
          <w:sz w:val="28"/>
        </w:rPr>
        <w:t> </w:t>
      </w:r>
      <w:r>
        <w:rPr>
          <w:sz w:val="28"/>
        </w:rPr>
        <w:t>grounds</w:t>
      </w:r>
      <w:r>
        <w:rPr>
          <w:spacing w:val="-6"/>
          <w:sz w:val="28"/>
        </w:rPr>
        <w:t> </w:t>
      </w:r>
      <w:r>
        <w:rPr>
          <w:sz w:val="28"/>
        </w:rPr>
        <w:t>for</w:t>
      </w:r>
      <w:r>
        <w:rPr>
          <w:spacing w:val="-6"/>
          <w:sz w:val="28"/>
        </w:rPr>
        <w:t> </w:t>
      </w:r>
      <w:r>
        <w:rPr>
          <w:sz w:val="28"/>
        </w:rPr>
        <w:t>a</w:t>
      </w:r>
      <w:r>
        <w:rPr>
          <w:spacing w:val="-6"/>
          <w:sz w:val="28"/>
        </w:rPr>
        <w:t> </w:t>
      </w:r>
      <w:r>
        <w:rPr>
          <w:sz w:val="28"/>
        </w:rPr>
        <w:t>late application to the EU Settlement Scheme.</w:t>
      </w:r>
      <w:r>
        <w:rPr>
          <w:sz w:val="28"/>
          <w:vertAlign w:val="superscript"/>
        </w:rPr>
        <w:t>867</w:t>
      </w:r>
      <w:r>
        <w:rPr>
          <w:sz w:val="28"/>
          <w:vertAlign w:val="baseline"/>
        </w:rPr>
        <w:t> There are concerns that this</w:t>
      </w:r>
    </w:p>
    <w:p>
      <w:pPr>
        <w:pStyle w:val="BodyText"/>
        <w:spacing w:before="8"/>
        <w:rPr>
          <w:sz w:val="17"/>
        </w:rPr>
      </w:pPr>
      <w:r>
        <w:rPr/>
        <mc:AlternateContent>
          <mc:Choice Requires="wps">
            <w:drawing>
              <wp:anchor distT="0" distB="0" distL="0" distR="0" allowOverlap="1" layoutInCell="1" locked="0" behindDoc="1" simplePos="0" relativeHeight="487728640">
                <wp:simplePos x="0" y="0"/>
                <wp:positionH relativeFrom="page">
                  <wp:posOffset>719996</wp:posOffset>
                </wp:positionH>
                <wp:positionV relativeFrom="paragraph">
                  <wp:posOffset>152193</wp:posOffset>
                </wp:positionV>
                <wp:extent cx="6120130" cy="1270"/>
                <wp:effectExtent l="0" t="0" r="0" b="0"/>
                <wp:wrapTopAndBottom/>
                <wp:docPr id="640" name="Graphic 640"/>
                <wp:cNvGraphicFramePr>
                  <a:graphicFrameLocks/>
                </wp:cNvGraphicFramePr>
                <a:graphic>
                  <a:graphicData uri="http://schemas.microsoft.com/office/word/2010/wordprocessingShape">
                    <wps:wsp>
                      <wps:cNvPr id="640" name="Graphic 64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1.983716pt;width:481.9pt;height:.1pt;mso-position-horizontal-relative:page;mso-position-vertical-relative:paragraph;z-index:-15587840;mso-wrap-distance-left:0;mso-wrap-distance-right:0" id="docshape584" coordorigin="1134,240" coordsize="9638,0" path="m10772,240l1134,240e" filled="false" stroked="true" strokeweight="1pt" strokecolor="#393b80">
                <v:path arrowok="t"/>
                <v:stroke dashstyle="solid"/>
                <w10:wrap type="topAndBottom"/>
              </v:shape>
            </w:pict>
          </mc:Fallback>
        </mc:AlternateContent>
      </w:r>
    </w:p>
    <w:p>
      <w:pPr>
        <w:pStyle w:val="ListParagraph"/>
        <w:numPr>
          <w:ilvl w:val="0"/>
          <w:numId w:val="16"/>
        </w:numPr>
        <w:tabs>
          <w:tab w:pos="1853" w:val="left" w:leader="none"/>
        </w:tabs>
        <w:spacing w:line="218" w:lineRule="exact" w:before="137" w:after="0"/>
        <w:ind w:left="1853" w:right="0" w:hanging="720"/>
        <w:jc w:val="left"/>
        <w:rPr>
          <w:sz w:val="18"/>
        </w:rPr>
      </w:pPr>
      <w:r>
        <w:rPr>
          <w:sz w:val="18"/>
        </w:rPr>
        <w:t>Pivotal,</w:t>
      </w:r>
      <w:r>
        <w:rPr>
          <w:spacing w:val="-3"/>
          <w:sz w:val="18"/>
        </w:rPr>
        <w:t> </w:t>
      </w:r>
      <w:r>
        <w:rPr>
          <w:sz w:val="18"/>
        </w:rPr>
        <w:t>‘The</w:t>
      </w:r>
      <w:r>
        <w:rPr>
          <w:spacing w:val="-2"/>
          <w:sz w:val="18"/>
        </w:rPr>
        <w:t> </w:t>
      </w:r>
      <w:r>
        <w:rPr>
          <w:sz w:val="18"/>
        </w:rPr>
        <w:t>Impact</w:t>
      </w:r>
      <w:r>
        <w:rPr>
          <w:spacing w:val="-2"/>
          <w:sz w:val="18"/>
        </w:rPr>
        <w:t> </w:t>
      </w:r>
      <w:r>
        <w:rPr>
          <w:sz w:val="18"/>
        </w:rPr>
        <w:t>of</w:t>
      </w:r>
      <w:r>
        <w:rPr>
          <w:spacing w:val="-3"/>
          <w:sz w:val="18"/>
        </w:rPr>
        <w:t> </w:t>
      </w:r>
      <w:r>
        <w:rPr>
          <w:sz w:val="18"/>
        </w:rPr>
        <w:t>Brexit</w:t>
      </w:r>
      <w:r>
        <w:rPr>
          <w:spacing w:val="-2"/>
          <w:sz w:val="18"/>
        </w:rPr>
        <w:t> </w:t>
      </w:r>
      <w:r>
        <w:rPr>
          <w:sz w:val="18"/>
        </w:rPr>
        <w:t>on</w:t>
      </w:r>
      <w:r>
        <w:rPr>
          <w:spacing w:val="-3"/>
          <w:sz w:val="18"/>
        </w:rPr>
        <w:t> </w:t>
      </w:r>
      <w:r>
        <w:rPr>
          <w:sz w:val="18"/>
        </w:rPr>
        <w:t>Minority</w:t>
      </w:r>
      <w:r>
        <w:rPr>
          <w:spacing w:val="-2"/>
          <w:sz w:val="18"/>
        </w:rPr>
        <w:t> </w:t>
      </w:r>
      <w:r>
        <w:rPr>
          <w:sz w:val="18"/>
        </w:rPr>
        <w:t>Ethnic</w:t>
      </w:r>
      <w:r>
        <w:rPr>
          <w:spacing w:val="-2"/>
          <w:sz w:val="18"/>
        </w:rPr>
        <w:t> </w:t>
      </w:r>
      <w:r>
        <w:rPr>
          <w:sz w:val="18"/>
        </w:rPr>
        <w:t>and</w:t>
      </w:r>
      <w:r>
        <w:rPr>
          <w:spacing w:val="-4"/>
          <w:sz w:val="18"/>
        </w:rPr>
        <w:t> </w:t>
      </w:r>
      <w:r>
        <w:rPr>
          <w:sz w:val="18"/>
        </w:rPr>
        <w:t>Migrant</w:t>
      </w:r>
      <w:r>
        <w:rPr>
          <w:spacing w:val="-2"/>
          <w:sz w:val="18"/>
        </w:rPr>
        <w:t> </w:t>
      </w:r>
      <w:r>
        <w:rPr>
          <w:sz w:val="18"/>
        </w:rPr>
        <w:t>People</w:t>
      </w:r>
      <w:r>
        <w:rPr>
          <w:spacing w:val="-2"/>
          <w:sz w:val="18"/>
        </w:rPr>
        <w:t> </w:t>
      </w:r>
      <w:r>
        <w:rPr>
          <w:sz w:val="18"/>
        </w:rPr>
        <w:t>in</w:t>
      </w:r>
      <w:r>
        <w:rPr>
          <w:spacing w:val="-3"/>
          <w:sz w:val="18"/>
        </w:rPr>
        <w:t> </w:t>
      </w:r>
      <w:r>
        <w:rPr>
          <w:sz w:val="18"/>
        </w:rPr>
        <w:t>Northern</w:t>
      </w:r>
      <w:r>
        <w:rPr>
          <w:spacing w:val="-3"/>
          <w:sz w:val="18"/>
        </w:rPr>
        <w:t> </w:t>
      </w:r>
      <w:r>
        <w:rPr>
          <w:sz w:val="18"/>
        </w:rPr>
        <w:t>Ireland’</w:t>
      </w:r>
      <w:r>
        <w:rPr>
          <w:spacing w:val="-2"/>
          <w:sz w:val="18"/>
        </w:rPr>
        <w:t> </w:t>
      </w:r>
      <w:r>
        <w:rPr>
          <w:sz w:val="18"/>
        </w:rPr>
        <w:t>(ECNI,</w:t>
      </w:r>
      <w:r>
        <w:rPr>
          <w:spacing w:val="-2"/>
          <w:sz w:val="18"/>
        </w:rPr>
        <w:t> </w:t>
      </w:r>
      <w:r>
        <w:rPr>
          <w:sz w:val="18"/>
        </w:rPr>
        <w:t>2023),</w:t>
      </w:r>
      <w:r>
        <w:rPr>
          <w:spacing w:val="-2"/>
          <w:sz w:val="18"/>
        </w:rPr>
        <w:t> </w:t>
      </w:r>
      <w:r>
        <w:rPr>
          <w:sz w:val="18"/>
        </w:rPr>
        <w:t>at</w:t>
      </w:r>
      <w:r>
        <w:rPr>
          <w:spacing w:val="-2"/>
          <w:sz w:val="18"/>
        </w:rPr>
        <w:t> </w:t>
      </w:r>
      <w:r>
        <w:rPr>
          <w:spacing w:val="-5"/>
          <w:sz w:val="18"/>
        </w:rPr>
        <w:t>73.</w:t>
      </w:r>
    </w:p>
    <w:p>
      <w:pPr>
        <w:pStyle w:val="ListParagraph"/>
        <w:numPr>
          <w:ilvl w:val="0"/>
          <w:numId w:val="16"/>
        </w:numPr>
        <w:tabs>
          <w:tab w:pos="1853" w:val="left" w:leader="none"/>
        </w:tabs>
        <w:spacing w:line="235" w:lineRule="auto" w:before="2" w:after="0"/>
        <w:ind w:left="1853" w:right="1780" w:hanging="720"/>
        <w:jc w:val="left"/>
        <w:rPr>
          <w:sz w:val="18"/>
        </w:rPr>
      </w:pPr>
      <w:r>
        <w:rPr>
          <w:sz w:val="18"/>
        </w:rPr>
        <w:t>Katharine</w:t>
      </w:r>
      <w:r>
        <w:rPr>
          <w:spacing w:val="-4"/>
          <w:sz w:val="18"/>
        </w:rPr>
        <w:t> </w:t>
      </w:r>
      <w:r>
        <w:rPr>
          <w:sz w:val="18"/>
        </w:rPr>
        <w:t>Wright,</w:t>
      </w:r>
      <w:r>
        <w:rPr>
          <w:spacing w:val="-4"/>
          <w:sz w:val="18"/>
        </w:rPr>
        <w:t> </w:t>
      </w:r>
      <w:r>
        <w:rPr>
          <w:sz w:val="18"/>
        </w:rPr>
        <w:t>Ruth</w:t>
      </w:r>
      <w:r>
        <w:rPr>
          <w:spacing w:val="-5"/>
          <w:sz w:val="18"/>
        </w:rPr>
        <w:t> </w:t>
      </w:r>
      <w:r>
        <w:rPr>
          <w:sz w:val="18"/>
        </w:rPr>
        <w:t>McAreavey</w:t>
      </w:r>
      <w:r>
        <w:rPr>
          <w:spacing w:val="-4"/>
          <w:sz w:val="18"/>
        </w:rPr>
        <w:t> </w:t>
      </w:r>
      <w:r>
        <w:rPr>
          <w:sz w:val="18"/>
        </w:rPr>
        <w:t>and</w:t>
      </w:r>
      <w:r>
        <w:rPr>
          <w:spacing w:val="-5"/>
          <w:sz w:val="18"/>
        </w:rPr>
        <w:t> </w:t>
      </w:r>
      <w:r>
        <w:rPr>
          <w:sz w:val="18"/>
        </w:rPr>
        <w:t>Rebecca</w:t>
      </w:r>
      <w:r>
        <w:rPr>
          <w:spacing w:val="-5"/>
          <w:sz w:val="18"/>
        </w:rPr>
        <w:t> </w:t>
      </w:r>
      <w:r>
        <w:rPr>
          <w:sz w:val="18"/>
        </w:rPr>
        <w:t>Donaldson,</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Women</w:t>
      </w:r>
      <w:r>
        <w:rPr>
          <w:spacing w:val="-5"/>
          <w:sz w:val="18"/>
        </w:rPr>
        <w:t> </w:t>
      </w:r>
      <w:r>
        <w:rPr>
          <w:sz w:val="18"/>
        </w:rPr>
        <w:t>in</w:t>
      </w:r>
      <w:r>
        <w:rPr>
          <w:spacing w:val="-5"/>
          <w:sz w:val="18"/>
        </w:rPr>
        <w:t> </w:t>
      </w:r>
      <w:r>
        <w:rPr>
          <w:sz w:val="18"/>
        </w:rPr>
        <w:t>Northern</w:t>
      </w:r>
      <w:r>
        <w:rPr>
          <w:spacing w:val="-5"/>
          <w:sz w:val="18"/>
        </w:rPr>
        <w:t> </w:t>
      </w:r>
      <w:r>
        <w:rPr>
          <w:sz w:val="18"/>
        </w:rPr>
        <w:t>Ireland’ (ECNI, 2024), at 48.</w:t>
      </w:r>
    </w:p>
    <w:p>
      <w:pPr>
        <w:pStyle w:val="ListParagraph"/>
        <w:numPr>
          <w:ilvl w:val="0"/>
          <w:numId w:val="16"/>
        </w:numPr>
        <w:tabs>
          <w:tab w:pos="1853" w:val="left" w:leader="none"/>
        </w:tabs>
        <w:spacing w:line="235" w:lineRule="auto" w:before="1" w:after="0"/>
        <w:ind w:left="1853" w:right="1780" w:hanging="720"/>
        <w:jc w:val="left"/>
        <w:rPr>
          <w:sz w:val="18"/>
        </w:rPr>
      </w:pPr>
      <w:r>
        <w:rPr>
          <w:sz w:val="18"/>
        </w:rPr>
        <w:t>Katharine</w:t>
      </w:r>
      <w:r>
        <w:rPr>
          <w:spacing w:val="-4"/>
          <w:sz w:val="18"/>
        </w:rPr>
        <w:t> </w:t>
      </w:r>
      <w:r>
        <w:rPr>
          <w:sz w:val="18"/>
        </w:rPr>
        <w:t>Wright,</w:t>
      </w:r>
      <w:r>
        <w:rPr>
          <w:spacing w:val="-4"/>
          <w:sz w:val="18"/>
        </w:rPr>
        <w:t> </w:t>
      </w:r>
      <w:r>
        <w:rPr>
          <w:sz w:val="18"/>
        </w:rPr>
        <w:t>Ruth</w:t>
      </w:r>
      <w:r>
        <w:rPr>
          <w:spacing w:val="-5"/>
          <w:sz w:val="18"/>
        </w:rPr>
        <w:t> </w:t>
      </w:r>
      <w:r>
        <w:rPr>
          <w:sz w:val="18"/>
        </w:rPr>
        <w:t>McAreavey</w:t>
      </w:r>
      <w:r>
        <w:rPr>
          <w:spacing w:val="-4"/>
          <w:sz w:val="18"/>
        </w:rPr>
        <w:t> </w:t>
      </w:r>
      <w:r>
        <w:rPr>
          <w:sz w:val="18"/>
        </w:rPr>
        <w:t>and</w:t>
      </w:r>
      <w:r>
        <w:rPr>
          <w:spacing w:val="-5"/>
          <w:sz w:val="18"/>
        </w:rPr>
        <w:t> </w:t>
      </w:r>
      <w:r>
        <w:rPr>
          <w:sz w:val="18"/>
        </w:rPr>
        <w:t>Rebecca</w:t>
      </w:r>
      <w:r>
        <w:rPr>
          <w:spacing w:val="-5"/>
          <w:sz w:val="18"/>
        </w:rPr>
        <w:t> </w:t>
      </w:r>
      <w:r>
        <w:rPr>
          <w:sz w:val="18"/>
        </w:rPr>
        <w:t>Donaldson,</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Women</w:t>
      </w:r>
      <w:r>
        <w:rPr>
          <w:spacing w:val="-5"/>
          <w:sz w:val="18"/>
        </w:rPr>
        <w:t> </w:t>
      </w:r>
      <w:r>
        <w:rPr>
          <w:sz w:val="18"/>
        </w:rPr>
        <w:t>in</w:t>
      </w:r>
      <w:r>
        <w:rPr>
          <w:spacing w:val="-5"/>
          <w:sz w:val="18"/>
        </w:rPr>
        <w:t> </w:t>
      </w:r>
      <w:r>
        <w:rPr>
          <w:sz w:val="18"/>
        </w:rPr>
        <w:t>Northern</w:t>
      </w:r>
      <w:r>
        <w:rPr>
          <w:spacing w:val="-5"/>
          <w:sz w:val="18"/>
        </w:rPr>
        <w:t> </w:t>
      </w:r>
      <w:r>
        <w:rPr>
          <w:sz w:val="18"/>
        </w:rPr>
        <w:t>Ireland’ (ECNI, 2024), at 14.</w:t>
      </w:r>
    </w:p>
    <w:p>
      <w:pPr>
        <w:pStyle w:val="ListParagraph"/>
        <w:numPr>
          <w:ilvl w:val="0"/>
          <w:numId w:val="16"/>
        </w:numPr>
        <w:tabs>
          <w:tab w:pos="1853" w:val="left" w:leader="none"/>
        </w:tabs>
        <w:spacing w:line="216" w:lineRule="exact" w:before="0" w:after="0"/>
        <w:ind w:left="1853" w:right="0" w:hanging="720"/>
        <w:jc w:val="left"/>
        <w:rPr>
          <w:sz w:val="18"/>
        </w:rPr>
      </w:pPr>
      <w:r>
        <w:rPr>
          <w:sz w:val="18"/>
        </w:rPr>
        <w:t>Pivotal,</w:t>
      </w:r>
      <w:r>
        <w:rPr>
          <w:spacing w:val="-3"/>
          <w:sz w:val="18"/>
        </w:rPr>
        <w:t> </w:t>
      </w:r>
      <w:r>
        <w:rPr>
          <w:sz w:val="18"/>
        </w:rPr>
        <w:t>‘The</w:t>
      </w:r>
      <w:r>
        <w:rPr>
          <w:spacing w:val="-2"/>
          <w:sz w:val="18"/>
        </w:rPr>
        <w:t> </w:t>
      </w:r>
      <w:r>
        <w:rPr>
          <w:sz w:val="18"/>
        </w:rPr>
        <w:t>Impact</w:t>
      </w:r>
      <w:r>
        <w:rPr>
          <w:spacing w:val="-2"/>
          <w:sz w:val="18"/>
        </w:rPr>
        <w:t> </w:t>
      </w:r>
      <w:r>
        <w:rPr>
          <w:sz w:val="18"/>
        </w:rPr>
        <w:t>of</w:t>
      </w:r>
      <w:r>
        <w:rPr>
          <w:spacing w:val="-3"/>
          <w:sz w:val="18"/>
        </w:rPr>
        <w:t> </w:t>
      </w:r>
      <w:r>
        <w:rPr>
          <w:sz w:val="18"/>
        </w:rPr>
        <w:t>Brexit</w:t>
      </w:r>
      <w:r>
        <w:rPr>
          <w:spacing w:val="-2"/>
          <w:sz w:val="18"/>
        </w:rPr>
        <w:t> </w:t>
      </w:r>
      <w:r>
        <w:rPr>
          <w:sz w:val="18"/>
        </w:rPr>
        <w:t>on</w:t>
      </w:r>
      <w:r>
        <w:rPr>
          <w:spacing w:val="-3"/>
          <w:sz w:val="18"/>
        </w:rPr>
        <w:t> </w:t>
      </w:r>
      <w:r>
        <w:rPr>
          <w:sz w:val="18"/>
        </w:rPr>
        <w:t>Minority</w:t>
      </w:r>
      <w:r>
        <w:rPr>
          <w:spacing w:val="-2"/>
          <w:sz w:val="18"/>
        </w:rPr>
        <w:t> </w:t>
      </w:r>
      <w:r>
        <w:rPr>
          <w:sz w:val="18"/>
        </w:rPr>
        <w:t>Ethnic</w:t>
      </w:r>
      <w:r>
        <w:rPr>
          <w:spacing w:val="-2"/>
          <w:sz w:val="18"/>
        </w:rPr>
        <w:t> </w:t>
      </w:r>
      <w:r>
        <w:rPr>
          <w:sz w:val="18"/>
        </w:rPr>
        <w:t>and</w:t>
      </w:r>
      <w:r>
        <w:rPr>
          <w:spacing w:val="-4"/>
          <w:sz w:val="18"/>
        </w:rPr>
        <w:t> </w:t>
      </w:r>
      <w:r>
        <w:rPr>
          <w:sz w:val="18"/>
        </w:rPr>
        <w:t>Migrant</w:t>
      </w:r>
      <w:r>
        <w:rPr>
          <w:spacing w:val="-2"/>
          <w:sz w:val="18"/>
        </w:rPr>
        <w:t> </w:t>
      </w:r>
      <w:r>
        <w:rPr>
          <w:sz w:val="18"/>
        </w:rPr>
        <w:t>People</w:t>
      </w:r>
      <w:r>
        <w:rPr>
          <w:spacing w:val="-2"/>
          <w:sz w:val="18"/>
        </w:rPr>
        <w:t> </w:t>
      </w:r>
      <w:r>
        <w:rPr>
          <w:sz w:val="18"/>
        </w:rPr>
        <w:t>in</w:t>
      </w:r>
      <w:r>
        <w:rPr>
          <w:spacing w:val="-3"/>
          <w:sz w:val="18"/>
        </w:rPr>
        <w:t> </w:t>
      </w:r>
      <w:r>
        <w:rPr>
          <w:sz w:val="18"/>
        </w:rPr>
        <w:t>Northern</w:t>
      </w:r>
      <w:r>
        <w:rPr>
          <w:spacing w:val="-3"/>
          <w:sz w:val="18"/>
        </w:rPr>
        <w:t> </w:t>
      </w:r>
      <w:r>
        <w:rPr>
          <w:sz w:val="18"/>
        </w:rPr>
        <w:t>Ireland’</w:t>
      </w:r>
      <w:r>
        <w:rPr>
          <w:spacing w:val="-2"/>
          <w:sz w:val="18"/>
        </w:rPr>
        <w:t> </w:t>
      </w:r>
      <w:r>
        <w:rPr>
          <w:sz w:val="18"/>
        </w:rPr>
        <w:t>(ECNI,</w:t>
      </w:r>
      <w:r>
        <w:rPr>
          <w:spacing w:val="-2"/>
          <w:sz w:val="18"/>
        </w:rPr>
        <w:t> </w:t>
      </w:r>
      <w:r>
        <w:rPr>
          <w:sz w:val="18"/>
        </w:rPr>
        <w:t>2023),</w:t>
      </w:r>
      <w:r>
        <w:rPr>
          <w:spacing w:val="-2"/>
          <w:sz w:val="18"/>
        </w:rPr>
        <w:t> </w:t>
      </w:r>
      <w:r>
        <w:rPr>
          <w:sz w:val="18"/>
        </w:rPr>
        <w:t>at</w:t>
      </w:r>
      <w:r>
        <w:rPr>
          <w:spacing w:val="-2"/>
          <w:sz w:val="18"/>
        </w:rPr>
        <w:t> </w:t>
      </w:r>
      <w:r>
        <w:rPr>
          <w:spacing w:val="-5"/>
          <w:sz w:val="18"/>
        </w:rPr>
        <w:t>85.</w:t>
      </w:r>
    </w:p>
    <w:p>
      <w:pPr>
        <w:pStyle w:val="ListParagraph"/>
        <w:numPr>
          <w:ilvl w:val="0"/>
          <w:numId w:val="16"/>
        </w:numPr>
        <w:tabs>
          <w:tab w:pos="1853" w:val="left" w:leader="none"/>
        </w:tabs>
        <w:spacing w:line="216" w:lineRule="exact" w:before="0" w:after="0"/>
        <w:ind w:left="1853" w:right="0" w:hanging="720"/>
        <w:jc w:val="left"/>
        <w:rPr>
          <w:sz w:val="18"/>
        </w:rPr>
      </w:pPr>
      <w:r>
        <w:rPr>
          <w:sz w:val="18"/>
        </w:rPr>
        <w:t>Ibid,</w:t>
      </w:r>
      <w:r>
        <w:rPr>
          <w:spacing w:val="-1"/>
          <w:sz w:val="18"/>
        </w:rPr>
        <w:t> </w:t>
      </w:r>
      <w:r>
        <w:rPr>
          <w:sz w:val="18"/>
        </w:rPr>
        <w:t>at</w:t>
      </w:r>
      <w:r>
        <w:rPr>
          <w:spacing w:val="-1"/>
          <w:sz w:val="18"/>
        </w:rPr>
        <w:t> </w:t>
      </w:r>
      <w:r>
        <w:rPr>
          <w:spacing w:val="-5"/>
          <w:sz w:val="18"/>
        </w:rPr>
        <w:t>72.</w:t>
      </w:r>
    </w:p>
    <w:p>
      <w:pPr>
        <w:pStyle w:val="ListParagraph"/>
        <w:numPr>
          <w:ilvl w:val="0"/>
          <w:numId w:val="16"/>
        </w:numPr>
        <w:tabs>
          <w:tab w:pos="1853" w:val="left" w:leader="none"/>
        </w:tabs>
        <w:spacing w:line="216" w:lineRule="exact" w:before="0" w:after="0"/>
        <w:ind w:left="1853" w:right="0" w:hanging="720"/>
        <w:jc w:val="left"/>
        <w:rPr>
          <w:sz w:val="18"/>
        </w:rPr>
      </w:pPr>
      <w:r>
        <w:rPr>
          <w:sz w:val="18"/>
        </w:rPr>
        <w:t>Ibid,</w:t>
      </w:r>
      <w:r>
        <w:rPr>
          <w:spacing w:val="-1"/>
          <w:sz w:val="18"/>
        </w:rPr>
        <w:t> </w:t>
      </w:r>
      <w:r>
        <w:rPr>
          <w:sz w:val="18"/>
        </w:rPr>
        <w:t>at</w:t>
      </w:r>
      <w:r>
        <w:rPr>
          <w:spacing w:val="-1"/>
          <w:sz w:val="18"/>
        </w:rPr>
        <w:t> </w:t>
      </w:r>
      <w:r>
        <w:rPr>
          <w:spacing w:val="-5"/>
          <w:sz w:val="18"/>
        </w:rPr>
        <w:t>85.</w:t>
      </w:r>
    </w:p>
    <w:p>
      <w:pPr>
        <w:pStyle w:val="ListParagraph"/>
        <w:numPr>
          <w:ilvl w:val="0"/>
          <w:numId w:val="16"/>
        </w:numPr>
        <w:tabs>
          <w:tab w:pos="1853" w:val="left" w:leader="none"/>
        </w:tabs>
        <w:spacing w:line="235" w:lineRule="auto" w:before="2" w:after="0"/>
        <w:ind w:left="1853" w:right="1519" w:hanging="720"/>
        <w:jc w:val="left"/>
        <w:rPr>
          <w:sz w:val="18"/>
        </w:rPr>
      </w:pPr>
      <w:r>
        <w:rPr>
          <w:sz w:val="18"/>
        </w:rPr>
        <w:t>Independent</w:t>
      </w:r>
      <w:r>
        <w:rPr>
          <w:spacing w:val="-6"/>
          <w:sz w:val="18"/>
        </w:rPr>
        <w:t> </w:t>
      </w:r>
      <w:r>
        <w:rPr>
          <w:sz w:val="18"/>
        </w:rPr>
        <w:t>Monitoring</w:t>
      </w:r>
      <w:r>
        <w:rPr>
          <w:spacing w:val="-6"/>
          <w:sz w:val="18"/>
        </w:rPr>
        <w:t> </w:t>
      </w:r>
      <w:r>
        <w:rPr>
          <w:sz w:val="18"/>
        </w:rPr>
        <w:t>Authority,</w:t>
      </w:r>
      <w:r>
        <w:rPr>
          <w:spacing w:val="-6"/>
          <w:sz w:val="18"/>
        </w:rPr>
        <w:t> </w:t>
      </w:r>
      <w:r>
        <w:rPr>
          <w:sz w:val="18"/>
        </w:rPr>
        <w:t>‘Press</w:t>
      </w:r>
      <w:r>
        <w:rPr>
          <w:spacing w:val="-7"/>
          <w:sz w:val="18"/>
        </w:rPr>
        <w:t> </w:t>
      </w:r>
      <w:r>
        <w:rPr>
          <w:sz w:val="18"/>
        </w:rPr>
        <w:t>Release:</w:t>
      </w:r>
      <w:r>
        <w:rPr>
          <w:spacing w:val="-6"/>
          <w:sz w:val="18"/>
        </w:rPr>
        <w:t> </w:t>
      </w:r>
      <w:r>
        <w:rPr>
          <w:sz w:val="18"/>
        </w:rPr>
        <w:t>EU</w:t>
      </w:r>
      <w:r>
        <w:rPr>
          <w:spacing w:val="-6"/>
          <w:sz w:val="18"/>
        </w:rPr>
        <w:t> </w:t>
      </w:r>
      <w:r>
        <w:rPr>
          <w:sz w:val="18"/>
        </w:rPr>
        <w:t>citizens</w:t>
      </w:r>
      <w:r>
        <w:rPr>
          <w:spacing w:val="-7"/>
          <w:sz w:val="18"/>
        </w:rPr>
        <w:t> </w:t>
      </w:r>
      <w:r>
        <w:rPr>
          <w:sz w:val="18"/>
        </w:rPr>
        <w:t>may</w:t>
      </w:r>
      <w:r>
        <w:rPr>
          <w:spacing w:val="-6"/>
          <w:sz w:val="18"/>
        </w:rPr>
        <w:t> </w:t>
      </w:r>
      <w:r>
        <w:rPr>
          <w:sz w:val="18"/>
        </w:rPr>
        <w:t>have</w:t>
      </w:r>
      <w:r>
        <w:rPr>
          <w:spacing w:val="-6"/>
          <w:sz w:val="18"/>
        </w:rPr>
        <w:t> </w:t>
      </w:r>
      <w:r>
        <w:rPr>
          <w:sz w:val="18"/>
        </w:rPr>
        <w:t>been</w:t>
      </w:r>
      <w:r>
        <w:rPr>
          <w:spacing w:val="-7"/>
          <w:sz w:val="18"/>
        </w:rPr>
        <w:t> </w:t>
      </w:r>
      <w:r>
        <w:rPr>
          <w:sz w:val="18"/>
        </w:rPr>
        <w:t>wrongfully</w:t>
      </w:r>
      <w:r>
        <w:rPr>
          <w:spacing w:val="-6"/>
          <w:sz w:val="18"/>
        </w:rPr>
        <w:t> </w:t>
      </w:r>
      <w:r>
        <w:rPr>
          <w:sz w:val="18"/>
        </w:rPr>
        <w:t>charged</w:t>
      </w:r>
      <w:r>
        <w:rPr>
          <w:spacing w:val="-7"/>
          <w:sz w:val="18"/>
        </w:rPr>
        <w:t> </w:t>
      </w:r>
      <w:r>
        <w:rPr>
          <w:sz w:val="18"/>
        </w:rPr>
        <w:t>for</w:t>
      </w:r>
      <w:r>
        <w:rPr>
          <w:spacing w:val="-6"/>
          <w:sz w:val="18"/>
        </w:rPr>
        <w:t> </w:t>
      </w:r>
      <w:r>
        <w:rPr>
          <w:sz w:val="18"/>
        </w:rPr>
        <w:t>NHS</w:t>
      </w:r>
      <w:r>
        <w:rPr>
          <w:spacing w:val="-7"/>
          <w:sz w:val="18"/>
        </w:rPr>
        <w:t> </w:t>
      </w:r>
      <w:r>
        <w:rPr>
          <w:sz w:val="18"/>
        </w:rPr>
        <w:t>treatment, IMA finds’, 10 May 2023.</w:t>
      </w:r>
    </w:p>
    <w:p>
      <w:pPr>
        <w:pStyle w:val="ListParagraph"/>
        <w:numPr>
          <w:ilvl w:val="0"/>
          <w:numId w:val="16"/>
        </w:numPr>
        <w:tabs>
          <w:tab w:pos="1853" w:val="left" w:leader="none"/>
        </w:tabs>
        <w:spacing w:line="235" w:lineRule="auto" w:before="1" w:after="0"/>
        <w:ind w:left="1853" w:right="1905" w:hanging="720"/>
        <w:jc w:val="left"/>
        <w:rPr>
          <w:sz w:val="18"/>
        </w:rPr>
      </w:pPr>
      <w:r>
        <w:rPr>
          <w:sz w:val="18"/>
        </w:rPr>
        <w:t>Independent</w:t>
      </w:r>
      <w:r>
        <w:rPr>
          <w:spacing w:val="-6"/>
          <w:sz w:val="18"/>
        </w:rPr>
        <w:t> </w:t>
      </w:r>
      <w:r>
        <w:rPr>
          <w:sz w:val="18"/>
        </w:rPr>
        <w:t>Monitoring</w:t>
      </w:r>
      <w:r>
        <w:rPr>
          <w:spacing w:val="-6"/>
          <w:sz w:val="18"/>
        </w:rPr>
        <w:t> </w:t>
      </w:r>
      <w:r>
        <w:rPr>
          <w:sz w:val="18"/>
        </w:rPr>
        <w:t>Authority,</w:t>
      </w:r>
      <w:r>
        <w:rPr>
          <w:spacing w:val="-6"/>
          <w:sz w:val="18"/>
        </w:rPr>
        <w:t> </w:t>
      </w:r>
      <w:r>
        <w:rPr>
          <w:sz w:val="18"/>
        </w:rPr>
        <w:t>‘An</w:t>
      </w:r>
      <w:r>
        <w:rPr>
          <w:spacing w:val="-7"/>
          <w:sz w:val="18"/>
        </w:rPr>
        <w:t> </w:t>
      </w:r>
      <w:r>
        <w:rPr>
          <w:sz w:val="18"/>
        </w:rPr>
        <w:t>Inquiry</w:t>
      </w:r>
      <w:r>
        <w:rPr>
          <w:spacing w:val="-6"/>
          <w:sz w:val="18"/>
        </w:rPr>
        <w:t> </w:t>
      </w:r>
      <w:r>
        <w:rPr>
          <w:sz w:val="18"/>
        </w:rPr>
        <w:t>by</w:t>
      </w:r>
      <w:r>
        <w:rPr>
          <w:spacing w:val="-6"/>
          <w:sz w:val="18"/>
        </w:rPr>
        <w:t> </w:t>
      </w:r>
      <w:r>
        <w:rPr>
          <w:sz w:val="18"/>
        </w:rPr>
        <w:t>the</w:t>
      </w:r>
      <w:r>
        <w:rPr>
          <w:spacing w:val="-6"/>
          <w:sz w:val="18"/>
        </w:rPr>
        <w:t> </w:t>
      </w:r>
      <w:r>
        <w:rPr>
          <w:sz w:val="18"/>
        </w:rPr>
        <w:t>Independent</w:t>
      </w:r>
      <w:r>
        <w:rPr>
          <w:spacing w:val="-6"/>
          <w:sz w:val="18"/>
        </w:rPr>
        <w:t> </w:t>
      </w:r>
      <w:r>
        <w:rPr>
          <w:sz w:val="18"/>
        </w:rPr>
        <w:t>Monitoring</w:t>
      </w:r>
      <w:r>
        <w:rPr>
          <w:spacing w:val="-6"/>
          <w:sz w:val="18"/>
        </w:rPr>
        <w:t> </w:t>
      </w:r>
      <w:r>
        <w:rPr>
          <w:sz w:val="18"/>
        </w:rPr>
        <w:t>Authority</w:t>
      </w:r>
      <w:r>
        <w:rPr>
          <w:spacing w:val="-6"/>
          <w:sz w:val="18"/>
        </w:rPr>
        <w:t> </w:t>
      </w:r>
      <w:r>
        <w:rPr>
          <w:sz w:val="18"/>
        </w:rPr>
        <w:t>for</w:t>
      </w:r>
      <w:r>
        <w:rPr>
          <w:spacing w:val="-6"/>
          <w:sz w:val="18"/>
        </w:rPr>
        <w:t> </w:t>
      </w:r>
      <w:r>
        <w:rPr>
          <w:sz w:val="18"/>
        </w:rPr>
        <w:t>the</w:t>
      </w:r>
      <w:r>
        <w:rPr>
          <w:spacing w:val="-6"/>
          <w:sz w:val="18"/>
        </w:rPr>
        <w:t> </w:t>
      </w:r>
      <w:r>
        <w:rPr>
          <w:sz w:val="18"/>
        </w:rPr>
        <w:t>Citizens’</w:t>
      </w:r>
      <w:r>
        <w:rPr>
          <w:spacing w:val="-6"/>
          <w:sz w:val="18"/>
        </w:rPr>
        <w:t> </w:t>
      </w:r>
      <w:r>
        <w:rPr>
          <w:sz w:val="18"/>
        </w:rPr>
        <w:t>Rights Agreements into Certificates of Application’ (IMA, 2023), at 3 and para 117.</w:t>
      </w:r>
    </w:p>
    <w:p>
      <w:pPr>
        <w:pStyle w:val="ListParagraph"/>
        <w:numPr>
          <w:ilvl w:val="0"/>
          <w:numId w:val="16"/>
        </w:numPr>
        <w:tabs>
          <w:tab w:pos="1853" w:val="left" w:leader="none"/>
        </w:tabs>
        <w:spacing w:line="235" w:lineRule="auto" w:before="1" w:after="0"/>
        <w:ind w:left="1853" w:right="1878" w:hanging="720"/>
        <w:jc w:val="left"/>
        <w:rPr>
          <w:sz w:val="18"/>
        </w:rPr>
      </w:pPr>
      <w:r>
        <w:rPr>
          <w:sz w:val="18"/>
        </w:rPr>
        <w:t>Home</w:t>
      </w:r>
      <w:r>
        <w:rPr>
          <w:spacing w:val="-5"/>
          <w:sz w:val="18"/>
        </w:rPr>
        <w:t> </w:t>
      </w:r>
      <w:r>
        <w:rPr>
          <w:sz w:val="18"/>
        </w:rPr>
        <w:t>Office,</w:t>
      </w:r>
      <w:r>
        <w:rPr>
          <w:spacing w:val="-5"/>
          <w:sz w:val="18"/>
        </w:rPr>
        <w:t> </w:t>
      </w:r>
      <w:r>
        <w:rPr>
          <w:sz w:val="18"/>
        </w:rPr>
        <w:t>‘EU</w:t>
      </w:r>
      <w:r>
        <w:rPr>
          <w:spacing w:val="-5"/>
          <w:sz w:val="18"/>
        </w:rPr>
        <w:t> </w:t>
      </w:r>
      <w:r>
        <w:rPr>
          <w:sz w:val="18"/>
        </w:rPr>
        <w:t>Settlement</w:t>
      </w:r>
      <w:r>
        <w:rPr>
          <w:spacing w:val="-5"/>
          <w:sz w:val="18"/>
        </w:rPr>
        <w:t> </w:t>
      </w:r>
      <w:r>
        <w:rPr>
          <w:sz w:val="18"/>
        </w:rPr>
        <w:t>Scheme:</w:t>
      </w:r>
      <w:r>
        <w:rPr>
          <w:spacing w:val="-5"/>
          <w:sz w:val="18"/>
        </w:rPr>
        <w:t> </w:t>
      </w:r>
      <w:r>
        <w:rPr>
          <w:sz w:val="18"/>
        </w:rPr>
        <w:t>EU,</w:t>
      </w:r>
      <w:r>
        <w:rPr>
          <w:spacing w:val="-5"/>
          <w:sz w:val="18"/>
        </w:rPr>
        <w:t> </w:t>
      </w:r>
      <w:r>
        <w:rPr>
          <w:sz w:val="18"/>
        </w:rPr>
        <w:t>Other</w:t>
      </w:r>
      <w:r>
        <w:rPr>
          <w:spacing w:val="-5"/>
          <w:sz w:val="18"/>
        </w:rPr>
        <w:t> </w:t>
      </w:r>
      <w:r>
        <w:rPr>
          <w:sz w:val="18"/>
        </w:rPr>
        <w:t>EEA</w:t>
      </w:r>
      <w:r>
        <w:rPr>
          <w:spacing w:val="-5"/>
          <w:sz w:val="18"/>
        </w:rPr>
        <w:t> </w:t>
      </w:r>
      <w:r>
        <w:rPr>
          <w:sz w:val="18"/>
        </w:rPr>
        <w:t>and</w:t>
      </w:r>
      <w:r>
        <w:rPr>
          <w:spacing w:val="-6"/>
          <w:sz w:val="18"/>
        </w:rPr>
        <w:t> </w:t>
      </w:r>
      <w:r>
        <w:rPr>
          <w:sz w:val="18"/>
        </w:rPr>
        <w:t>Swiss</w:t>
      </w:r>
      <w:r>
        <w:rPr>
          <w:spacing w:val="-6"/>
          <w:sz w:val="18"/>
        </w:rPr>
        <w:t> </w:t>
      </w:r>
      <w:r>
        <w:rPr>
          <w:sz w:val="18"/>
        </w:rPr>
        <w:t>Citizens</w:t>
      </w:r>
      <w:r>
        <w:rPr>
          <w:spacing w:val="-6"/>
          <w:sz w:val="18"/>
        </w:rPr>
        <w:t> </w:t>
      </w:r>
      <w:r>
        <w:rPr>
          <w:sz w:val="18"/>
        </w:rPr>
        <w:t>and</w:t>
      </w:r>
      <w:r>
        <w:rPr>
          <w:spacing w:val="-6"/>
          <w:sz w:val="18"/>
        </w:rPr>
        <w:t> </w:t>
      </w:r>
      <w:r>
        <w:rPr>
          <w:sz w:val="18"/>
        </w:rPr>
        <w:t>their</w:t>
      </w:r>
      <w:r>
        <w:rPr>
          <w:spacing w:val="-5"/>
          <w:sz w:val="18"/>
        </w:rPr>
        <w:t> </w:t>
      </w:r>
      <w:r>
        <w:rPr>
          <w:sz w:val="18"/>
        </w:rPr>
        <w:t>Family</w:t>
      </w:r>
      <w:r>
        <w:rPr>
          <w:spacing w:val="-5"/>
          <w:sz w:val="18"/>
        </w:rPr>
        <w:t> </w:t>
      </w:r>
      <w:r>
        <w:rPr>
          <w:sz w:val="18"/>
        </w:rPr>
        <w:t>Members.</w:t>
      </w:r>
      <w:r>
        <w:rPr>
          <w:spacing w:val="-6"/>
          <w:sz w:val="18"/>
        </w:rPr>
        <w:t> </w:t>
      </w:r>
      <w:r>
        <w:rPr>
          <w:sz w:val="18"/>
        </w:rPr>
        <w:t>Version</w:t>
      </w:r>
      <w:r>
        <w:rPr>
          <w:spacing w:val="-6"/>
          <w:sz w:val="18"/>
        </w:rPr>
        <w:t> </w:t>
      </w:r>
      <w:r>
        <w:rPr>
          <w:sz w:val="18"/>
        </w:rPr>
        <w:t>20.0’ (HO, 2023).</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pPr>
      <w:r>
        <w:rPr/>
        <w:t>change</w:t>
      </w:r>
      <w:r>
        <w:rPr>
          <w:spacing w:val="-5"/>
        </w:rPr>
        <w:t> </w:t>
      </w:r>
      <w:r>
        <w:rPr/>
        <w:t>might</w:t>
      </w:r>
      <w:r>
        <w:rPr>
          <w:spacing w:val="-5"/>
        </w:rPr>
        <w:t> </w:t>
      </w:r>
      <w:r>
        <w:rPr/>
        <w:t>lead</w:t>
      </w:r>
      <w:r>
        <w:rPr>
          <w:spacing w:val="-6"/>
        </w:rPr>
        <w:t> </w:t>
      </w:r>
      <w:r>
        <w:rPr/>
        <w:t>to</w:t>
      </w:r>
      <w:r>
        <w:rPr>
          <w:spacing w:val="-6"/>
        </w:rPr>
        <w:t> </w:t>
      </w:r>
      <w:r>
        <w:rPr/>
        <w:t>further</w:t>
      </w:r>
      <w:r>
        <w:rPr>
          <w:spacing w:val="-5"/>
        </w:rPr>
        <w:t> </w:t>
      </w:r>
      <w:r>
        <w:rPr/>
        <w:t>delays</w:t>
      </w:r>
      <w:r>
        <w:rPr>
          <w:spacing w:val="-6"/>
        </w:rPr>
        <w:t> </w:t>
      </w:r>
      <w:r>
        <w:rPr/>
        <w:t>in</w:t>
      </w:r>
      <w:r>
        <w:rPr>
          <w:spacing w:val="-6"/>
        </w:rPr>
        <w:t> </w:t>
      </w:r>
      <w:r>
        <w:rPr/>
        <w:t>issuing</w:t>
      </w:r>
      <w:r>
        <w:rPr>
          <w:spacing w:val="-5"/>
        </w:rPr>
        <w:t> </w:t>
      </w:r>
      <w:r>
        <w:rPr/>
        <w:t>a</w:t>
      </w:r>
      <w:r>
        <w:rPr>
          <w:spacing w:val="-6"/>
        </w:rPr>
        <w:t> </w:t>
      </w:r>
      <w:r>
        <w:rPr/>
        <w:t>Certificate</w:t>
      </w:r>
      <w:r>
        <w:rPr>
          <w:spacing w:val="-5"/>
        </w:rPr>
        <w:t> </w:t>
      </w:r>
      <w:r>
        <w:rPr/>
        <w:t>of</w:t>
      </w:r>
      <w:r>
        <w:rPr>
          <w:spacing w:val="-6"/>
        </w:rPr>
        <w:t> </w:t>
      </w:r>
      <w:r>
        <w:rPr/>
        <w:t>Application</w:t>
      </w:r>
      <w:r>
        <w:rPr>
          <w:spacing w:val="-6"/>
        </w:rPr>
        <w:t> </w:t>
      </w:r>
      <w:r>
        <w:rPr/>
        <w:t>and further inhibit access to healthcare for applicants.</w:t>
      </w:r>
      <w:r>
        <w:rPr>
          <w:vertAlign w:val="superscript"/>
        </w:rPr>
        <w:t>868</w:t>
      </w:r>
    </w:p>
    <w:p>
      <w:pPr>
        <w:pStyle w:val="ListParagraph"/>
        <w:numPr>
          <w:ilvl w:val="1"/>
          <w:numId w:val="13"/>
        </w:numPr>
        <w:tabs>
          <w:tab w:pos="1853" w:val="left" w:leader="none"/>
        </w:tabs>
        <w:spacing w:line="225" w:lineRule="auto" w:before="318" w:after="0"/>
        <w:ind w:left="1853" w:right="1385" w:hanging="720"/>
        <w:jc w:val="left"/>
        <w:rPr>
          <w:sz w:val="28"/>
        </w:rPr>
      </w:pPr>
      <w:r>
        <w:rPr>
          <w:sz w:val="28"/>
        </w:rPr>
        <w:t>From September 2023, people with pre-settled status will automatically have</w:t>
      </w:r>
      <w:r>
        <w:rPr>
          <w:spacing w:val="-9"/>
          <w:sz w:val="28"/>
        </w:rPr>
        <w:t> </w:t>
      </w:r>
      <w:r>
        <w:rPr>
          <w:sz w:val="28"/>
        </w:rPr>
        <w:t>their</w:t>
      </w:r>
      <w:r>
        <w:rPr>
          <w:spacing w:val="-9"/>
          <w:sz w:val="28"/>
        </w:rPr>
        <w:t> </w:t>
      </w:r>
      <w:r>
        <w:rPr>
          <w:sz w:val="28"/>
        </w:rPr>
        <w:t>status</w:t>
      </w:r>
      <w:r>
        <w:rPr>
          <w:spacing w:val="-10"/>
          <w:sz w:val="28"/>
        </w:rPr>
        <w:t> </w:t>
      </w:r>
      <w:r>
        <w:rPr>
          <w:sz w:val="28"/>
        </w:rPr>
        <w:t>extended</w:t>
      </w:r>
      <w:r>
        <w:rPr>
          <w:spacing w:val="-10"/>
          <w:sz w:val="28"/>
        </w:rPr>
        <w:t> </w:t>
      </w:r>
      <w:r>
        <w:rPr>
          <w:sz w:val="28"/>
        </w:rPr>
        <w:t>by</w:t>
      </w:r>
      <w:r>
        <w:rPr>
          <w:spacing w:val="-9"/>
          <w:sz w:val="28"/>
        </w:rPr>
        <w:t> </w:t>
      </w:r>
      <w:r>
        <w:rPr>
          <w:sz w:val="28"/>
        </w:rPr>
        <w:t>two</w:t>
      </w:r>
      <w:r>
        <w:rPr>
          <w:spacing w:val="-10"/>
          <w:sz w:val="28"/>
        </w:rPr>
        <w:t> </w:t>
      </w:r>
      <w:r>
        <w:rPr>
          <w:sz w:val="28"/>
        </w:rPr>
        <w:t>years</w:t>
      </w:r>
      <w:r>
        <w:rPr>
          <w:spacing w:val="-10"/>
          <w:sz w:val="28"/>
        </w:rPr>
        <w:t> </w:t>
      </w:r>
      <w:r>
        <w:rPr>
          <w:sz w:val="28"/>
        </w:rPr>
        <w:t>before</w:t>
      </w:r>
      <w:r>
        <w:rPr>
          <w:spacing w:val="-9"/>
          <w:sz w:val="28"/>
        </w:rPr>
        <w:t> </w:t>
      </w:r>
      <w:r>
        <w:rPr>
          <w:sz w:val="28"/>
        </w:rPr>
        <w:t>it</w:t>
      </w:r>
      <w:r>
        <w:rPr>
          <w:spacing w:val="-9"/>
          <w:sz w:val="28"/>
        </w:rPr>
        <w:t> </w:t>
      </w:r>
      <w:r>
        <w:rPr>
          <w:sz w:val="28"/>
        </w:rPr>
        <w:t>expires.</w:t>
      </w:r>
      <w:r>
        <w:rPr>
          <w:sz w:val="28"/>
          <w:vertAlign w:val="superscript"/>
        </w:rPr>
        <w:t>869</w:t>
      </w:r>
      <w:r>
        <w:rPr>
          <w:spacing w:val="-10"/>
          <w:sz w:val="28"/>
          <w:vertAlign w:val="baseline"/>
        </w:rPr>
        <w:t> </w:t>
      </w:r>
      <w:r>
        <w:rPr>
          <w:sz w:val="28"/>
          <w:vertAlign w:val="baseline"/>
        </w:rPr>
        <w:t>In</w:t>
      </w:r>
      <w:r>
        <w:rPr>
          <w:spacing w:val="-10"/>
          <w:sz w:val="28"/>
          <w:vertAlign w:val="baseline"/>
        </w:rPr>
        <w:t> </w:t>
      </w:r>
      <w:r>
        <w:rPr>
          <w:sz w:val="28"/>
          <w:vertAlign w:val="baseline"/>
        </w:rPr>
        <w:t>January</w:t>
      </w:r>
      <w:r>
        <w:rPr>
          <w:spacing w:val="-9"/>
          <w:sz w:val="28"/>
          <w:vertAlign w:val="baseline"/>
        </w:rPr>
        <w:t> </w:t>
      </w:r>
      <w:r>
        <w:rPr>
          <w:sz w:val="28"/>
          <w:vertAlign w:val="baseline"/>
        </w:rPr>
        <w:t>2024, the Independent Monitoring Authority raised concerns that despite the automatic renewal citizens may still face challenges in accessing services, due to the temporary nature of pre-settled status being reflected on official documents.</w:t>
      </w:r>
      <w:r>
        <w:rPr>
          <w:sz w:val="28"/>
          <w:vertAlign w:val="superscript"/>
        </w:rPr>
        <w:t>870</w:t>
      </w:r>
      <w:r>
        <w:rPr>
          <w:spacing w:val="40"/>
          <w:sz w:val="28"/>
          <w:vertAlign w:val="baseline"/>
        </w:rPr>
        <w:t> </w:t>
      </w:r>
      <w:r>
        <w:rPr>
          <w:sz w:val="28"/>
          <w:vertAlign w:val="baseline"/>
        </w:rPr>
        <w:t>Access to health care continues to be in the top three areas</w:t>
      </w:r>
    </w:p>
    <w:p>
      <w:pPr>
        <w:pStyle w:val="BodyText"/>
        <w:spacing w:line="318" w:lineRule="exact"/>
        <w:ind w:left="1853"/>
      </w:pPr>
      <w:r>
        <w:rPr/>
        <w:t>where</w:t>
      </w:r>
      <w:r>
        <w:rPr>
          <w:spacing w:val="-6"/>
        </w:rPr>
        <w:t> </w:t>
      </w:r>
      <w:r>
        <w:rPr/>
        <w:t>EU</w:t>
      </w:r>
      <w:r>
        <w:rPr>
          <w:spacing w:val="-6"/>
        </w:rPr>
        <w:t> </w:t>
      </w:r>
      <w:r>
        <w:rPr/>
        <w:t>citizens</w:t>
      </w:r>
      <w:r>
        <w:rPr>
          <w:spacing w:val="-7"/>
        </w:rPr>
        <w:t> </w:t>
      </w:r>
      <w:r>
        <w:rPr/>
        <w:t>experience</w:t>
      </w:r>
      <w:r>
        <w:rPr>
          <w:spacing w:val="-5"/>
        </w:rPr>
        <w:t> </w:t>
      </w:r>
      <w:r>
        <w:rPr/>
        <w:t>difficulties,</w:t>
      </w:r>
      <w:r>
        <w:rPr>
          <w:spacing w:val="-6"/>
        </w:rPr>
        <w:t> </w:t>
      </w:r>
      <w:r>
        <w:rPr/>
        <w:t>along</w:t>
      </w:r>
      <w:r>
        <w:rPr>
          <w:spacing w:val="-6"/>
        </w:rPr>
        <w:t> </w:t>
      </w:r>
      <w:r>
        <w:rPr/>
        <w:t>with</w:t>
      </w:r>
      <w:r>
        <w:rPr>
          <w:spacing w:val="-6"/>
        </w:rPr>
        <w:t> </w:t>
      </w:r>
      <w:r>
        <w:rPr/>
        <w:t>employment</w:t>
      </w:r>
      <w:r>
        <w:rPr>
          <w:spacing w:val="-6"/>
        </w:rPr>
        <w:t> </w:t>
      </w:r>
      <w:r>
        <w:rPr/>
        <w:t>and</w:t>
      </w:r>
      <w:r>
        <w:rPr>
          <w:spacing w:val="-7"/>
        </w:rPr>
        <w:t> </w:t>
      </w:r>
      <w:r>
        <w:rPr>
          <w:spacing w:val="-2"/>
        </w:rPr>
        <w:t>travel.</w:t>
      </w:r>
      <w:r>
        <w:rPr>
          <w:spacing w:val="-2"/>
          <w:vertAlign w:val="superscript"/>
        </w:rPr>
        <w:t>871</w:t>
      </w:r>
    </w:p>
    <w:p>
      <w:pPr>
        <w:pStyle w:val="ListParagraph"/>
        <w:numPr>
          <w:ilvl w:val="1"/>
          <w:numId w:val="13"/>
        </w:numPr>
        <w:tabs>
          <w:tab w:pos="1853" w:val="left" w:leader="none"/>
        </w:tabs>
        <w:spacing w:line="225" w:lineRule="auto" w:before="314" w:after="0"/>
        <w:ind w:left="1853" w:right="1351" w:hanging="720"/>
        <w:jc w:val="left"/>
        <w:rPr>
          <w:sz w:val="28"/>
        </w:rPr>
      </w:pPr>
      <w:r>
        <w:rPr>
          <w:sz w:val="28"/>
        </w:rPr>
        <w:t>In</w:t>
      </w:r>
      <w:r>
        <w:rPr>
          <w:spacing w:val="-6"/>
          <w:sz w:val="28"/>
        </w:rPr>
        <w:t> </w:t>
      </w:r>
      <w:r>
        <w:rPr>
          <w:sz w:val="28"/>
        </w:rPr>
        <w:t>September</w:t>
      </w:r>
      <w:r>
        <w:rPr>
          <w:spacing w:val="-5"/>
          <w:sz w:val="28"/>
        </w:rPr>
        <w:t> </w:t>
      </w:r>
      <w:r>
        <w:rPr>
          <w:sz w:val="28"/>
        </w:rPr>
        <w:t>2023,</w:t>
      </w:r>
      <w:r>
        <w:rPr>
          <w:spacing w:val="-5"/>
          <w:sz w:val="28"/>
        </w:rPr>
        <w:t> </w:t>
      </w:r>
      <w:r>
        <w:rPr>
          <w:sz w:val="28"/>
        </w:rPr>
        <w:t>the</w:t>
      </w:r>
      <w:r>
        <w:rPr>
          <w:spacing w:val="-5"/>
          <w:sz w:val="28"/>
        </w:rPr>
        <w:t> </w:t>
      </w:r>
      <w:r>
        <w:rPr>
          <w:sz w:val="28"/>
        </w:rPr>
        <w:t>NIHRC</w:t>
      </w:r>
      <w:r>
        <w:rPr>
          <w:spacing w:val="-6"/>
          <w:sz w:val="28"/>
        </w:rPr>
        <w:t> </w:t>
      </w:r>
      <w:r>
        <w:rPr>
          <w:sz w:val="28"/>
        </w:rPr>
        <w:t>published</w:t>
      </w:r>
      <w:r>
        <w:rPr>
          <w:spacing w:val="-6"/>
          <w:sz w:val="28"/>
        </w:rPr>
        <w:t> </w:t>
      </w:r>
      <w:r>
        <w:rPr>
          <w:sz w:val="28"/>
        </w:rPr>
        <w:t>a</w:t>
      </w:r>
      <w:r>
        <w:rPr>
          <w:spacing w:val="-6"/>
          <w:sz w:val="28"/>
        </w:rPr>
        <w:t> </w:t>
      </w:r>
      <w:r>
        <w:rPr>
          <w:sz w:val="28"/>
        </w:rPr>
        <w:t>briefing</w:t>
      </w:r>
      <w:r>
        <w:rPr>
          <w:spacing w:val="-5"/>
          <w:sz w:val="28"/>
        </w:rPr>
        <w:t> </w:t>
      </w:r>
      <w:r>
        <w:rPr>
          <w:sz w:val="28"/>
        </w:rPr>
        <w:t>which</w:t>
      </w:r>
      <w:r>
        <w:rPr>
          <w:spacing w:val="-6"/>
          <w:sz w:val="28"/>
        </w:rPr>
        <w:t> </w:t>
      </w:r>
      <w:r>
        <w:rPr>
          <w:sz w:val="28"/>
        </w:rPr>
        <w:t>sets</w:t>
      </w:r>
      <w:r>
        <w:rPr>
          <w:spacing w:val="-6"/>
          <w:sz w:val="28"/>
        </w:rPr>
        <w:t> </w:t>
      </w:r>
      <w:r>
        <w:rPr>
          <w:sz w:val="28"/>
        </w:rPr>
        <w:t>out</w:t>
      </w:r>
      <w:r>
        <w:rPr>
          <w:spacing w:val="-5"/>
          <w:sz w:val="28"/>
        </w:rPr>
        <w:t> </w:t>
      </w:r>
      <w:r>
        <w:rPr>
          <w:sz w:val="28"/>
        </w:rPr>
        <w:t>next</w:t>
      </w:r>
      <w:r>
        <w:rPr>
          <w:spacing w:val="-5"/>
          <w:sz w:val="28"/>
        </w:rPr>
        <w:t> </w:t>
      </w:r>
      <w:r>
        <w:rPr>
          <w:sz w:val="28"/>
        </w:rPr>
        <w:t>steps in ensuring that access to healthcare is protected in NI and on the island of Ireland after the UK’s withdrawal from the EU.</w:t>
      </w:r>
      <w:r>
        <w:rPr>
          <w:sz w:val="28"/>
          <w:vertAlign w:val="superscript"/>
        </w:rPr>
        <w:t>872</w:t>
      </w:r>
      <w:r>
        <w:rPr>
          <w:spacing w:val="40"/>
          <w:sz w:val="28"/>
          <w:vertAlign w:val="baseline"/>
        </w:rPr>
        <w:t> </w:t>
      </w:r>
      <w:r>
        <w:rPr>
          <w:sz w:val="28"/>
          <w:vertAlign w:val="baseline"/>
        </w:rPr>
        <w:t>The NIHRC made several recommendations, including on</w:t>
      </w:r>
      <w:r>
        <w:rPr>
          <w:spacing w:val="-1"/>
          <w:sz w:val="28"/>
          <w:vertAlign w:val="baseline"/>
        </w:rPr>
        <w:t> </w:t>
      </w:r>
      <w:r>
        <w:rPr>
          <w:sz w:val="28"/>
          <w:vertAlign w:val="baseline"/>
        </w:rPr>
        <w:t>clarification</w:t>
      </w:r>
      <w:r>
        <w:rPr>
          <w:spacing w:val="-1"/>
          <w:sz w:val="28"/>
          <w:vertAlign w:val="baseline"/>
        </w:rPr>
        <w:t> </w:t>
      </w:r>
      <w:r>
        <w:rPr>
          <w:sz w:val="28"/>
          <w:vertAlign w:val="baseline"/>
        </w:rPr>
        <w:t>of</w:t>
      </w:r>
      <w:r>
        <w:rPr>
          <w:spacing w:val="-1"/>
          <w:sz w:val="28"/>
          <w:vertAlign w:val="baseline"/>
        </w:rPr>
        <w:t> </w:t>
      </w:r>
      <w:r>
        <w:rPr>
          <w:sz w:val="28"/>
          <w:vertAlign w:val="baseline"/>
        </w:rPr>
        <w:t>the rights</w:t>
      </w:r>
      <w:r>
        <w:rPr>
          <w:spacing w:val="-1"/>
          <w:sz w:val="28"/>
          <w:vertAlign w:val="baseline"/>
        </w:rPr>
        <w:t> </w:t>
      </w:r>
      <w:r>
        <w:rPr>
          <w:sz w:val="28"/>
          <w:vertAlign w:val="baseline"/>
        </w:rPr>
        <w:t>of</w:t>
      </w:r>
      <w:r>
        <w:rPr>
          <w:spacing w:val="-1"/>
          <w:sz w:val="28"/>
          <w:vertAlign w:val="baseline"/>
        </w:rPr>
        <w:t> </w:t>
      </w:r>
      <w:r>
        <w:rPr>
          <w:sz w:val="28"/>
          <w:vertAlign w:val="baseline"/>
        </w:rPr>
        <w:t>frontier workers and existing rules on access to cross-border and all-island health services</w:t>
      </w:r>
    </w:p>
    <w:p>
      <w:pPr>
        <w:pStyle w:val="BodyText"/>
        <w:spacing w:line="225" w:lineRule="auto"/>
        <w:ind w:left="1853" w:right="1171"/>
      </w:pPr>
      <w:r>
        <w:rPr/>
        <w:t>for EU and other migrant people living in NI and ensuring there are no immigration</w:t>
      </w:r>
      <w:r>
        <w:rPr>
          <w:spacing w:val="-7"/>
        </w:rPr>
        <w:t> </w:t>
      </w:r>
      <w:r>
        <w:rPr/>
        <w:t>or</w:t>
      </w:r>
      <w:r>
        <w:rPr>
          <w:spacing w:val="-6"/>
        </w:rPr>
        <w:t> </w:t>
      </w:r>
      <w:r>
        <w:rPr/>
        <w:t>visa</w:t>
      </w:r>
      <w:r>
        <w:rPr>
          <w:spacing w:val="-7"/>
        </w:rPr>
        <w:t> </w:t>
      </w:r>
      <w:r>
        <w:rPr/>
        <w:t>recognition</w:t>
      </w:r>
      <w:r>
        <w:rPr>
          <w:spacing w:val="-7"/>
        </w:rPr>
        <w:t> </w:t>
      </w:r>
      <w:r>
        <w:rPr/>
        <w:t>barriers</w:t>
      </w:r>
      <w:r>
        <w:rPr>
          <w:spacing w:val="-7"/>
        </w:rPr>
        <w:t> </w:t>
      </w:r>
      <w:r>
        <w:rPr/>
        <w:t>impeding</w:t>
      </w:r>
      <w:r>
        <w:rPr>
          <w:spacing w:val="-6"/>
        </w:rPr>
        <w:t> </w:t>
      </w:r>
      <w:r>
        <w:rPr/>
        <w:t>access</w:t>
      </w:r>
      <w:r>
        <w:rPr>
          <w:spacing w:val="-7"/>
        </w:rPr>
        <w:t> </w:t>
      </w:r>
      <w:r>
        <w:rPr/>
        <w:t>to</w:t>
      </w:r>
      <w:r>
        <w:rPr>
          <w:spacing w:val="-7"/>
        </w:rPr>
        <w:t> </w:t>
      </w:r>
      <w:r>
        <w:rPr/>
        <w:t>these</w:t>
      </w:r>
      <w:r>
        <w:rPr>
          <w:spacing w:val="-6"/>
        </w:rPr>
        <w:t> </w:t>
      </w:r>
      <w:r>
        <w:rPr/>
        <w:t>services</w:t>
      </w:r>
      <w:r>
        <w:rPr>
          <w:spacing w:val="-7"/>
        </w:rPr>
        <w:t> </w:t>
      </w:r>
      <w:r>
        <w:rPr/>
        <w:t>for refugees, people seeking asylum, and migrant people.</w:t>
      </w:r>
      <w:r>
        <w:rPr>
          <w:vertAlign w:val="superscript"/>
        </w:rPr>
        <w:t>873</w:t>
      </w:r>
    </w:p>
    <w:p>
      <w:pPr>
        <w:pStyle w:val="ListParagraph"/>
        <w:numPr>
          <w:ilvl w:val="1"/>
          <w:numId w:val="13"/>
        </w:numPr>
        <w:tabs>
          <w:tab w:pos="1853" w:val="left" w:leader="none"/>
        </w:tabs>
        <w:spacing w:line="225" w:lineRule="auto" w:before="310" w:after="0"/>
        <w:ind w:left="1853" w:right="1173" w:hanging="720"/>
        <w:jc w:val="left"/>
        <w:rPr>
          <w:sz w:val="28"/>
        </w:rPr>
      </w:pPr>
      <w:r>
        <w:rPr>
          <w:sz w:val="28"/>
        </w:rPr>
        <w:t>The</w:t>
      </w:r>
      <w:r>
        <w:rPr>
          <w:spacing w:val="-6"/>
          <w:sz w:val="28"/>
        </w:rPr>
        <w:t> </w:t>
      </w:r>
      <w:r>
        <w:rPr>
          <w:sz w:val="28"/>
        </w:rPr>
        <w:t>ECNI’s</w:t>
      </w:r>
      <w:r>
        <w:rPr>
          <w:spacing w:val="-7"/>
          <w:sz w:val="28"/>
        </w:rPr>
        <w:t> </w:t>
      </w:r>
      <w:r>
        <w:rPr>
          <w:sz w:val="28"/>
        </w:rPr>
        <w:t>policy</w:t>
      </w:r>
      <w:r>
        <w:rPr>
          <w:spacing w:val="-6"/>
          <w:sz w:val="28"/>
        </w:rPr>
        <w:t> </w:t>
      </w:r>
      <w:r>
        <w:rPr>
          <w:sz w:val="28"/>
        </w:rPr>
        <w:t>recommendations</w:t>
      </w:r>
      <w:r>
        <w:rPr>
          <w:spacing w:val="-7"/>
          <w:sz w:val="28"/>
        </w:rPr>
        <w:t> </w:t>
      </w:r>
      <w:r>
        <w:rPr>
          <w:sz w:val="28"/>
        </w:rPr>
        <w:t>on</w:t>
      </w:r>
      <w:r>
        <w:rPr>
          <w:spacing w:val="-7"/>
          <w:sz w:val="28"/>
        </w:rPr>
        <w:t> </w:t>
      </w:r>
      <w:r>
        <w:rPr>
          <w:sz w:val="28"/>
        </w:rPr>
        <w:t>the</w:t>
      </w:r>
      <w:r>
        <w:rPr>
          <w:spacing w:val="-6"/>
          <w:sz w:val="28"/>
        </w:rPr>
        <w:t> </w:t>
      </w:r>
      <w:r>
        <w:rPr>
          <w:sz w:val="28"/>
        </w:rPr>
        <w:t>impact</w:t>
      </w:r>
      <w:r>
        <w:rPr>
          <w:spacing w:val="-6"/>
          <w:sz w:val="28"/>
        </w:rPr>
        <w:t> </w:t>
      </w:r>
      <w:r>
        <w:rPr>
          <w:sz w:val="28"/>
        </w:rPr>
        <w:t>of</w:t>
      </w:r>
      <w:r>
        <w:rPr>
          <w:spacing w:val="-7"/>
          <w:sz w:val="28"/>
        </w:rPr>
        <w:t> </w:t>
      </w:r>
      <w:r>
        <w:rPr>
          <w:sz w:val="28"/>
        </w:rPr>
        <w:t>Brexit</w:t>
      </w:r>
      <w:r>
        <w:rPr>
          <w:spacing w:val="-6"/>
          <w:sz w:val="28"/>
        </w:rPr>
        <w:t> </w:t>
      </w:r>
      <w:r>
        <w:rPr>
          <w:sz w:val="28"/>
        </w:rPr>
        <w:t>on</w:t>
      </w:r>
      <w:r>
        <w:rPr>
          <w:spacing w:val="-7"/>
          <w:sz w:val="28"/>
        </w:rPr>
        <w:t> </w:t>
      </w:r>
      <w:r>
        <w:rPr>
          <w:sz w:val="28"/>
        </w:rPr>
        <w:t>minority</w:t>
      </w:r>
      <w:r>
        <w:rPr>
          <w:spacing w:val="-6"/>
          <w:sz w:val="28"/>
        </w:rPr>
        <w:t> </w:t>
      </w:r>
      <w:r>
        <w:rPr>
          <w:sz w:val="28"/>
        </w:rPr>
        <w:t>ethnic and migrant people has also noted concerns raised with the Commissions relating to accessing cross-border healthcare, including those raised by non- EU migrants.</w:t>
      </w:r>
      <w:r>
        <w:rPr>
          <w:sz w:val="28"/>
          <w:vertAlign w:val="superscript"/>
        </w:rPr>
        <w:t>874</w:t>
      </w:r>
      <w:r>
        <w:rPr>
          <w:sz w:val="28"/>
          <w:vertAlign w:val="baseline"/>
        </w:rPr>
        <w:t> The ECNI has also called for clarity on rules and entitlements relating to the access of EU and non-EU nationals living in NI to cross-border and all-island health care services and has highlighted the need to address barriers that have arisen due Brexit. </w:t>
      </w:r>
      <w:r>
        <w:rPr>
          <w:sz w:val="28"/>
          <w:vertAlign w:val="superscript"/>
        </w:rPr>
        <w:t>875</w:t>
      </w:r>
    </w:p>
    <w:p>
      <w:pPr>
        <w:pStyle w:val="ListParagraph"/>
        <w:numPr>
          <w:ilvl w:val="1"/>
          <w:numId w:val="13"/>
        </w:numPr>
        <w:tabs>
          <w:tab w:pos="1853" w:val="left" w:leader="none"/>
        </w:tabs>
        <w:spacing w:line="225" w:lineRule="auto" w:before="311" w:after="0"/>
        <w:ind w:left="1853" w:right="1150" w:hanging="720"/>
        <w:jc w:val="left"/>
        <w:rPr>
          <w:sz w:val="28"/>
        </w:rPr>
      </w:pPr>
      <w:r>
        <w:rPr>
          <w:sz w:val="28"/>
        </w:rPr>
        <w:t>In</w:t>
      </w:r>
      <w:r>
        <w:rPr>
          <w:spacing w:val="-6"/>
          <w:sz w:val="28"/>
        </w:rPr>
        <w:t> </w:t>
      </w:r>
      <w:r>
        <w:rPr>
          <w:sz w:val="28"/>
        </w:rPr>
        <w:t>November</w:t>
      </w:r>
      <w:r>
        <w:rPr>
          <w:spacing w:val="-5"/>
          <w:sz w:val="28"/>
        </w:rPr>
        <w:t> </w:t>
      </w:r>
      <w:r>
        <w:rPr>
          <w:sz w:val="28"/>
        </w:rPr>
        <w:t>2023,</w:t>
      </w:r>
      <w:r>
        <w:rPr>
          <w:spacing w:val="-5"/>
          <w:sz w:val="28"/>
        </w:rPr>
        <w:t> </w:t>
      </w:r>
      <w:r>
        <w:rPr>
          <w:sz w:val="28"/>
        </w:rPr>
        <w:t>the</w:t>
      </w:r>
      <w:r>
        <w:rPr>
          <w:spacing w:val="-5"/>
          <w:sz w:val="28"/>
        </w:rPr>
        <w:t> </w:t>
      </w:r>
      <w:r>
        <w:rPr>
          <w:sz w:val="28"/>
        </w:rPr>
        <w:t>NIHRC</w:t>
      </w:r>
      <w:r>
        <w:rPr>
          <w:spacing w:val="-6"/>
          <w:sz w:val="28"/>
        </w:rPr>
        <w:t> </w:t>
      </w:r>
      <w:r>
        <w:rPr>
          <w:sz w:val="28"/>
        </w:rPr>
        <w:t>published</w:t>
      </w:r>
      <w:r>
        <w:rPr>
          <w:spacing w:val="-6"/>
          <w:sz w:val="28"/>
        </w:rPr>
        <w:t> </w:t>
      </w:r>
      <w:r>
        <w:rPr>
          <w:sz w:val="28"/>
        </w:rPr>
        <w:t>research</w:t>
      </w:r>
      <w:r>
        <w:rPr>
          <w:spacing w:val="-6"/>
          <w:sz w:val="28"/>
        </w:rPr>
        <w:t> </w:t>
      </w:r>
      <w:r>
        <w:rPr>
          <w:sz w:val="28"/>
        </w:rPr>
        <w:t>on</w:t>
      </w:r>
      <w:r>
        <w:rPr>
          <w:spacing w:val="-6"/>
          <w:sz w:val="28"/>
        </w:rPr>
        <w:t> </w:t>
      </w:r>
      <w:r>
        <w:rPr>
          <w:sz w:val="28"/>
        </w:rPr>
        <w:t>the</w:t>
      </w:r>
      <w:r>
        <w:rPr>
          <w:spacing w:val="-5"/>
          <w:sz w:val="28"/>
        </w:rPr>
        <w:t> </w:t>
      </w:r>
      <w:r>
        <w:rPr>
          <w:sz w:val="28"/>
        </w:rPr>
        <w:t>importance</w:t>
      </w:r>
      <w:r>
        <w:rPr>
          <w:spacing w:val="-5"/>
          <w:sz w:val="28"/>
        </w:rPr>
        <w:t> </w:t>
      </w:r>
      <w:r>
        <w:rPr>
          <w:sz w:val="28"/>
        </w:rPr>
        <w:t>of</w:t>
      </w:r>
      <w:r>
        <w:rPr>
          <w:spacing w:val="-6"/>
          <w:sz w:val="28"/>
        </w:rPr>
        <w:t> </w:t>
      </w:r>
      <w:r>
        <w:rPr>
          <w:sz w:val="28"/>
        </w:rPr>
        <w:t>Article 2 Windsor Framework for the rights of refugees and asylum seekers in NI.</w:t>
      </w:r>
      <w:r>
        <w:rPr>
          <w:sz w:val="28"/>
          <w:vertAlign w:val="superscript"/>
        </w:rPr>
        <w:t>876</w:t>
      </w:r>
      <w:r>
        <w:rPr>
          <w:sz w:val="28"/>
          <w:vertAlign w:val="baseline"/>
        </w:rPr>
        <w:t> The research concluded that certain EU Directives, such as the EU Reception</w:t>
      </w:r>
    </w:p>
    <w:p>
      <w:pPr>
        <w:pStyle w:val="BodyText"/>
        <w:spacing w:before="11"/>
        <w:rPr>
          <w:sz w:val="18"/>
        </w:rPr>
      </w:pPr>
      <w:r>
        <w:rPr/>
        <mc:AlternateContent>
          <mc:Choice Requires="wps">
            <w:drawing>
              <wp:anchor distT="0" distB="0" distL="0" distR="0" allowOverlap="1" layoutInCell="1" locked="0" behindDoc="1" simplePos="0" relativeHeight="487729152">
                <wp:simplePos x="0" y="0"/>
                <wp:positionH relativeFrom="page">
                  <wp:posOffset>719996</wp:posOffset>
                </wp:positionH>
                <wp:positionV relativeFrom="paragraph">
                  <wp:posOffset>161768</wp:posOffset>
                </wp:positionV>
                <wp:extent cx="6120130" cy="1270"/>
                <wp:effectExtent l="0" t="0" r="0" b="0"/>
                <wp:wrapTopAndBottom/>
                <wp:docPr id="652" name="Graphic 652"/>
                <wp:cNvGraphicFramePr>
                  <a:graphicFrameLocks/>
                </wp:cNvGraphicFramePr>
                <a:graphic>
                  <a:graphicData uri="http://schemas.microsoft.com/office/word/2010/wordprocessingShape">
                    <wps:wsp>
                      <wps:cNvPr id="652" name="Graphic 652"/>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2.737655pt;width:481.9pt;height:.1pt;mso-position-horizontal-relative:page;mso-position-vertical-relative:paragraph;z-index:-15587328;mso-wrap-distance-left:0;mso-wrap-distance-right:0" id="docshape596" coordorigin="1134,255" coordsize="9638,0" path="m10772,255l1134,255e" filled="false" stroked="true" strokeweight="1pt" strokecolor="#393b80">
                <v:path arrowok="t"/>
                <v:stroke dashstyle="solid"/>
                <w10:wrap type="topAndBottom"/>
              </v:shape>
            </w:pict>
          </mc:Fallback>
        </mc:AlternateContent>
      </w:r>
    </w:p>
    <w:p>
      <w:pPr>
        <w:pStyle w:val="ListParagraph"/>
        <w:numPr>
          <w:ilvl w:val="0"/>
          <w:numId w:val="16"/>
        </w:numPr>
        <w:tabs>
          <w:tab w:pos="1853" w:val="left" w:leader="none"/>
        </w:tabs>
        <w:spacing w:line="218" w:lineRule="exact" w:before="114" w:after="0"/>
        <w:ind w:left="1853" w:right="0" w:hanging="720"/>
        <w:jc w:val="left"/>
        <w:rPr>
          <w:sz w:val="18"/>
        </w:rPr>
      </w:pPr>
      <w:r>
        <w:rPr>
          <w:sz w:val="18"/>
        </w:rPr>
        <w:t>Engagement</w:t>
      </w:r>
      <w:r>
        <w:rPr>
          <w:spacing w:val="-5"/>
          <w:sz w:val="18"/>
        </w:rPr>
        <w:t> </w:t>
      </w:r>
      <w:r>
        <w:rPr>
          <w:sz w:val="18"/>
        </w:rPr>
        <w:t>meeting</w:t>
      </w:r>
      <w:r>
        <w:rPr>
          <w:spacing w:val="-4"/>
          <w:sz w:val="18"/>
        </w:rPr>
        <w:t> </w:t>
      </w:r>
      <w:r>
        <w:rPr>
          <w:sz w:val="18"/>
        </w:rPr>
        <w:t>with</w:t>
      </w:r>
      <w:r>
        <w:rPr>
          <w:spacing w:val="-5"/>
          <w:sz w:val="18"/>
        </w:rPr>
        <w:t> </w:t>
      </w:r>
      <w:r>
        <w:rPr>
          <w:sz w:val="18"/>
        </w:rPr>
        <w:t>the</w:t>
      </w:r>
      <w:r>
        <w:rPr>
          <w:spacing w:val="-5"/>
          <w:sz w:val="18"/>
        </w:rPr>
        <w:t> </w:t>
      </w:r>
      <w:r>
        <w:rPr>
          <w:sz w:val="18"/>
        </w:rPr>
        <w:t>Home</w:t>
      </w:r>
      <w:r>
        <w:rPr>
          <w:spacing w:val="-4"/>
          <w:sz w:val="18"/>
        </w:rPr>
        <w:t> </w:t>
      </w:r>
      <w:r>
        <w:rPr>
          <w:sz w:val="18"/>
        </w:rPr>
        <w:t>Office</w:t>
      </w:r>
      <w:r>
        <w:rPr>
          <w:spacing w:val="-4"/>
          <w:sz w:val="18"/>
        </w:rPr>
        <w:t> </w:t>
      </w:r>
      <w:r>
        <w:rPr>
          <w:sz w:val="18"/>
        </w:rPr>
        <w:t>Future</w:t>
      </w:r>
      <w:r>
        <w:rPr>
          <w:spacing w:val="-5"/>
          <w:sz w:val="18"/>
        </w:rPr>
        <w:t> </w:t>
      </w:r>
      <w:r>
        <w:rPr>
          <w:sz w:val="18"/>
        </w:rPr>
        <w:t>Borders</w:t>
      </w:r>
      <w:r>
        <w:rPr>
          <w:spacing w:val="-5"/>
          <w:sz w:val="18"/>
        </w:rPr>
        <w:t> </w:t>
      </w:r>
      <w:r>
        <w:rPr>
          <w:sz w:val="18"/>
        </w:rPr>
        <w:t>and</w:t>
      </w:r>
      <w:r>
        <w:rPr>
          <w:spacing w:val="-5"/>
          <w:sz w:val="18"/>
        </w:rPr>
        <w:t> </w:t>
      </w:r>
      <w:r>
        <w:rPr>
          <w:sz w:val="18"/>
        </w:rPr>
        <w:t>Immigration</w:t>
      </w:r>
      <w:r>
        <w:rPr>
          <w:spacing w:val="-5"/>
          <w:sz w:val="18"/>
        </w:rPr>
        <w:t> </w:t>
      </w:r>
      <w:r>
        <w:rPr>
          <w:sz w:val="18"/>
        </w:rPr>
        <w:t>System</w:t>
      </w:r>
      <w:r>
        <w:rPr>
          <w:spacing w:val="-5"/>
          <w:sz w:val="18"/>
        </w:rPr>
        <w:t> </w:t>
      </w:r>
      <w:r>
        <w:rPr>
          <w:sz w:val="18"/>
        </w:rPr>
        <w:t>Advisory</w:t>
      </w:r>
      <w:r>
        <w:rPr>
          <w:spacing w:val="-4"/>
          <w:sz w:val="18"/>
        </w:rPr>
        <w:t> </w:t>
      </w:r>
      <w:r>
        <w:rPr>
          <w:sz w:val="18"/>
        </w:rPr>
        <w:t>Group,</w:t>
      </w:r>
      <w:r>
        <w:rPr>
          <w:spacing w:val="-4"/>
          <w:sz w:val="18"/>
        </w:rPr>
        <w:t> </w:t>
      </w:r>
      <w:r>
        <w:rPr>
          <w:sz w:val="18"/>
        </w:rPr>
        <w:t>18</w:t>
      </w:r>
      <w:r>
        <w:rPr>
          <w:spacing w:val="-5"/>
          <w:sz w:val="18"/>
        </w:rPr>
        <w:t> </w:t>
      </w:r>
      <w:r>
        <w:rPr>
          <w:sz w:val="18"/>
        </w:rPr>
        <w:t>July</w:t>
      </w:r>
      <w:r>
        <w:rPr>
          <w:spacing w:val="-4"/>
          <w:sz w:val="18"/>
        </w:rPr>
        <w:t> </w:t>
      </w:r>
      <w:r>
        <w:rPr>
          <w:spacing w:val="-2"/>
          <w:sz w:val="18"/>
        </w:rPr>
        <w:t>2023.</w:t>
      </w:r>
    </w:p>
    <w:p>
      <w:pPr>
        <w:pStyle w:val="ListParagraph"/>
        <w:numPr>
          <w:ilvl w:val="0"/>
          <w:numId w:val="16"/>
        </w:numPr>
        <w:tabs>
          <w:tab w:pos="1853" w:val="left" w:leader="none"/>
        </w:tabs>
        <w:spacing w:line="216" w:lineRule="exact" w:before="0" w:after="0"/>
        <w:ind w:left="1853" w:right="0" w:hanging="720"/>
        <w:jc w:val="left"/>
        <w:rPr>
          <w:sz w:val="18"/>
        </w:rPr>
      </w:pPr>
      <w:r>
        <w:rPr>
          <w:sz w:val="18"/>
        </w:rPr>
        <w:t>Home</w:t>
      </w:r>
      <w:r>
        <w:rPr>
          <w:spacing w:val="-8"/>
          <w:sz w:val="18"/>
        </w:rPr>
        <w:t> </w:t>
      </w:r>
      <w:r>
        <w:rPr>
          <w:sz w:val="18"/>
        </w:rPr>
        <w:t>Office,</w:t>
      </w:r>
      <w:r>
        <w:rPr>
          <w:spacing w:val="-7"/>
          <w:sz w:val="18"/>
        </w:rPr>
        <w:t> </w:t>
      </w:r>
      <w:r>
        <w:rPr>
          <w:sz w:val="18"/>
        </w:rPr>
        <w:t>‘Press</w:t>
      </w:r>
      <w:r>
        <w:rPr>
          <w:spacing w:val="-8"/>
          <w:sz w:val="18"/>
        </w:rPr>
        <w:t> </w:t>
      </w:r>
      <w:r>
        <w:rPr>
          <w:sz w:val="18"/>
        </w:rPr>
        <w:t>Release:</w:t>
      </w:r>
      <w:r>
        <w:rPr>
          <w:spacing w:val="-7"/>
          <w:sz w:val="18"/>
        </w:rPr>
        <w:t> </w:t>
      </w:r>
      <w:r>
        <w:rPr>
          <w:sz w:val="18"/>
        </w:rPr>
        <w:t>EU</w:t>
      </w:r>
      <w:r>
        <w:rPr>
          <w:spacing w:val="-8"/>
          <w:sz w:val="18"/>
        </w:rPr>
        <w:t> </w:t>
      </w:r>
      <w:r>
        <w:rPr>
          <w:sz w:val="18"/>
        </w:rPr>
        <w:t>Settlement</w:t>
      </w:r>
      <w:r>
        <w:rPr>
          <w:spacing w:val="-7"/>
          <w:sz w:val="18"/>
        </w:rPr>
        <w:t> </w:t>
      </w:r>
      <w:r>
        <w:rPr>
          <w:sz w:val="18"/>
        </w:rPr>
        <w:t>Scheme</w:t>
      </w:r>
      <w:r>
        <w:rPr>
          <w:spacing w:val="-7"/>
          <w:sz w:val="18"/>
        </w:rPr>
        <w:t> </w:t>
      </w:r>
      <w:r>
        <w:rPr>
          <w:sz w:val="18"/>
        </w:rPr>
        <w:t>enhancements</w:t>
      </w:r>
      <w:r>
        <w:rPr>
          <w:spacing w:val="-8"/>
          <w:sz w:val="18"/>
        </w:rPr>
        <w:t> </w:t>
      </w:r>
      <w:r>
        <w:rPr>
          <w:sz w:val="18"/>
        </w:rPr>
        <w:t>confirmed’,</w:t>
      </w:r>
      <w:r>
        <w:rPr>
          <w:spacing w:val="-7"/>
          <w:sz w:val="18"/>
        </w:rPr>
        <w:t> </w:t>
      </w:r>
      <w:r>
        <w:rPr>
          <w:sz w:val="18"/>
        </w:rPr>
        <w:t>17</w:t>
      </w:r>
      <w:r>
        <w:rPr>
          <w:spacing w:val="-8"/>
          <w:sz w:val="18"/>
        </w:rPr>
        <w:t> </w:t>
      </w:r>
      <w:r>
        <w:rPr>
          <w:sz w:val="18"/>
        </w:rPr>
        <w:t>July</w:t>
      </w:r>
      <w:r>
        <w:rPr>
          <w:spacing w:val="-7"/>
          <w:sz w:val="18"/>
        </w:rPr>
        <w:t> </w:t>
      </w:r>
      <w:r>
        <w:rPr>
          <w:spacing w:val="-2"/>
          <w:sz w:val="18"/>
        </w:rPr>
        <w:t>2023.</w:t>
      </w:r>
    </w:p>
    <w:p>
      <w:pPr>
        <w:pStyle w:val="ListParagraph"/>
        <w:numPr>
          <w:ilvl w:val="0"/>
          <w:numId w:val="16"/>
        </w:numPr>
        <w:tabs>
          <w:tab w:pos="1853" w:val="left" w:leader="none"/>
        </w:tabs>
        <w:spacing w:line="235" w:lineRule="auto" w:before="2" w:after="0"/>
        <w:ind w:left="1853" w:right="2031" w:hanging="720"/>
        <w:jc w:val="left"/>
        <w:rPr>
          <w:sz w:val="18"/>
        </w:rPr>
      </w:pPr>
      <w:r>
        <w:rPr>
          <w:sz w:val="18"/>
        </w:rPr>
        <w:t>Independent</w:t>
      </w:r>
      <w:r>
        <w:rPr>
          <w:spacing w:val="-8"/>
          <w:sz w:val="18"/>
        </w:rPr>
        <w:t> </w:t>
      </w:r>
      <w:r>
        <w:rPr>
          <w:sz w:val="18"/>
        </w:rPr>
        <w:t>Monitoring</w:t>
      </w:r>
      <w:r>
        <w:rPr>
          <w:spacing w:val="-8"/>
          <w:sz w:val="18"/>
        </w:rPr>
        <w:t> </w:t>
      </w:r>
      <w:r>
        <w:rPr>
          <w:sz w:val="18"/>
        </w:rPr>
        <w:t>Authority,</w:t>
      </w:r>
      <w:r>
        <w:rPr>
          <w:spacing w:val="-8"/>
          <w:sz w:val="18"/>
        </w:rPr>
        <w:t> </w:t>
      </w:r>
      <w:r>
        <w:rPr>
          <w:sz w:val="18"/>
        </w:rPr>
        <w:t>‘Press</w:t>
      </w:r>
      <w:r>
        <w:rPr>
          <w:spacing w:val="-9"/>
          <w:sz w:val="18"/>
        </w:rPr>
        <w:t> </w:t>
      </w:r>
      <w:r>
        <w:rPr>
          <w:sz w:val="18"/>
        </w:rPr>
        <w:t>Release:</w:t>
      </w:r>
      <w:r>
        <w:rPr>
          <w:spacing w:val="-8"/>
          <w:sz w:val="18"/>
        </w:rPr>
        <w:t> </w:t>
      </w:r>
      <w:r>
        <w:rPr>
          <w:sz w:val="18"/>
        </w:rPr>
        <w:t>Citizens</w:t>
      </w:r>
      <w:r>
        <w:rPr>
          <w:spacing w:val="-9"/>
          <w:sz w:val="18"/>
        </w:rPr>
        <w:t> </w:t>
      </w:r>
      <w:r>
        <w:rPr>
          <w:sz w:val="18"/>
        </w:rPr>
        <w:t>Rights</w:t>
      </w:r>
      <w:r>
        <w:rPr>
          <w:spacing w:val="-9"/>
          <w:sz w:val="18"/>
        </w:rPr>
        <w:t> </w:t>
      </w:r>
      <w:r>
        <w:rPr>
          <w:sz w:val="18"/>
        </w:rPr>
        <w:t>Watchdog</w:t>
      </w:r>
      <w:r>
        <w:rPr>
          <w:spacing w:val="-8"/>
          <w:sz w:val="18"/>
        </w:rPr>
        <w:t> </w:t>
      </w:r>
      <w:r>
        <w:rPr>
          <w:sz w:val="18"/>
        </w:rPr>
        <w:t>Gives</w:t>
      </w:r>
      <w:r>
        <w:rPr>
          <w:spacing w:val="-9"/>
          <w:sz w:val="18"/>
        </w:rPr>
        <w:t> </w:t>
      </w:r>
      <w:r>
        <w:rPr>
          <w:sz w:val="18"/>
        </w:rPr>
        <w:t>Update</w:t>
      </w:r>
      <w:r>
        <w:rPr>
          <w:spacing w:val="-8"/>
          <w:sz w:val="18"/>
        </w:rPr>
        <w:t> </w:t>
      </w:r>
      <w:r>
        <w:rPr>
          <w:sz w:val="18"/>
        </w:rPr>
        <w:t>on</w:t>
      </w:r>
      <w:r>
        <w:rPr>
          <w:spacing w:val="-9"/>
          <w:sz w:val="18"/>
        </w:rPr>
        <w:t> </w:t>
      </w:r>
      <w:r>
        <w:rPr>
          <w:sz w:val="18"/>
        </w:rPr>
        <w:t>Judicial</w:t>
      </w:r>
      <w:r>
        <w:rPr>
          <w:spacing w:val="-9"/>
          <w:sz w:val="18"/>
        </w:rPr>
        <w:t> </w:t>
      </w:r>
      <w:r>
        <w:rPr>
          <w:sz w:val="18"/>
        </w:rPr>
        <w:t>Review’, 17 January 2024.</w:t>
      </w:r>
    </w:p>
    <w:p>
      <w:pPr>
        <w:pStyle w:val="ListParagraph"/>
        <w:numPr>
          <w:ilvl w:val="0"/>
          <w:numId w:val="16"/>
        </w:numPr>
        <w:tabs>
          <w:tab w:pos="1853" w:val="left" w:leader="none"/>
        </w:tabs>
        <w:spacing w:line="235" w:lineRule="auto" w:before="1" w:after="0"/>
        <w:ind w:left="1853" w:right="1176" w:hanging="720"/>
        <w:jc w:val="left"/>
        <w:rPr>
          <w:sz w:val="18"/>
        </w:rPr>
      </w:pPr>
      <w:r>
        <w:rPr>
          <w:sz w:val="18"/>
        </w:rPr>
        <w:t>Independent</w:t>
      </w:r>
      <w:r>
        <w:rPr>
          <w:spacing w:val="-9"/>
          <w:sz w:val="18"/>
        </w:rPr>
        <w:t> </w:t>
      </w:r>
      <w:r>
        <w:rPr>
          <w:sz w:val="18"/>
        </w:rPr>
        <w:t>Monitoring</w:t>
      </w:r>
      <w:r>
        <w:rPr>
          <w:spacing w:val="-9"/>
          <w:sz w:val="18"/>
        </w:rPr>
        <w:t> </w:t>
      </w:r>
      <w:r>
        <w:rPr>
          <w:sz w:val="18"/>
        </w:rPr>
        <w:t>Authority,</w:t>
      </w:r>
      <w:r>
        <w:rPr>
          <w:spacing w:val="-9"/>
          <w:sz w:val="18"/>
        </w:rPr>
        <w:t> </w:t>
      </w:r>
      <w:r>
        <w:rPr>
          <w:sz w:val="18"/>
        </w:rPr>
        <w:t>‘IMA</w:t>
      </w:r>
      <w:r>
        <w:rPr>
          <w:spacing w:val="-9"/>
          <w:sz w:val="18"/>
        </w:rPr>
        <w:t> </w:t>
      </w:r>
      <w:r>
        <w:rPr>
          <w:sz w:val="18"/>
        </w:rPr>
        <w:t>survey</w:t>
      </w:r>
      <w:r>
        <w:rPr>
          <w:spacing w:val="-9"/>
          <w:sz w:val="18"/>
        </w:rPr>
        <w:t> </w:t>
      </w:r>
      <w:r>
        <w:rPr>
          <w:sz w:val="18"/>
        </w:rPr>
        <w:t>identifies</w:t>
      </w:r>
      <w:r>
        <w:rPr>
          <w:spacing w:val="-9"/>
          <w:sz w:val="18"/>
        </w:rPr>
        <w:t> </w:t>
      </w:r>
      <w:r>
        <w:rPr>
          <w:sz w:val="18"/>
        </w:rPr>
        <w:t>concerns</w:t>
      </w:r>
      <w:r>
        <w:rPr>
          <w:spacing w:val="-9"/>
          <w:sz w:val="18"/>
        </w:rPr>
        <w:t> </w:t>
      </w:r>
      <w:r>
        <w:rPr>
          <w:sz w:val="18"/>
        </w:rPr>
        <w:t>about</w:t>
      </w:r>
      <w:r>
        <w:rPr>
          <w:spacing w:val="-9"/>
          <w:sz w:val="18"/>
        </w:rPr>
        <w:t> </w:t>
      </w:r>
      <w:r>
        <w:rPr>
          <w:sz w:val="18"/>
        </w:rPr>
        <w:t>current</w:t>
      </w:r>
      <w:r>
        <w:rPr>
          <w:spacing w:val="-9"/>
          <w:sz w:val="18"/>
        </w:rPr>
        <w:t> </w:t>
      </w:r>
      <w:r>
        <w:rPr>
          <w:sz w:val="18"/>
        </w:rPr>
        <w:t>and</w:t>
      </w:r>
      <w:r>
        <w:rPr>
          <w:spacing w:val="-9"/>
          <w:sz w:val="18"/>
        </w:rPr>
        <w:t> </w:t>
      </w:r>
      <w:r>
        <w:rPr>
          <w:sz w:val="18"/>
        </w:rPr>
        <w:t>future</w:t>
      </w:r>
      <w:r>
        <w:rPr>
          <w:spacing w:val="-9"/>
          <w:sz w:val="18"/>
        </w:rPr>
        <w:t> </w:t>
      </w:r>
      <w:r>
        <w:rPr>
          <w:sz w:val="18"/>
        </w:rPr>
        <w:t>protection</w:t>
      </w:r>
      <w:r>
        <w:rPr>
          <w:spacing w:val="-9"/>
          <w:sz w:val="18"/>
        </w:rPr>
        <w:t> </w:t>
      </w:r>
      <w:r>
        <w:rPr>
          <w:sz w:val="18"/>
        </w:rPr>
        <w:t>of</w:t>
      </w:r>
      <w:r>
        <w:rPr>
          <w:spacing w:val="-9"/>
          <w:sz w:val="18"/>
        </w:rPr>
        <w:t> </w:t>
      </w:r>
      <w:r>
        <w:rPr>
          <w:sz w:val="18"/>
        </w:rPr>
        <w:t>citizens’</w:t>
      </w:r>
      <w:r>
        <w:rPr>
          <w:spacing w:val="-9"/>
          <w:sz w:val="18"/>
        </w:rPr>
        <w:t> </w:t>
      </w:r>
      <w:r>
        <w:rPr>
          <w:sz w:val="18"/>
        </w:rPr>
        <w:t>rights’, 15 December 2023.</w:t>
      </w:r>
    </w:p>
    <w:p>
      <w:pPr>
        <w:pStyle w:val="ListParagraph"/>
        <w:numPr>
          <w:ilvl w:val="0"/>
          <w:numId w:val="16"/>
        </w:numPr>
        <w:tabs>
          <w:tab w:pos="1853" w:val="left" w:leader="none"/>
        </w:tabs>
        <w:spacing w:line="235" w:lineRule="auto" w:before="1" w:after="0"/>
        <w:ind w:left="1853" w:right="1231" w:hanging="720"/>
        <w:jc w:val="both"/>
        <w:rPr>
          <w:sz w:val="18"/>
        </w:rPr>
      </w:pP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‘Briefing</w:t>
      </w:r>
      <w:r>
        <w:rPr>
          <w:spacing w:val="-4"/>
          <w:sz w:val="18"/>
        </w:rPr>
        <w:t> </w:t>
      </w:r>
      <w:r>
        <w:rPr>
          <w:sz w:val="18"/>
        </w:rPr>
        <w:t>Paper</w:t>
      </w:r>
      <w:r>
        <w:rPr>
          <w:spacing w:val="-4"/>
          <w:sz w:val="18"/>
        </w:rPr>
        <w:t> </w:t>
      </w:r>
      <w:r>
        <w:rPr>
          <w:sz w:val="18"/>
        </w:rPr>
        <w:t>and</w:t>
      </w:r>
      <w:r>
        <w:rPr>
          <w:spacing w:val="-5"/>
          <w:sz w:val="18"/>
        </w:rPr>
        <w:t> </w:t>
      </w:r>
      <w:r>
        <w:rPr>
          <w:sz w:val="18"/>
        </w:rPr>
        <w:t>Recommendations</w:t>
      </w:r>
      <w:r>
        <w:rPr>
          <w:spacing w:val="-5"/>
          <w:sz w:val="18"/>
        </w:rPr>
        <w:t> </w:t>
      </w:r>
      <w:r>
        <w:rPr>
          <w:sz w:val="18"/>
        </w:rPr>
        <w:t>on</w:t>
      </w:r>
      <w:r>
        <w:rPr>
          <w:spacing w:val="-5"/>
          <w:sz w:val="18"/>
        </w:rPr>
        <w:t> </w:t>
      </w:r>
      <w:r>
        <w:rPr>
          <w:sz w:val="18"/>
        </w:rPr>
        <w:t>Brexit,</w:t>
      </w:r>
      <w:r>
        <w:rPr>
          <w:spacing w:val="-4"/>
          <w:sz w:val="18"/>
        </w:rPr>
        <w:t> </w:t>
      </w:r>
      <w:r>
        <w:rPr>
          <w:sz w:val="18"/>
        </w:rPr>
        <w:t>Health</w:t>
      </w:r>
      <w:r>
        <w:rPr>
          <w:spacing w:val="-5"/>
          <w:sz w:val="18"/>
        </w:rPr>
        <w:t> </w:t>
      </w:r>
      <w:r>
        <w:rPr>
          <w:sz w:val="18"/>
        </w:rPr>
        <w:t>and</w:t>
      </w:r>
      <w:r>
        <w:rPr>
          <w:spacing w:val="-5"/>
          <w:sz w:val="18"/>
        </w:rPr>
        <w:t> </w:t>
      </w:r>
      <w:r>
        <w:rPr>
          <w:sz w:val="18"/>
        </w:rPr>
        <w:t>Its</w:t>
      </w:r>
      <w:r>
        <w:rPr>
          <w:spacing w:val="-5"/>
          <w:sz w:val="18"/>
        </w:rPr>
        <w:t> </w:t>
      </w:r>
      <w:r>
        <w:rPr>
          <w:sz w:val="18"/>
        </w:rPr>
        <w:t>Potential</w:t>
      </w:r>
      <w:r>
        <w:rPr>
          <w:spacing w:val="-5"/>
          <w:sz w:val="18"/>
        </w:rPr>
        <w:t> </w:t>
      </w:r>
      <w:r>
        <w:rPr>
          <w:sz w:val="18"/>
        </w:rPr>
        <w:t>Impact</w:t>
      </w:r>
      <w:r>
        <w:rPr>
          <w:spacing w:val="-4"/>
          <w:sz w:val="18"/>
        </w:rPr>
        <w:t> </w:t>
      </w:r>
      <w:r>
        <w:rPr>
          <w:sz w:val="18"/>
        </w:rPr>
        <w:t>on</w:t>
      </w:r>
      <w:r>
        <w:rPr>
          <w:spacing w:val="-5"/>
          <w:sz w:val="18"/>
        </w:rPr>
        <w:t> </w:t>
      </w:r>
      <w:r>
        <w:rPr>
          <w:sz w:val="18"/>
        </w:rPr>
        <w:t>Article 2</w:t>
      </w:r>
      <w:r>
        <w:rPr>
          <w:spacing w:val="-2"/>
          <w:sz w:val="18"/>
        </w:rPr>
        <w:t> </w:t>
      </w:r>
      <w:r>
        <w:rPr>
          <w:sz w:val="18"/>
        </w:rPr>
        <w:t>of</w:t>
      </w:r>
      <w:r>
        <w:rPr>
          <w:spacing w:val="-3"/>
          <w:sz w:val="18"/>
        </w:rPr>
        <w:t> </w:t>
      </w:r>
      <w:r>
        <w:rPr>
          <w:sz w:val="18"/>
        </w:rPr>
        <w:t>the</w:t>
      </w:r>
      <w:r>
        <w:rPr>
          <w:spacing w:val="-2"/>
          <w:sz w:val="18"/>
        </w:rPr>
        <w:t> </w:t>
      </w:r>
      <w:r>
        <w:rPr>
          <w:sz w:val="18"/>
        </w:rPr>
        <w:t>Windsor</w:t>
      </w:r>
      <w:r>
        <w:rPr>
          <w:spacing w:val="-2"/>
          <w:sz w:val="18"/>
        </w:rPr>
        <w:t> </w:t>
      </w:r>
      <w:r>
        <w:rPr>
          <w:sz w:val="18"/>
        </w:rPr>
        <w:t>Framework’</w:t>
      </w:r>
      <w:r>
        <w:rPr>
          <w:spacing w:val="-2"/>
          <w:sz w:val="18"/>
        </w:rPr>
        <w:t> </w:t>
      </w:r>
      <w:r>
        <w:rPr>
          <w:sz w:val="18"/>
        </w:rPr>
        <w:t>(NIHRC,</w:t>
      </w:r>
      <w:r>
        <w:rPr>
          <w:spacing w:val="-2"/>
          <w:sz w:val="18"/>
        </w:rPr>
        <w:t> </w:t>
      </w:r>
      <w:r>
        <w:rPr>
          <w:sz w:val="18"/>
        </w:rPr>
        <w:t>2023).</w:t>
      </w:r>
      <w:r>
        <w:rPr>
          <w:spacing w:val="-3"/>
          <w:sz w:val="18"/>
        </w:rPr>
        <w:t> </w:t>
      </w:r>
      <w:r>
        <w:rPr>
          <w:sz w:val="18"/>
        </w:rPr>
        <w:t>See</w:t>
      </w:r>
      <w:r>
        <w:rPr>
          <w:spacing w:val="-2"/>
          <w:sz w:val="18"/>
        </w:rPr>
        <w:t> </w:t>
      </w:r>
      <w:r>
        <w:rPr>
          <w:sz w:val="18"/>
        </w:rPr>
        <w:t>also</w:t>
      </w:r>
      <w:r>
        <w:rPr>
          <w:spacing w:val="-3"/>
          <w:sz w:val="18"/>
        </w:rPr>
        <w:t> </w:t>
      </w:r>
      <w:r>
        <w:rPr>
          <w:sz w:val="18"/>
        </w:rPr>
        <w:t>Tamara</w:t>
      </w:r>
      <w:r>
        <w:rPr>
          <w:spacing w:val="-3"/>
          <w:sz w:val="18"/>
        </w:rPr>
        <w:t> </w:t>
      </w:r>
      <w:r>
        <w:rPr>
          <w:sz w:val="18"/>
        </w:rPr>
        <w:t>Hervey,</w:t>
      </w:r>
      <w:r>
        <w:rPr>
          <w:spacing w:val="-2"/>
          <w:sz w:val="18"/>
        </w:rPr>
        <w:t> </w:t>
      </w:r>
      <w:r>
        <w:rPr>
          <w:sz w:val="18"/>
        </w:rPr>
        <w:t>‘Brexit,</w:t>
      </w:r>
      <w:r>
        <w:rPr>
          <w:spacing w:val="-2"/>
          <w:sz w:val="18"/>
        </w:rPr>
        <w:t> </w:t>
      </w:r>
      <w:r>
        <w:rPr>
          <w:sz w:val="18"/>
        </w:rPr>
        <w:t>Health</w:t>
      </w:r>
      <w:r>
        <w:rPr>
          <w:spacing w:val="-3"/>
          <w:sz w:val="18"/>
        </w:rPr>
        <w:t> </w:t>
      </w:r>
      <w:r>
        <w:rPr>
          <w:sz w:val="18"/>
        </w:rPr>
        <w:t>and</w:t>
      </w:r>
      <w:r>
        <w:rPr>
          <w:spacing w:val="-3"/>
          <w:sz w:val="18"/>
        </w:rPr>
        <w:t> </w:t>
      </w:r>
      <w:r>
        <w:rPr>
          <w:sz w:val="18"/>
        </w:rPr>
        <w:t>its</w:t>
      </w:r>
      <w:r>
        <w:rPr>
          <w:spacing w:val="-3"/>
          <w:sz w:val="18"/>
        </w:rPr>
        <w:t> </w:t>
      </w:r>
      <w:r>
        <w:rPr>
          <w:sz w:val="18"/>
        </w:rPr>
        <w:t>potential</w:t>
      </w:r>
      <w:r>
        <w:rPr>
          <w:spacing w:val="-3"/>
          <w:sz w:val="18"/>
        </w:rPr>
        <w:t> </w:t>
      </w:r>
      <w:r>
        <w:rPr>
          <w:sz w:val="18"/>
        </w:rPr>
        <w:t>impact</w:t>
      </w:r>
      <w:r>
        <w:rPr>
          <w:spacing w:val="-2"/>
          <w:sz w:val="18"/>
        </w:rPr>
        <w:t> </w:t>
      </w:r>
      <w:r>
        <w:rPr>
          <w:sz w:val="18"/>
        </w:rPr>
        <w:t>on</w:t>
      </w:r>
      <w:r>
        <w:rPr>
          <w:spacing w:val="-3"/>
          <w:sz w:val="18"/>
        </w:rPr>
        <w:t> </w:t>
      </w:r>
      <w:r>
        <w:rPr>
          <w:sz w:val="18"/>
        </w:rPr>
        <w:t>Article</w:t>
      </w:r>
      <w:r>
        <w:rPr>
          <w:spacing w:val="-2"/>
          <w:sz w:val="18"/>
        </w:rPr>
        <w:t> </w:t>
      </w:r>
      <w:r>
        <w:rPr>
          <w:sz w:val="18"/>
        </w:rPr>
        <w:t>2 of the Ireland/NI Protocol’ (NIHRC, 2022).</w:t>
      </w:r>
    </w:p>
    <w:p>
      <w:pPr>
        <w:pStyle w:val="ListParagraph"/>
        <w:numPr>
          <w:ilvl w:val="0"/>
          <w:numId w:val="16"/>
        </w:numPr>
        <w:tabs>
          <w:tab w:pos="1853" w:val="left" w:leader="none"/>
        </w:tabs>
        <w:spacing w:line="235" w:lineRule="auto" w:before="2" w:after="0"/>
        <w:ind w:left="1853" w:right="1249" w:hanging="720"/>
        <w:jc w:val="left"/>
        <w:rPr>
          <w:sz w:val="18"/>
        </w:rPr>
      </w:pPr>
      <w:r>
        <w:rPr>
          <w:sz w:val="18"/>
        </w:rPr>
        <w:t>NI Human Rights Commission, ‘Briefing Paper and Recommendations on Brexit, Health and Its Potential Impact on</w:t>
      </w:r>
      <w:r>
        <w:rPr>
          <w:spacing w:val="40"/>
          <w:sz w:val="18"/>
        </w:rPr>
        <w:t> </w:t>
      </w:r>
      <w:r>
        <w:rPr>
          <w:sz w:val="18"/>
        </w:rPr>
        <w:t>Article</w:t>
      </w:r>
      <w:r>
        <w:rPr>
          <w:spacing w:val="-4"/>
          <w:sz w:val="18"/>
        </w:rPr>
        <w:t> </w:t>
      </w:r>
      <w:r>
        <w:rPr>
          <w:sz w:val="18"/>
        </w:rPr>
        <w:t>2</w:t>
      </w:r>
      <w:r>
        <w:rPr>
          <w:spacing w:val="-4"/>
          <w:sz w:val="18"/>
        </w:rPr>
        <w:t> </w:t>
      </w:r>
      <w:r>
        <w:rPr>
          <w:sz w:val="18"/>
        </w:rPr>
        <w:t>of</w:t>
      </w:r>
      <w:r>
        <w:rPr>
          <w:spacing w:val="-5"/>
          <w:sz w:val="18"/>
        </w:rPr>
        <w:t> </w:t>
      </w:r>
      <w:r>
        <w:rPr>
          <w:sz w:val="18"/>
        </w:rPr>
        <w:t>the</w:t>
      </w:r>
      <w:r>
        <w:rPr>
          <w:spacing w:val="-4"/>
          <w:sz w:val="18"/>
        </w:rPr>
        <w:t> </w:t>
      </w:r>
      <w:r>
        <w:rPr>
          <w:sz w:val="18"/>
        </w:rPr>
        <w:t>Windsor</w:t>
      </w:r>
      <w:r>
        <w:rPr>
          <w:spacing w:val="-4"/>
          <w:sz w:val="18"/>
        </w:rPr>
        <w:t> </w:t>
      </w:r>
      <w:r>
        <w:rPr>
          <w:sz w:val="18"/>
        </w:rPr>
        <w:t>Framework’</w:t>
      </w:r>
      <w:r>
        <w:rPr>
          <w:spacing w:val="-4"/>
          <w:sz w:val="18"/>
        </w:rPr>
        <w:t> </w:t>
      </w:r>
      <w:r>
        <w:rPr>
          <w:sz w:val="18"/>
        </w:rPr>
        <w:t>(NIHRC,</w:t>
      </w:r>
      <w:r>
        <w:rPr>
          <w:spacing w:val="-4"/>
          <w:sz w:val="18"/>
        </w:rPr>
        <w:t> </w:t>
      </w:r>
      <w:r>
        <w:rPr>
          <w:sz w:val="18"/>
        </w:rPr>
        <w:t>2023).</w:t>
      </w:r>
      <w:r>
        <w:rPr>
          <w:spacing w:val="32"/>
          <w:sz w:val="18"/>
        </w:rPr>
        <w:t> </w:t>
      </w:r>
      <w:r>
        <w:rPr>
          <w:sz w:val="18"/>
        </w:rPr>
        <w:t>See</w:t>
      </w:r>
      <w:r>
        <w:rPr>
          <w:spacing w:val="-4"/>
          <w:sz w:val="18"/>
        </w:rPr>
        <w:t> </w:t>
      </w:r>
      <w:r>
        <w:rPr>
          <w:sz w:val="18"/>
        </w:rPr>
        <w:t>also</w:t>
      </w:r>
      <w:r>
        <w:rPr>
          <w:spacing w:val="-5"/>
          <w:sz w:val="18"/>
        </w:rPr>
        <w:t> </w:t>
      </w:r>
      <w:r>
        <w:rPr>
          <w:sz w:val="18"/>
        </w:rPr>
        <w:t>sections</w:t>
      </w:r>
      <w:r>
        <w:rPr>
          <w:spacing w:val="-5"/>
          <w:sz w:val="18"/>
        </w:rPr>
        <w:t> </w:t>
      </w:r>
      <w:r>
        <w:rPr>
          <w:sz w:val="18"/>
        </w:rPr>
        <w:t>in</w:t>
      </w:r>
      <w:r>
        <w:rPr>
          <w:spacing w:val="-5"/>
          <w:sz w:val="18"/>
        </w:rPr>
        <w:t> </w:t>
      </w:r>
      <w:r>
        <w:rPr>
          <w:sz w:val="18"/>
        </w:rPr>
        <w:t>this</w:t>
      </w:r>
      <w:r>
        <w:rPr>
          <w:spacing w:val="-5"/>
          <w:sz w:val="18"/>
        </w:rPr>
        <w:t> </w:t>
      </w:r>
      <w:r>
        <w:rPr>
          <w:sz w:val="18"/>
        </w:rPr>
        <w:t>chapter</w:t>
      </w:r>
      <w:r>
        <w:rPr>
          <w:spacing w:val="-4"/>
          <w:sz w:val="18"/>
        </w:rPr>
        <w:t> </w:t>
      </w:r>
      <w:r>
        <w:rPr>
          <w:sz w:val="18"/>
        </w:rPr>
        <w:t>relating</w:t>
      </w:r>
      <w:r>
        <w:rPr>
          <w:spacing w:val="-4"/>
          <w:sz w:val="18"/>
        </w:rPr>
        <w:t> </w:t>
      </w:r>
      <w:r>
        <w:rPr>
          <w:sz w:val="18"/>
        </w:rPr>
        <w:t>to</w:t>
      </w:r>
      <w:r>
        <w:rPr>
          <w:spacing w:val="-5"/>
          <w:sz w:val="18"/>
        </w:rPr>
        <w:t> </w:t>
      </w:r>
      <w:r>
        <w:rPr>
          <w:sz w:val="18"/>
        </w:rPr>
        <w:t>the</w:t>
      </w:r>
      <w:r>
        <w:rPr>
          <w:spacing w:val="-4"/>
          <w:sz w:val="18"/>
        </w:rPr>
        <w:t> </w:t>
      </w:r>
      <w:r>
        <w:rPr>
          <w:sz w:val="18"/>
        </w:rPr>
        <w:t>Common</w:t>
      </w:r>
      <w:r>
        <w:rPr>
          <w:spacing w:val="-5"/>
          <w:sz w:val="18"/>
        </w:rPr>
        <w:t> </w:t>
      </w:r>
      <w:r>
        <w:rPr>
          <w:sz w:val="18"/>
        </w:rPr>
        <w:t>Travel</w:t>
      </w:r>
      <w:r>
        <w:rPr>
          <w:spacing w:val="-5"/>
          <w:sz w:val="18"/>
        </w:rPr>
        <w:t> </w:t>
      </w:r>
      <w:r>
        <w:rPr>
          <w:sz w:val="18"/>
        </w:rPr>
        <w:t>Area and EU citizenship and workers’ rights.</w:t>
      </w:r>
    </w:p>
    <w:p>
      <w:pPr>
        <w:pStyle w:val="ListParagraph"/>
        <w:numPr>
          <w:ilvl w:val="0"/>
          <w:numId w:val="16"/>
        </w:numPr>
        <w:tabs>
          <w:tab w:pos="1853" w:val="left" w:leader="none"/>
        </w:tabs>
        <w:spacing w:line="235" w:lineRule="auto" w:before="2" w:after="0"/>
        <w:ind w:left="1853" w:right="1506" w:hanging="720"/>
        <w:jc w:val="left"/>
        <w:rPr>
          <w:sz w:val="18"/>
        </w:rPr>
      </w:pP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‘Policy</w:t>
      </w:r>
      <w:r>
        <w:rPr>
          <w:spacing w:val="-4"/>
          <w:sz w:val="18"/>
        </w:rPr>
        <w:t> </w:t>
      </w:r>
      <w:r>
        <w:rPr>
          <w:sz w:val="18"/>
        </w:rPr>
        <w:t>Recommendations:</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Minority</w:t>
      </w:r>
      <w:r>
        <w:rPr>
          <w:spacing w:val="-4"/>
          <w:sz w:val="18"/>
        </w:rPr>
        <w:t> </w:t>
      </w:r>
      <w:r>
        <w:rPr>
          <w:sz w:val="18"/>
        </w:rPr>
        <w:t>Ethnic</w:t>
      </w:r>
      <w:r>
        <w:rPr>
          <w:spacing w:val="-4"/>
          <w:sz w:val="18"/>
        </w:rPr>
        <w:t> </w:t>
      </w:r>
      <w:r>
        <w:rPr>
          <w:sz w:val="18"/>
        </w:rPr>
        <w:t>and</w:t>
      </w:r>
      <w:r>
        <w:rPr>
          <w:spacing w:val="-5"/>
          <w:sz w:val="18"/>
        </w:rPr>
        <w:t> </w:t>
      </w:r>
      <w:r>
        <w:rPr>
          <w:sz w:val="18"/>
        </w:rPr>
        <w:t>Migrant</w:t>
      </w:r>
      <w:r>
        <w:rPr>
          <w:spacing w:val="-4"/>
          <w:sz w:val="18"/>
        </w:rPr>
        <w:t> </w:t>
      </w:r>
      <w:r>
        <w:rPr>
          <w:sz w:val="18"/>
        </w:rPr>
        <w:t>People</w:t>
      </w:r>
      <w:r>
        <w:rPr>
          <w:spacing w:val="-4"/>
          <w:sz w:val="18"/>
        </w:rPr>
        <w:t> </w:t>
      </w:r>
      <w:r>
        <w:rPr>
          <w:sz w:val="18"/>
        </w:rPr>
        <w:t>in Northern Ireland’ (ECNI, 2024)</w:t>
      </w:r>
    </w:p>
    <w:p>
      <w:pPr>
        <w:pStyle w:val="ListParagraph"/>
        <w:numPr>
          <w:ilvl w:val="0"/>
          <w:numId w:val="16"/>
        </w:numPr>
        <w:tabs>
          <w:tab w:pos="1853" w:val="left" w:leader="none"/>
        </w:tabs>
        <w:spacing w:line="216" w:lineRule="exact" w:before="0" w:after="0"/>
        <w:ind w:left="1853" w:right="0" w:hanging="720"/>
        <w:jc w:val="left"/>
        <w:rPr>
          <w:sz w:val="18"/>
        </w:rPr>
      </w:pPr>
      <w:r>
        <w:rPr>
          <w:spacing w:val="-4"/>
          <w:sz w:val="18"/>
        </w:rPr>
        <w:t>Ibid.</w:t>
      </w:r>
    </w:p>
    <w:p>
      <w:pPr>
        <w:pStyle w:val="ListParagraph"/>
        <w:numPr>
          <w:ilvl w:val="0"/>
          <w:numId w:val="16"/>
        </w:numPr>
        <w:tabs>
          <w:tab w:pos="1853" w:val="left" w:leader="none"/>
        </w:tabs>
        <w:spacing w:line="235" w:lineRule="auto" w:before="2" w:after="0"/>
        <w:ind w:left="1853" w:right="2068" w:hanging="720"/>
        <w:jc w:val="left"/>
        <w:rPr>
          <w:sz w:val="18"/>
        </w:rPr>
      </w:pPr>
      <w:r>
        <w:rPr>
          <w:sz w:val="18"/>
        </w:rPr>
        <w:t>Alison</w:t>
      </w:r>
      <w:r>
        <w:rPr>
          <w:spacing w:val="-5"/>
          <w:sz w:val="18"/>
        </w:rPr>
        <w:t> </w:t>
      </w:r>
      <w:r>
        <w:rPr>
          <w:sz w:val="18"/>
        </w:rPr>
        <w:t>Harvey</w:t>
      </w:r>
      <w:r>
        <w:rPr>
          <w:spacing w:val="-4"/>
          <w:sz w:val="18"/>
        </w:rPr>
        <w:t> </w:t>
      </w:r>
      <w:r>
        <w:rPr>
          <w:sz w:val="18"/>
        </w:rPr>
        <w:t>BL,</w:t>
      </w:r>
      <w:r>
        <w:rPr>
          <w:spacing w:val="-4"/>
          <w:sz w:val="18"/>
        </w:rPr>
        <w:t> </w:t>
      </w:r>
      <w:r>
        <w:rPr>
          <w:sz w:val="18"/>
        </w:rPr>
        <w:t>‘Article</w:t>
      </w:r>
      <w:r>
        <w:rPr>
          <w:spacing w:val="-4"/>
          <w:sz w:val="18"/>
        </w:rPr>
        <w:t> </w:t>
      </w:r>
      <w:r>
        <w:rPr>
          <w:sz w:val="18"/>
        </w:rPr>
        <w:t>2</w:t>
      </w:r>
      <w:r>
        <w:rPr>
          <w:spacing w:val="-4"/>
          <w:sz w:val="18"/>
        </w:rPr>
        <w:t> </w:t>
      </w:r>
      <w:r>
        <w:rPr>
          <w:sz w:val="18"/>
        </w:rPr>
        <w:t>of</w:t>
      </w:r>
      <w:r>
        <w:rPr>
          <w:spacing w:val="-5"/>
          <w:sz w:val="18"/>
        </w:rPr>
        <w:t> </w:t>
      </w:r>
      <w:r>
        <w:rPr>
          <w:sz w:val="18"/>
        </w:rPr>
        <w:t>the</w:t>
      </w:r>
      <w:r>
        <w:rPr>
          <w:spacing w:val="-4"/>
          <w:sz w:val="18"/>
        </w:rPr>
        <w:t> </w:t>
      </w:r>
      <w:r>
        <w:rPr>
          <w:sz w:val="18"/>
        </w:rPr>
        <w:t>Windsor</w:t>
      </w:r>
      <w:r>
        <w:rPr>
          <w:spacing w:val="-4"/>
          <w:sz w:val="18"/>
        </w:rPr>
        <w:t> </w:t>
      </w:r>
      <w:r>
        <w:rPr>
          <w:sz w:val="18"/>
        </w:rPr>
        <w:t>Framework</w:t>
      </w:r>
      <w:r>
        <w:rPr>
          <w:spacing w:val="-4"/>
          <w:sz w:val="18"/>
        </w:rPr>
        <w:t> </w:t>
      </w:r>
      <w:r>
        <w:rPr>
          <w:sz w:val="18"/>
        </w:rPr>
        <w:t>and</w:t>
      </w:r>
      <w:r>
        <w:rPr>
          <w:spacing w:val="-5"/>
          <w:sz w:val="18"/>
        </w:rPr>
        <w:t> </w:t>
      </w:r>
      <w:r>
        <w:rPr>
          <w:sz w:val="18"/>
        </w:rPr>
        <w:t>the</w:t>
      </w:r>
      <w:r>
        <w:rPr>
          <w:spacing w:val="-4"/>
          <w:sz w:val="18"/>
        </w:rPr>
        <w:t> </w:t>
      </w:r>
      <w:r>
        <w:rPr>
          <w:sz w:val="18"/>
        </w:rPr>
        <w:t>rights</w:t>
      </w:r>
      <w:r>
        <w:rPr>
          <w:spacing w:val="-5"/>
          <w:sz w:val="18"/>
        </w:rPr>
        <w:t> </w:t>
      </w:r>
      <w:r>
        <w:rPr>
          <w:sz w:val="18"/>
        </w:rPr>
        <w:t>of</w:t>
      </w:r>
      <w:r>
        <w:rPr>
          <w:spacing w:val="-5"/>
          <w:sz w:val="18"/>
        </w:rPr>
        <w:t> </w:t>
      </w:r>
      <w:r>
        <w:rPr>
          <w:sz w:val="18"/>
        </w:rPr>
        <w:t>refugees</w:t>
      </w:r>
      <w:r>
        <w:rPr>
          <w:spacing w:val="-5"/>
          <w:sz w:val="18"/>
        </w:rPr>
        <w:t> </w:t>
      </w:r>
      <w:r>
        <w:rPr>
          <w:sz w:val="18"/>
        </w:rPr>
        <w:t>and</w:t>
      </w:r>
      <w:r>
        <w:rPr>
          <w:spacing w:val="-5"/>
          <w:sz w:val="18"/>
        </w:rPr>
        <w:t> </w:t>
      </w:r>
      <w:r>
        <w:rPr>
          <w:sz w:val="18"/>
        </w:rPr>
        <w:t>persons</w:t>
      </w:r>
      <w:r>
        <w:rPr>
          <w:spacing w:val="-5"/>
          <w:sz w:val="18"/>
        </w:rPr>
        <w:t> </w:t>
      </w:r>
      <w:r>
        <w:rPr>
          <w:sz w:val="18"/>
        </w:rPr>
        <w:t>seeking</w:t>
      </w:r>
      <w:r>
        <w:rPr>
          <w:spacing w:val="-4"/>
          <w:sz w:val="18"/>
        </w:rPr>
        <w:t> </w:t>
      </w:r>
      <w:r>
        <w:rPr>
          <w:sz w:val="18"/>
        </w:rPr>
        <w:t>asylum’ (NIHRC, 2023).</w:t>
      </w:r>
    </w:p>
    <w:p>
      <w:pPr>
        <w:spacing w:after="0" w:line="235" w:lineRule="auto"/>
        <w:jc w:val="left"/>
        <w:rPr>
          <w:sz w:val="18"/>
        </w:rPr>
        <w:sectPr>
          <w:headerReference w:type="default" r:id="rId218"/>
          <w:headerReference w:type="even" r:id="rId219"/>
          <w:footerReference w:type="default" r:id="rId220"/>
          <w:footerReference w:type="even" r:id="rId221"/>
          <w:pgSz w:w="11910" w:h="16840"/>
          <w:pgMar w:header="496" w:footer="367" w:top="1220" w:bottom="560" w:left="0" w:right="0"/>
          <w:pgNumType w:start="155"/>
        </w:sectPr>
      </w:pPr>
    </w:p>
    <w:p>
      <w:pPr>
        <w:pStyle w:val="BodyText"/>
        <w:spacing w:before="198"/>
      </w:pPr>
    </w:p>
    <w:p>
      <w:pPr>
        <w:pStyle w:val="BodyText"/>
        <w:spacing w:line="225" w:lineRule="auto"/>
        <w:ind w:left="1853" w:right="1171" w:hanging="1"/>
      </w:pPr>
      <w:bookmarkStart w:name="_bookmark60" w:id="135"/>
      <w:bookmarkEnd w:id="135"/>
      <w:r>
        <w:rPr/>
      </w:r>
      <w:r>
        <w:rPr/>
        <w:t>Directive, continue to set minimum standards in respect of the rights of refugees</w:t>
      </w:r>
      <w:r>
        <w:rPr>
          <w:spacing w:val="-11"/>
        </w:rPr>
        <w:t> </w:t>
      </w:r>
      <w:r>
        <w:rPr/>
        <w:t>and</w:t>
      </w:r>
      <w:r>
        <w:rPr>
          <w:spacing w:val="-11"/>
        </w:rPr>
        <w:t> </w:t>
      </w:r>
      <w:r>
        <w:rPr/>
        <w:t>people</w:t>
      </w:r>
      <w:r>
        <w:rPr>
          <w:spacing w:val="-10"/>
        </w:rPr>
        <w:t> </w:t>
      </w:r>
      <w:r>
        <w:rPr/>
        <w:t>seeking</w:t>
      </w:r>
      <w:r>
        <w:rPr>
          <w:spacing w:val="-10"/>
        </w:rPr>
        <w:t> </w:t>
      </w:r>
      <w:r>
        <w:rPr/>
        <w:t>asylum,</w:t>
      </w:r>
      <w:r>
        <w:rPr>
          <w:spacing w:val="-10"/>
        </w:rPr>
        <w:t> </w:t>
      </w:r>
      <w:r>
        <w:rPr/>
        <w:t>including</w:t>
      </w:r>
      <w:r>
        <w:rPr>
          <w:spacing w:val="-10"/>
        </w:rPr>
        <w:t> </w:t>
      </w:r>
      <w:r>
        <w:rPr/>
        <w:t>in</w:t>
      </w:r>
      <w:r>
        <w:rPr>
          <w:spacing w:val="-11"/>
        </w:rPr>
        <w:t> </w:t>
      </w:r>
      <w:r>
        <w:rPr/>
        <w:t>relation</w:t>
      </w:r>
      <w:r>
        <w:rPr>
          <w:spacing w:val="-11"/>
        </w:rPr>
        <w:t> </w:t>
      </w:r>
      <w:r>
        <w:rPr/>
        <w:t>to</w:t>
      </w:r>
      <w:r>
        <w:rPr>
          <w:spacing w:val="-11"/>
        </w:rPr>
        <w:t> </w:t>
      </w:r>
      <w:r>
        <w:rPr/>
        <w:t>healthcare.</w:t>
      </w:r>
      <w:r>
        <w:rPr>
          <w:vertAlign w:val="superscript"/>
        </w:rPr>
        <w:t>877</w:t>
      </w:r>
    </w:p>
    <w:p>
      <w:pPr>
        <w:pStyle w:val="BodyText"/>
        <w:spacing w:before="7"/>
        <w:rPr>
          <w:sz w:val="17"/>
        </w:rPr>
      </w:pPr>
      <w:r>
        <w:rPr/>
        <mc:AlternateContent>
          <mc:Choice Requires="wps">
            <w:drawing>
              <wp:anchor distT="0" distB="0" distL="0" distR="0" allowOverlap="1" layoutInCell="1" locked="0" behindDoc="1" simplePos="0" relativeHeight="487729664">
                <wp:simplePos x="0" y="0"/>
                <wp:positionH relativeFrom="page">
                  <wp:posOffset>720001</wp:posOffset>
                </wp:positionH>
                <wp:positionV relativeFrom="paragraph">
                  <wp:posOffset>151501</wp:posOffset>
                </wp:positionV>
                <wp:extent cx="6120130" cy="360045"/>
                <wp:effectExtent l="0" t="0" r="0" b="0"/>
                <wp:wrapTopAndBottom/>
                <wp:docPr id="653" name="Textbox 653"/>
                <wp:cNvGraphicFramePr>
                  <a:graphicFrameLocks/>
                </wp:cNvGraphicFramePr>
                <a:graphic>
                  <a:graphicData uri="http://schemas.microsoft.com/office/word/2010/wordprocessingShape">
                    <wps:wsp>
                      <wps:cNvPr id="653" name="Textbox 653"/>
                      <wps:cNvSpPr txBox="1"/>
                      <wps:spPr>
                        <a:xfrm>
                          <a:off x="0" y="0"/>
                          <a:ext cx="6120130" cy="360045"/>
                        </a:xfrm>
                        <a:prstGeom prst="rect">
                          <a:avLst/>
                        </a:prstGeom>
                        <a:solidFill>
                          <a:srgbClr val="393B80"/>
                        </a:solidFill>
                      </wps:spPr>
                      <wps:txbx>
                        <w:txbxContent>
                          <w:p>
                            <w:pPr>
                              <w:spacing w:before="103"/>
                              <w:ind w:left="783"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11.92925pt;width:481.9pt;height:28.35pt;mso-position-horizontal-relative:page;mso-position-vertical-relative:paragraph;z-index:-15586816;mso-wrap-distance-left:0;mso-wrap-distance-right:0" type="#_x0000_t202" id="docshape597" filled="true" fillcolor="#393b80" stroked="false">
                <v:textbox inset="0,0,0,0">
                  <w:txbxContent>
                    <w:p>
                      <w:pPr>
                        <w:spacing w:before="103"/>
                        <w:ind w:left="783"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13"/>
        </w:numPr>
        <w:tabs>
          <w:tab w:pos="1853" w:val="left" w:leader="none"/>
        </w:tabs>
        <w:spacing w:line="225" w:lineRule="auto" w:before="312" w:after="0"/>
        <w:ind w:left="1853" w:right="1494" w:hanging="720"/>
        <w:jc w:val="left"/>
        <w:rPr>
          <w:b/>
          <w:color w:val="67287F"/>
          <w:sz w:val="28"/>
        </w:rPr>
      </w:pPr>
      <w:r>
        <w:rPr>
          <w:b/>
          <w:color w:val="67287F"/>
          <w:sz w:val="28"/>
        </w:rPr>
        <w:t>The</w:t>
      </w:r>
      <w:r>
        <w:rPr>
          <w:b/>
          <w:color w:val="67287F"/>
          <w:spacing w:val="-6"/>
          <w:sz w:val="28"/>
        </w:rPr>
        <w:t> </w:t>
      </w:r>
      <w:r>
        <w:rPr>
          <w:b/>
          <w:color w:val="67287F"/>
          <w:sz w:val="28"/>
        </w:rPr>
        <w:t>NIHRC</w:t>
      </w:r>
      <w:r>
        <w:rPr>
          <w:b/>
          <w:color w:val="67287F"/>
          <w:spacing w:val="-6"/>
          <w:sz w:val="28"/>
        </w:rPr>
        <w:t> </w:t>
      </w:r>
      <w:r>
        <w:rPr>
          <w:b/>
          <w:color w:val="67287F"/>
          <w:sz w:val="28"/>
        </w:rPr>
        <w:t>continues</w:t>
      </w:r>
      <w:r>
        <w:rPr>
          <w:b/>
          <w:color w:val="67287F"/>
          <w:spacing w:val="-5"/>
          <w:sz w:val="28"/>
        </w:rPr>
        <w:t> </w:t>
      </w:r>
      <w:r>
        <w:rPr>
          <w:b/>
          <w:color w:val="67287F"/>
          <w:sz w:val="28"/>
        </w:rPr>
        <w:t>to</w:t>
      </w:r>
      <w:r>
        <w:rPr>
          <w:b/>
          <w:color w:val="67287F"/>
          <w:spacing w:val="-5"/>
          <w:sz w:val="28"/>
        </w:rPr>
        <w:t> </w:t>
      </w:r>
      <w:r>
        <w:rPr>
          <w:b/>
          <w:color w:val="67287F"/>
          <w:sz w:val="28"/>
        </w:rPr>
        <w:t>recommend</w:t>
      </w:r>
      <w:r>
        <w:rPr>
          <w:b/>
          <w:color w:val="67287F"/>
          <w:spacing w:val="-5"/>
          <w:sz w:val="28"/>
        </w:rPr>
        <w:t> </w:t>
      </w:r>
      <w:r>
        <w:rPr>
          <w:b/>
          <w:color w:val="67287F"/>
          <w:sz w:val="28"/>
        </w:rPr>
        <w:t>that</w:t>
      </w:r>
      <w:r>
        <w:rPr>
          <w:b/>
          <w:color w:val="67287F"/>
          <w:spacing w:val="-5"/>
          <w:sz w:val="28"/>
        </w:rPr>
        <w:t> </w:t>
      </w:r>
      <w:r>
        <w:rPr>
          <w:b/>
          <w:color w:val="67287F"/>
          <w:sz w:val="28"/>
        </w:rPr>
        <w:t>the</w:t>
      </w:r>
      <w:r>
        <w:rPr>
          <w:b/>
          <w:color w:val="67287F"/>
          <w:spacing w:val="-6"/>
          <w:sz w:val="28"/>
        </w:rPr>
        <w:t> </w:t>
      </w:r>
      <w:r>
        <w:rPr>
          <w:b/>
          <w:color w:val="67287F"/>
          <w:sz w:val="28"/>
        </w:rPr>
        <w:t>Home</w:t>
      </w:r>
      <w:r>
        <w:rPr>
          <w:b/>
          <w:color w:val="67287F"/>
          <w:spacing w:val="-6"/>
          <w:sz w:val="28"/>
        </w:rPr>
        <w:t> </w:t>
      </w:r>
      <w:r>
        <w:rPr>
          <w:b/>
          <w:color w:val="67287F"/>
          <w:sz w:val="28"/>
        </w:rPr>
        <w:t>Office</w:t>
      </w:r>
      <w:r>
        <w:rPr>
          <w:b/>
          <w:color w:val="67287F"/>
          <w:spacing w:val="-6"/>
          <w:sz w:val="28"/>
        </w:rPr>
        <w:t> </w:t>
      </w:r>
      <w:r>
        <w:rPr>
          <w:b/>
          <w:color w:val="67287F"/>
          <w:sz w:val="28"/>
        </w:rPr>
        <w:t>provide</w:t>
      </w:r>
      <w:r>
        <w:rPr>
          <w:b/>
          <w:color w:val="67287F"/>
          <w:spacing w:val="-6"/>
          <w:sz w:val="28"/>
        </w:rPr>
        <w:t> </w:t>
      </w:r>
      <w:r>
        <w:rPr>
          <w:b/>
          <w:color w:val="67287F"/>
          <w:sz w:val="28"/>
        </w:rPr>
        <w:t>further guidance on the rights of people with pending and late applications to</w:t>
      </w:r>
      <w:r>
        <w:rPr>
          <w:b/>
          <w:color w:val="67287F"/>
          <w:spacing w:val="40"/>
          <w:sz w:val="28"/>
        </w:rPr>
        <w:t> </w:t>
      </w:r>
      <w:r>
        <w:rPr>
          <w:b/>
          <w:color w:val="67287F"/>
          <w:sz w:val="28"/>
        </w:rPr>
        <w:t>the</w:t>
      </w:r>
      <w:r>
        <w:rPr>
          <w:b/>
          <w:color w:val="67287F"/>
          <w:spacing w:val="-7"/>
          <w:sz w:val="28"/>
        </w:rPr>
        <w:t> </w:t>
      </w:r>
      <w:r>
        <w:rPr>
          <w:b/>
          <w:color w:val="67287F"/>
          <w:sz w:val="28"/>
        </w:rPr>
        <w:t>EU</w:t>
      </w:r>
      <w:r>
        <w:rPr>
          <w:b/>
          <w:color w:val="67287F"/>
          <w:spacing w:val="-6"/>
          <w:sz w:val="28"/>
        </w:rPr>
        <w:t> </w:t>
      </w:r>
      <w:r>
        <w:rPr>
          <w:b/>
          <w:color w:val="67287F"/>
          <w:sz w:val="28"/>
        </w:rPr>
        <w:t>Settlement</w:t>
      </w:r>
      <w:r>
        <w:rPr>
          <w:b/>
          <w:color w:val="67287F"/>
          <w:spacing w:val="-6"/>
          <w:sz w:val="28"/>
        </w:rPr>
        <w:t> </w:t>
      </w:r>
      <w:r>
        <w:rPr>
          <w:b/>
          <w:color w:val="67287F"/>
          <w:sz w:val="28"/>
        </w:rPr>
        <w:t>Scheme,</w:t>
      </w:r>
      <w:r>
        <w:rPr>
          <w:b/>
          <w:color w:val="67287F"/>
          <w:spacing w:val="-6"/>
          <w:sz w:val="28"/>
        </w:rPr>
        <w:t> </w:t>
      </w:r>
      <w:r>
        <w:rPr>
          <w:b/>
          <w:color w:val="67287F"/>
          <w:sz w:val="28"/>
        </w:rPr>
        <w:t>to</w:t>
      </w:r>
      <w:r>
        <w:rPr>
          <w:b/>
          <w:color w:val="67287F"/>
          <w:spacing w:val="-6"/>
          <w:sz w:val="28"/>
        </w:rPr>
        <w:t> </w:t>
      </w:r>
      <w:r>
        <w:rPr>
          <w:b/>
          <w:color w:val="67287F"/>
          <w:sz w:val="28"/>
        </w:rPr>
        <w:t>applicants</w:t>
      </w:r>
      <w:r>
        <w:rPr>
          <w:b/>
          <w:color w:val="67287F"/>
          <w:spacing w:val="-6"/>
          <w:sz w:val="28"/>
        </w:rPr>
        <w:t> </w:t>
      </w:r>
      <w:r>
        <w:rPr>
          <w:b/>
          <w:color w:val="67287F"/>
          <w:sz w:val="28"/>
        </w:rPr>
        <w:t>to</w:t>
      </w:r>
      <w:r>
        <w:rPr>
          <w:b/>
          <w:color w:val="67287F"/>
          <w:spacing w:val="-6"/>
          <w:sz w:val="28"/>
        </w:rPr>
        <w:t> </w:t>
      </w:r>
      <w:r>
        <w:rPr>
          <w:b/>
          <w:color w:val="67287F"/>
          <w:sz w:val="28"/>
        </w:rPr>
        <w:t>the</w:t>
      </w:r>
      <w:r>
        <w:rPr>
          <w:b/>
          <w:color w:val="67287F"/>
          <w:spacing w:val="-7"/>
          <w:sz w:val="28"/>
        </w:rPr>
        <w:t> </w:t>
      </w:r>
      <w:r>
        <w:rPr>
          <w:b/>
          <w:color w:val="67287F"/>
          <w:sz w:val="28"/>
        </w:rPr>
        <w:t>Scheme</w:t>
      </w:r>
      <w:r>
        <w:rPr>
          <w:b/>
          <w:color w:val="67287F"/>
          <w:spacing w:val="-7"/>
          <w:sz w:val="28"/>
        </w:rPr>
        <w:t> </w:t>
      </w:r>
      <w:r>
        <w:rPr>
          <w:b/>
          <w:color w:val="67287F"/>
          <w:sz w:val="28"/>
        </w:rPr>
        <w:t>and</w:t>
      </w:r>
      <w:r>
        <w:rPr>
          <w:b/>
          <w:color w:val="67287F"/>
          <w:spacing w:val="-6"/>
          <w:sz w:val="28"/>
        </w:rPr>
        <w:t> </w:t>
      </w:r>
      <w:r>
        <w:rPr>
          <w:b/>
          <w:color w:val="67287F"/>
          <w:sz w:val="28"/>
        </w:rPr>
        <w:t>to</w:t>
      </w:r>
      <w:r>
        <w:rPr>
          <w:b/>
          <w:color w:val="67287F"/>
          <w:spacing w:val="-6"/>
          <w:sz w:val="28"/>
        </w:rPr>
        <w:t> </w:t>
      </w:r>
      <w:r>
        <w:rPr>
          <w:b/>
          <w:color w:val="67287F"/>
          <w:sz w:val="28"/>
        </w:rPr>
        <w:t>healthcare</w:t>
      </w:r>
    </w:p>
    <w:p>
      <w:pPr>
        <w:spacing w:line="225" w:lineRule="auto" w:before="0"/>
        <w:ind w:left="1853" w:right="1171" w:firstLine="0"/>
        <w:jc w:val="left"/>
        <w:rPr>
          <w:b/>
          <w:sz w:val="28"/>
        </w:rPr>
      </w:pPr>
      <w:r>
        <w:rPr>
          <w:b/>
          <w:color w:val="67287F"/>
          <w:sz w:val="28"/>
        </w:rPr>
        <w:t>professionals,</w:t>
      </w:r>
      <w:r>
        <w:rPr>
          <w:b/>
          <w:color w:val="67287F"/>
          <w:spacing w:val="-6"/>
          <w:sz w:val="28"/>
        </w:rPr>
        <w:t> </w:t>
      </w:r>
      <w:r>
        <w:rPr>
          <w:b/>
          <w:color w:val="67287F"/>
          <w:sz w:val="28"/>
        </w:rPr>
        <w:t>to</w:t>
      </w:r>
      <w:r>
        <w:rPr>
          <w:b/>
          <w:color w:val="67287F"/>
          <w:spacing w:val="-6"/>
          <w:sz w:val="28"/>
        </w:rPr>
        <w:t> </w:t>
      </w:r>
      <w:r>
        <w:rPr>
          <w:b/>
          <w:color w:val="67287F"/>
          <w:sz w:val="28"/>
        </w:rPr>
        <w:t>ensure</w:t>
      </w:r>
      <w:r>
        <w:rPr>
          <w:b/>
          <w:color w:val="67287F"/>
          <w:spacing w:val="-7"/>
          <w:sz w:val="28"/>
        </w:rPr>
        <w:t> </w:t>
      </w:r>
      <w:r>
        <w:rPr>
          <w:b/>
          <w:color w:val="67287F"/>
          <w:sz w:val="28"/>
        </w:rPr>
        <w:t>no</w:t>
      </w:r>
      <w:r>
        <w:rPr>
          <w:b/>
          <w:color w:val="67287F"/>
          <w:spacing w:val="-6"/>
          <w:sz w:val="28"/>
        </w:rPr>
        <w:t> </w:t>
      </w:r>
      <w:r>
        <w:rPr>
          <w:b/>
          <w:color w:val="67287F"/>
          <w:sz w:val="28"/>
        </w:rPr>
        <w:t>diminution</w:t>
      </w:r>
      <w:r>
        <w:rPr>
          <w:b/>
          <w:color w:val="67287F"/>
          <w:spacing w:val="-6"/>
          <w:sz w:val="28"/>
        </w:rPr>
        <w:t> </w:t>
      </w:r>
      <w:r>
        <w:rPr>
          <w:b/>
          <w:color w:val="67287F"/>
          <w:sz w:val="28"/>
        </w:rPr>
        <w:t>of</w:t>
      </w:r>
      <w:r>
        <w:rPr>
          <w:b/>
          <w:color w:val="67287F"/>
          <w:spacing w:val="-7"/>
          <w:sz w:val="28"/>
        </w:rPr>
        <w:t> </w:t>
      </w:r>
      <w:r>
        <w:rPr>
          <w:b/>
          <w:color w:val="67287F"/>
          <w:sz w:val="28"/>
        </w:rPr>
        <w:t>provision</w:t>
      </w:r>
      <w:r>
        <w:rPr>
          <w:b/>
          <w:color w:val="67287F"/>
          <w:spacing w:val="-6"/>
          <w:sz w:val="28"/>
        </w:rPr>
        <w:t> </w:t>
      </w:r>
      <w:r>
        <w:rPr>
          <w:b/>
          <w:color w:val="67287F"/>
          <w:sz w:val="28"/>
        </w:rPr>
        <w:t>and</w:t>
      </w:r>
      <w:r>
        <w:rPr>
          <w:b/>
          <w:color w:val="67287F"/>
          <w:spacing w:val="-6"/>
          <w:sz w:val="28"/>
        </w:rPr>
        <w:t> </w:t>
      </w:r>
      <w:r>
        <w:rPr>
          <w:b/>
          <w:color w:val="67287F"/>
          <w:sz w:val="28"/>
        </w:rPr>
        <w:t>to</w:t>
      </w:r>
      <w:r>
        <w:rPr>
          <w:b/>
          <w:color w:val="67287F"/>
          <w:spacing w:val="-6"/>
          <w:sz w:val="28"/>
        </w:rPr>
        <w:t> </w:t>
      </w:r>
      <w:r>
        <w:rPr>
          <w:b/>
          <w:color w:val="67287F"/>
          <w:sz w:val="28"/>
        </w:rPr>
        <w:t>protect</w:t>
      </w:r>
      <w:r>
        <w:rPr>
          <w:b/>
          <w:color w:val="67287F"/>
          <w:spacing w:val="-6"/>
          <w:sz w:val="28"/>
        </w:rPr>
        <w:t> </w:t>
      </w:r>
      <w:r>
        <w:rPr>
          <w:b/>
          <w:color w:val="67287F"/>
          <w:sz w:val="28"/>
        </w:rPr>
        <w:t>the</w:t>
      </w:r>
      <w:r>
        <w:rPr>
          <w:b/>
          <w:color w:val="67287F"/>
          <w:spacing w:val="-7"/>
          <w:sz w:val="28"/>
        </w:rPr>
        <w:t> </w:t>
      </w:r>
      <w:r>
        <w:rPr>
          <w:b/>
          <w:color w:val="67287F"/>
          <w:sz w:val="28"/>
        </w:rPr>
        <w:t>right to the highest attainable standard of healthcare.</w:t>
      </w:r>
    </w:p>
    <w:p>
      <w:pPr>
        <w:pStyle w:val="ListParagraph"/>
        <w:numPr>
          <w:ilvl w:val="1"/>
          <w:numId w:val="13"/>
        </w:numPr>
        <w:tabs>
          <w:tab w:pos="1853" w:val="left" w:leader="none"/>
        </w:tabs>
        <w:spacing w:line="225" w:lineRule="auto" w:before="314" w:after="0"/>
        <w:ind w:left="1853" w:right="1652" w:hanging="720"/>
        <w:jc w:val="left"/>
        <w:rPr>
          <w:b/>
          <w:color w:val="67287F"/>
          <w:sz w:val="28"/>
        </w:rPr>
      </w:pPr>
      <w:r>
        <w:rPr>
          <w:b/>
          <w:color w:val="67287F"/>
          <w:sz w:val="28"/>
        </w:rPr>
        <w:t>The Commissions recommend that, in terms of EU citizens and other migrants</w:t>
      </w:r>
      <w:r>
        <w:rPr>
          <w:b/>
          <w:color w:val="67287F"/>
          <w:spacing w:val="-5"/>
          <w:sz w:val="28"/>
        </w:rPr>
        <w:t> </w:t>
      </w:r>
      <w:r>
        <w:rPr>
          <w:b/>
          <w:color w:val="67287F"/>
          <w:sz w:val="28"/>
        </w:rPr>
        <w:t>in</w:t>
      </w:r>
      <w:r>
        <w:rPr>
          <w:b/>
          <w:color w:val="67287F"/>
          <w:spacing w:val="-5"/>
          <w:sz w:val="28"/>
        </w:rPr>
        <w:t> </w:t>
      </w:r>
      <w:r>
        <w:rPr>
          <w:b/>
          <w:color w:val="67287F"/>
          <w:sz w:val="28"/>
        </w:rPr>
        <w:t>NI,</w:t>
      </w:r>
      <w:r>
        <w:rPr>
          <w:b/>
          <w:color w:val="67287F"/>
          <w:spacing w:val="-5"/>
          <w:sz w:val="28"/>
        </w:rPr>
        <w:t> </w:t>
      </w:r>
      <w:r>
        <w:rPr>
          <w:b/>
          <w:color w:val="67287F"/>
          <w:sz w:val="28"/>
        </w:rPr>
        <w:t>the</w:t>
      </w:r>
      <w:r>
        <w:rPr>
          <w:b/>
          <w:color w:val="67287F"/>
          <w:spacing w:val="-6"/>
          <w:sz w:val="28"/>
        </w:rPr>
        <w:t> </w:t>
      </w:r>
      <w:r>
        <w:rPr>
          <w:b/>
          <w:color w:val="67287F"/>
          <w:sz w:val="28"/>
        </w:rPr>
        <w:t>UK</w:t>
      </w:r>
      <w:r>
        <w:rPr>
          <w:b/>
          <w:color w:val="67287F"/>
          <w:spacing w:val="-5"/>
          <w:sz w:val="28"/>
        </w:rPr>
        <w:t> </w:t>
      </w:r>
      <w:r>
        <w:rPr>
          <w:b/>
          <w:color w:val="67287F"/>
          <w:sz w:val="28"/>
        </w:rPr>
        <w:t>and</w:t>
      </w:r>
      <w:r>
        <w:rPr>
          <w:b/>
          <w:color w:val="67287F"/>
          <w:spacing w:val="-5"/>
          <w:sz w:val="28"/>
        </w:rPr>
        <w:t> </w:t>
      </w:r>
      <w:r>
        <w:rPr>
          <w:b/>
          <w:color w:val="67287F"/>
          <w:sz w:val="28"/>
        </w:rPr>
        <w:t>Irish</w:t>
      </w:r>
      <w:r>
        <w:rPr>
          <w:b/>
          <w:color w:val="67287F"/>
          <w:spacing w:val="-5"/>
          <w:sz w:val="28"/>
        </w:rPr>
        <w:t> </w:t>
      </w:r>
      <w:r>
        <w:rPr>
          <w:b/>
          <w:color w:val="67287F"/>
          <w:sz w:val="28"/>
        </w:rPr>
        <w:t>governments,</w:t>
      </w:r>
      <w:r>
        <w:rPr>
          <w:b/>
          <w:color w:val="67287F"/>
          <w:spacing w:val="-5"/>
          <w:sz w:val="28"/>
        </w:rPr>
        <w:t> </w:t>
      </w:r>
      <w:r>
        <w:rPr>
          <w:b/>
          <w:color w:val="67287F"/>
          <w:sz w:val="28"/>
        </w:rPr>
        <w:t>and</w:t>
      </w:r>
      <w:r>
        <w:rPr>
          <w:b/>
          <w:color w:val="67287F"/>
          <w:spacing w:val="-5"/>
          <w:sz w:val="28"/>
        </w:rPr>
        <w:t> </w:t>
      </w:r>
      <w:r>
        <w:rPr>
          <w:b/>
          <w:color w:val="67287F"/>
          <w:sz w:val="28"/>
        </w:rPr>
        <w:t>Department</w:t>
      </w:r>
      <w:r>
        <w:rPr>
          <w:b/>
          <w:color w:val="67287F"/>
          <w:spacing w:val="-5"/>
          <w:sz w:val="28"/>
        </w:rPr>
        <w:t> </w:t>
      </w:r>
      <w:r>
        <w:rPr>
          <w:b/>
          <w:color w:val="67287F"/>
          <w:sz w:val="28"/>
        </w:rPr>
        <w:t>of</w:t>
      </w:r>
      <w:r>
        <w:rPr>
          <w:b/>
          <w:color w:val="67287F"/>
          <w:spacing w:val="-6"/>
          <w:sz w:val="28"/>
        </w:rPr>
        <w:t> </w:t>
      </w:r>
      <w:r>
        <w:rPr>
          <w:b/>
          <w:color w:val="67287F"/>
          <w:sz w:val="28"/>
        </w:rPr>
        <w:t>Health </w:t>
      </w:r>
      <w:r>
        <w:rPr>
          <w:b/>
          <w:color w:val="67287F"/>
          <w:spacing w:val="-2"/>
          <w:sz w:val="28"/>
        </w:rPr>
        <w:t>should:</w:t>
      </w:r>
    </w:p>
    <w:p>
      <w:pPr>
        <w:pStyle w:val="ListParagraph"/>
        <w:numPr>
          <w:ilvl w:val="2"/>
          <w:numId w:val="13"/>
        </w:numPr>
        <w:tabs>
          <w:tab w:pos="2562" w:val="left" w:leader="none"/>
        </w:tabs>
        <w:spacing w:line="311" w:lineRule="exact" w:before="0" w:after="0"/>
        <w:ind w:left="2562" w:right="0" w:hanging="360"/>
        <w:jc w:val="left"/>
        <w:rPr>
          <w:b/>
          <w:sz w:val="28"/>
        </w:rPr>
      </w:pPr>
      <w:r>
        <w:rPr>
          <w:b/>
          <w:color w:val="67287F"/>
          <w:sz w:val="28"/>
        </w:rPr>
        <w:t>clarify</w:t>
      </w:r>
      <w:r>
        <w:rPr>
          <w:b/>
          <w:color w:val="67287F"/>
          <w:spacing w:val="-7"/>
          <w:sz w:val="28"/>
        </w:rPr>
        <w:t> </w:t>
      </w:r>
      <w:r>
        <w:rPr>
          <w:b/>
          <w:color w:val="67287F"/>
          <w:sz w:val="28"/>
        </w:rPr>
        <w:t>and</w:t>
      </w:r>
      <w:r>
        <w:rPr>
          <w:b/>
          <w:color w:val="67287F"/>
          <w:spacing w:val="-7"/>
          <w:sz w:val="28"/>
        </w:rPr>
        <w:t> </w:t>
      </w:r>
      <w:r>
        <w:rPr>
          <w:b/>
          <w:color w:val="67287F"/>
          <w:sz w:val="28"/>
        </w:rPr>
        <w:t>communicate</w:t>
      </w:r>
      <w:r>
        <w:rPr>
          <w:b/>
          <w:color w:val="67287F"/>
          <w:spacing w:val="-8"/>
          <w:sz w:val="28"/>
        </w:rPr>
        <w:t> </w:t>
      </w:r>
      <w:r>
        <w:rPr>
          <w:b/>
          <w:color w:val="67287F"/>
          <w:sz w:val="28"/>
        </w:rPr>
        <w:t>rules</w:t>
      </w:r>
      <w:r>
        <w:rPr>
          <w:b/>
          <w:color w:val="67287F"/>
          <w:spacing w:val="-7"/>
          <w:sz w:val="28"/>
        </w:rPr>
        <w:t> </w:t>
      </w:r>
      <w:r>
        <w:rPr>
          <w:b/>
          <w:color w:val="67287F"/>
          <w:sz w:val="28"/>
        </w:rPr>
        <w:t>and</w:t>
      </w:r>
      <w:r>
        <w:rPr>
          <w:b/>
          <w:color w:val="67287F"/>
          <w:spacing w:val="-7"/>
          <w:sz w:val="28"/>
        </w:rPr>
        <w:t> </w:t>
      </w:r>
      <w:r>
        <w:rPr>
          <w:b/>
          <w:color w:val="67287F"/>
          <w:sz w:val="28"/>
        </w:rPr>
        <w:t>entitlements</w:t>
      </w:r>
      <w:r>
        <w:rPr>
          <w:b/>
          <w:color w:val="67287F"/>
          <w:spacing w:val="-6"/>
          <w:sz w:val="28"/>
        </w:rPr>
        <w:t> </w:t>
      </w:r>
      <w:r>
        <w:rPr>
          <w:b/>
          <w:color w:val="67287F"/>
          <w:sz w:val="28"/>
        </w:rPr>
        <w:t>relating</w:t>
      </w:r>
      <w:r>
        <w:rPr>
          <w:b/>
          <w:color w:val="67287F"/>
          <w:spacing w:val="-8"/>
          <w:sz w:val="28"/>
        </w:rPr>
        <w:t> </w:t>
      </w:r>
      <w:r>
        <w:rPr>
          <w:b/>
          <w:color w:val="67287F"/>
          <w:sz w:val="28"/>
        </w:rPr>
        <w:t>to</w:t>
      </w:r>
      <w:r>
        <w:rPr>
          <w:b/>
          <w:color w:val="67287F"/>
          <w:spacing w:val="-7"/>
          <w:sz w:val="28"/>
        </w:rPr>
        <w:t> </w:t>
      </w:r>
      <w:r>
        <w:rPr>
          <w:b/>
          <w:color w:val="67287F"/>
          <w:spacing w:val="-2"/>
          <w:sz w:val="28"/>
        </w:rPr>
        <w:t>their</w:t>
      </w:r>
    </w:p>
    <w:p>
      <w:pPr>
        <w:spacing w:line="225" w:lineRule="auto" w:before="5"/>
        <w:ind w:left="2562" w:right="1171" w:firstLine="0"/>
        <w:jc w:val="left"/>
        <w:rPr>
          <w:b/>
          <w:sz w:val="28"/>
        </w:rPr>
      </w:pPr>
      <w:r>
        <w:rPr>
          <w:b/>
          <w:color w:val="67287F"/>
          <w:sz w:val="28"/>
        </w:rPr>
        <w:t>access</w:t>
      </w:r>
      <w:r>
        <w:rPr>
          <w:b/>
          <w:color w:val="67287F"/>
          <w:spacing w:val="-6"/>
          <w:sz w:val="28"/>
        </w:rPr>
        <w:t> </w:t>
      </w:r>
      <w:r>
        <w:rPr>
          <w:b/>
          <w:color w:val="67287F"/>
          <w:sz w:val="28"/>
        </w:rPr>
        <w:t>to</w:t>
      </w:r>
      <w:r>
        <w:rPr>
          <w:b/>
          <w:color w:val="67287F"/>
          <w:spacing w:val="-6"/>
          <w:sz w:val="28"/>
        </w:rPr>
        <w:t> </w:t>
      </w:r>
      <w:r>
        <w:rPr>
          <w:b/>
          <w:color w:val="67287F"/>
          <w:sz w:val="28"/>
        </w:rPr>
        <w:t>cross-border</w:t>
      </w:r>
      <w:r>
        <w:rPr>
          <w:b/>
          <w:color w:val="67287F"/>
          <w:spacing w:val="-7"/>
          <w:sz w:val="28"/>
        </w:rPr>
        <w:t> </w:t>
      </w:r>
      <w:r>
        <w:rPr>
          <w:b/>
          <w:color w:val="67287F"/>
          <w:sz w:val="28"/>
        </w:rPr>
        <w:t>and</w:t>
      </w:r>
      <w:r>
        <w:rPr>
          <w:b/>
          <w:color w:val="67287F"/>
          <w:spacing w:val="-6"/>
          <w:sz w:val="28"/>
        </w:rPr>
        <w:t> </w:t>
      </w:r>
      <w:r>
        <w:rPr>
          <w:b/>
          <w:color w:val="67287F"/>
          <w:sz w:val="28"/>
        </w:rPr>
        <w:t>all-island</w:t>
      </w:r>
      <w:r>
        <w:rPr>
          <w:b/>
          <w:color w:val="67287F"/>
          <w:spacing w:val="-6"/>
          <w:sz w:val="28"/>
        </w:rPr>
        <w:t> </w:t>
      </w:r>
      <w:r>
        <w:rPr>
          <w:b/>
          <w:color w:val="67287F"/>
          <w:sz w:val="28"/>
        </w:rPr>
        <w:t>health</w:t>
      </w:r>
      <w:r>
        <w:rPr>
          <w:b/>
          <w:color w:val="67287F"/>
          <w:spacing w:val="-6"/>
          <w:sz w:val="28"/>
        </w:rPr>
        <w:t> </w:t>
      </w:r>
      <w:r>
        <w:rPr>
          <w:b/>
          <w:color w:val="67287F"/>
          <w:sz w:val="28"/>
        </w:rPr>
        <w:t>care</w:t>
      </w:r>
      <w:r>
        <w:rPr>
          <w:b/>
          <w:color w:val="67287F"/>
          <w:spacing w:val="-7"/>
          <w:sz w:val="28"/>
        </w:rPr>
        <w:t> </w:t>
      </w:r>
      <w:r>
        <w:rPr>
          <w:b/>
          <w:color w:val="67287F"/>
          <w:sz w:val="28"/>
        </w:rPr>
        <w:t>services,</w:t>
      </w:r>
      <w:r>
        <w:rPr>
          <w:b/>
          <w:color w:val="67287F"/>
          <w:spacing w:val="-6"/>
          <w:sz w:val="28"/>
        </w:rPr>
        <w:t> </w:t>
      </w:r>
      <w:r>
        <w:rPr>
          <w:b/>
          <w:color w:val="67287F"/>
          <w:sz w:val="28"/>
        </w:rPr>
        <w:t>particularly any changes due to Brexit; and</w:t>
      </w:r>
    </w:p>
    <w:p>
      <w:pPr>
        <w:pStyle w:val="ListParagraph"/>
        <w:numPr>
          <w:ilvl w:val="2"/>
          <w:numId w:val="13"/>
        </w:numPr>
        <w:tabs>
          <w:tab w:pos="2562" w:val="left" w:leader="none"/>
        </w:tabs>
        <w:spacing w:line="225" w:lineRule="auto" w:before="103" w:after="0"/>
        <w:ind w:left="2562" w:right="1145" w:hanging="360"/>
        <w:jc w:val="left"/>
        <w:rPr>
          <w:b/>
          <w:sz w:val="28"/>
        </w:rPr>
      </w:pPr>
      <w:r>
        <w:rPr>
          <w:b/>
          <w:color w:val="67287F"/>
          <w:sz w:val="28"/>
        </w:rPr>
        <w:t>raise awareness of these rules and entitlements in terms of their access to cross-border and all-island health care services amongst relevant</w:t>
      </w:r>
      <w:r>
        <w:rPr>
          <w:b/>
          <w:color w:val="67287F"/>
          <w:spacing w:val="-9"/>
          <w:sz w:val="28"/>
        </w:rPr>
        <w:t> </w:t>
      </w:r>
      <w:r>
        <w:rPr>
          <w:b/>
          <w:color w:val="67287F"/>
          <w:sz w:val="28"/>
        </w:rPr>
        <w:t>health</w:t>
      </w:r>
      <w:r>
        <w:rPr>
          <w:b/>
          <w:color w:val="67287F"/>
          <w:spacing w:val="-9"/>
          <w:sz w:val="28"/>
        </w:rPr>
        <w:t> </w:t>
      </w:r>
      <w:r>
        <w:rPr>
          <w:b/>
          <w:color w:val="67287F"/>
          <w:sz w:val="28"/>
        </w:rPr>
        <w:t>professionals,</w:t>
      </w:r>
      <w:r>
        <w:rPr>
          <w:b/>
          <w:color w:val="67287F"/>
          <w:spacing w:val="-9"/>
          <w:sz w:val="28"/>
        </w:rPr>
        <w:t> </w:t>
      </w:r>
      <w:r>
        <w:rPr>
          <w:b/>
          <w:color w:val="67287F"/>
          <w:sz w:val="28"/>
        </w:rPr>
        <w:t>including</w:t>
      </w:r>
      <w:r>
        <w:rPr>
          <w:b/>
          <w:color w:val="67287F"/>
          <w:spacing w:val="-10"/>
          <w:sz w:val="28"/>
        </w:rPr>
        <w:t> </w:t>
      </w:r>
      <w:r>
        <w:rPr>
          <w:b/>
          <w:color w:val="67287F"/>
          <w:sz w:val="28"/>
        </w:rPr>
        <w:t>through</w:t>
      </w:r>
      <w:r>
        <w:rPr>
          <w:b/>
          <w:color w:val="67287F"/>
          <w:spacing w:val="-9"/>
          <w:sz w:val="28"/>
        </w:rPr>
        <w:t> </w:t>
      </w:r>
      <w:r>
        <w:rPr>
          <w:b/>
          <w:color w:val="67287F"/>
          <w:sz w:val="28"/>
        </w:rPr>
        <w:t>training</w:t>
      </w:r>
      <w:r>
        <w:rPr>
          <w:b/>
          <w:color w:val="67287F"/>
          <w:spacing w:val="-10"/>
          <w:sz w:val="28"/>
        </w:rPr>
        <w:t> </w:t>
      </w:r>
      <w:r>
        <w:rPr>
          <w:b/>
          <w:color w:val="67287F"/>
          <w:sz w:val="28"/>
        </w:rPr>
        <w:t>and</w:t>
      </w:r>
      <w:r>
        <w:rPr>
          <w:b/>
          <w:color w:val="67287F"/>
          <w:spacing w:val="-9"/>
          <w:sz w:val="28"/>
        </w:rPr>
        <w:t> </w:t>
      </w:r>
      <w:r>
        <w:rPr>
          <w:b/>
          <w:color w:val="67287F"/>
          <w:sz w:val="28"/>
        </w:rPr>
        <w:t>guidance.</w:t>
      </w:r>
    </w:p>
    <w:p>
      <w:pPr>
        <w:pStyle w:val="BodyText"/>
        <w:spacing w:before="94"/>
        <w:rPr>
          <w:b/>
        </w:rPr>
      </w:pPr>
    </w:p>
    <w:p>
      <w:pPr>
        <w:pStyle w:val="ListParagraph"/>
        <w:numPr>
          <w:ilvl w:val="1"/>
          <w:numId w:val="13"/>
        </w:numPr>
        <w:tabs>
          <w:tab w:pos="1853" w:val="left" w:leader="none"/>
        </w:tabs>
        <w:spacing w:line="225" w:lineRule="auto" w:before="0" w:after="0"/>
        <w:ind w:left="1853" w:right="1161" w:hanging="720"/>
        <w:jc w:val="left"/>
        <w:rPr>
          <w:b/>
          <w:color w:val="67287F"/>
          <w:sz w:val="28"/>
        </w:rPr>
      </w:pPr>
      <w:r>
        <w:rPr>
          <w:b/>
          <w:color w:val="67287F"/>
          <w:sz w:val="28"/>
        </w:rPr>
        <w:t>The Commissions recommend that the UK Government, the NI Executive, the Department of Health, and other relevant departments, should take appropriate and effective steps to address the barriers experienced by minority</w:t>
      </w:r>
      <w:r>
        <w:rPr>
          <w:b/>
          <w:color w:val="67287F"/>
          <w:spacing w:val="-7"/>
          <w:sz w:val="28"/>
        </w:rPr>
        <w:t> </w:t>
      </w:r>
      <w:r>
        <w:rPr>
          <w:b/>
          <w:color w:val="67287F"/>
          <w:sz w:val="28"/>
        </w:rPr>
        <w:t>ethnic</w:t>
      </w:r>
      <w:r>
        <w:rPr>
          <w:b/>
          <w:color w:val="67287F"/>
          <w:spacing w:val="-7"/>
          <w:sz w:val="28"/>
        </w:rPr>
        <w:t> </w:t>
      </w:r>
      <w:r>
        <w:rPr>
          <w:b/>
          <w:color w:val="67287F"/>
          <w:sz w:val="28"/>
        </w:rPr>
        <w:t>and</w:t>
      </w:r>
      <w:r>
        <w:rPr>
          <w:b/>
          <w:color w:val="67287F"/>
          <w:spacing w:val="-7"/>
          <w:sz w:val="28"/>
        </w:rPr>
        <w:t> </w:t>
      </w:r>
      <w:r>
        <w:rPr>
          <w:b/>
          <w:color w:val="67287F"/>
          <w:sz w:val="28"/>
        </w:rPr>
        <w:t>migrant</w:t>
      </w:r>
      <w:r>
        <w:rPr>
          <w:b/>
          <w:color w:val="67287F"/>
          <w:spacing w:val="-7"/>
          <w:sz w:val="28"/>
        </w:rPr>
        <w:t> </w:t>
      </w:r>
      <w:r>
        <w:rPr>
          <w:b/>
          <w:color w:val="67287F"/>
          <w:sz w:val="28"/>
        </w:rPr>
        <w:t>people</w:t>
      </w:r>
      <w:r>
        <w:rPr>
          <w:b/>
          <w:color w:val="67287F"/>
          <w:spacing w:val="-7"/>
          <w:sz w:val="28"/>
        </w:rPr>
        <w:t> </w:t>
      </w:r>
      <w:r>
        <w:rPr>
          <w:b/>
          <w:color w:val="67287F"/>
          <w:sz w:val="28"/>
        </w:rPr>
        <w:t>in</w:t>
      </w:r>
      <w:r>
        <w:rPr>
          <w:b/>
          <w:color w:val="67287F"/>
          <w:spacing w:val="-7"/>
          <w:sz w:val="28"/>
        </w:rPr>
        <w:t> </w:t>
      </w:r>
      <w:r>
        <w:rPr>
          <w:b/>
          <w:color w:val="67287F"/>
          <w:sz w:val="28"/>
        </w:rPr>
        <w:t>NI</w:t>
      </w:r>
      <w:r>
        <w:rPr>
          <w:b/>
          <w:color w:val="67287F"/>
          <w:spacing w:val="-7"/>
          <w:sz w:val="28"/>
        </w:rPr>
        <w:t> </w:t>
      </w:r>
      <w:r>
        <w:rPr>
          <w:b/>
          <w:color w:val="67287F"/>
          <w:sz w:val="28"/>
        </w:rPr>
        <w:t>in</w:t>
      </w:r>
      <w:r>
        <w:rPr>
          <w:b/>
          <w:color w:val="67287F"/>
          <w:spacing w:val="-7"/>
          <w:sz w:val="28"/>
        </w:rPr>
        <w:t> </w:t>
      </w:r>
      <w:r>
        <w:rPr>
          <w:b/>
          <w:color w:val="67287F"/>
          <w:sz w:val="28"/>
        </w:rPr>
        <w:t>accessing</w:t>
      </w:r>
      <w:r>
        <w:rPr>
          <w:b/>
          <w:color w:val="67287F"/>
          <w:spacing w:val="-7"/>
          <w:sz w:val="28"/>
        </w:rPr>
        <w:t> </w:t>
      </w:r>
      <w:r>
        <w:rPr>
          <w:b/>
          <w:color w:val="67287F"/>
          <w:sz w:val="28"/>
        </w:rPr>
        <w:t>healthcare</w:t>
      </w:r>
      <w:r>
        <w:rPr>
          <w:b/>
          <w:color w:val="67287F"/>
          <w:spacing w:val="-7"/>
          <w:sz w:val="28"/>
        </w:rPr>
        <w:t> </w:t>
      </w:r>
      <w:r>
        <w:rPr>
          <w:b/>
          <w:color w:val="67287F"/>
          <w:sz w:val="28"/>
        </w:rPr>
        <w:t>after</w:t>
      </w:r>
      <w:r>
        <w:rPr>
          <w:b/>
          <w:color w:val="67287F"/>
          <w:spacing w:val="-7"/>
          <w:sz w:val="28"/>
        </w:rPr>
        <w:t> </w:t>
      </w:r>
      <w:r>
        <w:rPr>
          <w:b/>
          <w:color w:val="67287F"/>
          <w:sz w:val="28"/>
        </w:rPr>
        <w:t>Brexit, including cross-border and all-island health care services.</w:t>
      </w:r>
    </w:p>
    <w:p>
      <w:pPr>
        <w:pStyle w:val="ListParagraph"/>
        <w:numPr>
          <w:ilvl w:val="1"/>
          <w:numId w:val="13"/>
        </w:numPr>
        <w:tabs>
          <w:tab w:pos="1853" w:val="left" w:leader="none"/>
        </w:tabs>
        <w:spacing w:line="225" w:lineRule="auto" w:before="313" w:after="0"/>
        <w:ind w:left="1853" w:right="1452" w:hanging="720"/>
        <w:jc w:val="left"/>
        <w:rPr>
          <w:b/>
          <w:color w:val="67287F"/>
          <w:sz w:val="28"/>
        </w:rPr>
      </w:pPr>
      <w:r>
        <w:rPr>
          <w:b/>
          <w:color w:val="67287F"/>
          <w:sz w:val="28"/>
        </w:rPr>
        <w:t>The ECNI recommends that the UK Government, the NI Executive, and relevant</w:t>
      </w:r>
      <w:r>
        <w:rPr>
          <w:b/>
          <w:color w:val="67287F"/>
          <w:spacing w:val="-6"/>
          <w:sz w:val="28"/>
        </w:rPr>
        <w:t> </w:t>
      </w:r>
      <w:r>
        <w:rPr>
          <w:b/>
          <w:color w:val="67287F"/>
          <w:sz w:val="28"/>
        </w:rPr>
        <w:t>NI</w:t>
      </w:r>
      <w:r>
        <w:rPr>
          <w:b/>
          <w:color w:val="67287F"/>
          <w:spacing w:val="-6"/>
          <w:sz w:val="28"/>
        </w:rPr>
        <w:t> </w:t>
      </w:r>
      <w:r>
        <w:rPr>
          <w:b/>
          <w:color w:val="67287F"/>
          <w:sz w:val="28"/>
        </w:rPr>
        <w:t>departments</w:t>
      </w:r>
      <w:r>
        <w:rPr>
          <w:b/>
          <w:color w:val="67287F"/>
          <w:spacing w:val="-6"/>
          <w:sz w:val="28"/>
        </w:rPr>
        <w:t> </w:t>
      </w:r>
      <w:r>
        <w:rPr>
          <w:b/>
          <w:color w:val="67287F"/>
          <w:sz w:val="28"/>
        </w:rPr>
        <w:t>should</w:t>
      </w:r>
      <w:r>
        <w:rPr>
          <w:b/>
          <w:color w:val="67287F"/>
          <w:spacing w:val="-6"/>
          <w:sz w:val="28"/>
        </w:rPr>
        <w:t> </w:t>
      </w:r>
      <w:r>
        <w:rPr>
          <w:b/>
          <w:color w:val="67287F"/>
          <w:sz w:val="28"/>
        </w:rPr>
        <w:t>carry</w:t>
      </w:r>
      <w:r>
        <w:rPr>
          <w:b/>
          <w:color w:val="67287F"/>
          <w:spacing w:val="-6"/>
          <w:sz w:val="28"/>
        </w:rPr>
        <w:t> </w:t>
      </w:r>
      <w:r>
        <w:rPr>
          <w:b/>
          <w:color w:val="67287F"/>
          <w:sz w:val="28"/>
        </w:rPr>
        <w:t>out</w:t>
      </w:r>
      <w:r>
        <w:rPr>
          <w:b/>
          <w:color w:val="67287F"/>
          <w:spacing w:val="-6"/>
          <w:sz w:val="28"/>
        </w:rPr>
        <w:t> </w:t>
      </w:r>
      <w:r>
        <w:rPr>
          <w:b/>
          <w:color w:val="67287F"/>
          <w:sz w:val="28"/>
        </w:rPr>
        <w:t>research</w:t>
      </w:r>
      <w:r>
        <w:rPr>
          <w:b/>
          <w:color w:val="67287F"/>
          <w:spacing w:val="-6"/>
          <w:sz w:val="28"/>
        </w:rPr>
        <w:t> </w:t>
      </w:r>
      <w:r>
        <w:rPr>
          <w:b/>
          <w:color w:val="67287F"/>
          <w:sz w:val="28"/>
        </w:rPr>
        <w:t>to</w:t>
      </w:r>
      <w:r>
        <w:rPr>
          <w:b/>
          <w:color w:val="67287F"/>
          <w:spacing w:val="-6"/>
          <w:sz w:val="28"/>
        </w:rPr>
        <w:t> </w:t>
      </w:r>
      <w:r>
        <w:rPr>
          <w:b/>
          <w:color w:val="67287F"/>
          <w:sz w:val="28"/>
        </w:rPr>
        <w:t>assess</w:t>
      </w:r>
      <w:r>
        <w:rPr>
          <w:b/>
          <w:color w:val="67287F"/>
          <w:spacing w:val="-6"/>
          <w:sz w:val="28"/>
        </w:rPr>
        <w:t> </w:t>
      </w:r>
      <w:r>
        <w:rPr>
          <w:b/>
          <w:color w:val="67287F"/>
          <w:sz w:val="28"/>
        </w:rPr>
        <w:t>any</w:t>
      </w:r>
      <w:r>
        <w:rPr>
          <w:b/>
          <w:color w:val="67287F"/>
          <w:spacing w:val="-6"/>
          <w:sz w:val="28"/>
        </w:rPr>
        <w:t> </w:t>
      </w:r>
      <w:r>
        <w:rPr>
          <w:b/>
          <w:color w:val="67287F"/>
          <w:sz w:val="28"/>
        </w:rPr>
        <w:t>impact</w:t>
      </w:r>
      <w:r>
        <w:rPr>
          <w:b/>
          <w:color w:val="67287F"/>
          <w:spacing w:val="-6"/>
          <w:sz w:val="28"/>
        </w:rPr>
        <w:t> </w:t>
      </w:r>
      <w:r>
        <w:rPr>
          <w:b/>
          <w:color w:val="67287F"/>
          <w:sz w:val="28"/>
        </w:rPr>
        <w:t>of Brexit on the provision of interpreters, including in health provision, and take steps to address any impact identified.</w:t>
      </w:r>
    </w:p>
    <w:p>
      <w:pPr>
        <w:pStyle w:val="Heading3"/>
        <w:spacing w:before="263"/>
      </w:pPr>
      <w:bookmarkStart w:name="EU Loss of Funding" w:id="136"/>
      <w:bookmarkEnd w:id="136"/>
      <w:r>
        <w:rPr>
          <w:b w:val="0"/>
        </w:rPr>
      </w:r>
      <w:r>
        <w:rPr>
          <w:color w:val="67287F"/>
        </w:rPr>
        <w:t>EU</w:t>
      </w:r>
      <w:r>
        <w:rPr>
          <w:color w:val="67287F"/>
          <w:spacing w:val="-1"/>
        </w:rPr>
        <w:t> </w:t>
      </w:r>
      <w:r>
        <w:rPr>
          <w:color w:val="67287F"/>
        </w:rPr>
        <w:t>Loss of</w:t>
      </w:r>
      <w:r>
        <w:rPr>
          <w:color w:val="67287F"/>
          <w:spacing w:val="-1"/>
        </w:rPr>
        <w:t> </w:t>
      </w:r>
      <w:r>
        <w:rPr>
          <w:color w:val="67287F"/>
          <w:spacing w:val="-2"/>
        </w:rPr>
        <w:t>Funding</w:t>
      </w:r>
    </w:p>
    <w:p>
      <w:pPr>
        <w:pStyle w:val="BodyText"/>
        <w:spacing w:before="4"/>
        <w:rPr>
          <w:b/>
          <w:sz w:val="5"/>
        </w:rPr>
      </w:pPr>
      <w:r>
        <w:rPr/>
        <mc:AlternateContent>
          <mc:Choice Requires="wps">
            <w:drawing>
              <wp:anchor distT="0" distB="0" distL="0" distR="0" allowOverlap="1" layoutInCell="1" locked="0" behindDoc="1" simplePos="0" relativeHeight="487730176">
                <wp:simplePos x="0" y="0"/>
                <wp:positionH relativeFrom="page">
                  <wp:posOffset>719997</wp:posOffset>
                </wp:positionH>
                <wp:positionV relativeFrom="paragraph">
                  <wp:posOffset>56962</wp:posOffset>
                </wp:positionV>
                <wp:extent cx="6120130" cy="1270"/>
                <wp:effectExtent l="0" t="0" r="0" b="0"/>
                <wp:wrapTopAndBottom/>
                <wp:docPr id="654" name="Graphic 654"/>
                <wp:cNvGraphicFramePr>
                  <a:graphicFrameLocks/>
                </wp:cNvGraphicFramePr>
                <a:graphic>
                  <a:graphicData uri="http://schemas.microsoft.com/office/word/2010/wordprocessingShape">
                    <wps:wsp>
                      <wps:cNvPr id="654" name="Graphic 654"/>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4.485248pt;width:481.9pt;height:.1pt;mso-position-horizontal-relative:page;mso-position-vertical-relative:paragraph;z-index:-15586304;mso-wrap-distance-left:0;mso-wrap-distance-right:0" id="docshape598" coordorigin="1134,90" coordsize="9638,0" path="m10772,90l1134,90e" filled="false" stroked="true" strokeweight="1pt" strokecolor="#67287f">
                <v:path arrowok="t"/>
                <v:stroke dashstyle="solid"/>
                <w10:wrap type="topAndBottom"/>
              </v:shape>
            </w:pict>
          </mc:Fallback>
        </mc:AlternateContent>
      </w:r>
    </w:p>
    <w:p>
      <w:pPr>
        <w:pStyle w:val="ListParagraph"/>
        <w:numPr>
          <w:ilvl w:val="1"/>
          <w:numId w:val="13"/>
        </w:numPr>
        <w:tabs>
          <w:tab w:pos="1853" w:val="left" w:leader="none"/>
        </w:tabs>
        <w:spacing w:line="225" w:lineRule="auto" w:before="313" w:after="0"/>
        <w:ind w:left="1853" w:right="1913" w:hanging="720"/>
        <w:jc w:val="left"/>
        <w:rPr>
          <w:sz w:val="28"/>
        </w:rPr>
      </w:pPr>
      <w:r>
        <w:rPr>
          <w:sz w:val="28"/>
        </w:rPr>
        <w:t>The</w:t>
      </w:r>
      <w:r>
        <w:rPr>
          <w:spacing w:val="-7"/>
          <w:sz w:val="28"/>
        </w:rPr>
        <w:t> </w:t>
      </w:r>
      <w:r>
        <w:rPr>
          <w:sz w:val="28"/>
        </w:rPr>
        <w:t>ECNI’s</w:t>
      </w:r>
      <w:r>
        <w:rPr>
          <w:spacing w:val="-8"/>
          <w:sz w:val="28"/>
        </w:rPr>
        <w:t> </w:t>
      </w:r>
      <w:r>
        <w:rPr>
          <w:sz w:val="28"/>
        </w:rPr>
        <w:t>independent</w:t>
      </w:r>
      <w:r>
        <w:rPr>
          <w:spacing w:val="-7"/>
          <w:sz w:val="28"/>
        </w:rPr>
        <w:t> </w:t>
      </w:r>
      <w:r>
        <w:rPr>
          <w:sz w:val="28"/>
        </w:rPr>
        <w:t>research</w:t>
      </w:r>
      <w:r>
        <w:rPr>
          <w:spacing w:val="-8"/>
          <w:sz w:val="28"/>
        </w:rPr>
        <w:t> </w:t>
      </w:r>
      <w:r>
        <w:rPr>
          <w:sz w:val="28"/>
        </w:rPr>
        <w:t>on</w:t>
      </w:r>
      <w:r>
        <w:rPr>
          <w:spacing w:val="-8"/>
          <w:sz w:val="28"/>
        </w:rPr>
        <w:t> </w:t>
      </w:r>
      <w:r>
        <w:rPr>
          <w:sz w:val="28"/>
        </w:rPr>
        <w:t>the</w:t>
      </w:r>
      <w:r>
        <w:rPr>
          <w:spacing w:val="-7"/>
          <w:sz w:val="28"/>
        </w:rPr>
        <w:t> </w:t>
      </w:r>
      <w:r>
        <w:rPr>
          <w:sz w:val="28"/>
        </w:rPr>
        <w:t>“Impact</w:t>
      </w:r>
      <w:r>
        <w:rPr>
          <w:spacing w:val="-7"/>
          <w:sz w:val="28"/>
        </w:rPr>
        <w:t> </w:t>
      </w:r>
      <w:r>
        <w:rPr>
          <w:sz w:val="28"/>
        </w:rPr>
        <w:t>of</w:t>
      </w:r>
      <w:r>
        <w:rPr>
          <w:spacing w:val="-8"/>
          <w:sz w:val="28"/>
        </w:rPr>
        <w:t> </w:t>
      </w:r>
      <w:r>
        <w:rPr>
          <w:sz w:val="28"/>
        </w:rPr>
        <w:t>Brexit</w:t>
      </w:r>
      <w:r>
        <w:rPr>
          <w:spacing w:val="-7"/>
          <w:sz w:val="28"/>
        </w:rPr>
        <w:t> </w:t>
      </w:r>
      <w:r>
        <w:rPr>
          <w:sz w:val="28"/>
        </w:rPr>
        <w:t>on</w:t>
      </w:r>
      <w:r>
        <w:rPr>
          <w:spacing w:val="-8"/>
          <w:sz w:val="28"/>
        </w:rPr>
        <w:t> </w:t>
      </w:r>
      <w:r>
        <w:rPr>
          <w:sz w:val="28"/>
        </w:rPr>
        <w:t>Section</w:t>
      </w:r>
      <w:r>
        <w:rPr>
          <w:spacing w:val="-8"/>
          <w:sz w:val="28"/>
        </w:rPr>
        <w:t> </w:t>
      </w:r>
      <w:r>
        <w:rPr>
          <w:sz w:val="28"/>
        </w:rPr>
        <w:t>75 Equality Groups: EU funding” highlighted that equality of opportunity and good relations should be at the heart of government policy making on funding.</w:t>
      </w:r>
      <w:r>
        <w:rPr>
          <w:sz w:val="28"/>
          <w:vertAlign w:val="superscript"/>
        </w:rPr>
        <w:t>878</w:t>
      </w:r>
      <w:r>
        <w:rPr>
          <w:spacing w:val="40"/>
          <w:sz w:val="28"/>
          <w:vertAlign w:val="baseline"/>
        </w:rPr>
        <w:t> </w:t>
      </w:r>
      <w:r>
        <w:rPr>
          <w:sz w:val="28"/>
          <w:vertAlign w:val="baseline"/>
        </w:rPr>
        <w:t>The ECNI has called on the Secretary of State for NI, to</w:t>
      </w:r>
    </w:p>
    <w:p>
      <w:pPr>
        <w:pStyle w:val="BodyText"/>
        <w:spacing w:before="4"/>
        <w:rPr>
          <w:sz w:val="16"/>
        </w:rPr>
      </w:pPr>
      <w:r>
        <w:rPr/>
        <mc:AlternateContent>
          <mc:Choice Requires="wps">
            <w:drawing>
              <wp:anchor distT="0" distB="0" distL="0" distR="0" allowOverlap="1" layoutInCell="1" locked="0" behindDoc="1" simplePos="0" relativeHeight="487730688">
                <wp:simplePos x="0" y="0"/>
                <wp:positionH relativeFrom="page">
                  <wp:posOffset>719996</wp:posOffset>
                </wp:positionH>
                <wp:positionV relativeFrom="paragraph">
                  <wp:posOffset>141961</wp:posOffset>
                </wp:positionV>
                <wp:extent cx="6120130" cy="1270"/>
                <wp:effectExtent l="0" t="0" r="0" b="0"/>
                <wp:wrapTopAndBottom/>
                <wp:docPr id="655" name="Graphic 655"/>
                <wp:cNvGraphicFramePr>
                  <a:graphicFrameLocks/>
                </wp:cNvGraphicFramePr>
                <a:graphic>
                  <a:graphicData uri="http://schemas.microsoft.com/office/word/2010/wordprocessingShape">
                    <wps:wsp>
                      <wps:cNvPr id="655" name="Graphic 65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1.178087pt;width:481.9pt;height:.1pt;mso-position-horizontal-relative:page;mso-position-vertical-relative:paragraph;z-index:-15585792;mso-wrap-distance-left:0;mso-wrap-distance-right:0" id="docshape599" coordorigin="1134,224" coordsize="9638,0" path="m10772,224l1134,224e" filled="false" stroked="true" strokeweight="1pt" strokecolor="#393b80">
                <v:path arrowok="t"/>
                <v:stroke dashstyle="solid"/>
                <w10:wrap type="topAndBottom"/>
              </v:shape>
            </w:pict>
          </mc:Fallback>
        </mc:AlternateContent>
      </w:r>
    </w:p>
    <w:p>
      <w:pPr>
        <w:pStyle w:val="ListParagraph"/>
        <w:numPr>
          <w:ilvl w:val="0"/>
          <w:numId w:val="16"/>
        </w:numPr>
        <w:tabs>
          <w:tab w:pos="1853" w:val="left" w:leader="none"/>
        </w:tabs>
        <w:spacing w:line="235" w:lineRule="auto" w:before="156" w:after="0"/>
        <w:ind w:left="1853" w:right="2068" w:hanging="720"/>
        <w:jc w:val="left"/>
        <w:rPr>
          <w:sz w:val="18"/>
        </w:rPr>
      </w:pPr>
      <w:r>
        <w:rPr>
          <w:sz w:val="18"/>
        </w:rPr>
        <w:t>Alison</w:t>
      </w:r>
      <w:r>
        <w:rPr>
          <w:spacing w:val="-5"/>
          <w:sz w:val="18"/>
        </w:rPr>
        <w:t> </w:t>
      </w:r>
      <w:r>
        <w:rPr>
          <w:sz w:val="18"/>
        </w:rPr>
        <w:t>Harvey</w:t>
      </w:r>
      <w:r>
        <w:rPr>
          <w:spacing w:val="-4"/>
          <w:sz w:val="18"/>
        </w:rPr>
        <w:t> </w:t>
      </w:r>
      <w:r>
        <w:rPr>
          <w:sz w:val="18"/>
        </w:rPr>
        <w:t>BL,</w:t>
      </w:r>
      <w:r>
        <w:rPr>
          <w:spacing w:val="-4"/>
          <w:sz w:val="18"/>
        </w:rPr>
        <w:t> </w:t>
      </w:r>
      <w:r>
        <w:rPr>
          <w:sz w:val="18"/>
        </w:rPr>
        <w:t>‘Article</w:t>
      </w:r>
      <w:r>
        <w:rPr>
          <w:spacing w:val="-4"/>
          <w:sz w:val="18"/>
        </w:rPr>
        <w:t> </w:t>
      </w:r>
      <w:r>
        <w:rPr>
          <w:sz w:val="18"/>
        </w:rPr>
        <w:t>2</w:t>
      </w:r>
      <w:r>
        <w:rPr>
          <w:spacing w:val="-4"/>
          <w:sz w:val="18"/>
        </w:rPr>
        <w:t> </w:t>
      </w:r>
      <w:r>
        <w:rPr>
          <w:sz w:val="18"/>
        </w:rPr>
        <w:t>of</w:t>
      </w:r>
      <w:r>
        <w:rPr>
          <w:spacing w:val="-5"/>
          <w:sz w:val="18"/>
        </w:rPr>
        <w:t> </w:t>
      </w:r>
      <w:r>
        <w:rPr>
          <w:sz w:val="18"/>
        </w:rPr>
        <w:t>the</w:t>
      </w:r>
      <w:r>
        <w:rPr>
          <w:spacing w:val="-4"/>
          <w:sz w:val="18"/>
        </w:rPr>
        <w:t> </w:t>
      </w:r>
      <w:r>
        <w:rPr>
          <w:sz w:val="18"/>
        </w:rPr>
        <w:t>Windsor</w:t>
      </w:r>
      <w:r>
        <w:rPr>
          <w:spacing w:val="-4"/>
          <w:sz w:val="18"/>
        </w:rPr>
        <w:t> </w:t>
      </w:r>
      <w:r>
        <w:rPr>
          <w:sz w:val="18"/>
        </w:rPr>
        <w:t>Framework</w:t>
      </w:r>
      <w:r>
        <w:rPr>
          <w:spacing w:val="-4"/>
          <w:sz w:val="18"/>
        </w:rPr>
        <w:t> </w:t>
      </w:r>
      <w:r>
        <w:rPr>
          <w:sz w:val="18"/>
        </w:rPr>
        <w:t>and</w:t>
      </w:r>
      <w:r>
        <w:rPr>
          <w:spacing w:val="-5"/>
          <w:sz w:val="18"/>
        </w:rPr>
        <w:t> </w:t>
      </w:r>
      <w:r>
        <w:rPr>
          <w:sz w:val="18"/>
        </w:rPr>
        <w:t>the</w:t>
      </w:r>
      <w:r>
        <w:rPr>
          <w:spacing w:val="-4"/>
          <w:sz w:val="18"/>
        </w:rPr>
        <w:t> </w:t>
      </w:r>
      <w:r>
        <w:rPr>
          <w:sz w:val="18"/>
        </w:rPr>
        <w:t>rights</w:t>
      </w:r>
      <w:r>
        <w:rPr>
          <w:spacing w:val="-5"/>
          <w:sz w:val="18"/>
        </w:rPr>
        <w:t> </w:t>
      </w:r>
      <w:r>
        <w:rPr>
          <w:sz w:val="18"/>
        </w:rPr>
        <w:t>of</w:t>
      </w:r>
      <w:r>
        <w:rPr>
          <w:spacing w:val="-5"/>
          <w:sz w:val="18"/>
        </w:rPr>
        <w:t> </w:t>
      </w:r>
      <w:r>
        <w:rPr>
          <w:sz w:val="18"/>
        </w:rPr>
        <w:t>refugees</w:t>
      </w:r>
      <w:r>
        <w:rPr>
          <w:spacing w:val="-5"/>
          <w:sz w:val="18"/>
        </w:rPr>
        <w:t> </w:t>
      </w:r>
      <w:r>
        <w:rPr>
          <w:sz w:val="18"/>
        </w:rPr>
        <w:t>and</w:t>
      </w:r>
      <w:r>
        <w:rPr>
          <w:spacing w:val="-5"/>
          <w:sz w:val="18"/>
        </w:rPr>
        <w:t> </w:t>
      </w:r>
      <w:r>
        <w:rPr>
          <w:sz w:val="18"/>
        </w:rPr>
        <w:t>persons</w:t>
      </w:r>
      <w:r>
        <w:rPr>
          <w:spacing w:val="-5"/>
          <w:sz w:val="18"/>
        </w:rPr>
        <w:t> </w:t>
      </w:r>
      <w:r>
        <w:rPr>
          <w:sz w:val="18"/>
        </w:rPr>
        <w:t>seeking</w:t>
      </w:r>
      <w:r>
        <w:rPr>
          <w:spacing w:val="-4"/>
          <w:sz w:val="18"/>
        </w:rPr>
        <w:t> </w:t>
      </w:r>
      <w:r>
        <w:rPr>
          <w:sz w:val="18"/>
        </w:rPr>
        <w:t>asylum’ (NIHRC, 2023), at 3.17.</w:t>
      </w:r>
    </w:p>
    <w:p>
      <w:pPr>
        <w:pStyle w:val="ListParagraph"/>
        <w:numPr>
          <w:ilvl w:val="0"/>
          <w:numId w:val="16"/>
        </w:numPr>
        <w:tabs>
          <w:tab w:pos="1853" w:val="left" w:leader="none"/>
        </w:tabs>
        <w:spacing w:line="235" w:lineRule="auto" w:before="1" w:after="0"/>
        <w:ind w:left="1853" w:right="1429" w:hanging="720"/>
        <w:jc w:val="left"/>
        <w:rPr>
          <w:sz w:val="18"/>
        </w:rPr>
      </w:pPr>
      <w:r>
        <w:rPr>
          <w:sz w:val="18"/>
        </w:rPr>
        <w:t>Rory</w:t>
      </w:r>
      <w:r>
        <w:rPr>
          <w:spacing w:val="-3"/>
          <w:sz w:val="18"/>
        </w:rPr>
        <w:t> </w:t>
      </w:r>
      <w:r>
        <w:rPr>
          <w:sz w:val="18"/>
        </w:rPr>
        <w:t>O’Connell</w:t>
      </w:r>
      <w:r>
        <w:rPr>
          <w:spacing w:val="-4"/>
          <w:sz w:val="18"/>
        </w:rPr>
        <w:t> </w:t>
      </w:r>
      <w:r>
        <w:rPr>
          <w:sz w:val="18"/>
        </w:rPr>
        <w:t>and</w:t>
      </w:r>
      <w:r>
        <w:rPr>
          <w:spacing w:val="-4"/>
          <w:sz w:val="18"/>
        </w:rPr>
        <w:t> </w:t>
      </w:r>
      <w:r>
        <w:rPr>
          <w:sz w:val="18"/>
        </w:rPr>
        <w:t>Tim</w:t>
      </w:r>
      <w:r>
        <w:rPr>
          <w:spacing w:val="-3"/>
          <w:sz w:val="18"/>
        </w:rPr>
        <w:t> </w:t>
      </w:r>
      <w:r>
        <w:rPr>
          <w:sz w:val="18"/>
        </w:rPr>
        <w:t>Cunningham,</w:t>
      </w:r>
      <w:r>
        <w:rPr>
          <w:spacing w:val="-3"/>
          <w:sz w:val="18"/>
        </w:rPr>
        <w:t> </w:t>
      </w:r>
      <w:r>
        <w:rPr>
          <w:sz w:val="18"/>
        </w:rPr>
        <w:t>‘Impact</w:t>
      </w:r>
      <w:r>
        <w:rPr>
          <w:spacing w:val="-3"/>
          <w:sz w:val="18"/>
        </w:rPr>
        <w:t> </w:t>
      </w:r>
      <w:r>
        <w:rPr>
          <w:sz w:val="18"/>
        </w:rPr>
        <w:t>of</w:t>
      </w:r>
      <w:r>
        <w:rPr>
          <w:spacing w:val="-4"/>
          <w:sz w:val="18"/>
        </w:rPr>
        <w:t> </w:t>
      </w:r>
      <w:r>
        <w:rPr>
          <w:sz w:val="18"/>
        </w:rPr>
        <w:t>Brexit</w:t>
      </w:r>
      <w:r>
        <w:rPr>
          <w:spacing w:val="-3"/>
          <w:sz w:val="18"/>
        </w:rPr>
        <w:t> </w:t>
      </w:r>
      <w:r>
        <w:rPr>
          <w:sz w:val="18"/>
        </w:rPr>
        <w:t>on</w:t>
      </w:r>
      <w:r>
        <w:rPr>
          <w:spacing w:val="-4"/>
          <w:sz w:val="18"/>
        </w:rPr>
        <w:t> </w:t>
      </w:r>
      <w:r>
        <w:rPr>
          <w:sz w:val="18"/>
        </w:rPr>
        <w:t>Section</w:t>
      </w:r>
      <w:r>
        <w:rPr>
          <w:spacing w:val="-4"/>
          <w:sz w:val="18"/>
        </w:rPr>
        <w:t> </w:t>
      </w:r>
      <w:r>
        <w:rPr>
          <w:sz w:val="18"/>
        </w:rPr>
        <w:t>75</w:t>
      </w:r>
      <w:r>
        <w:rPr>
          <w:spacing w:val="-3"/>
          <w:sz w:val="18"/>
        </w:rPr>
        <w:t> </w:t>
      </w:r>
      <w:r>
        <w:rPr>
          <w:sz w:val="18"/>
        </w:rPr>
        <w:t>Equality</w:t>
      </w:r>
      <w:r>
        <w:rPr>
          <w:spacing w:val="-3"/>
          <w:sz w:val="18"/>
        </w:rPr>
        <w:t> </w:t>
      </w:r>
      <w:r>
        <w:rPr>
          <w:sz w:val="18"/>
        </w:rPr>
        <w:t>Groups</w:t>
      </w:r>
      <w:r>
        <w:rPr>
          <w:spacing w:val="-4"/>
          <w:sz w:val="18"/>
        </w:rPr>
        <w:t> </w:t>
      </w:r>
      <w:r>
        <w:rPr>
          <w:sz w:val="18"/>
        </w:rPr>
        <w:t>in</w:t>
      </w:r>
      <w:r>
        <w:rPr>
          <w:spacing w:val="-4"/>
          <w:sz w:val="18"/>
        </w:rPr>
        <w:t> </w:t>
      </w:r>
      <w:r>
        <w:rPr>
          <w:sz w:val="18"/>
        </w:rPr>
        <w:t>Northern</w:t>
      </w:r>
      <w:r>
        <w:rPr>
          <w:spacing w:val="-4"/>
          <w:sz w:val="18"/>
        </w:rPr>
        <w:t> </w:t>
      </w:r>
      <w:r>
        <w:rPr>
          <w:sz w:val="18"/>
        </w:rPr>
        <w:t>Ireland:</w:t>
      </w:r>
      <w:r>
        <w:rPr>
          <w:spacing w:val="-3"/>
          <w:sz w:val="18"/>
        </w:rPr>
        <w:t> </w:t>
      </w:r>
      <w:r>
        <w:rPr>
          <w:sz w:val="18"/>
        </w:rPr>
        <w:t>EU</w:t>
      </w:r>
      <w:r>
        <w:rPr>
          <w:spacing w:val="-3"/>
          <w:sz w:val="18"/>
        </w:rPr>
        <w:t> </w:t>
      </w:r>
      <w:r>
        <w:rPr>
          <w:sz w:val="18"/>
        </w:rPr>
        <w:t>Funding’ (ECNI, 2022).</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171"/>
      </w:pPr>
      <w:r>
        <w:rPr/>
        <w:t>designate</w:t>
      </w:r>
      <w:r>
        <w:rPr>
          <w:spacing w:val="-6"/>
        </w:rPr>
        <w:t> </w:t>
      </w:r>
      <w:r>
        <w:rPr/>
        <w:t>for</w:t>
      </w:r>
      <w:r>
        <w:rPr>
          <w:spacing w:val="-6"/>
        </w:rPr>
        <w:t> </w:t>
      </w:r>
      <w:r>
        <w:rPr/>
        <w:t>the</w:t>
      </w:r>
      <w:r>
        <w:rPr>
          <w:spacing w:val="-6"/>
        </w:rPr>
        <w:t> </w:t>
      </w:r>
      <w:r>
        <w:rPr/>
        <w:t>purposes</w:t>
      </w:r>
      <w:r>
        <w:rPr>
          <w:spacing w:val="-7"/>
        </w:rPr>
        <w:t> </w:t>
      </w:r>
      <w:r>
        <w:rPr/>
        <w:t>of</w:t>
      </w:r>
      <w:r>
        <w:rPr>
          <w:spacing w:val="-7"/>
        </w:rPr>
        <w:t> </w:t>
      </w:r>
      <w:r>
        <w:rPr/>
        <w:t>Section</w:t>
      </w:r>
      <w:r>
        <w:rPr>
          <w:spacing w:val="-7"/>
        </w:rPr>
        <w:t> </w:t>
      </w:r>
      <w:r>
        <w:rPr/>
        <w:t>75</w:t>
      </w:r>
      <w:r>
        <w:rPr>
          <w:spacing w:val="-6"/>
        </w:rPr>
        <w:t> </w:t>
      </w:r>
      <w:r>
        <w:rPr/>
        <w:t>the</w:t>
      </w:r>
      <w:r>
        <w:rPr>
          <w:spacing w:val="-6"/>
        </w:rPr>
        <w:t> </w:t>
      </w:r>
      <w:r>
        <w:rPr/>
        <w:t>UK</w:t>
      </w:r>
      <w:r>
        <w:rPr>
          <w:spacing w:val="-6"/>
        </w:rPr>
        <w:t> </w:t>
      </w:r>
      <w:r>
        <w:rPr/>
        <w:t>Government</w:t>
      </w:r>
      <w:r>
        <w:rPr>
          <w:spacing w:val="-6"/>
        </w:rPr>
        <w:t> </w:t>
      </w:r>
      <w:r>
        <w:rPr/>
        <w:t>department(s) responsible for the delivery of</w:t>
      </w:r>
      <w:r>
        <w:rPr>
          <w:spacing w:val="-1"/>
        </w:rPr>
        <w:t> </w:t>
      </w:r>
      <w:r>
        <w:rPr/>
        <w:t>Shared</w:t>
      </w:r>
      <w:r>
        <w:rPr>
          <w:spacing w:val="-1"/>
        </w:rPr>
        <w:t> </w:t>
      </w:r>
      <w:r>
        <w:rPr/>
        <w:t>Prosperity Fund</w:t>
      </w:r>
      <w:r>
        <w:rPr>
          <w:spacing w:val="-1"/>
        </w:rPr>
        <w:t> </w:t>
      </w:r>
      <w:r>
        <w:rPr/>
        <w:t>funding in</w:t>
      </w:r>
      <w:r>
        <w:rPr>
          <w:spacing w:val="-1"/>
        </w:rPr>
        <w:t> </w:t>
      </w:r>
      <w:r>
        <w:rPr/>
        <w:t>NI (that is, the Department for Levelling Up Housing, and Communities).</w:t>
      </w:r>
      <w:r>
        <w:rPr>
          <w:vertAlign w:val="superscript"/>
        </w:rPr>
        <w:t>879</w:t>
      </w:r>
      <w:r>
        <w:rPr>
          <w:spacing w:val="40"/>
          <w:vertAlign w:val="baseline"/>
        </w:rPr>
        <w:t> </w:t>
      </w:r>
      <w:r>
        <w:rPr>
          <w:vertAlign w:val="baseline"/>
        </w:rPr>
        <w:t>It further highlighted its concerns that the NI Executive/departments have not been assigned a more significant role in the design and implementation of the NI Shared Prosperity Fund investment plan.</w:t>
      </w:r>
      <w:r>
        <w:rPr>
          <w:vertAlign w:val="superscript"/>
        </w:rPr>
        <w:t>880</w:t>
      </w:r>
    </w:p>
    <w:p>
      <w:pPr>
        <w:pStyle w:val="ListParagraph"/>
        <w:numPr>
          <w:ilvl w:val="1"/>
          <w:numId w:val="13"/>
        </w:numPr>
        <w:tabs>
          <w:tab w:pos="1853" w:val="left" w:leader="none"/>
        </w:tabs>
        <w:spacing w:line="225" w:lineRule="auto" w:before="313" w:after="0"/>
        <w:ind w:left="1853" w:right="1251" w:hanging="720"/>
        <w:jc w:val="left"/>
        <w:rPr>
          <w:sz w:val="28"/>
        </w:rPr>
      </w:pPr>
      <w:r>
        <w:rPr>
          <w:sz w:val="28"/>
        </w:rPr>
        <w:t>The ECNI has expressed concerns raised by equality stakeholders including disabled people that Shared Prosperity Fund replacement funding will not match the level of EU funds and that there will be possible shortfalls in funding.</w:t>
      </w:r>
      <w:r>
        <w:rPr>
          <w:sz w:val="28"/>
          <w:vertAlign w:val="superscript"/>
        </w:rPr>
        <w:t>881</w:t>
      </w:r>
      <w:r>
        <w:rPr>
          <w:sz w:val="28"/>
          <w:vertAlign w:val="baseline"/>
        </w:rPr>
        <w:t> In addition, in March 2023, the ECNI raised concerns with the Department for Levelling up, Housing and Communities and the Secretary of State</w:t>
      </w:r>
      <w:r>
        <w:rPr>
          <w:spacing w:val="-8"/>
          <w:sz w:val="28"/>
          <w:vertAlign w:val="baseline"/>
        </w:rPr>
        <w:t> </w:t>
      </w:r>
      <w:r>
        <w:rPr>
          <w:sz w:val="28"/>
          <w:vertAlign w:val="baseline"/>
        </w:rPr>
        <w:t>for</w:t>
      </w:r>
      <w:r>
        <w:rPr>
          <w:spacing w:val="-8"/>
          <w:sz w:val="28"/>
          <w:vertAlign w:val="baseline"/>
        </w:rPr>
        <w:t> </w:t>
      </w:r>
      <w:r>
        <w:rPr>
          <w:sz w:val="28"/>
          <w:vertAlign w:val="baseline"/>
        </w:rPr>
        <w:t>NI</w:t>
      </w:r>
      <w:r>
        <w:rPr>
          <w:spacing w:val="-8"/>
          <w:sz w:val="28"/>
          <w:vertAlign w:val="baseline"/>
        </w:rPr>
        <w:t> </w:t>
      </w:r>
      <w:r>
        <w:rPr>
          <w:sz w:val="28"/>
          <w:vertAlign w:val="baseline"/>
        </w:rPr>
        <w:t>regarding</w:t>
      </w:r>
      <w:r>
        <w:rPr>
          <w:spacing w:val="-8"/>
          <w:sz w:val="28"/>
          <w:vertAlign w:val="baseline"/>
        </w:rPr>
        <w:t> </w:t>
      </w:r>
      <w:r>
        <w:rPr>
          <w:sz w:val="28"/>
          <w:vertAlign w:val="baseline"/>
        </w:rPr>
        <w:t>gaps</w:t>
      </w:r>
      <w:r>
        <w:rPr>
          <w:spacing w:val="-9"/>
          <w:sz w:val="28"/>
          <w:vertAlign w:val="baseline"/>
        </w:rPr>
        <w:t> </w:t>
      </w:r>
      <w:r>
        <w:rPr>
          <w:sz w:val="28"/>
          <w:vertAlign w:val="baseline"/>
        </w:rPr>
        <w:t>in</w:t>
      </w:r>
      <w:r>
        <w:rPr>
          <w:spacing w:val="-9"/>
          <w:sz w:val="28"/>
          <w:vertAlign w:val="baseline"/>
        </w:rPr>
        <w:t> </w:t>
      </w:r>
      <w:r>
        <w:rPr>
          <w:sz w:val="28"/>
          <w:vertAlign w:val="baseline"/>
        </w:rPr>
        <w:t>funding</w:t>
      </w:r>
      <w:r>
        <w:rPr>
          <w:spacing w:val="-8"/>
          <w:sz w:val="28"/>
          <w:vertAlign w:val="baseline"/>
        </w:rPr>
        <w:t> </w:t>
      </w:r>
      <w:r>
        <w:rPr>
          <w:sz w:val="28"/>
          <w:vertAlign w:val="baseline"/>
        </w:rPr>
        <w:t>which</w:t>
      </w:r>
      <w:r>
        <w:rPr>
          <w:spacing w:val="-9"/>
          <w:sz w:val="28"/>
          <w:vertAlign w:val="baseline"/>
        </w:rPr>
        <w:t> </w:t>
      </w:r>
      <w:r>
        <w:rPr>
          <w:sz w:val="28"/>
          <w:vertAlign w:val="baseline"/>
        </w:rPr>
        <w:t>may</w:t>
      </w:r>
      <w:r>
        <w:rPr>
          <w:spacing w:val="-8"/>
          <w:sz w:val="28"/>
          <w:vertAlign w:val="baseline"/>
        </w:rPr>
        <w:t> </w:t>
      </w:r>
      <w:r>
        <w:rPr>
          <w:sz w:val="28"/>
          <w:vertAlign w:val="baseline"/>
        </w:rPr>
        <w:t>lead</w:t>
      </w:r>
      <w:r>
        <w:rPr>
          <w:spacing w:val="-9"/>
          <w:sz w:val="28"/>
          <w:vertAlign w:val="baseline"/>
        </w:rPr>
        <w:t> </w:t>
      </w:r>
      <w:r>
        <w:rPr>
          <w:sz w:val="28"/>
          <w:vertAlign w:val="baseline"/>
        </w:rPr>
        <w:t>to</w:t>
      </w:r>
      <w:r>
        <w:rPr>
          <w:spacing w:val="-9"/>
          <w:sz w:val="28"/>
          <w:vertAlign w:val="baseline"/>
        </w:rPr>
        <w:t> </w:t>
      </w:r>
      <w:r>
        <w:rPr>
          <w:sz w:val="28"/>
          <w:vertAlign w:val="baseline"/>
        </w:rPr>
        <w:t>a</w:t>
      </w:r>
      <w:r>
        <w:rPr>
          <w:spacing w:val="-9"/>
          <w:sz w:val="28"/>
          <w:vertAlign w:val="baseline"/>
        </w:rPr>
        <w:t> </w:t>
      </w:r>
      <w:r>
        <w:rPr>
          <w:sz w:val="28"/>
          <w:vertAlign w:val="baseline"/>
        </w:rPr>
        <w:t>financial</w:t>
      </w:r>
      <w:r>
        <w:rPr>
          <w:spacing w:val="-9"/>
          <w:sz w:val="28"/>
          <w:vertAlign w:val="baseline"/>
        </w:rPr>
        <w:t> </w:t>
      </w:r>
      <w:r>
        <w:rPr>
          <w:sz w:val="28"/>
          <w:vertAlign w:val="baseline"/>
        </w:rPr>
        <w:t>‘cliff-edge’ for community and voluntary organisations which may impact on services provided to Section 75 equality groups in NI.</w:t>
      </w:r>
      <w:r>
        <w:rPr>
          <w:sz w:val="28"/>
          <w:vertAlign w:val="superscript"/>
        </w:rPr>
        <w:t>882</w:t>
      </w:r>
    </w:p>
    <w:p>
      <w:pPr>
        <w:pStyle w:val="ListParagraph"/>
        <w:numPr>
          <w:ilvl w:val="1"/>
          <w:numId w:val="13"/>
        </w:numPr>
        <w:tabs>
          <w:tab w:pos="1853" w:val="left" w:leader="none"/>
        </w:tabs>
        <w:spacing w:line="225" w:lineRule="auto" w:before="309" w:after="0"/>
        <w:ind w:left="1853" w:right="1351" w:hanging="720"/>
        <w:jc w:val="left"/>
        <w:rPr>
          <w:sz w:val="28"/>
        </w:rPr>
      </w:pPr>
      <w:r>
        <w:rPr>
          <w:sz w:val="28"/>
        </w:rPr>
        <w:t>The ECNI also highlighted the role of NI departments, aligned with their Section 75 equality duties, to continue to support the needs of people from different equality groups, who have been supported by EU funding.</w:t>
      </w:r>
      <w:r>
        <w:rPr>
          <w:spacing w:val="40"/>
          <w:sz w:val="28"/>
        </w:rPr>
        <w:t> </w:t>
      </w:r>
      <w:r>
        <w:rPr>
          <w:sz w:val="28"/>
        </w:rPr>
        <w:t>This should</w:t>
      </w:r>
      <w:r>
        <w:rPr>
          <w:spacing w:val="-7"/>
          <w:sz w:val="28"/>
        </w:rPr>
        <w:t> </w:t>
      </w:r>
      <w:r>
        <w:rPr>
          <w:sz w:val="28"/>
        </w:rPr>
        <w:t>include</w:t>
      </w:r>
      <w:r>
        <w:rPr>
          <w:spacing w:val="-6"/>
          <w:sz w:val="28"/>
        </w:rPr>
        <w:t> </w:t>
      </w:r>
      <w:r>
        <w:rPr>
          <w:sz w:val="28"/>
        </w:rPr>
        <w:t>actions</w:t>
      </w:r>
      <w:r>
        <w:rPr>
          <w:spacing w:val="-7"/>
          <w:sz w:val="28"/>
        </w:rPr>
        <w:t> </w:t>
      </w:r>
      <w:r>
        <w:rPr>
          <w:sz w:val="28"/>
        </w:rPr>
        <w:t>to</w:t>
      </w:r>
      <w:r>
        <w:rPr>
          <w:spacing w:val="-7"/>
          <w:sz w:val="28"/>
        </w:rPr>
        <w:t> </w:t>
      </w:r>
      <w:r>
        <w:rPr>
          <w:sz w:val="28"/>
        </w:rPr>
        <w:t>address</w:t>
      </w:r>
      <w:r>
        <w:rPr>
          <w:spacing w:val="-7"/>
          <w:sz w:val="28"/>
        </w:rPr>
        <w:t> </w:t>
      </w:r>
      <w:r>
        <w:rPr>
          <w:sz w:val="28"/>
        </w:rPr>
        <w:t>any</w:t>
      </w:r>
      <w:r>
        <w:rPr>
          <w:spacing w:val="-6"/>
          <w:sz w:val="28"/>
        </w:rPr>
        <w:t> </w:t>
      </w:r>
      <w:r>
        <w:rPr>
          <w:sz w:val="28"/>
        </w:rPr>
        <w:t>shortfalls</w:t>
      </w:r>
      <w:r>
        <w:rPr>
          <w:spacing w:val="-7"/>
          <w:sz w:val="28"/>
        </w:rPr>
        <w:t> </w:t>
      </w:r>
      <w:r>
        <w:rPr>
          <w:sz w:val="28"/>
        </w:rPr>
        <w:t>and</w:t>
      </w:r>
      <w:r>
        <w:rPr>
          <w:spacing w:val="-7"/>
          <w:sz w:val="28"/>
        </w:rPr>
        <w:t> </w:t>
      </w:r>
      <w:r>
        <w:rPr>
          <w:sz w:val="28"/>
        </w:rPr>
        <w:t>gaps</w:t>
      </w:r>
      <w:r>
        <w:rPr>
          <w:spacing w:val="-7"/>
          <w:sz w:val="28"/>
        </w:rPr>
        <w:t> </w:t>
      </w:r>
      <w:r>
        <w:rPr>
          <w:sz w:val="28"/>
        </w:rPr>
        <w:t>in</w:t>
      </w:r>
      <w:r>
        <w:rPr>
          <w:spacing w:val="-7"/>
          <w:sz w:val="28"/>
        </w:rPr>
        <w:t> </w:t>
      </w:r>
      <w:r>
        <w:rPr>
          <w:sz w:val="28"/>
        </w:rPr>
        <w:t>funding</w:t>
      </w:r>
      <w:r>
        <w:rPr>
          <w:spacing w:val="-6"/>
          <w:sz w:val="28"/>
        </w:rPr>
        <w:t> </w:t>
      </w:r>
      <w:r>
        <w:rPr>
          <w:sz w:val="28"/>
        </w:rPr>
        <w:t>that</w:t>
      </w:r>
      <w:r>
        <w:rPr>
          <w:spacing w:val="-6"/>
          <w:sz w:val="28"/>
        </w:rPr>
        <w:t> </w:t>
      </w:r>
      <w:r>
        <w:rPr>
          <w:sz w:val="28"/>
        </w:rPr>
        <w:t>may impact negatively on these groups.</w:t>
      </w:r>
      <w:r>
        <w:rPr>
          <w:sz w:val="28"/>
          <w:vertAlign w:val="superscript"/>
        </w:rPr>
        <w:t>883</w:t>
      </w:r>
    </w:p>
    <w:p>
      <w:pPr>
        <w:pStyle w:val="ListParagraph"/>
        <w:numPr>
          <w:ilvl w:val="1"/>
          <w:numId w:val="13"/>
        </w:numPr>
        <w:tabs>
          <w:tab w:pos="1853" w:val="left" w:leader="none"/>
        </w:tabs>
        <w:spacing w:line="225" w:lineRule="auto" w:before="314" w:after="0"/>
        <w:ind w:left="1853" w:right="1638" w:hanging="720"/>
        <w:jc w:val="left"/>
        <w:rPr>
          <w:sz w:val="28"/>
        </w:rPr>
      </w:pPr>
      <w:r>
        <w:rPr>
          <w:sz w:val="28"/>
        </w:rPr>
        <w:t>Following the publication of the research and policy recommendations, the ECNI engaged and consulted with the UK Government including the Department for Levelling Up, Housing and Communities, relevant NI departments</w:t>
      </w:r>
      <w:r>
        <w:rPr>
          <w:spacing w:val="-8"/>
          <w:sz w:val="28"/>
        </w:rPr>
        <w:t> </w:t>
      </w:r>
      <w:r>
        <w:rPr>
          <w:sz w:val="28"/>
        </w:rPr>
        <w:t>and</w:t>
      </w:r>
      <w:r>
        <w:rPr>
          <w:spacing w:val="-8"/>
          <w:sz w:val="28"/>
        </w:rPr>
        <w:t> </w:t>
      </w:r>
      <w:r>
        <w:rPr>
          <w:sz w:val="28"/>
        </w:rPr>
        <w:t>impacted</w:t>
      </w:r>
      <w:r>
        <w:rPr>
          <w:spacing w:val="-8"/>
          <w:sz w:val="28"/>
        </w:rPr>
        <w:t> </w:t>
      </w:r>
      <w:r>
        <w:rPr>
          <w:sz w:val="28"/>
        </w:rPr>
        <w:t>Section</w:t>
      </w:r>
      <w:r>
        <w:rPr>
          <w:spacing w:val="-8"/>
          <w:sz w:val="28"/>
        </w:rPr>
        <w:t> </w:t>
      </w:r>
      <w:r>
        <w:rPr>
          <w:sz w:val="28"/>
        </w:rPr>
        <w:t>75</w:t>
      </w:r>
      <w:r>
        <w:rPr>
          <w:spacing w:val="-7"/>
          <w:sz w:val="28"/>
        </w:rPr>
        <w:t> </w:t>
      </w:r>
      <w:r>
        <w:rPr>
          <w:sz w:val="28"/>
        </w:rPr>
        <w:t>groups</w:t>
      </w:r>
      <w:r>
        <w:rPr>
          <w:spacing w:val="-8"/>
          <w:sz w:val="28"/>
        </w:rPr>
        <w:t> </w:t>
      </w:r>
      <w:r>
        <w:rPr>
          <w:sz w:val="28"/>
        </w:rPr>
        <w:t>to</w:t>
      </w:r>
      <w:r>
        <w:rPr>
          <w:spacing w:val="-8"/>
          <w:sz w:val="28"/>
        </w:rPr>
        <w:t> </w:t>
      </w:r>
      <w:r>
        <w:rPr>
          <w:sz w:val="28"/>
        </w:rPr>
        <w:t>highlight</w:t>
      </w:r>
      <w:r>
        <w:rPr>
          <w:spacing w:val="-7"/>
          <w:sz w:val="28"/>
        </w:rPr>
        <w:t> </w:t>
      </w:r>
      <w:r>
        <w:rPr>
          <w:sz w:val="28"/>
        </w:rPr>
        <w:t>the</w:t>
      </w:r>
      <w:r>
        <w:rPr>
          <w:spacing w:val="-7"/>
          <w:sz w:val="28"/>
        </w:rPr>
        <w:t> </w:t>
      </w:r>
      <w:r>
        <w:rPr>
          <w:sz w:val="28"/>
        </w:rPr>
        <w:t>relevant</w:t>
      </w:r>
      <w:r>
        <w:rPr>
          <w:spacing w:val="-7"/>
          <w:sz w:val="28"/>
        </w:rPr>
        <w:t> </w:t>
      </w:r>
      <w:r>
        <w:rPr>
          <w:sz w:val="28"/>
        </w:rPr>
        <w:t>key findings and recommendations aligned to ECNI policy recommendations.</w:t>
      </w:r>
    </w:p>
    <w:p>
      <w:pPr>
        <w:pStyle w:val="ListParagraph"/>
        <w:numPr>
          <w:ilvl w:val="1"/>
          <w:numId w:val="13"/>
        </w:numPr>
        <w:tabs>
          <w:tab w:pos="1853" w:val="left" w:leader="none"/>
        </w:tabs>
        <w:spacing w:line="225" w:lineRule="auto" w:before="313" w:after="0"/>
        <w:ind w:left="1853" w:right="1198" w:hanging="720"/>
        <w:jc w:val="left"/>
        <w:rPr>
          <w:sz w:val="28"/>
        </w:rPr>
      </w:pPr>
      <w:r>
        <w:rPr>
          <w:sz w:val="28"/>
        </w:rPr>
        <w:t>Further,</w:t>
      </w:r>
      <w:r>
        <w:rPr>
          <w:spacing w:val="-7"/>
          <w:sz w:val="28"/>
        </w:rPr>
        <w:t> </w:t>
      </w:r>
      <w:r>
        <w:rPr>
          <w:sz w:val="28"/>
        </w:rPr>
        <w:t>in</w:t>
      </w:r>
      <w:r>
        <w:rPr>
          <w:spacing w:val="-8"/>
          <w:sz w:val="28"/>
        </w:rPr>
        <w:t> </w:t>
      </w:r>
      <w:r>
        <w:rPr>
          <w:sz w:val="28"/>
        </w:rPr>
        <w:t>March</w:t>
      </w:r>
      <w:r>
        <w:rPr>
          <w:spacing w:val="-8"/>
          <w:sz w:val="28"/>
        </w:rPr>
        <w:t> </w:t>
      </w:r>
      <w:r>
        <w:rPr>
          <w:sz w:val="28"/>
        </w:rPr>
        <w:t>2024,</w:t>
      </w:r>
      <w:r>
        <w:rPr>
          <w:spacing w:val="-7"/>
          <w:sz w:val="28"/>
        </w:rPr>
        <w:t> </w:t>
      </w:r>
      <w:r>
        <w:rPr>
          <w:sz w:val="28"/>
        </w:rPr>
        <w:t>the</w:t>
      </w:r>
      <w:r>
        <w:rPr>
          <w:spacing w:val="-7"/>
          <w:sz w:val="28"/>
        </w:rPr>
        <w:t> </w:t>
      </w:r>
      <w:r>
        <w:rPr>
          <w:sz w:val="28"/>
        </w:rPr>
        <w:t>ECNI</w:t>
      </w:r>
      <w:r>
        <w:rPr>
          <w:spacing w:val="-7"/>
          <w:sz w:val="28"/>
        </w:rPr>
        <w:t> </w:t>
      </w:r>
      <w:r>
        <w:rPr>
          <w:sz w:val="28"/>
        </w:rPr>
        <w:t>published</w:t>
      </w:r>
      <w:r>
        <w:rPr>
          <w:spacing w:val="-8"/>
          <w:sz w:val="28"/>
        </w:rPr>
        <w:t> </w:t>
      </w:r>
      <w:r>
        <w:rPr>
          <w:sz w:val="28"/>
        </w:rPr>
        <w:t>their</w:t>
      </w:r>
      <w:r>
        <w:rPr>
          <w:spacing w:val="-7"/>
          <w:sz w:val="28"/>
        </w:rPr>
        <w:t> </w:t>
      </w:r>
      <w:r>
        <w:rPr>
          <w:sz w:val="28"/>
        </w:rPr>
        <w:t>independent</w:t>
      </w:r>
      <w:r>
        <w:rPr>
          <w:spacing w:val="-7"/>
          <w:sz w:val="28"/>
        </w:rPr>
        <w:t> </w:t>
      </w:r>
      <w:r>
        <w:rPr>
          <w:sz w:val="28"/>
        </w:rPr>
        <w:t>research</w:t>
      </w:r>
      <w:r>
        <w:rPr>
          <w:spacing w:val="-8"/>
          <w:sz w:val="28"/>
        </w:rPr>
        <w:t> </w:t>
      </w:r>
      <w:r>
        <w:rPr>
          <w:sz w:val="28"/>
        </w:rPr>
        <w:t>on</w:t>
      </w:r>
      <w:r>
        <w:rPr>
          <w:spacing w:val="-8"/>
          <w:sz w:val="28"/>
        </w:rPr>
        <w:t> </w:t>
      </w:r>
      <w:r>
        <w:rPr>
          <w:sz w:val="28"/>
        </w:rPr>
        <w:t>the impact of Brexit on women in NI.</w:t>
      </w:r>
      <w:r>
        <w:rPr>
          <w:sz w:val="28"/>
          <w:vertAlign w:val="superscript"/>
        </w:rPr>
        <w:t>884</w:t>
      </w:r>
      <w:r>
        <w:rPr>
          <w:spacing w:val="40"/>
          <w:sz w:val="28"/>
          <w:vertAlign w:val="baseline"/>
        </w:rPr>
        <w:t> </w:t>
      </w:r>
      <w:r>
        <w:rPr>
          <w:sz w:val="28"/>
          <w:vertAlign w:val="baseline"/>
        </w:rPr>
        <w:t>It found that participants of the research from the women’s sector had expressed difficulties in securing replacement EU funding and as a consequence this had negatively impacted their ability</w:t>
      </w:r>
    </w:p>
    <w:p>
      <w:pPr>
        <w:pStyle w:val="BodyText"/>
        <w:spacing w:line="225" w:lineRule="auto"/>
        <w:ind w:left="1853" w:right="1171"/>
      </w:pPr>
      <w:r>
        <w:rPr/>
        <w:t>to</w:t>
      </w:r>
      <w:r>
        <w:rPr>
          <w:spacing w:val="-5"/>
        </w:rPr>
        <w:t> </w:t>
      </w:r>
      <w:r>
        <w:rPr/>
        <w:t>continue</w:t>
      </w:r>
      <w:r>
        <w:rPr>
          <w:spacing w:val="-4"/>
        </w:rPr>
        <w:t> </w:t>
      </w:r>
      <w:r>
        <w:rPr/>
        <w:t>to</w:t>
      </w:r>
      <w:r>
        <w:rPr>
          <w:spacing w:val="-5"/>
        </w:rPr>
        <w:t> </w:t>
      </w:r>
      <w:r>
        <w:rPr/>
        <w:t>provide</w:t>
      </w:r>
      <w:r>
        <w:rPr>
          <w:spacing w:val="-4"/>
        </w:rPr>
        <w:t> </w:t>
      </w:r>
      <w:r>
        <w:rPr/>
        <w:t>services,</w:t>
      </w:r>
      <w:r>
        <w:rPr>
          <w:spacing w:val="-4"/>
        </w:rPr>
        <w:t> </w:t>
      </w:r>
      <w:r>
        <w:rPr/>
        <w:t>particularly</w:t>
      </w:r>
      <w:r>
        <w:rPr>
          <w:spacing w:val="-4"/>
        </w:rPr>
        <w:t> </w:t>
      </w:r>
      <w:r>
        <w:rPr/>
        <w:t>in</w:t>
      </w:r>
      <w:r>
        <w:rPr>
          <w:spacing w:val="-5"/>
        </w:rPr>
        <w:t> </w:t>
      </w:r>
      <w:r>
        <w:rPr/>
        <w:t>the</w:t>
      </w:r>
      <w:r>
        <w:rPr>
          <w:spacing w:val="-4"/>
        </w:rPr>
        <w:t> </w:t>
      </w:r>
      <w:r>
        <w:rPr/>
        <w:t>area</w:t>
      </w:r>
      <w:r>
        <w:rPr>
          <w:spacing w:val="-5"/>
        </w:rPr>
        <w:t> </w:t>
      </w:r>
      <w:r>
        <w:rPr/>
        <w:t>of</w:t>
      </w:r>
      <w:r>
        <w:rPr>
          <w:spacing w:val="-5"/>
        </w:rPr>
        <w:t> </w:t>
      </w:r>
      <w:r>
        <w:rPr/>
        <w:t>securing</w:t>
      </w:r>
      <w:r>
        <w:rPr>
          <w:spacing w:val="-4"/>
        </w:rPr>
        <w:t> </w:t>
      </w:r>
      <w:r>
        <w:rPr/>
        <w:t>the employment of staff.</w:t>
      </w:r>
    </w:p>
    <w:p>
      <w:pPr>
        <w:pStyle w:val="ListParagraph"/>
        <w:numPr>
          <w:ilvl w:val="1"/>
          <w:numId w:val="13"/>
        </w:numPr>
        <w:tabs>
          <w:tab w:pos="1853" w:val="left" w:leader="none"/>
        </w:tabs>
        <w:spacing w:line="225" w:lineRule="auto" w:before="313" w:after="0"/>
        <w:ind w:left="1853" w:right="1583" w:hanging="720"/>
        <w:jc w:val="left"/>
        <w:rPr>
          <w:sz w:val="28"/>
        </w:rPr>
      </w:pPr>
      <w:r>
        <w:rPr>
          <w:sz w:val="28"/>
        </w:rPr>
        <w:t>The</w:t>
      </w:r>
      <w:r>
        <w:rPr>
          <w:spacing w:val="-4"/>
          <w:sz w:val="28"/>
        </w:rPr>
        <w:t> </w:t>
      </w:r>
      <w:r>
        <w:rPr>
          <w:sz w:val="28"/>
        </w:rPr>
        <w:t>ECNI</w:t>
      </w:r>
      <w:r>
        <w:rPr>
          <w:spacing w:val="-4"/>
          <w:sz w:val="28"/>
        </w:rPr>
        <w:t> </w:t>
      </w:r>
      <w:r>
        <w:rPr>
          <w:sz w:val="28"/>
        </w:rPr>
        <w:t>is</w:t>
      </w:r>
      <w:r>
        <w:rPr>
          <w:spacing w:val="-5"/>
          <w:sz w:val="28"/>
        </w:rPr>
        <w:t> </w:t>
      </w:r>
      <w:r>
        <w:rPr>
          <w:sz w:val="28"/>
        </w:rPr>
        <w:t>continuing</w:t>
      </w:r>
      <w:r>
        <w:rPr>
          <w:spacing w:val="-4"/>
          <w:sz w:val="28"/>
        </w:rPr>
        <w:t> </w:t>
      </w:r>
      <w:r>
        <w:rPr>
          <w:sz w:val="28"/>
        </w:rPr>
        <w:t>to</w:t>
      </w:r>
      <w:r>
        <w:rPr>
          <w:spacing w:val="-5"/>
          <w:sz w:val="28"/>
        </w:rPr>
        <w:t> </w:t>
      </w:r>
      <w:r>
        <w:rPr>
          <w:sz w:val="28"/>
        </w:rPr>
        <w:t>explore</w:t>
      </w:r>
      <w:r>
        <w:rPr>
          <w:spacing w:val="-4"/>
          <w:sz w:val="28"/>
        </w:rPr>
        <w:t> </w:t>
      </w:r>
      <w:r>
        <w:rPr>
          <w:sz w:val="28"/>
        </w:rPr>
        <w:t>the</w:t>
      </w:r>
      <w:r>
        <w:rPr>
          <w:spacing w:val="-4"/>
          <w:sz w:val="28"/>
        </w:rPr>
        <w:t> </w:t>
      </w:r>
      <w:r>
        <w:rPr>
          <w:sz w:val="28"/>
        </w:rPr>
        <w:t>extent</w:t>
      </w:r>
      <w:r>
        <w:rPr>
          <w:spacing w:val="-4"/>
          <w:sz w:val="28"/>
        </w:rPr>
        <w:t> </w:t>
      </w:r>
      <w:r>
        <w:rPr>
          <w:sz w:val="28"/>
        </w:rPr>
        <w:t>of</w:t>
      </w:r>
      <w:r>
        <w:rPr>
          <w:spacing w:val="-5"/>
          <w:sz w:val="28"/>
        </w:rPr>
        <w:t> </w:t>
      </w:r>
      <w:r>
        <w:rPr>
          <w:sz w:val="28"/>
        </w:rPr>
        <w:t>the</w:t>
      </w:r>
      <w:r>
        <w:rPr>
          <w:spacing w:val="-4"/>
          <w:sz w:val="28"/>
        </w:rPr>
        <w:t> </w:t>
      </w:r>
      <w:r>
        <w:rPr>
          <w:sz w:val="28"/>
        </w:rPr>
        <w:t>impact</w:t>
      </w:r>
      <w:r>
        <w:rPr>
          <w:spacing w:val="-4"/>
          <w:sz w:val="28"/>
        </w:rPr>
        <w:t> </w:t>
      </w:r>
      <w:r>
        <w:rPr>
          <w:sz w:val="28"/>
        </w:rPr>
        <w:t>of</w:t>
      </w:r>
      <w:r>
        <w:rPr>
          <w:spacing w:val="-5"/>
          <w:sz w:val="28"/>
        </w:rPr>
        <w:t> </w:t>
      </w:r>
      <w:r>
        <w:rPr>
          <w:sz w:val="28"/>
        </w:rPr>
        <w:t>the</w:t>
      </w:r>
      <w:r>
        <w:rPr>
          <w:spacing w:val="-4"/>
          <w:sz w:val="28"/>
        </w:rPr>
        <w:t> </w:t>
      </w:r>
      <w:r>
        <w:rPr>
          <w:sz w:val="28"/>
        </w:rPr>
        <w:t>loss</w:t>
      </w:r>
      <w:r>
        <w:rPr>
          <w:spacing w:val="-5"/>
          <w:sz w:val="28"/>
        </w:rPr>
        <w:t> </w:t>
      </w:r>
      <w:r>
        <w:rPr>
          <w:sz w:val="28"/>
        </w:rPr>
        <w:t>of</w:t>
      </w:r>
      <w:r>
        <w:rPr>
          <w:spacing w:val="-5"/>
          <w:sz w:val="28"/>
        </w:rPr>
        <w:t> </w:t>
      </w:r>
      <w:r>
        <w:rPr>
          <w:sz w:val="28"/>
        </w:rPr>
        <w:t>EU funding, and has commissioned an update to its previous research, which</w:t>
      </w:r>
    </w:p>
    <w:p>
      <w:pPr>
        <w:pStyle w:val="BodyText"/>
        <w:spacing w:before="1"/>
        <w:rPr>
          <w:sz w:val="20"/>
        </w:rPr>
      </w:pPr>
      <w:r>
        <w:rPr/>
        <mc:AlternateContent>
          <mc:Choice Requires="wps">
            <w:drawing>
              <wp:anchor distT="0" distB="0" distL="0" distR="0" allowOverlap="1" layoutInCell="1" locked="0" behindDoc="1" simplePos="0" relativeHeight="487731200">
                <wp:simplePos x="0" y="0"/>
                <wp:positionH relativeFrom="page">
                  <wp:posOffset>719996</wp:posOffset>
                </wp:positionH>
                <wp:positionV relativeFrom="paragraph">
                  <wp:posOffset>171112</wp:posOffset>
                </wp:positionV>
                <wp:extent cx="6120130" cy="1270"/>
                <wp:effectExtent l="0" t="0" r="0" b="0"/>
                <wp:wrapTopAndBottom/>
                <wp:docPr id="656" name="Graphic 656"/>
                <wp:cNvGraphicFramePr>
                  <a:graphicFrameLocks/>
                </wp:cNvGraphicFramePr>
                <a:graphic>
                  <a:graphicData uri="http://schemas.microsoft.com/office/word/2010/wordprocessingShape">
                    <wps:wsp>
                      <wps:cNvPr id="656" name="Graphic 656"/>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3.473456pt;width:481.9pt;height:.1pt;mso-position-horizontal-relative:page;mso-position-vertical-relative:paragraph;z-index:-15585280;mso-wrap-distance-left:0;mso-wrap-distance-right:0" id="docshape600" coordorigin="1134,269" coordsize="9638,0" path="m10772,269l1134,269e" filled="false" stroked="true" strokeweight="1pt" strokecolor="#393b80">
                <v:path arrowok="t"/>
                <v:stroke dashstyle="solid"/>
                <w10:wrap type="topAndBottom"/>
              </v:shape>
            </w:pict>
          </mc:Fallback>
        </mc:AlternateContent>
      </w:r>
    </w:p>
    <w:p>
      <w:pPr>
        <w:pStyle w:val="ListParagraph"/>
        <w:numPr>
          <w:ilvl w:val="0"/>
          <w:numId w:val="16"/>
        </w:numPr>
        <w:tabs>
          <w:tab w:pos="1853" w:val="left" w:leader="none"/>
        </w:tabs>
        <w:spacing w:line="235" w:lineRule="auto" w:before="128" w:after="0"/>
        <w:ind w:left="1853" w:right="1170" w:hanging="720"/>
        <w:jc w:val="left"/>
        <w:rPr>
          <w:sz w:val="18"/>
        </w:rPr>
      </w:pPr>
      <w:r>
        <w:rPr>
          <w:sz w:val="18"/>
        </w:rPr>
        <w:t>Equality</w:t>
      </w:r>
      <w:r>
        <w:rPr>
          <w:spacing w:val="-6"/>
          <w:sz w:val="18"/>
        </w:rPr>
        <w:t> </w:t>
      </w:r>
      <w:r>
        <w:rPr>
          <w:sz w:val="18"/>
        </w:rPr>
        <w:t>Commission</w:t>
      </w:r>
      <w:r>
        <w:rPr>
          <w:spacing w:val="-6"/>
          <w:sz w:val="18"/>
        </w:rPr>
        <w:t> </w:t>
      </w:r>
      <w:r>
        <w:rPr>
          <w:sz w:val="18"/>
        </w:rPr>
        <w:t>for</w:t>
      </w:r>
      <w:r>
        <w:rPr>
          <w:spacing w:val="-6"/>
          <w:sz w:val="18"/>
        </w:rPr>
        <w:t> </w:t>
      </w:r>
      <w:r>
        <w:rPr>
          <w:sz w:val="18"/>
        </w:rPr>
        <w:t>NI,</w:t>
      </w:r>
      <w:r>
        <w:rPr>
          <w:spacing w:val="-6"/>
          <w:sz w:val="18"/>
        </w:rPr>
        <w:t> </w:t>
      </w:r>
      <w:r>
        <w:rPr>
          <w:sz w:val="18"/>
        </w:rPr>
        <w:t>‘Policy</w:t>
      </w:r>
      <w:r>
        <w:rPr>
          <w:spacing w:val="-6"/>
          <w:sz w:val="18"/>
        </w:rPr>
        <w:t> </w:t>
      </w:r>
      <w:r>
        <w:rPr>
          <w:sz w:val="18"/>
        </w:rPr>
        <w:t>Recommendations:</w:t>
      </w:r>
      <w:r>
        <w:rPr>
          <w:spacing w:val="-6"/>
          <w:sz w:val="18"/>
        </w:rPr>
        <w:t> </w:t>
      </w:r>
      <w:r>
        <w:rPr>
          <w:sz w:val="18"/>
        </w:rPr>
        <w:t>Impact</w:t>
      </w:r>
      <w:r>
        <w:rPr>
          <w:spacing w:val="-6"/>
          <w:sz w:val="18"/>
        </w:rPr>
        <w:t> </w:t>
      </w:r>
      <w:r>
        <w:rPr>
          <w:sz w:val="18"/>
        </w:rPr>
        <w:t>of</w:t>
      </w:r>
      <w:r>
        <w:rPr>
          <w:spacing w:val="-6"/>
          <w:sz w:val="18"/>
        </w:rPr>
        <w:t> </w:t>
      </w:r>
      <w:r>
        <w:rPr>
          <w:sz w:val="18"/>
        </w:rPr>
        <w:t>Brexit</w:t>
      </w:r>
      <w:r>
        <w:rPr>
          <w:spacing w:val="-6"/>
          <w:sz w:val="18"/>
        </w:rPr>
        <w:t> </w:t>
      </w:r>
      <w:r>
        <w:rPr>
          <w:sz w:val="18"/>
        </w:rPr>
        <w:t>on</w:t>
      </w:r>
      <w:r>
        <w:rPr>
          <w:spacing w:val="-6"/>
          <w:sz w:val="18"/>
        </w:rPr>
        <w:t> </w:t>
      </w:r>
      <w:r>
        <w:rPr>
          <w:sz w:val="18"/>
        </w:rPr>
        <w:t>Section</w:t>
      </w:r>
      <w:r>
        <w:rPr>
          <w:spacing w:val="-6"/>
          <w:sz w:val="18"/>
        </w:rPr>
        <w:t> </w:t>
      </w:r>
      <w:r>
        <w:rPr>
          <w:sz w:val="18"/>
        </w:rPr>
        <w:t>75</w:t>
      </w:r>
      <w:r>
        <w:rPr>
          <w:spacing w:val="-6"/>
          <w:sz w:val="18"/>
        </w:rPr>
        <w:t> </w:t>
      </w:r>
      <w:r>
        <w:rPr>
          <w:sz w:val="18"/>
        </w:rPr>
        <w:t>Equality</w:t>
      </w:r>
      <w:r>
        <w:rPr>
          <w:spacing w:val="-6"/>
          <w:sz w:val="18"/>
        </w:rPr>
        <w:t> </w:t>
      </w:r>
      <w:r>
        <w:rPr>
          <w:sz w:val="18"/>
        </w:rPr>
        <w:t>Groups</w:t>
      </w:r>
      <w:r>
        <w:rPr>
          <w:spacing w:val="-6"/>
          <w:sz w:val="18"/>
        </w:rPr>
        <w:t> </w:t>
      </w:r>
      <w:r>
        <w:rPr>
          <w:sz w:val="18"/>
        </w:rPr>
        <w:t>in</w:t>
      </w:r>
      <w:r>
        <w:rPr>
          <w:spacing w:val="-6"/>
          <w:sz w:val="18"/>
        </w:rPr>
        <w:t> </w:t>
      </w:r>
      <w:r>
        <w:rPr>
          <w:sz w:val="18"/>
        </w:rPr>
        <w:t>Northern</w:t>
      </w:r>
      <w:r>
        <w:rPr>
          <w:spacing w:val="-6"/>
          <w:sz w:val="18"/>
        </w:rPr>
        <w:t> </w:t>
      </w:r>
      <w:r>
        <w:rPr>
          <w:sz w:val="18"/>
        </w:rPr>
        <w:t>Ireland: EU Funding’ (ECNI, 2022), at para 2.13.</w:t>
      </w:r>
    </w:p>
    <w:p>
      <w:pPr>
        <w:pStyle w:val="ListParagraph"/>
        <w:numPr>
          <w:ilvl w:val="0"/>
          <w:numId w:val="16"/>
        </w:numPr>
        <w:tabs>
          <w:tab w:pos="1853" w:val="left" w:leader="none"/>
        </w:tabs>
        <w:spacing w:line="216"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para</w:t>
      </w:r>
      <w:r>
        <w:rPr>
          <w:spacing w:val="-2"/>
          <w:sz w:val="18"/>
        </w:rPr>
        <w:t> </w:t>
      </w:r>
      <w:r>
        <w:rPr>
          <w:spacing w:val="-4"/>
          <w:sz w:val="18"/>
        </w:rPr>
        <w:t>2.4.</w:t>
      </w:r>
    </w:p>
    <w:p>
      <w:pPr>
        <w:pStyle w:val="ListParagraph"/>
        <w:numPr>
          <w:ilvl w:val="0"/>
          <w:numId w:val="16"/>
        </w:numPr>
        <w:tabs>
          <w:tab w:pos="1853" w:val="left" w:leader="none"/>
        </w:tabs>
        <w:spacing w:line="216"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para</w:t>
      </w:r>
      <w:r>
        <w:rPr>
          <w:spacing w:val="-2"/>
          <w:sz w:val="18"/>
        </w:rPr>
        <w:t> 4.24.</w:t>
      </w:r>
    </w:p>
    <w:p>
      <w:pPr>
        <w:pStyle w:val="ListParagraph"/>
        <w:numPr>
          <w:ilvl w:val="0"/>
          <w:numId w:val="16"/>
        </w:numPr>
        <w:tabs>
          <w:tab w:pos="1853" w:val="left" w:leader="none"/>
        </w:tabs>
        <w:spacing w:line="216"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para</w:t>
      </w:r>
      <w:r>
        <w:rPr>
          <w:spacing w:val="-2"/>
          <w:sz w:val="18"/>
        </w:rPr>
        <w:t> 4.34.</w:t>
      </w:r>
    </w:p>
    <w:p>
      <w:pPr>
        <w:pStyle w:val="ListParagraph"/>
        <w:numPr>
          <w:ilvl w:val="0"/>
          <w:numId w:val="16"/>
        </w:numPr>
        <w:tabs>
          <w:tab w:pos="1853" w:val="left" w:leader="none"/>
        </w:tabs>
        <w:spacing w:line="216"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50-</w:t>
      </w:r>
      <w:r>
        <w:rPr>
          <w:spacing w:val="-5"/>
          <w:sz w:val="18"/>
        </w:rPr>
        <w:t>51.</w:t>
      </w:r>
    </w:p>
    <w:p>
      <w:pPr>
        <w:pStyle w:val="ListParagraph"/>
        <w:numPr>
          <w:ilvl w:val="0"/>
          <w:numId w:val="16"/>
        </w:numPr>
        <w:tabs>
          <w:tab w:pos="1853" w:val="left" w:leader="none"/>
        </w:tabs>
        <w:spacing w:line="235" w:lineRule="auto" w:before="2" w:after="0"/>
        <w:ind w:left="1853" w:right="1780" w:hanging="720"/>
        <w:jc w:val="left"/>
        <w:rPr>
          <w:sz w:val="18"/>
        </w:rPr>
      </w:pPr>
      <w:r>
        <w:rPr>
          <w:sz w:val="18"/>
        </w:rPr>
        <w:t>Katharine</w:t>
      </w:r>
      <w:r>
        <w:rPr>
          <w:spacing w:val="-4"/>
          <w:sz w:val="18"/>
        </w:rPr>
        <w:t> </w:t>
      </w:r>
      <w:r>
        <w:rPr>
          <w:sz w:val="18"/>
        </w:rPr>
        <w:t>Wright,</w:t>
      </w:r>
      <w:r>
        <w:rPr>
          <w:spacing w:val="-4"/>
          <w:sz w:val="18"/>
        </w:rPr>
        <w:t> </w:t>
      </w:r>
      <w:r>
        <w:rPr>
          <w:sz w:val="18"/>
        </w:rPr>
        <w:t>Ruth</w:t>
      </w:r>
      <w:r>
        <w:rPr>
          <w:spacing w:val="-5"/>
          <w:sz w:val="18"/>
        </w:rPr>
        <w:t> </w:t>
      </w:r>
      <w:r>
        <w:rPr>
          <w:sz w:val="18"/>
        </w:rPr>
        <w:t>McAreavey</w:t>
      </w:r>
      <w:r>
        <w:rPr>
          <w:spacing w:val="-4"/>
          <w:sz w:val="18"/>
        </w:rPr>
        <w:t> </w:t>
      </w:r>
      <w:r>
        <w:rPr>
          <w:sz w:val="18"/>
        </w:rPr>
        <w:t>and</w:t>
      </w:r>
      <w:r>
        <w:rPr>
          <w:spacing w:val="-5"/>
          <w:sz w:val="18"/>
        </w:rPr>
        <w:t> </w:t>
      </w:r>
      <w:r>
        <w:rPr>
          <w:sz w:val="18"/>
        </w:rPr>
        <w:t>Rebecca</w:t>
      </w:r>
      <w:r>
        <w:rPr>
          <w:spacing w:val="-5"/>
          <w:sz w:val="18"/>
        </w:rPr>
        <w:t> </w:t>
      </w:r>
      <w:r>
        <w:rPr>
          <w:sz w:val="18"/>
        </w:rPr>
        <w:t>Donaldson,</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Women</w:t>
      </w:r>
      <w:r>
        <w:rPr>
          <w:spacing w:val="-5"/>
          <w:sz w:val="18"/>
        </w:rPr>
        <w:t> </w:t>
      </w:r>
      <w:r>
        <w:rPr>
          <w:sz w:val="18"/>
        </w:rPr>
        <w:t>in</w:t>
      </w:r>
      <w:r>
        <w:rPr>
          <w:spacing w:val="-5"/>
          <w:sz w:val="18"/>
        </w:rPr>
        <w:t> </w:t>
      </w:r>
      <w:r>
        <w:rPr>
          <w:sz w:val="18"/>
        </w:rPr>
        <w:t>Northern</w:t>
      </w:r>
      <w:r>
        <w:rPr>
          <w:spacing w:val="-5"/>
          <w:sz w:val="18"/>
        </w:rPr>
        <w:t> </w:t>
      </w:r>
      <w:r>
        <w:rPr>
          <w:sz w:val="18"/>
        </w:rPr>
        <w:t>Ireland’ (ECNI, 2024).</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853" w:right="1564"/>
        <w:jc w:val="both"/>
      </w:pPr>
      <w:r>
        <w:rPr/>
        <w:t>will</w:t>
      </w:r>
      <w:r>
        <w:rPr>
          <w:spacing w:val="-8"/>
        </w:rPr>
        <w:t> </w:t>
      </w:r>
      <w:r>
        <w:rPr/>
        <w:t>specifically</w:t>
      </w:r>
      <w:r>
        <w:rPr>
          <w:spacing w:val="-7"/>
        </w:rPr>
        <w:t> </w:t>
      </w:r>
      <w:r>
        <w:rPr/>
        <w:t>examine</w:t>
      </w:r>
      <w:r>
        <w:rPr>
          <w:spacing w:val="-7"/>
        </w:rPr>
        <w:t> </w:t>
      </w:r>
      <w:r>
        <w:rPr/>
        <w:t>the</w:t>
      </w:r>
      <w:r>
        <w:rPr>
          <w:spacing w:val="-7"/>
        </w:rPr>
        <w:t> </w:t>
      </w:r>
      <w:r>
        <w:rPr/>
        <w:t>transition</w:t>
      </w:r>
      <w:r>
        <w:rPr>
          <w:spacing w:val="-8"/>
        </w:rPr>
        <w:t> </w:t>
      </w:r>
      <w:r>
        <w:rPr/>
        <w:t>from</w:t>
      </w:r>
      <w:r>
        <w:rPr>
          <w:spacing w:val="-7"/>
        </w:rPr>
        <w:t> </w:t>
      </w:r>
      <w:r>
        <w:rPr/>
        <w:t>EU</w:t>
      </w:r>
      <w:r>
        <w:rPr>
          <w:spacing w:val="-7"/>
        </w:rPr>
        <w:t> </w:t>
      </w:r>
      <w:r>
        <w:rPr/>
        <w:t>funding</w:t>
      </w:r>
      <w:r>
        <w:rPr>
          <w:spacing w:val="-7"/>
        </w:rPr>
        <w:t> </w:t>
      </w:r>
      <w:r>
        <w:rPr/>
        <w:t>to</w:t>
      </w:r>
      <w:r>
        <w:rPr>
          <w:spacing w:val="-8"/>
        </w:rPr>
        <w:t> </w:t>
      </w:r>
      <w:r>
        <w:rPr/>
        <w:t>the</w:t>
      </w:r>
      <w:r>
        <w:rPr>
          <w:spacing w:val="-7"/>
        </w:rPr>
        <w:t> </w:t>
      </w:r>
      <w:r>
        <w:rPr/>
        <w:t>replacement funding</w:t>
      </w:r>
      <w:r>
        <w:rPr>
          <w:spacing w:val="-4"/>
        </w:rPr>
        <w:t> </w:t>
      </w:r>
      <w:r>
        <w:rPr/>
        <w:t>of</w:t>
      </w:r>
      <w:r>
        <w:rPr>
          <w:spacing w:val="-5"/>
        </w:rPr>
        <w:t> </w:t>
      </w:r>
      <w:r>
        <w:rPr/>
        <w:t>the</w:t>
      </w:r>
      <w:r>
        <w:rPr>
          <w:spacing w:val="-4"/>
        </w:rPr>
        <w:t> </w:t>
      </w:r>
      <w:r>
        <w:rPr/>
        <w:t>UK</w:t>
      </w:r>
      <w:r>
        <w:rPr>
          <w:spacing w:val="-4"/>
        </w:rPr>
        <w:t> </w:t>
      </w:r>
      <w:r>
        <w:rPr/>
        <w:t>Shared</w:t>
      </w:r>
      <w:r>
        <w:rPr>
          <w:spacing w:val="-5"/>
        </w:rPr>
        <w:t> </w:t>
      </w:r>
      <w:r>
        <w:rPr/>
        <w:t>Prosperity</w:t>
      </w:r>
      <w:r>
        <w:rPr>
          <w:spacing w:val="-4"/>
        </w:rPr>
        <w:t> </w:t>
      </w:r>
      <w:r>
        <w:rPr/>
        <w:t>Fund,</w:t>
      </w:r>
      <w:r>
        <w:rPr>
          <w:spacing w:val="-4"/>
        </w:rPr>
        <w:t> </w:t>
      </w:r>
      <w:r>
        <w:rPr/>
        <w:t>on</w:t>
      </w:r>
      <w:r>
        <w:rPr>
          <w:spacing w:val="-5"/>
        </w:rPr>
        <w:t> </w:t>
      </w:r>
      <w:r>
        <w:rPr/>
        <w:t>Section</w:t>
      </w:r>
      <w:r>
        <w:rPr>
          <w:spacing w:val="-5"/>
        </w:rPr>
        <w:t> </w:t>
      </w:r>
      <w:r>
        <w:rPr/>
        <w:t>75</w:t>
      </w:r>
      <w:r>
        <w:rPr>
          <w:spacing w:val="-4"/>
        </w:rPr>
        <w:t> </w:t>
      </w:r>
      <w:r>
        <w:rPr/>
        <w:t>equality</w:t>
      </w:r>
      <w:r>
        <w:rPr>
          <w:spacing w:val="-4"/>
        </w:rPr>
        <w:t> </w:t>
      </w:r>
      <w:r>
        <w:rPr/>
        <w:t>groups</w:t>
      </w:r>
      <w:r>
        <w:rPr>
          <w:spacing w:val="-5"/>
        </w:rPr>
        <w:t> </w:t>
      </w:r>
      <w:r>
        <w:rPr/>
        <w:t>in NI.</w:t>
      </w:r>
      <w:r>
        <w:rPr>
          <w:vertAlign w:val="superscript"/>
        </w:rPr>
        <w:t>885</w:t>
      </w:r>
      <w:r>
        <w:rPr>
          <w:spacing w:val="40"/>
          <w:vertAlign w:val="baseline"/>
        </w:rPr>
        <w:t> </w:t>
      </w:r>
      <w:r>
        <w:rPr>
          <w:vertAlign w:val="baseline"/>
        </w:rPr>
        <w:t>This research will be available in 2025.</w:t>
      </w:r>
    </w:p>
    <w:p>
      <w:pPr>
        <w:pStyle w:val="ListParagraph"/>
        <w:numPr>
          <w:ilvl w:val="1"/>
          <w:numId w:val="13"/>
        </w:numPr>
        <w:tabs>
          <w:tab w:pos="1853" w:val="left" w:leader="none"/>
        </w:tabs>
        <w:spacing w:line="225" w:lineRule="auto" w:before="317" w:after="0"/>
        <w:ind w:left="1853" w:right="1272" w:hanging="720"/>
        <w:jc w:val="left"/>
        <w:rPr>
          <w:sz w:val="28"/>
        </w:rPr>
      </w:pPr>
      <w:r>
        <w:rPr>
          <w:sz w:val="28"/>
        </w:rPr>
        <w:t>As previously reported, the ECNI wrote to the NI Minister of State in August 2022</w:t>
      </w:r>
      <w:r>
        <w:rPr>
          <w:spacing w:val="-3"/>
          <w:sz w:val="28"/>
        </w:rPr>
        <w:t> </w:t>
      </w:r>
      <w:r>
        <w:rPr>
          <w:sz w:val="28"/>
        </w:rPr>
        <w:t>and</w:t>
      </w:r>
      <w:r>
        <w:rPr>
          <w:spacing w:val="-4"/>
          <w:sz w:val="28"/>
        </w:rPr>
        <w:t> </w:t>
      </w:r>
      <w:r>
        <w:rPr>
          <w:sz w:val="28"/>
        </w:rPr>
        <w:t>March</w:t>
      </w:r>
      <w:r>
        <w:rPr>
          <w:spacing w:val="-4"/>
          <w:sz w:val="28"/>
        </w:rPr>
        <w:t> </w:t>
      </w:r>
      <w:r>
        <w:rPr>
          <w:sz w:val="28"/>
        </w:rPr>
        <w:t>2023,</w:t>
      </w:r>
      <w:r>
        <w:rPr>
          <w:spacing w:val="-3"/>
          <w:sz w:val="28"/>
        </w:rPr>
        <w:t> </w:t>
      </w:r>
      <w:r>
        <w:rPr>
          <w:sz w:val="28"/>
        </w:rPr>
        <w:t>requesting</w:t>
      </w:r>
      <w:r>
        <w:rPr>
          <w:spacing w:val="-3"/>
          <w:sz w:val="28"/>
        </w:rPr>
        <w:t> </w:t>
      </w:r>
      <w:r>
        <w:rPr>
          <w:sz w:val="28"/>
        </w:rPr>
        <w:t>that</w:t>
      </w:r>
      <w:r>
        <w:rPr>
          <w:spacing w:val="-3"/>
          <w:sz w:val="28"/>
        </w:rPr>
        <w:t> </w:t>
      </w:r>
      <w:r>
        <w:rPr>
          <w:sz w:val="28"/>
        </w:rPr>
        <w:t>the</w:t>
      </w:r>
      <w:r>
        <w:rPr>
          <w:spacing w:val="-3"/>
          <w:sz w:val="28"/>
        </w:rPr>
        <w:t> </w:t>
      </w:r>
      <w:r>
        <w:rPr>
          <w:sz w:val="28"/>
        </w:rPr>
        <w:t>Secretary</w:t>
      </w:r>
      <w:r>
        <w:rPr>
          <w:spacing w:val="-3"/>
          <w:sz w:val="28"/>
        </w:rPr>
        <w:t> </w:t>
      </w:r>
      <w:r>
        <w:rPr>
          <w:sz w:val="28"/>
        </w:rPr>
        <w:t>of</w:t>
      </w:r>
      <w:r>
        <w:rPr>
          <w:spacing w:val="-4"/>
          <w:sz w:val="28"/>
        </w:rPr>
        <w:t> </w:t>
      </w:r>
      <w:r>
        <w:rPr>
          <w:sz w:val="28"/>
        </w:rPr>
        <w:t>State</w:t>
      </w:r>
      <w:r>
        <w:rPr>
          <w:spacing w:val="-3"/>
          <w:sz w:val="28"/>
        </w:rPr>
        <w:t> </w:t>
      </w:r>
      <w:r>
        <w:rPr>
          <w:sz w:val="28"/>
        </w:rPr>
        <w:t>for</w:t>
      </w:r>
      <w:r>
        <w:rPr>
          <w:spacing w:val="-3"/>
          <w:sz w:val="28"/>
        </w:rPr>
        <w:t> </w:t>
      </w:r>
      <w:r>
        <w:rPr>
          <w:sz w:val="28"/>
        </w:rPr>
        <w:t>NI</w:t>
      </w:r>
      <w:r>
        <w:rPr>
          <w:spacing w:val="-3"/>
          <w:sz w:val="28"/>
        </w:rPr>
        <w:t> </w:t>
      </w:r>
      <w:r>
        <w:rPr>
          <w:sz w:val="28"/>
        </w:rPr>
        <w:t>designate the</w:t>
      </w:r>
      <w:r>
        <w:rPr>
          <w:spacing w:val="-7"/>
          <w:sz w:val="28"/>
        </w:rPr>
        <w:t> </w:t>
      </w:r>
      <w:r>
        <w:rPr>
          <w:sz w:val="28"/>
        </w:rPr>
        <w:t>Department</w:t>
      </w:r>
      <w:r>
        <w:rPr>
          <w:spacing w:val="-7"/>
          <w:sz w:val="28"/>
        </w:rPr>
        <w:t> </w:t>
      </w:r>
      <w:r>
        <w:rPr>
          <w:sz w:val="28"/>
        </w:rPr>
        <w:t>for</w:t>
      </w:r>
      <w:r>
        <w:rPr>
          <w:spacing w:val="-7"/>
          <w:sz w:val="28"/>
        </w:rPr>
        <w:t> </w:t>
      </w:r>
      <w:r>
        <w:rPr>
          <w:sz w:val="28"/>
        </w:rPr>
        <w:t>Levelling</w:t>
      </w:r>
      <w:r>
        <w:rPr>
          <w:spacing w:val="-7"/>
          <w:sz w:val="28"/>
        </w:rPr>
        <w:t> </w:t>
      </w:r>
      <w:r>
        <w:rPr>
          <w:sz w:val="28"/>
        </w:rPr>
        <w:t>Up,</w:t>
      </w:r>
      <w:r>
        <w:rPr>
          <w:spacing w:val="-7"/>
          <w:sz w:val="28"/>
        </w:rPr>
        <w:t> </w:t>
      </w:r>
      <w:r>
        <w:rPr>
          <w:sz w:val="28"/>
        </w:rPr>
        <w:t>Housing</w:t>
      </w:r>
      <w:r>
        <w:rPr>
          <w:spacing w:val="-7"/>
          <w:sz w:val="28"/>
        </w:rPr>
        <w:t> </w:t>
      </w:r>
      <w:r>
        <w:rPr>
          <w:sz w:val="28"/>
        </w:rPr>
        <w:t>and</w:t>
      </w:r>
      <w:r>
        <w:rPr>
          <w:spacing w:val="-8"/>
          <w:sz w:val="28"/>
        </w:rPr>
        <w:t> </w:t>
      </w:r>
      <w:r>
        <w:rPr>
          <w:sz w:val="28"/>
        </w:rPr>
        <w:t>Communities</w:t>
      </w:r>
      <w:r>
        <w:rPr>
          <w:spacing w:val="-8"/>
          <w:sz w:val="28"/>
        </w:rPr>
        <w:t> </w:t>
      </w:r>
      <w:r>
        <w:rPr>
          <w:sz w:val="28"/>
        </w:rPr>
        <w:t>in</w:t>
      </w:r>
      <w:r>
        <w:rPr>
          <w:spacing w:val="-8"/>
          <w:sz w:val="28"/>
        </w:rPr>
        <w:t> </w:t>
      </w:r>
      <w:r>
        <w:rPr>
          <w:sz w:val="28"/>
        </w:rPr>
        <w:t>relation</w:t>
      </w:r>
      <w:r>
        <w:rPr>
          <w:spacing w:val="-8"/>
          <w:sz w:val="28"/>
        </w:rPr>
        <w:t> </w:t>
      </w:r>
      <w:r>
        <w:rPr>
          <w:sz w:val="28"/>
        </w:rPr>
        <w:t>to</w:t>
      </w:r>
      <w:r>
        <w:rPr>
          <w:spacing w:val="-8"/>
          <w:sz w:val="28"/>
        </w:rPr>
        <w:t> </w:t>
      </w:r>
      <w:r>
        <w:rPr>
          <w:sz w:val="28"/>
        </w:rPr>
        <w:t>NI’s Section 75 duties.</w:t>
      </w:r>
      <w:r>
        <w:rPr>
          <w:sz w:val="28"/>
          <w:vertAlign w:val="superscript"/>
        </w:rPr>
        <w:t>886</w:t>
      </w:r>
      <w:r>
        <w:rPr>
          <w:spacing w:val="40"/>
          <w:sz w:val="28"/>
          <w:vertAlign w:val="baseline"/>
        </w:rPr>
        <w:t> </w:t>
      </w:r>
      <w:r>
        <w:rPr>
          <w:sz w:val="28"/>
          <w:vertAlign w:val="baseline"/>
        </w:rPr>
        <w:t>As of March 2024, the Department has not yet been </w:t>
      </w:r>
      <w:r>
        <w:rPr>
          <w:spacing w:val="-2"/>
          <w:sz w:val="28"/>
          <w:vertAlign w:val="baseline"/>
        </w:rPr>
        <w:t>designated.</w:t>
      </w:r>
    </w:p>
    <w:p>
      <w:pPr>
        <w:pStyle w:val="ListParagraph"/>
        <w:numPr>
          <w:ilvl w:val="1"/>
          <w:numId w:val="13"/>
        </w:numPr>
        <w:tabs>
          <w:tab w:pos="1853" w:val="left" w:leader="none"/>
        </w:tabs>
        <w:spacing w:line="225" w:lineRule="auto" w:before="313" w:after="0"/>
        <w:ind w:left="1853" w:right="1351" w:hanging="720"/>
        <w:jc w:val="left"/>
        <w:rPr>
          <w:sz w:val="28"/>
        </w:rPr>
      </w:pPr>
      <w:r>
        <w:rPr>
          <w:sz w:val="28"/>
        </w:rPr>
        <w:t>In evidence provided to the Levelling Up, Housing and Communities Committee on their Inquiry on Funding for Levelling Up, officials from NI departments reiterated the need for designation, noting that it is “normal practice” for UK Government bodies operating in NI to be designated to ensure their operations in NI adhere to section 75 duties.</w:t>
      </w:r>
      <w:r>
        <w:rPr>
          <w:sz w:val="28"/>
          <w:vertAlign w:val="superscript"/>
        </w:rPr>
        <w:t>887</w:t>
      </w:r>
      <w:r>
        <w:rPr>
          <w:sz w:val="28"/>
          <w:vertAlign w:val="baseline"/>
        </w:rPr>
        <w:t> The Inquiry also highlighted</w:t>
      </w:r>
      <w:r>
        <w:rPr>
          <w:spacing w:val="-7"/>
          <w:sz w:val="28"/>
          <w:vertAlign w:val="baseline"/>
        </w:rPr>
        <w:t> </w:t>
      </w:r>
      <w:r>
        <w:rPr>
          <w:sz w:val="28"/>
          <w:vertAlign w:val="baseline"/>
        </w:rPr>
        <w:t>concerns</w:t>
      </w:r>
      <w:r>
        <w:rPr>
          <w:spacing w:val="-7"/>
          <w:sz w:val="28"/>
          <w:vertAlign w:val="baseline"/>
        </w:rPr>
        <w:t> </w:t>
      </w:r>
      <w:r>
        <w:rPr>
          <w:sz w:val="28"/>
          <w:vertAlign w:val="baseline"/>
        </w:rPr>
        <w:t>raised</w:t>
      </w:r>
      <w:r>
        <w:rPr>
          <w:spacing w:val="-7"/>
          <w:sz w:val="28"/>
          <w:vertAlign w:val="baseline"/>
        </w:rPr>
        <w:t> </w:t>
      </w:r>
      <w:r>
        <w:rPr>
          <w:sz w:val="28"/>
          <w:vertAlign w:val="baseline"/>
        </w:rPr>
        <w:t>by</w:t>
      </w:r>
      <w:r>
        <w:rPr>
          <w:spacing w:val="-6"/>
          <w:sz w:val="28"/>
          <w:vertAlign w:val="baseline"/>
        </w:rPr>
        <w:t> </w:t>
      </w:r>
      <w:r>
        <w:rPr>
          <w:sz w:val="28"/>
          <w:vertAlign w:val="baseline"/>
        </w:rPr>
        <w:t>NI</w:t>
      </w:r>
      <w:r>
        <w:rPr>
          <w:spacing w:val="-6"/>
          <w:sz w:val="28"/>
          <w:vertAlign w:val="baseline"/>
        </w:rPr>
        <w:t> </w:t>
      </w:r>
      <w:r>
        <w:rPr>
          <w:sz w:val="28"/>
          <w:vertAlign w:val="baseline"/>
        </w:rPr>
        <w:t>Officials</w:t>
      </w:r>
      <w:r>
        <w:rPr>
          <w:spacing w:val="-7"/>
          <w:sz w:val="28"/>
          <w:vertAlign w:val="baseline"/>
        </w:rPr>
        <w:t> </w:t>
      </w:r>
      <w:r>
        <w:rPr>
          <w:sz w:val="28"/>
          <w:vertAlign w:val="baseline"/>
        </w:rPr>
        <w:t>in</w:t>
      </w:r>
      <w:r>
        <w:rPr>
          <w:spacing w:val="-7"/>
          <w:sz w:val="28"/>
          <w:vertAlign w:val="baseline"/>
        </w:rPr>
        <w:t> </w:t>
      </w:r>
      <w:r>
        <w:rPr>
          <w:sz w:val="28"/>
          <w:vertAlign w:val="baseline"/>
        </w:rPr>
        <w:t>relation</w:t>
      </w:r>
      <w:r>
        <w:rPr>
          <w:spacing w:val="-7"/>
          <w:sz w:val="28"/>
          <w:vertAlign w:val="baseline"/>
        </w:rPr>
        <w:t> </w:t>
      </w:r>
      <w:r>
        <w:rPr>
          <w:sz w:val="28"/>
          <w:vertAlign w:val="baseline"/>
        </w:rPr>
        <w:t>to</w:t>
      </w:r>
      <w:r>
        <w:rPr>
          <w:spacing w:val="-7"/>
          <w:sz w:val="28"/>
          <w:vertAlign w:val="baseline"/>
        </w:rPr>
        <w:t> </w:t>
      </w:r>
      <w:r>
        <w:rPr>
          <w:sz w:val="28"/>
          <w:vertAlign w:val="baseline"/>
        </w:rPr>
        <w:t>the</w:t>
      </w:r>
      <w:r>
        <w:rPr>
          <w:spacing w:val="-6"/>
          <w:sz w:val="28"/>
          <w:vertAlign w:val="baseline"/>
        </w:rPr>
        <w:t> </w:t>
      </w:r>
      <w:r>
        <w:rPr>
          <w:sz w:val="28"/>
          <w:vertAlign w:val="baseline"/>
        </w:rPr>
        <w:t>continued</w:t>
      </w:r>
      <w:r>
        <w:rPr>
          <w:spacing w:val="-7"/>
          <w:sz w:val="28"/>
          <w:vertAlign w:val="baseline"/>
        </w:rPr>
        <w:t> </w:t>
      </w:r>
      <w:r>
        <w:rPr>
          <w:sz w:val="28"/>
          <w:vertAlign w:val="baseline"/>
        </w:rPr>
        <w:t>lack</w:t>
      </w:r>
      <w:r>
        <w:rPr>
          <w:spacing w:val="-6"/>
          <w:sz w:val="28"/>
          <w:vertAlign w:val="baseline"/>
        </w:rPr>
        <w:t> </w:t>
      </w:r>
      <w:r>
        <w:rPr>
          <w:sz w:val="28"/>
          <w:vertAlign w:val="baseline"/>
        </w:rPr>
        <w:t>of consultation, collaboration and timely delivery of Shared Prosperity Fund to services in NI, which have had an impact on the operation of services</w:t>
      </w:r>
    </w:p>
    <w:p>
      <w:pPr>
        <w:pStyle w:val="ListParagraph"/>
        <w:numPr>
          <w:ilvl w:val="1"/>
          <w:numId w:val="13"/>
        </w:numPr>
        <w:tabs>
          <w:tab w:pos="1853" w:val="left" w:leader="none"/>
        </w:tabs>
        <w:spacing w:line="225" w:lineRule="auto" w:before="310" w:after="0"/>
        <w:ind w:left="1853" w:right="1157" w:hanging="720"/>
        <w:jc w:val="left"/>
        <w:rPr>
          <w:sz w:val="28"/>
        </w:rPr>
      </w:pPr>
      <w:r>
        <w:rPr>
          <w:sz w:val="28"/>
        </w:rPr>
        <w:t>In its response to the inquiry, the UK Government noted that “DLUHC [Department for Levelling Up, Housing and Communities] recognises the importance of giving due regard to the equalities considerations that apply in Northern</w:t>
      </w:r>
      <w:r>
        <w:rPr>
          <w:spacing w:val="-4"/>
          <w:sz w:val="28"/>
        </w:rPr>
        <w:t> </w:t>
      </w:r>
      <w:r>
        <w:rPr>
          <w:sz w:val="28"/>
        </w:rPr>
        <w:t>Ireland.</w:t>
      </w:r>
      <w:r>
        <w:rPr>
          <w:spacing w:val="-4"/>
          <w:sz w:val="28"/>
        </w:rPr>
        <w:t> </w:t>
      </w:r>
      <w:r>
        <w:rPr>
          <w:sz w:val="28"/>
        </w:rPr>
        <w:t>In</w:t>
      </w:r>
      <w:r>
        <w:rPr>
          <w:spacing w:val="-4"/>
          <w:sz w:val="28"/>
        </w:rPr>
        <w:t> </w:t>
      </w:r>
      <w:r>
        <w:rPr>
          <w:sz w:val="28"/>
        </w:rPr>
        <w:t>designing</w:t>
      </w:r>
      <w:r>
        <w:rPr>
          <w:spacing w:val="-3"/>
          <w:sz w:val="28"/>
        </w:rPr>
        <w:t> </w:t>
      </w:r>
      <w:r>
        <w:rPr>
          <w:sz w:val="28"/>
        </w:rPr>
        <w:t>funds</w:t>
      </w:r>
      <w:r>
        <w:rPr>
          <w:spacing w:val="-4"/>
          <w:sz w:val="28"/>
        </w:rPr>
        <w:t> </w:t>
      </w:r>
      <w:r>
        <w:rPr>
          <w:sz w:val="28"/>
        </w:rPr>
        <w:t>and</w:t>
      </w:r>
      <w:r>
        <w:rPr>
          <w:spacing w:val="-4"/>
          <w:sz w:val="28"/>
        </w:rPr>
        <w:t> </w:t>
      </w:r>
      <w:r>
        <w:rPr>
          <w:sz w:val="28"/>
        </w:rPr>
        <w:t>in</w:t>
      </w:r>
      <w:r>
        <w:rPr>
          <w:spacing w:val="-4"/>
          <w:sz w:val="28"/>
        </w:rPr>
        <w:t> </w:t>
      </w:r>
      <w:r>
        <w:rPr>
          <w:sz w:val="28"/>
        </w:rPr>
        <w:t>making</w:t>
      </w:r>
      <w:r>
        <w:rPr>
          <w:spacing w:val="-3"/>
          <w:sz w:val="28"/>
        </w:rPr>
        <w:t> </w:t>
      </w:r>
      <w:r>
        <w:rPr>
          <w:sz w:val="28"/>
        </w:rPr>
        <w:t>selection</w:t>
      </w:r>
      <w:r>
        <w:rPr>
          <w:spacing w:val="-4"/>
          <w:sz w:val="28"/>
        </w:rPr>
        <w:t> </w:t>
      </w:r>
      <w:r>
        <w:rPr>
          <w:sz w:val="28"/>
        </w:rPr>
        <w:t>decisions,</w:t>
      </w:r>
      <w:r>
        <w:rPr>
          <w:spacing w:val="-3"/>
          <w:sz w:val="28"/>
        </w:rPr>
        <w:t> </w:t>
      </w:r>
      <w:r>
        <w:rPr>
          <w:sz w:val="28"/>
        </w:rPr>
        <w:t>DLUHC have</w:t>
      </w:r>
      <w:r>
        <w:rPr>
          <w:spacing w:val="-6"/>
          <w:sz w:val="28"/>
        </w:rPr>
        <w:t> </w:t>
      </w:r>
      <w:r>
        <w:rPr>
          <w:sz w:val="28"/>
        </w:rPr>
        <w:t>considered</w:t>
      </w:r>
      <w:r>
        <w:rPr>
          <w:spacing w:val="-7"/>
          <w:sz w:val="28"/>
        </w:rPr>
        <w:t> </w:t>
      </w:r>
      <w:r>
        <w:rPr>
          <w:sz w:val="28"/>
        </w:rPr>
        <w:t>our</w:t>
      </w:r>
      <w:r>
        <w:rPr>
          <w:spacing w:val="-6"/>
          <w:sz w:val="28"/>
        </w:rPr>
        <w:t> </w:t>
      </w:r>
      <w:r>
        <w:rPr>
          <w:sz w:val="28"/>
        </w:rPr>
        <w:t>public</w:t>
      </w:r>
      <w:r>
        <w:rPr>
          <w:spacing w:val="-6"/>
          <w:sz w:val="28"/>
        </w:rPr>
        <w:t> </w:t>
      </w:r>
      <w:r>
        <w:rPr>
          <w:sz w:val="28"/>
        </w:rPr>
        <w:t>sector</w:t>
      </w:r>
      <w:r>
        <w:rPr>
          <w:spacing w:val="-6"/>
          <w:sz w:val="28"/>
        </w:rPr>
        <w:t> </w:t>
      </w:r>
      <w:r>
        <w:rPr>
          <w:sz w:val="28"/>
        </w:rPr>
        <w:t>equality</w:t>
      </w:r>
      <w:r>
        <w:rPr>
          <w:spacing w:val="-6"/>
          <w:sz w:val="28"/>
        </w:rPr>
        <w:t> </w:t>
      </w:r>
      <w:r>
        <w:rPr>
          <w:sz w:val="28"/>
        </w:rPr>
        <w:t>duties</w:t>
      </w:r>
      <w:r>
        <w:rPr>
          <w:spacing w:val="-7"/>
          <w:sz w:val="28"/>
        </w:rPr>
        <w:t> </w:t>
      </w:r>
      <w:r>
        <w:rPr>
          <w:sz w:val="28"/>
        </w:rPr>
        <w:t>including</w:t>
      </w:r>
      <w:r>
        <w:rPr>
          <w:spacing w:val="-6"/>
          <w:sz w:val="28"/>
        </w:rPr>
        <w:t> </w:t>
      </w:r>
      <w:r>
        <w:rPr>
          <w:sz w:val="28"/>
        </w:rPr>
        <w:t>relevant</w:t>
      </w:r>
      <w:r>
        <w:rPr>
          <w:spacing w:val="-6"/>
          <w:sz w:val="28"/>
        </w:rPr>
        <w:t> </w:t>
      </w:r>
      <w:r>
        <w:rPr>
          <w:sz w:val="28"/>
        </w:rPr>
        <w:t>section</w:t>
      </w:r>
      <w:r>
        <w:rPr>
          <w:spacing w:val="-7"/>
          <w:sz w:val="28"/>
        </w:rPr>
        <w:t> </w:t>
      </w:r>
      <w:r>
        <w:rPr>
          <w:sz w:val="28"/>
        </w:rPr>
        <w:t>75 factors specific to Northern Ireland”.</w:t>
      </w:r>
      <w:r>
        <w:rPr>
          <w:color w:val="0A0B0B"/>
          <w:sz w:val="28"/>
          <w:vertAlign w:val="superscript"/>
        </w:rPr>
        <w:t>888</w:t>
      </w:r>
    </w:p>
    <w:p>
      <w:pPr>
        <w:pStyle w:val="BodyText"/>
        <w:spacing w:before="9"/>
        <w:rPr>
          <w:sz w:val="13"/>
        </w:rPr>
      </w:pPr>
      <w:r>
        <w:rPr/>
        <mc:AlternateContent>
          <mc:Choice Requires="wps">
            <w:drawing>
              <wp:anchor distT="0" distB="0" distL="0" distR="0" allowOverlap="1" layoutInCell="1" locked="0" behindDoc="1" simplePos="0" relativeHeight="487731712">
                <wp:simplePos x="0" y="0"/>
                <wp:positionH relativeFrom="page">
                  <wp:posOffset>720001</wp:posOffset>
                </wp:positionH>
                <wp:positionV relativeFrom="paragraph">
                  <wp:posOffset>122328</wp:posOffset>
                </wp:positionV>
                <wp:extent cx="6120130" cy="360680"/>
                <wp:effectExtent l="0" t="0" r="0" b="0"/>
                <wp:wrapTopAndBottom/>
                <wp:docPr id="657" name="Textbox 657"/>
                <wp:cNvGraphicFramePr>
                  <a:graphicFrameLocks/>
                </wp:cNvGraphicFramePr>
                <a:graphic>
                  <a:graphicData uri="http://schemas.microsoft.com/office/word/2010/wordprocessingShape">
                    <wps:wsp>
                      <wps:cNvPr id="657" name="Textbox 657"/>
                      <wps:cNvSpPr txBox="1"/>
                      <wps:spPr>
                        <a:xfrm>
                          <a:off x="0" y="0"/>
                          <a:ext cx="6120130" cy="360680"/>
                        </a:xfrm>
                        <a:prstGeom prst="rect">
                          <a:avLst/>
                        </a:prstGeom>
                        <a:solidFill>
                          <a:srgbClr val="393B7F"/>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9.632188pt;width:481.9pt;height:28.4pt;mso-position-horizontal-relative:page;mso-position-vertical-relative:paragraph;z-index:-15584768;mso-wrap-distance-left:0;mso-wrap-distance-right:0" type="#_x0000_t202" id="docshape601" filled="true" fillcolor="#393b7f"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13"/>
        </w:numPr>
        <w:tabs>
          <w:tab w:pos="1853" w:val="left" w:leader="none"/>
        </w:tabs>
        <w:spacing w:line="225" w:lineRule="auto" w:before="208" w:after="0"/>
        <w:ind w:left="1853" w:right="1321" w:hanging="720"/>
        <w:jc w:val="left"/>
        <w:rPr>
          <w:b/>
          <w:color w:val="67287F"/>
          <w:sz w:val="28"/>
        </w:rPr>
      </w:pPr>
      <w:r>
        <w:rPr>
          <w:b/>
          <w:color w:val="67287F"/>
          <w:sz w:val="28"/>
        </w:rPr>
        <w:t>The</w:t>
      </w:r>
      <w:r>
        <w:rPr>
          <w:b/>
          <w:color w:val="67287F"/>
          <w:spacing w:val="-7"/>
          <w:sz w:val="28"/>
        </w:rPr>
        <w:t> </w:t>
      </w:r>
      <w:r>
        <w:rPr>
          <w:b/>
          <w:color w:val="67287F"/>
          <w:sz w:val="28"/>
        </w:rPr>
        <w:t>ECNI</w:t>
      </w:r>
      <w:r>
        <w:rPr>
          <w:b/>
          <w:color w:val="67287F"/>
          <w:spacing w:val="-6"/>
          <w:sz w:val="28"/>
        </w:rPr>
        <w:t> </w:t>
      </w:r>
      <w:r>
        <w:rPr>
          <w:b/>
          <w:color w:val="67287F"/>
          <w:sz w:val="28"/>
        </w:rPr>
        <w:t>continues</w:t>
      </w:r>
      <w:r>
        <w:rPr>
          <w:b/>
          <w:color w:val="67287F"/>
          <w:spacing w:val="-6"/>
          <w:sz w:val="28"/>
        </w:rPr>
        <w:t> </w:t>
      </w:r>
      <w:r>
        <w:rPr>
          <w:b/>
          <w:color w:val="67287F"/>
          <w:sz w:val="28"/>
        </w:rPr>
        <w:t>to</w:t>
      </w:r>
      <w:r>
        <w:rPr>
          <w:b/>
          <w:color w:val="67287F"/>
          <w:spacing w:val="-6"/>
          <w:sz w:val="28"/>
        </w:rPr>
        <w:t> </w:t>
      </w:r>
      <w:r>
        <w:rPr>
          <w:b/>
          <w:color w:val="67287F"/>
          <w:sz w:val="28"/>
        </w:rPr>
        <w:t>recommend</w:t>
      </w:r>
      <w:r>
        <w:rPr>
          <w:b/>
          <w:color w:val="67287F"/>
          <w:spacing w:val="-6"/>
          <w:sz w:val="28"/>
        </w:rPr>
        <w:t> </w:t>
      </w:r>
      <w:r>
        <w:rPr>
          <w:b/>
          <w:color w:val="67287F"/>
          <w:sz w:val="28"/>
        </w:rPr>
        <w:t>that</w:t>
      </w:r>
      <w:r>
        <w:rPr>
          <w:b/>
          <w:color w:val="67287F"/>
          <w:spacing w:val="-6"/>
          <w:sz w:val="28"/>
        </w:rPr>
        <w:t> </w:t>
      </w:r>
      <w:r>
        <w:rPr>
          <w:b/>
          <w:color w:val="67287F"/>
          <w:sz w:val="28"/>
        </w:rPr>
        <w:t>the</w:t>
      </w:r>
      <w:r>
        <w:rPr>
          <w:b/>
          <w:color w:val="67287F"/>
          <w:spacing w:val="-7"/>
          <w:sz w:val="28"/>
        </w:rPr>
        <w:t> </w:t>
      </w:r>
      <w:r>
        <w:rPr>
          <w:b/>
          <w:color w:val="67287F"/>
          <w:sz w:val="28"/>
        </w:rPr>
        <w:t>UK</w:t>
      </w:r>
      <w:r>
        <w:rPr>
          <w:b/>
          <w:color w:val="67287F"/>
          <w:spacing w:val="-6"/>
          <w:sz w:val="28"/>
        </w:rPr>
        <w:t> </w:t>
      </w:r>
      <w:r>
        <w:rPr>
          <w:b/>
          <w:color w:val="67287F"/>
          <w:sz w:val="28"/>
        </w:rPr>
        <w:t>Government</w:t>
      </w:r>
      <w:r>
        <w:rPr>
          <w:b/>
          <w:color w:val="67287F"/>
          <w:spacing w:val="-6"/>
          <w:sz w:val="28"/>
        </w:rPr>
        <w:t> </w:t>
      </w:r>
      <w:r>
        <w:rPr>
          <w:b/>
          <w:color w:val="67287F"/>
          <w:sz w:val="28"/>
        </w:rPr>
        <w:t>should</w:t>
      </w:r>
      <w:r>
        <w:rPr>
          <w:b/>
          <w:color w:val="67287F"/>
          <w:spacing w:val="-6"/>
          <w:sz w:val="28"/>
        </w:rPr>
        <w:t> </w:t>
      </w:r>
      <w:r>
        <w:rPr>
          <w:b/>
          <w:color w:val="67287F"/>
          <w:sz w:val="28"/>
        </w:rPr>
        <w:t>address through future funding arrangements the potential negative impact of</w:t>
      </w:r>
    </w:p>
    <w:p>
      <w:pPr>
        <w:spacing w:line="225" w:lineRule="auto" w:before="0"/>
        <w:ind w:left="1853" w:right="1383" w:firstLine="0"/>
        <w:jc w:val="left"/>
        <w:rPr>
          <w:b/>
          <w:sz w:val="28"/>
        </w:rPr>
      </w:pPr>
      <w:r>
        <w:rPr>
          <w:b/>
          <w:color w:val="67287F"/>
          <w:sz w:val="28"/>
        </w:rPr>
        <w:t>the loss of EU funding on programmes, including under the European Social</w:t>
      </w:r>
      <w:r>
        <w:rPr>
          <w:b/>
          <w:color w:val="67287F"/>
          <w:spacing w:val="-4"/>
          <w:sz w:val="28"/>
        </w:rPr>
        <w:t> </w:t>
      </w:r>
      <w:r>
        <w:rPr>
          <w:b/>
          <w:color w:val="67287F"/>
          <w:sz w:val="28"/>
        </w:rPr>
        <w:t>Fund,</w:t>
      </w:r>
      <w:r>
        <w:rPr>
          <w:b/>
          <w:color w:val="67287F"/>
          <w:spacing w:val="-4"/>
          <w:sz w:val="28"/>
        </w:rPr>
        <w:t> </w:t>
      </w:r>
      <w:r>
        <w:rPr>
          <w:b/>
          <w:color w:val="67287F"/>
          <w:sz w:val="28"/>
        </w:rPr>
        <w:t>on</w:t>
      </w:r>
      <w:r>
        <w:rPr>
          <w:b/>
          <w:color w:val="67287F"/>
          <w:spacing w:val="-4"/>
          <w:sz w:val="28"/>
        </w:rPr>
        <w:t> </w:t>
      </w:r>
      <w:r>
        <w:rPr>
          <w:b/>
          <w:color w:val="67287F"/>
          <w:sz w:val="28"/>
        </w:rPr>
        <w:t>equality</w:t>
      </w:r>
      <w:r>
        <w:rPr>
          <w:b/>
          <w:color w:val="67287F"/>
          <w:spacing w:val="-4"/>
          <w:sz w:val="28"/>
        </w:rPr>
        <w:t> </w:t>
      </w:r>
      <w:r>
        <w:rPr>
          <w:b/>
          <w:color w:val="67287F"/>
          <w:sz w:val="28"/>
        </w:rPr>
        <w:t>groups,</w:t>
      </w:r>
      <w:r>
        <w:rPr>
          <w:b/>
          <w:color w:val="67287F"/>
          <w:spacing w:val="-4"/>
          <w:sz w:val="28"/>
        </w:rPr>
        <w:t> </w:t>
      </w:r>
      <w:r>
        <w:rPr>
          <w:b/>
          <w:color w:val="67287F"/>
          <w:sz w:val="28"/>
        </w:rPr>
        <w:t>including</w:t>
      </w:r>
      <w:r>
        <w:rPr>
          <w:b/>
          <w:color w:val="67287F"/>
          <w:spacing w:val="-5"/>
          <w:sz w:val="28"/>
        </w:rPr>
        <w:t> </w:t>
      </w:r>
      <w:r>
        <w:rPr>
          <w:b/>
          <w:color w:val="67287F"/>
          <w:sz w:val="28"/>
        </w:rPr>
        <w:t>the</w:t>
      </w:r>
      <w:r>
        <w:rPr>
          <w:b/>
          <w:color w:val="67287F"/>
          <w:spacing w:val="-5"/>
          <w:sz w:val="28"/>
        </w:rPr>
        <w:t> </w:t>
      </w:r>
      <w:r>
        <w:rPr>
          <w:b/>
          <w:color w:val="67287F"/>
          <w:sz w:val="28"/>
        </w:rPr>
        <w:t>impact</w:t>
      </w:r>
      <w:r>
        <w:rPr>
          <w:b/>
          <w:color w:val="67287F"/>
          <w:spacing w:val="-4"/>
          <w:sz w:val="28"/>
        </w:rPr>
        <w:t> </w:t>
      </w:r>
      <w:r>
        <w:rPr>
          <w:b/>
          <w:color w:val="67287F"/>
          <w:sz w:val="28"/>
        </w:rPr>
        <w:t>on</w:t>
      </w:r>
      <w:r>
        <w:rPr>
          <w:b/>
          <w:color w:val="67287F"/>
          <w:spacing w:val="-4"/>
          <w:sz w:val="28"/>
        </w:rPr>
        <w:t> </w:t>
      </w:r>
      <w:r>
        <w:rPr>
          <w:b/>
          <w:color w:val="67287F"/>
          <w:sz w:val="28"/>
        </w:rPr>
        <w:t>the</w:t>
      </w:r>
      <w:r>
        <w:rPr>
          <w:b/>
          <w:color w:val="67287F"/>
          <w:spacing w:val="-5"/>
          <w:sz w:val="28"/>
        </w:rPr>
        <w:t> </w:t>
      </w:r>
      <w:r>
        <w:rPr>
          <w:b/>
          <w:color w:val="67287F"/>
          <w:sz w:val="28"/>
        </w:rPr>
        <w:t>voluntary</w:t>
      </w:r>
      <w:r>
        <w:rPr>
          <w:b/>
          <w:color w:val="67287F"/>
          <w:spacing w:val="-4"/>
          <w:sz w:val="28"/>
        </w:rPr>
        <w:t> </w:t>
      </w:r>
      <w:r>
        <w:rPr>
          <w:b/>
          <w:color w:val="67287F"/>
          <w:sz w:val="28"/>
        </w:rPr>
        <w:t>and community sector.</w:t>
      </w:r>
    </w:p>
    <w:p>
      <w:pPr>
        <w:pStyle w:val="ListParagraph"/>
        <w:numPr>
          <w:ilvl w:val="1"/>
          <w:numId w:val="13"/>
        </w:numPr>
        <w:tabs>
          <w:tab w:pos="1853" w:val="left" w:leader="none"/>
        </w:tabs>
        <w:spacing w:line="225" w:lineRule="auto" w:before="314" w:after="0"/>
        <w:ind w:left="1853" w:right="1372" w:hanging="720"/>
        <w:jc w:val="left"/>
        <w:rPr>
          <w:b/>
          <w:color w:val="67287F"/>
          <w:sz w:val="28"/>
        </w:rPr>
      </w:pPr>
      <w:r>
        <w:rPr>
          <w:b/>
          <w:color w:val="67287F"/>
          <w:sz w:val="28"/>
        </w:rPr>
        <w:t>The</w:t>
      </w:r>
      <w:r>
        <w:rPr>
          <w:b/>
          <w:color w:val="67287F"/>
          <w:spacing w:val="-7"/>
          <w:sz w:val="28"/>
        </w:rPr>
        <w:t> </w:t>
      </w:r>
      <w:r>
        <w:rPr>
          <w:b/>
          <w:color w:val="67287F"/>
          <w:sz w:val="28"/>
        </w:rPr>
        <w:t>ECNI</w:t>
      </w:r>
      <w:r>
        <w:rPr>
          <w:b/>
          <w:color w:val="67287F"/>
          <w:spacing w:val="-6"/>
          <w:sz w:val="28"/>
        </w:rPr>
        <w:t> </w:t>
      </w:r>
      <w:r>
        <w:rPr>
          <w:b/>
          <w:color w:val="67287F"/>
          <w:sz w:val="28"/>
        </w:rPr>
        <w:t>continues</w:t>
      </w:r>
      <w:r>
        <w:rPr>
          <w:b/>
          <w:color w:val="67287F"/>
          <w:spacing w:val="-6"/>
          <w:sz w:val="28"/>
        </w:rPr>
        <w:t> </w:t>
      </w:r>
      <w:r>
        <w:rPr>
          <w:b/>
          <w:color w:val="67287F"/>
          <w:sz w:val="28"/>
        </w:rPr>
        <w:t>to</w:t>
      </w:r>
      <w:r>
        <w:rPr>
          <w:b/>
          <w:color w:val="67287F"/>
          <w:spacing w:val="-6"/>
          <w:sz w:val="28"/>
        </w:rPr>
        <w:t> </w:t>
      </w:r>
      <w:r>
        <w:rPr>
          <w:b/>
          <w:color w:val="67287F"/>
          <w:sz w:val="28"/>
        </w:rPr>
        <w:t>recommend</w:t>
      </w:r>
      <w:r>
        <w:rPr>
          <w:b/>
          <w:color w:val="67287F"/>
          <w:spacing w:val="-6"/>
          <w:sz w:val="28"/>
        </w:rPr>
        <w:t> </w:t>
      </w:r>
      <w:r>
        <w:rPr>
          <w:b/>
          <w:color w:val="67287F"/>
          <w:sz w:val="28"/>
        </w:rPr>
        <w:t>that</w:t>
      </w:r>
      <w:r>
        <w:rPr>
          <w:b/>
          <w:color w:val="67287F"/>
          <w:spacing w:val="-6"/>
          <w:sz w:val="28"/>
        </w:rPr>
        <w:t> </w:t>
      </w:r>
      <w:r>
        <w:rPr>
          <w:b/>
          <w:color w:val="67287F"/>
          <w:sz w:val="28"/>
        </w:rPr>
        <w:t>the</w:t>
      </w:r>
      <w:r>
        <w:rPr>
          <w:b/>
          <w:color w:val="67287F"/>
          <w:spacing w:val="-7"/>
          <w:sz w:val="28"/>
        </w:rPr>
        <w:t> </w:t>
      </w:r>
      <w:r>
        <w:rPr>
          <w:b/>
          <w:color w:val="67287F"/>
          <w:sz w:val="28"/>
        </w:rPr>
        <w:t>Secretary</w:t>
      </w:r>
      <w:r>
        <w:rPr>
          <w:b/>
          <w:color w:val="67287F"/>
          <w:spacing w:val="-6"/>
          <w:sz w:val="28"/>
        </w:rPr>
        <w:t> </w:t>
      </w:r>
      <w:r>
        <w:rPr>
          <w:b/>
          <w:color w:val="67287F"/>
          <w:sz w:val="28"/>
        </w:rPr>
        <w:t>of</w:t>
      </w:r>
      <w:r>
        <w:rPr>
          <w:b/>
          <w:color w:val="67287F"/>
          <w:spacing w:val="-7"/>
          <w:sz w:val="28"/>
        </w:rPr>
        <w:t> </w:t>
      </w:r>
      <w:r>
        <w:rPr>
          <w:b/>
          <w:color w:val="67287F"/>
          <w:sz w:val="28"/>
        </w:rPr>
        <w:t>State</w:t>
      </w:r>
      <w:r>
        <w:rPr>
          <w:b/>
          <w:color w:val="67287F"/>
          <w:spacing w:val="-7"/>
          <w:sz w:val="28"/>
        </w:rPr>
        <w:t> </w:t>
      </w:r>
      <w:r>
        <w:rPr>
          <w:b/>
          <w:color w:val="67287F"/>
          <w:sz w:val="28"/>
        </w:rPr>
        <w:t>for</w:t>
      </w:r>
      <w:r>
        <w:rPr>
          <w:b/>
          <w:color w:val="67287F"/>
          <w:spacing w:val="-7"/>
          <w:sz w:val="28"/>
        </w:rPr>
        <w:t> </w:t>
      </w:r>
      <w:r>
        <w:rPr>
          <w:b/>
          <w:color w:val="67287F"/>
          <w:sz w:val="28"/>
        </w:rPr>
        <w:t>NI</w:t>
      </w:r>
      <w:r>
        <w:rPr>
          <w:b/>
          <w:color w:val="67287F"/>
          <w:spacing w:val="-6"/>
          <w:sz w:val="28"/>
        </w:rPr>
        <w:t> </w:t>
      </w:r>
      <w:r>
        <w:rPr>
          <w:b/>
          <w:color w:val="67287F"/>
          <w:sz w:val="28"/>
        </w:rPr>
        <w:t>should designate for the purposes of Section 75 the Department for Levelling Up, Housing and Communities.</w:t>
      </w:r>
    </w:p>
    <w:p>
      <w:pPr>
        <w:pStyle w:val="BodyText"/>
        <w:spacing w:before="9"/>
        <w:rPr>
          <w:b/>
          <w:sz w:val="4"/>
        </w:rPr>
      </w:pPr>
      <w:r>
        <w:rPr/>
        <mc:AlternateContent>
          <mc:Choice Requires="wps">
            <w:drawing>
              <wp:anchor distT="0" distB="0" distL="0" distR="0" allowOverlap="1" layoutInCell="1" locked="0" behindDoc="1" simplePos="0" relativeHeight="487732224">
                <wp:simplePos x="0" y="0"/>
                <wp:positionH relativeFrom="page">
                  <wp:posOffset>719996</wp:posOffset>
                </wp:positionH>
                <wp:positionV relativeFrom="paragraph">
                  <wp:posOffset>52251</wp:posOffset>
                </wp:positionV>
                <wp:extent cx="6120130" cy="1270"/>
                <wp:effectExtent l="0" t="0" r="0" b="0"/>
                <wp:wrapTopAndBottom/>
                <wp:docPr id="658" name="Graphic 658"/>
                <wp:cNvGraphicFramePr>
                  <a:graphicFrameLocks/>
                </wp:cNvGraphicFramePr>
                <a:graphic>
                  <a:graphicData uri="http://schemas.microsoft.com/office/word/2010/wordprocessingShape">
                    <wps:wsp>
                      <wps:cNvPr id="658" name="Graphic 658"/>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4.114275pt;width:481.9pt;height:.1pt;mso-position-horizontal-relative:page;mso-position-vertical-relative:paragraph;z-index:-15584256;mso-wrap-distance-left:0;mso-wrap-distance-right:0" id="docshape602" coordorigin="1134,82" coordsize="9638,0" path="m10772,82l1134,82e" filled="false" stroked="true" strokeweight="1pt" strokecolor="#393b80">
                <v:path arrowok="t"/>
                <v:stroke dashstyle="solid"/>
                <w10:wrap type="topAndBottom"/>
              </v:shape>
            </w:pict>
          </mc:Fallback>
        </mc:AlternateContent>
      </w:r>
    </w:p>
    <w:p>
      <w:pPr>
        <w:pStyle w:val="ListParagraph"/>
        <w:numPr>
          <w:ilvl w:val="0"/>
          <w:numId w:val="16"/>
        </w:numPr>
        <w:tabs>
          <w:tab w:pos="1853" w:val="left" w:leader="none"/>
        </w:tabs>
        <w:spacing w:line="235" w:lineRule="auto" w:before="82" w:after="0"/>
        <w:ind w:left="1853" w:right="1429" w:hanging="720"/>
        <w:jc w:val="left"/>
        <w:rPr>
          <w:sz w:val="18"/>
        </w:rPr>
      </w:pPr>
      <w:r>
        <w:rPr>
          <w:sz w:val="18"/>
        </w:rPr>
        <w:t>Rory</w:t>
      </w:r>
      <w:r>
        <w:rPr>
          <w:spacing w:val="-3"/>
          <w:sz w:val="18"/>
        </w:rPr>
        <w:t> </w:t>
      </w:r>
      <w:r>
        <w:rPr>
          <w:sz w:val="18"/>
        </w:rPr>
        <w:t>O’Connell</w:t>
      </w:r>
      <w:r>
        <w:rPr>
          <w:spacing w:val="-4"/>
          <w:sz w:val="18"/>
        </w:rPr>
        <w:t> </w:t>
      </w:r>
      <w:r>
        <w:rPr>
          <w:sz w:val="18"/>
        </w:rPr>
        <w:t>and</w:t>
      </w:r>
      <w:r>
        <w:rPr>
          <w:spacing w:val="-4"/>
          <w:sz w:val="18"/>
        </w:rPr>
        <w:t> </w:t>
      </w:r>
      <w:r>
        <w:rPr>
          <w:sz w:val="18"/>
        </w:rPr>
        <w:t>Tim</w:t>
      </w:r>
      <w:r>
        <w:rPr>
          <w:spacing w:val="-3"/>
          <w:sz w:val="18"/>
        </w:rPr>
        <w:t> </w:t>
      </w:r>
      <w:r>
        <w:rPr>
          <w:sz w:val="18"/>
        </w:rPr>
        <w:t>Cunningham,</w:t>
      </w:r>
      <w:r>
        <w:rPr>
          <w:spacing w:val="-3"/>
          <w:sz w:val="18"/>
        </w:rPr>
        <w:t> </w:t>
      </w:r>
      <w:r>
        <w:rPr>
          <w:sz w:val="18"/>
        </w:rPr>
        <w:t>‘Impact</w:t>
      </w:r>
      <w:r>
        <w:rPr>
          <w:spacing w:val="-3"/>
          <w:sz w:val="18"/>
        </w:rPr>
        <w:t> </w:t>
      </w:r>
      <w:r>
        <w:rPr>
          <w:sz w:val="18"/>
        </w:rPr>
        <w:t>of</w:t>
      </w:r>
      <w:r>
        <w:rPr>
          <w:spacing w:val="-4"/>
          <w:sz w:val="18"/>
        </w:rPr>
        <w:t> </w:t>
      </w:r>
      <w:r>
        <w:rPr>
          <w:sz w:val="18"/>
        </w:rPr>
        <w:t>Brexit</w:t>
      </w:r>
      <w:r>
        <w:rPr>
          <w:spacing w:val="-3"/>
          <w:sz w:val="18"/>
        </w:rPr>
        <w:t> </w:t>
      </w:r>
      <w:r>
        <w:rPr>
          <w:sz w:val="18"/>
        </w:rPr>
        <w:t>on</w:t>
      </w:r>
      <w:r>
        <w:rPr>
          <w:spacing w:val="-4"/>
          <w:sz w:val="18"/>
        </w:rPr>
        <w:t> </w:t>
      </w:r>
      <w:r>
        <w:rPr>
          <w:sz w:val="18"/>
        </w:rPr>
        <w:t>Section</w:t>
      </w:r>
      <w:r>
        <w:rPr>
          <w:spacing w:val="-4"/>
          <w:sz w:val="18"/>
        </w:rPr>
        <w:t> </w:t>
      </w:r>
      <w:r>
        <w:rPr>
          <w:sz w:val="18"/>
        </w:rPr>
        <w:t>75</w:t>
      </w:r>
      <w:r>
        <w:rPr>
          <w:spacing w:val="-3"/>
          <w:sz w:val="18"/>
        </w:rPr>
        <w:t> </w:t>
      </w:r>
      <w:r>
        <w:rPr>
          <w:sz w:val="18"/>
        </w:rPr>
        <w:t>Equality</w:t>
      </w:r>
      <w:r>
        <w:rPr>
          <w:spacing w:val="-3"/>
          <w:sz w:val="18"/>
        </w:rPr>
        <w:t> </w:t>
      </w:r>
      <w:r>
        <w:rPr>
          <w:sz w:val="18"/>
        </w:rPr>
        <w:t>Groups</w:t>
      </w:r>
      <w:r>
        <w:rPr>
          <w:spacing w:val="-4"/>
          <w:sz w:val="18"/>
        </w:rPr>
        <w:t> </w:t>
      </w:r>
      <w:r>
        <w:rPr>
          <w:sz w:val="18"/>
        </w:rPr>
        <w:t>in</w:t>
      </w:r>
      <w:r>
        <w:rPr>
          <w:spacing w:val="-4"/>
          <w:sz w:val="18"/>
        </w:rPr>
        <w:t> </w:t>
      </w:r>
      <w:r>
        <w:rPr>
          <w:sz w:val="18"/>
        </w:rPr>
        <w:t>Northern</w:t>
      </w:r>
      <w:r>
        <w:rPr>
          <w:spacing w:val="-4"/>
          <w:sz w:val="18"/>
        </w:rPr>
        <w:t> </w:t>
      </w:r>
      <w:r>
        <w:rPr>
          <w:sz w:val="18"/>
        </w:rPr>
        <w:t>Ireland:</w:t>
      </w:r>
      <w:r>
        <w:rPr>
          <w:spacing w:val="-3"/>
          <w:sz w:val="18"/>
        </w:rPr>
        <w:t> </w:t>
      </w:r>
      <w:r>
        <w:rPr>
          <w:sz w:val="18"/>
        </w:rPr>
        <w:t>EU</w:t>
      </w:r>
      <w:r>
        <w:rPr>
          <w:spacing w:val="-3"/>
          <w:sz w:val="18"/>
        </w:rPr>
        <w:t> </w:t>
      </w:r>
      <w:r>
        <w:rPr>
          <w:sz w:val="18"/>
        </w:rPr>
        <w:t>Funding’ (ECNI, 2022).</w:t>
      </w:r>
    </w:p>
    <w:p>
      <w:pPr>
        <w:pStyle w:val="ListParagraph"/>
        <w:numPr>
          <w:ilvl w:val="0"/>
          <w:numId w:val="16"/>
        </w:numPr>
        <w:tabs>
          <w:tab w:pos="1853" w:val="left" w:leader="none"/>
        </w:tabs>
        <w:spacing w:line="235" w:lineRule="auto" w:before="2" w:after="0"/>
        <w:ind w:left="1853" w:right="1401" w:hanging="720"/>
        <w:jc w:val="left"/>
        <w:rPr>
          <w:sz w:val="18"/>
        </w:rPr>
      </w:pP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NI</w:t>
      </w:r>
      <w:r>
        <w:rPr>
          <w:spacing w:val="-4"/>
          <w:sz w:val="18"/>
        </w:rPr>
        <w:t> </w:t>
      </w:r>
      <w:r>
        <w:rPr>
          <w:sz w:val="18"/>
        </w:rPr>
        <w:t>and</w:t>
      </w:r>
      <w:r>
        <w:rPr>
          <w:spacing w:val="-5"/>
          <w:sz w:val="18"/>
        </w:rPr>
        <w:t> </w:t>
      </w:r>
      <w:r>
        <w:rPr>
          <w:sz w:val="18"/>
        </w:rPr>
        <w:t>NI</w:t>
      </w:r>
      <w:r>
        <w:rPr>
          <w:spacing w:val="-4"/>
          <w:sz w:val="18"/>
        </w:rPr>
        <w:t> </w:t>
      </w:r>
      <w:r>
        <w:rPr>
          <w:sz w:val="18"/>
        </w:rPr>
        <w:t>Human</w:t>
      </w:r>
      <w:r>
        <w:rPr>
          <w:spacing w:val="-5"/>
          <w:sz w:val="18"/>
        </w:rPr>
        <w:t> </w:t>
      </w:r>
      <w:r>
        <w:rPr>
          <w:sz w:val="18"/>
        </w:rPr>
        <w:t>Rights</w:t>
      </w:r>
      <w:r>
        <w:rPr>
          <w:spacing w:val="-5"/>
          <w:sz w:val="18"/>
        </w:rPr>
        <w:t> </w:t>
      </w:r>
      <w:r>
        <w:rPr>
          <w:sz w:val="18"/>
        </w:rPr>
        <w:t>Commission,</w:t>
      </w:r>
      <w:r>
        <w:rPr>
          <w:spacing w:val="-4"/>
          <w:sz w:val="18"/>
        </w:rPr>
        <w:t> </w:t>
      </w:r>
      <w:r>
        <w:rPr>
          <w:sz w:val="18"/>
        </w:rPr>
        <w:t>‘Annual</w:t>
      </w:r>
      <w:r>
        <w:rPr>
          <w:spacing w:val="-5"/>
          <w:sz w:val="18"/>
        </w:rPr>
        <w:t> </w:t>
      </w:r>
      <w:r>
        <w:rPr>
          <w:sz w:val="18"/>
        </w:rPr>
        <w:t>Report</w:t>
      </w:r>
      <w:r>
        <w:rPr>
          <w:spacing w:val="-4"/>
          <w:sz w:val="18"/>
        </w:rPr>
        <w:t> </w:t>
      </w:r>
      <w:r>
        <w:rPr>
          <w:sz w:val="18"/>
        </w:rPr>
        <w:t>of</w:t>
      </w:r>
      <w:r>
        <w:rPr>
          <w:spacing w:val="-5"/>
          <w:sz w:val="18"/>
        </w:rPr>
        <w:t> </w:t>
      </w:r>
      <w:r>
        <w:rPr>
          <w:sz w:val="18"/>
        </w:rPr>
        <w:t>the</w:t>
      </w:r>
      <w:r>
        <w:rPr>
          <w:spacing w:val="-4"/>
          <w:sz w:val="18"/>
        </w:rPr>
        <w:t> </w:t>
      </w:r>
      <w:r>
        <w:rPr>
          <w:sz w:val="18"/>
        </w:rPr>
        <w:t>Equality</w:t>
      </w:r>
      <w:r>
        <w:rPr>
          <w:spacing w:val="-4"/>
          <w:sz w:val="18"/>
        </w:rPr>
        <w:t> </w:t>
      </w:r>
      <w:r>
        <w:rPr>
          <w:sz w:val="18"/>
        </w:rPr>
        <w:t>Commission</w:t>
      </w:r>
      <w:r>
        <w:rPr>
          <w:spacing w:val="-5"/>
          <w:sz w:val="18"/>
        </w:rPr>
        <w:t> </w:t>
      </w:r>
      <w:r>
        <w:rPr>
          <w:sz w:val="18"/>
        </w:rPr>
        <w:t>for</w:t>
      </w:r>
      <w:r>
        <w:rPr>
          <w:spacing w:val="-4"/>
          <w:sz w:val="18"/>
        </w:rPr>
        <w:t> </w:t>
      </w:r>
      <w:r>
        <w:rPr>
          <w:sz w:val="18"/>
        </w:rPr>
        <w:t>Northern Ireland and the Northern Ireland Human Rights Commission on the Implementation of Article 2 of the Windsor Framework 2022–2023’ (ECNI and NIHRC, 2023), at para 5.82.</w:t>
      </w:r>
    </w:p>
    <w:p>
      <w:pPr>
        <w:pStyle w:val="ListParagraph"/>
        <w:numPr>
          <w:ilvl w:val="0"/>
          <w:numId w:val="16"/>
        </w:numPr>
        <w:tabs>
          <w:tab w:pos="1853" w:val="left" w:leader="none"/>
        </w:tabs>
        <w:spacing w:line="235" w:lineRule="auto" w:before="2" w:after="0"/>
        <w:ind w:left="1853" w:right="1180" w:hanging="720"/>
        <w:jc w:val="left"/>
        <w:rPr>
          <w:sz w:val="18"/>
        </w:rPr>
      </w:pPr>
      <w:r>
        <w:rPr>
          <w:sz w:val="18"/>
        </w:rPr>
        <w:t>House</w:t>
      </w:r>
      <w:r>
        <w:rPr>
          <w:spacing w:val="-3"/>
          <w:sz w:val="18"/>
        </w:rPr>
        <w:t> </w:t>
      </w:r>
      <w:r>
        <w:rPr>
          <w:sz w:val="18"/>
        </w:rPr>
        <w:t>of</w:t>
      </w:r>
      <w:r>
        <w:rPr>
          <w:spacing w:val="-4"/>
          <w:sz w:val="18"/>
        </w:rPr>
        <w:t> </w:t>
      </w:r>
      <w:r>
        <w:rPr>
          <w:sz w:val="18"/>
        </w:rPr>
        <w:t>Commons</w:t>
      </w:r>
      <w:r>
        <w:rPr>
          <w:spacing w:val="-4"/>
          <w:sz w:val="18"/>
        </w:rPr>
        <w:t> </w:t>
      </w:r>
      <w:r>
        <w:rPr>
          <w:sz w:val="18"/>
        </w:rPr>
        <w:t>Levelling</w:t>
      </w:r>
      <w:r>
        <w:rPr>
          <w:spacing w:val="-3"/>
          <w:sz w:val="18"/>
        </w:rPr>
        <w:t> </w:t>
      </w:r>
      <w:r>
        <w:rPr>
          <w:sz w:val="18"/>
        </w:rPr>
        <w:t>Up,</w:t>
      </w:r>
      <w:r>
        <w:rPr>
          <w:spacing w:val="-3"/>
          <w:sz w:val="18"/>
        </w:rPr>
        <w:t> </w:t>
      </w:r>
      <w:r>
        <w:rPr>
          <w:sz w:val="18"/>
        </w:rPr>
        <w:t>Housing</w:t>
      </w:r>
      <w:r>
        <w:rPr>
          <w:spacing w:val="-3"/>
          <w:sz w:val="18"/>
        </w:rPr>
        <w:t> </w:t>
      </w:r>
      <w:r>
        <w:rPr>
          <w:sz w:val="18"/>
        </w:rPr>
        <w:t>and</w:t>
      </w:r>
      <w:r>
        <w:rPr>
          <w:spacing w:val="-4"/>
          <w:sz w:val="18"/>
        </w:rPr>
        <w:t> </w:t>
      </w:r>
      <w:r>
        <w:rPr>
          <w:sz w:val="18"/>
        </w:rPr>
        <w:t>Communities</w:t>
      </w:r>
      <w:r>
        <w:rPr>
          <w:spacing w:val="-4"/>
          <w:sz w:val="18"/>
        </w:rPr>
        <w:t> </w:t>
      </w:r>
      <w:r>
        <w:rPr>
          <w:sz w:val="18"/>
        </w:rPr>
        <w:t>Committee,</w:t>
      </w:r>
      <w:r>
        <w:rPr>
          <w:spacing w:val="-3"/>
          <w:sz w:val="18"/>
        </w:rPr>
        <w:t> </w:t>
      </w:r>
      <w:r>
        <w:rPr>
          <w:sz w:val="18"/>
        </w:rPr>
        <w:t>‘Funding</w:t>
      </w:r>
      <w:r>
        <w:rPr>
          <w:spacing w:val="-3"/>
          <w:sz w:val="18"/>
        </w:rPr>
        <w:t> </w:t>
      </w:r>
      <w:r>
        <w:rPr>
          <w:sz w:val="18"/>
        </w:rPr>
        <w:t>for</w:t>
      </w:r>
      <w:r>
        <w:rPr>
          <w:spacing w:val="-3"/>
          <w:sz w:val="18"/>
        </w:rPr>
        <w:t> </w:t>
      </w:r>
      <w:r>
        <w:rPr>
          <w:sz w:val="18"/>
        </w:rPr>
        <w:t>Levelling</w:t>
      </w:r>
      <w:r>
        <w:rPr>
          <w:spacing w:val="-3"/>
          <w:sz w:val="18"/>
        </w:rPr>
        <w:t> </w:t>
      </w:r>
      <w:r>
        <w:rPr>
          <w:sz w:val="18"/>
        </w:rPr>
        <w:t>Up,</w:t>
      </w:r>
      <w:r>
        <w:rPr>
          <w:spacing w:val="-3"/>
          <w:sz w:val="18"/>
        </w:rPr>
        <w:t> </w:t>
      </w:r>
      <w:r>
        <w:rPr>
          <w:sz w:val="18"/>
        </w:rPr>
        <w:t>Sixth</w:t>
      </w:r>
      <w:r>
        <w:rPr>
          <w:spacing w:val="-4"/>
          <w:sz w:val="18"/>
        </w:rPr>
        <w:t> </w:t>
      </w:r>
      <w:r>
        <w:rPr>
          <w:sz w:val="18"/>
        </w:rPr>
        <w:t>Report</w:t>
      </w:r>
      <w:r>
        <w:rPr>
          <w:spacing w:val="-3"/>
          <w:sz w:val="18"/>
        </w:rPr>
        <w:t> </w:t>
      </w:r>
      <w:r>
        <w:rPr>
          <w:sz w:val="18"/>
        </w:rPr>
        <w:t>of</w:t>
      </w:r>
      <w:r>
        <w:rPr>
          <w:spacing w:val="-4"/>
          <w:sz w:val="18"/>
        </w:rPr>
        <w:t> </w:t>
      </w:r>
      <w:r>
        <w:rPr>
          <w:sz w:val="18"/>
        </w:rPr>
        <w:t>Session 2022-23,’ (HOC, 2023), at para 93.</w:t>
      </w:r>
    </w:p>
    <w:p>
      <w:pPr>
        <w:pStyle w:val="ListParagraph"/>
        <w:numPr>
          <w:ilvl w:val="0"/>
          <w:numId w:val="16"/>
        </w:numPr>
        <w:tabs>
          <w:tab w:pos="1853" w:val="left" w:leader="none"/>
        </w:tabs>
        <w:spacing w:line="235" w:lineRule="auto" w:before="1" w:after="0"/>
        <w:ind w:left="1853" w:right="1174" w:hanging="720"/>
        <w:jc w:val="left"/>
        <w:rPr>
          <w:sz w:val="18"/>
        </w:rPr>
      </w:pPr>
      <w:r>
        <w:rPr>
          <w:sz w:val="18"/>
        </w:rPr>
        <w:t>Department</w:t>
      </w:r>
      <w:r>
        <w:rPr>
          <w:spacing w:val="-6"/>
          <w:sz w:val="18"/>
        </w:rPr>
        <w:t> </w:t>
      </w:r>
      <w:r>
        <w:rPr>
          <w:sz w:val="18"/>
        </w:rPr>
        <w:t>for</w:t>
      </w:r>
      <w:r>
        <w:rPr>
          <w:spacing w:val="-6"/>
          <w:sz w:val="18"/>
        </w:rPr>
        <w:t> </w:t>
      </w:r>
      <w:r>
        <w:rPr>
          <w:sz w:val="18"/>
        </w:rPr>
        <w:t>Levelling</w:t>
      </w:r>
      <w:r>
        <w:rPr>
          <w:spacing w:val="-6"/>
          <w:sz w:val="18"/>
        </w:rPr>
        <w:t> </w:t>
      </w:r>
      <w:r>
        <w:rPr>
          <w:sz w:val="18"/>
        </w:rPr>
        <w:t>Up,</w:t>
      </w:r>
      <w:r>
        <w:rPr>
          <w:spacing w:val="-6"/>
          <w:sz w:val="18"/>
        </w:rPr>
        <w:t> </w:t>
      </w:r>
      <w:r>
        <w:rPr>
          <w:sz w:val="18"/>
        </w:rPr>
        <w:t>Housing</w:t>
      </w:r>
      <w:r>
        <w:rPr>
          <w:spacing w:val="-6"/>
          <w:sz w:val="18"/>
        </w:rPr>
        <w:t> </w:t>
      </w:r>
      <w:r>
        <w:rPr>
          <w:sz w:val="18"/>
        </w:rPr>
        <w:t>and</w:t>
      </w:r>
      <w:r>
        <w:rPr>
          <w:spacing w:val="-6"/>
          <w:sz w:val="18"/>
        </w:rPr>
        <w:t> </w:t>
      </w:r>
      <w:r>
        <w:rPr>
          <w:sz w:val="18"/>
        </w:rPr>
        <w:t>Communities,</w:t>
      </w:r>
      <w:r>
        <w:rPr>
          <w:spacing w:val="-6"/>
          <w:sz w:val="18"/>
        </w:rPr>
        <w:t> </w:t>
      </w:r>
      <w:r>
        <w:rPr>
          <w:sz w:val="18"/>
        </w:rPr>
        <w:t>‘Policy</w:t>
      </w:r>
      <w:r>
        <w:rPr>
          <w:spacing w:val="-6"/>
          <w:sz w:val="18"/>
        </w:rPr>
        <w:t> </w:t>
      </w:r>
      <w:r>
        <w:rPr>
          <w:sz w:val="18"/>
        </w:rPr>
        <w:t>Paper:</w:t>
      </w:r>
      <w:r>
        <w:rPr>
          <w:spacing w:val="-3"/>
          <w:sz w:val="18"/>
        </w:rPr>
        <w:t> </w:t>
      </w:r>
      <w:r>
        <w:rPr>
          <w:sz w:val="18"/>
        </w:rPr>
        <w:t>Government</w:t>
      </w:r>
      <w:r>
        <w:rPr>
          <w:spacing w:val="-6"/>
          <w:sz w:val="18"/>
        </w:rPr>
        <w:t> </w:t>
      </w:r>
      <w:r>
        <w:rPr>
          <w:sz w:val="18"/>
        </w:rPr>
        <w:t>response</w:t>
      </w:r>
      <w:r>
        <w:rPr>
          <w:spacing w:val="-6"/>
          <w:sz w:val="18"/>
        </w:rPr>
        <w:t> </w:t>
      </w:r>
      <w:r>
        <w:rPr>
          <w:sz w:val="18"/>
        </w:rPr>
        <w:t>to</w:t>
      </w:r>
      <w:r>
        <w:rPr>
          <w:spacing w:val="-6"/>
          <w:sz w:val="18"/>
        </w:rPr>
        <w:t> </w:t>
      </w:r>
      <w:r>
        <w:rPr>
          <w:sz w:val="18"/>
        </w:rPr>
        <w:t>the</w:t>
      </w:r>
      <w:r>
        <w:rPr>
          <w:spacing w:val="-6"/>
          <w:sz w:val="18"/>
        </w:rPr>
        <w:t> </w:t>
      </w:r>
      <w:r>
        <w:rPr>
          <w:sz w:val="18"/>
        </w:rPr>
        <w:t>Levelling</w:t>
      </w:r>
      <w:r>
        <w:rPr>
          <w:spacing w:val="-6"/>
          <w:sz w:val="18"/>
        </w:rPr>
        <w:t> </w:t>
      </w:r>
      <w:r>
        <w:rPr>
          <w:sz w:val="18"/>
        </w:rPr>
        <w:t>Up,</w:t>
      </w:r>
      <w:r>
        <w:rPr>
          <w:spacing w:val="-6"/>
          <w:sz w:val="18"/>
        </w:rPr>
        <w:t> </w:t>
      </w:r>
      <w:r>
        <w:rPr>
          <w:sz w:val="18"/>
        </w:rPr>
        <w:t>Housing and Communities Select Committee report on Funding for Levelling Up’ (DLUHC, 2023).</w:t>
      </w:r>
    </w:p>
    <w:p>
      <w:pPr>
        <w:spacing w:after="0" w:line="235" w:lineRule="auto"/>
        <w:jc w:val="left"/>
        <w:rPr>
          <w:sz w:val="18"/>
        </w:rPr>
        <w:sectPr>
          <w:pgSz w:w="11910" w:h="16840"/>
          <w:pgMar w:header="496" w:footer="367" w:top="1220" w:bottom="560" w:left="0" w:right="0"/>
        </w:sectPr>
      </w:pPr>
    </w:p>
    <w:p>
      <w:pPr>
        <w:pStyle w:val="BodyText"/>
        <w:spacing w:before="198"/>
      </w:pPr>
    </w:p>
    <w:p>
      <w:pPr>
        <w:pStyle w:val="ListParagraph"/>
        <w:numPr>
          <w:ilvl w:val="1"/>
          <w:numId w:val="13"/>
        </w:numPr>
        <w:tabs>
          <w:tab w:pos="1853" w:val="left" w:leader="none"/>
        </w:tabs>
        <w:spacing w:line="225" w:lineRule="auto" w:before="0" w:after="0"/>
        <w:ind w:left="1853" w:right="1289" w:hanging="720"/>
        <w:jc w:val="left"/>
        <w:rPr>
          <w:b/>
          <w:color w:val="67287F"/>
          <w:sz w:val="28"/>
        </w:rPr>
      </w:pPr>
      <w:r>
        <w:rPr>
          <w:b/>
          <w:color w:val="67287F"/>
          <w:sz w:val="28"/>
        </w:rPr>
        <w:t>The ECNI continues to recommend that the Department for Levelling Up, Housing and Communities and the UK Government should put in place formal structures for collaboration with relevant government departments in NI and follow best practice, with regards to the promotion of equality of opportunity</w:t>
      </w:r>
      <w:r>
        <w:rPr>
          <w:b/>
          <w:color w:val="67287F"/>
          <w:spacing w:val="-5"/>
          <w:sz w:val="28"/>
        </w:rPr>
        <w:t> </w:t>
      </w:r>
      <w:r>
        <w:rPr>
          <w:b/>
          <w:color w:val="67287F"/>
          <w:sz w:val="28"/>
        </w:rPr>
        <w:t>and</w:t>
      </w:r>
      <w:r>
        <w:rPr>
          <w:b/>
          <w:color w:val="67287F"/>
          <w:spacing w:val="-5"/>
          <w:sz w:val="28"/>
        </w:rPr>
        <w:t> </w:t>
      </w:r>
      <w:r>
        <w:rPr>
          <w:b/>
          <w:color w:val="67287F"/>
          <w:sz w:val="28"/>
        </w:rPr>
        <w:t>good</w:t>
      </w:r>
      <w:r>
        <w:rPr>
          <w:b/>
          <w:color w:val="67287F"/>
          <w:spacing w:val="-5"/>
          <w:sz w:val="28"/>
        </w:rPr>
        <w:t> </w:t>
      </w:r>
      <w:r>
        <w:rPr>
          <w:b/>
          <w:color w:val="67287F"/>
          <w:sz w:val="28"/>
        </w:rPr>
        <w:t>relations,</w:t>
      </w:r>
      <w:r>
        <w:rPr>
          <w:b/>
          <w:color w:val="67287F"/>
          <w:spacing w:val="-5"/>
          <w:sz w:val="28"/>
        </w:rPr>
        <w:t> </w:t>
      </w:r>
      <w:r>
        <w:rPr>
          <w:b/>
          <w:color w:val="67287F"/>
          <w:sz w:val="28"/>
        </w:rPr>
        <w:t>in</w:t>
      </w:r>
      <w:r>
        <w:rPr>
          <w:b/>
          <w:color w:val="67287F"/>
          <w:spacing w:val="-5"/>
          <w:sz w:val="28"/>
        </w:rPr>
        <w:t> </w:t>
      </w:r>
      <w:r>
        <w:rPr>
          <w:b/>
          <w:color w:val="67287F"/>
          <w:sz w:val="28"/>
        </w:rPr>
        <w:t>the</w:t>
      </w:r>
      <w:r>
        <w:rPr>
          <w:b/>
          <w:color w:val="67287F"/>
          <w:spacing w:val="-6"/>
          <w:sz w:val="28"/>
        </w:rPr>
        <w:t> </w:t>
      </w:r>
      <w:r>
        <w:rPr>
          <w:b/>
          <w:color w:val="67287F"/>
          <w:sz w:val="28"/>
        </w:rPr>
        <w:t>allocation</w:t>
      </w:r>
      <w:r>
        <w:rPr>
          <w:b/>
          <w:color w:val="67287F"/>
          <w:spacing w:val="-5"/>
          <w:sz w:val="28"/>
        </w:rPr>
        <w:t> </w:t>
      </w:r>
      <w:r>
        <w:rPr>
          <w:b/>
          <w:color w:val="67287F"/>
          <w:sz w:val="28"/>
        </w:rPr>
        <w:t>and</w:t>
      </w:r>
      <w:r>
        <w:rPr>
          <w:b/>
          <w:color w:val="67287F"/>
          <w:spacing w:val="-5"/>
          <w:sz w:val="28"/>
        </w:rPr>
        <w:t> </w:t>
      </w:r>
      <w:r>
        <w:rPr>
          <w:b/>
          <w:color w:val="67287F"/>
          <w:sz w:val="28"/>
        </w:rPr>
        <w:t>monitoring</w:t>
      </w:r>
      <w:r>
        <w:rPr>
          <w:b/>
          <w:color w:val="67287F"/>
          <w:spacing w:val="-6"/>
          <w:sz w:val="28"/>
        </w:rPr>
        <w:t> </w:t>
      </w:r>
      <w:r>
        <w:rPr>
          <w:b/>
          <w:color w:val="67287F"/>
          <w:sz w:val="28"/>
        </w:rPr>
        <w:t>of</w:t>
      </w:r>
      <w:r>
        <w:rPr>
          <w:b/>
          <w:color w:val="67287F"/>
          <w:spacing w:val="-6"/>
          <w:sz w:val="28"/>
        </w:rPr>
        <w:t> </w:t>
      </w:r>
      <w:r>
        <w:rPr>
          <w:b/>
          <w:color w:val="67287F"/>
          <w:sz w:val="28"/>
        </w:rPr>
        <w:t>funding and</w:t>
      </w:r>
      <w:r>
        <w:rPr>
          <w:b/>
          <w:color w:val="67287F"/>
          <w:spacing w:val="-7"/>
          <w:sz w:val="28"/>
        </w:rPr>
        <w:t> </w:t>
      </w:r>
      <w:r>
        <w:rPr>
          <w:b/>
          <w:color w:val="67287F"/>
          <w:sz w:val="28"/>
        </w:rPr>
        <w:t>to</w:t>
      </w:r>
      <w:r>
        <w:rPr>
          <w:b/>
          <w:color w:val="67287F"/>
          <w:spacing w:val="-7"/>
          <w:sz w:val="28"/>
        </w:rPr>
        <w:t> </w:t>
      </w:r>
      <w:r>
        <w:rPr>
          <w:b/>
          <w:color w:val="67287F"/>
          <w:sz w:val="28"/>
        </w:rPr>
        <w:t>identify</w:t>
      </w:r>
      <w:r>
        <w:rPr>
          <w:b/>
          <w:color w:val="67287F"/>
          <w:spacing w:val="-7"/>
          <w:sz w:val="28"/>
        </w:rPr>
        <w:t> </w:t>
      </w:r>
      <w:r>
        <w:rPr>
          <w:b/>
          <w:color w:val="67287F"/>
          <w:sz w:val="28"/>
        </w:rPr>
        <w:t>and</w:t>
      </w:r>
      <w:r>
        <w:rPr>
          <w:b/>
          <w:color w:val="67287F"/>
          <w:spacing w:val="-7"/>
          <w:sz w:val="28"/>
        </w:rPr>
        <w:t> </w:t>
      </w:r>
      <w:r>
        <w:rPr>
          <w:b/>
          <w:color w:val="67287F"/>
          <w:sz w:val="28"/>
        </w:rPr>
        <w:t>address</w:t>
      </w:r>
      <w:r>
        <w:rPr>
          <w:b/>
          <w:color w:val="67287F"/>
          <w:spacing w:val="-7"/>
          <w:sz w:val="28"/>
        </w:rPr>
        <w:t> </w:t>
      </w:r>
      <w:r>
        <w:rPr>
          <w:b/>
          <w:color w:val="67287F"/>
          <w:sz w:val="28"/>
        </w:rPr>
        <w:t>any</w:t>
      </w:r>
      <w:r>
        <w:rPr>
          <w:b/>
          <w:color w:val="67287F"/>
          <w:spacing w:val="-7"/>
          <w:sz w:val="28"/>
        </w:rPr>
        <w:t> </w:t>
      </w:r>
      <w:r>
        <w:rPr>
          <w:b/>
          <w:color w:val="67287F"/>
          <w:sz w:val="28"/>
        </w:rPr>
        <w:t>gaps</w:t>
      </w:r>
      <w:r>
        <w:rPr>
          <w:b/>
          <w:color w:val="67287F"/>
          <w:spacing w:val="-7"/>
          <w:sz w:val="28"/>
        </w:rPr>
        <w:t> </w:t>
      </w:r>
      <w:r>
        <w:rPr>
          <w:b/>
          <w:color w:val="67287F"/>
          <w:sz w:val="28"/>
        </w:rPr>
        <w:t>in</w:t>
      </w:r>
      <w:r>
        <w:rPr>
          <w:b/>
          <w:color w:val="67287F"/>
          <w:spacing w:val="-7"/>
          <w:sz w:val="28"/>
        </w:rPr>
        <w:t> </w:t>
      </w:r>
      <w:r>
        <w:rPr>
          <w:b/>
          <w:color w:val="67287F"/>
          <w:sz w:val="28"/>
        </w:rPr>
        <w:t>vital</w:t>
      </w:r>
      <w:r>
        <w:rPr>
          <w:b/>
          <w:color w:val="67287F"/>
          <w:spacing w:val="-7"/>
          <w:sz w:val="28"/>
        </w:rPr>
        <w:t> </w:t>
      </w:r>
      <w:r>
        <w:rPr>
          <w:b/>
          <w:color w:val="67287F"/>
          <w:sz w:val="28"/>
        </w:rPr>
        <w:t>services</w:t>
      </w:r>
      <w:r>
        <w:rPr>
          <w:b/>
          <w:color w:val="67287F"/>
          <w:spacing w:val="-7"/>
          <w:sz w:val="28"/>
        </w:rPr>
        <w:t> </w:t>
      </w:r>
      <w:r>
        <w:rPr>
          <w:b/>
          <w:color w:val="67287F"/>
          <w:sz w:val="28"/>
        </w:rPr>
        <w:t>that</w:t>
      </w:r>
      <w:r>
        <w:rPr>
          <w:b/>
          <w:color w:val="67287F"/>
          <w:spacing w:val="-7"/>
          <w:sz w:val="28"/>
        </w:rPr>
        <w:t> </w:t>
      </w:r>
      <w:r>
        <w:rPr>
          <w:b/>
          <w:color w:val="67287F"/>
          <w:sz w:val="28"/>
        </w:rPr>
        <w:t>promote</w:t>
      </w:r>
      <w:r>
        <w:rPr>
          <w:b/>
          <w:color w:val="67287F"/>
          <w:spacing w:val="-8"/>
          <w:sz w:val="28"/>
        </w:rPr>
        <w:t> </w:t>
      </w:r>
      <w:r>
        <w:rPr>
          <w:b/>
          <w:color w:val="67287F"/>
          <w:sz w:val="28"/>
        </w:rPr>
        <w:t>equality.</w:t>
      </w:r>
    </w:p>
    <w:p>
      <w:pPr>
        <w:pStyle w:val="ListParagraph"/>
        <w:numPr>
          <w:ilvl w:val="1"/>
          <w:numId w:val="13"/>
        </w:numPr>
        <w:tabs>
          <w:tab w:pos="1853" w:val="left" w:leader="none"/>
        </w:tabs>
        <w:spacing w:line="225" w:lineRule="auto" w:before="313" w:after="0"/>
        <w:ind w:left="1853" w:right="1177" w:hanging="720"/>
        <w:jc w:val="left"/>
        <w:rPr>
          <w:b/>
          <w:color w:val="67287F"/>
          <w:sz w:val="28"/>
        </w:rPr>
      </w:pPr>
      <w:r>
        <w:rPr>
          <w:b/>
          <w:color w:val="67287F"/>
          <w:sz w:val="28"/>
        </w:rPr>
        <w:t>The</w:t>
      </w:r>
      <w:r>
        <w:rPr>
          <w:b/>
          <w:color w:val="67287F"/>
          <w:spacing w:val="-7"/>
          <w:sz w:val="28"/>
        </w:rPr>
        <w:t> </w:t>
      </w:r>
      <w:r>
        <w:rPr>
          <w:b/>
          <w:color w:val="67287F"/>
          <w:sz w:val="28"/>
        </w:rPr>
        <w:t>ECNI</w:t>
      </w:r>
      <w:r>
        <w:rPr>
          <w:b/>
          <w:color w:val="67287F"/>
          <w:spacing w:val="-6"/>
          <w:sz w:val="28"/>
        </w:rPr>
        <w:t> </w:t>
      </w:r>
      <w:r>
        <w:rPr>
          <w:b/>
          <w:color w:val="67287F"/>
          <w:sz w:val="28"/>
        </w:rPr>
        <w:t>continues</w:t>
      </w:r>
      <w:r>
        <w:rPr>
          <w:b/>
          <w:color w:val="67287F"/>
          <w:spacing w:val="-6"/>
          <w:sz w:val="28"/>
        </w:rPr>
        <w:t> </w:t>
      </w:r>
      <w:r>
        <w:rPr>
          <w:b/>
          <w:color w:val="67287F"/>
          <w:sz w:val="28"/>
        </w:rPr>
        <w:t>to</w:t>
      </w:r>
      <w:r>
        <w:rPr>
          <w:b/>
          <w:color w:val="67287F"/>
          <w:spacing w:val="-6"/>
          <w:sz w:val="28"/>
        </w:rPr>
        <w:t> </w:t>
      </w:r>
      <w:r>
        <w:rPr>
          <w:b/>
          <w:color w:val="67287F"/>
          <w:sz w:val="28"/>
        </w:rPr>
        <w:t>recommend</w:t>
      </w:r>
      <w:r>
        <w:rPr>
          <w:b/>
          <w:color w:val="67287F"/>
          <w:spacing w:val="-6"/>
          <w:sz w:val="28"/>
        </w:rPr>
        <w:t> </w:t>
      </w:r>
      <w:r>
        <w:rPr>
          <w:b/>
          <w:color w:val="67287F"/>
          <w:sz w:val="28"/>
        </w:rPr>
        <w:t>that</w:t>
      </w:r>
      <w:r>
        <w:rPr>
          <w:b/>
          <w:color w:val="67287F"/>
          <w:spacing w:val="-6"/>
          <w:sz w:val="28"/>
        </w:rPr>
        <w:t> </w:t>
      </w:r>
      <w:r>
        <w:rPr>
          <w:b/>
          <w:color w:val="67287F"/>
          <w:sz w:val="28"/>
        </w:rPr>
        <w:t>the</w:t>
      </w:r>
      <w:r>
        <w:rPr>
          <w:b/>
          <w:color w:val="67287F"/>
          <w:spacing w:val="-7"/>
          <w:sz w:val="28"/>
        </w:rPr>
        <w:t> </w:t>
      </w:r>
      <w:r>
        <w:rPr>
          <w:b/>
          <w:color w:val="67287F"/>
          <w:sz w:val="28"/>
        </w:rPr>
        <w:t>NI</w:t>
      </w:r>
      <w:r>
        <w:rPr>
          <w:b/>
          <w:color w:val="67287F"/>
          <w:spacing w:val="-6"/>
          <w:sz w:val="28"/>
        </w:rPr>
        <w:t> </w:t>
      </w:r>
      <w:r>
        <w:rPr>
          <w:b/>
          <w:color w:val="67287F"/>
          <w:sz w:val="28"/>
        </w:rPr>
        <w:t>Executive</w:t>
      </w:r>
      <w:r>
        <w:rPr>
          <w:b/>
          <w:color w:val="67287F"/>
          <w:spacing w:val="-7"/>
          <w:sz w:val="28"/>
        </w:rPr>
        <w:t> </w:t>
      </w:r>
      <w:r>
        <w:rPr>
          <w:b/>
          <w:color w:val="67287F"/>
          <w:sz w:val="28"/>
        </w:rPr>
        <w:t>and</w:t>
      </w:r>
      <w:r>
        <w:rPr>
          <w:b/>
          <w:color w:val="67287F"/>
          <w:spacing w:val="-6"/>
          <w:sz w:val="28"/>
        </w:rPr>
        <w:t> </w:t>
      </w:r>
      <w:r>
        <w:rPr>
          <w:b/>
          <w:color w:val="67287F"/>
          <w:sz w:val="28"/>
        </w:rPr>
        <w:t>NI</w:t>
      </w:r>
      <w:r>
        <w:rPr>
          <w:b/>
          <w:color w:val="67287F"/>
          <w:spacing w:val="-6"/>
          <w:sz w:val="28"/>
        </w:rPr>
        <w:t> </w:t>
      </w:r>
      <w:r>
        <w:rPr>
          <w:b/>
          <w:color w:val="67287F"/>
          <w:sz w:val="28"/>
        </w:rPr>
        <w:t>departments should clarify how the needs of people from different equality groups, who have been supported through European funding, particularly European Social Fund, will be supported by the Executive in the future; address any potential shortfall in funding; and incorporate ‘lessons learnt’ into future funding programmes.</w:t>
      </w:r>
    </w:p>
    <w:p>
      <w:pPr>
        <w:pStyle w:val="ListParagraph"/>
        <w:numPr>
          <w:ilvl w:val="1"/>
          <w:numId w:val="13"/>
        </w:numPr>
        <w:tabs>
          <w:tab w:pos="1853" w:val="left" w:leader="none"/>
        </w:tabs>
        <w:spacing w:line="225" w:lineRule="auto" w:before="312" w:after="0"/>
        <w:ind w:left="1853" w:right="1386" w:hanging="720"/>
        <w:jc w:val="left"/>
        <w:rPr>
          <w:b/>
          <w:color w:val="67287F"/>
          <w:sz w:val="28"/>
        </w:rPr>
      </w:pPr>
      <w:r>
        <w:rPr>
          <w:b/>
          <w:color w:val="67287F"/>
          <w:sz w:val="28"/>
        </w:rPr>
        <w:t>The ECNI continues to recommend that the Department for Levelling Up, Housing and Communities, in delivering future Shared Prosperity Fund funding</w:t>
      </w:r>
      <w:r>
        <w:rPr>
          <w:b/>
          <w:color w:val="67287F"/>
          <w:spacing w:val="-10"/>
          <w:sz w:val="28"/>
        </w:rPr>
        <w:t> </w:t>
      </w:r>
      <w:r>
        <w:rPr>
          <w:b/>
          <w:color w:val="67287F"/>
          <w:sz w:val="28"/>
        </w:rPr>
        <w:t>programmes</w:t>
      </w:r>
      <w:r>
        <w:rPr>
          <w:b/>
          <w:color w:val="67287F"/>
          <w:spacing w:val="-9"/>
          <w:sz w:val="28"/>
        </w:rPr>
        <w:t> </w:t>
      </w:r>
      <w:r>
        <w:rPr>
          <w:b/>
          <w:color w:val="67287F"/>
          <w:sz w:val="28"/>
        </w:rPr>
        <w:t>in</w:t>
      </w:r>
      <w:r>
        <w:rPr>
          <w:b/>
          <w:color w:val="67287F"/>
          <w:spacing w:val="-9"/>
          <w:sz w:val="28"/>
        </w:rPr>
        <w:t> </w:t>
      </w:r>
      <w:r>
        <w:rPr>
          <w:b/>
          <w:color w:val="67287F"/>
          <w:sz w:val="28"/>
        </w:rPr>
        <w:t>NI,</w:t>
      </w:r>
      <w:r>
        <w:rPr>
          <w:b/>
          <w:color w:val="67287F"/>
          <w:spacing w:val="-9"/>
          <w:sz w:val="28"/>
        </w:rPr>
        <w:t> </w:t>
      </w:r>
      <w:r>
        <w:rPr>
          <w:b/>
          <w:color w:val="67287F"/>
          <w:sz w:val="28"/>
        </w:rPr>
        <w:t>should</w:t>
      </w:r>
      <w:r>
        <w:rPr>
          <w:b/>
          <w:color w:val="67287F"/>
          <w:spacing w:val="-9"/>
          <w:sz w:val="28"/>
        </w:rPr>
        <w:t> </w:t>
      </w:r>
      <w:r>
        <w:rPr>
          <w:b/>
          <w:color w:val="67287F"/>
          <w:sz w:val="28"/>
        </w:rPr>
        <w:t>continue</w:t>
      </w:r>
      <w:r>
        <w:rPr>
          <w:b/>
          <w:color w:val="67287F"/>
          <w:spacing w:val="-10"/>
          <w:sz w:val="28"/>
        </w:rPr>
        <w:t> </w:t>
      </w:r>
      <w:r>
        <w:rPr>
          <w:b/>
          <w:color w:val="67287F"/>
          <w:sz w:val="28"/>
        </w:rPr>
        <w:t>to</w:t>
      </w:r>
      <w:r>
        <w:rPr>
          <w:b/>
          <w:color w:val="67287F"/>
          <w:spacing w:val="-9"/>
          <w:sz w:val="28"/>
        </w:rPr>
        <w:t> </w:t>
      </w:r>
      <w:r>
        <w:rPr>
          <w:b/>
          <w:color w:val="67287F"/>
          <w:sz w:val="28"/>
        </w:rPr>
        <w:t>ensure</w:t>
      </w:r>
      <w:r>
        <w:rPr>
          <w:b/>
          <w:color w:val="67287F"/>
          <w:spacing w:val="-10"/>
          <w:sz w:val="28"/>
        </w:rPr>
        <w:t> </w:t>
      </w:r>
      <w:r>
        <w:rPr>
          <w:b/>
          <w:color w:val="67287F"/>
          <w:sz w:val="28"/>
        </w:rPr>
        <w:t>effective</w:t>
      </w:r>
      <w:r>
        <w:rPr>
          <w:b/>
          <w:color w:val="67287F"/>
          <w:spacing w:val="-10"/>
          <w:sz w:val="28"/>
        </w:rPr>
        <w:t> </w:t>
      </w:r>
      <w:r>
        <w:rPr>
          <w:b/>
          <w:color w:val="67287F"/>
          <w:sz w:val="28"/>
        </w:rPr>
        <w:t>partnership working and engagement with key stakeholders, including with equality stakeholders and groups in NI and follow best practice in terms of engagement with equality groups.</w:t>
      </w:r>
    </w:p>
    <w:p>
      <w:pPr>
        <w:pStyle w:val="ListParagraph"/>
        <w:numPr>
          <w:ilvl w:val="1"/>
          <w:numId w:val="13"/>
        </w:numPr>
        <w:tabs>
          <w:tab w:pos="1853" w:val="left" w:leader="none"/>
        </w:tabs>
        <w:spacing w:line="225" w:lineRule="auto" w:before="312" w:after="0"/>
        <w:ind w:left="1853" w:right="1415" w:hanging="720"/>
        <w:jc w:val="left"/>
        <w:rPr>
          <w:b/>
          <w:color w:val="67287F"/>
          <w:sz w:val="28"/>
        </w:rPr>
      </w:pPr>
      <w:r>
        <w:rPr>
          <w:b/>
          <w:color w:val="67287F"/>
          <w:sz w:val="28"/>
        </w:rPr>
        <w:t>The ECNI continues to recommend that the Department for Levelling Up, Housing and Communities, in delivering Shared Prosperity Fund funding, should</w:t>
      </w:r>
      <w:r>
        <w:rPr>
          <w:b/>
          <w:color w:val="67287F"/>
          <w:spacing w:val="-6"/>
          <w:sz w:val="28"/>
        </w:rPr>
        <w:t> </w:t>
      </w:r>
      <w:r>
        <w:rPr>
          <w:b/>
          <w:color w:val="67287F"/>
          <w:sz w:val="28"/>
        </w:rPr>
        <w:t>ensure</w:t>
      </w:r>
      <w:r>
        <w:rPr>
          <w:b/>
          <w:color w:val="67287F"/>
          <w:spacing w:val="-7"/>
          <w:sz w:val="28"/>
        </w:rPr>
        <w:t> </w:t>
      </w:r>
      <w:r>
        <w:rPr>
          <w:b/>
          <w:color w:val="67287F"/>
          <w:sz w:val="28"/>
        </w:rPr>
        <w:t>the</w:t>
      </w:r>
      <w:r>
        <w:rPr>
          <w:b/>
          <w:color w:val="67287F"/>
          <w:spacing w:val="-7"/>
          <w:sz w:val="28"/>
        </w:rPr>
        <w:t> </w:t>
      </w:r>
      <w:r>
        <w:rPr>
          <w:b/>
          <w:color w:val="67287F"/>
          <w:sz w:val="28"/>
        </w:rPr>
        <w:t>collection</w:t>
      </w:r>
      <w:r>
        <w:rPr>
          <w:b/>
          <w:color w:val="67287F"/>
          <w:spacing w:val="-6"/>
          <w:sz w:val="28"/>
        </w:rPr>
        <w:t> </w:t>
      </w:r>
      <w:r>
        <w:rPr>
          <w:b/>
          <w:color w:val="67287F"/>
          <w:sz w:val="28"/>
        </w:rPr>
        <w:t>and</w:t>
      </w:r>
      <w:r>
        <w:rPr>
          <w:b/>
          <w:color w:val="67287F"/>
          <w:spacing w:val="-6"/>
          <w:sz w:val="28"/>
        </w:rPr>
        <w:t> </w:t>
      </w:r>
      <w:r>
        <w:rPr>
          <w:b/>
          <w:color w:val="67287F"/>
          <w:sz w:val="28"/>
        </w:rPr>
        <w:t>monitoring</w:t>
      </w:r>
      <w:r>
        <w:rPr>
          <w:b/>
          <w:color w:val="67287F"/>
          <w:spacing w:val="-7"/>
          <w:sz w:val="28"/>
        </w:rPr>
        <w:t> </w:t>
      </w:r>
      <w:r>
        <w:rPr>
          <w:b/>
          <w:color w:val="67287F"/>
          <w:sz w:val="28"/>
        </w:rPr>
        <w:t>of</w:t>
      </w:r>
      <w:r>
        <w:rPr>
          <w:b/>
          <w:color w:val="67287F"/>
          <w:spacing w:val="-7"/>
          <w:sz w:val="28"/>
        </w:rPr>
        <w:t> </w:t>
      </w:r>
      <w:r>
        <w:rPr>
          <w:b/>
          <w:color w:val="67287F"/>
          <w:sz w:val="28"/>
        </w:rPr>
        <w:t>robust</w:t>
      </w:r>
      <w:r>
        <w:rPr>
          <w:b/>
          <w:color w:val="67287F"/>
          <w:spacing w:val="-6"/>
          <w:sz w:val="28"/>
        </w:rPr>
        <w:t> </w:t>
      </w:r>
      <w:r>
        <w:rPr>
          <w:b/>
          <w:color w:val="67287F"/>
          <w:sz w:val="28"/>
        </w:rPr>
        <w:t>equality</w:t>
      </w:r>
      <w:r>
        <w:rPr>
          <w:b/>
          <w:color w:val="67287F"/>
          <w:spacing w:val="-6"/>
          <w:sz w:val="28"/>
        </w:rPr>
        <w:t> </w:t>
      </w:r>
      <w:r>
        <w:rPr>
          <w:b/>
          <w:color w:val="67287F"/>
          <w:sz w:val="28"/>
        </w:rPr>
        <w:t>data</w:t>
      </w:r>
      <w:r>
        <w:rPr>
          <w:b/>
          <w:color w:val="67287F"/>
          <w:spacing w:val="-6"/>
          <w:sz w:val="28"/>
        </w:rPr>
        <w:t> </w:t>
      </w:r>
      <w:r>
        <w:rPr>
          <w:b/>
          <w:color w:val="67287F"/>
          <w:sz w:val="28"/>
        </w:rPr>
        <w:t>across all</w:t>
      </w:r>
      <w:r>
        <w:rPr>
          <w:b/>
          <w:color w:val="67287F"/>
          <w:spacing w:val="-4"/>
          <w:sz w:val="28"/>
        </w:rPr>
        <w:t> </w:t>
      </w:r>
      <w:r>
        <w:rPr>
          <w:b/>
          <w:color w:val="67287F"/>
          <w:sz w:val="28"/>
        </w:rPr>
        <w:t>Section</w:t>
      </w:r>
      <w:r>
        <w:rPr>
          <w:b/>
          <w:color w:val="67287F"/>
          <w:spacing w:val="-4"/>
          <w:sz w:val="28"/>
        </w:rPr>
        <w:t> </w:t>
      </w:r>
      <w:r>
        <w:rPr>
          <w:b/>
          <w:color w:val="67287F"/>
          <w:sz w:val="28"/>
        </w:rPr>
        <w:t>75</w:t>
      </w:r>
      <w:r>
        <w:rPr>
          <w:b/>
          <w:color w:val="67287F"/>
          <w:spacing w:val="-4"/>
          <w:sz w:val="28"/>
        </w:rPr>
        <w:t> </w:t>
      </w:r>
      <w:r>
        <w:rPr>
          <w:b/>
          <w:color w:val="67287F"/>
          <w:sz w:val="28"/>
        </w:rPr>
        <w:t>groups,</w:t>
      </w:r>
      <w:r>
        <w:rPr>
          <w:b/>
          <w:color w:val="67287F"/>
          <w:spacing w:val="-4"/>
          <w:sz w:val="28"/>
        </w:rPr>
        <w:t> </w:t>
      </w:r>
      <w:r>
        <w:rPr>
          <w:b/>
          <w:color w:val="67287F"/>
          <w:sz w:val="28"/>
        </w:rPr>
        <w:t>including</w:t>
      </w:r>
      <w:r>
        <w:rPr>
          <w:b/>
          <w:color w:val="67287F"/>
          <w:spacing w:val="-5"/>
          <w:sz w:val="28"/>
        </w:rPr>
        <w:t> </w:t>
      </w:r>
      <w:r>
        <w:rPr>
          <w:b/>
          <w:color w:val="67287F"/>
          <w:sz w:val="28"/>
        </w:rPr>
        <w:t>disaggregated</w:t>
      </w:r>
      <w:r>
        <w:rPr>
          <w:b/>
          <w:color w:val="67287F"/>
          <w:spacing w:val="-4"/>
          <w:sz w:val="28"/>
        </w:rPr>
        <w:t> </w:t>
      </w:r>
      <w:r>
        <w:rPr>
          <w:b/>
          <w:color w:val="67287F"/>
          <w:sz w:val="28"/>
        </w:rPr>
        <w:t>data,</w:t>
      </w:r>
      <w:r>
        <w:rPr>
          <w:b/>
          <w:color w:val="67287F"/>
          <w:spacing w:val="-4"/>
          <w:sz w:val="28"/>
        </w:rPr>
        <w:t> </w:t>
      </w:r>
      <w:r>
        <w:rPr>
          <w:b/>
          <w:color w:val="67287F"/>
          <w:sz w:val="28"/>
        </w:rPr>
        <w:t>as</w:t>
      </w:r>
      <w:r>
        <w:rPr>
          <w:b/>
          <w:color w:val="67287F"/>
          <w:spacing w:val="-4"/>
          <w:sz w:val="28"/>
        </w:rPr>
        <w:t> </w:t>
      </w:r>
      <w:r>
        <w:rPr>
          <w:b/>
          <w:color w:val="67287F"/>
          <w:sz w:val="28"/>
        </w:rPr>
        <w:t>well</w:t>
      </w:r>
      <w:r>
        <w:rPr>
          <w:b/>
          <w:color w:val="67287F"/>
          <w:spacing w:val="-4"/>
          <w:sz w:val="28"/>
        </w:rPr>
        <w:t> </w:t>
      </w:r>
      <w:r>
        <w:rPr>
          <w:b/>
          <w:color w:val="67287F"/>
          <w:sz w:val="28"/>
        </w:rPr>
        <w:t>as</w:t>
      </w:r>
      <w:r>
        <w:rPr>
          <w:b/>
          <w:color w:val="67287F"/>
          <w:spacing w:val="-4"/>
          <w:sz w:val="28"/>
        </w:rPr>
        <w:t> </w:t>
      </w:r>
      <w:r>
        <w:rPr>
          <w:b/>
          <w:color w:val="67287F"/>
          <w:sz w:val="28"/>
        </w:rPr>
        <w:t>ensuring</w:t>
      </w:r>
      <w:r>
        <w:rPr>
          <w:b/>
          <w:color w:val="67287F"/>
          <w:spacing w:val="-5"/>
          <w:sz w:val="28"/>
        </w:rPr>
        <w:t> </w:t>
      </w:r>
      <w:r>
        <w:rPr>
          <w:b/>
          <w:color w:val="67287F"/>
          <w:sz w:val="28"/>
        </w:rPr>
        <w:t>the effective monitoring of outcomes related to equality and good relations.</w:t>
      </w:r>
    </w:p>
    <w:p>
      <w:pPr>
        <w:pStyle w:val="ListParagraph"/>
        <w:numPr>
          <w:ilvl w:val="1"/>
          <w:numId w:val="13"/>
        </w:numPr>
        <w:tabs>
          <w:tab w:pos="1853" w:val="left" w:leader="none"/>
        </w:tabs>
        <w:spacing w:line="225" w:lineRule="auto" w:before="314" w:after="0"/>
        <w:ind w:left="1853" w:right="1684" w:hanging="720"/>
        <w:jc w:val="left"/>
        <w:rPr>
          <w:b/>
          <w:color w:val="67287F"/>
          <w:sz w:val="28"/>
        </w:rPr>
      </w:pPr>
      <w:r>
        <w:rPr>
          <w:b/>
          <w:color w:val="67287F"/>
          <w:sz w:val="28"/>
        </w:rPr>
        <w:t>The</w:t>
      </w:r>
      <w:r>
        <w:rPr>
          <w:b/>
          <w:color w:val="67287F"/>
          <w:spacing w:val="-4"/>
          <w:sz w:val="28"/>
        </w:rPr>
        <w:t> </w:t>
      </w:r>
      <w:r>
        <w:rPr>
          <w:b/>
          <w:color w:val="67287F"/>
          <w:sz w:val="28"/>
        </w:rPr>
        <w:t>ECNI</w:t>
      </w:r>
      <w:r>
        <w:rPr>
          <w:b/>
          <w:color w:val="67287F"/>
          <w:spacing w:val="-3"/>
          <w:sz w:val="28"/>
        </w:rPr>
        <w:t> </w:t>
      </w:r>
      <w:r>
        <w:rPr>
          <w:b/>
          <w:color w:val="67287F"/>
          <w:sz w:val="28"/>
        </w:rPr>
        <w:t>continues</w:t>
      </w:r>
      <w:r>
        <w:rPr>
          <w:b/>
          <w:color w:val="67287F"/>
          <w:spacing w:val="-3"/>
          <w:sz w:val="28"/>
        </w:rPr>
        <w:t> </w:t>
      </w:r>
      <w:r>
        <w:rPr>
          <w:b/>
          <w:color w:val="67287F"/>
          <w:sz w:val="28"/>
        </w:rPr>
        <w:t>to</w:t>
      </w:r>
      <w:r>
        <w:rPr>
          <w:b/>
          <w:color w:val="67287F"/>
          <w:spacing w:val="-3"/>
          <w:sz w:val="28"/>
        </w:rPr>
        <w:t> </w:t>
      </w:r>
      <w:r>
        <w:rPr>
          <w:b/>
          <w:color w:val="67287F"/>
          <w:sz w:val="28"/>
        </w:rPr>
        <w:t>recommend</w:t>
      </w:r>
      <w:r>
        <w:rPr>
          <w:b/>
          <w:color w:val="67287F"/>
          <w:spacing w:val="-4"/>
          <w:sz w:val="28"/>
        </w:rPr>
        <w:t> </w:t>
      </w:r>
      <w:r>
        <w:rPr>
          <w:b/>
          <w:color w:val="67287F"/>
          <w:sz w:val="28"/>
        </w:rPr>
        <w:t>that</w:t>
      </w:r>
      <w:r>
        <w:rPr>
          <w:b/>
          <w:color w:val="67287F"/>
          <w:spacing w:val="-3"/>
          <w:sz w:val="28"/>
        </w:rPr>
        <w:t> </w:t>
      </w:r>
      <w:r>
        <w:rPr>
          <w:b/>
          <w:color w:val="67287F"/>
          <w:sz w:val="28"/>
        </w:rPr>
        <w:t>the</w:t>
      </w:r>
      <w:r>
        <w:rPr>
          <w:b/>
          <w:color w:val="67287F"/>
          <w:spacing w:val="-4"/>
          <w:sz w:val="28"/>
        </w:rPr>
        <w:t> </w:t>
      </w:r>
      <w:r>
        <w:rPr>
          <w:b/>
          <w:color w:val="67287F"/>
          <w:sz w:val="28"/>
        </w:rPr>
        <w:t>NI</w:t>
      </w:r>
      <w:r>
        <w:rPr>
          <w:b/>
          <w:color w:val="67287F"/>
          <w:spacing w:val="-3"/>
          <w:sz w:val="28"/>
        </w:rPr>
        <w:t> </w:t>
      </w:r>
      <w:r>
        <w:rPr>
          <w:b/>
          <w:color w:val="67287F"/>
          <w:sz w:val="28"/>
        </w:rPr>
        <w:t>Executive</w:t>
      </w:r>
      <w:r>
        <w:rPr>
          <w:b/>
          <w:color w:val="67287F"/>
          <w:spacing w:val="-4"/>
          <w:sz w:val="28"/>
        </w:rPr>
        <w:t> </w:t>
      </w:r>
      <w:r>
        <w:rPr>
          <w:b/>
          <w:color w:val="67287F"/>
          <w:sz w:val="28"/>
        </w:rPr>
        <w:t>and</w:t>
      </w:r>
      <w:r>
        <w:rPr>
          <w:b/>
          <w:color w:val="67287F"/>
          <w:spacing w:val="-3"/>
          <w:sz w:val="28"/>
        </w:rPr>
        <w:t> </w:t>
      </w:r>
      <w:r>
        <w:rPr>
          <w:b/>
          <w:color w:val="67287F"/>
          <w:sz w:val="28"/>
        </w:rPr>
        <w:t>relevant</w:t>
      </w:r>
      <w:r>
        <w:rPr>
          <w:b/>
          <w:color w:val="67287F"/>
          <w:spacing w:val="-3"/>
          <w:sz w:val="28"/>
        </w:rPr>
        <w:t> </w:t>
      </w:r>
      <w:r>
        <w:rPr>
          <w:b/>
          <w:color w:val="67287F"/>
          <w:sz w:val="28"/>
        </w:rPr>
        <w:t>NI departments</w:t>
      </w:r>
      <w:r>
        <w:rPr>
          <w:b/>
          <w:color w:val="67287F"/>
          <w:spacing w:val="-8"/>
          <w:sz w:val="28"/>
        </w:rPr>
        <w:t> </w:t>
      </w:r>
      <w:r>
        <w:rPr>
          <w:b/>
          <w:color w:val="67287F"/>
          <w:sz w:val="28"/>
        </w:rPr>
        <w:t>should</w:t>
      </w:r>
      <w:r>
        <w:rPr>
          <w:b/>
          <w:color w:val="67287F"/>
          <w:spacing w:val="-8"/>
          <w:sz w:val="28"/>
        </w:rPr>
        <w:t> </w:t>
      </w:r>
      <w:r>
        <w:rPr>
          <w:b/>
          <w:color w:val="67287F"/>
          <w:sz w:val="28"/>
        </w:rPr>
        <w:t>develop</w:t>
      </w:r>
      <w:r>
        <w:rPr>
          <w:b/>
          <w:color w:val="67287F"/>
          <w:spacing w:val="-8"/>
          <w:sz w:val="28"/>
        </w:rPr>
        <w:t> </w:t>
      </w:r>
      <w:r>
        <w:rPr>
          <w:b/>
          <w:color w:val="67287F"/>
          <w:sz w:val="28"/>
        </w:rPr>
        <w:t>and</w:t>
      </w:r>
      <w:r>
        <w:rPr>
          <w:b/>
          <w:color w:val="67287F"/>
          <w:spacing w:val="-8"/>
          <w:sz w:val="28"/>
        </w:rPr>
        <w:t> </w:t>
      </w:r>
      <w:r>
        <w:rPr>
          <w:b/>
          <w:color w:val="67287F"/>
          <w:sz w:val="28"/>
        </w:rPr>
        <w:t>implement</w:t>
      </w:r>
      <w:r>
        <w:rPr>
          <w:b/>
          <w:color w:val="67287F"/>
          <w:spacing w:val="-8"/>
          <w:sz w:val="28"/>
        </w:rPr>
        <w:t> </w:t>
      </w:r>
      <w:r>
        <w:rPr>
          <w:b/>
          <w:color w:val="67287F"/>
          <w:sz w:val="28"/>
        </w:rPr>
        <w:t>wider</w:t>
      </w:r>
      <w:r>
        <w:rPr>
          <w:b/>
          <w:color w:val="67287F"/>
          <w:spacing w:val="-9"/>
          <w:sz w:val="28"/>
        </w:rPr>
        <w:t> </w:t>
      </w:r>
      <w:r>
        <w:rPr>
          <w:b/>
          <w:color w:val="67287F"/>
          <w:sz w:val="28"/>
        </w:rPr>
        <w:t>strategies</w:t>
      </w:r>
      <w:r>
        <w:rPr>
          <w:b/>
          <w:color w:val="67287F"/>
          <w:spacing w:val="-8"/>
          <w:sz w:val="28"/>
        </w:rPr>
        <w:t> </w:t>
      </w:r>
      <w:r>
        <w:rPr>
          <w:b/>
          <w:color w:val="67287F"/>
          <w:sz w:val="28"/>
        </w:rPr>
        <w:t>to</w:t>
      </w:r>
      <w:r>
        <w:rPr>
          <w:b/>
          <w:color w:val="67287F"/>
          <w:spacing w:val="-8"/>
          <w:sz w:val="28"/>
        </w:rPr>
        <w:t> </w:t>
      </w:r>
      <w:r>
        <w:rPr>
          <w:b/>
          <w:color w:val="67287F"/>
          <w:sz w:val="28"/>
        </w:rPr>
        <w:t>address structural barriers to equality (for example, lack of affordable, quality childcare) experienced by Section 75 groups.</w:t>
      </w:r>
    </w:p>
    <w:p>
      <w:pPr>
        <w:pStyle w:val="ListParagraph"/>
        <w:numPr>
          <w:ilvl w:val="1"/>
          <w:numId w:val="13"/>
        </w:numPr>
        <w:tabs>
          <w:tab w:pos="1853" w:val="left" w:leader="none"/>
        </w:tabs>
        <w:spacing w:line="225" w:lineRule="auto" w:before="315" w:after="0"/>
        <w:ind w:left="1853" w:right="1277" w:hanging="720"/>
        <w:jc w:val="left"/>
        <w:rPr>
          <w:b/>
          <w:color w:val="67287F"/>
          <w:sz w:val="28"/>
        </w:rPr>
      </w:pPr>
      <w:r>
        <w:rPr>
          <w:b/>
          <w:color w:val="67287F"/>
          <w:sz w:val="28"/>
        </w:rPr>
        <w:t>The ECNI continues to recommend there should be ongoing evaluation of the</w:t>
      </w:r>
      <w:r>
        <w:rPr>
          <w:b/>
          <w:color w:val="67287F"/>
          <w:spacing w:val="-5"/>
          <w:sz w:val="28"/>
        </w:rPr>
        <w:t> </w:t>
      </w:r>
      <w:r>
        <w:rPr>
          <w:b/>
          <w:color w:val="67287F"/>
          <w:sz w:val="28"/>
        </w:rPr>
        <w:t>Levelling</w:t>
      </w:r>
      <w:r>
        <w:rPr>
          <w:b/>
          <w:color w:val="67287F"/>
          <w:spacing w:val="-5"/>
          <w:sz w:val="28"/>
        </w:rPr>
        <w:t> </w:t>
      </w:r>
      <w:r>
        <w:rPr>
          <w:b/>
          <w:color w:val="67287F"/>
          <w:sz w:val="28"/>
        </w:rPr>
        <w:t>Up</w:t>
      </w:r>
      <w:r>
        <w:rPr>
          <w:b/>
          <w:color w:val="67287F"/>
          <w:spacing w:val="-4"/>
          <w:sz w:val="28"/>
        </w:rPr>
        <w:t> </w:t>
      </w:r>
      <w:r>
        <w:rPr>
          <w:b/>
          <w:color w:val="67287F"/>
          <w:sz w:val="28"/>
        </w:rPr>
        <w:t>Fund</w:t>
      </w:r>
      <w:r>
        <w:rPr>
          <w:b/>
          <w:color w:val="67287F"/>
          <w:spacing w:val="-4"/>
          <w:sz w:val="28"/>
        </w:rPr>
        <w:t> </w:t>
      </w:r>
      <w:r>
        <w:rPr>
          <w:b/>
          <w:color w:val="67287F"/>
          <w:sz w:val="28"/>
        </w:rPr>
        <w:t>to</w:t>
      </w:r>
      <w:r>
        <w:rPr>
          <w:b/>
          <w:color w:val="67287F"/>
          <w:spacing w:val="-4"/>
          <w:sz w:val="28"/>
        </w:rPr>
        <w:t> </w:t>
      </w:r>
      <w:r>
        <w:rPr>
          <w:b/>
          <w:color w:val="67287F"/>
          <w:sz w:val="28"/>
        </w:rPr>
        <w:t>include</w:t>
      </w:r>
      <w:r>
        <w:rPr>
          <w:b/>
          <w:color w:val="67287F"/>
          <w:spacing w:val="-5"/>
          <w:sz w:val="28"/>
        </w:rPr>
        <w:t> </w:t>
      </w:r>
      <w:r>
        <w:rPr>
          <w:b/>
          <w:color w:val="67287F"/>
          <w:sz w:val="28"/>
        </w:rPr>
        <w:t>details</w:t>
      </w:r>
      <w:r>
        <w:rPr>
          <w:b/>
          <w:color w:val="67287F"/>
          <w:spacing w:val="-4"/>
          <w:sz w:val="28"/>
        </w:rPr>
        <w:t> </w:t>
      </w:r>
      <w:r>
        <w:rPr>
          <w:b/>
          <w:color w:val="67287F"/>
          <w:sz w:val="28"/>
        </w:rPr>
        <w:t>on</w:t>
      </w:r>
      <w:r>
        <w:rPr>
          <w:b/>
          <w:color w:val="67287F"/>
          <w:spacing w:val="-4"/>
          <w:sz w:val="28"/>
        </w:rPr>
        <w:t> </w:t>
      </w:r>
      <w:r>
        <w:rPr>
          <w:b/>
          <w:color w:val="67287F"/>
          <w:sz w:val="28"/>
        </w:rPr>
        <w:t>how</w:t>
      </w:r>
      <w:r>
        <w:rPr>
          <w:b/>
          <w:color w:val="67287F"/>
          <w:spacing w:val="-5"/>
          <w:sz w:val="28"/>
        </w:rPr>
        <w:t> </w:t>
      </w:r>
      <w:r>
        <w:rPr>
          <w:b/>
          <w:color w:val="67287F"/>
          <w:sz w:val="28"/>
        </w:rPr>
        <w:t>equality</w:t>
      </w:r>
      <w:r>
        <w:rPr>
          <w:b/>
          <w:color w:val="67287F"/>
          <w:spacing w:val="-4"/>
          <w:sz w:val="28"/>
        </w:rPr>
        <w:t> </w:t>
      </w:r>
      <w:r>
        <w:rPr>
          <w:b/>
          <w:color w:val="67287F"/>
          <w:sz w:val="28"/>
        </w:rPr>
        <w:t>of</w:t>
      </w:r>
      <w:r>
        <w:rPr>
          <w:b/>
          <w:color w:val="67287F"/>
          <w:spacing w:val="-5"/>
          <w:sz w:val="28"/>
        </w:rPr>
        <w:t> </w:t>
      </w:r>
      <w:r>
        <w:rPr>
          <w:b/>
          <w:color w:val="67287F"/>
          <w:sz w:val="28"/>
        </w:rPr>
        <w:t>opportunity</w:t>
      </w:r>
      <w:r>
        <w:rPr>
          <w:b/>
          <w:color w:val="67287F"/>
          <w:spacing w:val="-4"/>
          <w:sz w:val="28"/>
        </w:rPr>
        <w:t> </w:t>
      </w:r>
      <w:r>
        <w:rPr>
          <w:b/>
          <w:color w:val="67287F"/>
          <w:sz w:val="28"/>
        </w:rPr>
        <w:t>and good relations have been considered and promoted and which Section 75 groups have benefitted.</w:t>
      </w:r>
    </w:p>
    <w:p>
      <w:pPr>
        <w:spacing w:after="0" w:line="225" w:lineRule="auto"/>
        <w:jc w:val="left"/>
        <w:rPr>
          <w:sz w:val="28"/>
        </w:rPr>
        <w:sectPr>
          <w:pgSz w:w="11910" w:h="16840"/>
          <w:pgMar w:header="496" w:footer="367" w:top="1220" w:bottom="560" w:left="0" w:right="0"/>
        </w:sectPr>
      </w:pPr>
    </w:p>
    <w:p>
      <w:pPr>
        <w:pStyle w:val="BodyText"/>
        <w:spacing w:before="68"/>
        <w:rPr>
          <w:b/>
          <w:sz w:val="36"/>
        </w:rPr>
      </w:pPr>
    </w:p>
    <w:p>
      <w:pPr>
        <w:pStyle w:val="Heading3"/>
        <w:spacing w:before="1"/>
      </w:pPr>
      <w:bookmarkStart w:name="_bookmark61" w:id="137"/>
      <w:bookmarkEnd w:id="137"/>
      <w:r>
        <w:rPr>
          <w:b w:val="0"/>
        </w:rPr>
      </w:r>
      <w:bookmarkStart w:name="Tackling Racism and Prejudicial Attitude" w:id="138"/>
      <w:bookmarkEnd w:id="138"/>
      <w:r>
        <w:rPr>
          <w:b w:val="0"/>
        </w:rPr>
      </w:r>
      <w:r>
        <w:rPr>
          <w:color w:val="67287F"/>
        </w:rPr>
        <w:t>Tackling</w:t>
      </w:r>
      <w:r>
        <w:rPr>
          <w:color w:val="67287F"/>
          <w:spacing w:val="-13"/>
        </w:rPr>
        <w:t> </w:t>
      </w:r>
      <w:r>
        <w:rPr>
          <w:color w:val="67287F"/>
        </w:rPr>
        <w:t>Racism</w:t>
      </w:r>
      <w:r>
        <w:rPr>
          <w:color w:val="67287F"/>
          <w:spacing w:val="-12"/>
        </w:rPr>
        <w:t> </w:t>
      </w:r>
      <w:r>
        <w:rPr>
          <w:color w:val="67287F"/>
        </w:rPr>
        <w:t>and</w:t>
      </w:r>
      <w:r>
        <w:rPr>
          <w:color w:val="67287F"/>
          <w:spacing w:val="-11"/>
        </w:rPr>
        <w:t> </w:t>
      </w:r>
      <w:r>
        <w:rPr>
          <w:color w:val="67287F"/>
        </w:rPr>
        <w:t>Prejudicial</w:t>
      </w:r>
      <w:r>
        <w:rPr>
          <w:color w:val="67287F"/>
          <w:spacing w:val="-11"/>
        </w:rPr>
        <w:t> </w:t>
      </w:r>
      <w:r>
        <w:rPr>
          <w:color w:val="67287F"/>
          <w:spacing w:val="-2"/>
        </w:rPr>
        <w:t>Attitudes</w:t>
      </w:r>
    </w:p>
    <w:p>
      <w:pPr>
        <w:pStyle w:val="BodyText"/>
        <w:spacing w:before="5"/>
        <w:rPr>
          <w:b/>
          <w:sz w:val="5"/>
        </w:rPr>
      </w:pPr>
      <w:r>
        <w:rPr/>
        <mc:AlternateContent>
          <mc:Choice Requires="wps">
            <w:drawing>
              <wp:anchor distT="0" distB="0" distL="0" distR="0" allowOverlap="1" layoutInCell="1" locked="0" behindDoc="1" simplePos="0" relativeHeight="487732736">
                <wp:simplePos x="0" y="0"/>
                <wp:positionH relativeFrom="page">
                  <wp:posOffset>719997</wp:posOffset>
                </wp:positionH>
                <wp:positionV relativeFrom="paragraph">
                  <wp:posOffset>57618</wp:posOffset>
                </wp:positionV>
                <wp:extent cx="6120130" cy="1270"/>
                <wp:effectExtent l="0" t="0" r="0" b="0"/>
                <wp:wrapTopAndBottom/>
                <wp:docPr id="659" name="Graphic 659"/>
                <wp:cNvGraphicFramePr>
                  <a:graphicFrameLocks/>
                </wp:cNvGraphicFramePr>
                <a:graphic>
                  <a:graphicData uri="http://schemas.microsoft.com/office/word/2010/wordprocessingShape">
                    <wps:wsp>
                      <wps:cNvPr id="659" name="Graphic 659"/>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4.536888pt;width:481.9pt;height:.1pt;mso-position-horizontal-relative:page;mso-position-vertical-relative:paragraph;z-index:-15583744;mso-wrap-distance-left:0;mso-wrap-distance-right:0" id="docshape603" coordorigin="1134,91" coordsize="9638,0" path="m10772,91l1134,91e" filled="false" stroked="true" strokeweight="1pt" strokecolor="#67287f">
                <v:path arrowok="t"/>
                <v:stroke dashstyle="solid"/>
                <w10:wrap type="topAndBottom"/>
              </v:shape>
            </w:pict>
          </mc:Fallback>
        </mc:AlternateContent>
      </w:r>
    </w:p>
    <w:p>
      <w:pPr>
        <w:pStyle w:val="ListParagraph"/>
        <w:numPr>
          <w:ilvl w:val="1"/>
          <w:numId w:val="13"/>
        </w:numPr>
        <w:tabs>
          <w:tab w:pos="1853" w:val="left" w:leader="none"/>
        </w:tabs>
        <w:spacing w:line="225" w:lineRule="auto" w:before="328" w:after="0"/>
        <w:ind w:left="1853" w:right="1218" w:hanging="720"/>
        <w:jc w:val="left"/>
        <w:rPr>
          <w:sz w:val="28"/>
        </w:rPr>
      </w:pPr>
      <w:r>
        <w:rPr>
          <w:sz w:val="28"/>
        </w:rPr>
        <w:t>In 2023, the ECNI commissioned research report on the impact of Brexit on minority</w:t>
      </w:r>
      <w:r>
        <w:rPr>
          <w:spacing w:val="-6"/>
          <w:sz w:val="28"/>
        </w:rPr>
        <w:t> </w:t>
      </w:r>
      <w:r>
        <w:rPr>
          <w:sz w:val="28"/>
        </w:rPr>
        <w:t>ethnic</w:t>
      </w:r>
      <w:r>
        <w:rPr>
          <w:spacing w:val="-6"/>
          <w:sz w:val="28"/>
        </w:rPr>
        <w:t> </w:t>
      </w:r>
      <w:r>
        <w:rPr>
          <w:sz w:val="28"/>
        </w:rPr>
        <w:t>and</w:t>
      </w:r>
      <w:r>
        <w:rPr>
          <w:spacing w:val="-7"/>
          <w:sz w:val="28"/>
        </w:rPr>
        <w:t> </w:t>
      </w:r>
      <w:r>
        <w:rPr>
          <w:sz w:val="28"/>
        </w:rPr>
        <w:t>migrant</w:t>
      </w:r>
      <w:r>
        <w:rPr>
          <w:spacing w:val="-6"/>
          <w:sz w:val="28"/>
        </w:rPr>
        <w:t> </w:t>
      </w:r>
      <w:r>
        <w:rPr>
          <w:sz w:val="28"/>
        </w:rPr>
        <w:t>people</w:t>
      </w:r>
      <w:r>
        <w:rPr>
          <w:spacing w:val="-6"/>
          <w:sz w:val="28"/>
        </w:rPr>
        <w:t> </w:t>
      </w:r>
      <w:r>
        <w:rPr>
          <w:sz w:val="28"/>
        </w:rPr>
        <w:t>in</w:t>
      </w:r>
      <w:r>
        <w:rPr>
          <w:spacing w:val="-7"/>
          <w:sz w:val="28"/>
        </w:rPr>
        <w:t> </w:t>
      </w:r>
      <w:r>
        <w:rPr>
          <w:sz w:val="28"/>
        </w:rPr>
        <w:t>NI</w:t>
      </w:r>
      <w:r>
        <w:rPr>
          <w:spacing w:val="-6"/>
          <w:sz w:val="28"/>
        </w:rPr>
        <w:t> </w:t>
      </w:r>
      <w:r>
        <w:rPr>
          <w:sz w:val="28"/>
        </w:rPr>
        <w:t>highlighted</w:t>
      </w:r>
      <w:r>
        <w:rPr>
          <w:spacing w:val="-7"/>
          <w:sz w:val="28"/>
        </w:rPr>
        <w:t> </w:t>
      </w:r>
      <w:r>
        <w:rPr>
          <w:sz w:val="28"/>
        </w:rPr>
        <w:t>a</w:t>
      </w:r>
      <w:r>
        <w:rPr>
          <w:spacing w:val="-7"/>
          <w:sz w:val="28"/>
        </w:rPr>
        <w:t> </w:t>
      </w:r>
      <w:r>
        <w:rPr>
          <w:sz w:val="28"/>
        </w:rPr>
        <w:t>widespread</w:t>
      </w:r>
      <w:r>
        <w:rPr>
          <w:spacing w:val="-7"/>
          <w:sz w:val="28"/>
        </w:rPr>
        <w:t> </w:t>
      </w:r>
      <w:r>
        <w:rPr>
          <w:sz w:val="28"/>
        </w:rPr>
        <w:t>perception amongst research participants that Brexit had led to an increase in the expression of racism, with participants reporting that they felt that Brexit</w:t>
      </w:r>
    </w:p>
    <w:p>
      <w:pPr>
        <w:pStyle w:val="BodyText"/>
        <w:spacing w:line="225" w:lineRule="auto"/>
        <w:ind w:left="1853" w:right="1383"/>
      </w:pPr>
      <w:r>
        <w:rPr/>
        <w:t>had ‘legitimised racism and anti-immigration [sentiment]’.</w:t>
      </w:r>
      <w:r>
        <w:rPr>
          <w:vertAlign w:val="superscript"/>
        </w:rPr>
        <w:t>889</w:t>
      </w:r>
      <w:r>
        <w:rPr>
          <w:vertAlign w:val="baseline"/>
        </w:rPr>
        <w:t> Participants said</w:t>
      </w:r>
      <w:r>
        <w:rPr>
          <w:spacing w:val="-5"/>
          <w:vertAlign w:val="baseline"/>
        </w:rPr>
        <w:t> </w:t>
      </w:r>
      <w:r>
        <w:rPr>
          <w:vertAlign w:val="baseline"/>
        </w:rPr>
        <w:t>that</w:t>
      </w:r>
      <w:r>
        <w:rPr>
          <w:spacing w:val="-4"/>
          <w:vertAlign w:val="baseline"/>
        </w:rPr>
        <w:t> </w:t>
      </w:r>
      <w:r>
        <w:rPr>
          <w:vertAlign w:val="baseline"/>
        </w:rPr>
        <w:t>they</w:t>
      </w:r>
      <w:r>
        <w:rPr>
          <w:spacing w:val="-4"/>
          <w:vertAlign w:val="baseline"/>
        </w:rPr>
        <w:t> </w:t>
      </w:r>
      <w:r>
        <w:rPr>
          <w:vertAlign w:val="baseline"/>
        </w:rPr>
        <w:t>felt</w:t>
      </w:r>
      <w:r>
        <w:rPr>
          <w:spacing w:val="-4"/>
          <w:vertAlign w:val="baseline"/>
        </w:rPr>
        <w:t> </w:t>
      </w:r>
      <w:r>
        <w:rPr>
          <w:vertAlign w:val="baseline"/>
        </w:rPr>
        <w:t>that</w:t>
      </w:r>
      <w:r>
        <w:rPr>
          <w:spacing w:val="-4"/>
          <w:vertAlign w:val="baseline"/>
        </w:rPr>
        <w:t> </w:t>
      </w:r>
      <w:r>
        <w:rPr>
          <w:vertAlign w:val="baseline"/>
        </w:rPr>
        <w:t>racism</w:t>
      </w:r>
      <w:r>
        <w:rPr>
          <w:spacing w:val="-4"/>
          <w:vertAlign w:val="baseline"/>
        </w:rPr>
        <w:t> </w:t>
      </w:r>
      <w:r>
        <w:rPr>
          <w:vertAlign w:val="baseline"/>
        </w:rPr>
        <w:t>was</w:t>
      </w:r>
      <w:r>
        <w:rPr>
          <w:spacing w:val="-5"/>
          <w:vertAlign w:val="baseline"/>
        </w:rPr>
        <w:t> </w:t>
      </w:r>
      <w:r>
        <w:rPr>
          <w:vertAlign w:val="baseline"/>
        </w:rPr>
        <w:t>a</w:t>
      </w:r>
      <w:r>
        <w:rPr>
          <w:spacing w:val="-5"/>
          <w:vertAlign w:val="baseline"/>
        </w:rPr>
        <w:t> </w:t>
      </w:r>
      <w:r>
        <w:rPr>
          <w:vertAlign w:val="baseline"/>
        </w:rPr>
        <w:t>normal</w:t>
      </w:r>
      <w:r>
        <w:rPr>
          <w:spacing w:val="-5"/>
          <w:vertAlign w:val="baseline"/>
        </w:rPr>
        <w:t> </w:t>
      </w:r>
      <w:r>
        <w:rPr>
          <w:vertAlign w:val="baseline"/>
        </w:rPr>
        <w:t>part</w:t>
      </w:r>
      <w:r>
        <w:rPr>
          <w:spacing w:val="-4"/>
          <w:vertAlign w:val="baseline"/>
        </w:rPr>
        <w:t> </w:t>
      </w:r>
      <w:r>
        <w:rPr>
          <w:vertAlign w:val="baseline"/>
        </w:rPr>
        <w:t>of</w:t>
      </w:r>
      <w:r>
        <w:rPr>
          <w:spacing w:val="-5"/>
          <w:vertAlign w:val="baseline"/>
        </w:rPr>
        <w:t> </w:t>
      </w:r>
      <w:r>
        <w:rPr>
          <w:vertAlign w:val="baseline"/>
        </w:rPr>
        <w:t>their</w:t>
      </w:r>
      <w:r>
        <w:rPr>
          <w:spacing w:val="-4"/>
          <w:vertAlign w:val="baseline"/>
        </w:rPr>
        <w:t> </w:t>
      </w:r>
      <w:r>
        <w:rPr>
          <w:vertAlign w:val="baseline"/>
        </w:rPr>
        <w:t>day-to-day</w:t>
      </w:r>
      <w:r>
        <w:rPr>
          <w:spacing w:val="-4"/>
          <w:vertAlign w:val="baseline"/>
        </w:rPr>
        <w:t> </w:t>
      </w:r>
      <w:r>
        <w:rPr>
          <w:vertAlign w:val="baseline"/>
        </w:rPr>
        <w:t>life</w:t>
      </w:r>
      <w:r>
        <w:rPr>
          <w:spacing w:val="-4"/>
          <w:vertAlign w:val="baseline"/>
        </w:rPr>
        <w:t> </w:t>
      </w:r>
      <w:r>
        <w:rPr>
          <w:vertAlign w:val="baseline"/>
        </w:rPr>
        <w:t>in</w:t>
      </w:r>
      <w:r>
        <w:rPr>
          <w:spacing w:val="-5"/>
          <w:vertAlign w:val="baseline"/>
        </w:rPr>
        <w:t> </w:t>
      </w:r>
      <w:r>
        <w:rPr>
          <w:vertAlign w:val="baseline"/>
        </w:rPr>
        <w:t>NI with</w:t>
      </w:r>
      <w:r>
        <w:rPr>
          <w:spacing w:val="-6"/>
          <w:vertAlign w:val="baseline"/>
        </w:rPr>
        <w:t> </w:t>
      </w:r>
      <w:r>
        <w:rPr>
          <w:vertAlign w:val="baseline"/>
        </w:rPr>
        <w:t>some</w:t>
      </w:r>
      <w:r>
        <w:rPr>
          <w:spacing w:val="-5"/>
          <w:vertAlign w:val="baseline"/>
        </w:rPr>
        <w:t> </w:t>
      </w:r>
      <w:r>
        <w:rPr>
          <w:vertAlign w:val="baseline"/>
        </w:rPr>
        <w:t>reporting</w:t>
      </w:r>
      <w:r>
        <w:rPr>
          <w:spacing w:val="-5"/>
          <w:vertAlign w:val="baseline"/>
        </w:rPr>
        <w:t> </w:t>
      </w:r>
      <w:r>
        <w:rPr>
          <w:vertAlign w:val="baseline"/>
        </w:rPr>
        <w:t>concern</w:t>
      </w:r>
      <w:r>
        <w:rPr>
          <w:spacing w:val="-6"/>
          <w:vertAlign w:val="baseline"/>
        </w:rPr>
        <w:t> </w:t>
      </w:r>
      <w:r>
        <w:rPr>
          <w:vertAlign w:val="baseline"/>
        </w:rPr>
        <w:t>that</w:t>
      </w:r>
      <w:r>
        <w:rPr>
          <w:spacing w:val="-5"/>
          <w:vertAlign w:val="baseline"/>
        </w:rPr>
        <w:t> </w:t>
      </w:r>
      <w:r>
        <w:rPr>
          <w:vertAlign w:val="baseline"/>
        </w:rPr>
        <w:t>what</w:t>
      </w:r>
      <w:r>
        <w:rPr>
          <w:spacing w:val="-5"/>
          <w:vertAlign w:val="baseline"/>
        </w:rPr>
        <w:t> </w:t>
      </w:r>
      <w:r>
        <w:rPr>
          <w:vertAlign w:val="baseline"/>
        </w:rPr>
        <w:t>they</w:t>
      </w:r>
      <w:r>
        <w:rPr>
          <w:spacing w:val="-5"/>
          <w:vertAlign w:val="baseline"/>
        </w:rPr>
        <w:t> </w:t>
      </w:r>
      <w:r>
        <w:rPr>
          <w:vertAlign w:val="baseline"/>
        </w:rPr>
        <w:t>perceived</w:t>
      </w:r>
      <w:r>
        <w:rPr>
          <w:spacing w:val="-6"/>
          <w:vertAlign w:val="baseline"/>
        </w:rPr>
        <w:t> </w:t>
      </w:r>
      <w:r>
        <w:rPr>
          <w:vertAlign w:val="baseline"/>
        </w:rPr>
        <w:t>as</w:t>
      </w:r>
      <w:r>
        <w:rPr>
          <w:spacing w:val="-6"/>
          <w:vertAlign w:val="baseline"/>
        </w:rPr>
        <w:t> </w:t>
      </w:r>
      <w:r>
        <w:rPr>
          <w:vertAlign w:val="baseline"/>
        </w:rPr>
        <w:t>a</w:t>
      </w:r>
      <w:r>
        <w:rPr>
          <w:spacing w:val="-6"/>
          <w:vertAlign w:val="baseline"/>
        </w:rPr>
        <w:t> </w:t>
      </w:r>
      <w:r>
        <w:rPr>
          <w:vertAlign w:val="baseline"/>
        </w:rPr>
        <w:t>rise</w:t>
      </w:r>
      <w:r>
        <w:rPr>
          <w:spacing w:val="-5"/>
          <w:vertAlign w:val="baseline"/>
        </w:rPr>
        <w:t> </w:t>
      </w:r>
      <w:r>
        <w:rPr>
          <w:vertAlign w:val="baseline"/>
        </w:rPr>
        <w:t>in</w:t>
      </w:r>
      <w:r>
        <w:rPr>
          <w:spacing w:val="-6"/>
          <w:vertAlign w:val="baseline"/>
        </w:rPr>
        <w:t> </w:t>
      </w:r>
      <w:r>
        <w:rPr>
          <w:vertAlign w:val="baseline"/>
        </w:rPr>
        <w:t>racial</w:t>
      </w:r>
      <w:r>
        <w:rPr>
          <w:spacing w:val="-6"/>
          <w:vertAlign w:val="baseline"/>
        </w:rPr>
        <w:t> </w:t>
      </w:r>
      <w:r>
        <w:rPr>
          <w:vertAlign w:val="baseline"/>
        </w:rPr>
        <w:t>bias since the Brexit referendum had impacted on their ability to access services and to secure employment. Some research participants said that they felt ‘unsupported by authorities’ whom they perceived to be ‘indifferent to racism’.</w:t>
      </w:r>
      <w:r>
        <w:rPr>
          <w:spacing w:val="-28"/>
          <w:vertAlign w:val="baseline"/>
        </w:rPr>
        <w:t> </w:t>
      </w:r>
      <w:r>
        <w:rPr>
          <w:vertAlign w:val="superscript"/>
        </w:rPr>
        <w:t>890</w:t>
      </w:r>
    </w:p>
    <w:p>
      <w:pPr>
        <w:pStyle w:val="ListParagraph"/>
        <w:numPr>
          <w:ilvl w:val="1"/>
          <w:numId w:val="13"/>
        </w:numPr>
        <w:tabs>
          <w:tab w:pos="1853" w:val="left" w:leader="none"/>
        </w:tabs>
        <w:spacing w:line="225" w:lineRule="auto" w:before="305" w:after="0"/>
        <w:ind w:left="1853" w:right="1223" w:hanging="720"/>
        <w:jc w:val="left"/>
        <w:rPr>
          <w:sz w:val="28"/>
        </w:rPr>
      </w:pPr>
      <w:r>
        <w:rPr>
          <w:sz w:val="28"/>
        </w:rPr>
        <w:t>Female</w:t>
      </w:r>
      <w:r>
        <w:rPr>
          <w:spacing w:val="-7"/>
          <w:sz w:val="28"/>
        </w:rPr>
        <w:t> </w:t>
      </w:r>
      <w:r>
        <w:rPr>
          <w:sz w:val="28"/>
        </w:rPr>
        <w:t>participants</w:t>
      </w:r>
      <w:r>
        <w:rPr>
          <w:spacing w:val="-8"/>
          <w:sz w:val="28"/>
        </w:rPr>
        <w:t> </w:t>
      </w:r>
      <w:r>
        <w:rPr>
          <w:sz w:val="28"/>
        </w:rPr>
        <w:t>in</w:t>
      </w:r>
      <w:r>
        <w:rPr>
          <w:spacing w:val="-8"/>
          <w:sz w:val="28"/>
        </w:rPr>
        <w:t> </w:t>
      </w:r>
      <w:r>
        <w:rPr>
          <w:sz w:val="28"/>
        </w:rPr>
        <w:t>the</w:t>
      </w:r>
      <w:r>
        <w:rPr>
          <w:spacing w:val="-7"/>
          <w:sz w:val="28"/>
        </w:rPr>
        <w:t> </w:t>
      </w:r>
      <w:r>
        <w:rPr>
          <w:sz w:val="28"/>
        </w:rPr>
        <w:t>research</w:t>
      </w:r>
      <w:r>
        <w:rPr>
          <w:spacing w:val="-8"/>
          <w:sz w:val="28"/>
        </w:rPr>
        <w:t> </w:t>
      </w:r>
      <w:r>
        <w:rPr>
          <w:sz w:val="28"/>
        </w:rPr>
        <w:t>felt</w:t>
      </w:r>
      <w:r>
        <w:rPr>
          <w:spacing w:val="-7"/>
          <w:sz w:val="28"/>
        </w:rPr>
        <w:t> </w:t>
      </w:r>
      <w:r>
        <w:rPr>
          <w:sz w:val="28"/>
        </w:rPr>
        <w:t>that</w:t>
      </w:r>
      <w:r>
        <w:rPr>
          <w:spacing w:val="-7"/>
          <w:sz w:val="28"/>
        </w:rPr>
        <w:t> </w:t>
      </w:r>
      <w:r>
        <w:rPr>
          <w:sz w:val="28"/>
        </w:rPr>
        <w:t>they</w:t>
      </w:r>
      <w:r>
        <w:rPr>
          <w:spacing w:val="-7"/>
          <w:sz w:val="28"/>
        </w:rPr>
        <w:t> </w:t>
      </w:r>
      <w:r>
        <w:rPr>
          <w:sz w:val="28"/>
        </w:rPr>
        <w:t>had</w:t>
      </w:r>
      <w:r>
        <w:rPr>
          <w:spacing w:val="-8"/>
          <w:sz w:val="28"/>
        </w:rPr>
        <w:t> </w:t>
      </w:r>
      <w:r>
        <w:rPr>
          <w:sz w:val="28"/>
        </w:rPr>
        <w:t>disproportionately</w:t>
      </w:r>
      <w:r>
        <w:rPr>
          <w:spacing w:val="-7"/>
          <w:sz w:val="28"/>
        </w:rPr>
        <w:t> </w:t>
      </w:r>
      <w:r>
        <w:rPr>
          <w:sz w:val="28"/>
        </w:rPr>
        <w:t>been the focus of racism more than their male counterparts due to being at the ‘frontline</w:t>
      </w:r>
      <w:r>
        <w:rPr>
          <w:spacing w:val="-14"/>
          <w:sz w:val="28"/>
        </w:rPr>
        <w:t> </w:t>
      </w:r>
      <w:r>
        <w:rPr>
          <w:sz w:val="28"/>
        </w:rPr>
        <w:t>of</w:t>
      </w:r>
      <w:r>
        <w:rPr>
          <w:spacing w:val="-14"/>
          <w:sz w:val="28"/>
        </w:rPr>
        <w:t> </w:t>
      </w:r>
      <w:r>
        <w:rPr>
          <w:sz w:val="28"/>
        </w:rPr>
        <w:t>community</w:t>
      </w:r>
      <w:r>
        <w:rPr>
          <w:spacing w:val="-14"/>
          <w:sz w:val="28"/>
        </w:rPr>
        <w:t> </w:t>
      </w:r>
      <w:r>
        <w:rPr>
          <w:sz w:val="28"/>
        </w:rPr>
        <w:t>interactions’.</w:t>
      </w:r>
      <w:r>
        <w:rPr>
          <w:sz w:val="28"/>
          <w:vertAlign w:val="superscript"/>
        </w:rPr>
        <w:t>891</w:t>
      </w:r>
      <w:r>
        <w:rPr>
          <w:spacing w:val="-14"/>
          <w:sz w:val="28"/>
          <w:vertAlign w:val="baseline"/>
        </w:rPr>
        <w:t> </w:t>
      </w:r>
      <w:r>
        <w:rPr>
          <w:sz w:val="28"/>
          <w:vertAlign w:val="baseline"/>
        </w:rPr>
        <w:t>Participants</w:t>
      </w:r>
      <w:r>
        <w:rPr>
          <w:spacing w:val="-14"/>
          <w:sz w:val="28"/>
          <w:vertAlign w:val="baseline"/>
        </w:rPr>
        <w:t> </w:t>
      </w:r>
      <w:r>
        <w:rPr>
          <w:sz w:val="28"/>
          <w:vertAlign w:val="baseline"/>
        </w:rPr>
        <w:t>felt</w:t>
      </w:r>
      <w:r>
        <w:rPr>
          <w:spacing w:val="-14"/>
          <w:sz w:val="28"/>
          <w:vertAlign w:val="baseline"/>
        </w:rPr>
        <w:t> </w:t>
      </w:r>
      <w:r>
        <w:rPr>
          <w:sz w:val="28"/>
          <w:vertAlign w:val="baseline"/>
        </w:rPr>
        <w:t>that</w:t>
      </w:r>
      <w:r>
        <w:rPr>
          <w:spacing w:val="-14"/>
          <w:sz w:val="28"/>
          <w:vertAlign w:val="baseline"/>
        </w:rPr>
        <w:t> </w:t>
      </w:r>
      <w:r>
        <w:rPr>
          <w:sz w:val="28"/>
          <w:vertAlign w:val="baseline"/>
        </w:rPr>
        <w:t>this</w:t>
      </w:r>
      <w:r>
        <w:rPr>
          <w:spacing w:val="-14"/>
          <w:sz w:val="28"/>
          <w:vertAlign w:val="baseline"/>
        </w:rPr>
        <w:t> </w:t>
      </w:r>
      <w:r>
        <w:rPr>
          <w:sz w:val="28"/>
          <w:vertAlign w:val="baseline"/>
        </w:rPr>
        <w:t>was</w:t>
      </w:r>
      <w:r>
        <w:rPr>
          <w:spacing w:val="-14"/>
          <w:sz w:val="28"/>
          <w:vertAlign w:val="baseline"/>
        </w:rPr>
        <w:t> </w:t>
      </w:r>
      <w:r>
        <w:rPr>
          <w:sz w:val="28"/>
          <w:vertAlign w:val="baseline"/>
        </w:rPr>
        <w:t>because minority ethnic women tended to be exposed to racism in the exercising of their caring responsibilities ‘at the school gates’</w:t>
      </w:r>
      <w:r>
        <w:rPr>
          <w:sz w:val="28"/>
          <w:vertAlign w:val="superscript"/>
        </w:rPr>
        <w:t>892</w:t>
      </w:r>
      <w:r>
        <w:rPr>
          <w:sz w:val="28"/>
          <w:vertAlign w:val="baseline"/>
        </w:rPr>
        <w:t> and when working in low paid jobs.</w:t>
      </w:r>
      <w:r>
        <w:rPr>
          <w:sz w:val="28"/>
          <w:vertAlign w:val="superscript"/>
        </w:rPr>
        <w:t>893</w:t>
      </w:r>
    </w:p>
    <w:p>
      <w:pPr>
        <w:pStyle w:val="ListParagraph"/>
        <w:numPr>
          <w:ilvl w:val="1"/>
          <w:numId w:val="13"/>
        </w:numPr>
        <w:tabs>
          <w:tab w:pos="1853" w:val="left" w:leader="none"/>
        </w:tabs>
        <w:spacing w:line="225" w:lineRule="auto" w:before="313" w:after="0"/>
        <w:ind w:left="1853" w:right="1295" w:hanging="720"/>
        <w:jc w:val="left"/>
        <w:rPr>
          <w:sz w:val="28"/>
        </w:rPr>
      </w:pPr>
      <w:r>
        <w:rPr>
          <w:sz w:val="28"/>
        </w:rPr>
        <w:t>Examples of racism experienced and/or witnessed by participants in the research</w:t>
      </w:r>
      <w:r>
        <w:rPr>
          <w:spacing w:val="-7"/>
          <w:sz w:val="28"/>
        </w:rPr>
        <w:t> </w:t>
      </w:r>
      <w:r>
        <w:rPr>
          <w:sz w:val="28"/>
        </w:rPr>
        <w:t>included</w:t>
      </w:r>
      <w:r>
        <w:rPr>
          <w:spacing w:val="-7"/>
          <w:sz w:val="28"/>
        </w:rPr>
        <w:t> </w:t>
      </w:r>
      <w:r>
        <w:rPr>
          <w:sz w:val="28"/>
        </w:rPr>
        <w:t>verbal</w:t>
      </w:r>
      <w:r>
        <w:rPr>
          <w:spacing w:val="-7"/>
          <w:sz w:val="28"/>
        </w:rPr>
        <w:t> </w:t>
      </w:r>
      <w:r>
        <w:rPr>
          <w:sz w:val="28"/>
        </w:rPr>
        <w:t>and</w:t>
      </w:r>
      <w:r>
        <w:rPr>
          <w:spacing w:val="-7"/>
          <w:sz w:val="28"/>
        </w:rPr>
        <w:t> </w:t>
      </w:r>
      <w:r>
        <w:rPr>
          <w:sz w:val="28"/>
        </w:rPr>
        <w:t>physical</w:t>
      </w:r>
      <w:r>
        <w:rPr>
          <w:spacing w:val="-7"/>
          <w:sz w:val="28"/>
        </w:rPr>
        <w:t> </w:t>
      </w:r>
      <w:r>
        <w:rPr>
          <w:sz w:val="28"/>
        </w:rPr>
        <w:t>abuse,</w:t>
      </w:r>
      <w:r>
        <w:rPr>
          <w:spacing w:val="-6"/>
          <w:sz w:val="28"/>
        </w:rPr>
        <w:t> </w:t>
      </w:r>
      <w:r>
        <w:rPr>
          <w:sz w:val="28"/>
        </w:rPr>
        <w:t>damage</w:t>
      </w:r>
      <w:r>
        <w:rPr>
          <w:spacing w:val="-6"/>
          <w:sz w:val="28"/>
        </w:rPr>
        <w:t> </w:t>
      </w:r>
      <w:r>
        <w:rPr>
          <w:sz w:val="28"/>
        </w:rPr>
        <w:t>to</w:t>
      </w:r>
      <w:r>
        <w:rPr>
          <w:spacing w:val="-7"/>
          <w:sz w:val="28"/>
        </w:rPr>
        <w:t> </w:t>
      </w:r>
      <w:r>
        <w:rPr>
          <w:sz w:val="28"/>
        </w:rPr>
        <w:t>property</w:t>
      </w:r>
      <w:r>
        <w:rPr>
          <w:spacing w:val="-6"/>
          <w:sz w:val="28"/>
        </w:rPr>
        <w:t> </w:t>
      </w:r>
      <w:r>
        <w:rPr>
          <w:sz w:val="28"/>
        </w:rPr>
        <w:t>and</w:t>
      </w:r>
      <w:r>
        <w:rPr>
          <w:spacing w:val="-7"/>
          <w:sz w:val="28"/>
        </w:rPr>
        <w:t> </w:t>
      </w:r>
      <w:r>
        <w:rPr>
          <w:sz w:val="28"/>
        </w:rPr>
        <w:t>school- bullying.</w:t>
      </w:r>
      <w:r>
        <w:rPr>
          <w:sz w:val="28"/>
          <w:vertAlign w:val="superscript"/>
        </w:rPr>
        <w:t>894</w:t>
      </w:r>
      <w:r>
        <w:rPr>
          <w:sz w:val="28"/>
          <w:vertAlign w:val="baseline"/>
        </w:rPr>
        <w:t> At events organised by the ECNI for stakeholders to engage with the research findings, a number of participants shared their view that racist bullying in schools had increased because of Brexit.</w:t>
      </w:r>
    </w:p>
    <w:p>
      <w:pPr>
        <w:pStyle w:val="ListParagraph"/>
        <w:numPr>
          <w:ilvl w:val="1"/>
          <w:numId w:val="13"/>
        </w:numPr>
        <w:tabs>
          <w:tab w:pos="1853" w:val="left" w:leader="none"/>
        </w:tabs>
        <w:spacing w:line="225" w:lineRule="auto" w:before="313" w:after="0"/>
        <w:ind w:left="1853" w:right="1549" w:hanging="720"/>
        <w:jc w:val="left"/>
        <w:rPr>
          <w:sz w:val="28"/>
        </w:rPr>
      </w:pPr>
      <w:r>
        <w:rPr>
          <w:sz w:val="28"/>
        </w:rPr>
        <w:t>In</w:t>
      </w:r>
      <w:r>
        <w:rPr>
          <w:spacing w:val="-5"/>
          <w:sz w:val="28"/>
        </w:rPr>
        <w:t> </w:t>
      </w:r>
      <w:r>
        <w:rPr>
          <w:sz w:val="28"/>
        </w:rPr>
        <w:t>2023,</w:t>
      </w:r>
      <w:r>
        <w:rPr>
          <w:spacing w:val="-4"/>
          <w:sz w:val="28"/>
        </w:rPr>
        <w:t> </w:t>
      </w:r>
      <w:r>
        <w:rPr>
          <w:sz w:val="28"/>
        </w:rPr>
        <w:t>the</w:t>
      </w:r>
      <w:r>
        <w:rPr>
          <w:spacing w:val="-4"/>
          <w:sz w:val="28"/>
        </w:rPr>
        <w:t> </w:t>
      </w:r>
      <w:r>
        <w:rPr>
          <w:sz w:val="28"/>
        </w:rPr>
        <w:t>ECNI</w:t>
      </w:r>
      <w:r>
        <w:rPr>
          <w:spacing w:val="-4"/>
          <w:sz w:val="28"/>
        </w:rPr>
        <w:t> </w:t>
      </w:r>
      <w:r>
        <w:rPr>
          <w:sz w:val="28"/>
        </w:rPr>
        <w:t>commissioned</w:t>
      </w:r>
      <w:r>
        <w:rPr>
          <w:spacing w:val="-5"/>
          <w:sz w:val="28"/>
        </w:rPr>
        <w:t> </w:t>
      </w:r>
      <w:r>
        <w:rPr>
          <w:sz w:val="28"/>
        </w:rPr>
        <w:t>a</w:t>
      </w:r>
      <w:r>
        <w:rPr>
          <w:spacing w:val="-5"/>
          <w:sz w:val="28"/>
        </w:rPr>
        <w:t> </w:t>
      </w:r>
      <w:r>
        <w:rPr>
          <w:sz w:val="28"/>
        </w:rPr>
        <w:t>Public</w:t>
      </w:r>
      <w:r>
        <w:rPr>
          <w:spacing w:val="-4"/>
          <w:sz w:val="28"/>
        </w:rPr>
        <w:t> </w:t>
      </w:r>
      <w:r>
        <w:rPr>
          <w:sz w:val="28"/>
        </w:rPr>
        <w:t>Awareness</w:t>
      </w:r>
      <w:r>
        <w:rPr>
          <w:spacing w:val="-5"/>
          <w:sz w:val="28"/>
        </w:rPr>
        <w:t> </w:t>
      </w:r>
      <w:r>
        <w:rPr>
          <w:sz w:val="28"/>
        </w:rPr>
        <w:t>Survey</w:t>
      </w:r>
      <w:r>
        <w:rPr>
          <w:spacing w:val="-4"/>
          <w:sz w:val="28"/>
        </w:rPr>
        <w:t> </w:t>
      </w:r>
      <w:r>
        <w:rPr>
          <w:sz w:val="28"/>
        </w:rPr>
        <w:t>of</w:t>
      </w:r>
      <w:r>
        <w:rPr>
          <w:spacing w:val="-5"/>
          <w:sz w:val="28"/>
        </w:rPr>
        <w:t> </w:t>
      </w:r>
      <w:r>
        <w:rPr>
          <w:sz w:val="28"/>
        </w:rPr>
        <w:t>equality</w:t>
      </w:r>
      <w:r>
        <w:rPr>
          <w:spacing w:val="-4"/>
          <w:sz w:val="28"/>
        </w:rPr>
        <w:t> </w:t>
      </w:r>
      <w:r>
        <w:rPr>
          <w:sz w:val="28"/>
        </w:rPr>
        <w:t>and human rights protections in NI after Brexit, including questions relating to attitudes towards minority ethnic people, migrant workers, refugees, and asylum seekers due to Brexit.</w:t>
      </w:r>
      <w:r>
        <w:rPr>
          <w:sz w:val="28"/>
          <w:vertAlign w:val="superscript"/>
        </w:rPr>
        <w:t>895</w:t>
      </w:r>
    </w:p>
    <w:p>
      <w:pPr>
        <w:pStyle w:val="ListParagraph"/>
        <w:numPr>
          <w:ilvl w:val="1"/>
          <w:numId w:val="13"/>
        </w:numPr>
        <w:tabs>
          <w:tab w:pos="1853" w:val="left" w:leader="none"/>
        </w:tabs>
        <w:spacing w:line="225" w:lineRule="auto" w:before="315" w:after="0"/>
        <w:ind w:left="1853" w:right="1250" w:hanging="720"/>
        <w:jc w:val="left"/>
        <w:rPr>
          <w:sz w:val="28"/>
        </w:rPr>
      </w:pPr>
      <w:r>
        <w:rPr>
          <w:sz w:val="28"/>
        </w:rPr>
        <w:t>The ECNI survey found that a substantial proportion of respondents thought that</w:t>
      </w:r>
      <w:r>
        <w:rPr>
          <w:spacing w:val="-6"/>
          <w:sz w:val="28"/>
        </w:rPr>
        <w:t> </w:t>
      </w:r>
      <w:r>
        <w:rPr>
          <w:sz w:val="28"/>
        </w:rPr>
        <w:t>attitudes</w:t>
      </w:r>
      <w:r>
        <w:rPr>
          <w:spacing w:val="-6"/>
          <w:sz w:val="28"/>
        </w:rPr>
        <w:t> </w:t>
      </w:r>
      <w:r>
        <w:rPr>
          <w:sz w:val="28"/>
        </w:rPr>
        <w:t>to</w:t>
      </w:r>
      <w:r>
        <w:rPr>
          <w:spacing w:val="-6"/>
          <w:sz w:val="28"/>
        </w:rPr>
        <w:t> </w:t>
      </w:r>
      <w:r>
        <w:rPr>
          <w:sz w:val="28"/>
        </w:rPr>
        <w:t>minority</w:t>
      </w:r>
      <w:r>
        <w:rPr>
          <w:spacing w:val="-6"/>
          <w:sz w:val="28"/>
        </w:rPr>
        <w:t> </w:t>
      </w:r>
      <w:r>
        <w:rPr>
          <w:sz w:val="28"/>
        </w:rPr>
        <w:t>ethnic</w:t>
      </w:r>
      <w:r>
        <w:rPr>
          <w:spacing w:val="-6"/>
          <w:sz w:val="28"/>
        </w:rPr>
        <w:t> </w:t>
      </w:r>
      <w:r>
        <w:rPr>
          <w:sz w:val="28"/>
        </w:rPr>
        <w:t>people</w:t>
      </w:r>
      <w:r>
        <w:rPr>
          <w:spacing w:val="-6"/>
          <w:sz w:val="28"/>
        </w:rPr>
        <w:t> </w:t>
      </w:r>
      <w:r>
        <w:rPr>
          <w:sz w:val="28"/>
        </w:rPr>
        <w:t>were</w:t>
      </w:r>
      <w:r>
        <w:rPr>
          <w:spacing w:val="-6"/>
          <w:sz w:val="28"/>
        </w:rPr>
        <w:t> </w:t>
      </w:r>
      <w:r>
        <w:rPr>
          <w:sz w:val="28"/>
        </w:rPr>
        <w:t>worse</w:t>
      </w:r>
      <w:r>
        <w:rPr>
          <w:spacing w:val="-6"/>
          <w:sz w:val="28"/>
        </w:rPr>
        <w:t> </w:t>
      </w:r>
      <w:r>
        <w:rPr>
          <w:sz w:val="28"/>
        </w:rPr>
        <w:t>as</w:t>
      </w:r>
      <w:r>
        <w:rPr>
          <w:spacing w:val="-6"/>
          <w:sz w:val="28"/>
        </w:rPr>
        <w:t> </w:t>
      </w:r>
      <w:r>
        <w:rPr>
          <w:sz w:val="28"/>
        </w:rPr>
        <w:t>a</w:t>
      </w:r>
      <w:r>
        <w:rPr>
          <w:spacing w:val="-6"/>
          <w:sz w:val="28"/>
        </w:rPr>
        <w:t> </w:t>
      </w:r>
      <w:r>
        <w:rPr>
          <w:sz w:val="28"/>
        </w:rPr>
        <w:t>result</w:t>
      </w:r>
      <w:r>
        <w:rPr>
          <w:spacing w:val="-6"/>
          <w:sz w:val="28"/>
        </w:rPr>
        <w:t> </w:t>
      </w:r>
      <w:r>
        <w:rPr>
          <w:sz w:val="28"/>
        </w:rPr>
        <w:t>of</w:t>
      </w:r>
      <w:r>
        <w:rPr>
          <w:spacing w:val="-6"/>
          <w:sz w:val="28"/>
        </w:rPr>
        <w:t> </w:t>
      </w:r>
      <w:r>
        <w:rPr>
          <w:sz w:val="28"/>
        </w:rPr>
        <w:t>Brexit</w:t>
      </w:r>
      <w:r>
        <w:rPr>
          <w:spacing w:val="-6"/>
          <w:sz w:val="28"/>
        </w:rPr>
        <w:t> </w:t>
      </w:r>
      <w:r>
        <w:rPr>
          <w:sz w:val="28"/>
        </w:rPr>
        <w:t>and</w:t>
      </w:r>
      <w:r>
        <w:rPr>
          <w:spacing w:val="-6"/>
          <w:sz w:val="28"/>
        </w:rPr>
        <w:t> </w:t>
      </w:r>
      <w:r>
        <w:rPr>
          <w:sz w:val="28"/>
        </w:rPr>
        <w:t>a similar</w:t>
      </w:r>
      <w:r>
        <w:rPr>
          <w:spacing w:val="-2"/>
          <w:sz w:val="28"/>
        </w:rPr>
        <w:t> </w:t>
      </w:r>
      <w:r>
        <w:rPr>
          <w:sz w:val="28"/>
        </w:rPr>
        <w:t>proportion</w:t>
      </w:r>
      <w:r>
        <w:rPr>
          <w:spacing w:val="-3"/>
          <w:sz w:val="28"/>
        </w:rPr>
        <w:t> </w:t>
      </w:r>
      <w:r>
        <w:rPr>
          <w:sz w:val="28"/>
        </w:rPr>
        <w:t>thought</w:t>
      </w:r>
      <w:r>
        <w:rPr>
          <w:spacing w:val="-2"/>
          <w:sz w:val="28"/>
        </w:rPr>
        <w:t> </w:t>
      </w:r>
      <w:r>
        <w:rPr>
          <w:sz w:val="28"/>
        </w:rPr>
        <w:t>that</w:t>
      </w:r>
      <w:r>
        <w:rPr>
          <w:spacing w:val="-2"/>
          <w:sz w:val="28"/>
        </w:rPr>
        <w:t> </w:t>
      </w:r>
      <w:r>
        <w:rPr>
          <w:sz w:val="28"/>
        </w:rPr>
        <w:t>attitudes</w:t>
      </w:r>
      <w:r>
        <w:rPr>
          <w:spacing w:val="-3"/>
          <w:sz w:val="28"/>
        </w:rPr>
        <w:t> </w:t>
      </w:r>
      <w:r>
        <w:rPr>
          <w:sz w:val="28"/>
        </w:rPr>
        <w:t>were</w:t>
      </w:r>
      <w:r>
        <w:rPr>
          <w:spacing w:val="-2"/>
          <w:sz w:val="28"/>
        </w:rPr>
        <w:t> </w:t>
      </w:r>
      <w:r>
        <w:rPr>
          <w:sz w:val="28"/>
        </w:rPr>
        <w:t>‘about</w:t>
      </w:r>
      <w:r>
        <w:rPr>
          <w:spacing w:val="-2"/>
          <w:sz w:val="28"/>
        </w:rPr>
        <w:t> </w:t>
      </w:r>
      <w:r>
        <w:rPr>
          <w:sz w:val="28"/>
        </w:rPr>
        <w:t>the</w:t>
      </w:r>
      <w:r>
        <w:rPr>
          <w:spacing w:val="-2"/>
          <w:sz w:val="28"/>
        </w:rPr>
        <w:t> </w:t>
      </w:r>
      <w:r>
        <w:rPr>
          <w:sz w:val="28"/>
        </w:rPr>
        <w:t>same’</w:t>
      </w:r>
      <w:r>
        <w:rPr>
          <w:spacing w:val="-2"/>
          <w:sz w:val="28"/>
        </w:rPr>
        <w:t> </w:t>
      </w:r>
      <w:r>
        <w:rPr>
          <w:sz w:val="28"/>
        </w:rPr>
        <w:t>as</w:t>
      </w:r>
      <w:r>
        <w:rPr>
          <w:spacing w:val="-3"/>
          <w:sz w:val="28"/>
        </w:rPr>
        <w:t> </w:t>
      </w:r>
      <w:r>
        <w:rPr>
          <w:sz w:val="28"/>
        </w:rPr>
        <w:t>they</w:t>
      </w:r>
      <w:r>
        <w:rPr>
          <w:spacing w:val="-2"/>
          <w:sz w:val="28"/>
        </w:rPr>
        <w:t> </w:t>
      </w:r>
      <w:r>
        <w:rPr>
          <w:sz w:val="28"/>
        </w:rPr>
        <w:t>were before Brexit (46% and 45% respectively).</w:t>
      </w:r>
    </w:p>
    <w:p>
      <w:pPr>
        <w:pStyle w:val="BodyText"/>
        <w:spacing w:before="123"/>
        <w:rPr>
          <w:sz w:val="20"/>
        </w:rPr>
      </w:pPr>
      <w:r>
        <w:rPr/>
        <mc:AlternateContent>
          <mc:Choice Requires="wps">
            <w:drawing>
              <wp:anchor distT="0" distB="0" distL="0" distR="0" allowOverlap="1" layoutInCell="1" locked="0" behindDoc="1" simplePos="0" relativeHeight="487733248">
                <wp:simplePos x="0" y="0"/>
                <wp:positionH relativeFrom="page">
                  <wp:posOffset>719996</wp:posOffset>
                </wp:positionH>
                <wp:positionV relativeFrom="paragraph">
                  <wp:posOffset>248412</wp:posOffset>
                </wp:positionV>
                <wp:extent cx="6120130" cy="1270"/>
                <wp:effectExtent l="0" t="0" r="0" b="0"/>
                <wp:wrapTopAndBottom/>
                <wp:docPr id="660" name="Graphic 660"/>
                <wp:cNvGraphicFramePr>
                  <a:graphicFrameLocks/>
                </wp:cNvGraphicFramePr>
                <a:graphic>
                  <a:graphicData uri="http://schemas.microsoft.com/office/word/2010/wordprocessingShape">
                    <wps:wsp>
                      <wps:cNvPr id="660" name="Graphic 66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9.560007pt;width:481.9pt;height:.1pt;mso-position-horizontal-relative:page;mso-position-vertical-relative:paragraph;z-index:-15583232;mso-wrap-distance-left:0;mso-wrap-distance-right:0" id="docshape604" coordorigin="1134,391" coordsize="9638,0" path="m10772,391l1134,391e" filled="false" stroked="true" strokeweight="1pt" strokecolor="#393b80">
                <v:path arrowok="t"/>
                <v:stroke dashstyle="solid"/>
                <w10:wrap type="topAndBottom"/>
              </v:shape>
            </w:pict>
          </mc:Fallback>
        </mc:AlternateContent>
      </w:r>
    </w:p>
    <w:p>
      <w:pPr>
        <w:pStyle w:val="ListParagraph"/>
        <w:numPr>
          <w:ilvl w:val="0"/>
          <w:numId w:val="16"/>
        </w:numPr>
        <w:tabs>
          <w:tab w:pos="1853" w:val="left" w:leader="none"/>
        </w:tabs>
        <w:spacing w:line="218" w:lineRule="exact" w:before="125" w:after="0"/>
        <w:ind w:left="1853" w:right="0" w:hanging="720"/>
        <w:jc w:val="left"/>
        <w:rPr>
          <w:sz w:val="18"/>
        </w:rPr>
      </w:pPr>
      <w:r>
        <w:rPr>
          <w:sz w:val="18"/>
        </w:rPr>
        <w:t>Pivotal,</w:t>
      </w:r>
      <w:r>
        <w:rPr>
          <w:spacing w:val="-3"/>
          <w:sz w:val="18"/>
        </w:rPr>
        <w:t> </w:t>
      </w:r>
      <w:r>
        <w:rPr>
          <w:sz w:val="18"/>
        </w:rPr>
        <w:t>‘The</w:t>
      </w:r>
      <w:r>
        <w:rPr>
          <w:spacing w:val="-2"/>
          <w:sz w:val="18"/>
        </w:rPr>
        <w:t> </w:t>
      </w:r>
      <w:r>
        <w:rPr>
          <w:sz w:val="18"/>
        </w:rPr>
        <w:t>Impact</w:t>
      </w:r>
      <w:r>
        <w:rPr>
          <w:spacing w:val="-2"/>
          <w:sz w:val="18"/>
        </w:rPr>
        <w:t> </w:t>
      </w:r>
      <w:r>
        <w:rPr>
          <w:sz w:val="18"/>
        </w:rPr>
        <w:t>of</w:t>
      </w:r>
      <w:r>
        <w:rPr>
          <w:spacing w:val="-3"/>
          <w:sz w:val="18"/>
        </w:rPr>
        <w:t> </w:t>
      </w:r>
      <w:r>
        <w:rPr>
          <w:sz w:val="18"/>
        </w:rPr>
        <w:t>Brexit</w:t>
      </w:r>
      <w:r>
        <w:rPr>
          <w:spacing w:val="-2"/>
          <w:sz w:val="18"/>
        </w:rPr>
        <w:t> </w:t>
      </w:r>
      <w:r>
        <w:rPr>
          <w:sz w:val="18"/>
        </w:rPr>
        <w:t>on</w:t>
      </w:r>
      <w:r>
        <w:rPr>
          <w:spacing w:val="-3"/>
          <w:sz w:val="18"/>
        </w:rPr>
        <w:t> </w:t>
      </w:r>
      <w:r>
        <w:rPr>
          <w:sz w:val="18"/>
        </w:rPr>
        <w:t>Minority</w:t>
      </w:r>
      <w:r>
        <w:rPr>
          <w:spacing w:val="-2"/>
          <w:sz w:val="18"/>
        </w:rPr>
        <w:t> </w:t>
      </w:r>
      <w:r>
        <w:rPr>
          <w:sz w:val="18"/>
        </w:rPr>
        <w:t>Ethnic</w:t>
      </w:r>
      <w:r>
        <w:rPr>
          <w:spacing w:val="-2"/>
          <w:sz w:val="18"/>
        </w:rPr>
        <w:t> </w:t>
      </w:r>
      <w:r>
        <w:rPr>
          <w:sz w:val="18"/>
        </w:rPr>
        <w:t>and</w:t>
      </w:r>
      <w:r>
        <w:rPr>
          <w:spacing w:val="-4"/>
          <w:sz w:val="18"/>
        </w:rPr>
        <w:t> </w:t>
      </w:r>
      <w:r>
        <w:rPr>
          <w:sz w:val="18"/>
        </w:rPr>
        <w:t>Migrant</w:t>
      </w:r>
      <w:r>
        <w:rPr>
          <w:spacing w:val="-2"/>
          <w:sz w:val="18"/>
        </w:rPr>
        <w:t> </w:t>
      </w:r>
      <w:r>
        <w:rPr>
          <w:sz w:val="18"/>
        </w:rPr>
        <w:t>People</w:t>
      </w:r>
      <w:r>
        <w:rPr>
          <w:spacing w:val="-2"/>
          <w:sz w:val="18"/>
        </w:rPr>
        <w:t> </w:t>
      </w:r>
      <w:r>
        <w:rPr>
          <w:sz w:val="18"/>
        </w:rPr>
        <w:t>in</w:t>
      </w:r>
      <w:r>
        <w:rPr>
          <w:spacing w:val="-3"/>
          <w:sz w:val="18"/>
        </w:rPr>
        <w:t> </w:t>
      </w:r>
      <w:r>
        <w:rPr>
          <w:sz w:val="18"/>
        </w:rPr>
        <w:t>Northern</w:t>
      </w:r>
      <w:r>
        <w:rPr>
          <w:spacing w:val="-3"/>
          <w:sz w:val="18"/>
        </w:rPr>
        <w:t> </w:t>
      </w:r>
      <w:r>
        <w:rPr>
          <w:sz w:val="18"/>
        </w:rPr>
        <w:t>Ireland’</w:t>
      </w:r>
      <w:r>
        <w:rPr>
          <w:spacing w:val="-2"/>
          <w:sz w:val="18"/>
        </w:rPr>
        <w:t> </w:t>
      </w:r>
      <w:r>
        <w:rPr>
          <w:sz w:val="18"/>
        </w:rPr>
        <w:t>(ECNI,</w:t>
      </w:r>
      <w:r>
        <w:rPr>
          <w:spacing w:val="-2"/>
          <w:sz w:val="18"/>
        </w:rPr>
        <w:t> </w:t>
      </w:r>
      <w:r>
        <w:rPr>
          <w:sz w:val="18"/>
        </w:rPr>
        <w:t>2023),</w:t>
      </w:r>
      <w:r>
        <w:rPr>
          <w:spacing w:val="-2"/>
          <w:sz w:val="18"/>
        </w:rPr>
        <w:t> </w:t>
      </w:r>
      <w:r>
        <w:rPr>
          <w:sz w:val="18"/>
        </w:rPr>
        <w:t>at</w:t>
      </w:r>
      <w:r>
        <w:rPr>
          <w:spacing w:val="-2"/>
          <w:sz w:val="18"/>
        </w:rPr>
        <w:t> </w:t>
      </w:r>
      <w:r>
        <w:rPr>
          <w:spacing w:val="-5"/>
          <w:sz w:val="18"/>
        </w:rPr>
        <w:t>48.</w:t>
      </w:r>
    </w:p>
    <w:p>
      <w:pPr>
        <w:pStyle w:val="ListParagraph"/>
        <w:numPr>
          <w:ilvl w:val="0"/>
          <w:numId w:val="16"/>
        </w:numPr>
        <w:tabs>
          <w:tab w:pos="1853" w:val="left" w:leader="none"/>
        </w:tabs>
        <w:spacing w:line="216" w:lineRule="exact" w:before="0" w:after="0"/>
        <w:ind w:left="1853" w:right="0" w:hanging="720"/>
        <w:jc w:val="left"/>
        <w:rPr>
          <w:sz w:val="18"/>
        </w:rPr>
      </w:pPr>
      <w:r>
        <w:rPr>
          <w:sz w:val="18"/>
        </w:rPr>
        <w:t>Ibid,</w:t>
      </w:r>
      <w:r>
        <w:rPr>
          <w:spacing w:val="-1"/>
          <w:sz w:val="18"/>
        </w:rPr>
        <w:t> </w:t>
      </w:r>
      <w:r>
        <w:rPr>
          <w:sz w:val="18"/>
        </w:rPr>
        <w:t>at</w:t>
      </w:r>
      <w:r>
        <w:rPr>
          <w:spacing w:val="-1"/>
          <w:sz w:val="18"/>
        </w:rPr>
        <w:t> </w:t>
      </w:r>
      <w:r>
        <w:rPr>
          <w:spacing w:val="-5"/>
          <w:sz w:val="18"/>
        </w:rPr>
        <w:t>48.</w:t>
      </w:r>
    </w:p>
    <w:p>
      <w:pPr>
        <w:pStyle w:val="ListParagraph"/>
        <w:numPr>
          <w:ilvl w:val="0"/>
          <w:numId w:val="16"/>
        </w:numPr>
        <w:tabs>
          <w:tab w:pos="1853" w:val="left" w:leader="none"/>
        </w:tabs>
        <w:spacing w:line="216" w:lineRule="exact" w:before="0" w:after="0"/>
        <w:ind w:left="1853" w:right="0" w:hanging="720"/>
        <w:jc w:val="left"/>
        <w:rPr>
          <w:sz w:val="18"/>
        </w:rPr>
      </w:pPr>
      <w:r>
        <w:rPr>
          <w:sz w:val="18"/>
        </w:rPr>
        <w:t>Ibid,</w:t>
      </w:r>
      <w:r>
        <w:rPr>
          <w:spacing w:val="-1"/>
          <w:sz w:val="18"/>
        </w:rPr>
        <w:t> </w:t>
      </w:r>
      <w:r>
        <w:rPr>
          <w:sz w:val="18"/>
        </w:rPr>
        <w:t>at</w:t>
      </w:r>
      <w:r>
        <w:rPr>
          <w:spacing w:val="-1"/>
          <w:sz w:val="18"/>
        </w:rPr>
        <w:t> </w:t>
      </w:r>
      <w:r>
        <w:rPr>
          <w:spacing w:val="-5"/>
          <w:sz w:val="18"/>
        </w:rPr>
        <w:t>50.</w:t>
      </w:r>
    </w:p>
    <w:p>
      <w:pPr>
        <w:pStyle w:val="ListParagraph"/>
        <w:numPr>
          <w:ilvl w:val="0"/>
          <w:numId w:val="16"/>
        </w:numPr>
        <w:tabs>
          <w:tab w:pos="1853" w:val="left" w:leader="none"/>
        </w:tabs>
        <w:spacing w:line="216" w:lineRule="exact" w:before="0" w:after="0"/>
        <w:ind w:left="1853" w:right="0" w:hanging="720"/>
        <w:jc w:val="left"/>
        <w:rPr>
          <w:sz w:val="18"/>
        </w:rPr>
      </w:pPr>
      <w:r>
        <w:rPr>
          <w:sz w:val="18"/>
        </w:rPr>
        <w:t>Ibid,</w:t>
      </w:r>
      <w:r>
        <w:rPr>
          <w:spacing w:val="-1"/>
          <w:sz w:val="18"/>
        </w:rPr>
        <w:t> </w:t>
      </w:r>
      <w:r>
        <w:rPr>
          <w:sz w:val="18"/>
        </w:rPr>
        <w:t>at</w:t>
      </w:r>
      <w:r>
        <w:rPr>
          <w:spacing w:val="-1"/>
          <w:sz w:val="18"/>
        </w:rPr>
        <w:t> </w:t>
      </w:r>
      <w:r>
        <w:rPr>
          <w:spacing w:val="-5"/>
          <w:sz w:val="18"/>
        </w:rPr>
        <w:t>50.</w:t>
      </w:r>
    </w:p>
    <w:p>
      <w:pPr>
        <w:pStyle w:val="ListParagraph"/>
        <w:numPr>
          <w:ilvl w:val="0"/>
          <w:numId w:val="16"/>
        </w:numPr>
        <w:tabs>
          <w:tab w:pos="1853" w:val="left" w:leader="none"/>
        </w:tabs>
        <w:spacing w:line="216" w:lineRule="exact" w:before="0" w:after="0"/>
        <w:ind w:left="1853" w:right="0" w:hanging="720"/>
        <w:jc w:val="left"/>
        <w:rPr>
          <w:sz w:val="18"/>
        </w:rPr>
      </w:pPr>
      <w:r>
        <w:rPr>
          <w:sz w:val="18"/>
        </w:rPr>
        <w:t>Ibid,</w:t>
      </w:r>
      <w:r>
        <w:rPr>
          <w:spacing w:val="-1"/>
          <w:sz w:val="18"/>
        </w:rPr>
        <w:t> </w:t>
      </w:r>
      <w:r>
        <w:rPr>
          <w:sz w:val="18"/>
        </w:rPr>
        <w:t>at</w:t>
      </w:r>
      <w:r>
        <w:rPr>
          <w:spacing w:val="-1"/>
          <w:sz w:val="18"/>
        </w:rPr>
        <w:t> </w:t>
      </w:r>
      <w:r>
        <w:rPr>
          <w:spacing w:val="-5"/>
          <w:sz w:val="18"/>
        </w:rPr>
        <w:t>50.</w:t>
      </w:r>
    </w:p>
    <w:p>
      <w:pPr>
        <w:pStyle w:val="ListParagraph"/>
        <w:numPr>
          <w:ilvl w:val="0"/>
          <w:numId w:val="16"/>
        </w:numPr>
        <w:tabs>
          <w:tab w:pos="1853" w:val="left" w:leader="none"/>
        </w:tabs>
        <w:spacing w:line="216" w:lineRule="exact" w:before="0" w:after="0"/>
        <w:ind w:left="1853" w:right="0" w:hanging="720"/>
        <w:jc w:val="left"/>
        <w:rPr>
          <w:sz w:val="18"/>
        </w:rPr>
      </w:pPr>
      <w:r>
        <w:rPr>
          <w:sz w:val="18"/>
        </w:rPr>
        <w:t>Ibid,</w:t>
      </w:r>
      <w:r>
        <w:rPr>
          <w:spacing w:val="-1"/>
          <w:sz w:val="18"/>
        </w:rPr>
        <w:t> </w:t>
      </w:r>
      <w:r>
        <w:rPr>
          <w:sz w:val="18"/>
        </w:rPr>
        <w:t>at</w:t>
      </w:r>
      <w:r>
        <w:rPr>
          <w:spacing w:val="-1"/>
          <w:sz w:val="18"/>
        </w:rPr>
        <w:t> </w:t>
      </w:r>
      <w:r>
        <w:rPr>
          <w:spacing w:val="-5"/>
          <w:sz w:val="18"/>
        </w:rPr>
        <w:t>50.</w:t>
      </w:r>
    </w:p>
    <w:p>
      <w:pPr>
        <w:pStyle w:val="ListParagraph"/>
        <w:numPr>
          <w:ilvl w:val="0"/>
          <w:numId w:val="16"/>
        </w:numPr>
        <w:tabs>
          <w:tab w:pos="1853" w:val="left" w:leader="none"/>
        </w:tabs>
        <w:spacing w:line="235" w:lineRule="auto" w:before="1" w:after="0"/>
        <w:ind w:left="1853" w:right="1256" w:hanging="720"/>
        <w:jc w:val="left"/>
        <w:rPr>
          <w:sz w:val="18"/>
        </w:rPr>
      </w:pPr>
      <w:r>
        <w:rPr>
          <w:sz w:val="18"/>
        </w:rPr>
        <w:t>Equality</w:t>
      </w:r>
      <w:r>
        <w:rPr>
          <w:spacing w:val="-5"/>
          <w:sz w:val="18"/>
        </w:rPr>
        <w:t> </w:t>
      </w:r>
      <w:r>
        <w:rPr>
          <w:sz w:val="18"/>
        </w:rPr>
        <w:t>Commission</w:t>
      </w:r>
      <w:r>
        <w:rPr>
          <w:spacing w:val="-5"/>
          <w:sz w:val="18"/>
        </w:rPr>
        <w:t> </w:t>
      </w:r>
      <w:r>
        <w:rPr>
          <w:sz w:val="18"/>
        </w:rPr>
        <w:t>for</w:t>
      </w:r>
      <w:r>
        <w:rPr>
          <w:spacing w:val="-5"/>
          <w:sz w:val="18"/>
        </w:rPr>
        <w:t> </w:t>
      </w:r>
      <w:r>
        <w:rPr>
          <w:sz w:val="18"/>
        </w:rPr>
        <w:t>NI,</w:t>
      </w:r>
      <w:r>
        <w:rPr>
          <w:spacing w:val="-5"/>
          <w:sz w:val="18"/>
        </w:rPr>
        <w:t> </w:t>
      </w:r>
      <w:r>
        <w:rPr>
          <w:sz w:val="18"/>
        </w:rPr>
        <w:t>‘Press</w:t>
      </w:r>
      <w:r>
        <w:rPr>
          <w:spacing w:val="-5"/>
          <w:sz w:val="18"/>
        </w:rPr>
        <w:t> </w:t>
      </w:r>
      <w:r>
        <w:rPr>
          <w:sz w:val="18"/>
        </w:rPr>
        <w:t>Release:</w:t>
      </w:r>
      <w:r>
        <w:rPr>
          <w:spacing w:val="-5"/>
          <w:sz w:val="18"/>
        </w:rPr>
        <w:t> </w:t>
      </w:r>
      <w:r>
        <w:rPr>
          <w:sz w:val="18"/>
        </w:rPr>
        <w:t>Survey</w:t>
      </w:r>
      <w:r>
        <w:rPr>
          <w:spacing w:val="-5"/>
          <w:sz w:val="18"/>
        </w:rPr>
        <w:t> </w:t>
      </w:r>
      <w:r>
        <w:rPr>
          <w:sz w:val="18"/>
        </w:rPr>
        <w:t>results</w:t>
      </w:r>
      <w:r>
        <w:rPr>
          <w:spacing w:val="-5"/>
          <w:sz w:val="18"/>
        </w:rPr>
        <w:t> </w:t>
      </w:r>
      <w:r>
        <w:rPr>
          <w:sz w:val="18"/>
        </w:rPr>
        <w:t>capture</w:t>
      </w:r>
      <w:r>
        <w:rPr>
          <w:spacing w:val="-5"/>
          <w:sz w:val="18"/>
        </w:rPr>
        <w:t> </w:t>
      </w:r>
      <w:r>
        <w:rPr>
          <w:sz w:val="18"/>
        </w:rPr>
        <w:t>attitudes</w:t>
      </w:r>
      <w:r>
        <w:rPr>
          <w:spacing w:val="-5"/>
          <w:sz w:val="18"/>
        </w:rPr>
        <w:t> </w:t>
      </w:r>
      <w:r>
        <w:rPr>
          <w:sz w:val="18"/>
        </w:rPr>
        <w:t>to</w:t>
      </w:r>
      <w:r>
        <w:rPr>
          <w:spacing w:val="-5"/>
          <w:sz w:val="18"/>
        </w:rPr>
        <w:t> </w:t>
      </w:r>
      <w:r>
        <w:rPr>
          <w:sz w:val="18"/>
        </w:rPr>
        <w:t>equality</w:t>
      </w:r>
      <w:r>
        <w:rPr>
          <w:spacing w:val="-5"/>
          <w:sz w:val="18"/>
        </w:rPr>
        <w:t> </w:t>
      </w:r>
      <w:r>
        <w:rPr>
          <w:sz w:val="18"/>
        </w:rPr>
        <w:t>and</w:t>
      </w:r>
      <w:r>
        <w:rPr>
          <w:spacing w:val="-5"/>
          <w:sz w:val="18"/>
        </w:rPr>
        <w:t> </w:t>
      </w:r>
      <w:r>
        <w:rPr>
          <w:sz w:val="18"/>
        </w:rPr>
        <w:t>human</w:t>
      </w:r>
      <w:r>
        <w:rPr>
          <w:spacing w:val="-5"/>
          <w:sz w:val="18"/>
        </w:rPr>
        <w:t> </w:t>
      </w:r>
      <w:r>
        <w:rPr>
          <w:sz w:val="18"/>
        </w:rPr>
        <w:t>rights</w:t>
      </w:r>
      <w:r>
        <w:rPr>
          <w:spacing w:val="-5"/>
          <w:sz w:val="18"/>
        </w:rPr>
        <w:t> </w:t>
      </w:r>
      <w:r>
        <w:rPr>
          <w:sz w:val="18"/>
        </w:rPr>
        <w:t>protection</w:t>
      </w:r>
      <w:r>
        <w:rPr>
          <w:spacing w:val="-5"/>
          <w:sz w:val="18"/>
        </w:rPr>
        <w:t> </w:t>
      </w:r>
      <w:r>
        <w:rPr>
          <w:sz w:val="18"/>
        </w:rPr>
        <w:t>post Brexit’, 26 September 2023.</w:t>
      </w:r>
    </w:p>
    <w:p>
      <w:pPr>
        <w:spacing w:after="0" w:line="235" w:lineRule="auto"/>
        <w:jc w:val="left"/>
        <w:rPr>
          <w:sz w:val="18"/>
        </w:rPr>
        <w:sectPr>
          <w:pgSz w:w="11910" w:h="16840"/>
          <w:pgMar w:header="496" w:footer="367" w:top="1220" w:bottom="560" w:left="0" w:right="0"/>
        </w:sectPr>
      </w:pPr>
    </w:p>
    <w:p>
      <w:pPr>
        <w:pStyle w:val="BodyText"/>
        <w:spacing w:before="198"/>
      </w:pPr>
    </w:p>
    <w:p>
      <w:pPr>
        <w:pStyle w:val="ListParagraph"/>
        <w:numPr>
          <w:ilvl w:val="1"/>
          <w:numId w:val="13"/>
        </w:numPr>
        <w:tabs>
          <w:tab w:pos="1853" w:val="left" w:leader="none"/>
        </w:tabs>
        <w:spacing w:line="225" w:lineRule="auto" w:before="0" w:after="0"/>
        <w:ind w:left="1853" w:right="1477" w:hanging="720"/>
        <w:jc w:val="left"/>
        <w:rPr>
          <w:sz w:val="28"/>
        </w:rPr>
      </w:pPr>
      <w:bookmarkStart w:name="_bookmark62" w:id="139"/>
      <w:bookmarkEnd w:id="139"/>
      <w:r>
        <w:rPr/>
      </w:r>
      <w:r>
        <w:rPr>
          <w:sz w:val="28"/>
        </w:rPr>
        <w:t>Almost</w:t>
      </w:r>
      <w:r>
        <w:rPr>
          <w:spacing w:val="-9"/>
          <w:sz w:val="28"/>
        </w:rPr>
        <w:t> </w:t>
      </w:r>
      <w:r>
        <w:rPr>
          <w:sz w:val="28"/>
        </w:rPr>
        <w:t>half</w:t>
      </w:r>
      <w:r>
        <w:rPr>
          <w:spacing w:val="-10"/>
          <w:sz w:val="28"/>
        </w:rPr>
        <w:t> </w:t>
      </w:r>
      <w:r>
        <w:rPr>
          <w:sz w:val="28"/>
        </w:rPr>
        <w:t>of</w:t>
      </w:r>
      <w:r>
        <w:rPr>
          <w:spacing w:val="-10"/>
          <w:sz w:val="28"/>
        </w:rPr>
        <w:t> </w:t>
      </w:r>
      <w:r>
        <w:rPr>
          <w:sz w:val="28"/>
        </w:rPr>
        <w:t>respondents</w:t>
      </w:r>
      <w:r>
        <w:rPr>
          <w:spacing w:val="-10"/>
          <w:sz w:val="28"/>
        </w:rPr>
        <w:t> </w:t>
      </w:r>
      <w:r>
        <w:rPr>
          <w:sz w:val="28"/>
        </w:rPr>
        <w:t>(47%)</w:t>
      </w:r>
      <w:r>
        <w:rPr>
          <w:spacing w:val="-10"/>
          <w:sz w:val="28"/>
        </w:rPr>
        <w:t> </w:t>
      </w:r>
      <w:r>
        <w:rPr>
          <w:sz w:val="28"/>
        </w:rPr>
        <w:t>thought</w:t>
      </w:r>
      <w:r>
        <w:rPr>
          <w:spacing w:val="-9"/>
          <w:sz w:val="28"/>
        </w:rPr>
        <w:t> </w:t>
      </w:r>
      <w:r>
        <w:rPr>
          <w:sz w:val="28"/>
        </w:rPr>
        <w:t>that</w:t>
      </w:r>
      <w:r>
        <w:rPr>
          <w:spacing w:val="-9"/>
          <w:sz w:val="28"/>
        </w:rPr>
        <w:t> </w:t>
      </w:r>
      <w:r>
        <w:rPr>
          <w:sz w:val="28"/>
        </w:rPr>
        <w:t>attitudes</w:t>
      </w:r>
      <w:r>
        <w:rPr>
          <w:spacing w:val="-10"/>
          <w:sz w:val="28"/>
        </w:rPr>
        <w:t> </w:t>
      </w:r>
      <w:r>
        <w:rPr>
          <w:sz w:val="28"/>
        </w:rPr>
        <w:t>to</w:t>
      </w:r>
      <w:r>
        <w:rPr>
          <w:spacing w:val="-10"/>
          <w:sz w:val="28"/>
        </w:rPr>
        <w:t> </w:t>
      </w:r>
      <w:r>
        <w:rPr>
          <w:sz w:val="28"/>
        </w:rPr>
        <w:t>migrant</w:t>
      </w:r>
      <w:r>
        <w:rPr>
          <w:spacing w:val="-9"/>
          <w:sz w:val="28"/>
        </w:rPr>
        <w:t> </w:t>
      </w:r>
      <w:r>
        <w:rPr>
          <w:sz w:val="28"/>
        </w:rPr>
        <w:t>workers were about the same as they were before Brexit, with a slightly smaller proportion (44%) believing that attitudes had gotten worse.</w:t>
      </w:r>
    </w:p>
    <w:p>
      <w:pPr>
        <w:pStyle w:val="ListParagraph"/>
        <w:numPr>
          <w:ilvl w:val="1"/>
          <w:numId w:val="13"/>
        </w:numPr>
        <w:tabs>
          <w:tab w:pos="1853" w:val="left" w:leader="none"/>
        </w:tabs>
        <w:spacing w:line="225" w:lineRule="auto" w:before="317" w:after="0"/>
        <w:ind w:left="1853" w:right="1538" w:hanging="720"/>
        <w:jc w:val="left"/>
        <w:rPr>
          <w:sz w:val="28"/>
        </w:rPr>
      </w:pPr>
      <w:r>
        <w:rPr>
          <w:sz w:val="28"/>
        </w:rPr>
        <w:t>Just over half of all respondents (51%) thought that attitudes to refugees and</w:t>
      </w:r>
      <w:r>
        <w:rPr>
          <w:spacing w:val="-7"/>
          <w:sz w:val="28"/>
        </w:rPr>
        <w:t> </w:t>
      </w:r>
      <w:r>
        <w:rPr>
          <w:sz w:val="28"/>
        </w:rPr>
        <w:t>asylum</w:t>
      </w:r>
      <w:r>
        <w:rPr>
          <w:spacing w:val="-6"/>
          <w:sz w:val="28"/>
        </w:rPr>
        <w:t> </w:t>
      </w:r>
      <w:r>
        <w:rPr>
          <w:sz w:val="28"/>
        </w:rPr>
        <w:t>seekers</w:t>
      </w:r>
      <w:r>
        <w:rPr>
          <w:spacing w:val="-7"/>
          <w:sz w:val="28"/>
        </w:rPr>
        <w:t> </w:t>
      </w:r>
      <w:r>
        <w:rPr>
          <w:sz w:val="28"/>
        </w:rPr>
        <w:t>were</w:t>
      </w:r>
      <w:r>
        <w:rPr>
          <w:spacing w:val="-6"/>
          <w:sz w:val="28"/>
        </w:rPr>
        <w:t> </w:t>
      </w:r>
      <w:r>
        <w:rPr>
          <w:sz w:val="28"/>
        </w:rPr>
        <w:t>worse</w:t>
      </w:r>
      <w:r>
        <w:rPr>
          <w:spacing w:val="-6"/>
          <w:sz w:val="28"/>
        </w:rPr>
        <w:t> </w:t>
      </w:r>
      <w:r>
        <w:rPr>
          <w:sz w:val="28"/>
        </w:rPr>
        <w:t>as</w:t>
      </w:r>
      <w:r>
        <w:rPr>
          <w:spacing w:val="-7"/>
          <w:sz w:val="28"/>
        </w:rPr>
        <w:t> </w:t>
      </w:r>
      <w:r>
        <w:rPr>
          <w:sz w:val="28"/>
        </w:rPr>
        <w:t>a</w:t>
      </w:r>
      <w:r>
        <w:rPr>
          <w:spacing w:val="-7"/>
          <w:sz w:val="28"/>
        </w:rPr>
        <w:t> </w:t>
      </w:r>
      <w:r>
        <w:rPr>
          <w:sz w:val="28"/>
        </w:rPr>
        <w:t>result</w:t>
      </w:r>
      <w:r>
        <w:rPr>
          <w:spacing w:val="-6"/>
          <w:sz w:val="28"/>
        </w:rPr>
        <w:t> </w:t>
      </w:r>
      <w:r>
        <w:rPr>
          <w:sz w:val="28"/>
        </w:rPr>
        <w:t>of</w:t>
      </w:r>
      <w:r>
        <w:rPr>
          <w:spacing w:val="-7"/>
          <w:sz w:val="28"/>
        </w:rPr>
        <w:t> </w:t>
      </w:r>
      <w:r>
        <w:rPr>
          <w:sz w:val="28"/>
        </w:rPr>
        <w:t>Brexit,</w:t>
      </w:r>
      <w:r>
        <w:rPr>
          <w:spacing w:val="-6"/>
          <w:sz w:val="28"/>
        </w:rPr>
        <w:t> </w:t>
      </w:r>
      <w:r>
        <w:rPr>
          <w:sz w:val="28"/>
        </w:rPr>
        <w:t>with</w:t>
      </w:r>
      <w:r>
        <w:rPr>
          <w:spacing w:val="-7"/>
          <w:sz w:val="28"/>
        </w:rPr>
        <w:t> </w:t>
      </w:r>
      <w:r>
        <w:rPr>
          <w:sz w:val="28"/>
        </w:rPr>
        <w:t>around</w:t>
      </w:r>
      <w:r>
        <w:rPr>
          <w:spacing w:val="-7"/>
          <w:sz w:val="28"/>
        </w:rPr>
        <w:t> </w:t>
      </w:r>
      <w:r>
        <w:rPr>
          <w:sz w:val="28"/>
        </w:rPr>
        <w:t>40%</w:t>
      </w:r>
      <w:r>
        <w:rPr>
          <w:spacing w:val="-6"/>
          <w:sz w:val="28"/>
        </w:rPr>
        <w:t> </w:t>
      </w:r>
      <w:r>
        <w:rPr>
          <w:sz w:val="28"/>
        </w:rPr>
        <w:t>of</w:t>
      </w:r>
      <w:r>
        <w:rPr>
          <w:spacing w:val="-7"/>
          <w:sz w:val="28"/>
        </w:rPr>
        <w:t> </w:t>
      </w:r>
      <w:r>
        <w:rPr>
          <w:sz w:val="28"/>
        </w:rPr>
        <w:t>all respondents thinking that attitudes were about the same.</w:t>
      </w:r>
      <w:r>
        <w:rPr>
          <w:sz w:val="28"/>
          <w:vertAlign w:val="superscript"/>
        </w:rPr>
        <w:t>896</w:t>
      </w:r>
    </w:p>
    <w:p>
      <w:pPr>
        <w:pStyle w:val="ListParagraph"/>
        <w:numPr>
          <w:ilvl w:val="1"/>
          <w:numId w:val="13"/>
        </w:numPr>
        <w:tabs>
          <w:tab w:pos="1853" w:val="left" w:leader="none"/>
        </w:tabs>
        <w:spacing w:line="225" w:lineRule="auto" w:before="316" w:after="0"/>
        <w:ind w:left="1853" w:right="1782" w:hanging="720"/>
        <w:jc w:val="left"/>
        <w:rPr>
          <w:sz w:val="28"/>
        </w:rPr>
      </w:pPr>
      <w:r>
        <w:rPr>
          <w:sz w:val="28"/>
        </w:rPr>
        <w:t>Although</w:t>
      </w:r>
      <w:r>
        <w:rPr>
          <w:spacing w:val="-8"/>
          <w:sz w:val="28"/>
        </w:rPr>
        <w:t> </w:t>
      </w:r>
      <w:r>
        <w:rPr>
          <w:sz w:val="28"/>
        </w:rPr>
        <w:t>the</w:t>
      </w:r>
      <w:r>
        <w:rPr>
          <w:spacing w:val="-7"/>
          <w:sz w:val="28"/>
        </w:rPr>
        <w:t> </w:t>
      </w:r>
      <w:r>
        <w:rPr>
          <w:sz w:val="28"/>
        </w:rPr>
        <w:t>ECNI’s</w:t>
      </w:r>
      <w:r>
        <w:rPr>
          <w:spacing w:val="-8"/>
          <w:sz w:val="28"/>
        </w:rPr>
        <w:t> </w:t>
      </w:r>
      <w:r>
        <w:rPr>
          <w:sz w:val="28"/>
        </w:rPr>
        <w:t>research</w:t>
      </w:r>
      <w:r>
        <w:rPr>
          <w:spacing w:val="-8"/>
          <w:sz w:val="28"/>
        </w:rPr>
        <w:t> </w:t>
      </w:r>
      <w:r>
        <w:rPr>
          <w:sz w:val="28"/>
        </w:rPr>
        <w:t>provides</w:t>
      </w:r>
      <w:r>
        <w:rPr>
          <w:spacing w:val="-8"/>
          <w:sz w:val="28"/>
        </w:rPr>
        <w:t> </w:t>
      </w:r>
      <w:r>
        <w:rPr>
          <w:sz w:val="28"/>
        </w:rPr>
        <w:t>a</w:t>
      </w:r>
      <w:r>
        <w:rPr>
          <w:spacing w:val="-8"/>
          <w:sz w:val="28"/>
        </w:rPr>
        <w:t> </w:t>
      </w:r>
      <w:r>
        <w:rPr>
          <w:sz w:val="28"/>
        </w:rPr>
        <w:t>valuable</w:t>
      </w:r>
      <w:r>
        <w:rPr>
          <w:spacing w:val="-7"/>
          <w:sz w:val="28"/>
        </w:rPr>
        <w:t> </w:t>
      </w:r>
      <w:r>
        <w:rPr>
          <w:sz w:val="28"/>
        </w:rPr>
        <w:t>source</w:t>
      </w:r>
      <w:r>
        <w:rPr>
          <w:spacing w:val="-7"/>
          <w:sz w:val="28"/>
        </w:rPr>
        <w:t> </w:t>
      </w:r>
      <w:r>
        <w:rPr>
          <w:sz w:val="28"/>
        </w:rPr>
        <w:t>of</w:t>
      </w:r>
      <w:r>
        <w:rPr>
          <w:spacing w:val="-8"/>
          <w:sz w:val="28"/>
        </w:rPr>
        <w:t> </w:t>
      </w:r>
      <w:r>
        <w:rPr>
          <w:sz w:val="28"/>
        </w:rPr>
        <w:t>data</w:t>
      </w:r>
      <w:r>
        <w:rPr>
          <w:spacing w:val="-8"/>
          <w:sz w:val="28"/>
        </w:rPr>
        <w:t> </w:t>
      </w:r>
      <w:r>
        <w:rPr>
          <w:sz w:val="28"/>
        </w:rPr>
        <w:t>on</w:t>
      </w:r>
      <w:r>
        <w:rPr>
          <w:spacing w:val="-8"/>
          <w:sz w:val="28"/>
        </w:rPr>
        <w:t> </w:t>
      </w:r>
      <w:r>
        <w:rPr>
          <w:sz w:val="28"/>
        </w:rPr>
        <w:t>these attitudes post Brexit, further data is needed. The collection of this data on</w:t>
      </w:r>
      <w:r>
        <w:rPr>
          <w:spacing w:val="-3"/>
          <w:sz w:val="28"/>
        </w:rPr>
        <w:t> </w:t>
      </w:r>
      <w:r>
        <w:rPr>
          <w:sz w:val="28"/>
        </w:rPr>
        <w:t>racial</w:t>
      </w:r>
      <w:r>
        <w:rPr>
          <w:spacing w:val="-3"/>
          <w:sz w:val="28"/>
        </w:rPr>
        <w:t> </w:t>
      </w:r>
      <w:r>
        <w:rPr>
          <w:sz w:val="28"/>
        </w:rPr>
        <w:t>attitudes</w:t>
      </w:r>
      <w:r>
        <w:rPr>
          <w:spacing w:val="-3"/>
          <w:sz w:val="28"/>
        </w:rPr>
        <w:t> </w:t>
      </w:r>
      <w:r>
        <w:rPr>
          <w:sz w:val="28"/>
        </w:rPr>
        <w:t>will</w:t>
      </w:r>
      <w:r>
        <w:rPr>
          <w:spacing w:val="-3"/>
          <w:sz w:val="28"/>
        </w:rPr>
        <w:t> </w:t>
      </w:r>
      <w:r>
        <w:rPr>
          <w:sz w:val="28"/>
        </w:rPr>
        <w:t>assist</w:t>
      </w:r>
      <w:r>
        <w:rPr>
          <w:spacing w:val="-2"/>
          <w:sz w:val="28"/>
        </w:rPr>
        <w:t> </w:t>
      </w:r>
      <w:r>
        <w:rPr>
          <w:sz w:val="28"/>
        </w:rPr>
        <w:t>with</w:t>
      </w:r>
      <w:r>
        <w:rPr>
          <w:spacing w:val="-3"/>
          <w:sz w:val="28"/>
        </w:rPr>
        <w:t> </w:t>
      </w:r>
      <w:r>
        <w:rPr>
          <w:sz w:val="28"/>
        </w:rPr>
        <w:t>identifying</w:t>
      </w:r>
      <w:r>
        <w:rPr>
          <w:spacing w:val="-2"/>
          <w:sz w:val="28"/>
        </w:rPr>
        <w:t> </w:t>
      </w:r>
      <w:r>
        <w:rPr>
          <w:sz w:val="28"/>
        </w:rPr>
        <w:t>further</w:t>
      </w:r>
      <w:r>
        <w:rPr>
          <w:spacing w:val="-2"/>
          <w:sz w:val="28"/>
        </w:rPr>
        <w:t> </w:t>
      </w:r>
      <w:r>
        <w:rPr>
          <w:sz w:val="28"/>
        </w:rPr>
        <w:t>Government</w:t>
      </w:r>
      <w:r>
        <w:rPr>
          <w:spacing w:val="-2"/>
          <w:sz w:val="28"/>
        </w:rPr>
        <w:t> </w:t>
      </w:r>
      <w:r>
        <w:rPr>
          <w:sz w:val="28"/>
        </w:rPr>
        <w:t>action,</w:t>
      </w:r>
    </w:p>
    <w:p>
      <w:pPr>
        <w:pStyle w:val="BodyText"/>
        <w:spacing w:line="225" w:lineRule="auto"/>
        <w:ind w:left="1853" w:right="1171"/>
      </w:pPr>
      <w:r>
        <w:rPr/>
        <w:t>including</w:t>
      </w:r>
      <w:r>
        <w:rPr>
          <w:spacing w:val="-6"/>
        </w:rPr>
        <w:t> </w:t>
      </w:r>
      <w:r>
        <w:rPr/>
        <w:t>by</w:t>
      </w:r>
      <w:r>
        <w:rPr>
          <w:spacing w:val="-6"/>
        </w:rPr>
        <w:t> </w:t>
      </w:r>
      <w:r>
        <w:rPr/>
        <w:t>the</w:t>
      </w:r>
      <w:r>
        <w:rPr>
          <w:spacing w:val="-6"/>
        </w:rPr>
        <w:t> </w:t>
      </w:r>
      <w:r>
        <w:rPr/>
        <w:t>Executive</w:t>
      </w:r>
      <w:r>
        <w:rPr>
          <w:spacing w:val="-6"/>
        </w:rPr>
        <w:t> </w:t>
      </w:r>
      <w:r>
        <w:rPr/>
        <w:t>Office</w:t>
      </w:r>
      <w:r>
        <w:rPr>
          <w:spacing w:val="-6"/>
        </w:rPr>
        <w:t> </w:t>
      </w:r>
      <w:r>
        <w:rPr/>
        <w:t>and</w:t>
      </w:r>
      <w:r>
        <w:rPr>
          <w:spacing w:val="-7"/>
        </w:rPr>
        <w:t> </w:t>
      </w:r>
      <w:r>
        <w:rPr/>
        <w:t>the</w:t>
      </w:r>
      <w:r>
        <w:rPr>
          <w:spacing w:val="-6"/>
        </w:rPr>
        <w:t> </w:t>
      </w:r>
      <w:r>
        <w:rPr/>
        <w:t>Department</w:t>
      </w:r>
      <w:r>
        <w:rPr>
          <w:spacing w:val="-6"/>
        </w:rPr>
        <w:t> </w:t>
      </w:r>
      <w:r>
        <w:rPr/>
        <w:t>of</w:t>
      </w:r>
      <w:r>
        <w:rPr>
          <w:spacing w:val="-7"/>
        </w:rPr>
        <w:t> </w:t>
      </w:r>
      <w:r>
        <w:rPr/>
        <w:t>Justice</w:t>
      </w:r>
      <w:r>
        <w:rPr>
          <w:spacing w:val="-6"/>
        </w:rPr>
        <w:t> </w:t>
      </w:r>
      <w:r>
        <w:rPr/>
        <w:t>to</w:t>
      </w:r>
      <w:r>
        <w:rPr>
          <w:spacing w:val="-7"/>
        </w:rPr>
        <w:t> </w:t>
      </w:r>
      <w:r>
        <w:rPr/>
        <w:t>combat racism and race hate crime.</w:t>
      </w:r>
    </w:p>
    <w:p>
      <w:pPr>
        <w:pStyle w:val="BodyText"/>
        <w:spacing w:before="11"/>
        <w:rPr>
          <w:sz w:val="13"/>
        </w:rPr>
      </w:pPr>
      <w:r>
        <w:rPr/>
        <mc:AlternateContent>
          <mc:Choice Requires="wps">
            <w:drawing>
              <wp:anchor distT="0" distB="0" distL="0" distR="0" allowOverlap="1" layoutInCell="1" locked="0" behindDoc="1" simplePos="0" relativeHeight="487733760">
                <wp:simplePos x="0" y="0"/>
                <wp:positionH relativeFrom="page">
                  <wp:posOffset>720001</wp:posOffset>
                </wp:positionH>
                <wp:positionV relativeFrom="paragraph">
                  <wp:posOffset>123077</wp:posOffset>
                </wp:positionV>
                <wp:extent cx="6120130" cy="360680"/>
                <wp:effectExtent l="0" t="0" r="0" b="0"/>
                <wp:wrapTopAndBottom/>
                <wp:docPr id="661" name="Textbox 661"/>
                <wp:cNvGraphicFramePr>
                  <a:graphicFrameLocks/>
                </wp:cNvGraphicFramePr>
                <a:graphic>
                  <a:graphicData uri="http://schemas.microsoft.com/office/word/2010/wordprocessingShape">
                    <wps:wsp>
                      <wps:cNvPr id="661" name="Textbox 661"/>
                      <wps:cNvSpPr txBox="1"/>
                      <wps:spPr>
                        <a:xfrm>
                          <a:off x="0" y="0"/>
                          <a:ext cx="6120130" cy="360680"/>
                        </a:xfrm>
                        <a:prstGeom prst="rect">
                          <a:avLst/>
                        </a:prstGeom>
                        <a:solidFill>
                          <a:srgbClr val="393B80"/>
                        </a:solidFill>
                      </wps:spPr>
                      <wps:txbx>
                        <w:txbxContent>
                          <w:p>
                            <w:pPr>
                              <w:spacing w:before="103"/>
                              <w:ind w:left="800"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9.691172pt;width:481.9pt;height:28.4pt;mso-position-horizontal-relative:page;mso-position-vertical-relative:paragraph;z-index:-15582720;mso-wrap-distance-left:0;mso-wrap-distance-right:0" type="#_x0000_t202" id="docshape605" filled="true" fillcolor="#393b80" stroked="false">
                <v:textbox inset="0,0,0,0">
                  <w:txbxContent>
                    <w:p>
                      <w:pPr>
                        <w:spacing w:before="103"/>
                        <w:ind w:left="800"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13"/>
        </w:numPr>
        <w:tabs>
          <w:tab w:pos="1853" w:val="left" w:leader="none"/>
        </w:tabs>
        <w:spacing w:line="225" w:lineRule="auto" w:before="208" w:after="0"/>
        <w:ind w:left="1853" w:right="1906" w:hanging="720"/>
        <w:jc w:val="left"/>
        <w:rPr>
          <w:b/>
          <w:color w:val="67287F"/>
          <w:sz w:val="28"/>
        </w:rPr>
      </w:pPr>
      <w:r>
        <w:rPr>
          <w:b/>
          <w:color w:val="67287F"/>
          <w:sz w:val="28"/>
        </w:rPr>
        <w:t>The</w:t>
      </w:r>
      <w:r>
        <w:rPr>
          <w:b/>
          <w:color w:val="67287F"/>
          <w:spacing w:val="-9"/>
          <w:sz w:val="28"/>
        </w:rPr>
        <w:t> </w:t>
      </w:r>
      <w:r>
        <w:rPr>
          <w:b/>
          <w:color w:val="67287F"/>
          <w:sz w:val="28"/>
        </w:rPr>
        <w:t>ECNI</w:t>
      </w:r>
      <w:r>
        <w:rPr>
          <w:b/>
          <w:color w:val="67287F"/>
          <w:spacing w:val="-8"/>
          <w:sz w:val="28"/>
        </w:rPr>
        <w:t> </w:t>
      </w:r>
      <w:r>
        <w:rPr>
          <w:b/>
          <w:color w:val="67287F"/>
          <w:sz w:val="28"/>
        </w:rPr>
        <w:t>recommends</w:t>
      </w:r>
      <w:r>
        <w:rPr>
          <w:b/>
          <w:color w:val="67287F"/>
          <w:spacing w:val="-8"/>
          <w:sz w:val="28"/>
        </w:rPr>
        <w:t> </w:t>
      </w:r>
      <w:r>
        <w:rPr>
          <w:b/>
          <w:color w:val="67287F"/>
          <w:sz w:val="28"/>
        </w:rPr>
        <w:t>that</w:t>
      </w:r>
      <w:r>
        <w:rPr>
          <w:b/>
          <w:color w:val="67287F"/>
          <w:spacing w:val="-8"/>
          <w:sz w:val="28"/>
        </w:rPr>
        <w:t> </w:t>
      </w:r>
      <w:r>
        <w:rPr>
          <w:b/>
          <w:color w:val="67287F"/>
          <w:sz w:val="28"/>
        </w:rPr>
        <w:t>the</w:t>
      </w:r>
      <w:r>
        <w:rPr>
          <w:b/>
          <w:color w:val="67287F"/>
          <w:spacing w:val="-9"/>
          <w:sz w:val="28"/>
        </w:rPr>
        <w:t> </w:t>
      </w:r>
      <w:r>
        <w:rPr>
          <w:b/>
          <w:color w:val="67287F"/>
          <w:sz w:val="28"/>
        </w:rPr>
        <w:t>NI</w:t>
      </w:r>
      <w:r>
        <w:rPr>
          <w:b/>
          <w:color w:val="67287F"/>
          <w:spacing w:val="-8"/>
          <w:sz w:val="28"/>
        </w:rPr>
        <w:t> </w:t>
      </w:r>
      <w:r>
        <w:rPr>
          <w:b/>
          <w:color w:val="67287F"/>
          <w:sz w:val="28"/>
        </w:rPr>
        <w:t>Executive,</w:t>
      </w:r>
      <w:r>
        <w:rPr>
          <w:b/>
          <w:color w:val="67287F"/>
          <w:spacing w:val="-8"/>
          <w:sz w:val="28"/>
        </w:rPr>
        <w:t> </w:t>
      </w:r>
      <w:r>
        <w:rPr>
          <w:b/>
          <w:color w:val="67287F"/>
          <w:sz w:val="28"/>
        </w:rPr>
        <w:t>relevant</w:t>
      </w:r>
      <w:r>
        <w:rPr>
          <w:b/>
          <w:color w:val="67287F"/>
          <w:spacing w:val="-8"/>
          <w:sz w:val="28"/>
        </w:rPr>
        <w:t> </w:t>
      </w:r>
      <w:r>
        <w:rPr>
          <w:b/>
          <w:color w:val="67287F"/>
          <w:sz w:val="28"/>
        </w:rPr>
        <w:t>NI</w:t>
      </w:r>
      <w:r>
        <w:rPr>
          <w:b/>
          <w:color w:val="67287F"/>
          <w:spacing w:val="-8"/>
          <w:sz w:val="28"/>
        </w:rPr>
        <w:t> </w:t>
      </w:r>
      <w:r>
        <w:rPr>
          <w:b/>
          <w:color w:val="67287F"/>
          <w:sz w:val="28"/>
        </w:rPr>
        <w:t>departments, including</w:t>
      </w:r>
      <w:r>
        <w:rPr>
          <w:b/>
          <w:color w:val="67287F"/>
          <w:spacing w:val="-3"/>
          <w:sz w:val="28"/>
        </w:rPr>
        <w:t> </w:t>
      </w:r>
      <w:r>
        <w:rPr>
          <w:b/>
          <w:color w:val="67287F"/>
          <w:sz w:val="28"/>
        </w:rPr>
        <w:t>the</w:t>
      </w:r>
      <w:r>
        <w:rPr>
          <w:b/>
          <w:color w:val="67287F"/>
          <w:spacing w:val="-3"/>
          <w:sz w:val="28"/>
        </w:rPr>
        <w:t> </w:t>
      </w:r>
      <w:r>
        <w:rPr>
          <w:b/>
          <w:color w:val="67287F"/>
          <w:sz w:val="28"/>
        </w:rPr>
        <w:t>Executive</w:t>
      </w:r>
      <w:r>
        <w:rPr>
          <w:b/>
          <w:color w:val="67287F"/>
          <w:spacing w:val="-3"/>
          <w:sz w:val="28"/>
        </w:rPr>
        <w:t> </w:t>
      </w:r>
      <w:r>
        <w:rPr>
          <w:b/>
          <w:color w:val="67287F"/>
          <w:sz w:val="28"/>
        </w:rPr>
        <w:t>Office,</w:t>
      </w:r>
      <w:r>
        <w:rPr>
          <w:b/>
          <w:color w:val="67287F"/>
          <w:spacing w:val="-2"/>
          <w:sz w:val="28"/>
        </w:rPr>
        <w:t> </w:t>
      </w:r>
      <w:r>
        <w:rPr>
          <w:b/>
          <w:color w:val="67287F"/>
          <w:sz w:val="28"/>
        </w:rPr>
        <w:t>and</w:t>
      </w:r>
      <w:r>
        <w:rPr>
          <w:b/>
          <w:color w:val="67287F"/>
          <w:spacing w:val="-2"/>
          <w:sz w:val="28"/>
        </w:rPr>
        <w:t> </w:t>
      </w:r>
      <w:r>
        <w:rPr>
          <w:b/>
          <w:color w:val="67287F"/>
          <w:sz w:val="28"/>
        </w:rPr>
        <w:t>others,</w:t>
      </w:r>
      <w:r>
        <w:rPr>
          <w:b/>
          <w:color w:val="67287F"/>
          <w:spacing w:val="-2"/>
          <w:sz w:val="28"/>
        </w:rPr>
        <w:t> </w:t>
      </w:r>
      <w:r>
        <w:rPr>
          <w:b/>
          <w:color w:val="67287F"/>
          <w:sz w:val="28"/>
        </w:rPr>
        <w:t>take</w:t>
      </w:r>
      <w:r>
        <w:rPr>
          <w:b/>
          <w:color w:val="67287F"/>
          <w:spacing w:val="-3"/>
          <w:sz w:val="28"/>
        </w:rPr>
        <w:t> </w:t>
      </w:r>
      <w:r>
        <w:rPr>
          <w:b/>
          <w:color w:val="67287F"/>
          <w:sz w:val="28"/>
        </w:rPr>
        <w:t>effective</w:t>
      </w:r>
      <w:r>
        <w:rPr>
          <w:b/>
          <w:color w:val="67287F"/>
          <w:spacing w:val="-3"/>
          <w:sz w:val="28"/>
        </w:rPr>
        <w:t> </w:t>
      </w:r>
      <w:r>
        <w:rPr>
          <w:b/>
          <w:color w:val="67287F"/>
          <w:sz w:val="28"/>
        </w:rPr>
        <w:t>measures</w:t>
      </w:r>
      <w:r>
        <w:rPr>
          <w:b/>
          <w:color w:val="67287F"/>
          <w:spacing w:val="-2"/>
          <w:sz w:val="28"/>
        </w:rPr>
        <w:t> </w:t>
      </w:r>
      <w:r>
        <w:rPr>
          <w:b/>
          <w:color w:val="67287F"/>
          <w:sz w:val="28"/>
        </w:rPr>
        <w:t>to:</w:t>
      </w:r>
    </w:p>
    <w:p>
      <w:pPr>
        <w:pStyle w:val="ListParagraph"/>
        <w:numPr>
          <w:ilvl w:val="2"/>
          <w:numId w:val="13"/>
        </w:numPr>
        <w:tabs>
          <w:tab w:pos="2562" w:val="left" w:leader="none"/>
        </w:tabs>
        <w:spacing w:line="323" w:lineRule="exact" w:before="0" w:after="0"/>
        <w:ind w:left="2562" w:right="0" w:hanging="360"/>
        <w:jc w:val="left"/>
        <w:rPr>
          <w:b/>
          <w:sz w:val="28"/>
        </w:rPr>
      </w:pPr>
      <w:r>
        <w:rPr>
          <w:b/>
          <w:color w:val="67287F"/>
          <w:sz w:val="28"/>
        </w:rPr>
        <w:t>improve</w:t>
      </w:r>
      <w:r>
        <w:rPr>
          <w:b/>
          <w:color w:val="67287F"/>
          <w:spacing w:val="-8"/>
          <w:sz w:val="28"/>
        </w:rPr>
        <w:t> </w:t>
      </w:r>
      <w:r>
        <w:rPr>
          <w:b/>
          <w:color w:val="67287F"/>
          <w:sz w:val="28"/>
        </w:rPr>
        <w:t>data</w:t>
      </w:r>
      <w:r>
        <w:rPr>
          <w:b/>
          <w:color w:val="67287F"/>
          <w:spacing w:val="-6"/>
          <w:sz w:val="28"/>
        </w:rPr>
        <w:t> </w:t>
      </w:r>
      <w:r>
        <w:rPr>
          <w:b/>
          <w:color w:val="67287F"/>
          <w:sz w:val="28"/>
        </w:rPr>
        <w:t>collection</w:t>
      </w:r>
      <w:r>
        <w:rPr>
          <w:b/>
          <w:color w:val="67287F"/>
          <w:spacing w:val="-6"/>
          <w:sz w:val="28"/>
        </w:rPr>
        <w:t> </w:t>
      </w:r>
      <w:r>
        <w:rPr>
          <w:b/>
          <w:color w:val="67287F"/>
          <w:sz w:val="28"/>
        </w:rPr>
        <w:t>on</w:t>
      </w:r>
      <w:r>
        <w:rPr>
          <w:b/>
          <w:color w:val="67287F"/>
          <w:spacing w:val="-6"/>
          <w:sz w:val="28"/>
        </w:rPr>
        <w:t> </w:t>
      </w:r>
      <w:r>
        <w:rPr>
          <w:b/>
          <w:color w:val="67287F"/>
          <w:sz w:val="28"/>
        </w:rPr>
        <w:t>racial</w:t>
      </w:r>
      <w:r>
        <w:rPr>
          <w:b/>
          <w:color w:val="67287F"/>
          <w:spacing w:val="-7"/>
          <w:sz w:val="28"/>
        </w:rPr>
        <w:t> </w:t>
      </w:r>
      <w:r>
        <w:rPr>
          <w:b/>
          <w:color w:val="67287F"/>
          <w:sz w:val="28"/>
        </w:rPr>
        <w:t>attitudes</w:t>
      </w:r>
      <w:r>
        <w:rPr>
          <w:b/>
          <w:color w:val="67287F"/>
          <w:spacing w:val="-6"/>
          <w:sz w:val="28"/>
        </w:rPr>
        <w:t> </w:t>
      </w:r>
      <w:r>
        <w:rPr>
          <w:b/>
          <w:color w:val="67287F"/>
          <w:sz w:val="28"/>
        </w:rPr>
        <w:t>arising</w:t>
      </w:r>
      <w:r>
        <w:rPr>
          <w:b/>
          <w:color w:val="67287F"/>
          <w:spacing w:val="-7"/>
          <w:sz w:val="28"/>
        </w:rPr>
        <w:t> </w:t>
      </w:r>
      <w:r>
        <w:rPr>
          <w:b/>
          <w:color w:val="67287F"/>
          <w:sz w:val="28"/>
        </w:rPr>
        <w:t>as</w:t>
      </w:r>
      <w:r>
        <w:rPr>
          <w:b/>
          <w:color w:val="67287F"/>
          <w:spacing w:val="-6"/>
          <w:sz w:val="28"/>
        </w:rPr>
        <w:t> </w:t>
      </w:r>
      <w:r>
        <w:rPr>
          <w:b/>
          <w:color w:val="67287F"/>
          <w:sz w:val="28"/>
        </w:rPr>
        <w:t>a</w:t>
      </w:r>
      <w:r>
        <w:rPr>
          <w:b/>
          <w:color w:val="67287F"/>
          <w:spacing w:val="-6"/>
          <w:sz w:val="28"/>
        </w:rPr>
        <w:t> </w:t>
      </w:r>
      <w:r>
        <w:rPr>
          <w:b/>
          <w:color w:val="67287F"/>
          <w:sz w:val="28"/>
        </w:rPr>
        <w:t>result</w:t>
      </w:r>
      <w:r>
        <w:rPr>
          <w:b/>
          <w:color w:val="67287F"/>
          <w:spacing w:val="-7"/>
          <w:sz w:val="28"/>
        </w:rPr>
        <w:t> </w:t>
      </w:r>
      <w:r>
        <w:rPr>
          <w:b/>
          <w:color w:val="67287F"/>
          <w:sz w:val="28"/>
        </w:rPr>
        <w:t>of</w:t>
      </w:r>
      <w:r>
        <w:rPr>
          <w:b/>
          <w:color w:val="67287F"/>
          <w:spacing w:val="-7"/>
          <w:sz w:val="28"/>
        </w:rPr>
        <w:t> </w:t>
      </w:r>
      <w:r>
        <w:rPr>
          <w:b/>
          <w:color w:val="67287F"/>
          <w:spacing w:val="-2"/>
          <w:sz w:val="28"/>
        </w:rPr>
        <w:t>Brexit;</w:t>
      </w:r>
    </w:p>
    <w:p>
      <w:pPr>
        <w:pStyle w:val="ListParagraph"/>
        <w:numPr>
          <w:ilvl w:val="2"/>
          <w:numId w:val="13"/>
        </w:numPr>
        <w:tabs>
          <w:tab w:pos="2562" w:val="left" w:leader="none"/>
        </w:tabs>
        <w:spacing w:line="225" w:lineRule="auto" w:before="100" w:after="0"/>
        <w:ind w:left="2562" w:right="1131" w:hanging="360"/>
        <w:jc w:val="left"/>
        <w:rPr>
          <w:b/>
          <w:sz w:val="28"/>
        </w:rPr>
      </w:pPr>
      <w:r>
        <w:rPr>
          <w:b/>
          <w:color w:val="67287F"/>
          <w:sz w:val="28"/>
        </w:rPr>
        <w:t>assess</w:t>
      </w:r>
      <w:r>
        <w:rPr>
          <w:b/>
          <w:color w:val="67287F"/>
          <w:spacing w:val="-6"/>
          <w:sz w:val="28"/>
        </w:rPr>
        <w:t> </w:t>
      </w:r>
      <w:r>
        <w:rPr>
          <w:b/>
          <w:color w:val="67287F"/>
          <w:sz w:val="28"/>
        </w:rPr>
        <w:t>the</w:t>
      </w:r>
      <w:r>
        <w:rPr>
          <w:b/>
          <w:color w:val="67287F"/>
          <w:spacing w:val="-5"/>
          <w:sz w:val="28"/>
        </w:rPr>
        <w:t> </w:t>
      </w:r>
      <w:r>
        <w:rPr>
          <w:b/>
          <w:color w:val="67287F"/>
          <w:sz w:val="28"/>
        </w:rPr>
        <w:t>impact</w:t>
      </w:r>
      <w:r>
        <w:rPr>
          <w:b/>
          <w:color w:val="67287F"/>
          <w:spacing w:val="-6"/>
          <w:sz w:val="28"/>
        </w:rPr>
        <w:t> </w:t>
      </w:r>
      <w:r>
        <w:rPr>
          <w:b/>
          <w:color w:val="67287F"/>
          <w:sz w:val="28"/>
        </w:rPr>
        <w:t>of</w:t>
      </w:r>
      <w:r>
        <w:rPr>
          <w:b/>
          <w:color w:val="67287F"/>
          <w:spacing w:val="-6"/>
          <w:sz w:val="28"/>
        </w:rPr>
        <w:t> </w:t>
      </w:r>
      <w:r>
        <w:rPr>
          <w:b/>
          <w:color w:val="67287F"/>
          <w:sz w:val="28"/>
        </w:rPr>
        <w:t>Brexit</w:t>
      </w:r>
      <w:r>
        <w:rPr>
          <w:b/>
          <w:color w:val="67287F"/>
          <w:spacing w:val="-6"/>
          <w:sz w:val="28"/>
        </w:rPr>
        <w:t> </w:t>
      </w:r>
      <w:r>
        <w:rPr>
          <w:b/>
          <w:color w:val="67287F"/>
          <w:sz w:val="28"/>
        </w:rPr>
        <w:t>on</w:t>
      </w:r>
      <w:r>
        <w:rPr>
          <w:b/>
          <w:color w:val="67287F"/>
          <w:spacing w:val="-6"/>
          <w:sz w:val="28"/>
        </w:rPr>
        <w:t> </w:t>
      </w:r>
      <w:r>
        <w:rPr>
          <w:b/>
          <w:color w:val="67287F"/>
          <w:sz w:val="28"/>
        </w:rPr>
        <w:t>levels</w:t>
      </w:r>
      <w:r>
        <w:rPr>
          <w:b/>
          <w:color w:val="67287F"/>
          <w:spacing w:val="-6"/>
          <w:sz w:val="28"/>
        </w:rPr>
        <w:t> </w:t>
      </w:r>
      <w:r>
        <w:rPr>
          <w:b/>
          <w:color w:val="67287F"/>
          <w:sz w:val="28"/>
        </w:rPr>
        <w:t>and</w:t>
      </w:r>
      <w:r>
        <w:rPr>
          <w:b/>
          <w:color w:val="67287F"/>
          <w:spacing w:val="-6"/>
          <w:sz w:val="28"/>
        </w:rPr>
        <w:t> </w:t>
      </w:r>
      <w:r>
        <w:rPr>
          <w:b/>
          <w:color w:val="67287F"/>
          <w:sz w:val="28"/>
        </w:rPr>
        <w:t>forms</w:t>
      </w:r>
      <w:r>
        <w:rPr>
          <w:b/>
          <w:color w:val="67287F"/>
          <w:spacing w:val="-6"/>
          <w:sz w:val="28"/>
        </w:rPr>
        <w:t> </w:t>
      </w:r>
      <w:r>
        <w:rPr>
          <w:b/>
          <w:color w:val="67287F"/>
          <w:sz w:val="28"/>
        </w:rPr>
        <w:t>of</w:t>
      </w:r>
      <w:r>
        <w:rPr>
          <w:b/>
          <w:color w:val="67287F"/>
          <w:spacing w:val="-6"/>
          <w:sz w:val="28"/>
        </w:rPr>
        <w:t> </w:t>
      </w:r>
      <w:r>
        <w:rPr>
          <w:b/>
          <w:color w:val="67287F"/>
          <w:sz w:val="28"/>
        </w:rPr>
        <w:t>racism,</w:t>
      </w:r>
      <w:r>
        <w:rPr>
          <w:b/>
          <w:color w:val="67287F"/>
          <w:spacing w:val="-6"/>
          <w:sz w:val="28"/>
        </w:rPr>
        <w:t> </w:t>
      </w:r>
      <w:r>
        <w:rPr>
          <w:b/>
          <w:color w:val="67287F"/>
          <w:sz w:val="28"/>
        </w:rPr>
        <w:t>including</w:t>
      </w:r>
      <w:r>
        <w:rPr>
          <w:b/>
          <w:color w:val="67287F"/>
          <w:spacing w:val="-5"/>
          <w:sz w:val="28"/>
        </w:rPr>
        <w:t> </w:t>
      </w:r>
      <w:r>
        <w:rPr>
          <w:b/>
          <w:color w:val="67287F"/>
          <w:sz w:val="28"/>
        </w:rPr>
        <w:t>any specific</w:t>
      </w:r>
      <w:r>
        <w:rPr>
          <w:b/>
          <w:color w:val="67287F"/>
          <w:spacing w:val="-3"/>
          <w:sz w:val="28"/>
        </w:rPr>
        <w:t> </w:t>
      </w:r>
      <w:r>
        <w:rPr>
          <w:b/>
          <w:color w:val="67287F"/>
          <w:sz w:val="28"/>
        </w:rPr>
        <w:t>impact</w:t>
      </w:r>
      <w:r>
        <w:rPr>
          <w:b/>
          <w:color w:val="67287F"/>
          <w:spacing w:val="-2"/>
          <w:sz w:val="28"/>
        </w:rPr>
        <w:t> </w:t>
      </w:r>
      <w:r>
        <w:rPr>
          <w:b/>
          <w:color w:val="67287F"/>
          <w:sz w:val="28"/>
        </w:rPr>
        <w:t>on</w:t>
      </w:r>
      <w:r>
        <w:rPr>
          <w:b/>
          <w:color w:val="67287F"/>
          <w:spacing w:val="-2"/>
          <w:sz w:val="28"/>
        </w:rPr>
        <w:t> </w:t>
      </w:r>
      <w:r>
        <w:rPr>
          <w:b/>
          <w:color w:val="67287F"/>
          <w:sz w:val="28"/>
        </w:rPr>
        <w:t>minority</w:t>
      </w:r>
      <w:r>
        <w:rPr>
          <w:b/>
          <w:color w:val="67287F"/>
          <w:spacing w:val="-2"/>
          <w:sz w:val="28"/>
        </w:rPr>
        <w:t> </w:t>
      </w:r>
      <w:r>
        <w:rPr>
          <w:b/>
          <w:color w:val="67287F"/>
          <w:sz w:val="28"/>
        </w:rPr>
        <w:t>ethnic</w:t>
      </w:r>
      <w:r>
        <w:rPr>
          <w:b/>
          <w:color w:val="67287F"/>
          <w:spacing w:val="-3"/>
          <w:sz w:val="28"/>
        </w:rPr>
        <w:t> </w:t>
      </w:r>
      <w:r>
        <w:rPr>
          <w:b/>
          <w:color w:val="67287F"/>
          <w:sz w:val="28"/>
        </w:rPr>
        <w:t>women,</w:t>
      </w:r>
      <w:r>
        <w:rPr>
          <w:b/>
          <w:color w:val="67287F"/>
          <w:spacing w:val="-2"/>
          <w:sz w:val="28"/>
        </w:rPr>
        <w:t> </w:t>
      </w:r>
      <w:r>
        <w:rPr>
          <w:b/>
          <w:color w:val="67287F"/>
          <w:sz w:val="28"/>
        </w:rPr>
        <w:t>on</w:t>
      </w:r>
      <w:r>
        <w:rPr>
          <w:b/>
          <w:color w:val="67287F"/>
          <w:spacing w:val="-2"/>
          <w:sz w:val="28"/>
        </w:rPr>
        <w:t> </w:t>
      </w:r>
      <w:r>
        <w:rPr>
          <w:b/>
          <w:color w:val="67287F"/>
          <w:sz w:val="28"/>
        </w:rPr>
        <w:t>institutional</w:t>
      </w:r>
      <w:r>
        <w:rPr>
          <w:b/>
          <w:color w:val="67287F"/>
          <w:spacing w:val="-2"/>
          <w:sz w:val="28"/>
        </w:rPr>
        <w:t> </w:t>
      </w:r>
      <w:r>
        <w:rPr>
          <w:b/>
          <w:color w:val="67287F"/>
          <w:sz w:val="28"/>
        </w:rPr>
        <w:t>racism,</w:t>
      </w:r>
      <w:r>
        <w:rPr>
          <w:b/>
          <w:color w:val="67287F"/>
          <w:spacing w:val="-2"/>
          <w:sz w:val="28"/>
        </w:rPr>
        <w:t> </w:t>
      </w:r>
      <w:r>
        <w:rPr>
          <w:b/>
          <w:color w:val="67287F"/>
          <w:sz w:val="28"/>
        </w:rPr>
        <w:t>and on racist bullying in schools, and to take effective action to address</w:t>
      </w:r>
      <w:r>
        <w:rPr>
          <w:b/>
          <w:color w:val="67287F"/>
          <w:sz w:val="28"/>
        </w:rPr>
        <w:t> any impact identified.</w:t>
      </w:r>
    </w:p>
    <w:p>
      <w:pPr>
        <w:pStyle w:val="Heading3"/>
        <w:spacing w:before="302"/>
      </w:pPr>
      <w:bookmarkStart w:name="Engagement with Equality/Human Rights Gr" w:id="140"/>
      <w:bookmarkEnd w:id="140"/>
      <w:r>
        <w:rPr>
          <w:b w:val="0"/>
        </w:rPr>
      </w:r>
      <w:r>
        <w:rPr>
          <w:color w:val="67287F"/>
        </w:rPr>
        <w:t>Engagement</w:t>
      </w:r>
      <w:r>
        <w:rPr>
          <w:color w:val="67287F"/>
          <w:spacing w:val="-9"/>
        </w:rPr>
        <w:t> </w:t>
      </w:r>
      <w:r>
        <w:rPr>
          <w:color w:val="67287F"/>
        </w:rPr>
        <w:t>with</w:t>
      </w:r>
      <w:r>
        <w:rPr>
          <w:color w:val="67287F"/>
          <w:spacing w:val="-7"/>
        </w:rPr>
        <w:t> </w:t>
      </w:r>
      <w:r>
        <w:rPr>
          <w:color w:val="67287F"/>
        </w:rPr>
        <w:t>Equality/Human</w:t>
      </w:r>
      <w:r>
        <w:rPr>
          <w:color w:val="67287F"/>
          <w:spacing w:val="-7"/>
        </w:rPr>
        <w:t> </w:t>
      </w:r>
      <w:r>
        <w:rPr>
          <w:color w:val="67287F"/>
        </w:rPr>
        <w:t>Rights</w:t>
      </w:r>
      <w:r>
        <w:rPr>
          <w:color w:val="67287F"/>
          <w:spacing w:val="-7"/>
        </w:rPr>
        <w:t> </w:t>
      </w:r>
      <w:r>
        <w:rPr>
          <w:color w:val="67287F"/>
          <w:spacing w:val="-2"/>
        </w:rPr>
        <w:t>Groups</w:t>
      </w:r>
    </w:p>
    <w:p>
      <w:pPr>
        <w:pStyle w:val="BodyText"/>
        <w:spacing w:before="4"/>
        <w:rPr>
          <w:b/>
          <w:sz w:val="5"/>
        </w:rPr>
      </w:pPr>
      <w:r>
        <w:rPr/>
        <mc:AlternateContent>
          <mc:Choice Requires="wps">
            <w:drawing>
              <wp:anchor distT="0" distB="0" distL="0" distR="0" allowOverlap="1" layoutInCell="1" locked="0" behindDoc="1" simplePos="0" relativeHeight="487734272">
                <wp:simplePos x="0" y="0"/>
                <wp:positionH relativeFrom="page">
                  <wp:posOffset>719997</wp:posOffset>
                </wp:positionH>
                <wp:positionV relativeFrom="paragraph">
                  <wp:posOffset>57161</wp:posOffset>
                </wp:positionV>
                <wp:extent cx="6120130" cy="1270"/>
                <wp:effectExtent l="0" t="0" r="0" b="0"/>
                <wp:wrapTopAndBottom/>
                <wp:docPr id="662" name="Graphic 662"/>
                <wp:cNvGraphicFramePr>
                  <a:graphicFrameLocks/>
                </wp:cNvGraphicFramePr>
                <a:graphic>
                  <a:graphicData uri="http://schemas.microsoft.com/office/word/2010/wordprocessingShape">
                    <wps:wsp>
                      <wps:cNvPr id="662" name="Graphic 662"/>
                      <wps:cNvSpPr/>
                      <wps:spPr>
                        <a:xfrm>
                          <a:off x="0" y="0"/>
                          <a:ext cx="6120130" cy="1270"/>
                        </a:xfrm>
                        <a:custGeom>
                          <a:avLst/>
                          <a:gdLst/>
                          <a:ahLst/>
                          <a:cxnLst/>
                          <a:rect l="l" t="t" r="r" b="b"/>
                          <a:pathLst>
                            <a:path w="6120130" h="0">
                              <a:moveTo>
                                <a:pt x="6120003" y="0"/>
                              </a:moveTo>
                              <a:lnTo>
                                <a:pt x="0" y="0"/>
                              </a:lnTo>
                            </a:path>
                          </a:pathLst>
                        </a:custGeom>
                        <a:ln w="12700">
                          <a:solidFill>
                            <a:srgbClr val="67287F"/>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4.500866pt;width:481.9pt;height:.1pt;mso-position-horizontal-relative:page;mso-position-vertical-relative:paragraph;z-index:-15582208;mso-wrap-distance-left:0;mso-wrap-distance-right:0" id="docshape606" coordorigin="1134,90" coordsize="9638,0" path="m10772,90l1134,90e" filled="false" stroked="true" strokeweight="1pt" strokecolor="#67287f">
                <v:path arrowok="t"/>
                <v:stroke dashstyle="solid"/>
                <w10:wrap type="topAndBottom"/>
              </v:shape>
            </w:pict>
          </mc:Fallback>
        </mc:AlternateContent>
      </w:r>
    </w:p>
    <w:p>
      <w:pPr>
        <w:pStyle w:val="ListParagraph"/>
        <w:numPr>
          <w:ilvl w:val="1"/>
          <w:numId w:val="13"/>
        </w:numPr>
        <w:tabs>
          <w:tab w:pos="1853" w:val="left" w:leader="none"/>
        </w:tabs>
        <w:spacing w:line="218" w:lineRule="auto" w:before="330" w:after="0"/>
        <w:ind w:left="1853" w:right="1179" w:hanging="720"/>
        <w:jc w:val="left"/>
        <w:rPr>
          <w:sz w:val="28"/>
        </w:rPr>
      </w:pPr>
      <w:r>
        <w:rPr>
          <w:sz w:val="28"/>
        </w:rPr>
        <w:t>In 2024, the ECNI’s independent research on the Impact of Brexit on Women in</w:t>
      </w:r>
      <w:r>
        <w:rPr>
          <w:spacing w:val="-7"/>
          <w:sz w:val="28"/>
        </w:rPr>
        <w:t> </w:t>
      </w:r>
      <w:r>
        <w:rPr>
          <w:sz w:val="28"/>
        </w:rPr>
        <w:t>NI</w:t>
      </w:r>
      <w:r>
        <w:rPr>
          <w:spacing w:val="-6"/>
          <w:sz w:val="28"/>
        </w:rPr>
        <w:t> </w:t>
      </w:r>
      <w:r>
        <w:rPr>
          <w:sz w:val="28"/>
        </w:rPr>
        <w:t>identified</w:t>
      </w:r>
      <w:r>
        <w:rPr>
          <w:spacing w:val="-7"/>
          <w:sz w:val="28"/>
        </w:rPr>
        <w:t> </w:t>
      </w:r>
      <w:r>
        <w:rPr>
          <w:sz w:val="28"/>
        </w:rPr>
        <w:t>that</w:t>
      </w:r>
      <w:r>
        <w:rPr>
          <w:spacing w:val="-6"/>
          <w:sz w:val="28"/>
        </w:rPr>
        <w:t> </w:t>
      </w:r>
      <w:r>
        <w:rPr>
          <w:sz w:val="28"/>
        </w:rPr>
        <w:t>there</w:t>
      </w:r>
      <w:r>
        <w:rPr>
          <w:spacing w:val="-6"/>
          <w:sz w:val="28"/>
        </w:rPr>
        <w:t> </w:t>
      </w:r>
      <w:r>
        <w:rPr>
          <w:sz w:val="28"/>
        </w:rPr>
        <w:t>was</w:t>
      </w:r>
      <w:r>
        <w:rPr>
          <w:spacing w:val="-7"/>
          <w:sz w:val="28"/>
        </w:rPr>
        <w:t> </w:t>
      </w:r>
      <w:r>
        <w:rPr>
          <w:sz w:val="28"/>
        </w:rPr>
        <w:t>a</w:t>
      </w:r>
      <w:r>
        <w:rPr>
          <w:spacing w:val="-7"/>
          <w:sz w:val="28"/>
        </w:rPr>
        <w:t> </w:t>
      </w:r>
      <w:r>
        <w:rPr>
          <w:sz w:val="28"/>
        </w:rPr>
        <w:t>perception</w:t>
      </w:r>
      <w:r>
        <w:rPr>
          <w:spacing w:val="-7"/>
          <w:sz w:val="28"/>
        </w:rPr>
        <w:t> </w:t>
      </w:r>
      <w:r>
        <w:rPr>
          <w:sz w:val="28"/>
        </w:rPr>
        <w:t>by</w:t>
      </w:r>
      <w:r>
        <w:rPr>
          <w:spacing w:val="-6"/>
          <w:sz w:val="28"/>
        </w:rPr>
        <w:t> </w:t>
      </w:r>
      <w:r>
        <w:rPr>
          <w:sz w:val="28"/>
        </w:rPr>
        <w:t>research</w:t>
      </w:r>
      <w:r>
        <w:rPr>
          <w:spacing w:val="-7"/>
          <w:sz w:val="28"/>
        </w:rPr>
        <w:t> </w:t>
      </w:r>
      <w:r>
        <w:rPr>
          <w:sz w:val="28"/>
        </w:rPr>
        <w:t>participants</w:t>
      </w:r>
      <w:r>
        <w:rPr>
          <w:spacing w:val="-7"/>
          <w:sz w:val="28"/>
        </w:rPr>
        <w:t> </w:t>
      </w:r>
      <w:r>
        <w:rPr>
          <w:sz w:val="28"/>
        </w:rPr>
        <w:t>that</w:t>
      </w:r>
      <w:r>
        <w:rPr>
          <w:spacing w:val="-6"/>
          <w:sz w:val="28"/>
        </w:rPr>
        <w:t> </w:t>
      </w:r>
      <w:r>
        <w:rPr>
          <w:sz w:val="28"/>
        </w:rPr>
        <w:t>there has been a marginalisation of women from discussions on Brexit and in the Brexit negotiations.</w:t>
      </w:r>
      <w:r>
        <w:rPr>
          <w:sz w:val="28"/>
          <w:vertAlign w:val="superscript"/>
        </w:rPr>
        <w:t>897</w:t>
      </w:r>
    </w:p>
    <w:p>
      <w:pPr>
        <w:pStyle w:val="ListParagraph"/>
        <w:numPr>
          <w:ilvl w:val="1"/>
          <w:numId w:val="13"/>
        </w:numPr>
        <w:tabs>
          <w:tab w:pos="1853" w:val="left" w:leader="none"/>
        </w:tabs>
        <w:spacing w:line="218" w:lineRule="auto" w:before="305" w:after="0"/>
        <w:ind w:left="1853" w:right="1441" w:hanging="720"/>
        <w:jc w:val="left"/>
        <w:rPr>
          <w:sz w:val="28"/>
        </w:rPr>
      </w:pPr>
      <w:r>
        <w:rPr/>
        <mc:AlternateContent>
          <mc:Choice Requires="wps">
            <w:drawing>
              <wp:anchor distT="0" distB="0" distL="0" distR="0" allowOverlap="1" layoutInCell="1" locked="0" behindDoc="1" simplePos="0" relativeHeight="487734784">
                <wp:simplePos x="0" y="0"/>
                <wp:positionH relativeFrom="page">
                  <wp:posOffset>719996</wp:posOffset>
                </wp:positionH>
                <wp:positionV relativeFrom="paragraph">
                  <wp:posOffset>1993301</wp:posOffset>
                </wp:positionV>
                <wp:extent cx="6120130" cy="1270"/>
                <wp:effectExtent l="0" t="0" r="0" b="0"/>
                <wp:wrapTopAndBottom/>
                <wp:docPr id="663" name="Graphic 663"/>
                <wp:cNvGraphicFramePr>
                  <a:graphicFrameLocks/>
                </wp:cNvGraphicFramePr>
                <a:graphic>
                  <a:graphicData uri="http://schemas.microsoft.com/office/word/2010/wordprocessingShape">
                    <wps:wsp>
                      <wps:cNvPr id="663" name="Graphic 663"/>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56.952866pt;width:481.9pt;height:.1pt;mso-position-horizontal-relative:page;mso-position-vertical-relative:paragraph;z-index:-15581696;mso-wrap-distance-left:0;mso-wrap-distance-right:0" id="docshape607" coordorigin="1134,3139" coordsize="9638,0" path="m10772,3139l1134,3139e" filled="false" stroked="true" strokeweight="1pt" strokecolor="#393b80">
                <v:path arrowok="t"/>
                <v:stroke dashstyle="solid"/>
                <w10:wrap type="topAndBottom"/>
              </v:shape>
            </w:pict>
          </mc:Fallback>
        </mc:AlternateContent>
      </w:r>
      <w:r>
        <w:rPr>
          <w:sz w:val="28"/>
        </w:rPr>
        <w:t>In addition, it noted that there was a perception amongst some women</w:t>
      </w:r>
      <w:r>
        <w:rPr>
          <w:sz w:val="28"/>
        </w:rPr>
        <w:t> that they are not able to speak about Brexit publicly. It highlighted that a key obstacle to women speaking on Brexit had been the level of abuse and intimidation,</w:t>
      </w:r>
      <w:r>
        <w:rPr>
          <w:spacing w:val="-6"/>
          <w:sz w:val="28"/>
        </w:rPr>
        <w:t> </w:t>
      </w:r>
      <w:r>
        <w:rPr>
          <w:sz w:val="28"/>
        </w:rPr>
        <w:t>including</w:t>
      </w:r>
      <w:r>
        <w:rPr>
          <w:spacing w:val="-6"/>
          <w:sz w:val="28"/>
        </w:rPr>
        <w:t> </w:t>
      </w:r>
      <w:r>
        <w:rPr>
          <w:sz w:val="28"/>
        </w:rPr>
        <w:t>on</w:t>
      </w:r>
      <w:r>
        <w:rPr>
          <w:spacing w:val="-6"/>
          <w:sz w:val="28"/>
        </w:rPr>
        <w:t> </w:t>
      </w:r>
      <w:r>
        <w:rPr>
          <w:sz w:val="28"/>
        </w:rPr>
        <w:t>social</w:t>
      </w:r>
      <w:r>
        <w:rPr>
          <w:spacing w:val="-6"/>
          <w:sz w:val="28"/>
        </w:rPr>
        <w:t> </w:t>
      </w:r>
      <w:r>
        <w:rPr>
          <w:sz w:val="28"/>
        </w:rPr>
        <w:t>media,</w:t>
      </w:r>
      <w:r>
        <w:rPr>
          <w:spacing w:val="-6"/>
          <w:sz w:val="28"/>
        </w:rPr>
        <w:t> </w:t>
      </w:r>
      <w:r>
        <w:rPr>
          <w:sz w:val="28"/>
        </w:rPr>
        <w:t>directed</w:t>
      </w:r>
      <w:r>
        <w:rPr>
          <w:spacing w:val="-6"/>
          <w:sz w:val="28"/>
        </w:rPr>
        <w:t> </w:t>
      </w:r>
      <w:r>
        <w:rPr>
          <w:sz w:val="28"/>
        </w:rPr>
        <w:t>towards</w:t>
      </w:r>
      <w:r>
        <w:rPr>
          <w:spacing w:val="-6"/>
          <w:sz w:val="28"/>
        </w:rPr>
        <w:t> </w:t>
      </w:r>
      <w:r>
        <w:rPr>
          <w:sz w:val="28"/>
        </w:rPr>
        <w:t>those</w:t>
      </w:r>
      <w:r>
        <w:rPr>
          <w:spacing w:val="-6"/>
          <w:sz w:val="28"/>
        </w:rPr>
        <w:t> </w:t>
      </w:r>
      <w:r>
        <w:rPr>
          <w:sz w:val="28"/>
        </w:rPr>
        <w:t>in</w:t>
      </w:r>
      <w:r>
        <w:rPr>
          <w:spacing w:val="-6"/>
          <w:sz w:val="28"/>
        </w:rPr>
        <w:t> </w:t>
      </w:r>
      <w:r>
        <w:rPr>
          <w:sz w:val="28"/>
        </w:rPr>
        <w:t>the</w:t>
      </w:r>
      <w:r>
        <w:rPr>
          <w:spacing w:val="-6"/>
          <w:sz w:val="28"/>
        </w:rPr>
        <w:t> </w:t>
      </w:r>
      <w:r>
        <w:rPr>
          <w:sz w:val="28"/>
        </w:rPr>
        <w:t>public sphere.</w:t>
      </w:r>
      <w:r>
        <w:rPr>
          <w:spacing w:val="40"/>
          <w:sz w:val="28"/>
        </w:rPr>
        <w:t> </w:t>
      </w:r>
      <w:r>
        <w:rPr>
          <w:sz w:val="28"/>
        </w:rPr>
        <w:t>The</w:t>
      </w:r>
      <w:r>
        <w:rPr>
          <w:spacing w:val="-1"/>
          <w:sz w:val="28"/>
        </w:rPr>
        <w:t> </w:t>
      </w:r>
      <w:r>
        <w:rPr>
          <w:sz w:val="28"/>
        </w:rPr>
        <w:t>report</w:t>
      </w:r>
      <w:r>
        <w:rPr>
          <w:spacing w:val="-1"/>
          <w:sz w:val="28"/>
        </w:rPr>
        <w:t> </w:t>
      </w:r>
      <w:r>
        <w:rPr>
          <w:sz w:val="28"/>
        </w:rPr>
        <w:t>noted</w:t>
      </w:r>
      <w:r>
        <w:rPr>
          <w:spacing w:val="-2"/>
          <w:sz w:val="28"/>
        </w:rPr>
        <w:t> </w:t>
      </w:r>
      <w:r>
        <w:rPr>
          <w:sz w:val="28"/>
        </w:rPr>
        <w:t>that</w:t>
      </w:r>
      <w:r>
        <w:rPr>
          <w:spacing w:val="-1"/>
          <w:sz w:val="28"/>
        </w:rPr>
        <w:t> </w:t>
      </w:r>
      <w:r>
        <w:rPr>
          <w:sz w:val="28"/>
        </w:rPr>
        <w:t>such</w:t>
      </w:r>
      <w:r>
        <w:rPr>
          <w:spacing w:val="-2"/>
          <w:sz w:val="28"/>
        </w:rPr>
        <w:t> </w:t>
      </w:r>
      <w:r>
        <w:rPr>
          <w:sz w:val="28"/>
        </w:rPr>
        <w:t>abuse</w:t>
      </w:r>
      <w:r>
        <w:rPr>
          <w:spacing w:val="-1"/>
          <w:sz w:val="28"/>
        </w:rPr>
        <w:t> </w:t>
      </w:r>
      <w:r>
        <w:rPr>
          <w:sz w:val="28"/>
        </w:rPr>
        <w:t>can</w:t>
      </w:r>
      <w:r>
        <w:rPr>
          <w:spacing w:val="-2"/>
          <w:sz w:val="28"/>
        </w:rPr>
        <w:t> </w:t>
      </w:r>
      <w:r>
        <w:rPr>
          <w:sz w:val="28"/>
        </w:rPr>
        <w:t>be</w:t>
      </w:r>
      <w:r>
        <w:rPr>
          <w:spacing w:val="-1"/>
          <w:sz w:val="28"/>
        </w:rPr>
        <w:t> </w:t>
      </w:r>
      <w:r>
        <w:rPr>
          <w:sz w:val="28"/>
        </w:rPr>
        <w:t>invisible,</w:t>
      </w:r>
      <w:r>
        <w:rPr>
          <w:spacing w:val="-1"/>
          <w:sz w:val="28"/>
        </w:rPr>
        <w:t> </w:t>
      </w:r>
      <w:r>
        <w:rPr>
          <w:sz w:val="28"/>
        </w:rPr>
        <w:t>operating</w:t>
      </w:r>
      <w:r>
        <w:rPr>
          <w:spacing w:val="-1"/>
          <w:sz w:val="28"/>
        </w:rPr>
        <w:t> </w:t>
      </w:r>
      <w:r>
        <w:rPr>
          <w:sz w:val="28"/>
        </w:rPr>
        <w:t>below the</w:t>
      </w:r>
      <w:r>
        <w:rPr>
          <w:spacing w:val="-5"/>
          <w:sz w:val="28"/>
        </w:rPr>
        <w:t> </w:t>
      </w:r>
      <w:r>
        <w:rPr>
          <w:sz w:val="28"/>
        </w:rPr>
        <w:t>law,</w:t>
      </w:r>
      <w:r>
        <w:rPr>
          <w:spacing w:val="-5"/>
          <w:sz w:val="28"/>
        </w:rPr>
        <w:t> </w:t>
      </w:r>
      <w:r>
        <w:rPr>
          <w:sz w:val="28"/>
        </w:rPr>
        <w:t>but</w:t>
      </w:r>
      <w:r>
        <w:rPr>
          <w:spacing w:val="-5"/>
          <w:sz w:val="28"/>
        </w:rPr>
        <w:t> </w:t>
      </w:r>
      <w:r>
        <w:rPr>
          <w:sz w:val="28"/>
        </w:rPr>
        <w:t>yet</w:t>
      </w:r>
      <w:r>
        <w:rPr>
          <w:spacing w:val="-5"/>
          <w:sz w:val="28"/>
        </w:rPr>
        <w:t> </w:t>
      </w:r>
      <w:r>
        <w:rPr>
          <w:sz w:val="28"/>
        </w:rPr>
        <w:t>is</w:t>
      </w:r>
      <w:r>
        <w:rPr>
          <w:spacing w:val="-6"/>
          <w:sz w:val="28"/>
        </w:rPr>
        <w:t> </w:t>
      </w:r>
      <w:r>
        <w:rPr>
          <w:sz w:val="28"/>
        </w:rPr>
        <w:t>strongly</w:t>
      </w:r>
      <w:r>
        <w:rPr>
          <w:spacing w:val="-5"/>
          <w:sz w:val="28"/>
        </w:rPr>
        <w:t> </w:t>
      </w:r>
      <w:r>
        <w:rPr>
          <w:sz w:val="28"/>
        </w:rPr>
        <w:t>felt</w:t>
      </w:r>
      <w:r>
        <w:rPr>
          <w:spacing w:val="-5"/>
          <w:sz w:val="28"/>
        </w:rPr>
        <w:t> </w:t>
      </w:r>
      <w:r>
        <w:rPr>
          <w:sz w:val="28"/>
        </w:rPr>
        <w:t>by</w:t>
      </w:r>
      <w:r>
        <w:rPr>
          <w:spacing w:val="-5"/>
          <w:sz w:val="28"/>
        </w:rPr>
        <w:t> </w:t>
      </w:r>
      <w:r>
        <w:rPr>
          <w:sz w:val="28"/>
        </w:rPr>
        <w:t>women</w:t>
      </w:r>
      <w:r>
        <w:rPr>
          <w:spacing w:val="-6"/>
          <w:sz w:val="28"/>
        </w:rPr>
        <w:t> </w:t>
      </w:r>
      <w:r>
        <w:rPr>
          <w:sz w:val="28"/>
        </w:rPr>
        <w:t>in</w:t>
      </w:r>
      <w:r>
        <w:rPr>
          <w:spacing w:val="-6"/>
          <w:sz w:val="28"/>
        </w:rPr>
        <w:t> </w:t>
      </w:r>
      <w:r>
        <w:rPr>
          <w:sz w:val="28"/>
        </w:rPr>
        <w:t>their</w:t>
      </w:r>
      <w:r>
        <w:rPr>
          <w:spacing w:val="-5"/>
          <w:sz w:val="28"/>
        </w:rPr>
        <w:t> </w:t>
      </w:r>
      <w:r>
        <w:rPr>
          <w:sz w:val="28"/>
        </w:rPr>
        <w:t>day-to-day</w:t>
      </w:r>
      <w:r>
        <w:rPr>
          <w:spacing w:val="-5"/>
          <w:sz w:val="28"/>
        </w:rPr>
        <w:t> </w:t>
      </w:r>
      <w:r>
        <w:rPr>
          <w:sz w:val="28"/>
        </w:rPr>
        <w:t>lives</w:t>
      </w:r>
      <w:r>
        <w:rPr>
          <w:spacing w:val="-6"/>
          <w:sz w:val="28"/>
        </w:rPr>
        <w:t> </w:t>
      </w:r>
      <w:r>
        <w:rPr>
          <w:sz w:val="28"/>
        </w:rPr>
        <w:t>in</w:t>
      </w:r>
      <w:r>
        <w:rPr>
          <w:spacing w:val="-6"/>
          <w:sz w:val="28"/>
        </w:rPr>
        <w:t> </w:t>
      </w:r>
      <w:r>
        <w:rPr>
          <w:sz w:val="28"/>
        </w:rPr>
        <w:t>NI.</w:t>
      </w:r>
      <w:r>
        <w:rPr>
          <w:spacing w:val="40"/>
          <w:sz w:val="28"/>
        </w:rPr>
        <w:t> </w:t>
      </w:r>
      <w:r>
        <w:rPr>
          <w:sz w:val="28"/>
        </w:rPr>
        <w:t>The absence of women’s voices was noted to be a key concern and contributed to</w:t>
      </w:r>
      <w:r>
        <w:rPr>
          <w:spacing w:val="-1"/>
          <w:sz w:val="28"/>
        </w:rPr>
        <w:t> </w:t>
      </w:r>
      <w:r>
        <w:rPr>
          <w:sz w:val="28"/>
        </w:rPr>
        <w:t>the side-lining of</w:t>
      </w:r>
      <w:r>
        <w:rPr>
          <w:spacing w:val="-1"/>
          <w:sz w:val="28"/>
        </w:rPr>
        <w:t> </w:t>
      </w:r>
      <w:r>
        <w:rPr>
          <w:sz w:val="28"/>
        </w:rPr>
        <w:t>both</w:t>
      </w:r>
      <w:r>
        <w:rPr>
          <w:spacing w:val="-1"/>
          <w:sz w:val="28"/>
        </w:rPr>
        <w:t> </w:t>
      </w:r>
      <w:r>
        <w:rPr>
          <w:sz w:val="28"/>
        </w:rPr>
        <w:t>women’s</w:t>
      </w:r>
      <w:r>
        <w:rPr>
          <w:spacing w:val="-1"/>
          <w:sz w:val="28"/>
        </w:rPr>
        <w:t> </w:t>
      </w:r>
      <w:r>
        <w:rPr>
          <w:sz w:val="28"/>
        </w:rPr>
        <w:t>expertise and</w:t>
      </w:r>
      <w:r>
        <w:rPr>
          <w:spacing w:val="-1"/>
          <w:sz w:val="28"/>
        </w:rPr>
        <w:t> </w:t>
      </w:r>
      <w:r>
        <w:rPr>
          <w:sz w:val="28"/>
        </w:rPr>
        <w:t>expertise on</w:t>
      </w:r>
      <w:r>
        <w:rPr>
          <w:spacing w:val="-1"/>
          <w:sz w:val="28"/>
        </w:rPr>
        <w:t> </w:t>
      </w:r>
      <w:r>
        <w:rPr>
          <w:sz w:val="28"/>
        </w:rPr>
        <w:t>the impact of Brexit on women.</w:t>
      </w:r>
      <w:r>
        <w:rPr>
          <w:sz w:val="28"/>
          <w:vertAlign w:val="superscript"/>
        </w:rPr>
        <w:t>898</w:t>
      </w:r>
    </w:p>
    <w:p>
      <w:pPr>
        <w:pStyle w:val="ListParagraph"/>
        <w:numPr>
          <w:ilvl w:val="0"/>
          <w:numId w:val="16"/>
        </w:numPr>
        <w:tabs>
          <w:tab w:pos="1853" w:val="left" w:leader="none"/>
        </w:tabs>
        <w:spacing w:line="218" w:lineRule="exact" w:before="45" w:after="0"/>
        <w:ind w:left="1853" w:right="0" w:hanging="720"/>
        <w:jc w:val="left"/>
        <w:rPr>
          <w:sz w:val="18"/>
        </w:rPr>
      </w:pPr>
      <w:r>
        <w:rPr>
          <w:sz w:val="18"/>
        </w:rPr>
        <w:t>Pivotal,</w:t>
      </w:r>
      <w:r>
        <w:rPr>
          <w:spacing w:val="-3"/>
          <w:sz w:val="18"/>
        </w:rPr>
        <w:t> </w:t>
      </w:r>
      <w:r>
        <w:rPr>
          <w:sz w:val="18"/>
        </w:rPr>
        <w:t>‘The</w:t>
      </w:r>
      <w:r>
        <w:rPr>
          <w:spacing w:val="-2"/>
          <w:sz w:val="18"/>
        </w:rPr>
        <w:t> </w:t>
      </w:r>
      <w:r>
        <w:rPr>
          <w:sz w:val="18"/>
        </w:rPr>
        <w:t>Impact</w:t>
      </w:r>
      <w:r>
        <w:rPr>
          <w:spacing w:val="-2"/>
          <w:sz w:val="18"/>
        </w:rPr>
        <w:t> </w:t>
      </w:r>
      <w:r>
        <w:rPr>
          <w:sz w:val="18"/>
        </w:rPr>
        <w:t>of</w:t>
      </w:r>
      <w:r>
        <w:rPr>
          <w:spacing w:val="-3"/>
          <w:sz w:val="18"/>
        </w:rPr>
        <w:t> </w:t>
      </w:r>
      <w:r>
        <w:rPr>
          <w:sz w:val="18"/>
        </w:rPr>
        <w:t>Brexit</w:t>
      </w:r>
      <w:r>
        <w:rPr>
          <w:spacing w:val="-2"/>
          <w:sz w:val="18"/>
        </w:rPr>
        <w:t> </w:t>
      </w:r>
      <w:r>
        <w:rPr>
          <w:sz w:val="18"/>
        </w:rPr>
        <w:t>on</w:t>
      </w:r>
      <w:r>
        <w:rPr>
          <w:spacing w:val="-3"/>
          <w:sz w:val="18"/>
        </w:rPr>
        <w:t> </w:t>
      </w:r>
      <w:r>
        <w:rPr>
          <w:sz w:val="18"/>
        </w:rPr>
        <w:t>Minority</w:t>
      </w:r>
      <w:r>
        <w:rPr>
          <w:spacing w:val="-2"/>
          <w:sz w:val="18"/>
        </w:rPr>
        <w:t> </w:t>
      </w:r>
      <w:r>
        <w:rPr>
          <w:sz w:val="18"/>
        </w:rPr>
        <w:t>Ethnic</w:t>
      </w:r>
      <w:r>
        <w:rPr>
          <w:spacing w:val="-2"/>
          <w:sz w:val="18"/>
        </w:rPr>
        <w:t> </w:t>
      </w:r>
      <w:r>
        <w:rPr>
          <w:sz w:val="18"/>
        </w:rPr>
        <w:t>and</w:t>
      </w:r>
      <w:r>
        <w:rPr>
          <w:spacing w:val="-4"/>
          <w:sz w:val="18"/>
        </w:rPr>
        <w:t> </w:t>
      </w:r>
      <w:r>
        <w:rPr>
          <w:sz w:val="18"/>
        </w:rPr>
        <w:t>Migrant</w:t>
      </w:r>
      <w:r>
        <w:rPr>
          <w:spacing w:val="-2"/>
          <w:sz w:val="18"/>
        </w:rPr>
        <w:t> </w:t>
      </w:r>
      <w:r>
        <w:rPr>
          <w:sz w:val="18"/>
        </w:rPr>
        <w:t>People</w:t>
      </w:r>
      <w:r>
        <w:rPr>
          <w:spacing w:val="-2"/>
          <w:sz w:val="18"/>
        </w:rPr>
        <w:t> </w:t>
      </w:r>
      <w:r>
        <w:rPr>
          <w:sz w:val="18"/>
        </w:rPr>
        <w:t>in</w:t>
      </w:r>
      <w:r>
        <w:rPr>
          <w:spacing w:val="-3"/>
          <w:sz w:val="18"/>
        </w:rPr>
        <w:t> </w:t>
      </w:r>
      <w:r>
        <w:rPr>
          <w:sz w:val="18"/>
        </w:rPr>
        <w:t>Northern</w:t>
      </w:r>
      <w:r>
        <w:rPr>
          <w:spacing w:val="-3"/>
          <w:sz w:val="18"/>
        </w:rPr>
        <w:t> </w:t>
      </w:r>
      <w:r>
        <w:rPr>
          <w:sz w:val="18"/>
        </w:rPr>
        <w:t>Ireland’</w:t>
      </w:r>
      <w:r>
        <w:rPr>
          <w:spacing w:val="-2"/>
          <w:sz w:val="18"/>
        </w:rPr>
        <w:t> </w:t>
      </w:r>
      <w:r>
        <w:rPr>
          <w:sz w:val="18"/>
        </w:rPr>
        <w:t>(ECNI,</w:t>
      </w:r>
      <w:r>
        <w:rPr>
          <w:spacing w:val="-2"/>
          <w:sz w:val="18"/>
        </w:rPr>
        <w:t> </w:t>
      </w:r>
      <w:r>
        <w:rPr>
          <w:sz w:val="18"/>
        </w:rPr>
        <w:t>2023),</w:t>
      </w:r>
      <w:r>
        <w:rPr>
          <w:spacing w:val="-2"/>
          <w:sz w:val="18"/>
        </w:rPr>
        <w:t> </w:t>
      </w:r>
      <w:r>
        <w:rPr>
          <w:sz w:val="18"/>
        </w:rPr>
        <w:t>at</w:t>
      </w:r>
      <w:r>
        <w:rPr>
          <w:spacing w:val="-2"/>
          <w:sz w:val="18"/>
        </w:rPr>
        <w:t> </w:t>
      </w:r>
      <w:r>
        <w:rPr>
          <w:spacing w:val="-5"/>
          <w:sz w:val="18"/>
        </w:rPr>
        <w:t>50.</w:t>
      </w:r>
    </w:p>
    <w:p>
      <w:pPr>
        <w:pStyle w:val="ListParagraph"/>
        <w:numPr>
          <w:ilvl w:val="0"/>
          <w:numId w:val="16"/>
        </w:numPr>
        <w:tabs>
          <w:tab w:pos="1853" w:val="left" w:leader="none"/>
        </w:tabs>
        <w:spacing w:line="235" w:lineRule="auto" w:before="1" w:after="0"/>
        <w:ind w:left="1853" w:right="1780" w:hanging="720"/>
        <w:jc w:val="left"/>
        <w:rPr>
          <w:sz w:val="18"/>
        </w:rPr>
      </w:pPr>
      <w:r>
        <w:rPr>
          <w:sz w:val="18"/>
        </w:rPr>
        <w:t>Katharine</w:t>
      </w:r>
      <w:r>
        <w:rPr>
          <w:spacing w:val="-4"/>
          <w:sz w:val="18"/>
        </w:rPr>
        <w:t> </w:t>
      </w:r>
      <w:r>
        <w:rPr>
          <w:sz w:val="18"/>
        </w:rPr>
        <w:t>Wright,</w:t>
      </w:r>
      <w:r>
        <w:rPr>
          <w:spacing w:val="-4"/>
          <w:sz w:val="18"/>
        </w:rPr>
        <w:t> </w:t>
      </w:r>
      <w:r>
        <w:rPr>
          <w:sz w:val="18"/>
        </w:rPr>
        <w:t>Ruth</w:t>
      </w:r>
      <w:r>
        <w:rPr>
          <w:spacing w:val="-5"/>
          <w:sz w:val="18"/>
        </w:rPr>
        <w:t> </w:t>
      </w:r>
      <w:r>
        <w:rPr>
          <w:sz w:val="18"/>
        </w:rPr>
        <w:t>McAreavey</w:t>
      </w:r>
      <w:r>
        <w:rPr>
          <w:spacing w:val="-4"/>
          <w:sz w:val="18"/>
        </w:rPr>
        <w:t> </w:t>
      </w:r>
      <w:r>
        <w:rPr>
          <w:sz w:val="18"/>
        </w:rPr>
        <w:t>and</w:t>
      </w:r>
      <w:r>
        <w:rPr>
          <w:spacing w:val="-5"/>
          <w:sz w:val="18"/>
        </w:rPr>
        <w:t> </w:t>
      </w:r>
      <w:r>
        <w:rPr>
          <w:sz w:val="18"/>
        </w:rPr>
        <w:t>Rebecca</w:t>
      </w:r>
      <w:r>
        <w:rPr>
          <w:spacing w:val="-5"/>
          <w:sz w:val="18"/>
        </w:rPr>
        <w:t> </w:t>
      </w:r>
      <w:r>
        <w:rPr>
          <w:sz w:val="18"/>
        </w:rPr>
        <w:t>Donaldson,</w:t>
      </w:r>
      <w:r>
        <w:rPr>
          <w:spacing w:val="-4"/>
          <w:sz w:val="18"/>
        </w:rPr>
        <w:t> </w:t>
      </w:r>
      <w:r>
        <w:rPr>
          <w:sz w:val="18"/>
        </w:rPr>
        <w:t>‘The</w:t>
      </w:r>
      <w:r>
        <w:rPr>
          <w:spacing w:val="-4"/>
          <w:sz w:val="18"/>
        </w:rPr>
        <w:t> </w:t>
      </w:r>
      <w:r>
        <w:rPr>
          <w:sz w:val="18"/>
        </w:rPr>
        <w:t>Impact</w:t>
      </w:r>
      <w:r>
        <w:rPr>
          <w:spacing w:val="-4"/>
          <w:sz w:val="18"/>
        </w:rPr>
        <w:t> </w:t>
      </w:r>
      <w:r>
        <w:rPr>
          <w:sz w:val="18"/>
        </w:rPr>
        <w:t>of</w:t>
      </w:r>
      <w:r>
        <w:rPr>
          <w:spacing w:val="-5"/>
          <w:sz w:val="18"/>
        </w:rPr>
        <w:t> </w:t>
      </w:r>
      <w:r>
        <w:rPr>
          <w:sz w:val="18"/>
        </w:rPr>
        <w:t>Brexit</w:t>
      </w:r>
      <w:r>
        <w:rPr>
          <w:spacing w:val="-4"/>
          <w:sz w:val="18"/>
        </w:rPr>
        <w:t> </w:t>
      </w:r>
      <w:r>
        <w:rPr>
          <w:sz w:val="18"/>
        </w:rPr>
        <w:t>on</w:t>
      </w:r>
      <w:r>
        <w:rPr>
          <w:spacing w:val="-5"/>
          <w:sz w:val="18"/>
        </w:rPr>
        <w:t> </w:t>
      </w:r>
      <w:r>
        <w:rPr>
          <w:sz w:val="18"/>
        </w:rPr>
        <w:t>Women</w:t>
      </w:r>
      <w:r>
        <w:rPr>
          <w:spacing w:val="-5"/>
          <w:sz w:val="18"/>
        </w:rPr>
        <w:t> </w:t>
      </w:r>
      <w:r>
        <w:rPr>
          <w:sz w:val="18"/>
        </w:rPr>
        <w:t>in</w:t>
      </w:r>
      <w:r>
        <w:rPr>
          <w:spacing w:val="-5"/>
          <w:sz w:val="18"/>
        </w:rPr>
        <w:t> </w:t>
      </w:r>
      <w:r>
        <w:rPr>
          <w:sz w:val="18"/>
        </w:rPr>
        <w:t>Northern</w:t>
      </w:r>
      <w:r>
        <w:rPr>
          <w:spacing w:val="-5"/>
          <w:sz w:val="18"/>
        </w:rPr>
        <w:t> </w:t>
      </w:r>
      <w:r>
        <w:rPr>
          <w:sz w:val="18"/>
        </w:rPr>
        <w:t>Ireland’ (ECNI, 2024), at 32-33.</w:t>
      </w:r>
    </w:p>
    <w:p>
      <w:pPr>
        <w:pStyle w:val="ListParagraph"/>
        <w:numPr>
          <w:ilvl w:val="0"/>
          <w:numId w:val="16"/>
        </w:numPr>
        <w:tabs>
          <w:tab w:pos="1853" w:val="left" w:leader="none"/>
        </w:tabs>
        <w:spacing w:line="218" w:lineRule="exact" w:before="0" w:after="0"/>
        <w:ind w:left="1853" w:right="0" w:hanging="720"/>
        <w:jc w:val="left"/>
        <w:rPr>
          <w:sz w:val="18"/>
        </w:rPr>
      </w:pPr>
      <w:r>
        <w:rPr>
          <w:sz w:val="18"/>
        </w:rPr>
        <w:t>Ibid,</w:t>
      </w:r>
      <w:r>
        <w:rPr>
          <w:spacing w:val="-3"/>
          <w:sz w:val="18"/>
        </w:rPr>
        <w:t> </w:t>
      </w:r>
      <w:r>
        <w:rPr>
          <w:sz w:val="18"/>
        </w:rPr>
        <w:t>at</w:t>
      </w:r>
      <w:r>
        <w:rPr>
          <w:spacing w:val="-2"/>
          <w:sz w:val="18"/>
        </w:rPr>
        <w:t> </w:t>
      </w:r>
      <w:r>
        <w:rPr>
          <w:sz w:val="18"/>
        </w:rPr>
        <w:t>33-</w:t>
      </w:r>
      <w:r>
        <w:rPr>
          <w:spacing w:val="-5"/>
          <w:sz w:val="18"/>
        </w:rPr>
        <w:t>36.</w:t>
      </w:r>
    </w:p>
    <w:p>
      <w:pPr>
        <w:spacing w:after="0" w:line="218" w:lineRule="exact"/>
        <w:jc w:val="left"/>
        <w:rPr>
          <w:sz w:val="18"/>
        </w:rPr>
        <w:sectPr>
          <w:pgSz w:w="11910" w:h="16840"/>
          <w:pgMar w:header="496" w:footer="367" w:top="1220" w:bottom="560" w:left="0" w:right="0"/>
        </w:sectPr>
      </w:pPr>
    </w:p>
    <w:p>
      <w:pPr>
        <w:pStyle w:val="BodyText"/>
        <w:spacing w:before="198"/>
      </w:pPr>
    </w:p>
    <w:p>
      <w:pPr>
        <w:pStyle w:val="ListParagraph"/>
        <w:numPr>
          <w:ilvl w:val="1"/>
          <w:numId w:val="13"/>
        </w:numPr>
        <w:tabs>
          <w:tab w:pos="1853" w:val="left" w:leader="none"/>
        </w:tabs>
        <w:spacing w:line="225" w:lineRule="auto" w:before="0" w:after="0"/>
        <w:ind w:left="1853" w:right="1151" w:hanging="720"/>
        <w:jc w:val="left"/>
        <w:rPr>
          <w:sz w:val="28"/>
        </w:rPr>
      </w:pPr>
      <w:r>
        <w:rPr>
          <w:sz w:val="28"/>
        </w:rPr>
        <w:t>Further, the research report noted that there was a perception amongst research</w:t>
      </w:r>
      <w:r>
        <w:rPr>
          <w:spacing w:val="-7"/>
          <w:sz w:val="28"/>
        </w:rPr>
        <w:t> </w:t>
      </w:r>
      <w:r>
        <w:rPr>
          <w:sz w:val="28"/>
        </w:rPr>
        <w:t>participants</w:t>
      </w:r>
      <w:r>
        <w:rPr>
          <w:spacing w:val="-7"/>
          <w:sz w:val="28"/>
        </w:rPr>
        <w:t> </w:t>
      </w:r>
      <w:r>
        <w:rPr>
          <w:sz w:val="28"/>
        </w:rPr>
        <w:t>that</w:t>
      </w:r>
      <w:r>
        <w:rPr>
          <w:spacing w:val="-6"/>
          <w:sz w:val="28"/>
        </w:rPr>
        <w:t> </w:t>
      </w:r>
      <w:r>
        <w:rPr>
          <w:sz w:val="28"/>
        </w:rPr>
        <w:t>the</w:t>
      </w:r>
      <w:r>
        <w:rPr>
          <w:spacing w:val="-6"/>
          <w:sz w:val="28"/>
        </w:rPr>
        <w:t> </w:t>
      </w:r>
      <w:r>
        <w:rPr>
          <w:sz w:val="28"/>
        </w:rPr>
        <w:t>rhetoric</w:t>
      </w:r>
      <w:r>
        <w:rPr>
          <w:spacing w:val="-6"/>
          <w:sz w:val="28"/>
        </w:rPr>
        <w:t> </w:t>
      </w:r>
      <w:r>
        <w:rPr>
          <w:sz w:val="28"/>
        </w:rPr>
        <w:t>around</w:t>
      </w:r>
      <w:r>
        <w:rPr>
          <w:spacing w:val="-7"/>
          <w:sz w:val="28"/>
        </w:rPr>
        <w:t> </w:t>
      </w:r>
      <w:r>
        <w:rPr>
          <w:sz w:val="28"/>
        </w:rPr>
        <w:t>Brexit</w:t>
      </w:r>
      <w:r>
        <w:rPr>
          <w:spacing w:val="-6"/>
          <w:sz w:val="28"/>
        </w:rPr>
        <w:t> </w:t>
      </w:r>
      <w:r>
        <w:rPr>
          <w:sz w:val="28"/>
        </w:rPr>
        <w:t>and</w:t>
      </w:r>
      <w:r>
        <w:rPr>
          <w:spacing w:val="-7"/>
          <w:sz w:val="28"/>
        </w:rPr>
        <w:t> </w:t>
      </w:r>
      <w:r>
        <w:rPr>
          <w:sz w:val="28"/>
        </w:rPr>
        <w:t>targeted</w:t>
      </w:r>
      <w:r>
        <w:rPr>
          <w:spacing w:val="-7"/>
          <w:sz w:val="28"/>
        </w:rPr>
        <w:t> </w:t>
      </w:r>
      <w:r>
        <w:rPr>
          <w:sz w:val="28"/>
        </w:rPr>
        <w:t>propaganda increased racism, leading to a sense of marginalisation.</w:t>
      </w:r>
      <w:r>
        <w:rPr>
          <w:sz w:val="28"/>
          <w:vertAlign w:val="superscript"/>
        </w:rPr>
        <w:t>899</w:t>
      </w:r>
      <w:r>
        <w:rPr>
          <w:sz w:val="28"/>
          <w:vertAlign w:val="baseline"/>
        </w:rPr>
        <w:t> The ECNI’s independent research on the Impact of Brexit on minority ethnic and migrant people also reported a sense of marginalisation, with minority ethnic and migrant groups that participated in the research feeling that they are not a priority in NI and that there was little focus from government or statutory services</w:t>
      </w:r>
      <w:r>
        <w:rPr>
          <w:spacing w:val="-5"/>
          <w:sz w:val="28"/>
          <w:vertAlign w:val="baseline"/>
        </w:rPr>
        <w:t> </w:t>
      </w:r>
      <w:r>
        <w:rPr>
          <w:sz w:val="28"/>
          <w:vertAlign w:val="baseline"/>
        </w:rPr>
        <w:t>on</w:t>
      </w:r>
      <w:r>
        <w:rPr>
          <w:spacing w:val="-5"/>
          <w:sz w:val="28"/>
          <w:vertAlign w:val="baseline"/>
        </w:rPr>
        <w:t> </w:t>
      </w:r>
      <w:r>
        <w:rPr>
          <w:sz w:val="28"/>
          <w:vertAlign w:val="baseline"/>
        </w:rPr>
        <w:t>the</w:t>
      </w:r>
      <w:r>
        <w:rPr>
          <w:spacing w:val="-5"/>
          <w:sz w:val="28"/>
          <w:vertAlign w:val="baseline"/>
        </w:rPr>
        <w:t> </w:t>
      </w:r>
      <w:r>
        <w:rPr>
          <w:sz w:val="28"/>
          <w:vertAlign w:val="baseline"/>
        </w:rPr>
        <w:t>challenges</w:t>
      </w:r>
      <w:r>
        <w:rPr>
          <w:spacing w:val="-5"/>
          <w:sz w:val="28"/>
          <w:vertAlign w:val="baseline"/>
        </w:rPr>
        <w:t> </w:t>
      </w:r>
      <w:r>
        <w:rPr>
          <w:sz w:val="28"/>
          <w:vertAlign w:val="baseline"/>
        </w:rPr>
        <w:t>that</w:t>
      </w:r>
      <w:r>
        <w:rPr>
          <w:spacing w:val="-5"/>
          <w:sz w:val="28"/>
          <w:vertAlign w:val="baseline"/>
        </w:rPr>
        <w:t> </w:t>
      </w:r>
      <w:r>
        <w:rPr>
          <w:sz w:val="28"/>
          <w:vertAlign w:val="baseline"/>
        </w:rPr>
        <w:t>minority</w:t>
      </w:r>
      <w:r>
        <w:rPr>
          <w:spacing w:val="-5"/>
          <w:sz w:val="28"/>
          <w:vertAlign w:val="baseline"/>
        </w:rPr>
        <w:t> </w:t>
      </w:r>
      <w:r>
        <w:rPr>
          <w:sz w:val="28"/>
          <w:vertAlign w:val="baseline"/>
        </w:rPr>
        <w:t>ethnic</w:t>
      </w:r>
      <w:r>
        <w:rPr>
          <w:spacing w:val="-5"/>
          <w:sz w:val="28"/>
          <w:vertAlign w:val="baseline"/>
        </w:rPr>
        <w:t> </w:t>
      </w:r>
      <w:r>
        <w:rPr>
          <w:sz w:val="28"/>
          <w:vertAlign w:val="baseline"/>
        </w:rPr>
        <w:t>and</w:t>
      </w:r>
      <w:r>
        <w:rPr>
          <w:spacing w:val="-5"/>
          <w:sz w:val="28"/>
          <w:vertAlign w:val="baseline"/>
        </w:rPr>
        <w:t> </w:t>
      </w:r>
      <w:r>
        <w:rPr>
          <w:sz w:val="28"/>
          <w:vertAlign w:val="baseline"/>
        </w:rPr>
        <w:t>migrant</w:t>
      </w:r>
      <w:r>
        <w:rPr>
          <w:spacing w:val="-5"/>
          <w:sz w:val="28"/>
          <w:vertAlign w:val="baseline"/>
        </w:rPr>
        <w:t> </w:t>
      </w:r>
      <w:r>
        <w:rPr>
          <w:sz w:val="28"/>
          <w:vertAlign w:val="baseline"/>
        </w:rPr>
        <w:t>people</w:t>
      </w:r>
      <w:r>
        <w:rPr>
          <w:spacing w:val="-5"/>
          <w:sz w:val="28"/>
          <w:vertAlign w:val="baseline"/>
        </w:rPr>
        <w:t> </w:t>
      </w:r>
      <w:r>
        <w:rPr>
          <w:sz w:val="28"/>
          <w:vertAlign w:val="baseline"/>
        </w:rPr>
        <w:t>experience as a result of Brexit.</w:t>
      </w:r>
      <w:r>
        <w:rPr>
          <w:sz w:val="28"/>
          <w:vertAlign w:val="superscript"/>
        </w:rPr>
        <w:t>900</w:t>
      </w:r>
      <w:r>
        <w:rPr>
          <w:sz w:val="28"/>
          <w:vertAlign w:val="baseline"/>
        </w:rPr>
        <w:t> The perceived lack of government focus left some participants feeling devalued, with some participants interpreting this as a reflection of the unimportance of ethnic minority and migrant people in NI.</w:t>
      </w:r>
    </w:p>
    <w:p>
      <w:pPr>
        <w:pStyle w:val="ListParagraph"/>
        <w:numPr>
          <w:ilvl w:val="1"/>
          <w:numId w:val="13"/>
        </w:numPr>
        <w:tabs>
          <w:tab w:pos="1853" w:val="left" w:leader="none"/>
        </w:tabs>
        <w:spacing w:line="225" w:lineRule="auto" w:before="306" w:after="0"/>
        <w:ind w:left="1853" w:right="1625" w:hanging="720"/>
        <w:jc w:val="both"/>
        <w:rPr>
          <w:sz w:val="28"/>
        </w:rPr>
      </w:pPr>
      <w:r>
        <w:rPr>
          <w:sz w:val="28"/>
        </w:rPr>
        <w:t>In</w:t>
      </w:r>
      <w:r>
        <w:rPr>
          <w:spacing w:val="-4"/>
          <w:sz w:val="28"/>
        </w:rPr>
        <w:t> </w:t>
      </w:r>
      <w:r>
        <w:rPr>
          <w:sz w:val="28"/>
        </w:rPr>
        <w:t>Chapter</w:t>
      </w:r>
      <w:r>
        <w:rPr>
          <w:spacing w:val="-3"/>
          <w:sz w:val="28"/>
        </w:rPr>
        <w:t> </w:t>
      </w:r>
      <w:r>
        <w:rPr>
          <w:sz w:val="28"/>
        </w:rPr>
        <w:t>2,</w:t>
      </w:r>
      <w:r>
        <w:rPr>
          <w:spacing w:val="-3"/>
          <w:sz w:val="28"/>
        </w:rPr>
        <w:t> </w:t>
      </w:r>
      <w:r>
        <w:rPr>
          <w:sz w:val="28"/>
        </w:rPr>
        <w:t>the</w:t>
      </w:r>
      <w:r>
        <w:rPr>
          <w:spacing w:val="-3"/>
          <w:sz w:val="28"/>
        </w:rPr>
        <w:t> </w:t>
      </w:r>
      <w:r>
        <w:rPr>
          <w:sz w:val="28"/>
        </w:rPr>
        <w:t>Commissions</w:t>
      </w:r>
      <w:r>
        <w:rPr>
          <w:spacing w:val="-4"/>
          <w:sz w:val="28"/>
        </w:rPr>
        <w:t> </w:t>
      </w:r>
      <w:r>
        <w:rPr>
          <w:sz w:val="28"/>
        </w:rPr>
        <w:t>highlighted</w:t>
      </w:r>
      <w:r>
        <w:rPr>
          <w:spacing w:val="-4"/>
          <w:sz w:val="28"/>
        </w:rPr>
        <w:t> </w:t>
      </w:r>
      <w:r>
        <w:rPr>
          <w:sz w:val="28"/>
        </w:rPr>
        <w:t>the</w:t>
      </w:r>
      <w:r>
        <w:rPr>
          <w:spacing w:val="-3"/>
          <w:sz w:val="28"/>
        </w:rPr>
        <w:t> </w:t>
      </w:r>
      <w:r>
        <w:rPr>
          <w:sz w:val="28"/>
        </w:rPr>
        <w:t>importance</w:t>
      </w:r>
      <w:r>
        <w:rPr>
          <w:spacing w:val="-3"/>
          <w:sz w:val="28"/>
        </w:rPr>
        <w:t> </w:t>
      </w:r>
      <w:r>
        <w:rPr>
          <w:sz w:val="28"/>
        </w:rPr>
        <w:t>of</w:t>
      </w:r>
      <w:r>
        <w:rPr>
          <w:spacing w:val="-4"/>
          <w:sz w:val="28"/>
        </w:rPr>
        <w:t> </w:t>
      </w:r>
      <w:r>
        <w:rPr>
          <w:sz w:val="28"/>
        </w:rPr>
        <w:t>engagement by</w:t>
      </w:r>
      <w:r>
        <w:rPr>
          <w:spacing w:val="-7"/>
          <w:sz w:val="28"/>
        </w:rPr>
        <w:t> </w:t>
      </w:r>
      <w:r>
        <w:rPr>
          <w:sz w:val="28"/>
        </w:rPr>
        <w:t>the</w:t>
      </w:r>
      <w:r>
        <w:rPr>
          <w:spacing w:val="-7"/>
          <w:sz w:val="28"/>
        </w:rPr>
        <w:t> </w:t>
      </w:r>
      <w:r>
        <w:rPr>
          <w:sz w:val="28"/>
        </w:rPr>
        <w:t>UK</w:t>
      </w:r>
      <w:r>
        <w:rPr>
          <w:spacing w:val="-7"/>
          <w:sz w:val="28"/>
        </w:rPr>
        <w:t> </w:t>
      </w:r>
      <w:r>
        <w:rPr>
          <w:sz w:val="28"/>
        </w:rPr>
        <w:t>Government,</w:t>
      </w:r>
      <w:r>
        <w:rPr>
          <w:spacing w:val="-7"/>
          <w:sz w:val="28"/>
        </w:rPr>
        <w:t> </w:t>
      </w:r>
      <w:r>
        <w:rPr>
          <w:sz w:val="28"/>
        </w:rPr>
        <w:t>EU</w:t>
      </w:r>
      <w:r>
        <w:rPr>
          <w:spacing w:val="-7"/>
          <w:sz w:val="28"/>
        </w:rPr>
        <w:t> </w:t>
      </w:r>
      <w:r>
        <w:rPr>
          <w:sz w:val="28"/>
        </w:rPr>
        <w:t>Commission</w:t>
      </w:r>
      <w:r>
        <w:rPr>
          <w:spacing w:val="-8"/>
          <w:sz w:val="28"/>
        </w:rPr>
        <w:t> </w:t>
      </w:r>
      <w:r>
        <w:rPr>
          <w:sz w:val="28"/>
        </w:rPr>
        <w:t>and</w:t>
      </w:r>
      <w:r>
        <w:rPr>
          <w:spacing w:val="-8"/>
          <w:sz w:val="28"/>
        </w:rPr>
        <w:t> </w:t>
      </w:r>
      <w:r>
        <w:rPr>
          <w:sz w:val="28"/>
        </w:rPr>
        <w:t>NI</w:t>
      </w:r>
      <w:r>
        <w:rPr>
          <w:spacing w:val="-7"/>
          <w:sz w:val="28"/>
        </w:rPr>
        <w:t> </w:t>
      </w:r>
      <w:r>
        <w:rPr>
          <w:sz w:val="28"/>
        </w:rPr>
        <w:t>Executive</w:t>
      </w:r>
      <w:r>
        <w:rPr>
          <w:spacing w:val="-7"/>
          <w:sz w:val="28"/>
        </w:rPr>
        <w:t> </w:t>
      </w:r>
      <w:r>
        <w:rPr>
          <w:sz w:val="28"/>
        </w:rPr>
        <w:t>with</w:t>
      </w:r>
      <w:r>
        <w:rPr>
          <w:spacing w:val="-8"/>
          <w:sz w:val="28"/>
        </w:rPr>
        <w:t> </w:t>
      </w:r>
      <w:r>
        <w:rPr>
          <w:sz w:val="28"/>
        </w:rPr>
        <w:t>civil</w:t>
      </w:r>
      <w:r>
        <w:rPr>
          <w:spacing w:val="-8"/>
          <w:sz w:val="28"/>
        </w:rPr>
        <w:t> </w:t>
      </w:r>
      <w:r>
        <w:rPr>
          <w:sz w:val="28"/>
        </w:rPr>
        <w:t>society, and particularly with equality and human rights stakeholders. This should</w:t>
      </w:r>
    </w:p>
    <w:p>
      <w:pPr>
        <w:pStyle w:val="BodyText"/>
        <w:spacing w:line="225" w:lineRule="auto"/>
        <w:ind w:left="1853" w:right="1261"/>
        <w:jc w:val="both"/>
      </w:pPr>
      <w:r>
        <w:rPr/>
        <w:t>include</w:t>
      </w:r>
      <w:r>
        <w:rPr>
          <w:spacing w:val="-10"/>
        </w:rPr>
        <w:t> </w:t>
      </w:r>
      <w:r>
        <w:rPr/>
        <w:t>the</w:t>
      </w:r>
      <w:r>
        <w:rPr>
          <w:spacing w:val="-10"/>
        </w:rPr>
        <w:t> </w:t>
      </w:r>
      <w:r>
        <w:rPr/>
        <w:t>women’s</w:t>
      </w:r>
      <w:r>
        <w:rPr>
          <w:spacing w:val="-11"/>
        </w:rPr>
        <w:t> </w:t>
      </w:r>
      <w:r>
        <w:rPr/>
        <w:t>sector</w:t>
      </w:r>
      <w:r>
        <w:rPr>
          <w:spacing w:val="-10"/>
        </w:rPr>
        <w:t> </w:t>
      </w:r>
      <w:r>
        <w:rPr/>
        <w:t>and</w:t>
      </w:r>
      <w:r>
        <w:rPr>
          <w:spacing w:val="-11"/>
        </w:rPr>
        <w:t> </w:t>
      </w:r>
      <w:r>
        <w:rPr/>
        <w:t>representative</w:t>
      </w:r>
      <w:r>
        <w:rPr>
          <w:spacing w:val="-10"/>
        </w:rPr>
        <w:t> </w:t>
      </w:r>
      <w:r>
        <w:rPr/>
        <w:t>organisations</w:t>
      </w:r>
      <w:r>
        <w:rPr>
          <w:spacing w:val="-11"/>
        </w:rPr>
        <w:t> </w:t>
      </w:r>
      <w:r>
        <w:rPr/>
        <w:t>on</w:t>
      </w:r>
      <w:r>
        <w:rPr>
          <w:spacing w:val="-11"/>
        </w:rPr>
        <w:t> </w:t>
      </w:r>
      <w:r>
        <w:rPr/>
        <w:t>race</w:t>
      </w:r>
      <w:r>
        <w:rPr>
          <w:spacing w:val="-10"/>
        </w:rPr>
        <w:t> </w:t>
      </w:r>
      <w:r>
        <w:rPr/>
        <w:t>equality and</w:t>
      </w:r>
      <w:r>
        <w:rPr>
          <w:spacing w:val="-1"/>
        </w:rPr>
        <w:t> </w:t>
      </w:r>
      <w:r>
        <w:rPr/>
        <w:t>migrant groups</w:t>
      </w:r>
      <w:r>
        <w:rPr>
          <w:spacing w:val="-1"/>
        </w:rPr>
        <w:t> </w:t>
      </w:r>
      <w:r>
        <w:rPr/>
        <w:t>in</w:t>
      </w:r>
      <w:r>
        <w:rPr>
          <w:spacing w:val="-1"/>
        </w:rPr>
        <w:t> </w:t>
      </w:r>
      <w:r>
        <w:rPr/>
        <w:t>NI who</w:t>
      </w:r>
      <w:r>
        <w:rPr>
          <w:spacing w:val="-1"/>
        </w:rPr>
        <w:t> </w:t>
      </w:r>
      <w:r>
        <w:rPr/>
        <w:t>perceive they have been</w:t>
      </w:r>
      <w:r>
        <w:rPr>
          <w:spacing w:val="-1"/>
        </w:rPr>
        <w:t> </w:t>
      </w:r>
      <w:r>
        <w:rPr/>
        <w:t>marginalised</w:t>
      </w:r>
      <w:r>
        <w:rPr>
          <w:spacing w:val="-1"/>
        </w:rPr>
        <w:t> </w:t>
      </w:r>
      <w:r>
        <w:rPr/>
        <w:t>in</w:t>
      </w:r>
      <w:r>
        <w:rPr>
          <w:spacing w:val="-1"/>
        </w:rPr>
        <w:t> </w:t>
      </w:r>
      <w:r>
        <w:rPr/>
        <w:t>Brexit </w:t>
      </w:r>
      <w:r>
        <w:rPr>
          <w:spacing w:val="-2"/>
        </w:rPr>
        <w:t>debates.</w:t>
      </w:r>
    </w:p>
    <w:p>
      <w:pPr>
        <w:pStyle w:val="ListParagraph"/>
        <w:numPr>
          <w:ilvl w:val="1"/>
          <w:numId w:val="13"/>
        </w:numPr>
        <w:tabs>
          <w:tab w:pos="1853" w:val="left" w:leader="none"/>
        </w:tabs>
        <w:spacing w:line="225" w:lineRule="auto" w:before="312" w:after="0"/>
        <w:ind w:left="1853" w:right="1284" w:hanging="720"/>
        <w:jc w:val="left"/>
        <w:rPr>
          <w:sz w:val="28"/>
        </w:rPr>
      </w:pPr>
      <w:r>
        <w:rPr>
          <w:sz w:val="28"/>
        </w:rPr>
        <w:t>This is critical to help the UK Government, EU Commission and NI Executive to identify the impacts of the implementation of the Windsor Framework on minority ethnic people and other equality groups living in NI in relation to human</w:t>
      </w:r>
      <w:r>
        <w:rPr>
          <w:spacing w:val="-3"/>
          <w:sz w:val="28"/>
        </w:rPr>
        <w:t> </w:t>
      </w:r>
      <w:r>
        <w:rPr>
          <w:sz w:val="28"/>
        </w:rPr>
        <w:t>rights</w:t>
      </w:r>
      <w:r>
        <w:rPr>
          <w:spacing w:val="-3"/>
          <w:sz w:val="28"/>
        </w:rPr>
        <w:t> </w:t>
      </w:r>
      <w:r>
        <w:rPr>
          <w:sz w:val="28"/>
        </w:rPr>
        <w:t>and</w:t>
      </w:r>
      <w:r>
        <w:rPr>
          <w:spacing w:val="-3"/>
          <w:sz w:val="28"/>
        </w:rPr>
        <w:t> </w:t>
      </w:r>
      <w:r>
        <w:rPr>
          <w:sz w:val="28"/>
        </w:rPr>
        <w:t>equality</w:t>
      </w:r>
      <w:r>
        <w:rPr>
          <w:spacing w:val="-2"/>
          <w:sz w:val="28"/>
        </w:rPr>
        <w:t> </w:t>
      </w:r>
      <w:r>
        <w:rPr>
          <w:sz w:val="28"/>
        </w:rPr>
        <w:t>considerations.</w:t>
      </w:r>
      <w:r>
        <w:rPr>
          <w:spacing w:val="40"/>
          <w:sz w:val="28"/>
        </w:rPr>
        <w:t> </w:t>
      </w:r>
      <w:r>
        <w:rPr>
          <w:sz w:val="28"/>
        </w:rPr>
        <w:t>We</w:t>
      </w:r>
      <w:r>
        <w:rPr>
          <w:spacing w:val="-2"/>
          <w:sz w:val="28"/>
        </w:rPr>
        <w:t> </w:t>
      </w:r>
      <w:r>
        <w:rPr>
          <w:sz w:val="28"/>
        </w:rPr>
        <w:t>have</w:t>
      </w:r>
      <w:r>
        <w:rPr>
          <w:spacing w:val="-2"/>
          <w:sz w:val="28"/>
        </w:rPr>
        <w:t> </w:t>
      </w:r>
      <w:r>
        <w:rPr>
          <w:sz w:val="28"/>
        </w:rPr>
        <w:t>also</w:t>
      </w:r>
      <w:r>
        <w:rPr>
          <w:spacing w:val="-3"/>
          <w:sz w:val="28"/>
        </w:rPr>
        <w:t> </w:t>
      </w:r>
      <w:r>
        <w:rPr>
          <w:sz w:val="28"/>
        </w:rPr>
        <w:t>made</w:t>
      </w:r>
      <w:r>
        <w:rPr>
          <w:spacing w:val="-2"/>
          <w:sz w:val="28"/>
        </w:rPr>
        <w:t> </w:t>
      </w:r>
      <w:r>
        <w:rPr>
          <w:sz w:val="28"/>
        </w:rPr>
        <w:t>clear</w:t>
      </w:r>
      <w:r>
        <w:rPr>
          <w:spacing w:val="-2"/>
          <w:sz w:val="28"/>
        </w:rPr>
        <w:t> </w:t>
      </w:r>
      <w:r>
        <w:rPr>
          <w:sz w:val="28"/>
        </w:rPr>
        <w:t>that</w:t>
      </w:r>
      <w:r>
        <w:rPr>
          <w:spacing w:val="-2"/>
          <w:sz w:val="28"/>
        </w:rPr>
        <w:t> </w:t>
      </w:r>
      <w:r>
        <w:rPr>
          <w:sz w:val="28"/>
        </w:rPr>
        <w:t>this engagement should include those working on equality/human rights in the context of cross border issues. In Chapter 2 of this report, the Commissions welcomed</w:t>
      </w:r>
      <w:r>
        <w:rPr>
          <w:spacing w:val="-9"/>
          <w:sz w:val="28"/>
        </w:rPr>
        <w:t> </w:t>
      </w:r>
      <w:r>
        <w:rPr>
          <w:sz w:val="28"/>
        </w:rPr>
        <w:t>steps</w:t>
      </w:r>
      <w:r>
        <w:rPr>
          <w:spacing w:val="-9"/>
          <w:sz w:val="28"/>
        </w:rPr>
        <w:t> </w:t>
      </w:r>
      <w:r>
        <w:rPr>
          <w:sz w:val="28"/>
        </w:rPr>
        <w:t>being</w:t>
      </w:r>
      <w:r>
        <w:rPr>
          <w:spacing w:val="-8"/>
          <w:sz w:val="28"/>
        </w:rPr>
        <w:t> </w:t>
      </w:r>
      <w:r>
        <w:rPr>
          <w:sz w:val="28"/>
        </w:rPr>
        <w:t>taken</w:t>
      </w:r>
      <w:r>
        <w:rPr>
          <w:spacing w:val="-9"/>
          <w:sz w:val="28"/>
        </w:rPr>
        <w:t> </w:t>
      </w:r>
      <w:r>
        <w:rPr>
          <w:sz w:val="28"/>
        </w:rPr>
        <w:t>to</w:t>
      </w:r>
      <w:r>
        <w:rPr>
          <w:spacing w:val="-9"/>
          <w:sz w:val="28"/>
        </w:rPr>
        <w:t> </w:t>
      </w:r>
      <w:r>
        <w:rPr>
          <w:sz w:val="28"/>
        </w:rPr>
        <w:t>ensure</w:t>
      </w:r>
      <w:r>
        <w:rPr>
          <w:spacing w:val="-8"/>
          <w:sz w:val="28"/>
        </w:rPr>
        <w:t> </w:t>
      </w:r>
      <w:r>
        <w:rPr>
          <w:sz w:val="28"/>
        </w:rPr>
        <w:t>greater</w:t>
      </w:r>
      <w:r>
        <w:rPr>
          <w:spacing w:val="-8"/>
          <w:sz w:val="28"/>
        </w:rPr>
        <w:t> </w:t>
      </w:r>
      <w:r>
        <w:rPr>
          <w:sz w:val="28"/>
        </w:rPr>
        <w:t>engagement</w:t>
      </w:r>
      <w:r>
        <w:rPr>
          <w:spacing w:val="-8"/>
          <w:sz w:val="28"/>
        </w:rPr>
        <w:t> </w:t>
      </w:r>
      <w:r>
        <w:rPr>
          <w:sz w:val="28"/>
        </w:rPr>
        <w:t>with</w:t>
      </w:r>
      <w:r>
        <w:rPr>
          <w:spacing w:val="-9"/>
          <w:sz w:val="28"/>
        </w:rPr>
        <w:t> </w:t>
      </w:r>
      <w:r>
        <w:rPr>
          <w:sz w:val="28"/>
        </w:rPr>
        <w:t>equality</w:t>
      </w:r>
      <w:r>
        <w:rPr>
          <w:spacing w:val="-8"/>
          <w:sz w:val="28"/>
        </w:rPr>
        <w:t> </w:t>
      </w:r>
      <w:r>
        <w:rPr>
          <w:sz w:val="28"/>
        </w:rPr>
        <w:t>and human rights stakeholders in NI.</w:t>
      </w:r>
      <w:r>
        <w:rPr>
          <w:spacing w:val="40"/>
          <w:sz w:val="28"/>
        </w:rPr>
        <w:t> </w:t>
      </w:r>
      <w:r>
        <w:rPr>
          <w:sz w:val="28"/>
        </w:rPr>
        <w:t>The Commissions are keeping the matter under review.</w:t>
      </w:r>
    </w:p>
    <w:p>
      <w:pPr>
        <w:pStyle w:val="BodyText"/>
        <w:spacing w:before="10"/>
        <w:rPr>
          <w:sz w:val="16"/>
        </w:rPr>
      </w:pPr>
      <w:r>
        <w:rPr/>
        <mc:AlternateContent>
          <mc:Choice Requires="wps">
            <w:drawing>
              <wp:anchor distT="0" distB="0" distL="0" distR="0" allowOverlap="1" layoutInCell="1" locked="0" behindDoc="1" simplePos="0" relativeHeight="487735296">
                <wp:simplePos x="0" y="0"/>
                <wp:positionH relativeFrom="page">
                  <wp:posOffset>720001</wp:posOffset>
                </wp:positionH>
                <wp:positionV relativeFrom="paragraph">
                  <wp:posOffset>145724</wp:posOffset>
                </wp:positionV>
                <wp:extent cx="6120130" cy="360680"/>
                <wp:effectExtent l="0" t="0" r="0" b="0"/>
                <wp:wrapTopAndBottom/>
                <wp:docPr id="664" name="Textbox 664"/>
                <wp:cNvGraphicFramePr>
                  <a:graphicFrameLocks/>
                </wp:cNvGraphicFramePr>
                <a:graphic>
                  <a:graphicData uri="http://schemas.microsoft.com/office/word/2010/wordprocessingShape">
                    <wps:wsp>
                      <wps:cNvPr id="664" name="Textbox 664"/>
                      <wps:cNvSpPr txBox="1"/>
                      <wps:spPr>
                        <a:xfrm>
                          <a:off x="0" y="0"/>
                          <a:ext cx="6120130" cy="360680"/>
                        </a:xfrm>
                        <a:prstGeom prst="rect">
                          <a:avLst/>
                        </a:prstGeom>
                        <a:solidFill>
                          <a:srgbClr val="393B80"/>
                        </a:solidFill>
                      </wps:spPr>
                      <wps:txbx>
                        <w:txbxContent>
                          <w:p>
                            <w:pPr>
                              <w:spacing w:before="103"/>
                              <w:ind w:left="783" w:right="0" w:firstLine="0"/>
                              <w:jc w:val="left"/>
                              <w:rPr>
                                <w:b/>
                                <w:color w:val="000000"/>
                                <w:sz w:val="28"/>
                              </w:rPr>
                            </w:pPr>
                            <w:r>
                              <w:rPr>
                                <w:b/>
                                <w:color w:val="FFFFFF"/>
                                <w:spacing w:val="-2"/>
                                <w:sz w:val="28"/>
                              </w:rPr>
                              <w:t>Recommendations</w:t>
                            </w:r>
                          </w:p>
                        </w:txbxContent>
                      </wps:txbx>
                      <wps:bodyPr wrap="square" lIns="0" tIns="0" rIns="0" bIns="0" rtlCol="0">
                        <a:noAutofit/>
                      </wps:bodyPr>
                    </wps:wsp>
                  </a:graphicData>
                </a:graphic>
              </wp:anchor>
            </w:drawing>
          </mc:Choice>
          <mc:Fallback>
            <w:pict>
              <v:shape style="position:absolute;margin-left:56.693001pt;margin-top:11.474375pt;width:481.9pt;height:28.4pt;mso-position-horizontal-relative:page;mso-position-vertical-relative:paragraph;z-index:-15581184;mso-wrap-distance-left:0;mso-wrap-distance-right:0" type="#_x0000_t202" id="docshape608" filled="true" fillcolor="#393b80" stroked="false">
                <v:textbox inset="0,0,0,0">
                  <w:txbxContent>
                    <w:p>
                      <w:pPr>
                        <w:spacing w:before="103"/>
                        <w:ind w:left="783" w:right="0" w:firstLine="0"/>
                        <w:jc w:val="left"/>
                        <w:rPr>
                          <w:b/>
                          <w:color w:val="000000"/>
                          <w:sz w:val="28"/>
                        </w:rPr>
                      </w:pPr>
                      <w:r>
                        <w:rPr>
                          <w:b/>
                          <w:color w:val="FFFFFF"/>
                          <w:spacing w:val="-2"/>
                          <w:sz w:val="28"/>
                        </w:rPr>
                        <w:t>Recommendations</w:t>
                      </w:r>
                    </w:p>
                  </w:txbxContent>
                </v:textbox>
                <v:fill type="solid"/>
                <w10:wrap type="topAndBottom"/>
              </v:shape>
            </w:pict>
          </mc:Fallback>
        </mc:AlternateContent>
      </w:r>
    </w:p>
    <w:p>
      <w:pPr>
        <w:pStyle w:val="ListParagraph"/>
        <w:numPr>
          <w:ilvl w:val="1"/>
          <w:numId w:val="13"/>
        </w:numPr>
        <w:tabs>
          <w:tab w:pos="1853" w:val="left" w:leader="none"/>
        </w:tabs>
        <w:spacing w:line="225" w:lineRule="auto" w:before="312" w:after="0"/>
        <w:ind w:left="1853" w:right="1161" w:hanging="720"/>
        <w:jc w:val="left"/>
        <w:rPr>
          <w:b/>
          <w:color w:val="67287F"/>
          <w:sz w:val="28"/>
        </w:rPr>
      </w:pPr>
      <w:r>
        <w:rPr>
          <w:b/>
          <w:color w:val="67287F"/>
          <w:sz w:val="28"/>
        </w:rPr>
        <w:t>The</w:t>
      </w:r>
      <w:r>
        <w:rPr>
          <w:b/>
          <w:color w:val="67287F"/>
          <w:spacing w:val="-8"/>
          <w:sz w:val="28"/>
        </w:rPr>
        <w:t> </w:t>
      </w:r>
      <w:r>
        <w:rPr>
          <w:b/>
          <w:color w:val="67287F"/>
          <w:sz w:val="28"/>
        </w:rPr>
        <w:t>Commissions</w:t>
      </w:r>
      <w:r>
        <w:rPr>
          <w:b/>
          <w:color w:val="67287F"/>
          <w:spacing w:val="-7"/>
          <w:sz w:val="28"/>
        </w:rPr>
        <w:t> </w:t>
      </w:r>
      <w:r>
        <w:rPr>
          <w:b/>
          <w:color w:val="67287F"/>
          <w:sz w:val="28"/>
        </w:rPr>
        <w:t>continue</w:t>
      </w:r>
      <w:r>
        <w:rPr>
          <w:b/>
          <w:color w:val="67287F"/>
          <w:spacing w:val="-8"/>
          <w:sz w:val="28"/>
        </w:rPr>
        <w:t> </w:t>
      </w:r>
      <w:r>
        <w:rPr>
          <w:b/>
          <w:color w:val="67287F"/>
          <w:sz w:val="28"/>
        </w:rPr>
        <w:t>to</w:t>
      </w:r>
      <w:r>
        <w:rPr>
          <w:b/>
          <w:color w:val="67287F"/>
          <w:spacing w:val="-7"/>
          <w:sz w:val="28"/>
        </w:rPr>
        <w:t> </w:t>
      </w:r>
      <w:r>
        <w:rPr>
          <w:b/>
          <w:color w:val="67287F"/>
          <w:sz w:val="28"/>
        </w:rPr>
        <w:t>recommend</w:t>
      </w:r>
      <w:r>
        <w:rPr>
          <w:b/>
          <w:color w:val="67287F"/>
          <w:spacing w:val="-7"/>
          <w:sz w:val="28"/>
        </w:rPr>
        <w:t> </w:t>
      </w:r>
      <w:r>
        <w:rPr>
          <w:b/>
          <w:color w:val="67287F"/>
          <w:sz w:val="28"/>
        </w:rPr>
        <w:t>that</w:t>
      </w:r>
      <w:r>
        <w:rPr>
          <w:b/>
          <w:color w:val="67287F"/>
          <w:spacing w:val="-7"/>
          <w:sz w:val="28"/>
        </w:rPr>
        <w:t> </w:t>
      </w:r>
      <w:r>
        <w:rPr>
          <w:b/>
          <w:color w:val="67287F"/>
          <w:sz w:val="28"/>
        </w:rPr>
        <w:t>the</w:t>
      </w:r>
      <w:r>
        <w:rPr>
          <w:b/>
          <w:color w:val="67287F"/>
          <w:spacing w:val="-8"/>
          <w:sz w:val="28"/>
        </w:rPr>
        <w:t> </w:t>
      </w:r>
      <w:r>
        <w:rPr>
          <w:b/>
          <w:color w:val="67287F"/>
          <w:sz w:val="28"/>
        </w:rPr>
        <w:t>UK</w:t>
      </w:r>
      <w:r>
        <w:rPr>
          <w:b/>
          <w:color w:val="67287F"/>
          <w:spacing w:val="-7"/>
          <w:sz w:val="28"/>
        </w:rPr>
        <w:t> </w:t>
      </w:r>
      <w:r>
        <w:rPr>
          <w:b/>
          <w:color w:val="67287F"/>
          <w:sz w:val="28"/>
        </w:rPr>
        <w:t>Government,</w:t>
      </w:r>
      <w:r>
        <w:rPr>
          <w:b/>
          <w:color w:val="67287F"/>
          <w:spacing w:val="-7"/>
          <w:sz w:val="28"/>
        </w:rPr>
        <w:t> </w:t>
      </w:r>
      <w:r>
        <w:rPr>
          <w:b/>
          <w:color w:val="67287F"/>
          <w:sz w:val="28"/>
        </w:rPr>
        <w:t>relevant NI departments and EU officials ensure ongoing, timely and structured engagement with NI civil society, including representative organisations on race and gender equality and other equality and human rights stakeholders.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9"/>
        <w:rPr>
          <w:b/>
          <w:sz w:val="20"/>
        </w:rPr>
      </w:pPr>
      <w:r>
        <w:rPr/>
        <mc:AlternateContent>
          <mc:Choice Requires="wps">
            <w:drawing>
              <wp:anchor distT="0" distB="0" distL="0" distR="0" allowOverlap="1" layoutInCell="1" locked="0" behindDoc="1" simplePos="0" relativeHeight="487735808">
                <wp:simplePos x="0" y="0"/>
                <wp:positionH relativeFrom="page">
                  <wp:posOffset>719996</wp:posOffset>
                </wp:positionH>
                <wp:positionV relativeFrom="paragraph">
                  <wp:posOffset>214470</wp:posOffset>
                </wp:positionV>
                <wp:extent cx="6120130" cy="1270"/>
                <wp:effectExtent l="0" t="0" r="0" b="0"/>
                <wp:wrapTopAndBottom/>
                <wp:docPr id="665" name="Graphic 665"/>
                <wp:cNvGraphicFramePr>
                  <a:graphicFrameLocks/>
                </wp:cNvGraphicFramePr>
                <a:graphic>
                  <a:graphicData uri="http://schemas.microsoft.com/office/word/2010/wordprocessingShape">
                    <wps:wsp>
                      <wps:cNvPr id="665" name="Graphic 66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6.887468pt;width:481.9pt;height:.1pt;mso-position-horizontal-relative:page;mso-position-vertical-relative:paragraph;z-index:-15580672;mso-wrap-distance-left:0;mso-wrap-distance-right:0" id="docshape609" coordorigin="1134,338" coordsize="9638,0" path="m10772,338l1134,338e" filled="false" stroked="true" strokeweight="1pt" strokecolor="#393b80">
                <v:path arrowok="t"/>
                <v:stroke dashstyle="solid"/>
                <w10:wrap type="topAndBottom"/>
              </v:shape>
            </w:pict>
          </mc:Fallback>
        </mc:AlternateContent>
      </w:r>
    </w:p>
    <w:p>
      <w:pPr>
        <w:pStyle w:val="ListParagraph"/>
        <w:numPr>
          <w:ilvl w:val="0"/>
          <w:numId w:val="16"/>
        </w:numPr>
        <w:tabs>
          <w:tab w:pos="1853" w:val="left" w:leader="none"/>
        </w:tabs>
        <w:spacing w:line="218" w:lineRule="exact" w:before="121" w:after="0"/>
        <w:ind w:left="1853" w:right="0" w:hanging="720"/>
        <w:jc w:val="left"/>
        <w:rPr>
          <w:sz w:val="18"/>
        </w:rPr>
      </w:pPr>
      <w:r>
        <w:rPr>
          <w:sz w:val="18"/>
        </w:rPr>
        <w:t>Ibid,</w:t>
      </w:r>
      <w:r>
        <w:rPr>
          <w:spacing w:val="-1"/>
          <w:sz w:val="18"/>
        </w:rPr>
        <w:t> </w:t>
      </w:r>
      <w:r>
        <w:rPr>
          <w:sz w:val="18"/>
        </w:rPr>
        <w:t>at</w:t>
      </w:r>
      <w:r>
        <w:rPr>
          <w:spacing w:val="-1"/>
          <w:sz w:val="18"/>
        </w:rPr>
        <w:t> </w:t>
      </w:r>
      <w:r>
        <w:rPr>
          <w:spacing w:val="-5"/>
          <w:sz w:val="18"/>
        </w:rPr>
        <w:t>35.</w:t>
      </w:r>
    </w:p>
    <w:p>
      <w:pPr>
        <w:pStyle w:val="ListParagraph"/>
        <w:numPr>
          <w:ilvl w:val="0"/>
          <w:numId w:val="16"/>
        </w:numPr>
        <w:tabs>
          <w:tab w:pos="1853" w:val="left" w:leader="none"/>
        </w:tabs>
        <w:spacing w:line="218" w:lineRule="exact" w:before="0" w:after="0"/>
        <w:ind w:left="1853" w:right="0" w:hanging="720"/>
        <w:jc w:val="left"/>
        <w:rPr>
          <w:sz w:val="18"/>
        </w:rPr>
      </w:pPr>
      <w:r>
        <w:rPr>
          <w:sz w:val="18"/>
        </w:rPr>
        <w:t>Pivotal,</w:t>
      </w:r>
      <w:r>
        <w:rPr>
          <w:spacing w:val="-5"/>
          <w:sz w:val="18"/>
        </w:rPr>
        <w:t> </w:t>
      </w:r>
      <w:r>
        <w:rPr>
          <w:sz w:val="18"/>
        </w:rPr>
        <w:t>‘Impact</w:t>
      </w:r>
      <w:r>
        <w:rPr>
          <w:spacing w:val="-3"/>
          <w:sz w:val="18"/>
        </w:rPr>
        <w:t> </w:t>
      </w:r>
      <w:r>
        <w:rPr>
          <w:sz w:val="18"/>
        </w:rPr>
        <w:t>of</w:t>
      </w:r>
      <w:r>
        <w:rPr>
          <w:spacing w:val="-4"/>
          <w:sz w:val="18"/>
        </w:rPr>
        <w:t> </w:t>
      </w:r>
      <w:r>
        <w:rPr>
          <w:sz w:val="18"/>
        </w:rPr>
        <w:t>Brexit</w:t>
      </w:r>
      <w:r>
        <w:rPr>
          <w:spacing w:val="-3"/>
          <w:sz w:val="18"/>
        </w:rPr>
        <w:t> </w:t>
      </w:r>
      <w:r>
        <w:rPr>
          <w:sz w:val="18"/>
        </w:rPr>
        <w:t>on</w:t>
      </w:r>
      <w:r>
        <w:rPr>
          <w:spacing w:val="-3"/>
          <w:sz w:val="18"/>
        </w:rPr>
        <w:t> </w:t>
      </w:r>
      <w:r>
        <w:rPr>
          <w:sz w:val="18"/>
        </w:rPr>
        <w:t>Minority</w:t>
      </w:r>
      <w:r>
        <w:rPr>
          <w:spacing w:val="-3"/>
          <w:sz w:val="18"/>
        </w:rPr>
        <w:t> </w:t>
      </w:r>
      <w:r>
        <w:rPr>
          <w:sz w:val="18"/>
        </w:rPr>
        <w:t>Ethnic</w:t>
      </w:r>
      <w:r>
        <w:rPr>
          <w:spacing w:val="-3"/>
          <w:sz w:val="18"/>
        </w:rPr>
        <w:t> </w:t>
      </w:r>
      <w:r>
        <w:rPr>
          <w:sz w:val="18"/>
        </w:rPr>
        <w:t>and</w:t>
      </w:r>
      <w:r>
        <w:rPr>
          <w:spacing w:val="-3"/>
          <w:sz w:val="18"/>
        </w:rPr>
        <w:t> </w:t>
      </w:r>
      <w:r>
        <w:rPr>
          <w:sz w:val="18"/>
        </w:rPr>
        <w:t>Migrant</w:t>
      </w:r>
      <w:r>
        <w:rPr>
          <w:spacing w:val="-3"/>
          <w:sz w:val="18"/>
        </w:rPr>
        <w:t> </w:t>
      </w:r>
      <w:r>
        <w:rPr>
          <w:sz w:val="18"/>
        </w:rPr>
        <w:t>People</w:t>
      </w:r>
      <w:r>
        <w:rPr>
          <w:spacing w:val="-3"/>
          <w:sz w:val="18"/>
        </w:rPr>
        <w:t> </w:t>
      </w:r>
      <w:r>
        <w:rPr>
          <w:sz w:val="18"/>
        </w:rPr>
        <w:t>in</w:t>
      </w:r>
      <w:r>
        <w:rPr>
          <w:spacing w:val="-4"/>
          <w:sz w:val="18"/>
        </w:rPr>
        <w:t> </w:t>
      </w:r>
      <w:r>
        <w:rPr>
          <w:sz w:val="18"/>
        </w:rPr>
        <w:t>Northern</w:t>
      </w:r>
      <w:r>
        <w:rPr>
          <w:spacing w:val="-3"/>
          <w:sz w:val="18"/>
        </w:rPr>
        <w:t> </w:t>
      </w:r>
      <w:r>
        <w:rPr>
          <w:sz w:val="18"/>
        </w:rPr>
        <w:t>Ireland’</w:t>
      </w:r>
      <w:r>
        <w:rPr>
          <w:spacing w:val="-3"/>
          <w:sz w:val="18"/>
        </w:rPr>
        <w:t> </w:t>
      </w:r>
      <w:r>
        <w:rPr>
          <w:sz w:val="18"/>
        </w:rPr>
        <w:t>(ECNI,</w:t>
      </w:r>
      <w:r>
        <w:rPr>
          <w:spacing w:val="-3"/>
          <w:sz w:val="18"/>
        </w:rPr>
        <w:t> </w:t>
      </w:r>
      <w:r>
        <w:rPr>
          <w:sz w:val="18"/>
        </w:rPr>
        <w:t>2023),</w:t>
      </w:r>
      <w:r>
        <w:rPr>
          <w:spacing w:val="-3"/>
          <w:sz w:val="18"/>
        </w:rPr>
        <w:t> </w:t>
      </w:r>
      <w:r>
        <w:rPr>
          <w:sz w:val="18"/>
        </w:rPr>
        <w:t>at</w:t>
      </w:r>
      <w:r>
        <w:rPr>
          <w:spacing w:val="-2"/>
          <w:sz w:val="18"/>
        </w:rPr>
        <w:t> </w:t>
      </w:r>
      <w:r>
        <w:rPr>
          <w:spacing w:val="-5"/>
          <w:sz w:val="18"/>
        </w:rPr>
        <w:t>32.</w:t>
      </w:r>
    </w:p>
    <w:p>
      <w:pPr>
        <w:spacing w:after="0" w:line="218" w:lineRule="exact"/>
        <w:jc w:val="left"/>
        <w:rPr>
          <w:sz w:val="18"/>
        </w:rPr>
        <w:sectPr>
          <w:pgSz w:w="11910" w:h="16840"/>
          <w:pgMar w:header="496" w:footer="367" w:top="1220" w:bottom="560" w:left="0" w:right="0"/>
        </w:sectPr>
      </w:pPr>
    </w:p>
    <w:p>
      <w:pPr>
        <w:pStyle w:val="Heading2"/>
        <w:spacing w:before="476"/>
      </w:pPr>
      <w:r>
        <w:rPr/>
        <mc:AlternateContent>
          <mc:Choice Requires="wps">
            <w:drawing>
              <wp:anchor distT="0" distB="0" distL="0" distR="0" allowOverlap="1" layoutInCell="1" locked="0" behindDoc="1" simplePos="0" relativeHeight="487736320">
                <wp:simplePos x="0" y="0"/>
                <wp:positionH relativeFrom="page">
                  <wp:posOffset>719997</wp:posOffset>
                </wp:positionH>
                <wp:positionV relativeFrom="paragraph">
                  <wp:posOffset>743932</wp:posOffset>
                </wp:positionV>
                <wp:extent cx="6120130" cy="1270"/>
                <wp:effectExtent l="0" t="0" r="0" b="0"/>
                <wp:wrapTopAndBottom/>
                <wp:docPr id="666" name="Graphic 666"/>
                <wp:cNvGraphicFramePr>
                  <a:graphicFrameLocks/>
                </wp:cNvGraphicFramePr>
                <a:graphic>
                  <a:graphicData uri="http://schemas.microsoft.com/office/word/2010/wordprocessingShape">
                    <wps:wsp>
                      <wps:cNvPr id="666" name="Graphic 666"/>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58.5774pt;width:481.9pt;height:.1pt;mso-position-horizontal-relative:page;mso-position-vertical-relative:paragraph;z-index:-15580160;mso-wrap-distance-left:0;mso-wrap-distance-right:0" id="docshape610" coordorigin="1134,1172" coordsize="9638,0" path="m10772,1172l1134,1172e" filled="false" stroked="true" strokeweight="1pt" strokecolor="#393b80">
                <v:path arrowok="t"/>
                <v:stroke dashstyle="solid"/>
                <w10:wrap type="topAndBottom"/>
              </v:shape>
            </w:pict>
          </mc:Fallback>
        </mc:AlternateContent>
      </w:r>
      <w:bookmarkStart w:name="_bookmark63" w:id="141"/>
      <w:bookmarkEnd w:id="141"/>
      <w:r>
        <w:rPr>
          <w:b w:val="0"/>
        </w:rPr>
      </w:r>
      <w:bookmarkStart w:name="Appendix 1: About us" w:id="142"/>
      <w:bookmarkEnd w:id="142"/>
      <w:r>
        <w:rPr>
          <w:b w:val="0"/>
        </w:rPr>
      </w:r>
      <w:r>
        <w:rPr>
          <w:color w:val="393B80"/>
        </w:rPr>
        <w:t>Appendix</w:t>
      </w:r>
      <w:r>
        <w:rPr>
          <w:color w:val="393B80"/>
          <w:spacing w:val="-4"/>
        </w:rPr>
        <w:t> </w:t>
      </w:r>
      <w:r>
        <w:rPr>
          <w:color w:val="393B80"/>
        </w:rPr>
        <w:t>1:</w:t>
      </w:r>
      <w:r>
        <w:rPr>
          <w:color w:val="393B80"/>
          <w:spacing w:val="-2"/>
        </w:rPr>
        <w:t> </w:t>
      </w:r>
      <w:r>
        <w:rPr>
          <w:color w:val="393B80"/>
        </w:rPr>
        <w:t>About</w:t>
      </w:r>
      <w:r>
        <w:rPr>
          <w:color w:val="393B80"/>
          <w:spacing w:val="-2"/>
        </w:rPr>
        <w:t> </w:t>
      </w:r>
      <w:r>
        <w:rPr>
          <w:color w:val="393B80"/>
          <w:spacing w:val="-5"/>
        </w:rPr>
        <w:t>us</w:t>
      </w:r>
    </w:p>
    <w:p>
      <w:pPr>
        <w:pStyle w:val="BodyText"/>
        <w:spacing w:line="225" w:lineRule="auto" w:before="147"/>
        <w:ind w:left="1133" w:right="1171"/>
      </w:pPr>
      <w:r>
        <w:rPr/>
        <w:t>The NIHRC and the ECNI are mandated in accordance with Article 2(1) of the Windsor</w:t>
      </w:r>
      <w:r>
        <w:rPr>
          <w:spacing w:val="-10"/>
        </w:rPr>
        <w:t> </w:t>
      </w:r>
      <w:r>
        <w:rPr/>
        <w:t>Framework</w:t>
      </w:r>
      <w:r>
        <w:rPr>
          <w:spacing w:val="-10"/>
        </w:rPr>
        <w:t> </w:t>
      </w:r>
      <w:r>
        <w:rPr/>
        <w:t>to</w:t>
      </w:r>
      <w:r>
        <w:rPr>
          <w:spacing w:val="-11"/>
        </w:rPr>
        <w:t> </w:t>
      </w:r>
      <w:r>
        <w:rPr/>
        <w:t>the</w:t>
      </w:r>
      <w:r>
        <w:rPr>
          <w:spacing w:val="-10"/>
        </w:rPr>
        <w:t> </w:t>
      </w:r>
      <w:r>
        <w:rPr/>
        <w:t>UK-EU</w:t>
      </w:r>
      <w:r>
        <w:rPr>
          <w:spacing w:val="-10"/>
        </w:rPr>
        <w:t> </w:t>
      </w:r>
      <w:r>
        <w:rPr/>
        <w:t>Withdrawal</w:t>
      </w:r>
      <w:r>
        <w:rPr>
          <w:spacing w:val="-11"/>
        </w:rPr>
        <w:t> </w:t>
      </w:r>
      <w:r>
        <w:rPr/>
        <w:t>Agreement</w:t>
      </w:r>
      <w:r>
        <w:rPr>
          <w:vertAlign w:val="superscript"/>
        </w:rPr>
        <w:t>901</w:t>
      </w:r>
      <w:r>
        <w:rPr>
          <w:spacing w:val="-11"/>
          <w:vertAlign w:val="baseline"/>
        </w:rPr>
        <w:t> </w:t>
      </w:r>
      <w:r>
        <w:rPr>
          <w:vertAlign w:val="baseline"/>
        </w:rPr>
        <w:t>to</w:t>
      </w:r>
      <w:r>
        <w:rPr>
          <w:spacing w:val="-11"/>
          <w:vertAlign w:val="baseline"/>
        </w:rPr>
        <w:t> </w:t>
      </w:r>
      <w:r>
        <w:rPr>
          <w:vertAlign w:val="baseline"/>
        </w:rPr>
        <w:t>oversee</w:t>
      </w:r>
      <w:r>
        <w:rPr>
          <w:spacing w:val="-10"/>
          <w:vertAlign w:val="baseline"/>
        </w:rPr>
        <w:t> </w:t>
      </w:r>
      <w:r>
        <w:rPr>
          <w:vertAlign w:val="baseline"/>
        </w:rPr>
        <w:t>the</w:t>
      </w:r>
      <w:r>
        <w:rPr>
          <w:spacing w:val="-10"/>
          <w:vertAlign w:val="baseline"/>
        </w:rPr>
        <w:t> </w:t>
      </w:r>
      <w:r>
        <w:rPr>
          <w:vertAlign w:val="baseline"/>
        </w:rPr>
        <w:t>UK Government’s commitment on rights and equality in NI after EU withdrawal.</w:t>
      </w:r>
    </w:p>
    <w:p>
      <w:pPr>
        <w:pStyle w:val="BodyText"/>
        <w:spacing w:line="225" w:lineRule="auto" w:before="316"/>
        <w:ind w:left="1133" w:right="1171"/>
      </w:pPr>
      <w:r>
        <w:rPr/>
        <w:t>The</w:t>
      </w:r>
      <w:r>
        <w:rPr>
          <w:spacing w:val="-3"/>
        </w:rPr>
        <w:t> </w:t>
      </w:r>
      <w:r>
        <w:rPr/>
        <w:t>Commissions’</w:t>
      </w:r>
      <w:r>
        <w:rPr>
          <w:spacing w:val="-3"/>
        </w:rPr>
        <w:t> </w:t>
      </w:r>
      <w:r>
        <w:rPr/>
        <w:t>functions</w:t>
      </w:r>
      <w:r>
        <w:rPr>
          <w:spacing w:val="-4"/>
        </w:rPr>
        <w:t> </w:t>
      </w:r>
      <w:r>
        <w:rPr/>
        <w:t>for</w:t>
      </w:r>
      <w:r>
        <w:rPr>
          <w:spacing w:val="-3"/>
        </w:rPr>
        <w:t> </w:t>
      </w:r>
      <w:r>
        <w:rPr/>
        <w:t>this</w:t>
      </w:r>
      <w:r>
        <w:rPr>
          <w:spacing w:val="-4"/>
        </w:rPr>
        <w:t> </w:t>
      </w:r>
      <w:r>
        <w:rPr/>
        <w:t>purpose,</w:t>
      </w:r>
      <w:r>
        <w:rPr>
          <w:spacing w:val="-3"/>
        </w:rPr>
        <w:t> </w:t>
      </w:r>
      <w:r>
        <w:rPr/>
        <w:t>set</w:t>
      </w:r>
      <w:r>
        <w:rPr>
          <w:spacing w:val="-3"/>
        </w:rPr>
        <w:t> </w:t>
      </w:r>
      <w:r>
        <w:rPr/>
        <w:t>out</w:t>
      </w:r>
      <w:r>
        <w:rPr>
          <w:spacing w:val="-3"/>
        </w:rPr>
        <w:t> </w:t>
      </w:r>
      <w:r>
        <w:rPr/>
        <w:t>in</w:t>
      </w:r>
      <w:r>
        <w:rPr>
          <w:spacing w:val="-4"/>
        </w:rPr>
        <w:t> </w:t>
      </w:r>
      <w:r>
        <w:rPr/>
        <w:t>Sections</w:t>
      </w:r>
      <w:r>
        <w:rPr>
          <w:spacing w:val="-4"/>
        </w:rPr>
        <w:t> </w:t>
      </w:r>
      <w:r>
        <w:rPr/>
        <w:t>78A-78E</w:t>
      </w:r>
      <w:r>
        <w:rPr>
          <w:spacing w:val="-4"/>
        </w:rPr>
        <w:t> </w:t>
      </w:r>
      <w:r>
        <w:rPr/>
        <w:t>of</w:t>
      </w:r>
      <w:r>
        <w:rPr>
          <w:spacing w:val="-4"/>
        </w:rPr>
        <w:t> </w:t>
      </w:r>
      <w:r>
        <w:rPr/>
        <w:t>the Northern Ireland Act 1998, are:</w:t>
      </w:r>
    </w:p>
    <w:p>
      <w:pPr>
        <w:pStyle w:val="ListParagraph"/>
        <w:numPr>
          <w:ilvl w:val="0"/>
          <w:numId w:val="17"/>
        </w:numPr>
        <w:tabs>
          <w:tab w:pos="2562" w:val="left" w:leader="none"/>
        </w:tabs>
        <w:spacing w:line="323" w:lineRule="exact" w:before="0" w:after="0"/>
        <w:ind w:left="2562" w:right="0" w:hanging="360"/>
        <w:jc w:val="left"/>
        <w:rPr>
          <w:sz w:val="28"/>
        </w:rPr>
      </w:pPr>
      <w:r>
        <w:rPr>
          <w:sz w:val="28"/>
        </w:rPr>
        <w:t>monitoring</w:t>
      </w:r>
      <w:r>
        <w:rPr>
          <w:spacing w:val="-6"/>
          <w:sz w:val="28"/>
        </w:rPr>
        <w:t> </w:t>
      </w:r>
      <w:r>
        <w:rPr>
          <w:sz w:val="28"/>
        </w:rPr>
        <w:t>the</w:t>
      </w:r>
      <w:r>
        <w:rPr>
          <w:spacing w:val="-6"/>
          <w:sz w:val="28"/>
        </w:rPr>
        <w:t> </w:t>
      </w:r>
      <w:r>
        <w:rPr>
          <w:sz w:val="28"/>
        </w:rPr>
        <w:t>implementation</w:t>
      </w:r>
      <w:r>
        <w:rPr>
          <w:spacing w:val="-6"/>
          <w:sz w:val="28"/>
        </w:rPr>
        <w:t> </w:t>
      </w:r>
      <w:r>
        <w:rPr>
          <w:sz w:val="28"/>
        </w:rPr>
        <w:t>of</w:t>
      </w:r>
      <w:r>
        <w:rPr>
          <w:spacing w:val="-7"/>
          <w:sz w:val="28"/>
        </w:rPr>
        <w:t> </w:t>
      </w:r>
      <w:r>
        <w:rPr>
          <w:sz w:val="28"/>
        </w:rPr>
        <w:t>Article</w:t>
      </w:r>
      <w:r>
        <w:rPr>
          <w:spacing w:val="-6"/>
          <w:sz w:val="28"/>
        </w:rPr>
        <w:t> </w:t>
      </w:r>
      <w:r>
        <w:rPr>
          <w:sz w:val="28"/>
        </w:rPr>
        <w:t>2</w:t>
      </w:r>
      <w:r>
        <w:rPr>
          <w:spacing w:val="-5"/>
          <w:sz w:val="28"/>
        </w:rPr>
        <w:t> </w:t>
      </w:r>
      <w:r>
        <w:rPr>
          <w:sz w:val="28"/>
        </w:rPr>
        <w:t>(rights</w:t>
      </w:r>
      <w:r>
        <w:rPr>
          <w:spacing w:val="-7"/>
          <w:sz w:val="28"/>
        </w:rPr>
        <w:t> </w:t>
      </w:r>
      <w:r>
        <w:rPr>
          <w:sz w:val="28"/>
        </w:rPr>
        <w:t>of</w:t>
      </w:r>
      <w:r>
        <w:rPr>
          <w:spacing w:val="-6"/>
          <w:sz w:val="28"/>
        </w:rPr>
        <w:t> </w:t>
      </w:r>
      <w:r>
        <w:rPr>
          <w:spacing w:val="-2"/>
          <w:sz w:val="28"/>
        </w:rPr>
        <w:t>individuals);</w:t>
      </w:r>
    </w:p>
    <w:p>
      <w:pPr>
        <w:pStyle w:val="ListParagraph"/>
        <w:numPr>
          <w:ilvl w:val="0"/>
          <w:numId w:val="17"/>
        </w:numPr>
        <w:tabs>
          <w:tab w:pos="2562" w:val="left" w:leader="none"/>
        </w:tabs>
        <w:spacing w:line="225" w:lineRule="auto" w:before="99" w:after="0"/>
        <w:ind w:left="2562" w:right="1279" w:hanging="360"/>
        <w:jc w:val="left"/>
        <w:rPr>
          <w:sz w:val="28"/>
        </w:rPr>
      </w:pPr>
      <w:r>
        <w:rPr>
          <w:sz w:val="28"/>
        </w:rPr>
        <w:t>reporting</w:t>
      </w:r>
      <w:r>
        <w:rPr>
          <w:spacing w:val="-7"/>
          <w:sz w:val="28"/>
        </w:rPr>
        <w:t> </w:t>
      </w:r>
      <w:r>
        <w:rPr>
          <w:sz w:val="28"/>
        </w:rPr>
        <w:t>to</w:t>
      </w:r>
      <w:r>
        <w:rPr>
          <w:spacing w:val="-7"/>
          <w:sz w:val="28"/>
        </w:rPr>
        <w:t> </w:t>
      </w:r>
      <w:r>
        <w:rPr>
          <w:sz w:val="28"/>
        </w:rPr>
        <w:t>the</w:t>
      </w:r>
      <w:r>
        <w:rPr>
          <w:spacing w:val="-7"/>
          <w:sz w:val="28"/>
        </w:rPr>
        <w:t> </w:t>
      </w:r>
      <w:r>
        <w:rPr>
          <w:sz w:val="28"/>
        </w:rPr>
        <w:t>Secretary</w:t>
      </w:r>
      <w:r>
        <w:rPr>
          <w:spacing w:val="-7"/>
          <w:sz w:val="28"/>
        </w:rPr>
        <w:t> </w:t>
      </w:r>
      <w:r>
        <w:rPr>
          <w:sz w:val="28"/>
        </w:rPr>
        <w:t>of</w:t>
      </w:r>
      <w:r>
        <w:rPr>
          <w:spacing w:val="-7"/>
          <w:sz w:val="28"/>
        </w:rPr>
        <w:t> </w:t>
      </w:r>
      <w:r>
        <w:rPr>
          <w:sz w:val="28"/>
        </w:rPr>
        <w:t>State</w:t>
      </w:r>
      <w:r>
        <w:rPr>
          <w:spacing w:val="-7"/>
          <w:sz w:val="28"/>
        </w:rPr>
        <w:t> </w:t>
      </w:r>
      <w:r>
        <w:rPr>
          <w:sz w:val="28"/>
        </w:rPr>
        <w:t>for</w:t>
      </w:r>
      <w:r>
        <w:rPr>
          <w:spacing w:val="-7"/>
          <w:sz w:val="28"/>
        </w:rPr>
        <w:t> </w:t>
      </w:r>
      <w:r>
        <w:rPr>
          <w:sz w:val="28"/>
        </w:rPr>
        <w:t>NI</w:t>
      </w:r>
      <w:r>
        <w:rPr>
          <w:spacing w:val="-7"/>
          <w:sz w:val="28"/>
        </w:rPr>
        <w:t> </w:t>
      </w:r>
      <w:r>
        <w:rPr>
          <w:sz w:val="28"/>
        </w:rPr>
        <w:t>and</w:t>
      </w:r>
      <w:r>
        <w:rPr>
          <w:spacing w:val="-7"/>
          <w:sz w:val="28"/>
        </w:rPr>
        <w:t> </w:t>
      </w:r>
      <w:r>
        <w:rPr>
          <w:sz w:val="28"/>
        </w:rPr>
        <w:t>the</w:t>
      </w:r>
      <w:r>
        <w:rPr>
          <w:spacing w:val="-7"/>
          <w:sz w:val="28"/>
        </w:rPr>
        <w:t> </w:t>
      </w:r>
      <w:r>
        <w:rPr>
          <w:sz w:val="28"/>
        </w:rPr>
        <w:t>NI</w:t>
      </w:r>
      <w:r>
        <w:rPr>
          <w:spacing w:val="-7"/>
          <w:sz w:val="28"/>
        </w:rPr>
        <w:t> </w:t>
      </w:r>
      <w:r>
        <w:rPr>
          <w:sz w:val="28"/>
        </w:rPr>
        <w:t>Executive</w:t>
      </w:r>
      <w:r>
        <w:rPr>
          <w:spacing w:val="-7"/>
          <w:sz w:val="28"/>
        </w:rPr>
        <w:t> </w:t>
      </w:r>
      <w:r>
        <w:rPr>
          <w:sz w:val="28"/>
        </w:rPr>
        <w:t>Office</w:t>
      </w:r>
      <w:r>
        <w:rPr>
          <w:spacing w:val="-7"/>
          <w:sz w:val="28"/>
        </w:rPr>
        <w:t> </w:t>
      </w:r>
      <w:r>
        <w:rPr>
          <w:sz w:val="28"/>
        </w:rPr>
        <w:t>on the implementation of Article 2;</w:t>
      </w:r>
    </w:p>
    <w:p>
      <w:pPr>
        <w:pStyle w:val="ListParagraph"/>
        <w:numPr>
          <w:ilvl w:val="0"/>
          <w:numId w:val="17"/>
        </w:numPr>
        <w:tabs>
          <w:tab w:pos="2562" w:val="left" w:leader="none"/>
        </w:tabs>
        <w:spacing w:line="225" w:lineRule="auto" w:before="103" w:after="0"/>
        <w:ind w:left="2562" w:right="1323" w:hanging="360"/>
        <w:jc w:val="left"/>
        <w:rPr>
          <w:sz w:val="28"/>
        </w:rPr>
      </w:pPr>
      <w:r>
        <w:rPr>
          <w:sz w:val="28"/>
        </w:rPr>
        <w:t>advising</w:t>
      </w:r>
      <w:r>
        <w:rPr>
          <w:spacing w:val="-6"/>
          <w:sz w:val="28"/>
        </w:rPr>
        <w:t> </w:t>
      </w:r>
      <w:r>
        <w:rPr>
          <w:sz w:val="28"/>
        </w:rPr>
        <w:t>the</w:t>
      </w:r>
      <w:r>
        <w:rPr>
          <w:spacing w:val="-6"/>
          <w:sz w:val="28"/>
        </w:rPr>
        <w:t> </w:t>
      </w:r>
      <w:r>
        <w:rPr>
          <w:sz w:val="28"/>
        </w:rPr>
        <w:t>Secretary</w:t>
      </w:r>
      <w:r>
        <w:rPr>
          <w:spacing w:val="-6"/>
          <w:sz w:val="28"/>
        </w:rPr>
        <w:t> </w:t>
      </w:r>
      <w:r>
        <w:rPr>
          <w:sz w:val="28"/>
        </w:rPr>
        <w:t>of</w:t>
      </w:r>
      <w:r>
        <w:rPr>
          <w:spacing w:val="-7"/>
          <w:sz w:val="28"/>
        </w:rPr>
        <w:t> </w:t>
      </w:r>
      <w:r>
        <w:rPr>
          <w:sz w:val="28"/>
        </w:rPr>
        <w:t>State</w:t>
      </w:r>
      <w:r>
        <w:rPr>
          <w:spacing w:val="-6"/>
          <w:sz w:val="28"/>
        </w:rPr>
        <w:t> </w:t>
      </w:r>
      <w:r>
        <w:rPr>
          <w:sz w:val="28"/>
        </w:rPr>
        <w:t>for</w:t>
      </w:r>
      <w:r>
        <w:rPr>
          <w:spacing w:val="-6"/>
          <w:sz w:val="28"/>
        </w:rPr>
        <w:t> </w:t>
      </w:r>
      <w:r>
        <w:rPr>
          <w:sz w:val="28"/>
        </w:rPr>
        <w:t>NI</w:t>
      </w:r>
      <w:r>
        <w:rPr>
          <w:spacing w:val="-6"/>
          <w:sz w:val="28"/>
        </w:rPr>
        <w:t> </w:t>
      </w:r>
      <w:r>
        <w:rPr>
          <w:sz w:val="28"/>
        </w:rPr>
        <w:t>and</w:t>
      </w:r>
      <w:r>
        <w:rPr>
          <w:spacing w:val="-7"/>
          <w:sz w:val="28"/>
        </w:rPr>
        <w:t> </w:t>
      </w:r>
      <w:r>
        <w:rPr>
          <w:sz w:val="28"/>
        </w:rPr>
        <w:t>the</w:t>
      </w:r>
      <w:r>
        <w:rPr>
          <w:spacing w:val="-6"/>
          <w:sz w:val="28"/>
        </w:rPr>
        <w:t> </w:t>
      </w:r>
      <w:r>
        <w:rPr>
          <w:sz w:val="28"/>
        </w:rPr>
        <w:t>NI</w:t>
      </w:r>
      <w:r>
        <w:rPr>
          <w:spacing w:val="-6"/>
          <w:sz w:val="28"/>
        </w:rPr>
        <w:t> </w:t>
      </w:r>
      <w:r>
        <w:rPr>
          <w:sz w:val="28"/>
        </w:rPr>
        <w:t>Executive</w:t>
      </w:r>
      <w:r>
        <w:rPr>
          <w:spacing w:val="-6"/>
          <w:sz w:val="28"/>
        </w:rPr>
        <w:t> </w:t>
      </w:r>
      <w:r>
        <w:rPr>
          <w:sz w:val="28"/>
        </w:rPr>
        <w:t>of</w:t>
      </w:r>
      <w:r>
        <w:rPr>
          <w:spacing w:val="-7"/>
          <w:sz w:val="28"/>
        </w:rPr>
        <w:t> </w:t>
      </w:r>
      <w:r>
        <w:rPr>
          <w:sz w:val="28"/>
        </w:rPr>
        <w:t>legislative and other measures which ought to be taken to implement Article 2;</w:t>
      </w:r>
    </w:p>
    <w:p>
      <w:pPr>
        <w:pStyle w:val="ListParagraph"/>
        <w:numPr>
          <w:ilvl w:val="0"/>
          <w:numId w:val="17"/>
        </w:numPr>
        <w:tabs>
          <w:tab w:pos="2562" w:val="left" w:leader="none"/>
        </w:tabs>
        <w:spacing w:line="225" w:lineRule="auto" w:before="102" w:after="0"/>
        <w:ind w:left="2562" w:right="1433" w:hanging="360"/>
        <w:jc w:val="left"/>
        <w:rPr>
          <w:sz w:val="28"/>
        </w:rPr>
      </w:pPr>
      <w:r>
        <w:rPr>
          <w:sz w:val="28"/>
        </w:rPr>
        <w:t>advising</w:t>
      </w:r>
      <w:r>
        <w:rPr>
          <w:spacing w:val="-4"/>
          <w:sz w:val="28"/>
        </w:rPr>
        <w:t> </w:t>
      </w:r>
      <w:r>
        <w:rPr>
          <w:sz w:val="28"/>
        </w:rPr>
        <w:t>the</w:t>
      </w:r>
      <w:r>
        <w:rPr>
          <w:spacing w:val="-4"/>
          <w:sz w:val="28"/>
        </w:rPr>
        <w:t> </w:t>
      </w:r>
      <w:r>
        <w:rPr>
          <w:sz w:val="28"/>
        </w:rPr>
        <w:t>NI</w:t>
      </w:r>
      <w:r>
        <w:rPr>
          <w:spacing w:val="-4"/>
          <w:sz w:val="28"/>
        </w:rPr>
        <w:t> </w:t>
      </w:r>
      <w:r>
        <w:rPr>
          <w:sz w:val="28"/>
        </w:rPr>
        <w:t>Assembly</w:t>
      </w:r>
      <w:r>
        <w:rPr>
          <w:spacing w:val="-4"/>
          <w:sz w:val="28"/>
        </w:rPr>
        <w:t> </w:t>
      </w:r>
      <w:r>
        <w:rPr>
          <w:sz w:val="28"/>
        </w:rPr>
        <w:t>(or</w:t>
      </w:r>
      <w:r>
        <w:rPr>
          <w:spacing w:val="-4"/>
          <w:sz w:val="28"/>
        </w:rPr>
        <w:t> </w:t>
      </w:r>
      <w:r>
        <w:rPr>
          <w:sz w:val="28"/>
        </w:rPr>
        <w:t>a</w:t>
      </w:r>
      <w:r>
        <w:rPr>
          <w:spacing w:val="-5"/>
          <w:sz w:val="28"/>
        </w:rPr>
        <w:t> </w:t>
      </w:r>
      <w:r>
        <w:rPr>
          <w:sz w:val="28"/>
        </w:rPr>
        <w:t>committee</w:t>
      </w:r>
      <w:r>
        <w:rPr>
          <w:spacing w:val="-4"/>
          <w:sz w:val="28"/>
        </w:rPr>
        <w:t> </w:t>
      </w:r>
      <w:r>
        <w:rPr>
          <w:sz w:val="28"/>
        </w:rPr>
        <w:t>of</w:t>
      </w:r>
      <w:r>
        <w:rPr>
          <w:spacing w:val="-5"/>
          <w:sz w:val="28"/>
        </w:rPr>
        <w:t> </w:t>
      </w:r>
      <w:r>
        <w:rPr>
          <w:sz w:val="28"/>
        </w:rPr>
        <w:t>the</w:t>
      </w:r>
      <w:r>
        <w:rPr>
          <w:spacing w:val="-4"/>
          <w:sz w:val="28"/>
        </w:rPr>
        <w:t> </w:t>
      </w:r>
      <w:r>
        <w:rPr>
          <w:sz w:val="28"/>
        </w:rPr>
        <w:t>Assembly)</w:t>
      </w:r>
      <w:r>
        <w:rPr>
          <w:spacing w:val="-5"/>
          <w:sz w:val="28"/>
        </w:rPr>
        <w:t> </w:t>
      </w:r>
      <w:r>
        <w:rPr>
          <w:sz w:val="28"/>
        </w:rPr>
        <w:t>whether</w:t>
      </w:r>
      <w:r>
        <w:rPr>
          <w:spacing w:val="-4"/>
          <w:sz w:val="28"/>
        </w:rPr>
        <w:t> </w:t>
      </w:r>
      <w:r>
        <w:rPr>
          <w:sz w:val="28"/>
        </w:rPr>
        <w:t>a Bill is compatible with Article 2;</w:t>
      </w:r>
    </w:p>
    <w:p>
      <w:pPr>
        <w:pStyle w:val="ListParagraph"/>
        <w:numPr>
          <w:ilvl w:val="0"/>
          <w:numId w:val="17"/>
        </w:numPr>
        <w:tabs>
          <w:tab w:pos="2562" w:val="left" w:leader="none"/>
        </w:tabs>
        <w:spacing w:line="225" w:lineRule="auto" w:before="103" w:after="0"/>
        <w:ind w:left="2562" w:right="1302" w:hanging="360"/>
        <w:jc w:val="left"/>
        <w:rPr>
          <w:sz w:val="28"/>
        </w:rPr>
      </w:pPr>
      <w:r>
        <w:rPr>
          <w:sz w:val="28"/>
        </w:rPr>
        <w:t>promoting understanding and awareness of the importance of Article 2,</w:t>
      </w:r>
      <w:r>
        <w:rPr>
          <w:spacing w:val="-5"/>
          <w:sz w:val="28"/>
        </w:rPr>
        <w:t> </w:t>
      </w:r>
      <w:r>
        <w:rPr>
          <w:sz w:val="28"/>
        </w:rPr>
        <w:t>including</w:t>
      </w:r>
      <w:r>
        <w:rPr>
          <w:spacing w:val="-5"/>
          <w:sz w:val="28"/>
        </w:rPr>
        <w:t> </w:t>
      </w:r>
      <w:r>
        <w:rPr>
          <w:sz w:val="28"/>
        </w:rPr>
        <w:t>undertaking,</w:t>
      </w:r>
      <w:r>
        <w:rPr>
          <w:spacing w:val="-5"/>
          <w:sz w:val="28"/>
        </w:rPr>
        <w:t> </w:t>
      </w:r>
      <w:r>
        <w:rPr>
          <w:sz w:val="28"/>
        </w:rPr>
        <w:t>commissioning</w:t>
      </w:r>
      <w:r>
        <w:rPr>
          <w:spacing w:val="-5"/>
          <w:sz w:val="28"/>
        </w:rPr>
        <w:t> </w:t>
      </w:r>
      <w:r>
        <w:rPr>
          <w:sz w:val="28"/>
        </w:rPr>
        <w:t>or</w:t>
      </w:r>
      <w:r>
        <w:rPr>
          <w:spacing w:val="-5"/>
          <w:sz w:val="28"/>
        </w:rPr>
        <w:t> </w:t>
      </w:r>
      <w:r>
        <w:rPr>
          <w:sz w:val="28"/>
        </w:rPr>
        <w:t>providing</w:t>
      </w:r>
      <w:r>
        <w:rPr>
          <w:spacing w:val="-5"/>
          <w:sz w:val="28"/>
        </w:rPr>
        <w:t> </w:t>
      </w:r>
      <w:r>
        <w:rPr>
          <w:sz w:val="28"/>
        </w:rPr>
        <w:t>financial</w:t>
      </w:r>
      <w:r>
        <w:rPr>
          <w:spacing w:val="-6"/>
          <w:sz w:val="28"/>
        </w:rPr>
        <w:t> </w:t>
      </w:r>
      <w:r>
        <w:rPr>
          <w:sz w:val="28"/>
        </w:rPr>
        <w:t>or</w:t>
      </w:r>
      <w:r>
        <w:rPr>
          <w:spacing w:val="-5"/>
          <w:sz w:val="28"/>
        </w:rPr>
        <w:t> </w:t>
      </w:r>
      <w:r>
        <w:rPr>
          <w:sz w:val="28"/>
        </w:rPr>
        <w:t>other assistance for research and educational activities;</w:t>
      </w:r>
    </w:p>
    <w:p>
      <w:pPr>
        <w:pStyle w:val="ListParagraph"/>
        <w:numPr>
          <w:ilvl w:val="0"/>
          <w:numId w:val="17"/>
        </w:numPr>
        <w:tabs>
          <w:tab w:pos="2562" w:val="left" w:leader="none"/>
        </w:tabs>
        <w:spacing w:line="225" w:lineRule="auto" w:before="101" w:after="0"/>
        <w:ind w:left="2562" w:right="2092" w:hanging="360"/>
        <w:jc w:val="left"/>
        <w:rPr>
          <w:sz w:val="28"/>
        </w:rPr>
      </w:pPr>
      <w:r>
        <w:rPr>
          <w:sz w:val="28"/>
        </w:rPr>
        <w:t>bringing</w:t>
      </w:r>
      <w:r>
        <w:rPr>
          <w:spacing w:val="-8"/>
          <w:sz w:val="28"/>
        </w:rPr>
        <w:t> </w:t>
      </w:r>
      <w:r>
        <w:rPr>
          <w:sz w:val="28"/>
        </w:rPr>
        <w:t>any</w:t>
      </w:r>
      <w:r>
        <w:rPr>
          <w:spacing w:val="-8"/>
          <w:sz w:val="28"/>
        </w:rPr>
        <w:t> </w:t>
      </w:r>
      <w:r>
        <w:rPr>
          <w:sz w:val="28"/>
        </w:rPr>
        <w:t>appropriate</w:t>
      </w:r>
      <w:r>
        <w:rPr>
          <w:spacing w:val="-8"/>
          <w:sz w:val="28"/>
        </w:rPr>
        <w:t> </w:t>
      </w:r>
      <w:r>
        <w:rPr>
          <w:sz w:val="28"/>
        </w:rPr>
        <w:t>matters</w:t>
      </w:r>
      <w:r>
        <w:rPr>
          <w:spacing w:val="-9"/>
          <w:sz w:val="28"/>
        </w:rPr>
        <w:t> </w:t>
      </w:r>
      <w:r>
        <w:rPr>
          <w:sz w:val="28"/>
        </w:rPr>
        <w:t>of</w:t>
      </w:r>
      <w:r>
        <w:rPr>
          <w:spacing w:val="-9"/>
          <w:sz w:val="28"/>
        </w:rPr>
        <w:t> </w:t>
      </w:r>
      <w:r>
        <w:rPr>
          <w:sz w:val="28"/>
        </w:rPr>
        <w:t>relevance</w:t>
      </w:r>
      <w:r>
        <w:rPr>
          <w:spacing w:val="-8"/>
          <w:sz w:val="28"/>
        </w:rPr>
        <w:t> </w:t>
      </w:r>
      <w:r>
        <w:rPr>
          <w:sz w:val="28"/>
        </w:rPr>
        <w:t>to</w:t>
      </w:r>
      <w:r>
        <w:rPr>
          <w:spacing w:val="-9"/>
          <w:sz w:val="28"/>
        </w:rPr>
        <w:t> </w:t>
      </w:r>
      <w:r>
        <w:rPr>
          <w:sz w:val="28"/>
        </w:rPr>
        <w:t>Article</w:t>
      </w:r>
      <w:r>
        <w:rPr>
          <w:spacing w:val="-8"/>
          <w:sz w:val="28"/>
        </w:rPr>
        <w:t> </w:t>
      </w:r>
      <w:r>
        <w:rPr>
          <w:sz w:val="28"/>
        </w:rPr>
        <w:t>2</w:t>
      </w:r>
      <w:r>
        <w:rPr>
          <w:spacing w:val="-8"/>
          <w:sz w:val="28"/>
        </w:rPr>
        <w:t> </w:t>
      </w:r>
      <w:r>
        <w:rPr>
          <w:sz w:val="28"/>
        </w:rPr>
        <w:t>to</w:t>
      </w:r>
      <w:r>
        <w:rPr>
          <w:spacing w:val="-9"/>
          <w:sz w:val="28"/>
        </w:rPr>
        <w:t> </w:t>
      </w:r>
      <w:r>
        <w:rPr>
          <w:sz w:val="28"/>
        </w:rPr>
        <w:t>the attention of the Specialised Committee on the Protocol;</w:t>
      </w:r>
    </w:p>
    <w:p>
      <w:pPr>
        <w:pStyle w:val="ListParagraph"/>
        <w:numPr>
          <w:ilvl w:val="0"/>
          <w:numId w:val="17"/>
        </w:numPr>
        <w:tabs>
          <w:tab w:pos="2562" w:val="left" w:leader="none"/>
        </w:tabs>
        <w:spacing w:line="225" w:lineRule="auto" w:before="103" w:after="0"/>
        <w:ind w:left="2562" w:right="1565" w:hanging="360"/>
        <w:jc w:val="left"/>
        <w:rPr>
          <w:sz w:val="28"/>
        </w:rPr>
      </w:pPr>
      <w:r>
        <w:rPr>
          <w:sz w:val="28"/>
        </w:rPr>
        <w:t>taking</w:t>
      </w:r>
      <w:r>
        <w:rPr>
          <w:spacing w:val="-5"/>
          <w:sz w:val="28"/>
        </w:rPr>
        <w:t> </w:t>
      </w:r>
      <w:r>
        <w:rPr>
          <w:sz w:val="28"/>
        </w:rPr>
        <w:t>judicial</w:t>
      </w:r>
      <w:r>
        <w:rPr>
          <w:spacing w:val="-6"/>
          <w:sz w:val="28"/>
        </w:rPr>
        <w:t> </w:t>
      </w:r>
      <w:r>
        <w:rPr>
          <w:sz w:val="28"/>
        </w:rPr>
        <w:t>review</w:t>
      </w:r>
      <w:r>
        <w:rPr>
          <w:spacing w:val="-5"/>
          <w:sz w:val="28"/>
        </w:rPr>
        <w:t> </w:t>
      </w:r>
      <w:r>
        <w:rPr>
          <w:sz w:val="28"/>
        </w:rPr>
        <w:t>proceedings</w:t>
      </w:r>
      <w:r>
        <w:rPr>
          <w:spacing w:val="-6"/>
          <w:sz w:val="28"/>
        </w:rPr>
        <w:t> </w:t>
      </w:r>
      <w:r>
        <w:rPr>
          <w:sz w:val="28"/>
        </w:rPr>
        <w:t>in</w:t>
      </w:r>
      <w:r>
        <w:rPr>
          <w:spacing w:val="-6"/>
          <w:sz w:val="28"/>
        </w:rPr>
        <w:t> </w:t>
      </w:r>
      <w:r>
        <w:rPr>
          <w:sz w:val="28"/>
        </w:rPr>
        <w:t>respect</w:t>
      </w:r>
      <w:r>
        <w:rPr>
          <w:spacing w:val="-5"/>
          <w:sz w:val="28"/>
        </w:rPr>
        <w:t> </w:t>
      </w:r>
      <w:r>
        <w:rPr>
          <w:sz w:val="28"/>
        </w:rPr>
        <w:t>of</w:t>
      </w:r>
      <w:r>
        <w:rPr>
          <w:spacing w:val="-6"/>
          <w:sz w:val="28"/>
        </w:rPr>
        <w:t> </w:t>
      </w:r>
      <w:r>
        <w:rPr>
          <w:sz w:val="28"/>
        </w:rPr>
        <w:t>an</w:t>
      </w:r>
      <w:r>
        <w:rPr>
          <w:spacing w:val="-6"/>
          <w:sz w:val="28"/>
        </w:rPr>
        <w:t> </w:t>
      </w:r>
      <w:r>
        <w:rPr>
          <w:sz w:val="28"/>
        </w:rPr>
        <w:t>alleged</w:t>
      </w:r>
      <w:r>
        <w:rPr>
          <w:spacing w:val="-6"/>
          <w:sz w:val="28"/>
        </w:rPr>
        <w:t> </w:t>
      </w:r>
      <w:r>
        <w:rPr>
          <w:sz w:val="28"/>
        </w:rPr>
        <w:t>breach</w:t>
      </w:r>
      <w:r>
        <w:rPr>
          <w:spacing w:val="-6"/>
          <w:sz w:val="28"/>
        </w:rPr>
        <w:t> </w:t>
      </w:r>
      <w:r>
        <w:rPr>
          <w:sz w:val="28"/>
        </w:rPr>
        <w:t>(or potential future breach) of Article 2;</w:t>
      </w:r>
    </w:p>
    <w:p>
      <w:pPr>
        <w:pStyle w:val="ListParagraph"/>
        <w:numPr>
          <w:ilvl w:val="0"/>
          <w:numId w:val="17"/>
        </w:numPr>
        <w:tabs>
          <w:tab w:pos="2562" w:val="left" w:leader="none"/>
        </w:tabs>
        <w:spacing w:line="225" w:lineRule="auto" w:before="102" w:after="0"/>
        <w:ind w:left="2562" w:right="1576" w:hanging="360"/>
        <w:jc w:val="left"/>
        <w:rPr>
          <w:sz w:val="28"/>
        </w:rPr>
      </w:pPr>
      <w:r>
        <w:rPr>
          <w:sz w:val="28"/>
        </w:rPr>
        <w:t>assisting persons in legal proceedings or proposed proceedings in respect</w:t>
      </w:r>
      <w:r>
        <w:rPr>
          <w:spacing w:val="-5"/>
          <w:sz w:val="28"/>
        </w:rPr>
        <w:t> </w:t>
      </w:r>
      <w:r>
        <w:rPr>
          <w:sz w:val="28"/>
        </w:rPr>
        <w:t>of</w:t>
      </w:r>
      <w:r>
        <w:rPr>
          <w:spacing w:val="-6"/>
          <w:sz w:val="28"/>
        </w:rPr>
        <w:t> </w:t>
      </w:r>
      <w:r>
        <w:rPr>
          <w:sz w:val="28"/>
        </w:rPr>
        <w:t>an</w:t>
      </w:r>
      <w:r>
        <w:rPr>
          <w:spacing w:val="-6"/>
          <w:sz w:val="28"/>
        </w:rPr>
        <w:t> </w:t>
      </w:r>
      <w:r>
        <w:rPr>
          <w:sz w:val="28"/>
        </w:rPr>
        <w:t>alleged</w:t>
      </w:r>
      <w:r>
        <w:rPr>
          <w:spacing w:val="-6"/>
          <w:sz w:val="28"/>
        </w:rPr>
        <w:t> </w:t>
      </w:r>
      <w:r>
        <w:rPr>
          <w:sz w:val="28"/>
        </w:rPr>
        <w:t>breach</w:t>
      </w:r>
      <w:r>
        <w:rPr>
          <w:spacing w:val="-6"/>
          <w:sz w:val="28"/>
        </w:rPr>
        <w:t> </w:t>
      </w:r>
      <w:r>
        <w:rPr>
          <w:sz w:val="28"/>
        </w:rPr>
        <w:t>(or</w:t>
      </w:r>
      <w:r>
        <w:rPr>
          <w:spacing w:val="-5"/>
          <w:sz w:val="28"/>
        </w:rPr>
        <w:t> </w:t>
      </w:r>
      <w:r>
        <w:rPr>
          <w:sz w:val="28"/>
        </w:rPr>
        <w:t>potential</w:t>
      </w:r>
      <w:r>
        <w:rPr>
          <w:spacing w:val="-6"/>
          <w:sz w:val="28"/>
        </w:rPr>
        <w:t> </w:t>
      </w:r>
      <w:r>
        <w:rPr>
          <w:sz w:val="28"/>
        </w:rPr>
        <w:t>future</w:t>
      </w:r>
      <w:r>
        <w:rPr>
          <w:spacing w:val="-5"/>
          <w:sz w:val="28"/>
        </w:rPr>
        <w:t> </w:t>
      </w:r>
      <w:r>
        <w:rPr>
          <w:sz w:val="28"/>
        </w:rPr>
        <w:t>breach)</w:t>
      </w:r>
      <w:r>
        <w:rPr>
          <w:spacing w:val="-6"/>
          <w:sz w:val="28"/>
        </w:rPr>
        <w:t> </w:t>
      </w:r>
      <w:r>
        <w:rPr>
          <w:sz w:val="28"/>
        </w:rPr>
        <w:t>of</w:t>
      </w:r>
      <w:r>
        <w:rPr>
          <w:spacing w:val="-6"/>
          <w:sz w:val="28"/>
        </w:rPr>
        <w:t> </w:t>
      </w:r>
      <w:r>
        <w:rPr>
          <w:sz w:val="28"/>
        </w:rPr>
        <w:t>Article</w:t>
      </w:r>
      <w:r>
        <w:rPr>
          <w:spacing w:val="-5"/>
          <w:sz w:val="28"/>
        </w:rPr>
        <w:t> </w:t>
      </w:r>
      <w:r>
        <w:rPr>
          <w:sz w:val="28"/>
        </w:rPr>
        <w:t>2; </w:t>
      </w:r>
      <w:r>
        <w:rPr>
          <w:spacing w:val="-4"/>
          <w:sz w:val="28"/>
        </w:rPr>
        <w:t>and</w:t>
      </w:r>
    </w:p>
    <w:p>
      <w:pPr>
        <w:pStyle w:val="ListParagraph"/>
        <w:numPr>
          <w:ilvl w:val="0"/>
          <w:numId w:val="17"/>
        </w:numPr>
        <w:tabs>
          <w:tab w:pos="2562" w:val="left" w:leader="none"/>
        </w:tabs>
        <w:spacing w:line="225" w:lineRule="auto" w:before="102" w:after="0"/>
        <w:ind w:left="2562" w:right="1636" w:hanging="360"/>
        <w:jc w:val="left"/>
        <w:rPr>
          <w:sz w:val="28"/>
        </w:rPr>
      </w:pPr>
      <w:r>
        <w:rPr>
          <w:sz w:val="28"/>
        </w:rPr>
        <w:t>intervening</w:t>
      </w:r>
      <w:r>
        <w:rPr>
          <w:spacing w:val="-6"/>
          <w:sz w:val="28"/>
        </w:rPr>
        <w:t> </w:t>
      </w:r>
      <w:r>
        <w:rPr>
          <w:sz w:val="28"/>
        </w:rPr>
        <w:t>in</w:t>
      </w:r>
      <w:r>
        <w:rPr>
          <w:spacing w:val="-6"/>
          <w:sz w:val="28"/>
        </w:rPr>
        <w:t> </w:t>
      </w:r>
      <w:r>
        <w:rPr>
          <w:sz w:val="28"/>
        </w:rPr>
        <w:t>legal</w:t>
      </w:r>
      <w:r>
        <w:rPr>
          <w:spacing w:val="-6"/>
          <w:sz w:val="28"/>
        </w:rPr>
        <w:t> </w:t>
      </w:r>
      <w:r>
        <w:rPr>
          <w:sz w:val="28"/>
        </w:rPr>
        <w:t>proceedings</w:t>
      </w:r>
      <w:r>
        <w:rPr>
          <w:spacing w:val="-6"/>
          <w:sz w:val="28"/>
        </w:rPr>
        <w:t> </w:t>
      </w:r>
      <w:r>
        <w:rPr>
          <w:sz w:val="28"/>
        </w:rPr>
        <w:t>in</w:t>
      </w:r>
      <w:r>
        <w:rPr>
          <w:spacing w:val="-6"/>
          <w:sz w:val="28"/>
        </w:rPr>
        <w:t> </w:t>
      </w:r>
      <w:r>
        <w:rPr>
          <w:sz w:val="28"/>
        </w:rPr>
        <w:t>so</w:t>
      </w:r>
      <w:r>
        <w:rPr>
          <w:spacing w:val="-6"/>
          <w:sz w:val="28"/>
        </w:rPr>
        <w:t> </w:t>
      </w:r>
      <w:r>
        <w:rPr>
          <w:sz w:val="28"/>
        </w:rPr>
        <w:t>far</w:t>
      </w:r>
      <w:r>
        <w:rPr>
          <w:spacing w:val="-6"/>
          <w:sz w:val="28"/>
        </w:rPr>
        <w:t> </w:t>
      </w:r>
      <w:r>
        <w:rPr>
          <w:sz w:val="28"/>
        </w:rPr>
        <w:t>as</w:t>
      </w:r>
      <w:r>
        <w:rPr>
          <w:spacing w:val="-6"/>
          <w:sz w:val="28"/>
        </w:rPr>
        <w:t> </w:t>
      </w:r>
      <w:r>
        <w:rPr>
          <w:sz w:val="28"/>
        </w:rPr>
        <w:t>they</w:t>
      </w:r>
      <w:r>
        <w:rPr>
          <w:spacing w:val="-6"/>
          <w:sz w:val="28"/>
        </w:rPr>
        <w:t> </w:t>
      </w:r>
      <w:r>
        <w:rPr>
          <w:sz w:val="28"/>
        </w:rPr>
        <w:t>relate</w:t>
      </w:r>
      <w:r>
        <w:rPr>
          <w:spacing w:val="-6"/>
          <w:sz w:val="28"/>
        </w:rPr>
        <w:t> </w:t>
      </w:r>
      <w:r>
        <w:rPr>
          <w:sz w:val="28"/>
        </w:rPr>
        <w:t>to</w:t>
      </w:r>
      <w:r>
        <w:rPr>
          <w:spacing w:val="-6"/>
          <w:sz w:val="28"/>
        </w:rPr>
        <w:t> </w:t>
      </w:r>
      <w:r>
        <w:rPr>
          <w:sz w:val="28"/>
        </w:rPr>
        <w:t>an</w:t>
      </w:r>
      <w:r>
        <w:rPr>
          <w:spacing w:val="-6"/>
          <w:sz w:val="28"/>
        </w:rPr>
        <w:t> </w:t>
      </w:r>
      <w:r>
        <w:rPr>
          <w:sz w:val="28"/>
        </w:rPr>
        <w:t>alleged breach (or potential future breach) of Article 2.</w:t>
      </w:r>
    </w:p>
    <w:p>
      <w:pPr>
        <w:pStyle w:val="BodyText"/>
        <w:spacing w:before="79"/>
      </w:pPr>
    </w:p>
    <w:p>
      <w:pPr>
        <w:pStyle w:val="Heading5"/>
        <w:ind w:left="1133" w:firstLine="0"/>
      </w:pPr>
      <w:bookmarkStart w:name="NIHRC" w:id="143"/>
      <w:bookmarkEnd w:id="143"/>
      <w:r>
        <w:rPr>
          <w:b w:val="0"/>
        </w:rPr>
      </w:r>
      <w:r>
        <w:rPr>
          <w:color w:val="393B7F"/>
          <w:spacing w:val="-2"/>
        </w:rPr>
        <w:t>NIHRC</w:t>
      </w:r>
    </w:p>
    <w:p>
      <w:pPr>
        <w:pStyle w:val="BodyText"/>
        <w:spacing w:line="331" w:lineRule="exact" w:before="315"/>
        <w:ind w:left="1133"/>
        <w:jc w:val="both"/>
      </w:pPr>
      <w:r>
        <w:rPr/>
        <w:t>The</w:t>
      </w:r>
      <w:r>
        <w:rPr>
          <w:spacing w:val="-6"/>
        </w:rPr>
        <w:t> </w:t>
      </w:r>
      <w:r>
        <w:rPr/>
        <w:t>NIHRC</w:t>
      </w:r>
      <w:r>
        <w:rPr>
          <w:spacing w:val="-6"/>
        </w:rPr>
        <w:t> </w:t>
      </w:r>
      <w:r>
        <w:rPr/>
        <w:t>was</w:t>
      </w:r>
      <w:r>
        <w:rPr>
          <w:spacing w:val="-6"/>
        </w:rPr>
        <w:t> </w:t>
      </w:r>
      <w:r>
        <w:rPr/>
        <w:t>established</w:t>
      </w:r>
      <w:r>
        <w:rPr>
          <w:spacing w:val="-6"/>
        </w:rPr>
        <w:t> </w:t>
      </w:r>
      <w:r>
        <w:rPr/>
        <w:t>as</w:t>
      </w:r>
      <w:r>
        <w:rPr>
          <w:spacing w:val="-6"/>
        </w:rPr>
        <w:t> </w:t>
      </w:r>
      <w:r>
        <w:rPr/>
        <w:t>a</w:t>
      </w:r>
      <w:r>
        <w:rPr>
          <w:spacing w:val="-6"/>
        </w:rPr>
        <w:t> </w:t>
      </w:r>
      <w:r>
        <w:rPr/>
        <w:t>result</w:t>
      </w:r>
      <w:r>
        <w:rPr>
          <w:spacing w:val="-5"/>
        </w:rPr>
        <w:t> </w:t>
      </w:r>
      <w:r>
        <w:rPr/>
        <w:t>of</w:t>
      </w:r>
      <w:r>
        <w:rPr>
          <w:spacing w:val="-6"/>
        </w:rPr>
        <w:t> </w:t>
      </w:r>
      <w:r>
        <w:rPr/>
        <w:t>the</w:t>
      </w:r>
      <w:r>
        <w:rPr>
          <w:spacing w:val="-5"/>
        </w:rPr>
        <w:t> </w:t>
      </w:r>
      <w:r>
        <w:rPr/>
        <w:t>Belfast</w:t>
      </w:r>
      <w:r>
        <w:rPr>
          <w:spacing w:val="-5"/>
        </w:rPr>
        <w:t> </w:t>
      </w:r>
      <w:r>
        <w:rPr/>
        <w:t>(Good</w:t>
      </w:r>
      <w:r>
        <w:rPr>
          <w:spacing w:val="-6"/>
        </w:rPr>
        <w:t> </w:t>
      </w:r>
      <w:r>
        <w:rPr/>
        <w:t>Friday)</w:t>
      </w:r>
      <w:r>
        <w:rPr>
          <w:spacing w:val="-6"/>
        </w:rPr>
        <w:t> </w:t>
      </w:r>
      <w:r>
        <w:rPr/>
        <w:t>Agreement</w:t>
      </w:r>
      <w:r>
        <w:rPr>
          <w:spacing w:val="-5"/>
        </w:rPr>
        <w:t> </w:t>
      </w:r>
      <w:r>
        <w:rPr>
          <w:spacing w:val="-2"/>
        </w:rPr>
        <w:t>1998.</w:t>
      </w:r>
    </w:p>
    <w:p>
      <w:pPr>
        <w:pStyle w:val="BodyText"/>
        <w:spacing w:line="225" w:lineRule="auto" w:before="5"/>
        <w:ind w:left="1133" w:right="1711"/>
        <w:jc w:val="both"/>
      </w:pPr>
      <w:r>
        <w:rPr/>
        <w:t>The</w:t>
      </w:r>
      <w:r>
        <w:rPr>
          <w:spacing w:val="-3"/>
        </w:rPr>
        <w:t> </w:t>
      </w:r>
      <w:r>
        <w:rPr/>
        <w:t>NIHRC’s</w:t>
      </w:r>
      <w:r>
        <w:rPr>
          <w:spacing w:val="-4"/>
        </w:rPr>
        <w:t> </w:t>
      </w:r>
      <w:r>
        <w:rPr/>
        <w:t>governing</w:t>
      </w:r>
      <w:r>
        <w:rPr>
          <w:spacing w:val="-3"/>
        </w:rPr>
        <w:t> </w:t>
      </w:r>
      <w:r>
        <w:rPr/>
        <w:t>legislation</w:t>
      </w:r>
      <w:r>
        <w:rPr>
          <w:spacing w:val="-4"/>
        </w:rPr>
        <w:t> </w:t>
      </w:r>
      <w:r>
        <w:rPr/>
        <w:t>is</w:t>
      </w:r>
      <w:r>
        <w:rPr>
          <w:spacing w:val="-4"/>
        </w:rPr>
        <w:t> </w:t>
      </w:r>
      <w:r>
        <w:rPr/>
        <w:t>the</w:t>
      </w:r>
      <w:r>
        <w:rPr>
          <w:spacing w:val="-3"/>
        </w:rPr>
        <w:t> </w:t>
      </w:r>
      <w:r>
        <w:rPr/>
        <w:t>Northern</w:t>
      </w:r>
      <w:r>
        <w:rPr>
          <w:spacing w:val="-4"/>
        </w:rPr>
        <w:t> </w:t>
      </w:r>
      <w:r>
        <w:rPr/>
        <w:t>Ireland</w:t>
      </w:r>
      <w:r>
        <w:rPr>
          <w:spacing w:val="-4"/>
        </w:rPr>
        <w:t> </w:t>
      </w:r>
      <w:r>
        <w:rPr/>
        <w:t>Act</w:t>
      </w:r>
      <w:r>
        <w:rPr>
          <w:spacing w:val="-3"/>
        </w:rPr>
        <w:t> </w:t>
      </w:r>
      <w:r>
        <w:rPr/>
        <w:t>1998,</w:t>
      </w:r>
      <w:r>
        <w:rPr>
          <w:spacing w:val="-3"/>
        </w:rPr>
        <w:t> </w:t>
      </w:r>
      <w:r>
        <w:rPr/>
        <w:t>as</w:t>
      </w:r>
      <w:r>
        <w:rPr>
          <w:spacing w:val="-4"/>
        </w:rPr>
        <w:t> </w:t>
      </w:r>
      <w:r>
        <w:rPr/>
        <w:t>amended by</w:t>
      </w:r>
      <w:r>
        <w:rPr>
          <w:spacing w:val="-4"/>
        </w:rPr>
        <w:t> </w:t>
      </w:r>
      <w:r>
        <w:rPr/>
        <w:t>the</w:t>
      </w:r>
      <w:r>
        <w:rPr>
          <w:spacing w:val="-4"/>
        </w:rPr>
        <w:t> </w:t>
      </w:r>
      <w:r>
        <w:rPr/>
        <w:t>Justice</w:t>
      </w:r>
      <w:r>
        <w:rPr>
          <w:spacing w:val="-4"/>
        </w:rPr>
        <w:t> </w:t>
      </w:r>
      <w:r>
        <w:rPr/>
        <w:t>and</w:t>
      </w:r>
      <w:r>
        <w:rPr>
          <w:spacing w:val="-5"/>
        </w:rPr>
        <w:t> </w:t>
      </w:r>
      <w:r>
        <w:rPr/>
        <w:t>Security</w:t>
      </w:r>
      <w:r>
        <w:rPr>
          <w:spacing w:val="-4"/>
        </w:rPr>
        <w:t> </w:t>
      </w:r>
      <w:r>
        <w:rPr/>
        <w:t>(Northern</w:t>
      </w:r>
      <w:r>
        <w:rPr>
          <w:spacing w:val="-5"/>
        </w:rPr>
        <w:t> </w:t>
      </w:r>
      <w:r>
        <w:rPr/>
        <w:t>Ireland)</w:t>
      </w:r>
      <w:r>
        <w:rPr>
          <w:spacing w:val="-5"/>
        </w:rPr>
        <w:t> </w:t>
      </w:r>
      <w:r>
        <w:rPr/>
        <w:t>Act</w:t>
      </w:r>
      <w:r>
        <w:rPr>
          <w:spacing w:val="-4"/>
        </w:rPr>
        <w:t> </w:t>
      </w:r>
      <w:r>
        <w:rPr/>
        <w:t>2007</w:t>
      </w:r>
      <w:r>
        <w:rPr>
          <w:spacing w:val="-4"/>
        </w:rPr>
        <w:t> </w:t>
      </w:r>
      <w:r>
        <w:rPr/>
        <w:t>and</w:t>
      </w:r>
      <w:r>
        <w:rPr>
          <w:spacing w:val="-5"/>
        </w:rPr>
        <w:t> </w:t>
      </w:r>
      <w:r>
        <w:rPr/>
        <w:t>the</w:t>
      </w:r>
      <w:r>
        <w:rPr>
          <w:spacing w:val="-4"/>
        </w:rPr>
        <w:t> </w:t>
      </w:r>
      <w:r>
        <w:rPr/>
        <w:t>European</w:t>
      </w:r>
      <w:r>
        <w:rPr>
          <w:spacing w:val="-5"/>
        </w:rPr>
        <w:t> </w:t>
      </w:r>
      <w:r>
        <w:rPr/>
        <w:t>Union (Withdrawal Agreement) Act 2020.</w:t>
      </w:r>
    </w:p>
    <w:p>
      <w:pPr>
        <w:pStyle w:val="BodyText"/>
        <w:spacing w:line="225" w:lineRule="auto" w:before="316"/>
        <w:ind w:left="1133" w:right="1743"/>
        <w:jc w:val="both"/>
      </w:pPr>
      <w:r>
        <w:rPr/>
        <w:t>The NIHRC is a National Human Rights Institution with ‘A status’ accreditation from</w:t>
      </w:r>
      <w:r>
        <w:rPr>
          <w:spacing w:val="-8"/>
        </w:rPr>
        <w:t> </w:t>
      </w:r>
      <w:r>
        <w:rPr/>
        <w:t>the</w:t>
      </w:r>
      <w:r>
        <w:rPr>
          <w:spacing w:val="-8"/>
        </w:rPr>
        <w:t> </w:t>
      </w:r>
      <w:r>
        <w:rPr/>
        <w:t>United</w:t>
      </w:r>
      <w:r>
        <w:rPr>
          <w:spacing w:val="-9"/>
        </w:rPr>
        <w:t> </w:t>
      </w:r>
      <w:r>
        <w:rPr/>
        <w:t>Nations.</w:t>
      </w:r>
      <w:r>
        <w:rPr>
          <w:spacing w:val="-9"/>
        </w:rPr>
        <w:t> </w:t>
      </w:r>
      <w:r>
        <w:rPr/>
        <w:t>This</w:t>
      </w:r>
      <w:r>
        <w:rPr>
          <w:spacing w:val="-9"/>
        </w:rPr>
        <w:t> </w:t>
      </w:r>
      <w:r>
        <w:rPr/>
        <w:t>recognition</w:t>
      </w:r>
      <w:r>
        <w:rPr>
          <w:spacing w:val="-9"/>
        </w:rPr>
        <w:t> </w:t>
      </w:r>
      <w:r>
        <w:rPr/>
        <w:t>means</w:t>
      </w:r>
      <w:r>
        <w:rPr>
          <w:spacing w:val="-9"/>
        </w:rPr>
        <w:t> </w:t>
      </w:r>
      <w:r>
        <w:rPr/>
        <w:t>that</w:t>
      </w:r>
      <w:r>
        <w:rPr>
          <w:spacing w:val="-8"/>
        </w:rPr>
        <w:t> </w:t>
      </w:r>
      <w:r>
        <w:rPr/>
        <w:t>the</w:t>
      </w:r>
      <w:r>
        <w:rPr>
          <w:spacing w:val="-8"/>
        </w:rPr>
        <w:t> </w:t>
      </w:r>
      <w:r>
        <w:rPr/>
        <w:t>organisation</w:t>
      </w:r>
      <w:r>
        <w:rPr>
          <w:spacing w:val="-9"/>
        </w:rPr>
        <w:t> </w:t>
      </w:r>
      <w:r>
        <w:rPr/>
        <w:t>operates</w:t>
      </w:r>
    </w:p>
    <w:p>
      <w:pPr>
        <w:pStyle w:val="BodyText"/>
        <w:spacing w:before="72"/>
        <w:rPr>
          <w:sz w:val="20"/>
        </w:rPr>
      </w:pPr>
      <w:r>
        <w:rPr/>
        <mc:AlternateContent>
          <mc:Choice Requires="wps">
            <w:drawing>
              <wp:anchor distT="0" distB="0" distL="0" distR="0" allowOverlap="1" layoutInCell="1" locked="0" behindDoc="1" simplePos="0" relativeHeight="487736832">
                <wp:simplePos x="0" y="0"/>
                <wp:positionH relativeFrom="page">
                  <wp:posOffset>719996</wp:posOffset>
                </wp:positionH>
                <wp:positionV relativeFrom="paragraph">
                  <wp:posOffset>216410</wp:posOffset>
                </wp:positionV>
                <wp:extent cx="6120130" cy="1270"/>
                <wp:effectExtent l="0" t="0" r="0" b="0"/>
                <wp:wrapTopAndBottom/>
                <wp:docPr id="667" name="Graphic 667"/>
                <wp:cNvGraphicFramePr>
                  <a:graphicFrameLocks/>
                </wp:cNvGraphicFramePr>
                <a:graphic>
                  <a:graphicData uri="http://schemas.microsoft.com/office/word/2010/wordprocessingShape">
                    <wps:wsp>
                      <wps:cNvPr id="667" name="Graphic 667"/>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7.040165pt;width:481.9pt;height:.1pt;mso-position-horizontal-relative:page;mso-position-vertical-relative:paragraph;z-index:-15579648;mso-wrap-distance-left:0;mso-wrap-distance-right:0" id="docshape611" coordorigin="1134,341" coordsize="9638,0" path="m10772,341l1134,341e" filled="false" stroked="true" strokeweight="1pt" strokecolor="#393b80">
                <v:path arrowok="t"/>
                <v:stroke dashstyle="solid"/>
                <w10:wrap type="topAndBottom"/>
              </v:shape>
            </w:pict>
          </mc:Fallback>
        </mc:AlternateContent>
      </w:r>
    </w:p>
    <w:p>
      <w:pPr>
        <w:pStyle w:val="ListParagraph"/>
        <w:numPr>
          <w:ilvl w:val="0"/>
          <w:numId w:val="16"/>
        </w:numPr>
        <w:tabs>
          <w:tab w:pos="1853" w:val="left" w:leader="none"/>
        </w:tabs>
        <w:spacing w:line="235" w:lineRule="auto" w:before="109" w:after="0"/>
        <w:ind w:left="1853" w:right="1168" w:hanging="720"/>
        <w:jc w:val="left"/>
        <w:rPr>
          <w:sz w:val="18"/>
        </w:rPr>
      </w:pPr>
      <w:r>
        <w:rPr>
          <w:sz w:val="18"/>
        </w:rPr>
        <w:t>Agreement</w:t>
      </w:r>
      <w:r>
        <w:rPr>
          <w:spacing w:val="-3"/>
          <w:sz w:val="18"/>
        </w:rPr>
        <w:t> </w:t>
      </w:r>
      <w:r>
        <w:rPr>
          <w:sz w:val="18"/>
        </w:rPr>
        <w:t>on</w:t>
      </w:r>
      <w:r>
        <w:rPr>
          <w:spacing w:val="-4"/>
          <w:sz w:val="18"/>
        </w:rPr>
        <w:t> </w:t>
      </w:r>
      <w:r>
        <w:rPr>
          <w:sz w:val="18"/>
        </w:rPr>
        <w:t>the</w:t>
      </w:r>
      <w:r>
        <w:rPr>
          <w:spacing w:val="-4"/>
          <w:sz w:val="18"/>
        </w:rPr>
        <w:t> </w:t>
      </w:r>
      <w:r>
        <w:rPr>
          <w:sz w:val="18"/>
        </w:rPr>
        <w:t>Withdrawal</w:t>
      </w:r>
      <w:r>
        <w:rPr>
          <w:spacing w:val="-4"/>
          <w:sz w:val="18"/>
        </w:rPr>
        <w:t> </w:t>
      </w:r>
      <w:r>
        <w:rPr>
          <w:sz w:val="18"/>
        </w:rPr>
        <w:t>of</w:t>
      </w:r>
      <w:r>
        <w:rPr>
          <w:spacing w:val="-4"/>
          <w:sz w:val="18"/>
        </w:rPr>
        <w:t> </w:t>
      </w:r>
      <w:r>
        <w:rPr>
          <w:sz w:val="18"/>
        </w:rPr>
        <w:t>the</w:t>
      </w:r>
      <w:r>
        <w:rPr>
          <w:spacing w:val="-4"/>
          <w:sz w:val="18"/>
        </w:rPr>
        <w:t> </w:t>
      </w:r>
      <w:r>
        <w:rPr>
          <w:sz w:val="18"/>
        </w:rPr>
        <w:t>United</w:t>
      </w:r>
      <w:r>
        <w:rPr>
          <w:spacing w:val="-4"/>
          <w:sz w:val="18"/>
        </w:rPr>
        <w:t> </w:t>
      </w:r>
      <w:r>
        <w:rPr>
          <w:sz w:val="18"/>
        </w:rPr>
        <w:t>Kingdom</w:t>
      </w:r>
      <w:r>
        <w:rPr>
          <w:spacing w:val="-4"/>
          <w:sz w:val="18"/>
        </w:rPr>
        <w:t> </w:t>
      </w:r>
      <w:r>
        <w:rPr>
          <w:sz w:val="18"/>
        </w:rPr>
        <w:t>of</w:t>
      </w:r>
      <w:r>
        <w:rPr>
          <w:spacing w:val="-4"/>
          <w:sz w:val="18"/>
        </w:rPr>
        <w:t> </w:t>
      </w:r>
      <w:r>
        <w:rPr>
          <w:sz w:val="18"/>
        </w:rPr>
        <w:t>Great</w:t>
      </w:r>
      <w:r>
        <w:rPr>
          <w:spacing w:val="-3"/>
          <w:sz w:val="18"/>
        </w:rPr>
        <w:t> </w:t>
      </w:r>
      <w:r>
        <w:rPr>
          <w:sz w:val="18"/>
        </w:rPr>
        <w:t>Britain</w:t>
      </w:r>
      <w:r>
        <w:rPr>
          <w:spacing w:val="-4"/>
          <w:sz w:val="18"/>
        </w:rPr>
        <w:t> </w:t>
      </w:r>
      <w:r>
        <w:rPr>
          <w:sz w:val="18"/>
        </w:rPr>
        <w:t>and</w:t>
      </w:r>
      <w:r>
        <w:rPr>
          <w:spacing w:val="-4"/>
          <w:sz w:val="18"/>
        </w:rPr>
        <w:t> </w:t>
      </w:r>
      <w:r>
        <w:rPr>
          <w:sz w:val="18"/>
        </w:rPr>
        <w:t>Northern</w:t>
      </w:r>
      <w:r>
        <w:rPr>
          <w:spacing w:val="-4"/>
          <w:sz w:val="18"/>
        </w:rPr>
        <w:t> </w:t>
      </w:r>
      <w:r>
        <w:rPr>
          <w:sz w:val="18"/>
        </w:rPr>
        <w:t>Ireland</w:t>
      </w:r>
      <w:r>
        <w:rPr>
          <w:spacing w:val="-4"/>
          <w:sz w:val="18"/>
        </w:rPr>
        <w:t> </w:t>
      </w:r>
      <w:r>
        <w:rPr>
          <w:sz w:val="18"/>
        </w:rPr>
        <w:t>from</w:t>
      </w:r>
      <w:r>
        <w:rPr>
          <w:spacing w:val="-4"/>
          <w:sz w:val="18"/>
        </w:rPr>
        <w:t> </w:t>
      </w:r>
      <w:r>
        <w:rPr>
          <w:sz w:val="18"/>
        </w:rPr>
        <w:t>the</w:t>
      </w:r>
      <w:r>
        <w:rPr>
          <w:spacing w:val="-4"/>
          <w:sz w:val="18"/>
        </w:rPr>
        <w:t> </w:t>
      </w:r>
      <w:r>
        <w:rPr>
          <w:sz w:val="18"/>
        </w:rPr>
        <w:t>European</w:t>
      </w:r>
      <w:r>
        <w:rPr>
          <w:spacing w:val="-4"/>
          <w:sz w:val="18"/>
        </w:rPr>
        <w:t> </w:t>
      </w:r>
      <w:r>
        <w:rPr>
          <w:sz w:val="18"/>
        </w:rPr>
        <w:t>Union</w:t>
      </w:r>
      <w:r>
        <w:rPr>
          <w:spacing w:val="-4"/>
          <w:sz w:val="18"/>
        </w:rPr>
        <w:t> </w:t>
      </w:r>
      <w:r>
        <w:rPr>
          <w:sz w:val="18"/>
        </w:rPr>
        <w:t>and the European Atomic Energy Community, 24 January 2020.</w:t>
      </w:r>
    </w:p>
    <w:p>
      <w:pPr>
        <w:spacing w:after="0" w:line="235" w:lineRule="auto"/>
        <w:jc w:val="left"/>
        <w:rPr>
          <w:sz w:val="18"/>
        </w:rPr>
        <w:sectPr>
          <w:pgSz w:w="11910" w:h="16840"/>
          <w:pgMar w:header="496" w:footer="367" w:top="1220" w:bottom="560" w:left="0" w:right="0"/>
        </w:sectPr>
      </w:pPr>
    </w:p>
    <w:p>
      <w:pPr>
        <w:pStyle w:val="BodyText"/>
        <w:spacing w:before="198"/>
      </w:pPr>
    </w:p>
    <w:p>
      <w:pPr>
        <w:pStyle w:val="BodyText"/>
        <w:spacing w:line="225" w:lineRule="auto"/>
        <w:ind w:left="1133" w:right="1171"/>
      </w:pPr>
      <w:r>
        <w:rPr/>
        <w:t>independently</w:t>
      </w:r>
      <w:r>
        <w:rPr>
          <w:spacing w:val="-5"/>
        </w:rPr>
        <w:t> </w:t>
      </w:r>
      <w:r>
        <w:rPr/>
        <w:t>in</w:t>
      </w:r>
      <w:r>
        <w:rPr>
          <w:spacing w:val="-6"/>
        </w:rPr>
        <w:t> </w:t>
      </w:r>
      <w:r>
        <w:rPr/>
        <w:t>full</w:t>
      </w:r>
      <w:r>
        <w:rPr>
          <w:spacing w:val="-6"/>
        </w:rPr>
        <w:t> </w:t>
      </w:r>
      <w:r>
        <w:rPr/>
        <w:t>accordance</w:t>
      </w:r>
      <w:r>
        <w:rPr>
          <w:spacing w:val="-5"/>
        </w:rPr>
        <w:t> </w:t>
      </w:r>
      <w:r>
        <w:rPr/>
        <w:t>with</w:t>
      </w:r>
      <w:r>
        <w:rPr>
          <w:spacing w:val="-6"/>
        </w:rPr>
        <w:t> </w:t>
      </w:r>
      <w:r>
        <w:rPr/>
        <w:t>the</w:t>
      </w:r>
      <w:r>
        <w:rPr>
          <w:spacing w:val="-5"/>
        </w:rPr>
        <w:t> </w:t>
      </w:r>
      <w:r>
        <w:rPr/>
        <w:t>UN</w:t>
      </w:r>
      <w:r>
        <w:rPr>
          <w:spacing w:val="-5"/>
        </w:rPr>
        <w:t> </w:t>
      </w:r>
      <w:r>
        <w:rPr/>
        <w:t>General</w:t>
      </w:r>
      <w:r>
        <w:rPr>
          <w:spacing w:val="-6"/>
        </w:rPr>
        <w:t> </w:t>
      </w:r>
      <w:r>
        <w:rPr/>
        <w:t>Assembly</w:t>
      </w:r>
      <w:r>
        <w:rPr>
          <w:spacing w:val="-5"/>
        </w:rPr>
        <w:t> </w:t>
      </w:r>
      <w:r>
        <w:rPr/>
        <w:t>Resolution</w:t>
      </w:r>
      <w:r>
        <w:rPr>
          <w:spacing w:val="-6"/>
        </w:rPr>
        <w:t> </w:t>
      </w:r>
      <w:r>
        <w:rPr/>
        <w:t>48/134 (the Paris Principles) reporting to UN treaty bodies and exercising speaking rights before the UN Human Rights Council.</w:t>
      </w:r>
    </w:p>
    <w:p>
      <w:pPr>
        <w:pStyle w:val="BodyText"/>
        <w:spacing w:line="225" w:lineRule="auto" w:before="317"/>
        <w:ind w:left="1133" w:right="1301"/>
      </w:pPr>
      <w:r>
        <w:rPr/>
        <w:t>The</w:t>
      </w:r>
      <w:r>
        <w:rPr>
          <w:spacing w:val="-6"/>
        </w:rPr>
        <w:t> </w:t>
      </w:r>
      <w:r>
        <w:rPr/>
        <w:t>NIHRC</w:t>
      </w:r>
      <w:r>
        <w:rPr>
          <w:spacing w:val="-7"/>
        </w:rPr>
        <w:t> </w:t>
      </w:r>
      <w:r>
        <w:rPr/>
        <w:t>is</w:t>
      </w:r>
      <w:r>
        <w:rPr>
          <w:spacing w:val="-7"/>
        </w:rPr>
        <w:t> </w:t>
      </w:r>
      <w:r>
        <w:rPr/>
        <w:t>also</w:t>
      </w:r>
      <w:r>
        <w:rPr>
          <w:spacing w:val="-7"/>
        </w:rPr>
        <w:t> </w:t>
      </w:r>
      <w:r>
        <w:rPr/>
        <w:t>a</w:t>
      </w:r>
      <w:r>
        <w:rPr>
          <w:spacing w:val="-7"/>
        </w:rPr>
        <w:t> </w:t>
      </w:r>
      <w:r>
        <w:rPr/>
        <w:t>non-departmental</w:t>
      </w:r>
      <w:r>
        <w:rPr>
          <w:spacing w:val="-7"/>
        </w:rPr>
        <w:t> </w:t>
      </w:r>
      <w:r>
        <w:rPr/>
        <w:t>public</w:t>
      </w:r>
      <w:r>
        <w:rPr>
          <w:spacing w:val="-6"/>
        </w:rPr>
        <w:t> </w:t>
      </w:r>
      <w:r>
        <w:rPr/>
        <w:t>body</w:t>
      </w:r>
      <w:r>
        <w:rPr>
          <w:spacing w:val="-6"/>
        </w:rPr>
        <w:t> </w:t>
      </w:r>
      <w:r>
        <w:rPr/>
        <w:t>and</w:t>
      </w:r>
      <w:r>
        <w:rPr>
          <w:spacing w:val="-7"/>
        </w:rPr>
        <w:t> </w:t>
      </w:r>
      <w:r>
        <w:rPr/>
        <w:t>receives</w:t>
      </w:r>
      <w:r>
        <w:rPr>
          <w:spacing w:val="-7"/>
        </w:rPr>
        <w:t> </w:t>
      </w:r>
      <w:r>
        <w:rPr/>
        <w:t>grant-in-aid</w:t>
      </w:r>
      <w:r>
        <w:rPr>
          <w:spacing w:val="-7"/>
        </w:rPr>
        <w:t> </w:t>
      </w:r>
      <w:r>
        <w:rPr/>
        <w:t>from the UK Government through the NI Office. We report to Parliament through the Secretary of State for NI.</w:t>
      </w:r>
    </w:p>
    <w:p>
      <w:pPr>
        <w:pStyle w:val="BodyText"/>
        <w:spacing w:line="225" w:lineRule="auto" w:before="316"/>
        <w:ind w:left="1133" w:right="1171"/>
      </w:pPr>
      <w:r>
        <w:rPr/>
        <w:t>The</w:t>
      </w:r>
      <w:r>
        <w:rPr>
          <w:spacing w:val="-3"/>
        </w:rPr>
        <w:t> </w:t>
      </w:r>
      <w:r>
        <w:rPr/>
        <w:t>NIHRC</w:t>
      </w:r>
      <w:r>
        <w:rPr>
          <w:spacing w:val="-4"/>
        </w:rPr>
        <w:t> </w:t>
      </w:r>
      <w:r>
        <w:rPr/>
        <w:t>also</w:t>
      </w:r>
      <w:r>
        <w:rPr>
          <w:spacing w:val="-4"/>
        </w:rPr>
        <w:t> </w:t>
      </w:r>
      <w:r>
        <w:rPr/>
        <w:t>has</w:t>
      </w:r>
      <w:r>
        <w:rPr>
          <w:spacing w:val="-4"/>
        </w:rPr>
        <w:t> </w:t>
      </w:r>
      <w:r>
        <w:rPr/>
        <w:t>additional</w:t>
      </w:r>
      <w:r>
        <w:rPr>
          <w:spacing w:val="-4"/>
        </w:rPr>
        <w:t> </w:t>
      </w:r>
      <w:r>
        <w:rPr/>
        <w:t>functions,</w:t>
      </w:r>
      <w:r>
        <w:rPr>
          <w:spacing w:val="-3"/>
        </w:rPr>
        <w:t> </w:t>
      </w:r>
      <w:r>
        <w:rPr/>
        <w:t>as</w:t>
      </w:r>
      <w:r>
        <w:rPr>
          <w:spacing w:val="-4"/>
        </w:rPr>
        <w:t> </w:t>
      </w:r>
      <w:r>
        <w:rPr/>
        <w:t>set</w:t>
      </w:r>
      <w:r>
        <w:rPr>
          <w:spacing w:val="-3"/>
        </w:rPr>
        <w:t> </w:t>
      </w:r>
      <w:r>
        <w:rPr/>
        <w:t>out</w:t>
      </w:r>
      <w:r>
        <w:rPr>
          <w:spacing w:val="-3"/>
        </w:rPr>
        <w:t> </w:t>
      </w:r>
      <w:r>
        <w:rPr/>
        <w:t>in</w:t>
      </w:r>
      <w:r>
        <w:rPr>
          <w:spacing w:val="-4"/>
        </w:rPr>
        <w:t> </w:t>
      </w:r>
      <w:r>
        <w:rPr/>
        <w:t>the</w:t>
      </w:r>
      <w:r>
        <w:rPr>
          <w:spacing w:val="-3"/>
        </w:rPr>
        <w:t> </w:t>
      </w:r>
      <w:r>
        <w:rPr/>
        <w:t>Northern</w:t>
      </w:r>
      <w:r>
        <w:rPr>
          <w:spacing w:val="-4"/>
        </w:rPr>
        <w:t> </w:t>
      </w:r>
      <w:r>
        <w:rPr/>
        <w:t>Ireland</w:t>
      </w:r>
      <w:r>
        <w:rPr>
          <w:spacing w:val="-4"/>
        </w:rPr>
        <w:t> </w:t>
      </w:r>
      <w:r>
        <w:rPr/>
        <w:t>Act</w:t>
      </w:r>
      <w:r>
        <w:rPr>
          <w:spacing w:val="-3"/>
        </w:rPr>
        <w:t> </w:t>
      </w:r>
      <w:r>
        <w:rPr/>
        <w:t>1998, </w:t>
      </w:r>
      <w:r>
        <w:rPr>
          <w:spacing w:val="-4"/>
        </w:rPr>
        <w:t>to:</w:t>
      </w:r>
    </w:p>
    <w:p>
      <w:pPr>
        <w:pStyle w:val="ListParagraph"/>
        <w:numPr>
          <w:ilvl w:val="0"/>
          <w:numId w:val="17"/>
        </w:numPr>
        <w:tabs>
          <w:tab w:pos="2562" w:val="left" w:leader="none"/>
        </w:tabs>
        <w:spacing w:line="312" w:lineRule="exact" w:before="0" w:after="0"/>
        <w:ind w:left="2562" w:right="0" w:hanging="360"/>
        <w:jc w:val="left"/>
        <w:rPr>
          <w:sz w:val="28"/>
        </w:rPr>
      </w:pPr>
      <w:r>
        <w:rPr>
          <w:sz w:val="28"/>
        </w:rPr>
        <w:t>keep</w:t>
      </w:r>
      <w:r>
        <w:rPr>
          <w:spacing w:val="-7"/>
          <w:sz w:val="28"/>
        </w:rPr>
        <w:t> </w:t>
      </w:r>
      <w:r>
        <w:rPr>
          <w:sz w:val="28"/>
        </w:rPr>
        <w:t>under</w:t>
      </w:r>
      <w:r>
        <w:rPr>
          <w:spacing w:val="-5"/>
          <w:sz w:val="28"/>
        </w:rPr>
        <w:t> </w:t>
      </w:r>
      <w:r>
        <w:rPr>
          <w:sz w:val="28"/>
        </w:rPr>
        <w:t>review</w:t>
      </w:r>
      <w:r>
        <w:rPr>
          <w:spacing w:val="-5"/>
          <w:sz w:val="28"/>
        </w:rPr>
        <w:t> </w:t>
      </w:r>
      <w:r>
        <w:rPr>
          <w:sz w:val="28"/>
        </w:rPr>
        <w:t>the</w:t>
      </w:r>
      <w:r>
        <w:rPr>
          <w:spacing w:val="-5"/>
          <w:sz w:val="28"/>
        </w:rPr>
        <w:t> </w:t>
      </w:r>
      <w:r>
        <w:rPr>
          <w:sz w:val="28"/>
        </w:rPr>
        <w:t>adequacy</w:t>
      </w:r>
      <w:r>
        <w:rPr>
          <w:spacing w:val="-5"/>
          <w:sz w:val="28"/>
        </w:rPr>
        <w:t> </w:t>
      </w:r>
      <w:r>
        <w:rPr>
          <w:sz w:val="28"/>
        </w:rPr>
        <w:t>and</w:t>
      </w:r>
      <w:r>
        <w:rPr>
          <w:spacing w:val="-7"/>
          <w:sz w:val="28"/>
        </w:rPr>
        <w:t> </w:t>
      </w:r>
      <w:r>
        <w:rPr>
          <w:sz w:val="28"/>
        </w:rPr>
        <w:t>effectiveness</w:t>
      </w:r>
      <w:r>
        <w:rPr>
          <w:spacing w:val="-6"/>
          <w:sz w:val="28"/>
        </w:rPr>
        <w:t> </w:t>
      </w:r>
      <w:r>
        <w:rPr>
          <w:sz w:val="28"/>
        </w:rPr>
        <w:t>in</w:t>
      </w:r>
      <w:r>
        <w:rPr>
          <w:spacing w:val="-6"/>
          <w:sz w:val="28"/>
        </w:rPr>
        <w:t> </w:t>
      </w:r>
      <w:r>
        <w:rPr>
          <w:sz w:val="28"/>
        </w:rPr>
        <w:t>NI</w:t>
      </w:r>
      <w:r>
        <w:rPr>
          <w:spacing w:val="-5"/>
          <w:sz w:val="28"/>
        </w:rPr>
        <w:t> </w:t>
      </w:r>
      <w:r>
        <w:rPr>
          <w:sz w:val="28"/>
        </w:rPr>
        <w:t>of</w:t>
      </w:r>
      <w:r>
        <w:rPr>
          <w:spacing w:val="-6"/>
          <w:sz w:val="28"/>
        </w:rPr>
        <w:t> </w:t>
      </w:r>
      <w:r>
        <w:rPr>
          <w:sz w:val="28"/>
        </w:rPr>
        <w:t>law</w:t>
      </w:r>
      <w:r>
        <w:rPr>
          <w:spacing w:val="-5"/>
          <w:sz w:val="28"/>
        </w:rPr>
        <w:t> and</w:t>
      </w:r>
    </w:p>
    <w:p>
      <w:pPr>
        <w:pStyle w:val="BodyText"/>
        <w:spacing w:line="331" w:lineRule="exact"/>
        <w:ind w:left="2562"/>
      </w:pPr>
      <w:r>
        <w:rPr/>
        <w:t>practice</w:t>
      </w:r>
      <w:r>
        <w:rPr>
          <w:spacing w:val="-8"/>
        </w:rPr>
        <w:t> </w:t>
      </w:r>
      <w:r>
        <w:rPr/>
        <w:t>relating</w:t>
      </w:r>
      <w:r>
        <w:rPr>
          <w:spacing w:val="-8"/>
        </w:rPr>
        <w:t> </w:t>
      </w:r>
      <w:r>
        <w:rPr/>
        <w:t>to</w:t>
      </w:r>
      <w:r>
        <w:rPr>
          <w:spacing w:val="-8"/>
        </w:rPr>
        <w:t> </w:t>
      </w:r>
      <w:r>
        <w:rPr/>
        <w:t>the</w:t>
      </w:r>
      <w:r>
        <w:rPr>
          <w:spacing w:val="-7"/>
        </w:rPr>
        <w:t> </w:t>
      </w:r>
      <w:r>
        <w:rPr/>
        <w:t>protection</w:t>
      </w:r>
      <w:r>
        <w:rPr>
          <w:spacing w:val="-9"/>
        </w:rPr>
        <w:t> </w:t>
      </w:r>
      <w:r>
        <w:rPr/>
        <w:t>of</w:t>
      </w:r>
      <w:r>
        <w:rPr>
          <w:spacing w:val="-8"/>
        </w:rPr>
        <w:t> </w:t>
      </w:r>
      <w:r>
        <w:rPr/>
        <w:t>human</w:t>
      </w:r>
      <w:r>
        <w:rPr>
          <w:spacing w:val="-9"/>
        </w:rPr>
        <w:t> </w:t>
      </w:r>
      <w:r>
        <w:rPr>
          <w:spacing w:val="-2"/>
        </w:rPr>
        <w:t>rights;</w:t>
      </w:r>
    </w:p>
    <w:p>
      <w:pPr>
        <w:pStyle w:val="ListParagraph"/>
        <w:numPr>
          <w:ilvl w:val="0"/>
          <w:numId w:val="17"/>
        </w:numPr>
        <w:tabs>
          <w:tab w:pos="2562" w:val="left" w:leader="none"/>
        </w:tabs>
        <w:spacing w:line="225" w:lineRule="auto" w:before="99" w:after="0"/>
        <w:ind w:left="2562" w:right="1413" w:hanging="360"/>
        <w:jc w:val="left"/>
        <w:rPr>
          <w:sz w:val="28"/>
        </w:rPr>
      </w:pPr>
      <w:r>
        <w:rPr>
          <w:sz w:val="28"/>
        </w:rPr>
        <w:t>advise the Secretary of State for NI and the NI Executive of legislative and</w:t>
      </w:r>
      <w:r>
        <w:rPr>
          <w:spacing w:val="-7"/>
          <w:sz w:val="28"/>
        </w:rPr>
        <w:t> </w:t>
      </w:r>
      <w:r>
        <w:rPr>
          <w:sz w:val="28"/>
        </w:rPr>
        <w:t>other</w:t>
      </w:r>
      <w:r>
        <w:rPr>
          <w:spacing w:val="-6"/>
          <w:sz w:val="28"/>
        </w:rPr>
        <w:t> </w:t>
      </w:r>
      <w:r>
        <w:rPr>
          <w:sz w:val="28"/>
        </w:rPr>
        <w:t>measures</w:t>
      </w:r>
      <w:r>
        <w:rPr>
          <w:spacing w:val="-7"/>
          <w:sz w:val="28"/>
        </w:rPr>
        <w:t> </w:t>
      </w:r>
      <w:r>
        <w:rPr>
          <w:sz w:val="28"/>
        </w:rPr>
        <w:t>which</w:t>
      </w:r>
      <w:r>
        <w:rPr>
          <w:spacing w:val="-7"/>
          <w:sz w:val="28"/>
        </w:rPr>
        <w:t> </w:t>
      </w:r>
      <w:r>
        <w:rPr>
          <w:sz w:val="28"/>
        </w:rPr>
        <w:t>ought</w:t>
      </w:r>
      <w:r>
        <w:rPr>
          <w:spacing w:val="-6"/>
          <w:sz w:val="28"/>
        </w:rPr>
        <w:t> </w:t>
      </w:r>
      <w:r>
        <w:rPr>
          <w:sz w:val="28"/>
        </w:rPr>
        <w:t>to</w:t>
      </w:r>
      <w:r>
        <w:rPr>
          <w:spacing w:val="-7"/>
          <w:sz w:val="28"/>
        </w:rPr>
        <w:t> </w:t>
      </w:r>
      <w:r>
        <w:rPr>
          <w:sz w:val="28"/>
        </w:rPr>
        <w:t>be</w:t>
      </w:r>
      <w:r>
        <w:rPr>
          <w:spacing w:val="-6"/>
          <w:sz w:val="28"/>
        </w:rPr>
        <w:t> </w:t>
      </w:r>
      <w:r>
        <w:rPr>
          <w:sz w:val="28"/>
        </w:rPr>
        <w:t>taken</w:t>
      </w:r>
      <w:r>
        <w:rPr>
          <w:spacing w:val="-7"/>
          <w:sz w:val="28"/>
        </w:rPr>
        <w:t> </w:t>
      </w:r>
      <w:r>
        <w:rPr>
          <w:sz w:val="28"/>
        </w:rPr>
        <w:t>to</w:t>
      </w:r>
      <w:r>
        <w:rPr>
          <w:spacing w:val="-7"/>
          <w:sz w:val="28"/>
        </w:rPr>
        <w:t> </w:t>
      </w:r>
      <w:r>
        <w:rPr>
          <w:sz w:val="28"/>
        </w:rPr>
        <w:t>protect</w:t>
      </w:r>
      <w:r>
        <w:rPr>
          <w:spacing w:val="-6"/>
          <w:sz w:val="28"/>
        </w:rPr>
        <w:t> </w:t>
      </w:r>
      <w:r>
        <w:rPr>
          <w:sz w:val="28"/>
        </w:rPr>
        <w:t>human</w:t>
      </w:r>
      <w:r>
        <w:rPr>
          <w:spacing w:val="-7"/>
          <w:sz w:val="28"/>
        </w:rPr>
        <w:t> </w:t>
      </w:r>
      <w:r>
        <w:rPr>
          <w:sz w:val="28"/>
        </w:rPr>
        <w:t>rights;</w:t>
      </w:r>
    </w:p>
    <w:p>
      <w:pPr>
        <w:pStyle w:val="ListParagraph"/>
        <w:numPr>
          <w:ilvl w:val="0"/>
          <w:numId w:val="17"/>
        </w:numPr>
        <w:tabs>
          <w:tab w:pos="2562" w:val="left" w:leader="none"/>
        </w:tabs>
        <w:spacing w:line="225" w:lineRule="auto" w:before="103" w:after="0"/>
        <w:ind w:left="2562" w:right="1184" w:hanging="360"/>
        <w:jc w:val="left"/>
        <w:rPr>
          <w:sz w:val="28"/>
        </w:rPr>
      </w:pPr>
      <w:r>
        <w:rPr>
          <w:sz w:val="28"/>
        </w:rPr>
        <w:t>advise</w:t>
      </w:r>
      <w:r>
        <w:rPr>
          <w:spacing w:val="-5"/>
          <w:sz w:val="28"/>
        </w:rPr>
        <w:t> </w:t>
      </w:r>
      <w:r>
        <w:rPr>
          <w:sz w:val="28"/>
        </w:rPr>
        <w:t>the</w:t>
      </w:r>
      <w:r>
        <w:rPr>
          <w:spacing w:val="-5"/>
          <w:sz w:val="28"/>
        </w:rPr>
        <w:t> </w:t>
      </w:r>
      <w:r>
        <w:rPr>
          <w:sz w:val="28"/>
        </w:rPr>
        <w:t>NI</w:t>
      </w:r>
      <w:r>
        <w:rPr>
          <w:spacing w:val="-5"/>
          <w:sz w:val="28"/>
        </w:rPr>
        <w:t> </w:t>
      </w:r>
      <w:r>
        <w:rPr>
          <w:sz w:val="28"/>
        </w:rPr>
        <w:t>Assembly</w:t>
      </w:r>
      <w:r>
        <w:rPr>
          <w:spacing w:val="-5"/>
          <w:sz w:val="28"/>
        </w:rPr>
        <w:t> </w:t>
      </w:r>
      <w:r>
        <w:rPr>
          <w:sz w:val="28"/>
        </w:rPr>
        <w:t>whether</w:t>
      </w:r>
      <w:r>
        <w:rPr>
          <w:spacing w:val="-5"/>
          <w:sz w:val="28"/>
        </w:rPr>
        <w:t> </w:t>
      </w:r>
      <w:r>
        <w:rPr>
          <w:sz w:val="28"/>
        </w:rPr>
        <w:t>proposed</w:t>
      </w:r>
      <w:r>
        <w:rPr>
          <w:spacing w:val="-6"/>
          <w:sz w:val="28"/>
        </w:rPr>
        <w:t> </w:t>
      </w:r>
      <w:r>
        <w:rPr>
          <w:sz w:val="28"/>
        </w:rPr>
        <w:t>legislation</w:t>
      </w:r>
      <w:r>
        <w:rPr>
          <w:spacing w:val="-6"/>
          <w:sz w:val="28"/>
        </w:rPr>
        <w:t> </w:t>
      </w:r>
      <w:r>
        <w:rPr>
          <w:sz w:val="28"/>
        </w:rPr>
        <w:t>is</w:t>
      </w:r>
      <w:r>
        <w:rPr>
          <w:spacing w:val="-6"/>
          <w:sz w:val="28"/>
        </w:rPr>
        <w:t> </w:t>
      </w:r>
      <w:r>
        <w:rPr>
          <w:sz w:val="28"/>
        </w:rPr>
        <w:t>compatible</w:t>
      </w:r>
      <w:r>
        <w:rPr>
          <w:spacing w:val="-5"/>
          <w:sz w:val="28"/>
        </w:rPr>
        <w:t> </w:t>
      </w:r>
      <w:r>
        <w:rPr>
          <w:sz w:val="28"/>
        </w:rPr>
        <w:t>with human rights standards;</w:t>
      </w:r>
    </w:p>
    <w:p>
      <w:pPr>
        <w:pStyle w:val="ListParagraph"/>
        <w:numPr>
          <w:ilvl w:val="0"/>
          <w:numId w:val="17"/>
        </w:numPr>
        <w:tabs>
          <w:tab w:pos="2562" w:val="left" w:leader="none"/>
        </w:tabs>
        <w:spacing w:line="225" w:lineRule="auto" w:before="102" w:after="0"/>
        <w:ind w:left="2562" w:right="1201" w:hanging="360"/>
        <w:jc w:val="left"/>
        <w:rPr>
          <w:sz w:val="28"/>
        </w:rPr>
      </w:pPr>
      <w:r>
        <w:rPr>
          <w:sz w:val="28"/>
        </w:rPr>
        <w:t>promote understanding and awareness of the importance of human rights</w:t>
      </w:r>
      <w:r>
        <w:rPr>
          <w:spacing w:val="-6"/>
          <w:sz w:val="28"/>
        </w:rPr>
        <w:t> </w:t>
      </w:r>
      <w:r>
        <w:rPr>
          <w:sz w:val="28"/>
        </w:rPr>
        <w:t>in</w:t>
      </w:r>
      <w:r>
        <w:rPr>
          <w:spacing w:val="-6"/>
          <w:sz w:val="28"/>
        </w:rPr>
        <w:t> </w:t>
      </w:r>
      <w:r>
        <w:rPr>
          <w:sz w:val="28"/>
        </w:rPr>
        <w:t>NI,</w:t>
      </w:r>
      <w:r>
        <w:rPr>
          <w:spacing w:val="-5"/>
          <w:sz w:val="28"/>
        </w:rPr>
        <w:t> </w:t>
      </w:r>
      <w:r>
        <w:rPr>
          <w:sz w:val="28"/>
        </w:rPr>
        <w:t>for</w:t>
      </w:r>
      <w:r>
        <w:rPr>
          <w:spacing w:val="-5"/>
          <w:sz w:val="28"/>
        </w:rPr>
        <w:t> </w:t>
      </w:r>
      <w:r>
        <w:rPr>
          <w:sz w:val="28"/>
        </w:rPr>
        <w:t>example,</w:t>
      </w:r>
      <w:r>
        <w:rPr>
          <w:spacing w:val="-5"/>
          <w:sz w:val="28"/>
        </w:rPr>
        <w:t> </w:t>
      </w:r>
      <w:r>
        <w:rPr>
          <w:sz w:val="28"/>
        </w:rPr>
        <w:t>by</w:t>
      </w:r>
      <w:r>
        <w:rPr>
          <w:spacing w:val="-5"/>
          <w:sz w:val="28"/>
        </w:rPr>
        <w:t> </w:t>
      </w:r>
      <w:r>
        <w:rPr>
          <w:sz w:val="28"/>
        </w:rPr>
        <w:t>undertaking</w:t>
      </w:r>
      <w:r>
        <w:rPr>
          <w:spacing w:val="-5"/>
          <w:sz w:val="28"/>
        </w:rPr>
        <w:t> </w:t>
      </w:r>
      <w:r>
        <w:rPr>
          <w:sz w:val="28"/>
        </w:rPr>
        <w:t>or</w:t>
      </w:r>
      <w:r>
        <w:rPr>
          <w:spacing w:val="-5"/>
          <w:sz w:val="28"/>
        </w:rPr>
        <w:t> </w:t>
      </w:r>
      <w:r>
        <w:rPr>
          <w:sz w:val="28"/>
        </w:rPr>
        <w:t>commissioning</w:t>
      </w:r>
      <w:r>
        <w:rPr>
          <w:spacing w:val="-5"/>
          <w:sz w:val="28"/>
        </w:rPr>
        <w:t> </w:t>
      </w:r>
      <w:r>
        <w:rPr>
          <w:sz w:val="28"/>
        </w:rPr>
        <w:t>or</w:t>
      </w:r>
      <w:r>
        <w:rPr>
          <w:spacing w:val="-5"/>
          <w:sz w:val="28"/>
        </w:rPr>
        <w:t> </w:t>
      </w:r>
      <w:r>
        <w:rPr>
          <w:sz w:val="28"/>
        </w:rPr>
        <w:t>otherwise assisting research and educational activities;</w:t>
      </w:r>
    </w:p>
    <w:p>
      <w:pPr>
        <w:pStyle w:val="ListParagraph"/>
        <w:numPr>
          <w:ilvl w:val="0"/>
          <w:numId w:val="17"/>
        </w:numPr>
        <w:tabs>
          <w:tab w:pos="2562" w:val="left" w:leader="none"/>
        </w:tabs>
        <w:spacing w:line="225" w:lineRule="auto" w:before="102" w:after="0"/>
        <w:ind w:left="2562" w:right="1830" w:hanging="360"/>
        <w:jc w:val="both"/>
        <w:rPr>
          <w:sz w:val="28"/>
        </w:rPr>
      </w:pPr>
      <w:r>
        <w:rPr>
          <w:sz w:val="28"/>
        </w:rPr>
        <w:t>give</w:t>
      </w:r>
      <w:r>
        <w:rPr>
          <w:spacing w:val="-4"/>
          <w:sz w:val="28"/>
        </w:rPr>
        <w:t> </w:t>
      </w:r>
      <w:r>
        <w:rPr>
          <w:sz w:val="28"/>
        </w:rPr>
        <w:t>assistance</w:t>
      </w:r>
      <w:r>
        <w:rPr>
          <w:spacing w:val="-4"/>
          <w:sz w:val="28"/>
        </w:rPr>
        <w:t> </w:t>
      </w:r>
      <w:r>
        <w:rPr>
          <w:sz w:val="28"/>
        </w:rPr>
        <w:t>to</w:t>
      </w:r>
      <w:r>
        <w:rPr>
          <w:spacing w:val="-5"/>
          <w:sz w:val="28"/>
        </w:rPr>
        <w:t> </w:t>
      </w:r>
      <w:r>
        <w:rPr>
          <w:sz w:val="28"/>
        </w:rPr>
        <w:t>individuals</w:t>
      </w:r>
      <w:r>
        <w:rPr>
          <w:spacing w:val="-5"/>
          <w:sz w:val="28"/>
        </w:rPr>
        <w:t> </w:t>
      </w:r>
      <w:r>
        <w:rPr>
          <w:sz w:val="28"/>
        </w:rPr>
        <w:t>who</w:t>
      </w:r>
      <w:r>
        <w:rPr>
          <w:spacing w:val="-5"/>
          <w:sz w:val="28"/>
        </w:rPr>
        <w:t> </w:t>
      </w:r>
      <w:r>
        <w:rPr>
          <w:sz w:val="28"/>
        </w:rPr>
        <w:t>apply</w:t>
      </w:r>
      <w:r>
        <w:rPr>
          <w:spacing w:val="-4"/>
          <w:sz w:val="28"/>
        </w:rPr>
        <w:t> </w:t>
      </w:r>
      <w:r>
        <w:rPr>
          <w:sz w:val="28"/>
        </w:rPr>
        <w:t>to</w:t>
      </w:r>
      <w:r>
        <w:rPr>
          <w:spacing w:val="-5"/>
          <w:sz w:val="28"/>
        </w:rPr>
        <w:t> </w:t>
      </w:r>
      <w:r>
        <w:rPr>
          <w:sz w:val="28"/>
        </w:rPr>
        <w:t>it</w:t>
      </w:r>
      <w:r>
        <w:rPr>
          <w:spacing w:val="-4"/>
          <w:sz w:val="28"/>
        </w:rPr>
        <w:t> </w:t>
      </w:r>
      <w:r>
        <w:rPr>
          <w:sz w:val="28"/>
        </w:rPr>
        <w:t>for</w:t>
      </w:r>
      <w:r>
        <w:rPr>
          <w:spacing w:val="-4"/>
          <w:sz w:val="28"/>
        </w:rPr>
        <w:t> </w:t>
      </w:r>
      <w:r>
        <w:rPr>
          <w:sz w:val="28"/>
        </w:rPr>
        <w:t>help</w:t>
      </w:r>
      <w:r>
        <w:rPr>
          <w:spacing w:val="-5"/>
          <w:sz w:val="28"/>
        </w:rPr>
        <w:t> </w:t>
      </w:r>
      <w:r>
        <w:rPr>
          <w:sz w:val="28"/>
        </w:rPr>
        <w:t>in</w:t>
      </w:r>
      <w:r>
        <w:rPr>
          <w:spacing w:val="-5"/>
          <w:sz w:val="28"/>
        </w:rPr>
        <w:t> </w:t>
      </w:r>
      <w:r>
        <w:rPr>
          <w:sz w:val="28"/>
        </w:rPr>
        <w:t>relation</w:t>
      </w:r>
      <w:r>
        <w:rPr>
          <w:spacing w:val="-5"/>
          <w:sz w:val="28"/>
        </w:rPr>
        <w:t> </w:t>
      </w:r>
      <w:r>
        <w:rPr>
          <w:sz w:val="28"/>
        </w:rPr>
        <w:t>to proceedings</w:t>
      </w:r>
      <w:r>
        <w:rPr>
          <w:spacing w:val="-9"/>
          <w:sz w:val="28"/>
        </w:rPr>
        <w:t> </w:t>
      </w:r>
      <w:r>
        <w:rPr>
          <w:sz w:val="28"/>
        </w:rPr>
        <w:t>involving</w:t>
      </w:r>
      <w:r>
        <w:rPr>
          <w:spacing w:val="-8"/>
          <w:sz w:val="28"/>
        </w:rPr>
        <w:t> </w:t>
      </w:r>
      <w:r>
        <w:rPr>
          <w:sz w:val="28"/>
        </w:rPr>
        <w:t>law</w:t>
      </w:r>
      <w:r>
        <w:rPr>
          <w:spacing w:val="-8"/>
          <w:sz w:val="28"/>
        </w:rPr>
        <w:t> </w:t>
      </w:r>
      <w:r>
        <w:rPr>
          <w:sz w:val="28"/>
        </w:rPr>
        <w:t>or</w:t>
      </w:r>
      <w:r>
        <w:rPr>
          <w:spacing w:val="-8"/>
          <w:sz w:val="28"/>
        </w:rPr>
        <w:t> </w:t>
      </w:r>
      <w:r>
        <w:rPr>
          <w:sz w:val="28"/>
        </w:rPr>
        <w:t>practice</w:t>
      </w:r>
      <w:r>
        <w:rPr>
          <w:spacing w:val="-8"/>
          <w:sz w:val="28"/>
        </w:rPr>
        <w:t> </w:t>
      </w:r>
      <w:r>
        <w:rPr>
          <w:sz w:val="28"/>
        </w:rPr>
        <w:t>concerning</w:t>
      </w:r>
      <w:r>
        <w:rPr>
          <w:spacing w:val="-8"/>
          <w:sz w:val="28"/>
        </w:rPr>
        <w:t> </w:t>
      </w:r>
      <w:r>
        <w:rPr>
          <w:sz w:val="28"/>
        </w:rPr>
        <w:t>the</w:t>
      </w:r>
      <w:r>
        <w:rPr>
          <w:spacing w:val="-8"/>
          <w:sz w:val="28"/>
        </w:rPr>
        <w:t> </w:t>
      </w:r>
      <w:r>
        <w:rPr>
          <w:sz w:val="28"/>
        </w:rPr>
        <w:t>protection</w:t>
      </w:r>
      <w:r>
        <w:rPr>
          <w:spacing w:val="-9"/>
          <w:sz w:val="28"/>
        </w:rPr>
        <w:t> </w:t>
      </w:r>
      <w:r>
        <w:rPr>
          <w:sz w:val="28"/>
        </w:rPr>
        <w:t>of human rights;</w:t>
      </w:r>
    </w:p>
    <w:p>
      <w:pPr>
        <w:pStyle w:val="ListParagraph"/>
        <w:numPr>
          <w:ilvl w:val="0"/>
          <w:numId w:val="17"/>
        </w:numPr>
        <w:tabs>
          <w:tab w:pos="2562" w:val="left" w:leader="none"/>
        </w:tabs>
        <w:spacing w:line="225" w:lineRule="auto" w:before="101" w:after="0"/>
        <w:ind w:left="2562" w:right="1178" w:hanging="360"/>
        <w:jc w:val="left"/>
        <w:rPr>
          <w:sz w:val="28"/>
        </w:rPr>
      </w:pPr>
      <w:r>
        <w:rPr>
          <w:sz w:val="28"/>
        </w:rPr>
        <w:t>bring</w:t>
      </w:r>
      <w:r>
        <w:rPr>
          <w:spacing w:val="-7"/>
          <w:sz w:val="28"/>
        </w:rPr>
        <w:t> </w:t>
      </w:r>
      <w:r>
        <w:rPr>
          <w:sz w:val="28"/>
        </w:rPr>
        <w:t>proceedings</w:t>
      </w:r>
      <w:r>
        <w:rPr>
          <w:spacing w:val="-8"/>
          <w:sz w:val="28"/>
        </w:rPr>
        <w:t> </w:t>
      </w:r>
      <w:r>
        <w:rPr>
          <w:sz w:val="28"/>
        </w:rPr>
        <w:t>involving</w:t>
      </w:r>
      <w:r>
        <w:rPr>
          <w:spacing w:val="-7"/>
          <w:sz w:val="28"/>
        </w:rPr>
        <w:t> </w:t>
      </w:r>
      <w:r>
        <w:rPr>
          <w:sz w:val="28"/>
        </w:rPr>
        <w:t>law</w:t>
      </w:r>
      <w:r>
        <w:rPr>
          <w:spacing w:val="-7"/>
          <w:sz w:val="28"/>
        </w:rPr>
        <w:t> </w:t>
      </w:r>
      <w:r>
        <w:rPr>
          <w:sz w:val="28"/>
        </w:rPr>
        <w:t>or</w:t>
      </w:r>
      <w:r>
        <w:rPr>
          <w:spacing w:val="-7"/>
          <w:sz w:val="28"/>
        </w:rPr>
        <w:t> </w:t>
      </w:r>
      <w:r>
        <w:rPr>
          <w:sz w:val="28"/>
        </w:rPr>
        <w:t>practice</w:t>
      </w:r>
      <w:r>
        <w:rPr>
          <w:spacing w:val="-7"/>
          <w:sz w:val="28"/>
        </w:rPr>
        <w:t> </w:t>
      </w:r>
      <w:r>
        <w:rPr>
          <w:sz w:val="28"/>
        </w:rPr>
        <w:t>concerning</w:t>
      </w:r>
      <w:r>
        <w:rPr>
          <w:spacing w:val="-7"/>
          <w:sz w:val="28"/>
        </w:rPr>
        <w:t> </w:t>
      </w:r>
      <w:r>
        <w:rPr>
          <w:sz w:val="28"/>
        </w:rPr>
        <w:t>the</w:t>
      </w:r>
      <w:r>
        <w:rPr>
          <w:spacing w:val="-7"/>
          <w:sz w:val="28"/>
        </w:rPr>
        <w:t> </w:t>
      </w:r>
      <w:r>
        <w:rPr>
          <w:sz w:val="28"/>
        </w:rPr>
        <w:t>protection</w:t>
      </w:r>
      <w:r>
        <w:rPr>
          <w:spacing w:val="-8"/>
          <w:sz w:val="28"/>
        </w:rPr>
        <w:t> </w:t>
      </w:r>
      <w:r>
        <w:rPr>
          <w:sz w:val="28"/>
        </w:rPr>
        <w:t>of human rights;</w:t>
      </w:r>
    </w:p>
    <w:p>
      <w:pPr>
        <w:pStyle w:val="ListParagraph"/>
        <w:numPr>
          <w:ilvl w:val="0"/>
          <w:numId w:val="17"/>
        </w:numPr>
        <w:tabs>
          <w:tab w:pos="2562" w:val="left" w:leader="none"/>
        </w:tabs>
        <w:spacing w:line="225" w:lineRule="auto" w:before="102" w:after="0"/>
        <w:ind w:left="2562" w:right="1409" w:hanging="360"/>
        <w:jc w:val="left"/>
        <w:rPr>
          <w:sz w:val="28"/>
        </w:rPr>
      </w:pPr>
      <w:r>
        <w:rPr>
          <w:sz w:val="28"/>
        </w:rPr>
        <w:t>intervene</w:t>
      </w:r>
      <w:r>
        <w:rPr>
          <w:spacing w:val="-6"/>
          <w:sz w:val="28"/>
        </w:rPr>
        <w:t> </w:t>
      </w:r>
      <w:r>
        <w:rPr>
          <w:sz w:val="28"/>
        </w:rPr>
        <w:t>in</w:t>
      </w:r>
      <w:r>
        <w:rPr>
          <w:spacing w:val="-7"/>
          <w:sz w:val="28"/>
        </w:rPr>
        <w:t> </w:t>
      </w:r>
      <w:r>
        <w:rPr>
          <w:sz w:val="28"/>
        </w:rPr>
        <w:t>legal</w:t>
      </w:r>
      <w:r>
        <w:rPr>
          <w:spacing w:val="-7"/>
          <w:sz w:val="28"/>
        </w:rPr>
        <w:t> </w:t>
      </w:r>
      <w:r>
        <w:rPr>
          <w:sz w:val="28"/>
        </w:rPr>
        <w:t>proceedings</w:t>
      </w:r>
      <w:r>
        <w:rPr>
          <w:spacing w:val="-7"/>
          <w:sz w:val="28"/>
        </w:rPr>
        <w:t> </w:t>
      </w:r>
      <w:r>
        <w:rPr>
          <w:sz w:val="28"/>
        </w:rPr>
        <w:t>concerning</w:t>
      </w:r>
      <w:r>
        <w:rPr>
          <w:spacing w:val="-6"/>
          <w:sz w:val="28"/>
        </w:rPr>
        <w:t> </w:t>
      </w:r>
      <w:r>
        <w:rPr>
          <w:sz w:val="28"/>
        </w:rPr>
        <w:t>human</w:t>
      </w:r>
      <w:r>
        <w:rPr>
          <w:spacing w:val="-7"/>
          <w:sz w:val="28"/>
        </w:rPr>
        <w:t> </w:t>
      </w:r>
      <w:r>
        <w:rPr>
          <w:sz w:val="28"/>
        </w:rPr>
        <w:t>rights</w:t>
      </w:r>
      <w:r>
        <w:rPr>
          <w:spacing w:val="-7"/>
          <w:sz w:val="28"/>
        </w:rPr>
        <w:t> </w:t>
      </w:r>
      <w:r>
        <w:rPr>
          <w:sz w:val="28"/>
        </w:rPr>
        <w:t>where</w:t>
      </w:r>
      <w:r>
        <w:rPr>
          <w:spacing w:val="-6"/>
          <w:sz w:val="28"/>
        </w:rPr>
        <w:t> </w:t>
      </w:r>
      <w:r>
        <w:rPr>
          <w:sz w:val="28"/>
        </w:rPr>
        <w:t>it</w:t>
      </w:r>
      <w:r>
        <w:rPr>
          <w:spacing w:val="-6"/>
          <w:sz w:val="28"/>
        </w:rPr>
        <w:t> </w:t>
      </w:r>
      <w:r>
        <w:rPr>
          <w:sz w:val="28"/>
        </w:rPr>
        <w:t>need not be a victim or potential victim of the unlawful act to which the proceedings relate;</w:t>
      </w:r>
    </w:p>
    <w:p>
      <w:pPr>
        <w:pStyle w:val="ListParagraph"/>
        <w:numPr>
          <w:ilvl w:val="0"/>
          <w:numId w:val="17"/>
        </w:numPr>
        <w:tabs>
          <w:tab w:pos="2562" w:val="left" w:leader="none"/>
        </w:tabs>
        <w:spacing w:line="240" w:lineRule="auto" w:before="86" w:after="0"/>
        <w:ind w:left="2562" w:right="0" w:hanging="360"/>
        <w:jc w:val="left"/>
        <w:rPr>
          <w:sz w:val="28"/>
        </w:rPr>
      </w:pPr>
      <w:r>
        <w:rPr>
          <w:sz w:val="28"/>
        </w:rPr>
        <w:t>conduct</w:t>
      </w:r>
      <w:r>
        <w:rPr>
          <w:spacing w:val="-3"/>
          <w:sz w:val="28"/>
        </w:rPr>
        <w:t> </w:t>
      </w:r>
      <w:r>
        <w:rPr>
          <w:spacing w:val="-2"/>
          <w:sz w:val="28"/>
        </w:rPr>
        <w:t>investigations;</w:t>
      </w:r>
    </w:p>
    <w:p>
      <w:pPr>
        <w:pStyle w:val="ListParagraph"/>
        <w:numPr>
          <w:ilvl w:val="0"/>
          <w:numId w:val="17"/>
        </w:numPr>
        <w:tabs>
          <w:tab w:pos="2562" w:val="left" w:leader="none"/>
        </w:tabs>
        <w:spacing w:line="225" w:lineRule="auto" w:before="99" w:after="0"/>
        <w:ind w:left="2562" w:right="1666" w:hanging="360"/>
        <w:jc w:val="left"/>
        <w:rPr>
          <w:sz w:val="28"/>
        </w:rPr>
      </w:pPr>
      <w:r>
        <w:rPr>
          <w:sz w:val="28"/>
        </w:rPr>
        <w:t>require a person to provide information and documents in their possession,</w:t>
      </w:r>
      <w:r>
        <w:rPr>
          <w:spacing w:val="-7"/>
          <w:sz w:val="28"/>
        </w:rPr>
        <w:t> </w:t>
      </w:r>
      <w:r>
        <w:rPr>
          <w:sz w:val="28"/>
        </w:rPr>
        <w:t>and</w:t>
      </w:r>
      <w:r>
        <w:rPr>
          <w:spacing w:val="-8"/>
          <w:sz w:val="28"/>
        </w:rPr>
        <w:t> </w:t>
      </w:r>
      <w:r>
        <w:rPr>
          <w:sz w:val="28"/>
        </w:rPr>
        <w:t>to</w:t>
      </w:r>
      <w:r>
        <w:rPr>
          <w:spacing w:val="-8"/>
          <w:sz w:val="28"/>
        </w:rPr>
        <w:t> </w:t>
      </w:r>
      <w:r>
        <w:rPr>
          <w:sz w:val="28"/>
        </w:rPr>
        <w:t>give</w:t>
      </w:r>
      <w:r>
        <w:rPr>
          <w:spacing w:val="-7"/>
          <w:sz w:val="28"/>
        </w:rPr>
        <w:t> </w:t>
      </w:r>
      <w:r>
        <w:rPr>
          <w:sz w:val="28"/>
        </w:rPr>
        <w:t>oral</w:t>
      </w:r>
      <w:r>
        <w:rPr>
          <w:spacing w:val="-8"/>
          <w:sz w:val="28"/>
        </w:rPr>
        <w:t> </w:t>
      </w:r>
      <w:r>
        <w:rPr>
          <w:sz w:val="28"/>
        </w:rPr>
        <w:t>evidence,</w:t>
      </w:r>
      <w:r>
        <w:rPr>
          <w:spacing w:val="-7"/>
          <w:sz w:val="28"/>
        </w:rPr>
        <w:t> </w:t>
      </w:r>
      <w:r>
        <w:rPr>
          <w:sz w:val="28"/>
        </w:rPr>
        <w:t>in</w:t>
      </w:r>
      <w:r>
        <w:rPr>
          <w:spacing w:val="-8"/>
          <w:sz w:val="28"/>
        </w:rPr>
        <w:t> </w:t>
      </w:r>
      <w:r>
        <w:rPr>
          <w:sz w:val="28"/>
        </w:rPr>
        <w:t>respect</w:t>
      </w:r>
      <w:r>
        <w:rPr>
          <w:spacing w:val="-7"/>
          <w:sz w:val="28"/>
        </w:rPr>
        <w:t> </w:t>
      </w:r>
      <w:r>
        <w:rPr>
          <w:sz w:val="28"/>
        </w:rPr>
        <w:t>of</w:t>
      </w:r>
      <w:r>
        <w:rPr>
          <w:spacing w:val="-8"/>
          <w:sz w:val="28"/>
        </w:rPr>
        <w:t> </w:t>
      </w:r>
      <w:r>
        <w:rPr>
          <w:sz w:val="28"/>
        </w:rPr>
        <w:t>an</w:t>
      </w:r>
      <w:r>
        <w:rPr>
          <w:spacing w:val="-8"/>
          <w:sz w:val="28"/>
        </w:rPr>
        <w:t> </w:t>
      </w:r>
      <w:r>
        <w:rPr>
          <w:sz w:val="28"/>
        </w:rPr>
        <w:t>investigation;</w:t>
      </w:r>
    </w:p>
    <w:p>
      <w:pPr>
        <w:pStyle w:val="ListParagraph"/>
        <w:numPr>
          <w:ilvl w:val="0"/>
          <w:numId w:val="17"/>
        </w:numPr>
        <w:tabs>
          <w:tab w:pos="2562" w:val="left" w:leader="none"/>
        </w:tabs>
        <w:spacing w:line="225" w:lineRule="auto" w:before="103" w:after="0"/>
        <w:ind w:left="2562" w:right="1259" w:hanging="360"/>
        <w:jc w:val="left"/>
        <w:rPr>
          <w:sz w:val="28"/>
        </w:rPr>
      </w:pPr>
      <w:r>
        <w:rPr>
          <w:sz w:val="28"/>
        </w:rPr>
        <w:t>enter</w:t>
      </w:r>
      <w:r>
        <w:rPr>
          <w:spacing w:val="-6"/>
          <w:sz w:val="28"/>
        </w:rPr>
        <w:t> </w:t>
      </w:r>
      <w:r>
        <w:rPr>
          <w:sz w:val="28"/>
        </w:rPr>
        <w:t>a</w:t>
      </w:r>
      <w:r>
        <w:rPr>
          <w:spacing w:val="-7"/>
          <w:sz w:val="28"/>
        </w:rPr>
        <w:t> </w:t>
      </w:r>
      <w:r>
        <w:rPr>
          <w:sz w:val="28"/>
        </w:rPr>
        <w:t>specified</w:t>
      </w:r>
      <w:r>
        <w:rPr>
          <w:spacing w:val="-7"/>
          <w:sz w:val="28"/>
        </w:rPr>
        <w:t> </w:t>
      </w:r>
      <w:r>
        <w:rPr>
          <w:sz w:val="28"/>
        </w:rPr>
        <w:t>place</w:t>
      </w:r>
      <w:r>
        <w:rPr>
          <w:spacing w:val="-6"/>
          <w:sz w:val="28"/>
        </w:rPr>
        <w:t> </w:t>
      </w:r>
      <w:r>
        <w:rPr>
          <w:sz w:val="28"/>
        </w:rPr>
        <w:t>of</w:t>
      </w:r>
      <w:r>
        <w:rPr>
          <w:spacing w:val="-7"/>
          <w:sz w:val="28"/>
        </w:rPr>
        <w:t> </w:t>
      </w:r>
      <w:r>
        <w:rPr>
          <w:sz w:val="28"/>
        </w:rPr>
        <w:t>detention</w:t>
      </w:r>
      <w:r>
        <w:rPr>
          <w:spacing w:val="-7"/>
          <w:sz w:val="28"/>
        </w:rPr>
        <w:t> </w:t>
      </w:r>
      <w:r>
        <w:rPr>
          <w:sz w:val="28"/>
        </w:rPr>
        <w:t>in</w:t>
      </w:r>
      <w:r>
        <w:rPr>
          <w:spacing w:val="-7"/>
          <w:sz w:val="28"/>
        </w:rPr>
        <w:t> </w:t>
      </w:r>
      <w:r>
        <w:rPr>
          <w:sz w:val="28"/>
        </w:rPr>
        <w:t>NI,</w:t>
      </w:r>
      <w:r>
        <w:rPr>
          <w:spacing w:val="-6"/>
          <w:sz w:val="28"/>
        </w:rPr>
        <w:t> </w:t>
      </w:r>
      <w:r>
        <w:rPr>
          <w:sz w:val="28"/>
        </w:rPr>
        <w:t>in</w:t>
      </w:r>
      <w:r>
        <w:rPr>
          <w:spacing w:val="-7"/>
          <w:sz w:val="28"/>
        </w:rPr>
        <w:t> </w:t>
      </w:r>
      <w:r>
        <w:rPr>
          <w:sz w:val="28"/>
        </w:rPr>
        <w:t>respect</w:t>
      </w:r>
      <w:r>
        <w:rPr>
          <w:spacing w:val="-6"/>
          <w:sz w:val="28"/>
        </w:rPr>
        <w:t> </w:t>
      </w:r>
      <w:r>
        <w:rPr>
          <w:sz w:val="28"/>
        </w:rPr>
        <w:t>of</w:t>
      </w:r>
      <w:r>
        <w:rPr>
          <w:spacing w:val="-7"/>
          <w:sz w:val="28"/>
        </w:rPr>
        <w:t> </w:t>
      </w:r>
      <w:r>
        <w:rPr>
          <w:sz w:val="28"/>
        </w:rPr>
        <w:t>an</w:t>
      </w:r>
      <w:r>
        <w:rPr>
          <w:spacing w:val="-7"/>
          <w:sz w:val="28"/>
        </w:rPr>
        <w:t> </w:t>
      </w:r>
      <w:r>
        <w:rPr>
          <w:sz w:val="28"/>
        </w:rPr>
        <w:t>investigation; </w:t>
      </w:r>
      <w:r>
        <w:rPr>
          <w:spacing w:val="-4"/>
          <w:sz w:val="28"/>
        </w:rPr>
        <w:t>and</w:t>
      </w:r>
    </w:p>
    <w:p>
      <w:pPr>
        <w:pStyle w:val="ListParagraph"/>
        <w:numPr>
          <w:ilvl w:val="0"/>
          <w:numId w:val="17"/>
        </w:numPr>
        <w:tabs>
          <w:tab w:pos="2562" w:val="left" w:leader="none"/>
        </w:tabs>
        <w:spacing w:line="240" w:lineRule="auto" w:before="86" w:after="0"/>
        <w:ind w:left="2562" w:right="0" w:hanging="360"/>
        <w:jc w:val="left"/>
        <w:rPr>
          <w:sz w:val="28"/>
        </w:rPr>
      </w:pPr>
      <w:r>
        <w:rPr>
          <w:sz w:val="28"/>
        </w:rPr>
        <w:t>publish</w:t>
      </w:r>
      <w:r>
        <w:rPr>
          <w:spacing w:val="-7"/>
          <w:sz w:val="28"/>
        </w:rPr>
        <w:t> </w:t>
      </w:r>
      <w:r>
        <w:rPr>
          <w:sz w:val="28"/>
        </w:rPr>
        <w:t>its</w:t>
      </w:r>
      <w:r>
        <w:rPr>
          <w:spacing w:val="-4"/>
          <w:sz w:val="28"/>
        </w:rPr>
        <w:t> </w:t>
      </w:r>
      <w:r>
        <w:rPr>
          <w:sz w:val="28"/>
        </w:rPr>
        <w:t>advice</w:t>
      </w:r>
      <w:r>
        <w:rPr>
          <w:spacing w:val="-3"/>
          <w:sz w:val="28"/>
        </w:rPr>
        <w:t> </w:t>
      </w:r>
      <w:r>
        <w:rPr>
          <w:sz w:val="28"/>
        </w:rPr>
        <w:t>and</w:t>
      </w:r>
      <w:r>
        <w:rPr>
          <w:spacing w:val="-4"/>
          <w:sz w:val="28"/>
        </w:rPr>
        <w:t> </w:t>
      </w:r>
      <w:r>
        <w:rPr>
          <w:sz w:val="28"/>
        </w:rPr>
        <w:t>the</w:t>
      </w:r>
      <w:r>
        <w:rPr>
          <w:spacing w:val="-3"/>
          <w:sz w:val="28"/>
        </w:rPr>
        <w:t> </w:t>
      </w:r>
      <w:r>
        <w:rPr>
          <w:sz w:val="28"/>
        </w:rPr>
        <w:t>outcome</w:t>
      </w:r>
      <w:r>
        <w:rPr>
          <w:spacing w:val="-3"/>
          <w:sz w:val="28"/>
        </w:rPr>
        <w:t> </w:t>
      </w:r>
      <w:r>
        <w:rPr>
          <w:sz w:val="28"/>
        </w:rPr>
        <w:t>of</w:t>
      </w:r>
      <w:r>
        <w:rPr>
          <w:spacing w:val="-4"/>
          <w:sz w:val="28"/>
        </w:rPr>
        <w:t> </w:t>
      </w:r>
      <w:r>
        <w:rPr>
          <w:sz w:val="28"/>
        </w:rPr>
        <w:t>its</w:t>
      </w:r>
      <w:r>
        <w:rPr>
          <w:spacing w:val="-4"/>
          <w:sz w:val="28"/>
        </w:rPr>
        <w:t> </w:t>
      </w:r>
      <w:r>
        <w:rPr>
          <w:sz w:val="28"/>
        </w:rPr>
        <w:t>research</w:t>
      </w:r>
      <w:r>
        <w:rPr>
          <w:spacing w:val="-4"/>
          <w:sz w:val="28"/>
        </w:rPr>
        <w:t> </w:t>
      </w:r>
      <w:r>
        <w:rPr>
          <w:sz w:val="28"/>
        </w:rPr>
        <w:t>and</w:t>
      </w:r>
      <w:r>
        <w:rPr>
          <w:spacing w:val="-4"/>
          <w:sz w:val="28"/>
        </w:rPr>
        <w:t> </w:t>
      </w:r>
      <w:r>
        <w:rPr>
          <w:spacing w:val="-2"/>
          <w:sz w:val="28"/>
        </w:rPr>
        <w:t>investigations.</w:t>
      </w:r>
    </w:p>
    <w:p>
      <w:pPr>
        <w:spacing w:after="0" w:line="240" w:lineRule="auto"/>
        <w:jc w:val="left"/>
        <w:rPr>
          <w:sz w:val="28"/>
        </w:rPr>
        <w:sectPr>
          <w:pgSz w:w="11910" w:h="16840"/>
          <w:pgMar w:header="496" w:footer="367" w:top="1220" w:bottom="560" w:left="0" w:right="0"/>
        </w:sectPr>
      </w:pPr>
    </w:p>
    <w:p>
      <w:pPr>
        <w:pStyle w:val="BodyText"/>
        <w:spacing w:before="182"/>
      </w:pPr>
    </w:p>
    <w:p>
      <w:pPr>
        <w:pStyle w:val="Heading5"/>
        <w:ind w:left="1133" w:firstLine="0"/>
      </w:pPr>
      <w:bookmarkStart w:name="_bookmark64" w:id="144"/>
      <w:bookmarkEnd w:id="144"/>
      <w:r>
        <w:rPr>
          <w:b w:val="0"/>
        </w:rPr>
      </w:r>
      <w:bookmarkStart w:name="ECNI" w:id="145"/>
      <w:bookmarkEnd w:id="145"/>
      <w:r>
        <w:rPr>
          <w:b w:val="0"/>
        </w:rPr>
      </w:r>
      <w:r>
        <w:rPr>
          <w:color w:val="393B80"/>
          <w:spacing w:val="-4"/>
        </w:rPr>
        <w:t>ECNI</w:t>
      </w:r>
    </w:p>
    <w:p>
      <w:pPr>
        <w:pStyle w:val="BodyText"/>
        <w:spacing w:line="235" w:lineRule="auto" w:before="336"/>
        <w:ind w:left="1133" w:right="1171"/>
      </w:pPr>
      <w:r>
        <w:rPr/>
        <w:t>The</w:t>
      </w:r>
      <w:r>
        <w:rPr>
          <w:spacing w:val="-7"/>
        </w:rPr>
        <w:t> </w:t>
      </w:r>
      <w:r>
        <w:rPr/>
        <w:t>ECNI</w:t>
      </w:r>
      <w:r>
        <w:rPr>
          <w:spacing w:val="-7"/>
        </w:rPr>
        <w:t> </w:t>
      </w:r>
      <w:r>
        <w:rPr/>
        <w:t>is</w:t>
      </w:r>
      <w:r>
        <w:rPr>
          <w:spacing w:val="-8"/>
        </w:rPr>
        <w:t> </w:t>
      </w:r>
      <w:r>
        <w:rPr/>
        <w:t>an</w:t>
      </w:r>
      <w:r>
        <w:rPr>
          <w:spacing w:val="-8"/>
        </w:rPr>
        <w:t> </w:t>
      </w:r>
      <w:r>
        <w:rPr/>
        <w:t>executive</w:t>
      </w:r>
      <w:r>
        <w:rPr>
          <w:spacing w:val="-7"/>
        </w:rPr>
        <w:t> </w:t>
      </w:r>
      <w:r>
        <w:rPr/>
        <w:t>non-departmental</w:t>
      </w:r>
      <w:r>
        <w:rPr>
          <w:spacing w:val="-8"/>
        </w:rPr>
        <w:t> </w:t>
      </w:r>
      <w:r>
        <w:rPr/>
        <w:t>public</w:t>
      </w:r>
      <w:r>
        <w:rPr>
          <w:spacing w:val="-7"/>
        </w:rPr>
        <w:t> </w:t>
      </w:r>
      <w:r>
        <w:rPr/>
        <w:t>body</w:t>
      </w:r>
      <w:r>
        <w:rPr>
          <w:spacing w:val="-7"/>
        </w:rPr>
        <w:t> </w:t>
      </w:r>
      <w:r>
        <w:rPr/>
        <w:t>sponsored</w:t>
      </w:r>
      <w:r>
        <w:rPr>
          <w:spacing w:val="-8"/>
        </w:rPr>
        <w:t> </w:t>
      </w:r>
      <w:r>
        <w:rPr/>
        <w:t>by</w:t>
      </w:r>
      <w:r>
        <w:rPr>
          <w:spacing w:val="-7"/>
        </w:rPr>
        <w:t> </w:t>
      </w:r>
      <w:r>
        <w:rPr/>
        <w:t>the</w:t>
      </w:r>
      <w:r>
        <w:rPr>
          <w:spacing w:val="-7"/>
        </w:rPr>
        <w:t> </w:t>
      </w:r>
      <w:r>
        <w:rPr/>
        <w:t>Executive Office (TEO).</w:t>
      </w:r>
      <w:r>
        <w:rPr>
          <w:spacing w:val="40"/>
        </w:rPr>
        <w:t> </w:t>
      </w:r>
      <w:r>
        <w:rPr/>
        <w:t>The ECNI, established on 1 October 1999 under the Northern Ireland Act</w:t>
      </w:r>
      <w:r>
        <w:rPr>
          <w:spacing w:val="-2"/>
        </w:rPr>
        <w:t> </w:t>
      </w:r>
      <w:r>
        <w:rPr/>
        <w:t>1998,</w:t>
      </w:r>
      <w:r>
        <w:rPr>
          <w:spacing w:val="-2"/>
        </w:rPr>
        <w:t> </w:t>
      </w:r>
      <w:r>
        <w:rPr/>
        <w:t>assumed,</w:t>
      </w:r>
      <w:r>
        <w:rPr>
          <w:spacing w:val="-2"/>
        </w:rPr>
        <w:t> </w:t>
      </w:r>
      <w:r>
        <w:rPr/>
        <w:t>along</w:t>
      </w:r>
      <w:r>
        <w:rPr>
          <w:spacing w:val="-2"/>
        </w:rPr>
        <w:t> </w:t>
      </w:r>
      <w:r>
        <w:rPr/>
        <w:t>with</w:t>
      </w:r>
      <w:r>
        <w:rPr>
          <w:spacing w:val="-3"/>
        </w:rPr>
        <w:t> </w:t>
      </w:r>
      <w:r>
        <w:rPr/>
        <w:t>the</w:t>
      </w:r>
      <w:r>
        <w:rPr>
          <w:spacing w:val="-2"/>
        </w:rPr>
        <w:t> </w:t>
      </w:r>
      <w:r>
        <w:rPr/>
        <w:t>responsibilities</w:t>
      </w:r>
      <w:r>
        <w:rPr>
          <w:spacing w:val="-3"/>
        </w:rPr>
        <w:t> </w:t>
      </w:r>
      <w:r>
        <w:rPr/>
        <w:t>for</w:t>
      </w:r>
      <w:r>
        <w:rPr>
          <w:spacing w:val="-2"/>
        </w:rPr>
        <w:t> </w:t>
      </w:r>
      <w:r>
        <w:rPr/>
        <w:t>statutory</w:t>
      </w:r>
      <w:r>
        <w:rPr>
          <w:spacing w:val="-2"/>
        </w:rPr>
        <w:t> </w:t>
      </w:r>
      <w:r>
        <w:rPr/>
        <w:t>equality</w:t>
      </w:r>
      <w:r>
        <w:rPr>
          <w:spacing w:val="-2"/>
        </w:rPr>
        <w:t> </w:t>
      </w:r>
      <w:r>
        <w:rPr/>
        <w:t>duties</w:t>
      </w:r>
      <w:r>
        <w:rPr>
          <w:spacing w:val="-3"/>
        </w:rPr>
        <w:t> </w:t>
      </w:r>
      <w:r>
        <w:rPr/>
        <w:t>and new</w:t>
      </w:r>
      <w:r>
        <w:rPr>
          <w:spacing w:val="-2"/>
        </w:rPr>
        <w:t> </w:t>
      </w:r>
      <w:r>
        <w:rPr/>
        <w:t>disability</w:t>
      </w:r>
      <w:r>
        <w:rPr>
          <w:spacing w:val="-2"/>
        </w:rPr>
        <w:t> </w:t>
      </w:r>
      <w:r>
        <w:rPr/>
        <w:t>matters,</w:t>
      </w:r>
      <w:r>
        <w:rPr>
          <w:spacing w:val="-2"/>
        </w:rPr>
        <w:t> </w:t>
      </w:r>
      <w:r>
        <w:rPr/>
        <w:t>the</w:t>
      </w:r>
      <w:r>
        <w:rPr>
          <w:spacing w:val="-2"/>
        </w:rPr>
        <w:t> </w:t>
      </w:r>
      <w:r>
        <w:rPr/>
        <w:t>duties</w:t>
      </w:r>
      <w:r>
        <w:rPr>
          <w:spacing w:val="-2"/>
        </w:rPr>
        <w:t> </w:t>
      </w:r>
      <w:r>
        <w:rPr/>
        <w:t>and</w:t>
      </w:r>
      <w:r>
        <w:rPr>
          <w:spacing w:val="-2"/>
        </w:rPr>
        <w:t> </w:t>
      </w:r>
      <w:r>
        <w:rPr/>
        <w:t>responsibilities</w:t>
      </w:r>
      <w:r>
        <w:rPr>
          <w:spacing w:val="-2"/>
        </w:rPr>
        <w:t> </w:t>
      </w:r>
      <w:r>
        <w:rPr/>
        <w:t>of</w:t>
      </w:r>
      <w:r>
        <w:rPr>
          <w:spacing w:val="-2"/>
        </w:rPr>
        <w:t> </w:t>
      </w:r>
      <w:r>
        <w:rPr/>
        <w:t>four</w:t>
      </w:r>
      <w:r>
        <w:rPr>
          <w:spacing w:val="-2"/>
        </w:rPr>
        <w:t> </w:t>
      </w:r>
      <w:r>
        <w:rPr/>
        <w:t>former</w:t>
      </w:r>
      <w:r>
        <w:rPr>
          <w:spacing w:val="-2"/>
        </w:rPr>
        <w:t> </w:t>
      </w:r>
      <w:r>
        <w:rPr/>
        <w:t>organisations:</w:t>
      </w:r>
    </w:p>
    <w:p>
      <w:pPr>
        <w:pStyle w:val="ListParagraph"/>
        <w:numPr>
          <w:ilvl w:val="0"/>
          <w:numId w:val="17"/>
        </w:numPr>
        <w:tabs>
          <w:tab w:pos="2562" w:val="left" w:leader="none"/>
        </w:tabs>
        <w:spacing w:line="325" w:lineRule="exact" w:before="0" w:after="0"/>
        <w:ind w:left="2562" w:right="0" w:hanging="360"/>
        <w:jc w:val="left"/>
        <w:rPr>
          <w:sz w:val="28"/>
        </w:rPr>
      </w:pPr>
      <w:r>
        <w:rPr>
          <w:sz w:val="28"/>
        </w:rPr>
        <w:t>The</w:t>
      </w:r>
      <w:r>
        <w:rPr>
          <w:spacing w:val="-8"/>
          <w:sz w:val="28"/>
        </w:rPr>
        <w:t> </w:t>
      </w:r>
      <w:r>
        <w:rPr>
          <w:sz w:val="28"/>
        </w:rPr>
        <w:t>Commission</w:t>
      </w:r>
      <w:r>
        <w:rPr>
          <w:spacing w:val="-6"/>
          <w:sz w:val="28"/>
        </w:rPr>
        <w:t> </w:t>
      </w:r>
      <w:r>
        <w:rPr>
          <w:sz w:val="28"/>
        </w:rPr>
        <w:t>for</w:t>
      </w:r>
      <w:r>
        <w:rPr>
          <w:spacing w:val="-5"/>
          <w:sz w:val="28"/>
        </w:rPr>
        <w:t> </w:t>
      </w:r>
      <w:r>
        <w:rPr>
          <w:sz w:val="28"/>
        </w:rPr>
        <w:t>Racial</w:t>
      </w:r>
      <w:r>
        <w:rPr>
          <w:spacing w:val="-7"/>
          <w:sz w:val="28"/>
        </w:rPr>
        <w:t> </w:t>
      </w:r>
      <w:r>
        <w:rPr>
          <w:sz w:val="28"/>
        </w:rPr>
        <w:t>Equality</w:t>
      </w:r>
      <w:r>
        <w:rPr>
          <w:spacing w:val="-5"/>
          <w:sz w:val="28"/>
        </w:rPr>
        <w:t> </w:t>
      </w:r>
      <w:r>
        <w:rPr>
          <w:sz w:val="28"/>
        </w:rPr>
        <w:t>for</w:t>
      </w:r>
      <w:r>
        <w:rPr>
          <w:spacing w:val="-5"/>
          <w:sz w:val="28"/>
        </w:rPr>
        <w:t> </w:t>
      </w:r>
      <w:r>
        <w:rPr>
          <w:sz w:val="28"/>
        </w:rPr>
        <w:t>Northern</w:t>
      </w:r>
      <w:r>
        <w:rPr>
          <w:spacing w:val="-6"/>
          <w:sz w:val="28"/>
        </w:rPr>
        <w:t> </w:t>
      </w:r>
      <w:r>
        <w:rPr>
          <w:spacing w:val="-2"/>
          <w:sz w:val="28"/>
        </w:rPr>
        <w:t>Ireland;</w:t>
      </w:r>
    </w:p>
    <w:p>
      <w:pPr>
        <w:pStyle w:val="ListParagraph"/>
        <w:numPr>
          <w:ilvl w:val="0"/>
          <w:numId w:val="17"/>
        </w:numPr>
        <w:tabs>
          <w:tab w:pos="2562" w:val="left" w:leader="none"/>
        </w:tabs>
        <w:spacing w:line="240" w:lineRule="auto" w:before="83" w:after="0"/>
        <w:ind w:left="2562" w:right="0" w:hanging="360"/>
        <w:jc w:val="left"/>
        <w:rPr>
          <w:sz w:val="28"/>
        </w:rPr>
      </w:pPr>
      <w:r>
        <w:rPr>
          <w:sz w:val="28"/>
        </w:rPr>
        <w:t>The</w:t>
      </w:r>
      <w:r>
        <w:rPr>
          <w:spacing w:val="-10"/>
          <w:sz w:val="28"/>
        </w:rPr>
        <w:t> </w:t>
      </w:r>
      <w:r>
        <w:rPr>
          <w:sz w:val="28"/>
        </w:rPr>
        <w:t>Equal</w:t>
      </w:r>
      <w:r>
        <w:rPr>
          <w:spacing w:val="-10"/>
          <w:sz w:val="28"/>
        </w:rPr>
        <w:t> </w:t>
      </w:r>
      <w:r>
        <w:rPr>
          <w:sz w:val="28"/>
        </w:rPr>
        <w:t>Opportunities</w:t>
      </w:r>
      <w:r>
        <w:rPr>
          <w:spacing w:val="-10"/>
          <w:sz w:val="28"/>
        </w:rPr>
        <w:t> </w:t>
      </w:r>
      <w:r>
        <w:rPr>
          <w:sz w:val="28"/>
        </w:rPr>
        <w:t>Commission</w:t>
      </w:r>
      <w:r>
        <w:rPr>
          <w:spacing w:val="-11"/>
          <w:sz w:val="28"/>
        </w:rPr>
        <w:t> </w:t>
      </w:r>
      <w:r>
        <w:rPr>
          <w:sz w:val="28"/>
        </w:rPr>
        <w:t>for</w:t>
      </w:r>
      <w:r>
        <w:rPr>
          <w:spacing w:val="-9"/>
          <w:sz w:val="28"/>
        </w:rPr>
        <w:t> </w:t>
      </w:r>
      <w:r>
        <w:rPr>
          <w:sz w:val="28"/>
        </w:rPr>
        <w:t>Northern</w:t>
      </w:r>
      <w:r>
        <w:rPr>
          <w:spacing w:val="-10"/>
          <w:sz w:val="28"/>
        </w:rPr>
        <w:t> </w:t>
      </w:r>
      <w:r>
        <w:rPr>
          <w:spacing w:val="-2"/>
          <w:sz w:val="28"/>
        </w:rPr>
        <w:t>Ireland;</w:t>
      </w:r>
    </w:p>
    <w:p>
      <w:pPr>
        <w:pStyle w:val="ListParagraph"/>
        <w:numPr>
          <w:ilvl w:val="0"/>
          <w:numId w:val="17"/>
        </w:numPr>
        <w:tabs>
          <w:tab w:pos="2562" w:val="left" w:leader="none"/>
        </w:tabs>
        <w:spacing w:line="240" w:lineRule="auto" w:before="84" w:after="0"/>
        <w:ind w:left="2562" w:right="0" w:hanging="360"/>
        <w:jc w:val="left"/>
        <w:rPr>
          <w:sz w:val="28"/>
        </w:rPr>
      </w:pPr>
      <w:r>
        <w:rPr>
          <w:sz w:val="28"/>
        </w:rPr>
        <w:t>The</w:t>
      </w:r>
      <w:r>
        <w:rPr>
          <w:spacing w:val="-7"/>
          <w:sz w:val="28"/>
        </w:rPr>
        <w:t> </w:t>
      </w:r>
      <w:r>
        <w:rPr>
          <w:sz w:val="28"/>
        </w:rPr>
        <w:t>Fair</w:t>
      </w:r>
      <w:r>
        <w:rPr>
          <w:spacing w:val="-7"/>
          <w:sz w:val="28"/>
        </w:rPr>
        <w:t> </w:t>
      </w:r>
      <w:r>
        <w:rPr>
          <w:sz w:val="28"/>
        </w:rPr>
        <w:t>Employment</w:t>
      </w:r>
      <w:r>
        <w:rPr>
          <w:spacing w:val="-6"/>
          <w:sz w:val="28"/>
        </w:rPr>
        <w:t> </w:t>
      </w:r>
      <w:r>
        <w:rPr>
          <w:sz w:val="28"/>
        </w:rPr>
        <w:t>Commission</w:t>
      </w:r>
      <w:r>
        <w:rPr>
          <w:spacing w:val="-8"/>
          <w:sz w:val="28"/>
        </w:rPr>
        <w:t> </w:t>
      </w:r>
      <w:r>
        <w:rPr>
          <w:sz w:val="28"/>
        </w:rPr>
        <w:t>for</w:t>
      </w:r>
      <w:r>
        <w:rPr>
          <w:spacing w:val="-6"/>
          <w:sz w:val="28"/>
        </w:rPr>
        <w:t> </w:t>
      </w:r>
      <w:r>
        <w:rPr>
          <w:sz w:val="28"/>
        </w:rPr>
        <w:t>Northern</w:t>
      </w:r>
      <w:r>
        <w:rPr>
          <w:spacing w:val="-8"/>
          <w:sz w:val="28"/>
        </w:rPr>
        <w:t> </w:t>
      </w:r>
      <w:r>
        <w:rPr>
          <w:sz w:val="28"/>
        </w:rPr>
        <w:t>Ireland;</w:t>
      </w:r>
      <w:r>
        <w:rPr>
          <w:spacing w:val="-6"/>
          <w:sz w:val="28"/>
        </w:rPr>
        <w:t> </w:t>
      </w:r>
      <w:r>
        <w:rPr>
          <w:spacing w:val="-5"/>
          <w:sz w:val="28"/>
        </w:rPr>
        <w:t>and</w:t>
      </w:r>
    </w:p>
    <w:p>
      <w:pPr>
        <w:pStyle w:val="ListParagraph"/>
        <w:numPr>
          <w:ilvl w:val="0"/>
          <w:numId w:val="17"/>
        </w:numPr>
        <w:tabs>
          <w:tab w:pos="2562" w:val="left" w:leader="none"/>
        </w:tabs>
        <w:spacing w:line="240" w:lineRule="auto" w:before="83" w:after="0"/>
        <w:ind w:left="2562" w:right="0" w:hanging="360"/>
        <w:jc w:val="left"/>
        <w:rPr>
          <w:sz w:val="28"/>
        </w:rPr>
      </w:pPr>
      <w:r>
        <w:rPr>
          <w:sz w:val="28"/>
        </w:rPr>
        <w:t>The</w:t>
      </w:r>
      <w:r>
        <w:rPr>
          <w:spacing w:val="-4"/>
          <w:sz w:val="28"/>
        </w:rPr>
        <w:t> </w:t>
      </w:r>
      <w:r>
        <w:rPr>
          <w:sz w:val="28"/>
        </w:rPr>
        <w:t>Northern</w:t>
      </w:r>
      <w:r>
        <w:rPr>
          <w:spacing w:val="-5"/>
          <w:sz w:val="28"/>
        </w:rPr>
        <w:t> </w:t>
      </w:r>
      <w:r>
        <w:rPr>
          <w:sz w:val="28"/>
        </w:rPr>
        <w:t>Ireland</w:t>
      </w:r>
      <w:r>
        <w:rPr>
          <w:spacing w:val="-5"/>
          <w:sz w:val="28"/>
        </w:rPr>
        <w:t> </w:t>
      </w:r>
      <w:r>
        <w:rPr>
          <w:sz w:val="28"/>
        </w:rPr>
        <w:t>Disability</w:t>
      </w:r>
      <w:r>
        <w:rPr>
          <w:spacing w:val="-3"/>
          <w:sz w:val="28"/>
        </w:rPr>
        <w:t> </w:t>
      </w:r>
      <w:r>
        <w:rPr>
          <w:spacing w:val="-2"/>
          <w:sz w:val="28"/>
        </w:rPr>
        <w:t>Council.</w:t>
      </w:r>
    </w:p>
    <w:p>
      <w:pPr>
        <w:pStyle w:val="BodyText"/>
        <w:spacing w:line="225" w:lineRule="auto" w:before="114"/>
        <w:ind w:left="1133" w:right="1171"/>
      </w:pPr>
      <w:r>
        <w:rPr/>
        <w:t>Since October 1999, additional duties and responsibilities with respect to age, disability,</w:t>
      </w:r>
      <w:r>
        <w:rPr>
          <w:spacing w:val="-8"/>
        </w:rPr>
        <w:t> </w:t>
      </w:r>
      <w:r>
        <w:rPr/>
        <w:t>sexual</w:t>
      </w:r>
      <w:r>
        <w:rPr>
          <w:spacing w:val="-9"/>
        </w:rPr>
        <w:t> </w:t>
      </w:r>
      <w:r>
        <w:rPr/>
        <w:t>orientation</w:t>
      </w:r>
      <w:r>
        <w:rPr>
          <w:spacing w:val="-9"/>
        </w:rPr>
        <w:t> </w:t>
      </w:r>
      <w:r>
        <w:rPr/>
        <w:t>and</w:t>
      </w:r>
      <w:r>
        <w:rPr>
          <w:spacing w:val="-9"/>
        </w:rPr>
        <w:t> </w:t>
      </w:r>
      <w:r>
        <w:rPr/>
        <w:t>special</w:t>
      </w:r>
      <w:r>
        <w:rPr>
          <w:spacing w:val="-9"/>
        </w:rPr>
        <w:t> </w:t>
      </w:r>
      <w:r>
        <w:rPr/>
        <w:t>educational</w:t>
      </w:r>
      <w:r>
        <w:rPr>
          <w:spacing w:val="-9"/>
        </w:rPr>
        <w:t> </w:t>
      </w:r>
      <w:r>
        <w:rPr/>
        <w:t>needs</w:t>
      </w:r>
      <w:r>
        <w:rPr>
          <w:spacing w:val="-9"/>
        </w:rPr>
        <w:t> </w:t>
      </w:r>
      <w:r>
        <w:rPr/>
        <w:t>have</w:t>
      </w:r>
      <w:r>
        <w:rPr>
          <w:spacing w:val="-8"/>
        </w:rPr>
        <w:t> </w:t>
      </w:r>
      <w:r>
        <w:rPr/>
        <w:t>also</w:t>
      </w:r>
      <w:r>
        <w:rPr>
          <w:spacing w:val="-9"/>
        </w:rPr>
        <w:t> </w:t>
      </w:r>
      <w:r>
        <w:rPr/>
        <w:t>been</w:t>
      </w:r>
      <w:r>
        <w:rPr>
          <w:spacing w:val="-9"/>
        </w:rPr>
        <w:t> </w:t>
      </w:r>
      <w:r>
        <w:rPr/>
        <w:t>assumed.</w:t>
      </w:r>
    </w:p>
    <w:p>
      <w:pPr>
        <w:pStyle w:val="BodyText"/>
        <w:spacing w:line="225" w:lineRule="auto" w:before="317"/>
        <w:ind w:left="1133" w:right="1171"/>
      </w:pPr>
      <w:r>
        <w:rPr/>
        <w:t>During</w:t>
      </w:r>
      <w:r>
        <w:rPr>
          <w:spacing w:val="-5"/>
        </w:rPr>
        <w:t> </w:t>
      </w:r>
      <w:r>
        <w:rPr/>
        <w:t>2009,</w:t>
      </w:r>
      <w:r>
        <w:rPr>
          <w:spacing w:val="-5"/>
        </w:rPr>
        <w:t> </w:t>
      </w:r>
      <w:r>
        <w:rPr/>
        <w:t>jointly</w:t>
      </w:r>
      <w:r>
        <w:rPr>
          <w:spacing w:val="-5"/>
        </w:rPr>
        <w:t> </w:t>
      </w:r>
      <w:r>
        <w:rPr/>
        <w:t>with</w:t>
      </w:r>
      <w:r>
        <w:rPr>
          <w:spacing w:val="-5"/>
        </w:rPr>
        <w:t> </w:t>
      </w:r>
      <w:r>
        <w:rPr/>
        <w:t>the</w:t>
      </w:r>
      <w:r>
        <w:rPr>
          <w:spacing w:val="-5"/>
        </w:rPr>
        <w:t> </w:t>
      </w:r>
      <w:r>
        <w:rPr/>
        <w:t>NIHRC,</w:t>
      </w:r>
      <w:r>
        <w:rPr>
          <w:spacing w:val="-5"/>
        </w:rPr>
        <w:t> </w:t>
      </w:r>
      <w:r>
        <w:rPr/>
        <w:t>the</w:t>
      </w:r>
      <w:r>
        <w:rPr>
          <w:spacing w:val="-5"/>
        </w:rPr>
        <w:t> </w:t>
      </w:r>
      <w:r>
        <w:rPr/>
        <w:t>ECNI</w:t>
      </w:r>
      <w:r>
        <w:rPr>
          <w:spacing w:val="-5"/>
        </w:rPr>
        <w:t> </w:t>
      </w:r>
      <w:r>
        <w:rPr/>
        <w:t>was</w:t>
      </w:r>
      <w:r>
        <w:rPr>
          <w:spacing w:val="-5"/>
        </w:rPr>
        <w:t> </w:t>
      </w:r>
      <w:r>
        <w:rPr/>
        <w:t>designated</w:t>
      </w:r>
      <w:r>
        <w:rPr>
          <w:spacing w:val="-5"/>
        </w:rPr>
        <w:t> </w:t>
      </w:r>
      <w:r>
        <w:rPr/>
        <w:t>as</w:t>
      </w:r>
      <w:r>
        <w:rPr>
          <w:spacing w:val="-5"/>
        </w:rPr>
        <w:t> </w:t>
      </w:r>
      <w:r>
        <w:rPr/>
        <w:t>the</w:t>
      </w:r>
      <w:r>
        <w:rPr>
          <w:spacing w:val="-5"/>
        </w:rPr>
        <w:t> </w:t>
      </w:r>
      <w:r>
        <w:rPr/>
        <w:t>independent mechanism for NI of the UN Convention on the Rights of Persons with</w:t>
      </w:r>
    </w:p>
    <w:p>
      <w:pPr>
        <w:pStyle w:val="BodyText"/>
        <w:spacing w:line="225" w:lineRule="auto"/>
        <w:ind w:left="1133"/>
      </w:pPr>
      <w:r>
        <w:rPr/>
        <w:t>Disabilities</w:t>
      </w:r>
      <w:r>
        <w:rPr>
          <w:spacing w:val="-6"/>
        </w:rPr>
        <w:t> </w:t>
      </w:r>
      <w:r>
        <w:rPr/>
        <w:t>(UN</w:t>
      </w:r>
      <w:r>
        <w:rPr>
          <w:spacing w:val="-5"/>
        </w:rPr>
        <w:t> </w:t>
      </w:r>
      <w:r>
        <w:rPr/>
        <w:t>CRPD)</w:t>
      </w:r>
      <w:r>
        <w:rPr>
          <w:spacing w:val="-6"/>
        </w:rPr>
        <w:t> </w:t>
      </w:r>
      <w:r>
        <w:rPr/>
        <w:t>with</w:t>
      </w:r>
      <w:r>
        <w:rPr>
          <w:spacing w:val="-6"/>
        </w:rPr>
        <w:t> </w:t>
      </w:r>
      <w:r>
        <w:rPr/>
        <w:t>the</w:t>
      </w:r>
      <w:r>
        <w:rPr>
          <w:spacing w:val="-5"/>
        </w:rPr>
        <w:t> </w:t>
      </w:r>
      <w:r>
        <w:rPr/>
        <w:t>role</w:t>
      </w:r>
      <w:r>
        <w:rPr>
          <w:spacing w:val="-5"/>
        </w:rPr>
        <w:t> </w:t>
      </w:r>
      <w:r>
        <w:rPr/>
        <w:t>of</w:t>
      </w:r>
      <w:r>
        <w:rPr>
          <w:spacing w:val="-6"/>
        </w:rPr>
        <w:t> </w:t>
      </w:r>
      <w:r>
        <w:rPr/>
        <w:t>promoting,</w:t>
      </w:r>
      <w:r>
        <w:rPr>
          <w:spacing w:val="-5"/>
        </w:rPr>
        <w:t> </w:t>
      </w:r>
      <w:r>
        <w:rPr/>
        <w:t>protecting</w:t>
      </w:r>
      <w:r>
        <w:rPr>
          <w:spacing w:val="-5"/>
        </w:rPr>
        <w:t> </w:t>
      </w:r>
      <w:r>
        <w:rPr/>
        <w:t>and</w:t>
      </w:r>
      <w:r>
        <w:rPr>
          <w:spacing w:val="-6"/>
        </w:rPr>
        <w:t> </w:t>
      </w:r>
      <w:r>
        <w:rPr/>
        <w:t>monitoring</w:t>
      </w:r>
      <w:r>
        <w:rPr>
          <w:spacing w:val="-5"/>
        </w:rPr>
        <w:t> </w:t>
      </w:r>
      <w:r>
        <w:rPr/>
        <w:t>the implementation of the Convention.</w:t>
      </w:r>
    </w:p>
    <w:p>
      <w:pPr>
        <w:pStyle w:val="BodyText"/>
        <w:spacing w:line="225" w:lineRule="auto" w:before="315"/>
        <w:ind w:left="1133" w:right="1171"/>
      </w:pPr>
      <w:r>
        <w:rPr/>
        <w:t>The</w:t>
      </w:r>
      <w:r>
        <w:rPr>
          <w:spacing w:val="-4"/>
        </w:rPr>
        <w:t> </w:t>
      </w:r>
      <w:r>
        <w:rPr/>
        <w:t>main</w:t>
      </w:r>
      <w:r>
        <w:rPr>
          <w:spacing w:val="-5"/>
        </w:rPr>
        <w:t> </w:t>
      </w:r>
      <w:r>
        <w:rPr/>
        <w:t>pieces</w:t>
      </w:r>
      <w:r>
        <w:rPr>
          <w:spacing w:val="-5"/>
        </w:rPr>
        <w:t> </w:t>
      </w:r>
      <w:r>
        <w:rPr/>
        <w:t>of</w:t>
      </w:r>
      <w:r>
        <w:rPr>
          <w:spacing w:val="-5"/>
        </w:rPr>
        <w:t> </w:t>
      </w:r>
      <w:r>
        <w:rPr/>
        <w:t>legislation</w:t>
      </w:r>
      <w:r>
        <w:rPr>
          <w:spacing w:val="-5"/>
        </w:rPr>
        <w:t> </w:t>
      </w:r>
      <w:r>
        <w:rPr/>
        <w:t>from</w:t>
      </w:r>
      <w:r>
        <w:rPr>
          <w:spacing w:val="-4"/>
        </w:rPr>
        <w:t> </w:t>
      </w:r>
      <w:r>
        <w:rPr/>
        <w:t>which</w:t>
      </w:r>
      <w:r>
        <w:rPr>
          <w:spacing w:val="-5"/>
        </w:rPr>
        <w:t> </w:t>
      </w:r>
      <w:r>
        <w:rPr/>
        <w:t>the</w:t>
      </w:r>
      <w:r>
        <w:rPr>
          <w:spacing w:val="-4"/>
        </w:rPr>
        <w:t> </w:t>
      </w:r>
      <w:r>
        <w:rPr/>
        <w:t>Commission</w:t>
      </w:r>
      <w:r>
        <w:rPr>
          <w:spacing w:val="-5"/>
        </w:rPr>
        <w:t> </w:t>
      </w:r>
      <w:r>
        <w:rPr/>
        <w:t>derives</w:t>
      </w:r>
      <w:r>
        <w:rPr>
          <w:spacing w:val="-5"/>
        </w:rPr>
        <w:t> </w:t>
      </w:r>
      <w:r>
        <w:rPr/>
        <w:t>its</w:t>
      </w:r>
      <w:r>
        <w:rPr>
          <w:spacing w:val="-5"/>
        </w:rPr>
        <w:t> </w:t>
      </w:r>
      <w:r>
        <w:rPr/>
        <w:t>duties</w:t>
      </w:r>
      <w:r>
        <w:rPr>
          <w:spacing w:val="-5"/>
        </w:rPr>
        <w:t> </w:t>
      </w:r>
      <w:r>
        <w:rPr/>
        <w:t>and powers are:</w:t>
      </w:r>
    </w:p>
    <w:p>
      <w:pPr>
        <w:pStyle w:val="ListParagraph"/>
        <w:numPr>
          <w:ilvl w:val="0"/>
          <w:numId w:val="17"/>
        </w:numPr>
        <w:tabs>
          <w:tab w:pos="2562" w:val="left" w:leader="none"/>
        </w:tabs>
        <w:spacing w:line="323" w:lineRule="exact" w:before="0" w:after="0"/>
        <w:ind w:left="2562" w:right="0" w:hanging="360"/>
        <w:jc w:val="left"/>
        <w:rPr>
          <w:sz w:val="28"/>
        </w:rPr>
      </w:pPr>
      <w:r>
        <w:rPr>
          <w:sz w:val="28"/>
        </w:rPr>
        <w:t>Sex</w:t>
      </w:r>
      <w:r>
        <w:rPr>
          <w:spacing w:val="-5"/>
          <w:sz w:val="28"/>
        </w:rPr>
        <w:t> </w:t>
      </w:r>
      <w:r>
        <w:rPr>
          <w:sz w:val="28"/>
        </w:rPr>
        <w:t>Discrimination</w:t>
      </w:r>
      <w:r>
        <w:rPr>
          <w:spacing w:val="-5"/>
          <w:sz w:val="28"/>
        </w:rPr>
        <w:t> </w:t>
      </w:r>
      <w:r>
        <w:rPr>
          <w:sz w:val="28"/>
        </w:rPr>
        <w:t>(NI)</w:t>
      </w:r>
      <w:r>
        <w:rPr>
          <w:spacing w:val="-5"/>
          <w:sz w:val="28"/>
        </w:rPr>
        <w:t> </w:t>
      </w:r>
      <w:r>
        <w:rPr>
          <w:sz w:val="28"/>
        </w:rPr>
        <w:t>Order</w:t>
      </w:r>
      <w:r>
        <w:rPr>
          <w:spacing w:val="-4"/>
          <w:sz w:val="28"/>
        </w:rPr>
        <w:t> </w:t>
      </w:r>
      <w:r>
        <w:rPr>
          <w:sz w:val="28"/>
        </w:rPr>
        <w:t>1976,</w:t>
      </w:r>
      <w:r>
        <w:rPr>
          <w:spacing w:val="-4"/>
          <w:sz w:val="28"/>
        </w:rPr>
        <w:t> </w:t>
      </w:r>
      <w:r>
        <w:rPr>
          <w:sz w:val="28"/>
        </w:rPr>
        <w:t>as</w:t>
      </w:r>
      <w:r>
        <w:rPr>
          <w:spacing w:val="-5"/>
          <w:sz w:val="28"/>
        </w:rPr>
        <w:t> </w:t>
      </w:r>
      <w:r>
        <w:rPr>
          <w:spacing w:val="-2"/>
          <w:sz w:val="28"/>
        </w:rPr>
        <w:t>amended;</w:t>
      </w:r>
    </w:p>
    <w:p>
      <w:pPr>
        <w:pStyle w:val="ListParagraph"/>
        <w:numPr>
          <w:ilvl w:val="0"/>
          <w:numId w:val="17"/>
        </w:numPr>
        <w:tabs>
          <w:tab w:pos="2562" w:val="left" w:leader="none"/>
        </w:tabs>
        <w:spacing w:line="240" w:lineRule="auto" w:before="84" w:after="0"/>
        <w:ind w:left="2562" w:right="0" w:hanging="360"/>
        <w:jc w:val="left"/>
        <w:rPr>
          <w:sz w:val="28"/>
        </w:rPr>
      </w:pPr>
      <w:r>
        <w:rPr>
          <w:sz w:val="28"/>
        </w:rPr>
        <w:t>Disability</w:t>
      </w:r>
      <w:r>
        <w:rPr>
          <w:spacing w:val="-3"/>
          <w:sz w:val="28"/>
        </w:rPr>
        <w:t> </w:t>
      </w:r>
      <w:r>
        <w:rPr>
          <w:sz w:val="28"/>
        </w:rPr>
        <w:t>Discrimination</w:t>
      </w:r>
      <w:r>
        <w:rPr>
          <w:spacing w:val="-3"/>
          <w:sz w:val="28"/>
        </w:rPr>
        <w:t> </w:t>
      </w:r>
      <w:r>
        <w:rPr>
          <w:sz w:val="28"/>
        </w:rPr>
        <w:t>Act</w:t>
      </w:r>
      <w:r>
        <w:rPr>
          <w:spacing w:val="-2"/>
          <w:sz w:val="28"/>
        </w:rPr>
        <w:t> </w:t>
      </w:r>
      <w:r>
        <w:rPr>
          <w:sz w:val="28"/>
        </w:rPr>
        <w:t>1995,</w:t>
      </w:r>
      <w:r>
        <w:rPr>
          <w:spacing w:val="-2"/>
          <w:sz w:val="28"/>
        </w:rPr>
        <w:t> </w:t>
      </w:r>
      <w:r>
        <w:rPr>
          <w:sz w:val="28"/>
        </w:rPr>
        <w:t>as</w:t>
      </w:r>
      <w:r>
        <w:rPr>
          <w:spacing w:val="-3"/>
          <w:sz w:val="28"/>
        </w:rPr>
        <w:t> </w:t>
      </w:r>
      <w:r>
        <w:rPr>
          <w:spacing w:val="-2"/>
          <w:sz w:val="28"/>
        </w:rPr>
        <w:t>amended;</w:t>
      </w:r>
    </w:p>
    <w:p>
      <w:pPr>
        <w:pStyle w:val="ListParagraph"/>
        <w:numPr>
          <w:ilvl w:val="0"/>
          <w:numId w:val="17"/>
        </w:numPr>
        <w:tabs>
          <w:tab w:pos="2562" w:val="left" w:leader="none"/>
        </w:tabs>
        <w:spacing w:line="240" w:lineRule="auto" w:before="83" w:after="0"/>
        <w:ind w:left="2562" w:right="0" w:hanging="360"/>
        <w:jc w:val="left"/>
        <w:rPr>
          <w:sz w:val="28"/>
        </w:rPr>
      </w:pPr>
      <w:r>
        <w:rPr>
          <w:sz w:val="28"/>
        </w:rPr>
        <w:t>Race</w:t>
      </w:r>
      <w:r>
        <w:rPr>
          <w:spacing w:val="-5"/>
          <w:sz w:val="28"/>
        </w:rPr>
        <w:t> </w:t>
      </w:r>
      <w:r>
        <w:rPr>
          <w:sz w:val="28"/>
        </w:rPr>
        <w:t>Relations</w:t>
      </w:r>
      <w:r>
        <w:rPr>
          <w:spacing w:val="-5"/>
          <w:sz w:val="28"/>
        </w:rPr>
        <w:t> </w:t>
      </w:r>
      <w:r>
        <w:rPr>
          <w:sz w:val="28"/>
        </w:rPr>
        <w:t>(NI)</w:t>
      </w:r>
      <w:r>
        <w:rPr>
          <w:spacing w:val="-6"/>
          <w:sz w:val="28"/>
        </w:rPr>
        <w:t> </w:t>
      </w:r>
      <w:r>
        <w:rPr>
          <w:sz w:val="28"/>
        </w:rPr>
        <w:t>Order</w:t>
      </w:r>
      <w:r>
        <w:rPr>
          <w:spacing w:val="-4"/>
          <w:sz w:val="28"/>
        </w:rPr>
        <w:t> </w:t>
      </w:r>
      <w:r>
        <w:rPr>
          <w:sz w:val="28"/>
        </w:rPr>
        <w:t>1997,</w:t>
      </w:r>
      <w:r>
        <w:rPr>
          <w:spacing w:val="-5"/>
          <w:sz w:val="28"/>
        </w:rPr>
        <w:t> </w:t>
      </w:r>
      <w:r>
        <w:rPr>
          <w:sz w:val="28"/>
        </w:rPr>
        <w:t>as</w:t>
      </w:r>
      <w:r>
        <w:rPr>
          <w:spacing w:val="-5"/>
          <w:sz w:val="28"/>
        </w:rPr>
        <w:t> </w:t>
      </w:r>
      <w:r>
        <w:rPr>
          <w:spacing w:val="-2"/>
          <w:sz w:val="28"/>
        </w:rPr>
        <w:t>amended;</w:t>
      </w:r>
    </w:p>
    <w:p>
      <w:pPr>
        <w:pStyle w:val="ListParagraph"/>
        <w:numPr>
          <w:ilvl w:val="0"/>
          <w:numId w:val="17"/>
        </w:numPr>
        <w:tabs>
          <w:tab w:pos="2562" w:val="left" w:leader="none"/>
        </w:tabs>
        <w:spacing w:line="240" w:lineRule="auto" w:before="83" w:after="0"/>
        <w:ind w:left="2562" w:right="0" w:hanging="360"/>
        <w:jc w:val="left"/>
        <w:rPr>
          <w:sz w:val="28"/>
        </w:rPr>
      </w:pPr>
      <w:r>
        <w:rPr>
          <w:sz w:val="28"/>
        </w:rPr>
        <w:t>Fair</w:t>
      </w:r>
      <w:r>
        <w:rPr>
          <w:spacing w:val="-10"/>
          <w:sz w:val="28"/>
        </w:rPr>
        <w:t> </w:t>
      </w:r>
      <w:r>
        <w:rPr>
          <w:sz w:val="28"/>
        </w:rPr>
        <w:t>Employment</w:t>
      </w:r>
      <w:r>
        <w:rPr>
          <w:spacing w:val="-8"/>
          <w:sz w:val="28"/>
        </w:rPr>
        <w:t> </w:t>
      </w:r>
      <w:r>
        <w:rPr>
          <w:sz w:val="28"/>
        </w:rPr>
        <w:t>and</w:t>
      </w:r>
      <w:r>
        <w:rPr>
          <w:spacing w:val="-8"/>
          <w:sz w:val="28"/>
        </w:rPr>
        <w:t> </w:t>
      </w:r>
      <w:r>
        <w:rPr>
          <w:sz w:val="28"/>
        </w:rPr>
        <w:t>Treatment</w:t>
      </w:r>
      <w:r>
        <w:rPr>
          <w:spacing w:val="-8"/>
          <w:sz w:val="28"/>
        </w:rPr>
        <w:t> </w:t>
      </w:r>
      <w:r>
        <w:rPr>
          <w:sz w:val="28"/>
        </w:rPr>
        <w:t>(NI)</w:t>
      </w:r>
      <w:r>
        <w:rPr>
          <w:spacing w:val="-9"/>
          <w:sz w:val="28"/>
        </w:rPr>
        <w:t> </w:t>
      </w:r>
      <w:r>
        <w:rPr>
          <w:sz w:val="28"/>
        </w:rPr>
        <w:t>Order</w:t>
      </w:r>
      <w:r>
        <w:rPr>
          <w:spacing w:val="-7"/>
          <w:sz w:val="28"/>
        </w:rPr>
        <w:t> </w:t>
      </w:r>
      <w:r>
        <w:rPr>
          <w:sz w:val="28"/>
        </w:rPr>
        <w:t>1998,</w:t>
      </w:r>
      <w:r>
        <w:rPr>
          <w:spacing w:val="-8"/>
          <w:sz w:val="28"/>
        </w:rPr>
        <w:t> </w:t>
      </w:r>
      <w:r>
        <w:rPr>
          <w:sz w:val="28"/>
        </w:rPr>
        <w:t>as</w:t>
      </w:r>
      <w:r>
        <w:rPr>
          <w:spacing w:val="-8"/>
          <w:sz w:val="28"/>
        </w:rPr>
        <w:t> </w:t>
      </w:r>
      <w:r>
        <w:rPr>
          <w:spacing w:val="-2"/>
          <w:sz w:val="28"/>
        </w:rPr>
        <w:t>amended;</w:t>
      </w:r>
    </w:p>
    <w:p>
      <w:pPr>
        <w:pStyle w:val="ListParagraph"/>
        <w:numPr>
          <w:ilvl w:val="0"/>
          <w:numId w:val="17"/>
        </w:numPr>
        <w:tabs>
          <w:tab w:pos="2562" w:val="left" w:leader="none"/>
        </w:tabs>
        <w:spacing w:line="240" w:lineRule="auto" w:before="84" w:after="0"/>
        <w:ind w:left="2562" w:right="0" w:hanging="360"/>
        <w:jc w:val="left"/>
        <w:rPr>
          <w:sz w:val="28"/>
        </w:rPr>
      </w:pPr>
      <w:r>
        <w:rPr>
          <w:sz w:val="28"/>
        </w:rPr>
        <w:t>Northern</w:t>
      </w:r>
      <w:r>
        <w:rPr>
          <w:spacing w:val="-5"/>
          <w:sz w:val="28"/>
        </w:rPr>
        <w:t> </w:t>
      </w:r>
      <w:r>
        <w:rPr>
          <w:sz w:val="28"/>
        </w:rPr>
        <w:t>Ireland</w:t>
      </w:r>
      <w:r>
        <w:rPr>
          <w:spacing w:val="-4"/>
          <w:sz w:val="28"/>
        </w:rPr>
        <w:t> </w:t>
      </w:r>
      <w:r>
        <w:rPr>
          <w:sz w:val="28"/>
        </w:rPr>
        <w:t>Act</w:t>
      </w:r>
      <w:r>
        <w:rPr>
          <w:spacing w:val="-3"/>
          <w:sz w:val="28"/>
        </w:rPr>
        <w:t> </w:t>
      </w:r>
      <w:r>
        <w:rPr>
          <w:sz w:val="28"/>
        </w:rPr>
        <w:t>1998,</w:t>
      </w:r>
      <w:r>
        <w:rPr>
          <w:spacing w:val="-3"/>
          <w:sz w:val="28"/>
        </w:rPr>
        <w:t> </w:t>
      </w:r>
      <w:r>
        <w:rPr>
          <w:sz w:val="28"/>
        </w:rPr>
        <w:t>as</w:t>
      </w:r>
      <w:r>
        <w:rPr>
          <w:spacing w:val="-4"/>
          <w:sz w:val="28"/>
        </w:rPr>
        <w:t> </w:t>
      </w:r>
      <w:r>
        <w:rPr>
          <w:spacing w:val="-2"/>
          <w:sz w:val="28"/>
        </w:rPr>
        <w:t>amended;</w:t>
      </w:r>
    </w:p>
    <w:p>
      <w:pPr>
        <w:pStyle w:val="ListParagraph"/>
        <w:numPr>
          <w:ilvl w:val="0"/>
          <w:numId w:val="17"/>
        </w:numPr>
        <w:tabs>
          <w:tab w:pos="2562" w:val="left" w:leader="none"/>
        </w:tabs>
        <w:spacing w:line="240" w:lineRule="auto" w:before="83" w:after="0"/>
        <w:ind w:left="2562" w:right="0" w:hanging="360"/>
        <w:jc w:val="left"/>
        <w:rPr>
          <w:sz w:val="28"/>
        </w:rPr>
      </w:pPr>
      <w:r>
        <w:rPr>
          <w:sz w:val="28"/>
        </w:rPr>
        <w:t>Equality</w:t>
      </w:r>
      <w:r>
        <w:rPr>
          <w:spacing w:val="-10"/>
          <w:sz w:val="28"/>
        </w:rPr>
        <w:t> </w:t>
      </w:r>
      <w:r>
        <w:rPr>
          <w:sz w:val="28"/>
        </w:rPr>
        <w:t>(Disability,</w:t>
      </w:r>
      <w:r>
        <w:rPr>
          <w:spacing w:val="-8"/>
          <w:sz w:val="28"/>
        </w:rPr>
        <w:t> </w:t>
      </w:r>
      <w:r>
        <w:rPr>
          <w:sz w:val="28"/>
        </w:rPr>
        <w:t>etc.)</w:t>
      </w:r>
      <w:r>
        <w:rPr>
          <w:spacing w:val="-9"/>
          <w:sz w:val="28"/>
        </w:rPr>
        <w:t> </w:t>
      </w:r>
      <w:r>
        <w:rPr>
          <w:sz w:val="28"/>
        </w:rPr>
        <w:t>(NI)</w:t>
      </w:r>
      <w:r>
        <w:rPr>
          <w:spacing w:val="-9"/>
          <w:sz w:val="28"/>
        </w:rPr>
        <w:t> </w:t>
      </w:r>
      <w:r>
        <w:rPr>
          <w:sz w:val="28"/>
        </w:rPr>
        <w:t>Order</w:t>
      </w:r>
      <w:r>
        <w:rPr>
          <w:spacing w:val="-7"/>
          <w:sz w:val="28"/>
        </w:rPr>
        <w:t> </w:t>
      </w:r>
      <w:r>
        <w:rPr>
          <w:spacing w:val="-2"/>
          <w:sz w:val="28"/>
        </w:rPr>
        <w:t>2000;</w:t>
      </w:r>
    </w:p>
    <w:p>
      <w:pPr>
        <w:pStyle w:val="ListParagraph"/>
        <w:numPr>
          <w:ilvl w:val="0"/>
          <w:numId w:val="17"/>
        </w:numPr>
        <w:tabs>
          <w:tab w:pos="2562" w:val="left" w:leader="none"/>
        </w:tabs>
        <w:spacing w:line="225" w:lineRule="auto" w:before="99" w:after="0"/>
        <w:ind w:left="2562" w:right="1716" w:hanging="360"/>
        <w:jc w:val="left"/>
        <w:rPr>
          <w:sz w:val="28"/>
        </w:rPr>
      </w:pPr>
      <w:r>
        <w:rPr>
          <w:sz w:val="28"/>
        </w:rPr>
        <w:t>Employment</w:t>
      </w:r>
      <w:r>
        <w:rPr>
          <w:spacing w:val="-10"/>
          <w:sz w:val="28"/>
        </w:rPr>
        <w:t> </w:t>
      </w:r>
      <w:r>
        <w:rPr>
          <w:sz w:val="28"/>
        </w:rPr>
        <w:t>Equality</w:t>
      </w:r>
      <w:r>
        <w:rPr>
          <w:spacing w:val="-10"/>
          <w:sz w:val="28"/>
        </w:rPr>
        <w:t> </w:t>
      </w:r>
      <w:r>
        <w:rPr>
          <w:sz w:val="28"/>
        </w:rPr>
        <w:t>(Sexual</w:t>
      </w:r>
      <w:r>
        <w:rPr>
          <w:spacing w:val="-11"/>
          <w:sz w:val="28"/>
        </w:rPr>
        <w:t> </w:t>
      </w:r>
      <w:r>
        <w:rPr>
          <w:sz w:val="28"/>
        </w:rPr>
        <w:t>Orientation)</w:t>
      </w:r>
      <w:r>
        <w:rPr>
          <w:spacing w:val="-11"/>
          <w:sz w:val="28"/>
        </w:rPr>
        <w:t> </w:t>
      </w:r>
      <w:r>
        <w:rPr>
          <w:sz w:val="28"/>
        </w:rPr>
        <w:t>Regulations</w:t>
      </w:r>
      <w:r>
        <w:rPr>
          <w:spacing w:val="-11"/>
          <w:sz w:val="28"/>
        </w:rPr>
        <w:t> </w:t>
      </w:r>
      <w:r>
        <w:rPr>
          <w:sz w:val="28"/>
        </w:rPr>
        <w:t>(NI)</w:t>
      </w:r>
      <w:r>
        <w:rPr>
          <w:spacing w:val="-11"/>
          <w:sz w:val="28"/>
        </w:rPr>
        <w:t> </w:t>
      </w:r>
      <w:r>
        <w:rPr>
          <w:sz w:val="28"/>
        </w:rPr>
        <w:t>2003,</w:t>
      </w:r>
      <w:r>
        <w:rPr>
          <w:spacing w:val="-10"/>
          <w:sz w:val="28"/>
        </w:rPr>
        <w:t> </w:t>
      </w:r>
      <w:r>
        <w:rPr>
          <w:sz w:val="28"/>
        </w:rPr>
        <w:t>as </w:t>
      </w:r>
      <w:r>
        <w:rPr>
          <w:spacing w:val="-2"/>
          <w:sz w:val="28"/>
        </w:rPr>
        <w:t>amended;</w:t>
      </w:r>
    </w:p>
    <w:p>
      <w:pPr>
        <w:pStyle w:val="ListParagraph"/>
        <w:numPr>
          <w:ilvl w:val="0"/>
          <w:numId w:val="17"/>
        </w:numPr>
        <w:tabs>
          <w:tab w:pos="2562" w:val="left" w:leader="none"/>
        </w:tabs>
        <w:spacing w:line="240" w:lineRule="auto" w:before="87" w:after="0"/>
        <w:ind w:left="2562" w:right="0" w:hanging="360"/>
        <w:jc w:val="left"/>
        <w:rPr>
          <w:sz w:val="28"/>
        </w:rPr>
      </w:pPr>
      <w:r>
        <w:rPr>
          <w:sz w:val="28"/>
        </w:rPr>
        <w:t>Special</w:t>
      </w:r>
      <w:r>
        <w:rPr>
          <w:spacing w:val="-6"/>
          <w:sz w:val="28"/>
        </w:rPr>
        <w:t> </w:t>
      </w:r>
      <w:r>
        <w:rPr>
          <w:sz w:val="28"/>
        </w:rPr>
        <w:t>Educational</w:t>
      </w:r>
      <w:r>
        <w:rPr>
          <w:spacing w:val="-5"/>
          <w:sz w:val="28"/>
        </w:rPr>
        <w:t> </w:t>
      </w:r>
      <w:r>
        <w:rPr>
          <w:sz w:val="28"/>
        </w:rPr>
        <w:t>Needs</w:t>
      </w:r>
      <w:r>
        <w:rPr>
          <w:spacing w:val="-6"/>
          <w:sz w:val="28"/>
        </w:rPr>
        <w:t> </w:t>
      </w:r>
      <w:r>
        <w:rPr>
          <w:sz w:val="28"/>
        </w:rPr>
        <w:t>and</w:t>
      </w:r>
      <w:r>
        <w:rPr>
          <w:spacing w:val="-5"/>
          <w:sz w:val="28"/>
        </w:rPr>
        <w:t> </w:t>
      </w:r>
      <w:r>
        <w:rPr>
          <w:sz w:val="28"/>
        </w:rPr>
        <w:t>Disability</w:t>
      </w:r>
      <w:r>
        <w:rPr>
          <w:spacing w:val="-5"/>
          <w:sz w:val="28"/>
        </w:rPr>
        <w:t> </w:t>
      </w:r>
      <w:r>
        <w:rPr>
          <w:sz w:val="28"/>
        </w:rPr>
        <w:t>(NI)</w:t>
      </w:r>
      <w:r>
        <w:rPr>
          <w:spacing w:val="-5"/>
          <w:sz w:val="28"/>
        </w:rPr>
        <w:t> </w:t>
      </w:r>
      <w:r>
        <w:rPr>
          <w:sz w:val="28"/>
        </w:rPr>
        <w:t>Order</w:t>
      </w:r>
      <w:r>
        <w:rPr>
          <w:spacing w:val="-5"/>
          <w:sz w:val="28"/>
        </w:rPr>
        <w:t> </w:t>
      </w:r>
      <w:r>
        <w:rPr>
          <w:sz w:val="28"/>
        </w:rPr>
        <w:t>2005,</w:t>
      </w:r>
      <w:r>
        <w:rPr>
          <w:spacing w:val="-5"/>
          <w:sz w:val="28"/>
        </w:rPr>
        <w:t> </w:t>
      </w:r>
      <w:r>
        <w:rPr>
          <w:sz w:val="28"/>
        </w:rPr>
        <w:t>as</w:t>
      </w:r>
      <w:r>
        <w:rPr>
          <w:spacing w:val="-5"/>
          <w:sz w:val="28"/>
        </w:rPr>
        <w:t> </w:t>
      </w:r>
      <w:r>
        <w:rPr>
          <w:spacing w:val="-2"/>
          <w:sz w:val="28"/>
        </w:rPr>
        <w:t>amended;</w:t>
      </w:r>
    </w:p>
    <w:p>
      <w:pPr>
        <w:pStyle w:val="ListParagraph"/>
        <w:numPr>
          <w:ilvl w:val="0"/>
          <w:numId w:val="17"/>
        </w:numPr>
        <w:tabs>
          <w:tab w:pos="2562" w:val="left" w:leader="none"/>
        </w:tabs>
        <w:spacing w:line="240" w:lineRule="auto" w:before="83" w:after="0"/>
        <w:ind w:left="2562" w:right="0" w:hanging="360"/>
        <w:jc w:val="left"/>
        <w:rPr>
          <w:sz w:val="28"/>
        </w:rPr>
      </w:pPr>
      <w:r>
        <w:rPr>
          <w:sz w:val="28"/>
        </w:rPr>
        <w:t>Disability</w:t>
      </w:r>
      <w:r>
        <w:rPr>
          <w:spacing w:val="-5"/>
          <w:sz w:val="28"/>
        </w:rPr>
        <w:t> </w:t>
      </w:r>
      <w:r>
        <w:rPr>
          <w:sz w:val="28"/>
        </w:rPr>
        <w:t>Discrimination</w:t>
      </w:r>
      <w:r>
        <w:rPr>
          <w:spacing w:val="-5"/>
          <w:sz w:val="28"/>
        </w:rPr>
        <w:t> </w:t>
      </w:r>
      <w:r>
        <w:rPr>
          <w:sz w:val="28"/>
        </w:rPr>
        <w:t>(NI)</w:t>
      </w:r>
      <w:r>
        <w:rPr>
          <w:spacing w:val="-5"/>
          <w:sz w:val="28"/>
        </w:rPr>
        <w:t> </w:t>
      </w:r>
      <w:r>
        <w:rPr>
          <w:sz w:val="28"/>
        </w:rPr>
        <w:t>Order</w:t>
      </w:r>
      <w:r>
        <w:rPr>
          <w:spacing w:val="-4"/>
          <w:sz w:val="28"/>
        </w:rPr>
        <w:t> </w:t>
      </w:r>
      <w:r>
        <w:rPr>
          <w:spacing w:val="-2"/>
          <w:sz w:val="28"/>
        </w:rPr>
        <w:t>2006;</w:t>
      </w:r>
    </w:p>
    <w:p>
      <w:pPr>
        <w:pStyle w:val="ListParagraph"/>
        <w:numPr>
          <w:ilvl w:val="0"/>
          <w:numId w:val="17"/>
        </w:numPr>
        <w:tabs>
          <w:tab w:pos="2562" w:val="left" w:leader="none"/>
        </w:tabs>
        <w:spacing w:line="240" w:lineRule="auto" w:before="83" w:after="0"/>
        <w:ind w:left="2562" w:right="0" w:hanging="360"/>
        <w:jc w:val="left"/>
        <w:rPr>
          <w:sz w:val="28"/>
        </w:rPr>
      </w:pPr>
      <w:r>
        <w:rPr>
          <w:sz w:val="28"/>
        </w:rPr>
        <w:t>Employment</w:t>
      </w:r>
      <w:r>
        <w:rPr>
          <w:spacing w:val="-6"/>
          <w:sz w:val="28"/>
        </w:rPr>
        <w:t> </w:t>
      </w:r>
      <w:r>
        <w:rPr>
          <w:sz w:val="28"/>
        </w:rPr>
        <w:t>Equality</w:t>
      </w:r>
      <w:r>
        <w:rPr>
          <w:spacing w:val="-5"/>
          <w:sz w:val="28"/>
        </w:rPr>
        <w:t> </w:t>
      </w:r>
      <w:r>
        <w:rPr>
          <w:sz w:val="28"/>
        </w:rPr>
        <w:t>(Age)</w:t>
      </w:r>
      <w:r>
        <w:rPr>
          <w:spacing w:val="-6"/>
          <w:sz w:val="28"/>
        </w:rPr>
        <w:t> </w:t>
      </w:r>
      <w:r>
        <w:rPr>
          <w:sz w:val="28"/>
        </w:rPr>
        <w:t>Regulations</w:t>
      </w:r>
      <w:r>
        <w:rPr>
          <w:spacing w:val="-6"/>
          <w:sz w:val="28"/>
        </w:rPr>
        <w:t> </w:t>
      </w:r>
      <w:r>
        <w:rPr>
          <w:sz w:val="28"/>
        </w:rPr>
        <w:t>(NI)</w:t>
      </w:r>
      <w:r>
        <w:rPr>
          <w:spacing w:val="-6"/>
          <w:sz w:val="28"/>
        </w:rPr>
        <w:t> </w:t>
      </w:r>
      <w:r>
        <w:rPr>
          <w:sz w:val="28"/>
        </w:rPr>
        <w:t>2006,</w:t>
      </w:r>
      <w:r>
        <w:rPr>
          <w:spacing w:val="-6"/>
          <w:sz w:val="28"/>
        </w:rPr>
        <w:t> </w:t>
      </w:r>
      <w:r>
        <w:rPr>
          <w:sz w:val="28"/>
        </w:rPr>
        <w:t>as</w:t>
      </w:r>
      <w:r>
        <w:rPr>
          <w:spacing w:val="-6"/>
          <w:sz w:val="28"/>
        </w:rPr>
        <w:t> </w:t>
      </w:r>
      <w:r>
        <w:rPr>
          <w:sz w:val="28"/>
        </w:rPr>
        <w:t>amended;</w:t>
      </w:r>
      <w:r>
        <w:rPr>
          <w:spacing w:val="-5"/>
          <w:sz w:val="28"/>
        </w:rPr>
        <w:t> and</w:t>
      </w:r>
    </w:p>
    <w:p>
      <w:pPr>
        <w:pStyle w:val="ListParagraph"/>
        <w:numPr>
          <w:ilvl w:val="0"/>
          <w:numId w:val="17"/>
        </w:numPr>
        <w:tabs>
          <w:tab w:pos="2562" w:val="left" w:leader="none"/>
        </w:tabs>
        <w:spacing w:line="240" w:lineRule="auto" w:before="84" w:after="0"/>
        <w:ind w:left="2562" w:right="0" w:hanging="360"/>
        <w:jc w:val="left"/>
        <w:rPr>
          <w:sz w:val="28"/>
        </w:rPr>
      </w:pPr>
      <w:r>
        <w:rPr>
          <w:sz w:val="28"/>
        </w:rPr>
        <w:t>Equality</w:t>
      </w:r>
      <w:r>
        <w:rPr>
          <w:spacing w:val="-10"/>
          <w:sz w:val="28"/>
        </w:rPr>
        <w:t> </w:t>
      </w:r>
      <w:r>
        <w:rPr>
          <w:sz w:val="28"/>
        </w:rPr>
        <w:t>Act</w:t>
      </w:r>
      <w:r>
        <w:rPr>
          <w:spacing w:val="-7"/>
          <w:sz w:val="28"/>
        </w:rPr>
        <w:t> </w:t>
      </w:r>
      <w:r>
        <w:rPr>
          <w:sz w:val="28"/>
        </w:rPr>
        <w:t>(Sexual</w:t>
      </w:r>
      <w:r>
        <w:rPr>
          <w:spacing w:val="-9"/>
          <w:sz w:val="28"/>
        </w:rPr>
        <w:t> </w:t>
      </w:r>
      <w:r>
        <w:rPr>
          <w:sz w:val="28"/>
        </w:rPr>
        <w:t>Orientation)</w:t>
      </w:r>
      <w:r>
        <w:rPr>
          <w:spacing w:val="-8"/>
          <w:sz w:val="28"/>
        </w:rPr>
        <w:t> </w:t>
      </w:r>
      <w:r>
        <w:rPr>
          <w:sz w:val="28"/>
        </w:rPr>
        <w:t>Regulations</w:t>
      </w:r>
      <w:r>
        <w:rPr>
          <w:spacing w:val="-8"/>
          <w:sz w:val="28"/>
        </w:rPr>
        <w:t> </w:t>
      </w:r>
      <w:r>
        <w:rPr>
          <w:sz w:val="28"/>
        </w:rPr>
        <w:t>(NI)</w:t>
      </w:r>
      <w:r>
        <w:rPr>
          <w:spacing w:val="-9"/>
          <w:sz w:val="28"/>
        </w:rPr>
        <w:t> </w:t>
      </w:r>
      <w:r>
        <w:rPr>
          <w:sz w:val="28"/>
        </w:rPr>
        <w:t>2006,</w:t>
      </w:r>
      <w:r>
        <w:rPr>
          <w:spacing w:val="-7"/>
          <w:sz w:val="28"/>
        </w:rPr>
        <w:t> </w:t>
      </w:r>
      <w:r>
        <w:rPr>
          <w:sz w:val="28"/>
        </w:rPr>
        <w:t>as</w:t>
      </w:r>
      <w:r>
        <w:rPr>
          <w:spacing w:val="-8"/>
          <w:sz w:val="28"/>
        </w:rPr>
        <w:t> </w:t>
      </w:r>
      <w:r>
        <w:rPr>
          <w:spacing w:val="-2"/>
          <w:sz w:val="28"/>
        </w:rPr>
        <w:t>amended.</w:t>
      </w:r>
    </w:p>
    <w:p>
      <w:pPr>
        <w:spacing w:after="0" w:line="240" w:lineRule="auto"/>
        <w:jc w:val="left"/>
        <w:rPr>
          <w:sz w:val="28"/>
        </w:rPr>
        <w:sectPr>
          <w:pgSz w:w="11910" w:h="16840"/>
          <w:pgMar w:header="496" w:footer="367" w:top="1220" w:bottom="560" w:left="0" w:right="0"/>
        </w:sectPr>
      </w:pPr>
    </w:p>
    <w:p>
      <w:pPr>
        <w:pStyle w:val="Heading2"/>
        <w:spacing w:before="476"/>
      </w:pPr>
      <w:bookmarkStart w:name="_bookmark65" w:id="146"/>
      <w:bookmarkEnd w:id="146"/>
      <w:r>
        <w:rPr>
          <w:b w:val="0"/>
        </w:rPr>
      </w:r>
      <w:bookmarkStart w:name="Appendix 2: List of Submissions" w:id="147"/>
      <w:bookmarkEnd w:id="147"/>
      <w:r>
        <w:rPr>
          <w:b w:val="0"/>
        </w:rPr>
      </w:r>
      <w:r>
        <w:rPr>
          <w:color w:val="393B80"/>
        </w:rPr>
        <w:t>Appendix</w:t>
      </w:r>
      <w:r>
        <w:rPr>
          <w:color w:val="393B80"/>
          <w:spacing w:val="-5"/>
        </w:rPr>
        <w:t> </w:t>
      </w:r>
      <w:r>
        <w:rPr>
          <w:color w:val="393B80"/>
        </w:rPr>
        <w:t>2:</w:t>
      </w:r>
      <w:r>
        <w:rPr>
          <w:color w:val="393B80"/>
          <w:spacing w:val="-4"/>
        </w:rPr>
        <w:t> </w:t>
      </w:r>
      <w:r>
        <w:rPr>
          <w:color w:val="393B80"/>
        </w:rPr>
        <w:t>List</w:t>
      </w:r>
      <w:r>
        <w:rPr>
          <w:color w:val="393B80"/>
          <w:spacing w:val="-4"/>
        </w:rPr>
        <w:t> </w:t>
      </w:r>
      <w:r>
        <w:rPr>
          <w:color w:val="393B80"/>
        </w:rPr>
        <w:t>of</w:t>
      </w:r>
      <w:r>
        <w:rPr>
          <w:color w:val="393B80"/>
          <w:spacing w:val="-4"/>
        </w:rPr>
        <w:t> </w:t>
      </w:r>
      <w:r>
        <w:rPr>
          <w:color w:val="393B80"/>
          <w:spacing w:val="-2"/>
        </w:rPr>
        <w:t>Submissions</w:t>
      </w:r>
    </w:p>
    <w:p>
      <w:pPr>
        <w:pStyle w:val="BodyText"/>
        <w:spacing w:before="2"/>
        <w:rPr>
          <w:b/>
          <w:sz w:val="7"/>
        </w:rPr>
      </w:pPr>
      <w:r>
        <w:rPr/>
        <mc:AlternateContent>
          <mc:Choice Requires="wps">
            <w:drawing>
              <wp:anchor distT="0" distB="0" distL="0" distR="0" allowOverlap="1" layoutInCell="1" locked="0" behindDoc="1" simplePos="0" relativeHeight="487737344">
                <wp:simplePos x="0" y="0"/>
                <wp:positionH relativeFrom="page">
                  <wp:posOffset>719997</wp:posOffset>
                </wp:positionH>
                <wp:positionV relativeFrom="paragraph">
                  <wp:posOffset>71019</wp:posOffset>
                </wp:positionV>
                <wp:extent cx="6120130" cy="1270"/>
                <wp:effectExtent l="0" t="0" r="0" b="0"/>
                <wp:wrapTopAndBottom/>
                <wp:docPr id="668" name="Graphic 668"/>
                <wp:cNvGraphicFramePr>
                  <a:graphicFrameLocks/>
                </wp:cNvGraphicFramePr>
                <a:graphic>
                  <a:graphicData uri="http://schemas.microsoft.com/office/word/2010/wordprocessingShape">
                    <wps:wsp>
                      <wps:cNvPr id="668" name="Graphic 668"/>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99pt;margin-top:5.592119pt;width:481.9pt;height:.1pt;mso-position-horizontal-relative:page;mso-position-vertical-relative:paragraph;z-index:-15579136;mso-wrap-distance-left:0;mso-wrap-distance-right:0" id="docshape612" coordorigin="1134,112" coordsize="9638,0" path="m10772,112l1134,112e" filled="false" stroked="true" strokeweight="1pt" strokecolor="#393b80">
                <v:path arrowok="t"/>
                <v:stroke dashstyle="solid"/>
                <w10:wrap type="topAndBottom"/>
              </v:shape>
            </w:pict>
          </mc:Fallback>
        </mc:AlternateContent>
      </w:r>
    </w:p>
    <w:p>
      <w:pPr>
        <w:pStyle w:val="Heading5"/>
        <w:spacing w:before="112"/>
        <w:ind w:left="1133" w:firstLine="0"/>
      </w:pPr>
      <w:bookmarkStart w:name="Joint Submissions" w:id="148"/>
      <w:bookmarkEnd w:id="148"/>
      <w:r>
        <w:rPr>
          <w:b w:val="0"/>
        </w:rPr>
      </w:r>
      <w:r>
        <w:rPr>
          <w:color w:val="393B7F"/>
        </w:rPr>
        <w:t>Joint</w:t>
      </w:r>
      <w:r>
        <w:rPr>
          <w:color w:val="393B7F"/>
          <w:spacing w:val="-3"/>
        </w:rPr>
        <w:t> </w:t>
      </w:r>
      <w:r>
        <w:rPr>
          <w:color w:val="393B7F"/>
          <w:spacing w:val="-2"/>
        </w:rPr>
        <w:t>Submissions</w:t>
      </w:r>
    </w:p>
    <w:p>
      <w:pPr>
        <w:pStyle w:val="BodyText"/>
        <w:spacing w:line="225" w:lineRule="auto" w:before="330"/>
        <w:ind w:left="1133" w:right="1171"/>
      </w:pPr>
      <w:r>
        <w:rPr/>
        <w:t>Equality Commission for NI and NI Human Right Commission, ‘</w:t>
      </w:r>
      <w:hyperlink r:id="rId222">
        <w:r>
          <w:rPr>
            <w:color w:val="0562C1"/>
            <w:u w:val="single" w:color="0562C1"/>
          </w:rPr>
          <w:t>Annual Report of the</w:t>
        </w:r>
      </w:hyperlink>
      <w:r>
        <w:rPr>
          <w:color w:val="0562C1"/>
          <w:u w:val="none"/>
        </w:rPr>
        <w:t> </w:t>
      </w:r>
      <w:hyperlink r:id="rId222">
        <w:r>
          <w:rPr>
            <w:color w:val="0562C1"/>
            <w:u w:val="single" w:color="0562C1"/>
          </w:rPr>
          <w:t>Equality</w:t>
        </w:r>
        <w:r>
          <w:rPr>
            <w:color w:val="0562C1"/>
            <w:spacing w:val="-5"/>
            <w:u w:val="single" w:color="0562C1"/>
          </w:rPr>
          <w:t> </w:t>
        </w:r>
        <w:r>
          <w:rPr>
            <w:color w:val="0562C1"/>
            <w:u w:val="single" w:color="0562C1"/>
          </w:rPr>
          <w:t>Commission</w:t>
        </w:r>
        <w:r>
          <w:rPr>
            <w:color w:val="0562C1"/>
            <w:spacing w:val="-6"/>
            <w:u w:val="single" w:color="0562C1"/>
          </w:rPr>
          <w:t> </w:t>
        </w:r>
        <w:r>
          <w:rPr>
            <w:color w:val="0562C1"/>
            <w:u w:val="single" w:color="0562C1"/>
          </w:rPr>
          <w:t>for</w:t>
        </w:r>
        <w:r>
          <w:rPr>
            <w:color w:val="0562C1"/>
            <w:spacing w:val="-5"/>
            <w:u w:val="single" w:color="0562C1"/>
          </w:rPr>
          <w:t> </w:t>
        </w:r>
        <w:r>
          <w:rPr>
            <w:color w:val="0562C1"/>
            <w:u w:val="single" w:color="0562C1"/>
          </w:rPr>
          <w:t>NI</w:t>
        </w:r>
        <w:r>
          <w:rPr>
            <w:color w:val="0562C1"/>
            <w:spacing w:val="-5"/>
            <w:u w:val="single" w:color="0562C1"/>
          </w:rPr>
          <w:t> </w:t>
        </w:r>
        <w:r>
          <w:rPr>
            <w:color w:val="0562C1"/>
            <w:u w:val="single" w:color="0562C1"/>
          </w:rPr>
          <w:t>and</w:t>
        </w:r>
        <w:r>
          <w:rPr>
            <w:color w:val="0562C1"/>
            <w:spacing w:val="-6"/>
            <w:u w:val="single" w:color="0562C1"/>
          </w:rPr>
          <w:t> </w:t>
        </w:r>
        <w:r>
          <w:rPr>
            <w:color w:val="0562C1"/>
            <w:u w:val="single" w:color="0562C1"/>
          </w:rPr>
          <w:t>NI</w:t>
        </w:r>
        <w:r>
          <w:rPr>
            <w:color w:val="0562C1"/>
            <w:spacing w:val="-5"/>
            <w:u w:val="single" w:color="0562C1"/>
          </w:rPr>
          <w:t> </w:t>
        </w:r>
        <w:r>
          <w:rPr>
            <w:color w:val="0562C1"/>
            <w:u w:val="single" w:color="0562C1"/>
          </w:rPr>
          <w:t>Human</w:t>
        </w:r>
        <w:r>
          <w:rPr>
            <w:color w:val="0562C1"/>
            <w:spacing w:val="-6"/>
            <w:u w:val="single" w:color="0562C1"/>
          </w:rPr>
          <w:t> </w:t>
        </w:r>
        <w:r>
          <w:rPr>
            <w:color w:val="0562C1"/>
            <w:u w:val="single" w:color="0562C1"/>
          </w:rPr>
          <w:t>Right</w:t>
        </w:r>
        <w:r>
          <w:rPr>
            <w:color w:val="0562C1"/>
            <w:spacing w:val="-5"/>
            <w:u w:val="single" w:color="0562C1"/>
          </w:rPr>
          <w:t> </w:t>
        </w:r>
        <w:r>
          <w:rPr>
            <w:color w:val="0562C1"/>
            <w:u w:val="single" w:color="0562C1"/>
          </w:rPr>
          <w:t>Commission</w:t>
        </w:r>
        <w:r>
          <w:rPr>
            <w:color w:val="0562C1"/>
            <w:spacing w:val="-6"/>
            <w:u w:val="single" w:color="0562C1"/>
          </w:rPr>
          <w:t> </w:t>
        </w:r>
        <w:r>
          <w:rPr>
            <w:color w:val="0562C1"/>
            <w:u w:val="single" w:color="0562C1"/>
          </w:rPr>
          <w:t>on</w:t>
        </w:r>
        <w:r>
          <w:rPr>
            <w:color w:val="0562C1"/>
            <w:spacing w:val="-6"/>
            <w:u w:val="single" w:color="0562C1"/>
          </w:rPr>
          <w:t> </w:t>
        </w:r>
        <w:r>
          <w:rPr>
            <w:color w:val="0562C1"/>
            <w:u w:val="single" w:color="0562C1"/>
          </w:rPr>
          <w:t>the</w:t>
        </w:r>
        <w:r>
          <w:rPr>
            <w:color w:val="0562C1"/>
            <w:spacing w:val="-5"/>
            <w:u w:val="single" w:color="0562C1"/>
          </w:rPr>
          <w:t> </w:t>
        </w:r>
        <w:r>
          <w:rPr>
            <w:color w:val="0562C1"/>
            <w:u w:val="single" w:color="0562C1"/>
          </w:rPr>
          <w:t>Implementation</w:t>
        </w:r>
      </w:hyperlink>
      <w:r>
        <w:rPr>
          <w:color w:val="0562C1"/>
          <w:u w:val="none"/>
        </w:rPr>
        <w:t> </w:t>
      </w:r>
      <w:hyperlink r:id="rId222">
        <w:r>
          <w:rPr>
            <w:color w:val="0562C1"/>
            <w:u w:val="single" w:color="0562C1"/>
          </w:rPr>
          <w:t>of Article 2 of the Windsor Framework 2022-2023</w:t>
        </w:r>
      </w:hyperlink>
      <w:r>
        <w:rPr>
          <w:u w:val="none"/>
        </w:rPr>
        <w:t>’ (ECNI and NIHRC, 2023).</w:t>
      </w:r>
    </w:p>
    <w:p>
      <w:pPr>
        <w:pStyle w:val="BodyText"/>
        <w:spacing w:line="225" w:lineRule="auto" w:before="276"/>
        <w:ind w:left="1133" w:right="1235"/>
      </w:pPr>
      <w:r>
        <w:rPr/>
        <w:t>Irish Human Rights and Equality Commission, NI Human Rights Commission and Equality Commission for NI, ‘</w:t>
      </w:r>
      <w:hyperlink r:id="rId62">
        <w:r>
          <w:rPr>
            <w:color w:val="006FC0"/>
            <w:u w:val="single" w:color="0562C1"/>
          </w:rPr>
          <w:t>Equality and Human Rights on the Island of Ireland</w:t>
        </w:r>
      </w:hyperlink>
      <w:r>
        <w:rPr>
          <w:color w:val="006FC0"/>
          <w:u w:val="none"/>
        </w:rPr>
        <w:t> </w:t>
      </w:r>
      <w:hyperlink r:id="rId62">
        <w:r>
          <w:rPr>
            <w:color w:val="006FC0"/>
            <w:u w:val="single" w:color="0562C1"/>
          </w:rPr>
          <w:t>after</w:t>
        </w:r>
        <w:r>
          <w:rPr>
            <w:color w:val="006FC0"/>
            <w:spacing w:val="-6"/>
            <w:u w:val="single" w:color="0562C1"/>
          </w:rPr>
          <w:t> </w:t>
        </w:r>
        <w:r>
          <w:rPr>
            <w:color w:val="006FC0"/>
            <w:u w:val="single" w:color="0562C1"/>
          </w:rPr>
          <w:t>Brexit</w:t>
        </w:r>
      </w:hyperlink>
      <w:r>
        <w:rPr>
          <w:u w:val="none"/>
        </w:rPr>
        <w:t>:</w:t>
      </w:r>
      <w:r>
        <w:rPr>
          <w:spacing w:val="-6"/>
          <w:u w:val="none"/>
        </w:rPr>
        <w:t> </w:t>
      </w:r>
      <w:r>
        <w:rPr>
          <w:u w:val="none"/>
        </w:rPr>
        <w:t>Annual</w:t>
      </w:r>
      <w:r>
        <w:rPr>
          <w:spacing w:val="-7"/>
          <w:u w:val="none"/>
        </w:rPr>
        <w:t> </w:t>
      </w:r>
      <w:r>
        <w:rPr>
          <w:u w:val="none"/>
        </w:rPr>
        <w:t>joint</w:t>
      </w:r>
      <w:r>
        <w:rPr>
          <w:spacing w:val="-6"/>
          <w:u w:val="none"/>
        </w:rPr>
        <w:t> </w:t>
      </w:r>
      <w:r>
        <w:rPr>
          <w:u w:val="none"/>
        </w:rPr>
        <w:t>report</w:t>
      </w:r>
      <w:r>
        <w:rPr>
          <w:spacing w:val="-6"/>
          <w:u w:val="none"/>
        </w:rPr>
        <w:t> </w:t>
      </w:r>
      <w:r>
        <w:rPr>
          <w:u w:val="none"/>
        </w:rPr>
        <w:t>of</w:t>
      </w:r>
      <w:r>
        <w:rPr>
          <w:spacing w:val="-7"/>
          <w:u w:val="none"/>
        </w:rPr>
        <w:t> </w:t>
      </w:r>
      <w:r>
        <w:rPr>
          <w:u w:val="none"/>
        </w:rPr>
        <w:t>IHREC,</w:t>
      </w:r>
      <w:r>
        <w:rPr>
          <w:spacing w:val="-6"/>
          <w:u w:val="none"/>
        </w:rPr>
        <w:t> </w:t>
      </w:r>
      <w:r>
        <w:rPr>
          <w:u w:val="none"/>
        </w:rPr>
        <w:t>ECNI</w:t>
      </w:r>
      <w:r>
        <w:rPr>
          <w:spacing w:val="-6"/>
          <w:u w:val="none"/>
        </w:rPr>
        <w:t> </w:t>
      </w:r>
      <w:r>
        <w:rPr>
          <w:u w:val="none"/>
        </w:rPr>
        <w:t>and</w:t>
      </w:r>
      <w:r>
        <w:rPr>
          <w:spacing w:val="-7"/>
          <w:u w:val="none"/>
        </w:rPr>
        <w:t> </w:t>
      </w:r>
      <w:r>
        <w:rPr>
          <w:u w:val="none"/>
        </w:rPr>
        <w:t>NIHRC</w:t>
      </w:r>
      <w:r>
        <w:rPr>
          <w:spacing w:val="-7"/>
          <w:u w:val="none"/>
        </w:rPr>
        <w:t> </w:t>
      </w:r>
      <w:r>
        <w:rPr>
          <w:u w:val="none"/>
        </w:rPr>
        <w:t>on</w:t>
      </w:r>
      <w:r>
        <w:rPr>
          <w:spacing w:val="-7"/>
          <w:u w:val="none"/>
        </w:rPr>
        <w:t> </w:t>
      </w:r>
      <w:r>
        <w:rPr>
          <w:u w:val="none"/>
        </w:rPr>
        <w:t>the</w:t>
      </w:r>
      <w:r>
        <w:rPr>
          <w:spacing w:val="-6"/>
          <w:u w:val="none"/>
        </w:rPr>
        <w:t> </w:t>
      </w:r>
      <w:r>
        <w:rPr>
          <w:u w:val="none"/>
        </w:rPr>
        <w:t>implementation</w:t>
      </w:r>
      <w:r>
        <w:rPr>
          <w:spacing w:val="-7"/>
          <w:u w:val="none"/>
        </w:rPr>
        <w:t> </w:t>
      </w:r>
      <w:r>
        <w:rPr>
          <w:u w:val="none"/>
        </w:rPr>
        <w:t>of Article 2 of the Ireland/Northern Ireland Protocol October 2022-September 2023’, (IHREC, ECNI and NIHRC, 2023).</w:t>
      </w:r>
    </w:p>
    <w:p>
      <w:pPr>
        <w:pStyle w:val="BodyText"/>
        <w:spacing w:line="225" w:lineRule="auto" w:before="273"/>
        <w:ind w:left="1133" w:right="1171"/>
      </w:pPr>
      <w:r>
        <w:rPr/>
        <w:t>Equality Commission for NI, NI Human Rights Commission and Irish Human Rights and</w:t>
      </w:r>
      <w:r>
        <w:rPr>
          <w:spacing w:val="-10"/>
        </w:rPr>
        <w:t> </w:t>
      </w:r>
      <w:r>
        <w:rPr/>
        <w:t>Equality</w:t>
      </w:r>
      <w:r>
        <w:rPr>
          <w:spacing w:val="-10"/>
        </w:rPr>
        <w:t> </w:t>
      </w:r>
      <w:r>
        <w:rPr/>
        <w:t>Commission,</w:t>
      </w:r>
      <w:r>
        <w:rPr>
          <w:spacing w:val="-10"/>
        </w:rPr>
        <w:t> </w:t>
      </w:r>
      <w:r>
        <w:rPr/>
        <w:t>‘</w:t>
      </w:r>
      <w:hyperlink r:id="rId223">
        <w:r>
          <w:rPr>
            <w:color w:val="0562C1"/>
            <w:u w:val="single" w:color="0562C1"/>
          </w:rPr>
          <w:t>Policy</w:t>
        </w:r>
        <w:r>
          <w:rPr>
            <w:color w:val="0562C1"/>
            <w:spacing w:val="-10"/>
            <w:u w:val="single" w:color="0562C1"/>
          </w:rPr>
          <w:t> </w:t>
        </w:r>
        <w:r>
          <w:rPr>
            <w:color w:val="0562C1"/>
            <w:u w:val="single" w:color="0562C1"/>
          </w:rPr>
          <w:t>Recommendations</w:t>
        </w:r>
      </w:hyperlink>
      <w:r>
        <w:rPr>
          <w:u w:val="none"/>
        </w:rPr>
        <w:t>:</w:t>
      </w:r>
      <w:r>
        <w:rPr>
          <w:spacing w:val="-10"/>
          <w:u w:val="none"/>
        </w:rPr>
        <w:t> </w:t>
      </w:r>
      <w:r>
        <w:rPr>
          <w:u w:val="none"/>
        </w:rPr>
        <w:t>European</w:t>
      </w:r>
      <w:r>
        <w:rPr>
          <w:spacing w:val="-10"/>
          <w:u w:val="none"/>
        </w:rPr>
        <w:t> </w:t>
      </w:r>
      <w:r>
        <w:rPr>
          <w:u w:val="none"/>
        </w:rPr>
        <w:t>Union</w:t>
      </w:r>
      <w:r>
        <w:rPr>
          <w:spacing w:val="-10"/>
          <w:u w:val="none"/>
        </w:rPr>
        <w:t> </w:t>
      </w:r>
      <w:r>
        <w:rPr>
          <w:u w:val="none"/>
        </w:rPr>
        <w:t>developments in Equality and Human Rights: The Impact of Brexit on the divergence of rights and best practice on the island of Ireland’ (ECNI, NIHRC and IHREC, 2023).</w:t>
      </w:r>
    </w:p>
    <w:p>
      <w:pPr>
        <w:pStyle w:val="BodyText"/>
        <w:spacing w:line="225" w:lineRule="auto" w:before="275"/>
        <w:ind w:left="1133" w:right="1171"/>
      </w:pPr>
      <w:r>
        <w:rPr/>
        <w:t>Equality</w:t>
      </w:r>
      <w:r>
        <w:rPr>
          <w:spacing w:val="-4"/>
        </w:rPr>
        <w:t> </w:t>
      </w:r>
      <w:r>
        <w:rPr/>
        <w:t>Commission</w:t>
      </w:r>
      <w:r>
        <w:rPr>
          <w:spacing w:val="-5"/>
        </w:rPr>
        <w:t> </w:t>
      </w:r>
      <w:r>
        <w:rPr/>
        <w:t>for</w:t>
      </w:r>
      <w:r>
        <w:rPr>
          <w:spacing w:val="-4"/>
        </w:rPr>
        <w:t> </w:t>
      </w:r>
      <w:r>
        <w:rPr/>
        <w:t>NI</w:t>
      </w:r>
      <w:r>
        <w:rPr>
          <w:spacing w:val="-4"/>
        </w:rPr>
        <w:t> </w:t>
      </w:r>
      <w:r>
        <w:rPr/>
        <w:t>and</w:t>
      </w:r>
      <w:r>
        <w:rPr>
          <w:spacing w:val="-5"/>
        </w:rPr>
        <w:t> </w:t>
      </w:r>
      <w:r>
        <w:rPr/>
        <w:t>NI</w:t>
      </w:r>
      <w:r>
        <w:rPr>
          <w:spacing w:val="-4"/>
        </w:rPr>
        <w:t> </w:t>
      </w:r>
      <w:r>
        <w:rPr/>
        <w:t>Human</w:t>
      </w:r>
      <w:r>
        <w:rPr>
          <w:spacing w:val="-5"/>
        </w:rPr>
        <w:t> </w:t>
      </w:r>
      <w:r>
        <w:rPr/>
        <w:t>Rights</w:t>
      </w:r>
      <w:r>
        <w:rPr>
          <w:spacing w:val="-5"/>
        </w:rPr>
        <w:t> </w:t>
      </w:r>
      <w:r>
        <w:rPr/>
        <w:t>Commission,</w:t>
      </w:r>
      <w:r>
        <w:rPr>
          <w:spacing w:val="-4"/>
        </w:rPr>
        <w:t> </w:t>
      </w:r>
      <w:r>
        <w:rPr/>
        <w:t>‘</w:t>
      </w:r>
      <w:hyperlink r:id="rId224">
        <w:r>
          <w:rPr>
            <w:color w:val="0562C1"/>
            <w:u w:val="single" w:color="0562C1"/>
          </w:rPr>
          <w:t>Submission</w:t>
        </w:r>
        <w:r>
          <w:rPr>
            <w:color w:val="0562C1"/>
            <w:spacing w:val="-5"/>
            <w:u w:val="single" w:color="0562C1"/>
          </w:rPr>
          <w:t> </w:t>
        </w:r>
        <w:r>
          <w:rPr>
            <w:color w:val="0562C1"/>
            <w:u w:val="single" w:color="0562C1"/>
          </w:rPr>
          <w:t>of</w:t>
        </w:r>
        <w:r>
          <w:rPr>
            <w:color w:val="0562C1"/>
            <w:spacing w:val="-5"/>
            <w:u w:val="single" w:color="0562C1"/>
          </w:rPr>
          <w:t> </w:t>
        </w:r>
        <w:r>
          <w:rPr>
            <w:color w:val="0562C1"/>
            <w:u w:val="single" w:color="0562C1"/>
          </w:rPr>
          <w:t>the</w:t>
        </w:r>
        <w:r>
          <w:rPr>
            <w:color w:val="0562C1"/>
            <w:spacing w:val="-4"/>
            <w:u w:val="single" w:color="0562C1"/>
          </w:rPr>
          <w:t> </w:t>
        </w:r>
      </w:hyperlink>
      <w:r>
        <w:rPr>
          <w:color w:val="0562C1"/>
          <w:spacing w:val="-4"/>
          <w:u w:val="none"/>
        </w:rPr>
        <w:t> </w:t>
      </w:r>
      <w:hyperlink r:id="rId224">
        <w:r>
          <w:rPr>
            <w:color w:val="0562C1"/>
            <w:u w:val="single" w:color="0562C1"/>
          </w:rPr>
          <w:t>NIHRC and ECNI to the House of Lords Sub-Committee on the Protocol’s call for</w:t>
        </w:r>
      </w:hyperlink>
      <w:r>
        <w:rPr>
          <w:color w:val="0562C1"/>
          <w:u w:val="none"/>
        </w:rPr>
        <w:t> </w:t>
      </w:r>
      <w:hyperlink r:id="rId224">
        <w:r>
          <w:rPr>
            <w:color w:val="0562C1"/>
            <w:u w:val="single" w:color="0562C1"/>
          </w:rPr>
          <w:t>evidence for its inquiry on the Windsor Framework</w:t>
        </w:r>
      </w:hyperlink>
      <w:r>
        <w:rPr>
          <w:u w:val="none"/>
        </w:rPr>
        <w:t>’ (ECNI and NIHRC, 2023).</w:t>
      </w:r>
    </w:p>
    <w:p>
      <w:pPr>
        <w:pStyle w:val="BodyText"/>
        <w:spacing w:line="225" w:lineRule="auto" w:before="276"/>
        <w:ind w:left="1133" w:right="1171"/>
      </w:pPr>
      <w:r>
        <w:rPr/>
        <w:t>Equality Commission for NI and NI Human Rights Commission (Independent Mechanism</w:t>
      </w:r>
      <w:r>
        <w:rPr>
          <w:spacing w:val="-8"/>
        </w:rPr>
        <w:t> </w:t>
      </w:r>
      <w:r>
        <w:rPr/>
        <w:t>for</w:t>
      </w:r>
      <w:r>
        <w:rPr>
          <w:spacing w:val="-8"/>
        </w:rPr>
        <w:t> </w:t>
      </w:r>
      <w:r>
        <w:rPr/>
        <w:t>NI),</w:t>
      </w:r>
      <w:r>
        <w:rPr>
          <w:spacing w:val="-8"/>
        </w:rPr>
        <w:t> </w:t>
      </w:r>
      <w:r>
        <w:rPr/>
        <w:t>‘</w:t>
      </w:r>
      <w:hyperlink r:id="rId225">
        <w:r>
          <w:rPr>
            <w:color w:val="0562C1"/>
            <w:u w:val="single" w:color="0562C1"/>
          </w:rPr>
          <w:t>Jurisdictional</w:t>
        </w:r>
        <w:r>
          <w:rPr>
            <w:color w:val="0562C1"/>
            <w:spacing w:val="-9"/>
            <w:u w:val="single" w:color="0562C1"/>
          </w:rPr>
          <w:t> </w:t>
        </w:r>
        <w:r>
          <w:rPr>
            <w:color w:val="0562C1"/>
            <w:u w:val="single" w:color="0562C1"/>
          </w:rPr>
          <w:t>‘Parallel’</w:t>
        </w:r>
        <w:r>
          <w:rPr>
            <w:color w:val="0562C1"/>
            <w:spacing w:val="-8"/>
            <w:u w:val="single" w:color="0562C1"/>
          </w:rPr>
          <w:t> </w:t>
        </w:r>
        <w:r>
          <w:rPr>
            <w:color w:val="0562C1"/>
            <w:u w:val="single" w:color="0562C1"/>
          </w:rPr>
          <w:t>Submission</w:t>
        </w:r>
      </w:hyperlink>
      <w:r>
        <w:rPr>
          <w:color w:val="0562C1"/>
          <w:spacing w:val="-7"/>
          <w:u w:val="none"/>
        </w:rPr>
        <w:t> </w:t>
      </w:r>
      <w:r>
        <w:rPr>
          <w:u w:val="none"/>
        </w:rPr>
        <w:t>on</w:t>
      </w:r>
      <w:r>
        <w:rPr>
          <w:spacing w:val="-9"/>
          <w:u w:val="none"/>
        </w:rPr>
        <w:t> </w:t>
      </w:r>
      <w:r>
        <w:rPr>
          <w:u w:val="none"/>
        </w:rPr>
        <w:t>the</w:t>
      </w:r>
      <w:r>
        <w:rPr>
          <w:spacing w:val="-8"/>
          <w:u w:val="none"/>
        </w:rPr>
        <w:t> </w:t>
      </w:r>
      <w:r>
        <w:rPr>
          <w:u w:val="none"/>
        </w:rPr>
        <w:t>implementation,</w:t>
      </w:r>
      <w:r>
        <w:rPr>
          <w:spacing w:val="-8"/>
          <w:u w:val="none"/>
        </w:rPr>
        <w:t> </w:t>
      </w:r>
      <w:r>
        <w:rPr>
          <w:u w:val="none"/>
        </w:rPr>
        <w:t>in</w:t>
      </w:r>
      <w:r>
        <w:rPr>
          <w:spacing w:val="-9"/>
          <w:u w:val="none"/>
        </w:rPr>
        <w:t> </w:t>
      </w:r>
      <w:r>
        <w:rPr>
          <w:u w:val="none"/>
        </w:rPr>
        <w:t>NI, of</w:t>
      </w:r>
      <w:r>
        <w:rPr>
          <w:spacing w:val="-6"/>
          <w:u w:val="none"/>
        </w:rPr>
        <w:t> </w:t>
      </w:r>
      <w:r>
        <w:rPr>
          <w:u w:val="none"/>
        </w:rPr>
        <w:t>the</w:t>
      </w:r>
      <w:r>
        <w:rPr>
          <w:spacing w:val="-5"/>
          <w:u w:val="none"/>
        </w:rPr>
        <w:t> </w:t>
      </w:r>
      <w:r>
        <w:rPr>
          <w:u w:val="none"/>
        </w:rPr>
        <w:t>recommendations</w:t>
      </w:r>
      <w:r>
        <w:rPr>
          <w:spacing w:val="-6"/>
          <w:u w:val="none"/>
        </w:rPr>
        <w:t> </w:t>
      </w:r>
      <w:r>
        <w:rPr>
          <w:u w:val="none"/>
        </w:rPr>
        <w:t>by</w:t>
      </w:r>
      <w:r>
        <w:rPr>
          <w:spacing w:val="-5"/>
          <w:u w:val="none"/>
        </w:rPr>
        <w:t> </w:t>
      </w:r>
      <w:r>
        <w:rPr>
          <w:u w:val="none"/>
        </w:rPr>
        <w:t>the</w:t>
      </w:r>
      <w:r>
        <w:rPr>
          <w:spacing w:val="-5"/>
          <w:u w:val="none"/>
        </w:rPr>
        <w:t> </w:t>
      </w:r>
      <w:r>
        <w:rPr>
          <w:u w:val="none"/>
        </w:rPr>
        <w:t>Committee</w:t>
      </w:r>
      <w:r>
        <w:rPr>
          <w:spacing w:val="-5"/>
          <w:u w:val="none"/>
        </w:rPr>
        <w:t> </w:t>
      </w:r>
      <w:r>
        <w:rPr>
          <w:u w:val="none"/>
        </w:rPr>
        <w:t>on</w:t>
      </w:r>
      <w:r>
        <w:rPr>
          <w:spacing w:val="-6"/>
          <w:u w:val="none"/>
        </w:rPr>
        <w:t> </w:t>
      </w:r>
      <w:r>
        <w:rPr>
          <w:u w:val="none"/>
        </w:rPr>
        <w:t>the</w:t>
      </w:r>
      <w:r>
        <w:rPr>
          <w:spacing w:val="-5"/>
          <w:u w:val="none"/>
        </w:rPr>
        <w:t> </w:t>
      </w:r>
      <w:r>
        <w:rPr>
          <w:u w:val="none"/>
        </w:rPr>
        <w:t>Rights</w:t>
      </w:r>
      <w:r>
        <w:rPr>
          <w:spacing w:val="-6"/>
          <w:u w:val="none"/>
        </w:rPr>
        <w:t> </w:t>
      </w:r>
      <w:r>
        <w:rPr>
          <w:u w:val="none"/>
        </w:rPr>
        <w:t>of</w:t>
      </w:r>
      <w:r>
        <w:rPr>
          <w:spacing w:val="-6"/>
          <w:u w:val="none"/>
        </w:rPr>
        <w:t> </w:t>
      </w:r>
      <w:r>
        <w:rPr>
          <w:u w:val="none"/>
        </w:rPr>
        <w:t>Persons</w:t>
      </w:r>
      <w:r>
        <w:rPr>
          <w:spacing w:val="-6"/>
          <w:u w:val="none"/>
        </w:rPr>
        <w:t> </w:t>
      </w:r>
      <w:r>
        <w:rPr>
          <w:u w:val="none"/>
        </w:rPr>
        <w:t>with</w:t>
      </w:r>
      <w:r>
        <w:rPr>
          <w:spacing w:val="-6"/>
          <w:u w:val="none"/>
        </w:rPr>
        <w:t> </w:t>
      </w:r>
      <w:r>
        <w:rPr>
          <w:u w:val="none"/>
        </w:rPr>
        <w:t>Disabilities in its 2016 report on an Inquiry, carried out under Article 6 of the Optional Protocol, into the UK’ (ECNI and NIHRC, 2023).</w:t>
      </w:r>
    </w:p>
    <w:p>
      <w:pPr>
        <w:pStyle w:val="BodyText"/>
        <w:spacing w:line="225" w:lineRule="auto" w:before="274"/>
        <w:ind w:left="1133" w:right="1171"/>
      </w:pPr>
      <w:r>
        <w:rPr/>
        <w:t>UK Independent Mechanism, ‘</w:t>
      </w:r>
      <w:hyperlink r:id="rId225">
        <w:r>
          <w:rPr>
            <w:color w:val="0562C1"/>
            <w:u w:val="single" w:color="0562C1"/>
          </w:rPr>
          <w:t>Seven Years On</w:t>
        </w:r>
      </w:hyperlink>
      <w:r>
        <w:rPr>
          <w:u w:val="none"/>
        </w:rPr>
        <w:t>: disabled people’s rights to independent</w:t>
      </w:r>
      <w:r>
        <w:rPr>
          <w:spacing w:val="-4"/>
          <w:u w:val="none"/>
        </w:rPr>
        <w:t> </w:t>
      </w:r>
      <w:r>
        <w:rPr>
          <w:u w:val="none"/>
        </w:rPr>
        <w:t>living,</w:t>
      </w:r>
      <w:r>
        <w:rPr>
          <w:spacing w:val="-4"/>
          <w:u w:val="none"/>
        </w:rPr>
        <w:t> </w:t>
      </w:r>
      <w:r>
        <w:rPr>
          <w:u w:val="none"/>
        </w:rPr>
        <w:t>employment</w:t>
      </w:r>
      <w:r>
        <w:rPr>
          <w:spacing w:val="-4"/>
          <w:u w:val="none"/>
        </w:rPr>
        <w:t> </w:t>
      </w:r>
      <w:r>
        <w:rPr>
          <w:u w:val="none"/>
        </w:rPr>
        <w:t>and</w:t>
      </w:r>
      <w:r>
        <w:rPr>
          <w:spacing w:val="-5"/>
          <w:u w:val="none"/>
        </w:rPr>
        <w:t> </w:t>
      </w:r>
      <w:r>
        <w:rPr>
          <w:u w:val="none"/>
        </w:rPr>
        <w:t>standard</w:t>
      </w:r>
      <w:r>
        <w:rPr>
          <w:spacing w:val="-5"/>
          <w:u w:val="none"/>
        </w:rPr>
        <w:t> </w:t>
      </w:r>
      <w:r>
        <w:rPr>
          <w:u w:val="none"/>
        </w:rPr>
        <w:t>of</w:t>
      </w:r>
      <w:r>
        <w:rPr>
          <w:spacing w:val="-5"/>
          <w:u w:val="none"/>
        </w:rPr>
        <w:t> </w:t>
      </w:r>
      <w:r>
        <w:rPr>
          <w:u w:val="none"/>
        </w:rPr>
        <w:t>living</w:t>
      </w:r>
      <w:r>
        <w:rPr>
          <w:spacing w:val="-4"/>
          <w:u w:val="none"/>
        </w:rPr>
        <w:t> </w:t>
      </w:r>
      <w:r>
        <w:rPr>
          <w:u w:val="none"/>
        </w:rPr>
        <w:t>in</w:t>
      </w:r>
      <w:r>
        <w:rPr>
          <w:spacing w:val="-5"/>
          <w:u w:val="none"/>
        </w:rPr>
        <w:t> </w:t>
      </w:r>
      <w:r>
        <w:rPr>
          <w:u w:val="none"/>
        </w:rPr>
        <w:t>the</w:t>
      </w:r>
      <w:r>
        <w:rPr>
          <w:spacing w:val="-4"/>
          <w:u w:val="none"/>
        </w:rPr>
        <w:t> </w:t>
      </w:r>
      <w:r>
        <w:rPr>
          <w:u w:val="none"/>
        </w:rPr>
        <w:t>UK’</w:t>
      </w:r>
      <w:r>
        <w:rPr>
          <w:spacing w:val="-4"/>
          <w:u w:val="none"/>
        </w:rPr>
        <w:t> </w:t>
      </w:r>
      <w:r>
        <w:rPr>
          <w:u w:val="none"/>
        </w:rPr>
        <w:t>(UKIM,</w:t>
      </w:r>
      <w:r>
        <w:rPr>
          <w:spacing w:val="-4"/>
          <w:u w:val="none"/>
        </w:rPr>
        <w:t> </w:t>
      </w:r>
      <w:r>
        <w:rPr>
          <w:u w:val="none"/>
        </w:rPr>
        <w:t>2023).</w:t>
      </w:r>
    </w:p>
    <w:p>
      <w:pPr>
        <w:pStyle w:val="BodyText"/>
        <w:spacing w:line="225" w:lineRule="auto" w:before="277"/>
        <w:ind w:left="1133" w:right="1171"/>
      </w:pPr>
      <w:r>
        <w:rPr/>
        <w:t>NI Human Rights Commission and Equality Commission for NI, ‘</w:t>
      </w:r>
      <w:hyperlink r:id="rId226">
        <w:r>
          <w:rPr>
            <w:color w:val="0562C1"/>
            <w:u w:val="single" w:color="0562C1"/>
          </w:rPr>
          <w:t>NIHRC / ECNI</w:t>
        </w:r>
      </w:hyperlink>
      <w:r>
        <w:rPr>
          <w:color w:val="0562C1"/>
          <w:u w:val="none"/>
        </w:rPr>
        <w:t> </w:t>
      </w:r>
      <w:hyperlink r:id="rId226">
        <w:r>
          <w:rPr>
            <w:color w:val="0562C1"/>
            <w:u w:val="single" w:color="0562C1"/>
          </w:rPr>
          <w:t>Submission</w:t>
        </w:r>
        <w:r>
          <w:rPr>
            <w:color w:val="0562C1"/>
            <w:spacing w:val="-7"/>
            <w:u w:val="single" w:color="0562C1"/>
          </w:rPr>
          <w:t> </w:t>
        </w:r>
        <w:r>
          <w:rPr>
            <w:color w:val="0562C1"/>
            <w:u w:val="single" w:color="0562C1"/>
          </w:rPr>
          <w:t>to</w:t>
        </w:r>
        <w:r>
          <w:rPr>
            <w:color w:val="0562C1"/>
            <w:spacing w:val="-7"/>
            <w:u w:val="single" w:color="0562C1"/>
          </w:rPr>
          <w:t> </w:t>
        </w:r>
        <w:r>
          <w:rPr>
            <w:color w:val="0562C1"/>
            <w:u w:val="single" w:color="0562C1"/>
          </w:rPr>
          <w:t>the</w:t>
        </w:r>
        <w:r>
          <w:rPr>
            <w:color w:val="0562C1"/>
            <w:spacing w:val="-6"/>
            <w:u w:val="single" w:color="0562C1"/>
          </w:rPr>
          <w:t> </w:t>
        </w:r>
        <w:r>
          <w:rPr>
            <w:color w:val="0562C1"/>
            <w:u w:val="single" w:color="0562C1"/>
          </w:rPr>
          <w:t>European</w:t>
        </w:r>
        <w:r>
          <w:rPr>
            <w:color w:val="0562C1"/>
            <w:spacing w:val="-7"/>
            <w:u w:val="single" w:color="0562C1"/>
          </w:rPr>
          <w:t> </w:t>
        </w:r>
        <w:r>
          <w:rPr>
            <w:color w:val="0562C1"/>
            <w:u w:val="single" w:color="0562C1"/>
          </w:rPr>
          <w:t>Scrutiny</w:t>
        </w:r>
        <w:r>
          <w:rPr>
            <w:color w:val="0562C1"/>
            <w:spacing w:val="-6"/>
            <w:u w:val="single" w:color="0562C1"/>
          </w:rPr>
          <w:t> </w:t>
        </w:r>
        <w:r>
          <w:rPr>
            <w:color w:val="0562C1"/>
            <w:u w:val="single" w:color="0562C1"/>
          </w:rPr>
          <w:t>Committee</w:t>
        </w:r>
        <w:r>
          <w:rPr>
            <w:color w:val="0562C1"/>
            <w:spacing w:val="-6"/>
            <w:u w:val="single" w:color="0562C1"/>
          </w:rPr>
          <w:t> </w:t>
        </w:r>
        <w:r>
          <w:rPr>
            <w:color w:val="0562C1"/>
            <w:u w:val="single" w:color="0562C1"/>
          </w:rPr>
          <w:t>Inquiry</w:t>
        </w:r>
        <w:r>
          <w:rPr>
            <w:color w:val="0562C1"/>
            <w:spacing w:val="-6"/>
            <w:u w:val="single" w:color="0562C1"/>
          </w:rPr>
          <w:t> </w:t>
        </w:r>
        <w:r>
          <w:rPr>
            <w:color w:val="0562C1"/>
            <w:u w:val="single" w:color="0562C1"/>
          </w:rPr>
          <w:t>on</w:t>
        </w:r>
        <w:r>
          <w:rPr>
            <w:color w:val="0562C1"/>
            <w:spacing w:val="-7"/>
            <w:u w:val="single" w:color="0562C1"/>
          </w:rPr>
          <w:t> </w:t>
        </w:r>
        <w:r>
          <w:rPr>
            <w:color w:val="0562C1"/>
            <w:u w:val="single" w:color="0562C1"/>
          </w:rPr>
          <w:t>Retained</w:t>
        </w:r>
        <w:r>
          <w:rPr>
            <w:color w:val="0562C1"/>
            <w:spacing w:val="-7"/>
            <w:u w:val="single" w:color="0562C1"/>
          </w:rPr>
          <w:t> </w:t>
        </w:r>
        <w:r>
          <w:rPr>
            <w:color w:val="0562C1"/>
            <w:u w:val="single" w:color="0562C1"/>
          </w:rPr>
          <w:t>EU</w:t>
        </w:r>
        <w:r>
          <w:rPr>
            <w:color w:val="0562C1"/>
            <w:spacing w:val="-6"/>
            <w:u w:val="single" w:color="0562C1"/>
          </w:rPr>
          <w:t> </w:t>
        </w:r>
        <w:r>
          <w:rPr>
            <w:color w:val="0562C1"/>
            <w:u w:val="single" w:color="0562C1"/>
          </w:rPr>
          <w:t>law:</w:t>
        </w:r>
        <w:r>
          <w:rPr>
            <w:color w:val="0562C1"/>
            <w:spacing w:val="-6"/>
            <w:u w:val="single" w:color="0562C1"/>
          </w:rPr>
          <w:t> </w:t>
        </w:r>
        <w:r>
          <w:rPr>
            <w:color w:val="0562C1"/>
            <w:u w:val="single" w:color="0562C1"/>
          </w:rPr>
          <w:t>the</w:t>
        </w:r>
      </w:hyperlink>
      <w:r>
        <w:rPr>
          <w:color w:val="0562C1"/>
          <w:u w:val="none"/>
        </w:rPr>
        <w:t> </w:t>
      </w:r>
      <w:hyperlink r:id="rId226">
        <w:r>
          <w:rPr>
            <w:color w:val="0562C1"/>
            <w:u w:val="single" w:color="0562C1"/>
          </w:rPr>
          <w:t>progress and mechanics of reform</w:t>
        </w:r>
      </w:hyperlink>
      <w:r>
        <w:rPr>
          <w:u w:val="none"/>
        </w:rPr>
        <w:t>’ (NIHRC and ECNI, 2024).</w:t>
      </w:r>
    </w:p>
    <w:p>
      <w:pPr>
        <w:pStyle w:val="BodyText"/>
        <w:spacing w:line="225" w:lineRule="auto" w:before="277"/>
        <w:ind w:left="1133" w:right="1171"/>
      </w:pPr>
      <w:r>
        <w:rPr/>
        <w:t>Letter</w:t>
      </w:r>
      <w:r>
        <w:rPr>
          <w:spacing w:val="-7"/>
        </w:rPr>
        <w:t> </w:t>
      </w:r>
      <w:r>
        <w:rPr/>
        <w:t>from</w:t>
      </w:r>
      <w:r>
        <w:rPr>
          <w:spacing w:val="-7"/>
        </w:rPr>
        <w:t> </w:t>
      </w:r>
      <w:r>
        <w:rPr/>
        <w:t>the</w:t>
      </w:r>
      <w:r>
        <w:rPr>
          <w:spacing w:val="-7"/>
        </w:rPr>
        <w:t> </w:t>
      </w:r>
      <w:r>
        <w:rPr/>
        <w:t>NI</w:t>
      </w:r>
      <w:r>
        <w:rPr>
          <w:spacing w:val="-7"/>
        </w:rPr>
        <w:t> </w:t>
      </w:r>
      <w:r>
        <w:rPr/>
        <w:t>Human</w:t>
      </w:r>
      <w:r>
        <w:rPr>
          <w:spacing w:val="-8"/>
        </w:rPr>
        <w:t> </w:t>
      </w:r>
      <w:r>
        <w:rPr/>
        <w:t>Rights</w:t>
      </w:r>
      <w:r>
        <w:rPr>
          <w:spacing w:val="-8"/>
        </w:rPr>
        <w:t> </w:t>
      </w:r>
      <w:r>
        <w:rPr/>
        <w:t>Commission,</w:t>
      </w:r>
      <w:r>
        <w:rPr>
          <w:spacing w:val="-7"/>
        </w:rPr>
        <w:t> </w:t>
      </w:r>
      <w:r>
        <w:rPr/>
        <w:t>Equality</w:t>
      </w:r>
      <w:r>
        <w:rPr>
          <w:spacing w:val="-7"/>
        </w:rPr>
        <w:t> </w:t>
      </w:r>
      <w:r>
        <w:rPr/>
        <w:t>Commission</w:t>
      </w:r>
      <w:r>
        <w:rPr>
          <w:spacing w:val="-8"/>
        </w:rPr>
        <w:t> </w:t>
      </w:r>
      <w:r>
        <w:rPr/>
        <w:t>for</w:t>
      </w:r>
      <w:r>
        <w:rPr>
          <w:spacing w:val="-7"/>
        </w:rPr>
        <w:t> </w:t>
      </w:r>
      <w:r>
        <w:rPr/>
        <w:t>NI,</w:t>
      </w:r>
      <w:r>
        <w:rPr>
          <w:spacing w:val="-7"/>
        </w:rPr>
        <w:t> </w:t>
      </w:r>
      <w:r>
        <w:rPr/>
        <w:t>Scottish Human Rights Commission and Equality and Human Rights Commission to the UN CRPD</w:t>
      </w:r>
      <w:r>
        <w:rPr>
          <w:spacing w:val="-4"/>
        </w:rPr>
        <w:t> </w:t>
      </w:r>
      <w:r>
        <w:rPr/>
        <w:t>Committee,</w:t>
      </w:r>
      <w:r>
        <w:rPr>
          <w:spacing w:val="-3"/>
        </w:rPr>
        <w:t> </w:t>
      </w:r>
      <w:r>
        <w:rPr/>
        <w:t>1</w:t>
      </w:r>
      <w:r>
        <w:rPr>
          <w:spacing w:val="-3"/>
        </w:rPr>
        <w:t> </w:t>
      </w:r>
      <w:r>
        <w:rPr/>
        <w:t>March</w:t>
      </w:r>
      <w:r>
        <w:rPr>
          <w:spacing w:val="-4"/>
        </w:rPr>
        <w:t> </w:t>
      </w:r>
      <w:r>
        <w:rPr/>
        <w:t>2024</w:t>
      </w:r>
      <w:r>
        <w:rPr>
          <w:spacing w:val="-3"/>
        </w:rPr>
        <w:t> </w:t>
      </w:r>
      <w:r>
        <w:rPr/>
        <w:t>providing</w:t>
      </w:r>
      <w:hyperlink r:id="rId227">
        <w:r>
          <w:rPr>
            <w:color w:val="0562C1"/>
            <w:spacing w:val="-10"/>
            <w:u w:val="single" w:color="0562C1"/>
          </w:rPr>
          <w:t> </w:t>
        </w:r>
        <w:r>
          <w:rPr>
            <w:color w:val="0562C1"/>
            <w:u w:val="single" w:color="0562C1"/>
          </w:rPr>
          <w:t>additional</w:t>
        </w:r>
        <w:r>
          <w:rPr>
            <w:color w:val="0562C1"/>
            <w:spacing w:val="-4"/>
            <w:u w:val="single" w:color="0562C1"/>
          </w:rPr>
          <w:t> </w:t>
        </w:r>
        <w:r>
          <w:rPr>
            <w:color w:val="0562C1"/>
            <w:u w:val="single" w:color="0562C1"/>
          </w:rPr>
          <w:t>information</w:t>
        </w:r>
        <w:r>
          <w:rPr>
            <w:color w:val="0562C1"/>
            <w:spacing w:val="-4"/>
            <w:u w:val="single" w:color="0562C1"/>
          </w:rPr>
          <w:t> </w:t>
        </w:r>
        <w:r>
          <w:rPr>
            <w:color w:val="0562C1"/>
            <w:u w:val="single" w:color="0562C1"/>
          </w:rPr>
          <w:t>for</w:t>
        </w:r>
        <w:r>
          <w:rPr>
            <w:color w:val="0562C1"/>
            <w:spacing w:val="-3"/>
            <w:u w:val="single" w:color="0562C1"/>
          </w:rPr>
          <w:t> </w:t>
        </w:r>
        <w:r>
          <w:rPr>
            <w:color w:val="0562C1"/>
            <w:u w:val="single" w:color="0562C1"/>
          </w:rPr>
          <w:t>the</w:t>
        </w:r>
        <w:r>
          <w:rPr>
            <w:color w:val="0562C1"/>
            <w:spacing w:val="-3"/>
            <w:u w:val="single" w:color="0562C1"/>
          </w:rPr>
          <w:t> </w:t>
        </w:r>
        <w:r>
          <w:rPr>
            <w:color w:val="0562C1"/>
            <w:u w:val="single" w:color="0562C1"/>
          </w:rPr>
          <w:t>UN</w:t>
        </w:r>
        <w:r>
          <w:rPr>
            <w:color w:val="0562C1"/>
            <w:spacing w:val="-3"/>
            <w:u w:val="single" w:color="0562C1"/>
          </w:rPr>
          <w:t> </w:t>
        </w:r>
        <w:r>
          <w:rPr>
            <w:color w:val="0562C1"/>
            <w:u w:val="single" w:color="0562C1"/>
          </w:rPr>
          <w:t>CRPD</w:t>
        </w:r>
      </w:hyperlink>
      <w:r>
        <w:rPr>
          <w:color w:val="0562C1"/>
          <w:u w:val="none"/>
        </w:rPr>
        <w:t> </w:t>
      </w:r>
      <w:hyperlink r:id="rId227">
        <w:r>
          <w:rPr>
            <w:color w:val="0562C1"/>
            <w:u w:val="single" w:color="0562C1"/>
          </w:rPr>
          <w:t>Committee to inform its inquiry review into the UK</w:t>
        </w:r>
      </w:hyperlink>
      <w:r>
        <w:rPr>
          <w:u w:val="none"/>
        </w:rPr>
        <w:t>.</w:t>
      </w:r>
    </w:p>
    <w:p>
      <w:pPr>
        <w:pStyle w:val="BodyText"/>
        <w:spacing w:line="225" w:lineRule="auto" w:before="274"/>
        <w:ind w:left="1133" w:right="1171"/>
      </w:pPr>
      <w:r>
        <w:rPr/>
        <w:t>Equality Commission for NI and NI Human Rights Commission, ‘</w:t>
      </w:r>
      <w:hyperlink r:id="rId228">
        <w:r>
          <w:rPr>
            <w:color w:val="0562C1"/>
            <w:u w:val="single" w:color="0562C1"/>
          </w:rPr>
          <w:t>Briefing Paper</w:t>
        </w:r>
      </w:hyperlink>
      <w:r>
        <w:rPr>
          <w:u w:val="none"/>
        </w:rPr>
        <w:t>: The EU</w:t>
      </w:r>
      <w:r>
        <w:rPr>
          <w:spacing w:val="-11"/>
          <w:u w:val="none"/>
        </w:rPr>
        <w:t> </w:t>
      </w:r>
      <w:r>
        <w:rPr>
          <w:u w:val="none"/>
        </w:rPr>
        <w:t>Pay</w:t>
      </w:r>
      <w:r>
        <w:rPr>
          <w:spacing w:val="-11"/>
          <w:u w:val="none"/>
        </w:rPr>
        <w:t> </w:t>
      </w:r>
      <w:r>
        <w:rPr>
          <w:u w:val="none"/>
        </w:rPr>
        <w:t>Transparency</w:t>
      </w:r>
      <w:r>
        <w:rPr>
          <w:spacing w:val="-11"/>
          <w:u w:val="none"/>
        </w:rPr>
        <w:t> </w:t>
      </w:r>
      <w:r>
        <w:rPr>
          <w:u w:val="none"/>
        </w:rPr>
        <w:t>Directive:</w:t>
      </w:r>
      <w:r>
        <w:rPr>
          <w:spacing w:val="-11"/>
          <w:u w:val="none"/>
        </w:rPr>
        <w:t> </w:t>
      </w:r>
      <w:r>
        <w:rPr>
          <w:u w:val="none"/>
        </w:rPr>
        <w:t>The</w:t>
      </w:r>
      <w:r>
        <w:rPr>
          <w:spacing w:val="-11"/>
          <w:u w:val="none"/>
        </w:rPr>
        <w:t> </w:t>
      </w:r>
      <w:r>
        <w:rPr>
          <w:u w:val="none"/>
        </w:rPr>
        <w:t>UK</w:t>
      </w:r>
      <w:r>
        <w:rPr>
          <w:spacing w:val="-11"/>
          <w:u w:val="none"/>
        </w:rPr>
        <w:t> </w:t>
      </w:r>
      <w:r>
        <w:rPr>
          <w:u w:val="none"/>
        </w:rPr>
        <w:t>Governments</w:t>
      </w:r>
      <w:r>
        <w:rPr>
          <w:spacing w:val="-12"/>
          <w:u w:val="none"/>
        </w:rPr>
        <w:t> </w:t>
      </w:r>
      <w:r>
        <w:rPr>
          <w:u w:val="none"/>
        </w:rPr>
        <w:t>dynamic</w:t>
      </w:r>
      <w:r>
        <w:rPr>
          <w:spacing w:val="-11"/>
          <w:u w:val="none"/>
        </w:rPr>
        <w:t> </w:t>
      </w:r>
      <w:r>
        <w:rPr>
          <w:u w:val="none"/>
        </w:rPr>
        <w:t>alignment</w:t>
      </w:r>
      <w:r>
        <w:rPr>
          <w:spacing w:val="-11"/>
          <w:u w:val="none"/>
        </w:rPr>
        <w:t> </w:t>
      </w:r>
      <w:r>
        <w:rPr>
          <w:u w:val="none"/>
        </w:rPr>
        <w:t>obligations relating to Windsor Framework Article 2’ (ECNI and NIHRC, 2024).</w:t>
      </w:r>
    </w:p>
    <w:p>
      <w:pPr>
        <w:spacing w:after="0" w:line="225" w:lineRule="auto"/>
        <w:sectPr>
          <w:pgSz w:w="11910" w:h="16840"/>
          <w:pgMar w:header="496" w:footer="367" w:top="1220" w:bottom="560" w:left="0" w:right="0"/>
        </w:sectPr>
      </w:pPr>
    </w:p>
    <w:p>
      <w:pPr>
        <w:pStyle w:val="BodyText"/>
        <w:spacing w:before="182"/>
      </w:pPr>
    </w:p>
    <w:p>
      <w:pPr>
        <w:pStyle w:val="Heading5"/>
        <w:ind w:left="1133" w:firstLine="0"/>
      </w:pPr>
      <w:bookmarkStart w:name="_bookmark66" w:id="149"/>
      <w:bookmarkEnd w:id="149"/>
      <w:r>
        <w:rPr>
          <w:b w:val="0"/>
        </w:rPr>
      </w:r>
      <w:bookmarkStart w:name="NIHRC Submissions" w:id="150"/>
      <w:bookmarkEnd w:id="150"/>
      <w:r>
        <w:rPr>
          <w:b w:val="0"/>
        </w:rPr>
      </w:r>
      <w:r>
        <w:rPr>
          <w:color w:val="393B7F"/>
        </w:rPr>
        <w:t>NIHRC</w:t>
      </w:r>
      <w:r>
        <w:rPr>
          <w:color w:val="393B7F"/>
          <w:spacing w:val="-4"/>
        </w:rPr>
        <w:t> </w:t>
      </w:r>
      <w:r>
        <w:rPr>
          <w:color w:val="393B7F"/>
          <w:spacing w:val="-2"/>
        </w:rPr>
        <w:t>Submissions</w:t>
      </w:r>
    </w:p>
    <w:p>
      <w:pPr>
        <w:pStyle w:val="BodyText"/>
        <w:spacing w:line="225" w:lineRule="auto" w:before="331"/>
        <w:ind w:left="1133" w:right="1171"/>
      </w:pPr>
      <w:r>
        <w:rPr/>
        <w:t>NI</w:t>
      </w:r>
      <w:r>
        <w:rPr>
          <w:spacing w:val="-6"/>
        </w:rPr>
        <w:t> </w:t>
      </w:r>
      <w:r>
        <w:rPr/>
        <w:t>Human</w:t>
      </w:r>
      <w:r>
        <w:rPr>
          <w:spacing w:val="-7"/>
        </w:rPr>
        <w:t> </w:t>
      </w:r>
      <w:r>
        <w:rPr/>
        <w:t>Rights</w:t>
      </w:r>
      <w:r>
        <w:rPr>
          <w:spacing w:val="-7"/>
        </w:rPr>
        <w:t> </w:t>
      </w:r>
      <w:r>
        <w:rPr/>
        <w:t>Commission,</w:t>
      </w:r>
      <w:r>
        <w:rPr>
          <w:spacing w:val="-6"/>
        </w:rPr>
        <w:t> </w:t>
      </w:r>
      <w:r>
        <w:rPr/>
        <w:t>‘NIHRC</w:t>
      </w:r>
      <w:r>
        <w:rPr>
          <w:spacing w:val="-7"/>
        </w:rPr>
        <w:t> </w:t>
      </w:r>
      <w:r>
        <w:rPr/>
        <w:t>Evidence</w:t>
      </w:r>
      <w:r>
        <w:rPr>
          <w:spacing w:val="-6"/>
        </w:rPr>
        <w:t> </w:t>
      </w:r>
      <w:r>
        <w:rPr/>
        <w:t>to</w:t>
      </w:r>
      <w:r>
        <w:rPr>
          <w:spacing w:val="-7"/>
        </w:rPr>
        <w:t> </w:t>
      </w:r>
      <w:r>
        <w:rPr/>
        <w:t>Joint</w:t>
      </w:r>
      <w:r>
        <w:rPr>
          <w:spacing w:val="-6"/>
        </w:rPr>
        <w:t> </w:t>
      </w:r>
      <w:r>
        <w:rPr/>
        <w:t>Committee</w:t>
      </w:r>
      <w:r>
        <w:rPr>
          <w:spacing w:val="-6"/>
        </w:rPr>
        <w:t> </w:t>
      </w:r>
      <w:r>
        <w:rPr/>
        <w:t>on</w:t>
      </w:r>
      <w:r>
        <w:rPr>
          <w:spacing w:val="-7"/>
        </w:rPr>
        <w:t> </w:t>
      </w:r>
      <w:r>
        <w:rPr/>
        <w:t>Human</w:t>
      </w:r>
      <w:r>
        <w:rPr>
          <w:spacing w:val="-7"/>
        </w:rPr>
        <w:t> </w:t>
      </w:r>
      <w:r>
        <w:rPr/>
        <w:t>Rights Inquiry on Human Rights at Work’ (NIHRC, 2023).</w:t>
      </w:r>
    </w:p>
    <w:p>
      <w:pPr>
        <w:pStyle w:val="BodyText"/>
        <w:spacing w:line="225" w:lineRule="auto" w:before="277"/>
        <w:ind w:left="1133" w:right="1171"/>
      </w:pPr>
      <w:r>
        <w:rPr/>
        <w:t>NI</w:t>
      </w:r>
      <w:r>
        <w:rPr>
          <w:spacing w:val="-6"/>
        </w:rPr>
        <w:t> </w:t>
      </w:r>
      <w:r>
        <w:rPr/>
        <w:t>Human</w:t>
      </w:r>
      <w:r>
        <w:rPr>
          <w:spacing w:val="-7"/>
        </w:rPr>
        <w:t> </w:t>
      </w:r>
      <w:r>
        <w:rPr/>
        <w:t>Rights</w:t>
      </w:r>
      <w:r>
        <w:rPr>
          <w:spacing w:val="-7"/>
        </w:rPr>
        <w:t> </w:t>
      </w:r>
      <w:r>
        <w:rPr/>
        <w:t>Commission,</w:t>
      </w:r>
      <w:r>
        <w:rPr>
          <w:spacing w:val="-6"/>
        </w:rPr>
        <w:t> </w:t>
      </w:r>
      <w:r>
        <w:rPr/>
        <w:t>‘</w:t>
      </w:r>
      <w:hyperlink r:id="rId229">
        <w:r>
          <w:rPr>
            <w:color w:val="0562C1"/>
            <w:u w:val="single" w:color="0562C1"/>
          </w:rPr>
          <w:t>Submission</w:t>
        </w:r>
        <w:r>
          <w:rPr>
            <w:color w:val="0562C1"/>
            <w:spacing w:val="-7"/>
            <w:u w:val="single" w:color="0562C1"/>
          </w:rPr>
          <w:t> </w:t>
        </w:r>
        <w:r>
          <w:rPr>
            <w:color w:val="0562C1"/>
            <w:u w:val="single" w:color="0562C1"/>
          </w:rPr>
          <w:t>to</w:t>
        </w:r>
        <w:r>
          <w:rPr>
            <w:color w:val="0562C1"/>
            <w:spacing w:val="-7"/>
            <w:u w:val="single" w:color="0562C1"/>
          </w:rPr>
          <w:t> </w:t>
        </w:r>
        <w:r>
          <w:rPr>
            <w:color w:val="0562C1"/>
            <w:u w:val="single" w:color="0562C1"/>
          </w:rPr>
          <w:t>Joint</w:t>
        </w:r>
        <w:r>
          <w:rPr>
            <w:color w:val="0562C1"/>
            <w:spacing w:val="-6"/>
            <w:u w:val="single" w:color="0562C1"/>
          </w:rPr>
          <w:t> </w:t>
        </w:r>
        <w:r>
          <w:rPr>
            <w:color w:val="0562C1"/>
            <w:u w:val="single" w:color="0562C1"/>
          </w:rPr>
          <w:t>Committee</w:t>
        </w:r>
        <w:r>
          <w:rPr>
            <w:color w:val="0562C1"/>
            <w:spacing w:val="-6"/>
            <w:u w:val="single" w:color="0562C1"/>
          </w:rPr>
          <w:t> </w:t>
        </w:r>
        <w:r>
          <w:rPr>
            <w:color w:val="0562C1"/>
            <w:u w:val="single" w:color="0562C1"/>
          </w:rPr>
          <w:t>on</w:t>
        </w:r>
        <w:r>
          <w:rPr>
            <w:color w:val="0562C1"/>
            <w:spacing w:val="-7"/>
            <w:u w:val="single" w:color="0562C1"/>
          </w:rPr>
          <w:t> </w:t>
        </w:r>
        <w:r>
          <w:rPr>
            <w:color w:val="0562C1"/>
            <w:u w:val="single" w:color="0562C1"/>
          </w:rPr>
          <w:t>Human</w:t>
        </w:r>
        <w:r>
          <w:rPr>
            <w:color w:val="0562C1"/>
            <w:spacing w:val="-7"/>
            <w:u w:val="single" w:color="0562C1"/>
          </w:rPr>
          <w:t> </w:t>
        </w:r>
        <w:r>
          <w:rPr>
            <w:color w:val="0562C1"/>
            <w:u w:val="single" w:color="0562C1"/>
          </w:rPr>
          <w:t>Rights</w:t>
        </w:r>
      </w:hyperlink>
      <w:r>
        <w:rPr>
          <w:color w:val="0562C1"/>
          <w:u w:val="none"/>
        </w:rPr>
        <w:t> </w:t>
      </w:r>
      <w:hyperlink r:id="rId229">
        <w:r>
          <w:rPr>
            <w:color w:val="0562C1"/>
            <w:u w:val="single" w:color="0562C1"/>
          </w:rPr>
          <w:t>Inquiry on Illegal Migration Bill</w:t>
        </w:r>
      </w:hyperlink>
      <w:r>
        <w:rPr>
          <w:u w:val="none"/>
        </w:rPr>
        <w:t>’ (NIHRC, 2023).</w:t>
      </w:r>
    </w:p>
    <w:p>
      <w:pPr>
        <w:pStyle w:val="BodyText"/>
        <w:spacing w:line="225" w:lineRule="auto" w:before="277"/>
        <w:ind w:left="1133" w:right="1171"/>
      </w:pPr>
      <w:r>
        <w:rPr/>
        <w:t>NI</w:t>
      </w:r>
      <w:r>
        <w:rPr>
          <w:spacing w:val="-12"/>
        </w:rPr>
        <w:t> </w:t>
      </w:r>
      <w:r>
        <w:rPr/>
        <w:t>Human</w:t>
      </w:r>
      <w:r>
        <w:rPr>
          <w:spacing w:val="-13"/>
        </w:rPr>
        <w:t> </w:t>
      </w:r>
      <w:r>
        <w:rPr/>
        <w:t>Rights</w:t>
      </w:r>
      <w:r>
        <w:rPr>
          <w:spacing w:val="-13"/>
        </w:rPr>
        <w:t> </w:t>
      </w:r>
      <w:r>
        <w:rPr/>
        <w:t>Commission,</w:t>
      </w:r>
      <w:r>
        <w:rPr>
          <w:spacing w:val="-12"/>
        </w:rPr>
        <w:t> </w:t>
      </w:r>
      <w:r>
        <w:rPr/>
        <w:t>‘</w:t>
      </w:r>
      <w:hyperlink r:id="rId230">
        <w:r>
          <w:rPr>
            <w:color w:val="0562C1"/>
            <w:u w:val="single" w:color="0562C1"/>
          </w:rPr>
          <w:t>Consultation</w:t>
        </w:r>
        <w:r>
          <w:rPr>
            <w:color w:val="0562C1"/>
            <w:spacing w:val="-13"/>
            <w:u w:val="single" w:color="0562C1"/>
          </w:rPr>
          <w:t> </w:t>
        </w:r>
        <w:r>
          <w:rPr>
            <w:color w:val="0562C1"/>
            <w:u w:val="single" w:color="0562C1"/>
          </w:rPr>
          <w:t>Response</w:t>
        </w:r>
        <w:r>
          <w:rPr>
            <w:color w:val="0562C1"/>
            <w:spacing w:val="-12"/>
            <w:u w:val="single" w:color="0562C1"/>
          </w:rPr>
          <w:t> </w:t>
        </w:r>
        <w:r>
          <w:rPr>
            <w:color w:val="0562C1"/>
            <w:u w:val="single" w:color="0562C1"/>
          </w:rPr>
          <w:t>to</w:t>
        </w:r>
        <w:r>
          <w:rPr>
            <w:color w:val="0562C1"/>
            <w:spacing w:val="-13"/>
            <w:u w:val="single" w:color="0562C1"/>
          </w:rPr>
          <w:t> </w:t>
        </w:r>
        <w:r>
          <w:rPr>
            <w:color w:val="0562C1"/>
            <w:u w:val="single" w:color="0562C1"/>
          </w:rPr>
          <w:t>the</w:t>
        </w:r>
        <w:r>
          <w:rPr>
            <w:color w:val="0562C1"/>
            <w:spacing w:val="-12"/>
            <w:u w:val="single" w:color="0562C1"/>
          </w:rPr>
          <w:t> </w:t>
        </w:r>
        <w:r>
          <w:rPr>
            <w:color w:val="0562C1"/>
            <w:u w:val="single" w:color="0562C1"/>
          </w:rPr>
          <w:t>Draf</w:t>
        </w:r>
        <w:r>
          <w:rPr>
            <w:color w:val="0562C1"/>
            <w:spacing w:val="-12"/>
            <w:u w:val="single" w:color="0562C1"/>
          </w:rPr>
          <w:t> </w:t>
        </w:r>
        <w:r>
          <w:rPr>
            <w:color w:val="0562C1"/>
            <w:u w:val="single" w:color="0562C1"/>
          </w:rPr>
          <w:t>t</w:t>
        </w:r>
        <w:r>
          <w:rPr>
            <w:color w:val="0562C1"/>
            <w:spacing w:val="-12"/>
            <w:u w:val="single" w:color="0562C1"/>
          </w:rPr>
          <w:t> </w:t>
        </w:r>
        <w:r>
          <w:rPr>
            <w:color w:val="0562C1"/>
            <w:u w:val="single" w:color="0562C1"/>
          </w:rPr>
          <w:t>Domestic</w:t>
        </w:r>
        <w:r>
          <w:rPr>
            <w:color w:val="0562C1"/>
            <w:spacing w:val="-12"/>
            <w:u w:val="single" w:color="0562C1"/>
          </w:rPr>
          <w:t> </w:t>
        </w:r>
        <w:r>
          <w:rPr>
            <w:color w:val="0562C1"/>
            <w:u w:val="single" w:color="0562C1"/>
          </w:rPr>
          <w:t>and</w:t>
        </w:r>
      </w:hyperlink>
      <w:r>
        <w:rPr>
          <w:color w:val="0562C1"/>
          <w:u w:val="none"/>
        </w:rPr>
        <w:t> </w:t>
      </w:r>
      <w:hyperlink r:id="rId230">
        <w:r>
          <w:rPr>
            <w:color w:val="0562C1"/>
            <w:u w:val="single" w:color="0562C1"/>
          </w:rPr>
          <w:t>Sexual Abuse Strategy</w:t>
        </w:r>
      </w:hyperlink>
      <w:r>
        <w:rPr>
          <w:u w:val="none"/>
        </w:rPr>
        <w:t>’ (NIHRC, 2023).</w:t>
      </w:r>
    </w:p>
    <w:p>
      <w:pPr>
        <w:pStyle w:val="BodyText"/>
        <w:spacing w:line="225" w:lineRule="auto" w:before="278"/>
        <w:ind w:left="1133" w:right="1171"/>
      </w:pPr>
      <w:r>
        <w:rPr/>
        <w:t>NI</w:t>
      </w:r>
      <w:r>
        <w:rPr>
          <w:spacing w:val="-4"/>
        </w:rPr>
        <w:t> </w:t>
      </w:r>
      <w:r>
        <w:rPr/>
        <w:t>Human</w:t>
      </w:r>
      <w:r>
        <w:rPr>
          <w:spacing w:val="-5"/>
        </w:rPr>
        <w:t> </w:t>
      </w:r>
      <w:r>
        <w:rPr/>
        <w:t>Rights</w:t>
      </w:r>
      <w:r>
        <w:rPr>
          <w:spacing w:val="-5"/>
        </w:rPr>
        <w:t> </w:t>
      </w:r>
      <w:r>
        <w:rPr/>
        <w:t>Commission,</w:t>
      </w:r>
      <w:r>
        <w:rPr>
          <w:spacing w:val="-4"/>
        </w:rPr>
        <w:t> </w:t>
      </w:r>
      <w:r>
        <w:rPr/>
        <w:t>‘</w:t>
      </w:r>
      <w:hyperlink r:id="rId231">
        <w:r>
          <w:rPr>
            <w:color w:val="0562C1"/>
            <w:u w:val="single" w:color="0562C1"/>
          </w:rPr>
          <w:t>Submission</w:t>
        </w:r>
        <w:r>
          <w:rPr>
            <w:color w:val="0562C1"/>
            <w:spacing w:val="-5"/>
            <w:u w:val="single" w:color="0562C1"/>
          </w:rPr>
          <w:t> </w:t>
        </w:r>
        <w:r>
          <w:rPr>
            <w:color w:val="0562C1"/>
            <w:u w:val="single" w:color="0562C1"/>
          </w:rPr>
          <w:t>to</w:t>
        </w:r>
        <w:r>
          <w:rPr>
            <w:color w:val="0562C1"/>
            <w:spacing w:val="-5"/>
            <w:u w:val="single" w:color="0562C1"/>
          </w:rPr>
          <w:t> </w:t>
        </w:r>
        <w:r>
          <w:rPr>
            <w:color w:val="0562C1"/>
            <w:u w:val="single" w:color="0562C1"/>
          </w:rPr>
          <w:t>the</w:t>
        </w:r>
        <w:r>
          <w:rPr>
            <w:color w:val="0562C1"/>
            <w:spacing w:val="-4"/>
            <w:u w:val="single" w:color="0562C1"/>
          </w:rPr>
          <w:t> </w:t>
        </w:r>
        <w:r>
          <w:rPr>
            <w:color w:val="0562C1"/>
            <w:u w:val="single" w:color="0562C1"/>
          </w:rPr>
          <w:t>House</w:t>
        </w:r>
        <w:r>
          <w:rPr>
            <w:color w:val="0562C1"/>
            <w:spacing w:val="-4"/>
            <w:u w:val="single" w:color="0562C1"/>
          </w:rPr>
          <w:t> </w:t>
        </w:r>
        <w:r>
          <w:rPr>
            <w:color w:val="0562C1"/>
            <w:u w:val="single" w:color="0562C1"/>
          </w:rPr>
          <w:t>of</w:t>
        </w:r>
        <w:r>
          <w:rPr>
            <w:color w:val="0562C1"/>
            <w:spacing w:val="-5"/>
            <w:u w:val="single" w:color="0562C1"/>
          </w:rPr>
          <w:t> </w:t>
        </w:r>
        <w:r>
          <w:rPr>
            <w:color w:val="0562C1"/>
            <w:u w:val="single" w:color="0562C1"/>
          </w:rPr>
          <w:t>Lords</w:t>
        </w:r>
        <w:r>
          <w:rPr>
            <w:color w:val="0562C1"/>
            <w:spacing w:val="-5"/>
            <w:u w:val="single" w:color="0562C1"/>
          </w:rPr>
          <w:t> </w:t>
        </w:r>
        <w:r>
          <w:rPr>
            <w:color w:val="0562C1"/>
            <w:u w:val="single" w:color="0562C1"/>
          </w:rPr>
          <w:t>on</w:t>
        </w:r>
        <w:r>
          <w:rPr>
            <w:color w:val="0562C1"/>
            <w:spacing w:val="-5"/>
            <w:u w:val="single" w:color="0562C1"/>
          </w:rPr>
          <w:t> </w:t>
        </w:r>
        <w:r>
          <w:rPr>
            <w:color w:val="0562C1"/>
            <w:u w:val="single" w:color="0562C1"/>
          </w:rPr>
          <w:t>the</w:t>
        </w:r>
        <w:r>
          <w:rPr>
            <w:color w:val="0562C1"/>
            <w:spacing w:val="-4"/>
            <w:u w:val="single" w:color="0562C1"/>
          </w:rPr>
          <w:t> </w:t>
        </w:r>
        <w:r>
          <w:rPr>
            <w:color w:val="0562C1"/>
            <w:u w:val="single" w:color="0562C1"/>
          </w:rPr>
          <w:t>Illegal</w:t>
        </w:r>
      </w:hyperlink>
      <w:r>
        <w:rPr>
          <w:color w:val="0562C1"/>
          <w:u w:val="none"/>
        </w:rPr>
        <w:t> </w:t>
      </w:r>
      <w:hyperlink r:id="rId231">
        <w:r>
          <w:rPr>
            <w:color w:val="0562C1"/>
            <w:u w:val="single" w:color="0562C1"/>
          </w:rPr>
          <w:t>Migration Bill</w:t>
        </w:r>
      </w:hyperlink>
      <w:r>
        <w:rPr>
          <w:u w:val="none"/>
        </w:rPr>
        <w:t>’ (NIHRC, 2023).</w:t>
      </w:r>
    </w:p>
    <w:p>
      <w:pPr>
        <w:pStyle w:val="BodyText"/>
        <w:spacing w:line="225" w:lineRule="auto" w:before="277"/>
        <w:ind w:left="1133" w:right="1171"/>
      </w:pPr>
      <w:r>
        <w:rPr/>
        <w:t>NI Human Rights Commission, ‘</w:t>
      </w:r>
      <w:hyperlink r:id="rId232">
        <w:r>
          <w:rPr>
            <w:color w:val="0562C1"/>
            <w:u w:val="single" w:color="0562C1"/>
          </w:rPr>
          <w:t>Submission to the Council of Europe European</w:t>
        </w:r>
      </w:hyperlink>
      <w:r>
        <w:rPr>
          <w:color w:val="0562C1"/>
          <w:u w:val="none"/>
        </w:rPr>
        <w:t> </w:t>
      </w:r>
      <w:hyperlink r:id="rId232">
        <w:r>
          <w:rPr>
            <w:color w:val="0562C1"/>
            <w:u w:val="single" w:color="0562C1"/>
          </w:rPr>
          <w:t>Commission</w:t>
        </w:r>
        <w:r>
          <w:rPr>
            <w:color w:val="0562C1"/>
            <w:spacing w:val="-7"/>
            <w:u w:val="single" w:color="0562C1"/>
          </w:rPr>
          <w:t> </w:t>
        </w:r>
        <w:r>
          <w:rPr>
            <w:color w:val="0562C1"/>
            <w:u w:val="single" w:color="0562C1"/>
          </w:rPr>
          <w:t>Against</w:t>
        </w:r>
        <w:r>
          <w:rPr>
            <w:color w:val="0562C1"/>
            <w:spacing w:val="-6"/>
            <w:u w:val="single" w:color="0562C1"/>
          </w:rPr>
          <w:t> </w:t>
        </w:r>
        <w:r>
          <w:rPr>
            <w:color w:val="0562C1"/>
            <w:u w:val="single" w:color="0562C1"/>
          </w:rPr>
          <w:t>Racism</w:t>
        </w:r>
        <w:r>
          <w:rPr>
            <w:color w:val="0562C1"/>
            <w:spacing w:val="-6"/>
            <w:u w:val="single" w:color="0562C1"/>
          </w:rPr>
          <w:t> </w:t>
        </w:r>
        <w:r>
          <w:rPr>
            <w:color w:val="0562C1"/>
            <w:u w:val="single" w:color="0562C1"/>
          </w:rPr>
          <w:t>and</w:t>
        </w:r>
        <w:r>
          <w:rPr>
            <w:color w:val="0562C1"/>
            <w:spacing w:val="-7"/>
            <w:u w:val="single" w:color="0562C1"/>
          </w:rPr>
          <w:t> </w:t>
        </w:r>
        <w:r>
          <w:rPr>
            <w:color w:val="0562C1"/>
            <w:u w:val="single" w:color="0562C1"/>
          </w:rPr>
          <w:t>Intolerance</w:t>
        </w:r>
        <w:r>
          <w:rPr>
            <w:color w:val="0562C1"/>
            <w:spacing w:val="-6"/>
            <w:u w:val="single" w:color="0562C1"/>
          </w:rPr>
          <w:t> </w:t>
        </w:r>
        <w:r>
          <w:rPr>
            <w:color w:val="0562C1"/>
            <w:u w:val="single" w:color="0562C1"/>
          </w:rPr>
          <w:t>-</w:t>
        </w:r>
        <w:r>
          <w:rPr>
            <w:color w:val="0562C1"/>
            <w:spacing w:val="-7"/>
            <w:u w:val="single" w:color="0562C1"/>
          </w:rPr>
          <w:t> </w:t>
        </w:r>
        <w:r>
          <w:rPr>
            <w:color w:val="0562C1"/>
            <w:u w:val="single" w:color="0562C1"/>
          </w:rPr>
          <w:t>Parallel</w:t>
        </w:r>
        <w:r>
          <w:rPr>
            <w:color w:val="0562C1"/>
            <w:spacing w:val="-7"/>
            <w:u w:val="single" w:color="0562C1"/>
          </w:rPr>
          <w:t> </w:t>
        </w:r>
        <w:r>
          <w:rPr>
            <w:color w:val="0562C1"/>
            <w:u w:val="single" w:color="0562C1"/>
          </w:rPr>
          <w:t>Report</w:t>
        </w:r>
        <w:r>
          <w:rPr>
            <w:color w:val="0562C1"/>
            <w:spacing w:val="-6"/>
            <w:u w:val="single" w:color="0562C1"/>
          </w:rPr>
          <w:t> </w:t>
        </w:r>
        <w:r>
          <w:rPr>
            <w:color w:val="0562C1"/>
            <w:u w:val="single" w:color="0562C1"/>
          </w:rPr>
          <w:t>for</w:t>
        </w:r>
        <w:r>
          <w:rPr>
            <w:color w:val="0562C1"/>
            <w:spacing w:val="-6"/>
            <w:u w:val="single" w:color="0562C1"/>
          </w:rPr>
          <w:t> </w:t>
        </w:r>
        <w:r>
          <w:rPr>
            <w:color w:val="0562C1"/>
            <w:u w:val="single" w:color="0562C1"/>
          </w:rPr>
          <w:t>the</w:t>
        </w:r>
        <w:r>
          <w:rPr>
            <w:color w:val="0562C1"/>
            <w:spacing w:val="-6"/>
            <w:u w:val="single" w:color="0562C1"/>
          </w:rPr>
          <w:t> </w:t>
        </w:r>
        <w:r>
          <w:rPr>
            <w:color w:val="0562C1"/>
            <w:u w:val="single" w:color="0562C1"/>
          </w:rPr>
          <w:t>Sixth</w:t>
        </w:r>
        <w:r>
          <w:rPr>
            <w:color w:val="0562C1"/>
            <w:spacing w:val="-7"/>
            <w:u w:val="single" w:color="0562C1"/>
          </w:rPr>
          <w:t> </w:t>
        </w:r>
        <w:r>
          <w:rPr>
            <w:color w:val="0562C1"/>
            <w:u w:val="single" w:color="0562C1"/>
          </w:rPr>
          <w:t>Cycle</w:t>
        </w:r>
        <w:r>
          <w:rPr>
            <w:color w:val="0562C1"/>
            <w:spacing w:val="-6"/>
            <w:u w:val="single" w:color="0562C1"/>
          </w:rPr>
          <w:t> </w:t>
        </w:r>
        <w:r>
          <w:rPr>
            <w:color w:val="0562C1"/>
            <w:u w:val="single" w:color="0562C1"/>
          </w:rPr>
          <w:t>in</w:t>
        </w:r>
      </w:hyperlink>
      <w:r>
        <w:rPr>
          <w:color w:val="0562C1"/>
          <w:u w:val="none"/>
        </w:rPr>
        <w:t> </w:t>
      </w:r>
      <w:hyperlink r:id="rId232">
        <w:r>
          <w:rPr>
            <w:color w:val="0562C1"/>
            <w:u w:val="single" w:color="0562C1"/>
          </w:rPr>
          <w:t>Monitoring the United Kingdom</w:t>
        </w:r>
      </w:hyperlink>
      <w:r>
        <w:rPr>
          <w:u w:val="none"/>
        </w:rPr>
        <w:t>’ (NIHRC, 2023).</w:t>
      </w:r>
    </w:p>
    <w:p>
      <w:pPr>
        <w:pStyle w:val="BodyText"/>
        <w:spacing w:line="225" w:lineRule="auto" w:before="276"/>
        <w:ind w:left="1133" w:right="1171"/>
      </w:pPr>
      <w:r>
        <w:rPr/>
        <w:t>NI</w:t>
      </w:r>
      <w:r>
        <w:rPr>
          <w:spacing w:val="-9"/>
        </w:rPr>
        <w:t> </w:t>
      </w:r>
      <w:r>
        <w:rPr/>
        <w:t>Human</w:t>
      </w:r>
      <w:r>
        <w:rPr>
          <w:spacing w:val="-10"/>
        </w:rPr>
        <w:t> </w:t>
      </w:r>
      <w:r>
        <w:rPr/>
        <w:t>Rights</w:t>
      </w:r>
      <w:r>
        <w:rPr>
          <w:spacing w:val="-10"/>
        </w:rPr>
        <w:t> </w:t>
      </w:r>
      <w:r>
        <w:rPr/>
        <w:t>Commission,</w:t>
      </w:r>
      <w:r>
        <w:rPr>
          <w:spacing w:val="-9"/>
        </w:rPr>
        <w:t> </w:t>
      </w:r>
      <w:r>
        <w:rPr/>
        <w:t>‘</w:t>
      </w:r>
      <w:hyperlink r:id="rId233">
        <w:r>
          <w:rPr>
            <w:color w:val="0562C1"/>
            <w:u w:val="single" w:color="0562C1"/>
          </w:rPr>
          <w:t>Response</w:t>
        </w:r>
        <w:r>
          <w:rPr>
            <w:color w:val="0562C1"/>
            <w:spacing w:val="-9"/>
            <w:u w:val="single" w:color="0562C1"/>
          </w:rPr>
          <w:t> </w:t>
        </w:r>
        <w:r>
          <w:rPr>
            <w:color w:val="0562C1"/>
            <w:u w:val="single" w:color="0562C1"/>
          </w:rPr>
          <w:t>to</w:t>
        </w:r>
        <w:r>
          <w:rPr>
            <w:color w:val="0562C1"/>
            <w:spacing w:val="-10"/>
            <w:u w:val="single" w:color="0562C1"/>
          </w:rPr>
          <w:t> </w:t>
        </w:r>
        <w:r>
          <w:rPr>
            <w:color w:val="0562C1"/>
            <w:u w:val="single" w:color="0562C1"/>
          </w:rPr>
          <w:t>The</w:t>
        </w:r>
        <w:r>
          <w:rPr>
            <w:color w:val="0562C1"/>
            <w:spacing w:val="-9"/>
            <w:u w:val="single" w:color="0562C1"/>
          </w:rPr>
          <w:t> </w:t>
        </w:r>
        <w:r>
          <w:rPr>
            <w:color w:val="0562C1"/>
            <w:u w:val="single" w:color="0562C1"/>
          </w:rPr>
          <w:t>Executive</w:t>
        </w:r>
        <w:r>
          <w:rPr>
            <w:color w:val="0562C1"/>
            <w:spacing w:val="-9"/>
            <w:u w:val="single" w:color="0562C1"/>
          </w:rPr>
          <w:t> </w:t>
        </w:r>
        <w:r>
          <w:rPr>
            <w:color w:val="0562C1"/>
            <w:u w:val="single" w:color="0562C1"/>
          </w:rPr>
          <w:t>Office’s</w:t>
        </w:r>
        <w:r>
          <w:rPr>
            <w:color w:val="0562C1"/>
            <w:spacing w:val="-10"/>
            <w:u w:val="single" w:color="0562C1"/>
          </w:rPr>
          <w:t> </w:t>
        </w:r>
        <w:r>
          <w:rPr>
            <w:color w:val="0562C1"/>
            <w:u w:val="single" w:color="0562C1"/>
          </w:rPr>
          <w:t>Consultation</w:t>
        </w:r>
        <w:r>
          <w:rPr>
            <w:color w:val="0562C1"/>
            <w:spacing w:val="-10"/>
            <w:u w:val="single" w:color="0562C1"/>
          </w:rPr>
          <w:t> </w:t>
        </w:r>
        <w:r>
          <w:rPr>
            <w:color w:val="0562C1"/>
            <w:u w:val="single" w:color="0562C1"/>
          </w:rPr>
          <w:t>on</w:t>
        </w:r>
      </w:hyperlink>
      <w:r>
        <w:rPr>
          <w:color w:val="0562C1"/>
          <w:u w:val="none"/>
        </w:rPr>
        <w:t> </w:t>
      </w:r>
      <w:hyperlink r:id="rId233">
        <w:r>
          <w:rPr>
            <w:color w:val="0562C1"/>
            <w:u w:val="single" w:color="0562C1"/>
          </w:rPr>
          <w:t>the Review of the Race Relations (NI) Order 1997</w:t>
        </w:r>
      </w:hyperlink>
      <w:r>
        <w:rPr>
          <w:u w:val="none"/>
        </w:rPr>
        <w:t>’ (NIHRC, 2023).</w:t>
      </w:r>
    </w:p>
    <w:p>
      <w:pPr>
        <w:pStyle w:val="BodyText"/>
        <w:spacing w:line="225" w:lineRule="auto" w:before="278"/>
        <w:ind w:left="1133" w:right="1171"/>
      </w:pPr>
      <w:r>
        <w:rPr/>
        <w:t>NI</w:t>
      </w:r>
      <w:r>
        <w:rPr>
          <w:spacing w:val="-7"/>
        </w:rPr>
        <w:t> </w:t>
      </w:r>
      <w:r>
        <w:rPr/>
        <w:t>Human</w:t>
      </w:r>
      <w:r>
        <w:rPr>
          <w:spacing w:val="-8"/>
        </w:rPr>
        <w:t> </w:t>
      </w:r>
      <w:r>
        <w:rPr/>
        <w:t>Rights</w:t>
      </w:r>
      <w:r>
        <w:rPr>
          <w:spacing w:val="-8"/>
        </w:rPr>
        <w:t> </w:t>
      </w:r>
      <w:r>
        <w:rPr/>
        <w:t>Commission,</w:t>
      </w:r>
      <w:r>
        <w:rPr>
          <w:spacing w:val="-7"/>
        </w:rPr>
        <w:t> </w:t>
      </w:r>
      <w:r>
        <w:rPr/>
        <w:t>‘Further</w:t>
      </w:r>
      <w:r>
        <w:rPr>
          <w:spacing w:val="-7"/>
        </w:rPr>
        <w:t> </w:t>
      </w:r>
      <w:r>
        <w:rPr/>
        <w:t>Supplementary</w:t>
      </w:r>
      <w:r>
        <w:rPr>
          <w:spacing w:val="-7"/>
        </w:rPr>
        <w:t> </w:t>
      </w:r>
      <w:r>
        <w:rPr/>
        <w:t>Briefing:</w:t>
      </w:r>
      <w:r>
        <w:rPr>
          <w:spacing w:val="-7"/>
        </w:rPr>
        <w:t> </w:t>
      </w:r>
      <w:r>
        <w:rPr/>
        <w:t>UK</w:t>
      </w:r>
      <w:r>
        <w:rPr>
          <w:spacing w:val="-7"/>
        </w:rPr>
        <w:t> </w:t>
      </w:r>
      <w:r>
        <w:rPr/>
        <w:t>Government’s Proposed Amendments to NI Troubles (Legacy and Reconciliation) Bill’ (NIHRC, </w:t>
      </w:r>
      <w:r>
        <w:rPr>
          <w:spacing w:val="-2"/>
        </w:rPr>
        <w:t>2023).</w:t>
      </w:r>
    </w:p>
    <w:p>
      <w:pPr>
        <w:pStyle w:val="BodyText"/>
        <w:spacing w:line="225" w:lineRule="auto" w:before="276"/>
        <w:ind w:left="1133" w:right="2478"/>
      </w:pPr>
      <w:r>
        <w:rPr/>
        <w:t>NI</w:t>
      </w:r>
      <w:r>
        <w:rPr>
          <w:spacing w:val="-5"/>
        </w:rPr>
        <w:t> </w:t>
      </w:r>
      <w:r>
        <w:rPr/>
        <w:t>Human</w:t>
      </w:r>
      <w:r>
        <w:rPr>
          <w:spacing w:val="-6"/>
        </w:rPr>
        <w:t> </w:t>
      </w:r>
      <w:r>
        <w:rPr/>
        <w:t>Rights</w:t>
      </w:r>
      <w:r>
        <w:rPr>
          <w:spacing w:val="-6"/>
        </w:rPr>
        <w:t> </w:t>
      </w:r>
      <w:r>
        <w:rPr/>
        <w:t>Commission,</w:t>
      </w:r>
      <w:r>
        <w:rPr>
          <w:spacing w:val="-5"/>
        </w:rPr>
        <w:t> </w:t>
      </w:r>
      <w:r>
        <w:rPr/>
        <w:t>‘</w:t>
      </w:r>
      <w:hyperlink r:id="rId234">
        <w:r>
          <w:rPr>
            <w:color w:val="0562C1"/>
            <w:u w:val="single" w:color="0562C1"/>
          </w:rPr>
          <w:t>NIHRC</w:t>
        </w:r>
        <w:r>
          <w:rPr>
            <w:color w:val="0562C1"/>
            <w:spacing w:val="-6"/>
            <w:u w:val="single" w:color="0562C1"/>
          </w:rPr>
          <w:t> </w:t>
        </w:r>
        <w:r>
          <w:rPr>
            <w:color w:val="0562C1"/>
            <w:u w:val="single" w:color="0562C1"/>
          </w:rPr>
          <w:t>response</w:t>
        </w:r>
        <w:r>
          <w:rPr>
            <w:color w:val="0562C1"/>
            <w:spacing w:val="-5"/>
            <w:u w:val="single" w:color="0562C1"/>
          </w:rPr>
          <w:t> </w:t>
        </w:r>
        <w:r>
          <w:rPr>
            <w:color w:val="0562C1"/>
            <w:u w:val="single" w:color="0562C1"/>
          </w:rPr>
          <w:t>to</w:t>
        </w:r>
        <w:r>
          <w:rPr>
            <w:color w:val="0562C1"/>
            <w:spacing w:val="-6"/>
            <w:u w:val="single" w:color="0562C1"/>
          </w:rPr>
          <w:t> </w:t>
        </w:r>
        <w:r>
          <w:rPr>
            <w:color w:val="0562C1"/>
            <w:u w:val="single" w:color="0562C1"/>
          </w:rPr>
          <w:t>the</w:t>
        </w:r>
        <w:r>
          <w:rPr>
            <w:color w:val="0562C1"/>
            <w:spacing w:val="-5"/>
            <w:u w:val="single" w:color="0562C1"/>
          </w:rPr>
          <w:t> </w:t>
        </w:r>
        <w:r>
          <w:rPr>
            <w:color w:val="0562C1"/>
            <w:u w:val="single" w:color="0562C1"/>
          </w:rPr>
          <w:t>Department</w:t>
        </w:r>
        <w:r>
          <w:rPr>
            <w:color w:val="0562C1"/>
            <w:spacing w:val="-5"/>
            <w:u w:val="single" w:color="0562C1"/>
          </w:rPr>
          <w:t> </w:t>
        </w:r>
        <w:r>
          <w:rPr>
            <w:color w:val="0562C1"/>
            <w:u w:val="single" w:color="0562C1"/>
          </w:rPr>
          <w:t>for</w:t>
        </w:r>
        <w:r>
          <w:rPr>
            <w:color w:val="0562C1"/>
            <w:spacing w:val="-6"/>
            <w:u w:val="single" w:color="0562C1"/>
          </w:rPr>
          <w:t> </w:t>
        </w:r>
      </w:hyperlink>
      <w:r>
        <w:rPr>
          <w:color w:val="0562C1"/>
          <w:spacing w:val="-6"/>
          <w:u w:val="none"/>
        </w:rPr>
        <w:t> </w:t>
      </w:r>
      <w:hyperlink r:id="rId234">
        <w:r>
          <w:rPr>
            <w:color w:val="0562C1"/>
            <w:u w:val="single" w:color="0562C1"/>
          </w:rPr>
          <w:t>Infrastructure’s consultation on Concessionary Fares</w:t>
        </w:r>
      </w:hyperlink>
      <w:r>
        <w:rPr>
          <w:u w:val="none"/>
        </w:rPr>
        <w:t>’ (NIHRC, 2023).</w:t>
      </w:r>
    </w:p>
    <w:p>
      <w:pPr>
        <w:pStyle w:val="BodyText"/>
        <w:spacing w:line="225" w:lineRule="auto" w:before="277"/>
        <w:ind w:left="1133" w:right="1767"/>
        <w:jc w:val="both"/>
      </w:pPr>
      <w:r>
        <w:rPr/>
        <w:t>NI</w:t>
      </w:r>
      <w:r>
        <w:rPr>
          <w:spacing w:val="-5"/>
        </w:rPr>
        <w:t> </w:t>
      </w:r>
      <w:r>
        <w:rPr/>
        <w:t>Human</w:t>
      </w:r>
      <w:r>
        <w:rPr>
          <w:spacing w:val="-6"/>
        </w:rPr>
        <w:t> </w:t>
      </w:r>
      <w:r>
        <w:rPr/>
        <w:t>Rights</w:t>
      </w:r>
      <w:r>
        <w:rPr>
          <w:spacing w:val="-6"/>
        </w:rPr>
        <w:t> </w:t>
      </w:r>
      <w:r>
        <w:rPr/>
        <w:t>Commission,</w:t>
      </w:r>
      <w:r>
        <w:rPr>
          <w:spacing w:val="-5"/>
        </w:rPr>
        <w:t> </w:t>
      </w:r>
      <w:r>
        <w:rPr/>
        <w:t>‘</w:t>
      </w:r>
      <w:hyperlink r:id="rId235">
        <w:r>
          <w:rPr>
            <w:color w:val="0562C1"/>
            <w:u w:val="single" w:color="0562C1"/>
          </w:rPr>
          <w:t>Briefing</w:t>
        </w:r>
        <w:r>
          <w:rPr>
            <w:color w:val="0562C1"/>
            <w:spacing w:val="-5"/>
            <w:u w:val="single" w:color="0562C1"/>
          </w:rPr>
          <w:t> </w:t>
        </w:r>
        <w:r>
          <w:rPr>
            <w:color w:val="0562C1"/>
            <w:u w:val="single" w:color="0562C1"/>
          </w:rPr>
          <w:t>Paper</w:t>
        </w:r>
        <w:r>
          <w:rPr>
            <w:color w:val="0562C1"/>
            <w:spacing w:val="-5"/>
            <w:u w:val="single" w:color="0562C1"/>
          </w:rPr>
          <w:t> </w:t>
        </w:r>
        <w:r>
          <w:rPr>
            <w:color w:val="0562C1"/>
            <w:u w:val="single" w:color="0562C1"/>
          </w:rPr>
          <w:t>and</w:t>
        </w:r>
        <w:r>
          <w:rPr>
            <w:color w:val="0562C1"/>
            <w:spacing w:val="-6"/>
            <w:u w:val="single" w:color="0562C1"/>
          </w:rPr>
          <w:t> </w:t>
        </w:r>
        <w:r>
          <w:rPr>
            <w:color w:val="0562C1"/>
            <w:u w:val="single" w:color="0562C1"/>
          </w:rPr>
          <w:t>Recommendations</w:t>
        </w:r>
        <w:r>
          <w:rPr>
            <w:color w:val="0562C1"/>
            <w:spacing w:val="-6"/>
            <w:u w:val="single" w:color="0562C1"/>
          </w:rPr>
          <w:t> </w:t>
        </w:r>
        <w:r>
          <w:rPr>
            <w:color w:val="0562C1"/>
            <w:u w:val="single" w:color="0562C1"/>
          </w:rPr>
          <w:t>on</w:t>
        </w:r>
        <w:r>
          <w:rPr>
            <w:color w:val="0562C1"/>
            <w:spacing w:val="-6"/>
            <w:u w:val="single" w:color="0562C1"/>
          </w:rPr>
          <w:t> </w:t>
        </w:r>
        <w:r>
          <w:rPr>
            <w:color w:val="0562C1"/>
            <w:u w:val="single" w:color="0562C1"/>
          </w:rPr>
          <w:t>Brexit,</w:t>
        </w:r>
      </w:hyperlink>
      <w:r>
        <w:rPr>
          <w:color w:val="0562C1"/>
          <w:u w:val="none"/>
        </w:rPr>
        <w:t> </w:t>
      </w:r>
      <w:hyperlink r:id="rId235">
        <w:r>
          <w:rPr>
            <w:color w:val="0562C1"/>
            <w:u w:val="single" w:color="0562C1"/>
          </w:rPr>
          <w:t>Health</w:t>
        </w:r>
        <w:r>
          <w:rPr>
            <w:color w:val="0562C1"/>
            <w:spacing w:val="-6"/>
            <w:u w:val="single" w:color="0562C1"/>
          </w:rPr>
          <w:t> </w:t>
        </w:r>
        <w:r>
          <w:rPr>
            <w:color w:val="0562C1"/>
            <w:u w:val="single" w:color="0562C1"/>
          </w:rPr>
          <w:t>and</w:t>
        </w:r>
        <w:r>
          <w:rPr>
            <w:color w:val="0562C1"/>
            <w:spacing w:val="-6"/>
            <w:u w:val="single" w:color="0562C1"/>
          </w:rPr>
          <w:t> </w:t>
        </w:r>
        <w:r>
          <w:rPr>
            <w:color w:val="0562C1"/>
            <w:u w:val="single" w:color="0562C1"/>
          </w:rPr>
          <w:t>Its</w:t>
        </w:r>
        <w:r>
          <w:rPr>
            <w:color w:val="0562C1"/>
            <w:spacing w:val="-6"/>
            <w:u w:val="single" w:color="0562C1"/>
          </w:rPr>
          <w:t> </w:t>
        </w:r>
        <w:r>
          <w:rPr>
            <w:color w:val="0562C1"/>
            <w:u w:val="single" w:color="0562C1"/>
          </w:rPr>
          <w:t>Potential</w:t>
        </w:r>
        <w:r>
          <w:rPr>
            <w:color w:val="0562C1"/>
            <w:spacing w:val="-6"/>
            <w:u w:val="single" w:color="0562C1"/>
          </w:rPr>
          <w:t> </w:t>
        </w:r>
        <w:r>
          <w:rPr>
            <w:color w:val="0562C1"/>
            <w:u w:val="single" w:color="0562C1"/>
          </w:rPr>
          <w:t>Impact</w:t>
        </w:r>
        <w:r>
          <w:rPr>
            <w:color w:val="0562C1"/>
            <w:spacing w:val="-5"/>
            <w:u w:val="single" w:color="0562C1"/>
          </w:rPr>
          <w:t> </w:t>
        </w:r>
        <w:r>
          <w:rPr>
            <w:color w:val="0562C1"/>
            <w:u w:val="single" w:color="0562C1"/>
          </w:rPr>
          <w:t>on</w:t>
        </w:r>
        <w:r>
          <w:rPr>
            <w:color w:val="0562C1"/>
            <w:spacing w:val="-6"/>
            <w:u w:val="single" w:color="0562C1"/>
          </w:rPr>
          <w:t> </w:t>
        </w:r>
        <w:r>
          <w:rPr>
            <w:color w:val="0562C1"/>
            <w:u w:val="single" w:color="0562C1"/>
          </w:rPr>
          <w:t>Article</w:t>
        </w:r>
        <w:r>
          <w:rPr>
            <w:color w:val="0562C1"/>
            <w:spacing w:val="-5"/>
            <w:u w:val="single" w:color="0562C1"/>
          </w:rPr>
          <w:t> </w:t>
        </w:r>
        <w:r>
          <w:rPr>
            <w:color w:val="0562C1"/>
            <w:u w:val="single" w:color="0562C1"/>
          </w:rPr>
          <w:t>2</w:t>
        </w:r>
        <w:r>
          <w:rPr>
            <w:color w:val="0562C1"/>
            <w:spacing w:val="-5"/>
            <w:u w:val="single" w:color="0562C1"/>
          </w:rPr>
          <w:t> </w:t>
        </w:r>
        <w:r>
          <w:rPr>
            <w:color w:val="0562C1"/>
            <w:u w:val="single" w:color="0562C1"/>
          </w:rPr>
          <w:t>of</w:t>
        </w:r>
        <w:r>
          <w:rPr>
            <w:color w:val="0562C1"/>
            <w:spacing w:val="-6"/>
            <w:u w:val="single" w:color="0562C1"/>
          </w:rPr>
          <w:t> </w:t>
        </w:r>
        <w:r>
          <w:rPr>
            <w:color w:val="0562C1"/>
            <w:u w:val="single" w:color="0562C1"/>
          </w:rPr>
          <w:t>the</w:t>
        </w:r>
        <w:r>
          <w:rPr>
            <w:color w:val="0562C1"/>
            <w:spacing w:val="-5"/>
            <w:u w:val="single" w:color="0562C1"/>
          </w:rPr>
          <w:t> </w:t>
        </w:r>
        <w:r>
          <w:rPr>
            <w:color w:val="0562C1"/>
            <w:u w:val="single" w:color="0562C1"/>
          </w:rPr>
          <w:t>Windsor</w:t>
        </w:r>
        <w:r>
          <w:rPr>
            <w:color w:val="0562C1"/>
            <w:spacing w:val="-5"/>
            <w:u w:val="single" w:color="0562C1"/>
          </w:rPr>
          <w:t> </w:t>
        </w:r>
        <w:r>
          <w:rPr>
            <w:color w:val="0562C1"/>
            <w:u w:val="single" w:color="0562C1"/>
          </w:rPr>
          <w:t>Framework</w:t>
        </w:r>
      </w:hyperlink>
      <w:r>
        <w:rPr>
          <w:u w:val="none"/>
        </w:rPr>
        <w:t>’</w:t>
      </w:r>
      <w:r>
        <w:rPr>
          <w:spacing w:val="-5"/>
          <w:u w:val="none"/>
        </w:rPr>
        <w:t> </w:t>
      </w:r>
      <w:r>
        <w:rPr>
          <w:u w:val="none"/>
        </w:rPr>
        <w:t>(NIHRC, </w:t>
      </w:r>
      <w:r>
        <w:rPr>
          <w:spacing w:val="-2"/>
          <w:u w:val="none"/>
        </w:rPr>
        <w:t>2023).</w:t>
      </w:r>
    </w:p>
    <w:p>
      <w:pPr>
        <w:pStyle w:val="BodyText"/>
        <w:spacing w:line="225" w:lineRule="auto" w:before="277"/>
        <w:ind w:left="1133" w:right="1171"/>
      </w:pPr>
      <w:r>
        <w:rPr/>
        <w:t>NI</w:t>
      </w:r>
      <w:r>
        <w:rPr>
          <w:spacing w:val="-8"/>
        </w:rPr>
        <w:t> </w:t>
      </w:r>
      <w:r>
        <w:rPr/>
        <w:t>Human</w:t>
      </w:r>
      <w:r>
        <w:rPr>
          <w:spacing w:val="-9"/>
        </w:rPr>
        <w:t> </w:t>
      </w:r>
      <w:r>
        <w:rPr/>
        <w:t>Rights</w:t>
      </w:r>
      <w:r>
        <w:rPr>
          <w:spacing w:val="-9"/>
        </w:rPr>
        <w:t> </w:t>
      </w:r>
      <w:r>
        <w:rPr/>
        <w:t>Commission,</w:t>
      </w:r>
      <w:r>
        <w:rPr>
          <w:spacing w:val="-8"/>
        </w:rPr>
        <w:t> </w:t>
      </w:r>
      <w:r>
        <w:rPr/>
        <w:t>‘</w:t>
      </w:r>
      <w:hyperlink r:id="rId236">
        <w:r>
          <w:rPr>
            <w:color w:val="0562C1"/>
            <w:u w:val="single" w:color="0562C1"/>
          </w:rPr>
          <w:t>Submission</w:t>
        </w:r>
        <w:r>
          <w:rPr>
            <w:color w:val="0562C1"/>
            <w:spacing w:val="-9"/>
            <w:u w:val="single" w:color="0562C1"/>
          </w:rPr>
          <w:t> </w:t>
        </w:r>
        <w:r>
          <w:rPr>
            <w:color w:val="0562C1"/>
            <w:u w:val="single" w:color="0562C1"/>
          </w:rPr>
          <w:t>to</w:t>
        </w:r>
        <w:r>
          <w:rPr>
            <w:color w:val="0562C1"/>
            <w:spacing w:val="-9"/>
            <w:u w:val="single" w:color="0562C1"/>
          </w:rPr>
          <w:t> </w:t>
        </w:r>
        <w:r>
          <w:rPr>
            <w:color w:val="0562C1"/>
            <w:u w:val="single" w:color="0562C1"/>
          </w:rPr>
          <w:t>the</w:t>
        </w:r>
        <w:r>
          <w:rPr>
            <w:color w:val="0562C1"/>
            <w:spacing w:val="-8"/>
            <w:u w:val="single" w:color="0562C1"/>
          </w:rPr>
          <w:t> </w:t>
        </w:r>
        <w:r>
          <w:rPr>
            <w:color w:val="0562C1"/>
            <w:u w:val="single" w:color="0562C1"/>
          </w:rPr>
          <w:t>Executive</w:t>
        </w:r>
        <w:r>
          <w:rPr>
            <w:color w:val="0562C1"/>
            <w:spacing w:val="-8"/>
            <w:u w:val="single" w:color="0562C1"/>
          </w:rPr>
          <w:t> </w:t>
        </w:r>
        <w:r>
          <w:rPr>
            <w:color w:val="0562C1"/>
            <w:u w:val="single" w:color="0562C1"/>
          </w:rPr>
          <w:t>Office’s</w:t>
        </w:r>
        <w:r>
          <w:rPr>
            <w:color w:val="0562C1"/>
            <w:spacing w:val="-9"/>
            <w:u w:val="single" w:color="0562C1"/>
          </w:rPr>
          <w:t> </w:t>
        </w:r>
        <w:r>
          <w:rPr>
            <w:color w:val="0562C1"/>
            <w:u w:val="single" w:color="0562C1"/>
          </w:rPr>
          <w:t>Consultation</w:t>
        </w:r>
        <w:r>
          <w:rPr>
            <w:color w:val="0562C1"/>
            <w:spacing w:val="-9"/>
            <w:u w:val="single" w:color="0562C1"/>
          </w:rPr>
          <w:t> </w:t>
        </w:r>
        <w:r>
          <w:rPr>
            <w:color w:val="0562C1"/>
            <w:u w:val="single" w:color="0562C1"/>
          </w:rPr>
          <w:t>on</w:t>
        </w:r>
      </w:hyperlink>
      <w:r>
        <w:rPr>
          <w:color w:val="0562C1"/>
          <w:u w:val="none"/>
        </w:rPr>
        <w:t> </w:t>
      </w:r>
      <w:hyperlink r:id="rId236">
        <w:r>
          <w:rPr>
            <w:color w:val="0562C1"/>
            <w:u w:val="single" w:color="0562C1"/>
          </w:rPr>
          <w:t>the Ending Violence Against Women and Girls Strategic Framework</w:t>
        </w:r>
      </w:hyperlink>
      <w:r>
        <w:rPr>
          <w:u w:val="none"/>
        </w:rPr>
        <w:t>’ (NIHRC, 2023).</w:t>
      </w:r>
    </w:p>
    <w:p>
      <w:pPr>
        <w:pStyle w:val="BodyText"/>
        <w:spacing w:line="225" w:lineRule="auto" w:before="277"/>
        <w:ind w:left="1133" w:right="1802"/>
        <w:jc w:val="both"/>
      </w:pPr>
      <w:r>
        <w:rPr/>
        <w:t>NI Human Rights Commission, ‘</w:t>
      </w:r>
      <w:hyperlink r:id="rId237">
        <w:r>
          <w:rPr>
            <w:color w:val="0562C1"/>
            <w:u w:val="single" w:color="0562C1"/>
          </w:rPr>
          <w:t>Windsor Framework Article 2 and the Rights of</w:t>
        </w:r>
      </w:hyperlink>
      <w:r>
        <w:rPr>
          <w:color w:val="0562C1"/>
          <w:u w:val="none"/>
        </w:rPr>
        <w:t> </w:t>
      </w:r>
      <w:hyperlink r:id="rId237">
        <w:r>
          <w:rPr>
            <w:color w:val="0562C1"/>
            <w:u w:val="single" w:color="0562C1"/>
          </w:rPr>
          <w:t>Refugees</w:t>
        </w:r>
        <w:r>
          <w:rPr>
            <w:color w:val="0562C1"/>
            <w:spacing w:val="-9"/>
            <w:u w:val="single" w:color="0562C1"/>
          </w:rPr>
          <w:t> </w:t>
        </w:r>
        <w:r>
          <w:rPr>
            <w:color w:val="0562C1"/>
            <w:u w:val="single" w:color="0562C1"/>
          </w:rPr>
          <w:t>and</w:t>
        </w:r>
        <w:r>
          <w:rPr>
            <w:color w:val="0562C1"/>
            <w:spacing w:val="-9"/>
            <w:u w:val="single" w:color="0562C1"/>
          </w:rPr>
          <w:t> </w:t>
        </w:r>
        <w:r>
          <w:rPr>
            <w:color w:val="0562C1"/>
            <w:u w:val="single" w:color="0562C1"/>
          </w:rPr>
          <w:t>Asylum</w:t>
        </w:r>
        <w:r>
          <w:rPr>
            <w:color w:val="0562C1"/>
            <w:spacing w:val="-8"/>
            <w:u w:val="single" w:color="0562C1"/>
          </w:rPr>
          <w:t> </w:t>
        </w:r>
        <w:r>
          <w:rPr>
            <w:color w:val="0562C1"/>
            <w:u w:val="single" w:color="0562C1"/>
          </w:rPr>
          <w:t>Seekers</w:t>
        </w:r>
        <w:r>
          <w:rPr>
            <w:color w:val="0562C1"/>
            <w:spacing w:val="-9"/>
            <w:u w:val="single" w:color="0562C1"/>
          </w:rPr>
          <w:t> </w:t>
        </w:r>
        <w:r>
          <w:rPr>
            <w:color w:val="0562C1"/>
            <w:u w:val="single" w:color="0562C1"/>
          </w:rPr>
          <w:t>–</w:t>
        </w:r>
        <w:r>
          <w:rPr>
            <w:color w:val="0562C1"/>
            <w:spacing w:val="-9"/>
            <w:u w:val="single" w:color="0562C1"/>
          </w:rPr>
          <w:t> </w:t>
        </w:r>
        <w:r>
          <w:rPr>
            <w:color w:val="0562C1"/>
            <w:u w:val="single" w:color="0562C1"/>
          </w:rPr>
          <w:t>Briefi</w:t>
        </w:r>
        <w:r>
          <w:rPr>
            <w:color w:val="0562C1"/>
            <w:u w:val="none"/>
          </w:rPr>
          <w:t>n</w:t>
        </w:r>
        <w:r>
          <w:rPr>
            <w:color w:val="0562C1"/>
            <w:u w:val="single" w:color="0562C1"/>
          </w:rPr>
          <w:t>g</w:t>
        </w:r>
        <w:r>
          <w:rPr>
            <w:color w:val="0562C1"/>
            <w:spacing w:val="-8"/>
            <w:u w:val="single" w:color="0562C1"/>
          </w:rPr>
          <w:t> </w:t>
        </w:r>
        <w:r>
          <w:rPr>
            <w:color w:val="0562C1"/>
            <w:u w:val="single" w:color="0562C1"/>
          </w:rPr>
          <w:t>and</w:t>
        </w:r>
        <w:r>
          <w:rPr>
            <w:color w:val="0562C1"/>
            <w:spacing w:val="-9"/>
            <w:u w:val="single" w:color="0562C1"/>
          </w:rPr>
          <w:t> </w:t>
        </w:r>
        <w:r>
          <w:rPr>
            <w:color w:val="0562C1"/>
            <w:u w:val="single" w:color="0562C1"/>
          </w:rPr>
          <w:t>Recommendations</w:t>
        </w:r>
      </w:hyperlink>
      <w:r>
        <w:rPr>
          <w:u w:val="none"/>
        </w:rPr>
        <w:t>’</w:t>
      </w:r>
      <w:r>
        <w:rPr>
          <w:spacing w:val="-8"/>
          <w:u w:val="none"/>
        </w:rPr>
        <w:t> </w:t>
      </w:r>
      <w:r>
        <w:rPr>
          <w:u w:val="none"/>
        </w:rPr>
        <w:t>(NIHRC,</w:t>
      </w:r>
      <w:r>
        <w:rPr>
          <w:spacing w:val="-8"/>
          <w:u w:val="none"/>
        </w:rPr>
        <w:t> </w:t>
      </w:r>
      <w:r>
        <w:rPr>
          <w:spacing w:val="-2"/>
          <w:u w:val="none"/>
        </w:rPr>
        <w:t>2023).</w:t>
      </w:r>
    </w:p>
    <w:p>
      <w:pPr>
        <w:pStyle w:val="BodyText"/>
        <w:spacing w:line="225" w:lineRule="auto" w:before="277"/>
        <w:ind w:left="1133" w:right="1171"/>
      </w:pPr>
      <w:r>
        <w:rPr/>
        <w:t>NI</w:t>
      </w:r>
      <w:r>
        <w:rPr>
          <w:spacing w:val="-4"/>
        </w:rPr>
        <w:t> </w:t>
      </w:r>
      <w:r>
        <w:rPr/>
        <w:t>Human</w:t>
      </w:r>
      <w:r>
        <w:rPr>
          <w:spacing w:val="-4"/>
        </w:rPr>
        <w:t> </w:t>
      </w:r>
      <w:r>
        <w:rPr/>
        <w:t>Rights</w:t>
      </w:r>
      <w:r>
        <w:rPr>
          <w:spacing w:val="-4"/>
        </w:rPr>
        <w:t> </w:t>
      </w:r>
      <w:r>
        <w:rPr/>
        <w:t>Commission,</w:t>
      </w:r>
      <w:r>
        <w:rPr>
          <w:spacing w:val="-4"/>
        </w:rPr>
        <w:t> </w:t>
      </w:r>
      <w:r>
        <w:rPr/>
        <w:t>‘</w:t>
      </w:r>
      <w:hyperlink r:id="rId238">
        <w:r>
          <w:rPr>
            <w:color w:val="0562C1"/>
            <w:u w:val="single" w:color="0562C1"/>
          </w:rPr>
          <w:t>Submission</w:t>
        </w:r>
        <w:r>
          <w:rPr>
            <w:color w:val="0562C1"/>
            <w:spacing w:val="-4"/>
            <w:u w:val="single" w:color="0562C1"/>
          </w:rPr>
          <w:t> </w:t>
        </w:r>
        <w:r>
          <w:rPr>
            <w:color w:val="0562C1"/>
            <w:u w:val="single" w:color="0562C1"/>
          </w:rPr>
          <w:t>to</w:t>
        </w:r>
        <w:r>
          <w:rPr>
            <w:color w:val="0562C1"/>
            <w:spacing w:val="-4"/>
            <w:u w:val="single" w:color="0562C1"/>
          </w:rPr>
          <w:t> </w:t>
        </w:r>
        <w:r>
          <w:rPr>
            <w:color w:val="0562C1"/>
            <w:u w:val="single" w:color="0562C1"/>
          </w:rPr>
          <w:t>the</w:t>
        </w:r>
        <w:r>
          <w:rPr>
            <w:color w:val="0562C1"/>
            <w:spacing w:val="-4"/>
            <w:u w:val="single" w:color="0562C1"/>
          </w:rPr>
          <w:t> </w:t>
        </w:r>
        <w:r>
          <w:rPr>
            <w:color w:val="0562C1"/>
            <w:u w:val="single" w:color="0562C1"/>
          </w:rPr>
          <w:t>CoE</w:t>
        </w:r>
        <w:r>
          <w:rPr>
            <w:color w:val="0562C1"/>
            <w:spacing w:val="-4"/>
            <w:u w:val="single" w:color="0562C1"/>
          </w:rPr>
          <w:t> </w:t>
        </w:r>
        <w:r>
          <w:rPr>
            <w:color w:val="0562C1"/>
            <w:u w:val="single" w:color="0562C1"/>
          </w:rPr>
          <w:t>Group</w:t>
        </w:r>
        <w:r>
          <w:rPr>
            <w:color w:val="0562C1"/>
            <w:spacing w:val="-4"/>
            <w:u w:val="single" w:color="0562C1"/>
          </w:rPr>
          <w:t> </w:t>
        </w:r>
        <w:r>
          <w:rPr>
            <w:color w:val="0562C1"/>
            <w:u w:val="single" w:color="0562C1"/>
          </w:rPr>
          <w:t>of</w:t>
        </w:r>
        <w:r>
          <w:rPr>
            <w:color w:val="0562C1"/>
            <w:spacing w:val="-4"/>
            <w:u w:val="single" w:color="0562C1"/>
          </w:rPr>
          <w:t> </w:t>
        </w:r>
        <w:r>
          <w:rPr>
            <w:color w:val="0562C1"/>
            <w:u w:val="single" w:color="0562C1"/>
          </w:rPr>
          <w:t>Experts</w:t>
        </w:r>
        <w:r>
          <w:rPr>
            <w:color w:val="0562C1"/>
            <w:spacing w:val="-4"/>
            <w:u w:val="single" w:color="0562C1"/>
          </w:rPr>
          <w:t> </w:t>
        </w:r>
        <w:r>
          <w:rPr>
            <w:color w:val="0562C1"/>
            <w:u w:val="single" w:color="0562C1"/>
          </w:rPr>
          <w:t>on</w:t>
        </w:r>
        <w:r>
          <w:rPr>
            <w:color w:val="0562C1"/>
            <w:spacing w:val="-4"/>
            <w:u w:val="single" w:color="0562C1"/>
          </w:rPr>
          <w:t> </w:t>
        </w:r>
        <w:r>
          <w:rPr>
            <w:color w:val="0562C1"/>
            <w:u w:val="single" w:color="0562C1"/>
          </w:rPr>
          <w:t>Action</w:t>
        </w:r>
      </w:hyperlink>
      <w:r>
        <w:rPr>
          <w:color w:val="0562C1"/>
          <w:u w:val="none"/>
        </w:rPr>
        <w:t> </w:t>
      </w:r>
      <w:hyperlink r:id="rId238">
        <w:r>
          <w:rPr>
            <w:color w:val="0562C1"/>
            <w:u w:val="single" w:color="0562C1"/>
          </w:rPr>
          <w:t>against Violence against Women and Domestic Violence - Parallel Report for the</w:t>
        </w:r>
      </w:hyperlink>
      <w:r>
        <w:rPr>
          <w:color w:val="0562C1"/>
          <w:u w:val="none"/>
        </w:rPr>
        <w:t> </w:t>
      </w:r>
      <w:hyperlink r:id="rId238">
        <w:r>
          <w:rPr>
            <w:color w:val="0562C1"/>
            <w:u w:val="single" w:color="0562C1"/>
          </w:rPr>
          <w:t>Baseline Report in Monitoring the United Kingdom</w:t>
        </w:r>
      </w:hyperlink>
      <w:r>
        <w:rPr>
          <w:u w:val="none"/>
        </w:rPr>
        <w:t>’ (NIHRC, 2023).</w:t>
      </w:r>
    </w:p>
    <w:p>
      <w:pPr>
        <w:pStyle w:val="BodyText"/>
        <w:spacing w:line="225" w:lineRule="auto" w:before="277"/>
        <w:ind w:left="1133" w:right="1171"/>
      </w:pPr>
      <w:r>
        <w:rPr/>
        <w:t>NI</w:t>
      </w:r>
      <w:r>
        <w:rPr>
          <w:spacing w:val="-6"/>
        </w:rPr>
        <w:t> </w:t>
      </w:r>
      <w:r>
        <w:rPr/>
        <w:t>Human</w:t>
      </w:r>
      <w:r>
        <w:rPr>
          <w:spacing w:val="-7"/>
        </w:rPr>
        <w:t> </w:t>
      </w:r>
      <w:r>
        <w:rPr/>
        <w:t>Rights</w:t>
      </w:r>
      <w:r>
        <w:rPr>
          <w:spacing w:val="-7"/>
        </w:rPr>
        <w:t> </w:t>
      </w:r>
      <w:r>
        <w:rPr/>
        <w:t>Commission,</w:t>
      </w:r>
      <w:r>
        <w:rPr>
          <w:spacing w:val="-6"/>
        </w:rPr>
        <w:t> </w:t>
      </w:r>
      <w:r>
        <w:rPr/>
        <w:t>‘</w:t>
      </w:r>
      <w:hyperlink r:id="rId239">
        <w:r>
          <w:rPr>
            <w:color w:val="0562C1"/>
            <w:u w:val="single" w:color="0562C1"/>
          </w:rPr>
          <w:t>Briefing</w:t>
        </w:r>
        <w:r>
          <w:rPr>
            <w:color w:val="0562C1"/>
            <w:spacing w:val="-6"/>
            <w:u w:val="single" w:color="0562C1"/>
          </w:rPr>
          <w:t> </w:t>
        </w:r>
        <w:r>
          <w:rPr>
            <w:color w:val="0562C1"/>
            <w:u w:val="single" w:color="0562C1"/>
          </w:rPr>
          <w:t>on</w:t>
        </w:r>
        <w:r>
          <w:rPr>
            <w:color w:val="0562C1"/>
            <w:spacing w:val="-7"/>
            <w:u w:val="single" w:color="0562C1"/>
          </w:rPr>
          <w:t> </w:t>
        </w:r>
        <w:r>
          <w:rPr>
            <w:color w:val="0562C1"/>
            <w:u w:val="single" w:color="0562C1"/>
          </w:rPr>
          <w:t>the</w:t>
        </w:r>
        <w:r>
          <w:rPr>
            <w:color w:val="0562C1"/>
            <w:spacing w:val="-6"/>
            <w:u w:val="single" w:color="0562C1"/>
          </w:rPr>
          <w:t> </w:t>
        </w:r>
        <w:r>
          <w:rPr>
            <w:color w:val="0562C1"/>
            <w:u w:val="single" w:color="0562C1"/>
          </w:rPr>
          <w:t>Data</w:t>
        </w:r>
        <w:r>
          <w:rPr>
            <w:color w:val="0562C1"/>
            <w:spacing w:val="-7"/>
            <w:u w:val="single" w:color="0562C1"/>
          </w:rPr>
          <w:t> </w:t>
        </w:r>
        <w:r>
          <w:rPr>
            <w:color w:val="0562C1"/>
            <w:u w:val="single" w:color="0562C1"/>
          </w:rPr>
          <w:t>Protection</w:t>
        </w:r>
        <w:r>
          <w:rPr>
            <w:color w:val="0562C1"/>
            <w:spacing w:val="-7"/>
            <w:u w:val="single" w:color="0562C1"/>
          </w:rPr>
          <w:t> </w:t>
        </w:r>
        <w:r>
          <w:rPr>
            <w:color w:val="0562C1"/>
            <w:u w:val="single" w:color="0562C1"/>
          </w:rPr>
          <w:t>and</w:t>
        </w:r>
        <w:r>
          <w:rPr>
            <w:color w:val="0562C1"/>
            <w:spacing w:val="-7"/>
            <w:u w:val="single" w:color="0562C1"/>
          </w:rPr>
          <w:t> </w:t>
        </w:r>
        <w:r>
          <w:rPr>
            <w:color w:val="0562C1"/>
            <w:u w:val="single" w:color="0562C1"/>
          </w:rPr>
          <w:t>Digital</w:t>
        </w:r>
      </w:hyperlink>
      <w:r>
        <w:rPr>
          <w:color w:val="0562C1"/>
          <w:u w:val="none"/>
        </w:rPr>
        <w:t> </w:t>
      </w:r>
      <w:hyperlink r:id="rId239">
        <w:r>
          <w:rPr>
            <w:color w:val="0562C1"/>
            <w:u w:val="single" w:color="0562C1"/>
          </w:rPr>
          <w:t>Information Bill</w:t>
        </w:r>
      </w:hyperlink>
      <w:r>
        <w:rPr>
          <w:u w:val="none"/>
        </w:rPr>
        <w:t>’ (NIHRC, 2024).</w:t>
      </w:r>
    </w:p>
    <w:p>
      <w:pPr>
        <w:spacing w:after="0" w:line="225" w:lineRule="auto"/>
        <w:sectPr>
          <w:pgSz w:w="11910" w:h="16840"/>
          <w:pgMar w:header="496" w:footer="367" w:top="1220" w:bottom="560" w:left="0" w:right="0"/>
        </w:sectPr>
      </w:pPr>
    </w:p>
    <w:p>
      <w:pPr>
        <w:pStyle w:val="BodyText"/>
        <w:spacing w:before="198"/>
      </w:pPr>
    </w:p>
    <w:p>
      <w:pPr>
        <w:pStyle w:val="BodyText"/>
        <w:spacing w:line="225" w:lineRule="auto"/>
        <w:ind w:left="1133" w:right="1171"/>
      </w:pPr>
      <w:bookmarkStart w:name="_bookmark67" w:id="151"/>
      <w:bookmarkEnd w:id="151"/>
      <w:r>
        <w:rPr/>
      </w:r>
      <w:r>
        <w:rPr/>
        <w:t>NI</w:t>
      </w:r>
      <w:r>
        <w:rPr>
          <w:spacing w:val="-7"/>
        </w:rPr>
        <w:t> </w:t>
      </w:r>
      <w:r>
        <w:rPr/>
        <w:t>Human</w:t>
      </w:r>
      <w:r>
        <w:rPr>
          <w:spacing w:val="-8"/>
        </w:rPr>
        <w:t> </w:t>
      </w:r>
      <w:r>
        <w:rPr/>
        <w:t>Rights</w:t>
      </w:r>
      <w:r>
        <w:rPr>
          <w:spacing w:val="-8"/>
        </w:rPr>
        <w:t> </w:t>
      </w:r>
      <w:r>
        <w:rPr/>
        <w:t>Commission,</w:t>
      </w:r>
      <w:r>
        <w:rPr>
          <w:spacing w:val="-7"/>
        </w:rPr>
        <w:t> </w:t>
      </w:r>
      <w:r>
        <w:rPr/>
        <w:t>‘</w:t>
      </w:r>
      <w:hyperlink r:id="rId240">
        <w:r>
          <w:rPr>
            <w:color w:val="0562C1"/>
            <w:u w:val="single" w:color="0562C1"/>
          </w:rPr>
          <w:t>Advice</w:t>
        </w:r>
        <w:r>
          <w:rPr>
            <w:color w:val="0562C1"/>
            <w:spacing w:val="-7"/>
            <w:u w:val="single" w:color="0562C1"/>
          </w:rPr>
          <w:t> </w:t>
        </w:r>
        <w:r>
          <w:rPr>
            <w:color w:val="0562C1"/>
            <w:u w:val="single" w:color="0562C1"/>
          </w:rPr>
          <w:t>on</w:t>
        </w:r>
        <w:r>
          <w:rPr>
            <w:color w:val="0562C1"/>
            <w:spacing w:val="-8"/>
            <w:u w:val="single" w:color="0562C1"/>
          </w:rPr>
          <w:t> </w:t>
        </w:r>
        <w:r>
          <w:rPr>
            <w:color w:val="0562C1"/>
            <w:u w:val="single" w:color="0562C1"/>
          </w:rPr>
          <w:t>the</w:t>
        </w:r>
        <w:r>
          <w:rPr>
            <w:color w:val="0562C1"/>
            <w:spacing w:val="-7"/>
            <w:u w:val="single" w:color="0562C1"/>
          </w:rPr>
          <w:t> </w:t>
        </w:r>
        <w:r>
          <w:rPr>
            <w:color w:val="0562C1"/>
            <w:u w:val="single" w:color="0562C1"/>
          </w:rPr>
          <w:t>Safety</w:t>
        </w:r>
        <w:r>
          <w:rPr>
            <w:color w:val="0562C1"/>
            <w:spacing w:val="-7"/>
            <w:u w:val="single" w:color="0562C1"/>
          </w:rPr>
          <w:t> </w:t>
        </w:r>
        <w:r>
          <w:rPr>
            <w:color w:val="0562C1"/>
            <w:u w:val="single" w:color="0562C1"/>
          </w:rPr>
          <w:t>of</w:t>
        </w:r>
        <w:r>
          <w:rPr>
            <w:color w:val="0562C1"/>
            <w:spacing w:val="-8"/>
            <w:u w:val="single" w:color="0562C1"/>
          </w:rPr>
          <w:t> </w:t>
        </w:r>
        <w:r>
          <w:rPr>
            <w:color w:val="0562C1"/>
            <w:u w:val="single" w:color="0562C1"/>
          </w:rPr>
          <w:t>Rwanda</w:t>
        </w:r>
        <w:r>
          <w:rPr>
            <w:color w:val="0562C1"/>
            <w:spacing w:val="-8"/>
            <w:u w:val="single" w:color="0562C1"/>
          </w:rPr>
          <w:t> </w:t>
        </w:r>
        <w:r>
          <w:rPr>
            <w:color w:val="0562C1"/>
            <w:u w:val="single" w:color="0562C1"/>
          </w:rPr>
          <w:t>(Asylum</w:t>
        </w:r>
        <w:r>
          <w:rPr>
            <w:color w:val="0562C1"/>
            <w:spacing w:val="-7"/>
            <w:u w:val="single" w:color="0562C1"/>
          </w:rPr>
          <w:t> </w:t>
        </w:r>
        <w:r>
          <w:rPr>
            <w:color w:val="0562C1"/>
            <w:u w:val="single" w:color="0562C1"/>
          </w:rPr>
          <w:t>and</w:t>
        </w:r>
      </w:hyperlink>
      <w:r>
        <w:rPr>
          <w:color w:val="0562C1"/>
          <w:u w:val="none"/>
        </w:rPr>
        <w:t> </w:t>
      </w:r>
      <w:hyperlink r:id="rId240">
        <w:r>
          <w:rPr>
            <w:color w:val="0562C1"/>
            <w:u w:val="single" w:color="0562C1"/>
          </w:rPr>
          <w:t>Immigration) Bill</w:t>
        </w:r>
      </w:hyperlink>
      <w:r>
        <w:rPr>
          <w:u w:val="none"/>
        </w:rPr>
        <w:t>’ (NIHRC, 2024).</w:t>
      </w:r>
    </w:p>
    <w:p>
      <w:pPr>
        <w:pStyle w:val="BodyText"/>
        <w:spacing w:line="225" w:lineRule="auto" w:before="278"/>
        <w:ind w:left="1133" w:right="1171"/>
      </w:pPr>
      <w:r>
        <w:rPr/>
        <w:t>NI</w:t>
      </w:r>
      <w:r>
        <w:rPr>
          <w:spacing w:val="-5"/>
        </w:rPr>
        <w:t> </w:t>
      </w:r>
      <w:r>
        <w:rPr/>
        <w:t>Human</w:t>
      </w:r>
      <w:r>
        <w:rPr>
          <w:spacing w:val="-6"/>
        </w:rPr>
        <w:t> </w:t>
      </w:r>
      <w:r>
        <w:rPr/>
        <w:t>Rights</w:t>
      </w:r>
      <w:r>
        <w:rPr>
          <w:spacing w:val="-6"/>
        </w:rPr>
        <w:t> </w:t>
      </w:r>
      <w:r>
        <w:rPr/>
        <w:t>Commission,</w:t>
      </w:r>
      <w:r>
        <w:rPr>
          <w:spacing w:val="-5"/>
        </w:rPr>
        <w:t> </w:t>
      </w:r>
      <w:r>
        <w:rPr/>
        <w:t>‘</w:t>
      </w:r>
      <w:hyperlink r:id="rId241">
        <w:r>
          <w:rPr>
            <w:color w:val="0562C1"/>
            <w:u w:val="single" w:color="0562C1"/>
          </w:rPr>
          <w:t>Response</w:t>
        </w:r>
        <w:r>
          <w:rPr>
            <w:color w:val="0562C1"/>
            <w:spacing w:val="-5"/>
            <w:u w:val="single" w:color="0562C1"/>
          </w:rPr>
          <w:t> </w:t>
        </w:r>
        <w:r>
          <w:rPr>
            <w:color w:val="0562C1"/>
            <w:u w:val="single" w:color="0562C1"/>
          </w:rPr>
          <w:t>to</w:t>
        </w:r>
        <w:r>
          <w:rPr>
            <w:color w:val="0562C1"/>
            <w:spacing w:val="-6"/>
            <w:u w:val="single" w:color="0562C1"/>
          </w:rPr>
          <w:t> </w:t>
        </w:r>
        <w:r>
          <w:rPr>
            <w:color w:val="0562C1"/>
            <w:u w:val="single" w:color="0562C1"/>
          </w:rPr>
          <w:t>the</w:t>
        </w:r>
        <w:r>
          <w:rPr>
            <w:color w:val="0562C1"/>
            <w:spacing w:val="-5"/>
            <w:u w:val="single" w:color="0562C1"/>
          </w:rPr>
          <w:t> </w:t>
        </w:r>
        <w:r>
          <w:rPr>
            <w:color w:val="0562C1"/>
            <w:u w:val="single" w:color="0562C1"/>
          </w:rPr>
          <w:t>Department</w:t>
        </w:r>
        <w:r>
          <w:rPr>
            <w:color w:val="0562C1"/>
            <w:spacing w:val="-5"/>
            <w:u w:val="single" w:color="0562C1"/>
          </w:rPr>
          <w:t> </w:t>
        </w:r>
        <w:r>
          <w:rPr>
            <w:color w:val="0562C1"/>
            <w:u w:val="single" w:color="0562C1"/>
          </w:rPr>
          <w:t>of</w:t>
        </w:r>
        <w:r>
          <w:rPr>
            <w:color w:val="0562C1"/>
            <w:spacing w:val="-6"/>
            <w:u w:val="single" w:color="0562C1"/>
          </w:rPr>
          <w:t> </w:t>
        </w:r>
        <w:r>
          <w:rPr>
            <w:color w:val="0562C1"/>
            <w:u w:val="single" w:color="0562C1"/>
          </w:rPr>
          <w:t>Finance</w:t>
        </w:r>
        <w:r>
          <w:rPr>
            <w:color w:val="0562C1"/>
            <w:spacing w:val="-5"/>
            <w:u w:val="single" w:color="0562C1"/>
          </w:rPr>
          <w:t> </w:t>
        </w:r>
        <w:r>
          <w:rPr>
            <w:color w:val="0562C1"/>
            <w:u w:val="single" w:color="0562C1"/>
          </w:rPr>
          <w:t>Consultation</w:t>
        </w:r>
      </w:hyperlink>
      <w:r>
        <w:rPr>
          <w:color w:val="0562C1"/>
          <w:u w:val="none"/>
        </w:rPr>
        <w:t> </w:t>
      </w:r>
      <w:hyperlink r:id="rId241">
        <w:r>
          <w:rPr>
            <w:color w:val="0562C1"/>
            <w:u w:val="single" w:color="0562C1"/>
          </w:rPr>
          <w:t>on the Review of Defamation Law in NI</w:t>
        </w:r>
      </w:hyperlink>
      <w:r>
        <w:rPr>
          <w:u w:val="none"/>
        </w:rPr>
        <w:t>’ (NIHRC, 2024).</w:t>
      </w:r>
    </w:p>
    <w:p>
      <w:pPr>
        <w:pStyle w:val="BodyText"/>
        <w:spacing w:line="225" w:lineRule="auto" w:before="277"/>
        <w:ind w:left="1133" w:right="1424"/>
        <w:jc w:val="both"/>
      </w:pPr>
      <w:r>
        <w:rPr/>
        <w:t>NI</w:t>
      </w:r>
      <w:r>
        <w:rPr>
          <w:spacing w:val="-5"/>
        </w:rPr>
        <w:t> </w:t>
      </w:r>
      <w:r>
        <w:rPr/>
        <w:t>Human</w:t>
      </w:r>
      <w:r>
        <w:rPr>
          <w:spacing w:val="-6"/>
        </w:rPr>
        <w:t> </w:t>
      </w:r>
      <w:r>
        <w:rPr/>
        <w:t>Rights</w:t>
      </w:r>
      <w:r>
        <w:rPr>
          <w:spacing w:val="-6"/>
        </w:rPr>
        <w:t> </w:t>
      </w:r>
      <w:r>
        <w:rPr/>
        <w:t>Commission,</w:t>
      </w:r>
      <w:r>
        <w:rPr>
          <w:spacing w:val="-5"/>
        </w:rPr>
        <w:t> </w:t>
      </w:r>
      <w:r>
        <w:rPr/>
        <w:t>‘</w:t>
      </w:r>
      <w:hyperlink r:id="rId242">
        <w:r>
          <w:rPr>
            <w:color w:val="0562C1"/>
            <w:u w:val="single" w:color="0562C1"/>
          </w:rPr>
          <w:t>Submission</w:t>
        </w:r>
        <w:r>
          <w:rPr>
            <w:color w:val="0562C1"/>
            <w:spacing w:val="-6"/>
            <w:u w:val="single" w:color="0562C1"/>
          </w:rPr>
          <w:t> </w:t>
        </w:r>
        <w:r>
          <w:rPr>
            <w:color w:val="0562C1"/>
            <w:u w:val="single" w:color="0562C1"/>
          </w:rPr>
          <w:t>to</w:t>
        </w:r>
        <w:r>
          <w:rPr>
            <w:color w:val="0562C1"/>
            <w:spacing w:val="-6"/>
            <w:u w:val="single" w:color="0562C1"/>
          </w:rPr>
          <w:t> </w:t>
        </w:r>
        <w:r>
          <w:rPr>
            <w:color w:val="0562C1"/>
            <w:u w:val="single" w:color="0562C1"/>
          </w:rPr>
          <w:t>the</w:t>
        </w:r>
        <w:r>
          <w:rPr>
            <w:color w:val="0562C1"/>
            <w:spacing w:val="-5"/>
            <w:u w:val="single" w:color="0562C1"/>
          </w:rPr>
          <w:t> </w:t>
        </w:r>
        <w:r>
          <w:rPr>
            <w:color w:val="0562C1"/>
            <w:u w:val="single" w:color="0562C1"/>
          </w:rPr>
          <w:t>UN</w:t>
        </w:r>
        <w:r>
          <w:rPr>
            <w:color w:val="0562C1"/>
            <w:spacing w:val="-5"/>
            <w:u w:val="single" w:color="0562C1"/>
          </w:rPr>
          <w:t> </w:t>
        </w:r>
        <w:r>
          <w:rPr>
            <w:color w:val="0562C1"/>
            <w:u w:val="single" w:color="0562C1"/>
          </w:rPr>
          <w:t>Human</w:t>
        </w:r>
        <w:r>
          <w:rPr>
            <w:color w:val="0562C1"/>
            <w:spacing w:val="-6"/>
            <w:u w:val="single" w:color="0562C1"/>
          </w:rPr>
          <w:t> </w:t>
        </w:r>
        <w:r>
          <w:rPr>
            <w:color w:val="0562C1"/>
            <w:u w:val="single" w:color="0562C1"/>
          </w:rPr>
          <w:t>Rights</w:t>
        </w:r>
        <w:r>
          <w:rPr>
            <w:color w:val="0562C1"/>
            <w:spacing w:val="-6"/>
            <w:u w:val="single" w:color="0562C1"/>
          </w:rPr>
          <w:t> </w:t>
        </w:r>
        <w:r>
          <w:rPr>
            <w:color w:val="0562C1"/>
            <w:u w:val="single" w:color="0562C1"/>
          </w:rPr>
          <w:t>Committee</w:t>
        </w:r>
        <w:r>
          <w:rPr>
            <w:color w:val="0562C1"/>
            <w:spacing w:val="-5"/>
            <w:u w:val="single" w:color="0562C1"/>
          </w:rPr>
          <w:t> </w:t>
        </w:r>
        <w:r>
          <w:rPr>
            <w:color w:val="0562C1"/>
            <w:u w:val="single" w:color="0562C1"/>
          </w:rPr>
          <w:t>on</w:t>
        </w:r>
      </w:hyperlink>
      <w:r>
        <w:rPr>
          <w:color w:val="0562C1"/>
          <w:u w:val="none"/>
        </w:rPr>
        <w:t> </w:t>
      </w:r>
      <w:hyperlink r:id="rId242">
        <w:r>
          <w:rPr>
            <w:color w:val="0562C1"/>
            <w:u w:val="single" w:color="0562C1"/>
          </w:rPr>
          <w:t>the</w:t>
        </w:r>
        <w:r>
          <w:rPr>
            <w:color w:val="0562C1"/>
            <w:spacing w:val="-8"/>
            <w:u w:val="single" w:color="0562C1"/>
          </w:rPr>
          <w:t> </w:t>
        </w:r>
        <w:r>
          <w:rPr>
            <w:color w:val="0562C1"/>
            <w:u w:val="single" w:color="0562C1"/>
          </w:rPr>
          <w:t>United</w:t>
        </w:r>
        <w:r>
          <w:rPr>
            <w:color w:val="0562C1"/>
            <w:spacing w:val="-9"/>
            <w:u w:val="single" w:color="0562C1"/>
          </w:rPr>
          <w:t> </w:t>
        </w:r>
        <w:r>
          <w:rPr>
            <w:color w:val="0562C1"/>
            <w:u w:val="single" w:color="0562C1"/>
          </w:rPr>
          <w:t>Kingdom’s</w:t>
        </w:r>
        <w:r>
          <w:rPr>
            <w:color w:val="0562C1"/>
            <w:spacing w:val="-9"/>
            <w:u w:val="single" w:color="0562C1"/>
          </w:rPr>
          <w:t> </w:t>
        </w:r>
        <w:r>
          <w:rPr>
            <w:color w:val="0562C1"/>
            <w:u w:val="single" w:color="0562C1"/>
          </w:rPr>
          <w:t>Eighth</w:t>
        </w:r>
        <w:r>
          <w:rPr>
            <w:color w:val="0562C1"/>
            <w:spacing w:val="-9"/>
            <w:u w:val="single" w:color="0562C1"/>
          </w:rPr>
          <w:t> </w:t>
        </w:r>
        <w:r>
          <w:rPr>
            <w:color w:val="0562C1"/>
            <w:u w:val="single" w:color="0562C1"/>
          </w:rPr>
          <w:t>Periodic</w:t>
        </w:r>
        <w:r>
          <w:rPr>
            <w:color w:val="0562C1"/>
            <w:spacing w:val="-8"/>
            <w:u w:val="single" w:color="0562C1"/>
          </w:rPr>
          <w:t> </w:t>
        </w:r>
        <w:r>
          <w:rPr>
            <w:color w:val="0562C1"/>
            <w:u w:val="single" w:color="0562C1"/>
          </w:rPr>
          <w:t>Report</w:t>
        </w:r>
        <w:r>
          <w:rPr>
            <w:color w:val="0562C1"/>
            <w:spacing w:val="-8"/>
            <w:u w:val="single" w:color="0562C1"/>
          </w:rPr>
          <w:t> </w:t>
        </w:r>
        <w:r>
          <w:rPr>
            <w:color w:val="0562C1"/>
            <w:u w:val="single" w:color="0562C1"/>
          </w:rPr>
          <w:t>on</w:t>
        </w:r>
        <w:r>
          <w:rPr>
            <w:color w:val="0562C1"/>
            <w:spacing w:val="-9"/>
            <w:u w:val="single" w:color="0562C1"/>
          </w:rPr>
          <w:t> </w:t>
        </w:r>
        <w:r>
          <w:rPr>
            <w:color w:val="0562C1"/>
            <w:u w:val="single" w:color="0562C1"/>
          </w:rPr>
          <w:t>Compliance</w:t>
        </w:r>
        <w:r>
          <w:rPr>
            <w:color w:val="0562C1"/>
            <w:spacing w:val="-8"/>
            <w:u w:val="single" w:color="0562C1"/>
          </w:rPr>
          <w:t> </w:t>
        </w:r>
        <w:r>
          <w:rPr>
            <w:color w:val="0562C1"/>
            <w:u w:val="single" w:color="0562C1"/>
          </w:rPr>
          <w:t>with</w:t>
        </w:r>
        <w:r>
          <w:rPr>
            <w:color w:val="0562C1"/>
            <w:spacing w:val="-9"/>
            <w:u w:val="single" w:color="0562C1"/>
          </w:rPr>
          <w:t> </w:t>
        </w:r>
        <w:r>
          <w:rPr>
            <w:color w:val="0562C1"/>
            <w:u w:val="single" w:color="0562C1"/>
          </w:rPr>
          <w:t>the</w:t>
        </w:r>
        <w:r>
          <w:rPr>
            <w:color w:val="0562C1"/>
            <w:spacing w:val="-8"/>
            <w:u w:val="single" w:color="0562C1"/>
          </w:rPr>
          <w:t> </w:t>
        </w:r>
        <w:r>
          <w:rPr>
            <w:color w:val="0562C1"/>
            <w:u w:val="single" w:color="0562C1"/>
          </w:rPr>
          <w:t>International</w:t>
        </w:r>
      </w:hyperlink>
      <w:r>
        <w:rPr>
          <w:color w:val="0562C1"/>
          <w:u w:val="none"/>
        </w:rPr>
        <w:t> </w:t>
      </w:r>
      <w:hyperlink r:id="rId242">
        <w:r>
          <w:rPr>
            <w:color w:val="0562C1"/>
            <w:u w:val="single" w:color="0562C1"/>
          </w:rPr>
          <w:t>Covenant on Civil and Political Rights</w:t>
        </w:r>
      </w:hyperlink>
      <w:r>
        <w:rPr>
          <w:u w:val="none"/>
        </w:rPr>
        <w:t>’ (NIHRC, 2024).</w:t>
      </w:r>
    </w:p>
    <w:p>
      <w:pPr>
        <w:pStyle w:val="BodyText"/>
        <w:spacing w:line="225" w:lineRule="auto" w:before="276"/>
        <w:ind w:left="1133" w:right="1124"/>
      </w:pPr>
      <w:r>
        <w:rPr/>
        <w:t>NI</w:t>
      </w:r>
      <w:r>
        <w:rPr>
          <w:spacing w:val="-4"/>
        </w:rPr>
        <w:t> </w:t>
      </w:r>
      <w:r>
        <w:rPr/>
        <w:t>Human</w:t>
      </w:r>
      <w:r>
        <w:rPr>
          <w:spacing w:val="-5"/>
        </w:rPr>
        <w:t> </w:t>
      </w:r>
      <w:r>
        <w:rPr/>
        <w:t>Rights</w:t>
      </w:r>
      <w:r>
        <w:rPr>
          <w:spacing w:val="-5"/>
        </w:rPr>
        <w:t> </w:t>
      </w:r>
      <w:r>
        <w:rPr/>
        <w:t>Commission,</w:t>
      </w:r>
      <w:r>
        <w:rPr>
          <w:spacing w:val="-4"/>
        </w:rPr>
        <w:t> </w:t>
      </w:r>
      <w:r>
        <w:rPr/>
        <w:t>‘</w:t>
      </w:r>
      <w:hyperlink r:id="rId243">
        <w:r>
          <w:rPr>
            <w:color w:val="0562C1"/>
            <w:u w:val="single" w:color="0562C1"/>
          </w:rPr>
          <w:t>Submission</w:t>
        </w:r>
        <w:r>
          <w:rPr>
            <w:color w:val="0562C1"/>
            <w:spacing w:val="-5"/>
            <w:u w:val="single" w:color="0562C1"/>
          </w:rPr>
          <w:t> </w:t>
        </w:r>
        <w:r>
          <w:rPr>
            <w:color w:val="0562C1"/>
            <w:u w:val="single" w:color="0562C1"/>
          </w:rPr>
          <w:t>to</w:t>
        </w:r>
        <w:r>
          <w:rPr>
            <w:color w:val="0562C1"/>
            <w:spacing w:val="-5"/>
            <w:u w:val="single" w:color="0562C1"/>
          </w:rPr>
          <w:t> </w:t>
        </w:r>
        <w:r>
          <w:rPr>
            <w:color w:val="0562C1"/>
            <w:u w:val="single" w:color="0562C1"/>
          </w:rPr>
          <w:t>the</w:t>
        </w:r>
        <w:r>
          <w:rPr>
            <w:color w:val="0562C1"/>
            <w:spacing w:val="-4"/>
            <w:u w:val="single" w:color="0562C1"/>
          </w:rPr>
          <w:t> </w:t>
        </w:r>
        <w:r>
          <w:rPr>
            <w:color w:val="0562C1"/>
            <w:u w:val="single" w:color="0562C1"/>
          </w:rPr>
          <w:t>UN</w:t>
        </w:r>
        <w:r>
          <w:rPr>
            <w:color w:val="0562C1"/>
            <w:spacing w:val="-4"/>
            <w:u w:val="single" w:color="0562C1"/>
          </w:rPr>
          <w:t> </w:t>
        </w:r>
        <w:r>
          <w:rPr>
            <w:color w:val="0562C1"/>
            <w:u w:val="single" w:color="0562C1"/>
          </w:rPr>
          <w:t>Special</w:t>
        </w:r>
        <w:r>
          <w:rPr>
            <w:color w:val="0562C1"/>
            <w:spacing w:val="-5"/>
            <w:u w:val="single" w:color="0562C1"/>
          </w:rPr>
          <w:t> </w:t>
        </w:r>
        <w:r>
          <w:rPr>
            <w:color w:val="0562C1"/>
            <w:u w:val="single" w:color="0562C1"/>
          </w:rPr>
          <w:t>Rapporteur</w:t>
        </w:r>
        <w:r>
          <w:rPr>
            <w:color w:val="0562C1"/>
            <w:spacing w:val="-4"/>
            <w:u w:val="single" w:color="0562C1"/>
          </w:rPr>
          <w:t> </w:t>
        </w:r>
        <w:r>
          <w:rPr>
            <w:color w:val="0562C1"/>
            <w:u w:val="single" w:color="0562C1"/>
          </w:rPr>
          <w:t>on</w:t>
        </w:r>
        <w:r>
          <w:rPr>
            <w:color w:val="0562C1"/>
            <w:spacing w:val="-5"/>
            <w:u w:val="single" w:color="0562C1"/>
          </w:rPr>
          <w:t> </w:t>
        </w:r>
        <w:r>
          <w:rPr>
            <w:color w:val="0562C1"/>
            <w:u w:val="single" w:color="0562C1"/>
          </w:rPr>
          <w:t>Violence</w:t>
        </w:r>
      </w:hyperlink>
      <w:r>
        <w:rPr>
          <w:color w:val="0562C1"/>
          <w:u w:val="none"/>
        </w:rPr>
        <w:t> </w:t>
      </w:r>
      <w:hyperlink r:id="rId243">
        <w:r>
          <w:rPr>
            <w:color w:val="0562C1"/>
            <w:u w:val="single" w:color="0562C1"/>
          </w:rPr>
          <w:t>Against Women and Girls</w:t>
        </w:r>
      </w:hyperlink>
      <w:r>
        <w:rPr>
          <w:u w:val="none"/>
        </w:rPr>
        <w:t>’ (NIHRC, 2024).</w:t>
      </w:r>
    </w:p>
    <w:p>
      <w:pPr>
        <w:pStyle w:val="BodyText"/>
        <w:spacing w:line="225" w:lineRule="auto" w:before="278"/>
        <w:ind w:left="1133" w:right="1289"/>
        <w:jc w:val="both"/>
      </w:pPr>
      <w:r>
        <w:rPr/>
        <w:t>NI</w:t>
      </w:r>
      <w:r>
        <w:rPr>
          <w:spacing w:val="-8"/>
        </w:rPr>
        <w:t> </w:t>
      </w:r>
      <w:r>
        <w:rPr/>
        <w:t>Human</w:t>
      </w:r>
      <w:r>
        <w:rPr>
          <w:spacing w:val="-9"/>
        </w:rPr>
        <w:t> </w:t>
      </w:r>
      <w:r>
        <w:rPr/>
        <w:t>Rights</w:t>
      </w:r>
      <w:r>
        <w:rPr>
          <w:spacing w:val="-9"/>
        </w:rPr>
        <w:t> </w:t>
      </w:r>
      <w:r>
        <w:rPr/>
        <w:t>Commission,</w:t>
      </w:r>
      <w:r>
        <w:rPr>
          <w:spacing w:val="-8"/>
        </w:rPr>
        <w:t> </w:t>
      </w:r>
      <w:r>
        <w:rPr/>
        <w:t>‘</w:t>
      </w:r>
      <w:hyperlink r:id="rId244">
        <w:r>
          <w:rPr>
            <w:color w:val="0562C1"/>
            <w:u w:val="single" w:color="0562C1"/>
          </w:rPr>
          <w:t>Submission</w:t>
        </w:r>
        <w:r>
          <w:rPr>
            <w:color w:val="0562C1"/>
            <w:spacing w:val="-9"/>
            <w:u w:val="single" w:color="0562C1"/>
          </w:rPr>
          <w:t> </w:t>
        </w:r>
        <w:r>
          <w:rPr>
            <w:color w:val="0562C1"/>
            <w:u w:val="single" w:color="0562C1"/>
          </w:rPr>
          <w:t>to</w:t>
        </w:r>
        <w:r>
          <w:rPr>
            <w:color w:val="0562C1"/>
            <w:spacing w:val="-9"/>
            <w:u w:val="single" w:color="0562C1"/>
          </w:rPr>
          <w:t> </w:t>
        </w:r>
        <w:r>
          <w:rPr>
            <w:color w:val="0562C1"/>
            <w:u w:val="single" w:color="0562C1"/>
          </w:rPr>
          <w:t>the</w:t>
        </w:r>
        <w:r>
          <w:rPr>
            <w:color w:val="0562C1"/>
            <w:spacing w:val="-8"/>
            <w:u w:val="single" w:color="0562C1"/>
          </w:rPr>
          <w:t> </w:t>
        </w:r>
        <w:r>
          <w:rPr>
            <w:color w:val="0562C1"/>
            <w:u w:val="single" w:color="0562C1"/>
          </w:rPr>
          <w:t>Executive</w:t>
        </w:r>
        <w:r>
          <w:rPr>
            <w:color w:val="0562C1"/>
            <w:spacing w:val="-8"/>
            <w:u w:val="single" w:color="0562C1"/>
          </w:rPr>
          <w:t> </w:t>
        </w:r>
        <w:r>
          <w:rPr>
            <w:color w:val="0562C1"/>
            <w:u w:val="single" w:color="0562C1"/>
          </w:rPr>
          <w:t>Office’s</w:t>
        </w:r>
        <w:r>
          <w:rPr>
            <w:color w:val="0562C1"/>
            <w:spacing w:val="-9"/>
            <w:u w:val="single" w:color="0562C1"/>
          </w:rPr>
          <w:t> </w:t>
        </w:r>
        <w:r>
          <w:rPr>
            <w:color w:val="0562C1"/>
            <w:u w:val="single" w:color="0562C1"/>
          </w:rPr>
          <w:t>Consultation</w:t>
        </w:r>
        <w:r>
          <w:rPr>
            <w:color w:val="0562C1"/>
            <w:spacing w:val="-9"/>
            <w:u w:val="single" w:color="0562C1"/>
          </w:rPr>
          <w:t> </w:t>
        </w:r>
        <w:r>
          <w:rPr>
            <w:color w:val="0562C1"/>
            <w:u w:val="single" w:color="0562C1"/>
          </w:rPr>
          <w:t>on</w:t>
        </w:r>
      </w:hyperlink>
      <w:r>
        <w:rPr>
          <w:color w:val="0562C1"/>
          <w:u w:val="none"/>
        </w:rPr>
        <w:t> </w:t>
      </w:r>
      <w:hyperlink r:id="rId244">
        <w:r>
          <w:rPr>
            <w:color w:val="0562C1"/>
            <w:u w:val="single" w:color="0562C1"/>
          </w:rPr>
          <w:t>the New Strategy for Victims and Survivors</w:t>
        </w:r>
      </w:hyperlink>
      <w:r>
        <w:rPr>
          <w:u w:val="none"/>
        </w:rPr>
        <w:t>’ (NIHRC, 2024).</w:t>
      </w:r>
    </w:p>
    <w:p>
      <w:pPr>
        <w:pStyle w:val="Heading5"/>
        <w:spacing w:before="301"/>
        <w:ind w:left="1133" w:firstLine="0"/>
        <w:jc w:val="both"/>
      </w:pPr>
      <w:bookmarkStart w:name="ECNI Submissions" w:id="152"/>
      <w:bookmarkEnd w:id="152"/>
      <w:r>
        <w:rPr>
          <w:b w:val="0"/>
        </w:rPr>
      </w:r>
      <w:r>
        <w:rPr>
          <w:color w:val="393B7F"/>
        </w:rPr>
        <w:t>ECNI</w:t>
      </w:r>
      <w:r>
        <w:rPr>
          <w:color w:val="393B7F"/>
          <w:spacing w:val="-5"/>
        </w:rPr>
        <w:t> </w:t>
      </w:r>
      <w:r>
        <w:rPr>
          <w:color w:val="393B7F"/>
          <w:spacing w:val="-2"/>
        </w:rPr>
        <w:t>Submissions</w:t>
      </w:r>
    </w:p>
    <w:p>
      <w:pPr>
        <w:pStyle w:val="BodyText"/>
        <w:spacing w:line="225" w:lineRule="auto" w:before="330"/>
        <w:ind w:left="1133" w:right="1301"/>
      </w:pPr>
      <w:r>
        <w:rPr/>
        <w:t>Equality</w:t>
      </w:r>
      <w:r>
        <w:rPr>
          <w:spacing w:val="-4"/>
        </w:rPr>
        <w:t> </w:t>
      </w:r>
      <w:r>
        <w:rPr/>
        <w:t>Commission</w:t>
      </w:r>
      <w:r>
        <w:rPr>
          <w:spacing w:val="-5"/>
        </w:rPr>
        <w:t> </w:t>
      </w:r>
      <w:r>
        <w:rPr/>
        <w:t>for</w:t>
      </w:r>
      <w:r>
        <w:rPr>
          <w:spacing w:val="-4"/>
        </w:rPr>
        <w:t> </w:t>
      </w:r>
      <w:r>
        <w:rPr/>
        <w:t>NI,</w:t>
      </w:r>
      <w:r>
        <w:rPr>
          <w:spacing w:val="-4"/>
        </w:rPr>
        <w:t> </w:t>
      </w:r>
      <w:r>
        <w:rPr/>
        <w:t>‘</w:t>
      </w:r>
      <w:hyperlink r:id="rId70">
        <w:r>
          <w:rPr>
            <w:color w:val="0562C1"/>
            <w:u w:val="single" w:color="0562C1"/>
          </w:rPr>
          <w:t>Submission</w:t>
        </w:r>
        <w:r>
          <w:rPr>
            <w:color w:val="0562C1"/>
            <w:spacing w:val="-5"/>
            <w:u w:val="single" w:color="0562C1"/>
          </w:rPr>
          <w:t> </w:t>
        </w:r>
        <w:r>
          <w:rPr>
            <w:color w:val="0562C1"/>
            <w:u w:val="single" w:color="0562C1"/>
          </w:rPr>
          <w:t>of</w:t>
        </w:r>
        <w:r>
          <w:rPr>
            <w:color w:val="0562C1"/>
            <w:spacing w:val="-5"/>
            <w:u w:val="single" w:color="0562C1"/>
          </w:rPr>
          <w:t> </w:t>
        </w:r>
        <w:r>
          <w:rPr>
            <w:color w:val="0562C1"/>
            <w:u w:val="single" w:color="0562C1"/>
          </w:rPr>
          <w:t>the</w:t>
        </w:r>
        <w:r>
          <w:rPr>
            <w:color w:val="0562C1"/>
            <w:spacing w:val="-4"/>
            <w:u w:val="single" w:color="0562C1"/>
          </w:rPr>
          <w:t> </w:t>
        </w:r>
        <w:r>
          <w:rPr>
            <w:color w:val="0562C1"/>
            <w:u w:val="single" w:color="0562C1"/>
          </w:rPr>
          <w:t>NIHRC</w:t>
        </w:r>
        <w:r>
          <w:rPr>
            <w:color w:val="0562C1"/>
            <w:spacing w:val="-5"/>
            <w:u w:val="single" w:color="0562C1"/>
          </w:rPr>
          <w:t> </w:t>
        </w:r>
        <w:r>
          <w:rPr>
            <w:color w:val="0562C1"/>
            <w:u w:val="single" w:color="0562C1"/>
          </w:rPr>
          <w:t>and</w:t>
        </w:r>
        <w:r>
          <w:rPr>
            <w:color w:val="0562C1"/>
            <w:spacing w:val="-5"/>
            <w:u w:val="single" w:color="0562C1"/>
          </w:rPr>
          <w:t> </w:t>
        </w:r>
        <w:r>
          <w:rPr>
            <w:color w:val="0562C1"/>
            <w:u w:val="single" w:color="0562C1"/>
          </w:rPr>
          <w:t>ECNI</w:t>
        </w:r>
        <w:r>
          <w:rPr>
            <w:color w:val="0562C1"/>
            <w:spacing w:val="-4"/>
            <w:u w:val="single" w:color="0562C1"/>
          </w:rPr>
          <w:t> </w:t>
        </w:r>
        <w:r>
          <w:rPr>
            <w:color w:val="0562C1"/>
            <w:u w:val="single" w:color="0562C1"/>
          </w:rPr>
          <w:t>to</w:t>
        </w:r>
        <w:r>
          <w:rPr>
            <w:color w:val="0562C1"/>
            <w:spacing w:val="-5"/>
            <w:u w:val="single" w:color="0562C1"/>
          </w:rPr>
          <w:t> </w:t>
        </w:r>
        <w:r>
          <w:rPr>
            <w:color w:val="0562C1"/>
            <w:u w:val="single" w:color="0562C1"/>
          </w:rPr>
          <w:t>the</w:t>
        </w:r>
        <w:r>
          <w:rPr>
            <w:color w:val="0562C1"/>
            <w:spacing w:val="-4"/>
            <w:u w:val="single" w:color="0562C1"/>
          </w:rPr>
          <w:t> </w:t>
        </w:r>
        <w:r>
          <w:rPr>
            <w:color w:val="0562C1"/>
            <w:u w:val="single" w:color="0562C1"/>
          </w:rPr>
          <w:t>House</w:t>
        </w:r>
        <w:r>
          <w:rPr>
            <w:color w:val="0562C1"/>
            <w:spacing w:val="-4"/>
            <w:u w:val="single" w:color="0562C1"/>
          </w:rPr>
          <w:t> </w:t>
        </w:r>
        <w:r>
          <w:rPr>
            <w:color w:val="0562C1"/>
            <w:u w:val="single" w:color="0562C1"/>
          </w:rPr>
          <w:t>of</w:t>
        </w:r>
        <w:r>
          <w:rPr>
            <w:color w:val="0562C1"/>
            <w:spacing w:val="-5"/>
            <w:u w:val="single" w:color="0562C1"/>
          </w:rPr>
          <w:t> </w:t>
        </w:r>
      </w:hyperlink>
      <w:r>
        <w:rPr>
          <w:color w:val="0562C1"/>
          <w:spacing w:val="-5"/>
          <w:u w:val="none"/>
        </w:rPr>
        <w:t> </w:t>
      </w:r>
      <w:hyperlink r:id="rId70">
        <w:r>
          <w:rPr>
            <w:color w:val="0562C1"/>
            <w:u w:val="single" w:color="0562C1"/>
          </w:rPr>
          <w:t>Lords Sub-Committee on the Protocol’s call for evidence for its inquiry on the</w:t>
        </w:r>
      </w:hyperlink>
      <w:r>
        <w:rPr>
          <w:color w:val="0562C1"/>
          <w:u w:val="none"/>
        </w:rPr>
        <w:t> </w:t>
      </w:r>
      <w:hyperlink r:id="rId70">
        <w:r>
          <w:rPr>
            <w:color w:val="0562C1"/>
            <w:u w:val="single" w:color="0562C1"/>
          </w:rPr>
          <w:t>Windsor Framework</w:t>
        </w:r>
      </w:hyperlink>
      <w:r>
        <w:rPr>
          <w:u w:val="none"/>
        </w:rPr>
        <w:t>’ (ECNI 2023).</w:t>
      </w:r>
    </w:p>
    <w:p>
      <w:pPr>
        <w:pStyle w:val="BodyText"/>
        <w:spacing w:line="225" w:lineRule="auto" w:before="277"/>
        <w:ind w:left="1133" w:right="1301"/>
      </w:pPr>
      <w:r>
        <w:rPr/>
        <w:t>Equality</w:t>
      </w:r>
      <w:r>
        <w:rPr>
          <w:spacing w:val="-7"/>
        </w:rPr>
        <w:t> </w:t>
      </w:r>
      <w:r>
        <w:rPr/>
        <w:t>Commission</w:t>
      </w:r>
      <w:r>
        <w:rPr>
          <w:spacing w:val="-8"/>
        </w:rPr>
        <w:t> </w:t>
      </w:r>
      <w:r>
        <w:rPr/>
        <w:t>for</w:t>
      </w:r>
      <w:r>
        <w:rPr>
          <w:spacing w:val="-7"/>
        </w:rPr>
        <w:t> </w:t>
      </w:r>
      <w:r>
        <w:rPr/>
        <w:t>NI,</w:t>
      </w:r>
      <w:r>
        <w:rPr>
          <w:spacing w:val="-7"/>
        </w:rPr>
        <w:t> </w:t>
      </w:r>
      <w:r>
        <w:rPr/>
        <w:t>‘</w:t>
      </w:r>
      <w:hyperlink r:id="rId245">
        <w:r>
          <w:rPr>
            <w:color w:val="0562C1"/>
            <w:u w:val="single" w:color="0562C1"/>
          </w:rPr>
          <w:t>Consultation</w:t>
        </w:r>
        <w:r>
          <w:rPr>
            <w:color w:val="0562C1"/>
            <w:spacing w:val="-8"/>
            <w:u w:val="single" w:color="0562C1"/>
          </w:rPr>
          <w:t> </w:t>
        </w:r>
        <w:r>
          <w:rPr>
            <w:color w:val="0562C1"/>
            <w:u w:val="single" w:color="0562C1"/>
          </w:rPr>
          <w:t>Response</w:t>
        </w:r>
        <w:r>
          <w:rPr>
            <w:color w:val="0562C1"/>
            <w:spacing w:val="-7"/>
            <w:u w:val="single" w:color="0562C1"/>
          </w:rPr>
          <w:t> </w:t>
        </w:r>
        <w:r>
          <w:rPr>
            <w:color w:val="0562C1"/>
            <w:u w:val="single" w:color="0562C1"/>
          </w:rPr>
          <w:t>to</w:t>
        </w:r>
        <w:r>
          <w:rPr>
            <w:color w:val="0562C1"/>
            <w:spacing w:val="-8"/>
            <w:u w:val="single" w:color="0562C1"/>
          </w:rPr>
          <w:t> </w:t>
        </w:r>
        <w:r>
          <w:rPr>
            <w:color w:val="0562C1"/>
            <w:u w:val="single" w:color="0562C1"/>
          </w:rPr>
          <w:t>the</w:t>
        </w:r>
        <w:r>
          <w:rPr>
            <w:color w:val="0562C1"/>
            <w:spacing w:val="-7"/>
            <w:u w:val="single" w:color="0562C1"/>
          </w:rPr>
          <w:t> </w:t>
        </w:r>
        <w:r>
          <w:rPr>
            <w:color w:val="0562C1"/>
            <w:u w:val="single" w:color="0562C1"/>
          </w:rPr>
          <w:t>domestic</w:t>
        </w:r>
        <w:r>
          <w:rPr>
            <w:color w:val="0562C1"/>
            <w:spacing w:val="-7"/>
            <w:u w:val="single" w:color="0562C1"/>
          </w:rPr>
          <w:t> </w:t>
        </w:r>
        <w:r>
          <w:rPr>
            <w:color w:val="0562C1"/>
            <w:u w:val="single" w:color="0562C1"/>
          </w:rPr>
          <w:t>and</w:t>
        </w:r>
        <w:r>
          <w:rPr>
            <w:color w:val="0562C1"/>
            <w:spacing w:val="-8"/>
            <w:u w:val="single" w:color="0562C1"/>
          </w:rPr>
          <w:t> </w:t>
        </w:r>
        <w:r>
          <w:rPr>
            <w:color w:val="0562C1"/>
            <w:u w:val="single" w:color="0562C1"/>
          </w:rPr>
          <w:t>sexual</w:t>
        </w:r>
      </w:hyperlink>
      <w:r>
        <w:rPr>
          <w:color w:val="0562C1"/>
          <w:u w:val="none"/>
        </w:rPr>
        <w:t> </w:t>
      </w:r>
      <w:hyperlink r:id="rId245">
        <w:r>
          <w:rPr>
            <w:color w:val="0562C1"/>
            <w:u w:val="single" w:color="0562C1"/>
          </w:rPr>
          <w:t>abuse draf t strategy</w:t>
        </w:r>
      </w:hyperlink>
      <w:r>
        <w:rPr>
          <w:u w:val="none"/>
        </w:rPr>
        <w:t>’ (ECNI, 2023).</w:t>
      </w:r>
    </w:p>
    <w:p>
      <w:pPr>
        <w:pStyle w:val="BodyText"/>
        <w:spacing w:line="225" w:lineRule="auto" w:before="277"/>
        <w:ind w:left="1133" w:right="1301"/>
      </w:pPr>
      <w:r>
        <w:rPr/>
        <w:t>Equality</w:t>
      </w:r>
      <w:r>
        <w:rPr>
          <w:spacing w:val="-4"/>
        </w:rPr>
        <w:t> </w:t>
      </w:r>
      <w:r>
        <w:rPr/>
        <w:t>Commission</w:t>
      </w:r>
      <w:r>
        <w:rPr>
          <w:spacing w:val="-5"/>
        </w:rPr>
        <w:t> </w:t>
      </w:r>
      <w:r>
        <w:rPr/>
        <w:t>for</w:t>
      </w:r>
      <w:r>
        <w:rPr>
          <w:spacing w:val="-4"/>
        </w:rPr>
        <w:t> </w:t>
      </w:r>
      <w:r>
        <w:rPr/>
        <w:t>NI,</w:t>
      </w:r>
      <w:r>
        <w:rPr>
          <w:spacing w:val="-6"/>
        </w:rPr>
        <w:t> </w:t>
      </w:r>
      <w:hyperlink r:id="rId149">
        <w:r>
          <w:rPr>
            <w:color w:val="0562C1"/>
            <w:u w:val="single" w:color="0562C1"/>
          </w:rPr>
          <w:t>Submission</w:t>
        </w:r>
        <w:r>
          <w:rPr>
            <w:color w:val="0562C1"/>
            <w:spacing w:val="-5"/>
            <w:u w:val="single" w:color="0562C1"/>
          </w:rPr>
          <w:t> </w:t>
        </w:r>
        <w:r>
          <w:rPr>
            <w:color w:val="0562C1"/>
            <w:u w:val="single" w:color="0562C1"/>
          </w:rPr>
          <w:t>to</w:t>
        </w:r>
        <w:r>
          <w:rPr>
            <w:color w:val="0562C1"/>
            <w:spacing w:val="-5"/>
            <w:u w:val="single" w:color="0562C1"/>
          </w:rPr>
          <w:t> </w:t>
        </w:r>
        <w:r>
          <w:rPr>
            <w:color w:val="0562C1"/>
            <w:u w:val="single" w:color="0562C1"/>
          </w:rPr>
          <w:t>the</w:t>
        </w:r>
        <w:r>
          <w:rPr>
            <w:color w:val="0562C1"/>
            <w:spacing w:val="-4"/>
            <w:u w:val="single" w:color="0562C1"/>
          </w:rPr>
          <w:t> </w:t>
        </w:r>
        <w:r>
          <w:rPr>
            <w:color w:val="0562C1"/>
            <w:u w:val="single" w:color="0562C1"/>
          </w:rPr>
          <w:t>House</w:t>
        </w:r>
        <w:r>
          <w:rPr>
            <w:color w:val="0562C1"/>
            <w:spacing w:val="-4"/>
            <w:u w:val="single" w:color="0562C1"/>
          </w:rPr>
          <w:t> </w:t>
        </w:r>
        <w:r>
          <w:rPr>
            <w:color w:val="0562C1"/>
            <w:u w:val="single" w:color="0562C1"/>
          </w:rPr>
          <w:t>of</w:t>
        </w:r>
        <w:r>
          <w:rPr>
            <w:color w:val="0562C1"/>
            <w:spacing w:val="-5"/>
            <w:u w:val="single" w:color="0562C1"/>
          </w:rPr>
          <w:t> </w:t>
        </w:r>
        <w:r>
          <w:rPr>
            <w:color w:val="0562C1"/>
            <w:u w:val="single" w:color="0562C1"/>
          </w:rPr>
          <w:t>Lords</w:t>
        </w:r>
        <w:r>
          <w:rPr>
            <w:color w:val="0562C1"/>
            <w:spacing w:val="-5"/>
            <w:u w:val="single" w:color="0562C1"/>
          </w:rPr>
          <w:t> </w:t>
        </w:r>
        <w:r>
          <w:rPr>
            <w:color w:val="0562C1"/>
            <w:u w:val="single" w:color="0562C1"/>
          </w:rPr>
          <w:t>on</w:t>
        </w:r>
        <w:r>
          <w:rPr>
            <w:color w:val="0562C1"/>
            <w:spacing w:val="-5"/>
            <w:u w:val="single" w:color="0562C1"/>
          </w:rPr>
          <w:t> </w:t>
        </w:r>
        <w:r>
          <w:rPr>
            <w:color w:val="0562C1"/>
            <w:u w:val="single" w:color="0562C1"/>
          </w:rPr>
          <w:t>the</w:t>
        </w:r>
        <w:r>
          <w:rPr>
            <w:color w:val="0562C1"/>
            <w:spacing w:val="-4"/>
            <w:u w:val="single" w:color="0562C1"/>
          </w:rPr>
          <w:t> </w:t>
        </w:r>
        <w:r>
          <w:rPr>
            <w:color w:val="0562C1"/>
            <w:u w:val="single" w:color="0562C1"/>
          </w:rPr>
          <w:t>Illegal</w:t>
        </w:r>
      </w:hyperlink>
      <w:r>
        <w:rPr>
          <w:color w:val="0562C1"/>
          <w:u w:val="none"/>
        </w:rPr>
        <w:t> </w:t>
      </w:r>
      <w:hyperlink r:id="rId149">
        <w:r>
          <w:rPr>
            <w:color w:val="0562C1"/>
            <w:u w:val="single" w:color="0562C1"/>
          </w:rPr>
          <w:t>Migration Bill</w:t>
        </w:r>
      </w:hyperlink>
      <w:r>
        <w:rPr>
          <w:u w:val="none"/>
        </w:rPr>
        <w:t>’ (ECNI 2023).</w:t>
      </w:r>
    </w:p>
    <w:p>
      <w:pPr>
        <w:pStyle w:val="BodyText"/>
        <w:spacing w:line="225" w:lineRule="auto" w:before="277"/>
        <w:ind w:left="1133" w:right="1124"/>
      </w:pPr>
      <w:r>
        <w:rPr/>
        <w:t>Equality</w:t>
      </w:r>
      <w:r>
        <w:rPr>
          <w:spacing w:val="-7"/>
        </w:rPr>
        <w:t> </w:t>
      </w:r>
      <w:r>
        <w:rPr/>
        <w:t>Commission</w:t>
      </w:r>
      <w:r>
        <w:rPr>
          <w:spacing w:val="-8"/>
        </w:rPr>
        <w:t> </w:t>
      </w:r>
      <w:r>
        <w:rPr/>
        <w:t>for</w:t>
      </w:r>
      <w:r>
        <w:rPr>
          <w:spacing w:val="-7"/>
        </w:rPr>
        <w:t> </w:t>
      </w:r>
      <w:r>
        <w:rPr/>
        <w:t>NI,</w:t>
      </w:r>
      <w:r>
        <w:rPr>
          <w:spacing w:val="-7"/>
        </w:rPr>
        <w:t> </w:t>
      </w:r>
      <w:r>
        <w:rPr/>
        <w:t>‘</w:t>
      </w:r>
      <w:hyperlink r:id="rId246">
        <w:r>
          <w:rPr>
            <w:color w:val="0562C1"/>
            <w:u w:val="single" w:color="0562C1"/>
          </w:rPr>
          <w:t>Rights</w:t>
        </w:r>
        <w:r>
          <w:rPr>
            <w:color w:val="0562C1"/>
            <w:spacing w:val="-8"/>
            <w:u w:val="single" w:color="0562C1"/>
          </w:rPr>
          <w:t> </w:t>
        </w:r>
        <w:r>
          <w:rPr>
            <w:color w:val="0562C1"/>
            <w:u w:val="single" w:color="0562C1"/>
          </w:rPr>
          <w:t>after</w:t>
        </w:r>
        <w:r>
          <w:rPr>
            <w:color w:val="0562C1"/>
            <w:spacing w:val="-7"/>
            <w:u w:val="single" w:color="0562C1"/>
          </w:rPr>
          <w:t> </w:t>
        </w:r>
        <w:r>
          <w:rPr>
            <w:color w:val="0562C1"/>
            <w:u w:val="single" w:color="0562C1"/>
          </w:rPr>
          <w:t>Brexit</w:t>
        </w:r>
        <w:r>
          <w:rPr>
            <w:color w:val="0562C1"/>
            <w:spacing w:val="-7"/>
            <w:u w:val="single" w:color="0562C1"/>
          </w:rPr>
          <w:t> </w:t>
        </w:r>
        <w:r>
          <w:rPr>
            <w:color w:val="0562C1"/>
            <w:u w:val="single" w:color="0562C1"/>
          </w:rPr>
          <w:t>survey</w:t>
        </w:r>
        <w:r>
          <w:rPr>
            <w:color w:val="0562C1"/>
            <w:spacing w:val="-7"/>
            <w:u w:val="single" w:color="0562C1"/>
          </w:rPr>
          <w:t> </w:t>
        </w:r>
        <w:r>
          <w:rPr>
            <w:color w:val="0562C1"/>
            <w:u w:val="single" w:color="0562C1"/>
          </w:rPr>
          <w:t>2023:</w:t>
        </w:r>
        <w:r>
          <w:rPr>
            <w:color w:val="0562C1"/>
            <w:spacing w:val="-7"/>
            <w:u w:val="single" w:color="0562C1"/>
          </w:rPr>
          <w:t> </w:t>
        </w:r>
        <w:r>
          <w:rPr>
            <w:color w:val="0562C1"/>
            <w:u w:val="single" w:color="0562C1"/>
          </w:rPr>
          <w:t>Public</w:t>
        </w:r>
        <w:r>
          <w:rPr>
            <w:color w:val="0562C1"/>
            <w:spacing w:val="-7"/>
            <w:u w:val="single" w:color="0562C1"/>
          </w:rPr>
          <w:t> </w:t>
        </w:r>
        <w:r>
          <w:rPr>
            <w:color w:val="0562C1"/>
            <w:u w:val="single" w:color="0562C1"/>
          </w:rPr>
          <w:t>awareness</w:t>
        </w:r>
        <w:r>
          <w:rPr>
            <w:color w:val="0562C1"/>
            <w:spacing w:val="-8"/>
            <w:u w:val="single" w:color="0562C1"/>
          </w:rPr>
          <w:t> </w:t>
        </w:r>
        <w:r>
          <w:rPr>
            <w:color w:val="0562C1"/>
            <w:u w:val="single" w:color="0562C1"/>
          </w:rPr>
          <w:t>survey</w:t>
        </w:r>
      </w:hyperlink>
      <w:r>
        <w:rPr>
          <w:color w:val="0562C1"/>
          <w:u w:val="none"/>
        </w:rPr>
        <w:t> </w:t>
      </w:r>
      <w:hyperlink r:id="rId246">
        <w:r>
          <w:rPr>
            <w:color w:val="0562C1"/>
            <w:u w:val="single" w:color="0562C1"/>
          </w:rPr>
          <w:t>of equality and human rights protections in Northern Ireland after Brexit</w:t>
        </w:r>
      </w:hyperlink>
      <w:r>
        <w:rPr>
          <w:u w:val="none"/>
        </w:rPr>
        <w:t>’ (ECNI </w:t>
      </w:r>
      <w:r>
        <w:rPr>
          <w:spacing w:val="-2"/>
          <w:u w:val="none"/>
        </w:rPr>
        <w:t>2023).</w:t>
      </w:r>
    </w:p>
    <w:p>
      <w:pPr>
        <w:pStyle w:val="BodyText"/>
        <w:spacing w:line="225" w:lineRule="auto" w:before="277"/>
        <w:ind w:left="1133" w:right="1171"/>
      </w:pPr>
      <w:r>
        <w:rPr/>
        <w:t>Equality Commission for NI, ‘</w:t>
      </w:r>
      <w:hyperlink r:id="rId247">
        <w:r>
          <w:rPr>
            <w:color w:val="0562C1"/>
            <w:u w:val="single" w:color="0562C1"/>
          </w:rPr>
          <w:t>Consultation Response: The Executive Office</w:t>
        </w:r>
      </w:hyperlink>
      <w:r>
        <w:rPr>
          <w:color w:val="0562C1"/>
          <w:u w:val="none"/>
        </w:rPr>
        <w:t> </w:t>
      </w:r>
      <w:hyperlink r:id="rId247">
        <w:r>
          <w:rPr>
            <w:color w:val="0562C1"/>
            <w:u w:val="single" w:color="0562C1"/>
          </w:rPr>
          <w:t>Consultation</w:t>
        </w:r>
        <w:r>
          <w:rPr>
            <w:color w:val="0562C1"/>
            <w:spacing w:val="-6"/>
            <w:u w:val="single" w:color="0562C1"/>
          </w:rPr>
          <w:t> </w:t>
        </w:r>
        <w:r>
          <w:rPr>
            <w:color w:val="0562C1"/>
            <w:u w:val="single" w:color="0562C1"/>
          </w:rPr>
          <w:t>on</w:t>
        </w:r>
        <w:r>
          <w:rPr>
            <w:color w:val="0562C1"/>
            <w:spacing w:val="-6"/>
            <w:u w:val="single" w:color="0562C1"/>
          </w:rPr>
          <w:t> </w:t>
        </w:r>
        <w:r>
          <w:rPr>
            <w:color w:val="0562C1"/>
            <w:u w:val="single" w:color="0562C1"/>
          </w:rPr>
          <w:t>the</w:t>
        </w:r>
        <w:r>
          <w:rPr>
            <w:color w:val="0562C1"/>
            <w:spacing w:val="-6"/>
            <w:u w:val="single" w:color="0562C1"/>
          </w:rPr>
          <w:t> </w:t>
        </w:r>
        <w:r>
          <w:rPr>
            <w:color w:val="0562C1"/>
            <w:u w:val="single" w:color="0562C1"/>
          </w:rPr>
          <w:t>Review</w:t>
        </w:r>
        <w:r>
          <w:rPr>
            <w:color w:val="0562C1"/>
            <w:spacing w:val="-6"/>
            <w:u w:val="single" w:color="0562C1"/>
          </w:rPr>
          <w:t> </w:t>
        </w:r>
        <w:r>
          <w:rPr>
            <w:color w:val="0562C1"/>
            <w:u w:val="single" w:color="0562C1"/>
          </w:rPr>
          <w:t>of</w:t>
        </w:r>
        <w:r>
          <w:rPr>
            <w:color w:val="0562C1"/>
            <w:spacing w:val="-6"/>
            <w:u w:val="single" w:color="0562C1"/>
          </w:rPr>
          <w:t> </w:t>
        </w:r>
        <w:r>
          <w:rPr>
            <w:color w:val="0562C1"/>
            <w:u w:val="single" w:color="0562C1"/>
          </w:rPr>
          <w:t>the</w:t>
        </w:r>
        <w:r>
          <w:rPr>
            <w:color w:val="0562C1"/>
            <w:spacing w:val="-6"/>
            <w:u w:val="single" w:color="0562C1"/>
          </w:rPr>
          <w:t> </w:t>
        </w:r>
        <w:r>
          <w:rPr>
            <w:color w:val="0562C1"/>
            <w:u w:val="single" w:color="0562C1"/>
          </w:rPr>
          <w:t>Race</w:t>
        </w:r>
        <w:r>
          <w:rPr>
            <w:color w:val="0562C1"/>
            <w:spacing w:val="-6"/>
            <w:u w:val="single" w:color="0562C1"/>
          </w:rPr>
          <w:t> </w:t>
        </w:r>
        <w:r>
          <w:rPr>
            <w:color w:val="0562C1"/>
            <w:u w:val="single" w:color="0562C1"/>
          </w:rPr>
          <w:t>Relations</w:t>
        </w:r>
        <w:r>
          <w:rPr>
            <w:color w:val="0562C1"/>
            <w:spacing w:val="-6"/>
            <w:u w:val="single" w:color="0562C1"/>
          </w:rPr>
          <w:t> </w:t>
        </w:r>
        <w:r>
          <w:rPr>
            <w:color w:val="0562C1"/>
            <w:u w:val="single" w:color="0562C1"/>
          </w:rPr>
          <w:t>(NI)</w:t>
        </w:r>
        <w:r>
          <w:rPr>
            <w:color w:val="0562C1"/>
            <w:spacing w:val="-6"/>
            <w:u w:val="single" w:color="0562C1"/>
          </w:rPr>
          <w:t> </w:t>
        </w:r>
        <w:r>
          <w:rPr>
            <w:color w:val="0562C1"/>
            <w:u w:val="single" w:color="0562C1"/>
          </w:rPr>
          <w:t>Order</w:t>
        </w:r>
        <w:r>
          <w:rPr>
            <w:color w:val="0562C1"/>
            <w:spacing w:val="-6"/>
            <w:u w:val="single" w:color="0562C1"/>
          </w:rPr>
          <w:t> </w:t>
        </w:r>
        <w:r>
          <w:rPr>
            <w:color w:val="0562C1"/>
            <w:u w:val="single" w:color="0562C1"/>
          </w:rPr>
          <w:t>1997</w:t>
        </w:r>
      </w:hyperlink>
      <w:r>
        <w:rPr>
          <w:u w:val="none"/>
        </w:rPr>
        <w:t>’</w:t>
      </w:r>
      <w:r>
        <w:rPr>
          <w:spacing w:val="-6"/>
          <w:u w:val="none"/>
        </w:rPr>
        <w:t> </w:t>
      </w:r>
      <w:r>
        <w:rPr>
          <w:u w:val="none"/>
        </w:rPr>
        <w:t>(ECNI</w:t>
      </w:r>
      <w:r>
        <w:rPr>
          <w:spacing w:val="-6"/>
          <w:u w:val="none"/>
        </w:rPr>
        <w:t> </w:t>
      </w:r>
      <w:r>
        <w:rPr>
          <w:u w:val="none"/>
        </w:rPr>
        <w:t>2023).</w:t>
      </w:r>
    </w:p>
    <w:p>
      <w:pPr>
        <w:pStyle w:val="BodyText"/>
        <w:spacing w:line="225" w:lineRule="auto" w:before="277"/>
        <w:ind w:left="1133" w:right="1124"/>
      </w:pPr>
      <w:r>
        <w:rPr/>
        <w:t>Equality</w:t>
      </w:r>
      <w:r>
        <w:rPr>
          <w:spacing w:val="-9"/>
        </w:rPr>
        <w:t> </w:t>
      </w:r>
      <w:r>
        <w:rPr/>
        <w:t>Commission</w:t>
      </w:r>
      <w:r>
        <w:rPr>
          <w:spacing w:val="-10"/>
        </w:rPr>
        <w:t> </w:t>
      </w:r>
      <w:r>
        <w:rPr/>
        <w:t>for</w:t>
      </w:r>
      <w:r>
        <w:rPr>
          <w:spacing w:val="-9"/>
        </w:rPr>
        <w:t> </w:t>
      </w:r>
      <w:r>
        <w:rPr/>
        <w:t>NI,</w:t>
      </w:r>
      <w:r>
        <w:rPr>
          <w:spacing w:val="-9"/>
        </w:rPr>
        <w:t> </w:t>
      </w:r>
      <w:r>
        <w:rPr/>
        <w:t>‘</w:t>
      </w:r>
      <w:hyperlink r:id="rId151">
        <w:r>
          <w:rPr>
            <w:color w:val="0562C1"/>
            <w:u w:val="single" w:color="0562C1"/>
          </w:rPr>
          <w:t>Response</w:t>
        </w:r>
        <w:r>
          <w:rPr>
            <w:color w:val="0562C1"/>
            <w:spacing w:val="-9"/>
            <w:u w:val="single" w:color="0562C1"/>
          </w:rPr>
          <w:t> </w:t>
        </w:r>
        <w:r>
          <w:rPr>
            <w:color w:val="0562C1"/>
            <w:u w:val="single" w:color="0562C1"/>
          </w:rPr>
          <w:t>to</w:t>
        </w:r>
        <w:r>
          <w:rPr>
            <w:color w:val="0562C1"/>
            <w:spacing w:val="-10"/>
            <w:u w:val="single" w:color="0562C1"/>
          </w:rPr>
          <w:t> </w:t>
        </w:r>
        <w:r>
          <w:rPr>
            <w:color w:val="0562C1"/>
            <w:u w:val="single" w:color="0562C1"/>
          </w:rPr>
          <w:t>consultation:</w:t>
        </w:r>
        <w:r>
          <w:rPr>
            <w:color w:val="0562C1"/>
            <w:spacing w:val="-9"/>
            <w:u w:val="single" w:color="0562C1"/>
          </w:rPr>
          <w:t> </w:t>
        </w:r>
        <w:r>
          <w:rPr>
            <w:color w:val="0562C1"/>
            <w:u w:val="single" w:color="0562C1"/>
          </w:rPr>
          <w:t>The</w:t>
        </w:r>
        <w:r>
          <w:rPr>
            <w:color w:val="0562C1"/>
            <w:spacing w:val="-9"/>
            <w:u w:val="single" w:color="0562C1"/>
          </w:rPr>
          <w:t> </w:t>
        </w:r>
        <w:r>
          <w:rPr>
            <w:color w:val="0562C1"/>
            <w:u w:val="single" w:color="0562C1"/>
          </w:rPr>
          <w:t>Executive</w:t>
        </w:r>
        <w:r>
          <w:rPr>
            <w:color w:val="0562C1"/>
            <w:spacing w:val="-9"/>
            <w:u w:val="single" w:color="0562C1"/>
          </w:rPr>
          <w:t> </w:t>
        </w:r>
        <w:r>
          <w:rPr>
            <w:color w:val="0562C1"/>
            <w:u w:val="single" w:color="0562C1"/>
          </w:rPr>
          <w:t>Office</w:t>
        </w:r>
        <w:r>
          <w:rPr>
            <w:color w:val="0562C1"/>
            <w:spacing w:val="-9"/>
            <w:u w:val="single" w:color="0562C1"/>
          </w:rPr>
          <w:t> </w:t>
        </w:r>
        <w:r>
          <w:rPr>
            <w:color w:val="0562C1"/>
            <w:u w:val="single" w:color="0562C1"/>
          </w:rPr>
          <w:t>Strategic</w:t>
        </w:r>
      </w:hyperlink>
      <w:r>
        <w:rPr>
          <w:color w:val="0562C1"/>
          <w:u w:val="none"/>
        </w:rPr>
        <w:t> </w:t>
      </w:r>
      <w:hyperlink r:id="rId151">
        <w:r>
          <w:rPr>
            <w:color w:val="0562C1"/>
            <w:u w:val="single" w:color="0562C1"/>
          </w:rPr>
          <w:t>Framework to End Violence Against Women and Girls and Foundational Action Plan</w:t>
        </w:r>
      </w:hyperlink>
      <w:r>
        <w:rPr>
          <w:u w:val="none"/>
        </w:rPr>
        <w:t>’ (ECNI, 2023).</w:t>
      </w:r>
    </w:p>
    <w:p>
      <w:pPr>
        <w:pStyle w:val="BodyText"/>
        <w:spacing w:line="225" w:lineRule="auto" w:before="276"/>
        <w:ind w:left="1133" w:right="1171"/>
      </w:pPr>
      <w:r>
        <w:rPr/>
        <w:t>Equality</w:t>
      </w:r>
      <w:r>
        <w:rPr>
          <w:spacing w:val="-4"/>
        </w:rPr>
        <w:t> </w:t>
      </w:r>
      <w:r>
        <w:rPr/>
        <w:t>Commission</w:t>
      </w:r>
      <w:r>
        <w:rPr>
          <w:spacing w:val="-5"/>
        </w:rPr>
        <w:t> </w:t>
      </w:r>
      <w:r>
        <w:rPr/>
        <w:t>for</w:t>
      </w:r>
      <w:r>
        <w:rPr>
          <w:spacing w:val="-4"/>
        </w:rPr>
        <w:t> </w:t>
      </w:r>
      <w:r>
        <w:rPr/>
        <w:t>NI,</w:t>
      </w:r>
      <w:r>
        <w:rPr>
          <w:spacing w:val="-6"/>
        </w:rPr>
        <w:t> </w:t>
      </w:r>
      <w:hyperlink r:id="rId248">
        <w:r>
          <w:rPr>
            <w:color w:val="0562C1"/>
            <w:u w:val="single" w:color="0562C1"/>
          </w:rPr>
          <w:t>Submission</w:t>
        </w:r>
        <w:r>
          <w:rPr>
            <w:color w:val="0562C1"/>
            <w:spacing w:val="-5"/>
            <w:u w:val="single" w:color="0562C1"/>
          </w:rPr>
          <w:t> </w:t>
        </w:r>
        <w:r>
          <w:rPr>
            <w:color w:val="0562C1"/>
            <w:u w:val="single" w:color="0562C1"/>
          </w:rPr>
          <w:t>of</w:t>
        </w:r>
        <w:r>
          <w:rPr>
            <w:color w:val="0562C1"/>
            <w:spacing w:val="-5"/>
            <w:u w:val="single" w:color="0562C1"/>
          </w:rPr>
          <w:t> </w:t>
        </w:r>
        <w:r>
          <w:rPr>
            <w:color w:val="0562C1"/>
            <w:u w:val="single" w:color="0562C1"/>
          </w:rPr>
          <w:t>the</w:t>
        </w:r>
        <w:r>
          <w:rPr>
            <w:color w:val="0562C1"/>
            <w:spacing w:val="-4"/>
            <w:u w:val="single" w:color="0562C1"/>
          </w:rPr>
          <w:t> </w:t>
        </w:r>
        <w:r>
          <w:rPr>
            <w:color w:val="0562C1"/>
            <w:u w:val="single" w:color="0562C1"/>
          </w:rPr>
          <w:t>ECNI</w:t>
        </w:r>
        <w:r>
          <w:rPr>
            <w:color w:val="0562C1"/>
            <w:spacing w:val="-4"/>
            <w:u w:val="single" w:color="0562C1"/>
          </w:rPr>
          <w:t> </w:t>
        </w:r>
        <w:r>
          <w:rPr>
            <w:color w:val="0562C1"/>
            <w:u w:val="single" w:color="0562C1"/>
          </w:rPr>
          <w:t>to</w:t>
        </w:r>
        <w:r>
          <w:rPr>
            <w:color w:val="0562C1"/>
            <w:spacing w:val="-5"/>
            <w:u w:val="single" w:color="0562C1"/>
          </w:rPr>
          <w:t> </w:t>
        </w:r>
        <w:r>
          <w:rPr>
            <w:color w:val="0562C1"/>
            <w:u w:val="single" w:color="0562C1"/>
          </w:rPr>
          <w:t>the</w:t>
        </w:r>
        <w:r>
          <w:rPr>
            <w:color w:val="0562C1"/>
            <w:spacing w:val="-4"/>
            <w:u w:val="single" w:color="0562C1"/>
          </w:rPr>
          <w:t> </w:t>
        </w:r>
        <w:r>
          <w:rPr>
            <w:color w:val="0562C1"/>
            <w:u w:val="single" w:color="0562C1"/>
          </w:rPr>
          <w:t>House</w:t>
        </w:r>
        <w:r>
          <w:rPr>
            <w:color w:val="0562C1"/>
            <w:spacing w:val="-4"/>
            <w:u w:val="single" w:color="0562C1"/>
          </w:rPr>
          <w:t> </w:t>
        </w:r>
        <w:r>
          <w:rPr>
            <w:color w:val="0562C1"/>
            <w:u w:val="single" w:color="0562C1"/>
          </w:rPr>
          <w:t>of</w:t>
        </w:r>
        <w:r>
          <w:rPr>
            <w:color w:val="0562C1"/>
            <w:spacing w:val="-5"/>
            <w:u w:val="single" w:color="0562C1"/>
          </w:rPr>
          <w:t> </w:t>
        </w:r>
        <w:r>
          <w:rPr>
            <w:color w:val="0562C1"/>
            <w:u w:val="single" w:color="0562C1"/>
          </w:rPr>
          <w:t>Lords</w:t>
        </w:r>
        <w:r>
          <w:rPr>
            <w:color w:val="0562C1"/>
            <w:spacing w:val="-5"/>
            <w:u w:val="single" w:color="0562C1"/>
          </w:rPr>
          <w:t> </w:t>
        </w:r>
        <w:r>
          <w:rPr>
            <w:color w:val="0562C1"/>
            <w:u w:val="single" w:color="0562C1"/>
          </w:rPr>
          <w:t>Sub-</w:t>
        </w:r>
      </w:hyperlink>
      <w:r>
        <w:rPr>
          <w:color w:val="0562C1"/>
          <w:u w:val="none"/>
        </w:rPr>
        <w:t> </w:t>
      </w:r>
      <w:hyperlink r:id="rId248">
        <w:r>
          <w:rPr>
            <w:color w:val="0562C1"/>
            <w:u w:val="single" w:color="0562C1"/>
          </w:rPr>
          <w:t>Committee on the Windsor Framework’s call for evidence for its inquiry on</w:t>
        </w:r>
      </w:hyperlink>
      <w:r>
        <w:rPr>
          <w:color w:val="0562C1"/>
          <w:u w:val="none"/>
        </w:rPr>
        <w:t> </w:t>
      </w:r>
      <w:hyperlink r:id="rId248">
        <w:r>
          <w:rPr>
            <w:color w:val="0562C1"/>
            <w:u w:val="single" w:color="0562C1"/>
          </w:rPr>
          <w:t>regulatory divergence and the Windsor Framework</w:t>
        </w:r>
      </w:hyperlink>
      <w:r>
        <w:rPr>
          <w:u w:val="none"/>
        </w:rPr>
        <w:t>’ (ECNI 2023).</w:t>
      </w:r>
    </w:p>
    <w:p>
      <w:pPr>
        <w:pStyle w:val="BodyText"/>
        <w:spacing w:line="225" w:lineRule="auto" w:before="276"/>
        <w:ind w:left="1133" w:right="1171"/>
      </w:pPr>
      <w:r>
        <w:rPr/>
        <w:t>Equality</w:t>
      </w:r>
      <w:r>
        <w:rPr>
          <w:spacing w:val="-1"/>
        </w:rPr>
        <w:t> </w:t>
      </w:r>
      <w:r>
        <w:rPr/>
        <w:t>Commission</w:t>
      </w:r>
      <w:r>
        <w:rPr>
          <w:spacing w:val="-2"/>
        </w:rPr>
        <w:t> </w:t>
      </w:r>
      <w:r>
        <w:rPr/>
        <w:t>for</w:t>
      </w:r>
      <w:r>
        <w:rPr>
          <w:spacing w:val="-1"/>
        </w:rPr>
        <w:t> </w:t>
      </w:r>
      <w:r>
        <w:rPr/>
        <w:t>NI,</w:t>
      </w:r>
      <w:r>
        <w:rPr>
          <w:spacing w:val="-1"/>
        </w:rPr>
        <w:t> </w:t>
      </w:r>
      <w:r>
        <w:rPr/>
        <w:t>‘</w:t>
      </w:r>
      <w:hyperlink r:id="rId249">
        <w:r>
          <w:rPr>
            <w:color w:val="0562C1"/>
            <w:u w:val="single" w:color="0562C1"/>
          </w:rPr>
          <w:t>Response</w:t>
        </w:r>
        <w:r>
          <w:rPr>
            <w:color w:val="0562C1"/>
            <w:spacing w:val="-1"/>
            <w:u w:val="single" w:color="0562C1"/>
          </w:rPr>
          <w:t> </w:t>
        </w:r>
        <w:r>
          <w:rPr>
            <w:color w:val="0562C1"/>
            <w:u w:val="single" w:color="0562C1"/>
          </w:rPr>
          <w:t>to</w:t>
        </w:r>
        <w:r>
          <w:rPr>
            <w:color w:val="0562C1"/>
            <w:spacing w:val="-2"/>
            <w:u w:val="single" w:color="0562C1"/>
          </w:rPr>
          <w:t> </w:t>
        </w:r>
        <w:r>
          <w:rPr>
            <w:color w:val="0562C1"/>
            <w:u w:val="single" w:color="0562C1"/>
          </w:rPr>
          <w:t>the</w:t>
        </w:r>
        <w:r>
          <w:rPr>
            <w:color w:val="0562C1"/>
            <w:spacing w:val="-1"/>
            <w:u w:val="single" w:color="0562C1"/>
          </w:rPr>
          <w:t> </w:t>
        </w:r>
        <w:r>
          <w:rPr>
            <w:color w:val="0562C1"/>
            <w:u w:val="single" w:color="0562C1"/>
          </w:rPr>
          <w:t>consultation</w:t>
        </w:r>
        <w:r>
          <w:rPr>
            <w:color w:val="0562C1"/>
            <w:spacing w:val="-2"/>
            <w:u w:val="single" w:color="0562C1"/>
          </w:rPr>
          <w:t> </w:t>
        </w:r>
        <w:r>
          <w:rPr>
            <w:color w:val="0562C1"/>
            <w:u w:val="single" w:color="0562C1"/>
          </w:rPr>
          <w:t>by</w:t>
        </w:r>
        <w:r>
          <w:rPr>
            <w:color w:val="0562C1"/>
            <w:spacing w:val="-1"/>
            <w:u w:val="single" w:color="0562C1"/>
          </w:rPr>
          <w:t> </w:t>
        </w:r>
        <w:r>
          <w:rPr>
            <w:color w:val="0562C1"/>
            <w:u w:val="single" w:color="0562C1"/>
          </w:rPr>
          <w:t>the</w:t>
        </w:r>
        <w:r>
          <w:rPr>
            <w:color w:val="0562C1"/>
            <w:spacing w:val="-1"/>
            <w:u w:val="single" w:color="0562C1"/>
          </w:rPr>
          <w:t> </w:t>
        </w:r>
        <w:r>
          <w:rPr>
            <w:color w:val="0562C1"/>
            <w:u w:val="single" w:color="0562C1"/>
          </w:rPr>
          <w:t>Northern</w:t>
        </w:r>
        <w:r>
          <w:rPr>
            <w:color w:val="0562C1"/>
            <w:spacing w:val="-2"/>
            <w:u w:val="single" w:color="0562C1"/>
          </w:rPr>
          <w:t> </w:t>
        </w:r>
        <w:r>
          <w:rPr>
            <w:color w:val="0562C1"/>
            <w:u w:val="single" w:color="0562C1"/>
          </w:rPr>
          <w:t>Ireland</w:t>
        </w:r>
      </w:hyperlink>
      <w:r>
        <w:rPr>
          <w:color w:val="0562C1"/>
          <w:u w:val="none"/>
        </w:rPr>
        <w:t> </w:t>
      </w:r>
      <w:hyperlink r:id="rId249">
        <w:r>
          <w:rPr>
            <w:color w:val="0562C1"/>
            <w:u w:val="single" w:color="0562C1"/>
          </w:rPr>
          <w:t>Office:</w:t>
        </w:r>
        <w:r>
          <w:rPr>
            <w:color w:val="0562C1"/>
            <w:spacing w:val="-6"/>
            <w:u w:val="single" w:color="0562C1"/>
          </w:rPr>
          <w:t> </w:t>
        </w:r>
        <w:r>
          <w:rPr>
            <w:color w:val="0562C1"/>
            <w:u w:val="single" w:color="0562C1"/>
          </w:rPr>
          <w:t>Update</w:t>
        </w:r>
        <w:r>
          <w:rPr>
            <w:color w:val="0562C1"/>
            <w:spacing w:val="-6"/>
            <w:u w:val="single" w:color="0562C1"/>
          </w:rPr>
          <w:t> </w:t>
        </w:r>
        <w:r>
          <w:rPr>
            <w:color w:val="0562C1"/>
            <w:u w:val="single" w:color="0562C1"/>
          </w:rPr>
          <w:t>of</w:t>
        </w:r>
        <w:r>
          <w:rPr>
            <w:color w:val="0562C1"/>
            <w:spacing w:val="-7"/>
            <w:u w:val="single" w:color="0562C1"/>
          </w:rPr>
          <w:t> </w:t>
        </w:r>
        <w:r>
          <w:rPr>
            <w:color w:val="0562C1"/>
            <w:u w:val="single" w:color="0562C1"/>
          </w:rPr>
          <w:t>the</w:t>
        </w:r>
        <w:r>
          <w:rPr>
            <w:color w:val="0562C1"/>
            <w:spacing w:val="-6"/>
            <w:u w:val="single" w:color="0562C1"/>
          </w:rPr>
          <w:t> </w:t>
        </w:r>
        <w:r>
          <w:rPr>
            <w:color w:val="0562C1"/>
            <w:u w:val="single" w:color="0562C1"/>
          </w:rPr>
          <w:t>Code</w:t>
        </w:r>
        <w:r>
          <w:rPr>
            <w:color w:val="0562C1"/>
            <w:spacing w:val="-6"/>
            <w:u w:val="single" w:color="0562C1"/>
          </w:rPr>
          <w:t> </w:t>
        </w:r>
        <w:r>
          <w:rPr>
            <w:color w:val="0562C1"/>
            <w:u w:val="single" w:color="0562C1"/>
          </w:rPr>
          <w:t>of</w:t>
        </w:r>
        <w:r>
          <w:rPr>
            <w:color w:val="0562C1"/>
            <w:spacing w:val="-7"/>
            <w:u w:val="single" w:color="0562C1"/>
          </w:rPr>
          <w:t> </w:t>
        </w:r>
        <w:r>
          <w:rPr>
            <w:color w:val="0562C1"/>
            <w:u w:val="single" w:color="0562C1"/>
          </w:rPr>
          <w:t>Practice</w:t>
        </w:r>
        <w:r>
          <w:rPr>
            <w:color w:val="0562C1"/>
            <w:spacing w:val="-6"/>
            <w:u w:val="single" w:color="0562C1"/>
          </w:rPr>
          <w:t> </w:t>
        </w:r>
        <w:r>
          <w:rPr>
            <w:color w:val="0562C1"/>
            <w:u w:val="single" w:color="0562C1"/>
          </w:rPr>
          <w:t>(Northern</w:t>
        </w:r>
        <w:r>
          <w:rPr>
            <w:color w:val="0562C1"/>
            <w:spacing w:val="-7"/>
            <w:u w:val="single" w:color="0562C1"/>
          </w:rPr>
          <w:t> </w:t>
        </w:r>
        <w:r>
          <w:rPr>
            <w:color w:val="0562C1"/>
            <w:u w:val="single" w:color="0562C1"/>
          </w:rPr>
          <w:t>Ireland)</w:t>
        </w:r>
        <w:r>
          <w:rPr>
            <w:color w:val="0562C1"/>
            <w:spacing w:val="-7"/>
            <w:u w:val="single" w:color="0562C1"/>
          </w:rPr>
          <w:t> </w:t>
        </w:r>
        <w:r>
          <w:rPr>
            <w:color w:val="0562C1"/>
            <w:u w:val="single" w:color="0562C1"/>
          </w:rPr>
          <w:t>for</w:t>
        </w:r>
        <w:r>
          <w:rPr>
            <w:color w:val="0562C1"/>
            <w:spacing w:val="-6"/>
            <w:u w:val="single" w:color="0562C1"/>
          </w:rPr>
          <w:t> </w:t>
        </w:r>
        <w:r>
          <w:rPr>
            <w:color w:val="0562C1"/>
            <w:u w:val="single" w:color="0562C1"/>
          </w:rPr>
          <w:t>the</w:t>
        </w:r>
        <w:r>
          <w:rPr>
            <w:color w:val="0562C1"/>
            <w:spacing w:val="-6"/>
            <w:u w:val="single" w:color="0562C1"/>
          </w:rPr>
          <w:t> </w:t>
        </w:r>
        <w:r>
          <w:rPr>
            <w:color w:val="0562C1"/>
            <w:u w:val="single" w:color="0562C1"/>
          </w:rPr>
          <w:t>Authorisation</w:t>
        </w:r>
        <w:r>
          <w:rPr>
            <w:color w:val="0562C1"/>
            <w:spacing w:val="-7"/>
            <w:u w:val="single" w:color="0562C1"/>
          </w:rPr>
          <w:t> </w:t>
        </w:r>
        <w:r>
          <w:rPr>
            <w:color w:val="0562C1"/>
            <w:u w:val="single" w:color="0562C1"/>
          </w:rPr>
          <w:t>and</w:t>
        </w:r>
      </w:hyperlink>
    </w:p>
    <w:p>
      <w:pPr>
        <w:spacing w:after="0" w:line="225" w:lineRule="auto"/>
        <w:sectPr>
          <w:pgSz w:w="11910" w:h="16840"/>
          <w:pgMar w:header="496" w:footer="367" w:top="1220" w:bottom="560" w:left="0" w:right="0"/>
        </w:sectPr>
      </w:pPr>
    </w:p>
    <w:p>
      <w:pPr>
        <w:pStyle w:val="BodyText"/>
        <w:spacing w:before="198"/>
      </w:pPr>
      <w:r>
        <w:rPr/>
        <mc:AlternateContent>
          <mc:Choice Requires="wps">
            <w:drawing>
              <wp:anchor distT="0" distB="0" distL="0" distR="0" allowOverlap="1" layoutInCell="1" locked="0" behindDoc="0" simplePos="0" relativeHeight="15878656">
                <wp:simplePos x="0" y="0"/>
                <wp:positionH relativeFrom="page">
                  <wp:posOffset>0</wp:posOffset>
                </wp:positionH>
                <wp:positionV relativeFrom="page">
                  <wp:posOffset>10331996</wp:posOffset>
                </wp:positionV>
                <wp:extent cx="7560309" cy="360045"/>
                <wp:effectExtent l="0" t="0" r="0" b="0"/>
                <wp:wrapNone/>
                <wp:docPr id="678" name="Graphic 678"/>
                <wp:cNvGraphicFramePr>
                  <a:graphicFrameLocks/>
                </wp:cNvGraphicFramePr>
                <a:graphic>
                  <a:graphicData uri="http://schemas.microsoft.com/office/word/2010/wordprocessingShape">
                    <wps:wsp>
                      <wps:cNvPr id="678" name="Graphic 678"/>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5878656" id="docshape622" filled="true" fillcolor="#393b7f" stroked="false">
                <v:fill type="solid"/>
                <w10:wrap type="none"/>
              </v:rect>
            </w:pict>
          </mc:Fallback>
        </mc:AlternateContent>
      </w:r>
    </w:p>
    <w:p>
      <w:pPr>
        <w:pStyle w:val="BodyText"/>
        <w:spacing w:line="225" w:lineRule="auto"/>
        <w:ind w:left="1133" w:right="1171"/>
      </w:pPr>
      <w:hyperlink r:id="rId249">
        <w:r>
          <w:rPr>
            <w:color w:val="0562C1"/>
            <w:u w:val="single" w:color="0562C1"/>
          </w:rPr>
          <w:t>Exercise</w:t>
        </w:r>
        <w:r>
          <w:rPr>
            <w:color w:val="0562C1"/>
            <w:spacing w:val="-7"/>
            <w:u w:val="single" w:color="0562C1"/>
          </w:rPr>
          <w:t> </w:t>
        </w:r>
        <w:r>
          <w:rPr>
            <w:color w:val="0562C1"/>
            <w:u w:val="single" w:color="0562C1"/>
          </w:rPr>
          <w:t>of</w:t>
        </w:r>
        <w:r>
          <w:rPr>
            <w:color w:val="0562C1"/>
            <w:spacing w:val="-7"/>
            <w:u w:val="single" w:color="0562C1"/>
          </w:rPr>
          <w:t> </w:t>
        </w:r>
        <w:r>
          <w:rPr>
            <w:color w:val="0562C1"/>
            <w:u w:val="single" w:color="0562C1"/>
          </w:rPr>
          <w:t>Stop</w:t>
        </w:r>
        <w:r>
          <w:rPr>
            <w:color w:val="0562C1"/>
            <w:spacing w:val="-7"/>
            <w:u w:val="single" w:color="0562C1"/>
          </w:rPr>
          <w:t> </w:t>
        </w:r>
        <w:r>
          <w:rPr>
            <w:color w:val="0562C1"/>
            <w:u w:val="single" w:color="0562C1"/>
          </w:rPr>
          <w:t>and</w:t>
        </w:r>
        <w:r>
          <w:rPr>
            <w:color w:val="0562C1"/>
            <w:spacing w:val="-7"/>
            <w:u w:val="single" w:color="0562C1"/>
          </w:rPr>
          <w:t> </w:t>
        </w:r>
        <w:r>
          <w:rPr>
            <w:color w:val="0562C1"/>
            <w:u w:val="single" w:color="0562C1"/>
          </w:rPr>
          <w:t>search</w:t>
        </w:r>
        <w:r>
          <w:rPr>
            <w:color w:val="0562C1"/>
            <w:spacing w:val="-7"/>
            <w:u w:val="single" w:color="0562C1"/>
          </w:rPr>
          <w:t> </w:t>
        </w:r>
        <w:r>
          <w:rPr>
            <w:color w:val="0562C1"/>
            <w:u w:val="single" w:color="0562C1"/>
          </w:rPr>
          <w:t>Powers</w:t>
        </w:r>
        <w:r>
          <w:rPr>
            <w:color w:val="0562C1"/>
            <w:spacing w:val="-7"/>
            <w:u w:val="single" w:color="0562C1"/>
          </w:rPr>
          <w:t> </w:t>
        </w:r>
        <w:r>
          <w:rPr>
            <w:color w:val="0562C1"/>
            <w:u w:val="single" w:color="0562C1"/>
          </w:rPr>
          <w:t>relating</w:t>
        </w:r>
        <w:r>
          <w:rPr>
            <w:color w:val="0562C1"/>
            <w:spacing w:val="-7"/>
            <w:u w:val="single" w:color="0562C1"/>
          </w:rPr>
          <w:t> </w:t>
        </w:r>
        <w:r>
          <w:rPr>
            <w:color w:val="0562C1"/>
            <w:u w:val="single" w:color="0562C1"/>
          </w:rPr>
          <w:t>to</w:t>
        </w:r>
        <w:r>
          <w:rPr>
            <w:color w:val="0562C1"/>
            <w:spacing w:val="-7"/>
            <w:u w:val="single" w:color="0562C1"/>
          </w:rPr>
          <w:t> </w:t>
        </w:r>
        <w:r>
          <w:rPr>
            <w:color w:val="0562C1"/>
            <w:u w:val="single" w:color="0562C1"/>
          </w:rPr>
          <w:t>Sections,</w:t>
        </w:r>
        <w:r>
          <w:rPr>
            <w:color w:val="0562C1"/>
            <w:spacing w:val="-7"/>
            <w:u w:val="single" w:color="0562C1"/>
          </w:rPr>
          <w:t> </w:t>
        </w:r>
        <w:r>
          <w:rPr>
            <w:color w:val="0562C1"/>
            <w:u w:val="single" w:color="0562C1"/>
          </w:rPr>
          <w:t>43,</w:t>
        </w:r>
        <w:r>
          <w:rPr>
            <w:color w:val="0562C1"/>
            <w:spacing w:val="-7"/>
            <w:u w:val="single" w:color="0562C1"/>
          </w:rPr>
          <w:t> </w:t>
        </w:r>
        <w:r>
          <w:rPr>
            <w:color w:val="0562C1"/>
            <w:u w:val="single" w:color="0562C1"/>
          </w:rPr>
          <w:t>43A,</w:t>
        </w:r>
        <w:r>
          <w:rPr>
            <w:color w:val="0562C1"/>
            <w:spacing w:val="-7"/>
            <w:u w:val="single" w:color="0562C1"/>
          </w:rPr>
          <w:t> </w:t>
        </w:r>
        <w:r>
          <w:rPr>
            <w:color w:val="0562C1"/>
            <w:u w:val="single" w:color="0562C1"/>
          </w:rPr>
          <w:t>and</w:t>
        </w:r>
        <w:r>
          <w:rPr>
            <w:color w:val="0562C1"/>
            <w:spacing w:val="-7"/>
            <w:u w:val="single" w:color="0562C1"/>
          </w:rPr>
          <w:t> </w:t>
        </w:r>
        <w:r>
          <w:rPr>
            <w:color w:val="0562C1"/>
            <w:u w:val="single" w:color="0562C1"/>
          </w:rPr>
          <w:t>47A</w:t>
        </w:r>
        <w:r>
          <w:rPr>
            <w:color w:val="0562C1"/>
            <w:spacing w:val="-7"/>
            <w:u w:val="single" w:color="0562C1"/>
          </w:rPr>
          <w:t> </w:t>
        </w:r>
        <w:r>
          <w:rPr>
            <w:color w:val="0562C1"/>
            <w:u w:val="single" w:color="0562C1"/>
          </w:rPr>
          <w:t>of,</w:t>
        </w:r>
        <w:r>
          <w:rPr>
            <w:color w:val="0562C1"/>
            <w:spacing w:val="-7"/>
            <w:u w:val="single" w:color="0562C1"/>
          </w:rPr>
          <w:t> </w:t>
        </w:r>
        <w:r>
          <w:rPr>
            <w:color w:val="0562C1"/>
            <w:u w:val="single" w:color="0562C1"/>
          </w:rPr>
          <w:t>and</w:t>
        </w:r>
      </w:hyperlink>
      <w:r>
        <w:rPr>
          <w:color w:val="0562C1"/>
          <w:u w:val="none"/>
        </w:rPr>
        <w:t> </w:t>
      </w:r>
      <w:hyperlink r:id="rId249">
        <w:r>
          <w:rPr>
            <w:color w:val="0562C1"/>
            <w:u w:val="single" w:color="0562C1"/>
          </w:rPr>
          <w:t>Schedule 6B to, the Terrorism Act 2000</w:t>
        </w:r>
      </w:hyperlink>
      <w:r>
        <w:rPr>
          <w:u w:val="none"/>
        </w:rPr>
        <w:t>’ (ECNI, 2024).</w:t>
      </w:r>
    </w:p>
    <w:p>
      <w:pPr>
        <w:pStyle w:val="BodyText"/>
        <w:spacing w:line="225" w:lineRule="auto" w:before="278"/>
        <w:ind w:left="1133" w:right="1171"/>
      </w:pPr>
      <w:r>
        <w:rPr/>
        <w:t>Equality</w:t>
      </w:r>
      <w:r>
        <w:rPr>
          <w:spacing w:val="-6"/>
        </w:rPr>
        <w:t> </w:t>
      </w:r>
      <w:r>
        <w:rPr/>
        <w:t>Commission</w:t>
      </w:r>
      <w:r>
        <w:rPr>
          <w:spacing w:val="-7"/>
        </w:rPr>
        <w:t> </w:t>
      </w:r>
      <w:r>
        <w:rPr/>
        <w:t>for</w:t>
      </w:r>
      <w:r>
        <w:rPr>
          <w:spacing w:val="-6"/>
        </w:rPr>
        <w:t> </w:t>
      </w:r>
      <w:r>
        <w:rPr/>
        <w:t>NI,</w:t>
      </w:r>
      <w:r>
        <w:rPr>
          <w:spacing w:val="-6"/>
        </w:rPr>
        <w:t> </w:t>
      </w:r>
      <w:r>
        <w:rPr/>
        <w:t>‘</w:t>
      </w:r>
      <w:hyperlink r:id="rId253">
        <w:r>
          <w:rPr>
            <w:color w:val="0562C1"/>
            <w:u w:val="single" w:color="0562C1"/>
          </w:rPr>
          <w:t>Submission</w:t>
        </w:r>
        <w:r>
          <w:rPr>
            <w:color w:val="0562C1"/>
            <w:spacing w:val="-7"/>
            <w:u w:val="single" w:color="0562C1"/>
          </w:rPr>
          <w:t> </w:t>
        </w:r>
        <w:r>
          <w:rPr>
            <w:color w:val="0562C1"/>
            <w:u w:val="single" w:color="0562C1"/>
          </w:rPr>
          <w:t>on</w:t>
        </w:r>
        <w:r>
          <w:rPr>
            <w:color w:val="0562C1"/>
            <w:spacing w:val="-7"/>
            <w:u w:val="single" w:color="0562C1"/>
          </w:rPr>
          <w:t> </w:t>
        </w:r>
        <w:r>
          <w:rPr>
            <w:color w:val="0562C1"/>
            <w:u w:val="single" w:color="0562C1"/>
          </w:rPr>
          <w:t>the</w:t>
        </w:r>
        <w:r>
          <w:rPr>
            <w:color w:val="0562C1"/>
            <w:spacing w:val="-6"/>
            <w:u w:val="single" w:color="0562C1"/>
          </w:rPr>
          <w:t> </w:t>
        </w:r>
        <w:r>
          <w:rPr>
            <w:color w:val="0562C1"/>
            <w:u w:val="single" w:color="0562C1"/>
          </w:rPr>
          <w:t>Safety</w:t>
        </w:r>
        <w:r>
          <w:rPr>
            <w:color w:val="0562C1"/>
            <w:spacing w:val="-6"/>
            <w:u w:val="single" w:color="0562C1"/>
          </w:rPr>
          <w:t> </w:t>
        </w:r>
        <w:r>
          <w:rPr>
            <w:color w:val="0562C1"/>
            <w:u w:val="single" w:color="0562C1"/>
          </w:rPr>
          <w:t>of</w:t>
        </w:r>
        <w:r>
          <w:rPr>
            <w:color w:val="0562C1"/>
            <w:spacing w:val="-7"/>
            <w:u w:val="single" w:color="0562C1"/>
          </w:rPr>
          <w:t> </w:t>
        </w:r>
        <w:r>
          <w:rPr>
            <w:color w:val="0562C1"/>
            <w:u w:val="single" w:color="0562C1"/>
          </w:rPr>
          <w:t>Rwanda</w:t>
        </w:r>
        <w:r>
          <w:rPr>
            <w:color w:val="0562C1"/>
            <w:spacing w:val="-7"/>
            <w:u w:val="single" w:color="0562C1"/>
          </w:rPr>
          <w:t> </w:t>
        </w:r>
        <w:r>
          <w:rPr>
            <w:color w:val="0562C1"/>
            <w:u w:val="single" w:color="0562C1"/>
          </w:rPr>
          <w:t>(Asylum</w:t>
        </w:r>
        <w:r>
          <w:rPr>
            <w:color w:val="0562C1"/>
            <w:spacing w:val="-6"/>
            <w:u w:val="single" w:color="0562C1"/>
          </w:rPr>
          <w:t> </w:t>
        </w:r>
        <w:r>
          <w:rPr>
            <w:color w:val="0562C1"/>
            <w:u w:val="single" w:color="0562C1"/>
          </w:rPr>
          <w:t>and</w:t>
        </w:r>
      </w:hyperlink>
      <w:r>
        <w:rPr>
          <w:color w:val="0562C1"/>
          <w:u w:val="none"/>
        </w:rPr>
        <w:t> </w:t>
      </w:r>
      <w:hyperlink r:id="rId253">
        <w:r>
          <w:rPr>
            <w:color w:val="0562C1"/>
            <w:u w:val="single" w:color="0562C1"/>
          </w:rPr>
          <w:t>Immigration) Bill</w:t>
        </w:r>
      </w:hyperlink>
      <w:r>
        <w:rPr>
          <w:u w:val="none"/>
        </w:rPr>
        <w:t>’ (ECNI 2024).</w:t>
      </w:r>
    </w:p>
    <w:p>
      <w:pPr>
        <w:pStyle w:val="BodyText"/>
        <w:spacing w:line="225" w:lineRule="auto" w:before="277"/>
        <w:ind w:left="1133" w:right="1301"/>
      </w:pPr>
      <w:r>
        <w:rPr/>
        <mc:AlternateContent>
          <mc:Choice Requires="wps">
            <w:drawing>
              <wp:anchor distT="0" distB="0" distL="0" distR="0" allowOverlap="1" layoutInCell="1" locked="0" behindDoc="0" simplePos="0" relativeHeight="15879168">
                <wp:simplePos x="0" y="0"/>
                <wp:positionH relativeFrom="page">
                  <wp:posOffset>6179797</wp:posOffset>
                </wp:positionH>
                <wp:positionV relativeFrom="paragraph">
                  <wp:posOffset>558712</wp:posOffset>
                </wp:positionV>
                <wp:extent cx="40640" cy="1270"/>
                <wp:effectExtent l="0" t="0" r="0" b="0"/>
                <wp:wrapNone/>
                <wp:docPr id="679" name="Graphic 679"/>
                <wp:cNvGraphicFramePr>
                  <a:graphicFrameLocks/>
                </wp:cNvGraphicFramePr>
                <a:graphic>
                  <a:graphicData uri="http://schemas.microsoft.com/office/word/2010/wordprocessingShape">
                    <wps:wsp>
                      <wps:cNvPr id="679" name="Graphic 679"/>
                      <wps:cNvSpPr/>
                      <wps:spPr>
                        <a:xfrm>
                          <a:off x="0" y="0"/>
                          <a:ext cx="40640" cy="1270"/>
                        </a:xfrm>
                        <a:custGeom>
                          <a:avLst/>
                          <a:gdLst/>
                          <a:ahLst/>
                          <a:cxnLst/>
                          <a:rect l="l" t="t" r="r" b="b"/>
                          <a:pathLst>
                            <a:path w="40640" h="0">
                              <a:moveTo>
                                <a:pt x="0" y="0"/>
                              </a:moveTo>
                              <a:lnTo>
                                <a:pt x="40195" y="0"/>
                              </a:lnTo>
                            </a:path>
                          </a:pathLst>
                        </a:custGeom>
                        <a:ln w="11633">
                          <a:solidFill>
                            <a:srgbClr val="0562C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9168" from="486.598206pt,43.993145pt" to="489.763206pt,43.993145pt" stroked="true" strokeweight=".916pt" strokecolor="#0562c1">
                <v:stroke dashstyle="solid"/>
                <w10:wrap type="none"/>
              </v:line>
            </w:pict>
          </mc:Fallback>
        </mc:AlternateContent>
      </w:r>
      <w:r>
        <w:rPr/>
        <w:t>Equality</w:t>
      </w:r>
      <w:r>
        <w:rPr>
          <w:spacing w:val="-6"/>
        </w:rPr>
        <w:t> </w:t>
      </w:r>
      <w:r>
        <w:rPr/>
        <w:t>Commission</w:t>
      </w:r>
      <w:r>
        <w:rPr>
          <w:spacing w:val="-7"/>
        </w:rPr>
        <w:t> </w:t>
      </w:r>
      <w:r>
        <w:rPr/>
        <w:t>for</w:t>
      </w:r>
      <w:r>
        <w:rPr>
          <w:spacing w:val="-6"/>
        </w:rPr>
        <w:t> </w:t>
      </w:r>
      <w:r>
        <w:rPr/>
        <w:t>NI,</w:t>
      </w:r>
      <w:r>
        <w:rPr>
          <w:spacing w:val="-6"/>
        </w:rPr>
        <w:t> </w:t>
      </w:r>
      <w:r>
        <w:rPr/>
        <w:t>‘</w:t>
      </w:r>
      <w:hyperlink r:id="rId254">
        <w:r>
          <w:rPr>
            <w:color w:val="0562C1"/>
            <w:u w:val="single" w:color="0562C1"/>
          </w:rPr>
          <w:t>Equality</w:t>
        </w:r>
        <w:r>
          <w:rPr>
            <w:color w:val="0562C1"/>
            <w:spacing w:val="-6"/>
            <w:u w:val="single" w:color="0562C1"/>
          </w:rPr>
          <w:t> </w:t>
        </w:r>
        <w:r>
          <w:rPr>
            <w:color w:val="0562C1"/>
            <w:u w:val="single" w:color="0562C1"/>
          </w:rPr>
          <w:t>Commission</w:t>
        </w:r>
        <w:r>
          <w:rPr>
            <w:color w:val="0562C1"/>
            <w:spacing w:val="-7"/>
            <w:u w:val="single" w:color="0562C1"/>
          </w:rPr>
          <w:t> </w:t>
        </w:r>
        <w:r>
          <w:rPr>
            <w:color w:val="0562C1"/>
            <w:u w:val="single" w:color="0562C1"/>
          </w:rPr>
          <w:t>input</w:t>
        </w:r>
        <w:r>
          <w:rPr>
            <w:color w:val="0562C1"/>
            <w:spacing w:val="-6"/>
            <w:u w:val="single" w:color="0562C1"/>
          </w:rPr>
          <w:t> </w:t>
        </w:r>
        <w:r>
          <w:rPr>
            <w:color w:val="0562C1"/>
            <w:u w:val="single" w:color="0562C1"/>
          </w:rPr>
          <w:t>for</w:t>
        </w:r>
        <w:r>
          <w:rPr>
            <w:color w:val="0562C1"/>
            <w:spacing w:val="-6"/>
            <w:u w:val="single" w:color="0562C1"/>
          </w:rPr>
          <w:t> </w:t>
        </w:r>
        <w:r>
          <w:rPr>
            <w:color w:val="0562C1"/>
            <w:u w:val="single" w:color="0562C1"/>
          </w:rPr>
          <w:t>UN</w:t>
        </w:r>
        <w:r>
          <w:rPr>
            <w:color w:val="0562C1"/>
            <w:spacing w:val="-6"/>
            <w:u w:val="single" w:color="0562C1"/>
          </w:rPr>
          <w:t> </w:t>
        </w:r>
        <w:r>
          <w:rPr>
            <w:color w:val="0562C1"/>
            <w:u w:val="single" w:color="0562C1"/>
          </w:rPr>
          <w:t>Special</w:t>
        </w:r>
        <w:r>
          <w:rPr>
            <w:color w:val="0562C1"/>
            <w:spacing w:val="-7"/>
            <w:u w:val="single" w:color="0562C1"/>
          </w:rPr>
          <w:t> </w:t>
        </w:r>
        <w:r>
          <w:rPr>
            <w:color w:val="0562C1"/>
            <w:u w:val="single" w:color="0562C1"/>
          </w:rPr>
          <w:t>Rapporteur</w:t>
        </w:r>
      </w:hyperlink>
      <w:r>
        <w:rPr>
          <w:color w:val="0562C1"/>
          <w:u w:val="none"/>
        </w:rPr>
        <w:t> </w:t>
      </w:r>
      <w:hyperlink r:id="rId254">
        <w:r>
          <w:rPr>
            <w:color w:val="0562C1"/>
            <w:u w:val="single" w:color="0562C1"/>
          </w:rPr>
          <w:t>on Violence Against Women and Girls’ Country Visit to the UK</w:t>
        </w:r>
      </w:hyperlink>
      <w:r>
        <w:rPr>
          <w:u w:val="none"/>
        </w:rPr>
        <w:t>’ (ECNI, 2024).</w:t>
      </w:r>
    </w:p>
    <w:p>
      <w:pPr>
        <w:pStyle w:val="BodyText"/>
        <w:spacing w:line="225" w:lineRule="auto" w:before="278"/>
        <w:ind w:left="1133" w:right="1171"/>
      </w:pPr>
      <w:r>
        <w:rPr/>
        <w:t>Equality</w:t>
      </w:r>
      <w:r>
        <w:rPr>
          <w:spacing w:val="-8"/>
        </w:rPr>
        <w:t> </w:t>
      </w:r>
      <w:r>
        <w:rPr/>
        <w:t>Commission</w:t>
      </w:r>
      <w:r>
        <w:rPr>
          <w:spacing w:val="-9"/>
        </w:rPr>
        <w:t> </w:t>
      </w:r>
      <w:r>
        <w:rPr/>
        <w:t>for</w:t>
      </w:r>
      <w:r>
        <w:rPr>
          <w:spacing w:val="-8"/>
        </w:rPr>
        <w:t> </w:t>
      </w:r>
      <w:r>
        <w:rPr/>
        <w:t>NI,</w:t>
      </w:r>
      <w:r>
        <w:rPr>
          <w:spacing w:val="-8"/>
        </w:rPr>
        <w:t> </w:t>
      </w:r>
      <w:r>
        <w:rPr/>
        <w:t>‘</w:t>
      </w:r>
      <w:hyperlink r:id="rId255">
        <w:r>
          <w:rPr>
            <w:color w:val="0562C1"/>
            <w:u w:val="single" w:color="0562C1"/>
          </w:rPr>
          <w:t>Response</w:t>
        </w:r>
        <w:r>
          <w:rPr>
            <w:color w:val="0562C1"/>
            <w:spacing w:val="-8"/>
            <w:u w:val="single" w:color="0562C1"/>
          </w:rPr>
          <w:t> </w:t>
        </w:r>
        <w:r>
          <w:rPr>
            <w:color w:val="0562C1"/>
            <w:u w:val="single" w:color="0562C1"/>
          </w:rPr>
          <w:t>to</w:t>
        </w:r>
        <w:r>
          <w:rPr>
            <w:color w:val="0562C1"/>
            <w:spacing w:val="-9"/>
            <w:u w:val="single" w:color="0562C1"/>
          </w:rPr>
          <w:t> </w:t>
        </w:r>
        <w:r>
          <w:rPr>
            <w:color w:val="0562C1"/>
            <w:u w:val="single" w:color="0562C1"/>
          </w:rPr>
          <w:t>consultation:</w:t>
        </w:r>
        <w:r>
          <w:rPr>
            <w:color w:val="0562C1"/>
            <w:spacing w:val="-8"/>
            <w:u w:val="single" w:color="0562C1"/>
          </w:rPr>
          <w:t> </w:t>
        </w:r>
        <w:r>
          <w:rPr>
            <w:color w:val="0562C1"/>
            <w:u w:val="single" w:color="0562C1"/>
          </w:rPr>
          <w:t>The</w:t>
        </w:r>
        <w:r>
          <w:rPr>
            <w:color w:val="0562C1"/>
            <w:spacing w:val="-8"/>
            <w:u w:val="single" w:color="0562C1"/>
          </w:rPr>
          <w:t> </w:t>
        </w:r>
        <w:r>
          <w:rPr>
            <w:color w:val="0562C1"/>
            <w:u w:val="single" w:color="0562C1"/>
          </w:rPr>
          <w:t>Executive</w:t>
        </w:r>
        <w:r>
          <w:rPr>
            <w:color w:val="0562C1"/>
            <w:spacing w:val="-8"/>
            <w:u w:val="single" w:color="0562C1"/>
          </w:rPr>
          <w:t> </w:t>
        </w:r>
        <w:r>
          <w:rPr>
            <w:color w:val="0562C1"/>
            <w:u w:val="single" w:color="0562C1"/>
          </w:rPr>
          <w:t>Office:</w:t>
        </w:r>
        <w:r>
          <w:rPr>
            <w:color w:val="0562C1"/>
            <w:spacing w:val="-8"/>
            <w:u w:val="single" w:color="0562C1"/>
          </w:rPr>
          <w:t> </w:t>
        </w:r>
        <w:r>
          <w:rPr>
            <w:color w:val="0562C1"/>
            <w:u w:val="single" w:color="0562C1"/>
          </w:rPr>
          <w:t>New</w:t>
        </w:r>
      </w:hyperlink>
      <w:r>
        <w:rPr>
          <w:color w:val="0562C1"/>
          <w:u w:val="none"/>
        </w:rPr>
        <w:t> </w:t>
      </w:r>
      <w:hyperlink r:id="rId255">
        <w:r>
          <w:rPr>
            <w:color w:val="0562C1"/>
            <w:u w:val="single" w:color="0562C1"/>
          </w:rPr>
          <w:t>Strategy for Victims and Survivors</w:t>
        </w:r>
      </w:hyperlink>
      <w:r>
        <w:rPr>
          <w:u w:val="none"/>
        </w:rPr>
        <w:t>’ (ECNI, 2024).</w:t>
      </w:r>
    </w:p>
    <w:p>
      <w:pPr>
        <w:pStyle w:val="BodyText"/>
        <w:spacing w:line="225" w:lineRule="auto" w:before="277"/>
        <w:ind w:left="1133" w:right="1171"/>
      </w:pPr>
      <w:r>
        <w:rPr/>
        <w:t>Equality</w:t>
      </w:r>
      <w:r>
        <w:rPr>
          <w:spacing w:val="-6"/>
        </w:rPr>
        <w:t> </w:t>
      </w:r>
      <w:r>
        <w:rPr/>
        <w:t>Commission</w:t>
      </w:r>
      <w:r>
        <w:rPr>
          <w:spacing w:val="-7"/>
        </w:rPr>
        <w:t> </w:t>
      </w:r>
      <w:r>
        <w:rPr/>
        <w:t>for</w:t>
      </w:r>
      <w:r>
        <w:rPr>
          <w:spacing w:val="-6"/>
        </w:rPr>
        <w:t> </w:t>
      </w:r>
      <w:r>
        <w:rPr/>
        <w:t>NI,</w:t>
      </w:r>
      <w:r>
        <w:rPr>
          <w:spacing w:val="-6"/>
        </w:rPr>
        <w:t> </w:t>
      </w:r>
      <w:r>
        <w:rPr/>
        <w:t>‘</w:t>
      </w:r>
      <w:hyperlink r:id="rId256">
        <w:r>
          <w:rPr>
            <w:color w:val="0562C1"/>
            <w:u w:val="single" w:color="0562C1"/>
          </w:rPr>
          <w:t>Submission</w:t>
        </w:r>
        <w:r>
          <w:rPr>
            <w:color w:val="0562C1"/>
            <w:spacing w:val="-7"/>
            <w:u w:val="single" w:color="0562C1"/>
          </w:rPr>
          <w:t> </w:t>
        </w:r>
        <w:r>
          <w:rPr>
            <w:color w:val="0562C1"/>
            <w:u w:val="single" w:color="0562C1"/>
          </w:rPr>
          <w:t>on</w:t>
        </w:r>
        <w:r>
          <w:rPr>
            <w:color w:val="0562C1"/>
            <w:spacing w:val="-7"/>
            <w:u w:val="single" w:color="0562C1"/>
          </w:rPr>
          <w:t> </w:t>
        </w:r>
        <w:r>
          <w:rPr>
            <w:color w:val="0562C1"/>
            <w:u w:val="single" w:color="0562C1"/>
          </w:rPr>
          <w:t>the</w:t>
        </w:r>
        <w:r>
          <w:rPr>
            <w:color w:val="0562C1"/>
            <w:spacing w:val="-6"/>
            <w:u w:val="single" w:color="0562C1"/>
          </w:rPr>
          <w:t> </w:t>
        </w:r>
        <w:r>
          <w:rPr>
            <w:color w:val="0562C1"/>
            <w:u w:val="single" w:color="0562C1"/>
          </w:rPr>
          <w:t>Data</w:t>
        </w:r>
        <w:r>
          <w:rPr>
            <w:color w:val="0562C1"/>
            <w:spacing w:val="-7"/>
            <w:u w:val="single" w:color="0562C1"/>
          </w:rPr>
          <w:t> </w:t>
        </w:r>
        <w:r>
          <w:rPr>
            <w:color w:val="0562C1"/>
            <w:u w:val="single" w:color="0562C1"/>
          </w:rPr>
          <w:t>Protection</w:t>
        </w:r>
        <w:r>
          <w:rPr>
            <w:color w:val="0562C1"/>
            <w:spacing w:val="-7"/>
            <w:u w:val="single" w:color="0562C1"/>
          </w:rPr>
          <w:t> </w:t>
        </w:r>
        <w:r>
          <w:rPr>
            <w:color w:val="0562C1"/>
            <w:u w:val="single" w:color="0562C1"/>
          </w:rPr>
          <w:t>and</w:t>
        </w:r>
        <w:r>
          <w:rPr>
            <w:color w:val="0562C1"/>
            <w:spacing w:val="-7"/>
            <w:u w:val="single" w:color="0562C1"/>
          </w:rPr>
          <w:t> </w:t>
        </w:r>
        <w:r>
          <w:rPr>
            <w:color w:val="0562C1"/>
            <w:u w:val="single" w:color="0562C1"/>
          </w:rPr>
          <w:t>Digital</w:t>
        </w:r>
      </w:hyperlink>
      <w:r>
        <w:rPr>
          <w:color w:val="0562C1"/>
          <w:u w:val="none"/>
        </w:rPr>
        <w:t> </w:t>
      </w:r>
      <w:hyperlink r:id="rId256">
        <w:r>
          <w:rPr>
            <w:color w:val="0562C1"/>
            <w:u w:val="single" w:color="0562C1"/>
          </w:rPr>
          <w:t>Information Bill</w:t>
        </w:r>
      </w:hyperlink>
      <w:r>
        <w:rPr>
          <w:u w:val="none"/>
        </w:rPr>
        <w:t>’ (ECNI 2024).</w:t>
      </w:r>
    </w:p>
    <w:p>
      <w:pPr>
        <w:pStyle w:val="BodyText"/>
        <w:spacing w:line="225" w:lineRule="auto" w:before="278"/>
        <w:ind w:left="1133" w:right="1171"/>
      </w:pPr>
      <w:r>
        <w:rPr/>
        <w:t>Equality</w:t>
      </w:r>
      <w:r>
        <w:rPr>
          <w:spacing w:val="-7"/>
        </w:rPr>
        <w:t> </w:t>
      </w:r>
      <w:r>
        <w:rPr/>
        <w:t>Commission</w:t>
      </w:r>
      <w:r>
        <w:rPr>
          <w:spacing w:val="-8"/>
        </w:rPr>
        <w:t> </w:t>
      </w:r>
      <w:r>
        <w:rPr/>
        <w:t>for</w:t>
      </w:r>
      <w:r>
        <w:rPr>
          <w:spacing w:val="-7"/>
        </w:rPr>
        <w:t> </w:t>
      </w:r>
      <w:r>
        <w:rPr/>
        <w:t>NI,</w:t>
      </w:r>
      <w:r>
        <w:rPr>
          <w:spacing w:val="-7"/>
        </w:rPr>
        <w:t> </w:t>
      </w:r>
      <w:r>
        <w:rPr/>
        <w:t>‘Policy</w:t>
      </w:r>
      <w:r>
        <w:rPr>
          <w:spacing w:val="-7"/>
        </w:rPr>
        <w:t> </w:t>
      </w:r>
      <w:r>
        <w:rPr/>
        <w:t>Recommendations:</w:t>
      </w:r>
      <w:r>
        <w:rPr>
          <w:spacing w:val="-7"/>
        </w:rPr>
        <w:t> </w:t>
      </w:r>
      <w:r>
        <w:rPr/>
        <w:t>The</w:t>
      </w:r>
      <w:r>
        <w:rPr>
          <w:spacing w:val="-7"/>
        </w:rPr>
        <w:t> </w:t>
      </w:r>
      <w:r>
        <w:rPr/>
        <w:t>Impact</w:t>
      </w:r>
      <w:r>
        <w:rPr>
          <w:spacing w:val="-7"/>
        </w:rPr>
        <w:t> </w:t>
      </w:r>
      <w:r>
        <w:rPr/>
        <w:t>of</w:t>
      </w:r>
      <w:r>
        <w:rPr>
          <w:spacing w:val="-8"/>
        </w:rPr>
        <w:t> </w:t>
      </w:r>
      <w:r>
        <w:rPr/>
        <w:t>Brexit</w:t>
      </w:r>
      <w:r>
        <w:rPr>
          <w:spacing w:val="-7"/>
        </w:rPr>
        <w:t> </w:t>
      </w:r>
      <w:r>
        <w:rPr/>
        <w:t>on Minority Ethnic and Migrant People in NI’ (ECNI, 2024).</w:t>
      </w:r>
    </w:p>
    <w:p>
      <w:pPr>
        <w:spacing w:after="0" w:line="225" w:lineRule="auto"/>
        <w:sectPr>
          <w:headerReference w:type="default" r:id="rId250"/>
          <w:headerReference w:type="even" r:id="rId251"/>
          <w:footerReference w:type="default" r:id="rId252"/>
          <w:pgSz w:w="11910" w:h="16840"/>
          <w:pgMar w:header="496" w:footer="0" w:top="1220" w:bottom="0" w:left="0" w:right="0"/>
          <w:pgNumType w:start="169"/>
        </w:sectPr>
      </w:pPr>
    </w:p>
    <w:p>
      <w:pPr>
        <w:pStyle w:val="BodyText"/>
        <w:spacing w:before="68"/>
        <w:rPr>
          <w:sz w:val="36"/>
        </w:rPr>
      </w:pPr>
    </w:p>
    <w:p>
      <w:pPr>
        <w:pStyle w:val="Heading3"/>
        <w:spacing w:before="1"/>
      </w:pPr>
      <w:r>
        <w:rPr>
          <w:color w:val="67287F"/>
          <w:spacing w:val="-2"/>
        </w:rPr>
        <w:t>Notes</w:t>
      </w:r>
    </w:p>
    <w:p>
      <w:pPr>
        <w:pStyle w:val="BodyText"/>
        <w:spacing w:before="168"/>
        <w:rPr>
          <w:b/>
          <w:sz w:val="20"/>
        </w:rPr>
      </w:pPr>
      <w:r>
        <w:rPr/>
        <mc:AlternateContent>
          <mc:Choice Requires="wps">
            <w:drawing>
              <wp:anchor distT="0" distB="0" distL="0" distR="0" allowOverlap="1" layoutInCell="1" locked="0" behindDoc="1" simplePos="0" relativeHeight="487738880">
                <wp:simplePos x="0" y="0"/>
                <wp:positionH relativeFrom="page">
                  <wp:posOffset>719996</wp:posOffset>
                </wp:positionH>
                <wp:positionV relativeFrom="paragraph">
                  <wp:posOffset>277427</wp:posOffset>
                </wp:positionV>
                <wp:extent cx="6120130" cy="1270"/>
                <wp:effectExtent l="0" t="0" r="0" b="0"/>
                <wp:wrapTopAndBottom/>
                <wp:docPr id="701" name="Graphic 701"/>
                <wp:cNvGraphicFramePr>
                  <a:graphicFrameLocks/>
                </wp:cNvGraphicFramePr>
                <a:graphic>
                  <a:graphicData uri="http://schemas.microsoft.com/office/word/2010/wordprocessingShape">
                    <wps:wsp>
                      <wps:cNvPr id="701" name="Graphic 701"/>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1.844688pt;width:481.9pt;height:.1pt;mso-position-horizontal-relative:page;mso-position-vertical-relative:paragraph;z-index:-15577600;mso-wrap-distance-left:0;mso-wrap-distance-right:0" id="docshape634" coordorigin="1134,437" coordsize="9638,0" path="m10772,437l1134,437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39392">
                <wp:simplePos x="0" y="0"/>
                <wp:positionH relativeFrom="page">
                  <wp:posOffset>719996</wp:posOffset>
                </wp:positionH>
                <wp:positionV relativeFrom="paragraph">
                  <wp:posOffset>529428</wp:posOffset>
                </wp:positionV>
                <wp:extent cx="6120130" cy="1270"/>
                <wp:effectExtent l="0" t="0" r="0" b="0"/>
                <wp:wrapTopAndBottom/>
                <wp:docPr id="702" name="Graphic 702"/>
                <wp:cNvGraphicFramePr>
                  <a:graphicFrameLocks/>
                </wp:cNvGraphicFramePr>
                <a:graphic>
                  <a:graphicData uri="http://schemas.microsoft.com/office/word/2010/wordprocessingShape">
                    <wps:wsp>
                      <wps:cNvPr id="702" name="Graphic 702"/>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41.687286pt;width:481.9pt;height:.1pt;mso-position-horizontal-relative:page;mso-position-vertical-relative:paragraph;z-index:-15577088;mso-wrap-distance-left:0;mso-wrap-distance-right:0" id="docshape635" coordorigin="1134,834" coordsize="9638,0" path="m10772,834l1134,834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39904">
                <wp:simplePos x="0" y="0"/>
                <wp:positionH relativeFrom="page">
                  <wp:posOffset>719996</wp:posOffset>
                </wp:positionH>
                <wp:positionV relativeFrom="paragraph">
                  <wp:posOffset>781428</wp:posOffset>
                </wp:positionV>
                <wp:extent cx="6120130" cy="1270"/>
                <wp:effectExtent l="0" t="0" r="0" b="0"/>
                <wp:wrapTopAndBottom/>
                <wp:docPr id="703" name="Graphic 703"/>
                <wp:cNvGraphicFramePr>
                  <a:graphicFrameLocks/>
                </wp:cNvGraphicFramePr>
                <a:graphic>
                  <a:graphicData uri="http://schemas.microsoft.com/office/word/2010/wordprocessingShape">
                    <wps:wsp>
                      <wps:cNvPr id="703" name="Graphic 703"/>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61.529789pt;width:481.9pt;height:.1pt;mso-position-horizontal-relative:page;mso-position-vertical-relative:paragraph;z-index:-15576576;mso-wrap-distance-left:0;mso-wrap-distance-right:0" id="docshape636" coordorigin="1134,1231" coordsize="9638,0" path="m10772,1231l1134,1231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0416">
                <wp:simplePos x="0" y="0"/>
                <wp:positionH relativeFrom="page">
                  <wp:posOffset>719996</wp:posOffset>
                </wp:positionH>
                <wp:positionV relativeFrom="paragraph">
                  <wp:posOffset>1033428</wp:posOffset>
                </wp:positionV>
                <wp:extent cx="6120130" cy="1270"/>
                <wp:effectExtent l="0" t="0" r="0" b="0"/>
                <wp:wrapTopAndBottom/>
                <wp:docPr id="704" name="Graphic 704"/>
                <wp:cNvGraphicFramePr>
                  <a:graphicFrameLocks/>
                </wp:cNvGraphicFramePr>
                <a:graphic>
                  <a:graphicData uri="http://schemas.microsoft.com/office/word/2010/wordprocessingShape">
                    <wps:wsp>
                      <wps:cNvPr id="704" name="Graphic 704"/>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81.372284pt;width:481.9pt;height:.1pt;mso-position-horizontal-relative:page;mso-position-vertical-relative:paragraph;z-index:-15576064;mso-wrap-distance-left:0;mso-wrap-distance-right:0" id="docshape637" coordorigin="1134,1627" coordsize="9638,0" path="m10772,1627l1134,1627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0928">
                <wp:simplePos x="0" y="0"/>
                <wp:positionH relativeFrom="page">
                  <wp:posOffset>719996</wp:posOffset>
                </wp:positionH>
                <wp:positionV relativeFrom="paragraph">
                  <wp:posOffset>1285425</wp:posOffset>
                </wp:positionV>
                <wp:extent cx="6120130" cy="1270"/>
                <wp:effectExtent l="0" t="0" r="0" b="0"/>
                <wp:wrapTopAndBottom/>
                <wp:docPr id="705" name="Graphic 705"/>
                <wp:cNvGraphicFramePr>
                  <a:graphicFrameLocks/>
                </wp:cNvGraphicFramePr>
                <a:graphic>
                  <a:graphicData uri="http://schemas.microsoft.com/office/word/2010/wordprocessingShape">
                    <wps:wsp>
                      <wps:cNvPr id="705" name="Graphic 70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01.214584pt;width:481.9pt;height:.1pt;mso-position-horizontal-relative:page;mso-position-vertical-relative:paragraph;z-index:-15575552;mso-wrap-distance-left:0;mso-wrap-distance-right:0" id="docshape638" coordorigin="1134,2024" coordsize="9638,0" path="m10772,2024l1134,2024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1440">
                <wp:simplePos x="0" y="0"/>
                <wp:positionH relativeFrom="page">
                  <wp:posOffset>719996</wp:posOffset>
                </wp:positionH>
                <wp:positionV relativeFrom="paragraph">
                  <wp:posOffset>1537425</wp:posOffset>
                </wp:positionV>
                <wp:extent cx="6120130" cy="1270"/>
                <wp:effectExtent l="0" t="0" r="0" b="0"/>
                <wp:wrapTopAndBottom/>
                <wp:docPr id="706" name="Graphic 706"/>
                <wp:cNvGraphicFramePr>
                  <a:graphicFrameLocks/>
                </wp:cNvGraphicFramePr>
                <a:graphic>
                  <a:graphicData uri="http://schemas.microsoft.com/office/word/2010/wordprocessingShape">
                    <wps:wsp>
                      <wps:cNvPr id="706" name="Graphic 706"/>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21.057091pt;width:481.9pt;height:.1pt;mso-position-horizontal-relative:page;mso-position-vertical-relative:paragraph;z-index:-15575040;mso-wrap-distance-left:0;mso-wrap-distance-right:0" id="docshape639" coordorigin="1134,2421" coordsize="9638,0" path="m10772,2421l1134,2421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1952">
                <wp:simplePos x="0" y="0"/>
                <wp:positionH relativeFrom="page">
                  <wp:posOffset>719996</wp:posOffset>
                </wp:positionH>
                <wp:positionV relativeFrom="paragraph">
                  <wp:posOffset>1789426</wp:posOffset>
                </wp:positionV>
                <wp:extent cx="6120130" cy="1270"/>
                <wp:effectExtent l="0" t="0" r="0" b="0"/>
                <wp:wrapTopAndBottom/>
                <wp:docPr id="707" name="Graphic 707"/>
                <wp:cNvGraphicFramePr>
                  <a:graphicFrameLocks/>
                </wp:cNvGraphicFramePr>
                <a:graphic>
                  <a:graphicData uri="http://schemas.microsoft.com/office/word/2010/wordprocessingShape">
                    <wps:wsp>
                      <wps:cNvPr id="707" name="Graphic 707"/>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40.899689pt;width:481.9pt;height:.1pt;mso-position-horizontal-relative:page;mso-position-vertical-relative:paragraph;z-index:-15574528;mso-wrap-distance-left:0;mso-wrap-distance-right:0" id="docshape640" coordorigin="1134,2818" coordsize="9638,0" path="m10772,2818l1134,2818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2464">
                <wp:simplePos x="0" y="0"/>
                <wp:positionH relativeFrom="page">
                  <wp:posOffset>719996</wp:posOffset>
                </wp:positionH>
                <wp:positionV relativeFrom="paragraph">
                  <wp:posOffset>2041425</wp:posOffset>
                </wp:positionV>
                <wp:extent cx="6120130" cy="1270"/>
                <wp:effectExtent l="0" t="0" r="0" b="0"/>
                <wp:wrapTopAndBottom/>
                <wp:docPr id="708" name="Graphic 708"/>
                <wp:cNvGraphicFramePr>
                  <a:graphicFrameLocks/>
                </wp:cNvGraphicFramePr>
                <a:graphic>
                  <a:graphicData uri="http://schemas.microsoft.com/office/word/2010/wordprocessingShape">
                    <wps:wsp>
                      <wps:cNvPr id="708" name="Graphic 708"/>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60.742188pt;width:481.9pt;height:.1pt;mso-position-horizontal-relative:page;mso-position-vertical-relative:paragraph;z-index:-15574016;mso-wrap-distance-left:0;mso-wrap-distance-right:0" id="docshape641" coordorigin="1134,3215" coordsize="9638,0" path="m10772,3215l1134,3215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2976">
                <wp:simplePos x="0" y="0"/>
                <wp:positionH relativeFrom="page">
                  <wp:posOffset>719996</wp:posOffset>
                </wp:positionH>
                <wp:positionV relativeFrom="paragraph">
                  <wp:posOffset>2293425</wp:posOffset>
                </wp:positionV>
                <wp:extent cx="6120130" cy="1270"/>
                <wp:effectExtent l="0" t="0" r="0" b="0"/>
                <wp:wrapTopAndBottom/>
                <wp:docPr id="709" name="Graphic 709"/>
                <wp:cNvGraphicFramePr>
                  <a:graphicFrameLocks/>
                </wp:cNvGraphicFramePr>
                <a:graphic>
                  <a:graphicData uri="http://schemas.microsoft.com/office/word/2010/wordprocessingShape">
                    <wps:wsp>
                      <wps:cNvPr id="709" name="Graphic 70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80.584686pt;width:481.9pt;height:.1pt;mso-position-horizontal-relative:page;mso-position-vertical-relative:paragraph;z-index:-15573504;mso-wrap-distance-left:0;mso-wrap-distance-right:0" id="docshape642" coordorigin="1134,3612" coordsize="9638,0" path="m10772,3612l1134,3612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3488">
                <wp:simplePos x="0" y="0"/>
                <wp:positionH relativeFrom="page">
                  <wp:posOffset>719996</wp:posOffset>
                </wp:positionH>
                <wp:positionV relativeFrom="paragraph">
                  <wp:posOffset>2545425</wp:posOffset>
                </wp:positionV>
                <wp:extent cx="6120130" cy="1270"/>
                <wp:effectExtent l="0" t="0" r="0" b="0"/>
                <wp:wrapTopAndBottom/>
                <wp:docPr id="710" name="Graphic 710"/>
                <wp:cNvGraphicFramePr>
                  <a:graphicFrameLocks/>
                </wp:cNvGraphicFramePr>
                <a:graphic>
                  <a:graphicData uri="http://schemas.microsoft.com/office/word/2010/wordprocessingShape">
                    <wps:wsp>
                      <wps:cNvPr id="710" name="Graphic 71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00.427185pt;width:481.9pt;height:.1pt;mso-position-horizontal-relative:page;mso-position-vertical-relative:paragraph;z-index:-15572992;mso-wrap-distance-left:0;mso-wrap-distance-right:0" id="docshape643" coordorigin="1134,4009" coordsize="9638,0" path="m10772,4009l1134,4009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4000">
                <wp:simplePos x="0" y="0"/>
                <wp:positionH relativeFrom="page">
                  <wp:posOffset>719996</wp:posOffset>
                </wp:positionH>
                <wp:positionV relativeFrom="paragraph">
                  <wp:posOffset>2797426</wp:posOffset>
                </wp:positionV>
                <wp:extent cx="6120130" cy="1270"/>
                <wp:effectExtent l="0" t="0" r="0" b="0"/>
                <wp:wrapTopAndBottom/>
                <wp:docPr id="711" name="Graphic 711"/>
                <wp:cNvGraphicFramePr>
                  <a:graphicFrameLocks/>
                </wp:cNvGraphicFramePr>
                <a:graphic>
                  <a:graphicData uri="http://schemas.microsoft.com/office/word/2010/wordprocessingShape">
                    <wps:wsp>
                      <wps:cNvPr id="711" name="Graphic 711"/>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20.269791pt;width:481.9pt;height:.1pt;mso-position-horizontal-relative:page;mso-position-vertical-relative:paragraph;z-index:-15572480;mso-wrap-distance-left:0;mso-wrap-distance-right:0" id="docshape644" coordorigin="1134,4405" coordsize="9638,0" path="m10772,4405l1134,4405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4512">
                <wp:simplePos x="0" y="0"/>
                <wp:positionH relativeFrom="page">
                  <wp:posOffset>719996</wp:posOffset>
                </wp:positionH>
                <wp:positionV relativeFrom="paragraph">
                  <wp:posOffset>3049426</wp:posOffset>
                </wp:positionV>
                <wp:extent cx="6120130" cy="1270"/>
                <wp:effectExtent l="0" t="0" r="0" b="0"/>
                <wp:wrapTopAndBottom/>
                <wp:docPr id="712" name="Graphic 712"/>
                <wp:cNvGraphicFramePr>
                  <a:graphicFrameLocks/>
                </wp:cNvGraphicFramePr>
                <a:graphic>
                  <a:graphicData uri="http://schemas.microsoft.com/office/word/2010/wordprocessingShape">
                    <wps:wsp>
                      <wps:cNvPr id="712" name="Graphic 712"/>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40.112289pt;width:481.9pt;height:.1pt;mso-position-horizontal-relative:page;mso-position-vertical-relative:paragraph;z-index:-15571968;mso-wrap-distance-left:0;mso-wrap-distance-right:0" id="docshape645" coordorigin="1134,4802" coordsize="9638,0" path="m10772,4802l1134,4802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5024">
                <wp:simplePos x="0" y="0"/>
                <wp:positionH relativeFrom="page">
                  <wp:posOffset>719996</wp:posOffset>
                </wp:positionH>
                <wp:positionV relativeFrom="paragraph">
                  <wp:posOffset>3301425</wp:posOffset>
                </wp:positionV>
                <wp:extent cx="6120130" cy="1270"/>
                <wp:effectExtent l="0" t="0" r="0" b="0"/>
                <wp:wrapTopAndBottom/>
                <wp:docPr id="713" name="Graphic 713"/>
                <wp:cNvGraphicFramePr>
                  <a:graphicFrameLocks/>
                </wp:cNvGraphicFramePr>
                <a:graphic>
                  <a:graphicData uri="http://schemas.microsoft.com/office/word/2010/wordprocessingShape">
                    <wps:wsp>
                      <wps:cNvPr id="713" name="Graphic 713"/>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59.954773pt;width:481.9pt;height:.1pt;mso-position-horizontal-relative:page;mso-position-vertical-relative:paragraph;z-index:-15571456;mso-wrap-distance-left:0;mso-wrap-distance-right:0" id="docshape646" coordorigin="1134,5199" coordsize="9638,0" path="m10772,5199l1134,5199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5536">
                <wp:simplePos x="0" y="0"/>
                <wp:positionH relativeFrom="page">
                  <wp:posOffset>719996</wp:posOffset>
                </wp:positionH>
                <wp:positionV relativeFrom="paragraph">
                  <wp:posOffset>3553426</wp:posOffset>
                </wp:positionV>
                <wp:extent cx="6120130" cy="1270"/>
                <wp:effectExtent l="0" t="0" r="0" b="0"/>
                <wp:wrapTopAndBottom/>
                <wp:docPr id="714" name="Graphic 714"/>
                <wp:cNvGraphicFramePr>
                  <a:graphicFrameLocks/>
                </wp:cNvGraphicFramePr>
                <a:graphic>
                  <a:graphicData uri="http://schemas.microsoft.com/office/word/2010/wordprocessingShape">
                    <wps:wsp>
                      <wps:cNvPr id="714" name="Graphic 714"/>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79.797394pt;width:481.9pt;height:.1pt;mso-position-horizontal-relative:page;mso-position-vertical-relative:paragraph;z-index:-15570944;mso-wrap-distance-left:0;mso-wrap-distance-right:0" id="docshape647" coordorigin="1134,5596" coordsize="9638,0" path="m10772,5596l1134,5596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6048">
                <wp:simplePos x="0" y="0"/>
                <wp:positionH relativeFrom="page">
                  <wp:posOffset>719996</wp:posOffset>
                </wp:positionH>
                <wp:positionV relativeFrom="paragraph">
                  <wp:posOffset>3805426</wp:posOffset>
                </wp:positionV>
                <wp:extent cx="6120130" cy="1270"/>
                <wp:effectExtent l="0" t="0" r="0" b="0"/>
                <wp:wrapTopAndBottom/>
                <wp:docPr id="715" name="Graphic 715"/>
                <wp:cNvGraphicFramePr>
                  <a:graphicFrameLocks/>
                </wp:cNvGraphicFramePr>
                <a:graphic>
                  <a:graphicData uri="http://schemas.microsoft.com/office/word/2010/wordprocessingShape">
                    <wps:wsp>
                      <wps:cNvPr id="715" name="Graphic 71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99.639893pt;width:481.9pt;height:.1pt;mso-position-horizontal-relative:page;mso-position-vertical-relative:paragraph;z-index:-15570432;mso-wrap-distance-left:0;mso-wrap-distance-right:0" id="docshape648" coordorigin="1134,5993" coordsize="9638,0" path="m10772,5993l1134,5993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6560">
                <wp:simplePos x="0" y="0"/>
                <wp:positionH relativeFrom="page">
                  <wp:posOffset>719996</wp:posOffset>
                </wp:positionH>
                <wp:positionV relativeFrom="paragraph">
                  <wp:posOffset>4057426</wp:posOffset>
                </wp:positionV>
                <wp:extent cx="6120130" cy="1270"/>
                <wp:effectExtent l="0" t="0" r="0" b="0"/>
                <wp:wrapTopAndBottom/>
                <wp:docPr id="716" name="Graphic 716"/>
                <wp:cNvGraphicFramePr>
                  <a:graphicFrameLocks/>
                </wp:cNvGraphicFramePr>
                <a:graphic>
                  <a:graphicData uri="http://schemas.microsoft.com/office/word/2010/wordprocessingShape">
                    <wps:wsp>
                      <wps:cNvPr id="716" name="Graphic 716"/>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319.482391pt;width:481.9pt;height:.1pt;mso-position-horizontal-relative:page;mso-position-vertical-relative:paragraph;z-index:-15569920;mso-wrap-distance-left:0;mso-wrap-distance-right:0" id="docshape649" coordorigin="1134,6390" coordsize="9638,0" path="m10772,6390l1134,6390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7072">
                <wp:simplePos x="0" y="0"/>
                <wp:positionH relativeFrom="page">
                  <wp:posOffset>719996</wp:posOffset>
                </wp:positionH>
                <wp:positionV relativeFrom="paragraph">
                  <wp:posOffset>4309427</wp:posOffset>
                </wp:positionV>
                <wp:extent cx="6120130" cy="1270"/>
                <wp:effectExtent l="0" t="0" r="0" b="0"/>
                <wp:wrapTopAndBottom/>
                <wp:docPr id="717" name="Graphic 717"/>
                <wp:cNvGraphicFramePr>
                  <a:graphicFrameLocks/>
                </wp:cNvGraphicFramePr>
                <a:graphic>
                  <a:graphicData uri="http://schemas.microsoft.com/office/word/2010/wordprocessingShape">
                    <wps:wsp>
                      <wps:cNvPr id="717" name="Graphic 717"/>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339.324982pt;width:481.9pt;height:.1pt;mso-position-horizontal-relative:page;mso-position-vertical-relative:paragraph;z-index:-15569408;mso-wrap-distance-left:0;mso-wrap-distance-right:0" id="docshape650" coordorigin="1134,6786" coordsize="9638,0" path="m10772,6786l1134,6786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7584">
                <wp:simplePos x="0" y="0"/>
                <wp:positionH relativeFrom="page">
                  <wp:posOffset>719996</wp:posOffset>
                </wp:positionH>
                <wp:positionV relativeFrom="paragraph">
                  <wp:posOffset>4561427</wp:posOffset>
                </wp:positionV>
                <wp:extent cx="6120130" cy="1270"/>
                <wp:effectExtent l="0" t="0" r="0" b="0"/>
                <wp:wrapTopAndBottom/>
                <wp:docPr id="718" name="Graphic 718"/>
                <wp:cNvGraphicFramePr>
                  <a:graphicFrameLocks/>
                </wp:cNvGraphicFramePr>
                <a:graphic>
                  <a:graphicData uri="http://schemas.microsoft.com/office/word/2010/wordprocessingShape">
                    <wps:wsp>
                      <wps:cNvPr id="718" name="Graphic 718"/>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359.16748pt;width:481.9pt;height:.1pt;mso-position-horizontal-relative:page;mso-position-vertical-relative:paragraph;z-index:-15568896;mso-wrap-distance-left:0;mso-wrap-distance-right:0" id="docshape651" coordorigin="1134,7183" coordsize="9638,0" path="m10772,7183l1134,7183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8096">
                <wp:simplePos x="0" y="0"/>
                <wp:positionH relativeFrom="page">
                  <wp:posOffset>719996</wp:posOffset>
                </wp:positionH>
                <wp:positionV relativeFrom="paragraph">
                  <wp:posOffset>4813426</wp:posOffset>
                </wp:positionV>
                <wp:extent cx="6120130" cy="1270"/>
                <wp:effectExtent l="0" t="0" r="0" b="0"/>
                <wp:wrapTopAndBottom/>
                <wp:docPr id="719" name="Graphic 719"/>
                <wp:cNvGraphicFramePr>
                  <a:graphicFrameLocks/>
                </wp:cNvGraphicFramePr>
                <a:graphic>
                  <a:graphicData uri="http://schemas.microsoft.com/office/word/2010/wordprocessingShape">
                    <wps:wsp>
                      <wps:cNvPr id="719" name="Graphic 71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379.009979pt;width:481.9pt;height:.1pt;mso-position-horizontal-relative:page;mso-position-vertical-relative:paragraph;z-index:-15568384;mso-wrap-distance-left:0;mso-wrap-distance-right:0" id="docshape652" coordorigin="1134,7580" coordsize="9638,0" path="m10772,7580l1134,7580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8608">
                <wp:simplePos x="0" y="0"/>
                <wp:positionH relativeFrom="page">
                  <wp:posOffset>719996</wp:posOffset>
                </wp:positionH>
                <wp:positionV relativeFrom="paragraph">
                  <wp:posOffset>5065426</wp:posOffset>
                </wp:positionV>
                <wp:extent cx="6120130" cy="1270"/>
                <wp:effectExtent l="0" t="0" r="0" b="0"/>
                <wp:wrapTopAndBottom/>
                <wp:docPr id="720" name="Graphic 720"/>
                <wp:cNvGraphicFramePr>
                  <a:graphicFrameLocks/>
                </wp:cNvGraphicFramePr>
                <a:graphic>
                  <a:graphicData uri="http://schemas.microsoft.com/office/word/2010/wordprocessingShape">
                    <wps:wsp>
                      <wps:cNvPr id="720" name="Graphic 72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398.852478pt;width:481.9pt;height:.1pt;mso-position-horizontal-relative:page;mso-position-vertical-relative:paragraph;z-index:-15567872;mso-wrap-distance-left:0;mso-wrap-distance-right:0" id="docshape653" coordorigin="1134,7977" coordsize="9638,0" path="m10772,7977l1134,7977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9120">
                <wp:simplePos x="0" y="0"/>
                <wp:positionH relativeFrom="page">
                  <wp:posOffset>719996</wp:posOffset>
                </wp:positionH>
                <wp:positionV relativeFrom="paragraph">
                  <wp:posOffset>5317427</wp:posOffset>
                </wp:positionV>
                <wp:extent cx="6120130" cy="1270"/>
                <wp:effectExtent l="0" t="0" r="0" b="0"/>
                <wp:wrapTopAndBottom/>
                <wp:docPr id="721" name="Graphic 721"/>
                <wp:cNvGraphicFramePr>
                  <a:graphicFrameLocks/>
                </wp:cNvGraphicFramePr>
                <a:graphic>
                  <a:graphicData uri="http://schemas.microsoft.com/office/word/2010/wordprocessingShape">
                    <wps:wsp>
                      <wps:cNvPr id="721" name="Graphic 721"/>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418.695099pt;width:481.9pt;height:.1pt;mso-position-horizontal-relative:page;mso-position-vertical-relative:paragraph;z-index:-15567360;mso-wrap-distance-left:0;mso-wrap-distance-right:0" id="docshape654" coordorigin="1134,8374" coordsize="9638,0" path="m10772,8374l1134,8374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49632">
                <wp:simplePos x="0" y="0"/>
                <wp:positionH relativeFrom="page">
                  <wp:posOffset>719996</wp:posOffset>
                </wp:positionH>
                <wp:positionV relativeFrom="paragraph">
                  <wp:posOffset>5569427</wp:posOffset>
                </wp:positionV>
                <wp:extent cx="6120130" cy="1270"/>
                <wp:effectExtent l="0" t="0" r="0" b="0"/>
                <wp:wrapTopAndBottom/>
                <wp:docPr id="722" name="Graphic 722"/>
                <wp:cNvGraphicFramePr>
                  <a:graphicFrameLocks/>
                </wp:cNvGraphicFramePr>
                <a:graphic>
                  <a:graphicData uri="http://schemas.microsoft.com/office/word/2010/wordprocessingShape">
                    <wps:wsp>
                      <wps:cNvPr id="722" name="Graphic 722"/>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438.537598pt;width:481.9pt;height:.1pt;mso-position-horizontal-relative:page;mso-position-vertical-relative:paragraph;z-index:-15566848;mso-wrap-distance-left:0;mso-wrap-distance-right:0" id="docshape655" coordorigin="1134,8771" coordsize="9638,0" path="m10772,8771l1134,8771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50144">
                <wp:simplePos x="0" y="0"/>
                <wp:positionH relativeFrom="page">
                  <wp:posOffset>719996</wp:posOffset>
                </wp:positionH>
                <wp:positionV relativeFrom="paragraph">
                  <wp:posOffset>5821427</wp:posOffset>
                </wp:positionV>
                <wp:extent cx="6120130" cy="1270"/>
                <wp:effectExtent l="0" t="0" r="0" b="0"/>
                <wp:wrapTopAndBottom/>
                <wp:docPr id="723" name="Graphic 723"/>
                <wp:cNvGraphicFramePr>
                  <a:graphicFrameLocks/>
                </wp:cNvGraphicFramePr>
                <a:graphic>
                  <a:graphicData uri="http://schemas.microsoft.com/office/word/2010/wordprocessingShape">
                    <wps:wsp>
                      <wps:cNvPr id="723" name="Graphic 723"/>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458.380096pt;width:481.9pt;height:.1pt;mso-position-horizontal-relative:page;mso-position-vertical-relative:paragraph;z-index:-15566336;mso-wrap-distance-left:0;mso-wrap-distance-right:0" id="docshape656" coordorigin="1134,9168" coordsize="9638,0" path="m10772,9168l1134,9168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50656">
                <wp:simplePos x="0" y="0"/>
                <wp:positionH relativeFrom="page">
                  <wp:posOffset>719996</wp:posOffset>
                </wp:positionH>
                <wp:positionV relativeFrom="paragraph">
                  <wp:posOffset>6072976</wp:posOffset>
                </wp:positionV>
                <wp:extent cx="6120130" cy="1270"/>
                <wp:effectExtent l="0" t="0" r="0" b="0"/>
                <wp:wrapTopAndBottom/>
                <wp:docPr id="724" name="Graphic 724"/>
                <wp:cNvGraphicFramePr>
                  <a:graphicFrameLocks/>
                </wp:cNvGraphicFramePr>
                <a:graphic>
                  <a:graphicData uri="http://schemas.microsoft.com/office/word/2010/wordprocessingShape">
                    <wps:wsp>
                      <wps:cNvPr id="724" name="Graphic 724"/>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478.187134pt;width:481.9pt;height:.1pt;mso-position-horizontal-relative:page;mso-position-vertical-relative:paragraph;z-index:-15565824;mso-wrap-distance-left:0;mso-wrap-distance-right:0" id="docshape657" coordorigin="1134,9564" coordsize="9638,0" path="m10772,9564l1134,9564e" filled="false" stroked="true" strokeweight="1pt" strokecolor="#393b80">
                <v:path arrowok="t"/>
                <v:stroke dashstyle="solid"/>
                <w10:wrap type="topAndBottom"/>
              </v:shape>
            </w:pict>
          </mc:Fallback>
        </mc:AlternateContent>
      </w: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spacing w:after="0"/>
        <w:rPr>
          <w:sz w:val="20"/>
        </w:rPr>
        <w:sectPr>
          <w:headerReference w:type="even" r:id="rId257"/>
          <w:headerReference w:type="default" r:id="rId258"/>
          <w:footerReference w:type="even" r:id="rId259"/>
          <w:footerReference w:type="default" r:id="rId260"/>
          <w:pgSz w:w="11910" w:h="16840"/>
          <w:pgMar w:header="496" w:footer="4506" w:top="1220" w:bottom="4700" w:left="0" w:right="0"/>
          <w:pgNumType w:start="170"/>
        </w:sectPr>
      </w:pPr>
    </w:p>
    <w:p>
      <w:pPr>
        <w:pStyle w:val="BodyText"/>
        <w:rPr>
          <w:b/>
          <w:sz w:val="20"/>
        </w:rPr>
      </w:pPr>
    </w:p>
    <w:p>
      <w:pPr>
        <w:pStyle w:val="BodyText"/>
        <w:spacing w:before="102" w:after="1"/>
        <w:rPr>
          <w:b/>
          <w:sz w:val="20"/>
        </w:rPr>
      </w:pPr>
    </w:p>
    <w:p>
      <w:pPr>
        <w:pStyle w:val="BodyText"/>
        <w:spacing w:line="20" w:lineRule="exact"/>
        <w:ind w:left="1133"/>
        <w:rPr>
          <w:sz w:val="2"/>
        </w:rPr>
      </w:pPr>
      <w:r>
        <w:rPr>
          <w:sz w:val="2"/>
        </w:rPr>
        <mc:AlternateContent>
          <mc:Choice Requires="wps">
            <w:drawing>
              <wp:inline distT="0" distB="0" distL="0" distR="0">
                <wp:extent cx="6120130" cy="12700"/>
                <wp:effectExtent l="9525" t="0" r="4445" b="6350"/>
                <wp:docPr id="725" name="Group 725"/>
                <wp:cNvGraphicFramePr>
                  <a:graphicFrameLocks/>
                </wp:cNvGraphicFramePr>
                <a:graphic>
                  <a:graphicData uri="http://schemas.microsoft.com/office/word/2010/wordprocessingGroup">
                    <wpg:wgp>
                      <wpg:cNvPr id="725" name="Group 725"/>
                      <wpg:cNvGrpSpPr/>
                      <wpg:grpSpPr>
                        <a:xfrm>
                          <a:off x="0" y="0"/>
                          <a:ext cx="6120130" cy="12700"/>
                          <a:chExt cx="6120130" cy="12700"/>
                        </a:xfrm>
                      </wpg:grpSpPr>
                      <wps:wsp>
                        <wps:cNvPr id="726" name="Graphic 726"/>
                        <wps:cNvSpPr/>
                        <wps:spPr>
                          <a:xfrm>
                            <a:off x="0" y="635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wpg:wgp>
                  </a:graphicData>
                </a:graphic>
              </wp:inline>
            </w:drawing>
          </mc:Choice>
          <mc:Fallback>
            <w:pict>
              <v:group style="width:481.9pt;height:1pt;mso-position-horizontal-relative:char;mso-position-vertical-relative:line" id="docshapegroup658" coordorigin="0,0" coordsize="9638,20">
                <v:line style="position:absolute" from="9638,10" to="0,10" stroked="true" strokeweight="1pt" strokecolor="#393b80">
                  <v:stroke dashstyle="solid"/>
                </v:line>
              </v:group>
            </w:pict>
          </mc:Fallback>
        </mc:AlternateContent>
      </w:r>
      <w:r>
        <w:rPr>
          <w:sz w:val="2"/>
        </w:rPr>
      </w:r>
    </w:p>
    <w:p>
      <w:pPr>
        <w:pStyle w:val="BodyText"/>
        <w:spacing w:before="108"/>
        <w:rPr>
          <w:b/>
          <w:sz w:val="20"/>
        </w:rPr>
      </w:pPr>
      <w:r>
        <w:rPr/>
        <mc:AlternateContent>
          <mc:Choice Requires="wps">
            <w:drawing>
              <wp:anchor distT="0" distB="0" distL="0" distR="0" allowOverlap="1" layoutInCell="1" locked="0" behindDoc="1" simplePos="0" relativeHeight="487751680">
                <wp:simplePos x="0" y="0"/>
                <wp:positionH relativeFrom="page">
                  <wp:posOffset>719996</wp:posOffset>
                </wp:positionH>
                <wp:positionV relativeFrom="paragraph">
                  <wp:posOffset>239299</wp:posOffset>
                </wp:positionV>
                <wp:extent cx="6120130" cy="1270"/>
                <wp:effectExtent l="0" t="0" r="0" b="0"/>
                <wp:wrapTopAndBottom/>
                <wp:docPr id="727" name="Graphic 727"/>
                <wp:cNvGraphicFramePr>
                  <a:graphicFrameLocks/>
                </wp:cNvGraphicFramePr>
                <a:graphic>
                  <a:graphicData uri="http://schemas.microsoft.com/office/word/2010/wordprocessingShape">
                    <wps:wsp>
                      <wps:cNvPr id="727" name="Graphic 727"/>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8.842501pt;width:481.9pt;height:.1pt;mso-position-horizontal-relative:page;mso-position-vertical-relative:paragraph;z-index:-15564800;mso-wrap-distance-left:0;mso-wrap-distance-right:0" id="docshape659" coordorigin="1134,377" coordsize="9638,0" path="m10772,377l1134,377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52192">
                <wp:simplePos x="0" y="0"/>
                <wp:positionH relativeFrom="page">
                  <wp:posOffset>719996</wp:posOffset>
                </wp:positionH>
                <wp:positionV relativeFrom="paragraph">
                  <wp:posOffset>491299</wp:posOffset>
                </wp:positionV>
                <wp:extent cx="6120130" cy="1270"/>
                <wp:effectExtent l="0" t="0" r="0" b="0"/>
                <wp:wrapTopAndBottom/>
                <wp:docPr id="728" name="Graphic 728"/>
                <wp:cNvGraphicFramePr>
                  <a:graphicFrameLocks/>
                </wp:cNvGraphicFramePr>
                <a:graphic>
                  <a:graphicData uri="http://schemas.microsoft.com/office/word/2010/wordprocessingShape">
                    <wps:wsp>
                      <wps:cNvPr id="728" name="Graphic 728"/>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38.685001pt;width:481.9pt;height:.1pt;mso-position-horizontal-relative:page;mso-position-vertical-relative:paragraph;z-index:-15564288;mso-wrap-distance-left:0;mso-wrap-distance-right:0" id="docshape660" coordorigin="1134,774" coordsize="9638,0" path="m10772,774l1134,774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52704">
                <wp:simplePos x="0" y="0"/>
                <wp:positionH relativeFrom="page">
                  <wp:posOffset>719996</wp:posOffset>
                </wp:positionH>
                <wp:positionV relativeFrom="paragraph">
                  <wp:posOffset>743300</wp:posOffset>
                </wp:positionV>
                <wp:extent cx="6120130" cy="1270"/>
                <wp:effectExtent l="0" t="0" r="0" b="0"/>
                <wp:wrapTopAndBottom/>
                <wp:docPr id="729" name="Graphic 729"/>
                <wp:cNvGraphicFramePr>
                  <a:graphicFrameLocks/>
                </wp:cNvGraphicFramePr>
                <a:graphic>
                  <a:graphicData uri="http://schemas.microsoft.com/office/word/2010/wordprocessingShape">
                    <wps:wsp>
                      <wps:cNvPr id="729" name="Graphic 72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58.527599pt;width:481.9pt;height:.1pt;mso-position-horizontal-relative:page;mso-position-vertical-relative:paragraph;z-index:-15563776;mso-wrap-distance-left:0;mso-wrap-distance-right:0" id="docshape661" coordorigin="1134,1171" coordsize="9638,0" path="m10772,1171l1134,1171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53216">
                <wp:simplePos x="0" y="0"/>
                <wp:positionH relativeFrom="page">
                  <wp:posOffset>719996</wp:posOffset>
                </wp:positionH>
                <wp:positionV relativeFrom="paragraph">
                  <wp:posOffset>995300</wp:posOffset>
                </wp:positionV>
                <wp:extent cx="6120130" cy="1270"/>
                <wp:effectExtent l="0" t="0" r="0" b="0"/>
                <wp:wrapTopAndBottom/>
                <wp:docPr id="730" name="Graphic 730"/>
                <wp:cNvGraphicFramePr>
                  <a:graphicFrameLocks/>
                </wp:cNvGraphicFramePr>
                <a:graphic>
                  <a:graphicData uri="http://schemas.microsoft.com/office/word/2010/wordprocessingShape">
                    <wps:wsp>
                      <wps:cNvPr id="730" name="Graphic 73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78.370102pt;width:481.9pt;height:.1pt;mso-position-horizontal-relative:page;mso-position-vertical-relative:paragraph;z-index:-15563264;mso-wrap-distance-left:0;mso-wrap-distance-right:0" id="docshape662" coordorigin="1134,1567" coordsize="9638,0" path="m10772,1567l1134,1567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53728">
                <wp:simplePos x="0" y="0"/>
                <wp:positionH relativeFrom="page">
                  <wp:posOffset>719996</wp:posOffset>
                </wp:positionH>
                <wp:positionV relativeFrom="paragraph">
                  <wp:posOffset>1247300</wp:posOffset>
                </wp:positionV>
                <wp:extent cx="6120130" cy="1270"/>
                <wp:effectExtent l="0" t="0" r="0" b="0"/>
                <wp:wrapTopAndBottom/>
                <wp:docPr id="731" name="Graphic 731"/>
                <wp:cNvGraphicFramePr>
                  <a:graphicFrameLocks/>
                </wp:cNvGraphicFramePr>
                <a:graphic>
                  <a:graphicData uri="http://schemas.microsoft.com/office/word/2010/wordprocessingShape">
                    <wps:wsp>
                      <wps:cNvPr id="731" name="Graphic 731"/>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98.212601pt;width:481.9pt;height:.1pt;mso-position-horizontal-relative:page;mso-position-vertical-relative:paragraph;z-index:-15562752;mso-wrap-distance-left:0;mso-wrap-distance-right:0" id="docshape663" coordorigin="1134,1964" coordsize="9638,0" path="m10772,1964l1134,1964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54240">
                <wp:simplePos x="0" y="0"/>
                <wp:positionH relativeFrom="page">
                  <wp:posOffset>719996</wp:posOffset>
                </wp:positionH>
                <wp:positionV relativeFrom="paragraph">
                  <wp:posOffset>1499297</wp:posOffset>
                </wp:positionV>
                <wp:extent cx="6120130" cy="1270"/>
                <wp:effectExtent l="0" t="0" r="0" b="0"/>
                <wp:wrapTopAndBottom/>
                <wp:docPr id="732" name="Graphic 732"/>
                <wp:cNvGraphicFramePr>
                  <a:graphicFrameLocks/>
                </wp:cNvGraphicFramePr>
                <a:graphic>
                  <a:graphicData uri="http://schemas.microsoft.com/office/word/2010/wordprocessingShape">
                    <wps:wsp>
                      <wps:cNvPr id="732" name="Graphic 732"/>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18.054901pt;width:481.9pt;height:.1pt;mso-position-horizontal-relative:page;mso-position-vertical-relative:paragraph;z-index:-15562240;mso-wrap-distance-left:0;mso-wrap-distance-right:0" id="docshape664" coordorigin="1134,2361" coordsize="9638,0" path="m10772,2361l1134,2361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54752">
                <wp:simplePos x="0" y="0"/>
                <wp:positionH relativeFrom="page">
                  <wp:posOffset>719996</wp:posOffset>
                </wp:positionH>
                <wp:positionV relativeFrom="paragraph">
                  <wp:posOffset>1751296</wp:posOffset>
                </wp:positionV>
                <wp:extent cx="6120130" cy="1270"/>
                <wp:effectExtent l="0" t="0" r="0" b="0"/>
                <wp:wrapTopAndBottom/>
                <wp:docPr id="733" name="Graphic 733"/>
                <wp:cNvGraphicFramePr>
                  <a:graphicFrameLocks/>
                </wp:cNvGraphicFramePr>
                <a:graphic>
                  <a:graphicData uri="http://schemas.microsoft.com/office/word/2010/wordprocessingShape">
                    <wps:wsp>
                      <wps:cNvPr id="733" name="Graphic 733"/>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37.8974pt;width:481.9pt;height:.1pt;mso-position-horizontal-relative:page;mso-position-vertical-relative:paragraph;z-index:-15561728;mso-wrap-distance-left:0;mso-wrap-distance-right:0" id="docshape665" coordorigin="1134,2758" coordsize="9638,0" path="m10772,2758l1134,2758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55264">
                <wp:simplePos x="0" y="0"/>
                <wp:positionH relativeFrom="page">
                  <wp:posOffset>719996</wp:posOffset>
                </wp:positionH>
                <wp:positionV relativeFrom="paragraph">
                  <wp:posOffset>2003298</wp:posOffset>
                </wp:positionV>
                <wp:extent cx="6120130" cy="1270"/>
                <wp:effectExtent l="0" t="0" r="0" b="0"/>
                <wp:wrapTopAndBottom/>
                <wp:docPr id="734" name="Graphic 734"/>
                <wp:cNvGraphicFramePr>
                  <a:graphicFrameLocks/>
                </wp:cNvGraphicFramePr>
                <a:graphic>
                  <a:graphicData uri="http://schemas.microsoft.com/office/word/2010/wordprocessingShape">
                    <wps:wsp>
                      <wps:cNvPr id="734" name="Graphic 734"/>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57.740005pt;width:481.9pt;height:.1pt;mso-position-horizontal-relative:page;mso-position-vertical-relative:paragraph;z-index:-15561216;mso-wrap-distance-left:0;mso-wrap-distance-right:0" id="docshape666" coordorigin="1134,3155" coordsize="9638,0" path="m10772,3155l1134,3155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55776">
                <wp:simplePos x="0" y="0"/>
                <wp:positionH relativeFrom="page">
                  <wp:posOffset>719996</wp:posOffset>
                </wp:positionH>
                <wp:positionV relativeFrom="paragraph">
                  <wp:posOffset>2255297</wp:posOffset>
                </wp:positionV>
                <wp:extent cx="6120130" cy="1270"/>
                <wp:effectExtent l="0" t="0" r="0" b="0"/>
                <wp:wrapTopAndBottom/>
                <wp:docPr id="735" name="Graphic 735"/>
                <wp:cNvGraphicFramePr>
                  <a:graphicFrameLocks/>
                </wp:cNvGraphicFramePr>
                <a:graphic>
                  <a:graphicData uri="http://schemas.microsoft.com/office/word/2010/wordprocessingShape">
                    <wps:wsp>
                      <wps:cNvPr id="735" name="Graphic 73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77.582504pt;width:481.9pt;height:.1pt;mso-position-horizontal-relative:page;mso-position-vertical-relative:paragraph;z-index:-15560704;mso-wrap-distance-left:0;mso-wrap-distance-right:0" id="docshape667" coordorigin="1134,3552" coordsize="9638,0" path="m10772,3552l1134,3552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56288">
                <wp:simplePos x="0" y="0"/>
                <wp:positionH relativeFrom="page">
                  <wp:posOffset>719996</wp:posOffset>
                </wp:positionH>
                <wp:positionV relativeFrom="paragraph">
                  <wp:posOffset>2507297</wp:posOffset>
                </wp:positionV>
                <wp:extent cx="6120130" cy="1270"/>
                <wp:effectExtent l="0" t="0" r="0" b="0"/>
                <wp:wrapTopAndBottom/>
                <wp:docPr id="736" name="Graphic 736"/>
                <wp:cNvGraphicFramePr>
                  <a:graphicFrameLocks/>
                </wp:cNvGraphicFramePr>
                <a:graphic>
                  <a:graphicData uri="http://schemas.microsoft.com/office/word/2010/wordprocessingShape">
                    <wps:wsp>
                      <wps:cNvPr id="736" name="Graphic 736"/>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97.425003pt;width:481.9pt;height:.1pt;mso-position-horizontal-relative:page;mso-position-vertical-relative:paragraph;z-index:-15560192;mso-wrap-distance-left:0;mso-wrap-distance-right:0" id="docshape668" coordorigin="1134,3949" coordsize="9638,0" path="m10772,3949l1134,3949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56800">
                <wp:simplePos x="0" y="0"/>
                <wp:positionH relativeFrom="page">
                  <wp:posOffset>719996</wp:posOffset>
                </wp:positionH>
                <wp:positionV relativeFrom="paragraph">
                  <wp:posOffset>2759297</wp:posOffset>
                </wp:positionV>
                <wp:extent cx="6120130" cy="1270"/>
                <wp:effectExtent l="0" t="0" r="0" b="0"/>
                <wp:wrapTopAndBottom/>
                <wp:docPr id="737" name="Graphic 737"/>
                <wp:cNvGraphicFramePr>
                  <a:graphicFrameLocks/>
                </wp:cNvGraphicFramePr>
                <a:graphic>
                  <a:graphicData uri="http://schemas.microsoft.com/office/word/2010/wordprocessingShape">
                    <wps:wsp>
                      <wps:cNvPr id="737" name="Graphic 737"/>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17.267502pt;width:481.9pt;height:.1pt;mso-position-horizontal-relative:page;mso-position-vertical-relative:paragraph;z-index:-15559680;mso-wrap-distance-left:0;mso-wrap-distance-right:0" id="docshape669" coordorigin="1134,4345" coordsize="9638,0" path="m10772,4345l1134,4345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57312">
                <wp:simplePos x="0" y="0"/>
                <wp:positionH relativeFrom="page">
                  <wp:posOffset>719996</wp:posOffset>
                </wp:positionH>
                <wp:positionV relativeFrom="paragraph">
                  <wp:posOffset>3011298</wp:posOffset>
                </wp:positionV>
                <wp:extent cx="6120130" cy="1270"/>
                <wp:effectExtent l="0" t="0" r="0" b="0"/>
                <wp:wrapTopAndBottom/>
                <wp:docPr id="738" name="Graphic 738"/>
                <wp:cNvGraphicFramePr>
                  <a:graphicFrameLocks/>
                </wp:cNvGraphicFramePr>
                <a:graphic>
                  <a:graphicData uri="http://schemas.microsoft.com/office/word/2010/wordprocessingShape">
                    <wps:wsp>
                      <wps:cNvPr id="738" name="Graphic 738"/>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37.110107pt;width:481.9pt;height:.1pt;mso-position-horizontal-relative:page;mso-position-vertical-relative:paragraph;z-index:-15559168;mso-wrap-distance-left:0;mso-wrap-distance-right:0" id="docshape670" coordorigin="1134,4742" coordsize="9638,0" path="m10772,4742l1134,4742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57824">
                <wp:simplePos x="0" y="0"/>
                <wp:positionH relativeFrom="page">
                  <wp:posOffset>719996</wp:posOffset>
                </wp:positionH>
                <wp:positionV relativeFrom="paragraph">
                  <wp:posOffset>3263298</wp:posOffset>
                </wp:positionV>
                <wp:extent cx="6120130" cy="1270"/>
                <wp:effectExtent l="0" t="0" r="0" b="0"/>
                <wp:wrapTopAndBottom/>
                <wp:docPr id="739" name="Graphic 739"/>
                <wp:cNvGraphicFramePr>
                  <a:graphicFrameLocks/>
                </wp:cNvGraphicFramePr>
                <a:graphic>
                  <a:graphicData uri="http://schemas.microsoft.com/office/word/2010/wordprocessingShape">
                    <wps:wsp>
                      <wps:cNvPr id="739" name="Graphic 73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56.952606pt;width:481.9pt;height:.1pt;mso-position-horizontal-relative:page;mso-position-vertical-relative:paragraph;z-index:-15558656;mso-wrap-distance-left:0;mso-wrap-distance-right:0" id="docshape671" coordorigin="1134,5139" coordsize="9638,0" path="m10772,5139l1134,5139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58336">
                <wp:simplePos x="0" y="0"/>
                <wp:positionH relativeFrom="page">
                  <wp:posOffset>719996</wp:posOffset>
                </wp:positionH>
                <wp:positionV relativeFrom="paragraph">
                  <wp:posOffset>3515297</wp:posOffset>
                </wp:positionV>
                <wp:extent cx="6120130" cy="1270"/>
                <wp:effectExtent l="0" t="0" r="0" b="0"/>
                <wp:wrapTopAndBottom/>
                <wp:docPr id="740" name="Graphic 740"/>
                <wp:cNvGraphicFramePr>
                  <a:graphicFrameLocks/>
                </wp:cNvGraphicFramePr>
                <a:graphic>
                  <a:graphicData uri="http://schemas.microsoft.com/office/word/2010/wordprocessingShape">
                    <wps:wsp>
                      <wps:cNvPr id="740" name="Graphic 74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76.795105pt;width:481.9pt;height:.1pt;mso-position-horizontal-relative:page;mso-position-vertical-relative:paragraph;z-index:-15558144;mso-wrap-distance-left:0;mso-wrap-distance-right:0" id="docshape672" coordorigin="1134,5536" coordsize="9638,0" path="m10772,5536l1134,5536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58848">
                <wp:simplePos x="0" y="0"/>
                <wp:positionH relativeFrom="page">
                  <wp:posOffset>719996</wp:posOffset>
                </wp:positionH>
                <wp:positionV relativeFrom="paragraph">
                  <wp:posOffset>3767298</wp:posOffset>
                </wp:positionV>
                <wp:extent cx="6120130" cy="1270"/>
                <wp:effectExtent l="0" t="0" r="0" b="0"/>
                <wp:wrapTopAndBottom/>
                <wp:docPr id="741" name="Graphic 741"/>
                <wp:cNvGraphicFramePr>
                  <a:graphicFrameLocks/>
                </wp:cNvGraphicFramePr>
                <a:graphic>
                  <a:graphicData uri="http://schemas.microsoft.com/office/word/2010/wordprocessingShape">
                    <wps:wsp>
                      <wps:cNvPr id="741" name="Graphic 741"/>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96.637695pt;width:481.9pt;height:.1pt;mso-position-horizontal-relative:page;mso-position-vertical-relative:paragraph;z-index:-15557632;mso-wrap-distance-left:0;mso-wrap-distance-right:0" id="docshape673" coordorigin="1134,5933" coordsize="9638,0" path="m10772,5933l1134,5933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59360">
                <wp:simplePos x="0" y="0"/>
                <wp:positionH relativeFrom="page">
                  <wp:posOffset>719996</wp:posOffset>
                </wp:positionH>
                <wp:positionV relativeFrom="paragraph">
                  <wp:posOffset>4019298</wp:posOffset>
                </wp:positionV>
                <wp:extent cx="6120130" cy="1270"/>
                <wp:effectExtent l="0" t="0" r="0" b="0"/>
                <wp:wrapTopAndBottom/>
                <wp:docPr id="742" name="Graphic 742"/>
                <wp:cNvGraphicFramePr>
                  <a:graphicFrameLocks/>
                </wp:cNvGraphicFramePr>
                <a:graphic>
                  <a:graphicData uri="http://schemas.microsoft.com/office/word/2010/wordprocessingShape">
                    <wps:wsp>
                      <wps:cNvPr id="742" name="Graphic 742"/>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316.480194pt;width:481.9pt;height:.1pt;mso-position-horizontal-relative:page;mso-position-vertical-relative:paragraph;z-index:-15557120;mso-wrap-distance-left:0;mso-wrap-distance-right:0" id="docshape674" coordorigin="1134,6330" coordsize="9638,0" path="m10772,6330l1134,6330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59872">
                <wp:simplePos x="0" y="0"/>
                <wp:positionH relativeFrom="page">
                  <wp:posOffset>719996</wp:posOffset>
                </wp:positionH>
                <wp:positionV relativeFrom="paragraph">
                  <wp:posOffset>4271298</wp:posOffset>
                </wp:positionV>
                <wp:extent cx="6120130" cy="1270"/>
                <wp:effectExtent l="0" t="0" r="0" b="0"/>
                <wp:wrapTopAndBottom/>
                <wp:docPr id="743" name="Graphic 743"/>
                <wp:cNvGraphicFramePr>
                  <a:graphicFrameLocks/>
                </wp:cNvGraphicFramePr>
                <a:graphic>
                  <a:graphicData uri="http://schemas.microsoft.com/office/word/2010/wordprocessingShape">
                    <wps:wsp>
                      <wps:cNvPr id="743" name="Graphic 743"/>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336.322693pt;width:481.9pt;height:.1pt;mso-position-horizontal-relative:page;mso-position-vertical-relative:paragraph;z-index:-15556608;mso-wrap-distance-left:0;mso-wrap-distance-right:0" id="docshape675" coordorigin="1134,6726" coordsize="9638,0" path="m10772,6726l1134,6726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60384">
                <wp:simplePos x="0" y="0"/>
                <wp:positionH relativeFrom="page">
                  <wp:posOffset>719996</wp:posOffset>
                </wp:positionH>
                <wp:positionV relativeFrom="paragraph">
                  <wp:posOffset>4523299</wp:posOffset>
                </wp:positionV>
                <wp:extent cx="6120130" cy="1270"/>
                <wp:effectExtent l="0" t="0" r="0" b="0"/>
                <wp:wrapTopAndBottom/>
                <wp:docPr id="744" name="Graphic 744"/>
                <wp:cNvGraphicFramePr>
                  <a:graphicFrameLocks/>
                </wp:cNvGraphicFramePr>
                <a:graphic>
                  <a:graphicData uri="http://schemas.microsoft.com/office/word/2010/wordprocessingShape">
                    <wps:wsp>
                      <wps:cNvPr id="744" name="Graphic 744"/>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356.165314pt;width:481.9pt;height:.1pt;mso-position-horizontal-relative:page;mso-position-vertical-relative:paragraph;z-index:-15556096;mso-wrap-distance-left:0;mso-wrap-distance-right:0" id="docshape676" coordorigin="1134,7123" coordsize="9638,0" path="m10772,7123l1134,7123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60896">
                <wp:simplePos x="0" y="0"/>
                <wp:positionH relativeFrom="page">
                  <wp:posOffset>719996</wp:posOffset>
                </wp:positionH>
                <wp:positionV relativeFrom="paragraph">
                  <wp:posOffset>4775299</wp:posOffset>
                </wp:positionV>
                <wp:extent cx="6120130" cy="1270"/>
                <wp:effectExtent l="0" t="0" r="0" b="0"/>
                <wp:wrapTopAndBottom/>
                <wp:docPr id="745" name="Graphic 745"/>
                <wp:cNvGraphicFramePr>
                  <a:graphicFrameLocks/>
                </wp:cNvGraphicFramePr>
                <a:graphic>
                  <a:graphicData uri="http://schemas.microsoft.com/office/word/2010/wordprocessingShape">
                    <wps:wsp>
                      <wps:cNvPr id="745" name="Graphic 74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376.007813pt;width:481.9pt;height:.1pt;mso-position-horizontal-relative:page;mso-position-vertical-relative:paragraph;z-index:-15555584;mso-wrap-distance-left:0;mso-wrap-distance-right:0" id="docshape677" coordorigin="1134,7520" coordsize="9638,0" path="m10772,7520l1134,7520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61408">
                <wp:simplePos x="0" y="0"/>
                <wp:positionH relativeFrom="page">
                  <wp:posOffset>719996</wp:posOffset>
                </wp:positionH>
                <wp:positionV relativeFrom="paragraph">
                  <wp:posOffset>5027298</wp:posOffset>
                </wp:positionV>
                <wp:extent cx="6120130" cy="1270"/>
                <wp:effectExtent l="0" t="0" r="0" b="0"/>
                <wp:wrapTopAndBottom/>
                <wp:docPr id="746" name="Graphic 746"/>
                <wp:cNvGraphicFramePr>
                  <a:graphicFrameLocks/>
                </wp:cNvGraphicFramePr>
                <a:graphic>
                  <a:graphicData uri="http://schemas.microsoft.com/office/word/2010/wordprocessingShape">
                    <wps:wsp>
                      <wps:cNvPr id="746" name="Graphic 746"/>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395.850311pt;width:481.9pt;height:.1pt;mso-position-horizontal-relative:page;mso-position-vertical-relative:paragraph;z-index:-15555072;mso-wrap-distance-left:0;mso-wrap-distance-right:0" id="docshape678" coordorigin="1134,7917" coordsize="9638,0" path="m10772,7917l1134,7917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61920">
                <wp:simplePos x="0" y="0"/>
                <wp:positionH relativeFrom="page">
                  <wp:posOffset>719996</wp:posOffset>
                </wp:positionH>
                <wp:positionV relativeFrom="paragraph">
                  <wp:posOffset>5279298</wp:posOffset>
                </wp:positionV>
                <wp:extent cx="6120130" cy="1270"/>
                <wp:effectExtent l="0" t="0" r="0" b="0"/>
                <wp:wrapTopAndBottom/>
                <wp:docPr id="747" name="Graphic 747"/>
                <wp:cNvGraphicFramePr>
                  <a:graphicFrameLocks/>
                </wp:cNvGraphicFramePr>
                <a:graphic>
                  <a:graphicData uri="http://schemas.microsoft.com/office/word/2010/wordprocessingShape">
                    <wps:wsp>
                      <wps:cNvPr id="747" name="Graphic 747"/>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415.69281pt;width:481.9pt;height:.1pt;mso-position-horizontal-relative:page;mso-position-vertical-relative:paragraph;z-index:-15554560;mso-wrap-distance-left:0;mso-wrap-distance-right:0" id="docshape679" coordorigin="1134,8314" coordsize="9638,0" path="m10772,8314l1134,8314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62432">
                <wp:simplePos x="0" y="0"/>
                <wp:positionH relativeFrom="page">
                  <wp:posOffset>719996</wp:posOffset>
                </wp:positionH>
                <wp:positionV relativeFrom="paragraph">
                  <wp:posOffset>5531299</wp:posOffset>
                </wp:positionV>
                <wp:extent cx="6120130" cy="1270"/>
                <wp:effectExtent l="0" t="0" r="0" b="0"/>
                <wp:wrapTopAndBottom/>
                <wp:docPr id="748" name="Graphic 748"/>
                <wp:cNvGraphicFramePr>
                  <a:graphicFrameLocks/>
                </wp:cNvGraphicFramePr>
                <a:graphic>
                  <a:graphicData uri="http://schemas.microsoft.com/office/word/2010/wordprocessingShape">
                    <wps:wsp>
                      <wps:cNvPr id="748" name="Graphic 748"/>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435.5354pt;width:481.9pt;height:.1pt;mso-position-horizontal-relative:page;mso-position-vertical-relative:paragraph;z-index:-15554048;mso-wrap-distance-left:0;mso-wrap-distance-right:0" id="docshape680" coordorigin="1134,8711" coordsize="9638,0" path="m10772,8711l1134,8711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62944">
                <wp:simplePos x="0" y="0"/>
                <wp:positionH relativeFrom="page">
                  <wp:posOffset>719996</wp:posOffset>
                </wp:positionH>
                <wp:positionV relativeFrom="paragraph">
                  <wp:posOffset>5783299</wp:posOffset>
                </wp:positionV>
                <wp:extent cx="6120130" cy="1270"/>
                <wp:effectExtent l="0" t="0" r="0" b="0"/>
                <wp:wrapTopAndBottom/>
                <wp:docPr id="749" name="Graphic 749"/>
                <wp:cNvGraphicFramePr>
                  <a:graphicFrameLocks/>
                </wp:cNvGraphicFramePr>
                <a:graphic>
                  <a:graphicData uri="http://schemas.microsoft.com/office/word/2010/wordprocessingShape">
                    <wps:wsp>
                      <wps:cNvPr id="749" name="Graphic 74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455.377899pt;width:481.9pt;height:.1pt;mso-position-horizontal-relative:page;mso-position-vertical-relative:paragraph;z-index:-15553536;mso-wrap-distance-left:0;mso-wrap-distance-right:0" id="docshape681" coordorigin="1134,9108" coordsize="9638,0" path="m10772,9108l1134,9108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63456">
                <wp:simplePos x="0" y="0"/>
                <wp:positionH relativeFrom="page">
                  <wp:posOffset>719996</wp:posOffset>
                </wp:positionH>
                <wp:positionV relativeFrom="paragraph">
                  <wp:posOffset>6035299</wp:posOffset>
                </wp:positionV>
                <wp:extent cx="6120130" cy="1270"/>
                <wp:effectExtent l="0" t="0" r="0" b="0"/>
                <wp:wrapTopAndBottom/>
                <wp:docPr id="750" name="Graphic 750"/>
                <wp:cNvGraphicFramePr>
                  <a:graphicFrameLocks/>
                </wp:cNvGraphicFramePr>
                <a:graphic>
                  <a:graphicData uri="http://schemas.microsoft.com/office/word/2010/wordprocessingShape">
                    <wps:wsp>
                      <wps:cNvPr id="750" name="Graphic 75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475.220398pt;width:481.9pt;height:.1pt;mso-position-horizontal-relative:page;mso-position-vertical-relative:paragraph;z-index:-15553024;mso-wrap-distance-left:0;mso-wrap-distance-right:0" id="docshape682" coordorigin="1134,9504" coordsize="9638,0" path="m10772,9504l1134,9504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63968">
                <wp:simplePos x="0" y="0"/>
                <wp:positionH relativeFrom="page">
                  <wp:posOffset>719996</wp:posOffset>
                </wp:positionH>
                <wp:positionV relativeFrom="paragraph">
                  <wp:posOffset>6287299</wp:posOffset>
                </wp:positionV>
                <wp:extent cx="6120130" cy="1270"/>
                <wp:effectExtent l="0" t="0" r="0" b="0"/>
                <wp:wrapTopAndBottom/>
                <wp:docPr id="751" name="Graphic 751"/>
                <wp:cNvGraphicFramePr>
                  <a:graphicFrameLocks/>
                </wp:cNvGraphicFramePr>
                <a:graphic>
                  <a:graphicData uri="http://schemas.microsoft.com/office/word/2010/wordprocessingShape">
                    <wps:wsp>
                      <wps:cNvPr id="751" name="Graphic 751"/>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495.062988pt;width:481.9pt;height:.1pt;mso-position-horizontal-relative:page;mso-position-vertical-relative:paragraph;z-index:-15552512;mso-wrap-distance-left:0;mso-wrap-distance-right:0" id="docshape683" coordorigin="1134,9901" coordsize="9638,0" path="m10772,9901l1134,9901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64480">
                <wp:simplePos x="0" y="0"/>
                <wp:positionH relativeFrom="page">
                  <wp:posOffset>719996</wp:posOffset>
                </wp:positionH>
                <wp:positionV relativeFrom="paragraph">
                  <wp:posOffset>6539300</wp:posOffset>
                </wp:positionV>
                <wp:extent cx="6120130" cy="1270"/>
                <wp:effectExtent l="0" t="0" r="0" b="0"/>
                <wp:wrapTopAndBottom/>
                <wp:docPr id="752" name="Graphic 752"/>
                <wp:cNvGraphicFramePr>
                  <a:graphicFrameLocks/>
                </wp:cNvGraphicFramePr>
                <a:graphic>
                  <a:graphicData uri="http://schemas.microsoft.com/office/word/2010/wordprocessingShape">
                    <wps:wsp>
                      <wps:cNvPr id="752" name="Graphic 752"/>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514.905518pt;width:481.9pt;height:.1pt;mso-position-horizontal-relative:page;mso-position-vertical-relative:paragraph;z-index:-15552000;mso-wrap-distance-left:0;mso-wrap-distance-right:0" id="docshape684" coordorigin="1134,10298" coordsize="9638,0" path="m10772,10298l1134,10298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64992">
                <wp:simplePos x="0" y="0"/>
                <wp:positionH relativeFrom="page">
                  <wp:posOffset>719996</wp:posOffset>
                </wp:positionH>
                <wp:positionV relativeFrom="paragraph">
                  <wp:posOffset>6791299</wp:posOffset>
                </wp:positionV>
                <wp:extent cx="6120130" cy="1270"/>
                <wp:effectExtent l="0" t="0" r="0" b="0"/>
                <wp:wrapTopAndBottom/>
                <wp:docPr id="753" name="Graphic 753"/>
                <wp:cNvGraphicFramePr>
                  <a:graphicFrameLocks/>
                </wp:cNvGraphicFramePr>
                <a:graphic>
                  <a:graphicData uri="http://schemas.microsoft.com/office/word/2010/wordprocessingShape">
                    <wps:wsp>
                      <wps:cNvPr id="753" name="Graphic 753"/>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534.747986pt;width:481.9pt;height:.1pt;mso-position-horizontal-relative:page;mso-position-vertical-relative:paragraph;z-index:-15551488;mso-wrap-distance-left:0;mso-wrap-distance-right:0" id="docshape685" coordorigin="1134,10695" coordsize="9638,0" path="m10772,10695l1134,10695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65504">
                <wp:simplePos x="0" y="0"/>
                <wp:positionH relativeFrom="page">
                  <wp:posOffset>719996</wp:posOffset>
                </wp:positionH>
                <wp:positionV relativeFrom="paragraph">
                  <wp:posOffset>7043299</wp:posOffset>
                </wp:positionV>
                <wp:extent cx="6120130" cy="1270"/>
                <wp:effectExtent l="0" t="0" r="0" b="0"/>
                <wp:wrapTopAndBottom/>
                <wp:docPr id="754" name="Graphic 754"/>
                <wp:cNvGraphicFramePr>
                  <a:graphicFrameLocks/>
                </wp:cNvGraphicFramePr>
                <a:graphic>
                  <a:graphicData uri="http://schemas.microsoft.com/office/word/2010/wordprocessingShape">
                    <wps:wsp>
                      <wps:cNvPr id="754" name="Graphic 754"/>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554.590515pt;width:481.9pt;height:.1pt;mso-position-horizontal-relative:page;mso-position-vertical-relative:paragraph;z-index:-15550976;mso-wrap-distance-left:0;mso-wrap-distance-right:0" id="docshape686" coordorigin="1134,11092" coordsize="9638,0" path="m10772,11092l1134,11092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66016">
                <wp:simplePos x="0" y="0"/>
                <wp:positionH relativeFrom="page">
                  <wp:posOffset>719996</wp:posOffset>
                </wp:positionH>
                <wp:positionV relativeFrom="paragraph">
                  <wp:posOffset>7295300</wp:posOffset>
                </wp:positionV>
                <wp:extent cx="6120130" cy="1270"/>
                <wp:effectExtent l="0" t="0" r="0" b="0"/>
                <wp:wrapTopAndBottom/>
                <wp:docPr id="755" name="Graphic 755"/>
                <wp:cNvGraphicFramePr>
                  <a:graphicFrameLocks/>
                </wp:cNvGraphicFramePr>
                <a:graphic>
                  <a:graphicData uri="http://schemas.microsoft.com/office/word/2010/wordprocessingShape">
                    <wps:wsp>
                      <wps:cNvPr id="755" name="Graphic 75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574.433105pt;width:481.9pt;height:.1pt;mso-position-horizontal-relative:page;mso-position-vertical-relative:paragraph;z-index:-15550464;mso-wrap-distance-left:0;mso-wrap-distance-right:0" id="docshape687" coordorigin="1134,11489" coordsize="9638,0" path="m10772,11489l1134,11489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66528">
                <wp:simplePos x="0" y="0"/>
                <wp:positionH relativeFrom="page">
                  <wp:posOffset>719996</wp:posOffset>
                </wp:positionH>
                <wp:positionV relativeFrom="paragraph">
                  <wp:posOffset>7547299</wp:posOffset>
                </wp:positionV>
                <wp:extent cx="6120130" cy="1270"/>
                <wp:effectExtent l="0" t="0" r="0" b="0"/>
                <wp:wrapTopAndBottom/>
                <wp:docPr id="756" name="Graphic 756"/>
                <wp:cNvGraphicFramePr>
                  <a:graphicFrameLocks/>
                </wp:cNvGraphicFramePr>
                <a:graphic>
                  <a:graphicData uri="http://schemas.microsoft.com/office/word/2010/wordprocessingShape">
                    <wps:wsp>
                      <wps:cNvPr id="756" name="Graphic 756"/>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594.275574pt;width:481.9pt;height:.1pt;mso-position-horizontal-relative:page;mso-position-vertical-relative:paragraph;z-index:-15549952;mso-wrap-distance-left:0;mso-wrap-distance-right:0" id="docshape688" coordorigin="1134,11886" coordsize="9638,0" path="m10772,11886l1134,11886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67040">
                <wp:simplePos x="0" y="0"/>
                <wp:positionH relativeFrom="page">
                  <wp:posOffset>719996</wp:posOffset>
                </wp:positionH>
                <wp:positionV relativeFrom="paragraph">
                  <wp:posOffset>7799297</wp:posOffset>
                </wp:positionV>
                <wp:extent cx="6120130" cy="1270"/>
                <wp:effectExtent l="0" t="0" r="0" b="0"/>
                <wp:wrapTopAndBottom/>
                <wp:docPr id="757" name="Graphic 757"/>
                <wp:cNvGraphicFramePr>
                  <a:graphicFrameLocks/>
                </wp:cNvGraphicFramePr>
                <a:graphic>
                  <a:graphicData uri="http://schemas.microsoft.com/office/word/2010/wordprocessingShape">
                    <wps:wsp>
                      <wps:cNvPr id="757" name="Graphic 757"/>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614.11792pt;width:481.9pt;height:.1pt;mso-position-horizontal-relative:page;mso-position-vertical-relative:paragraph;z-index:-15549440;mso-wrap-distance-left:0;mso-wrap-distance-right:0" id="docshape689" coordorigin="1134,12282" coordsize="9638,0" path="m10772,12282l1134,12282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67552">
                <wp:simplePos x="0" y="0"/>
                <wp:positionH relativeFrom="page">
                  <wp:posOffset>719996</wp:posOffset>
                </wp:positionH>
                <wp:positionV relativeFrom="paragraph">
                  <wp:posOffset>8051296</wp:posOffset>
                </wp:positionV>
                <wp:extent cx="6120130" cy="1270"/>
                <wp:effectExtent l="0" t="0" r="0" b="0"/>
                <wp:wrapTopAndBottom/>
                <wp:docPr id="758" name="Graphic 758"/>
                <wp:cNvGraphicFramePr>
                  <a:graphicFrameLocks/>
                </wp:cNvGraphicFramePr>
                <a:graphic>
                  <a:graphicData uri="http://schemas.microsoft.com/office/word/2010/wordprocessingShape">
                    <wps:wsp>
                      <wps:cNvPr id="758" name="Graphic 758"/>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633.960388pt;width:481.9pt;height:.1pt;mso-position-horizontal-relative:page;mso-position-vertical-relative:paragraph;z-index:-15548928;mso-wrap-distance-left:0;mso-wrap-distance-right:0" id="docshape690" coordorigin="1134,12679" coordsize="9638,0" path="m10772,12679l1134,12679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68064">
                <wp:simplePos x="0" y="0"/>
                <wp:positionH relativeFrom="page">
                  <wp:posOffset>719996</wp:posOffset>
                </wp:positionH>
                <wp:positionV relativeFrom="paragraph">
                  <wp:posOffset>8303297</wp:posOffset>
                </wp:positionV>
                <wp:extent cx="6120130" cy="1270"/>
                <wp:effectExtent l="0" t="0" r="0" b="0"/>
                <wp:wrapTopAndBottom/>
                <wp:docPr id="759" name="Graphic 759"/>
                <wp:cNvGraphicFramePr>
                  <a:graphicFrameLocks/>
                </wp:cNvGraphicFramePr>
                <a:graphic>
                  <a:graphicData uri="http://schemas.microsoft.com/office/word/2010/wordprocessingShape">
                    <wps:wsp>
                      <wps:cNvPr id="759" name="Graphic 75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653.802917pt;width:481.9pt;height:.1pt;mso-position-horizontal-relative:page;mso-position-vertical-relative:paragraph;z-index:-15548416;mso-wrap-distance-left:0;mso-wrap-distance-right:0" id="docshape691" coordorigin="1134,13076" coordsize="9638,0" path="m10772,13076l1134,13076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68576">
                <wp:simplePos x="0" y="0"/>
                <wp:positionH relativeFrom="page">
                  <wp:posOffset>719996</wp:posOffset>
                </wp:positionH>
                <wp:positionV relativeFrom="paragraph">
                  <wp:posOffset>8555297</wp:posOffset>
                </wp:positionV>
                <wp:extent cx="6120130" cy="1270"/>
                <wp:effectExtent l="0" t="0" r="0" b="0"/>
                <wp:wrapTopAndBottom/>
                <wp:docPr id="760" name="Graphic 760"/>
                <wp:cNvGraphicFramePr>
                  <a:graphicFrameLocks/>
                </wp:cNvGraphicFramePr>
                <a:graphic>
                  <a:graphicData uri="http://schemas.microsoft.com/office/word/2010/wordprocessingShape">
                    <wps:wsp>
                      <wps:cNvPr id="760" name="Graphic 76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673.645508pt;width:481.9pt;height:.1pt;mso-position-horizontal-relative:page;mso-position-vertical-relative:paragraph;z-index:-15547904;mso-wrap-distance-left:0;mso-wrap-distance-right:0" id="docshape692" coordorigin="1134,13473" coordsize="9638,0" path="m10772,13473l1134,13473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69088">
                <wp:simplePos x="0" y="0"/>
                <wp:positionH relativeFrom="page">
                  <wp:posOffset>719996</wp:posOffset>
                </wp:positionH>
                <wp:positionV relativeFrom="paragraph">
                  <wp:posOffset>8806846</wp:posOffset>
                </wp:positionV>
                <wp:extent cx="6120130" cy="1270"/>
                <wp:effectExtent l="0" t="0" r="0" b="0"/>
                <wp:wrapTopAndBottom/>
                <wp:docPr id="761" name="Graphic 761"/>
                <wp:cNvGraphicFramePr>
                  <a:graphicFrameLocks/>
                </wp:cNvGraphicFramePr>
                <a:graphic>
                  <a:graphicData uri="http://schemas.microsoft.com/office/word/2010/wordprocessingShape">
                    <wps:wsp>
                      <wps:cNvPr id="761" name="Graphic 761"/>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693.452515pt;width:481.9pt;height:.1pt;mso-position-horizontal-relative:page;mso-position-vertical-relative:paragraph;z-index:-15547392;mso-wrap-distance-left:0;mso-wrap-distance-right:0" id="docshape693" coordorigin="1134,13869" coordsize="9638,0" path="m10772,13869l1134,13869e" filled="false" stroked="true" strokeweight="1pt" strokecolor="#393b80">
                <v:path arrowok="t"/>
                <v:stroke dashstyle="solid"/>
                <w10:wrap type="topAndBottom"/>
              </v:shape>
            </w:pict>
          </mc:Fallback>
        </mc:AlternateContent>
      </w: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spacing w:after="0"/>
        <w:rPr>
          <w:sz w:val="20"/>
        </w:rPr>
        <w:sectPr>
          <w:pgSz w:w="11910" w:h="16840"/>
          <w:pgMar w:header="496" w:footer="367" w:top="1220" w:bottom="560" w:left="0" w:right="0"/>
        </w:sectPr>
      </w:pPr>
    </w:p>
    <w:p>
      <w:pPr>
        <w:pStyle w:val="BodyText"/>
        <w:rPr>
          <w:b/>
          <w:sz w:val="20"/>
        </w:rPr>
      </w:pPr>
    </w:p>
    <w:p>
      <w:pPr>
        <w:pStyle w:val="BodyText"/>
        <w:spacing w:before="102" w:after="1"/>
        <w:rPr>
          <w:b/>
          <w:sz w:val="20"/>
        </w:rPr>
      </w:pPr>
    </w:p>
    <w:p>
      <w:pPr>
        <w:pStyle w:val="BodyText"/>
        <w:spacing w:line="20" w:lineRule="exact"/>
        <w:ind w:left="1133"/>
        <w:rPr>
          <w:sz w:val="2"/>
        </w:rPr>
      </w:pPr>
      <w:r>
        <w:rPr>
          <w:sz w:val="2"/>
        </w:rPr>
        <mc:AlternateContent>
          <mc:Choice Requires="wps">
            <w:drawing>
              <wp:inline distT="0" distB="0" distL="0" distR="0">
                <wp:extent cx="6120130" cy="12700"/>
                <wp:effectExtent l="9525" t="0" r="4445" b="6350"/>
                <wp:docPr id="762" name="Group 762"/>
                <wp:cNvGraphicFramePr>
                  <a:graphicFrameLocks/>
                </wp:cNvGraphicFramePr>
                <a:graphic>
                  <a:graphicData uri="http://schemas.microsoft.com/office/word/2010/wordprocessingGroup">
                    <wpg:wgp>
                      <wpg:cNvPr id="762" name="Group 762"/>
                      <wpg:cNvGrpSpPr/>
                      <wpg:grpSpPr>
                        <a:xfrm>
                          <a:off x="0" y="0"/>
                          <a:ext cx="6120130" cy="12700"/>
                          <a:chExt cx="6120130" cy="12700"/>
                        </a:xfrm>
                      </wpg:grpSpPr>
                      <wps:wsp>
                        <wps:cNvPr id="763" name="Graphic 763"/>
                        <wps:cNvSpPr/>
                        <wps:spPr>
                          <a:xfrm>
                            <a:off x="0" y="635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wpg:wgp>
                  </a:graphicData>
                </a:graphic>
              </wp:inline>
            </w:drawing>
          </mc:Choice>
          <mc:Fallback>
            <w:pict>
              <v:group style="width:481.9pt;height:1pt;mso-position-horizontal-relative:char;mso-position-vertical-relative:line" id="docshapegroup694" coordorigin="0,0" coordsize="9638,20">
                <v:line style="position:absolute" from="9638,10" to="0,10" stroked="true" strokeweight="1pt" strokecolor="#393b80">
                  <v:stroke dashstyle="solid"/>
                </v:line>
              </v:group>
            </w:pict>
          </mc:Fallback>
        </mc:AlternateContent>
      </w:r>
      <w:r>
        <w:rPr>
          <w:sz w:val="2"/>
        </w:rPr>
      </w:r>
    </w:p>
    <w:p>
      <w:pPr>
        <w:pStyle w:val="BodyText"/>
        <w:spacing w:before="108"/>
        <w:rPr>
          <w:b/>
          <w:sz w:val="20"/>
        </w:rPr>
      </w:pPr>
      <w:r>
        <w:rPr/>
        <mc:AlternateContent>
          <mc:Choice Requires="wps">
            <w:drawing>
              <wp:anchor distT="0" distB="0" distL="0" distR="0" allowOverlap="1" layoutInCell="1" locked="0" behindDoc="1" simplePos="0" relativeHeight="487770112">
                <wp:simplePos x="0" y="0"/>
                <wp:positionH relativeFrom="page">
                  <wp:posOffset>719996</wp:posOffset>
                </wp:positionH>
                <wp:positionV relativeFrom="paragraph">
                  <wp:posOffset>239299</wp:posOffset>
                </wp:positionV>
                <wp:extent cx="6120130" cy="1270"/>
                <wp:effectExtent l="0" t="0" r="0" b="0"/>
                <wp:wrapTopAndBottom/>
                <wp:docPr id="764" name="Graphic 764"/>
                <wp:cNvGraphicFramePr>
                  <a:graphicFrameLocks/>
                </wp:cNvGraphicFramePr>
                <a:graphic>
                  <a:graphicData uri="http://schemas.microsoft.com/office/word/2010/wordprocessingShape">
                    <wps:wsp>
                      <wps:cNvPr id="764" name="Graphic 764"/>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8.842501pt;width:481.9pt;height:.1pt;mso-position-horizontal-relative:page;mso-position-vertical-relative:paragraph;z-index:-15546368;mso-wrap-distance-left:0;mso-wrap-distance-right:0" id="docshape695" coordorigin="1134,377" coordsize="9638,0" path="m10772,377l1134,377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70624">
                <wp:simplePos x="0" y="0"/>
                <wp:positionH relativeFrom="page">
                  <wp:posOffset>719996</wp:posOffset>
                </wp:positionH>
                <wp:positionV relativeFrom="paragraph">
                  <wp:posOffset>491299</wp:posOffset>
                </wp:positionV>
                <wp:extent cx="6120130" cy="1270"/>
                <wp:effectExtent l="0" t="0" r="0" b="0"/>
                <wp:wrapTopAndBottom/>
                <wp:docPr id="765" name="Graphic 765"/>
                <wp:cNvGraphicFramePr>
                  <a:graphicFrameLocks/>
                </wp:cNvGraphicFramePr>
                <a:graphic>
                  <a:graphicData uri="http://schemas.microsoft.com/office/word/2010/wordprocessingShape">
                    <wps:wsp>
                      <wps:cNvPr id="765" name="Graphic 76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38.685001pt;width:481.9pt;height:.1pt;mso-position-horizontal-relative:page;mso-position-vertical-relative:paragraph;z-index:-15545856;mso-wrap-distance-left:0;mso-wrap-distance-right:0" id="docshape696" coordorigin="1134,774" coordsize="9638,0" path="m10772,774l1134,774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71136">
                <wp:simplePos x="0" y="0"/>
                <wp:positionH relativeFrom="page">
                  <wp:posOffset>719996</wp:posOffset>
                </wp:positionH>
                <wp:positionV relativeFrom="paragraph">
                  <wp:posOffset>743300</wp:posOffset>
                </wp:positionV>
                <wp:extent cx="6120130" cy="1270"/>
                <wp:effectExtent l="0" t="0" r="0" b="0"/>
                <wp:wrapTopAndBottom/>
                <wp:docPr id="766" name="Graphic 766"/>
                <wp:cNvGraphicFramePr>
                  <a:graphicFrameLocks/>
                </wp:cNvGraphicFramePr>
                <a:graphic>
                  <a:graphicData uri="http://schemas.microsoft.com/office/word/2010/wordprocessingShape">
                    <wps:wsp>
                      <wps:cNvPr id="766" name="Graphic 766"/>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58.527599pt;width:481.9pt;height:.1pt;mso-position-horizontal-relative:page;mso-position-vertical-relative:paragraph;z-index:-15545344;mso-wrap-distance-left:0;mso-wrap-distance-right:0" id="docshape697" coordorigin="1134,1171" coordsize="9638,0" path="m10772,1171l1134,1171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71648">
                <wp:simplePos x="0" y="0"/>
                <wp:positionH relativeFrom="page">
                  <wp:posOffset>719996</wp:posOffset>
                </wp:positionH>
                <wp:positionV relativeFrom="paragraph">
                  <wp:posOffset>995300</wp:posOffset>
                </wp:positionV>
                <wp:extent cx="6120130" cy="1270"/>
                <wp:effectExtent l="0" t="0" r="0" b="0"/>
                <wp:wrapTopAndBottom/>
                <wp:docPr id="767" name="Graphic 767"/>
                <wp:cNvGraphicFramePr>
                  <a:graphicFrameLocks/>
                </wp:cNvGraphicFramePr>
                <a:graphic>
                  <a:graphicData uri="http://schemas.microsoft.com/office/word/2010/wordprocessingShape">
                    <wps:wsp>
                      <wps:cNvPr id="767" name="Graphic 767"/>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78.370102pt;width:481.9pt;height:.1pt;mso-position-horizontal-relative:page;mso-position-vertical-relative:paragraph;z-index:-15544832;mso-wrap-distance-left:0;mso-wrap-distance-right:0" id="docshape698" coordorigin="1134,1567" coordsize="9638,0" path="m10772,1567l1134,1567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72160">
                <wp:simplePos x="0" y="0"/>
                <wp:positionH relativeFrom="page">
                  <wp:posOffset>719996</wp:posOffset>
                </wp:positionH>
                <wp:positionV relativeFrom="paragraph">
                  <wp:posOffset>1247300</wp:posOffset>
                </wp:positionV>
                <wp:extent cx="6120130" cy="1270"/>
                <wp:effectExtent l="0" t="0" r="0" b="0"/>
                <wp:wrapTopAndBottom/>
                <wp:docPr id="768" name="Graphic 768"/>
                <wp:cNvGraphicFramePr>
                  <a:graphicFrameLocks/>
                </wp:cNvGraphicFramePr>
                <a:graphic>
                  <a:graphicData uri="http://schemas.microsoft.com/office/word/2010/wordprocessingShape">
                    <wps:wsp>
                      <wps:cNvPr id="768" name="Graphic 768"/>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98.212601pt;width:481.9pt;height:.1pt;mso-position-horizontal-relative:page;mso-position-vertical-relative:paragraph;z-index:-15544320;mso-wrap-distance-left:0;mso-wrap-distance-right:0" id="docshape699" coordorigin="1134,1964" coordsize="9638,0" path="m10772,1964l1134,1964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72672">
                <wp:simplePos x="0" y="0"/>
                <wp:positionH relativeFrom="page">
                  <wp:posOffset>719996</wp:posOffset>
                </wp:positionH>
                <wp:positionV relativeFrom="paragraph">
                  <wp:posOffset>1499297</wp:posOffset>
                </wp:positionV>
                <wp:extent cx="6120130" cy="1270"/>
                <wp:effectExtent l="0" t="0" r="0" b="0"/>
                <wp:wrapTopAndBottom/>
                <wp:docPr id="769" name="Graphic 769"/>
                <wp:cNvGraphicFramePr>
                  <a:graphicFrameLocks/>
                </wp:cNvGraphicFramePr>
                <a:graphic>
                  <a:graphicData uri="http://schemas.microsoft.com/office/word/2010/wordprocessingShape">
                    <wps:wsp>
                      <wps:cNvPr id="769" name="Graphic 76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18.054901pt;width:481.9pt;height:.1pt;mso-position-horizontal-relative:page;mso-position-vertical-relative:paragraph;z-index:-15543808;mso-wrap-distance-left:0;mso-wrap-distance-right:0" id="docshape700" coordorigin="1134,2361" coordsize="9638,0" path="m10772,2361l1134,2361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73184">
                <wp:simplePos x="0" y="0"/>
                <wp:positionH relativeFrom="page">
                  <wp:posOffset>719996</wp:posOffset>
                </wp:positionH>
                <wp:positionV relativeFrom="paragraph">
                  <wp:posOffset>1751296</wp:posOffset>
                </wp:positionV>
                <wp:extent cx="6120130" cy="1270"/>
                <wp:effectExtent l="0" t="0" r="0" b="0"/>
                <wp:wrapTopAndBottom/>
                <wp:docPr id="770" name="Graphic 770"/>
                <wp:cNvGraphicFramePr>
                  <a:graphicFrameLocks/>
                </wp:cNvGraphicFramePr>
                <a:graphic>
                  <a:graphicData uri="http://schemas.microsoft.com/office/word/2010/wordprocessingShape">
                    <wps:wsp>
                      <wps:cNvPr id="770" name="Graphic 77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37.8974pt;width:481.9pt;height:.1pt;mso-position-horizontal-relative:page;mso-position-vertical-relative:paragraph;z-index:-15543296;mso-wrap-distance-left:0;mso-wrap-distance-right:0" id="docshape701" coordorigin="1134,2758" coordsize="9638,0" path="m10772,2758l1134,2758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73696">
                <wp:simplePos x="0" y="0"/>
                <wp:positionH relativeFrom="page">
                  <wp:posOffset>719996</wp:posOffset>
                </wp:positionH>
                <wp:positionV relativeFrom="paragraph">
                  <wp:posOffset>2003298</wp:posOffset>
                </wp:positionV>
                <wp:extent cx="6120130" cy="1270"/>
                <wp:effectExtent l="0" t="0" r="0" b="0"/>
                <wp:wrapTopAndBottom/>
                <wp:docPr id="771" name="Graphic 771"/>
                <wp:cNvGraphicFramePr>
                  <a:graphicFrameLocks/>
                </wp:cNvGraphicFramePr>
                <a:graphic>
                  <a:graphicData uri="http://schemas.microsoft.com/office/word/2010/wordprocessingShape">
                    <wps:wsp>
                      <wps:cNvPr id="771" name="Graphic 771"/>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57.740005pt;width:481.9pt;height:.1pt;mso-position-horizontal-relative:page;mso-position-vertical-relative:paragraph;z-index:-15542784;mso-wrap-distance-left:0;mso-wrap-distance-right:0" id="docshape702" coordorigin="1134,3155" coordsize="9638,0" path="m10772,3155l1134,3155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74208">
                <wp:simplePos x="0" y="0"/>
                <wp:positionH relativeFrom="page">
                  <wp:posOffset>719996</wp:posOffset>
                </wp:positionH>
                <wp:positionV relativeFrom="paragraph">
                  <wp:posOffset>2255297</wp:posOffset>
                </wp:positionV>
                <wp:extent cx="6120130" cy="1270"/>
                <wp:effectExtent l="0" t="0" r="0" b="0"/>
                <wp:wrapTopAndBottom/>
                <wp:docPr id="772" name="Graphic 772"/>
                <wp:cNvGraphicFramePr>
                  <a:graphicFrameLocks/>
                </wp:cNvGraphicFramePr>
                <a:graphic>
                  <a:graphicData uri="http://schemas.microsoft.com/office/word/2010/wordprocessingShape">
                    <wps:wsp>
                      <wps:cNvPr id="772" name="Graphic 772"/>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77.582504pt;width:481.9pt;height:.1pt;mso-position-horizontal-relative:page;mso-position-vertical-relative:paragraph;z-index:-15542272;mso-wrap-distance-left:0;mso-wrap-distance-right:0" id="docshape703" coordorigin="1134,3552" coordsize="9638,0" path="m10772,3552l1134,3552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74720">
                <wp:simplePos x="0" y="0"/>
                <wp:positionH relativeFrom="page">
                  <wp:posOffset>719996</wp:posOffset>
                </wp:positionH>
                <wp:positionV relativeFrom="paragraph">
                  <wp:posOffset>2507297</wp:posOffset>
                </wp:positionV>
                <wp:extent cx="6120130" cy="1270"/>
                <wp:effectExtent l="0" t="0" r="0" b="0"/>
                <wp:wrapTopAndBottom/>
                <wp:docPr id="773" name="Graphic 773"/>
                <wp:cNvGraphicFramePr>
                  <a:graphicFrameLocks/>
                </wp:cNvGraphicFramePr>
                <a:graphic>
                  <a:graphicData uri="http://schemas.microsoft.com/office/word/2010/wordprocessingShape">
                    <wps:wsp>
                      <wps:cNvPr id="773" name="Graphic 773"/>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197.425003pt;width:481.9pt;height:.1pt;mso-position-horizontal-relative:page;mso-position-vertical-relative:paragraph;z-index:-15541760;mso-wrap-distance-left:0;mso-wrap-distance-right:0" id="docshape704" coordorigin="1134,3949" coordsize="9638,0" path="m10772,3949l1134,3949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75232">
                <wp:simplePos x="0" y="0"/>
                <wp:positionH relativeFrom="page">
                  <wp:posOffset>719996</wp:posOffset>
                </wp:positionH>
                <wp:positionV relativeFrom="paragraph">
                  <wp:posOffset>2759297</wp:posOffset>
                </wp:positionV>
                <wp:extent cx="6120130" cy="1270"/>
                <wp:effectExtent l="0" t="0" r="0" b="0"/>
                <wp:wrapTopAndBottom/>
                <wp:docPr id="774" name="Graphic 774"/>
                <wp:cNvGraphicFramePr>
                  <a:graphicFrameLocks/>
                </wp:cNvGraphicFramePr>
                <a:graphic>
                  <a:graphicData uri="http://schemas.microsoft.com/office/word/2010/wordprocessingShape">
                    <wps:wsp>
                      <wps:cNvPr id="774" name="Graphic 774"/>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17.267502pt;width:481.9pt;height:.1pt;mso-position-horizontal-relative:page;mso-position-vertical-relative:paragraph;z-index:-15541248;mso-wrap-distance-left:0;mso-wrap-distance-right:0" id="docshape705" coordorigin="1134,4345" coordsize="9638,0" path="m10772,4345l1134,4345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75744">
                <wp:simplePos x="0" y="0"/>
                <wp:positionH relativeFrom="page">
                  <wp:posOffset>719996</wp:posOffset>
                </wp:positionH>
                <wp:positionV relativeFrom="paragraph">
                  <wp:posOffset>3011298</wp:posOffset>
                </wp:positionV>
                <wp:extent cx="6120130" cy="1270"/>
                <wp:effectExtent l="0" t="0" r="0" b="0"/>
                <wp:wrapTopAndBottom/>
                <wp:docPr id="775" name="Graphic 775"/>
                <wp:cNvGraphicFramePr>
                  <a:graphicFrameLocks/>
                </wp:cNvGraphicFramePr>
                <a:graphic>
                  <a:graphicData uri="http://schemas.microsoft.com/office/word/2010/wordprocessingShape">
                    <wps:wsp>
                      <wps:cNvPr id="775" name="Graphic 77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37.110107pt;width:481.9pt;height:.1pt;mso-position-horizontal-relative:page;mso-position-vertical-relative:paragraph;z-index:-15540736;mso-wrap-distance-left:0;mso-wrap-distance-right:0" id="docshape706" coordorigin="1134,4742" coordsize="9638,0" path="m10772,4742l1134,4742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76256">
                <wp:simplePos x="0" y="0"/>
                <wp:positionH relativeFrom="page">
                  <wp:posOffset>719996</wp:posOffset>
                </wp:positionH>
                <wp:positionV relativeFrom="paragraph">
                  <wp:posOffset>3263298</wp:posOffset>
                </wp:positionV>
                <wp:extent cx="6120130" cy="1270"/>
                <wp:effectExtent l="0" t="0" r="0" b="0"/>
                <wp:wrapTopAndBottom/>
                <wp:docPr id="776" name="Graphic 776"/>
                <wp:cNvGraphicFramePr>
                  <a:graphicFrameLocks/>
                </wp:cNvGraphicFramePr>
                <a:graphic>
                  <a:graphicData uri="http://schemas.microsoft.com/office/word/2010/wordprocessingShape">
                    <wps:wsp>
                      <wps:cNvPr id="776" name="Graphic 776"/>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56.952606pt;width:481.9pt;height:.1pt;mso-position-horizontal-relative:page;mso-position-vertical-relative:paragraph;z-index:-15540224;mso-wrap-distance-left:0;mso-wrap-distance-right:0" id="docshape707" coordorigin="1134,5139" coordsize="9638,0" path="m10772,5139l1134,5139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76768">
                <wp:simplePos x="0" y="0"/>
                <wp:positionH relativeFrom="page">
                  <wp:posOffset>719996</wp:posOffset>
                </wp:positionH>
                <wp:positionV relativeFrom="paragraph">
                  <wp:posOffset>3515297</wp:posOffset>
                </wp:positionV>
                <wp:extent cx="6120130" cy="1270"/>
                <wp:effectExtent l="0" t="0" r="0" b="0"/>
                <wp:wrapTopAndBottom/>
                <wp:docPr id="777" name="Graphic 777"/>
                <wp:cNvGraphicFramePr>
                  <a:graphicFrameLocks/>
                </wp:cNvGraphicFramePr>
                <a:graphic>
                  <a:graphicData uri="http://schemas.microsoft.com/office/word/2010/wordprocessingShape">
                    <wps:wsp>
                      <wps:cNvPr id="777" name="Graphic 777"/>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76.795105pt;width:481.9pt;height:.1pt;mso-position-horizontal-relative:page;mso-position-vertical-relative:paragraph;z-index:-15539712;mso-wrap-distance-left:0;mso-wrap-distance-right:0" id="docshape708" coordorigin="1134,5536" coordsize="9638,0" path="m10772,5536l1134,5536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77280">
                <wp:simplePos x="0" y="0"/>
                <wp:positionH relativeFrom="page">
                  <wp:posOffset>719996</wp:posOffset>
                </wp:positionH>
                <wp:positionV relativeFrom="paragraph">
                  <wp:posOffset>3767298</wp:posOffset>
                </wp:positionV>
                <wp:extent cx="6120130" cy="1270"/>
                <wp:effectExtent l="0" t="0" r="0" b="0"/>
                <wp:wrapTopAndBottom/>
                <wp:docPr id="778" name="Graphic 778"/>
                <wp:cNvGraphicFramePr>
                  <a:graphicFrameLocks/>
                </wp:cNvGraphicFramePr>
                <a:graphic>
                  <a:graphicData uri="http://schemas.microsoft.com/office/word/2010/wordprocessingShape">
                    <wps:wsp>
                      <wps:cNvPr id="778" name="Graphic 778"/>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296.637695pt;width:481.9pt;height:.1pt;mso-position-horizontal-relative:page;mso-position-vertical-relative:paragraph;z-index:-15539200;mso-wrap-distance-left:0;mso-wrap-distance-right:0" id="docshape709" coordorigin="1134,5933" coordsize="9638,0" path="m10772,5933l1134,5933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77792">
                <wp:simplePos x="0" y="0"/>
                <wp:positionH relativeFrom="page">
                  <wp:posOffset>719996</wp:posOffset>
                </wp:positionH>
                <wp:positionV relativeFrom="paragraph">
                  <wp:posOffset>4019298</wp:posOffset>
                </wp:positionV>
                <wp:extent cx="6120130" cy="1270"/>
                <wp:effectExtent l="0" t="0" r="0" b="0"/>
                <wp:wrapTopAndBottom/>
                <wp:docPr id="779" name="Graphic 779"/>
                <wp:cNvGraphicFramePr>
                  <a:graphicFrameLocks/>
                </wp:cNvGraphicFramePr>
                <a:graphic>
                  <a:graphicData uri="http://schemas.microsoft.com/office/word/2010/wordprocessingShape">
                    <wps:wsp>
                      <wps:cNvPr id="779" name="Graphic 77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316.480194pt;width:481.9pt;height:.1pt;mso-position-horizontal-relative:page;mso-position-vertical-relative:paragraph;z-index:-15538688;mso-wrap-distance-left:0;mso-wrap-distance-right:0" id="docshape710" coordorigin="1134,6330" coordsize="9638,0" path="m10772,6330l1134,6330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78304">
                <wp:simplePos x="0" y="0"/>
                <wp:positionH relativeFrom="page">
                  <wp:posOffset>719996</wp:posOffset>
                </wp:positionH>
                <wp:positionV relativeFrom="paragraph">
                  <wp:posOffset>4271298</wp:posOffset>
                </wp:positionV>
                <wp:extent cx="6120130" cy="1270"/>
                <wp:effectExtent l="0" t="0" r="0" b="0"/>
                <wp:wrapTopAndBottom/>
                <wp:docPr id="780" name="Graphic 780"/>
                <wp:cNvGraphicFramePr>
                  <a:graphicFrameLocks/>
                </wp:cNvGraphicFramePr>
                <a:graphic>
                  <a:graphicData uri="http://schemas.microsoft.com/office/word/2010/wordprocessingShape">
                    <wps:wsp>
                      <wps:cNvPr id="780" name="Graphic 78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336.322693pt;width:481.9pt;height:.1pt;mso-position-horizontal-relative:page;mso-position-vertical-relative:paragraph;z-index:-15538176;mso-wrap-distance-left:0;mso-wrap-distance-right:0" id="docshape711" coordorigin="1134,6726" coordsize="9638,0" path="m10772,6726l1134,6726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78816">
                <wp:simplePos x="0" y="0"/>
                <wp:positionH relativeFrom="page">
                  <wp:posOffset>719996</wp:posOffset>
                </wp:positionH>
                <wp:positionV relativeFrom="paragraph">
                  <wp:posOffset>4523299</wp:posOffset>
                </wp:positionV>
                <wp:extent cx="6120130" cy="1270"/>
                <wp:effectExtent l="0" t="0" r="0" b="0"/>
                <wp:wrapTopAndBottom/>
                <wp:docPr id="781" name="Graphic 781"/>
                <wp:cNvGraphicFramePr>
                  <a:graphicFrameLocks/>
                </wp:cNvGraphicFramePr>
                <a:graphic>
                  <a:graphicData uri="http://schemas.microsoft.com/office/word/2010/wordprocessingShape">
                    <wps:wsp>
                      <wps:cNvPr id="781" name="Graphic 781"/>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356.165314pt;width:481.9pt;height:.1pt;mso-position-horizontal-relative:page;mso-position-vertical-relative:paragraph;z-index:-15537664;mso-wrap-distance-left:0;mso-wrap-distance-right:0" id="docshape712" coordorigin="1134,7123" coordsize="9638,0" path="m10772,7123l1134,7123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79328">
                <wp:simplePos x="0" y="0"/>
                <wp:positionH relativeFrom="page">
                  <wp:posOffset>719996</wp:posOffset>
                </wp:positionH>
                <wp:positionV relativeFrom="paragraph">
                  <wp:posOffset>4775299</wp:posOffset>
                </wp:positionV>
                <wp:extent cx="6120130" cy="1270"/>
                <wp:effectExtent l="0" t="0" r="0" b="0"/>
                <wp:wrapTopAndBottom/>
                <wp:docPr id="782" name="Graphic 782"/>
                <wp:cNvGraphicFramePr>
                  <a:graphicFrameLocks/>
                </wp:cNvGraphicFramePr>
                <a:graphic>
                  <a:graphicData uri="http://schemas.microsoft.com/office/word/2010/wordprocessingShape">
                    <wps:wsp>
                      <wps:cNvPr id="782" name="Graphic 782"/>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376.007813pt;width:481.9pt;height:.1pt;mso-position-horizontal-relative:page;mso-position-vertical-relative:paragraph;z-index:-15537152;mso-wrap-distance-left:0;mso-wrap-distance-right:0" id="docshape713" coordorigin="1134,7520" coordsize="9638,0" path="m10772,7520l1134,7520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79840">
                <wp:simplePos x="0" y="0"/>
                <wp:positionH relativeFrom="page">
                  <wp:posOffset>719996</wp:posOffset>
                </wp:positionH>
                <wp:positionV relativeFrom="paragraph">
                  <wp:posOffset>5027298</wp:posOffset>
                </wp:positionV>
                <wp:extent cx="6120130" cy="1270"/>
                <wp:effectExtent l="0" t="0" r="0" b="0"/>
                <wp:wrapTopAndBottom/>
                <wp:docPr id="783" name="Graphic 783"/>
                <wp:cNvGraphicFramePr>
                  <a:graphicFrameLocks/>
                </wp:cNvGraphicFramePr>
                <a:graphic>
                  <a:graphicData uri="http://schemas.microsoft.com/office/word/2010/wordprocessingShape">
                    <wps:wsp>
                      <wps:cNvPr id="783" name="Graphic 783"/>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395.850311pt;width:481.9pt;height:.1pt;mso-position-horizontal-relative:page;mso-position-vertical-relative:paragraph;z-index:-15536640;mso-wrap-distance-left:0;mso-wrap-distance-right:0" id="docshape714" coordorigin="1134,7917" coordsize="9638,0" path="m10772,7917l1134,7917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80352">
                <wp:simplePos x="0" y="0"/>
                <wp:positionH relativeFrom="page">
                  <wp:posOffset>719996</wp:posOffset>
                </wp:positionH>
                <wp:positionV relativeFrom="paragraph">
                  <wp:posOffset>5279298</wp:posOffset>
                </wp:positionV>
                <wp:extent cx="6120130" cy="1270"/>
                <wp:effectExtent l="0" t="0" r="0" b="0"/>
                <wp:wrapTopAndBottom/>
                <wp:docPr id="784" name="Graphic 784"/>
                <wp:cNvGraphicFramePr>
                  <a:graphicFrameLocks/>
                </wp:cNvGraphicFramePr>
                <a:graphic>
                  <a:graphicData uri="http://schemas.microsoft.com/office/word/2010/wordprocessingShape">
                    <wps:wsp>
                      <wps:cNvPr id="784" name="Graphic 784"/>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415.69281pt;width:481.9pt;height:.1pt;mso-position-horizontal-relative:page;mso-position-vertical-relative:paragraph;z-index:-15536128;mso-wrap-distance-left:0;mso-wrap-distance-right:0" id="docshape715" coordorigin="1134,8314" coordsize="9638,0" path="m10772,8314l1134,8314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80864">
                <wp:simplePos x="0" y="0"/>
                <wp:positionH relativeFrom="page">
                  <wp:posOffset>719996</wp:posOffset>
                </wp:positionH>
                <wp:positionV relativeFrom="paragraph">
                  <wp:posOffset>5531299</wp:posOffset>
                </wp:positionV>
                <wp:extent cx="6120130" cy="1270"/>
                <wp:effectExtent l="0" t="0" r="0" b="0"/>
                <wp:wrapTopAndBottom/>
                <wp:docPr id="785" name="Graphic 785"/>
                <wp:cNvGraphicFramePr>
                  <a:graphicFrameLocks/>
                </wp:cNvGraphicFramePr>
                <a:graphic>
                  <a:graphicData uri="http://schemas.microsoft.com/office/word/2010/wordprocessingShape">
                    <wps:wsp>
                      <wps:cNvPr id="785" name="Graphic 78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435.5354pt;width:481.9pt;height:.1pt;mso-position-horizontal-relative:page;mso-position-vertical-relative:paragraph;z-index:-15535616;mso-wrap-distance-left:0;mso-wrap-distance-right:0" id="docshape716" coordorigin="1134,8711" coordsize="9638,0" path="m10772,8711l1134,8711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81376">
                <wp:simplePos x="0" y="0"/>
                <wp:positionH relativeFrom="page">
                  <wp:posOffset>719996</wp:posOffset>
                </wp:positionH>
                <wp:positionV relativeFrom="paragraph">
                  <wp:posOffset>5783299</wp:posOffset>
                </wp:positionV>
                <wp:extent cx="6120130" cy="1270"/>
                <wp:effectExtent l="0" t="0" r="0" b="0"/>
                <wp:wrapTopAndBottom/>
                <wp:docPr id="786" name="Graphic 786"/>
                <wp:cNvGraphicFramePr>
                  <a:graphicFrameLocks/>
                </wp:cNvGraphicFramePr>
                <a:graphic>
                  <a:graphicData uri="http://schemas.microsoft.com/office/word/2010/wordprocessingShape">
                    <wps:wsp>
                      <wps:cNvPr id="786" name="Graphic 786"/>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455.377899pt;width:481.9pt;height:.1pt;mso-position-horizontal-relative:page;mso-position-vertical-relative:paragraph;z-index:-15535104;mso-wrap-distance-left:0;mso-wrap-distance-right:0" id="docshape717" coordorigin="1134,9108" coordsize="9638,0" path="m10772,9108l1134,9108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81888">
                <wp:simplePos x="0" y="0"/>
                <wp:positionH relativeFrom="page">
                  <wp:posOffset>719996</wp:posOffset>
                </wp:positionH>
                <wp:positionV relativeFrom="paragraph">
                  <wp:posOffset>6035299</wp:posOffset>
                </wp:positionV>
                <wp:extent cx="6120130" cy="1270"/>
                <wp:effectExtent l="0" t="0" r="0" b="0"/>
                <wp:wrapTopAndBottom/>
                <wp:docPr id="787" name="Graphic 787"/>
                <wp:cNvGraphicFramePr>
                  <a:graphicFrameLocks/>
                </wp:cNvGraphicFramePr>
                <a:graphic>
                  <a:graphicData uri="http://schemas.microsoft.com/office/word/2010/wordprocessingShape">
                    <wps:wsp>
                      <wps:cNvPr id="787" name="Graphic 787"/>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475.220398pt;width:481.9pt;height:.1pt;mso-position-horizontal-relative:page;mso-position-vertical-relative:paragraph;z-index:-15534592;mso-wrap-distance-left:0;mso-wrap-distance-right:0" id="docshape718" coordorigin="1134,9504" coordsize="9638,0" path="m10772,9504l1134,9504e" filled="false" stroked="true" strokeweight="1pt" strokecolor="#393b8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82400">
                <wp:simplePos x="0" y="0"/>
                <wp:positionH relativeFrom="page">
                  <wp:posOffset>719996</wp:posOffset>
                </wp:positionH>
                <wp:positionV relativeFrom="paragraph">
                  <wp:posOffset>6286848</wp:posOffset>
                </wp:positionV>
                <wp:extent cx="6120130" cy="1270"/>
                <wp:effectExtent l="0" t="0" r="0" b="0"/>
                <wp:wrapTopAndBottom/>
                <wp:docPr id="788" name="Graphic 788"/>
                <wp:cNvGraphicFramePr>
                  <a:graphicFrameLocks/>
                </wp:cNvGraphicFramePr>
                <a:graphic>
                  <a:graphicData uri="http://schemas.microsoft.com/office/word/2010/wordprocessingShape">
                    <wps:wsp>
                      <wps:cNvPr id="788" name="Graphic 788"/>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6pt;margin-top:495.027435pt;width:481.9pt;height:.1pt;mso-position-horizontal-relative:page;mso-position-vertical-relative:paragraph;z-index:-15534080;mso-wrap-distance-left:0;mso-wrap-distance-right:0" id="docshape719" coordorigin="1134,9901" coordsize="9638,0" path="m10772,9901l1134,9901e" filled="false" stroked="true" strokeweight="1pt" strokecolor="#393b80">
                <v:path arrowok="t"/>
                <v:stroke dashstyle="solid"/>
                <w10:wrap type="topAndBottom"/>
              </v:shape>
            </w:pict>
          </mc:Fallback>
        </mc:AlternateContent>
      </w: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pStyle w:val="BodyText"/>
        <w:spacing w:before="118"/>
        <w:rPr>
          <w:b/>
          <w:sz w:val="20"/>
        </w:rPr>
      </w:pPr>
    </w:p>
    <w:p>
      <w:pPr>
        <w:spacing w:after="0"/>
        <w:rPr>
          <w:sz w:val="20"/>
        </w:rPr>
        <w:sectPr>
          <w:pgSz w:w="11910" w:h="16840"/>
          <w:pgMar w:header="496" w:footer="4506" w:top="1220" w:bottom="4700" w:left="0" w:right="0"/>
        </w:sectPr>
      </w:pPr>
    </w:p>
    <w:p>
      <w:pPr>
        <w:pStyle w:val="BodyText"/>
        <w:spacing w:before="5"/>
        <w:rPr>
          <w:b/>
          <w:sz w:val="14"/>
        </w:rPr>
      </w:pPr>
      <w:r>
        <w:rPr/>
        <mc:AlternateContent>
          <mc:Choice Requires="wps">
            <w:drawing>
              <wp:anchor distT="0" distB="0" distL="0" distR="0" allowOverlap="1" layoutInCell="1" locked="0" behindDoc="1" simplePos="0" relativeHeight="484909568">
                <wp:simplePos x="0" y="0"/>
                <wp:positionH relativeFrom="page">
                  <wp:posOffset>0</wp:posOffset>
                </wp:positionH>
                <wp:positionV relativeFrom="page">
                  <wp:posOffset>2250513</wp:posOffset>
                </wp:positionV>
                <wp:extent cx="7560309" cy="8441690"/>
                <wp:effectExtent l="0" t="0" r="0" b="0"/>
                <wp:wrapNone/>
                <wp:docPr id="789" name="Group 789"/>
                <wp:cNvGraphicFramePr>
                  <a:graphicFrameLocks/>
                </wp:cNvGraphicFramePr>
                <a:graphic>
                  <a:graphicData uri="http://schemas.microsoft.com/office/word/2010/wordprocessingGroup">
                    <wpg:wgp>
                      <wpg:cNvPr id="789" name="Group 789"/>
                      <wpg:cNvGrpSpPr/>
                      <wpg:grpSpPr>
                        <a:xfrm>
                          <a:off x="0" y="0"/>
                          <a:ext cx="7560309" cy="8441690"/>
                          <a:chExt cx="7560309" cy="8441690"/>
                        </a:xfrm>
                      </wpg:grpSpPr>
                      <wps:wsp>
                        <wps:cNvPr id="790" name="Graphic 790"/>
                        <wps:cNvSpPr/>
                        <wps:spPr>
                          <a:xfrm>
                            <a:off x="0" y="683492"/>
                            <a:ext cx="7560309" cy="7758430"/>
                          </a:xfrm>
                          <a:custGeom>
                            <a:avLst/>
                            <a:gdLst/>
                            <a:ahLst/>
                            <a:cxnLst/>
                            <a:rect l="l" t="t" r="r" b="b"/>
                            <a:pathLst>
                              <a:path w="7560309" h="7758430">
                                <a:moveTo>
                                  <a:pt x="5438433" y="0"/>
                                </a:moveTo>
                                <a:lnTo>
                                  <a:pt x="0" y="3139884"/>
                                </a:lnTo>
                                <a:lnTo>
                                  <a:pt x="0" y="7757998"/>
                                </a:lnTo>
                                <a:lnTo>
                                  <a:pt x="7560005" y="7757998"/>
                                </a:lnTo>
                                <a:lnTo>
                                  <a:pt x="7560005" y="1224891"/>
                                </a:lnTo>
                                <a:lnTo>
                                  <a:pt x="5438433" y="0"/>
                                </a:lnTo>
                                <a:close/>
                              </a:path>
                            </a:pathLst>
                          </a:custGeom>
                          <a:solidFill>
                            <a:srgbClr val="393C80"/>
                          </a:solidFill>
                        </wps:spPr>
                        <wps:bodyPr wrap="square" lIns="0" tIns="0" rIns="0" bIns="0" rtlCol="0">
                          <a:prstTxWarp prst="textNoShape">
                            <a:avLst/>
                          </a:prstTxWarp>
                          <a:noAutofit/>
                        </wps:bodyPr>
                      </wps:wsp>
                      <wps:wsp>
                        <wps:cNvPr id="791" name="Graphic 791"/>
                        <wps:cNvSpPr/>
                        <wps:spPr>
                          <a:xfrm>
                            <a:off x="0" y="0"/>
                            <a:ext cx="5438775" cy="8441690"/>
                          </a:xfrm>
                          <a:custGeom>
                            <a:avLst/>
                            <a:gdLst/>
                            <a:ahLst/>
                            <a:cxnLst/>
                            <a:rect l="l" t="t" r="r" b="b"/>
                            <a:pathLst>
                              <a:path w="5438775" h="8441690">
                                <a:moveTo>
                                  <a:pt x="0" y="0"/>
                                </a:moveTo>
                                <a:lnTo>
                                  <a:pt x="0" y="8441490"/>
                                </a:lnTo>
                                <a:lnTo>
                                  <a:pt x="5438432" y="8441490"/>
                                </a:lnTo>
                                <a:lnTo>
                                  <a:pt x="5438432" y="3139881"/>
                                </a:lnTo>
                                <a:lnTo>
                                  <a:pt x="0" y="0"/>
                                </a:lnTo>
                                <a:close/>
                              </a:path>
                            </a:pathLst>
                          </a:custGeom>
                          <a:solidFill>
                            <a:srgbClr val="671C75"/>
                          </a:solidFill>
                        </wps:spPr>
                        <wps:bodyPr wrap="square" lIns="0" tIns="0" rIns="0" bIns="0" rtlCol="0">
                          <a:prstTxWarp prst="textNoShape">
                            <a:avLst/>
                          </a:prstTxWarp>
                          <a:noAutofit/>
                        </wps:bodyPr>
                      </wps:wsp>
                      <wps:wsp>
                        <wps:cNvPr id="792" name="Graphic 792"/>
                        <wps:cNvSpPr/>
                        <wps:spPr>
                          <a:xfrm>
                            <a:off x="5438436" y="1918719"/>
                            <a:ext cx="2122170" cy="5624195"/>
                          </a:xfrm>
                          <a:custGeom>
                            <a:avLst/>
                            <a:gdLst/>
                            <a:ahLst/>
                            <a:cxnLst/>
                            <a:rect l="l" t="t" r="r" b="b"/>
                            <a:pathLst>
                              <a:path w="2122170" h="5624195">
                                <a:moveTo>
                                  <a:pt x="2121569" y="0"/>
                                </a:moveTo>
                                <a:lnTo>
                                  <a:pt x="0" y="1224890"/>
                                </a:lnTo>
                                <a:lnTo>
                                  <a:pt x="0" y="4399116"/>
                                </a:lnTo>
                                <a:lnTo>
                                  <a:pt x="2121569" y="5624006"/>
                                </a:lnTo>
                                <a:lnTo>
                                  <a:pt x="2121569" y="0"/>
                                </a:lnTo>
                                <a:close/>
                              </a:path>
                            </a:pathLst>
                          </a:custGeom>
                          <a:solidFill>
                            <a:srgbClr val="FFFFFF"/>
                          </a:solidFill>
                        </wps:spPr>
                        <wps:bodyPr wrap="square" lIns="0" tIns="0" rIns="0" bIns="0" rtlCol="0">
                          <a:prstTxWarp prst="textNoShape">
                            <a:avLst/>
                          </a:prstTxWarp>
                          <a:noAutofit/>
                        </wps:bodyPr>
                      </wps:wsp>
                      <pic:pic>
                        <pic:nvPicPr>
                          <pic:cNvPr id="793" name="Image 793"/>
                          <pic:cNvPicPr/>
                        </pic:nvPicPr>
                        <pic:blipFill>
                          <a:blip r:embed="rId263" cstate="print"/>
                          <a:stretch>
                            <a:fillRect/>
                          </a:stretch>
                        </pic:blipFill>
                        <pic:spPr>
                          <a:xfrm>
                            <a:off x="1273439" y="7489779"/>
                            <a:ext cx="226733" cy="226733"/>
                          </a:xfrm>
                          <a:prstGeom prst="rect">
                            <a:avLst/>
                          </a:prstGeom>
                        </pic:spPr>
                      </pic:pic>
                      <pic:pic>
                        <pic:nvPicPr>
                          <pic:cNvPr id="794" name="Image 794"/>
                          <pic:cNvPicPr/>
                        </pic:nvPicPr>
                        <pic:blipFill>
                          <a:blip r:embed="rId264" cstate="print"/>
                          <a:stretch>
                            <a:fillRect/>
                          </a:stretch>
                        </pic:blipFill>
                        <pic:spPr>
                          <a:xfrm>
                            <a:off x="1547321" y="7489789"/>
                            <a:ext cx="226733" cy="226720"/>
                          </a:xfrm>
                          <a:prstGeom prst="rect">
                            <a:avLst/>
                          </a:prstGeom>
                        </pic:spPr>
                      </pic:pic>
                      <pic:pic>
                        <pic:nvPicPr>
                          <pic:cNvPr id="795" name="Image 795"/>
                          <pic:cNvPicPr/>
                        </pic:nvPicPr>
                        <pic:blipFill>
                          <a:blip r:embed="rId265" cstate="print"/>
                          <a:stretch>
                            <a:fillRect/>
                          </a:stretch>
                        </pic:blipFill>
                        <pic:spPr>
                          <a:xfrm>
                            <a:off x="999554" y="7489777"/>
                            <a:ext cx="226733" cy="226733"/>
                          </a:xfrm>
                          <a:prstGeom prst="rect">
                            <a:avLst/>
                          </a:prstGeom>
                        </pic:spPr>
                      </pic:pic>
                      <pic:pic>
                        <pic:nvPicPr>
                          <pic:cNvPr id="796" name="Image 796"/>
                          <pic:cNvPicPr/>
                        </pic:nvPicPr>
                        <pic:blipFill>
                          <a:blip r:embed="rId266" cstate="print"/>
                          <a:stretch>
                            <a:fillRect/>
                          </a:stretch>
                        </pic:blipFill>
                        <pic:spPr>
                          <a:xfrm>
                            <a:off x="725678" y="7489777"/>
                            <a:ext cx="226733" cy="226733"/>
                          </a:xfrm>
                          <a:prstGeom prst="rect">
                            <a:avLst/>
                          </a:prstGeom>
                        </pic:spPr>
                      </pic:pic>
                      <pic:pic>
                        <pic:nvPicPr>
                          <pic:cNvPr id="797" name="Image 797"/>
                          <pic:cNvPicPr/>
                        </pic:nvPicPr>
                        <pic:blipFill>
                          <a:blip r:embed="rId263" cstate="print"/>
                          <a:stretch>
                            <a:fillRect/>
                          </a:stretch>
                        </pic:blipFill>
                        <pic:spPr>
                          <a:xfrm>
                            <a:off x="1273439" y="5312640"/>
                            <a:ext cx="226733" cy="226733"/>
                          </a:xfrm>
                          <a:prstGeom prst="rect">
                            <a:avLst/>
                          </a:prstGeom>
                        </pic:spPr>
                      </pic:pic>
                      <pic:pic>
                        <pic:nvPicPr>
                          <pic:cNvPr id="798" name="Image 798"/>
                          <pic:cNvPicPr/>
                        </pic:nvPicPr>
                        <pic:blipFill>
                          <a:blip r:embed="rId267" cstate="print"/>
                          <a:stretch>
                            <a:fillRect/>
                          </a:stretch>
                        </pic:blipFill>
                        <pic:spPr>
                          <a:xfrm>
                            <a:off x="1547321" y="5312650"/>
                            <a:ext cx="226733" cy="226720"/>
                          </a:xfrm>
                          <a:prstGeom prst="rect">
                            <a:avLst/>
                          </a:prstGeom>
                        </pic:spPr>
                      </pic:pic>
                      <pic:pic>
                        <pic:nvPicPr>
                          <pic:cNvPr id="799" name="Image 799"/>
                          <pic:cNvPicPr/>
                        </pic:nvPicPr>
                        <pic:blipFill>
                          <a:blip r:embed="rId265" cstate="print"/>
                          <a:stretch>
                            <a:fillRect/>
                          </a:stretch>
                        </pic:blipFill>
                        <pic:spPr>
                          <a:xfrm>
                            <a:off x="999554" y="5312639"/>
                            <a:ext cx="226733" cy="226733"/>
                          </a:xfrm>
                          <a:prstGeom prst="rect">
                            <a:avLst/>
                          </a:prstGeom>
                        </pic:spPr>
                      </pic:pic>
                      <pic:pic>
                        <pic:nvPicPr>
                          <pic:cNvPr id="800" name="Image 800"/>
                          <pic:cNvPicPr/>
                        </pic:nvPicPr>
                        <pic:blipFill>
                          <a:blip r:embed="rId266" cstate="print"/>
                          <a:stretch>
                            <a:fillRect/>
                          </a:stretch>
                        </pic:blipFill>
                        <pic:spPr>
                          <a:xfrm>
                            <a:off x="725678" y="5312639"/>
                            <a:ext cx="226733" cy="226733"/>
                          </a:xfrm>
                          <a:prstGeom prst="rect">
                            <a:avLst/>
                          </a:prstGeom>
                        </pic:spPr>
                      </pic:pic>
                    </wpg:wgp>
                  </a:graphicData>
                </a:graphic>
              </wp:anchor>
            </w:drawing>
          </mc:Choice>
          <mc:Fallback>
            <w:pict>
              <v:group style="position:absolute;margin-left:-.000037pt;margin-top:177.20575pt;width:595.3pt;height:664.7pt;mso-position-horizontal-relative:page;mso-position-vertical-relative:page;z-index:-18406912" id="docshapegroup720" coordorigin="0,3544" coordsize="11906,13294">
                <v:shape style="position:absolute;left:0;top:4620;width:11906;height:12218" id="docshape721" coordorigin="0,4620" coordsize="11906,12218" path="m8564,4620l0,9565,0,16838,11906,16838,11906,6549,8564,4620xe" filled="true" fillcolor="#393c80" stroked="false">
                  <v:path arrowok="t"/>
                  <v:fill type="solid"/>
                </v:shape>
                <v:shape style="position:absolute;left:0;top:3544;width:8565;height:13294" id="docshape722" coordorigin="0,3544" coordsize="8565,13294" path="m0,3544l0,16838,8564,16838,8564,8489,0,3544xe" filled="true" fillcolor="#671c75" stroked="false">
                  <v:path arrowok="t"/>
                  <v:fill type="solid"/>
                </v:shape>
                <v:shape style="position:absolute;left:8564;top:6565;width:3342;height:8857" id="docshape723" coordorigin="8564,6566" coordsize="3342,8857" path="m11906,6566l8564,8495,8564,13493,11906,15422,11906,6566xe" filled="true" fillcolor="#ffffff" stroked="false">
                  <v:path arrowok="t"/>
                  <v:fill type="solid"/>
                </v:shape>
                <v:shape style="position:absolute;left:2005;top:15339;width:358;height:358" type="#_x0000_t75" id="docshape724" stroked="false">
                  <v:imagedata r:id="rId263" o:title=""/>
                </v:shape>
                <v:shape style="position:absolute;left:2436;top:15339;width:358;height:358" type="#_x0000_t75" id="docshape725" stroked="false">
                  <v:imagedata r:id="rId264" o:title=""/>
                </v:shape>
                <v:shape style="position:absolute;left:1574;top:15339;width:358;height:358" type="#_x0000_t75" id="docshape726" stroked="false">
                  <v:imagedata r:id="rId265" o:title=""/>
                </v:shape>
                <v:shape style="position:absolute;left:1142;top:15339;width:358;height:358" type="#_x0000_t75" id="docshape727" stroked="false">
                  <v:imagedata r:id="rId266" o:title=""/>
                </v:shape>
                <v:shape style="position:absolute;left:2005;top:11910;width:358;height:358" type="#_x0000_t75" id="docshape728" stroked="false">
                  <v:imagedata r:id="rId263" o:title=""/>
                </v:shape>
                <v:shape style="position:absolute;left:2436;top:11910;width:358;height:358" type="#_x0000_t75" id="docshape729" stroked="false">
                  <v:imagedata r:id="rId267" o:title=""/>
                </v:shape>
                <v:shape style="position:absolute;left:1574;top:11910;width:358;height:358" type="#_x0000_t75" id="docshape730" stroked="false">
                  <v:imagedata r:id="rId265" o:title=""/>
                </v:shape>
                <v:shape style="position:absolute;left:1142;top:11910;width:358;height:358" type="#_x0000_t75" id="docshape731" stroked="false">
                  <v:imagedata r:id="rId266" o:title=""/>
                </v:shape>
                <w10:wrap type="none"/>
              </v:group>
            </w:pict>
          </mc:Fallback>
        </mc:AlternateContent>
      </w:r>
      <w:r>
        <w:rPr/>
        <mc:AlternateContent>
          <mc:Choice Requires="wps">
            <w:drawing>
              <wp:anchor distT="0" distB="0" distL="0" distR="0" allowOverlap="1" layoutInCell="1" locked="0" behindDoc="0" simplePos="0" relativeHeight="15925248">
                <wp:simplePos x="0" y="0"/>
                <wp:positionH relativeFrom="page">
                  <wp:posOffset>4839665</wp:posOffset>
                </wp:positionH>
                <wp:positionV relativeFrom="page">
                  <wp:posOffset>636943</wp:posOffset>
                </wp:positionV>
                <wp:extent cx="1998980" cy="784860"/>
                <wp:effectExtent l="0" t="0" r="0" b="0"/>
                <wp:wrapNone/>
                <wp:docPr id="801" name="Group 801"/>
                <wp:cNvGraphicFramePr>
                  <a:graphicFrameLocks/>
                </wp:cNvGraphicFramePr>
                <a:graphic>
                  <a:graphicData uri="http://schemas.microsoft.com/office/word/2010/wordprocessingGroup">
                    <wpg:wgp>
                      <wpg:cNvPr id="801" name="Group 801"/>
                      <wpg:cNvGrpSpPr/>
                      <wpg:grpSpPr>
                        <a:xfrm>
                          <a:off x="0" y="0"/>
                          <a:ext cx="1998980" cy="784860"/>
                          <a:chExt cx="1998980" cy="784860"/>
                        </a:xfrm>
                      </wpg:grpSpPr>
                      <wps:wsp>
                        <wps:cNvPr id="802" name="Graphic 802"/>
                        <wps:cNvSpPr/>
                        <wps:spPr>
                          <a:xfrm>
                            <a:off x="507" y="607974"/>
                            <a:ext cx="1998345" cy="177165"/>
                          </a:xfrm>
                          <a:custGeom>
                            <a:avLst/>
                            <a:gdLst/>
                            <a:ahLst/>
                            <a:cxnLst/>
                            <a:rect l="l" t="t" r="r" b="b"/>
                            <a:pathLst>
                              <a:path w="1998345" h="177165">
                                <a:moveTo>
                                  <a:pt x="1998179" y="0"/>
                                </a:moveTo>
                                <a:lnTo>
                                  <a:pt x="0" y="0"/>
                                </a:lnTo>
                                <a:lnTo>
                                  <a:pt x="0" y="176555"/>
                                </a:lnTo>
                                <a:lnTo>
                                  <a:pt x="1998179" y="176555"/>
                                </a:lnTo>
                                <a:lnTo>
                                  <a:pt x="1998179" y="0"/>
                                </a:lnTo>
                                <a:close/>
                              </a:path>
                            </a:pathLst>
                          </a:custGeom>
                          <a:solidFill>
                            <a:srgbClr val="4E9A55"/>
                          </a:solidFill>
                        </wps:spPr>
                        <wps:bodyPr wrap="square" lIns="0" tIns="0" rIns="0" bIns="0" rtlCol="0">
                          <a:prstTxWarp prst="textNoShape">
                            <a:avLst/>
                          </a:prstTxWarp>
                          <a:noAutofit/>
                        </wps:bodyPr>
                      </wps:wsp>
                      <wps:wsp>
                        <wps:cNvPr id="803" name="Graphic 803"/>
                        <wps:cNvSpPr/>
                        <wps:spPr>
                          <a:xfrm>
                            <a:off x="0" y="0"/>
                            <a:ext cx="1998980" cy="593090"/>
                          </a:xfrm>
                          <a:custGeom>
                            <a:avLst/>
                            <a:gdLst/>
                            <a:ahLst/>
                            <a:cxnLst/>
                            <a:rect l="l" t="t" r="r" b="b"/>
                            <a:pathLst>
                              <a:path w="1998980" h="593090">
                                <a:moveTo>
                                  <a:pt x="1998713" y="0"/>
                                </a:moveTo>
                                <a:lnTo>
                                  <a:pt x="0" y="0"/>
                                </a:lnTo>
                                <a:lnTo>
                                  <a:pt x="0" y="592810"/>
                                </a:lnTo>
                                <a:lnTo>
                                  <a:pt x="1998713" y="592810"/>
                                </a:lnTo>
                                <a:lnTo>
                                  <a:pt x="1998713" y="0"/>
                                </a:lnTo>
                                <a:close/>
                              </a:path>
                            </a:pathLst>
                          </a:custGeom>
                          <a:solidFill>
                            <a:srgbClr val="393C80"/>
                          </a:solidFill>
                        </wps:spPr>
                        <wps:bodyPr wrap="square" lIns="0" tIns="0" rIns="0" bIns="0" rtlCol="0">
                          <a:prstTxWarp prst="textNoShape">
                            <a:avLst/>
                          </a:prstTxWarp>
                          <a:noAutofit/>
                        </wps:bodyPr>
                      </wps:wsp>
                      <pic:pic>
                        <pic:nvPicPr>
                          <pic:cNvPr id="804" name="Image 804"/>
                          <pic:cNvPicPr/>
                        </pic:nvPicPr>
                        <pic:blipFill>
                          <a:blip r:embed="rId8" cstate="print"/>
                          <a:stretch>
                            <a:fillRect/>
                          </a:stretch>
                        </pic:blipFill>
                        <pic:spPr>
                          <a:xfrm>
                            <a:off x="802106" y="661466"/>
                            <a:ext cx="174538" cy="66713"/>
                          </a:xfrm>
                          <a:prstGeom prst="rect">
                            <a:avLst/>
                          </a:prstGeom>
                        </pic:spPr>
                      </pic:pic>
                      <pic:pic>
                        <pic:nvPicPr>
                          <pic:cNvPr id="805" name="Image 805"/>
                          <pic:cNvPicPr/>
                        </pic:nvPicPr>
                        <pic:blipFill>
                          <a:blip r:embed="rId9" cstate="print"/>
                          <a:stretch>
                            <a:fillRect/>
                          </a:stretch>
                        </pic:blipFill>
                        <pic:spPr>
                          <a:xfrm>
                            <a:off x="1009914" y="661466"/>
                            <a:ext cx="482201" cy="66713"/>
                          </a:xfrm>
                          <a:prstGeom prst="rect">
                            <a:avLst/>
                          </a:prstGeom>
                        </pic:spPr>
                      </pic:pic>
                      <pic:pic>
                        <pic:nvPicPr>
                          <pic:cNvPr id="806" name="Image 806"/>
                          <pic:cNvPicPr/>
                        </pic:nvPicPr>
                        <pic:blipFill>
                          <a:blip r:embed="rId10" cstate="print"/>
                          <a:stretch>
                            <a:fillRect/>
                          </a:stretch>
                        </pic:blipFill>
                        <pic:spPr>
                          <a:xfrm>
                            <a:off x="1530096" y="662978"/>
                            <a:ext cx="373321" cy="63681"/>
                          </a:xfrm>
                          <a:prstGeom prst="rect">
                            <a:avLst/>
                          </a:prstGeom>
                        </pic:spPr>
                      </pic:pic>
                      <pic:pic>
                        <pic:nvPicPr>
                          <pic:cNvPr id="807" name="Image 807"/>
                          <pic:cNvPicPr/>
                        </pic:nvPicPr>
                        <pic:blipFill>
                          <a:blip r:embed="rId11" cstate="print"/>
                          <a:stretch>
                            <a:fillRect/>
                          </a:stretch>
                        </pic:blipFill>
                        <pic:spPr>
                          <a:xfrm>
                            <a:off x="320696" y="373881"/>
                            <a:ext cx="1584049" cy="154388"/>
                          </a:xfrm>
                          <a:prstGeom prst="rect">
                            <a:avLst/>
                          </a:prstGeom>
                        </pic:spPr>
                      </pic:pic>
                    </wpg:wgp>
                  </a:graphicData>
                </a:graphic>
              </wp:anchor>
            </w:drawing>
          </mc:Choice>
          <mc:Fallback>
            <w:pict>
              <v:group style="position:absolute;margin-left:381.075989pt;margin-top:50.153015pt;width:157.4pt;height:61.8pt;mso-position-horizontal-relative:page;mso-position-vertical-relative:page;z-index:15925248" id="docshapegroup732" coordorigin="7622,1003" coordsize="3148,1236">
                <v:rect style="position:absolute;left:7622;top:1960;width:3147;height:279" id="docshape733" filled="true" fillcolor="#4e9a55" stroked="false">
                  <v:fill type="solid"/>
                </v:rect>
                <v:rect style="position:absolute;left:7621;top:1003;width:3148;height:934" id="docshape734" filled="true" fillcolor="#393c80" stroked="false">
                  <v:fill type="solid"/>
                </v:rect>
                <v:shape style="position:absolute;left:8884;top:2044;width:275;height:106" type="#_x0000_t75" id="docshape735" stroked="false">
                  <v:imagedata r:id="rId8" o:title=""/>
                </v:shape>
                <v:shape style="position:absolute;left:9211;top:2044;width:760;height:106" type="#_x0000_t75" id="docshape736" stroked="false">
                  <v:imagedata r:id="rId9" o:title=""/>
                </v:shape>
                <v:shape style="position:absolute;left:10031;top:2047;width:588;height:101" type="#_x0000_t75" id="docshape737" stroked="false">
                  <v:imagedata r:id="rId10" o:title=""/>
                </v:shape>
                <v:shape style="position:absolute;left:8126;top:1591;width:2495;height:244" type="#_x0000_t75" id="docshape738" stroked="false">
                  <v:imagedata r:id="rId11" o:title=""/>
                </v:shape>
                <w10:wrap type="none"/>
              </v:group>
            </w:pict>
          </mc:Fallback>
        </mc:AlternateContent>
      </w:r>
      <w:r>
        <w:rPr/>
        <w:drawing>
          <wp:anchor distT="0" distB="0" distL="0" distR="0" allowOverlap="1" layoutInCell="1" locked="0" behindDoc="1" simplePos="0" relativeHeight="484910592">
            <wp:simplePos x="0" y="0"/>
            <wp:positionH relativeFrom="page">
              <wp:posOffset>1422308</wp:posOffset>
            </wp:positionH>
            <wp:positionV relativeFrom="page">
              <wp:posOffset>745201</wp:posOffset>
            </wp:positionV>
            <wp:extent cx="905567" cy="93345"/>
            <wp:effectExtent l="0" t="0" r="0" b="0"/>
            <wp:wrapNone/>
            <wp:docPr id="808" name="Image 808"/>
            <wp:cNvGraphicFramePr>
              <a:graphicFrameLocks/>
            </wp:cNvGraphicFramePr>
            <a:graphic>
              <a:graphicData uri="http://schemas.openxmlformats.org/drawingml/2006/picture">
                <pic:pic>
                  <pic:nvPicPr>
                    <pic:cNvPr id="808" name="Image 808"/>
                    <pic:cNvPicPr/>
                  </pic:nvPicPr>
                  <pic:blipFill>
                    <a:blip r:embed="rId12" cstate="print"/>
                    <a:stretch>
                      <a:fillRect/>
                    </a:stretch>
                  </pic:blipFill>
                  <pic:spPr>
                    <a:xfrm>
                      <a:off x="0" y="0"/>
                      <a:ext cx="905567" cy="93345"/>
                    </a:xfrm>
                    <a:prstGeom prst="rect">
                      <a:avLst/>
                    </a:prstGeom>
                  </pic:spPr>
                </pic:pic>
              </a:graphicData>
            </a:graphic>
          </wp:anchor>
        </w:drawing>
      </w:r>
      <w:r>
        <w:rPr/>
        <mc:AlternateContent>
          <mc:Choice Requires="wps">
            <w:drawing>
              <wp:anchor distT="0" distB="0" distL="0" distR="0" allowOverlap="1" layoutInCell="1" locked="0" behindDoc="0" simplePos="0" relativeHeight="15926272">
                <wp:simplePos x="0" y="0"/>
                <wp:positionH relativeFrom="page">
                  <wp:posOffset>2405449</wp:posOffset>
                </wp:positionH>
                <wp:positionV relativeFrom="page">
                  <wp:posOffset>747100</wp:posOffset>
                </wp:positionV>
                <wp:extent cx="36195" cy="89535"/>
                <wp:effectExtent l="0" t="0" r="0" b="0"/>
                <wp:wrapNone/>
                <wp:docPr id="809" name="Graphic 809"/>
                <wp:cNvGraphicFramePr>
                  <a:graphicFrameLocks/>
                </wp:cNvGraphicFramePr>
                <a:graphic>
                  <a:graphicData uri="http://schemas.microsoft.com/office/word/2010/wordprocessingShape">
                    <wps:wsp>
                      <wps:cNvPr id="809" name="Graphic 809"/>
                      <wps:cNvSpPr/>
                      <wps:spPr>
                        <a:xfrm>
                          <a:off x="0" y="0"/>
                          <a:ext cx="36195" cy="89535"/>
                        </a:xfrm>
                        <a:custGeom>
                          <a:avLst/>
                          <a:gdLst/>
                          <a:ahLst/>
                          <a:cxnLst/>
                          <a:rect l="l" t="t" r="r" b="b"/>
                          <a:pathLst>
                            <a:path w="36195" h="89535">
                              <a:moveTo>
                                <a:pt x="34582" y="0"/>
                              </a:moveTo>
                              <a:lnTo>
                                <a:pt x="23317" y="393"/>
                              </a:lnTo>
                              <a:lnTo>
                                <a:pt x="12331" y="393"/>
                              </a:lnTo>
                              <a:lnTo>
                                <a:pt x="1066" y="0"/>
                              </a:lnTo>
                              <a:lnTo>
                                <a:pt x="266" y="393"/>
                              </a:lnTo>
                              <a:lnTo>
                                <a:pt x="0" y="2806"/>
                              </a:lnTo>
                              <a:lnTo>
                                <a:pt x="812" y="3340"/>
                              </a:lnTo>
                              <a:lnTo>
                                <a:pt x="12065" y="4279"/>
                              </a:lnTo>
                              <a:lnTo>
                                <a:pt x="12331" y="6565"/>
                              </a:lnTo>
                              <a:lnTo>
                                <a:pt x="12331" y="20777"/>
                              </a:lnTo>
                              <a:lnTo>
                                <a:pt x="12331" y="82702"/>
                              </a:lnTo>
                              <a:lnTo>
                                <a:pt x="12065" y="84581"/>
                              </a:lnTo>
                              <a:lnTo>
                                <a:pt x="812" y="85928"/>
                              </a:lnTo>
                              <a:lnTo>
                                <a:pt x="0" y="86728"/>
                              </a:lnTo>
                              <a:lnTo>
                                <a:pt x="266" y="88874"/>
                              </a:lnTo>
                              <a:lnTo>
                                <a:pt x="1066" y="89268"/>
                              </a:lnTo>
                              <a:lnTo>
                                <a:pt x="12331" y="88874"/>
                              </a:lnTo>
                              <a:lnTo>
                                <a:pt x="23317" y="88874"/>
                              </a:lnTo>
                              <a:lnTo>
                                <a:pt x="34582" y="89268"/>
                              </a:lnTo>
                              <a:lnTo>
                                <a:pt x="35394" y="88874"/>
                              </a:lnTo>
                              <a:lnTo>
                                <a:pt x="35661" y="86461"/>
                              </a:lnTo>
                              <a:lnTo>
                                <a:pt x="34848" y="85928"/>
                              </a:lnTo>
                              <a:lnTo>
                                <a:pt x="23596" y="84581"/>
                              </a:lnTo>
                              <a:lnTo>
                                <a:pt x="23317" y="82702"/>
                              </a:lnTo>
                              <a:lnTo>
                                <a:pt x="23317" y="6565"/>
                              </a:lnTo>
                              <a:lnTo>
                                <a:pt x="23596" y="4279"/>
                              </a:lnTo>
                              <a:lnTo>
                                <a:pt x="34848" y="3340"/>
                              </a:lnTo>
                              <a:lnTo>
                                <a:pt x="35661" y="2806"/>
                              </a:lnTo>
                              <a:lnTo>
                                <a:pt x="35394" y="393"/>
                              </a:lnTo>
                              <a:lnTo>
                                <a:pt x="34582" y="0"/>
                              </a:lnTo>
                              <a:close/>
                            </a:path>
                          </a:pathLst>
                        </a:custGeom>
                        <a:solidFill>
                          <a:srgbClr val="671C75"/>
                        </a:solidFill>
                      </wps:spPr>
                      <wps:bodyPr wrap="square" lIns="0" tIns="0" rIns="0" bIns="0" rtlCol="0">
                        <a:prstTxWarp prst="textNoShape">
                          <a:avLst/>
                        </a:prstTxWarp>
                        <a:noAutofit/>
                      </wps:bodyPr>
                    </wps:wsp>
                  </a:graphicData>
                </a:graphic>
              </wp:anchor>
            </w:drawing>
          </mc:Choice>
          <mc:Fallback>
            <w:pict>
              <v:shape style="position:absolute;margin-left:189.405502pt;margin-top:58.826813pt;width:2.85pt;height:7.05pt;mso-position-horizontal-relative:page;mso-position-vertical-relative:page;z-index:15926272" id="docshape739" coordorigin="3788,1177" coordsize="57,141" path="m3843,1177l3825,1177,3808,1177,3790,1177,3789,1177,3788,1181,3789,1182,3807,1183,3808,1187,3808,1209,3808,1307,3807,1310,3789,1312,3788,1313,3789,1316,3790,1317,3808,1316,3825,1316,3843,1317,3844,1316,3844,1313,3843,1312,3825,1310,3825,1307,3825,1187,3825,1183,3843,1182,3844,1181,3844,1177,3843,1177xe" filled="true" fillcolor="#671c75" stroked="false">
                <v:path arrowok="t"/>
                <v:fill type="solid"/>
                <w10:wrap type="none"/>
              </v:shape>
            </w:pict>
          </mc:Fallback>
        </mc:AlternateContent>
      </w:r>
      <w:r>
        <w:rPr/>
        <w:drawing>
          <wp:anchor distT="0" distB="0" distL="0" distR="0" allowOverlap="1" layoutInCell="1" locked="0" behindDoc="0" simplePos="0" relativeHeight="15926784">
            <wp:simplePos x="0" y="0"/>
            <wp:positionH relativeFrom="page">
              <wp:posOffset>2504727</wp:posOffset>
            </wp:positionH>
            <wp:positionV relativeFrom="page">
              <wp:posOffset>747162</wp:posOffset>
            </wp:positionV>
            <wp:extent cx="86449" cy="90487"/>
            <wp:effectExtent l="0" t="0" r="0" b="0"/>
            <wp:wrapNone/>
            <wp:docPr id="810" name="Image 810"/>
            <wp:cNvGraphicFramePr>
              <a:graphicFrameLocks/>
            </wp:cNvGraphicFramePr>
            <a:graphic>
              <a:graphicData uri="http://schemas.openxmlformats.org/drawingml/2006/picture">
                <pic:pic>
                  <pic:nvPicPr>
                    <pic:cNvPr id="810" name="Image 810"/>
                    <pic:cNvPicPr/>
                  </pic:nvPicPr>
                  <pic:blipFill>
                    <a:blip r:embed="rId13" cstate="print"/>
                    <a:stretch>
                      <a:fillRect/>
                    </a:stretch>
                  </pic:blipFill>
                  <pic:spPr>
                    <a:xfrm>
                      <a:off x="0" y="0"/>
                      <a:ext cx="86449" cy="90487"/>
                    </a:xfrm>
                    <a:prstGeom prst="rect">
                      <a:avLst/>
                    </a:prstGeom>
                  </pic:spPr>
                </pic:pic>
              </a:graphicData>
            </a:graphic>
          </wp:anchor>
        </w:drawing>
      </w:r>
      <w:r>
        <w:rPr/>
        <w:drawing>
          <wp:anchor distT="0" distB="0" distL="0" distR="0" allowOverlap="1" layoutInCell="1" locked="0" behindDoc="0" simplePos="0" relativeHeight="15927296">
            <wp:simplePos x="0" y="0"/>
            <wp:positionH relativeFrom="page">
              <wp:posOffset>2643244</wp:posOffset>
            </wp:positionH>
            <wp:positionV relativeFrom="page">
              <wp:posOffset>747096</wp:posOffset>
            </wp:positionV>
            <wp:extent cx="72832" cy="88677"/>
            <wp:effectExtent l="0" t="0" r="0" b="0"/>
            <wp:wrapNone/>
            <wp:docPr id="811" name="Image 811"/>
            <wp:cNvGraphicFramePr>
              <a:graphicFrameLocks/>
            </wp:cNvGraphicFramePr>
            <a:graphic>
              <a:graphicData uri="http://schemas.openxmlformats.org/drawingml/2006/picture">
                <pic:pic>
                  <pic:nvPicPr>
                    <pic:cNvPr id="811" name="Image 811"/>
                    <pic:cNvPicPr/>
                  </pic:nvPicPr>
                  <pic:blipFill>
                    <a:blip r:embed="rId14" cstate="print"/>
                    <a:stretch>
                      <a:fillRect/>
                    </a:stretch>
                  </pic:blipFill>
                  <pic:spPr>
                    <a:xfrm>
                      <a:off x="0" y="0"/>
                      <a:ext cx="72832" cy="88677"/>
                    </a:xfrm>
                    <a:prstGeom prst="rect">
                      <a:avLst/>
                    </a:prstGeom>
                  </pic:spPr>
                </pic:pic>
              </a:graphicData>
            </a:graphic>
          </wp:anchor>
        </w:drawing>
      </w:r>
      <w:r>
        <w:rPr/>
        <w:drawing>
          <wp:anchor distT="0" distB="0" distL="0" distR="0" allowOverlap="1" layoutInCell="1" locked="0" behindDoc="0" simplePos="0" relativeHeight="15927808">
            <wp:simplePos x="0" y="0"/>
            <wp:positionH relativeFrom="page">
              <wp:posOffset>2775833</wp:posOffset>
            </wp:positionH>
            <wp:positionV relativeFrom="page">
              <wp:posOffset>747096</wp:posOffset>
            </wp:positionV>
            <wp:extent cx="69387" cy="88677"/>
            <wp:effectExtent l="0" t="0" r="0" b="0"/>
            <wp:wrapNone/>
            <wp:docPr id="812" name="Image 812"/>
            <wp:cNvGraphicFramePr>
              <a:graphicFrameLocks/>
            </wp:cNvGraphicFramePr>
            <a:graphic>
              <a:graphicData uri="http://schemas.openxmlformats.org/drawingml/2006/picture">
                <pic:pic>
                  <pic:nvPicPr>
                    <pic:cNvPr id="812" name="Image 812"/>
                    <pic:cNvPicPr/>
                  </pic:nvPicPr>
                  <pic:blipFill>
                    <a:blip r:embed="rId15" cstate="print"/>
                    <a:stretch>
                      <a:fillRect/>
                    </a:stretch>
                  </pic:blipFill>
                  <pic:spPr>
                    <a:xfrm>
                      <a:off x="0" y="0"/>
                      <a:ext cx="69387" cy="88677"/>
                    </a:xfrm>
                    <a:prstGeom prst="rect">
                      <a:avLst/>
                    </a:prstGeom>
                  </pic:spPr>
                </pic:pic>
              </a:graphicData>
            </a:graphic>
          </wp:anchor>
        </w:drawing>
      </w:r>
      <w:r>
        <w:rPr/>
        <w:drawing>
          <wp:anchor distT="0" distB="0" distL="0" distR="0" allowOverlap="1" layoutInCell="1" locked="0" behindDoc="0" simplePos="0" relativeHeight="15928320">
            <wp:simplePos x="0" y="0"/>
            <wp:positionH relativeFrom="page">
              <wp:posOffset>2897176</wp:posOffset>
            </wp:positionH>
            <wp:positionV relativeFrom="page">
              <wp:posOffset>745349</wp:posOffset>
            </wp:positionV>
            <wp:extent cx="90623" cy="91440"/>
            <wp:effectExtent l="0" t="0" r="0" b="0"/>
            <wp:wrapNone/>
            <wp:docPr id="813" name="Image 813"/>
            <wp:cNvGraphicFramePr>
              <a:graphicFrameLocks/>
            </wp:cNvGraphicFramePr>
            <a:graphic>
              <a:graphicData uri="http://schemas.openxmlformats.org/drawingml/2006/picture">
                <pic:pic>
                  <pic:nvPicPr>
                    <pic:cNvPr id="813" name="Image 813"/>
                    <pic:cNvPicPr/>
                  </pic:nvPicPr>
                  <pic:blipFill>
                    <a:blip r:embed="rId16" cstate="print"/>
                    <a:stretch>
                      <a:fillRect/>
                    </a:stretch>
                  </pic:blipFill>
                  <pic:spPr>
                    <a:xfrm>
                      <a:off x="0" y="0"/>
                      <a:ext cx="90623" cy="91440"/>
                    </a:xfrm>
                    <a:prstGeom prst="rect">
                      <a:avLst/>
                    </a:prstGeom>
                  </pic:spPr>
                </pic:pic>
              </a:graphicData>
            </a:graphic>
          </wp:anchor>
        </w:drawing>
      </w:r>
      <w:r>
        <w:rPr/>
        <w:drawing>
          <wp:anchor distT="0" distB="0" distL="0" distR="0" allowOverlap="1" layoutInCell="1" locked="0" behindDoc="0" simplePos="0" relativeHeight="15928832">
            <wp:simplePos x="0" y="0"/>
            <wp:positionH relativeFrom="page">
              <wp:posOffset>3040593</wp:posOffset>
            </wp:positionH>
            <wp:positionV relativeFrom="page">
              <wp:posOffset>747094</wp:posOffset>
            </wp:positionV>
            <wp:extent cx="98339" cy="90487"/>
            <wp:effectExtent l="0" t="0" r="0" b="0"/>
            <wp:wrapNone/>
            <wp:docPr id="814" name="Image 814"/>
            <wp:cNvGraphicFramePr>
              <a:graphicFrameLocks/>
            </wp:cNvGraphicFramePr>
            <a:graphic>
              <a:graphicData uri="http://schemas.openxmlformats.org/drawingml/2006/picture">
                <pic:pic>
                  <pic:nvPicPr>
                    <pic:cNvPr id="814" name="Image 814"/>
                    <pic:cNvPicPr/>
                  </pic:nvPicPr>
                  <pic:blipFill>
                    <a:blip r:embed="rId17" cstate="print"/>
                    <a:stretch>
                      <a:fillRect/>
                    </a:stretch>
                  </pic:blipFill>
                  <pic:spPr>
                    <a:xfrm>
                      <a:off x="0" y="0"/>
                      <a:ext cx="98339" cy="90487"/>
                    </a:xfrm>
                    <a:prstGeom prst="rect">
                      <a:avLst/>
                    </a:prstGeom>
                  </pic:spPr>
                </pic:pic>
              </a:graphicData>
            </a:graphic>
          </wp:anchor>
        </w:drawing>
      </w:r>
      <w:r>
        <w:rPr/>
        <w:drawing>
          <wp:anchor distT="0" distB="0" distL="0" distR="0" allowOverlap="1" layoutInCell="1" locked="0" behindDoc="1" simplePos="0" relativeHeight="484914176">
            <wp:simplePos x="0" y="0"/>
            <wp:positionH relativeFrom="page">
              <wp:posOffset>1422534</wp:posOffset>
            </wp:positionH>
            <wp:positionV relativeFrom="page">
              <wp:posOffset>1156096</wp:posOffset>
            </wp:positionV>
            <wp:extent cx="146392" cy="160305"/>
            <wp:effectExtent l="0" t="0" r="0" b="0"/>
            <wp:wrapNone/>
            <wp:docPr id="815" name="Image 815"/>
            <wp:cNvGraphicFramePr>
              <a:graphicFrameLocks/>
            </wp:cNvGraphicFramePr>
            <a:graphic>
              <a:graphicData uri="http://schemas.openxmlformats.org/drawingml/2006/picture">
                <pic:pic>
                  <pic:nvPicPr>
                    <pic:cNvPr id="815" name="Image 815"/>
                    <pic:cNvPicPr/>
                  </pic:nvPicPr>
                  <pic:blipFill>
                    <a:blip r:embed="rId20" cstate="print"/>
                    <a:stretch>
                      <a:fillRect/>
                    </a:stretch>
                  </pic:blipFill>
                  <pic:spPr>
                    <a:xfrm>
                      <a:off x="0" y="0"/>
                      <a:ext cx="146392" cy="160305"/>
                    </a:xfrm>
                    <a:prstGeom prst="rect">
                      <a:avLst/>
                    </a:prstGeom>
                  </pic:spPr>
                </pic:pic>
              </a:graphicData>
            </a:graphic>
          </wp:anchor>
        </w:drawing>
      </w:r>
      <w:r>
        <w:rPr/>
        <w:drawing>
          <wp:anchor distT="0" distB="0" distL="0" distR="0" allowOverlap="1" layoutInCell="1" locked="0" behindDoc="0" simplePos="0" relativeHeight="15929856">
            <wp:simplePos x="0" y="0"/>
            <wp:positionH relativeFrom="page">
              <wp:posOffset>3201882</wp:posOffset>
            </wp:positionH>
            <wp:positionV relativeFrom="page">
              <wp:posOffset>747381</wp:posOffset>
            </wp:positionV>
            <wp:extent cx="94008" cy="90487"/>
            <wp:effectExtent l="0" t="0" r="0" b="0"/>
            <wp:wrapNone/>
            <wp:docPr id="816" name="Image 816"/>
            <wp:cNvGraphicFramePr>
              <a:graphicFrameLocks/>
            </wp:cNvGraphicFramePr>
            <a:graphic>
              <a:graphicData uri="http://schemas.openxmlformats.org/drawingml/2006/picture">
                <pic:pic>
                  <pic:nvPicPr>
                    <pic:cNvPr id="816" name="Image 816"/>
                    <pic:cNvPicPr/>
                  </pic:nvPicPr>
                  <pic:blipFill>
                    <a:blip r:embed="rId18" cstate="print"/>
                    <a:stretch>
                      <a:fillRect/>
                    </a:stretch>
                  </pic:blipFill>
                  <pic:spPr>
                    <a:xfrm>
                      <a:off x="0" y="0"/>
                      <a:ext cx="94008" cy="90487"/>
                    </a:xfrm>
                    <a:prstGeom prst="rect">
                      <a:avLst/>
                    </a:prstGeom>
                  </pic:spPr>
                </pic:pic>
              </a:graphicData>
            </a:graphic>
          </wp:anchor>
        </w:drawing>
      </w:r>
      <w:r>
        <w:rPr/>
        <w:drawing>
          <wp:anchor distT="0" distB="0" distL="0" distR="0" allowOverlap="1" layoutInCell="1" locked="0" behindDoc="1" simplePos="0" relativeHeight="484915200">
            <wp:simplePos x="0" y="0"/>
            <wp:positionH relativeFrom="page">
              <wp:posOffset>1625625</wp:posOffset>
            </wp:positionH>
            <wp:positionV relativeFrom="page">
              <wp:posOffset>1156116</wp:posOffset>
            </wp:positionV>
            <wp:extent cx="162863" cy="160305"/>
            <wp:effectExtent l="0" t="0" r="0" b="0"/>
            <wp:wrapNone/>
            <wp:docPr id="817" name="Image 817"/>
            <wp:cNvGraphicFramePr>
              <a:graphicFrameLocks/>
            </wp:cNvGraphicFramePr>
            <a:graphic>
              <a:graphicData uri="http://schemas.openxmlformats.org/drawingml/2006/picture">
                <pic:pic>
                  <pic:nvPicPr>
                    <pic:cNvPr id="817" name="Image 817"/>
                    <pic:cNvPicPr/>
                  </pic:nvPicPr>
                  <pic:blipFill>
                    <a:blip r:embed="rId19" cstate="print"/>
                    <a:stretch>
                      <a:fillRect/>
                    </a:stretch>
                  </pic:blipFill>
                  <pic:spPr>
                    <a:xfrm>
                      <a:off x="0" y="0"/>
                      <a:ext cx="162863" cy="160305"/>
                    </a:xfrm>
                    <a:prstGeom prst="rect">
                      <a:avLst/>
                    </a:prstGeom>
                  </pic:spPr>
                </pic:pic>
              </a:graphicData>
            </a:graphic>
          </wp:anchor>
        </w:drawing>
      </w:r>
      <w:r>
        <w:rPr/>
        <w:drawing>
          <wp:anchor distT="0" distB="0" distL="0" distR="0" allowOverlap="1" layoutInCell="1" locked="0" behindDoc="1" simplePos="0" relativeHeight="484915712">
            <wp:simplePos x="0" y="0"/>
            <wp:positionH relativeFrom="page">
              <wp:posOffset>1845558</wp:posOffset>
            </wp:positionH>
            <wp:positionV relativeFrom="page">
              <wp:posOffset>1159096</wp:posOffset>
            </wp:positionV>
            <wp:extent cx="196143" cy="154019"/>
            <wp:effectExtent l="0" t="0" r="0" b="0"/>
            <wp:wrapNone/>
            <wp:docPr id="818" name="Image 818"/>
            <wp:cNvGraphicFramePr>
              <a:graphicFrameLocks/>
            </wp:cNvGraphicFramePr>
            <a:graphic>
              <a:graphicData uri="http://schemas.openxmlformats.org/drawingml/2006/picture">
                <pic:pic>
                  <pic:nvPicPr>
                    <pic:cNvPr id="818" name="Image 818"/>
                    <pic:cNvPicPr/>
                  </pic:nvPicPr>
                  <pic:blipFill>
                    <a:blip r:embed="rId21" cstate="print"/>
                    <a:stretch>
                      <a:fillRect/>
                    </a:stretch>
                  </pic:blipFill>
                  <pic:spPr>
                    <a:xfrm>
                      <a:off x="0" y="0"/>
                      <a:ext cx="196143" cy="154019"/>
                    </a:xfrm>
                    <a:prstGeom prst="rect">
                      <a:avLst/>
                    </a:prstGeom>
                  </pic:spPr>
                </pic:pic>
              </a:graphicData>
            </a:graphic>
          </wp:anchor>
        </w:drawing>
      </w:r>
      <w:r>
        <w:rPr/>
        <w:drawing>
          <wp:anchor distT="0" distB="0" distL="0" distR="0" allowOverlap="1" layoutInCell="1" locked="0" behindDoc="1" simplePos="0" relativeHeight="484916224">
            <wp:simplePos x="0" y="0"/>
            <wp:positionH relativeFrom="page">
              <wp:posOffset>2097911</wp:posOffset>
            </wp:positionH>
            <wp:positionV relativeFrom="page">
              <wp:posOffset>1159096</wp:posOffset>
            </wp:positionV>
            <wp:extent cx="196143" cy="154019"/>
            <wp:effectExtent l="0" t="0" r="0" b="0"/>
            <wp:wrapNone/>
            <wp:docPr id="819" name="Image 819"/>
            <wp:cNvGraphicFramePr>
              <a:graphicFrameLocks/>
            </wp:cNvGraphicFramePr>
            <a:graphic>
              <a:graphicData uri="http://schemas.openxmlformats.org/drawingml/2006/picture">
                <pic:pic>
                  <pic:nvPicPr>
                    <pic:cNvPr id="819" name="Image 819"/>
                    <pic:cNvPicPr/>
                  </pic:nvPicPr>
                  <pic:blipFill>
                    <a:blip r:embed="rId22" cstate="print"/>
                    <a:stretch>
                      <a:fillRect/>
                    </a:stretch>
                  </pic:blipFill>
                  <pic:spPr>
                    <a:xfrm>
                      <a:off x="0" y="0"/>
                      <a:ext cx="196143" cy="154019"/>
                    </a:xfrm>
                    <a:prstGeom prst="rect">
                      <a:avLst/>
                    </a:prstGeom>
                  </pic:spPr>
                </pic:pic>
              </a:graphicData>
            </a:graphic>
          </wp:anchor>
        </w:drawing>
      </w:r>
      <w:r>
        <w:rPr/>
        <mc:AlternateContent>
          <mc:Choice Requires="wps">
            <w:drawing>
              <wp:anchor distT="0" distB="0" distL="0" distR="0" allowOverlap="1" layoutInCell="1" locked="0" behindDoc="0" simplePos="0" relativeHeight="15931904">
                <wp:simplePos x="0" y="0"/>
                <wp:positionH relativeFrom="page">
                  <wp:posOffset>2353481</wp:posOffset>
                </wp:positionH>
                <wp:positionV relativeFrom="page">
                  <wp:posOffset>1159094</wp:posOffset>
                </wp:positionV>
                <wp:extent cx="61594" cy="153670"/>
                <wp:effectExtent l="0" t="0" r="0" b="0"/>
                <wp:wrapNone/>
                <wp:docPr id="820" name="Graphic 820"/>
                <wp:cNvGraphicFramePr>
                  <a:graphicFrameLocks/>
                </wp:cNvGraphicFramePr>
                <a:graphic>
                  <a:graphicData uri="http://schemas.microsoft.com/office/word/2010/wordprocessingShape">
                    <wps:wsp>
                      <wps:cNvPr id="820" name="Graphic 820"/>
                      <wps:cNvSpPr/>
                      <wps:spPr>
                        <a:xfrm>
                          <a:off x="0" y="0"/>
                          <a:ext cx="61594" cy="153670"/>
                        </a:xfrm>
                        <a:custGeom>
                          <a:avLst/>
                          <a:gdLst/>
                          <a:ahLst/>
                          <a:cxnLst/>
                          <a:rect l="l" t="t" r="r" b="b"/>
                          <a:pathLst>
                            <a:path w="61594" h="153670">
                              <a:moveTo>
                                <a:pt x="59372" y="0"/>
                              </a:moveTo>
                              <a:lnTo>
                                <a:pt x="30848" y="685"/>
                              </a:lnTo>
                              <a:lnTo>
                                <a:pt x="1841" y="0"/>
                              </a:lnTo>
                              <a:lnTo>
                                <a:pt x="469" y="685"/>
                              </a:lnTo>
                              <a:lnTo>
                                <a:pt x="0" y="4838"/>
                              </a:lnTo>
                              <a:lnTo>
                                <a:pt x="1397" y="5753"/>
                              </a:lnTo>
                              <a:lnTo>
                                <a:pt x="7124" y="6222"/>
                              </a:lnTo>
                              <a:lnTo>
                                <a:pt x="15052" y="7874"/>
                              </a:lnTo>
                              <a:lnTo>
                                <a:pt x="19243" y="12222"/>
                              </a:lnTo>
                              <a:lnTo>
                                <a:pt x="20887" y="20930"/>
                              </a:lnTo>
                              <a:lnTo>
                                <a:pt x="21170" y="35661"/>
                              </a:lnTo>
                              <a:lnTo>
                                <a:pt x="21170" y="117551"/>
                              </a:lnTo>
                              <a:lnTo>
                                <a:pt x="1397" y="147472"/>
                              </a:lnTo>
                              <a:lnTo>
                                <a:pt x="0" y="148843"/>
                              </a:lnTo>
                              <a:lnTo>
                                <a:pt x="469" y="152526"/>
                              </a:lnTo>
                              <a:lnTo>
                                <a:pt x="1841" y="153225"/>
                              </a:lnTo>
                              <a:lnTo>
                                <a:pt x="30848" y="152526"/>
                              </a:lnTo>
                              <a:lnTo>
                                <a:pt x="59372" y="153225"/>
                              </a:lnTo>
                              <a:lnTo>
                                <a:pt x="60731" y="152526"/>
                              </a:lnTo>
                              <a:lnTo>
                                <a:pt x="61201" y="148386"/>
                              </a:lnTo>
                              <a:lnTo>
                                <a:pt x="59829" y="147472"/>
                              </a:lnTo>
                              <a:lnTo>
                                <a:pt x="54063" y="146786"/>
                              </a:lnTo>
                              <a:lnTo>
                                <a:pt x="46152" y="144961"/>
                              </a:lnTo>
                              <a:lnTo>
                                <a:pt x="41973" y="140703"/>
                              </a:lnTo>
                              <a:lnTo>
                                <a:pt x="40337" y="132177"/>
                              </a:lnTo>
                              <a:lnTo>
                                <a:pt x="40055" y="117551"/>
                              </a:lnTo>
                              <a:lnTo>
                                <a:pt x="40055" y="35661"/>
                              </a:lnTo>
                              <a:lnTo>
                                <a:pt x="59829" y="5753"/>
                              </a:lnTo>
                              <a:lnTo>
                                <a:pt x="61201" y="4838"/>
                              </a:lnTo>
                              <a:lnTo>
                                <a:pt x="60744" y="685"/>
                              </a:lnTo>
                              <a:lnTo>
                                <a:pt x="59372" y="0"/>
                              </a:lnTo>
                              <a:close/>
                            </a:path>
                          </a:pathLst>
                        </a:custGeom>
                        <a:solidFill>
                          <a:srgbClr val="671C75"/>
                        </a:solidFill>
                      </wps:spPr>
                      <wps:bodyPr wrap="square" lIns="0" tIns="0" rIns="0" bIns="0" rtlCol="0">
                        <a:prstTxWarp prst="textNoShape">
                          <a:avLst/>
                        </a:prstTxWarp>
                        <a:noAutofit/>
                      </wps:bodyPr>
                    </wps:wsp>
                  </a:graphicData>
                </a:graphic>
              </wp:anchor>
            </w:drawing>
          </mc:Choice>
          <mc:Fallback>
            <w:pict>
              <v:shape style="position:absolute;margin-left:185.313507pt;margin-top:91.267311pt;width:4.850pt;height:12.1pt;mso-position-horizontal-relative:page;mso-position-vertical-relative:page;z-index:15931904" id="docshape740" coordorigin="3706,1825" coordsize="97,242" path="m3800,1825l3755,1826,3709,1825,3707,1826,3706,1833,3708,1834,3717,1835,3730,1838,3737,1845,3739,1858,3740,1882,3740,2010,3708,2058,3706,2060,3707,2066,3709,2067,3755,2066,3800,2067,3802,2066,3803,2059,3800,2058,3791,2057,3779,2054,3772,2047,3770,2033,3769,2010,3769,1882,3800,1834,3803,1833,3802,1826,3800,1825xe" filled="true" fillcolor="#671c75" stroked="false">
                <v:path arrowok="t"/>
                <v:fill type="solid"/>
                <w10:wrap type="none"/>
              </v:shape>
            </w:pict>
          </mc:Fallback>
        </mc:AlternateContent>
      </w:r>
      <w:r>
        <w:rPr/>
        <w:drawing>
          <wp:anchor distT="0" distB="0" distL="0" distR="0" allowOverlap="1" layoutInCell="1" locked="0" behindDoc="0" simplePos="0" relativeHeight="15932416">
            <wp:simplePos x="0" y="0"/>
            <wp:positionH relativeFrom="page">
              <wp:posOffset>2474927</wp:posOffset>
            </wp:positionH>
            <wp:positionV relativeFrom="page">
              <wp:posOffset>1156101</wp:posOffset>
            </wp:positionV>
            <wp:extent cx="91751" cy="160305"/>
            <wp:effectExtent l="0" t="0" r="0" b="0"/>
            <wp:wrapNone/>
            <wp:docPr id="821" name="Image 821"/>
            <wp:cNvGraphicFramePr>
              <a:graphicFrameLocks/>
            </wp:cNvGraphicFramePr>
            <a:graphic>
              <a:graphicData uri="http://schemas.openxmlformats.org/drawingml/2006/picture">
                <pic:pic>
                  <pic:nvPicPr>
                    <pic:cNvPr id="821" name="Image 821"/>
                    <pic:cNvPicPr/>
                  </pic:nvPicPr>
                  <pic:blipFill>
                    <a:blip r:embed="rId23" cstate="print"/>
                    <a:stretch>
                      <a:fillRect/>
                    </a:stretch>
                  </pic:blipFill>
                  <pic:spPr>
                    <a:xfrm>
                      <a:off x="0" y="0"/>
                      <a:ext cx="91751" cy="160305"/>
                    </a:xfrm>
                    <a:prstGeom prst="rect">
                      <a:avLst/>
                    </a:prstGeom>
                  </pic:spPr>
                </pic:pic>
              </a:graphicData>
            </a:graphic>
          </wp:anchor>
        </w:drawing>
      </w:r>
      <w:r>
        <w:rPr/>
        <w:drawing>
          <wp:anchor distT="0" distB="0" distL="0" distR="0" allowOverlap="1" layoutInCell="1" locked="0" behindDoc="0" simplePos="0" relativeHeight="15932928">
            <wp:simplePos x="0" y="0"/>
            <wp:positionH relativeFrom="page">
              <wp:posOffset>2629941</wp:posOffset>
            </wp:positionH>
            <wp:positionV relativeFrom="page">
              <wp:posOffset>1156101</wp:posOffset>
            </wp:positionV>
            <wp:extent cx="91725" cy="160305"/>
            <wp:effectExtent l="0" t="0" r="0" b="0"/>
            <wp:wrapNone/>
            <wp:docPr id="822" name="Image 822"/>
            <wp:cNvGraphicFramePr>
              <a:graphicFrameLocks/>
            </wp:cNvGraphicFramePr>
            <a:graphic>
              <a:graphicData uri="http://schemas.openxmlformats.org/drawingml/2006/picture">
                <pic:pic>
                  <pic:nvPicPr>
                    <pic:cNvPr id="822" name="Image 822"/>
                    <pic:cNvPicPr/>
                  </pic:nvPicPr>
                  <pic:blipFill>
                    <a:blip r:embed="rId24" cstate="print"/>
                    <a:stretch>
                      <a:fillRect/>
                    </a:stretch>
                  </pic:blipFill>
                  <pic:spPr>
                    <a:xfrm>
                      <a:off x="0" y="0"/>
                      <a:ext cx="91725" cy="160305"/>
                    </a:xfrm>
                    <a:prstGeom prst="rect">
                      <a:avLst/>
                    </a:prstGeom>
                  </pic:spPr>
                </pic:pic>
              </a:graphicData>
            </a:graphic>
          </wp:anchor>
        </w:drawing>
      </w:r>
      <w:r>
        <w:rPr/>
        <mc:AlternateContent>
          <mc:Choice Requires="wps">
            <w:drawing>
              <wp:anchor distT="0" distB="0" distL="0" distR="0" allowOverlap="1" layoutInCell="1" locked="0" behindDoc="0" simplePos="0" relativeHeight="15933440">
                <wp:simplePos x="0" y="0"/>
                <wp:positionH relativeFrom="page">
                  <wp:posOffset>2783809</wp:posOffset>
                </wp:positionH>
                <wp:positionV relativeFrom="page">
                  <wp:posOffset>1159094</wp:posOffset>
                </wp:positionV>
                <wp:extent cx="61594" cy="153670"/>
                <wp:effectExtent l="0" t="0" r="0" b="0"/>
                <wp:wrapNone/>
                <wp:docPr id="823" name="Graphic 823"/>
                <wp:cNvGraphicFramePr>
                  <a:graphicFrameLocks/>
                </wp:cNvGraphicFramePr>
                <a:graphic>
                  <a:graphicData uri="http://schemas.microsoft.com/office/word/2010/wordprocessingShape">
                    <wps:wsp>
                      <wps:cNvPr id="823" name="Graphic 823"/>
                      <wps:cNvSpPr/>
                      <wps:spPr>
                        <a:xfrm>
                          <a:off x="0" y="0"/>
                          <a:ext cx="61594" cy="153670"/>
                        </a:xfrm>
                        <a:custGeom>
                          <a:avLst/>
                          <a:gdLst/>
                          <a:ahLst/>
                          <a:cxnLst/>
                          <a:rect l="l" t="t" r="r" b="b"/>
                          <a:pathLst>
                            <a:path w="61594" h="153670">
                              <a:moveTo>
                                <a:pt x="59372" y="0"/>
                              </a:moveTo>
                              <a:lnTo>
                                <a:pt x="30848" y="685"/>
                              </a:lnTo>
                              <a:lnTo>
                                <a:pt x="1841" y="0"/>
                              </a:lnTo>
                              <a:lnTo>
                                <a:pt x="469" y="685"/>
                              </a:lnTo>
                              <a:lnTo>
                                <a:pt x="0" y="4838"/>
                              </a:lnTo>
                              <a:lnTo>
                                <a:pt x="1397" y="5753"/>
                              </a:lnTo>
                              <a:lnTo>
                                <a:pt x="7124" y="6222"/>
                              </a:lnTo>
                              <a:lnTo>
                                <a:pt x="15052" y="7874"/>
                              </a:lnTo>
                              <a:lnTo>
                                <a:pt x="19243" y="12222"/>
                              </a:lnTo>
                              <a:lnTo>
                                <a:pt x="20887" y="20930"/>
                              </a:lnTo>
                              <a:lnTo>
                                <a:pt x="21170" y="35661"/>
                              </a:lnTo>
                              <a:lnTo>
                                <a:pt x="21170" y="117551"/>
                              </a:lnTo>
                              <a:lnTo>
                                <a:pt x="1397" y="147472"/>
                              </a:lnTo>
                              <a:lnTo>
                                <a:pt x="0" y="148843"/>
                              </a:lnTo>
                              <a:lnTo>
                                <a:pt x="469" y="152526"/>
                              </a:lnTo>
                              <a:lnTo>
                                <a:pt x="1841" y="153225"/>
                              </a:lnTo>
                              <a:lnTo>
                                <a:pt x="30848" y="152526"/>
                              </a:lnTo>
                              <a:lnTo>
                                <a:pt x="59372" y="153225"/>
                              </a:lnTo>
                              <a:lnTo>
                                <a:pt x="60744" y="152526"/>
                              </a:lnTo>
                              <a:lnTo>
                                <a:pt x="61201" y="148386"/>
                              </a:lnTo>
                              <a:lnTo>
                                <a:pt x="59829" y="147472"/>
                              </a:lnTo>
                              <a:lnTo>
                                <a:pt x="54063" y="146786"/>
                              </a:lnTo>
                              <a:lnTo>
                                <a:pt x="46152" y="144961"/>
                              </a:lnTo>
                              <a:lnTo>
                                <a:pt x="41973" y="140703"/>
                              </a:lnTo>
                              <a:lnTo>
                                <a:pt x="40337" y="132177"/>
                              </a:lnTo>
                              <a:lnTo>
                                <a:pt x="40055" y="117551"/>
                              </a:lnTo>
                              <a:lnTo>
                                <a:pt x="40055" y="35661"/>
                              </a:lnTo>
                              <a:lnTo>
                                <a:pt x="59829" y="5753"/>
                              </a:lnTo>
                              <a:lnTo>
                                <a:pt x="61201" y="4838"/>
                              </a:lnTo>
                              <a:lnTo>
                                <a:pt x="60744" y="685"/>
                              </a:lnTo>
                              <a:lnTo>
                                <a:pt x="59372" y="0"/>
                              </a:lnTo>
                              <a:close/>
                            </a:path>
                          </a:pathLst>
                        </a:custGeom>
                        <a:solidFill>
                          <a:srgbClr val="671C75"/>
                        </a:solidFill>
                      </wps:spPr>
                      <wps:bodyPr wrap="square" lIns="0" tIns="0" rIns="0" bIns="0" rtlCol="0">
                        <a:prstTxWarp prst="textNoShape">
                          <a:avLst/>
                        </a:prstTxWarp>
                        <a:noAutofit/>
                      </wps:bodyPr>
                    </wps:wsp>
                  </a:graphicData>
                </a:graphic>
              </wp:anchor>
            </w:drawing>
          </mc:Choice>
          <mc:Fallback>
            <w:pict>
              <v:shape style="position:absolute;margin-left:219.197601pt;margin-top:91.267311pt;width:4.850pt;height:12.1pt;mso-position-horizontal-relative:page;mso-position-vertical-relative:page;z-index:15933440" id="docshape741" coordorigin="4384,1825" coordsize="97,242" path="m4477,1825l4433,1826,4387,1825,4385,1826,4384,1833,4386,1834,4395,1835,4408,1838,4414,1845,4417,1858,4417,1882,4417,2010,4386,2058,4384,2060,4385,2066,4387,2067,4433,2066,4477,2067,4480,2066,4480,2059,4478,2058,4469,2057,4457,2054,4450,2047,4447,2033,4447,2010,4447,1882,4478,1834,4480,1833,4480,1826,4477,1825xe" filled="true" fillcolor="#671c75" stroked="false">
                <v:path arrowok="t"/>
                <v:fill type="solid"/>
                <w10:wrap type="none"/>
              </v:shape>
            </w:pict>
          </mc:Fallback>
        </mc:AlternateContent>
      </w:r>
      <w:r>
        <w:rPr/>
        <w:drawing>
          <wp:anchor distT="0" distB="0" distL="0" distR="0" allowOverlap="1" layoutInCell="1" locked="0" behindDoc="0" simplePos="0" relativeHeight="15933952">
            <wp:simplePos x="0" y="0"/>
            <wp:positionH relativeFrom="page">
              <wp:posOffset>2906422</wp:posOffset>
            </wp:positionH>
            <wp:positionV relativeFrom="page">
              <wp:posOffset>1156116</wp:posOffset>
            </wp:positionV>
            <wp:extent cx="162863" cy="160305"/>
            <wp:effectExtent l="0" t="0" r="0" b="0"/>
            <wp:wrapNone/>
            <wp:docPr id="824" name="Image 824"/>
            <wp:cNvGraphicFramePr>
              <a:graphicFrameLocks/>
            </wp:cNvGraphicFramePr>
            <a:graphic>
              <a:graphicData uri="http://schemas.openxmlformats.org/drawingml/2006/picture">
                <pic:pic>
                  <pic:nvPicPr>
                    <pic:cNvPr id="824" name="Image 824"/>
                    <pic:cNvPicPr/>
                  </pic:nvPicPr>
                  <pic:blipFill>
                    <a:blip r:embed="rId25" cstate="print"/>
                    <a:stretch>
                      <a:fillRect/>
                    </a:stretch>
                  </pic:blipFill>
                  <pic:spPr>
                    <a:xfrm>
                      <a:off x="0" y="0"/>
                      <a:ext cx="162863" cy="160305"/>
                    </a:xfrm>
                    <a:prstGeom prst="rect">
                      <a:avLst/>
                    </a:prstGeom>
                  </pic:spPr>
                </pic:pic>
              </a:graphicData>
            </a:graphic>
          </wp:anchor>
        </w:drawing>
      </w:r>
      <w:r>
        <w:rPr/>
        <w:drawing>
          <wp:anchor distT="0" distB="0" distL="0" distR="0" allowOverlap="1" layoutInCell="1" locked="0" behindDoc="0" simplePos="0" relativeHeight="15934464">
            <wp:simplePos x="0" y="0"/>
            <wp:positionH relativeFrom="page">
              <wp:posOffset>3125660</wp:posOffset>
            </wp:positionH>
            <wp:positionV relativeFrom="page">
              <wp:posOffset>1159099</wp:posOffset>
            </wp:positionV>
            <wp:extent cx="170808" cy="157162"/>
            <wp:effectExtent l="0" t="0" r="0" b="0"/>
            <wp:wrapNone/>
            <wp:docPr id="825" name="Image 825"/>
            <wp:cNvGraphicFramePr>
              <a:graphicFrameLocks/>
            </wp:cNvGraphicFramePr>
            <a:graphic>
              <a:graphicData uri="http://schemas.openxmlformats.org/drawingml/2006/picture">
                <pic:pic>
                  <pic:nvPicPr>
                    <pic:cNvPr id="825" name="Image 825"/>
                    <pic:cNvPicPr/>
                  </pic:nvPicPr>
                  <pic:blipFill>
                    <a:blip r:embed="rId26" cstate="print"/>
                    <a:stretch>
                      <a:fillRect/>
                    </a:stretch>
                  </pic:blipFill>
                  <pic:spPr>
                    <a:xfrm>
                      <a:off x="0" y="0"/>
                      <a:ext cx="170808" cy="157162"/>
                    </a:xfrm>
                    <a:prstGeom prst="rect">
                      <a:avLst/>
                    </a:prstGeom>
                  </pic:spPr>
                </pic:pic>
              </a:graphicData>
            </a:graphic>
          </wp:anchor>
        </w:drawing>
      </w:r>
      <w:r>
        <w:rPr/>
        <mc:AlternateContent>
          <mc:Choice Requires="wps">
            <w:drawing>
              <wp:anchor distT="0" distB="0" distL="0" distR="0" allowOverlap="1" layoutInCell="1" locked="0" behindDoc="0" simplePos="0" relativeHeight="15934976">
                <wp:simplePos x="0" y="0"/>
                <wp:positionH relativeFrom="page">
                  <wp:posOffset>2401919</wp:posOffset>
                </wp:positionH>
                <wp:positionV relativeFrom="page">
                  <wp:posOffset>926973</wp:posOffset>
                </wp:positionV>
                <wp:extent cx="218440" cy="138430"/>
                <wp:effectExtent l="0" t="0" r="0" b="0"/>
                <wp:wrapNone/>
                <wp:docPr id="826" name="Group 826"/>
                <wp:cNvGraphicFramePr>
                  <a:graphicFrameLocks/>
                </wp:cNvGraphicFramePr>
                <a:graphic>
                  <a:graphicData uri="http://schemas.microsoft.com/office/word/2010/wordprocessingGroup">
                    <wpg:wgp>
                      <wpg:cNvPr id="826" name="Group 826"/>
                      <wpg:cNvGrpSpPr/>
                      <wpg:grpSpPr>
                        <a:xfrm>
                          <a:off x="0" y="0"/>
                          <a:ext cx="218440" cy="138430"/>
                          <a:chExt cx="218440" cy="138430"/>
                        </a:xfrm>
                      </wpg:grpSpPr>
                      <pic:pic>
                        <pic:nvPicPr>
                          <pic:cNvPr id="827" name="Image 827"/>
                          <pic:cNvPicPr/>
                        </pic:nvPicPr>
                        <pic:blipFill>
                          <a:blip r:embed="rId27" cstate="print"/>
                          <a:stretch>
                            <a:fillRect/>
                          </a:stretch>
                        </pic:blipFill>
                        <pic:spPr>
                          <a:xfrm>
                            <a:off x="0" y="100"/>
                            <a:ext cx="132181" cy="138024"/>
                          </a:xfrm>
                          <a:prstGeom prst="rect">
                            <a:avLst/>
                          </a:prstGeom>
                        </pic:spPr>
                      </pic:pic>
                      <wps:wsp>
                        <wps:cNvPr id="828" name="Graphic 828"/>
                        <wps:cNvSpPr/>
                        <wps:spPr>
                          <a:xfrm>
                            <a:off x="163680" y="0"/>
                            <a:ext cx="54610" cy="136525"/>
                          </a:xfrm>
                          <a:custGeom>
                            <a:avLst/>
                            <a:gdLst/>
                            <a:ahLst/>
                            <a:cxnLst/>
                            <a:rect l="l" t="t" r="r" b="b"/>
                            <a:pathLst>
                              <a:path w="54610" h="136525">
                                <a:moveTo>
                                  <a:pt x="52870" y="0"/>
                                </a:moveTo>
                                <a:lnTo>
                                  <a:pt x="27470" y="609"/>
                                </a:lnTo>
                                <a:lnTo>
                                  <a:pt x="1651" y="0"/>
                                </a:lnTo>
                                <a:lnTo>
                                  <a:pt x="419" y="609"/>
                                </a:lnTo>
                                <a:lnTo>
                                  <a:pt x="0" y="4292"/>
                                </a:lnTo>
                                <a:lnTo>
                                  <a:pt x="1231" y="5130"/>
                                </a:lnTo>
                                <a:lnTo>
                                  <a:pt x="6362" y="5524"/>
                                </a:lnTo>
                                <a:lnTo>
                                  <a:pt x="13410" y="7004"/>
                                </a:lnTo>
                                <a:lnTo>
                                  <a:pt x="17140" y="10885"/>
                                </a:lnTo>
                                <a:lnTo>
                                  <a:pt x="18605" y="18645"/>
                                </a:lnTo>
                                <a:lnTo>
                                  <a:pt x="18859" y="31762"/>
                                </a:lnTo>
                                <a:lnTo>
                                  <a:pt x="18859" y="104711"/>
                                </a:lnTo>
                                <a:lnTo>
                                  <a:pt x="1231" y="131356"/>
                                </a:lnTo>
                                <a:lnTo>
                                  <a:pt x="0" y="132587"/>
                                </a:lnTo>
                                <a:lnTo>
                                  <a:pt x="419" y="135851"/>
                                </a:lnTo>
                                <a:lnTo>
                                  <a:pt x="1651" y="136461"/>
                                </a:lnTo>
                                <a:lnTo>
                                  <a:pt x="27470" y="135851"/>
                                </a:lnTo>
                                <a:lnTo>
                                  <a:pt x="52870" y="136461"/>
                                </a:lnTo>
                                <a:lnTo>
                                  <a:pt x="54102" y="135851"/>
                                </a:lnTo>
                                <a:lnTo>
                                  <a:pt x="54521" y="132168"/>
                                </a:lnTo>
                                <a:lnTo>
                                  <a:pt x="53289" y="131356"/>
                                </a:lnTo>
                                <a:lnTo>
                                  <a:pt x="48171" y="130746"/>
                                </a:lnTo>
                                <a:lnTo>
                                  <a:pt x="41110" y="129121"/>
                                </a:lnTo>
                                <a:lnTo>
                                  <a:pt x="37377" y="125329"/>
                                </a:lnTo>
                                <a:lnTo>
                                  <a:pt x="35914" y="117737"/>
                                </a:lnTo>
                                <a:lnTo>
                                  <a:pt x="35661" y="104711"/>
                                </a:lnTo>
                                <a:lnTo>
                                  <a:pt x="35661" y="31762"/>
                                </a:lnTo>
                                <a:lnTo>
                                  <a:pt x="53289" y="5130"/>
                                </a:lnTo>
                                <a:lnTo>
                                  <a:pt x="54521" y="4292"/>
                                </a:lnTo>
                                <a:lnTo>
                                  <a:pt x="54102" y="609"/>
                                </a:lnTo>
                                <a:lnTo>
                                  <a:pt x="52870" y="0"/>
                                </a:lnTo>
                                <a:close/>
                              </a:path>
                            </a:pathLst>
                          </a:custGeom>
                          <a:solidFill>
                            <a:srgbClr val="671C75"/>
                          </a:solidFill>
                        </wps:spPr>
                        <wps:bodyPr wrap="square" lIns="0" tIns="0" rIns="0" bIns="0" rtlCol="0">
                          <a:prstTxWarp prst="textNoShape">
                            <a:avLst/>
                          </a:prstTxWarp>
                          <a:noAutofit/>
                        </wps:bodyPr>
                      </wps:wsp>
                    </wpg:wgp>
                  </a:graphicData>
                </a:graphic>
              </wp:anchor>
            </w:drawing>
          </mc:Choice>
          <mc:Fallback>
            <w:pict>
              <v:group style="position:absolute;margin-left:189.127502pt;margin-top:72.990013pt;width:17.2pt;height:10.9pt;mso-position-horizontal-relative:page;mso-position-vertical-relative:page;z-index:15934976" id="docshapegroup742" coordorigin="3783,1460" coordsize="344,218">
                <v:shape style="position:absolute;left:3782;top:1459;width:209;height:218" type="#_x0000_t75" id="docshape743" stroked="false">
                  <v:imagedata r:id="rId27" o:title=""/>
                </v:shape>
                <v:shape style="position:absolute;left:4040;top:1459;width:86;height:215" id="docshape744" coordorigin="4040,1460" coordsize="86,215" path="m4124,1460l4084,1461,4043,1460,4041,1461,4040,1467,4042,1468,4050,1469,4061,1471,4067,1477,4070,1489,4070,1510,4070,1625,4042,1667,4040,1669,4041,1674,4043,1675,4084,1674,4124,1675,4126,1674,4126,1668,4124,1667,4116,1666,4105,1663,4099,1657,4097,1645,4096,1625,4096,1510,4124,1468,4126,1467,4126,1461,4124,1460xe" filled="true" fillcolor="#671c75" stroked="false">
                  <v:path arrowok="t"/>
                  <v:fill type="solid"/>
                </v:shape>
                <w10:wrap type="none"/>
              </v:group>
            </w:pict>
          </mc:Fallback>
        </mc:AlternateContent>
      </w:r>
      <w:r>
        <w:rPr/>
        <w:drawing>
          <wp:anchor distT="0" distB="0" distL="0" distR="0" allowOverlap="1" layoutInCell="1" locked="0" behindDoc="0" simplePos="0" relativeHeight="15935488">
            <wp:simplePos x="0" y="0"/>
            <wp:positionH relativeFrom="page">
              <wp:posOffset>2668656</wp:posOffset>
            </wp:positionH>
            <wp:positionV relativeFrom="page">
              <wp:posOffset>924302</wp:posOffset>
            </wp:positionV>
            <wp:extent cx="137923" cy="142875"/>
            <wp:effectExtent l="0" t="0" r="0" b="0"/>
            <wp:wrapNone/>
            <wp:docPr id="829" name="Image 829"/>
            <wp:cNvGraphicFramePr>
              <a:graphicFrameLocks/>
            </wp:cNvGraphicFramePr>
            <a:graphic>
              <a:graphicData uri="http://schemas.openxmlformats.org/drawingml/2006/picture">
                <pic:pic>
                  <pic:nvPicPr>
                    <pic:cNvPr id="829" name="Image 829"/>
                    <pic:cNvPicPr/>
                  </pic:nvPicPr>
                  <pic:blipFill>
                    <a:blip r:embed="rId28" cstate="print"/>
                    <a:stretch>
                      <a:fillRect/>
                    </a:stretch>
                  </pic:blipFill>
                  <pic:spPr>
                    <a:xfrm>
                      <a:off x="0" y="0"/>
                      <a:ext cx="137923" cy="142875"/>
                    </a:xfrm>
                    <a:prstGeom prst="rect">
                      <a:avLst/>
                    </a:prstGeom>
                  </pic:spPr>
                </pic:pic>
              </a:graphicData>
            </a:graphic>
          </wp:anchor>
        </w:drawing>
      </w:r>
      <w:r>
        <w:rPr/>
        <mc:AlternateContent>
          <mc:Choice Requires="wps">
            <w:drawing>
              <wp:anchor distT="0" distB="0" distL="0" distR="0" allowOverlap="1" layoutInCell="1" locked="0" behindDoc="0" simplePos="0" relativeHeight="15936000">
                <wp:simplePos x="0" y="0"/>
                <wp:positionH relativeFrom="page">
                  <wp:posOffset>2851631</wp:posOffset>
                </wp:positionH>
                <wp:positionV relativeFrom="page">
                  <wp:posOffset>920614</wp:posOffset>
                </wp:positionV>
                <wp:extent cx="443865" cy="146050"/>
                <wp:effectExtent l="0" t="0" r="0" b="0"/>
                <wp:wrapNone/>
                <wp:docPr id="830" name="Group 830"/>
                <wp:cNvGraphicFramePr>
                  <a:graphicFrameLocks/>
                </wp:cNvGraphicFramePr>
                <a:graphic>
                  <a:graphicData uri="http://schemas.microsoft.com/office/word/2010/wordprocessingGroup">
                    <wpg:wgp>
                      <wpg:cNvPr id="830" name="Group 830"/>
                      <wpg:cNvGrpSpPr/>
                      <wpg:grpSpPr>
                        <a:xfrm>
                          <a:off x="0" y="0"/>
                          <a:ext cx="443865" cy="146050"/>
                          <a:chExt cx="443865" cy="146050"/>
                        </a:xfrm>
                      </wpg:grpSpPr>
                      <pic:pic>
                        <pic:nvPicPr>
                          <pic:cNvPr id="831" name="Image 831"/>
                          <pic:cNvPicPr/>
                        </pic:nvPicPr>
                        <pic:blipFill>
                          <a:blip r:embed="rId29" cstate="print"/>
                          <a:stretch>
                            <a:fillRect/>
                          </a:stretch>
                        </pic:blipFill>
                        <pic:spPr>
                          <a:xfrm>
                            <a:off x="0" y="6343"/>
                            <a:ext cx="149771" cy="136499"/>
                          </a:xfrm>
                          <a:prstGeom prst="rect">
                            <a:avLst/>
                          </a:prstGeom>
                        </pic:spPr>
                      </pic:pic>
                      <pic:pic>
                        <pic:nvPicPr>
                          <pic:cNvPr id="832" name="Image 832"/>
                          <pic:cNvPicPr/>
                        </pic:nvPicPr>
                        <pic:blipFill>
                          <a:blip r:embed="rId30" cstate="print"/>
                          <a:stretch>
                            <a:fillRect/>
                          </a:stretch>
                        </pic:blipFill>
                        <pic:spPr>
                          <a:xfrm>
                            <a:off x="190751" y="0"/>
                            <a:ext cx="131762" cy="142824"/>
                          </a:xfrm>
                          <a:prstGeom prst="rect">
                            <a:avLst/>
                          </a:prstGeom>
                        </pic:spPr>
                      </pic:pic>
                      <pic:pic>
                        <pic:nvPicPr>
                          <pic:cNvPr id="833" name="Image 833"/>
                          <pic:cNvPicPr/>
                        </pic:nvPicPr>
                        <pic:blipFill>
                          <a:blip r:embed="rId31" cstate="print"/>
                          <a:stretch>
                            <a:fillRect/>
                          </a:stretch>
                        </pic:blipFill>
                        <pic:spPr>
                          <a:xfrm>
                            <a:off x="362259" y="3677"/>
                            <a:ext cx="81140" cy="141820"/>
                          </a:xfrm>
                          <a:prstGeom prst="rect">
                            <a:avLst/>
                          </a:prstGeom>
                        </pic:spPr>
                      </pic:pic>
                    </wpg:wgp>
                  </a:graphicData>
                </a:graphic>
              </wp:anchor>
            </w:drawing>
          </mc:Choice>
          <mc:Fallback>
            <w:pict>
              <v:group style="position:absolute;margin-left:224.537903pt;margin-top:72.489311pt;width:34.950pt;height:11.5pt;mso-position-horizontal-relative:page;mso-position-vertical-relative:page;z-index:15936000" id="docshapegroup745" coordorigin="4491,1450" coordsize="699,230">
                <v:shape style="position:absolute;left:4490;top:1459;width:236;height:215" type="#_x0000_t75" id="docshape746" stroked="false">
                  <v:imagedata r:id="rId29" o:title=""/>
                </v:shape>
                <v:shape style="position:absolute;left:4791;top:1449;width:208;height:225" type="#_x0000_t75" id="docshape747" stroked="false">
                  <v:imagedata r:id="rId30" o:title=""/>
                </v:shape>
                <v:shape style="position:absolute;left:5061;top:1455;width:128;height:224" type="#_x0000_t75" id="docshape748" stroked="false">
                  <v:imagedata r:id="rId31" o:title=""/>
                </v:shape>
                <w10:wrap type="none"/>
              </v:group>
            </w:pict>
          </mc:Fallback>
        </mc:AlternateContent>
      </w:r>
    </w:p>
    <w:p>
      <w:pPr>
        <w:spacing w:line="240" w:lineRule="auto"/>
        <w:ind w:left="1145" w:right="0" w:firstLine="0"/>
        <w:jc w:val="left"/>
        <w:rPr>
          <w:sz w:val="20"/>
        </w:rPr>
      </w:pPr>
      <w:r>
        <w:rPr>
          <w:sz w:val="20"/>
        </w:rPr>
        <mc:AlternateContent>
          <mc:Choice Requires="wps">
            <w:drawing>
              <wp:inline distT="0" distB="0" distL="0" distR="0">
                <wp:extent cx="570230" cy="570230"/>
                <wp:effectExtent l="0" t="0" r="0" b="0"/>
                <wp:docPr id="834" name="Group 834"/>
                <wp:cNvGraphicFramePr>
                  <a:graphicFrameLocks/>
                </wp:cNvGraphicFramePr>
                <a:graphic>
                  <a:graphicData uri="http://schemas.microsoft.com/office/word/2010/wordprocessingGroup">
                    <wpg:wgp>
                      <wpg:cNvPr id="834" name="Group 834"/>
                      <wpg:cNvGrpSpPr/>
                      <wpg:grpSpPr>
                        <a:xfrm>
                          <a:off x="0" y="0"/>
                          <a:ext cx="570230" cy="570230"/>
                          <a:chExt cx="570230" cy="570230"/>
                        </a:xfrm>
                      </wpg:grpSpPr>
                      <wps:wsp>
                        <wps:cNvPr id="835" name="Graphic 835"/>
                        <wps:cNvSpPr/>
                        <wps:spPr>
                          <a:xfrm>
                            <a:off x="0" y="0"/>
                            <a:ext cx="570230" cy="570230"/>
                          </a:xfrm>
                          <a:custGeom>
                            <a:avLst/>
                            <a:gdLst/>
                            <a:ahLst/>
                            <a:cxnLst/>
                            <a:rect l="l" t="t" r="r" b="b"/>
                            <a:pathLst>
                              <a:path w="570230" h="570230">
                                <a:moveTo>
                                  <a:pt x="569963" y="0"/>
                                </a:moveTo>
                                <a:lnTo>
                                  <a:pt x="0" y="0"/>
                                </a:lnTo>
                                <a:lnTo>
                                  <a:pt x="0" y="569963"/>
                                </a:lnTo>
                                <a:lnTo>
                                  <a:pt x="569963" y="569963"/>
                                </a:lnTo>
                                <a:lnTo>
                                  <a:pt x="569963" y="424052"/>
                                </a:lnTo>
                                <a:lnTo>
                                  <a:pt x="283298" y="424052"/>
                                </a:lnTo>
                                <a:lnTo>
                                  <a:pt x="281965" y="423049"/>
                                </a:lnTo>
                                <a:lnTo>
                                  <a:pt x="257648" y="406815"/>
                                </a:lnTo>
                                <a:lnTo>
                                  <a:pt x="231730" y="395049"/>
                                </a:lnTo>
                                <a:lnTo>
                                  <a:pt x="228431" y="394169"/>
                                </a:lnTo>
                                <a:lnTo>
                                  <a:pt x="128270" y="394169"/>
                                </a:lnTo>
                                <a:lnTo>
                                  <a:pt x="125107" y="391921"/>
                                </a:lnTo>
                                <a:lnTo>
                                  <a:pt x="125107" y="155879"/>
                                </a:lnTo>
                                <a:lnTo>
                                  <a:pt x="125374" y="155270"/>
                                </a:lnTo>
                                <a:lnTo>
                                  <a:pt x="164466" y="146477"/>
                                </a:lnTo>
                                <a:lnTo>
                                  <a:pt x="177215" y="145922"/>
                                </a:lnTo>
                                <a:lnTo>
                                  <a:pt x="569963" y="145922"/>
                                </a:lnTo>
                                <a:lnTo>
                                  <a:pt x="569963" y="0"/>
                                </a:lnTo>
                                <a:close/>
                              </a:path>
                              <a:path w="570230" h="570230">
                                <a:moveTo>
                                  <a:pt x="392214" y="385470"/>
                                </a:moveTo>
                                <a:lnTo>
                                  <a:pt x="338216" y="395049"/>
                                </a:lnTo>
                                <a:lnTo>
                                  <a:pt x="287972" y="423049"/>
                                </a:lnTo>
                                <a:lnTo>
                                  <a:pt x="286639" y="424052"/>
                                </a:lnTo>
                                <a:lnTo>
                                  <a:pt x="569963" y="424052"/>
                                </a:lnTo>
                                <a:lnTo>
                                  <a:pt x="569963" y="394169"/>
                                </a:lnTo>
                                <a:lnTo>
                                  <a:pt x="441667" y="394169"/>
                                </a:lnTo>
                                <a:lnTo>
                                  <a:pt x="437908" y="392836"/>
                                </a:lnTo>
                                <a:lnTo>
                                  <a:pt x="426916" y="389611"/>
                                </a:lnTo>
                                <a:lnTo>
                                  <a:pt x="415609" y="387310"/>
                                </a:lnTo>
                                <a:lnTo>
                                  <a:pt x="404027" y="385930"/>
                                </a:lnTo>
                                <a:lnTo>
                                  <a:pt x="392214" y="385470"/>
                                </a:lnTo>
                                <a:close/>
                              </a:path>
                              <a:path w="570230" h="570230">
                                <a:moveTo>
                                  <a:pt x="177723" y="385470"/>
                                </a:moveTo>
                                <a:lnTo>
                                  <a:pt x="132054" y="392836"/>
                                </a:lnTo>
                                <a:lnTo>
                                  <a:pt x="128270" y="394169"/>
                                </a:lnTo>
                                <a:lnTo>
                                  <a:pt x="228431" y="394169"/>
                                </a:lnTo>
                                <a:lnTo>
                                  <a:pt x="204870" y="387888"/>
                                </a:lnTo>
                                <a:lnTo>
                                  <a:pt x="177723" y="385470"/>
                                </a:lnTo>
                                <a:close/>
                              </a:path>
                              <a:path w="570230" h="570230">
                                <a:moveTo>
                                  <a:pt x="569963" y="145922"/>
                                </a:moveTo>
                                <a:lnTo>
                                  <a:pt x="392722" y="145922"/>
                                </a:lnTo>
                                <a:lnTo>
                                  <a:pt x="405473" y="146477"/>
                                </a:lnTo>
                                <a:lnTo>
                                  <a:pt x="418087" y="148112"/>
                                </a:lnTo>
                                <a:lnTo>
                                  <a:pt x="444830" y="155879"/>
                                </a:lnTo>
                                <a:lnTo>
                                  <a:pt x="444830" y="391921"/>
                                </a:lnTo>
                                <a:lnTo>
                                  <a:pt x="441667" y="394169"/>
                                </a:lnTo>
                                <a:lnTo>
                                  <a:pt x="569963" y="394169"/>
                                </a:lnTo>
                                <a:lnTo>
                                  <a:pt x="569963" y="145922"/>
                                </a:lnTo>
                                <a:close/>
                              </a:path>
                              <a:path w="570230" h="570230">
                                <a:moveTo>
                                  <a:pt x="392722" y="145922"/>
                                </a:moveTo>
                                <a:lnTo>
                                  <a:pt x="177215" y="145922"/>
                                </a:lnTo>
                                <a:lnTo>
                                  <a:pt x="205400" y="148747"/>
                                </a:lnTo>
                                <a:lnTo>
                                  <a:pt x="233160" y="156764"/>
                                </a:lnTo>
                                <a:lnTo>
                                  <a:pt x="259885" y="169288"/>
                                </a:lnTo>
                                <a:lnTo>
                                  <a:pt x="284962" y="185635"/>
                                </a:lnTo>
                                <a:lnTo>
                                  <a:pt x="310047" y="169288"/>
                                </a:lnTo>
                                <a:lnTo>
                                  <a:pt x="336775" y="156764"/>
                                </a:lnTo>
                                <a:lnTo>
                                  <a:pt x="364536" y="148747"/>
                                </a:lnTo>
                                <a:lnTo>
                                  <a:pt x="392722" y="145922"/>
                                </a:lnTo>
                                <a:close/>
                              </a:path>
                            </a:pathLst>
                          </a:custGeom>
                          <a:solidFill>
                            <a:srgbClr val="671C75"/>
                          </a:solidFill>
                        </wps:spPr>
                        <wps:bodyPr wrap="square" lIns="0" tIns="0" rIns="0" bIns="0" rtlCol="0">
                          <a:prstTxWarp prst="textNoShape">
                            <a:avLst/>
                          </a:prstTxWarp>
                          <a:noAutofit/>
                        </wps:bodyPr>
                      </wps:wsp>
                    </wpg:wgp>
                  </a:graphicData>
                </a:graphic>
              </wp:inline>
            </w:drawing>
          </mc:Choice>
          <mc:Fallback>
            <w:pict>
              <v:group style="width:44.9pt;height:44.9pt;mso-position-horizontal-relative:char;mso-position-vertical-relative:line" id="docshapegroup749" coordorigin="0,0" coordsize="898,898">
                <v:shape style="position:absolute;left:0;top:0;width:898;height:898" id="docshape750" coordorigin="0,0" coordsize="898,898" path="m898,0l0,0,0,898,898,898,898,668,446,668,444,666,406,641,365,622,360,621,202,621,197,617,197,245,197,245,201,243,220,237,239,233,259,231,279,230,898,230,898,0xm618,607l575,611,533,622,492,641,454,666,451,668,898,668,898,621,696,621,690,619,672,614,655,610,636,608,618,607xm280,607l261,608,243,610,225,614,208,619,202,621,360,621,323,611,280,607xm898,230l618,230,639,231,658,233,678,237,697,243,699,244,700,245,701,245,701,617,696,621,898,621,898,230xm618,230l279,230,323,234,367,247,409,267,449,292,488,267,530,247,574,234,618,230xe" filled="true" fillcolor="#671c75" stroked="false">
                  <v:path arrowok="t"/>
                  <v:fill type="solid"/>
                </v:shape>
              </v:group>
            </w:pict>
          </mc:Fallback>
        </mc:AlternateContent>
      </w:r>
      <w:r>
        <w:rPr>
          <w:sz w:val="20"/>
        </w:rPr>
      </w:r>
      <w:r>
        <w:rPr>
          <w:rFonts w:ascii="Times New Roman"/>
          <w:spacing w:val="134"/>
          <w:sz w:val="20"/>
        </w:rPr>
        <w:t> </w:t>
      </w:r>
      <w:r>
        <w:rPr>
          <w:spacing w:val="134"/>
          <w:position w:val="39"/>
          <w:sz w:val="20"/>
        </w:rPr>
        <mc:AlternateContent>
          <mc:Choice Requires="wps">
            <w:drawing>
              <wp:inline distT="0" distB="0" distL="0" distR="0">
                <wp:extent cx="895350" cy="142240"/>
                <wp:effectExtent l="0" t="0" r="0" b="635"/>
                <wp:docPr id="836" name="Group 836"/>
                <wp:cNvGraphicFramePr>
                  <a:graphicFrameLocks/>
                </wp:cNvGraphicFramePr>
                <a:graphic>
                  <a:graphicData uri="http://schemas.microsoft.com/office/word/2010/wordprocessingGroup">
                    <wpg:wgp>
                      <wpg:cNvPr id="836" name="Group 836"/>
                      <wpg:cNvGrpSpPr/>
                      <wpg:grpSpPr>
                        <a:xfrm>
                          <a:off x="0" y="0"/>
                          <a:ext cx="895350" cy="142240"/>
                          <a:chExt cx="895350" cy="142240"/>
                        </a:xfrm>
                      </wpg:grpSpPr>
                      <pic:pic>
                        <pic:nvPicPr>
                          <pic:cNvPr id="837" name="Image 837"/>
                          <pic:cNvPicPr/>
                        </pic:nvPicPr>
                        <pic:blipFill>
                          <a:blip r:embed="rId32" cstate="print"/>
                          <a:stretch>
                            <a:fillRect/>
                          </a:stretch>
                        </pic:blipFill>
                        <pic:spPr>
                          <a:xfrm>
                            <a:off x="0" y="2691"/>
                            <a:ext cx="150139" cy="136791"/>
                          </a:xfrm>
                          <a:prstGeom prst="rect">
                            <a:avLst/>
                          </a:prstGeom>
                        </pic:spPr>
                      </pic:pic>
                      <pic:pic>
                        <pic:nvPicPr>
                          <pic:cNvPr id="838" name="Image 838"/>
                          <pic:cNvPicPr/>
                        </pic:nvPicPr>
                        <pic:blipFill>
                          <a:blip r:embed="rId33" cstate="print"/>
                          <a:stretch>
                            <a:fillRect/>
                          </a:stretch>
                        </pic:blipFill>
                        <pic:spPr>
                          <a:xfrm>
                            <a:off x="192119" y="2682"/>
                            <a:ext cx="146050" cy="139471"/>
                          </a:xfrm>
                          <a:prstGeom prst="rect">
                            <a:avLst/>
                          </a:prstGeom>
                        </pic:spPr>
                      </pic:pic>
                      <pic:pic>
                        <pic:nvPicPr>
                          <pic:cNvPr id="839" name="Image 839"/>
                          <pic:cNvPicPr/>
                        </pic:nvPicPr>
                        <pic:blipFill>
                          <a:blip r:embed="rId34" cstate="print"/>
                          <a:stretch>
                            <a:fillRect/>
                          </a:stretch>
                        </pic:blipFill>
                        <pic:spPr>
                          <a:xfrm>
                            <a:off x="372129" y="2691"/>
                            <a:ext cx="176022" cy="138214"/>
                          </a:xfrm>
                          <a:prstGeom prst="rect">
                            <a:avLst/>
                          </a:prstGeom>
                        </pic:spPr>
                      </pic:pic>
                      <pic:pic>
                        <pic:nvPicPr>
                          <pic:cNvPr id="840" name="Image 840"/>
                          <pic:cNvPicPr/>
                        </pic:nvPicPr>
                        <pic:blipFill>
                          <a:blip r:embed="rId35" cstate="print"/>
                          <a:stretch>
                            <a:fillRect/>
                          </a:stretch>
                        </pic:blipFill>
                        <pic:spPr>
                          <a:xfrm>
                            <a:off x="577392" y="0"/>
                            <a:ext cx="138226" cy="139471"/>
                          </a:xfrm>
                          <a:prstGeom prst="rect">
                            <a:avLst/>
                          </a:prstGeom>
                        </pic:spPr>
                      </pic:pic>
                      <pic:pic>
                        <pic:nvPicPr>
                          <pic:cNvPr id="841" name="Image 841"/>
                          <pic:cNvPicPr/>
                        </pic:nvPicPr>
                        <pic:blipFill>
                          <a:blip r:embed="rId36" cstate="print"/>
                          <a:stretch>
                            <a:fillRect/>
                          </a:stretch>
                        </pic:blipFill>
                        <pic:spPr>
                          <a:xfrm>
                            <a:off x="743197" y="2673"/>
                            <a:ext cx="151587" cy="139484"/>
                          </a:xfrm>
                          <a:prstGeom prst="rect">
                            <a:avLst/>
                          </a:prstGeom>
                        </pic:spPr>
                      </pic:pic>
                    </wpg:wgp>
                  </a:graphicData>
                </a:graphic>
              </wp:inline>
            </w:drawing>
          </mc:Choice>
          <mc:Fallback>
            <w:pict>
              <v:group style="width:70.5pt;height:11.2pt;mso-position-horizontal-relative:char;mso-position-vertical-relative:line" id="docshapegroup751" coordorigin="0,0" coordsize="1410,224">
                <v:shape style="position:absolute;left:0;top:4;width:237;height:216" type="#_x0000_t75" id="docshape752" stroked="false">
                  <v:imagedata r:id="rId32" o:title=""/>
                </v:shape>
                <v:shape style="position:absolute;left:302;top:4;width:230;height:220" type="#_x0000_t75" id="docshape753" stroked="false">
                  <v:imagedata r:id="rId33" o:title=""/>
                </v:shape>
                <v:shape style="position:absolute;left:586;top:4;width:278;height:218" type="#_x0000_t75" id="docshape754" stroked="false">
                  <v:imagedata r:id="rId34" o:title=""/>
                </v:shape>
                <v:shape style="position:absolute;left:909;top:0;width:218;height:220" type="#_x0000_t75" id="docshape755" stroked="false">
                  <v:imagedata r:id="rId35" o:title=""/>
                </v:shape>
                <v:shape style="position:absolute;left:1170;top:4;width:239;height:220" type="#_x0000_t75" id="docshape756" stroked="false">
                  <v:imagedata r:id="rId36" o:title=""/>
                </v:shape>
              </v:group>
            </w:pict>
          </mc:Fallback>
        </mc:AlternateContent>
      </w:r>
      <w:r>
        <w:rPr>
          <w:spacing w:val="134"/>
          <w:position w:val="39"/>
          <w:sz w:val="20"/>
        </w:rPr>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204"/>
        <w:rPr>
          <w:b/>
          <w:sz w:val="24"/>
        </w:rPr>
      </w:pPr>
    </w:p>
    <w:p>
      <w:pPr>
        <w:spacing w:line="264" w:lineRule="auto" w:before="0"/>
        <w:ind w:left="1133" w:right="5085" w:firstLine="0"/>
        <w:jc w:val="left"/>
        <w:rPr>
          <w:rFonts w:ascii="Verdana"/>
          <w:sz w:val="24"/>
        </w:rPr>
      </w:pPr>
      <w:r>
        <w:rPr>
          <w:rFonts w:ascii="Tahoma"/>
          <w:b/>
          <w:color w:val="FFFFFF"/>
          <w:sz w:val="24"/>
        </w:rPr>
        <w:t>Northern</w:t>
      </w:r>
      <w:r>
        <w:rPr>
          <w:rFonts w:ascii="Tahoma"/>
          <w:b/>
          <w:color w:val="FFFFFF"/>
          <w:spacing w:val="-10"/>
          <w:sz w:val="24"/>
        </w:rPr>
        <w:t> </w:t>
      </w:r>
      <w:r>
        <w:rPr>
          <w:rFonts w:ascii="Tahoma"/>
          <w:b/>
          <w:color w:val="FFFFFF"/>
          <w:sz w:val="24"/>
        </w:rPr>
        <w:t>Ireland</w:t>
      </w:r>
      <w:r>
        <w:rPr>
          <w:rFonts w:ascii="Tahoma"/>
          <w:b/>
          <w:color w:val="FFFFFF"/>
          <w:spacing w:val="-10"/>
          <w:sz w:val="24"/>
        </w:rPr>
        <w:t> </w:t>
      </w:r>
      <w:r>
        <w:rPr>
          <w:rFonts w:ascii="Tahoma"/>
          <w:b/>
          <w:color w:val="FFFFFF"/>
          <w:sz w:val="24"/>
        </w:rPr>
        <w:t>Human</w:t>
      </w:r>
      <w:r>
        <w:rPr>
          <w:rFonts w:ascii="Tahoma"/>
          <w:b/>
          <w:color w:val="FFFFFF"/>
          <w:spacing w:val="-10"/>
          <w:sz w:val="24"/>
        </w:rPr>
        <w:t> </w:t>
      </w:r>
      <w:r>
        <w:rPr>
          <w:rFonts w:ascii="Tahoma"/>
          <w:b/>
          <w:color w:val="FFFFFF"/>
          <w:sz w:val="24"/>
        </w:rPr>
        <w:t>Rights</w:t>
      </w:r>
      <w:r>
        <w:rPr>
          <w:rFonts w:ascii="Tahoma"/>
          <w:b/>
          <w:color w:val="FFFFFF"/>
          <w:spacing w:val="-10"/>
          <w:sz w:val="24"/>
        </w:rPr>
        <w:t> </w:t>
      </w:r>
      <w:r>
        <w:rPr>
          <w:rFonts w:ascii="Tahoma"/>
          <w:b/>
          <w:color w:val="FFFFFF"/>
          <w:sz w:val="24"/>
        </w:rPr>
        <w:t>Commission </w:t>
      </w:r>
      <w:r>
        <w:rPr>
          <w:rFonts w:ascii="Verdana"/>
          <w:color w:val="FFFFFF"/>
          <w:sz w:val="24"/>
        </w:rPr>
        <w:t>4th</w:t>
      </w:r>
      <w:r>
        <w:rPr>
          <w:rFonts w:ascii="Verdana"/>
          <w:color w:val="FFFFFF"/>
          <w:spacing w:val="-6"/>
          <w:sz w:val="24"/>
        </w:rPr>
        <w:t> </w:t>
      </w:r>
      <w:r>
        <w:rPr>
          <w:rFonts w:ascii="Verdana"/>
          <w:color w:val="FFFFFF"/>
          <w:sz w:val="24"/>
        </w:rPr>
        <w:t>Floor</w:t>
      </w:r>
      <w:r>
        <w:rPr>
          <w:rFonts w:ascii="Verdana"/>
          <w:color w:val="FFFFFF"/>
          <w:spacing w:val="-6"/>
          <w:sz w:val="24"/>
        </w:rPr>
        <w:t> </w:t>
      </w:r>
      <w:r>
        <w:rPr>
          <w:rFonts w:ascii="Verdana"/>
          <w:color w:val="FFFFFF"/>
          <w:sz w:val="24"/>
        </w:rPr>
        <w:t>Alfred</w:t>
      </w:r>
      <w:r>
        <w:rPr>
          <w:rFonts w:ascii="Verdana"/>
          <w:color w:val="FFFFFF"/>
          <w:spacing w:val="-6"/>
          <w:sz w:val="24"/>
        </w:rPr>
        <w:t> </w:t>
      </w:r>
      <w:r>
        <w:rPr>
          <w:rFonts w:ascii="Verdana"/>
          <w:color w:val="FFFFFF"/>
          <w:sz w:val="24"/>
        </w:rPr>
        <w:t>House,</w:t>
      </w:r>
      <w:r>
        <w:rPr>
          <w:rFonts w:ascii="Verdana"/>
          <w:color w:val="FFFFFF"/>
          <w:spacing w:val="-6"/>
          <w:sz w:val="24"/>
        </w:rPr>
        <w:t> </w:t>
      </w:r>
      <w:r>
        <w:rPr>
          <w:rFonts w:ascii="Verdana"/>
          <w:color w:val="FFFFFF"/>
          <w:sz w:val="24"/>
        </w:rPr>
        <w:t>19-21</w:t>
      </w:r>
      <w:r>
        <w:rPr>
          <w:rFonts w:ascii="Verdana"/>
          <w:color w:val="FFFFFF"/>
          <w:spacing w:val="-6"/>
          <w:sz w:val="24"/>
        </w:rPr>
        <w:t> </w:t>
      </w:r>
      <w:r>
        <w:rPr>
          <w:rFonts w:ascii="Verdana"/>
          <w:color w:val="FFFFFF"/>
          <w:sz w:val="24"/>
        </w:rPr>
        <w:t>Alfred</w:t>
      </w:r>
      <w:r>
        <w:rPr>
          <w:rFonts w:ascii="Verdana"/>
          <w:color w:val="FFFFFF"/>
          <w:spacing w:val="-6"/>
          <w:sz w:val="24"/>
        </w:rPr>
        <w:t> </w:t>
      </w:r>
      <w:r>
        <w:rPr>
          <w:rFonts w:ascii="Verdana"/>
          <w:color w:val="FFFFFF"/>
          <w:sz w:val="24"/>
        </w:rPr>
        <w:t>Street Belfast, BT2 8ED</w:t>
      </w:r>
    </w:p>
    <w:p>
      <w:pPr>
        <w:spacing w:line="290" w:lineRule="exact" w:before="0"/>
        <w:ind w:left="1133" w:right="0" w:firstLine="0"/>
        <w:jc w:val="left"/>
        <w:rPr>
          <w:rFonts w:ascii="Verdana"/>
          <w:sz w:val="24"/>
        </w:rPr>
      </w:pPr>
      <w:r>
        <w:rPr>
          <w:rFonts w:ascii="Tahoma"/>
          <w:b/>
          <w:color w:val="FFFFFF"/>
          <w:sz w:val="24"/>
        </w:rPr>
        <w:t>Telephone:</w:t>
      </w:r>
      <w:r>
        <w:rPr>
          <w:rFonts w:ascii="Tahoma"/>
          <w:b/>
          <w:color w:val="FFFFFF"/>
          <w:spacing w:val="-11"/>
          <w:sz w:val="24"/>
        </w:rPr>
        <w:t> </w:t>
      </w:r>
      <w:r>
        <w:rPr>
          <w:rFonts w:ascii="Verdana"/>
          <w:color w:val="FFFFFF"/>
          <w:sz w:val="24"/>
        </w:rPr>
        <w:t>+</w:t>
      </w:r>
      <w:r>
        <w:rPr>
          <w:rFonts w:ascii="Verdana"/>
          <w:color w:val="FFFFFF"/>
          <w:spacing w:val="-21"/>
          <w:sz w:val="24"/>
        </w:rPr>
        <w:t> </w:t>
      </w:r>
      <w:r>
        <w:rPr>
          <w:rFonts w:ascii="Verdana"/>
          <w:color w:val="FFFFFF"/>
          <w:sz w:val="24"/>
        </w:rPr>
        <w:t>44</w:t>
      </w:r>
      <w:r>
        <w:rPr>
          <w:rFonts w:ascii="Verdana"/>
          <w:color w:val="FFFFFF"/>
          <w:spacing w:val="-21"/>
          <w:sz w:val="24"/>
        </w:rPr>
        <w:t> </w:t>
      </w:r>
      <w:r>
        <w:rPr>
          <w:rFonts w:ascii="Verdana"/>
          <w:color w:val="FFFFFF"/>
          <w:sz w:val="24"/>
        </w:rPr>
        <w:t>(0)28</w:t>
      </w:r>
      <w:r>
        <w:rPr>
          <w:rFonts w:ascii="Verdana"/>
          <w:color w:val="FFFFFF"/>
          <w:spacing w:val="-21"/>
          <w:sz w:val="24"/>
        </w:rPr>
        <w:t> </w:t>
      </w:r>
      <w:r>
        <w:rPr>
          <w:rFonts w:ascii="Verdana"/>
          <w:color w:val="FFFFFF"/>
          <w:sz w:val="24"/>
        </w:rPr>
        <w:t>9024</w:t>
      </w:r>
      <w:r>
        <w:rPr>
          <w:rFonts w:ascii="Verdana"/>
          <w:color w:val="FFFFFF"/>
          <w:spacing w:val="-22"/>
          <w:sz w:val="24"/>
        </w:rPr>
        <w:t> </w:t>
      </w:r>
      <w:r>
        <w:rPr>
          <w:rFonts w:ascii="Verdana"/>
          <w:color w:val="FFFFFF"/>
          <w:spacing w:val="-4"/>
          <w:sz w:val="24"/>
        </w:rPr>
        <w:t>3987</w:t>
      </w:r>
    </w:p>
    <w:p>
      <w:pPr>
        <w:spacing w:before="28"/>
        <w:ind w:left="1133" w:right="0" w:firstLine="0"/>
        <w:jc w:val="left"/>
        <w:rPr>
          <w:rFonts w:ascii="Verdana"/>
          <w:sz w:val="24"/>
        </w:rPr>
      </w:pPr>
      <w:r>
        <w:rPr>
          <w:rFonts w:ascii="Tahoma"/>
          <w:b/>
          <w:color w:val="FFFFFF"/>
          <w:sz w:val="24"/>
        </w:rPr>
        <w:t>Email:</w:t>
      </w:r>
      <w:r>
        <w:rPr>
          <w:rFonts w:ascii="Tahoma"/>
          <w:b/>
          <w:color w:val="FFFFFF"/>
          <w:spacing w:val="-7"/>
          <w:sz w:val="24"/>
        </w:rPr>
        <w:t> </w:t>
      </w:r>
      <w:hyperlink r:id="rId268">
        <w:r>
          <w:rPr>
            <w:rFonts w:ascii="Verdana"/>
            <w:color w:val="FFFFFF"/>
            <w:spacing w:val="-2"/>
            <w:sz w:val="24"/>
          </w:rPr>
          <w:t>info@nihrc.org</w:t>
        </w:r>
      </w:hyperlink>
    </w:p>
    <w:p>
      <w:pPr>
        <w:spacing w:before="28"/>
        <w:ind w:left="1133" w:right="0" w:firstLine="0"/>
        <w:jc w:val="left"/>
        <w:rPr>
          <w:rFonts w:ascii="Verdana"/>
          <w:sz w:val="24"/>
        </w:rPr>
      </w:pPr>
      <w:r>
        <w:rPr>
          <w:rFonts w:ascii="Tahoma"/>
          <w:b/>
          <w:color w:val="FFFFFF"/>
          <w:sz w:val="24"/>
        </w:rPr>
        <w:t>Web:</w:t>
      </w:r>
      <w:r>
        <w:rPr>
          <w:rFonts w:ascii="Tahoma"/>
          <w:b/>
          <w:color w:val="FFFFFF"/>
          <w:spacing w:val="3"/>
          <w:sz w:val="24"/>
        </w:rPr>
        <w:t> </w:t>
      </w:r>
      <w:hyperlink r:id="rId269">
        <w:r>
          <w:rPr>
            <w:rFonts w:ascii="Verdana"/>
            <w:color w:val="FFFFFF"/>
            <w:spacing w:val="-2"/>
            <w:sz w:val="24"/>
          </w:rPr>
          <w:t>www.nihrc.org</w:t>
        </w:r>
      </w:hyperlink>
    </w:p>
    <w:p>
      <w:pPr>
        <w:pStyle w:val="BodyText"/>
        <w:rPr>
          <w:rFonts w:ascii="Verdana"/>
          <w:sz w:val="24"/>
        </w:rPr>
      </w:pPr>
    </w:p>
    <w:p>
      <w:pPr>
        <w:pStyle w:val="BodyText"/>
        <w:rPr>
          <w:rFonts w:ascii="Verdana"/>
          <w:sz w:val="24"/>
        </w:rPr>
      </w:pPr>
    </w:p>
    <w:p>
      <w:pPr>
        <w:pStyle w:val="BodyText"/>
        <w:rPr>
          <w:rFonts w:ascii="Verdana"/>
          <w:sz w:val="24"/>
        </w:rPr>
      </w:pPr>
    </w:p>
    <w:p>
      <w:pPr>
        <w:pStyle w:val="BodyText"/>
        <w:rPr>
          <w:rFonts w:ascii="Verdana"/>
          <w:sz w:val="24"/>
        </w:rPr>
      </w:pPr>
    </w:p>
    <w:p>
      <w:pPr>
        <w:pStyle w:val="BodyText"/>
        <w:spacing w:before="71"/>
        <w:rPr>
          <w:rFonts w:ascii="Verdana"/>
          <w:sz w:val="24"/>
        </w:rPr>
      </w:pPr>
    </w:p>
    <w:p>
      <w:pPr>
        <w:spacing w:line="264" w:lineRule="auto" w:before="0"/>
        <w:ind w:left="1133" w:right="5085" w:firstLine="0"/>
        <w:jc w:val="left"/>
        <w:rPr>
          <w:rFonts w:ascii="Verdana"/>
          <w:sz w:val="24"/>
        </w:rPr>
      </w:pPr>
      <w:r>
        <w:rPr>
          <w:rFonts w:ascii="Tahoma"/>
          <w:b/>
          <w:color w:val="FFFFFF"/>
          <w:sz w:val="24"/>
        </w:rPr>
        <w:t>Equality</w:t>
      </w:r>
      <w:r>
        <w:rPr>
          <w:rFonts w:ascii="Tahoma"/>
          <w:b/>
          <w:color w:val="FFFFFF"/>
          <w:spacing w:val="-1"/>
          <w:sz w:val="24"/>
        </w:rPr>
        <w:t> </w:t>
      </w:r>
      <w:r>
        <w:rPr>
          <w:rFonts w:ascii="Tahoma"/>
          <w:b/>
          <w:color w:val="FFFFFF"/>
          <w:sz w:val="24"/>
        </w:rPr>
        <w:t>Commission</w:t>
      </w:r>
      <w:r>
        <w:rPr>
          <w:rFonts w:ascii="Tahoma"/>
          <w:b/>
          <w:color w:val="FFFFFF"/>
          <w:spacing w:val="-1"/>
          <w:sz w:val="24"/>
        </w:rPr>
        <w:t> </w:t>
      </w:r>
      <w:r>
        <w:rPr>
          <w:rFonts w:ascii="Tahoma"/>
          <w:b/>
          <w:color w:val="FFFFFF"/>
          <w:sz w:val="24"/>
        </w:rPr>
        <w:t>for</w:t>
      </w:r>
      <w:r>
        <w:rPr>
          <w:rFonts w:ascii="Tahoma"/>
          <w:b/>
          <w:color w:val="FFFFFF"/>
          <w:spacing w:val="-1"/>
          <w:sz w:val="24"/>
        </w:rPr>
        <w:t> </w:t>
      </w:r>
      <w:r>
        <w:rPr>
          <w:rFonts w:ascii="Tahoma"/>
          <w:b/>
          <w:color w:val="FFFFFF"/>
          <w:sz w:val="24"/>
        </w:rPr>
        <w:t>Northern</w:t>
      </w:r>
      <w:r>
        <w:rPr>
          <w:rFonts w:ascii="Tahoma"/>
          <w:b/>
          <w:color w:val="FFFFFF"/>
          <w:spacing w:val="-1"/>
          <w:sz w:val="24"/>
        </w:rPr>
        <w:t> </w:t>
      </w:r>
      <w:r>
        <w:rPr>
          <w:rFonts w:ascii="Tahoma"/>
          <w:b/>
          <w:color w:val="FFFFFF"/>
          <w:sz w:val="24"/>
        </w:rPr>
        <w:t>Ireland </w:t>
      </w:r>
      <w:r>
        <w:rPr>
          <w:rFonts w:ascii="Verdana"/>
          <w:color w:val="FFFFFF"/>
          <w:sz w:val="24"/>
        </w:rPr>
        <w:t>Equality House, 7-9 Shaftesbury Square Belfast, BT2 7DP</w:t>
      </w:r>
    </w:p>
    <w:p>
      <w:pPr>
        <w:spacing w:line="290" w:lineRule="exact" w:before="0"/>
        <w:ind w:left="1133" w:right="0" w:firstLine="0"/>
        <w:jc w:val="left"/>
        <w:rPr>
          <w:rFonts w:ascii="Verdana"/>
          <w:sz w:val="24"/>
        </w:rPr>
      </w:pPr>
      <w:r>
        <w:rPr>
          <w:rFonts w:ascii="Tahoma"/>
          <w:b/>
          <w:color w:val="FFFFFF"/>
          <w:sz w:val="24"/>
        </w:rPr>
        <w:t>Telephone:</w:t>
      </w:r>
      <w:r>
        <w:rPr>
          <w:rFonts w:ascii="Tahoma"/>
          <w:b/>
          <w:color w:val="FFFFFF"/>
          <w:spacing w:val="-4"/>
          <w:sz w:val="24"/>
        </w:rPr>
        <w:t> </w:t>
      </w:r>
      <w:r>
        <w:rPr>
          <w:rFonts w:ascii="Verdana"/>
          <w:color w:val="FFFFFF"/>
          <w:sz w:val="24"/>
        </w:rPr>
        <w:t>+</w:t>
      </w:r>
      <w:r>
        <w:rPr>
          <w:rFonts w:ascii="Verdana"/>
          <w:color w:val="FFFFFF"/>
          <w:spacing w:val="-18"/>
          <w:sz w:val="24"/>
        </w:rPr>
        <w:t> </w:t>
      </w:r>
      <w:r>
        <w:rPr>
          <w:rFonts w:ascii="Verdana"/>
          <w:color w:val="FFFFFF"/>
          <w:sz w:val="24"/>
        </w:rPr>
        <w:t>44</w:t>
      </w:r>
      <w:r>
        <w:rPr>
          <w:rFonts w:ascii="Verdana"/>
          <w:color w:val="FFFFFF"/>
          <w:spacing w:val="-17"/>
          <w:sz w:val="24"/>
        </w:rPr>
        <w:t> </w:t>
      </w:r>
      <w:r>
        <w:rPr>
          <w:rFonts w:ascii="Verdana"/>
          <w:color w:val="FFFFFF"/>
          <w:sz w:val="24"/>
        </w:rPr>
        <w:t>(0)28</w:t>
      </w:r>
      <w:r>
        <w:rPr>
          <w:rFonts w:ascii="Verdana"/>
          <w:color w:val="FFFFFF"/>
          <w:spacing w:val="-18"/>
          <w:sz w:val="24"/>
        </w:rPr>
        <w:t> </w:t>
      </w:r>
      <w:r>
        <w:rPr>
          <w:rFonts w:ascii="Verdana"/>
          <w:color w:val="FFFFFF"/>
          <w:sz w:val="24"/>
        </w:rPr>
        <w:t>9050</w:t>
      </w:r>
      <w:r>
        <w:rPr>
          <w:rFonts w:ascii="Verdana"/>
          <w:color w:val="FFFFFF"/>
          <w:spacing w:val="-17"/>
          <w:sz w:val="24"/>
        </w:rPr>
        <w:t> </w:t>
      </w:r>
      <w:r>
        <w:rPr>
          <w:rFonts w:ascii="Verdana"/>
          <w:color w:val="FFFFFF"/>
          <w:spacing w:val="-4"/>
          <w:sz w:val="24"/>
        </w:rPr>
        <w:t>0600</w:t>
      </w:r>
    </w:p>
    <w:p>
      <w:pPr>
        <w:spacing w:before="29"/>
        <w:ind w:left="1133" w:right="0" w:firstLine="0"/>
        <w:jc w:val="left"/>
        <w:rPr>
          <w:rFonts w:ascii="Verdana"/>
          <w:sz w:val="24"/>
        </w:rPr>
      </w:pPr>
      <w:r>
        <w:rPr>
          <w:rFonts w:ascii="Tahoma"/>
          <w:b/>
          <w:color w:val="FFFFFF"/>
          <w:sz w:val="24"/>
        </w:rPr>
        <w:t>Email:</w:t>
      </w:r>
      <w:r>
        <w:rPr>
          <w:rFonts w:ascii="Tahoma"/>
          <w:b/>
          <w:color w:val="FFFFFF"/>
          <w:spacing w:val="-7"/>
          <w:sz w:val="24"/>
        </w:rPr>
        <w:t> </w:t>
      </w:r>
      <w:hyperlink r:id="rId270">
        <w:r>
          <w:rPr>
            <w:rFonts w:ascii="Verdana"/>
            <w:color w:val="FFFFFF"/>
            <w:spacing w:val="-2"/>
            <w:sz w:val="24"/>
          </w:rPr>
          <w:t>DMU@equalityni.org</w:t>
        </w:r>
      </w:hyperlink>
    </w:p>
    <w:p>
      <w:pPr>
        <w:spacing w:before="28"/>
        <w:ind w:left="1133" w:right="0" w:firstLine="0"/>
        <w:jc w:val="left"/>
        <w:rPr>
          <w:rFonts w:ascii="Verdana"/>
          <w:sz w:val="24"/>
        </w:rPr>
      </w:pPr>
      <w:r>
        <w:rPr>
          <w:rFonts w:ascii="Tahoma"/>
          <w:b/>
          <w:color w:val="FFFFFF"/>
          <w:sz w:val="24"/>
        </w:rPr>
        <w:t>Web:</w:t>
      </w:r>
      <w:r>
        <w:rPr>
          <w:rFonts w:ascii="Tahoma"/>
          <w:b/>
          <w:color w:val="FFFFFF"/>
          <w:spacing w:val="3"/>
          <w:sz w:val="24"/>
        </w:rPr>
        <w:t> </w:t>
      </w:r>
      <w:hyperlink r:id="rId271">
        <w:r>
          <w:rPr>
            <w:rFonts w:ascii="Verdana"/>
            <w:color w:val="FFFFFF"/>
            <w:spacing w:val="-2"/>
            <w:sz w:val="24"/>
          </w:rPr>
          <w:t>www.equalityni.org/Brexit</w:t>
        </w:r>
      </w:hyperlink>
    </w:p>
    <w:sectPr>
      <w:headerReference w:type="default" r:id="rId261"/>
      <w:footerReference w:type="default" r:id="rId262"/>
      <w:pgSz w:w="11910" w:h="16840"/>
      <w:pgMar w:header="0" w:footer="0" w:top="98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Trebuchet MS">
    <w:altName w:val="Trebuchet MS"/>
    <w:charset w:val="0"/>
    <w:family w:val="swiss"/>
    <w:pitch w:val="variable"/>
  </w:font>
  <w:font w:name="Calibri">
    <w:altName w:val="Calibri"/>
    <w:charset w:val="0"/>
    <w:family w:val="swiss"/>
    <w:pitch w:val="variable"/>
  </w:font>
  <w:font w:name="Symbol">
    <w:altName w:val="Symbol"/>
    <w:charset w:val="2"/>
    <w:family w:val="roman"/>
    <w:pitch w:val="variable"/>
  </w:font>
  <w:font w:name="Verdana">
    <w:altName w:val="Verdan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30880">
              <wp:simplePos x="0" y="0"/>
              <wp:positionH relativeFrom="page">
                <wp:posOffset>0</wp:posOffset>
              </wp:positionH>
              <wp:positionV relativeFrom="page">
                <wp:posOffset>10331996</wp:posOffset>
              </wp:positionV>
              <wp:extent cx="7560309" cy="360045"/>
              <wp:effectExtent l="0" t="0" r="0" b="0"/>
              <wp:wrapNone/>
              <wp:docPr id="208" name="Graphic 208"/>
              <wp:cNvGraphicFramePr>
                <a:graphicFrameLocks/>
              </wp:cNvGraphicFramePr>
              <a:graphic>
                <a:graphicData uri="http://schemas.microsoft.com/office/word/2010/wordprocessingShape">
                  <wps:wsp>
                    <wps:cNvPr id="208" name="Graphic 208"/>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85600" id="docshape164" filled="true" fillcolor="#393b7f" stroked="false">
              <v:fill type="solid"/>
              <w10:wrap type="none"/>
            </v:rect>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31392">
              <wp:simplePos x="0" y="0"/>
              <wp:positionH relativeFrom="page">
                <wp:posOffset>0</wp:posOffset>
              </wp:positionH>
              <wp:positionV relativeFrom="page">
                <wp:posOffset>10331996</wp:posOffset>
              </wp:positionV>
              <wp:extent cx="7560309" cy="360045"/>
              <wp:effectExtent l="0" t="0" r="0" b="0"/>
              <wp:wrapNone/>
              <wp:docPr id="209" name="Graphic 209"/>
              <wp:cNvGraphicFramePr>
                <a:graphicFrameLocks/>
              </wp:cNvGraphicFramePr>
              <a:graphic>
                <a:graphicData uri="http://schemas.microsoft.com/office/word/2010/wordprocessingShape">
                  <wps:wsp>
                    <wps:cNvPr id="209" name="Graphic 209"/>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85088" id="docshape165" filled="true" fillcolor="#393b7f" stroked="false">
              <v:fill type="solid"/>
              <w10:wrap type="none"/>
            </v:rect>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34464">
              <wp:simplePos x="0" y="0"/>
              <wp:positionH relativeFrom="page">
                <wp:posOffset>0</wp:posOffset>
              </wp:positionH>
              <wp:positionV relativeFrom="page">
                <wp:posOffset>10331996</wp:posOffset>
              </wp:positionV>
              <wp:extent cx="7560309" cy="360045"/>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82016" id="docshape187" filled="true" fillcolor="#393b7f" stroked="false">
              <v:fill type="solid"/>
              <w10:wrap type="none"/>
            </v:rect>
          </w:pict>
        </mc:Fallback>
      </mc:AlternateContent>
    </w:r>
    <w:r>
      <w:rPr/>
      <mc:AlternateContent>
        <mc:Choice Requires="wps">
          <w:drawing>
            <wp:anchor distT="0" distB="0" distL="0" distR="0" allowOverlap="1" layoutInCell="1" locked="0" behindDoc="1" simplePos="0" relativeHeight="484734976">
              <wp:simplePos x="0" y="0"/>
              <wp:positionH relativeFrom="page">
                <wp:posOffset>1921154</wp:posOffset>
              </wp:positionH>
              <wp:positionV relativeFrom="page">
                <wp:posOffset>8476191</wp:posOffset>
              </wp:positionV>
              <wp:extent cx="28575" cy="1270"/>
              <wp:effectExtent l="0" t="0" r="0" b="0"/>
              <wp:wrapNone/>
              <wp:docPr id="232" name="Graphic 232"/>
              <wp:cNvGraphicFramePr>
                <a:graphicFrameLocks/>
              </wp:cNvGraphicFramePr>
              <a:graphic>
                <a:graphicData uri="http://schemas.microsoft.com/office/word/2010/wordprocessingShape">
                  <wps:wsp>
                    <wps:cNvPr id="232" name="Graphic 232"/>
                    <wps:cNvSpPr/>
                    <wps:spPr>
                      <a:xfrm>
                        <a:off x="0" y="0"/>
                        <a:ext cx="28575" cy="1270"/>
                      </a:xfrm>
                      <a:custGeom>
                        <a:avLst/>
                        <a:gdLst/>
                        <a:ahLst/>
                        <a:cxnLst/>
                        <a:rect l="l" t="t" r="r" b="b"/>
                        <a:pathLst>
                          <a:path w="28575" h="0">
                            <a:moveTo>
                              <a:pt x="0" y="0"/>
                            </a:moveTo>
                            <a:lnTo>
                              <a:pt x="28524" y="0"/>
                            </a:lnTo>
                          </a:path>
                        </a:pathLst>
                      </a:custGeom>
                      <a:ln w="7480">
                        <a:solidFill>
                          <a:srgbClr val="0562C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581504" from="151.272003pt,667.416626pt" to="153.518003pt,667.416626pt" stroked="true" strokeweight=".589pt" strokecolor="#0562c1">
              <v:stroke dashstyle="solid"/>
              <w10:wrap type="none"/>
            </v:lin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35488">
              <wp:simplePos x="0" y="0"/>
              <wp:positionH relativeFrom="page">
                <wp:posOffset>0</wp:posOffset>
              </wp:positionH>
              <wp:positionV relativeFrom="page">
                <wp:posOffset>10331996</wp:posOffset>
              </wp:positionV>
              <wp:extent cx="7560309" cy="360045"/>
              <wp:effectExtent l="0" t="0" r="0" b="0"/>
              <wp:wrapNone/>
              <wp:docPr id="233" name="Graphic 233"/>
              <wp:cNvGraphicFramePr>
                <a:graphicFrameLocks/>
              </wp:cNvGraphicFramePr>
              <a:graphic>
                <a:graphicData uri="http://schemas.microsoft.com/office/word/2010/wordprocessingShape">
                  <wps:wsp>
                    <wps:cNvPr id="233" name="Graphic 233"/>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80992" id="docshape188" filled="true" fillcolor="#393b7f" stroked="false">
              <v:fill type="solid"/>
              <w10:wrap type="none"/>
            </v:rect>
          </w:pict>
        </mc:Fallback>
      </mc:AlternateContent>
    </w:r>
    <w:r>
      <w:rPr/>
      <mc:AlternateContent>
        <mc:Choice Requires="wps">
          <w:drawing>
            <wp:anchor distT="0" distB="0" distL="0" distR="0" allowOverlap="1" layoutInCell="1" locked="0" behindDoc="1" simplePos="0" relativeHeight="484736000">
              <wp:simplePos x="0" y="0"/>
              <wp:positionH relativeFrom="page">
                <wp:posOffset>6373607</wp:posOffset>
              </wp:positionH>
              <wp:positionV relativeFrom="page">
                <wp:posOffset>9710631</wp:posOffset>
              </wp:positionV>
              <wp:extent cx="46355" cy="1270"/>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46355" cy="1270"/>
                      </a:xfrm>
                      <a:custGeom>
                        <a:avLst/>
                        <a:gdLst/>
                        <a:ahLst/>
                        <a:cxnLst/>
                        <a:rect l="l" t="t" r="r" b="b"/>
                        <a:pathLst>
                          <a:path w="46355" h="0">
                            <a:moveTo>
                              <a:pt x="0" y="0"/>
                            </a:moveTo>
                            <a:lnTo>
                              <a:pt x="45986" y="0"/>
                            </a:lnTo>
                          </a:path>
                        </a:pathLst>
                      </a:custGeom>
                      <a:ln w="7480">
                        <a:solidFill>
                          <a:srgbClr val="0562C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580480" from="501.858887pt,764.616638pt" to="505.479887pt,764.616638pt" stroked="true" strokeweight=".589pt" strokecolor="#0562c1">
              <v:stroke dashstyle="solid"/>
              <w10:wrap type="none"/>
            </v:lin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39072">
              <wp:simplePos x="0" y="0"/>
              <wp:positionH relativeFrom="page">
                <wp:posOffset>0</wp:posOffset>
              </wp:positionH>
              <wp:positionV relativeFrom="page">
                <wp:posOffset>10331996</wp:posOffset>
              </wp:positionV>
              <wp:extent cx="7560309" cy="360045"/>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77408" id="docshape200" filled="true" fillcolor="#393b7f" stroked="false">
              <v:fill type="solid"/>
              <w10:wrap type="none"/>
            </v:rect>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39584">
              <wp:simplePos x="0" y="0"/>
              <wp:positionH relativeFrom="page">
                <wp:posOffset>0</wp:posOffset>
              </wp:positionH>
              <wp:positionV relativeFrom="page">
                <wp:posOffset>10331996</wp:posOffset>
              </wp:positionV>
              <wp:extent cx="7560309" cy="360045"/>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76896" id="docshape201" filled="true" fillcolor="#393b7f" stroked="false">
              <v:fill type="solid"/>
              <w10:wrap type="none"/>
            </v:rect>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42656">
              <wp:simplePos x="0" y="0"/>
              <wp:positionH relativeFrom="page">
                <wp:posOffset>0</wp:posOffset>
              </wp:positionH>
              <wp:positionV relativeFrom="page">
                <wp:posOffset>10331996</wp:posOffset>
              </wp:positionV>
              <wp:extent cx="7560309" cy="360045"/>
              <wp:effectExtent l="0" t="0" r="0" b="0"/>
              <wp:wrapNone/>
              <wp:docPr id="260" name="Graphic 260"/>
              <wp:cNvGraphicFramePr>
                <a:graphicFrameLocks/>
              </wp:cNvGraphicFramePr>
              <a:graphic>
                <a:graphicData uri="http://schemas.microsoft.com/office/word/2010/wordprocessingShape">
                  <wps:wsp>
                    <wps:cNvPr id="260" name="Graphic 260"/>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73824" id="docshape214" filled="true" fillcolor="#393b7f" stroked="false">
              <v:fill type="solid"/>
              <w10:wrap type="none"/>
            </v:rect>
          </w:pict>
        </mc:Fallback>
      </mc:AlternateContent>
    </w:r>
    <w:r>
      <w:rPr/>
      <mc:AlternateContent>
        <mc:Choice Requires="wps">
          <w:drawing>
            <wp:anchor distT="0" distB="0" distL="0" distR="0" allowOverlap="1" layoutInCell="1" locked="0" behindDoc="1" simplePos="0" relativeHeight="484743168">
              <wp:simplePos x="0" y="0"/>
              <wp:positionH relativeFrom="page">
                <wp:posOffset>707299</wp:posOffset>
              </wp:positionH>
              <wp:positionV relativeFrom="page">
                <wp:posOffset>9873577</wp:posOffset>
              </wp:positionV>
              <wp:extent cx="199390" cy="139700"/>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199390" cy="139700"/>
                      </a:xfrm>
                      <a:prstGeom prst="rect">
                        <a:avLst/>
                      </a:prstGeom>
                    </wps:spPr>
                    <wps:txbx>
                      <w:txbxContent>
                        <w:p>
                          <w:pPr>
                            <w:spacing w:line="203" w:lineRule="exact" w:before="0"/>
                            <w:ind w:left="20" w:right="0" w:firstLine="0"/>
                            <w:jc w:val="left"/>
                            <w:rPr>
                              <w:sz w:val="18"/>
                            </w:rPr>
                          </w:pPr>
                          <w:r>
                            <w:rPr>
                              <w:spacing w:val="-5"/>
                              <w:sz w:val="18"/>
                            </w:rPr>
                            <w:t>248</w:t>
                          </w:r>
                        </w:p>
                      </w:txbxContent>
                    </wps:txbx>
                    <wps:bodyPr wrap="square" lIns="0" tIns="0" rIns="0" bIns="0" rtlCol="0">
                      <a:noAutofit/>
                    </wps:bodyPr>
                  </wps:wsp>
                </a:graphicData>
              </a:graphic>
            </wp:anchor>
          </w:drawing>
        </mc:Choice>
        <mc:Fallback>
          <w:pict>
            <v:shape style="position:absolute;margin-left:55.692902pt;margin-top:777.447021pt;width:15.7pt;height:11pt;mso-position-horizontal-relative:page;mso-position-vertical-relative:page;z-index:-18573312" type="#_x0000_t202" id="docshape215" filled="false" stroked="false">
              <v:textbox inset="0,0,0,0">
                <w:txbxContent>
                  <w:p>
                    <w:pPr>
                      <w:spacing w:line="203" w:lineRule="exact" w:before="0"/>
                      <w:ind w:left="20" w:right="0" w:firstLine="0"/>
                      <w:jc w:val="left"/>
                      <w:rPr>
                        <w:sz w:val="18"/>
                      </w:rPr>
                    </w:pPr>
                    <w:r>
                      <w:rPr>
                        <w:spacing w:val="-5"/>
                        <w:sz w:val="18"/>
                      </w:rPr>
                      <w:t>248</w:t>
                    </w:r>
                  </w:p>
                </w:txbxContent>
              </v:textbox>
              <w10:wrap type="none"/>
            </v:shape>
          </w:pict>
        </mc:Fallback>
      </mc:AlternateContent>
    </w:r>
    <w:r>
      <w:rPr/>
      <mc:AlternateContent>
        <mc:Choice Requires="wps">
          <w:drawing>
            <wp:anchor distT="0" distB="0" distL="0" distR="0" allowOverlap="1" layoutInCell="1" locked="0" behindDoc="1" simplePos="0" relativeHeight="484743680">
              <wp:simplePos x="0" y="0"/>
              <wp:positionH relativeFrom="page">
                <wp:posOffset>1164499</wp:posOffset>
              </wp:positionH>
              <wp:positionV relativeFrom="page">
                <wp:posOffset>9873577</wp:posOffset>
              </wp:positionV>
              <wp:extent cx="4996180" cy="13970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4996180" cy="139700"/>
                      </a:xfrm>
                      <a:prstGeom prst="rect">
                        <a:avLst/>
                      </a:prstGeom>
                    </wps:spPr>
                    <wps:txbx>
                      <w:txbxContent>
                        <w:p>
                          <w:pPr>
                            <w:spacing w:line="203" w:lineRule="exact" w:before="0"/>
                            <w:ind w:left="20" w:right="0" w:firstLine="0"/>
                            <w:jc w:val="left"/>
                            <w:rPr>
                              <w:sz w:val="18"/>
                            </w:rPr>
                          </w:pPr>
                          <w:r>
                            <w:rPr>
                              <w:sz w:val="18"/>
                            </w:rPr>
                            <w:t>Email</w:t>
                          </w:r>
                          <w:r>
                            <w:rPr>
                              <w:spacing w:val="-6"/>
                              <w:sz w:val="18"/>
                            </w:rPr>
                            <w:t> </w:t>
                          </w:r>
                          <w:r>
                            <w:rPr>
                              <w:sz w:val="18"/>
                            </w:rPr>
                            <w:t>correspondence</w:t>
                          </w:r>
                          <w:r>
                            <w:rPr>
                              <w:spacing w:val="-5"/>
                              <w:sz w:val="18"/>
                            </w:rPr>
                            <w:t> </w:t>
                          </w:r>
                          <w:r>
                            <w:rPr>
                              <w:sz w:val="18"/>
                            </w:rPr>
                            <w:t>from</w:t>
                          </w:r>
                          <w:r>
                            <w:rPr>
                              <w:spacing w:val="-5"/>
                              <w:sz w:val="18"/>
                            </w:rPr>
                            <w:t> </w:t>
                          </w:r>
                          <w:r>
                            <w:rPr>
                              <w:sz w:val="18"/>
                            </w:rPr>
                            <w:t>Department</w:t>
                          </w:r>
                          <w:r>
                            <w:rPr>
                              <w:spacing w:val="-5"/>
                              <w:sz w:val="18"/>
                            </w:rPr>
                            <w:t> </w:t>
                          </w:r>
                          <w:r>
                            <w:rPr>
                              <w:sz w:val="18"/>
                            </w:rPr>
                            <w:t>for</w:t>
                          </w:r>
                          <w:r>
                            <w:rPr>
                              <w:spacing w:val="-4"/>
                              <w:sz w:val="18"/>
                            </w:rPr>
                            <w:t> </w:t>
                          </w:r>
                          <w:r>
                            <w:rPr>
                              <w:sz w:val="18"/>
                            </w:rPr>
                            <w:t>Communities</w:t>
                          </w:r>
                          <w:r>
                            <w:rPr>
                              <w:spacing w:val="-6"/>
                              <w:sz w:val="18"/>
                            </w:rPr>
                            <w:t> </w:t>
                          </w:r>
                          <w:r>
                            <w:rPr>
                              <w:sz w:val="18"/>
                            </w:rPr>
                            <w:t>to</w:t>
                          </w:r>
                          <w:r>
                            <w:rPr>
                              <w:spacing w:val="-6"/>
                              <w:sz w:val="18"/>
                            </w:rPr>
                            <w:t> </w:t>
                          </w:r>
                          <w:r>
                            <w:rPr>
                              <w:sz w:val="18"/>
                            </w:rPr>
                            <w:t>NI</w:t>
                          </w:r>
                          <w:r>
                            <w:rPr>
                              <w:spacing w:val="-5"/>
                              <w:sz w:val="18"/>
                            </w:rPr>
                            <w:t> </w:t>
                          </w:r>
                          <w:r>
                            <w:rPr>
                              <w:sz w:val="18"/>
                            </w:rPr>
                            <w:t>Human</w:t>
                          </w:r>
                          <w:r>
                            <w:rPr>
                              <w:spacing w:val="-5"/>
                              <w:sz w:val="18"/>
                            </w:rPr>
                            <w:t> </w:t>
                          </w:r>
                          <w:r>
                            <w:rPr>
                              <w:sz w:val="18"/>
                            </w:rPr>
                            <w:t>Rights</w:t>
                          </w:r>
                          <w:r>
                            <w:rPr>
                              <w:spacing w:val="-6"/>
                              <w:sz w:val="18"/>
                            </w:rPr>
                            <w:t> </w:t>
                          </w:r>
                          <w:r>
                            <w:rPr>
                              <w:sz w:val="18"/>
                            </w:rPr>
                            <w:t>Commission,</w:t>
                          </w:r>
                          <w:r>
                            <w:rPr>
                              <w:spacing w:val="-5"/>
                              <w:sz w:val="18"/>
                            </w:rPr>
                            <w:t> </w:t>
                          </w:r>
                          <w:r>
                            <w:rPr>
                              <w:sz w:val="18"/>
                            </w:rPr>
                            <w:t>25</w:t>
                          </w:r>
                          <w:r>
                            <w:rPr>
                              <w:spacing w:val="-5"/>
                              <w:sz w:val="18"/>
                            </w:rPr>
                            <w:t> </w:t>
                          </w:r>
                          <w:r>
                            <w:rPr>
                              <w:sz w:val="18"/>
                            </w:rPr>
                            <w:t>March</w:t>
                          </w:r>
                          <w:r>
                            <w:rPr>
                              <w:spacing w:val="-5"/>
                              <w:sz w:val="18"/>
                            </w:rPr>
                            <w:t> </w:t>
                          </w:r>
                          <w:r>
                            <w:rPr>
                              <w:spacing w:val="-2"/>
                              <w:sz w:val="18"/>
                            </w:rPr>
                            <w:t>2024.</w:t>
                          </w:r>
                        </w:p>
                      </w:txbxContent>
                    </wps:txbx>
                    <wps:bodyPr wrap="square" lIns="0" tIns="0" rIns="0" bIns="0" rtlCol="0">
                      <a:noAutofit/>
                    </wps:bodyPr>
                  </wps:wsp>
                </a:graphicData>
              </a:graphic>
            </wp:anchor>
          </w:drawing>
        </mc:Choice>
        <mc:Fallback>
          <w:pict>
            <v:shape style="position:absolute;margin-left:91.692902pt;margin-top:777.447021pt;width:393.4pt;height:11pt;mso-position-horizontal-relative:page;mso-position-vertical-relative:page;z-index:-18572800" type="#_x0000_t202" id="docshape216" filled="false" stroked="false">
              <v:textbox inset="0,0,0,0">
                <w:txbxContent>
                  <w:p>
                    <w:pPr>
                      <w:spacing w:line="203" w:lineRule="exact" w:before="0"/>
                      <w:ind w:left="20" w:right="0" w:firstLine="0"/>
                      <w:jc w:val="left"/>
                      <w:rPr>
                        <w:sz w:val="18"/>
                      </w:rPr>
                    </w:pPr>
                    <w:r>
                      <w:rPr>
                        <w:sz w:val="18"/>
                      </w:rPr>
                      <w:t>Email</w:t>
                    </w:r>
                    <w:r>
                      <w:rPr>
                        <w:spacing w:val="-6"/>
                        <w:sz w:val="18"/>
                      </w:rPr>
                      <w:t> </w:t>
                    </w:r>
                    <w:r>
                      <w:rPr>
                        <w:sz w:val="18"/>
                      </w:rPr>
                      <w:t>correspondence</w:t>
                    </w:r>
                    <w:r>
                      <w:rPr>
                        <w:spacing w:val="-5"/>
                        <w:sz w:val="18"/>
                      </w:rPr>
                      <w:t> </w:t>
                    </w:r>
                    <w:r>
                      <w:rPr>
                        <w:sz w:val="18"/>
                      </w:rPr>
                      <w:t>from</w:t>
                    </w:r>
                    <w:r>
                      <w:rPr>
                        <w:spacing w:val="-5"/>
                        <w:sz w:val="18"/>
                      </w:rPr>
                      <w:t> </w:t>
                    </w:r>
                    <w:r>
                      <w:rPr>
                        <w:sz w:val="18"/>
                      </w:rPr>
                      <w:t>Department</w:t>
                    </w:r>
                    <w:r>
                      <w:rPr>
                        <w:spacing w:val="-5"/>
                        <w:sz w:val="18"/>
                      </w:rPr>
                      <w:t> </w:t>
                    </w:r>
                    <w:r>
                      <w:rPr>
                        <w:sz w:val="18"/>
                      </w:rPr>
                      <w:t>for</w:t>
                    </w:r>
                    <w:r>
                      <w:rPr>
                        <w:spacing w:val="-4"/>
                        <w:sz w:val="18"/>
                      </w:rPr>
                      <w:t> </w:t>
                    </w:r>
                    <w:r>
                      <w:rPr>
                        <w:sz w:val="18"/>
                      </w:rPr>
                      <w:t>Communities</w:t>
                    </w:r>
                    <w:r>
                      <w:rPr>
                        <w:spacing w:val="-6"/>
                        <w:sz w:val="18"/>
                      </w:rPr>
                      <w:t> </w:t>
                    </w:r>
                    <w:r>
                      <w:rPr>
                        <w:sz w:val="18"/>
                      </w:rPr>
                      <w:t>to</w:t>
                    </w:r>
                    <w:r>
                      <w:rPr>
                        <w:spacing w:val="-6"/>
                        <w:sz w:val="18"/>
                      </w:rPr>
                      <w:t> </w:t>
                    </w:r>
                    <w:r>
                      <w:rPr>
                        <w:sz w:val="18"/>
                      </w:rPr>
                      <w:t>NI</w:t>
                    </w:r>
                    <w:r>
                      <w:rPr>
                        <w:spacing w:val="-5"/>
                        <w:sz w:val="18"/>
                      </w:rPr>
                      <w:t> </w:t>
                    </w:r>
                    <w:r>
                      <w:rPr>
                        <w:sz w:val="18"/>
                      </w:rPr>
                      <w:t>Human</w:t>
                    </w:r>
                    <w:r>
                      <w:rPr>
                        <w:spacing w:val="-5"/>
                        <w:sz w:val="18"/>
                      </w:rPr>
                      <w:t> </w:t>
                    </w:r>
                    <w:r>
                      <w:rPr>
                        <w:sz w:val="18"/>
                      </w:rPr>
                      <w:t>Rights</w:t>
                    </w:r>
                    <w:r>
                      <w:rPr>
                        <w:spacing w:val="-6"/>
                        <w:sz w:val="18"/>
                      </w:rPr>
                      <w:t> </w:t>
                    </w:r>
                    <w:r>
                      <w:rPr>
                        <w:sz w:val="18"/>
                      </w:rPr>
                      <w:t>Commission,</w:t>
                    </w:r>
                    <w:r>
                      <w:rPr>
                        <w:spacing w:val="-5"/>
                        <w:sz w:val="18"/>
                      </w:rPr>
                      <w:t> </w:t>
                    </w:r>
                    <w:r>
                      <w:rPr>
                        <w:sz w:val="18"/>
                      </w:rPr>
                      <w:t>25</w:t>
                    </w:r>
                    <w:r>
                      <w:rPr>
                        <w:spacing w:val="-5"/>
                        <w:sz w:val="18"/>
                      </w:rPr>
                      <w:t> </w:t>
                    </w:r>
                    <w:r>
                      <w:rPr>
                        <w:sz w:val="18"/>
                      </w:rPr>
                      <w:t>March</w:t>
                    </w:r>
                    <w:r>
                      <w:rPr>
                        <w:spacing w:val="-5"/>
                        <w:sz w:val="18"/>
                      </w:rPr>
                      <w:t> </w:t>
                    </w:r>
                    <w:r>
                      <w:rPr>
                        <w:spacing w:val="-2"/>
                        <w:sz w:val="18"/>
                      </w:rPr>
                      <w:t>2024.</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44192">
              <wp:simplePos x="0" y="0"/>
              <wp:positionH relativeFrom="page">
                <wp:posOffset>0</wp:posOffset>
              </wp:positionH>
              <wp:positionV relativeFrom="page">
                <wp:posOffset>10331996</wp:posOffset>
              </wp:positionV>
              <wp:extent cx="7560309" cy="360045"/>
              <wp:effectExtent l="0" t="0" r="0" b="0"/>
              <wp:wrapNone/>
              <wp:docPr id="263" name="Graphic 263"/>
              <wp:cNvGraphicFramePr>
                <a:graphicFrameLocks/>
              </wp:cNvGraphicFramePr>
              <a:graphic>
                <a:graphicData uri="http://schemas.microsoft.com/office/word/2010/wordprocessingShape">
                  <wps:wsp>
                    <wps:cNvPr id="263" name="Graphic 263"/>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72288" id="docshape217" filled="true" fillcolor="#393b7f" stroked="false">
              <v:fill type="solid"/>
              <w10:wrap type="none"/>
            </v:rect>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47264">
              <wp:simplePos x="0" y="0"/>
              <wp:positionH relativeFrom="page">
                <wp:posOffset>0</wp:posOffset>
              </wp:positionH>
              <wp:positionV relativeFrom="page">
                <wp:posOffset>10331996</wp:posOffset>
              </wp:positionV>
              <wp:extent cx="7560309" cy="360045"/>
              <wp:effectExtent l="0" t="0" r="0" b="0"/>
              <wp:wrapNone/>
              <wp:docPr id="276" name="Graphic 276"/>
              <wp:cNvGraphicFramePr>
                <a:graphicFrameLocks/>
              </wp:cNvGraphicFramePr>
              <a:graphic>
                <a:graphicData uri="http://schemas.microsoft.com/office/word/2010/wordprocessingShape">
                  <wps:wsp>
                    <wps:cNvPr id="276" name="Graphic 276"/>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69216" id="docshape230" filled="true" fillcolor="#393b7f" stroked="false">
              <v:fill type="solid"/>
              <w10:wrap type="none"/>
            </v:rect>
          </w:pict>
        </mc:Fallback>
      </mc:AlternateContent>
    </w:r>
    <w:r>
      <w:rPr/>
      <mc:AlternateContent>
        <mc:Choice Requires="wps">
          <w:drawing>
            <wp:anchor distT="0" distB="0" distL="0" distR="0" allowOverlap="1" layoutInCell="1" locked="0" behindDoc="1" simplePos="0" relativeHeight="484747776">
              <wp:simplePos x="0" y="0"/>
              <wp:positionH relativeFrom="page">
                <wp:posOffset>707299</wp:posOffset>
              </wp:positionH>
              <wp:positionV relativeFrom="page">
                <wp:posOffset>9873577</wp:posOffset>
              </wp:positionV>
              <wp:extent cx="199390" cy="139700"/>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199390" cy="139700"/>
                      </a:xfrm>
                      <a:prstGeom prst="rect">
                        <a:avLst/>
                      </a:prstGeom>
                    </wps:spPr>
                    <wps:txbx>
                      <w:txbxContent>
                        <w:p>
                          <w:pPr>
                            <w:spacing w:line="203" w:lineRule="exact" w:before="0"/>
                            <w:ind w:left="20" w:right="0" w:firstLine="0"/>
                            <w:jc w:val="left"/>
                            <w:rPr>
                              <w:sz w:val="18"/>
                            </w:rPr>
                          </w:pPr>
                          <w:r>
                            <w:rPr>
                              <w:spacing w:val="-5"/>
                              <w:sz w:val="18"/>
                            </w:rPr>
                            <w:t>261</w:t>
                          </w:r>
                        </w:p>
                      </w:txbxContent>
                    </wps:txbx>
                    <wps:bodyPr wrap="square" lIns="0" tIns="0" rIns="0" bIns="0" rtlCol="0">
                      <a:noAutofit/>
                    </wps:bodyPr>
                  </wps:wsp>
                </a:graphicData>
              </a:graphic>
            </wp:anchor>
          </w:drawing>
        </mc:Choice>
        <mc:Fallback>
          <w:pict>
            <v:shape style="position:absolute;margin-left:55.692902pt;margin-top:777.447021pt;width:15.7pt;height:11pt;mso-position-horizontal-relative:page;mso-position-vertical-relative:page;z-index:-18568704" type="#_x0000_t202" id="docshape231" filled="false" stroked="false">
              <v:textbox inset="0,0,0,0">
                <w:txbxContent>
                  <w:p>
                    <w:pPr>
                      <w:spacing w:line="203" w:lineRule="exact" w:before="0"/>
                      <w:ind w:left="20" w:right="0" w:firstLine="0"/>
                      <w:jc w:val="left"/>
                      <w:rPr>
                        <w:sz w:val="18"/>
                      </w:rPr>
                    </w:pPr>
                    <w:r>
                      <w:rPr>
                        <w:spacing w:val="-5"/>
                        <w:sz w:val="18"/>
                      </w:rPr>
                      <w:t>261</w:t>
                    </w:r>
                  </w:p>
                </w:txbxContent>
              </v:textbox>
              <w10:wrap type="none"/>
            </v:shape>
          </w:pict>
        </mc:Fallback>
      </mc:AlternateContent>
    </w:r>
    <w:r>
      <w:rPr/>
      <mc:AlternateContent>
        <mc:Choice Requires="wps">
          <w:drawing>
            <wp:anchor distT="0" distB="0" distL="0" distR="0" allowOverlap="1" layoutInCell="1" locked="0" behindDoc="1" simplePos="0" relativeHeight="484748288">
              <wp:simplePos x="0" y="0"/>
              <wp:positionH relativeFrom="page">
                <wp:posOffset>1164499</wp:posOffset>
              </wp:positionH>
              <wp:positionV relativeFrom="page">
                <wp:posOffset>9873577</wp:posOffset>
              </wp:positionV>
              <wp:extent cx="4996180" cy="13970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4996180" cy="139700"/>
                      </a:xfrm>
                      <a:prstGeom prst="rect">
                        <a:avLst/>
                      </a:prstGeom>
                    </wps:spPr>
                    <wps:txbx>
                      <w:txbxContent>
                        <w:p>
                          <w:pPr>
                            <w:spacing w:line="203" w:lineRule="exact" w:before="0"/>
                            <w:ind w:left="20" w:right="0" w:firstLine="0"/>
                            <w:jc w:val="left"/>
                            <w:rPr>
                              <w:sz w:val="18"/>
                            </w:rPr>
                          </w:pPr>
                          <w:r>
                            <w:rPr>
                              <w:sz w:val="18"/>
                            </w:rPr>
                            <w:t>Email</w:t>
                          </w:r>
                          <w:r>
                            <w:rPr>
                              <w:spacing w:val="-6"/>
                              <w:sz w:val="18"/>
                            </w:rPr>
                            <w:t> </w:t>
                          </w:r>
                          <w:r>
                            <w:rPr>
                              <w:sz w:val="18"/>
                            </w:rPr>
                            <w:t>correspondence</w:t>
                          </w:r>
                          <w:r>
                            <w:rPr>
                              <w:spacing w:val="-5"/>
                              <w:sz w:val="18"/>
                            </w:rPr>
                            <w:t> </w:t>
                          </w:r>
                          <w:r>
                            <w:rPr>
                              <w:sz w:val="18"/>
                            </w:rPr>
                            <w:t>from</w:t>
                          </w:r>
                          <w:r>
                            <w:rPr>
                              <w:spacing w:val="-5"/>
                              <w:sz w:val="18"/>
                            </w:rPr>
                            <w:t> </w:t>
                          </w:r>
                          <w:r>
                            <w:rPr>
                              <w:sz w:val="18"/>
                            </w:rPr>
                            <w:t>Department</w:t>
                          </w:r>
                          <w:r>
                            <w:rPr>
                              <w:spacing w:val="-5"/>
                              <w:sz w:val="18"/>
                            </w:rPr>
                            <w:t> </w:t>
                          </w:r>
                          <w:r>
                            <w:rPr>
                              <w:sz w:val="18"/>
                            </w:rPr>
                            <w:t>for</w:t>
                          </w:r>
                          <w:r>
                            <w:rPr>
                              <w:spacing w:val="-4"/>
                              <w:sz w:val="18"/>
                            </w:rPr>
                            <w:t> </w:t>
                          </w:r>
                          <w:r>
                            <w:rPr>
                              <w:sz w:val="18"/>
                            </w:rPr>
                            <w:t>Communities</w:t>
                          </w:r>
                          <w:r>
                            <w:rPr>
                              <w:spacing w:val="-6"/>
                              <w:sz w:val="18"/>
                            </w:rPr>
                            <w:t> </w:t>
                          </w:r>
                          <w:r>
                            <w:rPr>
                              <w:sz w:val="18"/>
                            </w:rPr>
                            <w:t>to</w:t>
                          </w:r>
                          <w:r>
                            <w:rPr>
                              <w:spacing w:val="-6"/>
                              <w:sz w:val="18"/>
                            </w:rPr>
                            <w:t> </w:t>
                          </w:r>
                          <w:r>
                            <w:rPr>
                              <w:sz w:val="18"/>
                            </w:rPr>
                            <w:t>NI</w:t>
                          </w:r>
                          <w:r>
                            <w:rPr>
                              <w:spacing w:val="-5"/>
                              <w:sz w:val="18"/>
                            </w:rPr>
                            <w:t> </w:t>
                          </w:r>
                          <w:r>
                            <w:rPr>
                              <w:sz w:val="18"/>
                            </w:rPr>
                            <w:t>Human</w:t>
                          </w:r>
                          <w:r>
                            <w:rPr>
                              <w:spacing w:val="-5"/>
                              <w:sz w:val="18"/>
                            </w:rPr>
                            <w:t> </w:t>
                          </w:r>
                          <w:r>
                            <w:rPr>
                              <w:sz w:val="18"/>
                            </w:rPr>
                            <w:t>Rights</w:t>
                          </w:r>
                          <w:r>
                            <w:rPr>
                              <w:spacing w:val="-6"/>
                              <w:sz w:val="18"/>
                            </w:rPr>
                            <w:t> </w:t>
                          </w:r>
                          <w:r>
                            <w:rPr>
                              <w:sz w:val="18"/>
                            </w:rPr>
                            <w:t>Commission,</w:t>
                          </w:r>
                          <w:r>
                            <w:rPr>
                              <w:spacing w:val="-5"/>
                              <w:sz w:val="18"/>
                            </w:rPr>
                            <w:t> </w:t>
                          </w:r>
                          <w:r>
                            <w:rPr>
                              <w:sz w:val="18"/>
                            </w:rPr>
                            <w:t>25</w:t>
                          </w:r>
                          <w:r>
                            <w:rPr>
                              <w:spacing w:val="-5"/>
                              <w:sz w:val="18"/>
                            </w:rPr>
                            <w:t> </w:t>
                          </w:r>
                          <w:r>
                            <w:rPr>
                              <w:sz w:val="18"/>
                            </w:rPr>
                            <w:t>March</w:t>
                          </w:r>
                          <w:r>
                            <w:rPr>
                              <w:spacing w:val="-5"/>
                              <w:sz w:val="18"/>
                            </w:rPr>
                            <w:t> </w:t>
                          </w:r>
                          <w:r>
                            <w:rPr>
                              <w:spacing w:val="-2"/>
                              <w:sz w:val="18"/>
                            </w:rPr>
                            <w:t>2024.</w:t>
                          </w:r>
                        </w:p>
                      </w:txbxContent>
                    </wps:txbx>
                    <wps:bodyPr wrap="square" lIns="0" tIns="0" rIns="0" bIns="0" rtlCol="0">
                      <a:noAutofit/>
                    </wps:bodyPr>
                  </wps:wsp>
                </a:graphicData>
              </a:graphic>
            </wp:anchor>
          </w:drawing>
        </mc:Choice>
        <mc:Fallback>
          <w:pict>
            <v:shape style="position:absolute;margin-left:91.692902pt;margin-top:777.447021pt;width:393.4pt;height:11pt;mso-position-horizontal-relative:page;mso-position-vertical-relative:page;z-index:-18568192" type="#_x0000_t202" id="docshape232" filled="false" stroked="false">
              <v:textbox inset="0,0,0,0">
                <w:txbxContent>
                  <w:p>
                    <w:pPr>
                      <w:spacing w:line="203" w:lineRule="exact" w:before="0"/>
                      <w:ind w:left="20" w:right="0" w:firstLine="0"/>
                      <w:jc w:val="left"/>
                      <w:rPr>
                        <w:sz w:val="18"/>
                      </w:rPr>
                    </w:pPr>
                    <w:r>
                      <w:rPr>
                        <w:sz w:val="18"/>
                      </w:rPr>
                      <w:t>Email</w:t>
                    </w:r>
                    <w:r>
                      <w:rPr>
                        <w:spacing w:val="-6"/>
                        <w:sz w:val="18"/>
                      </w:rPr>
                      <w:t> </w:t>
                    </w:r>
                    <w:r>
                      <w:rPr>
                        <w:sz w:val="18"/>
                      </w:rPr>
                      <w:t>correspondence</w:t>
                    </w:r>
                    <w:r>
                      <w:rPr>
                        <w:spacing w:val="-5"/>
                        <w:sz w:val="18"/>
                      </w:rPr>
                      <w:t> </w:t>
                    </w:r>
                    <w:r>
                      <w:rPr>
                        <w:sz w:val="18"/>
                      </w:rPr>
                      <w:t>from</w:t>
                    </w:r>
                    <w:r>
                      <w:rPr>
                        <w:spacing w:val="-5"/>
                        <w:sz w:val="18"/>
                      </w:rPr>
                      <w:t> </w:t>
                    </w:r>
                    <w:r>
                      <w:rPr>
                        <w:sz w:val="18"/>
                      </w:rPr>
                      <w:t>Department</w:t>
                    </w:r>
                    <w:r>
                      <w:rPr>
                        <w:spacing w:val="-5"/>
                        <w:sz w:val="18"/>
                      </w:rPr>
                      <w:t> </w:t>
                    </w:r>
                    <w:r>
                      <w:rPr>
                        <w:sz w:val="18"/>
                      </w:rPr>
                      <w:t>for</w:t>
                    </w:r>
                    <w:r>
                      <w:rPr>
                        <w:spacing w:val="-4"/>
                        <w:sz w:val="18"/>
                      </w:rPr>
                      <w:t> </w:t>
                    </w:r>
                    <w:r>
                      <w:rPr>
                        <w:sz w:val="18"/>
                      </w:rPr>
                      <w:t>Communities</w:t>
                    </w:r>
                    <w:r>
                      <w:rPr>
                        <w:spacing w:val="-6"/>
                        <w:sz w:val="18"/>
                      </w:rPr>
                      <w:t> </w:t>
                    </w:r>
                    <w:r>
                      <w:rPr>
                        <w:sz w:val="18"/>
                      </w:rPr>
                      <w:t>to</w:t>
                    </w:r>
                    <w:r>
                      <w:rPr>
                        <w:spacing w:val="-6"/>
                        <w:sz w:val="18"/>
                      </w:rPr>
                      <w:t> </w:t>
                    </w:r>
                    <w:r>
                      <w:rPr>
                        <w:sz w:val="18"/>
                      </w:rPr>
                      <w:t>NI</w:t>
                    </w:r>
                    <w:r>
                      <w:rPr>
                        <w:spacing w:val="-5"/>
                        <w:sz w:val="18"/>
                      </w:rPr>
                      <w:t> </w:t>
                    </w:r>
                    <w:r>
                      <w:rPr>
                        <w:sz w:val="18"/>
                      </w:rPr>
                      <w:t>Human</w:t>
                    </w:r>
                    <w:r>
                      <w:rPr>
                        <w:spacing w:val="-5"/>
                        <w:sz w:val="18"/>
                      </w:rPr>
                      <w:t> </w:t>
                    </w:r>
                    <w:r>
                      <w:rPr>
                        <w:sz w:val="18"/>
                      </w:rPr>
                      <w:t>Rights</w:t>
                    </w:r>
                    <w:r>
                      <w:rPr>
                        <w:spacing w:val="-6"/>
                        <w:sz w:val="18"/>
                      </w:rPr>
                      <w:t> </w:t>
                    </w:r>
                    <w:r>
                      <w:rPr>
                        <w:sz w:val="18"/>
                      </w:rPr>
                      <w:t>Commission,</w:t>
                    </w:r>
                    <w:r>
                      <w:rPr>
                        <w:spacing w:val="-5"/>
                        <w:sz w:val="18"/>
                      </w:rPr>
                      <w:t> </w:t>
                    </w:r>
                    <w:r>
                      <w:rPr>
                        <w:sz w:val="18"/>
                      </w:rPr>
                      <w:t>25</w:t>
                    </w:r>
                    <w:r>
                      <w:rPr>
                        <w:spacing w:val="-5"/>
                        <w:sz w:val="18"/>
                      </w:rPr>
                      <w:t> </w:t>
                    </w:r>
                    <w:r>
                      <w:rPr>
                        <w:sz w:val="18"/>
                      </w:rPr>
                      <w:t>March</w:t>
                    </w:r>
                    <w:r>
                      <w:rPr>
                        <w:spacing w:val="-5"/>
                        <w:sz w:val="18"/>
                      </w:rPr>
                      <w:t> </w:t>
                    </w:r>
                    <w:r>
                      <w:rPr>
                        <w:spacing w:val="-2"/>
                        <w:sz w:val="18"/>
                      </w:rPr>
                      <w:t>2024.</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48800">
              <wp:simplePos x="0" y="0"/>
              <wp:positionH relativeFrom="page">
                <wp:posOffset>0</wp:posOffset>
              </wp:positionH>
              <wp:positionV relativeFrom="page">
                <wp:posOffset>10331996</wp:posOffset>
              </wp:positionV>
              <wp:extent cx="7560309" cy="360045"/>
              <wp:effectExtent l="0" t="0" r="0" b="0"/>
              <wp:wrapNone/>
              <wp:docPr id="279" name="Graphic 279"/>
              <wp:cNvGraphicFramePr>
                <a:graphicFrameLocks/>
              </wp:cNvGraphicFramePr>
              <a:graphic>
                <a:graphicData uri="http://schemas.microsoft.com/office/word/2010/wordprocessingShape">
                  <wps:wsp>
                    <wps:cNvPr id="279" name="Graphic 279"/>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67680" id="docshape233" filled="true" fillcolor="#393b7f" stroked="false">
              <v:fill type="solid"/>
              <w10:wrap type="none"/>
            </v:rect>
          </w:pict>
        </mc:Fallback>
      </mc:AlternateContent>
    </w:r>
    <w:r>
      <w:rPr/>
      <mc:AlternateContent>
        <mc:Choice Requires="wps">
          <w:drawing>
            <wp:anchor distT="0" distB="0" distL="0" distR="0" allowOverlap="1" layoutInCell="1" locked="0" behindDoc="1" simplePos="0" relativeHeight="484749312">
              <wp:simplePos x="0" y="0"/>
              <wp:positionH relativeFrom="page">
                <wp:posOffset>2347882</wp:posOffset>
              </wp:positionH>
              <wp:positionV relativeFrom="page">
                <wp:posOffset>9024823</wp:posOffset>
              </wp:positionV>
              <wp:extent cx="28575" cy="1270"/>
              <wp:effectExtent l="0" t="0" r="0" b="0"/>
              <wp:wrapNone/>
              <wp:docPr id="280" name="Graphic 280"/>
              <wp:cNvGraphicFramePr>
                <a:graphicFrameLocks/>
              </wp:cNvGraphicFramePr>
              <a:graphic>
                <a:graphicData uri="http://schemas.microsoft.com/office/word/2010/wordprocessingShape">
                  <wps:wsp>
                    <wps:cNvPr id="280" name="Graphic 280"/>
                    <wps:cNvSpPr/>
                    <wps:spPr>
                      <a:xfrm>
                        <a:off x="0" y="0"/>
                        <a:ext cx="28575" cy="1270"/>
                      </a:xfrm>
                      <a:custGeom>
                        <a:avLst/>
                        <a:gdLst/>
                        <a:ahLst/>
                        <a:cxnLst/>
                        <a:rect l="l" t="t" r="r" b="b"/>
                        <a:pathLst>
                          <a:path w="28575" h="0">
                            <a:moveTo>
                              <a:pt x="0" y="0"/>
                            </a:moveTo>
                            <a:lnTo>
                              <a:pt x="28524" y="0"/>
                            </a:lnTo>
                          </a:path>
                        </a:pathLst>
                      </a:custGeom>
                      <a:ln w="7480">
                        <a:solidFill>
                          <a:srgbClr val="0562C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567168" from="184.872604pt,710.616028pt" to="187.118604pt,710.616028pt" stroked="true" strokeweight=".589pt" strokecolor="#0562c1">
              <v:stroke dashstyle="solid"/>
              <w10:wrap type="none"/>
            </v:lin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16032">
              <wp:simplePos x="0" y="0"/>
              <wp:positionH relativeFrom="page">
                <wp:posOffset>0</wp:posOffset>
              </wp:positionH>
              <wp:positionV relativeFrom="page">
                <wp:posOffset>10331996</wp:posOffset>
              </wp:positionV>
              <wp:extent cx="7560309" cy="360045"/>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600448" id="docshape69" filled="true" fillcolor="#393b7f" stroked="false">
              <v:fill type="solid"/>
              <w10:wrap type="none"/>
            </v:rect>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52384">
              <wp:simplePos x="0" y="0"/>
              <wp:positionH relativeFrom="page">
                <wp:posOffset>0</wp:posOffset>
              </wp:positionH>
              <wp:positionV relativeFrom="page">
                <wp:posOffset>10331996</wp:posOffset>
              </wp:positionV>
              <wp:extent cx="7560309" cy="360045"/>
              <wp:effectExtent l="0" t="0" r="0" b="0"/>
              <wp:wrapNone/>
              <wp:docPr id="295" name="Graphic 295"/>
              <wp:cNvGraphicFramePr>
                <a:graphicFrameLocks/>
              </wp:cNvGraphicFramePr>
              <a:graphic>
                <a:graphicData uri="http://schemas.microsoft.com/office/word/2010/wordprocessingShape">
                  <wps:wsp>
                    <wps:cNvPr id="295" name="Graphic 295"/>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64096" id="docshape247" filled="true" fillcolor="#393b7f" stroked="false">
              <v:fill type="solid"/>
              <w10:wrap type="none"/>
            </v:rect>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52896">
              <wp:simplePos x="0" y="0"/>
              <wp:positionH relativeFrom="page">
                <wp:posOffset>0</wp:posOffset>
              </wp:positionH>
              <wp:positionV relativeFrom="page">
                <wp:posOffset>10331996</wp:posOffset>
              </wp:positionV>
              <wp:extent cx="7560309" cy="360045"/>
              <wp:effectExtent l="0" t="0" r="0" b="0"/>
              <wp:wrapNone/>
              <wp:docPr id="296" name="Graphic 296"/>
              <wp:cNvGraphicFramePr>
                <a:graphicFrameLocks/>
              </wp:cNvGraphicFramePr>
              <a:graphic>
                <a:graphicData uri="http://schemas.microsoft.com/office/word/2010/wordprocessingShape">
                  <wps:wsp>
                    <wps:cNvPr id="296" name="Graphic 296"/>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63584" id="docshape248" filled="true" fillcolor="#393b7f" stroked="false">
              <v:fill type="solid"/>
              <w10:wrap type="none"/>
            </v:rect>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55968">
              <wp:simplePos x="0" y="0"/>
              <wp:positionH relativeFrom="page">
                <wp:posOffset>0</wp:posOffset>
              </wp:positionH>
              <wp:positionV relativeFrom="page">
                <wp:posOffset>10331996</wp:posOffset>
              </wp:positionV>
              <wp:extent cx="7560309" cy="360045"/>
              <wp:effectExtent l="0" t="0" r="0" b="0"/>
              <wp:wrapNone/>
              <wp:docPr id="308" name="Graphic 308"/>
              <wp:cNvGraphicFramePr>
                <a:graphicFrameLocks/>
              </wp:cNvGraphicFramePr>
              <a:graphic>
                <a:graphicData uri="http://schemas.microsoft.com/office/word/2010/wordprocessingShape">
                  <wps:wsp>
                    <wps:cNvPr id="308" name="Graphic 308"/>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60512" id="docshape260" filled="true" fillcolor="#393b7f" stroked="false">
              <v:fill type="solid"/>
              <w10:wrap type="none"/>
            </v:rect>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56480">
              <wp:simplePos x="0" y="0"/>
              <wp:positionH relativeFrom="page">
                <wp:posOffset>0</wp:posOffset>
              </wp:positionH>
              <wp:positionV relativeFrom="page">
                <wp:posOffset>10331996</wp:posOffset>
              </wp:positionV>
              <wp:extent cx="7560309" cy="360045"/>
              <wp:effectExtent l="0" t="0" r="0" b="0"/>
              <wp:wrapNone/>
              <wp:docPr id="309" name="Graphic 309"/>
              <wp:cNvGraphicFramePr>
                <a:graphicFrameLocks/>
              </wp:cNvGraphicFramePr>
              <a:graphic>
                <a:graphicData uri="http://schemas.microsoft.com/office/word/2010/wordprocessingShape">
                  <wps:wsp>
                    <wps:cNvPr id="309" name="Graphic 309"/>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60000" id="docshape261" filled="true" fillcolor="#393b7f" stroked="false">
              <v:fill type="solid"/>
              <w10:wrap type="none"/>
            </v:rect>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59552">
              <wp:simplePos x="0" y="0"/>
              <wp:positionH relativeFrom="page">
                <wp:posOffset>0</wp:posOffset>
              </wp:positionH>
              <wp:positionV relativeFrom="page">
                <wp:posOffset>10331996</wp:posOffset>
              </wp:positionV>
              <wp:extent cx="7560309" cy="360045"/>
              <wp:effectExtent l="0" t="0" r="0" b="0"/>
              <wp:wrapNone/>
              <wp:docPr id="330" name="Graphic 330"/>
              <wp:cNvGraphicFramePr>
                <a:graphicFrameLocks/>
              </wp:cNvGraphicFramePr>
              <a:graphic>
                <a:graphicData uri="http://schemas.microsoft.com/office/word/2010/wordprocessingShape">
                  <wps:wsp>
                    <wps:cNvPr id="330" name="Graphic 330"/>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56928" id="docshape282" filled="true" fillcolor="#393b7f" stroked="false">
              <v:fill type="solid"/>
              <w10:wrap type="none"/>
            </v:rect>
          </w:pict>
        </mc:Fallback>
      </mc:AlternateContent>
    </w:r>
    <w:r>
      <w:rPr/>
      <mc:AlternateContent>
        <mc:Choice Requires="wps">
          <w:drawing>
            <wp:anchor distT="0" distB="0" distL="0" distR="0" allowOverlap="1" layoutInCell="1" locked="0" behindDoc="1" simplePos="0" relativeHeight="484760064">
              <wp:simplePos x="0" y="0"/>
              <wp:positionH relativeFrom="page">
                <wp:posOffset>3166957</wp:posOffset>
              </wp:positionH>
              <wp:positionV relativeFrom="page">
                <wp:posOffset>9710627</wp:posOffset>
              </wp:positionV>
              <wp:extent cx="29209" cy="1270"/>
              <wp:effectExtent l="0" t="0" r="0" b="0"/>
              <wp:wrapNone/>
              <wp:docPr id="331" name="Graphic 331"/>
              <wp:cNvGraphicFramePr>
                <a:graphicFrameLocks/>
              </wp:cNvGraphicFramePr>
              <a:graphic>
                <a:graphicData uri="http://schemas.microsoft.com/office/word/2010/wordprocessingShape">
                  <wps:wsp>
                    <wps:cNvPr id="331" name="Graphic 331"/>
                    <wps:cNvSpPr/>
                    <wps:spPr>
                      <a:xfrm>
                        <a:off x="0" y="0"/>
                        <a:ext cx="29209" cy="1270"/>
                      </a:xfrm>
                      <a:custGeom>
                        <a:avLst/>
                        <a:gdLst/>
                        <a:ahLst/>
                        <a:cxnLst/>
                        <a:rect l="l" t="t" r="r" b="b"/>
                        <a:pathLst>
                          <a:path w="29209" h="0">
                            <a:moveTo>
                              <a:pt x="0" y="0"/>
                            </a:moveTo>
                            <a:lnTo>
                              <a:pt x="28854" y="0"/>
                            </a:lnTo>
                          </a:path>
                        </a:pathLst>
                      </a:custGeom>
                      <a:ln w="7480">
                        <a:solidFill>
                          <a:srgbClr val="0562C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556416" from="249.366699pt,764.616333pt" to="251.638699pt,764.616333pt" stroked="true" strokeweight=".589pt" strokecolor="#0562c1">
              <v:stroke dashstyle="solid"/>
              <w10:wrap type="none"/>
            </v:lin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60576">
              <wp:simplePos x="0" y="0"/>
              <wp:positionH relativeFrom="page">
                <wp:posOffset>0</wp:posOffset>
              </wp:positionH>
              <wp:positionV relativeFrom="page">
                <wp:posOffset>10331996</wp:posOffset>
              </wp:positionV>
              <wp:extent cx="7560309" cy="360045"/>
              <wp:effectExtent l="0" t="0" r="0" b="0"/>
              <wp:wrapNone/>
              <wp:docPr id="332" name="Graphic 332"/>
              <wp:cNvGraphicFramePr>
                <a:graphicFrameLocks/>
              </wp:cNvGraphicFramePr>
              <a:graphic>
                <a:graphicData uri="http://schemas.microsoft.com/office/word/2010/wordprocessingShape">
                  <wps:wsp>
                    <wps:cNvPr id="332" name="Graphic 332"/>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55904" id="docshape283" filled="true" fillcolor="#393b7f" stroked="false">
              <v:fill type="solid"/>
              <w10:wrap type="none"/>
            </v:rect>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63648">
              <wp:simplePos x="0" y="0"/>
              <wp:positionH relativeFrom="page">
                <wp:posOffset>0</wp:posOffset>
              </wp:positionH>
              <wp:positionV relativeFrom="page">
                <wp:posOffset>10331996</wp:posOffset>
              </wp:positionV>
              <wp:extent cx="7560309" cy="360045"/>
              <wp:effectExtent l="0" t="0" r="0" b="0"/>
              <wp:wrapNone/>
              <wp:docPr id="347" name="Graphic 347"/>
              <wp:cNvGraphicFramePr>
                <a:graphicFrameLocks/>
              </wp:cNvGraphicFramePr>
              <a:graphic>
                <a:graphicData uri="http://schemas.microsoft.com/office/word/2010/wordprocessingShape">
                  <wps:wsp>
                    <wps:cNvPr id="347" name="Graphic 347"/>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52832" id="docshape297" filled="true" fillcolor="#393b7f" stroked="false">
              <v:fill type="solid"/>
              <w10:wrap type="none"/>
            </v:rect>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64160">
              <wp:simplePos x="0" y="0"/>
              <wp:positionH relativeFrom="page">
                <wp:posOffset>0</wp:posOffset>
              </wp:positionH>
              <wp:positionV relativeFrom="page">
                <wp:posOffset>10331996</wp:posOffset>
              </wp:positionV>
              <wp:extent cx="7560309" cy="360045"/>
              <wp:effectExtent l="0" t="0" r="0" b="0"/>
              <wp:wrapNone/>
              <wp:docPr id="348" name="Graphic 348"/>
              <wp:cNvGraphicFramePr>
                <a:graphicFrameLocks/>
              </wp:cNvGraphicFramePr>
              <a:graphic>
                <a:graphicData uri="http://schemas.microsoft.com/office/word/2010/wordprocessingShape">
                  <wps:wsp>
                    <wps:cNvPr id="348" name="Graphic 348"/>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52320" id="docshape298" filled="true" fillcolor="#393b7f" stroked="false">
              <v:fill type="solid"/>
              <w10:wrap type="none"/>
            </v:rect>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67232">
              <wp:simplePos x="0" y="0"/>
              <wp:positionH relativeFrom="page">
                <wp:posOffset>0</wp:posOffset>
              </wp:positionH>
              <wp:positionV relativeFrom="page">
                <wp:posOffset>10331996</wp:posOffset>
              </wp:positionV>
              <wp:extent cx="7560309" cy="360045"/>
              <wp:effectExtent l="0" t="0" r="0" b="0"/>
              <wp:wrapNone/>
              <wp:docPr id="376" name="Graphic 376"/>
              <wp:cNvGraphicFramePr>
                <a:graphicFrameLocks/>
              </wp:cNvGraphicFramePr>
              <a:graphic>
                <a:graphicData uri="http://schemas.microsoft.com/office/word/2010/wordprocessingShape">
                  <wps:wsp>
                    <wps:cNvPr id="376" name="Graphic 376"/>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49248" id="docshape326" filled="true" fillcolor="#393b7f" stroked="false">
              <v:fill type="solid"/>
              <w10:wrap type="none"/>
            </v:rect>
          </w:pict>
        </mc:Fallback>
      </mc:AlternateContent>
    </w:r>
    <w:r>
      <w:rPr/>
      <mc:AlternateContent>
        <mc:Choice Requires="wps">
          <w:drawing>
            <wp:anchor distT="0" distB="0" distL="0" distR="0" allowOverlap="1" layoutInCell="1" locked="0" behindDoc="1" simplePos="0" relativeHeight="484767744">
              <wp:simplePos x="0" y="0"/>
              <wp:positionH relativeFrom="page">
                <wp:posOffset>3883564</wp:posOffset>
              </wp:positionH>
              <wp:positionV relativeFrom="page">
                <wp:posOffset>9161991</wp:posOffset>
              </wp:positionV>
              <wp:extent cx="28575" cy="1270"/>
              <wp:effectExtent l="0" t="0" r="0" b="0"/>
              <wp:wrapNone/>
              <wp:docPr id="377" name="Graphic 377"/>
              <wp:cNvGraphicFramePr>
                <a:graphicFrameLocks/>
              </wp:cNvGraphicFramePr>
              <a:graphic>
                <a:graphicData uri="http://schemas.microsoft.com/office/word/2010/wordprocessingShape">
                  <wps:wsp>
                    <wps:cNvPr id="377" name="Graphic 377"/>
                    <wps:cNvSpPr/>
                    <wps:spPr>
                      <a:xfrm>
                        <a:off x="0" y="0"/>
                        <a:ext cx="28575" cy="1270"/>
                      </a:xfrm>
                      <a:custGeom>
                        <a:avLst/>
                        <a:gdLst/>
                        <a:ahLst/>
                        <a:cxnLst/>
                        <a:rect l="l" t="t" r="r" b="b"/>
                        <a:pathLst>
                          <a:path w="28575" h="0">
                            <a:moveTo>
                              <a:pt x="0" y="0"/>
                            </a:moveTo>
                            <a:lnTo>
                              <a:pt x="28524" y="0"/>
                            </a:lnTo>
                          </a:path>
                        </a:pathLst>
                      </a:custGeom>
                      <a:ln w="7480">
                        <a:solidFill>
                          <a:srgbClr val="0562C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548736" from="305.792511pt,721.416626pt" to="308.038511pt,721.416626pt" stroked="true" strokeweight=".589pt" strokecolor="#0562c1">
              <v:stroke dashstyle="solid"/>
              <w10:wrap type="none"/>
            </v:lin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68256">
              <wp:simplePos x="0" y="0"/>
              <wp:positionH relativeFrom="page">
                <wp:posOffset>0</wp:posOffset>
              </wp:positionH>
              <wp:positionV relativeFrom="page">
                <wp:posOffset>10331996</wp:posOffset>
              </wp:positionV>
              <wp:extent cx="7560309" cy="360045"/>
              <wp:effectExtent l="0" t="0" r="0" b="0"/>
              <wp:wrapNone/>
              <wp:docPr id="378" name="Graphic 378"/>
              <wp:cNvGraphicFramePr>
                <a:graphicFrameLocks/>
              </wp:cNvGraphicFramePr>
              <a:graphic>
                <a:graphicData uri="http://schemas.microsoft.com/office/word/2010/wordprocessingShape">
                  <wps:wsp>
                    <wps:cNvPr id="378" name="Graphic 378"/>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48224" id="docshape327" filled="true" fillcolor="#393b7f" stroked="false">
              <v:fill type="solid"/>
              <w10:wrap type="none"/>
            </v:rect>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16544">
              <wp:simplePos x="0" y="0"/>
              <wp:positionH relativeFrom="page">
                <wp:posOffset>0</wp:posOffset>
              </wp:positionH>
              <wp:positionV relativeFrom="page">
                <wp:posOffset>10331996</wp:posOffset>
              </wp:positionV>
              <wp:extent cx="7560309" cy="360045"/>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99936" id="docshape70" filled="true" fillcolor="#393b7f" stroked="false">
              <v:fill type="solid"/>
              <w10:wrap type="none"/>
            </v:rect>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71328">
              <wp:simplePos x="0" y="0"/>
              <wp:positionH relativeFrom="page">
                <wp:posOffset>0</wp:posOffset>
              </wp:positionH>
              <wp:positionV relativeFrom="page">
                <wp:posOffset>10331996</wp:posOffset>
              </wp:positionV>
              <wp:extent cx="7560309" cy="360045"/>
              <wp:effectExtent l="0" t="0" r="0" b="0"/>
              <wp:wrapNone/>
              <wp:docPr id="391" name="Graphic 391"/>
              <wp:cNvGraphicFramePr>
                <a:graphicFrameLocks/>
              </wp:cNvGraphicFramePr>
              <a:graphic>
                <a:graphicData uri="http://schemas.microsoft.com/office/word/2010/wordprocessingShape">
                  <wps:wsp>
                    <wps:cNvPr id="391" name="Graphic 391"/>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45152" id="docshape340" filled="true" fillcolor="#393b7f" stroked="false">
              <v:fill type="solid"/>
              <w10:wrap type="none"/>
            </v:rect>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71840">
              <wp:simplePos x="0" y="0"/>
              <wp:positionH relativeFrom="page">
                <wp:posOffset>0</wp:posOffset>
              </wp:positionH>
              <wp:positionV relativeFrom="page">
                <wp:posOffset>10331996</wp:posOffset>
              </wp:positionV>
              <wp:extent cx="7560309" cy="360045"/>
              <wp:effectExtent l="0" t="0" r="0" b="0"/>
              <wp:wrapNone/>
              <wp:docPr id="392" name="Graphic 392"/>
              <wp:cNvGraphicFramePr>
                <a:graphicFrameLocks/>
              </wp:cNvGraphicFramePr>
              <a:graphic>
                <a:graphicData uri="http://schemas.microsoft.com/office/word/2010/wordprocessingShape">
                  <wps:wsp>
                    <wps:cNvPr id="392" name="Graphic 392"/>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44640" id="docshape341" filled="true" fillcolor="#393b7f" stroked="false">
              <v:fill type="solid"/>
              <w10:wrap type="none"/>
            </v:rect>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74912">
              <wp:simplePos x="0" y="0"/>
              <wp:positionH relativeFrom="page">
                <wp:posOffset>0</wp:posOffset>
              </wp:positionH>
              <wp:positionV relativeFrom="page">
                <wp:posOffset>10331996</wp:posOffset>
              </wp:positionV>
              <wp:extent cx="7560309" cy="360045"/>
              <wp:effectExtent l="0" t="0" r="0" b="0"/>
              <wp:wrapNone/>
              <wp:docPr id="415" name="Graphic 415"/>
              <wp:cNvGraphicFramePr>
                <a:graphicFrameLocks/>
              </wp:cNvGraphicFramePr>
              <a:graphic>
                <a:graphicData uri="http://schemas.microsoft.com/office/word/2010/wordprocessingShape">
                  <wps:wsp>
                    <wps:cNvPr id="415" name="Graphic 415"/>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41568" id="docshape364" filled="true" fillcolor="#393b7f" stroked="false">
              <v:fill type="solid"/>
              <w10:wrap type="none"/>
            </v:rect>
          </w:pict>
        </mc:Fallback>
      </mc:AlternateContent>
    </w:r>
    <w:r>
      <w:rPr/>
      <mc:AlternateContent>
        <mc:Choice Requires="wps">
          <w:drawing>
            <wp:anchor distT="0" distB="0" distL="0" distR="0" allowOverlap="1" layoutInCell="1" locked="0" behindDoc="1" simplePos="0" relativeHeight="484775424">
              <wp:simplePos x="0" y="0"/>
              <wp:positionH relativeFrom="page">
                <wp:posOffset>707299</wp:posOffset>
              </wp:positionH>
              <wp:positionV relativeFrom="page">
                <wp:posOffset>9873578</wp:posOffset>
              </wp:positionV>
              <wp:extent cx="199390" cy="139700"/>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199390" cy="139700"/>
                      </a:xfrm>
                      <a:prstGeom prst="rect">
                        <a:avLst/>
                      </a:prstGeom>
                    </wps:spPr>
                    <wps:txbx>
                      <w:txbxContent>
                        <w:p>
                          <w:pPr>
                            <w:spacing w:line="203" w:lineRule="exact" w:before="0"/>
                            <w:ind w:left="20" w:right="0" w:firstLine="0"/>
                            <w:jc w:val="left"/>
                            <w:rPr>
                              <w:sz w:val="18"/>
                            </w:rPr>
                          </w:pPr>
                          <w:r>
                            <w:rPr>
                              <w:spacing w:val="-5"/>
                              <w:sz w:val="18"/>
                            </w:rPr>
                            <w:t>528</w:t>
                          </w:r>
                        </w:p>
                      </w:txbxContent>
                    </wps:txbx>
                    <wps:bodyPr wrap="square" lIns="0" tIns="0" rIns="0" bIns="0" rtlCol="0">
                      <a:noAutofit/>
                    </wps:bodyPr>
                  </wps:wsp>
                </a:graphicData>
              </a:graphic>
            </wp:anchor>
          </w:drawing>
        </mc:Choice>
        <mc:Fallback>
          <w:pict>
            <v:shape style="position:absolute;margin-left:55.692902pt;margin-top:777.447144pt;width:15.7pt;height:11pt;mso-position-horizontal-relative:page;mso-position-vertical-relative:page;z-index:-18541056" type="#_x0000_t202" id="docshape365" filled="false" stroked="false">
              <v:textbox inset="0,0,0,0">
                <w:txbxContent>
                  <w:p>
                    <w:pPr>
                      <w:spacing w:line="203" w:lineRule="exact" w:before="0"/>
                      <w:ind w:left="20" w:right="0" w:firstLine="0"/>
                      <w:jc w:val="left"/>
                      <w:rPr>
                        <w:sz w:val="18"/>
                      </w:rPr>
                    </w:pPr>
                    <w:r>
                      <w:rPr>
                        <w:spacing w:val="-5"/>
                        <w:sz w:val="18"/>
                      </w:rPr>
                      <w:t>528</w:t>
                    </w:r>
                  </w:p>
                </w:txbxContent>
              </v:textbox>
              <w10:wrap type="none"/>
            </v:shape>
          </w:pict>
        </mc:Fallback>
      </mc:AlternateContent>
    </w:r>
    <w:r>
      <w:rPr/>
      <mc:AlternateContent>
        <mc:Choice Requires="wps">
          <w:drawing>
            <wp:anchor distT="0" distB="0" distL="0" distR="0" allowOverlap="1" layoutInCell="1" locked="0" behindDoc="1" simplePos="0" relativeHeight="484775936">
              <wp:simplePos x="0" y="0"/>
              <wp:positionH relativeFrom="page">
                <wp:posOffset>1164499</wp:posOffset>
              </wp:positionH>
              <wp:positionV relativeFrom="page">
                <wp:posOffset>9873578</wp:posOffset>
              </wp:positionV>
              <wp:extent cx="229235" cy="139700"/>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a:off x="0" y="0"/>
                        <a:ext cx="229235" cy="139700"/>
                      </a:xfrm>
                      <a:prstGeom prst="rect">
                        <a:avLst/>
                      </a:prstGeom>
                    </wps:spPr>
                    <wps:txbx>
                      <w:txbxContent>
                        <w:p>
                          <w:pPr>
                            <w:spacing w:line="203" w:lineRule="exact" w:before="0"/>
                            <w:ind w:left="20" w:right="0" w:firstLine="0"/>
                            <w:jc w:val="left"/>
                            <w:rPr>
                              <w:sz w:val="18"/>
                            </w:rPr>
                          </w:pPr>
                          <w:r>
                            <w:rPr>
                              <w:spacing w:val="-4"/>
                              <w:sz w:val="18"/>
                            </w:rPr>
                            <w:t>Ibid.</w:t>
                          </w:r>
                        </w:p>
                      </w:txbxContent>
                    </wps:txbx>
                    <wps:bodyPr wrap="square" lIns="0" tIns="0" rIns="0" bIns="0" rtlCol="0">
                      <a:noAutofit/>
                    </wps:bodyPr>
                  </wps:wsp>
                </a:graphicData>
              </a:graphic>
            </wp:anchor>
          </w:drawing>
        </mc:Choice>
        <mc:Fallback>
          <w:pict>
            <v:shape style="position:absolute;margin-left:91.692902pt;margin-top:777.447144pt;width:18.05pt;height:11pt;mso-position-horizontal-relative:page;mso-position-vertical-relative:page;z-index:-18540544" type="#_x0000_t202" id="docshape366" filled="false" stroked="false">
              <v:textbox inset="0,0,0,0">
                <w:txbxContent>
                  <w:p>
                    <w:pPr>
                      <w:spacing w:line="203" w:lineRule="exact" w:before="0"/>
                      <w:ind w:left="20" w:right="0" w:firstLine="0"/>
                      <w:jc w:val="left"/>
                      <w:rPr>
                        <w:sz w:val="18"/>
                      </w:rPr>
                    </w:pPr>
                    <w:r>
                      <w:rPr>
                        <w:spacing w:val="-4"/>
                        <w:sz w:val="18"/>
                      </w:rPr>
                      <w:t>Ibid.</w:t>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76448">
              <wp:simplePos x="0" y="0"/>
              <wp:positionH relativeFrom="page">
                <wp:posOffset>0</wp:posOffset>
              </wp:positionH>
              <wp:positionV relativeFrom="page">
                <wp:posOffset>10331996</wp:posOffset>
              </wp:positionV>
              <wp:extent cx="7560309" cy="360045"/>
              <wp:effectExtent l="0" t="0" r="0" b="0"/>
              <wp:wrapNone/>
              <wp:docPr id="418" name="Graphic 418"/>
              <wp:cNvGraphicFramePr>
                <a:graphicFrameLocks/>
              </wp:cNvGraphicFramePr>
              <a:graphic>
                <a:graphicData uri="http://schemas.microsoft.com/office/word/2010/wordprocessingShape">
                  <wps:wsp>
                    <wps:cNvPr id="418" name="Graphic 418"/>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40032" id="docshape367" filled="true" fillcolor="#393b7f" stroked="false">
              <v:fill type="solid"/>
              <w10:wrap type="none"/>
            </v:rect>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79520">
              <wp:simplePos x="0" y="0"/>
              <wp:positionH relativeFrom="page">
                <wp:posOffset>0</wp:posOffset>
              </wp:positionH>
              <wp:positionV relativeFrom="page">
                <wp:posOffset>10331996</wp:posOffset>
              </wp:positionV>
              <wp:extent cx="7560309" cy="360045"/>
              <wp:effectExtent l="0" t="0" r="0" b="0"/>
              <wp:wrapNone/>
              <wp:docPr id="430" name="Graphic 430"/>
              <wp:cNvGraphicFramePr>
                <a:graphicFrameLocks/>
              </wp:cNvGraphicFramePr>
              <a:graphic>
                <a:graphicData uri="http://schemas.microsoft.com/office/word/2010/wordprocessingShape">
                  <wps:wsp>
                    <wps:cNvPr id="430" name="Graphic 430"/>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36960" id="docshape379" filled="true" fillcolor="#393b7f" stroked="false">
              <v:fill type="solid"/>
              <w10:wrap type="none"/>
            </v:rect>
          </w:pict>
        </mc:Fallback>
      </mc:AlternateContent>
    </w:r>
    <w:r>
      <w:rPr/>
      <mc:AlternateContent>
        <mc:Choice Requires="wps">
          <w:drawing>
            <wp:anchor distT="0" distB="0" distL="0" distR="0" allowOverlap="1" layoutInCell="1" locked="0" behindDoc="1" simplePos="0" relativeHeight="484780032">
              <wp:simplePos x="0" y="0"/>
              <wp:positionH relativeFrom="page">
                <wp:posOffset>707299</wp:posOffset>
              </wp:positionH>
              <wp:positionV relativeFrom="page">
                <wp:posOffset>9873578</wp:posOffset>
              </wp:positionV>
              <wp:extent cx="199390" cy="139700"/>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199390" cy="139700"/>
                      </a:xfrm>
                      <a:prstGeom prst="rect">
                        <a:avLst/>
                      </a:prstGeom>
                    </wps:spPr>
                    <wps:txbx>
                      <w:txbxContent>
                        <w:p>
                          <w:pPr>
                            <w:spacing w:line="203" w:lineRule="exact" w:before="0"/>
                            <w:ind w:left="20" w:right="0" w:firstLine="0"/>
                            <w:jc w:val="left"/>
                            <w:rPr>
                              <w:sz w:val="18"/>
                            </w:rPr>
                          </w:pPr>
                          <w:r>
                            <w:rPr>
                              <w:spacing w:val="-5"/>
                              <w:sz w:val="18"/>
                            </w:rPr>
                            <w:t>544</w:t>
                          </w:r>
                        </w:p>
                      </w:txbxContent>
                    </wps:txbx>
                    <wps:bodyPr wrap="square" lIns="0" tIns="0" rIns="0" bIns="0" rtlCol="0">
                      <a:noAutofit/>
                    </wps:bodyPr>
                  </wps:wsp>
                </a:graphicData>
              </a:graphic>
            </wp:anchor>
          </w:drawing>
        </mc:Choice>
        <mc:Fallback>
          <w:pict>
            <v:shape style="position:absolute;margin-left:55.692902pt;margin-top:777.447144pt;width:15.7pt;height:11pt;mso-position-horizontal-relative:page;mso-position-vertical-relative:page;z-index:-18536448" type="#_x0000_t202" id="docshape380" filled="false" stroked="false">
              <v:textbox inset="0,0,0,0">
                <w:txbxContent>
                  <w:p>
                    <w:pPr>
                      <w:spacing w:line="203" w:lineRule="exact" w:before="0"/>
                      <w:ind w:left="20" w:right="0" w:firstLine="0"/>
                      <w:jc w:val="left"/>
                      <w:rPr>
                        <w:sz w:val="18"/>
                      </w:rPr>
                    </w:pPr>
                    <w:r>
                      <w:rPr>
                        <w:spacing w:val="-5"/>
                        <w:sz w:val="18"/>
                      </w:rPr>
                      <w:t>544</w:t>
                    </w:r>
                  </w:p>
                </w:txbxContent>
              </v:textbox>
              <w10:wrap type="none"/>
            </v:shape>
          </w:pict>
        </mc:Fallback>
      </mc:AlternateContent>
    </w:r>
    <w:r>
      <w:rPr/>
      <mc:AlternateContent>
        <mc:Choice Requires="wps">
          <w:drawing>
            <wp:anchor distT="0" distB="0" distL="0" distR="0" allowOverlap="1" layoutInCell="1" locked="0" behindDoc="1" simplePos="0" relativeHeight="484780544">
              <wp:simplePos x="0" y="0"/>
              <wp:positionH relativeFrom="page">
                <wp:posOffset>1164499</wp:posOffset>
              </wp:positionH>
              <wp:positionV relativeFrom="page">
                <wp:posOffset>9873578</wp:posOffset>
              </wp:positionV>
              <wp:extent cx="229235" cy="139700"/>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229235" cy="139700"/>
                      </a:xfrm>
                      <a:prstGeom prst="rect">
                        <a:avLst/>
                      </a:prstGeom>
                    </wps:spPr>
                    <wps:txbx>
                      <w:txbxContent>
                        <w:p>
                          <w:pPr>
                            <w:spacing w:line="203" w:lineRule="exact" w:before="0"/>
                            <w:ind w:left="20" w:right="0" w:firstLine="0"/>
                            <w:jc w:val="left"/>
                            <w:rPr>
                              <w:sz w:val="18"/>
                            </w:rPr>
                          </w:pPr>
                          <w:r>
                            <w:rPr>
                              <w:spacing w:val="-4"/>
                              <w:sz w:val="18"/>
                            </w:rPr>
                            <w:t>Ibid.</w:t>
                          </w:r>
                        </w:p>
                      </w:txbxContent>
                    </wps:txbx>
                    <wps:bodyPr wrap="square" lIns="0" tIns="0" rIns="0" bIns="0" rtlCol="0">
                      <a:noAutofit/>
                    </wps:bodyPr>
                  </wps:wsp>
                </a:graphicData>
              </a:graphic>
            </wp:anchor>
          </w:drawing>
        </mc:Choice>
        <mc:Fallback>
          <w:pict>
            <v:shape style="position:absolute;margin-left:91.692902pt;margin-top:777.447144pt;width:18.05pt;height:11pt;mso-position-horizontal-relative:page;mso-position-vertical-relative:page;z-index:-18535936" type="#_x0000_t202" id="docshape381" filled="false" stroked="false">
              <v:textbox inset="0,0,0,0">
                <w:txbxContent>
                  <w:p>
                    <w:pPr>
                      <w:spacing w:line="203" w:lineRule="exact" w:before="0"/>
                      <w:ind w:left="20" w:right="0" w:firstLine="0"/>
                      <w:jc w:val="left"/>
                      <w:rPr>
                        <w:sz w:val="18"/>
                      </w:rPr>
                    </w:pPr>
                    <w:r>
                      <w:rPr>
                        <w:spacing w:val="-4"/>
                        <w:sz w:val="18"/>
                      </w:rPr>
                      <w:t>Ibid.</w:t>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81056">
              <wp:simplePos x="0" y="0"/>
              <wp:positionH relativeFrom="page">
                <wp:posOffset>0</wp:posOffset>
              </wp:positionH>
              <wp:positionV relativeFrom="page">
                <wp:posOffset>10331996</wp:posOffset>
              </wp:positionV>
              <wp:extent cx="7560309" cy="360045"/>
              <wp:effectExtent l="0" t="0" r="0" b="0"/>
              <wp:wrapNone/>
              <wp:docPr id="433" name="Graphic 433"/>
              <wp:cNvGraphicFramePr>
                <a:graphicFrameLocks/>
              </wp:cNvGraphicFramePr>
              <a:graphic>
                <a:graphicData uri="http://schemas.microsoft.com/office/word/2010/wordprocessingShape">
                  <wps:wsp>
                    <wps:cNvPr id="433" name="Graphic 433"/>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35424" id="docshape382" filled="true" fillcolor="#393b7f" stroked="false">
              <v:fill type="solid"/>
              <w10:wrap type="none"/>
            </v:rect>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84128">
              <wp:simplePos x="0" y="0"/>
              <wp:positionH relativeFrom="page">
                <wp:posOffset>0</wp:posOffset>
              </wp:positionH>
              <wp:positionV relativeFrom="page">
                <wp:posOffset>10331996</wp:posOffset>
              </wp:positionV>
              <wp:extent cx="7560309" cy="360045"/>
              <wp:effectExtent l="0" t="0" r="0" b="0"/>
              <wp:wrapNone/>
              <wp:docPr id="445" name="Graphic 445"/>
              <wp:cNvGraphicFramePr>
                <a:graphicFrameLocks/>
              </wp:cNvGraphicFramePr>
              <a:graphic>
                <a:graphicData uri="http://schemas.microsoft.com/office/word/2010/wordprocessingShape">
                  <wps:wsp>
                    <wps:cNvPr id="445" name="Graphic 445"/>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32352" id="docshape394" filled="true" fillcolor="#393b7f" stroked="false">
              <v:fill type="solid"/>
              <w10:wrap type="none"/>
            </v:rect>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84640">
              <wp:simplePos x="0" y="0"/>
              <wp:positionH relativeFrom="page">
                <wp:posOffset>0</wp:posOffset>
              </wp:positionH>
              <wp:positionV relativeFrom="page">
                <wp:posOffset>10331996</wp:posOffset>
              </wp:positionV>
              <wp:extent cx="7560309" cy="360045"/>
              <wp:effectExtent l="0" t="0" r="0" b="0"/>
              <wp:wrapNone/>
              <wp:docPr id="446" name="Graphic 446"/>
              <wp:cNvGraphicFramePr>
                <a:graphicFrameLocks/>
              </wp:cNvGraphicFramePr>
              <a:graphic>
                <a:graphicData uri="http://schemas.microsoft.com/office/word/2010/wordprocessingShape">
                  <wps:wsp>
                    <wps:cNvPr id="446" name="Graphic 446"/>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31840" id="docshape395" filled="true" fillcolor="#393b7f" stroked="false">
              <v:fill type="solid"/>
              <w10:wrap type="none"/>
            </v:rect>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87712">
              <wp:simplePos x="0" y="0"/>
              <wp:positionH relativeFrom="page">
                <wp:posOffset>0</wp:posOffset>
              </wp:positionH>
              <wp:positionV relativeFrom="page">
                <wp:posOffset>10331996</wp:posOffset>
              </wp:positionV>
              <wp:extent cx="7560309" cy="360045"/>
              <wp:effectExtent l="0" t="0" r="0" b="0"/>
              <wp:wrapNone/>
              <wp:docPr id="463" name="Graphic 463"/>
              <wp:cNvGraphicFramePr>
                <a:graphicFrameLocks/>
              </wp:cNvGraphicFramePr>
              <a:graphic>
                <a:graphicData uri="http://schemas.microsoft.com/office/word/2010/wordprocessingShape">
                  <wps:wsp>
                    <wps:cNvPr id="463" name="Graphic 463"/>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28768" id="docshape411" filled="true" fillcolor="#393b7f" stroked="false">
              <v:fill type="solid"/>
              <w10:wrap type="none"/>
            </v:rect>
          </w:pict>
        </mc:Fallback>
      </mc:AlternateContent>
    </w:r>
    <w:r>
      <w:rPr/>
      <mc:AlternateContent>
        <mc:Choice Requires="wps">
          <w:drawing>
            <wp:anchor distT="0" distB="0" distL="0" distR="0" allowOverlap="1" layoutInCell="1" locked="0" behindDoc="1" simplePos="0" relativeHeight="484788224">
              <wp:simplePos x="0" y="0"/>
              <wp:positionH relativeFrom="page">
                <wp:posOffset>3463757</wp:posOffset>
              </wp:positionH>
              <wp:positionV relativeFrom="page">
                <wp:posOffset>9161987</wp:posOffset>
              </wp:positionV>
              <wp:extent cx="28575" cy="1270"/>
              <wp:effectExtent l="0" t="0" r="0" b="0"/>
              <wp:wrapNone/>
              <wp:docPr id="464" name="Graphic 464"/>
              <wp:cNvGraphicFramePr>
                <a:graphicFrameLocks/>
              </wp:cNvGraphicFramePr>
              <a:graphic>
                <a:graphicData uri="http://schemas.microsoft.com/office/word/2010/wordprocessingShape">
                  <wps:wsp>
                    <wps:cNvPr id="464" name="Graphic 464"/>
                    <wps:cNvSpPr/>
                    <wps:spPr>
                      <a:xfrm>
                        <a:off x="0" y="0"/>
                        <a:ext cx="28575" cy="1270"/>
                      </a:xfrm>
                      <a:custGeom>
                        <a:avLst/>
                        <a:gdLst/>
                        <a:ahLst/>
                        <a:cxnLst/>
                        <a:rect l="l" t="t" r="r" b="b"/>
                        <a:pathLst>
                          <a:path w="28575" h="0">
                            <a:moveTo>
                              <a:pt x="0" y="0"/>
                            </a:moveTo>
                            <a:lnTo>
                              <a:pt x="28524" y="0"/>
                            </a:lnTo>
                          </a:path>
                        </a:pathLst>
                      </a:custGeom>
                      <a:ln w="7480">
                        <a:solidFill>
                          <a:srgbClr val="0562C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528256" from="272.736786pt,721.416321pt" to="274.982786pt,721.416321pt" stroked="true" strokeweight=".589pt" strokecolor="#0562c1">
              <v:stroke dashstyle="solid"/>
              <w10:wrap type="none"/>
            </v:lin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88736">
              <wp:simplePos x="0" y="0"/>
              <wp:positionH relativeFrom="page">
                <wp:posOffset>0</wp:posOffset>
              </wp:positionH>
              <wp:positionV relativeFrom="page">
                <wp:posOffset>10331996</wp:posOffset>
              </wp:positionV>
              <wp:extent cx="7560309" cy="360045"/>
              <wp:effectExtent l="0" t="0" r="0" b="0"/>
              <wp:wrapNone/>
              <wp:docPr id="465" name="Graphic 465"/>
              <wp:cNvGraphicFramePr>
                <a:graphicFrameLocks/>
              </wp:cNvGraphicFramePr>
              <a:graphic>
                <a:graphicData uri="http://schemas.microsoft.com/office/word/2010/wordprocessingShape">
                  <wps:wsp>
                    <wps:cNvPr id="465" name="Graphic 465"/>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27744" id="docshape412" filled="true" fillcolor="#393b7f" stroked="false">
              <v:fill type="solid"/>
              <w10:wrap type="none"/>
            </v:rect>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19616">
              <wp:simplePos x="0" y="0"/>
              <wp:positionH relativeFrom="page">
                <wp:posOffset>0</wp:posOffset>
              </wp:positionH>
              <wp:positionV relativeFrom="page">
                <wp:posOffset>10331996</wp:posOffset>
              </wp:positionV>
              <wp:extent cx="7560309" cy="360045"/>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96864" id="docshape85" filled="true" fillcolor="#393b7f" stroked="false">
              <v:fill type="solid"/>
              <w10:wrap type="none"/>
            </v:rect>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91808">
              <wp:simplePos x="0" y="0"/>
              <wp:positionH relativeFrom="page">
                <wp:posOffset>0</wp:posOffset>
              </wp:positionH>
              <wp:positionV relativeFrom="page">
                <wp:posOffset>10331996</wp:posOffset>
              </wp:positionV>
              <wp:extent cx="7560309" cy="360045"/>
              <wp:effectExtent l="0" t="0" r="0" b="0"/>
              <wp:wrapNone/>
              <wp:docPr id="479" name="Graphic 479"/>
              <wp:cNvGraphicFramePr>
                <a:graphicFrameLocks/>
              </wp:cNvGraphicFramePr>
              <a:graphic>
                <a:graphicData uri="http://schemas.microsoft.com/office/word/2010/wordprocessingShape">
                  <wps:wsp>
                    <wps:cNvPr id="479" name="Graphic 479"/>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24672" id="docshape426" filled="true" fillcolor="#393b7f" stroked="false">
              <v:fill type="solid"/>
              <w10:wrap type="none"/>
            </v:rect>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92320">
              <wp:simplePos x="0" y="0"/>
              <wp:positionH relativeFrom="page">
                <wp:posOffset>0</wp:posOffset>
              </wp:positionH>
              <wp:positionV relativeFrom="page">
                <wp:posOffset>10331996</wp:posOffset>
              </wp:positionV>
              <wp:extent cx="7560309" cy="360045"/>
              <wp:effectExtent l="0" t="0" r="0" b="0"/>
              <wp:wrapNone/>
              <wp:docPr id="480" name="Graphic 480"/>
              <wp:cNvGraphicFramePr>
                <a:graphicFrameLocks/>
              </wp:cNvGraphicFramePr>
              <a:graphic>
                <a:graphicData uri="http://schemas.microsoft.com/office/word/2010/wordprocessingShape">
                  <wps:wsp>
                    <wps:cNvPr id="480" name="Graphic 480"/>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24160" id="docshape427" filled="true" fillcolor="#393b7f" stroked="false">
              <v:fill type="solid"/>
              <w10:wrap type="none"/>
            </v:rect>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95392">
              <wp:simplePos x="0" y="0"/>
              <wp:positionH relativeFrom="page">
                <wp:posOffset>0</wp:posOffset>
              </wp:positionH>
              <wp:positionV relativeFrom="page">
                <wp:posOffset>10331996</wp:posOffset>
              </wp:positionV>
              <wp:extent cx="7560309" cy="360045"/>
              <wp:effectExtent l="0" t="0" r="0" b="0"/>
              <wp:wrapNone/>
              <wp:docPr id="509" name="Graphic 509"/>
              <wp:cNvGraphicFramePr>
                <a:graphicFrameLocks/>
              </wp:cNvGraphicFramePr>
              <a:graphic>
                <a:graphicData uri="http://schemas.microsoft.com/office/word/2010/wordprocessingShape">
                  <wps:wsp>
                    <wps:cNvPr id="509" name="Graphic 509"/>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21088" id="docshape455" filled="true" fillcolor="#393b7f" stroked="false">
              <v:fill type="solid"/>
              <w10:wrap type="none"/>
            </v:rect>
          </w:pict>
        </mc:Fallback>
      </mc:AlternateContent>
    </w:r>
    <w:r>
      <w:rPr/>
      <mc:AlternateContent>
        <mc:Choice Requires="wps">
          <w:drawing>
            <wp:anchor distT="0" distB="0" distL="0" distR="0" allowOverlap="1" layoutInCell="1" locked="0" behindDoc="1" simplePos="0" relativeHeight="484795904">
              <wp:simplePos x="0" y="0"/>
              <wp:positionH relativeFrom="page">
                <wp:posOffset>2121904</wp:posOffset>
              </wp:positionH>
              <wp:positionV relativeFrom="page">
                <wp:posOffset>8537139</wp:posOffset>
              </wp:positionV>
              <wp:extent cx="29209" cy="1270"/>
              <wp:effectExtent l="0" t="0" r="0" b="0"/>
              <wp:wrapNone/>
              <wp:docPr id="510" name="Graphic 510"/>
              <wp:cNvGraphicFramePr>
                <a:graphicFrameLocks/>
              </wp:cNvGraphicFramePr>
              <a:graphic>
                <a:graphicData uri="http://schemas.microsoft.com/office/word/2010/wordprocessingShape">
                  <wps:wsp>
                    <wps:cNvPr id="510" name="Graphic 510"/>
                    <wps:cNvSpPr/>
                    <wps:spPr>
                      <a:xfrm>
                        <a:off x="0" y="0"/>
                        <a:ext cx="29209" cy="1270"/>
                      </a:xfrm>
                      <a:custGeom>
                        <a:avLst/>
                        <a:gdLst/>
                        <a:ahLst/>
                        <a:cxnLst/>
                        <a:rect l="l" t="t" r="r" b="b"/>
                        <a:pathLst>
                          <a:path w="29209" h="0">
                            <a:moveTo>
                              <a:pt x="0" y="0"/>
                            </a:moveTo>
                            <a:lnTo>
                              <a:pt x="28854" y="0"/>
                            </a:lnTo>
                          </a:path>
                        </a:pathLst>
                      </a:custGeom>
                      <a:ln w="7480">
                        <a:solidFill>
                          <a:srgbClr val="0562C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520576" from="167.079102pt,672.215698pt" to="169.351102pt,672.215698pt" stroked="true" strokeweight=".589pt" strokecolor="#0562c1">
              <v:stroke dashstyle="solid"/>
              <w10:wrap type="none"/>
            </v:lin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96416">
              <wp:simplePos x="0" y="0"/>
              <wp:positionH relativeFrom="page">
                <wp:posOffset>0</wp:posOffset>
              </wp:positionH>
              <wp:positionV relativeFrom="page">
                <wp:posOffset>10331996</wp:posOffset>
              </wp:positionV>
              <wp:extent cx="7560309" cy="360045"/>
              <wp:effectExtent l="0" t="0" r="0" b="0"/>
              <wp:wrapNone/>
              <wp:docPr id="511" name="Graphic 511"/>
              <wp:cNvGraphicFramePr>
                <a:graphicFrameLocks/>
              </wp:cNvGraphicFramePr>
              <a:graphic>
                <a:graphicData uri="http://schemas.microsoft.com/office/word/2010/wordprocessingShape">
                  <wps:wsp>
                    <wps:cNvPr id="511" name="Graphic 511"/>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20064" id="docshape456" filled="true" fillcolor="#393b7f" stroked="false">
              <v:fill type="solid"/>
              <w10:wrap type="none"/>
            </v:rect>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99488">
              <wp:simplePos x="0" y="0"/>
              <wp:positionH relativeFrom="page">
                <wp:posOffset>0</wp:posOffset>
              </wp:positionH>
              <wp:positionV relativeFrom="page">
                <wp:posOffset>10331996</wp:posOffset>
              </wp:positionV>
              <wp:extent cx="7560309" cy="360045"/>
              <wp:effectExtent l="0" t="0" r="0" b="0"/>
              <wp:wrapNone/>
              <wp:docPr id="524" name="Graphic 524"/>
              <wp:cNvGraphicFramePr>
                <a:graphicFrameLocks/>
              </wp:cNvGraphicFramePr>
              <a:graphic>
                <a:graphicData uri="http://schemas.microsoft.com/office/word/2010/wordprocessingShape">
                  <wps:wsp>
                    <wps:cNvPr id="524" name="Graphic 524"/>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16992" id="docshape469" filled="true" fillcolor="#393b7f" stroked="false">
              <v:fill type="solid"/>
              <w10:wrap type="none"/>
            </v:rect>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00000">
              <wp:simplePos x="0" y="0"/>
              <wp:positionH relativeFrom="page">
                <wp:posOffset>0</wp:posOffset>
              </wp:positionH>
              <wp:positionV relativeFrom="page">
                <wp:posOffset>10331996</wp:posOffset>
              </wp:positionV>
              <wp:extent cx="7560309" cy="360045"/>
              <wp:effectExtent l="0" t="0" r="0" b="0"/>
              <wp:wrapNone/>
              <wp:docPr id="525" name="Graphic 525"/>
              <wp:cNvGraphicFramePr>
                <a:graphicFrameLocks/>
              </wp:cNvGraphicFramePr>
              <a:graphic>
                <a:graphicData uri="http://schemas.microsoft.com/office/word/2010/wordprocessingShape">
                  <wps:wsp>
                    <wps:cNvPr id="525" name="Graphic 525"/>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16480" id="docshape470" filled="true" fillcolor="#393b7f" stroked="false">
              <v:fill type="solid"/>
              <w10:wrap type="none"/>
            </v:rect>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03072">
              <wp:simplePos x="0" y="0"/>
              <wp:positionH relativeFrom="page">
                <wp:posOffset>0</wp:posOffset>
              </wp:positionH>
              <wp:positionV relativeFrom="page">
                <wp:posOffset>10331996</wp:posOffset>
              </wp:positionV>
              <wp:extent cx="7560309" cy="360045"/>
              <wp:effectExtent l="0" t="0" r="0" b="0"/>
              <wp:wrapNone/>
              <wp:docPr id="547" name="Graphic 547"/>
              <wp:cNvGraphicFramePr>
                <a:graphicFrameLocks/>
              </wp:cNvGraphicFramePr>
              <a:graphic>
                <a:graphicData uri="http://schemas.microsoft.com/office/word/2010/wordprocessingShape">
                  <wps:wsp>
                    <wps:cNvPr id="547" name="Graphic 547"/>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13408" id="docshape492" filled="true" fillcolor="#393b7f" stroked="false">
              <v:fill type="solid"/>
              <w10:wrap type="none"/>
            </v:rect>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03584">
              <wp:simplePos x="0" y="0"/>
              <wp:positionH relativeFrom="page">
                <wp:posOffset>0</wp:posOffset>
              </wp:positionH>
              <wp:positionV relativeFrom="page">
                <wp:posOffset>10331996</wp:posOffset>
              </wp:positionV>
              <wp:extent cx="7560309" cy="360045"/>
              <wp:effectExtent l="0" t="0" r="0" b="0"/>
              <wp:wrapNone/>
              <wp:docPr id="548" name="Graphic 548"/>
              <wp:cNvGraphicFramePr>
                <a:graphicFrameLocks/>
              </wp:cNvGraphicFramePr>
              <a:graphic>
                <a:graphicData uri="http://schemas.microsoft.com/office/word/2010/wordprocessingShape">
                  <wps:wsp>
                    <wps:cNvPr id="548" name="Graphic 548"/>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12896" id="docshape493" filled="true" fillcolor="#393b7f" stroked="false">
              <v:fill type="solid"/>
              <w10:wrap type="none"/>
            </v:rect>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06656">
              <wp:simplePos x="0" y="0"/>
              <wp:positionH relativeFrom="page">
                <wp:posOffset>0</wp:posOffset>
              </wp:positionH>
              <wp:positionV relativeFrom="page">
                <wp:posOffset>10331996</wp:posOffset>
              </wp:positionV>
              <wp:extent cx="7560309" cy="360045"/>
              <wp:effectExtent l="0" t="0" r="0" b="0"/>
              <wp:wrapNone/>
              <wp:docPr id="579" name="Graphic 579"/>
              <wp:cNvGraphicFramePr>
                <a:graphicFrameLocks/>
              </wp:cNvGraphicFramePr>
              <a:graphic>
                <a:graphicData uri="http://schemas.microsoft.com/office/word/2010/wordprocessingShape">
                  <wps:wsp>
                    <wps:cNvPr id="579" name="Graphic 579"/>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09824" id="docshape524" filled="true" fillcolor="#393b7f" stroked="false">
              <v:fill type="solid"/>
              <w10:wrap type="none"/>
            </v:rect>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07168">
              <wp:simplePos x="0" y="0"/>
              <wp:positionH relativeFrom="page">
                <wp:posOffset>0</wp:posOffset>
              </wp:positionH>
              <wp:positionV relativeFrom="page">
                <wp:posOffset>10331996</wp:posOffset>
              </wp:positionV>
              <wp:extent cx="7560309" cy="360045"/>
              <wp:effectExtent l="0" t="0" r="0" b="0"/>
              <wp:wrapNone/>
              <wp:docPr id="580" name="Graphic 580"/>
              <wp:cNvGraphicFramePr>
                <a:graphicFrameLocks/>
              </wp:cNvGraphicFramePr>
              <a:graphic>
                <a:graphicData uri="http://schemas.microsoft.com/office/word/2010/wordprocessingShape">
                  <wps:wsp>
                    <wps:cNvPr id="580" name="Graphic 580"/>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09312" id="docshape525" filled="true" fillcolor="#393b7f" stroked="false">
              <v:fill type="solid"/>
              <w10:wrap type="none"/>
            </v:rect>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20128">
              <wp:simplePos x="0" y="0"/>
              <wp:positionH relativeFrom="page">
                <wp:posOffset>0</wp:posOffset>
              </wp:positionH>
              <wp:positionV relativeFrom="page">
                <wp:posOffset>10331996</wp:posOffset>
              </wp:positionV>
              <wp:extent cx="7560309" cy="360045"/>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96352" id="docshape86" filled="true" fillcolor="#393b7f" stroked="false">
              <v:fill type="solid"/>
              <w10:wrap type="none"/>
            </v:rect>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10240">
              <wp:simplePos x="0" y="0"/>
              <wp:positionH relativeFrom="page">
                <wp:posOffset>0</wp:posOffset>
              </wp:positionH>
              <wp:positionV relativeFrom="page">
                <wp:posOffset>10331996</wp:posOffset>
              </wp:positionV>
              <wp:extent cx="7560309" cy="360045"/>
              <wp:effectExtent l="0" t="0" r="0" b="0"/>
              <wp:wrapNone/>
              <wp:docPr id="594" name="Graphic 594"/>
              <wp:cNvGraphicFramePr>
                <a:graphicFrameLocks/>
              </wp:cNvGraphicFramePr>
              <a:graphic>
                <a:graphicData uri="http://schemas.microsoft.com/office/word/2010/wordprocessingShape">
                  <wps:wsp>
                    <wps:cNvPr id="594" name="Graphic 594"/>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06240" id="docshape539" filled="true" fillcolor="#393b7f" stroked="false">
              <v:fill type="solid"/>
              <w10:wrap type="none"/>
            </v:rect>
          </w:pict>
        </mc:Fallback>
      </mc:AlternateContent>
    </w:r>
    <w:r>
      <w:rPr/>
      <mc:AlternateContent>
        <mc:Choice Requires="wps">
          <w:drawing>
            <wp:anchor distT="0" distB="0" distL="0" distR="0" allowOverlap="1" layoutInCell="1" locked="0" behindDoc="1" simplePos="0" relativeHeight="484810752">
              <wp:simplePos x="0" y="0"/>
              <wp:positionH relativeFrom="page">
                <wp:posOffset>1529810</wp:posOffset>
              </wp:positionH>
              <wp:positionV relativeFrom="page">
                <wp:posOffset>9573470</wp:posOffset>
              </wp:positionV>
              <wp:extent cx="28575" cy="1270"/>
              <wp:effectExtent l="0" t="0" r="0" b="0"/>
              <wp:wrapNone/>
              <wp:docPr id="595" name="Graphic 595"/>
              <wp:cNvGraphicFramePr>
                <a:graphicFrameLocks/>
              </wp:cNvGraphicFramePr>
              <a:graphic>
                <a:graphicData uri="http://schemas.microsoft.com/office/word/2010/wordprocessingShape">
                  <wps:wsp>
                    <wps:cNvPr id="595" name="Graphic 595"/>
                    <wps:cNvSpPr/>
                    <wps:spPr>
                      <a:xfrm>
                        <a:off x="0" y="0"/>
                        <a:ext cx="28575" cy="1270"/>
                      </a:xfrm>
                      <a:custGeom>
                        <a:avLst/>
                        <a:gdLst/>
                        <a:ahLst/>
                        <a:cxnLst/>
                        <a:rect l="l" t="t" r="r" b="b"/>
                        <a:pathLst>
                          <a:path w="28575" h="0">
                            <a:moveTo>
                              <a:pt x="0" y="0"/>
                            </a:moveTo>
                            <a:lnTo>
                              <a:pt x="28524" y="0"/>
                            </a:lnTo>
                          </a:path>
                        </a:pathLst>
                      </a:custGeom>
                      <a:ln w="7480">
                        <a:solidFill>
                          <a:srgbClr val="0562C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505728" from="120.457497pt,753.816589pt" to="122.703497pt,753.816589pt" stroked="true" strokeweight=".589pt" strokecolor="#0562c1">
              <v:stroke dashstyle="solid"/>
              <w10:wrap type="none"/>
            </v:lin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11264">
              <wp:simplePos x="0" y="0"/>
              <wp:positionH relativeFrom="page">
                <wp:posOffset>0</wp:posOffset>
              </wp:positionH>
              <wp:positionV relativeFrom="page">
                <wp:posOffset>10331996</wp:posOffset>
              </wp:positionV>
              <wp:extent cx="7560309" cy="360045"/>
              <wp:effectExtent l="0" t="0" r="0" b="0"/>
              <wp:wrapNone/>
              <wp:docPr id="596" name="Graphic 596"/>
              <wp:cNvGraphicFramePr>
                <a:graphicFrameLocks/>
              </wp:cNvGraphicFramePr>
              <a:graphic>
                <a:graphicData uri="http://schemas.microsoft.com/office/word/2010/wordprocessingShape">
                  <wps:wsp>
                    <wps:cNvPr id="596" name="Graphic 596"/>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05216" id="docshape540" filled="true" fillcolor="#393b7f" stroked="false">
              <v:fill type="solid"/>
              <w10:wrap type="none"/>
            </v:rect>
          </w:pict>
        </mc:Fallback>
      </mc:AlternateContent>
    </w:r>
    <w:r>
      <w:rPr/>
      <mc:AlternateContent>
        <mc:Choice Requires="wps">
          <w:drawing>
            <wp:anchor distT="0" distB="0" distL="0" distR="0" allowOverlap="1" layoutInCell="1" locked="0" behindDoc="1" simplePos="0" relativeHeight="484811776">
              <wp:simplePos x="0" y="0"/>
              <wp:positionH relativeFrom="page">
                <wp:posOffset>707299</wp:posOffset>
              </wp:positionH>
              <wp:positionV relativeFrom="page">
                <wp:posOffset>9873578</wp:posOffset>
              </wp:positionV>
              <wp:extent cx="199390" cy="139700"/>
              <wp:effectExtent l="0" t="0" r="0" b="0"/>
              <wp:wrapNone/>
              <wp:docPr id="597" name="Textbox 597"/>
              <wp:cNvGraphicFramePr>
                <a:graphicFrameLocks/>
              </wp:cNvGraphicFramePr>
              <a:graphic>
                <a:graphicData uri="http://schemas.microsoft.com/office/word/2010/wordprocessingShape">
                  <wps:wsp>
                    <wps:cNvPr id="597" name="Textbox 597"/>
                    <wps:cNvSpPr txBox="1"/>
                    <wps:spPr>
                      <a:xfrm>
                        <a:off x="0" y="0"/>
                        <a:ext cx="199390" cy="139700"/>
                      </a:xfrm>
                      <a:prstGeom prst="rect">
                        <a:avLst/>
                      </a:prstGeom>
                    </wps:spPr>
                    <wps:txbx>
                      <w:txbxContent>
                        <w:p>
                          <w:pPr>
                            <w:spacing w:line="203" w:lineRule="exact" w:before="0"/>
                            <w:ind w:left="20" w:right="0" w:firstLine="0"/>
                            <w:jc w:val="left"/>
                            <w:rPr>
                              <w:sz w:val="18"/>
                            </w:rPr>
                          </w:pPr>
                          <w:r>
                            <w:rPr>
                              <w:spacing w:val="-5"/>
                              <w:sz w:val="18"/>
                            </w:rPr>
                            <w:t>813</w:t>
                          </w:r>
                        </w:p>
                      </w:txbxContent>
                    </wps:txbx>
                    <wps:bodyPr wrap="square" lIns="0" tIns="0" rIns="0" bIns="0" rtlCol="0">
                      <a:noAutofit/>
                    </wps:bodyPr>
                  </wps:wsp>
                </a:graphicData>
              </a:graphic>
            </wp:anchor>
          </w:drawing>
        </mc:Choice>
        <mc:Fallback>
          <w:pict>
            <v:shape style="position:absolute;margin-left:55.692902pt;margin-top:777.447144pt;width:15.7pt;height:11pt;mso-position-horizontal-relative:page;mso-position-vertical-relative:page;z-index:-18504704" type="#_x0000_t202" id="docshape541" filled="false" stroked="false">
              <v:textbox inset="0,0,0,0">
                <w:txbxContent>
                  <w:p>
                    <w:pPr>
                      <w:spacing w:line="203" w:lineRule="exact" w:before="0"/>
                      <w:ind w:left="20" w:right="0" w:firstLine="0"/>
                      <w:jc w:val="left"/>
                      <w:rPr>
                        <w:sz w:val="18"/>
                      </w:rPr>
                    </w:pPr>
                    <w:r>
                      <w:rPr>
                        <w:spacing w:val="-5"/>
                        <w:sz w:val="18"/>
                      </w:rPr>
                      <w:t>813</w:t>
                    </w:r>
                  </w:p>
                </w:txbxContent>
              </v:textbox>
              <w10:wrap type="none"/>
            </v:shape>
          </w:pict>
        </mc:Fallback>
      </mc:AlternateContent>
    </w:r>
    <w:r>
      <w:rPr/>
      <mc:AlternateContent>
        <mc:Choice Requires="wps">
          <w:drawing>
            <wp:anchor distT="0" distB="0" distL="0" distR="0" allowOverlap="1" layoutInCell="1" locked="0" behindDoc="1" simplePos="0" relativeHeight="484812288">
              <wp:simplePos x="0" y="0"/>
              <wp:positionH relativeFrom="page">
                <wp:posOffset>1164499</wp:posOffset>
              </wp:positionH>
              <wp:positionV relativeFrom="page">
                <wp:posOffset>9873578</wp:posOffset>
              </wp:positionV>
              <wp:extent cx="518159" cy="139700"/>
              <wp:effectExtent l="0" t="0" r="0" b="0"/>
              <wp:wrapNone/>
              <wp:docPr id="598" name="Textbox 598"/>
              <wp:cNvGraphicFramePr>
                <a:graphicFrameLocks/>
              </wp:cNvGraphicFramePr>
              <a:graphic>
                <a:graphicData uri="http://schemas.microsoft.com/office/word/2010/wordprocessingShape">
                  <wps:wsp>
                    <wps:cNvPr id="598" name="Textbox 598"/>
                    <wps:cNvSpPr txBox="1"/>
                    <wps:spPr>
                      <a:xfrm>
                        <a:off x="0" y="0"/>
                        <a:ext cx="518159" cy="139700"/>
                      </a:xfrm>
                      <a:prstGeom prst="rect">
                        <a:avLst/>
                      </a:prstGeom>
                    </wps:spPr>
                    <wps:txbx>
                      <w:txbxContent>
                        <w:p>
                          <w:pPr>
                            <w:spacing w:line="203" w:lineRule="exact" w:before="0"/>
                            <w:ind w:left="20" w:right="0" w:firstLine="0"/>
                            <w:jc w:val="left"/>
                            <w:rPr>
                              <w:sz w:val="18"/>
                            </w:rPr>
                          </w:pPr>
                          <w:r>
                            <w:rPr>
                              <w:sz w:val="18"/>
                            </w:rPr>
                            <w:t>Ibid,</w:t>
                          </w:r>
                          <w:r>
                            <w:rPr>
                              <w:spacing w:val="-1"/>
                              <w:sz w:val="18"/>
                            </w:rPr>
                            <w:t> </w:t>
                          </w:r>
                          <w:r>
                            <w:rPr>
                              <w:sz w:val="18"/>
                            </w:rPr>
                            <w:t>at</w:t>
                          </w:r>
                          <w:r>
                            <w:rPr>
                              <w:spacing w:val="-1"/>
                              <w:sz w:val="18"/>
                            </w:rPr>
                            <w:t> </w:t>
                          </w:r>
                          <w:r>
                            <w:rPr>
                              <w:spacing w:val="-5"/>
                              <w:sz w:val="18"/>
                            </w:rPr>
                            <w:t>39.</w:t>
                          </w:r>
                        </w:p>
                      </w:txbxContent>
                    </wps:txbx>
                    <wps:bodyPr wrap="square" lIns="0" tIns="0" rIns="0" bIns="0" rtlCol="0">
                      <a:noAutofit/>
                    </wps:bodyPr>
                  </wps:wsp>
                </a:graphicData>
              </a:graphic>
            </wp:anchor>
          </w:drawing>
        </mc:Choice>
        <mc:Fallback>
          <w:pict>
            <v:shape style="position:absolute;margin-left:91.692902pt;margin-top:777.447144pt;width:40.8pt;height:11pt;mso-position-horizontal-relative:page;mso-position-vertical-relative:page;z-index:-18504192" type="#_x0000_t202" id="docshape542" filled="false" stroked="false">
              <v:textbox inset="0,0,0,0">
                <w:txbxContent>
                  <w:p>
                    <w:pPr>
                      <w:spacing w:line="203" w:lineRule="exact" w:before="0"/>
                      <w:ind w:left="20" w:right="0" w:firstLine="0"/>
                      <w:jc w:val="left"/>
                      <w:rPr>
                        <w:sz w:val="18"/>
                      </w:rPr>
                    </w:pPr>
                    <w:r>
                      <w:rPr>
                        <w:sz w:val="18"/>
                      </w:rPr>
                      <w:t>Ibid,</w:t>
                    </w:r>
                    <w:r>
                      <w:rPr>
                        <w:spacing w:val="-1"/>
                        <w:sz w:val="18"/>
                      </w:rPr>
                      <w:t> </w:t>
                    </w:r>
                    <w:r>
                      <w:rPr>
                        <w:sz w:val="18"/>
                      </w:rPr>
                      <w:t>at</w:t>
                    </w:r>
                    <w:r>
                      <w:rPr>
                        <w:spacing w:val="-1"/>
                        <w:sz w:val="18"/>
                      </w:rPr>
                      <w:t> </w:t>
                    </w:r>
                    <w:r>
                      <w:rPr>
                        <w:spacing w:val="-5"/>
                        <w:sz w:val="18"/>
                      </w:rPr>
                      <w:t>39.</w:t>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15360">
              <wp:simplePos x="0" y="0"/>
              <wp:positionH relativeFrom="page">
                <wp:posOffset>0</wp:posOffset>
              </wp:positionH>
              <wp:positionV relativeFrom="page">
                <wp:posOffset>10331996</wp:posOffset>
              </wp:positionV>
              <wp:extent cx="7560309" cy="360045"/>
              <wp:effectExtent l="0" t="0" r="0" b="0"/>
              <wp:wrapNone/>
              <wp:docPr id="610" name="Graphic 610"/>
              <wp:cNvGraphicFramePr>
                <a:graphicFrameLocks/>
              </wp:cNvGraphicFramePr>
              <a:graphic>
                <a:graphicData uri="http://schemas.microsoft.com/office/word/2010/wordprocessingShape">
                  <wps:wsp>
                    <wps:cNvPr id="610" name="Graphic 610"/>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01120" id="docshape554" filled="true" fillcolor="#393b7f" stroked="false">
              <v:fill type="solid"/>
              <w10:wrap type="none"/>
            </v:rect>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15872">
              <wp:simplePos x="0" y="0"/>
              <wp:positionH relativeFrom="page">
                <wp:posOffset>0</wp:posOffset>
              </wp:positionH>
              <wp:positionV relativeFrom="page">
                <wp:posOffset>10331996</wp:posOffset>
              </wp:positionV>
              <wp:extent cx="7560309" cy="360045"/>
              <wp:effectExtent l="0" t="0" r="0" b="0"/>
              <wp:wrapNone/>
              <wp:docPr id="611" name="Graphic 611"/>
              <wp:cNvGraphicFramePr>
                <a:graphicFrameLocks/>
              </wp:cNvGraphicFramePr>
              <a:graphic>
                <a:graphicData uri="http://schemas.microsoft.com/office/word/2010/wordprocessingShape">
                  <wps:wsp>
                    <wps:cNvPr id="611" name="Graphic 611"/>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00608" id="docshape555" filled="true" fillcolor="#393b7f" stroked="false">
              <v:fill type="solid"/>
              <w10:wrap type="none"/>
            </v:rect>
          </w:pict>
        </mc:Fallback>
      </mc:AlternateContent>
    </w:r>
    <w:r>
      <w:rPr/>
      <mc:AlternateContent>
        <mc:Choice Requires="wps">
          <w:drawing>
            <wp:anchor distT="0" distB="0" distL="0" distR="0" allowOverlap="1" layoutInCell="1" locked="0" behindDoc="1" simplePos="0" relativeHeight="484816384">
              <wp:simplePos x="0" y="0"/>
              <wp:positionH relativeFrom="page">
                <wp:posOffset>707299</wp:posOffset>
              </wp:positionH>
              <wp:positionV relativeFrom="page">
                <wp:posOffset>9873577</wp:posOffset>
              </wp:positionV>
              <wp:extent cx="199390" cy="139700"/>
              <wp:effectExtent l="0" t="0" r="0" b="0"/>
              <wp:wrapNone/>
              <wp:docPr id="612" name="Textbox 612"/>
              <wp:cNvGraphicFramePr>
                <a:graphicFrameLocks/>
              </wp:cNvGraphicFramePr>
              <a:graphic>
                <a:graphicData uri="http://schemas.microsoft.com/office/word/2010/wordprocessingShape">
                  <wps:wsp>
                    <wps:cNvPr id="612" name="Textbox 612"/>
                    <wps:cNvSpPr txBox="1"/>
                    <wps:spPr>
                      <a:xfrm>
                        <a:off x="0" y="0"/>
                        <a:ext cx="199390" cy="139700"/>
                      </a:xfrm>
                      <a:prstGeom prst="rect">
                        <a:avLst/>
                      </a:prstGeom>
                    </wps:spPr>
                    <wps:txbx>
                      <w:txbxContent>
                        <w:p>
                          <w:pPr>
                            <w:spacing w:line="203" w:lineRule="exact" w:before="0"/>
                            <w:ind w:left="20" w:right="0" w:firstLine="0"/>
                            <w:jc w:val="left"/>
                            <w:rPr>
                              <w:sz w:val="18"/>
                            </w:rPr>
                          </w:pPr>
                          <w:r>
                            <w:rPr>
                              <w:spacing w:val="-5"/>
                              <w:sz w:val="18"/>
                            </w:rPr>
                            <w:t>820</w:t>
                          </w:r>
                        </w:p>
                      </w:txbxContent>
                    </wps:txbx>
                    <wps:bodyPr wrap="square" lIns="0" tIns="0" rIns="0" bIns="0" rtlCol="0">
                      <a:noAutofit/>
                    </wps:bodyPr>
                  </wps:wsp>
                </a:graphicData>
              </a:graphic>
            </wp:anchor>
          </w:drawing>
        </mc:Choice>
        <mc:Fallback>
          <w:pict>
            <v:shape style="position:absolute;margin-left:55.692902pt;margin-top:777.447021pt;width:15.7pt;height:11pt;mso-position-horizontal-relative:page;mso-position-vertical-relative:page;z-index:-18500096" type="#_x0000_t202" id="docshape556" filled="false" stroked="false">
              <v:textbox inset="0,0,0,0">
                <w:txbxContent>
                  <w:p>
                    <w:pPr>
                      <w:spacing w:line="203" w:lineRule="exact" w:before="0"/>
                      <w:ind w:left="20" w:right="0" w:firstLine="0"/>
                      <w:jc w:val="left"/>
                      <w:rPr>
                        <w:sz w:val="18"/>
                      </w:rPr>
                    </w:pPr>
                    <w:r>
                      <w:rPr>
                        <w:spacing w:val="-5"/>
                        <w:sz w:val="18"/>
                      </w:rPr>
                      <w:t>820</w:t>
                    </w:r>
                  </w:p>
                </w:txbxContent>
              </v:textbox>
              <w10:wrap type="none"/>
            </v:shape>
          </w:pict>
        </mc:Fallback>
      </mc:AlternateContent>
    </w:r>
    <w:r>
      <w:rPr/>
      <mc:AlternateContent>
        <mc:Choice Requires="wps">
          <w:drawing>
            <wp:anchor distT="0" distB="0" distL="0" distR="0" allowOverlap="1" layoutInCell="1" locked="0" behindDoc="1" simplePos="0" relativeHeight="484816896">
              <wp:simplePos x="0" y="0"/>
              <wp:positionH relativeFrom="page">
                <wp:posOffset>1164499</wp:posOffset>
              </wp:positionH>
              <wp:positionV relativeFrom="page">
                <wp:posOffset>9873577</wp:posOffset>
              </wp:positionV>
              <wp:extent cx="518159" cy="139700"/>
              <wp:effectExtent l="0" t="0" r="0" b="0"/>
              <wp:wrapNone/>
              <wp:docPr id="613" name="Textbox 613"/>
              <wp:cNvGraphicFramePr>
                <a:graphicFrameLocks/>
              </wp:cNvGraphicFramePr>
              <a:graphic>
                <a:graphicData uri="http://schemas.microsoft.com/office/word/2010/wordprocessingShape">
                  <wps:wsp>
                    <wps:cNvPr id="613" name="Textbox 613"/>
                    <wps:cNvSpPr txBox="1"/>
                    <wps:spPr>
                      <a:xfrm>
                        <a:off x="0" y="0"/>
                        <a:ext cx="518159" cy="139700"/>
                      </a:xfrm>
                      <a:prstGeom prst="rect">
                        <a:avLst/>
                      </a:prstGeom>
                    </wps:spPr>
                    <wps:txbx>
                      <w:txbxContent>
                        <w:p>
                          <w:pPr>
                            <w:spacing w:line="203" w:lineRule="exact" w:before="0"/>
                            <w:ind w:left="20" w:right="0" w:firstLine="0"/>
                            <w:jc w:val="left"/>
                            <w:rPr>
                              <w:sz w:val="18"/>
                            </w:rPr>
                          </w:pPr>
                          <w:r>
                            <w:rPr>
                              <w:sz w:val="18"/>
                            </w:rPr>
                            <w:t>Ibid,</w:t>
                          </w:r>
                          <w:r>
                            <w:rPr>
                              <w:spacing w:val="-1"/>
                              <w:sz w:val="18"/>
                            </w:rPr>
                            <w:t> </w:t>
                          </w:r>
                          <w:r>
                            <w:rPr>
                              <w:sz w:val="18"/>
                            </w:rPr>
                            <w:t>at</w:t>
                          </w:r>
                          <w:r>
                            <w:rPr>
                              <w:spacing w:val="-1"/>
                              <w:sz w:val="18"/>
                            </w:rPr>
                            <w:t> </w:t>
                          </w:r>
                          <w:r>
                            <w:rPr>
                              <w:spacing w:val="-5"/>
                              <w:sz w:val="18"/>
                            </w:rPr>
                            <w:t>78.</w:t>
                          </w:r>
                        </w:p>
                      </w:txbxContent>
                    </wps:txbx>
                    <wps:bodyPr wrap="square" lIns="0" tIns="0" rIns="0" bIns="0" rtlCol="0">
                      <a:noAutofit/>
                    </wps:bodyPr>
                  </wps:wsp>
                </a:graphicData>
              </a:graphic>
            </wp:anchor>
          </w:drawing>
        </mc:Choice>
        <mc:Fallback>
          <w:pict>
            <v:shape style="position:absolute;margin-left:91.692902pt;margin-top:777.447021pt;width:40.8pt;height:11pt;mso-position-horizontal-relative:page;mso-position-vertical-relative:page;z-index:-18499584" type="#_x0000_t202" id="docshape557" filled="false" stroked="false">
              <v:textbox inset="0,0,0,0">
                <w:txbxContent>
                  <w:p>
                    <w:pPr>
                      <w:spacing w:line="203" w:lineRule="exact" w:before="0"/>
                      <w:ind w:left="20" w:right="0" w:firstLine="0"/>
                      <w:jc w:val="left"/>
                      <w:rPr>
                        <w:sz w:val="18"/>
                      </w:rPr>
                    </w:pPr>
                    <w:r>
                      <w:rPr>
                        <w:sz w:val="18"/>
                      </w:rPr>
                      <w:t>Ibid,</w:t>
                    </w:r>
                    <w:r>
                      <w:rPr>
                        <w:spacing w:val="-1"/>
                        <w:sz w:val="18"/>
                      </w:rPr>
                      <w:t> </w:t>
                    </w:r>
                    <w:r>
                      <w:rPr>
                        <w:sz w:val="18"/>
                      </w:rPr>
                      <w:t>at</w:t>
                    </w:r>
                    <w:r>
                      <w:rPr>
                        <w:spacing w:val="-1"/>
                        <w:sz w:val="18"/>
                      </w:rPr>
                      <w:t> </w:t>
                    </w:r>
                    <w:r>
                      <w:rPr>
                        <w:spacing w:val="-5"/>
                        <w:sz w:val="18"/>
                      </w:rPr>
                      <w:t>78.</w:t>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19968">
              <wp:simplePos x="0" y="0"/>
              <wp:positionH relativeFrom="page">
                <wp:posOffset>0</wp:posOffset>
              </wp:positionH>
              <wp:positionV relativeFrom="page">
                <wp:posOffset>10331996</wp:posOffset>
              </wp:positionV>
              <wp:extent cx="7560309" cy="360045"/>
              <wp:effectExtent l="0" t="0" r="0" b="0"/>
              <wp:wrapNone/>
              <wp:docPr id="629" name="Graphic 629"/>
              <wp:cNvGraphicFramePr>
                <a:graphicFrameLocks/>
              </wp:cNvGraphicFramePr>
              <a:graphic>
                <a:graphicData uri="http://schemas.microsoft.com/office/word/2010/wordprocessingShape">
                  <wps:wsp>
                    <wps:cNvPr id="629" name="Graphic 629"/>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496512" id="docshape573" filled="true" fillcolor="#393b7f" stroked="false">
              <v:fill type="solid"/>
              <w10:wrap type="none"/>
            </v:rect>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20480">
              <wp:simplePos x="0" y="0"/>
              <wp:positionH relativeFrom="page">
                <wp:posOffset>0</wp:posOffset>
              </wp:positionH>
              <wp:positionV relativeFrom="page">
                <wp:posOffset>10331996</wp:posOffset>
              </wp:positionV>
              <wp:extent cx="7560309" cy="360045"/>
              <wp:effectExtent l="0" t="0" r="0" b="0"/>
              <wp:wrapNone/>
              <wp:docPr id="630" name="Graphic 630"/>
              <wp:cNvGraphicFramePr>
                <a:graphicFrameLocks/>
              </wp:cNvGraphicFramePr>
              <a:graphic>
                <a:graphicData uri="http://schemas.microsoft.com/office/word/2010/wordprocessingShape">
                  <wps:wsp>
                    <wps:cNvPr id="630" name="Graphic 630"/>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496000" id="docshape574" filled="true" fillcolor="#393b7f" stroked="false">
              <v:fill type="solid"/>
              <w10:wrap type="none"/>
            </v:rect>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23552">
              <wp:simplePos x="0" y="0"/>
              <wp:positionH relativeFrom="page">
                <wp:posOffset>0</wp:posOffset>
              </wp:positionH>
              <wp:positionV relativeFrom="page">
                <wp:posOffset>10331996</wp:posOffset>
              </wp:positionV>
              <wp:extent cx="7560309" cy="360045"/>
              <wp:effectExtent l="0" t="0" r="0" b="0"/>
              <wp:wrapNone/>
              <wp:docPr id="650" name="Graphic 650"/>
              <wp:cNvGraphicFramePr>
                <a:graphicFrameLocks/>
              </wp:cNvGraphicFramePr>
              <a:graphic>
                <a:graphicData uri="http://schemas.microsoft.com/office/word/2010/wordprocessingShape">
                  <wps:wsp>
                    <wps:cNvPr id="650" name="Graphic 650"/>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492928" id="docshape594" filled="true" fillcolor="#393b7f" stroked="false">
              <v:fill type="solid"/>
              <w10:wrap type="none"/>
            </v:rect>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24064">
              <wp:simplePos x="0" y="0"/>
              <wp:positionH relativeFrom="page">
                <wp:posOffset>0</wp:posOffset>
              </wp:positionH>
              <wp:positionV relativeFrom="page">
                <wp:posOffset>10331996</wp:posOffset>
              </wp:positionV>
              <wp:extent cx="7560309" cy="360045"/>
              <wp:effectExtent l="0" t="0" r="0" b="0"/>
              <wp:wrapNone/>
              <wp:docPr id="651" name="Graphic 651"/>
              <wp:cNvGraphicFramePr>
                <a:graphicFrameLocks/>
              </wp:cNvGraphicFramePr>
              <a:graphic>
                <a:graphicData uri="http://schemas.microsoft.com/office/word/2010/wordprocessingShape">
                  <wps:wsp>
                    <wps:cNvPr id="651" name="Graphic 651"/>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492416" id="docshape595" filled="true" fillcolor="#393b7f" stroked="false">
              <v:fill type="solid"/>
              <w10:wrap type="none"/>
            </v:rect>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29696">
              <wp:simplePos x="0" y="0"/>
              <wp:positionH relativeFrom="page">
                <wp:posOffset>0</wp:posOffset>
              </wp:positionH>
              <wp:positionV relativeFrom="page">
                <wp:posOffset>10331996</wp:posOffset>
              </wp:positionV>
              <wp:extent cx="7560309" cy="360045"/>
              <wp:effectExtent l="0" t="0" r="0" b="0"/>
              <wp:wrapNone/>
              <wp:docPr id="689" name="Graphic 689"/>
              <wp:cNvGraphicFramePr>
                <a:graphicFrameLocks/>
              </wp:cNvGraphicFramePr>
              <a:graphic>
                <a:graphicData uri="http://schemas.microsoft.com/office/word/2010/wordprocessingShape">
                  <wps:wsp>
                    <wps:cNvPr id="689" name="Graphic 689"/>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486784" id="docshape632" filled="true" fillcolor="#393b7f" stroked="false">
              <v:fill type="solid"/>
              <w10:wrap type="none"/>
            </v:rect>
          </w:pict>
        </mc:Fallback>
      </mc:AlternateContent>
    </w:r>
    <w:r>
      <w:rPr/>
      <mc:AlternateContent>
        <mc:Choice Requires="wps">
          <w:drawing>
            <wp:anchor distT="0" distB="0" distL="0" distR="0" allowOverlap="1" layoutInCell="1" locked="0" behindDoc="1" simplePos="0" relativeHeight="484830208">
              <wp:simplePos x="0" y="0"/>
              <wp:positionH relativeFrom="page">
                <wp:posOffset>719996</wp:posOffset>
              </wp:positionH>
              <wp:positionV relativeFrom="page">
                <wp:posOffset>9978352</wp:posOffset>
              </wp:positionV>
              <wp:extent cx="6120130" cy="1270"/>
              <wp:effectExtent l="0" t="0" r="0" b="0"/>
              <wp:wrapNone/>
              <wp:docPr id="690" name="Graphic 690"/>
              <wp:cNvGraphicFramePr>
                <a:graphicFrameLocks/>
              </wp:cNvGraphicFramePr>
              <a:graphic>
                <a:graphicData uri="http://schemas.microsoft.com/office/word/2010/wordprocessingShape">
                  <wps:wsp>
                    <wps:cNvPr id="690" name="Graphic 690"/>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486272" from="538.5826pt,785.697021pt" to="56.6926pt,785.697021pt" stroked="true" strokeweight="1pt" strokecolor="#393b80">
              <v:stroke dashstyle="solid"/>
              <w10:wrap type="none"/>
            </v:line>
          </w:pict>
        </mc:Fallback>
      </mc:AlternateContent>
    </w:r>
    <w:r>
      <w:rPr/>
      <mc:AlternateContent>
        <mc:Choice Requires="wps">
          <w:drawing>
            <wp:anchor distT="0" distB="0" distL="0" distR="0" allowOverlap="1" layoutInCell="1" locked="0" behindDoc="1" simplePos="0" relativeHeight="484830720">
              <wp:simplePos x="0" y="0"/>
              <wp:positionH relativeFrom="page">
                <wp:posOffset>719996</wp:posOffset>
              </wp:positionH>
              <wp:positionV relativeFrom="page">
                <wp:posOffset>9726352</wp:posOffset>
              </wp:positionV>
              <wp:extent cx="6120130" cy="1270"/>
              <wp:effectExtent l="0" t="0" r="0" b="0"/>
              <wp:wrapNone/>
              <wp:docPr id="691" name="Graphic 691"/>
              <wp:cNvGraphicFramePr>
                <a:graphicFrameLocks/>
              </wp:cNvGraphicFramePr>
              <a:graphic>
                <a:graphicData uri="http://schemas.microsoft.com/office/word/2010/wordprocessingShape">
                  <wps:wsp>
                    <wps:cNvPr id="691" name="Graphic 691"/>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485760" from="538.5826pt,765.854492pt" to="56.6926pt,765.854492pt" stroked="true" strokeweight="1pt" strokecolor="#393b80">
              <v:stroke dashstyle="solid"/>
              <w10:wrap type="none"/>
            </v:line>
          </w:pict>
        </mc:Fallback>
      </mc:AlternateContent>
    </w:r>
    <w:r>
      <w:rPr/>
      <mc:AlternateContent>
        <mc:Choice Requires="wps">
          <w:drawing>
            <wp:anchor distT="0" distB="0" distL="0" distR="0" allowOverlap="1" layoutInCell="1" locked="0" behindDoc="1" simplePos="0" relativeHeight="484831232">
              <wp:simplePos x="0" y="0"/>
              <wp:positionH relativeFrom="page">
                <wp:posOffset>719996</wp:posOffset>
              </wp:positionH>
              <wp:positionV relativeFrom="page">
                <wp:posOffset>9474351</wp:posOffset>
              </wp:positionV>
              <wp:extent cx="6120130" cy="1270"/>
              <wp:effectExtent l="0" t="0" r="0" b="0"/>
              <wp:wrapNone/>
              <wp:docPr id="692" name="Graphic 692"/>
              <wp:cNvGraphicFramePr>
                <a:graphicFrameLocks/>
              </wp:cNvGraphicFramePr>
              <a:graphic>
                <a:graphicData uri="http://schemas.microsoft.com/office/word/2010/wordprocessingShape">
                  <wps:wsp>
                    <wps:cNvPr id="692" name="Graphic 692"/>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485248" from="538.5826pt,746.011902pt" to="56.6926pt,746.011902pt" stroked="true" strokeweight="1pt" strokecolor="#393b80">
              <v:stroke dashstyle="solid"/>
              <w10:wrap type="none"/>
            </v:line>
          </w:pict>
        </mc:Fallback>
      </mc:AlternateContent>
    </w:r>
    <w:r>
      <w:rPr/>
      <mc:AlternateContent>
        <mc:Choice Requires="wps">
          <w:drawing>
            <wp:anchor distT="0" distB="0" distL="0" distR="0" allowOverlap="1" layoutInCell="1" locked="0" behindDoc="1" simplePos="0" relativeHeight="484831744">
              <wp:simplePos x="0" y="0"/>
              <wp:positionH relativeFrom="page">
                <wp:posOffset>719996</wp:posOffset>
              </wp:positionH>
              <wp:positionV relativeFrom="page">
                <wp:posOffset>9222351</wp:posOffset>
              </wp:positionV>
              <wp:extent cx="6120130" cy="1270"/>
              <wp:effectExtent l="0" t="0" r="0" b="0"/>
              <wp:wrapNone/>
              <wp:docPr id="693" name="Graphic 693"/>
              <wp:cNvGraphicFramePr>
                <a:graphicFrameLocks/>
              </wp:cNvGraphicFramePr>
              <a:graphic>
                <a:graphicData uri="http://schemas.microsoft.com/office/word/2010/wordprocessingShape">
                  <wps:wsp>
                    <wps:cNvPr id="693" name="Graphic 693"/>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484736" from="538.5826pt,726.169434pt" to="56.6926pt,726.169434pt" stroked="true" strokeweight="1pt" strokecolor="#393b80">
              <v:stroke dashstyle="solid"/>
              <w10:wrap type="none"/>
            </v:line>
          </w:pict>
        </mc:Fallback>
      </mc:AlternateContent>
    </w:r>
    <w:r>
      <w:rPr/>
      <mc:AlternateContent>
        <mc:Choice Requires="wps">
          <w:drawing>
            <wp:anchor distT="0" distB="0" distL="0" distR="0" allowOverlap="1" layoutInCell="1" locked="0" behindDoc="1" simplePos="0" relativeHeight="484832256">
              <wp:simplePos x="0" y="0"/>
              <wp:positionH relativeFrom="page">
                <wp:posOffset>719996</wp:posOffset>
              </wp:positionH>
              <wp:positionV relativeFrom="page">
                <wp:posOffset>8970351</wp:posOffset>
              </wp:positionV>
              <wp:extent cx="6120130" cy="1270"/>
              <wp:effectExtent l="0" t="0" r="0" b="0"/>
              <wp:wrapNone/>
              <wp:docPr id="694" name="Graphic 694"/>
              <wp:cNvGraphicFramePr>
                <a:graphicFrameLocks/>
              </wp:cNvGraphicFramePr>
              <a:graphic>
                <a:graphicData uri="http://schemas.microsoft.com/office/word/2010/wordprocessingShape">
                  <wps:wsp>
                    <wps:cNvPr id="694" name="Graphic 694"/>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484224" from="538.5826pt,706.326904pt" to="56.6926pt,706.326904pt" stroked="true" strokeweight="1pt" strokecolor="#393b80">
              <v:stroke dashstyle="solid"/>
              <w10:wrap type="none"/>
            </v:line>
          </w:pict>
        </mc:Fallback>
      </mc:AlternateContent>
    </w:r>
    <w:r>
      <w:rPr/>
      <mc:AlternateContent>
        <mc:Choice Requires="wps">
          <w:drawing>
            <wp:anchor distT="0" distB="0" distL="0" distR="0" allowOverlap="1" layoutInCell="1" locked="0" behindDoc="1" simplePos="0" relativeHeight="484832768">
              <wp:simplePos x="0" y="0"/>
              <wp:positionH relativeFrom="page">
                <wp:posOffset>719996</wp:posOffset>
              </wp:positionH>
              <wp:positionV relativeFrom="page">
                <wp:posOffset>8718354</wp:posOffset>
              </wp:positionV>
              <wp:extent cx="6120130" cy="1270"/>
              <wp:effectExtent l="0" t="0" r="0" b="0"/>
              <wp:wrapNone/>
              <wp:docPr id="695" name="Graphic 695"/>
              <wp:cNvGraphicFramePr>
                <a:graphicFrameLocks/>
              </wp:cNvGraphicFramePr>
              <a:graphic>
                <a:graphicData uri="http://schemas.microsoft.com/office/word/2010/wordprocessingShape">
                  <wps:wsp>
                    <wps:cNvPr id="695" name="Graphic 695"/>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483712" from="538.5826pt,686.484619pt" to="56.6926pt,686.484619pt" stroked="true" strokeweight="1pt" strokecolor="#393b80">
              <v:stroke dashstyle="solid"/>
              <w10:wrap type="none"/>
            </v:line>
          </w:pict>
        </mc:Fallback>
      </mc:AlternateContent>
    </w:r>
    <w:r>
      <w:rPr/>
      <mc:AlternateContent>
        <mc:Choice Requires="wps">
          <w:drawing>
            <wp:anchor distT="0" distB="0" distL="0" distR="0" allowOverlap="1" layoutInCell="1" locked="0" behindDoc="1" simplePos="0" relativeHeight="484833280">
              <wp:simplePos x="0" y="0"/>
              <wp:positionH relativeFrom="page">
                <wp:posOffset>719996</wp:posOffset>
              </wp:positionH>
              <wp:positionV relativeFrom="page">
                <wp:posOffset>8466354</wp:posOffset>
              </wp:positionV>
              <wp:extent cx="6120130" cy="1270"/>
              <wp:effectExtent l="0" t="0" r="0" b="0"/>
              <wp:wrapNone/>
              <wp:docPr id="696" name="Graphic 696"/>
              <wp:cNvGraphicFramePr>
                <a:graphicFrameLocks/>
              </wp:cNvGraphicFramePr>
              <a:graphic>
                <a:graphicData uri="http://schemas.microsoft.com/office/word/2010/wordprocessingShape">
                  <wps:wsp>
                    <wps:cNvPr id="696" name="Graphic 696"/>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483200" from="538.5826pt,666.642090pt" to="56.6926pt,666.642090pt" stroked="true" strokeweight="1pt" strokecolor="#393b80">
              <v:stroke dashstyle="solid"/>
              <w10:wrap type="none"/>
            </v:line>
          </w:pict>
        </mc:Fallback>
      </mc:AlternateContent>
    </w:r>
    <w:r>
      <w:rPr/>
      <mc:AlternateContent>
        <mc:Choice Requires="wps">
          <w:drawing>
            <wp:anchor distT="0" distB="0" distL="0" distR="0" allowOverlap="1" layoutInCell="1" locked="0" behindDoc="1" simplePos="0" relativeHeight="484833792">
              <wp:simplePos x="0" y="0"/>
              <wp:positionH relativeFrom="page">
                <wp:posOffset>719996</wp:posOffset>
              </wp:positionH>
              <wp:positionV relativeFrom="page">
                <wp:posOffset>8214353</wp:posOffset>
              </wp:positionV>
              <wp:extent cx="6120130" cy="1270"/>
              <wp:effectExtent l="0" t="0" r="0" b="0"/>
              <wp:wrapNone/>
              <wp:docPr id="697" name="Graphic 697"/>
              <wp:cNvGraphicFramePr>
                <a:graphicFrameLocks/>
              </wp:cNvGraphicFramePr>
              <a:graphic>
                <a:graphicData uri="http://schemas.microsoft.com/office/word/2010/wordprocessingShape">
                  <wps:wsp>
                    <wps:cNvPr id="697" name="Graphic 697"/>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482688" from="538.5826pt,646.7995pt" to="56.6926pt,646.7995pt" stroked="true" strokeweight="1pt" strokecolor="#393b80">
              <v:stroke dashstyle="solid"/>
              <w10:wrap type="none"/>
            </v:line>
          </w:pict>
        </mc:Fallback>
      </mc:AlternateContent>
    </w:r>
    <w:r>
      <w:rPr/>
      <mc:AlternateContent>
        <mc:Choice Requires="wps">
          <w:drawing>
            <wp:anchor distT="0" distB="0" distL="0" distR="0" allowOverlap="1" layoutInCell="1" locked="0" behindDoc="1" simplePos="0" relativeHeight="484834304">
              <wp:simplePos x="0" y="0"/>
              <wp:positionH relativeFrom="page">
                <wp:posOffset>719996</wp:posOffset>
              </wp:positionH>
              <wp:positionV relativeFrom="page">
                <wp:posOffset>7962354</wp:posOffset>
              </wp:positionV>
              <wp:extent cx="6120130" cy="1270"/>
              <wp:effectExtent l="0" t="0" r="0" b="0"/>
              <wp:wrapNone/>
              <wp:docPr id="698" name="Graphic 698"/>
              <wp:cNvGraphicFramePr>
                <a:graphicFrameLocks/>
              </wp:cNvGraphicFramePr>
              <a:graphic>
                <a:graphicData uri="http://schemas.microsoft.com/office/word/2010/wordprocessingShape">
                  <wps:wsp>
                    <wps:cNvPr id="698" name="Graphic 698"/>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482176" from="538.5826pt,626.957031pt" to="56.6926pt,626.957031pt" stroked="true" strokeweight="1pt" strokecolor="#393b80">
              <v:stroke dashstyle="solid"/>
              <w10:wrap type="none"/>
            </v:line>
          </w:pict>
        </mc:Fallback>
      </mc:AlternateContent>
    </w:r>
    <w:r>
      <w:rPr/>
      <mc:AlternateContent>
        <mc:Choice Requires="wps">
          <w:drawing>
            <wp:anchor distT="0" distB="0" distL="0" distR="0" allowOverlap="1" layoutInCell="1" locked="0" behindDoc="1" simplePos="0" relativeHeight="484834816">
              <wp:simplePos x="0" y="0"/>
              <wp:positionH relativeFrom="page">
                <wp:posOffset>719996</wp:posOffset>
              </wp:positionH>
              <wp:positionV relativeFrom="page">
                <wp:posOffset>7710354</wp:posOffset>
              </wp:positionV>
              <wp:extent cx="6120130" cy="1270"/>
              <wp:effectExtent l="0" t="0" r="0" b="0"/>
              <wp:wrapNone/>
              <wp:docPr id="699" name="Graphic 699"/>
              <wp:cNvGraphicFramePr>
                <a:graphicFrameLocks/>
              </wp:cNvGraphicFramePr>
              <a:graphic>
                <a:graphicData uri="http://schemas.microsoft.com/office/word/2010/wordprocessingShape">
                  <wps:wsp>
                    <wps:cNvPr id="699" name="Graphic 699"/>
                    <wps:cNvSpPr/>
                    <wps:spPr>
                      <a:xfrm>
                        <a:off x="0" y="0"/>
                        <a:ext cx="6120130" cy="1270"/>
                      </a:xfrm>
                      <a:custGeom>
                        <a:avLst/>
                        <a:gdLst/>
                        <a:ahLst/>
                        <a:cxnLst/>
                        <a:rect l="l" t="t" r="r" b="b"/>
                        <a:pathLst>
                          <a:path w="6120130" h="0">
                            <a:moveTo>
                              <a:pt x="6120003" y="0"/>
                            </a:moveTo>
                            <a:lnTo>
                              <a:pt x="0" y="0"/>
                            </a:lnTo>
                          </a:path>
                        </a:pathLst>
                      </a:custGeom>
                      <a:ln w="12700">
                        <a:solidFill>
                          <a:srgbClr val="393B8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481664" from="538.5826pt,607.114502pt" to="56.6926pt,607.114502pt" stroked="true" strokeweight="1pt" strokecolor="#393b80">
              <v:stroke dashstyle="solid"/>
              <w10:wrap type="none"/>
            </v:lin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23200">
              <wp:simplePos x="0" y="0"/>
              <wp:positionH relativeFrom="page">
                <wp:posOffset>0</wp:posOffset>
              </wp:positionH>
              <wp:positionV relativeFrom="page">
                <wp:posOffset>10331996</wp:posOffset>
              </wp:positionV>
              <wp:extent cx="7560309" cy="360045"/>
              <wp:effectExtent l="0" t="0" r="0" b="0"/>
              <wp:wrapNone/>
              <wp:docPr id="168" name="Graphic 168"/>
              <wp:cNvGraphicFramePr>
                <a:graphicFrameLocks/>
              </wp:cNvGraphicFramePr>
              <a:graphic>
                <a:graphicData uri="http://schemas.microsoft.com/office/word/2010/wordprocessingShape">
                  <wps:wsp>
                    <wps:cNvPr id="168" name="Graphic 168"/>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93280" id="docshape125" filled="true" fillcolor="#393b7f" stroked="false">
              <v:fill type="solid"/>
              <w10:wrap type="none"/>
            </v:rect>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35328">
              <wp:simplePos x="0" y="0"/>
              <wp:positionH relativeFrom="page">
                <wp:posOffset>0</wp:posOffset>
              </wp:positionH>
              <wp:positionV relativeFrom="page">
                <wp:posOffset>10331996</wp:posOffset>
              </wp:positionV>
              <wp:extent cx="7560309" cy="360045"/>
              <wp:effectExtent l="0" t="0" r="0" b="0"/>
              <wp:wrapNone/>
              <wp:docPr id="700" name="Graphic 700"/>
              <wp:cNvGraphicFramePr>
                <a:graphicFrameLocks/>
              </wp:cNvGraphicFramePr>
              <a:graphic>
                <a:graphicData uri="http://schemas.microsoft.com/office/word/2010/wordprocessingShape">
                  <wps:wsp>
                    <wps:cNvPr id="700" name="Graphic 700"/>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481152" id="docshape633" filled="true" fillcolor="#393b7f" stroked="false">
              <v:fill type="solid"/>
              <w10:wrap type="none"/>
            </v:rect>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23712">
              <wp:simplePos x="0" y="0"/>
              <wp:positionH relativeFrom="page">
                <wp:posOffset>0</wp:posOffset>
              </wp:positionH>
              <wp:positionV relativeFrom="page">
                <wp:posOffset>10331996</wp:posOffset>
              </wp:positionV>
              <wp:extent cx="7560309" cy="360045"/>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92768" id="docshape126" filled="true" fillcolor="#393b7f" stroked="false">
              <v:fill type="solid"/>
              <w10:wrap type="none"/>
            </v:rect>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26784">
              <wp:simplePos x="0" y="0"/>
              <wp:positionH relativeFrom="page">
                <wp:posOffset>0</wp:posOffset>
              </wp:positionH>
              <wp:positionV relativeFrom="page">
                <wp:posOffset>10331996</wp:posOffset>
              </wp:positionV>
              <wp:extent cx="7560309" cy="360045"/>
              <wp:effectExtent l="0" t="0" r="0" b="0"/>
              <wp:wrapNone/>
              <wp:docPr id="194" name="Graphic 194"/>
              <wp:cNvGraphicFramePr>
                <a:graphicFrameLocks/>
              </wp:cNvGraphicFramePr>
              <a:graphic>
                <a:graphicData uri="http://schemas.microsoft.com/office/word/2010/wordprocessingShape">
                  <wps:wsp>
                    <wps:cNvPr id="194" name="Graphic 194"/>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89696" id="docshape151" filled="true" fillcolor="#393b7f" stroked="false">
              <v:fill type="solid"/>
              <w10:wrap type="none"/>
            </v:rect>
          </w:pict>
        </mc:Fallback>
      </mc:AlternateContent>
    </w:r>
    <w:r>
      <w:rPr/>
      <mc:AlternateContent>
        <mc:Choice Requires="wps">
          <w:drawing>
            <wp:anchor distT="0" distB="0" distL="0" distR="0" allowOverlap="1" layoutInCell="1" locked="0" behindDoc="1" simplePos="0" relativeHeight="484727296">
              <wp:simplePos x="0" y="0"/>
              <wp:positionH relativeFrom="page">
                <wp:posOffset>3755256</wp:posOffset>
              </wp:positionH>
              <wp:positionV relativeFrom="page">
                <wp:posOffset>9436310</wp:posOffset>
              </wp:positionV>
              <wp:extent cx="28575" cy="1270"/>
              <wp:effectExtent l="0" t="0" r="0" b="0"/>
              <wp:wrapNone/>
              <wp:docPr id="195" name="Graphic 195"/>
              <wp:cNvGraphicFramePr>
                <a:graphicFrameLocks/>
              </wp:cNvGraphicFramePr>
              <a:graphic>
                <a:graphicData uri="http://schemas.microsoft.com/office/word/2010/wordprocessingShape">
                  <wps:wsp>
                    <wps:cNvPr id="195" name="Graphic 195"/>
                    <wps:cNvSpPr/>
                    <wps:spPr>
                      <a:xfrm>
                        <a:off x="0" y="0"/>
                        <a:ext cx="28575" cy="1270"/>
                      </a:xfrm>
                      <a:custGeom>
                        <a:avLst/>
                        <a:gdLst/>
                        <a:ahLst/>
                        <a:cxnLst/>
                        <a:rect l="l" t="t" r="r" b="b"/>
                        <a:pathLst>
                          <a:path w="28575" h="0">
                            <a:moveTo>
                              <a:pt x="0" y="0"/>
                            </a:moveTo>
                            <a:lnTo>
                              <a:pt x="28524" y="0"/>
                            </a:lnTo>
                          </a:path>
                        </a:pathLst>
                      </a:custGeom>
                      <a:ln w="7480">
                        <a:solidFill>
                          <a:srgbClr val="0562C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589184" from="295.689514pt,743.016602pt" to="297.935514pt,743.016602pt" stroked="true" strokeweight=".589pt" strokecolor="#0562c1">
              <v:stroke dashstyle="solid"/>
              <w10:wrap type="none"/>
            </v:lin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27808">
              <wp:simplePos x="0" y="0"/>
              <wp:positionH relativeFrom="page">
                <wp:posOffset>0</wp:posOffset>
              </wp:positionH>
              <wp:positionV relativeFrom="page">
                <wp:posOffset>10331996</wp:posOffset>
              </wp:positionV>
              <wp:extent cx="7560309" cy="360045"/>
              <wp:effectExtent l="0" t="0" r="0" b="0"/>
              <wp:wrapNone/>
              <wp:docPr id="196" name="Graphic 196"/>
              <wp:cNvGraphicFramePr>
                <a:graphicFrameLocks/>
              </wp:cNvGraphicFramePr>
              <a:graphic>
                <a:graphicData uri="http://schemas.microsoft.com/office/word/2010/wordprocessingShape">
                  <wps:wsp>
                    <wps:cNvPr id="196" name="Graphic 196"/>
                    <wps:cNvSpPr/>
                    <wps:spPr>
                      <a:xfrm>
                        <a:off x="0" y="0"/>
                        <a:ext cx="7560309" cy="360045"/>
                      </a:xfrm>
                      <a:custGeom>
                        <a:avLst/>
                        <a:gdLst/>
                        <a:ahLst/>
                        <a:cxnLst/>
                        <a:rect l="l" t="t" r="r" b="b"/>
                        <a:pathLst>
                          <a:path w="7560309" h="360045">
                            <a:moveTo>
                              <a:pt x="7560005" y="0"/>
                            </a:moveTo>
                            <a:lnTo>
                              <a:pt x="0" y="0"/>
                            </a:lnTo>
                            <a:lnTo>
                              <a:pt x="0" y="360006"/>
                            </a:lnTo>
                            <a:lnTo>
                              <a:pt x="7560005" y="360006"/>
                            </a:lnTo>
                            <a:lnTo>
                              <a:pt x="7560005" y="0"/>
                            </a:lnTo>
                            <a:close/>
                          </a:path>
                        </a:pathLst>
                      </a:custGeom>
                      <a:solidFill>
                        <a:srgbClr val="393B7F"/>
                      </a:solidFill>
                    </wps:spPr>
                    <wps:bodyPr wrap="square" lIns="0" tIns="0" rIns="0" bIns="0" rtlCol="0">
                      <a:prstTxWarp prst="textNoShape">
                        <a:avLst/>
                      </a:prstTxWarp>
                      <a:noAutofit/>
                    </wps:bodyPr>
                  </wps:wsp>
                </a:graphicData>
              </a:graphic>
            </wp:anchor>
          </w:drawing>
        </mc:Choice>
        <mc:Fallback>
          <w:pict>
            <v:rect style="position:absolute;margin-left:0pt;margin-top:813.54303pt;width:595.276001pt;height:28.347pt;mso-position-horizontal-relative:page;mso-position-vertical-relative:page;z-index:-18588672" id="docshape152" filled="true" fillcolor="#393b7f" stroked="false">
              <v:fill type="solid"/>
              <w10:wrap type="none"/>
            </v:rect>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13472">
              <wp:simplePos x="0" y="0"/>
              <wp:positionH relativeFrom="page">
                <wp:posOffset>0</wp:posOffset>
              </wp:positionH>
              <wp:positionV relativeFrom="page">
                <wp:posOffset>315010</wp:posOffset>
              </wp:positionV>
              <wp:extent cx="7560309" cy="467995"/>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7560309" cy="467995"/>
                        <a:chExt cx="7560309" cy="467995"/>
                      </a:xfrm>
                    </wpg:grpSpPr>
                    <wps:wsp>
                      <wps:cNvPr id="93" name="Graphic 93"/>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94" name="Graphic 94"/>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603008" id="docshapegroup60" coordorigin="0,496" coordsize="11906,737">
              <v:rect style="position:absolute;left:0;top:496;width:11906;height:737" id="docshape61" filled="true" fillcolor="#67287f" stroked="false">
                <v:fill type="solid"/>
              </v:rect>
              <v:rect style="position:absolute;left:0;top:496;width:1134;height:737" id="docshape62"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13984">
              <wp:simplePos x="0" y="0"/>
              <wp:positionH relativeFrom="page">
                <wp:posOffset>808099</wp:posOffset>
              </wp:positionH>
              <wp:positionV relativeFrom="page">
                <wp:posOffset>380352</wp:posOffset>
              </wp:positionV>
              <wp:extent cx="3020060" cy="35560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602496" type="#_x0000_t202" id="docshape63"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714496">
              <wp:simplePos x="0" y="0"/>
              <wp:positionH relativeFrom="page">
                <wp:posOffset>222078</wp:posOffset>
              </wp:positionH>
              <wp:positionV relativeFrom="page">
                <wp:posOffset>466751</wp:posOffset>
              </wp:positionV>
              <wp:extent cx="288925" cy="17780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88925"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43</w:t>
                          </w:r>
                          <w:r>
                            <w:rPr>
                              <w:rFonts w:ascii="Tahoma"/>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17.4865pt;margin-top:36.752117pt;width:22.75pt;height:14pt;mso-position-horizontal-relative:page;mso-position-vertical-relative:page;z-index:-18601984" type="#_x0000_t202" id="docshape64" filled="false" stroked="false">
              <v:textbox inset="0,0,0,0">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43</w:t>
                    </w:r>
                    <w:r>
                      <w:rPr>
                        <w:rFonts w:ascii="Tahoma"/>
                        <w:b/>
                        <w:color w:val="FFFFFF"/>
                        <w:spacing w:val="-5"/>
                        <w:sz w:val="24"/>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29344">
              <wp:simplePos x="0" y="0"/>
              <wp:positionH relativeFrom="page">
                <wp:posOffset>0</wp:posOffset>
              </wp:positionH>
              <wp:positionV relativeFrom="page">
                <wp:posOffset>315010</wp:posOffset>
              </wp:positionV>
              <wp:extent cx="7560309" cy="467995"/>
              <wp:effectExtent l="0" t="0" r="0" b="0"/>
              <wp:wrapNone/>
              <wp:docPr id="203" name="Group 203"/>
              <wp:cNvGraphicFramePr>
                <a:graphicFrameLocks/>
              </wp:cNvGraphicFramePr>
              <a:graphic>
                <a:graphicData uri="http://schemas.microsoft.com/office/word/2010/wordprocessingGroup">
                  <wpg:wgp>
                    <wpg:cNvPr id="203" name="Group 203"/>
                    <wpg:cNvGrpSpPr/>
                    <wpg:grpSpPr>
                      <a:xfrm>
                        <a:off x="0" y="0"/>
                        <a:ext cx="7560309" cy="467995"/>
                        <a:chExt cx="7560309" cy="467995"/>
                      </a:xfrm>
                    </wpg:grpSpPr>
                    <wps:wsp>
                      <wps:cNvPr id="204" name="Graphic 204"/>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205" name="Graphic 205"/>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87136" id="docshapegroup159" coordorigin="0,496" coordsize="11906,737">
              <v:rect style="position:absolute;left:0;top:496;width:11906;height:737" id="docshape160" filled="true" fillcolor="#67287f" stroked="false">
                <v:fill type="solid"/>
              </v:rect>
              <v:rect style="position:absolute;left:0;top:496;width:1134;height:737" id="docshape161"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29856">
              <wp:simplePos x="0" y="0"/>
              <wp:positionH relativeFrom="page">
                <wp:posOffset>808099</wp:posOffset>
              </wp:positionH>
              <wp:positionV relativeFrom="page">
                <wp:posOffset>380352</wp:posOffset>
              </wp:positionV>
              <wp:extent cx="3020060" cy="355600"/>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86624" type="#_x0000_t202" id="docshape162"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730368">
              <wp:simplePos x="0" y="0"/>
              <wp:positionH relativeFrom="page">
                <wp:posOffset>221392</wp:posOffset>
              </wp:positionH>
              <wp:positionV relativeFrom="page">
                <wp:posOffset>466751</wp:posOffset>
              </wp:positionV>
              <wp:extent cx="290195" cy="177800"/>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290195"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w w:val="105"/>
                              <w:sz w:val="24"/>
                            </w:rPr>
                            <w:fldChar w:fldCharType="begin"/>
                          </w:r>
                          <w:r>
                            <w:rPr>
                              <w:rFonts w:ascii="Tahoma"/>
                              <w:b/>
                              <w:color w:val="FFFFFF"/>
                              <w:spacing w:val="-5"/>
                              <w:w w:val="105"/>
                              <w:sz w:val="24"/>
                            </w:rPr>
                            <w:instrText> PAGE </w:instrText>
                          </w:r>
                          <w:r>
                            <w:rPr>
                              <w:rFonts w:ascii="Tahoma"/>
                              <w:b/>
                              <w:color w:val="FFFFFF"/>
                              <w:spacing w:val="-5"/>
                              <w:w w:val="105"/>
                              <w:sz w:val="24"/>
                            </w:rPr>
                            <w:fldChar w:fldCharType="separate"/>
                          </w:r>
                          <w:r>
                            <w:rPr>
                              <w:rFonts w:ascii="Tahoma"/>
                              <w:b/>
                              <w:color w:val="FFFFFF"/>
                              <w:spacing w:val="-5"/>
                              <w:w w:val="105"/>
                              <w:sz w:val="24"/>
                            </w:rPr>
                            <w:t>45</w:t>
                          </w:r>
                          <w:r>
                            <w:rPr>
                              <w:rFonts w:ascii="Tahoma"/>
                              <w:b/>
                              <w:color w:val="FFFFFF"/>
                              <w:spacing w:val="-5"/>
                              <w:w w:val="105"/>
                              <w:sz w:val="24"/>
                            </w:rPr>
                            <w:fldChar w:fldCharType="end"/>
                          </w:r>
                        </w:p>
                      </w:txbxContent>
                    </wps:txbx>
                    <wps:bodyPr wrap="square" lIns="0" tIns="0" rIns="0" bIns="0" rtlCol="0">
                      <a:noAutofit/>
                    </wps:bodyPr>
                  </wps:wsp>
                </a:graphicData>
              </a:graphic>
            </wp:anchor>
          </w:drawing>
        </mc:Choice>
        <mc:Fallback>
          <w:pict>
            <v:shape style="position:absolute;margin-left:17.432501pt;margin-top:36.752117pt;width:22.85pt;height:14pt;mso-position-horizontal-relative:page;mso-position-vertical-relative:page;z-index:-18586112" type="#_x0000_t202" id="docshape163" filled="false" stroked="false">
              <v:textbox inset="0,0,0,0">
                <w:txbxContent>
                  <w:p>
                    <w:pPr>
                      <w:spacing w:line="266" w:lineRule="exact" w:before="0"/>
                      <w:ind w:left="60" w:right="0" w:firstLine="0"/>
                      <w:jc w:val="left"/>
                      <w:rPr>
                        <w:rFonts w:ascii="Tahoma"/>
                        <w:b/>
                        <w:sz w:val="24"/>
                      </w:rPr>
                    </w:pPr>
                    <w:r>
                      <w:rPr>
                        <w:rFonts w:ascii="Tahoma"/>
                        <w:b/>
                        <w:color w:val="FFFFFF"/>
                        <w:spacing w:val="-5"/>
                        <w:w w:val="105"/>
                        <w:sz w:val="24"/>
                      </w:rPr>
                      <w:fldChar w:fldCharType="begin"/>
                    </w:r>
                    <w:r>
                      <w:rPr>
                        <w:rFonts w:ascii="Tahoma"/>
                        <w:b/>
                        <w:color w:val="FFFFFF"/>
                        <w:spacing w:val="-5"/>
                        <w:w w:val="105"/>
                        <w:sz w:val="24"/>
                      </w:rPr>
                      <w:instrText> PAGE </w:instrText>
                    </w:r>
                    <w:r>
                      <w:rPr>
                        <w:rFonts w:ascii="Tahoma"/>
                        <w:b/>
                        <w:color w:val="FFFFFF"/>
                        <w:spacing w:val="-5"/>
                        <w:w w:val="105"/>
                        <w:sz w:val="24"/>
                      </w:rPr>
                      <w:fldChar w:fldCharType="separate"/>
                    </w:r>
                    <w:r>
                      <w:rPr>
                        <w:rFonts w:ascii="Tahoma"/>
                        <w:b/>
                        <w:color w:val="FFFFFF"/>
                        <w:spacing w:val="-5"/>
                        <w:w w:val="105"/>
                        <w:sz w:val="24"/>
                      </w:rPr>
                      <w:t>45</w:t>
                    </w:r>
                    <w:r>
                      <w:rPr>
                        <w:rFonts w:ascii="Tahoma"/>
                        <w:b/>
                        <w:color w:val="FFFFFF"/>
                        <w:spacing w:val="-5"/>
                        <w:w w:val="105"/>
                        <w:sz w:val="24"/>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31904">
              <wp:simplePos x="0" y="0"/>
              <wp:positionH relativeFrom="page">
                <wp:posOffset>0</wp:posOffset>
              </wp:positionH>
              <wp:positionV relativeFrom="page">
                <wp:posOffset>315010</wp:posOffset>
              </wp:positionV>
              <wp:extent cx="7560309" cy="467995"/>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7560309" cy="467995"/>
                        <a:chExt cx="7560309" cy="467995"/>
                      </a:xfrm>
                    </wpg:grpSpPr>
                    <wps:wsp>
                      <wps:cNvPr id="223" name="Graphic 223"/>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224" name="Graphic 224"/>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84576" id="docshapegroup178" coordorigin="0,496" coordsize="11906,737">
              <v:rect style="position:absolute;left:0;top:496;width:11906;height:737" id="docshape179" filled="true" fillcolor="#67287f" stroked="false">
                <v:fill type="solid"/>
              </v:rect>
              <v:rect style="position:absolute;left:0;top:496;width:1134;height:737" id="docshape180"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32416">
              <wp:simplePos x="0" y="0"/>
              <wp:positionH relativeFrom="page">
                <wp:posOffset>808099</wp:posOffset>
              </wp:positionH>
              <wp:positionV relativeFrom="page">
                <wp:posOffset>380352</wp:posOffset>
              </wp:positionV>
              <wp:extent cx="3020060" cy="35560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84064" type="#_x0000_t202" id="docshape181"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732928">
              <wp:simplePos x="0" y="0"/>
              <wp:positionH relativeFrom="page">
                <wp:posOffset>226575</wp:posOffset>
              </wp:positionH>
              <wp:positionV relativeFrom="page">
                <wp:posOffset>466751</wp:posOffset>
              </wp:positionV>
              <wp:extent cx="280035" cy="17780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280035"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53</w:t>
                          </w:r>
                          <w:r>
                            <w:rPr>
                              <w:rFonts w:ascii="Tahoma"/>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17.840599pt;margin-top:36.752117pt;width:22.05pt;height:14pt;mso-position-horizontal-relative:page;mso-position-vertical-relative:page;z-index:-18583552" type="#_x0000_t202" id="docshape182" filled="false" stroked="false">
              <v:textbox inset="0,0,0,0">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53</w:t>
                    </w:r>
                    <w:r>
                      <w:rPr>
                        <w:rFonts w:ascii="Tahoma"/>
                        <w:b/>
                        <w:color w:val="FFFFFF"/>
                        <w:spacing w:val="-5"/>
                        <w:sz w:val="24"/>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33440">
              <wp:simplePos x="0" y="0"/>
              <wp:positionH relativeFrom="page">
                <wp:posOffset>0</wp:posOffset>
              </wp:positionH>
              <wp:positionV relativeFrom="page">
                <wp:posOffset>315010</wp:posOffset>
              </wp:positionV>
              <wp:extent cx="7560309" cy="467995"/>
              <wp:effectExtent l="0" t="0" r="0" b="0"/>
              <wp:wrapNone/>
              <wp:docPr id="227" name="Group 227"/>
              <wp:cNvGraphicFramePr>
                <a:graphicFrameLocks/>
              </wp:cNvGraphicFramePr>
              <a:graphic>
                <a:graphicData uri="http://schemas.microsoft.com/office/word/2010/wordprocessingGroup">
                  <wpg:wgp>
                    <wpg:cNvPr id="227" name="Group 227"/>
                    <wpg:cNvGrpSpPr/>
                    <wpg:grpSpPr>
                      <a:xfrm>
                        <a:off x="0" y="0"/>
                        <a:ext cx="7560309" cy="467995"/>
                        <a:chExt cx="7560309" cy="467995"/>
                      </a:xfrm>
                    </wpg:grpSpPr>
                    <wps:wsp>
                      <wps:cNvPr id="228" name="Graphic 228"/>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229" name="Graphic 229"/>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83040" id="docshapegroup183" coordorigin="0,496" coordsize="11906,737">
              <v:rect style="position:absolute;left:0;top:496;width:11906;height:737" id="docshape184" filled="true" fillcolor="#67287f" stroked="false">
                <v:fill type="solid"/>
              </v:rect>
              <v:rect style="position:absolute;left:10771;top:496;width:1134;height:737" id="docshape185"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33952">
              <wp:simplePos x="0" y="0"/>
              <wp:positionH relativeFrom="page">
                <wp:posOffset>7061393</wp:posOffset>
              </wp:positionH>
              <wp:positionV relativeFrom="page">
                <wp:posOffset>449717</wp:posOffset>
              </wp:positionV>
              <wp:extent cx="290195" cy="19431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290195"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w w:val="110"/>
                              <w:sz w:val="24"/>
                            </w:rPr>
                            <w:fldChar w:fldCharType="begin"/>
                          </w:r>
                          <w:r>
                            <w:rPr>
                              <w:rFonts w:ascii="Trebuchet MS"/>
                              <w:b/>
                              <w:color w:val="FFFFFF"/>
                              <w:spacing w:val="-5"/>
                              <w:w w:val="110"/>
                              <w:sz w:val="24"/>
                            </w:rPr>
                            <w:instrText> PAGE </w:instrText>
                          </w:r>
                          <w:r>
                            <w:rPr>
                              <w:rFonts w:ascii="Trebuchet MS"/>
                              <w:b/>
                              <w:color w:val="FFFFFF"/>
                              <w:spacing w:val="-5"/>
                              <w:w w:val="110"/>
                              <w:sz w:val="24"/>
                            </w:rPr>
                            <w:fldChar w:fldCharType="separate"/>
                          </w:r>
                          <w:r>
                            <w:rPr>
                              <w:rFonts w:ascii="Trebuchet MS"/>
                              <w:b/>
                              <w:color w:val="FFFFFF"/>
                              <w:spacing w:val="-5"/>
                              <w:w w:val="110"/>
                              <w:sz w:val="24"/>
                            </w:rPr>
                            <w:t>54</w:t>
                          </w:r>
                          <w:r>
                            <w:rPr>
                              <w:rFonts w:ascii="Trebuchet MS"/>
                              <w:b/>
                              <w:color w:val="FFFFFF"/>
                              <w:spacing w:val="-5"/>
                              <w:w w:val="110"/>
                              <w:sz w:val="24"/>
                            </w:rPr>
                            <w:fldChar w:fldCharType="end"/>
                          </w:r>
                        </w:p>
                      </w:txbxContent>
                    </wps:txbx>
                    <wps:bodyPr wrap="square" lIns="0" tIns="0" rIns="0" bIns="0" rtlCol="0">
                      <a:noAutofit/>
                    </wps:bodyPr>
                  </wps:wsp>
                </a:graphicData>
              </a:graphic>
            </wp:anchor>
          </w:drawing>
        </mc:Choice>
        <mc:Fallback>
          <w:pict>
            <v:shape style="position:absolute;margin-left:556.015198pt;margin-top:35.410816pt;width:22.85pt;height:15.3pt;mso-position-horizontal-relative:page;mso-position-vertical-relative:page;z-index:-18582528" type="#_x0000_t202" id="docshape186" filled="false" stroked="false">
              <v:textbox inset="0,0,0,0">
                <w:txbxContent>
                  <w:p>
                    <w:pPr>
                      <w:spacing w:before="18"/>
                      <w:ind w:left="60" w:right="0" w:firstLine="0"/>
                      <w:jc w:val="left"/>
                      <w:rPr>
                        <w:rFonts w:ascii="Trebuchet MS"/>
                        <w:b/>
                        <w:sz w:val="24"/>
                      </w:rPr>
                    </w:pPr>
                    <w:r>
                      <w:rPr>
                        <w:rFonts w:ascii="Trebuchet MS"/>
                        <w:b/>
                        <w:color w:val="FFFFFF"/>
                        <w:spacing w:val="-5"/>
                        <w:w w:val="110"/>
                        <w:sz w:val="24"/>
                      </w:rPr>
                      <w:fldChar w:fldCharType="begin"/>
                    </w:r>
                    <w:r>
                      <w:rPr>
                        <w:rFonts w:ascii="Trebuchet MS"/>
                        <w:b/>
                        <w:color w:val="FFFFFF"/>
                        <w:spacing w:val="-5"/>
                        <w:w w:val="110"/>
                        <w:sz w:val="24"/>
                      </w:rPr>
                      <w:instrText> PAGE </w:instrText>
                    </w:r>
                    <w:r>
                      <w:rPr>
                        <w:rFonts w:ascii="Trebuchet MS"/>
                        <w:b/>
                        <w:color w:val="FFFFFF"/>
                        <w:spacing w:val="-5"/>
                        <w:w w:val="110"/>
                        <w:sz w:val="24"/>
                      </w:rPr>
                      <w:fldChar w:fldCharType="separate"/>
                    </w:r>
                    <w:r>
                      <w:rPr>
                        <w:rFonts w:ascii="Trebuchet MS"/>
                        <w:b/>
                        <w:color w:val="FFFFFF"/>
                        <w:spacing w:val="-5"/>
                        <w:w w:val="110"/>
                        <w:sz w:val="24"/>
                      </w:rPr>
                      <w:t>54</w:t>
                    </w:r>
                    <w:r>
                      <w:rPr>
                        <w:rFonts w:ascii="Trebuchet MS"/>
                        <w:b/>
                        <w:color w:val="FFFFFF"/>
                        <w:spacing w:val="-5"/>
                        <w:w w:val="110"/>
                        <w:sz w:val="24"/>
                      </w:rPr>
                      <w:fldChar w:fldCharType="end"/>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36512">
              <wp:simplePos x="0" y="0"/>
              <wp:positionH relativeFrom="page">
                <wp:posOffset>0</wp:posOffset>
              </wp:positionH>
              <wp:positionV relativeFrom="page">
                <wp:posOffset>315010</wp:posOffset>
              </wp:positionV>
              <wp:extent cx="7560309" cy="467995"/>
              <wp:effectExtent l="0" t="0" r="0" b="0"/>
              <wp:wrapNone/>
              <wp:docPr id="237" name="Group 237"/>
              <wp:cNvGraphicFramePr>
                <a:graphicFrameLocks/>
              </wp:cNvGraphicFramePr>
              <a:graphic>
                <a:graphicData uri="http://schemas.microsoft.com/office/word/2010/wordprocessingGroup">
                  <wpg:wgp>
                    <wpg:cNvPr id="237" name="Group 237"/>
                    <wpg:cNvGrpSpPr/>
                    <wpg:grpSpPr>
                      <a:xfrm>
                        <a:off x="0" y="0"/>
                        <a:ext cx="7560309" cy="467995"/>
                        <a:chExt cx="7560309" cy="467995"/>
                      </a:xfrm>
                    </wpg:grpSpPr>
                    <wps:wsp>
                      <wps:cNvPr id="238" name="Graphic 238"/>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239" name="Graphic 239"/>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79968" id="docshapegroup191" coordorigin="0,496" coordsize="11906,737">
              <v:rect style="position:absolute;left:0;top:496;width:11906;height:737" id="docshape192" filled="true" fillcolor="#67287f" stroked="false">
                <v:fill type="solid"/>
              </v:rect>
              <v:rect style="position:absolute;left:0;top:496;width:1134;height:737" id="docshape193"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37024">
              <wp:simplePos x="0" y="0"/>
              <wp:positionH relativeFrom="page">
                <wp:posOffset>808099</wp:posOffset>
              </wp:positionH>
              <wp:positionV relativeFrom="page">
                <wp:posOffset>380352</wp:posOffset>
              </wp:positionV>
              <wp:extent cx="3020060" cy="35560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79456" type="#_x0000_t202" id="docshape194"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737536">
              <wp:simplePos x="0" y="0"/>
              <wp:positionH relativeFrom="page">
                <wp:posOffset>225888</wp:posOffset>
              </wp:positionH>
              <wp:positionV relativeFrom="page">
                <wp:posOffset>466751</wp:posOffset>
              </wp:positionV>
              <wp:extent cx="281305" cy="17780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281305"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55</w:t>
                          </w:r>
                          <w:r>
                            <w:rPr>
                              <w:rFonts w:ascii="Tahoma"/>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17.786501pt;margin-top:36.752117pt;width:22.15pt;height:14pt;mso-position-horizontal-relative:page;mso-position-vertical-relative:page;z-index:-18578944" type="#_x0000_t202" id="docshape195" filled="false" stroked="false">
              <v:textbox inset="0,0,0,0">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55</w:t>
                    </w:r>
                    <w:r>
                      <w:rPr>
                        <w:rFonts w:ascii="Tahoma"/>
                        <w:b/>
                        <w:color w:val="FFFFFF"/>
                        <w:spacing w:val="-5"/>
                        <w:sz w:val="24"/>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38048">
              <wp:simplePos x="0" y="0"/>
              <wp:positionH relativeFrom="page">
                <wp:posOffset>0</wp:posOffset>
              </wp:positionH>
              <wp:positionV relativeFrom="page">
                <wp:posOffset>315010</wp:posOffset>
              </wp:positionV>
              <wp:extent cx="7560309" cy="467995"/>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7560309" cy="467995"/>
                        <a:chExt cx="7560309" cy="467995"/>
                      </a:xfrm>
                    </wpg:grpSpPr>
                    <wps:wsp>
                      <wps:cNvPr id="243" name="Graphic 243"/>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244" name="Graphic 244"/>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78432" id="docshapegroup196" coordorigin="0,496" coordsize="11906,737">
              <v:rect style="position:absolute;left:0;top:496;width:11906;height:737" id="docshape197" filled="true" fillcolor="#67287f" stroked="false">
                <v:fill type="solid"/>
              </v:rect>
              <v:rect style="position:absolute;left:10771;top:496;width:1134;height:737" id="docshape198"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38560">
              <wp:simplePos x="0" y="0"/>
              <wp:positionH relativeFrom="page">
                <wp:posOffset>7063450</wp:posOffset>
              </wp:positionH>
              <wp:positionV relativeFrom="page">
                <wp:posOffset>449717</wp:posOffset>
              </wp:positionV>
              <wp:extent cx="286385" cy="19431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286385"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w w:val="110"/>
                              <w:sz w:val="24"/>
                            </w:rPr>
                            <w:fldChar w:fldCharType="begin"/>
                          </w:r>
                          <w:r>
                            <w:rPr>
                              <w:rFonts w:ascii="Trebuchet MS"/>
                              <w:b/>
                              <w:color w:val="FFFFFF"/>
                              <w:spacing w:val="-5"/>
                              <w:w w:val="110"/>
                              <w:sz w:val="24"/>
                            </w:rPr>
                            <w:instrText> PAGE </w:instrText>
                          </w:r>
                          <w:r>
                            <w:rPr>
                              <w:rFonts w:ascii="Trebuchet MS"/>
                              <w:b/>
                              <w:color w:val="FFFFFF"/>
                              <w:spacing w:val="-5"/>
                              <w:w w:val="110"/>
                              <w:sz w:val="24"/>
                            </w:rPr>
                            <w:fldChar w:fldCharType="separate"/>
                          </w:r>
                          <w:r>
                            <w:rPr>
                              <w:rFonts w:ascii="Trebuchet MS"/>
                              <w:b/>
                              <w:color w:val="FFFFFF"/>
                              <w:spacing w:val="-5"/>
                              <w:w w:val="110"/>
                              <w:sz w:val="24"/>
                            </w:rPr>
                            <w:t>56</w:t>
                          </w:r>
                          <w:r>
                            <w:rPr>
                              <w:rFonts w:ascii="Trebuchet MS"/>
                              <w:b/>
                              <w:color w:val="FFFFFF"/>
                              <w:spacing w:val="-5"/>
                              <w:w w:val="110"/>
                              <w:sz w:val="24"/>
                            </w:rPr>
                            <w:fldChar w:fldCharType="end"/>
                          </w:r>
                        </w:p>
                      </w:txbxContent>
                    </wps:txbx>
                    <wps:bodyPr wrap="square" lIns="0" tIns="0" rIns="0" bIns="0" rtlCol="0">
                      <a:noAutofit/>
                    </wps:bodyPr>
                  </wps:wsp>
                </a:graphicData>
              </a:graphic>
            </wp:anchor>
          </w:drawing>
        </mc:Choice>
        <mc:Fallback>
          <w:pict>
            <v:shape style="position:absolute;margin-left:556.177185pt;margin-top:35.410816pt;width:22.55pt;height:15.3pt;mso-position-horizontal-relative:page;mso-position-vertical-relative:page;z-index:-18577920" type="#_x0000_t202" id="docshape199" filled="false" stroked="false">
              <v:textbox inset="0,0,0,0">
                <w:txbxContent>
                  <w:p>
                    <w:pPr>
                      <w:spacing w:before="18"/>
                      <w:ind w:left="60" w:right="0" w:firstLine="0"/>
                      <w:jc w:val="left"/>
                      <w:rPr>
                        <w:rFonts w:ascii="Trebuchet MS"/>
                        <w:b/>
                        <w:sz w:val="24"/>
                      </w:rPr>
                    </w:pPr>
                    <w:r>
                      <w:rPr>
                        <w:rFonts w:ascii="Trebuchet MS"/>
                        <w:b/>
                        <w:color w:val="FFFFFF"/>
                        <w:spacing w:val="-5"/>
                        <w:w w:val="110"/>
                        <w:sz w:val="24"/>
                      </w:rPr>
                      <w:fldChar w:fldCharType="begin"/>
                    </w:r>
                    <w:r>
                      <w:rPr>
                        <w:rFonts w:ascii="Trebuchet MS"/>
                        <w:b/>
                        <w:color w:val="FFFFFF"/>
                        <w:spacing w:val="-5"/>
                        <w:w w:val="110"/>
                        <w:sz w:val="24"/>
                      </w:rPr>
                      <w:instrText> PAGE </w:instrText>
                    </w:r>
                    <w:r>
                      <w:rPr>
                        <w:rFonts w:ascii="Trebuchet MS"/>
                        <w:b/>
                        <w:color w:val="FFFFFF"/>
                        <w:spacing w:val="-5"/>
                        <w:w w:val="110"/>
                        <w:sz w:val="24"/>
                      </w:rPr>
                      <w:fldChar w:fldCharType="separate"/>
                    </w:r>
                    <w:r>
                      <w:rPr>
                        <w:rFonts w:ascii="Trebuchet MS"/>
                        <w:b/>
                        <w:color w:val="FFFFFF"/>
                        <w:spacing w:val="-5"/>
                        <w:w w:val="110"/>
                        <w:sz w:val="24"/>
                      </w:rPr>
                      <w:t>56</w:t>
                    </w:r>
                    <w:r>
                      <w:rPr>
                        <w:rFonts w:ascii="Trebuchet MS"/>
                        <w:b/>
                        <w:color w:val="FFFFFF"/>
                        <w:spacing w:val="-5"/>
                        <w:w w:val="110"/>
                        <w:sz w:val="24"/>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40096">
              <wp:simplePos x="0" y="0"/>
              <wp:positionH relativeFrom="page">
                <wp:posOffset>0</wp:posOffset>
              </wp:positionH>
              <wp:positionV relativeFrom="page">
                <wp:posOffset>315010</wp:posOffset>
              </wp:positionV>
              <wp:extent cx="7560309" cy="467995"/>
              <wp:effectExtent l="0" t="0" r="0" b="0"/>
              <wp:wrapNone/>
              <wp:docPr id="251" name="Group 251"/>
              <wp:cNvGraphicFramePr>
                <a:graphicFrameLocks/>
              </wp:cNvGraphicFramePr>
              <a:graphic>
                <a:graphicData uri="http://schemas.microsoft.com/office/word/2010/wordprocessingGroup">
                  <wpg:wgp>
                    <wpg:cNvPr id="251" name="Group 251"/>
                    <wpg:cNvGrpSpPr/>
                    <wpg:grpSpPr>
                      <a:xfrm>
                        <a:off x="0" y="0"/>
                        <a:ext cx="7560309" cy="467995"/>
                        <a:chExt cx="7560309" cy="467995"/>
                      </a:xfrm>
                    </wpg:grpSpPr>
                    <wps:wsp>
                      <wps:cNvPr id="252" name="Graphic 252"/>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253" name="Graphic 253"/>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76384" id="docshapegroup205" coordorigin="0,496" coordsize="11906,737">
              <v:rect style="position:absolute;left:0;top:496;width:11906;height:737" id="docshape206" filled="true" fillcolor="#67287f" stroked="false">
                <v:fill type="solid"/>
              </v:rect>
              <v:rect style="position:absolute;left:0;top:496;width:1134;height:737" id="docshape207"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40608">
              <wp:simplePos x="0" y="0"/>
              <wp:positionH relativeFrom="page">
                <wp:posOffset>808099</wp:posOffset>
              </wp:positionH>
              <wp:positionV relativeFrom="page">
                <wp:posOffset>380352</wp:posOffset>
              </wp:positionV>
              <wp:extent cx="3020060" cy="35560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75872" type="#_x0000_t202" id="docshape208"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741120">
              <wp:simplePos x="0" y="0"/>
              <wp:positionH relativeFrom="page">
                <wp:posOffset>226726</wp:posOffset>
              </wp:positionH>
              <wp:positionV relativeFrom="page">
                <wp:posOffset>466751</wp:posOffset>
              </wp:positionV>
              <wp:extent cx="279400" cy="17780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279400"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57</w:t>
                          </w:r>
                          <w:r>
                            <w:rPr>
                              <w:rFonts w:ascii="Tahoma"/>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17.852501pt;margin-top:36.752117pt;width:22pt;height:14pt;mso-position-horizontal-relative:page;mso-position-vertical-relative:page;z-index:-18575360" type="#_x0000_t202" id="docshape209" filled="false" stroked="false">
              <v:textbox inset="0,0,0,0">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57</w:t>
                    </w:r>
                    <w:r>
                      <w:rPr>
                        <w:rFonts w:ascii="Tahoma"/>
                        <w:b/>
                        <w:color w:val="FFFFFF"/>
                        <w:spacing w:val="-5"/>
                        <w:sz w:val="24"/>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41632">
              <wp:simplePos x="0" y="0"/>
              <wp:positionH relativeFrom="page">
                <wp:posOffset>0</wp:posOffset>
              </wp:positionH>
              <wp:positionV relativeFrom="page">
                <wp:posOffset>315010</wp:posOffset>
              </wp:positionV>
              <wp:extent cx="7560309" cy="467995"/>
              <wp:effectExtent l="0" t="0" r="0" b="0"/>
              <wp:wrapNone/>
              <wp:docPr id="256" name="Group 256"/>
              <wp:cNvGraphicFramePr>
                <a:graphicFrameLocks/>
              </wp:cNvGraphicFramePr>
              <a:graphic>
                <a:graphicData uri="http://schemas.microsoft.com/office/word/2010/wordprocessingGroup">
                  <wpg:wgp>
                    <wpg:cNvPr id="256" name="Group 256"/>
                    <wpg:cNvGrpSpPr/>
                    <wpg:grpSpPr>
                      <a:xfrm>
                        <a:off x="0" y="0"/>
                        <a:ext cx="7560309" cy="467995"/>
                        <a:chExt cx="7560309" cy="467995"/>
                      </a:xfrm>
                    </wpg:grpSpPr>
                    <wps:wsp>
                      <wps:cNvPr id="257" name="Graphic 257"/>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258" name="Graphic 258"/>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74848" id="docshapegroup210" coordorigin="0,496" coordsize="11906,737">
              <v:rect style="position:absolute;left:0;top:496;width:11906;height:737" id="docshape211" filled="true" fillcolor="#67287f" stroked="false">
                <v:fill type="solid"/>
              </v:rect>
              <v:rect style="position:absolute;left:10771;top:496;width:1134;height:737" id="docshape212"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42144">
              <wp:simplePos x="0" y="0"/>
              <wp:positionH relativeFrom="page">
                <wp:posOffset>7065888</wp:posOffset>
              </wp:positionH>
              <wp:positionV relativeFrom="page">
                <wp:posOffset>449717</wp:posOffset>
              </wp:positionV>
              <wp:extent cx="281305" cy="194310"/>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281305"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w w:val="105"/>
                              <w:sz w:val="24"/>
                            </w:rPr>
                            <w:fldChar w:fldCharType="begin"/>
                          </w:r>
                          <w:r>
                            <w:rPr>
                              <w:rFonts w:ascii="Trebuchet MS"/>
                              <w:b/>
                              <w:color w:val="FFFFFF"/>
                              <w:spacing w:val="-5"/>
                              <w:w w:val="105"/>
                              <w:sz w:val="24"/>
                            </w:rPr>
                            <w:instrText> PAGE </w:instrText>
                          </w:r>
                          <w:r>
                            <w:rPr>
                              <w:rFonts w:ascii="Trebuchet MS"/>
                              <w:b/>
                              <w:color w:val="FFFFFF"/>
                              <w:spacing w:val="-5"/>
                              <w:w w:val="105"/>
                              <w:sz w:val="24"/>
                            </w:rPr>
                            <w:fldChar w:fldCharType="separate"/>
                          </w:r>
                          <w:r>
                            <w:rPr>
                              <w:rFonts w:ascii="Trebuchet MS"/>
                              <w:b/>
                              <w:color w:val="FFFFFF"/>
                              <w:spacing w:val="-5"/>
                              <w:w w:val="105"/>
                              <w:sz w:val="24"/>
                            </w:rPr>
                            <w:t>58</w:t>
                          </w:r>
                          <w:r>
                            <w:rPr>
                              <w:rFonts w:ascii="Trebuchet MS"/>
                              <w:b/>
                              <w:color w:val="FFFFFF"/>
                              <w:spacing w:val="-5"/>
                              <w:w w:val="105"/>
                              <w:sz w:val="24"/>
                            </w:rPr>
                            <w:fldChar w:fldCharType="end"/>
                          </w:r>
                        </w:p>
                      </w:txbxContent>
                    </wps:txbx>
                    <wps:bodyPr wrap="square" lIns="0" tIns="0" rIns="0" bIns="0" rtlCol="0">
                      <a:noAutofit/>
                    </wps:bodyPr>
                  </wps:wsp>
                </a:graphicData>
              </a:graphic>
            </wp:anchor>
          </w:drawing>
        </mc:Choice>
        <mc:Fallback>
          <w:pict>
            <v:shape style="position:absolute;margin-left:556.369202pt;margin-top:35.410816pt;width:22.15pt;height:15.3pt;mso-position-horizontal-relative:page;mso-position-vertical-relative:page;z-index:-18574336" type="#_x0000_t202" id="docshape213" filled="false" stroked="false">
              <v:textbox inset="0,0,0,0">
                <w:txbxContent>
                  <w:p>
                    <w:pPr>
                      <w:spacing w:before="18"/>
                      <w:ind w:left="60" w:right="0" w:firstLine="0"/>
                      <w:jc w:val="left"/>
                      <w:rPr>
                        <w:rFonts w:ascii="Trebuchet MS"/>
                        <w:b/>
                        <w:sz w:val="24"/>
                      </w:rPr>
                    </w:pPr>
                    <w:r>
                      <w:rPr>
                        <w:rFonts w:ascii="Trebuchet MS"/>
                        <w:b/>
                        <w:color w:val="FFFFFF"/>
                        <w:spacing w:val="-5"/>
                        <w:w w:val="105"/>
                        <w:sz w:val="24"/>
                      </w:rPr>
                      <w:fldChar w:fldCharType="begin"/>
                    </w:r>
                    <w:r>
                      <w:rPr>
                        <w:rFonts w:ascii="Trebuchet MS"/>
                        <w:b/>
                        <w:color w:val="FFFFFF"/>
                        <w:spacing w:val="-5"/>
                        <w:w w:val="105"/>
                        <w:sz w:val="24"/>
                      </w:rPr>
                      <w:instrText> PAGE </w:instrText>
                    </w:r>
                    <w:r>
                      <w:rPr>
                        <w:rFonts w:ascii="Trebuchet MS"/>
                        <w:b/>
                        <w:color w:val="FFFFFF"/>
                        <w:spacing w:val="-5"/>
                        <w:w w:val="105"/>
                        <w:sz w:val="24"/>
                      </w:rPr>
                      <w:fldChar w:fldCharType="separate"/>
                    </w:r>
                    <w:r>
                      <w:rPr>
                        <w:rFonts w:ascii="Trebuchet MS"/>
                        <w:b/>
                        <w:color w:val="FFFFFF"/>
                        <w:spacing w:val="-5"/>
                        <w:w w:val="105"/>
                        <w:sz w:val="24"/>
                      </w:rPr>
                      <w:t>58</w:t>
                    </w:r>
                    <w:r>
                      <w:rPr>
                        <w:rFonts w:ascii="Trebuchet MS"/>
                        <w:b/>
                        <w:color w:val="FFFFFF"/>
                        <w:spacing w:val="-5"/>
                        <w:w w:val="105"/>
                        <w:sz w:val="24"/>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44704">
              <wp:simplePos x="0" y="0"/>
              <wp:positionH relativeFrom="page">
                <wp:posOffset>0</wp:posOffset>
              </wp:positionH>
              <wp:positionV relativeFrom="page">
                <wp:posOffset>315010</wp:posOffset>
              </wp:positionV>
              <wp:extent cx="7560309" cy="467995"/>
              <wp:effectExtent l="0" t="0" r="0" b="0"/>
              <wp:wrapNone/>
              <wp:docPr id="267" name="Group 267"/>
              <wp:cNvGraphicFramePr>
                <a:graphicFrameLocks/>
              </wp:cNvGraphicFramePr>
              <a:graphic>
                <a:graphicData uri="http://schemas.microsoft.com/office/word/2010/wordprocessingGroup">
                  <wpg:wgp>
                    <wpg:cNvPr id="267" name="Group 267"/>
                    <wpg:cNvGrpSpPr/>
                    <wpg:grpSpPr>
                      <a:xfrm>
                        <a:off x="0" y="0"/>
                        <a:ext cx="7560309" cy="467995"/>
                        <a:chExt cx="7560309" cy="467995"/>
                      </a:xfrm>
                    </wpg:grpSpPr>
                    <wps:wsp>
                      <wps:cNvPr id="268" name="Graphic 268"/>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269" name="Graphic 269"/>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71776" id="docshapegroup221" coordorigin="0,496" coordsize="11906,737">
              <v:rect style="position:absolute;left:0;top:496;width:11906;height:737" id="docshape222" filled="true" fillcolor="#67287f" stroked="false">
                <v:fill type="solid"/>
              </v:rect>
              <v:rect style="position:absolute;left:0;top:496;width:1134;height:737" id="docshape223"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45216">
              <wp:simplePos x="0" y="0"/>
              <wp:positionH relativeFrom="page">
                <wp:posOffset>808099</wp:posOffset>
              </wp:positionH>
              <wp:positionV relativeFrom="page">
                <wp:posOffset>380352</wp:posOffset>
              </wp:positionV>
              <wp:extent cx="3020060" cy="35560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71264" type="#_x0000_t202" id="docshape224"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745728">
              <wp:simplePos x="0" y="0"/>
              <wp:positionH relativeFrom="page">
                <wp:posOffset>223451</wp:posOffset>
              </wp:positionH>
              <wp:positionV relativeFrom="page">
                <wp:posOffset>466751</wp:posOffset>
              </wp:positionV>
              <wp:extent cx="286385" cy="17780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286385"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59</w:t>
                          </w:r>
                          <w:r>
                            <w:rPr>
                              <w:rFonts w:ascii="Tahoma"/>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17.594601pt;margin-top:36.752117pt;width:22.55pt;height:14pt;mso-position-horizontal-relative:page;mso-position-vertical-relative:page;z-index:-18570752" type="#_x0000_t202" id="docshape225" filled="false" stroked="false">
              <v:textbox inset="0,0,0,0">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59</w:t>
                    </w:r>
                    <w:r>
                      <w:rPr>
                        <w:rFonts w:ascii="Tahoma"/>
                        <w:b/>
                        <w:color w:val="FFFFFF"/>
                        <w:spacing w:val="-5"/>
                        <w:sz w:val="24"/>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46240">
              <wp:simplePos x="0" y="0"/>
              <wp:positionH relativeFrom="page">
                <wp:posOffset>0</wp:posOffset>
              </wp:positionH>
              <wp:positionV relativeFrom="page">
                <wp:posOffset>315010</wp:posOffset>
              </wp:positionV>
              <wp:extent cx="7560309" cy="467995"/>
              <wp:effectExtent l="0" t="0" r="0" b="0"/>
              <wp:wrapNone/>
              <wp:docPr id="272" name="Group 272"/>
              <wp:cNvGraphicFramePr>
                <a:graphicFrameLocks/>
              </wp:cNvGraphicFramePr>
              <a:graphic>
                <a:graphicData uri="http://schemas.microsoft.com/office/word/2010/wordprocessingGroup">
                  <wpg:wgp>
                    <wpg:cNvPr id="272" name="Group 272"/>
                    <wpg:cNvGrpSpPr/>
                    <wpg:grpSpPr>
                      <a:xfrm>
                        <a:off x="0" y="0"/>
                        <a:ext cx="7560309" cy="467995"/>
                        <a:chExt cx="7560309" cy="467995"/>
                      </a:xfrm>
                    </wpg:grpSpPr>
                    <wps:wsp>
                      <wps:cNvPr id="273" name="Graphic 273"/>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274" name="Graphic 274"/>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70240" id="docshapegroup226" coordorigin="0,496" coordsize="11906,737">
              <v:rect style="position:absolute;left:0;top:496;width:11906;height:737" id="docshape227" filled="true" fillcolor="#67287f" stroked="false">
                <v:fill type="solid"/>
              </v:rect>
              <v:rect style="position:absolute;left:10771;top:496;width:1134;height:737" id="docshape228"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46752">
              <wp:simplePos x="0" y="0"/>
              <wp:positionH relativeFrom="page">
                <wp:posOffset>7055830</wp:posOffset>
              </wp:positionH>
              <wp:positionV relativeFrom="page">
                <wp:posOffset>449717</wp:posOffset>
              </wp:positionV>
              <wp:extent cx="301625" cy="19431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301625"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w w:val="120"/>
                              <w:sz w:val="24"/>
                            </w:rPr>
                            <w:fldChar w:fldCharType="begin"/>
                          </w:r>
                          <w:r>
                            <w:rPr>
                              <w:rFonts w:ascii="Trebuchet MS"/>
                              <w:b/>
                              <w:color w:val="FFFFFF"/>
                              <w:spacing w:val="-5"/>
                              <w:w w:val="120"/>
                              <w:sz w:val="24"/>
                            </w:rPr>
                            <w:instrText> PAGE </w:instrText>
                          </w:r>
                          <w:r>
                            <w:rPr>
                              <w:rFonts w:ascii="Trebuchet MS"/>
                              <w:b/>
                              <w:color w:val="FFFFFF"/>
                              <w:spacing w:val="-5"/>
                              <w:w w:val="120"/>
                              <w:sz w:val="24"/>
                            </w:rPr>
                            <w:fldChar w:fldCharType="separate"/>
                          </w:r>
                          <w:r>
                            <w:rPr>
                              <w:rFonts w:ascii="Trebuchet MS"/>
                              <w:b/>
                              <w:color w:val="FFFFFF"/>
                              <w:spacing w:val="-5"/>
                              <w:w w:val="120"/>
                              <w:sz w:val="24"/>
                            </w:rPr>
                            <w:t>60</w:t>
                          </w:r>
                          <w:r>
                            <w:rPr>
                              <w:rFonts w:ascii="Trebuchet MS"/>
                              <w:b/>
                              <w:color w:val="FFFFFF"/>
                              <w:spacing w:val="-5"/>
                              <w:w w:val="120"/>
                              <w:sz w:val="24"/>
                            </w:rPr>
                            <w:fldChar w:fldCharType="end"/>
                          </w:r>
                        </w:p>
                      </w:txbxContent>
                    </wps:txbx>
                    <wps:bodyPr wrap="square" lIns="0" tIns="0" rIns="0" bIns="0" rtlCol="0">
                      <a:noAutofit/>
                    </wps:bodyPr>
                  </wps:wsp>
                </a:graphicData>
              </a:graphic>
            </wp:anchor>
          </w:drawing>
        </mc:Choice>
        <mc:Fallback>
          <w:pict>
            <v:shape style="position:absolute;margin-left:555.577209pt;margin-top:35.410816pt;width:23.75pt;height:15.3pt;mso-position-horizontal-relative:page;mso-position-vertical-relative:page;z-index:-18569728" type="#_x0000_t202" id="docshape229" filled="false" stroked="false">
              <v:textbox inset="0,0,0,0">
                <w:txbxContent>
                  <w:p>
                    <w:pPr>
                      <w:spacing w:before="18"/>
                      <w:ind w:left="60" w:right="0" w:firstLine="0"/>
                      <w:jc w:val="left"/>
                      <w:rPr>
                        <w:rFonts w:ascii="Trebuchet MS"/>
                        <w:b/>
                        <w:sz w:val="24"/>
                      </w:rPr>
                    </w:pPr>
                    <w:r>
                      <w:rPr>
                        <w:rFonts w:ascii="Trebuchet MS"/>
                        <w:b/>
                        <w:color w:val="FFFFFF"/>
                        <w:spacing w:val="-5"/>
                        <w:w w:val="120"/>
                        <w:sz w:val="24"/>
                      </w:rPr>
                      <w:fldChar w:fldCharType="begin"/>
                    </w:r>
                    <w:r>
                      <w:rPr>
                        <w:rFonts w:ascii="Trebuchet MS"/>
                        <w:b/>
                        <w:color w:val="FFFFFF"/>
                        <w:spacing w:val="-5"/>
                        <w:w w:val="120"/>
                        <w:sz w:val="24"/>
                      </w:rPr>
                      <w:instrText> PAGE </w:instrText>
                    </w:r>
                    <w:r>
                      <w:rPr>
                        <w:rFonts w:ascii="Trebuchet MS"/>
                        <w:b/>
                        <w:color w:val="FFFFFF"/>
                        <w:spacing w:val="-5"/>
                        <w:w w:val="120"/>
                        <w:sz w:val="24"/>
                      </w:rPr>
                      <w:fldChar w:fldCharType="separate"/>
                    </w:r>
                    <w:r>
                      <w:rPr>
                        <w:rFonts w:ascii="Trebuchet MS"/>
                        <w:b/>
                        <w:color w:val="FFFFFF"/>
                        <w:spacing w:val="-5"/>
                        <w:w w:val="120"/>
                        <w:sz w:val="24"/>
                      </w:rPr>
                      <w:t>60</w:t>
                    </w:r>
                    <w:r>
                      <w:rPr>
                        <w:rFonts w:ascii="Trebuchet MS"/>
                        <w:b/>
                        <w:color w:val="FFFFFF"/>
                        <w:spacing w:val="-5"/>
                        <w:w w:val="120"/>
                        <w:sz w:val="24"/>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49824">
              <wp:simplePos x="0" y="0"/>
              <wp:positionH relativeFrom="page">
                <wp:posOffset>0</wp:posOffset>
              </wp:positionH>
              <wp:positionV relativeFrom="page">
                <wp:posOffset>315010</wp:posOffset>
              </wp:positionV>
              <wp:extent cx="7560309" cy="467995"/>
              <wp:effectExtent l="0" t="0" r="0" b="0"/>
              <wp:wrapNone/>
              <wp:docPr id="286" name="Group 286"/>
              <wp:cNvGraphicFramePr>
                <a:graphicFrameLocks/>
              </wp:cNvGraphicFramePr>
              <a:graphic>
                <a:graphicData uri="http://schemas.microsoft.com/office/word/2010/wordprocessingGroup">
                  <wpg:wgp>
                    <wpg:cNvPr id="286" name="Group 286"/>
                    <wpg:cNvGrpSpPr/>
                    <wpg:grpSpPr>
                      <a:xfrm>
                        <a:off x="0" y="0"/>
                        <a:ext cx="7560309" cy="467995"/>
                        <a:chExt cx="7560309" cy="467995"/>
                      </a:xfrm>
                    </wpg:grpSpPr>
                    <wps:wsp>
                      <wps:cNvPr id="287" name="Graphic 287"/>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288" name="Graphic 288"/>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66656" id="docshapegroup238" coordorigin="0,496" coordsize="11906,737">
              <v:rect style="position:absolute;left:0;top:496;width:11906;height:737" id="docshape239" filled="true" fillcolor="#67287f" stroked="false">
                <v:fill type="solid"/>
              </v:rect>
              <v:rect style="position:absolute;left:0;top:496;width:1134;height:737" id="docshape240"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50336">
              <wp:simplePos x="0" y="0"/>
              <wp:positionH relativeFrom="page">
                <wp:posOffset>808099</wp:posOffset>
              </wp:positionH>
              <wp:positionV relativeFrom="page">
                <wp:posOffset>380352</wp:posOffset>
              </wp:positionV>
              <wp:extent cx="3020060" cy="355600"/>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66144" type="#_x0000_t202" id="docshape241"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750848">
              <wp:simplePos x="0" y="0"/>
              <wp:positionH relativeFrom="page">
                <wp:posOffset>239299</wp:posOffset>
              </wp:positionH>
              <wp:positionV relativeFrom="page">
                <wp:posOffset>466751</wp:posOffset>
              </wp:positionV>
              <wp:extent cx="254635" cy="177800"/>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254635"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w w:val="95"/>
                              <w:sz w:val="24"/>
                            </w:rPr>
                            <w:fldChar w:fldCharType="begin"/>
                          </w:r>
                          <w:r>
                            <w:rPr>
                              <w:rFonts w:ascii="Tahoma"/>
                              <w:b/>
                              <w:color w:val="FFFFFF"/>
                              <w:spacing w:val="-5"/>
                              <w:w w:val="95"/>
                              <w:sz w:val="24"/>
                            </w:rPr>
                            <w:instrText> PAGE </w:instrText>
                          </w:r>
                          <w:r>
                            <w:rPr>
                              <w:rFonts w:ascii="Tahoma"/>
                              <w:b/>
                              <w:color w:val="FFFFFF"/>
                              <w:spacing w:val="-5"/>
                              <w:w w:val="95"/>
                              <w:sz w:val="24"/>
                            </w:rPr>
                            <w:fldChar w:fldCharType="separate"/>
                          </w:r>
                          <w:r>
                            <w:rPr>
                              <w:rFonts w:ascii="Tahoma"/>
                              <w:b/>
                              <w:color w:val="FFFFFF"/>
                              <w:spacing w:val="-5"/>
                              <w:w w:val="95"/>
                              <w:sz w:val="24"/>
                            </w:rPr>
                            <w:t>61</w:t>
                          </w:r>
                          <w:r>
                            <w:rPr>
                              <w:rFonts w:ascii="Tahoma"/>
                              <w:b/>
                              <w:color w:val="FFFFFF"/>
                              <w:spacing w:val="-5"/>
                              <w:w w:val="95"/>
                              <w:sz w:val="24"/>
                            </w:rPr>
                            <w:fldChar w:fldCharType="end"/>
                          </w:r>
                        </w:p>
                      </w:txbxContent>
                    </wps:txbx>
                    <wps:bodyPr wrap="square" lIns="0" tIns="0" rIns="0" bIns="0" rtlCol="0">
                      <a:noAutofit/>
                    </wps:bodyPr>
                  </wps:wsp>
                </a:graphicData>
              </a:graphic>
            </wp:anchor>
          </w:drawing>
        </mc:Choice>
        <mc:Fallback>
          <w:pict>
            <v:shape style="position:absolute;margin-left:18.842501pt;margin-top:36.752117pt;width:20.05pt;height:14pt;mso-position-horizontal-relative:page;mso-position-vertical-relative:page;z-index:-18565632" type="#_x0000_t202" id="docshape242" filled="false" stroked="false">
              <v:textbox inset="0,0,0,0">
                <w:txbxContent>
                  <w:p>
                    <w:pPr>
                      <w:spacing w:line="266" w:lineRule="exact" w:before="0"/>
                      <w:ind w:left="60" w:right="0" w:firstLine="0"/>
                      <w:jc w:val="left"/>
                      <w:rPr>
                        <w:rFonts w:ascii="Tahoma"/>
                        <w:b/>
                        <w:sz w:val="24"/>
                      </w:rPr>
                    </w:pPr>
                    <w:r>
                      <w:rPr>
                        <w:rFonts w:ascii="Tahoma"/>
                        <w:b/>
                        <w:color w:val="FFFFFF"/>
                        <w:spacing w:val="-5"/>
                        <w:w w:val="95"/>
                        <w:sz w:val="24"/>
                      </w:rPr>
                      <w:fldChar w:fldCharType="begin"/>
                    </w:r>
                    <w:r>
                      <w:rPr>
                        <w:rFonts w:ascii="Tahoma"/>
                        <w:b/>
                        <w:color w:val="FFFFFF"/>
                        <w:spacing w:val="-5"/>
                        <w:w w:val="95"/>
                        <w:sz w:val="24"/>
                      </w:rPr>
                      <w:instrText> PAGE </w:instrText>
                    </w:r>
                    <w:r>
                      <w:rPr>
                        <w:rFonts w:ascii="Tahoma"/>
                        <w:b/>
                        <w:color w:val="FFFFFF"/>
                        <w:spacing w:val="-5"/>
                        <w:w w:val="95"/>
                        <w:sz w:val="24"/>
                      </w:rPr>
                      <w:fldChar w:fldCharType="separate"/>
                    </w:r>
                    <w:r>
                      <w:rPr>
                        <w:rFonts w:ascii="Tahoma"/>
                        <w:b/>
                        <w:color w:val="FFFFFF"/>
                        <w:spacing w:val="-5"/>
                        <w:w w:val="95"/>
                        <w:sz w:val="24"/>
                      </w:rPr>
                      <w:t>61</w:t>
                    </w:r>
                    <w:r>
                      <w:rPr>
                        <w:rFonts w:ascii="Tahoma"/>
                        <w:b/>
                        <w:color w:val="FFFFFF"/>
                        <w:spacing w:val="-5"/>
                        <w:w w:val="95"/>
                        <w:sz w:val="24"/>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15008">
              <wp:simplePos x="0" y="0"/>
              <wp:positionH relativeFrom="page">
                <wp:posOffset>0</wp:posOffset>
              </wp:positionH>
              <wp:positionV relativeFrom="page">
                <wp:posOffset>315010</wp:posOffset>
              </wp:positionV>
              <wp:extent cx="7560309" cy="467995"/>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7560309" cy="467995"/>
                        <a:chExt cx="7560309" cy="467995"/>
                      </a:xfrm>
                    </wpg:grpSpPr>
                    <wps:wsp>
                      <wps:cNvPr id="98" name="Graphic 98"/>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99" name="Graphic 99"/>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601472" id="docshapegroup65" coordorigin="0,496" coordsize="11906,737">
              <v:rect style="position:absolute;left:0;top:496;width:11906;height:737" id="docshape66" filled="true" fillcolor="#67287f" stroked="false">
                <v:fill type="solid"/>
              </v:rect>
              <v:rect style="position:absolute;left:10771;top:496;width:1134;height:737" id="docshape67"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15520">
              <wp:simplePos x="0" y="0"/>
              <wp:positionH relativeFrom="page">
                <wp:posOffset>7109397</wp:posOffset>
              </wp:positionH>
              <wp:positionV relativeFrom="page">
                <wp:posOffset>449717</wp:posOffset>
              </wp:positionV>
              <wp:extent cx="194310" cy="19431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194310" cy="194310"/>
                      </a:xfrm>
                      <a:prstGeom prst="rect">
                        <a:avLst/>
                      </a:prstGeom>
                    </wps:spPr>
                    <wps:txbx>
                      <w:txbxContent>
                        <w:p>
                          <w:pPr>
                            <w:spacing w:before="18"/>
                            <w:ind w:left="60" w:right="0" w:firstLine="0"/>
                            <w:jc w:val="left"/>
                            <w:rPr>
                              <w:rFonts w:ascii="Trebuchet MS"/>
                              <w:b/>
                              <w:sz w:val="24"/>
                            </w:rPr>
                          </w:pPr>
                          <w:r>
                            <w:rPr>
                              <w:rFonts w:ascii="Trebuchet MS"/>
                              <w:b/>
                              <w:color w:val="FFFFFF"/>
                              <w:spacing w:val="-10"/>
                              <w:w w:val="115"/>
                              <w:sz w:val="24"/>
                            </w:rPr>
                            <w:fldChar w:fldCharType="begin"/>
                          </w:r>
                          <w:r>
                            <w:rPr>
                              <w:rFonts w:ascii="Trebuchet MS"/>
                              <w:b/>
                              <w:color w:val="FFFFFF"/>
                              <w:spacing w:val="-10"/>
                              <w:w w:val="115"/>
                              <w:sz w:val="24"/>
                            </w:rPr>
                            <w:instrText> PAGE </w:instrText>
                          </w:r>
                          <w:r>
                            <w:rPr>
                              <w:rFonts w:ascii="Trebuchet MS"/>
                              <w:b/>
                              <w:color w:val="FFFFFF"/>
                              <w:spacing w:val="-10"/>
                              <w:w w:val="115"/>
                              <w:sz w:val="24"/>
                            </w:rPr>
                            <w:fldChar w:fldCharType="separate"/>
                          </w:r>
                          <w:r>
                            <w:rPr>
                              <w:rFonts w:ascii="Trebuchet MS"/>
                              <w:b/>
                              <w:color w:val="FFFFFF"/>
                              <w:spacing w:val="-10"/>
                              <w:w w:val="115"/>
                              <w:sz w:val="24"/>
                            </w:rPr>
                            <w:t>4</w:t>
                          </w:r>
                          <w:r>
                            <w:rPr>
                              <w:rFonts w:ascii="Trebuchet MS"/>
                              <w:b/>
                              <w:color w:val="FFFFFF"/>
                              <w:spacing w:val="-10"/>
                              <w:w w:val="115"/>
                              <w:sz w:val="24"/>
                            </w:rPr>
                            <w:fldChar w:fldCharType="end"/>
                          </w:r>
                        </w:p>
                      </w:txbxContent>
                    </wps:txbx>
                    <wps:bodyPr wrap="square" lIns="0" tIns="0" rIns="0" bIns="0" rtlCol="0">
                      <a:noAutofit/>
                    </wps:bodyPr>
                  </wps:wsp>
                </a:graphicData>
              </a:graphic>
            </wp:anchor>
          </w:drawing>
        </mc:Choice>
        <mc:Fallback>
          <w:pict>
            <v:shape style="position:absolute;margin-left:559.795105pt;margin-top:35.410816pt;width:15.3pt;height:15.3pt;mso-position-horizontal-relative:page;mso-position-vertical-relative:page;z-index:-18600960" type="#_x0000_t202" id="docshape68" filled="false" stroked="false">
              <v:textbox inset="0,0,0,0">
                <w:txbxContent>
                  <w:p>
                    <w:pPr>
                      <w:spacing w:before="18"/>
                      <w:ind w:left="60" w:right="0" w:firstLine="0"/>
                      <w:jc w:val="left"/>
                      <w:rPr>
                        <w:rFonts w:ascii="Trebuchet MS"/>
                        <w:b/>
                        <w:sz w:val="24"/>
                      </w:rPr>
                    </w:pPr>
                    <w:r>
                      <w:rPr>
                        <w:rFonts w:ascii="Trebuchet MS"/>
                        <w:b/>
                        <w:color w:val="FFFFFF"/>
                        <w:spacing w:val="-10"/>
                        <w:w w:val="115"/>
                        <w:sz w:val="24"/>
                      </w:rPr>
                      <w:fldChar w:fldCharType="begin"/>
                    </w:r>
                    <w:r>
                      <w:rPr>
                        <w:rFonts w:ascii="Trebuchet MS"/>
                        <w:b/>
                        <w:color w:val="FFFFFF"/>
                        <w:spacing w:val="-10"/>
                        <w:w w:val="115"/>
                        <w:sz w:val="24"/>
                      </w:rPr>
                      <w:instrText> PAGE </w:instrText>
                    </w:r>
                    <w:r>
                      <w:rPr>
                        <w:rFonts w:ascii="Trebuchet MS"/>
                        <w:b/>
                        <w:color w:val="FFFFFF"/>
                        <w:spacing w:val="-10"/>
                        <w:w w:val="115"/>
                        <w:sz w:val="24"/>
                      </w:rPr>
                      <w:fldChar w:fldCharType="separate"/>
                    </w:r>
                    <w:r>
                      <w:rPr>
                        <w:rFonts w:ascii="Trebuchet MS"/>
                        <w:b/>
                        <w:color w:val="FFFFFF"/>
                        <w:spacing w:val="-10"/>
                        <w:w w:val="115"/>
                        <w:sz w:val="24"/>
                      </w:rPr>
                      <w:t>4</w:t>
                    </w:r>
                    <w:r>
                      <w:rPr>
                        <w:rFonts w:ascii="Trebuchet MS"/>
                        <w:b/>
                        <w:color w:val="FFFFFF"/>
                        <w:spacing w:val="-10"/>
                        <w:w w:val="115"/>
                        <w:sz w:val="24"/>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51360">
              <wp:simplePos x="0" y="0"/>
              <wp:positionH relativeFrom="page">
                <wp:posOffset>0</wp:posOffset>
              </wp:positionH>
              <wp:positionV relativeFrom="page">
                <wp:posOffset>315010</wp:posOffset>
              </wp:positionV>
              <wp:extent cx="7560309" cy="467995"/>
              <wp:effectExtent l="0" t="0" r="0" b="0"/>
              <wp:wrapNone/>
              <wp:docPr id="291" name="Group 291"/>
              <wp:cNvGraphicFramePr>
                <a:graphicFrameLocks/>
              </wp:cNvGraphicFramePr>
              <a:graphic>
                <a:graphicData uri="http://schemas.microsoft.com/office/word/2010/wordprocessingGroup">
                  <wpg:wgp>
                    <wpg:cNvPr id="291" name="Group 291"/>
                    <wpg:cNvGrpSpPr/>
                    <wpg:grpSpPr>
                      <a:xfrm>
                        <a:off x="0" y="0"/>
                        <a:ext cx="7560309" cy="467995"/>
                        <a:chExt cx="7560309" cy="467995"/>
                      </a:xfrm>
                    </wpg:grpSpPr>
                    <wps:wsp>
                      <wps:cNvPr id="292" name="Graphic 292"/>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293" name="Graphic 293"/>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65120" id="docshapegroup243" coordorigin="0,496" coordsize="11906,737">
              <v:rect style="position:absolute;left:0;top:496;width:11906;height:737" id="docshape244" filled="true" fillcolor="#67287f" stroked="false">
                <v:fill type="solid"/>
              </v:rect>
              <v:rect style="position:absolute;left:10771;top:496;width:1134;height:737" id="docshape245"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51872">
              <wp:simplePos x="0" y="0"/>
              <wp:positionH relativeFrom="page">
                <wp:posOffset>7058954</wp:posOffset>
              </wp:positionH>
              <wp:positionV relativeFrom="page">
                <wp:posOffset>449717</wp:posOffset>
              </wp:positionV>
              <wp:extent cx="295275" cy="19431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295275"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w w:val="115"/>
                              <w:sz w:val="24"/>
                            </w:rPr>
                            <w:fldChar w:fldCharType="begin"/>
                          </w:r>
                          <w:r>
                            <w:rPr>
                              <w:rFonts w:ascii="Trebuchet MS"/>
                              <w:b/>
                              <w:color w:val="FFFFFF"/>
                              <w:spacing w:val="-5"/>
                              <w:w w:val="115"/>
                              <w:sz w:val="24"/>
                            </w:rPr>
                            <w:instrText> PAGE </w:instrText>
                          </w:r>
                          <w:r>
                            <w:rPr>
                              <w:rFonts w:ascii="Trebuchet MS"/>
                              <w:b/>
                              <w:color w:val="FFFFFF"/>
                              <w:spacing w:val="-5"/>
                              <w:w w:val="115"/>
                              <w:sz w:val="24"/>
                            </w:rPr>
                            <w:fldChar w:fldCharType="separate"/>
                          </w:r>
                          <w:r>
                            <w:rPr>
                              <w:rFonts w:ascii="Trebuchet MS"/>
                              <w:b/>
                              <w:color w:val="FFFFFF"/>
                              <w:spacing w:val="-5"/>
                              <w:w w:val="115"/>
                              <w:sz w:val="24"/>
                            </w:rPr>
                            <w:t>64</w:t>
                          </w:r>
                          <w:r>
                            <w:rPr>
                              <w:rFonts w:ascii="Trebuchet MS"/>
                              <w:b/>
                              <w:color w:val="FFFFFF"/>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555.823181pt;margin-top:35.410816pt;width:23.25pt;height:15.3pt;mso-position-horizontal-relative:page;mso-position-vertical-relative:page;z-index:-18564608" type="#_x0000_t202" id="docshape246" filled="false" stroked="false">
              <v:textbox inset="0,0,0,0">
                <w:txbxContent>
                  <w:p>
                    <w:pPr>
                      <w:spacing w:before="18"/>
                      <w:ind w:left="60" w:right="0" w:firstLine="0"/>
                      <w:jc w:val="left"/>
                      <w:rPr>
                        <w:rFonts w:ascii="Trebuchet MS"/>
                        <w:b/>
                        <w:sz w:val="24"/>
                      </w:rPr>
                    </w:pPr>
                    <w:r>
                      <w:rPr>
                        <w:rFonts w:ascii="Trebuchet MS"/>
                        <w:b/>
                        <w:color w:val="FFFFFF"/>
                        <w:spacing w:val="-5"/>
                        <w:w w:val="115"/>
                        <w:sz w:val="24"/>
                      </w:rPr>
                      <w:fldChar w:fldCharType="begin"/>
                    </w:r>
                    <w:r>
                      <w:rPr>
                        <w:rFonts w:ascii="Trebuchet MS"/>
                        <w:b/>
                        <w:color w:val="FFFFFF"/>
                        <w:spacing w:val="-5"/>
                        <w:w w:val="115"/>
                        <w:sz w:val="24"/>
                      </w:rPr>
                      <w:instrText> PAGE </w:instrText>
                    </w:r>
                    <w:r>
                      <w:rPr>
                        <w:rFonts w:ascii="Trebuchet MS"/>
                        <w:b/>
                        <w:color w:val="FFFFFF"/>
                        <w:spacing w:val="-5"/>
                        <w:w w:val="115"/>
                        <w:sz w:val="24"/>
                      </w:rPr>
                      <w:fldChar w:fldCharType="separate"/>
                    </w:r>
                    <w:r>
                      <w:rPr>
                        <w:rFonts w:ascii="Trebuchet MS"/>
                        <w:b/>
                        <w:color w:val="FFFFFF"/>
                        <w:spacing w:val="-5"/>
                        <w:w w:val="115"/>
                        <w:sz w:val="24"/>
                      </w:rPr>
                      <w:t>64</w:t>
                    </w:r>
                    <w:r>
                      <w:rPr>
                        <w:rFonts w:ascii="Trebuchet MS"/>
                        <w:b/>
                        <w:color w:val="FFFFFF"/>
                        <w:spacing w:val="-5"/>
                        <w:w w:val="115"/>
                        <w:sz w:val="24"/>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53408">
              <wp:simplePos x="0" y="0"/>
              <wp:positionH relativeFrom="page">
                <wp:posOffset>0</wp:posOffset>
              </wp:positionH>
              <wp:positionV relativeFrom="page">
                <wp:posOffset>315010</wp:posOffset>
              </wp:positionV>
              <wp:extent cx="7560309" cy="467995"/>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7560309" cy="467995"/>
                        <a:chExt cx="7560309" cy="467995"/>
                      </a:xfrm>
                    </wpg:grpSpPr>
                    <wps:wsp>
                      <wps:cNvPr id="300" name="Graphic 300"/>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301" name="Graphic 301"/>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63072" id="docshapegroup251" coordorigin="0,496" coordsize="11906,737">
              <v:rect style="position:absolute;left:0;top:496;width:11906;height:737" id="docshape252" filled="true" fillcolor="#67287f" stroked="false">
                <v:fill type="solid"/>
              </v:rect>
              <v:rect style="position:absolute;left:0;top:496;width:1134;height:737" id="docshape253"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53920">
              <wp:simplePos x="0" y="0"/>
              <wp:positionH relativeFrom="page">
                <wp:posOffset>808099</wp:posOffset>
              </wp:positionH>
              <wp:positionV relativeFrom="page">
                <wp:posOffset>380352</wp:posOffset>
              </wp:positionV>
              <wp:extent cx="3020060" cy="355600"/>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62560" type="#_x0000_t202" id="docshape254"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754432">
              <wp:simplePos x="0" y="0"/>
              <wp:positionH relativeFrom="page">
                <wp:posOffset>224137</wp:posOffset>
              </wp:positionH>
              <wp:positionV relativeFrom="page">
                <wp:posOffset>466751</wp:posOffset>
              </wp:positionV>
              <wp:extent cx="284480" cy="17780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284480"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63</w:t>
                          </w:r>
                          <w:r>
                            <w:rPr>
                              <w:rFonts w:ascii="Tahoma"/>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17.648600pt;margin-top:36.752117pt;width:22.4pt;height:14pt;mso-position-horizontal-relative:page;mso-position-vertical-relative:page;z-index:-18562048" type="#_x0000_t202" id="docshape255" filled="false" stroked="false">
              <v:textbox inset="0,0,0,0">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63</w:t>
                    </w:r>
                    <w:r>
                      <w:rPr>
                        <w:rFonts w:ascii="Tahoma"/>
                        <w:b/>
                        <w:color w:val="FFFFFF"/>
                        <w:spacing w:val="-5"/>
                        <w:sz w:val="24"/>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54944">
              <wp:simplePos x="0" y="0"/>
              <wp:positionH relativeFrom="page">
                <wp:posOffset>0</wp:posOffset>
              </wp:positionH>
              <wp:positionV relativeFrom="page">
                <wp:posOffset>315010</wp:posOffset>
              </wp:positionV>
              <wp:extent cx="7560309" cy="467995"/>
              <wp:effectExtent l="0" t="0" r="0" b="0"/>
              <wp:wrapNone/>
              <wp:docPr id="304" name="Group 304"/>
              <wp:cNvGraphicFramePr>
                <a:graphicFrameLocks/>
              </wp:cNvGraphicFramePr>
              <a:graphic>
                <a:graphicData uri="http://schemas.microsoft.com/office/word/2010/wordprocessingGroup">
                  <wpg:wgp>
                    <wpg:cNvPr id="304" name="Group 304"/>
                    <wpg:cNvGrpSpPr/>
                    <wpg:grpSpPr>
                      <a:xfrm>
                        <a:off x="0" y="0"/>
                        <a:ext cx="7560309" cy="467995"/>
                        <a:chExt cx="7560309" cy="467995"/>
                      </a:xfrm>
                    </wpg:grpSpPr>
                    <wps:wsp>
                      <wps:cNvPr id="305" name="Graphic 305"/>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306" name="Graphic 306"/>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61536" id="docshapegroup256" coordorigin="0,496" coordsize="11906,737">
              <v:rect style="position:absolute;left:0;top:496;width:11906;height:737" id="docshape257" filled="true" fillcolor="#67287f" stroked="false">
                <v:fill type="solid"/>
              </v:rect>
              <v:rect style="position:absolute;left:10771;top:496;width:1134;height:737" id="docshape258"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55456">
              <wp:simplePos x="0" y="0"/>
              <wp:positionH relativeFrom="page">
                <wp:posOffset>7058954</wp:posOffset>
              </wp:positionH>
              <wp:positionV relativeFrom="page">
                <wp:posOffset>449717</wp:posOffset>
              </wp:positionV>
              <wp:extent cx="295275" cy="194310"/>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295275"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w w:val="115"/>
                              <w:sz w:val="24"/>
                            </w:rPr>
                            <w:fldChar w:fldCharType="begin"/>
                          </w:r>
                          <w:r>
                            <w:rPr>
                              <w:rFonts w:ascii="Trebuchet MS"/>
                              <w:b/>
                              <w:color w:val="FFFFFF"/>
                              <w:spacing w:val="-5"/>
                              <w:w w:val="115"/>
                              <w:sz w:val="24"/>
                            </w:rPr>
                            <w:instrText> PAGE </w:instrText>
                          </w:r>
                          <w:r>
                            <w:rPr>
                              <w:rFonts w:ascii="Trebuchet MS"/>
                              <w:b/>
                              <w:color w:val="FFFFFF"/>
                              <w:spacing w:val="-5"/>
                              <w:w w:val="115"/>
                              <w:sz w:val="24"/>
                            </w:rPr>
                            <w:fldChar w:fldCharType="separate"/>
                          </w:r>
                          <w:r>
                            <w:rPr>
                              <w:rFonts w:ascii="Trebuchet MS"/>
                              <w:b/>
                              <w:color w:val="FFFFFF"/>
                              <w:spacing w:val="-5"/>
                              <w:w w:val="115"/>
                              <w:sz w:val="24"/>
                            </w:rPr>
                            <w:t>64</w:t>
                          </w:r>
                          <w:r>
                            <w:rPr>
                              <w:rFonts w:ascii="Trebuchet MS"/>
                              <w:b/>
                              <w:color w:val="FFFFFF"/>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555.823181pt;margin-top:35.410816pt;width:23.25pt;height:15.3pt;mso-position-horizontal-relative:page;mso-position-vertical-relative:page;z-index:-18561024" type="#_x0000_t202" id="docshape259" filled="false" stroked="false">
              <v:textbox inset="0,0,0,0">
                <w:txbxContent>
                  <w:p>
                    <w:pPr>
                      <w:spacing w:before="18"/>
                      <w:ind w:left="60" w:right="0" w:firstLine="0"/>
                      <w:jc w:val="left"/>
                      <w:rPr>
                        <w:rFonts w:ascii="Trebuchet MS"/>
                        <w:b/>
                        <w:sz w:val="24"/>
                      </w:rPr>
                    </w:pPr>
                    <w:r>
                      <w:rPr>
                        <w:rFonts w:ascii="Trebuchet MS"/>
                        <w:b/>
                        <w:color w:val="FFFFFF"/>
                        <w:spacing w:val="-5"/>
                        <w:w w:val="115"/>
                        <w:sz w:val="24"/>
                      </w:rPr>
                      <w:fldChar w:fldCharType="begin"/>
                    </w:r>
                    <w:r>
                      <w:rPr>
                        <w:rFonts w:ascii="Trebuchet MS"/>
                        <w:b/>
                        <w:color w:val="FFFFFF"/>
                        <w:spacing w:val="-5"/>
                        <w:w w:val="115"/>
                        <w:sz w:val="24"/>
                      </w:rPr>
                      <w:instrText> PAGE </w:instrText>
                    </w:r>
                    <w:r>
                      <w:rPr>
                        <w:rFonts w:ascii="Trebuchet MS"/>
                        <w:b/>
                        <w:color w:val="FFFFFF"/>
                        <w:spacing w:val="-5"/>
                        <w:w w:val="115"/>
                        <w:sz w:val="24"/>
                      </w:rPr>
                      <w:fldChar w:fldCharType="separate"/>
                    </w:r>
                    <w:r>
                      <w:rPr>
                        <w:rFonts w:ascii="Trebuchet MS"/>
                        <w:b/>
                        <w:color w:val="FFFFFF"/>
                        <w:spacing w:val="-5"/>
                        <w:w w:val="115"/>
                        <w:sz w:val="24"/>
                      </w:rPr>
                      <w:t>64</w:t>
                    </w:r>
                    <w:r>
                      <w:rPr>
                        <w:rFonts w:ascii="Trebuchet MS"/>
                        <w:b/>
                        <w:color w:val="FFFFFF"/>
                        <w:spacing w:val="-5"/>
                        <w:w w:val="115"/>
                        <w:sz w:val="24"/>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56992">
              <wp:simplePos x="0" y="0"/>
              <wp:positionH relativeFrom="page">
                <wp:posOffset>0</wp:posOffset>
              </wp:positionH>
              <wp:positionV relativeFrom="page">
                <wp:posOffset>315010</wp:posOffset>
              </wp:positionV>
              <wp:extent cx="7560309" cy="467995"/>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7560309" cy="467995"/>
                        <a:chExt cx="7560309" cy="467995"/>
                      </a:xfrm>
                    </wpg:grpSpPr>
                    <wps:wsp>
                      <wps:cNvPr id="322" name="Graphic 322"/>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323" name="Graphic 323"/>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59488" id="docshapegroup273" coordorigin="0,496" coordsize="11906,737">
              <v:rect style="position:absolute;left:0;top:496;width:11906;height:737" id="docshape274" filled="true" fillcolor="#67287f" stroked="false">
                <v:fill type="solid"/>
              </v:rect>
              <v:rect style="position:absolute;left:10771;top:496;width:1134;height:737" id="docshape275"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57504">
              <wp:simplePos x="0" y="0"/>
              <wp:positionH relativeFrom="page">
                <wp:posOffset>7068404</wp:posOffset>
              </wp:positionH>
              <wp:positionV relativeFrom="page">
                <wp:posOffset>449717</wp:posOffset>
              </wp:positionV>
              <wp:extent cx="273685" cy="19431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273685"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w w:val="105"/>
                              <w:sz w:val="24"/>
                            </w:rPr>
                            <w:fldChar w:fldCharType="begin"/>
                          </w:r>
                          <w:r>
                            <w:rPr>
                              <w:rFonts w:ascii="Trebuchet MS"/>
                              <w:b/>
                              <w:color w:val="FFFFFF"/>
                              <w:spacing w:val="-5"/>
                              <w:w w:val="105"/>
                              <w:sz w:val="24"/>
                            </w:rPr>
                            <w:instrText> PAGE </w:instrText>
                          </w:r>
                          <w:r>
                            <w:rPr>
                              <w:rFonts w:ascii="Trebuchet MS"/>
                              <w:b/>
                              <w:color w:val="FFFFFF"/>
                              <w:spacing w:val="-5"/>
                              <w:w w:val="105"/>
                              <w:sz w:val="24"/>
                            </w:rPr>
                            <w:fldChar w:fldCharType="separate"/>
                          </w:r>
                          <w:r>
                            <w:rPr>
                              <w:rFonts w:ascii="Trebuchet MS"/>
                              <w:b/>
                              <w:color w:val="FFFFFF"/>
                              <w:spacing w:val="-5"/>
                              <w:w w:val="105"/>
                              <w:sz w:val="24"/>
                            </w:rPr>
                            <w:t>72</w:t>
                          </w:r>
                          <w:r>
                            <w:rPr>
                              <w:rFonts w:ascii="Trebuchet MS"/>
                              <w:b/>
                              <w:color w:val="FFFFFF"/>
                              <w:spacing w:val="-5"/>
                              <w:w w:val="105"/>
                              <w:sz w:val="24"/>
                            </w:rPr>
                            <w:fldChar w:fldCharType="end"/>
                          </w:r>
                        </w:p>
                      </w:txbxContent>
                    </wps:txbx>
                    <wps:bodyPr wrap="square" lIns="0" tIns="0" rIns="0" bIns="0" rtlCol="0">
                      <a:noAutofit/>
                    </wps:bodyPr>
                  </wps:wsp>
                </a:graphicData>
              </a:graphic>
            </wp:anchor>
          </w:drawing>
        </mc:Choice>
        <mc:Fallback>
          <w:pict>
            <v:shape style="position:absolute;margin-left:556.567322pt;margin-top:35.410816pt;width:21.55pt;height:15.3pt;mso-position-horizontal-relative:page;mso-position-vertical-relative:page;z-index:-18558976" type="#_x0000_t202" id="docshape276" filled="false" stroked="false">
              <v:textbox inset="0,0,0,0">
                <w:txbxContent>
                  <w:p>
                    <w:pPr>
                      <w:spacing w:before="18"/>
                      <w:ind w:left="60" w:right="0" w:firstLine="0"/>
                      <w:jc w:val="left"/>
                      <w:rPr>
                        <w:rFonts w:ascii="Trebuchet MS"/>
                        <w:b/>
                        <w:sz w:val="24"/>
                      </w:rPr>
                    </w:pPr>
                    <w:r>
                      <w:rPr>
                        <w:rFonts w:ascii="Trebuchet MS"/>
                        <w:b/>
                        <w:color w:val="FFFFFF"/>
                        <w:spacing w:val="-5"/>
                        <w:w w:val="105"/>
                        <w:sz w:val="24"/>
                      </w:rPr>
                      <w:fldChar w:fldCharType="begin"/>
                    </w:r>
                    <w:r>
                      <w:rPr>
                        <w:rFonts w:ascii="Trebuchet MS"/>
                        <w:b/>
                        <w:color w:val="FFFFFF"/>
                        <w:spacing w:val="-5"/>
                        <w:w w:val="105"/>
                        <w:sz w:val="24"/>
                      </w:rPr>
                      <w:instrText> PAGE </w:instrText>
                    </w:r>
                    <w:r>
                      <w:rPr>
                        <w:rFonts w:ascii="Trebuchet MS"/>
                        <w:b/>
                        <w:color w:val="FFFFFF"/>
                        <w:spacing w:val="-5"/>
                        <w:w w:val="105"/>
                        <w:sz w:val="24"/>
                      </w:rPr>
                      <w:fldChar w:fldCharType="separate"/>
                    </w:r>
                    <w:r>
                      <w:rPr>
                        <w:rFonts w:ascii="Trebuchet MS"/>
                        <w:b/>
                        <w:color w:val="FFFFFF"/>
                        <w:spacing w:val="-5"/>
                        <w:w w:val="105"/>
                        <w:sz w:val="24"/>
                      </w:rPr>
                      <w:t>72</w:t>
                    </w:r>
                    <w:r>
                      <w:rPr>
                        <w:rFonts w:ascii="Trebuchet MS"/>
                        <w:b/>
                        <w:color w:val="FFFFFF"/>
                        <w:spacing w:val="-5"/>
                        <w:w w:val="105"/>
                        <w:sz w:val="24"/>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58016">
              <wp:simplePos x="0" y="0"/>
              <wp:positionH relativeFrom="page">
                <wp:posOffset>0</wp:posOffset>
              </wp:positionH>
              <wp:positionV relativeFrom="page">
                <wp:posOffset>315010</wp:posOffset>
              </wp:positionV>
              <wp:extent cx="7560309" cy="467995"/>
              <wp:effectExtent l="0" t="0" r="0" b="0"/>
              <wp:wrapNone/>
              <wp:docPr id="325" name="Group 325"/>
              <wp:cNvGraphicFramePr>
                <a:graphicFrameLocks/>
              </wp:cNvGraphicFramePr>
              <a:graphic>
                <a:graphicData uri="http://schemas.microsoft.com/office/word/2010/wordprocessingGroup">
                  <wpg:wgp>
                    <wpg:cNvPr id="325" name="Group 325"/>
                    <wpg:cNvGrpSpPr/>
                    <wpg:grpSpPr>
                      <a:xfrm>
                        <a:off x="0" y="0"/>
                        <a:ext cx="7560309" cy="467995"/>
                        <a:chExt cx="7560309" cy="467995"/>
                      </a:xfrm>
                    </wpg:grpSpPr>
                    <wps:wsp>
                      <wps:cNvPr id="326" name="Graphic 326"/>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327" name="Graphic 327"/>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58464" id="docshapegroup277" coordorigin="0,496" coordsize="11906,737">
              <v:rect style="position:absolute;left:0;top:496;width:11906;height:737" id="docshape278" filled="true" fillcolor="#67287f" stroked="false">
                <v:fill type="solid"/>
              </v:rect>
              <v:rect style="position:absolute;left:0;top:496;width:1134;height:737" id="docshape279"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58528">
              <wp:simplePos x="0" y="0"/>
              <wp:positionH relativeFrom="page">
                <wp:posOffset>808099</wp:posOffset>
              </wp:positionH>
              <wp:positionV relativeFrom="page">
                <wp:posOffset>380352</wp:posOffset>
              </wp:positionV>
              <wp:extent cx="3020060" cy="35560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57952" type="#_x0000_t202" id="docshape280"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759040">
              <wp:simplePos x="0" y="0"/>
              <wp:positionH relativeFrom="page">
                <wp:posOffset>227413</wp:posOffset>
              </wp:positionH>
              <wp:positionV relativeFrom="page">
                <wp:posOffset>466751</wp:posOffset>
              </wp:positionV>
              <wp:extent cx="278130" cy="17780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278130"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73</w:t>
                          </w:r>
                          <w:r>
                            <w:rPr>
                              <w:rFonts w:ascii="Tahoma"/>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17.906601pt;margin-top:36.752117pt;width:21.9pt;height:14pt;mso-position-horizontal-relative:page;mso-position-vertical-relative:page;z-index:-18557440" type="#_x0000_t202" id="docshape281" filled="false" stroked="false">
              <v:textbox inset="0,0,0,0">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73</w:t>
                    </w:r>
                    <w:r>
                      <w:rPr>
                        <w:rFonts w:ascii="Tahoma"/>
                        <w:b/>
                        <w:color w:val="FFFFFF"/>
                        <w:spacing w:val="-5"/>
                        <w:sz w:val="24"/>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61088">
              <wp:simplePos x="0" y="0"/>
              <wp:positionH relativeFrom="page">
                <wp:posOffset>0</wp:posOffset>
              </wp:positionH>
              <wp:positionV relativeFrom="page">
                <wp:posOffset>315010</wp:posOffset>
              </wp:positionV>
              <wp:extent cx="7560309" cy="467995"/>
              <wp:effectExtent l="0" t="0" r="0" b="0"/>
              <wp:wrapNone/>
              <wp:docPr id="338" name="Group 338"/>
              <wp:cNvGraphicFramePr>
                <a:graphicFrameLocks/>
              </wp:cNvGraphicFramePr>
              <a:graphic>
                <a:graphicData uri="http://schemas.microsoft.com/office/word/2010/wordprocessingGroup">
                  <wpg:wgp>
                    <wpg:cNvPr id="338" name="Group 338"/>
                    <wpg:cNvGrpSpPr/>
                    <wpg:grpSpPr>
                      <a:xfrm>
                        <a:off x="0" y="0"/>
                        <a:ext cx="7560309" cy="467995"/>
                        <a:chExt cx="7560309" cy="467995"/>
                      </a:xfrm>
                    </wpg:grpSpPr>
                    <wps:wsp>
                      <wps:cNvPr id="339" name="Graphic 339"/>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340" name="Graphic 340"/>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55392" id="docshapegroup288" coordorigin="0,496" coordsize="11906,737">
              <v:rect style="position:absolute;left:0;top:496;width:11906;height:737" id="docshape289" filled="true" fillcolor="#67287f" stroked="false">
                <v:fill type="solid"/>
              </v:rect>
              <v:rect style="position:absolute;left:10771;top:496;width:1134;height:737" id="docshape290"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61600">
              <wp:simplePos x="0" y="0"/>
              <wp:positionH relativeFrom="page">
                <wp:posOffset>7058269</wp:posOffset>
              </wp:positionH>
              <wp:positionV relativeFrom="page">
                <wp:posOffset>449717</wp:posOffset>
              </wp:positionV>
              <wp:extent cx="296545" cy="194310"/>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296545"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w w:val="115"/>
                              <w:sz w:val="24"/>
                            </w:rPr>
                            <w:fldChar w:fldCharType="begin"/>
                          </w:r>
                          <w:r>
                            <w:rPr>
                              <w:rFonts w:ascii="Trebuchet MS"/>
                              <w:b/>
                              <w:color w:val="FFFFFF"/>
                              <w:spacing w:val="-5"/>
                              <w:w w:val="115"/>
                              <w:sz w:val="24"/>
                            </w:rPr>
                            <w:instrText> PAGE </w:instrText>
                          </w:r>
                          <w:r>
                            <w:rPr>
                              <w:rFonts w:ascii="Trebuchet MS"/>
                              <w:b/>
                              <w:color w:val="FFFFFF"/>
                              <w:spacing w:val="-5"/>
                              <w:w w:val="115"/>
                              <w:sz w:val="24"/>
                            </w:rPr>
                            <w:fldChar w:fldCharType="separate"/>
                          </w:r>
                          <w:r>
                            <w:rPr>
                              <w:rFonts w:ascii="Trebuchet MS"/>
                              <w:b/>
                              <w:color w:val="FFFFFF"/>
                              <w:spacing w:val="-5"/>
                              <w:w w:val="115"/>
                              <w:sz w:val="24"/>
                            </w:rPr>
                            <w:t>80</w:t>
                          </w:r>
                          <w:r>
                            <w:rPr>
                              <w:rFonts w:ascii="Trebuchet MS"/>
                              <w:b/>
                              <w:color w:val="FFFFFF"/>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555.769226pt;margin-top:35.410816pt;width:23.35pt;height:15.3pt;mso-position-horizontal-relative:page;mso-position-vertical-relative:page;z-index:-18554880" type="#_x0000_t202" id="docshape291" filled="false" stroked="false">
              <v:textbox inset="0,0,0,0">
                <w:txbxContent>
                  <w:p>
                    <w:pPr>
                      <w:spacing w:before="18"/>
                      <w:ind w:left="60" w:right="0" w:firstLine="0"/>
                      <w:jc w:val="left"/>
                      <w:rPr>
                        <w:rFonts w:ascii="Trebuchet MS"/>
                        <w:b/>
                        <w:sz w:val="24"/>
                      </w:rPr>
                    </w:pPr>
                    <w:r>
                      <w:rPr>
                        <w:rFonts w:ascii="Trebuchet MS"/>
                        <w:b/>
                        <w:color w:val="FFFFFF"/>
                        <w:spacing w:val="-5"/>
                        <w:w w:val="115"/>
                        <w:sz w:val="24"/>
                      </w:rPr>
                      <w:fldChar w:fldCharType="begin"/>
                    </w:r>
                    <w:r>
                      <w:rPr>
                        <w:rFonts w:ascii="Trebuchet MS"/>
                        <w:b/>
                        <w:color w:val="FFFFFF"/>
                        <w:spacing w:val="-5"/>
                        <w:w w:val="115"/>
                        <w:sz w:val="24"/>
                      </w:rPr>
                      <w:instrText> PAGE </w:instrText>
                    </w:r>
                    <w:r>
                      <w:rPr>
                        <w:rFonts w:ascii="Trebuchet MS"/>
                        <w:b/>
                        <w:color w:val="FFFFFF"/>
                        <w:spacing w:val="-5"/>
                        <w:w w:val="115"/>
                        <w:sz w:val="24"/>
                      </w:rPr>
                      <w:fldChar w:fldCharType="separate"/>
                    </w:r>
                    <w:r>
                      <w:rPr>
                        <w:rFonts w:ascii="Trebuchet MS"/>
                        <w:b/>
                        <w:color w:val="FFFFFF"/>
                        <w:spacing w:val="-5"/>
                        <w:w w:val="115"/>
                        <w:sz w:val="24"/>
                      </w:rPr>
                      <w:t>80</w:t>
                    </w:r>
                    <w:r>
                      <w:rPr>
                        <w:rFonts w:ascii="Trebuchet MS"/>
                        <w:b/>
                        <w:color w:val="FFFFFF"/>
                        <w:spacing w:val="-5"/>
                        <w:w w:val="115"/>
                        <w:sz w:val="24"/>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62112">
              <wp:simplePos x="0" y="0"/>
              <wp:positionH relativeFrom="page">
                <wp:posOffset>0</wp:posOffset>
              </wp:positionH>
              <wp:positionV relativeFrom="page">
                <wp:posOffset>315010</wp:posOffset>
              </wp:positionV>
              <wp:extent cx="7560309" cy="467995"/>
              <wp:effectExtent l="0" t="0" r="0" b="0"/>
              <wp:wrapNone/>
              <wp:docPr id="342" name="Group 342"/>
              <wp:cNvGraphicFramePr>
                <a:graphicFrameLocks/>
              </wp:cNvGraphicFramePr>
              <a:graphic>
                <a:graphicData uri="http://schemas.microsoft.com/office/word/2010/wordprocessingGroup">
                  <wpg:wgp>
                    <wpg:cNvPr id="342" name="Group 342"/>
                    <wpg:cNvGrpSpPr/>
                    <wpg:grpSpPr>
                      <a:xfrm>
                        <a:off x="0" y="0"/>
                        <a:ext cx="7560309" cy="467995"/>
                        <a:chExt cx="7560309" cy="467995"/>
                      </a:xfrm>
                    </wpg:grpSpPr>
                    <wps:wsp>
                      <wps:cNvPr id="343" name="Graphic 343"/>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344" name="Graphic 344"/>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54368" id="docshapegroup292" coordorigin="0,496" coordsize="11906,737">
              <v:rect style="position:absolute;left:0;top:496;width:11906;height:737" id="docshape293" filled="true" fillcolor="#67287f" stroked="false">
                <v:fill type="solid"/>
              </v:rect>
              <v:rect style="position:absolute;left:0;top:496;width:1134;height:737" id="docshape294"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62624">
              <wp:simplePos x="0" y="0"/>
              <wp:positionH relativeFrom="page">
                <wp:posOffset>808099</wp:posOffset>
              </wp:positionH>
              <wp:positionV relativeFrom="page">
                <wp:posOffset>380352</wp:posOffset>
              </wp:positionV>
              <wp:extent cx="3020060" cy="355600"/>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53856" type="#_x0000_t202" id="docshape295"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763136">
              <wp:simplePos x="0" y="0"/>
              <wp:positionH relativeFrom="page">
                <wp:posOffset>186797</wp:posOffset>
              </wp:positionH>
              <wp:positionV relativeFrom="page">
                <wp:posOffset>466751</wp:posOffset>
              </wp:positionV>
              <wp:extent cx="359410" cy="177800"/>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359410"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103</w:t>
                          </w:r>
                          <w:r>
                            <w:rPr>
                              <w:rFonts w:ascii="Tahoma"/>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14.7085pt;margin-top:36.752117pt;width:28.3pt;height:14pt;mso-position-horizontal-relative:page;mso-position-vertical-relative:page;z-index:-18553344" type="#_x0000_t202" id="docshape296" filled="false" stroked="false">
              <v:textbox inset="0,0,0,0">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103</w:t>
                    </w:r>
                    <w:r>
                      <w:rPr>
                        <w:rFonts w:ascii="Tahoma"/>
                        <w:b/>
                        <w:color w:val="FFFFFF"/>
                        <w:spacing w:val="-5"/>
                        <w:sz w:val="24"/>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64672">
              <wp:simplePos x="0" y="0"/>
              <wp:positionH relativeFrom="page">
                <wp:posOffset>0</wp:posOffset>
              </wp:positionH>
              <wp:positionV relativeFrom="page">
                <wp:posOffset>315010</wp:posOffset>
              </wp:positionV>
              <wp:extent cx="7560309" cy="467995"/>
              <wp:effectExtent l="0" t="0" r="0" b="0"/>
              <wp:wrapNone/>
              <wp:docPr id="367" name="Group 367"/>
              <wp:cNvGraphicFramePr>
                <a:graphicFrameLocks/>
              </wp:cNvGraphicFramePr>
              <a:graphic>
                <a:graphicData uri="http://schemas.microsoft.com/office/word/2010/wordprocessingGroup">
                  <wpg:wgp>
                    <wpg:cNvPr id="367" name="Group 367"/>
                    <wpg:cNvGrpSpPr/>
                    <wpg:grpSpPr>
                      <a:xfrm>
                        <a:off x="0" y="0"/>
                        <a:ext cx="7560309" cy="467995"/>
                        <a:chExt cx="7560309" cy="467995"/>
                      </a:xfrm>
                    </wpg:grpSpPr>
                    <wps:wsp>
                      <wps:cNvPr id="368" name="Graphic 368"/>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369" name="Graphic 369"/>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51808" id="docshapegroup317" coordorigin="0,496" coordsize="11906,737">
              <v:rect style="position:absolute;left:0;top:496;width:11906;height:737" id="docshape318" filled="true" fillcolor="#67287f" stroked="false">
                <v:fill type="solid"/>
              </v:rect>
              <v:rect style="position:absolute;left:10771;top:496;width:1134;height:737" id="docshape319"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65184">
              <wp:simplePos x="0" y="0"/>
              <wp:positionH relativeFrom="page">
                <wp:posOffset>7065888</wp:posOffset>
              </wp:positionH>
              <wp:positionV relativeFrom="page">
                <wp:posOffset>449717</wp:posOffset>
              </wp:positionV>
              <wp:extent cx="281305" cy="194310"/>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281305"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w w:val="105"/>
                              <w:sz w:val="24"/>
                            </w:rPr>
                            <w:fldChar w:fldCharType="begin"/>
                          </w:r>
                          <w:r>
                            <w:rPr>
                              <w:rFonts w:ascii="Trebuchet MS"/>
                              <w:b/>
                              <w:color w:val="FFFFFF"/>
                              <w:spacing w:val="-5"/>
                              <w:w w:val="105"/>
                              <w:sz w:val="24"/>
                            </w:rPr>
                            <w:instrText> PAGE </w:instrText>
                          </w:r>
                          <w:r>
                            <w:rPr>
                              <w:rFonts w:ascii="Trebuchet MS"/>
                              <w:b/>
                              <w:color w:val="FFFFFF"/>
                              <w:spacing w:val="-5"/>
                              <w:w w:val="105"/>
                              <w:sz w:val="24"/>
                            </w:rPr>
                            <w:fldChar w:fldCharType="separate"/>
                          </w:r>
                          <w:r>
                            <w:rPr>
                              <w:rFonts w:ascii="Trebuchet MS"/>
                              <w:b/>
                              <w:color w:val="FFFFFF"/>
                              <w:spacing w:val="-5"/>
                              <w:w w:val="105"/>
                              <w:sz w:val="24"/>
                            </w:rPr>
                            <w:t>88</w:t>
                          </w:r>
                          <w:r>
                            <w:rPr>
                              <w:rFonts w:ascii="Trebuchet MS"/>
                              <w:b/>
                              <w:color w:val="FFFFFF"/>
                              <w:spacing w:val="-5"/>
                              <w:w w:val="105"/>
                              <w:sz w:val="24"/>
                            </w:rPr>
                            <w:fldChar w:fldCharType="end"/>
                          </w:r>
                        </w:p>
                      </w:txbxContent>
                    </wps:txbx>
                    <wps:bodyPr wrap="square" lIns="0" tIns="0" rIns="0" bIns="0" rtlCol="0">
                      <a:noAutofit/>
                    </wps:bodyPr>
                  </wps:wsp>
                </a:graphicData>
              </a:graphic>
            </wp:anchor>
          </w:drawing>
        </mc:Choice>
        <mc:Fallback>
          <w:pict>
            <v:shape style="position:absolute;margin-left:556.369202pt;margin-top:35.410816pt;width:22.15pt;height:15.3pt;mso-position-horizontal-relative:page;mso-position-vertical-relative:page;z-index:-18551296" type="#_x0000_t202" id="docshape320" filled="false" stroked="false">
              <v:textbox inset="0,0,0,0">
                <w:txbxContent>
                  <w:p>
                    <w:pPr>
                      <w:spacing w:before="18"/>
                      <w:ind w:left="60" w:right="0" w:firstLine="0"/>
                      <w:jc w:val="left"/>
                      <w:rPr>
                        <w:rFonts w:ascii="Trebuchet MS"/>
                        <w:b/>
                        <w:sz w:val="24"/>
                      </w:rPr>
                    </w:pPr>
                    <w:r>
                      <w:rPr>
                        <w:rFonts w:ascii="Trebuchet MS"/>
                        <w:b/>
                        <w:color w:val="FFFFFF"/>
                        <w:spacing w:val="-5"/>
                        <w:w w:val="105"/>
                        <w:sz w:val="24"/>
                      </w:rPr>
                      <w:fldChar w:fldCharType="begin"/>
                    </w:r>
                    <w:r>
                      <w:rPr>
                        <w:rFonts w:ascii="Trebuchet MS"/>
                        <w:b/>
                        <w:color w:val="FFFFFF"/>
                        <w:spacing w:val="-5"/>
                        <w:w w:val="105"/>
                        <w:sz w:val="24"/>
                      </w:rPr>
                      <w:instrText> PAGE </w:instrText>
                    </w:r>
                    <w:r>
                      <w:rPr>
                        <w:rFonts w:ascii="Trebuchet MS"/>
                        <w:b/>
                        <w:color w:val="FFFFFF"/>
                        <w:spacing w:val="-5"/>
                        <w:w w:val="105"/>
                        <w:sz w:val="24"/>
                      </w:rPr>
                      <w:fldChar w:fldCharType="separate"/>
                    </w:r>
                    <w:r>
                      <w:rPr>
                        <w:rFonts w:ascii="Trebuchet MS"/>
                        <w:b/>
                        <w:color w:val="FFFFFF"/>
                        <w:spacing w:val="-5"/>
                        <w:w w:val="105"/>
                        <w:sz w:val="24"/>
                      </w:rPr>
                      <w:t>88</w:t>
                    </w:r>
                    <w:r>
                      <w:rPr>
                        <w:rFonts w:ascii="Trebuchet MS"/>
                        <w:b/>
                        <w:color w:val="FFFFFF"/>
                        <w:spacing w:val="-5"/>
                        <w:w w:val="105"/>
                        <w:sz w:val="24"/>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65696">
              <wp:simplePos x="0" y="0"/>
              <wp:positionH relativeFrom="page">
                <wp:posOffset>0</wp:posOffset>
              </wp:positionH>
              <wp:positionV relativeFrom="page">
                <wp:posOffset>315010</wp:posOffset>
              </wp:positionV>
              <wp:extent cx="7560309" cy="467995"/>
              <wp:effectExtent l="0" t="0" r="0" b="0"/>
              <wp:wrapNone/>
              <wp:docPr id="371" name="Group 371"/>
              <wp:cNvGraphicFramePr>
                <a:graphicFrameLocks/>
              </wp:cNvGraphicFramePr>
              <a:graphic>
                <a:graphicData uri="http://schemas.microsoft.com/office/word/2010/wordprocessingGroup">
                  <wpg:wgp>
                    <wpg:cNvPr id="371" name="Group 371"/>
                    <wpg:cNvGrpSpPr/>
                    <wpg:grpSpPr>
                      <a:xfrm>
                        <a:off x="0" y="0"/>
                        <a:ext cx="7560309" cy="467995"/>
                        <a:chExt cx="7560309" cy="467995"/>
                      </a:xfrm>
                    </wpg:grpSpPr>
                    <wps:wsp>
                      <wps:cNvPr id="372" name="Graphic 372"/>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373" name="Graphic 373"/>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50784" id="docshapegroup321" coordorigin="0,496" coordsize="11906,737">
              <v:rect style="position:absolute;left:0;top:496;width:11906;height:737" id="docshape322" filled="true" fillcolor="#67287f" stroked="false">
                <v:fill type="solid"/>
              </v:rect>
              <v:rect style="position:absolute;left:0;top:496;width:1134;height:737" id="docshape323"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66208">
              <wp:simplePos x="0" y="0"/>
              <wp:positionH relativeFrom="page">
                <wp:posOffset>808099</wp:posOffset>
              </wp:positionH>
              <wp:positionV relativeFrom="page">
                <wp:posOffset>380352</wp:posOffset>
              </wp:positionV>
              <wp:extent cx="3020060" cy="355600"/>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50272" type="#_x0000_t202" id="docshape324"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766720">
              <wp:simplePos x="0" y="0"/>
              <wp:positionH relativeFrom="page">
                <wp:posOffset>223451</wp:posOffset>
              </wp:positionH>
              <wp:positionV relativeFrom="page">
                <wp:posOffset>466751</wp:posOffset>
              </wp:positionV>
              <wp:extent cx="286385" cy="177800"/>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a:off x="0" y="0"/>
                        <a:ext cx="286385"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89</w:t>
                          </w:r>
                          <w:r>
                            <w:rPr>
                              <w:rFonts w:ascii="Tahoma"/>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17.594601pt;margin-top:36.752117pt;width:22.55pt;height:14pt;mso-position-horizontal-relative:page;mso-position-vertical-relative:page;z-index:-18549760" type="#_x0000_t202" id="docshape325" filled="false" stroked="false">
              <v:textbox inset="0,0,0,0">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89</w:t>
                    </w:r>
                    <w:r>
                      <w:rPr>
                        <w:rFonts w:ascii="Tahoma"/>
                        <w:b/>
                        <w:color w:val="FFFFFF"/>
                        <w:spacing w:val="-5"/>
                        <w:sz w:val="24"/>
                      </w:rPr>
                      <w:fldChar w:fldCharType="end"/>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68768">
              <wp:simplePos x="0" y="0"/>
              <wp:positionH relativeFrom="page">
                <wp:posOffset>0</wp:posOffset>
              </wp:positionH>
              <wp:positionV relativeFrom="page">
                <wp:posOffset>315010</wp:posOffset>
              </wp:positionV>
              <wp:extent cx="7560309" cy="467995"/>
              <wp:effectExtent l="0" t="0" r="0" b="0"/>
              <wp:wrapNone/>
              <wp:docPr id="382" name="Group 382"/>
              <wp:cNvGraphicFramePr>
                <a:graphicFrameLocks/>
              </wp:cNvGraphicFramePr>
              <a:graphic>
                <a:graphicData uri="http://schemas.microsoft.com/office/word/2010/wordprocessingGroup">
                  <wpg:wgp>
                    <wpg:cNvPr id="382" name="Group 382"/>
                    <wpg:cNvGrpSpPr/>
                    <wpg:grpSpPr>
                      <a:xfrm>
                        <a:off x="0" y="0"/>
                        <a:ext cx="7560309" cy="467995"/>
                        <a:chExt cx="7560309" cy="467995"/>
                      </a:xfrm>
                    </wpg:grpSpPr>
                    <wps:wsp>
                      <wps:cNvPr id="383" name="Graphic 383"/>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384" name="Graphic 384"/>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47712" id="docshapegroup331" coordorigin="0,496" coordsize="11906,737">
              <v:rect style="position:absolute;left:0;top:496;width:11906;height:737" id="docshape332" filled="true" fillcolor="#67287f" stroked="false">
                <v:fill type="solid"/>
              </v:rect>
              <v:rect style="position:absolute;left:10771;top:496;width:1134;height:737" id="docshape333"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69280">
              <wp:simplePos x="0" y="0"/>
              <wp:positionH relativeFrom="page">
                <wp:posOffset>7055830</wp:posOffset>
              </wp:positionH>
              <wp:positionV relativeFrom="page">
                <wp:posOffset>449717</wp:posOffset>
              </wp:positionV>
              <wp:extent cx="301625" cy="194310"/>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301625"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w w:val="120"/>
                              <w:sz w:val="24"/>
                            </w:rPr>
                            <w:fldChar w:fldCharType="begin"/>
                          </w:r>
                          <w:r>
                            <w:rPr>
                              <w:rFonts w:ascii="Trebuchet MS"/>
                              <w:b/>
                              <w:color w:val="FFFFFF"/>
                              <w:spacing w:val="-5"/>
                              <w:w w:val="120"/>
                              <w:sz w:val="24"/>
                            </w:rPr>
                            <w:instrText> PAGE </w:instrText>
                          </w:r>
                          <w:r>
                            <w:rPr>
                              <w:rFonts w:ascii="Trebuchet MS"/>
                              <w:b/>
                              <w:color w:val="FFFFFF"/>
                              <w:spacing w:val="-5"/>
                              <w:w w:val="120"/>
                              <w:sz w:val="24"/>
                            </w:rPr>
                            <w:fldChar w:fldCharType="separate"/>
                          </w:r>
                          <w:r>
                            <w:rPr>
                              <w:rFonts w:ascii="Trebuchet MS"/>
                              <w:b/>
                              <w:color w:val="FFFFFF"/>
                              <w:spacing w:val="-5"/>
                              <w:w w:val="120"/>
                              <w:sz w:val="24"/>
                            </w:rPr>
                            <w:t>90</w:t>
                          </w:r>
                          <w:r>
                            <w:rPr>
                              <w:rFonts w:ascii="Trebuchet MS"/>
                              <w:b/>
                              <w:color w:val="FFFFFF"/>
                              <w:spacing w:val="-5"/>
                              <w:w w:val="120"/>
                              <w:sz w:val="24"/>
                            </w:rPr>
                            <w:fldChar w:fldCharType="end"/>
                          </w:r>
                        </w:p>
                      </w:txbxContent>
                    </wps:txbx>
                    <wps:bodyPr wrap="square" lIns="0" tIns="0" rIns="0" bIns="0" rtlCol="0">
                      <a:noAutofit/>
                    </wps:bodyPr>
                  </wps:wsp>
                </a:graphicData>
              </a:graphic>
            </wp:anchor>
          </w:drawing>
        </mc:Choice>
        <mc:Fallback>
          <w:pict>
            <v:shape style="position:absolute;margin-left:555.577209pt;margin-top:35.410816pt;width:23.75pt;height:15.3pt;mso-position-horizontal-relative:page;mso-position-vertical-relative:page;z-index:-18547200" type="#_x0000_t202" id="docshape334" filled="false" stroked="false">
              <v:textbox inset="0,0,0,0">
                <w:txbxContent>
                  <w:p>
                    <w:pPr>
                      <w:spacing w:before="18"/>
                      <w:ind w:left="60" w:right="0" w:firstLine="0"/>
                      <w:jc w:val="left"/>
                      <w:rPr>
                        <w:rFonts w:ascii="Trebuchet MS"/>
                        <w:b/>
                        <w:sz w:val="24"/>
                      </w:rPr>
                    </w:pPr>
                    <w:r>
                      <w:rPr>
                        <w:rFonts w:ascii="Trebuchet MS"/>
                        <w:b/>
                        <w:color w:val="FFFFFF"/>
                        <w:spacing w:val="-5"/>
                        <w:w w:val="120"/>
                        <w:sz w:val="24"/>
                      </w:rPr>
                      <w:fldChar w:fldCharType="begin"/>
                    </w:r>
                    <w:r>
                      <w:rPr>
                        <w:rFonts w:ascii="Trebuchet MS"/>
                        <w:b/>
                        <w:color w:val="FFFFFF"/>
                        <w:spacing w:val="-5"/>
                        <w:w w:val="120"/>
                        <w:sz w:val="24"/>
                      </w:rPr>
                      <w:instrText> PAGE </w:instrText>
                    </w:r>
                    <w:r>
                      <w:rPr>
                        <w:rFonts w:ascii="Trebuchet MS"/>
                        <w:b/>
                        <w:color w:val="FFFFFF"/>
                        <w:spacing w:val="-5"/>
                        <w:w w:val="120"/>
                        <w:sz w:val="24"/>
                      </w:rPr>
                      <w:fldChar w:fldCharType="separate"/>
                    </w:r>
                    <w:r>
                      <w:rPr>
                        <w:rFonts w:ascii="Trebuchet MS"/>
                        <w:b/>
                        <w:color w:val="FFFFFF"/>
                        <w:spacing w:val="-5"/>
                        <w:w w:val="120"/>
                        <w:sz w:val="24"/>
                      </w:rPr>
                      <w:t>90</w:t>
                    </w:r>
                    <w:r>
                      <w:rPr>
                        <w:rFonts w:ascii="Trebuchet MS"/>
                        <w:b/>
                        <w:color w:val="FFFFFF"/>
                        <w:spacing w:val="-5"/>
                        <w:w w:val="120"/>
                        <w:sz w:val="24"/>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17056">
              <wp:simplePos x="0" y="0"/>
              <wp:positionH relativeFrom="page">
                <wp:posOffset>0</wp:posOffset>
              </wp:positionH>
              <wp:positionV relativeFrom="page">
                <wp:posOffset>315010</wp:posOffset>
              </wp:positionV>
              <wp:extent cx="7560309" cy="467995"/>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7560309" cy="467995"/>
                        <a:chExt cx="7560309" cy="467995"/>
                      </a:xfrm>
                    </wpg:grpSpPr>
                    <wps:wsp>
                      <wps:cNvPr id="120" name="Graphic 120"/>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121" name="Graphic 121"/>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99424" id="docshapegroup76" coordorigin="0,496" coordsize="11906,737">
              <v:rect style="position:absolute;left:0;top:496;width:11906;height:737" id="docshape77" filled="true" fillcolor="#67287f" stroked="false">
                <v:fill type="solid"/>
              </v:rect>
              <v:rect style="position:absolute;left:10771;top:496;width:1134;height:737" id="docshape78"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17568">
              <wp:simplePos x="0" y="0"/>
              <wp:positionH relativeFrom="page">
                <wp:posOffset>7058802</wp:posOffset>
              </wp:positionH>
              <wp:positionV relativeFrom="page">
                <wp:posOffset>449717</wp:posOffset>
              </wp:positionV>
              <wp:extent cx="295275" cy="19431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95275"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w w:val="115"/>
                              <w:sz w:val="24"/>
                            </w:rPr>
                            <w:fldChar w:fldCharType="begin"/>
                          </w:r>
                          <w:r>
                            <w:rPr>
                              <w:rFonts w:ascii="Trebuchet MS"/>
                              <w:b/>
                              <w:color w:val="FFFFFF"/>
                              <w:spacing w:val="-5"/>
                              <w:w w:val="115"/>
                              <w:sz w:val="24"/>
                            </w:rPr>
                            <w:instrText> PAGE </w:instrText>
                          </w:r>
                          <w:r>
                            <w:rPr>
                              <w:rFonts w:ascii="Trebuchet MS"/>
                              <w:b/>
                              <w:color w:val="FFFFFF"/>
                              <w:spacing w:val="-5"/>
                              <w:w w:val="115"/>
                              <w:sz w:val="24"/>
                            </w:rPr>
                            <w:fldChar w:fldCharType="separate"/>
                          </w:r>
                          <w:r>
                            <w:rPr>
                              <w:rFonts w:ascii="Trebuchet MS"/>
                              <w:b/>
                              <w:color w:val="FFFFFF"/>
                              <w:spacing w:val="-5"/>
                              <w:w w:val="115"/>
                              <w:sz w:val="24"/>
                            </w:rPr>
                            <w:t>20</w:t>
                          </w:r>
                          <w:r>
                            <w:rPr>
                              <w:rFonts w:ascii="Trebuchet MS"/>
                              <w:b/>
                              <w:color w:val="FFFFFF"/>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555.811218pt;margin-top:35.410816pt;width:23.25pt;height:15.3pt;mso-position-horizontal-relative:page;mso-position-vertical-relative:page;z-index:-18598912" type="#_x0000_t202" id="docshape79" filled="false" stroked="false">
              <v:textbox inset="0,0,0,0">
                <w:txbxContent>
                  <w:p>
                    <w:pPr>
                      <w:spacing w:before="18"/>
                      <w:ind w:left="60" w:right="0" w:firstLine="0"/>
                      <w:jc w:val="left"/>
                      <w:rPr>
                        <w:rFonts w:ascii="Trebuchet MS"/>
                        <w:b/>
                        <w:sz w:val="24"/>
                      </w:rPr>
                    </w:pPr>
                    <w:r>
                      <w:rPr>
                        <w:rFonts w:ascii="Trebuchet MS"/>
                        <w:b/>
                        <w:color w:val="FFFFFF"/>
                        <w:spacing w:val="-5"/>
                        <w:w w:val="115"/>
                        <w:sz w:val="24"/>
                      </w:rPr>
                      <w:fldChar w:fldCharType="begin"/>
                    </w:r>
                    <w:r>
                      <w:rPr>
                        <w:rFonts w:ascii="Trebuchet MS"/>
                        <w:b/>
                        <w:color w:val="FFFFFF"/>
                        <w:spacing w:val="-5"/>
                        <w:w w:val="115"/>
                        <w:sz w:val="24"/>
                      </w:rPr>
                      <w:instrText> PAGE </w:instrText>
                    </w:r>
                    <w:r>
                      <w:rPr>
                        <w:rFonts w:ascii="Trebuchet MS"/>
                        <w:b/>
                        <w:color w:val="FFFFFF"/>
                        <w:spacing w:val="-5"/>
                        <w:w w:val="115"/>
                        <w:sz w:val="24"/>
                      </w:rPr>
                      <w:fldChar w:fldCharType="separate"/>
                    </w:r>
                    <w:r>
                      <w:rPr>
                        <w:rFonts w:ascii="Trebuchet MS"/>
                        <w:b/>
                        <w:color w:val="FFFFFF"/>
                        <w:spacing w:val="-5"/>
                        <w:w w:val="115"/>
                        <w:sz w:val="24"/>
                      </w:rPr>
                      <w:t>20</w:t>
                    </w:r>
                    <w:r>
                      <w:rPr>
                        <w:rFonts w:ascii="Trebuchet MS"/>
                        <w:b/>
                        <w:color w:val="FFFFFF"/>
                        <w:spacing w:val="-5"/>
                        <w:w w:val="115"/>
                        <w:sz w:val="24"/>
                      </w:rPr>
                      <w:fldChar w:fldCharType="end"/>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69792">
              <wp:simplePos x="0" y="0"/>
              <wp:positionH relativeFrom="page">
                <wp:posOffset>0</wp:posOffset>
              </wp:positionH>
              <wp:positionV relativeFrom="page">
                <wp:posOffset>315010</wp:posOffset>
              </wp:positionV>
              <wp:extent cx="7560309" cy="467995"/>
              <wp:effectExtent l="0" t="0" r="0" b="0"/>
              <wp:wrapNone/>
              <wp:docPr id="386" name="Group 386"/>
              <wp:cNvGraphicFramePr>
                <a:graphicFrameLocks/>
              </wp:cNvGraphicFramePr>
              <a:graphic>
                <a:graphicData uri="http://schemas.microsoft.com/office/word/2010/wordprocessingGroup">
                  <wpg:wgp>
                    <wpg:cNvPr id="386" name="Group 386"/>
                    <wpg:cNvGrpSpPr/>
                    <wpg:grpSpPr>
                      <a:xfrm>
                        <a:off x="0" y="0"/>
                        <a:ext cx="7560309" cy="467995"/>
                        <a:chExt cx="7560309" cy="467995"/>
                      </a:xfrm>
                    </wpg:grpSpPr>
                    <wps:wsp>
                      <wps:cNvPr id="387" name="Graphic 387"/>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388" name="Graphic 388"/>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46688" id="docshapegroup335" coordorigin="0,496" coordsize="11906,737">
              <v:rect style="position:absolute;left:0;top:496;width:11906;height:737" id="docshape336" filled="true" fillcolor="#67287f" stroked="false">
                <v:fill type="solid"/>
              </v:rect>
              <v:rect style="position:absolute;left:0;top:496;width:1134;height:737" id="docshape337"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70304">
              <wp:simplePos x="0" y="0"/>
              <wp:positionH relativeFrom="page">
                <wp:posOffset>808099</wp:posOffset>
              </wp:positionH>
              <wp:positionV relativeFrom="page">
                <wp:posOffset>380352</wp:posOffset>
              </wp:positionV>
              <wp:extent cx="3020060" cy="355600"/>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46176" type="#_x0000_t202" id="docshape338"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770816">
              <wp:simplePos x="0" y="0"/>
              <wp:positionH relativeFrom="page">
                <wp:posOffset>239299</wp:posOffset>
              </wp:positionH>
              <wp:positionV relativeFrom="page">
                <wp:posOffset>466751</wp:posOffset>
              </wp:positionV>
              <wp:extent cx="254635" cy="177800"/>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254635"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w w:val="95"/>
                              <w:sz w:val="24"/>
                            </w:rPr>
                            <w:fldChar w:fldCharType="begin"/>
                          </w:r>
                          <w:r>
                            <w:rPr>
                              <w:rFonts w:ascii="Tahoma"/>
                              <w:b/>
                              <w:color w:val="FFFFFF"/>
                              <w:spacing w:val="-5"/>
                              <w:w w:val="95"/>
                              <w:sz w:val="24"/>
                            </w:rPr>
                            <w:instrText> PAGE </w:instrText>
                          </w:r>
                          <w:r>
                            <w:rPr>
                              <w:rFonts w:ascii="Tahoma"/>
                              <w:b/>
                              <w:color w:val="FFFFFF"/>
                              <w:spacing w:val="-5"/>
                              <w:w w:val="95"/>
                              <w:sz w:val="24"/>
                            </w:rPr>
                            <w:fldChar w:fldCharType="separate"/>
                          </w:r>
                          <w:r>
                            <w:rPr>
                              <w:rFonts w:ascii="Tahoma"/>
                              <w:b/>
                              <w:color w:val="FFFFFF"/>
                              <w:spacing w:val="-5"/>
                              <w:w w:val="95"/>
                              <w:sz w:val="24"/>
                            </w:rPr>
                            <w:t>91</w:t>
                          </w:r>
                          <w:r>
                            <w:rPr>
                              <w:rFonts w:ascii="Tahoma"/>
                              <w:b/>
                              <w:color w:val="FFFFFF"/>
                              <w:spacing w:val="-5"/>
                              <w:w w:val="95"/>
                              <w:sz w:val="24"/>
                            </w:rPr>
                            <w:fldChar w:fldCharType="end"/>
                          </w:r>
                        </w:p>
                      </w:txbxContent>
                    </wps:txbx>
                    <wps:bodyPr wrap="square" lIns="0" tIns="0" rIns="0" bIns="0" rtlCol="0">
                      <a:noAutofit/>
                    </wps:bodyPr>
                  </wps:wsp>
                </a:graphicData>
              </a:graphic>
            </wp:anchor>
          </w:drawing>
        </mc:Choice>
        <mc:Fallback>
          <w:pict>
            <v:shape style="position:absolute;margin-left:18.842501pt;margin-top:36.752117pt;width:20.05pt;height:14pt;mso-position-horizontal-relative:page;mso-position-vertical-relative:page;z-index:-18545664" type="#_x0000_t202" id="docshape339" filled="false" stroked="false">
              <v:textbox inset="0,0,0,0">
                <w:txbxContent>
                  <w:p>
                    <w:pPr>
                      <w:spacing w:line="266" w:lineRule="exact" w:before="0"/>
                      <w:ind w:left="60" w:right="0" w:firstLine="0"/>
                      <w:jc w:val="left"/>
                      <w:rPr>
                        <w:rFonts w:ascii="Tahoma"/>
                        <w:b/>
                        <w:sz w:val="24"/>
                      </w:rPr>
                    </w:pPr>
                    <w:r>
                      <w:rPr>
                        <w:rFonts w:ascii="Tahoma"/>
                        <w:b/>
                        <w:color w:val="FFFFFF"/>
                        <w:spacing w:val="-5"/>
                        <w:w w:val="95"/>
                        <w:sz w:val="24"/>
                      </w:rPr>
                      <w:fldChar w:fldCharType="begin"/>
                    </w:r>
                    <w:r>
                      <w:rPr>
                        <w:rFonts w:ascii="Tahoma"/>
                        <w:b/>
                        <w:color w:val="FFFFFF"/>
                        <w:spacing w:val="-5"/>
                        <w:w w:val="95"/>
                        <w:sz w:val="24"/>
                      </w:rPr>
                      <w:instrText> PAGE </w:instrText>
                    </w:r>
                    <w:r>
                      <w:rPr>
                        <w:rFonts w:ascii="Tahoma"/>
                        <w:b/>
                        <w:color w:val="FFFFFF"/>
                        <w:spacing w:val="-5"/>
                        <w:w w:val="95"/>
                        <w:sz w:val="24"/>
                      </w:rPr>
                      <w:fldChar w:fldCharType="separate"/>
                    </w:r>
                    <w:r>
                      <w:rPr>
                        <w:rFonts w:ascii="Tahoma"/>
                        <w:b/>
                        <w:color w:val="FFFFFF"/>
                        <w:spacing w:val="-5"/>
                        <w:w w:val="95"/>
                        <w:sz w:val="24"/>
                      </w:rPr>
                      <w:t>91</w:t>
                    </w:r>
                    <w:r>
                      <w:rPr>
                        <w:rFonts w:ascii="Tahoma"/>
                        <w:b/>
                        <w:color w:val="FFFFFF"/>
                        <w:spacing w:val="-5"/>
                        <w:w w:val="95"/>
                        <w:sz w:val="24"/>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72352">
              <wp:simplePos x="0" y="0"/>
              <wp:positionH relativeFrom="page">
                <wp:posOffset>0</wp:posOffset>
              </wp:positionH>
              <wp:positionV relativeFrom="page">
                <wp:posOffset>315010</wp:posOffset>
              </wp:positionV>
              <wp:extent cx="7560309" cy="467995"/>
              <wp:effectExtent l="0" t="0" r="0" b="0"/>
              <wp:wrapNone/>
              <wp:docPr id="406" name="Group 406"/>
              <wp:cNvGraphicFramePr>
                <a:graphicFrameLocks/>
              </wp:cNvGraphicFramePr>
              <a:graphic>
                <a:graphicData uri="http://schemas.microsoft.com/office/word/2010/wordprocessingGroup">
                  <wpg:wgp>
                    <wpg:cNvPr id="406" name="Group 406"/>
                    <wpg:cNvGrpSpPr/>
                    <wpg:grpSpPr>
                      <a:xfrm>
                        <a:off x="0" y="0"/>
                        <a:ext cx="7560309" cy="467995"/>
                        <a:chExt cx="7560309" cy="467995"/>
                      </a:xfrm>
                    </wpg:grpSpPr>
                    <wps:wsp>
                      <wps:cNvPr id="407" name="Graphic 407"/>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408" name="Graphic 408"/>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44128" id="docshapegroup355" coordorigin="0,496" coordsize="11906,737">
              <v:rect style="position:absolute;left:0;top:496;width:11906;height:737" id="docshape356" filled="true" fillcolor="#67287f" stroked="false">
                <v:fill type="solid"/>
              </v:rect>
              <v:rect style="position:absolute;left:10771;top:496;width:1134;height:737" id="docshape357"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72864">
              <wp:simplePos x="0" y="0"/>
              <wp:positionH relativeFrom="page">
                <wp:posOffset>7018490</wp:posOffset>
              </wp:positionH>
              <wp:positionV relativeFrom="page">
                <wp:posOffset>449717</wp:posOffset>
              </wp:positionV>
              <wp:extent cx="375920" cy="194310"/>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a:off x="0" y="0"/>
                        <a:ext cx="375920"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w w:val="105"/>
                              <w:sz w:val="24"/>
                            </w:rPr>
                            <w:fldChar w:fldCharType="begin"/>
                          </w:r>
                          <w:r>
                            <w:rPr>
                              <w:rFonts w:ascii="Trebuchet MS"/>
                              <w:b/>
                              <w:color w:val="FFFFFF"/>
                              <w:spacing w:val="-5"/>
                              <w:w w:val="105"/>
                              <w:sz w:val="24"/>
                            </w:rPr>
                            <w:instrText> PAGE </w:instrText>
                          </w:r>
                          <w:r>
                            <w:rPr>
                              <w:rFonts w:ascii="Trebuchet MS"/>
                              <w:b/>
                              <w:color w:val="FFFFFF"/>
                              <w:spacing w:val="-5"/>
                              <w:w w:val="105"/>
                              <w:sz w:val="24"/>
                            </w:rPr>
                            <w:fldChar w:fldCharType="separate"/>
                          </w:r>
                          <w:r>
                            <w:rPr>
                              <w:rFonts w:ascii="Trebuchet MS"/>
                              <w:b/>
                              <w:color w:val="FFFFFF"/>
                              <w:spacing w:val="-5"/>
                              <w:w w:val="105"/>
                              <w:sz w:val="24"/>
                            </w:rPr>
                            <w:t>100</w:t>
                          </w:r>
                          <w:r>
                            <w:rPr>
                              <w:rFonts w:ascii="Trebuchet MS"/>
                              <w:b/>
                              <w:color w:val="FFFFFF"/>
                              <w:spacing w:val="-5"/>
                              <w:w w:val="105"/>
                              <w:sz w:val="24"/>
                            </w:rPr>
                            <w:fldChar w:fldCharType="end"/>
                          </w:r>
                        </w:p>
                      </w:txbxContent>
                    </wps:txbx>
                    <wps:bodyPr wrap="square" lIns="0" tIns="0" rIns="0" bIns="0" rtlCol="0">
                      <a:noAutofit/>
                    </wps:bodyPr>
                  </wps:wsp>
                </a:graphicData>
              </a:graphic>
            </wp:anchor>
          </w:drawing>
        </mc:Choice>
        <mc:Fallback>
          <w:pict>
            <v:shape style="position:absolute;margin-left:552.637085pt;margin-top:35.410816pt;width:29.6pt;height:15.3pt;mso-position-horizontal-relative:page;mso-position-vertical-relative:page;z-index:-18543616" type="#_x0000_t202" id="docshape358" filled="false" stroked="false">
              <v:textbox inset="0,0,0,0">
                <w:txbxContent>
                  <w:p>
                    <w:pPr>
                      <w:spacing w:before="18"/>
                      <w:ind w:left="60" w:right="0" w:firstLine="0"/>
                      <w:jc w:val="left"/>
                      <w:rPr>
                        <w:rFonts w:ascii="Trebuchet MS"/>
                        <w:b/>
                        <w:sz w:val="24"/>
                      </w:rPr>
                    </w:pPr>
                    <w:r>
                      <w:rPr>
                        <w:rFonts w:ascii="Trebuchet MS"/>
                        <w:b/>
                        <w:color w:val="FFFFFF"/>
                        <w:spacing w:val="-5"/>
                        <w:w w:val="105"/>
                        <w:sz w:val="24"/>
                      </w:rPr>
                      <w:fldChar w:fldCharType="begin"/>
                    </w:r>
                    <w:r>
                      <w:rPr>
                        <w:rFonts w:ascii="Trebuchet MS"/>
                        <w:b/>
                        <w:color w:val="FFFFFF"/>
                        <w:spacing w:val="-5"/>
                        <w:w w:val="105"/>
                        <w:sz w:val="24"/>
                      </w:rPr>
                      <w:instrText> PAGE </w:instrText>
                    </w:r>
                    <w:r>
                      <w:rPr>
                        <w:rFonts w:ascii="Trebuchet MS"/>
                        <w:b/>
                        <w:color w:val="FFFFFF"/>
                        <w:spacing w:val="-5"/>
                        <w:w w:val="105"/>
                        <w:sz w:val="24"/>
                      </w:rPr>
                      <w:fldChar w:fldCharType="separate"/>
                    </w:r>
                    <w:r>
                      <w:rPr>
                        <w:rFonts w:ascii="Trebuchet MS"/>
                        <w:b/>
                        <w:color w:val="FFFFFF"/>
                        <w:spacing w:val="-5"/>
                        <w:w w:val="105"/>
                        <w:sz w:val="24"/>
                      </w:rPr>
                      <w:t>100</w:t>
                    </w:r>
                    <w:r>
                      <w:rPr>
                        <w:rFonts w:ascii="Trebuchet MS"/>
                        <w:b/>
                        <w:color w:val="FFFFFF"/>
                        <w:spacing w:val="-5"/>
                        <w:w w:val="105"/>
                        <w:sz w:val="24"/>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73376">
              <wp:simplePos x="0" y="0"/>
              <wp:positionH relativeFrom="page">
                <wp:posOffset>0</wp:posOffset>
              </wp:positionH>
              <wp:positionV relativeFrom="page">
                <wp:posOffset>315010</wp:posOffset>
              </wp:positionV>
              <wp:extent cx="7560309" cy="467995"/>
              <wp:effectExtent l="0" t="0" r="0" b="0"/>
              <wp:wrapNone/>
              <wp:docPr id="410" name="Group 410"/>
              <wp:cNvGraphicFramePr>
                <a:graphicFrameLocks/>
              </wp:cNvGraphicFramePr>
              <a:graphic>
                <a:graphicData uri="http://schemas.microsoft.com/office/word/2010/wordprocessingGroup">
                  <wpg:wgp>
                    <wpg:cNvPr id="410" name="Group 410"/>
                    <wpg:cNvGrpSpPr/>
                    <wpg:grpSpPr>
                      <a:xfrm>
                        <a:off x="0" y="0"/>
                        <a:ext cx="7560309" cy="467995"/>
                        <a:chExt cx="7560309" cy="467995"/>
                      </a:xfrm>
                    </wpg:grpSpPr>
                    <wps:wsp>
                      <wps:cNvPr id="411" name="Graphic 411"/>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412" name="Graphic 412"/>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43104" id="docshapegroup359" coordorigin="0,496" coordsize="11906,737">
              <v:rect style="position:absolute;left:0;top:496;width:11906;height:737" id="docshape360" filled="true" fillcolor="#67287f" stroked="false">
                <v:fill type="solid"/>
              </v:rect>
              <v:rect style="position:absolute;left:0;top:496;width:1134;height:737" id="docshape361"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73888">
              <wp:simplePos x="0" y="0"/>
              <wp:positionH relativeFrom="page">
                <wp:posOffset>808099</wp:posOffset>
              </wp:positionH>
              <wp:positionV relativeFrom="page">
                <wp:posOffset>380352</wp:posOffset>
              </wp:positionV>
              <wp:extent cx="3020060" cy="355600"/>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42592" type="#_x0000_t202" id="docshape362"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774400">
              <wp:simplePos x="0" y="0"/>
              <wp:positionH relativeFrom="page">
                <wp:posOffset>201961</wp:posOffset>
              </wp:positionH>
              <wp:positionV relativeFrom="page">
                <wp:posOffset>466751</wp:posOffset>
              </wp:positionV>
              <wp:extent cx="328930" cy="177800"/>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328930"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w w:val="90"/>
                              <w:sz w:val="24"/>
                            </w:rPr>
                            <w:fldChar w:fldCharType="begin"/>
                          </w:r>
                          <w:r>
                            <w:rPr>
                              <w:rFonts w:ascii="Tahoma"/>
                              <w:b/>
                              <w:color w:val="FFFFFF"/>
                              <w:spacing w:val="-5"/>
                              <w:w w:val="90"/>
                              <w:sz w:val="24"/>
                            </w:rPr>
                            <w:instrText> PAGE </w:instrText>
                          </w:r>
                          <w:r>
                            <w:rPr>
                              <w:rFonts w:ascii="Tahoma"/>
                              <w:b/>
                              <w:color w:val="FFFFFF"/>
                              <w:spacing w:val="-5"/>
                              <w:w w:val="90"/>
                              <w:sz w:val="24"/>
                            </w:rPr>
                            <w:fldChar w:fldCharType="separate"/>
                          </w:r>
                          <w:r>
                            <w:rPr>
                              <w:rFonts w:ascii="Tahoma"/>
                              <w:b/>
                              <w:color w:val="FFFFFF"/>
                              <w:spacing w:val="-5"/>
                              <w:w w:val="90"/>
                              <w:sz w:val="24"/>
                            </w:rPr>
                            <w:t>101</w:t>
                          </w:r>
                          <w:r>
                            <w:rPr>
                              <w:rFonts w:ascii="Tahoma"/>
                              <w:b/>
                              <w:color w:val="FFFFFF"/>
                              <w:spacing w:val="-5"/>
                              <w:w w:val="90"/>
                              <w:sz w:val="24"/>
                            </w:rPr>
                            <w:fldChar w:fldCharType="end"/>
                          </w:r>
                        </w:p>
                      </w:txbxContent>
                    </wps:txbx>
                    <wps:bodyPr wrap="square" lIns="0" tIns="0" rIns="0" bIns="0" rtlCol="0">
                      <a:noAutofit/>
                    </wps:bodyPr>
                  </wps:wsp>
                </a:graphicData>
              </a:graphic>
            </wp:anchor>
          </w:drawing>
        </mc:Choice>
        <mc:Fallback>
          <w:pict>
            <v:shape style="position:absolute;margin-left:15.9025pt;margin-top:36.752117pt;width:25.9pt;height:14pt;mso-position-horizontal-relative:page;mso-position-vertical-relative:page;z-index:-18542080" type="#_x0000_t202" id="docshape363" filled="false" stroked="false">
              <v:textbox inset="0,0,0,0">
                <w:txbxContent>
                  <w:p>
                    <w:pPr>
                      <w:spacing w:line="266" w:lineRule="exact" w:before="0"/>
                      <w:ind w:left="60" w:right="0" w:firstLine="0"/>
                      <w:jc w:val="left"/>
                      <w:rPr>
                        <w:rFonts w:ascii="Tahoma"/>
                        <w:b/>
                        <w:sz w:val="24"/>
                      </w:rPr>
                    </w:pPr>
                    <w:r>
                      <w:rPr>
                        <w:rFonts w:ascii="Tahoma"/>
                        <w:b/>
                        <w:color w:val="FFFFFF"/>
                        <w:spacing w:val="-5"/>
                        <w:w w:val="90"/>
                        <w:sz w:val="24"/>
                      </w:rPr>
                      <w:fldChar w:fldCharType="begin"/>
                    </w:r>
                    <w:r>
                      <w:rPr>
                        <w:rFonts w:ascii="Tahoma"/>
                        <w:b/>
                        <w:color w:val="FFFFFF"/>
                        <w:spacing w:val="-5"/>
                        <w:w w:val="90"/>
                        <w:sz w:val="24"/>
                      </w:rPr>
                      <w:instrText> PAGE </w:instrText>
                    </w:r>
                    <w:r>
                      <w:rPr>
                        <w:rFonts w:ascii="Tahoma"/>
                        <w:b/>
                        <w:color w:val="FFFFFF"/>
                        <w:spacing w:val="-5"/>
                        <w:w w:val="90"/>
                        <w:sz w:val="24"/>
                      </w:rPr>
                      <w:fldChar w:fldCharType="separate"/>
                    </w:r>
                    <w:r>
                      <w:rPr>
                        <w:rFonts w:ascii="Tahoma"/>
                        <w:b/>
                        <w:color w:val="FFFFFF"/>
                        <w:spacing w:val="-5"/>
                        <w:w w:val="90"/>
                        <w:sz w:val="24"/>
                      </w:rPr>
                      <w:t>101</w:t>
                    </w:r>
                    <w:r>
                      <w:rPr>
                        <w:rFonts w:ascii="Tahoma"/>
                        <w:b/>
                        <w:color w:val="FFFFFF"/>
                        <w:spacing w:val="-5"/>
                        <w:w w:val="90"/>
                        <w:sz w:val="24"/>
                      </w:rPr>
                      <w:fldChar w:fldCharType="end"/>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76960">
              <wp:simplePos x="0" y="0"/>
              <wp:positionH relativeFrom="page">
                <wp:posOffset>0</wp:posOffset>
              </wp:positionH>
              <wp:positionV relativeFrom="page">
                <wp:posOffset>315010</wp:posOffset>
              </wp:positionV>
              <wp:extent cx="7560309" cy="467995"/>
              <wp:effectExtent l="0" t="0" r="0" b="0"/>
              <wp:wrapNone/>
              <wp:docPr id="421" name="Group 421"/>
              <wp:cNvGraphicFramePr>
                <a:graphicFrameLocks/>
              </wp:cNvGraphicFramePr>
              <a:graphic>
                <a:graphicData uri="http://schemas.microsoft.com/office/word/2010/wordprocessingGroup">
                  <wpg:wgp>
                    <wpg:cNvPr id="421" name="Group 421"/>
                    <wpg:cNvGrpSpPr/>
                    <wpg:grpSpPr>
                      <a:xfrm>
                        <a:off x="0" y="0"/>
                        <a:ext cx="7560309" cy="467995"/>
                        <a:chExt cx="7560309" cy="467995"/>
                      </a:xfrm>
                    </wpg:grpSpPr>
                    <wps:wsp>
                      <wps:cNvPr id="422" name="Graphic 422"/>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423" name="Graphic 423"/>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39520" id="docshapegroup370" coordorigin="0,496" coordsize="11906,737">
              <v:rect style="position:absolute;left:0;top:496;width:11906;height:737" id="docshape371" filled="true" fillcolor="#67287f" stroked="false">
                <v:fill type="solid"/>
              </v:rect>
              <v:rect style="position:absolute;left:10771;top:496;width:1134;height:737" id="docshape372"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77472">
              <wp:simplePos x="0" y="0"/>
              <wp:positionH relativeFrom="page">
                <wp:posOffset>7027407</wp:posOffset>
              </wp:positionH>
              <wp:positionV relativeFrom="page">
                <wp:posOffset>449717</wp:posOffset>
              </wp:positionV>
              <wp:extent cx="356870" cy="194310"/>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356870"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w w:val="80"/>
                              <w:sz w:val="24"/>
                            </w:rPr>
                            <w:fldChar w:fldCharType="begin"/>
                          </w:r>
                          <w:r>
                            <w:rPr>
                              <w:rFonts w:ascii="Trebuchet MS"/>
                              <w:b/>
                              <w:color w:val="FFFFFF"/>
                              <w:spacing w:val="-5"/>
                              <w:w w:val="80"/>
                              <w:sz w:val="24"/>
                            </w:rPr>
                            <w:instrText> PAGE </w:instrText>
                          </w:r>
                          <w:r>
                            <w:rPr>
                              <w:rFonts w:ascii="Trebuchet MS"/>
                              <w:b/>
                              <w:color w:val="FFFFFF"/>
                              <w:spacing w:val="-5"/>
                              <w:w w:val="80"/>
                              <w:sz w:val="24"/>
                            </w:rPr>
                            <w:fldChar w:fldCharType="separate"/>
                          </w:r>
                          <w:r>
                            <w:rPr>
                              <w:rFonts w:ascii="Trebuchet MS"/>
                              <w:b/>
                              <w:color w:val="FFFFFF"/>
                              <w:spacing w:val="-5"/>
                              <w:w w:val="80"/>
                              <w:sz w:val="24"/>
                            </w:rPr>
                            <w:t>102</w:t>
                          </w:r>
                          <w:r>
                            <w:rPr>
                              <w:rFonts w:ascii="Trebuchet MS"/>
                              <w:b/>
                              <w:color w:val="FFFFFF"/>
                              <w:spacing w:val="-5"/>
                              <w:w w:val="80"/>
                              <w:sz w:val="24"/>
                            </w:rPr>
                            <w:fldChar w:fldCharType="end"/>
                          </w:r>
                        </w:p>
                      </w:txbxContent>
                    </wps:txbx>
                    <wps:bodyPr wrap="square" lIns="0" tIns="0" rIns="0" bIns="0" rtlCol="0">
                      <a:noAutofit/>
                    </wps:bodyPr>
                  </wps:wsp>
                </a:graphicData>
              </a:graphic>
            </wp:anchor>
          </w:drawing>
        </mc:Choice>
        <mc:Fallback>
          <w:pict>
            <v:shape style="position:absolute;margin-left:553.339172pt;margin-top:35.410816pt;width:28.1pt;height:15.3pt;mso-position-horizontal-relative:page;mso-position-vertical-relative:page;z-index:-18539008" type="#_x0000_t202" id="docshape373" filled="false" stroked="false">
              <v:textbox inset="0,0,0,0">
                <w:txbxContent>
                  <w:p>
                    <w:pPr>
                      <w:spacing w:before="18"/>
                      <w:ind w:left="60" w:right="0" w:firstLine="0"/>
                      <w:jc w:val="left"/>
                      <w:rPr>
                        <w:rFonts w:ascii="Trebuchet MS"/>
                        <w:b/>
                        <w:sz w:val="24"/>
                      </w:rPr>
                    </w:pPr>
                    <w:r>
                      <w:rPr>
                        <w:rFonts w:ascii="Trebuchet MS"/>
                        <w:b/>
                        <w:color w:val="FFFFFF"/>
                        <w:spacing w:val="-5"/>
                        <w:w w:val="80"/>
                        <w:sz w:val="24"/>
                      </w:rPr>
                      <w:fldChar w:fldCharType="begin"/>
                    </w:r>
                    <w:r>
                      <w:rPr>
                        <w:rFonts w:ascii="Trebuchet MS"/>
                        <w:b/>
                        <w:color w:val="FFFFFF"/>
                        <w:spacing w:val="-5"/>
                        <w:w w:val="80"/>
                        <w:sz w:val="24"/>
                      </w:rPr>
                      <w:instrText> PAGE </w:instrText>
                    </w:r>
                    <w:r>
                      <w:rPr>
                        <w:rFonts w:ascii="Trebuchet MS"/>
                        <w:b/>
                        <w:color w:val="FFFFFF"/>
                        <w:spacing w:val="-5"/>
                        <w:w w:val="80"/>
                        <w:sz w:val="24"/>
                      </w:rPr>
                      <w:fldChar w:fldCharType="separate"/>
                    </w:r>
                    <w:r>
                      <w:rPr>
                        <w:rFonts w:ascii="Trebuchet MS"/>
                        <w:b/>
                        <w:color w:val="FFFFFF"/>
                        <w:spacing w:val="-5"/>
                        <w:w w:val="80"/>
                        <w:sz w:val="24"/>
                      </w:rPr>
                      <w:t>102</w:t>
                    </w:r>
                    <w:r>
                      <w:rPr>
                        <w:rFonts w:ascii="Trebuchet MS"/>
                        <w:b/>
                        <w:color w:val="FFFFFF"/>
                        <w:spacing w:val="-5"/>
                        <w:w w:val="80"/>
                        <w:sz w:val="24"/>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77984">
              <wp:simplePos x="0" y="0"/>
              <wp:positionH relativeFrom="page">
                <wp:posOffset>0</wp:posOffset>
              </wp:positionH>
              <wp:positionV relativeFrom="page">
                <wp:posOffset>315010</wp:posOffset>
              </wp:positionV>
              <wp:extent cx="7560309" cy="467995"/>
              <wp:effectExtent l="0" t="0" r="0" b="0"/>
              <wp:wrapNone/>
              <wp:docPr id="425" name="Group 425"/>
              <wp:cNvGraphicFramePr>
                <a:graphicFrameLocks/>
              </wp:cNvGraphicFramePr>
              <a:graphic>
                <a:graphicData uri="http://schemas.microsoft.com/office/word/2010/wordprocessingGroup">
                  <wpg:wgp>
                    <wpg:cNvPr id="425" name="Group 425"/>
                    <wpg:cNvGrpSpPr/>
                    <wpg:grpSpPr>
                      <a:xfrm>
                        <a:off x="0" y="0"/>
                        <a:ext cx="7560309" cy="467995"/>
                        <a:chExt cx="7560309" cy="467995"/>
                      </a:xfrm>
                    </wpg:grpSpPr>
                    <wps:wsp>
                      <wps:cNvPr id="426" name="Graphic 426"/>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427" name="Graphic 427"/>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38496" id="docshapegroup374" coordorigin="0,496" coordsize="11906,737">
              <v:rect style="position:absolute;left:0;top:496;width:11906;height:737" id="docshape375" filled="true" fillcolor="#67287f" stroked="false">
                <v:fill type="solid"/>
              </v:rect>
              <v:rect style="position:absolute;left:0;top:496;width:1134;height:737" id="docshape376"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78496">
              <wp:simplePos x="0" y="0"/>
              <wp:positionH relativeFrom="page">
                <wp:posOffset>808099</wp:posOffset>
              </wp:positionH>
              <wp:positionV relativeFrom="page">
                <wp:posOffset>380352</wp:posOffset>
              </wp:positionV>
              <wp:extent cx="3020060" cy="355600"/>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37984" type="#_x0000_t202" id="docshape377"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779008">
              <wp:simplePos x="0" y="0"/>
              <wp:positionH relativeFrom="page">
                <wp:posOffset>186797</wp:posOffset>
              </wp:positionH>
              <wp:positionV relativeFrom="page">
                <wp:posOffset>466751</wp:posOffset>
              </wp:positionV>
              <wp:extent cx="359410" cy="177800"/>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359410"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103</w:t>
                          </w:r>
                          <w:r>
                            <w:rPr>
                              <w:rFonts w:ascii="Tahoma"/>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14.7085pt;margin-top:36.752117pt;width:28.3pt;height:14pt;mso-position-horizontal-relative:page;mso-position-vertical-relative:page;z-index:-18537472" type="#_x0000_t202" id="docshape378" filled="false" stroked="false">
              <v:textbox inset="0,0,0,0">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103</w:t>
                    </w:r>
                    <w:r>
                      <w:rPr>
                        <w:rFonts w:ascii="Tahoma"/>
                        <w:b/>
                        <w:color w:val="FFFFFF"/>
                        <w:spacing w:val="-5"/>
                        <w:sz w:val="24"/>
                      </w:rPr>
                      <w:fldChar w:fldCharType="end"/>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81568">
              <wp:simplePos x="0" y="0"/>
              <wp:positionH relativeFrom="page">
                <wp:posOffset>0</wp:posOffset>
              </wp:positionH>
              <wp:positionV relativeFrom="page">
                <wp:posOffset>315010</wp:posOffset>
              </wp:positionV>
              <wp:extent cx="7560309" cy="467995"/>
              <wp:effectExtent l="0" t="0" r="0" b="0"/>
              <wp:wrapNone/>
              <wp:docPr id="436" name="Group 436"/>
              <wp:cNvGraphicFramePr>
                <a:graphicFrameLocks/>
              </wp:cNvGraphicFramePr>
              <a:graphic>
                <a:graphicData uri="http://schemas.microsoft.com/office/word/2010/wordprocessingGroup">
                  <wpg:wgp>
                    <wpg:cNvPr id="436" name="Group 436"/>
                    <wpg:cNvGrpSpPr/>
                    <wpg:grpSpPr>
                      <a:xfrm>
                        <a:off x="0" y="0"/>
                        <a:ext cx="7560309" cy="467995"/>
                        <a:chExt cx="7560309" cy="467995"/>
                      </a:xfrm>
                    </wpg:grpSpPr>
                    <wps:wsp>
                      <wps:cNvPr id="437" name="Graphic 437"/>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438" name="Graphic 438"/>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34912" id="docshapegroup385" coordorigin="0,496" coordsize="11906,737">
              <v:rect style="position:absolute;left:0;top:496;width:11906;height:737" id="docshape386" filled="true" fillcolor="#67287f" stroked="false">
                <v:fill type="solid"/>
              </v:rect>
              <v:rect style="position:absolute;left:10771;top:496;width:1134;height:737" id="docshape387"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82080">
              <wp:simplePos x="0" y="0"/>
              <wp:positionH relativeFrom="page">
                <wp:posOffset>7021616</wp:posOffset>
              </wp:positionH>
              <wp:positionV relativeFrom="page">
                <wp:posOffset>449717</wp:posOffset>
              </wp:positionV>
              <wp:extent cx="369570" cy="194310"/>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369570"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w w:val="105"/>
                              <w:sz w:val="24"/>
                            </w:rPr>
                            <w:fldChar w:fldCharType="begin"/>
                          </w:r>
                          <w:r>
                            <w:rPr>
                              <w:rFonts w:ascii="Trebuchet MS"/>
                              <w:b/>
                              <w:color w:val="FFFFFF"/>
                              <w:spacing w:val="-5"/>
                              <w:w w:val="105"/>
                              <w:sz w:val="24"/>
                            </w:rPr>
                            <w:instrText> PAGE </w:instrText>
                          </w:r>
                          <w:r>
                            <w:rPr>
                              <w:rFonts w:ascii="Trebuchet MS"/>
                              <w:b/>
                              <w:color w:val="FFFFFF"/>
                              <w:spacing w:val="-5"/>
                              <w:w w:val="105"/>
                              <w:sz w:val="24"/>
                            </w:rPr>
                            <w:fldChar w:fldCharType="separate"/>
                          </w:r>
                          <w:r>
                            <w:rPr>
                              <w:rFonts w:ascii="Trebuchet MS"/>
                              <w:b/>
                              <w:color w:val="FFFFFF"/>
                              <w:spacing w:val="-5"/>
                              <w:w w:val="105"/>
                              <w:sz w:val="24"/>
                            </w:rPr>
                            <w:t>104</w:t>
                          </w:r>
                          <w:r>
                            <w:rPr>
                              <w:rFonts w:ascii="Trebuchet MS"/>
                              <w:b/>
                              <w:color w:val="FFFFFF"/>
                              <w:spacing w:val="-5"/>
                              <w:w w:val="105"/>
                              <w:sz w:val="24"/>
                            </w:rPr>
                            <w:fldChar w:fldCharType="end"/>
                          </w:r>
                        </w:p>
                      </w:txbxContent>
                    </wps:txbx>
                    <wps:bodyPr wrap="square" lIns="0" tIns="0" rIns="0" bIns="0" rtlCol="0">
                      <a:noAutofit/>
                    </wps:bodyPr>
                  </wps:wsp>
                </a:graphicData>
              </a:graphic>
            </wp:anchor>
          </w:drawing>
        </mc:Choice>
        <mc:Fallback>
          <w:pict>
            <v:shape style="position:absolute;margin-left:552.883179pt;margin-top:35.410816pt;width:29.1pt;height:15.3pt;mso-position-horizontal-relative:page;mso-position-vertical-relative:page;z-index:-18534400" type="#_x0000_t202" id="docshape388" filled="false" stroked="false">
              <v:textbox inset="0,0,0,0">
                <w:txbxContent>
                  <w:p>
                    <w:pPr>
                      <w:spacing w:before="18"/>
                      <w:ind w:left="60" w:right="0" w:firstLine="0"/>
                      <w:jc w:val="left"/>
                      <w:rPr>
                        <w:rFonts w:ascii="Trebuchet MS"/>
                        <w:b/>
                        <w:sz w:val="24"/>
                      </w:rPr>
                    </w:pPr>
                    <w:r>
                      <w:rPr>
                        <w:rFonts w:ascii="Trebuchet MS"/>
                        <w:b/>
                        <w:color w:val="FFFFFF"/>
                        <w:spacing w:val="-5"/>
                        <w:w w:val="105"/>
                        <w:sz w:val="24"/>
                      </w:rPr>
                      <w:fldChar w:fldCharType="begin"/>
                    </w:r>
                    <w:r>
                      <w:rPr>
                        <w:rFonts w:ascii="Trebuchet MS"/>
                        <w:b/>
                        <w:color w:val="FFFFFF"/>
                        <w:spacing w:val="-5"/>
                        <w:w w:val="105"/>
                        <w:sz w:val="24"/>
                      </w:rPr>
                      <w:instrText> PAGE </w:instrText>
                    </w:r>
                    <w:r>
                      <w:rPr>
                        <w:rFonts w:ascii="Trebuchet MS"/>
                        <w:b/>
                        <w:color w:val="FFFFFF"/>
                        <w:spacing w:val="-5"/>
                        <w:w w:val="105"/>
                        <w:sz w:val="24"/>
                      </w:rPr>
                      <w:fldChar w:fldCharType="separate"/>
                    </w:r>
                    <w:r>
                      <w:rPr>
                        <w:rFonts w:ascii="Trebuchet MS"/>
                        <w:b/>
                        <w:color w:val="FFFFFF"/>
                        <w:spacing w:val="-5"/>
                        <w:w w:val="105"/>
                        <w:sz w:val="24"/>
                      </w:rPr>
                      <w:t>104</w:t>
                    </w:r>
                    <w:r>
                      <w:rPr>
                        <w:rFonts w:ascii="Trebuchet MS"/>
                        <w:b/>
                        <w:color w:val="FFFFFF"/>
                        <w:spacing w:val="-5"/>
                        <w:w w:val="105"/>
                        <w:sz w:val="24"/>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82592">
              <wp:simplePos x="0" y="0"/>
              <wp:positionH relativeFrom="page">
                <wp:posOffset>0</wp:posOffset>
              </wp:positionH>
              <wp:positionV relativeFrom="page">
                <wp:posOffset>315010</wp:posOffset>
              </wp:positionV>
              <wp:extent cx="7560309" cy="467995"/>
              <wp:effectExtent l="0" t="0" r="0" b="0"/>
              <wp:wrapNone/>
              <wp:docPr id="440" name="Group 440"/>
              <wp:cNvGraphicFramePr>
                <a:graphicFrameLocks/>
              </wp:cNvGraphicFramePr>
              <a:graphic>
                <a:graphicData uri="http://schemas.microsoft.com/office/word/2010/wordprocessingGroup">
                  <wpg:wgp>
                    <wpg:cNvPr id="440" name="Group 440"/>
                    <wpg:cNvGrpSpPr/>
                    <wpg:grpSpPr>
                      <a:xfrm>
                        <a:off x="0" y="0"/>
                        <a:ext cx="7560309" cy="467995"/>
                        <a:chExt cx="7560309" cy="467995"/>
                      </a:xfrm>
                    </wpg:grpSpPr>
                    <wps:wsp>
                      <wps:cNvPr id="441" name="Graphic 441"/>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442" name="Graphic 442"/>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33888" id="docshapegroup389" coordorigin="0,496" coordsize="11906,737">
              <v:rect style="position:absolute;left:0;top:496;width:11906;height:737" id="docshape390" filled="true" fillcolor="#67287f" stroked="false">
                <v:fill type="solid"/>
              </v:rect>
              <v:rect style="position:absolute;left:0;top:496;width:1134;height:737" id="docshape391"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83104">
              <wp:simplePos x="0" y="0"/>
              <wp:positionH relativeFrom="page">
                <wp:posOffset>808099</wp:posOffset>
              </wp:positionH>
              <wp:positionV relativeFrom="page">
                <wp:posOffset>380352</wp:posOffset>
              </wp:positionV>
              <wp:extent cx="3020060" cy="355600"/>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33376" type="#_x0000_t202" id="docshape392"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783616">
              <wp:simplePos x="0" y="0"/>
              <wp:positionH relativeFrom="page">
                <wp:posOffset>186112</wp:posOffset>
              </wp:positionH>
              <wp:positionV relativeFrom="page">
                <wp:posOffset>466751</wp:posOffset>
              </wp:positionV>
              <wp:extent cx="360680" cy="177800"/>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360680"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105</w:t>
                          </w:r>
                          <w:r>
                            <w:rPr>
                              <w:rFonts w:ascii="Tahoma"/>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14.6545pt;margin-top:36.752117pt;width:28.4pt;height:14pt;mso-position-horizontal-relative:page;mso-position-vertical-relative:page;z-index:-18532864" type="#_x0000_t202" id="docshape393" filled="false" stroked="false">
              <v:textbox inset="0,0,0,0">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105</w:t>
                    </w:r>
                    <w:r>
                      <w:rPr>
                        <w:rFonts w:ascii="Tahoma"/>
                        <w:b/>
                        <w:color w:val="FFFFFF"/>
                        <w:spacing w:val="-5"/>
                        <w:sz w:val="24"/>
                      </w:rPr>
                      <w:fldChar w:fldCharType="end"/>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85152">
              <wp:simplePos x="0" y="0"/>
              <wp:positionH relativeFrom="page">
                <wp:posOffset>0</wp:posOffset>
              </wp:positionH>
              <wp:positionV relativeFrom="page">
                <wp:posOffset>315010</wp:posOffset>
              </wp:positionV>
              <wp:extent cx="7560309" cy="467995"/>
              <wp:effectExtent l="0" t="0" r="0" b="0"/>
              <wp:wrapNone/>
              <wp:docPr id="454" name="Group 454"/>
              <wp:cNvGraphicFramePr>
                <a:graphicFrameLocks/>
              </wp:cNvGraphicFramePr>
              <a:graphic>
                <a:graphicData uri="http://schemas.microsoft.com/office/word/2010/wordprocessingGroup">
                  <wpg:wgp>
                    <wpg:cNvPr id="454" name="Group 454"/>
                    <wpg:cNvGrpSpPr/>
                    <wpg:grpSpPr>
                      <a:xfrm>
                        <a:off x="0" y="0"/>
                        <a:ext cx="7560309" cy="467995"/>
                        <a:chExt cx="7560309" cy="467995"/>
                      </a:xfrm>
                    </wpg:grpSpPr>
                    <wps:wsp>
                      <wps:cNvPr id="455" name="Graphic 455"/>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456" name="Graphic 456"/>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31328" id="docshapegroup402" coordorigin="0,496" coordsize="11906,737">
              <v:rect style="position:absolute;left:0;top:496;width:11906;height:737" id="docshape403" filled="true" fillcolor="#67287f" stroked="false">
                <v:fill type="solid"/>
              </v:rect>
              <v:rect style="position:absolute;left:10771;top:496;width:1134;height:737" id="docshape404"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85664">
              <wp:simplePos x="0" y="0"/>
              <wp:positionH relativeFrom="page">
                <wp:posOffset>7026112</wp:posOffset>
              </wp:positionH>
              <wp:positionV relativeFrom="page">
                <wp:posOffset>449717</wp:posOffset>
              </wp:positionV>
              <wp:extent cx="360680" cy="194310"/>
              <wp:effectExtent l="0" t="0" r="0" b="0"/>
              <wp:wrapNone/>
              <wp:docPr id="457" name="Textbox 457"/>
              <wp:cNvGraphicFramePr>
                <a:graphicFrameLocks/>
              </wp:cNvGraphicFramePr>
              <a:graphic>
                <a:graphicData uri="http://schemas.microsoft.com/office/word/2010/wordprocessingShape">
                  <wps:wsp>
                    <wps:cNvPr id="457" name="Textbox 457"/>
                    <wps:cNvSpPr txBox="1"/>
                    <wps:spPr>
                      <a:xfrm>
                        <a:off x="0" y="0"/>
                        <a:ext cx="360680"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sz w:val="24"/>
                            </w:rPr>
                            <w:fldChar w:fldCharType="begin"/>
                          </w:r>
                          <w:r>
                            <w:rPr>
                              <w:rFonts w:ascii="Trebuchet MS"/>
                              <w:b/>
                              <w:color w:val="FFFFFF"/>
                              <w:spacing w:val="-5"/>
                              <w:sz w:val="24"/>
                            </w:rPr>
                            <w:instrText> PAGE </w:instrText>
                          </w:r>
                          <w:r>
                            <w:rPr>
                              <w:rFonts w:ascii="Trebuchet MS"/>
                              <w:b/>
                              <w:color w:val="FFFFFF"/>
                              <w:spacing w:val="-5"/>
                              <w:sz w:val="24"/>
                            </w:rPr>
                            <w:fldChar w:fldCharType="separate"/>
                          </w:r>
                          <w:r>
                            <w:rPr>
                              <w:rFonts w:ascii="Trebuchet MS"/>
                              <w:b/>
                              <w:color w:val="FFFFFF"/>
                              <w:spacing w:val="-5"/>
                              <w:sz w:val="24"/>
                            </w:rPr>
                            <w:t>108</w:t>
                          </w:r>
                          <w:r>
                            <w:rPr>
                              <w:rFonts w:ascii="Trebuchet MS"/>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553.237183pt;margin-top:35.410816pt;width:28.4pt;height:15.3pt;mso-position-horizontal-relative:page;mso-position-vertical-relative:page;z-index:-18530816" type="#_x0000_t202" id="docshape405" filled="false" stroked="false">
              <v:textbox inset="0,0,0,0">
                <w:txbxContent>
                  <w:p>
                    <w:pPr>
                      <w:spacing w:before="18"/>
                      <w:ind w:left="60" w:right="0" w:firstLine="0"/>
                      <w:jc w:val="left"/>
                      <w:rPr>
                        <w:rFonts w:ascii="Trebuchet MS"/>
                        <w:b/>
                        <w:sz w:val="24"/>
                      </w:rPr>
                    </w:pPr>
                    <w:r>
                      <w:rPr>
                        <w:rFonts w:ascii="Trebuchet MS"/>
                        <w:b/>
                        <w:color w:val="FFFFFF"/>
                        <w:spacing w:val="-5"/>
                        <w:sz w:val="24"/>
                      </w:rPr>
                      <w:fldChar w:fldCharType="begin"/>
                    </w:r>
                    <w:r>
                      <w:rPr>
                        <w:rFonts w:ascii="Trebuchet MS"/>
                        <w:b/>
                        <w:color w:val="FFFFFF"/>
                        <w:spacing w:val="-5"/>
                        <w:sz w:val="24"/>
                      </w:rPr>
                      <w:instrText> PAGE </w:instrText>
                    </w:r>
                    <w:r>
                      <w:rPr>
                        <w:rFonts w:ascii="Trebuchet MS"/>
                        <w:b/>
                        <w:color w:val="FFFFFF"/>
                        <w:spacing w:val="-5"/>
                        <w:sz w:val="24"/>
                      </w:rPr>
                      <w:fldChar w:fldCharType="separate"/>
                    </w:r>
                    <w:r>
                      <w:rPr>
                        <w:rFonts w:ascii="Trebuchet MS"/>
                        <w:b/>
                        <w:color w:val="FFFFFF"/>
                        <w:spacing w:val="-5"/>
                        <w:sz w:val="24"/>
                      </w:rPr>
                      <w:t>108</w:t>
                    </w:r>
                    <w:r>
                      <w:rPr>
                        <w:rFonts w:ascii="Trebuchet MS"/>
                        <w:b/>
                        <w:color w:val="FFFFFF"/>
                        <w:spacing w:val="-5"/>
                        <w:sz w:val="24"/>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86176">
              <wp:simplePos x="0" y="0"/>
              <wp:positionH relativeFrom="page">
                <wp:posOffset>0</wp:posOffset>
              </wp:positionH>
              <wp:positionV relativeFrom="page">
                <wp:posOffset>315010</wp:posOffset>
              </wp:positionV>
              <wp:extent cx="7560309" cy="467995"/>
              <wp:effectExtent l="0" t="0" r="0" b="0"/>
              <wp:wrapNone/>
              <wp:docPr id="458" name="Group 458"/>
              <wp:cNvGraphicFramePr>
                <a:graphicFrameLocks/>
              </wp:cNvGraphicFramePr>
              <a:graphic>
                <a:graphicData uri="http://schemas.microsoft.com/office/word/2010/wordprocessingGroup">
                  <wpg:wgp>
                    <wpg:cNvPr id="458" name="Group 458"/>
                    <wpg:cNvGrpSpPr/>
                    <wpg:grpSpPr>
                      <a:xfrm>
                        <a:off x="0" y="0"/>
                        <a:ext cx="7560309" cy="467995"/>
                        <a:chExt cx="7560309" cy="467995"/>
                      </a:xfrm>
                    </wpg:grpSpPr>
                    <wps:wsp>
                      <wps:cNvPr id="459" name="Graphic 459"/>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460" name="Graphic 460"/>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30304" id="docshapegroup406" coordorigin="0,496" coordsize="11906,737">
              <v:rect style="position:absolute;left:0;top:496;width:11906;height:737" id="docshape407" filled="true" fillcolor="#67287f" stroked="false">
                <v:fill type="solid"/>
              </v:rect>
              <v:rect style="position:absolute;left:0;top:496;width:1134;height:737" id="docshape408"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86688">
              <wp:simplePos x="0" y="0"/>
              <wp:positionH relativeFrom="page">
                <wp:posOffset>808099</wp:posOffset>
              </wp:positionH>
              <wp:positionV relativeFrom="page">
                <wp:posOffset>380352</wp:posOffset>
              </wp:positionV>
              <wp:extent cx="3020060" cy="355600"/>
              <wp:effectExtent l="0" t="0" r="0" b="0"/>
              <wp:wrapNone/>
              <wp:docPr id="461" name="Textbox 461"/>
              <wp:cNvGraphicFramePr>
                <a:graphicFrameLocks/>
              </wp:cNvGraphicFramePr>
              <a:graphic>
                <a:graphicData uri="http://schemas.microsoft.com/office/word/2010/wordprocessingShape">
                  <wps:wsp>
                    <wps:cNvPr id="461" name="Textbox 461"/>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29792" type="#_x0000_t202" id="docshape409"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787200">
              <wp:simplePos x="0" y="0"/>
              <wp:positionH relativeFrom="page">
                <wp:posOffset>183673</wp:posOffset>
              </wp:positionH>
              <wp:positionV relativeFrom="page">
                <wp:posOffset>466751</wp:posOffset>
              </wp:positionV>
              <wp:extent cx="365760" cy="177800"/>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365760"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109</w:t>
                          </w:r>
                          <w:r>
                            <w:rPr>
                              <w:rFonts w:ascii="Tahoma"/>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14.4625pt;margin-top:36.752117pt;width:28.8pt;height:14pt;mso-position-horizontal-relative:page;mso-position-vertical-relative:page;z-index:-18529280" type="#_x0000_t202" id="docshape410" filled="false" stroked="false">
              <v:textbox inset="0,0,0,0">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109</w:t>
                    </w:r>
                    <w:r>
                      <w:rPr>
                        <w:rFonts w:ascii="Tahoma"/>
                        <w:b/>
                        <w:color w:val="FFFFFF"/>
                        <w:spacing w:val="-5"/>
                        <w:sz w:val="24"/>
                      </w:rPr>
                      <w:fldChar w:fldCharType="end"/>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89248">
              <wp:simplePos x="0" y="0"/>
              <wp:positionH relativeFrom="page">
                <wp:posOffset>0</wp:posOffset>
              </wp:positionH>
              <wp:positionV relativeFrom="page">
                <wp:posOffset>315010</wp:posOffset>
              </wp:positionV>
              <wp:extent cx="7560309" cy="467995"/>
              <wp:effectExtent l="0" t="0" r="0" b="0"/>
              <wp:wrapNone/>
              <wp:docPr id="470" name="Group 470"/>
              <wp:cNvGraphicFramePr>
                <a:graphicFrameLocks/>
              </wp:cNvGraphicFramePr>
              <a:graphic>
                <a:graphicData uri="http://schemas.microsoft.com/office/word/2010/wordprocessingGroup">
                  <wpg:wgp>
                    <wpg:cNvPr id="470" name="Group 470"/>
                    <wpg:cNvGrpSpPr/>
                    <wpg:grpSpPr>
                      <a:xfrm>
                        <a:off x="0" y="0"/>
                        <a:ext cx="7560309" cy="467995"/>
                        <a:chExt cx="7560309" cy="467995"/>
                      </a:xfrm>
                    </wpg:grpSpPr>
                    <wps:wsp>
                      <wps:cNvPr id="471" name="Graphic 471"/>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472" name="Graphic 472"/>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27232" id="docshapegroup417" coordorigin="0,496" coordsize="11906,737">
              <v:rect style="position:absolute;left:0;top:496;width:11906;height:737" id="docshape418" filled="true" fillcolor="#67287f" stroked="false">
                <v:fill type="solid"/>
              </v:rect>
              <v:rect style="position:absolute;left:10771;top:496;width:1134;height:737" id="docshape419"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89760">
              <wp:simplePos x="0" y="0"/>
              <wp:positionH relativeFrom="page">
                <wp:posOffset>7041962</wp:posOffset>
              </wp:positionH>
              <wp:positionV relativeFrom="page">
                <wp:posOffset>449717</wp:posOffset>
              </wp:positionV>
              <wp:extent cx="328930" cy="194310"/>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a:off x="0" y="0"/>
                        <a:ext cx="328930"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sz w:val="24"/>
                            </w:rPr>
                            <w:fldChar w:fldCharType="begin"/>
                          </w:r>
                          <w:r>
                            <w:rPr>
                              <w:rFonts w:ascii="Trebuchet MS"/>
                              <w:b/>
                              <w:color w:val="FFFFFF"/>
                              <w:spacing w:val="-5"/>
                              <w:sz w:val="24"/>
                            </w:rPr>
                            <w:instrText> PAGE </w:instrText>
                          </w:r>
                          <w:r>
                            <w:rPr>
                              <w:rFonts w:ascii="Trebuchet MS"/>
                              <w:b/>
                              <w:color w:val="FFFFFF"/>
                              <w:spacing w:val="-5"/>
                              <w:sz w:val="24"/>
                            </w:rPr>
                            <w:fldChar w:fldCharType="separate"/>
                          </w:r>
                          <w:r>
                            <w:rPr>
                              <w:rFonts w:ascii="Trebuchet MS"/>
                              <w:b/>
                              <w:color w:val="FFFFFF"/>
                              <w:spacing w:val="-5"/>
                              <w:sz w:val="24"/>
                            </w:rPr>
                            <w:t>110</w:t>
                          </w:r>
                          <w:r>
                            <w:rPr>
                              <w:rFonts w:ascii="Trebuchet MS"/>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554.485229pt;margin-top:35.410816pt;width:25.9pt;height:15.3pt;mso-position-horizontal-relative:page;mso-position-vertical-relative:page;z-index:-18526720" type="#_x0000_t202" id="docshape420" filled="false" stroked="false">
              <v:textbox inset="0,0,0,0">
                <w:txbxContent>
                  <w:p>
                    <w:pPr>
                      <w:spacing w:before="18"/>
                      <w:ind w:left="60" w:right="0" w:firstLine="0"/>
                      <w:jc w:val="left"/>
                      <w:rPr>
                        <w:rFonts w:ascii="Trebuchet MS"/>
                        <w:b/>
                        <w:sz w:val="24"/>
                      </w:rPr>
                    </w:pPr>
                    <w:r>
                      <w:rPr>
                        <w:rFonts w:ascii="Trebuchet MS"/>
                        <w:b/>
                        <w:color w:val="FFFFFF"/>
                        <w:spacing w:val="-5"/>
                        <w:sz w:val="24"/>
                      </w:rPr>
                      <w:fldChar w:fldCharType="begin"/>
                    </w:r>
                    <w:r>
                      <w:rPr>
                        <w:rFonts w:ascii="Trebuchet MS"/>
                        <w:b/>
                        <w:color w:val="FFFFFF"/>
                        <w:spacing w:val="-5"/>
                        <w:sz w:val="24"/>
                      </w:rPr>
                      <w:instrText> PAGE </w:instrText>
                    </w:r>
                    <w:r>
                      <w:rPr>
                        <w:rFonts w:ascii="Trebuchet MS"/>
                        <w:b/>
                        <w:color w:val="FFFFFF"/>
                        <w:spacing w:val="-5"/>
                        <w:sz w:val="24"/>
                      </w:rPr>
                      <w:fldChar w:fldCharType="separate"/>
                    </w:r>
                    <w:r>
                      <w:rPr>
                        <w:rFonts w:ascii="Trebuchet MS"/>
                        <w:b/>
                        <w:color w:val="FFFFFF"/>
                        <w:spacing w:val="-5"/>
                        <w:sz w:val="24"/>
                      </w:rPr>
                      <w:t>110</w:t>
                    </w:r>
                    <w:r>
                      <w:rPr>
                        <w:rFonts w:ascii="Trebuchet MS"/>
                        <w:b/>
                        <w:color w:val="FFFFFF"/>
                        <w:spacing w:val="-5"/>
                        <w:sz w:val="24"/>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18080">
              <wp:simplePos x="0" y="0"/>
              <wp:positionH relativeFrom="page">
                <wp:posOffset>0</wp:posOffset>
              </wp:positionH>
              <wp:positionV relativeFrom="page">
                <wp:posOffset>315010</wp:posOffset>
              </wp:positionV>
              <wp:extent cx="7560309" cy="467995"/>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7560309" cy="467995"/>
                        <a:chExt cx="7560309" cy="467995"/>
                      </a:xfrm>
                    </wpg:grpSpPr>
                    <wps:wsp>
                      <wps:cNvPr id="124" name="Graphic 124"/>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125" name="Graphic 125"/>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98400" id="docshapegroup80" coordorigin="0,496" coordsize="11906,737">
              <v:rect style="position:absolute;left:0;top:496;width:11906;height:737" id="docshape81" filled="true" fillcolor="#67287f" stroked="false">
                <v:fill type="solid"/>
              </v:rect>
              <v:rect style="position:absolute;left:0;top:496;width:1134;height:737" id="docshape82"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18592">
              <wp:simplePos x="0" y="0"/>
              <wp:positionH relativeFrom="page">
                <wp:posOffset>808099</wp:posOffset>
              </wp:positionH>
              <wp:positionV relativeFrom="page">
                <wp:posOffset>380352</wp:posOffset>
              </wp:positionV>
              <wp:extent cx="3020060" cy="35560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97888" type="#_x0000_t202" id="docshape83"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719104">
              <wp:simplePos x="0" y="0"/>
              <wp:positionH relativeFrom="page">
                <wp:posOffset>257586</wp:posOffset>
              </wp:positionH>
              <wp:positionV relativeFrom="page">
                <wp:posOffset>466751</wp:posOffset>
              </wp:positionV>
              <wp:extent cx="217804" cy="17780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17804"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w w:val="75"/>
                              <w:sz w:val="24"/>
                            </w:rPr>
                            <w:fldChar w:fldCharType="begin"/>
                          </w:r>
                          <w:r>
                            <w:rPr>
                              <w:rFonts w:ascii="Tahoma"/>
                              <w:b/>
                              <w:color w:val="FFFFFF"/>
                              <w:spacing w:val="-5"/>
                              <w:w w:val="75"/>
                              <w:sz w:val="24"/>
                            </w:rPr>
                            <w:instrText> PAGE </w:instrText>
                          </w:r>
                          <w:r>
                            <w:rPr>
                              <w:rFonts w:ascii="Tahoma"/>
                              <w:b/>
                              <w:color w:val="FFFFFF"/>
                              <w:spacing w:val="-5"/>
                              <w:w w:val="75"/>
                              <w:sz w:val="24"/>
                            </w:rPr>
                            <w:fldChar w:fldCharType="separate"/>
                          </w:r>
                          <w:r>
                            <w:rPr>
                              <w:rFonts w:ascii="Tahoma"/>
                              <w:b/>
                              <w:color w:val="FFFFFF"/>
                              <w:spacing w:val="-5"/>
                              <w:w w:val="75"/>
                              <w:sz w:val="24"/>
                            </w:rPr>
                            <w:t>11</w:t>
                          </w:r>
                          <w:r>
                            <w:rPr>
                              <w:rFonts w:ascii="Tahoma"/>
                              <w:b/>
                              <w:color w:val="FFFFFF"/>
                              <w:spacing w:val="-5"/>
                              <w:w w:val="75"/>
                              <w:sz w:val="24"/>
                            </w:rPr>
                            <w:fldChar w:fldCharType="end"/>
                          </w:r>
                        </w:p>
                      </w:txbxContent>
                    </wps:txbx>
                    <wps:bodyPr wrap="square" lIns="0" tIns="0" rIns="0" bIns="0" rtlCol="0">
                      <a:noAutofit/>
                    </wps:bodyPr>
                  </wps:wsp>
                </a:graphicData>
              </a:graphic>
            </wp:anchor>
          </w:drawing>
        </mc:Choice>
        <mc:Fallback>
          <w:pict>
            <v:shape style="position:absolute;margin-left:20.2824pt;margin-top:36.752117pt;width:17.150pt;height:14pt;mso-position-horizontal-relative:page;mso-position-vertical-relative:page;z-index:-18597376" type="#_x0000_t202" id="docshape84" filled="false" stroked="false">
              <v:textbox inset="0,0,0,0">
                <w:txbxContent>
                  <w:p>
                    <w:pPr>
                      <w:spacing w:line="266" w:lineRule="exact" w:before="0"/>
                      <w:ind w:left="60" w:right="0" w:firstLine="0"/>
                      <w:jc w:val="left"/>
                      <w:rPr>
                        <w:rFonts w:ascii="Tahoma"/>
                        <w:b/>
                        <w:sz w:val="24"/>
                      </w:rPr>
                    </w:pPr>
                    <w:r>
                      <w:rPr>
                        <w:rFonts w:ascii="Tahoma"/>
                        <w:b/>
                        <w:color w:val="FFFFFF"/>
                        <w:spacing w:val="-5"/>
                        <w:w w:val="75"/>
                        <w:sz w:val="24"/>
                      </w:rPr>
                      <w:fldChar w:fldCharType="begin"/>
                    </w:r>
                    <w:r>
                      <w:rPr>
                        <w:rFonts w:ascii="Tahoma"/>
                        <w:b/>
                        <w:color w:val="FFFFFF"/>
                        <w:spacing w:val="-5"/>
                        <w:w w:val="75"/>
                        <w:sz w:val="24"/>
                      </w:rPr>
                      <w:instrText> PAGE </w:instrText>
                    </w:r>
                    <w:r>
                      <w:rPr>
                        <w:rFonts w:ascii="Tahoma"/>
                        <w:b/>
                        <w:color w:val="FFFFFF"/>
                        <w:spacing w:val="-5"/>
                        <w:w w:val="75"/>
                        <w:sz w:val="24"/>
                      </w:rPr>
                      <w:fldChar w:fldCharType="separate"/>
                    </w:r>
                    <w:r>
                      <w:rPr>
                        <w:rFonts w:ascii="Tahoma"/>
                        <w:b/>
                        <w:color w:val="FFFFFF"/>
                        <w:spacing w:val="-5"/>
                        <w:w w:val="75"/>
                        <w:sz w:val="24"/>
                      </w:rPr>
                      <w:t>11</w:t>
                    </w:r>
                    <w:r>
                      <w:rPr>
                        <w:rFonts w:ascii="Tahoma"/>
                        <w:b/>
                        <w:color w:val="FFFFFF"/>
                        <w:spacing w:val="-5"/>
                        <w:w w:val="75"/>
                        <w:sz w:val="24"/>
                      </w:rPr>
                      <w:fldChar w:fldCharType="end"/>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90272">
              <wp:simplePos x="0" y="0"/>
              <wp:positionH relativeFrom="page">
                <wp:posOffset>0</wp:posOffset>
              </wp:positionH>
              <wp:positionV relativeFrom="page">
                <wp:posOffset>315010</wp:posOffset>
              </wp:positionV>
              <wp:extent cx="7560309" cy="467995"/>
              <wp:effectExtent l="0" t="0" r="0" b="0"/>
              <wp:wrapNone/>
              <wp:docPr id="474" name="Group 474"/>
              <wp:cNvGraphicFramePr>
                <a:graphicFrameLocks/>
              </wp:cNvGraphicFramePr>
              <a:graphic>
                <a:graphicData uri="http://schemas.microsoft.com/office/word/2010/wordprocessingGroup">
                  <wpg:wgp>
                    <wpg:cNvPr id="474" name="Group 474"/>
                    <wpg:cNvGrpSpPr/>
                    <wpg:grpSpPr>
                      <a:xfrm>
                        <a:off x="0" y="0"/>
                        <a:ext cx="7560309" cy="467995"/>
                        <a:chExt cx="7560309" cy="467995"/>
                      </a:xfrm>
                    </wpg:grpSpPr>
                    <wps:wsp>
                      <wps:cNvPr id="475" name="Graphic 475"/>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476" name="Graphic 476"/>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26208" id="docshapegroup421" coordorigin="0,496" coordsize="11906,737">
              <v:rect style="position:absolute;left:0;top:496;width:11906;height:737" id="docshape422" filled="true" fillcolor="#67287f" stroked="false">
                <v:fill type="solid"/>
              </v:rect>
              <v:rect style="position:absolute;left:0;top:496;width:1134;height:737" id="docshape423"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90784">
              <wp:simplePos x="0" y="0"/>
              <wp:positionH relativeFrom="page">
                <wp:posOffset>808099</wp:posOffset>
              </wp:positionH>
              <wp:positionV relativeFrom="page">
                <wp:posOffset>380352</wp:posOffset>
              </wp:positionV>
              <wp:extent cx="3020060" cy="355600"/>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25696" type="#_x0000_t202" id="docshape424"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791296">
              <wp:simplePos x="0" y="0"/>
              <wp:positionH relativeFrom="page">
                <wp:posOffset>225431</wp:posOffset>
              </wp:positionH>
              <wp:positionV relativeFrom="page">
                <wp:posOffset>466751</wp:posOffset>
              </wp:positionV>
              <wp:extent cx="281940" cy="177800"/>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281940"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w w:val="75"/>
                              <w:sz w:val="24"/>
                            </w:rPr>
                            <w:fldChar w:fldCharType="begin"/>
                          </w:r>
                          <w:r>
                            <w:rPr>
                              <w:rFonts w:ascii="Tahoma"/>
                              <w:b/>
                              <w:color w:val="FFFFFF"/>
                              <w:spacing w:val="-5"/>
                              <w:w w:val="75"/>
                              <w:sz w:val="24"/>
                            </w:rPr>
                            <w:instrText> PAGE </w:instrText>
                          </w:r>
                          <w:r>
                            <w:rPr>
                              <w:rFonts w:ascii="Tahoma"/>
                              <w:b/>
                              <w:color w:val="FFFFFF"/>
                              <w:spacing w:val="-5"/>
                              <w:w w:val="75"/>
                              <w:sz w:val="24"/>
                            </w:rPr>
                            <w:fldChar w:fldCharType="separate"/>
                          </w:r>
                          <w:r>
                            <w:rPr>
                              <w:rFonts w:ascii="Tahoma"/>
                              <w:b/>
                              <w:color w:val="FFFFFF"/>
                              <w:spacing w:val="-5"/>
                              <w:w w:val="75"/>
                              <w:sz w:val="24"/>
                            </w:rPr>
                            <w:t>111</w:t>
                          </w:r>
                          <w:r>
                            <w:rPr>
                              <w:rFonts w:ascii="Tahoma"/>
                              <w:b/>
                              <w:color w:val="FFFFFF"/>
                              <w:spacing w:val="-5"/>
                              <w:w w:val="75"/>
                              <w:sz w:val="24"/>
                            </w:rPr>
                            <w:fldChar w:fldCharType="end"/>
                          </w:r>
                        </w:p>
                      </w:txbxContent>
                    </wps:txbx>
                    <wps:bodyPr wrap="square" lIns="0" tIns="0" rIns="0" bIns="0" rtlCol="0">
                      <a:noAutofit/>
                    </wps:bodyPr>
                  </wps:wsp>
                </a:graphicData>
              </a:graphic>
            </wp:anchor>
          </w:drawing>
        </mc:Choice>
        <mc:Fallback>
          <w:pict>
            <v:shape style="position:absolute;margin-left:17.7505pt;margin-top:36.752117pt;width:22.2pt;height:14pt;mso-position-horizontal-relative:page;mso-position-vertical-relative:page;z-index:-18525184" type="#_x0000_t202" id="docshape425" filled="false" stroked="false">
              <v:textbox inset="0,0,0,0">
                <w:txbxContent>
                  <w:p>
                    <w:pPr>
                      <w:spacing w:line="266" w:lineRule="exact" w:before="0"/>
                      <w:ind w:left="60" w:right="0" w:firstLine="0"/>
                      <w:jc w:val="left"/>
                      <w:rPr>
                        <w:rFonts w:ascii="Tahoma"/>
                        <w:b/>
                        <w:sz w:val="24"/>
                      </w:rPr>
                    </w:pPr>
                    <w:r>
                      <w:rPr>
                        <w:rFonts w:ascii="Tahoma"/>
                        <w:b/>
                        <w:color w:val="FFFFFF"/>
                        <w:spacing w:val="-5"/>
                        <w:w w:val="75"/>
                        <w:sz w:val="24"/>
                      </w:rPr>
                      <w:fldChar w:fldCharType="begin"/>
                    </w:r>
                    <w:r>
                      <w:rPr>
                        <w:rFonts w:ascii="Tahoma"/>
                        <w:b/>
                        <w:color w:val="FFFFFF"/>
                        <w:spacing w:val="-5"/>
                        <w:w w:val="75"/>
                        <w:sz w:val="24"/>
                      </w:rPr>
                      <w:instrText> PAGE </w:instrText>
                    </w:r>
                    <w:r>
                      <w:rPr>
                        <w:rFonts w:ascii="Tahoma"/>
                        <w:b/>
                        <w:color w:val="FFFFFF"/>
                        <w:spacing w:val="-5"/>
                        <w:w w:val="75"/>
                        <w:sz w:val="24"/>
                      </w:rPr>
                      <w:fldChar w:fldCharType="separate"/>
                    </w:r>
                    <w:r>
                      <w:rPr>
                        <w:rFonts w:ascii="Tahoma"/>
                        <w:b/>
                        <w:color w:val="FFFFFF"/>
                        <w:spacing w:val="-5"/>
                        <w:w w:val="75"/>
                        <w:sz w:val="24"/>
                      </w:rPr>
                      <w:t>111</w:t>
                    </w:r>
                    <w:r>
                      <w:rPr>
                        <w:rFonts w:ascii="Tahoma"/>
                        <w:b/>
                        <w:color w:val="FFFFFF"/>
                        <w:spacing w:val="-5"/>
                        <w:w w:val="75"/>
                        <w:sz w:val="24"/>
                      </w:rPr>
                      <w:fldChar w:fldCharType="end"/>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92832">
              <wp:simplePos x="0" y="0"/>
              <wp:positionH relativeFrom="page">
                <wp:posOffset>0</wp:posOffset>
              </wp:positionH>
              <wp:positionV relativeFrom="page">
                <wp:posOffset>315010</wp:posOffset>
              </wp:positionV>
              <wp:extent cx="7560309" cy="467995"/>
              <wp:effectExtent l="0" t="0" r="0" b="0"/>
              <wp:wrapNone/>
              <wp:docPr id="500" name="Group 500"/>
              <wp:cNvGraphicFramePr>
                <a:graphicFrameLocks/>
              </wp:cNvGraphicFramePr>
              <a:graphic>
                <a:graphicData uri="http://schemas.microsoft.com/office/word/2010/wordprocessingGroup">
                  <wpg:wgp>
                    <wpg:cNvPr id="500" name="Group 500"/>
                    <wpg:cNvGrpSpPr/>
                    <wpg:grpSpPr>
                      <a:xfrm>
                        <a:off x="0" y="0"/>
                        <a:ext cx="7560309" cy="467995"/>
                        <a:chExt cx="7560309" cy="467995"/>
                      </a:xfrm>
                    </wpg:grpSpPr>
                    <wps:wsp>
                      <wps:cNvPr id="501" name="Graphic 501"/>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502" name="Graphic 502"/>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23648" id="docshapegroup446" coordorigin="0,496" coordsize="11906,737">
              <v:rect style="position:absolute;left:0;top:496;width:11906;height:737" id="docshape447" filled="true" fillcolor="#67287f" stroked="false">
                <v:fill type="solid"/>
              </v:rect>
              <v:rect style="position:absolute;left:10771;top:496;width:1134;height:737" id="docshape448"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93344">
              <wp:simplePos x="0" y="0"/>
              <wp:positionH relativeFrom="page">
                <wp:posOffset>7026645</wp:posOffset>
              </wp:positionH>
              <wp:positionV relativeFrom="page">
                <wp:posOffset>449717</wp:posOffset>
              </wp:positionV>
              <wp:extent cx="359410" cy="194310"/>
              <wp:effectExtent l="0" t="0" r="0" b="0"/>
              <wp:wrapNone/>
              <wp:docPr id="503" name="Textbox 503"/>
              <wp:cNvGraphicFramePr>
                <a:graphicFrameLocks/>
              </wp:cNvGraphicFramePr>
              <a:graphic>
                <a:graphicData uri="http://schemas.microsoft.com/office/word/2010/wordprocessingShape">
                  <wps:wsp>
                    <wps:cNvPr id="503" name="Textbox 503"/>
                    <wps:cNvSpPr txBox="1"/>
                    <wps:spPr>
                      <a:xfrm>
                        <a:off x="0" y="0"/>
                        <a:ext cx="359410"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sz w:val="24"/>
                            </w:rPr>
                            <w:fldChar w:fldCharType="begin"/>
                          </w:r>
                          <w:r>
                            <w:rPr>
                              <w:rFonts w:ascii="Trebuchet MS"/>
                              <w:b/>
                              <w:color w:val="FFFFFF"/>
                              <w:spacing w:val="-5"/>
                              <w:sz w:val="24"/>
                            </w:rPr>
                            <w:instrText> PAGE </w:instrText>
                          </w:r>
                          <w:r>
                            <w:rPr>
                              <w:rFonts w:ascii="Trebuchet MS"/>
                              <w:b/>
                              <w:color w:val="FFFFFF"/>
                              <w:spacing w:val="-5"/>
                              <w:sz w:val="24"/>
                            </w:rPr>
                            <w:fldChar w:fldCharType="separate"/>
                          </w:r>
                          <w:r>
                            <w:rPr>
                              <w:rFonts w:ascii="Trebuchet MS"/>
                              <w:b/>
                              <w:color w:val="FFFFFF"/>
                              <w:spacing w:val="-5"/>
                              <w:sz w:val="24"/>
                            </w:rPr>
                            <w:t>120</w:t>
                          </w:r>
                          <w:r>
                            <w:rPr>
                              <w:rFonts w:ascii="Trebuchet MS"/>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553.279175pt;margin-top:35.410816pt;width:28.3pt;height:15.3pt;mso-position-horizontal-relative:page;mso-position-vertical-relative:page;z-index:-18523136" type="#_x0000_t202" id="docshape449" filled="false" stroked="false">
              <v:textbox inset="0,0,0,0">
                <w:txbxContent>
                  <w:p>
                    <w:pPr>
                      <w:spacing w:before="18"/>
                      <w:ind w:left="60" w:right="0" w:firstLine="0"/>
                      <w:jc w:val="left"/>
                      <w:rPr>
                        <w:rFonts w:ascii="Trebuchet MS"/>
                        <w:b/>
                        <w:sz w:val="24"/>
                      </w:rPr>
                    </w:pPr>
                    <w:r>
                      <w:rPr>
                        <w:rFonts w:ascii="Trebuchet MS"/>
                        <w:b/>
                        <w:color w:val="FFFFFF"/>
                        <w:spacing w:val="-5"/>
                        <w:sz w:val="24"/>
                      </w:rPr>
                      <w:fldChar w:fldCharType="begin"/>
                    </w:r>
                    <w:r>
                      <w:rPr>
                        <w:rFonts w:ascii="Trebuchet MS"/>
                        <w:b/>
                        <w:color w:val="FFFFFF"/>
                        <w:spacing w:val="-5"/>
                        <w:sz w:val="24"/>
                      </w:rPr>
                      <w:instrText> PAGE </w:instrText>
                    </w:r>
                    <w:r>
                      <w:rPr>
                        <w:rFonts w:ascii="Trebuchet MS"/>
                        <w:b/>
                        <w:color w:val="FFFFFF"/>
                        <w:spacing w:val="-5"/>
                        <w:sz w:val="24"/>
                      </w:rPr>
                      <w:fldChar w:fldCharType="separate"/>
                    </w:r>
                    <w:r>
                      <w:rPr>
                        <w:rFonts w:ascii="Trebuchet MS"/>
                        <w:b/>
                        <w:color w:val="FFFFFF"/>
                        <w:spacing w:val="-5"/>
                        <w:sz w:val="24"/>
                      </w:rPr>
                      <w:t>120</w:t>
                    </w:r>
                    <w:r>
                      <w:rPr>
                        <w:rFonts w:ascii="Trebuchet MS"/>
                        <w:b/>
                        <w:color w:val="FFFFFF"/>
                        <w:spacing w:val="-5"/>
                        <w:sz w:val="24"/>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93856">
              <wp:simplePos x="0" y="0"/>
              <wp:positionH relativeFrom="page">
                <wp:posOffset>0</wp:posOffset>
              </wp:positionH>
              <wp:positionV relativeFrom="page">
                <wp:posOffset>315010</wp:posOffset>
              </wp:positionV>
              <wp:extent cx="7560309" cy="467995"/>
              <wp:effectExtent l="0" t="0" r="0" b="0"/>
              <wp:wrapNone/>
              <wp:docPr id="504" name="Group 504"/>
              <wp:cNvGraphicFramePr>
                <a:graphicFrameLocks/>
              </wp:cNvGraphicFramePr>
              <a:graphic>
                <a:graphicData uri="http://schemas.microsoft.com/office/word/2010/wordprocessingGroup">
                  <wpg:wgp>
                    <wpg:cNvPr id="504" name="Group 504"/>
                    <wpg:cNvGrpSpPr/>
                    <wpg:grpSpPr>
                      <a:xfrm>
                        <a:off x="0" y="0"/>
                        <a:ext cx="7560309" cy="467995"/>
                        <a:chExt cx="7560309" cy="467995"/>
                      </a:xfrm>
                    </wpg:grpSpPr>
                    <wps:wsp>
                      <wps:cNvPr id="505" name="Graphic 505"/>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506" name="Graphic 506"/>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22624" id="docshapegroup450" coordorigin="0,496" coordsize="11906,737">
              <v:rect style="position:absolute;left:0;top:496;width:11906;height:737" id="docshape451" filled="true" fillcolor="#67287f" stroked="false">
                <v:fill type="solid"/>
              </v:rect>
              <v:rect style="position:absolute;left:0;top:496;width:1134;height:737" id="docshape452"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94368">
              <wp:simplePos x="0" y="0"/>
              <wp:positionH relativeFrom="page">
                <wp:posOffset>808099</wp:posOffset>
              </wp:positionH>
              <wp:positionV relativeFrom="page">
                <wp:posOffset>380352</wp:posOffset>
              </wp:positionV>
              <wp:extent cx="3020060" cy="355600"/>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22112" type="#_x0000_t202" id="docshape453"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794880">
              <wp:simplePos x="0" y="0"/>
              <wp:positionH relativeFrom="page">
                <wp:posOffset>210115</wp:posOffset>
              </wp:positionH>
              <wp:positionV relativeFrom="page">
                <wp:posOffset>466751</wp:posOffset>
              </wp:positionV>
              <wp:extent cx="313055" cy="177800"/>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313055"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w w:val="85"/>
                              <w:sz w:val="24"/>
                            </w:rPr>
                            <w:fldChar w:fldCharType="begin"/>
                          </w:r>
                          <w:r>
                            <w:rPr>
                              <w:rFonts w:ascii="Tahoma"/>
                              <w:b/>
                              <w:color w:val="FFFFFF"/>
                              <w:spacing w:val="-5"/>
                              <w:w w:val="85"/>
                              <w:sz w:val="24"/>
                            </w:rPr>
                            <w:instrText> PAGE </w:instrText>
                          </w:r>
                          <w:r>
                            <w:rPr>
                              <w:rFonts w:ascii="Tahoma"/>
                              <w:b/>
                              <w:color w:val="FFFFFF"/>
                              <w:spacing w:val="-5"/>
                              <w:w w:val="85"/>
                              <w:sz w:val="24"/>
                            </w:rPr>
                            <w:fldChar w:fldCharType="separate"/>
                          </w:r>
                          <w:r>
                            <w:rPr>
                              <w:rFonts w:ascii="Tahoma"/>
                              <w:b/>
                              <w:color w:val="FFFFFF"/>
                              <w:spacing w:val="-5"/>
                              <w:w w:val="85"/>
                              <w:sz w:val="24"/>
                            </w:rPr>
                            <w:t>121</w:t>
                          </w:r>
                          <w:r>
                            <w:rPr>
                              <w:rFonts w:ascii="Tahoma"/>
                              <w:b/>
                              <w:color w:val="FFFFFF"/>
                              <w:spacing w:val="-5"/>
                              <w:w w:val="85"/>
                              <w:sz w:val="24"/>
                            </w:rPr>
                            <w:fldChar w:fldCharType="end"/>
                          </w:r>
                        </w:p>
                      </w:txbxContent>
                    </wps:txbx>
                    <wps:bodyPr wrap="square" lIns="0" tIns="0" rIns="0" bIns="0" rtlCol="0">
                      <a:noAutofit/>
                    </wps:bodyPr>
                  </wps:wsp>
                </a:graphicData>
              </a:graphic>
            </wp:anchor>
          </w:drawing>
        </mc:Choice>
        <mc:Fallback>
          <w:pict>
            <v:shape style="position:absolute;margin-left:16.5445pt;margin-top:36.752117pt;width:24.65pt;height:14pt;mso-position-horizontal-relative:page;mso-position-vertical-relative:page;z-index:-18521600" type="#_x0000_t202" id="docshape454" filled="false" stroked="false">
              <v:textbox inset="0,0,0,0">
                <w:txbxContent>
                  <w:p>
                    <w:pPr>
                      <w:spacing w:line="266" w:lineRule="exact" w:before="0"/>
                      <w:ind w:left="60" w:right="0" w:firstLine="0"/>
                      <w:jc w:val="left"/>
                      <w:rPr>
                        <w:rFonts w:ascii="Tahoma"/>
                        <w:b/>
                        <w:sz w:val="24"/>
                      </w:rPr>
                    </w:pPr>
                    <w:r>
                      <w:rPr>
                        <w:rFonts w:ascii="Tahoma"/>
                        <w:b/>
                        <w:color w:val="FFFFFF"/>
                        <w:spacing w:val="-5"/>
                        <w:w w:val="85"/>
                        <w:sz w:val="24"/>
                      </w:rPr>
                      <w:fldChar w:fldCharType="begin"/>
                    </w:r>
                    <w:r>
                      <w:rPr>
                        <w:rFonts w:ascii="Tahoma"/>
                        <w:b/>
                        <w:color w:val="FFFFFF"/>
                        <w:spacing w:val="-5"/>
                        <w:w w:val="85"/>
                        <w:sz w:val="24"/>
                      </w:rPr>
                      <w:instrText> PAGE </w:instrText>
                    </w:r>
                    <w:r>
                      <w:rPr>
                        <w:rFonts w:ascii="Tahoma"/>
                        <w:b/>
                        <w:color w:val="FFFFFF"/>
                        <w:spacing w:val="-5"/>
                        <w:w w:val="85"/>
                        <w:sz w:val="24"/>
                      </w:rPr>
                      <w:fldChar w:fldCharType="separate"/>
                    </w:r>
                    <w:r>
                      <w:rPr>
                        <w:rFonts w:ascii="Tahoma"/>
                        <w:b/>
                        <w:color w:val="FFFFFF"/>
                        <w:spacing w:val="-5"/>
                        <w:w w:val="85"/>
                        <w:sz w:val="24"/>
                      </w:rPr>
                      <w:t>121</w:t>
                    </w:r>
                    <w:r>
                      <w:rPr>
                        <w:rFonts w:ascii="Tahoma"/>
                        <w:b/>
                        <w:color w:val="FFFFFF"/>
                        <w:spacing w:val="-5"/>
                        <w:w w:val="85"/>
                        <w:sz w:val="24"/>
                      </w:rPr>
                      <w:fldChar w:fldCharType="end"/>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96928">
              <wp:simplePos x="0" y="0"/>
              <wp:positionH relativeFrom="page">
                <wp:posOffset>0</wp:posOffset>
              </wp:positionH>
              <wp:positionV relativeFrom="page">
                <wp:posOffset>315010</wp:posOffset>
              </wp:positionV>
              <wp:extent cx="7560309" cy="467995"/>
              <wp:effectExtent l="0" t="0" r="0" b="0"/>
              <wp:wrapNone/>
              <wp:docPr id="515" name="Group 515"/>
              <wp:cNvGraphicFramePr>
                <a:graphicFrameLocks/>
              </wp:cNvGraphicFramePr>
              <a:graphic>
                <a:graphicData uri="http://schemas.microsoft.com/office/word/2010/wordprocessingGroup">
                  <wpg:wgp>
                    <wpg:cNvPr id="515" name="Group 515"/>
                    <wpg:cNvGrpSpPr/>
                    <wpg:grpSpPr>
                      <a:xfrm>
                        <a:off x="0" y="0"/>
                        <a:ext cx="7560309" cy="467995"/>
                        <a:chExt cx="7560309" cy="467995"/>
                      </a:xfrm>
                    </wpg:grpSpPr>
                    <wps:wsp>
                      <wps:cNvPr id="516" name="Graphic 516"/>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517" name="Graphic 517"/>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19552" id="docshapegroup460" coordorigin="0,496" coordsize="11906,737">
              <v:rect style="position:absolute;left:0;top:496;width:11906;height:737" id="docshape461" filled="true" fillcolor="#67287f" stroked="false">
                <v:fill type="solid"/>
              </v:rect>
              <v:rect style="position:absolute;left:10771;top:496;width:1134;height:737" id="docshape462"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97440">
              <wp:simplePos x="0" y="0"/>
              <wp:positionH relativeFrom="page">
                <wp:posOffset>7034800</wp:posOffset>
              </wp:positionH>
              <wp:positionV relativeFrom="page">
                <wp:posOffset>449717</wp:posOffset>
              </wp:positionV>
              <wp:extent cx="343535" cy="194310"/>
              <wp:effectExtent l="0" t="0" r="0" b="0"/>
              <wp:wrapNone/>
              <wp:docPr id="518" name="Textbox 518"/>
              <wp:cNvGraphicFramePr>
                <a:graphicFrameLocks/>
              </wp:cNvGraphicFramePr>
              <a:graphic>
                <a:graphicData uri="http://schemas.microsoft.com/office/word/2010/wordprocessingShape">
                  <wps:wsp>
                    <wps:cNvPr id="518" name="Textbox 518"/>
                    <wps:cNvSpPr txBox="1"/>
                    <wps:spPr>
                      <a:xfrm>
                        <a:off x="0" y="0"/>
                        <a:ext cx="343535"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sz w:val="24"/>
                            </w:rPr>
                            <w:fldChar w:fldCharType="begin"/>
                          </w:r>
                          <w:r>
                            <w:rPr>
                              <w:rFonts w:ascii="Trebuchet MS"/>
                              <w:b/>
                              <w:color w:val="FFFFFF"/>
                              <w:spacing w:val="-5"/>
                              <w:sz w:val="24"/>
                            </w:rPr>
                            <w:instrText> PAGE </w:instrText>
                          </w:r>
                          <w:r>
                            <w:rPr>
                              <w:rFonts w:ascii="Trebuchet MS"/>
                              <w:b/>
                              <w:color w:val="FFFFFF"/>
                              <w:spacing w:val="-5"/>
                              <w:sz w:val="24"/>
                            </w:rPr>
                            <w:fldChar w:fldCharType="separate"/>
                          </w:r>
                          <w:r>
                            <w:rPr>
                              <w:rFonts w:ascii="Trebuchet MS"/>
                              <w:b/>
                              <w:color w:val="FFFFFF"/>
                              <w:spacing w:val="-5"/>
                              <w:sz w:val="24"/>
                            </w:rPr>
                            <w:t>122</w:t>
                          </w:r>
                          <w:r>
                            <w:rPr>
                              <w:rFonts w:ascii="Trebuchet MS"/>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553.921326pt;margin-top:35.410816pt;width:27.05pt;height:15.3pt;mso-position-horizontal-relative:page;mso-position-vertical-relative:page;z-index:-18519040" type="#_x0000_t202" id="docshape463" filled="false" stroked="false">
              <v:textbox inset="0,0,0,0">
                <w:txbxContent>
                  <w:p>
                    <w:pPr>
                      <w:spacing w:before="18"/>
                      <w:ind w:left="60" w:right="0" w:firstLine="0"/>
                      <w:jc w:val="left"/>
                      <w:rPr>
                        <w:rFonts w:ascii="Trebuchet MS"/>
                        <w:b/>
                        <w:sz w:val="24"/>
                      </w:rPr>
                    </w:pPr>
                    <w:r>
                      <w:rPr>
                        <w:rFonts w:ascii="Trebuchet MS"/>
                        <w:b/>
                        <w:color w:val="FFFFFF"/>
                        <w:spacing w:val="-5"/>
                        <w:sz w:val="24"/>
                      </w:rPr>
                      <w:fldChar w:fldCharType="begin"/>
                    </w:r>
                    <w:r>
                      <w:rPr>
                        <w:rFonts w:ascii="Trebuchet MS"/>
                        <w:b/>
                        <w:color w:val="FFFFFF"/>
                        <w:spacing w:val="-5"/>
                        <w:sz w:val="24"/>
                      </w:rPr>
                      <w:instrText> PAGE </w:instrText>
                    </w:r>
                    <w:r>
                      <w:rPr>
                        <w:rFonts w:ascii="Trebuchet MS"/>
                        <w:b/>
                        <w:color w:val="FFFFFF"/>
                        <w:spacing w:val="-5"/>
                        <w:sz w:val="24"/>
                      </w:rPr>
                      <w:fldChar w:fldCharType="separate"/>
                    </w:r>
                    <w:r>
                      <w:rPr>
                        <w:rFonts w:ascii="Trebuchet MS"/>
                        <w:b/>
                        <w:color w:val="FFFFFF"/>
                        <w:spacing w:val="-5"/>
                        <w:sz w:val="24"/>
                      </w:rPr>
                      <w:t>122</w:t>
                    </w:r>
                    <w:r>
                      <w:rPr>
                        <w:rFonts w:ascii="Trebuchet MS"/>
                        <w:b/>
                        <w:color w:val="FFFFFF"/>
                        <w:spacing w:val="-5"/>
                        <w:sz w:val="24"/>
                      </w:rPr>
                      <w:fldChar w:fldCharType="end"/>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97952">
              <wp:simplePos x="0" y="0"/>
              <wp:positionH relativeFrom="page">
                <wp:posOffset>0</wp:posOffset>
              </wp:positionH>
              <wp:positionV relativeFrom="page">
                <wp:posOffset>315010</wp:posOffset>
              </wp:positionV>
              <wp:extent cx="7560309" cy="467995"/>
              <wp:effectExtent l="0" t="0" r="0" b="0"/>
              <wp:wrapNone/>
              <wp:docPr id="519" name="Group 519"/>
              <wp:cNvGraphicFramePr>
                <a:graphicFrameLocks/>
              </wp:cNvGraphicFramePr>
              <a:graphic>
                <a:graphicData uri="http://schemas.microsoft.com/office/word/2010/wordprocessingGroup">
                  <wpg:wgp>
                    <wpg:cNvPr id="519" name="Group 519"/>
                    <wpg:cNvGrpSpPr/>
                    <wpg:grpSpPr>
                      <a:xfrm>
                        <a:off x="0" y="0"/>
                        <a:ext cx="7560309" cy="467995"/>
                        <a:chExt cx="7560309" cy="467995"/>
                      </a:xfrm>
                    </wpg:grpSpPr>
                    <wps:wsp>
                      <wps:cNvPr id="520" name="Graphic 520"/>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521" name="Graphic 521"/>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18528" id="docshapegroup464" coordorigin="0,496" coordsize="11906,737">
              <v:rect style="position:absolute;left:0;top:496;width:11906;height:737" id="docshape465" filled="true" fillcolor="#67287f" stroked="false">
                <v:fill type="solid"/>
              </v:rect>
              <v:rect style="position:absolute;left:0;top:496;width:1134;height:737" id="docshape466"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98464">
              <wp:simplePos x="0" y="0"/>
              <wp:positionH relativeFrom="page">
                <wp:posOffset>808099</wp:posOffset>
              </wp:positionH>
              <wp:positionV relativeFrom="page">
                <wp:posOffset>380352</wp:posOffset>
              </wp:positionV>
              <wp:extent cx="3020060" cy="355600"/>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18016" type="#_x0000_t202" id="docshape467"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798976">
              <wp:simplePos x="0" y="0"/>
              <wp:positionH relativeFrom="page">
                <wp:posOffset>194952</wp:posOffset>
              </wp:positionH>
              <wp:positionV relativeFrom="page">
                <wp:posOffset>466751</wp:posOffset>
              </wp:positionV>
              <wp:extent cx="342900" cy="177800"/>
              <wp:effectExtent l="0" t="0" r="0" b="0"/>
              <wp:wrapNone/>
              <wp:docPr id="523" name="Textbox 523"/>
              <wp:cNvGraphicFramePr>
                <a:graphicFrameLocks/>
              </wp:cNvGraphicFramePr>
              <a:graphic>
                <a:graphicData uri="http://schemas.microsoft.com/office/word/2010/wordprocessingShape">
                  <wps:wsp>
                    <wps:cNvPr id="523" name="Textbox 523"/>
                    <wps:cNvSpPr txBox="1"/>
                    <wps:spPr>
                      <a:xfrm>
                        <a:off x="0" y="0"/>
                        <a:ext cx="342900"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w w:val="95"/>
                              <w:sz w:val="24"/>
                            </w:rPr>
                            <w:fldChar w:fldCharType="begin"/>
                          </w:r>
                          <w:r>
                            <w:rPr>
                              <w:rFonts w:ascii="Tahoma"/>
                              <w:b/>
                              <w:color w:val="FFFFFF"/>
                              <w:spacing w:val="-5"/>
                              <w:w w:val="95"/>
                              <w:sz w:val="24"/>
                            </w:rPr>
                            <w:instrText> PAGE </w:instrText>
                          </w:r>
                          <w:r>
                            <w:rPr>
                              <w:rFonts w:ascii="Tahoma"/>
                              <w:b/>
                              <w:color w:val="FFFFFF"/>
                              <w:spacing w:val="-5"/>
                              <w:w w:val="95"/>
                              <w:sz w:val="24"/>
                            </w:rPr>
                            <w:fldChar w:fldCharType="separate"/>
                          </w:r>
                          <w:r>
                            <w:rPr>
                              <w:rFonts w:ascii="Tahoma"/>
                              <w:b/>
                              <w:color w:val="FFFFFF"/>
                              <w:spacing w:val="-5"/>
                              <w:w w:val="95"/>
                              <w:sz w:val="24"/>
                            </w:rPr>
                            <w:t>123</w:t>
                          </w:r>
                          <w:r>
                            <w:rPr>
                              <w:rFonts w:ascii="Tahoma"/>
                              <w:b/>
                              <w:color w:val="FFFFFF"/>
                              <w:spacing w:val="-5"/>
                              <w:w w:val="95"/>
                              <w:sz w:val="24"/>
                            </w:rPr>
                            <w:fldChar w:fldCharType="end"/>
                          </w:r>
                        </w:p>
                      </w:txbxContent>
                    </wps:txbx>
                    <wps:bodyPr wrap="square" lIns="0" tIns="0" rIns="0" bIns="0" rtlCol="0">
                      <a:noAutofit/>
                    </wps:bodyPr>
                  </wps:wsp>
                </a:graphicData>
              </a:graphic>
            </wp:anchor>
          </w:drawing>
        </mc:Choice>
        <mc:Fallback>
          <w:pict>
            <v:shape style="position:absolute;margin-left:15.3506pt;margin-top:36.752117pt;width:27pt;height:14pt;mso-position-horizontal-relative:page;mso-position-vertical-relative:page;z-index:-18517504" type="#_x0000_t202" id="docshape468" filled="false" stroked="false">
              <v:textbox inset="0,0,0,0">
                <w:txbxContent>
                  <w:p>
                    <w:pPr>
                      <w:spacing w:line="266" w:lineRule="exact" w:before="0"/>
                      <w:ind w:left="60" w:right="0" w:firstLine="0"/>
                      <w:jc w:val="left"/>
                      <w:rPr>
                        <w:rFonts w:ascii="Tahoma"/>
                        <w:b/>
                        <w:sz w:val="24"/>
                      </w:rPr>
                    </w:pPr>
                    <w:r>
                      <w:rPr>
                        <w:rFonts w:ascii="Tahoma"/>
                        <w:b/>
                        <w:color w:val="FFFFFF"/>
                        <w:spacing w:val="-5"/>
                        <w:w w:val="95"/>
                        <w:sz w:val="24"/>
                      </w:rPr>
                      <w:fldChar w:fldCharType="begin"/>
                    </w:r>
                    <w:r>
                      <w:rPr>
                        <w:rFonts w:ascii="Tahoma"/>
                        <w:b/>
                        <w:color w:val="FFFFFF"/>
                        <w:spacing w:val="-5"/>
                        <w:w w:val="95"/>
                        <w:sz w:val="24"/>
                      </w:rPr>
                      <w:instrText> PAGE </w:instrText>
                    </w:r>
                    <w:r>
                      <w:rPr>
                        <w:rFonts w:ascii="Tahoma"/>
                        <w:b/>
                        <w:color w:val="FFFFFF"/>
                        <w:spacing w:val="-5"/>
                        <w:w w:val="95"/>
                        <w:sz w:val="24"/>
                      </w:rPr>
                      <w:fldChar w:fldCharType="separate"/>
                    </w:r>
                    <w:r>
                      <w:rPr>
                        <w:rFonts w:ascii="Tahoma"/>
                        <w:b/>
                        <w:color w:val="FFFFFF"/>
                        <w:spacing w:val="-5"/>
                        <w:w w:val="95"/>
                        <w:sz w:val="24"/>
                      </w:rPr>
                      <w:t>123</w:t>
                    </w:r>
                    <w:r>
                      <w:rPr>
                        <w:rFonts w:ascii="Tahoma"/>
                        <w:b/>
                        <w:color w:val="FFFFFF"/>
                        <w:spacing w:val="-5"/>
                        <w:w w:val="95"/>
                        <w:sz w:val="24"/>
                      </w:rPr>
                      <w:fldChar w:fldCharType="end"/>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00512">
              <wp:simplePos x="0" y="0"/>
              <wp:positionH relativeFrom="page">
                <wp:posOffset>0</wp:posOffset>
              </wp:positionH>
              <wp:positionV relativeFrom="page">
                <wp:posOffset>315010</wp:posOffset>
              </wp:positionV>
              <wp:extent cx="7560309" cy="467995"/>
              <wp:effectExtent l="0" t="0" r="0" b="0"/>
              <wp:wrapNone/>
              <wp:docPr id="538" name="Group 538"/>
              <wp:cNvGraphicFramePr>
                <a:graphicFrameLocks/>
              </wp:cNvGraphicFramePr>
              <a:graphic>
                <a:graphicData uri="http://schemas.microsoft.com/office/word/2010/wordprocessingGroup">
                  <wpg:wgp>
                    <wpg:cNvPr id="538" name="Group 538"/>
                    <wpg:cNvGrpSpPr/>
                    <wpg:grpSpPr>
                      <a:xfrm>
                        <a:off x="0" y="0"/>
                        <a:ext cx="7560309" cy="467995"/>
                        <a:chExt cx="7560309" cy="467995"/>
                      </a:xfrm>
                    </wpg:grpSpPr>
                    <wps:wsp>
                      <wps:cNvPr id="539" name="Graphic 539"/>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540" name="Graphic 540"/>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15968" id="docshapegroup483" coordorigin="0,496" coordsize="11906,737">
              <v:rect style="position:absolute;left:0;top:496;width:11906;height:737" id="docshape484" filled="true" fillcolor="#67287f" stroked="false">
                <v:fill type="solid"/>
              </v:rect>
              <v:rect style="position:absolute;left:10771;top:496;width:1134;height:737" id="docshape485"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801024">
              <wp:simplePos x="0" y="0"/>
              <wp:positionH relativeFrom="page">
                <wp:posOffset>7021616</wp:posOffset>
              </wp:positionH>
              <wp:positionV relativeFrom="page">
                <wp:posOffset>449717</wp:posOffset>
              </wp:positionV>
              <wp:extent cx="369570" cy="194310"/>
              <wp:effectExtent l="0" t="0" r="0" b="0"/>
              <wp:wrapNone/>
              <wp:docPr id="541" name="Textbox 541"/>
              <wp:cNvGraphicFramePr>
                <a:graphicFrameLocks/>
              </wp:cNvGraphicFramePr>
              <a:graphic>
                <a:graphicData uri="http://schemas.microsoft.com/office/word/2010/wordprocessingShape">
                  <wps:wsp>
                    <wps:cNvPr id="541" name="Textbox 541"/>
                    <wps:cNvSpPr txBox="1"/>
                    <wps:spPr>
                      <a:xfrm>
                        <a:off x="0" y="0"/>
                        <a:ext cx="369570"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w w:val="105"/>
                              <w:sz w:val="24"/>
                            </w:rPr>
                            <w:fldChar w:fldCharType="begin"/>
                          </w:r>
                          <w:r>
                            <w:rPr>
                              <w:rFonts w:ascii="Trebuchet MS"/>
                              <w:b/>
                              <w:color w:val="FFFFFF"/>
                              <w:spacing w:val="-5"/>
                              <w:w w:val="105"/>
                              <w:sz w:val="24"/>
                            </w:rPr>
                            <w:instrText> PAGE </w:instrText>
                          </w:r>
                          <w:r>
                            <w:rPr>
                              <w:rFonts w:ascii="Trebuchet MS"/>
                              <w:b/>
                              <w:color w:val="FFFFFF"/>
                              <w:spacing w:val="-5"/>
                              <w:w w:val="105"/>
                              <w:sz w:val="24"/>
                            </w:rPr>
                            <w:fldChar w:fldCharType="separate"/>
                          </w:r>
                          <w:r>
                            <w:rPr>
                              <w:rFonts w:ascii="Trebuchet MS"/>
                              <w:b/>
                              <w:color w:val="FFFFFF"/>
                              <w:spacing w:val="-5"/>
                              <w:w w:val="105"/>
                              <w:sz w:val="24"/>
                            </w:rPr>
                            <w:t>140</w:t>
                          </w:r>
                          <w:r>
                            <w:rPr>
                              <w:rFonts w:ascii="Trebuchet MS"/>
                              <w:b/>
                              <w:color w:val="FFFFFF"/>
                              <w:spacing w:val="-5"/>
                              <w:w w:val="105"/>
                              <w:sz w:val="24"/>
                            </w:rPr>
                            <w:fldChar w:fldCharType="end"/>
                          </w:r>
                        </w:p>
                      </w:txbxContent>
                    </wps:txbx>
                    <wps:bodyPr wrap="square" lIns="0" tIns="0" rIns="0" bIns="0" rtlCol="0">
                      <a:noAutofit/>
                    </wps:bodyPr>
                  </wps:wsp>
                </a:graphicData>
              </a:graphic>
            </wp:anchor>
          </w:drawing>
        </mc:Choice>
        <mc:Fallback>
          <w:pict>
            <v:shape style="position:absolute;margin-left:552.883179pt;margin-top:35.410816pt;width:29.1pt;height:15.3pt;mso-position-horizontal-relative:page;mso-position-vertical-relative:page;z-index:-18515456" type="#_x0000_t202" id="docshape486" filled="false" stroked="false">
              <v:textbox inset="0,0,0,0">
                <w:txbxContent>
                  <w:p>
                    <w:pPr>
                      <w:spacing w:before="18"/>
                      <w:ind w:left="60" w:right="0" w:firstLine="0"/>
                      <w:jc w:val="left"/>
                      <w:rPr>
                        <w:rFonts w:ascii="Trebuchet MS"/>
                        <w:b/>
                        <w:sz w:val="24"/>
                      </w:rPr>
                    </w:pPr>
                    <w:r>
                      <w:rPr>
                        <w:rFonts w:ascii="Trebuchet MS"/>
                        <w:b/>
                        <w:color w:val="FFFFFF"/>
                        <w:spacing w:val="-5"/>
                        <w:w w:val="105"/>
                        <w:sz w:val="24"/>
                      </w:rPr>
                      <w:fldChar w:fldCharType="begin"/>
                    </w:r>
                    <w:r>
                      <w:rPr>
                        <w:rFonts w:ascii="Trebuchet MS"/>
                        <w:b/>
                        <w:color w:val="FFFFFF"/>
                        <w:spacing w:val="-5"/>
                        <w:w w:val="105"/>
                        <w:sz w:val="24"/>
                      </w:rPr>
                      <w:instrText> PAGE </w:instrText>
                    </w:r>
                    <w:r>
                      <w:rPr>
                        <w:rFonts w:ascii="Trebuchet MS"/>
                        <w:b/>
                        <w:color w:val="FFFFFF"/>
                        <w:spacing w:val="-5"/>
                        <w:w w:val="105"/>
                        <w:sz w:val="24"/>
                      </w:rPr>
                      <w:fldChar w:fldCharType="separate"/>
                    </w:r>
                    <w:r>
                      <w:rPr>
                        <w:rFonts w:ascii="Trebuchet MS"/>
                        <w:b/>
                        <w:color w:val="FFFFFF"/>
                        <w:spacing w:val="-5"/>
                        <w:w w:val="105"/>
                        <w:sz w:val="24"/>
                      </w:rPr>
                      <w:t>140</w:t>
                    </w:r>
                    <w:r>
                      <w:rPr>
                        <w:rFonts w:ascii="Trebuchet MS"/>
                        <w:b/>
                        <w:color w:val="FFFFFF"/>
                        <w:spacing w:val="-5"/>
                        <w:w w:val="105"/>
                        <w:sz w:val="24"/>
                      </w:rPr>
                      <w:fldChar w:fldCharType="end"/>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01536">
              <wp:simplePos x="0" y="0"/>
              <wp:positionH relativeFrom="page">
                <wp:posOffset>0</wp:posOffset>
              </wp:positionH>
              <wp:positionV relativeFrom="page">
                <wp:posOffset>315010</wp:posOffset>
              </wp:positionV>
              <wp:extent cx="7560309" cy="467995"/>
              <wp:effectExtent l="0" t="0" r="0" b="0"/>
              <wp:wrapNone/>
              <wp:docPr id="542" name="Group 542"/>
              <wp:cNvGraphicFramePr>
                <a:graphicFrameLocks/>
              </wp:cNvGraphicFramePr>
              <a:graphic>
                <a:graphicData uri="http://schemas.microsoft.com/office/word/2010/wordprocessingGroup">
                  <wpg:wgp>
                    <wpg:cNvPr id="542" name="Group 542"/>
                    <wpg:cNvGrpSpPr/>
                    <wpg:grpSpPr>
                      <a:xfrm>
                        <a:off x="0" y="0"/>
                        <a:ext cx="7560309" cy="467995"/>
                        <a:chExt cx="7560309" cy="467995"/>
                      </a:xfrm>
                    </wpg:grpSpPr>
                    <wps:wsp>
                      <wps:cNvPr id="543" name="Graphic 543"/>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544" name="Graphic 544"/>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14944" id="docshapegroup487" coordorigin="0,496" coordsize="11906,737">
              <v:rect style="position:absolute;left:0;top:496;width:11906;height:737" id="docshape488" filled="true" fillcolor="#67287f" stroked="false">
                <v:fill type="solid"/>
              </v:rect>
              <v:rect style="position:absolute;left:0;top:496;width:1134;height:737" id="docshape489"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802048">
              <wp:simplePos x="0" y="0"/>
              <wp:positionH relativeFrom="page">
                <wp:posOffset>808099</wp:posOffset>
              </wp:positionH>
              <wp:positionV relativeFrom="page">
                <wp:posOffset>380352</wp:posOffset>
              </wp:positionV>
              <wp:extent cx="3020060" cy="355600"/>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14432" type="#_x0000_t202" id="docshape490"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802560">
              <wp:simplePos x="0" y="0"/>
              <wp:positionH relativeFrom="page">
                <wp:posOffset>191828</wp:posOffset>
              </wp:positionH>
              <wp:positionV relativeFrom="page">
                <wp:posOffset>466751</wp:posOffset>
              </wp:positionV>
              <wp:extent cx="349250" cy="177800"/>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a:off x="0" y="0"/>
                        <a:ext cx="349250"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129</w:t>
                          </w:r>
                          <w:r>
                            <w:rPr>
                              <w:rFonts w:ascii="Tahoma"/>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15.1046pt;margin-top:36.752117pt;width:27.5pt;height:14pt;mso-position-horizontal-relative:page;mso-position-vertical-relative:page;z-index:-18513920" type="#_x0000_t202" id="docshape491" filled="false" stroked="false">
              <v:textbox inset="0,0,0,0">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129</w:t>
                    </w:r>
                    <w:r>
                      <w:rPr>
                        <w:rFonts w:ascii="Tahoma"/>
                        <w:b/>
                        <w:color w:val="FFFFFF"/>
                        <w:spacing w:val="-5"/>
                        <w:sz w:val="24"/>
                      </w:rPr>
                      <w:fldChar w:fldCharType="end"/>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04096">
              <wp:simplePos x="0" y="0"/>
              <wp:positionH relativeFrom="page">
                <wp:posOffset>0</wp:posOffset>
              </wp:positionH>
              <wp:positionV relativeFrom="page">
                <wp:posOffset>315010</wp:posOffset>
              </wp:positionV>
              <wp:extent cx="7560309" cy="467995"/>
              <wp:effectExtent l="0" t="0" r="0" b="0"/>
              <wp:wrapNone/>
              <wp:docPr id="570" name="Group 570"/>
              <wp:cNvGraphicFramePr>
                <a:graphicFrameLocks/>
              </wp:cNvGraphicFramePr>
              <a:graphic>
                <a:graphicData uri="http://schemas.microsoft.com/office/word/2010/wordprocessingGroup">
                  <wpg:wgp>
                    <wpg:cNvPr id="570" name="Group 570"/>
                    <wpg:cNvGrpSpPr/>
                    <wpg:grpSpPr>
                      <a:xfrm>
                        <a:off x="0" y="0"/>
                        <a:ext cx="7560309" cy="467995"/>
                        <a:chExt cx="7560309" cy="467995"/>
                      </a:xfrm>
                    </wpg:grpSpPr>
                    <wps:wsp>
                      <wps:cNvPr id="571" name="Graphic 571"/>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572" name="Graphic 572"/>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12384" id="docshapegroup515" coordorigin="0,496" coordsize="11906,737">
              <v:rect style="position:absolute;left:0;top:496;width:11906;height:737" id="docshape516" filled="true" fillcolor="#67287f" stroked="false">
                <v:fill type="solid"/>
              </v:rect>
              <v:rect style="position:absolute;left:0;top:496;width:1134;height:737" id="docshape517"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804608">
              <wp:simplePos x="0" y="0"/>
              <wp:positionH relativeFrom="page">
                <wp:posOffset>808099</wp:posOffset>
              </wp:positionH>
              <wp:positionV relativeFrom="page">
                <wp:posOffset>380352</wp:posOffset>
              </wp:positionV>
              <wp:extent cx="3020060" cy="355600"/>
              <wp:effectExtent l="0" t="0" r="0" b="0"/>
              <wp:wrapNone/>
              <wp:docPr id="573" name="Textbox 573"/>
              <wp:cNvGraphicFramePr>
                <a:graphicFrameLocks/>
              </wp:cNvGraphicFramePr>
              <a:graphic>
                <a:graphicData uri="http://schemas.microsoft.com/office/word/2010/wordprocessingShape">
                  <wps:wsp>
                    <wps:cNvPr id="573" name="Textbox 573"/>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11872" type="#_x0000_t202" id="docshape518"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805120">
              <wp:simplePos x="0" y="0"/>
              <wp:positionH relativeFrom="page">
                <wp:posOffset>205085</wp:posOffset>
              </wp:positionH>
              <wp:positionV relativeFrom="page">
                <wp:posOffset>466751</wp:posOffset>
              </wp:positionV>
              <wp:extent cx="322580" cy="177800"/>
              <wp:effectExtent l="0" t="0" r="0" b="0"/>
              <wp:wrapNone/>
              <wp:docPr id="574" name="Textbox 574"/>
              <wp:cNvGraphicFramePr>
                <a:graphicFrameLocks/>
              </wp:cNvGraphicFramePr>
              <a:graphic>
                <a:graphicData uri="http://schemas.microsoft.com/office/word/2010/wordprocessingShape">
                  <wps:wsp>
                    <wps:cNvPr id="574" name="Textbox 574"/>
                    <wps:cNvSpPr txBox="1"/>
                    <wps:spPr>
                      <a:xfrm>
                        <a:off x="0" y="0"/>
                        <a:ext cx="322580"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w w:val="90"/>
                              <w:sz w:val="24"/>
                            </w:rPr>
                            <w:fldChar w:fldCharType="begin"/>
                          </w:r>
                          <w:r>
                            <w:rPr>
                              <w:rFonts w:ascii="Tahoma"/>
                              <w:b/>
                              <w:color w:val="FFFFFF"/>
                              <w:spacing w:val="-5"/>
                              <w:w w:val="90"/>
                              <w:sz w:val="24"/>
                            </w:rPr>
                            <w:instrText> PAGE </w:instrText>
                          </w:r>
                          <w:r>
                            <w:rPr>
                              <w:rFonts w:ascii="Tahoma"/>
                              <w:b/>
                              <w:color w:val="FFFFFF"/>
                              <w:spacing w:val="-5"/>
                              <w:w w:val="90"/>
                              <w:sz w:val="24"/>
                            </w:rPr>
                            <w:fldChar w:fldCharType="separate"/>
                          </w:r>
                          <w:r>
                            <w:rPr>
                              <w:rFonts w:ascii="Tahoma"/>
                              <w:b/>
                              <w:color w:val="FFFFFF"/>
                              <w:spacing w:val="-5"/>
                              <w:w w:val="90"/>
                              <w:sz w:val="24"/>
                            </w:rPr>
                            <w:t>141</w:t>
                          </w:r>
                          <w:r>
                            <w:rPr>
                              <w:rFonts w:ascii="Tahoma"/>
                              <w:b/>
                              <w:color w:val="FFFFFF"/>
                              <w:spacing w:val="-5"/>
                              <w:w w:val="90"/>
                              <w:sz w:val="24"/>
                            </w:rPr>
                            <w:fldChar w:fldCharType="end"/>
                          </w:r>
                        </w:p>
                      </w:txbxContent>
                    </wps:txbx>
                    <wps:bodyPr wrap="square" lIns="0" tIns="0" rIns="0" bIns="0" rtlCol="0">
                      <a:noAutofit/>
                    </wps:bodyPr>
                  </wps:wsp>
                </a:graphicData>
              </a:graphic>
            </wp:anchor>
          </w:drawing>
        </mc:Choice>
        <mc:Fallback>
          <w:pict>
            <v:shape style="position:absolute;margin-left:16.148500pt;margin-top:36.752117pt;width:25.4pt;height:14pt;mso-position-horizontal-relative:page;mso-position-vertical-relative:page;z-index:-18511360" type="#_x0000_t202" id="docshape519" filled="false" stroked="false">
              <v:textbox inset="0,0,0,0">
                <w:txbxContent>
                  <w:p>
                    <w:pPr>
                      <w:spacing w:line="266" w:lineRule="exact" w:before="0"/>
                      <w:ind w:left="60" w:right="0" w:firstLine="0"/>
                      <w:jc w:val="left"/>
                      <w:rPr>
                        <w:rFonts w:ascii="Tahoma"/>
                        <w:b/>
                        <w:sz w:val="24"/>
                      </w:rPr>
                    </w:pPr>
                    <w:r>
                      <w:rPr>
                        <w:rFonts w:ascii="Tahoma"/>
                        <w:b/>
                        <w:color w:val="FFFFFF"/>
                        <w:spacing w:val="-5"/>
                        <w:w w:val="90"/>
                        <w:sz w:val="24"/>
                      </w:rPr>
                      <w:fldChar w:fldCharType="begin"/>
                    </w:r>
                    <w:r>
                      <w:rPr>
                        <w:rFonts w:ascii="Tahoma"/>
                        <w:b/>
                        <w:color w:val="FFFFFF"/>
                        <w:spacing w:val="-5"/>
                        <w:w w:val="90"/>
                        <w:sz w:val="24"/>
                      </w:rPr>
                      <w:instrText> PAGE </w:instrText>
                    </w:r>
                    <w:r>
                      <w:rPr>
                        <w:rFonts w:ascii="Tahoma"/>
                        <w:b/>
                        <w:color w:val="FFFFFF"/>
                        <w:spacing w:val="-5"/>
                        <w:w w:val="90"/>
                        <w:sz w:val="24"/>
                      </w:rPr>
                      <w:fldChar w:fldCharType="separate"/>
                    </w:r>
                    <w:r>
                      <w:rPr>
                        <w:rFonts w:ascii="Tahoma"/>
                        <w:b/>
                        <w:color w:val="FFFFFF"/>
                        <w:spacing w:val="-5"/>
                        <w:w w:val="90"/>
                        <w:sz w:val="24"/>
                      </w:rPr>
                      <w:t>141</w:t>
                    </w:r>
                    <w:r>
                      <w:rPr>
                        <w:rFonts w:ascii="Tahoma"/>
                        <w:b/>
                        <w:color w:val="FFFFFF"/>
                        <w:spacing w:val="-5"/>
                        <w:w w:val="90"/>
                        <w:sz w:val="24"/>
                      </w:rPr>
                      <w:fldChar w:fldCharType="end"/>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05632">
              <wp:simplePos x="0" y="0"/>
              <wp:positionH relativeFrom="page">
                <wp:posOffset>0</wp:posOffset>
              </wp:positionH>
              <wp:positionV relativeFrom="page">
                <wp:posOffset>315010</wp:posOffset>
              </wp:positionV>
              <wp:extent cx="7560309" cy="467995"/>
              <wp:effectExtent l="0" t="0" r="0" b="0"/>
              <wp:wrapNone/>
              <wp:docPr id="575" name="Group 575"/>
              <wp:cNvGraphicFramePr>
                <a:graphicFrameLocks/>
              </wp:cNvGraphicFramePr>
              <a:graphic>
                <a:graphicData uri="http://schemas.microsoft.com/office/word/2010/wordprocessingGroup">
                  <wpg:wgp>
                    <wpg:cNvPr id="575" name="Group 575"/>
                    <wpg:cNvGrpSpPr/>
                    <wpg:grpSpPr>
                      <a:xfrm>
                        <a:off x="0" y="0"/>
                        <a:ext cx="7560309" cy="467995"/>
                        <a:chExt cx="7560309" cy="467995"/>
                      </a:xfrm>
                    </wpg:grpSpPr>
                    <wps:wsp>
                      <wps:cNvPr id="576" name="Graphic 576"/>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577" name="Graphic 577"/>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10848" id="docshapegroup520" coordorigin="0,496" coordsize="11906,737">
              <v:rect style="position:absolute;left:0;top:496;width:11906;height:737" id="docshape521" filled="true" fillcolor="#67287f" stroked="false">
                <v:fill type="solid"/>
              </v:rect>
              <v:rect style="position:absolute;left:10771;top:496;width:1134;height:737" id="docshape522"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806144">
              <wp:simplePos x="0" y="0"/>
              <wp:positionH relativeFrom="page">
                <wp:posOffset>7029770</wp:posOffset>
              </wp:positionH>
              <wp:positionV relativeFrom="page">
                <wp:posOffset>449717</wp:posOffset>
              </wp:positionV>
              <wp:extent cx="353695" cy="194310"/>
              <wp:effectExtent l="0" t="0" r="0" b="0"/>
              <wp:wrapNone/>
              <wp:docPr id="578" name="Textbox 578"/>
              <wp:cNvGraphicFramePr>
                <a:graphicFrameLocks/>
              </wp:cNvGraphicFramePr>
              <a:graphic>
                <a:graphicData uri="http://schemas.microsoft.com/office/word/2010/wordprocessingShape">
                  <wps:wsp>
                    <wps:cNvPr id="578" name="Textbox 578"/>
                    <wps:cNvSpPr txBox="1"/>
                    <wps:spPr>
                      <a:xfrm>
                        <a:off x="0" y="0"/>
                        <a:ext cx="353695"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sz w:val="24"/>
                            </w:rPr>
                            <w:fldChar w:fldCharType="begin"/>
                          </w:r>
                          <w:r>
                            <w:rPr>
                              <w:rFonts w:ascii="Trebuchet MS"/>
                              <w:b/>
                              <w:color w:val="FFFFFF"/>
                              <w:spacing w:val="-5"/>
                              <w:sz w:val="24"/>
                            </w:rPr>
                            <w:instrText> PAGE </w:instrText>
                          </w:r>
                          <w:r>
                            <w:rPr>
                              <w:rFonts w:ascii="Trebuchet MS"/>
                              <w:b/>
                              <w:color w:val="FFFFFF"/>
                              <w:spacing w:val="-5"/>
                              <w:sz w:val="24"/>
                            </w:rPr>
                            <w:fldChar w:fldCharType="separate"/>
                          </w:r>
                          <w:r>
                            <w:rPr>
                              <w:rFonts w:ascii="Trebuchet MS"/>
                              <w:b/>
                              <w:color w:val="FFFFFF"/>
                              <w:spacing w:val="-5"/>
                              <w:sz w:val="24"/>
                            </w:rPr>
                            <w:t>142</w:t>
                          </w:r>
                          <w:r>
                            <w:rPr>
                              <w:rFonts w:ascii="Trebuchet MS"/>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553.525208pt;margin-top:35.410816pt;width:27.85pt;height:15.3pt;mso-position-horizontal-relative:page;mso-position-vertical-relative:page;z-index:-18510336" type="#_x0000_t202" id="docshape523" filled="false" stroked="false">
              <v:textbox inset="0,0,0,0">
                <w:txbxContent>
                  <w:p>
                    <w:pPr>
                      <w:spacing w:before="18"/>
                      <w:ind w:left="60" w:right="0" w:firstLine="0"/>
                      <w:jc w:val="left"/>
                      <w:rPr>
                        <w:rFonts w:ascii="Trebuchet MS"/>
                        <w:b/>
                        <w:sz w:val="24"/>
                      </w:rPr>
                    </w:pPr>
                    <w:r>
                      <w:rPr>
                        <w:rFonts w:ascii="Trebuchet MS"/>
                        <w:b/>
                        <w:color w:val="FFFFFF"/>
                        <w:spacing w:val="-5"/>
                        <w:sz w:val="24"/>
                      </w:rPr>
                      <w:fldChar w:fldCharType="begin"/>
                    </w:r>
                    <w:r>
                      <w:rPr>
                        <w:rFonts w:ascii="Trebuchet MS"/>
                        <w:b/>
                        <w:color w:val="FFFFFF"/>
                        <w:spacing w:val="-5"/>
                        <w:sz w:val="24"/>
                      </w:rPr>
                      <w:instrText> PAGE </w:instrText>
                    </w:r>
                    <w:r>
                      <w:rPr>
                        <w:rFonts w:ascii="Trebuchet MS"/>
                        <w:b/>
                        <w:color w:val="FFFFFF"/>
                        <w:spacing w:val="-5"/>
                        <w:sz w:val="24"/>
                      </w:rPr>
                      <w:fldChar w:fldCharType="separate"/>
                    </w:r>
                    <w:r>
                      <w:rPr>
                        <w:rFonts w:ascii="Trebuchet MS"/>
                        <w:b/>
                        <w:color w:val="FFFFFF"/>
                        <w:spacing w:val="-5"/>
                        <w:sz w:val="24"/>
                      </w:rPr>
                      <w:t>142</w:t>
                    </w:r>
                    <w:r>
                      <w:rPr>
                        <w:rFonts w:ascii="Trebuchet MS"/>
                        <w:b/>
                        <w:color w:val="FFFFFF"/>
                        <w:spacing w:val="-5"/>
                        <w:sz w:val="24"/>
                      </w:rPr>
                      <w:fldChar w:fldCharType="end"/>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07680">
              <wp:simplePos x="0" y="0"/>
              <wp:positionH relativeFrom="page">
                <wp:posOffset>0</wp:posOffset>
              </wp:positionH>
              <wp:positionV relativeFrom="page">
                <wp:posOffset>315010</wp:posOffset>
              </wp:positionV>
              <wp:extent cx="7560309" cy="467995"/>
              <wp:effectExtent l="0" t="0" r="0" b="0"/>
              <wp:wrapNone/>
              <wp:docPr id="585" name="Group 585"/>
              <wp:cNvGraphicFramePr>
                <a:graphicFrameLocks/>
              </wp:cNvGraphicFramePr>
              <a:graphic>
                <a:graphicData uri="http://schemas.microsoft.com/office/word/2010/wordprocessingGroup">
                  <wpg:wgp>
                    <wpg:cNvPr id="585" name="Group 585"/>
                    <wpg:cNvGrpSpPr/>
                    <wpg:grpSpPr>
                      <a:xfrm>
                        <a:off x="0" y="0"/>
                        <a:ext cx="7560309" cy="467995"/>
                        <a:chExt cx="7560309" cy="467995"/>
                      </a:xfrm>
                    </wpg:grpSpPr>
                    <wps:wsp>
                      <wps:cNvPr id="586" name="Graphic 586"/>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587" name="Graphic 587"/>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08800" id="docshapegroup530" coordorigin="0,496" coordsize="11906,737">
              <v:rect style="position:absolute;left:0;top:496;width:11906;height:737" id="docshape531" filled="true" fillcolor="#67287f" stroked="false">
                <v:fill type="solid"/>
              </v:rect>
              <v:rect style="position:absolute;left:0;top:496;width:1134;height:737" id="docshape532"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808192">
              <wp:simplePos x="0" y="0"/>
              <wp:positionH relativeFrom="page">
                <wp:posOffset>808099</wp:posOffset>
              </wp:positionH>
              <wp:positionV relativeFrom="page">
                <wp:posOffset>380352</wp:posOffset>
              </wp:positionV>
              <wp:extent cx="3020060" cy="355600"/>
              <wp:effectExtent l="0" t="0" r="0" b="0"/>
              <wp:wrapNone/>
              <wp:docPr id="588" name="Textbox 588"/>
              <wp:cNvGraphicFramePr>
                <a:graphicFrameLocks/>
              </wp:cNvGraphicFramePr>
              <a:graphic>
                <a:graphicData uri="http://schemas.microsoft.com/office/word/2010/wordprocessingShape">
                  <wps:wsp>
                    <wps:cNvPr id="588" name="Textbox 588"/>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08288" type="#_x0000_t202" id="docshape533"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808704">
              <wp:simplePos x="0" y="0"/>
              <wp:positionH relativeFrom="page">
                <wp:posOffset>189922</wp:posOffset>
              </wp:positionH>
              <wp:positionV relativeFrom="page">
                <wp:posOffset>466751</wp:posOffset>
              </wp:positionV>
              <wp:extent cx="353060" cy="177800"/>
              <wp:effectExtent l="0" t="0" r="0" b="0"/>
              <wp:wrapNone/>
              <wp:docPr id="589" name="Textbox 589"/>
              <wp:cNvGraphicFramePr>
                <a:graphicFrameLocks/>
              </wp:cNvGraphicFramePr>
              <a:graphic>
                <a:graphicData uri="http://schemas.microsoft.com/office/word/2010/wordprocessingShape">
                  <wps:wsp>
                    <wps:cNvPr id="589" name="Textbox 589"/>
                    <wps:cNvSpPr txBox="1"/>
                    <wps:spPr>
                      <a:xfrm>
                        <a:off x="0" y="0"/>
                        <a:ext cx="353060"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143</w:t>
                          </w:r>
                          <w:r>
                            <w:rPr>
                              <w:rFonts w:ascii="Tahoma"/>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14.9545pt;margin-top:36.752117pt;width:27.8pt;height:14pt;mso-position-horizontal-relative:page;mso-position-vertical-relative:page;z-index:-18507776" type="#_x0000_t202" id="docshape534" filled="false" stroked="false">
              <v:textbox inset="0,0,0,0">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143</w:t>
                    </w:r>
                    <w:r>
                      <w:rPr>
                        <w:rFonts w:ascii="Tahoma"/>
                        <w:b/>
                        <w:color w:val="FFFFFF"/>
                        <w:spacing w:val="-5"/>
                        <w:sz w:val="24"/>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20640">
              <wp:simplePos x="0" y="0"/>
              <wp:positionH relativeFrom="page">
                <wp:posOffset>0</wp:posOffset>
              </wp:positionH>
              <wp:positionV relativeFrom="page">
                <wp:posOffset>315010</wp:posOffset>
              </wp:positionV>
              <wp:extent cx="7560309" cy="467995"/>
              <wp:effectExtent l="0" t="0" r="0" b="0"/>
              <wp:wrapNone/>
              <wp:docPr id="159" name="Group 159"/>
              <wp:cNvGraphicFramePr>
                <a:graphicFrameLocks/>
              </wp:cNvGraphicFramePr>
              <a:graphic>
                <a:graphicData uri="http://schemas.microsoft.com/office/word/2010/wordprocessingGroup">
                  <wpg:wgp>
                    <wpg:cNvPr id="159" name="Group 159"/>
                    <wpg:cNvGrpSpPr/>
                    <wpg:grpSpPr>
                      <a:xfrm>
                        <a:off x="0" y="0"/>
                        <a:ext cx="7560309" cy="467995"/>
                        <a:chExt cx="7560309" cy="467995"/>
                      </a:xfrm>
                    </wpg:grpSpPr>
                    <wps:wsp>
                      <wps:cNvPr id="160" name="Graphic 160"/>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161" name="Graphic 161"/>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95840" id="docshapegroup116" coordorigin="0,496" coordsize="11906,737">
              <v:rect style="position:absolute;left:0;top:496;width:11906;height:737" id="docshape117" filled="true" fillcolor="#67287f" stroked="false">
                <v:fill type="solid"/>
              </v:rect>
              <v:rect style="position:absolute;left:10771;top:496;width:1134;height:737" id="docshape118"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21152">
              <wp:simplePos x="0" y="0"/>
              <wp:positionH relativeFrom="page">
                <wp:posOffset>7053773</wp:posOffset>
              </wp:positionH>
              <wp:positionV relativeFrom="page">
                <wp:posOffset>449717</wp:posOffset>
              </wp:positionV>
              <wp:extent cx="305435" cy="19431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305435"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w w:val="120"/>
                              <w:sz w:val="24"/>
                            </w:rPr>
                            <w:fldChar w:fldCharType="begin"/>
                          </w:r>
                          <w:r>
                            <w:rPr>
                              <w:rFonts w:ascii="Trebuchet MS"/>
                              <w:b/>
                              <w:color w:val="FFFFFF"/>
                              <w:spacing w:val="-5"/>
                              <w:w w:val="120"/>
                              <w:sz w:val="24"/>
                            </w:rPr>
                            <w:instrText> PAGE </w:instrText>
                          </w:r>
                          <w:r>
                            <w:rPr>
                              <w:rFonts w:ascii="Trebuchet MS"/>
                              <w:b/>
                              <w:color w:val="FFFFFF"/>
                              <w:spacing w:val="-5"/>
                              <w:w w:val="120"/>
                              <w:sz w:val="24"/>
                            </w:rPr>
                            <w:fldChar w:fldCharType="separate"/>
                          </w:r>
                          <w:r>
                            <w:rPr>
                              <w:rFonts w:ascii="Trebuchet MS"/>
                              <w:b/>
                              <w:color w:val="FFFFFF"/>
                              <w:spacing w:val="-5"/>
                              <w:w w:val="120"/>
                              <w:sz w:val="24"/>
                            </w:rPr>
                            <w:t>40</w:t>
                          </w:r>
                          <w:r>
                            <w:rPr>
                              <w:rFonts w:ascii="Trebuchet MS"/>
                              <w:b/>
                              <w:color w:val="FFFFFF"/>
                              <w:spacing w:val="-5"/>
                              <w:w w:val="120"/>
                              <w:sz w:val="24"/>
                            </w:rPr>
                            <w:fldChar w:fldCharType="end"/>
                          </w:r>
                        </w:p>
                      </w:txbxContent>
                    </wps:txbx>
                    <wps:bodyPr wrap="square" lIns="0" tIns="0" rIns="0" bIns="0" rtlCol="0">
                      <a:noAutofit/>
                    </wps:bodyPr>
                  </wps:wsp>
                </a:graphicData>
              </a:graphic>
            </wp:anchor>
          </w:drawing>
        </mc:Choice>
        <mc:Fallback>
          <w:pict>
            <v:shape style="position:absolute;margin-left:555.415222pt;margin-top:35.410816pt;width:24.05pt;height:15.3pt;mso-position-horizontal-relative:page;mso-position-vertical-relative:page;z-index:-18595328" type="#_x0000_t202" id="docshape119" filled="false" stroked="false">
              <v:textbox inset="0,0,0,0">
                <w:txbxContent>
                  <w:p>
                    <w:pPr>
                      <w:spacing w:before="18"/>
                      <w:ind w:left="60" w:right="0" w:firstLine="0"/>
                      <w:jc w:val="left"/>
                      <w:rPr>
                        <w:rFonts w:ascii="Trebuchet MS"/>
                        <w:b/>
                        <w:sz w:val="24"/>
                      </w:rPr>
                    </w:pPr>
                    <w:r>
                      <w:rPr>
                        <w:rFonts w:ascii="Trebuchet MS"/>
                        <w:b/>
                        <w:color w:val="FFFFFF"/>
                        <w:spacing w:val="-5"/>
                        <w:w w:val="120"/>
                        <w:sz w:val="24"/>
                      </w:rPr>
                      <w:fldChar w:fldCharType="begin"/>
                    </w:r>
                    <w:r>
                      <w:rPr>
                        <w:rFonts w:ascii="Trebuchet MS"/>
                        <w:b/>
                        <w:color w:val="FFFFFF"/>
                        <w:spacing w:val="-5"/>
                        <w:w w:val="120"/>
                        <w:sz w:val="24"/>
                      </w:rPr>
                      <w:instrText> PAGE </w:instrText>
                    </w:r>
                    <w:r>
                      <w:rPr>
                        <w:rFonts w:ascii="Trebuchet MS"/>
                        <w:b/>
                        <w:color w:val="FFFFFF"/>
                        <w:spacing w:val="-5"/>
                        <w:w w:val="120"/>
                        <w:sz w:val="24"/>
                      </w:rPr>
                      <w:fldChar w:fldCharType="separate"/>
                    </w:r>
                    <w:r>
                      <w:rPr>
                        <w:rFonts w:ascii="Trebuchet MS"/>
                        <w:b/>
                        <w:color w:val="FFFFFF"/>
                        <w:spacing w:val="-5"/>
                        <w:w w:val="120"/>
                        <w:sz w:val="24"/>
                      </w:rPr>
                      <w:t>40</w:t>
                    </w:r>
                    <w:r>
                      <w:rPr>
                        <w:rFonts w:ascii="Trebuchet MS"/>
                        <w:b/>
                        <w:color w:val="FFFFFF"/>
                        <w:spacing w:val="-5"/>
                        <w:w w:val="120"/>
                        <w:sz w:val="24"/>
                      </w:rPr>
                      <w:fldChar w:fldCharType="end"/>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09216">
              <wp:simplePos x="0" y="0"/>
              <wp:positionH relativeFrom="page">
                <wp:posOffset>0</wp:posOffset>
              </wp:positionH>
              <wp:positionV relativeFrom="page">
                <wp:posOffset>315010</wp:posOffset>
              </wp:positionV>
              <wp:extent cx="7560309" cy="467995"/>
              <wp:effectExtent l="0" t="0" r="0" b="0"/>
              <wp:wrapNone/>
              <wp:docPr id="590" name="Group 590"/>
              <wp:cNvGraphicFramePr>
                <a:graphicFrameLocks/>
              </wp:cNvGraphicFramePr>
              <a:graphic>
                <a:graphicData uri="http://schemas.microsoft.com/office/word/2010/wordprocessingGroup">
                  <wpg:wgp>
                    <wpg:cNvPr id="590" name="Group 590"/>
                    <wpg:cNvGrpSpPr/>
                    <wpg:grpSpPr>
                      <a:xfrm>
                        <a:off x="0" y="0"/>
                        <a:ext cx="7560309" cy="467995"/>
                        <a:chExt cx="7560309" cy="467995"/>
                      </a:xfrm>
                    </wpg:grpSpPr>
                    <wps:wsp>
                      <wps:cNvPr id="591" name="Graphic 591"/>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592" name="Graphic 592"/>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07264" id="docshapegroup535" coordorigin="0,496" coordsize="11906,737">
              <v:rect style="position:absolute;left:0;top:496;width:11906;height:737" id="docshape536" filled="true" fillcolor="#67287f" stroked="false">
                <v:fill type="solid"/>
              </v:rect>
              <v:rect style="position:absolute;left:10771;top:496;width:1134;height:737" id="docshape537"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809728">
              <wp:simplePos x="0" y="0"/>
              <wp:positionH relativeFrom="page">
                <wp:posOffset>7024740</wp:posOffset>
              </wp:positionH>
              <wp:positionV relativeFrom="page">
                <wp:posOffset>449717</wp:posOffset>
              </wp:positionV>
              <wp:extent cx="363220" cy="194310"/>
              <wp:effectExtent l="0" t="0" r="0" b="0"/>
              <wp:wrapNone/>
              <wp:docPr id="593" name="Textbox 593"/>
              <wp:cNvGraphicFramePr>
                <a:graphicFrameLocks/>
              </wp:cNvGraphicFramePr>
              <a:graphic>
                <a:graphicData uri="http://schemas.microsoft.com/office/word/2010/wordprocessingShape">
                  <wps:wsp>
                    <wps:cNvPr id="593" name="Textbox 593"/>
                    <wps:cNvSpPr txBox="1"/>
                    <wps:spPr>
                      <a:xfrm>
                        <a:off x="0" y="0"/>
                        <a:ext cx="363220"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sz w:val="24"/>
                            </w:rPr>
                            <w:fldChar w:fldCharType="begin"/>
                          </w:r>
                          <w:r>
                            <w:rPr>
                              <w:rFonts w:ascii="Trebuchet MS"/>
                              <w:b/>
                              <w:color w:val="FFFFFF"/>
                              <w:spacing w:val="-5"/>
                              <w:sz w:val="24"/>
                            </w:rPr>
                            <w:instrText> PAGE </w:instrText>
                          </w:r>
                          <w:r>
                            <w:rPr>
                              <w:rFonts w:ascii="Trebuchet MS"/>
                              <w:b/>
                              <w:color w:val="FFFFFF"/>
                              <w:spacing w:val="-5"/>
                              <w:sz w:val="24"/>
                            </w:rPr>
                            <w:fldChar w:fldCharType="separate"/>
                          </w:r>
                          <w:r>
                            <w:rPr>
                              <w:rFonts w:ascii="Trebuchet MS"/>
                              <w:b/>
                              <w:color w:val="FFFFFF"/>
                              <w:spacing w:val="-5"/>
                              <w:sz w:val="24"/>
                            </w:rPr>
                            <w:t>144</w:t>
                          </w:r>
                          <w:r>
                            <w:rPr>
                              <w:rFonts w:ascii="Trebuchet MS"/>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553.129211pt;margin-top:35.410816pt;width:28.6pt;height:15.3pt;mso-position-horizontal-relative:page;mso-position-vertical-relative:page;z-index:-18506752" type="#_x0000_t202" id="docshape538" filled="false" stroked="false">
              <v:textbox inset="0,0,0,0">
                <w:txbxContent>
                  <w:p>
                    <w:pPr>
                      <w:spacing w:before="18"/>
                      <w:ind w:left="60" w:right="0" w:firstLine="0"/>
                      <w:jc w:val="left"/>
                      <w:rPr>
                        <w:rFonts w:ascii="Trebuchet MS"/>
                        <w:b/>
                        <w:sz w:val="24"/>
                      </w:rPr>
                    </w:pPr>
                    <w:r>
                      <w:rPr>
                        <w:rFonts w:ascii="Trebuchet MS"/>
                        <w:b/>
                        <w:color w:val="FFFFFF"/>
                        <w:spacing w:val="-5"/>
                        <w:sz w:val="24"/>
                      </w:rPr>
                      <w:fldChar w:fldCharType="begin"/>
                    </w:r>
                    <w:r>
                      <w:rPr>
                        <w:rFonts w:ascii="Trebuchet MS"/>
                        <w:b/>
                        <w:color w:val="FFFFFF"/>
                        <w:spacing w:val="-5"/>
                        <w:sz w:val="24"/>
                      </w:rPr>
                      <w:instrText> PAGE </w:instrText>
                    </w:r>
                    <w:r>
                      <w:rPr>
                        <w:rFonts w:ascii="Trebuchet MS"/>
                        <w:b/>
                        <w:color w:val="FFFFFF"/>
                        <w:spacing w:val="-5"/>
                        <w:sz w:val="24"/>
                      </w:rPr>
                      <w:fldChar w:fldCharType="separate"/>
                    </w:r>
                    <w:r>
                      <w:rPr>
                        <w:rFonts w:ascii="Trebuchet MS"/>
                        <w:b/>
                        <w:color w:val="FFFFFF"/>
                        <w:spacing w:val="-5"/>
                        <w:sz w:val="24"/>
                      </w:rPr>
                      <w:t>144</w:t>
                    </w:r>
                    <w:r>
                      <w:rPr>
                        <w:rFonts w:ascii="Trebuchet MS"/>
                        <w:b/>
                        <w:color w:val="FFFFFF"/>
                        <w:spacing w:val="-5"/>
                        <w:sz w:val="24"/>
                      </w:rPr>
                      <w:fldChar w:fldCharType="end"/>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12800">
              <wp:simplePos x="0" y="0"/>
              <wp:positionH relativeFrom="page">
                <wp:posOffset>0</wp:posOffset>
              </wp:positionH>
              <wp:positionV relativeFrom="page">
                <wp:posOffset>315010</wp:posOffset>
              </wp:positionV>
              <wp:extent cx="7560309" cy="467995"/>
              <wp:effectExtent l="0" t="0" r="0" b="0"/>
              <wp:wrapNone/>
              <wp:docPr id="601" name="Group 601"/>
              <wp:cNvGraphicFramePr>
                <a:graphicFrameLocks/>
              </wp:cNvGraphicFramePr>
              <a:graphic>
                <a:graphicData uri="http://schemas.microsoft.com/office/word/2010/wordprocessingGroup">
                  <wpg:wgp>
                    <wpg:cNvPr id="601" name="Group 601"/>
                    <wpg:cNvGrpSpPr/>
                    <wpg:grpSpPr>
                      <a:xfrm>
                        <a:off x="0" y="0"/>
                        <a:ext cx="7560309" cy="467995"/>
                        <a:chExt cx="7560309" cy="467995"/>
                      </a:xfrm>
                    </wpg:grpSpPr>
                    <wps:wsp>
                      <wps:cNvPr id="602" name="Graphic 602"/>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603" name="Graphic 603"/>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03680" id="docshapegroup545" coordorigin="0,496" coordsize="11906,737">
              <v:rect style="position:absolute;left:0;top:496;width:11906;height:737" id="docshape546" filled="true" fillcolor="#67287f" stroked="false">
                <v:fill type="solid"/>
              </v:rect>
              <v:rect style="position:absolute;left:0;top:496;width:1134;height:737" id="docshape547"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813312">
              <wp:simplePos x="0" y="0"/>
              <wp:positionH relativeFrom="page">
                <wp:posOffset>808099</wp:posOffset>
              </wp:positionH>
              <wp:positionV relativeFrom="page">
                <wp:posOffset>380352</wp:posOffset>
              </wp:positionV>
              <wp:extent cx="3020060" cy="355600"/>
              <wp:effectExtent l="0" t="0" r="0" b="0"/>
              <wp:wrapNone/>
              <wp:docPr id="604" name="Textbox 604"/>
              <wp:cNvGraphicFramePr>
                <a:graphicFrameLocks/>
              </wp:cNvGraphicFramePr>
              <a:graphic>
                <a:graphicData uri="http://schemas.microsoft.com/office/word/2010/wordprocessingShape">
                  <wps:wsp>
                    <wps:cNvPr id="604" name="Textbox 604"/>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03168" type="#_x0000_t202" id="docshape548"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813824">
              <wp:simplePos x="0" y="0"/>
              <wp:positionH relativeFrom="page">
                <wp:posOffset>189236</wp:posOffset>
              </wp:positionH>
              <wp:positionV relativeFrom="page">
                <wp:posOffset>466751</wp:posOffset>
              </wp:positionV>
              <wp:extent cx="354330" cy="177800"/>
              <wp:effectExtent l="0" t="0" r="0" b="0"/>
              <wp:wrapNone/>
              <wp:docPr id="605" name="Textbox 605"/>
              <wp:cNvGraphicFramePr>
                <a:graphicFrameLocks/>
              </wp:cNvGraphicFramePr>
              <a:graphic>
                <a:graphicData uri="http://schemas.microsoft.com/office/word/2010/wordprocessingShape">
                  <wps:wsp>
                    <wps:cNvPr id="605" name="Textbox 605"/>
                    <wps:cNvSpPr txBox="1"/>
                    <wps:spPr>
                      <a:xfrm>
                        <a:off x="0" y="0"/>
                        <a:ext cx="354330"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145</w:t>
                          </w:r>
                          <w:r>
                            <w:rPr>
                              <w:rFonts w:ascii="Tahoma"/>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14.9005pt;margin-top:36.752117pt;width:27.9pt;height:14pt;mso-position-horizontal-relative:page;mso-position-vertical-relative:page;z-index:-18502656" type="#_x0000_t202" id="docshape549" filled="false" stroked="false">
              <v:textbox inset="0,0,0,0">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145</w:t>
                    </w:r>
                    <w:r>
                      <w:rPr>
                        <w:rFonts w:ascii="Tahoma"/>
                        <w:b/>
                        <w:color w:val="FFFFFF"/>
                        <w:spacing w:val="-5"/>
                        <w:sz w:val="24"/>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14336">
              <wp:simplePos x="0" y="0"/>
              <wp:positionH relativeFrom="page">
                <wp:posOffset>0</wp:posOffset>
              </wp:positionH>
              <wp:positionV relativeFrom="page">
                <wp:posOffset>315010</wp:posOffset>
              </wp:positionV>
              <wp:extent cx="7560309" cy="467995"/>
              <wp:effectExtent l="0" t="0" r="0" b="0"/>
              <wp:wrapNone/>
              <wp:docPr id="606" name="Group 606"/>
              <wp:cNvGraphicFramePr>
                <a:graphicFrameLocks/>
              </wp:cNvGraphicFramePr>
              <a:graphic>
                <a:graphicData uri="http://schemas.microsoft.com/office/word/2010/wordprocessingGroup">
                  <wpg:wgp>
                    <wpg:cNvPr id="606" name="Group 606"/>
                    <wpg:cNvGrpSpPr/>
                    <wpg:grpSpPr>
                      <a:xfrm>
                        <a:off x="0" y="0"/>
                        <a:ext cx="7560309" cy="467995"/>
                        <a:chExt cx="7560309" cy="467995"/>
                      </a:xfrm>
                    </wpg:grpSpPr>
                    <wps:wsp>
                      <wps:cNvPr id="607" name="Graphic 607"/>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608" name="Graphic 608"/>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02144" id="docshapegroup550" coordorigin="0,496" coordsize="11906,737">
              <v:rect style="position:absolute;left:0;top:496;width:11906;height:737" id="docshape551" filled="true" fillcolor="#67287f" stroked="false">
                <v:fill type="solid"/>
              </v:rect>
              <v:rect style="position:absolute;left:10771;top:496;width:1134;height:737" id="docshape552"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814848">
              <wp:simplePos x="0" y="0"/>
              <wp:positionH relativeFrom="page">
                <wp:posOffset>7026798</wp:posOffset>
              </wp:positionH>
              <wp:positionV relativeFrom="page">
                <wp:posOffset>449717</wp:posOffset>
              </wp:positionV>
              <wp:extent cx="359410" cy="194310"/>
              <wp:effectExtent l="0" t="0" r="0" b="0"/>
              <wp:wrapNone/>
              <wp:docPr id="609" name="Textbox 609"/>
              <wp:cNvGraphicFramePr>
                <a:graphicFrameLocks/>
              </wp:cNvGraphicFramePr>
              <a:graphic>
                <a:graphicData uri="http://schemas.microsoft.com/office/word/2010/wordprocessingShape">
                  <wps:wsp>
                    <wps:cNvPr id="609" name="Textbox 609"/>
                    <wps:cNvSpPr txBox="1"/>
                    <wps:spPr>
                      <a:xfrm>
                        <a:off x="0" y="0"/>
                        <a:ext cx="359410"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sz w:val="24"/>
                            </w:rPr>
                            <w:fldChar w:fldCharType="begin"/>
                          </w:r>
                          <w:r>
                            <w:rPr>
                              <w:rFonts w:ascii="Trebuchet MS"/>
                              <w:b/>
                              <w:color w:val="FFFFFF"/>
                              <w:spacing w:val="-5"/>
                              <w:sz w:val="24"/>
                            </w:rPr>
                            <w:instrText> PAGE </w:instrText>
                          </w:r>
                          <w:r>
                            <w:rPr>
                              <w:rFonts w:ascii="Trebuchet MS"/>
                              <w:b/>
                              <w:color w:val="FFFFFF"/>
                              <w:spacing w:val="-5"/>
                              <w:sz w:val="24"/>
                            </w:rPr>
                            <w:fldChar w:fldCharType="separate"/>
                          </w:r>
                          <w:r>
                            <w:rPr>
                              <w:rFonts w:ascii="Trebuchet MS"/>
                              <w:b/>
                              <w:color w:val="FFFFFF"/>
                              <w:spacing w:val="-5"/>
                              <w:sz w:val="24"/>
                            </w:rPr>
                            <w:t>146</w:t>
                          </w:r>
                          <w:r>
                            <w:rPr>
                              <w:rFonts w:ascii="Trebuchet MS"/>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553.291199pt;margin-top:35.410816pt;width:28.3pt;height:15.3pt;mso-position-horizontal-relative:page;mso-position-vertical-relative:page;z-index:-18501632" type="#_x0000_t202" id="docshape553" filled="false" stroked="false">
              <v:textbox inset="0,0,0,0">
                <w:txbxContent>
                  <w:p>
                    <w:pPr>
                      <w:spacing w:before="18"/>
                      <w:ind w:left="60" w:right="0" w:firstLine="0"/>
                      <w:jc w:val="left"/>
                      <w:rPr>
                        <w:rFonts w:ascii="Trebuchet MS"/>
                        <w:b/>
                        <w:sz w:val="24"/>
                      </w:rPr>
                    </w:pPr>
                    <w:r>
                      <w:rPr>
                        <w:rFonts w:ascii="Trebuchet MS"/>
                        <w:b/>
                        <w:color w:val="FFFFFF"/>
                        <w:spacing w:val="-5"/>
                        <w:sz w:val="24"/>
                      </w:rPr>
                      <w:fldChar w:fldCharType="begin"/>
                    </w:r>
                    <w:r>
                      <w:rPr>
                        <w:rFonts w:ascii="Trebuchet MS"/>
                        <w:b/>
                        <w:color w:val="FFFFFF"/>
                        <w:spacing w:val="-5"/>
                        <w:sz w:val="24"/>
                      </w:rPr>
                      <w:instrText> PAGE </w:instrText>
                    </w:r>
                    <w:r>
                      <w:rPr>
                        <w:rFonts w:ascii="Trebuchet MS"/>
                        <w:b/>
                        <w:color w:val="FFFFFF"/>
                        <w:spacing w:val="-5"/>
                        <w:sz w:val="24"/>
                      </w:rPr>
                      <w:fldChar w:fldCharType="separate"/>
                    </w:r>
                    <w:r>
                      <w:rPr>
                        <w:rFonts w:ascii="Trebuchet MS"/>
                        <w:b/>
                        <w:color w:val="FFFFFF"/>
                        <w:spacing w:val="-5"/>
                        <w:sz w:val="24"/>
                      </w:rPr>
                      <w:t>146</w:t>
                    </w:r>
                    <w:r>
                      <w:rPr>
                        <w:rFonts w:ascii="Trebuchet MS"/>
                        <w:b/>
                        <w:color w:val="FFFFFF"/>
                        <w:spacing w:val="-5"/>
                        <w:sz w:val="24"/>
                      </w:rPr>
                      <w:fldChar w:fldCharType="end"/>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17408">
              <wp:simplePos x="0" y="0"/>
              <wp:positionH relativeFrom="page">
                <wp:posOffset>0</wp:posOffset>
              </wp:positionH>
              <wp:positionV relativeFrom="page">
                <wp:posOffset>315010</wp:posOffset>
              </wp:positionV>
              <wp:extent cx="7560309" cy="467995"/>
              <wp:effectExtent l="0" t="0" r="0" b="0"/>
              <wp:wrapNone/>
              <wp:docPr id="620" name="Group 620"/>
              <wp:cNvGraphicFramePr>
                <a:graphicFrameLocks/>
              </wp:cNvGraphicFramePr>
              <a:graphic>
                <a:graphicData uri="http://schemas.microsoft.com/office/word/2010/wordprocessingGroup">
                  <wpg:wgp>
                    <wpg:cNvPr id="620" name="Group 620"/>
                    <wpg:cNvGrpSpPr/>
                    <wpg:grpSpPr>
                      <a:xfrm>
                        <a:off x="0" y="0"/>
                        <a:ext cx="7560309" cy="467995"/>
                        <a:chExt cx="7560309" cy="467995"/>
                      </a:xfrm>
                    </wpg:grpSpPr>
                    <wps:wsp>
                      <wps:cNvPr id="621" name="Graphic 621"/>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622" name="Graphic 622"/>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499072" id="docshapegroup564" coordorigin="0,496" coordsize="11906,737">
              <v:rect style="position:absolute;left:0;top:496;width:11906;height:737" id="docshape565" filled="true" fillcolor="#67287f" stroked="false">
                <v:fill type="solid"/>
              </v:rect>
              <v:rect style="position:absolute;left:10771;top:496;width:1134;height:737" id="docshape566"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817920">
              <wp:simplePos x="0" y="0"/>
              <wp:positionH relativeFrom="page">
                <wp:posOffset>7023674</wp:posOffset>
              </wp:positionH>
              <wp:positionV relativeFrom="page">
                <wp:posOffset>449717</wp:posOffset>
              </wp:positionV>
              <wp:extent cx="365760" cy="194310"/>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365760"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w w:val="105"/>
                              <w:sz w:val="24"/>
                            </w:rPr>
                            <w:fldChar w:fldCharType="begin"/>
                          </w:r>
                          <w:r>
                            <w:rPr>
                              <w:rFonts w:ascii="Trebuchet MS"/>
                              <w:b/>
                              <w:color w:val="FFFFFF"/>
                              <w:spacing w:val="-5"/>
                              <w:w w:val="105"/>
                              <w:sz w:val="24"/>
                            </w:rPr>
                            <w:instrText> PAGE </w:instrText>
                          </w:r>
                          <w:r>
                            <w:rPr>
                              <w:rFonts w:ascii="Trebuchet MS"/>
                              <w:b/>
                              <w:color w:val="FFFFFF"/>
                              <w:spacing w:val="-5"/>
                              <w:w w:val="105"/>
                              <w:sz w:val="24"/>
                            </w:rPr>
                            <w:fldChar w:fldCharType="separate"/>
                          </w:r>
                          <w:r>
                            <w:rPr>
                              <w:rFonts w:ascii="Trebuchet MS"/>
                              <w:b/>
                              <w:color w:val="FFFFFF"/>
                              <w:spacing w:val="-5"/>
                              <w:w w:val="105"/>
                              <w:sz w:val="24"/>
                            </w:rPr>
                            <w:t>160</w:t>
                          </w:r>
                          <w:r>
                            <w:rPr>
                              <w:rFonts w:ascii="Trebuchet MS"/>
                              <w:b/>
                              <w:color w:val="FFFFFF"/>
                              <w:spacing w:val="-5"/>
                              <w:w w:val="105"/>
                              <w:sz w:val="24"/>
                            </w:rPr>
                            <w:fldChar w:fldCharType="end"/>
                          </w:r>
                        </w:p>
                      </w:txbxContent>
                    </wps:txbx>
                    <wps:bodyPr wrap="square" lIns="0" tIns="0" rIns="0" bIns="0" rtlCol="0">
                      <a:noAutofit/>
                    </wps:bodyPr>
                  </wps:wsp>
                </a:graphicData>
              </a:graphic>
            </wp:anchor>
          </w:drawing>
        </mc:Choice>
        <mc:Fallback>
          <w:pict>
            <v:shape style="position:absolute;margin-left:553.045227pt;margin-top:35.410816pt;width:28.8pt;height:15.3pt;mso-position-horizontal-relative:page;mso-position-vertical-relative:page;z-index:-18498560" type="#_x0000_t202" id="docshape567" filled="false" stroked="false">
              <v:textbox inset="0,0,0,0">
                <w:txbxContent>
                  <w:p>
                    <w:pPr>
                      <w:spacing w:before="18"/>
                      <w:ind w:left="60" w:right="0" w:firstLine="0"/>
                      <w:jc w:val="left"/>
                      <w:rPr>
                        <w:rFonts w:ascii="Trebuchet MS"/>
                        <w:b/>
                        <w:sz w:val="24"/>
                      </w:rPr>
                    </w:pPr>
                    <w:r>
                      <w:rPr>
                        <w:rFonts w:ascii="Trebuchet MS"/>
                        <w:b/>
                        <w:color w:val="FFFFFF"/>
                        <w:spacing w:val="-5"/>
                        <w:w w:val="105"/>
                        <w:sz w:val="24"/>
                      </w:rPr>
                      <w:fldChar w:fldCharType="begin"/>
                    </w:r>
                    <w:r>
                      <w:rPr>
                        <w:rFonts w:ascii="Trebuchet MS"/>
                        <w:b/>
                        <w:color w:val="FFFFFF"/>
                        <w:spacing w:val="-5"/>
                        <w:w w:val="105"/>
                        <w:sz w:val="24"/>
                      </w:rPr>
                      <w:instrText> PAGE </w:instrText>
                    </w:r>
                    <w:r>
                      <w:rPr>
                        <w:rFonts w:ascii="Trebuchet MS"/>
                        <w:b/>
                        <w:color w:val="FFFFFF"/>
                        <w:spacing w:val="-5"/>
                        <w:w w:val="105"/>
                        <w:sz w:val="24"/>
                      </w:rPr>
                      <w:fldChar w:fldCharType="separate"/>
                    </w:r>
                    <w:r>
                      <w:rPr>
                        <w:rFonts w:ascii="Trebuchet MS"/>
                        <w:b/>
                        <w:color w:val="FFFFFF"/>
                        <w:spacing w:val="-5"/>
                        <w:w w:val="105"/>
                        <w:sz w:val="24"/>
                      </w:rPr>
                      <w:t>160</w:t>
                    </w:r>
                    <w:r>
                      <w:rPr>
                        <w:rFonts w:ascii="Trebuchet MS"/>
                        <w:b/>
                        <w:color w:val="FFFFFF"/>
                        <w:spacing w:val="-5"/>
                        <w:w w:val="105"/>
                        <w:sz w:val="24"/>
                      </w:rPr>
                      <w:fldChar w:fldCharType="end"/>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18432">
              <wp:simplePos x="0" y="0"/>
              <wp:positionH relativeFrom="page">
                <wp:posOffset>0</wp:posOffset>
              </wp:positionH>
              <wp:positionV relativeFrom="page">
                <wp:posOffset>315010</wp:posOffset>
              </wp:positionV>
              <wp:extent cx="7560309" cy="467995"/>
              <wp:effectExtent l="0" t="0" r="0" b="0"/>
              <wp:wrapNone/>
              <wp:docPr id="624" name="Group 624"/>
              <wp:cNvGraphicFramePr>
                <a:graphicFrameLocks/>
              </wp:cNvGraphicFramePr>
              <a:graphic>
                <a:graphicData uri="http://schemas.microsoft.com/office/word/2010/wordprocessingGroup">
                  <wpg:wgp>
                    <wpg:cNvPr id="624" name="Group 624"/>
                    <wpg:cNvGrpSpPr/>
                    <wpg:grpSpPr>
                      <a:xfrm>
                        <a:off x="0" y="0"/>
                        <a:ext cx="7560309" cy="467995"/>
                        <a:chExt cx="7560309" cy="467995"/>
                      </a:xfrm>
                    </wpg:grpSpPr>
                    <wps:wsp>
                      <wps:cNvPr id="625" name="Graphic 625"/>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626" name="Graphic 626"/>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498048" id="docshapegroup568" coordorigin="0,496" coordsize="11906,737">
              <v:rect style="position:absolute;left:0;top:496;width:11906;height:737" id="docshape569" filled="true" fillcolor="#67287f" stroked="false">
                <v:fill type="solid"/>
              </v:rect>
              <v:rect style="position:absolute;left:0;top:496;width:1134;height:737" id="docshape570"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818944">
              <wp:simplePos x="0" y="0"/>
              <wp:positionH relativeFrom="page">
                <wp:posOffset>808099</wp:posOffset>
              </wp:positionH>
              <wp:positionV relativeFrom="page">
                <wp:posOffset>380352</wp:posOffset>
              </wp:positionV>
              <wp:extent cx="3020060" cy="355600"/>
              <wp:effectExtent l="0" t="0" r="0" b="0"/>
              <wp:wrapNone/>
              <wp:docPr id="627" name="Textbox 627"/>
              <wp:cNvGraphicFramePr>
                <a:graphicFrameLocks/>
              </wp:cNvGraphicFramePr>
              <a:graphic>
                <a:graphicData uri="http://schemas.microsoft.com/office/word/2010/wordprocessingShape">
                  <wps:wsp>
                    <wps:cNvPr id="627" name="Textbox 627"/>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497536" type="#_x0000_t202" id="docshape571"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819456">
              <wp:simplePos x="0" y="0"/>
              <wp:positionH relativeFrom="page">
                <wp:posOffset>186797</wp:posOffset>
              </wp:positionH>
              <wp:positionV relativeFrom="page">
                <wp:posOffset>466751</wp:posOffset>
              </wp:positionV>
              <wp:extent cx="359410" cy="177800"/>
              <wp:effectExtent l="0" t="0" r="0" b="0"/>
              <wp:wrapNone/>
              <wp:docPr id="628" name="Textbox 628"/>
              <wp:cNvGraphicFramePr>
                <a:graphicFrameLocks/>
              </wp:cNvGraphicFramePr>
              <a:graphic>
                <a:graphicData uri="http://schemas.microsoft.com/office/word/2010/wordprocessingShape">
                  <wps:wsp>
                    <wps:cNvPr id="628" name="Textbox 628"/>
                    <wps:cNvSpPr txBox="1"/>
                    <wps:spPr>
                      <a:xfrm>
                        <a:off x="0" y="0"/>
                        <a:ext cx="359410"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149</w:t>
                          </w:r>
                          <w:r>
                            <w:rPr>
                              <w:rFonts w:ascii="Tahoma"/>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14.7085pt;margin-top:36.752117pt;width:28.3pt;height:14pt;mso-position-horizontal-relative:page;mso-position-vertical-relative:page;z-index:-18497024" type="#_x0000_t202" id="docshape572" filled="false" stroked="false">
              <v:textbox inset="0,0,0,0">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149</w:t>
                    </w:r>
                    <w:r>
                      <w:rPr>
                        <w:rFonts w:ascii="Tahoma"/>
                        <w:b/>
                        <w:color w:val="FFFFFF"/>
                        <w:spacing w:val="-5"/>
                        <w:sz w:val="24"/>
                      </w:rPr>
                      <w:fldChar w:fldCharType="end"/>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20992">
              <wp:simplePos x="0" y="0"/>
              <wp:positionH relativeFrom="page">
                <wp:posOffset>0</wp:posOffset>
              </wp:positionH>
              <wp:positionV relativeFrom="page">
                <wp:posOffset>315010</wp:posOffset>
              </wp:positionV>
              <wp:extent cx="7560309" cy="467995"/>
              <wp:effectExtent l="0" t="0" r="0" b="0"/>
              <wp:wrapNone/>
              <wp:docPr id="641" name="Group 641"/>
              <wp:cNvGraphicFramePr>
                <a:graphicFrameLocks/>
              </wp:cNvGraphicFramePr>
              <a:graphic>
                <a:graphicData uri="http://schemas.microsoft.com/office/word/2010/wordprocessingGroup">
                  <wpg:wgp>
                    <wpg:cNvPr id="641" name="Group 641"/>
                    <wpg:cNvGrpSpPr/>
                    <wpg:grpSpPr>
                      <a:xfrm>
                        <a:off x="0" y="0"/>
                        <a:ext cx="7560309" cy="467995"/>
                        <a:chExt cx="7560309" cy="467995"/>
                      </a:xfrm>
                    </wpg:grpSpPr>
                    <wps:wsp>
                      <wps:cNvPr id="642" name="Graphic 642"/>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643" name="Graphic 643"/>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495488" id="docshapegroup585" coordorigin="0,496" coordsize="11906,737">
              <v:rect style="position:absolute;left:0;top:496;width:11906;height:737" id="docshape586" filled="true" fillcolor="#67287f" stroked="false">
                <v:fill type="solid"/>
              </v:rect>
              <v:rect style="position:absolute;left:0;top:496;width:1134;height:737" id="docshape587"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821504">
              <wp:simplePos x="0" y="0"/>
              <wp:positionH relativeFrom="page">
                <wp:posOffset>808099</wp:posOffset>
              </wp:positionH>
              <wp:positionV relativeFrom="page">
                <wp:posOffset>380352</wp:posOffset>
              </wp:positionV>
              <wp:extent cx="3020060" cy="355600"/>
              <wp:effectExtent l="0" t="0" r="0" b="0"/>
              <wp:wrapNone/>
              <wp:docPr id="644" name="Textbox 644"/>
              <wp:cNvGraphicFramePr>
                <a:graphicFrameLocks/>
              </wp:cNvGraphicFramePr>
              <a:graphic>
                <a:graphicData uri="http://schemas.microsoft.com/office/word/2010/wordprocessingShape">
                  <wps:wsp>
                    <wps:cNvPr id="644" name="Textbox 644"/>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494976" type="#_x0000_t202" id="docshape588"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822016">
              <wp:simplePos x="0" y="0"/>
              <wp:positionH relativeFrom="page">
                <wp:posOffset>193733</wp:posOffset>
              </wp:positionH>
              <wp:positionV relativeFrom="page">
                <wp:posOffset>466751</wp:posOffset>
              </wp:positionV>
              <wp:extent cx="345440" cy="177800"/>
              <wp:effectExtent l="0" t="0" r="0" b="0"/>
              <wp:wrapNone/>
              <wp:docPr id="645" name="Textbox 645"/>
              <wp:cNvGraphicFramePr>
                <a:graphicFrameLocks/>
              </wp:cNvGraphicFramePr>
              <a:graphic>
                <a:graphicData uri="http://schemas.microsoft.com/office/word/2010/wordprocessingShape">
                  <wps:wsp>
                    <wps:cNvPr id="645" name="Textbox 645"/>
                    <wps:cNvSpPr txBox="1"/>
                    <wps:spPr>
                      <a:xfrm>
                        <a:off x="0" y="0"/>
                        <a:ext cx="345440"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155</w:t>
                          </w:r>
                          <w:r>
                            <w:rPr>
                              <w:rFonts w:ascii="Tahoma"/>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15.2546pt;margin-top:36.752117pt;width:27.2pt;height:14pt;mso-position-horizontal-relative:page;mso-position-vertical-relative:page;z-index:-18494464" type="#_x0000_t202" id="docshape589" filled="false" stroked="false">
              <v:textbox inset="0,0,0,0">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155</w:t>
                    </w:r>
                    <w:r>
                      <w:rPr>
                        <w:rFonts w:ascii="Tahoma"/>
                        <w:b/>
                        <w:color w:val="FFFFFF"/>
                        <w:spacing w:val="-5"/>
                        <w:sz w:val="24"/>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22528">
              <wp:simplePos x="0" y="0"/>
              <wp:positionH relativeFrom="page">
                <wp:posOffset>0</wp:posOffset>
              </wp:positionH>
              <wp:positionV relativeFrom="page">
                <wp:posOffset>315010</wp:posOffset>
              </wp:positionV>
              <wp:extent cx="7560309" cy="467995"/>
              <wp:effectExtent l="0" t="0" r="0" b="0"/>
              <wp:wrapNone/>
              <wp:docPr id="646" name="Group 646"/>
              <wp:cNvGraphicFramePr>
                <a:graphicFrameLocks/>
              </wp:cNvGraphicFramePr>
              <a:graphic>
                <a:graphicData uri="http://schemas.microsoft.com/office/word/2010/wordprocessingGroup">
                  <wpg:wgp>
                    <wpg:cNvPr id="646" name="Group 646"/>
                    <wpg:cNvGrpSpPr/>
                    <wpg:grpSpPr>
                      <a:xfrm>
                        <a:off x="0" y="0"/>
                        <a:ext cx="7560309" cy="467995"/>
                        <a:chExt cx="7560309" cy="467995"/>
                      </a:xfrm>
                    </wpg:grpSpPr>
                    <wps:wsp>
                      <wps:cNvPr id="647" name="Graphic 647"/>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648" name="Graphic 648"/>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493952" id="docshapegroup590" coordorigin="0,496" coordsize="11906,737">
              <v:rect style="position:absolute;left:0;top:496;width:11906;height:737" id="docshape591" filled="true" fillcolor="#67287f" stroked="false">
                <v:fill type="solid"/>
              </v:rect>
              <v:rect style="position:absolute;left:10771;top:496;width:1134;height:737" id="docshape592"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823040">
              <wp:simplePos x="0" y="0"/>
              <wp:positionH relativeFrom="page">
                <wp:posOffset>7031295</wp:posOffset>
              </wp:positionH>
              <wp:positionV relativeFrom="page">
                <wp:posOffset>449717</wp:posOffset>
              </wp:positionV>
              <wp:extent cx="350520" cy="194310"/>
              <wp:effectExtent l="0" t="0" r="0" b="0"/>
              <wp:wrapNone/>
              <wp:docPr id="649" name="Textbox 649"/>
              <wp:cNvGraphicFramePr>
                <a:graphicFrameLocks/>
              </wp:cNvGraphicFramePr>
              <a:graphic>
                <a:graphicData uri="http://schemas.microsoft.com/office/word/2010/wordprocessingShape">
                  <wps:wsp>
                    <wps:cNvPr id="649" name="Textbox 649"/>
                    <wps:cNvSpPr txBox="1"/>
                    <wps:spPr>
                      <a:xfrm>
                        <a:off x="0" y="0"/>
                        <a:ext cx="350520"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sz w:val="24"/>
                            </w:rPr>
                            <w:fldChar w:fldCharType="begin"/>
                          </w:r>
                          <w:r>
                            <w:rPr>
                              <w:rFonts w:ascii="Trebuchet MS"/>
                              <w:b/>
                              <w:color w:val="FFFFFF"/>
                              <w:spacing w:val="-5"/>
                              <w:sz w:val="24"/>
                            </w:rPr>
                            <w:instrText> PAGE </w:instrText>
                          </w:r>
                          <w:r>
                            <w:rPr>
                              <w:rFonts w:ascii="Trebuchet MS"/>
                              <w:b/>
                              <w:color w:val="FFFFFF"/>
                              <w:spacing w:val="-5"/>
                              <w:sz w:val="24"/>
                            </w:rPr>
                            <w:fldChar w:fldCharType="separate"/>
                          </w:r>
                          <w:r>
                            <w:rPr>
                              <w:rFonts w:ascii="Trebuchet MS"/>
                              <w:b/>
                              <w:color w:val="FFFFFF"/>
                              <w:spacing w:val="-5"/>
                              <w:sz w:val="24"/>
                            </w:rPr>
                            <w:t>156</w:t>
                          </w:r>
                          <w:r>
                            <w:rPr>
                              <w:rFonts w:ascii="Trebuchet MS"/>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553.645325pt;margin-top:35.410816pt;width:27.6pt;height:15.3pt;mso-position-horizontal-relative:page;mso-position-vertical-relative:page;z-index:-18493440" type="#_x0000_t202" id="docshape593" filled="false" stroked="false">
              <v:textbox inset="0,0,0,0">
                <w:txbxContent>
                  <w:p>
                    <w:pPr>
                      <w:spacing w:before="18"/>
                      <w:ind w:left="60" w:right="0" w:firstLine="0"/>
                      <w:jc w:val="left"/>
                      <w:rPr>
                        <w:rFonts w:ascii="Trebuchet MS"/>
                        <w:b/>
                        <w:sz w:val="24"/>
                      </w:rPr>
                    </w:pPr>
                    <w:r>
                      <w:rPr>
                        <w:rFonts w:ascii="Trebuchet MS"/>
                        <w:b/>
                        <w:color w:val="FFFFFF"/>
                        <w:spacing w:val="-5"/>
                        <w:sz w:val="24"/>
                      </w:rPr>
                      <w:fldChar w:fldCharType="begin"/>
                    </w:r>
                    <w:r>
                      <w:rPr>
                        <w:rFonts w:ascii="Trebuchet MS"/>
                        <w:b/>
                        <w:color w:val="FFFFFF"/>
                        <w:spacing w:val="-5"/>
                        <w:sz w:val="24"/>
                      </w:rPr>
                      <w:instrText> PAGE </w:instrText>
                    </w:r>
                    <w:r>
                      <w:rPr>
                        <w:rFonts w:ascii="Trebuchet MS"/>
                        <w:b/>
                        <w:color w:val="FFFFFF"/>
                        <w:spacing w:val="-5"/>
                        <w:sz w:val="24"/>
                      </w:rPr>
                      <w:fldChar w:fldCharType="separate"/>
                    </w:r>
                    <w:r>
                      <w:rPr>
                        <w:rFonts w:ascii="Trebuchet MS"/>
                        <w:b/>
                        <w:color w:val="FFFFFF"/>
                        <w:spacing w:val="-5"/>
                        <w:sz w:val="24"/>
                      </w:rPr>
                      <w:t>156</w:t>
                    </w:r>
                    <w:r>
                      <w:rPr>
                        <w:rFonts w:ascii="Trebuchet MS"/>
                        <w:b/>
                        <w:color w:val="FFFFFF"/>
                        <w:spacing w:val="-5"/>
                        <w:sz w:val="24"/>
                      </w:rPr>
                      <w:fldChar w:fldCharType="end"/>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24576">
              <wp:simplePos x="0" y="0"/>
              <wp:positionH relativeFrom="page">
                <wp:posOffset>0</wp:posOffset>
              </wp:positionH>
              <wp:positionV relativeFrom="page">
                <wp:posOffset>315010</wp:posOffset>
              </wp:positionV>
              <wp:extent cx="7560309" cy="467995"/>
              <wp:effectExtent l="0" t="0" r="0" b="0"/>
              <wp:wrapNone/>
              <wp:docPr id="669" name="Group 669"/>
              <wp:cNvGraphicFramePr>
                <a:graphicFrameLocks/>
              </wp:cNvGraphicFramePr>
              <a:graphic>
                <a:graphicData uri="http://schemas.microsoft.com/office/word/2010/wordprocessingGroup">
                  <wpg:wgp>
                    <wpg:cNvPr id="669" name="Group 669"/>
                    <wpg:cNvGrpSpPr/>
                    <wpg:grpSpPr>
                      <a:xfrm>
                        <a:off x="0" y="0"/>
                        <a:ext cx="7560309" cy="467995"/>
                        <a:chExt cx="7560309" cy="467995"/>
                      </a:xfrm>
                    </wpg:grpSpPr>
                    <wps:wsp>
                      <wps:cNvPr id="670" name="Graphic 670"/>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671" name="Graphic 671"/>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491904" id="docshapegroup613" coordorigin="0,496" coordsize="11906,737">
              <v:rect style="position:absolute;left:0;top:496;width:11906;height:737" id="docshape614" filled="true" fillcolor="#67287f" stroked="false">
                <v:fill type="solid"/>
              </v:rect>
              <v:rect style="position:absolute;left:0;top:496;width:1134;height:737" id="docshape615"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825088">
              <wp:simplePos x="0" y="0"/>
              <wp:positionH relativeFrom="page">
                <wp:posOffset>808099</wp:posOffset>
              </wp:positionH>
              <wp:positionV relativeFrom="page">
                <wp:posOffset>380352</wp:posOffset>
              </wp:positionV>
              <wp:extent cx="3020060" cy="355600"/>
              <wp:effectExtent l="0" t="0" r="0" b="0"/>
              <wp:wrapNone/>
              <wp:docPr id="672" name="Textbox 672"/>
              <wp:cNvGraphicFramePr>
                <a:graphicFrameLocks/>
              </wp:cNvGraphicFramePr>
              <a:graphic>
                <a:graphicData uri="http://schemas.microsoft.com/office/word/2010/wordprocessingShape">
                  <wps:wsp>
                    <wps:cNvPr id="672" name="Textbox 672"/>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491392" type="#_x0000_t202" id="docshape616"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825600">
              <wp:simplePos x="0" y="0"/>
              <wp:positionH relativeFrom="page">
                <wp:posOffset>188856</wp:posOffset>
              </wp:positionH>
              <wp:positionV relativeFrom="page">
                <wp:posOffset>466751</wp:posOffset>
              </wp:positionV>
              <wp:extent cx="355600" cy="177800"/>
              <wp:effectExtent l="0" t="0" r="0" b="0"/>
              <wp:wrapNone/>
              <wp:docPr id="673" name="Textbox 673"/>
              <wp:cNvGraphicFramePr>
                <a:graphicFrameLocks/>
              </wp:cNvGraphicFramePr>
              <a:graphic>
                <a:graphicData uri="http://schemas.microsoft.com/office/word/2010/wordprocessingShape">
                  <wps:wsp>
                    <wps:cNvPr id="673" name="Textbox 673"/>
                    <wps:cNvSpPr txBox="1"/>
                    <wps:spPr>
                      <a:xfrm>
                        <a:off x="0" y="0"/>
                        <a:ext cx="355600"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169</w:t>
                          </w:r>
                          <w:r>
                            <w:rPr>
                              <w:rFonts w:ascii="Tahoma"/>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14.8706pt;margin-top:36.752117pt;width:28pt;height:14pt;mso-position-horizontal-relative:page;mso-position-vertical-relative:page;z-index:-18490880" type="#_x0000_t202" id="docshape617" filled="false" stroked="false">
              <v:textbox inset="0,0,0,0">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169</w:t>
                    </w:r>
                    <w:r>
                      <w:rPr>
                        <w:rFonts w:ascii="Tahoma"/>
                        <w:b/>
                        <w:color w:val="FFFFFF"/>
                        <w:spacing w:val="-5"/>
                        <w:sz w:val="24"/>
                      </w:rPr>
                      <w:fldChar w:fldCharType="end"/>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26112">
              <wp:simplePos x="0" y="0"/>
              <wp:positionH relativeFrom="page">
                <wp:posOffset>0</wp:posOffset>
              </wp:positionH>
              <wp:positionV relativeFrom="page">
                <wp:posOffset>315010</wp:posOffset>
              </wp:positionV>
              <wp:extent cx="7560309" cy="467995"/>
              <wp:effectExtent l="0" t="0" r="0" b="0"/>
              <wp:wrapNone/>
              <wp:docPr id="674" name="Group 674"/>
              <wp:cNvGraphicFramePr>
                <a:graphicFrameLocks/>
              </wp:cNvGraphicFramePr>
              <a:graphic>
                <a:graphicData uri="http://schemas.microsoft.com/office/word/2010/wordprocessingGroup">
                  <wpg:wgp>
                    <wpg:cNvPr id="674" name="Group 674"/>
                    <wpg:cNvGrpSpPr/>
                    <wpg:grpSpPr>
                      <a:xfrm>
                        <a:off x="0" y="0"/>
                        <a:ext cx="7560309" cy="467995"/>
                        <a:chExt cx="7560309" cy="467995"/>
                      </a:xfrm>
                    </wpg:grpSpPr>
                    <wps:wsp>
                      <wps:cNvPr id="675" name="Graphic 675"/>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676" name="Graphic 676"/>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490368" id="docshapegroup618" coordorigin="0,496" coordsize="11906,737">
              <v:rect style="position:absolute;left:0;top:496;width:11906;height:737" id="docshape619" filled="true" fillcolor="#67287f" stroked="false">
                <v:fill type="solid"/>
              </v:rect>
              <v:rect style="position:absolute;left:10771;top:496;width:1134;height:737" id="docshape620"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826624">
              <wp:simplePos x="0" y="0"/>
              <wp:positionH relativeFrom="page">
                <wp:posOffset>7028474</wp:posOffset>
              </wp:positionH>
              <wp:positionV relativeFrom="page">
                <wp:posOffset>449717</wp:posOffset>
              </wp:positionV>
              <wp:extent cx="353060" cy="194310"/>
              <wp:effectExtent l="0" t="0" r="0" b="0"/>
              <wp:wrapNone/>
              <wp:docPr id="677" name="Textbox 677"/>
              <wp:cNvGraphicFramePr>
                <a:graphicFrameLocks/>
              </wp:cNvGraphicFramePr>
              <a:graphic>
                <a:graphicData uri="http://schemas.microsoft.com/office/word/2010/wordprocessingShape">
                  <wps:wsp>
                    <wps:cNvPr id="677" name="Textbox 677"/>
                    <wps:cNvSpPr txBox="1"/>
                    <wps:spPr>
                      <a:xfrm>
                        <a:off x="0" y="0"/>
                        <a:ext cx="353060"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w w:val="80"/>
                              <w:sz w:val="24"/>
                            </w:rPr>
                            <w:fldChar w:fldCharType="begin"/>
                          </w:r>
                          <w:r>
                            <w:rPr>
                              <w:rFonts w:ascii="Trebuchet MS"/>
                              <w:b/>
                              <w:color w:val="FFFFFF"/>
                              <w:spacing w:val="-5"/>
                              <w:w w:val="80"/>
                              <w:sz w:val="24"/>
                            </w:rPr>
                            <w:instrText> PAGE </w:instrText>
                          </w:r>
                          <w:r>
                            <w:rPr>
                              <w:rFonts w:ascii="Trebuchet MS"/>
                              <w:b/>
                              <w:color w:val="FFFFFF"/>
                              <w:spacing w:val="-5"/>
                              <w:w w:val="80"/>
                              <w:sz w:val="24"/>
                            </w:rPr>
                            <w:fldChar w:fldCharType="separate"/>
                          </w:r>
                          <w:r>
                            <w:rPr>
                              <w:rFonts w:ascii="Trebuchet MS"/>
                              <w:b/>
                              <w:color w:val="FFFFFF"/>
                              <w:spacing w:val="-5"/>
                              <w:w w:val="80"/>
                              <w:sz w:val="24"/>
                            </w:rPr>
                            <w:t>170</w:t>
                          </w:r>
                          <w:r>
                            <w:rPr>
                              <w:rFonts w:ascii="Trebuchet MS"/>
                              <w:b/>
                              <w:color w:val="FFFFFF"/>
                              <w:spacing w:val="-5"/>
                              <w:w w:val="80"/>
                              <w:sz w:val="24"/>
                            </w:rPr>
                            <w:fldChar w:fldCharType="end"/>
                          </w:r>
                        </w:p>
                      </w:txbxContent>
                    </wps:txbx>
                    <wps:bodyPr wrap="square" lIns="0" tIns="0" rIns="0" bIns="0" rtlCol="0">
                      <a:noAutofit/>
                    </wps:bodyPr>
                  </wps:wsp>
                </a:graphicData>
              </a:graphic>
            </wp:anchor>
          </w:drawing>
        </mc:Choice>
        <mc:Fallback>
          <w:pict>
            <v:shape style="position:absolute;margin-left:553.423218pt;margin-top:35.410816pt;width:27.8pt;height:15.3pt;mso-position-horizontal-relative:page;mso-position-vertical-relative:page;z-index:-18489856" type="#_x0000_t202" id="docshape621" filled="false" stroked="false">
              <v:textbox inset="0,0,0,0">
                <w:txbxContent>
                  <w:p>
                    <w:pPr>
                      <w:spacing w:before="18"/>
                      <w:ind w:left="60" w:right="0" w:firstLine="0"/>
                      <w:jc w:val="left"/>
                      <w:rPr>
                        <w:rFonts w:ascii="Trebuchet MS"/>
                        <w:b/>
                        <w:sz w:val="24"/>
                      </w:rPr>
                    </w:pPr>
                    <w:r>
                      <w:rPr>
                        <w:rFonts w:ascii="Trebuchet MS"/>
                        <w:b/>
                        <w:color w:val="FFFFFF"/>
                        <w:spacing w:val="-5"/>
                        <w:w w:val="80"/>
                        <w:sz w:val="24"/>
                      </w:rPr>
                      <w:fldChar w:fldCharType="begin"/>
                    </w:r>
                    <w:r>
                      <w:rPr>
                        <w:rFonts w:ascii="Trebuchet MS"/>
                        <w:b/>
                        <w:color w:val="FFFFFF"/>
                        <w:spacing w:val="-5"/>
                        <w:w w:val="80"/>
                        <w:sz w:val="24"/>
                      </w:rPr>
                      <w:instrText> PAGE </w:instrText>
                    </w:r>
                    <w:r>
                      <w:rPr>
                        <w:rFonts w:ascii="Trebuchet MS"/>
                        <w:b/>
                        <w:color w:val="FFFFFF"/>
                        <w:spacing w:val="-5"/>
                        <w:w w:val="80"/>
                        <w:sz w:val="24"/>
                      </w:rPr>
                      <w:fldChar w:fldCharType="separate"/>
                    </w:r>
                    <w:r>
                      <w:rPr>
                        <w:rFonts w:ascii="Trebuchet MS"/>
                        <w:b/>
                        <w:color w:val="FFFFFF"/>
                        <w:spacing w:val="-5"/>
                        <w:w w:val="80"/>
                        <w:sz w:val="24"/>
                      </w:rPr>
                      <w:t>170</w:t>
                    </w:r>
                    <w:r>
                      <w:rPr>
                        <w:rFonts w:ascii="Trebuchet MS"/>
                        <w:b/>
                        <w:color w:val="FFFFFF"/>
                        <w:spacing w:val="-5"/>
                        <w:w w:val="80"/>
                        <w:sz w:val="24"/>
                      </w:rPr>
                      <w:fldChar w:fldCharType="end"/>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27136">
              <wp:simplePos x="0" y="0"/>
              <wp:positionH relativeFrom="page">
                <wp:posOffset>0</wp:posOffset>
              </wp:positionH>
              <wp:positionV relativeFrom="page">
                <wp:posOffset>315010</wp:posOffset>
              </wp:positionV>
              <wp:extent cx="7560309" cy="467995"/>
              <wp:effectExtent l="0" t="0" r="0" b="0"/>
              <wp:wrapNone/>
              <wp:docPr id="680" name="Group 680"/>
              <wp:cNvGraphicFramePr>
                <a:graphicFrameLocks/>
              </wp:cNvGraphicFramePr>
              <a:graphic>
                <a:graphicData uri="http://schemas.microsoft.com/office/word/2010/wordprocessingGroup">
                  <wpg:wgp>
                    <wpg:cNvPr id="680" name="Group 680"/>
                    <wpg:cNvGrpSpPr/>
                    <wpg:grpSpPr>
                      <a:xfrm>
                        <a:off x="0" y="0"/>
                        <a:ext cx="7560309" cy="467995"/>
                        <a:chExt cx="7560309" cy="467995"/>
                      </a:xfrm>
                    </wpg:grpSpPr>
                    <wps:wsp>
                      <wps:cNvPr id="681" name="Graphic 681"/>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682" name="Graphic 682"/>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489344" id="docshapegroup623" coordorigin="0,496" coordsize="11906,737">
              <v:rect style="position:absolute;left:0;top:496;width:11906;height:737" id="docshape624" filled="true" fillcolor="#67287f" stroked="false">
                <v:fill type="solid"/>
              </v:rect>
              <v:rect style="position:absolute;left:10771;top:496;width:1134;height:737" id="docshape625"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827648">
              <wp:simplePos x="0" y="0"/>
              <wp:positionH relativeFrom="page">
                <wp:posOffset>6990374</wp:posOffset>
              </wp:positionH>
              <wp:positionV relativeFrom="page">
                <wp:posOffset>437017</wp:posOffset>
              </wp:positionV>
              <wp:extent cx="416559" cy="219710"/>
              <wp:effectExtent l="0" t="0" r="0" b="0"/>
              <wp:wrapNone/>
              <wp:docPr id="683" name="Textbox 683"/>
              <wp:cNvGraphicFramePr>
                <a:graphicFrameLocks/>
              </wp:cNvGraphicFramePr>
              <a:graphic>
                <a:graphicData uri="http://schemas.microsoft.com/office/word/2010/wordprocessingShape">
                  <wps:wsp>
                    <wps:cNvPr id="683" name="Textbox 683"/>
                    <wps:cNvSpPr txBox="1"/>
                    <wps:spPr>
                      <a:xfrm>
                        <a:off x="0" y="0"/>
                        <a:ext cx="416559" cy="219710"/>
                      </a:xfrm>
                      <a:prstGeom prst="rect">
                        <a:avLst/>
                      </a:prstGeom>
                    </wps:spPr>
                    <wps:txbx>
                      <w:txbxContent>
                        <w:p>
                          <w:pPr>
                            <w:spacing w:before="38"/>
                            <w:ind w:left="120" w:right="0" w:firstLine="0"/>
                            <w:jc w:val="left"/>
                            <w:rPr>
                              <w:rFonts w:ascii="Trebuchet MS"/>
                              <w:b/>
                              <w:sz w:val="24"/>
                            </w:rPr>
                          </w:pPr>
                          <w:r>
                            <w:rPr>
                              <w:rFonts w:ascii="Trebuchet MS"/>
                              <w:b/>
                              <w:color w:val="FFFFFF"/>
                              <w:spacing w:val="-5"/>
                              <w:w w:val="80"/>
                              <w:sz w:val="24"/>
                            </w:rPr>
                            <w:fldChar w:fldCharType="begin"/>
                          </w:r>
                          <w:r>
                            <w:rPr>
                              <w:rFonts w:ascii="Trebuchet MS"/>
                              <w:b/>
                              <w:color w:val="FFFFFF"/>
                              <w:spacing w:val="-5"/>
                              <w:w w:val="80"/>
                              <w:sz w:val="24"/>
                            </w:rPr>
                            <w:instrText> PAGE </w:instrText>
                          </w:r>
                          <w:r>
                            <w:rPr>
                              <w:rFonts w:ascii="Trebuchet MS"/>
                              <w:b/>
                              <w:color w:val="FFFFFF"/>
                              <w:spacing w:val="-5"/>
                              <w:w w:val="80"/>
                              <w:sz w:val="24"/>
                            </w:rPr>
                            <w:fldChar w:fldCharType="separate"/>
                          </w:r>
                          <w:r>
                            <w:rPr>
                              <w:rFonts w:ascii="Trebuchet MS"/>
                              <w:b/>
                              <w:color w:val="FFFFFF"/>
                              <w:spacing w:val="-5"/>
                              <w:w w:val="80"/>
                              <w:sz w:val="24"/>
                            </w:rPr>
                            <w:t>170</w:t>
                          </w:r>
                          <w:r>
                            <w:rPr>
                              <w:rFonts w:ascii="Trebuchet MS"/>
                              <w:b/>
                              <w:color w:val="FFFFFF"/>
                              <w:spacing w:val="-5"/>
                              <w:w w:val="80"/>
                              <w:sz w:val="24"/>
                            </w:rPr>
                            <w:fldChar w:fldCharType="end"/>
                          </w:r>
                        </w:p>
                      </w:txbxContent>
                    </wps:txbx>
                    <wps:bodyPr wrap="square" lIns="0" tIns="0" rIns="0" bIns="0" rtlCol="0">
                      <a:noAutofit/>
                    </wps:bodyPr>
                  </wps:wsp>
                </a:graphicData>
              </a:graphic>
            </wp:anchor>
          </w:drawing>
        </mc:Choice>
        <mc:Fallback>
          <w:pict>
            <v:shape style="position:absolute;margin-left:550.423218pt;margin-top:34.410816pt;width:32.8pt;height:17.3pt;mso-position-horizontal-relative:page;mso-position-vertical-relative:page;z-index:-18488832" type="#_x0000_t202" id="docshape626" filled="false" stroked="false">
              <v:textbox inset="0,0,0,0">
                <w:txbxContent>
                  <w:p>
                    <w:pPr>
                      <w:spacing w:before="38"/>
                      <w:ind w:left="120" w:right="0" w:firstLine="0"/>
                      <w:jc w:val="left"/>
                      <w:rPr>
                        <w:rFonts w:ascii="Trebuchet MS"/>
                        <w:b/>
                        <w:sz w:val="24"/>
                      </w:rPr>
                    </w:pPr>
                    <w:r>
                      <w:rPr>
                        <w:rFonts w:ascii="Trebuchet MS"/>
                        <w:b/>
                        <w:color w:val="FFFFFF"/>
                        <w:spacing w:val="-5"/>
                        <w:w w:val="80"/>
                        <w:sz w:val="24"/>
                      </w:rPr>
                      <w:fldChar w:fldCharType="begin"/>
                    </w:r>
                    <w:r>
                      <w:rPr>
                        <w:rFonts w:ascii="Trebuchet MS"/>
                        <w:b/>
                        <w:color w:val="FFFFFF"/>
                        <w:spacing w:val="-5"/>
                        <w:w w:val="80"/>
                        <w:sz w:val="24"/>
                      </w:rPr>
                      <w:instrText> PAGE </w:instrText>
                    </w:r>
                    <w:r>
                      <w:rPr>
                        <w:rFonts w:ascii="Trebuchet MS"/>
                        <w:b/>
                        <w:color w:val="FFFFFF"/>
                        <w:spacing w:val="-5"/>
                        <w:w w:val="80"/>
                        <w:sz w:val="24"/>
                      </w:rPr>
                      <w:fldChar w:fldCharType="separate"/>
                    </w:r>
                    <w:r>
                      <w:rPr>
                        <w:rFonts w:ascii="Trebuchet MS"/>
                        <w:b/>
                        <w:color w:val="FFFFFF"/>
                        <w:spacing w:val="-5"/>
                        <w:w w:val="80"/>
                        <w:sz w:val="24"/>
                      </w:rPr>
                      <w:t>170</w:t>
                    </w:r>
                    <w:r>
                      <w:rPr>
                        <w:rFonts w:ascii="Trebuchet MS"/>
                        <w:b/>
                        <w:color w:val="FFFFFF"/>
                        <w:spacing w:val="-5"/>
                        <w:w w:val="80"/>
                        <w:sz w:val="24"/>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21664">
              <wp:simplePos x="0" y="0"/>
              <wp:positionH relativeFrom="page">
                <wp:posOffset>0</wp:posOffset>
              </wp:positionH>
              <wp:positionV relativeFrom="page">
                <wp:posOffset>315010</wp:posOffset>
              </wp:positionV>
              <wp:extent cx="7560309" cy="467995"/>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7560309" cy="467995"/>
                        <a:chExt cx="7560309" cy="467995"/>
                      </a:xfrm>
                    </wpg:grpSpPr>
                    <wps:wsp>
                      <wps:cNvPr id="164" name="Graphic 164"/>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165" name="Graphic 165"/>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94816" id="docshapegroup120" coordorigin="0,496" coordsize="11906,737">
              <v:rect style="position:absolute;left:0;top:496;width:11906;height:737" id="docshape121" filled="true" fillcolor="#67287f" stroked="false">
                <v:fill type="solid"/>
              </v:rect>
              <v:rect style="position:absolute;left:0;top:496;width:1134;height:737" id="docshape122"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22176">
              <wp:simplePos x="0" y="0"/>
              <wp:positionH relativeFrom="page">
                <wp:posOffset>808099</wp:posOffset>
              </wp:positionH>
              <wp:positionV relativeFrom="page">
                <wp:posOffset>380352</wp:posOffset>
              </wp:positionV>
              <wp:extent cx="3020060" cy="35560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94304" type="#_x0000_t202" id="docshape123"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722688">
              <wp:simplePos x="0" y="0"/>
              <wp:positionH relativeFrom="page">
                <wp:posOffset>227261</wp:posOffset>
              </wp:positionH>
              <wp:positionV relativeFrom="page">
                <wp:posOffset>466751</wp:posOffset>
              </wp:positionV>
              <wp:extent cx="278765" cy="177800"/>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278765"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33</w:t>
                          </w:r>
                          <w:r>
                            <w:rPr>
                              <w:rFonts w:ascii="Tahoma"/>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17.8946pt;margin-top:36.752117pt;width:21.95pt;height:14pt;mso-position-horizontal-relative:page;mso-position-vertical-relative:page;z-index:-18593792" type="#_x0000_t202" id="docshape124" filled="false" stroked="false">
              <v:textbox inset="0,0,0,0">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33</w:t>
                    </w:r>
                    <w:r>
                      <w:rPr>
                        <w:rFonts w:ascii="Tahoma"/>
                        <w:b/>
                        <w:color w:val="FFFFFF"/>
                        <w:spacing w:val="-5"/>
                        <w:sz w:val="24"/>
                      </w:rPr>
                      <w:fldChar w:fldCharType="end"/>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828160">
              <wp:simplePos x="0" y="0"/>
              <wp:positionH relativeFrom="page">
                <wp:posOffset>0</wp:posOffset>
              </wp:positionH>
              <wp:positionV relativeFrom="page">
                <wp:posOffset>315010</wp:posOffset>
              </wp:positionV>
              <wp:extent cx="7560309" cy="467995"/>
              <wp:effectExtent l="0" t="0" r="0" b="0"/>
              <wp:wrapNone/>
              <wp:docPr id="684" name="Group 684"/>
              <wp:cNvGraphicFramePr>
                <a:graphicFrameLocks/>
              </wp:cNvGraphicFramePr>
              <a:graphic>
                <a:graphicData uri="http://schemas.microsoft.com/office/word/2010/wordprocessingGroup">
                  <wpg:wgp>
                    <wpg:cNvPr id="684" name="Group 684"/>
                    <wpg:cNvGrpSpPr/>
                    <wpg:grpSpPr>
                      <a:xfrm>
                        <a:off x="0" y="0"/>
                        <a:ext cx="7560309" cy="467995"/>
                        <a:chExt cx="7560309" cy="467995"/>
                      </a:xfrm>
                    </wpg:grpSpPr>
                    <wps:wsp>
                      <wps:cNvPr id="685" name="Graphic 685"/>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686" name="Graphic 686"/>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488320" id="docshapegroup627" coordorigin="0,496" coordsize="11906,737">
              <v:rect style="position:absolute;left:0;top:496;width:11906;height:737" id="docshape628" filled="true" fillcolor="#67287f" stroked="false">
                <v:fill type="solid"/>
              </v:rect>
              <v:rect style="position:absolute;left:0;top:496;width:1134;height:737" id="docshape629"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828672">
              <wp:simplePos x="0" y="0"/>
              <wp:positionH relativeFrom="page">
                <wp:posOffset>808099</wp:posOffset>
              </wp:positionH>
              <wp:positionV relativeFrom="page">
                <wp:posOffset>380352</wp:posOffset>
              </wp:positionV>
              <wp:extent cx="3020060" cy="355600"/>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487808" type="#_x0000_t202" id="docshape630"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829184">
              <wp:simplePos x="0" y="0"/>
              <wp:positionH relativeFrom="page">
                <wp:posOffset>210419</wp:posOffset>
              </wp:positionH>
              <wp:positionV relativeFrom="page">
                <wp:posOffset>466751</wp:posOffset>
              </wp:positionV>
              <wp:extent cx="312420" cy="177800"/>
              <wp:effectExtent l="0" t="0" r="0" b="0"/>
              <wp:wrapNone/>
              <wp:docPr id="688" name="Textbox 688"/>
              <wp:cNvGraphicFramePr>
                <a:graphicFrameLocks/>
              </wp:cNvGraphicFramePr>
              <a:graphic>
                <a:graphicData uri="http://schemas.microsoft.com/office/word/2010/wordprocessingShape">
                  <wps:wsp>
                    <wps:cNvPr id="688" name="Textbox 688"/>
                    <wps:cNvSpPr txBox="1"/>
                    <wps:spPr>
                      <a:xfrm>
                        <a:off x="0" y="0"/>
                        <a:ext cx="312420"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w w:val="85"/>
                              <w:sz w:val="24"/>
                            </w:rPr>
                            <w:fldChar w:fldCharType="begin"/>
                          </w:r>
                          <w:r>
                            <w:rPr>
                              <w:rFonts w:ascii="Tahoma"/>
                              <w:b/>
                              <w:color w:val="FFFFFF"/>
                              <w:spacing w:val="-5"/>
                              <w:w w:val="85"/>
                              <w:sz w:val="24"/>
                            </w:rPr>
                            <w:instrText> PAGE </w:instrText>
                          </w:r>
                          <w:r>
                            <w:rPr>
                              <w:rFonts w:ascii="Tahoma"/>
                              <w:b/>
                              <w:color w:val="FFFFFF"/>
                              <w:spacing w:val="-5"/>
                              <w:w w:val="85"/>
                              <w:sz w:val="24"/>
                            </w:rPr>
                            <w:fldChar w:fldCharType="separate"/>
                          </w:r>
                          <w:r>
                            <w:rPr>
                              <w:rFonts w:ascii="Tahoma"/>
                              <w:b/>
                              <w:color w:val="FFFFFF"/>
                              <w:spacing w:val="-5"/>
                              <w:w w:val="85"/>
                              <w:sz w:val="24"/>
                            </w:rPr>
                            <w:t>171</w:t>
                          </w:r>
                          <w:r>
                            <w:rPr>
                              <w:rFonts w:ascii="Tahoma"/>
                              <w:b/>
                              <w:color w:val="FFFFFF"/>
                              <w:spacing w:val="-5"/>
                              <w:w w:val="85"/>
                              <w:sz w:val="24"/>
                            </w:rPr>
                            <w:fldChar w:fldCharType="end"/>
                          </w:r>
                        </w:p>
                      </w:txbxContent>
                    </wps:txbx>
                    <wps:bodyPr wrap="square" lIns="0" tIns="0" rIns="0" bIns="0" rtlCol="0">
                      <a:noAutofit/>
                    </wps:bodyPr>
                  </wps:wsp>
                </a:graphicData>
              </a:graphic>
            </wp:anchor>
          </w:drawing>
        </mc:Choice>
        <mc:Fallback>
          <w:pict>
            <v:shape style="position:absolute;margin-left:16.568501pt;margin-top:36.752117pt;width:24.6pt;height:14pt;mso-position-horizontal-relative:page;mso-position-vertical-relative:page;z-index:-18487296" type="#_x0000_t202" id="docshape631" filled="false" stroked="false">
              <v:textbox inset="0,0,0,0">
                <w:txbxContent>
                  <w:p>
                    <w:pPr>
                      <w:spacing w:line="266" w:lineRule="exact" w:before="0"/>
                      <w:ind w:left="60" w:right="0" w:firstLine="0"/>
                      <w:jc w:val="left"/>
                      <w:rPr>
                        <w:rFonts w:ascii="Tahoma"/>
                        <w:b/>
                        <w:sz w:val="24"/>
                      </w:rPr>
                    </w:pPr>
                    <w:r>
                      <w:rPr>
                        <w:rFonts w:ascii="Tahoma"/>
                        <w:b/>
                        <w:color w:val="FFFFFF"/>
                        <w:spacing w:val="-5"/>
                        <w:w w:val="85"/>
                        <w:sz w:val="24"/>
                      </w:rPr>
                      <w:fldChar w:fldCharType="begin"/>
                    </w:r>
                    <w:r>
                      <w:rPr>
                        <w:rFonts w:ascii="Tahoma"/>
                        <w:b/>
                        <w:color w:val="FFFFFF"/>
                        <w:spacing w:val="-5"/>
                        <w:w w:val="85"/>
                        <w:sz w:val="24"/>
                      </w:rPr>
                      <w:instrText> PAGE </w:instrText>
                    </w:r>
                    <w:r>
                      <w:rPr>
                        <w:rFonts w:ascii="Tahoma"/>
                        <w:b/>
                        <w:color w:val="FFFFFF"/>
                        <w:spacing w:val="-5"/>
                        <w:w w:val="85"/>
                        <w:sz w:val="24"/>
                      </w:rPr>
                      <w:fldChar w:fldCharType="separate"/>
                    </w:r>
                    <w:r>
                      <w:rPr>
                        <w:rFonts w:ascii="Tahoma"/>
                        <w:b/>
                        <w:color w:val="FFFFFF"/>
                        <w:spacing w:val="-5"/>
                        <w:w w:val="85"/>
                        <w:sz w:val="24"/>
                      </w:rPr>
                      <w:t>171</w:t>
                    </w:r>
                    <w:r>
                      <w:rPr>
                        <w:rFonts w:ascii="Tahoma"/>
                        <w:b/>
                        <w:color w:val="FFFFFF"/>
                        <w:spacing w:val="-5"/>
                        <w:w w:val="85"/>
                        <w:sz w:val="24"/>
                      </w:rPr>
                      <w:fldChar w:fldCharType="end"/>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24224">
              <wp:simplePos x="0" y="0"/>
              <wp:positionH relativeFrom="page">
                <wp:posOffset>0</wp:posOffset>
              </wp:positionH>
              <wp:positionV relativeFrom="page">
                <wp:posOffset>315010</wp:posOffset>
              </wp:positionV>
              <wp:extent cx="7560309" cy="467995"/>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7560309" cy="467995"/>
                        <a:chExt cx="7560309" cy="467995"/>
                      </a:xfrm>
                    </wpg:grpSpPr>
                    <wps:wsp>
                      <wps:cNvPr id="186" name="Graphic 186"/>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187" name="Graphic 187"/>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92256" id="docshapegroup142" coordorigin="0,496" coordsize="11906,737">
              <v:rect style="position:absolute;left:0;top:496;width:11906;height:737" id="docshape143" filled="true" fillcolor="#67287f" stroked="false">
                <v:fill type="solid"/>
              </v:rect>
              <v:rect style="position:absolute;left:10771;top:496;width:1134;height:737" id="docshape144"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24736">
              <wp:simplePos x="0" y="0"/>
              <wp:positionH relativeFrom="page">
                <wp:posOffset>7061926</wp:posOffset>
              </wp:positionH>
              <wp:positionV relativeFrom="page">
                <wp:posOffset>449717</wp:posOffset>
              </wp:positionV>
              <wp:extent cx="288925" cy="19431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288925"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w w:val="110"/>
                              <w:sz w:val="24"/>
                            </w:rPr>
                            <w:fldChar w:fldCharType="begin"/>
                          </w:r>
                          <w:r>
                            <w:rPr>
                              <w:rFonts w:ascii="Trebuchet MS"/>
                              <w:b/>
                              <w:color w:val="FFFFFF"/>
                              <w:spacing w:val="-5"/>
                              <w:w w:val="110"/>
                              <w:sz w:val="24"/>
                            </w:rPr>
                            <w:instrText> PAGE </w:instrText>
                          </w:r>
                          <w:r>
                            <w:rPr>
                              <w:rFonts w:ascii="Trebuchet MS"/>
                              <w:b/>
                              <w:color w:val="FFFFFF"/>
                              <w:spacing w:val="-5"/>
                              <w:w w:val="110"/>
                              <w:sz w:val="24"/>
                            </w:rPr>
                            <w:fldChar w:fldCharType="separate"/>
                          </w:r>
                          <w:r>
                            <w:rPr>
                              <w:rFonts w:ascii="Trebuchet MS"/>
                              <w:b/>
                              <w:color w:val="FFFFFF"/>
                              <w:spacing w:val="-5"/>
                              <w:w w:val="110"/>
                              <w:sz w:val="24"/>
                            </w:rPr>
                            <w:t>42</w:t>
                          </w:r>
                          <w:r>
                            <w:rPr>
                              <w:rFonts w:ascii="Trebuchet MS"/>
                              <w:b/>
                              <w:color w:val="FFFFFF"/>
                              <w:spacing w:val="-5"/>
                              <w:w w:val="110"/>
                              <w:sz w:val="24"/>
                            </w:rPr>
                            <w:fldChar w:fldCharType="end"/>
                          </w:r>
                        </w:p>
                      </w:txbxContent>
                    </wps:txbx>
                    <wps:bodyPr wrap="square" lIns="0" tIns="0" rIns="0" bIns="0" rtlCol="0">
                      <a:noAutofit/>
                    </wps:bodyPr>
                  </wps:wsp>
                </a:graphicData>
              </a:graphic>
            </wp:anchor>
          </w:drawing>
        </mc:Choice>
        <mc:Fallback>
          <w:pict>
            <v:shape style="position:absolute;margin-left:556.05719pt;margin-top:35.410816pt;width:22.75pt;height:15.3pt;mso-position-horizontal-relative:page;mso-position-vertical-relative:page;z-index:-18591744" type="#_x0000_t202" id="docshape145" filled="false" stroked="false">
              <v:textbox inset="0,0,0,0">
                <w:txbxContent>
                  <w:p>
                    <w:pPr>
                      <w:spacing w:before="18"/>
                      <w:ind w:left="60" w:right="0" w:firstLine="0"/>
                      <w:jc w:val="left"/>
                      <w:rPr>
                        <w:rFonts w:ascii="Trebuchet MS"/>
                        <w:b/>
                        <w:sz w:val="24"/>
                      </w:rPr>
                    </w:pPr>
                    <w:r>
                      <w:rPr>
                        <w:rFonts w:ascii="Trebuchet MS"/>
                        <w:b/>
                        <w:color w:val="FFFFFF"/>
                        <w:spacing w:val="-5"/>
                        <w:w w:val="110"/>
                        <w:sz w:val="24"/>
                      </w:rPr>
                      <w:fldChar w:fldCharType="begin"/>
                    </w:r>
                    <w:r>
                      <w:rPr>
                        <w:rFonts w:ascii="Trebuchet MS"/>
                        <w:b/>
                        <w:color w:val="FFFFFF"/>
                        <w:spacing w:val="-5"/>
                        <w:w w:val="110"/>
                        <w:sz w:val="24"/>
                      </w:rPr>
                      <w:instrText> PAGE </w:instrText>
                    </w:r>
                    <w:r>
                      <w:rPr>
                        <w:rFonts w:ascii="Trebuchet MS"/>
                        <w:b/>
                        <w:color w:val="FFFFFF"/>
                        <w:spacing w:val="-5"/>
                        <w:w w:val="110"/>
                        <w:sz w:val="24"/>
                      </w:rPr>
                      <w:fldChar w:fldCharType="separate"/>
                    </w:r>
                    <w:r>
                      <w:rPr>
                        <w:rFonts w:ascii="Trebuchet MS"/>
                        <w:b/>
                        <w:color w:val="FFFFFF"/>
                        <w:spacing w:val="-5"/>
                        <w:w w:val="110"/>
                        <w:sz w:val="24"/>
                      </w:rPr>
                      <w:t>42</w:t>
                    </w:r>
                    <w:r>
                      <w:rPr>
                        <w:rFonts w:ascii="Trebuchet MS"/>
                        <w:b/>
                        <w:color w:val="FFFFFF"/>
                        <w:spacing w:val="-5"/>
                        <w:w w:val="110"/>
                        <w:sz w:val="24"/>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25248">
              <wp:simplePos x="0" y="0"/>
              <wp:positionH relativeFrom="page">
                <wp:posOffset>0</wp:posOffset>
              </wp:positionH>
              <wp:positionV relativeFrom="page">
                <wp:posOffset>315010</wp:posOffset>
              </wp:positionV>
              <wp:extent cx="7560309" cy="467995"/>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7560309" cy="467995"/>
                        <a:chExt cx="7560309" cy="467995"/>
                      </a:xfrm>
                    </wpg:grpSpPr>
                    <wps:wsp>
                      <wps:cNvPr id="190" name="Graphic 190"/>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191" name="Graphic 191"/>
                      <wps:cNvSpPr/>
                      <wps:spPr>
                        <a:xfrm>
                          <a:off x="0"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91232" id="docshapegroup146" coordorigin="0,496" coordsize="11906,737">
              <v:rect style="position:absolute;left:0;top:496;width:11906;height:737" id="docshape147" filled="true" fillcolor="#67287f" stroked="false">
                <v:fill type="solid"/>
              </v:rect>
              <v:rect style="position:absolute;left:0;top:496;width:1134;height:737" id="docshape148"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25760">
              <wp:simplePos x="0" y="0"/>
              <wp:positionH relativeFrom="page">
                <wp:posOffset>808099</wp:posOffset>
              </wp:positionH>
              <wp:positionV relativeFrom="page">
                <wp:posOffset>380352</wp:posOffset>
              </wp:positionV>
              <wp:extent cx="3020060" cy="35560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3020060" cy="355600"/>
                      </a:xfrm>
                      <a:prstGeom prst="rect">
                        <a:avLst/>
                      </a:prstGeom>
                    </wps:spPr>
                    <wps:txbx>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wps:txbx>
                    <wps:bodyPr wrap="square" lIns="0" tIns="0" rIns="0" bIns="0" rtlCol="0">
                      <a:noAutofit/>
                    </wps:bodyPr>
                  </wps:wsp>
                </a:graphicData>
              </a:graphic>
            </wp:anchor>
          </w:drawing>
        </mc:Choice>
        <mc:Fallback>
          <w:pict>
            <v:shape style="position:absolute;margin-left:63.629902pt;margin-top:29.949018pt;width:237.8pt;height:28pt;mso-position-horizontal-relative:page;mso-position-vertical-relative:page;z-index:-18590720" type="#_x0000_t202" id="docshape149" filled="false" stroked="false">
              <v:textbox inset="0,0,0,0">
                <w:txbxContent>
                  <w:p>
                    <w:pPr>
                      <w:spacing w:line="262" w:lineRule="exact" w:before="0"/>
                      <w:ind w:left="20" w:right="0" w:firstLine="0"/>
                      <w:jc w:val="left"/>
                      <w:rPr>
                        <w:rFonts w:ascii="Tahoma"/>
                        <w:b/>
                        <w:sz w:val="24"/>
                      </w:rPr>
                    </w:pPr>
                    <w:r>
                      <w:rPr>
                        <w:rFonts w:ascii="Tahoma"/>
                        <w:b/>
                        <w:color w:val="FFFFFF"/>
                        <w:sz w:val="24"/>
                      </w:rPr>
                      <w:t>Annual</w:t>
                    </w:r>
                    <w:r>
                      <w:rPr>
                        <w:rFonts w:ascii="Tahoma"/>
                        <w:b/>
                        <w:color w:val="FFFFFF"/>
                        <w:spacing w:val="8"/>
                        <w:sz w:val="24"/>
                      </w:rPr>
                      <w:t> </w:t>
                    </w:r>
                    <w:r>
                      <w:rPr>
                        <w:rFonts w:ascii="Tahoma"/>
                        <w:b/>
                        <w:color w:val="FFFFFF"/>
                        <w:sz w:val="24"/>
                      </w:rPr>
                      <w:t>Report</w:t>
                    </w:r>
                    <w:r>
                      <w:rPr>
                        <w:rFonts w:ascii="Tahoma"/>
                        <w:b/>
                        <w:color w:val="FFFFFF"/>
                        <w:spacing w:val="9"/>
                        <w:sz w:val="24"/>
                      </w:rPr>
                      <w:t> </w:t>
                    </w:r>
                    <w:r>
                      <w:rPr>
                        <w:rFonts w:ascii="Tahoma"/>
                        <w:b/>
                        <w:color w:val="FFFFFF"/>
                        <w:sz w:val="24"/>
                      </w:rPr>
                      <w:t>on</w:t>
                    </w:r>
                    <w:r>
                      <w:rPr>
                        <w:rFonts w:ascii="Tahoma"/>
                        <w:b/>
                        <w:color w:val="FFFFFF"/>
                        <w:spacing w:val="9"/>
                        <w:sz w:val="24"/>
                      </w:rPr>
                      <w:t> </w:t>
                    </w:r>
                    <w:r>
                      <w:rPr>
                        <w:rFonts w:ascii="Tahoma"/>
                        <w:b/>
                        <w:color w:val="FFFFFF"/>
                        <w:sz w:val="24"/>
                      </w:rPr>
                      <w:t>the</w:t>
                    </w:r>
                    <w:r>
                      <w:rPr>
                        <w:rFonts w:ascii="Tahoma"/>
                        <w:b/>
                        <w:color w:val="FFFFFF"/>
                        <w:spacing w:val="8"/>
                        <w:sz w:val="24"/>
                      </w:rPr>
                      <w:t> </w:t>
                    </w:r>
                    <w:r>
                      <w:rPr>
                        <w:rFonts w:ascii="Tahoma"/>
                        <w:b/>
                        <w:color w:val="FFFFFF"/>
                        <w:spacing w:val="-2"/>
                        <w:sz w:val="24"/>
                      </w:rPr>
                      <w:t>implementation</w:t>
                    </w:r>
                  </w:p>
                  <w:p>
                    <w:pPr>
                      <w:spacing w:line="285" w:lineRule="exact" w:before="0"/>
                      <w:ind w:left="20" w:right="0" w:firstLine="0"/>
                      <w:jc w:val="left"/>
                      <w:rPr>
                        <w:rFonts w:ascii="Tahoma"/>
                        <w:b/>
                        <w:sz w:val="24"/>
                      </w:rPr>
                    </w:pPr>
                    <w:r>
                      <w:rPr>
                        <w:rFonts w:ascii="Tahoma"/>
                        <w:b/>
                        <w:color w:val="FFFFFF"/>
                        <w:sz w:val="24"/>
                      </w:rPr>
                      <w:t>of</w:t>
                    </w:r>
                    <w:r>
                      <w:rPr>
                        <w:rFonts w:ascii="Tahoma"/>
                        <w:b/>
                        <w:color w:val="FFFFFF"/>
                        <w:spacing w:val="13"/>
                        <w:sz w:val="24"/>
                      </w:rPr>
                      <w:t> </w:t>
                    </w:r>
                    <w:r>
                      <w:rPr>
                        <w:rFonts w:ascii="Tahoma"/>
                        <w:b/>
                        <w:color w:val="FFFFFF"/>
                        <w:sz w:val="24"/>
                      </w:rPr>
                      <w:t>Article</w:t>
                    </w:r>
                    <w:r>
                      <w:rPr>
                        <w:rFonts w:ascii="Tahoma"/>
                        <w:b/>
                        <w:color w:val="FFFFFF"/>
                        <w:spacing w:val="14"/>
                        <w:sz w:val="24"/>
                      </w:rPr>
                      <w:t> </w:t>
                    </w:r>
                    <w:r>
                      <w:rPr>
                        <w:rFonts w:ascii="Tahoma"/>
                        <w:b/>
                        <w:color w:val="FFFFFF"/>
                        <w:sz w:val="24"/>
                      </w:rPr>
                      <w:t>2</w:t>
                    </w:r>
                    <w:r>
                      <w:rPr>
                        <w:rFonts w:ascii="Tahoma"/>
                        <w:b/>
                        <w:color w:val="FFFFFF"/>
                        <w:spacing w:val="13"/>
                        <w:sz w:val="24"/>
                      </w:rPr>
                      <w:t> </w:t>
                    </w:r>
                    <w:r>
                      <w:rPr>
                        <w:rFonts w:ascii="Tahoma"/>
                        <w:b/>
                        <w:color w:val="FFFFFF"/>
                        <w:sz w:val="24"/>
                      </w:rPr>
                      <w:t>of</w:t>
                    </w:r>
                    <w:r>
                      <w:rPr>
                        <w:rFonts w:ascii="Tahoma"/>
                        <w:b/>
                        <w:color w:val="FFFFFF"/>
                        <w:spacing w:val="14"/>
                        <w:sz w:val="24"/>
                      </w:rPr>
                      <w:t> </w:t>
                    </w:r>
                    <w:r>
                      <w:rPr>
                        <w:rFonts w:ascii="Tahoma"/>
                        <w:b/>
                        <w:color w:val="FFFFFF"/>
                        <w:sz w:val="24"/>
                      </w:rPr>
                      <w:t>the</w:t>
                    </w:r>
                    <w:r>
                      <w:rPr>
                        <w:rFonts w:ascii="Tahoma"/>
                        <w:b/>
                        <w:color w:val="FFFFFF"/>
                        <w:spacing w:val="14"/>
                        <w:sz w:val="24"/>
                      </w:rPr>
                      <w:t> </w:t>
                    </w:r>
                    <w:r>
                      <w:rPr>
                        <w:rFonts w:ascii="Tahoma"/>
                        <w:b/>
                        <w:color w:val="FFFFFF"/>
                        <w:sz w:val="24"/>
                      </w:rPr>
                      <w:t>Windsor</w:t>
                    </w:r>
                    <w:r>
                      <w:rPr>
                        <w:rFonts w:ascii="Tahoma"/>
                        <w:b/>
                        <w:color w:val="FFFFFF"/>
                        <w:spacing w:val="13"/>
                        <w:sz w:val="24"/>
                      </w:rPr>
                      <w:t> </w:t>
                    </w:r>
                    <w:r>
                      <w:rPr>
                        <w:rFonts w:ascii="Tahoma"/>
                        <w:b/>
                        <w:color w:val="FFFFFF"/>
                        <w:spacing w:val="-2"/>
                        <w:sz w:val="24"/>
                      </w:rPr>
                      <w:t>Framework</w:t>
                    </w:r>
                  </w:p>
                </w:txbxContent>
              </v:textbox>
              <w10:wrap type="none"/>
            </v:shape>
          </w:pict>
        </mc:Fallback>
      </mc:AlternateContent>
    </w:r>
    <w:r>
      <w:rPr/>
      <mc:AlternateContent>
        <mc:Choice Requires="wps">
          <w:drawing>
            <wp:anchor distT="0" distB="0" distL="0" distR="0" allowOverlap="1" layoutInCell="1" locked="0" behindDoc="1" simplePos="0" relativeHeight="484726272">
              <wp:simplePos x="0" y="0"/>
              <wp:positionH relativeFrom="page">
                <wp:posOffset>222078</wp:posOffset>
              </wp:positionH>
              <wp:positionV relativeFrom="page">
                <wp:posOffset>466751</wp:posOffset>
              </wp:positionV>
              <wp:extent cx="288925" cy="17780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288925" cy="177800"/>
                      </a:xfrm>
                      <a:prstGeom prst="rect">
                        <a:avLst/>
                      </a:prstGeom>
                    </wps:spPr>
                    <wps:txbx>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43</w:t>
                          </w:r>
                          <w:r>
                            <w:rPr>
                              <w:rFonts w:ascii="Tahoma"/>
                              <w:b/>
                              <w:color w:val="FFFFFF"/>
                              <w:spacing w:val="-5"/>
                              <w:sz w:val="24"/>
                            </w:rPr>
                            <w:fldChar w:fldCharType="end"/>
                          </w:r>
                        </w:p>
                      </w:txbxContent>
                    </wps:txbx>
                    <wps:bodyPr wrap="square" lIns="0" tIns="0" rIns="0" bIns="0" rtlCol="0">
                      <a:noAutofit/>
                    </wps:bodyPr>
                  </wps:wsp>
                </a:graphicData>
              </a:graphic>
            </wp:anchor>
          </w:drawing>
        </mc:Choice>
        <mc:Fallback>
          <w:pict>
            <v:shape style="position:absolute;margin-left:17.4865pt;margin-top:36.752117pt;width:22.75pt;height:14pt;mso-position-horizontal-relative:page;mso-position-vertical-relative:page;z-index:-18590208" type="#_x0000_t202" id="docshape150" filled="false" stroked="false">
              <v:textbox inset="0,0,0,0">
                <w:txbxContent>
                  <w:p>
                    <w:pPr>
                      <w:spacing w:line="266" w:lineRule="exact" w:before="0"/>
                      <w:ind w:left="60" w:right="0" w:firstLine="0"/>
                      <w:jc w:val="left"/>
                      <w:rPr>
                        <w:rFonts w:ascii="Tahoma"/>
                        <w:b/>
                        <w:sz w:val="24"/>
                      </w:rPr>
                    </w:pPr>
                    <w:r>
                      <w:rPr>
                        <w:rFonts w:ascii="Tahoma"/>
                        <w:b/>
                        <w:color w:val="FFFFFF"/>
                        <w:spacing w:val="-5"/>
                        <w:sz w:val="24"/>
                      </w:rPr>
                      <w:fldChar w:fldCharType="begin"/>
                    </w:r>
                    <w:r>
                      <w:rPr>
                        <w:rFonts w:ascii="Tahoma"/>
                        <w:b/>
                        <w:color w:val="FFFFFF"/>
                        <w:spacing w:val="-5"/>
                        <w:sz w:val="24"/>
                      </w:rPr>
                      <w:instrText> PAGE </w:instrText>
                    </w:r>
                    <w:r>
                      <w:rPr>
                        <w:rFonts w:ascii="Tahoma"/>
                        <w:b/>
                        <w:color w:val="FFFFFF"/>
                        <w:spacing w:val="-5"/>
                        <w:sz w:val="24"/>
                      </w:rPr>
                      <w:fldChar w:fldCharType="separate"/>
                    </w:r>
                    <w:r>
                      <w:rPr>
                        <w:rFonts w:ascii="Tahoma"/>
                        <w:b/>
                        <w:color w:val="FFFFFF"/>
                        <w:spacing w:val="-5"/>
                        <w:sz w:val="24"/>
                      </w:rPr>
                      <w:t>43</w:t>
                    </w:r>
                    <w:r>
                      <w:rPr>
                        <w:rFonts w:ascii="Tahoma"/>
                        <w:b/>
                        <w:color w:val="FFFFFF"/>
                        <w:spacing w:val="-5"/>
                        <w:sz w:val="24"/>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28320">
              <wp:simplePos x="0" y="0"/>
              <wp:positionH relativeFrom="page">
                <wp:posOffset>0</wp:posOffset>
              </wp:positionH>
              <wp:positionV relativeFrom="page">
                <wp:posOffset>315010</wp:posOffset>
              </wp:positionV>
              <wp:extent cx="7560309" cy="467995"/>
              <wp:effectExtent l="0" t="0" r="0" b="0"/>
              <wp:wrapNone/>
              <wp:docPr id="199" name="Group 199"/>
              <wp:cNvGraphicFramePr>
                <a:graphicFrameLocks/>
              </wp:cNvGraphicFramePr>
              <a:graphic>
                <a:graphicData uri="http://schemas.microsoft.com/office/word/2010/wordprocessingGroup">
                  <wpg:wgp>
                    <wpg:cNvPr id="199" name="Group 199"/>
                    <wpg:cNvGrpSpPr/>
                    <wpg:grpSpPr>
                      <a:xfrm>
                        <a:off x="0" y="0"/>
                        <a:ext cx="7560309" cy="467995"/>
                        <a:chExt cx="7560309" cy="467995"/>
                      </a:xfrm>
                    </wpg:grpSpPr>
                    <wps:wsp>
                      <wps:cNvPr id="200" name="Graphic 200"/>
                      <wps:cNvSpPr/>
                      <wps:spPr>
                        <a:xfrm>
                          <a:off x="0" y="0"/>
                          <a:ext cx="7560309" cy="467995"/>
                        </a:xfrm>
                        <a:custGeom>
                          <a:avLst/>
                          <a:gdLst/>
                          <a:ahLst/>
                          <a:cxnLst/>
                          <a:rect l="l" t="t" r="r" b="b"/>
                          <a:pathLst>
                            <a:path w="7560309" h="467995">
                              <a:moveTo>
                                <a:pt x="0" y="0"/>
                              </a:moveTo>
                              <a:lnTo>
                                <a:pt x="0" y="467995"/>
                              </a:lnTo>
                              <a:lnTo>
                                <a:pt x="7560005" y="467995"/>
                              </a:lnTo>
                              <a:lnTo>
                                <a:pt x="7560005" y="0"/>
                              </a:lnTo>
                              <a:lnTo>
                                <a:pt x="0" y="0"/>
                              </a:lnTo>
                              <a:close/>
                            </a:path>
                          </a:pathLst>
                        </a:custGeom>
                        <a:solidFill>
                          <a:srgbClr val="67287F"/>
                        </a:solidFill>
                      </wps:spPr>
                      <wps:bodyPr wrap="square" lIns="0" tIns="0" rIns="0" bIns="0" rtlCol="0">
                        <a:prstTxWarp prst="textNoShape">
                          <a:avLst/>
                        </a:prstTxWarp>
                        <a:noAutofit/>
                      </wps:bodyPr>
                    </wps:wsp>
                    <wps:wsp>
                      <wps:cNvPr id="201" name="Graphic 201"/>
                      <wps:cNvSpPr/>
                      <wps:spPr>
                        <a:xfrm>
                          <a:off x="6840004" y="0"/>
                          <a:ext cx="720090" cy="467995"/>
                        </a:xfrm>
                        <a:custGeom>
                          <a:avLst/>
                          <a:gdLst/>
                          <a:ahLst/>
                          <a:cxnLst/>
                          <a:rect l="l" t="t" r="r" b="b"/>
                          <a:pathLst>
                            <a:path w="720090" h="467995">
                              <a:moveTo>
                                <a:pt x="720001" y="0"/>
                              </a:moveTo>
                              <a:lnTo>
                                <a:pt x="0" y="0"/>
                              </a:lnTo>
                              <a:lnTo>
                                <a:pt x="0" y="467995"/>
                              </a:lnTo>
                              <a:lnTo>
                                <a:pt x="720001" y="467995"/>
                              </a:lnTo>
                              <a:lnTo>
                                <a:pt x="720001" y="0"/>
                              </a:lnTo>
                              <a:close/>
                            </a:path>
                          </a:pathLst>
                        </a:custGeom>
                        <a:solidFill>
                          <a:srgbClr val="FFFFFF">
                            <a:alpha val="54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4.804014pt;width:595.3pt;height:36.85pt;mso-position-horizontal-relative:page;mso-position-vertical-relative:page;z-index:-18588160" id="docshapegroup155" coordorigin="0,496" coordsize="11906,737">
              <v:rect style="position:absolute;left:0;top:496;width:11906;height:737" id="docshape156" filled="true" fillcolor="#67287f" stroked="false">
                <v:fill type="solid"/>
              </v:rect>
              <v:rect style="position:absolute;left:10771;top:496;width:1134;height:737" id="docshape157" filled="true" fillcolor="#ffffff" stroked="false">
                <v:fill opacity="36044f" type="solid"/>
              </v:rect>
              <w10:wrap type="none"/>
            </v:group>
          </w:pict>
        </mc:Fallback>
      </mc:AlternateContent>
    </w:r>
    <w:r>
      <w:rPr/>
      <mc:AlternateContent>
        <mc:Choice Requires="wps">
          <w:drawing>
            <wp:anchor distT="0" distB="0" distL="0" distR="0" allowOverlap="1" layoutInCell="1" locked="0" behindDoc="1" simplePos="0" relativeHeight="484728832">
              <wp:simplePos x="0" y="0"/>
              <wp:positionH relativeFrom="page">
                <wp:posOffset>7056895</wp:posOffset>
              </wp:positionH>
              <wp:positionV relativeFrom="page">
                <wp:posOffset>449717</wp:posOffset>
              </wp:positionV>
              <wp:extent cx="299085" cy="19431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299085" cy="194310"/>
                      </a:xfrm>
                      <a:prstGeom prst="rect">
                        <a:avLst/>
                      </a:prstGeom>
                    </wps:spPr>
                    <wps:txbx>
                      <w:txbxContent>
                        <w:p>
                          <w:pPr>
                            <w:spacing w:before="18"/>
                            <w:ind w:left="60" w:right="0" w:firstLine="0"/>
                            <w:jc w:val="left"/>
                            <w:rPr>
                              <w:rFonts w:ascii="Trebuchet MS"/>
                              <w:b/>
                              <w:sz w:val="24"/>
                            </w:rPr>
                          </w:pPr>
                          <w:r>
                            <w:rPr>
                              <w:rFonts w:ascii="Trebuchet MS"/>
                              <w:b/>
                              <w:color w:val="FFFFFF"/>
                              <w:spacing w:val="-5"/>
                              <w:w w:val="115"/>
                              <w:sz w:val="24"/>
                            </w:rPr>
                            <w:fldChar w:fldCharType="begin"/>
                          </w:r>
                          <w:r>
                            <w:rPr>
                              <w:rFonts w:ascii="Trebuchet MS"/>
                              <w:b/>
                              <w:color w:val="FFFFFF"/>
                              <w:spacing w:val="-5"/>
                              <w:w w:val="115"/>
                              <w:sz w:val="24"/>
                            </w:rPr>
                            <w:instrText> PAGE </w:instrText>
                          </w:r>
                          <w:r>
                            <w:rPr>
                              <w:rFonts w:ascii="Trebuchet MS"/>
                              <w:b/>
                              <w:color w:val="FFFFFF"/>
                              <w:spacing w:val="-5"/>
                              <w:w w:val="115"/>
                              <w:sz w:val="24"/>
                            </w:rPr>
                            <w:fldChar w:fldCharType="separate"/>
                          </w:r>
                          <w:r>
                            <w:rPr>
                              <w:rFonts w:ascii="Trebuchet MS"/>
                              <w:b/>
                              <w:color w:val="FFFFFF"/>
                              <w:spacing w:val="-5"/>
                              <w:w w:val="115"/>
                              <w:sz w:val="24"/>
                            </w:rPr>
                            <w:t>44</w:t>
                          </w:r>
                          <w:r>
                            <w:rPr>
                              <w:rFonts w:ascii="Trebuchet MS"/>
                              <w:b/>
                              <w:color w:val="FFFFFF"/>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555.661072pt;margin-top:35.410816pt;width:23.55pt;height:15.3pt;mso-position-horizontal-relative:page;mso-position-vertical-relative:page;z-index:-18587648" type="#_x0000_t202" id="docshape158" filled="false" stroked="false">
              <v:textbox inset="0,0,0,0">
                <w:txbxContent>
                  <w:p>
                    <w:pPr>
                      <w:spacing w:before="18"/>
                      <w:ind w:left="60" w:right="0" w:firstLine="0"/>
                      <w:jc w:val="left"/>
                      <w:rPr>
                        <w:rFonts w:ascii="Trebuchet MS"/>
                        <w:b/>
                        <w:sz w:val="24"/>
                      </w:rPr>
                    </w:pPr>
                    <w:r>
                      <w:rPr>
                        <w:rFonts w:ascii="Trebuchet MS"/>
                        <w:b/>
                        <w:color w:val="FFFFFF"/>
                        <w:spacing w:val="-5"/>
                        <w:w w:val="115"/>
                        <w:sz w:val="24"/>
                      </w:rPr>
                      <w:fldChar w:fldCharType="begin"/>
                    </w:r>
                    <w:r>
                      <w:rPr>
                        <w:rFonts w:ascii="Trebuchet MS"/>
                        <w:b/>
                        <w:color w:val="FFFFFF"/>
                        <w:spacing w:val="-5"/>
                        <w:w w:val="115"/>
                        <w:sz w:val="24"/>
                      </w:rPr>
                      <w:instrText> PAGE </w:instrText>
                    </w:r>
                    <w:r>
                      <w:rPr>
                        <w:rFonts w:ascii="Trebuchet MS"/>
                        <w:b/>
                        <w:color w:val="FFFFFF"/>
                        <w:spacing w:val="-5"/>
                        <w:w w:val="115"/>
                        <w:sz w:val="24"/>
                      </w:rPr>
                      <w:fldChar w:fldCharType="separate"/>
                    </w:r>
                    <w:r>
                      <w:rPr>
                        <w:rFonts w:ascii="Trebuchet MS"/>
                        <w:b/>
                        <w:color w:val="FFFFFF"/>
                        <w:spacing w:val="-5"/>
                        <w:w w:val="115"/>
                        <w:sz w:val="24"/>
                      </w:rPr>
                      <w:t>44</w:t>
                    </w:r>
                    <w:r>
                      <w:rPr>
                        <w:rFonts w:ascii="Trebuchet MS"/>
                        <w:b/>
                        <w:color w:val="FFFFFF"/>
                        <w:spacing w:val="-5"/>
                        <w:w w:val="115"/>
                        <w:sz w:val="24"/>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0"/>
      <w:numFmt w:val="bullet"/>
      <w:lvlText w:val=""/>
      <w:lvlJc w:val="left"/>
      <w:pPr>
        <w:ind w:left="2562" w:hanging="360"/>
      </w:pPr>
      <w:rPr>
        <w:rFonts w:hint="default" w:ascii="Symbol" w:hAnsi="Symbol" w:eastAsia="Symbol" w:cs="Symbol"/>
        <w:b w:val="0"/>
        <w:bCs w:val="0"/>
        <w:i w:val="0"/>
        <w:iCs w:val="0"/>
        <w:spacing w:val="0"/>
        <w:w w:val="100"/>
        <w:sz w:val="28"/>
        <w:szCs w:val="28"/>
        <w:lang w:val="en-US" w:eastAsia="en-US" w:bidi="ar-SA"/>
      </w:rPr>
    </w:lvl>
    <w:lvl w:ilvl="1">
      <w:start w:val="0"/>
      <w:numFmt w:val="bullet"/>
      <w:lvlText w:val="•"/>
      <w:lvlJc w:val="left"/>
      <w:pPr>
        <w:ind w:left="3494" w:hanging="360"/>
      </w:pPr>
      <w:rPr>
        <w:rFonts w:hint="default"/>
        <w:lang w:val="en-US" w:eastAsia="en-US" w:bidi="ar-SA"/>
      </w:rPr>
    </w:lvl>
    <w:lvl w:ilvl="2">
      <w:start w:val="0"/>
      <w:numFmt w:val="bullet"/>
      <w:lvlText w:val="•"/>
      <w:lvlJc w:val="left"/>
      <w:pPr>
        <w:ind w:left="4429" w:hanging="360"/>
      </w:pPr>
      <w:rPr>
        <w:rFonts w:hint="default"/>
        <w:lang w:val="en-US" w:eastAsia="en-US" w:bidi="ar-SA"/>
      </w:rPr>
    </w:lvl>
    <w:lvl w:ilvl="3">
      <w:start w:val="0"/>
      <w:numFmt w:val="bullet"/>
      <w:lvlText w:val="•"/>
      <w:lvlJc w:val="left"/>
      <w:pPr>
        <w:ind w:left="5363" w:hanging="360"/>
      </w:pPr>
      <w:rPr>
        <w:rFonts w:hint="default"/>
        <w:lang w:val="en-US" w:eastAsia="en-US" w:bidi="ar-SA"/>
      </w:rPr>
    </w:lvl>
    <w:lvl w:ilvl="4">
      <w:start w:val="0"/>
      <w:numFmt w:val="bullet"/>
      <w:lvlText w:val="•"/>
      <w:lvlJc w:val="left"/>
      <w:pPr>
        <w:ind w:left="6298" w:hanging="360"/>
      </w:pPr>
      <w:rPr>
        <w:rFonts w:hint="default"/>
        <w:lang w:val="en-US" w:eastAsia="en-US" w:bidi="ar-SA"/>
      </w:rPr>
    </w:lvl>
    <w:lvl w:ilvl="5">
      <w:start w:val="0"/>
      <w:numFmt w:val="bullet"/>
      <w:lvlText w:val="•"/>
      <w:lvlJc w:val="left"/>
      <w:pPr>
        <w:ind w:left="7232" w:hanging="360"/>
      </w:pPr>
      <w:rPr>
        <w:rFonts w:hint="default"/>
        <w:lang w:val="en-US" w:eastAsia="en-US" w:bidi="ar-SA"/>
      </w:rPr>
    </w:lvl>
    <w:lvl w:ilvl="6">
      <w:start w:val="0"/>
      <w:numFmt w:val="bullet"/>
      <w:lvlText w:val="•"/>
      <w:lvlJc w:val="left"/>
      <w:pPr>
        <w:ind w:left="8167" w:hanging="360"/>
      </w:pPr>
      <w:rPr>
        <w:rFonts w:hint="default"/>
        <w:lang w:val="en-US" w:eastAsia="en-US" w:bidi="ar-SA"/>
      </w:rPr>
    </w:lvl>
    <w:lvl w:ilvl="7">
      <w:start w:val="0"/>
      <w:numFmt w:val="bullet"/>
      <w:lvlText w:val="•"/>
      <w:lvlJc w:val="left"/>
      <w:pPr>
        <w:ind w:left="9101" w:hanging="360"/>
      </w:pPr>
      <w:rPr>
        <w:rFonts w:hint="default"/>
        <w:lang w:val="en-US" w:eastAsia="en-US" w:bidi="ar-SA"/>
      </w:rPr>
    </w:lvl>
    <w:lvl w:ilvl="8">
      <w:start w:val="0"/>
      <w:numFmt w:val="bullet"/>
      <w:lvlText w:val="•"/>
      <w:lvlJc w:val="left"/>
      <w:pPr>
        <w:ind w:left="10036" w:hanging="360"/>
      </w:pPr>
      <w:rPr>
        <w:rFonts w:hint="default"/>
        <w:lang w:val="en-US" w:eastAsia="en-US" w:bidi="ar-SA"/>
      </w:rPr>
    </w:lvl>
  </w:abstractNum>
  <w:abstractNum w:abstractNumId="15">
    <w:multiLevelType w:val="hybridMultilevel"/>
    <w:lvl w:ilvl="0">
      <w:start w:val="855"/>
      <w:numFmt w:val="decimal"/>
      <w:lvlText w:val="%1"/>
      <w:lvlJc w:val="left"/>
      <w:pPr>
        <w:ind w:left="1853" w:hanging="720"/>
        <w:jc w:val="left"/>
      </w:pPr>
      <w:rPr>
        <w:rFonts w:hint="default" w:ascii="Calibri" w:hAnsi="Calibri" w:eastAsia="Calibri" w:cs="Calibri"/>
        <w:b w:val="0"/>
        <w:bCs w:val="0"/>
        <w:i w:val="0"/>
        <w:iCs w:val="0"/>
        <w:spacing w:val="0"/>
        <w:w w:val="100"/>
        <w:sz w:val="18"/>
        <w:szCs w:val="18"/>
        <w:lang w:val="en-US" w:eastAsia="en-US" w:bidi="ar-SA"/>
      </w:rPr>
    </w:lvl>
    <w:lvl w:ilvl="1">
      <w:start w:val="0"/>
      <w:numFmt w:val="bullet"/>
      <w:lvlText w:val="•"/>
      <w:lvlJc w:val="left"/>
      <w:pPr>
        <w:ind w:left="2864" w:hanging="720"/>
      </w:pPr>
      <w:rPr>
        <w:rFonts w:hint="default"/>
        <w:lang w:val="en-US" w:eastAsia="en-US" w:bidi="ar-SA"/>
      </w:rPr>
    </w:lvl>
    <w:lvl w:ilvl="2">
      <w:start w:val="0"/>
      <w:numFmt w:val="bullet"/>
      <w:lvlText w:val="•"/>
      <w:lvlJc w:val="left"/>
      <w:pPr>
        <w:ind w:left="3869" w:hanging="720"/>
      </w:pPr>
      <w:rPr>
        <w:rFonts w:hint="default"/>
        <w:lang w:val="en-US" w:eastAsia="en-US" w:bidi="ar-SA"/>
      </w:rPr>
    </w:lvl>
    <w:lvl w:ilvl="3">
      <w:start w:val="0"/>
      <w:numFmt w:val="bullet"/>
      <w:lvlText w:val="•"/>
      <w:lvlJc w:val="left"/>
      <w:pPr>
        <w:ind w:left="4873" w:hanging="720"/>
      </w:pPr>
      <w:rPr>
        <w:rFonts w:hint="default"/>
        <w:lang w:val="en-US" w:eastAsia="en-US" w:bidi="ar-SA"/>
      </w:rPr>
    </w:lvl>
    <w:lvl w:ilvl="4">
      <w:start w:val="0"/>
      <w:numFmt w:val="bullet"/>
      <w:lvlText w:val="•"/>
      <w:lvlJc w:val="left"/>
      <w:pPr>
        <w:ind w:left="5878" w:hanging="720"/>
      </w:pPr>
      <w:rPr>
        <w:rFonts w:hint="default"/>
        <w:lang w:val="en-US" w:eastAsia="en-US" w:bidi="ar-SA"/>
      </w:rPr>
    </w:lvl>
    <w:lvl w:ilvl="5">
      <w:start w:val="0"/>
      <w:numFmt w:val="bullet"/>
      <w:lvlText w:val="•"/>
      <w:lvlJc w:val="left"/>
      <w:pPr>
        <w:ind w:left="6882" w:hanging="720"/>
      </w:pPr>
      <w:rPr>
        <w:rFonts w:hint="default"/>
        <w:lang w:val="en-US" w:eastAsia="en-US" w:bidi="ar-SA"/>
      </w:rPr>
    </w:lvl>
    <w:lvl w:ilvl="6">
      <w:start w:val="0"/>
      <w:numFmt w:val="bullet"/>
      <w:lvlText w:val="•"/>
      <w:lvlJc w:val="left"/>
      <w:pPr>
        <w:ind w:left="7887" w:hanging="720"/>
      </w:pPr>
      <w:rPr>
        <w:rFonts w:hint="default"/>
        <w:lang w:val="en-US" w:eastAsia="en-US" w:bidi="ar-SA"/>
      </w:rPr>
    </w:lvl>
    <w:lvl w:ilvl="7">
      <w:start w:val="0"/>
      <w:numFmt w:val="bullet"/>
      <w:lvlText w:val="•"/>
      <w:lvlJc w:val="left"/>
      <w:pPr>
        <w:ind w:left="8891" w:hanging="720"/>
      </w:pPr>
      <w:rPr>
        <w:rFonts w:hint="default"/>
        <w:lang w:val="en-US" w:eastAsia="en-US" w:bidi="ar-SA"/>
      </w:rPr>
    </w:lvl>
    <w:lvl w:ilvl="8">
      <w:start w:val="0"/>
      <w:numFmt w:val="bullet"/>
      <w:lvlText w:val="•"/>
      <w:lvlJc w:val="left"/>
      <w:pPr>
        <w:ind w:left="9896" w:hanging="720"/>
      </w:pPr>
      <w:rPr>
        <w:rFonts w:hint="default"/>
        <w:lang w:val="en-US" w:eastAsia="en-US" w:bidi="ar-SA"/>
      </w:rPr>
    </w:lvl>
  </w:abstractNum>
  <w:abstractNum w:abstractNumId="14">
    <w:multiLevelType w:val="hybridMultilevel"/>
    <w:lvl w:ilvl="0">
      <w:start w:val="821"/>
      <w:numFmt w:val="decimal"/>
      <w:lvlText w:val="%1"/>
      <w:lvlJc w:val="left"/>
      <w:pPr>
        <w:ind w:left="1853" w:hanging="720"/>
        <w:jc w:val="left"/>
      </w:pPr>
      <w:rPr>
        <w:rFonts w:hint="default" w:ascii="Calibri" w:hAnsi="Calibri" w:eastAsia="Calibri" w:cs="Calibri"/>
        <w:b w:val="0"/>
        <w:bCs w:val="0"/>
        <w:i w:val="0"/>
        <w:iCs w:val="0"/>
        <w:spacing w:val="0"/>
        <w:w w:val="100"/>
        <w:sz w:val="18"/>
        <w:szCs w:val="18"/>
        <w:lang w:val="en-US" w:eastAsia="en-US" w:bidi="ar-SA"/>
      </w:rPr>
    </w:lvl>
    <w:lvl w:ilvl="1">
      <w:start w:val="0"/>
      <w:numFmt w:val="bullet"/>
      <w:lvlText w:val="•"/>
      <w:lvlJc w:val="left"/>
      <w:pPr>
        <w:ind w:left="2864" w:hanging="720"/>
      </w:pPr>
      <w:rPr>
        <w:rFonts w:hint="default"/>
        <w:lang w:val="en-US" w:eastAsia="en-US" w:bidi="ar-SA"/>
      </w:rPr>
    </w:lvl>
    <w:lvl w:ilvl="2">
      <w:start w:val="0"/>
      <w:numFmt w:val="bullet"/>
      <w:lvlText w:val="•"/>
      <w:lvlJc w:val="left"/>
      <w:pPr>
        <w:ind w:left="3869" w:hanging="720"/>
      </w:pPr>
      <w:rPr>
        <w:rFonts w:hint="default"/>
        <w:lang w:val="en-US" w:eastAsia="en-US" w:bidi="ar-SA"/>
      </w:rPr>
    </w:lvl>
    <w:lvl w:ilvl="3">
      <w:start w:val="0"/>
      <w:numFmt w:val="bullet"/>
      <w:lvlText w:val="•"/>
      <w:lvlJc w:val="left"/>
      <w:pPr>
        <w:ind w:left="4873" w:hanging="720"/>
      </w:pPr>
      <w:rPr>
        <w:rFonts w:hint="default"/>
        <w:lang w:val="en-US" w:eastAsia="en-US" w:bidi="ar-SA"/>
      </w:rPr>
    </w:lvl>
    <w:lvl w:ilvl="4">
      <w:start w:val="0"/>
      <w:numFmt w:val="bullet"/>
      <w:lvlText w:val="•"/>
      <w:lvlJc w:val="left"/>
      <w:pPr>
        <w:ind w:left="5878" w:hanging="720"/>
      </w:pPr>
      <w:rPr>
        <w:rFonts w:hint="default"/>
        <w:lang w:val="en-US" w:eastAsia="en-US" w:bidi="ar-SA"/>
      </w:rPr>
    </w:lvl>
    <w:lvl w:ilvl="5">
      <w:start w:val="0"/>
      <w:numFmt w:val="bullet"/>
      <w:lvlText w:val="•"/>
      <w:lvlJc w:val="left"/>
      <w:pPr>
        <w:ind w:left="6882" w:hanging="720"/>
      </w:pPr>
      <w:rPr>
        <w:rFonts w:hint="default"/>
        <w:lang w:val="en-US" w:eastAsia="en-US" w:bidi="ar-SA"/>
      </w:rPr>
    </w:lvl>
    <w:lvl w:ilvl="6">
      <w:start w:val="0"/>
      <w:numFmt w:val="bullet"/>
      <w:lvlText w:val="•"/>
      <w:lvlJc w:val="left"/>
      <w:pPr>
        <w:ind w:left="7887" w:hanging="720"/>
      </w:pPr>
      <w:rPr>
        <w:rFonts w:hint="default"/>
        <w:lang w:val="en-US" w:eastAsia="en-US" w:bidi="ar-SA"/>
      </w:rPr>
    </w:lvl>
    <w:lvl w:ilvl="7">
      <w:start w:val="0"/>
      <w:numFmt w:val="bullet"/>
      <w:lvlText w:val="•"/>
      <w:lvlJc w:val="left"/>
      <w:pPr>
        <w:ind w:left="8891" w:hanging="720"/>
      </w:pPr>
      <w:rPr>
        <w:rFonts w:hint="default"/>
        <w:lang w:val="en-US" w:eastAsia="en-US" w:bidi="ar-SA"/>
      </w:rPr>
    </w:lvl>
    <w:lvl w:ilvl="8">
      <w:start w:val="0"/>
      <w:numFmt w:val="bullet"/>
      <w:lvlText w:val="•"/>
      <w:lvlJc w:val="left"/>
      <w:pPr>
        <w:ind w:left="9896" w:hanging="720"/>
      </w:pPr>
      <w:rPr>
        <w:rFonts w:hint="default"/>
        <w:lang w:val="en-US" w:eastAsia="en-US" w:bidi="ar-SA"/>
      </w:rPr>
    </w:lvl>
  </w:abstractNum>
  <w:abstractNum w:abstractNumId="13">
    <w:multiLevelType w:val="hybridMultilevel"/>
    <w:lvl w:ilvl="0">
      <w:start w:val="814"/>
      <w:numFmt w:val="decimal"/>
      <w:lvlText w:val="%1"/>
      <w:lvlJc w:val="left"/>
      <w:pPr>
        <w:ind w:left="1853" w:hanging="720"/>
        <w:jc w:val="left"/>
      </w:pPr>
      <w:rPr>
        <w:rFonts w:hint="default" w:ascii="Calibri" w:hAnsi="Calibri" w:eastAsia="Calibri" w:cs="Calibri"/>
        <w:b w:val="0"/>
        <w:bCs w:val="0"/>
        <w:i w:val="0"/>
        <w:iCs w:val="0"/>
        <w:spacing w:val="0"/>
        <w:w w:val="100"/>
        <w:sz w:val="18"/>
        <w:szCs w:val="18"/>
        <w:lang w:val="en-US" w:eastAsia="en-US" w:bidi="ar-SA"/>
      </w:rPr>
    </w:lvl>
    <w:lvl w:ilvl="1">
      <w:start w:val="0"/>
      <w:numFmt w:val="bullet"/>
      <w:lvlText w:val="•"/>
      <w:lvlJc w:val="left"/>
      <w:pPr>
        <w:ind w:left="2864" w:hanging="720"/>
      </w:pPr>
      <w:rPr>
        <w:rFonts w:hint="default"/>
        <w:lang w:val="en-US" w:eastAsia="en-US" w:bidi="ar-SA"/>
      </w:rPr>
    </w:lvl>
    <w:lvl w:ilvl="2">
      <w:start w:val="0"/>
      <w:numFmt w:val="bullet"/>
      <w:lvlText w:val="•"/>
      <w:lvlJc w:val="left"/>
      <w:pPr>
        <w:ind w:left="3869" w:hanging="720"/>
      </w:pPr>
      <w:rPr>
        <w:rFonts w:hint="default"/>
        <w:lang w:val="en-US" w:eastAsia="en-US" w:bidi="ar-SA"/>
      </w:rPr>
    </w:lvl>
    <w:lvl w:ilvl="3">
      <w:start w:val="0"/>
      <w:numFmt w:val="bullet"/>
      <w:lvlText w:val="•"/>
      <w:lvlJc w:val="left"/>
      <w:pPr>
        <w:ind w:left="4873" w:hanging="720"/>
      </w:pPr>
      <w:rPr>
        <w:rFonts w:hint="default"/>
        <w:lang w:val="en-US" w:eastAsia="en-US" w:bidi="ar-SA"/>
      </w:rPr>
    </w:lvl>
    <w:lvl w:ilvl="4">
      <w:start w:val="0"/>
      <w:numFmt w:val="bullet"/>
      <w:lvlText w:val="•"/>
      <w:lvlJc w:val="left"/>
      <w:pPr>
        <w:ind w:left="5878" w:hanging="720"/>
      </w:pPr>
      <w:rPr>
        <w:rFonts w:hint="default"/>
        <w:lang w:val="en-US" w:eastAsia="en-US" w:bidi="ar-SA"/>
      </w:rPr>
    </w:lvl>
    <w:lvl w:ilvl="5">
      <w:start w:val="0"/>
      <w:numFmt w:val="bullet"/>
      <w:lvlText w:val="•"/>
      <w:lvlJc w:val="left"/>
      <w:pPr>
        <w:ind w:left="6882" w:hanging="720"/>
      </w:pPr>
      <w:rPr>
        <w:rFonts w:hint="default"/>
        <w:lang w:val="en-US" w:eastAsia="en-US" w:bidi="ar-SA"/>
      </w:rPr>
    </w:lvl>
    <w:lvl w:ilvl="6">
      <w:start w:val="0"/>
      <w:numFmt w:val="bullet"/>
      <w:lvlText w:val="•"/>
      <w:lvlJc w:val="left"/>
      <w:pPr>
        <w:ind w:left="7887" w:hanging="720"/>
      </w:pPr>
      <w:rPr>
        <w:rFonts w:hint="default"/>
        <w:lang w:val="en-US" w:eastAsia="en-US" w:bidi="ar-SA"/>
      </w:rPr>
    </w:lvl>
    <w:lvl w:ilvl="7">
      <w:start w:val="0"/>
      <w:numFmt w:val="bullet"/>
      <w:lvlText w:val="•"/>
      <w:lvlJc w:val="left"/>
      <w:pPr>
        <w:ind w:left="8891" w:hanging="720"/>
      </w:pPr>
      <w:rPr>
        <w:rFonts w:hint="default"/>
        <w:lang w:val="en-US" w:eastAsia="en-US" w:bidi="ar-SA"/>
      </w:rPr>
    </w:lvl>
    <w:lvl w:ilvl="8">
      <w:start w:val="0"/>
      <w:numFmt w:val="bullet"/>
      <w:lvlText w:val="•"/>
      <w:lvlJc w:val="left"/>
      <w:pPr>
        <w:ind w:left="9896" w:hanging="720"/>
      </w:pPr>
      <w:rPr>
        <w:rFonts w:hint="default"/>
        <w:lang w:val="en-US" w:eastAsia="en-US" w:bidi="ar-SA"/>
      </w:rPr>
    </w:lvl>
  </w:abstractNum>
  <w:abstractNum w:abstractNumId="12">
    <w:multiLevelType w:val="hybridMultilevel"/>
    <w:lvl w:ilvl="0">
      <w:start w:val="4"/>
      <w:numFmt w:val="decimal"/>
      <w:lvlText w:val="%1"/>
      <w:lvlJc w:val="left"/>
      <w:pPr>
        <w:ind w:left="1853" w:hanging="720"/>
        <w:jc w:val="left"/>
      </w:pPr>
      <w:rPr>
        <w:rFonts w:hint="default"/>
        <w:lang w:val="en-US" w:eastAsia="en-US" w:bidi="ar-SA"/>
      </w:rPr>
    </w:lvl>
    <w:lvl w:ilvl="1">
      <w:start w:val="1"/>
      <w:numFmt w:val="decimal"/>
      <w:lvlText w:val="%1.%2"/>
      <w:lvlJc w:val="left"/>
      <w:pPr>
        <w:ind w:left="1853" w:hanging="720"/>
        <w:jc w:val="right"/>
      </w:pPr>
      <w:rPr>
        <w:rFonts w:hint="default"/>
        <w:spacing w:val="0"/>
        <w:w w:val="100"/>
        <w:lang w:val="en-US" w:eastAsia="en-US" w:bidi="ar-SA"/>
      </w:rPr>
    </w:lvl>
    <w:lvl w:ilvl="2">
      <w:start w:val="0"/>
      <w:numFmt w:val="bullet"/>
      <w:lvlText w:val=""/>
      <w:lvlJc w:val="left"/>
      <w:pPr>
        <w:ind w:left="2562" w:hanging="360"/>
      </w:pPr>
      <w:rPr>
        <w:rFonts w:hint="default" w:ascii="Symbol" w:hAnsi="Symbol" w:eastAsia="Symbol" w:cs="Symbol"/>
        <w:b w:val="0"/>
        <w:bCs w:val="0"/>
        <w:i w:val="0"/>
        <w:iCs w:val="0"/>
        <w:color w:val="67287F"/>
        <w:spacing w:val="0"/>
        <w:w w:val="100"/>
        <w:sz w:val="28"/>
        <w:szCs w:val="28"/>
        <w:lang w:val="en-US" w:eastAsia="en-US" w:bidi="ar-SA"/>
      </w:rPr>
    </w:lvl>
    <w:lvl w:ilvl="3">
      <w:start w:val="0"/>
      <w:numFmt w:val="bullet"/>
      <w:lvlText w:val="•"/>
      <w:lvlJc w:val="left"/>
      <w:pPr>
        <w:ind w:left="4636" w:hanging="360"/>
      </w:pPr>
      <w:rPr>
        <w:rFonts w:hint="default"/>
        <w:lang w:val="en-US" w:eastAsia="en-US" w:bidi="ar-SA"/>
      </w:rPr>
    </w:lvl>
    <w:lvl w:ilvl="4">
      <w:start w:val="0"/>
      <w:numFmt w:val="bullet"/>
      <w:lvlText w:val="•"/>
      <w:lvlJc w:val="left"/>
      <w:pPr>
        <w:ind w:left="5675" w:hanging="360"/>
      </w:pPr>
      <w:rPr>
        <w:rFonts w:hint="default"/>
        <w:lang w:val="en-US" w:eastAsia="en-US" w:bidi="ar-SA"/>
      </w:rPr>
    </w:lvl>
    <w:lvl w:ilvl="5">
      <w:start w:val="0"/>
      <w:numFmt w:val="bullet"/>
      <w:lvlText w:val="•"/>
      <w:lvlJc w:val="left"/>
      <w:pPr>
        <w:ind w:left="6713" w:hanging="360"/>
      </w:pPr>
      <w:rPr>
        <w:rFonts w:hint="default"/>
        <w:lang w:val="en-US" w:eastAsia="en-US" w:bidi="ar-SA"/>
      </w:rPr>
    </w:lvl>
    <w:lvl w:ilvl="6">
      <w:start w:val="0"/>
      <w:numFmt w:val="bullet"/>
      <w:lvlText w:val="•"/>
      <w:lvlJc w:val="left"/>
      <w:pPr>
        <w:ind w:left="7751" w:hanging="360"/>
      </w:pPr>
      <w:rPr>
        <w:rFonts w:hint="default"/>
        <w:lang w:val="en-US" w:eastAsia="en-US" w:bidi="ar-SA"/>
      </w:rPr>
    </w:lvl>
    <w:lvl w:ilvl="7">
      <w:start w:val="0"/>
      <w:numFmt w:val="bullet"/>
      <w:lvlText w:val="•"/>
      <w:lvlJc w:val="left"/>
      <w:pPr>
        <w:ind w:left="8790" w:hanging="360"/>
      </w:pPr>
      <w:rPr>
        <w:rFonts w:hint="default"/>
        <w:lang w:val="en-US" w:eastAsia="en-US" w:bidi="ar-SA"/>
      </w:rPr>
    </w:lvl>
    <w:lvl w:ilvl="8">
      <w:start w:val="0"/>
      <w:numFmt w:val="bullet"/>
      <w:lvlText w:val="•"/>
      <w:lvlJc w:val="left"/>
      <w:pPr>
        <w:ind w:left="9828" w:hanging="360"/>
      </w:pPr>
      <w:rPr>
        <w:rFonts w:hint="default"/>
        <w:lang w:val="en-US" w:eastAsia="en-US" w:bidi="ar-SA"/>
      </w:rPr>
    </w:lvl>
  </w:abstractNum>
  <w:abstractNum w:abstractNumId="11">
    <w:multiLevelType w:val="hybridMultilevel"/>
    <w:lvl w:ilvl="0">
      <w:start w:val="4"/>
      <w:numFmt w:val="decimal"/>
      <w:lvlText w:val="%1"/>
      <w:lvlJc w:val="left"/>
      <w:pPr>
        <w:ind w:left="1133" w:hanging="784"/>
        <w:jc w:val="left"/>
      </w:pPr>
      <w:rPr>
        <w:rFonts w:hint="default"/>
        <w:lang w:val="en-US" w:eastAsia="en-US" w:bidi="ar-SA"/>
      </w:rPr>
    </w:lvl>
    <w:lvl w:ilvl="1">
      <w:start w:val="0"/>
      <w:numFmt w:val="decimal"/>
      <w:lvlText w:val="%1.%2"/>
      <w:lvlJc w:val="left"/>
      <w:pPr>
        <w:ind w:left="1133" w:hanging="784"/>
        <w:jc w:val="left"/>
      </w:pPr>
      <w:rPr>
        <w:rFonts w:hint="default" w:ascii="Calibri" w:hAnsi="Calibri" w:eastAsia="Calibri" w:cs="Calibri"/>
        <w:b/>
        <w:bCs/>
        <w:i w:val="0"/>
        <w:iCs w:val="0"/>
        <w:color w:val="393B7F"/>
        <w:spacing w:val="0"/>
        <w:w w:val="100"/>
        <w:sz w:val="52"/>
        <w:szCs w:val="52"/>
        <w:lang w:val="en-US" w:eastAsia="en-US" w:bidi="ar-SA"/>
      </w:rPr>
    </w:lvl>
    <w:lvl w:ilvl="2">
      <w:start w:val="0"/>
      <w:numFmt w:val="bullet"/>
      <w:lvlText w:val="•"/>
      <w:lvlJc w:val="left"/>
      <w:pPr>
        <w:ind w:left="3293" w:hanging="784"/>
      </w:pPr>
      <w:rPr>
        <w:rFonts w:hint="default"/>
        <w:lang w:val="en-US" w:eastAsia="en-US" w:bidi="ar-SA"/>
      </w:rPr>
    </w:lvl>
    <w:lvl w:ilvl="3">
      <w:start w:val="0"/>
      <w:numFmt w:val="bullet"/>
      <w:lvlText w:val="•"/>
      <w:lvlJc w:val="left"/>
      <w:pPr>
        <w:ind w:left="4369" w:hanging="784"/>
      </w:pPr>
      <w:rPr>
        <w:rFonts w:hint="default"/>
        <w:lang w:val="en-US" w:eastAsia="en-US" w:bidi="ar-SA"/>
      </w:rPr>
    </w:lvl>
    <w:lvl w:ilvl="4">
      <w:start w:val="0"/>
      <w:numFmt w:val="bullet"/>
      <w:lvlText w:val="•"/>
      <w:lvlJc w:val="left"/>
      <w:pPr>
        <w:ind w:left="5446" w:hanging="784"/>
      </w:pPr>
      <w:rPr>
        <w:rFonts w:hint="default"/>
        <w:lang w:val="en-US" w:eastAsia="en-US" w:bidi="ar-SA"/>
      </w:rPr>
    </w:lvl>
    <w:lvl w:ilvl="5">
      <w:start w:val="0"/>
      <w:numFmt w:val="bullet"/>
      <w:lvlText w:val="•"/>
      <w:lvlJc w:val="left"/>
      <w:pPr>
        <w:ind w:left="6522" w:hanging="784"/>
      </w:pPr>
      <w:rPr>
        <w:rFonts w:hint="default"/>
        <w:lang w:val="en-US" w:eastAsia="en-US" w:bidi="ar-SA"/>
      </w:rPr>
    </w:lvl>
    <w:lvl w:ilvl="6">
      <w:start w:val="0"/>
      <w:numFmt w:val="bullet"/>
      <w:lvlText w:val="•"/>
      <w:lvlJc w:val="left"/>
      <w:pPr>
        <w:ind w:left="7599" w:hanging="784"/>
      </w:pPr>
      <w:rPr>
        <w:rFonts w:hint="default"/>
        <w:lang w:val="en-US" w:eastAsia="en-US" w:bidi="ar-SA"/>
      </w:rPr>
    </w:lvl>
    <w:lvl w:ilvl="7">
      <w:start w:val="0"/>
      <w:numFmt w:val="bullet"/>
      <w:lvlText w:val="•"/>
      <w:lvlJc w:val="left"/>
      <w:pPr>
        <w:ind w:left="8675" w:hanging="784"/>
      </w:pPr>
      <w:rPr>
        <w:rFonts w:hint="default"/>
        <w:lang w:val="en-US" w:eastAsia="en-US" w:bidi="ar-SA"/>
      </w:rPr>
    </w:lvl>
    <w:lvl w:ilvl="8">
      <w:start w:val="0"/>
      <w:numFmt w:val="bullet"/>
      <w:lvlText w:val="•"/>
      <w:lvlJc w:val="left"/>
      <w:pPr>
        <w:ind w:left="9752" w:hanging="784"/>
      </w:pPr>
      <w:rPr>
        <w:rFonts w:hint="default"/>
        <w:lang w:val="en-US" w:eastAsia="en-US" w:bidi="ar-SA"/>
      </w:rPr>
    </w:lvl>
  </w:abstractNum>
  <w:abstractNum w:abstractNumId="10">
    <w:multiLevelType w:val="hybridMultilevel"/>
    <w:lvl w:ilvl="0">
      <w:start w:val="545"/>
      <w:numFmt w:val="decimal"/>
      <w:lvlText w:val="%1"/>
      <w:lvlJc w:val="left"/>
      <w:pPr>
        <w:ind w:left="1853" w:hanging="720"/>
        <w:jc w:val="left"/>
      </w:pPr>
      <w:rPr>
        <w:rFonts w:hint="default" w:ascii="Calibri" w:hAnsi="Calibri" w:eastAsia="Calibri" w:cs="Calibri"/>
        <w:b w:val="0"/>
        <w:bCs w:val="0"/>
        <w:i w:val="0"/>
        <w:iCs w:val="0"/>
        <w:spacing w:val="0"/>
        <w:w w:val="100"/>
        <w:sz w:val="18"/>
        <w:szCs w:val="18"/>
        <w:lang w:val="en-US" w:eastAsia="en-US" w:bidi="ar-SA"/>
      </w:rPr>
    </w:lvl>
    <w:lvl w:ilvl="1">
      <w:start w:val="0"/>
      <w:numFmt w:val="bullet"/>
      <w:lvlText w:val="•"/>
      <w:lvlJc w:val="left"/>
      <w:pPr>
        <w:ind w:left="2864" w:hanging="720"/>
      </w:pPr>
      <w:rPr>
        <w:rFonts w:hint="default"/>
        <w:lang w:val="en-US" w:eastAsia="en-US" w:bidi="ar-SA"/>
      </w:rPr>
    </w:lvl>
    <w:lvl w:ilvl="2">
      <w:start w:val="0"/>
      <w:numFmt w:val="bullet"/>
      <w:lvlText w:val="•"/>
      <w:lvlJc w:val="left"/>
      <w:pPr>
        <w:ind w:left="3869" w:hanging="720"/>
      </w:pPr>
      <w:rPr>
        <w:rFonts w:hint="default"/>
        <w:lang w:val="en-US" w:eastAsia="en-US" w:bidi="ar-SA"/>
      </w:rPr>
    </w:lvl>
    <w:lvl w:ilvl="3">
      <w:start w:val="0"/>
      <w:numFmt w:val="bullet"/>
      <w:lvlText w:val="•"/>
      <w:lvlJc w:val="left"/>
      <w:pPr>
        <w:ind w:left="4873" w:hanging="720"/>
      </w:pPr>
      <w:rPr>
        <w:rFonts w:hint="default"/>
        <w:lang w:val="en-US" w:eastAsia="en-US" w:bidi="ar-SA"/>
      </w:rPr>
    </w:lvl>
    <w:lvl w:ilvl="4">
      <w:start w:val="0"/>
      <w:numFmt w:val="bullet"/>
      <w:lvlText w:val="•"/>
      <w:lvlJc w:val="left"/>
      <w:pPr>
        <w:ind w:left="5878" w:hanging="720"/>
      </w:pPr>
      <w:rPr>
        <w:rFonts w:hint="default"/>
        <w:lang w:val="en-US" w:eastAsia="en-US" w:bidi="ar-SA"/>
      </w:rPr>
    </w:lvl>
    <w:lvl w:ilvl="5">
      <w:start w:val="0"/>
      <w:numFmt w:val="bullet"/>
      <w:lvlText w:val="•"/>
      <w:lvlJc w:val="left"/>
      <w:pPr>
        <w:ind w:left="6882" w:hanging="720"/>
      </w:pPr>
      <w:rPr>
        <w:rFonts w:hint="default"/>
        <w:lang w:val="en-US" w:eastAsia="en-US" w:bidi="ar-SA"/>
      </w:rPr>
    </w:lvl>
    <w:lvl w:ilvl="6">
      <w:start w:val="0"/>
      <w:numFmt w:val="bullet"/>
      <w:lvlText w:val="•"/>
      <w:lvlJc w:val="left"/>
      <w:pPr>
        <w:ind w:left="7887" w:hanging="720"/>
      </w:pPr>
      <w:rPr>
        <w:rFonts w:hint="default"/>
        <w:lang w:val="en-US" w:eastAsia="en-US" w:bidi="ar-SA"/>
      </w:rPr>
    </w:lvl>
    <w:lvl w:ilvl="7">
      <w:start w:val="0"/>
      <w:numFmt w:val="bullet"/>
      <w:lvlText w:val="•"/>
      <w:lvlJc w:val="left"/>
      <w:pPr>
        <w:ind w:left="8891" w:hanging="720"/>
      </w:pPr>
      <w:rPr>
        <w:rFonts w:hint="default"/>
        <w:lang w:val="en-US" w:eastAsia="en-US" w:bidi="ar-SA"/>
      </w:rPr>
    </w:lvl>
    <w:lvl w:ilvl="8">
      <w:start w:val="0"/>
      <w:numFmt w:val="bullet"/>
      <w:lvlText w:val="•"/>
      <w:lvlJc w:val="left"/>
      <w:pPr>
        <w:ind w:left="9896" w:hanging="720"/>
      </w:pPr>
      <w:rPr>
        <w:rFonts w:hint="default"/>
        <w:lang w:val="en-US" w:eastAsia="en-US" w:bidi="ar-SA"/>
      </w:rPr>
    </w:lvl>
  </w:abstractNum>
  <w:abstractNum w:abstractNumId="9">
    <w:multiLevelType w:val="hybridMultilevel"/>
    <w:lvl w:ilvl="0">
      <w:start w:val="529"/>
      <w:numFmt w:val="decimal"/>
      <w:lvlText w:val="%1"/>
      <w:lvlJc w:val="left"/>
      <w:pPr>
        <w:ind w:left="1853" w:hanging="720"/>
        <w:jc w:val="left"/>
      </w:pPr>
      <w:rPr>
        <w:rFonts w:hint="default" w:ascii="Calibri" w:hAnsi="Calibri" w:eastAsia="Calibri" w:cs="Calibri"/>
        <w:b w:val="0"/>
        <w:bCs w:val="0"/>
        <w:i w:val="0"/>
        <w:iCs w:val="0"/>
        <w:spacing w:val="0"/>
        <w:w w:val="100"/>
        <w:sz w:val="18"/>
        <w:szCs w:val="18"/>
        <w:lang w:val="en-US" w:eastAsia="en-US" w:bidi="ar-SA"/>
      </w:rPr>
    </w:lvl>
    <w:lvl w:ilvl="1">
      <w:start w:val="0"/>
      <w:numFmt w:val="bullet"/>
      <w:lvlText w:val="•"/>
      <w:lvlJc w:val="left"/>
      <w:pPr>
        <w:ind w:left="2864" w:hanging="720"/>
      </w:pPr>
      <w:rPr>
        <w:rFonts w:hint="default"/>
        <w:lang w:val="en-US" w:eastAsia="en-US" w:bidi="ar-SA"/>
      </w:rPr>
    </w:lvl>
    <w:lvl w:ilvl="2">
      <w:start w:val="0"/>
      <w:numFmt w:val="bullet"/>
      <w:lvlText w:val="•"/>
      <w:lvlJc w:val="left"/>
      <w:pPr>
        <w:ind w:left="3869" w:hanging="720"/>
      </w:pPr>
      <w:rPr>
        <w:rFonts w:hint="default"/>
        <w:lang w:val="en-US" w:eastAsia="en-US" w:bidi="ar-SA"/>
      </w:rPr>
    </w:lvl>
    <w:lvl w:ilvl="3">
      <w:start w:val="0"/>
      <w:numFmt w:val="bullet"/>
      <w:lvlText w:val="•"/>
      <w:lvlJc w:val="left"/>
      <w:pPr>
        <w:ind w:left="4873" w:hanging="720"/>
      </w:pPr>
      <w:rPr>
        <w:rFonts w:hint="default"/>
        <w:lang w:val="en-US" w:eastAsia="en-US" w:bidi="ar-SA"/>
      </w:rPr>
    </w:lvl>
    <w:lvl w:ilvl="4">
      <w:start w:val="0"/>
      <w:numFmt w:val="bullet"/>
      <w:lvlText w:val="•"/>
      <w:lvlJc w:val="left"/>
      <w:pPr>
        <w:ind w:left="5878" w:hanging="720"/>
      </w:pPr>
      <w:rPr>
        <w:rFonts w:hint="default"/>
        <w:lang w:val="en-US" w:eastAsia="en-US" w:bidi="ar-SA"/>
      </w:rPr>
    </w:lvl>
    <w:lvl w:ilvl="5">
      <w:start w:val="0"/>
      <w:numFmt w:val="bullet"/>
      <w:lvlText w:val="•"/>
      <w:lvlJc w:val="left"/>
      <w:pPr>
        <w:ind w:left="6882" w:hanging="720"/>
      </w:pPr>
      <w:rPr>
        <w:rFonts w:hint="default"/>
        <w:lang w:val="en-US" w:eastAsia="en-US" w:bidi="ar-SA"/>
      </w:rPr>
    </w:lvl>
    <w:lvl w:ilvl="6">
      <w:start w:val="0"/>
      <w:numFmt w:val="bullet"/>
      <w:lvlText w:val="•"/>
      <w:lvlJc w:val="left"/>
      <w:pPr>
        <w:ind w:left="7887" w:hanging="720"/>
      </w:pPr>
      <w:rPr>
        <w:rFonts w:hint="default"/>
        <w:lang w:val="en-US" w:eastAsia="en-US" w:bidi="ar-SA"/>
      </w:rPr>
    </w:lvl>
    <w:lvl w:ilvl="7">
      <w:start w:val="0"/>
      <w:numFmt w:val="bullet"/>
      <w:lvlText w:val="•"/>
      <w:lvlJc w:val="left"/>
      <w:pPr>
        <w:ind w:left="8891" w:hanging="720"/>
      </w:pPr>
      <w:rPr>
        <w:rFonts w:hint="default"/>
        <w:lang w:val="en-US" w:eastAsia="en-US" w:bidi="ar-SA"/>
      </w:rPr>
    </w:lvl>
    <w:lvl w:ilvl="8">
      <w:start w:val="0"/>
      <w:numFmt w:val="bullet"/>
      <w:lvlText w:val="•"/>
      <w:lvlJc w:val="left"/>
      <w:pPr>
        <w:ind w:left="9896" w:hanging="720"/>
      </w:pPr>
      <w:rPr>
        <w:rFonts w:hint="default"/>
        <w:lang w:val="en-US" w:eastAsia="en-US" w:bidi="ar-SA"/>
      </w:rPr>
    </w:lvl>
  </w:abstractNum>
  <w:abstractNum w:abstractNumId="8">
    <w:multiLevelType w:val="hybridMultilevel"/>
    <w:lvl w:ilvl="0">
      <w:start w:val="262"/>
      <w:numFmt w:val="decimal"/>
      <w:lvlText w:val="%1"/>
      <w:lvlJc w:val="left"/>
      <w:pPr>
        <w:ind w:left="1853" w:hanging="720"/>
        <w:jc w:val="left"/>
      </w:pPr>
      <w:rPr>
        <w:rFonts w:hint="default" w:ascii="Calibri" w:hAnsi="Calibri" w:eastAsia="Calibri" w:cs="Calibri"/>
        <w:b w:val="0"/>
        <w:bCs w:val="0"/>
        <w:i w:val="0"/>
        <w:iCs w:val="0"/>
        <w:spacing w:val="0"/>
        <w:w w:val="100"/>
        <w:sz w:val="18"/>
        <w:szCs w:val="18"/>
        <w:lang w:val="en-US" w:eastAsia="en-US" w:bidi="ar-SA"/>
      </w:rPr>
    </w:lvl>
    <w:lvl w:ilvl="1">
      <w:start w:val="0"/>
      <w:numFmt w:val="bullet"/>
      <w:lvlText w:val="•"/>
      <w:lvlJc w:val="left"/>
      <w:pPr>
        <w:ind w:left="2864" w:hanging="720"/>
      </w:pPr>
      <w:rPr>
        <w:rFonts w:hint="default"/>
        <w:lang w:val="en-US" w:eastAsia="en-US" w:bidi="ar-SA"/>
      </w:rPr>
    </w:lvl>
    <w:lvl w:ilvl="2">
      <w:start w:val="0"/>
      <w:numFmt w:val="bullet"/>
      <w:lvlText w:val="•"/>
      <w:lvlJc w:val="left"/>
      <w:pPr>
        <w:ind w:left="3869" w:hanging="720"/>
      </w:pPr>
      <w:rPr>
        <w:rFonts w:hint="default"/>
        <w:lang w:val="en-US" w:eastAsia="en-US" w:bidi="ar-SA"/>
      </w:rPr>
    </w:lvl>
    <w:lvl w:ilvl="3">
      <w:start w:val="0"/>
      <w:numFmt w:val="bullet"/>
      <w:lvlText w:val="•"/>
      <w:lvlJc w:val="left"/>
      <w:pPr>
        <w:ind w:left="4873" w:hanging="720"/>
      </w:pPr>
      <w:rPr>
        <w:rFonts w:hint="default"/>
        <w:lang w:val="en-US" w:eastAsia="en-US" w:bidi="ar-SA"/>
      </w:rPr>
    </w:lvl>
    <w:lvl w:ilvl="4">
      <w:start w:val="0"/>
      <w:numFmt w:val="bullet"/>
      <w:lvlText w:val="•"/>
      <w:lvlJc w:val="left"/>
      <w:pPr>
        <w:ind w:left="5878" w:hanging="720"/>
      </w:pPr>
      <w:rPr>
        <w:rFonts w:hint="default"/>
        <w:lang w:val="en-US" w:eastAsia="en-US" w:bidi="ar-SA"/>
      </w:rPr>
    </w:lvl>
    <w:lvl w:ilvl="5">
      <w:start w:val="0"/>
      <w:numFmt w:val="bullet"/>
      <w:lvlText w:val="•"/>
      <w:lvlJc w:val="left"/>
      <w:pPr>
        <w:ind w:left="6882" w:hanging="720"/>
      </w:pPr>
      <w:rPr>
        <w:rFonts w:hint="default"/>
        <w:lang w:val="en-US" w:eastAsia="en-US" w:bidi="ar-SA"/>
      </w:rPr>
    </w:lvl>
    <w:lvl w:ilvl="6">
      <w:start w:val="0"/>
      <w:numFmt w:val="bullet"/>
      <w:lvlText w:val="•"/>
      <w:lvlJc w:val="left"/>
      <w:pPr>
        <w:ind w:left="7887" w:hanging="720"/>
      </w:pPr>
      <w:rPr>
        <w:rFonts w:hint="default"/>
        <w:lang w:val="en-US" w:eastAsia="en-US" w:bidi="ar-SA"/>
      </w:rPr>
    </w:lvl>
    <w:lvl w:ilvl="7">
      <w:start w:val="0"/>
      <w:numFmt w:val="bullet"/>
      <w:lvlText w:val="•"/>
      <w:lvlJc w:val="left"/>
      <w:pPr>
        <w:ind w:left="8891" w:hanging="720"/>
      </w:pPr>
      <w:rPr>
        <w:rFonts w:hint="default"/>
        <w:lang w:val="en-US" w:eastAsia="en-US" w:bidi="ar-SA"/>
      </w:rPr>
    </w:lvl>
    <w:lvl w:ilvl="8">
      <w:start w:val="0"/>
      <w:numFmt w:val="bullet"/>
      <w:lvlText w:val="•"/>
      <w:lvlJc w:val="left"/>
      <w:pPr>
        <w:ind w:left="9896" w:hanging="720"/>
      </w:pPr>
      <w:rPr>
        <w:rFonts w:hint="default"/>
        <w:lang w:val="en-US" w:eastAsia="en-US" w:bidi="ar-SA"/>
      </w:rPr>
    </w:lvl>
  </w:abstractNum>
  <w:abstractNum w:abstractNumId="7">
    <w:multiLevelType w:val="hybridMultilevel"/>
    <w:lvl w:ilvl="0">
      <w:start w:val="249"/>
      <w:numFmt w:val="decimal"/>
      <w:lvlText w:val="%1"/>
      <w:lvlJc w:val="left"/>
      <w:pPr>
        <w:ind w:left="1853" w:hanging="720"/>
        <w:jc w:val="left"/>
      </w:pPr>
      <w:rPr>
        <w:rFonts w:hint="default" w:ascii="Calibri" w:hAnsi="Calibri" w:eastAsia="Calibri" w:cs="Calibri"/>
        <w:b w:val="0"/>
        <w:bCs w:val="0"/>
        <w:i w:val="0"/>
        <w:iCs w:val="0"/>
        <w:spacing w:val="0"/>
        <w:w w:val="100"/>
        <w:sz w:val="18"/>
        <w:szCs w:val="18"/>
        <w:lang w:val="en-US" w:eastAsia="en-US" w:bidi="ar-SA"/>
      </w:rPr>
    </w:lvl>
    <w:lvl w:ilvl="1">
      <w:start w:val="0"/>
      <w:numFmt w:val="bullet"/>
      <w:lvlText w:val="•"/>
      <w:lvlJc w:val="left"/>
      <w:pPr>
        <w:ind w:left="2864" w:hanging="720"/>
      </w:pPr>
      <w:rPr>
        <w:rFonts w:hint="default"/>
        <w:lang w:val="en-US" w:eastAsia="en-US" w:bidi="ar-SA"/>
      </w:rPr>
    </w:lvl>
    <w:lvl w:ilvl="2">
      <w:start w:val="0"/>
      <w:numFmt w:val="bullet"/>
      <w:lvlText w:val="•"/>
      <w:lvlJc w:val="left"/>
      <w:pPr>
        <w:ind w:left="3869" w:hanging="720"/>
      </w:pPr>
      <w:rPr>
        <w:rFonts w:hint="default"/>
        <w:lang w:val="en-US" w:eastAsia="en-US" w:bidi="ar-SA"/>
      </w:rPr>
    </w:lvl>
    <w:lvl w:ilvl="3">
      <w:start w:val="0"/>
      <w:numFmt w:val="bullet"/>
      <w:lvlText w:val="•"/>
      <w:lvlJc w:val="left"/>
      <w:pPr>
        <w:ind w:left="4873" w:hanging="720"/>
      </w:pPr>
      <w:rPr>
        <w:rFonts w:hint="default"/>
        <w:lang w:val="en-US" w:eastAsia="en-US" w:bidi="ar-SA"/>
      </w:rPr>
    </w:lvl>
    <w:lvl w:ilvl="4">
      <w:start w:val="0"/>
      <w:numFmt w:val="bullet"/>
      <w:lvlText w:val="•"/>
      <w:lvlJc w:val="left"/>
      <w:pPr>
        <w:ind w:left="5878" w:hanging="720"/>
      </w:pPr>
      <w:rPr>
        <w:rFonts w:hint="default"/>
        <w:lang w:val="en-US" w:eastAsia="en-US" w:bidi="ar-SA"/>
      </w:rPr>
    </w:lvl>
    <w:lvl w:ilvl="5">
      <w:start w:val="0"/>
      <w:numFmt w:val="bullet"/>
      <w:lvlText w:val="•"/>
      <w:lvlJc w:val="left"/>
      <w:pPr>
        <w:ind w:left="6882" w:hanging="720"/>
      </w:pPr>
      <w:rPr>
        <w:rFonts w:hint="default"/>
        <w:lang w:val="en-US" w:eastAsia="en-US" w:bidi="ar-SA"/>
      </w:rPr>
    </w:lvl>
    <w:lvl w:ilvl="6">
      <w:start w:val="0"/>
      <w:numFmt w:val="bullet"/>
      <w:lvlText w:val="•"/>
      <w:lvlJc w:val="left"/>
      <w:pPr>
        <w:ind w:left="7887" w:hanging="720"/>
      </w:pPr>
      <w:rPr>
        <w:rFonts w:hint="default"/>
        <w:lang w:val="en-US" w:eastAsia="en-US" w:bidi="ar-SA"/>
      </w:rPr>
    </w:lvl>
    <w:lvl w:ilvl="7">
      <w:start w:val="0"/>
      <w:numFmt w:val="bullet"/>
      <w:lvlText w:val="•"/>
      <w:lvlJc w:val="left"/>
      <w:pPr>
        <w:ind w:left="8891" w:hanging="720"/>
      </w:pPr>
      <w:rPr>
        <w:rFonts w:hint="default"/>
        <w:lang w:val="en-US" w:eastAsia="en-US" w:bidi="ar-SA"/>
      </w:rPr>
    </w:lvl>
    <w:lvl w:ilvl="8">
      <w:start w:val="0"/>
      <w:numFmt w:val="bullet"/>
      <w:lvlText w:val="•"/>
      <w:lvlJc w:val="left"/>
      <w:pPr>
        <w:ind w:left="9896" w:hanging="720"/>
      </w:pPr>
      <w:rPr>
        <w:rFonts w:hint="default"/>
        <w:lang w:val="en-US" w:eastAsia="en-US" w:bidi="ar-SA"/>
      </w:rPr>
    </w:lvl>
  </w:abstractNum>
  <w:abstractNum w:abstractNumId="6">
    <w:multiLevelType w:val="hybridMultilevel"/>
    <w:lvl w:ilvl="0">
      <w:start w:val="3"/>
      <w:numFmt w:val="decimal"/>
      <w:lvlText w:val="%1"/>
      <w:lvlJc w:val="left"/>
      <w:pPr>
        <w:ind w:left="1853" w:hanging="720"/>
        <w:jc w:val="left"/>
      </w:pPr>
      <w:rPr>
        <w:rFonts w:hint="default"/>
        <w:lang w:val="en-US" w:eastAsia="en-US" w:bidi="ar-SA"/>
      </w:rPr>
    </w:lvl>
    <w:lvl w:ilvl="1">
      <w:start w:val="1"/>
      <w:numFmt w:val="decimal"/>
      <w:lvlText w:val="%1.%2"/>
      <w:lvlJc w:val="left"/>
      <w:pPr>
        <w:ind w:left="1853" w:hanging="720"/>
        <w:jc w:val="left"/>
      </w:pPr>
      <w:rPr>
        <w:rFonts w:hint="default"/>
        <w:spacing w:val="0"/>
        <w:w w:val="100"/>
        <w:lang w:val="en-US" w:eastAsia="en-US" w:bidi="ar-SA"/>
      </w:rPr>
    </w:lvl>
    <w:lvl w:ilvl="2">
      <w:start w:val="0"/>
      <w:numFmt w:val="bullet"/>
      <w:lvlText w:val=""/>
      <w:lvlJc w:val="left"/>
      <w:pPr>
        <w:ind w:left="2562" w:hanging="371"/>
      </w:pPr>
      <w:rPr>
        <w:rFonts w:hint="default" w:ascii="Symbol" w:hAnsi="Symbol" w:eastAsia="Symbol" w:cs="Symbol"/>
        <w:b w:val="0"/>
        <w:bCs w:val="0"/>
        <w:i w:val="0"/>
        <w:iCs w:val="0"/>
        <w:color w:val="67287F"/>
        <w:spacing w:val="0"/>
        <w:w w:val="100"/>
        <w:sz w:val="28"/>
        <w:szCs w:val="28"/>
        <w:lang w:val="en-US" w:eastAsia="en-US" w:bidi="ar-SA"/>
      </w:rPr>
    </w:lvl>
    <w:lvl w:ilvl="3">
      <w:start w:val="0"/>
      <w:numFmt w:val="bullet"/>
      <w:lvlText w:val="•"/>
      <w:lvlJc w:val="left"/>
      <w:pPr>
        <w:ind w:left="4636" w:hanging="371"/>
      </w:pPr>
      <w:rPr>
        <w:rFonts w:hint="default"/>
        <w:lang w:val="en-US" w:eastAsia="en-US" w:bidi="ar-SA"/>
      </w:rPr>
    </w:lvl>
    <w:lvl w:ilvl="4">
      <w:start w:val="0"/>
      <w:numFmt w:val="bullet"/>
      <w:lvlText w:val="•"/>
      <w:lvlJc w:val="left"/>
      <w:pPr>
        <w:ind w:left="5675" w:hanging="371"/>
      </w:pPr>
      <w:rPr>
        <w:rFonts w:hint="default"/>
        <w:lang w:val="en-US" w:eastAsia="en-US" w:bidi="ar-SA"/>
      </w:rPr>
    </w:lvl>
    <w:lvl w:ilvl="5">
      <w:start w:val="0"/>
      <w:numFmt w:val="bullet"/>
      <w:lvlText w:val="•"/>
      <w:lvlJc w:val="left"/>
      <w:pPr>
        <w:ind w:left="6713" w:hanging="371"/>
      </w:pPr>
      <w:rPr>
        <w:rFonts w:hint="default"/>
        <w:lang w:val="en-US" w:eastAsia="en-US" w:bidi="ar-SA"/>
      </w:rPr>
    </w:lvl>
    <w:lvl w:ilvl="6">
      <w:start w:val="0"/>
      <w:numFmt w:val="bullet"/>
      <w:lvlText w:val="•"/>
      <w:lvlJc w:val="left"/>
      <w:pPr>
        <w:ind w:left="7751" w:hanging="371"/>
      </w:pPr>
      <w:rPr>
        <w:rFonts w:hint="default"/>
        <w:lang w:val="en-US" w:eastAsia="en-US" w:bidi="ar-SA"/>
      </w:rPr>
    </w:lvl>
    <w:lvl w:ilvl="7">
      <w:start w:val="0"/>
      <w:numFmt w:val="bullet"/>
      <w:lvlText w:val="•"/>
      <w:lvlJc w:val="left"/>
      <w:pPr>
        <w:ind w:left="8790" w:hanging="371"/>
      </w:pPr>
      <w:rPr>
        <w:rFonts w:hint="default"/>
        <w:lang w:val="en-US" w:eastAsia="en-US" w:bidi="ar-SA"/>
      </w:rPr>
    </w:lvl>
    <w:lvl w:ilvl="8">
      <w:start w:val="0"/>
      <w:numFmt w:val="bullet"/>
      <w:lvlText w:val="•"/>
      <w:lvlJc w:val="left"/>
      <w:pPr>
        <w:ind w:left="9828" w:hanging="371"/>
      </w:pPr>
      <w:rPr>
        <w:rFonts w:hint="default"/>
        <w:lang w:val="en-US" w:eastAsia="en-US" w:bidi="ar-SA"/>
      </w:rPr>
    </w:lvl>
  </w:abstractNum>
  <w:abstractNum w:abstractNumId="5">
    <w:multiLevelType w:val="hybridMultilevel"/>
    <w:lvl w:ilvl="0">
      <w:start w:val="3"/>
      <w:numFmt w:val="decimal"/>
      <w:lvlText w:val="%1"/>
      <w:lvlJc w:val="left"/>
      <w:pPr>
        <w:ind w:left="1133" w:hanging="845"/>
        <w:jc w:val="left"/>
      </w:pPr>
      <w:rPr>
        <w:rFonts w:hint="default"/>
        <w:lang w:val="en-US" w:eastAsia="en-US" w:bidi="ar-SA"/>
      </w:rPr>
    </w:lvl>
    <w:lvl w:ilvl="1">
      <w:start w:val="0"/>
      <w:numFmt w:val="decimal"/>
      <w:lvlText w:val="%1.%2"/>
      <w:lvlJc w:val="left"/>
      <w:pPr>
        <w:ind w:left="1133" w:hanging="845"/>
        <w:jc w:val="left"/>
      </w:pPr>
      <w:rPr>
        <w:rFonts w:hint="default" w:ascii="Calibri" w:hAnsi="Calibri" w:eastAsia="Calibri" w:cs="Calibri"/>
        <w:b/>
        <w:bCs/>
        <w:i w:val="0"/>
        <w:iCs w:val="0"/>
        <w:color w:val="393B80"/>
        <w:spacing w:val="0"/>
        <w:w w:val="100"/>
        <w:sz w:val="56"/>
        <w:szCs w:val="56"/>
        <w:lang w:val="en-US" w:eastAsia="en-US" w:bidi="ar-SA"/>
      </w:rPr>
    </w:lvl>
    <w:lvl w:ilvl="2">
      <w:start w:val="0"/>
      <w:numFmt w:val="bullet"/>
      <w:lvlText w:val="•"/>
      <w:lvlJc w:val="left"/>
      <w:pPr>
        <w:ind w:left="3293" w:hanging="845"/>
      </w:pPr>
      <w:rPr>
        <w:rFonts w:hint="default"/>
        <w:lang w:val="en-US" w:eastAsia="en-US" w:bidi="ar-SA"/>
      </w:rPr>
    </w:lvl>
    <w:lvl w:ilvl="3">
      <w:start w:val="0"/>
      <w:numFmt w:val="bullet"/>
      <w:lvlText w:val="•"/>
      <w:lvlJc w:val="left"/>
      <w:pPr>
        <w:ind w:left="4369" w:hanging="845"/>
      </w:pPr>
      <w:rPr>
        <w:rFonts w:hint="default"/>
        <w:lang w:val="en-US" w:eastAsia="en-US" w:bidi="ar-SA"/>
      </w:rPr>
    </w:lvl>
    <w:lvl w:ilvl="4">
      <w:start w:val="0"/>
      <w:numFmt w:val="bullet"/>
      <w:lvlText w:val="•"/>
      <w:lvlJc w:val="left"/>
      <w:pPr>
        <w:ind w:left="5446" w:hanging="845"/>
      </w:pPr>
      <w:rPr>
        <w:rFonts w:hint="default"/>
        <w:lang w:val="en-US" w:eastAsia="en-US" w:bidi="ar-SA"/>
      </w:rPr>
    </w:lvl>
    <w:lvl w:ilvl="5">
      <w:start w:val="0"/>
      <w:numFmt w:val="bullet"/>
      <w:lvlText w:val="•"/>
      <w:lvlJc w:val="left"/>
      <w:pPr>
        <w:ind w:left="6522" w:hanging="845"/>
      </w:pPr>
      <w:rPr>
        <w:rFonts w:hint="default"/>
        <w:lang w:val="en-US" w:eastAsia="en-US" w:bidi="ar-SA"/>
      </w:rPr>
    </w:lvl>
    <w:lvl w:ilvl="6">
      <w:start w:val="0"/>
      <w:numFmt w:val="bullet"/>
      <w:lvlText w:val="•"/>
      <w:lvlJc w:val="left"/>
      <w:pPr>
        <w:ind w:left="7599" w:hanging="845"/>
      </w:pPr>
      <w:rPr>
        <w:rFonts w:hint="default"/>
        <w:lang w:val="en-US" w:eastAsia="en-US" w:bidi="ar-SA"/>
      </w:rPr>
    </w:lvl>
    <w:lvl w:ilvl="7">
      <w:start w:val="0"/>
      <w:numFmt w:val="bullet"/>
      <w:lvlText w:val="•"/>
      <w:lvlJc w:val="left"/>
      <w:pPr>
        <w:ind w:left="8675" w:hanging="845"/>
      </w:pPr>
      <w:rPr>
        <w:rFonts w:hint="default"/>
        <w:lang w:val="en-US" w:eastAsia="en-US" w:bidi="ar-SA"/>
      </w:rPr>
    </w:lvl>
    <w:lvl w:ilvl="8">
      <w:start w:val="0"/>
      <w:numFmt w:val="bullet"/>
      <w:lvlText w:val="•"/>
      <w:lvlJc w:val="left"/>
      <w:pPr>
        <w:ind w:left="9752" w:hanging="845"/>
      </w:pPr>
      <w:rPr>
        <w:rFonts w:hint="default"/>
        <w:lang w:val="en-US" w:eastAsia="en-US" w:bidi="ar-SA"/>
      </w:rPr>
    </w:lvl>
  </w:abstractNum>
  <w:abstractNum w:abstractNumId="4">
    <w:multiLevelType w:val="hybridMultilevel"/>
    <w:lvl w:ilvl="0">
      <w:start w:val="2"/>
      <w:numFmt w:val="decimal"/>
      <w:lvlText w:val="%1"/>
      <w:lvlJc w:val="left"/>
      <w:pPr>
        <w:ind w:left="1133" w:hanging="845"/>
        <w:jc w:val="left"/>
      </w:pPr>
      <w:rPr>
        <w:rFonts w:hint="default"/>
        <w:lang w:val="en-US" w:eastAsia="en-US" w:bidi="ar-SA"/>
      </w:rPr>
    </w:lvl>
    <w:lvl w:ilvl="1">
      <w:start w:val="0"/>
      <w:numFmt w:val="decimal"/>
      <w:lvlText w:val="%1.%2"/>
      <w:lvlJc w:val="left"/>
      <w:pPr>
        <w:ind w:left="1133" w:hanging="845"/>
        <w:jc w:val="left"/>
      </w:pPr>
      <w:rPr>
        <w:rFonts w:hint="default"/>
        <w:spacing w:val="0"/>
        <w:w w:val="100"/>
        <w:lang w:val="en-US" w:eastAsia="en-US" w:bidi="ar-SA"/>
      </w:rPr>
    </w:lvl>
    <w:lvl w:ilvl="2">
      <w:start w:val="1"/>
      <w:numFmt w:val="decimal"/>
      <w:lvlText w:val="%3."/>
      <w:lvlJc w:val="left"/>
      <w:pPr>
        <w:ind w:left="2355" w:hanging="361"/>
        <w:jc w:val="left"/>
      </w:pPr>
      <w:rPr>
        <w:rFonts w:hint="default" w:ascii="Calibri" w:hAnsi="Calibri" w:eastAsia="Calibri" w:cs="Calibri"/>
        <w:b w:val="0"/>
        <w:bCs w:val="0"/>
        <w:i w:val="0"/>
        <w:iCs w:val="0"/>
        <w:spacing w:val="-1"/>
        <w:w w:val="100"/>
        <w:sz w:val="28"/>
        <w:szCs w:val="28"/>
        <w:lang w:val="en-US" w:eastAsia="en-US" w:bidi="ar-SA"/>
      </w:rPr>
    </w:lvl>
    <w:lvl w:ilvl="3">
      <w:start w:val="0"/>
      <w:numFmt w:val="bullet"/>
      <w:lvlText w:val="•"/>
      <w:lvlJc w:val="left"/>
      <w:pPr>
        <w:ind w:left="4481" w:hanging="361"/>
      </w:pPr>
      <w:rPr>
        <w:rFonts w:hint="default"/>
        <w:lang w:val="en-US" w:eastAsia="en-US" w:bidi="ar-SA"/>
      </w:rPr>
    </w:lvl>
    <w:lvl w:ilvl="4">
      <w:start w:val="0"/>
      <w:numFmt w:val="bullet"/>
      <w:lvlText w:val="•"/>
      <w:lvlJc w:val="left"/>
      <w:pPr>
        <w:ind w:left="5541" w:hanging="361"/>
      </w:pPr>
      <w:rPr>
        <w:rFonts w:hint="default"/>
        <w:lang w:val="en-US" w:eastAsia="en-US" w:bidi="ar-SA"/>
      </w:rPr>
    </w:lvl>
    <w:lvl w:ilvl="5">
      <w:start w:val="0"/>
      <w:numFmt w:val="bullet"/>
      <w:lvlText w:val="•"/>
      <w:lvlJc w:val="left"/>
      <w:pPr>
        <w:ind w:left="6602" w:hanging="361"/>
      </w:pPr>
      <w:rPr>
        <w:rFonts w:hint="default"/>
        <w:lang w:val="en-US" w:eastAsia="en-US" w:bidi="ar-SA"/>
      </w:rPr>
    </w:lvl>
    <w:lvl w:ilvl="6">
      <w:start w:val="0"/>
      <w:numFmt w:val="bullet"/>
      <w:lvlText w:val="•"/>
      <w:lvlJc w:val="left"/>
      <w:pPr>
        <w:ind w:left="7663" w:hanging="361"/>
      </w:pPr>
      <w:rPr>
        <w:rFonts w:hint="default"/>
        <w:lang w:val="en-US" w:eastAsia="en-US" w:bidi="ar-SA"/>
      </w:rPr>
    </w:lvl>
    <w:lvl w:ilvl="7">
      <w:start w:val="0"/>
      <w:numFmt w:val="bullet"/>
      <w:lvlText w:val="•"/>
      <w:lvlJc w:val="left"/>
      <w:pPr>
        <w:ind w:left="8723" w:hanging="361"/>
      </w:pPr>
      <w:rPr>
        <w:rFonts w:hint="default"/>
        <w:lang w:val="en-US" w:eastAsia="en-US" w:bidi="ar-SA"/>
      </w:rPr>
    </w:lvl>
    <w:lvl w:ilvl="8">
      <w:start w:val="0"/>
      <w:numFmt w:val="bullet"/>
      <w:lvlText w:val="•"/>
      <w:lvlJc w:val="left"/>
      <w:pPr>
        <w:ind w:left="9784" w:hanging="361"/>
      </w:pPr>
      <w:rPr>
        <w:rFonts w:hint="default"/>
        <w:lang w:val="en-US" w:eastAsia="en-US" w:bidi="ar-SA"/>
      </w:rPr>
    </w:lvl>
  </w:abstractNum>
  <w:abstractNum w:abstractNumId="3">
    <w:multiLevelType w:val="hybridMultilevel"/>
    <w:lvl w:ilvl="0">
      <w:start w:val="2"/>
      <w:numFmt w:val="decimal"/>
      <w:lvlText w:val="%1"/>
      <w:lvlJc w:val="left"/>
      <w:pPr>
        <w:ind w:left="2059" w:hanging="206"/>
        <w:jc w:val="left"/>
      </w:pPr>
      <w:rPr>
        <w:rFonts w:hint="default" w:ascii="Calibri" w:hAnsi="Calibri" w:eastAsia="Calibri" w:cs="Calibri"/>
        <w:b w:val="0"/>
        <w:bCs w:val="0"/>
        <w:i w:val="0"/>
        <w:iCs w:val="0"/>
        <w:spacing w:val="0"/>
        <w:w w:val="100"/>
        <w:sz w:val="28"/>
        <w:szCs w:val="28"/>
        <w:lang w:val="en-US" w:eastAsia="en-US" w:bidi="ar-SA"/>
      </w:rPr>
    </w:lvl>
    <w:lvl w:ilvl="1">
      <w:start w:val="0"/>
      <w:numFmt w:val="bullet"/>
      <w:lvlText w:val="•"/>
      <w:lvlJc w:val="left"/>
      <w:pPr>
        <w:ind w:left="3044" w:hanging="206"/>
      </w:pPr>
      <w:rPr>
        <w:rFonts w:hint="default"/>
        <w:lang w:val="en-US" w:eastAsia="en-US" w:bidi="ar-SA"/>
      </w:rPr>
    </w:lvl>
    <w:lvl w:ilvl="2">
      <w:start w:val="0"/>
      <w:numFmt w:val="bullet"/>
      <w:lvlText w:val="•"/>
      <w:lvlJc w:val="left"/>
      <w:pPr>
        <w:ind w:left="4029" w:hanging="206"/>
      </w:pPr>
      <w:rPr>
        <w:rFonts w:hint="default"/>
        <w:lang w:val="en-US" w:eastAsia="en-US" w:bidi="ar-SA"/>
      </w:rPr>
    </w:lvl>
    <w:lvl w:ilvl="3">
      <w:start w:val="0"/>
      <w:numFmt w:val="bullet"/>
      <w:lvlText w:val="•"/>
      <w:lvlJc w:val="left"/>
      <w:pPr>
        <w:ind w:left="5013" w:hanging="206"/>
      </w:pPr>
      <w:rPr>
        <w:rFonts w:hint="default"/>
        <w:lang w:val="en-US" w:eastAsia="en-US" w:bidi="ar-SA"/>
      </w:rPr>
    </w:lvl>
    <w:lvl w:ilvl="4">
      <w:start w:val="0"/>
      <w:numFmt w:val="bullet"/>
      <w:lvlText w:val="•"/>
      <w:lvlJc w:val="left"/>
      <w:pPr>
        <w:ind w:left="5998" w:hanging="206"/>
      </w:pPr>
      <w:rPr>
        <w:rFonts w:hint="default"/>
        <w:lang w:val="en-US" w:eastAsia="en-US" w:bidi="ar-SA"/>
      </w:rPr>
    </w:lvl>
    <w:lvl w:ilvl="5">
      <w:start w:val="0"/>
      <w:numFmt w:val="bullet"/>
      <w:lvlText w:val="•"/>
      <w:lvlJc w:val="left"/>
      <w:pPr>
        <w:ind w:left="6982" w:hanging="206"/>
      </w:pPr>
      <w:rPr>
        <w:rFonts w:hint="default"/>
        <w:lang w:val="en-US" w:eastAsia="en-US" w:bidi="ar-SA"/>
      </w:rPr>
    </w:lvl>
    <w:lvl w:ilvl="6">
      <w:start w:val="0"/>
      <w:numFmt w:val="bullet"/>
      <w:lvlText w:val="•"/>
      <w:lvlJc w:val="left"/>
      <w:pPr>
        <w:ind w:left="7967" w:hanging="206"/>
      </w:pPr>
      <w:rPr>
        <w:rFonts w:hint="default"/>
        <w:lang w:val="en-US" w:eastAsia="en-US" w:bidi="ar-SA"/>
      </w:rPr>
    </w:lvl>
    <w:lvl w:ilvl="7">
      <w:start w:val="0"/>
      <w:numFmt w:val="bullet"/>
      <w:lvlText w:val="•"/>
      <w:lvlJc w:val="left"/>
      <w:pPr>
        <w:ind w:left="8951" w:hanging="206"/>
      </w:pPr>
      <w:rPr>
        <w:rFonts w:hint="default"/>
        <w:lang w:val="en-US" w:eastAsia="en-US" w:bidi="ar-SA"/>
      </w:rPr>
    </w:lvl>
    <w:lvl w:ilvl="8">
      <w:start w:val="0"/>
      <w:numFmt w:val="bullet"/>
      <w:lvlText w:val="•"/>
      <w:lvlJc w:val="left"/>
      <w:pPr>
        <w:ind w:left="9936" w:hanging="206"/>
      </w:pPr>
      <w:rPr>
        <w:rFonts w:hint="default"/>
        <w:lang w:val="en-US" w:eastAsia="en-US" w:bidi="ar-SA"/>
      </w:rPr>
    </w:lvl>
  </w:abstractNum>
  <w:abstractNum w:abstractNumId="2">
    <w:multiLevelType w:val="hybridMultilevel"/>
    <w:lvl w:ilvl="0">
      <w:start w:val="1"/>
      <w:numFmt w:val="decimal"/>
      <w:lvlText w:val="%1"/>
      <w:lvlJc w:val="left"/>
      <w:pPr>
        <w:ind w:left="1853" w:hanging="720"/>
        <w:jc w:val="left"/>
      </w:pPr>
      <w:rPr>
        <w:rFonts w:hint="default" w:ascii="Calibri" w:hAnsi="Calibri" w:eastAsia="Calibri" w:cs="Calibri"/>
        <w:b w:val="0"/>
        <w:bCs w:val="0"/>
        <w:i w:val="0"/>
        <w:iCs w:val="0"/>
        <w:spacing w:val="0"/>
        <w:w w:val="100"/>
        <w:sz w:val="18"/>
        <w:szCs w:val="18"/>
        <w:lang w:val="en-US" w:eastAsia="en-US" w:bidi="ar-SA"/>
      </w:rPr>
    </w:lvl>
    <w:lvl w:ilvl="1">
      <w:start w:val="0"/>
      <w:numFmt w:val="bullet"/>
      <w:lvlText w:val="•"/>
      <w:lvlJc w:val="left"/>
      <w:pPr>
        <w:ind w:left="2864" w:hanging="720"/>
      </w:pPr>
      <w:rPr>
        <w:rFonts w:hint="default"/>
        <w:lang w:val="en-US" w:eastAsia="en-US" w:bidi="ar-SA"/>
      </w:rPr>
    </w:lvl>
    <w:lvl w:ilvl="2">
      <w:start w:val="0"/>
      <w:numFmt w:val="bullet"/>
      <w:lvlText w:val="•"/>
      <w:lvlJc w:val="left"/>
      <w:pPr>
        <w:ind w:left="3869" w:hanging="720"/>
      </w:pPr>
      <w:rPr>
        <w:rFonts w:hint="default"/>
        <w:lang w:val="en-US" w:eastAsia="en-US" w:bidi="ar-SA"/>
      </w:rPr>
    </w:lvl>
    <w:lvl w:ilvl="3">
      <w:start w:val="0"/>
      <w:numFmt w:val="bullet"/>
      <w:lvlText w:val="•"/>
      <w:lvlJc w:val="left"/>
      <w:pPr>
        <w:ind w:left="4873" w:hanging="720"/>
      </w:pPr>
      <w:rPr>
        <w:rFonts w:hint="default"/>
        <w:lang w:val="en-US" w:eastAsia="en-US" w:bidi="ar-SA"/>
      </w:rPr>
    </w:lvl>
    <w:lvl w:ilvl="4">
      <w:start w:val="0"/>
      <w:numFmt w:val="bullet"/>
      <w:lvlText w:val="•"/>
      <w:lvlJc w:val="left"/>
      <w:pPr>
        <w:ind w:left="5878" w:hanging="720"/>
      </w:pPr>
      <w:rPr>
        <w:rFonts w:hint="default"/>
        <w:lang w:val="en-US" w:eastAsia="en-US" w:bidi="ar-SA"/>
      </w:rPr>
    </w:lvl>
    <w:lvl w:ilvl="5">
      <w:start w:val="0"/>
      <w:numFmt w:val="bullet"/>
      <w:lvlText w:val="•"/>
      <w:lvlJc w:val="left"/>
      <w:pPr>
        <w:ind w:left="6882" w:hanging="720"/>
      </w:pPr>
      <w:rPr>
        <w:rFonts w:hint="default"/>
        <w:lang w:val="en-US" w:eastAsia="en-US" w:bidi="ar-SA"/>
      </w:rPr>
    </w:lvl>
    <w:lvl w:ilvl="6">
      <w:start w:val="0"/>
      <w:numFmt w:val="bullet"/>
      <w:lvlText w:val="•"/>
      <w:lvlJc w:val="left"/>
      <w:pPr>
        <w:ind w:left="7887" w:hanging="720"/>
      </w:pPr>
      <w:rPr>
        <w:rFonts w:hint="default"/>
        <w:lang w:val="en-US" w:eastAsia="en-US" w:bidi="ar-SA"/>
      </w:rPr>
    </w:lvl>
    <w:lvl w:ilvl="7">
      <w:start w:val="0"/>
      <w:numFmt w:val="bullet"/>
      <w:lvlText w:val="•"/>
      <w:lvlJc w:val="left"/>
      <w:pPr>
        <w:ind w:left="8891" w:hanging="720"/>
      </w:pPr>
      <w:rPr>
        <w:rFonts w:hint="default"/>
        <w:lang w:val="en-US" w:eastAsia="en-US" w:bidi="ar-SA"/>
      </w:rPr>
    </w:lvl>
    <w:lvl w:ilvl="8">
      <w:start w:val="0"/>
      <w:numFmt w:val="bullet"/>
      <w:lvlText w:val="•"/>
      <w:lvlJc w:val="left"/>
      <w:pPr>
        <w:ind w:left="9896" w:hanging="720"/>
      </w:pPr>
      <w:rPr>
        <w:rFonts w:hint="default"/>
        <w:lang w:val="en-US" w:eastAsia="en-US" w:bidi="ar-SA"/>
      </w:rPr>
    </w:lvl>
  </w:abstractNum>
  <w:abstractNum w:abstractNumId="1">
    <w:multiLevelType w:val="hybridMultilevel"/>
    <w:lvl w:ilvl="0">
      <w:start w:val="1"/>
      <w:numFmt w:val="decimal"/>
      <w:lvlText w:val="%1"/>
      <w:lvlJc w:val="left"/>
      <w:pPr>
        <w:ind w:left="1977" w:hanging="845"/>
        <w:jc w:val="left"/>
      </w:pPr>
      <w:rPr>
        <w:rFonts w:hint="default"/>
        <w:lang w:val="en-US" w:eastAsia="en-US" w:bidi="ar-SA"/>
      </w:rPr>
    </w:lvl>
    <w:lvl w:ilvl="1">
      <w:start w:val="0"/>
      <w:numFmt w:val="decimal"/>
      <w:lvlText w:val="%1.%2"/>
      <w:lvlJc w:val="left"/>
      <w:pPr>
        <w:ind w:left="1977" w:hanging="845"/>
        <w:jc w:val="left"/>
      </w:pPr>
      <w:rPr>
        <w:rFonts w:hint="default"/>
        <w:spacing w:val="0"/>
        <w:w w:val="100"/>
        <w:lang w:val="en-US" w:eastAsia="en-US" w:bidi="ar-SA"/>
      </w:rPr>
    </w:lvl>
    <w:lvl w:ilvl="2">
      <w:start w:val="0"/>
      <w:numFmt w:val="bullet"/>
      <w:lvlText w:val="•"/>
      <w:lvlJc w:val="left"/>
      <w:pPr>
        <w:ind w:left="2562" w:hanging="360"/>
      </w:pPr>
      <w:rPr>
        <w:rFonts w:hint="default" w:ascii="Calibri" w:hAnsi="Calibri" w:eastAsia="Calibri" w:cs="Calibri"/>
        <w:b w:val="0"/>
        <w:bCs w:val="0"/>
        <w:i w:val="0"/>
        <w:iCs w:val="0"/>
        <w:color w:val="393B80"/>
        <w:spacing w:val="0"/>
        <w:w w:val="100"/>
        <w:sz w:val="28"/>
        <w:szCs w:val="28"/>
        <w:lang w:val="en-US" w:eastAsia="en-US" w:bidi="ar-SA"/>
      </w:rPr>
    </w:lvl>
    <w:lvl w:ilvl="3">
      <w:start w:val="0"/>
      <w:numFmt w:val="bullet"/>
      <w:lvlText w:val="•"/>
      <w:lvlJc w:val="left"/>
      <w:pPr>
        <w:ind w:left="4636" w:hanging="360"/>
      </w:pPr>
      <w:rPr>
        <w:rFonts w:hint="default"/>
        <w:lang w:val="en-US" w:eastAsia="en-US" w:bidi="ar-SA"/>
      </w:rPr>
    </w:lvl>
    <w:lvl w:ilvl="4">
      <w:start w:val="0"/>
      <w:numFmt w:val="bullet"/>
      <w:lvlText w:val="•"/>
      <w:lvlJc w:val="left"/>
      <w:pPr>
        <w:ind w:left="5675" w:hanging="360"/>
      </w:pPr>
      <w:rPr>
        <w:rFonts w:hint="default"/>
        <w:lang w:val="en-US" w:eastAsia="en-US" w:bidi="ar-SA"/>
      </w:rPr>
    </w:lvl>
    <w:lvl w:ilvl="5">
      <w:start w:val="0"/>
      <w:numFmt w:val="bullet"/>
      <w:lvlText w:val="•"/>
      <w:lvlJc w:val="left"/>
      <w:pPr>
        <w:ind w:left="6713" w:hanging="360"/>
      </w:pPr>
      <w:rPr>
        <w:rFonts w:hint="default"/>
        <w:lang w:val="en-US" w:eastAsia="en-US" w:bidi="ar-SA"/>
      </w:rPr>
    </w:lvl>
    <w:lvl w:ilvl="6">
      <w:start w:val="0"/>
      <w:numFmt w:val="bullet"/>
      <w:lvlText w:val="•"/>
      <w:lvlJc w:val="left"/>
      <w:pPr>
        <w:ind w:left="7751" w:hanging="360"/>
      </w:pPr>
      <w:rPr>
        <w:rFonts w:hint="default"/>
        <w:lang w:val="en-US" w:eastAsia="en-US" w:bidi="ar-SA"/>
      </w:rPr>
    </w:lvl>
    <w:lvl w:ilvl="7">
      <w:start w:val="0"/>
      <w:numFmt w:val="bullet"/>
      <w:lvlText w:val="•"/>
      <w:lvlJc w:val="left"/>
      <w:pPr>
        <w:ind w:left="8790" w:hanging="360"/>
      </w:pPr>
      <w:rPr>
        <w:rFonts w:hint="default"/>
        <w:lang w:val="en-US" w:eastAsia="en-US" w:bidi="ar-SA"/>
      </w:rPr>
    </w:lvl>
    <w:lvl w:ilvl="8">
      <w:start w:val="0"/>
      <w:numFmt w:val="bullet"/>
      <w:lvlText w:val="•"/>
      <w:lvlJc w:val="left"/>
      <w:pPr>
        <w:ind w:left="9828" w:hanging="360"/>
      </w:pPr>
      <w:rPr>
        <w:rFonts w:hint="default"/>
        <w:lang w:val="en-US" w:eastAsia="en-US" w:bidi="ar-SA"/>
      </w:rPr>
    </w:lvl>
  </w:abstractNum>
  <w:abstractNum w:abstractNumId="0">
    <w:multiLevelType w:val="hybridMultilevel"/>
    <w:lvl w:ilvl="0">
      <w:start w:val="1"/>
      <w:numFmt w:val="decimal"/>
      <w:lvlText w:val="%1.0"/>
      <w:lvlJc w:val="left"/>
      <w:pPr>
        <w:ind w:left="1555" w:hanging="423"/>
        <w:jc w:val="left"/>
      </w:pPr>
      <w:rPr>
        <w:rFonts w:hint="default" w:ascii="Calibri" w:hAnsi="Calibri" w:eastAsia="Calibri" w:cs="Calibri"/>
        <w:b/>
        <w:bCs/>
        <w:i w:val="0"/>
        <w:iCs w:val="0"/>
        <w:color w:val="67287F"/>
        <w:spacing w:val="0"/>
        <w:w w:val="100"/>
        <w:sz w:val="28"/>
        <w:szCs w:val="28"/>
        <w:lang w:val="en-US" w:eastAsia="en-US" w:bidi="ar-SA"/>
      </w:rPr>
    </w:lvl>
    <w:lvl w:ilvl="1">
      <w:start w:val="0"/>
      <w:numFmt w:val="bullet"/>
      <w:lvlText w:val="•"/>
      <w:lvlJc w:val="left"/>
      <w:pPr>
        <w:ind w:left="2594" w:hanging="423"/>
      </w:pPr>
      <w:rPr>
        <w:rFonts w:hint="default"/>
        <w:lang w:val="en-US" w:eastAsia="en-US" w:bidi="ar-SA"/>
      </w:rPr>
    </w:lvl>
    <w:lvl w:ilvl="2">
      <w:start w:val="0"/>
      <w:numFmt w:val="bullet"/>
      <w:lvlText w:val="•"/>
      <w:lvlJc w:val="left"/>
      <w:pPr>
        <w:ind w:left="3629" w:hanging="423"/>
      </w:pPr>
      <w:rPr>
        <w:rFonts w:hint="default"/>
        <w:lang w:val="en-US" w:eastAsia="en-US" w:bidi="ar-SA"/>
      </w:rPr>
    </w:lvl>
    <w:lvl w:ilvl="3">
      <w:start w:val="0"/>
      <w:numFmt w:val="bullet"/>
      <w:lvlText w:val="•"/>
      <w:lvlJc w:val="left"/>
      <w:pPr>
        <w:ind w:left="4663" w:hanging="423"/>
      </w:pPr>
      <w:rPr>
        <w:rFonts w:hint="default"/>
        <w:lang w:val="en-US" w:eastAsia="en-US" w:bidi="ar-SA"/>
      </w:rPr>
    </w:lvl>
    <w:lvl w:ilvl="4">
      <w:start w:val="0"/>
      <w:numFmt w:val="bullet"/>
      <w:lvlText w:val="•"/>
      <w:lvlJc w:val="left"/>
      <w:pPr>
        <w:ind w:left="5698" w:hanging="423"/>
      </w:pPr>
      <w:rPr>
        <w:rFonts w:hint="default"/>
        <w:lang w:val="en-US" w:eastAsia="en-US" w:bidi="ar-SA"/>
      </w:rPr>
    </w:lvl>
    <w:lvl w:ilvl="5">
      <w:start w:val="0"/>
      <w:numFmt w:val="bullet"/>
      <w:lvlText w:val="•"/>
      <w:lvlJc w:val="left"/>
      <w:pPr>
        <w:ind w:left="6732" w:hanging="423"/>
      </w:pPr>
      <w:rPr>
        <w:rFonts w:hint="default"/>
        <w:lang w:val="en-US" w:eastAsia="en-US" w:bidi="ar-SA"/>
      </w:rPr>
    </w:lvl>
    <w:lvl w:ilvl="6">
      <w:start w:val="0"/>
      <w:numFmt w:val="bullet"/>
      <w:lvlText w:val="•"/>
      <w:lvlJc w:val="left"/>
      <w:pPr>
        <w:ind w:left="7767" w:hanging="423"/>
      </w:pPr>
      <w:rPr>
        <w:rFonts w:hint="default"/>
        <w:lang w:val="en-US" w:eastAsia="en-US" w:bidi="ar-SA"/>
      </w:rPr>
    </w:lvl>
    <w:lvl w:ilvl="7">
      <w:start w:val="0"/>
      <w:numFmt w:val="bullet"/>
      <w:lvlText w:val="•"/>
      <w:lvlJc w:val="left"/>
      <w:pPr>
        <w:ind w:left="8801" w:hanging="423"/>
      </w:pPr>
      <w:rPr>
        <w:rFonts w:hint="default"/>
        <w:lang w:val="en-US" w:eastAsia="en-US" w:bidi="ar-SA"/>
      </w:rPr>
    </w:lvl>
    <w:lvl w:ilvl="8">
      <w:start w:val="0"/>
      <w:numFmt w:val="bullet"/>
      <w:lvlText w:val="•"/>
      <w:lvlJc w:val="left"/>
      <w:pPr>
        <w:ind w:left="9836" w:hanging="423"/>
      </w:pPr>
      <w:rPr>
        <w:rFonts w:hint="default"/>
        <w:lang w:val="en-US" w:eastAsia="en-US" w:bidi="ar-SA"/>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298"/>
      <w:ind w:left="1133"/>
    </w:pPr>
    <w:rPr>
      <w:rFonts w:ascii="Calibri" w:hAnsi="Calibri" w:eastAsia="Calibri" w:cs="Calibri"/>
      <w:b/>
      <w:bCs/>
      <w:sz w:val="28"/>
      <w:szCs w:val="28"/>
      <w:lang w:val="en-US" w:eastAsia="en-US" w:bidi="ar-SA"/>
    </w:rPr>
  </w:style>
  <w:style w:styleId="TOC2" w:type="paragraph">
    <w:name w:val="TOC 2"/>
    <w:basedOn w:val="Normal"/>
    <w:uiPriority w:val="1"/>
    <w:qFormat/>
    <w:pPr>
      <w:spacing w:before="298"/>
      <w:ind w:left="1133"/>
    </w:pPr>
    <w:rPr>
      <w:rFonts w:ascii="Calibri" w:hAnsi="Calibri" w:eastAsia="Calibri" w:cs="Calibri"/>
      <w:b/>
      <w:bCs/>
      <w:sz w:val="28"/>
      <w:szCs w:val="28"/>
      <w:lang w:val="en-US" w:eastAsia="en-US" w:bidi="ar-SA"/>
    </w:rPr>
  </w:style>
  <w:style w:styleId="TOC3" w:type="paragraph">
    <w:name w:val="TOC 3"/>
    <w:basedOn w:val="Normal"/>
    <w:uiPriority w:val="1"/>
    <w:qFormat/>
    <w:pPr>
      <w:spacing w:before="298"/>
      <w:ind w:left="1133"/>
    </w:pPr>
    <w:rPr>
      <w:rFonts w:ascii="Calibri" w:hAnsi="Calibri" w:eastAsia="Calibri" w:cs="Calibri"/>
      <w:b/>
      <w:bCs/>
      <w:sz w:val="28"/>
      <w:szCs w:val="28"/>
      <w:lang w:val="en-US" w:eastAsia="en-US" w:bidi="ar-SA"/>
    </w:rPr>
  </w:style>
  <w:style w:styleId="TOC4" w:type="paragraph">
    <w:name w:val="TOC 4"/>
    <w:basedOn w:val="Normal"/>
    <w:uiPriority w:val="1"/>
    <w:qFormat/>
    <w:pPr>
      <w:spacing w:before="298"/>
      <w:ind w:left="1133"/>
    </w:pPr>
    <w:rPr>
      <w:rFonts w:ascii="Calibri" w:hAnsi="Calibri" w:eastAsia="Calibri" w:cs="Calibri"/>
      <w:b/>
      <w:bCs/>
      <w:sz w:val="28"/>
      <w:szCs w:val="28"/>
      <w:lang w:val="en-US" w:eastAsia="en-US" w:bidi="ar-SA"/>
    </w:rPr>
  </w:style>
  <w:style w:styleId="TOC5" w:type="paragraph">
    <w:name w:val="TOC 5"/>
    <w:basedOn w:val="Normal"/>
    <w:uiPriority w:val="1"/>
    <w:qFormat/>
    <w:pPr>
      <w:spacing w:line="320" w:lineRule="exact"/>
      <w:ind w:left="1133"/>
    </w:pPr>
    <w:rPr>
      <w:rFonts w:ascii="Calibri" w:hAnsi="Calibri" w:eastAsia="Calibri" w:cs="Calibri"/>
      <w:sz w:val="28"/>
      <w:szCs w:val="28"/>
      <w:lang w:val="en-US" w:eastAsia="en-US" w:bidi="ar-SA"/>
    </w:rPr>
  </w:style>
  <w:style w:styleId="BodyText" w:type="paragraph">
    <w:name w:val="Body Text"/>
    <w:basedOn w:val="Normal"/>
    <w:uiPriority w:val="1"/>
    <w:qFormat/>
    <w:pPr/>
    <w:rPr>
      <w:rFonts w:ascii="Calibri" w:hAnsi="Calibri" w:eastAsia="Calibri" w:cs="Calibri"/>
      <w:sz w:val="28"/>
      <w:szCs w:val="28"/>
      <w:lang w:val="en-US" w:eastAsia="en-US" w:bidi="ar-SA"/>
    </w:rPr>
  </w:style>
  <w:style w:styleId="Heading1" w:type="paragraph">
    <w:name w:val="Heading 1"/>
    <w:basedOn w:val="Normal"/>
    <w:uiPriority w:val="1"/>
    <w:qFormat/>
    <w:pPr>
      <w:spacing w:before="468"/>
      <w:ind w:left="1133"/>
      <w:outlineLvl w:val="1"/>
    </w:pPr>
    <w:rPr>
      <w:rFonts w:ascii="Calibri" w:hAnsi="Calibri" w:eastAsia="Calibri" w:cs="Calibri"/>
      <w:b/>
      <w:bCs/>
      <w:sz w:val="56"/>
      <w:szCs w:val="56"/>
      <w:lang w:val="en-US" w:eastAsia="en-US" w:bidi="ar-SA"/>
    </w:rPr>
  </w:style>
  <w:style w:styleId="Heading2" w:type="paragraph">
    <w:name w:val="Heading 2"/>
    <w:basedOn w:val="Normal"/>
    <w:uiPriority w:val="1"/>
    <w:qFormat/>
    <w:pPr>
      <w:spacing w:before="459"/>
      <w:ind w:left="1133"/>
      <w:outlineLvl w:val="2"/>
    </w:pPr>
    <w:rPr>
      <w:rFonts w:ascii="Calibri" w:hAnsi="Calibri" w:eastAsia="Calibri" w:cs="Calibri"/>
      <w:b/>
      <w:bCs/>
      <w:sz w:val="52"/>
      <w:szCs w:val="52"/>
      <w:lang w:val="en-US" w:eastAsia="en-US" w:bidi="ar-SA"/>
    </w:rPr>
  </w:style>
  <w:style w:styleId="Heading3" w:type="paragraph">
    <w:name w:val="Heading 3"/>
    <w:basedOn w:val="Normal"/>
    <w:uiPriority w:val="1"/>
    <w:qFormat/>
    <w:pPr>
      <w:ind w:left="1133"/>
      <w:outlineLvl w:val="3"/>
    </w:pPr>
    <w:rPr>
      <w:rFonts w:ascii="Calibri" w:hAnsi="Calibri" w:eastAsia="Calibri" w:cs="Calibri"/>
      <w:b/>
      <w:bCs/>
      <w:sz w:val="36"/>
      <w:szCs w:val="36"/>
      <w:lang w:val="en-US" w:eastAsia="en-US" w:bidi="ar-SA"/>
    </w:rPr>
  </w:style>
  <w:style w:styleId="Heading4" w:type="paragraph">
    <w:name w:val="Heading 4"/>
    <w:basedOn w:val="Normal"/>
    <w:uiPriority w:val="1"/>
    <w:qFormat/>
    <w:pPr>
      <w:ind w:left="1133"/>
      <w:outlineLvl w:val="4"/>
    </w:pPr>
    <w:rPr>
      <w:rFonts w:ascii="Calibri" w:hAnsi="Calibri" w:eastAsia="Calibri" w:cs="Calibri"/>
      <w:b/>
      <w:bCs/>
      <w:sz w:val="32"/>
      <w:szCs w:val="32"/>
      <w:lang w:val="en-US" w:eastAsia="en-US" w:bidi="ar-SA"/>
    </w:rPr>
  </w:style>
  <w:style w:styleId="Heading5" w:type="paragraph">
    <w:name w:val="Heading 5"/>
    <w:basedOn w:val="Normal"/>
    <w:uiPriority w:val="1"/>
    <w:qFormat/>
    <w:pPr>
      <w:ind w:left="1853" w:hanging="720"/>
      <w:outlineLvl w:val="5"/>
    </w:pPr>
    <w:rPr>
      <w:rFonts w:ascii="Calibri" w:hAnsi="Calibri" w:eastAsia="Calibri" w:cs="Calibri"/>
      <w:b/>
      <w:bCs/>
      <w:sz w:val="28"/>
      <w:szCs w:val="28"/>
      <w:lang w:val="en-US" w:eastAsia="en-US" w:bidi="ar-SA"/>
    </w:rPr>
  </w:style>
  <w:style w:styleId="Heading6" w:type="paragraph">
    <w:name w:val="Heading 6"/>
    <w:basedOn w:val="Normal"/>
    <w:uiPriority w:val="1"/>
    <w:qFormat/>
    <w:pPr>
      <w:spacing w:line="331" w:lineRule="exact"/>
      <w:ind w:left="1870"/>
      <w:outlineLvl w:val="6"/>
    </w:pPr>
    <w:rPr>
      <w:rFonts w:ascii="Calibri" w:hAnsi="Calibri" w:eastAsia="Calibri" w:cs="Calibri"/>
      <w:b/>
      <w:bCs/>
      <w:i/>
      <w:iCs/>
      <w:sz w:val="28"/>
      <w:szCs w:val="28"/>
      <w:lang w:val="en-US" w:eastAsia="en-US" w:bidi="ar-SA"/>
    </w:rPr>
  </w:style>
  <w:style w:styleId="Title" w:type="paragraph">
    <w:name w:val="Title"/>
    <w:basedOn w:val="Normal"/>
    <w:uiPriority w:val="1"/>
    <w:qFormat/>
    <w:pPr>
      <w:ind w:left="4443" w:right="2478"/>
    </w:pPr>
    <w:rPr>
      <w:rFonts w:ascii="Tahoma" w:hAnsi="Tahoma" w:eastAsia="Tahoma" w:cs="Tahoma"/>
      <w:b/>
      <w:bCs/>
      <w:sz w:val="80"/>
      <w:szCs w:val="80"/>
      <w:lang w:val="en-US" w:eastAsia="en-US" w:bidi="ar-SA"/>
    </w:rPr>
  </w:style>
  <w:style w:styleId="ListParagraph" w:type="paragraph">
    <w:name w:val="List Paragraph"/>
    <w:basedOn w:val="Normal"/>
    <w:uiPriority w:val="1"/>
    <w:qFormat/>
    <w:pPr>
      <w:ind w:left="1853" w:hanging="720"/>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header" Target="header1.xml"/><Relationship Id="rId57" Type="http://schemas.openxmlformats.org/officeDocument/2006/relationships/header" Target="header2.xml"/><Relationship Id="rId58" Type="http://schemas.openxmlformats.org/officeDocument/2006/relationships/footer" Target="footer2.xml"/><Relationship Id="rId59" Type="http://schemas.openxmlformats.org/officeDocument/2006/relationships/footer" Target="footer3.xml"/><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hyperlink" Target="https://nihrc.org/publication/detail/equality-and-human-rights-on-the-island-of-ireland-after-brexit-annual-joint-report-on-the-implementation-of-article-2-of-the-windsor-framework" TargetMode="External"/><Relationship Id="rId63" Type="http://schemas.openxmlformats.org/officeDocument/2006/relationships/header" Target="header3.xml"/><Relationship Id="rId64" Type="http://schemas.openxmlformats.org/officeDocument/2006/relationships/header" Target="header4.xml"/><Relationship Id="rId65" Type="http://schemas.openxmlformats.org/officeDocument/2006/relationships/footer" Target="footer4.xml"/><Relationship Id="rId66" Type="http://schemas.openxmlformats.org/officeDocument/2006/relationships/footer" Target="footer5.xml"/><Relationship Id="rId67" Type="http://schemas.openxmlformats.org/officeDocument/2006/relationships/hyperlink" Target="https://www.equalityni.org/ECNI/media/ECNI/Publications/Delivering%20Equality/DMU/EULaw-DomesticLegislation-Table.pdf" TargetMode="External"/><Relationship Id="rId68" Type="http://schemas.openxmlformats.org/officeDocument/2006/relationships/hyperlink" Target="https://assets.publishing.service.gov.uk/government/uploads/system/uploads/attachment_data/file/1139420/Political_Declaration_by_the_European_Commission_and_the_Government_of_the_United_Kingdom.pdf" TargetMode="External"/><Relationship Id="rId69" Type="http://schemas.openxmlformats.org/officeDocument/2006/relationships/hyperlink" Target="https://assets.publishing.service.gov.uk/government/uploads/system/uploads/attachment_data/file/1145694/Decision_of_the_Withdrawal_Agreement_Joint_Committee_on_laying_down_arrangements_relating_to_the_Windsor_Framework.pdf" TargetMode="External"/><Relationship Id="rId70" Type="http://schemas.openxmlformats.org/officeDocument/2006/relationships/hyperlink" Target="https://www.equalityni.org/ECNI/media/ECNI/Publications/Delivering%20Equality/DMU/DMU-HoLSubComm-WindsorFrameworkInquiry.pdf" TargetMode="External"/><Relationship Id="rId71" Type="http://schemas.openxmlformats.org/officeDocument/2006/relationships/hyperlink" Target="https://commission.europa.eu/publications/commission-statement-enhanced-engagement-northern-ireland-stakeholders_en" TargetMode="External"/><Relationship Id="rId72" Type="http://schemas.openxmlformats.org/officeDocument/2006/relationships/hyperlink" Target="https://www.equalityni.org/ECNI/media/ECNI/Publications/Delivering%20Equality/DMU/DMU-LegislativeScrutiny-Art2Protocol.pdf" TargetMode="External"/><Relationship Id="rId73" Type="http://schemas.openxmlformats.org/officeDocument/2006/relationships/hyperlink" Target="https://committees.parliament.uk/publications/22479/documents/166063/default/" TargetMode="External"/><Relationship Id="rId74" Type="http://schemas.openxmlformats.org/officeDocument/2006/relationships/hyperlink" Target="https://committees.parliament.uk/publications/9367/documents/160888/default/" TargetMode="External"/><Relationship Id="rId75" Type="http://schemas.openxmlformats.org/officeDocument/2006/relationships/hyperlink" Target="https://www.equalityni.org/ECNI/media/ECNI/Publications/Delivering%20Equality/DMU/EU-EqualityHumanRights-BrexitImpact.pdf" TargetMode="External"/><Relationship Id="rId76" Type="http://schemas.openxmlformats.org/officeDocument/2006/relationships/hyperlink" Target="https://www.equalityni.org/ECNI/media/ECNI/Publications/Delivering%20Equality/DMU/Brexit-DivergenceRecommendations.pdf" TargetMode="External"/><Relationship Id="rId77" Type="http://schemas.openxmlformats.org/officeDocument/2006/relationships/header" Target="header5.xml"/><Relationship Id="rId78" Type="http://schemas.openxmlformats.org/officeDocument/2006/relationships/header" Target="header6.xml"/><Relationship Id="rId79" Type="http://schemas.openxmlformats.org/officeDocument/2006/relationships/footer" Target="footer6.xml"/><Relationship Id="rId80" Type="http://schemas.openxmlformats.org/officeDocument/2006/relationships/footer" Target="footer7.xml"/><Relationship Id="rId81" Type="http://schemas.openxmlformats.org/officeDocument/2006/relationships/hyperlink" Target="https://nihrc.org/publication/detail/nihrc-and-ecni-working-paper-the-scope-of-article-21-of-the-ireland-northern-ireland-protocol" TargetMode="External"/><Relationship Id="rId82" Type="http://schemas.openxmlformats.org/officeDocument/2006/relationships/hyperlink" Target="https://www.equalityni.org/ECNI/media/ECNI/Publications/Corporate/Misc/Temp/EU-EqualityHumanRights-BrexitImpactAC.pdf" TargetMode="External"/><Relationship Id="rId83" Type="http://schemas.openxmlformats.org/officeDocument/2006/relationships/hyperlink" Target="https://www.gov.uk/government/publications/protocol-on-irelandnorthern-ireland-article-2" TargetMode="External"/><Relationship Id="rId84" Type="http://schemas.openxmlformats.org/officeDocument/2006/relationships/hyperlink" Target="https://www.equalityni.org/ECNI/media/ECNI/Publications/Delivering%20Equality/RaceLawReform-FullReport.pdf" TargetMode="External"/><Relationship Id="rId85" Type="http://schemas.openxmlformats.org/officeDocument/2006/relationships/header" Target="header7.xml"/><Relationship Id="rId86" Type="http://schemas.openxmlformats.org/officeDocument/2006/relationships/header" Target="header8.xml"/><Relationship Id="rId87" Type="http://schemas.openxmlformats.org/officeDocument/2006/relationships/footer" Target="footer8.xml"/><Relationship Id="rId88" Type="http://schemas.openxmlformats.org/officeDocument/2006/relationships/footer" Target="footer9.xml"/><Relationship Id="rId89" Type="http://schemas.openxmlformats.org/officeDocument/2006/relationships/hyperlink" Target="https://rm.coe.int/5th-op-uk-en/1680ab55b4" TargetMode="External"/><Relationship Id="rId90" Type="http://schemas.openxmlformats.org/officeDocument/2006/relationships/hyperlink" Target="https://www.equalityni.org/ECNI/media/ECNI/Consultation%20Responses/2022/EuroComm-RaceEqualityDirective.pdf" TargetMode="External"/><Relationship Id="rId91" Type="http://schemas.openxmlformats.org/officeDocument/2006/relationships/hyperlink" Target="https://www.equalityni.org/ECNI/media/ECNI/Publications/Delivering%20Equality/SingleEqualityAct-ECNI-PolicyPosition-2022.pdf" TargetMode="External"/><Relationship Id="rId92" Type="http://schemas.openxmlformats.org/officeDocument/2006/relationships/header" Target="header9.xml"/><Relationship Id="rId93" Type="http://schemas.openxmlformats.org/officeDocument/2006/relationships/header" Target="header10.xml"/><Relationship Id="rId94" Type="http://schemas.openxmlformats.org/officeDocument/2006/relationships/footer" Target="footer10.xml"/><Relationship Id="rId95" Type="http://schemas.openxmlformats.org/officeDocument/2006/relationships/footer" Target="footer11.xml"/><Relationship Id="rId96" Type="http://schemas.openxmlformats.org/officeDocument/2006/relationships/hyperlink" Target="https://www.equalityni.org/ECNI/media/ECNI/Publications/Delivering%20Equality/DMU/ECNI_NIHRC_Briefing-paper_Pay-Transparency-Directive_4-March-2024.pdf" TargetMode="External"/><Relationship Id="rId97" Type="http://schemas.openxmlformats.org/officeDocument/2006/relationships/hyperlink" Target="https://www.equalityni.org/ECNI/media/ECNI/Consultation%20Responses/2023/EU-BindingStandards-for-EqualityBodies.pdf" TargetMode="External"/><Relationship Id="rId98" Type="http://schemas.openxmlformats.org/officeDocument/2006/relationships/hyperlink" Target="https://eur-lex.europa.eu/legal-content/EN/TXT/HTML/?uri=CELEX%3A32000L0043&amp;from=EN" TargetMode="External"/><Relationship Id="rId99" Type="http://schemas.openxmlformats.org/officeDocument/2006/relationships/hyperlink" Target="https://www.consilium.europa.eu/en/press/press-releases/2024/02/20/equality-bodies-council-agrees-on-final-text-to-strengthen-their-role-across-the-eu/#%3A~%3Atext%3DToday%2C%20the%20Council%20agreed%20on%2Casked%20to%20give%20its%20consent" TargetMode="External"/><Relationship Id="rId100" Type="http://schemas.openxmlformats.org/officeDocument/2006/relationships/hyperlink" Target="https://www.equalityni.org/ECNI/media/ECNI/Publications/Delivering%20Equality/DMU/NIHRC-ECNI-Scope-of-Protocol-Working-Paper-December-2022.pdf" TargetMode="External"/><Relationship Id="rId101" Type="http://schemas.openxmlformats.org/officeDocument/2006/relationships/hyperlink" Target="https://eur-lex.europa.eu/legal-content/EN/TXT/?uri=CELEX%3A32010D0048" TargetMode="External"/><Relationship Id="rId102" Type="http://schemas.openxmlformats.org/officeDocument/2006/relationships/hyperlink" Target="https://www.equalityni.org/ECNI/media/ECNI/Publications/Delivering%20Equality/UNCRPD%20investigations/UNCRPD-Implementation-NI.pdf" TargetMode="External"/><Relationship Id="rId103" Type="http://schemas.openxmlformats.org/officeDocument/2006/relationships/hyperlink" Target="https://eur-lex.europa.eu/legal-content/EN/TXT/PDF/?uri=CELEX%3A52021IP0075" TargetMode="External"/><Relationship Id="rId104" Type="http://schemas.openxmlformats.org/officeDocument/2006/relationships/hyperlink" Target="https://eur-lex.europa.eu/legal-content/EN/TXT/?uri=celex%3A32000L0078" TargetMode="External"/><Relationship Id="rId105" Type="http://schemas.openxmlformats.org/officeDocument/2006/relationships/header" Target="header11.xml"/><Relationship Id="rId106" Type="http://schemas.openxmlformats.org/officeDocument/2006/relationships/header" Target="header12.xml"/><Relationship Id="rId107" Type="http://schemas.openxmlformats.org/officeDocument/2006/relationships/footer" Target="footer12.xml"/><Relationship Id="rId108" Type="http://schemas.openxmlformats.org/officeDocument/2006/relationships/footer" Target="footer13.xml"/><Relationship Id="rId109" Type="http://schemas.openxmlformats.org/officeDocument/2006/relationships/hyperlink" Target="https://www.equalityni.org/ECNI/media/ECNI/Publications/Delivering%20Equality/Disabilitylawreformproposalsfullreport2012.pdf" TargetMode="External"/><Relationship Id="rId110" Type="http://schemas.openxmlformats.org/officeDocument/2006/relationships/hyperlink" Target="https://ec.europa.eu/social/main.jsp?catId=1202" TargetMode="External"/><Relationship Id="rId111" Type="http://schemas.openxmlformats.org/officeDocument/2006/relationships/hyperlink" Target="https://www.irishstatutebook.ie/eli/2023/si/636/made/en/print" TargetMode="External"/><Relationship Id="rId112" Type="http://schemas.openxmlformats.org/officeDocument/2006/relationships/hyperlink" Target="https://www.equalityni.org/ECNI/media/ECNI/Publications/Delivering%20Equality/DMU/DMU-HoLSubComm-ProtocolInquiry.pdf" TargetMode="External"/><Relationship Id="rId113" Type="http://schemas.openxmlformats.org/officeDocument/2006/relationships/header" Target="header13.xml"/><Relationship Id="rId114" Type="http://schemas.openxmlformats.org/officeDocument/2006/relationships/header" Target="header14.xml"/><Relationship Id="rId115" Type="http://schemas.openxmlformats.org/officeDocument/2006/relationships/footer" Target="footer14.xml"/><Relationship Id="rId116" Type="http://schemas.openxmlformats.org/officeDocument/2006/relationships/footer" Target="footer15.xml"/><Relationship Id="rId117" Type="http://schemas.openxmlformats.org/officeDocument/2006/relationships/header" Target="header15.xml"/><Relationship Id="rId118" Type="http://schemas.openxmlformats.org/officeDocument/2006/relationships/header" Target="header16.xml"/><Relationship Id="rId119" Type="http://schemas.openxmlformats.org/officeDocument/2006/relationships/footer" Target="footer16.xml"/><Relationship Id="rId120" Type="http://schemas.openxmlformats.org/officeDocument/2006/relationships/footer" Target="footer17.xml"/><Relationship Id="rId121" Type="http://schemas.openxmlformats.org/officeDocument/2006/relationships/header" Target="header17.xml"/><Relationship Id="rId122" Type="http://schemas.openxmlformats.org/officeDocument/2006/relationships/header" Target="header18.xml"/><Relationship Id="rId123" Type="http://schemas.openxmlformats.org/officeDocument/2006/relationships/footer" Target="footer18.xml"/><Relationship Id="rId124" Type="http://schemas.openxmlformats.org/officeDocument/2006/relationships/footer" Target="footer19.xml"/><Relationship Id="rId125" Type="http://schemas.openxmlformats.org/officeDocument/2006/relationships/hyperlink" Target="https://www.equalityni.org/ECNI/media/ECNI/Publications/Delivering%20Equality/GenderPolicyPriorities-Full.pdf" TargetMode="External"/><Relationship Id="rId126" Type="http://schemas.openxmlformats.org/officeDocument/2006/relationships/header" Target="header19.xml"/><Relationship Id="rId127" Type="http://schemas.openxmlformats.org/officeDocument/2006/relationships/header" Target="header20.xml"/><Relationship Id="rId128" Type="http://schemas.openxmlformats.org/officeDocument/2006/relationships/footer" Target="footer20.xml"/><Relationship Id="rId129" Type="http://schemas.openxmlformats.org/officeDocument/2006/relationships/footer" Target="footer21.xml"/><Relationship Id="rId130" Type="http://schemas.openxmlformats.org/officeDocument/2006/relationships/hyperlink" Target="https://www.equalityni.org/ECNI/media/ECNI/Publications/Delivering%20Equality/DMU/ImpactOfBrexit-MinorityEthnicMigrantPeople.pdf" TargetMode="External"/><Relationship Id="rId131" Type="http://schemas.openxmlformats.org/officeDocument/2006/relationships/header" Target="header21.xml"/><Relationship Id="rId132" Type="http://schemas.openxmlformats.org/officeDocument/2006/relationships/header" Target="header22.xml"/><Relationship Id="rId133" Type="http://schemas.openxmlformats.org/officeDocument/2006/relationships/footer" Target="footer22.xml"/><Relationship Id="rId134" Type="http://schemas.openxmlformats.org/officeDocument/2006/relationships/footer" Target="footer23.xml"/><Relationship Id="rId135" Type="http://schemas.openxmlformats.org/officeDocument/2006/relationships/hyperlink" Target="https://nihrc.org/publication/detail/nihrc-response-to-the-european-commission-consultation-on-the-racial-equality-directive" TargetMode="External"/><Relationship Id="rId136" Type="http://schemas.openxmlformats.org/officeDocument/2006/relationships/hyperlink" Target="https://www.equalityni.org/ECNI/media/ECNI/Publications/Delivering%20Equality/RaceLawReformPolicyPosition-PrioritiesAndRecommendations.pdf" TargetMode="External"/><Relationship Id="rId137" Type="http://schemas.openxmlformats.org/officeDocument/2006/relationships/hyperlink" Target="https://www.executiveoffice-ni.gov.uk/articles/racial-equality" TargetMode="External"/><Relationship Id="rId138" Type="http://schemas.openxmlformats.org/officeDocument/2006/relationships/hyperlink" Target="https://www.equalityni.org/Footer-Links/News/Delivering-Equality/Budget-cuts-and-inequality-in-Northern-Ireland" TargetMode="External"/><Relationship Id="rId139" Type="http://schemas.openxmlformats.org/officeDocument/2006/relationships/hyperlink" Target="https://www.equalityni.org/ECNI/media/ECNI/Consultation%20Responses/2022/DoJ-HateCrimeLegislation.pdf" TargetMode="External"/><Relationship Id="rId140" Type="http://schemas.openxmlformats.org/officeDocument/2006/relationships/header" Target="header23.xml"/><Relationship Id="rId141" Type="http://schemas.openxmlformats.org/officeDocument/2006/relationships/header" Target="header24.xml"/><Relationship Id="rId142" Type="http://schemas.openxmlformats.org/officeDocument/2006/relationships/footer" Target="footer24.xml"/><Relationship Id="rId143" Type="http://schemas.openxmlformats.org/officeDocument/2006/relationships/footer" Target="footer25.xml"/><Relationship Id="rId144" Type="http://schemas.openxmlformats.org/officeDocument/2006/relationships/header" Target="header25.xml"/><Relationship Id="rId145" Type="http://schemas.openxmlformats.org/officeDocument/2006/relationships/header" Target="header26.xml"/><Relationship Id="rId146" Type="http://schemas.openxmlformats.org/officeDocument/2006/relationships/footer" Target="footer26.xml"/><Relationship Id="rId147" Type="http://schemas.openxmlformats.org/officeDocument/2006/relationships/footer" Target="footer27.xml"/><Relationship Id="rId148" Type="http://schemas.openxmlformats.org/officeDocument/2006/relationships/hyperlink" Target="https://www.equalityni.org/ECNI/media/ECNI/Consultation%20Responses/2023/DoJ-Slavery-Trafficking.pdf?ext=.pdf" TargetMode="External"/><Relationship Id="rId149" Type="http://schemas.openxmlformats.org/officeDocument/2006/relationships/hyperlink" Target="https://www.equalityni.org/ECNI/media/ECNI/Consultation%20Responses/2023/HoL-Illegal-Migration-Bill-ECNIresponse.pdf" TargetMode="External"/><Relationship Id="rId150" Type="http://schemas.openxmlformats.org/officeDocument/2006/relationships/hyperlink" Target="https://www.equalityni.org/ECNI/media/ECNI/Consultation%20Responses/2022/EuroComm%E2%80%93Combatting-Violence-Against-Women-Directive.pdf" TargetMode="External"/><Relationship Id="rId151" Type="http://schemas.openxmlformats.org/officeDocument/2006/relationships/hyperlink" Target="https://www.equalityni.org/ECNI/media/ECNI/Consultation%20Responses/2023/TEO-Violence-Against-Women-StrategyFramework-ECNIresponse.pdf" TargetMode="External"/><Relationship Id="rId152" Type="http://schemas.openxmlformats.org/officeDocument/2006/relationships/hyperlink" Target="https://www.equalityni.org/ECNI/media/ECNI/Consultation%20Responses/2024/UN-ViolenceAgainstWomen-ECNIresponseFeb24.pdf" TargetMode="External"/><Relationship Id="rId153" Type="http://schemas.openxmlformats.org/officeDocument/2006/relationships/hyperlink" Target="https://www.psni.police.uk/about-us/our-publications-and-reports/official-statistics/hate-motivation-statistics" TargetMode="External"/><Relationship Id="rId154" Type="http://schemas.openxmlformats.org/officeDocument/2006/relationships/header" Target="header27.xml"/><Relationship Id="rId155" Type="http://schemas.openxmlformats.org/officeDocument/2006/relationships/header" Target="header28.xml"/><Relationship Id="rId156" Type="http://schemas.openxmlformats.org/officeDocument/2006/relationships/footer" Target="footer28.xml"/><Relationship Id="rId157" Type="http://schemas.openxmlformats.org/officeDocument/2006/relationships/footer" Target="footer29.xml"/><Relationship Id="rId158" Type="http://schemas.openxmlformats.org/officeDocument/2006/relationships/header" Target="header29.xml"/><Relationship Id="rId159" Type="http://schemas.openxmlformats.org/officeDocument/2006/relationships/header" Target="header30.xml"/><Relationship Id="rId160" Type="http://schemas.openxmlformats.org/officeDocument/2006/relationships/footer" Target="footer30.xml"/><Relationship Id="rId161" Type="http://schemas.openxmlformats.org/officeDocument/2006/relationships/footer" Target="footer31.xml"/><Relationship Id="rId162" Type="http://schemas.openxmlformats.org/officeDocument/2006/relationships/hyperlink" Target="https://icrir.independent-inquiry.uk/documents/" TargetMode="External"/><Relationship Id="rId163" Type="http://schemas.openxmlformats.org/officeDocument/2006/relationships/hyperlink" Target="https://www.equalityni.org/ECNI/media/ECNI/Consultation%20Responses/2023/DoJ-Slavery-Trafficking.pdf" TargetMode="External"/><Relationship Id="rId164" Type="http://schemas.openxmlformats.org/officeDocument/2006/relationships/hyperlink" Target="https://nihrc.org/uploads/publications/FINAL-NIHRC-Response-to-Consultation-on-the-Draft-Modern-Slavery-and-Human-Trafficking-Strategy.pdf" TargetMode="External"/><Relationship Id="rId165" Type="http://schemas.openxmlformats.org/officeDocument/2006/relationships/header" Target="header31.xml"/><Relationship Id="rId166" Type="http://schemas.openxmlformats.org/officeDocument/2006/relationships/header" Target="header32.xml"/><Relationship Id="rId167" Type="http://schemas.openxmlformats.org/officeDocument/2006/relationships/footer" Target="footer32.xml"/><Relationship Id="rId168" Type="http://schemas.openxmlformats.org/officeDocument/2006/relationships/footer" Target="footer33.xml"/><Relationship Id="rId169" Type="http://schemas.openxmlformats.org/officeDocument/2006/relationships/header" Target="header33.xml"/><Relationship Id="rId170" Type="http://schemas.openxmlformats.org/officeDocument/2006/relationships/header" Target="header34.xml"/><Relationship Id="rId171" Type="http://schemas.openxmlformats.org/officeDocument/2006/relationships/footer" Target="footer34.xml"/><Relationship Id="rId172" Type="http://schemas.openxmlformats.org/officeDocument/2006/relationships/footer" Target="footer35.xml"/><Relationship Id="rId173" Type="http://schemas.openxmlformats.org/officeDocument/2006/relationships/header" Target="header35.xml"/><Relationship Id="rId174" Type="http://schemas.openxmlformats.org/officeDocument/2006/relationships/header" Target="header36.xml"/><Relationship Id="rId175" Type="http://schemas.openxmlformats.org/officeDocument/2006/relationships/footer" Target="footer36.xml"/><Relationship Id="rId176" Type="http://schemas.openxmlformats.org/officeDocument/2006/relationships/footer" Target="footer37.xml"/><Relationship Id="rId177" Type="http://schemas.openxmlformats.org/officeDocument/2006/relationships/header" Target="header37.xml"/><Relationship Id="rId178" Type="http://schemas.openxmlformats.org/officeDocument/2006/relationships/header" Target="header38.xml"/><Relationship Id="rId179" Type="http://schemas.openxmlformats.org/officeDocument/2006/relationships/footer" Target="footer38.xml"/><Relationship Id="rId180" Type="http://schemas.openxmlformats.org/officeDocument/2006/relationships/footer" Target="footer39.xml"/><Relationship Id="rId181" Type="http://schemas.openxmlformats.org/officeDocument/2006/relationships/hyperlink" Target="http://www.equalityni.org/Employers-Service-Providers/Large-Business/Harmonious-workplaces/Dress-code" TargetMode="External"/><Relationship Id="rId182" Type="http://schemas.openxmlformats.org/officeDocument/2006/relationships/header" Target="header39.xml"/><Relationship Id="rId183" Type="http://schemas.openxmlformats.org/officeDocument/2006/relationships/header" Target="header40.xml"/><Relationship Id="rId184" Type="http://schemas.openxmlformats.org/officeDocument/2006/relationships/footer" Target="footer40.xml"/><Relationship Id="rId185" Type="http://schemas.openxmlformats.org/officeDocument/2006/relationships/footer" Target="footer41.xml"/><Relationship Id="rId186" Type="http://schemas.openxmlformats.org/officeDocument/2006/relationships/header" Target="header41.xml"/><Relationship Id="rId187" Type="http://schemas.openxmlformats.org/officeDocument/2006/relationships/header" Target="header42.xml"/><Relationship Id="rId188" Type="http://schemas.openxmlformats.org/officeDocument/2006/relationships/footer" Target="footer42.xml"/><Relationship Id="rId189" Type="http://schemas.openxmlformats.org/officeDocument/2006/relationships/footer" Target="footer43.xml"/><Relationship Id="rId190" Type="http://schemas.openxmlformats.org/officeDocument/2006/relationships/header" Target="header43.xml"/><Relationship Id="rId191" Type="http://schemas.openxmlformats.org/officeDocument/2006/relationships/header" Target="header44.xml"/><Relationship Id="rId192" Type="http://schemas.openxmlformats.org/officeDocument/2006/relationships/footer" Target="footer44.xml"/><Relationship Id="rId193" Type="http://schemas.openxmlformats.org/officeDocument/2006/relationships/footer" Target="footer45.xml"/><Relationship Id="rId194" Type="http://schemas.openxmlformats.org/officeDocument/2006/relationships/header" Target="header45.xml"/><Relationship Id="rId195" Type="http://schemas.openxmlformats.org/officeDocument/2006/relationships/header" Target="header46.xml"/><Relationship Id="rId196" Type="http://schemas.openxmlformats.org/officeDocument/2006/relationships/footer" Target="footer46.xml"/><Relationship Id="rId197" Type="http://schemas.openxmlformats.org/officeDocument/2006/relationships/footer" Target="footer47.xml"/><Relationship Id="rId198" Type="http://schemas.openxmlformats.org/officeDocument/2006/relationships/hyperlink" Target="https://eur-lex.europa.eu/LexUriServ/LexUriServ.do?uri=OJ%3AL%3A2009%3A337%3A0011%3A0036%3Aen%3APDF" TargetMode="External"/><Relationship Id="rId199" Type="http://schemas.openxmlformats.org/officeDocument/2006/relationships/header" Target="header47.xml"/><Relationship Id="rId200" Type="http://schemas.openxmlformats.org/officeDocument/2006/relationships/header" Target="header48.xml"/><Relationship Id="rId201" Type="http://schemas.openxmlformats.org/officeDocument/2006/relationships/footer" Target="footer48.xml"/><Relationship Id="rId202" Type="http://schemas.openxmlformats.org/officeDocument/2006/relationships/footer" Target="footer49.xml"/><Relationship Id="rId203" Type="http://schemas.openxmlformats.org/officeDocument/2006/relationships/header" Target="header49.xml"/><Relationship Id="rId204" Type="http://schemas.openxmlformats.org/officeDocument/2006/relationships/header" Target="header50.xml"/><Relationship Id="rId205" Type="http://schemas.openxmlformats.org/officeDocument/2006/relationships/footer" Target="footer50.xml"/><Relationship Id="rId206" Type="http://schemas.openxmlformats.org/officeDocument/2006/relationships/footer" Target="footer51.xml"/><Relationship Id="rId207" Type="http://schemas.openxmlformats.org/officeDocument/2006/relationships/hyperlink" Target="https://the3million.org.uk/publication/2023110801" TargetMode="External"/><Relationship Id="rId208" Type="http://schemas.openxmlformats.org/officeDocument/2006/relationships/header" Target="header51.xml"/><Relationship Id="rId209" Type="http://schemas.openxmlformats.org/officeDocument/2006/relationships/header" Target="header52.xml"/><Relationship Id="rId210" Type="http://schemas.openxmlformats.org/officeDocument/2006/relationships/footer" Target="footer52.xml"/><Relationship Id="rId211" Type="http://schemas.openxmlformats.org/officeDocument/2006/relationships/footer" Target="footer53.xml"/><Relationship Id="rId212" Type="http://schemas.openxmlformats.org/officeDocument/2006/relationships/header" Target="header53.xml"/><Relationship Id="rId213" Type="http://schemas.openxmlformats.org/officeDocument/2006/relationships/header" Target="header54.xml"/><Relationship Id="rId214" Type="http://schemas.openxmlformats.org/officeDocument/2006/relationships/footer" Target="footer54.xml"/><Relationship Id="rId215" Type="http://schemas.openxmlformats.org/officeDocument/2006/relationships/footer" Target="footer55.xml"/><Relationship Id="rId216" Type="http://schemas.openxmlformats.org/officeDocument/2006/relationships/hyperlink" Target="https://www.gov.uk/government/publications/professional-qualifications-act-2022-guidance-for-regulators" TargetMode="External"/><Relationship Id="rId217" Type="http://schemas.openxmlformats.org/officeDocument/2006/relationships/hyperlink" Target="https://www.gov.uk/eusettledstatus" TargetMode="External"/><Relationship Id="rId218" Type="http://schemas.openxmlformats.org/officeDocument/2006/relationships/header" Target="header55.xml"/><Relationship Id="rId219" Type="http://schemas.openxmlformats.org/officeDocument/2006/relationships/header" Target="header56.xml"/><Relationship Id="rId220" Type="http://schemas.openxmlformats.org/officeDocument/2006/relationships/footer" Target="footer56.xml"/><Relationship Id="rId221" Type="http://schemas.openxmlformats.org/officeDocument/2006/relationships/footer" Target="footer57.xml"/><Relationship Id="rId222" Type="http://schemas.openxmlformats.org/officeDocument/2006/relationships/hyperlink" Target="https://nihrc.org/publication/detail/nihrc-and-ecni-annual-report-on-the-implementation-of-article-2-of-the-windsor-framework" TargetMode="External"/><Relationship Id="rId223" Type="http://schemas.openxmlformats.org/officeDocument/2006/relationships/hyperlink" Target="https://nihrc.org/publication/detail/policy-recommendations-european-union-developments-in-equality-and-human-rights-the-impact-of-brexit-on-the-divergence-of-rights-and-best-practice-on-the-island-of-ireland" TargetMode="External"/><Relationship Id="rId224" Type="http://schemas.openxmlformats.org/officeDocument/2006/relationships/hyperlink" Target="https://nihrc.org/publication/detail/joint-submission-northern-ireland-human-rights-commission-and-equality-commission-submission-to-the-inquiry-on-windsor-framework-by-the-house-of-lords-sub-committee-on-the-protocol" TargetMode="External"/><Relationship Id="rId225" Type="http://schemas.openxmlformats.org/officeDocument/2006/relationships/hyperlink" Target="https://nihrc.org/publication/detail/independent-mechanism-for-northern-ireland-submission-to-the-uncrpd-follow-up-inquiry" TargetMode="External"/><Relationship Id="rId226" Type="http://schemas.openxmlformats.org/officeDocument/2006/relationships/hyperlink" Target="https://nihrc.org/publication/detail/joint-nihrc-ecni-submission-to-the-european-scrutiny-committee-inquiry-into-retained-eu-law-the-progress-and-mechanics-of-reform" TargetMode="External"/><Relationship Id="rId227" Type="http://schemas.openxmlformats.org/officeDocument/2006/relationships/hyperlink" Target="https://nihrc.org/publication/detail/uk-independent-mechanism-additional-information-for-the-un-committee-on-the-rights-of-persons-with-disabilities-to-inform-its-inquiry-review-into-the-uk" TargetMode="External"/><Relationship Id="rId228" Type="http://schemas.openxmlformats.org/officeDocument/2006/relationships/hyperlink" Target="https://nihrc.org/publication/detail/joint-nihrc-ecni-briefing-paper-on-the-eu-pay-transparency-directive" TargetMode="External"/><Relationship Id="rId229" Type="http://schemas.openxmlformats.org/officeDocument/2006/relationships/hyperlink" Target="https://nihrc.org/publication/detail/submission-to-joint-committee-on-human-rights-inquiry-on-illegal-migration-bill" TargetMode="External"/><Relationship Id="rId230" Type="http://schemas.openxmlformats.org/officeDocument/2006/relationships/hyperlink" Target="https://nihrc.org/publication/detail/nihrc-response-to-the-department-of-health-and-department-of-justices-consultation-on-a-draft-domestic-and-sexual-abuse-strategy" TargetMode="External"/><Relationship Id="rId231" Type="http://schemas.openxmlformats.org/officeDocument/2006/relationships/hyperlink" Target="https://nihrc.org/publication/detail/submission-to-the-house-of-lords-on-the-illegal-migration-bill" TargetMode="External"/><Relationship Id="rId232" Type="http://schemas.openxmlformats.org/officeDocument/2006/relationships/hyperlink" Target="https://nihrc.org/publication/detail/submission-to-the-council-of-europe-european-commission-against-racism-and-intolerance-parallel-report-for-the-sixth-cycle-in-monitoring-the-united-kingdom" TargetMode="External"/><Relationship Id="rId233" Type="http://schemas.openxmlformats.org/officeDocument/2006/relationships/hyperlink" Target="https://nihrc.org/publication/detail/nihrc-response-to-the-executive-offices-consultation-on-the-review-of-the-race-relations-ni-order-1997" TargetMode="External"/><Relationship Id="rId234" Type="http://schemas.openxmlformats.org/officeDocument/2006/relationships/hyperlink" Target="https://nihrc.org/publication/detail/nihrc-response-to-the-department-for-infrastructures-consultation-on-concessionary-fares" TargetMode="External"/><Relationship Id="rId235" Type="http://schemas.openxmlformats.org/officeDocument/2006/relationships/hyperlink" Target="https://nihrc.org/publication/detail/briefing-paper-draft-recommendations-on-brexit-health-and-its-potential-impact-on-article-2-of-the-windsor-framework" TargetMode="External"/><Relationship Id="rId236" Type="http://schemas.openxmlformats.org/officeDocument/2006/relationships/hyperlink" Target="https://nihrc.org/publication/detail/submission-to-the-executive-offices-consultation-on-the-ending-violence-against-women-and-girls-strategic-framework" TargetMode="External"/><Relationship Id="rId237" Type="http://schemas.openxmlformats.org/officeDocument/2006/relationships/hyperlink" Target="https://nihrc.org/publication/detail/nihrc-briefing-note-on-article-2-of-the-windsor-framework-and-the-rights-of-refugees-and-asylum-seekers" TargetMode="External"/><Relationship Id="rId238" Type="http://schemas.openxmlformats.org/officeDocument/2006/relationships/hyperlink" Target="https://nihrc.org/publication/detail/submission-to-the-council-of-europe-group-of-experts-on-action-against-violence-against-women-and-domestic-violence" TargetMode="External"/><Relationship Id="rId239" Type="http://schemas.openxmlformats.org/officeDocument/2006/relationships/hyperlink" Target="https://nihrc.org/publication/detail/nihrc-briefing-on-the-data-protection-and-digital-information-bill" TargetMode="External"/><Relationship Id="rId240" Type="http://schemas.openxmlformats.org/officeDocument/2006/relationships/hyperlink" Target="https://nihrc.org/publication/detail/nihrc-advice-on-the-safety-of-rwanda-asylum-and-immigration-bill" TargetMode="External"/><Relationship Id="rId241" Type="http://schemas.openxmlformats.org/officeDocument/2006/relationships/hyperlink" Target="https://nihrc.org/publication/detail/nihrc-response-to-the-department-of-finance-consultation-on-the-review-of-defamation-law-in-ni" TargetMode="External"/><Relationship Id="rId242" Type="http://schemas.openxmlformats.org/officeDocument/2006/relationships/hyperlink" Target="https://nihrc.org/publication/detail/submission-to-the-un-human-rights-committee-on-the-united-kingdoms-eighth-periodic-report-on-compliance-with-the-international-covenant-on-civil-and-political-rights" TargetMode="External"/><Relationship Id="rId243" Type="http://schemas.openxmlformats.org/officeDocument/2006/relationships/hyperlink" Target="https://nihrc.org/publication/detail/submission-to-the-un-special-rapporteur-on-violence-against-women-and-girls" TargetMode="External"/><Relationship Id="rId244" Type="http://schemas.openxmlformats.org/officeDocument/2006/relationships/hyperlink" Target="https://nihrc.org/publication/detail/nihrc-submission-to-the-executive-offices-consultation-on-the-new-strategy-for-victims-and-survivors" TargetMode="External"/><Relationship Id="rId245" Type="http://schemas.openxmlformats.org/officeDocument/2006/relationships/hyperlink" Target="https://eur01.safelinks.protection.outlook.com/?url=https%3A%2F%2Fwww.equalityni.org%2FECNI%2Fmedia%2FECNI%2FConsultation%2520Responses%2F2023%2FDOJDOH-DomSexAbuseStrategy.pdf%3Fext%3D.pdf&amp;data=05%7C02%7CGDoherty%40equalityni.org%7C91034cb5c8c34d8713d708dc8098ed6c%7C5820a9e267394cd7838b4cb0f6ccf5ce%7C0%7C0%7C638526641515132511%7CUnknown%7CTWFpbGZsb3d8eyJWIjoiMC4wLjAwMDAiLCJQIjoiV2luMzIiLCJBTiI6Ik1haWwiLCJXVCI6Mn0%3D%7C0%7C%7C%7C&amp;sdata=7EZVl1Jez35qyHT3FjZewGqGJ3j3uxAi6Te46Fkh87s%3D&amp;reserved=0" TargetMode="External"/><Relationship Id="rId246" Type="http://schemas.openxmlformats.org/officeDocument/2006/relationships/hyperlink" Target="https://www.equalityni.org/Rights-After-Brexit-Survey" TargetMode="External"/><Relationship Id="rId247" Type="http://schemas.openxmlformats.org/officeDocument/2006/relationships/hyperlink" Target="https://www.equalityni.org/ECNI/media/ECNI/Consultation%20Responses/2023/TEO-RaceRelationsOrder-ECNI-Response2023.pdf" TargetMode="External"/><Relationship Id="rId248" Type="http://schemas.openxmlformats.org/officeDocument/2006/relationships/hyperlink" Target="https://www.equalityni.org/ECNI/media/ECNI/Publications/Delivering%20Equality/DMU/DMU-HOLSubComm-WF-RegulatoryDivergence-Dec23.pdf" TargetMode="External"/><Relationship Id="rId249" Type="http://schemas.openxmlformats.org/officeDocument/2006/relationships/hyperlink" Target="https://www.equalityni.org/ECNI/media/ECNI/Consultation%20Responses/2023/NIO-StopAndSearchCoP-ECNIresponseDec23.pdf?ext=.pdf" TargetMode="External"/><Relationship Id="rId250" Type="http://schemas.openxmlformats.org/officeDocument/2006/relationships/header" Target="header57.xml"/><Relationship Id="rId251" Type="http://schemas.openxmlformats.org/officeDocument/2006/relationships/header" Target="header58.xml"/><Relationship Id="rId252" Type="http://schemas.openxmlformats.org/officeDocument/2006/relationships/footer" Target="footer58.xml"/><Relationship Id="rId253" Type="http://schemas.openxmlformats.org/officeDocument/2006/relationships/hyperlink" Target="https://www.equalityni.org/ECNI/media/ECNI/Consultation%20Responses/2024/Rwanda-Bill-ECNIresponse-Feb24.pdf" TargetMode="External"/><Relationship Id="rId254" Type="http://schemas.openxmlformats.org/officeDocument/2006/relationships/hyperlink" Target="https://www.equalityni.org/ECNI/media/ECNI/Consultation%20Responses/2024/UN-ViolenceAgainstWomen-ECNIresponseFeb24.pdf?ext=.pdf" TargetMode="External"/><Relationship Id="rId255" Type="http://schemas.openxmlformats.org/officeDocument/2006/relationships/hyperlink" Target="https://www.equalityni.org/ECNI/media/ECNI/Consultation%20Responses/2024/TEO-VictimsSurvivorStrategy-ECNIresponse-Mar24.pdf?ext=.pdf" TargetMode="External"/><Relationship Id="rId256" Type="http://schemas.openxmlformats.org/officeDocument/2006/relationships/hyperlink" Target="https://www.equalityni.org/ECNI/media/ECNI/Consultation%20Responses/2024/HoL-DataDigitalinfoBill-ECNIsubmission.pdf" TargetMode="External"/><Relationship Id="rId257" Type="http://schemas.openxmlformats.org/officeDocument/2006/relationships/header" Target="header59.xml"/><Relationship Id="rId258" Type="http://schemas.openxmlformats.org/officeDocument/2006/relationships/header" Target="header60.xml"/><Relationship Id="rId259" Type="http://schemas.openxmlformats.org/officeDocument/2006/relationships/footer" Target="footer59.xml"/><Relationship Id="rId260" Type="http://schemas.openxmlformats.org/officeDocument/2006/relationships/footer" Target="footer60.xml"/><Relationship Id="rId261" Type="http://schemas.openxmlformats.org/officeDocument/2006/relationships/header" Target="header61.xml"/><Relationship Id="rId262" Type="http://schemas.openxmlformats.org/officeDocument/2006/relationships/footer" Target="footer61.xml"/><Relationship Id="rId263" Type="http://schemas.openxmlformats.org/officeDocument/2006/relationships/image" Target="media/image53.png"/><Relationship Id="rId264" Type="http://schemas.openxmlformats.org/officeDocument/2006/relationships/image" Target="media/image54.png"/><Relationship Id="rId265" Type="http://schemas.openxmlformats.org/officeDocument/2006/relationships/image" Target="media/image55.png"/><Relationship Id="rId266" Type="http://schemas.openxmlformats.org/officeDocument/2006/relationships/image" Target="media/image56.png"/><Relationship Id="rId267" Type="http://schemas.openxmlformats.org/officeDocument/2006/relationships/image" Target="media/image57.png"/><Relationship Id="rId268" Type="http://schemas.openxmlformats.org/officeDocument/2006/relationships/hyperlink" Target="mailto:info@nihrc.org" TargetMode="External"/><Relationship Id="rId269" Type="http://schemas.openxmlformats.org/officeDocument/2006/relationships/hyperlink" Target="http://www.nihrc.org/" TargetMode="External"/><Relationship Id="rId270" Type="http://schemas.openxmlformats.org/officeDocument/2006/relationships/hyperlink" Target="mailto:DMU@equalityni.org" TargetMode="External"/><Relationship Id="rId271" Type="http://schemas.openxmlformats.org/officeDocument/2006/relationships/hyperlink" Target="http://www.equalityni.org/Brexit" TargetMode="External"/><Relationship Id="rId27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NIHRC ECNI Report 2023-2024</dc:title>
  <dcterms:created xsi:type="dcterms:W3CDTF">2025-03-21T16:41:02Z</dcterms:created>
  <dcterms:modified xsi:type="dcterms:W3CDTF">2025-03-21T16:41:02Z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2024-07-30T00:00:00Z</vt:filetime>
  </property>
  <property fmtid="{D5CDD505-2E9C-101B-9397-08002B2CF9AE}" pid="3" name="Creator">
    <vt:lpwstr>Adobe InDesign 19.4 (Macintosh)</vt:lpwstr>
  </property>
  <property fmtid="{D5CDD505-2E9C-101B-9397-08002B2CF9AE}" pid="4" name="LastSaved">
    <vt:filetime>2025-03-21T00:00:00Z</vt:filetime>
  </property>
  <property fmtid="{D5CDD505-2E9C-101B-9397-08002B2CF9AE}" pid="5" name="Producer">
    <vt:lpwstr>Adobe PDF Library 17.0</vt:lpwstr>
  </property>
</Properties>
</file>